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6ACCB" w14:textId="67F05C4F" w:rsidR="00797EDA" w:rsidRDefault="00226B37" w:rsidP="00B93DDD">
      <w:pPr>
        <w:rPr>
          <w:rFonts w:cs="Arial"/>
          <w:sz w:val="12"/>
          <w:szCs w:val="12"/>
        </w:rPr>
      </w:pPr>
      <w:r w:rsidRPr="00A57D9E">
        <w:rPr>
          <w:rFonts w:cs="Arial"/>
          <w:noProof/>
          <w:color w:val="FF0000"/>
          <w:szCs w:val="20"/>
          <w:lang w:eastAsia="en-GB"/>
        </w:rPr>
        <w:drawing>
          <wp:anchor distT="0" distB="0" distL="114300" distR="114300" simplePos="0" relativeHeight="251658240" behindDoc="0" locked="0" layoutInCell="1" allowOverlap="1" wp14:anchorId="270644E1" wp14:editId="1B0B0DC9">
            <wp:simplePos x="0" y="0"/>
            <wp:positionH relativeFrom="page">
              <wp:align>left</wp:align>
            </wp:positionH>
            <wp:positionV relativeFrom="page">
              <wp:align>top</wp:align>
            </wp:positionV>
            <wp:extent cx="7559308" cy="1069276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CC booklet back cover.pn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559308" cy="10692764"/>
                    </a:xfrm>
                    <a:prstGeom prst="rect">
                      <a:avLst/>
                    </a:prstGeom>
                  </pic:spPr>
                </pic:pic>
              </a:graphicData>
            </a:graphic>
            <wp14:sizeRelH relativeFrom="page">
              <wp14:pctWidth>0</wp14:pctWidth>
            </wp14:sizeRelH>
            <wp14:sizeRelV relativeFrom="page">
              <wp14:pctHeight>0</wp14:pctHeight>
            </wp14:sizeRelV>
          </wp:anchor>
        </w:drawing>
      </w:r>
      <w:r w:rsidR="00C92B23">
        <w:rPr>
          <w:rFonts w:cs="Arial"/>
          <w:sz w:val="12"/>
          <w:szCs w:val="12"/>
        </w:rPr>
        <w:t xml:space="preserve"> </w:t>
      </w:r>
    </w:p>
    <w:sdt>
      <w:sdtPr>
        <w:rPr>
          <w:rFonts w:cs="Arial"/>
          <w:sz w:val="12"/>
          <w:szCs w:val="12"/>
        </w:rPr>
        <w:id w:val="721720723"/>
        <w:docPartObj>
          <w:docPartGallery w:val="Cover Pages"/>
          <w:docPartUnique/>
        </w:docPartObj>
      </w:sdtPr>
      <w:sdtEndPr>
        <w:rPr>
          <w:rFonts w:cstheme="minorBidi"/>
          <w:sz w:val="22"/>
          <w:szCs w:val="22"/>
        </w:rPr>
      </w:sdtEndPr>
      <w:sdtContent>
        <w:p w14:paraId="4B7CF5B1" w14:textId="0E97F13A" w:rsidR="005C592E" w:rsidRDefault="005C592E">
          <w:pPr>
            <w:rPr>
              <w:rFonts w:cs="Arial"/>
              <w:sz w:val="48"/>
              <w:szCs w:val="48"/>
            </w:rPr>
          </w:pPr>
        </w:p>
        <w:p w14:paraId="429B7279" w14:textId="77777777" w:rsidR="00FD37A5" w:rsidRDefault="009A1836" w:rsidP="00C65734">
          <w:pPr>
            <w:rPr>
              <w:szCs w:val="22"/>
            </w:rPr>
          </w:pPr>
          <w:r w:rsidRPr="00A57D9E">
            <w:rPr>
              <w:rFonts w:cs="Arial"/>
              <w:noProof/>
              <w:lang w:eastAsia="en-GB"/>
            </w:rPr>
            <mc:AlternateContent>
              <mc:Choice Requires="wps">
                <w:drawing>
                  <wp:anchor distT="0" distB="0" distL="114300" distR="114300" simplePos="0" relativeHeight="251658244" behindDoc="0" locked="0" layoutInCell="1" allowOverlap="1" wp14:anchorId="68ED7859" wp14:editId="7091DD6E">
                    <wp:simplePos x="0" y="0"/>
                    <wp:positionH relativeFrom="margin">
                      <wp:align>left</wp:align>
                    </wp:positionH>
                    <wp:positionV relativeFrom="paragraph">
                      <wp:posOffset>5498956</wp:posOffset>
                    </wp:positionV>
                    <wp:extent cx="6807200" cy="2414905"/>
                    <wp:effectExtent l="0" t="0" r="0" b="4445"/>
                    <wp:wrapSquare wrapText="bothSides"/>
                    <wp:docPr id="14" name="Text Box 14"/>
                    <wp:cNvGraphicFramePr/>
                    <a:graphic xmlns:a="http://schemas.openxmlformats.org/drawingml/2006/main">
                      <a:graphicData uri="http://schemas.microsoft.com/office/word/2010/wordprocessingShape">
                        <wps:wsp>
                          <wps:cNvSpPr txBox="1"/>
                          <wps:spPr>
                            <a:xfrm>
                              <a:off x="0" y="0"/>
                              <a:ext cx="6807200" cy="241490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xmlns:ma14="http://schemas.microsoft.com/office/mac/drawingml/2011/main" xmlns:c="http://schemas.openxmlformats.org/drawingml/2006/chart" xmlns:a16="http://schemas.microsoft.com/office/drawing/2014/main"/>
                              </a:ext>
                            </a:extLst>
                          </wps:spPr>
                          <wps:style>
                            <a:lnRef idx="0">
                              <a:schemeClr val="accent1"/>
                            </a:lnRef>
                            <a:fillRef idx="0">
                              <a:schemeClr val="accent1"/>
                            </a:fillRef>
                            <a:effectRef idx="0">
                              <a:schemeClr val="accent1"/>
                            </a:effectRef>
                            <a:fontRef idx="minor">
                              <a:schemeClr val="dk1"/>
                            </a:fontRef>
                          </wps:style>
                          <wps:txbx>
                            <w:txbxContent>
                              <w:p w14:paraId="62546046" w14:textId="4AA5CE0F" w:rsidR="00FC5386" w:rsidRDefault="003904F3" w:rsidP="00725B0F">
                                <w:pPr>
                                  <w:pStyle w:val="Title"/>
                                </w:pPr>
                                <w:r>
                                  <w:t xml:space="preserve">The </w:t>
                                </w:r>
                                <w:r w:rsidR="00FC5386" w:rsidRPr="00FC5386">
                                  <w:t xml:space="preserve">Queensland Building and Construction Commission </w:t>
                                </w:r>
                              </w:p>
                              <w:p w14:paraId="316666C6" w14:textId="77777777" w:rsidR="005D737D" w:rsidRPr="005D737D" w:rsidRDefault="005D737D" w:rsidP="005D737D"/>
                              <w:p w14:paraId="75B406F7" w14:textId="3C82005A" w:rsidR="005F2D1B" w:rsidRPr="00C630A9" w:rsidRDefault="0072769D" w:rsidP="00725B0F">
                                <w:pPr>
                                  <w:pStyle w:val="Title"/>
                                  <w:rPr>
                                    <w:sz w:val="52"/>
                                    <w:szCs w:val="52"/>
                                  </w:rPr>
                                </w:pPr>
                                <w:r w:rsidRPr="00C630A9">
                                  <w:rPr>
                                    <w:sz w:val="52"/>
                                    <w:szCs w:val="52"/>
                                  </w:rPr>
                                  <w:t xml:space="preserve">Annual Report </w:t>
                                </w:r>
                              </w:p>
                              <w:p w14:paraId="7B95E25E" w14:textId="127AFFB1" w:rsidR="0094120B" w:rsidRPr="004F5212" w:rsidRDefault="0072769D" w:rsidP="00FA46C8">
                                <w:pPr>
                                  <w:pStyle w:val="Title"/>
                                </w:pPr>
                                <w:r w:rsidRPr="00C630A9">
                                  <w:rPr>
                                    <w:sz w:val="52"/>
                                    <w:szCs w:val="52"/>
                                  </w:rPr>
                                  <w:t>2024</w:t>
                                </w:r>
                                <w:r w:rsidR="00035577" w:rsidRPr="00C630A9">
                                  <w:rPr>
                                    <w:sz w:val="52"/>
                                    <w:szCs w:val="52"/>
                                  </w:rPr>
                                  <w:t>–</w:t>
                                </w:r>
                                <w:r w:rsidR="00056656">
                                  <w:rPr>
                                    <w:sz w:val="52"/>
                                    <w:szCs w:val="52"/>
                                  </w:rPr>
                                  <w:t>20</w:t>
                                </w:r>
                                <w:r w:rsidR="00035577" w:rsidRPr="00C630A9">
                                  <w:rPr>
                                    <w:sz w:val="52"/>
                                    <w:szCs w:val="5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ED7859" id="_x0000_t202" coordsize="21600,21600" o:spt="202" path="m,l,21600r21600,l21600,xe">
                    <v:stroke joinstyle="miter"/>
                    <v:path gradientshapeok="t" o:connecttype="rect"/>
                  </v:shapetype>
                  <v:shape id="Text Box 14" o:spid="_x0000_s1026" type="#_x0000_t202" style="position:absolute;margin-left:0;margin-top:433pt;width:536pt;height:190.15pt;z-index:2516582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" filled="f" stroked="f">
                    <v:textbox>
                      <w:txbxContent>
                        <w:p w14:paraId="62546046" w14:textId="4AA5CE0F" w:rsidR="00FC5386" w:rsidRDefault="003904F3" w:rsidP="00725B0F">
                          <w:pPr>
                            <w:pStyle w:val="Title"/>
                          </w:pPr>
                          <w:r>
                            <w:t xml:space="preserve">The </w:t>
                          </w:r>
                          <w:r w:rsidR="00FC5386" w:rsidRPr="00FC5386">
                            <w:t xml:space="preserve">Queensland Building and Construction Commission </w:t>
                          </w:r>
                        </w:p>
                        <w:p w14:paraId="316666C6" w14:textId="77777777" w:rsidR="005D737D" w:rsidRPr="005D737D" w:rsidRDefault="005D737D" w:rsidP="005D737D"/>
                        <w:p w14:paraId="75B406F7" w14:textId="3C82005A" w:rsidR="005F2D1B" w:rsidRPr="00C630A9" w:rsidRDefault="0072769D" w:rsidP="00725B0F">
                          <w:pPr>
                            <w:pStyle w:val="Title"/>
                            <w:rPr>
                              <w:sz w:val="52"/>
                              <w:szCs w:val="52"/>
                            </w:rPr>
                          </w:pPr>
                          <w:r w:rsidRPr="00C630A9">
                            <w:rPr>
                              <w:sz w:val="52"/>
                              <w:szCs w:val="52"/>
                            </w:rPr>
                            <w:t xml:space="preserve">Annual Report </w:t>
                          </w:r>
                        </w:p>
                        <w:p w14:paraId="7B95E25E" w14:textId="127AFFB1" w:rsidR="0094120B" w:rsidRPr="004F5212" w:rsidRDefault="0072769D" w:rsidP="00FA46C8">
                          <w:pPr>
                            <w:pStyle w:val="Title"/>
                          </w:pPr>
                          <w:r w:rsidRPr="00C630A9">
                            <w:rPr>
                              <w:sz w:val="52"/>
                              <w:szCs w:val="52"/>
                            </w:rPr>
                            <w:t>2024</w:t>
                          </w:r>
                          <w:r w:rsidR="00035577" w:rsidRPr="00C630A9">
                            <w:rPr>
                              <w:sz w:val="52"/>
                              <w:szCs w:val="52"/>
                            </w:rPr>
                            <w:t>–</w:t>
                          </w:r>
                          <w:r w:rsidR="00056656">
                            <w:rPr>
                              <w:sz w:val="52"/>
                              <w:szCs w:val="52"/>
                            </w:rPr>
                            <w:t>20</w:t>
                          </w:r>
                          <w:r w:rsidR="00035577" w:rsidRPr="00C630A9">
                            <w:rPr>
                              <w:sz w:val="52"/>
                              <w:szCs w:val="52"/>
                            </w:rPr>
                            <w:t>25</w:t>
                          </w:r>
                        </w:p>
                      </w:txbxContent>
                    </v:textbox>
                    <w10:wrap type="square" anchorx="margin"/>
                  </v:shape>
                </w:pict>
              </mc:Fallback>
            </mc:AlternateContent>
          </w:r>
          <w:r>
            <w:br w:type="page"/>
          </w:r>
        </w:p>
      </w:sdtContent>
    </w:sdt>
    <w:p w14:paraId="1C8C0B42" w14:textId="0AED09BE" w:rsidR="00613607" w:rsidRPr="004A2C19" w:rsidRDefault="00613607" w:rsidP="00C65734">
      <w:pPr>
        <w:rPr>
          <w:rFonts w:cs="Arial"/>
          <w:sz w:val="16"/>
          <w:szCs w:val="16"/>
        </w:rPr>
      </w:pPr>
      <w:r w:rsidRPr="004A2C19">
        <w:rPr>
          <w:rFonts w:cs="Arial"/>
          <w:sz w:val="16"/>
          <w:szCs w:val="16"/>
        </w:rPr>
        <w:lastRenderedPageBreak/>
        <w:t>ISSN 2203-9589 (Print)</w:t>
      </w:r>
    </w:p>
    <w:p w14:paraId="4398AE48" w14:textId="77777777" w:rsidR="00613607" w:rsidRPr="004A2C19" w:rsidRDefault="00613607" w:rsidP="00613607">
      <w:pPr>
        <w:autoSpaceDE w:val="0"/>
        <w:autoSpaceDN w:val="0"/>
        <w:rPr>
          <w:rFonts w:cs="Arial"/>
          <w:sz w:val="16"/>
          <w:szCs w:val="16"/>
        </w:rPr>
      </w:pPr>
      <w:r w:rsidRPr="004A2C19">
        <w:rPr>
          <w:rFonts w:cs="Arial"/>
          <w:sz w:val="16"/>
          <w:szCs w:val="16"/>
        </w:rPr>
        <w:t>ISSN 2203-9597 (Online)</w:t>
      </w:r>
    </w:p>
    <w:p w14:paraId="5362C8B0" w14:textId="77777777" w:rsidR="00613607" w:rsidRPr="004A2C19" w:rsidRDefault="00613607" w:rsidP="00613607">
      <w:pPr>
        <w:tabs>
          <w:tab w:val="left" w:pos="1695"/>
        </w:tabs>
        <w:rPr>
          <w:rFonts w:cs="Arial"/>
          <w:sz w:val="16"/>
          <w:szCs w:val="16"/>
        </w:rPr>
      </w:pPr>
    </w:p>
    <w:p w14:paraId="4B8A83EF" w14:textId="3D9D9E6D" w:rsidR="7D03EFDD" w:rsidRDefault="6EBF602A" w:rsidP="2FCA7408">
      <w:pPr>
        <w:rPr>
          <w:rFonts w:cs="Arial"/>
          <w:sz w:val="18"/>
          <w:szCs w:val="18"/>
        </w:rPr>
      </w:pPr>
      <w:r w:rsidRPr="0311DE0C">
        <w:rPr>
          <w:rFonts w:cs="Arial"/>
          <w:sz w:val="18"/>
          <w:szCs w:val="18"/>
        </w:rPr>
        <w:t>© Queensland Building and Construction Commission 2025</w:t>
      </w:r>
    </w:p>
    <w:p w14:paraId="6CCC7268" w14:textId="255549E7" w:rsidR="2FCA7408" w:rsidRDefault="2FCA7408" w:rsidP="2FCA7408">
      <w:pPr>
        <w:rPr>
          <w:rFonts w:cs="Arial"/>
          <w:b/>
          <w:bCs/>
          <w:sz w:val="18"/>
          <w:szCs w:val="18"/>
        </w:rPr>
      </w:pPr>
    </w:p>
    <w:p w14:paraId="0FB9DB30" w14:textId="77777777" w:rsidR="00613607" w:rsidRPr="004A2C19" w:rsidRDefault="00613607" w:rsidP="00613607">
      <w:pPr>
        <w:autoSpaceDE w:val="0"/>
        <w:autoSpaceDN w:val="0"/>
        <w:adjustRightInd w:val="0"/>
        <w:rPr>
          <w:rFonts w:cs="Arial"/>
          <w:sz w:val="18"/>
          <w:szCs w:val="16"/>
        </w:rPr>
      </w:pPr>
      <w:r w:rsidRPr="004A2C19">
        <w:rPr>
          <w:rFonts w:cs="Arial"/>
          <w:b/>
          <w:sz w:val="18"/>
          <w:szCs w:val="16"/>
        </w:rPr>
        <w:t xml:space="preserve">Licence </w:t>
      </w:r>
    </w:p>
    <w:p w14:paraId="681A6C58" w14:textId="25AD8CEF" w:rsidR="00613607" w:rsidRPr="004A2C19" w:rsidRDefault="00613607" w:rsidP="00613607">
      <w:pPr>
        <w:autoSpaceDE w:val="0"/>
        <w:autoSpaceDN w:val="0"/>
        <w:adjustRightInd w:val="0"/>
        <w:rPr>
          <w:rFonts w:cs="Arial"/>
          <w:sz w:val="18"/>
          <w:szCs w:val="18"/>
        </w:rPr>
      </w:pPr>
      <w:r w:rsidRPr="2FCA7408">
        <w:rPr>
          <w:rFonts w:cs="Arial"/>
          <w:sz w:val="18"/>
          <w:szCs w:val="18"/>
        </w:rPr>
        <w:t xml:space="preserve">This annual report is licensed by the State of Queensland (Queensland Building and Construction Commission) under a Creative Commons Attribution (CC BY) 4.0 International licence. </w:t>
      </w:r>
    </w:p>
    <w:p w14:paraId="58BB56BE" w14:textId="3EE03240" w:rsidR="00613607" w:rsidRPr="004A2C19" w:rsidRDefault="00CC1CD5" w:rsidP="00613607">
      <w:pPr>
        <w:autoSpaceDE w:val="0"/>
        <w:autoSpaceDN w:val="0"/>
        <w:adjustRightInd w:val="0"/>
        <w:rPr>
          <w:rFonts w:cs="Arial"/>
          <w:sz w:val="18"/>
          <w:szCs w:val="16"/>
        </w:rPr>
      </w:pPr>
      <w:r w:rsidRPr="00C146B1">
        <w:rPr>
          <w:rFonts w:cs="Arial"/>
          <w:noProof/>
        </w:rPr>
        <w:drawing>
          <wp:anchor distT="0" distB="0" distL="114300" distR="114300" simplePos="0" relativeHeight="251658242" behindDoc="0" locked="0" layoutInCell="1" allowOverlap="1" wp14:anchorId="349793BA" wp14:editId="39F4909A">
            <wp:simplePos x="0" y="0"/>
            <wp:positionH relativeFrom="margin">
              <wp:align>left</wp:align>
            </wp:positionH>
            <wp:positionV relativeFrom="paragraph">
              <wp:posOffset>129540</wp:posOffset>
            </wp:positionV>
            <wp:extent cx="1066800" cy="372745"/>
            <wp:effectExtent l="0" t="0" r="0" b="8255"/>
            <wp:wrapSquare wrapText="bothSides"/>
            <wp:docPr id="1" name="Picture 1"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y and black sign with a person in a circ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800" cy="372745"/>
                    </a:xfrm>
                    <a:prstGeom prst="rect">
                      <a:avLst/>
                    </a:prstGeom>
                  </pic:spPr>
                </pic:pic>
              </a:graphicData>
            </a:graphic>
            <wp14:sizeRelH relativeFrom="margin">
              <wp14:pctWidth>0</wp14:pctWidth>
            </wp14:sizeRelH>
            <wp14:sizeRelV relativeFrom="margin">
              <wp14:pctHeight>0</wp14:pctHeight>
            </wp14:sizeRelV>
          </wp:anchor>
        </w:drawing>
      </w:r>
    </w:p>
    <w:p w14:paraId="075B1E79" w14:textId="39CB148D" w:rsidR="00613607" w:rsidRPr="00CC1CD5" w:rsidRDefault="00613607" w:rsidP="00613607">
      <w:pPr>
        <w:autoSpaceDE w:val="0"/>
        <w:autoSpaceDN w:val="0"/>
        <w:adjustRightInd w:val="0"/>
        <w:rPr>
          <w:rFonts w:cs="Arial"/>
          <w:sz w:val="16"/>
          <w:szCs w:val="16"/>
        </w:rPr>
      </w:pPr>
      <w:r w:rsidRPr="004A2C19">
        <w:rPr>
          <w:rFonts w:cs="Arial"/>
          <w:b/>
          <w:sz w:val="18"/>
          <w:szCs w:val="16"/>
        </w:rPr>
        <w:t xml:space="preserve">CC BY Licence Summary Statement </w:t>
      </w:r>
    </w:p>
    <w:p w14:paraId="3E2E7115" w14:textId="6A34C49C" w:rsidR="00613607" w:rsidRPr="004A2C19" w:rsidRDefault="52203F93" w:rsidP="00613607">
      <w:pPr>
        <w:autoSpaceDE w:val="0"/>
        <w:autoSpaceDN w:val="0"/>
        <w:adjustRightInd w:val="0"/>
        <w:rPr>
          <w:rFonts w:cs="Arial"/>
          <w:sz w:val="18"/>
          <w:szCs w:val="18"/>
        </w:rPr>
      </w:pPr>
      <w:r w:rsidRPr="0311DE0C">
        <w:rPr>
          <w:rFonts w:cs="Arial"/>
          <w:sz w:val="18"/>
          <w:szCs w:val="18"/>
        </w:rPr>
        <w:t>Y</w:t>
      </w:r>
      <w:r w:rsidR="1438268F" w:rsidRPr="0311DE0C">
        <w:rPr>
          <w:rFonts w:cs="Arial"/>
          <w:sz w:val="18"/>
          <w:szCs w:val="18"/>
        </w:rPr>
        <w:t xml:space="preserve">ou are free to copy, communicate and adapt this annual report, </w:t>
      </w:r>
      <w:proofErr w:type="gramStart"/>
      <w:r w:rsidR="1438268F" w:rsidRPr="0311DE0C">
        <w:rPr>
          <w:rFonts w:cs="Arial"/>
          <w:sz w:val="18"/>
          <w:szCs w:val="18"/>
        </w:rPr>
        <w:t>as long as</w:t>
      </w:r>
      <w:proofErr w:type="gramEnd"/>
      <w:r w:rsidR="1438268F" w:rsidRPr="0311DE0C">
        <w:rPr>
          <w:rFonts w:cs="Arial"/>
          <w:sz w:val="18"/>
          <w:szCs w:val="18"/>
        </w:rPr>
        <w:t xml:space="preserve"> you attribute the work to the State of Queensland (Queensland Building and Construction Commission). To view a copy of this licence, visit </w:t>
      </w:r>
      <w:hyperlink r:id="rId14">
        <w:r w:rsidR="6556E083" w:rsidRPr="0311DE0C">
          <w:rPr>
            <w:rStyle w:val="Hyperlink"/>
            <w:rFonts w:cs="Arial"/>
            <w:color w:val="auto"/>
            <w:sz w:val="18"/>
            <w:szCs w:val="18"/>
          </w:rPr>
          <w:t>http://creativecommons.org/licens</w:t>
        </w:r>
      </w:hyperlink>
      <w:bookmarkStart w:id="0" w:name="_Hlt176944427"/>
      <w:bookmarkStart w:id="1" w:name="_Hlt176944428"/>
      <w:r w:rsidR="6556E083" w:rsidRPr="0311DE0C">
        <w:rPr>
          <w:rStyle w:val="Hyperlink"/>
          <w:rFonts w:cs="Arial"/>
          <w:color w:val="auto"/>
          <w:sz w:val="18"/>
          <w:szCs w:val="18"/>
        </w:rPr>
        <w:t>e</w:t>
      </w:r>
      <w:bookmarkEnd w:id="0"/>
      <w:bookmarkEnd w:id="1"/>
      <w:r w:rsidR="6556E083" w:rsidRPr="0311DE0C">
        <w:rPr>
          <w:rStyle w:val="Hyperlink"/>
          <w:rFonts w:cs="Arial"/>
          <w:color w:val="auto"/>
          <w:sz w:val="18"/>
          <w:szCs w:val="18"/>
        </w:rPr>
        <w:t>s/by/4.0/</w:t>
      </w:r>
      <w:r w:rsidR="1438268F" w:rsidRPr="0311DE0C">
        <w:rPr>
          <w:rFonts w:cs="Arial"/>
          <w:sz w:val="18"/>
          <w:szCs w:val="18"/>
        </w:rPr>
        <w:t xml:space="preserve"> </w:t>
      </w:r>
    </w:p>
    <w:p w14:paraId="16B511CA" w14:textId="77777777" w:rsidR="00613607" w:rsidRPr="004A2C19" w:rsidRDefault="00613607" w:rsidP="00613607">
      <w:pPr>
        <w:autoSpaceDE w:val="0"/>
        <w:autoSpaceDN w:val="0"/>
        <w:adjustRightInd w:val="0"/>
        <w:rPr>
          <w:rFonts w:cs="Arial"/>
          <w:b/>
          <w:sz w:val="18"/>
          <w:szCs w:val="16"/>
        </w:rPr>
      </w:pPr>
    </w:p>
    <w:p w14:paraId="3B784016" w14:textId="7553AB0B" w:rsidR="00613607" w:rsidRPr="004A2C19" w:rsidRDefault="1438268F" w:rsidP="0311DE0C">
      <w:pPr>
        <w:autoSpaceDE w:val="0"/>
        <w:autoSpaceDN w:val="0"/>
        <w:adjustRightInd w:val="0"/>
        <w:rPr>
          <w:rFonts w:cs="Arial"/>
          <w:b/>
          <w:bCs/>
          <w:sz w:val="18"/>
          <w:szCs w:val="18"/>
        </w:rPr>
      </w:pPr>
      <w:r w:rsidRPr="0311DE0C">
        <w:rPr>
          <w:rFonts w:cs="Arial"/>
          <w:b/>
          <w:bCs/>
          <w:sz w:val="18"/>
          <w:szCs w:val="18"/>
        </w:rPr>
        <w:t>Attribution</w:t>
      </w:r>
    </w:p>
    <w:p w14:paraId="63C37FDD" w14:textId="7BBC79F3" w:rsidR="00613607" w:rsidRPr="004A2C19" w:rsidRDefault="1438268F" w:rsidP="0311DE0C">
      <w:pPr>
        <w:rPr>
          <w:rFonts w:cs="Arial"/>
          <w:sz w:val="18"/>
          <w:szCs w:val="18"/>
        </w:rPr>
      </w:pPr>
      <w:r w:rsidRPr="0311DE0C">
        <w:rPr>
          <w:rFonts w:cs="Arial"/>
          <w:sz w:val="18"/>
          <w:szCs w:val="18"/>
        </w:rPr>
        <w:t>The State of Queensland (Queensland Building and Construction Commission</w:t>
      </w:r>
      <w:r w:rsidR="7ACBC65C" w:rsidRPr="0311DE0C">
        <w:rPr>
          <w:rFonts w:cs="Arial"/>
          <w:sz w:val="18"/>
          <w:szCs w:val="18"/>
        </w:rPr>
        <w:t>)</w:t>
      </w:r>
      <w:r w:rsidRPr="0311DE0C">
        <w:rPr>
          <w:rFonts w:cs="Arial"/>
          <w:sz w:val="18"/>
          <w:szCs w:val="18"/>
        </w:rPr>
        <w:t xml:space="preserve"> </w:t>
      </w:r>
      <w:r w:rsidR="3CA55935" w:rsidRPr="0311DE0C">
        <w:rPr>
          <w:rFonts w:cs="Arial"/>
          <w:sz w:val="18"/>
          <w:szCs w:val="18"/>
        </w:rPr>
        <w:t>a</w:t>
      </w:r>
      <w:r w:rsidRPr="0311DE0C">
        <w:rPr>
          <w:rFonts w:cs="Arial"/>
          <w:sz w:val="18"/>
          <w:szCs w:val="18"/>
        </w:rPr>
        <w:t xml:space="preserve">nnual </w:t>
      </w:r>
      <w:r w:rsidR="5BF4832B" w:rsidRPr="0311DE0C">
        <w:rPr>
          <w:rFonts w:cs="Arial"/>
          <w:sz w:val="18"/>
          <w:szCs w:val="18"/>
        </w:rPr>
        <w:t>r</w:t>
      </w:r>
      <w:r w:rsidRPr="0311DE0C">
        <w:rPr>
          <w:rFonts w:cs="Arial"/>
          <w:sz w:val="18"/>
          <w:szCs w:val="18"/>
        </w:rPr>
        <w:t>eport 202</w:t>
      </w:r>
      <w:r w:rsidR="6552E452" w:rsidRPr="0311DE0C">
        <w:rPr>
          <w:rFonts w:cs="Arial"/>
          <w:sz w:val="18"/>
          <w:szCs w:val="18"/>
        </w:rPr>
        <w:t>4–</w:t>
      </w:r>
      <w:r w:rsidRPr="0311DE0C">
        <w:rPr>
          <w:rFonts w:cs="Arial"/>
          <w:sz w:val="18"/>
          <w:szCs w:val="18"/>
        </w:rPr>
        <w:t>202</w:t>
      </w:r>
      <w:r w:rsidR="6552E452" w:rsidRPr="0311DE0C">
        <w:rPr>
          <w:rFonts w:cs="Arial"/>
          <w:sz w:val="18"/>
          <w:szCs w:val="18"/>
        </w:rPr>
        <w:t>5</w:t>
      </w:r>
      <w:r w:rsidRPr="0311DE0C">
        <w:rPr>
          <w:rFonts w:cs="Arial"/>
          <w:sz w:val="18"/>
          <w:szCs w:val="18"/>
        </w:rPr>
        <w:t>.</w:t>
      </w:r>
    </w:p>
    <w:p w14:paraId="5AFC30CA" w14:textId="7A35134C" w:rsidR="00613607" w:rsidRPr="004A2C19" w:rsidRDefault="00613607" w:rsidP="0311DE0C">
      <w:pPr>
        <w:rPr>
          <w:rFonts w:cs="Arial"/>
          <w:b/>
          <w:bCs/>
          <w:strike/>
        </w:rPr>
      </w:pPr>
    </w:p>
    <w:p w14:paraId="05F3BC53" w14:textId="1A2D6E9B" w:rsidR="00613607" w:rsidRDefault="00613607" w:rsidP="0311DE0C">
      <w:pPr>
        <w:rPr>
          <w:rStyle w:val="Hyperlink"/>
          <w:rFonts w:cs="Arial"/>
          <w:color w:val="auto"/>
          <w:sz w:val="18"/>
          <w:szCs w:val="18"/>
        </w:rPr>
      </w:pPr>
    </w:p>
    <w:p w14:paraId="722E8D30" w14:textId="32EABF03" w:rsidR="00613607" w:rsidRPr="004A2C19" w:rsidRDefault="00613607" w:rsidP="2FCA7408">
      <w:pPr>
        <w:jc w:val="both"/>
        <w:rPr>
          <w:rFonts w:cs="Arial"/>
          <w:b/>
          <w:bCs/>
        </w:rPr>
      </w:pPr>
      <w:r w:rsidRPr="00C146B1">
        <w:rPr>
          <w:rFonts w:cs="Arial"/>
          <w:noProof/>
        </w:rPr>
        <w:drawing>
          <wp:anchor distT="0" distB="0" distL="114300" distR="114300" simplePos="0" relativeHeight="251658241" behindDoc="1" locked="0" layoutInCell="1" allowOverlap="1" wp14:anchorId="6071D5A6" wp14:editId="5AE80CFC">
            <wp:simplePos x="0" y="0"/>
            <wp:positionH relativeFrom="column">
              <wp:posOffset>0</wp:posOffset>
            </wp:positionH>
            <wp:positionV relativeFrom="paragraph">
              <wp:posOffset>635</wp:posOffset>
            </wp:positionV>
            <wp:extent cx="528320" cy="528320"/>
            <wp:effectExtent l="0" t="0" r="5080" b="5080"/>
            <wp:wrapTight wrapText="bothSides">
              <wp:wrapPolygon edited="0">
                <wp:start x="0" y="0"/>
                <wp:lineTo x="0" y="21029"/>
                <wp:lineTo x="21029" y="21029"/>
                <wp:lineTo x="21029" y="0"/>
                <wp:lineTo x="0" y="0"/>
              </wp:wrapPolygon>
            </wp:wrapTight>
            <wp:docPr id="6545365" name="Picture 6545365" descr="A blue sign with whit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65" name="Picture 6545365" descr="A blue sign with white people&#10;&#10;Description automatically generated"/>
                    <pic:cNvPicPr/>
                  </pic:nvPicPr>
                  <pic:blipFill>
                    <a:blip r:embed="rId15" cstate="print">
                      <a:biLevel thresh="75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anchor>
        </w:drawing>
      </w:r>
      <w:r w:rsidRPr="2FCA7408">
        <w:rPr>
          <w:rFonts w:cs="Arial"/>
          <w:b/>
          <w:bCs/>
        </w:rPr>
        <w:t>Interpreter service statement</w:t>
      </w:r>
    </w:p>
    <w:p w14:paraId="7EEB6B63" w14:textId="164EFE5D" w:rsidR="00613607" w:rsidRPr="004A2C19" w:rsidRDefault="1438268F" w:rsidP="0311DE0C">
      <w:pPr>
        <w:rPr>
          <w:rFonts w:cs="Arial"/>
          <w:sz w:val="18"/>
          <w:szCs w:val="18"/>
        </w:rPr>
      </w:pPr>
      <w:r w:rsidRPr="0311DE0C">
        <w:rPr>
          <w:rFonts w:cs="Arial"/>
          <w:sz w:val="18"/>
          <w:szCs w:val="18"/>
        </w:rPr>
        <w:t xml:space="preserve">The QBCC is committed to providing accessible </w:t>
      </w:r>
      <w:r w:rsidR="68108A75" w:rsidRPr="0311DE0C">
        <w:rPr>
          <w:rFonts w:cs="Arial"/>
          <w:sz w:val="18"/>
          <w:szCs w:val="18"/>
        </w:rPr>
        <w:t xml:space="preserve">information and </w:t>
      </w:r>
      <w:r w:rsidRPr="0311DE0C">
        <w:rPr>
          <w:rFonts w:cs="Arial"/>
          <w:sz w:val="18"/>
          <w:szCs w:val="18"/>
        </w:rPr>
        <w:t>services to Queenslanders from all cultural and linguistic backgrounds.</w:t>
      </w:r>
      <w:r w:rsidR="72843192" w:rsidRPr="0311DE0C">
        <w:rPr>
          <w:rFonts w:cs="Arial"/>
          <w:sz w:val="18"/>
          <w:szCs w:val="18"/>
        </w:rPr>
        <w:t xml:space="preserve"> To talk to someone about </w:t>
      </w:r>
      <w:r w:rsidR="1A2C23D7" w:rsidRPr="0311DE0C">
        <w:rPr>
          <w:rFonts w:cs="Arial"/>
          <w:sz w:val="18"/>
          <w:szCs w:val="18"/>
        </w:rPr>
        <w:t>t</w:t>
      </w:r>
      <w:r w:rsidR="20C78DD8" w:rsidRPr="0311DE0C">
        <w:rPr>
          <w:rFonts w:cs="Arial"/>
          <w:sz w:val="18"/>
          <w:szCs w:val="18"/>
        </w:rPr>
        <w:t>he Queensland Building and Construction Commission Annual Report 2024–</w:t>
      </w:r>
      <w:r w:rsidR="0039050F">
        <w:rPr>
          <w:rFonts w:cs="Arial"/>
          <w:sz w:val="18"/>
          <w:szCs w:val="18"/>
        </w:rPr>
        <w:t>20</w:t>
      </w:r>
      <w:r w:rsidR="20C78DD8" w:rsidRPr="0311DE0C">
        <w:rPr>
          <w:rFonts w:cs="Arial"/>
          <w:sz w:val="18"/>
          <w:szCs w:val="18"/>
        </w:rPr>
        <w:t xml:space="preserve">25 </w:t>
      </w:r>
      <w:r w:rsidR="6736E4C9" w:rsidRPr="0311DE0C">
        <w:rPr>
          <w:rFonts w:cs="Arial"/>
          <w:sz w:val="18"/>
          <w:szCs w:val="18"/>
        </w:rPr>
        <w:t>(</w:t>
      </w:r>
      <w:r w:rsidR="1A2C23D7" w:rsidRPr="0311DE0C">
        <w:rPr>
          <w:rFonts w:cs="Arial"/>
          <w:sz w:val="18"/>
          <w:szCs w:val="18"/>
        </w:rPr>
        <w:t xml:space="preserve">QBCC </w:t>
      </w:r>
      <w:r w:rsidR="77F5D0B9" w:rsidRPr="0311DE0C">
        <w:rPr>
          <w:rFonts w:cs="Arial"/>
          <w:sz w:val="18"/>
          <w:szCs w:val="18"/>
        </w:rPr>
        <w:t>A</w:t>
      </w:r>
      <w:r w:rsidRPr="0311DE0C">
        <w:rPr>
          <w:rFonts w:cs="Arial"/>
          <w:sz w:val="18"/>
          <w:szCs w:val="18"/>
        </w:rPr>
        <w:t xml:space="preserve">nnual </w:t>
      </w:r>
      <w:r w:rsidR="77F5D0B9" w:rsidRPr="0311DE0C">
        <w:rPr>
          <w:rFonts w:cs="Arial"/>
          <w:sz w:val="18"/>
          <w:szCs w:val="18"/>
        </w:rPr>
        <w:t>R</w:t>
      </w:r>
      <w:r w:rsidRPr="0311DE0C">
        <w:rPr>
          <w:rFonts w:cs="Arial"/>
          <w:sz w:val="18"/>
          <w:szCs w:val="18"/>
        </w:rPr>
        <w:t>eport</w:t>
      </w:r>
      <w:r w:rsidR="03444208" w:rsidRPr="0311DE0C">
        <w:rPr>
          <w:rFonts w:cs="Arial"/>
          <w:sz w:val="18"/>
          <w:szCs w:val="18"/>
        </w:rPr>
        <w:t>)</w:t>
      </w:r>
      <w:r w:rsidR="72843192" w:rsidRPr="0311DE0C">
        <w:rPr>
          <w:rFonts w:cs="Arial"/>
          <w:sz w:val="18"/>
          <w:szCs w:val="18"/>
        </w:rPr>
        <w:t xml:space="preserve"> in your preferred </w:t>
      </w:r>
      <w:r w:rsidR="4CE73A6D" w:rsidRPr="0311DE0C">
        <w:rPr>
          <w:rFonts w:cs="Arial"/>
          <w:sz w:val="18"/>
          <w:szCs w:val="18"/>
        </w:rPr>
        <w:t>language</w:t>
      </w:r>
      <w:r w:rsidR="04EDCB7E" w:rsidRPr="0311DE0C">
        <w:rPr>
          <w:rFonts w:cs="Arial"/>
          <w:sz w:val="18"/>
          <w:szCs w:val="18"/>
        </w:rPr>
        <w:t xml:space="preserve">, </w:t>
      </w:r>
      <w:r w:rsidR="4CE73A6D" w:rsidRPr="0311DE0C">
        <w:rPr>
          <w:rFonts w:cs="Arial"/>
          <w:sz w:val="18"/>
          <w:szCs w:val="18"/>
        </w:rPr>
        <w:t xml:space="preserve">call </w:t>
      </w:r>
      <w:r w:rsidRPr="0311DE0C">
        <w:rPr>
          <w:rFonts w:cs="Arial"/>
          <w:sz w:val="18"/>
          <w:szCs w:val="18"/>
        </w:rPr>
        <w:t xml:space="preserve">139 333 and </w:t>
      </w:r>
      <w:r w:rsidR="100BD641" w:rsidRPr="0311DE0C">
        <w:rPr>
          <w:rFonts w:cs="Arial"/>
          <w:sz w:val="18"/>
          <w:szCs w:val="18"/>
        </w:rPr>
        <w:t xml:space="preserve">an </w:t>
      </w:r>
      <w:r w:rsidRPr="0311DE0C">
        <w:rPr>
          <w:rFonts w:cs="Arial"/>
          <w:sz w:val="18"/>
          <w:szCs w:val="18"/>
        </w:rPr>
        <w:t xml:space="preserve">interpreter </w:t>
      </w:r>
      <w:r w:rsidR="3F47B706" w:rsidRPr="0311DE0C">
        <w:rPr>
          <w:rFonts w:cs="Arial"/>
          <w:sz w:val="18"/>
          <w:szCs w:val="18"/>
        </w:rPr>
        <w:t>will be arranged</w:t>
      </w:r>
      <w:r w:rsidRPr="0311DE0C">
        <w:rPr>
          <w:rFonts w:cs="Arial"/>
          <w:sz w:val="18"/>
          <w:szCs w:val="18"/>
        </w:rPr>
        <w:t>.</w:t>
      </w:r>
    </w:p>
    <w:p w14:paraId="2883A609" w14:textId="77777777" w:rsidR="00613607" w:rsidRPr="004A2C19" w:rsidRDefault="00613607" w:rsidP="00613607">
      <w:pPr>
        <w:jc w:val="both"/>
        <w:rPr>
          <w:rFonts w:cs="Arial"/>
        </w:rPr>
      </w:pPr>
    </w:p>
    <w:p w14:paraId="5D855E7D" w14:textId="77777777" w:rsidR="00613607" w:rsidRPr="004A2C19" w:rsidRDefault="00613607" w:rsidP="00613607">
      <w:pPr>
        <w:jc w:val="both"/>
        <w:rPr>
          <w:rFonts w:cs="Arial"/>
          <w:b/>
        </w:rPr>
      </w:pPr>
      <w:r w:rsidRPr="004A2C19">
        <w:rPr>
          <w:rFonts w:cs="Arial"/>
          <w:b/>
        </w:rPr>
        <w:t>Enquiries</w:t>
      </w:r>
    </w:p>
    <w:p w14:paraId="30C97E60" w14:textId="0EDC09CE" w:rsidR="00613607" w:rsidRPr="004A2C19" w:rsidRDefault="3FC25391" w:rsidP="0311DE0C">
      <w:pPr>
        <w:rPr>
          <w:rFonts w:cs="Arial"/>
          <w:sz w:val="18"/>
          <w:szCs w:val="18"/>
        </w:rPr>
      </w:pPr>
      <w:r w:rsidRPr="0311DE0C">
        <w:rPr>
          <w:rFonts w:cs="Arial"/>
          <w:sz w:val="18"/>
          <w:szCs w:val="18"/>
        </w:rPr>
        <w:t>T</w:t>
      </w:r>
      <w:r w:rsidR="1438268F" w:rsidRPr="0311DE0C">
        <w:rPr>
          <w:rFonts w:cs="Arial"/>
          <w:sz w:val="18"/>
          <w:szCs w:val="18"/>
        </w:rPr>
        <w:t>he</w:t>
      </w:r>
      <w:r w:rsidR="0F055428" w:rsidRPr="0311DE0C">
        <w:rPr>
          <w:rFonts w:cs="Arial"/>
          <w:sz w:val="18"/>
          <w:szCs w:val="18"/>
        </w:rPr>
        <w:t xml:space="preserve"> QBCC Annual</w:t>
      </w:r>
      <w:r w:rsidR="1438268F" w:rsidRPr="0311DE0C">
        <w:rPr>
          <w:rFonts w:cs="Arial"/>
          <w:sz w:val="18"/>
          <w:szCs w:val="18"/>
        </w:rPr>
        <w:t xml:space="preserve"> </w:t>
      </w:r>
      <w:r w:rsidR="0F055428" w:rsidRPr="0311DE0C">
        <w:rPr>
          <w:rFonts w:cs="Arial"/>
          <w:sz w:val="18"/>
          <w:szCs w:val="18"/>
        </w:rPr>
        <w:t>R</w:t>
      </w:r>
      <w:r w:rsidR="1438268F" w:rsidRPr="0311DE0C">
        <w:rPr>
          <w:rFonts w:cs="Arial"/>
          <w:sz w:val="18"/>
          <w:szCs w:val="18"/>
        </w:rPr>
        <w:t xml:space="preserve">eport </w:t>
      </w:r>
      <w:r w:rsidR="4E29D9FA" w:rsidRPr="0311DE0C">
        <w:rPr>
          <w:rFonts w:cs="Arial"/>
          <w:sz w:val="18"/>
          <w:szCs w:val="18"/>
        </w:rPr>
        <w:t xml:space="preserve">is available for </w:t>
      </w:r>
      <w:r w:rsidRPr="0311DE0C">
        <w:rPr>
          <w:rFonts w:cs="Arial"/>
          <w:sz w:val="18"/>
          <w:szCs w:val="18"/>
        </w:rPr>
        <w:t>download</w:t>
      </w:r>
      <w:r w:rsidR="4E29D9FA" w:rsidRPr="0311DE0C">
        <w:rPr>
          <w:rFonts w:cs="Arial"/>
          <w:sz w:val="18"/>
          <w:szCs w:val="18"/>
        </w:rPr>
        <w:t xml:space="preserve"> </w:t>
      </w:r>
      <w:r w:rsidR="3214EA47" w:rsidRPr="0311DE0C">
        <w:rPr>
          <w:rFonts w:cs="Arial"/>
          <w:sz w:val="18"/>
          <w:szCs w:val="18"/>
        </w:rPr>
        <w:t>at</w:t>
      </w:r>
      <w:r w:rsidR="1438268F" w:rsidRPr="0311DE0C">
        <w:rPr>
          <w:rFonts w:cs="Arial"/>
          <w:sz w:val="18"/>
          <w:szCs w:val="18"/>
        </w:rPr>
        <w:t xml:space="preserve"> </w:t>
      </w:r>
      <w:r w:rsidR="000C790F" w:rsidRPr="00C931AE">
        <w:rPr>
          <w:sz w:val="18"/>
          <w:szCs w:val="18"/>
        </w:rPr>
        <w:t>www.qbcc.qld.gov.au/about-us/our-corporate-publications/annual-report</w:t>
      </w:r>
      <w:r w:rsidR="1438268F" w:rsidRPr="00C931AE">
        <w:rPr>
          <w:rFonts w:cs="Arial"/>
          <w:sz w:val="18"/>
          <w:szCs w:val="18"/>
        </w:rPr>
        <w:t>.</w:t>
      </w:r>
      <w:r w:rsidR="33A46FAD" w:rsidRPr="0311DE0C">
        <w:rPr>
          <w:rFonts w:cs="Arial"/>
          <w:sz w:val="18"/>
          <w:szCs w:val="18"/>
        </w:rPr>
        <w:t xml:space="preserve"> P</w:t>
      </w:r>
      <w:r w:rsidR="1438268F" w:rsidRPr="0311DE0C">
        <w:rPr>
          <w:rFonts w:cs="Arial"/>
          <w:sz w:val="18"/>
          <w:szCs w:val="18"/>
        </w:rPr>
        <w:t xml:space="preserve">rinted copies </w:t>
      </w:r>
      <w:r w:rsidR="74EDBE08" w:rsidRPr="0311DE0C">
        <w:rPr>
          <w:rFonts w:cs="Arial"/>
          <w:sz w:val="18"/>
          <w:szCs w:val="18"/>
        </w:rPr>
        <w:t xml:space="preserve">can be </w:t>
      </w:r>
      <w:r w:rsidR="384AE5AE" w:rsidRPr="0311DE0C">
        <w:rPr>
          <w:rFonts w:cs="Arial"/>
          <w:sz w:val="18"/>
          <w:szCs w:val="18"/>
        </w:rPr>
        <w:t xml:space="preserve">requested </w:t>
      </w:r>
      <w:r w:rsidR="74EDBE08" w:rsidRPr="0311DE0C">
        <w:rPr>
          <w:rFonts w:cs="Arial"/>
          <w:sz w:val="18"/>
          <w:szCs w:val="18"/>
        </w:rPr>
        <w:t xml:space="preserve">by </w:t>
      </w:r>
      <w:r w:rsidR="3CD5B10C" w:rsidRPr="0311DE0C">
        <w:rPr>
          <w:rFonts w:cs="Arial"/>
          <w:sz w:val="18"/>
          <w:szCs w:val="18"/>
        </w:rPr>
        <w:t xml:space="preserve">visiting </w:t>
      </w:r>
      <w:r w:rsidR="384AE5AE" w:rsidRPr="0311DE0C">
        <w:rPr>
          <w:rFonts w:cs="Arial"/>
          <w:sz w:val="18"/>
          <w:szCs w:val="18"/>
        </w:rPr>
        <w:t xml:space="preserve">a </w:t>
      </w:r>
      <w:r w:rsidR="7BD716A4" w:rsidRPr="0311DE0C">
        <w:rPr>
          <w:rFonts w:cs="Arial"/>
          <w:sz w:val="18"/>
          <w:szCs w:val="18"/>
        </w:rPr>
        <w:t xml:space="preserve">QBCC </w:t>
      </w:r>
      <w:r w:rsidR="3CD5B10C" w:rsidRPr="0311DE0C">
        <w:rPr>
          <w:rFonts w:cs="Arial"/>
          <w:sz w:val="18"/>
          <w:szCs w:val="18"/>
        </w:rPr>
        <w:t xml:space="preserve">office or </w:t>
      </w:r>
      <w:r w:rsidR="2EA1AB54" w:rsidRPr="0311DE0C">
        <w:rPr>
          <w:rFonts w:cs="Arial"/>
          <w:sz w:val="18"/>
          <w:szCs w:val="18"/>
        </w:rPr>
        <w:t xml:space="preserve">by </w:t>
      </w:r>
      <w:r w:rsidR="3CD5B10C" w:rsidRPr="0311DE0C">
        <w:rPr>
          <w:rFonts w:cs="Arial"/>
          <w:sz w:val="18"/>
          <w:szCs w:val="18"/>
        </w:rPr>
        <w:t xml:space="preserve">contacting </w:t>
      </w:r>
      <w:r w:rsidR="2EA1AB54" w:rsidRPr="0311DE0C">
        <w:rPr>
          <w:rFonts w:cs="Arial"/>
          <w:sz w:val="18"/>
          <w:szCs w:val="18"/>
        </w:rPr>
        <w:t xml:space="preserve">the QBCC </w:t>
      </w:r>
      <w:r w:rsidR="3CD5B10C" w:rsidRPr="0311DE0C">
        <w:rPr>
          <w:rFonts w:cs="Arial"/>
          <w:sz w:val="18"/>
          <w:szCs w:val="18"/>
        </w:rPr>
        <w:t>via phone or email</w:t>
      </w:r>
      <w:r w:rsidR="1438268F" w:rsidRPr="0311DE0C">
        <w:rPr>
          <w:rFonts w:cs="Arial"/>
          <w:sz w:val="18"/>
          <w:szCs w:val="18"/>
        </w:rPr>
        <w:t>.</w:t>
      </w:r>
    </w:p>
    <w:p w14:paraId="3D01E378" w14:textId="77777777" w:rsidR="00613607" w:rsidRPr="004A2C19" w:rsidRDefault="00613607" w:rsidP="00613607">
      <w:pPr>
        <w:rPr>
          <w:rFonts w:cs="Arial"/>
          <w:sz w:val="18"/>
          <w:szCs w:val="18"/>
        </w:rPr>
      </w:pPr>
    </w:p>
    <w:p w14:paraId="49EB4985" w14:textId="4D960596" w:rsidR="00624ED9" w:rsidRDefault="4A23D734" w:rsidP="00613607">
      <w:pPr>
        <w:rPr>
          <w:rFonts w:cs="Arial"/>
          <w:sz w:val="18"/>
          <w:szCs w:val="18"/>
        </w:rPr>
      </w:pPr>
      <w:r w:rsidRPr="0311DE0C">
        <w:rPr>
          <w:rFonts w:cs="Arial"/>
          <w:sz w:val="18"/>
          <w:szCs w:val="18"/>
        </w:rPr>
        <w:t>Brisbane</w:t>
      </w:r>
      <w:r w:rsidR="147743EA" w:rsidRPr="0311DE0C">
        <w:rPr>
          <w:rFonts w:cs="Arial"/>
          <w:sz w:val="18"/>
          <w:szCs w:val="18"/>
        </w:rPr>
        <w:t xml:space="preserve"> </w:t>
      </w:r>
      <w:r w:rsidR="4D5F74E9" w:rsidRPr="0311DE0C">
        <w:rPr>
          <w:rFonts w:cs="Arial"/>
          <w:sz w:val="18"/>
          <w:szCs w:val="18"/>
        </w:rPr>
        <w:t>O</w:t>
      </w:r>
      <w:r w:rsidR="147743EA" w:rsidRPr="0311DE0C">
        <w:rPr>
          <w:rFonts w:cs="Arial"/>
          <w:sz w:val="18"/>
          <w:szCs w:val="18"/>
        </w:rPr>
        <w:t xml:space="preserve">ffice: </w:t>
      </w:r>
      <w:r w:rsidR="1438268F" w:rsidRPr="0311DE0C">
        <w:rPr>
          <w:rFonts w:cs="Arial"/>
          <w:sz w:val="18"/>
          <w:szCs w:val="18"/>
        </w:rPr>
        <w:t>299 Montague Road</w:t>
      </w:r>
      <w:r w:rsidR="0052029A">
        <w:rPr>
          <w:rFonts w:cs="Arial"/>
          <w:sz w:val="18"/>
          <w:szCs w:val="18"/>
        </w:rPr>
        <w:t>,</w:t>
      </w:r>
      <w:r w:rsidR="1438268F" w:rsidRPr="0311DE0C">
        <w:rPr>
          <w:rFonts w:cs="Arial"/>
          <w:sz w:val="18"/>
          <w:szCs w:val="18"/>
        </w:rPr>
        <w:t xml:space="preserve"> West </w:t>
      </w:r>
      <w:bookmarkStart w:id="2" w:name="_Int_2T6dy62u"/>
      <w:proofErr w:type="gramStart"/>
      <w:r w:rsidR="1438268F" w:rsidRPr="0311DE0C">
        <w:rPr>
          <w:rFonts w:cs="Arial"/>
          <w:sz w:val="18"/>
          <w:szCs w:val="18"/>
        </w:rPr>
        <w:t xml:space="preserve">End </w:t>
      </w:r>
      <w:r w:rsidR="00E563B6">
        <w:rPr>
          <w:rFonts w:cs="Arial"/>
          <w:sz w:val="18"/>
          <w:szCs w:val="18"/>
        </w:rPr>
        <w:t xml:space="preserve"> </w:t>
      </w:r>
      <w:r w:rsidR="1438268F" w:rsidRPr="0311DE0C">
        <w:rPr>
          <w:rFonts w:cs="Arial"/>
          <w:sz w:val="18"/>
          <w:szCs w:val="18"/>
        </w:rPr>
        <w:t>Qld</w:t>
      </w:r>
      <w:bookmarkEnd w:id="2"/>
      <w:proofErr w:type="gramEnd"/>
      <w:r w:rsidR="1438268F" w:rsidRPr="0311DE0C">
        <w:rPr>
          <w:rFonts w:cs="Arial"/>
          <w:sz w:val="18"/>
          <w:szCs w:val="18"/>
        </w:rPr>
        <w:t xml:space="preserve"> </w:t>
      </w:r>
      <w:r w:rsidR="0080611B">
        <w:rPr>
          <w:rFonts w:cs="Arial"/>
          <w:sz w:val="18"/>
          <w:szCs w:val="18"/>
        </w:rPr>
        <w:t xml:space="preserve"> </w:t>
      </w:r>
      <w:r w:rsidR="1438268F" w:rsidRPr="0311DE0C">
        <w:rPr>
          <w:rFonts w:cs="Arial"/>
          <w:sz w:val="18"/>
          <w:szCs w:val="18"/>
        </w:rPr>
        <w:t>4101</w:t>
      </w:r>
    </w:p>
    <w:p w14:paraId="5CFC60CE" w14:textId="4871C9F6" w:rsidR="00710A7D" w:rsidRDefault="00710A7D" w:rsidP="00710A7D">
      <w:pPr>
        <w:rPr>
          <w:rFonts w:cs="Arial"/>
          <w:sz w:val="18"/>
          <w:szCs w:val="18"/>
        </w:rPr>
      </w:pPr>
      <w:r>
        <w:rPr>
          <w:rFonts w:cs="Arial"/>
          <w:sz w:val="18"/>
          <w:szCs w:val="18"/>
        </w:rPr>
        <w:t xml:space="preserve">Gold Coast Office: </w:t>
      </w:r>
      <w:r w:rsidRPr="00A15430">
        <w:rPr>
          <w:rFonts w:cs="Arial"/>
          <w:sz w:val="18"/>
          <w:szCs w:val="18"/>
        </w:rPr>
        <w:t>Robina Super Centre Suite 26, 86 Robina Town Centre Dr</w:t>
      </w:r>
      <w:r w:rsidR="00AB7981">
        <w:rPr>
          <w:rFonts w:cs="Arial"/>
          <w:sz w:val="18"/>
          <w:szCs w:val="18"/>
        </w:rPr>
        <w:t>ive</w:t>
      </w:r>
      <w:r w:rsidR="00601D06">
        <w:rPr>
          <w:rFonts w:cs="Arial"/>
          <w:sz w:val="18"/>
          <w:szCs w:val="18"/>
        </w:rPr>
        <w:t>,</w:t>
      </w:r>
      <w:r w:rsidRPr="00A15430">
        <w:rPr>
          <w:rFonts w:cs="Arial"/>
          <w:sz w:val="18"/>
          <w:szCs w:val="18"/>
        </w:rPr>
        <w:t xml:space="preserve"> </w:t>
      </w:r>
      <w:bookmarkStart w:id="3" w:name="_Int_hJiE0pAX"/>
      <w:proofErr w:type="gramStart"/>
      <w:r w:rsidRPr="00A15430">
        <w:rPr>
          <w:rFonts w:cs="Arial"/>
          <w:sz w:val="18"/>
          <w:szCs w:val="18"/>
        </w:rPr>
        <w:t xml:space="preserve">Robina </w:t>
      </w:r>
      <w:r w:rsidR="00AB7981">
        <w:rPr>
          <w:rFonts w:cs="Arial"/>
          <w:sz w:val="18"/>
          <w:szCs w:val="18"/>
        </w:rPr>
        <w:t xml:space="preserve"> </w:t>
      </w:r>
      <w:r w:rsidRPr="00A15430">
        <w:rPr>
          <w:rFonts w:cs="Arial"/>
          <w:sz w:val="18"/>
          <w:szCs w:val="18"/>
        </w:rPr>
        <w:t>Qld</w:t>
      </w:r>
      <w:bookmarkEnd w:id="3"/>
      <w:proofErr w:type="gramEnd"/>
      <w:r w:rsidRPr="00A15430">
        <w:rPr>
          <w:rFonts w:cs="Arial"/>
          <w:sz w:val="18"/>
          <w:szCs w:val="18"/>
        </w:rPr>
        <w:t xml:space="preserve"> </w:t>
      </w:r>
      <w:r w:rsidR="00AB7981">
        <w:rPr>
          <w:rFonts w:cs="Arial"/>
          <w:sz w:val="18"/>
          <w:szCs w:val="18"/>
        </w:rPr>
        <w:t xml:space="preserve"> </w:t>
      </w:r>
      <w:r w:rsidRPr="00A15430">
        <w:rPr>
          <w:rFonts w:cs="Arial"/>
          <w:sz w:val="18"/>
          <w:szCs w:val="18"/>
        </w:rPr>
        <w:t>4226</w:t>
      </w:r>
    </w:p>
    <w:p w14:paraId="2FB0E8E1" w14:textId="46DCF64C" w:rsidR="00710A7D" w:rsidRDefault="00710A7D" w:rsidP="00613607">
      <w:pPr>
        <w:rPr>
          <w:rFonts w:cs="Arial"/>
          <w:sz w:val="18"/>
          <w:szCs w:val="18"/>
        </w:rPr>
      </w:pPr>
      <w:r>
        <w:rPr>
          <w:rFonts w:cs="Arial"/>
          <w:sz w:val="18"/>
          <w:szCs w:val="18"/>
        </w:rPr>
        <w:t xml:space="preserve">Sunshine Coast Office: </w:t>
      </w:r>
      <w:r w:rsidR="00523854" w:rsidRPr="00523854">
        <w:rPr>
          <w:rFonts w:cs="Arial"/>
          <w:sz w:val="18"/>
          <w:szCs w:val="18"/>
        </w:rPr>
        <w:t>21 Carnaby Street</w:t>
      </w:r>
      <w:r w:rsidR="001D1B43">
        <w:rPr>
          <w:rFonts w:cs="Arial"/>
          <w:sz w:val="18"/>
          <w:szCs w:val="18"/>
        </w:rPr>
        <w:t>,</w:t>
      </w:r>
      <w:r w:rsidR="00523854" w:rsidRPr="00523854">
        <w:rPr>
          <w:rFonts w:cs="Arial"/>
          <w:sz w:val="18"/>
          <w:szCs w:val="18"/>
        </w:rPr>
        <w:t xml:space="preserve"> </w:t>
      </w:r>
      <w:bookmarkStart w:id="4" w:name="_Int_zOGZRLl1"/>
      <w:proofErr w:type="gramStart"/>
      <w:r w:rsidR="00523854" w:rsidRPr="00523854">
        <w:rPr>
          <w:rFonts w:cs="Arial"/>
          <w:sz w:val="18"/>
          <w:szCs w:val="18"/>
        </w:rPr>
        <w:t xml:space="preserve">Maroochydore </w:t>
      </w:r>
      <w:r w:rsidR="00AB7981">
        <w:rPr>
          <w:rFonts w:cs="Arial"/>
          <w:sz w:val="18"/>
          <w:szCs w:val="18"/>
        </w:rPr>
        <w:t xml:space="preserve"> </w:t>
      </w:r>
      <w:r w:rsidR="00523854" w:rsidRPr="00523854">
        <w:rPr>
          <w:rFonts w:cs="Arial"/>
          <w:sz w:val="18"/>
          <w:szCs w:val="18"/>
        </w:rPr>
        <w:t>Q</w:t>
      </w:r>
      <w:r w:rsidR="00DF7674">
        <w:rPr>
          <w:rFonts w:cs="Arial"/>
          <w:sz w:val="18"/>
          <w:szCs w:val="18"/>
        </w:rPr>
        <w:t>ld</w:t>
      </w:r>
      <w:bookmarkEnd w:id="4"/>
      <w:proofErr w:type="gramEnd"/>
      <w:r w:rsidR="00523854" w:rsidRPr="00523854">
        <w:rPr>
          <w:rFonts w:cs="Arial"/>
          <w:sz w:val="18"/>
          <w:szCs w:val="18"/>
        </w:rPr>
        <w:t xml:space="preserve">  4558</w:t>
      </w:r>
    </w:p>
    <w:p w14:paraId="20D46EEC" w14:textId="681322A1" w:rsidR="002C1103" w:rsidRDefault="438F138A" w:rsidP="002C1103">
      <w:pPr>
        <w:rPr>
          <w:rFonts w:cs="Arial"/>
          <w:sz w:val="18"/>
          <w:szCs w:val="18"/>
        </w:rPr>
      </w:pPr>
      <w:r w:rsidRPr="0311DE0C">
        <w:rPr>
          <w:rFonts w:cs="Arial"/>
          <w:sz w:val="18"/>
          <w:szCs w:val="18"/>
        </w:rPr>
        <w:t>Cairns Office: 104</w:t>
      </w:r>
      <w:r w:rsidR="00C56204">
        <w:rPr>
          <w:rFonts w:cs="Arial"/>
          <w:sz w:val="18"/>
          <w:szCs w:val="18"/>
        </w:rPr>
        <w:t>–</w:t>
      </w:r>
      <w:r w:rsidRPr="0311DE0C">
        <w:rPr>
          <w:rFonts w:cs="Arial"/>
          <w:sz w:val="18"/>
          <w:szCs w:val="18"/>
        </w:rPr>
        <w:t>106 Mulgrave Road</w:t>
      </w:r>
      <w:r w:rsidR="00CA6E13">
        <w:rPr>
          <w:rFonts w:cs="Arial"/>
          <w:sz w:val="18"/>
          <w:szCs w:val="18"/>
        </w:rPr>
        <w:t>,</w:t>
      </w:r>
      <w:r w:rsidRPr="0311DE0C">
        <w:rPr>
          <w:rFonts w:cs="Arial"/>
          <w:sz w:val="18"/>
          <w:szCs w:val="18"/>
        </w:rPr>
        <w:t xml:space="preserve"> Parramatta </w:t>
      </w:r>
      <w:bookmarkStart w:id="5" w:name="_Int_7R2ugzyz"/>
      <w:proofErr w:type="gramStart"/>
      <w:r w:rsidRPr="0311DE0C">
        <w:rPr>
          <w:rFonts w:cs="Arial"/>
          <w:sz w:val="18"/>
          <w:szCs w:val="18"/>
        </w:rPr>
        <w:t xml:space="preserve">Park </w:t>
      </w:r>
      <w:r w:rsidR="00AB7981">
        <w:rPr>
          <w:rFonts w:cs="Arial"/>
          <w:sz w:val="18"/>
          <w:szCs w:val="18"/>
        </w:rPr>
        <w:t xml:space="preserve"> </w:t>
      </w:r>
      <w:r w:rsidRPr="0311DE0C">
        <w:rPr>
          <w:rFonts w:cs="Arial"/>
          <w:sz w:val="18"/>
          <w:szCs w:val="18"/>
        </w:rPr>
        <w:t>Qld</w:t>
      </w:r>
      <w:bookmarkEnd w:id="5"/>
      <w:proofErr w:type="gramEnd"/>
      <w:r w:rsidRPr="0311DE0C">
        <w:rPr>
          <w:rFonts w:cs="Arial"/>
          <w:sz w:val="18"/>
          <w:szCs w:val="18"/>
        </w:rPr>
        <w:t xml:space="preserve"> </w:t>
      </w:r>
      <w:r w:rsidR="008A386E">
        <w:rPr>
          <w:rFonts w:cs="Arial"/>
          <w:sz w:val="18"/>
          <w:szCs w:val="18"/>
        </w:rPr>
        <w:t xml:space="preserve"> </w:t>
      </w:r>
      <w:r w:rsidRPr="0311DE0C">
        <w:rPr>
          <w:rFonts w:cs="Arial"/>
          <w:sz w:val="18"/>
          <w:szCs w:val="18"/>
        </w:rPr>
        <w:t>4870</w:t>
      </w:r>
    </w:p>
    <w:p w14:paraId="6B1909AF" w14:textId="4EE80F54" w:rsidR="00710A7D" w:rsidRDefault="00710A7D" w:rsidP="00710A7D">
      <w:pPr>
        <w:rPr>
          <w:rFonts w:cs="Arial"/>
          <w:sz w:val="18"/>
          <w:szCs w:val="18"/>
        </w:rPr>
      </w:pPr>
      <w:r w:rsidRPr="0040677B">
        <w:rPr>
          <w:rFonts w:cs="Arial"/>
          <w:sz w:val="18"/>
          <w:szCs w:val="18"/>
        </w:rPr>
        <w:t>Toowoomba</w:t>
      </w:r>
      <w:r>
        <w:rPr>
          <w:rFonts w:cs="Arial"/>
          <w:sz w:val="18"/>
          <w:szCs w:val="18"/>
        </w:rPr>
        <w:t xml:space="preserve"> Office: </w:t>
      </w:r>
      <w:r w:rsidRPr="00AE05BA">
        <w:rPr>
          <w:rFonts w:cs="Arial"/>
          <w:sz w:val="18"/>
          <w:szCs w:val="18"/>
        </w:rPr>
        <w:t>200 Hume Street</w:t>
      </w:r>
      <w:r w:rsidR="00CA6E13">
        <w:rPr>
          <w:rFonts w:cs="Arial"/>
          <w:sz w:val="18"/>
          <w:szCs w:val="18"/>
        </w:rPr>
        <w:t>,</w:t>
      </w:r>
      <w:r w:rsidRPr="00AE05BA">
        <w:rPr>
          <w:rFonts w:cs="Arial"/>
          <w:sz w:val="18"/>
          <w:szCs w:val="18"/>
        </w:rPr>
        <w:t xml:space="preserve"> </w:t>
      </w:r>
      <w:bookmarkStart w:id="6" w:name="_Int_WfZTPVN2"/>
      <w:proofErr w:type="gramStart"/>
      <w:r w:rsidRPr="00AE05BA">
        <w:rPr>
          <w:rFonts w:cs="Arial"/>
          <w:sz w:val="18"/>
          <w:szCs w:val="18"/>
        </w:rPr>
        <w:t xml:space="preserve">Toowoomba </w:t>
      </w:r>
      <w:r w:rsidR="008A386E">
        <w:rPr>
          <w:rFonts w:cs="Arial"/>
          <w:sz w:val="18"/>
          <w:szCs w:val="18"/>
        </w:rPr>
        <w:t xml:space="preserve"> </w:t>
      </w:r>
      <w:r w:rsidRPr="00AE05BA">
        <w:rPr>
          <w:rFonts w:cs="Arial"/>
          <w:sz w:val="18"/>
          <w:szCs w:val="18"/>
        </w:rPr>
        <w:t>Qld</w:t>
      </w:r>
      <w:bookmarkEnd w:id="6"/>
      <w:proofErr w:type="gramEnd"/>
      <w:r w:rsidRPr="00AE05BA">
        <w:rPr>
          <w:rFonts w:cs="Arial"/>
          <w:sz w:val="18"/>
          <w:szCs w:val="18"/>
        </w:rPr>
        <w:t xml:space="preserve">  4350</w:t>
      </w:r>
    </w:p>
    <w:p w14:paraId="1CEB7A48" w14:textId="08639D43" w:rsidR="00710A7D" w:rsidRDefault="00710A7D" w:rsidP="00710A7D">
      <w:pPr>
        <w:rPr>
          <w:rFonts w:cs="Arial"/>
          <w:sz w:val="18"/>
          <w:szCs w:val="18"/>
        </w:rPr>
      </w:pPr>
      <w:r w:rsidRPr="007A59F0">
        <w:rPr>
          <w:rFonts w:cs="Arial"/>
          <w:sz w:val="18"/>
          <w:szCs w:val="18"/>
        </w:rPr>
        <w:t>Maryborough</w:t>
      </w:r>
      <w:r>
        <w:rPr>
          <w:rFonts w:cs="Arial"/>
          <w:sz w:val="18"/>
          <w:szCs w:val="18"/>
        </w:rPr>
        <w:t xml:space="preserve"> Office: </w:t>
      </w:r>
      <w:r w:rsidRPr="0040677B">
        <w:rPr>
          <w:rFonts w:cs="Arial"/>
          <w:sz w:val="18"/>
          <w:szCs w:val="18"/>
        </w:rPr>
        <w:t>302 Alice Street</w:t>
      </w:r>
      <w:r w:rsidR="00B22DA9">
        <w:rPr>
          <w:rFonts w:cs="Arial"/>
          <w:sz w:val="18"/>
          <w:szCs w:val="18"/>
        </w:rPr>
        <w:t>,</w:t>
      </w:r>
      <w:r w:rsidRPr="0040677B">
        <w:rPr>
          <w:rFonts w:cs="Arial"/>
          <w:sz w:val="18"/>
          <w:szCs w:val="18"/>
        </w:rPr>
        <w:t xml:space="preserve"> </w:t>
      </w:r>
      <w:bookmarkStart w:id="7" w:name="_Int_5gvjHlrc"/>
      <w:proofErr w:type="gramStart"/>
      <w:r w:rsidRPr="0040677B">
        <w:rPr>
          <w:rFonts w:cs="Arial"/>
          <w:sz w:val="18"/>
          <w:szCs w:val="18"/>
        </w:rPr>
        <w:t xml:space="preserve">Maryborough </w:t>
      </w:r>
      <w:r w:rsidR="008A386E">
        <w:rPr>
          <w:rFonts w:cs="Arial"/>
          <w:sz w:val="18"/>
          <w:szCs w:val="18"/>
        </w:rPr>
        <w:t xml:space="preserve"> </w:t>
      </w:r>
      <w:r w:rsidRPr="0040677B">
        <w:rPr>
          <w:rFonts w:cs="Arial"/>
          <w:sz w:val="18"/>
          <w:szCs w:val="18"/>
        </w:rPr>
        <w:t>Qld</w:t>
      </w:r>
      <w:bookmarkEnd w:id="7"/>
      <w:proofErr w:type="gramEnd"/>
      <w:r w:rsidRPr="0040677B">
        <w:rPr>
          <w:rFonts w:cs="Arial"/>
          <w:sz w:val="18"/>
          <w:szCs w:val="18"/>
        </w:rPr>
        <w:t xml:space="preserve">  4650</w:t>
      </w:r>
      <w:r>
        <w:rPr>
          <w:rFonts w:cs="Arial"/>
          <w:sz w:val="18"/>
          <w:szCs w:val="18"/>
        </w:rPr>
        <w:t xml:space="preserve"> </w:t>
      </w:r>
    </w:p>
    <w:p w14:paraId="27D59944" w14:textId="395247CD" w:rsidR="0081316A" w:rsidRDefault="0081316A" w:rsidP="0081316A">
      <w:pPr>
        <w:rPr>
          <w:rFonts w:cs="Arial"/>
          <w:sz w:val="18"/>
          <w:szCs w:val="18"/>
        </w:rPr>
      </w:pPr>
      <w:r w:rsidRPr="009021FF">
        <w:rPr>
          <w:rFonts w:cs="Arial"/>
          <w:sz w:val="18"/>
          <w:szCs w:val="18"/>
        </w:rPr>
        <w:t>Townsville</w:t>
      </w:r>
      <w:r>
        <w:rPr>
          <w:rFonts w:cs="Arial"/>
          <w:sz w:val="18"/>
          <w:szCs w:val="18"/>
        </w:rPr>
        <w:t xml:space="preserve"> Office: </w:t>
      </w:r>
      <w:r w:rsidRPr="00B43C12">
        <w:rPr>
          <w:rFonts w:cs="Arial"/>
          <w:sz w:val="18"/>
          <w:szCs w:val="18"/>
        </w:rPr>
        <w:t>Unit 2, 22 Hervey Range Road</w:t>
      </w:r>
      <w:r w:rsidR="00E51E54">
        <w:rPr>
          <w:rFonts w:cs="Arial"/>
          <w:sz w:val="18"/>
          <w:szCs w:val="18"/>
        </w:rPr>
        <w:t>,</w:t>
      </w:r>
      <w:r w:rsidRPr="00B43C12">
        <w:rPr>
          <w:rFonts w:cs="Arial"/>
          <w:sz w:val="18"/>
          <w:szCs w:val="18"/>
        </w:rPr>
        <w:t xml:space="preserve"> Thuringowa </w:t>
      </w:r>
      <w:bookmarkStart w:id="8" w:name="_Int_sylO4qy8"/>
      <w:proofErr w:type="gramStart"/>
      <w:r w:rsidRPr="00B43C12">
        <w:rPr>
          <w:rFonts w:cs="Arial"/>
          <w:sz w:val="18"/>
          <w:szCs w:val="18"/>
        </w:rPr>
        <w:t xml:space="preserve">Central </w:t>
      </w:r>
      <w:r w:rsidR="002C72E7">
        <w:rPr>
          <w:rFonts w:cs="Arial"/>
          <w:sz w:val="18"/>
          <w:szCs w:val="18"/>
        </w:rPr>
        <w:t xml:space="preserve"> </w:t>
      </w:r>
      <w:r w:rsidRPr="00B43C12">
        <w:rPr>
          <w:rFonts w:cs="Arial"/>
          <w:sz w:val="18"/>
          <w:szCs w:val="18"/>
        </w:rPr>
        <w:t>Qld</w:t>
      </w:r>
      <w:bookmarkEnd w:id="8"/>
      <w:proofErr w:type="gramEnd"/>
      <w:r w:rsidR="002C72E7">
        <w:rPr>
          <w:rFonts w:cs="Arial"/>
          <w:sz w:val="18"/>
          <w:szCs w:val="18"/>
        </w:rPr>
        <w:t xml:space="preserve"> </w:t>
      </w:r>
      <w:r w:rsidRPr="00B43C12">
        <w:rPr>
          <w:rFonts w:cs="Arial"/>
          <w:sz w:val="18"/>
          <w:szCs w:val="18"/>
        </w:rPr>
        <w:t xml:space="preserve"> 4817</w:t>
      </w:r>
    </w:p>
    <w:p w14:paraId="535FC2DD" w14:textId="4019A55D" w:rsidR="00710A7D" w:rsidRDefault="0081316A" w:rsidP="002C1103">
      <w:pPr>
        <w:rPr>
          <w:rFonts w:cs="Arial"/>
          <w:sz w:val="18"/>
          <w:szCs w:val="18"/>
        </w:rPr>
      </w:pPr>
      <w:r w:rsidRPr="00B43C12">
        <w:rPr>
          <w:rFonts w:cs="Arial"/>
          <w:sz w:val="18"/>
          <w:szCs w:val="18"/>
        </w:rPr>
        <w:t>Rockhampton</w:t>
      </w:r>
      <w:r>
        <w:rPr>
          <w:rFonts w:cs="Arial"/>
          <w:sz w:val="18"/>
          <w:szCs w:val="18"/>
        </w:rPr>
        <w:t xml:space="preserve"> Office: </w:t>
      </w:r>
      <w:r w:rsidRPr="007A59F0">
        <w:rPr>
          <w:rFonts w:cs="Arial"/>
          <w:sz w:val="18"/>
          <w:szCs w:val="18"/>
        </w:rPr>
        <w:t>194 Alma Street</w:t>
      </w:r>
      <w:r w:rsidR="00D54885">
        <w:rPr>
          <w:rFonts w:cs="Arial"/>
          <w:sz w:val="18"/>
          <w:szCs w:val="18"/>
        </w:rPr>
        <w:t>,</w:t>
      </w:r>
      <w:r w:rsidRPr="007A59F0">
        <w:rPr>
          <w:rFonts w:cs="Arial"/>
          <w:sz w:val="18"/>
          <w:szCs w:val="18"/>
        </w:rPr>
        <w:t xml:space="preserve"> </w:t>
      </w:r>
      <w:bookmarkStart w:id="9" w:name="_Int_HcTmHy50"/>
      <w:proofErr w:type="gramStart"/>
      <w:r w:rsidRPr="007A59F0">
        <w:rPr>
          <w:rFonts w:cs="Arial"/>
          <w:sz w:val="18"/>
          <w:szCs w:val="18"/>
        </w:rPr>
        <w:t xml:space="preserve">Rockhampton </w:t>
      </w:r>
      <w:r w:rsidR="007B2877">
        <w:rPr>
          <w:rFonts w:cs="Arial"/>
          <w:sz w:val="18"/>
          <w:szCs w:val="18"/>
        </w:rPr>
        <w:t xml:space="preserve"> </w:t>
      </w:r>
      <w:r w:rsidRPr="007A59F0">
        <w:rPr>
          <w:rFonts w:cs="Arial"/>
          <w:sz w:val="18"/>
          <w:szCs w:val="18"/>
        </w:rPr>
        <w:t>Qld</w:t>
      </w:r>
      <w:bookmarkEnd w:id="9"/>
      <w:proofErr w:type="gramEnd"/>
      <w:r w:rsidRPr="007A59F0">
        <w:rPr>
          <w:rFonts w:cs="Arial"/>
          <w:sz w:val="18"/>
          <w:szCs w:val="18"/>
        </w:rPr>
        <w:t xml:space="preserve">  4700</w:t>
      </w:r>
    </w:p>
    <w:p w14:paraId="69F8B356" w14:textId="27B1B821" w:rsidR="002C1103" w:rsidRDefault="438F138A" w:rsidP="002C1103">
      <w:pPr>
        <w:rPr>
          <w:rFonts w:cs="Arial"/>
          <w:sz w:val="18"/>
          <w:szCs w:val="18"/>
        </w:rPr>
      </w:pPr>
      <w:r w:rsidRPr="0311DE0C">
        <w:rPr>
          <w:rFonts w:cs="Arial"/>
          <w:sz w:val="18"/>
          <w:szCs w:val="18"/>
        </w:rPr>
        <w:t>Mackay Office: Tenancy 2, 42 East Gordon Street</w:t>
      </w:r>
      <w:r w:rsidR="00D54885">
        <w:rPr>
          <w:rFonts w:cs="Arial"/>
          <w:sz w:val="18"/>
          <w:szCs w:val="18"/>
        </w:rPr>
        <w:t>,</w:t>
      </w:r>
      <w:r w:rsidRPr="0311DE0C">
        <w:rPr>
          <w:rFonts w:cs="Arial"/>
          <w:sz w:val="18"/>
          <w:szCs w:val="18"/>
        </w:rPr>
        <w:t xml:space="preserve"> </w:t>
      </w:r>
      <w:bookmarkStart w:id="10" w:name="_Int_Ioim6dMv"/>
      <w:proofErr w:type="gramStart"/>
      <w:r w:rsidRPr="0311DE0C">
        <w:rPr>
          <w:rFonts w:cs="Arial"/>
          <w:sz w:val="18"/>
          <w:szCs w:val="18"/>
        </w:rPr>
        <w:t xml:space="preserve">Mackay </w:t>
      </w:r>
      <w:r w:rsidR="007B2877">
        <w:rPr>
          <w:rFonts w:cs="Arial"/>
          <w:sz w:val="18"/>
          <w:szCs w:val="18"/>
        </w:rPr>
        <w:t xml:space="preserve"> </w:t>
      </w:r>
      <w:r w:rsidRPr="0311DE0C">
        <w:rPr>
          <w:rFonts w:cs="Arial"/>
          <w:sz w:val="18"/>
          <w:szCs w:val="18"/>
        </w:rPr>
        <w:t>Qld</w:t>
      </w:r>
      <w:bookmarkEnd w:id="10"/>
      <w:proofErr w:type="gramEnd"/>
      <w:r w:rsidRPr="0311DE0C">
        <w:rPr>
          <w:rFonts w:cs="Arial"/>
          <w:sz w:val="18"/>
          <w:szCs w:val="18"/>
        </w:rPr>
        <w:t xml:space="preserve">  4740</w:t>
      </w:r>
    </w:p>
    <w:p w14:paraId="31404D27" w14:textId="67275C5A" w:rsidR="00613607" w:rsidRPr="004A2C19" w:rsidRDefault="00613607" w:rsidP="0311DE0C">
      <w:pPr>
        <w:rPr>
          <w:rFonts w:cs="Arial"/>
          <w:sz w:val="18"/>
          <w:szCs w:val="18"/>
        </w:rPr>
      </w:pPr>
    </w:p>
    <w:p w14:paraId="0ADC9CA0" w14:textId="03D6B780" w:rsidR="00613607" w:rsidRPr="004A2C19" w:rsidRDefault="1438268F" w:rsidP="00613607">
      <w:pPr>
        <w:rPr>
          <w:rFonts w:cs="Arial"/>
          <w:sz w:val="18"/>
          <w:szCs w:val="18"/>
        </w:rPr>
      </w:pPr>
      <w:r w:rsidRPr="0311DE0C">
        <w:rPr>
          <w:rFonts w:cs="Arial"/>
          <w:sz w:val="18"/>
          <w:szCs w:val="18"/>
        </w:rPr>
        <w:t>T</w:t>
      </w:r>
      <w:r w:rsidR="3127A7EF" w:rsidRPr="0311DE0C">
        <w:rPr>
          <w:rFonts w:cs="Arial"/>
          <w:sz w:val="18"/>
          <w:szCs w:val="18"/>
        </w:rPr>
        <w:t>elephone</w:t>
      </w:r>
      <w:r w:rsidRPr="0311DE0C">
        <w:rPr>
          <w:rFonts w:cs="Arial"/>
          <w:sz w:val="18"/>
          <w:szCs w:val="18"/>
        </w:rPr>
        <w:t xml:space="preserve">: 139 333 </w:t>
      </w:r>
    </w:p>
    <w:p w14:paraId="4C71563B" w14:textId="2A70E0D4" w:rsidR="00613607" w:rsidRPr="004A2C19" w:rsidRDefault="1438268F" w:rsidP="00613607">
      <w:pPr>
        <w:rPr>
          <w:rFonts w:cs="Arial"/>
          <w:sz w:val="18"/>
          <w:szCs w:val="18"/>
        </w:rPr>
      </w:pPr>
      <w:r w:rsidRPr="0311DE0C">
        <w:rPr>
          <w:rFonts w:cs="Arial"/>
          <w:sz w:val="18"/>
          <w:szCs w:val="18"/>
        </w:rPr>
        <w:t>E</w:t>
      </w:r>
      <w:r w:rsidR="3127A7EF" w:rsidRPr="0311DE0C">
        <w:rPr>
          <w:rFonts w:cs="Arial"/>
          <w:sz w:val="18"/>
          <w:szCs w:val="18"/>
        </w:rPr>
        <w:t>mail</w:t>
      </w:r>
      <w:r w:rsidRPr="0311DE0C">
        <w:rPr>
          <w:rFonts w:cs="Arial"/>
          <w:sz w:val="18"/>
          <w:szCs w:val="18"/>
        </w:rPr>
        <w:t xml:space="preserve">: </w:t>
      </w:r>
      <w:r w:rsidR="003E6ABA" w:rsidRPr="00C931AE">
        <w:rPr>
          <w:sz w:val="18"/>
          <w:szCs w:val="18"/>
        </w:rPr>
        <w:t>info@qbcc.qld.gov.au</w:t>
      </w:r>
      <w:r w:rsidRPr="0311DE0C">
        <w:rPr>
          <w:rFonts w:cs="Arial"/>
          <w:sz w:val="18"/>
          <w:szCs w:val="18"/>
        </w:rPr>
        <w:t xml:space="preserve"> </w:t>
      </w:r>
    </w:p>
    <w:p w14:paraId="037FFBB6" w14:textId="476DF94F" w:rsidR="00613607" w:rsidRPr="004A2C19" w:rsidRDefault="6F4A2B63" w:rsidP="0311DE0C">
      <w:pPr>
        <w:rPr>
          <w:rFonts w:cs="Arial"/>
          <w:sz w:val="18"/>
          <w:szCs w:val="18"/>
        </w:rPr>
      </w:pPr>
      <w:r w:rsidRPr="0311DE0C">
        <w:rPr>
          <w:rFonts w:cs="Arial"/>
          <w:sz w:val="18"/>
          <w:szCs w:val="18"/>
        </w:rPr>
        <w:t>W</w:t>
      </w:r>
      <w:r w:rsidR="1438268F" w:rsidRPr="0311DE0C">
        <w:rPr>
          <w:rFonts w:cs="Arial"/>
          <w:sz w:val="18"/>
          <w:szCs w:val="18"/>
        </w:rPr>
        <w:t>ebsite</w:t>
      </w:r>
      <w:r w:rsidRPr="0311DE0C">
        <w:rPr>
          <w:rFonts w:cs="Arial"/>
          <w:sz w:val="18"/>
          <w:szCs w:val="18"/>
        </w:rPr>
        <w:t>:</w:t>
      </w:r>
      <w:r w:rsidR="1438268F" w:rsidRPr="0311DE0C">
        <w:rPr>
          <w:rFonts w:cs="Arial"/>
          <w:sz w:val="18"/>
          <w:szCs w:val="18"/>
        </w:rPr>
        <w:t xml:space="preserve"> </w:t>
      </w:r>
      <w:r w:rsidR="003E6ABA" w:rsidRPr="00C931AE">
        <w:rPr>
          <w:sz w:val="18"/>
          <w:szCs w:val="18"/>
        </w:rPr>
        <w:t>www.qbcc.qld.gov.au</w:t>
      </w:r>
      <w:r w:rsidR="1438268F" w:rsidRPr="0311DE0C">
        <w:rPr>
          <w:rFonts w:cs="Arial"/>
          <w:sz w:val="18"/>
          <w:szCs w:val="18"/>
        </w:rPr>
        <w:t xml:space="preserve"> </w:t>
      </w:r>
    </w:p>
    <w:p w14:paraId="40A59005" w14:textId="77777777" w:rsidR="00E37FA9" w:rsidRDefault="00E37FA9" w:rsidP="00385C9E"/>
    <w:p w14:paraId="7D42252A" w14:textId="502BF011" w:rsidR="00835D0D" w:rsidRPr="00835D0D" w:rsidRDefault="00835D0D" w:rsidP="2FCA7408">
      <w:pPr>
        <w:autoSpaceDE w:val="0"/>
        <w:autoSpaceDN w:val="0"/>
        <w:adjustRightInd w:val="0"/>
        <w:rPr>
          <w:rFonts w:cs="Arial"/>
          <w:b/>
          <w:bCs/>
        </w:rPr>
      </w:pPr>
      <w:r w:rsidRPr="2FCA7408">
        <w:rPr>
          <w:rFonts w:cs="Arial"/>
          <w:b/>
          <w:bCs/>
          <w:sz w:val="18"/>
          <w:szCs w:val="18"/>
        </w:rPr>
        <w:t>Open</w:t>
      </w:r>
      <w:r w:rsidRPr="2FCA7408">
        <w:rPr>
          <w:rFonts w:cs="Arial"/>
        </w:rPr>
        <w:t xml:space="preserve"> </w:t>
      </w:r>
      <w:r w:rsidRPr="2FCA7408">
        <w:rPr>
          <w:rFonts w:cs="Arial"/>
          <w:b/>
          <w:bCs/>
          <w:sz w:val="18"/>
          <w:szCs w:val="18"/>
        </w:rPr>
        <w:t>data</w:t>
      </w:r>
      <w:r w:rsidRPr="2FCA7408">
        <w:rPr>
          <w:rFonts w:cs="Arial"/>
        </w:rPr>
        <w:t xml:space="preserve"> </w:t>
      </w:r>
    </w:p>
    <w:p w14:paraId="7363905D" w14:textId="7BAC1554" w:rsidR="0026778D" w:rsidRDefault="5B62AE86" w:rsidP="00835D0D">
      <w:pPr>
        <w:rPr>
          <w:rFonts w:cs="Arial"/>
          <w:sz w:val="18"/>
          <w:szCs w:val="18"/>
        </w:rPr>
      </w:pPr>
      <w:r>
        <w:rPr>
          <w:rFonts w:cs="Arial"/>
          <w:sz w:val="18"/>
          <w:szCs w:val="18"/>
        </w:rPr>
        <w:t xml:space="preserve">In accordance </w:t>
      </w:r>
      <w:r w:rsidR="71A6E19B" w:rsidRPr="0311DE0C">
        <w:rPr>
          <w:rFonts w:cs="Arial"/>
          <w:sz w:val="18"/>
          <w:szCs w:val="18"/>
        </w:rPr>
        <w:t>with</w:t>
      </w:r>
      <w:r w:rsidR="71A6E19B">
        <w:rPr>
          <w:rFonts w:cs="Arial"/>
          <w:sz w:val="18"/>
          <w:szCs w:val="18"/>
        </w:rPr>
        <w:t xml:space="preserve"> Queensland Government </w:t>
      </w:r>
      <w:r w:rsidR="3A3EA87F">
        <w:rPr>
          <w:rFonts w:cs="Arial"/>
          <w:sz w:val="18"/>
          <w:szCs w:val="18"/>
        </w:rPr>
        <w:t>requirements,</w:t>
      </w:r>
      <w:r w:rsidR="50B4A111">
        <w:rPr>
          <w:rFonts w:cs="Arial"/>
          <w:sz w:val="18"/>
          <w:szCs w:val="18"/>
        </w:rPr>
        <w:t xml:space="preserve"> t</w:t>
      </w:r>
      <w:r w:rsidR="3D9F89D1" w:rsidRPr="00835D0D">
        <w:rPr>
          <w:rFonts w:cs="Arial"/>
          <w:sz w:val="18"/>
          <w:szCs w:val="18"/>
        </w:rPr>
        <w:t>he QBCC publish</w:t>
      </w:r>
      <w:r w:rsidR="213AA5F8">
        <w:rPr>
          <w:rFonts w:cs="Arial"/>
          <w:sz w:val="18"/>
          <w:szCs w:val="18"/>
        </w:rPr>
        <w:t xml:space="preserve">es specific </w:t>
      </w:r>
      <w:r w:rsidR="3D9F89D1" w:rsidRPr="00835D0D">
        <w:rPr>
          <w:rFonts w:cs="Arial"/>
          <w:sz w:val="18"/>
          <w:szCs w:val="18"/>
        </w:rPr>
        <w:t xml:space="preserve">annual report content through the Open Data </w:t>
      </w:r>
      <w:r w:rsidR="00F11439">
        <w:rPr>
          <w:rFonts w:cs="Arial"/>
          <w:sz w:val="18"/>
          <w:szCs w:val="18"/>
        </w:rPr>
        <w:t>P</w:t>
      </w:r>
      <w:r w:rsidR="3D9F89D1" w:rsidRPr="00835D0D">
        <w:rPr>
          <w:rFonts w:cs="Arial"/>
          <w:sz w:val="18"/>
          <w:szCs w:val="18"/>
        </w:rPr>
        <w:t xml:space="preserve">ortal at </w:t>
      </w:r>
      <w:r w:rsidR="003E6ABA" w:rsidRPr="00C931AE">
        <w:rPr>
          <w:sz w:val="18"/>
          <w:szCs w:val="18"/>
        </w:rPr>
        <w:t>www.data.qld.gov.au</w:t>
      </w:r>
      <w:r w:rsidR="3D9F89D1" w:rsidRPr="00C931AE">
        <w:rPr>
          <w:rFonts w:cs="Arial"/>
          <w:sz w:val="18"/>
          <w:szCs w:val="18"/>
        </w:rPr>
        <w:t>.</w:t>
      </w:r>
      <w:r w:rsidR="3D9F89D1" w:rsidRPr="00835D0D">
        <w:rPr>
          <w:rFonts w:cs="Arial"/>
          <w:sz w:val="18"/>
          <w:szCs w:val="18"/>
        </w:rPr>
        <w:t xml:space="preserve"> </w:t>
      </w:r>
    </w:p>
    <w:p w14:paraId="45C8094F" w14:textId="77777777" w:rsidR="000C085D" w:rsidRDefault="000C085D" w:rsidP="00835D0D">
      <w:pPr>
        <w:rPr>
          <w:rFonts w:cs="Arial"/>
          <w:sz w:val="18"/>
          <w:szCs w:val="18"/>
        </w:rPr>
      </w:pPr>
    </w:p>
    <w:p w14:paraId="16189CE9" w14:textId="1F20BB8E" w:rsidR="00835D0D" w:rsidRPr="00835D0D" w:rsidRDefault="3D9F89D1" w:rsidP="00835D0D">
      <w:pPr>
        <w:rPr>
          <w:rFonts w:cs="Arial"/>
          <w:sz w:val="18"/>
          <w:szCs w:val="18"/>
        </w:rPr>
      </w:pPr>
      <w:r w:rsidRPr="00835D0D">
        <w:rPr>
          <w:rFonts w:cs="Arial"/>
          <w:sz w:val="18"/>
          <w:szCs w:val="18"/>
        </w:rPr>
        <w:t xml:space="preserve">The published </w:t>
      </w:r>
      <w:r w:rsidR="3705F744">
        <w:rPr>
          <w:rFonts w:cs="Arial"/>
          <w:sz w:val="18"/>
          <w:szCs w:val="18"/>
        </w:rPr>
        <w:t xml:space="preserve">information </w:t>
      </w:r>
      <w:r w:rsidR="71E9B56F">
        <w:rPr>
          <w:rFonts w:cs="Arial"/>
          <w:sz w:val="18"/>
          <w:szCs w:val="18"/>
        </w:rPr>
        <w:t>covers the following areas</w:t>
      </w:r>
      <w:r w:rsidRPr="00835D0D">
        <w:rPr>
          <w:rFonts w:cs="Arial"/>
          <w:sz w:val="18"/>
          <w:szCs w:val="18"/>
        </w:rPr>
        <w:t>:</w:t>
      </w:r>
    </w:p>
    <w:p w14:paraId="34ECE10A" w14:textId="78F29F10" w:rsidR="009950E4" w:rsidRPr="00835D0D" w:rsidRDefault="6F6CC7D3" w:rsidP="00BD69F7">
      <w:pPr>
        <w:pStyle w:val="ListParagraph"/>
        <w:numPr>
          <w:ilvl w:val="0"/>
          <w:numId w:val="3"/>
        </w:numPr>
        <w:rPr>
          <w:rFonts w:cs="Arial"/>
          <w:sz w:val="18"/>
          <w:szCs w:val="18"/>
        </w:rPr>
      </w:pPr>
      <w:r w:rsidRPr="0311DE0C">
        <w:rPr>
          <w:rFonts w:cs="Arial"/>
          <w:sz w:val="18"/>
          <w:szCs w:val="18"/>
        </w:rPr>
        <w:t xml:space="preserve">Use of </w:t>
      </w:r>
      <w:r w:rsidR="76993312" w:rsidRPr="0311DE0C">
        <w:rPr>
          <w:rFonts w:cs="Arial"/>
          <w:sz w:val="18"/>
          <w:szCs w:val="18"/>
        </w:rPr>
        <w:t>consultancy service</w:t>
      </w:r>
      <w:r w:rsidRPr="0311DE0C">
        <w:rPr>
          <w:rFonts w:cs="Arial"/>
          <w:sz w:val="18"/>
          <w:szCs w:val="18"/>
        </w:rPr>
        <w:t>s</w:t>
      </w:r>
      <w:r w:rsidR="006B6F60">
        <w:rPr>
          <w:rFonts w:cs="Arial"/>
          <w:sz w:val="18"/>
          <w:szCs w:val="18"/>
        </w:rPr>
        <w:t>.</w:t>
      </w:r>
    </w:p>
    <w:p w14:paraId="7E821D5D" w14:textId="3D0F7608" w:rsidR="009950E4" w:rsidRPr="00835D0D" w:rsidRDefault="02210486" w:rsidP="00BD69F7">
      <w:pPr>
        <w:pStyle w:val="ListParagraph"/>
        <w:numPr>
          <w:ilvl w:val="0"/>
          <w:numId w:val="3"/>
        </w:numPr>
        <w:rPr>
          <w:rFonts w:cs="Arial"/>
          <w:sz w:val="18"/>
          <w:szCs w:val="18"/>
        </w:rPr>
      </w:pPr>
      <w:r w:rsidRPr="0311DE0C">
        <w:rPr>
          <w:rFonts w:cs="Arial"/>
          <w:sz w:val="18"/>
          <w:szCs w:val="18"/>
        </w:rPr>
        <w:t xml:space="preserve">Expenditure </w:t>
      </w:r>
      <w:r w:rsidR="6B96A6E2" w:rsidRPr="0311DE0C">
        <w:rPr>
          <w:rFonts w:cs="Arial"/>
          <w:sz w:val="18"/>
          <w:szCs w:val="18"/>
        </w:rPr>
        <w:t xml:space="preserve">on </w:t>
      </w:r>
      <w:r w:rsidR="76993312" w:rsidRPr="0311DE0C">
        <w:rPr>
          <w:rFonts w:cs="Arial"/>
          <w:sz w:val="18"/>
          <w:szCs w:val="18"/>
        </w:rPr>
        <w:t>overseas travel</w:t>
      </w:r>
      <w:r w:rsidR="006B6F60">
        <w:rPr>
          <w:rFonts w:cs="Arial"/>
          <w:sz w:val="18"/>
          <w:szCs w:val="18"/>
        </w:rPr>
        <w:t>.</w:t>
      </w:r>
      <w:r w:rsidR="76993312" w:rsidRPr="0311DE0C">
        <w:rPr>
          <w:rFonts w:cs="Arial"/>
          <w:sz w:val="18"/>
          <w:szCs w:val="18"/>
        </w:rPr>
        <w:t xml:space="preserve"> </w:t>
      </w:r>
    </w:p>
    <w:p w14:paraId="4DBE3A9A" w14:textId="427C6C35" w:rsidR="004A74E3" w:rsidRPr="00835D0D" w:rsidRDefault="0B270458" w:rsidP="00BD69F7">
      <w:pPr>
        <w:pStyle w:val="ListParagraph"/>
        <w:numPr>
          <w:ilvl w:val="0"/>
          <w:numId w:val="3"/>
        </w:numPr>
        <w:rPr>
          <w:rFonts w:cs="Arial"/>
          <w:sz w:val="18"/>
          <w:szCs w:val="18"/>
        </w:rPr>
      </w:pPr>
      <w:r w:rsidRPr="0311DE0C">
        <w:rPr>
          <w:rFonts w:cs="Arial"/>
          <w:sz w:val="18"/>
          <w:szCs w:val="18"/>
        </w:rPr>
        <w:t>Spending</w:t>
      </w:r>
      <w:r w:rsidR="0D593130" w:rsidRPr="0311DE0C">
        <w:rPr>
          <w:rFonts w:cs="Arial"/>
          <w:sz w:val="18"/>
          <w:szCs w:val="18"/>
        </w:rPr>
        <w:t xml:space="preserve"> </w:t>
      </w:r>
      <w:r w:rsidR="6B3E372C" w:rsidRPr="0311DE0C">
        <w:rPr>
          <w:rFonts w:cs="Arial"/>
          <w:sz w:val="18"/>
          <w:szCs w:val="18"/>
        </w:rPr>
        <w:t>on</w:t>
      </w:r>
      <w:r w:rsidR="0D593130" w:rsidRPr="0311DE0C">
        <w:rPr>
          <w:rFonts w:cs="Arial"/>
          <w:sz w:val="18"/>
          <w:szCs w:val="18"/>
        </w:rPr>
        <w:t xml:space="preserve"> </w:t>
      </w:r>
      <w:r w:rsidR="2B13A3C7" w:rsidRPr="0311DE0C">
        <w:rPr>
          <w:rFonts w:cs="Arial"/>
          <w:sz w:val="18"/>
          <w:szCs w:val="18"/>
        </w:rPr>
        <w:t>language services</w:t>
      </w:r>
      <w:r w:rsidR="006B6F60">
        <w:rPr>
          <w:rFonts w:cs="Arial"/>
          <w:sz w:val="18"/>
          <w:szCs w:val="18"/>
        </w:rPr>
        <w:t>.</w:t>
      </w:r>
    </w:p>
    <w:p w14:paraId="73F54FAE" w14:textId="3EB20B5D" w:rsidR="00835D0D" w:rsidRPr="00835D0D" w:rsidRDefault="6E14E5BD" w:rsidP="00BD69F7">
      <w:pPr>
        <w:pStyle w:val="ListParagraph"/>
        <w:numPr>
          <w:ilvl w:val="0"/>
          <w:numId w:val="3"/>
        </w:numPr>
        <w:rPr>
          <w:rFonts w:cs="Arial"/>
          <w:sz w:val="18"/>
          <w:szCs w:val="18"/>
        </w:rPr>
      </w:pPr>
      <w:r w:rsidRPr="0311DE0C">
        <w:rPr>
          <w:rFonts w:cs="Arial"/>
          <w:sz w:val="18"/>
          <w:szCs w:val="18"/>
        </w:rPr>
        <w:t>Complaints related to the Charter of Victims’ Rights</w:t>
      </w:r>
      <w:r w:rsidR="006B6F60">
        <w:rPr>
          <w:rFonts w:cs="Arial"/>
          <w:sz w:val="18"/>
          <w:szCs w:val="18"/>
        </w:rPr>
        <w:t>.</w:t>
      </w:r>
    </w:p>
    <w:p w14:paraId="2DCBC24D" w14:textId="1A37D864" w:rsidR="002B02F7" w:rsidRDefault="002B02F7" w:rsidP="0311DE0C">
      <w:pPr>
        <w:autoSpaceDE w:val="0"/>
        <w:autoSpaceDN w:val="0"/>
        <w:rPr>
          <w:rFonts w:cs="Arial"/>
          <w:strike/>
          <w:sz w:val="18"/>
          <w:szCs w:val="18"/>
          <w:highlight w:val="yellow"/>
        </w:rPr>
      </w:pPr>
    </w:p>
    <w:p w14:paraId="69E58FD1" w14:textId="5586C1F5" w:rsidR="00613607" w:rsidRPr="004A2C19" w:rsidRDefault="00613607" w:rsidP="2FCA7408">
      <w:pPr>
        <w:autoSpaceDE w:val="0"/>
        <w:autoSpaceDN w:val="0"/>
        <w:rPr>
          <w:rFonts w:cs="Arial"/>
          <w:b/>
          <w:bCs/>
        </w:rPr>
      </w:pPr>
      <w:r w:rsidRPr="2FCA7408">
        <w:rPr>
          <w:rFonts w:cs="Arial"/>
          <w:b/>
          <w:bCs/>
        </w:rPr>
        <w:t xml:space="preserve">Acknowledgement of Country </w:t>
      </w:r>
    </w:p>
    <w:p w14:paraId="58AF9DF2" w14:textId="3F1EB5D8" w:rsidR="00740D19" w:rsidRDefault="38476BCB" w:rsidP="00613607">
      <w:pPr>
        <w:rPr>
          <w:rFonts w:cs="Arial"/>
          <w:sz w:val="18"/>
          <w:szCs w:val="18"/>
        </w:rPr>
      </w:pPr>
      <w:r w:rsidRPr="0311DE0C">
        <w:rPr>
          <w:rFonts w:cs="Arial"/>
          <w:sz w:val="18"/>
          <w:szCs w:val="18"/>
        </w:rPr>
        <w:t>The QBCC</w:t>
      </w:r>
      <w:r w:rsidR="4D23BB5C" w:rsidRPr="0311DE0C">
        <w:rPr>
          <w:rFonts w:cs="Arial"/>
          <w:sz w:val="18"/>
          <w:szCs w:val="18"/>
        </w:rPr>
        <w:t xml:space="preserve"> </w:t>
      </w:r>
      <w:r w:rsidRPr="0311DE0C">
        <w:rPr>
          <w:rFonts w:cs="Arial"/>
          <w:sz w:val="18"/>
          <w:szCs w:val="18"/>
        </w:rPr>
        <w:t>acknowledges the Aboriginal and Torres Strait Islander Traditional Custodians of Country throughout Australia and recognises the continuing connection to lands, water</w:t>
      </w:r>
      <w:r w:rsidR="5EA0939A" w:rsidRPr="0311DE0C">
        <w:rPr>
          <w:rFonts w:cs="Arial"/>
          <w:sz w:val="18"/>
          <w:szCs w:val="18"/>
        </w:rPr>
        <w:t>,</w:t>
      </w:r>
      <w:r w:rsidRPr="0311DE0C">
        <w:rPr>
          <w:rFonts w:cs="Arial"/>
          <w:sz w:val="18"/>
          <w:szCs w:val="18"/>
        </w:rPr>
        <w:t xml:space="preserve"> and communities. We pay our respect to Aboriginal and Torres Strait Islander cultures and to Elders past and present.</w:t>
      </w:r>
    </w:p>
    <w:p w14:paraId="34ACCE2C" w14:textId="77777777" w:rsidR="00740D19" w:rsidRDefault="00740D19" w:rsidP="00613607">
      <w:pPr>
        <w:rPr>
          <w:rFonts w:cs="Arial"/>
          <w:sz w:val="18"/>
          <w:szCs w:val="18"/>
        </w:rPr>
      </w:pPr>
    </w:p>
    <w:p w14:paraId="289A7375" w14:textId="52D0BAE9" w:rsidR="0071218E" w:rsidRPr="004A2C19" w:rsidRDefault="38476BCB" w:rsidP="00613607">
      <w:pPr>
        <w:rPr>
          <w:rFonts w:cs="Arial"/>
          <w:sz w:val="18"/>
          <w:szCs w:val="18"/>
        </w:rPr>
      </w:pPr>
      <w:r w:rsidRPr="0311DE0C">
        <w:rPr>
          <w:rFonts w:cs="Arial"/>
          <w:sz w:val="18"/>
          <w:szCs w:val="18"/>
        </w:rPr>
        <w:t>The QBCC is dedicated to advancing reconciliation and building a diverse workplace by adopting inclusive practices, encouraging learning, supporting tolerance and understanding, and respecting the diversity and traditions of Aboriginal and Torres Strait Islander communities. Our approach as an organisation will demonstrate commitment and enhance adoption within the wider community</w:t>
      </w:r>
      <w:r w:rsidR="54DE296C" w:rsidRPr="0311DE0C">
        <w:rPr>
          <w:rFonts w:cs="Arial"/>
          <w:sz w:val="18"/>
          <w:szCs w:val="18"/>
        </w:rPr>
        <w:t>.</w:t>
      </w:r>
    </w:p>
    <w:p w14:paraId="1786043B" w14:textId="77777777" w:rsidR="00740D19" w:rsidRDefault="00740D19" w:rsidP="00613607">
      <w:pPr>
        <w:rPr>
          <w:rFonts w:cs="Arial"/>
          <w:sz w:val="18"/>
          <w:szCs w:val="18"/>
        </w:rPr>
      </w:pPr>
    </w:p>
    <w:p w14:paraId="43964E86" w14:textId="77777777" w:rsidR="00442375" w:rsidRDefault="00442375">
      <w:pPr>
        <w:rPr>
          <w:rFonts w:eastAsiaTheme="majorEastAsia" w:cs="Arial"/>
          <w:sz w:val="28"/>
        </w:rPr>
      </w:pPr>
      <w:r>
        <w:rPr>
          <w:rFonts w:eastAsiaTheme="majorEastAsia" w:cs="Arial"/>
          <w:sz w:val="28"/>
        </w:rPr>
        <w:br w:type="page"/>
      </w:r>
    </w:p>
    <w:p w14:paraId="419D161B" w14:textId="77777777" w:rsidR="00713E8C" w:rsidRPr="00F83A64" w:rsidRDefault="00713E8C" w:rsidP="00713E8C">
      <w:pPr>
        <w:pStyle w:val="Heading1"/>
        <w:rPr>
          <w:rFonts w:cs="Arial"/>
          <w:szCs w:val="48"/>
        </w:rPr>
      </w:pPr>
      <w:bookmarkStart w:id="11" w:name="_Toc206493005"/>
      <w:r w:rsidRPr="20BE9D8C">
        <w:rPr>
          <w:rFonts w:cs="Arial"/>
        </w:rPr>
        <w:lastRenderedPageBreak/>
        <w:t xml:space="preserve">Table of contents </w:t>
      </w:r>
    </w:p>
    <w:p w14:paraId="055AEB59" w14:textId="13BB2909" w:rsidR="00D273F6" w:rsidRDefault="00D273F6" w:rsidP="00D273F6">
      <w:pPr>
        <w:pStyle w:val="TOC1"/>
        <w:rPr>
          <w:rFonts w:asciiTheme="minorHAnsi" w:hAnsiTheme="minorHAnsi"/>
          <w:kern w:val="2"/>
          <w:sz w:val="24"/>
          <w:lang w:eastAsia="en-AU"/>
          <w14:ligatures w14:val="standardContextual"/>
        </w:rPr>
      </w:pPr>
      <w:r w:rsidRPr="005C4055">
        <w:t xml:space="preserve">Letter of </w:t>
      </w:r>
      <w:r w:rsidR="001F51AB">
        <w:t>c</w:t>
      </w:r>
      <w:r w:rsidRPr="005C4055">
        <w:t>ompliance</w:t>
      </w:r>
      <w:r>
        <w:rPr>
          <w:webHidden/>
        </w:rPr>
        <w:tab/>
        <w:t>4</w:t>
      </w:r>
    </w:p>
    <w:p w14:paraId="0C036C08" w14:textId="77777777" w:rsidR="00D273F6" w:rsidRDefault="00D273F6" w:rsidP="00D273F6">
      <w:pPr>
        <w:pStyle w:val="TOC1"/>
        <w:rPr>
          <w:rFonts w:asciiTheme="minorHAnsi" w:hAnsiTheme="minorHAnsi"/>
          <w:kern w:val="2"/>
          <w:sz w:val="24"/>
          <w:lang w:eastAsia="en-AU"/>
          <w14:ligatures w14:val="standardContextual"/>
        </w:rPr>
      </w:pPr>
      <w:r w:rsidRPr="005C4055">
        <w:t>Chair’s message</w:t>
      </w:r>
      <w:r w:rsidRPr="005C4055">
        <w:rPr>
          <w:rFonts w:cs="Arial"/>
        </w:rPr>
        <w:t xml:space="preserve"> </w:t>
      </w:r>
      <w:r>
        <w:rPr>
          <w:webHidden/>
        </w:rPr>
        <w:tab/>
        <w:t>5</w:t>
      </w:r>
    </w:p>
    <w:p w14:paraId="7A54394F" w14:textId="0E21F8F1" w:rsidR="00D273F6" w:rsidRDefault="00D273F6" w:rsidP="00D273F6">
      <w:pPr>
        <w:pStyle w:val="TOC1"/>
        <w:rPr>
          <w:rFonts w:asciiTheme="minorHAnsi" w:hAnsiTheme="minorHAnsi"/>
          <w:kern w:val="2"/>
          <w:sz w:val="24"/>
          <w:lang w:eastAsia="en-AU"/>
          <w14:ligatures w14:val="standardContextual"/>
        </w:rPr>
      </w:pPr>
      <w:r w:rsidRPr="005C4055">
        <w:t xml:space="preserve">Chief Executive Officer and Commissioner’s </w:t>
      </w:r>
      <w:r w:rsidR="00A241AE">
        <w:t>f</w:t>
      </w:r>
      <w:r w:rsidRPr="005C4055">
        <w:t>oreword</w:t>
      </w:r>
      <w:r>
        <w:rPr>
          <w:webHidden/>
        </w:rPr>
        <w:tab/>
        <w:t>6</w:t>
      </w:r>
    </w:p>
    <w:p w14:paraId="0C2773B4" w14:textId="77777777" w:rsidR="00D273F6" w:rsidRDefault="00D273F6" w:rsidP="00D273F6">
      <w:pPr>
        <w:pStyle w:val="TOC1"/>
        <w:rPr>
          <w:rFonts w:asciiTheme="minorHAnsi" w:hAnsiTheme="minorHAnsi"/>
          <w:kern w:val="2"/>
          <w:sz w:val="24"/>
          <w:lang w:eastAsia="en-AU"/>
          <w14:ligatures w14:val="standardContextual"/>
        </w:rPr>
      </w:pPr>
      <w:r w:rsidRPr="005C4055">
        <w:rPr>
          <w:rFonts w:cs="Arial"/>
        </w:rPr>
        <w:t>Introduction</w:t>
      </w:r>
      <w:r>
        <w:rPr>
          <w:webHidden/>
        </w:rPr>
        <w:tab/>
        <w:t>7</w:t>
      </w:r>
    </w:p>
    <w:p w14:paraId="608E785C" w14:textId="77777777"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About the QBCC</w:t>
      </w:r>
      <w:r>
        <w:rPr>
          <w:noProof/>
          <w:webHidden/>
        </w:rPr>
        <w:tab/>
        <w:t>7</w:t>
      </w:r>
    </w:p>
    <w:p w14:paraId="54AC558F" w14:textId="77777777"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Reach across Queensland</w:t>
      </w:r>
      <w:r>
        <w:rPr>
          <w:noProof/>
          <w:webHidden/>
        </w:rPr>
        <w:tab/>
        <w:t>9</w:t>
      </w:r>
    </w:p>
    <w:p w14:paraId="725B3D9E" w14:textId="77777777" w:rsidR="00D273F6" w:rsidRDefault="00D273F6" w:rsidP="00D273F6">
      <w:pPr>
        <w:pStyle w:val="TOC1"/>
        <w:rPr>
          <w:rFonts w:asciiTheme="minorHAnsi" w:hAnsiTheme="minorHAnsi"/>
          <w:kern w:val="2"/>
          <w:sz w:val="24"/>
          <w:lang w:eastAsia="en-AU"/>
          <w14:ligatures w14:val="standardContextual"/>
        </w:rPr>
      </w:pPr>
      <w:r w:rsidRPr="005C4055">
        <w:rPr>
          <w:rFonts w:cs="Arial"/>
        </w:rPr>
        <w:t>Responsibilities</w:t>
      </w:r>
      <w:r>
        <w:rPr>
          <w:webHidden/>
        </w:rPr>
        <w:tab/>
        <w:t>10</w:t>
      </w:r>
    </w:p>
    <w:p w14:paraId="3157BB1A" w14:textId="77777777"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Licensing</w:t>
      </w:r>
      <w:r>
        <w:rPr>
          <w:noProof/>
          <w:webHidden/>
        </w:rPr>
        <w:tab/>
        <w:t>11</w:t>
      </w:r>
    </w:p>
    <w:p w14:paraId="0DB1B315" w14:textId="77777777"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Dispute resolution</w:t>
      </w:r>
      <w:r>
        <w:rPr>
          <w:noProof/>
          <w:webHidden/>
        </w:rPr>
        <w:tab/>
        <w:t>16</w:t>
      </w:r>
    </w:p>
    <w:p w14:paraId="752FEFE9" w14:textId="77777777"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Compliance and enforcement</w:t>
      </w:r>
      <w:r>
        <w:rPr>
          <w:noProof/>
          <w:webHidden/>
        </w:rPr>
        <w:tab/>
        <w:t>18</w:t>
      </w:r>
    </w:p>
    <w:p w14:paraId="4B13C231" w14:textId="77777777"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lang w:eastAsia="en-AU"/>
        </w:rPr>
        <w:t>Queensland Home Warranty Scheme</w:t>
      </w:r>
      <w:r>
        <w:rPr>
          <w:noProof/>
          <w:webHidden/>
        </w:rPr>
        <w:tab/>
        <w:t>22</w:t>
      </w:r>
    </w:p>
    <w:p w14:paraId="500DB814" w14:textId="77777777"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Adjudication</w:t>
      </w:r>
      <w:r>
        <w:rPr>
          <w:noProof/>
          <w:webHidden/>
        </w:rPr>
        <w:tab/>
        <w:t>23</w:t>
      </w:r>
    </w:p>
    <w:p w14:paraId="395BAEC8" w14:textId="1BB95179"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Frontline service</w:t>
      </w:r>
      <w:r>
        <w:rPr>
          <w:noProof/>
          <w:webHidden/>
        </w:rPr>
        <w:tab/>
        <w:t>25</w:t>
      </w:r>
    </w:p>
    <w:p w14:paraId="0D4D0E7E" w14:textId="4857F1A5"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Education and engagement</w:t>
      </w:r>
      <w:r>
        <w:rPr>
          <w:noProof/>
          <w:webHidden/>
        </w:rPr>
        <w:tab/>
      </w:r>
      <w:r w:rsidR="000D2880">
        <w:rPr>
          <w:noProof/>
          <w:webHidden/>
        </w:rPr>
        <w:t>27</w:t>
      </w:r>
    </w:p>
    <w:p w14:paraId="6031B776" w14:textId="77777777" w:rsidR="00D273F6" w:rsidRDefault="00D273F6" w:rsidP="00D273F6">
      <w:pPr>
        <w:pStyle w:val="TOC1"/>
        <w:rPr>
          <w:rFonts w:asciiTheme="minorHAnsi" w:hAnsiTheme="minorHAnsi"/>
          <w:kern w:val="2"/>
          <w:sz w:val="24"/>
          <w:lang w:eastAsia="en-AU"/>
          <w14:ligatures w14:val="standardContextual"/>
        </w:rPr>
      </w:pPr>
      <w:r w:rsidRPr="005C4055">
        <w:rPr>
          <w:rFonts w:cs="Arial"/>
        </w:rPr>
        <w:t>Organisation</w:t>
      </w:r>
      <w:r>
        <w:rPr>
          <w:webHidden/>
        </w:rPr>
        <w:tab/>
        <w:t>30</w:t>
      </w:r>
    </w:p>
    <w:p w14:paraId="6E5812D7" w14:textId="77777777"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Organisational structure</w:t>
      </w:r>
      <w:r>
        <w:rPr>
          <w:noProof/>
          <w:webHidden/>
        </w:rPr>
        <w:tab/>
        <w:t>31</w:t>
      </w:r>
    </w:p>
    <w:p w14:paraId="43D7AE4D" w14:textId="77777777"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People and culture</w:t>
      </w:r>
      <w:r>
        <w:rPr>
          <w:noProof/>
          <w:webHidden/>
        </w:rPr>
        <w:tab/>
        <w:t>42</w:t>
      </w:r>
    </w:p>
    <w:p w14:paraId="4446A4E7" w14:textId="77777777"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Governance and accountability</w:t>
      </w:r>
      <w:r>
        <w:rPr>
          <w:noProof/>
          <w:webHidden/>
        </w:rPr>
        <w:tab/>
        <w:t>46</w:t>
      </w:r>
    </w:p>
    <w:p w14:paraId="6530FF18" w14:textId="70DE1457"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Information and digital systems</w:t>
      </w:r>
      <w:r>
        <w:rPr>
          <w:noProof/>
          <w:webHidden/>
        </w:rPr>
        <w:tab/>
      </w:r>
      <w:r w:rsidR="00023417">
        <w:rPr>
          <w:noProof/>
          <w:webHidden/>
        </w:rPr>
        <w:t>48</w:t>
      </w:r>
    </w:p>
    <w:p w14:paraId="23B71902" w14:textId="12BF3FCD" w:rsidR="00D273F6" w:rsidRDefault="00D273F6" w:rsidP="00D273F6">
      <w:pPr>
        <w:pStyle w:val="TOC1"/>
        <w:rPr>
          <w:rFonts w:asciiTheme="minorHAnsi" w:hAnsiTheme="minorHAnsi"/>
          <w:kern w:val="2"/>
          <w:sz w:val="24"/>
          <w:lang w:eastAsia="en-AU"/>
          <w14:ligatures w14:val="standardContextual"/>
        </w:rPr>
      </w:pPr>
      <w:r w:rsidRPr="005C4055">
        <w:rPr>
          <w:rFonts w:cs="Arial"/>
        </w:rPr>
        <w:t>Performance</w:t>
      </w:r>
      <w:r>
        <w:rPr>
          <w:webHidden/>
        </w:rPr>
        <w:tab/>
      </w:r>
      <w:r w:rsidR="00BE35F8">
        <w:rPr>
          <w:webHidden/>
        </w:rPr>
        <w:t>50</w:t>
      </w:r>
    </w:p>
    <w:p w14:paraId="42471AAC" w14:textId="4DFF480E"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Service Delivery Statements service standards</w:t>
      </w:r>
      <w:r>
        <w:rPr>
          <w:noProof/>
          <w:webHidden/>
        </w:rPr>
        <w:tab/>
      </w:r>
      <w:r w:rsidR="00BE35F8">
        <w:rPr>
          <w:noProof/>
          <w:webHidden/>
        </w:rPr>
        <w:t>51</w:t>
      </w:r>
    </w:p>
    <w:p w14:paraId="3CD7141F" w14:textId="1591E2BB"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 xml:space="preserve">Strategic </w:t>
      </w:r>
      <w:r w:rsidR="009E29B5">
        <w:rPr>
          <w:noProof/>
        </w:rPr>
        <w:t>P</w:t>
      </w:r>
      <w:r w:rsidRPr="005C4055">
        <w:rPr>
          <w:noProof/>
        </w:rPr>
        <w:t>lan performance measures</w:t>
      </w:r>
      <w:r>
        <w:rPr>
          <w:noProof/>
          <w:webHidden/>
        </w:rPr>
        <w:tab/>
      </w:r>
      <w:r w:rsidR="00BE35F8">
        <w:rPr>
          <w:noProof/>
          <w:webHidden/>
        </w:rPr>
        <w:t>53</w:t>
      </w:r>
    </w:p>
    <w:p w14:paraId="222BC8B9" w14:textId="18B3CBB2" w:rsidR="00D273F6" w:rsidRDefault="00D273F6" w:rsidP="00D273F6">
      <w:pPr>
        <w:pStyle w:val="TOC1"/>
        <w:rPr>
          <w:rFonts w:asciiTheme="minorHAnsi" w:hAnsiTheme="minorHAnsi"/>
          <w:kern w:val="2"/>
          <w:sz w:val="24"/>
          <w:lang w:eastAsia="en-AU"/>
          <w14:ligatures w14:val="standardContextual"/>
        </w:rPr>
      </w:pPr>
      <w:r w:rsidRPr="005C4055">
        <w:rPr>
          <w:rFonts w:cs="Arial"/>
        </w:rPr>
        <w:t>Finances</w:t>
      </w:r>
      <w:r>
        <w:rPr>
          <w:webHidden/>
        </w:rPr>
        <w:tab/>
      </w:r>
      <w:r w:rsidR="0012497B">
        <w:rPr>
          <w:webHidden/>
        </w:rPr>
        <w:t>56</w:t>
      </w:r>
    </w:p>
    <w:p w14:paraId="04C0246C" w14:textId="449A2223"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Summary of financial performance</w:t>
      </w:r>
      <w:r>
        <w:rPr>
          <w:noProof/>
          <w:webHidden/>
        </w:rPr>
        <w:tab/>
      </w:r>
      <w:r w:rsidR="0012497B">
        <w:rPr>
          <w:noProof/>
          <w:webHidden/>
        </w:rPr>
        <w:t>56</w:t>
      </w:r>
    </w:p>
    <w:p w14:paraId="2F3DDA51" w14:textId="26B11FC5"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General purpose financial report</w:t>
      </w:r>
      <w:r>
        <w:rPr>
          <w:noProof/>
          <w:webHidden/>
        </w:rPr>
        <w:tab/>
      </w:r>
      <w:r w:rsidR="00882660">
        <w:rPr>
          <w:noProof/>
          <w:webHidden/>
        </w:rPr>
        <w:t>57</w:t>
      </w:r>
    </w:p>
    <w:p w14:paraId="72ED2599" w14:textId="28838703"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Management certificate</w:t>
      </w:r>
      <w:r>
        <w:rPr>
          <w:noProof/>
          <w:webHidden/>
        </w:rPr>
        <w:tab/>
      </w:r>
      <w:r w:rsidR="00B8733B">
        <w:rPr>
          <w:noProof/>
          <w:webHidden/>
        </w:rPr>
        <w:t>106</w:t>
      </w:r>
    </w:p>
    <w:p w14:paraId="0EC84610" w14:textId="58DF3BD4" w:rsidR="00D273F6" w:rsidRDefault="00D273F6" w:rsidP="00D273F6">
      <w:pPr>
        <w:pStyle w:val="TOC2"/>
        <w:tabs>
          <w:tab w:val="right" w:leader="dot" w:pos="10450"/>
        </w:tabs>
        <w:rPr>
          <w:rFonts w:asciiTheme="minorHAnsi" w:hAnsiTheme="minorHAnsi"/>
          <w:noProof/>
          <w:kern w:val="2"/>
          <w:sz w:val="24"/>
          <w:lang w:eastAsia="en-AU"/>
          <w14:ligatures w14:val="standardContextual"/>
        </w:rPr>
      </w:pPr>
      <w:r w:rsidRPr="005C4055">
        <w:rPr>
          <w:noProof/>
        </w:rPr>
        <w:t>Auditor’s report</w:t>
      </w:r>
      <w:r>
        <w:rPr>
          <w:noProof/>
          <w:webHidden/>
        </w:rPr>
        <w:tab/>
      </w:r>
      <w:r w:rsidR="00E26B92">
        <w:rPr>
          <w:noProof/>
          <w:webHidden/>
        </w:rPr>
        <w:t>107</w:t>
      </w:r>
    </w:p>
    <w:p w14:paraId="34348172" w14:textId="070727A2" w:rsidR="00D273F6" w:rsidRDefault="00D273F6" w:rsidP="00D273F6">
      <w:pPr>
        <w:pStyle w:val="TOC1"/>
        <w:rPr>
          <w:rFonts w:asciiTheme="minorHAnsi" w:hAnsiTheme="minorHAnsi"/>
          <w:kern w:val="2"/>
          <w:sz w:val="24"/>
          <w:lang w:eastAsia="en-AU"/>
          <w14:ligatures w14:val="standardContextual"/>
        </w:rPr>
      </w:pPr>
      <w:r w:rsidRPr="005C4055">
        <w:t>Appendix A: Compliance checklist</w:t>
      </w:r>
      <w:r>
        <w:rPr>
          <w:webHidden/>
        </w:rPr>
        <w:tab/>
      </w:r>
      <w:r w:rsidR="00B66FAC">
        <w:rPr>
          <w:webHidden/>
        </w:rPr>
        <w:t>109</w:t>
      </w:r>
    </w:p>
    <w:p w14:paraId="5D56BDA4" w14:textId="38882FBE" w:rsidR="00D273F6" w:rsidRDefault="00D273F6" w:rsidP="00D273F6">
      <w:pPr>
        <w:pStyle w:val="TOC1"/>
        <w:rPr>
          <w:rFonts w:asciiTheme="minorHAnsi" w:hAnsiTheme="minorHAnsi"/>
          <w:kern w:val="2"/>
          <w:sz w:val="24"/>
          <w:lang w:eastAsia="en-AU"/>
          <w14:ligatures w14:val="standardContextual"/>
        </w:rPr>
      </w:pPr>
      <w:r w:rsidRPr="005C4055">
        <w:t>Appendix B: Glossary</w:t>
      </w:r>
      <w:r>
        <w:rPr>
          <w:webHidden/>
        </w:rPr>
        <w:tab/>
      </w:r>
      <w:r w:rsidR="00F616D7">
        <w:rPr>
          <w:webHidden/>
        </w:rPr>
        <w:t>111</w:t>
      </w:r>
    </w:p>
    <w:p w14:paraId="63B62480" w14:textId="5B9C6736" w:rsidR="00D273F6" w:rsidRDefault="00D273F6" w:rsidP="00D273F6">
      <w:pPr>
        <w:pStyle w:val="TOC1"/>
        <w:rPr>
          <w:rFonts w:asciiTheme="minorHAnsi" w:hAnsiTheme="minorHAnsi"/>
          <w:kern w:val="2"/>
          <w:sz w:val="24"/>
          <w:lang w:eastAsia="en-AU"/>
          <w14:ligatures w14:val="standardContextual"/>
        </w:rPr>
      </w:pPr>
      <w:r w:rsidRPr="005C4055">
        <w:t>Appendix C: Acronyms</w:t>
      </w:r>
      <w:r>
        <w:rPr>
          <w:webHidden/>
        </w:rPr>
        <w:tab/>
      </w:r>
      <w:r w:rsidR="00F616D7">
        <w:rPr>
          <w:webHidden/>
        </w:rPr>
        <w:t>114</w:t>
      </w:r>
    </w:p>
    <w:p w14:paraId="341813D8" w14:textId="63A312F6" w:rsidR="00713E8C" w:rsidRDefault="00713E8C" w:rsidP="00713E8C"/>
    <w:p w14:paraId="1ABE1472" w14:textId="77777777" w:rsidR="00713E8C" w:rsidRDefault="00713E8C" w:rsidP="00713E8C">
      <w:pPr>
        <w:rPr>
          <w:rFonts w:eastAsiaTheme="majorEastAsia" w:cstheme="majorBidi"/>
          <w:sz w:val="48"/>
          <w:szCs w:val="32"/>
        </w:rPr>
      </w:pPr>
      <w:r>
        <w:br w:type="page"/>
      </w:r>
    </w:p>
    <w:p w14:paraId="7CB94200" w14:textId="1E92F22F" w:rsidR="00CF74FC" w:rsidRPr="005D034B" w:rsidRDefault="00CF74FC" w:rsidP="00821F5A">
      <w:pPr>
        <w:pStyle w:val="Heading1"/>
      </w:pPr>
      <w:r w:rsidRPr="005D034B">
        <w:lastRenderedPageBreak/>
        <w:t xml:space="preserve">Letter of </w:t>
      </w:r>
      <w:r w:rsidR="001F51AB">
        <w:t>c</w:t>
      </w:r>
      <w:r w:rsidRPr="005D034B">
        <w:t>ompliance</w:t>
      </w:r>
      <w:bookmarkEnd w:id="11"/>
      <w:r w:rsidRPr="005D034B">
        <w:t xml:space="preserve"> </w:t>
      </w:r>
    </w:p>
    <w:p w14:paraId="4F3000E0" w14:textId="77777777" w:rsidR="00CF74FC" w:rsidRPr="00EB2944" w:rsidRDefault="00CF74FC" w:rsidP="00EB2944"/>
    <w:p w14:paraId="4844FF0F" w14:textId="64B954A4" w:rsidR="00BD6E1D" w:rsidRPr="00E71719" w:rsidRDefault="005E0253" w:rsidP="2FCA7408">
      <w:pPr>
        <w:rPr>
          <w:rFonts w:cs="Arial"/>
        </w:rPr>
      </w:pPr>
      <w:r>
        <w:rPr>
          <w:rFonts w:cs="Arial"/>
        </w:rPr>
        <w:t>2</w:t>
      </w:r>
      <w:r w:rsidR="00CA1920">
        <w:rPr>
          <w:rFonts w:cs="Arial"/>
        </w:rPr>
        <w:t>2</w:t>
      </w:r>
      <w:r w:rsidR="5473B5AB" w:rsidRPr="0311DE0C">
        <w:rPr>
          <w:rFonts w:cs="Arial"/>
        </w:rPr>
        <w:t xml:space="preserve"> September 2025</w:t>
      </w:r>
    </w:p>
    <w:p w14:paraId="19F9CA01" w14:textId="77777777" w:rsidR="00BD6E1D" w:rsidRPr="0072231D" w:rsidRDefault="00BD6E1D" w:rsidP="0311DE0C">
      <w:pPr>
        <w:rPr>
          <w:rFonts w:cs="Arial"/>
        </w:rPr>
      </w:pPr>
    </w:p>
    <w:p w14:paraId="1EC73CE4" w14:textId="77777777" w:rsidR="00BD6E1D" w:rsidRPr="0072231D" w:rsidRDefault="00BD6E1D" w:rsidP="0311DE0C">
      <w:pPr>
        <w:rPr>
          <w:rFonts w:cs="Arial"/>
        </w:rPr>
      </w:pPr>
    </w:p>
    <w:p w14:paraId="5C77B6F7" w14:textId="77777777" w:rsidR="00BD6E1D" w:rsidRPr="0072231D" w:rsidRDefault="00BD6E1D" w:rsidP="0311DE0C">
      <w:pPr>
        <w:rPr>
          <w:rFonts w:cs="Arial"/>
        </w:rPr>
      </w:pPr>
    </w:p>
    <w:p w14:paraId="77B30E26" w14:textId="77777777" w:rsidR="00BD6E1D" w:rsidRPr="0072231D" w:rsidRDefault="5473B5AB" w:rsidP="0311DE0C">
      <w:pPr>
        <w:rPr>
          <w:rFonts w:cs="Arial"/>
        </w:rPr>
      </w:pPr>
      <w:r w:rsidRPr="0311DE0C">
        <w:rPr>
          <w:rFonts w:cs="Arial"/>
        </w:rPr>
        <w:t>The Honourable Sam O’Connor MP</w:t>
      </w:r>
    </w:p>
    <w:p w14:paraId="2B32C1A4" w14:textId="77777777" w:rsidR="00BD6E1D" w:rsidRPr="0072231D" w:rsidRDefault="5473B5AB" w:rsidP="0311DE0C">
      <w:pPr>
        <w:rPr>
          <w:rFonts w:cs="Arial"/>
        </w:rPr>
      </w:pPr>
      <w:r w:rsidRPr="0311DE0C">
        <w:rPr>
          <w:rFonts w:cs="Arial"/>
        </w:rPr>
        <w:t xml:space="preserve">Minister for Housing and Public Works and </w:t>
      </w:r>
    </w:p>
    <w:p w14:paraId="553B718A" w14:textId="77777777" w:rsidR="00BD6E1D" w:rsidRPr="0072231D" w:rsidRDefault="5473B5AB" w:rsidP="0311DE0C">
      <w:pPr>
        <w:rPr>
          <w:rFonts w:cs="Arial"/>
        </w:rPr>
      </w:pPr>
      <w:r w:rsidRPr="0311DE0C">
        <w:rPr>
          <w:rFonts w:cs="Arial"/>
        </w:rPr>
        <w:t>Minister for Youth</w:t>
      </w:r>
    </w:p>
    <w:p w14:paraId="647FA77A" w14:textId="77777777" w:rsidR="00BD6E1D" w:rsidRPr="0072231D" w:rsidRDefault="5473B5AB" w:rsidP="0311DE0C">
      <w:pPr>
        <w:rPr>
          <w:rFonts w:cs="Arial"/>
        </w:rPr>
      </w:pPr>
      <w:r w:rsidRPr="0311DE0C">
        <w:rPr>
          <w:rFonts w:cs="Arial"/>
        </w:rPr>
        <w:t>1 William Street</w:t>
      </w:r>
    </w:p>
    <w:p w14:paraId="1048E630" w14:textId="77777777" w:rsidR="00BD6E1D" w:rsidRPr="0072231D" w:rsidRDefault="5473B5AB" w:rsidP="0311DE0C">
      <w:pPr>
        <w:rPr>
          <w:rFonts w:cs="Arial"/>
        </w:rPr>
      </w:pPr>
      <w:r w:rsidRPr="0311DE0C">
        <w:rPr>
          <w:rFonts w:cs="Arial"/>
        </w:rPr>
        <w:t>Brisbane Qld 4000</w:t>
      </w:r>
    </w:p>
    <w:p w14:paraId="57B3845F" w14:textId="77777777" w:rsidR="00BD6E1D" w:rsidRPr="0072231D" w:rsidRDefault="00BD6E1D" w:rsidP="0311DE0C">
      <w:pPr>
        <w:rPr>
          <w:rFonts w:cs="Arial"/>
        </w:rPr>
      </w:pPr>
    </w:p>
    <w:p w14:paraId="1CEA0E8D" w14:textId="77777777" w:rsidR="00BD6E1D" w:rsidRPr="0072231D" w:rsidRDefault="00BD6E1D" w:rsidP="0311DE0C">
      <w:pPr>
        <w:rPr>
          <w:rFonts w:cs="Arial"/>
        </w:rPr>
      </w:pPr>
    </w:p>
    <w:p w14:paraId="5A3CE920" w14:textId="77777777" w:rsidR="00BD6E1D" w:rsidRPr="0072231D" w:rsidRDefault="5473B5AB" w:rsidP="0311DE0C">
      <w:pPr>
        <w:rPr>
          <w:rFonts w:cs="Arial"/>
        </w:rPr>
      </w:pPr>
      <w:r w:rsidRPr="0311DE0C">
        <w:rPr>
          <w:rFonts w:cs="Arial"/>
        </w:rPr>
        <w:t xml:space="preserve">Dear Minister, </w:t>
      </w:r>
    </w:p>
    <w:p w14:paraId="6DC8496A" w14:textId="77777777" w:rsidR="00BD6E1D" w:rsidRPr="0072231D" w:rsidRDefault="00BD6E1D" w:rsidP="0311DE0C">
      <w:pPr>
        <w:rPr>
          <w:rFonts w:cs="Arial"/>
        </w:rPr>
      </w:pPr>
    </w:p>
    <w:p w14:paraId="37B54AB7" w14:textId="56DDF442" w:rsidR="00BD6E1D" w:rsidRPr="0072231D" w:rsidRDefault="5473B5AB" w:rsidP="0311DE0C">
      <w:pPr>
        <w:rPr>
          <w:rFonts w:cs="Arial"/>
        </w:rPr>
      </w:pPr>
      <w:r w:rsidRPr="0311DE0C">
        <w:rPr>
          <w:rFonts w:cs="Arial"/>
        </w:rPr>
        <w:t>I am pleased to submit for presentation to the Parliament the Annual Report 2024–2025 and financial statements for Queensland Building and Construction Commission.</w:t>
      </w:r>
    </w:p>
    <w:p w14:paraId="410014D7" w14:textId="77777777" w:rsidR="00BD6E1D" w:rsidRPr="0072231D" w:rsidRDefault="00BD6E1D" w:rsidP="0311DE0C">
      <w:pPr>
        <w:rPr>
          <w:rFonts w:cs="Arial"/>
        </w:rPr>
      </w:pPr>
    </w:p>
    <w:p w14:paraId="3B2C4516" w14:textId="77777777" w:rsidR="00BD6E1D" w:rsidRPr="0072231D" w:rsidRDefault="5473B5AB" w:rsidP="0311DE0C">
      <w:pPr>
        <w:rPr>
          <w:rFonts w:cs="Arial"/>
        </w:rPr>
      </w:pPr>
      <w:r w:rsidRPr="0311DE0C">
        <w:rPr>
          <w:rFonts w:cs="Arial"/>
        </w:rPr>
        <w:t>I certify that this Annual Report complies with:</w:t>
      </w:r>
    </w:p>
    <w:p w14:paraId="2C6333B0" w14:textId="77777777" w:rsidR="00BD6E1D" w:rsidRPr="0072231D" w:rsidRDefault="00BD6E1D" w:rsidP="0311DE0C">
      <w:pPr>
        <w:rPr>
          <w:rFonts w:cs="Arial"/>
        </w:rPr>
      </w:pPr>
    </w:p>
    <w:p w14:paraId="74C2A07B" w14:textId="56BDBD5F" w:rsidR="00BD6E1D" w:rsidRPr="00EB2944" w:rsidRDefault="5473B5AB" w:rsidP="00BD69F7">
      <w:pPr>
        <w:pStyle w:val="NoSpacing"/>
        <w:numPr>
          <w:ilvl w:val="0"/>
          <w:numId w:val="18"/>
        </w:numPr>
        <w:rPr>
          <w:rFonts w:ascii="Arial" w:hAnsi="Arial" w:cs="Times New Roman"/>
          <w:sz w:val="22"/>
          <w:szCs w:val="22"/>
        </w:rPr>
      </w:pPr>
      <w:r w:rsidRPr="0311DE0C">
        <w:rPr>
          <w:rFonts w:ascii="Arial" w:hAnsi="Arial" w:cs="Times New Roman"/>
          <w:sz w:val="22"/>
          <w:szCs w:val="22"/>
        </w:rPr>
        <w:t xml:space="preserve">the prescribed requirements of the </w:t>
      </w:r>
      <w:r w:rsidRPr="0311DE0C">
        <w:rPr>
          <w:rFonts w:ascii="Arial" w:hAnsi="Arial" w:cs="Times New Roman"/>
          <w:i/>
          <w:iCs/>
          <w:sz w:val="22"/>
          <w:szCs w:val="22"/>
        </w:rPr>
        <w:t>Financial Accountability Act 2009</w:t>
      </w:r>
      <w:r w:rsidRPr="0311DE0C">
        <w:rPr>
          <w:rFonts w:ascii="Arial" w:hAnsi="Arial" w:cs="Times New Roman"/>
          <w:sz w:val="22"/>
          <w:szCs w:val="22"/>
        </w:rPr>
        <w:t xml:space="preserve"> and the </w:t>
      </w:r>
      <w:r w:rsidRPr="00367B3A">
        <w:rPr>
          <w:rFonts w:ascii="Arial" w:hAnsi="Arial" w:cs="Times New Roman"/>
          <w:i/>
          <w:sz w:val="22"/>
          <w:szCs w:val="22"/>
        </w:rPr>
        <w:t>Financial</w:t>
      </w:r>
      <w:r w:rsidRPr="00367B3A">
        <w:rPr>
          <w:i/>
          <w:sz w:val="22"/>
          <w:szCs w:val="22"/>
        </w:rPr>
        <w:t xml:space="preserve"> </w:t>
      </w:r>
      <w:r w:rsidRPr="00367B3A">
        <w:rPr>
          <w:rFonts w:ascii="Arial" w:hAnsi="Arial" w:cs="Times New Roman"/>
          <w:i/>
          <w:sz w:val="22"/>
          <w:szCs w:val="22"/>
        </w:rPr>
        <w:t>and</w:t>
      </w:r>
      <w:r w:rsidRPr="0311DE0C">
        <w:rPr>
          <w:rFonts w:ascii="Arial" w:hAnsi="Arial" w:cs="Times New Roman"/>
          <w:sz w:val="22"/>
          <w:szCs w:val="22"/>
        </w:rPr>
        <w:t xml:space="preserve"> </w:t>
      </w:r>
      <w:r w:rsidRPr="00367B3A">
        <w:rPr>
          <w:rFonts w:ascii="Arial" w:hAnsi="Arial" w:cs="Times New Roman"/>
          <w:i/>
          <w:sz w:val="22"/>
          <w:szCs w:val="22"/>
        </w:rPr>
        <w:t>Performance Management Standard 2019</w:t>
      </w:r>
      <w:r w:rsidRPr="0311DE0C">
        <w:rPr>
          <w:rFonts w:ascii="Arial" w:hAnsi="Arial" w:cs="Times New Roman"/>
          <w:sz w:val="22"/>
          <w:szCs w:val="22"/>
        </w:rPr>
        <w:t xml:space="preserve">, and </w:t>
      </w:r>
    </w:p>
    <w:p w14:paraId="69937BB4" w14:textId="5B1B12FC" w:rsidR="00BD6E1D" w:rsidRPr="00EB2944" w:rsidRDefault="5473B5AB" w:rsidP="00BD69F7">
      <w:pPr>
        <w:pStyle w:val="NoSpacing"/>
        <w:numPr>
          <w:ilvl w:val="0"/>
          <w:numId w:val="18"/>
        </w:numPr>
        <w:rPr>
          <w:rFonts w:ascii="Arial" w:hAnsi="Arial" w:cs="Times New Roman"/>
          <w:sz w:val="22"/>
          <w:szCs w:val="22"/>
        </w:rPr>
      </w:pPr>
      <w:r w:rsidRPr="0311DE0C">
        <w:rPr>
          <w:rFonts w:ascii="Arial" w:hAnsi="Arial" w:cs="Times New Roman"/>
          <w:sz w:val="22"/>
          <w:szCs w:val="22"/>
        </w:rPr>
        <w:t xml:space="preserve">the detailed requirements set out in the </w:t>
      </w:r>
      <w:r w:rsidRPr="00367B3A">
        <w:rPr>
          <w:rFonts w:ascii="Arial" w:hAnsi="Arial" w:cs="Times New Roman"/>
          <w:i/>
          <w:sz w:val="22"/>
          <w:szCs w:val="22"/>
        </w:rPr>
        <w:t>Annual report requirements for Queensland</w:t>
      </w:r>
      <w:r w:rsidRPr="00367B3A">
        <w:rPr>
          <w:i/>
          <w:sz w:val="22"/>
          <w:szCs w:val="22"/>
        </w:rPr>
        <w:t xml:space="preserve"> </w:t>
      </w:r>
      <w:r w:rsidRPr="00367B3A">
        <w:rPr>
          <w:rFonts w:ascii="Arial" w:hAnsi="Arial" w:cs="Times New Roman"/>
          <w:i/>
          <w:sz w:val="22"/>
          <w:szCs w:val="22"/>
        </w:rPr>
        <w:t>Government agencies</w:t>
      </w:r>
      <w:r w:rsidRPr="0311DE0C">
        <w:rPr>
          <w:rFonts w:ascii="Arial" w:hAnsi="Arial" w:cs="Times New Roman"/>
          <w:sz w:val="22"/>
          <w:szCs w:val="22"/>
        </w:rPr>
        <w:t>.</w:t>
      </w:r>
    </w:p>
    <w:p w14:paraId="59FD8D51" w14:textId="77777777" w:rsidR="00BD6E1D" w:rsidRPr="00E71719" w:rsidRDefault="00BD6E1D" w:rsidP="0311DE0C">
      <w:pPr>
        <w:rPr>
          <w:rFonts w:cs="Arial"/>
        </w:rPr>
      </w:pPr>
    </w:p>
    <w:p w14:paraId="6F234FF6" w14:textId="34F11409" w:rsidR="00BD6E1D" w:rsidRPr="00A441A5" w:rsidRDefault="5473B5AB" w:rsidP="2FCA7408">
      <w:pPr>
        <w:rPr>
          <w:rFonts w:cs="Arial"/>
        </w:rPr>
      </w:pPr>
      <w:r w:rsidRPr="0311DE0C">
        <w:rPr>
          <w:rFonts w:cs="Arial"/>
        </w:rPr>
        <w:t xml:space="preserve">A checklist outlining the annual reporting requirements is provided at page </w:t>
      </w:r>
      <w:r w:rsidR="00DB7568">
        <w:rPr>
          <w:rFonts w:cs="Arial"/>
        </w:rPr>
        <w:t>109</w:t>
      </w:r>
      <w:r w:rsidRPr="0311DE0C">
        <w:rPr>
          <w:rFonts w:cs="Arial"/>
        </w:rPr>
        <w:t xml:space="preserve"> of this annual</w:t>
      </w:r>
    </w:p>
    <w:p w14:paraId="38BF9404" w14:textId="77777777" w:rsidR="00BD6E1D" w:rsidRPr="00A441A5" w:rsidRDefault="5473B5AB" w:rsidP="0311DE0C">
      <w:pPr>
        <w:rPr>
          <w:rFonts w:cs="Arial"/>
        </w:rPr>
      </w:pPr>
      <w:r w:rsidRPr="0311DE0C">
        <w:rPr>
          <w:rFonts w:cs="Arial"/>
        </w:rPr>
        <w:t>report.</w:t>
      </w:r>
    </w:p>
    <w:p w14:paraId="289E3CD7" w14:textId="77777777" w:rsidR="00BD6E1D" w:rsidRPr="00A441A5" w:rsidRDefault="00BD6E1D" w:rsidP="0311DE0C">
      <w:pPr>
        <w:rPr>
          <w:rFonts w:cs="Arial"/>
        </w:rPr>
      </w:pPr>
    </w:p>
    <w:p w14:paraId="5990C059" w14:textId="77777777" w:rsidR="00BD6E1D" w:rsidRPr="00A441A5" w:rsidRDefault="5473B5AB" w:rsidP="0311DE0C">
      <w:pPr>
        <w:rPr>
          <w:rFonts w:cs="Arial"/>
        </w:rPr>
      </w:pPr>
      <w:r w:rsidRPr="0311DE0C">
        <w:rPr>
          <w:rFonts w:cs="Arial"/>
        </w:rPr>
        <w:t>Yours sincerely</w:t>
      </w:r>
    </w:p>
    <w:p w14:paraId="212FF1AC" w14:textId="77777777" w:rsidR="00BD6E1D" w:rsidRPr="00A441A5" w:rsidRDefault="00BD6E1D" w:rsidP="0311DE0C">
      <w:pPr>
        <w:rPr>
          <w:rFonts w:cs="Arial"/>
        </w:rPr>
      </w:pPr>
    </w:p>
    <w:p w14:paraId="47571712" w14:textId="77777777" w:rsidR="00BD6E1D" w:rsidRPr="00A441A5" w:rsidRDefault="00BD6E1D" w:rsidP="0311DE0C">
      <w:pPr>
        <w:rPr>
          <w:rFonts w:cs="Arial"/>
        </w:rPr>
      </w:pPr>
    </w:p>
    <w:p w14:paraId="731CE13B" w14:textId="77777777" w:rsidR="00BD6E1D" w:rsidRPr="00A441A5" w:rsidRDefault="00BD6E1D" w:rsidP="0311DE0C">
      <w:pPr>
        <w:rPr>
          <w:rFonts w:cs="Arial"/>
        </w:rPr>
      </w:pPr>
    </w:p>
    <w:p w14:paraId="35F99084" w14:textId="77777777" w:rsidR="00BD6E1D" w:rsidRPr="00A441A5" w:rsidRDefault="00BD6E1D" w:rsidP="0311DE0C">
      <w:pPr>
        <w:rPr>
          <w:rFonts w:cs="Arial"/>
        </w:rPr>
      </w:pPr>
    </w:p>
    <w:p w14:paraId="4229EA00" w14:textId="77777777" w:rsidR="00BD6E1D" w:rsidRPr="00A441A5" w:rsidRDefault="00BD6E1D" w:rsidP="0311DE0C">
      <w:pPr>
        <w:rPr>
          <w:rFonts w:cs="Arial"/>
        </w:rPr>
      </w:pPr>
    </w:p>
    <w:p w14:paraId="5D02D7DE" w14:textId="77777777" w:rsidR="00BD6E1D" w:rsidRPr="00A441A5" w:rsidRDefault="5473B5AB" w:rsidP="00BD6E1D">
      <w:pPr>
        <w:pStyle w:val="NoSpacing"/>
        <w:rPr>
          <w:rFonts w:ascii="Arial" w:hAnsi="Arial" w:cs="Arial"/>
          <w:sz w:val="22"/>
          <w:szCs w:val="22"/>
        </w:rPr>
      </w:pPr>
      <w:r w:rsidRPr="0311DE0C">
        <w:rPr>
          <w:rFonts w:ascii="Arial" w:eastAsia="Times New Roman" w:hAnsi="Arial" w:cs="Arial"/>
          <w:sz w:val="22"/>
          <w:szCs w:val="22"/>
        </w:rPr>
        <w:t>Greg Chemello</w:t>
      </w:r>
    </w:p>
    <w:p w14:paraId="51203FA1" w14:textId="77777777" w:rsidR="00BD6E1D" w:rsidRPr="00A441A5" w:rsidRDefault="5473B5AB" w:rsidP="00BD6E1D">
      <w:pPr>
        <w:pStyle w:val="NoSpacing"/>
        <w:rPr>
          <w:rFonts w:ascii="Arial" w:hAnsi="Arial" w:cs="Arial"/>
          <w:sz w:val="22"/>
          <w:szCs w:val="22"/>
        </w:rPr>
      </w:pPr>
      <w:r w:rsidRPr="0311DE0C">
        <w:rPr>
          <w:rFonts w:ascii="Arial" w:hAnsi="Arial" w:cs="Arial"/>
          <w:sz w:val="22"/>
          <w:szCs w:val="22"/>
        </w:rPr>
        <w:t>Chair</w:t>
      </w:r>
    </w:p>
    <w:p w14:paraId="5D35F77A" w14:textId="77777777" w:rsidR="00BD6E1D" w:rsidRPr="00A441A5" w:rsidRDefault="5473B5AB" w:rsidP="00BD6E1D">
      <w:pPr>
        <w:pStyle w:val="NoSpacing"/>
        <w:rPr>
          <w:rFonts w:ascii="Arial" w:hAnsi="Arial" w:cs="Arial"/>
          <w:sz w:val="22"/>
          <w:szCs w:val="22"/>
        </w:rPr>
      </w:pPr>
      <w:r w:rsidRPr="0311DE0C">
        <w:rPr>
          <w:rFonts w:ascii="Arial" w:hAnsi="Arial" w:cs="Arial"/>
          <w:sz w:val="22"/>
          <w:szCs w:val="22"/>
        </w:rPr>
        <w:t>Queensland Building and Construction Board</w:t>
      </w:r>
    </w:p>
    <w:p w14:paraId="7C34B365" w14:textId="77777777" w:rsidR="00CF74FC" w:rsidRPr="00A57D9E" w:rsidRDefault="00CF74FC" w:rsidP="003069C5">
      <w:pPr>
        <w:pStyle w:val="TOCHeading"/>
        <w:spacing w:line="240" w:lineRule="auto"/>
        <w:rPr>
          <w:rFonts w:ascii="Arial" w:hAnsi="Arial" w:cs="Arial"/>
          <w:color w:val="auto"/>
          <w:sz w:val="20"/>
          <w:szCs w:val="20"/>
          <w:lang w:val="en-AU"/>
        </w:rPr>
      </w:pPr>
    </w:p>
    <w:p w14:paraId="7DD422D5" w14:textId="77777777" w:rsidR="003C6EDF" w:rsidRPr="00A57D9E" w:rsidRDefault="003C6EDF" w:rsidP="003C6EDF">
      <w:pPr>
        <w:rPr>
          <w:rFonts w:cs="Arial"/>
        </w:rPr>
      </w:pPr>
    </w:p>
    <w:p w14:paraId="57E376E5" w14:textId="75F7D0CB" w:rsidR="003C6EDF" w:rsidRPr="00A57D9E" w:rsidRDefault="003C6EDF">
      <w:pPr>
        <w:rPr>
          <w:rFonts w:cs="Arial"/>
        </w:rPr>
      </w:pPr>
      <w:r w:rsidRPr="00A57D9E">
        <w:rPr>
          <w:rFonts w:cs="Arial"/>
        </w:rPr>
        <w:br w:type="page"/>
      </w:r>
    </w:p>
    <w:p w14:paraId="03C579E5" w14:textId="25CBC796" w:rsidR="009F5646" w:rsidRPr="00F83A64" w:rsidRDefault="53F9D37B" w:rsidP="00750BED">
      <w:pPr>
        <w:pStyle w:val="Heading1"/>
        <w:rPr>
          <w:rFonts w:cs="Arial"/>
        </w:rPr>
      </w:pPr>
      <w:bookmarkStart w:id="12" w:name="_Toc206493007"/>
      <w:r>
        <w:lastRenderedPageBreak/>
        <w:t xml:space="preserve">Chair’s </w:t>
      </w:r>
      <w:r w:rsidR="5368B604">
        <w:t>m</w:t>
      </w:r>
      <w:r>
        <w:t>essage</w:t>
      </w:r>
      <w:r w:rsidRPr="0311DE0C">
        <w:rPr>
          <w:rFonts w:cs="Arial"/>
        </w:rPr>
        <w:t xml:space="preserve"> </w:t>
      </w:r>
      <w:bookmarkEnd w:id="12"/>
      <w:r w:rsidR="00140C3C">
        <w:tab/>
      </w:r>
    </w:p>
    <w:p w14:paraId="06F222F6" w14:textId="4A2753F6" w:rsidR="000F55B1" w:rsidRDefault="0022532B" w:rsidP="00367B3A">
      <w:pPr>
        <w:spacing w:before="120" w:after="120" w:line="257" w:lineRule="auto"/>
        <w:rPr>
          <w:rFonts w:eastAsia="Aptos" w:cs="Arial"/>
          <w:szCs w:val="22"/>
        </w:rPr>
      </w:pPr>
      <w:r>
        <w:rPr>
          <w:rFonts w:eastAsia="Aptos" w:cs="Arial"/>
          <w:szCs w:val="22"/>
        </w:rPr>
        <w:t xml:space="preserve">I am </w:t>
      </w:r>
      <w:r w:rsidR="009B7D0F">
        <w:rPr>
          <w:rFonts w:eastAsia="Aptos" w:cs="Arial"/>
          <w:szCs w:val="22"/>
        </w:rPr>
        <w:t>honoured</w:t>
      </w:r>
      <w:r w:rsidR="008033B8">
        <w:rPr>
          <w:rFonts w:eastAsia="Aptos" w:cs="Arial"/>
          <w:szCs w:val="22"/>
        </w:rPr>
        <w:t xml:space="preserve"> to </w:t>
      </w:r>
      <w:r w:rsidR="00707022">
        <w:rPr>
          <w:rFonts w:eastAsia="Aptos" w:cs="Arial"/>
          <w:szCs w:val="22"/>
        </w:rPr>
        <w:t xml:space="preserve">have been appointed </w:t>
      </w:r>
      <w:r w:rsidR="0076236D">
        <w:rPr>
          <w:rFonts w:eastAsia="Aptos" w:cs="Arial"/>
          <w:szCs w:val="22"/>
        </w:rPr>
        <w:t xml:space="preserve">the </w:t>
      </w:r>
      <w:r w:rsidR="000B211A">
        <w:rPr>
          <w:rFonts w:eastAsia="Aptos" w:cs="Arial"/>
          <w:szCs w:val="22"/>
        </w:rPr>
        <w:t xml:space="preserve">Chair of </w:t>
      </w:r>
      <w:r w:rsidR="008033B8">
        <w:rPr>
          <w:rFonts w:eastAsia="Aptos" w:cs="Arial"/>
          <w:szCs w:val="22"/>
        </w:rPr>
        <w:t xml:space="preserve">the </w:t>
      </w:r>
      <w:r w:rsidR="42AE5F3C" w:rsidRPr="00407756">
        <w:rPr>
          <w:rFonts w:eastAsia="Aptos" w:cs="Arial"/>
          <w:szCs w:val="22"/>
        </w:rPr>
        <w:t>Queensland Building and Construction</w:t>
      </w:r>
      <w:r w:rsidR="00B908B7">
        <w:rPr>
          <w:rFonts w:eastAsia="Aptos" w:cs="Arial"/>
          <w:szCs w:val="22"/>
        </w:rPr>
        <w:t xml:space="preserve"> </w:t>
      </w:r>
      <w:r w:rsidR="42AE5F3C" w:rsidRPr="00407756">
        <w:rPr>
          <w:rFonts w:eastAsia="Aptos" w:cs="Arial"/>
          <w:szCs w:val="22"/>
        </w:rPr>
        <w:t>Board</w:t>
      </w:r>
      <w:r w:rsidR="009144A8">
        <w:rPr>
          <w:rFonts w:eastAsia="Aptos" w:cs="Arial"/>
          <w:szCs w:val="22"/>
        </w:rPr>
        <w:t xml:space="preserve"> </w:t>
      </w:r>
      <w:r w:rsidR="009D64C3">
        <w:rPr>
          <w:rFonts w:eastAsia="Aptos" w:cs="Arial"/>
          <w:szCs w:val="22"/>
        </w:rPr>
        <w:t>in A</w:t>
      </w:r>
      <w:r w:rsidR="00E35664">
        <w:rPr>
          <w:rFonts w:eastAsia="Aptos" w:cs="Arial"/>
          <w:szCs w:val="22"/>
        </w:rPr>
        <w:t>pril 2025</w:t>
      </w:r>
      <w:r w:rsidR="001447F2">
        <w:rPr>
          <w:rFonts w:eastAsia="Aptos" w:cs="Arial"/>
          <w:szCs w:val="22"/>
        </w:rPr>
        <w:t>,</w:t>
      </w:r>
      <w:r w:rsidR="00E35664">
        <w:rPr>
          <w:rFonts w:eastAsia="Aptos" w:cs="Arial"/>
          <w:szCs w:val="22"/>
        </w:rPr>
        <w:t xml:space="preserve"> </w:t>
      </w:r>
      <w:r w:rsidR="009144A8">
        <w:rPr>
          <w:rFonts w:eastAsia="Aptos" w:cs="Arial"/>
          <w:szCs w:val="22"/>
        </w:rPr>
        <w:t xml:space="preserve">and </w:t>
      </w:r>
      <w:r w:rsidR="00C235C2">
        <w:rPr>
          <w:rFonts w:eastAsia="Aptos" w:cs="Arial"/>
          <w:szCs w:val="22"/>
        </w:rPr>
        <w:t xml:space="preserve">to present </w:t>
      </w:r>
      <w:r w:rsidR="00134DC0" w:rsidRPr="000E465A">
        <w:rPr>
          <w:rFonts w:eastAsia="Aptos" w:cs="Arial"/>
          <w:szCs w:val="22"/>
        </w:rPr>
        <w:t>t</w:t>
      </w:r>
      <w:r w:rsidR="00707E33" w:rsidRPr="000E465A">
        <w:rPr>
          <w:rFonts w:eastAsia="Aptos" w:cs="Arial"/>
          <w:szCs w:val="22"/>
        </w:rPr>
        <w:t>he</w:t>
      </w:r>
      <w:r w:rsidR="00C235C2" w:rsidRPr="000E465A">
        <w:rPr>
          <w:rFonts w:eastAsia="Aptos" w:cs="Arial"/>
          <w:szCs w:val="22"/>
        </w:rPr>
        <w:t xml:space="preserve"> </w:t>
      </w:r>
      <w:r w:rsidR="00042340" w:rsidRPr="000E465A">
        <w:rPr>
          <w:rFonts w:eastAsia="Aptos" w:cs="Arial"/>
          <w:szCs w:val="22"/>
        </w:rPr>
        <w:t xml:space="preserve">Queensland Building and </w:t>
      </w:r>
      <w:r w:rsidR="00461AE4" w:rsidRPr="000E465A">
        <w:rPr>
          <w:rFonts w:eastAsia="Aptos" w:cs="Arial"/>
          <w:szCs w:val="22"/>
        </w:rPr>
        <w:t>Construction</w:t>
      </w:r>
      <w:r w:rsidR="00042340" w:rsidRPr="000E465A">
        <w:rPr>
          <w:rFonts w:eastAsia="Aptos" w:cs="Arial"/>
          <w:szCs w:val="22"/>
        </w:rPr>
        <w:t xml:space="preserve"> </w:t>
      </w:r>
      <w:r w:rsidR="00461AE4" w:rsidRPr="000E465A">
        <w:rPr>
          <w:rFonts w:eastAsia="Aptos" w:cs="Arial"/>
          <w:szCs w:val="22"/>
        </w:rPr>
        <w:t>Commission</w:t>
      </w:r>
      <w:r w:rsidR="00042340" w:rsidRPr="000E465A">
        <w:rPr>
          <w:rFonts w:eastAsia="Aptos" w:cs="Arial"/>
          <w:szCs w:val="22"/>
        </w:rPr>
        <w:t xml:space="preserve"> </w:t>
      </w:r>
      <w:r w:rsidR="00461AE4" w:rsidRPr="000E465A">
        <w:rPr>
          <w:rFonts w:eastAsia="Aptos" w:cs="Arial"/>
          <w:szCs w:val="22"/>
        </w:rPr>
        <w:t>Annual Report 2024</w:t>
      </w:r>
      <w:r w:rsidR="009144A8" w:rsidRPr="000E465A">
        <w:rPr>
          <w:rFonts w:eastAsia="Aptos" w:cs="Arial"/>
          <w:szCs w:val="22"/>
        </w:rPr>
        <w:t>–</w:t>
      </w:r>
      <w:r w:rsidR="00CE4EB4">
        <w:rPr>
          <w:rFonts w:eastAsia="Aptos" w:cs="Arial"/>
          <w:szCs w:val="22"/>
        </w:rPr>
        <w:t>20</w:t>
      </w:r>
      <w:r w:rsidR="00461AE4" w:rsidRPr="000E465A">
        <w:rPr>
          <w:rFonts w:eastAsia="Aptos" w:cs="Arial"/>
          <w:szCs w:val="22"/>
        </w:rPr>
        <w:t>25</w:t>
      </w:r>
      <w:r w:rsidR="00461AE4">
        <w:rPr>
          <w:rFonts w:eastAsia="Aptos" w:cs="Arial"/>
          <w:szCs w:val="22"/>
        </w:rPr>
        <w:t>.</w:t>
      </w:r>
      <w:r w:rsidR="42AE5F3C" w:rsidRPr="00407756">
        <w:rPr>
          <w:rFonts w:eastAsia="Aptos" w:cs="Arial"/>
          <w:szCs w:val="22"/>
        </w:rPr>
        <w:t xml:space="preserve"> </w:t>
      </w:r>
    </w:p>
    <w:p w14:paraId="41113B13" w14:textId="3FD22A5C" w:rsidR="004960A2" w:rsidRDefault="00381099" w:rsidP="00367B3A">
      <w:pPr>
        <w:spacing w:before="120" w:after="120" w:line="257" w:lineRule="auto"/>
        <w:rPr>
          <w:rFonts w:eastAsia="Aptos" w:cs="Arial"/>
          <w:szCs w:val="22"/>
        </w:rPr>
      </w:pPr>
      <w:r>
        <w:rPr>
          <w:rFonts w:eastAsia="Aptos" w:cs="Arial"/>
          <w:szCs w:val="22"/>
        </w:rPr>
        <w:t>2024–25</w:t>
      </w:r>
      <w:r w:rsidR="00864D05">
        <w:rPr>
          <w:rFonts w:eastAsia="Aptos" w:cs="Arial"/>
          <w:szCs w:val="22"/>
        </w:rPr>
        <w:t xml:space="preserve"> </w:t>
      </w:r>
      <w:r w:rsidR="00355751">
        <w:rPr>
          <w:rFonts w:eastAsia="Aptos" w:cs="Arial"/>
          <w:szCs w:val="22"/>
        </w:rPr>
        <w:t>marks a</w:t>
      </w:r>
      <w:r w:rsidR="00864D05">
        <w:rPr>
          <w:rFonts w:eastAsia="Aptos" w:cs="Arial"/>
          <w:szCs w:val="22"/>
        </w:rPr>
        <w:t xml:space="preserve"> period of renewal </w:t>
      </w:r>
      <w:r w:rsidR="00065A1F">
        <w:rPr>
          <w:rFonts w:eastAsia="Aptos" w:cs="Arial"/>
          <w:szCs w:val="22"/>
        </w:rPr>
        <w:t xml:space="preserve">and transformation for the </w:t>
      </w:r>
      <w:r w:rsidR="00065A1F" w:rsidRPr="00065A1F">
        <w:rPr>
          <w:rFonts w:eastAsia="Aptos" w:cs="Arial"/>
          <w:szCs w:val="22"/>
        </w:rPr>
        <w:t>Queensland Building and Construction Commission</w:t>
      </w:r>
      <w:r w:rsidR="00E81588">
        <w:rPr>
          <w:rFonts w:eastAsia="Aptos" w:cs="Arial"/>
          <w:szCs w:val="22"/>
        </w:rPr>
        <w:t xml:space="preserve"> (</w:t>
      </w:r>
      <w:r w:rsidR="00A911EB">
        <w:rPr>
          <w:rFonts w:eastAsia="Aptos" w:cs="Arial"/>
          <w:szCs w:val="22"/>
        </w:rPr>
        <w:t>QBCC</w:t>
      </w:r>
      <w:r w:rsidR="00E81588">
        <w:rPr>
          <w:rFonts w:eastAsia="Aptos" w:cs="Arial"/>
          <w:szCs w:val="22"/>
        </w:rPr>
        <w:t>)</w:t>
      </w:r>
      <w:r w:rsidR="0030491E">
        <w:rPr>
          <w:rFonts w:eastAsia="Aptos" w:cs="Arial"/>
          <w:szCs w:val="22"/>
        </w:rPr>
        <w:t xml:space="preserve">. </w:t>
      </w:r>
      <w:r w:rsidR="007875DA">
        <w:rPr>
          <w:rFonts w:eastAsia="Aptos" w:cs="Arial"/>
          <w:szCs w:val="22"/>
        </w:rPr>
        <w:t>T</w:t>
      </w:r>
      <w:r w:rsidR="004960A2" w:rsidRPr="004960A2">
        <w:rPr>
          <w:rFonts w:eastAsia="Aptos" w:cs="Arial"/>
          <w:szCs w:val="22"/>
        </w:rPr>
        <w:t xml:space="preserve">he </w:t>
      </w:r>
      <w:r w:rsidR="007875DA">
        <w:rPr>
          <w:rFonts w:eastAsia="Aptos" w:cs="Arial"/>
          <w:szCs w:val="22"/>
        </w:rPr>
        <w:t>appointment of</w:t>
      </w:r>
      <w:r w:rsidR="00717388">
        <w:rPr>
          <w:rFonts w:eastAsia="Aptos" w:cs="Arial"/>
          <w:szCs w:val="22"/>
        </w:rPr>
        <w:t xml:space="preserve"> the </w:t>
      </w:r>
      <w:r w:rsidR="004960A2" w:rsidRPr="004960A2">
        <w:rPr>
          <w:rFonts w:eastAsia="Aptos" w:cs="Arial"/>
          <w:szCs w:val="22"/>
        </w:rPr>
        <w:t xml:space="preserve">Honourable Sam O’Connor </w:t>
      </w:r>
      <w:r w:rsidR="00717388">
        <w:rPr>
          <w:rFonts w:eastAsia="Aptos" w:cs="Arial"/>
          <w:szCs w:val="22"/>
        </w:rPr>
        <w:t>as</w:t>
      </w:r>
      <w:r w:rsidR="00FC11FB">
        <w:rPr>
          <w:rFonts w:eastAsia="Aptos" w:cs="Arial"/>
          <w:szCs w:val="22"/>
        </w:rPr>
        <w:t xml:space="preserve"> </w:t>
      </w:r>
      <w:r w:rsidR="005631B2">
        <w:rPr>
          <w:rFonts w:eastAsia="Aptos" w:cs="Arial"/>
          <w:szCs w:val="22"/>
        </w:rPr>
        <w:t>the</w:t>
      </w:r>
      <w:r w:rsidR="004960A2" w:rsidRPr="004960A2">
        <w:rPr>
          <w:rFonts w:eastAsia="Aptos" w:cs="Arial"/>
          <w:szCs w:val="22"/>
        </w:rPr>
        <w:t xml:space="preserve"> Minister for Housing and Public Works</w:t>
      </w:r>
      <w:r w:rsidR="00717388">
        <w:rPr>
          <w:rFonts w:eastAsia="Aptos" w:cs="Arial"/>
          <w:szCs w:val="22"/>
        </w:rPr>
        <w:t xml:space="preserve"> in November 2024, followed by</w:t>
      </w:r>
      <w:r w:rsidR="00AF044B">
        <w:rPr>
          <w:rFonts w:eastAsia="Aptos" w:cs="Arial"/>
          <w:szCs w:val="22"/>
        </w:rPr>
        <w:t xml:space="preserve"> </w:t>
      </w:r>
      <w:r w:rsidR="005138CE" w:rsidRPr="005138CE">
        <w:rPr>
          <w:rFonts w:eastAsia="Aptos" w:cs="Arial"/>
          <w:szCs w:val="22"/>
        </w:rPr>
        <w:t xml:space="preserve">Mr </w:t>
      </w:r>
      <w:r w:rsidR="004960A2" w:rsidRPr="004960A2">
        <w:rPr>
          <w:rFonts w:eastAsia="Aptos" w:cs="Arial"/>
          <w:szCs w:val="22"/>
        </w:rPr>
        <w:t>Angelo Lambrinos as</w:t>
      </w:r>
      <w:r w:rsidR="008F36ED">
        <w:rPr>
          <w:rFonts w:eastAsia="Aptos" w:cs="Arial"/>
          <w:szCs w:val="22"/>
        </w:rPr>
        <w:t xml:space="preserve"> </w:t>
      </w:r>
      <w:r w:rsidR="00717388">
        <w:rPr>
          <w:rFonts w:eastAsia="Aptos" w:cs="Arial"/>
          <w:szCs w:val="22"/>
        </w:rPr>
        <w:t>the</w:t>
      </w:r>
      <w:r w:rsidR="008F36ED">
        <w:rPr>
          <w:rFonts w:eastAsia="Aptos" w:cs="Arial"/>
          <w:szCs w:val="22"/>
        </w:rPr>
        <w:t xml:space="preserve"> </w:t>
      </w:r>
      <w:r w:rsidR="00F41134">
        <w:rPr>
          <w:rFonts w:eastAsia="Aptos" w:cs="Arial"/>
          <w:szCs w:val="22"/>
        </w:rPr>
        <w:t>QBCC</w:t>
      </w:r>
      <w:r w:rsidR="004960A2" w:rsidRPr="004960A2">
        <w:rPr>
          <w:rFonts w:eastAsia="Aptos" w:cs="Arial"/>
          <w:szCs w:val="22"/>
        </w:rPr>
        <w:t xml:space="preserve"> C</w:t>
      </w:r>
      <w:r w:rsidR="005A29DA">
        <w:rPr>
          <w:rFonts w:eastAsia="Aptos" w:cs="Arial"/>
          <w:szCs w:val="22"/>
        </w:rPr>
        <w:t xml:space="preserve">hief </w:t>
      </w:r>
      <w:r w:rsidR="004960A2" w:rsidRPr="004960A2">
        <w:rPr>
          <w:rFonts w:eastAsia="Aptos" w:cs="Arial"/>
          <w:szCs w:val="22"/>
        </w:rPr>
        <w:t>E</w:t>
      </w:r>
      <w:r w:rsidR="005A29DA">
        <w:rPr>
          <w:rFonts w:eastAsia="Aptos" w:cs="Arial"/>
          <w:szCs w:val="22"/>
        </w:rPr>
        <w:t xml:space="preserve">xecutive </w:t>
      </w:r>
      <w:r w:rsidR="004960A2" w:rsidRPr="004960A2">
        <w:rPr>
          <w:rFonts w:eastAsia="Aptos" w:cs="Arial"/>
          <w:szCs w:val="22"/>
        </w:rPr>
        <w:t>O</w:t>
      </w:r>
      <w:r w:rsidR="005A29DA">
        <w:rPr>
          <w:rFonts w:eastAsia="Aptos" w:cs="Arial"/>
          <w:szCs w:val="22"/>
        </w:rPr>
        <w:t>fficer</w:t>
      </w:r>
      <w:r w:rsidR="004960A2" w:rsidRPr="004960A2">
        <w:rPr>
          <w:rFonts w:eastAsia="Aptos" w:cs="Arial"/>
          <w:szCs w:val="22"/>
        </w:rPr>
        <w:t xml:space="preserve"> and Commissioner </w:t>
      </w:r>
      <w:r w:rsidR="000A3D3B">
        <w:rPr>
          <w:rFonts w:eastAsia="Aptos" w:cs="Arial"/>
          <w:szCs w:val="22"/>
        </w:rPr>
        <w:t xml:space="preserve">at a similar time to </w:t>
      </w:r>
      <w:proofErr w:type="gramStart"/>
      <w:r w:rsidR="000A3D3B">
        <w:rPr>
          <w:rFonts w:eastAsia="Aptos" w:cs="Arial"/>
          <w:szCs w:val="22"/>
        </w:rPr>
        <w:t>myself</w:t>
      </w:r>
      <w:proofErr w:type="gramEnd"/>
      <w:r w:rsidR="00AF4DAF">
        <w:rPr>
          <w:rFonts w:eastAsia="Aptos" w:cs="Arial"/>
          <w:szCs w:val="22"/>
        </w:rPr>
        <w:t>, signals a</w:t>
      </w:r>
      <w:r w:rsidR="004960A2" w:rsidRPr="004960A2" w:rsidDel="0001407F">
        <w:rPr>
          <w:rFonts w:eastAsia="Aptos" w:cs="Arial"/>
          <w:szCs w:val="22"/>
        </w:rPr>
        <w:t xml:space="preserve"> </w:t>
      </w:r>
      <w:r w:rsidR="006F08A5">
        <w:rPr>
          <w:rFonts w:eastAsia="Aptos" w:cs="Arial"/>
          <w:szCs w:val="22"/>
        </w:rPr>
        <w:t xml:space="preserve">strong commitment to revitalising </w:t>
      </w:r>
      <w:r w:rsidR="006F08A5" w:rsidRPr="00D37EDD">
        <w:rPr>
          <w:rFonts w:eastAsia="Aptos" w:cs="Arial"/>
          <w:szCs w:val="22"/>
        </w:rPr>
        <w:t xml:space="preserve">the </w:t>
      </w:r>
      <w:r w:rsidR="00D46C1F" w:rsidRPr="00D37EDD">
        <w:rPr>
          <w:rFonts w:eastAsia="Aptos" w:cs="Arial"/>
          <w:szCs w:val="22"/>
        </w:rPr>
        <w:t xml:space="preserve">organisation </w:t>
      </w:r>
      <w:r w:rsidR="00C312F1">
        <w:rPr>
          <w:rFonts w:eastAsia="Aptos" w:cs="Arial"/>
          <w:szCs w:val="22"/>
        </w:rPr>
        <w:t>to have a stronger focus on our customers</w:t>
      </w:r>
      <w:r w:rsidR="005F47AF" w:rsidRPr="00D37EDD">
        <w:rPr>
          <w:rFonts w:eastAsia="Aptos" w:cs="Arial"/>
          <w:szCs w:val="22"/>
        </w:rPr>
        <w:t>.</w:t>
      </w:r>
    </w:p>
    <w:p w14:paraId="6B4BE510" w14:textId="77777777" w:rsidR="00C57392" w:rsidRDefault="611E984C" w:rsidP="00367B3A">
      <w:pPr>
        <w:spacing w:before="120" w:after="120" w:line="257" w:lineRule="auto"/>
        <w:rPr>
          <w:rFonts w:eastAsia="Aptos" w:cs="Arial"/>
        </w:rPr>
      </w:pPr>
      <w:r w:rsidRPr="6B59CDB2">
        <w:rPr>
          <w:rFonts w:eastAsia="Aptos" w:cs="Arial"/>
        </w:rPr>
        <w:t xml:space="preserve">As </w:t>
      </w:r>
      <w:r w:rsidR="2B461C54" w:rsidRPr="6B59CDB2">
        <w:rPr>
          <w:rFonts w:eastAsia="Aptos" w:cs="Arial"/>
        </w:rPr>
        <w:t>Queensland’s building and construction</w:t>
      </w:r>
      <w:r w:rsidRPr="6B59CDB2">
        <w:rPr>
          <w:rFonts w:eastAsia="Aptos" w:cs="Arial"/>
        </w:rPr>
        <w:t xml:space="preserve"> </w:t>
      </w:r>
      <w:r w:rsidR="3F306F46" w:rsidRPr="6B59CDB2">
        <w:rPr>
          <w:rFonts w:eastAsia="Aptos" w:cs="Arial"/>
        </w:rPr>
        <w:t>regulator</w:t>
      </w:r>
      <w:r w:rsidRPr="6B59CDB2">
        <w:rPr>
          <w:rFonts w:eastAsia="Aptos" w:cs="Arial"/>
        </w:rPr>
        <w:t xml:space="preserve">, </w:t>
      </w:r>
      <w:r w:rsidRPr="00D37EDD">
        <w:rPr>
          <w:rFonts w:eastAsia="Aptos" w:cs="Arial"/>
        </w:rPr>
        <w:t xml:space="preserve">the QBCC </w:t>
      </w:r>
      <w:r w:rsidR="54873D20" w:rsidRPr="00D37EDD">
        <w:rPr>
          <w:rFonts w:eastAsia="Aptos" w:cs="Arial"/>
        </w:rPr>
        <w:t xml:space="preserve">plays a </w:t>
      </w:r>
      <w:r w:rsidR="75CD1FF3" w:rsidRPr="00D37EDD">
        <w:rPr>
          <w:rFonts w:eastAsia="Aptos" w:cs="Arial"/>
        </w:rPr>
        <w:t>vital</w:t>
      </w:r>
      <w:r w:rsidR="54873D20" w:rsidRPr="00D37EDD">
        <w:rPr>
          <w:rFonts w:eastAsia="Aptos" w:cs="Arial"/>
        </w:rPr>
        <w:t xml:space="preserve"> role in </w:t>
      </w:r>
      <w:r w:rsidR="7614D6C4" w:rsidRPr="00D37EDD">
        <w:rPr>
          <w:rFonts w:eastAsia="Aptos" w:cs="Arial"/>
        </w:rPr>
        <w:t xml:space="preserve">supporting a safe, </w:t>
      </w:r>
      <w:r w:rsidR="7614D6C4" w:rsidRPr="6B59CDB2">
        <w:rPr>
          <w:rFonts w:eastAsia="Aptos" w:cs="Arial"/>
        </w:rPr>
        <w:t xml:space="preserve">transparent and </w:t>
      </w:r>
      <w:r w:rsidR="0E5B5E2A" w:rsidRPr="6B59CDB2">
        <w:rPr>
          <w:rFonts w:eastAsia="Aptos" w:cs="Arial"/>
        </w:rPr>
        <w:t>sustainable</w:t>
      </w:r>
      <w:r w:rsidR="7614D6C4" w:rsidRPr="6B59CDB2">
        <w:rPr>
          <w:rFonts w:eastAsia="Aptos" w:cs="Arial"/>
        </w:rPr>
        <w:t xml:space="preserve"> </w:t>
      </w:r>
      <w:r w:rsidR="4B160A58" w:rsidRPr="6B59CDB2">
        <w:rPr>
          <w:rFonts w:eastAsia="Aptos" w:cs="Arial"/>
        </w:rPr>
        <w:t xml:space="preserve">industry. </w:t>
      </w:r>
      <w:r w:rsidR="7EE1C0E2" w:rsidRPr="6B59CDB2">
        <w:rPr>
          <w:rFonts w:eastAsia="Aptos" w:cs="Arial"/>
        </w:rPr>
        <w:t>Fulfilling</w:t>
      </w:r>
      <w:r w:rsidR="5F8D19FA" w:rsidRPr="6B59CDB2">
        <w:rPr>
          <w:rFonts w:eastAsia="Aptos" w:cs="Arial"/>
        </w:rPr>
        <w:t xml:space="preserve"> this responsibility </w:t>
      </w:r>
      <w:r w:rsidR="2A588CB7" w:rsidRPr="6B59CDB2">
        <w:rPr>
          <w:rFonts w:eastAsia="Aptos" w:cs="Arial"/>
        </w:rPr>
        <w:t xml:space="preserve">requires </w:t>
      </w:r>
      <w:r w:rsidRPr="6B59CDB2">
        <w:rPr>
          <w:rFonts w:eastAsia="Aptos" w:cs="Arial"/>
        </w:rPr>
        <w:t>balanc</w:t>
      </w:r>
      <w:r w:rsidR="7EE1C0E2" w:rsidRPr="6B59CDB2">
        <w:rPr>
          <w:rFonts w:eastAsia="Aptos" w:cs="Arial"/>
        </w:rPr>
        <w:t xml:space="preserve">ing firm </w:t>
      </w:r>
      <w:r w:rsidR="2B1EA50F" w:rsidRPr="6B59CDB2">
        <w:rPr>
          <w:rFonts w:eastAsia="Aptos" w:cs="Arial"/>
        </w:rPr>
        <w:t>regulatory</w:t>
      </w:r>
      <w:r w:rsidRPr="6B59CDB2">
        <w:rPr>
          <w:rFonts w:eastAsia="Aptos" w:cs="Arial"/>
        </w:rPr>
        <w:t xml:space="preserve"> oversight </w:t>
      </w:r>
      <w:r w:rsidR="1704A43B" w:rsidRPr="6B59CDB2">
        <w:rPr>
          <w:rFonts w:eastAsia="Aptos" w:cs="Arial"/>
        </w:rPr>
        <w:t xml:space="preserve">to ensure compliance with </w:t>
      </w:r>
      <w:r w:rsidR="1C893DB3" w:rsidRPr="6B59CDB2">
        <w:rPr>
          <w:rFonts w:eastAsia="Aptos" w:cs="Arial"/>
        </w:rPr>
        <w:t xml:space="preserve">legislation and standards, while </w:t>
      </w:r>
      <w:r w:rsidR="1704A43B" w:rsidRPr="6B59CDB2">
        <w:rPr>
          <w:rFonts w:eastAsia="Aptos" w:cs="Arial"/>
        </w:rPr>
        <w:t xml:space="preserve">also </w:t>
      </w:r>
      <w:r w:rsidR="1F0CB386" w:rsidRPr="6B59CDB2">
        <w:rPr>
          <w:rFonts w:eastAsia="Aptos" w:cs="Arial"/>
        </w:rPr>
        <w:t>maintaining</w:t>
      </w:r>
      <w:r w:rsidR="7EE1C0E2" w:rsidRPr="6B59CDB2">
        <w:rPr>
          <w:rFonts w:eastAsia="Aptos" w:cs="Arial"/>
        </w:rPr>
        <w:t xml:space="preserve"> </w:t>
      </w:r>
      <w:r w:rsidR="1F0CB386" w:rsidRPr="6B59CDB2">
        <w:rPr>
          <w:rFonts w:eastAsia="Aptos" w:cs="Arial"/>
        </w:rPr>
        <w:t>t</w:t>
      </w:r>
      <w:r w:rsidR="197CEC66" w:rsidRPr="6B59CDB2">
        <w:rPr>
          <w:rFonts w:eastAsia="Aptos" w:cs="Arial"/>
        </w:rPr>
        <w:t>rust and</w:t>
      </w:r>
      <w:r w:rsidR="7EE1C0E2" w:rsidRPr="6B59CDB2">
        <w:rPr>
          <w:rFonts w:eastAsia="Aptos" w:cs="Arial"/>
        </w:rPr>
        <w:t xml:space="preserve"> </w:t>
      </w:r>
      <w:r w:rsidR="197CEC66" w:rsidRPr="6B59CDB2">
        <w:rPr>
          <w:rFonts w:eastAsia="Aptos" w:cs="Arial"/>
        </w:rPr>
        <w:t xml:space="preserve">building </w:t>
      </w:r>
      <w:r w:rsidR="1F0CB386" w:rsidRPr="6B59CDB2">
        <w:rPr>
          <w:rFonts w:eastAsia="Aptos" w:cs="Arial"/>
        </w:rPr>
        <w:t>constructive</w:t>
      </w:r>
      <w:r w:rsidR="197CEC66" w:rsidRPr="6B59CDB2">
        <w:rPr>
          <w:rFonts w:eastAsia="Aptos" w:cs="Arial"/>
        </w:rPr>
        <w:t xml:space="preserve"> </w:t>
      </w:r>
      <w:r w:rsidR="0804C796" w:rsidRPr="6B59CDB2">
        <w:rPr>
          <w:rFonts w:eastAsia="Aptos" w:cs="Arial"/>
        </w:rPr>
        <w:t>colla</w:t>
      </w:r>
      <w:r w:rsidR="56DCF88F" w:rsidRPr="6B59CDB2">
        <w:rPr>
          <w:rFonts w:eastAsia="Aptos" w:cs="Arial"/>
        </w:rPr>
        <w:t xml:space="preserve">borative </w:t>
      </w:r>
      <w:r w:rsidR="401981FF" w:rsidRPr="6B59CDB2">
        <w:rPr>
          <w:rFonts w:eastAsia="Aptos" w:cs="Arial"/>
        </w:rPr>
        <w:t>relationships w</w:t>
      </w:r>
      <w:r w:rsidR="37CFA96C" w:rsidRPr="6B59CDB2">
        <w:rPr>
          <w:rFonts w:eastAsia="Aptos" w:cs="Arial"/>
        </w:rPr>
        <w:t xml:space="preserve">ith industry </w:t>
      </w:r>
      <w:r w:rsidR="0804C796" w:rsidRPr="6B59CDB2">
        <w:rPr>
          <w:rFonts w:eastAsia="Aptos" w:cs="Arial"/>
        </w:rPr>
        <w:t xml:space="preserve">stakeholders </w:t>
      </w:r>
      <w:r w:rsidR="37CFA96C" w:rsidRPr="6B59CDB2">
        <w:rPr>
          <w:rFonts w:eastAsia="Aptos" w:cs="Arial"/>
        </w:rPr>
        <w:t xml:space="preserve">and consumers. </w:t>
      </w:r>
    </w:p>
    <w:p w14:paraId="1E8F3F9F" w14:textId="4D0C48A6" w:rsidR="00247EDE" w:rsidRDefault="7292E2F7" w:rsidP="00367B3A">
      <w:pPr>
        <w:spacing w:before="120" w:after="120" w:line="257" w:lineRule="auto"/>
        <w:rPr>
          <w:rFonts w:eastAsia="Aptos" w:cs="Arial"/>
        </w:rPr>
      </w:pPr>
      <w:r w:rsidRPr="6B59CDB2">
        <w:rPr>
          <w:rFonts w:eastAsia="Aptos" w:cs="Arial"/>
        </w:rPr>
        <w:t>T</w:t>
      </w:r>
      <w:r w:rsidR="0A991B71" w:rsidRPr="6B59CDB2">
        <w:rPr>
          <w:rFonts w:eastAsia="Aptos" w:cs="Arial"/>
        </w:rPr>
        <w:t xml:space="preserve">he </w:t>
      </w:r>
      <w:r w:rsidR="0A991B71" w:rsidRPr="00D850B1">
        <w:rPr>
          <w:rFonts w:eastAsia="Aptos" w:cs="Arial"/>
        </w:rPr>
        <w:t xml:space="preserve">QBCC Strategic Plan 2023–27, </w:t>
      </w:r>
      <w:r w:rsidR="6536DA75" w:rsidRPr="00D850B1">
        <w:rPr>
          <w:rFonts w:eastAsia="Aptos" w:cs="Arial"/>
        </w:rPr>
        <w:t>revised for 2024</w:t>
      </w:r>
      <w:r w:rsidR="5CC12B5A" w:rsidRPr="00D850B1">
        <w:rPr>
          <w:rFonts w:eastAsia="Aptos" w:cs="Arial"/>
        </w:rPr>
        <w:t>–</w:t>
      </w:r>
      <w:r w:rsidR="6536DA75" w:rsidRPr="00D850B1">
        <w:rPr>
          <w:rFonts w:eastAsia="Aptos" w:cs="Arial"/>
        </w:rPr>
        <w:t>25</w:t>
      </w:r>
      <w:r w:rsidR="6536DA75" w:rsidRPr="6B59CDB2">
        <w:rPr>
          <w:rFonts w:eastAsia="Aptos" w:cs="Arial"/>
          <w:i/>
          <w:iCs/>
        </w:rPr>
        <w:t xml:space="preserve"> </w:t>
      </w:r>
      <w:r w:rsidR="6536DA75" w:rsidRPr="6B59CDB2">
        <w:rPr>
          <w:rFonts w:eastAsia="Aptos" w:cs="Arial"/>
        </w:rPr>
        <w:t>(Strategic Plan)</w:t>
      </w:r>
      <w:r w:rsidR="0A991B71" w:rsidRPr="6B59CDB2">
        <w:rPr>
          <w:rFonts w:eastAsia="Aptos" w:cs="Arial"/>
        </w:rPr>
        <w:t xml:space="preserve">, </w:t>
      </w:r>
      <w:r w:rsidR="5D191E91" w:rsidRPr="6B59CDB2">
        <w:rPr>
          <w:rFonts w:eastAsia="Aptos" w:cs="Arial"/>
        </w:rPr>
        <w:t xml:space="preserve">reflects </w:t>
      </w:r>
      <w:r w:rsidR="23B98A73" w:rsidRPr="6B59CDB2">
        <w:rPr>
          <w:rFonts w:eastAsia="Aptos" w:cs="Arial"/>
        </w:rPr>
        <w:t>this</w:t>
      </w:r>
      <w:r w:rsidR="61BF36DB" w:rsidRPr="6B59CDB2">
        <w:rPr>
          <w:rFonts w:eastAsia="Aptos" w:cs="Arial"/>
        </w:rPr>
        <w:t xml:space="preserve"> dual </w:t>
      </w:r>
      <w:r w:rsidR="23B98A73" w:rsidRPr="6B59CDB2">
        <w:rPr>
          <w:rFonts w:eastAsia="Aptos" w:cs="Arial"/>
        </w:rPr>
        <w:t>role</w:t>
      </w:r>
      <w:r w:rsidR="102539DE" w:rsidRPr="6B59CDB2">
        <w:rPr>
          <w:rFonts w:eastAsia="Aptos" w:cs="Arial"/>
        </w:rPr>
        <w:t xml:space="preserve"> and </w:t>
      </w:r>
      <w:r w:rsidR="23B98A73" w:rsidRPr="6B59CDB2">
        <w:rPr>
          <w:rFonts w:eastAsia="Aptos" w:cs="Arial"/>
        </w:rPr>
        <w:t>outlines</w:t>
      </w:r>
      <w:r w:rsidR="102539DE" w:rsidRPr="6B59CDB2">
        <w:rPr>
          <w:rFonts w:eastAsia="Aptos" w:cs="Arial"/>
        </w:rPr>
        <w:t xml:space="preserve"> the organisation’s </w:t>
      </w:r>
      <w:r w:rsidR="23B98A73" w:rsidRPr="6B59CDB2">
        <w:rPr>
          <w:rFonts w:eastAsia="Aptos" w:cs="Arial"/>
        </w:rPr>
        <w:t xml:space="preserve">key </w:t>
      </w:r>
      <w:r w:rsidR="0A991B71" w:rsidRPr="6B59CDB2">
        <w:rPr>
          <w:rFonts w:eastAsia="Aptos" w:cs="Arial"/>
        </w:rPr>
        <w:t xml:space="preserve">priorities and </w:t>
      </w:r>
      <w:r w:rsidR="41C50883" w:rsidRPr="6B59CDB2">
        <w:rPr>
          <w:rFonts w:eastAsia="Aptos" w:cs="Arial"/>
        </w:rPr>
        <w:t xml:space="preserve">long-term </w:t>
      </w:r>
      <w:r w:rsidR="0A991B71" w:rsidRPr="6B59CDB2">
        <w:rPr>
          <w:rFonts w:eastAsia="Aptos" w:cs="Arial"/>
        </w:rPr>
        <w:t>vision</w:t>
      </w:r>
      <w:r w:rsidR="41C50883" w:rsidRPr="6B59CDB2">
        <w:rPr>
          <w:rFonts w:eastAsia="Aptos" w:cs="Arial"/>
        </w:rPr>
        <w:t>.</w:t>
      </w:r>
      <w:r w:rsidR="7C75EE71" w:rsidRPr="6B59CDB2">
        <w:rPr>
          <w:rFonts w:eastAsia="Aptos" w:cs="Arial"/>
        </w:rPr>
        <w:t xml:space="preserve"> </w:t>
      </w:r>
      <w:r w:rsidR="2A56EF96" w:rsidRPr="6B59CDB2">
        <w:rPr>
          <w:rFonts w:eastAsia="Aptos" w:cs="Arial"/>
        </w:rPr>
        <w:t>A comprehensive review of the Strategic Plan will take place later in 2025 to ensure the QBCC meet</w:t>
      </w:r>
      <w:r w:rsidR="002E0BAA">
        <w:rPr>
          <w:rFonts w:eastAsia="Aptos" w:cs="Arial"/>
        </w:rPr>
        <w:t>s</w:t>
      </w:r>
      <w:r w:rsidR="2A56EF96" w:rsidRPr="6B59CDB2">
        <w:rPr>
          <w:rFonts w:eastAsia="Aptos" w:cs="Arial"/>
        </w:rPr>
        <w:t xml:space="preserve"> the evolving expectations of its stakeholders while promoting the long-term sustainability of the industry.</w:t>
      </w:r>
    </w:p>
    <w:p w14:paraId="1579468A" w14:textId="73538065" w:rsidR="003F5DBE" w:rsidRDefault="1C938405" w:rsidP="00367B3A">
      <w:pPr>
        <w:spacing w:before="120" w:after="120" w:line="257" w:lineRule="auto"/>
        <w:rPr>
          <w:rFonts w:eastAsia="Aptos" w:cs="Arial"/>
        </w:rPr>
      </w:pPr>
      <w:r w:rsidRPr="6B59CDB2">
        <w:rPr>
          <w:rFonts w:eastAsia="Aptos" w:cs="Arial"/>
        </w:rPr>
        <w:t xml:space="preserve">The nature of the QBCC’s regulatory work is inherently </w:t>
      </w:r>
      <w:r w:rsidR="2D376CA6" w:rsidRPr="6B59CDB2">
        <w:rPr>
          <w:rFonts w:eastAsia="Aptos" w:cs="Arial"/>
        </w:rPr>
        <w:t>complex</w:t>
      </w:r>
      <w:r w:rsidR="00F2162C">
        <w:rPr>
          <w:rFonts w:eastAsia="Aptos" w:cs="Arial"/>
        </w:rPr>
        <w:t>, requiring ca</w:t>
      </w:r>
      <w:r w:rsidR="00F61131">
        <w:rPr>
          <w:rFonts w:eastAsia="Aptos" w:cs="Arial"/>
        </w:rPr>
        <w:t xml:space="preserve">reful </w:t>
      </w:r>
      <w:r w:rsidR="0012672C">
        <w:rPr>
          <w:rFonts w:eastAsia="Aptos" w:cs="Arial"/>
        </w:rPr>
        <w:t>balanc</w:t>
      </w:r>
      <w:r w:rsidR="00BA5A90">
        <w:rPr>
          <w:rFonts w:eastAsia="Aptos" w:cs="Arial"/>
        </w:rPr>
        <w:t>ing</w:t>
      </w:r>
      <w:r w:rsidR="0012672C">
        <w:rPr>
          <w:rFonts w:eastAsia="Aptos" w:cs="Arial"/>
        </w:rPr>
        <w:t xml:space="preserve"> of </w:t>
      </w:r>
      <w:r w:rsidR="00BA5A90">
        <w:rPr>
          <w:rFonts w:eastAsia="Aptos" w:cs="Arial"/>
        </w:rPr>
        <w:t xml:space="preserve">competing </w:t>
      </w:r>
      <w:r w:rsidR="2D376CA6" w:rsidRPr="6B59CDB2">
        <w:rPr>
          <w:rFonts w:eastAsia="Aptos" w:cs="Arial"/>
        </w:rPr>
        <w:t>priorities,</w:t>
      </w:r>
      <w:r w:rsidR="0012672C">
        <w:rPr>
          <w:rFonts w:eastAsia="Aptos" w:cs="Arial"/>
        </w:rPr>
        <w:t xml:space="preserve"> </w:t>
      </w:r>
      <w:r w:rsidR="3BD2FED3" w:rsidRPr="6B59CDB2">
        <w:rPr>
          <w:rFonts w:eastAsia="Aptos" w:cs="Arial"/>
        </w:rPr>
        <w:t>legislati</w:t>
      </w:r>
      <w:r w:rsidR="00BA5A90">
        <w:rPr>
          <w:rFonts w:eastAsia="Aptos" w:cs="Arial"/>
        </w:rPr>
        <w:t>ve requirements</w:t>
      </w:r>
      <w:r w:rsidR="3BD2FED3" w:rsidRPr="6B59CDB2">
        <w:rPr>
          <w:rFonts w:eastAsia="Aptos" w:cs="Arial"/>
        </w:rPr>
        <w:t xml:space="preserve"> and </w:t>
      </w:r>
      <w:r w:rsidR="00CF5FE1">
        <w:rPr>
          <w:rFonts w:eastAsia="Aptos" w:cs="Arial"/>
        </w:rPr>
        <w:t>customer expectations</w:t>
      </w:r>
      <w:r w:rsidR="60A8B1E3" w:rsidRPr="6B59CDB2">
        <w:rPr>
          <w:rFonts w:eastAsia="Aptos" w:cs="Arial"/>
        </w:rPr>
        <w:t>.</w:t>
      </w:r>
      <w:r w:rsidR="3E219B4B" w:rsidRPr="6B59CDB2">
        <w:rPr>
          <w:rFonts w:eastAsia="Aptos" w:cs="Arial"/>
        </w:rPr>
        <w:t xml:space="preserve"> </w:t>
      </w:r>
      <w:r w:rsidR="00747EA4">
        <w:rPr>
          <w:rFonts w:eastAsia="Aptos" w:cs="Arial"/>
        </w:rPr>
        <w:t>I</w:t>
      </w:r>
      <w:r w:rsidR="7BD9B276" w:rsidRPr="6B59CDB2">
        <w:rPr>
          <w:rFonts w:eastAsia="Aptos" w:cs="Arial"/>
        </w:rPr>
        <w:t xml:space="preserve">ndividuals </w:t>
      </w:r>
      <w:r w:rsidR="00747EA4">
        <w:rPr>
          <w:rFonts w:eastAsia="Aptos" w:cs="Arial"/>
        </w:rPr>
        <w:t xml:space="preserve">engaging </w:t>
      </w:r>
      <w:r w:rsidR="004F6630">
        <w:rPr>
          <w:rFonts w:eastAsia="Aptos" w:cs="Arial"/>
        </w:rPr>
        <w:t xml:space="preserve">with the </w:t>
      </w:r>
      <w:r w:rsidR="000E160B">
        <w:rPr>
          <w:rFonts w:eastAsia="Aptos" w:cs="Arial"/>
        </w:rPr>
        <w:t xml:space="preserve">QBCC </w:t>
      </w:r>
      <w:r w:rsidR="00ED634E">
        <w:rPr>
          <w:rFonts w:eastAsia="Aptos" w:cs="Arial"/>
        </w:rPr>
        <w:t xml:space="preserve">are often navigating </w:t>
      </w:r>
      <w:r w:rsidR="00D91FBF">
        <w:rPr>
          <w:rFonts w:eastAsia="Aptos" w:cs="Arial"/>
        </w:rPr>
        <w:t>difficult circumstances</w:t>
      </w:r>
      <w:r w:rsidR="7BD9B276" w:rsidRPr="6B59CDB2">
        <w:rPr>
          <w:rFonts w:eastAsia="Aptos" w:cs="Arial"/>
        </w:rPr>
        <w:t>, such as</w:t>
      </w:r>
      <w:r w:rsidR="2EB857D5" w:rsidRPr="6B59CDB2">
        <w:rPr>
          <w:rFonts w:eastAsia="Aptos" w:cs="Arial"/>
        </w:rPr>
        <w:t xml:space="preserve"> </w:t>
      </w:r>
      <w:proofErr w:type="gramStart"/>
      <w:r w:rsidR="611E984C" w:rsidRPr="6B59CDB2">
        <w:rPr>
          <w:rFonts w:eastAsia="Aptos" w:cs="Arial"/>
        </w:rPr>
        <w:t>home owner</w:t>
      </w:r>
      <w:r w:rsidR="00345F2D">
        <w:rPr>
          <w:rFonts w:eastAsia="Aptos" w:cs="Arial"/>
        </w:rPr>
        <w:t>s</w:t>
      </w:r>
      <w:proofErr w:type="gramEnd"/>
      <w:r w:rsidR="611E984C" w:rsidRPr="6B59CDB2">
        <w:rPr>
          <w:rFonts w:eastAsia="Aptos" w:cs="Arial"/>
        </w:rPr>
        <w:t xml:space="preserve"> </w:t>
      </w:r>
      <w:r w:rsidR="0ACC8755" w:rsidRPr="6B59CDB2">
        <w:rPr>
          <w:rFonts w:eastAsia="Aptos" w:cs="Arial"/>
        </w:rPr>
        <w:t xml:space="preserve">seeking resolution </w:t>
      </w:r>
      <w:r w:rsidR="664D383C" w:rsidRPr="6B59CDB2">
        <w:rPr>
          <w:rFonts w:eastAsia="Aptos" w:cs="Arial"/>
        </w:rPr>
        <w:t xml:space="preserve">for </w:t>
      </w:r>
      <w:r w:rsidR="611E984C" w:rsidRPr="6B59CDB2">
        <w:rPr>
          <w:rFonts w:eastAsia="Aptos" w:cs="Arial"/>
        </w:rPr>
        <w:t>insurance claim</w:t>
      </w:r>
      <w:r w:rsidR="008C2E86">
        <w:rPr>
          <w:rFonts w:eastAsia="Aptos" w:cs="Arial"/>
        </w:rPr>
        <w:t>s</w:t>
      </w:r>
      <w:r w:rsidR="664D383C" w:rsidRPr="6B59CDB2">
        <w:rPr>
          <w:rFonts w:eastAsia="Aptos" w:cs="Arial"/>
        </w:rPr>
        <w:t xml:space="preserve"> </w:t>
      </w:r>
      <w:r w:rsidR="611E984C" w:rsidRPr="6B59CDB2">
        <w:rPr>
          <w:rFonts w:eastAsia="Aptos" w:cs="Arial"/>
        </w:rPr>
        <w:t xml:space="preserve">or </w:t>
      </w:r>
      <w:r w:rsidR="664D383C" w:rsidRPr="6B59CDB2">
        <w:rPr>
          <w:rFonts w:eastAsia="Aptos" w:cs="Arial"/>
        </w:rPr>
        <w:t>licensee</w:t>
      </w:r>
      <w:r w:rsidR="00345F2D">
        <w:rPr>
          <w:rFonts w:eastAsia="Aptos" w:cs="Arial"/>
        </w:rPr>
        <w:t>s</w:t>
      </w:r>
      <w:r w:rsidR="664D383C" w:rsidRPr="6B59CDB2">
        <w:rPr>
          <w:rFonts w:eastAsia="Aptos" w:cs="Arial"/>
        </w:rPr>
        <w:t xml:space="preserve"> </w:t>
      </w:r>
      <w:r w:rsidR="00546E30">
        <w:rPr>
          <w:rFonts w:eastAsia="Aptos" w:cs="Arial"/>
        </w:rPr>
        <w:t>responding to</w:t>
      </w:r>
      <w:r w:rsidR="664D383C" w:rsidRPr="6B59CDB2">
        <w:rPr>
          <w:rFonts w:eastAsia="Aptos" w:cs="Arial"/>
        </w:rPr>
        <w:t xml:space="preserve"> </w:t>
      </w:r>
      <w:r w:rsidR="611E984C" w:rsidRPr="6B59CDB2">
        <w:rPr>
          <w:rFonts w:eastAsia="Aptos" w:cs="Arial"/>
        </w:rPr>
        <w:t>defective work.</w:t>
      </w:r>
      <w:r w:rsidR="00C52F19">
        <w:rPr>
          <w:rFonts w:eastAsia="Aptos" w:cs="Arial"/>
        </w:rPr>
        <w:t xml:space="preserve"> </w:t>
      </w:r>
      <w:r w:rsidR="00546E30">
        <w:rPr>
          <w:rFonts w:eastAsia="Aptos" w:cs="Arial"/>
        </w:rPr>
        <w:t>Acknowledging that such</w:t>
      </w:r>
      <w:r w:rsidR="00EC0E4D">
        <w:rPr>
          <w:rFonts w:eastAsia="Aptos" w:cs="Arial"/>
        </w:rPr>
        <w:t xml:space="preserve"> complexity is a constant </w:t>
      </w:r>
      <w:r w:rsidR="00546E30">
        <w:rPr>
          <w:rFonts w:eastAsia="Aptos" w:cs="Arial"/>
        </w:rPr>
        <w:t>aspect</w:t>
      </w:r>
      <w:r w:rsidR="00C82A06">
        <w:rPr>
          <w:rFonts w:eastAsia="Aptos" w:cs="Arial"/>
        </w:rPr>
        <w:t xml:space="preserve"> </w:t>
      </w:r>
      <w:r w:rsidR="00A40741">
        <w:rPr>
          <w:rFonts w:eastAsia="Aptos" w:cs="Arial"/>
        </w:rPr>
        <w:t>of the regulatory environment</w:t>
      </w:r>
      <w:r w:rsidR="00ED1902">
        <w:rPr>
          <w:rFonts w:eastAsia="Aptos" w:cs="Arial"/>
        </w:rPr>
        <w:t xml:space="preserve">, </w:t>
      </w:r>
      <w:r w:rsidR="002E0BAA">
        <w:rPr>
          <w:rFonts w:eastAsia="Aptos" w:cs="Arial"/>
        </w:rPr>
        <w:t xml:space="preserve">a key part of my role is to ensure </w:t>
      </w:r>
      <w:r w:rsidR="00C52F19">
        <w:rPr>
          <w:rFonts w:eastAsia="Aptos" w:cs="Arial"/>
        </w:rPr>
        <w:t xml:space="preserve">the QBCC </w:t>
      </w:r>
      <w:r w:rsidR="00840FAC">
        <w:rPr>
          <w:rFonts w:eastAsia="Aptos" w:cs="Arial"/>
        </w:rPr>
        <w:t>respond</w:t>
      </w:r>
      <w:r w:rsidR="002E0BAA">
        <w:rPr>
          <w:rFonts w:eastAsia="Aptos" w:cs="Arial"/>
        </w:rPr>
        <w:t>s</w:t>
      </w:r>
      <w:r w:rsidR="00840FAC">
        <w:rPr>
          <w:rFonts w:eastAsia="Aptos" w:cs="Arial"/>
        </w:rPr>
        <w:t xml:space="preserve"> </w:t>
      </w:r>
      <w:r w:rsidR="00E15142">
        <w:rPr>
          <w:rFonts w:eastAsia="Aptos" w:cs="Arial"/>
        </w:rPr>
        <w:t>with empathy</w:t>
      </w:r>
      <w:r w:rsidR="004D5BED">
        <w:rPr>
          <w:rFonts w:eastAsia="Aptos" w:cs="Arial"/>
        </w:rPr>
        <w:t xml:space="preserve"> and </w:t>
      </w:r>
      <w:r w:rsidR="00E93D06">
        <w:rPr>
          <w:rFonts w:eastAsia="Aptos" w:cs="Arial"/>
        </w:rPr>
        <w:t xml:space="preserve">a </w:t>
      </w:r>
      <w:r w:rsidR="00840FAC">
        <w:rPr>
          <w:rFonts w:eastAsia="Aptos" w:cs="Arial"/>
        </w:rPr>
        <w:t>strong</w:t>
      </w:r>
      <w:r w:rsidR="00131A88">
        <w:rPr>
          <w:rFonts w:eastAsia="Aptos" w:cs="Arial"/>
        </w:rPr>
        <w:t xml:space="preserve"> focus on </w:t>
      </w:r>
      <w:r w:rsidR="000125E4">
        <w:rPr>
          <w:rFonts w:eastAsia="Aptos" w:cs="Arial"/>
        </w:rPr>
        <w:t xml:space="preserve">meeting </w:t>
      </w:r>
      <w:r w:rsidR="00E93D06">
        <w:rPr>
          <w:rFonts w:eastAsia="Aptos" w:cs="Arial"/>
        </w:rPr>
        <w:t xml:space="preserve">customer </w:t>
      </w:r>
      <w:r w:rsidR="00131A88">
        <w:rPr>
          <w:rFonts w:eastAsia="Aptos" w:cs="Arial"/>
        </w:rPr>
        <w:t>expectations</w:t>
      </w:r>
      <w:r w:rsidR="0421FC36" w:rsidRPr="6B59CDB2">
        <w:rPr>
          <w:rFonts w:eastAsia="Aptos" w:cs="Arial"/>
        </w:rPr>
        <w:t>.</w:t>
      </w:r>
      <w:r w:rsidR="1AE86167" w:rsidRPr="6B59CDB2">
        <w:rPr>
          <w:rFonts w:eastAsia="Aptos" w:cs="Arial"/>
        </w:rPr>
        <w:t xml:space="preserve"> </w:t>
      </w:r>
    </w:p>
    <w:p w14:paraId="2357DE09" w14:textId="48BB72D1" w:rsidR="000D3D40" w:rsidRDefault="00610313" w:rsidP="00367B3A">
      <w:pPr>
        <w:spacing w:before="120" w:after="120" w:line="257" w:lineRule="auto"/>
        <w:rPr>
          <w:rFonts w:eastAsia="Aptos" w:cs="Arial"/>
        </w:rPr>
      </w:pPr>
      <w:r>
        <w:rPr>
          <w:rFonts w:eastAsia="Aptos" w:cs="Arial"/>
        </w:rPr>
        <w:t>A</w:t>
      </w:r>
      <w:r w:rsidR="00604BE9">
        <w:rPr>
          <w:rFonts w:eastAsia="Aptos" w:cs="Arial"/>
        </w:rPr>
        <w:t xml:space="preserve"> renewed </w:t>
      </w:r>
      <w:r w:rsidR="005D18F1">
        <w:rPr>
          <w:rFonts w:eastAsia="Aptos" w:cs="Arial"/>
        </w:rPr>
        <w:t xml:space="preserve">focus on the customer </w:t>
      </w:r>
      <w:r w:rsidR="7B8D0B12" w:rsidRPr="6B59CDB2">
        <w:rPr>
          <w:rFonts w:eastAsia="Aptos" w:cs="Arial"/>
        </w:rPr>
        <w:t xml:space="preserve">has been </w:t>
      </w:r>
      <w:r w:rsidR="41D3342F" w:rsidRPr="6B59CDB2">
        <w:rPr>
          <w:rFonts w:eastAsia="Aptos" w:cs="Arial"/>
        </w:rPr>
        <w:t>widely</w:t>
      </w:r>
      <w:r w:rsidR="7B8D0B12" w:rsidRPr="6B59CDB2">
        <w:rPr>
          <w:rFonts w:eastAsia="Aptos" w:cs="Arial"/>
        </w:rPr>
        <w:t xml:space="preserve"> embraced across the </w:t>
      </w:r>
      <w:r w:rsidR="41D3342F" w:rsidRPr="6B59CDB2">
        <w:rPr>
          <w:rFonts w:eastAsia="Aptos" w:cs="Arial"/>
        </w:rPr>
        <w:t xml:space="preserve">organisation and </w:t>
      </w:r>
      <w:r w:rsidR="008A4E68">
        <w:rPr>
          <w:rFonts w:eastAsia="Aptos" w:cs="Arial"/>
        </w:rPr>
        <w:t xml:space="preserve">will </w:t>
      </w:r>
      <w:r w:rsidR="41D3342F" w:rsidRPr="6B59CDB2">
        <w:rPr>
          <w:rFonts w:eastAsia="Aptos" w:cs="Arial"/>
        </w:rPr>
        <w:t>continue to shape key priorities</w:t>
      </w:r>
      <w:r w:rsidR="4F2718B0" w:rsidRPr="6B59CDB2">
        <w:rPr>
          <w:rFonts w:eastAsia="Aptos" w:cs="Arial"/>
        </w:rPr>
        <w:t xml:space="preserve">. </w:t>
      </w:r>
      <w:r w:rsidR="59C8E416" w:rsidRPr="6B59CDB2">
        <w:rPr>
          <w:rFonts w:eastAsia="Aptos" w:cs="Arial"/>
        </w:rPr>
        <w:t>Enhancing</w:t>
      </w:r>
      <w:r w:rsidR="4F2718B0" w:rsidRPr="6B59CDB2">
        <w:rPr>
          <w:rFonts w:eastAsia="Aptos" w:cs="Arial"/>
        </w:rPr>
        <w:t xml:space="preserve"> the customer experience remains </w:t>
      </w:r>
      <w:r w:rsidR="59C8E416" w:rsidRPr="6B59CDB2">
        <w:rPr>
          <w:rFonts w:eastAsia="Aptos" w:cs="Arial"/>
        </w:rPr>
        <w:t>central to the QBCC’s efforts</w:t>
      </w:r>
      <w:r w:rsidR="17E8EA69" w:rsidRPr="6B59CDB2">
        <w:rPr>
          <w:rFonts w:eastAsia="Aptos" w:cs="Arial"/>
        </w:rPr>
        <w:t>, with a focus on delivering timel</w:t>
      </w:r>
      <w:r w:rsidR="51EEB4B0" w:rsidRPr="6B59CDB2">
        <w:rPr>
          <w:rFonts w:eastAsia="Aptos" w:cs="Arial"/>
        </w:rPr>
        <w:t>y</w:t>
      </w:r>
      <w:r w:rsidR="3F1A845E" w:rsidRPr="6B59CDB2">
        <w:rPr>
          <w:rFonts w:eastAsia="Aptos" w:cs="Arial"/>
        </w:rPr>
        <w:t>, respectful</w:t>
      </w:r>
      <w:r w:rsidR="51EEB4B0" w:rsidRPr="6B59CDB2">
        <w:rPr>
          <w:rFonts w:eastAsia="Aptos" w:cs="Arial"/>
        </w:rPr>
        <w:t xml:space="preserve"> and outcome</w:t>
      </w:r>
      <w:r w:rsidR="7573AA42" w:rsidRPr="6B59CDB2">
        <w:rPr>
          <w:rFonts w:eastAsia="Aptos" w:cs="Arial"/>
        </w:rPr>
        <w:t>s</w:t>
      </w:r>
      <w:r w:rsidR="1368201D" w:rsidRPr="6B59CDB2">
        <w:rPr>
          <w:rFonts w:eastAsia="Aptos" w:cs="Arial"/>
        </w:rPr>
        <w:t>-driven services</w:t>
      </w:r>
      <w:r w:rsidR="51EEB4B0" w:rsidRPr="6B59CDB2">
        <w:rPr>
          <w:rFonts w:eastAsia="Aptos" w:cs="Arial"/>
        </w:rPr>
        <w:t xml:space="preserve">. </w:t>
      </w:r>
      <w:r w:rsidR="5CDA979D" w:rsidRPr="6B59CDB2">
        <w:rPr>
          <w:rFonts w:eastAsia="Aptos" w:cs="Arial"/>
        </w:rPr>
        <w:t>Prioritised</w:t>
      </w:r>
      <w:r w:rsidR="447940F3" w:rsidRPr="6B59CDB2">
        <w:rPr>
          <w:rFonts w:eastAsia="Aptos" w:cs="Arial"/>
        </w:rPr>
        <w:t xml:space="preserve"> </w:t>
      </w:r>
      <w:r w:rsidR="704B1DA7" w:rsidRPr="6B59CDB2">
        <w:rPr>
          <w:rFonts w:eastAsia="Aptos" w:cs="Arial"/>
        </w:rPr>
        <w:t xml:space="preserve">initiatives </w:t>
      </w:r>
      <w:r w:rsidR="5CDA979D" w:rsidRPr="6B59CDB2">
        <w:rPr>
          <w:rFonts w:eastAsia="Aptos" w:cs="Arial"/>
        </w:rPr>
        <w:t>have i</w:t>
      </w:r>
      <w:r w:rsidR="08838BEE" w:rsidRPr="6B59CDB2">
        <w:rPr>
          <w:rFonts w:eastAsia="Aptos" w:cs="Arial"/>
        </w:rPr>
        <w:t>nclude</w:t>
      </w:r>
      <w:r w:rsidR="5CDA979D" w:rsidRPr="6B59CDB2">
        <w:rPr>
          <w:rFonts w:eastAsia="Aptos" w:cs="Arial"/>
        </w:rPr>
        <w:t>d</w:t>
      </w:r>
      <w:r w:rsidR="08838BEE" w:rsidRPr="6B59CDB2">
        <w:rPr>
          <w:rFonts w:eastAsia="Aptos" w:cs="Arial"/>
        </w:rPr>
        <w:t xml:space="preserve"> </w:t>
      </w:r>
      <w:r w:rsidR="3B6FDC20" w:rsidRPr="6B59CDB2">
        <w:rPr>
          <w:rFonts w:eastAsia="Aptos" w:cs="Arial"/>
        </w:rPr>
        <w:t>improving</w:t>
      </w:r>
      <w:r w:rsidR="08838BEE" w:rsidRPr="6B59CDB2">
        <w:rPr>
          <w:rFonts w:eastAsia="Aptos" w:cs="Arial"/>
        </w:rPr>
        <w:t xml:space="preserve"> access to </w:t>
      </w:r>
      <w:r w:rsidR="3B6FDC20" w:rsidRPr="6B59CDB2">
        <w:rPr>
          <w:rFonts w:eastAsia="Aptos" w:cs="Arial"/>
        </w:rPr>
        <w:t xml:space="preserve">clear </w:t>
      </w:r>
      <w:r w:rsidR="08838BEE" w:rsidRPr="6B59CDB2">
        <w:rPr>
          <w:rFonts w:eastAsia="Aptos" w:cs="Arial"/>
        </w:rPr>
        <w:t>and accurate</w:t>
      </w:r>
      <w:r w:rsidR="5A0C80FA" w:rsidRPr="6B59CDB2">
        <w:rPr>
          <w:rFonts w:eastAsia="Aptos" w:cs="Arial"/>
        </w:rPr>
        <w:t xml:space="preserve"> information,</w:t>
      </w:r>
      <w:r w:rsidR="08838BEE" w:rsidRPr="6B59CDB2">
        <w:rPr>
          <w:rFonts w:eastAsia="Aptos" w:cs="Arial"/>
        </w:rPr>
        <w:t xml:space="preserve"> </w:t>
      </w:r>
      <w:r w:rsidR="4B9E9934" w:rsidRPr="6B59CDB2">
        <w:rPr>
          <w:rFonts w:eastAsia="Aptos" w:cs="Arial"/>
        </w:rPr>
        <w:t>streamlining processes</w:t>
      </w:r>
      <w:r w:rsidR="4657EA4F" w:rsidRPr="6B59CDB2">
        <w:rPr>
          <w:rFonts w:eastAsia="Aptos" w:cs="Arial"/>
        </w:rPr>
        <w:t xml:space="preserve">, upgrading digital </w:t>
      </w:r>
      <w:r w:rsidR="3B6FDC20" w:rsidRPr="6B59CDB2">
        <w:rPr>
          <w:rFonts w:eastAsia="Aptos" w:cs="Arial"/>
        </w:rPr>
        <w:t>systems</w:t>
      </w:r>
      <w:r w:rsidR="4657EA4F" w:rsidRPr="6B59CDB2">
        <w:rPr>
          <w:rFonts w:eastAsia="Aptos" w:cs="Arial"/>
        </w:rPr>
        <w:t xml:space="preserve"> and </w:t>
      </w:r>
      <w:r w:rsidR="4C341FF5" w:rsidRPr="6B59CDB2">
        <w:rPr>
          <w:rFonts w:eastAsia="Aptos" w:cs="Arial"/>
        </w:rPr>
        <w:t>equipping</w:t>
      </w:r>
      <w:r w:rsidR="4B9E9934" w:rsidRPr="6B59CDB2">
        <w:rPr>
          <w:rFonts w:eastAsia="Aptos" w:cs="Arial"/>
        </w:rPr>
        <w:t xml:space="preserve"> staff to provide consistent </w:t>
      </w:r>
      <w:r w:rsidR="4C341FF5" w:rsidRPr="6B59CDB2">
        <w:rPr>
          <w:rFonts w:eastAsia="Aptos" w:cs="Arial"/>
        </w:rPr>
        <w:t xml:space="preserve">and responsive </w:t>
      </w:r>
      <w:r w:rsidR="4B9E9934" w:rsidRPr="6B59CDB2">
        <w:rPr>
          <w:rFonts w:eastAsia="Aptos" w:cs="Arial"/>
        </w:rPr>
        <w:t xml:space="preserve">support. </w:t>
      </w:r>
    </w:p>
    <w:p w14:paraId="0E97208E" w14:textId="2C468E07" w:rsidR="00E263F1" w:rsidRDefault="00681F30" w:rsidP="00367B3A">
      <w:pPr>
        <w:spacing w:before="120" w:after="120" w:line="257" w:lineRule="auto"/>
        <w:rPr>
          <w:rFonts w:eastAsia="Aptos" w:cs="Arial"/>
          <w:szCs w:val="22"/>
        </w:rPr>
      </w:pPr>
      <w:r>
        <w:rPr>
          <w:rFonts w:eastAsia="Aptos" w:cs="Arial"/>
          <w:szCs w:val="22"/>
        </w:rPr>
        <w:t xml:space="preserve">While challenges are </w:t>
      </w:r>
      <w:r w:rsidR="00C27041">
        <w:rPr>
          <w:rFonts w:eastAsia="Aptos" w:cs="Arial"/>
          <w:szCs w:val="22"/>
        </w:rPr>
        <w:t xml:space="preserve">an </w:t>
      </w:r>
      <w:r w:rsidR="004E2385">
        <w:rPr>
          <w:rFonts w:eastAsia="Aptos" w:cs="Arial"/>
          <w:szCs w:val="22"/>
        </w:rPr>
        <w:t>i</w:t>
      </w:r>
      <w:r w:rsidR="004E2385" w:rsidRPr="004E2385">
        <w:rPr>
          <w:rFonts w:eastAsia="Aptos" w:cs="Arial"/>
          <w:szCs w:val="22"/>
        </w:rPr>
        <w:t xml:space="preserve">nherent </w:t>
      </w:r>
      <w:r w:rsidR="00C27041">
        <w:rPr>
          <w:rFonts w:eastAsia="Aptos" w:cs="Arial"/>
          <w:szCs w:val="22"/>
        </w:rPr>
        <w:t>part of</w:t>
      </w:r>
      <w:r>
        <w:rPr>
          <w:rFonts w:eastAsia="Aptos" w:cs="Arial"/>
          <w:szCs w:val="22"/>
        </w:rPr>
        <w:t xml:space="preserve"> </w:t>
      </w:r>
      <w:r w:rsidR="00DD0276">
        <w:rPr>
          <w:rFonts w:eastAsia="Aptos" w:cs="Arial"/>
        </w:rPr>
        <w:t>regulatory</w:t>
      </w:r>
      <w:r w:rsidR="4F36CB97" w:rsidRPr="3C0A6763">
        <w:rPr>
          <w:rFonts w:eastAsia="Aptos" w:cs="Arial"/>
        </w:rPr>
        <w:t xml:space="preserve"> work</w:t>
      </w:r>
      <w:r w:rsidR="0043084A">
        <w:rPr>
          <w:rFonts w:eastAsia="Aptos" w:cs="Arial"/>
          <w:szCs w:val="22"/>
        </w:rPr>
        <w:t xml:space="preserve">, </w:t>
      </w:r>
      <w:r w:rsidR="00DD0276">
        <w:rPr>
          <w:rFonts w:eastAsia="Aptos" w:cs="Arial"/>
          <w:szCs w:val="22"/>
        </w:rPr>
        <w:t xml:space="preserve">they also present </w:t>
      </w:r>
      <w:r w:rsidR="00276F85">
        <w:rPr>
          <w:rFonts w:eastAsia="Aptos" w:cs="Arial"/>
          <w:szCs w:val="22"/>
        </w:rPr>
        <w:t>valuable</w:t>
      </w:r>
      <w:r w:rsidR="00F0171F">
        <w:rPr>
          <w:rFonts w:eastAsia="Aptos" w:cs="Arial"/>
          <w:szCs w:val="22"/>
        </w:rPr>
        <w:t xml:space="preserve"> opportunities. </w:t>
      </w:r>
      <w:r w:rsidR="006257CA">
        <w:rPr>
          <w:rFonts w:eastAsia="Aptos" w:cs="Arial"/>
          <w:szCs w:val="22"/>
        </w:rPr>
        <w:t xml:space="preserve">With strong direction and </w:t>
      </w:r>
      <w:r w:rsidR="002D313F">
        <w:rPr>
          <w:rFonts w:eastAsia="Aptos" w:cs="Arial"/>
          <w:szCs w:val="22"/>
        </w:rPr>
        <w:t>support, t</w:t>
      </w:r>
      <w:r w:rsidR="0033778F">
        <w:rPr>
          <w:rFonts w:eastAsia="Aptos" w:cs="Arial"/>
          <w:szCs w:val="22"/>
        </w:rPr>
        <w:t xml:space="preserve">he QBCC </w:t>
      </w:r>
      <w:r w:rsidR="002D313F">
        <w:rPr>
          <w:rFonts w:eastAsia="Aptos" w:cs="Arial"/>
          <w:szCs w:val="22"/>
        </w:rPr>
        <w:t xml:space="preserve">is </w:t>
      </w:r>
      <w:r w:rsidR="007A2054">
        <w:rPr>
          <w:rFonts w:eastAsia="Aptos" w:cs="Arial"/>
          <w:szCs w:val="22"/>
        </w:rPr>
        <w:t>committed to</w:t>
      </w:r>
      <w:r w:rsidR="006E3D32">
        <w:rPr>
          <w:rFonts w:eastAsia="Aptos" w:cs="Arial"/>
          <w:szCs w:val="22"/>
        </w:rPr>
        <w:t xml:space="preserve"> </w:t>
      </w:r>
      <w:r w:rsidR="00447D1C">
        <w:rPr>
          <w:rFonts w:eastAsia="Aptos" w:cs="Arial"/>
          <w:szCs w:val="22"/>
        </w:rPr>
        <w:t xml:space="preserve">transforming </w:t>
      </w:r>
      <w:r w:rsidR="0000562F">
        <w:rPr>
          <w:rFonts w:eastAsia="Aptos" w:cs="Arial"/>
          <w:szCs w:val="22"/>
        </w:rPr>
        <w:t xml:space="preserve">its </w:t>
      </w:r>
      <w:r w:rsidR="00085AC1" w:rsidRPr="00085AC1">
        <w:rPr>
          <w:rFonts w:eastAsia="Aptos" w:cs="Arial"/>
          <w:szCs w:val="22"/>
        </w:rPr>
        <w:t>service</w:t>
      </w:r>
      <w:r w:rsidR="0000562F">
        <w:rPr>
          <w:rFonts w:eastAsia="Aptos" w:cs="Arial"/>
          <w:szCs w:val="22"/>
        </w:rPr>
        <w:t xml:space="preserve"> model and driving </w:t>
      </w:r>
      <w:r w:rsidR="00337712">
        <w:rPr>
          <w:rFonts w:eastAsia="Aptos" w:cs="Arial"/>
          <w:szCs w:val="22"/>
        </w:rPr>
        <w:t xml:space="preserve">meaningful progress </w:t>
      </w:r>
      <w:r w:rsidR="00085AC1" w:rsidRPr="00085AC1">
        <w:rPr>
          <w:rFonts w:eastAsia="Aptos" w:cs="Arial"/>
          <w:szCs w:val="22"/>
        </w:rPr>
        <w:t>with focus and determination</w:t>
      </w:r>
      <w:r w:rsidR="00B87183" w:rsidRPr="00B87183">
        <w:rPr>
          <w:rFonts w:eastAsia="Aptos" w:cs="Arial"/>
          <w:szCs w:val="22"/>
        </w:rPr>
        <w:t>.</w:t>
      </w:r>
    </w:p>
    <w:p w14:paraId="056BFD99" w14:textId="61CCDA15" w:rsidR="009B15D2" w:rsidRDefault="1409A666" w:rsidP="00367B3A">
      <w:pPr>
        <w:spacing w:before="120" w:after="120" w:line="257" w:lineRule="auto"/>
        <w:rPr>
          <w:rFonts w:eastAsia="Aptos" w:cs="Arial"/>
        </w:rPr>
      </w:pPr>
      <w:r w:rsidRPr="6B59CDB2">
        <w:rPr>
          <w:rFonts w:eastAsia="Aptos" w:cs="Arial"/>
        </w:rPr>
        <w:t xml:space="preserve">Already, I have witnessed a </w:t>
      </w:r>
      <w:r w:rsidR="611E984C" w:rsidRPr="6B59CDB2">
        <w:rPr>
          <w:rFonts w:eastAsia="Aptos" w:cs="Arial"/>
        </w:rPr>
        <w:t xml:space="preserve">strong </w:t>
      </w:r>
      <w:r w:rsidRPr="6B59CDB2">
        <w:rPr>
          <w:rFonts w:eastAsia="Aptos" w:cs="Arial"/>
        </w:rPr>
        <w:t>appetite across</w:t>
      </w:r>
      <w:r w:rsidR="611E984C" w:rsidRPr="6B59CDB2">
        <w:rPr>
          <w:rFonts w:eastAsia="Aptos" w:cs="Arial"/>
        </w:rPr>
        <w:t xml:space="preserve"> the </w:t>
      </w:r>
      <w:r w:rsidR="38C69D02" w:rsidRPr="6B59CDB2">
        <w:rPr>
          <w:rFonts w:eastAsia="Aptos" w:cs="Arial"/>
        </w:rPr>
        <w:t xml:space="preserve">QBCC </w:t>
      </w:r>
      <w:r w:rsidR="611E984C" w:rsidRPr="6B59CDB2">
        <w:rPr>
          <w:rFonts w:eastAsia="Aptos" w:cs="Arial"/>
        </w:rPr>
        <w:t>to drive improvement</w:t>
      </w:r>
      <w:r w:rsidR="3A9E6EF3" w:rsidRPr="6B59CDB2">
        <w:rPr>
          <w:rFonts w:eastAsia="Aptos" w:cs="Arial"/>
        </w:rPr>
        <w:t>s</w:t>
      </w:r>
      <w:r w:rsidR="227AA8AD" w:rsidRPr="6B59CDB2">
        <w:rPr>
          <w:rFonts w:eastAsia="Aptos" w:cs="Arial"/>
        </w:rPr>
        <w:t xml:space="preserve"> </w:t>
      </w:r>
      <w:r w:rsidR="38C69D02" w:rsidRPr="6B59CDB2">
        <w:rPr>
          <w:rFonts w:eastAsia="Aptos" w:cs="Arial"/>
        </w:rPr>
        <w:t>and embrace change. The</w:t>
      </w:r>
      <w:r w:rsidR="227AA8AD" w:rsidRPr="6B59CDB2">
        <w:rPr>
          <w:rFonts w:eastAsia="Aptos" w:cs="Arial"/>
        </w:rPr>
        <w:t xml:space="preserve"> dedication and </w:t>
      </w:r>
      <w:r w:rsidR="2D9D6604" w:rsidRPr="6B59CDB2">
        <w:rPr>
          <w:rFonts w:eastAsia="Aptos" w:cs="Arial"/>
        </w:rPr>
        <w:t>professionalism of the QBCC</w:t>
      </w:r>
      <w:r w:rsidR="00B2768E">
        <w:rPr>
          <w:rFonts w:eastAsia="Aptos" w:cs="Arial"/>
        </w:rPr>
        <w:t>’s</w:t>
      </w:r>
      <w:r w:rsidR="2D9D6604" w:rsidRPr="6B59CDB2">
        <w:rPr>
          <w:rFonts w:eastAsia="Aptos" w:cs="Arial"/>
        </w:rPr>
        <w:t xml:space="preserve"> staff </w:t>
      </w:r>
      <w:r w:rsidR="00734737">
        <w:rPr>
          <w:rFonts w:eastAsia="Aptos" w:cs="Arial"/>
        </w:rPr>
        <w:t>is</w:t>
      </w:r>
      <w:r w:rsidR="00734737" w:rsidRPr="6B59CDB2">
        <w:rPr>
          <w:rFonts w:eastAsia="Aptos" w:cs="Arial"/>
        </w:rPr>
        <w:t xml:space="preserve"> </w:t>
      </w:r>
      <w:r w:rsidR="2D9D6604" w:rsidRPr="6B59CDB2">
        <w:rPr>
          <w:rFonts w:eastAsia="Aptos" w:cs="Arial"/>
        </w:rPr>
        <w:t>evident in their</w:t>
      </w:r>
      <w:r w:rsidR="38C69D02" w:rsidRPr="6B59CDB2">
        <w:rPr>
          <w:rFonts w:eastAsia="Aptos" w:cs="Arial"/>
        </w:rPr>
        <w:t xml:space="preserve"> commitment to </w:t>
      </w:r>
      <w:r w:rsidR="0D68FC30" w:rsidRPr="6B59CDB2">
        <w:rPr>
          <w:rFonts w:eastAsia="Aptos" w:cs="Arial"/>
        </w:rPr>
        <w:t>deliver</w:t>
      </w:r>
      <w:r w:rsidR="2F7E89B9" w:rsidRPr="6B59CDB2">
        <w:rPr>
          <w:rFonts w:eastAsia="Aptos" w:cs="Arial"/>
        </w:rPr>
        <w:t xml:space="preserve"> </w:t>
      </w:r>
      <w:r w:rsidR="0D68FC30" w:rsidRPr="6B59CDB2">
        <w:rPr>
          <w:rFonts w:eastAsia="Aptos" w:cs="Arial"/>
        </w:rPr>
        <w:t>greater value to</w:t>
      </w:r>
      <w:r w:rsidR="2F7E89B9" w:rsidRPr="6B59CDB2">
        <w:rPr>
          <w:rFonts w:eastAsia="Aptos" w:cs="Arial"/>
        </w:rPr>
        <w:t xml:space="preserve"> </w:t>
      </w:r>
      <w:r w:rsidR="38C69D02" w:rsidRPr="6B59CDB2">
        <w:rPr>
          <w:rFonts w:eastAsia="Aptos" w:cs="Arial"/>
        </w:rPr>
        <w:t>customer</w:t>
      </w:r>
      <w:r w:rsidR="2F7E89B9" w:rsidRPr="6B59CDB2">
        <w:rPr>
          <w:rFonts w:eastAsia="Aptos" w:cs="Arial"/>
        </w:rPr>
        <w:t xml:space="preserve">s </w:t>
      </w:r>
      <w:r w:rsidR="38C69D02" w:rsidRPr="6B59CDB2">
        <w:rPr>
          <w:rFonts w:eastAsia="Aptos" w:cs="Arial"/>
        </w:rPr>
        <w:t>and strengthen</w:t>
      </w:r>
      <w:r w:rsidR="2F7E89B9" w:rsidRPr="6B59CDB2">
        <w:rPr>
          <w:rFonts w:eastAsia="Aptos" w:cs="Arial"/>
        </w:rPr>
        <w:t xml:space="preserve"> </w:t>
      </w:r>
      <w:r w:rsidR="76856743" w:rsidRPr="6B59CDB2">
        <w:rPr>
          <w:rFonts w:eastAsia="Aptos" w:cs="Arial"/>
        </w:rPr>
        <w:t>the</w:t>
      </w:r>
      <w:r w:rsidR="38C69D02" w:rsidRPr="6B59CDB2">
        <w:rPr>
          <w:rFonts w:eastAsia="Aptos" w:cs="Arial"/>
        </w:rPr>
        <w:t xml:space="preserve"> organisation </w:t>
      </w:r>
      <w:r w:rsidR="2F7E89B9" w:rsidRPr="6B59CDB2">
        <w:rPr>
          <w:rFonts w:eastAsia="Aptos" w:cs="Arial"/>
        </w:rPr>
        <w:t>from within</w:t>
      </w:r>
      <w:r w:rsidR="38C69D02" w:rsidRPr="6B59CDB2">
        <w:rPr>
          <w:rFonts w:eastAsia="Aptos" w:cs="Arial"/>
        </w:rPr>
        <w:t xml:space="preserve">. </w:t>
      </w:r>
      <w:r w:rsidR="02A0C3F6" w:rsidRPr="6B59CDB2">
        <w:rPr>
          <w:rFonts w:eastAsia="Aptos" w:cs="Arial"/>
        </w:rPr>
        <w:t>I am confident that, t</w:t>
      </w:r>
      <w:r w:rsidR="38C69D02" w:rsidRPr="6B59CDB2">
        <w:rPr>
          <w:rFonts w:eastAsia="Aptos" w:cs="Arial"/>
        </w:rPr>
        <w:t xml:space="preserve">ogether, </w:t>
      </w:r>
      <w:r w:rsidR="02A0C3F6" w:rsidRPr="6B59CDB2">
        <w:rPr>
          <w:rFonts w:eastAsia="Aptos" w:cs="Arial"/>
        </w:rPr>
        <w:t>we will</w:t>
      </w:r>
      <w:r w:rsidR="38C69D02" w:rsidRPr="6B59CDB2">
        <w:rPr>
          <w:rFonts w:eastAsia="Aptos" w:cs="Arial"/>
        </w:rPr>
        <w:t xml:space="preserve"> achieve meaningful progress and deliver </w:t>
      </w:r>
      <w:r w:rsidR="02A0C3F6" w:rsidRPr="6B59CDB2">
        <w:rPr>
          <w:rFonts w:eastAsia="Aptos" w:cs="Arial"/>
        </w:rPr>
        <w:t xml:space="preserve">tangible </w:t>
      </w:r>
      <w:r w:rsidR="38C69D02" w:rsidRPr="6B59CDB2">
        <w:rPr>
          <w:rFonts w:eastAsia="Aptos" w:cs="Arial"/>
        </w:rPr>
        <w:t xml:space="preserve">benefits </w:t>
      </w:r>
      <w:r w:rsidR="02A0C3F6" w:rsidRPr="6B59CDB2">
        <w:rPr>
          <w:rFonts w:eastAsia="Aptos" w:cs="Arial"/>
        </w:rPr>
        <w:t xml:space="preserve">to both </w:t>
      </w:r>
      <w:r w:rsidR="38C69D02" w:rsidRPr="6B59CDB2">
        <w:rPr>
          <w:rFonts w:eastAsia="Aptos" w:cs="Arial"/>
        </w:rPr>
        <w:t xml:space="preserve">industry and the </w:t>
      </w:r>
      <w:r w:rsidR="004817F0">
        <w:rPr>
          <w:rFonts w:eastAsia="Aptos" w:cs="Arial"/>
        </w:rPr>
        <w:t xml:space="preserve">broader </w:t>
      </w:r>
      <w:r w:rsidR="02A0C3F6" w:rsidRPr="6B59CDB2">
        <w:rPr>
          <w:rFonts w:eastAsia="Aptos" w:cs="Arial"/>
        </w:rPr>
        <w:t xml:space="preserve">Queensland </w:t>
      </w:r>
      <w:r w:rsidR="38C69D02" w:rsidRPr="6B59CDB2">
        <w:rPr>
          <w:rFonts w:eastAsia="Aptos" w:cs="Arial"/>
        </w:rPr>
        <w:t>community.</w:t>
      </w:r>
      <w:r w:rsidR="611E984C" w:rsidRPr="6B59CDB2">
        <w:rPr>
          <w:rFonts w:eastAsia="Aptos" w:cs="Arial"/>
        </w:rPr>
        <w:t xml:space="preserve"> </w:t>
      </w:r>
    </w:p>
    <w:p w14:paraId="4F19A3BE" w14:textId="4EF57FF7" w:rsidR="42AE5F3C" w:rsidRPr="00407756" w:rsidRDefault="611E984C" w:rsidP="00367B3A">
      <w:pPr>
        <w:spacing w:before="120" w:after="120" w:line="257" w:lineRule="auto"/>
        <w:rPr>
          <w:rFonts w:eastAsia="Aptos" w:cs="Arial"/>
        </w:rPr>
      </w:pPr>
      <w:r w:rsidRPr="6B59CDB2">
        <w:rPr>
          <w:rFonts w:eastAsia="Aptos" w:cs="Arial"/>
        </w:rPr>
        <w:t xml:space="preserve">I </w:t>
      </w:r>
      <w:r w:rsidR="231871EF" w:rsidRPr="6B59CDB2">
        <w:rPr>
          <w:rFonts w:eastAsia="Aptos" w:cs="Arial"/>
        </w:rPr>
        <w:t xml:space="preserve">invite </w:t>
      </w:r>
      <w:r w:rsidRPr="6B59CDB2">
        <w:rPr>
          <w:rFonts w:eastAsia="Aptos" w:cs="Arial"/>
        </w:rPr>
        <w:t xml:space="preserve">you to </w:t>
      </w:r>
      <w:r w:rsidR="231871EF" w:rsidRPr="6B59CDB2">
        <w:rPr>
          <w:rFonts w:eastAsia="Aptos" w:cs="Arial"/>
        </w:rPr>
        <w:t>follow</w:t>
      </w:r>
      <w:r w:rsidRPr="6B59CDB2">
        <w:rPr>
          <w:rFonts w:eastAsia="Aptos" w:cs="Arial"/>
        </w:rPr>
        <w:t xml:space="preserve"> </w:t>
      </w:r>
      <w:r w:rsidR="529D5558" w:rsidRPr="6B59CDB2">
        <w:rPr>
          <w:rFonts w:eastAsia="Aptos" w:cs="Arial"/>
        </w:rPr>
        <w:t xml:space="preserve">our journey as </w:t>
      </w:r>
      <w:r w:rsidRPr="6B59CDB2">
        <w:rPr>
          <w:rFonts w:eastAsia="Aptos" w:cs="Arial"/>
        </w:rPr>
        <w:t xml:space="preserve">we continue </w:t>
      </w:r>
      <w:r w:rsidR="529D5558" w:rsidRPr="6B59CDB2">
        <w:rPr>
          <w:rFonts w:eastAsia="Aptos" w:cs="Arial"/>
        </w:rPr>
        <w:t xml:space="preserve">working </w:t>
      </w:r>
      <w:r w:rsidRPr="6B59CDB2">
        <w:rPr>
          <w:rFonts w:eastAsia="Aptos" w:cs="Arial"/>
        </w:rPr>
        <w:t xml:space="preserve">towards </w:t>
      </w:r>
      <w:r w:rsidR="529D5558" w:rsidRPr="6B59CDB2">
        <w:rPr>
          <w:rFonts w:eastAsia="Aptos" w:cs="Arial"/>
        </w:rPr>
        <w:t>a stronger, more responsive and customer-focused QBCC</w:t>
      </w:r>
      <w:r w:rsidRPr="6B59CDB2">
        <w:rPr>
          <w:rFonts w:eastAsia="Aptos" w:cs="Arial"/>
        </w:rPr>
        <w:t xml:space="preserve">. </w:t>
      </w:r>
    </w:p>
    <w:p w14:paraId="7A826340" w14:textId="504B03F4" w:rsidR="42AE5F3C" w:rsidRPr="00407756" w:rsidRDefault="42AE5F3C" w:rsidP="00997179">
      <w:pPr>
        <w:spacing w:before="120" w:after="120"/>
        <w:rPr>
          <w:rFonts w:eastAsia="Aptos" w:cs="Arial"/>
          <w:szCs w:val="22"/>
        </w:rPr>
      </w:pPr>
      <w:r w:rsidRPr="00407756">
        <w:rPr>
          <w:rFonts w:eastAsia="Aptos" w:cs="Arial"/>
          <w:szCs w:val="22"/>
        </w:rPr>
        <w:t>Greg Chemello</w:t>
      </w:r>
    </w:p>
    <w:p w14:paraId="5DA49E7C" w14:textId="2E56052B" w:rsidR="00DD2A35" w:rsidRDefault="42AE5F3C" w:rsidP="00997179">
      <w:pPr>
        <w:spacing w:before="120" w:after="120"/>
        <w:rPr>
          <w:rFonts w:eastAsia="Aptos" w:cs="Arial"/>
          <w:szCs w:val="22"/>
        </w:rPr>
      </w:pPr>
      <w:r w:rsidRPr="00407756">
        <w:rPr>
          <w:rFonts w:eastAsia="Aptos" w:cs="Arial"/>
          <w:szCs w:val="22"/>
        </w:rPr>
        <w:t>Chair</w:t>
      </w:r>
    </w:p>
    <w:p w14:paraId="36FE1354" w14:textId="1F24B0F0" w:rsidR="00DD0276" w:rsidRDefault="42AE5F3C" w:rsidP="00997179">
      <w:pPr>
        <w:spacing w:before="120" w:after="120"/>
        <w:rPr>
          <w:rFonts w:eastAsiaTheme="majorEastAsia" w:cstheme="majorBidi"/>
          <w:sz w:val="48"/>
          <w:szCs w:val="32"/>
        </w:rPr>
      </w:pPr>
      <w:r w:rsidRPr="00407756">
        <w:rPr>
          <w:rFonts w:eastAsia="Aptos" w:cs="Arial"/>
          <w:szCs w:val="22"/>
        </w:rPr>
        <w:t xml:space="preserve">Queensland Building and Construction Board </w:t>
      </w:r>
      <w:r w:rsidR="00DD0276">
        <w:br w:type="page"/>
      </w:r>
    </w:p>
    <w:p w14:paraId="49E1EA28" w14:textId="0AD7500B" w:rsidR="009F5646" w:rsidRPr="00F83A64" w:rsidRDefault="53F9D37B" w:rsidP="0311DE0C">
      <w:pPr>
        <w:pStyle w:val="Heading1"/>
      </w:pPr>
      <w:bookmarkStart w:id="13" w:name="_Toc206493008"/>
      <w:r>
        <w:lastRenderedPageBreak/>
        <w:t xml:space="preserve">Chief Executive Officer and Commissioner’s </w:t>
      </w:r>
      <w:r w:rsidR="00A241AE">
        <w:t>f</w:t>
      </w:r>
      <w:r>
        <w:t>oreword</w:t>
      </w:r>
      <w:bookmarkEnd w:id="13"/>
    </w:p>
    <w:p w14:paraId="5FD3BEEF" w14:textId="560AD5AE" w:rsidR="007A5F42" w:rsidRDefault="7B7F3A68" w:rsidP="00726A38">
      <w:pPr>
        <w:spacing w:before="120" w:after="120"/>
        <w:rPr>
          <w:lang w:val="en-US"/>
        </w:rPr>
      </w:pPr>
      <w:r w:rsidRPr="64668FE4">
        <w:rPr>
          <w:lang w:val="en-US"/>
        </w:rPr>
        <w:t xml:space="preserve">It is a privilege to contribute my first </w:t>
      </w:r>
      <w:r w:rsidR="3E57CF9C" w:rsidRPr="64668FE4">
        <w:rPr>
          <w:lang w:val="en-US"/>
        </w:rPr>
        <w:t>f</w:t>
      </w:r>
      <w:r w:rsidRPr="64668FE4">
        <w:rPr>
          <w:lang w:val="en-US"/>
        </w:rPr>
        <w:t xml:space="preserve">oreword to </w:t>
      </w:r>
      <w:r w:rsidR="001455A5" w:rsidRPr="000E465A">
        <w:rPr>
          <w:iCs/>
          <w:lang w:val="en-US"/>
        </w:rPr>
        <w:t>t</w:t>
      </w:r>
      <w:r w:rsidR="3CA192BD" w:rsidRPr="000E465A">
        <w:rPr>
          <w:iCs/>
          <w:lang w:val="en-US"/>
        </w:rPr>
        <w:t>he</w:t>
      </w:r>
      <w:r w:rsidRPr="000E465A">
        <w:rPr>
          <w:iCs/>
          <w:lang w:val="en-US"/>
        </w:rPr>
        <w:t xml:space="preserve"> </w:t>
      </w:r>
      <w:r w:rsidR="6F5014EA" w:rsidRPr="000E465A">
        <w:rPr>
          <w:iCs/>
          <w:lang w:val="en-US"/>
        </w:rPr>
        <w:t>Queensland Building and Construction Commission Annual Report 2024–</w:t>
      </w:r>
      <w:r w:rsidR="001455A5">
        <w:rPr>
          <w:iCs/>
          <w:lang w:val="en-US"/>
        </w:rPr>
        <w:t>20</w:t>
      </w:r>
      <w:r w:rsidR="6F5014EA" w:rsidRPr="000E465A">
        <w:rPr>
          <w:iCs/>
          <w:lang w:val="en-US"/>
        </w:rPr>
        <w:t>25</w:t>
      </w:r>
      <w:r w:rsidR="6F5014EA" w:rsidRPr="64668FE4">
        <w:rPr>
          <w:lang w:val="en-US"/>
        </w:rPr>
        <w:t>.</w:t>
      </w:r>
      <w:r w:rsidRPr="64668FE4">
        <w:rPr>
          <w:lang w:val="en-US"/>
        </w:rPr>
        <w:t xml:space="preserve"> I joined the </w:t>
      </w:r>
      <w:r w:rsidR="00613BE3">
        <w:rPr>
          <w:lang w:val="en-US"/>
        </w:rPr>
        <w:t>Queensland Building and Construction Commission</w:t>
      </w:r>
      <w:r w:rsidRPr="64668FE4">
        <w:rPr>
          <w:lang w:val="en-US"/>
        </w:rPr>
        <w:t xml:space="preserve"> </w:t>
      </w:r>
      <w:r w:rsidR="00613BE3">
        <w:rPr>
          <w:lang w:val="en-US"/>
        </w:rPr>
        <w:t>(</w:t>
      </w:r>
      <w:r w:rsidRPr="64668FE4">
        <w:rPr>
          <w:lang w:val="en-US"/>
        </w:rPr>
        <w:t>QBCC</w:t>
      </w:r>
      <w:r w:rsidR="00613BE3">
        <w:rPr>
          <w:lang w:val="en-US"/>
        </w:rPr>
        <w:t>)</w:t>
      </w:r>
      <w:r w:rsidRPr="64668FE4">
        <w:rPr>
          <w:lang w:val="en-US"/>
        </w:rPr>
        <w:t xml:space="preserve"> at a pivotal moment for Queensland’s building and construction industry</w:t>
      </w:r>
      <w:r w:rsidR="0E19EC87" w:rsidRPr="64668FE4">
        <w:rPr>
          <w:lang w:val="en-US"/>
        </w:rPr>
        <w:t xml:space="preserve">, </w:t>
      </w:r>
      <w:r w:rsidR="33123A4C" w:rsidRPr="64668FE4">
        <w:rPr>
          <w:lang w:val="en-US"/>
        </w:rPr>
        <w:t xml:space="preserve">an era </w:t>
      </w:r>
      <w:r w:rsidR="4741A75F" w:rsidRPr="64668FE4">
        <w:rPr>
          <w:lang w:val="en-US"/>
        </w:rPr>
        <w:t>poised for</w:t>
      </w:r>
      <w:r w:rsidRPr="64668FE4">
        <w:rPr>
          <w:lang w:val="en-US"/>
        </w:rPr>
        <w:t xml:space="preserve"> transformative growth and opportunity.</w:t>
      </w:r>
      <w:r w:rsidR="57CC7492" w:rsidRPr="64668FE4">
        <w:rPr>
          <w:lang w:val="en-US"/>
        </w:rPr>
        <w:t xml:space="preserve"> </w:t>
      </w:r>
    </w:p>
    <w:p w14:paraId="4AD416D2" w14:textId="15685D66" w:rsidR="006D3B26" w:rsidRPr="00A57D9E" w:rsidRDefault="7B7F3A68" w:rsidP="00726A38">
      <w:pPr>
        <w:spacing w:before="120" w:after="120"/>
      </w:pPr>
      <w:r w:rsidRPr="64668FE4">
        <w:rPr>
          <w:lang w:val="en-US"/>
        </w:rPr>
        <w:t xml:space="preserve">My decision to take on this role </w:t>
      </w:r>
      <w:r w:rsidR="4741A75F" w:rsidRPr="64668FE4">
        <w:rPr>
          <w:lang w:val="en-US"/>
        </w:rPr>
        <w:t>stems from</w:t>
      </w:r>
      <w:r w:rsidRPr="64668FE4">
        <w:rPr>
          <w:lang w:val="en-US"/>
        </w:rPr>
        <w:t xml:space="preserve"> a deep commitment to helping the QBCC </w:t>
      </w:r>
      <w:r w:rsidR="4F5CB2D1" w:rsidRPr="64668FE4">
        <w:rPr>
          <w:lang w:val="en-US"/>
        </w:rPr>
        <w:t>seize a</w:t>
      </w:r>
      <w:r w:rsidR="4BD88F04" w:rsidRPr="64668FE4">
        <w:rPr>
          <w:lang w:val="en-US"/>
        </w:rPr>
        <w:t xml:space="preserve"> unique</w:t>
      </w:r>
      <w:r w:rsidR="007751A5" w:rsidRPr="64668FE4">
        <w:rPr>
          <w:lang w:val="en-US"/>
        </w:rPr>
        <w:t>,</w:t>
      </w:r>
      <w:r w:rsidRPr="64668FE4">
        <w:rPr>
          <w:lang w:val="en-US"/>
        </w:rPr>
        <w:t xml:space="preserve"> once-in-a-generation moment</w:t>
      </w:r>
      <w:r w:rsidR="43E777D7" w:rsidRPr="64668FE4">
        <w:rPr>
          <w:lang w:val="en-US"/>
        </w:rPr>
        <w:t xml:space="preserve"> in Queensland’s building and construction industry, one that offers unprecedented oppo</w:t>
      </w:r>
      <w:r w:rsidR="60DBBEEE" w:rsidRPr="64668FE4">
        <w:rPr>
          <w:lang w:val="en-US"/>
        </w:rPr>
        <w:t>rtunities for growth, innovation and positive change</w:t>
      </w:r>
      <w:r w:rsidRPr="64668FE4">
        <w:rPr>
          <w:lang w:val="en-US"/>
        </w:rPr>
        <w:t xml:space="preserve">. Together with </w:t>
      </w:r>
      <w:r w:rsidR="00E82F17" w:rsidRPr="64668FE4">
        <w:rPr>
          <w:lang w:val="en-US"/>
        </w:rPr>
        <w:t xml:space="preserve">all </w:t>
      </w:r>
      <w:r w:rsidRPr="64668FE4">
        <w:rPr>
          <w:lang w:val="en-US"/>
        </w:rPr>
        <w:t xml:space="preserve">our stakeholders, we </w:t>
      </w:r>
      <w:r w:rsidR="4CF22E1C" w:rsidRPr="64668FE4">
        <w:rPr>
          <w:lang w:val="en-US"/>
        </w:rPr>
        <w:t>are focused on</w:t>
      </w:r>
      <w:r w:rsidRPr="64668FE4">
        <w:rPr>
          <w:lang w:val="en-US"/>
        </w:rPr>
        <w:t xml:space="preserve"> </w:t>
      </w:r>
      <w:r w:rsidR="07D64975" w:rsidRPr="64668FE4">
        <w:rPr>
          <w:lang w:val="en-US"/>
        </w:rPr>
        <w:t>developing</w:t>
      </w:r>
      <w:r w:rsidRPr="64668FE4">
        <w:rPr>
          <w:lang w:val="en-US"/>
        </w:rPr>
        <w:t xml:space="preserve"> a </w:t>
      </w:r>
      <w:r w:rsidR="090794C9" w:rsidRPr="64668FE4">
        <w:rPr>
          <w:lang w:val="en-US"/>
        </w:rPr>
        <w:t xml:space="preserve">reputation </w:t>
      </w:r>
      <w:r w:rsidR="4CF22E1C" w:rsidRPr="64668FE4">
        <w:rPr>
          <w:lang w:val="en-US"/>
        </w:rPr>
        <w:t>grounded in t</w:t>
      </w:r>
      <w:r w:rsidRPr="64668FE4">
        <w:rPr>
          <w:lang w:val="en-US"/>
        </w:rPr>
        <w:t xml:space="preserve">rust and </w:t>
      </w:r>
      <w:r w:rsidR="009E42E5" w:rsidRPr="64668FE4">
        <w:rPr>
          <w:lang w:val="en-US"/>
        </w:rPr>
        <w:t xml:space="preserve">respectful </w:t>
      </w:r>
      <w:r w:rsidRPr="64668FE4">
        <w:rPr>
          <w:lang w:val="en-US"/>
        </w:rPr>
        <w:t>partnerships that will shape the future of the industry.</w:t>
      </w:r>
    </w:p>
    <w:p w14:paraId="63078A65" w14:textId="77777777" w:rsidR="00D8527B" w:rsidRDefault="7B7F3A68" w:rsidP="00726A38">
      <w:pPr>
        <w:spacing w:before="120" w:after="120"/>
        <w:rPr>
          <w:lang w:val="en-US"/>
        </w:rPr>
      </w:pPr>
      <w:r w:rsidRPr="64668FE4">
        <w:rPr>
          <w:lang w:val="en-US"/>
        </w:rPr>
        <w:t xml:space="preserve">Since commencing with the QBCC in May 2025, one of my </w:t>
      </w:r>
      <w:r w:rsidR="51BE89BF" w:rsidRPr="64668FE4">
        <w:rPr>
          <w:lang w:val="en-US"/>
        </w:rPr>
        <w:t xml:space="preserve">key </w:t>
      </w:r>
      <w:r w:rsidRPr="64668FE4">
        <w:rPr>
          <w:lang w:val="en-US"/>
        </w:rPr>
        <w:t>priorities ha</w:t>
      </w:r>
      <w:r w:rsidR="271D3D94" w:rsidRPr="64668FE4">
        <w:rPr>
          <w:lang w:val="en-US"/>
        </w:rPr>
        <w:t>s</w:t>
      </w:r>
      <w:r w:rsidRPr="64668FE4">
        <w:rPr>
          <w:lang w:val="en-US"/>
        </w:rPr>
        <w:t xml:space="preserve"> been to engage </w:t>
      </w:r>
      <w:r w:rsidR="51BE89BF" w:rsidRPr="64668FE4">
        <w:rPr>
          <w:lang w:val="en-US"/>
        </w:rPr>
        <w:t xml:space="preserve">actively </w:t>
      </w:r>
      <w:r w:rsidRPr="64668FE4">
        <w:rPr>
          <w:lang w:val="en-US"/>
        </w:rPr>
        <w:t>with our stakeholders</w:t>
      </w:r>
      <w:r w:rsidR="50A1BB2B" w:rsidRPr="64668FE4">
        <w:rPr>
          <w:lang w:val="en-US"/>
        </w:rPr>
        <w:t xml:space="preserve">. Through </w:t>
      </w:r>
      <w:r w:rsidR="004366F1">
        <w:rPr>
          <w:lang w:val="en-US"/>
        </w:rPr>
        <w:t>m</w:t>
      </w:r>
      <w:r w:rsidR="00EB1150">
        <w:rPr>
          <w:lang w:val="en-US"/>
        </w:rPr>
        <w:t xml:space="preserve">ultiple </w:t>
      </w:r>
      <w:r w:rsidR="50A1BB2B" w:rsidRPr="64668FE4">
        <w:rPr>
          <w:lang w:val="en-US"/>
        </w:rPr>
        <w:t>meetings, forums and</w:t>
      </w:r>
      <w:r w:rsidR="50A1BB2B" w:rsidRPr="64668FE4" w:rsidDel="000F57A3">
        <w:rPr>
          <w:lang w:val="en-US"/>
        </w:rPr>
        <w:t xml:space="preserve"> </w:t>
      </w:r>
      <w:r w:rsidR="50A1BB2B" w:rsidRPr="64668FE4">
        <w:rPr>
          <w:lang w:val="en-US"/>
        </w:rPr>
        <w:t xml:space="preserve">discussions with </w:t>
      </w:r>
      <w:r w:rsidR="7F5B8145" w:rsidRPr="64668FE4">
        <w:rPr>
          <w:lang w:val="en-US"/>
        </w:rPr>
        <w:t xml:space="preserve">customers, </w:t>
      </w:r>
      <w:r w:rsidR="395478B3" w:rsidRPr="64668FE4">
        <w:rPr>
          <w:lang w:val="en-US"/>
        </w:rPr>
        <w:t>industry professionals</w:t>
      </w:r>
      <w:r w:rsidR="7F5B8145" w:rsidRPr="64668FE4">
        <w:rPr>
          <w:lang w:val="en-US"/>
        </w:rPr>
        <w:t xml:space="preserve"> and</w:t>
      </w:r>
      <w:r w:rsidR="395478B3" w:rsidRPr="64668FE4">
        <w:rPr>
          <w:lang w:val="en-US"/>
        </w:rPr>
        <w:t xml:space="preserve"> community representatives, </w:t>
      </w:r>
      <w:r w:rsidR="6CAC3105" w:rsidRPr="64668FE4">
        <w:rPr>
          <w:lang w:val="en-US"/>
        </w:rPr>
        <w:t xml:space="preserve">I have gained </w:t>
      </w:r>
      <w:r w:rsidR="00EB1150">
        <w:rPr>
          <w:lang w:val="en-US"/>
        </w:rPr>
        <w:t>in</w:t>
      </w:r>
      <w:r w:rsidR="6CAC3105" w:rsidRPr="64668FE4">
        <w:rPr>
          <w:lang w:val="en-US"/>
        </w:rPr>
        <w:t xml:space="preserve">valuable insights into the </w:t>
      </w:r>
      <w:r w:rsidR="4E0AAFC9" w:rsidRPr="64668FE4">
        <w:rPr>
          <w:lang w:val="en-US"/>
        </w:rPr>
        <w:t xml:space="preserve">challenges and opportunities facing the </w:t>
      </w:r>
      <w:r w:rsidR="65A17A97" w:rsidRPr="64668FE4">
        <w:rPr>
          <w:lang w:val="en-US"/>
        </w:rPr>
        <w:t>industry</w:t>
      </w:r>
      <w:r w:rsidR="4E0AAFC9" w:rsidRPr="64668FE4">
        <w:rPr>
          <w:lang w:val="en-US"/>
        </w:rPr>
        <w:t xml:space="preserve">. </w:t>
      </w:r>
    </w:p>
    <w:p w14:paraId="722FB4C7" w14:textId="3BE16D46" w:rsidR="006D3B26" w:rsidRPr="00A57D9E" w:rsidRDefault="00A83FE2" w:rsidP="00726A38">
      <w:pPr>
        <w:spacing w:before="120" w:after="120"/>
      </w:pPr>
      <w:r w:rsidRPr="64668FE4">
        <w:rPr>
          <w:lang w:val="en-US"/>
        </w:rPr>
        <w:t>The feedback gathered has been instrumental in identifying areas where our service delivery and stakeholder experience have not always met expectations</w:t>
      </w:r>
      <w:r w:rsidR="00842012">
        <w:rPr>
          <w:lang w:val="en-US"/>
        </w:rPr>
        <w:t>.</w:t>
      </w:r>
      <w:r w:rsidRPr="64668FE4">
        <w:rPr>
          <w:lang w:val="en-US"/>
        </w:rPr>
        <w:t xml:space="preserve"> </w:t>
      </w:r>
      <w:r w:rsidR="49C26A2F" w:rsidRPr="64668FE4">
        <w:rPr>
          <w:lang w:val="en-US"/>
        </w:rPr>
        <w:t>Consistent theme</w:t>
      </w:r>
      <w:r w:rsidR="4670CC59" w:rsidRPr="64668FE4">
        <w:rPr>
          <w:lang w:val="en-US"/>
        </w:rPr>
        <w:t xml:space="preserve">s emerged, including </w:t>
      </w:r>
      <w:r w:rsidR="7B7F3A68" w:rsidRPr="64668FE4">
        <w:rPr>
          <w:lang w:val="en-US"/>
        </w:rPr>
        <w:t>transparency, productivity, integrity, customer outcomes, accountability and fairness</w:t>
      </w:r>
      <w:r w:rsidR="30833A24" w:rsidRPr="64668FE4">
        <w:rPr>
          <w:lang w:val="en-US"/>
        </w:rPr>
        <w:t xml:space="preserve">. </w:t>
      </w:r>
      <w:r w:rsidR="4E64D887" w:rsidRPr="64668FE4">
        <w:rPr>
          <w:lang w:val="en-US"/>
        </w:rPr>
        <w:t xml:space="preserve">These values reflect </w:t>
      </w:r>
      <w:r w:rsidR="2EC41B9A" w:rsidRPr="64668FE4">
        <w:rPr>
          <w:lang w:val="en-US"/>
        </w:rPr>
        <w:t>the core priorities of</w:t>
      </w:r>
      <w:r w:rsidR="7B7F3A68" w:rsidRPr="64668FE4">
        <w:rPr>
          <w:lang w:val="en-US"/>
        </w:rPr>
        <w:t xml:space="preserve"> the industry and community we serve</w:t>
      </w:r>
      <w:r w:rsidR="2EC41B9A" w:rsidRPr="64668FE4">
        <w:rPr>
          <w:lang w:val="en-US"/>
        </w:rPr>
        <w:t xml:space="preserve">, forming the foundation of </w:t>
      </w:r>
      <w:r w:rsidR="001C3E7F">
        <w:rPr>
          <w:lang w:val="en-US"/>
        </w:rPr>
        <w:t xml:space="preserve">my </w:t>
      </w:r>
      <w:r w:rsidR="55EA3018" w:rsidRPr="64668FE4">
        <w:rPr>
          <w:lang w:val="en-US"/>
        </w:rPr>
        <w:t xml:space="preserve">expectations </w:t>
      </w:r>
      <w:r w:rsidR="2EC41B9A" w:rsidRPr="64668FE4">
        <w:rPr>
          <w:lang w:val="en-US"/>
        </w:rPr>
        <w:t>for</w:t>
      </w:r>
      <w:r w:rsidR="55EA3018" w:rsidRPr="64668FE4">
        <w:rPr>
          <w:lang w:val="en-US"/>
        </w:rPr>
        <w:t xml:space="preserve"> the</w:t>
      </w:r>
      <w:r w:rsidR="7B7F3A68" w:rsidRPr="64668FE4">
        <w:rPr>
          <w:lang w:val="en-US"/>
        </w:rPr>
        <w:t xml:space="preserve"> </w:t>
      </w:r>
      <w:r w:rsidR="73181227" w:rsidRPr="64668FE4">
        <w:rPr>
          <w:lang w:val="en-US"/>
        </w:rPr>
        <w:t>QBCC</w:t>
      </w:r>
      <w:r w:rsidR="55EA3018" w:rsidRPr="64668FE4">
        <w:rPr>
          <w:lang w:val="en-US"/>
        </w:rPr>
        <w:t>’s role</w:t>
      </w:r>
      <w:r w:rsidR="5BF8ADC1" w:rsidRPr="64668FE4">
        <w:rPr>
          <w:lang w:val="en-US"/>
        </w:rPr>
        <w:t xml:space="preserve"> </w:t>
      </w:r>
      <w:r w:rsidR="73181227" w:rsidRPr="64668FE4">
        <w:rPr>
          <w:lang w:val="en-US"/>
        </w:rPr>
        <w:t xml:space="preserve">and </w:t>
      </w:r>
      <w:r w:rsidR="2EC41B9A" w:rsidRPr="64668FE4">
        <w:rPr>
          <w:lang w:val="en-US"/>
        </w:rPr>
        <w:t>performance</w:t>
      </w:r>
      <w:r w:rsidR="79F76719" w:rsidRPr="64668FE4">
        <w:rPr>
          <w:lang w:val="en-US"/>
        </w:rPr>
        <w:t>.</w:t>
      </w:r>
    </w:p>
    <w:p w14:paraId="4E6DAB08" w14:textId="2F6907ED" w:rsidR="00720AF1" w:rsidRPr="00A57D9E" w:rsidRDefault="7B7F3A68" w:rsidP="00726A38">
      <w:pPr>
        <w:spacing w:before="120" w:after="120"/>
      </w:pPr>
      <w:r w:rsidRPr="00A57D9E">
        <w:t>In response, the QBCC is undertaking a focused effort to enhance customer service and decision</w:t>
      </w:r>
      <w:r w:rsidR="00D22662" w:rsidRPr="00A57D9E">
        <w:t>-</w:t>
      </w:r>
      <w:r w:rsidRPr="00A57D9E">
        <w:t xml:space="preserve">making processes. </w:t>
      </w:r>
      <w:r w:rsidR="47D56127" w:rsidRPr="00A57D9E">
        <w:t>Existing systems</w:t>
      </w:r>
      <w:r w:rsidR="02F7330F" w:rsidRPr="00A57D9E">
        <w:t xml:space="preserve"> are being reviewed, </w:t>
      </w:r>
      <w:r w:rsidR="6FA80DB0">
        <w:t xml:space="preserve">barriers </w:t>
      </w:r>
      <w:r w:rsidR="02F7330F">
        <w:t>identified</w:t>
      </w:r>
      <w:r w:rsidR="00A72E06">
        <w:t>,</w:t>
      </w:r>
      <w:r w:rsidR="02F7330F">
        <w:t xml:space="preserve"> and </w:t>
      </w:r>
      <w:r w:rsidR="6FA80DB0">
        <w:t xml:space="preserve">targeted initiatives </w:t>
      </w:r>
      <w:r w:rsidR="02F7330F">
        <w:t xml:space="preserve">implemented </w:t>
      </w:r>
      <w:r w:rsidR="1BC862A4">
        <w:t xml:space="preserve">that are </w:t>
      </w:r>
      <w:r w:rsidR="6FA80DB0">
        <w:t xml:space="preserve">designed to improve </w:t>
      </w:r>
      <w:r w:rsidR="39112098">
        <w:t xml:space="preserve">the overall </w:t>
      </w:r>
      <w:r w:rsidR="6FA80DB0">
        <w:t xml:space="preserve">customer experience. </w:t>
      </w:r>
      <w:r w:rsidR="45BCE734">
        <w:t>A clear imperative exists to make it easier for customers to do business with us</w:t>
      </w:r>
      <w:r w:rsidR="001D0221">
        <w:t xml:space="preserve">. </w:t>
      </w:r>
      <w:r w:rsidR="1E74641A">
        <w:t>S</w:t>
      </w:r>
      <w:r w:rsidR="45BCE734">
        <w:t>hifting and sharpening our organisational focus</w:t>
      </w:r>
      <w:r w:rsidR="1E74641A">
        <w:t xml:space="preserve">, </w:t>
      </w:r>
      <w:r w:rsidRPr="00A57D9E">
        <w:t>practical</w:t>
      </w:r>
      <w:r w:rsidR="47BBD4DE" w:rsidRPr="00A57D9E">
        <w:t xml:space="preserve"> and </w:t>
      </w:r>
      <w:r w:rsidRPr="00A57D9E">
        <w:t>common-sense changes</w:t>
      </w:r>
      <w:r w:rsidR="6E33E96A" w:rsidRPr="00A57D9E">
        <w:t xml:space="preserve"> </w:t>
      </w:r>
      <w:r w:rsidR="47BBD4DE" w:rsidRPr="00A57D9E">
        <w:t>are underway to</w:t>
      </w:r>
      <w:r w:rsidR="6E33E96A" w:rsidRPr="00A57D9E">
        <w:t xml:space="preserve"> </w:t>
      </w:r>
      <w:r w:rsidRPr="00A57D9E">
        <w:t>support</w:t>
      </w:r>
      <w:r w:rsidR="75D17D6F" w:rsidRPr="00A57D9E">
        <w:t xml:space="preserve"> greater</w:t>
      </w:r>
      <w:r w:rsidRPr="00A57D9E">
        <w:t xml:space="preserve"> productivity</w:t>
      </w:r>
      <w:r w:rsidR="75D17D6F" w:rsidRPr="00A57D9E">
        <w:t xml:space="preserve"> and efficiency within the </w:t>
      </w:r>
      <w:r w:rsidR="4D0F511C" w:rsidRPr="00A57D9E">
        <w:t>building and construction industry</w:t>
      </w:r>
      <w:r w:rsidRPr="00A57D9E">
        <w:t xml:space="preserve">. </w:t>
      </w:r>
      <w:r w:rsidR="1FD96220" w:rsidRPr="00A57D9E">
        <w:t>Ongoing engagement with stakeholders is central, including prioritising initiatives that deliver measurable benefits, building trust through moderni</w:t>
      </w:r>
      <w:r w:rsidR="257BA26E" w:rsidRPr="00A57D9E">
        <w:t>s</w:t>
      </w:r>
      <w:r w:rsidR="1FD96220" w:rsidRPr="00A57D9E">
        <w:t>ation</w:t>
      </w:r>
      <w:r w:rsidR="36F73B59" w:rsidRPr="00A57D9E">
        <w:t xml:space="preserve">, </w:t>
      </w:r>
      <w:r w:rsidR="1FD96220" w:rsidRPr="00A57D9E">
        <w:t>reducing unnecessary red tape</w:t>
      </w:r>
      <w:r w:rsidR="36F73B59" w:rsidRPr="00A57D9E">
        <w:t xml:space="preserve"> and demonstrating c</w:t>
      </w:r>
      <w:r w:rsidR="1FD96220" w:rsidRPr="00A57D9E">
        <w:t>ontinuous improvement.</w:t>
      </w:r>
      <w:r w:rsidRPr="00A57D9E">
        <w:t xml:space="preserve"> </w:t>
      </w:r>
      <w:r w:rsidR="00A00C2F" w:rsidRPr="00A57D9E">
        <w:t xml:space="preserve">Our priority will be </w:t>
      </w:r>
      <w:r w:rsidR="00433120">
        <w:t>to deliver</w:t>
      </w:r>
      <w:r w:rsidR="00A00C2F" w:rsidRPr="00A57D9E">
        <w:t xml:space="preserve"> on</w:t>
      </w:r>
      <w:r w:rsidR="00562E86" w:rsidRPr="00A57D9E">
        <w:t xml:space="preserve"> the </w:t>
      </w:r>
      <w:r w:rsidR="00521944" w:rsidRPr="00A57D9E">
        <w:t>‘</w:t>
      </w:r>
      <w:r w:rsidR="00562E86" w:rsidRPr="00A57D9E">
        <w:t>brilliant basics</w:t>
      </w:r>
      <w:r w:rsidR="00521944" w:rsidRPr="00A57D9E">
        <w:t>’</w:t>
      </w:r>
      <w:r w:rsidR="00562E86" w:rsidRPr="00A57D9E">
        <w:t>.</w:t>
      </w:r>
    </w:p>
    <w:p w14:paraId="5014AD0D" w14:textId="6B61E9D5" w:rsidR="006D3B26" w:rsidRPr="00A57D9E" w:rsidRDefault="7B7F3A68" w:rsidP="00726A38">
      <w:pPr>
        <w:spacing w:before="120" w:after="120"/>
      </w:pPr>
      <w:r w:rsidRPr="64668FE4">
        <w:rPr>
          <w:lang w:val="en-US"/>
        </w:rPr>
        <w:t>A</w:t>
      </w:r>
      <w:r w:rsidR="596E0F8F" w:rsidRPr="64668FE4">
        <w:rPr>
          <w:lang w:val="en-US"/>
        </w:rPr>
        <w:t>n</w:t>
      </w:r>
      <w:r w:rsidRPr="64668FE4">
        <w:rPr>
          <w:lang w:val="en-US"/>
        </w:rPr>
        <w:t xml:space="preserve"> </w:t>
      </w:r>
      <w:r w:rsidR="0B589B2C" w:rsidRPr="64668FE4">
        <w:rPr>
          <w:lang w:val="en-US"/>
        </w:rPr>
        <w:t xml:space="preserve">essential driver of </w:t>
      </w:r>
      <w:r w:rsidR="5C2B1645" w:rsidRPr="64668FE4">
        <w:rPr>
          <w:lang w:val="en-US"/>
        </w:rPr>
        <w:t xml:space="preserve">transformation </w:t>
      </w:r>
      <w:r w:rsidR="5277DAC9" w:rsidRPr="64668FE4">
        <w:rPr>
          <w:lang w:val="en-US"/>
        </w:rPr>
        <w:t>is the strategic use of</w:t>
      </w:r>
      <w:r w:rsidR="5C2B1645" w:rsidRPr="64668FE4">
        <w:rPr>
          <w:lang w:val="en-US"/>
        </w:rPr>
        <w:t xml:space="preserve"> </w:t>
      </w:r>
      <w:r w:rsidRPr="64668FE4">
        <w:rPr>
          <w:lang w:val="en-US"/>
        </w:rPr>
        <w:t xml:space="preserve">technology and data to </w:t>
      </w:r>
      <w:r w:rsidR="3B35EC6D" w:rsidRPr="64668FE4">
        <w:rPr>
          <w:lang w:val="en-US"/>
        </w:rPr>
        <w:t>improve</w:t>
      </w:r>
      <w:r w:rsidRPr="64668FE4">
        <w:rPr>
          <w:lang w:val="en-US"/>
        </w:rPr>
        <w:t xml:space="preserve"> </w:t>
      </w:r>
      <w:r w:rsidR="6B3FABFC" w:rsidRPr="64668FE4">
        <w:rPr>
          <w:lang w:val="en-US"/>
        </w:rPr>
        <w:t>outcomes</w:t>
      </w:r>
      <w:r w:rsidR="5C2B1645" w:rsidRPr="64668FE4">
        <w:rPr>
          <w:lang w:val="en-US"/>
        </w:rPr>
        <w:t xml:space="preserve">. </w:t>
      </w:r>
      <w:r w:rsidR="0CAD24EE" w:rsidRPr="64668FE4">
        <w:rPr>
          <w:lang w:val="en-US"/>
        </w:rPr>
        <w:t xml:space="preserve">Accordingly, the </w:t>
      </w:r>
      <w:r w:rsidRPr="64668FE4">
        <w:rPr>
          <w:lang w:val="en-US"/>
        </w:rPr>
        <w:t>QBCC</w:t>
      </w:r>
      <w:r w:rsidR="4F2CEAA0" w:rsidRPr="64668FE4">
        <w:rPr>
          <w:lang w:val="en-US"/>
        </w:rPr>
        <w:t xml:space="preserve"> is reviewing and r</w:t>
      </w:r>
      <w:r w:rsidR="0CAD24EE" w:rsidRPr="64668FE4">
        <w:rPr>
          <w:lang w:val="en-US"/>
        </w:rPr>
        <w:t>efin</w:t>
      </w:r>
      <w:r w:rsidR="4F2CEAA0" w:rsidRPr="64668FE4">
        <w:rPr>
          <w:lang w:val="en-US"/>
        </w:rPr>
        <w:t>ing its digital roadmap</w:t>
      </w:r>
      <w:r w:rsidRPr="64668FE4">
        <w:rPr>
          <w:lang w:val="en-US"/>
        </w:rPr>
        <w:t xml:space="preserve">. </w:t>
      </w:r>
      <w:r w:rsidR="0E9BB925" w:rsidRPr="64668FE4">
        <w:rPr>
          <w:lang w:val="en-US"/>
        </w:rPr>
        <w:t xml:space="preserve">Embracing digital innovation enables us to become a more </w:t>
      </w:r>
      <w:r w:rsidRPr="64668FE4">
        <w:rPr>
          <w:lang w:val="en-US"/>
        </w:rPr>
        <w:t>customer</w:t>
      </w:r>
      <w:r w:rsidR="2C440BD1" w:rsidRPr="64668FE4">
        <w:rPr>
          <w:lang w:val="en-US"/>
        </w:rPr>
        <w:t>-</w:t>
      </w:r>
      <w:r w:rsidRPr="64668FE4">
        <w:rPr>
          <w:lang w:val="en-US"/>
        </w:rPr>
        <w:t>focused organisation</w:t>
      </w:r>
      <w:r w:rsidR="338FDAAD" w:rsidRPr="64668FE4">
        <w:rPr>
          <w:lang w:val="en-US"/>
        </w:rPr>
        <w:t xml:space="preserve"> by streamlining processes, reducing </w:t>
      </w:r>
      <w:r w:rsidRPr="64668FE4">
        <w:rPr>
          <w:lang w:val="en-US"/>
        </w:rPr>
        <w:t xml:space="preserve">red tape, </w:t>
      </w:r>
      <w:r w:rsidR="1B7C6E53" w:rsidRPr="64668FE4">
        <w:rPr>
          <w:lang w:val="en-US"/>
        </w:rPr>
        <w:t xml:space="preserve">improving </w:t>
      </w:r>
      <w:r w:rsidR="0061786C">
        <w:rPr>
          <w:lang w:val="en-US"/>
        </w:rPr>
        <w:t>our responsiveness</w:t>
      </w:r>
      <w:r w:rsidR="1B7C6E53" w:rsidRPr="64668FE4">
        <w:rPr>
          <w:lang w:val="en-US"/>
        </w:rPr>
        <w:t xml:space="preserve">, </w:t>
      </w:r>
      <w:r w:rsidR="1663B82F" w:rsidRPr="64668FE4">
        <w:rPr>
          <w:lang w:val="en-US"/>
        </w:rPr>
        <w:t>supporting</w:t>
      </w:r>
      <w:r w:rsidR="3596C595" w:rsidRPr="64668FE4">
        <w:rPr>
          <w:lang w:val="en-US"/>
        </w:rPr>
        <w:t xml:space="preserve"> </w:t>
      </w:r>
      <w:r w:rsidR="00465ADA">
        <w:rPr>
          <w:lang w:val="en-US"/>
        </w:rPr>
        <w:t xml:space="preserve">consistent, </w:t>
      </w:r>
      <w:r w:rsidR="3596C595" w:rsidRPr="64668FE4">
        <w:rPr>
          <w:lang w:val="en-US"/>
        </w:rPr>
        <w:t>evidence</w:t>
      </w:r>
      <w:r w:rsidRPr="64668FE4">
        <w:rPr>
          <w:lang w:val="en-US"/>
        </w:rPr>
        <w:t xml:space="preserve">-based decisions and </w:t>
      </w:r>
      <w:r w:rsidR="3CD88C44" w:rsidRPr="64668FE4">
        <w:rPr>
          <w:lang w:val="en-US"/>
        </w:rPr>
        <w:t>improving access to</w:t>
      </w:r>
      <w:r w:rsidR="3596C595" w:rsidRPr="64668FE4">
        <w:rPr>
          <w:lang w:val="en-US"/>
        </w:rPr>
        <w:t xml:space="preserve"> </w:t>
      </w:r>
      <w:r w:rsidR="3CD88C44" w:rsidRPr="64668FE4">
        <w:rPr>
          <w:lang w:val="en-US"/>
        </w:rPr>
        <w:t xml:space="preserve">our </w:t>
      </w:r>
      <w:r w:rsidRPr="64668FE4">
        <w:rPr>
          <w:lang w:val="en-US"/>
        </w:rPr>
        <w:t xml:space="preserve">services. </w:t>
      </w:r>
      <w:r w:rsidR="41B6C3C1" w:rsidRPr="64668FE4">
        <w:rPr>
          <w:lang w:val="en-US"/>
        </w:rPr>
        <w:t>Our</w:t>
      </w:r>
      <w:r w:rsidR="40E7B249" w:rsidRPr="64668FE4">
        <w:rPr>
          <w:lang w:val="en-US"/>
        </w:rPr>
        <w:t xml:space="preserve"> </w:t>
      </w:r>
      <w:r w:rsidR="381BD87D" w:rsidRPr="64668FE4">
        <w:rPr>
          <w:lang w:val="en-US"/>
        </w:rPr>
        <w:t xml:space="preserve">ongoing focus on </w:t>
      </w:r>
      <w:proofErr w:type="spellStart"/>
      <w:r w:rsidR="381BD87D" w:rsidRPr="64668FE4">
        <w:rPr>
          <w:lang w:val="en-US"/>
        </w:rPr>
        <w:t>modernisation</w:t>
      </w:r>
      <w:proofErr w:type="spellEnd"/>
      <w:r w:rsidR="381BD87D" w:rsidRPr="64668FE4">
        <w:rPr>
          <w:lang w:val="en-US"/>
        </w:rPr>
        <w:t xml:space="preserve"> </w:t>
      </w:r>
      <w:r w:rsidR="38554DFE" w:rsidRPr="64668FE4">
        <w:rPr>
          <w:lang w:val="en-US"/>
        </w:rPr>
        <w:t xml:space="preserve">is key to achieving greater </w:t>
      </w:r>
      <w:r w:rsidR="40E7B249" w:rsidRPr="64668FE4">
        <w:rPr>
          <w:lang w:val="en-US"/>
        </w:rPr>
        <w:t>efficiency, transparency</w:t>
      </w:r>
      <w:r w:rsidR="5DCC7916" w:rsidRPr="64668FE4">
        <w:rPr>
          <w:lang w:val="en-US"/>
        </w:rPr>
        <w:t xml:space="preserve"> </w:t>
      </w:r>
      <w:r w:rsidR="40E7B249" w:rsidRPr="64668FE4">
        <w:rPr>
          <w:lang w:val="en-US"/>
        </w:rPr>
        <w:t xml:space="preserve">and </w:t>
      </w:r>
      <w:r w:rsidR="41B6C3C1" w:rsidRPr="64668FE4">
        <w:rPr>
          <w:lang w:val="en-US"/>
        </w:rPr>
        <w:t xml:space="preserve">customer </w:t>
      </w:r>
      <w:r w:rsidR="40E7B249" w:rsidRPr="64668FE4">
        <w:rPr>
          <w:lang w:val="en-US"/>
        </w:rPr>
        <w:t>satisfaction.</w:t>
      </w:r>
    </w:p>
    <w:p w14:paraId="5B029326" w14:textId="77777777" w:rsidR="00027FDD" w:rsidRDefault="420DD61F" w:rsidP="00726A38">
      <w:pPr>
        <w:spacing w:before="120" w:after="120"/>
        <w:rPr>
          <w:lang w:val="en-US"/>
        </w:rPr>
      </w:pPr>
      <w:r w:rsidRPr="64668FE4">
        <w:rPr>
          <w:lang w:val="en-US"/>
        </w:rPr>
        <w:t>L</w:t>
      </w:r>
      <w:r w:rsidR="41B6C3C1" w:rsidRPr="64668FE4">
        <w:rPr>
          <w:lang w:val="en-US"/>
        </w:rPr>
        <w:t>ook</w:t>
      </w:r>
      <w:r w:rsidRPr="64668FE4">
        <w:rPr>
          <w:lang w:val="en-US"/>
        </w:rPr>
        <w:t>ing</w:t>
      </w:r>
      <w:r w:rsidR="7B7F3A68" w:rsidRPr="64668FE4">
        <w:rPr>
          <w:lang w:val="en-US"/>
        </w:rPr>
        <w:t xml:space="preserve"> ahead</w:t>
      </w:r>
      <w:r w:rsidR="41B6C3C1" w:rsidRPr="64668FE4">
        <w:rPr>
          <w:lang w:val="en-US"/>
        </w:rPr>
        <w:t xml:space="preserve">, </w:t>
      </w:r>
      <w:r w:rsidR="7DFFE639" w:rsidRPr="64668FE4">
        <w:rPr>
          <w:lang w:val="en-US"/>
        </w:rPr>
        <w:t xml:space="preserve">I am confident in the capability, dedication </w:t>
      </w:r>
      <w:r w:rsidRPr="64668FE4">
        <w:rPr>
          <w:lang w:val="en-US"/>
        </w:rPr>
        <w:t xml:space="preserve">and professionalism </w:t>
      </w:r>
      <w:r w:rsidR="7DFFE639" w:rsidRPr="64668FE4">
        <w:rPr>
          <w:lang w:val="en-US"/>
        </w:rPr>
        <w:t xml:space="preserve">of our people to </w:t>
      </w:r>
      <w:r w:rsidRPr="64668FE4">
        <w:rPr>
          <w:lang w:val="en-US"/>
        </w:rPr>
        <w:t>deliver meaningful change</w:t>
      </w:r>
      <w:r w:rsidR="49036F52" w:rsidRPr="64668FE4">
        <w:rPr>
          <w:lang w:val="en-US"/>
        </w:rPr>
        <w:t>.</w:t>
      </w:r>
      <w:r w:rsidR="41B6C3C1" w:rsidRPr="64668FE4">
        <w:rPr>
          <w:lang w:val="en-US"/>
        </w:rPr>
        <w:t xml:space="preserve"> </w:t>
      </w:r>
      <w:r w:rsidR="650FEA2B" w:rsidRPr="64668FE4">
        <w:rPr>
          <w:lang w:val="en-US"/>
        </w:rPr>
        <w:t xml:space="preserve">My vision is for the </w:t>
      </w:r>
      <w:r w:rsidR="7B7F3A68" w:rsidRPr="64668FE4">
        <w:rPr>
          <w:lang w:val="en-US"/>
        </w:rPr>
        <w:t xml:space="preserve">QBCC to be </w:t>
      </w:r>
      <w:proofErr w:type="spellStart"/>
      <w:r w:rsidR="650FEA2B" w:rsidRPr="64668FE4">
        <w:rPr>
          <w:lang w:val="en-US"/>
        </w:rPr>
        <w:t>recognised</w:t>
      </w:r>
      <w:proofErr w:type="spellEnd"/>
      <w:r w:rsidR="7B7F3A68" w:rsidRPr="64668FE4">
        <w:rPr>
          <w:lang w:val="en-US"/>
        </w:rPr>
        <w:t xml:space="preserve"> as </w:t>
      </w:r>
      <w:r w:rsidR="3E742BAA" w:rsidRPr="64668FE4">
        <w:rPr>
          <w:lang w:val="en-US"/>
        </w:rPr>
        <w:t xml:space="preserve">a </w:t>
      </w:r>
      <w:r w:rsidRPr="64668FE4">
        <w:rPr>
          <w:lang w:val="en-US"/>
        </w:rPr>
        <w:t xml:space="preserve">responsive and </w:t>
      </w:r>
      <w:r w:rsidR="003E6911" w:rsidRPr="64668FE4">
        <w:rPr>
          <w:lang w:val="en-US"/>
        </w:rPr>
        <w:t>contempor</w:t>
      </w:r>
      <w:r w:rsidR="00910C94" w:rsidRPr="64668FE4">
        <w:rPr>
          <w:lang w:val="en-US"/>
        </w:rPr>
        <w:t>ar</w:t>
      </w:r>
      <w:r w:rsidR="003E6911" w:rsidRPr="64668FE4">
        <w:rPr>
          <w:lang w:val="en-US"/>
        </w:rPr>
        <w:t>y</w:t>
      </w:r>
      <w:r w:rsidRPr="64668FE4">
        <w:rPr>
          <w:lang w:val="en-US"/>
        </w:rPr>
        <w:t xml:space="preserve"> organisation</w:t>
      </w:r>
      <w:r w:rsidR="54AC6754" w:rsidRPr="64668FE4">
        <w:rPr>
          <w:lang w:val="en-US"/>
        </w:rPr>
        <w:t xml:space="preserve"> that listens, responds and remains </w:t>
      </w:r>
      <w:r w:rsidR="787B11C3" w:rsidRPr="64668FE4">
        <w:rPr>
          <w:lang w:val="en-US"/>
        </w:rPr>
        <w:t xml:space="preserve">firmly </w:t>
      </w:r>
      <w:r w:rsidR="54AC6754" w:rsidRPr="64668FE4">
        <w:rPr>
          <w:lang w:val="en-US"/>
        </w:rPr>
        <w:t>focused on its core purpose</w:t>
      </w:r>
      <w:r w:rsidR="5F02B7D9" w:rsidRPr="64668FE4">
        <w:rPr>
          <w:lang w:val="en-US"/>
        </w:rPr>
        <w:t xml:space="preserve"> to </w:t>
      </w:r>
      <w:r w:rsidR="28AEEEF8" w:rsidRPr="64668FE4">
        <w:rPr>
          <w:lang w:val="en-US"/>
        </w:rPr>
        <w:t xml:space="preserve">protect </w:t>
      </w:r>
      <w:bookmarkStart w:id="14" w:name="_Int_WbO1Qkyc"/>
      <w:proofErr w:type="gramStart"/>
      <w:r w:rsidR="6BE4D645" w:rsidRPr="64668FE4">
        <w:rPr>
          <w:lang w:val="en-US"/>
        </w:rPr>
        <w:t>home owners</w:t>
      </w:r>
      <w:bookmarkEnd w:id="14"/>
      <w:proofErr w:type="gramEnd"/>
      <w:r w:rsidR="6BE4D645" w:rsidRPr="64668FE4">
        <w:rPr>
          <w:lang w:val="en-US"/>
        </w:rPr>
        <w:t xml:space="preserve"> and</w:t>
      </w:r>
      <w:r w:rsidR="28AEEEF8" w:rsidRPr="64668FE4">
        <w:rPr>
          <w:lang w:val="en-US"/>
        </w:rPr>
        <w:t xml:space="preserve"> the </w:t>
      </w:r>
      <w:r w:rsidR="6BE4D645" w:rsidRPr="64668FE4">
        <w:rPr>
          <w:lang w:val="en-US"/>
        </w:rPr>
        <w:t xml:space="preserve">broader </w:t>
      </w:r>
      <w:r w:rsidR="70295E4E" w:rsidRPr="64668FE4">
        <w:rPr>
          <w:lang w:val="en-US"/>
        </w:rPr>
        <w:t>Queensland</w:t>
      </w:r>
      <w:r w:rsidR="6BE4D645" w:rsidRPr="64668FE4">
        <w:rPr>
          <w:lang w:val="en-US"/>
        </w:rPr>
        <w:t xml:space="preserve"> community</w:t>
      </w:r>
      <w:r w:rsidR="290DCE17" w:rsidRPr="64668FE4">
        <w:rPr>
          <w:lang w:val="en-US"/>
        </w:rPr>
        <w:t xml:space="preserve"> from </w:t>
      </w:r>
      <w:r w:rsidR="201B4C79" w:rsidRPr="64668FE4">
        <w:rPr>
          <w:lang w:val="en-US"/>
        </w:rPr>
        <w:t>building work that fails to meet required standards</w:t>
      </w:r>
      <w:r w:rsidR="7B7F3A68" w:rsidRPr="64668FE4">
        <w:rPr>
          <w:lang w:val="en-US"/>
        </w:rPr>
        <w:t xml:space="preserve">. </w:t>
      </w:r>
    </w:p>
    <w:p w14:paraId="4FC040EB" w14:textId="150A9827" w:rsidR="006D3B26" w:rsidRPr="004B7EE7" w:rsidRDefault="003E6911" w:rsidP="00726A38">
      <w:pPr>
        <w:spacing w:before="120" w:after="120"/>
        <w:rPr>
          <w:lang w:val="en-US"/>
        </w:rPr>
      </w:pPr>
      <w:r w:rsidRPr="64668FE4">
        <w:rPr>
          <w:lang w:val="en-US"/>
        </w:rPr>
        <w:t xml:space="preserve">Equally, </w:t>
      </w:r>
      <w:r w:rsidR="003F7A30" w:rsidRPr="64668FE4">
        <w:rPr>
          <w:lang w:val="en-US"/>
        </w:rPr>
        <w:t xml:space="preserve">I also want </w:t>
      </w:r>
      <w:r w:rsidR="00180482" w:rsidRPr="64668FE4">
        <w:rPr>
          <w:lang w:val="en-US"/>
        </w:rPr>
        <w:t>us</w:t>
      </w:r>
      <w:r w:rsidR="003F7A30" w:rsidRPr="64668FE4">
        <w:rPr>
          <w:lang w:val="en-US"/>
        </w:rPr>
        <w:t xml:space="preserve"> to </w:t>
      </w:r>
      <w:r w:rsidR="00A41708" w:rsidRPr="64668FE4">
        <w:rPr>
          <w:lang w:val="en-US"/>
        </w:rPr>
        <w:t xml:space="preserve">be </w:t>
      </w:r>
      <w:proofErr w:type="spellStart"/>
      <w:r w:rsidR="00A41708" w:rsidRPr="64668FE4">
        <w:rPr>
          <w:lang w:val="en-US"/>
        </w:rPr>
        <w:t>recognised</w:t>
      </w:r>
      <w:proofErr w:type="spellEnd"/>
      <w:r w:rsidR="00A41708" w:rsidRPr="64668FE4">
        <w:rPr>
          <w:lang w:val="en-US"/>
        </w:rPr>
        <w:t xml:space="preserve"> as</w:t>
      </w:r>
      <w:r w:rsidR="003F7A30" w:rsidRPr="64668FE4">
        <w:rPr>
          <w:lang w:val="en-US"/>
        </w:rPr>
        <w:t xml:space="preserve"> </w:t>
      </w:r>
      <w:r w:rsidR="002C3EA9" w:rsidRPr="64668FE4">
        <w:rPr>
          <w:lang w:val="en-US"/>
        </w:rPr>
        <w:t>a</w:t>
      </w:r>
      <w:r w:rsidR="00165BD8" w:rsidRPr="64668FE4">
        <w:rPr>
          <w:lang w:val="en-US"/>
        </w:rPr>
        <w:t xml:space="preserve"> consultative</w:t>
      </w:r>
      <w:r w:rsidR="00500856" w:rsidRPr="64668FE4">
        <w:rPr>
          <w:lang w:val="en-US"/>
        </w:rPr>
        <w:t xml:space="preserve"> and </w:t>
      </w:r>
      <w:r w:rsidR="00B00C1D" w:rsidRPr="64668FE4">
        <w:rPr>
          <w:lang w:val="en-US"/>
        </w:rPr>
        <w:t>proactive</w:t>
      </w:r>
      <w:r w:rsidR="00500856" w:rsidRPr="64668FE4">
        <w:rPr>
          <w:lang w:val="en-US"/>
        </w:rPr>
        <w:t xml:space="preserve"> organisation that </w:t>
      </w:r>
      <w:r w:rsidR="00180482" w:rsidRPr="64668FE4">
        <w:rPr>
          <w:lang w:val="en-US"/>
        </w:rPr>
        <w:t>collaborates</w:t>
      </w:r>
      <w:r w:rsidR="4379AB31" w:rsidRPr="64668FE4">
        <w:rPr>
          <w:lang w:val="en-US"/>
        </w:rPr>
        <w:t xml:space="preserve"> with </w:t>
      </w:r>
      <w:r w:rsidR="00180482" w:rsidRPr="64668FE4">
        <w:rPr>
          <w:lang w:val="en-US"/>
        </w:rPr>
        <w:t>all our</w:t>
      </w:r>
      <w:r w:rsidR="4379AB31" w:rsidRPr="64668FE4">
        <w:rPr>
          <w:lang w:val="en-US"/>
        </w:rPr>
        <w:t xml:space="preserve"> stakeholders, </w:t>
      </w:r>
      <w:r w:rsidR="00180482" w:rsidRPr="64668FE4">
        <w:rPr>
          <w:lang w:val="en-US"/>
        </w:rPr>
        <w:t>and continues</w:t>
      </w:r>
      <w:r w:rsidR="4379AB31" w:rsidRPr="64668FE4">
        <w:rPr>
          <w:lang w:val="en-US"/>
        </w:rPr>
        <w:t xml:space="preserve"> to </w:t>
      </w:r>
      <w:r w:rsidR="666E9A03" w:rsidRPr="64668FE4">
        <w:rPr>
          <w:lang w:val="en-US"/>
        </w:rPr>
        <w:t>enhance</w:t>
      </w:r>
      <w:r w:rsidR="4379AB31" w:rsidRPr="64668FE4">
        <w:rPr>
          <w:lang w:val="en-US"/>
        </w:rPr>
        <w:t xml:space="preserve"> our services, strengthen </w:t>
      </w:r>
      <w:r w:rsidR="451E55CA" w:rsidRPr="64668FE4">
        <w:rPr>
          <w:lang w:val="en-US"/>
        </w:rPr>
        <w:t xml:space="preserve">regulatory </w:t>
      </w:r>
      <w:r w:rsidR="4008A7E5" w:rsidRPr="64668FE4">
        <w:rPr>
          <w:lang w:val="en-US"/>
        </w:rPr>
        <w:t>performance</w:t>
      </w:r>
      <w:r w:rsidR="451E55CA" w:rsidRPr="64668FE4">
        <w:rPr>
          <w:lang w:val="en-US"/>
        </w:rPr>
        <w:t xml:space="preserve"> and contribute to a safer</w:t>
      </w:r>
      <w:r w:rsidR="59E1BC00" w:rsidRPr="64668FE4">
        <w:rPr>
          <w:lang w:val="en-US"/>
        </w:rPr>
        <w:t>, more productive</w:t>
      </w:r>
      <w:r w:rsidR="451E55CA" w:rsidRPr="64668FE4">
        <w:rPr>
          <w:lang w:val="en-US"/>
        </w:rPr>
        <w:t xml:space="preserve"> and</w:t>
      </w:r>
      <w:r w:rsidR="1F0A7092" w:rsidRPr="64668FE4">
        <w:rPr>
          <w:lang w:val="en-US"/>
        </w:rPr>
        <w:t xml:space="preserve"> sustainable building and construction industry for Queensland.</w:t>
      </w:r>
      <w:r w:rsidR="4379AB31" w:rsidRPr="64668FE4">
        <w:rPr>
          <w:lang w:val="en-US"/>
        </w:rPr>
        <w:t xml:space="preserve"> </w:t>
      </w:r>
      <w:r w:rsidR="588A07E8" w:rsidRPr="64668FE4">
        <w:rPr>
          <w:lang w:val="en-US"/>
        </w:rPr>
        <w:t>Our</w:t>
      </w:r>
      <w:r w:rsidR="7B7F3A68" w:rsidRPr="64668FE4">
        <w:rPr>
          <w:lang w:val="en-US"/>
        </w:rPr>
        <w:t xml:space="preserve"> </w:t>
      </w:r>
      <w:r w:rsidR="588A07E8" w:rsidRPr="64668FE4">
        <w:rPr>
          <w:lang w:val="en-US"/>
        </w:rPr>
        <w:t>e</w:t>
      </w:r>
      <w:r w:rsidR="7999EB0F" w:rsidRPr="64668FE4">
        <w:rPr>
          <w:lang w:val="en-US"/>
        </w:rPr>
        <w:t xml:space="preserve">fforts </w:t>
      </w:r>
      <w:r w:rsidR="4C7169CF" w:rsidRPr="64668FE4">
        <w:rPr>
          <w:lang w:val="en-US"/>
        </w:rPr>
        <w:t>will</w:t>
      </w:r>
      <w:r w:rsidR="54164693" w:rsidRPr="64668FE4">
        <w:rPr>
          <w:lang w:val="en-US"/>
        </w:rPr>
        <w:t xml:space="preserve"> </w:t>
      </w:r>
      <w:r w:rsidR="588A07E8" w:rsidRPr="64668FE4">
        <w:rPr>
          <w:lang w:val="en-US"/>
        </w:rPr>
        <w:t xml:space="preserve">remain focused on </w:t>
      </w:r>
      <w:r w:rsidR="00180482" w:rsidRPr="64668FE4">
        <w:rPr>
          <w:lang w:val="en-US"/>
        </w:rPr>
        <w:t>delivering</w:t>
      </w:r>
      <w:r w:rsidR="7B7F3A68" w:rsidRPr="64668FE4">
        <w:rPr>
          <w:lang w:val="en-US"/>
        </w:rPr>
        <w:t xml:space="preserve"> value and </w:t>
      </w:r>
      <w:r w:rsidR="00180482" w:rsidRPr="64668FE4">
        <w:rPr>
          <w:lang w:val="en-US"/>
        </w:rPr>
        <w:t xml:space="preserve">positive </w:t>
      </w:r>
      <w:r w:rsidR="7B7F3A68" w:rsidRPr="64668FE4">
        <w:rPr>
          <w:lang w:val="en-US"/>
        </w:rPr>
        <w:t xml:space="preserve">impact, </w:t>
      </w:r>
      <w:r w:rsidR="2A542255" w:rsidRPr="64668FE4">
        <w:rPr>
          <w:lang w:val="en-US"/>
        </w:rPr>
        <w:t xml:space="preserve">simplifying </w:t>
      </w:r>
      <w:r w:rsidR="00180482" w:rsidRPr="64668FE4">
        <w:rPr>
          <w:lang w:val="en-US"/>
        </w:rPr>
        <w:t xml:space="preserve">and </w:t>
      </w:r>
      <w:proofErr w:type="spellStart"/>
      <w:r w:rsidR="00180482" w:rsidRPr="64668FE4">
        <w:rPr>
          <w:lang w:val="en-US"/>
        </w:rPr>
        <w:t>modernising</w:t>
      </w:r>
      <w:proofErr w:type="spellEnd"/>
      <w:r w:rsidR="00180482" w:rsidRPr="64668FE4">
        <w:rPr>
          <w:lang w:val="en-US"/>
        </w:rPr>
        <w:t xml:space="preserve"> </w:t>
      </w:r>
      <w:r w:rsidR="2A542255" w:rsidRPr="64668FE4">
        <w:rPr>
          <w:lang w:val="en-US"/>
        </w:rPr>
        <w:t>the way we work and</w:t>
      </w:r>
      <w:r w:rsidR="1D454251" w:rsidRPr="64668FE4">
        <w:rPr>
          <w:lang w:val="en-US"/>
        </w:rPr>
        <w:t xml:space="preserve"> making it easier </w:t>
      </w:r>
      <w:r w:rsidR="2A542255" w:rsidRPr="64668FE4">
        <w:rPr>
          <w:lang w:val="en-US"/>
        </w:rPr>
        <w:t xml:space="preserve">for our customers </w:t>
      </w:r>
      <w:r w:rsidR="1D454251" w:rsidRPr="64668FE4">
        <w:rPr>
          <w:lang w:val="en-US"/>
        </w:rPr>
        <w:t xml:space="preserve">to </w:t>
      </w:r>
      <w:r w:rsidR="7B7F3A68" w:rsidRPr="64668FE4">
        <w:rPr>
          <w:lang w:val="en-US"/>
        </w:rPr>
        <w:t xml:space="preserve">do business with us. </w:t>
      </w:r>
      <w:r w:rsidR="008E3F9F">
        <w:rPr>
          <w:lang w:val="en-US"/>
        </w:rPr>
        <w:t>B</w:t>
      </w:r>
      <w:r w:rsidR="00822E51">
        <w:rPr>
          <w:lang w:val="en-US"/>
        </w:rPr>
        <w:t xml:space="preserve">y doing these things, </w:t>
      </w:r>
      <w:r w:rsidR="00B02A70">
        <w:rPr>
          <w:lang w:val="en-US"/>
        </w:rPr>
        <w:t xml:space="preserve">the QBCC will </w:t>
      </w:r>
      <w:r w:rsidR="00BD3DC0">
        <w:rPr>
          <w:lang w:val="en-US"/>
        </w:rPr>
        <w:t>play</w:t>
      </w:r>
      <w:r w:rsidR="00B02A70">
        <w:rPr>
          <w:lang w:val="en-US"/>
        </w:rPr>
        <w:t xml:space="preserve"> its part </w:t>
      </w:r>
      <w:r w:rsidR="00637AF8">
        <w:rPr>
          <w:lang w:val="en-US"/>
        </w:rPr>
        <w:t>in</w:t>
      </w:r>
      <w:r w:rsidR="00B02A70">
        <w:rPr>
          <w:lang w:val="en-US"/>
        </w:rPr>
        <w:t xml:space="preserve"> mak</w:t>
      </w:r>
      <w:r w:rsidR="00637AF8">
        <w:rPr>
          <w:lang w:val="en-US"/>
        </w:rPr>
        <w:t>ing</w:t>
      </w:r>
      <w:r w:rsidR="00B02A70">
        <w:rPr>
          <w:lang w:val="en-US"/>
        </w:rPr>
        <w:t xml:space="preserve"> Queensland the building capital of the nation.</w:t>
      </w:r>
    </w:p>
    <w:p w14:paraId="1AC294E3" w14:textId="5F040A67" w:rsidR="009F5646" w:rsidRPr="001F4958" w:rsidRDefault="2DC5351B" w:rsidP="00997179">
      <w:pPr>
        <w:spacing w:before="120" w:after="120"/>
        <w:rPr>
          <w:rFonts w:eastAsia="Aptos" w:cs="Arial"/>
          <w:szCs w:val="22"/>
        </w:rPr>
      </w:pPr>
      <w:r w:rsidRPr="001F4958">
        <w:rPr>
          <w:rFonts w:eastAsia="Aptos" w:cs="Arial"/>
          <w:szCs w:val="22"/>
        </w:rPr>
        <w:t>Angelo Lambrinos</w:t>
      </w:r>
    </w:p>
    <w:p w14:paraId="2EE18966" w14:textId="17EA2B20" w:rsidR="009F5646" w:rsidRPr="001F4958" w:rsidRDefault="2DC5351B" w:rsidP="00997179">
      <w:pPr>
        <w:spacing w:before="120" w:after="120"/>
        <w:rPr>
          <w:rFonts w:eastAsia="Aptos" w:cs="Arial"/>
          <w:szCs w:val="22"/>
        </w:rPr>
      </w:pPr>
      <w:r w:rsidRPr="001F4958">
        <w:rPr>
          <w:rFonts w:eastAsia="Aptos" w:cs="Arial"/>
          <w:szCs w:val="22"/>
        </w:rPr>
        <w:t>CEO and Commissioner</w:t>
      </w:r>
    </w:p>
    <w:p w14:paraId="6D5FCE68" w14:textId="4A4C6FD7" w:rsidR="00407511" w:rsidRDefault="2DC5351B" w:rsidP="00997179">
      <w:pPr>
        <w:spacing w:before="120" w:after="120"/>
        <w:rPr>
          <w:rFonts w:eastAsiaTheme="majorEastAsia" w:cs="Arial"/>
          <w:sz w:val="48"/>
          <w:szCs w:val="32"/>
        </w:rPr>
      </w:pPr>
      <w:r w:rsidRPr="001F4958">
        <w:rPr>
          <w:rFonts w:eastAsia="Aptos" w:cs="Arial"/>
          <w:szCs w:val="22"/>
        </w:rPr>
        <w:t>Queensland Building and Construction Commission</w:t>
      </w:r>
      <w:r w:rsidR="00407511">
        <w:rPr>
          <w:rFonts w:cs="Arial"/>
        </w:rPr>
        <w:br w:type="page"/>
      </w:r>
    </w:p>
    <w:p w14:paraId="44101DF8" w14:textId="2DDC095C" w:rsidR="003619A6" w:rsidRPr="005F0F68" w:rsidRDefault="00543314" w:rsidP="005F0F68">
      <w:pPr>
        <w:pStyle w:val="Heading1"/>
        <w:spacing w:before="120" w:after="120"/>
      </w:pPr>
      <w:bookmarkStart w:id="15" w:name="_Toc206493009"/>
      <w:r w:rsidRPr="004A2C19">
        <w:rPr>
          <w:rFonts w:cs="Arial"/>
        </w:rPr>
        <w:lastRenderedPageBreak/>
        <w:t>Introduction</w:t>
      </w:r>
      <w:bookmarkEnd w:id="15"/>
      <w:r w:rsidR="003619A6">
        <w:br w:type="page"/>
      </w:r>
    </w:p>
    <w:p w14:paraId="63FAFFBA" w14:textId="651CC98F" w:rsidR="007817B4" w:rsidRDefault="57410D7F" w:rsidP="002E0605">
      <w:pPr>
        <w:pStyle w:val="Heading2"/>
      </w:pPr>
      <w:bookmarkStart w:id="16" w:name="_Toc206493010"/>
      <w:r>
        <w:lastRenderedPageBreak/>
        <w:t xml:space="preserve">About </w:t>
      </w:r>
      <w:r w:rsidR="5B47EC2F">
        <w:t>the QBCC</w:t>
      </w:r>
      <w:bookmarkEnd w:id="16"/>
    </w:p>
    <w:p w14:paraId="3B8C2293" w14:textId="77777777" w:rsidR="00D12B49" w:rsidRDefault="0789D309" w:rsidP="002E0605">
      <w:pPr>
        <w:spacing w:before="120" w:after="120"/>
      </w:pPr>
      <w:r w:rsidRPr="0311DE0C">
        <w:t xml:space="preserve">The </w:t>
      </w:r>
      <w:r w:rsidR="00FC3915" w:rsidRPr="00FC3915">
        <w:t>Queensland Building and Construction Commission</w:t>
      </w:r>
      <w:r w:rsidRPr="0311DE0C">
        <w:t xml:space="preserve"> </w:t>
      </w:r>
      <w:r w:rsidR="00AD0C51">
        <w:t>(</w:t>
      </w:r>
      <w:r w:rsidRPr="0311DE0C">
        <w:t>QBCC</w:t>
      </w:r>
      <w:r w:rsidR="00AD0C51">
        <w:t>)</w:t>
      </w:r>
      <w:r w:rsidRPr="0311DE0C">
        <w:t xml:space="preserve"> </w:t>
      </w:r>
      <w:r w:rsidR="0B618A45" w:rsidRPr="0311DE0C">
        <w:t xml:space="preserve">serves as the regulator of </w:t>
      </w:r>
      <w:r w:rsidRPr="0311DE0C">
        <w:t xml:space="preserve">Queensland’s </w:t>
      </w:r>
      <w:r w:rsidR="1071C9C7" w:rsidRPr="0311DE0C">
        <w:t xml:space="preserve">building and construction </w:t>
      </w:r>
      <w:r w:rsidR="442D7DFD" w:rsidRPr="0311DE0C">
        <w:t>industry</w:t>
      </w:r>
      <w:r w:rsidR="1071C9C7" w:rsidRPr="0311DE0C">
        <w:t>.</w:t>
      </w:r>
      <w:r w:rsidR="54309C80" w:rsidRPr="0311DE0C">
        <w:t xml:space="preserve"> </w:t>
      </w:r>
      <w:r w:rsidR="471F37B0" w:rsidRPr="0311DE0C">
        <w:t>The</w:t>
      </w:r>
      <w:r w:rsidR="00D956FB">
        <w:t xml:space="preserve"> o</w:t>
      </w:r>
      <w:r w:rsidR="00742ACF">
        <w:t>rganisation</w:t>
      </w:r>
      <w:r w:rsidR="471F37B0" w:rsidRPr="0311DE0C">
        <w:t xml:space="preserve"> was established</w:t>
      </w:r>
      <w:r w:rsidR="1071C9C7" w:rsidRPr="0311DE0C">
        <w:t xml:space="preserve"> under the </w:t>
      </w:r>
      <w:r w:rsidR="1071C9C7" w:rsidRPr="0311DE0C">
        <w:rPr>
          <w:i/>
        </w:rPr>
        <w:t>Queensland Building and Construction Commission Act 1991</w:t>
      </w:r>
      <w:r w:rsidR="1071C9C7" w:rsidRPr="0311DE0C">
        <w:t xml:space="preserve"> (QBCC Act)</w:t>
      </w:r>
      <w:r w:rsidR="7B8DE226" w:rsidRPr="0311DE0C">
        <w:t xml:space="preserve"> </w:t>
      </w:r>
      <w:r w:rsidR="79125CB9" w:rsidRPr="0311DE0C">
        <w:t>to support</w:t>
      </w:r>
      <w:r w:rsidR="6C6A30F5" w:rsidRPr="0311DE0C">
        <w:t xml:space="preserve"> and oversee</w:t>
      </w:r>
      <w:r w:rsidR="79125CB9" w:rsidRPr="0311DE0C">
        <w:t xml:space="preserve"> the building and construction industry</w:t>
      </w:r>
      <w:r w:rsidR="0E65099A" w:rsidRPr="0311DE0C">
        <w:t xml:space="preserve">, ensuring </w:t>
      </w:r>
      <w:r w:rsidR="50120B6A" w:rsidRPr="0311DE0C">
        <w:t>high standards of professionalism</w:t>
      </w:r>
      <w:r w:rsidR="39750264" w:rsidRPr="0311DE0C">
        <w:t>, safety and consumer protection</w:t>
      </w:r>
      <w:r w:rsidR="5901E112" w:rsidRPr="0311DE0C">
        <w:t>.</w:t>
      </w:r>
      <w:r w:rsidR="39750264" w:rsidRPr="0311DE0C">
        <w:t xml:space="preserve"> </w:t>
      </w:r>
    </w:p>
    <w:p w14:paraId="2173444B" w14:textId="7C21B9D9" w:rsidR="00971832" w:rsidRDefault="39750264" w:rsidP="002E0605">
      <w:pPr>
        <w:spacing w:before="120" w:after="120"/>
      </w:pPr>
      <w:r w:rsidRPr="0311DE0C">
        <w:t>Govern</w:t>
      </w:r>
      <w:r w:rsidR="1DF50E7E" w:rsidRPr="0311DE0C">
        <w:t xml:space="preserve">ed by the </w:t>
      </w:r>
      <w:r w:rsidR="00AD0C51" w:rsidRPr="00AD0C51">
        <w:t xml:space="preserve">Queensland Building and Construction </w:t>
      </w:r>
      <w:r w:rsidR="00AD0C51">
        <w:t>(</w:t>
      </w:r>
      <w:r w:rsidR="00420304">
        <w:t>QBC</w:t>
      </w:r>
      <w:r w:rsidR="00AD0C51">
        <w:t>)</w:t>
      </w:r>
      <w:r w:rsidR="1DF50E7E" w:rsidRPr="0311DE0C">
        <w:t xml:space="preserve"> Board, </w:t>
      </w:r>
      <w:r w:rsidR="62561DF2" w:rsidRPr="0311DE0C">
        <w:t xml:space="preserve">the QBCC </w:t>
      </w:r>
      <w:r w:rsidR="1DF50E7E" w:rsidRPr="0311DE0C">
        <w:t>operate</w:t>
      </w:r>
      <w:r w:rsidR="1C04FFA6" w:rsidRPr="0311DE0C">
        <w:t>s</w:t>
      </w:r>
      <w:r w:rsidR="4485F220" w:rsidRPr="0311DE0C">
        <w:t xml:space="preserve"> as an</w:t>
      </w:r>
      <w:r w:rsidR="641E1ADA" w:rsidRPr="0311DE0C">
        <w:t xml:space="preserve"> </w:t>
      </w:r>
      <w:r w:rsidR="1DF50E7E" w:rsidRPr="0311DE0C">
        <w:t>i</w:t>
      </w:r>
      <w:r w:rsidR="75CD0FAB" w:rsidRPr="0311DE0C">
        <w:t>ndependent</w:t>
      </w:r>
      <w:r w:rsidR="241262A8" w:rsidRPr="0311DE0C">
        <w:t xml:space="preserve"> statutory authority</w:t>
      </w:r>
      <w:r w:rsidR="60227C25" w:rsidRPr="0311DE0C">
        <w:t>,</w:t>
      </w:r>
      <w:r w:rsidR="342F4E68" w:rsidRPr="0311DE0C">
        <w:t xml:space="preserve"> provid</w:t>
      </w:r>
      <w:r w:rsidR="58508FAA" w:rsidRPr="0311DE0C">
        <w:t>ing</w:t>
      </w:r>
      <w:r w:rsidR="342F4E68" w:rsidRPr="0311DE0C">
        <w:t xml:space="preserve"> clear oversight</w:t>
      </w:r>
      <w:r w:rsidR="4A004032" w:rsidRPr="0311DE0C">
        <w:t xml:space="preserve"> and</w:t>
      </w:r>
      <w:r w:rsidR="75CD0FAB" w:rsidRPr="0311DE0C">
        <w:t xml:space="preserve"> transparent decision</w:t>
      </w:r>
      <w:r w:rsidR="00066EEC">
        <w:t xml:space="preserve"> </w:t>
      </w:r>
      <w:r w:rsidR="75CD0FAB" w:rsidRPr="0311DE0C">
        <w:t>making</w:t>
      </w:r>
      <w:r w:rsidR="3C8CCABC" w:rsidRPr="0311DE0C">
        <w:t xml:space="preserve">. </w:t>
      </w:r>
    </w:p>
    <w:p w14:paraId="6F97ABE9" w14:textId="729D8E91" w:rsidR="2FCA7408" w:rsidRPr="000862DE" w:rsidRDefault="4F964FB9" w:rsidP="002E0605">
      <w:pPr>
        <w:spacing w:before="120" w:after="120"/>
      </w:pPr>
      <w:r w:rsidRPr="0311DE0C">
        <w:t xml:space="preserve">The QBCC </w:t>
      </w:r>
      <w:r w:rsidR="577361E7" w:rsidRPr="0311DE0C">
        <w:t>Chief Executive Officer</w:t>
      </w:r>
      <w:r w:rsidR="00BC2224">
        <w:t xml:space="preserve"> (</w:t>
      </w:r>
      <w:r w:rsidR="577361E7" w:rsidRPr="0311DE0C">
        <w:t>C</w:t>
      </w:r>
      <w:r w:rsidR="00495940">
        <w:t>EO</w:t>
      </w:r>
      <w:r w:rsidR="00BC2224">
        <w:t>)</w:t>
      </w:r>
      <w:r w:rsidR="00135689">
        <w:t xml:space="preserve"> and </w:t>
      </w:r>
      <w:r w:rsidR="00135689" w:rsidRPr="0311DE0C">
        <w:t>Commissioner</w:t>
      </w:r>
      <w:r w:rsidR="577361E7" w:rsidRPr="0311DE0C">
        <w:t xml:space="preserve"> </w:t>
      </w:r>
      <w:r w:rsidRPr="0311DE0C">
        <w:t xml:space="preserve">leads the organisation’s day-to-day operations, ensuring the effective implementation of the QBC Board’s </w:t>
      </w:r>
      <w:r w:rsidR="75CD0FAB" w:rsidRPr="0311DE0C">
        <w:t xml:space="preserve">strategic </w:t>
      </w:r>
      <w:r w:rsidR="13C69E7C" w:rsidRPr="0311DE0C">
        <w:t xml:space="preserve">direction </w:t>
      </w:r>
      <w:r w:rsidR="3FC44D5D" w:rsidRPr="0311DE0C">
        <w:t xml:space="preserve">and the delivery of the QBCC regulatory responsibilities. </w:t>
      </w:r>
      <w:r w:rsidR="00A275E9" w:rsidRPr="00A275E9">
        <w:t xml:space="preserve">The </w:t>
      </w:r>
      <w:r w:rsidR="00A275E9">
        <w:t xml:space="preserve">QBCC </w:t>
      </w:r>
      <w:r w:rsidR="0004336C">
        <w:t xml:space="preserve">CEO and </w:t>
      </w:r>
      <w:r w:rsidR="00A275E9">
        <w:t xml:space="preserve">Commissioner </w:t>
      </w:r>
      <w:r w:rsidR="0004336C">
        <w:t xml:space="preserve">(the </w:t>
      </w:r>
      <w:r w:rsidR="00A1213F">
        <w:t>Commissioner)</w:t>
      </w:r>
      <w:r w:rsidR="004F02EC">
        <w:t xml:space="preserve"> </w:t>
      </w:r>
      <w:r w:rsidR="00A275E9" w:rsidRPr="00A275E9">
        <w:t>also provides leadership across the organisation, engages with key stakeholders</w:t>
      </w:r>
      <w:r w:rsidR="00A275E9">
        <w:t xml:space="preserve"> </w:t>
      </w:r>
      <w:r w:rsidR="00A275E9" w:rsidRPr="00A275E9">
        <w:t>and ensures strong governance, accountability</w:t>
      </w:r>
      <w:r w:rsidR="00CD6C0D">
        <w:t xml:space="preserve"> </w:t>
      </w:r>
      <w:r w:rsidR="00A275E9" w:rsidRPr="00A275E9">
        <w:t>and performance.</w:t>
      </w:r>
    </w:p>
    <w:p w14:paraId="1EE27608" w14:textId="77777777" w:rsidR="007771A1" w:rsidRDefault="6C208AE8" w:rsidP="000862DE">
      <w:pPr>
        <w:spacing w:before="120" w:after="120"/>
      </w:pPr>
      <w:r w:rsidRPr="0311DE0C">
        <w:t xml:space="preserve">The QBC Board works with </w:t>
      </w:r>
      <w:r w:rsidR="103C8A2E" w:rsidRPr="0311DE0C">
        <w:t xml:space="preserve">the responsible </w:t>
      </w:r>
      <w:r w:rsidR="000A28CC">
        <w:t>m</w:t>
      </w:r>
      <w:r w:rsidR="103C8A2E" w:rsidRPr="0311DE0C">
        <w:t>inister and department</w:t>
      </w:r>
      <w:r w:rsidR="50FE414E" w:rsidRPr="0311DE0C">
        <w:t xml:space="preserve"> to ensure coord</w:t>
      </w:r>
      <w:r w:rsidR="39B7E977" w:rsidRPr="0311DE0C">
        <w:t xml:space="preserve">inated governance and policy alignment across the building and construction industry. </w:t>
      </w:r>
    </w:p>
    <w:p w14:paraId="33311EBD" w14:textId="34E3C726" w:rsidR="0035143D" w:rsidRPr="000862DE" w:rsidRDefault="00653905" w:rsidP="000862DE">
      <w:pPr>
        <w:spacing w:before="120" w:after="120"/>
        <w:rPr>
          <w:rFonts w:eastAsia="Arial"/>
          <w:szCs w:val="22"/>
        </w:rPr>
      </w:pPr>
      <w:r>
        <w:t>O</w:t>
      </w:r>
      <w:r w:rsidR="394915F4" w:rsidRPr="0311DE0C">
        <w:t xml:space="preserve">n </w:t>
      </w:r>
      <w:r w:rsidR="55F551BC" w:rsidRPr="0311DE0C">
        <w:t>1 November 2024</w:t>
      </w:r>
      <w:r>
        <w:t>,</w:t>
      </w:r>
      <w:r w:rsidR="3542DE4C" w:rsidRPr="0311DE0C">
        <w:t xml:space="preserve"> </w:t>
      </w:r>
      <w:r w:rsidR="70223B25" w:rsidRPr="0311DE0C">
        <w:t>the Honourable Sam</w:t>
      </w:r>
      <w:r w:rsidR="765A9898" w:rsidRPr="0311DE0C">
        <w:t xml:space="preserve"> O’Conn</w:t>
      </w:r>
      <w:r w:rsidR="00482457">
        <w:t>o</w:t>
      </w:r>
      <w:r w:rsidR="765A9898" w:rsidRPr="0311DE0C">
        <w:t>r, Minis</w:t>
      </w:r>
      <w:r w:rsidR="4C3074FD" w:rsidRPr="0311DE0C">
        <w:t xml:space="preserve">ter for Housing and Public Works and Minister for </w:t>
      </w:r>
      <w:r w:rsidR="3FC4CB3F" w:rsidRPr="0311DE0C">
        <w:t>Youth</w:t>
      </w:r>
      <w:r w:rsidR="0049174D">
        <w:t xml:space="preserve"> </w:t>
      </w:r>
      <w:r w:rsidR="00386C97">
        <w:t xml:space="preserve">took on the </w:t>
      </w:r>
      <w:r w:rsidR="0049174D">
        <w:t>portfolio responsibility for the QBCC</w:t>
      </w:r>
      <w:r w:rsidR="394915F4" w:rsidRPr="0311DE0C">
        <w:t>.</w:t>
      </w:r>
      <w:r w:rsidR="1DA30470" w:rsidRPr="0311DE0C">
        <w:t xml:space="preserve"> </w:t>
      </w:r>
      <w:r w:rsidR="0049174D">
        <w:t>T</w:t>
      </w:r>
      <w:r w:rsidR="5F4088B8" w:rsidRPr="0311DE0C">
        <w:t>he QBCC</w:t>
      </w:r>
      <w:r w:rsidR="64C47D9F" w:rsidRPr="0311DE0C">
        <w:t xml:space="preserve"> has continued to strengthen its collaboration with the </w:t>
      </w:r>
      <w:r w:rsidR="64C47D9F" w:rsidRPr="0311DE0C">
        <w:rPr>
          <w:rFonts w:eastAsia="Arial"/>
          <w:szCs w:val="22"/>
        </w:rPr>
        <w:t xml:space="preserve">Department of Housing and Public Works (DHPW) to </w:t>
      </w:r>
      <w:r w:rsidR="39D55575" w:rsidRPr="0311DE0C">
        <w:t xml:space="preserve">support </w:t>
      </w:r>
      <w:r w:rsidR="62E5F1C9" w:rsidRPr="0311DE0C">
        <w:t xml:space="preserve">the </w:t>
      </w:r>
      <w:r w:rsidR="1D583114" w:rsidRPr="0311DE0C">
        <w:t xml:space="preserve">effective </w:t>
      </w:r>
      <w:r w:rsidR="64C47D9F" w:rsidRPr="0311DE0C">
        <w:rPr>
          <w:rFonts w:eastAsia="Arial"/>
          <w:szCs w:val="22"/>
        </w:rPr>
        <w:t>deliv</w:t>
      </w:r>
      <w:r w:rsidR="5BBC1187" w:rsidRPr="0311DE0C">
        <w:rPr>
          <w:rFonts w:eastAsia="Arial"/>
          <w:szCs w:val="22"/>
        </w:rPr>
        <w:t>er</w:t>
      </w:r>
      <w:r w:rsidR="712E1031" w:rsidRPr="0311DE0C">
        <w:rPr>
          <w:rFonts w:eastAsia="Arial"/>
          <w:szCs w:val="22"/>
        </w:rPr>
        <w:t>y of</w:t>
      </w:r>
      <w:r w:rsidR="5BBC1187" w:rsidRPr="0311DE0C">
        <w:rPr>
          <w:rFonts w:eastAsia="Arial"/>
          <w:szCs w:val="22"/>
        </w:rPr>
        <w:t xml:space="preserve"> regulatory </w:t>
      </w:r>
      <w:r w:rsidR="58152839" w:rsidRPr="0311DE0C">
        <w:t xml:space="preserve">services, </w:t>
      </w:r>
      <w:r w:rsidR="590E1AE7" w:rsidRPr="0311DE0C">
        <w:t>enhancing</w:t>
      </w:r>
      <w:r w:rsidR="58152839" w:rsidRPr="0311DE0C">
        <w:t xml:space="preserve"> transparency</w:t>
      </w:r>
      <w:r w:rsidR="6AF9708D" w:rsidRPr="0311DE0C">
        <w:t xml:space="preserve">, </w:t>
      </w:r>
      <w:r w:rsidR="5B57E907" w:rsidRPr="0311DE0C">
        <w:t>integrity</w:t>
      </w:r>
      <w:r w:rsidR="005E1D20">
        <w:t>,</w:t>
      </w:r>
      <w:r w:rsidR="58A0E72D" w:rsidRPr="0311DE0C">
        <w:t xml:space="preserve"> </w:t>
      </w:r>
      <w:r w:rsidR="0015437D">
        <w:t xml:space="preserve">responsiveness </w:t>
      </w:r>
      <w:r w:rsidR="58A0E72D" w:rsidRPr="0311DE0C">
        <w:t>and outcomes</w:t>
      </w:r>
      <w:r w:rsidR="5B57E907" w:rsidRPr="0311DE0C">
        <w:t xml:space="preserve"> for customer</w:t>
      </w:r>
      <w:r w:rsidR="2E34CC21" w:rsidRPr="0311DE0C">
        <w:t>s and the</w:t>
      </w:r>
      <w:r w:rsidR="12A27133" w:rsidRPr="0311DE0C">
        <w:t xml:space="preserve"> industry</w:t>
      </w:r>
      <w:r w:rsidR="27C565F8" w:rsidRPr="0311DE0C">
        <w:rPr>
          <w:rFonts w:eastAsia="Arial"/>
          <w:szCs w:val="22"/>
        </w:rPr>
        <w:t>.</w:t>
      </w:r>
      <w:r w:rsidR="3CB6938B" w:rsidRPr="0311DE0C">
        <w:rPr>
          <w:rFonts w:eastAsia="Arial"/>
          <w:szCs w:val="22"/>
        </w:rPr>
        <w:t xml:space="preserve"> T</w:t>
      </w:r>
      <w:r w:rsidR="30FDF5A5" w:rsidRPr="0311DE0C">
        <w:rPr>
          <w:rFonts w:eastAsia="Arial"/>
          <w:szCs w:val="22"/>
        </w:rPr>
        <w:t>ogether</w:t>
      </w:r>
      <w:r w:rsidR="5694CEF0" w:rsidRPr="0311DE0C">
        <w:rPr>
          <w:rFonts w:eastAsia="Arial"/>
          <w:szCs w:val="22"/>
        </w:rPr>
        <w:t xml:space="preserve">, the QBCC and DHPW are </w:t>
      </w:r>
      <w:r w:rsidR="47ED2F5C" w:rsidRPr="0311DE0C">
        <w:rPr>
          <w:rFonts w:eastAsia="Arial"/>
          <w:szCs w:val="22"/>
        </w:rPr>
        <w:t xml:space="preserve">working </w:t>
      </w:r>
      <w:r w:rsidR="5694CEF0" w:rsidRPr="0311DE0C">
        <w:rPr>
          <w:rFonts w:eastAsia="Arial"/>
          <w:szCs w:val="22"/>
        </w:rPr>
        <w:t xml:space="preserve">to </w:t>
      </w:r>
      <w:r w:rsidR="437B6FF0" w:rsidRPr="0311DE0C">
        <w:rPr>
          <w:rFonts w:eastAsia="Arial"/>
          <w:szCs w:val="22"/>
        </w:rPr>
        <w:t>deliver</w:t>
      </w:r>
      <w:r w:rsidR="5694CEF0" w:rsidRPr="0311DE0C">
        <w:rPr>
          <w:rFonts w:eastAsia="Arial"/>
          <w:szCs w:val="22"/>
        </w:rPr>
        <w:t xml:space="preserve"> coordinate</w:t>
      </w:r>
      <w:r w:rsidR="7AADFCF1" w:rsidRPr="0311DE0C">
        <w:rPr>
          <w:rFonts w:eastAsia="Arial"/>
          <w:szCs w:val="22"/>
        </w:rPr>
        <w:t>d policy outcomes</w:t>
      </w:r>
      <w:r w:rsidR="7C2B646F" w:rsidRPr="0311DE0C">
        <w:rPr>
          <w:rFonts w:eastAsia="Arial"/>
          <w:szCs w:val="22"/>
        </w:rPr>
        <w:t xml:space="preserve"> that provid</w:t>
      </w:r>
      <w:r w:rsidR="4197BABE" w:rsidRPr="0311DE0C">
        <w:rPr>
          <w:rFonts w:eastAsia="Arial"/>
          <w:szCs w:val="22"/>
        </w:rPr>
        <w:t>e</w:t>
      </w:r>
      <w:r w:rsidR="7DE5135E" w:rsidRPr="0311DE0C">
        <w:rPr>
          <w:rFonts w:eastAsia="Arial"/>
          <w:szCs w:val="22"/>
        </w:rPr>
        <w:t xml:space="preserve"> more Queenslanders</w:t>
      </w:r>
      <w:r w:rsidR="6526A241" w:rsidRPr="0311DE0C">
        <w:rPr>
          <w:rFonts w:eastAsia="Arial"/>
          <w:szCs w:val="22"/>
        </w:rPr>
        <w:t xml:space="preserve"> with place</w:t>
      </w:r>
      <w:r w:rsidR="386EE3CE" w:rsidRPr="0311DE0C">
        <w:rPr>
          <w:rFonts w:eastAsia="Arial"/>
          <w:szCs w:val="22"/>
        </w:rPr>
        <w:t>s</w:t>
      </w:r>
      <w:r w:rsidR="6526A241" w:rsidRPr="0311DE0C">
        <w:rPr>
          <w:rFonts w:eastAsia="Arial"/>
          <w:szCs w:val="22"/>
        </w:rPr>
        <w:t xml:space="preserve"> to call home</w:t>
      </w:r>
      <w:r w:rsidR="7DE5135E" w:rsidRPr="0311DE0C">
        <w:rPr>
          <w:rFonts w:eastAsia="Arial"/>
          <w:szCs w:val="22"/>
        </w:rPr>
        <w:t xml:space="preserve">, </w:t>
      </w:r>
      <w:r w:rsidR="23D7CD48" w:rsidRPr="0311DE0C">
        <w:rPr>
          <w:rFonts w:eastAsia="Arial"/>
          <w:szCs w:val="22"/>
        </w:rPr>
        <w:t>build</w:t>
      </w:r>
      <w:r w:rsidR="7DE5135E" w:rsidRPr="0311DE0C">
        <w:rPr>
          <w:rFonts w:eastAsia="Arial"/>
          <w:szCs w:val="22"/>
        </w:rPr>
        <w:t xml:space="preserve"> a more prosperous </w:t>
      </w:r>
      <w:r w:rsidR="13ADDEBE" w:rsidRPr="0311DE0C">
        <w:t>state</w:t>
      </w:r>
      <w:r w:rsidR="005D04FC">
        <w:t>,</w:t>
      </w:r>
      <w:r w:rsidR="13ADDEBE" w:rsidRPr="0311DE0C">
        <w:t xml:space="preserve"> </w:t>
      </w:r>
      <w:r w:rsidR="7DE5135E" w:rsidRPr="0311DE0C">
        <w:rPr>
          <w:rFonts w:eastAsia="Arial"/>
          <w:szCs w:val="22"/>
        </w:rPr>
        <w:t>and stre</w:t>
      </w:r>
      <w:r w:rsidR="43908211" w:rsidRPr="0311DE0C">
        <w:rPr>
          <w:rFonts w:eastAsia="Arial"/>
          <w:szCs w:val="22"/>
        </w:rPr>
        <w:t>ng</w:t>
      </w:r>
      <w:r w:rsidR="7DE5135E" w:rsidRPr="0311DE0C">
        <w:rPr>
          <w:rFonts w:eastAsia="Arial"/>
          <w:szCs w:val="22"/>
        </w:rPr>
        <w:t>the</w:t>
      </w:r>
      <w:r w:rsidR="020EF3F4" w:rsidRPr="0311DE0C">
        <w:rPr>
          <w:rFonts w:eastAsia="Arial"/>
          <w:szCs w:val="22"/>
        </w:rPr>
        <w:t>n</w:t>
      </w:r>
      <w:r w:rsidR="7DE5135E" w:rsidRPr="0311DE0C">
        <w:rPr>
          <w:rFonts w:eastAsia="Arial"/>
          <w:szCs w:val="22"/>
        </w:rPr>
        <w:t xml:space="preserve"> the </w:t>
      </w:r>
      <w:r w:rsidR="4B43F375" w:rsidRPr="0311DE0C">
        <w:rPr>
          <w:rFonts w:eastAsia="Arial"/>
          <w:szCs w:val="22"/>
        </w:rPr>
        <w:t xml:space="preserve">building and </w:t>
      </w:r>
      <w:r w:rsidR="7DE5135E" w:rsidRPr="0311DE0C">
        <w:rPr>
          <w:rFonts w:eastAsia="Arial"/>
          <w:szCs w:val="22"/>
        </w:rPr>
        <w:t>construc</w:t>
      </w:r>
      <w:r w:rsidR="38B890F2" w:rsidRPr="0311DE0C">
        <w:rPr>
          <w:rFonts w:eastAsia="Arial"/>
          <w:szCs w:val="22"/>
        </w:rPr>
        <w:t xml:space="preserve">tion </w:t>
      </w:r>
      <w:r w:rsidR="3FF67239" w:rsidRPr="0311DE0C">
        <w:t>industry</w:t>
      </w:r>
      <w:r w:rsidR="337F7898" w:rsidRPr="0311DE0C">
        <w:rPr>
          <w:rFonts w:eastAsia="Arial"/>
          <w:szCs w:val="22"/>
        </w:rPr>
        <w:t>.</w:t>
      </w:r>
    </w:p>
    <w:p w14:paraId="4619425F" w14:textId="033D0780" w:rsidR="0043744F" w:rsidRPr="0072231D" w:rsidRDefault="3F6A9A54" w:rsidP="00531E59">
      <w:pPr>
        <w:rPr>
          <w:rFonts w:cs="Arial"/>
        </w:rPr>
      </w:pPr>
      <w:r>
        <w:t>The k</w:t>
      </w:r>
      <w:r w:rsidRPr="0311DE0C">
        <w:rPr>
          <w:rFonts w:cs="Arial"/>
        </w:rPr>
        <w:t>ey services delivered by the QBCC include:</w:t>
      </w:r>
    </w:p>
    <w:p w14:paraId="5214203C" w14:textId="3D024086" w:rsidR="00B23740" w:rsidRPr="009A1703" w:rsidRDefault="3F6A9A54" w:rsidP="00BD69F7">
      <w:pPr>
        <w:numPr>
          <w:ilvl w:val="0"/>
          <w:numId w:val="21"/>
        </w:numPr>
        <w:spacing w:before="120" w:after="120"/>
        <w:ind w:left="714" w:hanging="357"/>
        <w:rPr>
          <w:rFonts w:cs="Arial"/>
        </w:rPr>
      </w:pPr>
      <w:r w:rsidRPr="009A1703">
        <w:rPr>
          <w:rFonts w:cs="Arial"/>
          <w:b/>
          <w:bCs/>
        </w:rPr>
        <w:t>Licensing</w:t>
      </w:r>
      <w:r w:rsidR="003F4C9F">
        <w:rPr>
          <w:rFonts w:cs="Arial"/>
          <w:b/>
          <w:bCs/>
        </w:rPr>
        <w:t>:</w:t>
      </w:r>
      <w:r w:rsidRPr="009A1703">
        <w:rPr>
          <w:rFonts w:cs="Arial"/>
        </w:rPr>
        <w:t xml:space="preserve"> Issuing and maintaining licences for building and trade contractors, plumbers and drainers, certifiers and </w:t>
      </w:r>
      <w:r w:rsidR="00054C07">
        <w:rPr>
          <w:rFonts w:cs="Arial"/>
        </w:rPr>
        <w:t>P</w:t>
      </w:r>
      <w:r w:rsidRPr="009A1703">
        <w:rPr>
          <w:rFonts w:cs="Arial"/>
        </w:rPr>
        <w:t xml:space="preserve">ool </w:t>
      </w:r>
      <w:r w:rsidR="00054C07">
        <w:rPr>
          <w:rFonts w:cs="Arial"/>
        </w:rPr>
        <w:t>S</w:t>
      </w:r>
      <w:r w:rsidRPr="009A1703">
        <w:rPr>
          <w:rFonts w:cs="Arial"/>
        </w:rPr>
        <w:t xml:space="preserve">afety </w:t>
      </w:r>
      <w:r w:rsidR="00054C07">
        <w:rPr>
          <w:rFonts w:cs="Arial"/>
        </w:rPr>
        <w:t>I</w:t>
      </w:r>
      <w:r w:rsidRPr="009A1703">
        <w:rPr>
          <w:rFonts w:cs="Arial"/>
        </w:rPr>
        <w:t>nspectors</w:t>
      </w:r>
      <w:r w:rsidR="00DA69AD" w:rsidRPr="009A1703">
        <w:rPr>
          <w:rFonts w:cs="Arial"/>
        </w:rPr>
        <w:t xml:space="preserve"> (PSIs)</w:t>
      </w:r>
      <w:r w:rsidR="00D511AF">
        <w:rPr>
          <w:rFonts w:cs="Arial"/>
        </w:rPr>
        <w:t xml:space="preserve"> and</w:t>
      </w:r>
      <w:r w:rsidR="006D2A34">
        <w:rPr>
          <w:rFonts w:cs="Arial"/>
        </w:rPr>
        <w:t xml:space="preserve"> </w:t>
      </w:r>
      <w:r w:rsidR="00D511AF">
        <w:rPr>
          <w:rFonts w:cs="Arial"/>
        </w:rPr>
        <w:t>O</w:t>
      </w:r>
      <w:r w:rsidR="006D2A34">
        <w:rPr>
          <w:rFonts w:cs="Arial"/>
        </w:rPr>
        <w:t xml:space="preserve">wner </w:t>
      </w:r>
      <w:r w:rsidR="00D511AF">
        <w:rPr>
          <w:rFonts w:cs="Arial"/>
        </w:rPr>
        <w:t>B</w:t>
      </w:r>
      <w:r w:rsidR="006D2A34">
        <w:rPr>
          <w:rFonts w:cs="Arial"/>
        </w:rPr>
        <w:t xml:space="preserve">uilder </w:t>
      </w:r>
      <w:r w:rsidR="00D511AF">
        <w:rPr>
          <w:rFonts w:cs="Arial"/>
        </w:rPr>
        <w:t>P</w:t>
      </w:r>
      <w:r w:rsidR="006D2A34">
        <w:rPr>
          <w:rFonts w:cs="Arial"/>
        </w:rPr>
        <w:t>ermits</w:t>
      </w:r>
      <w:r w:rsidR="184A5931" w:rsidRPr="009A1703">
        <w:rPr>
          <w:rFonts w:cs="Arial"/>
        </w:rPr>
        <w:t>.</w:t>
      </w:r>
      <w:r w:rsidRPr="009A1703">
        <w:rPr>
          <w:rFonts w:cs="Arial"/>
        </w:rPr>
        <w:t xml:space="preserve"> </w:t>
      </w:r>
    </w:p>
    <w:p w14:paraId="6E006CF9" w14:textId="495B3AB8" w:rsidR="00716539" w:rsidRPr="009A1703" w:rsidRDefault="3F6A9A54" w:rsidP="00BD69F7">
      <w:pPr>
        <w:numPr>
          <w:ilvl w:val="0"/>
          <w:numId w:val="21"/>
        </w:numPr>
        <w:spacing w:before="120" w:after="120"/>
        <w:ind w:left="714" w:hanging="357"/>
        <w:rPr>
          <w:rFonts w:cs="Arial"/>
        </w:rPr>
      </w:pPr>
      <w:r w:rsidRPr="009A1703" w:rsidDel="00D01415">
        <w:rPr>
          <w:rFonts w:cs="Arial"/>
          <w:b/>
          <w:bCs/>
        </w:rPr>
        <w:t>E</w:t>
      </w:r>
      <w:r w:rsidRPr="009A1703">
        <w:rPr>
          <w:rFonts w:cs="Arial"/>
          <w:b/>
          <w:bCs/>
        </w:rPr>
        <w:t>ducation and engagement</w:t>
      </w:r>
      <w:r w:rsidR="003F4C9F">
        <w:rPr>
          <w:rFonts w:cs="Arial"/>
          <w:b/>
          <w:bCs/>
        </w:rPr>
        <w:t>:</w:t>
      </w:r>
      <w:r w:rsidRPr="009A1703">
        <w:rPr>
          <w:rFonts w:cs="Arial"/>
        </w:rPr>
        <w:t xml:space="preserve"> </w:t>
      </w:r>
      <w:r w:rsidRPr="009A1703" w:rsidDel="00D01415">
        <w:rPr>
          <w:rFonts w:cs="Arial"/>
        </w:rPr>
        <w:t>P</w:t>
      </w:r>
      <w:r w:rsidRPr="009A1703">
        <w:rPr>
          <w:rFonts w:cs="Arial"/>
        </w:rPr>
        <w:t xml:space="preserve">roviding tailored education, information and advice to licensees, </w:t>
      </w:r>
      <w:bookmarkStart w:id="17" w:name="_Int_f3abjFNd"/>
      <w:proofErr w:type="gramStart"/>
      <w:r w:rsidRPr="009A1703">
        <w:rPr>
          <w:rFonts w:cs="Arial"/>
        </w:rPr>
        <w:t>home owners</w:t>
      </w:r>
      <w:bookmarkEnd w:id="17"/>
      <w:proofErr w:type="gramEnd"/>
      <w:r w:rsidRPr="009A1703">
        <w:rPr>
          <w:rFonts w:cs="Arial"/>
        </w:rPr>
        <w:t xml:space="preserve"> and industry</w:t>
      </w:r>
      <w:r w:rsidR="2D024960" w:rsidRPr="009A1703">
        <w:rPr>
          <w:rFonts w:cs="Arial"/>
        </w:rPr>
        <w:t>.</w:t>
      </w:r>
      <w:r w:rsidRPr="009A1703">
        <w:rPr>
          <w:rFonts w:cs="Arial"/>
        </w:rPr>
        <w:t xml:space="preserve"> </w:t>
      </w:r>
    </w:p>
    <w:p w14:paraId="5F1D865B" w14:textId="1AC7D964" w:rsidR="00B23740" w:rsidRPr="009A1703" w:rsidRDefault="008D376B" w:rsidP="00BD69F7">
      <w:pPr>
        <w:numPr>
          <w:ilvl w:val="0"/>
          <w:numId w:val="21"/>
        </w:numPr>
        <w:spacing w:before="120" w:after="120"/>
        <w:ind w:left="714" w:hanging="357"/>
        <w:rPr>
          <w:rFonts w:cs="Arial"/>
        </w:rPr>
      </w:pPr>
      <w:r w:rsidRPr="008D376B" w:rsidDel="00D01415">
        <w:rPr>
          <w:rFonts w:cs="Arial"/>
          <w:b/>
          <w:bCs/>
        </w:rPr>
        <w:t>C</w:t>
      </w:r>
      <w:r w:rsidRPr="008D376B">
        <w:rPr>
          <w:rFonts w:cs="Arial"/>
          <w:b/>
          <w:bCs/>
        </w:rPr>
        <w:t>ompliance and enforcement</w:t>
      </w:r>
      <w:r w:rsidR="003F4C9F">
        <w:rPr>
          <w:rFonts w:cs="Arial"/>
          <w:b/>
          <w:bCs/>
        </w:rPr>
        <w:t>:</w:t>
      </w:r>
      <w:r w:rsidR="3F6A9A54" w:rsidRPr="009A1703">
        <w:rPr>
          <w:rFonts w:cs="Arial"/>
        </w:rPr>
        <w:t xml:space="preserve"> </w:t>
      </w:r>
      <w:r w:rsidR="3F6A9A54" w:rsidRPr="009A1703" w:rsidDel="002F43B9">
        <w:rPr>
          <w:rFonts w:cs="Arial"/>
        </w:rPr>
        <w:t>C</w:t>
      </w:r>
      <w:r w:rsidR="3F6A9A54" w:rsidRPr="009A1703">
        <w:rPr>
          <w:rFonts w:cs="Arial"/>
        </w:rPr>
        <w:t>onducting proactive regulatory activities to monitor, enforce and promote compliance with legislative obligations</w:t>
      </w:r>
      <w:r w:rsidR="28345A57" w:rsidRPr="009A1703">
        <w:rPr>
          <w:rFonts w:cs="Arial"/>
        </w:rPr>
        <w:t>.</w:t>
      </w:r>
    </w:p>
    <w:p w14:paraId="0AB84859" w14:textId="16469F79" w:rsidR="00B23740" w:rsidRPr="009A1703" w:rsidRDefault="3F6A9A54" w:rsidP="00BD69F7">
      <w:pPr>
        <w:numPr>
          <w:ilvl w:val="0"/>
          <w:numId w:val="21"/>
        </w:numPr>
        <w:spacing w:before="120" w:after="120"/>
        <w:ind w:left="714" w:hanging="357"/>
        <w:rPr>
          <w:rFonts w:cs="Arial"/>
        </w:rPr>
      </w:pPr>
      <w:r w:rsidRPr="009A1703" w:rsidDel="00D01415">
        <w:rPr>
          <w:rFonts w:cs="Arial"/>
          <w:b/>
          <w:bCs/>
        </w:rPr>
        <w:t>D</w:t>
      </w:r>
      <w:r w:rsidRPr="009A1703">
        <w:rPr>
          <w:rFonts w:cs="Arial"/>
          <w:b/>
          <w:bCs/>
        </w:rPr>
        <w:t>ispute resolution</w:t>
      </w:r>
      <w:r w:rsidR="003F4C9F">
        <w:rPr>
          <w:rFonts w:cs="Arial"/>
          <w:b/>
          <w:bCs/>
        </w:rPr>
        <w:t>:</w:t>
      </w:r>
      <w:r w:rsidRPr="009A1703">
        <w:rPr>
          <w:rFonts w:cs="Arial"/>
        </w:rPr>
        <w:t xml:space="preserve"> </w:t>
      </w:r>
      <w:r w:rsidR="5959CC8E" w:rsidRPr="009A1703" w:rsidDel="002F43B9">
        <w:rPr>
          <w:rFonts w:cs="Arial"/>
        </w:rPr>
        <w:t>O</w:t>
      </w:r>
      <w:r w:rsidR="5959CC8E" w:rsidRPr="009A1703">
        <w:rPr>
          <w:rFonts w:cs="Arial"/>
        </w:rPr>
        <w:t>ffering</w:t>
      </w:r>
      <w:r w:rsidRPr="009A1703">
        <w:rPr>
          <w:rFonts w:cs="Arial"/>
        </w:rPr>
        <w:t xml:space="preserve"> services </w:t>
      </w:r>
      <w:r w:rsidR="00446D3C">
        <w:rPr>
          <w:rFonts w:cs="Arial"/>
        </w:rPr>
        <w:t>to</w:t>
      </w:r>
      <w:r w:rsidRPr="009A1703">
        <w:rPr>
          <w:rFonts w:cs="Arial"/>
        </w:rPr>
        <w:t xml:space="preserve"> </w:t>
      </w:r>
      <w:r w:rsidR="617285DF" w:rsidRPr="009A1703">
        <w:rPr>
          <w:rFonts w:cs="Arial"/>
        </w:rPr>
        <w:t xml:space="preserve">help resolve </w:t>
      </w:r>
      <w:r w:rsidRPr="009A1703">
        <w:rPr>
          <w:rFonts w:cs="Arial"/>
        </w:rPr>
        <w:t xml:space="preserve">complaints </w:t>
      </w:r>
      <w:r w:rsidR="41F3CA78" w:rsidRPr="009A1703">
        <w:rPr>
          <w:rFonts w:cs="Arial"/>
        </w:rPr>
        <w:t>that</w:t>
      </w:r>
      <w:r w:rsidRPr="009A1703">
        <w:rPr>
          <w:rFonts w:cs="Arial"/>
        </w:rPr>
        <w:t xml:space="preserve"> arise during building and construction</w:t>
      </w:r>
      <w:r w:rsidR="4CE3872D" w:rsidRPr="009A1703">
        <w:rPr>
          <w:rFonts w:cs="Arial"/>
        </w:rPr>
        <w:t xml:space="preserve"> projects.</w:t>
      </w:r>
    </w:p>
    <w:p w14:paraId="5ABC3866" w14:textId="33039DBC" w:rsidR="00B23740" w:rsidRPr="009A1703" w:rsidRDefault="3F6A9A54" w:rsidP="00BD69F7">
      <w:pPr>
        <w:numPr>
          <w:ilvl w:val="0"/>
          <w:numId w:val="21"/>
        </w:numPr>
        <w:spacing w:before="120" w:after="120"/>
        <w:ind w:left="714" w:hanging="357"/>
        <w:rPr>
          <w:rFonts w:cs="Arial"/>
        </w:rPr>
      </w:pPr>
      <w:r w:rsidRPr="009A1703" w:rsidDel="00D01415">
        <w:rPr>
          <w:rFonts w:cs="Arial"/>
          <w:b/>
          <w:bCs/>
        </w:rPr>
        <w:t>H</w:t>
      </w:r>
      <w:r w:rsidRPr="009A1703">
        <w:rPr>
          <w:rFonts w:cs="Arial"/>
          <w:b/>
          <w:bCs/>
        </w:rPr>
        <w:t>ome warranty insurance management</w:t>
      </w:r>
      <w:r w:rsidR="003F4C9F">
        <w:rPr>
          <w:rFonts w:cs="Arial"/>
          <w:b/>
          <w:bCs/>
        </w:rPr>
        <w:t>:</w:t>
      </w:r>
      <w:r w:rsidRPr="009A1703">
        <w:rPr>
          <w:rFonts w:cs="Arial"/>
        </w:rPr>
        <w:t xml:space="preserve"> </w:t>
      </w:r>
      <w:r w:rsidR="37DEBA69" w:rsidRPr="009A1703" w:rsidDel="000F05A9">
        <w:rPr>
          <w:rFonts w:cs="Arial"/>
        </w:rPr>
        <w:t>A</w:t>
      </w:r>
      <w:r w:rsidR="37DEBA69" w:rsidRPr="009A1703">
        <w:rPr>
          <w:rFonts w:cs="Arial"/>
        </w:rPr>
        <w:t>dministering</w:t>
      </w:r>
      <w:r w:rsidRPr="009A1703">
        <w:rPr>
          <w:rFonts w:cs="Arial"/>
        </w:rPr>
        <w:t xml:space="preserve"> the Queensland Home Warranty Scheme </w:t>
      </w:r>
      <w:r w:rsidR="79B5F28A" w:rsidRPr="009A1703">
        <w:rPr>
          <w:rFonts w:cs="Arial"/>
        </w:rPr>
        <w:t xml:space="preserve">(QHWS) </w:t>
      </w:r>
      <w:r w:rsidRPr="009A1703">
        <w:rPr>
          <w:rFonts w:cs="Arial"/>
        </w:rPr>
        <w:t>for eligible residential construction work</w:t>
      </w:r>
      <w:r w:rsidR="5AD0787D" w:rsidRPr="009A1703">
        <w:rPr>
          <w:rFonts w:cs="Arial"/>
        </w:rPr>
        <w:t>.</w:t>
      </w:r>
    </w:p>
    <w:p w14:paraId="01CC987F" w14:textId="086E92A5" w:rsidR="00B23740" w:rsidRPr="009A1703" w:rsidRDefault="3F6A9A54" w:rsidP="00BD69F7">
      <w:pPr>
        <w:numPr>
          <w:ilvl w:val="0"/>
          <w:numId w:val="21"/>
        </w:numPr>
        <w:spacing w:before="120" w:after="120"/>
        <w:ind w:left="714" w:hanging="357"/>
        <w:rPr>
          <w:rFonts w:cs="Arial"/>
        </w:rPr>
      </w:pPr>
      <w:r w:rsidRPr="009A1703">
        <w:rPr>
          <w:rFonts w:cs="Arial"/>
          <w:b/>
          <w:bCs/>
        </w:rPr>
        <w:t>Adjudication</w:t>
      </w:r>
      <w:r w:rsidR="003F4C9F">
        <w:rPr>
          <w:rFonts w:cs="Arial"/>
          <w:b/>
          <w:bCs/>
        </w:rPr>
        <w:t>:</w:t>
      </w:r>
      <w:r w:rsidRPr="009A1703">
        <w:rPr>
          <w:rFonts w:cs="Arial"/>
        </w:rPr>
        <w:t xml:space="preserve"> </w:t>
      </w:r>
      <w:r w:rsidR="572C9864" w:rsidRPr="009A1703">
        <w:rPr>
          <w:rFonts w:cs="Arial"/>
        </w:rPr>
        <w:t xml:space="preserve">Facilitating the resolution of </w:t>
      </w:r>
      <w:r w:rsidRPr="009A1703">
        <w:rPr>
          <w:rFonts w:cs="Arial"/>
        </w:rPr>
        <w:t xml:space="preserve">disputes over progress payments and financial obligations in </w:t>
      </w:r>
      <w:r w:rsidR="482F9C2E" w:rsidRPr="009A1703">
        <w:rPr>
          <w:rFonts w:cs="Arial"/>
        </w:rPr>
        <w:t xml:space="preserve">building and </w:t>
      </w:r>
      <w:r w:rsidRPr="009A1703">
        <w:rPr>
          <w:rFonts w:cs="Arial"/>
        </w:rPr>
        <w:t>construction projects</w:t>
      </w:r>
      <w:r w:rsidR="40087B81" w:rsidRPr="009A1703">
        <w:rPr>
          <w:rFonts w:cs="Arial"/>
        </w:rPr>
        <w:t>.</w:t>
      </w:r>
    </w:p>
    <w:p w14:paraId="196851EF" w14:textId="3F815511" w:rsidR="48493181" w:rsidRPr="009A1703" w:rsidRDefault="497C1B1D" w:rsidP="00BD69F7">
      <w:pPr>
        <w:numPr>
          <w:ilvl w:val="0"/>
          <w:numId w:val="21"/>
        </w:numPr>
        <w:spacing w:before="120" w:after="120"/>
        <w:ind w:left="714" w:hanging="357"/>
        <w:rPr>
          <w:rFonts w:cs="Arial"/>
        </w:rPr>
      </w:pPr>
      <w:r w:rsidRPr="404F5A7D">
        <w:rPr>
          <w:rFonts w:cs="Arial"/>
          <w:b/>
          <w:bCs/>
        </w:rPr>
        <w:t>Frontline service</w:t>
      </w:r>
      <w:r w:rsidR="003F4C9F" w:rsidRPr="404F5A7D">
        <w:rPr>
          <w:rFonts w:cs="Arial"/>
          <w:b/>
          <w:bCs/>
        </w:rPr>
        <w:t>:</w:t>
      </w:r>
      <w:r w:rsidRPr="404F5A7D">
        <w:rPr>
          <w:rFonts w:cs="Arial"/>
        </w:rPr>
        <w:t xml:space="preserve"> </w:t>
      </w:r>
      <w:r w:rsidR="371E03EA" w:rsidRPr="404F5A7D">
        <w:rPr>
          <w:rFonts w:cs="Arial"/>
        </w:rPr>
        <w:t>C</w:t>
      </w:r>
      <w:r w:rsidR="55CFD987" w:rsidRPr="404F5A7D">
        <w:rPr>
          <w:rFonts w:cs="Arial"/>
        </w:rPr>
        <w:t xml:space="preserve">onnecting customers </w:t>
      </w:r>
      <w:r w:rsidR="00D9251D" w:rsidRPr="404F5A7D">
        <w:rPr>
          <w:rFonts w:cs="Arial"/>
        </w:rPr>
        <w:t xml:space="preserve">and </w:t>
      </w:r>
      <w:r w:rsidR="0084507C" w:rsidRPr="404F5A7D">
        <w:rPr>
          <w:rFonts w:cs="Arial"/>
        </w:rPr>
        <w:t>providing</w:t>
      </w:r>
      <w:r w:rsidR="00D9251D" w:rsidRPr="404F5A7D">
        <w:rPr>
          <w:rFonts w:cs="Arial"/>
        </w:rPr>
        <w:t xml:space="preserve"> clear </w:t>
      </w:r>
      <w:r w:rsidR="217FD574" w:rsidRPr="404F5A7D">
        <w:rPr>
          <w:rFonts w:cs="Arial"/>
        </w:rPr>
        <w:t>guidance to</w:t>
      </w:r>
      <w:r w:rsidR="55CFD987" w:rsidRPr="404F5A7D">
        <w:rPr>
          <w:rFonts w:cs="Arial"/>
        </w:rPr>
        <w:t xml:space="preserve"> </w:t>
      </w:r>
      <w:r w:rsidR="586F9C6C" w:rsidRPr="404F5A7D">
        <w:rPr>
          <w:rFonts w:cs="Arial"/>
        </w:rPr>
        <w:t xml:space="preserve">help them </w:t>
      </w:r>
      <w:r w:rsidR="79B30910" w:rsidRPr="404F5A7D">
        <w:rPr>
          <w:rFonts w:cs="Arial"/>
        </w:rPr>
        <w:t xml:space="preserve">understand </w:t>
      </w:r>
      <w:r w:rsidR="55CFD987" w:rsidRPr="404F5A7D">
        <w:rPr>
          <w:rFonts w:cs="Arial"/>
        </w:rPr>
        <w:t>their rights</w:t>
      </w:r>
      <w:r w:rsidR="4A736E72" w:rsidRPr="404F5A7D">
        <w:rPr>
          <w:rFonts w:cs="Arial"/>
        </w:rPr>
        <w:t xml:space="preserve">, </w:t>
      </w:r>
      <w:r w:rsidR="55CFD987" w:rsidRPr="404F5A7D">
        <w:rPr>
          <w:rFonts w:cs="Arial"/>
        </w:rPr>
        <w:t>responsibilities</w:t>
      </w:r>
      <w:r w:rsidR="6BAA29E1" w:rsidRPr="404F5A7D">
        <w:rPr>
          <w:rFonts w:cs="Arial"/>
        </w:rPr>
        <w:t xml:space="preserve"> and </w:t>
      </w:r>
      <w:r w:rsidR="55CFD987" w:rsidRPr="404F5A7D">
        <w:rPr>
          <w:rFonts w:cs="Arial"/>
        </w:rPr>
        <w:t xml:space="preserve">regulatory </w:t>
      </w:r>
      <w:r w:rsidR="397524AD" w:rsidRPr="404F5A7D">
        <w:rPr>
          <w:rFonts w:cs="Arial"/>
        </w:rPr>
        <w:t xml:space="preserve">obligations. </w:t>
      </w:r>
    </w:p>
    <w:p w14:paraId="56D5C818" w14:textId="1ADB3835" w:rsidR="404F5A7D" w:rsidRDefault="404F5A7D">
      <w:r>
        <w:br w:type="page"/>
      </w:r>
    </w:p>
    <w:p w14:paraId="47FE4D2A" w14:textId="5F869806" w:rsidR="00285913" w:rsidRPr="00B41F33" w:rsidRDefault="1DD62727" w:rsidP="0311DE0C">
      <w:pPr>
        <w:pStyle w:val="Heading3"/>
      </w:pPr>
      <w:r w:rsidRPr="00B41F33">
        <w:lastRenderedPageBreak/>
        <w:t xml:space="preserve">The QBCC Strategic Plan 2023–2027 </w:t>
      </w:r>
      <w:r w:rsidR="4F877B78" w:rsidRPr="00B41F33">
        <w:t>(r</w:t>
      </w:r>
      <w:r w:rsidRPr="00B41F33">
        <w:t>evised for 2024–25</w:t>
      </w:r>
      <w:r w:rsidR="001375F2" w:rsidRPr="00B41F33">
        <w:t>)</w:t>
      </w:r>
    </w:p>
    <w:p w14:paraId="17C40C48" w14:textId="6A86EB37" w:rsidR="00285913" w:rsidRPr="004735CB" w:rsidRDefault="1DD62727" w:rsidP="00531E59">
      <w:pPr>
        <w:spacing w:before="120" w:after="120"/>
        <w:rPr>
          <w:rFonts w:cs="Arial"/>
          <w:b/>
          <w:bCs/>
        </w:rPr>
      </w:pPr>
      <w:r w:rsidRPr="0311DE0C">
        <w:rPr>
          <w:rFonts w:eastAsiaTheme="majorEastAsia" w:cs="Arial"/>
          <w:b/>
          <w:bCs/>
          <w:color w:val="020A0A" w:themeColor="accent4"/>
        </w:rPr>
        <w:t xml:space="preserve">Vision </w:t>
      </w:r>
    </w:p>
    <w:p w14:paraId="198E35A5" w14:textId="6BE8E41D" w:rsidR="002229E0" w:rsidRDefault="007C2BE4" w:rsidP="00FB7E4F">
      <w:pPr>
        <w:spacing w:before="120" w:after="120" w:line="259" w:lineRule="auto"/>
        <w:rPr>
          <w:rFonts w:cs="Arial"/>
        </w:rPr>
      </w:pPr>
      <w:r>
        <w:rPr>
          <w:rFonts w:cs="Arial"/>
        </w:rPr>
        <w:t>A</w:t>
      </w:r>
      <w:r w:rsidR="00232D58" w:rsidRPr="00232D58" w:rsidDel="007C2BE4">
        <w:rPr>
          <w:rFonts w:cs="Arial"/>
        </w:rPr>
        <w:t xml:space="preserve"> </w:t>
      </w:r>
      <w:r w:rsidR="00232D58" w:rsidRPr="00232D58">
        <w:rPr>
          <w:rFonts w:cs="Arial"/>
        </w:rPr>
        <w:t>thriving and resilient building and construction industry, inspiring confidence and supporting sustainable social, environmental</w:t>
      </w:r>
      <w:r w:rsidR="001200EB">
        <w:rPr>
          <w:rFonts w:cs="Arial"/>
        </w:rPr>
        <w:t xml:space="preserve"> </w:t>
      </w:r>
      <w:r w:rsidR="00232D58" w:rsidRPr="00232D58">
        <w:rPr>
          <w:rFonts w:cs="Arial"/>
        </w:rPr>
        <w:t xml:space="preserve">and economic outcomes for Queenslanders. </w:t>
      </w:r>
    </w:p>
    <w:p w14:paraId="6C748BE6" w14:textId="0FD2FA57" w:rsidR="002229E0" w:rsidRPr="004735CB" w:rsidRDefault="002229E0" w:rsidP="002229E0">
      <w:pPr>
        <w:spacing w:before="120" w:after="120"/>
        <w:rPr>
          <w:rFonts w:cs="Arial"/>
          <w:b/>
          <w:bCs/>
        </w:rPr>
      </w:pPr>
      <w:r>
        <w:rPr>
          <w:rFonts w:eastAsiaTheme="majorEastAsia" w:cs="Arial"/>
          <w:b/>
          <w:bCs/>
          <w:color w:val="020A0A" w:themeColor="accent4"/>
        </w:rPr>
        <w:t>P</w:t>
      </w:r>
      <w:r w:rsidRPr="0311DE0C">
        <w:rPr>
          <w:rFonts w:eastAsiaTheme="majorEastAsia" w:cs="Arial"/>
          <w:b/>
          <w:bCs/>
          <w:color w:val="020A0A" w:themeColor="accent4"/>
        </w:rPr>
        <w:t>urpose</w:t>
      </w:r>
      <w:r w:rsidRPr="0311DE0C">
        <w:rPr>
          <w:rFonts w:cs="Arial"/>
          <w:b/>
          <w:bCs/>
        </w:rPr>
        <w:t xml:space="preserve"> </w:t>
      </w:r>
    </w:p>
    <w:p w14:paraId="608CEC11" w14:textId="1797385E" w:rsidR="00232D58" w:rsidRDefault="002229E0" w:rsidP="00FB7E4F">
      <w:pPr>
        <w:spacing w:before="120" w:after="120" w:line="259" w:lineRule="auto"/>
        <w:rPr>
          <w:rFonts w:cs="Arial"/>
        </w:rPr>
      </w:pPr>
      <w:r>
        <w:rPr>
          <w:rFonts w:cs="Arial"/>
        </w:rPr>
        <w:t>To</w:t>
      </w:r>
      <w:r w:rsidR="00232D58" w:rsidRPr="00232D58">
        <w:rPr>
          <w:rFonts w:cs="Arial"/>
        </w:rPr>
        <w:t xml:space="preserve"> deliver excellence in regulatory services to reduce risk and offer protection from harm.</w:t>
      </w:r>
    </w:p>
    <w:p w14:paraId="4D653C46" w14:textId="2281ABFE" w:rsidR="002229E0" w:rsidRPr="00D850B1" w:rsidRDefault="002229E0" w:rsidP="00D850B1">
      <w:pPr>
        <w:spacing w:before="120" w:after="120"/>
        <w:rPr>
          <w:rFonts w:eastAsiaTheme="majorEastAsia" w:cs="Arial"/>
          <w:b/>
          <w:color w:val="020A0A" w:themeColor="accent4"/>
        </w:rPr>
      </w:pPr>
      <w:r w:rsidRPr="00D850B1">
        <w:rPr>
          <w:rFonts w:eastAsiaTheme="majorEastAsia" w:cs="Arial"/>
          <w:b/>
          <w:color w:val="020A0A" w:themeColor="accent4"/>
        </w:rPr>
        <w:t xml:space="preserve">Objectives </w:t>
      </w:r>
      <w:r w:rsidR="005E2075">
        <w:rPr>
          <w:rFonts w:eastAsiaTheme="majorEastAsia" w:cs="Arial"/>
          <w:b/>
          <w:bCs/>
          <w:color w:val="020A0A" w:themeColor="accent4"/>
        </w:rPr>
        <w:t>and strategies</w:t>
      </w:r>
    </w:p>
    <w:p w14:paraId="46B909FC" w14:textId="376B93EC" w:rsidR="00A13A8E" w:rsidRPr="001C1D2B" w:rsidRDefault="090184D7" w:rsidP="00FB7E4F">
      <w:pPr>
        <w:rPr>
          <w:rFonts w:cs="Arial"/>
        </w:rPr>
      </w:pPr>
      <w:r w:rsidRPr="0311DE0C">
        <w:t>T</w:t>
      </w:r>
      <w:r w:rsidR="3F815953" w:rsidRPr="0311DE0C">
        <w:rPr>
          <w:rFonts w:cs="Arial"/>
        </w:rPr>
        <w:t>he QBCC</w:t>
      </w:r>
      <w:r w:rsidR="4E5092D8" w:rsidRPr="0311DE0C">
        <w:rPr>
          <w:rFonts w:cs="Arial"/>
        </w:rPr>
        <w:t xml:space="preserve"> </w:t>
      </w:r>
      <w:r w:rsidR="186AFD82" w:rsidRPr="0311DE0C">
        <w:rPr>
          <w:rFonts w:cs="Arial"/>
        </w:rPr>
        <w:t>Strategic Plan</w:t>
      </w:r>
      <w:r w:rsidR="7EFD20E7" w:rsidRPr="0311DE0C">
        <w:rPr>
          <w:rFonts w:cs="Arial"/>
        </w:rPr>
        <w:t xml:space="preserve"> </w:t>
      </w:r>
      <w:r w:rsidR="007E1449" w:rsidRPr="007E1449">
        <w:rPr>
          <w:rFonts w:cs="Arial"/>
        </w:rPr>
        <w:t>2023–</w:t>
      </w:r>
      <w:r w:rsidR="00886E56">
        <w:rPr>
          <w:rFonts w:cs="Arial"/>
        </w:rPr>
        <w:t>20</w:t>
      </w:r>
      <w:r w:rsidR="007E1449" w:rsidRPr="007E1449">
        <w:rPr>
          <w:rFonts w:cs="Arial"/>
        </w:rPr>
        <w:t>27, revised for 2024–25</w:t>
      </w:r>
      <w:r w:rsidR="007E1449">
        <w:rPr>
          <w:rFonts w:cs="Arial"/>
        </w:rPr>
        <w:t xml:space="preserve"> (Strategic Plan)</w:t>
      </w:r>
      <w:r w:rsidR="007E1449" w:rsidRPr="007E1449">
        <w:rPr>
          <w:rFonts w:cs="Arial"/>
        </w:rPr>
        <w:t xml:space="preserve"> </w:t>
      </w:r>
      <w:r w:rsidR="2BAB1122" w:rsidRPr="0311DE0C">
        <w:rPr>
          <w:rFonts w:cs="Arial"/>
        </w:rPr>
        <w:t xml:space="preserve">outlines </w:t>
      </w:r>
      <w:r w:rsidR="4A44ED6D" w:rsidRPr="0311DE0C">
        <w:rPr>
          <w:rFonts w:cs="Arial"/>
        </w:rPr>
        <w:t xml:space="preserve">the </w:t>
      </w:r>
      <w:r w:rsidR="008B368D">
        <w:rPr>
          <w:rFonts w:cs="Arial"/>
        </w:rPr>
        <w:t>QBCC</w:t>
      </w:r>
      <w:r w:rsidR="4A44ED6D" w:rsidRPr="0311DE0C">
        <w:rPr>
          <w:rFonts w:cs="Arial"/>
        </w:rPr>
        <w:t>’s strategic direction</w:t>
      </w:r>
      <w:r w:rsidR="343D2F90" w:rsidRPr="0311DE0C">
        <w:rPr>
          <w:rFonts w:cs="Arial"/>
        </w:rPr>
        <w:t xml:space="preserve"> </w:t>
      </w:r>
      <w:r w:rsidR="6F558715" w:rsidRPr="0311DE0C">
        <w:rPr>
          <w:rFonts w:cs="Arial"/>
        </w:rPr>
        <w:t xml:space="preserve">through to </w:t>
      </w:r>
      <w:r w:rsidR="343D2F90" w:rsidRPr="0311DE0C">
        <w:rPr>
          <w:rFonts w:cs="Arial"/>
        </w:rPr>
        <w:t>2027</w:t>
      </w:r>
      <w:r w:rsidR="009012A8">
        <w:rPr>
          <w:rFonts w:cs="Arial"/>
        </w:rPr>
        <w:t xml:space="preserve">, </w:t>
      </w:r>
      <w:r w:rsidR="4A44ED6D" w:rsidRPr="0311DE0C">
        <w:rPr>
          <w:rFonts w:cs="Arial"/>
        </w:rPr>
        <w:t>focus</w:t>
      </w:r>
      <w:r w:rsidR="009012A8">
        <w:rPr>
          <w:rFonts w:cs="Arial"/>
        </w:rPr>
        <w:t>ing</w:t>
      </w:r>
      <w:r w:rsidR="4A44ED6D" w:rsidRPr="0311DE0C">
        <w:rPr>
          <w:rFonts w:cs="Arial"/>
        </w:rPr>
        <w:t xml:space="preserve"> on five key</w:t>
      </w:r>
      <w:r w:rsidR="23AA4AB0" w:rsidRPr="0311DE0C">
        <w:rPr>
          <w:rFonts w:cs="Arial"/>
        </w:rPr>
        <w:t xml:space="preserve"> </w:t>
      </w:r>
      <w:r w:rsidR="3F815953" w:rsidRPr="0311DE0C">
        <w:rPr>
          <w:rFonts w:cs="Arial"/>
        </w:rPr>
        <w:t>objectives:</w:t>
      </w:r>
    </w:p>
    <w:p w14:paraId="576C7C26" w14:textId="2340B7CB" w:rsidR="00A13A8E" w:rsidRPr="00FB7E4F" w:rsidRDefault="6EBE44A5" w:rsidP="00BD69F7">
      <w:pPr>
        <w:pStyle w:val="ListParagraph"/>
        <w:numPr>
          <w:ilvl w:val="0"/>
          <w:numId w:val="17"/>
        </w:numPr>
        <w:spacing w:before="120" w:after="120"/>
        <w:ind w:left="714" w:hanging="357"/>
        <w:contextualSpacing w:val="0"/>
        <w:rPr>
          <w:rFonts w:cs="Arial"/>
          <w:szCs w:val="22"/>
        </w:rPr>
      </w:pPr>
      <w:r w:rsidRPr="00FB7E4F">
        <w:rPr>
          <w:rFonts w:cs="Arial"/>
          <w:b/>
        </w:rPr>
        <w:t>Objective 1</w:t>
      </w:r>
      <w:r w:rsidR="00BE5733">
        <w:rPr>
          <w:rFonts w:cs="Arial"/>
          <w:b/>
        </w:rPr>
        <w:t>:</w:t>
      </w:r>
      <w:r w:rsidR="1FBED64B" w:rsidRPr="0311DE0C">
        <w:rPr>
          <w:rFonts w:cs="Arial"/>
        </w:rPr>
        <w:t xml:space="preserve"> </w:t>
      </w:r>
      <w:r w:rsidR="3F815953" w:rsidRPr="0311DE0C">
        <w:rPr>
          <w:rFonts w:cs="Arial"/>
        </w:rPr>
        <w:t>Support a strong, safe and sustainable industry through responsive regulatory activity to reduce risk and harm</w:t>
      </w:r>
      <w:r w:rsidR="271EDFCD" w:rsidRPr="0311DE0C">
        <w:rPr>
          <w:rFonts w:cs="Arial"/>
        </w:rPr>
        <w:t>.</w:t>
      </w:r>
    </w:p>
    <w:p w14:paraId="77E39804" w14:textId="5E52ADBB" w:rsidR="00A13A8E" w:rsidRPr="00FB7E4F" w:rsidRDefault="04C19788" w:rsidP="00BD69F7">
      <w:pPr>
        <w:pStyle w:val="ListParagraph"/>
        <w:numPr>
          <w:ilvl w:val="0"/>
          <w:numId w:val="17"/>
        </w:numPr>
        <w:spacing w:before="120" w:after="120"/>
        <w:ind w:left="714" w:hanging="357"/>
        <w:contextualSpacing w:val="0"/>
        <w:rPr>
          <w:rFonts w:cs="Arial"/>
          <w:szCs w:val="22"/>
        </w:rPr>
      </w:pPr>
      <w:r w:rsidRPr="00FB7E4F">
        <w:rPr>
          <w:rFonts w:cs="Arial"/>
          <w:b/>
        </w:rPr>
        <w:t>Objective 2</w:t>
      </w:r>
      <w:r w:rsidR="00BE5733">
        <w:rPr>
          <w:rFonts w:cs="Arial"/>
          <w:b/>
        </w:rPr>
        <w:t>:</w:t>
      </w:r>
      <w:r w:rsidR="304B545F" w:rsidRPr="0311DE0C">
        <w:rPr>
          <w:rFonts w:cs="Arial"/>
        </w:rPr>
        <w:t xml:space="preserve"> </w:t>
      </w:r>
      <w:r w:rsidR="3F815953" w:rsidRPr="0311DE0C">
        <w:rPr>
          <w:rFonts w:cs="Arial"/>
        </w:rPr>
        <w:t>Improve the customer experience through the provision of information, advice and decisions that are practical, clearly communicated, transparent and timely</w:t>
      </w:r>
      <w:r w:rsidR="271EDFCD" w:rsidRPr="0311DE0C">
        <w:rPr>
          <w:rFonts w:cs="Arial"/>
        </w:rPr>
        <w:t>.</w:t>
      </w:r>
    </w:p>
    <w:p w14:paraId="714BC5F7" w14:textId="24DFCA15" w:rsidR="00A13A8E" w:rsidRPr="00FB7E4F" w:rsidRDefault="60DD1BED" w:rsidP="00BD69F7">
      <w:pPr>
        <w:pStyle w:val="ListParagraph"/>
        <w:numPr>
          <w:ilvl w:val="0"/>
          <w:numId w:val="17"/>
        </w:numPr>
        <w:spacing w:before="120" w:after="120"/>
        <w:ind w:left="714" w:hanging="357"/>
        <w:contextualSpacing w:val="0"/>
        <w:rPr>
          <w:rFonts w:cs="Arial"/>
          <w:szCs w:val="22"/>
        </w:rPr>
      </w:pPr>
      <w:r w:rsidRPr="00FB7E4F">
        <w:rPr>
          <w:rFonts w:cs="Arial"/>
          <w:b/>
        </w:rPr>
        <w:t>Objective 3</w:t>
      </w:r>
      <w:r w:rsidR="00BE5733">
        <w:rPr>
          <w:rFonts w:cs="Arial"/>
          <w:b/>
        </w:rPr>
        <w:t>:</w:t>
      </w:r>
      <w:r w:rsidR="373C3D97" w:rsidRPr="0311DE0C">
        <w:rPr>
          <w:rFonts w:cs="Arial"/>
        </w:rPr>
        <w:t xml:space="preserve"> </w:t>
      </w:r>
      <w:r w:rsidR="3F815953" w:rsidRPr="0311DE0C">
        <w:rPr>
          <w:rFonts w:cs="Arial"/>
        </w:rPr>
        <w:t xml:space="preserve">Educate and inform customers </w:t>
      </w:r>
      <w:r w:rsidR="00CE4F4A">
        <w:rPr>
          <w:rFonts w:cs="Arial"/>
        </w:rPr>
        <w:t xml:space="preserve">and stakeholders </w:t>
      </w:r>
      <w:r w:rsidR="3F815953" w:rsidRPr="0311DE0C">
        <w:rPr>
          <w:rFonts w:cs="Arial"/>
        </w:rPr>
        <w:t>to support continuous quality improvement</w:t>
      </w:r>
      <w:r w:rsidR="271EDFCD" w:rsidRPr="0311DE0C">
        <w:rPr>
          <w:rFonts w:cs="Arial"/>
        </w:rPr>
        <w:t>.</w:t>
      </w:r>
    </w:p>
    <w:p w14:paraId="02F67FF5" w14:textId="302A5B14" w:rsidR="00A13A8E" w:rsidRPr="00FB7E4F" w:rsidRDefault="47B77397" w:rsidP="00BD69F7">
      <w:pPr>
        <w:pStyle w:val="ListParagraph"/>
        <w:numPr>
          <w:ilvl w:val="0"/>
          <w:numId w:val="17"/>
        </w:numPr>
        <w:spacing w:before="120" w:after="120"/>
        <w:ind w:left="714" w:hanging="357"/>
        <w:contextualSpacing w:val="0"/>
        <w:rPr>
          <w:rFonts w:cs="Arial"/>
          <w:szCs w:val="22"/>
        </w:rPr>
      </w:pPr>
      <w:r w:rsidRPr="00FB7E4F">
        <w:rPr>
          <w:rFonts w:cs="Arial"/>
          <w:b/>
        </w:rPr>
        <w:t>Objective 4</w:t>
      </w:r>
      <w:r w:rsidR="00BE5733">
        <w:rPr>
          <w:rFonts w:cs="Arial"/>
          <w:b/>
        </w:rPr>
        <w:t>:</w:t>
      </w:r>
      <w:r w:rsidR="091DF3D7" w:rsidRPr="0311DE0C">
        <w:rPr>
          <w:rFonts w:cs="Arial"/>
        </w:rPr>
        <w:t xml:space="preserve"> </w:t>
      </w:r>
      <w:r w:rsidR="3F815953" w:rsidRPr="0311DE0C">
        <w:rPr>
          <w:rFonts w:cs="Arial"/>
        </w:rPr>
        <w:t>Be a sustainable and digitally enabled organisation</w:t>
      </w:r>
      <w:r w:rsidR="271EDFCD" w:rsidRPr="0311DE0C">
        <w:rPr>
          <w:rFonts w:cs="Arial"/>
        </w:rPr>
        <w:t>.</w:t>
      </w:r>
    </w:p>
    <w:p w14:paraId="4A046EBC" w14:textId="7D05CBB2" w:rsidR="00A13A8E" w:rsidRPr="0043744F" w:rsidRDefault="3E1AF424" w:rsidP="00BD69F7">
      <w:pPr>
        <w:pStyle w:val="ListParagraph"/>
        <w:numPr>
          <w:ilvl w:val="0"/>
          <w:numId w:val="17"/>
        </w:numPr>
        <w:spacing w:before="120" w:after="120"/>
        <w:ind w:left="714" w:hanging="357"/>
        <w:contextualSpacing w:val="0"/>
        <w:rPr>
          <w:rFonts w:cs="Arial"/>
          <w:szCs w:val="28"/>
        </w:rPr>
      </w:pPr>
      <w:r w:rsidRPr="00FB7E4F">
        <w:rPr>
          <w:rFonts w:cs="Arial"/>
          <w:b/>
        </w:rPr>
        <w:t>Objective 5</w:t>
      </w:r>
      <w:r w:rsidR="00BE5733">
        <w:rPr>
          <w:rFonts w:cs="Arial"/>
          <w:b/>
        </w:rPr>
        <w:t>:</w:t>
      </w:r>
      <w:r w:rsidR="5EB6E1A7" w:rsidRPr="0311DE0C">
        <w:rPr>
          <w:rFonts w:cs="Arial"/>
        </w:rPr>
        <w:t xml:space="preserve"> </w:t>
      </w:r>
      <w:r w:rsidR="3F815953" w:rsidRPr="0311DE0C">
        <w:rPr>
          <w:rFonts w:cs="Arial"/>
        </w:rPr>
        <w:t xml:space="preserve">Be an organisation that supports, values and empowers </w:t>
      </w:r>
      <w:r w:rsidR="3820CA64" w:rsidRPr="0311DE0C">
        <w:rPr>
          <w:rFonts w:cs="Arial"/>
        </w:rPr>
        <w:t xml:space="preserve">its </w:t>
      </w:r>
      <w:r w:rsidR="3F815953" w:rsidRPr="0311DE0C">
        <w:rPr>
          <w:rFonts w:cs="Arial"/>
        </w:rPr>
        <w:t>people.</w:t>
      </w:r>
    </w:p>
    <w:p w14:paraId="590F3159" w14:textId="77777777" w:rsidR="003C7325" w:rsidRDefault="6975E949" w:rsidP="0311DE0C">
      <w:pPr>
        <w:spacing w:line="259" w:lineRule="auto"/>
        <w:rPr>
          <w:rFonts w:cs="Arial"/>
        </w:rPr>
      </w:pPr>
      <w:r w:rsidRPr="0311DE0C">
        <w:rPr>
          <w:rFonts w:cs="Arial"/>
        </w:rPr>
        <w:t>T</w:t>
      </w:r>
      <w:r w:rsidR="24EBA6AB" w:rsidRPr="0311DE0C">
        <w:rPr>
          <w:rFonts w:cs="Arial"/>
        </w:rPr>
        <w:t xml:space="preserve">he </w:t>
      </w:r>
      <w:r w:rsidR="6DE3D27C" w:rsidRPr="0311DE0C">
        <w:rPr>
          <w:rFonts w:cs="Arial"/>
        </w:rPr>
        <w:t>Strategic Plan</w:t>
      </w:r>
      <w:r w:rsidR="17D66C62" w:rsidRPr="0311DE0C">
        <w:rPr>
          <w:rFonts w:cs="Arial"/>
        </w:rPr>
        <w:t xml:space="preserve"> </w:t>
      </w:r>
      <w:r w:rsidR="7C1A5CBC" w:rsidRPr="0311DE0C">
        <w:rPr>
          <w:rFonts w:cs="Arial"/>
        </w:rPr>
        <w:t xml:space="preserve">also </w:t>
      </w:r>
      <w:r w:rsidR="53B71EE1" w:rsidRPr="0311DE0C">
        <w:rPr>
          <w:rFonts w:cs="Arial"/>
        </w:rPr>
        <w:t xml:space="preserve">details </w:t>
      </w:r>
      <w:r w:rsidR="264BC758" w:rsidRPr="0311DE0C">
        <w:rPr>
          <w:rFonts w:cs="Arial"/>
        </w:rPr>
        <w:t xml:space="preserve">the </w:t>
      </w:r>
      <w:r w:rsidR="6FA9C543" w:rsidRPr="0311DE0C">
        <w:rPr>
          <w:rFonts w:cs="Arial"/>
        </w:rPr>
        <w:t xml:space="preserve">strategies </w:t>
      </w:r>
      <w:r w:rsidR="7505CE76" w:rsidRPr="0311DE0C">
        <w:rPr>
          <w:rFonts w:cs="Arial"/>
        </w:rPr>
        <w:t>the QBCC will implement to achieve</w:t>
      </w:r>
      <w:r w:rsidR="5BC750CA" w:rsidRPr="0311DE0C">
        <w:rPr>
          <w:rFonts w:cs="Arial"/>
        </w:rPr>
        <w:t xml:space="preserve"> its objectives, respond to emerging challenges</w:t>
      </w:r>
      <w:r w:rsidR="24EBA6AB" w:rsidRPr="0311DE0C">
        <w:rPr>
          <w:rFonts w:cs="Arial"/>
        </w:rPr>
        <w:t xml:space="preserve"> and </w:t>
      </w:r>
      <w:r w:rsidR="5AF1E89F" w:rsidRPr="0311DE0C">
        <w:rPr>
          <w:rFonts w:cs="Arial"/>
        </w:rPr>
        <w:t xml:space="preserve">support </w:t>
      </w:r>
      <w:r w:rsidR="680D6246" w:rsidRPr="0311DE0C">
        <w:rPr>
          <w:rFonts w:cs="Arial"/>
        </w:rPr>
        <w:t xml:space="preserve">the long-term sustainability of Queensland’s </w:t>
      </w:r>
      <w:r w:rsidR="5AF1E89F" w:rsidRPr="0311DE0C">
        <w:rPr>
          <w:rFonts w:cs="Arial"/>
        </w:rPr>
        <w:t>building and construction industry.</w:t>
      </w:r>
      <w:r w:rsidR="37E2D4D5" w:rsidRPr="0311DE0C">
        <w:rPr>
          <w:rFonts w:cs="Arial"/>
        </w:rPr>
        <w:t xml:space="preserve"> </w:t>
      </w:r>
      <w:r w:rsidR="2D729440" w:rsidRPr="0311DE0C">
        <w:rPr>
          <w:rFonts w:cs="Arial"/>
        </w:rPr>
        <w:t xml:space="preserve">It </w:t>
      </w:r>
      <w:r w:rsidR="5E6F7778" w:rsidRPr="0311DE0C">
        <w:rPr>
          <w:rFonts w:cs="Arial"/>
        </w:rPr>
        <w:t xml:space="preserve">identifies </w:t>
      </w:r>
      <w:r w:rsidR="24EBA6AB" w:rsidRPr="0311DE0C">
        <w:rPr>
          <w:rFonts w:cs="Arial"/>
        </w:rPr>
        <w:t xml:space="preserve">key </w:t>
      </w:r>
      <w:r w:rsidR="3BFDEB22" w:rsidRPr="0311DE0C">
        <w:rPr>
          <w:rFonts w:cs="Arial"/>
        </w:rPr>
        <w:t xml:space="preserve">organisational </w:t>
      </w:r>
      <w:r w:rsidR="24EBA6AB" w:rsidRPr="0311DE0C">
        <w:rPr>
          <w:rFonts w:cs="Arial"/>
        </w:rPr>
        <w:t>risks and opportunities</w:t>
      </w:r>
      <w:r w:rsidR="38FCF68C" w:rsidRPr="0311DE0C">
        <w:rPr>
          <w:rFonts w:cs="Arial"/>
        </w:rPr>
        <w:t xml:space="preserve">, </w:t>
      </w:r>
      <w:r w:rsidR="0C4B4795" w:rsidRPr="0311DE0C">
        <w:rPr>
          <w:rFonts w:cs="Arial"/>
        </w:rPr>
        <w:t>supported by</w:t>
      </w:r>
      <w:r w:rsidR="40953E45" w:rsidRPr="0311DE0C">
        <w:rPr>
          <w:rFonts w:cs="Arial"/>
        </w:rPr>
        <w:t xml:space="preserve"> </w:t>
      </w:r>
      <w:r w:rsidR="24EBA6AB" w:rsidRPr="0311DE0C">
        <w:rPr>
          <w:rFonts w:cs="Arial"/>
        </w:rPr>
        <w:t>performance measures</w:t>
      </w:r>
      <w:r w:rsidR="7DBC41CE" w:rsidRPr="0311DE0C">
        <w:rPr>
          <w:rFonts w:cs="Arial"/>
        </w:rPr>
        <w:t xml:space="preserve"> </w:t>
      </w:r>
      <w:r w:rsidR="695FD382" w:rsidRPr="0311DE0C">
        <w:rPr>
          <w:rFonts w:cs="Arial"/>
        </w:rPr>
        <w:t>to assess and report on</w:t>
      </w:r>
      <w:r w:rsidR="7DBC41CE" w:rsidRPr="0311DE0C">
        <w:rPr>
          <w:rFonts w:cs="Arial"/>
        </w:rPr>
        <w:t xml:space="preserve"> progress</w:t>
      </w:r>
      <w:r w:rsidR="24EBA6AB" w:rsidRPr="0311DE0C">
        <w:rPr>
          <w:rFonts w:cs="Arial"/>
        </w:rPr>
        <w:t>.</w:t>
      </w:r>
      <w:r w:rsidR="6F4C7BC9" w:rsidRPr="0311DE0C">
        <w:rPr>
          <w:rFonts w:cs="Arial"/>
        </w:rPr>
        <w:t xml:space="preserve"> </w:t>
      </w:r>
    </w:p>
    <w:p w14:paraId="2BFE862A" w14:textId="215BC676" w:rsidR="00A67FFD" w:rsidRDefault="455D8AB7" w:rsidP="003C7325">
      <w:pPr>
        <w:spacing w:before="120" w:after="120" w:line="259" w:lineRule="auto"/>
        <w:rPr>
          <w:rFonts w:cs="Arial"/>
        </w:rPr>
      </w:pPr>
      <w:r w:rsidRPr="0311DE0C">
        <w:rPr>
          <w:rFonts w:cs="Arial"/>
        </w:rPr>
        <w:t xml:space="preserve">Through </w:t>
      </w:r>
      <w:r w:rsidR="002D67F6">
        <w:rPr>
          <w:rFonts w:cs="Arial"/>
        </w:rPr>
        <w:t>the</w:t>
      </w:r>
      <w:r w:rsidRPr="0311DE0C">
        <w:rPr>
          <w:rFonts w:cs="Arial"/>
        </w:rPr>
        <w:t xml:space="preserve"> work</w:t>
      </w:r>
      <w:r w:rsidR="002D67F6">
        <w:rPr>
          <w:rFonts w:cs="Arial"/>
        </w:rPr>
        <w:t xml:space="preserve"> of the organisation</w:t>
      </w:r>
      <w:r w:rsidR="1E3C702D" w:rsidRPr="0311DE0C">
        <w:rPr>
          <w:rFonts w:cs="Arial"/>
        </w:rPr>
        <w:t>, the</w:t>
      </w:r>
      <w:r w:rsidR="053A3571" w:rsidRPr="0311DE0C">
        <w:rPr>
          <w:rFonts w:cs="Arial"/>
        </w:rPr>
        <w:t xml:space="preserve"> QBCC </w:t>
      </w:r>
      <w:r w:rsidR="4973F262" w:rsidRPr="0311DE0C">
        <w:rPr>
          <w:rFonts w:cs="Arial"/>
        </w:rPr>
        <w:t>contribute</w:t>
      </w:r>
      <w:r w:rsidR="68350EB5" w:rsidRPr="0311DE0C">
        <w:rPr>
          <w:rFonts w:cs="Arial"/>
        </w:rPr>
        <w:t>s</w:t>
      </w:r>
      <w:r w:rsidR="4973F262" w:rsidRPr="0311DE0C">
        <w:rPr>
          <w:rFonts w:cs="Arial"/>
        </w:rPr>
        <w:t xml:space="preserve"> to</w:t>
      </w:r>
      <w:r w:rsidR="4B682339" w:rsidRPr="0311DE0C">
        <w:rPr>
          <w:rFonts w:cs="Arial"/>
        </w:rPr>
        <w:t xml:space="preserve"> </w:t>
      </w:r>
      <w:r w:rsidR="3924D7B8" w:rsidRPr="0311DE0C">
        <w:rPr>
          <w:rFonts w:cs="Arial"/>
        </w:rPr>
        <w:t>three of the</w:t>
      </w:r>
      <w:r w:rsidR="1DE5DD16" w:rsidRPr="0311DE0C">
        <w:rPr>
          <w:rFonts w:cs="Arial"/>
        </w:rPr>
        <w:t xml:space="preserve"> Queensland G</w:t>
      </w:r>
      <w:r w:rsidR="4C0CC8BE" w:rsidRPr="0311DE0C">
        <w:rPr>
          <w:rFonts w:cs="Arial"/>
        </w:rPr>
        <w:t>overnment</w:t>
      </w:r>
      <w:r w:rsidR="448EA2E9" w:rsidRPr="0311DE0C">
        <w:rPr>
          <w:rFonts w:cs="Arial"/>
        </w:rPr>
        <w:t>’s</w:t>
      </w:r>
      <w:r w:rsidR="1FA0252F" w:rsidRPr="0311DE0C">
        <w:rPr>
          <w:rFonts w:cs="Arial"/>
        </w:rPr>
        <w:t xml:space="preserve"> </w:t>
      </w:r>
      <w:r w:rsidR="203BDEFC" w:rsidRPr="0311DE0C">
        <w:rPr>
          <w:rFonts w:cs="Arial"/>
        </w:rPr>
        <w:t>o</w:t>
      </w:r>
      <w:r w:rsidR="2EDA94DC" w:rsidRPr="0311DE0C">
        <w:rPr>
          <w:rFonts w:cs="Arial"/>
        </w:rPr>
        <w:t>bjectives</w:t>
      </w:r>
      <w:r w:rsidR="4C0CC8BE" w:rsidRPr="0311DE0C">
        <w:rPr>
          <w:rFonts w:cs="Arial"/>
        </w:rPr>
        <w:t xml:space="preserve"> </w:t>
      </w:r>
      <w:r w:rsidR="0759ED5C" w:rsidRPr="0311DE0C">
        <w:rPr>
          <w:rFonts w:cs="Arial"/>
        </w:rPr>
        <w:t xml:space="preserve">for the </w:t>
      </w:r>
      <w:r w:rsidR="56C84517" w:rsidRPr="0311DE0C">
        <w:rPr>
          <w:rFonts w:cs="Arial"/>
        </w:rPr>
        <w:t>c</w:t>
      </w:r>
      <w:r w:rsidR="0759ED5C" w:rsidRPr="0311DE0C">
        <w:rPr>
          <w:rFonts w:cs="Arial"/>
        </w:rPr>
        <w:t>ommunity</w:t>
      </w:r>
      <w:r w:rsidR="4550F1F4" w:rsidRPr="0311DE0C">
        <w:rPr>
          <w:rFonts w:cs="Arial"/>
        </w:rPr>
        <w:t>:</w:t>
      </w:r>
    </w:p>
    <w:p w14:paraId="07A4F73A" w14:textId="1B1F0690" w:rsidR="00A67FFD" w:rsidRPr="0072231D" w:rsidRDefault="4550F1F4" w:rsidP="00BD69F7">
      <w:pPr>
        <w:pStyle w:val="ListParagraph"/>
        <w:numPr>
          <w:ilvl w:val="0"/>
          <w:numId w:val="19"/>
        </w:numPr>
        <w:spacing w:before="120" w:after="120"/>
        <w:ind w:left="714" w:hanging="357"/>
        <w:contextualSpacing w:val="0"/>
        <w:rPr>
          <w:rFonts w:cs="Arial"/>
        </w:rPr>
      </w:pPr>
      <w:r w:rsidRPr="0311DE0C">
        <w:rPr>
          <w:rFonts w:cs="Arial"/>
        </w:rPr>
        <w:t>S</w:t>
      </w:r>
      <w:r w:rsidR="2EDA94DC" w:rsidRPr="0311DE0C">
        <w:rPr>
          <w:rFonts w:cs="Arial"/>
        </w:rPr>
        <w:t>afety where you live</w:t>
      </w:r>
      <w:r w:rsidR="009B7D16">
        <w:rPr>
          <w:rFonts w:cs="Arial"/>
        </w:rPr>
        <w:t>.</w:t>
      </w:r>
    </w:p>
    <w:p w14:paraId="5235AAA9" w14:textId="2740DE20" w:rsidR="00A67FFD" w:rsidRPr="0072231D" w:rsidRDefault="2EDA94DC" w:rsidP="00BD69F7">
      <w:pPr>
        <w:pStyle w:val="ListParagraph"/>
        <w:numPr>
          <w:ilvl w:val="0"/>
          <w:numId w:val="19"/>
        </w:numPr>
        <w:spacing w:before="120" w:after="120"/>
        <w:ind w:left="714" w:hanging="357"/>
        <w:contextualSpacing w:val="0"/>
        <w:rPr>
          <w:rFonts w:cs="Arial"/>
        </w:rPr>
      </w:pPr>
      <w:r w:rsidRPr="0311DE0C">
        <w:rPr>
          <w:rFonts w:cs="Arial"/>
        </w:rPr>
        <w:t>A better lifestyle through a stronger economy</w:t>
      </w:r>
      <w:r w:rsidR="009B7D16">
        <w:rPr>
          <w:rFonts w:cs="Arial"/>
        </w:rPr>
        <w:t>.</w:t>
      </w:r>
    </w:p>
    <w:p w14:paraId="60388AA2" w14:textId="26DE2D16" w:rsidR="00A67FFD" w:rsidRPr="00531E59" w:rsidRDefault="4550F1F4" w:rsidP="00BD69F7">
      <w:pPr>
        <w:numPr>
          <w:ilvl w:val="0"/>
          <w:numId w:val="20"/>
        </w:numPr>
        <w:spacing w:before="120" w:after="120"/>
        <w:ind w:left="714" w:hanging="357"/>
        <w:rPr>
          <w:rFonts w:cs="Arial"/>
        </w:rPr>
      </w:pPr>
      <w:r w:rsidRPr="0311DE0C">
        <w:rPr>
          <w:rFonts w:cs="Arial"/>
        </w:rPr>
        <w:t>A plan for Queensland’s future</w:t>
      </w:r>
      <w:r w:rsidR="00DD1ED6">
        <w:rPr>
          <w:rFonts w:cs="Arial"/>
        </w:rPr>
        <w:t>.</w:t>
      </w:r>
    </w:p>
    <w:p w14:paraId="70ED3CE7" w14:textId="7612A176" w:rsidR="00AB48E1" w:rsidRPr="009A39C4" w:rsidRDefault="6F4C7BC9" w:rsidP="00531E59">
      <w:pPr>
        <w:spacing w:before="120" w:after="120"/>
        <w:rPr>
          <w:rFonts w:cs="Arial"/>
        </w:rPr>
      </w:pPr>
      <w:r w:rsidRPr="2FCA7408">
        <w:rPr>
          <w:rFonts w:cs="Arial"/>
        </w:rPr>
        <w:t xml:space="preserve">The Strategic Plan </w:t>
      </w:r>
      <w:r w:rsidR="6F7F6704" w:rsidRPr="2FCA7408">
        <w:rPr>
          <w:rFonts w:cs="Arial"/>
        </w:rPr>
        <w:t>is available for</w:t>
      </w:r>
      <w:r w:rsidRPr="2FCA7408">
        <w:rPr>
          <w:rFonts w:cs="Arial"/>
        </w:rPr>
        <w:t xml:space="preserve"> download</w:t>
      </w:r>
      <w:r w:rsidR="6F7F6704" w:rsidRPr="2FCA7408">
        <w:rPr>
          <w:rFonts w:cs="Arial"/>
        </w:rPr>
        <w:t xml:space="preserve"> </w:t>
      </w:r>
      <w:r w:rsidR="70A390A5" w:rsidRPr="2FCA7408">
        <w:rPr>
          <w:rFonts w:cs="Arial"/>
        </w:rPr>
        <w:t>from</w:t>
      </w:r>
      <w:r w:rsidR="350E5AC1" w:rsidRPr="2FCA7408">
        <w:rPr>
          <w:rFonts w:cs="Arial"/>
        </w:rPr>
        <w:t xml:space="preserve"> </w:t>
      </w:r>
      <w:r w:rsidRPr="2FCA7408">
        <w:rPr>
          <w:rFonts w:cs="Arial"/>
        </w:rPr>
        <w:t xml:space="preserve">the </w:t>
      </w:r>
      <w:r w:rsidR="001701F6" w:rsidRPr="00D850B1">
        <w:rPr>
          <w:color w:val="020A0A" w:themeColor="text1"/>
        </w:rPr>
        <w:t>QBCC website</w:t>
      </w:r>
      <w:r w:rsidR="000C1346">
        <w:rPr>
          <w:color w:val="020A0A" w:themeColor="text1"/>
        </w:rPr>
        <w:t>.</w:t>
      </w:r>
      <w:r w:rsidR="00432F58" w:rsidRPr="00D72E12">
        <w:rPr>
          <w:rStyle w:val="FootnoteReference"/>
          <w:rFonts w:cs="Arial"/>
          <w:color w:val="020A0A" w:themeColor="text1"/>
        </w:rPr>
        <w:footnoteReference w:id="2"/>
      </w:r>
      <w:r w:rsidR="331FB63A" w:rsidRPr="00D850B1">
        <w:rPr>
          <w:rFonts w:cs="Arial"/>
          <w:color w:val="020A0A" w:themeColor="text1"/>
        </w:rPr>
        <w:t xml:space="preserve"> The</w:t>
      </w:r>
      <w:r w:rsidR="5015F8B2" w:rsidRPr="00D850B1">
        <w:rPr>
          <w:rFonts w:cs="Arial"/>
          <w:color w:val="020A0A" w:themeColor="text1"/>
        </w:rPr>
        <w:t xml:space="preserve"> Queensland</w:t>
      </w:r>
      <w:r w:rsidR="331FB63A" w:rsidRPr="00D850B1">
        <w:rPr>
          <w:rFonts w:cs="Arial"/>
          <w:color w:val="020A0A" w:themeColor="text1"/>
        </w:rPr>
        <w:t xml:space="preserve"> </w:t>
      </w:r>
      <w:r w:rsidR="17F5EE2F" w:rsidRPr="00D850B1">
        <w:rPr>
          <w:rFonts w:cs="Arial"/>
          <w:color w:val="020A0A" w:themeColor="text1"/>
        </w:rPr>
        <w:t xml:space="preserve">Government’s </w:t>
      </w:r>
      <w:r w:rsidR="78024033" w:rsidRPr="00D850B1">
        <w:rPr>
          <w:rFonts w:cs="Arial"/>
          <w:color w:val="020A0A" w:themeColor="text1"/>
        </w:rPr>
        <w:t>o</w:t>
      </w:r>
      <w:r w:rsidR="331FB63A" w:rsidRPr="00D850B1">
        <w:rPr>
          <w:rFonts w:cs="Arial"/>
          <w:color w:val="020A0A" w:themeColor="text1"/>
        </w:rPr>
        <w:t xml:space="preserve">bjectives for the </w:t>
      </w:r>
      <w:r w:rsidR="03AC4054" w:rsidRPr="00D850B1">
        <w:rPr>
          <w:rFonts w:cs="Arial"/>
          <w:color w:val="020A0A" w:themeColor="text1"/>
        </w:rPr>
        <w:t>c</w:t>
      </w:r>
      <w:r w:rsidR="331FB63A" w:rsidRPr="00D850B1">
        <w:rPr>
          <w:rFonts w:cs="Arial"/>
          <w:color w:val="020A0A" w:themeColor="text1"/>
        </w:rPr>
        <w:t xml:space="preserve">ommunity can be found on the </w:t>
      </w:r>
      <w:r w:rsidR="001701F6" w:rsidRPr="00D850B1">
        <w:rPr>
          <w:color w:val="020A0A" w:themeColor="text1"/>
        </w:rPr>
        <w:t>Queensland Government website</w:t>
      </w:r>
      <w:r w:rsidR="000C1346">
        <w:rPr>
          <w:color w:val="020A0A" w:themeColor="text1"/>
        </w:rPr>
        <w:t>.</w:t>
      </w:r>
      <w:r w:rsidR="00432F58" w:rsidRPr="00D72E12">
        <w:rPr>
          <w:rStyle w:val="FootnoteReference"/>
          <w:rFonts w:cs="Arial"/>
          <w:color w:val="020A0A" w:themeColor="text1"/>
        </w:rPr>
        <w:footnoteReference w:id="3"/>
      </w:r>
    </w:p>
    <w:p w14:paraId="0C55F78C" w14:textId="1170CA59" w:rsidR="00CC5F2D" w:rsidRDefault="26B65A7C" w:rsidP="0311DE0C">
      <w:pPr>
        <w:rPr>
          <w:rFonts w:eastAsiaTheme="majorEastAsia" w:cs="Arial"/>
          <w:b/>
          <w:bCs/>
          <w:color w:val="020A0A" w:themeColor="text1"/>
        </w:rPr>
      </w:pPr>
      <w:r w:rsidRPr="0311DE0C">
        <w:rPr>
          <w:rFonts w:eastAsiaTheme="majorEastAsia" w:cs="Arial"/>
          <w:b/>
          <w:bCs/>
          <w:color w:val="020A0A" w:themeColor="accent4"/>
        </w:rPr>
        <w:t xml:space="preserve">Corporate </w:t>
      </w:r>
      <w:r w:rsidR="6CAD9117" w:rsidRPr="0311DE0C">
        <w:rPr>
          <w:rFonts w:eastAsiaTheme="majorEastAsia" w:cs="Arial"/>
          <w:b/>
          <w:bCs/>
          <w:color w:val="020A0A" w:themeColor="accent4"/>
        </w:rPr>
        <w:t>v</w:t>
      </w:r>
      <w:r w:rsidRPr="0311DE0C">
        <w:rPr>
          <w:rFonts w:eastAsiaTheme="majorEastAsia" w:cs="Arial"/>
          <w:b/>
          <w:bCs/>
          <w:color w:val="020A0A" w:themeColor="accent4"/>
        </w:rPr>
        <w:t xml:space="preserve">alues </w:t>
      </w:r>
    </w:p>
    <w:p w14:paraId="393AB3DA" w14:textId="207C86FF" w:rsidR="00CC5F2D" w:rsidRPr="00257F28" w:rsidRDefault="186816E0" w:rsidP="00874C3E">
      <w:pPr>
        <w:spacing w:before="120" w:after="120" w:line="259" w:lineRule="auto"/>
        <w:rPr>
          <w:rFonts w:cs="Arial"/>
        </w:rPr>
      </w:pPr>
      <w:r w:rsidRPr="0311DE0C">
        <w:rPr>
          <w:rFonts w:cs="Arial"/>
        </w:rPr>
        <w:t>The QBCC</w:t>
      </w:r>
      <w:r w:rsidR="022BE754" w:rsidRPr="0311DE0C">
        <w:rPr>
          <w:rFonts w:cs="Arial"/>
        </w:rPr>
        <w:t>’s</w:t>
      </w:r>
      <w:r w:rsidR="022BE754" w:rsidRPr="0311DE0C" w:rsidDel="005B36AA">
        <w:rPr>
          <w:rFonts w:cs="Arial"/>
        </w:rPr>
        <w:t xml:space="preserve"> </w:t>
      </w:r>
      <w:r w:rsidR="00C34A79">
        <w:rPr>
          <w:rFonts w:cs="Arial"/>
        </w:rPr>
        <w:t xml:space="preserve">six </w:t>
      </w:r>
      <w:r w:rsidR="022BE754" w:rsidRPr="0311DE0C">
        <w:rPr>
          <w:rFonts w:cs="Arial"/>
        </w:rPr>
        <w:t>values shape</w:t>
      </w:r>
      <w:r w:rsidRPr="0311DE0C">
        <w:rPr>
          <w:rFonts w:cs="Arial"/>
        </w:rPr>
        <w:t xml:space="preserve"> its </w:t>
      </w:r>
      <w:r w:rsidR="34607D6F" w:rsidRPr="0311DE0C">
        <w:rPr>
          <w:rFonts w:cs="Arial"/>
        </w:rPr>
        <w:t xml:space="preserve">organisational </w:t>
      </w:r>
      <w:r w:rsidRPr="0311DE0C">
        <w:rPr>
          <w:rFonts w:cs="Arial"/>
        </w:rPr>
        <w:t xml:space="preserve">culture, </w:t>
      </w:r>
      <w:r w:rsidR="4B4F8481" w:rsidRPr="0311DE0C">
        <w:rPr>
          <w:rFonts w:cs="Arial"/>
        </w:rPr>
        <w:t xml:space="preserve">guide </w:t>
      </w:r>
      <w:r w:rsidRPr="0311DE0C">
        <w:rPr>
          <w:rFonts w:cs="Arial"/>
        </w:rPr>
        <w:t xml:space="preserve">decision making and underpin the delivery of </w:t>
      </w:r>
      <w:r w:rsidR="585C017F" w:rsidRPr="0311DE0C">
        <w:rPr>
          <w:rFonts w:cs="Arial"/>
        </w:rPr>
        <w:t xml:space="preserve">effective </w:t>
      </w:r>
      <w:r w:rsidRPr="0311DE0C">
        <w:rPr>
          <w:rFonts w:cs="Arial"/>
        </w:rPr>
        <w:t>regulatory services:</w:t>
      </w:r>
    </w:p>
    <w:p w14:paraId="0BF4AF1F" w14:textId="3AC4E4A9" w:rsidR="00410DDB" w:rsidRPr="00410DDB" w:rsidRDefault="00410DDB" w:rsidP="00BD69F7">
      <w:pPr>
        <w:pStyle w:val="ListParagraph"/>
        <w:numPr>
          <w:ilvl w:val="0"/>
          <w:numId w:val="1"/>
        </w:numPr>
        <w:spacing w:before="120" w:after="120"/>
        <w:ind w:left="714" w:hanging="357"/>
        <w:contextualSpacing w:val="0"/>
        <w:rPr>
          <w:rFonts w:cs="Arial"/>
        </w:rPr>
      </w:pPr>
      <w:r w:rsidRPr="00410DDB">
        <w:rPr>
          <w:rFonts w:cs="Arial"/>
        </w:rPr>
        <w:t>Pursue excellence</w:t>
      </w:r>
      <w:r w:rsidR="00992EEF">
        <w:rPr>
          <w:rFonts w:cs="Arial"/>
        </w:rPr>
        <w:t>.</w:t>
      </w:r>
    </w:p>
    <w:p w14:paraId="78A79B7E" w14:textId="2079D3B5" w:rsidR="00410DDB" w:rsidRPr="00257F28" w:rsidRDefault="00410DDB" w:rsidP="00BD69F7">
      <w:pPr>
        <w:pStyle w:val="ListParagraph"/>
        <w:numPr>
          <w:ilvl w:val="0"/>
          <w:numId w:val="1"/>
        </w:numPr>
        <w:spacing w:before="120" w:after="120"/>
        <w:ind w:left="714" w:hanging="357"/>
        <w:contextualSpacing w:val="0"/>
        <w:rPr>
          <w:rFonts w:cs="Arial"/>
          <w:szCs w:val="22"/>
        </w:rPr>
      </w:pPr>
      <w:r w:rsidRPr="00410DDB">
        <w:rPr>
          <w:rFonts w:cs="Arial"/>
        </w:rPr>
        <w:t>Be helpful</w:t>
      </w:r>
      <w:r w:rsidR="00992EEF">
        <w:rPr>
          <w:rFonts w:cs="Arial"/>
        </w:rPr>
        <w:t>.</w:t>
      </w:r>
    </w:p>
    <w:p w14:paraId="614C96B9" w14:textId="0915B8EC" w:rsidR="00410DDB" w:rsidRPr="00257F28" w:rsidRDefault="00410DDB" w:rsidP="00BD69F7">
      <w:pPr>
        <w:pStyle w:val="ListParagraph"/>
        <w:numPr>
          <w:ilvl w:val="0"/>
          <w:numId w:val="1"/>
        </w:numPr>
        <w:spacing w:before="120" w:after="120"/>
        <w:ind w:left="714" w:hanging="357"/>
        <w:contextualSpacing w:val="0"/>
        <w:rPr>
          <w:rFonts w:cs="Arial"/>
          <w:szCs w:val="22"/>
        </w:rPr>
      </w:pPr>
      <w:r w:rsidRPr="00410DDB">
        <w:rPr>
          <w:rFonts w:cs="Arial"/>
        </w:rPr>
        <w:t>Be courageous</w:t>
      </w:r>
      <w:r w:rsidR="00992EEF">
        <w:rPr>
          <w:rFonts w:cs="Arial"/>
        </w:rPr>
        <w:t>.</w:t>
      </w:r>
    </w:p>
    <w:p w14:paraId="5911E58A" w14:textId="39EE825E" w:rsidR="00410DDB" w:rsidRPr="00257F28" w:rsidRDefault="00410DDB" w:rsidP="00BD69F7">
      <w:pPr>
        <w:pStyle w:val="ListParagraph"/>
        <w:numPr>
          <w:ilvl w:val="0"/>
          <w:numId w:val="1"/>
        </w:numPr>
        <w:spacing w:before="120" w:after="120"/>
        <w:ind w:left="714" w:hanging="357"/>
        <w:contextualSpacing w:val="0"/>
        <w:rPr>
          <w:rFonts w:cs="Arial"/>
          <w:szCs w:val="22"/>
        </w:rPr>
      </w:pPr>
      <w:r w:rsidRPr="00410DDB">
        <w:rPr>
          <w:rFonts w:cs="Arial"/>
        </w:rPr>
        <w:t>Focus on people</w:t>
      </w:r>
      <w:r w:rsidR="00992EEF">
        <w:rPr>
          <w:rFonts w:cs="Arial"/>
        </w:rPr>
        <w:t>.</w:t>
      </w:r>
    </w:p>
    <w:p w14:paraId="3E17F85A" w14:textId="127FEBB1" w:rsidR="00410DDB" w:rsidRPr="00257F28" w:rsidRDefault="00410DDB" w:rsidP="00BD69F7">
      <w:pPr>
        <w:pStyle w:val="ListParagraph"/>
        <w:numPr>
          <w:ilvl w:val="0"/>
          <w:numId w:val="1"/>
        </w:numPr>
        <w:spacing w:before="120" w:after="120"/>
        <w:ind w:left="714" w:hanging="357"/>
        <w:contextualSpacing w:val="0"/>
        <w:rPr>
          <w:rFonts w:cs="Arial"/>
          <w:szCs w:val="22"/>
        </w:rPr>
      </w:pPr>
      <w:r w:rsidRPr="00410DDB">
        <w:rPr>
          <w:rFonts w:cs="Arial"/>
        </w:rPr>
        <w:t>Be connected</w:t>
      </w:r>
      <w:r w:rsidR="00992EEF">
        <w:rPr>
          <w:rFonts w:cs="Arial"/>
        </w:rPr>
        <w:t>.</w:t>
      </w:r>
    </w:p>
    <w:p w14:paraId="3C594306" w14:textId="7ADA815C" w:rsidR="00CC5F2D" w:rsidRPr="00874C3E" w:rsidRDefault="00410DDB" w:rsidP="00BD69F7">
      <w:pPr>
        <w:pStyle w:val="ListParagraph"/>
        <w:numPr>
          <w:ilvl w:val="0"/>
          <w:numId w:val="1"/>
        </w:numPr>
        <w:spacing w:before="120" w:after="120"/>
        <w:ind w:left="714" w:hanging="357"/>
        <w:contextualSpacing w:val="0"/>
        <w:rPr>
          <w:rFonts w:cs="Arial"/>
        </w:rPr>
      </w:pPr>
      <w:r w:rsidRPr="00410DDB">
        <w:rPr>
          <w:rFonts w:cs="Arial"/>
        </w:rPr>
        <w:t>Value customers</w:t>
      </w:r>
      <w:r w:rsidR="00992EEF">
        <w:rPr>
          <w:rFonts w:cs="Arial"/>
        </w:rPr>
        <w:t>.</w:t>
      </w:r>
    </w:p>
    <w:p w14:paraId="63A9925A" w14:textId="33C9D22C" w:rsidR="00D329FD" w:rsidRDefault="2AEEE0F0" w:rsidP="00874C3E">
      <w:pPr>
        <w:pStyle w:val="Heading3"/>
      </w:pPr>
      <w:r w:rsidRPr="00B41F33">
        <w:lastRenderedPageBreak/>
        <w:t>Looking ahead</w:t>
      </w:r>
    </w:p>
    <w:p w14:paraId="79DE4E69" w14:textId="77777777" w:rsidR="00DA12D2" w:rsidRDefault="001B4B84" w:rsidP="009A1703">
      <w:pPr>
        <w:spacing w:before="120" w:after="120" w:line="259" w:lineRule="auto"/>
      </w:pPr>
      <w:r>
        <w:t>T</w:t>
      </w:r>
      <w:r w:rsidR="232A6A6C">
        <w:t xml:space="preserve">he QBCC </w:t>
      </w:r>
      <w:r w:rsidR="5DAAFA14">
        <w:t>remain</w:t>
      </w:r>
      <w:r w:rsidR="78B8CB5E">
        <w:t>s</w:t>
      </w:r>
      <w:r w:rsidR="232A6A6C">
        <w:t xml:space="preserve"> </w:t>
      </w:r>
      <w:r w:rsidR="4411F1E3">
        <w:t>committed to</w:t>
      </w:r>
      <w:r w:rsidR="232A6A6C">
        <w:t xml:space="preserve"> </w:t>
      </w:r>
      <w:r w:rsidR="549C7212">
        <w:t>enhancing the</w:t>
      </w:r>
      <w:r w:rsidR="48387887">
        <w:t xml:space="preserve"> customer experience</w:t>
      </w:r>
      <w:r w:rsidR="3D936657">
        <w:t xml:space="preserve"> </w:t>
      </w:r>
      <w:r w:rsidR="3ADB8179">
        <w:t>by ensuring</w:t>
      </w:r>
      <w:r w:rsidR="3D936657">
        <w:t xml:space="preserve"> tradespeople and </w:t>
      </w:r>
      <w:bookmarkStart w:id="18" w:name="_Int_n9WJfHGO"/>
      <w:proofErr w:type="gramStart"/>
      <w:r w:rsidR="3D936657">
        <w:t>home owners</w:t>
      </w:r>
      <w:bookmarkEnd w:id="18"/>
      <w:proofErr w:type="gramEnd"/>
      <w:r w:rsidR="3D936657">
        <w:t xml:space="preserve"> </w:t>
      </w:r>
      <w:r w:rsidR="03A39928">
        <w:t xml:space="preserve">have </w:t>
      </w:r>
      <w:r w:rsidR="3D936657">
        <w:t>timely</w:t>
      </w:r>
      <w:r w:rsidR="02B389A8">
        <w:t xml:space="preserve"> access to</w:t>
      </w:r>
      <w:r w:rsidR="31952D1A">
        <w:t xml:space="preserve"> </w:t>
      </w:r>
      <w:r w:rsidR="14B0FF88">
        <w:t xml:space="preserve">accurate </w:t>
      </w:r>
      <w:r w:rsidR="31952D1A">
        <w:t>information</w:t>
      </w:r>
      <w:r w:rsidR="656FF08E">
        <w:t xml:space="preserve">. </w:t>
      </w:r>
      <w:r w:rsidR="08450F59">
        <w:t xml:space="preserve">Aligned with </w:t>
      </w:r>
      <w:r w:rsidR="0FD65A93">
        <w:t>the</w:t>
      </w:r>
      <w:r w:rsidR="16D2286D">
        <w:t xml:space="preserve"> </w:t>
      </w:r>
      <w:r w:rsidR="0FD65A93">
        <w:t>Queensland Government’s objectives for the community</w:t>
      </w:r>
      <w:r w:rsidR="7DE04181">
        <w:t xml:space="preserve"> and </w:t>
      </w:r>
      <w:r w:rsidR="150C52E2">
        <w:t xml:space="preserve">the </w:t>
      </w:r>
      <w:r w:rsidR="7DE04181">
        <w:t xml:space="preserve">strategic </w:t>
      </w:r>
      <w:r w:rsidR="7890D658">
        <w:t xml:space="preserve">priorities </w:t>
      </w:r>
      <w:r w:rsidR="7DE04181">
        <w:t>of the DHPW</w:t>
      </w:r>
      <w:r w:rsidR="0FD65A93">
        <w:t>, the QBCC</w:t>
      </w:r>
      <w:r w:rsidR="08A23EAD">
        <w:t xml:space="preserve"> </w:t>
      </w:r>
      <w:r w:rsidR="003047A4">
        <w:t>will remain</w:t>
      </w:r>
      <w:r w:rsidR="5F7B5A76">
        <w:t xml:space="preserve"> </w:t>
      </w:r>
      <w:r w:rsidR="239BF397">
        <w:t>focuse</w:t>
      </w:r>
      <w:r w:rsidR="7699B8DE">
        <w:t>d</w:t>
      </w:r>
      <w:r w:rsidR="239BF397">
        <w:t xml:space="preserve"> on</w:t>
      </w:r>
      <w:r w:rsidR="51B46DBB">
        <w:t xml:space="preserve"> </w:t>
      </w:r>
      <w:r w:rsidR="00CE5A51">
        <w:t>implementing measures that contribute to</w:t>
      </w:r>
      <w:r w:rsidR="51B46DBB">
        <w:t xml:space="preserve"> safety, economic prosperity</w:t>
      </w:r>
      <w:r w:rsidR="483A76CD">
        <w:t xml:space="preserve"> and sustainable growth</w:t>
      </w:r>
      <w:r w:rsidR="00B37528">
        <w:t xml:space="preserve"> within the building and construction industry</w:t>
      </w:r>
      <w:r w:rsidR="483A76CD">
        <w:t>.</w:t>
      </w:r>
      <w:r w:rsidR="00D86216">
        <w:t xml:space="preserve"> </w:t>
      </w:r>
    </w:p>
    <w:p w14:paraId="0F3E1506" w14:textId="46565A98" w:rsidR="007F0D30" w:rsidRDefault="34A1B2E6" w:rsidP="009A1703">
      <w:pPr>
        <w:spacing w:before="120" w:after="120" w:line="259" w:lineRule="auto"/>
      </w:pPr>
      <w:r w:rsidDel="002E1D93">
        <w:t>T</w:t>
      </w:r>
      <w:r>
        <w:t xml:space="preserve">he Building </w:t>
      </w:r>
      <w:r w:rsidR="19752042">
        <w:t>Regulation Renovation</w:t>
      </w:r>
      <w:r>
        <w:t xml:space="preserve"> </w:t>
      </w:r>
      <w:r w:rsidR="00DC3DB5">
        <w:t xml:space="preserve">(Building Reg Reno) </w:t>
      </w:r>
      <w:r w:rsidR="33488911" w:rsidDel="00A31789">
        <w:t xml:space="preserve">reform </w:t>
      </w:r>
      <w:r w:rsidDel="00A31789">
        <w:t>is an important step</w:t>
      </w:r>
      <w:r w:rsidDel="002E1D93">
        <w:t xml:space="preserve"> towards</w:t>
      </w:r>
      <w:r>
        <w:t xml:space="preserve"> modern</w:t>
      </w:r>
      <w:r w:rsidR="11EC8336">
        <w:t>is</w:t>
      </w:r>
      <w:r>
        <w:t xml:space="preserve">ing and </w:t>
      </w:r>
      <w:r w:rsidDel="00870949">
        <w:t>simplify</w:t>
      </w:r>
      <w:r w:rsidR="0AD385BE" w:rsidDel="00870949">
        <w:t>i</w:t>
      </w:r>
      <w:r w:rsidDel="00870949">
        <w:t>n</w:t>
      </w:r>
      <w:r w:rsidR="0E2DE495" w:rsidDel="00870949">
        <w:t xml:space="preserve">g </w:t>
      </w:r>
      <w:r w:rsidR="0E2DE495">
        <w:t>building</w:t>
      </w:r>
      <w:r w:rsidR="413CD6A7">
        <w:t xml:space="preserve"> processes across </w:t>
      </w:r>
      <w:r w:rsidR="0044729E">
        <w:t>Queensland</w:t>
      </w:r>
      <w:r w:rsidR="413CD6A7">
        <w:t xml:space="preserve">. As </w:t>
      </w:r>
      <w:r w:rsidR="7402D81B" w:rsidDel="006A0BAF">
        <w:t>further</w:t>
      </w:r>
      <w:r w:rsidR="006A0BAF">
        <w:t xml:space="preserve"> </w:t>
      </w:r>
      <w:r w:rsidR="7402D81B">
        <w:t xml:space="preserve">tranches of the reform are </w:t>
      </w:r>
      <w:r w:rsidR="003A65AB">
        <w:t>implemented</w:t>
      </w:r>
      <w:r w:rsidR="7402D81B">
        <w:t xml:space="preserve">, the QBCC will continue to </w:t>
      </w:r>
      <w:r w:rsidR="003A65AB">
        <w:t xml:space="preserve">contribute to </w:t>
      </w:r>
      <w:r w:rsidR="3FD610A3">
        <w:t xml:space="preserve">their </w:t>
      </w:r>
      <w:r w:rsidR="003A65AB">
        <w:t>delivery by administering relevant</w:t>
      </w:r>
      <w:r w:rsidR="13AD66A1">
        <w:t xml:space="preserve"> regulatory </w:t>
      </w:r>
      <w:r w:rsidR="00082E67">
        <w:t>functions and processes</w:t>
      </w:r>
      <w:r w:rsidR="13AD66A1">
        <w:t xml:space="preserve">. </w:t>
      </w:r>
    </w:p>
    <w:p w14:paraId="1777BF08" w14:textId="0781001D" w:rsidR="00F029B9" w:rsidRDefault="00F029B9">
      <w:pPr>
        <w:rPr>
          <w:rFonts w:eastAsiaTheme="majorEastAsia" w:cstheme="majorBidi"/>
          <w:bCs/>
          <w:sz w:val="32"/>
          <w:szCs w:val="32"/>
        </w:rPr>
      </w:pPr>
      <w:bookmarkStart w:id="19" w:name="_Reach_across_Queensland"/>
      <w:bookmarkEnd w:id="19"/>
      <w:r>
        <w:br w:type="page"/>
      </w:r>
    </w:p>
    <w:p w14:paraId="6A0B9216" w14:textId="57E56C47" w:rsidR="00FC145C" w:rsidRPr="004E2DC2" w:rsidRDefault="008243BD" w:rsidP="0081316A">
      <w:pPr>
        <w:pStyle w:val="Heading2"/>
        <w:rPr>
          <w:sz w:val="28"/>
          <w:szCs w:val="28"/>
        </w:rPr>
      </w:pPr>
      <w:bookmarkStart w:id="20" w:name="_Reach_across_Queensland_1"/>
      <w:bookmarkStart w:id="21" w:name="_Toc206493011"/>
      <w:bookmarkEnd w:id="20"/>
      <w:r>
        <w:lastRenderedPageBreak/>
        <w:t>R</w:t>
      </w:r>
      <w:r w:rsidR="00F70B5D" w:rsidRPr="0087323C">
        <w:t>each</w:t>
      </w:r>
      <w:r w:rsidR="163FE678">
        <w:t xml:space="preserve"> </w:t>
      </w:r>
      <w:r w:rsidR="03F3B7AC">
        <w:t>across Queensland</w:t>
      </w:r>
      <w:bookmarkEnd w:id="21"/>
      <w:r w:rsidR="03F3B7AC">
        <w:t xml:space="preserve"> </w:t>
      </w:r>
    </w:p>
    <w:p w14:paraId="296185BD" w14:textId="2D6966A3" w:rsidR="00E53D38" w:rsidRDefault="008C62DC" w:rsidP="00D31102">
      <w:pPr>
        <w:spacing w:before="120" w:after="120"/>
        <w:rPr>
          <w:rFonts w:cs="Arial"/>
        </w:rPr>
      </w:pPr>
      <w:r w:rsidRPr="0311DE0C">
        <w:rPr>
          <w:rFonts w:cs="Arial"/>
        </w:rPr>
        <w:t>The QBCC</w:t>
      </w:r>
      <w:r w:rsidR="00881D33">
        <w:rPr>
          <w:rFonts w:cs="Arial"/>
        </w:rPr>
        <w:t xml:space="preserve"> plays an important role in</w:t>
      </w:r>
      <w:r w:rsidR="003C760E">
        <w:rPr>
          <w:rFonts w:cs="Arial"/>
        </w:rPr>
        <w:t xml:space="preserve"> supporting a strong, safe and sustainable building and construction industry across </w:t>
      </w:r>
      <w:r w:rsidR="001F1F7F">
        <w:rPr>
          <w:rFonts w:cs="Arial"/>
        </w:rPr>
        <w:t>Queensland</w:t>
      </w:r>
      <w:r w:rsidR="003C760E">
        <w:rPr>
          <w:rFonts w:cs="Arial"/>
        </w:rPr>
        <w:t xml:space="preserve">. </w:t>
      </w:r>
      <w:r w:rsidR="008F5E82">
        <w:rPr>
          <w:rFonts w:cs="Arial"/>
        </w:rPr>
        <w:t xml:space="preserve">With a presence in </w:t>
      </w:r>
      <w:r w:rsidR="001F1F7F">
        <w:rPr>
          <w:rFonts w:cs="Arial"/>
        </w:rPr>
        <w:t xml:space="preserve">both </w:t>
      </w:r>
      <w:r w:rsidR="008F5E82">
        <w:rPr>
          <w:rFonts w:cs="Arial"/>
        </w:rPr>
        <w:t xml:space="preserve">metropolitan and regional </w:t>
      </w:r>
      <w:r w:rsidR="008F45B7">
        <w:rPr>
          <w:rFonts w:cs="Arial"/>
        </w:rPr>
        <w:t>areas</w:t>
      </w:r>
      <w:r w:rsidR="008F5E82">
        <w:rPr>
          <w:rFonts w:cs="Arial"/>
        </w:rPr>
        <w:t xml:space="preserve">, the </w:t>
      </w:r>
      <w:r w:rsidR="00D749E8">
        <w:rPr>
          <w:rFonts w:cs="Arial"/>
        </w:rPr>
        <w:t>QBCC</w:t>
      </w:r>
      <w:r w:rsidR="008F5E82">
        <w:rPr>
          <w:rFonts w:cs="Arial"/>
        </w:rPr>
        <w:t xml:space="preserve"> </w:t>
      </w:r>
      <w:r w:rsidR="008F45B7">
        <w:rPr>
          <w:rFonts w:cs="Arial"/>
        </w:rPr>
        <w:t xml:space="preserve">ensures its </w:t>
      </w:r>
      <w:r w:rsidR="00C707E9">
        <w:rPr>
          <w:rFonts w:cs="Arial"/>
        </w:rPr>
        <w:t xml:space="preserve">services </w:t>
      </w:r>
      <w:r w:rsidR="008F45B7">
        <w:rPr>
          <w:rFonts w:cs="Arial"/>
        </w:rPr>
        <w:t xml:space="preserve">are accessible </w:t>
      </w:r>
      <w:r w:rsidR="00C707E9">
        <w:rPr>
          <w:rFonts w:cs="Arial"/>
        </w:rPr>
        <w:t xml:space="preserve">to tradespeople and </w:t>
      </w:r>
      <w:bookmarkStart w:id="22" w:name="_Int_UkfBnECF"/>
      <w:proofErr w:type="gramStart"/>
      <w:r w:rsidR="005F3E39">
        <w:rPr>
          <w:rFonts w:cs="Arial"/>
        </w:rPr>
        <w:t>home owners</w:t>
      </w:r>
      <w:bookmarkEnd w:id="22"/>
      <w:proofErr w:type="gramEnd"/>
      <w:r w:rsidR="005F3E39">
        <w:rPr>
          <w:rFonts w:cs="Arial"/>
        </w:rPr>
        <w:t xml:space="preserve"> </w:t>
      </w:r>
      <w:r w:rsidR="007E6DF7">
        <w:rPr>
          <w:rFonts w:cs="Arial"/>
        </w:rPr>
        <w:t>throughout the state</w:t>
      </w:r>
      <w:r w:rsidR="005F3E39">
        <w:rPr>
          <w:rFonts w:cs="Arial"/>
        </w:rPr>
        <w:t xml:space="preserve">. </w:t>
      </w:r>
      <w:r w:rsidR="00202B63">
        <w:rPr>
          <w:rFonts w:cs="Arial"/>
        </w:rPr>
        <w:t xml:space="preserve">The number of </w:t>
      </w:r>
      <w:r w:rsidR="005E7F11">
        <w:rPr>
          <w:rFonts w:cs="Arial"/>
        </w:rPr>
        <w:t xml:space="preserve">active </w:t>
      </w:r>
      <w:r w:rsidRPr="0311DE0C">
        <w:rPr>
          <w:rFonts w:cs="Arial"/>
        </w:rPr>
        <w:t>licensees</w:t>
      </w:r>
      <w:r w:rsidR="00F34A5D">
        <w:rPr>
          <w:rFonts w:cs="Arial"/>
        </w:rPr>
        <w:t xml:space="preserve"> </w:t>
      </w:r>
      <w:r w:rsidR="00E7227F">
        <w:rPr>
          <w:rFonts w:cs="Arial"/>
        </w:rPr>
        <w:t xml:space="preserve">recorded in 2024–25 under </w:t>
      </w:r>
      <w:r w:rsidR="00C607F7">
        <w:rPr>
          <w:rFonts w:cs="Arial"/>
        </w:rPr>
        <w:t xml:space="preserve">licences regulated by </w:t>
      </w:r>
      <w:r w:rsidR="00F34A5D">
        <w:rPr>
          <w:rFonts w:cs="Arial"/>
        </w:rPr>
        <w:t xml:space="preserve">the </w:t>
      </w:r>
      <w:r w:rsidR="000B5533" w:rsidRPr="0311DE0C">
        <w:rPr>
          <w:rFonts w:cs="Arial"/>
        </w:rPr>
        <w:t>QBCC Act</w:t>
      </w:r>
      <w:r w:rsidR="000B5533">
        <w:rPr>
          <w:rFonts w:cs="Arial"/>
        </w:rPr>
        <w:t>,</w:t>
      </w:r>
      <w:r w:rsidR="000B5533" w:rsidRPr="0311DE0C">
        <w:rPr>
          <w:rFonts w:cs="Arial"/>
        </w:rPr>
        <w:t xml:space="preserve"> the </w:t>
      </w:r>
      <w:r w:rsidR="000B5533" w:rsidRPr="0311DE0C">
        <w:rPr>
          <w:rFonts w:cs="Arial"/>
          <w:i/>
          <w:iCs/>
        </w:rPr>
        <w:t>Building Act 1975</w:t>
      </w:r>
      <w:r w:rsidR="000B5533" w:rsidRPr="0311DE0C">
        <w:rPr>
          <w:rFonts w:cs="Arial"/>
        </w:rPr>
        <w:t xml:space="preserve"> (Building Act) and the </w:t>
      </w:r>
      <w:r w:rsidR="000B5533" w:rsidRPr="0311DE0C">
        <w:rPr>
          <w:rFonts w:cs="Arial"/>
          <w:i/>
          <w:iCs/>
        </w:rPr>
        <w:t>Plumbing and Drainage Act 2018</w:t>
      </w:r>
      <w:r w:rsidR="000B5533" w:rsidRPr="0311DE0C">
        <w:rPr>
          <w:rFonts w:cs="Arial"/>
        </w:rPr>
        <w:t xml:space="preserve"> (PD Act)</w:t>
      </w:r>
      <w:r w:rsidR="000B5533">
        <w:rPr>
          <w:rFonts w:cs="Arial"/>
        </w:rPr>
        <w:t xml:space="preserve"> </w:t>
      </w:r>
      <w:r w:rsidR="00505526">
        <w:rPr>
          <w:rFonts w:cs="Arial"/>
        </w:rPr>
        <w:t xml:space="preserve">is </w:t>
      </w:r>
      <w:r w:rsidR="004533A8">
        <w:rPr>
          <w:rFonts w:cs="Arial"/>
        </w:rPr>
        <w:t xml:space="preserve">outlined </w:t>
      </w:r>
      <w:r w:rsidR="000E2764">
        <w:rPr>
          <w:rFonts w:cs="Arial"/>
        </w:rPr>
        <w:t xml:space="preserve">in </w:t>
      </w:r>
      <w:r w:rsidR="00765781" w:rsidRPr="00765781">
        <w:rPr>
          <w:rFonts w:cs="Arial"/>
        </w:rPr>
        <w:fldChar w:fldCharType="begin"/>
      </w:r>
      <w:r w:rsidR="00765781" w:rsidRPr="00765781">
        <w:rPr>
          <w:rFonts w:cs="Arial"/>
        </w:rPr>
        <w:instrText xml:space="preserve"> REF _Ref201907011 \h  \* MERGEFORMAT </w:instrText>
      </w:r>
      <w:r w:rsidR="00765781" w:rsidRPr="00765781">
        <w:rPr>
          <w:rFonts w:cs="Arial"/>
        </w:rPr>
      </w:r>
      <w:r w:rsidR="00765781" w:rsidRPr="00765781">
        <w:rPr>
          <w:rFonts w:cs="Arial"/>
        </w:rPr>
        <w:fldChar w:fldCharType="separate"/>
      </w:r>
      <w:r w:rsidR="00CC44DF" w:rsidRPr="1AA49AC8">
        <w:rPr>
          <w:rFonts w:cs="Arial"/>
        </w:rPr>
        <w:t>Table 1</w:t>
      </w:r>
      <w:r w:rsidR="00765781" w:rsidRPr="00765781">
        <w:rPr>
          <w:rFonts w:cs="Arial"/>
        </w:rPr>
        <w:fldChar w:fldCharType="end"/>
      </w:r>
      <w:r w:rsidRPr="0311DE0C">
        <w:rPr>
          <w:rFonts w:cs="Arial"/>
        </w:rPr>
        <w:t>. </w:t>
      </w:r>
    </w:p>
    <w:p w14:paraId="2E9F0E22" w14:textId="3B241E41" w:rsidR="00394CF7" w:rsidRDefault="00765781" w:rsidP="00E45001">
      <w:pPr>
        <w:pStyle w:val="Caption"/>
        <w:spacing w:before="120" w:after="120"/>
      </w:pPr>
      <w:bookmarkStart w:id="23" w:name="_Ref201907011"/>
      <w:bookmarkStart w:id="24" w:name="_Toc202872031"/>
      <w:bookmarkStart w:id="25" w:name="_Toc202872651"/>
      <w:bookmarkStart w:id="26" w:name="_Ref202873359"/>
      <w:r w:rsidRPr="00C423D9">
        <w:t xml:space="preserve">Table </w:t>
      </w:r>
      <w:r>
        <w:fldChar w:fldCharType="begin"/>
      </w:r>
      <w:r>
        <w:instrText>SEQ Table \* ARABIC</w:instrText>
      </w:r>
      <w:r>
        <w:fldChar w:fldCharType="separate"/>
      </w:r>
      <w:r w:rsidR="0042456A" w:rsidRPr="00A57D9E">
        <w:t>1</w:t>
      </w:r>
      <w:r>
        <w:fldChar w:fldCharType="end"/>
      </w:r>
      <w:bookmarkEnd w:id="23"/>
      <w:r w:rsidRPr="00C423D9">
        <w:t xml:space="preserve">: Active licensees under the QBCC Act, Building Act and PD Act recorded statewide over the past two </w:t>
      </w:r>
      <w:r w:rsidR="00DC1F89">
        <w:t xml:space="preserve">financial </w:t>
      </w:r>
      <w:r w:rsidRPr="00C423D9">
        <w:t>years</w:t>
      </w:r>
      <w:bookmarkStart w:id="27" w:name="_Operational_highlights"/>
      <w:bookmarkEnd w:id="24"/>
      <w:bookmarkEnd w:id="25"/>
      <w:bookmarkEnd w:id="26"/>
      <w:bookmarkEnd w:id="27"/>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098"/>
        <w:gridCol w:w="1093"/>
        <w:gridCol w:w="6"/>
        <w:gridCol w:w="1099"/>
        <w:gridCol w:w="1099"/>
        <w:gridCol w:w="1087"/>
        <w:gridCol w:w="1076"/>
        <w:gridCol w:w="11"/>
        <w:gridCol w:w="1087"/>
        <w:gridCol w:w="1088"/>
      </w:tblGrid>
      <w:tr w:rsidR="008508F9" w:rsidRPr="00F80FB5" w14:paraId="56BE86E2" w14:textId="77777777" w:rsidTr="003C7852">
        <w:trPr>
          <w:trHeight w:val="586"/>
        </w:trPr>
        <w:tc>
          <w:tcPr>
            <w:tcW w:w="1696" w:type="dxa"/>
            <w:vMerge w:val="restart"/>
            <w:shd w:val="clear" w:color="auto" w:fill="A6A6A6" w:themeFill="background1" w:themeFillShade="A6"/>
            <w:vAlign w:val="center"/>
            <w:hideMark/>
          </w:tcPr>
          <w:p w14:paraId="7007D1C0" w14:textId="77777777" w:rsidR="00F80FB5" w:rsidRPr="00F80FB5" w:rsidRDefault="00F80FB5" w:rsidP="00F80FB5">
            <w:pPr>
              <w:rPr>
                <w:rFonts w:eastAsia="Times New Roman" w:cs="Arial"/>
                <w:b/>
                <w:color w:val="000000"/>
                <w:lang w:eastAsia="en-AU"/>
              </w:rPr>
            </w:pPr>
            <w:r w:rsidRPr="0848DE62">
              <w:rPr>
                <w:rFonts w:eastAsia="Times New Roman" w:cs="Arial"/>
                <w:b/>
                <w:lang w:eastAsia="en-AU"/>
              </w:rPr>
              <w:t>Service centre location</w:t>
            </w:r>
          </w:p>
        </w:tc>
        <w:tc>
          <w:tcPr>
            <w:tcW w:w="8744" w:type="dxa"/>
            <w:gridSpan w:val="10"/>
            <w:shd w:val="clear" w:color="auto" w:fill="A6A6A6" w:themeFill="background1" w:themeFillShade="A6"/>
            <w:vAlign w:val="center"/>
            <w:hideMark/>
          </w:tcPr>
          <w:p w14:paraId="7706B0EE" w14:textId="77777777" w:rsidR="00F80FB5" w:rsidRPr="00F80FB5" w:rsidRDefault="00F80FB5" w:rsidP="00F80FB5">
            <w:pPr>
              <w:jc w:val="center"/>
              <w:rPr>
                <w:rFonts w:eastAsia="Times New Roman" w:cs="Arial"/>
                <w:b/>
                <w:bCs/>
                <w:color w:val="000000"/>
                <w:szCs w:val="22"/>
                <w:lang w:eastAsia="en-AU"/>
              </w:rPr>
            </w:pPr>
            <w:r w:rsidRPr="00F80FB5">
              <w:rPr>
                <w:rFonts w:eastAsia="Times New Roman" w:cs="Arial"/>
                <w:b/>
                <w:bCs/>
                <w:szCs w:val="22"/>
                <w:lang w:eastAsia="en-AU"/>
              </w:rPr>
              <w:t>Active licensees</w:t>
            </w:r>
          </w:p>
        </w:tc>
      </w:tr>
      <w:tr w:rsidR="006B5031" w:rsidRPr="00F80FB5" w14:paraId="2F6C5CFA" w14:textId="77777777" w:rsidTr="00CA21D1">
        <w:trPr>
          <w:trHeight w:val="644"/>
        </w:trPr>
        <w:tc>
          <w:tcPr>
            <w:tcW w:w="1696" w:type="dxa"/>
            <w:vMerge/>
            <w:vAlign w:val="center"/>
            <w:hideMark/>
          </w:tcPr>
          <w:p w14:paraId="66495FA5" w14:textId="77777777" w:rsidR="00FD3163" w:rsidRPr="00F80FB5" w:rsidRDefault="00FD3163" w:rsidP="00F80FB5">
            <w:pPr>
              <w:rPr>
                <w:rFonts w:eastAsia="Times New Roman" w:cs="Arial"/>
                <w:b/>
                <w:bCs/>
                <w:color w:val="000000"/>
                <w:szCs w:val="22"/>
                <w:lang w:eastAsia="en-AU"/>
              </w:rPr>
            </w:pPr>
          </w:p>
        </w:tc>
        <w:tc>
          <w:tcPr>
            <w:tcW w:w="2191" w:type="dxa"/>
            <w:gridSpan w:val="2"/>
            <w:vMerge w:val="restart"/>
            <w:shd w:val="clear" w:color="auto" w:fill="BFBFBF" w:themeFill="background1" w:themeFillShade="BF"/>
            <w:vAlign w:val="center"/>
            <w:hideMark/>
          </w:tcPr>
          <w:p w14:paraId="27E72B16" w14:textId="77777777" w:rsidR="00FD3163" w:rsidRPr="00F80FB5" w:rsidRDefault="00FD3163" w:rsidP="005132AE">
            <w:pPr>
              <w:jc w:val="center"/>
              <w:rPr>
                <w:rFonts w:eastAsia="Times New Roman" w:cs="Arial"/>
                <w:b/>
                <w:bCs/>
                <w:color w:val="000000"/>
                <w:szCs w:val="22"/>
                <w:lang w:eastAsia="en-AU"/>
              </w:rPr>
            </w:pPr>
            <w:r w:rsidRPr="00F80FB5">
              <w:rPr>
                <w:rFonts w:eastAsia="Times New Roman" w:cs="Arial"/>
                <w:b/>
                <w:bCs/>
                <w:szCs w:val="22"/>
                <w:lang w:eastAsia="en-AU"/>
              </w:rPr>
              <w:t>QBCC Act</w:t>
            </w:r>
          </w:p>
        </w:tc>
        <w:tc>
          <w:tcPr>
            <w:tcW w:w="2204" w:type="dxa"/>
            <w:gridSpan w:val="3"/>
            <w:vMerge w:val="restart"/>
            <w:shd w:val="clear" w:color="auto" w:fill="BFBFBF" w:themeFill="background1" w:themeFillShade="BF"/>
            <w:vAlign w:val="center"/>
            <w:hideMark/>
          </w:tcPr>
          <w:p w14:paraId="6A6CC547" w14:textId="77777777" w:rsidR="00FD3163" w:rsidRPr="00F80FB5" w:rsidRDefault="00FD3163" w:rsidP="005132AE">
            <w:pPr>
              <w:jc w:val="center"/>
              <w:rPr>
                <w:rFonts w:eastAsia="Times New Roman" w:cs="Arial"/>
                <w:b/>
                <w:bCs/>
                <w:color w:val="000000"/>
                <w:szCs w:val="22"/>
                <w:lang w:eastAsia="en-AU"/>
              </w:rPr>
            </w:pPr>
            <w:r w:rsidRPr="00F80FB5">
              <w:rPr>
                <w:rFonts w:eastAsia="Times New Roman" w:cs="Arial"/>
                <w:b/>
                <w:bCs/>
                <w:szCs w:val="22"/>
                <w:lang w:eastAsia="en-AU"/>
              </w:rPr>
              <w:t>PD Act</w:t>
            </w:r>
          </w:p>
        </w:tc>
        <w:tc>
          <w:tcPr>
            <w:tcW w:w="4349" w:type="dxa"/>
            <w:gridSpan w:val="5"/>
            <w:shd w:val="clear" w:color="auto" w:fill="BFBFBF" w:themeFill="background1" w:themeFillShade="BF"/>
            <w:vAlign w:val="center"/>
            <w:hideMark/>
          </w:tcPr>
          <w:p w14:paraId="4C1DD475" w14:textId="500C3DF2" w:rsidR="00FD3163" w:rsidRPr="00F80FB5" w:rsidRDefault="00FD3163" w:rsidP="003C5156">
            <w:pPr>
              <w:jc w:val="center"/>
              <w:rPr>
                <w:rFonts w:eastAsia="Times New Roman" w:cs="Arial"/>
                <w:b/>
                <w:bCs/>
                <w:color w:val="000000"/>
                <w:szCs w:val="22"/>
                <w:lang w:eastAsia="en-AU"/>
              </w:rPr>
            </w:pPr>
            <w:r w:rsidRPr="00F80FB5">
              <w:rPr>
                <w:rFonts w:eastAsia="Times New Roman" w:cs="Arial"/>
                <w:b/>
                <w:bCs/>
                <w:szCs w:val="22"/>
                <w:lang w:eastAsia="en-AU"/>
              </w:rPr>
              <w:t>Building Act</w:t>
            </w:r>
          </w:p>
        </w:tc>
      </w:tr>
      <w:tr w:rsidR="006B5031" w:rsidRPr="00F80FB5" w14:paraId="71B4C4F1" w14:textId="77777777" w:rsidTr="00CA21D1">
        <w:trPr>
          <w:trHeight w:val="644"/>
        </w:trPr>
        <w:tc>
          <w:tcPr>
            <w:tcW w:w="1696" w:type="dxa"/>
            <w:vMerge/>
            <w:vAlign w:val="center"/>
          </w:tcPr>
          <w:p w14:paraId="57382D21" w14:textId="77777777" w:rsidR="00FD3163" w:rsidRPr="00F80FB5" w:rsidRDefault="00FD3163" w:rsidP="00F80FB5">
            <w:pPr>
              <w:rPr>
                <w:rFonts w:eastAsia="Times New Roman" w:cs="Arial"/>
                <w:b/>
                <w:bCs/>
                <w:color w:val="000000"/>
                <w:szCs w:val="22"/>
                <w:lang w:eastAsia="en-AU"/>
              </w:rPr>
            </w:pPr>
          </w:p>
        </w:tc>
        <w:tc>
          <w:tcPr>
            <w:tcW w:w="2191" w:type="dxa"/>
            <w:gridSpan w:val="2"/>
            <w:vMerge/>
            <w:vAlign w:val="center"/>
          </w:tcPr>
          <w:p w14:paraId="212833E4" w14:textId="77777777" w:rsidR="00FD3163" w:rsidRPr="00F80FB5" w:rsidRDefault="00FD3163" w:rsidP="00F80FB5">
            <w:pPr>
              <w:rPr>
                <w:rFonts w:eastAsia="Times New Roman" w:cs="Arial"/>
                <w:b/>
                <w:bCs/>
                <w:szCs w:val="22"/>
                <w:lang w:eastAsia="en-AU"/>
              </w:rPr>
            </w:pPr>
          </w:p>
        </w:tc>
        <w:tc>
          <w:tcPr>
            <w:tcW w:w="2204" w:type="dxa"/>
            <w:gridSpan w:val="3"/>
            <w:vMerge/>
            <w:vAlign w:val="center"/>
          </w:tcPr>
          <w:p w14:paraId="1E5B70B2" w14:textId="77777777" w:rsidR="00FD3163" w:rsidRPr="00F80FB5" w:rsidRDefault="00FD3163" w:rsidP="00B51D21">
            <w:pPr>
              <w:jc w:val="center"/>
              <w:rPr>
                <w:rFonts w:eastAsia="Times New Roman" w:cs="Arial"/>
                <w:b/>
                <w:bCs/>
                <w:szCs w:val="22"/>
                <w:lang w:eastAsia="en-AU"/>
              </w:rPr>
            </w:pPr>
          </w:p>
        </w:tc>
        <w:tc>
          <w:tcPr>
            <w:tcW w:w="2163" w:type="dxa"/>
            <w:gridSpan w:val="2"/>
            <w:shd w:val="clear" w:color="auto" w:fill="D9D9D9" w:themeFill="background1" w:themeFillShade="D9"/>
            <w:vAlign w:val="center"/>
          </w:tcPr>
          <w:p w14:paraId="34FF1F5A" w14:textId="009EAB28" w:rsidR="00FD3163" w:rsidRPr="00F80FB5" w:rsidRDefault="00FD3163" w:rsidP="00B51D21">
            <w:pPr>
              <w:jc w:val="center"/>
              <w:rPr>
                <w:rFonts w:eastAsia="Times New Roman" w:cs="Arial"/>
                <w:b/>
                <w:bCs/>
                <w:szCs w:val="22"/>
                <w:lang w:eastAsia="en-AU"/>
              </w:rPr>
            </w:pPr>
            <w:r>
              <w:rPr>
                <w:rFonts w:eastAsia="Times New Roman" w:cs="Arial"/>
                <w:b/>
                <w:bCs/>
                <w:szCs w:val="22"/>
                <w:lang w:eastAsia="en-AU"/>
              </w:rPr>
              <w:t>Certifier</w:t>
            </w:r>
          </w:p>
        </w:tc>
        <w:tc>
          <w:tcPr>
            <w:tcW w:w="2186" w:type="dxa"/>
            <w:gridSpan w:val="3"/>
            <w:shd w:val="clear" w:color="auto" w:fill="D9D9D9" w:themeFill="background1" w:themeFillShade="D9"/>
            <w:vAlign w:val="center"/>
          </w:tcPr>
          <w:p w14:paraId="3A628C7F" w14:textId="2D68A9C2" w:rsidR="00FD3163" w:rsidRPr="00F80FB5" w:rsidRDefault="00FD3163" w:rsidP="00B51D21">
            <w:pPr>
              <w:jc w:val="center"/>
              <w:rPr>
                <w:rFonts w:eastAsia="Times New Roman" w:cs="Arial"/>
                <w:b/>
                <w:bCs/>
                <w:color w:val="000000"/>
                <w:szCs w:val="22"/>
                <w:lang w:eastAsia="en-AU"/>
              </w:rPr>
            </w:pPr>
            <w:r w:rsidRPr="00F80FB5">
              <w:rPr>
                <w:rFonts w:eastAsia="Times New Roman" w:cs="Arial"/>
                <w:b/>
                <w:bCs/>
                <w:color w:val="000000"/>
                <w:szCs w:val="22"/>
                <w:lang w:eastAsia="en-AU"/>
              </w:rPr>
              <w:t>Pool Safety Inspector</w:t>
            </w:r>
          </w:p>
        </w:tc>
      </w:tr>
      <w:tr w:rsidR="006B5031" w:rsidRPr="00F80FB5" w14:paraId="47597ECF" w14:textId="77777777" w:rsidTr="00CA21D1">
        <w:trPr>
          <w:trHeight w:val="303"/>
        </w:trPr>
        <w:tc>
          <w:tcPr>
            <w:tcW w:w="1696" w:type="dxa"/>
            <w:vMerge/>
            <w:vAlign w:val="center"/>
            <w:hideMark/>
          </w:tcPr>
          <w:p w14:paraId="6B37BFCE" w14:textId="77777777" w:rsidR="00F80FB5" w:rsidRPr="00F80FB5" w:rsidRDefault="00F80FB5" w:rsidP="00F80FB5">
            <w:pPr>
              <w:rPr>
                <w:rFonts w:eastAsia="Times New Roman" w:cs="Arial"/>
                <w:b/>
                <w:bCs/>
                <w:color w:val="000000"/>
                <w:szCs w:val="22"/>
                <w:lang w:eastAsia="en-AU"/>
              </w:rPr>
            </w:pPr>
          </w:p>
        </w:tc>
        <w:tc>
          <w:tcPr>
            <w:tcW w:w="1098" w:type="dxa"/>
            <w:shd w:val="clear" w:color="auto" w:fill="F2F2F2" w:themeFill="background1" w:themeFillShade="F2"/>
            <w:vAlign w:val="center"/>
            <w:hideMark/>
          </w:tcPr>
          <w:p w14:paraId="54C62BA2" w14:textId="77777777" w:rsidR="00F80FB5" w:rsidRPr="00F80FB5" w:rsidRDefault="00F80FB5" w:rsidP="00F80FB5">
            <w:pPr>
              <w:rPr>
                <w:rFonts w:eastAsia="Times New Roman" w:cs="Arial"/>
                <w:b/>
                <w:bCs/>
                <w:color w:val="000000"/>
                <w:szCs w:val="22"/>
                <w:lang w:eastAsia="en-AU"/>
              </w:rPr>
            </w:pPr>
            <w:r w:rsidRPr="00F80FB5">
              <w:rPr>
                <w:rFonts w:eastAsia="Times New Roman" w:cs="Arial"/>
                <w:b/>
                <w:bCs/>
                <w:szCs w:val="22"/>
                <w:lang w:eastAsia="en-AU"/>
              </w:rPr>
              <w:t>2023–24</w:t>
            </w:r>
          </w:p>
        </w:tc>
        <w:tc>
          <w:tcPr>
            <w:tcW w:w="1099" w:type="dxa"/>
            <w:gridSpan w:val="2"/>
            <w:shd w:val="clear" w:color="auto" w:fill="F2F2F2" w:themeFill="background1" w:themeFillShade="F2"/>
            <w:vAlign w:val="center"/>
            <w:hideMark/>
          </w:tcPr>
          <w:p w14:paraId="5184D1F9" w14:textId="77777777" w:rsidR="00F80FB5" w:rsidRPr="00F80FB5" w:rsidRDefault="00F80FB5" w:rsidP="00F80FB5">
            <w:pPr>
              <w:rPr>
                <w:rFonts w:eastAsia="Times New Roman" w:cs="Arial"/>
                <w:b/>
                <w:bCs/>
                <w:color w:val="000000"/>
                <w:szCs w:val="22"/>
                <w:lang w:eastAsia="en-AU"/>
              </w:rPr>
            </w:pPr>
            <w:r w:rsidRPr="00F80FB5">
              <w:rPr>
                <w:rFonts w:eastAsia="Times New Roman" w:cs="Arial"/>
                <w:b/>
                <w:bCs/>
                <w:szCs w:val="22"/>
                <w:lang w:eastAsia="en-AU"/>
              </w:rPr>
              <w:t>2024–25</w:t>
            </w:r>
          </w:p>
        </w:tc>
        <w:tc>
          <w:tcPr>
            <w:tcW w:w="1099" w:type="dxa"/>
            <w:shd w:val="clear" w:color="auto" w:fill="F2F2F2" w:themeFill="background1" w:themeFillShade="F2"/>
            <w:vAlign w:val="center"/>
            <w:hideMark/>
          </w:tcPr>
          <w:p w14:paraId="6F781B6A" w14:textId="77777777" w:rsidR="00F80FB5" w:rsidRPr="00F80FB5" w:rsidRDefault="00F80FB5" w:rsidP="00F80FB5">
            <w:pPr>
              <w:rPr>
                <w:rFonts w:eastAsia="Times New Roman" w:cs="Arial"/>
                <w:b/>
                <w:bCs/>
                <w:color w:val="000000"/>
                <w:szCs w:val="22"/>
                <w:lang w:eastAsia="en-AU"/>
              </w:rPr>
            </w:pPr>
            <w:r w:rsidRPr="00F80FB5">
              <w:rPr>
                <w:rFonts w:eastAsia="Times New Roman" w:cs="Arial"/>
                <w:b/>
                <w:bCs/>
                <w:szCs w:val="22"/>
                <w:lang w:eastAsia="en-AU"/>
              </w:rPr>
              <w:t>2023–24</w:t>
            </w:r>
          </w:p>
        </w:tc>
        <w:tc>
          <w:tcPr>
            <w:tcW w:w="1099" w:type="dxa"/>
            <w:shd w:val="clear" w:color="auto" w:fill="F2F2F2" w:themeFill="background1" w:themeFillShade="F2"/>
            <w:vAlign w:val="center"/>
            <w:hideMark/>
          </w:tcPr>
          <w:p w14:paraId="6DC0A92A" w14:textId="77777777" w:rsidR="00F80FB5" w:rsidRPr="00F80FB5" w:rsidRDefault="00F80FB5" w:rsidP="00F80FB5">
            <w:pPr>
              <w:rPr>
                <w:rFonts w:eastAsia="Times New Roman" w:cs="Arial"/>
                <w:b/>
                <w:bCs/>
                <w:color w:val="000000"/>
                <w:szCs w:val="22"/>
                <w:lang w:eastAsia="en-AU"/>
              </w:rPr>
            </w:pPr>
            <w:r w:rsidRPr="00F80FB5">
              <w:rPr>
                <w:rFonts w:eastAsia="Times New Roman" w:cs="Arial"/>
                <w:b/>
                <w:bCs/>
                <w:szCs w:val="22"/>
                <w:lang w:eastAsia="en-AU"/>
              </w:rPr>
              <w:t>2024–25</w:t>
            </w:r>
          </w:p>
        </w:tc>
        <w:tc>
          <w:tcPr>
            <w:tcW w:w="1087" w:type="dxa"/>
            <w:shd w:val="clear" w:color="auto" w:fill="F2F2F2" w:themeFill="background1" w:themeFillShade="F2"/>
            <w:vAlign w:val="center"/>
            <w:hideMark/>
          </w:tcPr>
          <w:p w14:paraId="1326B39C" w14:textId="77777777" w:rsidR="00F80FB5" w:rsidRPr="00F80FB5" w:rsidRDefault="00F80FB5" w:rsidP="00F80FB5">
            <w:pPr>
              <w:rPr>
                <w:rFonts w:eastAsia="Times New Roman" w:cs="Arial"/>
                <w:b/>
                <w:bCs/>
                <w:color w:val="000000"/>
                <w:szCs w:val="22"/>
                <w:lang w:eastAsia="en-AU"/>
              </w:rPr>
            </w:pPr>
            <w:r w:rsidRPr="00F80FB5">
              <w:rPr>
                <w:rFonts w:eastAsia="Times New Roman" w:cs="Arial"/>
                <w:b/>
                <w:bCs/>
                <w:szCs w:val="22"/>
                <w:lang w:eastAsia="en-AU"/>
              </w:rPr>
              <w:t>2023–24</w:t>
            </w:r>
          </w:p>
        </w:tc>
        <w:tc>
          <w:tcPr>
            <w:tcW w:w="1087" w:type="dxa"/>
            <w:gridSpan w:val="2"/>
            <w:shd w:val="clear" w:color="auto" w:fill="F2F2F2" w:themeFill="background1" w:themeFillShade="F2"/>
            <w:vAlign w:val="center"/>
            <w:hideMark/>
          </w:tcPr>
          <w:p w14:paraId="4EC52B2F" w14:textId="77777777" w:rsidR="00F80FB5" w:rsidRPr="00F80FB5" w:rsidRDefault="00F80FB5" w:rsidP="00F80FB5">
            <w:pPr>
              <w:rPr>
                <w:rFonts w:eastAsia="Times New Roman" w:cs="Arial"/>
                <w:b/>
                <w:bCs/>
                <w:color w:val="000000"/>
                <w:szCs w:val="22"/>
                <w:lang w:eastAsia="en-AU"/>
              </w:rPr>
            </w:pPr>
            <w:r w:rsidRPr="00F80FB5">
              <w:rPr>
                <w:rFonts w:eastAsia="Times New Roman" w:cs="Arial"/>
                <w:b/>
                <w:bCs/>
                <w:szCs w:val="22"/>
                <w:lang w:eastAsia="en-AU"/>
              </w:rPr>
              <w:t>2024–25</w:t>
            </w:r>
          </w:p>
        </w:tc>
        <w:tc>
          <w:tcPr>
            <w:tcW w:w="1087" w:type="dxa"/>
            <w:shd w:val="clear" w:color="auto" w:fill="F2F2F2" w:themeFill="background1" w:themeFillShade="F2"/>
            <w:vAlign w:val="center"/>
            <w:hideMark/>
          </w:tcPr>
          <w:p w14:paraId="7D1676CC" w14:textId="77777777" w:rsidR="00F80FB5" w:rsidRPr="00F80FB5" w:rsidRDefault="00F80FB5" w:rsidP="00F80FB5">
            <w:pPr>
              <w:rPr>
                <w:rFonts w:eastAsia="Times New Roman" w:cs="Arial"/>
                <w:b/>
                <w:bCs/>
                <w:color w:val="000000"/>
                <w:szCs w:val="22"/>
                <w:lang w:eastAsia="en-AU"/>
              </w:rPr>
            </w:pPr>
            <w:r w:rsidRPr="00F80FB5">
              <w:rPr>
                <w:rFonts w:eastAsia="Times New Roman" w:cs="Arial"/>
                <w:b/>
                <w:bCs/>
                <w:szCs w:val="22"/>
                <w:lang w:eastAsia="en-AU"/>
              </w:rPr>
              <w:t>2023–24</w:t>
            </w:r>
          </w:p>
        </w:tc>
        <w:tc>
          <w:tcPr>
            <w:tcW w:w="1088" w:type="dxa"/>
            <w:shd w:val="clear" w:color="auto" w:fill="F2F2F2" w:themeFill="background1" w:themeFillShade="F2"/>
            <w:vAlign w:val="center"/>
            <w:hideMark/>
          </w:tcPr>
          <w:p w14:paraId="61D8704F" w14:textId="77777777" w:rsidR="00F80FB5" w:rsidRPr="00F80FB5" w:rsidRDefault="00F80FB5" w:rsidP="00F80FB5">
            <w:pPr>
              <w:rPr>
                <w:rFonts w:eastAsia="Times New Roman" w:cs="Arial"/>
                <w:b/>
                <w:bCs/>
                <w:color w:val="000000"/>
                <w:szCs w:val="22"/>
                <w:lang w:eastAsia="en-AU"/>
              </w:rPr>
            </w:pPr>
            <w:r w:rsidRPr="00F80FB5">
              <w:rPr>
                <w:rFonts w:eastAsia="Times New Roman" w:cs="Arial"/>
                <w:b/>
                <w:bCs/>
                <w:szCs w:val="22"/>
                <w:lang w:eastAsia="en-AU"/>
              </w:rPr>
              <w:t>2024–25</w:t>
            </w:r>
          </w:p>
        </w:tc>
      </w:tr>
      <w:tr w:rsidR="00A50633" w:rsidRPr="00F80FB5" w14:paraId="4F33A832" w14:textId="77777777" w:rsidTr="00CA21D1">
        <w:trPr>
          <w:trHeight w:val="303"/>
        </w:trPr>
        <w:tc>
          <w:tcPr>
            <w:tcW w:w="1696" w:type="dxa"/>
            <w:vAlign w:val="center"/>
            <w:hideMark/>
          </w:tcPr>
          <w:p w14:paraId="4F62AB8E" w14:textId="77777777" w:rsidR="00F80FB5" w:rsidRPr="00F80FB5" w:rsidRDefault="00F80FB5" w:rsidP="00F80FB5">
            <w:pPr>
              <w:rPr>
                <w:rFonts w:eastAsia="Times New Roman" w:cs="Arial"/>
                <w:color w:val="000000"/>
                <w:szCs w:val="22"/>
                <w:lang w:eastAsia="en-AU"/>
              </w:rPr>
            </w:pPr>
            <w:r w:rsidRPr="00F80FB5">
              <w:rPr>
                <w:rFonts w:eastAsia="Times New Roman" w:cs="Arial"/>
                <w:color w:val="000000"/>
                <w:szCs w:val="22"/>
                <w:lang w:eastAsia="en-AU"/>
              </w:rPr>
              <w:t>Brisbane</w:t>
            </w:r>
          </w:p>
        </w:tc>
        <w:tc>
          <w:tcPr>
            <w:tcW w:w="1098" w:type="dxa"/>
            <w:vAlign w:val="center"/>
            <w:hideMark/>
          </w:tcPr>
          <w:p w14:paraId="175C570E"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51,684</w:t>
            </w:r>
          </w:p>
        </w:tc>
        <w:tc>
          <w:tcPr>
            <w:tcW w:w="1099" w:type="dxa"/>
            <w:gridSpan w:val="2"/>
            <w:vAlign w:val="center"/>
            <w:hideMark/>
          </w:tcPr>
          <w:p w14:paraId="4C848036"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53,879</w:t>
            </w:r>
          </w:p>
        </w:tc>
        <w:tc>
          <w:tcPr>
            <w:tcW w:w="1099" w:type="dxa"/>
            <w:vAlign w:val="center"/>
            <w:hideMark/>
          </w:tcPr>
          <w:p w14:paraId="12378670"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8,900</w:t>
            </w:r>
          </w:p>
        </w:tc>
        <w:tc>
          <w:tcPr>
            <w:tcW w:w="1099" w:type="dxa"/>
            <w:vAlign w:val="center"/>
            <w:hideMark/>
          </w:tcPr>
          <w:p w14:paraId="772D42F6"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8,990</w:t>
            </w:r>
          </w:p>
        </w:tc>
        <w:tc>
          <w:tcPr>
            <w:tcW w:w="1087" w:type="dxa"/>
            <w:vAlign w:val="center"/>
            <w:hideMark/>
          </w:tcPr>
          <w:p w14:paraId="1E6ED420"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304</w:t>
            </w:r>
          </w:p>
        </w:tc>
        <w:tc>
          <w:tcPr>
            <w:tcW w:w="1087" w:type="dxa"/>
            <w:gridSpan w:val="2"/>
            <w:vAlign w:val="center"/>
            <w:hideMark/>
          </w:tcPr>
          <w:p w14:paraId="1CCC93BD"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289</w:t>
            </w:r>
          </w:p>
        </w:tc>
        <w:tc>
          <w:tcPr>
            <w:tcW w:w="1087" w:type="dxa"/>
            <w:vAlign w:val="center"/>
            <w:hideMark/>
          </w:tcPr>
          <w:p w14:paraId="6F4C7167"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210</w:t>
            </w:r>
          </w:p>
        </w:tc>
        <w:tc>
          <w:tcPr>
            <w:tcW w:w="1088" w:type="dxa"/>
            <w:vAlign w:val="center"/>
            <w:hideMark/>
          </w:tcPr>
          <w:p w14:paraId="62A78203"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209</w:t>
            </w:r>
          </w:p>
        </w:tc>
      </w:tr>
      <w:tr w:rsidR="00A50633" w:rsidRPr="00F80FB5" w14:paraId="7E37EB2D" w14:textId="77777777" w:rsidTr="00CA21D1">
        <w:trPr>
          <w:trHeight w:val="303"/>
        </w:trPr>
        <w:tc>
          <w:tcPr>
            <w:tcW w:w="1696" w:type="dxa"/>
            <w:vAlign w:val="center"/>
            <w:hideMark/>
          </w:tcPr>
          <w:p w14:paraId="0BC870B7" w14:textId="77777777" w:rsidR="00F80FB5" w:rsidRPr="00F80FB5" w:rsidRDefault="00F80FB5" w:rsidP="00F80FB5">
            <w:pPr>
              <w:rPr>
                <w:rFonts w:eastAsia="Times New Roman" w:cs="Arial"/>
                <w:color w:val="000000"/>
                <w:szCs w:val="22"/>
                <w:lang w:eastAsia="en-AU"/>
              </w:rPr>
            </w:pPr>
            <w:r w:rsidRPr="00F80FB5">
              <w:rPr>
                <w:rFonts w:eastAsia="Times New Roman" w:cs="Arial"/>
                <w:color w:val="000000"/>
                <w:szCs w:val="22"/>
                <w:lang w:eastAsia="en-AU"/>
              </w:rPr>
              <w:t>Cairns</w:t>
            </w:r>
          </w:p>
        </w:tc>
        <w:tc>
          <w:tcPr>
            <w:tcW w:w="1098" w:type="dxa"/>
            <w:vAlign w:val="center"/>
            <w:hideMark/>
          </w:tcPr>
          <w:p w14:paraId="2398DB33"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5,352</w:t>
            </w:r>
          </w:p>
        </w:tc>
        <w:tc>
          <w:tcPr>
            <w:tcW w:w="1099" w:type="dxa"/>
            <w:gridSpan w:val="2"/>
            <w:vAlign w:val="center"/>
            <w:hideMark/>
          </w:tcPr>
          <w:p w14:paraId="3A1DE847"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5,470</w:t>
            </w:r>
          </w:p>
        </w:tc>
        <w:tc>
          <w:tcPr>
            <w:tcW w:w="1099" w:type="dxa"/>
            <w:vAlign w:val="center"/>
            <w:hideMark/>
          </w:tcPr>
          <w:p w14:paraId="2864C0D7"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897</w:t>
            </w:r>
          </w:p>
        </w:tc>
        <w:tc>
          <w:tcPr>
            <w:tcW w:w="1099" w:type="dxa"/>
            <w:vAlign w:val="center"/>
            <w:hideMark/>
          </w:tcPr>
          <w:p w14:paraId="3C46B1CD"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926</w:t>
            </w:r>
          </w:p>
        </w:tc>
        <w:tc>
          <w:tcPr>
            <w:tcW w:w="1087" w:type="dxa"/>
            <w:vAlign w:val="center"/>
            <w:hideMark/>
          </w:tcPr>
          <w:p w14:paraId="7F1FDA10"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20</w:t>
            </w:r>
          </w:p>
        </w:tc>
        <w:tc>
          <w:tcPr>
            <w:tcW w:w="1087" w:type="dxa"/>
            <w:gridSpan w:val="2"/>
            <w:vAlign w:val="center"/>
            <w:hideMark/>
          </w:tcPr>
          <w:p w14:paraId="03FD9ACB"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20</w:t>
            </w:r>
          </w:p>
        </w:tc>
        <w:tc>
          <w:tcPr>
            <w:tcW w:w="1087" w:type="dxa"/>
            <w:vAlign w:val="center"/>
            <w:hideMark/>
          </w:tcPr>
          <w:p w14:paraId="3327FE57"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38</w:t>
            </w:r>
          </w:p>
        </w:tc>
        <w:tc>
          <w:tcPr>
            <w:tcW w:w="1088" w:type="dxa"/>
            <w:vAlign w:val="center"/>
            <w:hideMark/>
          </w:tcPr>
          <w:p w14:paraId="205529F9"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35</w:t>
            </w:r>
          </w:p>
        </w:tc>
      </w:tr>
      <w:tr w:rsidR="00A50633" w:rsidRPr="00F80FB5" w14:paraId="729BFFEB" w14:textId="77777777" w:rsidTr="00CA21D1">
        <w:trPr>
          <w:trHeight w:val="303"/>
        </w:trPr>
        <w:tc>
          <w:tcPr>
            <w:tcW w:w="1696" w:type="dxa"/>
            <w:vAlign w:val="center"/>
            <w:hideMark/>
          </w:tcPr>
          <w:p w14:paraId="4246269E" w14:textId="77777777" w:rsidR="00F80FB5" w:rsidRPr="00F80FB5" w:rsidRDefault="00F80FB5" w:rsidP="00F80FB5">
            <w:pPr>
              <w:rPr>
                <w:rFonts w:eastAsia="Times New Roman" w:cs="Arial"/>
                <w:color w:val="000000"/>
                <w:szCs w:val="22"/>
                <w:lang w:eastAsia="en-AU"/>
              </w:rPr>
            </w:pPr>
            <w:r w:rsidRPr="00F80FB5">
              <w:rPr>
                <w:rFonts w:eastAsia="Times New Roman" w:cs="Arial"/>
                <w:color w:val="000000"/>
                <w:szCs w:val="22"/>
                <w:lang w:eastAsia="en-AU"/>
              </w:rPr>
              <w:t>Gold Coast</w:t>
            </w:r>
          </w:p>
        </w:tc>
        <w:tc>
          <w:tcPr>
            <w:tcW w:w="1098" w:type="dxa"/>
            <w:vAlign w:val="center"/>
            <w:hideMark/>
          </w:tcPr>
          <w:p w14:paraId="18444C40"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12,312</w:t>
            </w:r>
          </w:p>
        </w:tc>
        <w:tc>
          <w:tcPr>
            <w:tcW w:w="1099" w:type="dxa"/>
            <w:gridSpan w:val="2"/>
            <w:vAlign w:val="center"/>
            <w:hideMark/>
          </w:tcPr>
          <w:p w14:paraId="0F2DE65B"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12,622</w:t>
            </w:r>
          </w:p>
        </w:tc>
        <w:tc>
          <w:tcPr>
            <w:tcW w:w="1099" w:type="dxa"/>
            <w:vAlign w:val="center"/>
            <w:hideMark/>
          </w:tcPr>
          <w:p w14:paraId="6EEADFE3"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1,818</w:t>
            </w:r>
          </w:p>
        </w:tc>
        <w:tc>
          <w:tcPr>
            <w:tcW w:w="1099" w:type="dxa"/>
            <w:vAlign w:val="center"/>
            <w:hideMark/>
          </w:tcPr>
          <w:p w14:paraId="439BF576"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1,893</w:t>
            </w:r>
          </w:p>
        </w:tc>
        <w:tc>
          <w:tcPr>
            <w:tcW w:w="1087" w:type="dxa"/>
            <w:vAlign w:val="center"/>
            <w:hideMark/>
          </w:tcPr>
          <w:p w14:paraId="51247C38"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71</w:t>
            </w:r>
          </w:p>
        </w:tc>
        <w:tc>
          <w:tcPr>
            <w:tcW w:w="1087" w:type="dxa"/>
            <w:gridSpan w:val="2"/>
            <w:vAlign w:val="center"/>
            <w:hideMark/>
          </w:tcPr>
          <w:p w14:paraId="7FBE4DB3"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68</w:t>
            </w:r>
          </w:p>
        </w:tc>
        <w:tc>
          <w:tcPr>
            <w:tcW w:w="1087" w:type="dxa"/>
            <w:vAlign w:val="center"/>
            <w:hideMark/>
          </w:tcPr>
          <w:p w14:paraId="42B7D8AB"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48</w:t>
            </w:r>
          </w:p>
        </w:tc>
        <w:tc>
          <w:tcPr>
            <w:tcW w:w="1088" w:type="dxa"/>
            <w:vAlign w:val="center"/>
            <w:hideMark/>
          </w:tcPr>
          <w:p w14:paraId="21FFEFB7"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49</w:t>
            </w:r>
          </w:p>
        </w:tc>
      </w:tr>
      <w:tr w:rsidR="00A50633" w:rsidRPr="00F80FB5" w14:paraId="60C08C2F" w14:textId="77777777" w:rsidTr="00CA21D1">
        <w:trPr>
          <w:trHeight w:val="303"/>
        </w:trPr>
        <w:tc>
          <w:tcPr>
            <w:tcW w:w="1696" w:type="dxa"/>
            <w:vAlign w:val="center"/>
            <w:hideMark/>
          </w:tcPr>
          <w:p w14:paraId="65B5BC4D" w14:textId="77777777" w:rsidR="00F80FB5" w:rsidRPr="00F80FB5" w:rsidRDefault="00F80FB5" w:rsidP="00F80FB5">
            <w:pPr>
              <w:rPr>
                <w:rFonts w:eastAsia="Times New Roman" w:cs="Arial"/>
                <w:color w:val="000000"/>
                <w:szCs w:val="22"/>
                <w:lang w:eastAsia="en-AU"/>
              </w:rPr>
            </w:pPr>
            <w:r w:rsidRPr="00F80FB5">
              <w:rPr>
                <w:rFonts w:eastAsia="Times New Roman" w:cs="Arial"/>
                <w:color w:val="000000"/>
                <w:szCs w:val="22"/>
                <w:lang w:eastAsia="en-AU"/>
              </w:rPr>
              <w:t>Mackay</w:t>
            </w:r>
          </w:p>
        </w:tc>
        <w:tc>
          <w:tcPr>
            <w:tcW w:w="1098" w:type="dxa"/>
            <w:vAlign w:val="center"/>
            <w:hideMark/>
          </w:tcPr>
          <w:p w14:paraId="0805BF67"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2,730</w:t>
            </w:r>
          </w:p>
        </w:tc>
        <w:tc>
          <w:tcPr>
            <w:tcW w:w="1099" w:type="dxa"/>
            <w:gridSpan w:val="2"/>
            <w:vAlign w:val="center"/>
            <w:hideMark/>
          </w:tcPr>
          <w:p w14:paraId="5F8C7555"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2,809</w:t>
            </w:r>
          </w:p>
        </w:tc>
        <w:tc>
          <w:tcPr>
            <w:tcW w:w="1099" w:type="dxa"/>
            <w:vAlign w:val="center"/>
            <w:hideMark/>
          </w:tcPr>
          <w:p w14:paraId="2A7E3072"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529</w:t>
            </w:r>
          </w:p>
        </w:tc>
        <w:tc>
          <w:tcPr>
            <w:tcW w:w="1099" w:type="dxa"/>
            <w:vAlign w:val="center"/>
            <w:hideMark/>
          </w:tcPr>
          <w:p w14:paraId="461554D7"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543</w:t>
            </w:r>
          </w:p>
        </w:tc>
        <w:tc>
          <w:tcPr>
            <w:tcW w:w="1087" w:type="dxa"/>
            <w:vAlign w:val="center"/>
            <w:hideMark/>
          </w:tcPr>
          <w:p w14:paraId="3B648443"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11</w:t>
            </w:r>
          </w:p>
        </w:tc>
        <w:tc>
          <w:tcPr>
            <w:tcW w:w="1087" w:type="dxa"/>
            <w:gridSpan w:val="2"/>
            <w:vAlign w:val="center"/>
            <w:hideMark/>
          </w:tcPr>
          <w:p w14:paraId="1A32D51C"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10</w:t>
            </w:r>
          </w:p>
        </w:tc>
        <w:tc>
          <w:tcPr>
            <w:tcW w:w="1087" w:type="dxa"/>
            <w:vAlign w:val="center"/>
            <w:hideMark/>
          </w:tcPr>
          <w:p w14:paraId="2B2653B0"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18</w:t>
            </w:r>
          </w:p>
        </w:tc>
        <w:tc>
          <w:tcPr>
            <w:tcW w:w="1088" w:type="dxa"/>
            <w:vAlign w:val="center"/>
            <w:hideMark/>
          </w:tcPr>
          <w:p w14:paraId="78654979"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20</w:t>
            </w:r>
          </w:p>
        </w:tc>
      </w:tr>
      <w:tr w:rsidR="00A50633" w:rsidRPr="00F80FB5" w14:paraId="78672812" w14:textId="77777777" w:rsidTr="00CA21D1">
        <w:trPr>
          <w:trHeight w:val="303"/>
        </w:trPr>
        <w:tc>
          <w:tcPr>
            <w:tcW w:w="1696" w:type="dxa"/>
            <w:vAlign w:val="center"/>
            <w:hideMark/>
          </w:tcPr>
          <w:p w14:paraId="55CED033" w14:textId="77777777" w:rsidR="00F80FB5" w:rsidRPr="00F80FB5" w:rsidRDefault="00F80FB5" w:rsidP="00F80FB5">
            <w:pPr>
              <w:rPr>
                <w:rFonts w:eastAsia="Times New Roman" w:cs="Arial"/>
                <w:color w:val="000000"/>
                <w:szCs w:val="22"/>
                <w:lang w:eastAsia="en-AU"/>
              </w:rPr>
            </w:pPr>
            <w:r w:rsidRPr="00F80FB5">
              <w:rPr>
                <w:rFonts w:eastAsia="Times New Roman" w:cs="Arial"/>
                <w:color w:val="000000"/>
                <w:szCs w:val="22"/>
                <w:lang w:eastAsia="en-AU"/>
              </w:rPr>
              <w:t>Maryborough</w:t>
            </w:r>
          </w:p>
        </w:tc>
        <w:tc>
          <w:tcPr>
            <w:tcW w:w="1098" w:type="dxa"/>
            <w:vAlign w:val="center"/>
            <w:hideMark/>
          </w:tcPr>
          <w:p w14:paraId="7A16084B"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4,441</w:t>
            </w:r>
          </w:p>
        </w:tc>
        <w:tc>
          <w:tcPr>
            <w:tcW w:w="1099" w:type="dxa"/>
            <w:gridSpan w:val="2"/>
            <w:vAlign w:val="center"/>
            <w:hideMark/>
          </w:tcPr>
          <w:p w14:paraId="3A49284C"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4,665</w:t>
            </w:r>
          </w:p>
        </w:tc>
        <w:tc>
          <w:tcPr>
            <w:tcW w:w="1099" w:type="dxa"/>
            <w:vAlign w:val="center"/>
            <w:hideMark/>
          </w:tcPr>
          <w:p w14:paraId="239BB99D"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808</w:t>
            </w:r>
          </w:p>
        </w:tc>
        <w:tc>
          <w:tcPr>
            <w:tcW w:w="1099" w:type="dxa"/>
            <w:vAlign w:val="center"/>
            <w:hideMark/>
          </w:tcPr>
          <w:p w14:paraId="282C72E2"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864</w:t>
            </w:r>
          </w:p>
        </w:tc>
        <w:tc>
          <w:tcPr>
            <w:tcW w:w="1087" w:type="dxa"/>
            <w:vAlign w:val="center"/>
            <w:hideMark/>
          </w:tcPr>
          <w:p w14:paraId="4C402071"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22</w:t>
            </w:r>
          </w:p>
        </w:tc>
        <w:tc>
          <w:tcPr>
            <w:tcW w:w="1087" w:type="dxa"/>
            <w:gridSpan w:val="2"/>
            <w:vAlign w:val="center"/>
            <w:hideMark/>
          </w:tcPr>
          <w:p w14:paraId="53296ECF"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20</w:t>
            </w:r>
          </w:p>
        </w:tc>
        <w:tc>
          <w:tcPr>
            <w:tcW w:w="1087" w:type="dxa"/>
            <w:vAlign w:val="center"/>
            <w:hideMark/>
          </w:tcPr>
          <w:p w14:paraId="778CDA48"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28</w:t>
            </w:r>
          </w:p>
        </w:tc>
        <w:tc>
          <w:tcPr>
            <w:tcW w:w="1088" w:type="dxa"/>
            <w:vAlign w:val="center"/>
            <w:hideMark/>
          </w:tcPr>
          <w:p w14:paraId="719EE940"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29</w:t>
            </w:r>
          </w:p>
        </w:tc>
      </w:tr>
      <w:tr w:rsidR="00A50633" w:rsidRPr="00F80FB5" w14:paraId="23E75305" w14:textId="77777777" w:rsidTr="00CA21D1">
        <w:trPr>
          <w:trHeight w:val="571"/>
        </w:trPr>
        <w:tc>
          <w:tcPr>
            <w:tcW w:w="1696" w:type="dxa"/>
            <w:vAlign w:val="center"/>
            <w:hideMark/>
          </w:tcPr>
          <w:p w14:paraId="28792311" w14:textId="77777777" w:rsidR="00F80FB5" w:rsidRPr="00F80FB5" w:rsidRDefault="00F80FB5" w:rsidP="00F80FB5">
            <w:pPr>
              <w:rPr>
                <w:rFonts w:eastAsia="Times New Roman" w:cs="Arial"/>
                <w:color w:val="000000"/>
                <w:szCs w:val="22"/>
                <w:lang w:eastAsia="en-AU"/>
              </w:rPr>
            </w:pPr>
            <w:r w:rsidRPr="00F80FB5">
              <w:rPr>
                <w:rFonts w:eastAsia="Times New Roman" w:cs="Arial"/>
                <w:color w:val="000000"/>
                <w:szCs w:val="22"/>
                <w:lang w:eastAsia="en-AU"/>
              </w:rPr>
              <w:t>Rockhampton</w:t>
            </w:r>
          </w:p>
        </w:tc>
        <w:tc>
          <w:tcPr>
            <w:tcW w:w="1098" w:type="dxa"/>
            <w:vAlign w:val="center"/>
            <w:hideMark/>
          </w:tcPr>
          <w:p w14:paraId="4A4305A3"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2,991</w:t>
            </w:r>
          </w:p>
        </w:tc>
        <w:tc>
          <w:tcPr>
            <w:tcW w:w="1099" w:type="dxa"/>
            <w:gridSpan w:val="2"/>
            <w:vAlign w:val="center"/>
            <w:hideMark/>
          </w:tcPr>
          <w:p w14:paraId="083C1C7A"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3,038</w:t>
            </w:r>
          </w:p>
        </w:tc>
        <w:tc>
          <w:tcPr>
            <w:tcW w:w="1099" w:type="dxa"/>
            <w:vAlign w:val="center"/>
            <w:hideMark/>
          </w:tcPr>
          <w:p w14:paraId="051D3B22"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664</w:t>
            </w:r>
          </w:p>
        </w:tc>
        <w:tc>
          <w:tcPr>
            <w:tcW w:w="1099" w:type="dxa"/>
            <w:vAlign w:val="center"/>
            <w:hideMark/>
          </w:tcPr>
          <w:p w14:paraId="4D722D6A"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704</w:t>
            </w:r>
          </w:p>
        </w:tc>
        <w:tc>
          <w:tcPr>
            <w:tcW w:w="1087" w:type="dxa"/>
            <w:vAlign w:val="center"/>
            <w:hideMark/>
          </w:tcPr>
          <w:p w14:paraId="30451FD7"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13</w:t>
            </w:r>
          </w:p>
        </w:tc>
        <w:tc>
          <w:tcPr>
            <w:tcW w:w="1087" w:type="dxa"/>
            <w:gridSpan w:val="2"/>
            <w:vAlign w:val="center"/>
            <w:hideMark/>
          </w:tcPr>
          <w:p w14:paraId="66E336E5"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13</w:t>
            </w:r>
          </w:p>
        </w:tc>
        <w:tc>
          <w:tcPr>
            <w:tcW w:w="1087" w:type="dxa"/>
            <w:vAlign w:val="center"/>
            <w:hideMark/>
          </w:tcPr>
          <w:p w14:paraId="35BDED72"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29</w:t>
            </w:r>
          </w:p>
        </w:tc>
        <w:tc>
          <w:tcPr>
            <w:tcW w:w="1088" w:type="dxa"/>
            <w:vAlign w:val="center"/>
            <w:hideMark/>
          </w:tcPr>
          <w:p w14:paraId="524B0ABA"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25</w:t>
            </w:r>
          </w:p>
        </w:tc>
      </w:tr>
      <w:tr w:rsidR="00A50633" w:rsidRPr="00F80FB5" w14:paraId="1A839A08" w14:textId="77777777" w:rsidTr="00CA21D1">
        <w:trPr>
          <w:trHeight w:val="571"/>
        </w:trPr>
        <w:tc>
          <w:tcPr>
            <w:tcW w:w="1696" w:type="dxa"/>
            <w:vAlign w:val="center"/>
            <w:hideMark/>
          </w:tcPr>
          <w:p w14:paraId="7C68AB4C" w14:textId="77777777" w:rsidR="00F80FB5" w:rsidRPr="00F80FB5" w:rsidRDefault="00F80FB5" w:rsidP="00F80FB5">
            <w:pPr>
              <w:rPr>
                <w:rFonts w:eastAsia="Times New Roman" w:cs="Arial"/>
                <w:color w:val="000000"/>
                <w:szCs w:val="22"/>
                <w:lang w:eastAsia="en-AU"/>
              </w:rPr>
            </w:pPr>
            <w:r w:rsidRPr="00F80FB5">
              <w:rPr>
                <w:rFonts w:eastAsia="Times New Roman" w:cs="Arial"/>
                <w:color w:val="000000"/>
                <w:szCs w:val="22"/>
                <w:lang w:eastAsia="en-AU"/>
              </w:rPr>
              <w:t>Sunshine Coast</w:t>
            </w:r>
          </w:p>
        </w:tc>
        <w:tc>
          <w:tcPr>
            <w:tcW w:w="1098" w:type="dxa"/>
            <w:vAlign w:val="center"/>
            <w:hideMark/>
          </w:tcPr>
          <w:p w14:paraId="5680838F"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11,044</w:t>
            </w:r>
          </w:p>
        </w:tc>
        <w:tc>
          <w:tcPr>
            <w:tcW w:w="1099" w:type="dxa"/>
            <w:gridSpan w:val="2"/>
            <w:vAlign w:val="center"/>
            <w:hideMark/>
          </w:tcPr>
          <w:p w14:paraId="1B43F605"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11,309</w:t>
            </w:r>
          </w:p>
        </w:tc>
        <w:tc>
          <w:tcPr>
            <w:tcW w:w="1099" w:type="dxa"/>
            <w:vAlign w:val="center"/>
            <w:hideMark/>
          </w:tcPr>
          <w:p w14:paraId="1941D4F7"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1,611</w:t>
            </w:r>
          </w:p>
        </w:tc>
        <w:tc>
          <w:tcPr>
            <w:tcW w:w="1099" w:type="dxa"/>
            <w:vAlign w:val="center"/>
            <w:hideMark/>
          </w:tcPr>
          <w:p w14:paraId="0D93D596"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1,664</w:t>
            </w:r>
          </w:p>
        </w:tc>
        <w:tc>
          <w:tcPr>
            <w:tcW w:w="1087" w:type="dxa"/>
            <w:vAlign w:val="center"/>
            <w:hideMark/>
          </w:tcPr>
          <w:p w14:paraId="7B758466"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40</w:t>
            </w:r>
          </w:p>
        </w:tc>
        <w:tc>
          <w:tcPr>
            <w:tcW w:w="1087" w:type="dxa"/>
            <w:gridSpan w:val="2"/>
            <w:vAlign w:val="center"/>
            <w:hideMark/>
          </w:tcPr>
          <w:p w14:paraId="66654400"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43</w:t>
            </w:r>
          </w:p>
        </w:tc>
        <w:tc>
          <w:tcPr>
            <w:tcW w:w="1087" w:type="dxa"/>
            <w:vAlign w:val="center"/>
            <w:hideMark/>
          </w:tcPr>
          <w:p w14:paraId="55EE9315"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63</w:t>
            </w:r>
          </w:p>
        </w:tc>
        <w:tc>
          <w:tcPr>
            <w:tcW w:w="1088" w:type="dxa"/>
            <w:vAlign w:val="center"/>
            <w:hideMark/>
          </w:tcPr>
          <w:p w14:paraId="3C8D79BA"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63</w:t>
            </w:r>
          </w:p>
        </w:tc>
      </w:tr>
      <w:tr w:rsidR="00A50633" w:rsidRPr="00F80FB5" w14:paraId="31FFCD1B" w14:textId="77777777" w:rsidTr="00CA21D1">
        <w:trPr>
          <w:trHeight w:val="303"/>
        </w:trPr>
        <w:tc>
          <w:tcPr>
            <w:tcW w:w="1696" w:type="dxa"/>
            <w:vAlign w:val="center"/>
            <w:hideMark/>
          </w:tcPr>
          <w:p w14:paraId="45B8E6FE" w14:textId="77777777" w:rsidR="00F80FB5" w:rsidRPr="00F80FB5" w:rsidRDefault="00F80FB5" w:rsidP="00F80FB5">
            <w:pPr>
              <w:rPr>
                <w:rFonts w:eastAsia="Times New Roman" w:cs="Arial"/>
                <w:color w:val="000000"/>
                <w:szCs w:val="22"/>
                <w:lang w:eastAsia="en-AU"/>
              </w:rPr>
            </w:pPr>
            <w:r w:rsidRPr="00F80FB5">
              <w:rPr>
                <w:rFonts w:eastAsia="Times New Roman" w:cs="Arial"/>
                <w:color w:val="000000"/>
                <w:szCs w:val="22"/>
                <w:lang w:eastAsia="en-AU"/>
              </w:rPr>
              <w:t>Toowoomba</w:t>
            </w:r>
          </w:p>
        </w:tc>
        <w:tc>
          <w:tcPr>
            <w:tcW w:w="1098" w:type="dxa"/>
            <w:vAlign w:val="center"/>
            <w:hideMark/>
          </w:tcPr>
          <w:p w14:paraId="6182800E"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6,217</w:t>
            </w:r>
          </w:p>
        </w:tc>
        <w:tc>
          <w:tcPr>
            <w:tcW w:w="1099" w:type="dxa"/>
            <w:gridSpan w:val="2"/>
            <w:vAlign w:val="center"/>
            <w:hideMark/>
          </w:tcPr>
          <w:p w14:paraId="6677747F"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6,415</w:t>
            </w:r>
          </w:p>
        </w:tc>
        <w:tc>
          <w:tcPr>
            <w:tcW w:w="1099" w:type="dxa"/>
            <w:vAlign w:val="center"/>
            <w:hideMark/>
          </w:tcPr>
          <w:p w14:paraId="0FBD1D0F"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1,096</w:t>
            </w:r>
          </w:p>
        </w:tc>
        <w:tc>
          <w:tcPr>
            <w:tcW w:w="1099" w:type="dxa"/>
            <w:vAlign w:val="center"/>
            <w:hideMark/>
          </w:tcPr>
          <w:p w14:paraId="651071A8"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1,194</w:t>
            </w:r>
          </w:p>
        </w:tc>
        <w:tc>
          <w:tcPr>
            <w:tcW w:w="1087" w:type="dxa"/>
            <w:vAlign w:val="center"/>
            <w:hideMark/>
          </w:tcPr>
          <w:p w14:paraId="42E5367D"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23</w:t>
            </w:r>
          </w:p>
        </w:tc>
        <w:tc>
          <w:tcPr>
            <w:tcW w:w="1087" w:type="dxa"/>
            <w:gridSpan w:val="2"/>
            <w:vAlign w:val="center"/>
            <w:hideMark/>
          </w:tcPr>
          <w:p w14:paraId="6E6827EF"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23</w:t>
            </w:r>
          </w:p>
        </w:tc>
        <w:tc>
          <w:tcPr>
            <w:tcW w:w="1087" w:type="dxa"/>
            <w:vAlign w:val="center"/>
            <w:hideMark/>
          </w:tcPr>
          <w:p w14:paraId="2CD0E374"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27</w:t>
            </w:r>
          </w:p>
        </w:tc>
        <w:tc>
          <w:tcPr>
            <w:tcW w:w="1088" w:type="dxa"/>
            <w:vAlign w:val="center"/>
            <w:hideMark/>
          </w:tcPr>
          <w:p w14:paraId="64B294B5"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29</w:t>
            </w:r>
          </w:p>
        </w:tc>
      </w:tr>
      <w:tr w:rsidR="00A50633" w:rsidRPr="00F80FB5" w14:paraId="062D7771" w14:textId="77777777" w:rsidTr="00CA21D1">
        <w:trPr>
          <w:trHeight w:val="303"/>
        </w:trPr>
        <w:tc>
          <w:tcPr>
            <w:tcW w:w="1696" w:type="dxa"/>
            <w:vAlign w:val="center"/>
            <w:hideMark/>
          </w:tcPr>
          <w:p w14:paraId="3D6C471F" w14:textId="77777777" w:rsidR="00F80FB5" w:rsidRPr="00F80FB5" w:rsidRDefault="00F80FB5" w:rsidP="00F80FB5">
            <w:pPr>
              <w:rPr>
                <w:rFonts w:eastAsia="Times New Roman" w:cs="Arial"/>
                <w:color w:val="000000"/>
                <w:szCs w:val="22"/>
                <w:lang w:eastAsia="en-AU"/>
              </w:rPr>
            </w:pPr>
            <w:r w:rsidRPr="00F80FB5">
              <w:rPr>
                <w:rFonts w:eastAsia="Times New Roman" w:cs="Arial"/>
                <w:color w:val="000000"/>
                <w:szCs w:val="22"/>
                <w:lang w:eastAsia="en-AU"/>
              </w:rPr>
              <w:t>Townsville</w:t>
            </w:r>
          </w:p>
        </w:tc>
        <w:tc>
          <w:tcPr>
            <w:tcW w:w="1098" w:type="dxa"/>
            <w:vAlign w:val="center"/>
            <w:hideMark/>
          </w:tcPr>
          <w:p w14:paraId="7DF14095"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3,922</w:t>
            </w:r>
          </w:p>
        </w:tc>
        <w:tc>
          <w:tcPr>
            <w:tcW w:w="1099" w:type="dxa"/>
            <w:gridSpan w:val="2"/>
            <w:vAlign w:val="center"/>
            <w:hideMark/>
          </w:tcPr>
          <w:p w14:paraId="2B47898B"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3,976</w:t>
            </w:r>
          </w:p>
        </w:tc>
        <w:tc>
          <w:tcPr>
            <w:tcW w:w="1099" w:type="dxa"/>
            <w:vAlign w:val="center"/>
            <w:hideMark/>
          </w:tcPr>
          <w:p w14:paraId="7274653F"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732</w:t>
            </w:r>
          </w:p>
        </w:tc>
        <w:tc>
          <w:tcPr>
            <w:tcW w:w="1099" w:type="dxa"/>
            <w:vAlign w:val="center"/>
            <w:hideMark/>
          </w:tcPr>
          <w:p w14:paraId="765D1439"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760</w:t>
            </w:r>
          </w:p>
        </w:tc>
        <w:tc>
          <w:tcPr>
            <w:tcW w:w="1087" w:type="dxa"/>
            <w:vAlign w:val="center"/>
            <w:hideMark/>
          </w:tcPr>
          <w:p w14:paraId="6BDDD61A"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16</w:t>
            </w:r>
          </w:p>
        </w:tc>
        <w:tc>
          <w:tcPr>
            <w:tcW w:w="1087" w:type="dxa"/>
            <w:gridSpan w:val="2"/>
            <w:vAlign w:val="center"/>
            <w:hideMark/>
          </w:tcPr>
          <w:p w14:paraId="386B85FA"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16</w:t>
            </w:r>
          </w:p>
        </w:tc>
        <w:tc>
          <w:tcPr>
            <w:tcW w:w="1087" w:type="dxa"/>
            <w:vAlign w:val="center"/>
            <w:hideMark/>
          </w:tcPr>
          <w:p w14:paraId="0FFF9C45"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33</w:t>
            </w:r>
          </w:p>
        </w:tc>
        <w:tc>
          <w:tcPr>
            <w:tcW w:w="1088" w:type="dxa"/>
            <w:vAlign w:val="center"/>
            <w:hideMark/>
          </w:tcPr>
          <w:p w14:paraId="5C1AAB60" w14:textId="77777777" w:rsidR="00F80FB5" w:rsidRPr="00F80FB5" w:rsidRDefault="00F80FB5" w:rsidP="005132AE">
            <w:pPr>
              <w:rPr>
                <w:rFonts w:eastAsia="Times New Roman" w:cs="Arial"/>
                <w:color w:val="000000"/>
                <w:szCs w:val="22"/>
                <w:lang w:eastAsia="en-AU"/>
              </w:rPr>
            </w:pPr>
            <w:r w:rsidRPr="00F80FB5">
              <w:rPr>
                <w:rFonts w:eastAsia="Times New Roman" w:cs="Arial"/>
                <w:color w:val="000000"/>
                <w:szCs w:val="22"/>
                <w:lang w:eastAsia="en-AU"/>
              </w:rPr>
              <w:t>32</w:t>
            </w:r>
          </w:p>
        </w:tc>
      </w:tr>
      <w:tr w:rsidR="00A50633" w:rsidRPr="00F80FB5" w14:paraId="3DB82CF4" w14:textId="77777777" w:rsidTr="00CA21D1">
        <w:trPr>
          <w:trHeight w:val="303"/>
        </w:trPr>
        <w:tc>
          <w:tcPr>
            <w:tcW w:w="1696" w:type="dxa"/>
            <w:vAlign w:val="center"/>
            <w:hideMark/>
          </w:tcPr>
          <w:p w14:paraId="194BDD4E" w14:textId="679C8A70" w:rsidR="00F80FB5" w:rsidRPr="00F80FB5" w:rsidRDefault="00F80FB5" w:rsidP="00EB7B44">
            <w:pPr>
              <w:jc w:val="right"/>
              <w:rPr>
                <w:rFonts w:eastAsia="Times New Roman" w:cs="Arial"/>
                <w:color w:val="000000"/>
                <w:szCs w:val="22"/>
                <w:lang w:eastAsia="en-AU"/>
              </w:rPr>
            </w:pPr>
            <w:r w:rsidRPr="00F80FB5">
              <w:rPr>
                <w:rFonts w:eastAsia="Times New Roman" w:cs="Arial"/>
                <w:color w:val="000000"/>
                <w:szCs w:val="22"/>
                <w:lang w:eastAsia="en-AU"/>
              </w:rPr>
              <w:t> </w:t>
            </w:r>
            <w:r w:rsidR="00940B48">
              <w:rPr>
                <w:rFonts w:eastAsia="Times New Roman" w:cs="Arial"/>
                <w:color w:val="000000"/>
                <w:szCs w:val="22"/>
                <w:lang w:eastAsia="en-AU"/>
              </w:rPr>
              <w:t>Total</w:t>
            </w:r>
          </w:p>
        </w:tc>
        <w:tc>
          <w:tcPr>
            <w:tcW w:w="1098" w:type="dxa"/>
            <w:vAlign w:val="center"/>
            <w:hideMark/>
          </w:tcPr>
          <w:p w14:paraId="0E75B61B" w14:textId="77777777" w:rsidR="00F80FB5" w:rsidRPr="00E47813" w:rsidRDefault="00F80FB5" w:rsidP="005132AE">
            <w:pPr>
              <w:rPr>
                <w:rFonts w:eastAsia="Times New Roman" w:cs="Arial"/>
                <w:color w:val="000000"/>
                <w:szCs w:val="22"/>
                <w:lang w:eastAsia="en-AU"/>
              </w:rPr>
            </w:pPr>
            <w:r w:rsidRPr="00E47813">
              <w:rPr>
                <w:rFonts w:eastAsia="Times New Roman" w:cs="Arial"/>
                <w:color w:val="000000"/>
                <w:szCs w:val="22"/>
                <w:lang w:eastAsia="en-AU"/>
              </w:rPr>
              <w:t>100,693</w:t>
            </w:r>
          </w:p>
        </w:tc>
        <w:tc>
          <w:tcPr>
            <w:tcW w:w="1099" w:type="dxa"/>
            <w:gridSpan w:val="2"/>
            <w:vAlign w:val="center"/>
            <w:hideMark/>
          </w:tcPr>
          <w:p w14:paraId="54D7E932" w14:textId="77777777" w:rsidR="00F80FB5" w:rsidRPr="00E47813" w:rsidRDefault="00F80FB5" w:rsidP="005132AE">
            <w:pPr>
              <w:rPr>
                <w:rFonts w:eastAsia="Times New Roman" w:cs="Arial"/>
                <w:color w:val="000000"/>
                <w:szCs w:val="22"/>
                <w:lang w:eastAsia="en-AU"/>
              </w:rPr>
            </w:pPr>
            <w:r w:rsidRPr="00E47813">
              <w:rPr>
                <w:rFonts w:eastAsia="Times New Roman" w:cs="Arial"/>
                <w:color w:val="000000"/>
                <w:szCs w:val="22"/>
                <w:lang w:eastAsia="en-AU"/>
              </w:rPr>
              <w:t>104,183</w:t>
            </w:r>
          </w:p>
        </w:tc>
        <w:tc>
          <w:tcPr>
            <w:tcW w:w="1099" w:type="dxa"/>
            <w:vAlign w:val="center"/>
            <w:hideMark/>
          </w:tcPr>
          <w:p w14:paraId="7A1A16A0" w14:textId="77777777" w:rsidR="00F80FB5" w:rsidRPr="00E47813" w:rsidRDefault="00F80FB5" w:rsidP="005132AE">
            <w:pPr>
              <w:rPr>
                <w:rFonts w:eastAsia="Times New Roman" w:cs="Arial"/>
                <w:color w:val="000000"/>
                <w:szCs w:val="22"/>
                <w:lang w:eastAsia="en-AU"/>
              </w:rPr>
            </w:pPr>
            <w:r w:rsidRPr="00E47813">
              <w:rPr>
                <w:rFonts w:eastAsia="Times New Roman" w:cs="Arial"/>
                <w:color w:val="000000"/>
                <w:szCs w:val="22"/>
                <w:lang w:eastAsia="en-AU"/>
              </w:rPr>
              <w:t>17,055</w:t>
            </w:r>
          </w:p>
        </w:tc>
        <w:tc>
          <w:tcPr>
            <w:tcW w:w="1099" w:type="dxa"/>
            <w:vAlign w:val="center"/>
            <w:hideMark/>
          </w:tcPr>
          <w:p w14:paraId="55E2F4CE" w14:textId="77777777" w:rsidR="00F80FB5" w:rsidRPr="00E47813" w:rsidRDefault="00F80FB5" w:rsidP="005132AE">
            <w:pPr>
              <w:rPr>
                <w:rFonts w:eastAsia="Times New Roman" w:cs="Arial"/>
                <w:color w:val="000000"/>
                <w:szCs w:val="22"/>
                <w:lang w:eastAsia="en-AU"/>
              </w:rPr>
            </w:pPr>
            <w:r w:rsidRPr="00E47813">
              <w:rPr>
                <w:rFonts w:eastAsia="Times New Roman" w:cs="Arial"/>
                <w:color w:val="000000"/>
                <w:szCs w:val="22"/>
                <w:lang w:eastAsia="en-AU"/>
              </w:rPr>
              <w:t>17,538</w:t>
            </w:r>
          </w:p>
        </w:tc>
        <w:tc>
          <w:tcPr>
            <w:tcW w:w="1087" w:type="dxa"/>
            <w:vAlign w:val="center"/>
            <w:hideMark/>
          </w:tcPr>
          <w:p w14:paraId="7ED66643" w14:textId="77777777" w:rsidR="00F80FB5" w:rsidRPr="00E47813" w:rsidRDefault="00F80FB5" w:rsidP="005132AE">
            <w:pPr>
              <w:rPr>
                <w:rFonts w:eastAsia="Times New Roman" w:cs="Arial"/>
                <w:color w:val="000000"/>
                <w:szCs w:val="22"/>
                <w:lang w:eastAsia="en-AU"/>
              </w:rPr>
            </w:pPr>
            <w:r w:rsidRPr="00E47813">
              <w:rPr>
                <w:rFonts w:eastAsia="Times New Roman" w:cs="Arial"/>
                <w:color w:val="000000"/>
                <w:szCs w:val="22"/>
                <w:lang w:eastAsia="en-AU"/>
              </w:rPr>
              <w:t>520</w:t>
            </w:r>
          </w:p>
        </w:tc>
        <w:tc>
          <w:tcPr>
            <w:tcW w:w="1087" w:type="dxa"/>
            <w:gridSpan w:val="2"/>
            <w:vAlign w:val="center"/>
            <w:hideMark/>
          </w:tcPr>
          <w:p w14:paraId="021E19F8" w14:textId="77777777" w:rsidR="00F80FB5" w:rsidRPr="00E47813" w:rsidRDefault="00F80FB5" w:rsidP="005132AE">
            <w:pPr>
              <w:rPr>
                <w:rFonts w:eastAsia="Times New Roman" w:cs="Arial"/>
                <w:color w:val="000000"/>
                <w:szCs w:val="22"/>
                <w:lang w:eastAsia="en-AU"/>
              </w:rPr>
            </w:pPr>
            <w:r w:rsidRPr="00E47813">
              <w:rPr>
                <w:rFonts w:eastAsia="Times New Roman" w:cs="Arial"/>
                <w:color w:val="000000"/>
                <w:szCs w:val="22"/>
                <w:lang w:eastAsia="en-AU"/>
              </w:rPr>
              <w:t>502</w:t>
            </w:r>
          </w:p>
        </w:tc>
        <w:tc>
          <w:tcPr>
            <w:tcW w:w="1087" w:type="dxa"/>
            <w:vAlign w:val="center"/>
            <w:hideMark/>
          </w:tcPr>
          <w:p w14:paraId="57D6FBDC" w14:textId="77777777" w:rsidR="00F80FB5" w:rsidRPr="00E47813" w:rsidRDefault="00F80FB5" w:rsidP="005132AE">
            <w:pPr>
              <w:rPr>
                <w:rFonts w:eastAsia="Times New Roman" w:cs="Arial"/>
                <w:color w:val="000000"/>
                <w:szCs w:val="22"/>
                <w:lang w:eastAsia="en-AU"/>
              </w:rPr>
            </w:pPr>
            <w:r w:rsidRPr="00E47813">
              <w:rPr>
                <w:rFonts w:eastAsia="Times New Roman" w:cs="Arial"/>
                <w:color w:val="000000"/>
                <w:szCs w:val="22"/>
                <w:lang w:eastAsia="en-AU"/>
              </w:rPr>
              <w:t>494</w:t>
            </w:r>
          </w:p>
        </w:tc>
        <w:tc>
          <w:tcPr>
            <w:tcW w:w="1088" w:type="dxa"/>
            <w:vAlign w:val="center"/>
            <w:hideMark/>
          </w:tcPr>
          <w:p w14:paraId="6D890CAD" w14:textId="5015F1D5" w:rsidR="00F80FB5" w:rsidRPr="00E47813" w:rsidRDefault="00F80FB5" w:rsidP="005132AE">
            <w:pPr>
              <w:rPr>
                <w:rFonts w:eastAsia="Times New Roman" w:cs="Arial"/>
                <w:color w:val="000000"/>
                <w:lang w:eastAsia="en-AU"/>
              </w:rPr>
            </w:pPr>
            <w:r w:rsidRPr="0848DE62">
              <w:rPr>
                <w:rFonts w:eastAsia="Times New Roman" w:cs="Arial"/>
                <w:color w:val="000000"/>
                <w:lang w:eastAsia="en-AU"/>
              </w:rPr>
              <w:t>491</w:t>
            </w:r>
          </w:p>
        </w:tc>
      </w:tr>
    </w:tbl>
    <w:p w14:paraId="1244ADED" w14:textId="4C126B9A" w:rsidR="00394CF7" w:rsidRDefault="00394CF7">
      <w:pPr>
        <w:rPr>
          <w:rFonts w:eastAsiaTheme="majorEastAsia" w:cstheme="majorBidi"/>
          <w:b/>
          <w:sz w:val="28"/>
        </w:rPr>
      </w:pPr>
    </w:p>
    <w:bookmarkStart w:id="28" w:name="_Operational_highlights_1"/>
    <w:bookmarkEnd w:id="28"/>
    <w:p w14:paraId="3AA9B461" w14:textId="40C3C81F" w:rsidR="001E16E8" w:rsidRDefault="000D6AFA">
      <w:pPr>
        <w:rPr>
          <w:rFonts w:cs="Arial"/>
        </w:rPr>
      </w:pPr>
      <w:r>
        <w:fldChar w:fldCharType="begin"/>
      </w:r>
      <w:r>
        <w:instrText>SEQ Figure \* ARABIC</w:instrText>
      </w:r>
      <w:r>
        <w:fldChar w:fldCharType="separate"/>
      </w:r>
      <w:r>
        <w:fldChar w:fldCharType="end"/>
      </w:r>
    </w:p>
    <w:p w14:paraId="35993B31" w14:textId="77777777" w:rsidR="001E0F9B" w:rsidRDefault="001E0F9B" w:rsidP="001E0F9B"/>
    <w:p w14:paraId="279A738D" w14:textId="77777777" w:rsidR="001E0F9B" w:rsidRDefault="001E0F9B">
      <w:pPr>
        <w:rPr>
          <w:rFonts w:eastAsiaTheme="majorEastAsia" w:cs="Arial"/>
          <w:sz w:val="48"/>
          <w:szCs w:val="32"/>
        </w:rPr>
      </w:pPr>
      <w:r>
        <w:rPr>
          <w:rFonts w:cs="Arial"/>
        </w:rPr>
        <w:br w:type="page"/>
      </w:r>
    </w:p>
    <w:p w14:paraId="54A900BA" w14:textId="528085D1" w:rsidR="003F0706" w:rsidRDefault="6599D0CD" w:rsidP="003069C5">
      <w:pPr>
        <w:pStyle w:val="Heading1"/>
        <w:rPr>
          <w:rFonts w:cs="Arial"/>
        </w:rPr>
      </w:pPr>
      <w:bookmarkStart w:id="29" w:name="_Toc206493012"/>
      <w:r w:rsidRPr="1AA49AC8">
        <w:rPr>
          <w:rFonts w:cs="Arial"/>
        </w:rPr>
        <w:lastRenderedPageBreak/>
        <w:t>R</w:t>
      </w:r>
      <w:r w:rsidR="0061539C" w:rsidRPr="1AA49AC8">
        <w:rPr>
          <w:rFonts w:cs="Arial"/>
        </w:rPr>
        <w:t>esponsibilities</w:t>
      </w:r>
      <w:bookmarkEnd w:id="29"/>
      <w:r w:rsidR="00866888" w:rsidRPr="1AA49AC8">
        <w:rPr>
          <w:rFonts w:cs="Arial"/>
        </w:rPr>
        <w:t xml:space="preserve"> </w:t>
      </w:r>
    </w:p>
    <w:p w14:paraId="460A7B9E" w14:textId="6DCC8BB4" w:rsidR="00175E48" w:rsidRPr="004A2C19" w:rsidRDefault="003F0706" w:rsidP="003F0706">
      <w:r w:rsidRPr="003F0706">
        <w:t>(</w:t>
      </w:r>
      <w:r w:rsidR="00DB755B">
        <w:t xml:space="preserve">Alignment with the QBCC </w:t>
      </w:r>
      <w:r w:rsidR="00CB230B">
        <w:t xml:space="preserve">Strategic </w:t>
      </w:r>
      <w:r w:rsidRPr="003F0706">
        <w:t xml:space="preserve">Objective </w:t>
      </w:r>
      <w:r>
        <w:t xml:space="preserve">1, </w:t>
      </w:r>
      <w:r w:rsidR="00CB230B">
        <w:t xml:space="preserve">Strategic </w:t>
      </w:r>
      <w:r w:rsidRPr="003F0706">
        <w:t>Objective 2</w:t>
      </w:r>
      <w:r w:rsidR="00CB230B">
        <w:t xml:space="preserve"> and Strategic</w:t>
      </w:r>
      <w:r w:rsidR="003811A3">
        <w:t xml:space="preserve"> </w:t>
      </w:r>
      <w:r w:rsidRPr="003F0706">
        <w:t>Objective 3)</w:t>
      </w:r>
    </w:p>
    <w:p w14:paraId="7CD9E4F1" w14:textId="77777777" w:rsidR="004B0CC3" w:rsidRPr="004A2C19" w:rsidRDefault="004B0CC3" w:rsidP="004B0CC3">
      <w:pPr>
        <w:rPr>
          <w:rFonts w:cs="Arial"/>
        </w:rPr>
      </w:pPr>
    </w:p>
    <w:p w14:paraId="2396280A" w14:textId="77777777" w:rsidR="00632934" w:rsidRDefault="00632934">
      <w:pPr>
        <w:rPr>
          <w:rFonts w:eastAsiaTheme="majorEastAsia" w:cstheme="majorBidi"/>
          <w:bCs/>
          <w:sz w:val="32"/>
          <w:szCs w:val="32"/>
        </w:rPr>
      </w:pPr>
      <w:r>
        <w:br w:type="page"/>
      </w:r>
    </w:p>
    <w:p w14:paraId="738B938D" w14:textId="3844F2A2" w:rsidR="00C01886" w:rsidRDefault="00C01886" w:rsidP="007C3502">
      <w:pPr>
        <w:pStyle w:val="Heading2"/>
      </w:pPr>
      <w:bookmarkStart w:id="30" w:name="_Licensing"/>
      <w:bookmarkStart w:id="31" w:name="_Toc206493013"/>
      <w:bookmarkEnd w:id="30"/>
      <w:r w:rsidRPr="004A2C19">
        <w:lastRenderedPageBreak/>
        <w:t>Licensing</w:t>
      </w:r>
      <w:bookmarkEnd w:id="31"/>
    </w:p>
    <w:p w14:paraId="331035C1" w14:textId="2ED8BAA1" w:rsidR="00471C2B" w:rsidRDefault="00DD275C" w:rsidP="008B6D14">
      <w:pPr>
        <w:spacing w:before="120" w:after="120"/>
      </w:pPr>
      <w:r>
        <w:t>T</w:t>
      </w:r>
      <w:r w:rsidR="000B33D9" w:rsidRPr="000B33D9">
        <w:t>he</w:t>
      </w:r>
      <w:r w:rsidDel="003C7766">
        <w:t xml:space="preserve"> </w:t>
      </w:r>
      <w:r w:rsidR="00E964B1">
        <w:t>QBCC</w:t>
      </w:r>
      <w:r>
        <w:t xml:space="preserve"> is responsible </w:t>
      </w:r>
      <w:r w:rsidR="00F8351F">
        <w:t>for administering a comprehensive licensing framework</w:t>
      </w:r>
      <w:r w:rsidR="000B33D9" w:rsidRPr="000B33D9">
        <w:t xml:space="preserve"> </w:t>
      </w:r>
      <w:r w:rsidR="00AF2195">
        <w:t xml:space="preserve">under the QBCC </w:t>
      </w:r>
      <w:r w:rsidR="000B33D9" w:rsidRPr="000B33D9">
        <w:t>Act</w:t>
      </w:r>
      <w:r w:rsidR="00E42121">
        <w:t xml:space="preserve">, </w:t>
      </w:r>
      <w:r w:rsidR="00E42121" w:rsidRPr="00E42121">
        <w:t>PD Act and Building Act</w:t>
      </w:r>
      <w:r w:rsidR="007C08C6">
        <w:t xml:space="preserve"> that </w:t>
      </w:r>
      <w:r w:rsidR="009A62D2">
        <w:t xml:space="preserve">ensures </w:t>
      </w:r>
      <w:r w:rsidR="00C0534D">
        <w:t xml:space="preserve">individuals and </w:t>
      </w:r>
      <w:r w:rsidR="004E6B92">
        <w:t>companies</w:t>
      </w:r>
      <w:r w:rsidR="00C0534D">
        <w:t xml:space="preserve"> </w:t>
      </w:r>
      <w:r w:rsidR="004B6947">
        <w:t xml:space="preserve">possess the </w:t>
      </w:r>
      <w:r w:rsidR="00F32D19">
        <w:t>necessary</w:t>
      </w:r>
      <w:r w:rsidR="004667AC">
        <w:t xml:space="preserve"> </w:t>
      </w:r>
      <w:r w:rsidR="009E3EA5">
        <w:t xml:space="preserve">qualifications, </w:t>
      </w:r>
      <w:r w:rsidR="009C6726">
        <w:t xml:space="preserve">experience and financial </w:t>
      </w:r>
      <w:r w:rsidR="0003485E">
        <w:t xml:space="preserve">stability to operate </w:t>
      </w:r>
      <w:r w:rsidR="000A0166">
        <w:t>within the industry</w:t>
      </w:r>
      <w:r w:rsidR="009C6726">
        <w:t xml:space="preserve">. </w:t>
      </w:r>
      <w:r w:rsidR="003C7766">
        <w:t>Its</w:t>
      </w:r>
      <w:r w:rsidR="00385834">
        <w:t xml:space="preserve"> licensing framework </w:t>
      </w:r>
      <w:r w:rsidR="00DC7DDC">
        <w:t>covers</w:t>
      </w:r>
      <w:r w:rsidR="007A784C">
        <w:t xml:space="preserve"> a </w:t>
      </w:r>
      <w:r w:rsidR="00DC7DDC">
        <w:t>wide</w:t>
      </w:r>
      <w:r w:rsidR="007A784C">
        <w:t xml:space="preserve"> range of </w:t>
      </w:r>
      <w:r w:rsidR="00181D1E">
        <w:t>operators</w:t>
      </w:r>
      <w:r w:rsidR="007A784C">
        <w:t xml:space="preserve">, </w:t>
      </w:r>
      <w:r w:rsidR="00E22B7E">
        <w:t>including builders, contractors</w:t>
      </w:r>
      <w:r w:rsidR="005951B5">
        <w:t xml:space="preserve">, </w:t>
      </w:r>
      <w:r w:rsidR="00E22B7E">
        <w:t>subcontractors</w:t>
      </w:r>
      <w:r w:rsidR="005951B5">
        <w:t>, fire protection professionals, mechanical service</w:t>
      </w:r>
      <w:r w:rsidR="00840B38">
        <w:t>s</w:t>
      </w:r>
      <w:r w:rsidR="005951B5">
        <w:t xml:space="preserve"> pro</w:t>
      </w:r>
      <w:r w:rsidR="00840B38">
        <w:t>fessionals</w:t>
      </w:r>
      <w:r w:rsidR="005951B5">
        <w:t>, plumbers</w:t>
      </w:r>
      <w:r w:rsidR="007D18CB">
        <w:t xml:space="preserve">, </w:t>
      </w:r>
      <w:r w:rsidR="460A0BE7">
        <w:t xml:space="preserve">drainers, </w:t>
      </w:r>
      <w:r w:rsidR="007D18CB">
        <w:t xml:space="preserve">building certifiers and </w:t>
      </w:r>
      <w:r w:rsidR="004A147B">
        <w:t>PSIs</w:t>
      </w:r>
      <w:r w:rsidR="007D18CB">
        <w:t xml:space="preserve">. </w:t>
      </w:r>
    </w:p>
    <w:p w14:paraId="362BB785" w14:textId="1A64CAFC" w:rsidR="0011179D" w:rsidRPr="00B60AD7" w:rsidRDefault="00D94FA2" w:rsidP="008B6D14">
      <w:pPr>
        <w:spacing w:before="120" w:after="120"/>
        <w:rPr>
          <w:rFonts w:cs="Arial"/>
        </w:rPr>
      </w:pPr>
      <w:r>
        <w:t xml:space="preserve">To </w:t>
      </w:r>
      <w:r w:rsidR="008C1040">
        <w:t>further</w:t>
      </w:r>
      <w:r>
        <w:t xml:space="preserve"> strengthen licensing oversight, the QBCC</w:t>
      </w:r>
      <w:r w:rsidR="0095054F">
        <w:t xml:space="preserve"> collaborates </w:t>
      </w:r>
      <w:r w:rsidR="0095054F" w:rsidRPr="7E4EA285">
        <w:rPr>
          <w:rFonts w:eastAsiaTheme="majorEastAsia" w:cs="Arial"/>
        </w:rPr>
        <w:t xml:space="preserve">with a range of national and state </w:t>
      </w:r>
      <w:r w:rsidR="00A9492F" w:rsidRPr="7E4EA285">
        <w:rPr>
          <w:rFonts w:eastAsiaTheme="majorEastAsia" w:cs="Arial"/>
        </w:rPr>
        <w:t>bodies</w:t>
      </w:r>
      <w:r w:rsidR="00005923">
        <w:rPr>
          <w:rFonts w:eastAsiaTheme="majorEastAsia" w:cs="Arial"/>
        </w:rPr>
        <w:t xml:space="preserve"> and forums</w:t>
      </w:r>
      <w:r w:rsidR="0095054F" w:rsidRPr="7E4EA285">
        <w:rPr>
          <w:rFonts w:eastAsiaTheme="majorEastAsia" w:cs="Arial"/>
        </w:rPr>
        <w:t>:</w:t>
      </w:r>
    </w:p>
    <w:p w14:paraId="462C4C72" w14:textId="524E9090" w:rsidR="0011179D" w:rsidRPr="00DA3D21" w:rsidRDefault="0011179D" w:rsidP="00BD69F7">
      <w:pPr>
        <w:pStyle w:val="ListParagraph"/>
        <w:numPr>
          <w:ilvl w:val="0"/>
          <w:numId w:val="20"/>
        </w:numPr>
        <w:spacing w:before="120" w:after="120"/>
        <w:ind w:left="714" w:hanging="357"/>
        <w:contextualSpacing w:val="0"/>
        <w:rPr>
          <w:rFonts w:cs="Arial"/>
        </w:rPr>
      </w:pPr>
      <w:r w:rsidRPr="7E4EA285">
        <w:rPr>
          <w:rFonts w:cs="Arial"/>
          <w:b/>
        </w:rPr>
        <w:t>Australian Skills Quality Authority</w:t>
      </w:r>
      <w:r w:rsidR="00D82694">
        <w:rPr>
          <w:rFonts w:cs="Arial"/>
          <w:b/>
        </w:rPr>
        <w:t>:</w:t>
      </w:r>
      <w:r w:rsidR="005F587D" w:rsidRPr="7E4EA285">
        <w:rPr>
          <w:rFonts w:cs="Arial"/>
        </w:rPr>
        <w:t xml:space="preserve"> </w:t>
      </w:r>
      <w:r w:rsidR="6D5FBFC3" w:rsidRPr="6DDFD6BC">
        <w:rPr>
          <w:rFonts w:cs="Arial"/>
        </w:rPr>
        <w:t xml:space="preserve">Regulates Registered Training Organisations </w:t>
      </w:r>
      <w:r w:rsidR="27969853" w:rsidRPr="4E899A7E">
        <w:rPr>
          <w:rFonts w:cs="Arial"/>
        </w:rPr>
        <w:t>(RTOs)</w:t>
      </w:r>
      <w:r w:rsidR="6D5FBFC3" w:rsidRPr="4E899A7E">
        <w:rPr>
          <w:rFonts w:cs="Arial"/>
        </w:rPr>
        <w:t xml:space="preserve"> </w:t>
      </w:r>
      <w:r w:rsidR="6D5FBFC3" w:rsidRPr="6DDFD6BC">
        <w:rPr>
          <w:rFonts w:cs="Arial"/>
        </w:rPr>
        <w:t xml:space="preserve">and </w:t>
      </w:r>
      <w:r w:rsidR="6D5FBFC3" w:rsidRPr="78BF7AA4">
        <w:rPr>
          <w:rFonts w:cs="Arial"/>
        </w:rPr>
        <w:t xml:space="preserve">provides advice in relation to </w:t>
      </w:r>
      <w:r w:rsidR="008043F1" w:rsidRPr="7E4EA285">
        <w:rPr>
          <w:rFonts w:cs="Arial"/>
        </w:rPr>
        <w:t>fraudulent</w:t>
      </w:r>
      <w:r w:rsidRPr="7E4EA285">
        <w:rPr>
          <w:rFonts w:cs="Arial"/>
        </w:rPr>
        <w:t xml:space="preserve"> qualifications </w:t>
      </w:r>
      <w:r w:rsidR="4847DEDE" w:rsidRPr="1EBF8F93">
        <w:rPr>
          <w:rFonts w:cs="Arial"/>
        </w:rPr>
        <w:t xml:space="preserve">including </w:t>
      </w:r>
      <w:r w:rsidR="4847DEDE" w:rsidRPr="3A95B739">
        <w:rPr>
          <w:rFonts w:cs="Arial"/>
        </w:rPr>
        <w:t>when</w:t>
      </w:r>
      <w:r w:rsidR="4847DEDE" w:rsidRPr="1EBF8F93">
        <w:rPr>
          <w:rFonts w:cs="Arial"/>
        </w:rPr>
        <w:t xml:space="preserve"> issued by </w:t>
      </w:r>
      <w:r w:rsidR="4847DEDE" w:rsidRPr="3A95B739">
        <w:rPr>
          <w:rFonts w:cs="Arial"/>
        </w:rPr>
        <w:t>RTOs</w:t>
      </w:r>
      <w:r w:rsidR="00DE20C5">
        <w:rPr>
          <w:rFonts w:cs="Arial"/>
        </w:rPr>
        <w:t>.</w:t>
      </w:r>
      <w:r w:rsidRPr="1EBF8F93">
        <w:rPr>
          <w:rFonts w:cs="Arial"/>
        </w:rPr>
        <w:t xml:space="preserve"> </w:t>
      </w:r>
    </w:p>
    <w:p w14:paraId="2C7D972B" w14:textId="4B7C8B5A" w:rsidR="0011179D" w:rsidRDefault="00D515E6" w:rsidP="00BD69F7">
      <w:pPr>
        <w:pStyle w:val="ListParagraph"/>
        <w:numPr>
          <w:ilvl w:val="0"/>
          <w:numId w:val="20"/>
        </w:numPr>
        <w:spacing w:before="120" w:after="120"/>
        <w:ind w:left="714" w:hanging="357"/>
        <w:contextualSpacing w:val="0"/>
        <w:rPr>
          <w:rFonts w:cs="Arial"/>
        </w:rPr>
      </w:pPr>
      <w:r w:rsidRPr="00D515E6">
        <w:rPr>
          <w:rFonts w:cs="Arial"/>
          <w:b/>
          <w:bCs/>
        </w:rPr>
        <w:t>Department of Customer Services, Open Data and Small and Family Business</w:t>
      </w:r>
      <w:r w:rsidR="00D82694">
        <w:rPr>
          <w:rFonts w:cs="Arial"/>
          <w:b/>
        </w:rPr>
        <w:t>:</w:t>
      </w:r>
      <w:r w:rsidR="00911D6B" w:rsidRPr="7E4EA285">
        <w:rPr>
          <w:rFonts w:cs="Arial"/>
        </w:rPr>
        <w:t xml:space="preserve"> </w:t>
      </w:r>
      <w:r w:rsidR="00355EEC" w:rsidRPr="7E4EA285">
        <w:rPr>
          <w:rFonts w:cs="Arial"/>
        </w:rPr>
        <w:t>Support</w:t>
      </w:r>
      <w:r w:rsidR="00DC5A86" w:rsidRPr="7E4EA285">
        <w:rPr>
          <w:rFonts w:cs="Arial"/>
        </w:rPr>
        <w:t>s</w:t>
      </w:r>
      <w:r w:rsidR="00355EEC" w:rsidRPr="7E4EA285">
        <w:rPr>
          <w:rFonts w:cs="Arial"/>
        </w:rPr>
        <w:t xml:space="preserve"> </w:t>
      </w:r>
      <w:r w:rsidR="00EF7056" w:rsidRPr="7E4EA285">
        <w:rPr>
          <w:rFonts w:cs="Arial"/>
        </w:rPr>
        <w:t xml:space="preserve">the </w:t>
      </w:r>
      <w:r w:rsidR="00280340">
        <w:rPr>
          <w:rFonts w:cs="Arial"/>
        </w:rPr>
        <w:t xml:space="preserve">development of </w:t>
      </w:r>
      <w:r w:rsidR="0011179D" w:rsidRPr="7E4EA285">
        <w:rPr>
          <w:rFonts w:cs="Arial"/>
        </w:rPr>
        <w:t xml:space="preserve">digital </w:t>
      </w:r>
      <w:r w:rsidR="00EF7056" w:rsidRPr="7E4EA285">
        <w:rPr>
          <w:rFonts w:cs="Arial"/>
        </w:rPr>
        <w:t>licen</w:t>
      </w:r>
      <w:r w:rsidR="00280340">
        <w:rPr>
          <w:rFonts w:cs="Arial"/>
        </w:rPr>
        <w:t>sing</w:t>
      </w:r>
      <w:r w:rsidR="00EF7056" w:rsidRPr="7E4EA285">
        <w:rPr>
          <w:rFonts w:cs="Arial"/>
        </w:rPr>
        <w:t xml:space="preserve"> and photo-ID licence cards to </w:t>
      </w:r>
      <w:r w:rsidR="002825C5" w:rsidRPr="7E4EA285">
        <w:rPr>
          <w:rFonts w:cs="Arial"/>
        </w:rPr>
        <w:t>enhance</w:t>
      </w:r>
      <w:r w:rsidR="00EF7056" w:rsidRPr="7E4EA285">
        <w:rPr>
          <w:rFonts w:cs="Arial"/>
        </w:rPr>
        <w:t xml:space="preserve"> anti-fraud protections</w:t>
      </w:r>
      <w:r w:rsidR="00C75647" w:rsidRPr="7E4EA285">
        <w:rPr>
          <w:rFonts w:cs="Arial"/>
        </w:rPr>
        <w:t>.</w:t>
      </w:r>
    </w:p>
    <w:p w14:paraId="32AF7355" w14:textId="60A8D153" w:rsidR="002C4CD9" w:rsidRPr="00DA3D21" w:rsidRDefault="00021EA6" w:rsidP="00BD69F7">
      <w:pPr>
        <w:pStyle w:val="ListParagraph"/>
        <w:numPr>
          <w:ilvl w:val="0"/>
          <w:numId w:val="20"/>
        </w:numPr>
        <w:spacing w:before="120" w:after="120"/>
        <w:ind w:left="714" w:hanging="357"/>
        <w:contextualSpacing w:val="0"/>
        <w:rPr>
          <w:rFonts w:cs="Arial"/>
        </w:rPr>
      </w:pPr>
      <w:r w:rsidRPr="7E4EA285">
        <w:rPr>
          <w:rFonts w:cs="Arial"/>
          <w:b/>
        </w:rPr>
        <w:t>N</w:t>
      </w:r>
      <w:r w:rsidR="0011179D" w:rsidRPr="7E4EA285">
        <w:rPr>
          <w:rFonts w:cs="Arial"/>
          <w:b/>
        </w:rPr>
        <w:t xml:space="preserve">ational </w:t>
      </w:r>
      <w:r w:rsidR="004E4BEA" w:rsidRPr="7E4EA285">
        <w:rPr>
          <w:rFonts w:cs="Arial"/>
          <w:b/>
        </w:rPr>
        <w:t>Regulator F</w:t>
      </w:r>
      <w:r w:rsidR="0011179D" w:rsidRPr="7E4EA285">
        <w:rPr>
          <w:rFonts w:cs="Arial"/>
          <w:b/>
        </w:rPr>
        <w:t>orum</w:t>
      </w:r>
      <w:r w:rsidR="00D82694">
        <w:rPr>
          <w:rFonts w:cs="Arial"/>
          <w:b/>
        </w:rPr>
        <w:t>:</w:t>
      </w:r>
      <w:r w:rsidRPr="7E4EA285">
        <w:rPr>
          <w:rFonts w:cs="Arial"/>
        </w:rPr>
        <w:t xml:space="preserve"> </w:t>
      </w:r>
      <w:r w:rsidR="004B2CBF" w:rsidRPr="7E4EA285">
        <w:rPr>
          <w:rFonts w:cs="Arial"/>
        </w:rPr>
        <w:t>Bring</w:t>
      </w:r>
      <w:r w:rsidR="0093789A" w:rsidRPr="7E4EA285">
        <w:rPr>
          <w:rFonts w:cs="Arial"/>
        </w:rPr>
        <w:t>s</w:t>
      </w:r>
      <w:r w:rsidR="004B2CBF" w:rsidRPr="7E4EA285">
        <w:rPr>
          <w:rFonts w:cs="Arial"/>
        </w:rPr>
        <w:t xml:space="preserve"> together </w:t>
      </w:r>
      <w:r w:rsidR="0011179D" w:rsidRPr="7E4EA285">
        <w:rPr>
          <w:rFonts w:cs="Arial"/>
        </w:rPr>
        <w:t xml:space="preserve">regulators from all Australian jurisdictions and New Zealand to </w:t>
      </w:r>
      <w:r w:rsidR="00222264" w:rsidRPr="7E4EA285">
        <w:rPr>
          <w:rFonts w:cs="Arial"/>
        </w:rPr>
        <w:t>align approaches</w:t>
      </w:r>
      <w:r w:rsidR="0011179D" w:rsidRPr="7E4EA285">
        <w:rPr>
          <w:rFonts w:cs="Arial"/>
        </w:rPr>
        <w:t xml:space="preserve"> and </w:t>
      </w:r>
      <w:r w:rsidR="00222264" w:rsidRPr="7E4EA285">
        <w:rPr>
          <w:rFonts w:cs="Arial"/>
        </w:rPr>
        <w:t>share insights</w:t>
      </w:r>
      <w:r w:rsidR="00C75647" w:rsidRPr="7E4EA285">
        <w:rPr>
          <w:rFonts w:cs="Arial"/>
        </w:rPr>
        <w:t>.</w:t>
      </w:r>
    </w:p>
    <w:p w14:paraId="5B03A708" w14:textId="12ABB76F" w:rsidR="0011179D" w:rsidRPr="006304B1" w:rsidRDefault="643030EE" w:rsidP="00BD69F7">
      <w:pPr>
        <w:pStyle w:val="ListParagraph"/>
        <w:numPr>
          <w:ilvl w:val="0"/>
          <w:numId w:val="20"/>
        </w:numPr>
        <w:spacing w:before="120" w:after="120"/>
        <w:ind w:left="714" w:hanging="357"/>
        <w:contextualSpacing w:val="0"/>
        <w:rPr>
          <w:rFonts w:cs="Arial"/>
        </w:rPr>
      </w:pPr>
      <w:proofErr w:type="spellStart"/>
      <w:r w:rsidRPr="00437AB8">
        <w:rPr>
          <w:rFonts w:cs="Arial"/>
          <w:b/>
          <w:bCs/>
        </w:rPr>
        <w:t>BuildSkills</w:t>
      </w:r>
      <w:proofErr w:type="spellEnd"/>
      <w:r w:rsidRPr="00437AB8">
        <w:rPr>
          <w:rFonts w:cs="Arial"/>
          <w:b/>
          <w:bCs/>
        </w:rPr>
        <w:t xml:space="preserve"> Australia</w:t>
      </w:r>
      <w:r w:rsidR="00D82694">
        <w:rPr>
          <w:rFonts w:cs="Arial"/>
          <w:b/>
          <w:bCs/>
        </w:rPr>
        <w:t>:</w:t>
      </w:r>
      <w:r w:rsidRPr="1E6E4DD7">
        <w:rPr>
          <w:rFonts w:cs="Arial"/>
        </w:rPr>
        <w:t xml:space="preserve"> Reviews and develops courses relevant to the building industry.</w:t>
      </w:r>
    </w:p>
    <w:p w14:paraId="41C096E5" w14:textId="0B2D5CEB" w:rsidR="0070548B" w:rsidRDefault="00655D9E" w:rsidP="006304B1">
      <w:pPr>
        <w:spacing w:before="120" w:after="120"/>
      </w:pPr>
      <w:r w:rsidRPr="7E4EA285">
        <w:rPr>
          <w:rFonts w:eastAsiaTheme="majorEastAsia" w:cs="Arial"/>
        </w:rPr>
        <w:t xml:space="preserve">The QBCC licensing </w:t>
      </w:r>
      <w:r w:rsidR="00853EF4" w:rsidRPr="7E4EA285">
        <w:rPr>
          <w:rFonts w:eastAsiaTheme="majorEastAsia" w:cs="Arial"/>
        </w:rPr>
        <w:t>framework underpins a trusted</w:t>
      </w:r>
      <w:r w:rsidR="00744ADD" w:rsidRPr="7E4EA285">
        <w:rPr>
          <w:rFonts w:eastAsiaTheme="majorEastAsia" w:cs="Arial"/>
        </w:rPr>
        <w:t>, skilled and re</w:t>
      </w:r>
      <w:r w:rsidR="00EC48B5" w:rsidRPr="7E4EA285">
        <w:rPr>
          <w:rFonts w:eastAsiaTheme="majorEastAsia" w:cs="Arial"/>
        </w:rPr>
        <w:t>silient</w:t>
      </w:r>
      <w:r w:rsidR="00853EF4" w:rsidRPr="7E4EA285">
        <w:rPr>
          <w:rFonts w:eastAsiaTheme="majorEastAsia" w:cs="Arial"/>
        </w:rPr>
        <w:t xml:space="preserve"> </w:t>
      </w:r>
      <w:r w:rsidR="00AE76B6" w:rsidRPr="7E4EA285">
        <w:rPr>
          <w:rFonts w:eastAsiaTheme="majorEastAsia" w:cs="Arial"/>
        </w:rPr>
        <w:t xml:space="preserve">building and construction industry </w:t>
      </w:r>
      <w:r w:rsidR="0070548B" w:rsidRPr="7E4EA285">
        <w:rPr>
          <w:rFonts w:eastAsiaTheme="majorEastAsia" w:cs="Arial"/>
        </w:rPr>
        <w:t>that delivers safe</w:t>
      </w:r>
      <w:r w:rsidR="00265CCF" w:rsidRPr="7E4EA285">
        <w:rPr>
          <w:rFonts w:eastAsiaTheme="majorEastAsia" w:cs="Arial"/>
        </w:rPr>
        <w:t xml:space="preserve"> and</w:t>
      </w:r>
      <w:r w:rsidR="0070548B" w:rsidRPr="7E4EA285">
        <w:rPr>
          <w:rFonts w:eastAsiaTheme="majorEastAsia" w:cs="Arial"/>
        </w:rPr>
        <w:t xml:space="preserve"> high-quality outcomes for Queenslanders. </w:t>
      </w:r>
      <w:r w:rsidR="0070548B">
        <w:t xml:space="preserve">An overview of the licensing framework </w:t>
      </w:r>
      <w:r w:rsidR="00535180">
        <w:t xml:space="preserve">administered under the relevant legislation </w:t>
      </w:r>
      <w:r w:rsidR="0064191A">
        <w:t>is outlined</w:t>
      </w:r>
      <w:r w:rsidR="0070548B">
        <w:t xml:space="preserve"> below</w:t>
      </w:r>
      <w:r w:rsidR="0064191A">
        <w:t>:</w:t>
      </w:r>
    </w:p>
    <w:p w14:paraId="1469969A" w14:textId="4B515E3F" w:rsidR="0070548B" w:rsidRDefault="0070548B" w:rsidP="00BD69F7">
      <w:pPr>
        <w:pStyle w:val="ListParagraph"/>
        <w:numPr>
          <w:ilvl w:val="0"/>
          <w:numId w:val="20"/>
        </w:numPr>
        <w:spacing w:before="120" w:after="120"/>
        <w:ind w:left="714" w:hanging="357"/>
        <w:contextualSpacing w:val="0"/>
        <w:rPr>
          <w:rFonts w:cs="Arial"/>
        </w:rPr>
      </w:pPr>
      <w:r w:rsidRPr="7E4EA285">
        <w:rPr>
          <w:rFonts w:cs="Arial"/>
          <w:b/>
        </w:rPr>
        <w:t>QBCC Act</w:t>
      </w:r>
      <w:r w:rsidR="00060557">
        <w:rPr>
          <w:rFonts w:cs="Arial"/>
          <w:b/>
        </w:rPr>
        <w:t>:</w:t>
      </w:r>
      <w:r w:rsidRPr="7E4EA285">
        <w:rPr>
          <w:rFonts w:cs="Arial"/>
        </w:rPr>
        <w:t xml:space="preserve"> </w:t>
      </w:r>
      <w:r w:rsidR="00832A3A" w:rsidRPr="00832A3A">
        <w:rPr>
          <w:rFonts w:cs="Arial"/>
        </w:rPr>
        <w:t>Provides licences for contractors and supervisors carrying out building work, as well as occupational licences for fire protection work and mechanical services work.</w:t>
      </w:r>
      <w:r w:rsidRPr="7E4EA285">
        <w:rPr>
          <w:rFonts w:cs="Arial"/>
        </w:rPr>
        <w:t xml:space="preserve"> </w:t>
      </w:r>
    </w:p>
    <w:p w14:paraId="31C34965" w14:textId="5E3E4087" w:rsidR="0070548B" w:rsidRPr="00DC5274" w:rsidRDefault="0070548B" w:rsidP="00BD69F7">
      <w:pPr>
        <w:pStyle w:val="ListParagraph"/>
        <w:numPr>
          <w:ilvl w:val="0"/>
          <w:numId w:val="20"/>
        </w:numPr>
        <w:spacing w:before="120" w:after="120"/>
        <w:ind w:left="714" w:hanging="357"/>
        <w:contextualSpacing w:val="0"/>
        <w:rPr>
          <w:rFonts w:cs="Arial"/>
        </w:rPr>
      </w:pPr>
      <w:r w:rsidRPr="7E4EA285">
        <w:rPr>
          <w:rFonts w:cs="Arial"/>
          <w:b/>
        </w:rPr>
        <w:t>PD Act</w:t>
      </w:r>
      <w:r w:rsidR="00060557">
        <w:rPr>
          <w:rFonts w:cs="Arial"/>
          <w:b/>
        </w:rPr>
        <w:t>:</w:t>
      </w:r>
      <w:r w:rsidRPr="7E4EA285">
        <w:rPr>
          <w:rFonts w:cs="Arial"/>
        </w:rPr>
        <w:t xml:space="preserve"> </w:t>
      </w:r>
      <w:r w:rsidR="00C43C8B" w:rsidRPr="7E4EA285">
        <w:rPr>
          <w:rFonts w:cs="Arial"/>
        </w:rPr>
        <w:t>Regulates</w:t>
      </w:r>
      <w:r w:rsidR="009748A3" w:rsidRPr="7E4EA285">
        <w:rPr>
          <w:rFonts w:cs="Arial"/>
        </w:rPr>
        <w:t xml:space="preserve"> p</w:t>
      </w:r>
      <w:r w:rsidRPr="7E4EA285">
        <w:rPr>
          <w:rFonts w:eastAsiaTheme="majorEastAsia" w:cs="Arial"/>
        </w:rPr>
        <w:t xml:space="preserve">lumbing and drainage work. </w:t>
      </w:r>
    </w:p>
    <w:p w14:paraId="451FA009" w14:textId="2F7DD740" w:rsidR="00655D9E" w:rsidRPr="006304B1" w:rsidRDefault="0070548B" w:rsidP="00BD69F7">
      <w:pPr>
        <w:pStyle w:val="ListParagraph"/>
        <w:numPr>
          <w:ilvl w:val="0"/>
          <w:numId w:val="20"/>
        </w:numPr>
        <w:spacing w:before="120" w:after="120"/>
        <w:ind w:left="714" w:hanging="357"/>
        <w:contextualSpacing w:val="0"/>
        <w:rPr>
          <w:rFonts w:eastAsiaTheme="majorEastAsia" w:cs="Arial"/>
        </w:rPr>
      </w:pPr>
      <w:r w:rsidRPr="7E4EA285">
        <w:rPr>
          <w:rFonts w:eastAsiaTheme="majorEastAsia" w:cs="Arial"/>
          <w:b/>
        </w:rPr>
        <w:t>Building Act</w:t>
      </w:r>
      <w:r w:rsidR="00060557">
        <w:rPr>
          <w:rFonts w:eastAsiaTheme="majorEastAsia" w:cs="Arial"/>
          <w:b/>
        </w:rPr>
        <w:t>:</w:t>
      </w:r>
      <w:r w:rsidRPr="7E4EA285">
        <w:rPr>
          <w:rFonts w:eastAsiaTheme="majorEastAsia" w:cs="Arial"/>
        </w:rPr>
        <w:t xml:space="preserve"> </w:t>
      </w:r>
      <w:r w:rsidR="000A5D92" w:rsidRPr="7E4EA285">
        <w:rPr>
          <w:rFonts w:eastAsiaTheme="majorEastAsia" w:cs="Arial"/>
        </w:rPr>
        <w:t>Applies to b</w:t>
      </w:r>
      <w:r w:rsidRPr="7E4EA285">
        <w:rPr>
          <w:rFonts w:eastAsiaTheme="majorEastAsia" w:cs="Arial"/>
        </w:rPr>
        <w:t xml:space="preserve">uilding certifiers and </w:t>
      </w:r>
      <w:r w:rsidR="00DA69AD">
        <w:rPr>
          <w:rFonts w:eastAsiaTheme="majorEastAsia" w:cs="Arial"/>
        </w:rPr>
        <w:t>PSIs</w:t>
      </w:r>
      <w:r w:rsidRPr="7E4EA285">
        <w:rPr>
          <w:rFonts w:eastAsiaTheme="majorEastAsia" w:cs="Arial"/>
        </w:rPr>
        <w:t xml:space="preserve">. </w:t>
      </w:r>
    </w:p>
    <w:p w14:paraId="759C7F93" w14:textId="10C9F4FD" w:rsidR="00B952B4" w:rsidRDefault="003469FD" w:rsidP="008B6D14">
      <w:pPr>
        <w:spacing w:before="120" w:after="120"/>
        <w:rPr>
          <w:rFonts w:cs="Arial"/>
        </w:rPr>
      </w:pPr>
      <w:r>
        <w:rPr>
          <w:rFonts w:eastAsiaTheme="majorEastAsia" w:cs="Arial"/>
        </w:rPr>
        <w:t>The</w:t>
      </w:r>
      <w:r w:rsidR="00A804E3" w:rsidRPr="7E4EA285">
        <w:rPr>
          <w:rFonts w:eastAsiaTheme="majorEastAsia" w:cs="Arial"/>
        </w:rPr>
        <w:t xml:space="preserve"> </w:t>
      </w:r>
      <w:r w:rsidR="007F16AB" w:rsidRPr="7E4EA285">
        <w:rPr>
          <w:rFonts w:eastAsiaTheme="majorEastAsia" w:cs="Arial"/>
        </w:rPr>
        <w:t>licensing framework</w:t>
      </w:r>
      <w:r w:rsidR="0031123F" w:rsidRPr="7E4EA285">
        <w:rPr>
          <w:rFonts w:eastAsiaTheme="majorEastAsia" w:cs="Arial"/>
        </w:rPr>
        <w:t xml:space="preserve"> allows</w:t>
      </w:r>
      <w:r w:rsidR="00A804E3" w:rsidRPr="7E4EA285">
        <w:rPr>
          <w:rFonts w:eastAsiaTheme="majorEastAsia" w:cs="Arial"/>
        </w:rPr>
        <w:t xml:space="preserve"> individuals </w:t>
      </w:r>
      <w:r w:rsidR="000A5D92" w:rsidRPr="7E4EA285">
        <w:rPr>
          <w:rFonts w:eastAsiaTheme="majorEastAsia" w:cs="Arial"/>
        </w:rPr>
        <w:t>and</w:t>
      </w:r>
      <w:r w:rsidR="00A804E3" w:rsidRPr="7E4EA285">
        <w:rPr>
          <w:rFonts w:eastAsiaTheme="majorEastAsia" w:cs="Arial"/>
        </w:rPr>
        <w:t xml:space="preserve"> </w:t>
      </w:r>
      <w:r w:rsidR="007F16AB" w:rsidRPr="7E4EA285">
        <w:rPr>
          <w:rFonts w:eastAsiaTheme="majorEastAsia" w:cs="Arial"/>
        </w:rPr>
        <w:t>businesses</w:t>
      </w:r>
      <w:r w:rsidR="00A804E3" w:rsidRPr="7E4EA285">
        <w:rPr>
          <w:rFonts w:eastAsiaTheme="majorEastAsia" w:cs="Arial"/>
        </w:rPr>
        <w:t xml:space="preserve"> </w:t>
      </w:r>
      <w:r w:rsidR="00575868" w:rsidRPr="7E4EA285">
        <w:rPr>
          <w:rFonts w:eastAsiaTheme="majorEastAsia" w:cs="Arial"/>
        </w:rPr>
        <w:t xml:space="preserve">to </w:t>
      </w:r>
      <w:r w:rsidR="00A804E3" w:rsidRPr="7E4EA285">
        <w:rPr>
          <w:rFonts w:eastAsiaTheme="majorEastAsia" w:cs="Arial"/>
        </w:rPr>
        <w:t>hold multiple licences</w:t>
      </w:r>
      <w:r w:rsidR="005B0DB3" w:rsidRPr="7E4EA285">
        <w:rPr>
          <w:rFonts w:eastAsiaTheme="majorEastAsia" w:cs="Arial"/>
        </w:rPr>
        <w:t xml:space="preserve">, </w:t>
      </w:r>
      <w:r w:rsidR="004D35D0" w:rsidRPr="7E4EA285">
        <w:rPr>
          <w:rFonts w:eastAsiaTheme="majorEastAsia" w:cs="Arial"/>
        </w:rPr>
        <w:t>enabling</w:t>
      </w:r>
      <w:r w:rsidR="005B0DB3" w:rsidRPr="7E4EA285">
        <w:rPr>
          <w:rFonts w:eastAsiaTheme="majorEastAsia" w:cs="Arial"/>
        </w:rPr>
        <w:t xml:space="preserve"> them to </w:t>
      </w:r>
      <w:r w:rsidR="0098332C" w:rsidRPr="7E4EA285">
        <w:rPr>
          <w:rFonts w:eastAsiaTheme="majorEastAsia" w:cs="Arial"/>
        </w:rPr>
        <w:t xml:space="preserve">perform </w:t>
      </w:r>
      <w:r w:rsidR="004D35D0" w:rsidRPr="7E4EA285">
        <w:rPr>
          <w:rFonts w:eastAsiaTheme="majorEastAsia" w:cs="Arial"/>
        </w:rPr>
        <w:t xml:space="preserve">a </w:t>
      </w:r>
      <w:r w:rsidR="00384B63" w:rsidRPr="7E4EA285">
        <w:rPr>
          <w:rFonts w:eastAsiaTheme="majorEastAsia" w:cs="Arial"/>
        </w:rPr>
        <w:t>range</w:t>
      </w:r>
      <w:r w:rsidR="004D35D0" w:rsidRPr="7E4EA285">
        <w:rPr>
          <w:rFonts w:eastAsiaTheme="majorEastAsia" w:cs="Arial"/>
        </w:rPr>
        <w:t xml:space="preserve"> of</w:t>
      </w:r>
      <w:r w:rsidR="005B0DB3" w:rsidRPr="7E4EA285">
        <w:rPr>
          <w:rFonts w:eastAsiaTheme="majorEastAsia" w:cs="Arial"/>
        </w:rPr>
        <w:t xml:space="preserve"> regulated roles</w:t>
      </w:r>
      <w:r w:rsidR="71787B13" w:rsidRPr="1AA49AC8" w:rsidDel="44721928">
        <w:rPr>
          <w:rFonts w:eastAsiaTheme="majorEastAsia" w:cs="Arial"/>
        </w:rPr>
        <w:t>.</w:t>
      </w:r>
      <w:r w:rsidR="005B0DB3" w:rsidRPr="7E4EA285">
        <w:rPr>
          <w:rFonts w:eastAsiaTheme="majorEastAsia" w:cs="Arial"/>
        </w:rPr>
        <w:t xml:space="preserve"> </w:t>
      </w:r>
      <w:r w:rsidR="002345E8">
        <w:rPr>
          <w:rFonts w:cs="Arial"/>
        </w:rPr>
        <w:fldChar w:fldCharType="begin"/>
      </w:r>
      <w:r w:rsidR="002345E8">
        <w:rPr>
          <w:rFonts w:cs="Arial"/>
        </w:rPr>
        <w:instrText xml:space="preserve"> REF _Ref201907399 \h </w:instrText>
      </w:r>
      <w:r w:rsidR="002345E8">
        <w:rPr>
          <w:rFonts w:cs="Arial"/>
        </w:rPr>
      </w:r>
      <w:r w:rsidR="002345E8">
        <w:rPr>
          <w:rFonts w:cs="Arial"/>
        </w:rPr>
        <w:fldChar w:fldCharType="separate"/>
      </w:r>
      <w:r w:rsidR="00CC44DF">
        <w:t xml:space="preserve">Table </w:t>
      </w:r>
      <w:r w:rsidR="00CC44DF" w:rsidRPr="00A57D9E">
        <w:t>2</w:t>
      </w:r>
      <w:r w:rsidR="002345E8">
        <w:rPr>
          <w:rFonts w:cs="Arial"/>
        </w:rPr>
        <w:fldChar w:fldCharType="end"/>
      </w:r>
      <w:r w:rsidR="002345E8">
        <w:rPr>
          <w:rFonts w:cs="Arial"/>
        </w:rPr>
        <w:t xml:space="preserve"> </w:t>
      </w:r>
      <w:r w:rsidR="004121BC">
        <w:rPr>
          <w:rFonts w:cs="Arial"/>
        </w:rPr>
        <w:t>shows</w:t>
      </w:r>
      <w:r w:rsidR="00D63FFD">
        <w:rPr>
          <w:rFonts w:cs="Arial"/>
        </w:rPr>
        <w:t xml:space="preserve"> </w:t>
      </w:r>
      <w:r w:rsidR="00EA48D2" w:rsidRPr="7E4EA285">
        <w:rPr>
          <w:rFonts w:cs="Arial"/>
        </w:rPr>
        <w:t xml:space="preserve">the </w:t>
      </w:r>
      <w:r w:rsidR="00820F25" w:rsidRPr="7E4EA285">
        <w:rPr>
          <w:rFonts w:cs="Arial"/>
        </w:rPr>
        <w:t xml:space="preserve">number of licensees </w:t>
      </w:r>
      <w:r w:rsidR="006F6156">
        <w:rPr>
          <w:rFonts w:cs="Arial"/>
        </w:rPr>
        <w:t>holding</w:t>
      </w:r>
      <w:r w:rsidR="00EA48D2" w:rsidRPr="7E4EA285">
        <w:rPr>
          <w:rFonts w:cs="Arial"/>
        </w:rPr>
        <w:t xml:space="preserve"> at</w:t>
      </w:r>
      <w:r w:rsidR="00D82856" w:rsidRPr="7E4EA285">
        <w:rPr>
          <w:rFonts w:cs="Arial"/>
        </w:rPr>
        <w:t xml:space="preserve"> least one </w:t>
      </w:r>
      <w:r w:rsidR="00EA48D2" w:rsidRPr="7E4EA285">
        <w:rPr>
          <w:rFonts w:cs="Arial"/>
        </w:rPr>
        <w:t xml:space="preserve">active </w:t>
      </w:r>
      <w:r w:rsidR="00D82856" w:rsidRPr="7E4EA285">
        <w:rPr>
          <w:rFonts w:cs="Arial"/>
        </w:rPr>
        <w:t xml:space="preserve">licence under </w:t>
      </w:r>
      <w:r w:rsidR="00EA48D2" w:rsidRPr="7E4EA285">
        <w:rPr>
          <w:rFonts w:cs="Arial"/>
        </w:rPr>
        <w:t xml:space="preserve">the </w:t>
      </w:r>
      <w:r w:rsidR="000E0885" w:rsidRPr="7E4EA285">
        <w:rPr>
          <w:rFonts w:cs="Arial"/>
        </w:rPr>
        <w:t>relevant legislation</w:t>
      </w:r>
      <w:r w:rsidR="00D82856" w:rsidRPr="7E4EA285">
        <w:rPr>
          <w:rFonts w:cs="Arial"/>
        </w:rPr>
        <w:t>.</w:t>
      </w:r>
    </w:p>
    <w:p w14:paraId="7C9CFD7B" w14:textId="0B8AAB25" w:rsidR="00B952B4" w:rsidRPr="002345E8" w:rsidRDefault="006B1A0C" w:rsidP="00971B95">
      <w:pPr>
        <w:pStyle w:val="Caption"/>
        <w:keepNext/>
        <w:spacing w:before="120" w:after="120"/>
      </w:pPr>
      <w:bookmarkStart w:id="32" w:name="_Ref201907399"/>
      <w:bookmarkStart w:id="33" w:name="_Toc202872032"/>
      <w:bookmarkStart w:id="34" w:name="_Toc202872652"/>
      <w:bookmarkStart w:id="35" w:name="_Ref202873368"/>
      <w:r>
        <w:t xml:space="preserve">Table </w:t>
      </w:r>
      <w:r>
        <w:fldChar w:fldCharType="begin"/>
      </w:r>
      <w:r>
        <w:instrText>SEQ Table \* ARABIC</w:instrText>
      </w:r>
      <w:r>
        <w:fldChar w:fldCharType="separate"/>
      </w:r>
      <w:r w:rsidR="0042456A" w:rsidRPr="00A57D9E">
        <w:t>2</w:t>
      </w:r>
      <w:r>
        <w:fldChar w:fldCharType="end"/>
      </w:r>
      <w:bookmarkEnd w:id="32"/>
      <w:r>
        <w:t xml:space="preserve">: </w:t>
      </w:r>
      <w:r w:rsidRPr="00632D37">
        <w:t>Number of active licensees under the QBCC Act, PD Act and Building Act in 2024–25</w:t>
      </w:r>
      <w:bookmarkEnd w:id="33"/>
      <w:bookmarkEnd w:id="34"/>
      <w:bookmarkEnd w:id="35"/>
    </w:p>
    <w:tbl>
      <w:tblPr>
        <w:tblStyle w:val="TableGrid"/>
        <w:tblW w:w="10485" w:type="dxa"/>
        <w:tblLook w:val="04A0" w:firstRow="1" w:lastRow="0" w:firstColumn="1" w:lastColumn="0" w:noHBand="0" w:noVBand="1"/>
      </w:tblPr>
      <w:tblGrid>
        <w:gridCol w:w="2764"/>
        <w:gridCol w:w="2054"/>
        <w:gridCol w:w="2054"/>
        <w:gridCol w:w="2054"/>
        <w:gridCol w:w="1559"/>
      </w:tblGrid>
      <w:tr w:rsidR="00933C78" w14:paraId="5F43390C" w14:textId="77777777" w:rsidTr="004A3B7F">
        <w:trPr>
          <w:trHeight w:val="300"/>
        </w:trPr>
        <w:tc>
          <w:tcPr>
            <w:tcW w:w="2764" w:type="dxa"/>
            <w:vMerge w:val="restart"/>
            <w:shd w:val="clear" w:color="auto" w:fill="A6A6A6" w:themeFill="background1" w:themeFillShade="A6"/>
            <w:vAlign w:val="center"/>
          </w:tcPr>
          <w:p w14:paraId="6A4D329D" w14:textId="750C46DF" w:rsidR="00933C78" w:rsidRPr="009D04CC" w:rsidRDefault="000760C8" w:rsidP="14C7C145">
            <w:pPr>
              <w:rPr>
                <w:rFonts w:cs="Arial"/>
                <w:b/>
                <w:szCs w:val="22"/>
              </w:rPr>
            </w:pPr>
            <w:r w:rsidRPr="009D04CC">
              <w:rPr>
                <w:rFonts w:cs="Arial"/>
                <w:b/>
                <w:szCs w:val="22"/>
              </w:rPr>
              <w:t>Licences</w:t>
            </w:r>
          </w:p>
        </w:tc>
        <w:tc>
          <w:tcPr>
            <w:tcW w:w="6162" w:type="dxa"/>
            <w:gridSpan w:val="3"/>
            <w:shd w:val="clear" w:color="auto" w:fill="A6A6A6" w:themeFill="background1" w:themeFillShade="A6"/>
            <w:vAlign w:val="center"/>
          </w:tcPr>
          <w:p w14:paraId="6D4C9FDC" w14:textId="2D102CAA" w:rsidR="00933C78" w:rsidRPr="009D04CC" w:rsidRDefault="00933C78" w:rsidP="00891600">
            <w:pPr>
              <w:jc w:val="center"/>
              <w:rPr>
                <w:rFonts w:cs="Arial"/>
                <w:b/>
                <w:szCs w:val="22"/>
              </w:rPr>
            </w:pPr>
            <w:r w:rsidRPr="009D04CC">
              <w:rPr>
                <w:rFonts w:cs="Arial"/>
                <w:b/>
                <w:szCs w:val="22"/>
              </w:rPr>
              <w:t>Legislation</w:t>
            </w:r>
          </w:p>
        </w:tc>
        <w:tc>
          <w:tcPr>
            <w:tcW w:w="1559" w:type="dxa"/>
            <w:vMerge w:val="restart"/>
            <w:shd w:val="clear" w:color="auto" w:fill="A6A6A6" w:themeFill="background1" w:themeFillShade="A6"/>
            <w:vAlign w:val="center"/>
          </w:tcPr>
          <w:p w14:paraId="0E11AE56" w14:textId="69C11126" w:rsidR="00933C78" w:rsidRPr="009D04CC" w:rsidRDefault="00933C78" w:rsidP="7E4EA285">
            <w:pPr>
              <w:jc w:val="center"/>
              <w:rPr>
                <w:rFonts w:cs="Arial"/>
                <w:b/>
                <w:szCs w:val="22"/>
              </w:rPr>
            </w:pPr>
            <w:r w:rsidRPr="009D04CC">
              <w:rPr>
                <w:rFonts w:cs="Arial"/>
                <w:b/>
                <w:szCs w:val="22"/>
              </w:rPr>
              <w:t>Total</w:t>
            </w:r>
          </w:p>
        </w:tc>
      </w:tr>
      <w:tr w:rsidR="00EB64B2" w:rsidRPr="00DA3D21" w14:paraId="7E9E47B5" w14:textId="2CA5A57E" w:rsidTr="004A3B7F">
        <w:trPr>
          <w:trHeight w:val="300"/>
        </w:trPr>
        <w:tc>
          <w:tcPr>
            <w:tcW w:w="2764" w:type="dxa"/>
            <w:vMerge/>
            <w:shd w:val="clear" w:color="auto" w:fill="A6A6A6" w:themeFill="background1" w:themeFillShade="A6"/>
            <w:vAlign w:val="center"/>
          </w:tcPr>
          <w:p w14:paraId="2DB56500" w14:textId="77777777" w:rsidR="00933C78" w:rsidRPr="009D04CC" w:rsidRDefault="00933C78" w:rsidP="001F7E4A">
            <w:pPr>
              <w:rPr>
                <w:rFonts w:cs="Arial"/>
                <w:b/>
                <w:szCs w:val="22"/>
              </w:rPr>
            </w:pPr>
          </w:p>
        </w:tc>
        <w:tc>
          <w:tcPr>
            <w:tcW w:w="2054" w:type="dxa"/>
            <w:shd w:val="clear" w:color="auto" w:fill="BFBFBF" w:themeFill="background1" w:themeFillShade="BF"/>
            <w:vAlign w:val="center"/>
          </w:tcPr>
          <w:p w14:paraId="22F07AA8" w14:textId="6FFEBBC6" w:rsidR="00933C78" w:rsidRPr="009D04CC" w:rsidRDefault="00933C78" w:rsidP="002665A7">
            <w:pPr>
              <w:rPr>
                <w:rFonts w:cs="Arial"/>
                <w:b/>
                <w:szCs w:val="22"/>
              </w:rPr>
            </w:pPr>
            <w:r w:rsidRPr="009D04CC">
              <w:rPr>
                <w:rFonts w:cs="Arial"/>
                <w:b/>
                <w:szCs w:val="22"/>
              </w:rPr>
              <w:t>QBCC Act</w:t>
            </w:r>
          </w:p>
        </w:tc>
        <w:tc>
          <w:tcPr>
            <w:tcW w:w="2054" w:type="dxa"/>
            <w:shd w:val="clear" w:color="auto" w:fill="BFBFBF" w:themeFill="background1" w:themeFillShade="BF"/>
            <w:vAlign w:val="center"/>
          </w:tcPr>
          <w:p w14:paraId="3DBA20ED" w14:textId="3AC2A06A" w:rsidR="00933C78" w:rsidRPr="009D04CC" w:rsidRDefault="00933C78" w:rsidP="007C204F">
            <w:pPr>
              <w:rPr>
                <w:rFonts w:cs="Arial"/>
                <w:b/>
                <w:szCs w:val="22"/>
              </w:rPr>
            </w:pPr>
            <w:r w:rsidRPr="009D04CC">
              <w:rPr>
                <w:rFonts w:cs="Arial"/>
                <w:b/>
                <w:szCs w:val="22"/>
              </w:rPr>
              <w:t>PD Act</w:t>
            </w:r>
          </w:p>
        </w:tc>
        <w:tc>
          <w:tcPr>
            <w:tcW w:w="2054" w:type="dxa"/>
            <w:shd w:val="clear" w:color="auto" w:fill="BFBFBF" w:themeFill="background1" w:themeFillShade="BF"/>
            <w:vAlign w:val="center"/>
          </w:tcPr>
          <w:p w14:paraId="35CADD36" w14:textId="33B5031E" w:rsidR="00933C78" w:rsidRPr="009D04CC" w:rsidRDefault="00933C78" w:rsidP="002665A7">
            <w:pPr>
              <w:rPr>
                <w:rFonts w:cs="Arial"/>
                <w:b/>
                <w:szCs w:val="22"/>
              </w:rPr>
            </w:pPr>
            <w:r w:rsidRPr="009D04CC">
              <w:rPr>
                <w:rFonts w:cs="Arial"/>
                <w:b/>
                <w:szCs w:val="22"/>
              </w:rPr>
              <w:t>Building Act</w:t>
            </w:r>
          </w:p>
        </w:tc>
        <w:tc>
          <w:tcPr>
            <w:tcW w:w="1559" w:type="dxa"/>
            <w:vMerge/>
            <w:shd w:val="clear" w:color="auto" w:fill="A6A6A6" w:themeFill="background1" w:themeFillShade="A6"/>
            <w:vAlign w:val="center"/>
          </w:tcPr>
          <w:p w14:paraId="3C628531" w14:textId="77777777" w:rsidR="00933C78" w:rsidRPr="009D04CC" w:rsidRDefault="00933C78">
            <w:pPr>
              <w:rPr>
                <w:szCs w:val="22"/>
              </w:rPr>
            </w:pPr>
          </w:p>
        </w:tc>
      </w:tr>
      <w:tr w:rsidR="003C2082" w:rsidRPr="00DA3D21" w14:paraId="453F5165" w14:textId="0DFB1061" w:rsidTr="005132AE">
        <w:trPr>
          <w:trHeight w:val="300"/>
        </w:trPr>
        <w:tc>
          <w:tcPr>
            <w:tcW w:w="2764" w:type="dxa"/>
            <w:vAlign w:val="center"/>
          </w:tcPr>
          <w:p w14:paraId="1931F24D" w14:textId="52AC51F0" w:rsidR="003C2082" w:rsidRPr="009D04CC" w:rsidRDefault="003C2082" w:rsidP="001F7E4A">
            <w:pPr>
              <w:rPr>
                <w:rFonts w:cs="Arial"/>
                <w:szCs w:val="22"/>
              </w:rPr>
            </w:pPr>
            <w:r w:rsidRPr="009D04CC">
              <w:rPr>
                <w:rFonts w:cs="Arial"/>
                <w:szCs w:val="22"/>
              </w:rPr>
              <w:t>Number of active licensees</w:t>
            </w:r>
          </w:p>
        </w:tc>
        <w:tc>
          <w:tcPr>
            <w:tcW w:w="2054" w:type="dxa"/>
            <w:vAlign w:val="center"/>
          </w:tcPr>
          <w:p w14:paraId="2C293E14" w14:textId="38A3390C" w:rsidR="003C2082" w:rsidRPr="00F830A6" w:rsidRDefault="00E8294B" w:rsidP="002665A7">
            <w:pPr>
              <w:rPr>
                <w:rFonts w:cs="Arial"/>
                <w:b/>
                <w:szCs w:val="22"/>
              </w:rPr>
            </w:pPr>
            <w:bookmarkStart w:id="36" w:name="_Hlk202359693"/>
            <w:r w:rsidRPr="00F830A6">
              <w:rPr>
                <w:rFonts w:cs="Arial"/>
                <w:szCs w:val="22"/>
              </w:rPr>
              <w:t>104,183</w:t>
            </w:r>
            <w:bookmarkEnd w:id="36"/>
          </w:p>
        </w:tc>
        <w:tc>
          <w:tcPr>
            <w:tcW w:w="2054" w:type="dxa"/>
            <w:vAlign w:val="center"/>
          </w:tcPr>
          <w:p w14:paraId="04E54735" w14:textId="52755DF9" w:rsidR="003C2082" w:rsidRPr="00F830A6" w:rsidRDefault="00E8294B" w:rsidP="007C204F">
            <w:pPr>
              <w:rPr>
                <w:rFonts w:cs="Arial"/>
                <w:szCs w:val="22"/>
              </w:rPr>
            </w:pPr>
            <w:r w:rsidRPr="00F830A6">
              <w:rPr>
                <w:rFonts w:cs="Arial"/>
                <w:szCs w:val="22"/>
              </w:rPr>
              <w:t>17,538</w:t>
            </w:r>
          </w:p>
        </w:tc>
        <w:tc>
          <w:tcPr>
            <w:tcW w:w="2054" w:type="dxa"/>
            <w:vAlign w:val="center"/>
          </w:tcPr>
          <w:p w14:paraId="0FF28253" w14:textId="7BA2FE4F" w:rsidR="003C2082" w:rsidRPr="00F830A6" w:rsidRDefault="00945956" w:rsidP="002665A7">
            <w:pPr>
              <w:rPr>
                <w:rFonts w:cs="Arial"/>
                <w:szCs w:val="22"/>
              </w:rPr>
            </w:pPr>
            <w:r w:rsidRPr="00F830A6">
              <w:rPr>
                <w:rFonts w:cs="Arial"/>
                <w:szCs w:val="22"/>
              </w:rPr>
              <w:t>993</w:t>
            </w:r>
          </w:p>
        </w:tc>
        <w:tc>
          <w:tcPr>
            <w:tcW w:w="1559" w:type="dxa"/>
            <w:vAlign w:val="center"/>
          </w:tcPr>
          <w:p w14:paraId="60196808" w14:textId="37030945" w:rsidR="14C7C145" w:rsidRPr="00F830A6" w:rsidRDefault="00945956" w:rsidP="14C7C145">
            <w:pPr>
              <w:rPr>
                <w:rFonts w:cs="Arial"/>
                <w:szCs w:val="22"/>
              </w:rPr>
            </w:pPr>
            <w:r w:rsidRPr="00F830A6">
              <w:rPr>
                <w:rFonts w:cs="Arial"/>
                <w:szCs w:val="22"/>
              </w:rPr>
              <w:t>122,714</w:t>
            </w:r>
          </w:p>
        </w:tc>
      </w:tr>
    </w:tbl>
    <w:p w14:paraId="7310B0F3" w14:textId="3A0351BE" w:rsidR="00D31669" w:rsidRPr="00074B09" w:rsidRDefault="00D66BD0" w:rsidP="003E7AE3">
      <w:pPr>
        <w:pStyle w:val="Heading3"/>
        <w:spacing w:before="120"/>
      </w:pPr>
      <w:bookmarkStart w:id="37" w:name="_Mutual_recognition"/>
      <w:bookmarkEnd w:id="37"/>
      <w:r w:rsidRPr="009A19A4">
        <w:t>Mutual recognition</w:t>
      </w:r>
      <w:r w:rsidRPr="00D66BD0">
        <w:t xml:space="preserve"> </w:t>
      </w:r>
    </w:p>
    <w:p w14:paraId="082B4543" w14:textId="640298F6" w:rsidR="00117E34" w:rsidRDefault="4BDB3F07" w:rsidP="008B6D14">
      <w:pPr>
        <w:spacing w:before="120" w:after="120"/>
        <w:rPr>
          <w:rFonts w:cs="Arial"/>
        </w:rPr>
      </w:pPr>
      <w:r w:rsidRPr="29B2C278">
        <w:rPr>
          <w:rFonts w:cs="Arial"/>
        </w:rPr>
        <w:t>The QBCC process</w:t>
      </w:r>
      <w:r w:rsidR="0572D818" w:rsidRPr="29B2C278">
        <w:rPr>
          <w:rFonts w:cs="Arial"/>
        </w:rPr>
        <w:t>es m</w:t>
      </w:r>
      <w:r w:rsidR="432097FB" w:rsidRPr="29B2C278">
        <w:rPr>
          <w:rFonts w:cs="Arial"/>
        </w:rPr>
        <w:t xml:space="preserve">utual recognition applications </w:t>
      </w:r>
      <w:r w:rsidR="0572D818" w:rsidRPr="29B2C278">
        <w:rPr>
          <w:rFonts w:cs="Arial"/>
        </w:rPr>
        <w:t xml:space="preserve">in accordance with the </w:t>
      </w:r>
      <w:r w:rsidR="0572D818" w:rsidRPr="29B2C278">
        <w:rPr>
          <w:rFonts w:cs="Arial"/>
          <w:i/>
          <w:iCs/>
        </w:rPr>
        <w:t xml:space="preserve">Mutual Recognition Act 1992 </w:t>
      </w:r>
      <w:r w:rsidR="0572D818" w:rsidRPr="00856E70">
        <w:rPr>
          <w:rFonts w:cs="Arial"/>
        </w:rPr>
        <w:t>(</w:t>
      </w:r>
      <w:proofErr w:type="spellStart"/>
      <w:r w:rsidR="0572D818" w:rsidRPr="00856E70">
        <w:rPr>
          <w:rFonts w:cs="Arial"/>
        </w:rPr>
        <w:t>Cth</w:t>
      </w:r>
      <w:proofErr w:type="spellEnd"/>
      <w:r w:rsidR="0572D818" w:rsidRPr="00856E70">
        <w:rPr>
          <w:rFonts w:cs="Arial"/>
        </w:rPr>
        <w:t>)</w:t>
      </w:r>
      <w:r w:rsidR="63E4ADD4" w:rsidRPr="29B2C278">
        <w:rPr>
          <w:rFonts w:cs="Arial"/>
          <w:i/>
          <w:iCs/>
        </w:rPr>
        <w:t xml:space="preserve"> </w:t>
      </w:r>
      <w:r w:rsidR="63E4ADD4" w:rsidRPr="29B2C278">
        <w:rPr>
          <w:rFonts w:cs="Arial"/>
        </w:rPr>
        <w:t>and</w:t>
      </w:r>
      <w:r w:rsidR="28BBAC42" w:rsidRPr="29B2C278">
        <w:rPr>
          <w:rFonts w:cs="Arial"/>
        </w:rPr>
        <w:t xml:space="preserve"> the</w:t>
      </w:r>
      <w:r w:rsidR="63E4ADD4" w:rsidRPr="29B2C278">
        <w:rPr>
          <w:rFonts w:cs="Arial"/>
        </w:rPr>
        <w:t xml:space="preserve"> </w:t>
      </w:r>
      <w:r w:rsidR="432097FB" w:rsidRPr="29B2C278">
        <w:rPr>
          <w:rFonts w:cs="Arial"/>
          <w:i/>
          <w:iCs/>
        </w:rPr>
        <w:t xml:space="preserve">Trans-Tasman Mutual Recognition Act 1997 </w:t>
      </w:r>
      <w:r w:rsidR="432097FB" w:rsidRPr="00856E70">
        <w:rPr>
          <w:rFonts w:cs="Arial"/>
        </w:rPr>
        <w:t>(</w:t>
      </w:r>
      <w:proofErr w:type="spellStart"/>
      <w:r w:rsidR="432097FB" w:rsidRPr="00856E70">
        <w:rPr>
          <w:rFonts w:cs="Arial"/>
        </w:rPr>
        <w:t>Cth</w:t>
      </w:r>
      <w:proofErr w:type="spellEnd"/>
      <w:r w:rsidR="432097FB" w:rsidRPr="00856E70">
        <w:rPr>
          <w:rFonts w:cs="Arial"/>
        </w:rPr>
        <w:t>)</w:t>
      </w:r>
      <w:r w:rsidR="432097FB" w:rsidRPr="29B2C278">
        <w:rPr>
          <w:rFonts w:cs="Arial"/>
        </w:rPr>
        <w:t xml:space="preserve">. Mutual recognition </w:t>
      </w:r>
      <w:r w:rsidR="67E55563" w:rsidRPr="29B2C278">
        <w:rPr>
          <w:rFonts w:cs="Arial"/>
        </w:rPr>
        <w:t xml:space="preserve">supports the mobility of licensed tradespeople </w:t>
      </w:r>
      <w:r w:rsidR="763341F5" w:rsidRPr="29B2C278">
        <w:rPr>
          <w:rFonts w:cs="Arial"/>
        </w:rPr>
        <w:t>across Australian states</w:t>
      </w:r>
      <w:r w:rsidR="000830CA">
        <w:rPr>
          <w:rFonts w:cs="Arial"/>
        </w:rPr>
        <w:t xml:space="preserve"> and</w:t>
      </w:r>
      <w:r w:rsidR="763341F5" w:rsidRPr="29B2C278">
        <w:rPr>
          <w:rFonts w:cs="Arial"/>
        </w:rPr>
        <w:t xml:space="preserve"> territories and New Zealand</w:t>
      </w:r>
      <w:r w:rsidR="006976B1">
        <w:rPr>
          <w:rFonts w:cs="Arial"/>
        </w:rPr>
        <w:t xml:space="preserve"> by</w:t>
      </w:r>
      <w:r w:rsidR="75547C05" w:rsidRPr="29B2C278">
        <w:rPr>
          <w:rFonts w:cs="Arial"/>
        </w:rPr>
        <w:t xml:space="preserve"> allow</w:t>
      </w:r>
      <w:r w:rsidR="006976B1">
        <w:rPr>
          <w:rFonts w:cs="Arial"/>
        </w:rPr>
        <w:t>ing</w:t>
      </w:r>
      <w:r w:rsidR="75547C05" w:rsidRPr="29B2C278">
        <w:rPr>
          <w:rFonts w:cs="Arial"/>
        </w:rPr>
        <w:t xml:space="preserve"> individuals </w:t>
      </w:r>
      <w:r w:rsidR="01272AD6" w:rsidRPr="29B2C278">
        <w:rPr>
          <w:rFonts w:cs="Arial"/>
        </w:rPr>
        <w:t>who hold a</w:t>
      </w:r>
      <w:r w:rsidR="00B84BAE">
        <w:rPr>
          <w:rFonts w:cs="Arial"/>
        </w:rPr>
        <w:t xml:space="preserve"> </w:t>
      </w:r>
      <w:r w:rsidR="01272AD6" w:rsidRPr="29B2C278">
        <w:rPr>
          <w:rFonts w:cs="Arial"/>
        </w:rPr>
        <w:t>licence i</w:t>
      </w:r>
      <w:r w:rsidR="7A7375B5" w:rsidRPr="29B2C278">
        <w:rPr>
          <w:rFonts w:cs="Arial"/>
        </w:rPr>
        <w:t>n</w:t>
      </w:r>
      <w:r w:rsidR="01272AD6" w:rsidRPr="29B2C278">
        <w:rPr>
          <w:rFonts w:cs="Arial"/>
        </w:rPr>
        <w:t xml:space="preserve"> another jurisdiction to </w:t>
      </w:r>
      <w:r w:rsidR="44F2F9AD" w:rsidRPr="0C5FBF2B">
        <w:rPr>
          <w:rFonts w:cs="Arial"/>
        </w:rPr>
        <w:t xml:space="preserve">be granted </w:t>
      </w:r>
      <w:r w:rsidR="01272AD6" w:rsidRPr="29B2C278">
        <w:rPr>
          <w:rFonts w:cs="Arial"/>
        </w:rPr>
        <w:t>a</w:t>
      </w:r>
      <w:r w:rsidR="003513FC">
        <w:rPr>
          <w:rFonts w:cs="Arial"/>
        </w:rPr>
        <w:t xml:space="preserve">n </w:t>
      </w:r>
      <w:r w:rsidR="00B927D4">
        <w:rPr>
          <w:rFonts w:cs="Arial"/>
        </w:rPr>
        <w:t>equivalent</w:t>
      </w:r>
      <w:r w:rsidR="01272AD6" w:rsidRPr="29B2C278">
        <w:rPr>
          <w:rFonts w:cs="Arial"/>
        </w:rPr>
        <w:t xml:space="preserve"> QBCC licence without having to undergo a</w:t>
      </w:r>
      <w:r w:rsidR="003C78D9">
        <w:rPr>
          <w:rFonts w:cs="Arial"/>
        </w:rPr>
        <w:t>n</w:t>
      </w:r>
      <w:r w:rsidR="01272AD6" w:rsidRPr="29B2C278">
        <w:rPr>
          <w:rFonts w:cs="Arial"/>
        </w:rPr>
        <w:t xml:space="preserve"> assessment of their qualifications and experience.</w:t>
      </w:r>
      <w:r w:rsidR="5D9C804D" w:rsidRPr="29B2C278">
        <w:rPr>
          <w:rFonts w:cs="Arial"/>
        </w:rPr>
        <w:t xml:space="preserve"> Mutual recognition supports a more flexible and efficient workforce, helping to meet industry demands while maintaining </w:t>
      </w:r>
      <w:r w:rsidR="5D9C804D" w:rsidRPr="00856E70">
        <w:rPr>
          <w:rFonts w:cs="Arial"/>
        </w:rPr>
        <w:t>consistent standards of safety, quality and compliance across jurisdictions.</w:t>
      </w:r>
      <w:r w:rsidR="09A38497" w:rsidRPr="00856E70">
        <w:rPr>
          <w:rFonts w:cs="Arial"/>
        </w:rPr>
        <w:t xml:space="preserve"> In</w:t>
      </w:r>
      <w:r w:rsidR="432097FB" w:rsidRPr="00856E70">
        <w:rPr>
          <w:rFonts w:cs="Arial"/>
        </w:rPr>
        <w:t xml:space="preserve"> 2024–25, </w:t>
      </w:r>
      <w:r w:rsidR="0CB91A11" w:rsidRPr="00856E70">
        <w:rPr>
          <w:rFonts w:cs="Arial"/>
        </w:rPr>
        <w:t>the QBCC processed</w:t>
      </w:r>
      <w:r w:rsidR="432097FB" w:rsidRPr="00856E70">
        <w:rPr>
          <w:rFonts w:cs="Arial"/>
        </w:rPr>
        <w:t xml:space="preserve"> </w:t>
      </w:r>
      <w:r w:rsidR="00C22B4C" w:rsidRPr="00856E70">
        <w:rPr>
          <w:rFonts w:cs="Arial"/>
        </w:rPr>
        <w:t>2,108</w:t>
      </w:r>
      <w:r w:rsidR="432097FB" w:rsidRPr="00856E70">
        <w:rPr>
          <w:rFonts w:cs="Arial"/>
        </w:rPr>
        <w:t xml:space="preserve"> mutual</w:t>
      </w:r>
      <w:r w:rsidR="432097FB" w:rsidRPr="29B2C278">
        <w:rPr>
          <w:rFonts w:cs="Arial"/>
        </w:rPr>
        <w:t xml:space="preserve"> recognition applications.</w:t>
      </w:r>
    </w:p>
    <w:p w14:paraId="236640DE" w14:textId="17789C04" w:rsidR="007F0F38" w:rsidRPr="007F0F38" w:rsidRDefault="007F0F38" w:rsidP="00CE1040">
      <w:pPr>
        <w:pStyle w:val="Heading3"/>
        <w:spacing w:before="120"/>
      </w:pPr>
      <w:bookmarkStart w:id="38" w:name="_QBCC_Act_licences"/>
      <w:bookmarkEnd w:id="38"/>
      <w:r>
        <w:t>QBCC Act licences</w:t>
      </w:r>
    </w:p>
    <w:p w14:paraId="554A27AE" w14:textId="364239E2" w:rsidR="00936B35" w:rsidRDefault="00330355" w:rsidP="009249C9">
      <w:pPr>
        <w:spacing w:before="120" w:after="120"/>
      </w:pPr>
      <w:r w:rsidRPr="7E4EA285">
        <w:rPr>
          <w:rFonts w:cs="Arial"/>
        </w:rPr>
        <w:t xml:space="preserve">In 2024–25, </w:t>
      </w:r>
      <w:r w:rsidR="00BB64E4" w:rsidRPr="7E4EA285">
        <w:rPr>
          <w:rFonts w:cs="Arial"/>
        </w:rPr>
        <w:t xml:space="preserve">the QBCC </w:t>
      </w:r>
      <w:r w:rsidR="00621C8A" w:rsidRPr="00621C8A">
        <w:rPr>
          <w:rFonts w:cs="Arial"/>
        </w:rPr>
        <w:t>granted QBCC Act licences to</w:t>
      </w:r>
      <w:r w:rsidR="00BB64E4" w:rsidRPr="7E4EA285">
        <w:rPr>
          <w:rFonts w:cs="Arial"/>
        </w:rPr>
        <w:t xml:space="preserve"> </w:t>
      </w:r>
      <w:r w:rsidR="00D64C33" w:rsidRPr="00D64C33">
        <w:rPr>
          <w:rFonts w:cs="Arial"/>
        </w:rPr>
        <w:t>8,175</w:t>
      </w:r>
      <w:r w:rsidRPr="7E4EA285">
        <w:rPr>
          <w:rFonts w:cs="Arial"/>
        </w:rPr>
        <w:t xml:space="preserve"> </w:t>
      </w:r>
      <w:r w:rsidR="001C2467" w:rsidRPr="00626102">
        <w:rPr>
          <w:rFonts w:cs="Arial"/>
        </w:rPr>
        <w:t>entities not previously licensed</w:t>
      </w:r>
      <w:r w:rsidR="00D70B20" w:rsidRPr="7E4EA285">
        <w:rPr>
          <w:rFonts w:cs="Arial"/>
        </w:rPr>
        <w:t xml:space="preserve">. </w:t>
      </w:r>
      <w:r w:rsidR="002345E8">
        <w:rPr>
          <w:rFonts w:cs="Arial"/>
        </w:rPr>
        <w:fldChar w:fldCharType="begin"/>
      </w:r>
      <w:r w:rsidR="002345E8">
        <w:rPr>
          <w:rFonts w:cs="Arial"/>
        </w:rPr>
        <w:instrText xml:space="preserve"> REF _Ref201907465 \h </w:instrText>
      </w:r>
      <w:r w:rsidR="002345E8">
        <w:rPr>
          <w:rFonts w:cs="Arial"/>
        </w:rPr>
      </w:r>
      <w:r w:rsidR="002345E8">
        <w:rPr>
          <w:rFonts w:cs="Arial"/>
        </w:rPr>
        <w:fldChar w:fldCharType="separate"/>
      </w:r>
      <w:r w:rsidR="00CC44DF">
        <w:t xml:space="preserve">Table </w:t>
      </w:r>
      <w:r w:rsidR="00CC44DF" w:rsidRPr="00A57D9E">
        <w:t>3</w:t>
      </w:r>
      <w:r w:rsidR="002345E8">
        <w:rPr>
          <w:rFonts w:cs="Arial"/>
        </w:rPr>
        <w:fldChar w:fldCharType="end"/>
      </w:r>
      <w:r w:rsidR="002345E8">
        <w:rPr>
          <w:rFonts w:cs="Arial"/>
        </w:rPr>
        <w:t xml:space="preserve"> </w:t>
      </w:r>
      <w:r w:rsidR="00890B12" w:rsidRPr="7E4EA285">
        <w:rPr>
          <w:rFonts w:cs="Arial"/>
        </w:rPr>
        <w:t>outline</w:t>
      </w:r>
      <w:r w:rsidR="00D70B20" w:rsidRPr="7E4EA285">
        <w:rPr>
          <w:rFonts w:cs="Arial"/>
        </w:rPr>
        <w:t>s</w:t>
      </w:r>
      <w:r w:rsidR="00890B12" w:rsidRPr="7E4EA285">
        <w:rPr>
          <w:rFonts w:cs="Arial"/>
        </w:rPr>
        <w:t xml:space="preserve"> the number of active</w:t>
      </w:r>
      <w:r w:rsidR="00620E84" w:rsidRPr="7E4EA285">
        <w:rPr>
          <w:rFonts w:cs="Arial"/>
        </w:rPr>
        <w:t xml:space="preserve"> builder and tra</w:t>
      </w:r>
      <w:r w:rsidR="00934240" w:rsidRPr="7E4EA285">
        <w:rPr>
          <w:rFonts w:cs="Arial"/>
        </w:rPr>
        <w:t>de</w:t>
      </w:r>
      <w:r w:rsidR="003967B8" w:rsidRPr="7E4EA285">
        <w:rPr>
          <w:rFonts w:cs="Arial"/>
        </w:rPr>
        <w:t xml:space="preserve"> </w:t>
      </w:r>
      <w:r w:rsidR="003967B8" w:rsidRPr="00DA3D21">
        <w:t>licen</w:t>
      </w:r>
      <w:r w:rsidR="003967B8">
        <w:t>c</w:t>
      </w:r>
      <w:r w:rsidR="003967B8" w:rsidRPr="00DA3D21">
        <w:t xml:space="preserve">es </w:t>
      </w:r>
      <w:r w:rsidR="57D8CFF5" w:rsidRPr="345835F2">
        <w:rPr>
          <w:rFonts w:cs="Arial"/>
        </w:rPr>
        <w:t xml:space="preserve">current at </w:t>
      </w:r>
      <w:r w:rsidR="003967B8">
        <w:t xml:space="preserve">the </w:t>
      </w:r>
      <w:r w:rsidR="370EF97B">
        <w:t xml:space="preserve">conclusion of </w:t>
      </w:r>
      <w:r w:rsidR="003967B8" w:rsidRPr="00DA3D21">
        <w:t xml:space="preserve">the </w:t>
      </w:r>
      <w:r w:rsidR="00AF05EF">
        <w:t>reporting period</w:t>
      </w:r>
      <w:r w:rsidR="00620E84" w:rsidRPr="7E4EA285">
        <w:rPr>
          <w:rFonts w:cs="Arial"/>
        </w:rPr>
        <w:t xml:space="preserve">, while </w:t>
      </w:r>
      <w:r w:rsidR="008D6200">
        <w:rPr>
          <w:rFonts w:cs="Arial"/>
        </w:rPr>
        <w:fldChar w:fldCharType="begin"/>
      </w:r>
      <w:r w:rsidR="008D6200">
        <w:rPr>
          <w:rFonts w:cs="Arial"/>
        </w:rPr>
        <w:instrText xml:space="preserve"> REF _Ref201907783 \h </w:instrText>
      </w:r>
      <w:r w:rsidR="008D6200">
        <w:rPr>
          <w:rFonts w:cs="Arial"/>
        </w:rPr>
      </w:r>
      <w:r w:rsidR="008D6200">
        <w:rPr>
          <w:rFonts w:cs="Arial"/>
        </w:rPr>
        <w:fldChar w:fldCharType="separate"/>
      </w:r>
      <w:r w:rsidR="00CC44DF">
        <w:t xml:space="preserve">Table </w:t>
      </w:r>
      <w:r w:rsidR="00CC44DF" w:rsidRPr="00A57D9E">
        <w:t>4</w:t>
      </w:r>
      <w:r w:rsidR="008D6200">
        <w:rPr>
          <w:rFonts w:cs="Arial"/>
        </w:rPr>
        <w:fldChar w:fldCharType="end"/>
      </w:r>
      <w:r w:rsidR="008D6200">
        <w:rPr>
          <w:rFonts w:cs="Arial"/>
        </w:rPr>
        <w:t xml:space="preserve"> </w:t>
      </w:r>
      <w:r w:rsidR="007A6DC5" w:rsidRPr="7E4EA285">
        <w:rPr>
          <w:rFonts w:cs="Arial"/>
        </w:rPr>
        <w:t>provide</w:t>
      </w:r>
      <w:r w:rsidR="00620E84" w:rsidRPr="7E4EA285">
        <w:rPr>
          <w:rFonts w:cs="Arial"/>
        </w:rPr>
        <w:t>s</w:t>
      </w:r>
      <w:r w:rsidR="007A6DC5" w:rsidRPr="7E4EA285">
        <w:rPr>
          <w:rFonts w:cs="Arial"/>
        </w:rPr>
        <w:t xml:space="preserve"> </w:t>
      </w:r>
      <w:r w:rsidR="00A460A1" w:rsidRPr="7E4EA285">
        <w:rPr>
          <w:rFonts w:cs="Arial"/>
        </w:rPr>
        <w:t xml:space="preserve">details on the </w:t>
      </w:r>
      <w:r w:rsidR="00392AA6" w:rsidRPr="7E4EA285">
        <w:rPr>
          <w:rFonts w:cs="Arial"/>
        </w:rPr>
        <w:t xml:space="preserve">active </w:t>
      </w:r>
      <w:r w:rsidR="00F404B3">
        <w:t xml:space="preserve">fire protection and mechanical services </w:t>
      </w:r>
      <w:r w:rsidR="004A063A">
        <w:t>licences</w:t>
      </w:r>
      <w:r w:rsidR="007A6DC5" w:rsidRPr="00BD66FE">
        <w:t>.</w:t>
      </w:r>
      <w:r w:rsidR="00682418" w:rsidRPr="00BD66FE">
        <w:t xml:space="preserve"> </w:t>
      </w:r>
    </w:p>
    <w:p w14:paraId="15736CF8" w14:textId="25B35783" w:rsidR="00C974FE" w:rsidRDefault="00D03554" w:rsidP="009249C9">
      <w:pPr>
        <w:spacing w:before="120" w:after="120"/>
        <w:rPr>
          <w:rFonts w:cs="Arial"/>
        </w:rPr>
      </w:pPr>
      <w:r>
        <w:t xml:space="preserve">Each </w:t>
      </w:r>
      <w:r w:rsidR="008718F9" w:rsidRPr="00BD66FE">
        <w:t>l</w:t>
      </w:r>
      <w:r w:rsidR="00682418" w:rsidRPr="00BD66FE">
        <w:t xml:space="preserve">icensee can hold multiple </w:t>
      </w:r>
      <w:r w:rsidR="00485A1C" w:rsidRPr="00485A1C">
        <w:t>licence classes</w:t>
      </w:r>
      <w:r w:rsidR="00682418" w:rsidRPr="00BD66FE">
        <w:t xml:space="preserve"> within or across different licence streams</w:t>
      </w:r>
      <w:r w:rsidR="00B11949" w:rsidRPr="00BD66FE">
        <w:t xml:space="preserve"> </w:t>
      </w:r>
      <w:r w:rsidR="00682418" w:rsidRPr="00BD66FE">
        <w:t xml:space="preserve">and </w:t>
      </w:r>
      <w:r w:rsidR="00F17CC4" w:rsidRPr="00BD66FE">
        <w:t xml:space="preserve">can </w:t>
      </w:r>
      <w:r w:rsidR="00682418" w:rsidRPr="00BD66FE">
        <w:t xml:space="preserve">also hold more than one </w:t>
      </w:r>
      <w:r w:rsidR="00DB4A41" w:rsidRPr="00BD66FE">
        <w:t xml:space="preserve">type of </w:t>
      </w:r>
      <w:r w:rsidR="00682418" w:rsidRPr="00BD66FE">
        <w:t>licence</w:t>
      </w:r>
      <w:r w:rsidR="00B11949" w:rsidRPr="00BD66FE">
        <w:t>. F</w:t>
      </w:r>
      <w:r w:rsidR="00682418" w:rsidRPr="00BD66FE">
        <w:t>or example, a</w:t>
      </w:r>
      <w:r w:rsidR="00DB4A41" w:rsidRPr="00BD66FE">
        <w:t xml:space="preserve"> fire protection</w:t>
      </w:r>
      <w:r w:rsidR="00682418" w:rsidRPr="00BD66FE">
        <w:t xml:space="preserve"> licensee might hold both a nominee </w:t>
      </w:r>
      <w:r w:rsidR="00682418" w:rsidRPr="00BD66FE">
        <w:lastRenderedPageBreak/>
        <w:t>supervisor licence and an occupational licence</w:t>
      </w:r>
      <w:r w:rsidR="006B3664" w:rsidRPr="00BD66FE">
        <w:t>.</w:t>
      </w:r>
      <w:r w:rsidR="009249C9">
        <w:t xml:space="preserve"> </w:t>
      </w:r>
      <w:r w:rsidR="00433429">
        <w:t>In addition, f</w:t>
      </w:r>
      <w:r w:rsidR="009249C9">
        <w:t xml:space="preserve">ire protection licences are not </w:t>
      </w:r>
      <w:r w:rsidR="001918E5">
        <w:t>issued</w:t>
      </w:r>
      <w:r w:rsidR="009249C9">
        <w:t xml:space="preserve"> under the site supervisor licence type</w:t>
      </w:r>
      <w:r w:rsidR="001B33C5">
        <w:t>,</w:t>
      </w:r>
      <w:r w:rsidR="009249C9">
        <w:t xml:space="preserve"> </w:t>
      </w:r>
      <w:r w:rsidR="00E7081D">
        <w:t xml:space="preserve">as </w:t>
      </w:r>
      <w:r w:rsidR="002861E2">
        <w:t>site supervision</w:t>
      </w:r>
      <w:r w:rsidR="001B33C5">
        <w:t xml:space="preserve"> responsibilities are </w:t>
      </w:r>
      <w:r w:rsidR="002861E2">
        <w:t xml:space="preserve">covered under </w:t>
      </w:r>
      <w:r w:rsidR="000D7503">
        <w:t>occupation</w:t>
      </w:r>
      <w:r w:rsidR="004F0C39">
        <w:t>al</w:t>
      </w:r>
      <w:r w:rsidR="000D7503">
        <w:t xml:space="preserve"> licences</w:t>
      </w:r>
      <w:r w:rsidR="009249C9">
        <w:t xml:space="preserve">. </w:t>
      </w:r>
      <w:r w:rsidR="006F0444">
        <w:t>Therefore</w:t>
      </w:r>
      <w:r w:rsidR="00433429">
        <w:t xml:space="preserve">, </w:t>
      </w:r>
      <w:r w:rsidR="00BB2F07">
        <w:t xml:space="preserve">a </w:t>
      </w:r>
      <w:r w:rsidR="008C31D8">
        <w:t xml:space="preserve">specific </w:t>
      </w:r>
      <w:r w:rsidR="00BB2F07">
        <w:t xml:space="preserve">count of </w:t>
      </w:r>
      <w:r w:rsidR="006146E0">
        <w:t xml:space="preserve">site supervisor </w:t>
      </w:r>
      <w:r w:rsidR="006F0444">
        <w:t xml:space="preserve">licences </w:t>
      </w:r>
      <w:r w:rsidR="00B07C51">
        <w:t xml:space="preserve">for </w:t>
      </w:r>
      <w:r w:rsidR="0023680D">
        <w:t xml:space="preserve">fire protection </w:t>
      </w:r>
      <w:r w:rsidR="00B07C51">
        <w:t>is not available.</w:t>
      </w:r>
      <w:r w:rsidR="00433429">
        <w:t xml:space="preserve"> </w:t>
      </w:r>
    </w:p>
    <w:p w14:paraId="08281F6B" w14:textId="041AA79C" w:rsidR="00C974FE" w:rsidRPr="002345E8" w:rsidRDefault="002345E8" w:rsidP="00074B09">
      <w:pPr>
        <w:pStyle w:val="Caption"/>
        <w:keepNext/>
        <w:spacing w:before="120" w:after="120"/>
      </w:pPr>
      <w:bookmarkStart w:id="39" w:name="_Ref201907465"/>
      <w:bookmarkStart w:id="40" w:name="_Toc202872033"/>
      <w:bookmarkStart w:id="41" w:name="_Toc202872653"/>
      <w:bookmarkStart w:id="42" w:name="_Ref202873374"/>
      <w:r>
        <w:t xml:space="preserve">Table </w:t>
      </w:r>
      <w:r>
        <w:fldChar w:fldCharType="begin"/>
      </w:r>
      <w:r>
        <w:instrText>SEQ Table \* ARABIC</w:instrText>
      </w:r>
      <w:r>
        <w:fldChar w:fldCharType="separate"/>
      </w:r>
      <w:r w:rsidR="0042456A" w:rsidRPr="00A57D9E">
        <w:t>3</w:t>
      </w:r>
      <w:r>
        <w:fldChar w:fldCharType="end"/>
      </w:r>
      <w:bookmarkEnd w:id="39"/>
      <w:r w:rsidRPr="003D14D5">
        <w:t xml:space="preserve">: Number of active builder and trade </w:t>
      </w:r>
      <w:r w:rsidR="00B806D8" w:rsidRPr="003D14D5">
        <w:t>license</w:t>
      </w:r>
      <w:r w:rsidR="00B806D8">
        <w:t>e</w:t>
      </w:r>
      <w:r w:rsidR="00B806D8" w:rsidRPr="003D14D5">
        <w:t>s</w:t>
      </w:r>
      <w:r w:rsidRPr="003D14D5">
        <w:t xml:space="preserve"> in 2024–25</w:t>
      </w:r>
      <w:bookmarkEnd w:id="40"/>
      <w:bookmarkEnd w:id="41"/>
      <w:bookmarkEnd w:id="42"/>
    </w:p>
    <w:tbl>
      <w:tblPr>
        <w:tblStyle w:val="TableGrid"/>
        <w:tblW w:w="10485" w:type="dxa"/>
        <w:tblLayout w:type="fixed"/>
        <w:tblLook w:val="04A0" w:firstRow="1" w:lastRow="0" w:firstColumn="1" w:lastColumn="0" w:noHBand="0" w:noVBand="1"/>
      </w:tblPr>
      <w:tblGrid>
        <w:gridCol w:w="3256"/>
        <w:gridCol w:w="2268"/>
        <w:gridCol w:w="2268"/>
        <w:gridCol w:w="2693"/>
      </w:tblGrid>
      <w:tr w:rsidR="00FF01ED" w:rsidRPr="00BF7735" w14:paraId="502ACC04" w14:textId="77777777" w:rsidTr="00960FB5">
        <w:trPr>
          <w:trHeight w:val="1016"/>
        </w:trPr>
        <w:tc>
          <w:tcPr>
            <w:tcW w:w="3256" w:type="dxa"/>
            <w:shd w:val="clear" w:color="auto" w:fill="A6A6A6" w:themeFill="background1" w:themeFillShade="A6"/>
            <w:noWrap/>
            <w:vAlign w:val="center"/>
            <w:hideMark/>
          </w:tcPr>
          <w:p w14:paraId="3FECB326" w14:textId="3D8AE608" w:rsidR="00FF01ED" w:rsidRPr="00BF7735" w:rsidRDefault="00FF01ED" w:rsidP="004A3B7F">
            <w:pPr>
              <w:rPr>
                <w:rFonts w:eastAsia="Times New Roman" w:cs="Arial"/>
                <w:b/>
                <w:bCs/>
                <w:color w:val="000000"/>
                <w:szCs w:val="22"/>
                <w:lang w:eastAsia="en-AU"/>
              </w:rPr>
            </w:pPr>
            <w:r w:rsidRPr="00BF7735">
              <w:rPr>
                <w:rFonts w:eastAsia="Times New Roman" w:cs="Arial"/>
                <w:b/>
                <w:bCs/>
                <w:color w:val="000000"/>
                <w:szCs w:val="22"/>
                <w:lang w:eastAsia="en-AU"/>
              </w:rPr>
              <w:t xml:space="preserve">Licence </w:t>
            </w:r>
            <w:r>
              <w:rPr>
                <w:rFonts w:eastAsia="Times New Roman" w:cs="Arial"/>
                <w:b/>
                <w:bCs/>
                <w:color w:val="000000"/>
                <w:szCs w:val="22"/>
                <w:lang w:eastAsia="en-AU"/>
              </w:rPr>
              <w:t>t</w:t>
            </w:r>
            <w:r w:rsidRPr="00BF7735">
              <w:rPr>
                <w:rFonts w:eastAsia="Times New Roman" w:cs="Arial"/>
                <w:b/>
                <w:bCs/>
                <w:color w:val="000000"/>
                <w:szCs w:val="22"/>
                <w:lang w:eastAsia="en-AU"/>
              </w:rPr>
              <w:t>ype</w:t>
            </w:r>
          </w:p>
        </w:tc>
        <w:tc>
          <w:tcPr>
            <w:tcW w:w="2268" w:type="dxa"/>
            <w:shd w:val="clear" w:color="auto" w:fill="A6A6A6" w:themeFill="background1" w:themeFillShade="A6"/>
            <w:noWrap/>
            <w:vAlign w:val="center"/>
            <w:hideMark/>
          </w:tcPr>
          <w:p w14:paraId="4DD4B428" w14:textId="6C9BC455" w:rsidR="00FF01ED" w:rsidRPr="00BF7735" w:rsidRDefault="00FF01ED" w:rsidP="004A3B7F">
            <w:pPr>
              <w:rPr>
                <w:rFonts w:eastAsia="Times New Roman" w:cs="Arial"/>
                <w:b/>
                <w:bCs/>
                <w:color w:val="000000"/>
                <w:szCs w:val="22"/>
                <w:lang w:eastAsia="en-AU"/>
              </w:rPr>
            </w:pPr>
            <w:r w:rsidRPr="00BF7735">
              <w:rPr>
                <w:rFonts w:eastAsia="Times New Roman" w:cs="Arial"/>
                <w:b/>
                <w:bCs/>
                <w:color w:val="000000"/>
                <w:szCs w:val="22"/>
                <w:lang w:eastAsia="en-AU"/>
              </w:rPr>
              <w:t>Company</w:t>
            </w:r>
          </w:p>
        </w:tc>
        <w:tc>
          <w:tcPr>
            <w:tcW w:w="2268" w:type="dxa"/>
            <w:shd w:val="clear" w:color="auto" w:fill="A6A6A6" w:themeFill="background1" w:themeFillShade="A6"/>
            <w:vAlign w:val="center"/>
          </w:tcPr>
          <w:p w14:paraId="76A19BEF" w14:textId="7786CB31" w:rsidR="00FF01ED" w:rsidRPr="00BF7735" w:rsidRDefault="00FF01ED" w:rsidP="004A3B7F">
            <w:pPr>
              <w:rPr>
                <w:rFonts w:eastAsia="Times New Roman" w:cs="Arial"/>
                <w:b/>
                <w:bCs/>
                <w:color w:val="000000"/>
                <w:szCs w:val="22"/>
                <w:lang w:eastAsia="en-AU"/>
              </w:rPr>
            </w:pPr>
            <w:r w:rsidRPr="00BF7735">
              <w:rPr>
                <w:rFonts w:eastAsia="Times New Roman" w:cs="Arial"/>
                <w:b/>
                <w:bCs/>
                <w:color w:val="000000"/>
                <w:szCs w:val="22"/>
                <w:lang w:eastAsia="en-AU"/>
              </w:rPr>
              <w:t>Individual</w:t>
            </w:r>
          </w:p>
        </w:tc>
        <w:tc>
          <w:tcPr>
            <w:tcW w:w="2693" w:type="dxa"/>
            <w:shd w:val="clear" w:color="auto" w:fill="A6A6A6" w:themeFill="background1" w:themeFillShade="A6"/>
            <w:noWrap/>
            <w:vAlign w:val="center"/>
            <w:hideMark/>
          </w:tcPr>
          <w:p w14:paraId="30E80594" w14:textId="77777777" w:rsidR="00FF01ED" w:rsidRPr="00BF7735" w:rsidRDefault="00FF01ED" w:rsidP="00BF7735">
            <w:pPr>
              <w:rPr>
                <w:rFonts w:eastAsia="Times New Roman" w:cs="Arial"/>
                <w:b/>
                <w:bCs/>
                <w:color w:val="000000"/>
                <w:szCs w:val="22"/>
                <w:lang w:eastAsia="en-AU"/>
              </w:rPr>
            </w:pPr>
            <w:r w:rsidRPr="00BF7735">
              <w:rPr>
                <w:rFonts w:eastAsia="Times New Roman" w:cs="Arial"/>
                <w:b/>
                <w:bCs/>
                <w:color w:val="000000"/>
                <w:szCs w:val="22"/>
                <w:lang w:eastAsia="en-AU"/>
              </w:rPr>
              <w:t>Total</w:t>
            </w:r>
          </w:p>
        </w:tc>
      </w:tr>
      <w:tr w:rsidR="00FF01ED" w:rsidRPr="00BF7735" w14:paraId="3318C0B6" w14:textId="77777777" w:rsidTr="00960FB5">
        <w:trPr>
          <w:trHeight w:val="300"/>
        </w:trPr>
        <w:tc>
          <w:tcPr>
            <w:tcW w:w="3256" w:type="dxa"/>
            <w:noWrap/>
            <w:vAlign w:val="center"/>
            <w:hideMark/>
          </w:tcPr>
          <w:p w14:paraId="541CF44D" w14:textId="77777777" w:rsidR="00FF01ED" w:rsidRPr="00BF7735" w:rsidRDefault="00FF01ED" w:rsidP="00BF7735">
            <w:pPr>
              <w:rPr>
                <w:rFonts w:eastAsia="Times New Roman" w:cs="Arial"/>
                <w:color w:val="020A0A"/>
                <w:szCs w:val="22"/>
                <w:lang w:eastAsia="en-AU"/>
              </w:rPr>
            </w:pPr>
            <w:r w:rsidRPr="00BF7735">
              <w:rPr>
                <w:rFonts w:eastAsia="Times New Roman" w:cs="Arial"/>
                <w:color w:val="020A0A"/>
                <w:szCs w:val="22"/>
                <w:lang w:eastAsia="en-AU"/>
              </w:rPr>
              <w:t>Builder</w:t>
            </w:r>
          </w:p>
        </w:tc>
        <w:tc>
          <w:tcPr>
            <w:tcW w:w="2268" w:type="dxa"/>
            <w:noWrap/>
            <w:vAlign w:val="center"/>
            <w:hideMark/>
          </w:tcPr>
          <w:p w14:paraId="75D51EBD" w14:textId="77777777"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11,033</w:t>
            </w:r>
          </w:p>
        </w:tc>
        <w:tc>
          <w:tcPr>
            <w:tcW w:w="2268" w:type="dxa"/>
            <w:noWrap/>
            <w:vAlign w:val="center"/>
            <w:hideMark/>
          </w:tcPr>
          <w:p w14:paraId="0C0920AA" w14:textId="77777777"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17,812</w:t>
            </w:r>
          </w:p>
        </w:tc>
        <w:tc>
          <w:tcPr>
            <w:tcW w:w="2693" w:type="dxa"/>
            <w:noWrap/>
            <w:vAlign w:val="center"/>
            <w:hideMark/>
          </w:tcPr>
          <w:p w14:paraId="5536D1BA" w14:textId="77777777"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28,845</w:t>
            </w:r>
          </w:p>
        </w:tc>
      </w:tr>
      <w:tr w:rsidR="00FF01ED" w:rsidRPr="00BF7735" w14:paraId="12710EB8" w14:textId="77777777" w:rsidTr="00960FB5">
        <w:trPr>
          <w:trHeight w:val="300"/>
        </w:trPr>
        <w:tc>
          <w:tcPr>
            <w:tcW w:w="3256" w:type="dxa"/>
            <w:noWrap/>
            <w:vAlign w:val="center"/>
            <w:hideMark/>
          </w:tcPr>
          <w:p w14:paraId="0EECE9F1" w14:textId="77777777" w:rsidR="00FF01ED" w:rsidRPr="00BF7735" w:rsidRDefault="00FF01ED" w:rsidP="00BF7735">
            <w:pPr>
              <w:rPr>
                <w:rFonts w:eastAsia="Times New Roman" w:cs="Arial"/>
                <w:color w:val="020A0A"/>
                <w:szCs w:val="22"/>
                <w:lang w:eastAsia="en-AU"/>
              </w:rPr>
            </w:pPr>
            <w:r w:rsidRPr="00BF7735">
              <w:rPr>
                <w:rFonts w:eastAsia="Times New Roman" w:cs="Arial"/>
                <w:color w:val="020A0A"/>
                <w:szCs w:val="22"/>
                <w:lang w:eastAsia="en-AU"/>
              </w:rPr>
              <w:t>Trade Contractor</w:t>
            </w:r>
          </w:p>
        </w:tc>
        <w:tc>
          <w:tcPr>
            <w:tcW w:w="2268" w:type="dxa"/>
            <w:noWrap/>
            <w:vAlign w:val="center"/>
            <w:hideMark/>
          </w:tcPr>
          <w:p w14:paraId="31D77AD3" w14:textId="77777777"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14,291</w:t>
            </w:r>
          </w:p>
        </w:tc>
        <w:tc>
          <w:tcPr>
            <w:tcW w:w="2268" w:type="dxa"/>
            <w:noWrap/>
            <w:vAlign w:val="center"/>
            <w:hideMark/>
          </w:tcPr>
          <w:p w14:paraId="328FB3F0" w14:textId="77777777"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34,990</w:t>
            </w:r>
          </w:p>
        </w:tc>
        <w:tc>
          <w:tcPr>
            <w:tcW w:w="2693" w:type="dxa"/>
            <w:noWrap/>
            <w:vAlign w:val="center"/>
            <w:hideMark/>
          </w:tcPr>
          <w:p w14:paraId="4DF6DC5F" w14:textId="77777777"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49,281</w:t>
            </w:r>
          </w:p>
        </w:tc>
      </w:tr>
      <w:tr w:rsidR="00FF01ED" w:rsidRPr="00BF7735" w14:paraId="0FE73C86" w14:textId="77777777" w:rsidTr="00960FB5">
        <w:trPr>
          <w:trHeight w:val="300"/>
        </w:trPr>
        <w:tc>
          <w:tcPr>
            <w:tcW w:w="3256" w:type="dxa"/>
            <w:noWrap/>
            <w:vAlign w:val="center"/>
            <w:hideMark/>
          </w:tcPr>
          <w:p w14:paraId="55D4177F" w14:textId="77777777" w:rsidR="00FF01ED" w:rsidRPr="00BF7735" w:rsidRDefault="00FF01ED" w:rsidP="00BF7735">
            <w:pPr>
              <w:rPr>
                <w:rFonts w:eastAsia="Times New Roman" w:cs="Arial"/>
                <w:color w:val="020A0A"/>
                <w:szCs w:val="22"/>
                <w:lang w:eastAsia="en-AU"/>
              </w:rPr>
            </w:pPr>
            <w:r w:rsidRPr="00BF7735">
              <w:rPr>
                <w:rFonts w:eastAsia="Times New Roman" w:cs="Arial"/>
                <w:color w:val="020A0A"/>
                <w:szCs w:val="22"/>
                <w:lang w:eastAsia="en-AU"/>
              </w:rPr>
              <w:t>Nominee Supervisor</w:t>
            </w:r>
          </w:p>
        </w:tc>
        <w:tc>
          <w:tcPr>
            <w:tcW w:w="2268" w:type="dxa"/>
            <w:noWrap/>
            <w:vAlign w:val="center"/>
            <w:hideMark/>
          </w:tcPr>
          <w:p w14:paraId="449648D1" w14:textId="2985305B" w:rsidR="00FF01ED" w:rsidRPr="00BF7735" w:rsidRDefault="00FF01ED" w:rsidP="00BF7735">
            <w:pPr>
              <w:rPr>
                <w:rFonts w:eastAsia="Times New Roman" w:cs="Arial"/>
                <w:color w:val="000000"/>
                <w:szCs w:val="22"/>
                <w:lang w:eastAsia="en-AU"/>
              </w:rPr>
            </w:pPr>
            <w:r w:rsidRPr="00BF7735">
              <w:rPr>
                <w:rFonts w:eastAsia="Times New Roman" w:cs="Arial"/>
                <w:color w:val="000000"/>
                <w:szCs w:val="22"/>
                <w:lang w:eastAsia="en-AU"/>
              </w:rPr>
              <w:t> </w:t>
            </w:r>
            <w:r w:rsidR="00424C29">
              <w:rPr>
                <w:rFonts w:eastAsia="Times New Roman" w:cs="Arial"/>
                <w:color w:val="000000"/>
                <w:szCs w:val="22"/>
                <w:lang w:eastAsia="en-AU"/>
              </w:rPr>
              <w:t>N/A</w:t>
            </w:r>
          </w:p>
        </w:tc>
        <w:tc>
          <w:tcPr>
            <w:tcW w:w="2268" w:type="dxa"/>
            <w:noWrap/>
            <w:vAlign w:val="center"/>
            <w:hideMark/>
          </w:tcPr>
          <w:p w14:paraId="5474400F" w14:textId="77777777"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16,039</w:t>
            </w:r>
          </w:p>
        </w:tc>
        <w:tc>
          <w:tcPr>
            <w:tcW w:w="2693" w:type="dxa"/>
            <w:noWrap/>
            <w:vAlign w:val="center"/>
            <w:hideMark/>
          </w:tcPr>
          <w:p w14:paraId="0ACA59E4" w14:textId="77777777"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16,039</w:t>
            </w:r>
          </w:p>
        </w:tc>
      </w:tr>
      <w:tr w:rsidR="00FF01ED" w:rsidRPr="00BF7735" w14:paraId="0594BDDD" w14:textId="77777777" w:rsidTr="00960FB5">
        <w:trPr>
          <w:trHeight w:val="300"/>
        </w:trPr>
        <w:tc>
          <w:tcPr>
            <w:tcW w:w="3256" w:type="dxa"/>
            <w:noWrap/>
            <w:vAlign w:val="center"/>
            <w:hideMark/>
          </w:tcPr>
          <w:p w14:paraId="4C434BAB" w14:textId="77777777" w:rsidR="00FF01ED" w:rsidRPr="00BF7735" w:rsidRDefault="00FF01ED" w:rsidP="00BF7735">
            <w:pPr>
              <w:rPr>
                <w:rFonts w:eastAsia="Times New Roman" w:cs="Arial"/>
                <w:color w:val="020A0A"/>
                <w:szCs w:val="22"/>
                <w:lang w:eastAsia="en-AU"/>
              </w:rPr>
            </w:pPr>
            <w:r w:rsidRPr="00BF7735">
              <w:rPr>
                <w:rFonts w:eastAsia="Times New Roman" w:cs="Arial"/>
                <w:color w:val="020A0A"/>
                <w:szCs w:val="22"/>
                <w:lang w:eastAsia="en-AU"/>
              </w:rPr>
              <w:t>Site Supervisor</w:t>
            </w:r>
          </w:p>
        </w:tc>
        <w:tc>
          <w:tcPr>
            <w:tcW w:w="2268" w:type="dxa"/>
            <w:noWrap/>
            <w:vAlign w:val="center"/>
            <w:hideMark/>
          </w:tcPr>
          <w:p w14:paraId="4CBAB510" w14:textId="75C1C6F7" w:rsidR="00FF01ED" w:rsidRPr="00BF7735" w:rsidRDefault="00FF01ED" w:rsidP="00BF7735">
            <w:pPr>
              <w:rPr>
                <w:rFonts w:eastAsia="Times New Roman" w:cs="Arial"/>
                <w:color w:val="000000"/>
                <w:szCs w:val="22"/>
                <w:lang w:eastAsia="en-AU"/>
              </w:rPr>
            </w:pPr>
            <w:r w:rsidRPr="00BF7735">
              <w:rPr>
                <w:rFonts w:eastAsia="Times New Roman" w:cs="Arial"/>
                <w:color w:val="000000"/>
                <w:szCs w:val="22"/>
                <w:lang w:eastAsia="en-AU"/>
              </w:rPr>
              <w:t> </w:t>
            </w:r>
            <w:r w:rsidR="00424C29">
              <w:rPr>
                <w:rFonts w:eastAsia="Times New Roman" w:cs="Arial"/>
                <w:color w:val="000000"/>
                <w:szCs w:val="22"/>
                <w:lang w:eastAsia="en-AU"/>
              </w:rPr>
              <w:t>N/A</w:t>
            </w:r>
          </w:p>
        </w:tc>
        <w:tc>
          <w:tcPr>
            <w:tcW w:w="2268" w:type="dxa"/>
            <w:noWrap/>
            <w:vAlign w:val="center"/>
            <w:hideMark/>
          </w:tcPr>
          <w:p w14:paraId="31C10DC4" w14:textId="62B0D782"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5</w:t>
            </w:r>
            <w:r w:rsidR="00EB067F">
              <w:rPr>
                <w:rFonts w:eastAsia="Times New Roman" w:cs="Arial"/>
                <w:color w:val="000000"/>
                <w:szCs w:val="22"/>
                <w:lang w:eastAsia="en-AU"/>
              </w:rPr>
              <w:t>,</w:t>
            </w:r>
            <w:r w:rsidRPr="00BF7735">
              <w:rPr>
                <w:rFonts w:eastAsia="Times New Roman" w:cs="Arial"/>
                <w:color w:val="000000"/>
                <w:szCs w:val="22"/>
                <w:lang w:eastAsia="en-AU"/>
              </w:rPr>
              <w:t>402</w:t>
            </w:r>
          </w:p>
        </w:tc>
        <w:tc>
          <w:tcPr>
            <w:tcW w:w="2693" w:type="dxa"/>
            <w:noWrap/>
            <w:vAlign w:val="center"/>
            <w:hideMark/>
          </w:tcPr>
          <w:p w14:paraId="5639E1B5" w14:textId="77777777"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5,402</w:t>
            </w:r>
          </w:p>
        </w:tc>
      </w:tr>
      <w:tr w:rsidR="00FF01ED" w:rsidRPr="00BF7735" w14:paraId="19D275D6" w14:textId="77777777" w:rsidTr="00960FB5">
        <w:trPr>
          <w:trHeight w:val="300"/>
        </w:trPr>
        <w:tc>
          <w:tcPr>
            <w:tcW w:w="3256" w:type="dxa"/>
            <w:noWrap/>
            <w:vAlign w:val="center"/>
            <w:hideMark/>
          </w:tcPr>
          <w:p w14:paraId="7E7C419C" w14:textId="77777777" w:rsidR="00FF01ED" w:rsidRPr="00BF7735" w:rsidRDefault="00FF01ED" w:rsidP="00BF7735">
            <w:pPr>
              <w:rPr>
                <w:rFonts w:eastAsia="Times New Roman" w:cs="Arial"/>
                <w:color w:val="020A0A"/>
                <w:szCs w:val="22"/>
                <w:lang w:eastAsia="en-AU"/>
              </w:rPr>
            </w:pPr>
            <w:r w:rsidRPr="00BF7735">
              <w:rPr>
                <w:rFonts w:eastAsia="Times New Roman" w:cs="Arial"/>
                <w:color w:val="020A0A"/>
                <w:szCs w:val="22"/>
                <w:lang w:eastAsia="en-AU"/>
              </w:rPr>
              <w:t>Occupational</w:t>
            </w:r>
          </w:p>
        </w:tc>
        <w:tc>
          <w:tcPr>
            <w:tcW w:w="2268" w:type="dxa"/>
            <w:noWrap/>
            <w:vAlign w:val="center"/>
            <w:hideMark/>
          </w:tcPr>
          <w:p w14:paraId="7FEDF03C" w14:textId="24F84867" w:rsidR="00FF01ED" w:rsidRPr="00BF7735" w:rsidRDefault="00FF01ED" w:rsidP="00BF7735">
            <w:pPr>
              <w:rPr>
                <w:rFonts w:eastAsia="Times New Roman" w:cs="Arial"/>
                <w:color w:val="000000"/>
                <w:szCs w:val="22"/>
                <w:lang w:eastAsia="en-AU"/>
              </w:rPr>
            </w:pPr>
            <w:r w:rsidRPr="00BF7735">
              <w:rPr>
                <w:rFonts w:eastAsia="Times New Roman" w:cs="Arial"/>
                <w:color w:val="000000"/>
                <w:szCs w:val="22"/>
                <w:lang w:eastAsia="en-AU"/>
              </w:rPr>
              <w:t> </w:t>
            </w:r>
            <w:r w:rsidR="00424C29">
              <w:rPr>
                <w:rFonts w:eastAsia="Times New Roman" w:cs="Arial"/>
                <w:color w:val="000000"/>
                <w:szCs w:val="22"/>
                <w:lang w:eastAsia="en-AU"/>
              </w:rPr>
              <w:t>N/A</w:t>
            </w:r>
          </w:p>
        </w:tc>
        <w:tc>
          <w:tcPr>
            <w:tcW w:w="2268" w:type="dxa"/>
            <w:noWrap/>
            <w:vAlign w:val="center"/>
            <w:hideMark/>
          </w:tcPr>
          <w:p w14:paraId="662623A8" w14:textId="08E0F9C0"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4</w:t>
            </w:r>
            <w:r w:rsidR="00EB067F">
              <w:rPr>
                <w:rFonts w:eastAsia="Times New Roman" w:cs="Arial"/>
                <w:color w:val="000000"/>
                <w:szCs w:val="22"/>
                <w:lang w:eastAsia="en-AU"/>
              </w:rPr>
              <w:t>,</w:t>
            </w:r>
            <w:r w:rsidRPr="00BF7735">
              <w:rPr>
                <w:rFonts w:eastAsia="Times New Roman" w:cs="Arial"/>
                <w:color w:val="000000"/>
                <w:szCs w:val="22"/>
                <w:lang w:eastAsia="en-AU"/>
              </w:rPr>
              <w:t>616</w:t>
            </w:r>
          </w:p>
        </w:tc>
        <w:tc>
          <w:tcPr>
            <w:tcW w:w="2693" w:type="dxa"/>
            <w:noWrap/>
            <w:vAlign w:val="center"/>
            <w:hideMark/>
          </w:tcPr>
          <w:p w14:paraId="6032D998" w14:textId="77777777" w:rsidR="00FF01ED" w:rsidRPr="00BF7735" w:rsidRDefault="00FF01ED" w:rsidP="00640E20">
            <w:pPr>
              <w:rPr>
                <w:rFonts w:eastAsia="Times New Roman" w:cs="Arial"/>
                <w:color w:val="000000"/>
                <w:szCs w:val="22"/>
                <w:lang w:eastAsia="en-AU"/>
              </w:rPr>
            </w:pPr>
            <w:r w:rsidRPr="00BF7735">
              <w:rPr>
                <w:rFonts w:eastAsia="Times New Roman" w:cs="Arial"/>
                <w:color w:val="000000"/>
                <w:szCs w:val="22"/>
                <w:lang w:eastAsia="en-AU"/>
              </w:rPr>
              <w:t>4,616</w:t>
            </w:r>
          </w:p>
        </w:tc>
      </w:tr>
    </w:tbl>
    <w:p w14:paraId="0152EC2C" w14:textId="7D06B925" w:rsidR="008D6200" w:rsidRPr="00936010" w:rsidRDefault="008D6200" w:rsidP="003664F7">
      <w:pPr>
        <w:pStyle w:val="Caption"/>
        <w:spacing w:before="120" w:after="120"/>
        <w:rPr>
          <w:b w:val="0"/>
        </w:rPr>
      </w:pPr>
      <w:bookmarkStart w:id="43" w:name="_Ref201907783"/>
      <w:bookmarkStart w:id="44" w:name="_Toc202872034"/>
      <w:bookmarkStart w:id="45" w:name="_Toc202872654"/>
      <w:bookmarkStart w:id="46" w:name="_Ref202873408"/>
      <w:r>
        <w:t xml:space="preserve">Table </w:t>
      </w:r>
      <w:r>
        <w:fldChar w:fldCharType="begin"/>
      </w:r>
      <w:r>
        <w:instrText>SEQ Table \* ARABIC</w:instrText>
      </w:r>
      <w:r>
        <w:fldChar w:fldCharType="separate"/>
      </w:r>
      <w:r w:rsidR="0042456A" w:rsidRPr="00A57D9E">
        <w:t>4</w:t>
      </w:r>
      <w:r>
        <w:fldChar w:fldCharType="end"/>
      </w:r>
      <w:bookmarkEnd w:id="43"/>
      <w:r w:rsidRPr="0013385C">
        <w:t>: Number of active fire protection and mechanical services licen</w:t>
      </w:r>
      <w:r w:rsidR="00B806D8">
        <w:t>s</w:t>
      </w:r>
      <w:r w:rsidRPr="0013385C">
        <w:t>e</w:t>
      </w:r>
      <w:r w:rsidR="00B806D8">
        <w:t>e</w:t>
      </w:r>
      <w:r w:rsidRPr="0013385C">
        <w:t>s in 2024–25</w:t>
      </w:r>
      <w:bookmarkEnd w:id="44"/>
      <w:bookmarkEnd w:id="45"/>
      <w:bookmarkEnd w:id="46"/>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1848"/>
        <w:gridCol w:w="1559"/>
        <w:gridCol w:w="1559"/>
        <w:gridCol w:w="1418"/>
        <w:gridCol w:w="1701"/>
        <w:gridCol w:w="992"/>
      </w:tblGrid>
      <w:tr w:rsidR="000321F8" w14:paraId="769B89BB" w14:textId="77777777" w:rsidTr="00F146BA">
        <w:trPr>
          <w:trHeight w:val="300"/>
        </w:trPr>
        <w:tc>
          <w:tcPr>
            <w:tcW w:w="1408"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B41A92D" w14:textId="5E84C950" w:rsidR="1A63DC94" w:rsidRDefault="42549F7F" w:rsidP="000D6AFA">
            <w:pPr>
              <w:rPr>
                <w:rFonts w:eastAsia="Times New Roman" w:cs="Arial"/>
                <w:b/>
                <w:bCs/>
                <w:color w:val="000000"/>
                <w:lang w:eastAsia="en-AU"/>
              </w:rPr>
            </w:pPr>
            <w:r w:rsidRPr="7E4EA285">
              <w:rPr>
                <w:rFonts w:eastAsia="Times New Roman" w:cs="Arial"/>
                <w:b/>
                <w:bCs/>
                <w:color w:val="000000"/>
                <w:lang w:eastAsia="en-AU"/>
              </w:rPr>
              <w:t xml:space="preserve">Licence </w:t>
            </w:r>
            <w:r w:rsidR="00A312E9">
              <w:rPr>
                <w:rFonts w:eastAsia="Times New Roman" w:cs="Arial"/>
                <w:b/>
                <w:bCs/>
                <w:color w:val="000000"/>
                <w:lang w:eastAsia="en-AU"/>
              </w:rPr>
              <w:t>class</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12D027F" w14:textId="658C4229" w:rsidR="1A63DC94" w:rsidRDefault="1A63DC94" w:rsidP="000D6AFA">
            <w:pPr>
              <w:rPr>
                <w:rFonts w:eastAsia="Times New Roman" w:cs="Arial"/>
                <w:b/>
                <w:bCs/>
                <w:color w:val="000000"/>
                <w:lang w:eastAsia="en-AU"/>
              </w:rPr>
            </w:pPr>
            <w:r w:rsidRPr="14C7C145">
              <w:rPr>
                <w:rFonts w:eastAsia="Times New Roman" w:cs="Arial"/>
                <w:b/>
                <w:bCs/>
                <w:color w:val="000000"/>
                <w:lang w:eastAsia="en-AU"/>
              </w:rPr>
              <w:t xml:space="preserve">Licence </w:t>
            </w:r>
            <w:r w:rsidR="00C267D2">
              <w:rPr>
                <w:rFonts w:eastAsia="Times New Roman" w:cs="Arial"/>
                <w:b/>
                <w:bCs/>
                <w:color w:val="000000"/>
                <w:lang w:eastAsia="en-AU"/>
              </w:rPr>
              <w:t>stream</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AF80D60" w14:textId="4F545B0D" w:rsidR="7FD4FD48" w:rsidRDefault="7FD4FD48" w:rsidP="14C7C145">
            <w:pPr>
              <w:jc w:val="center"/>
              <w:rPr>
                <w:rFonts w:eastAsia="Times New Roman" w:cs="Arial"/>
                <w:b/>
                <w:bCs/>
                <w:color w:val="000000"/>
                <w:sz w:val="20"/>
                <w:szCs w:val="20"/>
                <w:lang w:eastAsia="en-AU"/>
              </w:rPr>
            </w:pPr>
            <w:r w:rsidRPr="0064709C">
              <w:rPr>
                <w:rFonts w:eastAsia="Times New Roman" w:cs="Arial"/>
                <w:b/>
                <w:color w:val="000000"/>
                <w:szCs w:val="22"/>
                <w:lang w:eastAsia="en-AU"/>
              </w:rPr>
              <w:t xml:space="preserve">Licence </w:t>
            </w:r>
            <w:r w:rsidR="00881C75">
              <w:rPr>
                <w:rFonts w:eastAsia="Times New Roman" w:cs="Arial"/>
                <w:b/>
                <w:color w:val="000000"/>
                <w:szCs w:val="22"/>
                <w:lang w:eastAsia="en-AU"/>
              </w:rPr>
              <w:t>type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0818AF7" w14:textId="02948296" w:rsidR="1A63DC94" w:rsidRDefault="1A63DC94" w:rsidP="7E4EA285">
            <w:pPr>
              <w:rPr>
                <w:rFonts w:eastAsia="Times New Roman" w:cs="Arial"/>
                <w:b/>
                <w:bCs/>
                <w:color w:val="000000"/>
                <w:lang w:eastAsia="en-AU"/>
              </w:rPr>
            </w:pPr>
            <w:r w:rsidRPr="7E4EA285">
              <w:rPr>
                <w:rFonts w:eastAsia="Times New Roman" w:cs="Arial"/>
                <w:b/>
                <w:bCs/>
                <w:color w:val="000000"/>
                <w:lang w:eastAsia="en-AU"/>
              </w:rPr>
              <w:t>Total</w:t>
            </w:r>
          </w:p>
        </w:tc>
      </w:tr>
      <w:tr w:rsidR="002145B2" w:rsidRPr="007A1022" w14:paraId="4D3C1375" w14:textId="77777777" w:rsidTr="002145B2">
        <w:trPr>
          <w:trHeight w:val="567"/>
        </w:trPr>
        <w:tc>
          <w:tcPr>
            <w:tcW w:w="1408"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1F28477" w14:textId="69B545BA" w:rsidR="006061A8" w:rsidRPr="007A1022" w:rsidRDefault="006061A8" w:rsidP="006061A8">
            <w:pPr>
              <w:rPr>
                <w:rFonts w:eastAsia="Times New Roman" w:cs="Arial"/>
                <w:b/>
                <w:bCs/>
                <w:color w:val="000000"/>
                <w:szCs w:val="20"/>
                <w:lang w:eastAsia="en-AU"/>
              </w:rPr>
            </w:pPr>
          </w:p>
        </w:tc>
        <w:tc>
          <w:tcPr>
            <w:tcW w:w="1848"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FD0A252" w14:textId="6A40D379" w:rsidR="006061A8" w:rsidRPr="007A1022" w:rsidRDefault="006061A8" w:rsidP="006061A8">
            <w:pPr>
              <w:rPr>
                <w:rFonts w:eastAsia="Times New Roman" w:cs="Arial"/>
                <w:b/>
                <w:bCs/>
                <w:color w:val="000000"/>
                <w:szCs w:val="20"/>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1EFFC81" w14:textId="77777777" w:rsidR="006061A8" w:rsidRPr="007A1022" w:rsidRDefault="006061A8" w:rsidP="006061A8">
            <w:pPr>
              <w:rPr>
                <w:rFonts w:eastAsia="Times New Roman" w:cs="Arial"/>
                <w:b/>
                <w:color w:val="000000"/>
                <w:lang w:eastAsia="en-AU"/>
              </w:rPr>
            </w:pPr>
            <w:r w:rsidRPr="14C7C145">
              <w:rPr>
                <w:rFonts w:eastAsia="Times New Roman" w:cs="Arial"/>
                <w:b/>
                <w:color w:val="000000"/>
                <w:lang w:eastAsia="en-AU"/>
              </w:rPr>
              <w:t>Contractor</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EB6BD19" w14:textId="49F50B6E" w:rsidR="006061A8" w:rsidRPr="007A1022" w:rsidRDefault="006061A8" w:rsidP="006061A8">
            <w:pPr>
              <w:rPr>
                <w:rFonts w:eastAsia="Times New Roman" w:cs="Arial"/>
                <w:b/>
                <w:color w:val="000000"/>
                <w:lang w:eastAsia="en-AU"/>
              </w:rPr>
            </w:pPr>
            <w:r w:rsidRPr="14C7C145">
              <w:rPr>
                <w:rFonts w:eastAsia="Times New Roman" w:cs="Arial"/>
                <w:b/>
                <w:color w:val="000000"/>
                <w:lang w:eastAsia="en-AU"/>
              </w:rPr>
              <w:t xml:space="preserve">Nominee </w:t>
            </w:r>
            <w:r w:rsidR="006157F9">
              <w:rPr>
                <w:rFonts w:eastAsia="Times New Roman" w:cs="Arial"/>
                <w:b/>
                <w:color w:val="000000"/>
                <w:lang w:eastAsia="en-AU"/>
              </w:rPr>
              <w:t>s</w:t>
            </w:r>
            <w:r w:rsidRPr="14C7C145">
              <w:rPr>
                <w:rFonts w:eastAsia="Times New Roman" w:cs="Arial"/>
                <w:b/>
                <w:color w:val="000000"/>
                <w:lang w:eastAsia="en-AU"/>
              </w:rPr>
              <w:t>upervisor</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38158EC" w14:textId="44571BA1" w:rsidR="006061A8" w:rsidRPr="007A1022" w:rsidRDefault="006061A8" w:rsidP="006061A8">
            <w:pPr>
              <w:rPr>
                <w:rFonts w:eastAsia="Times New Roman" w:cs="Arial"/>
                <w:b/>
                <w:color w:val="000000"/>
                <w:lang w:eastAsia="en-AU"/>
              </w:rPr>
            </w:pPr>
            <w:r w:rsidRPr="14C7C145">
              <w:rPr>
                <w:rFonts w:eastAsia="Times New Roman" w:cs="Arial"/>
                <w:b/>
                <w:color w:val="000000"/>
                <w:lang w:eastAsia="en-AU"/>
              </w:rPr>
              <w:t xml:space="preserve">Site </w:t>
            </w:r>
            <w:r w:rsidR="006157F9">
              <w:rPr>
                <w:rFonts w:eastAsia="Times New Roman" w:cs="Arial"/>
                <w:b/>
                <w:color w:val="000000"/>
                <w:lang w:eastAsia="en-AU"/>
              </w:rPr>
              <w:t>s</w:t>
            </w:r>
            <w:r w:rsidRPr="14C7C145">
              <w:rPr>
                <w:rFonts w:eastAsia="Times New Roman" w:cs="Arial"/>
                <w:b/>
                <w:color w:val="000000"/>
                <w:lang w:eastAsia="en-AU"/>
              </w:rPr>
              <w:t>upervisor</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43D44B5" w14:textId="77777777" w:rsidR="006061A8" w:rsidRPr="007A1022" w:rsidRDefault="006061A8" w:rsidP="006061A8">
            <w:pPr>
              <w:rPr>
                <w:rFonts w:eastAsia="Times New Roman" w:cs="Arial"/>
                <w:b/>
                <w:color w:val="000000"/>
                <w:lang w:eastAsia="en-AU"/>
              </w:rPr>
            </w:pPr>
            <w:r w:rsidRPr="14C7C145">
              <w:rPr>
                <w:rFonts w:eastAsia="Times New Roman" w:cs="Arial"/>
                <w:b/>
                <w:color w:val="000000"/>
                <w:lang w:eastAsia="en-AU"/>
              </w:rPr>
              <w:t>Occupational</w:t>
            </w:r>
          </w:p>
        </w:tc>
        <w:tc>
          <w:tcPr>
            <w:tcW w:w="99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D81879A" w14:textId="53FDC02B" w:rsidR="006061A8" w:rsidRPr="007A1022" w:rsidRDefault="006061A8" w:rsidP="006061A8">
            <w:pPr>
              <w:rPr>
                <w:rFonts w:eastAsia="Times New Roman" w:cs="Arial"/>
                <w:b/>
                <w:bCs/>
                <w:color w:val="000000"/>
                <w:szCs w:val="20"/>
                <w:lang w:eastAsia="en-AU"/>
              </w:rPr>
            </w:pPr>
          </w:p>
        </w:tc>
      </w:tr>
      <w:tr w:rsidR="002145B2" w:rsidRPr="007A1022" w14:paraId="0E4B69BE" w14:textId="77777777" w:rsidTr="002145B2">
        <w:trPr>
          <w:trHeight w:val="567"/>
        </w:trPr>
        <w:tc>
          <w:tcPr>
            <w:tcW w:w="1408" w:type="dxa"/>
            <w:vMerge w:val="restart"/>
            <w:tcBorders>
              <w:top w:val="single" w:sz="4" w:space="0" w:color="auto"/>
              <w:left w:val="single" w:sz="4" w:space="0" w:color="auto"/>
              <w:bottom w:val="single" w:sz="4" w:space="0" w:color="auto"/>
              <w:right w:val="single" w:sz="4" w:space="0" w:color="auto"/>
            </w:tcBorders>
            <w:vAlign w:val="center"/>
            <w:hideMark/>
          </w:tcPr>
          <w:p w14:paraId="153216DA" w14:textId="77777777" w:rsidR="003D3119" w:rsidRPr="00074B09" w:rsidRDefault="003D3119" w:rsidP="003D3119">
            <w:pPr>
              <w:rPr>
                <w:rFonts w:eastAsia="Times New Roman" w:cs="Arial"/>
                <w:bCs/>
                <w:color w:val="020A0A"/>
                <w:lang w:eastAsia="en-AU"/>
              </w:rPr>
            </w:pPr>
            <w:r w:rsidRPr="00074B09">
              <w:rPr>
                <w:rFonts w:eastAsia="Times New Roman" w:cs="Arial"/>
                <w:bCs/>
                <w:color w:val="020A0A" w:themeColor="accent4"/>
                <w:lang w:eastAsia="en-AU"/>
              </w:rPr>
              <w:t>Fire protection</w:t>
            </w:r>
          </w:p>
        </w:tc>
        <w:tc>
          <w:tcPr>
            <w:tcW w:w="1848" w:type="dxa"/>
            <w:tcBorders>
              <w:top w:val="single" w:sz="4" w:space="0" w:color="auto"/>
              <w:left w:val="single" w:sz="4" w:space="0" w:color="auto"/>
              <w:bottom w:val="single" w:sz="4" w:space="0" w:color="auto"/>
              <w:right w:val="single" w:sz="4" w:space="0" w:color="auto"/>
            </w:tcBorders>
            <w:noWrap/>
            <w:vAlign w:val="center"/>
            <w:hideMark/>
          </w:tcPr>
          <w:p w14:paraId="3DA366B6" w14:textId="77777777" w:rsidR="003D3119" w:rsidRPr="007A1022" w:rsidRDefault="003D3119" w:rsidP="003D3119">
            <w:pPr>
              <w:rPr>
                <w:rFonts w:eastAsia="Times New Roman" w:cs="Arial"/>
                <w:color w:val="020A0A"/>
                <w:lang w:eastAsia="en-AU"/>
              </w:rPr>
            </w:pPr>
            <w:r w:rsidRPr="14C7C145">
              <w:rPr>
                <w:rFonts w:eastAsia="Times New Roman" w:cs="Arial"/>
                <w:color w:val="020A0A" w:themeColor="accent4"/>
                <w:lang w:eastAsia="en-AU"/>
              </w:rPr>
              <w:t>Electrical</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A832D4" w14:textId="2ED91E38" w:rsidR="003D3119" w:rsidRPr="000E3B49" w:rsidRDefault="003D3119" w:rsidP="003D3119">
            <w:pPr>
              <w:rPr>
                <w:rFonts w:eastAsia="Times New Roman" w:cs="Arial"/>
                <w:color w:val="020A0A"/>
                <w:lang w:eastAsia="en-AU"/>
              </w:rPr>
            </w:pPr>
            <w:r w:rsidRPr="000E3B49">
              <w:t>473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B2B946" w14:textId="5A690B4E" w:rsidR="003D3119" w:rsidRPr="000E3B49" w:rsidRDefault="003D3119" w:rsidP="003D3119">
            <w:pPr>
              <w:rPr>
                <w:rFonts w:eastAsia="Times New Roman" w:cs="Arial"/>
                <w:color w:val="020A0A"/>
                <w:lang w:eastAsia="en-AU"/>
              </w:rPr>
            </w:pPr>
            <w:r w:rsidRPr="000E3B49">
              <w:t>471</w:t>
            </w:r>
          </w:p>
        </w:tc>
        <w:tc>
          <w:tcPr>
            <w:tcW w:w="1418" w:type="dxa"/>
            <w:tcBorders>
              <w:top w:val="single" w:sz="4" w:space="0" w:color="auto"/>
              <w:left w:val="single" w:sz="4" w:space="0" w:color="auto"/>
              <w:bottom w:val="single" w:sz="4" w:space="0" w:color="auto"/>
              <w:right w:val="single" w:sz="4" w:space="0" w:color="auto"/>
            </w:tcBorders>
            <w:noWrap/>
            <w:vAlign w:val="center"/>
          </w:tcPr>
          <w:p w14:paraId="567A6621" w14:textId="321DF03B" w:rsidR="009E7826" w:rsidRPr="000E3B49" w:rsidRDefault="00424C29" w:rsidP="003D3119">
            <w:pPr>
              <w:rPr>
                <w:rFonts w:eastAsia="Times New Roman" w:cs="Arial"/>
                <w:b/>
                <w:strike/>
                <w:color w:val="000000"/>
                <w:lang w:eastAsia="en-AU"/>
              </w:rPr>
            </w:pPr>
            <w:r>
              <w:rPr>
                <w:rFonts w:eastAsia="Times New Roman" w:cs="Arial"/>
                <w:color w:val="000000"/>
                <w:szCs w:val="22"/>
                <w:lang w:eastAsia="en-AU"/>
              </w:rPr>
              <w:t>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0ACE691" w14:textId="58D85513" w:rsidR="003D3119" w:rsidRPr="000E3B49" w:rsidRDefault="003D3119" w:rsidP="003D3119">
            <w:pPr>
              <w:rPr>
                <w:rFonts w:eastAsia="Times New Roman" w:cs="Arial"/>
                <w:color w:val="020A0A"/>
                <w:lang w:eastAsia="en-AU"/>
              </w:rPr>
            </w:pPr>
            <w:r w:rsidRPr="000E3B49">
              <w:t>1,841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41615B3" w14:textId="60512358" w:rsidR="003D3119" w:rsidRPr="000E3B49" w:rsidRDefault="003D3119" w:rsidP="003D3119">
            <w:pPr>
              <w:rPr>
                <w:rFonts w:eastAsia="Times New Roman" w:cs="Arial"/>
                <w:color w:val="020A0A"/>
                <w:lang w:eastAsia="en-AU"/>
              </w:rPr>
            </w:pPr>
            <w:r w:rsidRPr="000E3B49">
              <w:t>2,</w:t>
            </w:r>
            <w:r w:rsidR="009F6137">
              <w:t>785</w:t>
            </w:r>
          </w:p>
        </w:tc>
      </w:tr>
      <w:tr w:rsidR="002145B2" w:rsidRPr="007A1022" w14:paraId="2C222C92" w14:textId="77777777" w:rsidTr="002145B2">
        <w:trPr>
          <w:trHeight w:val="567"/>
        </w:trPr>
        <w:tc>
          <w:tcPr>
            <w:tcW w:w="1408" w:type="dxa"/>
            <w:vMerge/>
            <w:tcBorders>
              <w:top w:val="single" w:sz="4" w:space="0" w:color="auto"/>
              <w:left w:val="single" w:sz="4" w:space="0" w:color="auto"/>
              <w:bottom w:val="single" w:sz="4" w:space="0" w:color="auto"/>
              <w:right w:val="single" w:sz="4" w:space="0" w:color="auto"/>
            </w:tcBorders>
            <w:vAlign w:val="center"/>
            <w:hideMark/>
          </w:tcPr>
          <w:p w14:paraId="7E245F48" w14:textId="77777777" w:rsidR="009E7826" w:rsidRPr="007A1022" w:rsidRDefault="009E7826" w:rsidP="009E7826">
            <w:pPr>
              <w:rPr>
                <w:rFonts w:eastAsia="Times New Roman" w:cs="Arial"/>
                <w:b/>
                <w:bCs/>
                <w:color w:val="020A0A"/>
                <w:szCs w:val="20"/>
                <w:lang w:eastAsia="en-AU"/>
              </w:rPr>
            </w:pPr>
          </w:p>
        </w:tc>
        <w:tc>
          <w:tcPr>
            <w:tcW w:w="1848" w:type="dxa"/>
            <w:tcBorders>
              <w:top w:val="single" w:sz="4" w:space="0" w:color="auto"/>
              <w:left w:val="single" w:sz="4" w:space="0" w:color="auto"/>
              <w:bottom w:val="single" w:sz="4" w:space="0" w:color="auto"/>
              <w:right w:val="single" w:sz="4" w:space="0" w:color="auto"/>
            </w:tcBorders>
            <w:noWrap/>
            <w:vAlign w:val="center"/>
            <w:hideMark/>
          </w:tcPr>
          <w:p w14:paraId="54685560" w14:textId="77777777" w:rsidR="009E7826" w:rsidRPr="007A1022" w:rsidRDefault="009E7826" w:rsidP="009E7826">
            <w:pPr>
              <w:rPr>
                <w:rFonts w:eastAsia="Times New Roman" w:cs="Arial"/>
                <w:color w:val="020A0A"/>
                <w:lang w:eastAsia="en-AU"/>
              </w:rPr>
            </w:pPr>
            <w:r w:rsidRPr="14C7C145">
              <w:rPr>
                <w:rFonts w:eastAsia="Times New Roman" w:cs="Arial"/>
                <w:color w:val="020A0A" w:themeColor="accent4"/>
                <w:lang w:eastAsia="en-AU"/>
              </w:rPr>
              <w:t>Fire Safety Professional</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A02668" w14:textId="2A827390" w:rsidR="009E7826" w:rsidRPr="000E3B49" w:rsidRDefault="009E7826" w:rsidP="009E7826">
            <w:pPr>
              <w:rPr>
                <w:rFonts w:eastAsia="Times New Roman" w:cs="Arial"/>
                <w:color w:val="020A0A"/>
                <w:lang w:eastAsia="en-AU"/>
              </w:rPr>
            </w:pPr>
            <w:r w:rsidRPr="000E3B49">
              <w:t>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EE3827" w14:textId="699833A7" w:rsidR="009E7826" w:rsidRPr="000E3B49" w:rsidRDefault="009E7826" w:rsidP="009E7826">
            <w:pPr>
              <w:rPr>
                <w:rFonts w:eastAsia="Times New Roman" w:cs="Arial"/>
                <w:color w:val="020A0A"/>
                <w:lang w:eastAsia="en-AU"/>
              </w:rPr>
            </w:pPr>
            <w:r w:rsidRPr="000E3B49">
              <w:t>36</w:t>
            </w:r>
          </w:p>
        </w:tc>
        <w:tc>
          <w:tcPr>
            <w:tcW w:w="1418" w:type="dxa"/>
            <w:tcBorders>
              <w:top w:val="single" w:sz="4" w:space="0" w:color="auto"/>
              <w:left w:val="single" w:sz="4" w:space="0" w:color="auto"/>
              <w:bottom w:val="single" w:sz="4" w:space="0" w:color="auto"/>
              <w:right w:val="single" w:sz="4" w:space="0" w:color="auto"/>
            </w:tcBorders>
            <w:noWrap/>
            <w:vAlign w:val="center"/>
          </w:tcPr>
          <w:p w14:paraId="48ECF7E0" w14:textId="29BA1C9A" w:rsidR="009E7826" w:rsidRPr="000E3B49" w:rsidRDefault="00424C29" w:rsidP="009E7826">
            <w:pPr>
              <w:rPr>
                <w:rFonts w:eastAsia="Times New Roman" w:cs="Arial"/>
                <w:b/>
                <w:strike/>
                <w:color w:val="000000"/>
                <w:lang w:eastAsia="en-AU"/>
              </w:rPr>
            </w:pPr>
            <w:r>
              <w:rPr>
                <w:rFonts w:eastAsia="Times New Roman" w:cs="Arial"/>
                <w:color w:val="000000"/>
                <w:szCs w:val="22"/>
                <w:lang w:eastAsia="en-AU"/>
              </w:rPr>
              <w:t>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5EE1FB2" w14:textId="6B2CCDAE" w:rsidR="009E7826" w:rsidRPr="000E3B49" w:rsidRDefault="009E7826" w:rsidP="009E7826">
            <w:pPr>
              <w:rPr>
                <w:rFonts w:eastAsia="Times New Roman" w:cs="Arial"/>
                <w:color w:val="020A0A"/>
                <w:lang w:eastAsia="en-AU"/>
              </w:rPr>
            </w:pPr>
            <w:r w:rsidRPr="000E3B49">
              <w:t>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42C8E7" w14:textId="29FD0B66" w:rsidR="009E7826" w:rsidRPr="000E3B49" w:rsidRDefault="009E7826" w:rsidP="009E7826">
            <w:pPr>
              <w:rPr>
                <w:rFonts w:eastAsia="Times New Roman" w:cs="Arial"/>
                <w:color w:val="020A0A"/>
                <w:lang w:eastAsia="en-AU"/>
              </w:rPr>
            </w:pPr>
            <w:r w:rsidRPr="000E3B49">
              <w:t>8</w:t>
            </w:r>
            <w:r w:rsidR="009F6137">
              <w:t>7</w:t>
            </w:r>
          </w:p>
        </w:tc>
      </w:tr>
      <w:tr w:rsidR="002145B2" w:rsidRPr="007A1022" w14:paraId="48CBECDC" w14:textId="77777777" w:rsidTr="002145B2">
        <w:trPr>
          <w:trHeight w:val="567"/>
        </w:trPr>
        <w:tc>
          <w:tcPr>
            <w:tcW w:w="1408" w:type="dxa"/>
            <w:vMerge/>
            <w:tcBorders>
              <w:top w:val="single" w:sz="4" w:space="0" w:color="auto"/>
              <w:left w:val="single" w:sz="4" w:space="0" w:color="auto"/>
              <w:bottom w:val="single" w:sz="4" w:space="0" w:color="auto"/>
              <w:right w:val="single" w:sz="4" w:space="0" w:color="auto"/>
            </w:tcBorders>
            <w:vAlign w:val="center"/>
            <w:hideMark/>
          </w:tcPr>
          <w:p w14:paraId="3614B109" w14:textId="77777777" w:rsidR="009E7826" w:rsidRPr="007A1022" w:rsidRDefault="009E7826" w:rsidP="009E7826">
            <w:pPr>
              <w:rPr>
                <w:rFonts w:eastAsia="Times New Roman" w:cs="Arial"/>
                <w:b/>
                <w:bCs/>
                <w:color w:val="020A0A"/>
                <w:szCs w:val="20"/>
                <w:lang w:eastAsia="en-AU"/>
              </w:rPr>
            </w:pPr>
          </w:p>
        </w:tc>
        <w:tc>
          <w:tcPr>
            <w:tcW w:w="1848" w:type="dxa"/>
            <w:tcBorders>
              <w:top w:val="single" w:sz="4" w:space="0" w:color="auto"/>
              <w:left w:val="single" w:sz="4" w:space="0" w:color="auto"/>
              <w:bottom w:val="single" w:sz="4" w:space="0" w:color="auto"/>
              <w:right w:val="single" w:sz="4" w:space="0" w:color="auto"/>
            </w:tcBorders>
            <w:noWrap/>
            <w:vAlign w:val="center"/>
            <w:hideMark/>
          </w:tcPr>
          <w:p w14:paraId="52D8717F" w14:textId="77777777" w:rsidR="009E7826" w:rsidRPr="007A1022" w:rsidRDefault="009E7826" w:rsidP="009E7826">
            <w:pPr>
              <w:rPr>
                <w:rFonts w:eastAsia="Times New Roman" w:cs="Arial"/>
                <w:color w:val="020A0A"/>
                <w:lang w:eastAsia="en-AU"/>
              </w:rPr>
            </w:pPr>
            <w:r w:rsidRPr="14C7C145">
              <w:rPr>
                <w:rFonts w:eastAsia="Times New Roman" w:cs="Arial"/>
                <w:color w:val="020A0A" w:themeColor="accent4"/>
                <w:lang w:eastAsia="en-AU"/>
              </w:rPr>
              <w:t>Passive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86FD10" w14:textId="6EC99128" w:rsidR="009E7826" w:rsidRPr="000E3B49" w:rsidRDefault="009E7826" w:rsidP="009E7826">
            <w:pPr>
              <w:rPr>
                <w:rFonts w:eastAsia="Times New Roman" w:cs="Arial"/>
                <w:color w:val="020A0A"/>
                <w:lang w:eastAsia="en-AU"/>
              </w:rPr>
            </w:pPr>
            <w:r w:rsidRPr="000E3B49">
              <w:t>541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A7262D" w14:textId="45D293FB" w:rsidR="009E7826" w:rsidRPr="000E3B49" w:rsidRDefault="009E7826" w:rsidP="009E7826">
            <w:pPr>
              <w:rPr>
                <w:rFonts w:eastAsia="Times New Roman" w:cs="Arial"/>
                <w:color w:val="020A0A"/>
                <w:lang w:eastAsia="en-AU"/>
              </w:rPr>
            </w:pPr>
            <w:r w:rsidRPr="000E3B49">
              <w:t>420</w:t>
            </w:r>
          </w:p>
        </w:tc>
        <w:tc>
          <w:tcPr>
            <w:tcW w:w="1418" w:type="dxa"/>
            <w:tcBorders>
              <w:top w:val="single" w:sz="4" w:space="0" w:color="auto"/>
              <w:left w:val="single" w:sz="4" w:space="0" w:color="auto"/>
              <w:bottom w:val="single" w:sz="4" w:space="0" w:color="auto"/>
              <w:right w:val="single" w:sz="4" w:space="0" w:color="auto"/>
            </w:tcBorders>
            <w:noWrap/>
            <w:vAlign w:val="center"/>
          </w:tcPr>
          <w:p w14:paraId="7C70849B" w14:textId="5601D5EE" w:rsidR="009E7826" w:rsidRPr="000E3B49" w:rsidRDefault="00424C29" w:rsidP="009E7826">
            <w:pPr>
              <w:rPr>
                <w:rFonts w:eastAsia="Times New Roman" w:cs="Arial"/>
                <w:b/>
                <w:strike/>
                <w:color w:val="000000"/>
                <w:lang w:eastAsia="en-AU"/>
              </w:rPr>
            </w:pPr>
            <w:r>
              <w:rPr>
                <w:rFonts w:eastAsia="Times New Roman" w:cs="Arial"/>
                <w:color w:val="000000"/>
                <w:szCs w:val="22"/>
                <w:lang w:eastAsia="en-AU"/>
              </w:rPr>
              <w:t>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39C1C9B" w14:textId="711FCFE2" w:rsidR="009E7826" w:rsidRPr="000E3B49" w:rsidRDefault="009E7826" w:rsidP="009E7826">
            <w:pPr>
              <w:rPr>
                <w:rFonts w:eastAsia="Times New Roman" w:cs="Arial"/>
                <w:color w:val="020A0A"/>
                <w:lang w:eastAsia="en-AU"/>
              </w:rPr>
            </w:pPr>
            <w:r w:rsidRPr="000E3B49">
              <w:t>1,113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02282C" w14:textId="5AC77959" w:rsidR="009E7826" w:rsidRPr="000E3B49" w:rsidRDefault="009F6137" w:rsidP="009E7826">
            <w:pPr>
              <w:rPr>
                <w:rFonts w:eastAsia="Times New Roman" w:cs="Arial"/>
                <w:color w:val="020A0A"/>
                <w:lang w:eastAsia="en-AU"/>
              </w:rPr>
            </w:pPr>
            <w:r>
              <w:t>2,074</w:t>
            </w:r>
          </w:p>
        </w:tc>
      </w:tr>
      <w:tr w:rsidR="002145B2" w:rsidRPr="007A1022" w14:paraId="41B0AA90" w14:textId="77777777" w:rsidTr="002145B2">
        <w:trPr>
          <w:trHeight w:val="567"/>
        </w:trPr>
        <w:tc>
          <w:tcPr>
            <w:tcW w:w="1408" w:type="dxa"/>
            <w:vMerge/>
            <w:tcBorders>
              <w:top w:val="single" w:sz="4" w:space="0" w:color="auto"/>
              <w:left w:val="single" w:sz="4" w:space="0" w:color="auto"/>
              <w:bottom w:val="single" w:sz="4" w:space="0" w:color="auto"/>
              <w:right w:val="single" w:sz="4" w:space="0" w:color="auto"/>
            </w:tcBorders>
            <w:vAlign w:val="center"/>
            <w:hideMark/>
          </w:tcPr>
          <w:p w14:paraId="524A9BB2" w14:textId="77777777" w:rsidR="009E7826" w:rsidRPr="007A1022" w:rsidRDefault="009E7826" w:rsidP="009E7826">
            <w:pPr>
              <w:rPr>
                <w:rFonts w:eastAsia="Times New Roman" w:cs="Arial"/>
                <w:b/>
                <w:bCs/>
                <w:color w:val="020A0A"/>
                <w:szCs w:val="20"/>
                <w:lang w:eastAsia="en-AU"/>
              </w:rPr>
            </w:pPr>
          </w:p>
        </w:tc>
        <w:tc>
          <w:tcPr>
            <w:tcW w:w="1848" w:type="dxa"/>
            <w:tcBorders>
              <w:top w:val="single" w:sz="4" w:space="0" w:color="auto"/>
              <w:left w:val="single" w:sz="4" w:space="0" w:color="auto"/>
              <w:bottom w:val="single" w:sz="4" w:space="0" w:color="auto"/>
              <w:right w:val="single" w:sz="4" w:space="0" w:color="auto"/>
            </w:tcBorders>
            <w:noWrap/>
            <w:vAlign w:val="center"/>
            <w:hideMark/>
          </w:tcPr>
          <w:p w14:paraId="1343EB76" w14:textId="77777777" w:rsidR="009E7826" w:rsidRPr="007A1022" w:rsidRDefault="009E7826" w:rsidP="009E7826">
            <w:pPr>
              <w:rPr>
                <w:rFonts w:eastAsia="Times New Roman" w:cs="Arial"/>
                <w:color w:val="020A0A"/>
                <w:lang w:eastAsia="en-AU"/>
              </w:rPr>
            </w:pPr>
            <w:r w:rsidRPr="14C7C145">
              <w:rPr>
                <w:rFonts w:eastAsia="Times New Roman" w:cs="Arial"/>
                <w:color w:val="020A0A" w:themeColor="accent4"/>
                <w:lang w:eastAsia="en-AU"/>
              </w:rPr>
              <w:t>Portables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ACC1A5" w14:textId="2B5917B1" w:rsidR="009E7826" w:rsidRPr="000E3B49" w:rsidRDefault="009E7826" w:rsidP="009E7826">
            <w:pPr>
              <w:rPr>
                <w:rFonts w:eastAsia="Times New Roman" w:cs="Arial"/>
                <w:color w:val="020A0A"/>
                <w:lang w:eastAsia="en-AU"/>
              </w:rPr>
            </w:pPr>
            <w:r w:rsidRPr="000E3B49">
              <w:t>432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8D9E20" w14:textId="13EEB765" w:rsidR="009E7826" w:rsidRPr="000E3B49" w:rsidRDefault="009E7826" w:rsidP="009E7826">
            <w:pPr>
              <w:rPr>
                <w:rFonts w:eastAsia="Times New Roman" w:cs="Arial"/>
                <w:color w:val="020A0A"/>
                <w:lang w:eastAsia="en-AU"/>
              </w:rPr>
            </w:pPr>
            <w:r w:rsidRPr="000E3B49">
              <w:t>376</w:t>
            </w:r>
          </w:p>
        </w:tc>
        <w:tc>
          <w:tcPr>
            <w:tcW w:w="1418" w:type="dxa"/>
            <w:tcBorders>
              <w:top w:val="single" w:sz="4" w:space="0" w:color="auto"/>
              <w:left w:val="single" w:sz="4" w:space="0" w:color="auto"/>
              <w:bottom w:val="single" w:sz="4" w:space="0" w:color="auto"/>
              <w:right w:val="single" w:sz="4" w:space="0" w:color="auto"/>
            </w:tcBorders>
            <w:noWrap/>
            <w:vAlign w:val="center"/>
          </w:tcPr>
          <w:p w14:paraId="00F7FA89" w14:textId="7C54E8E4" w:rsidR="009E7826" w:rsidRPr="000E3B49" w:rsidRDefault="00424C29" w:rsidP="009E7826">
            <w:pPr>
              <w:rPr>
                <w:rFonts w:eastAsia="Times New Roman" w:cs="Arial"/>
                <w:b/>
                <w:strike/>
                <w:color w:val="000000"/>
                <w:lang w:eastAsia="en-AU"/>
              </w:rPr>
            </w:pPr>
            <w:r>
              <w:rPr>
                <w:rFonts w:eastAsia="Times New Roman" w:cs="Arial"/>
                <w:color w:val="000000"/>
                <w:szCs w:val="22"/>
                <w:lang w:eastAsia="en-AU"/>
              </w:rPr>
              <w:t>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4530321" w14:textId="068A619C" w:rsidR="009E7826" w:rsidRPr="000E3B49" w:rsidRDefault="009E7826" w:rsidP="009E7826">
            <w:pPr>
              <w:rPr>
                <w:rFonts w:eastAsia="Times New Roman" w:cs="Arial"/>
                <w:color w:val="020A0A"/>
                <w:lang w:eastAsia="en-AU"/>
              </w:rPr>
            </w:pPr>
            <w:r w:rsidRPr="000E3B49">
              <w:t>1,653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FABED05" w14:textId="43E83E28" w:rsidR="009E7826" w:rsidRPr="000E3B49" w:rsidRDefault="009E7826" w:rsidP="009E7826">
            <w:pPr>
              <w:rPr>
                <w:rFonts w:eastAsia="Times New Roman" w:cs="Arial"/>
                <w:color w:val="020A0A"/>
                <w:lang w:eastAsia="en-AU"/>
              </w:rPr>
            </w:pPr>
            <w:r w:rsidRPr="000E3B49">
              <w:t>2,</w:t>
            </w:r>
            <w:r w:rsidR="009F6137">
              <w:t>461</w:t>
            </w:r>
          </w:p>
        </w:tc>
      </w:tr>
      <w:tr w:rsidR="002145B2" w:rsidRPr="007A1022" w14:paraId="5EAFA1A4" w14:textId="77777777" w:rsidTr="002145B2">
        <w:trPr>
          <w:trHeight w:val="567"/>
        </w:trPr>
        <w:tc>
          <w:tcPr>
            <w:tcW w:w="1408" w:type="dxa"/>
            <w:vMerge/>
            <w:tcBorders>
              <w:top w:val="single" w:sz="4" w:space="0" w:color="auto"/>
              <w:left w:val="single" w:sz="4" w:space="0" w:color="auto"/>
              <w:bottom w:val="single" w:sz="4" w:space="0" w:color="auto"/>
              <w:right w:val="single" w:sz="4" w:space="0" w:color="auto"/>
            </w:tcBorders>
            <w:vAlign w:val="center"/>
            <w:hideMark/>
          </w:tcPr>
          <w:p w14:paraId="318C36AC" w14:textId="77777777" w:rsidR="009E7826" w:rsidRPr="007A1022" w:rsidRDefault="009E7826" w:rsidP="009E7826">
            <w:pPr>
              <w:rPr>
                <w:rFonts w:eastAsia="Times New Roman" w:cs="Arial"/>
                <w:b/>
                <w:bCs/>
                <w:color w:val="020A0A"/>
                <w:szCs w:val="20"/>
                <w:lang w:eastAsia="en-AU"/>
              </w:rPr>
            </w:pPr>
          </w:p>
        </w:tc>
        <w:tc>
          <w:tcPr>
            <w:tcW w:w="1848" w:type="dxa"/>
            <w:tcBorders>
              <w:top w:val="single" w:sz="4" w:space="0" w:color="auto"/>
              <w:left w:val="single" w:sz="4" w:space="0" w:color="auto"/>
              <w:bottom w:val="single" w:sz="4" w:space="0" w:color="auto"/>
              <w:right w:val="single" w:sz="4" w:space="0" w:color="auto"/>
            </w:tcBorders>
            <w:noWrap/>
            <w:vAlign w:val="center"/>
            <w:hideMark/>
          </w:tcPr>
          <w:p w14:paraId="6B1A2E96" w14:textId="77777777" w:rsidR="009E7826" w:rsidRPr="007A1022" w:rsidRDefault="009E7826" w:rsidP="009E7826">
            <w:pPr>
              <w:rPr>
                <w:rFonts w:eastAsia="Times New Roman" w:cs="Arial"/>
                <w:color w:val="020A0A"/>
                <w:lang w:eastAsia="en-AU"/>
              </w:rPr>
            </w:pPr>
            <w:r w:rsidRPr="14C7C145">
              <w:rPr>
                <w:rFonts w:eastAsia="Times New Roman" w:cs="Arial"/>
                <w:color w:val="020A0A" w:themeColor="accent4"/>
                <w:lang w:eastAsia="en-AU"/>
              </w:rPr>
              <w:t>Special hazard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7A22FB" w14:textId="7E9C82A3" w:rsidR="009E7826" w:rsidRPr="000E3B49" w:rsidRDefault="009E7826" w:rsidP="009E7826">
            <w:pPr>
              <w:rPr>
                <w:rFonts w:eastAsia="Times New Roman" w:cs="Arial"/>
                <w:color w:val="020A0A"/>
                <w:lang w:eastAsia="en-AU"/>
              </w:rPr>
            </w:pPr>
            <w:r w:rsidRPr="000E3B49">
              <w:t>198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9CE600" w14:textId="554C9402" w:rsidR="009E7826" w:rsidRPr="000E3B49" w:rsidRDefault="009E7826" w:rsidP="009E7826">
            <w:pPr>
              <w:rPr>
                <w:rFonts w:eastAsia="Times New Roman" w:cs="Arial"/>
                <w:color w:val="020A0A"/>
                <w:lang w:eastAsia="en-AU"/>
              </w:rPr>
            </w:pPr>
            <w:r w:rsidRPr="000E3B49">
              <w:t>192</w:t>
            </w:r>
          </w:p>
        </w:tc>
        <w:tc>
          <w:tcPr>
            <w:tcW w:w="1418" w:type="dxa"/>
            <w:tcBorders>
              <w:top w:val="single" w:sz="4" w:space="0" w:color="auto"/>
              <w:left w:val="single" w:sz="4" w:space="0" w:color="auto"/>
              <w:bottom w:val="single" w:sz="4" w:space="0" w:color="auto"/>
              <w:right w:val="single" w:sz="4" w:space="0" w:color="auto"/>
            </w:tcBorders>
            <w:noWrap/>
            <w:vAlign w:val="center"/>
          </w:tcPr>
          <w:p w14:paraId="7C3080A3" w14:textId="60C9F422" w:rsidR="009E7826" w:rsidRPr="000E3B49" w:rsidRDefault="00424C29" w:rsidP="009E7826">
            <w:pPr>
              <w:rPr>
                <w:rFonts w:eastAsia="Times New Roman" w:cs="Arial"/>
                <w:b/>
                <w:strike/>
                <w:color w:val="000000"/>
                <w:lang w:eastAsia="en-AU"/>
              </w:rPr>
            </w:pPr>
            <w:r>
              <w:rPr>
                <w:rFonts w:eastAsia="Times New Roman" w:cs="Arial"/>
                <w:color w:val="000000"/>
                <w:szCs w:val="22"/>
                <w:lang w:eastAsia="en-AU"/>
              </w:rPr>
              <w:t>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BC3EA1E" w14:textId="5535DD34" w:rsidR="009E7826" w:rsidRPr="000E3B49" w:rsidRDefault="009E7826" w:rsidP="009E7826">
            <w:pPr>
              <w:rPr>
                <w:rFonts w:eastAsia="Times New Roman" w:cs="Arial"/>
                <w:color w:val="020A0A"/>
                <w:lang w:eastAsia="en-AU"/>
              </w:rPr>
            </w:pPr>
            <w:r w:rsidRPr="000E3B49">
              <w:t>424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5F9794F" w14:textId="5BC73A42" w:rsidR="009E7826" w:rsidRPr="000E3B49" w:rsidRDefault="009F6137" w:rsidP="009E7826">
            <w:pPr>
              <w:rPr>
                <w:rFonts w:eastAsia="Times New Roman" w:cs="Arial"/>
                <w:color w:val="020A0A"/>
                <w:lang w:eastAsia="en-AU"/>
              </w:rPr>
            </w:pPr>
            <w:r>
              <w:t>814</w:t>
            </w:r>
          </w:p>
        </w:tc>
      </w:tr>
      <w:tr w:rsidR="002145B2" w:rsidRPr="007A1022" w14:paraId="7E49A2B9" w14:textId="77777777" w:rsidTr="002145B2">
        <w:trPr>
          <w:trHeight w:val="567"/>
        </w:trPr>
        <w:tc>
          <w:tcPr>
            <w:tcW w:w="1408" w:type="dxa"/>
            <w:vMerge/>
            <w:tcBorders>
              <w:top w:val="single" w:sz="4" w:space="0" w:color="auto"/>
              <w:left w:val="single" w:sz="4" w:space="0" w:color="auto"/>
              <w:bottom w:val="single" w:sz="4" w:space="0" w:color="auto"/>
              <w:right w:val="single" w:sz="4" w:space="0" w:color="auto"/>
            </w:tcBorders>
            <w:vAlign w:val="center"/>
            <w:hideMark/>
          </w:tcPr>
          <w:p w14:paraId="12D8F788" w14:textId="77777777" w:rsidR="009E7826" w:rsidRPr="007A1022" w:rsidRDefault="009E7826" w:rsidP="009E7826">
            <w:pPr>
              <w:rPr>
                <w:rFonts w:eastAsia="Times New Roman" w:cs="Arial"/>
                <w:b/>
                <w:bCs/>
                <w:color w:val="020A0A"/>
                <w:szCs w:val="20"/>
                <w:lang w:eastAsia="en-AU"/>
              </w:rPr>
            </w:pPr>
          </w:p>
        </w:tc>
        <w:tc>
          <w:tcPr>
            <w:tcW w:w="1848" w:type="dxa"/>
            <w:tcBorders>
              <w:top w:val="single" w:sz="4" w:space="0" w:color="auto"/>
              <w:left w:val="single" w:sz="4" w:space="0" w:color="auto"/>
              <w:bottom w:val="single" w:sz="4" w:space="0" w:color="auto"/>
              <w:right w:val="single" w:sz="4" w:space="0" w:color="auto"/>
            </w:tcBorders>
            <w:noWrap/>
            <w:vAlign w:val="center"/>
            <w:hideMark/>
          </w:tcPr>
          <w:p w14:paraId="289CE5EA" w14:textId="0CC3F1AF" w:rsidR="009E7826" w:rsidRPr="007A1022" w:rsidRDefault="009E7826" w:rsidP="009E7826">
            <w:pPr>
              <w:rPr>
                <w:rFonts w:eastAsia="Times New Roman" w:cs="Arial"/>
                <w:color w:val="020A0A"/>
                <w:lang w:eastAsia="en-AU"/>
              </w:rPr>
            </w:pPr>
            <w:r w:rsidRPr="14C7C145">
              <w:rPr>
                <w:rFonts w:eastAsia="Times New Roman" w:cs="Arial"/>
                <w:color w:val="020A0A" w:themeColor="accent4"/>
                <w:lang w:eastAsia="en-AU"/>
              </w:rPr>
              <w:t>Water</w:t>
            </w:r>
            <w:r w:rsidR="00682278">
              <w:rPr>
                <w:rFonts w:eastAsia="Times New Roman" w:cs="Arial"/>
                <w:color w:val="020A0A" w:themeColor="accent4"/>
                <w:lang w:eastAsia="en-AU"/>
              </w:rPr>
              <w:t xml:space="preserve"> </w:t>
            </w:r>
            <w:r w:rsidRPr="14C7C145">
              <w:rPr>
                <w:rFonts w:eastAsia="Times New Roman" w:cs="Arial"/>
                <w:color w:val="020A0A" w:themeColor="accent4"/>
                <w:lang w:eastAsia="en-AU"/>
              </w:rPr>
              <w:t>based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2CFCC1" w14:textId="1170E53A" w:rsidR="009E7826" w:rsidRPr="000E3B49" w:rsidRDefault="009E7826" w:rsidP="009E7826">
            <w:pPr>
              <w:rPr>
                <w:rFonts w:eastAsia="Times New Roman" w:cs="Arial"/>
                <w:color w:val="020A0A"/>
                <w:lang w:eastAsia="en-AU"/>
              </w:rPr>
            </w:pPr>
            <w:r w:rsidRPr="000E3B49">
              <w:t>756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E93B2D" w14:textId="3316AA14" w:rsidR="009E7826" w:rsidRPr="000E3B49" w:rsidRDefault="009E7826" w:rsidP="009E7826">
            <w:pPr>
              <w:rPr>
                <w:rFonts w:eastAsia="Times New Roman" w:cs="Arial"/>
                <w:color w:val="020A0A"/>
                <w:lang w:eastAsia="en-AU"/>
              </w:rPr>
            </w:pPr>
            <w:r w:rsidRPr="000E3B49">
              <w:t>461</w:t>
            </w:r>
          </w:p>
        </w:tc>
        <w:tc>
          <w:tcPr>
            <w:tcW w:w="1418" w:type="dxa"/>
            <w:tcBorders>
              <w:top w:val="single" w:sz="4" w:space="0" w:color="auto"/>
              <w:left w:val="single" w:sz="4" w:space="0" w:color="auto"/>
              <w:bottom w:val="single" w:sz="4" w:space="0" w:color="auto"/>
              <w:right w:val="single" w:sz="4" w:space="0" w:color="auto"/>
            </w:tcBorders>
            <w:noWrap/>
            <w:vAlign w:val="center"/>
          </w:tcPr>
          <w:p w14:paraId="5C8FF6A0" w14:textId="4025315C" w:rsidR="009E7826" w:rsidRPr="000E3B49" w:rsidRDefault="00424C29" w:rsidP="009E7826">
            <w:pPr>
              <w:rPr>
                <w:rFonts w:eastAsia="Times New Roman" w:cs="Arial"/>
                <w:b/>
                <w:strike/>
                <w:color w:val="000000"/>
                <w:lang w:eastAsia="en-AU"/>
              </w:rPr>
            </w:pPr>
            <w:r>
              <w:rPr>
                <w:rFonts w:eastAsia="Times New Roman" w:cs="Arial"/>
                <w:color w:val="000000"/>
                <w:szCs w:val="22"/>
                <w:lang w:eastAsia="en-AU"/>
              </w:rPr>
              <w:t>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9F54AB1" w14:textId="75C9A9D6" w:rsidR="009E7826" w:rsidRPr="000E3B49" w:rsidRDefault="009E7826" w:rsidP="009E7826">
            <w:pPr>
              <w:rPr>
                <w:rFonts w:eastAsia="Times New Roman" w:cs="Arial"/>
                <w:color w:val="020A0A"/>
                <w:lang w:eastAsia="en-AU"/>
              </w:rPr>
            </w:pPr>
            <w:r w:rsidRPr="000E3B49">
              <w:t>517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23F37B9" w14:textId="29D28FA9" w:rsidR="009E7826" w:rsidRPr="000E3B49" w:rsidRDefault="009E7826" w:rsidP="009E7826">
            <w:pPr>
              <w:rPr>
                <w:rFonts w:eastAsia="Times New Roman" w:cs="Arial"/>
                <w:color w:val="020A0A"/>
                <w:lang w:eastAsia="en-AU"/>
              </w:rPr>
            </w:pPr>
            <w:r w:rsidRPr="000E3B49">
              <w:t>1,</w:t>
            </w:r>
            <w:r w:rsidR="009F6137">
              <w:t>734</w:t>
            </w:r>
          </w:p>
        </w:tc>
      </w:tr>
      <w:tr w:rsidR="002145B2" w:rsidRPr="007A1022" w14:paraId="0ADFE16E" w14:textId="77777777" w:rsidTr="002145B2">
        <w:trPr>
          <w:trHeight w:val="567"/>
        </w:trPr>
        <w:tc>
          <w:tcPr>
            <w:tcW w:w="1408" w:type="dxa"/>
            <w:vMerge w:val="restart"/>
            <w:tcBorders>
              <w:top w:val="single" w:sz="4" w:space="0" w:color="auto"/>
              <w:left w:val="single" w:sz="4" w:space="0" w:color="auto"/>
              <w:bottom w:val="single" w:sz="4" w:space="0" w:color="auto"/>
              <w:right w:val="single" w:sz="4" w:space="0" w:color="auto"/>
            </w:tcBorders>
            <w:vAlign w:val="center"/>
            <w:hideMark/>
          </w:tcPr>
          <w:p w14:paraId="4E8F405C" w14:textId="77777777" w:rsidR="006061A8" w:rsidRPr="00074B09" w:rsidRDefault="006061A8" w:rsidP="006061A8">
            <w:pPr>
              <w:rPr>
                <w:rFonts w:eastAsia="Times New Roman" w:cs="Arial"/>
                <w:bCs/>
                <w:color w:val="020A0A"/>
                <w:lang w:eastAsia="en-AU"/>
              </w:rPr>
            </w:pPr>
            <w:r w:rsidRPr="00074B09">
              <w:rPr>
                <w:rFonts w:eastAsia="Times New Roman" w:cs="Arial"/>
                <w:bCs/>
                <w:color w:val="020A0A" w:themeColor="accent4"/>
                <w:lang w:eastAsia="en-AU"/>
              </w:rPr>
              <w:t>Mechanical services</w:t>
            </w:r>
          </w:p>
        </w:tc>
        <w:tc>
          <w:tcPr>
            <w:tcW w:w="1848" w:type="dxa"/>
            <w:tcBorders>
              <w:top w:val="single" w:sz="4" w:space="0" w:color="auto"/>
              <w:left w:val="single" w:sz="4" w:space="0" w:color="auto"/>
              <w:bottom w:val="single" w:sz="4" w:space="0" w:color="auto"/>
              <w:right w:val="single" w:sz="4" w:space="0" w:color="auto"/>
            </w:tcBorders>
            <w:noWrap/>
            <w:vAlign w:val="center"/>
            <w:hideMark/>
          </w:tcPr>
          <w:p w14:paraId="68A4E9ED" w14:textId="77777777" w:rsidR="006061A8" w:rsidRPr="007A1022" w:rsidRDefault="006061A8" w:rsidP="006061A8">
            <w:pPr>
              <w:rPr>
                <w:rFonts w:eastAsia="Times New Roman" w:cs="Arial"/>
                <w:color w:val="020A0A"/>
                <w:lang w:eastAsia="en-AU"/>
              </w:rPr>
            </w:pPr>
            <w:r w:rsidRPr="14C7C145">
              <w:rPr>
                <w:rFonts w:eastAsia="Times New Roman" w:cs="Arial"/>
                <w:color w:val="020A0A" w:themeColor="accent4"/>
                <w:lang w:eastAsia="en-AU"/>
              </w:rPr>
              <w:t>Air-conditioning and refrigeration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AF2781" w14:textId="0E659975" w:rsidR="006061A8" w:rsidRPr="000E3B49" w:rsidRDefault="0070729A" w:rsidP="006061A8">
            <w:pPr>
              <w:rPr>
                <w:rFonts w:eastAsia="Times New Roman" w:cs="Arial"/>
                <w:color w:val="020A0A"/>
                <w:lang w:eastAsia="en-AU"/>
              </w:rPr>
            </w:pPr>
            <w:r w:rsidRPr="000E3B49">
              <w:rPr>
                <w:rFonts w:cs="Arial"/>
                <w:color w:val="000000"/>
                <w:szCs w:val="22"/>
              </w:rPr>
              <w:t>2,338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8B43BF" w14:textId="6ABCCEBB" w:rsidR="006061A8" w:rsidRPr="000E3B49" w:rsidRDefault="0070729A" w:rsidP="006061A8">
            <w:pPr>
              <w:rPr>
                <w:rFonts w:eastAsia="Times New Roman" w:cs="Arial"/>
                <w:color w:val="020A0A"/>
                <w:lang w:eastAsia="en-AU"/>
              </w:rPr>
            </w:pPr>
            <w:r w:rsidRPr="000E3B49">
              <w:rPr>
                <w:rFonts w:cs="Arial"/>
                <w:color w:val="000000"/>
                <w:szCs w:val="22"/>
              </w:rPr>
              <w:t>1,111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CB2E5F4" w14:textId="6853C2BC" w:rsidR="006061A8" w:rsidRPr="000E3B49" w:rsidRDefault="0070729A" w:rsidP="006061A8">
            <w:pPr>
              <w:rPr>
                <w:rFonts w:eastAsia="Times New Roman" w:cs="Arial"/>
                <w:color w:val="020A0A"/>
                <w:lang w:eastAsia="en-AU"/>
              </w:rPr>
            </w:pPr>
            <w:r w:rsidRPr="000E3B49">
              <w:rPr>
                <w:rFonts w:cs="Arial"/>
                <w:color w:val="000000"/>
                <w:szCs w:val="22"/>
              </w:rPr>
              <w:t>115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62CAD51" w14:textId="7062883A" w:rsidR="006061A8" w:rsidRPr="000E3B49" w:rsidRDefault="0070729A" w:rsidP="006061A8">
            <w:pPr>
              <w:rPr>
                <w:rFonts w:eastAsia="Times New Roman" w:cs="Arial"/>
                <w:color w:val="020A0A"/>
                <w:lang w:eastAsia="en-AU"/>
              </w:rPr>
            </w:pPr>
            <w:r w:rsidRPr="000E3B49">
              <w:rPr>
                <w:rFonts w:cs="Arial"/>
                <w:color w:val="000000"/>
                <w:szCs w:val="22"/>
              </w:rPr>
              <w:t>3,008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B01B093" w14:textId="0F11026C" w:rsidR="006061A8" w:rsidRPr="000E3B49" w:rsidRDefault="0070729A" w:rsidP="006061A8">
            <w:pPr>
              <w:rPr>
                <w:rFonts w:eastAsia="Times New Roman" w:cs="Arial"/>
                <w:color w:val="020A0A"/>
                <w:lang w:eastAsia="en-AU"/>
              </w:rPr>
            </w:pPr>
            <w:r w:rsidRPr="000E3B49">
              <w:rPr>
                <w:rFonts w:cs="Arial"/>
                <w:color w:val="000000"/>
                <w:szCs w:val="22"/>
              </w:rPr>
              <w:t>6,572</w:t>
            </w:r>
          </w:p>
        </w:tc>
      </w:tr>
      <w:tr w:rsidR="002145B2" w:rsidRPr="007A1022" w14:paraId="4146653E" w14:textId="77777777" w:rsidTr="002145B2">
        <w:trPr>
          <w:trHeight w:val="567"/>
        </w:trPr>
        <w:tc>
          <w:tcPr>
            <w:tcW w:w="1408" w:type="dxa"/>
            <w:vMerge/>
            <w:tcBorders>
              <w:top w:val="single" w:sz="4" w:space="0" w:color="auto"/>
              <w:left w:val="single" w:sz="4" w:space="0" w:color="auto"/>
              <w:bottom w:val="single" w:sz="4" w:space="0" w:color="auto"/>
              <w:right w:val="single" w:sz="4" w:space="0" w:color="auto"/>
            </w:tcBorders>
            <w:vAlign w:val="center"/>
            <w:hideMark/>
          </w:tcPr>
          <w:p w14:paraId="49D7ED56" w14:textId="77777777" w:rsidR="006061A8" w:rsidRPr="007A1022" w:rsidRDefault="006061A8" w:rsidP="006061A8">
            <w:pPr>
              <w:rPr>
                <w:rFonts w:eastAsia="Times New Roman" w:cs="Arial"/>
                <w:b/>
                <w:bCs/>
                <w:color w:val="020A0A"/>
                <w:szCs w:val="20"/>
                <w:lang w:eastAsia="en-AU"/>
              </w:rPr>
            </w:pPr>
          </w:p>
        </w:tc>
        <w:tc>
          <w:tcPr>
            <w:tcW w:w="1848" w:type="dxa"/>
            <w:tcBorders>
              <w:top w:val="single" w:sz="4" w:space="0" w:color="auto"/>
              <w:left w:val="single" w:sz="4" w:space="0" w:color="auto"/>
              <w:bottom w:val="single" w:sz="4" w:space="0" w:color="auto"/>
              <w:right w:val="single" w:sz="4" w:space="0" w:color="auto"/>
            </w:tcBorders>
            <w:noWrap/>
            <w:vAlign w:val="center"/>
            <w:hideMark/>
          </w:tcPr>
          <w:p w14:paraId="7BB8D4CE" w14:textId="77777777" w:rsidR="006061A8" w:rsidRPr="007A1022" w:rsidRDefault="006061A8" w:rsidP="006061A8">
            <w:pPr>
              <w:rPr>
                <w:rFonts w:eastAsia="Times New Roman" w:cs="Arial"/>
                <w:color w:val="020A0A"/>
                <w:lang w:eastAsia="en-AU"/>
              </w:rPr>
            </w:pPr>
            <w:r w:rsidRPr="14C7C145">
              <w:rPr>
                <w:rFonts w:eastAsia="Times New Roman" w:cs="Arial"/>
                <w:color w:val="020A0A" w:themeColor="accent4"/>
                <w:lang w:eastAsia="en-AU"/>
              </w:rPr>
              <w:t>Mechanical plumbing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C8D77F" w14:textId="1A96ABB3" w:rsidR="006061A8" w:rsidRPr="000E3B49" w:rsidRDefault="0070729A" w:rsidP="006061A8">
            <w:pPr>
              <w:rPr>
                <w:rFonts w:eastAsia="Times New Roman" w:cs="Arial"/>
                <w:color w:val="020A0A"/>
                <w:lang w:eastAsia="en-AU"/>
              </w:rPr>
            </w:pPr>
            <w:r w:rsidRPr="000E3B49">
              <w:rPr>
                <w:rFonts w:cs="Arial"/>
                <w:color w:val="000000"/>
                <w:szCs w:val="22"/>
              </w:rPr>
              <w:t>512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001C4C" w14:textId="2145A9ED" w:rsidR="006061A8" w:rsidRPr="000E3B49" w:rsidRDefault="0070729A" w:rsidP="006061A8">
            <w:pPr>
              <w:rPr>
                <w:rFonts w:eastAsia="Times New Roman" w:cs="Arial"/>
                <w:color w:val="020A0A"/>
                <w:lang w:eastAsia="en-AU"/>
              </w:rPr>
            </w:pPr>
            <w:r w:rsidRPr="000E3B49">
              <w:rPr>
                <w:rFonts w:cs="Arial"/>
                <w:color w:val="000000"/>
                <w:szCs w:val="22"/>
              </w:rPr>
              <w:t>216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F4A5E82" w14:textId="0894AFE9" w:rsidR="006061A8" w:rsidRPr="000E3B49" w:rsidRDefault="0070729A" w:rsidP="006061A8">
            <w:pPr>
              <w:rPr>
                <w:rFonts w:eastAsia="Times New Roman" w:cs="Arial"/>
                <w:color w:val="020A0A"/>
                <w:lang w:eastAsia="en-AU"/>
              </w:rPr>
            </w:pPr>
            <w:r w:rsidRPr="000E3B49">
              <w:rPr>
                <w:rFonts w:cs="Arial"/>
                <w:color w:val="000000"/>
                <w:szCs w:val="22"/>
              </w:rPr>
              <w:t>30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3188555" w14:textId="4B2D23B5" w:rsidR="006061A8" w:rsidRPr="000E3B49" w:rsidRDefault="0070729A" w:rsidP="006061A8">
            <w:pPr>
              <w:rPr>
                <w:rFonts w:eastAsia="Times New Roman" w:cs="Arial"/>
                <w:color w:val="020A0A"/>
                <w:lang w:eastAsia="en-AU"/>
              </w:rPr>
            </w:pPr>
            <w:r w:rsidRPr="000E3B49">
              <w:rPr>
                <w:rFonts w:cs="Arial"/>
                <w:color w:val="000000"/>
                <w:szCs w:val="22"/>
              </w:rPr>
              <w:t>1,135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EBFDB22" w14:textId="1DBFBB16" w:rsidR="006061A8" w:rsidRPr="000E3B49" w:rsidRDefault="0070729A" w:rsidP="006061A8">
            <w:pPr>
              <w:rPr>
                <w:rFonts w:eastAsia="Times New Roman" w:cs="Arial"/>
                <w:color w:val="020A0A"/>
                <w:lang w:eastAsia="en-AU"/>
              </w:rPr>
            </w:pPr>
            <w:r w:rsidRPr="000E3B49">
              <w:rPr>
                <w:rFonts w:cs="Arial"/>
                <w:color w:val="000000"/>
                <w:szCs w:val="22"/>
              </w:rPr>
              <w:t>1,893</w:t>
            </w:r>
          </w:p>
        </w:tc>
      </w:tr>
      <w:tr w:rsidR="002145B2" w:rsidRPr="007A1022" w14:paraId="4057F38B" w14:textId="77777777" w:rsidTr="002145B2">
        <w:trPr>
          <w:trHeight w:val="567"/>
        </w:trPr>
        <w:tc>
          <w:tcPr>
            <w:tcW w:w="1408" w:type="dxa"/>
            <w:vMerge/>
            <w:tcBorders>
              <w:top w:val="single" w:sz="4" w:space="0" w:color="auto"/>
              <w:left w:val="single" w:sz="4" w:space="0" w:color="auto"/>
              <w:bottom w:val="single" w:sz="4" w:space="0" w:color="auto"/>
              <w:right w:val="single" w:sz="4" w:space="0" w:color="auto"/>
            </w:tcBorders>
            <w:vAlign w:val="center"/>
            <w:hideMark/>
          </w:tcPr>
          <w:p w14:paraId="44A6D6B6" w14:textId="77777777" w:rsidR="006061A8" w:rsidRPr="007A1022" w:rsidRDefault="006061A8" w:rsidP="006061A8">
            <w:pPr>
              <w:rPr>
                <w:rFonts w:eastAsia="Times New Roman" w:cs="Arial"/>
                <w:b/>
                <w:bCs/>
                <w:color w:val="020A0A"/>
                <w:szCs w:val="20"/>
                <w:lang w:eastAsia="en-AU"/>
              </w:rPr>
            </w:pPr>
          </w:p>
        </w:tc>
        <w:tc>
          <w:tcPr>
            <w:tcW w:w="1848" w:type="dxa"/>
            <w:tcBorders>
              <w:top w:val="single" w:sz="4" w:space="0" w:color="auto"/>
              <w:left w:val="single" w:sz="4" w:space="0" w:color="auto"/>
              <w:bottom w:val="single" w:sz="4" w:space="0" w:color="auto"/>
              <w:right w:val="single" w:sz="4" w:space="0" w:color="auto"/>
            </w:tcBorders>
            <w:noWrap/>
            <w:vAlign w:val="center"/>
            <w:hideMark/>
          </w:tcPr>
          <w:p w14:paraId="4F87E021" w14:textId="77777777" w:rsidR="006061A8" w:rsidRPr="007A1022" w:rsidRDefault="006061A8" w:rsidP="006061A8">
            <w:pPr>
              <w:rPr>
                <w:rFonts w:eastAsia="Times New Roman" w:cs="Arial"/>
                <w:color w:val="020A0A"/>
                <w:lang w:eastAsia="en-AU"/>
              </w:rPr>
            </w:pPr>
            <w:r w:rsidRPr="14C7C145">
              <w:rPr>
                <w:rFonts w:eastAsia="Times New Roman" w:cs="Arial"/>
                <w:color w:val="020A0A" w:themeColor="accent4"/>
                <w:lang w:eastAsia="en-AU"/>
              </w:rPr>
              <w:t>Medical gas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AE2DED" w14:textId="5F78F6C9" w:rsidR="006061A8" w:rsidRPr="000E3B49" w:rsidRDefault="0070729A" w:rsidP="006061A8">
            <w:pPr>
              <w:rPr>
                <w:rFonts w:eastAsia="Times New Roman" w:cs="Arial"/>
                <w:color w:val="020A0A"/>
                <w:lang w:eastAsia="en-AU"/>
              </w:rPr>
            </w:pPr>
            <w:r w:rsidRPr="000E3B49">
              <w:rPr>
                <w:rFonts w:cs="Arial"/>
                <w:color w:val="000000"/>
                <w:szCs w:val="22"/>
              </w:rPr>
              <w:t>150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24B210" w14:textId="3EA054E9" w:rsidR="006061A8" w:rsidRPr="000E3B49" w:rsidRDefault="0070729A" w:rsidP="006061A8">
            <w:pPr>
              <w:rPr>
                <w:rFonts w:eastAsia="Times New Roman" w:cs="Arial"/>
                <w:color w:val="020A0A"/>
                <w:lang w:eastAsia="en-AU"/>
              </w:rPr>
            </w:pPr>
            <w:r w:rsidRPr="000E3B49">
              <w:rPr>
                <w:rFonts w:cs="Arial"/>
                <w:color w:val="000000"/>
                <w:szCs w:val="22"/>
              </w:rPr>
              <w:t>52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5D00F44" w14:textId="27E64AF5" w:rsidR="006061A8" w:rsidRPr="000E3B49" w:rsidRDefault="0070729A" w:rsidP="006061A8">
            <w:pPr>
              <w:rPr>
                <w:rFonts w:eastAsia="Times New Roman" w:cs="Arial"/>
                <w:color w:val="020A0A"/>
                <w:lang w:eastAsia="en-AU"/>
              </w:rPr>
            </w:pPr>
            <w:r w:rsidRPr="000E3B49">
              <w:rPr>
                <w:rFonts w:cs="Arial"/>
                <w:color w:val="000000"/>
                <w:szCs w:val="22"/>
              </w:rPr>
              <w:t>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9E67C7F" w14:textId="48D66A73" w:rsidR="006061A8" w:rsidRPr="000E3B49" w:rsidRDefault="0070729A" w:rsidP="006061A8">
            <w:pPr>
              <w:rPr>
                <w:rFonts w:eastAsia="Times New Roman" w:cs="Arial"/>
                <w:color w:val="020A0A"/>
                <w:lang w:eastAsia="en-AU"/>
              </w:rPr>
            </w:pPr>
            <w:r w:rsidRPr="000E3B49">
              <w:rPr>
                <w:rFonts w:cs="Arial"/>
                <w:color w:val="000000"/>
                <w:szCs w:val="22"/>
              </w:rPr>
              <w:t>263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A42D0FB" w14:textId="64BEA8A0" w:rsidR="006061A8" w:rsidRPr="000E3B49" w:rsidRDefault="0070729A" w:rsidP="006061A8">
            <w:pPr>
              <w:rPr>
                <w:rFonts w:eastAsia="Times New Roman" w:cs="Arial"/>
                <w:color w:val="020A0A"/>
                <w:lang w:eastAsia="en-AU"/>
              </w:rPr>
            </w:pPr>
            <w:r w:rsidRPr="000E3B49">
              <w:rPr>
                <w:rFonts w:cs="Arial"/>
                <w:color w:val="000000"/>
                <w:szCs w:val="22"/>
              </w:rPr>
              <w:t>478</w:t>
            </w:r>
          </w:p>
        </w:tc>
      </w:tr>
    </w:tbl>
    <w:p w14:paraId="21AA64FA" w14:textId="341D92C7" w:rsidR="004C7EA7" w:rsidRPr="00842439" w:rsidRDefault="00C6076E" w:rsidP="000E3B49">
      <w:pPr>
        <w:pStyle w:val="Heading4"/>
        <w:spacing w:before="120"/>
      </w:pPr>
      <w:r>
        <w:t xml:space="preserve">Owner </w:t>
      </w:r>
      <w:r w:rsidR="00025514">
        <w:t>b</w:t>
      </w:r>
      <w:r>
        <w:t xml:space="preserve">uilder </w:t>
      </w:r>
      <w:r w:rsidR="00025514">
        <w:t>p</w:t>
      </w:r>
      <w:r>
        <w:t>ermit</w:t>
      </w:r>
      <w:r w:rsidR="003810F1">
        <w:t>s</w:t>
      </w:r>
    </w:p>
    <w:p w14:paraId="59901AA2" w14:textId="05430085" w:rsidR="00753B59" w:rsidRDefault="00350043" w:rsidP="008B6D14">
      <w:pPr>
        <w:spacing w:before="120" w:after="120"/>
        <w:rPr>
          <w:rFonts w:cs="Arial"/>
        </w:rPr>
      </w:pPr>
      <w:r w:rsidRPr="7E4EA285">
        <w:rPr>
          <w:rFonts w:cs="Arial"/>
        </w:rPr>
        <w:t>O</w:t>
      </w:r>
      <w:r w:rsidR="003C2FBA" w:rsidRPr="7E4EA285">
        <w:rPr>
          <w:rFonts w:cs="Arial"/>
        </w:rPr>
        <w:t xml:space="preserve">wner </w:t>
      </w:r>
      <w:r w:rsidR="00025514">
        <w:rPr>
          <w:rFonts w:cs="Arial"/>
        </w:rPr>
        <w:t>b</w:t>
      </w:r>
      <w:r w:rsidR="003C2FBA" w:rsidRPr="7E4EA285">
        <w:rPr>
          <w:rFonts w:cs="Arial"/>
        </w:rPr>
        <w:t>uilder</w:t>
      </w:r>
      <w:r w:rsidRPr="7E4EA285">
        <w:rPr>
          <w:rFonts w:cs="Arial"/>
        </w:rPr>
        <w:t xml:space="preserve"> </w:t>
      </w:r>
      <w:r w:rsidR="00025514">
        <w:rPr>
          <w:rFonts w:cs="Arial"/>
        </w:rPr>
        <w:t>p</w:t>
      </w:r>
      <w:r w:rsidRPr="7E4EA285">
        <w:rPr>
          <w:rFonts w:cs="Arial"/>
        </w:rPr>
        <w:t>ermits</w:t>
      </w:r>
      <w:r w:rsidR="0091173C" w:rsidRPr="7E4EA285">
        <w:rPr>
          <w:rFonts w:cs="Arial"/>
        </w:rPr>
        <w:t xml:space="preserve"> allow </w:t>
      </w:r>
      <w:r w:rsidR="00924348">
        <w:rPr>
          <w:rFonts w:cs="Arial"/>
        </w:rPr>
        <w:t>property</w:t>
      </w:r>
      <w:r w:rsidR="00F71EED" w:rsidRPr="7E4EA285">
        <w:rPr>
          <w:rFonts w:cs="Arial"/>
        </w:rPr>
        <w:t xml:space="preserve"> owners </w:t>
      </w:r>
      <w:r w:rsidR="00AF3D5D">
        <w:rPr>
          <w:rFonts w:cs="Arial"/>
        </w:rPr>
        <w:t xml:space="preserve">to take direct responsibility for </w:t>
      </w:r>
      <w:r w:rsidR="002C4381" w:rsidRPr="7E4EA285">
        <w:rPr>
          <w:rFonts w:cs="Arial"/>
        </w:rPr>
        <w:t>manag</w:t>
      </w:r>
      <w:r w:rsidR="00AF3D5D">
        <w:rPr>
          <w:rFonts w:cs="Arial"/>
        </w:rPr>
        <w:t>ing</w:t>
      </w:r>
      <w:r w:rsidR="002C4381" w:rsidRPr="7E4EA285">
        <w:rPr>
          <w:rFonts w:cs="Arial"/>
        </w:rPr>
        <w:t xml:space="preserve"> and </w:t>
      </w:r>
      <w:r w:rsidR="12E50064" w:rsidRPr="4CF3D27D">
        <w:rPr>
          <w:rFonts w:cs="Arial"/>
        </w:rPr>
        <w:t>carrying</w:t>
      </w:r>
      <w:r w:rsidR="12E50064" w:rsidRPr="174FE136">
        <w:rPr>
          <w:rFonts w:cs="Arial"/>
        </w:rPr>
        <w:t xml:space="preserve"> out </w:t>
      </w:r>
      <w:r w:rsidR="57D4D990" w:rsidRPr="1172F59A">
        <w:rPr>
          <w:rFonts w:cs="Arial"/>
        </w:rPr>
        <w:t xml:space="preserve">significant </w:t>
      </w:r>
      <w:r w:rsidR="00680C24" w:rsidRPr="7E4EA285">
        <w:rPr>
          <w:rFonts w:cs="Arial"/>
        </w:rPr>
        <w:t>building work</w:t>
      </w:r>
      <w:r w:rsidR="00AF3D5D">
        <w:rPr>
          <w:rFonts w:cs="Arial"/>
        </w:rPr>
        <w:t xml:space="preserve"> instead of </w:t>
      </w:r>
      <w:r w:rsidR="1C966AB3" w:rsidRPr="174FE136">
        <w:rPr>
          <w:rFonts w:cs="Arial"/>
        </w:rPr>
        <w:t xml:space="preserve">engaging a </w:t>
      </w:r>
      <w:r w:rsidR="1C966AB3" w:rsidRPr="1D00BF75">
        <w:rPr>
          <w:rFonts w:cs="Arial"/>
        </w:rPr>
        <w:t>contractor.</w:t>
      </w:r>
      <w:r w:rsidR="00AF3D5D" w:rsidRPr="174FE136">
        <w:rPr>
          <w:rFonts w:cs="Arial"/>
        </w:rPr>
        <w:t xml:space="preserve"> </w:t>
      </w:r>
      <w:r w:rsidR="00FD654F" w:rsidRPr="7E4EA285">
        <w:rPr>
          <w:rFonts w:cs="Arial"/>
        </w:rPr>
        <w:t xml:space="preserve">To </w:t>
      </w:r>
      <w:r w:rsidR="00BC2389" w:rsidRPr="7E4EA285">
        <w:rPr>
          <w:rFonts w:cs="Arial"/>
        </w:rPr>
        <w:t>be eligible for</w:t>
      </w:r>
      <w:r w:rsidR="00FD654F" w:rsidRPr="7E4EA285">
        <w:rPr>
          <w:rFonts w:cs="Arial"/>
        </w:rPr>
        <w:t xml:space="preserve"> an </w:t>
      </w:r>
      <w:r w:rsidR="00025514">
        <w:rPr>
          <w:rFonts w:cs="Arial"/>
        </w:rPr>
        <w:t>o</w:t>
      </w:r>
      <w:r w:rsidR="00FD654F" w:rsidRPr="7E4EA285">
        <w:rPr>
          <w:rFonts w:cs="Arial"/>
        </w:rPr>
        <w:t xml:space="preserve">wner </w:t>
      </w:r>
      <w:r w:rsidR="00025514">
        <w:rPr>
          <w:rFonts w:cs="Arial"/>
        </w:rPr>
        <w:t>b</w:t>
      </w:r>
      <w:r w:rsidR="00FD654F" w:rsidRPr="7E4EA285">
        <w:rPr>
          <w:rFonts w:cs="Arial"/>
        </w:rPr>
        <w:t xml:space="preserve">uilder </w:t>
      </w:r>
      <w:r w:rsidR="00025514">
        <w:rPr>
          <w:rFonts w:cs="Arial"/>
        </w:rPr>
        <w:t>p</w:t>
      </w:r>
      <w:r w:rsidR="00FD654F" w:rsidRPr="7E4EA285">
        <w:rPr>
          <w:rFonts w:cs="Arial"/>
        </w:rPr>
        <w:t xml:space="preserve">ermit, applicants must meet specific criteria </w:t>
      </w:r>
      <w:r w:rsidR="06125263" w:rsidRPr="487D5A19">
        <w:rPr>
          <w:rFonts w:cs="Arial"/>
        </w:rPr>
        <w:t>including completion of a qualification to</w:t>
      </w:r>
      <w:r w:rsidR="006D1379" w:rsidRPr="7E4EA285">
        <w:rPr>
          <w:rFonts w:cs="Arial"/>
        </w:rPr>
        <w:t xml:space="preserve"> </w:t>
      </w:r>
      <w:r w:rsidR="00FD654F" w:rsidRPr="7E4EA285">
        <w:rPr>
          <w:rFonts w:cs="Arial"/>
        </w:rPr>
        <w:t>demonstrat</w:t>
      </w:r>
      <w:r w:rsidR="006D1379" w:rsidRPr="7E4EA285">
        <w:rPr>
          <w:rFonts w:cs="Arial"/>
        </w:rPr>
        <w:t>e</w:t>
      </w:r>
      <w:r w:rsidR="00FD654F" w:rsidRPr="7E4EA285">
        <w:rPr>
          <w:rFonts w:cs="Arial"/>
        </w:rPr>
        <w:t xml:space="preserve"> </w:t>
      </w:r>
      <w:r w:rsidR="003865E1" w:rsidRPr="7E4EA285">
        <w:rPr>
          <w:rFonts w:cs="Arial"/>
        </w:rPr>
        <w:t>adequate</w:t>
      </w:r>
      <w:r w:rsidR="00FD654F" w:rsidRPr="7E4EA285">
        <w:rPr>
          <w:rFonts w:cs="Arial"/>
        </w:rPr>
        <w:t xml:space="preserve"> knowledge of building regulations, safety </w:t>
      </w:r>
      <w:r w:rsidR="003865E1" w:rsidRPr="7E4EA285">
        <w:rPr>
          <w:rFonts w:cs="Arial"/>
        </w:rPr>
        <w:t xml:space="preserve">protocols </w:t>
      </w:r>
      <w:r w:rsidR="00FD654F" w:rsidRPr="7E4EA285">
        <w:rPr>
          <w:rFonts w:cs="Arial"/>
        </w:rPr>
        <w:t xml:space="preserve">and construction </w:t>
      </w:r>
      <w:r w:rsidR="0038218D" w:rsidRPr="7E4EA285">
        <w:rPr>
          <w:rFonts w:cs="Arial"/>
        </w:rPr>
        <w:t>practices</w:t>
      </w:r>
      <w:r w:rsidR="006F261C">
        <w:rPr>
          <w:rFonts w:cs="Arial"/>
        </w:rPr>
        <w:t>,</w:t>
      </w:r>
      <w:r w:rsidR="5E9D7FA3" w:rsidRPr="487D5A19">
        <w:rPr>
          <w:rFonts w:cs="Arial"/>
        </w:rPr>
        <w:t xml:space="preserve"> and to </w:t>
      </w:r>
      <w:r w:rsidR="1660FF79" w:rsidRPr="345835F2">
        <w:rPr>
          <w:rFonts w:cs="Arial"/>
        </w:rPr>
        <w:t>understand their responsibilities and legal obligations under the permit</w:t>
      </w:r>
      <w:r w:rsidR="7AA920C1" w:rsidRPr="5460F168">
        <w:rPr>
          <w:rFonts w:cs="Arial"/>
        </w:rPr>
        <w:t xml:space="preserve">. </w:t>
      </w:r>
    </w:p>
    <w:p w14:paraId="45D74908" w14:textId="3A96E481" w:rsidR="00D25985" w:rsidRPr="00507EDF" w:rsidRDefault="003F300C" w:rsidP="008B6D14">
      <w:pPr>
        <w:spacing w:before="120" w:after="120"/>
        <w:rPr>
          <w:rFonts w:cs="Arial"/>
        </w:rPr>
      </w:pPr>
      <w:r w:rsidRPr="7E4EA285">
        <w:rPr>
          <w:rFonts w:cs="Arial"/>
        </w:rPr>
        <w:t>While</w:t>
      </w:r>
      <w:r w:rsidR="00753B59" w:rsidRPr="7E4EA285">
        <w:rPr>
          <w:rFonts w:cs="Arial"/>
        </w:rPr>
        <w:t xml:space="preserve"> </w:t>
      </w:r>
      <w:r w:rsidR="00CE6073" w:rsidRPr="7E4EA285">
        <w:rPr>
          <w:rFonts w:cs="Arial"/>
        </w:rPr>
        <w:t>permit</w:t>
      </w:r>
      <w:r w:rsidR="00936DAF">
        <w:rPr>
          <w:rFonts w:cs="Arial"/>
        </w:rPr>
        <w:t>s</w:t>
      </w:r>
      <w:r w:rsidRPr="7E4EA285">
        <w:rPr>
          <w:rFonts w:cs="Arial"/>
        </w:rPr>
        <w:t xml:space="preserve"> enable </w:t>
      </w:r>
      <w:r w:rsidR="00BBC20C" w:rsidRPr="05F7048B">
        <w:rPr>
          <w:rFonts w:cs="Arial"/>
        </w:rPr>
        <w:t>property</w:t>
      </w:r>
      <w:r w:rsidRPr="7E4EA285">
        <w:rPr>
          <w:rFonts w:cs="Arial"/>
        </w:rPr>
        <w:t xml:space="preserve"> owners to undertake</w:t>
      </w:r>
      <w:r w:rsidR="00753B59" w:rsidRPr="7E4EA285">
        <w:rPr>
          <w:rFonts w:cs="Arial"/>
        </w:rPr>
        <w:t xml:space="preserve"> a </w:t>
      </w:r>
      <w:r w:rsidR="00CE6073" w:rsidRPr="7E4EA285">
        <w:rPr>
          <w:rFonts w:cs="Arial"/>
        </w:rPr>
        <w:t xml:space="preserve">wide </w:t>
      </w:r>
      <w:r w:rsidR="00753B59" w:rsidRPr="7E4EA285">
        <w:rPr>
          <w:rFonts w:cs="Arial"/>
        </w:rPr>
        <w:t xml:space="preserve">range of </w:t>
      </w:r>
      <w:r w:rsidRPr="7E4EA285">
        <w:rPr>
          <w:rFonts w:cs="Arial"/>
        </w:rPr>
        <w:t xml:space="preserve">building </w:t>
      </w:r>
      <w:r w:rsidR="0029787F">
        <w:rPr>
          <w:rFonts w:cs="Arial"/>
        </w:rPr>
        <w:t xml:space="preserve">activities and </w:t>
      </w:r>
      <w:r w:rsidR="000B27F1">
        <w:rPr>
          <w:rFonts w:cs="Arial"/>
        </w:rPr>
        <w:t xml:space="preserve">coordination </w:t>
      </w:r>
      <w:r w:rsidR="00A125D2">
        <w:rPr>
          <w:rFonts w:cs="Arial"/>
        </w:rPr>
        <w:t>themselves</w:t>
      </w:r>
      <w:r w:rsidR="00753B59" w:rsidRPr="7E4EA285">
        <w:rPr>
          <w:rFonts w:cs="Arial"/>
        </w:rPr>
        <w:t>, there are limit</w:t>
      </w:r>
      <w:r w:rsidR="00CE6073" w:rsidRPr="7E4EA285">
        <w:rPr>
          <w:rFonts w:cs="Arial"/>
        </w:rPr>
        <w:t>ation</w:t>
      </w:r>
      <w:r w:rsidR="00753B59" w:rsidRPr="7E4EA285">
        <w:rPr>
          <w:rFonts w:cs="Arial"/>
        </w:rPr>
        <w:t>s</w:t>
      </w:r>
      <w:r w:rsidR="00FA2235" w:rsidRPr="7E4EA285">
        <w:rPr>
          <w:rFonts w:cs="Arial"/>
        </w:rPr>
        <w:t xml:space="preserve">. Owner </w:t>
      </w:r>
      <w:r w:rsidR="006F261C">
        <w:rPr>
          <w:rFonts w:cs="Arial"/>
        </w:rPr>
        <w:t>b</w:t>
      </w:r>
      <w:r w:rsidR="00FA2235" w:rsidRPr="7E4EA285">
        <w:rPr>
          <w:rFonts w:cs="Arial"/>
        </w:rPr>
        <w:t>uilder</w:t>
      </w:r>
      <w:r w:rsidR="00753B59" w:rsidRPr="7E4EA285">
        <w:rPr>
          <w:rFonts w:cs="Arial"/>
        </w:rPr>
        <w:t xml:space="preserve"> </w:t>
      </w:r>
      <w:r w:rsidR="006F261C">
        <w:rPr>
          <w:rFonts w:cs="Arial"/>
        </w:rPr>
        <w:t>p</w:t>
      </w:r>
      <w:r w:rsidR="005633CE" w:rsidRPr="7E4EA285">
        <w:rPr>
          <w:rFonts w:cs="Arial"/>
        </w:rPr>
        <w:t>ermit</w:t>
      </w:r>
      <w:r w:rsidR="00FA2235" w:rsidRPr="7E4EA285">
        <w:rPr>
          <w:rFonts w:cs="Arial"/>
        </w:rPr>
        <w:t xml:space="preserve">s do not apply </w:t>
      </w:r>
      <w:r w:rsidR="00974232" w:rsidRPr="7E4EA285">
        <w:rPr>
          <w:rFonts w:cs="Arial"/>
        </w:rPr>
        <w:t xml:space="preserve">to </w:t>
      </w:r>
      <w:r w:rsidR="005633CE" w:rsidRPr="7E4EA285">
        <w:rPr>
          <w:rFonts w:cs="Arial"/>
        </w:rPr>
        <w:t xml:space="preserve">multiple dwellings </w:t>
      </w:r>
      <w:r w:rsidR="00974232" w:rsidRPr="7E4EA285">
        <w:rPr>
          <w:rFonts w:cs="Arial"/>
        </w:rPr>
        <w:t xml:space="preserve">and do not authorise </w:t>
      </w:r>
      <w:r w:rsidR="00236D62" w:rsidRPr="7E4EA285">
        <w:rPr>
          <w:rFonts w:cs="Arial"/>
        </w:rPr>
        <w:t xml:space="preserve">work that requires an </w:t>
      </w:r>
      <w:r w:rsidR="005633CE" w:rsidRPr="7E4EA285">
        <w:rPr>
          <w:rFonts w:cs="Arial"/>
        </w:rPr>
        <w:t>occupational licence</w:t>
      </w:r>
      <w:r w:rsidR="00FC71D1">
        <w:rPr>
          <w:rFonts w:cs="Arial"/>
        </w:rPr>
        <w:t xml:space="preserve">, such as plumbing, fire protection </w:t>
      </w:r>
      <w:r w:rsidR="00E76B9B">
        <w:rPr>
          <w:rFonts w:cs="Arial"/>
        </w:rPr>
        <w:t>or mechanical services work</w:t>
      </w:r>
      <w:r w:rsidR="005633CE" w:rsidRPr="7E4EA285">
        <w:rPr>
          <w:rFonts w:cs="Arial"/>
        </w:rPr>
        <w:t>.</w:t>
      </w:r>
      <w:r w:rsidR="00036990" w:rsidRPr="7E4EA285">
        <w:rPr>
          <w:rFonts w:cs="Arial"/>
        </w:rPr>
        <w:t xml:space="preserve"> </w:t>
      </w:r>
      <w:r w:rsidR="0015609A" w:rsidRPr="7E4EA285">
        <w:rPr>
          <w:rFonts w:cs="Arial"/>
        </w:rPr>
        <w:t>Through the</w:t>
      </w:r>
      <w:r w:rsidR="00753B59" w:rsidRPr="7E4EA285">
        <w:rPr>
          <w:rFonts w:cs="Arial"/>
        </w:rPr>
        <w:t xml:space="preserve"> </w:t>
      </w:r>
      <w:r w:rsidR="00E960CF" w:rsidRPr="7E4EA285">
        <w:rPr>
          <w:rFonts w:cs="Arial"/>
        </w:rPr>
        <w:t xml:space="preserve">administration of </w:t>
      </w:r>
      <w:r w:rsidR="006F261C">
        <w:rPr>
          <w:rFonts w:cs="Arial"/>
        </w:rPr>
        <w:t>o</w:t>
      </w:r>
      <w:r w:rsidR="00E960CF" w:rsidRPr="7E4EA285">
        <w:rPr>
          <w:rFonts w:cs="Arial"/>
        </w:rPr>
        <w:t xml:space="preserve">wner </w:t>
      </w:r>
      <w:r w:rsidR="006F261C">
        <w:rPr>
          <w:rFonts w:cs="Arial"/>
        </w:rPr>
        <w:t>b</w:t>
      </w:r>
      <w:r w:rsidR="00E960CF" w:rsidRPr="7E4EA285">
        <w:rPr>
          <w:rFonts w:cs="Arial"/>
        </w:rPr>
        <w:t>u</w:t>
      </w:r>
      <w:r w:rsidR="006F261C">
        <w:rPr>
          <w:rFonts w:cs="Arial"/>
        </w:rPr>
        <w:t>i</w:t>
      </w:r>
      <w:r w:rsidR="00E960CF" w:rsidRPr="7E4EA285">
        <w:rPr>
          <w:rFonts w:cs="Arial"/>
        </w:rPr>
        <w:t xml:space="preserve">lder </w:t>
      </w:r>
      <w:r w:rsidR="006F261C">
        <w:rPr>
          <w:rFonts w:cs="Arial"/>
        </w:rPr>
        <w:t>p</w:t>
      </w:r>
      <w:r w:rsidR="00E960CF" w:rsidRPr="7E4EA285">
        <w:rPr>
          <w:rFonts w:cs="Arial"/>
        </w:rPr>
        <w:t>ermits</w:t>
      </w:r>
      <w:r w:rsidR="00923A04" w:rsidRPr="7E4EA285">
        <w:rPr>
          <w:rFonts w:cs="Arial"/>
        </w:rPr>
        <w:t xml:space="preserve">, the QBCC supports </w:t>
      </w:r>
      <w:r w:rsidR="00B5349C" w:rsidRPr="7761875B">
        <w:rPr>
          <w:rFonts w:cs="Arial"/>
        </w:rPr>
        <w:t xml:space="preserve">property </w:t>
      </w:r>
      <w:r w:rsidR="00923A04" w:rsidRPr="7E4EA285">
        <w:rPr>
          <w:rFonts w:cs="Arial"/>
        </w:rPr>
        <w:t xml:space="preserve">owners </w:t>
      </w:r>
      <w:r w:rsidR="00753B59" w:rsidRPr="7E4EA285">
        <w:rPr>
          <w:rFonts w:cs="Arial"/>
        </w:rPr>
        <w:t xml:space="preserve">to </w:t>
      </w:r>
      <w:r w:rsidR="008344A8" w:rsidRPr="7E4EA285">
        <w:rPr>
          <w:rFonts w:cs="Arial"/>
        </w:rPr>
        <w:t>active</w:t>
      </w:r>
      <w:r w:rsidR="008344A8" w:rsidRPr="000E3B49">
        <w:rPr>
          <w:rFonts w:cs="Arial"/>
        </w:rPr>
        <w:t xml:space="preserve">ly participate in </w:t>
      </w:r>
      <w:r w:rsidR="00753B59" w:rsidRPr="000E3B49">
        <w:rPr>
          <w:rFonts w:cs="Arial"/>
        </w:rPr>
        <w:t xml:space="preserve">their building projects while </w:t>
      </w:r>
      <w:r w:rsidR="008344A8" w:rsidRPr="000E3B49">
        <w:rPr>
          <w:rFonts w:cs="Arial"/>
        </w:rPr>
        <w:t>upholding</w:t>
      </w:r>
      <w:r w:rsidR="00753B59" w:rsidRPr="000E3B49">
        <w:rPr>
          <w:rFonts w:cs="Arial"/>
        </w:rPr>
        <w:t xml:space="preserve"> </w:t>
      </w:r>
      <w:r w:rsidR="001B2F71" w:rsidRPr="000E3B49">
        <w:rPr>
          <w:rFonts w:cs="Arial"/>
        </w:rPr>
        <w:t>building</w:t>
      </w:r>
      <w:r w:rsidR="00753B59" w:rsidRPr="000E3B49">
        <w:rPr>
          <w:rFonts w:cs="Arial"/>
        </w:rPr>
        <w:t xml:space="preserve"> standards</w:t>
      </w:r>
      <w:r w:rsidR="00C75173" w:rsidRPr="000E3B49">
        <w:rPr>
          <w:rFonts w:cs="Arial"/>
        </w:rPr>
        <w:t xml:space="preserve">. In 2024–25, </w:t>
      </w:r>
      <w:r w:rsidR="00F75AC3" w:rsidRPr="000E3B49">
        <w:rPr>
          <w:rFonts w:cs="Arial"/>
        </w:rPr>
        <w:t xml:space="preserve">the QBCC </w:t>
      </w:r>
      <w:r w:rsidR="00F75AC3" w:rsidRPr="000E3B49">
        <w:rPr>
          <w:rFonts w:cs="Arial"/>
        </w:rPr>
        <w:lastRenderedPageBreak/>
        <w:t xml:space="preserve">processed </w:t>
      </w:r>
      <w:r w:rsidR="002D788D" w:rsidRPr="000E3B49">
        <w:rPr>
          <w:rFonts w:cs="Arial"/>
        </w:rPr>
        <w:t>3,226</w:t>
      </w:r>
      <w:r w:rsidR="00F75AC3" w:rsidRPr="000E3B49">
        <w:rPr>
          <w:rFonts w:cs="Arial"/>
        </w:rPr>
        <w:t xml:space="preserve"> new </w:t>
      </w:r>
      <w:r w:rsidR="002B60C3" w:rsidRPr="000E3B49">
        <w:rPr>
          <w:rFonts w:cs="Arial"/>
        </w:rPr>
        <w:t xml:space="preserve">applications for </w:t>
      </w:r>
      <w:r w:rsidR="001D684B">
        <w:rPr>
          <w:rFonts w:cs="Arial"/>
        </w:rPr>
        <w:t>o</w:t>
      </w:r>
      <w:r w:rsidR="00F75AC3" w:rsidRPr="000E3B49">
        <w:rPr>
          <w:rFonts w:cs="Arial"/>
        </w:rPr>
        <w:t xml:space="preserve">wner </w:t>
      </w:r>
      <w:r w:rsidR="001D684B">
        <w:rPr>
          <w:rFonts w:cs="Arial"/>
        </w:rPr>
        <w:t>b</w:t>
      </w:r>
      <w:r w:rsidR="00F75AC3" w:rsidRPr="000E3B49">
        <w:rPr>
          <w:rFonts w:cs="Arial"/>
        </w:rPr>
        <w:t xml:space="preserve">uilder </w:t>
      </w:r>
      <w:r w:rsidR="001D684B">
        <w:rPr>
          <w:rFonts w:cs="Arial"/>
        </w:rPr>
        <w:t>p</w:t>
      </w:r>
      <w:r w:rsidR="00F75AC3" w:rsidRPr="000E3B49">
        <w:rPr>
          <w:rFonts w:cs="Arial"/>
        </w:rPr>
        <w:t>ermit</w:t>
      </w:r>
      <w:r w:rsidR="002B60C3" w:rsidRPr="000E3B49">
        <w:rPr>
          <w:rFonts w:cs="Arial"/>
        </w:rPr>
        <w:t>s</w:t>
      </w:r>
      <w:r w:rsidR="5182D8A5" w:rsidRPr="1AA49AC8">
        <w:rPr>
          <w:rFonts w:cs="Arial"/>
        </w:rPr>
        <w:t xml:space="preserve"> and approved 3,005</w:t>
      </w:r>
      <w:r w:rsidR="00415B61">
        <w:rPr>
          <w:rFonts w:cs="Arial"/>
        </w:rPr>
        <w:t xml:space="preserve"> of these</w:t>
      </w:r>
      <w:r w:rsidR="002B60C3" w:rsidRPr="156B2A4E">
        <w:rPr>
          <w:rFonts w:cs="Arial"/>
        </w:rPr>
        <w:t>.</w:t>
      </w:r>
      <w:r w:rsidR="002B60C3" w:rsidRPr="000E3B49">
        <w:rPr>
          <w:rFonts w:cs="Arial"/>
        </w:rPr>
        <w:t xml:space="preserve"> </w:t>
      </w:r>
      <w:r w:rsidR="3FD0A844" w:rsidRPr="000E3B49">
        <w:rPr>
          <w:rFonts w:cs="Arial"/>
        </w:rPr>
        <w:t>At</w:t>
      </w:r>
      <w:r w:rsidR="003654DB" w:rsidRPr="000E3B49">
        <w:rPr>
          <w:rFonts w:cs="Arial"/>
        </w:rPr>
        <w:t xml:space="preserve"> the end of the reporting period, </w:t>
      </w:r>
      <w:r w:rsidR="00F51D9D" w:rsidRPr="000E3B49">
        <w:rPr>
          <w:rFonts w:cs="Arial"/>
        </w:rPr>
        <w:t xml:space="preserve">there </w:t>
      </w:r>
      <w:r w:rsidR="00E0782F" w:rsidRPr="000E3B49">
        <w:rPr>
          <w:rFonts w:cs="Arial"/>
        </w:rPr>
        <w:t>were</w:t>
      </w:r>
      <w:r w:rsidR="005335AF" w:rsidRPr="000E3B49">
        <w:rPr>
          <w:rFonts w:cs="Arial"/>
        </w:rPr>
        <w:t xml:space="preserve"> </w:t>
      </w:r>
      <w:r w:rsidR="002D788D" w:rsidRPr="000E3B49">
        <w:rPr>
          <w:rFonts w:cs="Arial"/>
        </w:rPr>
        <w:t>15,961</w:t>
      </w:r>
      <w:r w:rsidR="00743A4C" w:rsidRPr="000E3B49">
        <w:rPr>
          <w:rFonts w:cs="Arial"/>
        </w:rPr>
        <w:t xml:space="preserve"> </w:t>
      </w:r>
      <w:r w:rsidR="00F51D9D" w:rsidRPr="000E3B49">
        <w:rPr>
          <w:rFonts w:cs="Arial"/>
        </w:rPr>
        <w:t>active</w:t>
      </w:r>
      <w:r w:rsidR="00743A4C" w:rsidRPr="7E4EA285">
        <w:rPr>
          <w:rFonts w:cs="Arial"/>
        </w:rPr>
        <w:t xml:space="preserve"> </w:t>
      </w:r>
      <w:r w:rsidR="001D684B">
        <w:rPr>
          <w:rFonts w:cs="Arial"/>
        </w:rPr>
        <w:t>o</w:t>
      </w:r>
      <w:r w:rsidR="00743A4C" w:rsidRPr="7E4EA285">
        <w:rPr>
          <w:rFonts w:cs="Arial"/>
        </w:rPr>
        <w:t xml:space="preserve">wner </w:t>
      </w:r>
      <w:r w:rsidR="001D684B">
        <w:rPr>
          <w:rFonts w:cs="Arial"/>
        </w:rPr>
        <w:t>b</w:t>
      </w:r>
      <w:r w:rsidR="00743A4C" w:rsidRPr="7E4EA285">
        <w:rPr>
          <w:rFonts w:cs="Arial"/>
        </w:rPr>
        <w:t xml:space="preserve">uilder </w:t>
      </w:r>
      <w:r w:rsidR="001D684B">
        <w:rPr>
          <w:rFonts w:cs="Arial"/>
        </w:rPr>
        <w:t>p</w:t>
      </w:r>
      <w:r w:rsidR="00743A4C" w:rsidRPr="7E4EA285">
        <w:rPr>
          <w:rFonts w:cs="Arial"/>
        </w:rPr>
        <w:t>ermits</w:t>
      </w:r>
      <w:r w:rsidR="00F51D9D" w:rsidRPr="7E4EA285">
        <w:rPr>
          <w:rFonts w:cs="Arial"/>
        </w:rPr>
        <w:t xml:space="preserve"> </w:t>
      </w:r>
      <w:r w:rsidR="006A55CD">
        <w:rPr>
          <w:rFonts w:cs="Arial"/>
        </w:rPr>
        <w:t xml:space="preserve">issued </w:t>
      </w:r>
      <w:r w:rsidR="00E0782F" w:rsidRPr="7E4EA285">
        <w:rPr>
          <w:rFonts w:cs="Arial"/>
        </w:rPr>
        <w:t>across the state</w:t>
      </w:r>
      <w:r w:rsidR="00743A4C" w:rsidRPr="7E4EA285">
        <w:rPr>
          <w:rFonts w:cs="Arial"/>
        </w:rPr>
        <w:t>.</w:t>
      </w:r>
      <w:r w:rsidR="003C2FBA" w:rsidRPr="7E4EA285">
        <w:rPr>
          <w:rFonts w:cs="Arial"/>
        </w:rPr>
        <w:t xml:space="preserve"> </w:t>
      </w:r>
    </w:p>
    <w:p w14:paraId="0546D703" w14:textId="29A96948" w:rsidR="009F47AF" w:rsidRDefault="00AD451E" w:rsidP="00842439">
      <w:pPr>
        <w:pStyle w:val="Heading3"/>
      </w:pPr>
      <w:bookmarkStart w:id="47" w:name="_PD_Act_licences"/>
      <w:bookmarkEnd w:id="47"/>
      <w:r>
        <w:t>PD Act licences</w:t>
      </w:r>
    </w:p>
    <w:p w14:paraId="7C39FD71" w14:textId="6C311035" w:rsidR="003234BC" w:rsidRDefault="003017E1" w:rsidP="008B6D14">
      <w:pPr>
        <w:spacing w:before="120" w:after="120"/>
      </w:pPr>
      <w:r w:rsidRPr="003017E1">
        <w:t xml:space="preserve">The </w:t>
      </w:r>
      <w:r w:rsidR="006311AA">
        <w:t>QBCC</w:t>
      </w:r>
      <w:r w:rsidR="000E7969">
        <w:t xml:space="preserve"> also</w:t>
      </w:r>
      <w:r w:rsidR="006311AA">
        <w:t xml:space="preserve"> </w:t>
      </w:r>
      <w:r w:rsidRPr="003017E1">
        <w:t>administers</w:t>
      </w:r>
      <w:r w:rsidR="3D2D81F1">
        <w:t xml:space="preserve"> occupational</w:t>
      </w:r>
      <w:r w:rsidRPr="003017E1">
        <w:t xml:space="preserve"> </w:t>
      </w:r>
      <w:r w:rsidR="00A1411D">
        <w:t>licences</w:t>
      </w:r>
      <w:r w:rsidR="00F50CAC">
        <w:t xml:space="preserve"> </w:t>
      </w:r>
      <w:r w:rsidRPr="003017E1">
        <w:t>under the PD Act</w:t>
      </w:r>
      <w:r w:rsidR="006E3993">
        <w:t>,</w:t>
      </w:r>
      <w:r w:rsidRPr="003017E1">
        <w:t xml:space="preserve"> </w:t>
      </w:r>
      <w:r w:rsidR="00387CE8">
        <w:t xml:space="preserve">authorising </w:t>
      </w:r>
      <w:r w:rsidR="00F50CAC">
        <w:t>individuals</w:t>
      </w:r>
      <w:r w:rsidR="009F34C8">
        <w:t xml:space="preserve"> </w:t>
      </w:r>
      <w:r w:rsidRPr="003017E1">
        <w:t>to carry out</w:t>
      </w:r>
      <w:r w:rsidR="00F50CAC">
        <w:t xml:space="preserve"> regulated plumbing and </w:t>
      </w:r>
      <w:r w:rsidR="00E731E8">
        <w:t xml:space="preserve">drainage work </w:t>
      </w:r>
      <w:r w:rsidRPr="003017E1">
        <w:t>across</w:t>
      </w:r>
      <w:r w:rsidR="00E731E8">
        <w:t xml:space="preserve"> Queensland</w:t>
      </w:r>
      <w:r w:rsidR="00DB603C">
        <w:t>.</w:t>
      </w:r>
      <w:r w:rsidR="00396643" w:rsidRPr="00396643">
        <w:t xml:space="preserve"> </w:t>
      </w:r>
      <w:r w:rsidR="005201C3">
        <w:t>PD Act licen</w:t>
      </w:r>
      <w:r w:rsidR="00663766">
        <w:t xml:space="preserve">ces </w:t>
      </w:r>
      <w:r w:rsidR="00287597">
        <w:t>ensure that only</w:t>
      </w:r>
      <w:r w:rsidR="00663766">
        <w:t xml:space="preserve"> </w:t>
      </w:r>
      <w:r w:rsidR="006670B3" w:rsidRPr="006670B3">
        <w:t xml:space="preserve">qualified and competent </w:t>
      </w:r>
      <w:r w:rsidR="000243D0">
        <w:t>individuals</w:t>
      </w:r>
      <w:r w:rsidR="006670B3" w:rsidRPr="006670B3">
        <w:t xml:space="preserve"> </w:t>
      </w:r>
      <w:r w:rsidR="00CC214D">
        <w:t>perform</w:t>
      </w:r>
      <w:r w:rsidR="006670B3" w:rsidRPr="006670B3">
        <w:t xml:space="preserve"> critical services that </w:t>
      </w:r>
      <w:r w:rsidR="00844808">
        <w:t>impact</w:t>
      </w:r>
      <w:r w:rsidR="006670B3" w:rsidRPr="006670B3">
        <w:t xml:space="preserve"> public health and environmental safety</w:t>
      </w:r>
      <w:r w:rsidR="006670B3">
        <w:t>.</w:t>
      </w:r>
      <w:r w:rsidR="008C3BF6">
        <w:t xml:space="preserve"> A</w:t>
      </w:r>
      <w:r w:rsidR="00CC2811" w:rsidRPr="00CC2811">
        <w:t xml:space="preserve">pplicants must demonstrate the </w:t>
      </w:r>
      <w:r w:rsidR="007167C3">
        <w:t xml:space="preserve">necessary </w:t>
      </w:r>
      <w:r w:rsidR="00CC2811" w:rsidRPr="00CC2811">
        <w:t>technical qualifications, practical experience and knowledge of relevant legislation and standards</w:t>
      </w:r>
      <w:r w:rsidR="00FA2A12">
        <w:t xml:space="preserve"> to be eligible for a plumbing and drainage licence</w:t>
      </w:r>
      <w:r w:rsidR="00CC2811" w:rsidRPr="00CC2811">
        <w:t xml:space="preserve">. </w:t>
      </w:r>
      <w:r w:rsidR="00D35ED4">
        <w:fldChar w:fldCharType="begin"/>
      </w:r>
      <w:r w:rsidR="00D35ED4">
        <w:instrText xml:space="preserve"> REF _Ref201907728 \h </w:instrText>
      </w:r>
      <w:r w:rsidR="00D35ED4">
        <w:fldChar w:fldCharType="separate"/>
      </w:r>
      <w:r w:rsidR="00CC44DF">
        <w:t xml:space="preserve">Table </w:t>
      </w:r>
      <w:r w:rsidR="00CC44DF" w:rsidRPr="00A57D9E">
        <w:t>5</w:t>
      </w:r>
      <w:r w:rsidR="00D35ED4">
        <w:fldChar w:fldCharType="end"/>
      </w:r>
      <w:r w:rsidR="00D35ED4">
        <w:t xml:space="preserve"> </w:t>
      </w:r>
      <w:r w:rsidR="00D42ACD">
        <w:t>provide</w:t>
      </w:r>
      <w:r w:rsidR="008D6200">
        <w:t>s</w:t>
      </w:r>
      <w:r w:rsidR="00D42ACD">
        <w:t xml:space="preserve"> a summary of the</w:t>
      </w:r>
      <w:r w:rsidR="008E4D6B">
        <w:t xml:space="preserve"> number of active </w:t>
      </w:r>
      <w:r w:rsidR="00D42ACD">
        <w:t>PD Act</w:t>
      </w:r>
      <w:r w:rsidR="008E4D6B">
        <w:t xml:space="preserve"> licen</w:t>
      </w:r>
      <w:r w:rsidR="00DB207D">
        <w:t>c</w:t>
      </w:r>
      <w:r w:rsidR="008E4D6B">
        <w:t>es</w:t>
      </w:r>
      <w:r w:rsidR="00D2482F">
        <w:t xml:space="preserve"> </w:t>
      </w:r>
      <w:r w:rsidR="21046384">
        <w:t xml:space="preserve">at the completion of </w:t>
      </w:r>
      <w:r w:rsidR="00D2482F">
        <w:t xml:space="preserve">the reporting </w:t>
      </w:r>
      <w:r w:rsidR="00AD3C4F">
        <w:t>period</w:t>
      </w:r>
      <w:r w:rsidR="008E4D6B">
        <w:t>.</w:t>
      </w:r>
    </w:p>
    <w:p w14:paraId="184BC941" w14:textId="6E5E5733" w:rsidR="00223D4A" w:rsidRPr="008D6200" w:rsidRDefault="008D6200" w:rsidP="00842439">
      <w:pPr>
        <w:pStyle w:val="Caption"/>
        <w:keepNext/>
        <w:spacing w:before="120" w:after="120"/>
      </w:pPr>
      <w:bookmarkStart w:id="48" w:name="_Ref201907728"/>
      <w:bookmarkStart w:id="49" w:name="_Ref201907696"/>
      <w:bookmarkStart w:id="50" w:name="_Toc202872035"/>
      <w:bookmarkStart w:id="51" w:name="_Toc202872655"/>
      <w:r>
        <w:t xml:space="preserve">Table </w:t>
      </w:r>
      <w:r>
        <w:fldChar w:fldCharType="begin"/>
      </w:r>
      <w:r>
        <w:instrText>SEQ Table \* ARABIC</w:instrText>
      </w:r>
      <w:r>
        <w:fldChar w:fldCharType="separate"/>
      </w:r>
      <w:r w:rsidR="0042456A" w:rsidRPr="00A57D9E">
        <w:t>5</w:t>
      </w:r>
      <w:r>
        <w:fldChar w:fldCharType="end"/>
      </w:r>
      <w:bookmarkEnd w:id="48"/>
      <w:r w:rsidRPr="00264571">
        <w:t>: Number of active PD Act licences in 2024–25</w:t>
      </w:r>
      <w:bookmarkEnd w:id="49"/>
      <w:bookmarkEnd w:id="50"/>
      <w:bookmarkEnd w:id="51"/>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2"/>
        <w:gridCol w:w="5243"/>
      </w:tblGrid>
      <w:tr w:rsidR="00D46755" w:rsidRPr="009D3958" w14:paraId="6EED98D8" w14:textId="77777777" w:rsidTr="004807D8">
        <w:trPr>
          <w:trHeight w:val="300"/>
        </w:trPr>
        <w:tc>
          <w:tcPr>
            <w:tcW w:w="5242" w:type="dxa"/>
            <w:shd w:val="clear" w:color="auto" w:fill="A6A6A6" w:themeFill="background1" w:themeFillShade="A6"/>
            <w:noWrap/>
            <w:vAlign w:val="center"/>
            <w:hideMark/>
          </w:tcPr>
          <w:p w14:paraId="1A38B407" w14:textId="33B3D9DB" w:rsidR="00B86D06" w:rsidRPr="009D3958" w:rsidRDefault="0083445E" w:rsidP="00250FFB">
            <w:pPr>
              <w:rPr>
                <w:rFonts w:eastAsia="Times New Roman" w:cs="Arial"/>
                <w:b/>
                <w:color w:val="000000"/>
                <w:lang w:eastAsia="en-AU"/>
              </w:rPr>
            </w:pPr>
            <w:r w:rsidRPr="009D3958">
              <w:rPr>
                <w:rFonts w:eastAsia="Times New Roman" w:cs="Arial"/>
                <w:b/>
                <w:color w:val="000000"/>
                <w:lang w:eastAsia="en-AU"/>
              </w:rPr>
              <w:t xml:space="preserve">Occupational </w:t>
            </w:r>
            <w:r w:rsidR="00311175">
              <w:rPr>
                <w:rFonts w:eastAsia="Times New Roman" w:cs="Arial"/>
                <w:b/>
                <w:color w:val="000000"/>
                <w:lang w:eastAsia="en-AU"/>
              </w:rPr>
              <w:t>l</w:t>
            </w:r>
            <w:r w:rsidR="00B86D06" w:rsidRPr="7E4EA285">
              <w:rPr>
                <w:rFonts w:eastAsia="Times New Roman" w:cs="Arial"/>
                <w:b/>
                <w:color w:val="000000"/>
                <w:lang w:eastAsia="en-AU"/>
              </w:rPr>
              <w:t xml:space="preserve">icence </w:t>
            </w:r>
            <w:r w:rsidR="00311175">
              <w:rPr>
                <w:rFonts w:eastAsia="Times New Roman" w:cs="Arial"/>
                <w:b/>
                <w:color w:val="000000"/>
                <w:lang w:eastAsia="en-AU"/>
              </w:rPr>
              <w:t>t</w:t>
            </w:r>
            <w:r w:rsidR="00B86D06" w:rsidRPr="7E4EA285">
              <w:rPr>
                <w:rFonts w:eastAsia="Times New Roman" w:cs="Arial"/>
                <w:b/>
                <w:color w:val="000000"/>
                <w:lang w:eastAsia="en-AU"/>
              </w:rPr>
              <w:t>ype</w:t>
            </w:r>
          </w:p>
        </w:tc>
        <w:tc>
          <w:tcPr>
            <w:tcW w:w="5243" w:type="dxa"/>
            <w:shd w:val="clear" w:color="auto" w:fill="A6A6A6" w:themeFill="background1" w:themeFillShade="A6"/>
            <w:noWrap/>
            <w:vAlign w:val="center"/>
            <w:hideMark/>
          </w:tcPr>
          <w:p w14:paraId="2D38965F" w14:textId="6D30FD58" w:rsidR="00B86D06" w:rsidRPr="009D3958" w:rsidRDefault="0083445E" w:rsidP="00250FFB">
            <w:pPr>
              <w:rPr>
                <w:rFonts w:eastAsia="Times New Roman" w:cs="Arial"/>
                <w:b/>
                <w:color w:val="000000"/>
                <w:lang w:eastAsia="en-AU"/>
              </w:rPr>
            </w:pPr>
            <w:r w:rsidRPr="009D3958">
              <w:rPr>
                <w:rFonts w:eastAsia="Times New Roman" w:cs="Arial"/>
                <w:b/>
                <w:color w:val="000000"/>
                <w:lang w:eastAsia="en-AU"/>
              </w:rPr>
              <w:t xml:space="preserve">Classes of </w:t>
            </w:r>
            <w:r w:rsidR="00311175">
              <w:rPr>
                <w:rFonts w:eastAsia="Times New Roman" w:cs="Arial"/>
                <w:b/>
                <w:color w:val="000000"/>
                <w:lang w:eastAsia="en-AU"/>
              </w:rPr>
              <w:t>l</w:t>
            </w:r>
            <w:r>
              <w:rPr>
                <w:rFonts w:eastAsia="Times New Roman" w:cs="Arial"/>
                <w:b/>
                <w:color w:val="000000"/>
                <w:lang w:eastAsia="en-AU"/>
              </w:rPr>
              <w:t>icence</w:t>
            </w:r>
          </w:p>
        </w:tc>
      </w:tr>
      <w:tr w:rsidR="00011874" w:rsidRPr="009D3958" w14:paraId="03AE2BFE" w14:textId="77777777" w:rsidTr="004807D8">
        <w:trPr>
          <w:trHeight w:val="300"/>
        </w:trPr>
        <w:tc>
          <w:tcPr>
            <w:tcW w:w="5242" w:type="dxa"/>
            <w:noWrap/>
            <w:vAlign w:val="center"/>
            <w:hideMark/>
          </w:tcPr>
          <w:p w14:paraId="2C0D8A9C" w14:textId="77777777" w:rsidR="00B86D06" w:rsidRPr="009D3958" w:rsidRDefault="00B86D06" w:rsidP="00250FFB">
            <w:pPr>
              <w:rPr>
                <w:rFonts w:eastAsia="Times New Roman" w:cs="Arial"/>
                <w:color w:val="020A0A"/>
                <w:lang w:eastAsia="en-AU"/>
              </w:rPr>
            </w:pPr>
            <w:r w:rsidRPr="009D3958">
              <w:rPr>
                <w:rFonts w:cs="Arial"/>
                <w:color w:val="020A0A" w:themeColor="accent4"/>
                <w:szCs w:val="22"/>
              </w:rPr>
              <w:t>Provisional Plumber</w:t>
            </w:r>
          </w:p>
        </w:tc>
        <w:tc>
          <w:tcPr>
            <w:tcW w:w="5243" w:type="dxa"/>
            <w:noWrap/>
            <w:vAlign w:val="center"/>
            <w:hideMark/>
          </w:tcPr>
          <w:p w14:paraId="3A705D0A" w14:textId="55DA33DA" w:rsidR="00B86D06" w:rsidRPr="009D3958" w:rsidRDefault="007A17D2" w:rsidP="00250FFB">
            <w:pPr>
              <w:rPr>
                <w:rFonts w:eastAsia="Times New Roman" w:cs="Arial"/>
                <w:color w:val="020A0A"/>
                <w:lang w:eastAsia="en-AU"/>
              </w:rPr>
            </w:pPr>
            <w:r w:rsidRPr="009D3958">
              <w:rPr>
                <w:rFonts w:eastAsia="Times New Roman" w:cs="Arial"/>
                <w:color w:val="020A0A" w:themeColor="accent4"/>
                <w:lang w:eastAsia="en-AU"/>
              </w:rPr>
              <w:t>1</w:t>
            </w:r>
            <w:r w:rsidR="00F54AD0">
              <w:rPr>
                <w:rFonts w:eastAsia="Times New Roman" w:cs="Arial"/>
                <w:color w:val="020A0A" w:themeColor="accent4"/>
                <w:lang w:eastAsia="en-AU"/>
              </w:rPr>
              <w:t>,</w:t>
            </w:r>
            <w:r w:rsidRPr="009D3958">
              <w:rPr>
                <w:rFonts w:eastAsia="Times New Roman" w:cs="Arial"/>
                <w:color w:val="020A0A" w:themeColor="accent4"/>
                <w:lang w:eastAsia="en-AU"/>
              </w:rPr>
              <w:t>077</w:t>
            </w:r>
          </w:p>
        </w:tc>
      </w:tr>
      <w:tr w:rsidR="00011874" w:rsidRPr="009D3958" w14:paraId="3E232191" w14:textId="77777777" w:rsidTr="004807D8">
        <w:trPr>
          <w:trHeight w:val="300"/>
        </w:trPr>
        <w:tc>
          <w:tcPr>
            <w:tcW w:w="5242" w:type="dxa"/>
            <w:noWrap/>
            <w:vAlign w:val="center"/>
            <w:hideMark/>
          </w:tcPr>
          <w:p w14:paraId="4BDA5D34" w14:textId="77777777" w:rsidR="00B86D06" w:rsidRPr="009D3958" w:rsidRDefault="00B86D06" w:rsidP="00250FFB">
            <w:pPr>
              <w:rPr>
                <w:rFonts w:eastAsia="Times New Roman" w:cs="Arial"/>
                <w:color w:val="020A0A"/>
                <w:lang w:eastAsia="en-AU"/>
              </w:rPr>
            </w:pPr>
            <w:r w:rsidRPr="009D3958">
              <w:rPr>
                <w:rFonts w:cs="Arial"/>
                <w:color w:val="020A0A" w:themeColor="accent4"/>
                <w:szCs w:val="22"/>
              </w:rPr>
              <w:t>Provisional Drainer</w:t>
            </w:r>
          </w:p>
        </w:tc>
        <w:tc>
          <w:tcPr>
            <w:tcW w:w="5243" w:type="dxa"/>
            <w:noWrap/>
            <w:vAlign w:val="center"/>
            <w:hideMark/>
          </w:tcPr>
          <w:p w14:paraId="67FF09AD" w14:textId="5DDD6303" w:rsidR="00B86D06" w:rsidRPr="009D3958" w:rsidRDefault="007A17D2" w:rsidP="00250FFB">
            <w:pPr>
              <w:rPr>
                <w:rFonts w:eastAsia="Times New Roman" w:cs="Arial"/>
                <w:color w:val="020A0A"/>
                <w:lang w:eastAsia="en-AU"/>
              </w:rPr>
            </w:pPr>
            <w:r w:rsidRPr="009D3958">
              <w:rPr>
                <w:rFonts w:eastAsia="Times New Roman" w:cs="Arial"/>
                <w:color w:val="020A0A" w:themeColor="accent4"/>
                <w:lang w:eastAsia="en-AU"/>
              </w:rPr>
              <w:t>1</w:t>
            </w:r>
            <w:r w:rsidR="00F54AD0">
              <w:rPr>
                <w:rFonts w:eastAsia="Times New Roman" w:cs="Arial"/>
                <w:color w:val="020A0A" w:themeColor="accent4"/>
                <w:lang w:eastAsia="en-AU"/>
              </w:rPr>
              <w:t>,</w:t>
            </w:r>
            <w:r w:rsidRPr="009D3958">
              <w:rPr>
                <w:rFonts w:eastAsia="Times New Roman" w:cs="Arial"/>
                <w:color w:val="020A0A" w:themeColor="accent4"/>
                <w:lang w:eastAsia="en-AU"/>
              </w:rPr>
              <w:t>058</w:t>
            </w:r>
          </w:p>
        </w:tc>
      </w:tr>
      <w:tr w:rsidR="00011874" w:rsidRPr="009D3958" w14:paraId="694CB063" w14:textId="77777777" w:rsidTr="004807D8">
        <w:trPr>
          <w:trHeight w:val="300"/>
        </w:trPr>
        <w:tc>
          <w:tcPr>
            <w:tcW w:w="5242" w:type="dxa"/>
            <w:noWrap/>
            <w:vAlign w:val="center"/>
            <w:hideMark/>
          </w:tcPr>
          <w:p w14:paraId="64CB8AD8" w14:textId="77777777" w:rsidR="00B86D06" w:rsidRPr="009D3958" w:rsidRDefault="00B86D06" w:rsidP="00250FFB">
            <w:pPr>
              <w:rPr>
                <w:rFonts w:eastAsia="Times New Roman" w:cs="Arial"/>
                <w:color w:val="020A0A"/>
                <w:lang w:eastAsia="en-AU"/>
              </w:rPr>
            </w:pPr>
            <w:r w:rsidRPr="009D3958">
              <w:rPr>
                <w:rFonts w:cs="Arial"/>
                <w:color w:val="020A0A" w:themeColor="accent4"/>
                <w:szCs w:val="22"/>
              </w:rPr>
              <w:t>Plumber</w:t>
            </w:r>
          </w:p>
        </w:tc>
        <w:tc>
          <w:tcPr>
            <w:tcW w:w="5243" w:type="dxa"/>
            <w:noWrap/>
            <w:vAlign w:val="center"/>
            <w:hideMark/>
          </w:tcPr>
          <w:p w14:paraId="6CD95988" w14:textId="60B7DD5C" w:rsidR="00B86D06" w:rsidRPr="009D3958" w:rsidRDefault="007A17D2" w:rsidP="00250FFB">
            <w:pPr>
              <w:rPr>
                <w:rFonts w:eastAsia="Times New Roman" w:cs="Arial"/>
                <w:color w:val="020A0A"/>
                <w:lang w:eastAsia="en-AU"/>
              </w:rPr>
            </w:pPr>
            <w:r w:rsidRPr="009D3958">
              <w:rPr>
                <w:rFonts w:eastAsia="Times New Roman" w:cs="Arial"/>
                <w:color w:val="020A0A" w:themeColor="accent4"/>
                <w:lang w:eastAsia="en-AU"/>
              </w:rPr>
              <w:t>14</w:t>
            </w:r>
            <w:r w:rsidR="00D62116">
              <w:rPr>
                <w:rFonts w:eastAsia="Times New Roman" w:cs="Arial"/>
                <w:color w:val="020A0A" w:themeColor="accent4"/>
                <w:lang w:eastAsia="en-AU"/>
              </w:rPr>
              <w:t>,</w:t>
            </w:r>
            <w:r w:rsidRPr="009D3958">
              <w:rPr>
                <w:rFonts w:eastAsia="Times New Roman" w:cs="Arial"/>
                <w:color w:val="020A0A" w:themeColor="accent4"/>
                <w:lang w:eastAsia="en-AU"/>
              </w:rPr>
              <w:t>627</w:t>
            </w:r>
          </w:p>
        </w:tc>
      </w:tr>
      <w:tr w:rsidR="00011874" w:rsidRPr="009D3958" w14:paraId="1D803BBD" w14:textId="77777777" w:rsidTr="004807D8">
        <w:trPr>
          <w:trHeight w:val="300"/>
        </w:trPr>
        <w:tc>
          <w:tcPr>
            <w:tcW w:w="5242" w:type="dxa"/>
            <w:noWrap/>
            <w:vAlign w:val="center"/>
            <w:hideMark/>
          </w:tcPr>
          <w:p w14:paraId="3E17BB14" w14:textId="77777777" w:rsidR="00B86D06" w:rsidRPr="009D3958" w:rsidRDefault="00B86D06" w:rsidP="00250FFB">
            <w:pPr>
              <w:rPr>
                <w:rFonts w:eastAsia="Times New Roman" w:cs="Arial"/>
                <w:color w:val="020A0A"/>
                <w:lang w:eastAsia="en-AU"/>
              </w:rPr>
            </w:pPr>
            <w:r w:rsidRPr="009D3958">
              <w:rPr>
                <w:rFonts w:cs="Arial"/>
                <w:color w:val="020A0A" w:themeColor="accent4"/>
                <w:szCs w:val="22"/>
              </w:rPr>
              <w:t>Drainer</w:t>
            </w:r>
          </w:p>
        </w:tc>
        <w:tc>
          <w:tcPr>
            <w:tcW w:w="5243" w:type="dxa"/>
            <w:noWrap/>
            <w:vAlign w:val="center"/>
            <w:hideMark/>
          </w:tcPr>
          <w:p w14:paraId="100150AA" w14:textId="4047938F" w:rsidR="00B86D06" w:rsidRPr="009D3958" w:rsidRDefault="007A17D2" w:rsidP="00250FFB">
            <w:pPr>
              <w:rPr>
                <w:rFonts w:eastAsia="Times New Roman" w:cs="Arial"/>
                <w:color w:val="020A0A"/>
                <w:lang w:eastAsia="en-AU"/>
              </w:rPr>
            </w:pPr>
            <w:r w:rsidRPr="009D3958">
              <w:rPr>
                <w:rFonts w:eastAsia="Times New Roman" w:cs="Arial"/>
                <w:color w:val="020A0A" w:themeColor="accent4"/>
                <w:lang w:eastAsia="en-AU"/>
              </w:rPr>
              <w:t>14</w:t>
            </w:r>
            <w:r w:rsidR="00392017">
              <w:rPr>
                <w:rFonts w:eastAsia="Times New Roman" w:cs="Arial"/>
                <w:color w:val="020A0A" w:themeColor="accent4"/>
                <w:lang w:eastAsia="en-AU"/>
              </w:rPr>
              <w:t>,</w:t>
            </w:r>
            <w:r w:rsidRPr="009D3958">
              <w:rPr>
                <w:rFonts w:eastAsia="Times New Roman" w:cs="Arial"/>
                <w:color w:val="020A0A" w:themeColor="accent4"/>
                <w:lang w:eastAsia="en-AU"/>
              </w:rPr>
              <w:t>730</w:t>
            </w:r>
          </w:p>
        </w:tc>
      </w:tr>
      <w:tr w:rsidR="00011874" w:rsidRPr="009D3958" w14:paraId="352134DE" w14:textId="77777777" w:rsidTr="004807D8">
        <w:trPr>
          <w:trHeight w:val="300"/>
        </w:trPr>
        <w:tc>
          <w:tcPr>
            <w:tcW w:w="5242" w:type="dxa"/>
            <w:noWrap/>
            <w:vAlign w:val="center"/>
            <w:hideMark/>
          </w:tcPr>
          <w:p w14:paraId="5B807B0E" w14:textId="7FFA51C5" w:rsidR="00B86D06" w:rsidRPr="009D3958" w:rsidRDefault="00B86D06" w:rsidP="00250FFB">
            <w:pPr>
              <w:rPr>
                <w:rFonts w:cs="Arial"/>
                <w:color w:val="020A0A"/>
                <w:lang w:eastAsia="en-AU"/>
              </w:rPr>
            </w:pPr>
            <w:r w:rsidRPr="1AA49AC8">
              <w:rPr>
                <w:rFonts w:cs="Arial"/>
                <w:color w:val="020A0A" w:themeColor="accent4"/>
              </w:rPr>
              <w:t>Restricted</w:t>
            </w:r>
            <w:r w:rsidR="1D1C4ECC" w:rsidRPr="1AA49AC8">
              <w:rPr>
                <w:rFonts w:cs="Arial"/>
                <w:color w:val="020A0A" w:themeColor="accent4"/>
              </w:rPr>
              <w:t xml:space="preserve"> (limited to specific scopes of work)</w:t>
            </w:r>
          </w:p>
        </w:tc>
        <w:tc>
          <w:tcPr>
            <w:tcW w:w="5243" w:type="dxa"/>
            <w:noWrap/>
            <w:vAlign w:val="center"/>
            <w:hideMark/>
          </w:tcPr>
          <w:p w14:paraId="41A6C004" w14:textId="4F9E2592" w:rsidR="00B86D06" w:rsidRPr="009D3958" w:rsidRDefault="007A17D2" w:rsidP="00250FFB">
            <w:pPr>
              <w:rPr>
                <w:rFonts w:eastAsia="Times New Roman" w:cs="Arial"/>
                <w:color w:val="020A0A"/>
                <w:lang w:eastAsia="en-AU"/>
              </w:rPr>
            </w:pPr>
            <w:r w:rsidRPr="009D3958">
              <w:rPr>
                <w:rFonts w:eastAsia="Times New Roman" w:cs="Arial"/>
                <w:color w:val="020A0A" w:themeColor="accent4"/>
                <w:lang w:eastAsia="en-AU"/>
              </w:rPr>
              <w:t>2</w:t>
            </w:r>
            <w:r w:rsidR="00F54AD0">
              <w:rPr>
                <w:rFonts w:eastAsia="Times New Roman" w:cs="Arial"/>
                <w:color w:val="020A0A" w:themeColor="accent4"/>
                <w:lang w:eastAsia="en-AU"/>
              </w:rPr>
              <w:t>,</w:t>
            </w:r>
            <w:r w:rsidRPr="009D3958">
              <w:rPr>
                <w:rFonts w:eastAsia="Times New Roman" w:cs="Arial"/>
                <w:color w:val="020A0A" w:themeColor="accent4"/>
                <w:lang w:eastAsia="en-AU"/>
              </w:rPr>
              <w:t>239</w:t>
            </w:r>
          </w:p>
        </w:tc>
      </w:tr>
      <w:tr w:rsidR="00011874" w:rsidRPr="007A1022" w14:paraId="454996D0" w14:textId="77777777" w:rsidTr="004807D8">
        <w:trPr>
          <w:trHeight w:val="300"/>
        </w:trPr>
        <w:tc>
          <w:tcPr>
            <w:tcW w:w="5242" w:type="dxa"/>
            <w:noWrap/>
            <w:vAlign w:val="center"/>
            <w:hideMark/>
          </w:tcPr>
          <w:p w14:paraId="55F5F333" w14:textId="77777777" w:rsidR="00B86D06" w:rsidRPr="009D3958" w:rsidRDefault="00B86D06" w:rsidP="00842439">
            <w:pPr>
              <w:jc w:val="right"/>
              <w:rPr>
                <w:rFonts w:eastAsia="Times New Roman" w:cs="Arial"/>
                <w:bCs/>
                <w:color w:val="020A0A"/>
                <w:lang w:eastAsia="en-AU"/>
              </w:rPr>
            </w:pPr>
            <w:r w:rsidRPr="009D3958">
              <w:rPr>
                <w:rFonts w:eastAsia="Times New Roman" w:cs="Arial"/>
                <w:bCs/>
                <w:color w:val="020A0A" w:themeColor="accent4"/>
                <w:lang w:eastAsia="en-AU"/>
              </w:rPr>
              <w:t>Total</w:t>
            </w:r>
          </w:p>
        </w:tc>
        <w:tc>
          <w:tcPr>
            <w:tcW w:w="5243" w:type="dxa"/>
            <w:noWrap/>
            <w:vAlign w:val="center"/>
            <w:hideMark/>
          </w:tcPr>
          <w:p w14:paraId="5868BDE3" w14:textId="57482375" w:rsidR="00B86D06" w:rsidRPr="00842439" w:rsidRDefault="007A17D2" w:rsidP="00250FFB">
            <w:pPr>
              <w:rPr>
                <w:rFonts w:eastAsia="Times New Roman" w:cs="Arial"/>
                <w:bCs/>
                <w:color w:val="020A0A"/>
                <w:lang w:eastAsia="en-AU"/>
              </w:rPr>
            </w:pPr>
            <w:r w:rsidRPr="009D3958">
              <w:rPr>
                <w:rFonts w:eastAsia="Times New Roman" w:cs="Arial"/>
                <w:bCs/>
                <w:color w:val="020A0A" w:themeColor="accent4"/>
                <w:lang w:eastAsia="en-AU"/>
              </w:rPr>
              <w:t>33,731</w:t>
            </w:r>
          </w:p>
        </w:tc>
      </w:tr>
    </w:tbl>
    <w:p w14:paraId="2D312692" w14:textId="51B2E2EC" w:rsidR="009C20D7" w:rsidRDefault="00AD451E" w:rsidP="00D850B1">
      <w:pPr>
        <w:pStyle w:val="Heading3"/>
        <w:spacing w:before="120"/>
      </w:pPr>
      <w:bookmarkStart w:id="52" w:name="_Building_Act_licences"/>
      <w:bookmarkEnd w:id="52"/>
      <w:r>
        <w:t xml:space="preserve">Building Act </w:t>
      </w:r>
      <w:r w:rsidRPr="00706F67">
        <w:t>licen</w:t>
      </w:r>
      <w:r w:rsidR="00DC10AB" w:rsidRPr="00706F67">
        <w:t>ces</w:t>
      </w:r>
    </w:p>
    <w:p w14:paraId="2CCC5A49" w14:textId="1575E731" w:rsidR="00E23BEF" w:rsidRPr="00842439" w:rsidRDefault="00D94264" w:rsidP="008B6D14">
      <w:pPr>
        <w:spacing w:before="120" w:after="120"/>
      </w:pPr>
      <w:r>
        <w:t>T</w:t>
      </w:r>
      <w:r w:rsidR="004F2C69">
        <w:t xml:space="preserve">he </w:t>
      </w:r>
      <w:r w:rsidR="00FF0973">
        <w:t>QBCC</w:t>
      </w:r>
      <w:r w:rsidR="000036DA">
        <w:t xml:space="preserve"> </w:t>
      </w:r>
      <w:r w:rsidR="00E76941">
        <w:t>administer</w:t>
      </w:r>
      <w:r>
        <w:t xml:space="preserve">s licences </w:t>
      </w:r>
      <w:r w:rsidR="00C303EA">
        <w:t xml:space="preserve">under the Building Act for </w:t>
      </w:r>
      <w:r w:rsidR="0004337A">
        <w:t>building certi</w:t>
      </w:r>
      <w:r w:rsidR="00D33D41">
        <w:t xml:space="preserve">fiers </w:t>
      </w:r>
      <w:r w:rsidR="0004337A">
        <w:t>and</w:t>
      </w:r>
      <w:r>
        <w:t xml:space="preserve"> PSIs</w:t>
      </w:r>
      <w:r w:rsidR="00E76941">
        <w:t xml:space="preserve">. </w:t>
      </w:r>
      <w:r w:rsidR="007D4FD9">
        <w:t xml:space="preserve">Building Act licences ensure </w:t>
      </w:r>
      <w:r w:rsidR="00866726">
        <w:t>operators</w:t>
      </w:r>
      <w:r w:rsidR="00422551" w:rsidRPr="00422551">
        <w:t xml:space="preserve"> meet professional standards</w:t>
      </w:r>
      <w:r w:rsidR="0084442A">
        <w:t>.</w:t>
      </w:r>
      <w:r w:rsidR="00422551" w:rsidRPr="00422551">
        <w:t xml:space="preserve"> </w:t>
      </w:r>
      <w:r w:rsidR="00DF5C29">
        <w:t>Among building certifier licences</w:t>
      </w:r>
      <w:r w:rsidR="003F07AE">
        <w:t xml:space="preserve">, </w:t>
      </w:r>
      <w:r w:rsidR="0053188A">
        <w:t>Level 1</w:t>
      </w:r>
      <w:r w:rsidR="00811201">
        <w:t xml:space="preserve"> </w:t>
      </w:r>
      <w:r w:rsidR="001D11D8">
        <w:t>permits</w:t>
      </w:r>
      <w:r w:rsidR="00167CCE" w:rsidRPr="00167CCE">
        <w:t xml:space="preserve"> certif</w:t>
      </w:r>
      <w:r w:rsidR="0039398E">
        <w:t>ication</w:t>
      </w:r>
      <w:r w:rsidR="00167CCE" w:rsidRPr="00167CCE">
        <w:t xml:space="preserve"> </w:t>
      </w:r>
      <w:r w:rsidR="001D11D8">
        <w:t>of all</w:t>
      </w:r>
      <w:r w:rsidR="00167CCE" w:rsidRPr="00167CCE">
        <w:t xml:space="preserve"> classes of buildings and structures</w:t>
      </w:r>
      <w:r w:rsidR="00167CCE">
        <w:t xml:space="preserve">, while Level 2 and Level 3 licences </w:t>
      </w:r>
      <w:r w:rsidR="001D11D8">
        <w:t>impose increasing</w:t>
      </w:r>
      <w:r w:rsidR="0046373A">
        <w:t xml:space="preserve"> restrictions on </w:t>
      </w:r>
      <w:r w:rsidR="00FB445F">
        <w:t>the scope of</w:t>
      </w:r>
      <w:r w:rsidR="0046373A">
        <w:t xml:space="preserve"> work. </w:t>
      </w:r>
      <w:r w:rsidR="00FB445F">
        <w:t>Through</w:t>
      </w:r>
      <w:r w:rsidR="00E828A8" w:rsidRPr="00E828A8">
        <w:t xml:space="preserve"> regulating building certifiers and </w:t>
      </w:r>
      <w:r w:rsidR="00DA69AD">
        <w:t>PSIs</w:t>
      </w:r>
      <w:r w:rsidR="00E828A8" w:rsidRPr="00E828A8">
        <w:t xml:space="preserve">, the QBCC </w:t>
      </w:r>
      <w:r w:rsidR="004E0CB8">
        <w:t xml:space="preserve">helps </w:t>
      </w:r>
      <w:r w:rsidR="004654E3">
        <w:t xml:space="preserve">to </w:t>
      </w:r>
      <w:r w:rsidR="004E0CB8">
        <w:t>ensure</w:t>
      </w:r>
      <w:r w:rsidR="00E828A8" w:rsidRPr="00E828A8">
        <w:t xml:space="preserve"> the delivery of safe</w:t>
      </w:r>
      <w:r w:rsidR="00E828A8">
        <w:t xml:space="preserve"> and</w:t>
      </w:r>
      <w:r w:rsidR="00E828A8" w:rsidRPr="00E828A8">
        <w:t xml:space="preserve"> compliant buildings and </w:t>
      </w:r>
      <w:r w:rsidR="00DA5613">
        <w:t>pools</w:t>
      </w:r>
      <w:r w:rsidR="00E828A8" w:rsidRPr="00E828A8">
        <w:t xml:space="preserve">, </w:t>
      </w:r>
      <w:r w:rsidR="004E0CB8">
        <w:t>supporting</w:t>
      </w:r>
      <w:r w:rsidR="00E828A8" w:rsidRPr="00E828A8">
        <w:t xml:space="preserve"> public safety and community wellbeing </w:t>
      </w:r>
      <w:r w:rsidR="00814232">
        <w:t>across</w:t>
      </w:r>
      <w:r w:rsidR="00E828A8" w:rsidRPr="00E828A8">
        <w:t xml:space="preserve"> Queensland.</w:t>
      </w:r>
      <w:r w:rsidR="00E828A8">
        <w:t xml:space="preserve"> </w:t>
      </w:r>
      <w:r w:rsidR="00D35ED4">
        <w:fldChar w:fldCharType="begin"/>
      </w:r>
      <w:r w:rsidR="00D35ED4">
        <w:instrText xml:space="preserve"> REF _Ref201907929 \h </w:instrText>
      </w:r>
      <w:r w:rsidR="00D35ED4">
        <w:fldChar w:fldCharType="separate"/>
      </w:r>
      <w:r w:rsidR="00CC44DF">
        <w:t xml:space="preserve">Table </w:t>
      </w:r>
      <w:r w:rsidR="00CC44DF" w:rsidRPr="00A57D9E">
        <w:t>6</w:t>
      </w:r>
      <w:r w:rsidR="00D35ED4">
        <w:fldChar w:fldCharType="end"/>
      </w:r>
      <w:r w:rsidR="00D35ED4">
        <w:t xml:space="preserve"> </w:t>
      </w:r>
      <w:r w:rsidR="00814232">
        <w:t>summarises t</w:t>
      </w:r>
      <w:r w:rsidR="008E4D6B">
        <w:t xml:space="preserve">he number of active </w:t>
      </w:r>
      <w:r w:rsidR="0086248B">
        <w:t xml:space="preserve">Building Act licences </w:t>
      </w:r>
      <w:r w:rsidR="161CD53A">
        <w:t xml:space="preserve">at the end of </w:t>
      </w:r>
      <w:r w:rsidR="0086248B">
        <w:t>the reporting period</w:t>
      </w:r>
      <w:r w:rsidR="008E4D6B">
        <w:t xml:space="preserve">. </w:t>
      </w:r>
    </w:p>
    <w:p w14:paraId="5CEFDF4D" w14:textId="066A43A3" w:rsidR="00D35ED4" w:rsidRPr="00936010" w:rsidRDefault="00D35ED4" w:rsidP="00842439">
      <w:pPr>
        <w:pStyle w:val="Caption"/>
        <w:spacing w:before="120" w:after="120"/>
        <w:rPr>
          <w:b w:val="0"/>
        </w:rPr>
      </w:pPr>
      <w:bookmarkStart w:id="53" w:name="_Ref201907929"/>
      <w:bookmarkStart w:id="54" w:name="_Toc202872036"/>
      <w:bookmarkStart w:id="55" w:name="_Toc202872656"/>
      <w:r>
        <w:t xml:space="preserve">Table </w:t>
      </w:r>
      <w:r>
        <w:fldChar w:fldCharType="begin"/>
      </w:r>
      <w:r>
        <w:instrText>SEQ Table \* ARABIC</w:instrText>
      </w:r>
      <w:r>
        <w:fldChar w:fldCharType="separate"/>
      </w:r>
      <w:r w:rsidR="0042456A" w:rsidRPr="00A57D9E">
        <w:t>6</w:t>
      </w:r>
      <w:r>
        <w:fldChar w:fldCharType="end"/>
      </w:r>
      <w:bookmarkEnd w:id="53"/>
      <w:r w:rsidRPr="00B95E69">
        <w:t xml:space="preserve">: </w:t>
      </w:r>
      <w:bookmarkStart w:id="56" w:name="_Ref202873450"/>
      <w:r w:rsidRPr="00B95E69">
        <w:t>Number of active Building Act licences in 2024–25</w:t>
      </w:r>
      <w:bookmarkEnd w:id="54"/>
      <w:bookmarkEnd w:id="55"/>
      <w:bookmarkEnd w:id="56"/>
    </w:p>
    <w:tbl>
      <w:tblPr>
        <w:tblStyle w:val="TableGrid"/>
        <w:tblW w:w="10485" w:type="dxa"/>
        <w:tblLayout w:type="fixed"/>
        <w:tblLook w:val="06A0" w:firstRow="1" w:lastRow="0" w:firstColumn="1" w:lastColumn="0" w:noHBand="1" w:noVBand="1"/>
      </w:tblPr>
      <w:tblGrid>
        <w:gridCol w:w="5242"/>
        <w:gridCol w:w="5243"/>
      </w:tblGrid>
      <w:tr w:rsidR="00602921" w:rsidRPr="00D96021" w14:paraId="2EC9D554" w14:textId="70963E0D" w:rsidTr="004807D8">
        <w:trPr>
          <w:trHeight w:val="300"/>
        </w:trPr>
        <w:tc>
          <w:tcPr>
            <w:tcW w:w="5242" w:type="dxa"/>
            <w:shd w:val="clear" w:color="auto" w:fill="A6A6A6" w:themeFill="background1" w:themeFillShade="A6"/>
            <w:vAlign w:val="center"/>
          </w:tcPr>
          <w:p w14:paraId="3C9F67D2" w14:textId="073C6BC0" w:rsidR="00602921" w:rsidRPr="00D96021" w:rsidRDefault="00602921" w:rsidP="00780BEC">
            <w:pPr>
              <w:rPr>
                <w:rFonts w:cs="Arial"/>
                <w:b/>
              </w:rPr>
            </w:pPr>
            <w:r w:rsidRPr="00D96021">
              <w:rPr>
                <w:rFonts w:cs="Arial"/>
                <w:b/>
              </w:rPr>
              <w:t xml:space="preserve">Building </w:t>
            </w:r>
            <w:r w:rsidR="008A6BA8">
              <w:rPr>
                <w:rFonts w:cs="Arial"/>
                <w:b/>
              </w:rPr>
              <w:t>A</w:t>
            </w:r>
            <w:r w:rsidRPr="7E4EA285">
              <w:rPr>
                <w:rFonts w:cs="Arial"/>
                <w:b/>
              </w:rPr>
              <w:t>ct</w:t>
            </w:r>
            <w:r w:rsidRPr="00D96021">
              <w:rPr>
                <w:rFonts w:cs="Arial"/>
                <w:b/>
              </w:rPr>
              <w:t xml:space="preserve"> licence types</w:t>
            </w:r>
          </w:p>
        </w:tc>
        <w:tc>
          <w:tcPr>
            <w:tcW w:w="5243" w:type="dxa"/>
            <w:shd w:val="clear" w:color="auto" w:fill="A6A6A6" w:themeFill="background1" w:themeFillShade="A6"/>
            <w:vAlign w:val="center"/>
          </w:tcPr>
          <w:p w14:paraId="4ED77973" w14:textId="2EC84941" w:rsidR="00602921" w:rsidRPr="00D96021" w:rsidRDefault="0002507C" w:rsidP="00795074">
            <w:pPr>
              <w:rPr>
                <w:rFonts w:eastAsia="Times New Roman" w:cs="Arial"/>
                <w:b/>
                <w:color w:val="000000"/>
                <w:lang w:eastAsia="en-AU"/>
              </w:rPr>
            </w:pPr>
            <w:r>
              <w:rPr>
                <w:rFonts w:eastAsia="Times New Roman" w:cs="Arial"/>
                <w:b/>
                <w:color w:val="000000"/>
                <w:lang w:eastAsia="en-AU"/>
              </w:rPr>
              <w:t>Number of licen</w:t>
            </w:r>
            <w:r w:rsidR="00F55CC5">
              <w:rPr>
                <w:rFonts w:eastAsia="Times New Roman" w:cs="Arial"/>
                <w:b/>
                <w:color w:val="000000"/>
                <w:lang w:eastAsia="en-AU"/>
              </w:rPr>
              <w:t>c</w:t>
            </w:r>
            <w:r w:rsidR="00B2270F">
              <w:rPr>
                <w:rFonts w:eastAsia="Times New Roman" w:cs="Arial"/>
                <w:b/>
                <w:color w:val="000000"/>
                <w:lang w:eastAsia="en-AU"/>
              </w:rPr>
              <w:t>es</w:t>
            </w:r>
          </w:p>
        </w:tc>
      </w:tr>
      <w:tr w:rsidR="00602921" w:rsidRPr="00D96021" w14:paraId="064C9FEC" w14:textId="71D5C56D" w:rsidTr="004807D8">
        <w:trPr>
          <w:trHeight w:val="300"/>
        </w:trPr>
        <w:tc>
          <w:tcPr>
            <w:tcW w:w="5242" w:type="dxa"/>
            <w:vAlign w:val="center"/>
          </w:tcPr>
          <w:p w14:paraId="1009B21D" w14:textId="404104E7" w:rsidR="00602921" w:rsidRPr="00D96021" w:rsidRDefault="00602921" w:rsidP="00706BA6">
            <w:pPr>
              <w:rPr>
                <w:rFonts w:cs="Arial"/>
              </w:rPr>
            </w:pPr>
            <w:r w:rsidRPr="00D96021">
              <w:rPr>
                <w:rFonts w:cs="Arial"/>
              </w:rPr>
              <w:t xml:space="preserve">Building </w:t>
            </w:r>
            <w:r w:rsidR="001530E8">
              <w:rPr>
                <w:rFonts w:cs="Arial"/>
              </w:rPr>
              <w:t>C</w:t>
            </w:r>
            <w:r w:rsidRPr="00D96021">
              <w:rPr>
                <w:rFonts w:cs="Arial"/>
              </w:rPr>
              <w:t xml:space="preserve">ertifier </w:t>
            </w:r>
            <w:r w:rsidR="001530E8">
              <w:rPr>
                <w:rFonts w:cs="Arial"/>
              </w:rPr>
              <w:t>L</w:t>
            </w:r>
            <w:r w:rsidRPr="00D96021">
              <w:rPr>
                <w:rFonts w:cs="Arial"/>
              </w:rPr>
              <w:t>evel 1</w:t>
            </w:r>
          </w:p>
        </w:tc>
        <w:tc>
          <w:tcPr>
            <w:tcW w:w="5243" w:type="dxa"/>
            <w:vAlign w:val="center"/>
          </w:tcPr>
          <w:p w14:paraId="3103E72D" w14:textId="77383BA6" w:rsidR="00602921" w:rsidRPr="00D96021" w:rsidRDefault="00F30D2B" w:rsidP="00706BA6">
            <w:pPr>
              <w:rPr>
                <w:rFonts w:cs="Arial"/>
              </w:rPr>
            </w:pPr>
            <w:r w:rsidRPr="00D96021">
              <w:rPr>
                <w:rFonts w:cs="Arial"/>
              </w:rPr>
              <w:t>236</w:t>
            </w:r>
          </w:p>
        </w:tc>
      </w:tr>
      <w:tr w:rsidR="00602921" w:rsidRPr="00D96021" w14:paraId="64789E43" w14:textId="3F0576C5" w:rsidTr="004807D8">
        <w:trPr>
          <w:trHeight w:val="300"/>
        </w:trPr>
        <w:tc>
          <w:tcPr>
            <w:tcW w:w="5242" w:type="dxa"/>
            <w:vAlign w:val="center"/>
          </w:tcPr>
          <w:p w14:paraId="449FC5D3" w14:textId="3B02C79E" w:rsidR="00602921" w:rsidRPr="00D96021" w:rsidRDefault="00602921" w:rsidP="00706BA6">
            <w:pPr>
              <w:rPr>
                <w:rFonts w:cs="Arial"/>
              </w:rPr>
            </w:pPr>
            <w:r w:rsidRPr="00D96021">
              <w:rPr>
                <w:rFonts w:cs="Arial"/>
              </w:rPr>
              <w:t xml:space="preserve">Building </w:t>
            </w:r>
            <w:r w:rsidR="001530E8">
              <w:rPr>
                <w:rFonts w:cs="Arial"/>
              </w:rPr>
              <w:t>C</w:t>
            </w:r>
            <w:r w:rsidRPr="00D96021">
              <w:rPr>
                <w:rFonts w:cs="Arial"/>
              </w:rPr>
              <w:t xml:space="preserve">ertifier </w:t>
            </w:r>
            <w:r w:rsidR="001530E8">
              <w:rPr>
                <w:rFonts w:cs="Arial"/>
              </w:rPr>
              <w:t>L</w:t>
            </w:r>
            <w:r w:rsidRPr="00D96021">
              <w:rPr>
                <w:rFonts w:cs="Arial"/>
              </w:rPr>
              <w:t>evel 2</w:t>
            </w:r>
          </w:p>
        </w:tc>
        <w:tc>
          <w:tcPr>
            <w:tcW w:w="5243" w:type="dxa"/>
            <w:vAlign w:val="center"/>
          </w:tcPr>
          <w:p w14:paraId="4FAA2BA6" w14:textId="4355573A" w:rsidR="00602921" w:rsidRPr="00D96021" w:rsidRDefault="00F30D2B" w:rsidP="00706BA6">
            <w:pPr>
              <w:rPr>
                <w:rFonts w:cs="Arial"/>
              </w:rPr>
            </w:pPr>
            <w:r w:rsidRPr="00D96021">
              <w:rPr>
                <w:rFonts w:cs="Arial"/>
              </w:rPr>
              <w:t>131</w:t>
            </w:r>
          </w:p>
        </w:tc>
      </w:tr>
      <w:tr w:rsidR="00602921" w:rsidRPr="00D96021" w14:paraId="6B2CE4F6" w14:textId="538B6E93" w:rsidTr="004807D8">
        <w:trPr>
          <w:trHeight w:val="300"/>
        </w:trPr>
        <w:tc>
          <w:tcPr>
            <w:tcW w:w="5242" w:type="dxa"/>
            <w:vAlign w:val="center"/>
          </w:tcPr>
          <w:p w14:paraId="025C69BA" w14:textId="78C8E9D8" w:rsidR="00602921" w:rsidRPr="00D96021" w:rsidRDefault="00602921" w:rsidP="00706BA6">
            <w:pPr>
              <w:rPr>
                <w:rFonts w:cs="Arial"/>
              </w:rPr>
            </w:pPr>
            <w:r w:rsidRPr="00D96021">
              <w:rPr>
                <w:rFonts w:cs="Arial"/>
              </w:rPr>
              <w:t xml:space="preserve">Building </w:t>
            </w:r>
            <w:r w:rsidR="001530E8">
              <w:rPr>
                <w:rFonts w:cs="Arial"/>
              </w:rPr>
              <w:t>C</w:t>
            </w:r>
            <w:r w:rsidRPr="00D96021">
              <w:rPr>
                <w:rFonts w:cs="Arial"/>
              </w:rPr>
              <w:t xml:space="preserve">ertifier </w:t>
            </w:r>
            <w:r w:rsidR="001530E8">
              <w:rPr>
                <w:rFonts w:cs="Arial"/>
              </w:rPr>
              <w:t>L</w:t>
            </w:r>
            <w:r w:rsidRPr="00D96021">
              <w:rPr>
                <w:rFonts w:cs="Arial"/>
              </w:rPr>
              <w:t>evel 3</w:t>
            </w:r>
          </w:p>
        </w:tc>
        <w:tc>
          <w:tcPr>
            <w:tcW w:w="5243" w:type="dxa"/>
            <w:vAlign w:val="center"/>
          </w:tcPr>
          <w:p w14:paraId="271DE627" w14:textId="3C0012BA" w:rsidR="00602921" w:rsidRPr="00D96021" w:rsidRDefault="00F30D2B" w:rsidP="00706BA6">
            <w:pPr>
              <w:rPr>
                <w:rFonts w:cs="Arial"/>
              </w:rPr>
            </w:pPr>
            <w:r w:rsidRPr="00D96021">
              <w:rPr>
                <w:rFonts w:cs="Arial"/>
              </w:rPr>
              <w:t>135</w:t>
            </w:r>
          </w:p>
        </w:tc>
      </w:tr>
      <w:tr w:rsidR="00602921" w:rsidRPr="00D96021" w14:paraId="3B276DA3" w14:textId="4A573829" w:rsidTr="004807D8">
        <w:trPr>
          <w:trHeight w:val="300"/>
        </w:trPr>
        <w:tc>
          <w:tcPr>
            <w:tcW w:w="5242" w:type="dxa"/>
            <w:vAlign w:val="center"/>
          </w:tcPr>
          <w:p w14:paraId="34589ADE" w14:textId="2FD6075C" w:rsidR="00602921" w:rsidRPr="00D96021" w:rsidRDefault="00602921" w:rsidP="00F9349E">
            <w:pPr>
              <w:rPr>
                <w:rFonts w:cs="Arial"/>
              </w:rPr>
            </w:pPr>
            <w:r w:rsidRPr="00D96021">
              <w:rPr>
                <w:rFonts w:cs="Arial"/>
              </w:rPr>
              <w:t xml:space="preserve">Pool </w:t>
            </w:r>
            <w:r w:rsidR="00054C07">
              <w:rPr>
                <w:rFonts w:cs="Arial"/>
              </w:rPr>
              <w:t>S</w:t>
            </w:r>
            <w:r w:rsidRPr="00D96021">
              <w:rPr>
                <w:rFonts w:cs="Arial"/>
              </w:rPr>
              <w:t xml:space="preserve">afety </w:t>
            </w:r>
            <w:r w:rsidR="00054C07">
              <w:rPr>
                <w:rFonts w:cs="Arial"/>
              </w:rPr>
              <w:t>I</w:t>
            </w:r>
            <w:r w:rsidRPr="00D96021">
              <w:rPr>
                <w:rFonts w:cs="Arial"/>
              </w:rPr>
              <w:t>nspector</w:t>
            </w:r>
          </w:p>
        </w:tc>
        <w:tc>
          <w:tcPr>
            <w:tcW w:w="5243" w:type="dxa"/>
            <w:vAlign w:val="center"/>
          </w:tcPr>
          <w:p w14:paraId="0F1264C0" w14:textId="69DB4E6C" w:rsidR="00602921" w:rsidRPr="00D96021" w:rsidRDefault="00F30D2B" w:rsidP="00F9349E">
            <w:pPr>
              <w:rPr>
                <w:rFonts w:cs="Arial"/>
              </w:rPr>
            </w:pPr>
            <w:r w:rsidRPr="00D96021">
              <w:rPr>
                <w:rFonts w:cs="Arial"/>
              </w:rPr>
              <w:t>491</w:t>
            </w:r>
          </w:p>
        </w:tc>
      </w:tr>
      <w:tr w:rsidR="00602921" w:rsidRPr="00DA3D21" w14:paraId="08126085" w14:textId="2AFE6331" w:rsidTr="004807D8">
        <w:trPr>
          <w:trHeight w:val="300"/>
        </w:trPr>
        <w:tc>
          <w:tcPr>
            <w:tcW w:w="5242" w:type="dxa"/>
            <w:vAlign w:val="center"/>
          </w:tcPr>
          <w:p w14:paraId="72A5D603" w14:textId="77777777" w:rsidR="00602921" w:rsidRPr="00D96021" w:rsidRDefault="00602921" w:rsidP="00842439">
            <w:pPr>
              <w:jc w:val="right"/>
              <w:rPr>
                <w:rFonts w:cs="Arial"/>
                <w:bCs/>
              </w:rPr>
            </w:pPr>
            <w:r w:rsidRPr="00D96021">
              <w:rPr>
                <w:rFonts w:cs="Arial"/>
                <w:bCs/>
              </w:rPr>
              <w:t>Total</w:t>
            </w:r>
          </w:p>
        </w:tc>
        <w:tc>
          <w:tcPr>
            <w:tcW w:w="5243" w:type="dxa"/>
            <w:vAlign w:val="center"/>
          </w:tcPr>
          <w:p w14:paraId="7C30142E" w14:textId="571189A2" w:rsidR="00602921" w:rsidRPr="00D96021" w:rsidRDefault="00820AE2" w:rsidP="00F9349E">
            <w:pPr>
              <w:rPr>
                <w:rFonts w:cs="Arial"/>
                <w:bCs/>
              </w:rPr>
            </w:pPr>
            <w:r>
              <w:rPr>
                <w:rFonts w:cs="Arial"/>
                <w:bCs/>
              </w:rPr>
              <w:t>993</w:t>
            </w:r>
          </w:p>
        </w:tc>
      </w:tr>
    </w:tbl>
    <w:p w14:paraId="370CB610" w14:textId="72317E0D" w:rsidR="00C01886" w:rsidRPr="009A3026" w:rsidRDefault="0031577F" w:rsidP="00D850B1">
      <w:pPr>
        <w:pStyle w:val="Heading3"/>
        <w:spacing w:before="120"/>
      </w:pPr>
      <w:bookmarkStart w:id="57" w:name="_Financial_compliance_and"/>
      <w:bookmarkEnd w:id="57"/>
      <w:r>
        <w:t>F</w:t>
      </w:r>
      <w:r w:rsidR="00C01886">
        <w:t>inancial</w:t>
      </w:r>
      <w:r w:rsidR="00C01886" w:rsidRPr="00A12C7B">
        <w:t xml:space="preserve"> compliance</w:t>
      </w:r>
      <w:r w:rsidR="00C01886" w:rsidRPr="009A3026">
        <w:t xml:space="preserve"> </w:t>
      </w:r>
      <w:r>
        <w:t>and monitoring</w:t>
      </w:r>
    </w:p>
    <w:p w14:paraId="2D507DF3" w14:textId="4DBAF1D8" w:rsidR="00FC76CB" w:rsidRDefault="00D445EE" w:rsidP="008B6D14">
      <w:pPr>
        <w:spacing w:before="120" w:after="120"/>
        <w:rPr>
          <w:rFonts w:cs="Arial"/>
        </w:rPr>
      </w:pPr>
      <w:r w:rsidRPr="7E4EA285">
        <w:rPr>
          <w:rFonts w:cs="Arial"/>
        </w:rPr>
        <w:t>A</w:t>
      </w:r>
      <w:r w:rsidR="009C66CC" w:rsidRPr="7E4EA285">
        <w:rPr>
          <w:rFonts w:cs="Arial"/>
        </w:rPr>
        <w:t>n</w:t>
      </w:r>
      <w:r w:rsidRPr="7E4EA285">
        <w:rPr>
          <w:rFonts w:cs="Arial"/>
        </w:rPr>
        <w:t xml:space="preserve"> </w:t>
      </w:r>
      <w:r w:rsidR="0004535D" w:rsidRPr="7E4EA285">
        <w:rPr>
          <w:rFonts w:cs="Arial"/>
        </w:rPr>
        <w:t>integral part</w:t>
      </w:r>
      <w:r w:rsidR="00441191" w:rsidRPr="7E4EA285">
        <w:rPr>
          <w:rFonts w:cs="Arial"/>
        </w:rPr>
        <w:t xml:space="preserve"> of the </w:t>
      </w:r>
      <w:r w:rsidR="00255FF0" w:rsidRPr="7E4EA285">
        <w:rPr>
          <w:rFonts w:cs="Arial"/>
        </w:rPr>
        <w:t>QBCC</w:t>
      </w:r>
      <w:r w:rsidR="0004535D" w:rsidRPr="7E4EA285">
        <w:rPr>
          <w:rFonts w:cs="Arial"/>
        </w:rPr>
        <w:t>’s</w:t>
      </w:r>
      <w:r w:rsidR="00255FF0" w:rsidRPr="7E4EA285">
        <w:rPr>
          <w:rFonts w:cs="Arial"/>
        </w:rPr>
        <w:t xml:space="preserve"> licensing framework is </w:t>
      </w:r>
      <w:r w:rsidR="0004535D" w:rsidRPr="7E4EA285">
        <w:rPr>
          <w:rFonts w:cs="Arial"/>
        </w:rPr>
        <w:t xml:space="preserve">ensuring </w:t>
      </w:r>
      <w:r w:rsidR="00E031D9" w:rsidRPr="7E4EA285">
        <w:rPr>
          <w:rFonts w:cs="Arial"/>
        </w:rPr>
        <w:t xml:space="preserve">that </w:t>
      </w:r>
      <w:r w:rsidR="00D70F32" w:rsidRPr="7E4EA285">
        <w:rPr>
          <w:rFonts w:cs="Arial"/>
        </w:rPr>
        <w:t xml:space="preserve">licensees </w:t>
      </w:r>
      <w:r w:rsidR="0004535D" w:rsidRPr="7E4EA285">
        <w:rPr>
          <w:rFonts w:cs="Arial"/>
        </w:rPr>
        <w:t>possess</w:t>
      </w:r>
      <w:r w:rsidR="00D70F32" w:rsidRPr="7E4EA285">
        <w:rPr>
          <w:rFonts w:cs="Arial"/>
        </w:rPr>
        <w:t xml:space="preserve"> the </w:t>
      </w:r>
      <w:r w:rsidR="003908AC" w:rsidRPr="7E4EA285">
        <w:rPr>
          <w:rFonts w:cs="Arial"/>
        </w:rPr>
        <w:t xml:space="preserve">financial stability and </w:t>
      </w:r>
      <w:r w:rsidR="00342770" w:rsidRPr="7E4EA285">
        <w:rPr>
          <w:rFonts w:cs="Arial"/>
        </w:rPr>
        <w:t>capability</w:t>
      </w:r>
      <w:r w:rsidR="003908AC" w:rsidRPr="7E4EA285">
        <w:rPr>
          <w:rFonts w:cs="Arial"/>
        </w:rPr>
        <w:t xml:space="preserve"> to meet their obligations and operate responsibly within Queenslan</w:t>
      </w:r>
      <w:r w:rsidR="00A666C7" w:rsidRPr="7E4EA285">
        <w:rPr>
          <w:rFonts w:cs="Arial"/>
        </w:rPr>
        <w:t xml:space="preserve">d’s building and construction industry. </w:t>
      </w:r>
      <w:r w:rsidR="00C95A4F">
        <w:rPr>
          <w:rFonts w:cs="Arial"/>
        </w:rPr>
        <w:t>T</w:t>
      </w:r>
      <w:r w:rsidR="00AF771D" w:rsidRPr="7E4EA285">
        <w:rPr>
          <w:rFonts w:cs="Arial"/>
        </w:rPr>
        <w:t xml:space="preserve">he QBCC </w:t>
      </w:r>
      <w:r w:rsidR="00C95A4F">
        <w:rPr>
          <w:rFonts w:cs="Arial"/>
        </w:rPr>
        <w:t xml:space="preserve">is responsible for </w:t>
      </w:r>
      <w:r w:rsidR="00EA75B0" w:rsidRPr="7E4EA285">
        <w:rPr>
          <w:rFonts w:cs="Arial"/>
        </w:rPr>
        <w:t>assessin</w:t>
      </w:r>
      <w:r w:rsidR="00EA75B0">
        <w:rPr>
          <w:rFonts w:cs="Arial"/>
        </w:rPr>
        <w:t>g</w:t>
      </w:r>
      <w:r w:rsidR="00AF771D" w:rsidRPr="7E4EA285">
        <w:rPr>
          <w:rFonts w:cs="Arial"/>
        </w:rPr>
        <w:t xml:space="preserve"> whether individuals and companies </w:t>
      </w:r>
      <w:r w:rsidR="00EF7610" w:rsidRPr="7E4EA285">
        <w:rPr>
          <w:rFonts w:cs="Arial"/>
        </w:rPr>
        <w:t>comply</w:t>
      </w:r>
      <w:r w:rsidR="00AF771D" w:rsidRPr="7E4EA285">
        <w:rPr>
          <w:rFonts w:cs="Arial"/>
        </w:rPr>
        <w:t xml:space="preserve"> </w:t>
      </w:r>
      <w:r w:rsidR="00EF7610" w:rsidRPr="7E4EA285">
        <w:rPr>
          <w:rFonts w:cs="Arial"/>
        </w:rPr>
        <w:t>with</w:t>
      </w:r>
      <w:r w:rsidR="00AF771D" w:rsidRPr="7E4EA285">
        <w:rPr>
          <w:rFonts w:cs="Arial"/>
        </w:rPr>
        <w:t xml:space="preserve"> the </w:t>
      </w:r>
      <w:r w:rsidR="00C43CB6">
        <w:rPr>
          <w:rFonts w:cs="Arial"/>
        </w:rPr>
        <w:t>m</w:t>
      </w:r>
      <w:r w:rsidR="00AF771D" w:rsidRPr="7E4EA285">
        <w:rPr>
          <w:rFonts w:cs="Arial"/>
        </w:rPr>
        <w:t xml:space="preserve">inimum </w:t>
      </w:r>
      <w:r w:rsidR="00C43CB6">
        <w:rPr>
          <w:rFonts w:cs="Arial"/>
        </w:rPr>
        <w:t>f</w:t>
      </w:r>
      <w:r w:rsidR="00AF771D" w:rsidRPr="7E4EA285">
        <w:rPr>
          <w:rFonts w:cs="Arial"/>
        </w:rPr>
        <w:t xml:space="preserve">inancial </w:t>
      </w:r>
      <w:r w:rsidR="00C43CB6">
        <w:rPr>
          <w:rFonts w:cs="Arial"/>
        </w:rPr>
        <w:t>r</w:t>
      </w:r>
      <w:r w:rsidR="00AF771D" w:rsidRPr="7E4EA285">
        <w:rPr>
          <w:rFonts w:cs="Arial"/>
        </w:rPr>
        <w:t xml:space="preserve">equirements (MFR) set out in the </w:t>
      </w:r>
      <w:r w:rsidR="00AF771D" w:rsidRPr="7E4EA285">
        <w:rPr>
          <w:rFonts w:cs="Arial"/>
          <w:i/>
        </w:rPr>
        <w:t xml:space="preserve">Queensland Building and Construction Commission </w:t>
      </w:r>
      <w:r w:rsidR="0041701E">
        <w:rPr>
          <w:rFonts w:cs="Arial"/>
          <w:i/>
          <w:iCs/>
        </w:rPr>
        <w:t>(</w:t>
      </w:r>
      <w:r w:rsidR="0041701E" w:rsidRPr="00D63653">
        <w:rPr>
          <w:rFonts w:cs="Arial"/>
          <w:i/>
          <w:iCs/>
        </w:rPr>
        <w:t>Minimum Financial Requirements</w:t>
      </w:r>
      <w:r w:rsidR="0041701E">
        <w:rPr>
          <w:rFonts w:cs="Arial"/>
          <w:i/>
          <w:iCs/>
        </w:rPr>
        <w:t>)</w:t>
      </w:r>
      <w:r w:rsidR="00BC3819">
        <w:rPr>
          <w:rFonts w:cs="Arial"/>
          <w:i/>
          <w:iCs/>
        </w:rPr>
        <w:t xml:space="preserve"> </w:t>
      </w:r>
      <w:r w:rsidR="00AF771D" w:rsidRPr="00D14CBD">
        <w:rPr>
          <w:rFonts w:cs="Arial"/>
          <w:i/>
          <w:iCs/>
        </w:rPr>
        <w:t>Regulation</w:t>
      </w:r>
      <w:r w:rsidR="00AF771D" w:rsidRPr="7E4EA285">
        <w:rPr>
          <w:rFonts w:cs="Arial"/>
          <w:i/>
        </w:rPr>
        <w:t xml:space="preserve"> 2018</w:t>
      </w:r>
      <w:r w:rsidR="00AF771D" w:rsidRPr="7E4EA285">
        <w:rPr>
          <w:rFonts w:cs="Arial"/>
        </w:rPr>
        <w:t xml:space="preserve">. </w:t>
      </w:r>
      <w:r w:rsidR="009F2BA2" w:rsidRPr="7E4EA285">
        <w:rPr>
          <w:rFonts w:cs="Arial"/>
        </w:rPr>
        <w:t>Meeting MFR is a</w:t>
      </w:r>
      <w:r w:rsidR="00286F76" w:rsidRPr="7E4EA285">
        <w:rPr>
          <w:rFonts w:cs="Arial"/>
        </w:rPr>
        <w:t xml:space="preserve"> key</w:t>
      </w:r>
      <w:r w:rsidR="009F2BA2" w:rsidRPr="7E4EA285">
        <w:rPr>
          <w:rFonts w:cs="Arial"/>
        </w:rPr>
        <w:t xml:space="preserve"> indicator that </w:t>
      </w:r>
      <w:r w:rsidR="00286F76" w:rsidRPr="7E4EA285">
        <w:rPr>
          <w:rFonts w:cs="Arial"/>
        </w:rPr>
        <w:t xml:space="preserve">a licensee </w:t>
      </w:r>
      <w:r w:rsidR="00D1555A" w:rsidRPr="7E4EA285">
        <w:rPr>
          <w:rFonts w:cs="Arial"/>
        </w:rPr>
        <w:t>operates</w:t>
      </w:r>
      <w:r w:rsidR="009F2BA2" w:rsidRPr="7E4EA285">
        <w:rPr>
          <w:rFonts w:cs="Arial"/>
        </w:rPr>
        <w:t xml:space="preserve"> a financially sustainable business </w:t>
      </w:r>
      <w:r w:rsidR="00D1555A" w:rsidRPr="7E4EA285">
        <w:rPr>
          <w:rFonts w:cs="Arial"/>
        </w:rPr>
        <w:t>with adequate</w:t>
      </w:r>
      <w:r w:rsidR="009F2BA2" w:rsidRPr="7E4EA285">
        <w:rPr>
          <w:rFonts w:cs="Arial"/>
        </w:rPr>
        <w:t xml:space="preserve"> working capital. </w:t>
      </w:r>
      <w:r w:rsidR="00B150D9" w:rsidRPr="7E4EA285">
        <w:rPr>
          <w:rFonts w:cs="Arial"/>
        </w:rPr>
        <w:t xml:space="preserve">By </w:t>
      </w:r>
      <w:r w:rsidR="00286F76" w:rsidRPr="7E4EA285">
        <w:rPr>
          <w:rFonts w:cs="Arial"/>
        </w:rPr>
        <w:t>upholding these requirements</w:t>
      </w:r>
      <w:r w:rsidR="00B150D9" w:rsidRPr="7E4EA285">
        <w:rPr>
          <w:rFonts w:cs="Arial"/>
        </w:rPr>
        <w:t xml:space="preserve">, the </w:t>
      </w:r>
      <w:r w:rsidR="00286F76" w:rsidRPr="7E4EA285">
        <w:rPr>
          <w:rFonts w:cs="Arial"/>
        </w:rPr>
        <w:t>QBCC</w:t>
      </w:r>
      <w:r w:rsidR="00B150D9" w:rsidRPr="7E4EA285">
        <w:rPr>
          <w:rFonts w:cs="Arial"/>
        </w:rPr>
        <w:t xml:space="preserve"> helps </w:t>
      </w:r>
      <w:r w:rsidR="00663FAD" w:rsidRPr="7E4EA285">
        <w:rPr>
          <w:rFonts w:cs="Arial"/>
        </w:rPr>
        <w:t>mitigate</w:t>
      </w:r>
      <w:r w:rsidR="00AF771D" w:rsidRPr="7E4EA285">
        <w:rPr>
          <w:rFonts w:cs="Arial"/>
        </w:rPr>
        <w:t xml:space="preserve"> </w:t>
      </w:r>
      <w:r w:rsidR="00286F76" w:rsidRPr="7E4EA285">
        <w:rPr>
          <w:rFonts w:cs="Arial"/>
        </w:rPr>
        <w:t>financial risk</w:t>
      </w:r>
      <w:r w:rsidR="001F66D3">
        <w:rPr>
          <w:rFonts w:cs="Arial"/>
        </w:rPr>
        <w:t>s</w:t>
      </w:r>
      <w:r w:rsidR="00034643">
        <w:rPr>
          <w:rFonts w:cs="Arial"/>
        </w:rPr>
        <w:t xml:space="preserve"> to credito</w:t>
      </w:r>
      <w:r w:rsidR="00E23A63">
        <w:rPr>
          <w:rFonts w:cs="Arial"/>
        </w:rPr>
        <w:t>rs</w:t>
      </w:r>
      <w:r w:rsidR="00286F76" w:rsidRPr="7E4EA285">
        <w:rPr>
          <w:rFonts w:cs="Arial"/>
        </w:rPr>
        <w:t xml:space="preserve">, </w:t>
      </w:r>
      <w:r w:rsidR="00663FAD" w:rsidRPr="7E4EA285">
        <w:rPr>
          <w:rFonts w:cs="Arial"/>
        </w:rPr>
        <w:t>enhance</w:t>
      </w:r>
      <w:r w:rsidR="00E82264" w:rsidRPr="7E4EA285">
        <w:rPr>
          <w:rFonts w:cs="Arial"/>
        </w:rPr>
        <w:t xml:space="preserve"> payment protections</w:t>
      </w:r>
      <w:r w:rsidR="00AF771D" w:rsidRPr="7E4EA285">
        <w:rPr>
          <w:rFonts w:cs="Arial"/>
        </w:rPr>
        <w:t xml:space="preserve"> and </w:t>
      </w:r>
      <w:r w:rsidR="00663FAD" w:rsidRPr="7E4EA285">
        <w:rPr>
          <w:rFonts w:cs="Arial"/>
        </w:rPr>
        <w:t>promote</w:t>
      </w:r>
      <w:r w:rsidR="001F66D3">
        <w:rPr>
          <w:rFonts w:cs="Arial"/>
        </w:rPr>
        <w:t>s</w:t>
      </w:r>
      <w:r w:rsidR="00AF771D" w:rsidRPr="7E4EA285">
        <w:rPr>
          <w:rFonts w:cs="Arial"/>
        </w:rPr>
        <w:t xml:space="preserve"> a </w:t>
      </w:r>
      <w:r w:rsidR="00E82264" w:rsidRPr="7E4EA285">
        <w:rPr>
          <w:rFonts w:cs="Arial"/>
        </w:rPr>
        <w:t>more</w:t>
      </w:r>
      <w:r w:rsidR="00AF771D" w:rsidRPr="7E4EA285">
        <w:rPr>
          <w:rFonts w:cs="Arial"/>
        </w:rPr>
        <w:t xml:space="preserve"> </w:t>
      </w:r>
      <w:r w:rsidR="008240B3" w:rsidRPr="7E4EA285">
        <w:rPr>
          <w:rFonts w:cs="Arial"/>
        </w:rPr>
        <w:t>resilient</w:t>
      </w:r>
      <w:r w:rsidR="00E82264" w:rsidRPr="7E4EA285">
        <w:rPr>
          <w:rFonts w:cs="Arial"/>
        </w:rPr>
        <w:t>,</w:t>
      </w:r>
      <w:r w:rsidR="000F3215" w:rsidRPr="7E4EA285">
        <w:rPr>
          <w:rFonts w:cs="Arial"/>
        </w:rPr>
        <w:t xml:space="preserve"> transparent</w:t>
      </w:r>
      <w:r w:rsidR="00E82264" w:rsidRPr="7E4EA285">
        <w:rPr>
          <w:rFonts w:cs="Arial"/>
        </w:rPr>
        <w:t xml:space="preserve"> and trusted building</w:t>
      </w:r>
      <w:r w:rsidR="000F3215" w:rsidRPr="7E4EA285">
        <w:rPr>
          <w:rFonts w:cs="Arial"/>
        </w:rPr>
        <w:t xml:space="preserve"> and </w:t>
      </w:r>
      <w:r w:rsidR="00E82264" w:rsidRPr="7E4EA285">
        <w:rPr>
          <w:rFonts w:cs="Arial"/>
        </w:rPr>
        <w:t>construction</w:t>
      </w:r>
      <w:r w:rsidR="000F3215" w:rsidRPr="7E4EA285">
        <w:rPr>
          <w:rFonts w:cs="Arial"/>
        </w:rPr>
        <w:t xml:space="preserve"> industry</w:t>
      </w:r>
      <w:r w:rsidR="00040015" w:rsidRPr="7E4EA285">
        <w:rPr>
          <w:rFonts w:cs="Arial"/>
        </w:rPr>
        <w:t>.</w:t>
      </w:r>
    </w:p>
    <w:p w14:paraId="06F5A301" w14:textId="2BAF47DA" w:rsidR="00D82786" w:rsidRPr="00842439" w:rsidRDefault="00040015" w:rsidP="008B6D14">
      <w:pPr>
        <w:spacing w:before="120" w:after="120"/>
        <w:rPr>
          <w:rFonts w:cs="Arial"/>
        </w:rPr>
      </w:pPr>
      <w:r w:rsidRPr="7E4EA285">
        <w:rPr>
          <w:rFonts w:cs="Arial"/>
        </w:rPr>
        <w:t xml:space="preserve">In </w:t>
      </w:r>
      <w:r w:rsidR="00C01886" w:rsidRPr="7E4EA285">
        <w:rPr>
          <w:rFonts w:cs="Arial"/>
        </w:rPr>
        <w:t>2024–25</w:t>
      </w:r>
      <w:r w:rsidRPr="7E4EA285">
        <w:rPr>
          <w:rFonts w:cs="Arial"/>
        </w:rPr>
        <w:t xml:space="preserve">, the QBCC </w:t>
      </w:r>
      <w:r w:rsidR="00D82786" w:rsidRPr="7E4EA285">
        <w:rPr>
          <w:rFonts w:cs="Arial"/>
        </w:rPr>
        <w:t>undertook</w:t>
      </w:r>
      <w:r w:rsidRPr="7E4EA285">
        <w:rPr>
          <w:rFonts w:cs="Arial"/>
        </w:rPr>
        <w:t xml:space="preserve"> the following activities</w:t>
      </w:r>
      <w:r w:rsidR="007932C1" w:rsidRPr="7E4EA285">
        <w:rPr>
          <w:rFonts w:cs="Arial"/>
        </w:rPr>
        <w:t xml:space="preserve"> to</w:t>
      </w:r>
      <w:r w:rsidR="00D82786" w:rsidRPr="7E4EA285">
        <w:rPr>
          <w:rFonts w:cs="Arial"/>
        </w:rPr>
        <w:t xml:space="preserve"> uphold regulatory standards:</w:t>
      </w:r>
    </w:p>
    <w:p w14:paraId="1D5D007F" w14:textId="328FC981" w:rsidR="00C01886" w:rsidRPr="00506EBB" w:rsidRDefault="008A45BB" w:rsidP="00BD69F7">
      <w:pPr>
        <w:pStyle w:val="ListParagraph"/>
        <w:numPr>
          <w:ilvl w:val="0"/>
          <w:numId w:val="10"/>
        </w:numPr>
        <w:spacing w:before="120" w:after="120"/>
        <w:ind w:left="714" w:hanging="357"/>
        <w:contextualSpacing w:val="0"/>
        <w:rPr>
          <w:rFonts w:cs="Arial"/>
        </w:rPr>
      </w:pPr>
      <w:r w:rsidRPr="7E4EA285">
        <w:rPr>
          <w:rFonts w:cs="Arial"/>
          <w:b/>
        </w:rPr>
        <w:t>Monies</w:t>
      </w:r>
      <w:r w:rsidR="003C6A89">
        <w:rPr>
          <w:rFonts w:cs="Arial"/>
          <w:b/>
        </w:rPr>
        <w:t xml:space="preserve"> </w:t>
      </w:r>
      <w:r w:rsidR="00F77E29" w:rsidRPr="7E4EA285">
        <w:rPr>
          <w:rFonts w:cs="Arial"/>
          <w:b/>
        </w:rPr>
        <w:t>o</w:t>
      </w:r>
      <w:r w:rsidRPr="7E4EA285">
        <w:rPr>
          <w:rFonts w:cs="Arial"/>
          <w:b/>
        </w:rPr>
        <w:t xml:space="preserve">wed and </w:t>
      </w:r>
      <w:r w:rsidR="00F77E29" w:rsidRPr="7E4EA285">
        <w:rPr>
          <w:rFonts w:cs="Arial"/>
          <w:b/>
        </w:rPr>
        <w:t>s</w:t>
      </w:r>
      <w:r w:rsidRPr="7E4EA285">
        <w:rPr>
          <w:rFonts w:cs="Arial"/>
          <w:b/>
        </w:rPr>
        <w:t xml:space="preserve">ecurity of </w:t>
      </w:r>
      <w:r w:rsidR="00F77E29" w:rsidRPr="7E4EA285">
        <w:rPr>
          <w:rFonts w:cs="Arial"/>
          <w:b/>
        </w:rPr>
        <w:t>p</w:t>
      </w:r>
      <w:r w:rsidRPr="7E4EA285">
        <w:rPr>
          <w:rFonts w:cs="Arial"/>
          <w:b/>
        </w:rPr>
        <w:t xml:space="preserve">ayment </w:t>
      </w:r>
      <w:r w:rsidR="00F77E29" w:rsidRPr="7E4EA285">
        <w:rPr>
          <w:rFonts w:cs="Arial"/>
          <w:b/>
        </w:rPr>
        <w:t>i</w:t>
      </w:r>
      <w:r w:rsidRPr="7E4EA285">
        <w:rPr>
          <w:rFonts w:cs="Arial"/>
          <w:b/>
        </w:rPr>
        <w:t>nvestigations</w:t>
      </w:r>
      <w:r w:rsidR="004866BF">
        <w:rPr>
          <w:rFonts w:cs="Arial"/>
          <w:b/>
        </w:rPr>
        <w:t>:</w:t>
      </w:r>
      <w:r w:rsidR="00506EBB" w:rsidRPr="7E4EA285">
        <w:rPr>
          <w:rFonts w:cs="Arial"/>
        </w:rPr>
        <w:t xml:space="preserve"> </w:t>
      </w:r>
      <w:r w:rsidR="00472941" w:rsidRPr="7E4EA285">
        <w:rPr>
          <w:rFonts w:cs="Arial"/>
        </w:rPr>
        <w:t>Responded to complaints and undertook</w:t>
      </w:r>
      <w:r w:rsidR="00C01886" w:rsidRPr="7E4EA285">
        <w:rPr>
          <w:rFonts w:cs="Arial"/>
        </w:rPr>
        <w:t xml:space="preserve"> </w:t>
      </w:r>
      <w:r w:rsidR="001B0B93" w:rsidRPr="7E4EA285">
        <w:rPr>
          <w:rFonts w:cs="Arial"/>
        </w:rPr>
        <w:t xml:space="preserve">compliance action under </w:t>
      </w:r>
      <w:r w:rsidR="00C01886" w:rsidRPr="7E4EA285">
        <w:rPr>
          <w:rFonts w:cs="Arial"/>
        </w:rPr>
        <w:t xml:space="preserve">the </w:t>
      </w:r>
      <w:r w:rsidR="00C01886" w:rsidRPr="7E4EA285">
        <w:rPr>
          <w:rFonts w:cs="Arial"/>
          <w:i/>
        </w:rPr>
        <w:t>Building Industry Fairness (Security of Payment)</w:t>
      </w:r>
      <w:r w:rsidR="00C01886" w:rsidRPr="7E4EA285">
        <w:rPr>
          <w:rFonts w:cs="Arial"/>
        </w:rPr>
        <w:t xml:space="preserve"> </w:t>
      </w:r>
      <w:r w:rsidR="00C01886" w:rsidRPr="00CF5A6B">
        <w:rPr>
          <w:rFonts w:cs="Arial"/>
          <w:i/>
        </w:rPr>
        <w:t>Act</w:t>
      </w:r>
      <w:r w:rsidR="00C01886">
        <w:rPr>
          <w:rFonts w:cs="Arial"/>
          <w:i/>
        </w:rPr>
        <w:t xml:space="preserve"> </w:t>
      </w:r>
      <w:r w:rsidR="00C03BC4">
        <w:rPr>
          <w:rFonts w:cs="Arial"/>
          <w:i/>
        </w:rPr>
        <w:t>2017</w:t>
      </w:r>
      <w:r w:rsidR="00C01886" w:rsidRPr="7E4EA285">
        <w:rPr>
          <w:rFonts w:cs="Arial"/>
        </w:rPr>
        <w:t xml:space="preserve"> </w:t>
      </w:r>
      <w:r w:rsidR="00FA12DB">
        <w:rPr>
          <w:rFonts w:cs="Arial"/>
        </w:rPr>
        <w:t xml:space="preserve">(BIF Act) </w:t>
      </w:r>
      <w:r w:rsidR="00C01886" w:rsidRPr="7E4EA285">
        <w:rPr>
          <w:rFonts w:cs="Arial"/>
        </w:rPr>
        <w:t xml:space="preserve">to </w:t>
      </w:r>
      <w:r w:rsidR="009F67A0" w:rsidRPr="7E4EA285">
        <w:rPr>
          <w:rFonts w:cs="Arial"/>
        </w:rPr>
        <w:t xml:space="preserve">support fair payment practices and protect </w:t>
      </w:r>
      <w:r w:rsidR="003D49A6">
        <w:rPr>
          <w:rFonts w:cs="Arial"/>
        </w:rPr>
        <w:t xml:space="preserve">the </w:t>
      </w:r>
      <w:r w:rsidR="009F67A0" w:rsidRPr="7E4EA285">
        <w:rPr>
          <w:rFonts w:cs="Arial"/>
        </w:rPr>
        <w:t>industry.</w:t>
      </w:r>
    </w:p>
    <w:p w14:paraId="73412460" w14:textId="4F88D9DB" w:rsidR="0017244E" w:rsidRPr="004D482E" w:rsidRDefault="00F77E29" w:rsidP="00BD69F7">
      <w:pPr>
        <w:pStyle w:val="ListParagraph"/>
        <w:numPr>
          <w:ilvl w:val="0"/>
          <w:numId w:val="10"/>
        </w:numPr>
        <w:spacing w:before="120" w:after="120"/>
        <w:ind w:left="714" w:hanging="357"/>
        <w:contextualSpacing w:val="0"/>
        <w:rPr>
          <w:rFonts w:cs="Arial"/>
        </w:rPr>
      </w:pPr>
      <w:r w:rsidRPr="7E4EA285">
        <w:rPr>
          <w:rFonts w:cs="Arial"/>
          <w:b/>
        </w:rPr>
        <w:lastRenderedPageBreak/>
        <w:t>Financial compliance monitoring</w:t>
      </w:r>
      <w:r w:rsidR="004866BF">
        <w:rPr>
          <w:rFonts w:cs="Arial"/>
          <w:b/>
        </w:rPr>
        <w:t>:</w:t>
      </w:r>
      <w:r w:rsidRPr="7E4EA285">
        <w:rPr>
          <w:rFonts w:cs="Arial"/>
        </w:rPr>
        <w:t xml:space="preserve"> </w:t>
      </w:r>
      <w:r w:rsidR="007B7120" w:rsidRPr="7E4EA285">
        <w:rPr>
          <w:rFonts w:cs="Arial"/>
        </w:rPr>
        <w:t>C</w:t>
      </w:r>
      <w:r w:rsidR="0017244E" w:rsidRPr="7E4EA285">
        <w:rPr>
          <w:rFonts w:cs="Arial"/>
        </w:rPr>
        <w:t>onduct</w:t>
      </w:r>
      <w:r w:rsidR="007B7120" w:rsidRPr="7E4EA285">
        <w:rPr>
          <w:rFonts w:cs="Arial"/>
        </w:rPr>
        <w:t>ed</w:t>
      </w:r>
      <w:r w:rsidR="0017244E" w:rsidRPr="7E4EA285">
        <w:rPr>
          <w:rFonts w:cs="Arial"/>
        </w:rPr>
        <w:t xml:space="preserve"> financial audits and monitor</w:t>
      </w:r>
      <w:r w:rsidR="007B7120" w:rsidRPr="7E4EA285">
        <w:rPr>
          <w:rFonts w:cs="Arial"/>
        </w:rPr>
        <w:t xml:space="preserve">ed </w:t>
      </w:r>
      <w:r w:rsidR="0017244E" w:rsidRPr="7E4EA285">
        <w:rPr>
          <w:rFonts w:cs="Arial"/>
        </w:rPr>
        <w:t xml:space="preserve">compliance with </w:t>
      </w:r>
      <w:r w:rsidR="00196B23" w:rsidRPr="7E4EA285">
        <w:rPr>
          <w:rFonts w:cs="Arial"/>
        </w:rPr>
        <w:t>MFR</w:t>
      </w:r>
      <w:r w:rsidR="007B7120" w:rsidRPr="7E4EA285">
        <w:rPr>
          <w:rFonts w:cs="Arial"/>
        </w:rPr>
        <w:t xml:space="preserve"> obligations and trust account requirements</w:t>
      </w:r>
      <w:r w:rsidR="00C73922">
        <w:rPr>
          <w:rFonts w:cs="Arial"/>
        </w:rPr>
        <w:t>.</w:t>
      </w:r>
    </w:p>
    <w:p w14:paraId="49DD92D5" w14:textId="501A74DC" w:rsidR="00C01886" w:rsidRPr="004D482E" w:rsidRDefault="00703518" w:rsidP="00BD69F7">
      <w:pPr>
        <w:pStyle w:val="ListParagraph"/>
        <w:numPr>
          <w:ilvl w:val="0"/>
          <w:numId w:val="10"/>
        </w:numPr>
        <w:spacing w:before="120" w:after="120"/>
        <w:ind w:left="714" w:hanging="357"/>
        <w:contextualSpacing w:val="0"/>
        <w:rPr>
          <w:rFonts w:cs="Arial"/>
        </w:rPr>
      </w:pPr>
      <w:r w:rsidRPr="7E4EA285">
        <w:rPr>
          <w:rFonts w:cs="Arial"/>
          <w:b/>
        </w:rPr>
        <w:t>Trust account audit programs</w:t>
      </w:r>
      <w:r w:rsidR="004866BF">
        <w:rPr>
          <w:rFonts w:cs="Arial"/>
          <w:b/>
        </w:rPr>
        <w:t>:</w:t>
      </w:r>
      <w:r w:rsidRPr="7E4EA285">
        <w:rPr>
          <w:rFonts w:cs="Arial"/>
        </w:rPr>
        <w:t xml:space="preserve"> </w:t>
      </w:r>
      <w:r w:rsidR="006D6443" w:rsidRPr="7E4EA285">
        <w:rPr>
          <w:rFonts w:cs="Arial"/>
        </w:rPr>
        <w:t xml:space="preserve">Delivered </w:t>
      </w:r>
      <w:r w:rsidR="00C01886" w:rsidRPr="7E4EA285">
        <w:rPr>
          <w:rFonts w:cs="Arial"/>
        </w:rPr>
        <w:t xml:space="preserve">approved audit programs </w:t>
      </w:r>
      <w:r w:rsidR="006D6443" w:rsidRPr="7E4EA285">
        <w:rPr>
          <w:rFonts w:cs="Arial"/>
        </w:rPr>
        <w:t>targeting both</w:t>
      </w:r>
      <w:r w:rsidR="00C01886" w:rsidRPr="7E4EA285">
        <w:rPr>
          <w:rFonts w:cs="Arial"/>
        </w:rPr>
        <w:t xml:space="preserve"> project trust accounts and retention trust accounts</w:t>
      </w:r>
      <w:r w:rsidR="000A3696" w:rsidRPr="7E4EA285">
        <w:rPr>
          <w:rFonts w:cs="Arial"/>
        </w:rPr>
        <w:t xml:space="preserve"> to ensure proper management and oversight of project funds</w:t>
      </w:r>
      <w:r w:rsidR="00C73922">
        <w:rPr>
          <w:rFonts w:cs="Arial"/>
        </w:rPr>
        <w:t>.</w:t>
      </w:r>
    </w:p>
    <w:p w14:paraId="468CF03F" w14:textId="2201EEA5" w:rsidR="00625FCA" w:rsidRDefault="001444BB" w:rsidP="00BD69F7">
      <w:pPr>
        <w:pStyle w:val="ListParagraph"/>
        <w:numPr>
          <w:ilvl w:val="0"/>
          <w:numId w:val="10"/>
        </w:numPr>
        <w:spacing w:before="120" w:after="120"/>
        <w:ind w:left="714" w:hanging="357"/>
        <w:contextualSpacing w:val="0"/>
        <w:rPr>
          <w:rFonts w:cs="Arial"/>
        </w:rPr>
      </w:pPr>
      <w:r w:rsidRPr="7E4EA285">
        <w:rPr>
          <w:rFonts w:cs="Arial"/>
          <w:b/>
        </w:rPr>
        <w:t>Insolvency impact investigations</w:t>
      </w:r>
      <w:r w:rsidR="004866BF">
        <w:rPr>
          <w:rFonts w:cs="Arial"/>
          <w:b/>
        </w:rPr>
        <w:t>:</w:t>
      </w:r>
      <w:r w:rsidRPr="7E4EA285">
        <w:rPr>
          <w:rFonts w:cs="Arial"/>
        </w:rPr>
        <w:t xml:space="preserve"> </w:t>
      </w:r>
      <w:r w:rsidR="00A04F9F" w:rsidRPr="7E4EA285">
        <w:rPr>
          <w:rFonts w:cs="Arial"/>
        </w:rPr>
        <w:t>Examined</w:t>
      </w:r>
      <w:r w:rsidR="00C01886" w:rsidRPr="7E4EA285">
        <w:rPr>
          <w:rFonts w:cs="Arial"/>
        </w:rPr>
        <w:t xml:space="preserve"> the implications of insolvency events on trustee companies and </w:t>
      </w:r>
      <w:r w:rsidR="00A04F9F" w:rsidRPr="7E4EA285">
        <w:rPr>
          <w:rFonts w:cs="Arial"/>
        </w:rPr>
        <w:t xml:space="preserve">assessed </w:t>
      </w:r>
      <w:r w:rsidR="00C01886" w:rsidRPr="7E4EA285" w:rsidDel="00A04F9F">
        <w:rPr>
          <w:rFonts w:cs="Arial"/>
        </w:rPr>
        <w:t xml:space="preserve">the </w:t>
      </w:r>
      <w:r w:rsidR="00A04F9F" w:rsidRPr="7E4EA285">
        <w:rPr>
          <w:rFonts w:cs="Arial"/>
        </w:rPr>
        <w:t xml:space="preserve">risk posed to </w:t>
      </w:r>
      <w:r w:rsidR="006409B6" w:rsidRPr="7E4EA285">
        <w:rPr>
          <w:rFonts w:cs="Arial"/>
        </w:rPr>
        <w:t xml:space="preserve">trust account </w:t>
      </w:r>
      <w:r w:rsidR="00C01886" w:rsidRPr="7E4EA285">
        <w:rPr>
          <w:rFonts w:cs="Arial"/>
        </w:rPr>
        <w:t>beneficiaries</w:t>
      </w:r>
      <w:r w:rsidR="00C73922">
        <w:rPr>
          <w:rFonts w:cs="Arial"/>
        </w:rPr>
        <w:t>.</w:t>
      </w:r>
    </w:p>
    <w:p w14:paraId="0EAA63CF" w14:textId="01AA5C21" w:rsidR="009227E4" w:rsidRPr="00842439" w:rsidRDefault="001444BB" w:rsidP="00BD69F7">
      <w:pPr>
        <w:pStyle w:val="ListParagraph"/>
        <w:numPr>
          <w:ilvl w:val="0"/>
          <w:numId w:val="10"/>
        </w:numPr>
        <w:spacing w:before="120" w:after="120"/>
        <w:ind w:left="714" w:hanging="357"/>
        <w:contextualSpacing w:val="0"/>
        <w:rPr>
          <w:rFonts w:cs="Arial"/>
        </w:rPr>
      </w:pPr>
      <w:r w:rsidRPr="7E4EA285">
        <w:rPr>
          <w:rFonts w:cs="Arial"/>
          <w:b/>
        </w:rPr>
        <w:t xml:space="preserve">Proactive </w:t>
      </w:r>
      <w:r w:rsidR="00D52CBA" w:rsidRPr="7E4EA285">
        <w:rPr>
          <w:rFonts w:cs="Arial"/>
          <w:b/>
        </w:rPr>
        <w:t>f</w:t>
      </w:r>
      <w:r w:rsidRPr="7E4EA285">
        <w:rPr>
          <w:rFonts w:cs="Arial"/>
          <w:b/>
        </w:rPr>
        <w:t xml:space="preserve">inancial </w:t>
      </w:r>
      <w:r w:rsidR="00D52CBA" w:rsidRPr="7E4EA285">
        <w:rPr>
          <w:rFonts w:cs="Arial"/>
          <w:b/>
        </w:rPr>
        <w:t>r</w:t>
      </w:r>
      <w:r w:rsidRPr="7E4EA285">
        <w:rPr>
          <w:rFonts w:cs="Arial"/>
          <w:b/>
        </w:rPr>
        <w:t xml:space="preserve">isk </w:t>
      </w:r>
      <w:r w:rsidR="00D52CBA" w:rsidRPr="7E4EA285">
        <w:rPr>
          <w:rFonts w:cs="Arial"/>
          <w:b/>
        </w:rPr>
        <w:t>i</w:t>
      </w:r>
      <w:r w:rsidRPr="7E4EA285">
        <w:rPr>
          <w:rFonts w:cs="Arial"/>
          <w:b/>
        </w:rPr>
        <w:t>ntervention</w:t>
      </w:r>
      <w:r w:rsidR="00374BB7">
        <w:rPr>
          <w:rFonts w:cs="Arial"/>
          <w:b/>
        </w:rPr>
        <w:t>:</w:t>
      </w:r>
      <w:r w:rsidRPr="7E4EA285">
        <w:rPr>
          <w:rFonts w:cs="Arial"/>
        </w:rPr>
        <w:t xml:space="preserve"> </w:t>
      </w:r>
      <w:r w:rsidR="00D52CBA" w:rsidRPr="7E4EA285">
        <w:rPr>
          <w:rFonts w:cs="Arial"/>
        </w:rPr>
        <w:t>Engag</w:t>
      </w:r>
      <w:r w:rsidR="004E3673">
        <w:rPr>
          <w:rFonts w:cs="Arial"/>
        </w:rPr>
        <w:t>ed</w:t>
      </w:r>
      <w:r w:rsidR="00D52CBA" w:rsidRPr="7E4EA285">
        <w:rPr>
          <w:rFonts w:cs="Arial"/>
        </w:rPr>
        <w:t xml:space="preserve"> </w:t>
      </w:r>
      <w:r w:rsidR="00625FCA" w:rsidRPr="7E4EA285">
        <w:rPr>
          <w:rFonts w:cs="Arial"/>
        </w:rPr>
        <w:t xml:space="preserve">early </w:t>
      </w:r>
      <w:r w:rsidR="006409B6" w:rsidRPr="7E4EA285">
        <w:rPr>
          <w:rFonts w:cs="Arial"/>
        </w:rPr>
        <w:t>with licensees exhibiting</w:t>
      </w:r>
      <w:r w:rsidR="00625FCA" w:rsidRPr="7E4EA285">
        <w:rPr>
          <w:rFonts w:cs="Arial"/>
        </w:rPr>
        <w:t xml:space="preserve"> </w:t>
      </w:r>
      <w:r w:rsidR="00B57403" w:rsidRPr="7E4EA285">
        <w:rPr>
          <w:rFonts w:cs="Arial"/>
        </w:rPr>
        <w:t>signs of financial distress to mitigate potential risks to the industry</w:t>
      </w:r>
      <w:r w:rsidR="008D2E4C">
        <w:rPr>
          <w:rFonts w:cs="Arial"/>
        </w:rPr>
        <w:t>,</w:t>
      </w:r>
      <w:r w:rsidR="00B57403" w:rsidRPr="7E4EA285">
        <w:rPr>
          <w:rFonts w:cs="Arial"/>
        </w:rPr>
        <w:t xml:space="preserve"> supply chain</w:t>
      </w:r>
      <w:r w:rsidR="008D2E4C">
        <w:rPr>
          <w:rFonts w:cs="Arial"/>
        </w:rPr>
        <w:t xml:space="preserve"> and consumers</w:t>
      </w:r>
      <w:r w:rsidR="00C01886" w:rsidRPr="7E4EA285">
        <w:rPr>
          <w:rFonts w:cs="Arial"/>
        </w:rPr>
        <w:t>.</w:t>
      </w:r>
    </w:p>
    <w:p w14:paraId="32D4CD6B" w14:textId="4D1A5B11" w:rsidR="00D10A30" w:rsidRPr="004D482E" w:rsidRDefault="00485645" w:rsidP="00A26BB9">
      <w:pPr>
        <w:pStyle w:val="Heading4"/>
        <w:rPr>
          <w:rFonts w:cs="Arial"/>
          <w:b w:val="0"/>
          <w:szCs w:val="22"/>
        </w:rPr>
      </w:pPr>
      <w:bookmarkStart w:id="58" w:name="_Financial_reporting"/>
      <w:bookmarkEnd w:id="58"/>
      <w:r w:rsidRPr="004D482E">
        <w:t xml:space="preserve">Financial </w:t>
      </w:r>
      <w:r w:rsidR="00E71201" w:rsidRPr="004D482E">
        <w:rPr>
          <w:rFonts w:cs="Arial"/>
          <w:szCs w:val="22"/>
        </w:rPr>
        <w:t xml:space="preserve">reporting </w:t>
      </w:r>
    </w:p>
    <w:p w14:paraId="1D5BE4D6" w14:textId="310EB6FE" w:rsidR="00C01886" w:rsidRPr="00D850B1" w:rsidRDefault="004C06D9" w:rsidP="00D850B1">
      <w:pPr>
        <w:spacing w:before="120" w:after="120"/>
        <w:rPr>
          <w:rFonts w:cs="Arial"/>
          <w:highlight w:val="yellow"/>
        </w:rPr>
      </w:pPr>
      <w:r>
        <w:rPr>
          <w:rFonts w:cs="Arial"/>
        </w:rPr>
        <w:t>The reporting of financial information from l</w:t>
      </w:r>
      <w:r w:rsidR="005B6940" w:rsidRPr="7E4EA285">
        <w:rPr>
          <w:rFonts w:cs="Arial"/>
        </w:rPr>
        <w:t>icensees</w:t>
      </w:r>
      <w:r w:rsidR="00B42610">
        <w:rPr>
          <w:rFonts w:cs="Arial"/>
        </w:rPr>
        <w:t xml:space="preserve"> </w:t>
      </w:r>
      <w:r w:rsidR="003F2E3B" w:rsidRPr="7E4EA285">
        <w:rPr>
          <w:rFonts w:cs="Arial"/>
        </w:rPr>
        <w:t>to the QBCC</w:t>
      </w:r>
      <w:r w:rsidR="00031C25">
        <w:rPr>
          <w:rFonts w:cs="Arial"/>
        </w:rPr>
        <w:t xml:space="preserve"> </w:t>
      </w:r>
      <w:r w:rsidR="00B71DDE" w:rsidRPr="7E4EA285">
        <w:rPr>
          <w:rFonts w:cs="Arial"/>
        </w:rPr>
        <w:t xml:space="preserve">helps </w:t>
      </w:r>
      <w:r w:rsidR="009867FF">
        <w:rPr>
          <w:rFonts w:cs="Arial"/>
        </w:rPr>
        <w:t xml:space="preserve">to </w:t>
      </w:r>
      <w:r w:rsidR="00B71DDE" w:rsidRPr="7E4EA285">
        <w:rPr>
          <w:rFonts w:cs="Arial"/>
        </w:rPr>
        <w:t xml:space="preserve">identify </w:t>
      </w:r>
      <w:r w:rsidR="0074030B">
        <w:rPr>
          <w:rFonts w:cs="Arial"/>
        </w:rPr>
        <w:t>those</w:t>
      </w:r>
      <w:r w:rsidR="0074030B" w:rsidRPr="7E4EA285">
        <w:rPr>
          <w:rFonts w:cs="Arial"/>
        </w:rPr>
        <w:t xml:space="preserve"> </w:t>
      </w:r>
      <w:r w:rsidR="00F07864" w:rsidRPr="7E4EA285">
        <w:rPr>
          <w:rFonts w:cs="Arial"/>
        </w:rPr>
        <w:t xml:space="preserve">who may be operating </w:t>
      </w:r>
      <w:r w:rsidR="005570A0" w:rsidRPr="7E4EA285">
        <w:rPr>
          <w:rFonts w:cs="Arial"/>
        </w:rPr>
        <w:t>unsustainably</w:t>
      </w:r>
      <w:r w:rsidR="0074030B">
        <w:rPr>
          <w:rFonts w:cs="Arial"/>
        </w:rPr>
        <w:t xml:space="preserve">. </w:t>
      </w:r>
      <w:r w:rsidR="00806C56" w:rsidRPr="7E4EA285">
        <w:rPr>
          <w:rFonts w:cs="Arial"/>
        </w:rPr>
        <w:t xml:space="preserve">Financial reporting obligations </w:t>
      </w:r>
      <w:r w:rsidR="00B3688A" w:rsidRPr="7E4EA285">
        <w:rPr>
          <w:rFonts w:cs="Arial"/>
        </w:rPr>
        <w:t>vary depending on</w:t>
      </w:r>
      <w:r w:rsidR="0024438E" w:rsidRPr="7E4EA285">
        <w:rPr>
          <w:rFonts w:cs="Arial"/>
        </w:rPr>
        <w:t xml:space="preserve"> the</w:t>
      </w:r>
      <w:r w:rsidR="00541FF8" w:rsidRPr="7E4EA285">
        <w:rPr>
          <w:rFonts w:cs="Arial"/>
        </w:rPr>
        <w:t xml:space="preserve"> </w:t>
      </w:r>
      <w:r w:rsidR="00066511" w:rsidRPr="7E4EA285">
        <w:rPr>
          <w:rFonts w:cs="Arial"/>
        </w:rPr>
        <w:t>licensee</w:t>
      </w:r>
      <w:r w:rsidR="009A5F1B" w:rsidRPr="7E4EA285">
        <w:rPr>
          <w:rFonts w:cs="Arial"/>
        </w:rPr>
        <w:t>’</w:t>
      </w:r>
      <w:r w:rsidR="00066511" w:rsidRPr="7E4EA285">
        <w:rPr>
          <w:rFonts w:cs="Arial"/>
        </w:rPr>
        <w:t>s financial</w:t>
      </w:r>
      <w:r w:rsidR="006C4816" w:rsidRPr="7E4EA285">
        <w:rPr>
          <w:rFonts w:cs="Arial"/>
        </w:rPr>
        <w:t xml:space="preserve"> category</w:t>
      </w:r>
      <w:r w:rsidR="00924EC3">
        <w:rPr>
          <w:rFonts w:cs="Arial"/>
        </w:rPr>
        <w:t>.</w:t>
      </w:r>
    </w:p>
    <w:p w14:paraId="1D721B04" w14:textId="7DDB2EE7" w:rsidR="00A72718" w:rsidRDefault="00046988" w:rsidP="00AB3CF2">
      <w:pPr>
        <w:spacing w:before="120" w:after="120"/>
        <w:rPr>
          <w:rFonts w:cs="Arial"/>
        </w:rPr>
      </w:pPr>
      <w:r w:rsidRPr="004317FF">
        <w:rPr>
          <w:rFonts w:cs="Arial"/>
        </w:rPr>
        <w:t>In</w:t>
      </w:r>
      <w:r w:rsidR="0052042E" w:rsidRPr="004317FF">
        <w:rPr>
          <w:rFonts w:cs="Arial"/>
        </w:rPr>
        <w:t xml:space="preserve"> 2024–25</w:t>
      </w:r>
      <w:r w:rsidR="00476818" w:rsidRPr="004317FF">
        <w:rPr>
          <w:rFonts w:cs="Arial"/>
        </w:rPr>
        <w:t xml:space="preserve">, </w:t>
      </w:r>
      <w:r w:rsidR="00FC7E29">
        <w:rPr>
          <w:rFonts w:cs="Arial"/>
        </w:rPr>
        <w:t>99.6</w:t>
      </w:r>
      <w:r w:rsidR="004317FF">
        <w:rPr>
          <w:rFonts w:cs="Arial"/>
        </w:rPr>
        <w:t xml:space="preserve"> per cent</w:t>
      </w:r>
      <w:r w:rsidR="000F63E3">
        <w:rPr>
          <w:rFonts w:cs="Arial"/>
        </w:rPr>
        <w:t xml:space="preserve"> </w:t>
      </w:r>
      <w:r w:rsidR="00B07963" w:rsidRPr="004317FF">
        <w:rPr>
          <w:rFonts w:cs="Arial"/>
        </w:rPr>
        <w:t>of</w:t>
      </w:r>
      <w:r w:rsidR="00476818" w:rsidRPr="004317FF">
        <w:rPr>
          <w:rFonts w:cs="Arial"/>
        </w:rPr>
        <w:t xml:space="preserve"> </w:t>
      </w:r>
      <w:r w:rsidR="009D01BF" w:rsidRPr="004317FF">
        <w:rPr>
          <w:rFonts w:cs="Arial"/>
        </w:rPr>
        <w:t>C</w:t>
      </w:r>
      <w:r w:rsidR="00476818" w:rsidRPr="004317FF">
        <w:rPr>
          <w:rFonts w:cs="Arial"/>
        </w:rPr>
        <w:t>ategory 4</w:t>
      </w:r>
      <w:r w:rsidR="008765BC" w:rsidRPr="004317FF">
        <w:rPr>
          <w:rFonts w:cs="Arial"/>
        </w:rPr>
        <w:t>–</w:t>
      </w:r>
      <w:r w:rsidR="00476818" w:rsidRPr="004317FF">
        <w:rPr>
          <w:rFonts w:cs="Arial"/>
        </w:rPr>
        <w:t xml:space="preserve">7 licensees submitted their annual financial information to the QBCC </w:t>
      </w:r>
      <w:r w:rsidR="003B4335" w:rsidRPr="004317FF">
        <w:rPr>
          <w:rFonts w:cs="Arial"/>
        </w:rPr>
        <w:t>by 31 December 202</w:t>
      </w:r>
      <w:r w:rsidR="008A3F2A" w:rsidRPr="004317FF">
        <w:rPr>
          <w:rFonts w:cs="Arial"/>
        </w:rPr>
        <w:t>4</w:t>
      </w:r>
      <w:r w:rsidR="00476818" w:rsidRPr="004317FF">
        <w:rPr>
          <w:rFonts w:cs="Arial"/>
        </w:rPr>
        <w:t xml:space="preserve">. For </w:t>
      </w:r>
      <w:r w:rsidR="009D01BF" w:rsidRPr="004317FF">
        <w:rPr>
          <w:rFonts w:cs="Arial"/>
        </w:rPr>
        <w:t>C</w:t>
      </w:r>
      <w:r w:rsidR="00476818" w:rsidRPr="004317FF">
        <w:rPr>
          <w:rFonts w:cs="Arial"/>
        </w:rPr>
        <w:t>ategory 1</w:t>
      </w:r>
      <w:r w:rsidR="009F2069" w:rsidRPr="004317FF">
        <w:rPr>
          <w:rFonts w:cs="Arial"/>
        </w:rPr>
        <w:t>–</w:t>
      </w:r>
      <w:r w:rsidR="00476818" w:rsidRPr="004317FF">
        <w:rPr>
          <w:rFonts w:cs="Arial"/>
        </w:rPr>
        <w:t xml:space="preserve">3 licensees, </w:t>
      </w:r>
      <w:r w:rsidR="00780C24" w:rsidRPr="005648A4">
        <w:rPr>
          <w:rFonts w:cs="Arial"/>
        </w:rPr>
        <w:t>9</w:t>
      </w:r>
      <w:r w:rsidR="0020235D">
        <w:rPr>
          <w:rFonts w:cs="Arial"/>
        </w:rPr>
        <w:t>5</w:t>
      </w:r>
      <w:r w:rsidR="005648A4">
        <w:rPr>
          <w:rFonts w:cs="Arial"/>
        </w:rPr>
        <w:t xml:space="preserve"> per cent</w:t>
      </w:r>
      <w:r w:rsidR="00476818" w:rsidRPr="005648A4">
        <w:rPr>
          <w:rFonts w:cs="Arial"/>
        </w:rPr>
        <w:t xml:space="preserve"> </w:t>
      </w:r>
      <w:r w:rsidR="003F2B6F" w:rsidRPr="004317FF">
        <w:rPr>
          <w:rFonts w:cs="Arial"/>
        </w:rPr>
        <w:t xml:space="preserve">met the </w:t>
      </w:r>
      <w:r w:rsidR="009D01BF" w:rsidRPr="004317FF">
        <w:rPr>
          <w:rFonts w:cs="Arial"/>
        </w:rPr>
        <w:t>reporting</w:t>
      </w:r>
      <w:r w:rsidR="00476818" w:rsidRPr="004317FF">
        <w:rPr>
          <w:rFonts w:cs="Arial"/>
        </w:rPr>
        <w:t xml:space="preserve"> </w:t>
      </w:r>
      <w:r w:rsidR="003F2B6F" w:rsidRPr="004317FF">
        <w:rPr>
          <w:rFonts w:cs="Arial"/>
        </w:rPr>
        <w:t>deadline.</w:t>
      </w:r>
      <w:r w:rsidR="00476818" w:rsidRPr="004317FF">
        <w:rPr>
          <w:rFonts w:cs="Arial"/>
        </w:rPr>
        <w:t xml:space="preserve"> </w:t>
      </w:r>
    </w:p>
    <w:p w14:paraId="249FD683" w14:textId="4A2F1FCF" w:rsidR="00476818" w:rsidRPr="004D482E" w:rsidRDefault="00094D6C" w:rsidP="00AB3CF2">
      <w:pPr>
        <w:spacing w:before="120" w:after="120"/>
        <w:rPr>
          <w:rFonts w:cs="Arial"/>
        </w:rPr>
      </w:pPr>
      <w:r w:rsidRPr="004317FF">
        <w:rPr>
          <w:rFonts w:cs="Arial"/>
        </w:rPr>
        <w:t xml:space="preserve">Following the </w:t>
      </w:r>
      <w:r w:rsidR="007F39EA">
        <w:rPr>
          <w:rFonts w:cs="Arial"/>
        </w:rPr>
        <w:t>commencement</w:t>
      </w:r>
      <w:r w:rsidR="007F39EA" w:rsidRPr="0479A358">
        <w:rPr>
          <w:rFonts w:cs="Arial"/>
        </w:rPr>
        <w:t xml:space="preserve"> </w:t>
      </w:r>
      <w:r w:rsidR="00B00778" w:rsidRPr="004317FF">
        <w:rPr>
          <w:rFonts w:cs="Arial"/>
        </w:rPr>
        <w:t>of the</w:t>
      </w:r>
      <w:r w:rsidR="00504C22" w:rsidRPr="004317FF">
        <w:rPr>
          <w:rFonts w:cs="Arial"/>
        </w:rPr>
        <w:t xml:space="preserve"> </w:t>
      </w:r>
      <w:r w:rsidR="00E97C94" w:rsidRPr="00A57D9E">
        <w:rPr>
          <w:rFonts w:cs="Arial"/>
          <w:i/>
        </w:rPr>
        <w:t xml:space="preserve">Building </w:t>
      </w:r>
      <w:r w:rsidR="007F39EA" w:rsidRPr="00A57D9E">
        <w:rPr>
          <w:rFonts w:cs="Arial"/>
          <w:i/>
          <w:iCs/>
        </w:rPr>
        <w:t xml:space="preserve">and </w:t>
      </w:r>
      <w:r w:rsidR="00AC14B0" w:rsidRPr="00A57D9E">
        <w:rPr>
          <w:rFonts w:cs="Arial"/>
          <w:i/>
          <w:iCs/>
        </w:rPr>
        <w:t>O</w:t>
      </w:r>
      <w:r w:rsidR="007F39EA" w:rsidRPr="00A57D9E">
        <w:rPr>
          <w:rFonts w:cs="Arial"/>
          <w:i/>
          <w:iCs/>
        </w:rPr>
        <w:t xml:space="preserve">ther </w:t>
      </w:r>
      <w:r w:rsidR="00AC14B0" w:rsidRPr="00A57D9E">
        <w:rPr>
          <w:rFonts w:cs="Arial"/>
          <w:i/>
          <w:iCs/>
        </w:rPr>
        <w:t>Legislation Amendment Regulation</w:t>
      </w:r>
      <w:r w:rsidR="00514BC4" w:rsidRPr="00A57D9E">
        <w:rPr>
          <w:rFonts w:cs="Arial"/>
          <w:i/>
          <w:iCs/>
        </w:rPr>
        <w:t xml:space="preserve"> 2025</w:t>
      </w:r>
      <w:r w:rsidR="00AC14B0">
        <w:rPr>
          <w:rFonts w:cs="Arial"/>
        </w:rPr>
        <w:t xml:space="preserve"> </w:t>
      </w:r>
      <w:r w:rsidR="00B00778" w:rsidRPr="004317FF">
        <w:rPr>
          <w:rFonts w:cs="Arial"/>
        </w:rPr>
        <w:t>in March 2025</w:t>
      </w:r>
      <w:r w:rsidR="00710118">
        <w:rPr>
          <w:rFonts w:cs="Arial"/>
        </w:rPr>
        <w:t xml:space="preserve"> as part of the </w:t>
      </w:r>
      <w:r w:rsidR="00710118" w:rsidRPr="00710118">
        <w:rPr>
          <w:rFonts w:cs="Arial"/>
        </w:rPr>
        <w:t>Building Reg Reno</w:t>
      </w:r>
      <w:r w:rsidR="0073613C" w:rsidRPr="004317FF">
        <w:rPr>
          <w:rFonts w:cs="Arial"/>
        </w:rPr>
        <w:t xml:space="preserve">, </w:t>
      </w:r>
      <w:r w:rsidR="00F95D69">
        <w:rPr>
          <w:rFonts w:cs="Arial"/>
        </w:rPr>
        <w:t>annual</w:t>
      </w:r>
      <w:r w:rsidR="00F95D69" w:rsidRPr="004317FF">
        <w:rPr>
          <w:rFonts w:cs="Arial"/>
        </w:rPr>
        <w:t xml:space="preserve"> </w:t>
      </w:r>
      <w:r w:rsidR="00E36E51" w:rsidRPr="004317FF">
        <w:rPr>
          <w:rFonts w:cs="Arial"/>
        </w:rPr>
        <w:t xml:space="preserve">reporting requirements </w:t>
      </w:r>
      <w:r w:rsidR="006F4688" w:rsidRPr="004317FF">
        <w:rPr>
          <w:rFonts w:cs="Arial"/>
        </w:rPr>
        <w:t>were removed</w:t>
      </w:r>
      <w:r w:rsidR="001333D0" w:rsidRPr="004317FF">
        <w:rPr>
          <w:rFonts w:cs="Arial"/>
        </w:rPr>
        <w:t xml:space="preserve"> for </w:t>
      </w:r>
      <w:r w:rsidR="00406DCD" w:rsidRPr="00406DCD">
        <w:rPr>
          <w:rFonts w:cs="Arial"/>
        </w:rPr>
        <w:t>Self</w:t>
      </w:r>
      <w:r w:rsidR="0055607B" w:rsidRPr="0479A358">
        <w:rPr>
          <w:rFonts w:cs="Arial"/>
        </w:rPr>
        <w:t>-</w:t>
      </w:r>
      <w:r w:rsidR="00406DCD" w:rsidRPr="00406DCD">
        <w:rPr>
          <w:rFonts w:cs="Arial"/>
        </w:rPr>
        <w:t>Certifying Category</w:t>
      </w:r>
      <w:r w:rsidR="00406DCD">
        <w:rPr>
          <w:rFonts w:cs="Arial"/>
        </w:rPr>
        <w:t xml:space="preserve"> </w:t>
      </w:r>
      <w:r w:rsidR="00FD4A6C">
        <w:rPr>
          <w:rFonts w:cs="Arial"/>
        </w:rPr>
        <w:t xml:space="preserve">(SC) </w:t>
      </w:r>
      <w:r w:rsidR="00406DCD">
        <w:rPr>
          <w:rFonts w:cs="Arial"/>
        </w:rPr>
        <w:t>1</w:t>
      </w:r>
      <w:r w:rsidR="001333D0" w:rsidRPr="004317FF">
        <w:rPr>
          <w:rFonts w:cs="Arial"/>
        </w:rPr>
        <w:t xml:space="preserve"> and SC2 </w:t>
      </w:r>
      <w:r w:rsidR="00F34D8C" w:rsidRPr="004317FF">
        <w:rPr>
          <w:rFonts w:cs="Arial"/>
        </w:rPr>
        <w:t xml:space="preserve">individual </w:t>
      </w:r>
      <w:r w:rsidR="001333D0" w:rsidRPr="004317FF">
        <w:rPr>
          <w:rFonts w:cs="Arial"/>
        </w:rPr>
        <w:t>licensees</w:t>
      </w:r>
      <w:r w:rsidR="00B867E5" w:rsidRPr="004317FF">
        <w:rPr>
          <w:rFonts w:cs="Arial"/>
        </w:rPr>
        <w:t xml:space="preserve">. As </w:t>
      </w:r>
      <w:r w:rsidR="00E33071" w:rsidRPr="004317FF">
        <w:rPr>
          <w:rFonts w:cs="Arial"/>
        </w:rPr>
        <w:t>a result</w:t>
      </w:r>
      <w:r w:rsidR="00B867E5" w:rsidRPr="004317FF">
        <w:rPr>
          <w:rFonts w:cs="Arial"/>
        </w:rPr>
        <w:t xml:space="preserve">, </w:t>
      </w:r>
      <w:r w:rsidR="00D06B54">
        <w:rPr>
          <w:rFonts w:cs="Arial"/>
        </w:rPr>
        <w:t xml:space="preserve">the </w:t>
      </w:r>
      <w:r w:rsidR="004048A9" w:rsidRPr="004048A9">
        <w:rPr>
          <w:rFonts w:cs="Arial"/>
        </w:rPr>
        <w:t>administrative burden</w:t>
      </w:r>
      <w:r w:rsidR="004048A9">
        <w:rPr>
          <w:rFonts w:cs="Arial"/>
        </w:rPr>
        <w:t xml:space="preserve"> has been </w:t>
      </w:r>
      <w:r w:rsidR="00001C27">
        <w:rPr>
          <w:rFonts w:cs="Arial"/>
        </w:rPr>
        <w:t>eased</w:t>
      </w:r>
      <w:r w:rsidR="005D473A">
        <w:rPr>
          <w:rFonts w:cs="Arial"/>
        </w:rPr>
        <w:t xml:space="preserve"> </w:t>
      </w:r>
      <w:r w:rsidR="00153036">
        <w:rPr>
          <w:rFonts w:cs="Arial"/>
        </w:rPr>
        <w:t>for</w:t>
      </w:r>
      <w:r w:rsidR="004048A9" w:rsidRPr="004048A9">
        <w:rPr>
          <w:rFonts w:cs="Arial"/>
        </w:rPr>
        <w:t xml:space="preserve"> </w:t>
      </w:r>
      <w:r w:rsidR="00B867E5" w:rsidRPr="004317FF">
        <w:rPr>
          <w:rFonts w:cs="Arial"/>
        </w:rPr>
        <w:t xml:space="preserve">approximately </w:t>
      </w:r>
      <w:r w:rsidR="00B867E5" w:rsidRPr="005648A4">
        <w:rPr>
          <w:rFonts w:cs="Arial"/>
        </w:rPr>
        <w:t>50,000</w:t>
      </w:r>
      <w:r w:rsidR="00B867E5" w:rsidRPr="004317FF">
        <w:rPr>
          <w:rFonts w:cs="Arial"/>
        </w:rPr>
        <w:t xml:space="preserve"> </w:t>
      </w:r>
      <w:r w:rsidR="00C02384">
        <w:rPr>
          <w:rFonts w:cs="Arial"/>
        </w:rPr>
        <w:t xml:space="preserve">low-risk </w:t>
      </w:r>
      <w:r w:rsidR="00B867E5" w:rsidRPr="004317FF">
        <w:rPr>
          <w:rFonts w:cs="Arial"/>
        </w:rPr>
        <w:t xml:space="preserve">licensees </w:t>
      </w:r>
      <w:r w:rsidR="009B17B9">
        <w:rPr>
          <w:rFonts w:cs="Arial"/>
        </w:rPr>
        <w:t xml:space="preserve">who </w:t>
      </w:r>
      <w:r w:rsidR="00B867E5" w:rsidRPr="004317FF">
        <w:rPr>
          <w:rFonts w:cs="Arial"/>
        </w:rPr>
        <w:t xml:space="preserve">no longer </w:t>
      </w:r>
      <w:r w:rsidR="000F3B32">
        <w:rPr>
          <w:rFonts w:cs="Arial"/>
        </w:rPr>
        <w:t>need</w:t>
      </w:r>
      <w:r w:rsidR="000F3B32" w:rsidRPr="004317FF">
        <w:rPr>
          <w:rFonts w:cs="Arial"/>
        </w:rPr>
        <w:t xml:space="preserve"> </w:t>
      </w:r>
      <w:r w:rsidR="00B867E5" w:rsidRPr="004317FF">
        <w:rPr>
          <w:rFonts w:cs="Arial"/>
        </w:rPr>
        <w:t xml:space="preserve">to </w:t>
      </w:r>
      <w:r w:rsidR="00E33071" w:rsidRPr="004317FF">
        <w:rPr>
          <w:rFonts w:cs="Arial"/>
        </w:rPr>
        <w:t>submit</w:t>
      </w:r>
      <w:r w:rsidR="00B867E5" w:rsidRPr="004317FF">
        <w:rPr>
          <w:rFonts w:cs="Arial"/>
        </w:rPr>
        <w:t xml:space="preserve"> annual financial reports to the QBCC.</w:t>
      </w:r>
      <w:r w:rsidR="00504C22" w:rsidRPr="7E4EA285">
        <w:rPr>
          <w:rFonts w:cs="Arial"/>
        </w:rPr>
        <w:t xml:space="preserve"> </w:t>
      </w:r>
      <w:r w:rsidR="00476818" w:rsidRPr="7E4EA285">
        <w:rPr>
          <w:rFonts w:cs="Arial"/>
        </w:rPr>
        <w:t xml:space="preserve"> </w:t>
      </w:r>
    </w:p>
    <w:p w14:paraId="517A68B3" w14:textId="170AEE8B" w:rsidR="00640FD4" w:rsidRDefault="00CF366B" w:rsidP="00AB3CF2">
      <w:pPr>
        <w:spacing w:before="120" w:after="120"/>
        <w:rPr>
          <w:rFonts w:cs="Arial"/>
        </w:rPr>
      </w:pPr>
      <w:r w:rsidRPr="7E4EA285">
        <w:rPr>
          <w:rFonts w:cs="Arial"/>
        </w:rPr>
        <w:t xml:space="preserve">Where </w:t>
      </w:r>
      <w:r w:rsidR="00FE398C" w:rsidRPr="7E4EA285">
        <w:rPr>
          <w:rFonts w:cs="Arial"/>
        </w:rPr>
        <w:t>appropriate</w:t>
      </w:r>
      <w:r w:rsidRPr="7E4EA285">
        <w:rPr>
          <w:rFonts w:cs="Arial"/>
        </w:rPr>
        <w:t xml:space="preserve">, the QBCC takes licensing or regulatory action to address </w:t>
      </w:r>
      <w:r w:rsidR="001A3857" w:rsidRPr="7E4EA285">
        <w:rPr>
          <w:rFonts w:cs="Arial"/>
        </w:rPr>
        <w:t xml:space="preserve">financial </w:t>
      </w:r>
      <w:r w:rsidRPr="7E4EA285">
        <w:rPr>
          <w:rFonts w:cs="Arial"/>
        </w:rPr>
        <w:t>risks.</w:t>
      </w:r>
      <w:r w:rsidR="00D81940" w:rsidRPr="7E4EA285">
        <w:rPr>
          <w:rFonts w:cs="Arial"/>
        </w:rPr>
        <w:t xml:space="preserve"> </w:t>
      </w:r>
      <w:r w:rsidR="002031AF">
        <w:rPr>
          <w:rFonts w:cs="Arial"/>
        </w:rPr>
        <w:t>P</w:t>
      </w:r>
      <w:r w:rsidR="00767058" w:rsidRPr="00767058">
        <w:rPr>
          <w:rFonts w:cs="Arial"/>
        </w:rPr>
        <w:t>riorit</w:t>
      </w:r>
      <w:r w:rsidR="005E7066">
        <w:rPr>
          <w:rFonts w:cs="Arial"/>
        </w:rPr>
        <w:t xml:space="preserve">y is given to </w:t>
      </w:r>
      <w:r w:rsidR="00767058" w:rsidRPr="00767058">
        <w:rPr>
          <w:rFonts w:cs="Arial"/>
        </w:rPr>
        <w:t xml:space="preserve">matters </w:t>
      </w:r>
      <w:r w:rsidR="005E7066">
        <w:rPr>
          <w:rFonts w:cs="Arial"/>
        </w:rPr>
        <w:t xml:space="preserve">that present </w:t>
      </w:r>
      <w:r w:rsidR="00767058" w:rsidRPr="00767058">
        <w:rPr>
          <w:rFonts w:cs="Arial"/>
        </w:rPr>
        <w:t>the greatest risk of harm. The QBCC focus</w:t>
      </w:r>
      <w:r w:rsidR="007D24A5">
        <w:rPr>
          <w:rFonts w:cs="Arial"/>
        </w:rPr>
        <w:t>es</w:t>
      </w:r>
      <w:r w:rsidR="00767058" w:rsidRPr="00767058">
        <w:rPr>
          <w:rFonts w:cs="Arial"/>
        </w:rPr>
        <w:t xml:space="preserve"> </w:t>
      </w:r>
      <w:r w:rsidR="0001158C">
        <w:rPr>
          <w:rFonts w:cs="Arial"/>
        </w:rPr>
        <w:t>on</w:t>
      </w:r>
      <w:r w:rsidR="00767058" w:rsidRPr="00767058">
        <w:rPr>
          <w:rFonts w:cs="Arial"/>
        </w:rPr>
        <w:t xml:space="preserve"> apply</w:t>
      </w:r>
      <w:r w:rsidR="0001158C">
        <w:rPr>
          <w:rFonts w:cs="Arial"/>
        </w:rPr>
        <w:t>ing</w:t>
      </w:r>
      <w:r w:rsidR="00767058" w:rsidRPr="00767058">
        <w:rPr>
          <w:rFonts w:cs="Arial"/>
        </w:rPr>
        <w:t xml:space="preserve"> a balanced regulatory response that considers education, engagement, monitoring</w:t>
      </w:r>
      <w:r w:rsidR="00A36329">
        <w:rPr>
          <w:rFonts w:cs="Arial"/>
        </w:rPr>
        <w:t xml:space="preserve"> </w:t>
      </w:r>
      <w:r w:rsidR="00767058" w:rsidRPr="00767058">
        <w:rPr>
          <w:rFonts w:cs="Arial"/>
        </w:rPr>
        <w:t>and enforcement actions to ensure compliance</w:t>
      </w:r>
      <w:r w:rsidR="008A6D8A" w:rsidRPr="7E4EA285">
        <w:rPr>
          <w:rFonts w:cs="Arial"/>
        </w:rPr>
        <w:t xml:space="preserve">. </w:t>
      </w:r>
      <w:r w:rsidR="00804B8C">
        <w:rPr>
          <w:rFonts w:cs="Arial"/>
        </w:rPr>
        <w:t>One such regulatory response is taking d</w:t>
      </w:r>
      <w:r w:rsidR="000B6658" w:rsidRPr="7E4EA285">
        <w:rPr>
          <w:rFonts w:cs="Arial"/>
        </w:rPr>
        <w:t xml:space="preserve">isciplinary </w:t>
      </w:r>
      <w:r w:rsidR="00E5386D">
        <w:rPr>
          <w:rFonts w:cs="Arial"/>
        </w:rPr>
        <w:t>action</w:t>
      </w:r>
      <w:r w:rsidR="004F2CB2" w:rsidRPr="7E4EA285">
        <w:rPr>
          <w:rFonts w:cs="Arial"/>
        </w:rPr>
        <w:t xml:space="preserve"> </w:t>
      </w:r>
      <w:r w:rsidR="00804B8C">
        <w:rPr>
          <w:rFonts w:cs="Arial"/>
        </w:rPr>
        <w:t xml:space="preserve">under </w:t>
      </w:r>
      <w:r w:rsidR="00425969">
        <w:rPr>
          <w:rFonts w:cs="Arial"/>
        </w:rPr>
        <w:t>Part 6A</w:t>
      </w:r>
      <w:r w:rsidR="00804B8C">
        <w:rPr>
          <w:rFonts w:cs="Arial"/>
        </w:rPr>
        <w:t xml:space="preserve"> of the QBCC Act</w:t>
      </w:r>
      <w:r w:rsidR="00D27C0D">
        <w:rPr>
          <w:rFonts w:cs="Arial"/>
        </w:rPr>
        <w:t>, which is</w:t>
      </w:r>
      <w:r w:rsidR="004F2CB2" w:rsidRPr="7E4EA285">
        <w:rPr>
          <w:rFonts w:cs="Arial"/>
        </w:rPr>
        <w:t xml:space="preserve"> determined </w:t>
      </w:r>
      <w:r w:rsidR="002770D2">
        <w:rPr>
          <w:rFonts w:cs="Arial"/>
        </w:rPr>
        <w:t>by assessing</w:t>
      </w:r>
      <w:r w:rsidR="004F2CB2" w:rsidRPr="7E4EA285">
        <w:rPr>
          <w:rFonts w:cs="Arial"/>
        </w:rPr>
        <w:t xml:space="preserve"> the licensee</w:t>
      </w:r>
      <w:r w:rsidR="0001158C">
        <w:rPr>
          <w:rFonts w:cs="Arial"/>
        </w:rPr>
        <w:t>’</w:t>
      </w:r>
      <w:r w:rsidR="004F2CB2" w:rsidRPr="7E4EA285">
        <w:rPr>
          <w:rFonts w:cs="Arial"/>
        </w:rPr>
        <w:t xml:space="preserve">s </w:t>
      </w:r>
      <w:r w:rsidR="002770D2">
        <w:rPr>
          <w:rFonts w:cs="Arial"/>
        </w:rPr>
        <w:t xml:space="preserve">past </w:t>
      </w:r>
      <w:r w:rsidR="002632AB" w:rsidRPr="7E4EA285">
        <w:rPr>
          <w:rFonts w:cs="Arial"/>
        </w:rPr>
        <w:t xml:space="preserve">compliance </w:t>
      </w:r>
      <w:r w:rsidR="004F2CB2" w:rsidRPr="7E4EA285">
        <w:rPr>
          <w:rFonts w:cs="Arial"/>
        </w:rPr>
        <w:t xml:space="preserve">with </w:t>
      </w:r>
      <w:r w:rsidR="00D97447" w:rsidRPr="7E4EA285">
        <w:rPr>
          <w:rFonts w:cs="Arial"/>
        </w:rPr>
        <w:t>a</w:t>
      </w:r>
      <w:r w:rsidR="004F2CB2" w:rsidRPr="7E4EA285">
        <w:rPr>
          <w:rFonts w:cs="Arial"/>
        </w:rPr>
        <w:t xml:space="preserve">nnual </w:t>
      </w:r>
      <w:r w:rsidR="000C5E08">
        <w:rPr>
          <w:rFonts w:cs="Arial"/>
        </w:rPr>
        <w:t xml:space="preserve">financial </w:t>
      </w:r>
      <w:r w:rsidR="004F2CB2" w:rsidRPr="7E4EA285">
        <w:rPr>
          <w:rFonts w:cs="Arial"/>
        </w:rPr>
        <w:t>reporting</w:t>
      </w:r>
      <w:r w:rsidR="00E77963" w:rsidRPr="7E4EA285">
        <w:rPr>
          <w:rFonts w:cs="Arial"/>
        </w:rPr>
        <w:t xml:space="preserve"> </w:t>
      </w:r>
      <w:r w:rsidR="00D97447" w:rsidRPr="7E4EA285">
        <w:rPr>
          <w:rFonts w:cs="Arial"/>
        </w:rPr>
        <w:t>obligations and</w:t>
      </w:r>
      <w:r w:rsidR="000B6658" w:rsidRPr="7E4EA285">
        <w:rPr>
          <w:rFonts w:cs="Arial"/>
        </w:rPr>
        <w:t xml:space="preserve"> </w:t>
      </w:r>
      <w:r w:rsidR="006070B5" w:rsidRPr="7E4EA285">
        <w:rPr>
          <w:rFonts w:cs="Arial"/>
        </w:rPr>
        <w:t>may result in</w:t>
      </w:r>
      <w:r w:rsidR="000B6658" w:rsidRPr="7E4EA285">
        <w:rPr>
          <w:rFonts w:cs="Arial"/>
        </w:rPr>
        <w:t xml:space="preserve"> </w:t>
      </w:r>
      <w:r w:rsidR="0092018C" w:rsidRPr="7E4EA285">
        <w:rPr>
          <w:rFonts w:cs="Arial"/>
        </w:rPr>
        <w:t xml:space="preserve">one of the following </w:t>
      </w:r>
      <w:r w:rsidR="0096453A" w:rsidRPr="7E4EA285">
        <w:rPr>
          <w:rFonts w:cs="Arial"/>
        </w:rPr>
        <w:t xml:space="preserve">decision </w:t>
      </w:r>
      <w:r w:rsidR="00F77ACA" w:rsidRPr="7E4EA285">
        <w:rPr>
          <w:rFonts w:cs="Arial"/>
        </w:rPr>
        <w:t>out</w:t>
      </w:r>
      <w:r w:rsidR="00C23FAF" w:rsidRPr="7E4EA285">
        <w:rPr>
          <w:rFonts w:cs="Arial"/>
        </w:rPr>
        <w:t>c</w:t>
      </w:r>
      <w:r w:rsidR="00F77ACA" w:rsidRPr="7E4EA285">
        <w:rPr>
          <w:rFonts w:cs="Arial"/>
        </w:rPr>
        <w:t>omes</w:t>
      </w:r>
      <w:r w:rsidR="0092018C" w:rsidRPr="7E4EA285">
        <w:rPr>
          <w:rFonts w:cs="Arial"/>
        </w:rPr>
        <w:t>:</w:t>
      </w:r>
    </w:p>
    <w:p w14:paraId="37295BB5" w14:textId="7E5BE2CE" w:rsidR="0092018C" w:rsidRDefault="0092018C" w:rsidP="00BD69F7">
      <w:pPr>
        <w:pStyle w:val="ListParagraph"/>
        <w:numPr>
          <w:ilvl w:val="0"/>
          <w:numId w:val="25"/>
        </w:numPr>
        <w:spacing w:before="120" w:after="120"/>
        <w:ind w:left="714" w:hanging="357"/>
        <w:contextualSpacing w:val="0"/>
        <w:rPr>
          <w:rFonts w:cs="Arial"/>
        </w:rPr>
      </w:pPr>
      <w:r w:rsidRPr="7E4EA285">
        <w:rPr>
          <w:rFonts w:cs="Arial"/>
          <w:b/>
          <w:bCs/>
        </w:rPr>
        <w:t>I</w:t>
      </w:r>
      <w:r w:rsidR="000B6658" w:rsidRPr="7E4EA285">
        <w:rPr>
          <w:rFonts w:cs="Arial"/>
          <w:b/>
          <w:bCs/>
        </w:rPr>
        <w:t>mposition</w:t>
      </w:r>
      <w:r w:rsidR="000B6658" w:rsidRPr="7E4EA285">
        <w:rPr>
          <w:rFonts w:cs="Arial"/>
          <w:b/>
        </w:rPr>
        <w:t xml:space="preserve"> of condition</w:t>
      </w:r>
      <w:r w:rsidR="00720D45">
        <w:rPr>
          <w:rFonts w:cs="Arial"/>
          <w:b/>
        </w:rPr>
        <w:t>:</w:t>
      </w:r>
      <w:r w:rsidRPr="7E4EA285">
        <w:rPr>
          <w:rFonts w:cs="Arial"/>
        </w:rPr>
        <w:t xml:space="preserve"> </w:t>
      </w:r>
      <w:r w:rsidR="0063578C" w:rsidRPr="7E4EA285">
        <w:rPr>
          <w:rFonts w:cs="Arial"/>
        </w:rPr>
        <w:t xml:space="preserve">A condition is added to the </w:t>
      </w:r>
      <w:r w:rsidR="00540144" w:rsidRPr="7E4EA285">
        <w:rPr>
          <w:rFonts w:cs="Arial"/>
        </w:rPr>
        <w:t xml:space="preserve">licence requiring the licensee to meet </w:t>
      </w:r>
      <w:r w:rsidR="00387741" w:rsidRPr="7E4EA285">
        <w:rPr>
          <w:rFonts w:cs="Arial"/>
        </w:rPr>
        <w:t xml:space="preserve">specific </w:t>
      </w:r>
      <w:r w:rsidR="00E4122A" w:rsidRPr="7E4EA285">
        <w:rPr>
          <w:rFonts w:cs="Arial"/>
        </w:rPr>
        <w:t>obligations within a defined timeframe</w:t>
      </w:r>
      <w:r w:rsidR="00315A76" w:rsidRPr="7E4EA285">
        <w:rPr>
          <w:rFonts w:cs="Arial"/>
        </w:rPr>
        <w:t>.</w:t>
      </w:r>
    </w:p>
    <w:p w14:paraId="6BACAC08" w14:textId="2618E256" w:rsidR="0092018C" w:rsidRDefault="0092018C" w:rsidP="00BD69F7">
      <w:pPr>
        <w:pStyle w:val="ListParagraph"/>
        <w:numPr>
          <w:ilvl w:val="0"/>
          <w:numId w:val="25"/>
        </w:numPr>
        <w:spacing w:before="120" w:after="120"/>
        <w:ind w:left="714" w:hanging="357"/>
        <w:contextualSpacing w:val="0"/>
        <w:rPr>
          <w:rFonts w:cs="Arial"/>
        </w:rPr>
      </w:pPr>
      <w:r w:rsidRPr="7E4EA285">
        <w:rPr>
          <w:rFonts w:cs="Arial"/>
          <w:b/>
          <w:bCs/>
        </w:rPr>
        <w:t>S</w:t>
      </w:r>
      <w:r w:rsidR="000B6658" w:rsidRPr="7E4EA285">
        <w:rPr>
          <w:rFonts w:cs="Arial"/>
          <w:b/>
          <w:bCs/>
        </w:rPr>
        <w:t>uspension</w:t>
      </w:r>
      <w:r w:rsidR="00720D45">
        <w:rPr>
          <w:rFonts w:cs="Arial"/>
          <w:b/>
          <w:bCs/>
        </w:rPr>
        <w:t>:</w:t>
      </w:r>
      <w:r w:rsidRPr="7E4EA285">
        <w:rPr>
          <w:rFonts w:cs="Arial"/>
        </w:rPr>
        <w:t xml:space="preserve"> </w:t>
      </w:r>
      <w:r w:rsidR="00C71508" w:rsidRPr="7E4EA285">
        <w:rPr>
          <w:rFonts w:cs="Arial"/>
        </w:rPr>
        <w:t xml:space="preserve">The </w:t>
      </w:r>
      <w:r w:rsidR="00581524" w:rsidRPr="7E4EA285">
        <w:rPr>
          <w:rFonts w:cs="Arial"/>
        </w:rPr>
        <w:t>licence is suspended, restricting the licensee from undertaking work until co</w:t>
      </w:r>
      <w:r w:rsidR="00315A76" w:rsidRPr="7E4EA285">
        <w:rPr>
          <w:rFonts w:cs="Arial"/>
        </w:rPr>
        <w:t xml:space="preserve">mpliance is achieved. </w:t>
      </w:r>
    </w:p>
    <w:p w14:paraId="344C4F0E" w14:textId="23AFCD7E" w:rsidR="0092018C" w:rsidRPr="00AB3CF2" w:rsidRDefault="0092018C" w:rsidP="00BD69F7">
      <w:pPr>
        <w:pStyle w:val="ListParagraph"/>
        <w:numPr>
          <w:ilvl w:val="0"/>
          <w:numId w:val="25"/>
        </w:numPr>
        <w:spacing w:before="120" w:after="120"/>
        <w:ind w:left="714" w:hanging="357"/>
        <w:contextualSpacing w:val="0"/>
        <w:rPr>
          <w:rFonts w:cs="Arial"/>
        </w:rPr>
      </w:pPr>
      <w:r w:rsidRPr="7E4EA285">
        <w:rPr>
          <w:rFonts w:cs="Arial"/>
          <w:b/>
          <w:bCs/>
        </w:rPr>
        <w:t>C</w:t>
      </w:r>
      <w:r w:rsidR="000B6658" w:rsidRPr="7E4EA285">
        <w:rPr>
          <w:rFonts w:cs="Arial"/>
          <w:b/>
          <w:bCs/>
        </w:rPr>
        <w:t>ancellation</w:t>
      </w:r>
      <w:r w:rsidR="00720D45">
        <w:rPr>
          <w:rFonts w:cs="Arial"/>
          <w:b/>
          <w:bCs/>
        </w:rPr>
        <w:t>:</w:t>
      </w:r>
      <w:r w:rsidRPr="7E4EA285">
        <w:rPr>
          <w:rFonts w:cs="Arial"/>
        </w:rPr>
        <w:t xml:space="preserve"> </w:t>
      </w:r>
      <w:r w:rsidR="003A3DC6" w:rsidRPr="7E4EA285">
        <w:rPr>
          <w:rFonts w:cs="Arial"/>
        </w:rPr>
        <w:t>The licen</w:t>
      </w:r>
      <w:r w:rsidR="00AC2F45">
        <w:rPr>
          <w:rFonts w:cs="Arial"/>
        </w:rPr>
        <w:t>c</w:t>
      </w:r>
      <w:r w:rsidR="003A3DC6" w:rsidRPr="7E4EA285">
        <w:rPr>
          <w:rFonts w:cs="Arial"/>
        </w:rPr>
        <w:t xml:space="preserve">e is permanently cancelled due to </w:t>
      </w:r>
      <w:r w:rsidR="004351F5">
        <w:rPr>
          <w:rFonts w:cs="Arial"/>
        </w:rPr>
        <w:t>repeated</w:t>
      </w:r>
      <w:r w:rsidR="003A3DC6" w:rsidRPr="7E4EA285">
        <w:rPr>
          <w:rFonts w:cs="Arial"/>
        </w:rPr>
        <w:t xml:space="preserve"> or serious non-compliance</w:t>
      </w:r>
      <w:r w:rsidR="00A043D3" w:rsidRPr="7E4EA285">
        <w:rPr>
          <w:rFonts w:cs="Arial"/>
        </w:rPr>
        <w:t>.</w:t>
      </w:r>
    </w:p>
    <w:p w14:paraId="2F2F27E3" w14:textId="17300047" w:rsidR="0054075A" w:rsidRDefault="00195C00" w:rsidP="00AB3CF2">
      <w:pPr>
        <w:spacing w:before="120" w:after="120"/>
        <w:rPr>
          <w:rFonts w:cs="Arial"/>
        </w:rPr>
      </w:pPr>
      <w:r>
        <w:rPr>
          <w:rFonts w:cs="Arial"/>
        </w:rPr>
        <w:t xml:space="preserve">The QBCC takes </w:t>
      </w:r>
      <w:r w:rsidR="009C6C9A">
        <w:rPr>
          <w:rFonts w:cs="Arial"/>
        </w:rPr>
        <w:t xml:space="preserve">disciplinary </w:t>
      </w:r>
      <w:r>
        <w:rPr>
          <w:rFonts w:cs="Arial"/>
        </w:rPr>
        <w:t>action</w:t>
      </w:r>
      <w:r w:rsidR="00FF58B4">
        <w:rPr>
          <w:rFonts w:cs="Arial"/>
        </w:rPr>
        <w:t>s</w:t>
      </w:r>
      <w:r>
        <w:rPr>
          <w:rFonts w:cs="Arial"/>
        </w:rPr>
        <w:t xml:space="preserve"> </w:t>
      </w:r>
      <w:r w:rsidR="003200E1">
        <w:rPr>
          <w:rFonts w:cs="Arial"/>
        </w:rPr>
        <w:t>according to</w:t>
      </w:r>
      <w:r w:rsidR="003200E1" w:rsidRPr="7E4EA285">
        <w:rPr>
          <w:rFonts w:cs="Arial"/>
        </w:rPr>
        <w:t xml:space="preserve"> </w:t>
      </w:r>
      <w:r w:rsidR="008620D4">
        <w:rPr>
          <w:rFonts w:cs="Arial"/>
        </w:rPr>
        <w:t>procedures</w:t>
      </w:r>
      <w:r w:rsidR="007234F3" w:rsidRPr="7E4EA285">
        <w:rPr>
          <w:rFonts w:cs="Arial"/>
        </w:rPr>
        <w:t xml:space="preserve"> set out in </w:t>
      </w:r>
      <w:r w:rsidR="008444AA" w:rsidRPr="7E4EA285">
        <w:rPr>
          <w:rFonts w:cs="Arial"/>
        </w:rPr>
        <w:t>the QBCC Act</w:t>
      </w:r>
      <w:r w:rsidR="008C58F4">
        <w:rPr>
          <w:rFonts w:cs="Arial"/>
        </w:rPr>
        <w:t>, including</w:t>
      </w:r>
      <w:r w:rsidR="00640FD4" w:rsidRPr="7E4EA285">
        <w:rPr>
          <w:rFonts w:cs="Arial"/>
        </w:rPr>
        <w:t>:</w:t>
      </w:r>
    </w:p>
    <w:p w14:paraId="0CECF443" w14:textId="2A6B22DB" w:rsidR="00640FD4" w:rsidRDefault="00640FD4" w:rsidP="00BD69F7">
      <w:pPr>
        <w:pStyle w:val="ListParagraph"/>
        <w:numPr>
          <w:ilvl w:val="0"/>
          <w:numId w:val="57"/>
        </w:numPr>
        <w:spacing w:before="120" w:after="120"/>
        <w:contextualSpacing w:val="0"/>
        <w:rPr>
          <w:rFonts w:cs="Arial"/>
        </w:rPr>
      </w:pPr>
      <w:r w:rsidRPr="7E4EA285">
        <w:rPr>
          <w:rFonts w:cs="Arial"/>
          <w:b/>
        </w:rPr>
        <w:t>Proposed disciplinary action</w:t>
      </w:r>
      <w:r w:rsidR="00720D45">
        <w:rPr>
          <w:rFonts w:cs="Arial"/>
          <w:b/>
        </w:rPr>
        <w:t>:</w:t>
      </w:r>
      <w:r w:rsidR="00443A32" w:rsidRPr="7E4EA285">
        <w:rPr>
          <w:rFonts w:cs="Arial"/>
        </w:rPr>
        <w:t xml:space="preserve"> </w:t>
      </w:r>
      <w:r w:rsidR="00DC372F" w:rsidRPr="7E4EA285">
        <w:rPr>
          <w:rFonts w:cs="Arial"/>
        </w:rPr>
        <w:t>T</w:t>
      </w:r>
      <w:r w:rsidR="0099124F" w:rsidRPr="7E4EA285">
        <w:rPr>
          <w:rFonts w:cs="Arial"/>
        </w:rPr>
        <w:t xml:space="preserve">he </w:t>
      </w:r>
      <w:r w:rsidR="00DC372F" w:rsidRPr="7E4EA285">
        <w:rPr>
          <w:rFonts w:cs="Arial"/>
        </w:rPr>
        <w:t>QBCC notifie</w:t>
      </w:r>
      <w:r w:rsidR="00866822">
        <w:rPr>
          <w:rFonts w:cs="Arial"/>
        </w:rPr>
        <w:t>s</w:t>
      </w:r>
      <w:r w:rsidR="00DC372F" w:rsidRPr="7E4EA285">
        <w:rPr>
          <w:rFonts w:cs="Arial"/>
        </w:rPr>
        <w:t xml:space="preserve"> </w:t>
      </w:r>
      <w:r w:rsidR="0099124F" w:rsidRPr="7E4EA285">
        <w:rPr>
          <w:rFonts w:cs="Arial"/>
        </w:rPr>
        <w:t xml:space="preserve">the </w:t>
      </w:r>
      <w:r w:rsidR="00DC372F" w:rsidRPr="7E4EA285">
        <w:rPr>
          <w:rFonts w:cs="Arial"/>
        </w:rPr>
        <w:t xml:space="preserve">licensee of the </w:t>
      </w:r>
      <w:r w:rsidR="00CD5234" w:rsidRPr="7E4EA285">
        <w:rPr>
          <w:rFonts w:cs="Arial"/>
        </w:rPr>
        <w:t xml:space="preserve">intended action and provides an opportunity </w:t>
      </w:r>
      <w:r w:rsidR="00AE51BC" w:rsidRPr="7E4EA285">
        <w:rPr>
          <w:rFonts w:cs="Arial"/>
        </w:rPr>
        <w:t xml:space="preserve">for them </w:t>
      </w:r>
      <w:r w:rsidR="00A21696" w:rsidRPr="7E4EA285">
        <w:rPr>
          <w:rFonts w:cs="Arial"/>
        </w:rPr>
        <w:t>to respond and rectify the issue</w:t>
      </w:r>
      <w:r w:rsidR="00293DB9">
        <w:rPr>
          <w:rFonts w:cs="Arial"/>
        </w:rPr>
        <w:t>.</w:t>
      </w:r>
    </w:p>
    <w:p w14:paraId="2019E0C7" w14:textId="6B24FB5B" w:rsidR="00640FD4" w:rsidRDefault="0054075A" w:rsidP="00BD69F7">
      <w:pPr>
        <w:pStyle w:val="ListParagraph"/>
        <w:numPr>
          <w:ilvl w:val="0"/>
          <w:numId w:val="57"/>
        </w:numPr>
        <w:spacing w:before="120" w:after="120"/>
        <w:contextualSpacing w:val="0"/>
        <w:rPr>
          <w:rFonts w:cs="Arial"/>
        </w:rPr>
      </w:pPr>
      <w:r w:rsidRPr="7E4EA285">
        <w:rPr>
          <w:rFonts w:cs="Arial"/>
          <w:b/>
          <w:bCs/>
        </w:rPr>
        <w:t>Disciplinary action decision</w:t>
      </w:r>
      <w:r w:rsidR="00720D45">
        <w:rPr>
          <w:rFonts w:cs="Arial"/>
          <w:b/>
          <w:bCs/>
        </w:rPr>
        <w:t>:</w:t>
      </w:r>
      <w:r w:rsidR="00443A32" w:rsidRPr="7E4EA285">
        <w:rPr>
          <w:rFonts w:cs="Arial"/>
        </w:rPr>
        <w:t xml:space="preserve"> </w:t>
      </w:r>
      <w:r w:rsidR="00581370" w:rsidRPr="7E4EA285">
        <w:rPr>
          <w:rFonts w:cs="Arial"/>
        </w:rPr>
        <w:t xml:space="preserve">A formal decision </w:t>
      </w:r>
      <w:r w:rsidR="003F6E3B" w:rsidRPr="7E4EA285">
        <w:rPr>
          <w:rFonts w:cs="Arial"/>
        </w:rPr>
        <w:t xml:space="preserve">is made </w:t>
      </w:r>
      <w:r w:rsidR="00F23467">
        <w:rPr>
          <w:rFonts w:cs="Arial"/>
        </w:rPr>
        <w:t xml:space="preserve">and communicated to the </w:t>
      </w:r>
      <w:r w:rsidR="00215218">
        <w:rPr>
          <w:rFonts w:cs="Arial"/>
        </w:rPr>
        <w:t>licensee</w:t>
      </w:r>
      <w:r w:rsidR="00293DB9">
        <w:rPr>
          <w:rFonts w:cs="Arial"/>
        </w:rPr>
        <w:t>.</w:t>
      </w:r>
    </w:p>
    <w:p w14:paraId="513C9070" w14:textId="04CBBD0F" w:rsidR="0096453A" w:rsidRPr="00AB3CF2" w:rsidRDefault="0054075A" w:rsidP="00BD69F7">
      <w:pPr>
        <w:pStyle w:val="ListParagraph"/>
        <w:numPr>
          <w:ilvl w:val="0"/>
          <w:numId w:val="57"/>
        </w:numPr>
        <w:spacing w:before="120" w:after="120"/>
        <w:contextualSpacing w:val="0"/>
        <w:rPr>
          <w:rFonts w:cs="Arial"/>
        </w:rPr>
      </w:pPr>
      <w:r w:rsidRPr="7E4EA285">
        <w:rPr>
          <w:rFonts w:cs="Arial"/>
          <w:b/>
        </w:rPr>
        <w:t>Disciplinary decision effected</w:t>
      </w:r>
      <w:r w:rsidR="00720D45">
        <w:rPr>
          <w:rFonts w:cs="Arial"/>
          <w:b/>
        </w:rPr>
        <w:t>:</w:t>
      </w:r>
      <w:r w:rsidR="00443A32" w:rsidRPr="7E4EA285">
        <w:rPr>
          <w:rFonts w:cs="Arial"/>
        </w:rPr>
        <w:t xml:space="preserve"> </w:t>
      </w:r>
      <w:r w:rsidR="0027509E" w:rsidRPr="7E4EA285">
        <w:rPr>
          <w:rFonts w:cs="Arial"/>
        </w:rPr>
        <w:t xml:space="preserve">The </w:t>
      </w:r>
      <w:r w:rsidR="00215218">
        <w:rPr>
          <w:rFonts w:cs="Arial"/>
        </w:rPr>
        <w:t xml:space="preserve">decision </w:t>
      </w:r>
      <w:r w:rsidR="0027509E" w:rsidRPr="7E4EA285">
        <w:rPr>
          <w:rFonts w:cs="Arial"/>
        </w:rPr>
        <w:t>is enforced and reflected on the licensee</w:t>
      </w:r>
      <w:r w:rsidR="00AA13E9" w:rsidRPr="7E4EA285">
        <w:rPr>
          <w:rFonts w:cs="Arial"/>
        </w:rPr>
        <w:t>’s record</w:t>
      </w:r>
      <w:r w:rsidR="00293DB9">
        <w:rPr>
          <w:rFonts w:cs="Arial"/>
        </w:rPr>
        <w:t>.</w:t>
      </w:r>
    </w:p>
    <w:p w14:paraId="3D92B7A4" w14:textId="126BFAB0" w:rsidR="00AD02E8" w:rsidRDefault="00E14E26" w:rsidP="00AB3CF2">
      <w:pPr>
        <w:spacing w:before="120" w:after="120"/>
        <w:rPr>
          <w:rFonts w:cs="Arial"/>
        </w:rPr>
      </w:pPr>
      <w:r>
        <w:rPr>
          <w:rFonts w:cs="Arial"/>
        </w:rPr>
        <w:t>R</w:t>
      </w:r>
      <w:r w:rsidR="00914DFF">
        <w:rPr>
          <w:rFonts w:cs="Arial"/>
        </w:rPr>
        <w:t>egulatory actions delivered by the QBCC</w:t>
      </w:r>
      <w:r w:rsidR="00F31F44" w:rsidRPr="7E4EA285">
        <w:rPr>
          <w:rFonts w:cs="Arial"/>
        </w:rPr>
        <w:t xml:space="preserve"> </w:t>
      </w:r>
      <w:r w:rsidR="007F3D81" w:rsidRPr="7E4EA285">
        <w:rPr>
          <w:rFonts w:cs="Arial"/>
        </w:rPr>
        <w:t>demonstrates</w:t>
      </w:r>
      <w:r w:rsidR="0070258F" w:rsidRPr="7E4EA285">
        <w:rPr>
          <w:rFonts w:cs="Arial"/>
        </w:rPr>
        <w:t xml:space="preserve"> </w:t>
      </w:r>
      <w:r w:rsidR="00914DFF">
        <w:rPr>
          <w:rFonts w:cs="Arial"/>
        </w:rPr>
        <w:t>its</w:t>
      </w:r>
      <w:r w:rsidR="005F2F75" w:rsidRPr="7E4EA285">
        <w:rPr>
          <w:rFonts w:cs="Arial"/>
        </w:rPr>
        <w:t xml:space="preserve"> </w:t>
      </w:r>
      <w:r w:rsidR="00531074" w:rsidRPr="7E4EA285">
        <w:rPr>
          <w:rFonts w:cs="Arial"/>
        </w:rPr>
        <w:t>regulatory</w:t>
      </w:r>
      <w:r w:rsidR="005F2F75" w:rsidRPr="7E4EA285">
        <w:rPr>
          <w:rFonts w:cs="Arial"/>
        </w:rPr>
        <w:t xml:space="preserve"> response to non-compliance with financial </w:t>
      </w:r>
      <w:r w:rsidR="00BD4D5E" w:rsidRPr="7E4EA285">
        <w:rPr>
          <w:rFonts w:cs="Arial"/>
        </w:rPr>
        <w:t xml:space="preserve">reporting requirements, </w:t>
      </w:r>
      <w:r w:rsidR="00531074" w:rsidRPr="7E4EA285">
        <w:rPr>
          <w:rFonts w:cs="Arial"/>
        </w:rPr>
        <w:t>ensuring</w:t>
      </w:r>
      <w:r w:rsidR="00BD4D5E" w:rsidRPr="7E4EA285">
        <w:rPr>
          <w:rFonts w:cs="Arial"/>
        </w:rPr>
        <w:t xml:space="preserve"> </w:t>
      </w:r>
      <w:r w:rsidR="00120C93" w:rsidRPr="7E4EA285">
        <w:rPr>
          <w:rFonts w:cs="Arial"/>
        </w:rPr>
        <w:t>enforcement actions are</w:t>
      </w:r>
      <w:r w:rsidR="00F31F44" w:rsidRPr="7E4EA285">
        <w:rPr>
          <w:rFonts w:cs="Arial"/>
        </w:rPr>
        <w:t xml:space="preserve"> </w:t>
      </w:r>
      <w:r w:rsidR="003A4313" w:rsidRPr="7E4EA285">
        <w:rPr>
          <w:rFonts w:cs="Arial"/>
        </w:rPr>
        <w:t>fair, transparent and consistent</w:t>
      </w:r>
      <w:r w:rsidR="00120C93" w:rsidRPr="7E4EA285">
        <w:rPr>
          <w:rFonts w:cs="Arial"/>
        </w:rPr>
        <w:t xml:space="preserve">. </w:t>
      </w:r>
      <w:r w:rsidR="00D35ED4">
        <w:rPr>
          <w:rFonts w:cs="Arial"/>
        </w:rPr>
        <w:fldChar w:fldCharType="begin"/>
      </w:r>
      <w:r w:rsidR="00D35ED4">
        <w:rPr>
          <w:rFonts w:cs="Arial"/>
        </w:rPr>
        <w:instrText xml:space="preserve"> REF _Ref201907967 \h </w:instrText>
      </w:r>
      <w:r w:rsidR="00D35ED4">
        <w:rPr>
          <w:rFonts w:cs="Arial"/>
        </w:rPr>
      </w:r>
      <w:r w:rsidR="00D35ED4">
        <w:rPr>
          <w:rFonts w:cs="Arial"/>
        </w:rPr>
        <w:fldChar w:fldCharType="separate"/>
      </w:r>
      <w:r w:rsidR="00CC44DF">
        <w:t xml:space="preserve">Table </w:t>
      </w:r>
      <w:r w:rsidR="00CC44DF" w:rsidRPr="00A57D9E">
        <w:t>7</w:t>
      </w:r>
      <w:r w:rsidR="00D35ED4">
        <w:rPr>
          <w:rFonts w:cs="Arial"/>
        </w:rPr>
        <w:fldChar w:fldCharType="end"/>
      </w:r>
      <w:r w:rsidR="00D35ED4">
        <w:rPr>
          <w:rFonts w:cs="Arial"/>
        </w:rPr>
        <w:t xml:space="preserve"> </w:t>
      </w:r>
      <w:r w:rsidR="006C4980" w:rsidRPr="7E4EA285">
        <w:rPr>
          <w:rFonts w:cs="Arial"/>
        </w:rPr>
        <w:t xml:space="preserve">provides an overview of </w:t>
      </w:r>
      <w:r w:rsidR="008A5C49" w:rsidRPr="7E4EA285">
        <w:rPr>
          <w:rFonts w:cs="Arial"/>
        </w:rPr>
        <w:t>disciplinary decisions issued during the reporting period</w:t>
      </w:r>
      <w:r w:rsidR="006C4980" w:rsidRPr="7E4EA285">
        <w:rPr>
          <w:rFonts w:cs="Arial"/>
        </w:rPr>
        <w:t xml:space="preserve"> </w:t>
      </w:r>
      <w:r w:rsidR="003F0BED" w:rsidRPr="7E4EA285">
        <w:rPr>
          <w:rFonts w:cs="Arial"/>
        </w:rPr>
        <w:t xml:space="preserve">for licensees </w:t>
      </w:r>
      <w:r w:rsidR="003B1E44" w:rsidRPr="7E4EA285">
        <w:rPr>
          <w:rFonts w:cs="Arial"/>
        </w:rPr>
        <w:t xml:space="preserve">who did not meet their </w:t>
      </w:r>
      <w:r w:rsidR="00174CE8" w:rsidRPr="7E4EA285">
        <w:rPr>
          <w:rFonts w:cs="Arial"/>
        </w:rPr>
        <w:t xml:space="preserve">annual </w:t>
      </w:r>
      <w:r w:rsidR="008A6D8A" w:rsidRPr="7E4EA285">
        <w:rPr>
          <w:rFonts w:cs="Arial"/>
        </w:rPr>
        <w:t xml:space="preserve">financial </w:t>
      </w:r>
      <w:r w:rsidR="00174CE8" w:rsidRPr="7E4EA285">
        <w:rPr>
          <w:rFonts w:cs="Arial"/>
        </w:rPr>
        <w:t>report</w:t>
      </w:r>
      <w:r w:rsidR="003B1E44" w:rsidRPr="7E4EA285">
        <w:rPr>
          <w:rFonts w:cs="Arial"/>
        </w:rPr>
        <w:t>ing obligations</w:t>
      </w:r>
      <w:r w:rsidR="008A6D8A" w:rsidRPr="7E4EA285">
        <w:rPr>
          <w:rFonts w:cs="Arial"/>
        </w:rPr>
        <w:t>.</w:t>
      </w:r>
    </w:p>
    <w:p w14:paraId="76CD754F" w14:textId="0C1CE88C" w:rsidR="009176A3" w:rsidRDefault="009176A3">
      <w:pPr>
        <w:rPr>
          <w:rFonts w:cs="Arial"/>
        </w:rPr>
      </w:pPr>
      <w:r>
        <w:rPr>
          <w:rFonts w:cs="Arial"/>
        </w:rPr>
        <w:br w:type="page"/>
      </w:r>
    </w:p>
    <w:p w14:paraId="55C0B4BF" w14:textId="74DB2CEA" w:rsidR="00494A32" w:rsidRPr="00D35ED4" w:rsidRDefault="00D35ED4" w:rsidP="00AB3CF2">
      <w:pPr>
        <w:pStyle w:val="Caption"/>
        <w:keepNext/>
        <w:spacing w:before="120" w:after="120"/>
      </w:pPr>
      <w:bookmarkStart w:id="59" w:name="_Ref201907967"/>
      <w:bookmarkStart w:id="60" w:name="_Toc202872037"/>
      <w:bookmarkStart w:id="61" w:name="_Toc202872657"/>
      <w:bookmarkStart w:id="62" w:name="_Ref202873467"/>
      <w:r>
        <w:lastRenderedPageBreak/>
        <w:t xml:space="preserve">Table </w:t>
      </w:r>
      <w:r>
        <w:fldChar w:fldCharType="begin"/>
      </w:r>
      <w:r>
        <w:instrText>SEQ Table \* ARABIC</w:instrText>
      </w:r>
      <w:r>
        <w:fldChar w:fldCharType="separate"/>
      </w:r>
      <w:r w:rsidR="0042456A" w:rsidRPr="00A57D9E">
        <w:t>7</w:t>
      </w:r>
      <w:r>
        <w:fldChar w:fldCharType="end"/>
      </w:r>
      <w:bookmarkEnd w:id="59"/>
      <w:r w:rsidRPr="00E632C5">
        <w:t xml:space="preserve">: </w:t>
      </w:r>
      <w:bookmarkStart w:id="63" w:name="_Ref202873495"/>
      <w:r w:rsidRPr="00E632C5">
        <w:t>Number of financial compliance</w:t>
      </w:r>
      <w:r w:rsidR="005E1E19">
        <w:t>-</w:t>
      </w:r>
      <w:r w:rsidRPr="00E632C5">
        <w:t>related disciplinary actions issued in 2024–25 by stage</w:t>
      </w:r>
      <w:bookmarkEnd w:id="60"/>
      <w:bookmarkEnd w:id="61"/>
      <w:bookmarkEnd w:id="62"/>
      <w:bookmarkEnd w:id="63"/>
    </w:p>
    <w:tbl>
      <w:tblPr>
        <w:tblStyle w:val="TableGrid"/>
        <w:tblW w:w="10455" w:type="dxa"/>
        <w:tblLayout w:type="fixed"/>
        <w:tblLook w:val="06A0" w:firstRow="1" w:lastRow="0" w:firstColumn="1" w:lastColumn="0" w:noHBand="1" w:noVBand="1"/>
      </w:tblPr>
      <w:tblGrid>
        <w:gridCol w:w="3397"/>
        <w:gridCol w:w="1937"/>
        <w:gridCol w:w="1937"/>
        <w:gridCol w:w="1938"/>
        <w:gridCol w:w="1246"/>
      </w:tblGrid>
      <w:tr w:rsidR="00063005" w:rsidRPr="00693B57" w14:paraId="7264B7F7" w14:textId="77777777" w:rsidTr="1282235F">
        <w:trPr>
          <w:trHeight w:val="300"/>
        </w:trPr>
        <w:tc>
          <w:tcPr>
            <w:tcW w:w="3397" w:type="dxa"/>
            <w:vMerge w:val="restart"/>
            <w:shd w:val="clear" w:color="auto" w:fill="A6A6A6" w:themeFill="background1" w:themeFillShade="A6"/>
            <w:vAlign w:val="center"/>
          </w:tcPr>
          <w:p w14:paraId="369B9BA7" w14:textId="09BB3623" w:rsidR="00063005" w:rsidRPr="00693B57" w:rsidRDefault="00AD02E8">
            <w:pPr>
              <w:rPr>
                <w:rFonts w:cs="Arial"/>
                <w:b/>
                <w:bCs/>
              </w:rPr>
            </w:pPr>
            <w:r w:rsidRPr="00693B57">
              <w:rPr>
                <w:rFonts w:cs="Arial"/>
                <w:b/>
                <w:bCs/>
              </w:rPr>
              <w:t>Stage</w:t>
            </w:r>
          </w:p>
        </w:tc>
        <w:tc>
          <w:tcPr>
            <w:tcW w:w="5812" w:type="dxa"/>
            <w:gridSpan w:val="3"/>
            <w:shd w:val="clear" w:color="auto" w:fill="A6A6A6" w:themeFill="background1" w:themeFillShade="A6"/>
            <w:vAlign w:val="center"/>
          </w:tcPr>
          <w:p w14:paraId="6BEB8CF5" w14:textId="5DFCBFF2" w:rsidR="00063005" w:rsidRPr="00693B57" w:rsidRDefault="005B4F3D" w:rsidP="7E4EA285">
            <w:pPr>
              <w:jc w:val="center"/>
              <w:rPr>
                <w:rFonts w:cs="Arial"/>
                <w:b/>
                <w:bCs/>
              </w:rPr>
            </w:pPr>
            <w:r w:rsidRPr="00693B57">
              <w:rPr>
                <w:rFonts w:cs="Arial"/>
                <w:b/>
                <w:bCs/>
              </w:rPr>
              <w:t>Outcomes</w:t>
            </w:r>
          </w:p>
        </w:tc>
        <w:tc>
          <w:tcPr>
            <w:tcW w:w="1246" w:type="dxa"/>
            <w:vMerge w:val="restart"/>
            <w:shd w:val="clear" w:color="auto" w:fill="A6A6A6" w:themeFill="background1" w:themeFillShade="A6"/>
            <w:vAlign w:val="center"/>
          </w:tcPr>
          <w:p w14:paraId="468B8B1D" w14:textId="6A247C52" w:rsidR="00063005" w:rsidRPr="00693B57" w:rsidRDefault="00AD02E8">
            <w:pPr>
              <w:rPr>
                <w:rFonts w:cs="Arial"/>
                <w:b/>
                <w:bCs/>
              </w:rPr>
            </w:pPr>
            <w:r w:rsidRPr="00693B57">
              <w:rPr>
                <w:rFonts w:cs="Arial"/>
                <w:b/>
              </w:rPr>
              <w:t>Total</w:t>
            </w:r>
          </w:p>
        </w:tc>
      </w:tr>
      <w:tr w:rsidR="002972AA" w:rsidRPr="00693B57" w14:paraId="0CCCAA84" w14:textId="77777777" w:rsidTr="1282235F">
        <w:trPr>
          <w:trHeight w:val="300"/>
        </w:trPr>
        <w:tc>
          <w:tcPr>
            <w:tcW w:w="3397" w:type="dxa"/>
            <w:vMerge/>
          </w:tcPr>
          <w:p w14:paraId="5F51D9D3" w14:textId="32DF6453" w:rsidR="002972AA" w:rsidRPr="00693B57" w:rsidRDefault="002972AA">
            <w:pPr>
              <w:rPr>
                <w:rFonts w:cs="Arial"/>
                <w:b/>
              </w:rPr>
            </w:pPr>
          </w:p>
        </w:tc>
        <w:tc>
          <w:tcPr>
            <w:tcW w:w="1937" w:type="dxa"/>
            <w:shd w:val="clear" w:color="auto" w:fill="BFBFBF" w:themeFill="background1" w:themeFillShade="BF"/>
            <w:vAlign w:val="center"/>
          </w:tcPr>
          <w:p w14:paraId="621E5462" w14:textId="4780EAD5" w:rsidR="002972AA" w:rsidRPr="00693B57" w:rsidRDefault="00484BAD">
            <w:pPr>
              <w:rPr>
                <w:rFonts w:cs="Arial"/>
                <w:b/>
              </w:rPr>
            </w:pPr>
            <w:r w:rsidRPr="00693B57">
              <w:rPr>
                <w:rFonts w:cs="Arial"/>
                <w:b/>
                <w:bCs/>
              </w:rPr>
              <w:t xml:space="preserve">Imposition of </w:t>
            </w:r>
            <w:r w:rsidR="00AD02E8" w:rsidRPr="00693B57">
              <w:rPr>
                <w:rFonts w:cs="Arial"/>
                <w:b/>
                <w:bCs/>
              </w:rPr>
              <w:t>condition</w:t>
            </w:r>
          </w:p>
        </w:tc>
        <w:tc>
          <w:tcPr>
            <w:tcW w:w="1937" w:type="dxa"/>
            <w:shd w:val="clear" w:color="auto" w:fill="BFBFBF" w:themeFill="background1" w:themeFillShade="BF"/>
            <w:vAlign w:val="center"/>
          </w:tcPr>
          <w:p w14:paraId="4098208C" w14:textId="77777777" w:rsidR="002972AA" w:rsidRPr="00693B57" w:rsidRDefault="002972AA">
            <w:pPr>
              <w:rPr>
                <w:rFonts w:cs="Arial"/>
                <w:b/>
              </w:rPr>
            </w:pPr>
            <w:r w:rsidRPr="00693B57">
              <w:rPr>
                <w:rFonts w:cs="Arial"/>
                <w:b/>
              </w:rPr>
              <w:t>Suspension</w:t>
            </w:r>
          </w:p>
        </w:tc>
        <w:tc>
          <w:tcPr>
            <w:tcW w:w="1938" w:type="dxa"/>
            <w:shd w:val="clear" w:color="auto" w:fill="BFBFBF" w:themeFill="background1" w:themeFillShade="BF"/>
            <w:vAlign w:val="center"/>
          </w:tcPr>
          <w:p w14:paraId="272578BF" w14:textId="77777777" w:rsidR="002972AA" w:rsidRPr="00693B57" w:rsidRDefault="002972AA">
            <w:pPr>
              <w:rPr>
                <w:rFonts w:cs="Arial"/>
                <w:b/>
              </w:rPr>
            </w:pPr>
            <w:r w:rsidRPr="00693B57">
              <w:rPr>
                <w:rFonts w:cs="Arial"/>
                <w:b/>
              </w:rPr>
              <w:t>Cancellation</w:t>
            </w:r>
          </w:p>
        </w:tc>
        <w:tc>
          <w:tcPr>
            <w:tcW w:w="1246" w:type="dxa"/>
            <w:vMerge/>
          </w:tcPr>
          <w:p w14:paraId="639601B7" w14:textId="70958305" w:rsidR="002972AA" w:rsidRPr="00693B57" w:rsidRDefault="002972AA">
            <w:pPr>
              <w:rPr>
                <w:rFonts w:cs="Arial"/>
                <w:b/>
              </w:rPr>
            </w:pPr>
          </w:p>
        </w:tc>
      </w:tr>
      <w:tr w:rsidR="002972AA" w:rsidRPr="00693B57" w14:paraId="09E3AA16" w14:textId="77777777" w:rsidTr="1282235F">
        <w:trPr>
          <w:trHeight w:val="300"/>
        </w:trPr>
        <w:tc>
          <w:tcPr>
            <w:tcW w:w="3397" w:type="dxa"/>
          </w:tcPr>
          <w:p w14:paraId="22B6460C" w14:textId="29FEFCB8" w:rsidR="002972AA" w:rsidRPr="00693B57" w:rsidRDefault="00BF4EF9">
            <w:pPr>
              <w:rPr>
                <w:rFonts w:cs="Arial"/>
              </w:rPr>
            </w:pPr>
            <w:r w:rsidRPr="00693B57">
              <w:rPr>
                <w:rFonts w:cs="Arial"/>
              </w:rPr>
              <w:t xml:space="preserve">1. </w:t>
            </w:r>
            <w:r w:rsidR="002972AA" w:rsidRPr="00693B57">
              <w:rPr>
                <w:rFonts w:cs="Arial"/>
              </w:rPr>
              <w:t>Proposed disciplinary action</w:t>
            </w:r>
          </w:p>
        </w:tc>
        <w:tc>
          <w:tcPr>
            <w:tcW w:w="1937" w:type="dxa"/>
          </w:tcPr>
          <w:p w14:paraId="45AA07C3" w14:textId="2BD64148" w:rsidR="002972AA" w:rsidRPr="00693B57" w:rsidRDefault="000C0FEA">
            <w:pPr>
              <w:rPr>
                <w:rFonts w:cs="Arial"/>
              </w:rPr>
            </w:pPr>
            <w:r w:rsidRPr="00693B57">
              <w:rPr>
                <w:rFonts w:cs="Arial"/>
              </w:rPr>
              <w:t>95</w:t>
            </w:r>
          </w:p>
        </w:tc>
        <w:tc>
          <w:tcPr>
            <w:tcW w:w="1937" w:type="dxa"/>
          </w:tcPr>
          <w:p w14:paraId="26F88FAB" w14:textId="55931EC1" w:rsidR="002972AA" w:rsidRPr="00693B57" w:rsidRDefault="000C0FEA">
            <w:pPr>
              <w:rPr>
                <w:rFonts w:cs="Arial"/>
              </w:rPr>
            </w:pPr>
            <w:r w:rsidRPr="00693B57">
              <w:rPr>
                <w:rFonts w:cs="Arial"/>
              </w:rPr>
              <w:t>3</w:t>
            </w:r>
          </w:p>
        </w:tc>
        <w:tc>
          <w:tcPr>
            <w:tcW w:w="1938" w:type="dxa"/>
          </w:tcPr>
          <w:p w14:paraId="28AC6612" w14:textId="080FA36A" w:rsidR="002972AA" w:rsidRPr="00693B57" w:rsidRDefault="000C0FEA">
            <w:pPr>
              <w:rPr>
                <w:rFonts w:cs="Arial"/>
              </w:rPr>
            </w:pPr>
            <w:r w:rsidRPr="00693B57">
              <w:rPr>
                <w:rFonts w:cs="Arial"/>
              </w:rPr>
              <w:t>9</w:t>
            </w:r>
          </w:p>
        </w:tc>
        <w:tc>
          <w:tcPr>
            <w:tcW w:w="1246" w:type="dxa"/>
          </w:tcPr>
          <w:p w14:paraId="78D476EF" w14:textId="5AFCD00E" w:rsidR="002972AA" w:rsidRPr="00693B57" w:rsidRDefault="000C0FEA">
            <w:pPr>
              <w:rPr>
                <w:rFonts w:cs="Arial"/>
              </w:rPr>
            </w:pPr>
            <w:r w:rsidRPr="00693B57">
              <w:rPr>
                <w:rFonts w:cs="Arial"/>
              </w:rPr>
              <w:t>107</w:t>
            </w:r>
          </w:p>
        </w:tc>
      </w:tr>
      <w:tr w:rsidR="002972AA" w:rsidRPr="00693B57" w14:paraId="1F3AF289" w14:textId="77777777" w:rsidTr="1282235F">
        <w:trPr>
          <w:trHeight w:val="300"/>
        </w:trPr>
        <w:tc>
          <w:tcPr>
            <w:tcW w:w="3397" w:type="dxa"/>
          </w:tcPr>
          <w:p w14:paraId="7E00B9D2" w14:textId="470B9B06" w:rsidR="002972AA" w:rsidRPr="00693B57" w:rsidRDefault="00BF4EF9">
            <w:pPr>
              <w:rPr>
                <w:rFonts w:cs="Arial"/>
              </w:rPr>
            </w:pPr>
            <w:r w:rsidRPr="00693B57">
              <w:rPr>
                <w:rFonts w:cs="Arial"/>
              </w:rPr>
              <w:t xml:space="preserve">2. </w:t>
            </w:r>
            <w:r w:rsidR="002972AA" w:rsidRPr="00693B57">
              <w:rPr>
                <w:rFonts w:cs="Arial"/>
              </w:rPr>
              <w:t>Disciplinary action decision</w:t>
            </w:r>
          </w:p>
        </w:tc>
        <w:tc>
          <w:tcPr>
            <w:tcW w:w="1937" w:type="dxa"/>
          </w:tcPr>
          <w:p w14:paraId="7CE5B774" w14:textId="2FC68BEB" w:rsidR="002972AA" w:rsidRPr="00693B57" w:rsidRDefault="000C0FEA">
            <w:pPr>
              <w:rPr>
                <w:rFonts w:cs="Arial"/>
              </w:rPr>
            </w:pPr>
            <w:r w:rsidRPr="00693B57">
              <w:rPr>
                <w:rFonts w:cs="Arial"/>
              </w:rPr>
              <w:t>27</w:t>
            </w:r>
          </w:p>
        </w:tc>
        <w:tc>
          <w:tcPr>
            <w:tcW w:w="1937" w:type="dxa"/>
          </w:tcPr>
          <w:p w14:paraId="13BBDB3F" w14:textId="6EF2803F" w:rsidR="002972AA" w:rsidRPr="00693B57" w:rsidRDefault="000C0FEA">
            <w:pPr>
              <w:rPr>
                <w:rFonts w:cs="Arial"/>
              </w:rPr>
            </w:pPr>
            <w:r w:rsidRPr="00693B57">
              <w:rPr>
                <w:rFonts w:cs="Arial"/>
              </w:rPr>
              <w:t>2</w:t>
            </w:r>
          </w:p>
        </w:tc>
        <w:tc>
          <w:tcPr>
            <w:tcW w:w="1938" w:type="dxa"/>
          </w:tcPr>
          <w:p w14:paraId="28D6CE57" w14:textId="682EF4D5" w:rsidR="002972AA" w:rsidRPr="00693B57" w:rsidRDefault="000C0FEA">
            <w:pPr>
              <w:rPr>
                <w:rFonts w:cs="Arial"/>
              </w:rPr>
            </w:pPr>
            <w:r w:rsidRPr="00693B57">
              <w:rPr>
                <w:rFonts w:cs="Arial"/>
              </w:rPr>
              <w:t>3</w:t>
            </w:r>
          </w:p>
        </w:tc>
        <w:tc>
          <w:tcPr>
            <w:tcW w:w="1246" w:type="dxa"/>
          </w:tcPr>
          <w:p w14:paraId="53B699E6" w14:textId="6C738AA2" w:rsidR="002972AA" w:rsidRPr="00693B57" w:rsidRDefault="00D3197C">
            <w:pPr>
              <w:rPr>
                <w:rFonts w:cs="Arial"/>
              </w:rPr>
            </w:pPr>
            <w:r w:rsidRPr="00693B57">
              <w:rPr>
                <w:rFonts w:cs="Arial"/>
              </w:rPr>
              <w:t>32</w:t>
            </w:r>
          </w:p>
        </w:tc>
      </w:tr>
      <w:tr w:rsidR="002972AA" w:rsidRPr="00693B57" w14:paraId="01ED0511" w14:textId="77777777" w:rsidTr="1282235F">
        <w:trPr>
          <w:trHeight w:val="300"/>
        </w:trPr>
        <w:tc>
          <w:tcPr>
            <w:tcW w:w="3397" w:type="dxa"/>
          </w:tcPr>
          <w:p w14:paraId="33772D6A" w14:textId="24FF2823" w:rsidR="002972AA" w:rsidRPr="00693B57" w:rsidRDefault="00BF4EF9">
            <w:pPr>
              <w:rPr>
                <w:rFonts w:cs="Arial"/>
              </w:rPr>
            </w:pPr>
            <w:r w:rsidRPr="00693B57">
              <w:rPr>
                <w:rFonts w:cs="Arial"/>
              </w:rPr>
              <w:t xml:space="preserve">3. </w:t>
            </w:r>
            <w:r w:rsidR="002972AA" w:rsidRPr="00693B57">
              <w:rPr>
                <w:rFonts w:cs="Arial"/>
              </w:rPr>
              <w:t>Disciplinary decision effected</w:t>
            </w:r>
          </w:p>
        </w:tc>
        <w:tc>
          <w:tcPr>
            <w:tcW w:w="1937" w:type="dxa"/>
          </w:tcPr>
          <w:p w14:paraId="7E160575" w14:textId="279A6157" w:rsidR="002972AA" w:rsidRPr="00693B57" w:rsidRDefault="00D3197C">
            <w:pPr>
              <w:rPr>
                <w:rFonts w:cs="Arial"/>
              </w:rPr>
            </w:pPr>
            <w:r w:rsidRPr="00693B57">
              <w:rPr>
                <w:rFonts w:cs="Arial"/>
              </w:rPr>
              <w:t>10</w:t>
            </w:r>
          </w:p>
        </w:tc>
        <w:tc>
          <w:tcPr>
            <w:tcW w:w="1937" w:type="dxa"/>
          </w:tcPr>
          <w:p w14:paraId="2DDC646C" w14:textId="6894FD14" w:rsidR="002972AA" w:rsidRPr="00693B57" w:rsidRDefault="00D3197C">
            <w:pPr>
              <w:rPr>
                <w:rFonts w:cs="Arial"/>
              </w:rPr>
            </w:pPr>
            <w:r w:rsidRPr="00693B57">
              <w:rPr>
                <w:rFonts w:cs="Arial"/>
              </w:rPr>
              <w:t>5</w:t>
            </w:r>
          </w:p>
        </w:tc>
        <w:tc>
          <w:tcPr>
            <w:tcW w:w="1938" w:type="dxa"/>
          </w:tcPr>
          <w:p w14:paraId="7B055414" w14:textId="36BDC421" w:rsidR="002972AA" w:rsidRPr="00693B57" w:rsidRDefault="00D3197C">
            <w:pPr>
              <w:rPr>
                <w:rFonts w:cs="Arial"/>
              </w:rPr>
            </w:pPr>
            <w:r w:rsidRPr="00693B57">
              <w:rPr>
                <w:rFonts w:cs="Arial"/>
              </w:rPr>
              <w:t>0</w:t>
            </w:r>
          </w:p>
        </w:tc>
        <w:tc>
          <w:tcPr>
            <w:tcW w:w="1246" w:type="dxa"/>
          </w:tcPr>
          <w:p w14:paraId="16778319" w14:textId="2919F3FE" w:rsidR="002972AA" w:rsidRPr="00693B57" w:rsidRDefault="00D3197C">
            <w:pPr>
              <w:rPr>
                <w:rFonts w:cs="Arial"/>
              </w:rPr>
            </w:pPr>
            <w:r w:rsidRPr="00693B57">
              <w:rPr>
                <w:rFonts w:cs="Arial"/>
              </w:rPr>
              <w:t>15</w:t>
            </w:r>
          </w:p>
        </w:tc>
      </w:tr>
    </w:tbl>
    <w:p w14:paraId="6182063E" w14:textId="3E2AEEC9" w:rsidR="00115F1E" w:rsidRDefault="009110B1" w:rsidP="00A6299E">
      <w:pPr>
        <w:spacing w:before="120" w:after="120"/>
        <w:rPr>
          <w:rFonts w:cs="Arial"/>
        </w:rPr>
      </w:pPr>
      <w:r w:rsidRPr="7E4EA285">
        <w:rPr>
          <w:rFonts w:cs="Arial"/>
        </w:rPr>
        <w:t>T</w:t>
      </w:r>
      <w:r w:rsidR="001B3783" w:rsidRPr="7E4EA285">
        <w:rPr>
          <w:rFonts w:cs="Arial"/>
        </w:rPr>
        <w:t xml:space="preserve">he </w:t>
      </w:r>
      <w:r w:rsidR="008739B9">
        <w:rPr>
          <w:rFonts w:cs="Arial"/>
        </w:rPr>
        <w:t>commencement</w:t>
      </w:r>
      <w:r w:rsidR="008739B9" w:rsidRPr="7E4EA285">
        <w:rPr>
          <w:rFonts w:cs="Arial"/>
        </w:rPr>
        <w:t xml:space="preserve"> </w:t>
      </w:r>
      <w:r w:rsidR="001B3783" w:rsidRPr="7E4EA285">
        <w:rPr>
          <w:rFonts w:cs="Arial"/>
        </w:rPr>
        <w:t xml:space="preserve">of </w:t>
      </w:r>
      <w:r w:rsidR="00A90AAA">
        <w:rPr>
          <w:rFonts w:cs="Arial"/>
        </w:rPr>
        <w:t>the</w:t>
      </w:r>
      <w:r w:rsidR="001B3783" w:rsidRPr="7E4EA285">
        <w:rPr>
          <w:rFonts w:cs="Arial"/>
        </w:rPr>
        <w:t xml:space="preserve"> </w:t>
      </w:r>
      <w:r w:rsidR="001B3783" w:rsidRPr="00A57D9E">
        <w:rPr>
          <w:rFonts w:cs="Arial"/>
          <w:i/>
          <w:iCs/>
        </w:rPr>
        <w:t>Building</w:t>
      </w:r>
      <w:r w:rsidR="008739B9" w:rsidRPr="00A57D9E">
        <w:rPr>
          <w:rFonts w:cs="Arial"/>
          <w:i/>
          <w:iCs/>
        </w:rPr>
        <w:t xml:space="preserve"> and Other Legislation Amendment Regulation 2025</w:t>
      </w:r>
      <w:r w:rsidR="001B3783" w:rsidRPr="7E4EA285">
        <w:rPr>
          <w:rFonts w:cs="Arial"/>
        </w:rPr>
        <w:t xml:space="preserve"> </w:t>
      </w:r>
      <w:r w:rsidR="009D5F60" w:rsidRPr="7E4EA285">
        <w:rPr>
          <w:rFonts w:cs="Arial"/>
        </w:rPr>
        <w:t>in March 2025</w:t>
      </w:r>
      <w:r w:rsidRPr="7E4EA285">
        <w:rPr>
          <w:rFonts w:cs="Arial"/>
        </w:rPr>
        <w:t xml:space="preserve"> </w:t>
      </w:r>
      <w:r w:rsidR="00B67C9B" w:rsidRPr="7E4EA285">
        <w:rPr>
          <w:rFonts w:cs="Arial"/>
        </w:rPr>
        <w:t>remov</w:t>
      </w:r>
      <w:r w:rsidR="001B3783" w:rsidRPr="7E4EA285">
        <w:rPr>
          <w:rFonts w:cs="Arial"/>
        </w:rPr>
        <w:t xml:space="preserve">ed </w:t>
      </w:r>
      <w:r w:rsidR="00B67C9B" w:rsidRPr="7E4EA285">
        <w:rPr>
          <w:rFonts w:cs="Arial"/>
        </w:rPr>
        <w:t>the requirement for</w:t>
      </w:r>
      <w:r w:rsidR="0069218D" w:rsidRPr="7E4EA285">
        <w:rPr>
          <w:rFonts w:cs="Arial"/>
        </w:rPr>
        <w:t xml:space="preserve"> </w:t>
      </w:r>
      <w:r w:rsidR="00B67C9B" w:rsidRPr="7E4EA285">
        <w:rPr>
          <w:rFonts w:cs="Arial"/>
        </w:rPr>
        <w:t>SC1 and SC2</w:t>
      </w:r>
      <w:r w:rsidR="0069218D" w:rsidRPr="7E4EA285">
        <w:rPr>
          <w:rFonts w:cs="Arial"/>
        </w:rPr>
        <w:t xml:space="preserve"> </w:t>
      </w:r>
      <w:r w:rsidR="007B7E74" w:rsidRPr="7E4EA285">
        <w:rPr>
          <w:rFonts w:cs="Arial"/>
        </w:rPr>
        <w:t xml:space="preserve">individual licensees </w:t>
      </w:r>
      <w:r w:rsidR="0069218D" w:rsidRPr="7E4EA285">
        <w:rPr>
          <w:rFonts w:cs="Arial"/>
        </w:rPr>
        <w:t xml:space="preserve">to submit </w:t>
      </w:r>
      <w:r w:rsidR="0092723C" w:rsidRPr="7E4EA285">
        <w:rPr>
          <w:rFonts w:cs="Arial"/>
        </w:rPr>
        <w:t>annual</w:t>
      </w:r>
      <w:r w:rsidR="00B31175" w:rsidRPr="7E4EA285">
        <w:rPr>
          <w:rFonts w:cs="Arial"/>
        </w:rPr>
        <w:t xml:space="preserve"> </w:t>
      </w:r>
      <w:r w:rsidR="0069218D" w:rsidRPr="7E4EA285">
        <w:rPr>
          <w:rFonts w:cs="Arial"/>
        </w:rPr>
        <w:t xml:space="preserve">financial </w:t>
      </w:r>
      <w:r w:rsidR="00B31175" w:rsidRPr="7E4EA285">
        <w:rPr>
          <w:rFonts w:cs="Arial"/>
        </w:rPr>
        <w:t>report</w:t>
      </w:r>
      <w:r w:rsidR="0092723C" w:rsidRPr="7E4EA285">
        <w:rPr>
          <w:rFonts w:cs="Arial"/>
        </w:rPr>
        <w:t>s</w:t>
      </w:r>
      <w:r w:rsidR="0069218D" w:rsidRPr="7E4EA285">
        <w:rPr>
          <w:rFonts w:cs="Arial"/>
        </w:rPr>
        <w:t>.</w:t>
      </w:r>
      <w:r w:rsidR="00B67C9B" w:rsidRPr="7E4EA285">
        <w:rPr>
          <w:rFonts w:cs="Arial"/>
        </w:rPr>
        <w:t xml:space="preserve"> </w:t>
      </w:r>
      <w:r w:rsidR="006748DD">
        <w:rPr>
          <w:rFonts w:cs="Arial"/>
        </w:rPr>
        <w:t>Notwithstanding this,</w:t>
      </w:r>
      <w:r w:rsidR="0092008C">
        <w:rPr>
          <w:rFonts w:cs="Arial"/>
        </w:rPr>
        <w:t xml:space="preserve"> </w:t>
      </w:r>
      <w:r w:rsidR="00115F1E">
        <w:rPr>
          <w:rFonts w:cs="Arial"/>
        </w:rPr>
        <w:fldChar w:fldCharType="begin"/>
      </w:r>
      <w:r w:rsidR="00115F1E">
        <w:rPr>
          <w:rFonts w:cs="Arial"/>
        </w:rPr>
        <w:instrText xml:space="preserve"> REF _Ref201908100 \h </w:instrText>
      </w:r>
      <w:r w:rsidR="00115F1E">
        <w:rPr>
          <w:rFonts w:cs="Arial"/>
        </w:rPr>
      </w:r>
      <w:r w:rsidR="00115F1E">
        <w:rPr>
          <w:rFonts w:cs="Arial"/>
        </w:rPr>
        <w:fldChar w:fldCharType="separate"/>
      </w:r>
      <w:r w:rsidR="00CC44DF">
        <w:t xml:space="preserve">Table </w:t>
      </w:r>
      <w:r w:rsidR="00CC44DF" w:rsidRPr="00A57D9E">
        <w:t>8</w:t>
      </w:r>
      <w:r w:rsidR="00115F1E">
        <w:rPr>
          <w:rFonts w:cs="Arial"/>
        </w:rPr>
        <w:fldChar w:fldCharType="end"/>
      </w:r>
      <w:r w:rsidR="006A16DF" w:rsidRPr="7E4EA285">
        <w:rPr>
          <w:rFonts w:cs="Arial"/>
        </w:rPr>
        <w:t xml:space="preserve"> </w:t>
      </w:r>
      <w:r w:rsidR="005A553F" w:rsidRPr="7E4EA285">
        <w:rPr>
          <w:rFonts w:cs="Arial"/>
        </w:rPr>
        <w:t>outlines</w:t>
      </w:r>
      <w:r w:rsidR="006A16DF" w:rsidRPr="7E4EA285">
        <w:rPr>
          <w:rFonts w:cs="Arial"/>
        </w:rPr>
        <w:t xml:space="preserve"> the </w:t>
      </w:r>
      <w:r w:rsidR="00001C5D" w:rsidRPr="7E4EA285">
        <w:rPr>
          <w:rFonts w:cs="Arial"/>
        </w:rPr>
        <w:t xml:space="preserve">number of </w:t>
      </w:r>
      <w:r w:rsidR="006A16DF" w:rsidRPr="7E4EA285">
        <w:rPr>
          <w:rFonts w:cs="Arial"/>
        </w:rPr>
        <w:t>regulatory action</w:t>
      </w:r>
      <w:r w:rsidR="00FC57D6" w:rsidRPr="7E4EA285">
        <w:rPr>
          <w:rFonts w:cs="Arial"/>
        </w:rPr>
        <w:t>s</w:t>
      </w:r>
      <w:r w:rsidR="006A16DF" w:rsidRPr="7E4EA285">
        <w:rPr>
          <w:rFonts w:cs="Arial"/>
        </w:rPr>
        <w:t xml:space="preserve"> taken </w:t>
      </w:r>
      <w:r w:rsidR="005A553F" w:rsidRPr="7E4EA285">
        <w:rPr>
          <w:rFonts w:cs="Arial"/>
        </w:rPr>
        <w:t xml:space="preserve">in response to </w:t>
      </w:r>
      <w:r w:rsidR="006A16DF" w:rsidRPr="7E4EA285">
        <w:rPr>
          <w:rFonts w:cs="Arial"/>
        </w:rPr>
        <w:t xml:space="preserve">suspected non-compliance with </w:t>
      </w:r>
      <w:r w:rsidR="00570F7E" w:rsidRPr="7E4EA285">
        <w:rPr>
          <w:rFonts w:cs="Arial"/>
        </w:rPr>
        <w:t xml:space="preserve">audit </w:t>
      </w:r>
      <w:r w:rsidR="00830185" w:rsidRPr="7E4EA285">
        <w:rPr>
          <w:rFonts w:cs="Arial"/>
        </w:rPr>
        <w:t>requirements or failure to meet</w:t>
      </w:r>
      <w:r w:rsidR="00156DFD" w:rsidRPr="7E4EA285">
        <w:rPr>
          <w:rFonts w:cs="Arial"/>
        </w:rPr>
        <w:t xml:space="preserve"> </w:t>
      </w:r>
      <w:r w:rsidR="006A16DF" w:rsidRPr="7E4EA285">
        <w:rPr>
          <w:rFonts w:cs="Arial"/>
        </w:rPr>
        <w:t>M</w:t>
      </w:r>
      <w:r w:rsidR="00FC57D6" w:rsidRPr="7E4EA285">
        <w:rPr>
          <w:rFonts w:cs="Arial"/>
        </w:rPr>
        <w:t>FR</w:t>
      </w:r>
      <w:r w:rsidR="00667BF8" w:rsidRPr="7E4EA285">
        <w:rPr>
          <w:rFonts w:cs="Arial"/>
        </w:rPr>
        <w:t>,</w:t>
      </w:r>
      <w:r w:rsidR="006A16DF" w:rsidRPr="7E4EA285">
        <w:rPr>
          <w:rFonts w:cs="Arial"/>
        </w:rPr>
        <w:t xml:space="preserve"> based on </w:t>
      </w:r>
      <w:r w:rsidR="00667BF8" w:rsidRPr="7E4EA285">
        <w:rPr>
          <w:rFonts w:cs="Arial"/>
        </w:rPr>
        <w:t xml:space="preserve">the </w:t>
      </w:r>
      <w:r w:rsidR="00E0688D" w:rsidRPr="7E4EA285">
        <w:rPr>
          <w:rFonts w:cs="Arial"/>
        </w:rPr>
        <w:t xml:space="preserve">financial </w:t>
      </w:r>
      <w:r w:rsidR="00667BF8" w:rsidRPr="7E4EA285">
        <w:rPr>
          <w:rFonts w:cs="Arial"/>
        </w:rPr>
        <w:t>information</w:t>
      </w:r>
      <w:r w:rsidR="006A16DF" w:rsidRPr="7E4EA285">
        <w:rPr>
          <w:rFonts w:cs="Arial"/>
        </w:rPr>
        <w:t xml:space="preserve"> provided</w:t>
      </w:r>
      <w:r w:rsidR="00667BF8" w:rsidRPr="7E4EA285">
        <w:rPr>
          <w:rFonts w:cs="Arial"/>
        </w:rPr>
        <w:t xml:space="preserve"> as part of </w:t>
      </w:r>
      <w:r w:rsidR="00155B90" w:rsidRPr="7E4EA285">
        <w:rPr>
          <w:rFonts w:cs="Arial"/>
        </w:rPr>
        <w:t>annual reporting</w:t>
      </w:r>
      <w:r w:rsidR="006A16DF" w:rsidRPr="7E4EA285">
        <w:rPr>
          <w:rFonts w:cs="Arial"/>
        </w:rPr>
        <w:t>.</w:t>
      </w:r>
    </w:p>
    <w:p w14:paraId="73A6C3B9" w14:textId="72AE3235" w:rsidR="009B40A5" w:rsidRPr="00115F1E" w:rsidRDefault="00115F1E" w:rsidP="00A6299E">
      <w:pPr>
        <w:pStyle w:val="Caption"/>
        <w:keepNext/>
        <w:spacing w:before="120" w:after="120"/>
      </w:pPr>
      <w:bookmarkStart w:id="64" w:name="_Ref201908100"/>
      <w:bookmarkStart w:id="65" w:name="_Toc202872038"/>
      <w:bookmarkStart w:id="66" w:name="_Toc202872658"/>
      <w:bookmarkStart w:id="67" w:name="_Ref202873472"/>
      <w:r>
        <w:t xml:space="preserve">Table </w:t>
      </w:r>
      <w:r>
        <w:fldChar w:fldCharType="begin"/>
      </w:r>
      <w:r>
        <w:instrText>SEQ Table \* ARABIC</w:instrText>
      </w:r>
      <w:r>
        <w:fldChar w:fldCharType="separate"/>
      </w:r>
      <w:r w:rsidR="0042456A" w:rsidRPr="00A57D9E">
        <w:t>8</w:t>
      </w:r>
      <w:r>
        <w:fldChar w:fldCharType="end"/>
      </w:r>
      <w:bookmarkEnd w:id="64"/>
      <w:r w:rsidRPr="005F0540">
        <w:t xml:space="preserve">: </w:t>
      </w:r>
      <w:bookmarkStart w:id="68" w:name="_Ref202873501"/>
      <w:r w:rsidRPr="005F0540">
        <w:t>Number of regulatory actions taken in 2024–25 as part of annual financial reporting</w:t>
      </w:r>
      <w:bookmarkEnd w:id="65"/>
      <w:bookmarkEnd w:id="66"/>
      <w:bookmarkEnd w:id="67"/>
      <w:bookmarkEnd w:id="68"/>
    </w:p>
    <w:tbl>
      <w:tblPr>
        <w:tblStyle w:val="TableGrid"/>
        <w:tblW w:w="10450" w:type="dxa"/>
        <w:tblLayout w:type="fixed"/>
        <w:tblLook w:val="04A0" w:firstRow="1" w:lastRow="0" w:firstColumn="1" w:lastColumn="0" w:noHBand="0" w:noVBand="1"/>
      </w:tblPr>
      <w:tblGrid>
        <w:gridCol w:w="2587"/>
        <w:gridCol w:w="2178"/>
        <w:gridCol w:w="2179"/>
        <w:gridCol w:w="2179"/>
        <w:gridCol w:w="1327"/>
      </w:tblGrid>
      <w:tr w:rsidR="00511741" w:rsidRPr="00C15131" w14:paraId="241B911A" w14:textId="77777777" w:rsidTr="0047369A">
        <w:trPr>
          <w:trHeight w:val="300"/>
        </w:trPr>
        <w:tc>
          <w:tcPr>
            <w:tcW w:w="2587" w:type="dxa"/>
            <w:vMerge w:val="restart"/>
            <w:shd w:val="clear" w:color="auto" w:fill="A6A6A6" w:themeFill="background1" w:themeFillShade="A6"/>
            <w:vAlign w:val="center"/>
          </w:tcPr>
          <w:p w14:paraId="2646070E" w14:textId="187828AB" w:rsidR="00511741" w:rsidRPr="00C15131" w:rsidRDefault="00511741" w:rsidP="007E596A">
            <w:pPr>
              <w:rPr>
                <w:rStyle w:val="Strong"/>
                <w:rFonts w:cs="Arial"/>
              </w:rPr>
            </w:pPr>
            <w:r w:rsidRPr="00C15131">
              <w:rPr>
                <w:rStyle w:val="Strong"/>
                <w:rFonts w:cs="Arial"/>
              </w:rPr>
              <w:t>Regulatory action</w:t>
            </w:r>
          </w:p>
        </w:tc>
        <w:tc>
          <w:tcPr>
            <w:tcW w:w="6536" w:type="dxa"/>
            <w:gridSpan w:val="3"/>
            <w:shd w:val="clear" w:color="auto" w:fill="A6A6A6" w:themeFill="background1" w:themeFillShade="A6"/>
          </w:tcPr>
          <w:p w14:paraId="78CE5CB4" w14:textId="700375E7" w:rsidR="00511741" w:rsidRPr="00C15131" w:rsidRDefault="00511741" w:rsidP="7E4EA285">
            <w:pPr>
              <w:jc w:val="center"/>
              <w:rPr>
                <w:rStyle w:val="Strong"/>
                <w:rFonts w:cs="Arial"/>
              </w:rPr>
            </w:pPr>
            <w:r w:rsidRPr="00C15131">
              <w:rPr>
                <w:rStyle w:val="Strong"/>
                <w:rFonts w:cs="Arial"/>
              </w:rPr>
              <w:t>L</w:t>
            </w:r>
            <w:r w:rsidRPr="00C15131">
              <w:rPr>
                <w:rStyle w:val="Strong"/>
              </w:rPr>
              <w:t>icensee category</w:t>
            </w:r>
          </w:p>
        </w:tc>
        <w:tc>
          <w:tcPr>
            <w:tcW w:w="1327" w:type="dxa"/>
            <w:vMerge w:val="restart"/>
            <w:shd w:val="clear" w:color="auto" w:fill="A6A6A6" w:themeFill="background1" w:themeFillShade="A6"/>
            <w:vAlign w:val="center"/>
          </w:tcPr>
          <w:p w14:paraId="17735173" w14:textId="7D9D5AA9" w:rsidR="00511741" w:rsidRPr="00C15131" w:rsidRDefault="00511741" w:rsidP="00E65CA5">
            <w:pPr>
              <w:rPr>
                <w:rStyle w:val="Strong"/>
                <w:rFonts w:cs="Arial"/>
              </w:rPr>
            </w:pPr>
            <w:r w:rsidRPr="00C15131">
              <w:rPr>
                <w:rStyle w:val="Strong"/>
                <w:rFonts w:cs="Arial"/>
              </w:rPr>
              <w:t>Total</w:t>
            </w:r>
          </w:p>
        </w:tc>
      </w:tr>
      <w:tr w:rsidR="00511741" w:rsidRPr="00C15131" w14:paraId="6E4087F0" w14:textId="16CB028F" w:rsidTr="0047369A">
        <w:trPr>
          <w:trHeight w:val="300"/>
        </w:trPr>
        <w:tc>
          <w:tcPr>
            <w:tcW w:w="2587" w:type="dxa"/>
            <w:vMerge/>
            <w:shd w:val="clear" w:color="auto" w:fill="A6A6A6" w:themeFill="background1" w:themeFillShade="A6"/>
          </w:tcPr>
          <w:p w14:paraId="4EA77641" w14:textId="17CD43F9" w:rsidR="00511741" w:rsidRPr="00C15131" w:rsidRDefault="00511741" w:rsidP="00D07BB2">
            <w:pPr>
              <w:rPr>
                <w:rStyle w:val="Strong"/>
                <w:rFonts w:cs="Arial"/>
                <w:szCs w:val="20"/>
              </w:rPr>
            </w:pPr>
          </w:p>
        </w:tc>
        <w:tc>
          <w:tcPr>
            <w:tcW w:w="2178" w:type="dxa"/>
            <w:shd w:val="clear" w:color="auto" w:fill="BFBFBF" w:themeFill="background1" w:themeFillShade="BF"/>
            <w:vAlign w:val="center"/>
          </w:tcPr>
          <w:p w14:paraId="2F923550" w14:textId="470B00E9" w:rsidR="00511741" w:rsidRPr="00C15131" w:rsidRDefault="004B24D5" w:rsidP="00B9168C">
            <w:pPr>
              <w:rPr>
                <w:rStyle w:val="Strong"/>
                <w:rFonts w:cs="Arial"/>
              </w:rPr>
            </w:pPr>
            <w:r>
              <w:rPr>
                <w:rStyle w:val="Strong"/>
                <w:rFonts w:cs="Arial"/>
              </w:rPr>
              <w:t>S</w:t>
            </w:r>
            <w:r>
              <w:rPr>
                <w:rStyle w:val="Strong"/>
              </w:rPr>
              <w:t xml:space="preserve">C1 and SC2 </w:t>
            </w:r>
          </w:p>
        </w:tc>
        <w:tc>
          <w:tcPr>
            <w:tcW w:w="2179" w:type="dxa"/>
            <w:shd w:val="clear" w:color="auto" w:fill="BFBFBF" w:themeFill="background1" w:themeFillShade="BF"/>
            <w:vAlign w:val="center"/>
          </w:tcPr>
          <w:p w14:paraId="0970808C" w14:textId="29E77AFD" w:rsidR="00511741" w:rsidRPr="00C15131" w:rsidRDefault="00511741" w:rsidP="00B9168C">
            <w:pPr>
              <w:rPr>
                <w:rStyle w:val="Strong"/>
              </w:rPr>
            </w:pPr>
            <w:r w:rsidRPr="00C15131">
              <w:rPr>
                <w:rStyle w:val="Strong"/>
                <w:rFonts w:cs="Arial"/>
              </w:rPr>
              <w:t>Category 1–3</w:t>
            </w:r>
          </w:p>
        </w:tc>
        <w:tc>
          <w:tcPr>
            <w:tcW w:w="2179" w:type="dxa"/>
            <w:shd w:val="clear" w:color="auto" w:fill="BFBFBF" w:themeFill="background1" w:themeFillShade="BF"/>
            <w:vAlign w:val="center"/>
          </w:tcPr>
          <w:p w14:paraId="0D642096" w14:textId="691DF967" w:rsidR="00511741" w:rsidRPr="00C15131" w:rsidRDefault="004B24D5" w:rsidP="00B9168C">
            <w:pPr>
              <w:rPr>
                <w:rStyle w:val="Strong"/>
                <w:rFonts w:cs="Arial"/>
              </w:rPr>
            </w:pPr>
            <w:r w:rsidRPr="00C15131">
              <w:rPr>
                <w:rStyle w:val="Strong"/>
                <w:rFonts w:cs="Arial"/>
              </w:rPr>
              <w:t>Category 4–7</w:t>
            </w:r>
          </w:p>
        </w:tc>
        <w:tc>
          <w:tcPr>
            <w:tcW w:w="1327" w:type="dxa"/>
            <w:vMerge/>
            <w:shd w:val="clear" w:color="auto" w:fill="A6A6A6" w:themeFill="background1" w:themeFillShade="A6"/>
          </w:tcPr>
          <w:p w14:paraId="7F159C92" w14:textId="77777777" w:rsidR="00511741" w:rsidRPr="00C15131" w:rsidRDefault="00511741"/>
        </w:tc>
      </w:tr>
      <w:tr w:rsidR="00FB08F1" w:rsidRPr="00C15131" w14:paraId="1865D15A" w14:textId="77777777" w:rsidTr="0047369A">
        <w:trPr>
          <w:trHeight w:val="300"/>
        </w:trPr>
        <w:tc>
          <w:tcPr>
            <w:tcW w:w="10450" w:type="dxa"/>
            <w:gridSpan w:val="5"/>
            <w:shd w:val="clear" w:color="auto" w:fill="D9D9D9" w:themeFill="background1" w:themeFillShade="D9"/>
            <w:vAlign w:val="center"/>
          </w:tcPr>
          <w:p w14:paraId="60898FFD" w14:textId="145EA007" w:rsidR="00FB08F1" w:rsidRPr="00C15131" w:rsidRDefault="00C4361C" w:rsidP="0045623F">
            <w:pPr>
              <w:rPr>
                <w:rFonts w:cs="Arial"/>
              </w:rPr>
            </w:pPr>
            <w:r>
              <w:rPr>
                <w:rStyle w:val="Strong"/>
                <w:rFonts w:cs="Arial"/>
                <w:b w:val="0"/>
                <w:bCs w:val="0"/>
              </w:rPr>
              <w:t>Initiation activ</w:t>
            </w:r>
            <w:r w:rsidR="003F392D">
              <w:rPr>
                <w:rStyle w:val="Strong"/>
                <w:rFonts w:cs="Arial"/>
                <w:b w:val="0"/>
                <w:bCs w:val="0"/>
              </w:rPr>
              <w:t>ity</w:t>
            </w:r>
          </w:p>
        </w:tc>
      </w:tr>
      <w:tr w:rsidR="00186FB0" w:rsidRPr="00C15131" w14:paraId="177E8EF3" w14:textId="77777777" w:rsidTr="00C931AE">
        <w:trPr>
          <w:trHeight w:val="300"/>
        </w:trPr>
        <w:tc>
          <w:tcPr>
            <w:tcW w:w="2587" w:type="dxa"/>
            <w:vAlign w:val="center"/>
          </w:tcPr>
          <w:p w14:paraId="10D9C27C" w14:textId="19E06568" w:rsidR="00186FB0" w:rsidRPr="00C15131" w:rsidRDefault="00186FB0" w:rsidP="0045623F">
            <w:pPr>
              <w:rPr>
                <w:rStyle w:val="Strong"/>
                <w:rFonts w:cs="Arial"/>
                <w:b w:val="0"/>
                <w:bCs w:val="0"/>
              </w:rPr>
            </w:pPr>
            <w:r w:rsidRPr="00C15131">
              <w:rPr>
                <w:rStyle w:val="Strong"/>
                <w:rFonts w:cs="Arial"/>
                <w:b w:val="0"/>
                <w:bCs w:val="0"/>
              </w:rPr>
              <w:t xml:space="preserve">Request for </w:t>
            </w:r>
            <w:r w:rsidR="00357196">
              <w:rPr>
                <w:rStyle w:val="Strong"/>
                <w:rFonts w:cs="Arial"/>
                <w:b w:val="0"/>
                <w:bCs w:val="0"/>
              </w:rPr>
              <w:t>i</w:t>
            </w:r>
            <w:r w:rsidRPr="00C15131">
              <w:rPr>
                <w:rStyle w:val="Strong"/>
                <w:rFonts w:cs="Arial"/>
                <w:b w:val="0"/>
                <w:bCs w:val="0"/>
              </w:rPr>
              <w:t xml:space="preserve">nternal </w:t>
            </w:r>
            <w:r w:rsidR="00357196">
              <w:rPr>
                <w:rStyle w:val="Strong"/>
                <w:rFonts w:cs="Arial"/>
                <w:b w:val="0"/>
                <w:bCs w:val="0"/>
              </w:rPr>
              <w:t>m</w:t>
            </w:r>
            <w:r w:rsidRPr="00C15131">
              <w:rPr>
                <w:rStyle w:val="Strong"/>
                <w:rFonts w:cs="Arial"/>
                <w:b w:val="0"/>
                <w:bCs w:val="0"/>
              </w:rPr>
              <w:t xml:space="preserve">anagement </w:t>
            </w:r>
            <w:r w:rsidR="00357196">
              <w:rPr>
                <w:rStyle w:val="Strong"/>
                <w:rFonts w:cs="Arial"/>
                <w:b w:val="0"/>
                <w:bCs w:val="0"/>
              </w:rPr>
              <w:t>a</w:t>
            </w:r>
            <w:r w:rsidRPr="00C15131">
              <w:rPr>
                <w:rStyle w:val="Strong"/>
                <w:rFonts w:cs="Arial"/>
                <w:b w:val="0"/>
                <w:bCs w:val="0"/>
              </w:rPr>
              <w:t>ccounts</w:t>
            </w:r>
          </w:p>
        </w:tc>
        <w:tc>
          <w:tcPr>
            <w:tcW w:w="2178" w:type="dxa"/>
            <w:vAlign w:val="center"/>
          </w:tcPr>
          <w:p w14:paraId="0D06D0EA" w14:textId="25174178" w:rsidR="00186FB0" w:rsidRPr="00C15131" w:rsidRDefault="004B24D5" w:rsidP="0045623F">
            <w:pPr>
              <w:rPr>
                <w:rFonts w:cs="Arial"/>
                <w:szCs w:val="20"/>
              </w:rPr>
            </w:pPr>
            <w:r>
              <w:rPr>
                <w:rFonts w:cs="Arial"/>
                <w:szCs w:val="20"/>
              </w:rPr>
              <w:t>47</w:t>
            </w:r>
          </w:p>
        </w:tc>
        <w:tc>
          <w:tcPr>
            <w:tcW w:w="2179" w:type="dxa"/>
            <w:vAlign w:val="center"/>
          </w:tcPr>
          <w:p w14:paraId="59894785" w14:textId="6FAD26B5" w:rsidR="00186FB0" w:rsidRPr="00C15131" w:rsidRDefault="003E335E" w:rsidP="0045623F">
            <w:pPr>
              <w:rPr>
                <w:rFonts w:cs="Arial"/>
                <w:szCs w:val="20"/>
              </w:rPr>
            </w:pPr>
            <w:r w:rsidRPr="00C15131">
              <w:rPr>
                <w:rFonts w:cs="Arial"/>
                <w:szCs w:val="20"/>
              </w:rPr>
              <w:t>4</w:t>
            </w:r>
          </w:p>
        </w:tc>
        <w:tc>
          <w:tcPr>
            <w:tcW w:w="2179" w:type="dxa"/>
            <w:vAlign w:val="center"/>
          </w:tcPr>
          <w:p w14:paraId="0289A119" w14:textId="2686581E" w:rsidR="00186FB0" w:rsidRPr="00C15131" w:rsidRDefault="004B24D5" w:rsidP="0045623F">
            <w:pPr>
              <w:rPr>
                <w:rFonts w:cs="Arial"/>
              </w:rPr>
            </w:pPr>
            <w:r>
              <w:rPr>
                <w:rFonts w:cs="Arial"/>
              </w:rPr>
              <w:t>3</w:t>
            </w:r>
          </w:p>
        </w:tc>
        <w:tc>
          <w:tcPr>
            <w:tcW w:w="1327" w:type="dxa"/>
            <w:vAlign w:val="center"/>
          </w:tcPr>
          <w:p w14:paraId="74F5DF25" w14:textId="710FFA57" w:rsidR="00186FB0" w:rsidRPr="00C15131" w:rsidRDefault="008A4856" w:rsidP="004E64CA">
            <w:pPr>
              <w:rPr>
                <w:rFonts w:cs="Arial"/>
              </w:rPr>
            </w:pPr>
            <w:r w:rsidRPr="00C15131">
              <w:rPr>
                <w:rFonts w:cs="Arial"/>
              </w:rPr>
              <w:t>54</w:t>
            </w:r>
          </w:p>
        </w:tc>
      </w:tr>
      <w:tr w:rsidR="0045623F" w:rsidRPr="00C15131" w14:paraId="1D609F11" w14:textId="77777777" w:rsidTr="00C931AE">
        <w:trPr>
          <w:trHeight w:val="300"/>
        </w:trPr>
        <w:tc>
          <w:tcPr>
            <w:tcW w:w="2587" w:type="dxa"/>
            <w:vAlign w:val="center"/>
          </w:tcPr>
          <w:p w14:paraId="2F91DC2E" w14:textId="33CC6DCD" w:rsidR="0045623F" w:rsidRPr="00C15131" w:rsidRDefault="0045623F" w:rsidP="0045623F">
            <w:pPr>
              <w:rPr>
                <w:rStyle w:val="Strong"/>
                <w:rFonts w:cs="Arial"/>
                <w:b w:val="0"/>
                <w:bCs w:val="0"/>
              </w:rPr>
            </w:pPr>
            <w:r w:rsidRPr="00C15131">
              <w:rPr>
                <w:rStyle w:val="Strong"/>
                <w:rFonts w:cs="Arial"/>
                <w:b w:val="0"/>
                <w:bCs w:val="0"/>
              </w:rPr>
              <w:t>Financial audit commenced</w:t>
            </w:r>
          </w:p>
        </w:tc>
        <w:tc>
          <w:tcPr>
            <w:tcW w:w="2178" w:type="dxa"/>
            <w:vAlign w:val="center"/>
          </w:tcPr>
          <w:p w14:paraId="09B894AD" w14:textId="38436696" w:rsidR="0045623F" w:rsidRPr="00C15131" w:rsidRDefault="004B24D5" w:rsidP="0045623F">
            <w:pPr>
              <w:rPr>
                <w:rFonts w:cs="Arial"/>
                <w:szCs w:val="20"/>
              </w:rPr>
            </w:pPr>
            <w:r>
              <w:rPr>
                <w:rFonts w:cs="Arial"/>
                <w:szCs w:val="20"/>
              </w:rPr>
              <w:t>58</w:t>
            </w:r>
          </w:p>
        </w:tc>
        <w:tc>
          <w:tcPr>
            <w:tcW w:w="2179" w:type="dxa"/>
            <w:vAlign w:val="center"/>
          </w:tcPr>
          <w:p w14:paraId="092C5AA9" w14:textId="68844D36" w:rsidR="0045623F" w:rsidRPr="00C15131" w:rsidRDefault="00CC4209" w:rsidP="0045623F">
            <w:pPr>
              <w:rPr>
                <w:rFonts w:cs="Arial"/>
                <w:szCs w:val="20"/>
              </w:rPr>
            </w:pPr>
            <w:r w:rsidRPr="00C15131">
              <w:rPr>
                <w:rFonts w:cs="Arial"/>
                <w:szCs w:val="20"/>
              </w:rPr>
              <w:t>101</w:t>
            </w:r>
          </w:p>
        </w:tc>
        <w:tc>
          <w:tcPr>
            <w:tcW w:w="2179" w:type="dxa"/>
            <w:vAlign w:val="center"/>
          </w:tcPr>
          <w:p w14:paraId="059EC683" w14:textId="55D915F5" w:rsidR="0045623F" w:rsidRPr="00C15131" w:rsidRDefault="004B24D5" w:rsidP="0045623F">
            <w:pPr>
              <w:rPr>
                <w:rFonts w:cs="Arial"/>
              </w:rPr>
            </w:pPr>
            <w:r>
              <w:rPr>
                <w:rFonts w:cs="Arial"/>
              </w:rPr>
              <w:t>10</w:t>
            </w:r>
          </w:p>
        </w:tc>
        <w:tc>
          <w:tcPr>
            <w:tcW w:w="1327" w:type="dxa"/>
            <w:vAlign w:val="center"/>
          </w:tcPr>
          <w:p w14:paraId="37323D26" w14:textId="7EF6767E" w:rsidR="0045623F" w:rsidRPr="00C15131" w:rsidRDefault="00CC4209" w:rsidP="004E64CA">
            <w:pPr>
              <w:rPr>
                <w:rFonts w:cs="Arial"/>
              </w:rPr>
            </w:pPr>
            <w:r w:rsidRPr="00C15131">
              <w:rPr>
                <w:rFonts w:cs="Arial"/>
              </w:rPr>
              <w:t>169</w:t>
            </w:r>
          </w:p>
        </w:tc>
      </w:tr>
      <w:tr w:rsidR="005C7EB0" w:rsidRPr="00C15131" w14:paraId="291C0173" w14:textId="77777777" w:rsidTr="0047369A">
        <w:trPr>
          <w:trHeight w:val="300"/>
        </w:trPr>
        <w:tc>
          <w:tcPr>
            <w:tcW w:w="10450" w:type="dxa"/>
            <w:gridSpan w:val="5"/>
            <w:shd w:val="clear" w:color="auto" w:fill="D9D9D9" w:themeFill="background1" w:themeFillShade="D9"/>
            <w:vAlign w:val="center"/>
          </w:tcPr>
          <w:p w14:paraId="4805FF32" w14:textId="53C6C93D" w:rsidR="005C7EB0" w:rsidRPr="00E91C2C" w:rsidRDefault="005C7EB0" w:rsidP="00117794">
            <w:pPr>
              <w:rPr>
                <w:rStyle w:val="Strong"/>
                <w:b w:val="0"/>
                <w:bCs w:val="0"/>
              </w:rPr>
            </w:pPr>
            <w:r w:rsidRPr="00E91C2C">
              <w:rPr>
                <w:rStyle w:val="Strong"/>
                <w:rFonts w:cs="Arial"/>
                <w:b w:val="0"/>
                <w:bCs w:val="0"/>
              </w:rPr>
              <w:t>Non-compliance with financial audit</w:t>
            </w:r>
          </w:p>
        </w:tc>
      </w:tr>
      <w:tr w:rsidR="006C22B2" w:rsidRPr="00C15131" w14:paraId="32A9639B" w14:textId="20CFED0D" w:rsidTr="005132AE">
        <w:trPr>
          <w:trHeight w:val="300"/>
        </w:trPr>
        <w:tc>
          <w:tcPr>
            <w:tcW w:w="2587" w:type="dxa"/>
            <w:vAlign w:val="center"/>
          </w:tcPr>
          <w:p w14:paraId="5708B232" w14:textId="3570815B" w:rsidR="006C22B2" w:rsidRPr="00C15131" w:rsidRDefault="006C22B2" w:rsidP="00117794">
            <w:pPr>
              <w:rPr>
                <w:rStyle w:val="Strong"/>
                <w:b w:val="0"/>
              </w:rPr>
            </w:pPr>
            <w:r w:rsidRPr="00C15131">
              <w:rPr>
                <w:rStyle w:val="Strong"/>
                <w:rFonts w:cs="Arial"/>
                <w:b w:val="0"/>
                <w:bCs w:val="0"/>
              </w:rPr>
              <w:t>Show cause notice</w:t>
            </w:r>
          </w:p>
        </w:tc>
        <w:tc>
          <w:tcPr>
            <w:tcW w:w="2178" w:type="dxa"/>
            <w:vAlign w:val="center"/>
          </w:tcPr>
          <w:p w14:paraId="344E590E" w14:textId="3097BB6F" w:rsidR="006C22B2" w:rsidRPr="00C15131" w:rsidRDefault="00B677DC" w:rsidP="00117794">
            <w:pPr>
              <w:rPr>
                <w:rFonts w:cs="Arial"/>
                <w:szCs w:val="20"/>
              </w:rPr>
            </w:pPr>
            <w:r>
              <w:rPr>
                <w:rFonts w:cs="Arial"/>
                <w:szCs w:val="20"/>
              </w:rPr>
              <w:t>22</w:t>
            </w:r>
          </w:p>
        </w:tc>
        <w:tc>
          <w:tcPr>
            <w:tcW w:w="2179" w:type="dxa"/>
            <w:vAlign w:val="center"/>
          </w:tcPr>
          <w:p w14:paraId="03A90DB2" w14:textId="4EE6A873" w:rsidR="006C22B2" w:rsidRPr="00C15131" w:rsidRDefault="006C22B2" w:rsidP="00117794">
            <w:pPr>
              <w:rPr>
                <w:rFonts w:cs="Arial"/>
                <w:szCs w:val="20"/>
              </w:rPr>
            </w:pPr>
            <w:r w:rsidRPr="00C15131">
              <w:rPr>
                <w:rFonts w:cs="Arial"/>
                <w:szCs w:val="20"/>
              </w:rPr>
              <w:t xml:space="preserve">25 </w:t>
            </w:r>
          </w:p>
        </w:tc>
        <w:tc>
          <w:tcPr>
            <w:tcW w:w="2179" w:type="dxa"/>
            <w:vAlign w:val="center"/>
          </w:tcPr>
          <w:p w14:paraId="4424225D" w14:textId="63418F1F" w:rsidR="006C22B2" w:rsidRPr="00C15131" w:rsidRDefault="00B677DC" w:rsidP="00117794">
            <w:pPr>
              <w:rPr>
                <w:rFonts w:cs="Arial"/>
              </w:rPr>
            </w:pPr>
            <w:r>
              <w:rPr>
                <w:rFonts w:cs="Arial"/>
              </w:rPr>
              <w:t>6</w:t>
            </w:r>
          </w:p>
        </w:tc>
        <w:tc>
          <w:tcPr>
            <w:tcW w:w="1327" w:type="dxa"/>
          </w:tcPr>
          <w:p w14:paraId="7D482B56" w14:textId="38FA152B" w:rsidR="006C22B2" w:rsidRPr="00C15131" w:rsidRDefault="006C22B2" w:rsidP="00117794">
            <w:pPr>
              <w:rPr>
                <w:rFonts w:cs="Arial"/>
              </w:rPr>
            </w:pPr>
            <w:r w:rsidRPr="00C15131">
              <w:rPr>
                <w:rFonts w:cs="Arial"/>
              </w:rPr>
              <w:t>53</w:t>
            </w:r>
          </w:p>
        </w:tc>
      </w:tr>
      <w:tr w:rsidR="006C22B2" w:rsidRPr="00C15131" w14:paraId="301F2297" w14:textId="1E0F6FD0" w:rsidTr="005132AE">
        <w:trPr>
          <w:trHeight w:val="300"/>
        </w:trPr>
        <w:tc>
          <w:tcPr>
            <w:tcW w:w="2587" w:type="dxa"/>
            <w:vAlign w:val="center"/>
          </w:tcPr>
          <w:p w14:paraId="275EED41" w14:textId="34104907" w:rsidR="006C22B2" w:rsidRPr="00C15131" w:rsidRDefault="006C22B2" w:rsidP="00117794">
            <w:pPr>
              <w:rPr>
                <w:rStyle w:val="Strong"/>
                <w:b w:val="0"/>
              </w:rPr>
            </w:pPr>
            <w:r w:rsidRPr="00C15131">
              <w:rPr>
                <w:rStyle w:val="Strong"/>
                <w:rFonts w:cs="Arial"/>
                <w:b w:val="0"/>
                <w:bCs w:val="0"/>
              </w:rPr>
              <w:t>Licence suspension</w:t>
            </w:r>
          </w:p>
        </w:tc>
        <w:tc>
          <w:tcPr>
            <w:tcW w:w="2178" w:type="dxa"/>
            <w:vAlign w:val="center"/>
          </w:tcPr>
          <w:p w14:paraId="5C995D25" w14:textId="2615044F" w:rsidR="006C22B2" w:rsidRPr="00C15131" w:rsidRDefault="00B677DC" w:rsidP="00117794">
            <w:pPr>
              <w:rPr>
                <w:rFonts w:cs="Arial"/>
              </w:rPr>
            </w:pPr>
            <w:r>
              <w:rPr>
                <w:rFonts w:cs="Arial"/>
              </w:rPr>
              <w:t>2</w:t>
            </w:r>
          </w:p>
        </w:tc>
        <w:tc>
          <w:tcPr>
            <w:tcW w:w="2179" w:type="dxa"/>
            <w:vAlign w:val="center"/>
          </w:tcPr>
          <w:p w14:paraId="7FC09613" w14:textId="271D875B" w:rsidR="006C22B2" w:rsidRPr="00C15131" w:rsidRDefault="006C22B2" w:rsidP="00117794">
            <w:pPr>
              <w:rPr>
                <w:rFonts w:cs="Arial"/>
                <w:szCs w:val="20"/>
              </w:rPr>
            </w:pPr>
            <w:r w:rsidRPr="00C15131">
              <w:rPr>
                <w:rFonts w:cs="Arial"/>
                <w:szCs w:val="20"/>
              </w:rPr>
              <w:t xml:space="preserve">4 </w:t>
            </w:r>
          </w:p>
        </w:tc>
        <w:tc>
          <w:tcPr>
            <w:tcW w:w="2179" w:type="dxa"/>
            <w:vAlign w:val="center"/>
          </w:tcPr>
          <w:p w14:paraId="5EAD4D65" w14:textId="5C79F272" w:rsidR="006C22B2" w:rsidRPr="00C15131" w:rsidRDefault="00B677DC" w:rsidP="00117794">
            <w:pPr>
              <w:rPr>
                <w:rFonts w:cs="Arial"/>
              </w:rPr>
            </w:pPr>
            <w:r>
              <w:rPr>
                <w:rFonts w:cs="Arial"/>
              </w:rPr>
              <w:t>1</w:t>
            </w:r>
          </w:p>
        </w:tc>
        <w:tc>
          <w:tcPr>
            <w:tcW w:w="1327" w:type="dxa"/>
          </w:tcPr>
          <w:p w14:paraId="5EEA7A8B" w14:textId="7F795BEE" w:rsidR="006C22B2" w:rsidRPr="00C15131" w:rsidRDefault="006C22B2" w:rsidP="00117794">
            <w:pPr>
              <w:rPr>
                <w:rFonts w:cs="Arial"/>
              </w:rPr>
            </w:pPr>
            <w:r w:rsidRPr="00C15131">
              <w:rPr>
                <w:rFonts w:cs="Arial"/>
              </w:rPr>
              <w:t>7</w:t>
            </w:r>
          </w:p>
        </w:tc>
      </w:tr>
      <w:tr w:rsidR="006C22B2" w:rsidRPr="00C15131" w14:paraId="21FFFBF2" w14:textId="5DB816E4" w:rsidTr="005132AE">
        <w:trPr>
          <w:trHeight w:val="300"/>
        </w:trPr>
        <w:tc>
          <w:tcPr>
            <w:tcW w:w="2587" w:type="dxa"/>
            <w:vAlign w:val="center"/>
          </w:tcPr>
          <w:p w14:paraId="357EC63C" w14:textId="6A00EE25" w:rsidR="006C22B2" w:rsidRPr="00C15131" w:rsidRDefault="006C22B2" w:rsidP="00117794">
            <w:pPr>
              <w:rPr>
                <w:rStyle w:val="Strong"/>
                <w:b w:val="0"/>
              </w:rPr>
            </w:pPr>
            <w:r w:rsidRPr="00C15131">
              <w:rPr>
                <w:rStyle w:val="Strong"/>
                <w:rFonts w:cs="Arial"/>
                <w:b w:val="0"/>
                <w:bCs w:val="0"/>
              </w:rPr>
              <w:t>Licence cance</w:t>
            </w:r>
            <w:r w:rsidR="002D477C">
              <w:rPr>
                <w:rStyle w:val="Strong"/>
                <w:rFonts w:cs="Arial"/>
                <w:b w:val="0"/>
                <w:bCs w:val="0"/>
              </w:rPr>
              <w:t>l</w:t>
            </w:r>
            <w:r w:rsidRPr="00C15131">
              <w:rPr>
                <w:rStyle w:val="Strong"/>
                <w:rFonts w:cs="Arial"/>
                <w:b w:val="0"/>
                <w:bCs w:val="0"/>
              </w:rPr>
              <w:t>lation</w:t>
            </w:r>
          </w:p>
        </w:tc>
        <w:tc>
          <w:tcPr>
            <w:tcW w:w="2178" w:type="dxa"/>
            <w:vAlign w:val="center"/>
          </w:tcPr>
          <w:p w14:paraId="634FE6A6" w14:textId="34C96EDD" w:rsidR="006C22B2" w:rsidRPr="00C15131" w:rsidRDefault="00B677DC" w:rsidP="00117794">
            <w:pPr>
              <w:rPr>
                <w:rFonts w:cs="Arial"/>
              </w:rPr>
            </w:pPr>
            <w:r>
              <w:rPr>
                <w:rFonts w:cs="Arial"/>
              </w:rPr>
              <w:t>2</w:t>
            </w:r>
          </w:p>
        </w:tc>
        <w:tc>
          <w:tcPr>
            <w:tcW w:w="2179" w:type="dxa"/>
            <w:vAlign w:val="center"/>
          </w:tcPr>
          <w:p w14:paraId="5B87BB4B" w14:textId="45CA200F" w:rsidR="006C22B2" w:rsidRPr="00C15131" w:rsidRDefault="006C22B2" w:rsidP="00117794">
            <w:pPr>
              <w:rPr>
                <w:rFonts w:cs="Arial"/>
              </w:rPr>
            </w:pPr>
            <w:r w:rsidRPr="00C15131">
              <w:rPr>
                <w:rFonts w:cs="Arial"/>
              </w:rPr>
              <w:t>2</w:t>
            </w:r>
          </w:p>
        </w:tc>
        <w:tc>
          <w:tcPr>
            <w:tcW w:w="2179" w:type="dxa"/>
            <w:vAlign w:val="center"/>
          </w:tcPr>
          <w:p w14:paraId="6145F70D" w14:textId="0CF01AA2" w:rsidR="006C22B2" w:rsidRPr="00C15131" w:rsidRDefault="00B677DC" w:rsidP="00117794">
            <w:pPr>
              <w:rPr>
                <w:rFonts w:cs="Arial"/>
              </w:rPr>
            </w:pPr>
            <w:r>
              <w:rPr>
                <w:rFonts w:cs="Arial"/>
              </w:rPr>
              <w:t>1</w:t>
            </w:r>
          </w:p>
        </w:tc>
        <w:tc>
          <w:tcPr>
            <w:tcW w:w="1327" w:type="dxa"/>
          </w:tcPr>
          <w:p w14:paraId="79F70EAC" w14:textId="14D08436" w:rsidR="006C22B2" w:rsidRPr="00C15131" w:rsidRDefault="006C22B2" w:rsidP="00117794">
            <w:pPr>
              <w:rPr>
                <w:rFonts w:cs="Arial"/>
              </w:rPr>
            </w:pPr>
            <w:r w:rsidRPr="00C15131">
              <w:rPr>
                <w:rFonts w:cs="Arial"/>
              </w:rPr>
              <w:t>5</w:t>
            </w:r>
          </w:p>
        </w:tc>
      </w:tr>
      <w:tr w:rsidR="006C22B2" w:rsidRPr="00C15131" w14:paraId="48F5BB6A" w14:textId="77777777" w:rsidTr="0047369A">
        <w:trPr>
          <w:trHeight w:val="300"/>
        </w:trPr>
        <w:tc>
          <w:tcPr>
            <w:tcW w:w="10450" w:type="dxa"/>
            <w:gridSpan w:val="5"/>
            <w:shd w:val="clear" w:color="auto" w:fill="D9D9D9" w:themeFill="background1" w:themeFillShade="D9"/>
            <w:vAlign w:val="center"/>
          </w:tcPr>
          <w:p w14:paraId="56424FA1" w14:textId="3AC8C37E" w:rsidR="006C22B2" w:rsidRPr="00C15131" w:rsidRDefault="006C22B2" w:rsidP="00117794">
            <w:pPr>
              <w:rPr>
                <w:rFonts w:cs="Arial"/>
              </w:rPr>
            </w:pPr>
            <w:r>
              <w:t xml:space="preserve">Non-compliance with </w:t>
            </w:r>
            <w:r w:rsidR="00250CF3" w:rsidRPr="00250CF3">
              <w:t>M</w:t>
            </w:r>
            <w:r w:rsidR="0014458F">
              <w:t>FR</w:t>
            </w:r>
          </w:p>
        </w:tc>
      </w:tr>
      <w:tr w:rsidR="006C22B2" w:rsidRPr="00C15131" w14:paraId="5BDE86C1" w14:textId="3DCC8855" w:rsidTr="005132AE">
        <w:trPr>
          <w:trHeight w:val="300"/>
        </w:trPr>
        <w:tc>
          <w:tcPr>
            <w:tcW w:w="2587" w:type="dxa"/>
            <w:vAlign w:val="center"/>
          </w:tcPr>
          <w:p w14:paraId="62A1EC1E" w14:textId="0069FED3" w:rsidR="006C22B2" w:rsidRPr="00C15131" w:rsidRDefault="006C22B2" w:rsidP="00117794">
            <w:pPr>
              <w:rPr>
                <w:rStyle w:val="Strong"/>
                <w:b w:val="0"/>
              </w:rPr>
            </w:pPr>
            <w:r w:rsidRPr="00C15131">
              <w:rPr>
                <w:rStyle w:val="Strong"/>
                <w:rFonts w:cs="Arial"/>
                <w:b w:val="0"/>
                <w:bCs w:val="0"/>
              </w:rPr>
              <w:t>Show cause notice</w:t>
            </w:r>
          </w:p>
        </w:tc>
        <w:tc>
          <w:tcPr>
            <w:tcW w:w="2178" w:type="dxa"/>
            <w:vAlign w:val="center"/>
          </w:tcPr>
          <w:p w14:paraId="78EC24D8" w14:textId="4AA6FE3A" w:rsidR="006C22B2" w:rsidRPr="00C15131" w:rsidRDefault="00A54CE4" w:rsidP="00117794">
            <w:pPr>
              <w:rPr>
                <w:rFonts w:cs="Arial"/>
              </w:rPr>
            </w:pPr>
            <w:r>
              <w:rPr>
                <w:rFonts w:cs="Arial"/>
              </w:rPr>
              <w:t>11</w:t>
            </w:r>
          </w:p>
        </w:tc>
        <w:tc>
          <w:tcPr>
            <w:tcW w:w="2179" w:type="dxa"/>
            <w:vAlign w:val="center"/>
          </w:tcPr>
          <w:p w14:paraId="164E6C88" w14:textId="44661237" w:rsidR="006C22B2" w:rsidRPr="00C15131" w:rsidRDefault="006C22B2" w:rsidP="00117794">
            <w:pPr>
              <w:rPr>
                <w:rFonts w:cs="Arial"/>
              </w:rPr>
            </w:pPr>
            <w:r w:rsidRPr="00C15131">
              <w:rPr>
                <w:rFonts w:cs="Arial"/>
              </w:rPr>
              <w:t>25</w:t>
            </w:r>
          </w:p>
        </w:tc>
        <w:tc>
          <w:tcPr>
            <w:tcW w:w="2179" w:type="dxa"/>
            <w:vAlign w:val="center"/>
          </w:tcPr>
          <w:p w14:paraId="59A64CD6" w14:textId="103C87AD" w:rsidR="006C22B2" w:rsidRPr="00C15131" w:rsidRDefault="00A54CE4" w:rsidP="00117794">
            <w:pPr>
              <w:rPr>
                <w:rFonts w:cs="Arial"/>
              </w:rPr>
            </w:pPr>
            <w:r>
              <w:rPr>
                <w:rFonts w:cs="Arial"/>
              </w:rPr>
              <w:t>45</w:t>
            </w:r>
          </w:p>
        </w:tc>
        <w:tc>
          <w:tcPr>
            <w:tcW w:w="1327" w:type="dxa"/>
          </w:tcPr>
          <w:p w14:paraId="2C5D2BAE" w14:textId="12E40D7D" w:rsidR="006C22B2" w:rsidRPr="00C15131" w:rsidRDefault="006C22B2" w:rsidP="00117794">
            <w:pPr>
              <w:rPr>
                <w:rFonts w:cs="Arial"/>
              </w:rPr>
            </w:pPr>
            <w:r w:rsidRPr="00C15131">
              <w:rPr>
                <w:rFonts w:cs="Arial"/>
              </w:rPr>
              <w:t>81</w:t>
            </w:r>
          </w:p>
        </w:tc>
      </w:tr>
      <w:tr w:rsidR="006C22B2" w:rsidRPr="00C15131" w14:paraId="7F2E30BA" w14:textId="533DBA90" w:rsidTr="005132AE">
        <w:trPr>
          <w:trHeight w:val="300"/>
        </w:trPr>
        <w:tc>
          <w:tcPr>
            <w:tcW w:w="2587" w:type="dxa"/>
          </w:tcPr>
          <w:p w14:paraId="4A0E37D7" w14:textId="63986476" w:rsidR="006C22B2" w:rsidRPr="00C15131" w:rsidRDefault="006C22B2" w:rsidP="00117794">
            <w:pPr>
              <w:rPr>
                <w:rStyle w:val="Strong"/>
                <w:b w:val="0"/>
              </w:rPr>
            </w:pPr>
            <w:r w:rsidRPr="00C15131">
              <w:rPr>
                <w:rStyle w:val="Strong"/>
                <w:rFonts w:cs="Arial"/>
                <w:b w:val="0"/>
                <w:bCs w:val="0"/>
              </w:rPr>
              <w:t>Licence suspen</w:t>
            </w:r>
            <w:r w:rsidRPr="00C15131">
              <w:rPr>
                <w:rStyle w:val="Strong"/>
                <w:b w:val="0"/>
                <w:bCs w:val="0"/>
              </w:rPr>
              <w:t>sion</w:t>
            </w:r>
          </w:p>
        </w:tc>
        <w:tc>
          <w:tcPr>
            <w:tcW w:w="2178" w:type="dxa"/>
            <w:vAlign w:val="center"/>
          </w:tcPr>
          <w:p w14:paraId="1E80FCD6" w14:textId="51E62137" w:rsidR="006C22B2" w:rsidRPr="00C15131" w:rsidRDefault="006C22B2" w:rsidP="00117794">
            <w:pPr>
              <w:rPr>
                <w:rFonts w:cs="Arial"/>
              </w:rPr>
            </w:pPr>
            <w:r w:rsidRPr="00C15131">
              <w:rPr>
                <w:rFonts w:cs="Arial"/>
              </w:rPr>
              <w:t>2</w:t>
            </w:r>
          </w:p>
        </w:tc>
        <w:tc>
          <w:tcPr>
            <w:tcW w:w="2179" w:type="dxa"/>
            <w:vAlign w:val="center"/>
          </w:tcPr>
          <w:p w14:paraId="55706D64" w14:textId="04952CA7" w:rsidR="006C22B2" w:rsidRPr="00C15131" w:rsidRDefault="006C22B2" w:rsidP="00117794">
            <w:pPr>
              <w:rPr>
                <w:rFonts w:cs="Arial"/>
              </w:rPr>
            </w:pPr>
            <w:r w:rsidRPr="00C15131">
              <w:rPr>
                <w:rFonts w:cs="Arial"/>
              </w:rPr>
              <w:t>4</w:t>
            </w:r>
          </w:p>
        </w:tc>
        <w:tc>
          <w:tcPr>
            <w:tcW w:w="2179" w:type="dxa"/>
            <w:vAlign w:val="center"/>
          </w:tcPr>
          <w:p w14:paraId="55217263" w14:textId="69DEA4D5" w:rsidR="006C22B2" w:rsidRPr="00C15131" w:rsidRDefault="006C22B2" w:rsidP="00117794">
            <w:pPr>
              <w:rPr>
                <w:rFonts w:cs="Arial"/>
              </w:rPr>
            </w:pPr>
            <w:r w:rsidRPr="00C15131">
              <w:rPr>
                <w:rFonts w:cs="Arial"/>
              </w:rPr>
              <w:t>2</w:t>
            </w:r>
          </w:p>
        </w:tc>
        <w:tc>
          <w:tcPr>
            <w:tcW w:w="1327" w:type="dxa"/>
          </w:tcPr>
          <w:p w14:paraId="646AE000" w14:textId="1D6678FD" w:rsidR="006C22B2" w:rsidRPr="00C15131" w:rsidRDefault="006C22B2" w:rsidP="00117794">
            <w:pPr>
              <w:rPr>
                <w:rFonts w:cs="Arial"/>
              </w:rPr>
            </w:pPr>
            <w:r w:rsidRPr="00C15131">
              <w:rPr>
                <w:rFonts w:cs="Arial"/>
              </w:rPr>
              <w:t>8</w:t>
            </w:r>
          </w:p>
        </w:tc>
      </w:tr>
      <w:tr w:rsidR="006C22B2" w:rsidRPr="00C15131" w14:paraId="49824598" w14:textId="5993E790" w:rsidTr="005132AE">
        <w:trPr>
          <w:trHeight w:val="300"/>
        </w:trPr>
        <w:tc>
          <w:tcPr>
            <w:tcW w:w="2587" w:type="dxa"/>
          </w:tcPr>
          <w:p w14:paraId="1A033370" w14:textId="3D7BE6E2" w:rsidR="006C22B2" w:rsidRPr="00C15131" w:rsidRDefault="006C22B2" w:rsidP="00117794">
            <w:pPr>
              <w:rPr>
                <w:rStyle w:val="Strong"/>
                <w:b w:val="0"/>
              </w:rPr>
            </w:pPr>
            <w:r w:rsidRPr="00C15131">
              <w:rPr>
                <w:rStyle w:val="Strong"/>
                <w:rFonts w:cs="Arial"/>
                <w:b w:val="0"/>
                <w:bCs w:val="0"/>
              </w:rPr>
              <w:t>Licence cancel</w:t>
            </w:r>
            <w:r w:rsidR="002012CC">
              <w:rPr>
                <w:rStyle w:val="Strong"/>
                <w:rFonts w:cs="Arial"/>
                <w:b w:val="0"/>
                <w:bCs w:val="0"/>
              </w:rPr>
              <w:t>l</w:t>
            </w:r>
            <w:r w:rsidRPr="00C15131">
              <w:rPr>
                <w:rStyle w:val="Strong"/>
                <w:rFonts w:cs="Arial"/>
                <w:b w:val="0"/>
                <w:bCs w:val="0"/>
              </w:rPr>
              <w:t>ation</w:t>
            </w:r>
          </w:p>
        </w:tc>
        <w:tc>
          <w:tcPr>
            <w:tcW w:w="2178" w:type="dxa"/>
            <w:vAlign w:val="center"/>
          </w:tcPr>
          <w:p w14:paraId="07D912C1" w14:textId="520D7DEB" w:rsidR="006C22B2" w:rsidRPr="00C15131" w:rsidRDefault="00A54CE4" w:rsidP="00117794">
            <w:pPr>
              <w:rPr>
                <w:rFonts w:cs="Arial"/>
              </w:rPr>
            </w:pPr>
            <w:r>
              <w:rPr>
                <w:rFonts w:cs="Arial"/>
              </w:rPr>
              <w:t>3</w:t>
            </w:r>
          </w:p>
        </w:tc>
        <w:tc>
          <w:tcPr>
            <w:tcW w:w="2179" w:type="dxa"/>
            <w:vAlign w:val="center"/>
          </w:tcPr>
          <w:p w14:paraId="2DB11908" w14:textId="4876537C" w:rsidR="006C22B2" w:rsidRPr="00C15131" w:rsidRDefault="006C22B2" w:rsidP="00117794">
            <w:pPr>
              <w:rPr>
                <w:rFonts w:cs="Arial"/>
              </w:rPr>
            </w:pPr>
            <w:r w:rsidRPr="00C15131">
              <w:rPr>
                <w:rFonts w:cs="Arial"/>
              </w:rPr>
              <w:t>3</w:t>
            </w:r>
          </w:p>
        </w:tc>
        <w:tc>
          <w:tcPr>
            <w:tcW w:w="2179" w:type="dxa"/>
            <w:vAlign w:val="center"/>
          </w:tcPr>
          <w:p w14:paraId="7E1A141B" w14:textId="456C3967" w:rsidR="006C22B2" w:rsidRPr="00C15131" w:rsidRDefault="00A54CE4" w:rsidP="00117794">
            <w:pPr>
              <w:rPr>
                <w:rFonts w:cs="Arial"/>
              </w:rPr>
            </w:pPr>
            <w:r>
              <w:rPr>
                <w:rFonts w:cs="Arial"/>
              </w:rPr>
              <w:t>2</w:t>
            </w:r>
          </w:p>
        </w:tc>
        <w:tc>
          <w:tcPr>
            <w:tcW w:w="1327" w:type="dxa"/>
          </w:tcPr>
          <w:p w14:paraId="539465FE" w14:textId="4C3041BE" w:rsidR="006C22B2" w:rsidRPr="00C15131" w:rsidRDefault="006C22B2" w:rsidP="00117794">
            <w:pPr>
              <w:rPr>
                <w:rFonts w:cs="Arial"/>
              </w:rPr>
            </w:pPr>
            <w:r w:rsidRPr="00C15131">
              <w:rPr>
                <w:rFonts w:cs="Arial"/>
              </w:rPr>
              <w:t>8</w:t>
            </w:r>
          </w:p>
        </w:tc>
      </w:tr>
    </w:tbl>
    <w:p w14:paraId="78534619" w14:textId="20A8FC80" w:rsidR="00C01886" w:rsidRPr="004D482E" w:rsidRDefault="7D940254" w:rsidP="007F1C62">
      <w:pPr>
        <w:spacing w:before="120" w:after="120"/>
        <w:rPr>
          <w:rFonts w:cs="Arial"/>
          <w:szCs w:val="22"/>
        </w:rPr>
      </w:pPr>
      <w:r w:rsidRPr="7E4EA285">
        <w:rPr>
          <w:rFonts w:cs="Arial"/>
        </w:rPr>
        <w:t xml:space="preserve">Outside of annual </w:t>
      </w:r>
      <w:r w:rsidR="00984151">
        <w:rPr>
          <w:rFonts w:cs="Arial"/>
        </w:rPr>
        <w:t>financial</w:t>
      </w:r>
      <w:r w:rsidRPr="7E4EA285">
        <w:rPr>
          <w:rFonts w:cs="Arial"/>
        </w:rPr>
        <w:t xml:space="preserve"> reporting, t</w:t>
      </w:r>
      <w:r w:rsidR="00F73FED" w:rsidRPr="7E4EA285">
        <w:rPr>
          <w:rFonts w:cs="Arial"/>
        </w:rPr>
        <w:t xml:space="preserve">he QBCC </w:t>
      </w:r>
      <w:r w:rsidR="3A0266E0" w:rsidRPr="7E4EA285">
        <w:rPr>
          <w:rFonts w:cs="Arial"/>
        </w:rPr>
        <w:t>conduct</w:t>
      </w:r>
      <w:r w:rsidR="048E8048" w:rsidRPr="7E4EA285">
        <w:rPr>
          <w:rFonts w:cs="Arial"/>
        </w:rPr>
        <w:t>s</w:t>
      </w:r>
      <w:r w:rsidR="3A0266E0" w:rsidRPr="7E4EA285">
        <w:rPr>
          <w:rFonts w:cs="Arial"/>
        </w:rPr>
        <w:t xml:space="preserve"> </w:t>
      </w:r>
      <w:r w:rsidR="6C06F116" w:rsidRPr="7E4EA285">
        <w:rPr>
          <w:rFonts w:cs="Arial"/>
        </w:rPr>
        <w:t>proactive</w:t>
      </w:r>
      <w:r w:rsidR="00F73FED" w:rsidRPr="7E4EA285">
        <w:rPr>
          <w:rFonts w:cs="Arial"/>
        </w:rPr>
        <w:t xml:space="preserve"> </w:t>
      </w:r>
      <w:r w:rsidR="0089074E">
        <w:rPr>
          <w:rFonts w:cs="Arial"/>
        </w:rPr>
        <w:t>regulatory acti</w:t>
      </w:r>
      <w:r w:rsidR="005F4BF6">
        <w:rPr>
          <w:rFonts w:cs="Arial"/>
        </w:rPr>
        <w:t>vities</w:t>
      </w:r>
      <w:r w:rsidR="00F73FED" w:rsidRPr="7E4EA285">
        <w:rPr>
          <w:rFonts w:cs="Arial"/>
        </w:rPr>
        <w:t xml:space="preserve"> </w:t>
      </w:r>
      <w:r w:rsidR="79B9B2D6" w:rsidRPr="7E4EA285">
        <w:rPr>
          <w:rFonts w:cs="Arial"/>
        </w:rPr>
        <w:t xml:space="preserve">to ensure ongoing compliance, identify emerging financial risks and safeguard consumers and industry from potential </w:t>
      </w:r>
      <w:r w:rsidR="1FD5A24C" w:rsidRPr="7E4EA285">
        <w:rPr>
          <w:rFonts w:cs="Arial"/>
        </w:rPr>
        <w:t>financial distress</w:t>
      </w:r>
      <w:r w:rsidR="79B9B2D6" w:rsidRPr="7E4EA285">
        <w:rPr>
          <w:rFonts w:cs="Arial"/>
        </w:rPr>
        <w:t>.</w:t>
      </w:r>
      <w:r w:rsidR="5051B908" w:rsidRPr="7E4EA285">
        <w:rPr>
          <w:rFonts w:cs="Arial"/>
        </w:rPr>
        <w:t xml:space="preserve"> </w:t>
      </w:r>
      <w:r w:rsidR="00E66EFC">
        <w:rPr>
          <w:rFonts w:cs="Arial"/>
        </w:rPr>
        <w:fldChar w:fldCharType="begin"/>
      </w:r>
      <w:r w:rsidR="00E66EFC">
        <w:rPr>
          <w:rFonts w:cs="Arial"/>
        </w:rPr>
        <w:instrText xml:space="preserve"> REF _Ref201908123 \h </w:instrText>
      </w:r>
      <w:r w:rsidR="00E66EFC">
        <w:rPr>
          <w:rFonts w:cs="Arial"/>
        </w:rPr>
      </w:r>
      <w:r w:rsidR="00E66EFC">
        <w:rPr>
          <w:rFonts w:cs="Arial"/>
        </w:rPr>
        <w:fldChar w:fldCharType="separate"/>
      </w:r>
      <w:r w:rsidR="00CC44DF">
        <w:t xml:space="preserve">Table </w:t>
      </w:r>
      <w:r w:rsidR="00CC44DF" w:rsidRPr="00A57D9E">
        <w:t>9</w:t>
      </w:r>
      <w:r w:rsidR="00E66EFC">
        <w:rPr>
          <w:rFonts w:cs="Arial"/>
        </w:rPr>
        <w:fldChar w:fldCharType="end"/>
      </w:r>
      <w:r w:rsidR="00C01886" w:rsidRPr="7E4EA285">
        <w:rPr>
          <w:rFonts w:cs="Arial"/>
        </w:rPr>
        <w:t xml:space="preserve"> </w:t>
      </w:r>
      <w:r w:rsidR="068C72B6" w:rsidRPr="7E4EA285">
        <w:rPr>
          <w:rFonts w:cs="Arial"/>
        </w:rPr>
        <w:t>provides an overview of the</w:t>
      </w:r>
      <w:r w:rsidR="000618DF" w:rsidRPr="7E4EA285">
        <w:rPr>
          <w:rFonts w:cs="Arial"/>
        </w:rPr>
        <w:t xml:space="preserve"> </w:t>
      </w:r>
      <w:r w:rsidR="00C01886" w:rsidRPr="7E4EA285">
        <w:rPr>
          <w:rFonts w:cs="Arial"/>
        </w:rPr>
        <w:t>regulatory action</w:t>
      </w:r>
      <w:r w:rsidR="006752DD" w:rsidRPr="7E4EA285">
        <w:rPr>
          <w:rFonts w:cs="Arial"/>
        </w:rPr>
        <w:t>s</w:t>
      </w:r>
      <w:r w:rsidR="00C01886" w:rsidRPr="7E4EA285">
        <w:rPr>
          <w:rFonts w:cs="Arial"/>
        </w:rPr>
        <w:t xml:space="preserve"> taken for non-compliance </w:t>
      </w:r>
      <w:r w:rsidR="46A779B4" w:rsidRPr="7E4EA285">
        <w:rPr>
          <w:rFonts w:cs="Arial"/>
        </w:rPr>
        <w:t>cases</w:t>
      </w:r>
      <w:r w:rsidR="00C01886" w:rsidRPr="7E4EA285">
        <w:rPr>
          <w:rFonts w:cs="Arial"/>
        </w:rPr>
        <w:t xml:space="preserve"> outside of </w:t>
      </w:r>
      <w:r w:rsidR="00D07552" w:rsidRPr="7E4EA285">
        <w:rPr>
          <w:rFonts w:cs="Arial"/>
        </w:rPr>
        <w:t>a</w:t>
      </w:r>
      <w:r w:rsidR="00C01886" w:rsidRPr="7E4EA285">
        <w:rPr>
          <w:rFonts w:cs="Arial"/>
        </w:rPr>
        <w:t xml:space="preserve">nnual </w:t>
      </w:r>
      <w:r w:rsidR="00D07552" w:rsidRPr="7E4EA285">
        <w:rPr>
          <w:rFonts w:cs="Arial"/>
        </w:rPr>
        <w:t>financial r</w:t>
      </w:r>
      <w:r w:rsidR="00C01886" w:rsidRPr="7E4EA285">
        <w:rPr>
          <w:rFonts w:cs="Arial"/>
        </w:rPr>
        <w:t>eporting.</w:t>
      </w:r>
    </w:p>
    <w:p w14:paraId="2DB521F9" w14:textId="63A84F1B" w:rsidR="00C01886" w:rsidRPr="00115F1E" w:rsidRDefault="001A6123" w:rsidP="00147E58">
      <w:pPr>
        <w:pStyle w:val="Caption"/>
        <w:keepNext/>
        <w:spacing w:before="120" w:after="120"/>
      </w:pPr>
      <w:bookmarkStart w:id="69" w:name="_Ref201908123"/>
      <w:bookmarkStart w:id="70" w:name="_Toc202872039"/>
      <w:bookmarkStart w:id="71" w:name="_Toc202872659"/>
      <w:r>
        <w:t xml:space="preserve">Table </w:t>
      </w:r>
      <w:r>
        <w:fldChar w:fldCharType="begin"/>
      </w:r>
      <w:r>
        <w:instrText>SEQ Table \* ARABIC</w:instrText>
      </w:r>
      <w:r>
        <w:fldChar w:fldCharType="separate"/>
      </w:r>
      <w:r w:rsidR="0042456A" w:rsidRPr="00A57D9E">
        <w:t>9</w:t>
      </w:r>
      <w:r>
        <w:fldChar w:fldCharType="end"/>
      </w:r>
      <w:bookmarkEnd w:id="69"/>
      <w:r w:rsidRPr="004E0B46">
        <w:t xml:space="preserve">: </w:t>
      </w:r>
      <w:bookmarkStart w:id="72" w:name="_Ref202873506"/>
      <w:r w:rsidRPr="004E0B46">
        <w:t>Number of regulatory actions taken in 2024–25 outside of annual financial reporting</w:t>
      </w:r>
      <w:bookmarkEnd w:id="70"/>
      <w:bookmarkEnd w:id="71"/>
      <w:bookmarkEnd w:id="72"/>
    </w:p>
    <w:tbl>
      <w:tblPr>
        <w:tblStyle w:val="TableGrid"/>
        <w:tblW w:w="0" w:type="auto"/>
        <w:tblLook w:val="04A0" w:firstRow="1" w:lastRow="0" w:firstColumn="1" w:lastColumn="0" w:noHBand="0" w:noVBand="1"/>
      </w:tblPr>
      <w:tblGrid>
        <w:gridCol w:w="3435"/>
        <w:gridCol w:w="1671"/>
        <w:gridCol w:w="1741"/>
        <w:gridCol w:w="1741"/>
        <w:gridCol w:w="1862"/>
      </w:tblGrid>
      <w:tr w:rsidR="005266FE" w:rsidRPr="00E82E22" w14:paraId="5688E11C" w14:textId="53C88A4D" w:rsidTr="003D7575">
        <w:tc>
          <w:tcPr>
            <w:tcW w:w="3435" w:type="dxa"/>
            <w:vMerge w:val="restart"/>
            <w:shd w:val="clear" w:color="auto" w:fill="A6A6A6" w:themeFill="background1" w:themeFillShade="A6"/>
            <w:vAlign w:val="center"/>
          </w:tcPr>
          <w:p w14:paraId="383D47E4" w14:textId="18CF7665" w:rsidR="005266FE" w:rsidRPr="00E82E22" w:rsidRDefault="005266FE" w:rsidP="005266FE">
            <w:r w:rsidRPr="00E82E22">
              <w:rPr>
                <w:rStyle w:val="Strong"/>
                <w:rFonts w:cs="Arial"/>
              </w:rPr>
              <w:t>Regulatory action</w:t>
            </w:r>
          </w:p>
        </w:tc>
        <w:tc>
          <w:tcPr>
            <w:tcW w:w="5153" w:type="dxa"/>
            <w:gridSpan w:val="3"/>
            <w:shd w:val="clear" w:color="auto" w:fill="A6A6A6" w:themeFill="background1" w:themeFillShade="A6"/>
            <w:vAlign w:val="center"/>
          </w:tcPr>
          <w:p w14:paraId="739C8435" w14:textId="2DA24266" w:rsidR="005266FE" w:rsidRPr="00E82E22" w:rsidRDefault="005266FE" w:rsidP="005266FE">
            <w:pPr>
              <w:jc w:val="center"/>
            </w:pPr>
            <w:r w:rsidRPr="00E82E22">
              <w:rPr>
                <w:rStyle w:val="Strong"/>
                <w:rFonts w:cs="Arial"/>
              </w:rPr>
              <w:t>Licensee category</w:t>
            </w:r>
          </w:p>
        </w:tc>
        <w:tc>
          <w:tcPr>
            <w:tcW w:w="1862" w:type="dxa"/>
            <w:vMerge w:val="restart"/>
            <w:shd w:val="clear" w:color="auto" w:fill="A6A6A6" w:themeFill="background1" w:themeFillShade="A6"/>
            <w:vAlign w:val="center"/>
          </w:tcPr>
          <w:p w14:paraId="4F6E9DCA" w14:textId="1E12B385" w:rsidR="005266FE" w:rsidRPr="00E82E22" w:rsidRDefault="005266FE" w:rsidP="005266FE">
            <w:r w:rsidRPr="00E82E22">
              <w:rPr>
                <w:b/>
                <w:bCs/>
              </w:rPr>
              <w:t>Total</w:t>
            </w:r>
          </w:p>
        </w:tc>
      </w:tr>
      <w:tr w:rsidR="005266FE" w:rsidRPr="00E82E22" w14:paraId="311C3A9F" w14:textId="65B4998C" w:rsidTr="20BE9D8C">
        <w:tc>
          <w:tcPr>
            <w:tcW w:w="3435" w:type="dxa"/>
            <w:vMerge/>
            <w:vAlign w:val="center"/>
          </w:tcPr>
          <w:p w14:paraId="5811F8F3" w14:textId="77777777" w:rsidR="005266FE" w:rsidRPr="00E82E22" w:rsidRDefault="005266FE" w:rsidP="005266FE"/>
        </w:tc>
        <w:tc>
          <w:tcPr>
            <w:tcW w:w="1671" w:type="dxa"/>
            <w:shd w:val="clear" w:color="auto" w:fill="BFBFBF" w:themeFill="background1" w:themeFillShade="BF"/>
            <w:vAlign w:val="center"/>
          </w:tcPr>
          <w:p w14:paraId="44885D04" w14:textId="3E3DD5F0" w:rsidR="005266FE" w:rsidRPr="00E82E22" w:rsidRDefault="009E237A" w:rsidP="005266FE">
            <w:r>
              <w:rPr>
                <w:rStyle w:val="Strong"/>
              </w:rPr>
              <w:t>SC1 and SC2</w:t>
            </w:r>
          </w:p>
        </w:tc>
        <w:tc>
          <w:tcPr>
            <w:tcW w:w="1741" w:type="dxa"/>
            <w:shd w:val="clear" w:color="auto" w:fill="BFBFBF" w:themeFill="background1" w:themeFillShade="BF"/>
            <w:vAlign w:val="center"/>
          </w:tcPr>
          <w:p w14:paraId="3E653B05" w14:textId="58304638" w:rsidR="005266FE" w:rsidRPr="00E82E22" w:rsidRDefault="005266FE" w:rsidP="005266FE">
            <w:r w:rsidRPr="00E82E22">
              <w:rPr>
                <w:rStyle w:val="Strong"/>
                <w:rFonts w:cs="Arial"/>
              </w:rPr>
              <w:t>Category 1–3</w:t>
            </w:r>
          </w:p>
        </w:tc>
        <w:tc>
          <w:tcPr>
            <w:tcW w:w="1741" w:type="dxa"/>
            <w:shd w:val="clear" w:color="auto" w:fill="BFBFBF" w:themeFill="background1" w:themeFillShade="BF"/>
            <w:vAlign w:val="center"/>
          </w:tcPr>
          <w:p w14:paraId="4C95FD1E" w14:textId="6154AF4D" w:rsidR="005266FE" w:rsidRPr="00E82E22" w:rsidRDefault="006F72F1" w:rsidP="005266FE">
            <w:r w:rsidRPr="00E82E22">
              <w:rPr>
                <w:rStyle w:val="Strong"/>
                <w:rFonts w:cs="Arial"/>
              </w:rPr>
              <w:t>Category 4–7</w:t>
            </w:r>
          </w:p>
        </w:tc>
        <w:tc>
          <w:tcPr>
            <w:tcW w:w="1862" w:type="dxa"/>
            <w:vMerge/>
            <w:vAlign w:val="center"/>
          </w:tcPr>
          <w:p w14:paraId="5C737396" w14:textId="77777777" w:rsidR="005266FE" w:rsidRPr="00E82E22" w:rsidRDefault="005266FE" w:rsidP="005266FE"/>
        </w:tc>
      </w:tr>
      <w:tr w:rsidR="00AD66D5" w:rsidRPr="00E82E22" w14:paraId="4F08945B" w14:textId="77777777" w:rsidTr="005D5E17">
        <w:tc>
          <w:tcPr>
            <w:tcW w:w="10450" w:type="dxa"/>
            <w:gridSpan w:val="5"/>
            <w:shd w:val="clear" w:color="auto" w:fill="D9D9D9" w:themeFill="background1" w:themeFillShade="D9"/>
            <w:vAlign w:val="center"/>
          </w:tcPr>
          <w:p w14:paraId="255528BD" w14:textId="1122C21B" w:rsidR="00AD66D5" w:rsidRPr="00E82E22" w:rsidRDefault="00AD66D5" w:rsidP="00FB7C2A">
            <w:pPr>
              <w:rPr>
                <w:rFonts w:cs="Arial"/>
              </w:rPr>
            </w:pPr>
            <w:r>
              <w:rPr>
                <w:rStyle w:val="Strong"/>
                <w:rFonts w:cs="Arial"/>
                <w:b w:val="0"/>
                <w:bCs w:val="0"/>
              </w:rPr>
              <w:t>Initiation activity</w:t>
            </w:r>
          </w:p>
        </w:tc>
      </w:tr>
      <w:tr w:rsidR="00186FB0" w:rsidRPr="00E82E22" w14:paraId="71E9CE92" w14:textId="77777777" w:rsidTr="003D7575">
        <w:tc>
          <w:tcPr>
            <w:tcW w:w="3435" w:type="dxa"/>
            <w:vAlign w:val="center"/>
          </w:tcPr>
          <w:p w14:paraId="4B271B32" w14:textId="0929D72C" w:rsidR="00186FB0" w:rsidRPr="00E82E22" w:rsidRDefault="00186FB0" w:rsidP="00FB7C2A">
            <w:pPr>
              <w:rPr>
                <w:rStyle w:val="Strong"/>
                <w:rFonts w:cs="Arial"/>
                <w:b w:val="0"/>
                <w:bCs w:val="0"/>
              </w:rPr>
            </w:pPr>
            <w:r w:rsidRPr="00E82E22">
              <w:rPr>
                <w:rStyle w:val="Strong"/>
                <w:rFonts w:cs="Arial"/>
                <w:b w:val="0"/>
                <w:bCs w:val="0"/>
              </w:rPr>
              <w:t xml:space="preserve">Request for </w:t>
            </w:r>
            <w:r w:rsidR="006959F7">
              <w:rPr>
                <w:rStyle w:val="Strong"/>
                <w:rFonts w:cs="Arial"/>
                <w:b w:val="0"/>
                <w:bCs w:val="0"/>
              </w:rPr>
              <w:t>i</w:t>
            </w:r>
            <w:r w:rsidRPr="00E82E22">
              <w:rPr>
                <w:rStyle w:val="Strong"/>
                <w:rFonts w:cs="Arial"/>
                <w:b w:val="0"/>
                <w:bCs w:val="0"/>
              </w:rPr>
              <w:t xml:space="preserve">nternal </w:t>
            </w:r>
            <w:r w:rsidR="006959F7">
              <w:rPr>
                <w:rStyle w:val="Strong"/>
                <w:rFonts w:cs="Arial"/>
                <w:b w:val="0"/>
                <w:bCs w:val="0"/>
              </w:rPr>
              <w:t>m</w:t>
            </w:r>
            <w:r w:rsidRPr="00E82E22">
              <w:rPr>
                <w:rStyle w:val="Strong"/>
                <w:rFonts w:cs="Arial"/>
                <w:b w:val="0"/>
                <w:bCs w:val="0"/>
              </w:rPr>
              <w:t xml:space="preserve">anagement </w:t>
            </w:r>
            <w:r w:rsidR="006959F7">
              <w:rPr>
                <w:rStyle w:val="Strong"/>
                <w:rFonts w:cs="Arial"/>
                <w:b w:val="0"/>
                <w:bCs w:val="0"/>
              </w:rPr>
              <w:t>a</w:t>
            </w:r>
            <w:r w:rsidRPr="00E82E22">
              <w:rPr>
                <w:rStyle w:val="Strong"/>
                <w:rFonts w:cs="Arial"/>
                <w:b w:val="0"/>
                <w:bCs w:val="0"/>
              </w:rPr>
              <w:t>ccounts</w:t>
            </w:r>
          </w:p>
        </w:tc>
        <w:tc>
          <w:tcPr>
            <w:tcW w:w="1671" w:type="dxa"/>
            <w:vAlign w:val="center"/>
          </w:tcPr>
          <w:p w14:paraId="364B27D4" w14:textId="568A889C" w:rsidR="00186FB0" w:rsidRPr="00E82E22" w:rsidRDefault="006F72F1" w:rsidP="00FB7C2A">
            <w:pPr>
              <w:rPr>
                <w:rFonts w:cs="Arial"/>
                <w:szCs w:val="20"/>
              </w:rPr>
            </w:pPr>
            <w:r>
              <w:rPr>
                <w:rFonts w:cs="Arial"/>
                <w:szCs w:val="20"/>
              </w:rPr>
              <w:t>82</w:t>
            </w:r>
          </w:p>
        </w:tc>
        <w:tc>
          <w:tcPr>
            <w:tcW w:w="1741" w:type="dxa"/>
            <w:vAlign w:val="center"/>
          </w:tcPr>
          <w:p w14:paraId="7C43C19C" w14:textId="561B2A1D" w:rsidR="00186FB0" w:rsidRPr="00E82E22" w:rsidRDefault="006D4336" w:rsidP="00FB7C2A">
            <w:pPr>
              <w:rPr>
                <w:rFonts w:cs="Arial"/>
                <w:szCs w:val="20"/>
              </w:rPr>
            </w:pPr>
            <w:r w:rsidRPr="00E82E22">
              <w:rPr>
                <w:rFonts w:cs="Arial"/>
                <w:szCs w:val="20"/>
              </w:rPr>
              <w:t>157</w:t>
            </w:r>
          </w:p>
        </w:tc>
        <w:tc>
          <w:tcPr>
            <w:tcW w:w="1741" w:type="dxa"/>
            <w:vAlign w:val="center"/>
          </w:tcPr>
          <w:p w14:paraId="4E677675" w14:textId="6176BDBA" w:rsidR="00186FB0" w:rsidRPr="00E82E22" w:rsidRDefault="006F72F1" w:rsidP="00FB7C2A">
            <w:pPr>
              <w:rPr>
                <w:rFonts w:cs="Arial"/>
                <w:szCs w:val="20"/>
              </w:rPr>
            </w:pPr>
            <w:r>
              <w:rPr>
                <w:rFonts w:cs="Arial"/>
                <w:szCs w:val="20"/>
              </w:rPr>
              <w:t>9</w:t>
            </w:r>
          </w:p>
        </w:tc>
        <w:tc>
          <w:tcPr>
            <w:tcW w:w="1862" w:type="dxa"/>
            <w:vAlign w:val="center"/>
          </w:tcPr>
          <w:p w14:paraId="723838D9" w14:textId="70845E16" w:rsidR="00186FB0" w:rsidRPr="00E82E22" w:rsidRDefault="00E37C03" w:rsidP="00FB7C2A">
            <w:pPr>
              <w:rPr>
                <w:rFonts w:cs="Arial"/>
              </w:rPr>
            </w:pPr>
            <w:r w:rsidRPr="00E82E22">
              <w:rPr>
                <w:rFonts w:cs="Arial"/>
              </w:rPr>
              <w:t>248</w:t>
            </w:r>
          </w:p>
        </w:tc>
      </w:tr>
      <w:tr w:rsidR="00FB7C2A" w:rsidRPr="00E82E22" w14:paraId="302C0EBF" w14:textId="77777777" w:rsidTr="003D7575">
        <w:tc>
          <w:tcPr>
            <w:tcW w:w="3435" w:type="dxa"/>
            <w:vAlign w:val="center"/>
          </w:tcPr>
          <w:p w14:paraId="66A3A13A" w14:textId="4945C11E" w:rsidR="00FB7C2A" w:rsidRPr="00E82E22" w:rsidRDefault="00FB7C2A" w:rsidP="00FB7C2A">
            <w:pPr>
              <w:rPr>
                <w:rStyle w:val="Strong"/>
                <w:rFonts w:cs="Arial"/>
                <w:b w:val="0"/>
                <w:bCs w:val="0"/>
              </w:rPr>
            </w:pPr>
            <w:r w:rsidRPr="00E82E22">
              <w:rPr>
                <w:rStyle w:val="Strong"/>
                <w:rFonts w:cs="Arial"/>
                <w:b w:val="0"/>
                <w:bCs w:val="0"/>
              </w:rPr>
              <w:t>Financial audit commenced</w:t>
            </w:r>
          </w:p>
        </w:tc>
        <w:tc>
          <w:tcPr>
            <w:tcW w:w="1671" w:type="dxa"/>
            <w:vAlign w:val="center"/>
          </w:tcPr>
          <w:p w14:paraId="2E6D27C1" w14:textId="6F537E7C" w:rsidR="00FB7C2A" w:rsidRPr="00E82E22" w:rsidRDefault="006F72F1" w:rsidP="00FB7C2A">
            <w:pPr>
              <w:rPr>
                <w:rFonts w:cs="Arial"/>
                <w:szCs w:val="20"/>
              </w:rPr>
            </w:pPr>
            <w:r>
              <w:rPr>
                <w:rFonts w:cs="Arial"/>
                <w:szCs w:val="20"/>
              </w:rPr>
              <w:t>89</w:t>
            </w:r>
          </w:p>
        </w:tc>
        <w:tc>
          <w:tcPr>
            <w:tcW w:w="1741" w:type="dxa"/>
            <w:vAlign w:val="center"/>
          </w:tcPr>
          <w:p w14:paraId="2C9AF05B" w14:textId="5607FE75" w:rsidR="00FB7C2A" w:rsidRPr="00E82E22" w:rsidRDefault="000D6B5D" w:rsidP="00FB7C2A">
            <w:pPr>
              <w:rPr>
                <w:rFonts w:cs="Arial"/>
                <w:szCs w:val="20"/>
              </w:rPr>
            </w:pPr>
            <w:r w:rsidRPr="00E82E22">
              <w:rPr>
                <w:rFonts w:cs="Arial"/>
                <w:szCs w:val="20"/>
              </w:rPr>
              <w:t>138</w:t>
            </w:r>
          </w:p>
        </w:tc>
        <w:tc>
          <w:tcPr>
            <w:tcW w:w="1741" w:type="dxa"/>
            <w:vAlign w:val="center"/>
          </w:tcPr>
          <w:p w14:paraId="4F039359" w14:textId="44025208" w:rsidR="00FB7C2A" w:rsidRPr="00E82E22" w:rsidRDefault="000D6B5D" w:rsidP="00FB7C2A">
            <w:pPr>
              <w:rPr>
                <w:rFonts w:cs="Arial"/>
                <w:szCs w:val="20"/>
              </w:rPr>
            </w:pPr>
            <w:r w:rsidRPr="00E82E22">
              <w:rPr>
                <w:rFonts w:cs="Arial"/>
                <w:szCs w:val="20"/>
              </w:rPr>
              <w:t>8</w:t>
            </w:r>
          </w:p>
        </w:tc>
        <w:tc>
          <w:tcPr>
            <w:tcW w:w="1862" w:type="dxa"/>
            <w:vAlign w:val="center"/>
          </w:tcPr>
          <w:p w14:paraId="57389153" w14:textId="7CEB4459" w:rsidR="00FB7C2A" w:rsidRPr="00E82E22" w:rsidRDefault="00E37C03" w:rsidP="00FB7C2A">
            <w:pPr>
              <w:rPr>
                <w:rFonts w:cs="Arial"/>
              </w:rPr>
            </w:pPr>
            <w:r w:rsidRPr="00E82E22">
              <w:rPr>
                <w:rFonts w:cs="Arial"/>
              </w:rPr>
              <w:t>235</w:t>
            </w:r>
          </w:p>
        </w:tc>
      </w:tr>
      <w:tr w:rsidR="00AD66D5" w:rsidRPr="00E82E22" w14:paraId="4495FCC6" w14:textId="77777777" w:rsidTr="005D5E17">
        <w:tc>
          <w:tcPr>
            <w:tcW w:w="10450" w:type="dxa"/>
            <w:gridSpan w:val="5"/>
            <w:shd w:val="clear" w:color="auto" w:fill="D9D9D9" w:themeFill="background1" w:themeFillShade="D9"/>
            <w:vAlign w:val="center"/>
          </w:tcPr>
          <w:p w14:paraId="396DCE74" w14:textId="0B21BFEE" w:rsidR="00AD66D5" w:rsidRPr="00E82E22" w:rsidRDefault="00AD66D5" w:rsidP="00FB7C2A">
            <w:pPr>
              <w:rPr>
                <w:rFonts w:cs="Arial"/>
              </w:rPr>
            </w:pPr>
            <w:r w:rsidRPr="00AD66D5">
              <w:rPr>
                <w:rStyle w:val="Strong"/>
                <w:rFonts w:cs="Arial"/>
                <w:b w:val="0"/>
                <w:bCs w:val="0"/>
              </w:rPr>
              <w:t>Non-compliance with financial audit</w:t>
            </w:r>
          </w:p>
        </w:tc>
      </w:tr>
      <w:tr w:rsidR="00AD66D5" w:rsidRPr="00E82E22" w14:paraId="146AD6C5" w14:textId="459B3FF0" w:rsidTr="003D7575">
        <w:trPr>
          <w:trHeight w:val="346"/>
        </w:trPr>
        <w:tc>
          <w:tcPr>
            <w:tcW w:w="3435" w:type="dxa"/>
            <w:vAlign w:val="center"/>
          </w:tcPr>
          <w:p w14:paraId="49C9B762" w14:textId="740761BC" w:rsidR="00AD66D5" w:rsidRPr="00E82E22" w:rsidRDefault="00AD66D5" w:rsidP="005266FE">
            <w:r w:rsidRPr="00E82E22">
              <w:rPr>
                <w:rStyle w:val="Strong"/>
                <w:rFonts w:cs="Arial"/>
                <w:b w:val="0"/>
                <w:bCs w:val="0"/>
              </w:rPr>
              <w:t>Show cause notice</w:t>
            </w:r>
          </w:p>
        </w:tc>
        <w:tc>
          <w:tcPr>
            <w:tcW w:w="1671" w:type="dxa"/>
            <w:vAlign w:val="center"/>
          </w:tcPr>
          <w:p w14:paraId="5A8D1500" w14:textId="262C60F9" w:rsidR="00AD66D5" w:rsidRPr="00E82E22" w:rsidRDefault="00AD66D5" w:rsidP="005266FE">
            <w:r w:rsidRPr="00E82E22">
              <w:rPr>
                <w:rFonts w:cs="Arial"/>
                <w:szCs w:val="20"/>
              </w:rPr>
              <w:t>4</w:t>
            </w:r>
            <w:r w:rsidR="006F72F1">
              <w:rPr>
                <w:rFonts w:cs="Arial"/>
                <w:szCs w:val="20"/>
              </w:rPr>
              <w:t>0</w:t>
            </w:r>
          </w:p>
        </w:tc>
        <w:tc>
          <w:tcPr>
            <w:tcW w:w="1741" w:type="dxa"/>
            <w:vAlign w:val="center"/>
          </w:tcPr>
          <w:p w14:paraId="716B7824" w14:textId="2C6A2708" w:rsidR="00AD66D5" w:rsidRPr="00E82E22" w:rsidRDefault="00AD66D5" w:rsidP="005266FE">
            <w:r w:rsidRPr="00E82E22">
              <w:rPr>
                <w:rFonts w:cs="Arial"/>
                <w:szCs w:val="20"/>
              </w:rPr>
              <w:t xml:space="preserve">72 </w:t>
            </w:r>
          </w:p>
        </w:tc>
        <w:tc>
          <w:tcPr>
            <w:tcW w:w="1741" w:type="dxa"/>
            <w:vAlign w:val="center"/>
          </w:tcPr>
          <w:p w14:paraId="42ECE06F" w14:textId="1DCC7B23" w:rsidR="00AD66D5" w:rsidRPr="00E82E22" w:rsidRDefault="00AD66D5" w:rsidP="005266FE">
            <w:r w:rsidRPr="00E82E22">
              <w:rPr>
                <w:rFonts w:cs="Arial"/>
                <w:szCs w:val="20"/>
              </w:rPr>
              <w:t>4</w:t>
            </w:r>
          </w:p>
        </w:tc>
        <w:tc>
          <w:tcPr>
            <w:tcW w:w="1862" w:type="dxa"/>
            <w:vAlign w:val="center"/>
          </w:tcPr>
          <w:p w14:paraId="6FF0C34F" w14:textId="07CBFE1F" w:rsidR="00AD66D5" w:rsidRPr="00E82E22" w:rsidRDefault="00AD66D5" w:rsidP="005266FE">
            <w:r w:rsidRPr="00E82E22">
              <w:rPr>
                <w:rFonts w:cs="Arial"/>
              </w:rPr>
              <w:t>116</w:t>
            </w:r>
          </w:p>
        </w:tc>
      </w:tr>
      <w:tr w:rsidR="00AD66D5" w:rsidRPr="00E82E22" w14:paraId="39209D60" w14:textId="6920E0D8" w:rsidTr="003D7575">
        <w:tc>
          <w:tcPr>
            <w:tcW w:w="3435" w:type="dxa"/>
            <w:vAlign w:val="center"/>
          </w:tcPr>
          <w:p w14:paraId="53CEA3B9" w14:textId="05202606" w:rsidR="00AD66D5" w:rsidRPr="00E82E22" w:rsidRDefault="00AD66D5" w:rsidP="005266FE">
            <w:r w:rsidRPr="00E82E22">
              <w:rPr>
                <w:rStyle w:val="Strong"/>
                <w:rFonts w:cs="Arial"/>
                <w:b w:val="0"/>
                <w:bCs w:val="0"/>
              </w:rPr>
              <w:t>Licence suspension</w:t>
            </w:r>
          </w:p>
        </w:tc>
        <w:tc>
          <w:tcPr>
            <w:tcW w:w="1671" w:type="dxa"/>
            <w:vAlign w:val="center"/>
          </w:tcPr>
          <w:p w14:paraId="396BC9D2" w14:textId="169620E1" w:rsidR="00AD66D5" w:rsidRPr="00E82E22" w:rsidRDefault="006F72F1" w:rsidP="005266FE">
            <w:r>
              <w:t>25</w:t>
            </w:r>
          </w:p>
        </w:tc>
        <w:tc>
          <w:tcPr>
            <w:tcW w:w="1741" w:type="dxa"/>
            <w:vAlign w:val="center"/>
          </w:tcPr>
          <w:p w14:paraId="772A606B" w14:textId="6E504A92" w:rsidR="00AD66D5" w:rsidRPr="00E82E22" w:rsidRDefault="00AD66D5" w:rsidP="005266FE">
            <w:r w:rsidRPr="00E82E22">
              <w:rPr>
                <w:rFonts w:cs="Arial"/>
                <w:szCs w:val="20"/>
              </w:rPr>
              <w:t>27</w:t>
            </w:r>
          </w:p>
        </w:tc>
        <w:tc>
          <w:tcPr>
            <w:tcW w:w="1741" w:type="dxa"/>
            <w:vAlign w:val="center"/>
          </w:tcPr>
          <w:p w14:paraId="2FC1CEA0" w14:textId="746A1765" w:rsidR="00AD66D5" w:rsidRPr="00E82E22" w:rsidRDefault="006F72F1" w:rsidP="005266FE">
            <w:r>
              <w:t>1</w:t>
            </w:r>
          </w:p>
        </w:tc>
        <w:tc>
          <w:tcPr>
            <w:tcW w:w="1862" w:type="dxa"/>
            <w:vAlign w:val="center"/>
          </w:tcPr>
          <w:p w14:paraId="2D5EA379" w14:textId="35BD7EEA" w:rsidR="00AD66D5" w:rsidRPr="00E82E22" w:rsidRDefault="00AD66D5" w:rsidP="005266FE">
            <w:r w:rsidRPr="00E82E22">
              <w:rPr>
                <w:rFonts w:cs="Arial"/>
              </w:rPr>
              <w:t>53</w:t>
            </w:r>
          </w:p>
        </w:tc>
      </w:tr>
      <w:tr w:rsidR="00AD66D5" w:rsidRPr="00E82E22" w14:paraId="25D4175E" w14:textId="488B9B5B" w:rsidTr="003D7575">
        <w:tc>
          <w:tcPr>
            <w:tcW w:w="3435" w:type="dxa"/>
            <w:vAlign w:val="center"/>
          </w:tcPr>
          <w:p w14:paraId="1208DD2E" w14:textId="54AF170E" w:rsidR="00AD66D5" w:rsidRPr="00E82E22" w:rsidRDefault="00AD66D5" w:rsidP="005266FE">
            <w:r w:rsidRPr="00E82E22">
              <w:rPr>
                <w:rStyle w:val="Strong"/>
                <w:rFonts w:cs="Arial"/>
                <w:b w:val="0"/>
                <w:bCs w:val="0"/>
              </w:rPr>
              <w:t>Licence cancell</w:t>
            </w:r>
            <w:r w:rsidR="002B6EDB">
              <w:rPr>
                <w:rStyle w:val="Strong"/>
                <w:rFonts w:cs="Arial"/>
                <w:b w:val="0"/>
                <w:bCs w:val="0"/>
              </w:rPr>
              <w:t>a</w:t>
            </w:r>
            <w:r w:rsidR="002B6EDB" w:rsidRPr="002B6EDB">
              <w:rPr>
                <w:rStyle w:val="Strong"/>
                <w:b w:val="0"/>
                <w:bCs w:val="0"/>
              </w:rPr>
              <w:t>tion</w:t>
            </w:r>
          </w:p>
        </w:tc>
        <w:tc>
          <w:tcPr>
            <w:tcW w:w="1671" w:type="dxa"/>
            <w:vAlign w:val="center"/>
          </w:tcPr>
          <w:p w14:paraId="7919E35B" w14:textId="74B7FC9C" w:rsidR="00AD66D5" w:rsidRPr="00E82E22" w:rsidRDefault="006F72F1" w:rsidP="005266FE">
            <w:r>
              <w:t>16</w:t>
            </w:r>
          </w:p>
        </w:tc>
        <w:tc>
          <w:tcPr>
            <w:tcW w:w="1741" w:type="dxa"/>
            <w:vAlign w:val="center"/>
          </w:tcPr>
          <w:p w14:paraId="71341C5B" w14:textId="52BDA025" w:rsidR="00AD66D5" w:rsidRPr="00E82E22" w:rsidRDefault="00AD66D5" w:rsidP="005266FE">
            <w:r w:rsidRPr="00E82E22">
              <w:rPr>
                <w:rFonts w:cs="Arial"/>
                <w:szCs w:val="20"/>
              </w:rPr>
              <w:t xml:space="preserve">11 </w:t>
            </w:r>
          </w:p>
        </w:tc>
        <w:tc>
          <w:tcPr>
            <w:tcW w:w="1741" w:type="dxa"/>
            <w:vAlign w:val="center"/>
          </w:tcPr>
          <w:p w14:paraId="7730CA76" w14:textId="7FA2829A" w:rsidR="00AD66D5" w:rsidRPr="00E82E22" w:rsidRDefault="006F72F1" w:rsidP="005266FE">
            <w:r>
              <w:t>0</w:t>
            </w:r>
          </w:p>
        </w:tc>
        <w:tc>
          <w:tcPr>
            <w:tcW w:w="1862" w:type="dxa"/>
            <w:vAlign w:val="center"/>
          </w:tcPr>
          <w:p w14:paraId="2ED3CA2D" w14:textId="3C56ED4C" w:rsidR="00AD66D5" w:rsidRPr="00E82E22" w:rsidRDefault="00AD66D5" w:rsidP="005266FE">
            <w:r w:rsidRPr="00E82E22">
              <w:rPr>
                <w:rFonts w:cs="Arial"/>
              </w:rPr>
              <w:t>27</w:t>
            </w:r>
          </w:p>
        </w:tc>
      </w:tr>
      <w:tr w:rsidR="00AD66D5" w:rsidRPr="00E82E22" w14:paraId="699D68E5" w14:textId="77777777" w:rsidTr="005D5E17">
        <w:tc>
          <w:tcPr>
            <w:tcW w:w="10450" w:type="dxa"/>
            <w:gridSpan w:val="5"/>
            <w:shd w:val="clear" w:color="auto" w:fill="D9D9D9" w:themeFill="background1" w:themeFillShade="D9"/>
            <w:vAlign w:val="center"/>
          </w:tcPr>
          <w:p w14:paraId="5B8A7453" w14:textId="7FC74DAD" w:rsidR="00AD66D5" w:rsidRPr="00E82E22" w:rsidRDefault="00AD66D5" w:rsidP="005266FE">
            <w:pPr>
              <w:rPr>
                <w:rFonts w:cs="Arial"/>
              </w:rPr>
            </w:pPr>
            <w:r w:rsidRPr="00AD66D5">
              <w:rPr>
                <w:rFonts w:cs="Arial"/>
              </w:rPr>
              <w:t>Non-compliance with M</w:t>
            </w:r>
            <w:r w:rsidR="00D93C9B">
              <w:rPr>
                <w:rFonts w:cs="Arial"/>
              </w:rPr>
              <w:t>FR</w:t>
            </w:r>
          </w:p>
        </w:tc>
      </w:tr>
      <w:tr w:rsidR="00AD66D5" w:rsidRPr="00E82E22" w14:paraId="32E1016B" w14:textId="77777777" w:rsidTr="003D7575">
        <w:tc>
          <w:tcPr>
            <w:tcW w:w="3435" w:type="dxa"/>
            <w:vAlign w:val="center"/>
          </w:tcPr>
          <w:p w14:paraId="36679184" w14:textId="33EB67D0" w:rsidR="00AD66D5" w:rsidRPr="00E82E22" w:rsidRDefault="00AD66D5" w:rsidP="005266FE">
            <w:pPr>
              <w:rPr>
                <w:rStyle w:val="Strong"/>
                <w:rFonts w:cs="Arial"/>
                <w:b w:val="0"/>
                <w:bCs w:val="0"/>
              </w:rPr>
            </w:pPr>
            <w:r w:rsidRPr="00E82E22">
              <w:rPr>
                <w:rStyle w:val="Strong"/>
                <w:rFonts w:cs="Arial"/>
                <w:b w:val="0"/>
                <w:bCs w:val="0"/>
              </w:rPr>
              <w:t xml:space="preserve">Show cause notice </w:t>
            </w:r>
          </w:p>
        </w:tc>
        <w:tc>
          <w:tcPr>
            <w:tcW w:w="1671" w:type="dxa"/>
            <w:vAlign w:val="center"/>
          </w:tcPr>
          <w:p w14:paraId="3E463F5B" w14:textId="1F7C6796" w:rsidR="00AD66D5" w:rsidRPr="00E82E22" w:rsidRDefault="006F72F1" w:rsidP="005266FE">
            <w:r>
              <w:t>17</w:t>
            </w:r>
          </w:p>
        </w:tc>
        <w:tc>
          <w:tcPr>
            <w:tcW w:w="1741" w:type="dxa"/>
            <w:vAlign w:val="center"/>
          </w:tcPr>
          <w:p w14:paraId="27F96E10" w14:textId="6A4D9E51" w:rsidR="00AD66D5" w:rsidRPr="00E82E22" w:rsidRDefault="00AD66D5" w:rsidP="005266FE">
            <w:r w:rsidRPr="00E82E22">
              <w:rPr>
                <w:rFonts w:cs="Arial"/>
              </w:rPr>
              <w:t>47</w:t>
            </w:r>
          </w:p>
        </w:tc>
        <w:tc>
          <w:tcPr>
            <w:tcW w:w="1741" w:type="dxa"/>
            <w:vAlign w:val="center"/>
          </w:tcPr>
          <w:p w14:paraId="270013C9" w14:textId="20718B8F" w:rsidR="00AD66D5" w:rsidRPr="00E82E22" w:rsidRDefault="006F72F1" w:rsidP="005266FE">
            <w:r>
              <w:t>2</w:t>
            </w:r>
          </w:p>
        </w:tc>
        <w:tc>
          <w:tcPr>
            <w:tcW w:w="1862" w:type="dxa"/>
            <w:vAlign w:val="center"/>
          </w:tcPr>
          <w:p w14:paraId="4903D3CB" w14:textId="5035EF07" w:rsidR="00AD66D5" w:rsidRPr="00E82E22" w:rsidRDefault="00AD66D5" w:rsidP="005266FE">
            <w:r w:rsidRPr="00E82E22">
              <w:rPr>
                <w:rFonts w:cs="Arial"/>
              </w:rPr>
              <w:t>66</w:t>
            </w:r>
          </w:p>
        </w:tc>
      </w:tr>
      <w:tr w:rsidR="00AD66D5" w:rsidRPr="00E82E22" w14:paraId="2EE625DB" w14:textId="77777777" w:rsidTr="003D7575">
        <w:tc>
          <w:tcPr>
            <w:tcW w:w="3435" w:type="dxa"/>
            <w:vAlign w:val="center"/>
          </w:tcPr>
          <w:p w14:paraId="15FC6CAD" w14:textId="68FA7040" w:rsidR="00AD66D5" w:rsidRPr="00E82E22" w:rsidRDefault="00AD66D5" w:rsidP="005266FE">
            <w:pPr>
              <w:rPr>
                <w:rStyle w:val="Strong"/>
                <w:rFonts w:cs="Arial"/>
                <w:b w:val="0"/>
                <w:bCs w:val="0"/>
              </w:rPr>
            </w:pPr>
            <w:r w:rsidRPr="00E82E22">
              <w:rPr>
                <w:rStyle w:val="Strong"/>
                <w:rFonts w:cs="Arial"/>
                <w:b w:val="0"/>
                <w:bCs w:val="0"/>
              </w:rPr>
              <w:t>Licence suspension</w:t>
            </w:r>
          </w:p>
        </w:tc>
        <w:tc>
          <w:tcPr>
            <w:tcW w:w="1671" w:type="dxa"/>
            <w:vAlign w:val="center"/>
          </w:tcPr>
          <w:p w14:paraId="0FE1DD00" w14:textId="2F0D1101" w:rsidR="00AD66D5" w:rsidRPr="00E82E22" w:rsidRDefault="006F72F1" w:rsidP="005266FE">
            <w:r>
              <w:t>5</w:t>
            </w:r>
          </w:p>
        </w:tc>
        <w:tc>
          <w:tcPr>
            <w:tcW w:w="1741" w:type="dxa"/>
            <w:vAlign w:val="center"/>
          </w:tcPr>
          <w:p w14:paraId="66E80CA8" w14:textId="1E5C5C27" w:rsidR="00AD66D5" w:rsidRPr="00E82E22" w:rsidRDefault="00AD66D5" w:rsidP="005266FE">
            <w:r w:rsidRPr="00E82E22">
              <w:rPr>
                <w:rFonts w:cs="Arial"/>
              </w:rPr>
              <w:t>14</w:t>
            </w:r>
          </w:p>
        </w:tc>
        <w:tc>
          <w:tcPr>
            <w:tcW w:w="1741" w:type="dxa"/>
            <w:vAlign w:val="center"/>
          </w:tcPr>
          <w:p w14:paraId="6F3A8A0E" w14:textId="5403A3B5" w:rsidR="00AD66D5" w:rsidRPr="00E82E22" w:rsidRDefault="006F72F1" w:rsidP="005266FE">
            <w:r>
              <w:t>1</w:t>
            </w:r>
          </w:p>
        </w:tc>
        <w:tc>
          <w:tcPr>
            <w:tcW w:w="1862" w:type="dxa"/>
            <w:vAlign w:val="center"/>
          </w:tcPr>
          <w:p w14:paraId="33CF330C" w14:textId="5D9DB379" w:rsidR="00AD66D5" w:rsidRPr="00E82E22" w:rsidRDefault="00AD66D5" w:rsidP="005266FE">
            <w:r w:rsidRPr="00E82E22">
              <w:rPr>
                <w:rFonts w:cs="Arial"/>
              </w:rPr>
              <w:t>20</w:t>
            </w:r>
          </w:p>
        </w:tc>
      </w:tr>
      <w:tr w:rsidR="00AD66D5" w:rsidRPr="00E82E22" w14:paraId="1B1BAE73" w14:textId="77777777" w:rsidTr="003D7575">
        <w:tc>
          <w:tcPr>
            <w:tcW w:w="3435" w:type="dxa"/>
            <w:vAlign w:val="center"/>
          </w:tcPr>
          <w:p w14:paraId="07961195" w14:textId="28ED1355" w:rsidR="00AD66D5" w:rsidRPr="00E82E22" w:rsidRDefault="00AD66D5" w:rsidP="005266FE">
            <w:pPr>
              <w:rPr>
                <w:rStyle w:val="Strong"/>
                <w:rFonts w:cs="Arial"/>
                <w:b w:val="0"/>
                <w:bCs w:val="0"/>
              </w:rPr>
            </w:pPr>
            <w:r w:rsidRPr="00E82E22">
              <w:rPr>
                <w:rStyle w:val="Strong"/>
                <w:rFonts w:cs="Arial"/>
                <w:b w:val="0"/>
                <w:bCs w:val="0"/>
              </w:rPr>
              <w:t>Licence cancel</w:t>
            </w:r>
            <w:r w:rsidR="00DE3983">
              <w:rPr>
                <w:rStyle w:val="Strong"/>
                <w:rFonts w:cs="Arial"/>
                <w:b w:val="0"/>
                <w:bCs w:val="0"/>
              </w:rPr>
              <w:t>l</w:t>
            </w:r>
            <w:r w:rsidRPr="00E82E22">
              <w:rPr>
                <w:rStyle w:val="Strong"/>
                <w:rFonts w:cs="Arial"/>
                <w:b w:val="0"/>
                <w:bCs w:val="0"/>
              </w:rPr>
              <w:t>ation</w:t>
            </w:r>
          </w:p>
        </w:tc>
        <w:tc>
          <w:tcPr>
            <w:tcW w:w="1671" w:type="dxa"/>
            <w:vAlign w:val="center"/>
          </w:tcPr>
          <w:p w14:paraId="232D33A2" w14:textId="70A1A306" w:rsidR="00AD66D5" w:rsidRPr="00E82E22" w:rsidRDefault="006F72F1" w:rsidP="005266FE">
            <w:r>
              <w:t>4</w:t>
            </w:r>
          </w:p>
        </w:tc>
        <w:tc>
          <w:tcPr>
            <w:tcW w:w="1741" w:type="dxa"/>
            <w:vAlign w:val="center"/>
          </w:tcPr>
          <w:p w14:paraId="182291AA" w14:textId="0A2B57D6" w:rsidR="00AD66D5" w:rsidRPr="00E82E22" w:rsidRDefault="00AD66D5" w:rsidP="005266FE">
            <w:r w:rsidRPr="00E82E22">
              <w:rPr>
                <w:rFonts w:cs="Arial"/>
              </w:rPr>
              <w:t>6</w:t>
            </w:r>
          </w:p>
        </w:tc>
        <w:tc>
          <w:tcPr>
            <w:tcW w:w="1741" w:type="dxa"/>
            <w:vAlign w:val="center"/>
          </w:tcPr>
          <w:p w14:paraId="013AE900" w14:textId="01AAA070" w:rsidR="00AD66D5" w:rsidRPr="00E82E22" w:rsidRDefault="006F72F1" w:rsidP="005266FE">
            <w:r>
              <w:t>0</w:t>
            </w:r>
          </w:p>
        </w:tc>
        <w:tc>
          <w:tcPr>
            <w:tcW w:w="1862" w:type="dxa"/>
            <w:vAlign w:val="center"/>
          </w:tcPr>
          <w:p w14:paraId="4C0947FE" w14:textId="041E12EA" w:rsidR="00AD66D5" w:rsidRPr="00E82E22" w:rsidRDefault="00AD66D5" w:rsidP="005266FE">
            <w:r w:rsidRPr="00E82E22">
              <w:rPr>
                <w:rFonts w:cs="Arial"/>
              </w:rPr>
              <w:t>10</w:t>
            </w:r>
          </w:p>
        </w:tc>
      </w:tr>
    </w:tbl>
    <w:p w14:paraId="6758EEEE" w14:textId="316269CB" w:rsidR="0008066A" w:rsidRPr="000660F1" w:rsidRDefault="0008066A" w:rsidP="00D850B1">
      <w:pPr>
        <w:pStyle w:val="Heading4"/>
        <w:spacing w:before="120"/>
      </w:pPr>
      <w:bookmarkStart w:id="73" w:name="_Monies_owed_complaints"/>
      <w:bookmarkEnd w:id="73"/>
      <w:r>
        <w:lastRenderedPageBreak/>
        <w:t>Monies owed complaints</w:t>
      </w:r>
    </w:p>
    <w:p w14:paraId="7DFB8DB8" w14:textId="772287A9" w:rsidR="14C7C145" w:rsidRPr="00CF5A6B" w:rsidRDefault="7771C2B8" w:rsidP="008B6D14">
      <w:pPr>
        <w:spacing w:before="120" w:after="120"/>
        <w:rPr>
          <w:rFonts w:cs="Arial"/>
        </w:rPr>
      </w:pPr>
      <w:r w:rsidRPr="7E4EA285">
        <w:rPr>
          <w:rFonts w:cs="Arial"/>
        </w:rPr>
        <w:t xml:space="preserve">The QBCC </w:t>
      </w:r>
      <w:r w:rsidR="0030161B" w:rsidRPr="7E4EA285">
        <w:rPr>
          <w:rFonts w:cs="Arial"/>
        </w:rPr>
        <w:t>offers</w:t>
      </w:r>
      <w:r w:rsidRPr="7E4EA285">
        <w:rPr>
          <w:rFonts w:cs="Arial"/>
        </w:rPr>
        <w:t xml:space="preserve"> a </w:t>
      </w:r>
      <w:bookmarkStart w:id="74" w:name="_Int_4cV8CNMF"/>
      <w:proofErr w:type="gramStart"/>
      <w:r w:rsidR="10696386" w:rsidRPr="7E4EA285">
        <w:rPr>
          <w:rFonts w:cs="Arial"/>
        </w:rPr>
        <w:t>m</w:t>
      </w:r>
      <w:r w:rsidRPr="7E4EA285">
        <w:rPr>
          <w:rFonts w:cs="Arial"/>
        </w:rPr>
        <w:t>onies</w:t>
      </w:r>
      <w:bookmarkEnd w:id="74"/>
      <w:proofErr w:type="gramEnd"/>
      <w:r w:rsidRPr="7E4EA285">
        <w:rPr>
          <w:rFonts w:cs="Arial"/>
        </w:rPr>
        <w:t xml:space="preserve"> </w:t>
      </w:r>
      <w:r w:rsidR="7F425669" w:rsidRPr="7E4EA285">
        <w:rPr>
          <w:rFonts w:cs="Arial"/>
        </w:rPr>
        <w:t>o</w:t>
      </w:r>
      <w:r w:rsidRPr="7E4EA285">
        <w:rPr>
          <w:rFonts w:cs="Arial"/>
        </w:rPr>
        <w:t xml:space="preserve">wed </w:t>
      </w:r>
      <w:r w:rsidR="5C313FB0" w:rsidRPr="7E4EA285">
        <w:rPr>
          <w:rFonts w:cs="Arial"/>
        </w:rPr>
        <w:t>c</w:t>
      </w:r>
      <w:r w:rsidRPr="7E4EA285">
        <w:rPr>
          <w:rFonts w:cs="Arial"/>
        </w:rPr>
        <w:t>omplaint</w:t>
      </w:r>
      <w:r w:rsidR="7886A9B7" w:rsidRPr="7E4EA285">
        <w:rPr>
          <w:rFonts w:cs="Arial"/>
        </w:rPr>
        <w:t>s</w:t>
      </w:r>
      <w:r w:rsidRPr="7E4EA285">
        <w:rPr>
          <w:rFonts w:cs="Arial"/>
        </w:rPr>
        <w:t xml:space="preserve"> service to </w:t>
      </w:r>
      <w:r w:rsidR="008E1FCF" w:rsidRPr="7E4EA285">
        <w:rPr>
          <w:rFonts w:cs="Arial"/>
        </w:rPr>
        <w:t>assist</w:t>
      </w:r>
      <w:r w:rsidR="00EA17D2">
        <w:rPr>
          <w:rFonts w:cs="Arial"/>
        </w:rPr>
        <w:t xml:space="preserve"> subcontractors and suppliers</w:t>
      </w:r>
      <w:r w:rsidRPr="7E4EA285">
        <w:rPr>
          <w:rFonts w:cs="Arial"/>
        </w:rPr>
        <w:t xml:space="preserve"> </w:t>
      </w:r>
      <w:r w:rsidR="00F9477D">
        <w:rPr>
          <w:rFonts w:cs="Arial"/>
        </w:rPr>
        <w:t>of</w:t>
      </w:r>
      <w:r w:rsidRPr="7E4EA285">
        <w:rPr>
          <w:rFonts w:cs="Arial"/>
        </w:rPr>
        <w:t xml:space="preserve"> the </w:t>
      </w:r>
      <w:r w:rsidR="008E1FCF" w:rsidRPr="7E4EA285">
        <w:rPr>
          <w:rFonts w:cs="Arial"/>
        </w:rPr>
        <w:t xml:space="preserve">building and </w:t>
      </w:r>
      <w:r w:rsidRPr="7E4EA285">
        <w:rPr>
          <w:rFonts w:cs="Arial"/>
        </w:rPr>
        <w:t>construction industry who are owed money by a</w:t>
      </w:r>
      <w:r w:rsidR="541FC4E1" w:rsidRPr="7E4EA285">
        <w:rPr>
          <w:rFonts w:cs="Arial"/>
        </w:rPr>
        <w:t xml:space="preserve"> </w:t>
      </w:r>
      <w:r w:rsidRPr="7E4EA285">
        <w:rPr>
          <w:rFonts w:cs="Arial"/>
        </w:rPr>
        <w:t>license</w:t>
      </w:r>
      <w:r w:rsidR="24712591" w:rsidRPr="7E4EA285">
        <w:rPr>
          <w:rFonts w:cs="Arial"/>
        </w:rPr>
        <w:t>d contractor</w:t>
      </w:r>
      <w:r w:rsidRPr="7E4EA285">
        <w:rPr>
          <w:rFonts w:cs="Arial"/>
        </w:rPr>
        <w:t xml:space="preserve">. </w:t>
      </w:r>
      <w:r w:rsidR="00A360A6">
        <w:rPr>
          <w:rFonts w:cs="Arial"/>
        </w:rPr>
        <w:t>The m</w:t>
      </w:r>
      <w:r w:rsidR="0326EC7A" w:rsidRPr="7E4EA285">
        <w:rPr>
          <w:rFonts w:cs="Arial"/>
        </w:rPr>
        <w:t xml:space="preserve">onies owed complaints </w:t>
      </w:r>
      <w:r w:rsidRPr="7E4EA285">
        <w:rPr>
          <w:rFonts w:cs="Arial"/>
        </w:rPr>
        <w:t>service</w:t>
      </w:r>
      <w:r w:rsidR="6F4847AC" w:rsidRPr="7E4EA285">
        <w:rPr>
          <w:rFonts w:cs="Arial"/>
        </w:rPr>
        <w:t xml:space="preserve"> </w:t>
      </w:r>
      <w:r w:rsidR="3B5FBB11" w:rsidRPr="7E4EA285">
        <w:rPr>
          <w:rFonts w:cs="Arial"/>
        </w:rPr>
        <w:t>is intended for</w:t>
      </w:r>
      <w:r w:rsidRPr="7E4EA285">
        <w:rPr>
          <w:rFonts w:cs="Arial"/>
        </w:rPr>
        <w:t xml:space="preserve"> situations where payment is overdue</w:t>
      </w:r>
      <w:r w:rsidR="5C93E4F0" w:rsidRPr="75A412C0">
        <w:rPr>
          <w:rFonts w:cs="Arial"/>
        </w:rPr>
        <w:t>.</w:t>
      </w:r>
      <w:r w:rsidRPr="7E4EA285">
        <w:rPr>
          <w:rFonts w:cs="Arial"/>
        </w:rPr>
        <w:t xml:space="preserve">  </w:t>
      </w:r>
      <w:r w:rsidR="7563CE07" w:rsidRPr="53E95F8B">
        <w:rPr>
          <w:rFonts w:cs="Arial"/>
        </w:rPr>
        <w:t xml:space="preserve"> </w:t>
      </w:r>
      <w:r w:rsidR="1BFF2AED" w:rsidRPr="53E95F8B">
        <w:rPr>
          <w:rFonts w:cs="Arial"/>
        </w:rPr>
        <w:t>C</w:t>
      </w:r>
      <w:r w:rsidR="00635B10" w:rsidRPr="53E95F8B">
        <w:rPr>
          <w:rFonts w:cs="Arial"/>
        </w:rPr>
        <w:t>omplaint</w:t>
      </w:r>
      <w:r w:rsidR="0E3C2950" w:rsidRPr="53E95F8B">
        <w:rPr>
          <w:rFonts w:cs="Arial"/>
        </w:rPr>
        <w:t>s</w:t>
      </w:r>
      <w:r w:rsidR="00635B10" w:rsidRPr="7E4EA285">
        <w:rPr>
          <w:rFonts w:cs="Arial"/>
        </w:rPr>
        <w:t xml:space="preserve"> can be </w:t>
      </w:r>
      <w:r w:rsidR="6884FAF7" w:rsidRPr="7E4EA285">
        <w:rPr>
          <w:rFonts w:cs="Arial"/>
        </w:rPr>
        <w:t>lodged with</w:t>
      </w:r>
      <w:r w:rsidR="2E7D94A5" w:rsidRPr="7E4EA285">
        <w:rPr>
          <w:rFonts w:cs="Arial"/>
        </w:rPr>
        <w:t xml:space="preserve"> the QBCC when</w:t>
      </w:r>
      <w:r w:rsidR="004E752A">
        <w:rPr>
          <w:rFonts w:cs="Arial"/>
        </w:rPr>
        <w:t xml:space="preserve"> </w:t>
      </w:r>
      <w:r w:rsidR="004E752A" w:rsidRPr="004E752A">
        <w:rPr>
          <w:rFonts w:cs="Arial"/>
        </w:rPr>
        <w:t>the debtor is a QBCC licensed contractor, and either:</w:t>
      </w:r>
      <w:r w:rsidR="00635B10" w:rsidRPr="7E4EA285">
        <w:rPr>
          <w:rFonts w:cs="Arial"/>
        </w:rPr>
        <w:t xml:space="preserve"> </w:t>
      </w:r>
    </w:p>
    <w:p w14:paraId="1CF50036" w14:textId="0E9249D3" w:rsidR="00635B10" w:rsidRPr="00542000" w:rsidRDefault="67AFD9C3" w:rsidP="00BD69F7">
      <w:pPr>
        <w:pStyle w:val="ListParagraph"/>
        <w:numPr>
          <w:ilvl w:val="0"/>
          <w:numId w:val="22"/>
        </w:numPr>
        <w:spacing w:before="120" w:after="120"/>
        <w:ind w:left="714" w:hanging="357"/>
        <w:contextualSpacing w:val="0"/>
        <w:rPr>
          <w:rFonts w:cs="Arial"/>
        </w:rPr>
      </w:pPr>
      <w:r w:rsidRPr="7E4EA285">
        <w:rPr>
          <w:rFonts w:cs="Arial"/>
        </w:rPr>
        <w:t xml:space="preserve">there is no dispute </w:t>
      </w:r>
      <w:r w:rsidR="001D0F3B" w:rsidRPr="7E4EA285">
        <w:rPr>
          <w:rFonts w:cs="Arial"/>
        </w:rPr>
        <w:t>regarding</w:t>
      </w:r>
      <w:r w:rsidRPr="7E4EA285">
        <w:rPr>
          <w:rFonts w:cs="Arial"/>
        </w:rPr>
        <w:t xml:space="preserve"> the amount owed</w:t>
      </w:r>
      <w:r w:rsidR="00A76FA5">
        <w:rPr>
          <w:rFonts w:cs="Arial"/>
        </w:rPr>
        <w:t xml:space="preserve"> or disputes about the debt are finalised</w:t>
      </w:r>
    </w:p>
    <w:p w14:paraId="5FDF6D23" w14:textId="03E866DD" w:rsidR="00431F4B" w:rsidRPr="001424C0" w:rsidRDefault="002B18A1" w:rsidP="00BD69F7">
      <w:pPr>
        <w:pStyle w:val="ListParagraph"/>
        <w:numPr>
          <w:ilvl w:val="0"/>
          <w:numId w:val="22"/>
        </w:numPr>
        <w:spacing w:before="120" w:after="120"/>
        <w:ind w:left="714" w:hanging="357"/>
        <w:rPr>
          <w:rFonts w:cs="Arial"/>
        </w:rPr>
      </w:pPr>
      <w:r w:rsidRPr="7E4EA285">
        <w:rPr>
          <w:rFonts w:cs="Arial"/>
        </w:rPr>
        <w:t>payment</w:t>
      </w:r>
      <w:r w:rsidR="00635B10" w:rsidRPr="7E4EA285">
        <w:rPr>
          <w:rFonts w:cs="Arial"/>
        </w:rPr>
        <w:t xml:space="preserve"> has been </w:t>
      </w:r>
      <w:r w:rsidRPr="7E4EA285">
        <w:rPr>
          <w:rFonts w:cs="Arial"/>
        </w:rPr>
        <w:t>ordered</w:t>
      </w:r>
      <w:r w:rsidR="00635B10" w:rsidRPr="7E4EA285">
        <w:rPr>
          <w:rFonts w:cs="Arial"/>
        </w:rPr>
        <w:t xml:space="preserve"> by an adjudicator, </w:t>
      </w:r>
      <w:r w:rsidR="005646CF" w:rsidRPr="7E4EA285">
        <w:rPr>
          <w:rFonts w:cs="Arial"/>
        </w:rPr>
        <w:t>the</w:t>
      </w:r>
      <w:r w:rsidR="00422681" w:rsidRPr="7E4EA285">
        <w:rPr>
          <w:rFonts w:cs="Arial"/>
        </w:rPr>
        <w:t xml:space="preserve"> </w:t>
      </w:r>
      <w:r w:rsidR="00635B10" w:rsidRPr="7E4EA285">
        <w:rPr>
          <w:rFonts w:cs="Arial"/>
        </w:rPr>
        <w:t>court or tribunal</w:t>
      </w:r>
      <w:r w:rsidR="005646CF" w:rsidRPr="7E4EA285">
        <w:rPr>
          <w:rFonts w:cs="Arial"/>
        </w:rPr>
        <w:t>,</w:t>
      </w:r>
      <w:r w:rsidR="00635B10" w:rsidRPr="7E4EA285">
        <w:rPr>
          <w:rFonts w:cs="Arial"/>
        </w:rPr>
        <w:t xml:space="preserve"> and the due date </w:t>
      </w:r>
      <w:r w:rsidR="00422681" w:rsidRPr="7E4EA285">
        <w:rPr>
          <w:rFonts w:cs="Arial"/>
        </w:rPr>
        <w:t xml:space="preserve">has </w:t>
      </w:r>
      <w:r w:rsidR="00635B10" w:rsidRPr="7E4EA285">
        <w:rPr>
          <w:rFonts w:cs="Arial"/>
        </w:rPr>
        <w:t>passed.</w:t>
      </w:r>
      <w:r w:rsidR="00126D81" w:rsidRPr="7E4EA285">
        <w:rPr>
          <w:rFonts w:cs="Arial"/>
        </w:rPr>
        <w:t xml:space="preserve">  </w:t>
      </w:r>
    </w:p>
    <w:p w14:paraId="52FDD67D" w14:textId="30B4A69F" w:rsidR="00E2398A" w:rsidRPr="006B6EE6" w:rsidRDefault="394E4198" w:rsidP="008B6D14">
      <w:pPr>
        <w:spacing w:before="120" w:after="120"/>
        <w:rPr>
          <w:rFonts w:cs="Arial"/>
        </w:rPr>
      </w:pPr>
      <w:r w:rsidRPr="7E4EA285">
        <w:rPr>
          <w:rFonts w:cs="Arial"/>
        </w:rPr>
        <w:t xml:space="preserve">While </w:t>
      </w:r>
      <w:r w:rsidR="00342383" w:rsidRPr="7E4EA285">
        <w:rPr>
          <w:rFonts w:cs="Arial"/>
        </w:rPr>
        <w:t xml:space="preserve">the </w:t>
      </w:r>
      <w:r w:rsidRPr="7E4EA285">
        <w:rPr>
          <w:rFonts w:cs="Arial"/>
        </w:rPr>
        <w:t>QBCC</w:t>
      </w:r>
      <w:r w:rsidR="00342383" w:rsidRPr="7E4EA285">
        <w:rPr>
          <w:rFonts w:cs="Arial"/>
        </w:rPr>
        <w:t xml:space="preserve"> cannot enforce </w:t>
      </w:r>
      <w:r w:rsidR="24DF1E62" w:rsidRPr="7E4EA285">
        <w:rPr>
          <w:rFonts w:cs="Arial"/>
        </w:rPr>
        <w:t>or resolve disputes</w:t>
      </w:r>
      <w:r w:rsidR="7389EABF" w:rsidRPr="7E4EA285">
        <w:rPr>
          <w:rFonts w:cs="Arial"/>
        </w:rPr>
        <w:t xml:space="preserve"> </w:t>
      </w:r>
      <w:r w:rsidR="005A7A1C" w:rsidRPr="7E4EA285">
        <w:rPr>
          <w:rFonts w:cs="Arial"/>
        </w:rPr>
        <w:t>about</w:t>
      </w:r>
      <w:r w:rsidR="7389EABF" w:rsidRPr="7E4EA285">
        <w:rPr>
          <w:rFonts w:cs="Arial"/>
        </w:rPr>
        <w:t xml:space="preserve"> the validity of the debt</w:t>
      </w:r>
      <w:r w:rsidR="005A7A1C" w:rsidRPr="7E4EA285">
        <w:rPr>
          <w:rFonts w:cs="Arial"/>
        </w:rPr>
        <w:t xml:space="preserve">, it investigates potential breaches </w:t>
      </w:r>
      <w:r w:rsidR="003B2807" w:rsidRPr="7E4EA285">
        <w:rPr>
          <w:rFonts w:cs="Arial"/>
        </w:rPr>
        <w:t>of financial obligations by licensees</w:t>
      </w:r>
      <w:r w:rsidR="798B354F" w:rsidRPr="345835F2">
        <w:rPr>
          <w:rFonts w:cs="Arial"/>
        </w:rPr>
        <w:t xml:space="preserve">, as well as </w:t>
      </w:r>
      <w:r w:rsidR="1947831E" w:rsidRPr="345835F2">
        <w:rPr>
          <w:rFonts w:cs="Arial"/>
        </w:rPr>
        <w:t xml:space="preserve">indicators of </w:t>
      </w:r>
      <w:r w:rsidR="40D88F66" w:rsidRPr="345835F2">
        <w:rPr>
          <w:rFonts w:cs="Arial"/>
        </w:rPr>
        <w:t>financial distress</w:t>
      </w:r>
      <w:r w:rsidR="003B2807" w:rsidRPr="345835F2">
        <w:rPr>
          <w:rFonts w:cs="Arial"/>
        </w:rPr>
        <w:t>.</w:t>
      </w:r>
      <w:r w:rsidR="003B2807" w:rsidRPr="7E4EA285">
        <w:rPr>
          <w:rFonts w:cs="Arial"/>
        </w:rPr>
        <w:t xml:space="preserve"> </w:t>
      </w:r>
      <w:r w:rsidR="00B73544">
        <w:rPr>
          <w:rFonts w:cs="Arial"/>
        </w:rPr>
        <w:t>Where</w:t>
      </w:r>
      <w:r w:rsidR="003B2807" w:rsidRPr="7E4EA285">
        <w:rPr>
          <w:rFonts w:cs="Arial"/>
        </w:rPr>
        <w:t xml:space="preserve"> appropriate,</w:t>
      </w:r>
      <w:r w:rsidR="2F6AD1A7" w:rsidRPr="7E4EA285">
        <w:rPr>
          <w:rFonts w:cs="Arial"/>
        </w:rPr>
        <w:t xml:space="preserve"> the </w:t>
      </w:r>
      <w:r w:rsidR="003B2807" w:rsidRPr="7E4EA285">
        <w:rPr>
          <w:rFonts w:cs="Arial"/>
        </w:rPr>
        <w:t>QBCC can take</w:t>
      </w:r>
      <w:r w:rsidR="342E5FB8" w:rsidRPr="7E4EA285">
        <w:rPr>
          <w:rFonts w:cs="Arial"/>
        </w:rPr>
        <w:t xml:space="preserve"> regulatory </w:t>
      </w:r>
      <w:r w:rsidR="2F6AD1A7" w:rsidRPr="7E4EA285">
        <w:rPr>
          <w:rFonts w:cs="Arial"/>
        </w:rPr>
        <w:t xml:space="preserve">action </w:t>
      </w:r>
      <w:r w:rsidR="001B0495">
        <w:rPr>
          <w:rFonts w:cs="Arial"/>
        </w:rPr>
        <w:t xml:space="preserve">in </w:t>
      </w:r>
      <w:r w:rsidR="00CE4826">
        <w:rPr>
          <w:rFonts w:cs="Arial"/>
        </w:rPr>
        <w:t>response</w:t>
      </w:r>
      <w:r w:rsidR="001B0495">
        <w:rPr>
          <w:rFonts w:cs="Arial"/>
        </w:rPr>
        <w:t xml:space="preserve"> to</w:t>
      </w:r>
      <w:r w:rsidR="008325CA">
        <w:rPr>
          <w:rFonts w:cs="Arial"/>
        </w:rPr>
        <w:t xml:space="preserve"> non-payment</w:t>
      </w:r>
      <w:r w:rsidR="569D8807" w:rsidRPr="7822C107">
        <w:rPr>
          <w:rFonts w:cs="Arial"/>
        </w:rPr>
        <w:t xml:space="preserve">. </w:t>
      </w:r>
      <w:r w:rsidR="569D8807" w:rsidRPr="5F279B02">
        <w:rPr>
          <w:rFonts w:cs="Arial"/>
        </w:rPr>
        <w:t>Outcomes from adjudicated non-rectification or unjustified non-payment of monies owed</w:t>
      </w:r>
      <w:r w:rsidR="691AC4B1" w:rsidRPr="5F279B02">
        <w:rPr>
          <w:rFonts w:cs="Arial"/>
        </w:rPr>
        <w:t xml:space="preserve"> can include</w:t>
      </w:r>
      <w:r w:rsidR="6790B32E" w:rsidRPr="7E4EA285">
        <w:rPr>
          <w:rFonts w:cs="Arial"/>
        </w:rPr>
        <w:t>:</w:t>
      </w:r>
    </w:p>
    <w:p w14:paraId="2C3C332D" w14:textId="5C477A1F" w:rsidR="00E2398A" w:rsidRPr="006B6EE6" w:rsidRDefault="001C6D31" w:rsidP="00BD69F7">
      <w:pPr>
        <w:pStyle w:val="ListParagraph"/>
        <w:numPr>
          <w:ilvl w:val="0"/>
          <w:numId w:val="26"/>
        </w:numPr>
        <w:spacing w:before="120" w:after="120"/>
        <w:ind w:left="714" w:hanging="357"/>
        <w:contextualSpacing w:val="0"/>
        <w:rPr>
          <w:rFonts w:cs="Arial"/>
        </w:rPr>
      </w:pPr>
      <w:r w:rsidRPr="74573D18">
        <w:rPr>
          <w:rFonts w:cs="Arial"/>
        </w:rPr>
        <w:t>a</w:t>
      </w:r>
      <w:r w:rsidR="00DD2660" w:rsidRPr="74573D18">
        <w:rPr>
          <w:rFonts w:cs="Arial"/>
        </w:rPr>
        <w:t>pplying</w:t>
      </w:r>
      <w:r w:rsidR="00B93BBE" w:rsidRPr="74573D18">
        <w:rPr>
          <w:rFonts w:cs="Arial"/>
        </w:rPr>
        <w:t xml:space="preserve"> demerit </w:t>
      </w:r>
      <w:r w:rsidR="1B9877AA" w:rsidRPr="74573D18">
        <w:rPr>
          <w:rFonts w:cs="Arial"/>
        </w:rPr>
        <w:t>poin</w:t>
      </w:r>
      <w:r w:rsidR="0DF4BA99" w:rsidRPr="74573D18">
        <w:rPr>
          <w:rFonts w:cs="Arial"/>
        </w:rPr>
        <w:t>ts</w:t>
      </w:r>
      <w:r w:rsidR="6A2C4AFB" w:rsidRPr="74573D18">
        <w:rPr>
          <w:rFonts w:cs="Arial"/>
        </w:rPr>
        <w:t xml:space="preserve"> for unsatisfied judgment debts</w:t>
      </w:r>
    </w:p>
    <w:p w14:paraId="2F69BB2A" w14:textId="49459ACE" w:rsidR="00E2398A" w:rsidRPr="006B6EE6" w:rsidRDefault="001C6D31" w:rsidP="00BD69F7">
      <w:pPr>
        <w:pStyle w:val="ListParagraph"/>
        <w:numPr>
          <w:ilvl w:val="0"/>
          <w:numId w:val="26"/>
        </w:numPr>
        <w:spacing w:before="120" w:after="120"/>
        <w:ind w:left="714" w:hanging="357"/>
        <w:contextualSpacing w:val="0"/>
        <w:rPr>
          <w:rFonts w:cs="Arial"/>
        </w:rPr>
      </w:pPr>
      <w:r>
        <w:rPr>
          <w:rFonts w:cs="Arial"/>
        </w:rPr>
        <w:t>i</w:t>
      </w:r>
      <w:r w:rsidR="00B47D3C" w:rsidRPr="7E4EA285">
        <w:rPr>
          <w:rFonts w:cs="Arial"/>
        </w:rPr>
        <w:t>mposing</w:t>
      </w:r>
      <w:r w:rsidR="00B93BBE" w:rsidRPr="7E4EA285">
        <w:rPr>
          <w:rFonts w:cs="Arial"/>
        </w:rPr>
        <w:t xml:space="preserve"> infringement notices and fines</w:t>
      </w:r>
    </w:p>
    <w:p w14:paraId="1845041D" w14:textId="0E50B46B" w:rsidR="00E2398A" w:rsidRPr="001424C0" w:rsidRDefault="001C6D31" w:rsidP="00BD69F7">
      <w:pPr>
        <w:pStyle w:val="ListParagraph"/>
        <w:numPr>
          <w:ilvl w:val="0"/>
          <w:numId w:val="26"/>
        </w:numPr>
        <w:spacing w:before="120" w:after="120"/>
        <w:ind w:left="714" w:hanging="357"/>
        <w:contextualSpacing w:val="0"/>
        <w:rPr>
          <w:rFonts w:cs="Arial"/>
        </w:rPr>
      </w:pPr>
      <w:r>
        <w:rPr>
          <w:rFonts w:cs="Arial"/>
        </w:rPr>
        <w:t>s</w:t>
      </w:r>
      <w:r w:rsidR="1B9877AA" w:rsidRPr="7E4EA285">
        <w:rPr>
          <w:rFonts w:cs="Arial"/>
        </w:rPr>
        <w:t>uspen</w:t>
      </w:r>
      <w:r w:rsidR="00755E65" w:rsidRPr="7E4EA285">
        <w:rPr>
          <w:rFonts w:cs="Arial"/>
        </w:rPr>
        <w:t xml:space="preserve">ding </w:t>
      </w:r>
      <w:r w:rsidR="00C35262" w:rsidRPr="7E4EA285">
        <w:rPr>
          <w:rFonts w:cs="Arial"/>
        </w:rPr>
        <w:t xml:space="preserve">or </w:t>
      </w:r>
      <w:r w:rsidR="1B9877AA" w:rsidRPr="7E4EA285">
        <w:rPr>
          <w:rFonts w:cs="Arial"/>
        </w:rPr>
        <w:t>cancell</w:t>
      </w:r>
      <w:r w:rsidR="00C35262" w:rsidRPr="7E4EA285">
        <w:rPr>
          <w:rFonts w:cs="Arial"/>
        </w:rPr>
        <w:t>ing the contractor’s licence</w:t>
      </w:r>
      <w:r w:rsidR="002F42D8">
        <w:rPr>
          <w:rFonts w:cs="Arial"/>
        </w:rPr>
        <w:t>.</w:t>
      </w:r>
    </w:p>
    <w:p w14:paraId="0ECAA2C9" w14:textId="690C269F" w:rsidR="0008066A" w:rsidRPr="001424C0" w:rsidRDefault="00243924" w:rsidP="008B6D14">
      <w:pPr>
        <w:spacing w:before="120" w:after="120"/>
        <w:rPr>
          <w:rFonts w:cs="Arial"/>
        </w:rPr>
      </w:pPr>
      <w:r w:rsidRPr="7E4EA285">
        <w:rPr>
          <w:rFonts w:cs="Arial"/>
        </w:rPr>
        <w:t>Lodging a</w:t>
      </w:r>
      <w:r w:rsidR="6E1A5959" w:rsidRPr="7E4EA285">
        <w:rPr>
          <w:rFonts w:cs="Arial"/>
        </w:rPr>
        <w:t xml:space="preserve"> </w:t>
      </w:r>
      <w:bookmarkStart w:id="75" w:name="_Int_YobtIqer"/>
      <w:proofErr w:type="gramStart"/>
      <w:r w:rsidR="6E1A5959" w:rsidRPr="7E4EA285">
        <w:rPr>
          <w:rFonts w:cs="Arial"/>
        </w:rPr>
        <w:t>monies</w:t>
      </w:r>
      <w:bookmarkEnd w:id="75"/>
      <w:proofErr w:type="gramEnd"/>
      <w:r w:rsidR="6E1A5959" w:rsidRPr="7E4EA285">
        <w:rPr>
          <w:rFonts w:cs="Arial"/>
        </w:rPr>
        <w:t xml:space="preserve"> owed complaint </w:t>
      </w:r>
      <w:r w:rsidRPr="7E4EA285">
        <w:rPr>
          <w:rFonts w:cs="Arial"/>
        </w:rPr>
        <w:t>may</w:t>
      </w:r>
      <w:r w:rsidR="6E1A5959" w:rsidRPr="7E4EA285">
        <w:rPr>
          <w:rFonts w:cs="Arial"/>
        </w:rPr>
        <w:t xml:space="preserve"> lead to regulatory consequences that </w:t>
      </w:r>
      <w:r w:rsidRPr="7E4EA285">
        <w:rPr>
          <w:rFonts w:cs="Arial"/>
        </w:rPr>
        <w:t>incentivise</w:t>
      </w:r>
      <w:r w:rsidR="6E1A5959" w:rsidRPr="7E4EA285">
        <w:rPr>
          <w:rFonts w:cs="Arial"/>
        </w:rPr>
        <w:t xml:space="preserve"> the debtor</w:t>
      </w:r>
      <w:r w:rsidR="58D867F1" w:rsidRPr="7E4EA285">
        <w:rPr>
          <w:rFonts w:cs="Arial"/>
        </w:rPr>
        <w:t xml:space="preserve"> to </w:t>
      </w:r>
      <w:r w:rsidRPr="7E4EA285">
        <w:rPr>
          <w:rFonts w:cs="Arial"/>
        </w:rPr>
        <w:t>pay</w:t>
      </w:r>
      <w:r w:rsidR="58D867F1" w:rsidRPr="7E4EA285">
        <w:rPr>
          <w:rFonts w:cs="Arial"/>
        </w:rPr>
        <w:t xml:space="preserve"> the outstanding amount. </w:t>
      </w:r>
      <w:r w:rsidR="00F50F37" w:rsidRPr="7E4EA285">
        <w:rPr>
          <w:rFonts w:cs="Arial"/>
        </w:rPr>
        <w:t>Monies owed</w:t>
      </w:r>
      <w:r w:rsidR="58D867F1" w:rsidRPr="7E4EA285">
        <w:rPr>
          <w:rFonts w:cs="Arial"/>
        </w:rPr>
        <w:t xml:space="preserve"> complaints also </w:t>
      </w:r>
      <w:r w:rsidR="00F50F37" w:rsidRPr="7E4EA285">
        <w:rPr>
          <w:rFonts w:cs="Arial"/>
        </w:rPr>
        <w:t>help</w:t>
      </w:r>
      <w:r w:rsidR="58D867F1" w:rsidRPr="7E4EA285">
        <w:rPr>
          <w:rFonts w:cs="Arial"/>
        </w:rPr>
        <w:t xml:space="preserve"> the QBCC </w:t>
      </w:r>
      <w:r w:rsidR="00A839BF" w:rsidRPr="7E4EA285">
        <w:rPr>
          <w:rFonts w:cs="Arial"/>
        </w:rPr>
        <w:t>identify signs of</w:t>
      </w:r>
      <w:r w:rsidR="58D867F1" w:rsidRPr="7E4EA285">
        <w:rPr>
          <w:rFonts w:cs="Arial"/>
        </w:rPr>
        <w:t xml:space="preserve"> financial instability or n</w:t>
      </w:r>
      <w:r w:rsidR="2032DF70" w:rsidRPr="7E4EA285">
        <w:rPr>
          <w:rFonts w:cs="Arial"/>
        </w:rPr>
        <w:t xml:space="preserve">on-compliance with </w:t>
      </w:r>
      <w:r w:rsidR="00EA11B1" w:rsidRPr="7E4EA285">
        <w:rPr>
          <w:rFonts w:cs="Arial"/>
        </w:rPr>
        <w:t>MFR among</w:t>
      </w:r>
      <w:r w:rsidR="2032DF70" w:rsidRPr="7E4EA285">
        <w:rPr>
          <w:rFonts w:cs="Arial"/>
        </w:rPr>
        <w:t xml:space="preserve"> licensee</w:t>
      </w:r>
      <w:r w:rsidR="00EA11B1" w:rsidRPr="7E4EA285">
        <w:rPr>
          <w:rFonts w:cs="Arial"/>
        </w:rPr>
        <w:t>s</w:t>
      </w:r>
      <w:r w:rsidR="00E2398A">
        <w:t>.</w:t>
      </w:r>
      <w:r w:rsidR="00EA11B1" w:rsidRPr="7E4EA285">
        <w:rPr>
          <w:rFonts w:cs="Arial"/>
        </w:rPr>
        <w:t xml:space="preserve"> </w:t>
      </w:r>
      <w:r w:rsidR="003E7790" w:rsidRPr="7E4EA285">
        <w:rPr>
          <w:rFonts w:cs="Arial"/>
        </w:rPr>
        <w:t>In</w:t>
      </w:r>
      <w:r w:rsidR="0008066A" w:rsidRPr="7E4EA285">
        <w:rPr>
          <w:rFonts w:cs="Arial"/>
        </w:rPr>
        <w:t xml:space="preserve"> 2024–25, the QBCC </w:t>
      </w:r>
      <w:r w:rsidR="6A831A74" w:rsidRPr="7E4EA285">
        <w:rPr>
          <w:rFonts w:cs="Arial"/>
        </w:rPr>
        <w:t>received</w:t>
      </w:r>
      <w:r w:rsidR="0008066A" w:rsidRPr="7E4EA285">
        <w:rPr>
          <w:rFonts w:cs="Arial"/>
        </w:rPr>
        <w:t xml:space="preserve"> </w:t>
      </w:r>
      <w:r w:rsidR="5E10459D" w:rsidRPr="75136258">
        <w:rPr>
          <w:rFonts w:cs="Arial"/>
        </w:rPr>
        <w:t>854</w:t>
      </w:r>
      <w:r w:rsidR="0008066A" w:rsidRPr="7E4EA285">
        <w:rPr>
          <w:rFonts w:cs="Arial"/>
        </w:rPr>
        <w:t xml:space="preserve"> monies</w:t>
      </w:r>
      <w:r w:rsidR="3C40E295" w:rsidRPr="7E4EA285">
        <w:rPr>
          <w:rFonts w:cs="Arial"/>
        </w:rPr>
        <w:t xml:space="preserve"> </w:t>
      </w:r>
      <w:r w:rsidR="0008066A" w:rsidRPr="7E4EA285">
        <w:rPr>
          <w:rFonts w:cs="Arial"/>
        </w:rPr>
        <w:t>owed complaints</w:t>
      </w:r>
      <w:r w:rsidR="1F47AD02" w:rsidRPr="7E4EA285">
        <w:rPr>
          <w:rFonts w:cs="Arial"/>
        </w:rPr>
        <w:t xml:space="preserve">, </w:t>
      </w:r>
      <w:r w:rsidR="00F576CC" w:rsidRPr="7E4EA285">
        <w:rPr>
          <w:rFonts w:cs="Arial"/>
        </w:rPr>
        <w:t xml:space="preserve">resulting in the </w:t>
      </w:r>
      <w:r w:rsidR="0095005D">
        <w:rPr>
          <w:rFonts w:cs="Arial"/>
        </w:rPr>
        <w:t>pa</w:t>
      </w:r>
      <w:r w:rsidR="00F576CC" w:rsidRPr="7E4EA285">
        <w:rPr>
          <w:rFonts w:cs="Arial"/>
        </w:rPr>
        <w:t>y</w:t>
      </w:r>
      <w:r w:rsidR="0095005D">
        <w:rPr>
          <w:rFonts w:cs="Arial"/>
        </w:rPr>
        <w:t>ment</w:t>
      </w:r>
      <w:r w:rsidR="00F576CC" w:rsidRPr="7E4EA285">
        <w:rPr>
          <w:rFonts w:cs="Arial"/>
        </w:rPr>
        <w:t xml:space="preserve"> of $</w:t>
      </w:r>
      <w:r w:rsidR="36B16F74" w:rsidRPr="085ED6E0">
        <w:rPr>
          <w:rFonts w:cs="Arial"/>
        </w:rPr>
        <w:t>5</w:t>
      </w:r>
      <w:r w:rsidR="0008066A" w:rsidRPr="7E4EA285">
        <w:rPr>
          <w:rFonts w:cs="Arial"/>
        </w:rPr>
        <w:t xml:space="preserve"> </w:t>
      </w:r>
      <w:r w:rsidR="000B1CC8">
        <w:rPr>
          <w:rFonts w:cs="Arial"/>
        </w:rPr>
        <w:t xml:space="preserve">million </w:t>
      </w:r>
      <w:r w:rsidR="0008066A" w:rsidRPr="7E4EA285">
        <w:rPr>
          <w:rFonts w:cs="Arial"/>
        </w:rPr>
        <w:t>in outstanding debts to creditors</w:t>
      </w:r>
      <w:r w:rsidR="5EAD0AA6" w:rsidRPr="7E4EA285">
        <w:rPr>
          <w:rFonts w:cs="Arial"/>
        </w:rPr>
        <w:t>.</w:t>
      </w:r>
    </w:p>
    <w:p w14:paraId="5F24A716" w14:textId="29A7ACCB" w:rsidR="00A81C70" w:rsidRPr="004D482E" w:rsidRDefault="00752393" w:rsidP="7E4EA285">
      <w:pPr>
        <w:pStyle w:val="Heading4"/>
        <w:rPr>
          <w:rFonts w:cs="Arial"/>
        </w:rPr>
      </w:pPr>
      <w:bookmarkStart w:id="76" w:name="_Licence_exclusions"/>
      <w:bookmarkEnd w:id="76"/>
      <w:r>
        <w:t>Licence e</w:t>
      </w:r>
      <w:r w:rsidR="00A81C70">
        <w:t>xclusions</w:t>
      </w:r>
    </w:p>
    <w:p w14:paraId="7FE736F3" w14:textId="649056DE" w:rsidR="008341AA" w:rsidRDefault="00612941" w:rsidP="008B6D14">
      <w:pPr>
        <w:spacing w:before="120" w:after="120"/>
        <w:rPr>
          <w:rFonts w:cs="Arial"/>
        </w:rPr>
      </w:pPr>
      <w:r w:rsidRPr="7E4EA285">
        <w:rPr>
          <w:rFonts w:cs="Arial"/>
        </w:rPr>
        <w:t xml:space="preserve">Under the </w:t>
      </w:r>
      <w:r w:rsidR="00B75698" w:rsidRPr="7E4EA285">
        <w:rPr>
          <w:rFonts w:cs="Arial"/>
        </w:rPr>
        <w:t xml:space="preserve">QBCC Act </w:t>
      </w:r>
      <w:r w:rsidRPr="7E4EA285">
        <w:rPr>
          <w:rFonts w:cs="Arial"/>
        </w:rPr>
        <w:t>and</w:t>
      </w:r>
      <w:r w:rsidR="00356F20">
        <w:rPr>
          <w:rFonts w:cs="Arial"/>
        </w:rPr>
        <w:t xml:space="preserve"> the</w:t>
      </w:r>
      <w:r w:rsidRPr="7E4EA285">
        <w:rPr>
          <w:rFonts w:cs="Arial"/>
        </w:rPr>
        <w:t xml:space="preserve"> </w:t>
      </w:r>
      <w:r w:rsidR="00012A18" w:rsidRPr="7E4EA285">
        <w:rPr>
          <w:rFonts w:cs="Arial"/>
          <w:i/>
        </w:rPr>
        <w:t xml:space="preserve">Queensland Building and Construction Commission </w:t>
      </w:r>
      <w:r w:rsidR="00012A18" w:rsidRPr="00D14CBD">
        <w:rPr>
          <w:rFonts w:cs="Arial"/>
          <w:i/>
          <w:iCs/>
        </w:rPr>
        <w:t>Regulation</w:t>
      </w:r>
      <w:r w:rsidR="00012A18" w:rsidRPr="7E4EA285">
        <w:rPr>
          <w:rFonts w:cs="Arial"/>
          <w:i/>
        </w:rPr>
        <w:t xml:space="preserve"> 2018</w:t>
      </w:r>
      <w:r w:rsidR="00E92FFA" w:rsidRPr="7E4EA285">
        <w:rPr>
          <w:rFonts w:cs="Arial"/>
        </w:rPr>
        <w:t xml:space="preserve">, individuals or </w:t>
      </w:r>
      <w:r w:rsidR="00475568" w:rsidRPr="7E4EA285">
        <w:rPr>
          <w:rFonts w:cs="Arial"/>
        </w:rPr>
        <w:t>companies</w:t>
      </w:r>
      <w:r w:rsidR="00E92FFA" w:rsidRPr="7E4EA285">
        <w:rPr>
          <w:rFonts w:cs="Arial"/>
        </w:rPr>
        <w:t xml:space="preserve"> </w:t>
      </w:r>
      <w:r w:rsidR="00CB204B" w:rsidRPr="7E4EA285">
        <w:rPr>
          <w:rFonts w:cs="Arial"/>
        </w:rPr>
        <w:t>may</w:t>
      </w:r>
      <w:r w:rsidR="00E92FFA" w:rsidRPr="7E4EA285">
        <w:rPr>
          <w:rFonts w:cs="Arial"/>
        </w:rPr>
        <w:t xml:space="preserve"> be </w:t>
      </w:r>
      <w:r w:rsidR="1E49786E" w:rsidRPr="150DDAA0">
        <w:rPr>
          <w:rFonts w:cs="Arial"/>
        </w:rPr>
        <w:t xml:space="preserve">initially prohibited </w:t>
      </w:r>
      <w:r w:rsidR="1E49786E" w:rsidRPr="63DD96DB">
        <w:rPr>
          <w:rFonts w:cs="Arial"/>
        </w:rPr>
        <w:t>and/or subsequently</w:t>
      </w:r>
      <w:r w:rsidR="1E49786E" w:rsidRPr="150DDAA0">
        <w:rPr>
          <w:rFonts w:cs="Arial"/>
        </w:rPr>
        <w:t xml:space="preserve"> </w:t>
      </w:r>
      <w:r w:rsidR="00E92FFA" w:rsidRPr="150DDAA0">
        <w:rPr>
          <w:rFonts w:cs="Arial"/>
        </w:rPr>
        <w:t>excluded</w:t>
      </w:r>
      <w:r w:rsidR="00E92FFA" w:rsidRPr="7E4EA285">
        <w:rPr>
          <w:rFonts w:cs="Arial"/>
        </w:rPr>
        <w:t xml:space="preserve"> from holding a QBCC licence</w:t>
      </w:r>
      <w:r w:rsidR="00B458F7" w:rsidRPr="7E4EA285">
        <w:rPr>
          <w:rFonts w:cs="Arial"/>
        </w:rPr>
        <w:t xml:space="preserve"> if they </w:t>
      </w:r>
      <w:r w:rsidR="005765EE" w:rsidRPr="7E4EA285">
        <w:rPr>
          <w:rFonts w:cs="Arial"/>
        </w:rPr>
        <w:t>have</w:t>
      </w:r>
      <w:r w:rsidR="008341AA" w:rsidRPr="7E4EA285">
        <w:rPr>
          <w:rFonts w:cs="Arial"/>
        </w:rPr>
        <w:t>:</w:t>
      </w:r>
    </w:p>
    <w:p w14:paraId="29FE5236" w14:textId="77777777" w:rsidR="005765EE" w:rsidRDefault="008341AA" w:rsidP="00BD69F7">
      <w:pPr>
        <w:pStyle w:val="ListParagraph"/>
        <w:numPr>
          <w:ilvl w:val="0"/>
          <w:numId w:val="27"/>
        </w:numPr>
        <w:spacing w:before="120" w:after="120"/>
        <w:ind w:left="714" w:hanging="357"/>
        <w:contextualSpacing w:val="0"/>
        <w:rPr>
          <w:rFonts w:cs="Arial"/>
        </w:rPr>
      </w:pPr>
      <w:r w:rsidRPr="7E4EA285">
        <w:rPr>
          <w:rFonts w:cs="Arial"/>
        </w:rPr>
        <w:t>serious criminal convictions</w:t>
      </w:r>
    </w:p>
    <w:p w14:paraId="2F68DBAD" w14:textId="77777777" w:rsidR="005765EE" w:rsidRDefault="008341AA" w:rsidP="00BD69F7">
      <w:pPr>
        <w:pStyle w:val="ListParagraph"/>
        <w:numPr>
          <w:ilvl w:val="0"/>
          <w:numId w:val="27"/>
        </w:numPr>
        <w:spacing w:before="120" w:after="120"/>
        <w:ind w:left="714" w:hanging="357"/>
        <w:contextualSpacing w:val="0"/>
        <w:rPr>
          <w:rFonts w:cs="Arial"/>
        </w:rPr>
      </w:pPr>
      <w:r w:rsidRPr="7E4EA285">
        <w:rPr>
          <w:rFonts w:cs="Arial"/>
        </w:rPr>
        <w:t>engaged in financial misconduct</w:t>
      </w:r>
    </w:p>
    <w:p w14:paraId="46F53C6E" w14:textId="1D13943B" w:rsidR="0E663999" w:rsidRDefault="0E0750A5" w:rsidP="00BD69F7">
      <w:pPr>
        <w:pStyle w:val="ListParagraph"/>
        <w:numPr>
          <w:ilvl w:val="0"/>
          <w:numId w:val="27"/>
        </w:numPr>
        <w:spacing w:before="120" w:after="120"/>
        <w:ind w:left="714" w:hanging="357"/>
        <w:contextualSpacing w:val="0"/>
        <w:rPr>
          <w:rFonts w:cs="Arial"/>
        </w:rPr>
      </w:pPr>
      <w:r w:rsidRPr="3EF47AA3">
        <w:rPr>
          <w:rFonts w:cs="Arial"/>
        </w:rPr>
        <w:t xml:space="preserve">been involved in a relevant </w:t>
      </w:r>
      <w:r w:rsidR="4B090127" w:rsidRPr="1AA49AC8">
        <w:rPr>
          <w:rFonts w:cs="Arial"/>
        </w:rPr>
        <w:t>bankruptcy</w:t>
      </w:r>
      <w:r w:rsidRPr="3EF47AA3">
        <w:rPr>
          <w:rFonts w:cs="Arial"/>
        </w:rPr>
        <w:t xml:space="preserve"> or insolvency event</w:t>
      </w:r>
    </w:p>
    <w:p w14:paraId="5657C468" w14:textId="64A59DA3" w:rsidR="00990C08" w:rsidRDefault="008341AA" w:rsidP="00BD69F7">
      <w:pPr>
        <w:pStyle w:val="ListParagraph"/>
        <w:numPr>
          <w:ilvl w:val="0"/>
          <w:numId w:val="27"/>
        </w:numPr>
        <w:spacing w:before="120" w:after="120"/>
        <w:ind w:left="714" w:hanging="357"/>
        <w:contextualSpacing w:val="0"/>
        <w:rPr>
          <w:rFonts w:cs="Arial"/>
        </w:rPr>
      </w:pPr>
      <w:r w:rsidRPr="7E4EA285">
        <w:rPr>
          <w:rFonts w:cs="Arial"/>
        </w:rPr>
        <w:t xml:space="preserve">failed to comply with licensing </w:t>
      </w:r>
      <w:r w:rsidRPr="1AA49AC8">
        <w:rPr>
          <w:rFonts w:cs="Arial"/>
        </w:rPr>
        <w:t>condition</w:t>
      </w:r>
      <w:r w:rsidR="4A099232" w:rsidRPr="1AA49AC8">
        <w:rPr>
          <w:rFonts w:cs="Arial"/>
        </w:rPr>
        <w:t>s</w:t>
      </w:r>
    </w:p>
    <w:p w14:paraId="23F1A5A0" w14:textId="7A88CEA4" w:rsidR="00990C08" w:rsidRPr="00990C08" w:rsidRDefault="63EF7B7B" w:rsidP="00BD69F7">
      <w:pPr>
        <w:pStyle w:val="ListParagraph"/>
        <w:numPr>
          <w:ilvl w:val="0"/>
          <w:numId w:val="27"/>
        </w:numPr>
        <w:spacing w:before="120" w:after="120"/>
        <w:ind w:left="714" w:hanging="357"/>
        <w:contextualSpacing w:val="0"/>
        <w:rPr>
          <w:rFonts w:cs="Arial"/>
        </w:rPr>
      </w:pPr>
      <w:r w:rsidRPr="00990C08">
        <w:rPr>
          <w:rFonts w:cs="Arial"/>
        </w:rPr>
        <w:t>a history of disciplinary action related to their conduct within the building and construction industry</w:t>
      </w:r>
      <w:r w:rsidR="00E957C5">
        <w:rPr>
          <w:rFonts w:cs="Arial"/>
        </w:rPr>
        <w:t>.</w:t>
      </w:r>
    </w:p>
    <w:p w14:paraId="2A2C1382" w14:textId="05853610" w:rsidR="00993C4A" w:rsidRPr="001E2715" w:rsidRDefault="2D2F1DEA" w:rsidP="00D850B1">
      <w:pPr>
        <w:rPr>
          <w:rFonts w:cs="Arial"/>
        </w:rPr>
      </w:pPr>
      <w:r w:rsidRPr="68ED0089">
        <w:rPr>
          <w:rFonts w:cs="Arial"/>
        </w:rPr>
        <w:t xml:space="preserve">Excluded </w:t>
      </w:r>
      <w:r w:rsidR="75CEAF29" w:rsidRPr="1AA49AC8">
        <w:rPr>
          <w:rFonts w:cs="Arial"/>
        </w:rPr>
        <w:t>i</w:t>
      </w:r>
      <w:r w:rsidRPr="1697617E">
        <w:rPr>
          <w:rFonts w:cs="Arial"/>
        </w:rPr>
        <w:t>ndividuals can</w:t>
      </w:r>
      <w:r w:rsidR="00B055B2">
        <w:t xml:space="preserve"> </w:t>
      </w:r>
      <w:r w:rsidR="52E7A886" w:rsidRPr="00D850B1">
        <w:rPr>
          <w:rFonts w:cs="Arial"/>
        </w:rPr>
        <w:t xml:space="preserve">be identified </w:t>
      </w:r>
      <w:r w:rsidR="52E7A886" w:rsidRPr="1AA49AC8">
        <w:rPr>
          <w:rFonts w:cs="Arial"/>
        </w:rPr>
        <w:t xml:space="preserve">using </w:t>
      </w:r>
      <w:r w:rsidR="52E7A886" w:rsidRPr="00D850B1">
        <w:rPr>
          <w:rFonts w:cs="Arial"/>
        </w:rPr>
        <w:t xml:space="preserve">the </w:t>
      </w:r>
      <w:r w:rsidR="0021016D" w:rsidRPr="00B60AD7">
        <w:rPr>
          <w:rFonts w:cs="Arial"/>
        </w:rPr>
        <w:t xml:space="preserve">QBCC </w:t>
      </w:r>
      <w:r w:rsidR="52E7A886" w:rsidRPr="00D850B1">
        <w:rPr>
          <w:rFonts w:eastAsia="Arial" w:cs="Arial"/>
        </w:rPr>
        <w:t>Excluded Individual Register</w:t>
      </w:r>
      <w:r w:rsidR="005750D8">
        <w:rPr>
          <w:rFonts w:eastAsia="Arial" w:cs="Arial"/>
        </w:rPr>
        <w:t>.</w:t>
      </w:r>
      <w:r w:rsidR="005A1649" w:rsidRPr="1AA49AC8">
        <w:rPr>
          <w:rStyle w:val="FootnoteReference"/>
          <w:rFonts w:cs="Arial"/>
        </w:rPr>
        <w:footnoteReference w:id="4"/>
      </w:r>
      <w:r w:rsidR="00562CE7" w:rsidRPr="7E4EA285">
        <w:rPr>
          <w:rFonts w:cs="Arial"/>
        </w:rPr>
        <w:t xml:space="preserve"> In 2024–25</w:t>
      </w:r>
      <w:r w:rsidR="00B75698" w:rsidRPr="7E4EA285">
        <w:rPr>
          <w:rFonts w:cs="Arial"/>
        </w:rPr>
        <w:t>,</w:t>
      </w:r>
      <w:r w:rsidR="000054A8" w:rsidRPr="7E4EA285">
        <w:rPr>
          <w:rFonts w:cs="Arial"/>
        </w:rPr>
        <w:t xml:space="preserve"> a total of</w:t>
      </w:r>
      <w:r w:rsidR="00B75698" w:rsidRPr="7E4EA285">
        <w:rPr>
          <w:rFonts w:cs="Arial"/>
        </w:rPr>
        <w:t xml:space="preserve"> </w:t>
      </w:r>
      <w:r w:rsidR="0CA8F743" w:rsidRPr="7A1F024D">
        <w:rPr>
          <w:rFonts w:cs="Arial"/>
        </w:rPr>
        <w:t>239</w:t>
      </w:r>
      <w:r w:rsidR="00B75698" w:rsidRPr="7E4EA285">
        <w:rPr>
          <w:rFonts w:cs="Arial"/>
        </w:rPr>
        <w:t xml:space="preserve"> individuals were excluded</w:t>
      </w:r>
      <w:r w:rsidR="00562CE7" w:rsidRPr="7E4EA285">
        <w:rPr>
          <w:rFonts w:cs="Arial"/>
        </w:rPr>
        <w:t xml:space="preserve"> from licensing</w:t>
      </w:r>
      <w:r w:rsidR="00B75698" w:rsidRPr="7E4EA285">
        <w:rPr>
          <w:rFonts w:cs="Arial"/>
        </w:rPr>
        <w:t xml:space="preserve">, including </w:t>
      </w:r>
      <w:r w:rsidR="421508DE" w:rsidRPr="7A1F024D">
        <w:rPr>
          <w:rFonts w:cs="Arial"/>
        </w:rPr>
        <w:t>130</w:t>
      </w:r>
      <w:r w:rsidR="00B75698" w:rsidRPr="7E4EA285">
        <w:rPr>
          <w:rFonts w:cs="Arial"/>
        </w:rPr>
        <w:t xml:space="preserve"> whose licences were cancelled. </w:t>
      </w:r>
      <w:r w:rsidR="00997854" w:rsidRPr="7E4EA285">
        <w:rPr>
          <w:rFonts w:cs="Arial"/>
        </w:rPr>
        <w:t>In a</w:t>
      </w:r>
      <w:r w:rsidR="00B75698" w:rsidRPr="7E4EA285">
        <w:rPr>
          <w:rFonts w:cs="Arial"/>
        </w:rPr>
        <w:t>ddition</w:t>
      </w:r>
      <w:r w:rsidR="00B75698" w:rsidRPr="00087C0E">
        <w:rPr>
          <w:rFonts w:cs="Arial"/>
        </w:rPr>
        <w:t xml:space="preserve">, </w:t>
      </w:r>
      <w:r w:rsidR="12215495" w:rsidRPr="001E2715">
        <w:rPr>
          <w:rFonts w:cs="Arial"/>
        </w:rPr>
        <w:t>15</w:t>
      </w:r>
      <w:r w:rsidR="00B75698" w:rsidRPr="001E2715">
        <w:rPr>
          <w:rFonts w:cs="Arial"/>
        </w:rPr>
        <w:t xml:space="preserve"> individuals were permanently </w:t>
      </w:r>
      <w:r w:rsidR="001B6E7A" w:rsidRPr="001E2715">
        <w:rPr>
          <w:rFonts w:cs="Arial"/>
        </w:rPr>
        <w:t>excluded due to their involvement in a second financial failure.</w:t>
      </w:r>
      <w:r w:rsidR="00D338E9" w:rsidRPr="001E2715">
        <w:rPr>
          <w:rFonts w:cs="Arial"/>
        </w:rPr>
        <w:t xml:space="preserve"> </w:t>
      </w:r>
      <w:r w:rsidR="00913D05" w:rsidRPr="001E2715">
        <w:rPr>
          <w:rFonts w:cs="Arial"/>
        </w:rPr>
        <w:t>During the same period,</w:t>
      </w:r>
      <w:r w:rsidR="00C62B23" w:rsidRPr="001E2715">
        <w:rPr>
          <w:rFonts w:cs="Arial"/>
        </w:rPr>
        <w:t xml:space="preserve"> </w:t>
      </w:r>
      <w:r w:rsidR="13CF8AC8" w:rsidRPr="001E2715">
        <w:rPr>
          <w:rFonts w:cs="Arial"/>
        </w:rPr>
        <w:t>90</w:t>
      </w:r>
      <w:r w:rsidR="00C62B23" w:rsidRPr="001E2715">
        <w:rPr>
          <w:rFonts w:cs="Arial"/>
        </w:rPr>
        <w:t xml:space="preserve"> companies were excluded</w:t>
      </w:r>
      <w:r w:rsidR="001A4AA3" w:rsidRPr="001E2715">
        <w:rPr>
          <w:rFonts w:cs="Arial"/>
        </w:rPr>
        <w:t xml:space="preserve"> </w:t>
      </w:r>
      <w:proofErr w:type="gramStart"/>
      <w:r w:rsidR="00913D05" w:rsidRPr="001E2715">
        <w:rPr>
          <w:rFonts w:cs="Arial"/>
        </w:rPr>
        <w:t>as a result</w:t>
      </w:r>
      <w:r w:rsidR="001A4AA3" w:rsidRPr="001E2715">
        <w:rPr>
          <w:rFonts w:cs="Arial"/>
        </w:rPr>
        <w:t xml:space="preserve"> </w:t>
      </w:r>
      <w:r w:rsidR="00F06276" w:rsidRPr="001E2715">
        <w:rPr>
          <w:rFonts w:cs="Arial"/>
        </w:rPr>
        <w:t>of</w:t>
      </w:r>
      <w:proofErr w:type="gramEnd"/>
      <w:r w:rsidR="00F06276" w:rsidRPr="001E2715">
        <w:rPr>
          <w:rFonts w:cs="Arial"/>
        </w:rPr>
        <w:t xml:space="preserve"> concerns relating </w:t>
      </w:r>
      <w:r w:rsidR="001A4AA3" w:rsidRPr="001E2715">
        <w:rPr>
          <w:rFonts w:cs="Arial"/>
        </w:rPr>
        <w:t xml:space="preserve">to individuals in key </w:t>
      </w:r>
      <w:r w:rsidR="00F06276" w:rsidRPr="001E2715">
        <w:rPr>
          <w:rFonts w:cs="Arial"/>
        </w:rPr>
        <w:t xml:space="preserve">management </w:t>
      </w:r>
      <w:r w:rsidR="001A4AA3" w:rsidRPr="001E2715">
        <w:rPr>
          <w:rFonts w:cs="Arial"/>
        </w:rPr>
        <w:t>role</w:t>
      </w:r>
      <w:r w:rsidR="00260AD3" w:rsidRPr="001E2715">
        <w:rPr>
          <w:rFonts w:cs="Arial"/>
        </w:rPr>
        <w:t>s</w:t>
      </w:r>
      <w:r w:rsidR="009252A9" w:rsidRPr="001E2715">
        <w:rPr>
          <w:rFonts w:cs="Arial"/>
        </w:rPr>
        <w:t xml:space="preserve"> </w:t>
      </w:r>
      <w:r w:rsidR="00243EA7">
        <w:rPr>
          <w:rFonts w:cs="Arial"/>
        </w:rPr>
        <w:t>at</w:t>
      </w:r>
      <w:r w:rsidR="00243EA7" w:rsidRPr="001E2715">
        <w:rPr>
          <w:rFonts w:cs="Arial"/>
        </w:rPr>
        <w:t xml:space="preserve"> </w:t>
      </w:r>
      <w:r w:rsidR="009252A9" w:rsidRPr="001E2715">
        <w:rPr>
          <w:rFonts w:cs="Arial"/>
        </w:rPr>
        <w:t>those excluded companies</w:t>
      </w:r>
      <w:r w:rsidR="001A4AA3" w:rsidRPr="001E2715">
        <w:rPr>
          <w:rFonts w:cs="Arial"/>
        </w:rPr>
        <w:t>.</w:t>
      </w:r>
    </w:p>
    <w:p w14:paraId="0B3575B1" w14:textId="328AEE61" w:rsidR="00C01886" w:rsidRPr="004D482E" w:rsidRDefault="00C01886" w:rsidP="00D850B1">
      <w:pPr>
        <w:pStyle w:val="Heading4"/>
        <w:spacing w:before="120"/>
      </w:pPr>
      <w:bookmarkStart w:id="77" w:name="_Trust_account_audit"/>
      <w:bookmarkEnd w:id="77"/>
      <w:r w:rsidRPr="001E2715">
        <w:t>Trust account audit programs</w:t>
      </w:r>
      <w:r>
        <w:t xml:space="preserve"> </w:t>
      </w:r>
    </w:p>
    <w:p w14:paraId="0BCE7629" w14:textId="2988788D" w:rsidR="00970698" w:rsidRDefault="24B41EAD" w:rsidP="00C1667B">
      <w:pPr>
        <w:spacing w:before="120" w:after="120"/>
        <w:rPr>
          <w:rFonts w:cs="Arial"/>
        </w:rPr>
      </w:pPr>
      <w:r w:rsidRPr="30A721C2">
        <w:rPr>
          <w:rFonts w:cs="Arial"/>
        </w:rPr>
        <w:t>L</w:t>
      </w:r>
      <w:r w:rsidR="7242FEE7" w:rsidRPr="30A721C2">
        <w:rPr>
          <w:rFonts w:cs="Arial"/>
        </w:rPr>
        <w:t xml:space="preserve">icensed builders and contractors </w:t>
      </w:r>
      <w:r w:rsidR="74A70F05" w:rsidRPr="30A721C2">
        <w:rPr>
          <w:rFonts w:cs="Arial"/>
        </w:rPr>
        <w:t>are required to</w:t>
      </w:r>
      <w:r w:rsidR="54E2F8CC" w:rsidRPr="30A721C2">
        <w:rPr>
          <w:rFonts w:cs="Arial"/>
        </w:rPr>
        <w:t xml:space="preserve"> </w:t>
      </w:r>
      <w:r w:rsidR="4EC29EEB" w:rsidRPr="30A721C2">
        <w:rPr>
          <w:rFonts w:cs="Arial"/>
        </w:rPr>
        <w:t xml:space="preserve">establish and </w:t>
      </w:r>
      <w:r w:rsidR="7242FEE7" w:rsidRPr="30A721C2">
        <w:rPr>
          <w:rFonts w:cs="Arial"/>
        </w:rPr>
        <w:t>maintain</w:t>
      </w:r>
      <w:r w:rsidR="62F94074" w:rsidRPr="30A721C2">
        <w:rPr>
          <w:rFonts w:cs="Arial"/>
        </w:rPr>
        <w:t xml:space="preserve"> trust accounts to </w:t>
      </w:r>
      <w:r w:rsidR="71E79E5D" w:rsidRPr="30A721C2">
        <w:rPr>
          <w:rFonts w:cs="Arial"/>
        </w:rPr>
        <w:t xml:space="preserve">protect </w:t>
      </w:r>
      <w:r w:rsidR="5105BEED" w:rsidRPr="30A721C2">
        <w:rPr>
          <w:rFonts w:cs="Arial"/>
        </w:rPr>
        <w:t xml:space="preserve">payments intended for </w:t>
      </w:r>
      <w:r w:rsidR="643994BF" w:rsidRPr="30A721C2">
        <w:rPr>
          <w:rFonts w:cs="Arial"/>
        </w:rPr>
        <w:t xml:space="preserve">construction work, particularly on behalf of subcontractors. </w:t>
      </w:r>
      <w:r w:rsidR="54FA6F8E" w:rsidRPr="30A721C2">
        <w:rPr>
          <w:rFonts w:cs="Arial"/>
        </w:rPr>
        <w:t xml:space="preserve">To </w:t>
      </w:r>
      <w:r w:rsidR="08CFC136" w:rsidRPr="30A721C2">
        <w:rPr>
          <w:rFonts w:cs="Arial"/>
        </w:rPr>
        <w:t xml:space="preserve">promote </w:t>
      </w:r>
      <w:r w:rsidR="7AFC3983" w:rsidRPr="30A721C2">
        <w:rPr>
          <w:rFonts w:cs="Arial"/>
        </w:rPr>
        <w:t>responsible management</w:t>
      </w:r>
      <w:r w:rsidR="41FC7561" w:rsidRPr="30A721C2">
        <w:rPr>
          <w:rFonts w:cs="Arial"/>
        </w:rPr>
        <w:t xml:space="preserve"> of trust account funds</w:t>
      </w:r>
      <w:r w:rsidR="6C4C0164" w:rsidRPr="30A721C2">
        <w:rPr>
          <w:rFonts w:cs="Arial"/>
        </w:rPr>
        <w:t>, the</w:t>
      </w:r>
      <w:r w:rsidR="54FA6F8E" w:rsidRPr="30A721C2">
        <w:rPr>
          <w:rFonts w:cs="Arial"/>
        </w:rPr>
        <w:t xml:space="preserve"> </w:t>
      </w:r>
      <w:r w:rsidR="2070ABE8" w:rsidRPr="30A721C2">
        <w:rPr>
          <w:rFonts w:cs="Arial"/>
        </w:rPr>
        <w:t>QBCC</w:t>
      </w:r>
      <w:r w:rsidR="12314BC6" w:rsidRPr="30A721C2">
        <w:rPr>
          <w:rFonts w:cs="Arial"/>
        </w:rPr>
        <w:t xml:space="preserve"> </w:t>
      </w:r>
      <w:r w:rsidR="6D5A7704" w:rsidRPr="30A721C2">
        <w:rPr>
          <w:rFonts w:cs="Arial"/>
        </w:rPr>
        <w:t xml:space="preserve">administers </w:t>
      </w:r>
      <w:r w:rsidR="7B2F5998" w:rsidRPr="30A721C2">
        <w:rPr>
          <w:rFonts w:cs="Arial"/>
        </w:rPr>
        <w:t>three</w:t>
      </w:r>
      <w:r w:rsidR="021A6191" w:rsidRPr="30A721C2">
        <w:rPr>
          <w:rFonts w:cs="Arial"/>
        </w:rPr>
        <w:t xml:space="preserve"> </w:t>
      </w:r>
      <w:r w:rsidR="494F4C82" w:rsidRPr="30A721C2">
        <w:rPr>
          <w:rFonts w:cs="Arial"/>
        </w:rPr>
        <w:t>approved</w:t>
      </w:r>
      <w:r w:rsidR="021A6191" w:rsidRPr="30A721C2">
        <w:rPr>
          <w:rFonts w:cs="Arial"/>
        </w:rPr>
        <w:t xml:space="preserve"> </w:t>
      </w:r>
      <w:r w:rsidR="3DA072D3" w:rsidRPr="30A721C2">
        <w:rPr>
          <w:rFonts w:cs="Arial"/>
        </w:rPr>
        <w:t>t</w:t>
      </w:r>
      <w:r w:rsidR="62DBD485" w:rsidRPr="30A721C2">
        <w:rPr>
          <w:rFonts w:cs="Arial"/>
        </w:rPr>
        <w:t xml:space="preserve">rust </w:t>
      </w:r>
      <w:r w:rsidR="3DA072D3" w:rsidRPr="30A721C2">
        <w:rPr>
          <w:rFonts w:cs="Arial"/>
        </w:rPr>
        <w:t>a</w:t>
      </w:r>
      <w:r w:rsidR="62DBD485" w:rsidRPr="30A721C2">
        <w:rPr>
          <w:rFonts w:cs="Arial"/>
        </w:rPr>
        <w:t xml:space="preserve">ccount </w:t>
      </w:r>
      <w:r w:rsidR="3DA072D3" w:rsidRPr="30A721C2">
        <w:rPr>
          <w:rFonts w:cs="Arial"/>
        </w:rPr>
        <w:t>audit program</w:t>
      </w:r>
      <w:r w:rsidR="021A6191" w:rsidRPr="30A721C2">
        <w:rPr>
          <w:rFonts w:cs="Arial"/>
        </w:rPr>
        <w:t>s</w:t>
      </w:r>
      <w:r w:rsidR="4D23DE24" w:rsidRPr="30A721C2">
        <w:rPr>
          <w:rFonts w:cs="Arial"/>
        </w:rPr>
        <w:t>:</w:t>
      </w:r>
    </w:p>
    <w:p w14:paraId="054E2AEF" w14:textId="58B60827" w:rsidR="00E91F40" w:rsidRPr="00BC2280" w:rsidRDefault="00F13C77" w:rsidP="00BD69F7">
      <w:pPr>
        <w:pStyle w:val="ListParagraph"/>
        <w:numPr>
          <w:ilvl w:val="0"/>
          <w:numId w:val="58"/>
        </w:numPr>
        <w:spacing w:before="120" w:after="120"/>
        <w:contextualSpacing w:val="0"/>
        <w:rPr>
          <w:rFonts w:cs="Arial"/>
        </w:rPr>
      </w:pPr>
      <w:r w:rsidRPr="7E4EA285">
        <w:rPr>
          <w:rFonts w:cs="Arial"/>
          <w:b/>
          <w:bCs/>
        </w:rPr>
        <w:t>Retention trust accounts</w:t>
      </w:r>
      <w:r w:rsidR="00A41B84">
        <w:rPr>
          <w:rFonts w:cs="Arial"/>
          <w:b/>
          <w:bCs/>
        </w:rPr>
        <w:t>:</w:t>
      </w:r>
      <w:r w:rsidR="00466ED9" w:rsidRPr="7E4EA285">
        <w:rPr>
          <w:rFonts w:cs="Arial"/>
        </w:rPr>
        <w:t xml:space="preserve"> </w:t>
      </w:r>
      <w:r w:rsidR="005B374D" w:rsidRPr="7E4EA285">
        <w:rPr>
          <w:rFonts w:cs="Arial"/>
        </w:rPr>
        <w:t>Used to h</w:t>
      </w:r>
      <w:r w:rsidR="00557850" w:rsidRPr="7E4EA285">
        <w:rPr>
          <w:rFonts w:cs="Arial"/>
        </w:rPr>
        <w:t>old</w:t>
      </w:r>
      <w:r w:rsidR="005B374D" w:rsidRPr="7E4EA285">
        <w:rPr>
          <w:rFonts w:cs="Arial"/>
        </w:rPr>
        <w:t xml:space="preserve"> </w:t>
      </w:r>
      <w:r w:rsidR="00557850" w:rsidRPr="7E4EA285">
        <w:rPr>
          <w:rFonts w:cs="Arial"/>
        </w:rPr>
        <w:t xml:space="preserve">retention money </w:t>
      </w:r>
      <w:r w:rsidR="005D6AD1" w:rsidRPr="7E4EA285">
        <w:rPr>
          <w:rFonts w:cs="Arial"/>
        </w:rPr>
        <w:t xml:space="preserve">withheld </w:t>
      </w:r>
      <w:r w:rsidR="00CF7438" w:rsidRPr="7E4EA285">
        <w:rPr>
          <w:rFonts w:cs="Arial"/>
        </w:rPr>
        <w:t>from</w:t>
      </w:r>
      <w:r w:rsidR="00CE1FD5" w:rsidRPr="7E4EA285">
        <w:rPr>
          <w:rFonts w:cs="Arial"/>
        </w:rPr>
        <w:t xml:space="preserve"> subcontractor</w:t>
      </w:r>
      <w:r w:rsidR="00B215F3">
        <w:rPr>
          <w:rFonts w:cs="Arial"/>
        </w:rPr>
        <w:t>s</w:t>
      </w:r>
      <w:r w:rsidR="00811964" w:rsidRPr="7E4EA285">
        <w:rPr>
          <w:rFonts w:cs="Arial"/>
        </w:rPr>
        <w:t xml:space="preserve"> </w:t>
      </w:r>
      <w:r w:rsidR="00CF7438" w:rsidRPr="7E4EA285">
        <w:rPr>
          <w:rFonts w:cs="Arial"/>
        </w:rPr>
        <w:t xml:space="preserve">until their contractual </w:t>
      </w:r>
      <w:r w:rsidR="00811964" w:rsidRPr="7E4EA285">
        <w:rPr>
          <w:rFonts w:cs="Arial"/>
        </w:rPr>
        <w:t xml:space="preserve">obligations are </w:t>
      </w:r>
      <w:r w:rsidR="005C646A" w:rsidRPr="7E4EA285">
        <w:rPr>
          <w:rFonts w:cs="Arial"/>
        </w:rPr>
        <w:t>fulfilled</w:t>
      </w:r>
      <w:r w:rsidR="00705492" w:rsidRPr="7E4EA285">
        <w:rPr>
          <w:rFonts w:cs="Arial"/>
        </w:rPr>
        <w:t>.</w:t>
      </w:r>
    </w:p>
    <w:p w14:paraId="2CDA84FF" w14:textId="400F3693" w:rsidR="005A27A2" w:rsidRPr="00D51A61" w:rsidRDefault="005A27A2" w:rsidP="00BD69F7">
      <w:pPr>
        <w:pStyle w:val="ListParagraph"/>
        <w:numPr>
          <w:ilvl w:val="0"/>
          <w:numId w:val="58"/>
        </w:numPr>
        <w:spacing w:before="120" w:after="120"/>
        <w:contextualSpacing w:val="0"/>
        <w:rPr>
          <w:rFonts w:cs="Arial"/>
        </w:rPr>
      </w:pPr>
      <w:r w:rsidRPr="7E4EA285">
        <w:rPr>
          <w:rFonts w:cs="Arial"/>
          <w:b/>
          <w:bCs/>
        </w:rPr>
        <w:t>Project trust accounts</w:t>
      </w:r>
      <w:r w:rsidR="00A41B84">
        <w:rPr>
          <w:rFonts w:cs="Arial"/>
          <w:b/>
          <w:bCs/>
        </w:rPr>
        <w:t>:</w:t>
      </w:r>
      <w:r w:rsidR="009A19AF" w:rsidRPr="7E4EA285">
        <w:rPr>
          <w:rFonts w:cs="Arial"/>
        </w:rPr>
        <w:t xml:space="preserve"> </w:t>
      </w:r>
      <w:r w:rsidR="005C646A" w:rsidRPr="7E4EA285">
        <w:rPr>
          <w:rFonts w:cs="Arial"/>
        </w:rPr>
        <w:t>Used to h</w:t>
      </w:r>
      <w:r w:rsidR="00AC2A6C" w:rsidRPr="7E4EA285">
        <w:rPr>
          <w:rFonts w:cs="Arial"/>
        </w:rPr>
        <w:t>old project funds</w:t>
      </w:r>
      <w:r w:rsidR="00066F47" w:rsidRPr="7E4EA285">
        <w:rPr>
          <w:rFonts w:cs="Arial"/>
        </w:rPr>
        <w:t xml:space="preserve"> </w:t>
      </w:r>
      <w:r w:rsidR="005C646A" w:rsidRPr="7E4EA285">
        <w:rPr>
          <w:rFonts w:cs="Arial"/>
        </w:rPr>
        <w:t>for payment</w:t>
      </w:r>
      <w:r w:rsidR="00743893" w:rsidRPr="7E4EA285">
        <w:rPr>
          <w:rFonts w:cs="Arial"/>
        </w:rPr>
        <w:t xml:space="preserve"> to subcontractors and suppliers</w:t>
      </w:r>
      <w:r w:rsidR="005C646A" w:rsidRPr="7E4EA285">
        <w:rPr>
          <w:rFonts w:cs="Arial"/>
        </w:rPr>
        <w:t xml:space="preserve"> involved in a specific </w:t>
      </w:r>
      <w:r w:rsidR="00242626" w:rsidRPr="7E4EA285">
        <w:rPr>
          <w:rFonts w:cs="Arial"/>
        </w:rPr>
        <w:t>construction project</w:t>
      </w:r>
      <w:r w:rsidR="00705492" w:rsidRPr="7E4EA285">
        <w:rPr>
          <w:rFonts w:cs="Arial"/>
        </w:rPr>
        <w:t>.</w:t>
      </w:r>
    </w:p>
    <w:p w14:paraId="0D4CF8D5" w14:textId="7CE43E37" w:rsidR="00F133AF" w:rsidRPr="00C1667B" w:rsidRDefault="00B42BD2" w:rsidP="00BD69F7">
      <w:pPr>
        <w:pStyle w:val="ListParagraph"/>
        <w:numPr>
          <w:ilvl w:val="0"/>
          <w:numId w:val="58"/>
        </w:numPr>
        <w:spacing w:before="120" w:after="120"/>
        <w:rPr>
          <w:rFonts w:cs="Arial"/>
        </w:rPr>
      </w:pPr>
      <w:r w:rsidRPr="7E4EA285">
        <w:rPr>
          <w:rFonts w:cs="Arial"/>
          <w:b/>
          <w:bCs/>
        </w:rPr>
        <w:t>Payment claims</w:t>
      </w:r>
      <w:r w:rsidR="00A41B84">
        <w:rPr>
          <w:rFonts w:cs="Arial"/>
          <w:b/>
          <w:bCs/>
        </w:rPr>
        <w:t>:</w:t>
      </w:r>
      <w:r w:rsidRPr="7E4EA285">
        <w:rPr>
          <w:rFonts w:cs="Arial"/>
        </w:rPr>
        <w:t xml:space="preserve"> </w:t>
      </w:r>
      <w:r w:rsidR="00242626" w:rsidRPr="7E4EA285">
        <w:rPr>
          <w:rFonts w:cs="Arial"/>
        </w:rPr>
        <w:t>F</w:t>
      </w:r>
      <w:r w:rsidR="00743893" w:rsidRPr="7E4EA285">
        <w:rPr>
          <w:rFonts w:cs="Arial"/>
        </w:rPr>
        <w:t xml:space="preserve">ormal </w:t>
      </w:r>
      <w:r w:rsidR="006C247A" w:rsidRPr="7E4EA285">
        <w:rPr>
          <w:rFonts w:cs="Arial"/>
        </w:rPr>
        <w:t xml:space="preserve">payment </w:t>
      </w:r>
      <w:r w:rsidR="00743893" w:rsidRPr="7E4EA285">
        <w:rPr>
          <w:rFonts w:cs="Arial"/>
        </w:rPr>
        <w:t>request</w:t>
      </w:r>
      <w:r w:rsidR="00242626" w:rsidRPr="7E4EA285">
        <w:rPr>
          <w:rFonts w:cs="Arial"/>
        </w:rPr>
        <w:t>s</w:t>
      </w:r>
      <w:r w:rsidR="00743893" w:rsidRPr="7E4EA285">
        <w:rPr>
          <w:rFonts w:cs="Arial"/>
        </w:rPr>
        <w:t xml:space="preserve"> </w:t>
      </w:r>
      <w:r w:rsidR="006C247A" w:rsidRPr="7E4EA285">
        <w:rPr>
          <w:rFonts w:cs="Arial"/>
        </w:rPr>
        <w:t>submitted</w:t>
      </w:r>
      <w:r w:rsidR="00743893" w:rsidRPr="7E4EA285">
        <w:rPr>
          <w:rFonts w:cs="Arial"/>
        </w:rPr>
        <w:t xml:space="preserve"> </w:t>
      </w:r>
      <w:r w:rsidR="00AB13E1" w:rsidRPr="7E4EA285">
        <w:rPr>
          <w:rFonts w:cs="Arial"/>
        </w:rPr>
        <w:t>under a construction contract</w:t>
      </w:r>
      <w:r w:rsidR="00743893" w:rsidRPr="7E4EA285">
        <w:rPr>
          <w:rFonts w:cs="Arial"/>
        </w:rPr>
        <w:t xml:space="preserve"> for </w:t>
      </w:r>
      <w:r w:rsidR="000173BA" w:rsidRPr="7E4EA285">
        <w:rPr>
          <w:rFonts w:cs="Arial"/>
        </w:rPr>
        <w:t xml:space="preserve">completed </w:t>
      </w:r>
      <w:r w:rsidR="00A805F3" w:rsidRPr="7E4EA285">
        <w:rPr>
          <w:rFonts w:cs="Arial"/>
        </w:rPr>
        <w:t xml:space="preserve">work </w:t>
      </w:r>
      <w:r w:rsidR="000173BA" w:rsidRPr="7E4EA285">
        <w:rPr>
          <w:rFonts w:cs="Arial"/>
        </w:rPr>
        <w:t xml:space="preserve">or </w:t>
      </w:r>
      <w:r w:rsidR="00A805F3" w:rsidRPr="7E4EA285">
        <w:rPr>
          <w:rFonts w:cs="Arial"/>
        </w:rPr>
        <w:t xml:space="preserve">supplied </w:t>
      </w:r>
      <w:r w:rsidR="00705492" w:rsidRPr="7E4EA285">
        <w:rPr>
          <w:rFonts w:cs="Arial"/>
        </w:rPr>
        <w:t>materials.</w:t>
      </w:r>
    </w:p>
    <w:p w14:paraId="7F83E9D1" w14:textId="534D27C2" w:rsidR="00D6030A" w:rsidRPr="004D482E" w:rsidRDefault="00BB4321" w:rsidP="00C1667B">
      <w:pPr>
        <w:spacing w:before="120" w:after="120"/>
        <w:rPr>
          <w:rFonts w:cs="Arial"/>
        </w:rPr>
      </w:pPr>
      <w:r w:rsidRPr="7E4EA285">
        <w:rPr>
          <w:rFonts w:cs="Arial"/>
        </w:rPr>
        <w:lastRenderedPageBreak/>
        <w:t>Th</w:t>
      </w:r>
      <w:r w:rsidR="001C1147">
        <w:rPr>
          <w:rFonts w:cs="Arial"/>
        </w:rPr>
        <w:t>e QBCC</w:t>
      </w:r>
      <w:r w:rsidR="00AC2566">
        <w:rPr>
          <w:rFonts w:cs="Arial"/>
        </w:rPr>
        <w:t xml:space="preserve"> </w:t>
      </w:r>
      <w:r w:rsidRPr="7E4EA285" w:rsidDel="001C1147">
        <w:rPr>
          <w:rFonts w:cs="Arial"/>
        </w:rPr>
        <w:t>audit</w:t>
      </w:r>
      <w:r w:rsidRPr="7E4EA285">
        <w:rPr>
          <w:rFonts w:cs="Arial"/>
        </w:rPr>
        <w:t xml:space="preserve"> program</w:t>
      </w:r>
      <w:r w:rsidR="00970698" w:rsidRPr="7E4EA285">
        <w:rPr>
          <w:rFonts w:cs="Arial"/>
        </w:rPr>
        <w:t>s</w:t>
      </w:r>
      <w:r w:rsidRPr="7E4EA285">
        <w:rPr>
          <w:rFonts w:cs="Arial"/>
        </w:rPr>
        <w:t xml:space="preserve"> prov</w:t>
      </w:r>
      <w:r w:rsidR="006872B0" w:rsidRPr="7E4EA285">
        <w:rPr>
          <w:rFonts w:cs="Arial"/>
        </w:rPr>
        <w:t>ide</w:t>
      </w:r>
      <w:r w:rsidR="001F0699" w:rsidRPr="7E4EA285">
        <w:rPr>
          <w:rFonts w:cs="Arial"/>
        </w:rPr>
        <w:t xml:space="preserve"> </w:t>
      </w:r>
      <w:r w:rsidR="006872B0" w:rsidRPr="7E4EA285">
        <w:rPr>
          <w:rFonts w:cs="Arial"/>
        </w:rPr>
        <w:t xml:space="preserve">oversight </w:t>
      </w:r>
      <w:r w:rsidR="00BA4FF5" w:rsidRPr="7E4EA285">
        <w:rPr>
          <w:rFonts w:cs="Arial"/>
        </w:rPr>
        <w:t>to ensure</w:t>
      </w:r>
      <w:r w:rsidR="00A765CF" w:rsidRPr="7E4EA285">
        <w:rPr>
          <w:rFonts w:cs="Arial"/>
        </w:rPr>
        <w:t xml:space="preserve"> </w:t>
      </w:r>
      <w:r w:rsidR="00C86CB5" w:rsidRPr="7E4EA285">
        <w:rPr>
          <w:rFonts w:cs="Arial"/>
        </w:rPr>
        <w:t>licens</w:t>
      </w:r>
      <w:r w:rsidR="00AD62BA" w:rsidRPr="7E4EA285">
        <w:rPr>
          <w:rFonts w:cs="Arial"/>
        </w:rPr>
        <w:t>ees</w:t>
      </w:r>
      <w:r w:rsidRPr="7E4EA285">
        <w:rPr>
          <w:rFonts w:cs="Arial"/>
        </w:rPr>
        <w:t xml:space="preserve"> </w:t>
      </w:r>
      <w:r w:rsidR="00C86CB5" w:rsidRPr="7E4EA285">
        <w:rPr>
          <w:rFonts w:cs="Arial"/>
        </w:rPr>
        <w:t>manag</w:t>
      </w:r>
      <w:r w:rsidRPr="7E4EA285">
        <w:rPr>
          <w:rFonts w:cs="Arial"/>
        </w:rPr>
        <w:t xml:space="preserve">e </w:t>
      </w:r>
      <w:r w:rsidR="00C86CB5" w:rsidRPr="7E4EA285">
        <w:rPr>
          <w:rFonts w:cs="Arial"/>
        </w:rPr>
        <w:t xml:space="preserve">trust </w:t>
      </w:r>
      <w:r w:rsidR="00581674" w:rsidRPr="7E4EA285">
        <w:rPr>
          <w:rFonts w:cs="Arial"/>
        </w:rPr>
        <w:t>accounts</w:t>
      </w:r>
      <w:r w:rsidR="00C86CB5" w:rsidRPr="7E4EA285">
        <w:rPr>
          <w:rFonts w:cs="Arial"/>
        </w:rPr>
        <w:t xml:space="preserve"> </w:t>
      </w:r>
      <w:r w:rsidR="00CA589F" w:rsidRPr="7E4EA285">
        <w:rPr>
          <w:rFonts w:cs="Arial"/>
        </w:rPr>
        <w:t>in accordance with legislative requirements</w:t>
      </w:r>
      <w:r w:rsidR="00AD62BA" w:rsidRPr="7E4EA285">
        <w:rPr>
          <w:rFonts w:cs="Arial"/>
        </w:rPr>
        <w:t>.</w:t>
      </w:r>
      <w:r w:rsidR="00595804">
        <w:rPr>
          <w:rFonts w:cs="Arial"/>
        </w:rPr>
        <w:t xml:space="preserve"> </w:t>
      </w:r>
      <w:r w:rsidR="00C55E41" w:rsidRPr="7E4EA285">
        <w:rPr>
          <w:rFonts w:cs="Arial"/>
        </w:rPr>
        <w:t xml:space="preserve">In </w:t>
      </w:r>
      <w:r w:rsidR="00C01886" w:rsidRPr="7E4EA285">
        <w:rPr>
          <w:rFonts w:cs="Arial"/>
        </w:rPr>
        <w:t xml:space="preserve">2024–25, </w:t>
      </w:r>
      <w:r w:rsidR="00C01886" w:rsidRPr="00AB6CE8">
        <w:rPr>
          <w:rFonts w:cs="Arial"/>
        </w:rPr>
        <w:t xml:space="preserve">the QBCC completed </w:t>
      </w:r>
      <w:r w:rsidR="27412DB2" w:rsidRPr="00AB6CE8">
        <w:rPr>
          <w:rFonts w:cs="Arial"/>
        </w:rPr>
        <w:t>114</w:t>
      </w:r>
      <w:r w:rsidR="00C01886" w:rsidRPr="00AB6CE8">
        <w:rPr>
          <w:rFonts w:cs="Arial"/>
        </w:rPr>
        <w:t xml:space="preserve"> trust account audits </w:t>
      </w:r>
      <w:r w:rsidR="00371195" w:rsidRPr="00AB6CE8">
        <w:rPr>
          <w:rFonts w:cs="Arial"/>
        </w:rPr>
        <w:t xml:space="preserve">across </w:t>
      </w:r>
      <w:r w:rsidR="00844352">
        <w:rPr>
          <w:rFonts w:cs="Arial"/>
        </w:rPr>
        <w:t>the</w:t>
      </w:r>
      <w:r w:rsidR="009A19AF" w:rsidRPr="00AB6CE8">
        <w:rPr>
          <w:rFonts w:cs="Arial"/>
        </w:rPr>
        <w:t xml:space="preserve"> </w:t>
      </w:r>
      <w:r w:rsidR="00AA5084" w:rsidRPr="00AB6CE8">
        <w:rPr>
          <w:rFonts w:cs="Arial"/>
        </w:rPr>
        <w:t>audit programs</w:t>
      </w:r>
      <w:r w:rsidR="00F745BB" w:rsidRPr="00AB6CE8">
        <w:rPr>
          <w:rFonts w:cs="Arial"/>
        </w:rPr>
        <w:t xml:space="preserve">, </w:t>
      </w:r>
      <w:r w:rsidR="00197863" w:rsidRPr="00AB6CE8">
        <w:rPr>
          <w:rFonts w:cs="Arial"/>
        </w:rPr>
        <w:t xml:space="preserve">with </w:t>
      </w:r>
      <w:r w:rsidR="00E84424" w:rsidRPr="00AB6CE8">
        <w:rPr>
          <w:rFonts w:cs="Arial"/>
        </w:rPr>
        <w:t>a further</w:t>
      </w:r>
      <w:r w:rsidR="00C01886" w:rsidRPr="00AB6CE8">
        <w:rPr>
          <w:rFonts w:cs="Arial"/>
        </w:rPr>
        <w:t xml:space="preserve"> </w:t>
      </w:r>
      <w:r w:rsidR="424D83A4" w:rsidRPr="00AB6CE8">
        <w:rPr>
          <w:rFonts w:cs="Arial"/>
        </w:rPr>
        <w:t xml:space="preserve">16 </w:t>
      </w:r>
      <w:r w:rsidR="00C01886" w:rsidRPr="00AB6CE8">
        <w:rPr>
          <w:rFonts w:cs="Arial"/>
        </w:rPr>
        <w:t>still in progress. In addition</w:t>
      </w:r>
      <w:r w:rsidR="00B242D5" w:rsidRPr="00AB6CE8">
        <w:rPr>
          <w:rFonts w:cs="Arial"/>
        </w:rPr>
        <w:t>,</w:t>
      </w:r>
      <w:r w:rsidR="00153903" w:rsidRPr="00AB6CE8">
        <w:rPr>
          <w:rFonts w:cs="Arial"/>
        </w:rPr>
        <w:t xml:space="preserve"> </w:t>
      </w:r>
      <w:r w:rsidR="0167098F" w:rsidRPr="00AB6CE8">
        <w:rPr>
          <w:rFonts w:cs="Arial"/>
        </w:rPr>
        <w:t>109</w:t>
      </w:r>
      <w:r w:rsidR="00C01886" w:rsidRPr="00AB6CE8">
        <w:rPr>
          <w:rFonts w:cs="Arial"/>
        </w:rPr>
        <w:t xml:space="preserve"> unplanned audits </w:t>
      </w:r>
      <w:r w:rsidR="00E84424" w:rsidRPr="00AB6CE8">
        <w:rPr>
          <w:rFonts w:cs="Arial"/>
        </w:rPr>
        <w:t xml:space="preserve">were conducted in </w:t>
      </w:r>
      <w:r w:rsidR="00300220" w:rsidRPr="00AB6CE8">
        <w:rPr>
          <w:rFonts w:cs="Arial"/>
        </w:rPr>
        <w:t xml:space="preserve">response to </w:t>
      </w:r>
      <w:r w:rsidR="00C01886" w:rsidRPr="00AB6CE8">
        <w:rPr>
          <w:rFonts w:cs="Arial"/>
        </w:rPr>
        <w:t xml:space="preserve">external </w:t>
      </w:r>
      <w:r w:rsidR="00300220" w:rsidRPr="00AB6CE8">
        <w:rPr>
          <w:rFonts w:cs="Arial"/>
        </w:rPr>
        <w:t xml:space="preserve">intelligence </w:t>
      </w:r>
      <w:r w:rsidR="00184076" w:rsidRPr="00AB6CE8">
        <w:rPr>
          <w:rFonts w:cs="Arial"/>
        </w:rPr>
        <w:t xml:space="preserve">identifying </w:t>
      </w:r>
      <w:r w:rsidR="000E207C" w:rsidRPr="00AB6CE8">
        <w:rPr>
          <w:rFonts w:cs="Arial"/>
        </w:rPr>
        <w:t>operators</w:t>
      </w:r>
      <w:r w:rsidR="00F014D9" w:rsidRPr="00AB6CE8">
        <w:rPr>
          <w:rFonts w:cs="Arial"/>
        </w:rPr>
        <w:t xml:space="preserve"> at risk of </w:t>
      </w:r>
      <w:r w:rsidR="00C01886" w:rsidRPr="00AB6CE8">
        <w:rPr>
          <w:rFonts w:cs="Arial"/>
        </w:rPr>
        <w:t xml:space="preserve">financial failure or </w:t>
      </w:r>
      <w:r w:rsidR="00925840" w:rsidRPr="00AB6CE8">
        <w:rPr>
          <w:rFonts w:cs="Arial"/>
        </w:rPr>
        <w:t>insolven</w:t>
      </w:r>
      <w:r w:rsidR="00F014D9" w:rsidRPr="00AB6CE8">
        <w:rPr>
          <w:rFonts w:cs="Arial"/>
        </w:rPr>
        <w:t>cy</w:t>
      </w:r>
      <w:r w:rsidR="00C01886" w:rsidRPr="00AB6CE8">
        <w:rPr>
          <w:rFonts w:cs="Arial"/>
        </w:rPr>
        <w:t xml:space="preserve">. </w:t>
      </w:r>
      <w:r w:rsidR="00E63163" w:rsidRPr="00AB6CE8">
        <w:rPr>
          <w:rFonts w:cs="Arial"/>
        </w:rPr>
        <w:t>During the financial year, t</w:t>
      </w:r>
      <w:r w:rsidR="00C01886" w:rsidRPr="00AB6CE8">
        <w:rPr>
          <w:rFonts w:cs="Arial"/>
        </w:rPr>
        <w:t xml:space="preserve">he QBCC </w:t>
      </w:r>
      <w:r w:rsidR="001A55EF" w:rsidRPr="00AB6CE8">
        <w:rPr>
          <w:rFonts w:cs="Arial"/>
        </w:rPr>
        <w:t>also</w:t>
      </w:r>
      <w:r w:rsidR="00C01886" w:rsidRPr="00AB6CE8">
        <w:rPr>
          <w:rFonts w:cs="Arial"/>
        </w:rPr>
        <w:t xml:space="preserve"> commenced </w:t>
      </w:r>
      <w:r w:rsidR="00FC2CA0">
        <w:rPr>
          <w:rFonts w:cs="Arial"/>
        </w:rPr>
        <w:t>eight</w:t>
      </w:r>
      <w:r w:rsidR="00C01886" w:rsidRPr="00AB6CE8">
        <w:rPr>
          <w:rFonts w:cs="Arial"/>
        </w:rPr>
        <w:t xml:space="preserve"> </w:t>
      </w:r>
      <w:r w:rsidR="5C25993B" w:rsidRPr="00AB6CE8">
        <w:rPr>
          <w:rFonts w:cs="Arial"/>
        </w:rPr>
        <w:t xml:space="preserve">investigations </w:t>
      </w:r>
      <w:r w:rsidR="006260CB">
        <w:rPr>
          <w:rFonts w:cs="Arial"/>
        </w:rPr>
        <w:t xml:space="preserve">into </w:t>
      </w:r>
      <w:r w:rsidR="00547E6B">
        <w:rPr>
          <w:rFonts w:cs="Arial"/>
        </w:rPr>
        <w:t xml:space="preserve">potential breaches related to the improper administration of trust accounts, </w:t>
      </w:r>
      <w:r w:rsidR="5C25993B" w:rsidRPr="00AB6CE8">
        <w:rPr>
          <w:rFonts w:cs="Arial"/>
        </w:rPr>
        <w:t xml:space="preserve">with </w:t>
      </w:r>
      <w:r w:rsidR="00AB6CE8" w:rsidRPr="00AB6CE8">
        <w:rPr>
          <w:rFonts w:cs="Arial"/>
        </w:rPr>
        <w:t>two</w:t>
      </w:r>
      <w:r w:rsidR="00C01886" w:rsidRPr="00AB6CE8">
        <w:rPr>
          <w:rFonts w:cs="Arial"/>
        </w:rPr>
        <w:t xml:space="preserve"> investigations</w:t>
      </w:r>
      <w:r w:rsidR="00431D45">
        <w:rPr>
          <w:rFonts w:cs="Arial"/>
        </w:rPr>
        <w:t xml:space="preserve"> remaining ongoing</w:t>
      </w:r>
      <w:r w:rsidR="00404794" w:rsidRPr="00AB6CE8">
        <w:rPr>
          <w:rFonts w:cs="Arial"/>
        </w:rPr>
        <w:t>.</w:t>
      </w:r>
      <w:r w:rsidR="00404794" w:rsidRPr="7E4EA285">
        <w:rPr>
          <w:rFonts w:cs="Arial"/>
        </w:rPr>
        <w:t xml:space="preserve"> </w:t>
      </w:r>
    </w:p>
    <w:p w14:paraId="54481141" w14:textId="38FC0B10" w:rsidR="007322AB" w:rsidRPr="0069662C" w:rsidRDefault="0097026F" w:rsidP="7E4EA285">
      <w:pPr>
        <w:pStyle w:val="Heading4"/>
      </w:pPr>
      <w:bookmarkStart w:id="78" w:name="_Offence_provisions"/>
      <w:bookmarkEnd w:id="78"/>
      <w:r>
        <w:t>Offence</w:t>
      </w:r>
      <w:r w:rsidR="00FE608D">
        <w:t xml:space="preserve"> </w:t>
      </w:r>
      <w:r>
        <w:t>provisions</w:t>
      </w:r>
    </w:p>
    <w:p w14:paraId="1CDB4896" w14:textId="6AD290F0" w:rsidR="00CD00E2" w:rsidRDefault="0060559A" w:rsidP="00C1667B">
      <w:pPr>
        <w:spacing w:before="120" w:after="120"/>
        <w:rPr>
          <w:rFonts w:cs="Arial"/>
        </w:rPr>
      </w:pPr>
      <w:r w:rsidRPr="7E4EA285">
        <w:rPr>
          <w:rFonts w:cs="Arial"/>
        </w:rPr>
        <w:t xml:space="preserve">Under the BIF Act, the </w:t>
      </w:r>
      <w:r w:rsidR="00032548" w:rsidRPr="7E4EA285">
        <w:rPr>
          <w:rFonts w:cs="Arial"/>
        </w:rPr>
        <w:t xml:space="preserve">QBCC </w:t>
      </w:r>
      <w:r w:rsidR="00CD104B" w:rsidRPr="7E4EA285">
        <w:rPr>
          <w:rFonts w:cs="Arial"/>
        </w:rPr>
        <w:t xml:space="preserve">is </w:t>
      </w:r>
      <w:r w:rsidR="00056DAF" w:rsidRPr="7E4EA285">
        <w:rPr>
          <w:rFonts w:cs="Arial"/>
        </w:rPr>
        <w:t>authorised</w:t>
      </w:r>
      <w:r w:rsidR="00384763" w:rsidRPr="7E4EA285">
        <w:rPr>
          <w:rFonts w:cs="Arial"/>
        </w:rPr>
        <w:t xml:space="preserve"> to </w:t>
      </w:r>
      <w:r w:rsidR="00672F82" w:rsidRPr="7E4EA285">
        <w:rPr>
          <w:rFonts w:cs="Arial"/>
        </w:rPr>
        <w:t xml:space="preserve">enforce </w:t>
      </w:r>
      <w:r w:rsidR="00731C8F" w:rsidRPr="7E4EA285">
        <w:rPr>
          <w:rFonts w:cs="Arial"/>
        </w:rPr>
        <w:t>off</w:t>
      </w:r>
      <w:r w:rsidR="00AC1894" w:rsidRPr="7E4EA285">
        <w:rPr>
          <w:rFonts w:cs="Arial"/>
        </w:rPr>
        <w:t>en</w:t>
      </w:r>
      <w:r w:rsidR="00731C8F" w:rsidRPr="7E4EA285">
        <w:rPr>
          <w:rFonts w:cs="Arial"/>
        </w:rPr>
        <w:t xml:space="preserve">ce provisions </w:t>
      </w:r>
      <w:r w:rsidR="007A62ED" w:rsidRPr="7E4EA285">
        <w:rPr>
          <w:rFonts w:cs="Arial"/>
        </w:rPr>
        <w:t>to uphold</w:t>
      </w:r>
      <w:r w:rsidR="00367798" w:rsidRPr="7E4EA285">
        <w:rPr>
          <w:rFonts w:cs="Arial"/>
        </w:rPr>
        <w:t xml:space="preserve"> </w:t>
      </w:r>
      <w:r w:rsidR="00312350" w:rsidRPr="7E4EA285">
        <w:rPr>
          <w:rFonts w:cs="Arial"/>
        </w:rPr>
        <w:t xml:space="preserve">the integrity of financial systems </w:t>
      </w:r>
      <w:r w:rsidR="007A62ED" w:rsidRPr="7E4EA285">
        <w:rPr>
          <w:rFonts w:cs="Arial"/>
        </w:rPr>
        <w:t>with</w:t>
      </w:r>
      <w:r w:rsidR="00A87C0F" w:rsidRPr="7E4EA285">
        <w:rPr>
          <w:rFonts w:cs="Arial"/>
        </w:rPr>
        <w:t>in</w:t>
      </w:r>
      <w:r w:rsidR="00312350" w:rsidRPr="7E4EA285">
        <w:rPr>
          <w:rFonts w:cs="Arial"/>
        </w:rPr>
        <w:t xml:space="preserve"> </w:t>
      </w:r>
      <w:r w:rsidR="00A87C0F" w:rsidRPr="7E4EA285">
        <w:rPr>
          <w:rFonts w:cs="Arial"/>
        </w:rPr>
        <w:t xml:space="preserve">Queensland’s </w:t>
      </w:r>
      <w:r w:rsidR="001C7CC3" w:rsidRPr="7E4EA285">
        <w:rPr>
          <w:rFonts w:cs="Arial"/>
        </w:rPr>
        <w:t>building and construction industry</w:t>
      </w:r>
      <w:r w:rsidR="00F553C6" w:rsidRPr="7E4EA285">
        <w:rPr>
          <w:rFonts w:cs="Arial"/>
        </w:rPr>
        <w:t>.</w:t>
      </w:r>
      <w:r w:rsidR="00713E4F" w:rsidRPr="7E4EA285">
        <w:rPr>
          <w:rFonts w:cs="Arial"/>
        </w:rPr>
        <w:t xml:space="preserve"> Offence provisions are legal</w:t>
      </w:r>
      <w:r w:rsidR="00321F4F" w:rsidRPr="7E4EA285">
        <w:rPr>
          <w:rFonts w:cs="Arial"/>
        </w:rPr>
        <w:t xml:space="preserve">ly </w:t>
      </w:r>
      <w:r w:rsidR="00FA0453" w:rsidRPr="7E4EA285">
        <w:rPr>
          <w:rFonts w:cs="Arial"/>
        </w:rPr>
        <w:t>enforceable</w:t>
      </w:r>
      <w:r w:rsidR="00321F4F" w:rsidRPr="7E4EA285">
        <w:rPr>
          <w:rFonts w:cs="Arial"/>
        </w:rPr>
        <w:t xml:space="preserve"> </w:t>
      </w:r>
      <w:r w:rsidR="00713E4F" w:rsidRPr="7E4EA285">
        <w:rPr>
          <w:rFonts w:cs="Arial"/>
        </w:rPr>
        <w:t xml:space="preserve">rules </w:t>
      </w:r>
      <w:r w:rsidR="008526E0" w:rsidRPr="7E4EA285">
        <w:rPr>
          <w:rFonts w:cs="Arial"/>
        </w:rPr>
        <w:t xml:space="preserve">embedded </w:t>
      </w:r>
      <w:r w:rsidR="00713E4F" w:rsidRPr="7E4EA285">
        <w:rPr>
          <w:rFonts w:cs="Arial"/>
        </w:rPr>
        <w:t xml:space="preserve">in </w:t>
      </w:r>
      <w:r w:rsidR="001C7CC3" w:rsidRPr="7E4EA285">
        <w:rPr>
          <w:rFonts w:cs="Arial"/>
        </w:rPr>
        <w:t>the BIF Act</w:t>
      </w:r>
      <w:r w:rsidR="008526E0" w:rsidRPr="7E4EA285">
        <w:rPr>
          <w:rFonts w:cs="Arial"/>
        </w:rPr>
        <w:t xml:space="preserve"> that</w:t>
      </w:r>
      <w:r w:rsidR="00713E4F" w:rsidRPr="7E4EA285">
        <w:rPr>
          <w:rFonts w:cs="Arial"/>
        </w:rPr>
        <w:t xml:space="preserve"> </w:t>
      </w:r>
      <w:r w:rsidR="00FA0453" w:rsidRPr="7E4EA285">
        <w:rPr>
          <w:rFonts w:cs="Arial"/>
        </w:rPr>
        <w:t xml:space="preserve">deem </w:t>
      </w:r>
      <w:r w:rsidR="00D623C5" w:rsidRPr="7E4EA285">
        <w:rPr>
          <w:rFonts w:cs="Arial"/>
        </w:rPr>
        <w:t>certain</w:t>
      </w:r>
      <w:r w:rsidR="00713E4F" w:rsidRPr="7E4EA285">
        <w:rPr>
          <w:rFonts w:cs="Arial"/>
        </w:rPr>
        <w:t xml:space="preserve"> financial </w:t>
      </w:r>
      <w:r w:rsidR="00D623C5" w:rsidRPr="7E4EA285">
        <w:rPr>
          <w:rFonts w:cs="Arial"/>
        </w:rPr>
        <w:t>breaches</w:t>
      </w:r>
      <w:r w:rsidR="00713E4F" w:rsidRPr="7E4EA285">
        <w:rPr>
          <w:rFonts w:cs="Arial"/>
        </w:rPr>
        <w:t xml:space="preserve"> or prohibited conduct</w:t>
      </w:r>
      <w:r w:rsidR="00154635" w:rsidRPr="7E4EA285">
        <w:rPr>
          <w:rFonts w:cs="Arial"/>
        </w:rPr>
        <w:t xml:space="preserve"> as unlawful</w:t>
      </w:r>
      <w:r w:rsidR="00D070F9">
        <w:rPr>
          <w:rFonts w:cs="Arial"/>
        </w:rPr>
        <w:t>,</w:t>
      </w:r>
      <w:r w:rsidR="00106AD0" w:rsidRPr="7E4EA285">
        <w:rPr>
          <w:rFonts w:cs="Arial"/>
        </w:rPr>
        <w:t xml:space="preserve"> </w:t>
      </w:r>
      <w:r w:rsidR="00C872E9" w:rsidRPr="7E4EA285">
        <w:rPr>
          <w:rFonts w:cs="Arial"/>
        </w:rPr>
        <w:t>includ</w:t>
      </w:r>
      <w:r w:rsidR="00D070F9">
        <w:rPr>
          <w:rFonts w:cs="Arial"/>
        </w:rPr>
        <w:t>ing</w:t>
      </w:r>
      <w:r w:rsidR="00C872E9" w:rsidRPr="7E4EA285">
        <w:rPr>
          <w:rFonts w:cs="Arial"/>
        </w:rPr>
        <w:t xml:space="preserve">: </w:t>
      </w:r>
    </w:p>
    <w:p w14:paraId="3CED03B0" w14:textId="73DF2B91" w:rsidR="00114780" w:rsidRDefault="00C872E9" w:rsidP="00BD69F7">
      <w:pPr>
        <w:pStyle w:val="ListParagraph"/>
        <w:numPr>
          <w:ilvl w:val="0"/>
          <w:numId w:val="28"/>
        </w:numPr>
        <w:spacing w:before="120" w:after="120"/>
        <w:ind w:left="714" w:hanging="357"/>
        <w:contextualSpacing w:val="0"/>
        <w:rPr>
          <w:rFonts w:cs="Arial"/>
        </w:rPr>
      </w:pPr>
      <w:r w:rsidRPr="7E4EA285">
        <w:rPr>
          <w:rFonts w:cs="Arial"/>
        </w:rPr>
        <w:t>failing to maintain proper financial records</w:t>
      </w:r>
    </w:p>
    <w:p w14:paraId="1F40D9E3" w14:textId="6C0D3059" w:rsidR="00114780" w:rsidRDefault="00C872E9" w:rsidP="00BD69F7">
      <w:pPr>
        <w:pStyle w:val="ListParagraph"/>
        <w:numPr>
          <w:ilvl w:val="0"/>
          <w:numId w:val="28"/>
        </w:numPr>
        <w:spacing w:before="120" w:after="120"/>
        <w:ind w:left="714" w:hanging="357"/>
        <w:contextualSpacing w:val="0"/>
        <w:rPr>
          <w:rFonts w:cs="Arial"/>
        </w:rPr>
      </w:pPr>
      <w:r w:rsidRPr="7E4EA285">
        <w:rPr>
          <w:rFonts w:cs="Arial"/>
        </w:rPr>
        <w:t>misusing trust funds</w:t>
      </w:r>
    </w:p>
    <w:p w14:paraId="5281E178" w14:textId="3D94FADC" w:rsidR="00114780" w:rsidRDefault="00C872E9" w:rsidP="00BD69F7">
      <w:pPr>
        <w:pStyle w:val="ListParagraph"/>
        <w:numPr>
          <w:ilvl w:val="0"/>
          <w:numId w:val="28"/>
        </w:numPr>
        <w:spacing w:before="120" w:after="120"/>
        <w:ind w:left="714" w:hanging="357"/>
        <w:contextualSpacing w:val="0"/>
        <w:rPr>
          <w:rFonts w:cs="Arial"/>
        </w:rPr>
      </w:pPr>
      <w:r w:rsidRPr="7E4EA285">
        <w:rPr>
          <w:rFonts w:cs="Arial"/>
        </w:rPr>
        <w:t>submitting false or misleading financial information</w:t>
      </w:r>
    </w:p>
    <w:p w14:paraId="6F9338AF" w14:textId="4BC4A3F3" w:rsidR="00114780" w:rsidRPr="00C1667B" w:rsidRDefault="00702608" w:rsidP="00BD69F7">
      <w:pPr>
        <w:pStyle w:val="ListParagraph"/>
        <w:numPr>
          <w:ilvl w:val="0"/>
          <w:numId w:val="28"/>
        </w:numPr>
        <w:spacing w:before="120" w:after="120"/>
        <w:ind w:left="714" w:hanging="357"/>
        <w:contextualSpacing w:val="0"/>
        <w:rPr>
          <w:rFonts w:cs="Arial"/>
        </w:rPr>
      </w:pPr>
      <w:r w:rsidRPr="7E4EA285">
        <w:rPr>
          <w:rFonts w:cs="Arial"/>
        </w:rPr>
        <w:t xml:space="preserve">failing to comply </w:t>
      </w:r>
      <w:r w:rsidR="005D2282" w:rsidRPr="7E4EA285">
        <w:rPr>
          <w:rFonts w:cs="Arial"/>
        </w:rPr>
        <w:t>with</w:t>
      </w:r>
      <w:r w:rsidR="00C872E9" w:rsidRPr="7E4EA285">
        <w:rPr>
          <w:rFonts w:cs="Arial"/>
        </w:rPr>
        <w:t xml:space="preserve"> mandatory reporting </w:t>
      </w:r>
      <w:r w:rsidR="005D2282" w:rsidRPr="7E4EA285">
        <w:rPr>
          <w:rFonts w:cs="Arial"/>
        </w:rPr>
        <w:t>obligations</w:t>
      </w:r>
      <w:r w:rsidR="00F55C24" w:rsidRPr="7E4EA285">
        <w:rPr>
          <w:rFonts w:cs="Arial"/>
        </w:rPr>
        <w:t xml:space="preserve">. </w:t>
      </w:r>
      <w:r w:rsidR="00C872E9" w:rsidRPr="7E4EA285">
        <w:rPr>
          <w:rFonts w:cs="Arial"/>
        </w:rPr>
        <w:t xml:space="preserve"> </w:t>
      </w:r>
    </w:p>
    <w:p w14:paraId="25468249" w14:textId="1E45C9BA" w:rsidR="00A514CF" w:rsidRDefault="0022498B" w:rsidP="008B6D14">
      <w:pPr>
        <w:spacing w:before="120" w:after="120"/>
        <w:rPr>
          <w:rFonts w:cs="Arial"/>
        </w:rPr>
      </w:pPr>
      <w:r w:rsidRPr="7E4EA285">
        <w:rPr>
          <w:rFonts w:cs="Arial"/>
        </w:rPr>
        <w:t xml:space="preserve">Penalties </w:t>
      </w:r>
      <w:r w:rsidR="000508D9" w:rsidRPr="7E4EA285">
        <w:rPr>
          <w:rFonts w:cs="Arial"/>
        </w:rPr>
        <w:t xml:space="preserve">may </w:t>
      </w:r>
      <w:r w:rsidR="002C3E4D" w:rsidRPr="7E4EA285">
        <w:rPr>
          <w:rFonts w:cs="Arial"/>
        </w:rPr>
        <w:t>includ</w:t>
      </w:r>
      <w:r w:rsidRPr="7E4EA285">
        <w:rPr>
          <w:rFonts w:cs="Arial"/>
        </w:rPr>
        <w:t xml:space="preserve">e </w:t>
      </w:r>
      <w:r w:rsidR="005910A3" w:rsidRPr="7E4EA285">
        <w:rPr>
          <w:rFonts w:cs="Arial"/>
        </w:rPr>
        <w:t>infringement notice</w:t>
      </w:r>
      <w:r w:rsidR="000508D9" w:rsidRPr="7E4EA285">
        <w:rPr>
          <w:rFonts w:cs="Arial"/>
        </w:rPr>
        <w:t>s</w:t>
      </w:r>
      <w:r w:rsidR="005910A3" w:rsidRPr="7E4EA285">
        <w:rPr>
          <w:rFonts w:cs="Arial"/>
        </w:rPr>
        <w:t xml:space="preserve"> </w:t>
      </w:r>
      <w:r w:rsidR="00C578A6" w:rsidRPr="7E4EA285">
        <w:rPr>
          <w:rFonts w:cs="Arial"/>
        </w:rPr>
        <w:t>resulting in</w:t>
      </w:r>
      <w:r w:rsidR="005910A3" w:rsidRPr="7E4EA285">
        <w:rPr>
          <w:rFonts w:cs="Arial"/>
        </w:rPr>
        <w:t xml:space="preserve"> </w:t>
      </w:r>
      <w:r w:rsidRPr="7E4EA285">
        <w:rPr>
          <w:rFonts w:cs="Arial"/>
        </w:rPr>
        <w:t>monetary</w:t>
      </w:r>
      <w:r w:rsidR="002C3E4D" w:rsidRPr="7E4EA285">
        <w:rPr>
          <w:rFonts w:cs="Arial"/>
        </w:rPr>
        <w:t xml:space="preserve"> fines</w:t>
      </w:r>
      <w:r w:rsidR="00EC3846" w:rsidRPr="7E4EA285">
        <w:rPr>
          <w:rFonts w:cs="Arial"/>
        </w:rPr>
        <w:t xml:space="preserve">, </w:t>
      </w:r>
      <w:r w:rsidR="00F05695" w:rsidRPr="7E4EA285">
        <w:rPr>
          <w:rFonts w:cs="Arial"/>
        </w:rPr>
        <w:t>official warnings</w:t>
      </w:r>
      <w:r w:rsidR="009F05EB" w:rsidRPr="7E4EA285">
        <w:rPr>
          <w:rFonts w:cs="Arial"/>
        </w:rPr>
        <w:t xml:space="preserve"> </w:t>
      </w:r>
      <w:r w:rsidR="006F20B2" w:rsidRPr="7E4EA285">
        <w:rPr>
          <w:rFonts w:cs="Arial"/>
        </w:rPr>
        <w:t>and</w:t>
      </w:r>
      <w:r w:rsidR="00CD72B5">
        <w:rPr>
          <w:rFonts w:cs="Arial"/>
        </w:rPr>
        <w:t>, in more severe cases,</w:t>
      </w:r>
      <w:r w:rsidR="006F20B2" w:rsidRPr="7E4EA285">
        <w:rPr>
          <w:rFonts w:cs="Arial"/>
        </w:rPr>
        <w:t xml:space="preserve"> </w:t>
      </w:r>
      <w:r w:rsidR="00815A45" w:rsidRPr="7E4EA285">
        <w:rPr>
          <w:rFonts w:cs="Arial"/>
        </w:rPr>
        <w:t xml:space="preserve">criminal </w:t>
      </w:r>
      <w:r w:rsidR="002C3E4D" w:rsidRPr="7E4EA285">
        <w:rPr>
          <w:rFonts w:cs="Arial"/>
        </w:rPr>
        <w:t>prosecution.</w:t>
      </w:r>
      <w:r w:rsidR="00931D8A" w:rsidRPr="7E4EA285">
        <w:rPr>
          <w:rFonts w:cs="Arial"/>
        </w:rPr>
        <w:t xml:space="preserve"> </w:t>
      </w:r>
      <w:r w:rsidR="002C3E4D" w:rsidRPr="7E4EA285">
        <w:rPr>
          <w:rFonts w:cs="Arial"/>
        </w:rPr>
        <w:t xml:space="preserve">By clearly </w:t>
      </w:r>
      <w:r w:rsidR="00287198" w:rsidRPr="7E4EA285">
        <w:rPr>
          <w:rFonts w:cs="Arial"/>
        </w:rPr>
        <w:t>defining</w:t>
      </w:r>
      <w:r w:rsidR="000C0369" w:rsidRPr="7E4EA285">
        <w:rPr>
          <w:rFonts w:cs="Arial"/>
        </w:rPr>
        <w:t xml:space="preserve"> prohibited </w:t>
      </w:r>
      <w:r w:rsidR="00287198" w:rsidRPr="7E4EA285">
        <w:rPr>
          <w:rFonts w:cs="Arial"/>
        </w:rPr>
        <w:t xml:space="preserve">behaviours and associated </w:t>
      </w:r>
      <w:r w:rsidR="0031600B" w:rsidRPr="7E4EA285">
        <w:rPr>
          <w:rFonts w:cs="Arial"/>
        </w:rPr>
        <w:t>consequences</w:t>
      </w:r>
      <w:r w:rsidR="002C3E4D" w:rsidRPr="7E4EA285">
        <w:rPr>
          <w:rFonts w:cs="Arial"/>
        </w:rPr>
        <w:t xml:space="preserve">, offence provisions </w:t>
      </w:r>
      <w:r w:rsidR="00D33731" w:rsidRPr="7E4EA285">
        <w:rPr>
          <w:rFonts w:cs="Arial"/>
        </w:rPr>
        <w:t xml:space="preserve">play a critical role in </w:t>
      </w:r>
      <w:r w:rsidR="00FE4EBA" w:rsidRPr="7E4EA285">
        <w:rPr>
          <w:rFonts w:cs="Arial"/>
        </w:rPr>
        <w:t>promot</w:t>
      </w:r>
      <w:r w:rsidR="00D33731" w:rsidRPr="7E4EA285">
        <w:rPr>
          <w:rFonts w:cs="Arial"/>
        </w:rPr>
        <w:t>ing</w:t>
      </w:r>
      <w:r w:rsidR="002C3E4D" w:rsidRPr="7E4EA285">
        <w:rPr>
          <w:rFonts w:cs="Arial"/>
        </w:rPr>
        <w:t xml:space="preserve"> financial </w:t>
      </w:r>
      <w:r w:rsidR="00FE4EBA" w:rsidRPr="7E4EA285">
        <w:rPr>
          <w:rFonts w:cs="Arial"/>
        </w:rPr>
        <w:t xml:space="preserve">accountability, </w:t>
      </w:r>
      <w:r w:rsidR="00F13F63">
        <w:rPr>
          <w:rFonts w:cs="Arial"/>
        </w:rPr>
        <w:t xml:space="preserve">and </w:t>
      </w:r>
      <w:r w:rsidR="00FE4EBA" w:rsidRPr="7E4EA285">
        <w:rPr>
          <w:rFonts w:cs="Arial"/>
        </w:rPr>
        <w:t>support</w:t>
      </w:r>
      <w:r w:rsidR="00D33731" w:rsidRPr="7E4EA285">
        <w:rPr>
          <w:rFonts w:cs="Arial"/>
        </w:rPr>
        <w:t>ing effective oversight</w:t>
      </w:r>
      <w:r w:rsidR="002C3E4D" w:rsidRPr="7E4EA285">
        <w:rPr>
          <w:rFonts w:cs="Arial"/>
        </w:rPr>
        <w:t xml:space="preserve"> and </w:t>
      </w:r>
      <w:r w:rsidR="00D33731" w:rsidRPr="7E4EA285">
        <w:rPr>
          <w:rFonts w:cs="Arial"/>
        </w:rPr>
        <w:t>protecting</w:t>
      </w:r>
      <w:r w:rsidR="00FE4EBA" w:rsidRPr="7E4EA285">
        <w:rPr>
          <w:rFonts w:cs="Arial"/>
        </w:rPr>
        <w:t xml:space="preserve"> </w:t>
      </w:r>
      <w:r w:rsidR="002C3E4D" w:rsidRPr="7E4EA285">
        <w:rPr>
          <w:rFonts w:cs="Arial"/>
        </w:rPr>
        <w:t xml:space="preserve">subcontractors, </w:t>
      </w:r>
      <w:r w:rsidR="0030338C">
        <w:rPr>
          <w:rFonts w:cs="Arial"/>
        </w:rPr>
        <w:t xml:space="preserve">and supporting </w:t>
      </w:r>
      <w:proofErr w:type="gramStart"/>
      <w:r w:rsidR="002C3E4D" w:rsidRPr="7E4EA285">
        <w:rPr>
          <w:rFonts w:cs="Arial"/>
        </w:rPr>
        <w:t>home</w:t>
      </w:r>
      <w:r w:rsidR="00334941" w:rsidRPr="7E4EA285">
        <w:rPr>
          <w:rFonts w:cs="Arial"/>
        </w:rPr>
        <w:t xml:space="preserve"> </w:t>
      </w:r>
      <w:r w:rsidR="002C3E4D" w:rsidRPr="7E4EA285">
        <w:rPr>
          <w:rFonts w:cs="Arial"/>
        </w:rPr>
        <w:t>owners</w:t>
      </w:r>
      <w:proofErr w:type="gramEnd"/>
      <w:r w:rsidR="002C3E4D" w:rsidRPr="7E4EA285">
        <w:rPr>
          <w:rFonts w:cs="Arial"/>
        </w:rPr>
        <w:t xml:space="preserve"> and the </w:t>
      </w:r>
      <w:r w:rsidR="00C26934" w:rsidRPr="7E4EA285">
        <w:rPr>
          <w:rFonts w:cs="Arial"/>
        </w:rPr>
        <w:t>wider community</w:t>
      </w:r>
      <w:r w:rsidR="00334941" w:rsidRPr="7E4EA285">
        <w:rPr>
          <w:rFonts w:cs="Arial"/>
        </w:rPr>
        <w:t xml:space="preserve"> </w:t>
      </w:r>
      <w:r w:rsidR="002C3E4D" w:rsidRPr="7E4EA285">
        <w:rPr>
          <w:rFonts w:cs="Arial"/>
        </w:rPr>
        <w:t xml:space="preserve">from financial </w:t>
      </w:r>
      <w:r w:rsidR="00C26934" w:rsidRPr="7E4EA285">
        <w:rPr>
          <w:rFonts w:cs="Arial"/>
        </w:rPr>
        <w:t xml:space="preserve">risk and </w:t>
      </w:r>
      <w:r w:rsidR="002C3E4D" w:rsidRPr="7E4EA285">
        <w:rPr>
          <w:rFonts w:cs="Arial"/>
        </w:rPr>
        <w:t>misconduct.</w:t>
      </w:r>
    </w:p>
    <w:p w14:paraId="7450FB8B" w14:textId="21A2685E" w:rsidR="00F817B9" w:rsidRPr="00FE5F34" w:rsidRDefault="00DF4332" w:rsidP="003921F7">
      <w:pPr>
        <w:spacing w:before="120" w:after="120"/>
        <w:rPr>
          <w:rFonts w:cs="Arial"/>
        </w:rPr>
      </w:pPr>
      <w:r>
        <w:rPr>
          <w:rFonts w:cs="Arial"/>
        </w:rPr>
        <w:t>T</w:t>
      </w:r>
      <w:r w:rsidR="000E60EB" w:rsidRPr="7E4EA285">
        <w:rPr>
          <w:rFonts w:cs="Arial"/>
        </w:rPr>
        <w:t>he QBCC is</w:t>
      </w:r>
      <w:r w:rsidR="00FE4D2F" w:rsidRPr="7E4EA285">
        <w:rPr>
          <w:rFonts w:cs="Arial"/>
        </w:rPr>
        <w:t xml:space="preserve"> </w:t>
      </w:r>
      <w:r w:rsidR="000E60EB" w:rsidRPr="7E4EA285">
        <w:rPr>
          <w:rFonts w:cs="Arial"/>
        </w:rPr>
        <w:t>require</w:t>
      </w:r>
      <w:r w:rsidR="00DF53F8">
        <w:rPr>
          <w:rFonts w:cs="Arial"/>
        </w:rPr>
        <w:t>d</w:t>
      </w:r>
      <w:r w:rsidR="000E60EB" w:rsidRPr="7E4EA285">
        <w:rPr>
          <w:rFonts w:cs="Arial"/>
        </w:rPr>
        <w:t xml:space="preserve"> </w:t>
      </w:r>
      <w:r w:rsidR="00A94E82" w:rsidRPr="7E4EA285">
        <w:rPr>
          <w:rFonts w:cs="Arial"/>
        </w:rPr>
        <w:t xml:space="preserve">under the BIF Act to </w:t>
      </w:r>
      <w:r w:rsidR="000E60EB" w:rsidRPr="7E4EA285">
        <w:rPr>
          <w:rFonts w:cs="Arial"/>
        </w:rPr>
        <w:t>r</w:t>
      </w:r>
      <w:r w:rsidR="00C36701" w:rsidRPr="7E4EA285">
        <w:rPr>
          <w:rFonts w:cs="Arial"/>
        </w:rPr>
        <w:t xml:space="preserve">eport </w:t>
      </w:r>
      <w:r w:rsidR="0098233A" w:rsidRPr="7E4EA285">
        <w:rPr>
          <w:rFonts w:cs="Arial"/>
        </w:rPr>
        <w:t>breach</w:t>
      </w:r>
      <w:r w:rsidR="00502DEF" w:rsidRPr="7E4EA285">
        <w:rPr>
          <w:rFonts w:cs="Arial"/>
        </w:rPr>
        <w:t>es</w:t>
      </w:r>
      <w:r w:rsidR="0098233A" w:rsidRPr="7E4EA285">
        <w:rPr>
          <w:rFonts w:cs="Arial"/>
        </w:rPr>
        <w:t xml:space="preserve"> of</w:t>
      </w:r>
      <w:r w:rsidR="000B51BA" w:rsidRPr="7E4EA285">
        <w:rPr>
          <w:rFonts w:cs="Arial"/>
        </w:rPr>
        <w:t xml:space="preserve"> </w:t>
      </w:r>
      <w:r w:rsidR="00F817B9" w:rsidRPr="7E4EA285">
        <w:rPr>
          <w:rFonts w:cs="Arial"/>
        </w:rPr>
        <w:t>the</w:t>
      </w:r>
      <w:r w:rsidR="000B51BA" w:rsidRPr="7E4EA285">
        <w:rPr>
          <w:rFonts w:cs="Arial"/>
        </w:rPr>
        <w:t xml:space="preserve"> </w:t>
      </w:r>
      <w:r w:rsidR="00F817B9" w:rsidRPr="7E4EA285">
        <w:rPr>
          <w:rFonts w:cs="Arial"/>
        </w:rPr>
        <w:t>following</w:t>
      </w:r>
      <w:r w:rsidR="0047041D" w:rsidRPr="7E4EA285">
        <w:rPr>
          <w:rFonts w:cs="Arial"/>
        </w:rPr>
        <w:t xml:space="preserve"> sections:</w:t>
      </w:r>
    </w:p>
    <w:p w14:paraId="1E337EC7" w14:textId="6AF4FCF6" w:rsidR="00351BEE" w:rsidRDefault="00351BEE" w:rsidP="00BD69F7">
      <w:pPr>
        <w:pStyle w:val="ListParagraph"/>
        <w:numPr>
          <w:ilvl w:val="0"/>
          <w:numId w:val="24"/>
        </w:numPr>
        <w:spacing w:before="120" w:after="120"/>
        <w:ind w:left="714" w:hanging="357"/>
        <w:contextualSpacing w:val="0"/>
        <w:rPr>
          <w:rFonts w:cs="Arial"/>
        </w:rPr>
      </w:pPr>
      <w:r w:rsidRPr="7E4EA285">
        <w:rPr>
          <w:rFonts w:cs="Arial"/>
          <w:b/>
        </w:rPr>
        <w:t>Section 19</w:t>
      </w:r>
      <w:r w:rsidR="0059347B">
        <w:rPr>
          <w:rFonts w:cs="Arial"/>
          <w:b/>
        </w:rPr>
        <w:t>:</w:t>
      </w:r>
      <w:r w:rsidRPr="7E4EA285">
        <w:rPr>
          <w:rFonts w:cs="Arial"/>
        </w:rPr>
        <w:t xml:space="preserve"> </w:t>
      </w:r>
      <w:r w:rsidR="007D08DF" w:rsidRPr="7E4EA285">
        <w:rPr>
          <w:rFonts w:cs="Arial"/>
        </w:rPr>
        <w:t xml:space="preserve">All payments from contracting party </w:t>
      </w:r>
      <w:r w:rsidR="006B6E1B" w:rsidRPr="7E4EA285">
        <w:rPr>
          <w:rFonts w:cs="Arial"/>
        </w:rPr>
        <w:t>must</w:t>
      </w:r>
      <w:r w:rsidR="007D08DF" w:rsidRPr="7E4EA285">
        <w:rPr>
          <w:rFonts w:cs="Arial"/>
        </w:rPr>
        <w:t xml:space="preserve"> be deposited</w:t>
      </w:r>
      <w:r w:rsidRPr="7E4EA285">
        <w:rPr>
          <w:rFonts w:cs="Arial"/>
        </w:rPr>
        <w:t xml:space="preserve"> in</w:t>
      </w:r>
      <w:r w:rsidR="006B6E1B" w:rsidRPr="7E4EA285">
        <w:rPr>
          <w:rFonts w:cs="Arial"/>
        </w:rPr>
        <w:t>to a</w:t>
      </w:r>
      <w:r w:rsidRPr="7E4EA285">
        <w:rPr>
          <w:rFonts w:cs="Arial"/>
        </w:rPr>
        <w:t xml:space="preserve"> project trust account</w:t>
      </w:r>
      <w:r w:rsidR="00A87972">
        <w:rPr>
          <w:rFonts w:cs="Arial"/>
        </w:rPr>
        <w:t>.</w:t>
      </w:r>
    </w:p>
    <w:p w14:paraId="0D1A4558" w14:textId="3CAAF7DC" w:rsidR="00242EE1" w:rsidRDefault="00C72F46" w:rsidP="00BD69F7">
      <w:pPr>
        <w:pStyle w:val="ListParagraph"/>
        <w:numPr>
          <w:ilvl w:val="0"/>
          <w:numId w:val="24"/>
        </w:numPr>
        <w:spacing w:before="120" w:after="120"/>
        <w:ind w:left="714" w:hanging="357"/>
        <w:contextualSpacing w:val="0"/>
        <w:rPr>
          <w:rFonts w:cs="Arial"/>
        </w:rPr>
      </w:pPr>
      <w:r w:rsidRPr="7E4EA285">
        <w:rPr>
          <w:rFonts w:cs="Arial"/>
          <w:b/>
        </w:rPr>
        <w:t>S</w:t>
      </w:r>
      <w:r w:rsidR="00FE5F34" w:rsidRPr="7E4EA285">
        <w:rPr>
          <w:rFonts w:cs="Arial"/>
          <w:b/>
        </w:rPr>
        <w:t>ection 75</w:t>
      </w:r>
      <w:r w:rsidR="0059347B">
        <w:rPr>
          <w:rFonts w:cs="Arial"/>
          <w:b/>
        </w:rPr>
        <w:t>:</w:t>
      </w:r>
      <w:r w:rsidR="007D08DF" w:rsidRPr="7E4EA285">
        <w:rPr>
          <w:rFonts w:cs="Arial"/>
        </w:rPr>
        <w:t xml:space="preserve"> </w:t>
      </w:r>
      <w:r w:rsidR="00FE5F34" w:rsidRPr="7E4EA285">
        <w:rPr>
          <w:rFonts w:cs="Arial"/>
        </w:rPr>
        <w:t xml:space="preserve">Making </w:t>
      </w:r>
      <w:r w:rsidR="006B6E1B" w:rsidRPr="7E4EA285">
        <w:rPr>
          <w:rFonts w:cs="Arial"/>
        </w:rPr>
        <w:t xml:space="preserve">a </w:t>
      </w:r>
      <w:r w:rsidR="00FE5F34" w:rsidRPr="7E4EA285">
        <w:rPr>
          <w:rFonts w:cs="Arial"/>
        </w:rPr>
        <w:t>payment claim</w:t>
      </w:r>
      <w:r w:rsidR="00A87972">
        <w:rPr>
          <w:rFonts w:cs="Arial"/>
        </w:rPr>
        <w:t>.</w:t>
      </w:r>
    </w:p>
    <w:p w14:paraId="0FCC76B3" w14:textId="6A55130E" w:rsidR="00C72F46" w:rsidRDefault="00C72F46" w:rsidP="00BD69F7">
      <w:pPr>
        <w:pStyle w:val="ListParagraph"/>
        <w:numPr>
          <w:ilvl w:val="0"/>
          <w:numId w:val="24"/>
        </w:numPr>
        <w:spacing w:before="120" w:after="120"/>
        <w:ind w:left="714" w:hanging="357"/>
        <w:contextualSpacing w:val="0"/>
        <w:rPr>
          <w:rFonts w:cs="Arial"/>
        </w:rPr>
      </w:pPr>
      <w:r w:rsidRPr="7E4EA285">
        <w:rPr>
          <w:rFonts w:cs="Arial"/>
          <w:b/>
        </w:rPr>
        <w:t>S</w:t>
      </w:r>
      <w:r w:rsidR="00242EE1" w:rsidRPr="7E4EA285">
        <w:rPr>
          <w:rFonts w:cs="Arial"/>
          <w:b/>
        </w:rPr>
        <w:t>ection</w:t>
      </w:r>
      <w:r w:rsidR="00FE5F34" w:rsidRPr="7E4EA285">
        <w:rPr>
          <w:rFonts w:cs="Arial"/>
          <w:b/>
        </w:rPr>
        <w:t xml:space="preserve"> 76</w:t>
      </w:r>
      <w:r w:rsidR="0059347B">
        <w:rPr>
          <w:rFonts w:cs="Arial"/>
          <w:b/>
        </w:rPr>
        <w:t>:</w:t>
      </w:r>
      <w:r w:rsidR="007D08DF" w:rsidRPr="7E4EA285">
        <w:rPr>
          <w:rFonts w:cs="Arial"/>
        </w:rPr>
        <w:t xml:space="preserve"> </w:t>
      </w:r>
      <w:r w:rsidR="00FE5F34" w:rsidRPr="7E4EA285">
        <w:rPr>
          <w:rFonts w:cs="Arial"/>
        </w:rPr>
        <w:t xml:space="preserve">Responding to </w:t>
      </w:r>
      <w:r w:rsidR="000F638A" w:rsidRPr="7E4EA285">
        <w:rPr>
          <w:rFonts w:cs="Arial"/>
        </w:rPr>
        <w:t xml:space="preserve">a </w:t>
      </w:r>
      <w:r w:rsidR="00FE5F34" w:rsidRPr="7E4EA285">
        <w:rPr>
          <w:rFonts w:cs="Arial"/>
        </w:rPr>
        <w:t>payment</w:t>
      </w:r>
      <w:r w:rsidR="00242EE1" w:rsidRPr="7E4EA285">
        <w:rPr>
          <w:rFonts w:cs="Arial"/>
        </w:rPr>
        <w:t xml:space="preserve"> </w:t>
      </w:r>
      <w:r w:rsidR="00FE5F34" w:rsidRPr="7E4EA285">
        <w:rPr>
          <w:rFonts w:cs="Arial"/>
        </w:rPr>
        <w:t>claim</w:t>
      </w:r>
      <w:r w:rsidR="00A87972">
        <w:rPr>
          <w:rFonts w:cs="Arial"/>
        </w:rPr>
        <w:t>.</w:t>
      </w:r>
    </w:p>
    <w:p w14:paraId="101CBA55" w14:textId="22B5EFBE" w:rsidR="00C72F46" w:rsidRDefault="00C72F46" w:rsidP="00BD69F7">
      <w:pPr>
        <w:pStyle w:val="ListParagraph"/>
        <w:numPr>
          <w:ilvl w:val="0"/>
          <w:numId w:val="24"/>
        </w:numPr>
        <w:spacing w:before="120" w:after="120"/>
        <w:ind w:left="714" w:hanging="357"/>
        <w:contextualSpacing w:val="0"/>
        <w:rPr>
          <w:rFonts w:cs="Arial"/>
        </w:rPr>
      </w:pPr>
      <w:r w:rsidRPr="7E4EA285">
        <w:rPr>
          <w:rFonts w:cs="Arial"/>
          <w:b/>
        </w:rPr>
        <w:t xml:space="preserve">Section </w:t>
      </w:r>
      <w:r w:rsidR="00FE5F34" w:rsidRPr="7E4EA285">
        <w:rPr>
          <w:rFonts w:cs="Arial"/>
          <w:b/>
        </w:rPr>
        <w:t>88</w:t>
      </w:r>
      <w:r w:rsidR="0059347B">
        <w:rPr>
          <w:rFonts w:cs="Arial"/>
          <w:b/>
        </w:rPr>
        <w:t>:</w:t>
      </w:r>
      <w:r w:rsidR="007D08DF" w:rsidRPr="7E4EA285">
        <w:rPr>
          <w:rFonts w:cs="Arial"/>
        </w:rPr>
        <w:t xml:space="preserve"> </w:t>
      </w:r>
      <w:r w:rsidR="00FE5F34" w:rsidRPr="7E4EA285">
        <w:rPr>
          <w:rFonts w:cs="Arial"/>
        </w:rPr>
        <w:t>Adjudicator’s decision</w:t>
      </w:r>
      <w:r w:rsidR="00A87972">
        <w:rPr>
          <w:rFonts w:cs="Arial"/>
        </w:rPr>
        <w:t>.</w:t>
      </w:r>
    </w:p>
    <w:p w14:paraId="1A3A1085" w14:textId="7BFF1F9B" w:rsidR="00C72F46" w:rsidRDefault="00C72F46" w:rsidP="00BD69F7">
      <w:pPr>
        <w:pStyle w:val="ListParagraph"/>
        <w:numPr>
          <w:ilvl w:val="0"/>
          <w:numId w:val="24"/>
        </w:numPr>
        <w:spacing w:before="120" w:after="120"/>
        <w:ind w:left="714" w:hanging="357"/>
        <w:contextualSpacing w:val="0"/>
        <w:rPr>
          <w:rFonts w:cs="Arial"/>
        </w:rPr>
      </w:pPr>
      <w:r w:rsidRPr="7E4EA285">
        <w:rPr>
          <w:rFonts w:cs="Arial"/>
          <w:b/>
        </w:rPr>
        <w:t xml:space="preserve">Section </w:t>
      </w:r>
      <w:r w:rsidR="00FE5F34" w:rsidRPr="7E4EA285">
        <w:rPr>
          <w:rFonts w:cs="Arial"/>
          <w:b/>
        </w:rPr>
        <w:t>90</w:t>
      </w:r>
      <w:r w:rsidR="0059347B">
        <w:rPr>
          <w:rFonts w:cs="Arial"/>
          <w:b/>
        </w:rPr>
        <w:t>:</w:t>
      </w:r>
      <w:r w:rsidR="007D08DF" w:rsidRPr="7E4EA285">
        <w:rPr>
          <w:rFonts w:cs="Arial"/>
        </w:rPr>
        <w:t xml:space="preserve"> </w:t>
      </w:r>
      <w:r w:rsidR="00FE5F34" w:rsidRPr="7E4EA285">
        <w:rPr>
          <w:rFonts w:cs="Arial"/>
        </w:rPr>
        <w:t>Respondent required to</w:t>
      </w:r>
      <w:r w:rsidRPr="7E4EA285">
        <w:rPr>
          <w:rFonts w:cs="Arial"/>
        </w:rPr>
        <w:t xml:space="preserve"> </w:t>
      </w:r>
      <w:r w:rsidR="00FE5F34" w:rsidRPr="7E4EA285">
        <w:rPr>
          <w:rFonts w:cs="Arial"/>
        </w:rPr>
        <w:t>pay adjudicated amount</w:t>
      </w:r>
      <w:r w:rsidR="00A87972">
        <w:rPr>
          <w:rFonts w:cs="Arial"/>
        </w:rPr>
        <w:t>.</w:t>
      </w:r>
    </w:p>
    <w:p w14:paraId="767C6024" w14:textId="2AEA60DD" w:rsidR="00FE5F34" w:rsidRPr="00FE5F34" w:rsidRDefault="00FE5F34" w:rsidP="00BD69F7">
      <w:pPr>
        <w:pStyle w:val="ListParagraph"/>
        <w:numPr>
          <w:ilvl w:val="0"/>
          <w:numId w:val="24"/>
        </w:numPr>
        <w:spacing w:before="120" w:after="120"/>
        <w:ind w:left="714" w:hanging="357"/>
        <w:contextualSpacing w:val="0"/>
        <w:rPr>
          <w:rFonts w:cs="Arial"/>
        </w:rPr>
      </w:pPr>
      <w:r w:rsidRPr="7E4EA285">
        <w:rPr>
          <w:rFonts w:cs="Arial"/>
          <w:b/>
        </w:rPr>
        <w:t>Part 4A</w:t>
      </w:r>
      <w:r w:rsidR="0059347B">
        <w:rPr>
          <w:rFonts w:cs="Arial"/>
          <w:b/>
        </w:rPr>
        <w:t>:</w:t>
      </w:r>
      <w:r w:rsidR="007D08DF" w:rsidRPr="7E4EA285">
        <w:rPr>
          <w:rFonts w:cs="Arial"/>
        </w:rPr>
        <w:t xml:space="preserve"> </w:t>
      </w:r>
      <w:r w:rsidRPr="7E4EA285">
        <w:rPr>
          <w:rFonts w:cs="Arial"/>
        </w:rPr>
        <w:t>Payment withholding</w:t>
      </w:r>
      <w:r w:rsidR="00A87972">
        <w:rPr>
          <w:rFonts w:cs="Arial"/>
        </w:rPr>
        <w:t>.</w:t>
      </w:r>
    </w:p>
    <w:p w14:paraId="4729B0EF" w14:textId="24F65DC7" w:rsidR="000B0419" w:rsidRPr="003921F7" w:rsidRDefault="00C72F46" w:rsidP="00BD69F7">
      <w:pPr>
        <w:pStyle w:val="ListParagraph"/>
        <w:numPr>
          <w:ilvl w:val="0"/>
          <w:numId w:val="24"/>
        </w:numPr>
        <w:spacing w:before="120" w:after="120"/>
        <w:ind w:left="714" w:hanging="357"/>
        <w:contextualSpacing w:val="0"/>
        <w:rPr>
          <w:rFonts w:cs="Arial"/>
        </w:rPr>
      </w:pPr>
      <w:r w:rsidRPr="7E4EA285">
        <w:rPr>
          <w:rFonts w:cs="Arial"/>
          <w:b/>
        </w:rPr>
        <w:t>Part</w:t>
      </w:r>
      <w:r w:rsidR="00FE5F34" w:rsidRPr="7E4EA285">
        <w:rPr>
          <w:rFonts w:cs="Arial"/>
          <w:b/>
        </w:rPr>
        <w:t xml:space="preserve"> 6A</w:t>
      </w:r>
      <w:r w:rsidR="0059347B">
        <w:rPr>
          <w:rFonts w:cs="Arial"/>
          <w:b/>
        </w:rPr>
        <w:t>:</w:t>
      </w:r>
      <w:r w:rsidR="007D08DF" w:rsidRPr="7E4EA285">
        <w:rPr>
          <w:rFonts w:cs="Arial"/>
        </w:rPr>
        <w:t xml:space="preserve"> </w:t>
      </w:r>
      <w:r w:rsidR="00FE5F34" w:rsidRPr="7E4EA285">
        <w:rPr>
          <w:rFonts w:cs="Arial"/>
        </w:rPr>
        <w:t>Charge over property</w:t>
      </w:r>
      <w:r w:rsidR="00A87972">
        <w:rPr>
          <w:rFonts w:cs="Arial"/>
        </w:rPr>
        <w:t>.</w:t>
      </w:r>
    </w:p>
    <w:p w14:paraId="57D4559D" w14:textId="51F449DE" w:rsidR="006720FA" w:rsidRDefault="006720FA" w:rsidP="003921F7">
      <w:pPr>
        <w:spacing w:before="120" w:after="120"/>
      </w:pPr>
      <w:r>
        <w:rPr>
          <w:rFonts w:cs="Arial"/>
        </w:rPr>
        <w:fldChar w:fldCharType="begin"/>
      </w:r>
      <w:r>
        <w:rPr>
          <w:rFonts w:cs="Arial"/>
        </w:rPr>
        <w:instrText xml:space="preserve"> REF _Ref201908169 \h </w:instrText>
      </w:r>
      <w:r>
        <w:rPr>
          <w:rFonts w:cs="Arial"/>
        </w:rPr>
      </w:r>
      <w:r>
        <w:rPr>
          <w:rFonts w:cs="Arial"/>
        </w:rPr>
        <w:fldChar w:fldCharType="separate"/>
      </w:r>
      <w:r w:rsidR="00CC44DF">
        <w:t xml:space="preserve">Table </w:t>
      </w:r>
      <w:r w:rsidR="00CC44DF" w:rsidRPr="00A57D9E">
        <w:t>10</w:t>
      </w:r>
      <w:r>
        <w:rPr>
          <w:rFonts w:cs="Arial"/>
        </w:rPr>
        <w:fldChar w:fldCharType="end"/>
      </w:r>
      <w:r w:rsidR="00F80D89" w:rsidRPr="7E4EA285">
        <w:rPr>
          <w:rFonts w:cs="Arial"/>
        </w:rPr>
        <w:t xml:space="preserve"> </w:t>
      </w:r>
      <w:r w:rsidR="0003061E" w:rsidRPr="7E4EA285">
        <w:rPr>
          <w:rFonts w:cs="Arial"/>
        </w:rPr>
        <w:t xml:space="preserve">below outlines the number </w:t>
      </w:r>
      <w:r w:rsidR="00A23AD4" w:rsidRPr="7E4EA285">
        <w:rPr>
          <w:rFonts w:cs="Arial"/>
        </w:rPr>
        <w:t>of</w:t>
      </w:r>
      <w:r w:rsidR="00F80D89" w:rsidRPr="7E4EA285">
        <w:rPr>
          <w:rFonts w:cs="Arial"/>
        </w:rPr>
        <w:t xml:space="preserve"> </w:t>
      </w:r>
      <w:r w:rsidR="00C461B6">
        <w:rPr>
          <w:rFonts w:cs="Arial"/>
        </w:rPr>
        <w:t>compliance actions undertaken</w:t>
      </w:r>
      <w:r w:rsidR="026B470F" w:rsidRPr="7E4EA285">
        <w:rPr>
          <w:rFonts w:cs="Arial"/>
        </w:rPr>
        <w:t xml:space="preserve"> </w:t>
      </w:r>
      <w:r w:rsidR="00F105B8" w:rsidRPr="7E4EA285">
        <w:rPr>
          <w:rFonts w:cs="Arial"/>
        </w:rPr>
        <w:t>during</w:t>
      </w:r>
      <w:r w:rsidR="00AC2233" w:rsidRPr="7E4EA285">
        <w:rPr>
          <w:rFonts w:cs="Arial"/>
        </w:rPr>
        <w:t xml:space="preserve"> the reporting period</w:t>
      </w:r>
      <w:r w:rsidR="00F105B8" w:rsidRPr="7E4EA285">
        <w:rPr>
          <w:rFonts w:cs="Arial"/>
        </w:rPr>
        <w:t>, as required</w:t>
      </w:r>
      <w:r w:rsidR="00AA0219" w:rsidRPr="7E4EA285">
        <w:rPr>
          <w:rFonts w:cs="Arial"/>
        </w:rPr>
        <w:t xml:space="preserve"> under the relevant sections of the BIF Act</w:t>
      </w:r>
      <w:r w:rsidR="00CE6054" w:rsidRPr="7E4EA285">
        <w:rPr>
          <w:rFonts w:cs="Arial"/>
        </w:rPr>
        <w:t>.</w:t>
      </w:r>
      <w:r w:rsidR="004C2921">
        <w:rPr>
          <w:rFonts w:cs="Arial"/>
        </w:rPr>
        <w:t xml:space="preserve"> No </w:t>
      </w:r>
      <w:r w:rsidR="00054D5F">
        <w:rPr>
          <w:rFonts w:cs="Arial"/>
        </w:rPr>
        <w:t>action</w:t>
      </w:r>
      <w:r w:rsidR="003A6E18">
        <w:rPr>
          <w:rFonts w:cs="Arial"/>
        </w:rPr>
        <w:t>s were taken</w:t>
      </w:r>
      <w:r w:rsidR="00054D5F">
        <w:rPr>
          <w:rFonts w:cs="Arial"/>
        </w:rPr>
        <w:t xml:space="preserve"> under</w:t>
      </w:r>
      <w:r w:rsidR="004C2921">
        <w:rPr>
          <w:rFonts w:cs="Arial"/>
        </w:rPr>
        <w:t xml:space="preserve"> </w:t>
      </w:r>
      <w:r w:rsidR="00E1472B">
        <w:rPr>
          <w:rFonts w:cs="Arial"/>
        </w:rPr>
        <w:t xml:space="preserve">Section 75, </w:t>
      </w:r>
      <w:r w:rsidR="00B673F8">
        <w:rPr>
          <w:rFonts w:cs="Arial"/>
        </w:rPr>
        <w:t>Part 4A and</w:t>
      </w:r>
      <w:r w:rsidR="00B579D9">
        <w:rPr>
          <w:rFonts w:cs="Arial"/>
        </w:rPr>
        <w:t xml:space="preserve"> Part </w:t>
      </w:r>
      <w:r w:rsidR="000E58ED">
        <w:rPr>
          <w:rFonts w:cs="Arial"/>
        </w:rPr>
        <w:t>6A</w:t>
      </w:r>
      <w:r w:rsidR="00B673F8">
        <w:rPr>
          <w:rFonts w:cs="Arial"/>
        </w:rPr>
        <w:t>.</w:t>
      </w:r>
      <w:r w:rsidR="00B874C2">
        <w:rPr>
          <w:rFonts w:cs="Arial"/>
        </w:rPr>
        <w:t xml:space="preserve"> </w:t>
      </w:r>
    </w:p>
    <w:p w14:paraId="3C078E28" w14:textId="7FC70465" w:rsidR="00817CCB" w:rsidRDefault="006720FA" w:rsidP="00417614">
      <w:pPr>
        <w:pStyle w:val="Caption"/>
        <w:keepNext/>
        <w:spacing w:before="120" w:after="120"/>
      </w:pPr>
      <w:bookmarkStart w:id="79" w:name="_Ref201908169"/>
      <w:bookmarkStart w:id="80" w:name="_Toc202872040"/>
      <w:bookmarkStart w:id="81" w:name="_Toc202872660"/>
      <w:r>
        <w:t xml:space="preserve">Table </w:t>
      </w:r>
      <w:r>
        <w:fldChar w:fldCharType="begin"/>
      </w:r>
      <w:r>
        <w:instrText>SEQ Table \* ARABIC</w:instrText>
      </w:r>
      <w:r>
        <w:fldChar w:fldCharType="separate"/>
      </w:r>
      <w:r w:rsidR="0042456A" w:rsidRPr="00A57D9E">
        <w:t>10</w:t>
      </w:r>
      <w:r>
        <w:fldChar w:fldCharType="end"/>
      </w:r>
      <w:bookmarkEnd w:id="79"/>
      <w:r w:rsidRPr="00ED0A5E">
        <w:t xml:space="preserve">: </w:t>
      </w:r>
      <w:bookmarkStart w:id="82" w:name="_Ref202873511"/>
      <w:r w:rsidRPr="00ED0A5E">
        <w:t xml:space="preserve">Number of </w:t>
      </w:r>
      <w:bookmarkStart w:id="83" w:name="_Int_ahJ2cR53"/>
      <w:r w:rsidR="00AB7694">
        <w:t>compliance</w:t>
      </w:r>
      <w:bookmarkEnd w:id="83"/>
      <w:r w:rsidR="00AB7694">
        <w:t xml:space="preserve"> action</w:t>
      </w:r>
      <w:r w:rsidRPr="00ED0A5E">
        <w:t>s</w:t>
      </w:r>
      <w:r w:rsidR="00AB7694">
        <w:t xml:space="preserve"> taken against</w:t>
      </w:r>
      <w:r w:rsidRPr="00ED0A5E">
        <w:t xml:space="preserve"> </w:t>
      </w:r>
      <w:r w:rsidR="00EF7F89">
        <w:t xml:space="preserve">offence provisions </w:t>
      </w:r>
      <w:r w:rsidRPr="00ED0A5E">
        <w:t>in 2024–25 by required BIF Act Sections</w:t>
      </w:r>
      <w:bookmarkEnd w:id="80"/>
      <w:bookmarkEnd w:id="81"/>
      <w:bookmarkEnd w:id="82"/>
    </w:p>
    <w:tbl>
      <w:tblPr>
        <w:tblStyle w:val="TableGrid"/>
        <w:tblW w:w="10485" w:type="dxa"/>
        <w:tblLayout w:type="fixed"/>
        <w:tblLook w:val="04A0" w:firstRow="1" w:lastRow="0" w:firstColumn="1" w:lastColumn="0" w:noHBand="0" w:noVBand="1"/>
      </w:tblPr>
      <w:tblGrid>
        <w:gridCol w:w="2547"/>
        <w:gridCol w:w="2315"/>
        <w:gridCol w:w="2315"/>
        <w:gridCol w:w="2316"/>
        <w:gridCol w:w="992"/>
      </w:tblGrid>
      <w:tr w:rsidR="003921F7" w:rsidRPr="004605C0" w14:paraId="3511247B" w14:textId="77777777" w:rsidTr="00E13289">
        <w:trPr>
          <w:trHeight w:val="300"/>
        </w:trPr>
        <w:tc>
          <w:tcPr>
            <w:tcW w:w="2547" w:type="dxa"/>
            <w:vMerge w:val="restart"/>
            <w:shd w:val="clear" w:color="auto" w:fill="A6A6A6" w:themeFill="background1" w:themeFillShade="A6"/>
            <w:vAlign w:val="center"/>
          </w:tcPr>
          <w:p w14:paraId="1A35FD09" w14:textId="5DF8C036" w:rsidR="003921F7" w:rsidRPr="004605C0" w:rsidRDefault="003921F7" w:rsidP="7E4EA285">
            <w:pPr>
              <w:rPr>
                <w:rFonts w:cs="Arial"/>
                <w:b/>
                <w:bCs/>
              </w:rPr>
            </w:pPr>
            <w:r w:rsidRPr="004605C0">
              <w:rPr>
                <w:rFonts w:cs="Arial"/>
                <w:b/>
                <w:bCs/>
              </w:rPr>
              <w:t>Outcome</w:t>
            </w:r>
          </w:p>
        </w:tc>
        <w:tc>
          <w:tcPr>
            <w:tcW w:w="6946" w:type="dxa"/>
            <w:gridSpan w:val="3"/>
            <w:shd w:val="clear" w:color="auto" w:fill="A6A6A6" w:themeFill="background1" w:themeFillShade="A6"/>
          </w:tcPr>
          <w:p w14:paraId="05044BE3" w14:textId="77777777" w:rsidR="00817CCB" w:rsidRPr="004605C0" w:rsidRDefault="00817CCB" w:rsidP="7E4EA285">
            <w:pPr>
              <w:jc w:val="center"/>
              <w:rPr>
                <w:rFonts w:cs="Arial"/>
                <w:b/>
                <w:bCs/>
              </w:rPr>
            </w:pPr>
            <w:r w:rsidRPr="004605C0">
              <w:rPr>
                <w:rFonts w:cs="Arial"/>
                <w:b/>
                <w:bCs/>
              </w:rPr>
              <w:t>BIF Act section</w:t>
            </w:r>
          </w:p>
        </w:tc>
        <w:tc>
          <w:tcPr>
            <w:tcW w:w="992" w:type="dxa"/>
            <w:vMerge w:val="restart"/>
            <w:shd w:val="clear" w:color="auto" w:fill="A6A6A6" w:themeFill="background1" w:themeFillShade="A6"/>
            <w:vAlign w:val="center"/>
          </w:tcPr>
          <w:p w14:paraId="67A4334C" w14:textId="49FB06AC" w:rsidR="003921F7" w:rsidRPr="004605C0" w:rsidRDefault="00A125D1" w:rsidP="00853A76">
            <w:pPr>
              <w:rPr>
                <w:rFonts w:cs="Arial"/>
                <w:b/>
                <w:bCs/>
              </w:rPr>
            </w:pPr>
            <w:r>
              <w:rPr>
                <w:rFonts w:cs="Arial"/>
                <w:b/>
                <w:bCs/>
              </w:rPr>
              <w:t>Total</w:t>
            </w:r>
          </w:p>
        </w:tc>
      </w:tr>
      <w:tr w:rsidR="00C11ECD" w:rsidRPr="004605C0" w14:paraId="5BC3A517" w14:textId="403AF549" w:rsidTr="20BE9D8C">
        <w:trPr>
          <w:trHeight w:val="300"/>
        </w:trPr>
        <w:tc>
          <w:tcPr>
            <w:tcW w:w="2547" w:type="dxa"/>
            <w:vMerge/>
          </w:tcPr>
          <w:p w14:paraId="780838F4" w14:textId="316E254B" w:rsidR="003921F7" w:rsidRPr="004605C0" w:rsidRDefault="003921F7" w:rsidP="007322AB">
            <w:pPr>
              <w:rPr>
                <w:rFonts w:cs="Arial"/>
                <w:b/>
                <w:bCs/>
                <w:szCs w:val="22"/>
              </w:rPr>
            </w:pPr>
          </w:p>
        </w:tc>
        <w:tc>
          <w:tcPr>
            <w:tcW w:w="2315" w:type="dxa"/>
            <w:shd w:val="clear" w:color="auto" w:fill="BFBFBF" w:themeFill="background1" w:themeFillShade="BF"/>
          </w:tcPr>
          <w:p w14:paraId="7440FCFF" w14:textId="5341A0D2" w:rsidR="003921F7" w:rsidRPr="00A21A4E" w:rsidRDefault="00A21A4E" w:rsidP="008B6D14">
            <w:pPr>
              <w:rPr>
                <w:rFonts w:cs="Arial"/>
                <w:b/>
                <w:strike/>
                <w:color w:val="FF0000"/>
              </w:rPr>
            </w:pPr>
            <w:r w:rsidRPr="004605C0">
              <w:rPr>
                <w:rFonts w:cs="Arial"/>
                <w:b/>
                <w:bCs/>
              </w:rPr>
              <w:t>Section 19</w:t>
            </w:r>
          </w:p>
        </w:tc>
        <w:tc>
          <w:tcPr>
            <w:tcW w:w="2315" w:type="dxa"/>
            <w:shd w:val="clear" w:color="auto" w:fill="BFBFBF" w:themeFill="background1" w:themeFillShade="BF"/>
          </w:tcPr>
          <w:p w14:paraId="7C36C229" w14:textId="7C5F16AC" w:rsidR="003921F7" w:rsidRPr="004605C0" w:rsidRDefault="003921F7" w:rsidP="008B6D14">
            <w:pPr>
              <w:rPr>
                <w:rFonts w:cs="Arial"/>
                <w:b/>
              </w:rPr>
            </w:pPr>
            <w:r w:rsidRPr="004605C0">
              <w:rPr>
                <w:rFonts w:cs="Arial"/>
                <w:b/>
                <w:bCs/>
              </w:rPr>
              <w:t>Section 76</w:t>
            </w:r>
          </w:p>
        </w:tc>
        <w:tc>
          <w:tcPr>
            <w:tcW w:w="2316" w:type="dxa"/>
            <w:shd w:val="clear" w:color="auto" w:fill="BFBFBF" w:themeFill="background1" w:themeFillShade="BF"/>
          </w:tcPr>
          <w:p w14:paraId="51E07BA7" w14:textId="0D894FCE" w:rsidR="003921F7" w:rsidRPr="00A21A4E" w:rsidRDefault="00A21A4E" w:rsidP="008B6D14">
            <w:pPr>
              <w:rPr>
                <w:rFonts w:cs="Arial"/>
                <w:b/>
                <w:strike/>
                <w:color w:val="FF0000"/>
              </w:rPr>
            </w:pPr>
            <w:r w:rsidRPr="004605C0">
              <w:rPr>
                <w:rFonts w:cs="Arial"/>
                <w:b/>
                <w:bCs/>
              </w:rPr>
              <w:t>Section 90</w:t>
            </w:r>
          </w:p>
        </w:tc>
        <w:tc>
          <w:tcPr>
            <w:tcW w:w="992" w:type="dxa"/>
            <w:vMerge/>
          </w:tcPr>
          <w:p w14:paraId="57FEF010" w14:textId="09638967" w:rsidR="003921F7" w:rsidRPr="004605C0" w:rsidRDefault="003921F7" w:rsidP="7E4EA285">
            <w:pPr>
              <w:rPr>
                <w:rFonts w:cs="Arial"/>
                <w:b/>
                <w:bCs/>
              </w:rPr>
            </w:pPr>
          </w:p>
        </w:tc>
      </w:tr>
      <w:tr w:rsidR="00CB2319" w:rsidRPr="004605C0" w14:paraId="0F3AF61D" w14:textId="77777777" w:rsidTr="00E13289">
        <w:trPr>
          <w:trHeight w:val="300"/>
        </w:trPr>
        <w:tc>
          <w:tcPr>
            <w:tcW w:w="2547" w:type="dxa"/>
            <w:vAlign w:val="center"/>
          </w:tcPr>
          <w:p w14:paraId="2072AA76" w14:textId="165413E7" w:rsidR="00C1389F" w:rsidRPr="004605C0" w:rsidRDefault="00C1389F" w:rsidP="7E4EA285">
            <w:pPr>
              <w:rPr>
                <w:rFonts w:cs="Arial"/>
              </w:rPr>
            </w:pPr>
            <w:r w:rsidRPr="004605C0">
              <w:rPr>
                <w:rFonts w:cs="Arial"/>
              </w:rPr>
              <w:t>Opened</w:t>
            </w:r>
          </w:p>
        </w:tc>
        <w:tc>
          <w:tcPr>
            <w:tcW w:w="2315" w:type="dxa"/>
            <w:vAlign w:val="center"/>
          </w:tcPr>
          <w:p w14:paraId="471DE789" w14:textId="0A3B2017" w:rsidR="00C1389F" w:rsidRPr="00A21A4E" w:rsidRDefault="00A21A4E" w:rsidP="7E4EA285">
            <w:pPr>
              <w:rPr>
                <w:rFonts w:cs="Arial"/>
                <w:strike/>
                <w:color w:val="FF0000"/>
              </w:rPr>
            </w:pPr>
            <w:r w:rsidRPr="004605C0">
              <w:rPr>
                <w:rFonts w:cs="Arial"/>
              </w:rPr>
              <w:t>6</w:t>
            </w:r>
          </w:p>
        </w:tc>
        <w:tc>
          <w:tcPr>
            <w:tcW w:w="2315" w:type="dxa"/>
            <w:vAlign w:val="center"/>
          </w:tcPr>
          <w:p w14:paraId="61483BD3" w14:textId="13C01103" w:rsidR="00C1389F" w:rsidRPr="004605C0" w:rsidRDefault="4E25017F" w:rsidP="7E4EA285">
            <w:pPr>
              <w:rPr>
                <w:rFonts w:cs="Arial"/>
              </w:rPr>
            </w:pPr>
            <w:r w:rsidRPr="004605C0">
              <w:rPr>
                <w:rFonts w:cs="Arial"/>
              </w:rPr>
              <w:t>98</w:t>
            </w:r>
            <w:r w:rsidR="001B519A" w:rsidRPr="004605C0">
              <w:rPr>
                <w:rFonts w:cs="Arial"/>
              </w:rPr>
              <w:t xml:space="preserve"> </w:t>
            </w:r>
          </w:p>
        </w:tc>
        <w:tc>
          <w:tcPr>
            <w:tcW w:w="2316" w:type="dxa"/>
            <w:vAlign w:val="center"/>
          </w:tcPr>
          <w:p w14:paraId="4A6B937B" w14:textId="00414682" w:rsidR="00C1389F" w:rsidRPr="00A21A4E" w:rsidRDefault="00A21A4E" w:rsidP="007322AB">
            <w:pPr>
              <w:rPr>
                <w:rFonts w:cs="Arial"/>
                <w:strike/>
                <w:color w:val="FF0000"/>
              </w:rPr>
            </w:pPr>
            <w:r w:rsidRPr="004605C0">
              <w:rPr>
                <w:rFonts w:cs="Arial"/>
              </w:rPr>
              <w:t>68</w:t>
            </w:r>
          </w:p>
        </w:tc>
        <w:tc>
          <w:tcPr>
            <w:tcW w:w="992" w:type="dxa"/>
            <w:vAlign w:val="center"/>
          </w:tcPr>
          <w:p w14:paraId="668090D4" w14:textId="0BC2200E" w:rsidR="00C1389F" w:rsidRPr="004605C0" w:rsidRDefault="001F75D6" w:rsidP="007322AB">
            <w:pPr>
              <w:rPr>
                <w:rFonts w:cs="Arial"/>
                <w:szCs w:val="22"/>
              </w:rPr>
            </w:pPr>
            <w:r>
              <w:rPr>
                <w:rFonts w:cs="Arial"/>
                <w:szCs w:val="22"/>
              </w:rPr>
              <w:t>1</w:t>
            </w:r>
            <w:r w:rsidR="00224ACC">
              <w:rPr>
                <w:rFonts w:cs="Arial"/>
                <w:szCs w:val="22"/>
              </w:rPr>
              <w:t>72</w:t>
            </w:r>
          </w:p>
        </w:tc>
      </w:tr>
      <w:tr w:rsidR="00CB2319" w:rsidRPr="004605C0" w14:paraId="227194DB" w14:textId="77777777" w:rsidTr="00E13289">
        <w:trPr>
          <w:trHeight w:val="300"/>
        </w:trPr>
        <w:tc>
          <w:tcPr>
            <w:tcW w:w="2547" w:type="dxa"/>
            <w:vAlign w:val="center"/>
          </w:tcPr>
          <w:p w14:paraId="6FA7B564" w14:textId="2D7C8BCF" w:rsidR="00C1389F" w:rsidRPr="004605C0" w:rsidRDefault="00C1389F" w:rsidP="7E4EA285">
            <w:pPr>
              <w:rPr>
                <w:rFonts w:cs="Arial"/>
              </w:rPr>
            </w:pPr>
            <w:r w:rsidRPr="004605C0">
              <w:rPr>
                <w:rFonts w:cs="Arial"/>
              </w:rPr>
              <w:t>Closed</w:t>
            </w:r>
          </w:p>
        </w:tc>
        <w:tc>
          <w:tcPr>
            <w:tcW w:w="2315" w:type="dxa"/>
            <w:vAlign w:val="center"/>
          </w:tcPr>
          <w:p w14:paraId="3905595A" w14:textId="1E7E6BD3" w:rsidR="00C1389F" w:rsidRPr="00D850B1" w:rsidRDefault="00A21A4E" w:rsidP="7E4EA285">
            <w:pPr>
              <w:rPr>
                <w:rFonts w:cs="Arial"/>
                <w:strike/>
                <w:color w:val="FF0000"/>
              </w:rPr>
            </w:pPr>
            <w:r w:rsidRPr="004605C0">
              <w:rPr>
                <w:rFonts w:cs="Arial"/>
              </w:rPr>
              <w:t xml:space="preserve">6 </w:t>
            </w:r>
          </w:p>
        </w:tc>
        <w:tc>
          <w:tcPr>
            <w:tcW w:w="2315" w:type="dxa"/>
            <w:vAlign w:val="center"/>
          </w:tcPr>
          <w:p w14:paraId="1D419EA6" w14:textId="6BE466C0" w:rsidR="00C1389F" w:rsidRPr="004605C0" w:rsidRDefault="4705F2BC" w:rsidP="7E4EA285">
            <w:pPr>
              <w:rPr>
                <w:rFonts w:cs="Arial"/>
              </w:rPr>
            </w:pPr>
            <w:r w:rsidRPr="004605C0">
              <w:rPr>
                <w:rFonts w:cs="Arial"/>
              </w:rPr>
              <w:t>79</w:t>
            </w:r>
            <w:r w:rsidR="001B519A" w:rsidRPr="004605C0">
              <w:rPr>
                <w:rFonts w:cs="Arial"/>
              </w:rPr>
              <w:t xml:space="preserve"> </w:t>
            </w:r>
          </w:p>
        </w:tc>
        <w:tc>
          <w:tcPr>
            <w:tcW w:w="2316" w:type="dxa"/>
            <w:vAlign w:val="center"/>
          </w:tcPr>
          <w:p w14:paraId="77B4D459" w14:textId="10A9DADD" w:rsidR="00C1389F" w:rsidRPr="00D850B1" w:rsidRDefault="00A21A4E" w:rsidP="007322AB">
            <w:pPr>
              <w:rPr>
                <w:rFonts w:cs="Arial"/>
                <w:strike/>
                <w:color w:val="FF0000"/>
              </w:rPr>
            </w:pPr>
            <w:r w:rsidRPr="004605C0">
              <w:rPr>
                <w:rFonts w:cs="Arial"/>
              </w:rPr>
              <w:t xml:space="preserve">67 </w:t>
            </w:r>
          </w:p>
        </w:tc>
        <w:tc>
          <w:tcPr>
            <w:tcW w:w="992" w:type="dxa"/>
            <w:vAlign w:val="center"/>
          </w:tcPr>
          <w:p w14:paraId="1A0AE162" w14:textId="3D4B78F1" w:rsidR="00C1389F" w:rsidRPr="004605C0" w:rsidRDefault="005A4EA6" w:rsidP="007322AB">
            <w:pPr>
              <w:rPr>
                <w:rFonts w:cs="Arial"/>
                <w:szCs w:val="22"/>
              </w:rPr>
            </w:pPr>
            <w:r>
              <w:rPr>
                <w:rFonts w:cs="Arial"/>
                <w:szCs w:val="22"/>
              </w:rPr>
              <w:t>1</w:t>
            </w:r>
            <w:r w:rsidR="00224ACC">
              <w:rPr>
                <w:rFonts w:cs="Arial"/>
                <w:szCs w:val="22"/>
              </w:rPr>
              <w:t>52</w:t>
            </w:r>
          </w:p>
        </w:tc>
      </w:tr>
      <w:tr w:rsidR="00CB2319" w:rsidRPr="004605C0" w14:paraId="0DCE6BD1" w14:textId="77777777" w:rsidTr="00E13289">
        <w:trPr>
          <w:trHeight w:val="300"/>
        </w:trPr>
        <w:tc>
          <w:tcPr>
            <w:tcW w:w="2547" w:type="dxa"/>
            <w:vAlign w:val="center"/>
          </w:tcPr>
          <w:p w14:paraId="5CF103CB" w14:textId="120B4928" w:rsidR="00C1389F" w:rsidRPr="004605C0" w:rsidRDefault="00FD3B5D" w:rsidP="7E4EA285">
            <w:pPr>
              <w:rPr>
                <w:rFonts w:cs="Arial"/>
              </w:rPr>
            </w:pPr>
            <w:r w:rsidRPr="004605C0">
              <w:rPr>
                <w:rFonts w:cs="Arial"/>
              </w:rPr>
              <w:t>I</w:t>
            </w:r>
            <w:r w:rsidR="00C1389F" w:rsidRPr="004605C0">
              <w:rPr>
                <w:rFonts w:cs="Arial"/>
              </w:rPr>
              <w:t>nfringement</w:t>
            </w:r>
            <w:r w:rsidR="00A67740" w:rsidRPr="004605C0">
              <w:rPr>
                <w:rFonts w:cs="Arial"/>
              </w:rPr>
              <w:t xml:space="preserve"> notice</w:t>
            </w:r>
            <w:r w:rsidR="00C1389F" w:rsidRPr="004605C0">
              <w:rPr>
                <w:rFonts w:cs="Arial"/>
              </w:rPr>
              <w:t xml:space="preserve"> </w:t>
            </w:r>
          </w:p>
        </w:tc>
        <w:tc>
          <w:tcPr>
            <w:tcW w:w="2315" w:type="dxa"/>
            <w:vAlign w:val="center"/>
          </w:tcPr>
          <w:p w14:paraId="0887A4F4" w14:textId="578C38FC" w:rsidR="00C1389F" w:rsidRPr="00D850B1" w:rsidRDefault="6BACE493" w:rsidP="00D850B1">
            <w:pPr>
              <w:rPr>
                <w:rFonts w:cs="Arial"/>
                <w:strike/>
                <w:color w:val="FF0000"/>
              </w:rPr>
            </w:pPr>
            <w:r w:rsidRPr="004605C0">
              <w:rPr>
                <w:rFonts w:cs="Arial"/>
              </w:rPr>
              <w:t>0</w:t>
            </w:r>
          </w:p>
        </w:tc>
        <w:tc>
          <w:tcPr>
            <w:tcW w:w="2315" w:type="dxa"/>
            <w:vAlign w:val="center"/>
          </w:tcPr>
          <w:p w14:paraId="56CFD4D2" w14:textId="084BA1E8" w:rsidR="00C1389F" w:rsidRPr="004605C0" w:rsidRDefault="5109ABC2" w:rsidP="7E4EA285">
            <w:pPr>
              <w:rPr>
                <w:rFonts w:cs="Arial"/>
              </w:rPr>
            </w:pPr>
            <w:r w:rsidRPr="004605C0">
              <w:rPr>
                <w:rFonts w:cs="Arial"/>
              </w:rPr>
              <w:t>3</w:t>
            </w:r>
          </w:p>
        </w:tc>
        <w:tc>
          <w:tcPr>
            <w:tcW w:w="2316" w:type="dxa"/>
            <w:vAlign w:val="center"/>
          </w:tcPr>
          <w:p w14:paraId="05630102" w14:textId="25FDE6F8" w:rsidR="00C1389F" w:rsidRPr="00D850B1" w:rsidRDefault="00A21A4E" w:rsidP="7E4EA285">
            <w:pPr>
              <w:rPr>
                <w:rFonts w:cs="Arial"/>
                <w:strike/>
                <w:color w:val="FF0000"/>
              </w:rPr>
            </w:pPr>
            <w:r w:rsidRPr="004605C0">
              <w:rPr>
                <w:rFonts w:cs="Arial"/>
              </w:rPr>
              <w:t>6</w:t>
            </w:r>
          </w:p>
        </w:tc>
        <w:tc>
          <w:tcPr>
            <w:tcW w:w="992" w:type="dxa"/>
            <w:vAlign w:val="center"/>
          </w:tcPr>
          <w:p w14:paraId="0CAD9A06" w14:textId="1C4B88C1" w:rsidR="00C1389F" w:rsidRPr="004605C0" w:rsidRDefault="005A4EA6" w:rsidP="7E4EA285">
            <w:pPr>
              <w:rPr>
                <w:rFonts w:cs="Arial"/>
              </w:rPr>
            </w:pPr>
            <w:r>
              <w:rPr>
                <w:rFonts w:cs="Arial"/>
                <w:szCs w:val="22"/>
              </w:rPr>
              <w:t>9</w:t>
            </w:r>
          </w:p>
        </w:tc>
      </w:tr>
      <w:tr w:rsidR="00CB2319" w:rsidRPr="004605C0" w14:paraId="01C1B5E4" w14:textId="77777777" w:rsidTr="00E13289">
        <w:trPr>
          <w:trHeight w:val="300"/>
        </w:trPr>
        <w:tc>
          <w:tcPr>
            <w:tcW w:w="2547" w:type="dxa"/>
            <w:vAlign w:val="center"/>
          </w:tcPr>
          <w:p w14:paraId="0D3FCECB" w14:textId="44A59E9A" w:rsidR="00C1389F" w:rsidRPr="004605C0" w:rsidRDefault="00343633" w:rsidP="7E4EA285">
            <w:pPr>
              <w:rPr>
                <w:rFonts w:cs="Arial"/>
              </w:rPr>
            </w:pPr>
            <w:r w:rsidRPr="004605C0">
              <w:rPr>
                <w:rFonts w:cs="Arial"/>
              </w:rPr>
              <w:t>W</w:t>
            </w:r>
            <w:r w:rsidR="00C1389F" w:rsidRPr="004605C0">
              <w:rPr>
                <w:rFonts w:cs="Arial"/>
              </w:rPr>
              <w:t>arning</w:t>
            </w:r>
            <w:r w:rsidRPr="004605C0">
              <w:rPr>
                <w:rFonts w:cs="Arial"/>
              </w:rPr>
              <w:t xml:space="preserve"> </w:t>
            </w:r>
          </w:p>
        </w:tc>
        <w:tc>
          <w:tcPr>
            <w:tcW w:w="2315" w:type="dxa"/>
            <w:vAlign w:val="center"/>
          </w:tcPr>
          <w:p w14:paraId="5F15ACD3" w14:textId="7A4B85C5" w:rsidR="00C1389F" w:rsidRPr="00D850B1" w:rsidRDefault="0A0BE440" w:rsidP="00D850B1">
            <w:pPr>
              <w:rPr>
                <w:rFonts w:cs="Arial"/>
                <w:strike/>
                <w:color w:val="FF0000"/>
              </w:rPr>
            </w:pPr>
            <w:r w:rsidRPr="004605C0">
              <w:rPr>
                <w:rFonts w:cs="Arial"/>
              </w:rPr>
              <w:t>0</w:t>
            </w:r>
          </w:p>
        </w:tc>
        <w:tc>
          <w:tcPr>
            <w:tcW w:w="2315" w:type="dxa"/>
            <w:vAlign w:val="center"/>
          </w:tcPr>
          <w:p w14:paraId="5D93FAC9" w14:textId="6C51D38B" w:rsidR="00C1389F" w:rsidRPr="004605C0" w:rsidRDefault="2CE90BB0" w:rsidP="7E4EA285">
            <w:pPr>
              <w:rPr>
                <w:rFonts w:cs="Arial"/>
                <w:szCs w:val="22"/>
              </w:rPr>
            </w:pPr>
            <w:r w:rsidRPr="004605C0">
              <w:rPr>
                <w:rFonts w:cs="Arial"/>
              </w:rPr>
              <w:t>58</w:t>
            </w:r>
            <w:r w:rsidR="001B519A" w:rsidRPr="004605C0">
              <w:rPr>
                <w:rFonts w:cs="Arial"/>
                <w:szCs w:val="22"/>
              </w:rPr>
              <w:t xml:space="preserve"> </w:t>
            </w:r>
          </w:p>
        </w:tc>
        <w:tc>
          <w:tcPr>
            <w:tcW w:w="2316" w:type="dxa"/>
            <w:vAlign w:val="center"/>
          </w:tcPr>
          <w:p w14:paraId="21D5C7A6" w14:textId="0D32BFFD" w:rsidR="00C1389F" w:rsidRPr="00D850B1" w:rsidRDefault="00A21A4E" w:rsidP="007322AB">
            <w:pPr>
              <w:rPr>
                <w:rFonts w:cs="Arial"/>
                <w:strike/>
                <w:color w:val="FF0000"/>
              </w:rPr>
            </w:pPr>
            <w:r w:rsidRPr="004605C0">
              <w:rPr>
                <w:rFonts w:cs="Arial"/>
              </w:rPr>
              <w:t>41</w:t>
            </w:r>
          </w:p>
        </w:tc>
        <w:tc>
          <w:tcPr>
            <w:tcW w:w="992" w:type="dxa"/>
            <w:vAlign w:val="center"/>
          </w:tcPr>
          <w:p w14:paraId="1B5B308A" w14:textId="27029483" w:rsidR="00C1389F" w:rsidRPr="004605C0" w:rsidRDefault="005A4EA6" w:rsidP="007322AB">
            <w:pPr>
              <w:rPr>
                <w:rFonts w:cs="Arial"/>
                <w:szCs w:val="22"/>
              </w:rPr>
            </w:pPr>
            <w:r>
              <w:rPr>
                <w:rFonts w:cs="Arial"/>
                <w:szCs w:val="22"/>
              </w:rPr>
              <w:t>99</w:t>
            </w:r>
          </w:p>
        </w:tc>
      </w:tr>
      <w:tr w:rsidR="00CB2319" w:rsidRPr="004605C0" w14:paraId="62078359" w14:textId="77777777" w:rsidTr="00E13289">
        <w:trPr>
          <w:trHeight w:val="300"/>
        </w:trPr>
        <w:tc>
          <w:tcPr>
            <w:tcW w:w="2547" w:type="dxa"/>
            <w:vAlign w:val="center"/>
          </w:tcPr>
          <w:p w14:paraId="415A3F19" w14:textId="6D81704B" w:rsidR="00C1389F" w:rsidRPr="004605C0" w:rsidRDefault="00FD3B5D" w:rsidP="7E4EA285">
            <w:pPr>
              <w:rPr>
                <w:rFonts w:cs="Arial"/>
              </w:rPr>
            </w:pPr>
            <w:r w:rsidRPr="004605C0">
              <w:rPr>
                <w:rFonts w:cs="Arial"/>
              </w:rPr>
              <w:t>P</w:t>
            </w:r>
            <w:r w:rsidR="00C1389F" w:rsidRPr="004605C0">
              <w:rPr>
                <w:rFonts w:cs="Arial"/>
              </w:rPr>
              <w:t xml:space="preserve">rosecution </w:t>
            </w:r>
          </w:p>
        </w:tc>
        <w:tc>
          <w:tcPr>
            <w:tcW w:w="2315" w:type="dxa"/>
            <w:vAlign w:val="center"/>
          </w:tcPr>
          <w:p w14:paraId="5904468F" w14:textId="5EA33E65" w:rsidR="00C1389F" w:rsidRPr="00D850B1" w:rsidRDefault="23D1FC6E" w:rsidP="7E4EA285">
            <w:pPr>
              <w:rPr>
                <w:rFonts w:cs="Arial"/>
                <w:strike/>
                <w:color w:val="FF0000"/>
              </w:rPr>
            </w:pPr>
            <w:r w:rsidRPr="004605C0">
              <w:rPr>
                <w:rFonts w:cs="Arial"/>
              </w:rPr>
              <w:t>0</w:t>
            </w:r>
            <w:r w:rsidR="001B519A" w:rsidRPr="004605C0">
              <w:rPr>
                <w:rFonts w:cs="Arial"/>
              </w:rPr>
              <w:t xml:space="preserve"> </w:t>
            </w:r>
          </w:p>
        </w:tc>
        <w:tc>
          <w:tcPr>
            <w:tcW w:w="2315" w:type="dxa"/>
            <w:vAlign w:val="center"/>
          </w:tcPr>
          <w:p w14:paraId="1413C9CC" w14:textId="48826678" w:rsidR="00C1389F" w:rsidRPr="004605C0" w:rsidRDefault="48432024" w:rsidP="7E4EA285">
            <w:pPr>
              <w:rPr>
                <w:rFonts w:cs="Arial"/>
              </w:rPr>
            </w:pPr>
            <w:r w:rsidRPr="004605C0">
              <w:rPr>
                <w:rFonts w:cs="Arial"/>
              </w:rPr>
              <w:t>0</w:t>
            </w:r>
            <w:r w:rsidR="001B519A" w:rsidRPr="004605C0">
              <w:rPr>
                <w:rFonts w:cs="Arial"/>
                <w:szCs w:val="22"/>
              </w:rPr>
              <w:t xml:space="preserve"> </w:t>
            </w:r>
          </w:p>
        </w:tc>
        <w:tc>
          <w:tcPr>
            <w:tcW w:w="2316" w:type="dxa"/>
            <w:vAlign w:val="center"/>
          </w:tcPr>
          <w:p w14:paraId="56A42C32" w14:textId="7DE8FA68" w:rsidR="00C1389F" w:rsidRPr="00D850B1" w:rsidRDefault="451FDBD4" w:rsidP="007322AB">
            <w:pPr>
              <w:rPr>
                <w:rFonts w:cs="Arial"/>
                <w:strike/>
                <w:color w:val="FF0000"/>
              </w:rPr>
            </w:pPr>
            <w:r w:rsidRPr="004605C0">
              <w:rPr>
                <w:rFonts w:cs="Arial"/>
              </w:rPr>
              <w:t>0</w:t>
            </w:r>
          </w:p>
        </w:tc>
        <w:tc>
          <w:tcPr>
            <w:tcW w:w="992" w:type="dxa"/>
            <w:vAlign w:val="center"/>
          </w:tcPr>
          <w:p w14:paraId="032FA78A" w14:textId="63FD3CAB" w:rsidR="00C1389F" w:rsidRPr="004605C0" w:rsidRDefault="005A4EA6" w:rsidP="007322AB">
            <w:pPr>
              <w:rPr>
                <w:rFonts w:cs="Arial"/>
                <w:szCs w:val="22"/>
              </w:rPr>
            </w:pPr>
            <w:r>
              <w:rPr>
                <w:rFonts w:cs="Arial"/>
                <w:szCs w:val="22"/>
              </w:rPr>
              <w:t>0</w:t>
            </w:r>
          </w:p>
        </w:tc>
      </w:tr>
    </w:tbl>
    <w:p w14:paraId="7B47B73F" w14:textId="7DF1A0E0" w:rsidR="00FF05FB" w:rsidRPr="004D482E" w:rsidRDefault="00FF05FB" w:rsidP="00154375">
      <w:pPr>
        <w:pStyle w:val="Heading3"/>
        <w:spacing w:before="120"/>
        <w:rPr>
          <w:rFonts w:cs="Arial"/>
        </w:rPr>
      </w:pPr>
      <w:bookmarkStart w:id="84" w:name="_Suspensions_and_cancellations"/>
      <w:bookmarkEnd w:id="84"/>
      <w:r>
        <w:t xml:space="preserve">Suspensions and cancellations  </w:t>
      </w:r>
    </w:p>
    <w:p w14:paraId="4C20C164" w14:textId="072504F3" w:rsidR="00FF05FB" w:rsidRPr="00325F93" w:rsidRDefault="00A94649" w:rsidP="008B6D14">
      <w:pPr>
        <w:spacing w:before="120" w:after="120"/>
        <w:rPr>
          <w:rFonts w:cs="Arial"/>
        </w:rPr>
      </w:pPr>
      <w:r w:rsidRPr="7E4EA285">
        <w:rPr>
          <w:rFonts w:cs="Arial"/>
        </w:rPr>
        <w:t xml:space="preserve">Under the </w:t>
      </w:r>
      <w:r w:rsidR="00FF05FB" w:rsidRPr="7E4EA285">
        <w:rPr>
          <w:rFonts w:cs="Arial"/>
        </w:rPr>
        <w:t>QBCC Act</w:t>
      </w:r>
      <w:r w:rsidRPr="7E4EA285">
        <w:rPr>
          <w:rFonts w:cs="Arial"/>
        </w:rPr>
        <w:t xml:space="preserve">, </w:t>
      </w:r>
      <w:r w:rsidR="003A4853" w:rsidRPr="7E4EA285">
        <w:rPr>
          <w:rFonts w:cs="Arial"/>
        </w:rPr>
        <w:t xml:space="preserve">the QBCC </w:t>
      </w:r>
      <w:r w:rsidR="00E57289" w:rsidRPr="7E4EA285">
        <w:rPr>
          <w:rFonts w:cs="Arial"/>
        </w:rPr>
        <w:t>has</w:t>
      </w:r>
      <w:r w:rsidR="007E14BE" w:rsidRPr="7E4EA285">
        <w:rPr>
          <w:rFonts w:cs="Arial"/>
        </w:rPr>
        <w:t xml:space="preserve"> the authority</w:t>
      </w:r>
      <w:r w:rsidR="003A4853" w:rsidRPr="7E4EA285">
        <w:rPr>
          <w:rFonts w:cs="Arial"/>
        </w:rPr>
        <w:t xml:space="preserve"> to </w:t>
      </w:r>
      <w:r w:rsidR="00FF05FB" w:rsidRPr="7E4EA285">
        <w:rPr>
          <w:rFonts w:cs="Arial"/>
        </w:rPr>
        <w:t>suspen</w:t>
      </w:r>
      <w:r w:rsidR="003A4853" w:rsidRPr="7E4EA285">
        <w:rPr>
          <w:rFonts w:cs="Arial"/>
        </w:rPr>
        <w:t xml:space="preserve">d </w:t>
      </w:r>
      <w:r w:rsidR="00FF73A0" w:rsidRPr="7E4EA285">
        <w:rPr>
          <w:rFonts w:cs="Arial"/>
        </w:rPr>
        <w:t>or</w:t>
      </w:r>
      <w:r w:rsidR="003A4853" w:rsidRPr="7E4EA285">
        <w:rPr>
          <w:rFonts w:cs="Arial"/>
        </w:rPr>
        <w:t xml:space="preserve"> </w:t>
      </w:r>
      <w:r w:rsidR="00FF05FB" w:rsidRPr="7E4EA285">
        <w:rPr>
          <w:rFonts w:cs="Arial"/>
        </w:rPr>
        <w:t>cancel</w:t>
      </w:r>
      <w:r w:rsidR="003A4853" w:rsidRPr="7E4EA285">
        <w:rPr>
          <w:rFonts w:cs="Arial"/>
        </w:rPr>
        <w:t xml:space="preserve"> </w:t>
      </w:r>
      <w:r w:rsidR="00FF05FB" w:rsidRPr="7E4EA285">
        <w:rPr>
          <w:rFonts w:cs="Arial"/>
        </w:rPr>
        <w:t>licence</w:t>
      </w:r>
      <w:r w:rsidR="00B1754D" w:rsidRPr="7E4EA285">
        <w:rPr>
          <w:rFonts w:cs="Arial"/>
        </w:rPr>
        <w:t xml:space="preserve">s </w:t>
      </w:r>
      <w:r w:rsidR="00E56BA7" w:rsidRPr="7E4EA285">
        <w:rPr>
          <w:rFonts w:cs="Arial"/>
        </w:rPr>
        <w:t xml:space="preserve">in </w:t>
      </w:r>
      <w:r w:rsidR="00FF73A0" w:rsidRPr="7E4EA285">
        <w:rPr>
          <w:rFonts w:cs="Arial"/>
        </w:rPr>
        <w:t xml:space="preserve">response to various </w:t>
      </w:r>
      <w:r w:rsidR="00743883" w:rsidRPr="7E4EA285">
        <w:rPr>
          <w:rFonts w:cs="Arial"/>
        </w:rPr>
        <w:t xml:space="preserve">forms of non-compliance. </w:t>
      </w:r>
      <w:r w:rsidR="65FFDE2D" w:rsidRPr="345835F2">
        <w:rPr>
          <w:rFonts w:cs="Arial"/>
        </w:rPr>
        <w:t>Grounds</w:t>
      </w:r>
      <w:r w:rsidR="004814D3" w:rsidRPr="7E4EA285">
        <w:rPr>
          <w:rFonts w:cs="Arial"/>
        </w:rPr>
        <w:t xml:space="preserve"> for suspending or cancelling a licence </w:t>
      </w:r>
      <w:r w:rsidR="00AC2584" w:rsidRPr="7E4EA285">
        <w:rPr>
          <w:rFonts w:cs="Arial"/>
        </w:rPr>
        <w:t>include</w:t>
      </w:r>
      <w:r w:rsidR="00E56BA7" w:rsidRPr="7E4EA285">
        <w:rPr>
          <w:rFonts w:cs="Arial"/>
        </w:rPr>
        <w:t xml:space="preserve"> </w:t>
      </w:r>
      <w:r w:rsidR="00093A65" w:rsidRPr="7E4EA285">
        <w:rPr>
          <w:rFonts w:cs="Arial"/>
        </w:rPr>
        <w:t>financial misconduct</w:t>
      </w:r>
      <w:r w:rsidR="00FF05FB" w:rsidRPr="7E4EA285">
        <w:rPr>
          <w:rFonts w:cs="Arial"/>
        </w:rPr>
        <w:t>,</w:t>
      </w:r>
      <w:r w:rsidR="00891BF5" w:rsidRPr="7E4EA285">
        <w:rPr>
          <w:rFonts w:cs="Arial"/>
        </w:rPr>
        <w:t xml:space="preserve"> </w:t>
      </w:r>
      <w:r w:rsidR="00891BF5" w:rsidRPr="7E4EA285">
        <w:rPr>
          <w:rFonts w:cs="Arial"/>
        </w:rPr>
        <w:lastRenderedPageBreak/>
        <w:t>breach</w:t>
      </w:r>
      <w:r w:rsidR="00AC2584" w:rsidRPr="7E4EA285">
        <w:rPr>
          <w:rFonts w:cs="Arial"/>
        </w:rPr>
        <w:t>es</w:t>
      </w:r>
      <w:r w:rsidR="00891BF5" w:rsidRPr="7E4EA285">
        <w:rPr>
          <w:rFonts w:cs="Arial"/>
        </w:rPr>
        <w:t xml:space="preserve"> of licence condition</w:t>
      </w:r>
      <w:r w:rsidR="00AC2584" w:rsidRPr="7E4EA285">
        <w:rPr>
          <w:rFonts w:cs="Arial"/>
        </w:rPr>
        <w:t>s</w:t>
      </w:r>
      <w:r w:rsidR="00AA3BE2" w:rsidRPr="7E4EA285">
        <w:rPr>
          <w:rFonts w:cs="Arial"/>
        </w:rPr>
        <w:t xml:space="preserve">, </w:t>
      </w:r>
      <w:r w:rsidR="00AC2584" w:rsidRPr="7E4EA285">
        <w:rPr>
          <w:rFonts w:cs="Arial"/>
        </w:rPr>
        <w:t>being</w:t>
      </w:r>
      <w:r w:rsidR="00891BF5" w:rsidRPr="7E4EA285">
        <w:rPr>
          <w:rFonts w:cs="Arial"/>
        </w:rPr>
        <w:t xml:space="preserve"> </w:t>
      </w:r>
      <w:r w:rsidR="00F00A8C" w:rsidRPr="7E4EA285">
        <w:rPr>
          <w:rFonts w:cs="Arial"/>
        </w:rPr>
        <w:t xml:space="preserve">deemed </w:t>
      </w:r>
      <w:r w:rsidR="0023763E" w:rsidRPr="7E4EA285">
        <w:rPr>
          <w:rFonts w:cs="Arial"/>
        </w:rPr>
        <w:t xml:space="preserve">unfit to hold a licence, </w:t>
      </w:r>
      <w:r w:rsidR="008173F0" w:rsidRPr="7E4EA285">
        <w:rPr>
          <w:rFonts w:cs="Arial"/>
        </w:rPr>
        <w:t>convict</w:t>
      </w:r>
      <w:r w:rsidR="00F00A8C" w:rsidRPr="7E4EA285">
        <w:rPr>
          <w:rFonts w:cs="Arial"/>
        </w:rPr>
        <w:t>ion</w:t>
      </w:r>
      <w:r w:rsidR="008173F0" w:rsidRPr="7E4EA285">
        <w:rPr>
          <w:rFonts w:cs="Arial"/>
        </w:rPr>
        <w:t xml:space="preserve"> </w:t>
      </w:r>
      <w:r w:rsidR="7334E422" w:rsidRPr="345835F2">
        <w:rPr>
          <w:rFonts w:cs="Arial"/>
        </w:rPr>
        <w:t xml:space="preserve">for </w:t>
      </w:r>
      <w:r w:rsidR="00E82769" w:rsidRPr="7E4EA285">
        <w:rPr>
          <w:rFonts w:cs="Arial"/>
        </w:rPr>
        <w:t>an indictable offence</w:t>
      </w:r>
      <w:r w:rsidR="00FF05FB" w:rsidRPr="7E4EA285">
        <w:rPr>
          <w:rFonts w:cs="Arial"/>
        </w:rPr>
        <w:t xml:space="preserve"> </w:t>
      </w:r>
      <w:r w:rsidR="00090F48" w:rsidRPr="7E4EA285">
        <w:rPr>
          <w:rFonts w:cs="Arial"/>
        </w:rPr>
        <w:t xml:space="preserve">or </w:t>
      </w:r>
      <w:r w:rsidR="00F00A8C" w:rsidRPr="7E4EA285">
        <w:rPr>
          <w:rFonts w:cs="Arial"/>
        </w:rPr>
        <w:t xml:space="preserve">the absence </w:t>
      </w:r>
      <w:r w:rsidR="000B24B1" w:rsidRPr="7E4EA285">
        <w:rPr>
          <w:rFonts w:cs="Arial"/>
        </w:rPr>
        <w:t>of</w:t>
      </w:r>
      <w:r w:rsidR="00090F48" w:rsidRPr="7E4EA285">
        <w:rPr>
          <w:rFonts w:cs="Arial"/>
        </w:rPr>
        <w:t xml:space="preserve"> a nominee supervisor</w:t>
      </w:r>
      <w:r w:rsidR="73219C95" w:rsidRPr="001F6601">
        <w:rPr>
          <w:rFonts w:cs="Arial"/>
        </w:rPr>
        <w:t>.</w:t>
      </w:r>
      <w:r w:rsidR="00515FA7" w:rsidRPr="7E4EA285">
        <w:rPr>
          <w:rFonts w:cs="Arial"/>
        </w:rPr>
        <w:t xml:space="preserve"> </w:t>
      </w:r>
      <w:r w:rsidR="004D0BA5">
        <w:rPr>
          <w:rFonts w:cs="Arial"/>
        </w:rPr>
        <w:fldChar w:fldCharType="begin"/>
      </w:r>
      <w:r w:rsidR="004D0BA5">
        <w:rPr>
          <w:rFonts w:cs="Arial"/>
        </w:rPr>
        <w:instrText xml:space="preserve"> REF _Ref201908207 \h </w:instrText>
      </w:r>
      <w:r w:rsidR="004D0BA5">
        <w:rPr>
          <w:rFonts w:cs="Arial"/>
        </w:rPr>
      </w:r>
      <w:r w:rsidR="004D0BA5">
        <w:rPr>
          <w:rFonts w:cs="Arial"/>
        </w:rPr>
        <w:fldChar w:fldCharType="separate"/>
      </w:r>
      <w:r w:rsidR="00CC44DF">
        <w:t xml:space="preserve">Table </w:t>
      </w:r>
      <w:r w:rsidR="00CC44DF" w:rsidRPr="00A57D9E">
        <w:t>11</w:t>
      </w:r>
      <w:r w:rsidR="004D0BA5">
        <w:rPr>
          <w:rFonts w:cs="Arial"/>
        </w:rPr>
        <w:fldChar w:fldCharType="end"/>
      </w:r>
      <w:r w:rsidR="00FF05FB" w:rsidRPr="7E4EA285">
        <w:rPr>
          <w:rFonts w:cs="Arial"/>
        </w:rPr>
        <w:t xml:space="preserve"> provides </w:t>
      </w:r>
      <w:r w:rsidR="00AF0FEF" w:rsidRPr="7E4EA285">
        <w:rPr>
          <w:rFonts w:cs="Arial"/>
        </w:rPr>
        <w:t>a</w:t>
      </w:r>
      <w:r w:rsidR="002B24E8" w:rsidRPr="7E4EA285">
        <w:rPr>
          <w:rFonts w:cs="Arial"/>
        </w:rPr>
        <w:t xml:space="preserve"> summary </w:t>
      </w:r>
      <w:r w:rsidR="00AF0FEF" w:rsidRPr="7E4EA285">
        <w:rPr>
          <w:rFonts w:cs="Arial"/>
        </w:rPr>
        <w:t xml:space="preserve">of </w:t>
      </w:r>
      <w:r w:rsidR="00FF05FB" w:rsidRPr="7E4EA285">
        <w:rPr>
          <w:rFonts w:cs="Arial"/>
        </w:rPr>
        <w:t xml:space="preserve">the number of </w:t>
      </w:r>
      <w:r w:rsidR="00E81B7D" w:rsidRPr="7E4EA285">
        <w:rPr>
          <w:rFonts w:cs="Arial"/>
        </w:rPr>
        <w:t xml:space="preserve">licences </w:t>
      </w:r>
      <w:r w:rsidR="00AF0FEF" w:rsidRPr="7E4EA285">
        <w:rPr>
          <w:rFonts w:cs="Arial"/>
        </w:rPr>
        <w:t>suspended</w:t>
      </w:r>
      <w:r w:rsidR="00E81B7D" w:rsidRPr="7E4EA285">
        <w:rPr>
          <w:rFonts w:cs="Arial"/>
        </w:rPr>
        <w:t xml:space="preserve"> or</w:t>
      </w:r>
      <w:r w:rsidR="00AF0FEF" w:rsidRPr="7E4EA285">
        <w:rPr>
          <w:rFonts w:cs="Arial"/>
        </w:rPr>
        <w:t xml:space="preserve"> cancelled </w:t>
      </w:r>
      <w:r w:rsidR="00E81B7D" w:rsidRPr="7E4EA285">
        <w:rPr>
          <w:rFonts w:cs="Arial"/>
        </w:rPr>
        <w:t xml:space="preserve">during the </w:t>
      </w:r>
      <w:r w:rsidR="0003702C" w:rsidRPr="7E4EA285">
        <w:rPr>
          <w:rFonts w:cs="Arial"/>
        </w:rPr>
        <w:t>reporting period</w:t>
      </w:r>
      <w:r w:rsidR="001E6607" w:rsidRPr="00D850B1">
        <w:rPr>
          <w:rFonts w:cs="Arial"/>
          <w:color w:val="020A0A" w:themeColor="text1"/>
        </w:rPr>
        <w:t>.</w:t>
      </w:r>
    </w:p>
    <w:p w14:paraId="1FA80441" w14:textId="210202CC" w:rsidR="00FF05FB" w:rsidRPr="004D0BA5" w:rsidRDefault="004D0BA5" w:rsidP="00116DAD">
      <w:pPr>
        <w:pStyle w:val="Caption"/>
        <w:keepNext/>
        <w:spacing w:before="120" w:after="120"/>
      </w:pPr>
      <w:bookmarkStart w:id="85" w:name="_Ref201908207"/>
      <w:bookmarkStart w:id="86" w:name="_Toc202872041"/>
      <w:bookmarkStart w:id="87" w:name="_Toc202872661"/>
      <w:r>
        <w:t xml:space="preserve">Table </w:t>
      </w:r>
      <w:r>
        <w:fldChar w:fldCharType="begin"/>
      </w:r>
      <w:r>
        <w:instrText>SEQ Table \* ARABIC</w:instrText>
      </w:r>
      <w:r>
        <w:fldChar w:fldCharType="separate"/>
      </w:r>
      <w:r w:rsidR="0042456A" w:rsidRPr="00A57D9E">
        <w:t>11</w:t>
      </w:r>
      <w:r>
        <w:fldChar w:fldCharType="end"/>
      </w:r>
      <w:bookmarkEnd w:id="85"/>
      <w:r w:rsidRPr="00A53AD5">
        <w:t xml:space="preserve">: </w:t>
      </w:r>
      <w:bookmarkStart w:id="88" w:name="_Ref202873519"/>
      <w:r w:rsidRPr="00A53AD5">
        <w:t>Number of licence suspensions and cancel</w:t>
      </w:r>
      <w:r w:rsidR="00681761">
        <w:t>l</w:t>
      </w:r>
      <w:r w:rsidRPr="00A53AD5">
        <w:t>ations issued in 2024–25 by reason</w:t>
      </w:r>
      <w:bookmarkEnd w:id="86"/>
      <w:bookmarkEnd w:id="87"/>
      <w:bookmarkEnd w:id="88"/>
      <w:r w:rsidR="00AD42DF">
        <w:t>s</w:t>
      </w:r>
      <w:r w:rsidR="00045913">
        <w:t xml:space="preserve"> </w:t>
      </w:r>
      <w:r w:rsidR="0039610B">
        <w:t>under</w:t>
      </w:r>
      <w:r w:rsidR="00045913">
        <w:t xml:space="preserve"> the QBCC Act</w:t>
      </w:r>
    </w:p>
    <w:tbl>
      <w:tblPr>
        <w:tblStyle w:val="TableGrid"/>
        <w:tblW w:w="5002" w:type="pct"/>
        <w:tblInd w:w="-5" w:type="dxa"/>
        <w:tblLayout w:type="fixed"/>
        <w:tblLook w:val="04A0" w:firstRow="1" w:lastRow="0" w:firstColumn="1" w:lastColumn="0" w:noHBand="0" w:noVBand="1"/>
      </w:tblPr>
      <w:tblGrid>
        <w:gridCol w:w="4536"/>
        <w:gridCol w:w="2020"/>
        <w:gridCol w:w="2020"/>
        <w:gridCol w:w="1878"/>
      </w:tblGrid>
      <w:tr w:rsidR="005A1CE4" w:rsidRPr="00192B29" w14:paraId="1E2E4FC7" w14:textId="77777777" w:rsidTr="00B16678">
        <w:trPr>
          <w:trHeight w:val="300"/>
          <w:tblHeader/>
        </w:trPr>
        <w:tc>
          <w:tcPr>
            <w:tcW w:w="2170" w:type="pct"/>
            <w:vMerge w:val="restart"/>
            <w:shd w:val="clear" w:color="auto" w:fill="A6A6A6" w:themeFill="background1" w:themeFillShade="A6"/>
            <w:vAlign w:val="center"/>
          </w:tcPr>
          <w:p w14:paraId="34EE74A3" w14:textId="5750F932" w:rsidR="00CB2319" w:rsidRPr="00192B29" w:rsidRDefault="00CB2319" w:rsidP="7E4EA285">
            <w:pPr>
              <w:rPr>
                <w:rFonts w:cs="Arial"/>
                <w:b/>
                <w:bCs/>
              </w:rPr>
            </w:pPr>
            <w:r w:rsidRPr="00192B29">
              <w:rPr>
                <w:rFonts w:cs="Arial"/>
                <w:b/>
                <w:bCs/>
              </w:rPr>
              <w:t>Reason</w:t>
            </w:r>
          </w:p>
        </w:tc>
        <w:tc>
          <w:tcPr>
            <w:tcW w:w="1932" w:type="pct"/>
            <w:gridSpan w:val="2"/>
            <w:shd w:val="clear" w:color="auto" w:fill="A6A6A6" w:themeFill="background1" w:themeFillShade="A6"/>
            <w:vAlign w:val="center"/>
          </w:tcPr>
          <w:p w14:paraId="242C6A5A" w14:textId="4C89D50E" w:rsidR="00CB2319" w:rsidRPr="00192B29" w:rsidRDefault="00CB2319" w:rsidP="00116DAD">
            <w:pPr>
              <w:jc w:val="center"/>
              <w:rPr>
                <w:rFonts w:cs="Arial"/>
                <w:b/>
                <w:bCs/>
              </w:rPr>
            </w:pPr>
            <w:r w:rsidRPr="00192B29">
              <w:rPr>
                <w:rFonts w:cs="Arial"/>
                <w:b/>
                <w:bCs/>
              </w:rPr>
              <w:t>Regulatory decision outcome</w:t>
            </w:r>
          </w:p>
        </w:tc>
        <w:tc>
          <w:tcPr>
            <w:tcW w:w="898" w:type="pct"/>
            <w:vMerge w:val="restart"/>
            <w:shd w:val="clear" w:color="auto" w:fill="A6A6A6" w:themeFill="background1" w:themeFillShade="A6"/>
            <w:vAlign w:val="center"/>
          </w:tcPr>
          <w:p w14:paraId="56F8B46B" w14:textId="3C9F85A6" w:rsidR="00CB2319" w:rsidRPr="00192B29" w:rsidRDefault="00CB2319" w:rsidP="00341BFC">
            <w:pPr>
              <w:rPr>
                <w:rFonts w:cs="Arial"/>
                <w:b/>
                <w:bCs/>
              </w:rPr>
            </w:pPr>
            <w:r w:rsidRPr="00192B29">
              <w:rPr>
                <w:rFonts w:cs="Arial"/>
                <w:b/>
                <w:bCs/>
              </w:rPr>
              <w:t>Total</w:t>
            </w:r>
          </w:p>
        </w:tc>
      </w:tr>
      <w:tr w:rsidR="005A1CE4" w:rsidRPr="00192B29" w14:paraId="7567F1EE" w14:textId="2A9204E1" w:rsidTr="00B16678">
        <w:trPr>
          <w:trHeight w:val="300"/>
          <w:tblHeader/>
        </w:trPr>
        <w:tc>
          <w:tcPr>
            <w:tcW w:w="2170" w:type="pct"/>
            <w:vMerge/>
            <w:vAlign w:val="center"/>
          </w:tcPr>
          <w:p w14:paraId="0BB7ECCF" w14:textId="1BC91461" w:rsidR="00CB2319" w:rsidRPr="00192B29" w:rsidRDefault="00CB2319">
            <w:pPr>
              <w:rPr>
                <w:rFonts w:cs="Arial"/>
                <w:b/>
                <w:szCs w:val="22"/>
              </w:rPr>
            </w:pPr>
          </w:p>
        </w:tc>
        <w:tc>
          <w:tcPr>
            <w:tcW w:w="966" w:type="pct"/>
            <w:shd w:val="clear" w:color="auto" w:fill="BFBFBF" w:themeFill="background1" w:themeFillShade="BF"/>
            <w:vAlign w:val="center"/>
          </w:tcPr>
          <w:p w14:paraId="2A0487B5" w14:textId="60BB77F2" w:rsidR="00CB2319" w:rsidRPr="00192B29" w:rsidRDefault="00CB2319" w:rsidP="008B6D14">
            <w:pPr>
              <w:rPr>
                <w:rFonts w:cs="Arial"/>
                <w:b/>
              </w:rPr>
            </w:pPr>
            <w:r w:rsidRPr="00192B29">
              <w:rPr>
                <w:rFonts w:cs="Arial"/>
                <w:b/>
              </w:rPr>
              <w:t>Suspension</w:t>
            </w:r>
          </w:p>
        </w:tc>
        <w:tc>
          <w:tcPr>
            <w:tcW w:w="966" w:type="pct"/>
            <w:shd w:val="clear" w:color="auto" w:fill="BFBFBF" w:themeFill="background1" w:themeFillShade="BF"/>
            <w:vAlign w:val="center"/>
          </w:tcPr>
          <w:p w14:paraId="0AD701AD" w14:textId="335D4434" w:rsidR="00CB2319" w:rsidRPr="00192B29" w:rsidRDefault="00CB2319" w:rsidP="008B6D14">
            <w:pPr>
              <w:rPr>
                <w:rFonts w:cs="Arial"/>
                <w:b/>
              </w:rPr>
            </w:pPr>
            <w:r w:rsidRPr="00192B29">
              <w:rPr>
                <w:rFonts w:cs="Arial"/>
                <w:b/>
              </w:rPr>
              <w:t>Cancellation</w:t>
            </w:r>
          </w:p>
        </w:tc>
        <w:tc>
          <w:tcPr>
            <w:tcW w:w="898" w:type="pct"/>
            <w:vMerge/>
            <w:shd w:val="clear" w:color="auto" w:fill="A6A6A6" w:themeFill="background1" w:themeFillShade="A6"/>
          </w:tcPr>
          <w:p w14:paraId="55BD2B62" w14:textId="608ED082" w:rsidR="00CB2319" w:rsidRPr="00192B29" w:rsidRDefault="00CB2319">
            <w:pPr>
              <w:rPr>
                <w:rFonts w:cs="Arial"/>
                <w:b/>
                <w:szCs w:val="22"/>
              </w:rPr>
            </w:pPr>
          </w:p>
        </w:tc>
      </w:tr>
      <w:tr w:rsidR="00FE6BC1" w:rsidRPr="00192B29" w14:paraId="3C6840F2" w14:textId="77777777" w:rsidTr="00EF0573">
        <w:trPr>
          <w:trHeight w:val="300"/>
        </w:trPr>
        <w:tc>
          <w:tcPr>
            <w:tcW w:w="5000" w:type="pct"/>
            <w:gridSpan w:val="4"/>
            <w:shd w:val="clear" w:color="auto" w:fill="D9D9D9" w:themeFill="background1" w:themeFillShade="D9"/>
          </w:tcPr>
          <w:p w14:paraId="7C2BEE77" w14:textId="437F6B1C" w:rsidR="00EF0573" w:rsidRPr="00BC760C" w:rsidRDefault="00EF0573">
            <w:pPr>
              <w:rPr>
                <w:rFonts w:cs="Arial"/>
                <w:szCs w:val="22"/>
              </w:rPr>
            </w:pPr>
            <w:r>
              <w:rPr>
                <w:rFonts w:cs="Arial"/>
              </w:rPr>
              <w:t>Active regulatory actions</w:t>
            </w:r>
          </w:p>
        </w:tc>
      </w:tr>
      <w:tr w:rsidR="002D72C5" w:rsidRPr="00192B29" w14:paraId="5A13784D" w14:textId="01859D0F" w:rsidTr="009E593B">
        <w:trPr>
          <w:trHeight w:val="300"/>
        </w:trPr>
        <w:tc>
          <w:tcPr>
            <w:tcW w:w="2170" w:type="pct"/>
          </w:tcPr>
          <w:p w14:paraId="2FB93E7C" w14:textId="71A52A85" w:rsidR="00FF05FB" w:rsidRPr="00192B29" w:rsidRDefault="00FF05FB">
            <w:pPr>
              <w:rPr>
                <w:rFonts w:cs="Arial"/>
              </w:rPr>
            </w:pPr>
            <w:r w:rsidRPr="00192B29">
              <w:rPr>
                <w:rFonts w:cs="Arial"/>
              </w:rPr>
              <w:t xml:space="preserve">Breach of </w:t>
            </w:r>
            <w:r w:rsidR="00786908" w:rsidRPr="00192B29">
              <w:rPr>
                <w:rFonts w:cs="Arial"/>
              </w:rPr>
              <w:t>M</w:t>
            </w:r>
            <w:r w:rsidR="006A7C0F">
              <w:rPr>
                <w:rFonts w:cs="Arial"/>
              </w:rPr>
              <w:t>FR</w:t>
            </w:r>
            <w:r w:rsidR="007836BD" w:rsidRPr="00192B29">
              <w:rPr>
                <w:rFonts w:cs="Arial"/>
              </w:rPr>
              <w:t>,</w:t>
            </w:r>
            <w:r w:rsidR="00786908" w:rsidRPr="00192B29">
              <w:rPr>
                <w:rFonts w:cs="Arial"/>
              </w:rPr>
              <w:t xml:space="preserve"> </w:t>
            </w:r>
            <w:r w:rsidRPr="00192B29">
              <w:rPr>
                <w:rFonts w:cs="Arial"/>
              </w:rPr>
              <w:t xml:space="preserve">other than monies </w:t>
            </w:r>
            <w:r w:rsidR="00B721C1" w:rsidRPr="00192B29">
              <w:rPr>
                <w:rFonts w:cs="Arial"/>
              </w:rPr>
              <w:t>owed</w:t>
            </w:r>
          </w:p>
        </w:tc>
        <w:tc>
          <w:tcPr>
            <w:tcW w:w="966" w:type="pct"/>
            <w:vAlign w:val="center"/>
          </w:tcPr>
          <w:p w14:paraId="709EDACF" w14:textId="720060A3" w:rsidR="00FF05FB" w:rsidRPr="00192B29" w:rsidRDefault="005E27F8">
            <w:pPr>
              <w:rPr>
                <w:rFonts w:cs="Arial"/>
                <w:szCs w:val="22"/>
              </w:rPr>
            </w:pPr>
            <w:r w:rsidRPr="00192B29">
              <w:rPr>
                <w:rFonts w:cs="Arial"/>
                <w:szCs w:val="20"/>
              </w:rPr>
              <w:t>29</w:t>
            </w:r>
            <w:r w:rsidR="00FF05FB" w:rsidRPr="00192B29">
              <w:rPr>
                <w:rFonts w:cs="Arial"/>
                <w:szCs w:val="20"/>
              </w:rPr>
              <w:t xml:space="preserve"> </w:t>
            </w:r>
            <w:r w:rsidR="00FF05FB" w:rsidRPr="00192B29">
              <w:rPr>
                <w:rFonts w:cs="Arial"/>
              </w:rPr>
              <w:t xml:space="preserve"> </w:t>
            </w:r>
          </w:p>
        </w:tc>
        <w:tc>
          <w:tcPr>
            <w:tcW w:w="966" w:type="pct"/>
            <w:vAlign w:val="center"/>
          </w:tcPr>
          <w:p w14:paraId="193D2725" w14:textId="083D3B04" w:rsidR="00FF05FB" w:rsidRPr="00192B29" w:rsidRDefault="00FC3037">
            <w:pPr>
              <w:rPr>
                <w:rFonts w:cs="Arial"/>
                <w:szCs w:val="22"/>
              </w:rPr>
            </w:pPr>
            <w:r w:rsidRPr="00192B29">
              <w:rPr>
                <w:rFonts w:cs="Arial"/>
                <w:szCs w:val="20"/>
              </w:rPr>
              <w:t>19</w:t>
            </w:r>
            <w:r w:rsidR="00FF05FB" w:rsidRPr="00192B29">
              <w:rPr>
                <w:rFonts w:cs="Arial"/>
                <w:szCs w:val="22"/>
              </w:rPr>
              <w:t xml:space="preserve"> </w:t>
            </w:r>
          </w:p>
        </w:tc>
        <w:tc>
          <w:tcPr>
            <w:tcW w:w="898" w:type="pct"/>
            <w:vAlign w:val="center"/>
          </w:tcPr>
          <w:p w14:paraId="691E3D95" w14:textId="300DCF7D" w:rsidR="00B721C1" w:rsidRPr="00192B29" w:rsidRDefault="009758BC">
            <w:pPr>
              <w:rPr>
                <w:rFonts w:cs="Arial"/>
                <w:szCs w:val="20"/>
              </w:rPr>
            </w:pPr>
            <w:r w:rsidRPr="00BC760C">
              <w:rPr>
                <w:rFonts w:cs="Arial"/>
                <w:szCs w:val="22"/>
              </w:rPr>
              <w:t>48</w:t>
            </w:r>
          </w:p>
        </w:tc>
      </w:tr>
      <w:tr w:rsidR="002D72C5" w:rsidRPr="00192B29" w14:paraId="2D4CDB67" w14:textId="764366D2" w:rsidTr="009E593B">
        <w:trPr>
          <w:trHeight w:val="300"/>
        </w:trPr>
        <w:tc>
          <w:tcPr>
            <w:tcW w:w="2170" w:type="pct"/>
          </w:tcPr>
          <w:p w14:paraId="37FB1537" w14:textId="77777777" w:rsidR="00FF05FB" w:rsidRPr="00192B29" w:rsidRDefault="00FF05FB">
            <w:pPr>
              <w:rPr>
                <w:rFonts w:cs="Arial"/>
              </w:rPr>
            </w:pPr>
            <w:r w:rsidRPr="00192B29">
              <w:rPr>
                <w:rFonts w:cs="Arial"/>
              </w:rPr>
              <w:t>Failure to comply with a financial audit</w:t>
            </w:r>
          </w:p>
        </w:tc>
        <w:tc>
          <w:tcPr>
            <w:tcW w:w="966" w:type="pct"/>
            <w:vAlign w:val="center"/>
          </w:tcPr>
          <w:p w14:paraId="3669A065" w14:textId="3AF2F490" w:rsidR="00FF05FB" w:rsidRPr="00192B29" w:rsidRDefault="0058414C">
            <w:pPr>
              <w:rPr>
                <w:rFonts w:cs="Arial"/>
                <w:szCs w:val="22"/>
              </w:rPr>
            </w:pPr>
            <w:r w:rsidRPr="00192B29">
              <w:rPr>
                <w:rFonts w:cs="Arial"/>
                <w:szCs w:val="20"/>
              </w:rPr>
              <w:t>60</w:t>
            </w:r>
          </w:p>
        </w:tc>
        <w:tc>
          <w:tcPr>
            <w:tcW w:w="966" w:type="pct"/>
            <w:vAlign w:val="center"/>
          </w:tcPr>
          <w:p w14:paraId="0D3B0C20" w14:textId="0E305BA3" w:rsidR="00FF05FB" w:rsidRPr="00192B29" w:rsidRDefault="00FC1802">
            <w:pPr>
              <w:rPr>
                <w:rFonts w:cs="Arial"/>
                <w:szCs w:val="22"/>
              </w:rPr>
            </w:pPr>
            <w:r w:rsidRPr="00192B29">
              <w:rPr>
                <w:rFonts w:cs="Arial"/>
                <w:szCs w:val="20"/>
              </w:rPr>
              <w:t>32</w:t>
            </w:r>
          </w:p>
        </w:tc>
        <w:tc>
          <w:tcPr>
            <w:tcW w:w="898" w:type="pct"/>
            <w:vAlign w:val="center"/>
          </w:tcPr>
          <w:p w14:paraId="6A7653D3" w14:textId="7038389B" w:rsidR="00EC3288" w:rsidRPr="00BC760C" w:rsidRDefault="009758BC" w:rsidP="7E4EA285">
            <w:pPr>
              <w:rPr>
                <w:rFonts w:cs="Arial"/>
                <w:szCs w:val="22"/>
              </w:rPr>
            </w:pPr>
            <w:r w:rsidRPr="00BC760C">
              <w:rPr>
                <w:rFonts w:cs="Arial"/>
                <w:szCs w:val="22"/>
              </w:rPr>
              <w:t>92</w:t>
            </w:r>
          </w:p>
        </w:tc>
      </w:tr>
      <w:tr w:rsidR="002D72C5" w:rsidRPr="00192B29" w14:paraId="0300E246" w14:textId="054A4A17" w:rsidTr="009E593B">
        <w:trPr>
          <w:trHeight w:val="300"/>
        </w:trPr>
        <w:tc>
          <w:tcPr>
            <w:tcW w:w="2170" w:type="pct"/>
          </w:tcPr>
          <w:p w14:paraId="7889C599" w14:textId="7B18DFCA" w:rsidR="00FF05FB" w:rsidRPr="00192B29" w:rsidRDefault="00FF05FB">
            <w:pPr>
              <w:rPr>
                <w:rFonts w:cs="Arial"/>
              </w:rPr>
            </w:pPr>
            <w:r w:rsidRPr="00192B29">
              <w:rPr>
                <w:rFonts w:cs="Arial"/>
              </w:rPr>
              <w:t>Failure to pay debts</w:t>
            </w:r>
            <w:r w:rsidR="007836BD" w:rsidRPr="00192B29">
              <w:rPr>
                <w:rFonts w:cs="Arial"/>
              </w:rPr>
              <w:t>,</w:t>
            </w:r>
            <w:r w:rsidR="00B721C1" w:rsidRPr="00192B29">
              <w:rPr>
                <w:rFonts w:cs="Arial"/>
              </w:rPr>
              <w:t xml:space="preserve"> </w:t>
            </w:r>
            <w:r w:rsidR="007836BD" w:rsidRPr="00192B29">
              <w:rPr>
                <w:rFonts w:cs="Arial"/>
              </w:rPr>
              <w:t xml:space="preserve">including </w:t>
            </w:r>
            <w:r w:rsidRPr="00192B29">
              <w:rPr>
                <w:rFonts w:cs="Arial"/>
              </w:rPr>
              <w:t xml:space="preserve">monies </w:t>
            </w:r>
            <w:r w:rsidR="00B721C1" w:rsidRPr="00192B29">
              <w:rPr>
                <w:rFonts w:cs="Arial"/>
              </w:rPr>
              <w:t>owed</w:t>
            </w:r>
          </w:p>
        </w:tc>
        <w:tc>
          <w:tcPr>
            <w:tcW w:w="966" w:type="pct"/>
            <w:vAlign w:val="center"/>
          </w:tcPr>
          <w:p w14:paraId="586E6DD9" w14:textId="0A8981F1" w:rsidR="00FF05FB" w:rsidRPr="00192B29" w:rsidRDefault="0058414C">
            <w:pPr>
              <w:rPr>
                <w:rFonts w:cs="Arial"/>
                <w:szCs w:val="20"/>
              </w:rPr>
            </w:pPr>
            <w:r w:rsidRPr="00192B29">
              <w:rPr>
                <w:rFonts w:cs="Arial"/>
                <w:szCs w:val="20"/>
              </w:rPr>
              <w:t>62</w:t>
            </w:r>
          </w:p>
        </w:tc>
        <w:tc>
          <w:tcPr>
            <w:tcW w:w="966" w:type="pct"/>
            <w:vAlign w:val="center"/>
          </w:tcPr>
          <w:p w14:paraId="1F7913FF" w14:textId="624722F6" w:rsidR="00FF05FB" w:rsidRPr="00192B29" w:rsidRDefault="00E65632">
            <w:pPr>
              <w:rPr>
                <w:rFonts w:cs="Arial"/>
                <w:szCs w:val="20"/>
              </w:rPr>
            </w:pPr>
            <w:r w:rsidRPr="00192B29">
              <w:rPr>
                <w:rFonts w:cs="Arial"/>
                <w:szCs w:val="20"/>
              </w:rPr>
              <w:t>24</w:t>
            </w:r>
            <w:r w:rsidR="00FF05FB" w:rsidRPr="00192B29">
              <w:rPr>
                <w:rFonts w:cs="Arial"/>
              </w:rPr>
              <w:t xml:space="preserve"> </w:t>
            </w:r>
          </w:p>
        </w:tc>
        <w:tc>
          <w:tcPr>
            <w:tcW w:w="898" w:type="pct"/>
            <w:vAlign w:val="center"/>
          </w:tcPr>
          <w:p w14:paraId="121C9561" w14:textId="5E152429" w:rsidR="00EC3288" w:rsidRPr="00BC760C" w:rsidRDefault="009758BC" w:rsidP="7E4EA285">
            <w:pPr>
              <w:rPr>
                <w:rFonts w:cs="Arial"/>
                <w:szCs w:val="22"/>
              </w:rPr>
            </w:pPr>
            <w:r w:rsidRPr="00BC760C">
              <w:rPr>
                <w:rFonts w:cs="Arial"/>
                <w:szCs w:val="22"/>
              </w:rPr>
              <w:t>86</w:t>
            </w:r>
          </w:p>
        </w:tc>
      </w:tr>
      <w:tr w:rsidR="002D72C5" w:rsidRPr="00192B29" w14:paraId="4394D22C" w14:textId="3DA1099C" w:rsidTr="009E593B">
        <w:trPr>
          <w:trHeight w:val="300"/>
        </w:trPr>
        <w:tc>
          <w:tcPr>
            <w:tcW w:w="2170" w:type="pct"/>
          </w:tcPr>
          <w:p w14:paraId="53F55997" w14:textId="77777777" w:rsidR="00FF05FB" w:rsidRPr="00192B29" w:rsidRDefault="00FF05FB">
            <w:pPr>
              <w:rPr>
                <w:rFonts w:cs="Arial"/>
                <w:szCs w:val="22"/>
              </w:rPr>
            </w:pPr>
            <w:r w:rsidRPr="00192B29">
              <w:rPr>
                <w:rFonts w:cs="Arial"/>
                <w:szCs w:val="22"/>
              </w:rPr>
              <w:t xml:space="preserve">Breach of a licence condition </w:t>
            </w:r>
          </w:p>
        </w:tc>
        <w:tc>
          <w:tcPr>
            <w:tcW w:w="966" w:type="pct"/>
            <w:vAlign w:val="center"/>
          </w:tcPr>
          <w:p w14:paraId="067ADE9D" w14:textId="2F8E4611" w:rsidR="00FF05FB" w:rsidRPr="00192B29" w:rsidRDefault="008F4F17">
            <w:pPr>
              <w:rPr>
                <w:rFonts w:cs="Arial"/>
              </w:rPr>
            </w:pPr>
            <w:r w:rsidRPr="00192B29">
              <w:rPr>
                <w:rFonts w:cs="Arial"/>
                <w:szCs w:val="20"/>
              </w:rPr>
              <w:t>5</w:t>
            </w:r>
            <w:r w:rsidR="00FF05FB" w:rsidRPr="00192B29">
              <w:rPr>
                <w:rFonts w:cs="Arial"/>
                <w:szCs w:val="20"/>
              </w:rPr>
              <w:t xml:space="preserve"> </w:t>
            </w:r>
            <w:r w:rsidR="00FF05FB" w:rsidRPr="00192B29">
              <w:rPr>
                <w:rFonts w:cs="Arial"/>
              </w:rPr>
              <w:t xml:space="preserve"> </w:t>
            </w:r>
          </w:p>
        </w:tc>
        <w:tc>
          <w:tcPr>
            <w:tcW w:w="966" w:type="pct"/>
            <w:vAlign w:val="center"/>
          </w:tcPr>
          <w:p w14:paraId="32BACE9B" w14:textId="6AD7FDCE" w:rsidR="00FF05FB" w:rsidRPr="00192B29" w:rsidRDefault="002E3EC2">
            <w:pPr>
              <w:rPr>
                <w:rFonts w:cs="Arial"/>
              </w:rPr>
            </w:pPr>
            <w:r w:rsidRPr="00192B29">
              <w:rPr>
                <w:rFonts w:cs="Arial"/>
                <w:szCs w:val="20"/>
              </w:rPr>
              <w:t>8</w:t>
            </w:r>
            <w:r w:rsidR="00FF05FB" w:rsidRPr="00192B29">
              <w:rPr>
                <w:rFonts w:cs="Arial"/>
                <w:szCs w:val="20"/>
              </w:rPr>
              <w:t xml:space="preserve"> </w:t>
            </w:r>
          </w:p>
        </w:tc>
        <w:tc>
          <w:tcPr>
            <w:tcW w:w="898" w:type="pct"/>
            <w:vAlign w:val="center"/>
          </w:tcPr>
          <w:p w14:paraId="25E0D725" w14:textId="7B30AF4F" w:rsidR="00EC3288" w:rsidRPr="00BC760C" w:rsidRDefault="007529F8" w:rsidP="7E4EA285">
            <w:pPr>
              <w:rPr>
                <w:rFonts w:cs="Arial"/>
                <w:szCs w:val="22"/>
              </w:rPr>
            </w:pPr>
            <w:r w:rsidRPr="00BC760C">
              <w:rPr>
                <w:rFonts w:cs="Arial"/>
                <w:szCs w:val="22"/>
              </w:rPr>
              <w:t>13</w:t>
            </w:r>
          </w:p>
        </w:tc>
      </w:tr>
      <w:tr w:rsidR="002D72C5" w:rsidRPr="00192B29" w14:paraId="55CF8BA4" w14:textId="7C14C8FD" w:rsidTr="009E593B">
        <w:trPr>
          <w:trHeight w:val="300"/>
        </w:trPr>
        <w:tc>
          <w:tcPr>
            <w:tcW w:w="2170" w:type="pct"/>
          </w:tcPr>
          <w:p w14:paraId="3F4FAEDC" w14:textId="06DE02B1" w:rsidR="00FF05FB" w:rsidRPr="00192B29" w:rsidRDefault="00A90C81">
            <w:pPr>
              <w:rPr>
                <w:rFonts w:cs="Arial"/>
              </w:rPr>
            </w:pPr>
            <w:r w:rsidRPr="00192B29">
              <w:rPr>
                <w:rFonts w:cs="Arial"/>
              </w:rPr>
              <w:t>Un</w:t>
            </w:r>
            <w:r w:rsidR="00B721C1" w:rsidRPr="00192B29">
              <w:rPr>
                <w:rFonts w:cs="Arial"/>
              </w:rPr>
              <w:t>fit</w:t>
            </w:r>
            <w:r w:rsidR="00FF05FB" w:rsidRPr="00192B29">
              <w:rPr>
                <w:rFonts w:cs="Arial"/>
              </w:rPr>
              <w:t xml:space="preserve"> to hold a licence</w:t>
            </w:r>
            <w:r w:rsidR="00C6112F" w:rsidRPr="00192B29">
              <w:rPr>
                <w:rFonts w:cs="Arial"/>
              </w:rPr>
              <w:t xml:space="preserve">, </w:t>
            </w:r>
            <w:r w:rsidR="00FF05FB" w:rsidRPr="00192B29">
              <w:rPr>
                <w:rFonts w:cs="Arial"/>
              </w:rPr>
              <w:t xml:space="preserve">including interstate or New Zealand licence </w:t>
            </w:r>
            <w:r w:rsidR="00B721C1" w:rsidRPr="00192B29">
              <w:rPr>
                <w:rFonts w:cs="Arial"/>
              </w:rPr>
              <w:t>cance</w:t>
            </w:r>
            <w:r w:rsidR="00C01A1A">
              <w:rPr>
                <w:rFonts w:cs="Arial"/>
              </w:rPr>
              <w:t>l</w:t>
            </w:r>
            <w:r w:rsidR="00B721C1" w:rsidRPr="00192B29">
              <w:rPr>
                <w:rFonts w:cs="Arial"/>
              </w:rPr>
              <w:t>l</w:t>
            </w:r>
            <w:r w:rsidR="00895176" w:rsidRPr="00192B29">
              <w:rPr>
                <w:rFonts w:cs="Arial"/>
              </w:rPr>
              <w:t>ation</w:t>
            </w:r>
            <w:r w:rsidR="00FF05FB" w:rsidRPr="00192B29">
              <w:rPr>
                <w:rFonts w:cs="Arial"/>
              </w:rPr>
              <w:t xml:space="preserve"> or </w:t>
            </w:r>
            <w:r w:rsidR="00B721C1" w:rsidRPr="00192B29">
              <w:rPr>
                <w:rFonts w:cs="Arial"/>
              </w:rPr>
              <w:t>suspen</w:t>
            </w:r>
            <w:r w:rsidR="00895176" w:rsidRPr="00192B29">
              <w:rPr>
                <w:rFonts w:cs="Arial"/>
              </w:rPr>
              <w:t>sion</w:t>
            </w:r>
          </w:p>
        </w:tc>
        <w:tc>
          <w:tcPr>
            <w:tcW w:w="966" w:type="pct"/>
            <w:vAlign w:val="center"/>
          </w:tcPr>
          <w:p w14:paraId="6EF415B2" w14:textId="3020BF30" w:rsidR="00FF05FB" w:rsidRPr="00192B29" w:rsidRDefault="008F4F17">
            <w:pPr>
              <w:rPr>
                <w:rFonts w:cs="Arial"/>
              </w:rPr>
            </w:pPr>
            <w:r w:rsidRPr="00192B29">
              <w:rPr>
                <w:rFonts w:cs="Arial"/>
                <w:szCs w:val="20"/>
              </w:rPr>
              <w:t>0</w:t>
            </w:r>
            <w:r w:rsidR="00FF05FB" w:rsidRPr="00192B29">
              <w:rPr>
                <w:rFonts w:cs="Arial"/>
                <w:szCs w:val="20"/>
              </w:rPr>
              <w:t xml:space="preserve"> </w:t>
            </w:r>
            <w:r w:rsidR="00FF05FB" w:rsidRPr="00192B29">
              <w:rPr>
                <w:rFonts w:cs="Arial"/>
              </w:rPr>
              <w:t xml:space="preserve"> </w:t>
            </w:r>
          </w:p>
        </w:tc>
        <w:tc>
          <w:tcPr>
            <w:tcW w:w="966" w:type="pct"/>
            <w:vAlign w:val="center"/>
          </w:tcPr>
          <w:p w14:paraId="24F13D76" w14:textId="30621661" w:rsidR="00FF05FB" w:rsidRPr="00192B29" w:rsidRDefault="00997BE3">
            <w:pPr>
              <w:rPr>
                <w:rFonts w:cs="Arial"/>
              </w:rPr>
            </w:pPr>
            <w:r w:rsidRPr="00192B29">
              <w:rPr>
                <w:rFonts w:cs="Arial"/>
                <w:szCs w:val="20"/>
              </w:rPr>
              <w:t>4</w:t>
            </w:r>
            <w:r w:rsidR="00FF05FB" w:rsidRPr="00192B29">
              <w:rPr>
                <w:rFonts w:cs="Arial"/>
                <w:szCs w:val="20"/>
              </w:rPr>
              <w:t xml:space="preserve"> </w:t>
            </w:r>
          </w:p>
        </w:tc>
        <w:tc>
          <w:tcPr>
            <w:tcW w:w="898" w:type="pct"/>
            <w:vAlign w:val="center"/>
          </w:tcPr>
          <w:p w14:paraId="22CC1A22" w14:textId="3E015949" w:rsidR="00EC3288" w:rsidRPr="00BC760C" w:rsidRDefault="007529F8" w:rsidP="7E4EA285">
            <w:pPr>
              <w:rPr>
                <w:rFonts w:cs="Arial"/>
                <w:szCs w:val="22"/>
              </w:rPr>
            </w:pPr>
            <w:r w:rsidRPr="00BC760C">
              <w:rPr>
                <w:rFonts w:cs="Arial"/>
                <w:szCs w:val="22"/>
              </w:rPr>
              <w:t>4</w:t>
            </w:r>
          </w:p>
        </w:tc>
      </w:tr>
      <w:tr w:rsidR="002D72C5" w:rsidRPr="00192B29" w14:paraId="2158D705" w14:textId="530A9436" w:rsidTr="009E593B">
        <w:trPr>
          <w:trHeight w:val="300"/>
        </w:trPr>
        <w:tc>
          <w:tcPr>
            <w:tcW w:w="2170" w:type="pct"/>
          </w:tcPr>
          <w:p w14:paraId="162D0020" w14:textId="7A14CA7E" w:rsidR="00FF05FB" w:rsidRPr="00192B29" w:rsidRDefault="00895176">
            <w:pPr>
              <w:rPr>
                <w:rFonts w:cs="Arial"/>
              </w:rPr>
            </w:pPr>
            <w:r w:rsidRPr="00192B29">
              <w:rPr>
                <w:rFonts w:cs="Arial"/>
              </w:rPr>
              <w:t>C</w:t>
            </w:r>
            <w:r w:rsidR="00B721C1" w:rsidRPr="00192B29">
              <w:rPr>
                <w:rFonts w:cs="Arial"/>
              </w:rPr>
              <w:t>onvicted</w:t>
            </w:r>
            <w:r w:rsidR="00FF05FB" w:rsidRPr="00192B29">
              <w:rPr>
                <w:rFonts w:cs="Arial"/>
              </w:rPr>
              <w:t xml:space="preserve"> of an indictable offence</w:t>
            </w:r>
          </w:p>
        </w:tc>
        <w:tc>
          <w:tcPr>
            <w:tcW w:w="966" w:type="pct"/>
            <w:vAlign w:val="center"/>
          </w:tcPr>
          <w:p w14:paraId="576A9487" w14:textId="28AC1DA7" w:rsidR="00FF05FB" w:rsidRPr="00192B29" w:rsidRDefault="008F4F17">
            <w:pPr>
              <w:rPr>
                <w:rFonts w:cs="Arial"/>
              </w:rPr>
            </w:pPr>
            <w:r w:rsidRPr="00192B29">
              <w:rPr>
                <w:rFonts w:cs="Arial"/>
                <w:szCs w:val="20"/>
              </w:rPr>
              <w:t>0</w:t>
            </w:r>
            <w:r w:rsidR="00FF05FB" w:rsidRPr="00192B29">
              <w:rPr>
                <w:rFonts w:cs="Arial"/>
                <w:szCs w:val="20"/>
              </w:rPr>
              <w:t xml:space="preserve"> </w:t>
            </w:r>
            <w:r w:rsidR="00FF05FB" w:rsidRPr="00192B29">
              <w:rPr>
                <w:rFonts w:cs="Arial"/>
              </w:rPr>
              <w:t xml:space="preserve"> </w:t>
            </w:r>
          </w:p>
        </w:tc>
        <w:tc>
          <w:tcPr>
            <w:tcW w:w="966" w:type="pct"/>
            <w:vAlign w:val="center"/>
          </w:tcPr>
          <w:p w14:paraId="2ED0F522" w14:textId="1245F3E4" w:rsidR="00FF05FB" w:rsidRPr="00192B29" w:rsidRDefault="00C13C69">
            <w:pPr>
              <w:rPr>
                <w:rFonts w:cs="Arial"/>
              </w:rPr>
            </w:pPr>
            <w:r w:rsidRPr="00192B29">
              <w:rPr>
                <w:rFonts w:cs="Arial"/>
                <w:szCs w:val="20"/>
              </w:rPr>
              <w:t>1</w:t>
            </w:r>
            <w:r w:rsidR="00FF05FB" w:rsidRPr="00192B29">
              <w:rPr>
                <w:rFonts w:cs="Arial"/>
                <w:szCs w:val="20"/>
              </w:rPr>
              <w:t xml:space="preserve"> </w:t>
            </w:r>
            <w:r w:rsidR="00FF05FB" w:rsidRPr="00192B29">
              <w:rPr>
                <w:rFonts w:cs="Arial"/>
              </w:rPr>
              <w:t xml:space="preserve"> </w:t>
            </w:r>
          </w:p>
        </w:tc>
        <w:tc>
          <w:tcPr>
            <w:tcW w:w="898" w:type="pct"/>
            <w:vAlign w:val="center"/>
          </w:tcPr>
          <w:p w14:paraId="43FABC9D" w14:textId="20AA3F9B" w:rsidR="00EC3288" w:rsidRPr="00BC760C" w:rsidRDefault="007529F8" w:rsidP="7E4EA285">
            <w:pPr>
              <w:rPr>
                <w:rFonts w:cs="Arial"/>
                <w:szCs w:val="22"/>
              </w:rPr>
            </w:pPr>
            <w:r w:rsidRPr="00BC760C">
              <w:rPr>
                <w:rFonts w:cs="Arial"/>
                <w:szCs w:val="22"/>
              </w:rPr>
              <w:t>1</w:t>
            </w:r>
          </w:p>
        </w:tc>
      </w:tr>
      <w:tr w:rsidR="002D72C5" w:rsidRPr="00192B29" w14:paraId="7E2F3DF5" w14:textId="06A626ED" w:rsidTr="009E593B">
        <w:trPr>
          <w:trHeight w:val="300"/>
        </w:trPr>
        <w:tc>
          <w:tcPr>
            <w:tcW w:w="2170" w:type="pct"/>
          </w:tcPr>
          <w:p w14:paraId="683DA119" w14:textId="19697CA6" w:rsidR="00FF05FB" w:rsidRPr="00192B29" w:rsidRDefault="00273B67">
            <w:pPr>
              <w:rPr>
                <w:rFonts w:cs="Arial"/>
              </w:rPr>
            </w:pPr>
            <w:r w:rsidRPr="00192B29">
              <w:rPr>
                <w:rFonts w:cs="Arial"/>
              </w:rPr>
              <w:t>O</w:t>
            </w:r>
            <w:r w:rsidR="00B721C1" w:rsidRPr="00192B29">
              <w:rPr>
                <w:rFonts w:cs="Arial"/>
              </w:rPr>
              <w:t>wed</w:t>
            </w:r>
            <w:r w:rsidR="00FF05FB" w:rsidRPr="00192B29">
              <w:rPr>
                <w:rFonts w:cs="Arial"/>
              </w:rPr>
              <w:t xml:space="preserve"> an amount to the QBCC and failed to comply with a demand to discharge the debt</w:t>
            </w:r>
          </w:p>
        </w:tc>
        <w:tc>
          <w:tcPr>
            <w:tcW w:w="966" w:type="pct"/>
            <w:vAlign w:val="center"/>
          </w:tcPr>
          <w:p w14:paraId="1F5A2476" w14:textId="77866FE4" w:rsidR="00FF05FB" w:rsidRPr="00192B29" w:rsidRDefault="00A277EA">
            <w:pPr>
              <w:rPr>
                <w:rFonts w:cs="Arial"/>
              </w:rPr>
            </w:pPr>
            <w:r w:rsidRPr="00192B29">
              <w:rPr>
                <w:rFonts w:cs="Arial"/>
                <w:szCs w:val="20"/>
              </w:rPr>
              <w:t>2</w:t>
            </w:r>
            <w:r w:rsidR="00FF05FB" w:rsidRPr="00192B29">
              <w:rPr>
                <w:rFonts w:cs="Arial"/>
                <w:szCs w:val="20"/>
              </w:rPr>
              <w:t xml:space="preserve"> </w:t>
            </w:r>
            <w:r w:rsidR="00FF05FB" w:rsidRPr="00192B29">
              <w:rPr>
                <w:rFonts w:cs="Arial"/>
              </w:rPr>
              <w:t xml:space="preserve"> </w:t>
            </w:r>
          </w:p>
        </w:tc>
        <w:tc>
          <w:tcPr>
            <w:tcW w:w="966" w:type="pct"/>
            <w:vAlign w:val="center"/>
          </w:tcPr>
          <w:p w14:paraId="60357751" w14:textId="484C6747" w:rsidR="00FF05FB" w:rsidRPr="00192B29" w:rsidRDefault="00C13C69">
            <w:pPr>
              <w:rPr>
                <w:rFonts w:cs="Arial"/>
              </w:rPr>
            </w:pPr>
            <w:r w:rsidRPr="00192B29">
              <w:rPr>
                <w:rFonts w:cs="Arial"/>
                <w:szCs w:val="20"/>
              </w:rPr>
              <w:t>1</w:t>
            </w:r>
            <w:r w:rsidR="00FF05FB" w:rsidRPr="00192B29">
              <w:rPr>
                <w:rFonts w:cs="Arial"/>
                <w:szCs w:val="20"/>
              </w:rPr>
              <w:t xml:space="preserve"> </w:t>
            </w:r>
            <w:r w:rsidR="00FF05FB" w:rsidRPr="00192B29">
              <w:rPr>
                <w:rFonts w:cs="Arial"/>
              </w:rPr>
              <w:t xml:space="preserve"> </w:t>
            </w:r>
          </w:p>
        </w:tc>
        <w:tc>
          <w:tcPr>
            <w:tcW w:w="898" w:type="pct"/>
            <w:vAlign w:val="center"/>
          </w:tcPr>
          <w:p w14:paraId="6C736A8E" w14:textId="3622F0BA" w:rsidR="00EC3288" w:rsidRPr="00BC760C" w:rsidRDefault="007529F8" w:rsidP="7E4EA285">
            <w:pPr>
              <w:rPr>
                <w:rFonts w:cs="Arial"/>
                <w:szCs w:val="22"/>
              </w:rPr>
            </w:pPr>
            <w:r w:rsidRPr="00BC760C">
              <w:rPr>
                <w:rFonts w:cs="Arial"/>
                <w:szCs w:val="22"/>
              </w:rPr>
              <w:t>3</w:t>
            </w:r>
          </w:p>
        </w:tc>
      </w:tr>
      <w:tr w:rsidR="004D3A3E" w:rsidRPr="00192B29" w14:paraId="03543DEA" w14:textId="00175D28" w:rsidTr="009E593B">
        <w:trPr>
          <w:trHeight w:val="300"/>
        </w:trPr>
        <w:tc>
          <w:tcPr>
            <w:tcW w:w="2170" w:type="pct"/>
            <w:tcBorders>
              <w:bottom w:val="single" w:sz="4" w:space="0" w:color="auto"/>
            </w:tcBorders>
          </w:tcPr>
          <w:p w14:paraId="7568D08B" w14:textId="568C975C" w:rsidR="00FF05FB" w:rsidRPr="00192B29" w:rsidRDefault="00273B67">
            <w:pPr>
              <w:rPr>
                <w:rFonts w:cs="Arial"/>
              </w:rPr>
            </w:pPr>
            <w:r w:rsidRPr="00192B29">
              <w:rPr>
                <w:rFonts w:cs="Arial"/>
              </w:rPr>
              <w:t>C</w:t>
            </w:r>
            <w:r w:rsidR="00B721C1" w:rsidRPr="00192B29">
              <w:rPr>
                <w:rFonts w:cs="Arial"/>
              </w:rPr>
              <w:t>ompany</w:t>
            </w:r>
            <w:r w:rsidR="00FF05FB" w:rsidRPr="00192B29">
              <w:rPr>
                <w:rFonts w:cs="Arial"/>
              </w:rPr>
              <w:t xml:space="preserve"> cease</w:t>
            </w:r>
            <w:r w:rsidR="001F0891">
              <w:rPr>
                <w:rFonts w:cs="Arial"/>
              </w:rPr>
              <w:t>d</w:t>
            </w:r>
            <w:r w:rsidR="00FF05FB" w:rsidRPr="00192B29">
              <w:rPr>
                <w:rFonts w:cs="Arial"/>
              </w:rPr>
              <w:t xml:space="preserve"> to have a nominee</w:t>
            </w:r>
            <w:r w:rsidRPr="00192B29">
              <w:rPr>
                <w:rFonts w:cs="Arial"/>
              </w:rPr>
              <w:t xml:space="preserve"> supervisor</w:t>
            </w:r>
          </w:p>
        </w:tc>
        <w:tc>
          <w:tcPr>
            <w:tcW w:w="966" w:type="pct"/>
            <w:tcBorders>
              <w:bottom w:val="single" w:sz="4" w:space="0" w:color="auto"/>
            </w:tcBorders>
            <w:vAlign w:val="center"/>
          </w:tcPr>
          <w:p w14:paraId="51155E1B" w14:textId="3F8B24AE" w:rsidR="00FF05FB" w:rsidRPr="00192B29" w:rsidRDefault="00A277EA">
            <w:pPr>
              <w:rPr>
                <w:rFonts w:cs="Arial"/>
              </w:rPr>
            </w:pPr>
            <w:r w:rsidRPr="00192B29">
              <w:rPr>
                <w:rFonts w:cs="Arial"/>
                <w:szCs w:val="20"/>
              </w:rPr>
              <w:t>172</w:t>
            </w:r>
            <w:r w:rsidR="00FF05FB" w:rsidRPr="00192B29">
              <w:rPr>
                <w:rFonts w:cs="Arial"/>
                <w:szCs w:val="20"/>
              </w:rPr>
              <w:t xml:space="preserve"> </w:t>
            </w:r>
          </w:p>
        </w:tc>
        <w:tc>
          <w:tcPr>
            <w:tcW w:w="966" w:type="pct"/>
            <w:tcBorders>
              <w:bottom w:val="single" w:sz="4" w:space="0" w:color="auto"/>
            </w:tcBorders>
            <w:vAlign w:val="center"/>
          </w:tcPr>
          <w:p w14:paraId="3BC80428" w14:textId="7D8F1F46" w:rsidR="00FF05FB" w:rsidRPr="00192B29" w:rsidRDefault="00C13C69">
            <w:pPr>
              <w:rPr>
                <w:rFonts w:cs="Arial"/>
              </w:rPr>
            </w:pPr>
            <w:r w:rsidRPr="00192B29">
              <w:rPr>
                <w:rFonts w:cs="Arial"/>
                <w:szCs w:val="20"/>
              </w:rPr>
              <w:t>73</w:t>
            </w:r>
            <w:r w:rsidR="00FF05FB" w:rsidRPr="00192B29">
              <w:rPr>
                <w:rFonts w:cs="Arial"/>
              </w:rPr>
              <w:t xml:space="preserve"> </w:t>
            </w:r>
          </w:p>
        </w:tc>
        <w:tc>
          <w:tcPr>
            <w:tcW w:w="898" w:type="pct"/>
            <w:tcBorders>
              <w:bottom w:val="single" w:sz="4" w:space="0" w:color="auto"/>
            </w:tcBorders>
            <w:vAlign w:val="center"/>
          </w:tcPr>
          <w:p w14:paraId="3BB3C178" w14:textId="76AFB4F1" w:rsidR="00EC3288" w:rsidRPr="00BC760C" w:rsidRDefault="007529F8" w:rsidP="7E4EA285">
            <w:pPr>
              <w:rPr>
                <w:rFonts w:cs="Arial"/>
                <w:szCs w:val="22"/>
              </w:rPr>
            </w:pPr>
            <w:r w:rsidRPr="00BC760C">
              <w:rPr>
                <w:rFonts w:cs="Arial"/>
                <w:szCs w:val="22"/>
              </w:rPr>
              <w:t>245</w:t>
            </w:r>
          </w:p>
        </w:tc>
      </w:tr>
      <w:tr w:rsidR="004D3A3E" w:rsidRPr="00192B29" w14:paraId="20894AEB" w14:textId="77777777" w:rsidTr="009E593B">
        <w:trPr>
          <w:trHeight w:val="300"/>
        </w:trPr>
        <w:tc>
          <w:tcPr>
            <w:tcW w:w="2170" w:type="pct"/>
            <w:tcBorders>
              <w:bottom w:val="single" w:sz="4" w:space="0" w:color="auto"/>
            </w:tcBorders>
          </w:tcPr>
          <w:p w14:paraId="256F4FC8" w14:textId="361A26BA" w:rsidR="002D35C5" w:rsidRPr="00192B29" w:rsidRDefault="009C1397">
            <w:pPr>
              <w:rPr>
                <w:rFonts w:cs="Arial"/>
              </w:rPr>
            </w:pPr>
            <w:r w:rsidRPr="00192B29">
              <w:rPr>
                <w:rFonts w:cs="Arial"/>
              </w:rPr>
              <w:t xml:space="preserve">Renewal </w:t>
            </w:r>
            <w:r w:rsidR="00EE0CE7">
              <w:rPr>
                <w:rFonts w:cs="Arial"/>
              </w:rPr>
              <w:t>r</w:t>
            </w:r>
            <w:r w:rsidRPr="00192B29">
              <w:rPr>
                <w:rFonts w:cs="Arial"/>
              </w:rPr>
              <w:t>efused</w:t>
            </w:r>
            <w:r w:rsidR="001F0891">
              <w:rPr>
                <w:rFonts w:cs="Arial"/>
              </w:rPr>
              <w:t>—</w:t>
            </w:r>
            <w:r w:rsidR="00EE0CE7">
              <w:rPr>
                <w:rFonts w:cs="Arial"/>
              </w:rPr>
              <w:t>n</w:t>
            </w:r>
            <w:r w:rsidRPr="00192B29">
              <w:rPr>
                <w:rFonts w:cs="Arial"/>
              </w:rPr>
              <w:t xml:space="preserve">ot </w:t>
            </w:r>
            <w:r w:rsidR="00EE0CE7">
              <w:rPr>
                <w:rFonts w:cs="Arial"/>
              </w:rPr>
              <w:t>e</w:t>
            </w:r>
            <w:r w:rsidRPr="00192B29">
              <w:rPr>
                <w:rFonts w:cs="Arial"/>
              </w:rPr>
              <w:t xml:space="preserve">ntitled to a </w:t>
            </w:r>
            <w:r w:rsidR="00EE0CE7">
              <w:rPr>
                <w:rFonts w:cs="Arial"/>
              </w:rPr>
              <w:t>l</w:t>
            </w:r>
            <w:r w:rsidRPr="00192B29">
              <w:rPr>
                <w:rFonts w:cs="Arial"/>
              </w:rPr>
              <w:t>icence</w:t>
            </w:r>
          </w:p>
        </w:tc>
        <w:tc>
          <w:tcPr>
            <w:tcW w:w="966" w:type="pct"/>
            <w:tcBorders>
              <w:bottom w:val="single" w:sz="4" w:space="0" w:color="auto"/>
            </w:tcBorders>
            <w:vAlign w:val="center"/>
          </w:tcPr>
          <w:p w14:paraId="3A54607B" w14:textId="5180210E" w:rsidR="002D35C5" w:rsidRPr="00192B29" w:rsidRDefault="00084672">
            <w:pPr>
              <w:rPr>
                <w:rFonts w:cs="Arial"/>
                <w:szCs w:val="20"/>
              </w:rPr>
            </w:pPr>
            <w:r w:rsidRPr="00192B29">
              <w:rPr>
                <w:rFonts w:cs="Arial"/>
                <w:szCs w:val="20"/>
              </w:rPr>
              <w:t>0</w:t>
            </w:r>
          </w:p>
        </w:tc>
        <w:tc>
          <w:tcPr>
            <w:tcW w:w="966" w:type="pct"/>
            <w:tcBorders>
              <w:bottom w:val="single" w:sz="4" w:space="0" w:color="auto"/>
            </w:tcBorders>
            <w:vAlign w:val="center"/>
          </w:tcPr>
          <w:p w14:paraId="52062AB2" w14:textId="6D9C2E46" w:rsidR="002D35C5" w:rsidRPr="00192B29" w:rsidRDefault="00084672">
            <w:pPr>
              <w:rPr>
                <w:rFonts w:cs="Arial"/>
                <w:szCs w:val="20"/>
              </w:rPr>
            </w:pPr>
            <w:r w:rsidRPr="00192B29">
              <w:rPr>
                <w:rFonts w:cs="Arial"/>
                <w:szCs w:val="20"/>
              </w:rPr>
              <w:t>3</w:t>
            </w:r>
          </w:p>
        </w:tc>
        <w:tc>
          <w:tcPr>
            <w:tcW w:w="898" w:type="pct"/>
            <w:tcBorders>
              <w:bottom w:val="single" w:sz="4" w:space="0" w:color="auto"/>
            </w:tcBorders>
            <w:vAlign w:val="center"/>
          </w:tcPr>
          <w:p w14:paraId="51A0CA9A" w14:textId="06E82028" w:rsidR="002D35C5" w:rsidRPr="00BC760C" w:rsidRDefault="00084672" w:rsidP="7E4EA285">
            <w:pPr>
              <w:rPr>
                <w:rFonts w:cs="Arial"/>
                <w:szCs w:val="22"/>
              </w:rPr>
            </w:pPr>
            <w:r w:rsidRPr="00BC760C">
              <w:rPr>
                <w:rFonts w:cs="Arial"/>
                <w:szCs w:val="22"/>
              </w:rPr>
              <w:t>3</w:t>
            </w:r>
          </w:p>
        </w:tc>
      </w:tr>
      <w:tr w:rsidR="004D3A3E" w:rsidRPr="00192B29" w14:paraId="35D8FCE3" w14:textId="77777777" w:rsidTr="00475D52">
        <w:trPr>
          <w:trHeight w:val="300"/>
        </w:trPr>
        <w:tc>
          <w:tcPr>
            <w:tcW w:w="2170" w:type="pct"/>
            <w:tcBorders>
              <w:bottom w:val="single" w:sz="4" w:space="0" w:color="auto"/>
            </w:tcBorders>
          </w:tcPr>
          <w:p w14:paraId="20729EB3" w14:textId="7CE229BB" w:rsidR="00985E94" w:rsidRPr="00192B29" w:rsidRDefault="00985E94" w:rsidP="00985E94">
            <w:pPr>
              <w:rPr>
                <w:rFonts w:cs="Arial"/>
              </w:rPr>
            </w:pPr>
            <w:r w:rsidRPr="00192B29">
              <w:t xml:space="preserve">Disciplinary </w:t>
            </w:r>
            <w:r w:rsidR="003C1011">
              <w:t>a</w:t>
            </w:r>
            <w:r w:rsidRPr="00192B29">
              <w:t>ction</w:t>
            </w:r>
          </w:p>
        </w:tc>
        <w:tc>
          <w:tcPr>
            <w:tcW w:w="966" w:type="pct"/>
            <w:tcBorders>
              <w:bottom w:val="single" w:sz="4" w:space="0" w:color="auto"/>
            </w:tcBorders>
            <w:vAlign w:val="center"/>
          </w:tcPr>
          <w:p w14:paraId="683EF664" w14:textId="2E9E8ED3" w:rsidR="00985E94" w:rsidRPr="00192B29" w:rsidRDefault="00985E94" w:rsidP="00985E94">
            <w:pPr>
              <w:rPr>
                <w:rFonts w:cs="Arial"/>
                <w:szCs w:val="20"/>
              </w:rPr>
            </w:pPr>
            <w:r w:rsidRPr="00192B29">
              <w:rPr>
                <w:rFonts w:cs="Arial"/>
                <w:szCs w:val="20"/>
              </w:rPr>
              <w:t>5</w:t>
            </w:r>
          </w:p>
        </w:tc>
        <w:tc>
          <w:tcPr>
            <w:tcW w:w="966" w:type="pct"/>
            <w:tcBorders>
              <w:bottom w:val="single" w:sz="4" w:space="0" w:color="auto"/>
            </w:tcBorders>
          </w:tcPr>
          <w:p w14:paraId="527F5177" w14:textId="0D3A455B" w:rsidR="00985E94" w:rsidRPr="00192B29" w:rsidRDefault="00985E94" w:rsidP="00985E94">
            <w:pPr>
              <w:rPr>
                <w:rFonts w:cs="Arial"/>
                <w:szCs w:val="20"/>
              </w:rPr>
            </w:pPr>
            <w:r w:rsidRPr="00192B29">
              <w:t>5</w:t>
            </w:r>
          </w:p>
        </w:tc>
        <w:tc>
          <w:tcPr>
            <w:tcW w:w="898" w:type="pct"/>
            <w:tcBorders>
              <w:bottom w:val="single" w:sz="4" w:space="0" w:color="auto"/>
            </w:tcBorders>
          </w:tcPr>
          <w:p w14:paraId="796514B9" w14:textId="27230C3B" w:rsidR="00985E94" w:rsidRPr="00BC760C" w:rsidRDefault="00985E94" w:rsidP="00985E94">
            <w:pPr>
              <w:rPr>
                <w:rFonts w:cs="Arial"/>
                <w:szCs w:val="22"/>
              </w:rPr>
            </w:pPr>
            <w:r w:rsidRPr="00192B29">
              <w:t>10</w:t>
            </w:r>
          </w:p>
        </w:tc>
      </w:tr>
      <w:tr w:rsidR="004D3A3E" w:rsidRPr="00192B29" w14:paraId="716201B0" w14:textId="77777777" w:rsidTr="00475D52">
        <w:trPr>
          <w:trHeight w:val="300"/>
        </w:trPr>
        <w:tc>
          <w:tcPr>
            <w:tcW w:w="2170" w:type="pct"/>
            <w:tcBorders>
              <w:bottom w:val="single" w:sz="4" w:space="0" w:color="auto"/>
            </w:tcBorders>
          </w:tcPr>
          <w:p w14:paraId="6D81857F" w14:textId="74C0198E" w:rsidR="00985E94" w:rsidRPr="00192B29" w:rsidRDefault="00985E94" w:rsidP="00985E94">
            <w:pPr>
              <w:rPr>
                <w:rFonts w:cs="Arial"/>
              </w:rPr>
            </w:pPr>
            <w:r w:rsidRPr="00192B29">
              <w:t xml:space="preserve">Immediate </w:t>
            </w:r>
            <w:r w:rsidR="002C5994">
              <w:t>s</w:t>
            </w:r>
            <w:r w:rsidRPr="00192B29">
              <w:t>uspension</w:t>
            </w:r>
          </w:p>
        </w:tc>
        <w:tc>
          <w:tcPr>
            <w:tcW w:w="966" w:type="pct"/>
            <w:tcBorders>
              <w:bottom w:val="single" w:sz="4" w:space="0" w:color="auto"/>
            </w:tcBorders>
            <w:vAlign w:val="center"/>
          </w:tcPr>
          <w:p w14:paraId="1CEB591E" w14:textId="67D4CEBC" w:rsidR="00985E94" w:rsidRPr="00192B29" w:rsidRDefault="00985E94" w:rsidP="00985E94">
            <w:pPr>
              <w:rPr>
                <w:rFonts w:cs="Arial"/>
                <w:szCs w:val="20"/>
              </w:rPr>
            </w:pPr>
            <w:r w:rsidRPr="00192B29">
              <w:rPr>
                <w:rFonts w:cs="Arial"/>
                <w:szCs w:val="20"/>
              </w:rPr>
              <w:t>2</w:t>
            </w:r>
          </w:p>
        </w:tc>
        <w:tc>
          <w:tcPr>
            <w:tcW w:w="966" w:type="pct"/>
            <w:tcBorders>
              <w:bottom w:val="single" w:sz="4" w:space="0" w:color="auto"/>
            </w:tcBorders>
          </w:tcPr>
          <w:p w14:paraId="0BC690AB" w14:textId="2F640721" w:rsidR="00985E94" w:rsidRPr="00192B29" w:rsidRDefault="00E52BB6" w:rsidP="00985E94">
            <w:pPr>
              <w:rPr>
                <w:rFonts w:cs="Arial"/>
                <w:szCs w:val="20"/>
              </w:rPr>
            </w:pPr>
            <w:r>
              <w:rPr>
                <w:rFonts w:cs="Arial"/>
                <w:szCs w:val="20"/>
              </w:rPr>
              <w:t>0</w:t>
            </w:r>
          </w:p>
        </w:tc>
        <w:tc>
          <w:tcPr>
            <w:tcW w:w="898" w:type="pct"/>
            <w:tcBorders>
              <w:bottom w:val="single" w:sz="4" w:space="0" w:color="auto"/>
            </w:tcBorders>
          </w:tcPr>
          <w:p w14:paraId="5BA8AF82" w14:textId="33D95F11" w:rsidR="00985E94" w:rsidRPr="00BC760C" w:rsidRDefault="00985E94" w:rsidP="00985E94">
            <w:pPr>
              <w:rPr>
                <w:rFonts w:cs="Arial"/>
                <w:szCs w:val="22"/>
              </w:rPr>
            </w:pPr>
            <w:r w:rsidRPr="00192B29">
              <w:t>2</w:t>
            </w:r>
          </w:p>
        </w:tc>
      </w:tr>
      <w:tr w:rsidR="004D3A3E" w:rsidRPr="00192B29" w14:paraId="36C467FD" w14:textId="77777777" w:rsidTr="00475D52">
        <w:trPr>
          <w:trHeight w:val="300"/>
        </w:trPr>
        <w:tc>
          <w:tcPr>
            <w:tcW w:w="2170" w:type="pct"/>
            <w:tcBorders>
              <w:bottom w:val="single" w:sz="4" w:space="0" w:color="auto"/>
            </w:tcBorders>
          </w:tcPr>
          <w:p w14:paraId="4264798E" w14:textId="55CAC3E7" w:rsidR="00985E94" w:rsidRPr="00192B29" w:rsidRDefault="00985E94" w:rsidP="00985E94">
            <w:pPr>
              <w:rPr>
                <w:rFonts w:cs="Arial"/>
              </w:rPr>
            </w:pPr>
            <w:r w:rsidRPr="00192B29">
              <w:t xml:space="preserve">Failure to </w:t>
            </w:r>
            <w:r w:rsidR="002C5994">
              <w:t>c</w:t>
            </w:r>
            <w:r w:rsidRPr="00192B29">
              <w:t>omply with a written request</w:t>
            </w:r>
          </w:p>
        </w:tc>
        <w:tc>
          <w:tcPr>
            <w:tcW w:w="966" w:type="pct"/>
            <w:tcBorders>
              <w:bottom w:val="single" w:sz="4" w:space="0" w:color="auto"/>
            </w:tcBorders>
            <w:vAlign w:val="center"/>
          </w:tcPr>
          <w:p w14:paraId="23981800" w14:textId="60CA39A3" w:rsidR="00985E94" w:rsidRPr="00192B29" w:rsidRDefault="00985E94" w:rsidP="00985E94">
            <w:pPr>
              <w:rPr>
                <w:rFonts w:cs="Arial"/>
                <w:szCs w:val="20"/>
              </w:rPr>
            </w:pPr>
            <w:r w:rsidRPr="00192B29">
              <w:rPr>
                <w:rFonts w:cs="Arial"/>
                <w:szCs w:val="20"/>
              </w:rPr>
              <w:t>0</w:t>
            </w:r>
          </w:p>
        </w:tc>
        <w:tc>
          <w:tcPr>
            <w:tcW w:w="966" w:type="pct"/>
            <w:tcBorders>
              <w:bottom w:val="single" w:sz="4" w:space="0" w:color="auto"/>
            </w:tcBorders>
          </w:tcPr>
          <w:p w14:paraId="1CDD828E" w14:textId="4246E07D" w:rsidR="00985E94" w:rsidRPr="00192B29" w:rsidRDefault="00985E94" w:rsidP="00985E94">
            <w:pPr>
              <w:rPr>
                <w:rFonts w:cs="Arial"/>
                <w:szCs w:val="20"/>
              </w:rPr>
            </w:pPr>
            <w:r w:rsidRPr="00192B29">
              <w:t>1</w:t>
            </w:r>
          </w:p>
        </w:tc>
        <w:tc>
          <w:tcPr>
            <w:tcW w:w="898" w:type="pct"/>
            <w:tcBorders>
              <w:bottom w:val="single" w:sz="4" w:space="0" w:color="auto"/>
            </w:tcBorders>
          </w:tcPr>
          <w:p w14:paraId="78E65128" w14:textId="3520DB4E" w:rsidR="00985E94" w:rsidRPr="00BC760C" w:rsidRDefault="00985E94" w:rsidP="00985E94">
            <w:pPr>
              <w:rPr>
                <w:rFonts w:cs="Arial"/>
                <w:szCs w:val="22"/>
              </w:rPr>
            </w:pPr>
            <w:r w:rsidRPr="00192B29">
              <w:t>1</w:t>
            </w:r>
          </w:p>
        </w:tc>
      </w:tr>
      <w:tr w:rsidR="004D3A3E" w:rsidRPr="00192B29" w14:paraId="115AA56A" w14:textId="77777777" w:rsidTr="00475D52">
        <w:trPr>
          <w:trHeight w:val="300"/>
        </w:trPr>
        <w:tc>
          <w:tcPr>
            <w:tcW w:w="2170" w:type="pct"/>
            <w:tcBorders>
              <w:bottom w:val="single" w:sz="4" w:space="0" w:color="auto"/>
            </w:tcBorders>
          </w:tcPr>
          <w:p w14:paraId="7A780716" w14:textId="764C8635" w:rsidR="00985E94" w:rsidRPr="00192B29" w:rsidRDefault="00985E94" w:rsidP="00985E94">
            <w:pPr>
              <w:rPr>
                <w:rFonts w:cs="Arial"/>
              </w:rPr>
            </w:pPr>
            <w:r w:rsidRPr="00192B29">
              <w:t>Disqualified</w:t>
            </w:r>
          </w:p>
        </w:tc>
        <w:tc>
          <w:tcPr>
            <w:tcW w:w="966" w:type="pct"/>
            <w:tcBorders>
              <w:bottom w:val="single" w:sz="4" w:space="0" w:color="auto"/>
            </w:tcBorders>
            <w:vAlign w:val="center"/>
          </w:tcPr>
          <w:p w14:paraId="69B4D5B2" w14:textId="5CC48082" w:rsidR="00985E94" w:rsidRPr="00192B29" w:rsidRDefault="00985E94" w:rsidP="00985E94">
            <w:pPr>
              <w:rPr>
                <w:rFonts w:cs="Arial"/>
                <w:szCs w:val="20"/>
              </w:rPr>
            </w:pPr>
            <w:r w:rsidRPr="00192B29">
              <w:rPr>
                <w:rFonts w:cs="Arial"/>
                <w:szCs w:val="20"/>
              </w:rPr>
              <w:t>0</w:t>
            </w:r>
          </w:p>
        </w:tc>
        <w:tc>
          <w:tcPr>
            <w:tcW w:w="966" w:type="pct"/>
            <w:tcBorders>
              <w:bottom w:val="single" w:sz="4" w:space="0" w:color="auto"/>
            </w:tcBorders>
          </w:tcPr>
          <w:p w14:paraId="5976ED7F" w14:textId="341EFA0C" w:rsidR="00985E94" w:rsidRPr="00192B29" w:rsidRDefault="00985E94" w:rsidP="00985E94">
            <w:pPr>
              <w:rPr>
                <w:rFonts w:cs="Arial"/>
                <w:szCs w:val="20"/>
              </w:rPr>
            </w:pPr>
            <w:r w:rsidRPr="00192B29">
              <w:t>2</w:t>
            </w:r>
          </w:p>
        </w:tc>
        <w:tc>
          <w:tcPr>
            <w:tcW w:w="898" w:type="pct"/>
            <w:tcBorders>
              <w:bottom w:val="single" w:sz="4" w:space="0" w:color="auto"/>
            </w:tcBorders>
          </w:tcPr>
          <w:p w14:paraId="42820730" w14:textId="488A07CB" w:rsidR="00985E94" w:rsidRPr="00BC760C" w:rsidRDefault="00985E94" w:rsidP="00985E94">
            <w:pPr>
              <w:rPr>
                <w:rFonts w:cs="Arial"/>
                <w:szCs w:val="22"/>
              </w:rPr>
            </w:pPr>
            <w:r w:rsidRPr="00192B29">
              <w:t>2</w:t>
            </w:r>
          </w:p>
        </w:tc>
      </w:tr>
      <w:tr w:rsidR="004D3A3E" w:rsidRPr="00192B29" w14:paraId="75D3C526" w14:textId="77777777" w:rsidTr="00475D52">
        <w:trPr>
          <w:trHeight w:val="300"/>
        </w:trPr>
        <w:tc>
          <w:tcPr>
            <w:tcW w:w="2170" w:type="pct"/>
            <w:tcBorders>
              <w:bottom w:val="single" w:sz="4" w:space="0" w:color="auto"/>
            </w:tcBorders>
          </w:tcPr>
          <w:p w14:paraId="76721002" w14:textId="70C5A765" w:rsidR="00985E94" w:rsidRPr="00192B29" w:rsidRDefault="00985E94" w:rsidP="00985E94">
            <w:pPr>
              <w:rPr>
                <w:rFonts w:cs="Arial"/>
              </w:rPr>
            </w:pPr>
            <w:r w:rsidRPr="00192B29">
              <w:t>Deceased</w:t>
            </w:r>
          </w:p>
        </w:tc>
        <w:tc>
          <w:tcPr>
            <w:tcW w:w="966" w:type="pct"/>
            <w:tcBorders>
              <w:bottom w:val="single" w:sz="4" w:space="0" w:color="auto"/>
            </w:tcBorders>
            <w:vAlign w:val="center"/>
          </w:tcPr>
          <w:p w14:paraId="10DD1A4F" w14:textId="40E027BF" w:rsidR="00985E94" w:rsidRPr="00192B29" w:rsidRDefault="00985E94" w:rsidP="00985E94">
            <w:pPr>
              <w:rPr>
                <w:rFonts w:cs="Arial"/>
                <w:szCs w:val="20"/>
              </w:rPr>
            </w:pPr>
            <w:r w:rsidRPr="00192B29">
              <w:rPr>
                <w:rFonts w:cs="Arial"/>
                <w:szCs w:val="20"/>
              </w:rPr>
              <w:t>0</w:t>
            </w:r>
          </w:p>
        </w:tc>
        <w:tc>
          <w:tcPr>
            <w:tcW w:w="966" w:type="pct"/>
            <w:tcBorders>
              <w:bottom w:val="single" w:sz="4" w:space="0" w:color="auto"/>
            </w:tcBorders>
          </w:tcPr>
          <w:p w14:paraId="0D470CAA" w14:textId="236B61A6" w:rsidR="00985E94" w:rsidRPr="00192B29" w:rsidRDefault="00985E94" w:rsidP="00985E94">
            <w:pPr>
              <w:rPr>
                <w:rFonts w:cs="Arial"/>
                <w:szCs w:val="20"/>
              </w:rPr>
            </w:pPr>
            <w:r w:rsidRPr="00192B29">
              <w:t>77</w:t>
            </w:r>
          </w:p>
        </w:tc>
        <w:tc>
          <w:tcPr>
            <w:tcW w:w="898" w:type="pct"/>
            <w:tcBorders>
              <w:bottom w:val="single" w:sz="4" w:space="0" w:color="auto"/>
            </w:tcBorders>
          </w:tcPr>
          <w:p w14:paraId="79BD7F91" w14:textId="7259C305" w:rsidR="00985E94" w:rsidRPr="00BC760C" w:rsidRDefault="00985E94" w:rsidP="00985E94">
            <w:pPr>
              <w:rPr>
                <w:rFonts w:cs="Arial"/>
                <w:szCs w:val="22"/>
              </w:rPr>
            </w:pPr>
            <w:r w:rsidRPr="00192B29">
              <w:t>77</w:t>
            </w:r>
          </w:p>
        </w:tc>
      </w:tr>
      <w:tr w:rsidR="004D3A3E" w:rsidRPr="00192B29" w14:paraId="2360C5B5" w14:textId="77777777" w:rsidTr="00475D52">
        <w:trPr>
          <w:trHeight w:val="300"/>
        </w:trPr>
        <w:tc>
          <w:tcPr>
            <w:tcW w:w="2170" w:type="pct"/>
            <w:tcBorders>
              <w:bottom w:val="single" w:sz="4" w:space="0" w:color="auto"/>
            </w:tcBorders>
          </w:tcPr>
          <w:p w14:paraId="148DBD79" w14:textId="121239A9" w:rsidR="00985E94" w:rsidRPr="00192B29" w:rsidRDefault="00985E94" w:rsidP="00985E94">
            <w:pPr>
              <w:rPr>
                <w:rFonts w:cs="Arial"/>
              </w:rPr>
            </w:pPr>
            <w:r w:rsidRPr="00192B29">
              <w:t xml:space="preserve">Obtained by </w:t>
            </w:r>
            <w:r w:rsidR="002C5994">
              <w:t>f</w:t>
            </w:r>
            <w:r w:rsidRPr="00192B29">
              <w:t>raud</w:t>
            </w:r>
          </w:p>
        </w:tc>
        <w:tc>
          <w:tcPr>
            <w:tcW w:w="966" w:type="pct"/>
            <w:tcBorders>
              <w:bottom w:val="single" w:sz="4" w:space="0" w:color="auto"/>
            </w:tcBorders>
            <w:vAlign w:val="center"/>
          </w:tcPr>
          <w:p w14:paraId="1CAA821B" w14:textId="68F6B670" w:rsidR="00985E94" w:rsidRPr="00192B29" w:rsidRDefault="00985E94" w:rsidP="00985E94">
            <w:pPr>
              <w:rPr>
                <w:rFonts w:cs="Arial"/>
                <w:szCs w:val="20"/>
              </w:rPr>
            </w:pPr>
            <w:r w:rsidRPr="00192B29">
              <w:rPr>
                <w:rFonts w:cs="Arial"/>
                <w:szCs w:val="20"/>
              </w:rPr>
              <w:t>0</w:t>
            </w:r>
          </w:p>
        </w:tc>
        <w:tc>
          <w:tcPr>
            <w:tcW w:w="966" w:type="pct"/>
            <w:tcBorders>
              <w:bottom w:val="single" w:sz="4" w:space="0" w:color="auto"/>
            </w:tcBorders>
          </w:tcPr>
          <w:p w14:paraId="544E13A8" w14:textId="698DD520" w:rsidR="00985E94" w:rsidRPr="00192B29" w:rsidRDefault="00985E94" w:rsidP="00985E94">
            <w:pPr>
              <w:rPr>
                <w:rFonts w:cs="Arial"/>
                <w:szCs w:val="20"/>
              </w:rPr>
            </w:pPr>
            <w:r w:rsidRPr="00192B29">
              <w:t>1</w:t>
            </w:r>
          </w:p>
        </w:tc>
        <w:tc>
          <w:tcPr>
            <w:tcW w:w="898" w:type="pct"/>
            <w:tcBorders>
              <w:bottom w:val="single" w:sz="4" w:space="0" w:color="auto"/>
            </w:tcBorders>
          </w:tcPr>
          <w:p w14:paraId="525509AB" w14:textId="789B9392" w:rsidR="00985E94" w:rsidRPr="00BC760C" w:rsidRDefault="00985E94" w:rsidP="00985E94">
            <w:pPr>
              <w:rPr>
                <w:rFonts w:cs="Arial"/>
                <w:szCs w:val="22"/>
              </w:rPr>
            </w:pPr>
            <w:r w:rsidRPr="00192B29">
              <w:t>1</w:t>
            </w:r>
          </w:p>
        </w:tc>
      </w:tr>
      <w:tr w:rsidR="004D3A3E" w:rsidRPr="00192B29" w14:paraId="30C79E3C" w14:textId="77777777" w:rsidTr="00475D52">
        <w:trPr>
          <w:trHeight w:val="300"/>
        </w:trPr>
        <w:tc>
          <w:tcPr>
            <w:tcW w:w="2170" w:type="pct"/>
            <w:tcBorders>
              <w:bottom w:val="single" w:sz="4" w:space="0" w:color="auto"/>
            </w:tcBorders>
          </w:tcPr>
          <w:p w14:paraId="47819BE2" w14:textId="79716799" w:rsidR="00985E94" w:rsidRPr="00192B29" w:rsidRDefault="00985E94" w:rsidP="00985E94">
            <w:pPr>
              <w:rPr>
                <w:rFonts w:cs="Arial"/>
              </w:rPr>
            </w:pPr>
            <w:r w:rsidRPr="00192B29">
              <w:t xml:space="preserve">Licence </w:t>
            </w:r>
            <w:r w:rsidR="002C5994">
              <w:t>e</w:t>
            </w:r>
            <w:r w:rsidRPr="00192B29">
              <w:t>xclusion</w:t>
            </w:r>
          </w:p>
        </w:tc>
        <w:tc>
          <w:tcPr>
            <w:tcW w:w="966" w:type="pct"/>
            <w:tcBorders>
              <w:bottom w:val="single" w:sz="4" w:space="0" w:color="auto"/>
            </w:tcBorders>
            <w:vAlign w:val="center"/>
          </w:tcPr>
          <w:p w14:paraId="52460FC8" w14:textId="1FD4C1F0" w:rsidR="00985E94" w:rsidRPr="00192B29" w:rsidRDefault="00985E94" w:rsidP="00985E94">
            <w:pPr>
              <w:rPr>
                <w:rFonts w:cs="Arial"/>
                <w:szCs w:val="20"/>
              </w:rPr>
            </w:pPr>
            <w:r w:rsidRPr="00192B29">
              <w:rPr>
                <w:rFonts w:cs="Arial"/>
                <w:szCs w:val="20"/>
              </w:rPr>
              <w:t>0</w:t>
            </w:r>
          </w:p>
        </w:tc>
        <w:tc>
          <w:tcPr>
            <w:tcW w:w="966" w:type="pct"/>
            <w:tcBorders>
              <w:bottom w:val="single" w:sz="4" w:space="0" w:color="auto"/>
            </w:tcBorders>
          </w:tcPr>
          <w:p w14:paraId="64D84DF6" w14:textId="013612D5" w:rsidR="00985E94" w:rsidRPr="00192B29" w:rsidRDefault="00985E94" w:rsidP="00985E94">
            <w:pPr>
              <w:rPr>
                <w:rFonts w:cs="Arial"/>
                <w:szCs w:val="20"/>
              </w:rPr>
            </w:pPr>
            <w:r w:rsidRPr="00192B29">
              <w:t>222</w:t>
            </w:r>
          </w:p>
        </w:tc>
        <w:tc>
          <w:tcPr>
            <w:tcW w:w="898" w:type="pct"/>
            <w:tcBorders>
              <w:bottom w:val="single" w:sz="4" w:space="0" w:color="auto"/>
            </w:tcBorders>
          </w:tcPr>
          <w:p w14:paraId="5933BC32" w14:textId="03793284" w:rsidR="00985E94" w:rsidRPr="00BC760C" w:rsidRDefault="00985E94" w:rsidP="00985E94">
            <w:pPr>
              <w:rPr>
                <w:rFonts w:cs="Arial"/>
                <w:szCs w:val="22"/>
              </w:rPr>
            </w:pPr>
            <w:r w:rsidRPr="00192B29">
              <w:t>222</w:t>
            </w:r>
          </w:p>
        </w:tc>
      </w:tr>
      <w:tr w:rsidR="004D3A3E" w:rsidRPr="00192B29" w14:paraId="1A121172" w14:textId="77777777" w:rsidTr="00475D52">
        <w:trPr>
          <w:trHeight w:val="300"/>
        </w:trPr>
        <w:tc>
          <w:tcPr>
            <w:tcW w:w="2170" w:type="pct"/>
            <w:tcBorders>
              <w:bottom w:val="single" w:sz="4" w:space="0" w:color="auto"/>
            </w:tcBorders>
          </w:tcPr>
          <w:p w14:paraId="5039B9BE" w14:textId="5779C204" w:rsidR="00C95021" w:rsidRPr="00192B29" w:rsidRDefault="00C95021" w:rsidP="00D850B1">
            <w:pPr>
              <w:jc w:val="right"/>
            </w:pPr>
            <w:r>
              <w:t>Subtotal</w:t>
            </w:r>
          </w:p>
        </w:tc>
        <w:tc>
          <w:tcPr>
            <w:tcW w:w="966" w:type="pct"/>
            <w:tcBorders>
              <w:bottom w:val="single" w:sz="4" w:space="0" w:color="auto"/>
            </w:tcBorders>
            <w:vAlign w:val="center"/>
          </w:tcPr>
          <w:p w14:paraId="51979619" w14:textId="079F47F2" w:rsidR="00C95021" w:rsidRPr="00192B29" w:rsidRDefault="00D81A60" w:rsidP="00985E94">
            <w:pPr>
              <w:rPr>
                <w:rFonts w:cs="Arial"/>
                <w:szCs w:val="20"/>
              </w:rPr>
            </w:pPr>
            <w:r>
              <w:rPr>
                <w:rFonts w:cs="Arial"/>
                <w:szCs w:val="20"/>
              </w:rPr>
              <w:t>337</w:t>
            </w:r>
          </w:p>
        </w:tc>
        <w:tc>
          <w:tcPr>
            <w:tcW w:w="966" w:type="pct"/>
            <w:tcBorders>
              <w:bottom w:val="single" w:sz="4" w:space="0" w:color="auto"/>
            </w:tcBorders>
          </w:tcPr>
          <w:p w14:paraId="3F662263" w14:textId="41744CFA" w:rsidR="00C95021" w:rsidRPr="00192B29" w:rsidRDefault="00D81A60" w:rsidP="00985E94">
            <w:r>
              <w:t>473</w:t>
            </w:r>
          </w:p>
        </w:tc>
        <w:tc>
          <w:tcPr>
            <w:tcW w:w="898" w:type="pct"/>
            <w:tcBorders>
              <w:bottom w:val="single" w:sz="4" w:space="0" w:color="auto"/>
            </w:tcBorders>
          </w:tcPr>
          <w:p w14:paraId="4C41F99E" w14:textId="57BAA720" w:rsidR="00C95021" w:rsidRPr="00192B29" w:rsidRDefault="006B2C31" w:rsidP="00985E94">
            <w:r>
              <w:t>810</w:t>
            </w:r>
          </w:p>
        </w:tc>
      </w:tr>
      <w:tr w:rsidR="009C0CC7" w:rsidRPr="00192B29" w14:paraId="0148D17C" w14:textId="77777777" w:rsidTr="00747E4B">
        <w:trPr>
          <w:trHeight w:val="300"/>
        </w:trPr>
        <w:tc>
          <w:tcPr>
            <w:tcW w:w="5000" w:type="pct"/>
            <w:gridSpan w:val="4"/>
            <w:tcBorders>
              <w:bottom w:val="single" w:sz="4" w:space="0" w:color="auto"/>
            </w:tcBorders>
            <w:shd w:val="clear" w:color="auto" w:fill="D9D9D9" w:themeFill="background1" w:themeFillShade="D9"/>
          </w:tcPr>
          <w:p w14:paraId="5E51C03D" w14:textId="67774738" w:rsidR="00747E4B" w:rsidRPr="00192B29" w:rsidRDefault="00747E4B" w:rsidP="00985E94">
            <w:r>
              <w:t>Voluntary</w:t>
            </w:r>
            <w:r w:rsidRPr="00747E4B">
              <w:t xml:space="preserve"> regulatory actions</w:t>
            </w:r>
          </w:p>
        </w:tc>
      </w:tr>
      <w:tr w:rsidR="004D3A3E" w:rsidRPr="00192B29" w14:paraId="0C3F1038" w14:textId="77777777" w:rsidTr="00475D52">
        <w:trPr>
          <w:trHeight w:val="300"/>
        </w:trPr>
        <w:tc>
          <w:tcPr>
            <w:tcW w:w="2170" w:type="pct"/>
            <w:tcBorders>
              <w:bottom w:val="single" w:sz="4" w:space="0" w:color="auto"/>
            </w:tcBorders>
          </w:tcPr>
          <w:p w14:paraId="4D215181" w14:textId="2CA97115" w:rsidR="00985E94" w:rsidRPr="00192B29" w:rsidRDefault="00985E94" w:rsidP="00985E94">
            <w:pPr>
              <w:rPr>
                <w:rFonts w:cs="Arial"/>
              </w:rPr>
            </w:pPr>
            <w:r w:rsidRPr="00192B29">
              <w:t xml:space="preserve">Licence </w:t>
            </w:r>
            <w:r w:rsidR="002C5994">
              <w:t>s</w:t>
            </w:r>
            <w:r w:rsidRPr="00192B29">
              <w:t>urrender</w:t>
            </w:r>
          </w:p>
        </w:tc>
        <w:tc>
          <w:tcPr>
            <w:tcW w:w="966" w:type="pct"/>
            <w:tcBorders>
              <w:bottom w:val="single" w:sz="4" w:space="0" w:color="auto"/>
            </w:tcBorders>
            <w:vAlign w:val="center"/>
          </w:tcPr>
          <w:p w14:paraId="1240939D" w14:textId="540A84D1" w:rsidR="00985E94" w:rsidRPr="00192B29" w:rsidRDefault="00985E94" w:rsidP="00985E94">
            <w:pPr>
              <w:rPr>
                <w:rFonts w:cs="Arial"/>
                <w:szCs w:val="20"/>
              </w:rPr>
            </w:pPr>
            <w:r w:rsidRPr="00192B29">
              <w:rPr>
                <w:rFonts w:cs="Arial"/>
                <w:szCs w:val="20"/>
              </w:rPr>
              <w:t>0</w:t>
            </w:r>
          </w:p>
        </w:tc>
        <w:tc>
          <w:tcPr>
            <w:tcW w:w="966" w:type="pct"/>
            <w:tcBorders>
              <w:bottom w:val="single" w:sz="4" w:space="0" w:color="auto"/>
            </w:tcBorders>
          </w:tcPr>
          <w:p w14:paraId="526BA807" w14:textId="55E2B393" w:rsidR="00985E94" w:rsidRPr="00192B29" w:rsidRDefault="00985E94" w:rsidP="00985E94">
            <w:pPr>
              <w:rPr>
                <w:rFonts w:cs="Arial"/>
                <w:szCs w:val="20"/>
              </w:rPr>
            </w:pPr>
            <w:r w:rsidRPr="00192B29">
              <w:t>1,339</w:t>
            </w:r>
          </w:p>
        </w:tc>
        <w:tc>
          <w:tcPr>
            <w:tcW w:w="898" w:type="pct"/>
            <w:tcBorders>
              <w:bottom w:val="single" w:sz="4" w:space="0" w:color="auto"/>
            </w:tcBorders>
          </w:tcPr>
          <w:p w14:paraId="071A0504" w14:textId="15965F6D" w:rsidR="00985E94" w:rsidRPr="00BC760C" w:rsidRDefault="00985E94" w:rsidP="00985E94">
            <w:pPr>
              <w:rPr>
                <w:rFonts w:cs="Arial"/>
                <w:szCs w:val="22"/>
              </w:rPr>
            </w:pPr>
            <w:r w:rsidRPr="00192B29">
              <w:t>1,339</w:t>
            </w:r>
          </w:p>
        </w:tc>
      </w:tr>
      <w:tr w:rsidR="004D3A3E" w:rsidRPr="00192B29" w14:paraId="5A21B7A4" w14:textId="77777777" w:rsidTr="00475D52">
        <w:trPr>
          <w:trHeight w:val="300"/>
        </w:trPr>
        <w:tc>
          <w:tcPr>
            <w:tcW w:w="2170" w:type="pct"/>
            <w:tcBorders>
              <w:bottom w:val="single" w:sz="4" w:space="0" w:color="auto"/>
            </w:tcBorders>
          </w:tcPr>
          <w:p w14:paraId="39BDC677" w14:textId="1375FBE9" w:rsidR="00521E21" w:rsidRPr="00192B29" w:rsidRDefault="00521E21" w:rsidP="00521E21">
            <w:r w:rsidRPr="00192B29">
              <w:t xml:space="preserve">Failure to </w:t>
            </w:r>
            <w:r>
              <w:t>r</w:t>
            </w:r>
            <w:r w:rsidRPr="00192B29">
              <w:t>enew</w:t>
            </w:r>
          </w:p>
        </w:tc>
        <w:tc>
          <w:tcPr>
            <w:tcW w:w="966" w:type="pct"/>
            <w:tcBorders>
              <w:bottom w:val="single" w:sz="4" w:space="0" w:color="auto"/>
            </w:tcBorders>
            <w:vAlign w:val="center"/>
          </w:tcPr>
          <w:p w14:paraId="40738F48" w14:textId="304DD703" w:rsidR="00521E21" w:rsidRPr="00192B29" w:rsidRDefault="00521E21" w:rsidP="00521E21">
            <w:pPr>
              <w:rPr>
                <w:rFonts w:cs="Arial"/>
                <w:szCs w:val="20"/>
              </w:rPr>
            </w:pPr>
            <w:r w:rsidRPr="00192B29">
              <w:rPr>
                <w:rFonts w:cs="Arial"/>
                <w:szCs w:val="20"/>
              </w:rPr>
              <w:t>10,909</w:t>
            </w:r>
          </w:p>
        </w:tc>
        <w:tc>
          <w:tcPr>
            <w:tcW w:w="966" w:type="pct"/>
            <w:tcBorders>
              <w:bottom w:val="single" w:sz="4" w:space="0" w:color="auto"/>
            </w:tcBorders>
          </w:tcPr>
          <w:p w14:paraId="2C4CA502" w14:textId="353E5EDD" w:rsidR="00521E21" w:rsidRPr="00192B29" w:rsidRDefault="00521E21" w:rsidP="00521E21">
            <w:r w:rsidRPr="00192B29">
              <w:t>4,488</w:t>
            </w:r>
          </w:p>
        </w:tc>
        <w:tc>
          <w:tcPr>
            <w:tcW w:w="898" w:type="pct"/>
            <w:tcBorders>
              <w:bottom w:val="single" w:sz="4" w:space="0" w:color="auto"/>
            </w:tcBorders>
          </w:tcPr>
          <w:p w14:paraId="13630E21" w14:textId="34CA16C8" w:rsidR="00521E21" w:rsidRPr="00192B29" w:rsidRDefault="00521E21" w:rsidP="00521E21">
            <w:r w:rsidRPr="00192B29">
              <w:t>15,397</w:t>
            </w:r>
          </w:p>
        </w:tc>
      </w:tr>
      <w:tr w:rsidR="004D3A3E" w:rsidRPr="00192B29" w14:paraId="180784C0" w14:textId="77777777" w:rsidTr="00475D52">
        <w:trPr>
          <w:trHeight w:val="300"/>
        </w:trPr>
        <w:tc>
          <w:tcPr>
            <w:tcW w:w="2170" w:type="pct"/>
            <w:tcBorders>
              <w:bottom w:val="single" w:sz="4" w:space="0" w:color="auto"/>
            </w:tcBorders>
          </w:tcPr>
          <w:p w14:paraId="2D158E28" w14:textId="56815931" w:rsidR="00747E4B" w:rsidRPr="00192B29" w:rsidRDefault="00747E4B" w:rsidP="00D850B1">
            <w:pPr>
              <w:jc w:val="right"/>
            </w:pPr>
            <w:r>
              <w:t>Subtotal</w:t>
            </w:r>
          </w:p>
        </w:tc>
        <w:tc>
          <w:tcPr>
            <w:tcW w:w="966" w:type="pct"/>
            <w:tcBorders>
              <w:bottom w:val="single" w:sz="4" w:space="0" w:color="auto"/>
            </w:tcBorders>
            <w:vAlign w:val="center"/>
          </w:tcPr>
          <w:p w14:paraId="2EFB4E4D" w14:textId="0497C8B0" w:rsidR="00747E4B" w:rsidRPr="00192B29" w:rsidRDefault="006B2C31" w:rsidP="00747E4B">
            <w:pPr>
              <w:rPr>
                <w:rFonts w:cs="Arial"/>
                <w:szCs w:val="20"/>
              </w:rPr>
            </w:pPr>
            <w:r>
              <w:rPr>
                <w:rFonts w:cs="Arial"/>
                <w:szCs w:val="20"/>
              </w:rPr>
              <w:t>10,909</w:t>
            </w:r>
          </w:p>
        </w:tc>
        <w:tc>
          <w:tcPr>
            <w:tcW w:w="966" w:type="pct"/>
            <w:tcBorders>
              <w:bottom w:val="single" w:sz="4" w:space="0" w:color="auto"/>
            </w:tcBorders>
          </w:tcPr>
          <w:p w14:paraId="79F7BB88" w14:textId="7C4A463D" w:rsidR="00747E4B" w:rsidRPr="00192B29" w:rsidRDefault="006D1007" w:rsidP="00747E4B">
            <w:r>
              <w:t>5,827</w:t>
            </w:r>
          </w:p>
        </w:tc>
        <w:tc>
          <w:tcPr>
            <w:tcW w:w="898" w:type="pct"/>
            <w:tcBorders>
              <w:bottom w:val="single" w:sz="4" w:space="0" w:color="auto"/>
            </w:tcBorders>
          </w:tcPr>
          <w:p w14:paraId="2FE24F43" w14:textId="3C4D9205" w:rsidR="00747E4B" w:rsidRPr="00192B29" w:rsidRDefault="00296A8E" w:rsidP="00747E4B">
            <w:r>
              <w:t>16,736</w:t>
            </w:r>
          </w:p>
        </w:tc>
      </w:tr>
      <w:tr w:rsidR="004D3A3E" w:rsidRPr="00325F93" w14:paraId="6A70FB56" w14:textId="0AB52FA7" w:rsidTr="00DD7280">
        <w:trPr>
          <w:trHeight w:val="300"/>
        </w:trPr>
        <w:tc>
          <w:tcPr>
            <w:tcW w:w="2170" w:type="pct"/>
            <w:tcBorders>
              <w:top w:val="single" w:sz="4" w:space="0" w:color="auto"/>
              <w:left w:val="single" w:sz="4" w:space="0" w:color="auto"/>
              <w:bottom w:val="single" w:sz="4" w:space="0" w:color="auto"/>
              <w:right w:val="single" w:sz="4" w:space="0" w:color="auto"/>
            </w:tcBorders>
            <w:vAlign w:val="center"/>
          </w:tcPr>
          <w:p w14:paraId="51D7E325" w14:textId="77777777" w:rsidR="00747E4B" w:rsidRPr="00192B29" w:rsidRDefault="00747E4B" w:rsidP="00747E4B">
            <w:pPr>
              <w:jc w:val="right"/>
              <w:rPr>
                <w:rFonts w:cs="Arial"/>
                <w:bCs/>
                <w:szCs w:val="22"/>
              </w:rPr>
            </w:pPr>
            <w:r w:rsidRPr="00192B29">
              <w:rPr>
                <w:rFonts w:cs="Arial"/>
                <w:bCs/>
                <w:szCs w:val="22"/>
              </w:rPr>
              <w:t>Total</w:t>
            </w:r>
          </w:p>
        </w:tc>
        <w:tc>
          <w:tcPr>
            <w:tcW w:w="966" w:type="pct"/>
            <w:tcBorders>
              <w:top w:val="single" w:sz="4" w:space="0" w:color="auto"/>
              <w:left w:val="single" w:sz="4" w:space="0" w:color="auto"/>
              <w:bottom w:val="single" w:sz="4" w:space="0" w:color="auto"/>
              <w:right w:val="single" w:sz="4" w:space="0" w:color="auto"/>
            </w:tcBorders>
            <w:vAlign w:val="center"/>
          </w:tcPr>
          <w:p w14:paraId="6231D191" w14:textId="4B4664E4" w:rsidR="00747E4B" w:rsidRPr="00192B29" w:rsidRDefault="00747E4B" w:rsidP="00747E4B">
            <w:pPr>
              <w:rPr>
                <w:rFonts w:cs="Arial"/>
              </w:rPr>
            </w:pPr>
            <w:r w:rsidRPr="00192B29">
              <w:rPr>
                <w:rFonts w:cs="Arial"/>
                <w:szCs w:val="20"/>
              </w:rPr>
              <w:t>11,246</w:t>
            </w:r>
            <w:r w:rsidRPr="00192B29">
              <w:rPr>
                <w:rFonts w:cs="Arial"/>
              </w:rPr>
              <w:t xml:space="preserve"> </w:t>
            </w:r>
          </w:p>
        </w:tc>
        <w:tc>
          <w:tcPr>
            <w:tcW w:w="966" w:type="pct"/>
            <w:tcBorders>
              <w:top w:val="single" w:sz="4" w:space="0" w:color="auto"/>
              <w:left w:val="single" w:sz="4" w:space="0" w:color="auto"/>
              <w:bottom w:val="single" w:sz="4" w:space="0" w:color="auto"/>
              <w:right w:val="single" w:sz="4" w:space="0" w:color="auto"/>
            </w:tcBorders>
            <w:vAlign w:val="center"/>
          </w:tcPr>
          <w:p w14:paraId="2C419154" w14:textId="5BDB090E" w:rsidR="00747E4B" w:rsidRPr="00192B29" w:rsidRDefault="00747E4B" w:rsidP="00747E4B">
            <w:pPr>
              <w:rPr>
                <w:rFonts w:cs="Arial"/>
              </w:rPr>
            </w:pPr>
            <w:r w:rsidRPr="00192B29">
              <w:rPr>
                <w:rFonts w:cs="Arial"/>
                <w:szCs w:val="20"/>
              </w:rPr>
              <w:t>6,300</w:t>
            </w:r>
            <w:r w:rsidRPr="00192B29">
              <w:rPr>
                <w:rFonts w:cs="Arial"/>
              </w:rPr>
              <w:t xml:space="preserve"> </w:t>
            </w:r>
          </w:p>
        </w:tc>
        <w:tc>
          <w:tcPr>
            <w:tcW w:w="898" w:type="pct"/>
            <w:tcBorders>
              <w:top w:val="single" w:sz="4" w:space="0" w:color="auto"/>
              <w:left w:val="single" w:sz="4" w:space="0" w:color="auto"/>
              <w:bottom w:val="single" w:sz="4" w:space="0" w:color="auto"/>
              <w:right w:val="single" w:sz="4" w:space="0" w:color="auto"/>
            </w:tcBorders>
            <w:vAlign w:val="center"/>
          </w:tcPr>
          <w:p w14:paraId="1C7A051E" w14:textId="7CF74256" w:rsidR="00747E4B" w:rsidRPr="00BC760C" w:rsidRDefault="00747E4B" w:rsidP="00747E4B">
            <w:pPr>
              <w:rPr>
                <w:rFonts w:cs="Arial"/>
                <w:szCs w:val="22"/>
              </w:rPr>
            </w:pPr>
            <w:r w:rsidRPr="00BC760C">
              <w:rPr>
                <w:rFonts w:cs="Arial"/>
                <w:szCs w:val="22"/>
              </w:rPr>
              <w:t>17,546</w:t>
            </w:r>
          </w:p>
        </w:tc>
      </w:tr>
    </w:tbl>
    <w:p w14:paraId="22E59E87" w14:textId="157465C9" w:rsidR="00C01886" w:rsidRPr="004D482E" w:rsidRDefault="00AF51E6" w:rsidP="00D850B1">
      <w:pPr>
        <w:pStyle w:val="Heading3"/>
        <w:spacing w:before="120"/>
      </w:pPr>
      <w:bookmarkStart w:id="89" w:name="_Safety_related_licensing"/>
      <w:bookmarkEnd w:id="89"/>
      <w:r>
        <w:t>S</w:t>
      </w:r>
      <w:r w:rsidR="00C01886">
        <w:t xml:space="preserve">afety-related </w:t>
      </w:r>
      <w:r>
        <w:t>licensing investigations</w:t>
      </w:r>
      <w:r w:rsidR="0005107C">
        <w:t xml:space="preserve">  </w:t>
      </w:r>
    </w:p>
    <w:p w14:paraId="1E4F5CAE" w14:textId="6987586E" w:rsidR="3D7D3C87" w:rsidRPr="00A57D9E" w:rsidRDefault="36160F75" w:rsidP="08606F86">
      <w:pPr>
        <w:rPr>
          <w:rFonts w:eastAsia="Arial" w:cs="Arial"/>
          <w:color w:val="000000"/>
        </w:rPr>
      </w:pPr>
      <w:r w:rsidRPr="08677503">
        <w:rPr>
          <w:rFonts w:eastAsia="Arial" w:cs="Arial"/>
          <w:color w:val="000000"/>
        </w:rPr>
        <w:t>In 2024–25, the QBCC conducted 219 safety-related licensing investigations triggered by notifications</w:t>
      </w:r>
      <w:r w:rsidRPr="3A0EEF41">
        <w:rPr>
          <w:rFonts w:eastAsia="Arial" w:cs="Arial"/>
          <w:color w:val="000000"/>
        </w:rPr>
        <w:t xml:space="preserve">. </w:t>
      </w:r>
      <w:r w:rsidR="3BF69E33" w:rsidRPr="3A0EEF41">
        <w:rPr>
          <w:rFonts w:eastAsia="Arial" w:cs="Arial"/>
          <w:color w:val="000000"/>
        </w:rPr>
        <w:t xml:space="preserve">These </w:t>
      </w:r>
      <w:r w:rsidR="002771EC">
        <w:rPr>
          <w:rFonts w:eastAsia="Arial" w:cs="Arial"/>
          <w:color w:val="000000"/>
        </w:rPr>
        <w:t xml:space="preserve">investigations </w:t>
      </w:r>
      <w:r w:rsidR="3BF69E33" w:rsidRPr="3A0EEF41">
        <w:rPr>
          <w:rFonts w:eastAsia="Arial" w:cs="Arial"/>
          <w:color w:val="000000"/>
        </w:rPr>
        <w:t>involve</w:t>
      </w:r>
      <w:r w:rsidR="002771EC">
        <w:rPr>
          <w:rFonts w:eastAsia="Arial" w:cs="Arial"/>
          <w:color w:val="000000"/>
        </w:rPr>
        <w:t>d</w:t>
      </w:r>
      <w:r w:rsidR="3BF69E33" w:rsidRPr="3A0EEF41">
        <w:rPr>
          <w:rFonts w:eastAsia="Arial" w:cs="Arial"/>
          <w:color w:val="000000"/>
        </w:rPr>
        <w:t xml:space="preserve"> </w:t>
      </w:r>
      <w:r w:rsidR="3BF69E33" w:rsidRPr="2580BD62">
        <w:rPr>
          <w:rFonts w:eastAsia="Arial" w:cs="Arial"/>
          <w:color w:val="000000"/>
        </w:rPr>
        <w:t xml:space="preserve">assessing </w:t>
      </w:r>
      <w:r w:rsidR="48F3C3AE" w:rsidRPr="08637876">
        <w:rPr>
          <w:rFonts w:eastAsia="Arial" w:cs="Arial"/>
          <w:color w:val="000000"/>
        </w:rPr>
        <w:t xml:space="preserve">legislative </w:t>
      </w:r>
      <w:r w:rsidR="3BF69E33" w:rsidRPr="2580BD62">
        <w:rPr>
          <w:rFonts w:eastAsia="Arial" w:cs="Arial"/>
          <w:color w:val="000000"/>
        </w:rPr>
        <w:t xml:space="preserve">criteria to </w:t>
      </w:r>
      <w:r w:rsidR="00C17CC4">
        <w:rPr>
          <w:rFonts w:eastAsia="Arial" w:cs="Arial"/>
          <w:color w:val="000000"/>
        </w:rPr>
        <w:t>determine whether</w:t>
      </w:r>
      <w:r w:rsidR="00C17CC4" w:rsidRPr="20A2351A">
        <w:rPr>
          <w:rFonts w:eastAsia="Arial" w:cs="Arial"/>
          <w:color w:val="000000"/>
        </w:rPr>
        <w:t xml:space="preserve"> </w:t>
      </w:r>
      <w:r w:rsidR="3BF69E33" w:rsidRPr="20A2351A">
        <w:rPr>
          <w:rFonts w:eastAsia="Arial" w:cs="Arial"/>
          <w:color w:val="000000"/>
        </w:rPr>
        <w:t xml:space="preserve">an investigation </w:t>
      </w:r>
      <w:r w:rsidR="00C17CC4">
        <w:rPr>
          <w:rFonts w:eastAsia="Arial" w:cs="Arial"/>
          <w:color w:val="000000"/>
        </w:rPr>
        <w:t>was</w:t>
      </w:r>
      <w:r w:rsidR="3BF69E33" w:rsidRPr="20A2351A">
        <w:rPr>
          <w:rFonts w:eastAsia="Arial" w:cs="Arial"/>
          <w:color w:val="000000"/>
        </w:rPr>
        <w:t xml:space="preserve"> warranted</w:t>
      </w:r>
      <w:r w:rsidR="00514886">
        <w:rPr>
          <w:rFonts w:eastAsia="Arial" w:cs="Arial"/>
          <w:color w:val="000000"/>
        </w:rPr>
        <w:t xml:space="preserve">, as well as </w:t>
      </w:r>
      <w:r w:rsidR="00CD200B">
        <w:rPr>
          <w:rFonts w:eastAsia="Arial" w:cs="Arial"/>
          <w:color w:val="000000"/>
        </w:rPr>
        <w:t xml:space="preserve">a risk-based assessment including </w:t>
      </w:r>
      <w:r w:rsidR="00514886">
        <w:rPr>
          <w:rFonts w:eastAsia="Arial" w:cs="Arial"/>
          <w:color w:val="000000"/>
        </w:rPr>
        <w:t xml:space="preserve">examining </w:t>
      </w:r>
      <w:r w:rsidR="1F4520CA" w:rsidRPr="7856D214">
        <w:rPr>
          <w:rFonts w:eastAsia="Arial" w:cs="Arial"/>
          <w:color w:val="000000"/>
        </w:rPr>
        <w:t xml:space="preserve">the causes of incidents and </w:t>
      </w:r>
      <w:r w:rsidR="782966F4" w:rsidRPr="068FD552">
        <w:rPr>
          <w:rFonts w:eastAsia="Arial" w:cs="Arial"/>
          <w:color w:val="000000"/>
        </w:rPr>
        <w:t xml:space="preserve">the </w:t>
      </w:r>
      <w:r w:rsidR="2FAB855C" w:rsidRPr="08637876">
        <w:rPr>
          <w:rFonts w:eastAsia="Arial" w:cs="Arial"/>
          <w:color w:val="000000"/>
        </w:rPr>
        <w:t xml:space="preserve">behaviours </w:t>
      </w:r>
      <w:r w:rsidR="782966F4" w:rsidRPr="08637876">
        <w:rPr>
          <w:rFonts w:eastAsia="Arial" w:cs="Arial"/>
          <w:color w:val="000000"/>
        </w:rPr>
        <w:t xml:space="preserve">of </w:t>
      </w:r>
      <w:r w:rsidR="782966F4" w:rsidRPr="068FD552">
        <w:rPr>
          <w:rFonts w:eastAsia="Arial" w:cs="Arial"/>
          <w:color w:val="000000"/>
        </w:rPr>
        <w:t>licensees.</w:t>
      </w:r>
      <w:r w:rsidR="3BF69E33" w:rsidRPr="068FD552">
        <w:rPr>
          <w:rFonts w:eastAsia="Arial" w:cs="Arial"/>
          <w:color w:val="000000"/>
        </w:rPr>
        <w:t xml:space="preserve"> </w:t>
      </w:r>
      <w:r w:rsidR="003A0F25">
        <w:rPr>
          <w:rFonts w:eastAsia="Arial" w:cs="Arial"/>
          <w:color w:val="000000"/>
        </w:rPr>
        <w:t>D</w:t>
      </w:r>
      <w:r w:rsidR="642389D5" w:rsidRPr="55E140A9">
        <w:rPr>
          <w:rFonts w:eastAsia="Arial" w:cs="Arial"/>
          <w:color w:val="000000"/>
        </w:rPr>
        <w:t>isciplinary action</w:t>
      </w:r>
      <w:r w:rsidR="003A0F25">
        <w:rPr>
          <w:rFonts w:eastAsia="Arial" w:cs="Arial"/>
          <w:color w:val="000000"/>
        </w:rPr>
        <w:t xml:space="preserve"> was </w:t>
      </w:r>
      <w:r w:rsidR="642389D5" w:rsidRPr="55E140A9">
        <w:rPr>
          <w:rFonts w:eastAsia="Arial" w:cs="Arial"/>
          <w:color w:val="000000"/>
        </w:rPr>
        <w:t>taken</w:t>
      </w:r>
      <w:r w:rsidR="003A0F25">
        <w:rPr>
          <w:rFonts w:eastAsia="Arial" w:cs="Arial"/>
          <w:color w:val="000000"/>
        </w:rPr>
        <w:t xml:space="preserve"> in nine cases</w:t>
      </w:r>
      <w:r w:rsidR="642389D5" w:rsidRPr="55E140A9">
        <w:rPr>
          <w:rFonts w:eastAsia="Arial" w:cs="Arial"/>
          <w:color w:val="000000"/>
        </w:rPr>
        <w:t>, including:</w:t>
      </w:r>
    </w:p>
    <w:p w14:paraId="09861FA9" w14:textId="1680CBF9" w:rsidR="00393952" w:rsidRPr="00A57D9E" w:rsidRDefault="00164519" w:rsidP="00BD69F7">
      <w:pPr>
        <w:pStyle w:val="ListParagraph"/>
        <w:numPr>
          <w:ilvl w:val="0"/>
          <w:numId w:val="46"/>
        </w:numPr>
        <w:spacing w:before="120" w:after="120"/>
        <w:ind w:left="714" w:hanging="357"/>
        <w:contextualSpacing w:val="0"/>
        <w:rPr>
          <w:rFonts w:eastAsia="Arial" w:cs="Arial"/>
          <w:color w:val="000000"/>
        </w:rPr>
      </w:pPr>
      <w:r w:rsidRPr="005D5C82">
        <w:rPr>
          <w:rFonts w:eastAsia="Arial" w:cs="Arial"/>
          <w:color w:val="000000"/>
        </w:rPr>
        <w:t>three</w:t>
      </w:r>
      <w:r w:rsidR="3D7D3C87" w:rsidRPr="00D850B1">
        <w:rPr>
          <w:rFonts w:eastAsia="Arial" w:cs="Arial"/>
          <w:color w:val="000000"/>
        </w:rPr>
        <w:t xml:space="preserve"> </w:t>
      </w:r>
      <w:r w:rsidR="3D7D3C87" w:rsidRPr="005D5C82">
        <w:rPr>
          <w:rFonts w:eastAsia="Arial" w:cs="Arial"/>
          <w:color w:val="000000"/>
        </w:rPr>
        <w:t>l</w:t>
      </w:r>
      <w:r w:rsidR="3D7D3C87" w:rsidRPr="00D850B1">
        <w:rPr>
          <w:rFonts w:eastAsia="Arial" w:cs="Arial"/>
          <w:color w:val="000000"/>
        </w:rPr>
        <w:t>icensee</w:t>
      </w:r>
      <w:r w:rsidR="2A253A30" w:rsidRPr="005D5C82">
        <w:rPr>
          <w:rFonts w:eastAsia="Arial" w:cs="Arial"/>
          <w:color w:val="000000"/>
        </w:rPr>
        <w:t xml:space="preserve">s </w:t>
      </w:r>
      <w:r w:rsidR="00421264">
        <w:rPr>
          <w:rFonts w:eastAsia="Arial" w:cs="Arial"/>
          <w:color w:val="000000"/>
        </w:rPr>
        <w:t xml:space="preserve">who received a </w:t>
      </w:r>
      <w:r w:rsidR="3D7D3C87" w:rsidRPr="00D850B1">
        <w:rPr>
          <w:rFonts w:eastAsia="Arial" w:cs="Arial"/>
          <w:color w:val="000000"/>
        </w:rPr>
        <w:t>reprimand</w:t>
      </w:r>
      <w:r w:rsidR="4D9B85B9" w:rsidRPr="005D5C82">
        <w:rPr>
          <w:rFonts w:eastAsia="Arial" w:cs="Arial"/>
          <w:color w:val="000000"/>
        </w:rPr>
        <w:t xml:space="preserve"> </w:t>
      </w:r>
      <w:r w:rsidR="00421264">
        <w:rPr>
          <w:rFonts w:eastAsia="Arial" w:cs="Arial"/>
          <w:color w:val="000000"/>
        </w:rPr>
        <w:t xml:space="preserve">and were </w:t>
      </w:r>
      <w:r w:rsidR="00DB05F2">
        <w:rPr>
          <w:rFonts w:eastAsia="Arial" w:cs="Arial"/>
          <w:color w:val="000000"/>
        </w:rPr>
        <w:t>required</w:t>
      </w:r>
      <w:r w:rsidR="00B05F6E">
        <w:rPr>
          <w:rFonts w:eastAsia="Arial" w:cs="Arial"/>
          <w:color w:val="000000"/>
        </w:rPr>
        <w:t xml:space="preserve"> by imposed licence condition</w:t>
      </w:r>
      <w:r w:rsidR="00DB05F2">
        <w:rPr>
          <w:rFonts w:eastAsia="Arial" w:cs="Arial"/>
          <w:color w:val="000000"/>
        </w:rPr>
        <w:t xml:space="preserve"> to </w:t>
      </w:r>
      <w:r w:rsidR="3D7D3C87" w:rsidRPr="00D850B1">
        <w:rPr>
          <w:rFonts w:eastAsia="Arial" w:cs="Arial"/>
          <w:color w:val="000000"/>
        </w:rPr>
        <w:t>undertake remedial training</w:t>
      </w:r>
    </w:p>
    <w:p w14:paraId="2226667C" w14:textId="0F07D31C" w:rsidR="00393952" w:rsidRPr="00A57D9E" w:rsidRDefault="00164519" w:rsidP="00BD69F7">
      <w:pPr>
        <w:pStyle w:val="ListParagraph"/>
        <w:numPr>
          <w:ilvl w:val="0"/>
          <w:numId w:val="46"/>
        </w:numPr>
        <w:spacing w:before="120" w:after="120"/>
        <w:ind w:left="714" w:hanging="357"/>
        <w:contextualSpacing w:val="0"/>
        <w:rPr>
          <w:rFonts w:eastAsia="Arial" w:cs="Arial"/>
          <w:color w:val="000000"/>
        </w:rPr>
      </w:pPr>
      <w:r w:rsidRPr="005D5C82">
        <w:rPr>
          <w:rFonts w:eastAsia="Arial" w:cs="Arial"/>
          <w:color w:val="000000"/>
        </w:rPr>
        <w:t>three</w:t>
      </w:r>
      <w:r w:rsidR="3D7D3C87" w:rsidRPr="00D850B1">
        <w:rPr>
          <w:rFonts w:eastAsia="Arial" w:cs="Arial"/>
          <w:color w:val="000000"/>
        </w:rPr>
        <w:t xml:space="preserve"> </w:t>
      </w:r>
      <w:r w:rsidR="5A1F457D" w:rsidRPr="005D5C82">
        <w:rPr>
          <w:rFonts w:eastAsia="Arial" w:cs="Arial"/>
          <w:color w:val="000000"/>
        </w:rPr>
        <w:t>licensees</w:t>
      </w:r>
      <w:r w:rsidR="3D7D3C87" w:rsidRPr="005D5C82">
        <w:rPr>
          <w:rFonts w:eastAsia="Arial" w:cs="Arial"/>
          <w:color w:val="000000"/>
        </w:rPr>
        <w:t xml:space="preserve"> </w:t>
      </w:r>
      <w:r w:rsidR="00DB05F2">
        <w:rPr>
          <w:rFonts w:eastAsia="Arial" w:cs="Arial"/>
          <w:color w:val="000000"/>
        </w:rPr>
        <w:t xml:space="preserve">who received a </w:t>
      </w:r>
      <w:r w:rsidR="3D7D3C87" w:rsidRPr="005D5C82">
        <w:rPr>
          <w:rFonts w:eastAsia="Arial" w:cs="Arial"/>
          <w:color w:val="000000"/>
        </w:rPr>
        <w:t>reprimand</w:t>
      </w:r>
      <w:r w:rsidR="0DCFC077" w:rsidRPr="005D5C82">
        <w:rPr>
          <w:rFonts w:eastAsia="Arial" w:cs="Arial"/>
          <w:color w:val="000000"/>
        </w:rPr>
        <w:t xml:space="preserve"> </w:t>
      </w:r>
      <w:r w:rsidR="00DA3E9E">
        <w:rPr>
          <w:rFonts w:eastAsia="Arial" w:cs="Arial"/>
          <w:color w:val="000000"/>
        </w:rPr>
        <w:t xml:space="preserve">with no further </w:t>
      </w:r>
      <w:r w:rsidR="621C399C" w:rsidRPr="005D5C82">
        <w:rPr>
          <w:rFonts w:eastAsia="Arial" w:cs="Arial"/>
          <w:color w:val="000000"/>
        </w:rPr>
        <w:t>action</w:t>
      </w:r>
    </w:p>
    <w:p w14:paraId="7120DBF4" w14:textId="46BB92F9" w:rsidR="36160F75" w:rsidRPr="00A57D9E" w:rsidRDefault="00164519" w:rsidP="00BD69F7">
      <w:pPr>
        <w:pStyle w:val="ListParagraph"/>
        <w:numPr>
          <w:ilvl w:val="0"/>
          <w:numId w:val="46"/>
        </w:numPr>
        <w:spacing w:before="120" w:after="120"/>
        <w:ind w:left="714" w:hanging="357"/>
        <w:contextualSpacing w:val="0"/>
        <w:rPr>
          <w:szCs w:val="22"/>
        </w:rPr>
      </w:pPr>
      <w:r w:rsidRPr="005D5C82">
        <w:rPr>
          <w:rFonts w:eastAsia="Arial" w:cs="Arial"/>
          <w:color w:val="000000"/>
        </w:rPr>
        <w:t>three</w:t>
      </w:r>
      <w:r w:rsidR="3D7D3C87" w:rsidRPr="00D850B1">
        <w:rPr>
          <w:rFonts w:eastAsia="Arial" w:cs="Arial"/>
          <w:color w:val="000000"/>
        </w:rPr>
        <w:t xml:space="preserve"> </w:t>
      </w:r>
      <w:r w:rsidR="320F6749" w:rsidRPr="005D5C82">
        <w:rPr>
          <w:rFonts w:eastAsia="Arial" w:cs="Arial"/>
          <w:color w:val="000000"/>
        </w:rPr>
        <w:t>licensees</w:t>
      </w:r>
      <w:r w:rsidR="3D7D3C87" w:rsidRPr="00D850B1">
        <w:rPr>
          <w:rFonts w:eastAsia="Arial" w:cs="Arial"/>
          <w:color w:val="000000"/>
        </w:rPr>
        <w:t xml:space="preserve"> </w:t>
      </w:r>
      <w:r w:rsidR="00DA3E9E">
        <w:rPr>
          <w:rFonts w:eastAsia="Arial" w:cs="Arial"/>
          <w:color w:val="000000"/>
        </w:rPr>
        <w:t xml:space="preserve">who </w:t>
      </w:r>
      <w:r w:rsidR="00645939">
        <w:rPr>
          <w:rFonts w:eastAsia="Arial" w:cs="Arial"/>
          <w:color w:val="000000"/>
        </w:rPr>
        <w:t xml:space="preserve">were required </w:t>
      </w:r>
      <w:r w:rsidR="00391F33">
        <w:rPr>
          <w:rFonts w:eastAsia="Arial" w:cs="Arial"/>
          <w:color w:val="000000"/>
        </w:rPr>
        <w:t xml:space="preserve">by imposed licence condition </w:t>
      </w:r>
      <w:r w:rsidR="00645939">
        <w:rPr>
          <w:rFonts w:eastAsia="Arial" w:cs="Arial"/>
          <w:color w:val="000000"/>
        </w:rPr>
        <w:t xml:space="preserve">to </w:t>
      </w:r>
      <w:r w:rsidR="3D7D3C87" w:rsidRPr="005D5C82">
        <w:rPr>
          <w:rFonts w:eastAsia="Arial" w:cs="Arial"/>
          <w:color w:val="000000"/>
        </w:rPr>
        <w:t xml:space="preserve">undertake remedial training </w:t>
      </w:r>
      <w:r w:rsidR="4E388BCF" w:rsidRPr="005D5C82">
        <w:rPr>
          <w:rFonts w:eastAsia="Arial" w:cs="Arial"/>
          <w:color w:val="000000"/>
        </w:rPr>
        <w:t xml:space="preserve">with </w:t>
      </w:r>
      <w:r w:rsidR="28127556" w:rsidRPr="005D5C82">
        <w:rPr>
          <w:rFonts w:eastAsia="Arial" w:cs="Arial"/>
          <w:color w:val="000000"/>
        </w:rPr>
        <w:t xml:space="preserve">no </w:t>
      </w:r>
      <w:r w:rsidR="00B302AA">
        <w:rPr>
          <w:rFonts w:eastAsia="Arial" w:cs="Arial"/>
          <w:color w:val="000000"/>
        </w:rPr>
        <w:t>further</w:t>
      </w:r>
      <w:r w:rsidR="28127556" w:rsidRPr="005D5C82">
        <w:rPr>
          <w:rFonts w:eastAsia="Arial" w:cs="Arial"/>
          <w:color w:val="000000"/>
        </w:rPr>
        <w:t xml:space="preserve"> action</w:t>
      </w:r>
      <w:r w:rsidR="00393952" w:rsidRPr="00D850B1">
        <w:rPr>
          <w:rFonts w:eastAsia="Arial" w:cs="Arial"/>
          <w:color w:val="000000"/>
        </w:rPr>
        <w:t>.</w:t>
      </w:r>
    </w:p>
    <w:p w14:paraId="6127574B" w14:textId="1B3199D5" w:rsidR="36160F75" w:rsidRPr="00A57D9E" w:rsidRDefault="005A1784">
      <w:pPr>
        <w:rPr>
          <w:rFonts w:eastAsia="Arial" w:cs="Arial"/>
          <w:color w:val="000000"/>
        </w:rPr>
      </w:pPr>
      <w:r>
        <w:rPr>
          <w:rFonts w:eastAsia="Arial" w:cs="Arial"/>
          <w:color w:val="000000"/>
        </w:rPr>
        <w:t xml:space="preserve">In a further nine cases, </w:t>
      </w:r>
      <w:r w:rsidR="36160F75" w:rsidRPr="79FA613E">
        <w:rPr>
          <w:rFonts w:eastAsia="Arial" w:cs="Arial"/>
          <w:color w:val="000000"/>
        </w:rPr>
        <w:t xml:space="preserve">no </w:t>
      </w:r>
      <w:r w:rsidR="008A1DC7">
        <w:rPr>
          <w:rFonts w:eastAsia="Arial" w:cs="Arial"/>
          <w:color w:val="000000"/>
        </w:rPr>
        <w:t xml:space="preserve">disciplinary action was taken after </w:t>
      </w:r>
      <w:r w:rsidR="36160F75" w:rsidRPr="79FA613E">
        <w:rPr>
          <w:rFonts w:eastAsia="Arial" w:cs="Arial"/>
          <w:color w:val="000000"/>
        </w:rPr>
        <w:t>licensees respon</w:t>
      </w:r>
      <w:r w:rsidR="008A1DC7">
        <w:rPr>
          <w:rFonts w:eastAsia="Arial" w:cs="Arial"/>
          <w:color w:val="000000"/>
        </w:rPr>
        <w:t>ded</w:t>
      </w:r>
      <w:r w:rsidR="36160F75" w:rsidRPr="79FA613E">
        <w:rPr>
          <w:rFonts w:eastAsia="Arial" w:cs="Arial"/>
          <w:color w:val="000000"/>
        </w:rPr>
        <w:t xml:space="preserve"> to show cause notices</w:t>
      </w:r>
      <w:r w:rsidR="00A17E01">
        <w:rPr>
          <w:rFonts w:eastAsia="Arial" w:cs="Arial"/>
          <w:color w:val="000000"/>
        </w:rPr>
        <w:t>. Of these</w:t>
      </w:r>
      <w:r w:rsidR="34C1C84D" w:rsidRPr="68AE1DE7">
        <w:rPr>
          <w:rFonts w:eastAsia="Arial" w:cs="Arial"/>
          <w:color w:val="000000"/>
        </w:rPr>
        <w:t>:</w:t>
      </w:r>
    </w:p>
    <w:p w14:paraId="2C378630" w14:textId="54A00FDF" w:rsidR="00393952" w:rsidRPr="00A57D9E" w:rsidRDefault="00393952" w:rsidP="00BD69F7">
      <w:pPr>
        <w:pStyle w:val="ListParagraph"/>
        <w:numPr>
          <w:ilvl w:val="0"/>
          <w:numId w:val="45"/>
        </w:numPr>
        <w:spacing w:before="120" w:after="120"/>
        <w:ind w:left="714" w:hanging="357"/>
        <w:contextualSpacing w:val="0"/>
        <w:rPr>
          <w:rFonts w:eastAsia="Arial" w:cs="Arial"/>
          <w:color w:val="000000"/>
          <w:szCs w:val="22"/>
        </w:rPr>
      </w:pPr>
      <w:r w:rsidRPr="00D850B1">
        <w:rPr>
          <w:rFonts w:eastAsia="Arial" w:cs="Arial"/>
          <w:color w:val="000000"/>
          <w:szCs w:val="22"/>
        </w:rPr>
        <w:lastRenderedPageBreak/>
        <w:t>eight</w:t>
      </w:r>
      <w:r w:rsidR="36160F75" w:rsidRPr="005D5C82">
        <w:rPr>
          <w:rFonts w:eastAsia="Arial" w:cs="Arial"/>
          <w:color w:val="000000"/>
          <w:szCs w:val="22"/>
        </w:rPr>
        <w:t xml:space="preserve"> licensees </w:t>
      </w:r>
      <w:r w:rsidR="00A17E01">
        <w:rPr>
          <w:rFonts w:eastAsia="Arial" w:cs="Arial"/>
          <w:color w:val="000000"/>
          <w:szCs w:val="22"/>
        </w:rPr>
        <w:t xml:space="preserve">voluntarily </w:t>
      </w:r>
      <w:r w:rsidR="36160F75" w:rsidRPr="005D5C82">
        <w:rPr>
          <w:rFonts w:eastAsia="Arial" w:cs="Arial"/>
          <w:color w:val="000000"/>
          <w:szCs w:val="22"/>
        </w:rPr>
        <w:t>undert</w:t>
      </w:r>
      <w:r w:rsidR="00067B54">
        <w:rPr>
          <w:rFonts w:eastAsia="Arial" w:cs="Arial"/>
          <w:color w:val="000000"/>
          <w:szCs w:val="22"/>
        </w:rPr>
        <w:t>ook</w:t>
      </w:r>
      <w:r w:rsidR="36160F75" w:rsidRPr="005D5C82">
        <w:rPr>
          <w:rFonts w:eastAsia="Arial" w:cs="Arial"/>
          <w:color w:val="000000"/>
          <w:szCs w:val="22"/>
        </w:rPr>
        <w:t xml:space="preserve"> remedial training in line with the </w:t>
      </w:r>
      <w:r w:rsidR="00067B54">
        <w:rPr>
          <w:rFonts w:eastAsia="Arial" w:cs="Arial"/>
          <w:color w:val="000000"/>
          <w:szCs w:val="22"/>
        </w:rPr>
        <w:t xml:space="preserve">proposed </w:t>
      </w:r>
      <w:r w:rsidR="51064A49" w:rsidRPr="005D5C82">
        <w:rPr>
          <w:rFonts w:eastAsia="Arial" w:cs="Arial"/>
          <w:color w:val="000000"/>
        </w:rPr>
        <w:t xml:space="preserve">training </w:t>
      </w:r>
      <w:r w:rsidR="36160F75" w:rsidRPr="005D5C82">
        <w:rPr>
          <w:rFonts w:eastAsia="Arial" w:cs="Arial"/>
          <w:color w:val="000000"/>
          <w:szCs w:val="22"/>
        </w:rPr>
        <w:t>condition</w:t>
      </w:r>
    </w:p>
    <w:p w14:paraId="7059E384" w14:textId="11B677A2" w:rsidR="36160F75" w:rsidRPr="00A57D9E" w:rsidRDefault="00393952" w:rsidP="3D69D41E">
      <w:pPr>
        <w:pStyle w:val="ListParagraph"/>
        <w:numPr>
          <w:ilvl w:val="0"/>
          <w:numId w:val="45"/>
        </w:numPr>
        <w:spacing w:before="120" w:after="120"/>
        <w:ind w:left="714" w:hanging="357"/>
        <w:rPr>
          <w:rFonts w:eastAsia="Arial" w:cs="Arial"/>
          <w:color w:val="000000"/>
        </w:rPr>
      </w:pPr>
      <w:r w:rsidRPr="3D69D41E">
        <w:rPr>
          <w:rFonts w:eastAsia="Arial" w:cs="Arial"/>
          <w:color w:val="000000"/>
        </w:rPr>
        <w:t>one</w:t>
      </w:r>
      <w:r w:rsidR="36160F75" w:rsidRPr="005D5C82">
        <w:rPr>
          <w:rFonts w:eastAsia="Arial" w:cs="Arial"/>
          <w:color w:val="000000"/>
        </w:rPr>
        <w:t xml:space="preserve"> </w:t>
      </w:r>
      <w:r w:rsidR="00D647D4">
        <w:rPr>
          <w:rFonts w:eastAsia="Arial" w:cs="Arial"/>
          <w:color w:val="000000"/>
        </w:rPr>
        <w:t xml:space="preserve">licensee provided </w:t>
      </w:r>
      <w:r w:rsidR="25D184B6" w:rsidRPr="005D5C82">
        <w:rPr>
          <w:rFonts w:eastAsia="Arial" w:cs="Arial"/>
          <w:color w:val="000000"/>
        </w:rPr>
        <w:t>a submission</w:t>
      </w:r>
      <w:r w:rsidR="00D647D4">
        <w:rPr>
          <w:rFonts w:eastAsia="Arial" w:cs="Arial"/>
          <w:color w:val="000000"/>
        </w:rPr>
        <w:t xml:space="preserve"> that</w:t>
      </w:r>
      <w:r w:rsidR="25D184B6" w:rsidRPr="005D5C82">
        <w:rPr>
          <w:rFonts w:eastAsia="Arial" w:cs="Arial"/>
          <w:color w:val="000000"/>
        </w:rPr>
        <w:t xml:space="preserve"> </w:t>
      </w:r>
      <w:r w:rsidR="25D184B6" w:rsidRPr="00D850B1">
        <w:rPr>
          <w:rFonts w:eastAsia="Arial" w:cs="Arial"/>
          <w:color w:val="000000"/>
        </w:rPr>
        <w:t>w</w:t>
      </w:r>
      <w:r w:rsidR="00A66A42">
        <w:rPr>
          <w:rFonts w:eastAsia="Arial" w:cs="Arial"/>
          <w:color w:val="000000"/>
        </w:rPr>
        <w:t>as</w:t>
      </w:r>
      <w:r w:rsidR="25D184B6" w:rsidRPr="005D5C82">
        <w:rPr>
          <w:rFonts w:eastAsia="Arial" w:cs="Arial"/>
          <w:color w:val="000000"/>
        </w:rPr>
        <w:t xml:space="preserve"> </w:t>
      </w:r>
      <w:bookmarkStart w:id="90" w:name="_Int_RzY1cOdB"/>
      <w:proofErr w:type="gramStart"/>
      <w:r w:rsidR="25D184B6" w:rsidRPr="005D5C82">
        <w:rPr>
          <w:rFonts w:eastAsia="Arial" w:cs="Arial"/>
          <w:color w:val="000000"/>
        </w:rPr>
        <w:t>accepted</w:t>
      </w:r>
      <w:bookmarkEnd w:id="90"/>
      <w:proofErr w:type="gramEnd"/>
      <w:r w:rsidR="25D184B6" w:rsidRPr="005D5C82">
        <w:rPr>
          <w:rFonts w:eastAsia="Arial" w:cs="Arial"/>
          <w:color w:val="000000"/>
        </w:rPr>
        <w:t xml:space="preserve"> and the proposed </w:t>
      </w:r>
      <w:r w:rsidR="36160F75" w:rsidRPr="3D69D41E">
        <w:rPr>
          <w:rFonts w:eastAsia="Arial" w:cs="Arial"/>
          <w:color w:val="000000"/>
        </w:rPr>
        <w:t xml:space="preserve">reprimand </w:t>
      </w:r>
      <w:r w:rsidR="00A356C9" w:rsidRPr="3D69D41E">
        <w:rPr>
          <w:rFonts w:eastAsia="Arial" w:cs="Arial"/>
          <w:color w:val="000000"/>
        </w:rPr>
        <w:t xml:space="preserve">did </w:t>
      </w:r>
      <w:r w:rsidR="6EE17CE4" w:rsidRPr="005D5C82">
        <w:rPr>
          <w:rFonts w:eastAsia="Arial" w:cs="Arial"/>
          <w:color w:val="000000"/>
        </w:rPr>
        <w:t>not proceed</w:t>
      </w:r>
      <w:r w:rsidR="00785204">
        <w:rPr>
          <w:rFonts w:eastAsia="Arial" w:cs="Arial"/>
          <w:color w:val="000000"/>
        </w:rPr>
        <w:t>.</w:t>
      </w:r>
    </w:p>
    <w:p w14:paraId="26A2EA7B" w14:textId="6D63BD1F" w:rsidR="02C51328" w:rsidRPr="00A57D9E" w:rsidRDefault="00785204" w:rsidP="00D850B1">
      <w:pPr>
        <w:rPr>
          <w:rFonts w:eastAsia="Arial" w:cs="Arial"/>
          <w:color w:val="000000"/>
        </w:rPr>
      </w:pPr>
      <w:r>
        <w:rPr>
          <w:rFonts w:eastAsia="Arial" w:cs="Arial"/>
          <w:color w:val="000000"/>
        </w:rPr>
        <w:t>Two</w:t>
      </w:r>
      <w:r w:rsidR="5F4BC740" w:rsidRPr="6CB4615F">
        <w:rPr>
          <w:rFonts w:eastAsia="Arial" w:cs="Arial"/>
          <w:color w:val="000000"/>
        </w:rPr>
        <w:t xml:space="preserve"> </w:t>
      </w:r>
      <w:r w:rsidR="70CC2246" w:rsidRPr="1E658C25">
        <w:rPr>
          <w:rFonts w:eastAsia="Arial" w:cs="Arial"/>
          <w:color w:val="000000"/>
        </w:rPr>
        <w:t>investigations</w:t>
      </w:r>
      <w:r w:rsidR="5F4BC740" w:rsidRPr="6CB4615F">
        <w:rPr>
          <w:rFonts w:eastAsia="Arial" w:cs="Arial"/>
          <w:color w:val="000000"/>
        </w:rPr>
        <w:t xml:space="preserve"> remain active with decisions pending</w:t>
      </w:r>
      <w:r w:rsidR="5671F632" w:rsidRPr="08677503">
        <w:rPr>
          <w:rFonts w:eastAsia="Arial" w:cs="Arial"/>
          <w:color w:val="000000"/>
        </w:rPr>
        <w:t>.</w:t>
      </w:r>
    </w:p>
    <w:p w14:paraId="68D5F7AD" w14:textId="08024820" w:rsidR="67B87920" w:rsidRDefault="67B87920" w:rsidP="00D850B1"/>
    <w:p w14:paraId="61E01526" w14:textId="130A97BA" w:rsidR="003C23C7" w:rsidRDefault="00E64208" w:rsidP="00475D52">
      <w:pPr>
        <w:spacing w:before="120" w:after="120"/>
        <w:rPr>
          <w:rFonts w:eastAsiaTheme="majorEastAsia" w:cstheme="majorBidi"/>
          <w:bCs/>
          <w:sz w:val="32"/>
          <w:szCs w:val="32"/>
        </w:rPr>
      </w:pPr>
      <w:r w:rsidRPr="7E4EA285">
        <w:rPr>
          <w:rFonts w:cs="Arial"/>
        </w:rPr>
        <w:t xml:space="preserve"> </w:t>
      </w:r>
      <w:bookmarkStart w:id="91" w:name="_Education_and_engagement"/>
      <w:bookmarkEnd w:id="91"/>
      <w:r w:rsidR="003C23C7">
        <w:br w:type="page"/>
      </w:r>
    </w:p>
    <w:p w14:paraId="71075554" w14:textId="2DFC3F9C" w:rsidR="006B0B33" w:rsidRPr="00D31484" w:rsidRDefault="006B0B33" w:rsidP="006B0B33">
      <w:pPr>
        <w:pStyle w:val="Heading2"/>
      </w:pPr>
      <w:bookmarkStart w:id="92" w:name="_Toc206493014"/>
      <w:r w:rsidRPr="00D31484">
        <w:lastRenderedPageBreak/>
        <w:t>Dispute resolution</w:t>
      </w:r>
      <w:bookmarkEnd w:id="92"/>
    </w:p>
    <w:p w14:paraId="536B7D51" w14:textId="7F01F370" w:rsidR="006B0B33" w:rsidRDefault="006B0B33" w:rsidP="006B0B33">
      <w:pPr>
        <w:spacing w:before="120" w:after="120"/>
      </w:pPr>
      <w:r w:rsidRPr="00333568">
        <w:t xml:space="preserve">The </w:t>
      </w:r>
      <w:r w:rsidRPr="00D012DB" w:rsidDel="005F0E0A">
        <w:t xml:space="preserve">QBCC </w:t>
      </w:r>
      <w:r>
        <w:t xml:space="preserve">provides a range of dispute resolution services to assist </w:t>
      </w:r>
      <w:bookmarkStart w:id="93" w:name="_Int_HMJU7K0f"/>
      <w:proofErr w:type="gramStart"/>
      <w:r>
        <w:t>home owners</w:t>
      </w:r>
      <w:bookmarkEnd w:id="93"/>
      <w:proofErr w:type="gramEnd"/>
      <w:r>
        <w:t xml:space="preserve"> and contractors in resolving building-related issues. Dispute resolution services prioritise early intervention and practical outcomes to help prevent disputes from escalating to </w:t>
      </w:r>
      <w:r w:rsidR="002F388B">
        <w:t xml:space="preserve">the </w:t>
      </w:r>
      <w:r w:rsidRPr="002F4C10">
        <w:t xml:space="preserve">Queensland Civil and Administrative Tribunal </w:t>
      </w:r>
      <w:r>
        <w:t>(QCAT). The three primary services offered are:</w:t>
      </w:r>
    </w:p>
    <w:p w14:paraId="5DB36C7B" w14:textId="343955B8" w:rsidR="006B0B33" w:rsidRDefault="006B0B33" w:rsidP="00BD69F7">
      <w:pPr>
        <w:pStyle w:val="ListParagraph"/>
        <w:numPr>
          <w:ilvl w:val="0"/>
          <w:numId w:val="59"/>
        </w:numPr>
        <w:spacing w:before="120" w:after="120"/>
        <w:contextualSpacing w:val="0"/>
      </w:pPr>
      <w:r w:rsidRPr="00F34150">
        <w:rPr>
          <w:b/>
          <w:bCs/>
        </w:rPr>
        <w:t xml:space="preserve">Early </w:t>
      </w:r>
      <w:r w:rsidR="001B4688">
        <w:rPr>
          <w:b/>
          <w:bCs/>
        </w:rPr>
        <w:t>d</w:t>
      </w:r>
      <w:r w:rsidRPr="00F34150">
        <w:rPr>
          <w:b/>
          <w:bCs/>
        </w:rPr>
        <w:t xml:space="preserve">ispute </w:t>
      </w:r>
      <w:r w:rsidR="001B4688">
        <w:rPr>
          <w:b/>
          <w:bCs/>
        </w:rPr>
        <w:t>r</w:t>
      </w:r>
      <w:r w:rsidRPr="00F34150">
        <w:rPr>
          <w:b/>
          <w:bCs/>
        </w:rPr>
        <w:t>esolution:</w:t>
      </w:r>
      <w:r>
        <w:t xml:space="preserve"> A</w:t>
      </w:r>
      <w:r w:rsidRPr="006D1FF1">
        <w:t>n informal and accessible pathway for resolving residential building disputes before the completion of a contract.</w:t>
      </w:r>
    </w:p>
    <w:p w14:paraId="4755A5A4" w14:textId="5C14691F" w:rsidR="006B0B33" w:rsidRDefault="006B0B33" w:rsidP="00BD69F7">
      <w:pPr>
        <w:pStyle w:val="ListParagraph"/>
        <w:numPr>
          <w:ilvl w:val="0"/>
          <w:numId w:val="59"/>
        </w:numPr>
        <w:spacing w:before="120" w:after="120"/>
        <w:contextualSpacing w:val="0"/>
      </w:pPr>
      <w:r w:rsidRPr="00D850B1">
        <w:rPr>
          <w:b/>
          <w:bCs/>
        </w:rPr>
        <w:t xml:space="preserve">Defective </w:t>
      </w:r>
      <w:r w:rsidR="001B4688">
        <w:rPr>
          <w:b/>
          <w:bCs/>
        </w:rPr>
        <w:t>b</w:t>
      </w:r>
      <w:r w:rsidRPr="00D850B1">
        <w:rPr>
          <w:b/>
          <w:bCs/>
        </w:rPr>
        <w:t xml:space="preserve">uilding </w:t>
      </w:r>
      <w:r w:rsidR="001B4688">
        <w:rPr>
          <w:b/>
          <w:bCs/>
        </w:rPr>
        <w:t>w</w:t>
      </w:r>
      <w:r w:rsidRPr="00D850B1">
        <w:rPr>
          <w:b/>
          <w:bCs/>
        </w:rPr>
        <w:t xml:space="preserve">ork </w:t>
      </w:r>
      <w:r w:rsidR="001B4688">
        <w:rPr>
          <w:b/>
          <w:bCs/>
        </w:rPr>
        <w:t>c</w:t>
      </w:r>
      <w:r w:rsidRPr="00D850B1">
        <w:rPr>
          <w:b/>
          <w:bCs/>
        </w:rPr>
        <w:t>omplaints:</w:t>
      </w:r>
      <w:r>
        <w:t xml:space="preserve"> Often i</w:t>
      </w:r>
      <w:r w:rsidRPr="00777338">
        <w:t>nvolv</w:t>
      </w:r>
      <w:r w:rsidR="006075D8">
        <w:t>ing</w:t>
      </w:r>
      <w:r w:rsidRPr="00777338">
        <w:t xml:space="preserve"> multiple issues, such as cracked tiles, poor plastering, leaking roofs, unfinished work, foundation movement, framing errors and waterproofing failures</w:t>
      </w:r>
      <w:r>
        <w:t>.</w:t>
      </w:r>
    </w:p>
    <w:p w14:paraId="3BC06131" w14:textId="3E90FE12" w:rsidR="006B0B33" w:rsidRDefault="006B0B33" w:rsidP="00BD69F7">
      <w:pPr>
        <w:pStyle w:val="ListParagraph"/>
        <w:numPr>
          <w:ilvl w:val="0"/>
          <w:numId w:val="59"/>
        </w:numPr>
        <w:spacing w:before="120" w:after="120"/>
        <w:contextualSpacing w:val="0"/>
      </w:pPr>
      <w:r>
        <w:rPr>
          <w:b/>
          <w:bCs/>
        </w:rPr>
        <w:t>Mediation and Conciliation:</w:t>
      </w:r>
      <w:r>
        <w:t xml:space="preserve"> A</w:t>
      </w:r>
      <w:r w:rsidRPr="00CB6640">
        <w:t xml:space="preserve"> </w:t>
      </w:r>
      <w:r>
        <w:t xml:space="preserve">pilot initiative that provides a </w:t>
      </w:r>
      <w:r w:rsidRPr="00CB6640">
        <w:t>structured forum for early</w:t>
      </w:r>
      <w:r>
        <w:t xml:space="preserve"> and </w:t>
      </w:r>
      <w:r w:rsidRPr="00CB6640">
        <w:t xml:space="preserve">open </w:t>
      </w:r>
      <w:r>
        <w:t>communication to support the timely resolution of</w:t>
      </w:r>
      <w:r w:rsidRPr="00CB6640">
        <w:t xml:space="preserve"> </w:t>
      </w:r>
      <w:r>
        <w:t>suitable</w:t>
      </w:r>
      <w:r w:rsidRPr="00CB6640">
        <w:t xml:space="preserve"> disputes.</w:t>
      </w:r>
    </w:p>
    <w:p w14:paraId="5E5D5BC2" w14:textId="1FE582B1" w:rsidR="006B0B33" w:rsidRDefault="006B0B33" w:rsidP="006B0B33">
      <w:pPr>
        <w:spacing w:before="120" w:after="120"/>
      </w:pPr>
      <w:r>
        <w:t>Each complaint item is individually assessed to determine if the work is defective or incomplete</w:t>
      </w:r>
      <w:r w:rsidR="000408C4">
        <w:t>,</w:t>
      </w:r>
      <w:r>
        <w:t xml:space="preserve"> and to establish responsibility. Resolving disputes effectively helps prevent the need for further regulatory enforcement or legal proceedings and supports continued public confidence in the building and construction industry</w:t>
      </w:r>
      <w:r w:rsidRPr="00333568">
        <w:t xml:space="preserve">. </w:t>
      </w:r>
      <w:r w:rsidR="00BD3C17">
        <w:fldChar w:fldCharType="begin"/>
      </w:r>
      <w:r w:rsidR="00BD3C17">
        <w:instrText xml:space="preserve"> REF _Ref204670554 \h </w:instrText>
      </w:r>
      <w:r w:rsidR="00BD3C17">
        <w:fldChar w:fldCharType="separate"/>
      </w:r>
      <w:r w:rsidR="00BD3C17">
        <w:t xml:space="preserve">Table </w:t>
      </w:r>
      <w:r w:rsidR="00BD3C17" w:rsidRPr="00A57D9E">
        <w:t>12</w:t>
      </w:r>
      <w:r w:rsidR="00BD3C17">
        <w:fldChar w:fldCharType="end"/>
      </w:r>
      <w:r>
        <w:t xml:space="preserve"> outlines the number of disputes received and </w:t>
      </w:r>
      <w:r w:rsidR="0007178B">
        <w:t>d</w:t>
      </w:r>
      <w:r w:rsidR="00E0115E">
        <w:t xml:space="preserve">irections to </w:t>
      </w:r>
      <w:r w:rsidR="0007178B">
        <w:t>r</w:t>
      </w:r>
      <w:r w:rsidR="00E0115E">
        <w:t>ectify (</w:t>
      </w:r>
      <w:r>
        <w:t>DTR</w:t>
      </w:r>
      <w:r w:rsidR="00E0115E">
        <w:t>)</w:t>
      </w:r>
      <w:r>
        <w:t xml:space="preserve"> issued over the past five years. </w:t>
      </w:r>
    </w:p>
    <w:p w14:paraId="3E95FBD7" w14:textId="1C37E9DA" w:rsidR="006B0B33" w:rsidRDefault="006B0B33" w:rsidP="006B0B33">
      <w:pPr>
        <w:pStyle w:val="Caption"/>
        <w:keepNext/>
        <w:spacing w:before="120" w:after="120"/>
      </w:pPr>
      <w:bookmarkStart w:id="94" w:name="_Ref204670554"/>
      <w:r>
        <w:t xml:space="preserve">Table </w:t>
      </w:r>
      <w:r w:rsidR="0042456A">
        <w:fldChar w:fldCharType="begin"/>
      </w:r>
      <w:r w:rsidR="0042456A">
        <w:instrText xml:space="preserve"> SEQ Table \* ARABIC </w:instrText>
      </w:r>
      <w:r w:rsidR="0042456A">
        <w:fldChar w:fldCharType="separate"/>
      </w:r>
      <w:r w:rsidR="0042456A" w:rsidRPr="00A57D9E">
        <w:t>12</w:t>
      </w:r>
      <w:r w:rsidR="0042456A">
        <w:fldChar w:fldCharType="end"/>
      </w:r>
      <w:bookmarkEnd w:id="94"/>
      <w:r w:rsidRPr="004C08B5">
        <w:t xml:space="preserve">: Disputes cases received and </w:t>
      </w:r>
      <w:r w:rsidR="00AF52CC">
        <w:t>d</w:t>
      </w:r>
      <w:r w:rsidRPr="004C08B5">
        <w:t xml:space="preserve">irections to </w:t>
      </w:r>
      <w:r w:rsidR="00AF52CC">
        <w:t>r</w:t>
      </w:r>
      <w:r w:rsidRPr="004C08B5">
        <w:t>ectify issued over the past five years</w:t>
      </w:r>
    </w:p>
    <w:tbl>
      <w:tblPr>
        <w:tblW w:w="1044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324"/>
        <w:gridCol w:w="1425"/>
        <w:gridCol w:w="1425"/>
        <w:gridCol w:w="1425"/>
        <w:gridCol w:w="1425"/>
        <w:gridCol w:w="1425"/>
      </w:tblGrid>
      <w:tr w:rsidR="006B0B33" w:rsidRPr="00544AB2" w14:paraId="73B98482" w14:textId="77777777" w:rsidTr="00377E43">
        <w:trPr>
          <w:trHeight w:val="567"/>
        </w:trPr>
        <w:tc>
          <w:tcPr>
            <w:tcW w:w="3324"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1AEB4332" w14:textId="77777777" w:rsidR="006B0B33" w:rsidRPr="00544AB2" w:rsidRDefault="006B0B33">
            <w:pPr>
              <w:rPr>
                <w:rFonts w:cs="Arial"/>
                <w:b/>
              </w:rPr>
            </w:pPr>
            <w:r w:rsidRPr="00A513C1">
              <w:rPr>
                <w:rFonts w:cs="Arial"/>
              </w:rPr>
              <w:t> </w:t>
            </w:r>
            <w:r w:rsidRPr="00544AB2">
              <w:rPr>
                <w:rFonts w:cs="Arial"/>
                <w:b/>
              </w:rPr>
              <w:t>Dispute cases</w:t>
            </w:r>
          </w:p>
        </w:tc>
        <w:tc>
          <w:tcPr>
            <w:tcW w:w="142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4E7D91B5" w14:textId="77777777" w:rsidR="006B0B33" w:rsidRPr="00544AB2" w:rsidRDefault="006B0B33">
            <w:pPr>
              <w:rPr>
                <w:b/>
              </w:rPr>
            </w:pPr>
            <w:r w:rsidRPr="00544AB2">
              <w:rPr>
                <w:rFonts w:cs="Arial"/>
                <w:b/>
              </w:rPr>
              <w:t>2020–21</w:t>
            </w:r>
          </w:p>
        </w:tc>
        <w:tc>
          <w:tcPr>
            <w:tcW w:w="142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424B9D9A" w14:textId="77777777" w:rsidR="006B0B33" w:rsidRPr="00544AB2" w:rsidRDefault="006B0B33">
            <w:pPr>
              <w:rPr>
                <w:b/>
              </w:rPr>
            </w:pPr>
            <w:r w:rsidRPr="00544AB2">
              <w:rPr>
                <w:rFonts w:cs="Arial"/>
                <w:b/>
              </w:rPr>
              <w:t>2021–22</w:t>
            </w:r>
          </w:p>
        </w:tc>
        <w:tc>
          <w:tcPr>
            <w:tcW w:w="142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69E9F668" w14:textId="77777777" w:rsidR="006B0B33" w:rsidRPr="00544AB2" w:rsidRDefault="006B0B33">
            <w:pPr>
              <w:rPr>
                <w:b/>
              </w:rPr>
            </w:pPr>
            <w:r w:rsidRPr="00544AB2">
              <w:rPr>
                <w:rFonts w:cs="Arial"/>
                <w:b/>
              </w:rPr>
              <w:t>2022–23</w:t>
            </w:r>
          </w:p>
        </w:tc>
        <w:tc>
          <w:tcPr>
            <w:tcW w:w="142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4F9EEF56" w14:textId="77777777" w:rsidR="006B0B33" w:rsidRPr="00544AB2" w:rsidRDefault="006B0B33">
            <w:pPr>
              <w:rPr>
                <w:b/>
              </w:rPr>
            </w:pPr>
            <w:r w:rsidRPr="00544AB2">
              <w:rPr>
                <w:rFonts w:cs="Arial"/>
                <w:b/>
              </w:rPr>
              <w:t>2023–24</w:t>
            </w:r>
          </w:p>
        </w:tc>
        <w:tc>
          <w:tcPr>
            <w:tcW w:w="142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1F50A43D" w14:textId="77777777" w:rsidR="006B0B33" w:rsidRPr="00544AB2" w:rsidRDefault="006B0B33">
            <w:pPr>
              <w:rPr>
                <w:rFonts w:cs="Arial"/>
                <w:b/>
              </w:rPr>
            </w:pPr>
            <w:r w:rsidRPr="00544AB2">
              <w:rPr>
                <w:rFonts w:cs="Arial"/>
                <w:b/>
              </w:rPr>
              <w:t>2024–25</w:t>
            </w:r>
          </w:p>
        </w:tc>
      </w:tr>
      <w:tr w:rsidR="006B0B33" w:rsidRPr="00544AB2" w14:paraId="65FE170F" w14:textId="77777777" w:rsidTr="00377E43">
        <w:trPr>
          <w:trHeight w:val="567"/>
        </w:trPr>
        <w:tc>
          <w:tcPr>
            <w:tcW w:w="3324" w:type="dxa"/>
            <w:tcBorders>
              <w:top w:val="single" w:sz="6" w:space="0" w:color="000000"/>
              <w:left w:val="single" w:sz="6" w:space="0" w:color="000000"/>
              <w:bottom w:val="single" w:sz="6" w:space="0" w:color="000000"/>
              <w:right w:val="single" w:sz="6" w:space="0" w:color="000000"/>
            </w:tcBorders>
            <w:vAlign w:val="center"/>
          </w:tcPr>
          <w:p w14:paraId="2F1D72F4" w14:textId="20DA0313" w:rsidR="006B0B33" w:rsidRPr="00544AB2" w:rsidRDefault="006B0B33">
            <w:pPr>
              <w:rPr>
                <w:rFonts w:cs="Arial"/>
              </w:rPr>
            </w:pPr>
            <w:r w:rsidRPr="00544AB2">
              <w:rPr>
                <w:rFonts w:cs="Arial"/>
              </w:rPr>
              <w:t xml:space="preserve">Defective </w:t>
            </w:r>
            <w:r w:rsidR="00AF52CC">
              <w:rPr>
                <w:rFonts w:cs="Arial"/>
              </w:rPr>
              <w:t>b</w:t>
            </w:r>
            <w:r w:rsidRPr="00544AB2">
              <w:rPr>
                <w:rFonts w:cs="Arial"/>
              </w:rPr>
              <w:t xml:space="preserve">uilding </w:t>
            </w:r>
            <w:r w:rsidR="00AF52CC">
              <w:rPr>
                <w:rFonts w:cs="Arial"/>
              </w:rPr>
              <w:t>w</w:t>
            </w:r>
            <w:r w:rsidRPr="00544AB2">
              <w:rPr>
                <w:rFonts w:cs="Arial"/>
              </w:rPr>
              <w:t xml:space="preserve">ork </w:t>
            </w:r>
            <w:r w:rsidR="007E1FFB">
              <w:rPr>
                <w:rFonts w:cs="Arial"/>
              </w:rPr>
              <w:t>c</w:t>
            </w:r>
            <w:r w:rsidRPr="00544AB2">
              <w:rPr>
                <w:rFonts w:cs="Arial"/>
              </w:rPr>
              <w:t>omplaints</w:t>
            </w:r>
          </w:p>
        </w:tc>
        <w:tc>
          <w:tcPr>
            <w:tcW w:w="1425" w:type="dxa"/>
            <w:tcBorders>
              <w:top w:val="single" w:sz="6" w:space="0" w:color="000000"/>
              <w:left w:val="single" w:sz="6" w:space="0" w:color="000000"/>
              <w:bottom w:val="single" w:sz="6" w:space="0" w:color="000000"/>
              <w:right w:val="single" w:sz="6" w:space="0" w:color="000000"/>
            </w:tcBorders>
            <w:vAlign w:val="center"/>
          </w:tcPr>
          <w:p w14:paraId="17CFBAB5" w14:textId="77777777" w:rsidR="006B0B33" w:rsidRPr="00544AB2" w:rsidRDefault="006B0B33">
            <w:pPr>
              <w:rPr>
                <w:rFonts w:cs="Arial"/>
              </w:rPr>
            </w:pPr>
            <w:r w:rsidRPr="00544AB2">
              <w:rPr>
                <w:rFonts w:cs="Arial"/>
                <w:color w:val="020A0A"/>
              </w:rPr>
              <w:t>4,792</w:t>
            </w:r>
          </w:p>
        </w:tc>
        <w:tc>
          <w:tcPr>
            <w:tcW w:w="1425" w:type="dxa"/>
            <w:tcBorders>
              <w:top w:val="single" w:sz="6" w:space="0" w:color="000000"/>
              <w:left w:val="single" w:sz="6" w:space="0" w:color="000000"/>
              <w:bottom w:val="single" w:sz="6" w:space="0" w:color="000000"/>
              <w:right w:val="single" w:sz="6" w:space="0" w:color="000000"/>
            </w:tcBorders>
            <w:vAlign w:val="center"/>
          </w:tcPr>
          <w:p w14:paraId="173A70D9" w14:textId="77777777" w:rsidR="006B0B33" w:rsidRPr="00544AB2" w:rsidRDefault="006B0B33">
            <w:pPr>
              <w:rPr>
                <w:rFonts w:cs="Arial"/>
              </w:rPr>
            </w:pPr>
            <w:r w:rsidRPr="00544AB2">
              <w:rPr>
                <w:rFonts w:cs="Arial"/>
                <w:color w:val="020A0A"/>
              </w:rPr>
              <w:t>5,450</w:t>
            </w:r>
          </w:p>
        </w:tc>
        <w:tc>
          <w:tcPr>
            <w:tcW w:w="1425" w:type="dxa"/>
            <w:tcBorders>
              <w:top w:val="single" w:sz="6" w:space="0" w:color="000000"/>
              <w:left w:val="single" w:sz="6" w:space="0" w:color="000000"/>
              <w:bottom w:val="single" w:sz="6" w:space="0" w:color="000000"/>
              <w:right w:val="single" w:sz="6" w:space="0" w:color="000000"/>
            </w:tcBorders>
            <w:vAlign w:val="center"/>
          </w:tcPr>
          <w:p w14:paraId="3807E610" w14:textId="77777777" w:rsidR="006B0B33" w:rsidRPr="00544AB2" w:rsidRDefault="006B0B33">
            <w:pPr>
              <w:rPr>
                <w:rFonts w:cs="Arial"/>
              </w:rPr>
            </w:pPr>
            <w:r w:rsidRPr="00544AB2">
              <w:rPr>
                <w:rFonts w:cs="Arial"/>
                <w:color w:val="020A0A"/>
              </w:rPr>
              <w:t>5,344</w:t>
            </w:r>
          </w:p>
        </w:tc>
        <w:tc>
          <w:tcPr>
            <w:tcW w:w="1425" w:type="dxa"/>
            <w:tcBorders>
              <w:top w:val="single" w:sz="6" w:space="0" w:color="000000"/>
              <w:left w:val="single" w:sz="6" w:space="0" w:color="000000"/>
              <w:bottom w:val="single" w:sz="6" w:space="0" w:color="000000"/>
              <w:right w:val="single" w:sz="6" w:space="0" w:color="000000"/>
            </w:tcBorders>
            <w:vAlign w:val="center"/>
          </w:tcPr>
          <w:p w14:paraId="2211B441" w14:textId="77777777" w:rsidR="006B0B33" w:rsidRPr="00544AB2" w:rsidRDefault="006B0B33">
            <w:pPr>
              <w:rPr>
                <w:rFonts w:cs="Arial"/>
              </w:rPr>
            </w:pPr>
            <w:r w:rsidRPr="00544AB2">
              <w:rPr>
                <w:rFonts w:cs="Arial"/>
                <w:color w:val="020A0A"/>
              </w:rPr>
              <w:t>6,115</w:t>
            </w:r>
          </w:p>
        </w:tc>
        <w:tc>
          <w:tcPr>
            <w:tcW w:w="1425" w:type="dxa"/>
            <w:tcBorders>
              <w:top w:val="single" w:sz="6" w:space="0" w:color="000000"/>
              <w:left w:val="single" w:sz="6" w:space="0" w:color="000000"/>
              <w:bottom w:val="single" w:sz="6" w:space="0" w:color="000000"/>
              <w:right w:val="single" w:sz="6" w:space="0" w:color="000000"/>
            </w:tcBorders>
            <w:vAlign w:val="center"/>
          </w:tcPr>
          <w:p w14:paraId="1C3CDD2F" w14:textId="77777777" w:rsidR="006B0B33" w:rsidRPr="00851A5E" w:rsidRDefault="006B0B33">
            <w:pPr>
              <w:rPr>
                <w:rFonts w:cs="Arial"/>
              </w:rPr>
            </w:pPr>
            <w:r w:rsidRPr="00851A5E">
              <w:rPr>
                <w:rFonts w:cs="Arial"/>
              </w:rPr>
              <w:t>5</w:t>
            </w:r>
            <w:r>
              <w:rPr>
                <w:rFonts w:cs="Arial"/>
              </w:rPr>
              <w:t>,</w:t>
            </w:r>
            <w:r w:rsidRPr="00851A5E">
              <w:rPr>
                <w:rFonts w:cs="Arial"/>
              </w:rPr>
              <w:t>771</w:t>
            </w:r>
          </w:p>
        </w:tc>
      </w:tr>
      <w:tr w:rsidR="006B0B33" w:rsidRPr="00544AB2" w14:paraId="2948220E" w14:textId="77777777" w:rsidTr="00377E43">
        <w:trPr>
          <w:trHeight w:val="567"/>
        </w:trPr>
        <w:tc>
          <w:tcPr>
            <w:tcW w:w="3324" w:type="dxa"/>
            <w:tcBorders>
              <w:top w:val="single" w:sz="6" w:space="0" w:color="000000"/>
              <w:left w:val="single" w:sz="6" w:space="0" w:color="000000"/>
              <w:bottom w:val="single" w:sz="6" w:space="0" w:color="000000"/>
              <w:right w:val="single" w:sz="6" w:space="0" w:color="000000"/>
            </w:tcBorders>
            <w:vAlign w:val="center"/>
          </w:tcPr>
          <w:p w14:paraId="5FC7831F" w14:textId="3F398061" w:rsidR="006B0B33" w:rsidRPr="00544AB2" w:rsidRDefault="006B0B33">
            <w:pPr>
              <w:rPr>
                <w:rFonts w:cs="Arial"/>
              </w:rPr>
            </w:pPr>
            <w:r w:rsidRPr="00544AB2">
              <w:rPr>
                <w:rFonts w:cs="Arial"/>
              </w:rPr>
              <w:t xml:space="preserve">Early </w:t>
            </w:r>
            <w:r w:rsidR="007E1FFB">
              <w:rPr>
                <w:rFonts w:cs="Arial"/>
              </w:rPr>
              <w:t>d</w:t>
            </w:r>
            <w:r w:rsidRPr="00544AB2">
              <w:rPr>
                <w:rFonts w:cs="Arial"/>
              </w:rPr>
              <w:t xml:space="preserve">ispute </w:t>
            </w:r>
            <w:r w:rsidR="007E1FFB">
              <w:rPr>
                <w:rFonts w:cs="Arial"/>
              </w:rPr>
              <w:t>r</w:t>
            </w:r>
            <w:r w:rsidRPr="00544AB2">
              <w:rPr>
                <w:rFonts w:cs="Arial"/>
              </w:rPr>
              <w:t xml:space="preserve">esolution </w:t>
            </w:r>
          </w:p>
        </w:tc>
        <w:tc>
          <w:tcPr>
            <w:tcW w:w="1425" w:type="dxa"/>
            <w:tcBorders>
              <w:top w:val="single" w:sz="6" w:space="0" w:color="000000"/>
              <w:left w:val="single" w:sz="6" w:space="0" w:color="000000"/>
              <w:bottom w:val="single" w:sz="6" w:space="0" w:color="000000"/>
              <w:right w:val="single" w:sz="6" w:space="0" w:color="000000"/>
            </w:tcBorders>
            <w:vAlign w:val="center"/>
          </w:tcPr>
          <w:p w14:paraId="03FE32F4" w14:textId="77777777" w:rsidR="006B0B33" w:rsidRPr="00544AB2" w:rsidRDefault="006B0B33">
            <w:pPr>
              <w:rPr>
                <w:rFonts w:cs="Arial"/>
              </w:rPr>
            </w:pPr>
            <w:r w:rsidRPr="00544AB2">
              <w:rPr>
                <w:rFonts w:cs="Arial"/>
              </w:rPr>
              <w:t>657</w:t>
            </w:r>
          </w:p>
        </w:tc>
        <w:tc>
          <w:tcPr>
            <w:tcW w:w="1425" w:type="dxa"/>
            <w:tcBorders>
              <w:top w:val="single" w:sz="6" w:space="0" w:color="000000"/>
              <w:left w:val="single" w:sz="6" w:space="0" w:color="000000"/>
              <w:bottom w:val="single" w:sz="6" w:space="0" w:color="000000"/>
              <w:right w:val="single" w:sz="6" w:space="0" w:color="000000"/>
            </w:tcBorders>
            <w:vAlign w:val="center"/>
          </w:tcPr>
          <w:p w14:paraId="49F56354" w14:textId="77777777" w:rsidR="006B0B33" w:rsidRPr="00544AB2" w:rsidRDefault="006B0B33">
            <w:pPr>
              <w:rPr>
                <w:rFonts w:cs="Arial"/>
              </w:rPr>
            </w:pPr>
            <w:r w:rsidRPr="00544AB2">
              <w:rPr>
                <w:rFonts w:cs="Arial"/>
              </w:rPr>
              <w:t>1,050</w:t>
            </w:r>
          </w:p>
        </w:tc>
        <w:tc>
          <w:tcPr>
            <w:tcW w:w="1425" w:type="dxa"/>
            <w:tcBorders>
              <w:top w:val="single" w:sz="6" w:space="0" w:color="000000"/>
              <w:left w:val="single" w:sz="6" w:space="0" w:color="000000"/>
              <w:bottom w:val="single" w:sz="6" w:space="0" w:color="000000"/>
              <w:right w:val="single" w:sz="6" w:space="0" w:color="000000"/>
            </w:tcBorders>
            <w:vAlign w:val="center"/>
          </w:tcPr>
          <w:p w14:paraId="65F05931" w14:textId="77777777" w:rsidR="006B0B33" w:rsidRPr="00544AB2" w:rsidRDefault="006B0B33">
            <w:pPr>
              <w:rPr>
                <w:rFonts w:cs="Arial"/>
              </w:rPr>
            </w:pPr>
            <w:r w:rsidRPr="00544AB2">
              <w:rPr>
                <w:rFonts w:cs="Arial"/>
              </w:rPr>
              <w:t>962</w:t>
            </w:r>
          </w:p>
        </w:tc>
        <w:tc>
          <w:tcPr>
            <w:tcW w:w="1425" w:type="dxa"/>
            <w:tcBorders>
              <w:top w:val="single" w:sz="6" w:space="0" w:color="000000"/>
              <w:left w:val="single" w:sz="6" w:space="0" w:color="000000"/>
              <w:bottom w:val="single" w:sz="6" w:space="0" w:color="000000"/>
              <w:right w:val="single" w:sz="6" w:space="0" w:color="000000"/>
            </w:tcBorders>
            <w:vAlign w:val="center"/>
          </w:tcPr>
          <w:p w14:paraId="509A982C" w14:textId="77777777" w:rsidR="006B0B33" w:rsidRPr="00544AB2" w:rsidRDefault="006B0B33">
            <w:pPr>
              <w:rPr>
                <w:rFonts w:cs="Arial"/>
              </w:rPr>
            </w:pPr>
            <w:r w:rsidRPr="00544AB2">
              <w:rPr>
                <w:rFonts w:cs="Arial"/>
              </w:rPr>
              <w:t>899</w:t>
            </w:r>
          </w:p>
        </w:tc>
        <w:tc>
          <w:tcPr>
            <w:tcW w:w="1425" w:type="dxa"/>
            <w:tcBorders>
              <w:top w:val="single" w:sz="6" w:space="0" w:color="000000"/>
              <w:left w:val="single" w:sz="6" w:space="0" w:color="000000"/>
              <w:bottom w:val="single" w:sz="6" w:space="0" w:color="000000"/>
              <w:right w:val="single" w:sz="6" w:space="0" w:color="000000"/>
            </w:tcBorders>
            <w:vAlign w:val="center"/>
          </w:tcPr>
          <w:p w14:paraId="55CCB4FD" w14:textId="77777777" w:rsidR="006B0B33" w:rsidRPr="00851A5E" w:rsidRDefault="006B0B33">
            <w:pPr>
              <w:rPr>
                <w:rFonts w:cs="Arial"/>
              </w:rPr>
            </w:pPr>
            <w:r w:rsidRPr="00851A5E">
              <w:rPr>
                <w:rFonts w:cs="Arial"/>
              </w:rPr>
              <w:t>801</w:t>
            </w:r>
          </w:p>
        </w:tc>
      </w:tr>
      <w:tr w:rsidR="006B0B33" w:rsidRPr="00544AB2" w14:paraId="58785A00" w14:textId="77777777" w:rsidTr="00377E43">
        <w:trPr>
          <w:trHeight w:val="567"/>
        </w:trPr>
        <w:tc>
          <w:tcPr>
            <w:tcW w:w="3324" w:type="dxa"/>
            <w:tcBorders>
              <w:top w:val="single" w:sz="6" w:space="0" w:color="000000"/>
              <w:left w:val="single" w:sz="6" w:space="0" w:color="000000"/>
              <w:bottom w:val="single" w:sz="6" w:space="0" w:color="000000"/>
              <w:right w:val="single" w:sz="6" w:space="0" w:color="000000"/>
            </w:tcBorders>
            <w:vAlign w:val="center"/>
          </w:tcPr>
          <w:p w14:paraId="4F4F4C40" w14:textId="1BFEDD29" w:rsidR="006B0B33" w:rsidRPr="00544AB2" w:rsidRDefault="006B0B33">
            <w:pPr>
              <w:rPr>
                <w:rFonts w:cs="Arial"/>
              </w:rPr>
            </w:pPr>
            <w:r w:rsidRPr="00544AB2">
              <w:rPr>
                <w:rFonts w:cs="Arial"/>
              </w:rPr>
              <w:t xml:space="preserve">Directions to </w:t>
            </w:r>
            <w:r w:rsidR="007E1FFB">
              <w:rPr>
                <w:rFonts w:cs="Arial"/>
              </w:rPr>
              <w:t>r</w:t>
            </w:r>
            <w:r w:rsidRPr="00A513C1">
              <w:rPr>
                <w:rFonts w:cs="Arial"/>
              </w:rPr>
              <w:t>ectify</w:t>
            </w:r>
            <w:r w:rsidRPr="00544AB2">
              <w:rPr>
                <w:rFonts w:cs="Arial"/>
              </w:rPr>
              <w:t xml:space="preserve"> issued</w:t>
            </w:r>
          </w:p>
        </w:tc>
        <w:tc>
          <w:tcPr>
            <w:tcW w:w="1425" w:type="dxa"/>
            <w:tcBorders>
              <w:top w:val="single" w:sz="6" w:space="0" w:color="000000"/>
              <w:left w:val="single" w:sz="6" w:space="0" w:color="000000"/>
              <w:bottom w:val="single" w:sz="6" w:space="0" w:color="000000"/>
              <w:right w:val="single" w:sz="6" w:space="0" w:color="000000"/>
            </w:tcBorders>
            <w:vAlign w:val="center"/>
          </w:tcPr>
          <w:p w14:paraId="302D12EF" w14:textId="77777777" w:rsidR="006B0B33" w:rsidRPr="00544AB2" w:rsidRDefault="006B0B33">
            <w:r w:rsidRPr="00544AB2">
              <w:t>1,156</w:t>
            </w:r>
          </w:p>
        </w:tc>
        <w:tc>
          <w:tcPr>
            <w:tcW w:w="1425" w:type="dxa"/>
            <w:tcBorders>
              <w:top w:val="single" w:sz="6" w:space="0" w:color="000000"/>
              <w:left w:val="single" w:sz="6" w:space="0" w:color="000000"/>
              <w:bottom w:val="single" w:sz="6" w:space="0" w:color="000000"/>
              <w:right w:val="single" w:sz="6" w:space="0" w:color="000000"/>
            </w:tcBorders>
            <w:vAlign w:val="center"/>
          </w:tcPr>
          <w:p w14:paraId="4C3C32F1" w14:textId="77777777" w:rsidR="006B0B33" w:rsidRPr="00544AB2" w:rsidRDefault="006B0B33">
            <w:r w:rsidRPr="00544AB2">
              <w:t>979</w:t>
            </w:r>
          </w:p>
        </w:tc>
        <w:tc>
          <w:tcPr>
            <w:tcW w:w="1425" w:type="dxa"/>
            <w:tcBorders>
              <w:top w:val="single" w:sz="6" w:space="0" w:color="000000"/>
              <w:left w:val="single" w:sz="6" w:space="0" w:color="000000"/>
              <w:bottom w:val="single" w:sz="6" w:space="0" w:color="000000"/>
              <w:right w:val="single" w:sz="6" w:space="0" w:color="000000"/>
            </w:tcBorders>
            <w:vAlign w:val="center"/>
          </w:tcPr>
          <w:p w14:paraId="3C7B1268" w14:textId="77777777" w:rsidR="006B0B33" w:rsidRPr="00544AB2" w:rsidRDefault="006B0B33">
            <w:r w:rsidRPr="00544AB2">
              <w:t>1,009</w:t>
            </w:r>
          </w:p>
        </w:tc>
        <w:tc>
          <w:tcPr>
            <w:tcW w:w="1425" w:type="dxa"/>
            <w:tcBorders>
              <w:top w:val="single" w:sz="6" w:space="0" w:color="000000"/>
              <w:left w:val="single" w:sz="6" w:space="0" w:color="000000"/>
              <w:bottom w:val="single" w:sz="6" w:space="0" w:color="000000"/>
              <w:right w:val="single" w:sz="6" w:space="0" w:color="000000"/>
            </w:tcBorders>
            <w:vAlign w:val="center"/>
          </w:tcPr>
          <w:p w14:paraId="587DE4DD" w14:textId="77777777" w:rsidR="006B0B33" w:rsidRPr="00544AB2" w:rsidRDefault="006B0B33">
            <w:r w:rsidRPr="00544AB2">
              <w:t>1,301</w:t>
            </w:r>
          </w:p>
        </w:tc>
        <w:tc>
          <w:tcPr>
            <w:tcW w:w="1425" w:type="dxa"/>
            <w:tcBorders>
              <w:top w:val="single" w:sz="6" w:space="0" w:color="000000"/>
              <w:left w:val="single" w:sz="6" w:space="0" w:color="000000"/>
              <w:bottom w:val="single" w:sz="6" w:space="0" w:color="000000"/>
              <w:right w:val="single" w:sz="6" w:space="0" w:color="000000"/>
            </w:tcBorders>
            <w:vAlign w:val="center"/>
          </w:tcPr>
          <w:p w14:paraId="70C1DE41" w14:textId="77777777" w:rsidR="006B0B33" w:rsidRPr="00851A5E" w:rsidRDefault="006B0B33">
            <w:pPr>
              <w:rPr>
                <w:rFonts w:cs="Arial"/>
              </w:rPr>
            </w:pPr>
            <w:r w:rsidRPr="00851A5E">
              <w:rPr>
                <w:rFonts w:cs="Arial"/>
              </w:rPr>
              <w:t>1</w:t>
            </w:r>
            <w:r>
              <w:rPr>
                <w:rFonts w:cs="Arial"/>
              </w:rPr>
              <w:t>,</w:t>
            </w:r>
            <w:r w:rsidRPr="00851A5E">
              <w:rPr>
                <w:rFonts w:cs="Arial"/>
              </w:rPr>
              <w:t>223</w:t>
            </w:r>
          </w:p>
        </w:tc>
      </w:tr>
      <w:tr w:rsidR="006B0B33" w:rsidRPr="00BC7A87" w14:paraId="3B185FA0" w14:textId="77777777" w:rsidTr="00377E43">
        <w:trPr>
          <w:trHeight w:val="567"/>
        </w:trPr>
        <w:tc>
          <w:tcPr>
            <w:tcW w:w="3324" w:type="dxa"/>
            <w:tcBorders>
              <w:top w:val="single" w:sz="6" w:space="0" w:color="000000"/>
              <w:left w:val="single" w:sz="6" w:space="0" w:color="000000"/>
              <w:bottom w:val="single" w:sz="6" w:space="0" w:color="000000"/>
              <w:right w:val="single" w:sz="6" w:space="0" w:color="000000"/>
            </w:tcBorders>
            <w:vAlign w:val="center"/>
          </w:tcPr>
          <w:p w14:paraId="1C218B8B" w14:textId="77777777" w:rsidR="006B0B33" w:rsidRPr="00544AB2" w:rsidRDefault="006B0B33">
            <w:pPr>
              <w:rPr>
                <w:rFonts w:cs="Arial"/>
              </w:rPr>
            </w:pPr>
            <w:r w:rsidRPr="00544AB2">
              <w:rPr>
                <w:rFonts w:cs="Arial"/>
              </w:rPr>
              <w:t>QCAT application submitted for independent review of QBCC dispute decisions</w:t>
            </w:r>
          </w:p>
        </w:tc>
        <w:tc>
          <w:tcPr>
            <w:tcW w:w="1425" w:type="dxa"/>
            <w:tcBorders>
              <w:top w:val="single" w:sz="6" w:space="0" w:color="000000"/>
              <w:left w:val="single" w:sz="6" w:space="0" w:color="000000"/>
              <w:bottom w:val="single" w:sz="6" w:space="0" w:color="000000"/>
              <w:right w:val="single" w:sz="6" w:space="0" w:color="000000"/>
            </w:tcBorders>
            <w:vAlign w:val="center"/>
          </w:tcPr>
          <w:p w14:paraId="4DF3094B" w14:textId="77777777" w:rsidR="006B0B33" w:rsidRPr="00544AB2" w:rsidRDefault="006B0B33">
            <w:r w:rsidRPr="00544AB2">
              <w:t>179</w:t>
            </w:r>
          </w:p>
        </w:tc>
        <w:tc>
          <w:tcPr>
            <w:tcW w:w="1425" w:type="dxa"/>
            <w:tcBorders>
              <w:top w:val="single" w:sz="6" w:space="0" w:color="000000"/>
              <w:left w:val="single" w:sz="6" w:space="0" w:color="000000"/>
              <w:bottom w:val="single" w:sz="6" w:space="0" w:color="000000"/>
              <w:right w:val="single" w:sz="6" w:space="0" w:color="000000"/>
            </w:tcBorders>
            <w:vAlign w:val="center"/>
          </w:tcPr>
          <w:p w14:paraId="7FB86C1E" w14:textId="77777777" w:rsidR="006B0B33" w:rsidRPr="00544AB2" w:rsidRDefault="006B0B33">
            <w:r w:rsidRPr="00544AB2">
              <w:t>166</w:t>
            </w:r>
          </w:p>
        </w:tc>
        <w:tc>
          <w:tcPr>
            <w:tcW w:w="1425" w:type="dxa"/>
            <w:tcBorders>
              <w:top w:val="single" w:sz="6" w:space="0" w:color="000000"/>
              <w:left w:val="single" w:sz="6" w:space="0" w:color="000000"/>
              <w:bottom w:val="single" w:sz="6" w:space="0" w:color="000000"/>
              <w:right w:val="single" w:sz="6" w:space="0" w:color="000000"/>
            </w:tcBorders>
            <w:vAlign w:val="center"/>
          </w:tcPr>
          <w:p w14:paraId="6118ADFD" w14:textId="77777777" w:rsidR="006B0B33" w:rsidRPr="00544AB2" w:rsidRDefault="006B0B33">
            <w:r w:rsidRPr="00544AB2">
              <w:t>255</w:t>
            </w:r>
          </w:p>
        </w:tc>
        <w:tc>
          <w:tcPr>
            <w:tcW w:w="1425" w:type="dxa"/>
            <w:tcBorders>
              <w:top w:val="single" w:sz="6" w:space="0" w:color="000000"/>
              <w:left w:val="single" w:sz="6" w:space="0" w:color="000000"/>
              <w:bottom w:val="single" w:sz="6" w:space="0" w:color="000000"/>
              <w:right w:val="single" w:sz="6" w:space="0" w:color="000000"/>
            </w:tcBorders>
            <w:vAlign w:val="center"/>
          </w:tcPr>
          <w:p w14:paraId="0AD79CC1" w14:textId="77777777" w:rsidR="006B0B33" w:rsidRPr="00544AB2" w:rsidRDefault="006B0B33">
            <w:r w:rsidRPr="00544AB2">
              <w:t>296</w:t>
            </w:r>
          </w:p>
        </w:tc>
        <w:tc>
          <w:tcPr>
            <w:tcW w:w="1425" w:type="dxa"/>
            <w:tcBorders>
              <w:top w:val="single" w:sz="6" w:space="0" w:color="000000"/>
              <w:left w:val="single" w:sz="6" w:space="0" w:color="000000"/>
              <w:bottom w:val="single" w:sz="6" w:space="0" w:color="000000"/>
              <w:right w:val="single" w:sz="6" w:space="0" w:color="000000"/>
            </w:tcBorders>
            <w:vAlign w:val="center"/>
          </w:tcPr>
          <w:p w14:paraId="0CA5436D" w14:textId="77777777" w:rsidR="006B0B33" w:rsidRPr="00851A5E" w:rsidRDefault="006B0B33">
            <w:pPr>
              <w:rPr>
                <w:rFonts w:cs="Arial"/>
              </w:rPr>
            </w:pPr>
            <w:r w:rsidRPr="30EAECD9">
              <w:rPr>
                <w:rFonts w:cs="Arial"/>
              </w:rPr>
              <w:t>274</w:t>
            </w:r>
          </w:p>
        </w:tc>
      </w:tr>
    </w:tbl>
    <w:p w14:paraId="31194B5A" w14:textId="1BE2940C" w:rsidR="006B0B33" w:rsidRPr="00604FA0" w:rsidRDefault="006B0B33" w:rsidP="006B0B33">
      <w:pPr>
        <w:pStyle w:val="Heading3"/>
        <w:spacing w:before="120"/>
        <w:rPr>
          <w:rFonts w:cs="Arial"/>
        </w:rPr>
      </w:pPr>
      <w:r>
        <w:rPr>
          <w:rFonts w:cs="Arial"/>
        </w:rPr>
        <w:t>Mediation and Conciliation Pilot Service</w:t>
      </w:r>
    </w:p>
    <w:p w14:paraId="089512C2" w14:textId="003831EE" w:rsidR="006B0B33" w:rsidRDefault="006B0B33" w:rsidP="006B0B33">
      <w:pPr>
        <w:spacing w:before="120" w:after="120"/>
      </w:pPr>
      <w:r>
        <w:t xml:space="preserve">In October 2023, the QBCC launched the </w:t>
      </w:r>
      <w:r w:rsidRPr="00244197">
        <w:t xml:space="preserve">Mediation and Conciliation Pilot Service </w:t>
      </w:r>
      <w:r>
        <w:t xml:space="preserve">(MCPS) project to support the timely resolution of </w:t>
      </w:r>
      <w:r w:rsidR="007E1FFB">
        <w:t>d</w:t>
      </w:r>
      <w:r w:rsidRPr="00F86EDC">
        <w:t xml:space="preserve">efective </w:t>
      </w:r>
      <w:r w:rsidR="007E1FFB">
        <w:t>b</w:t>
      </w:r>
      <w:r w:rsidRPr="00F86EDC">
        <w:t xml:space="preserve">uilding </w:t>
      </w:r>
      <w:r w:rsidR="007E1FFB">
        <w:t>w</w:t>
      </w:r>
      <w:r w:rsidRPr="00F86EDC">
        <w:t xml:space="preserve">ork </w:t>
      </w:r>
      <w:r w:rsidR="007E1FFB">
        <w:t>c</w:t>
      </w:r>
      <w:r w:rsidRPr="00F86EDC">
        <w:t>omplaints</w:t>
      </w:r>
      <w:r w:rsidR="00EC4AD2">
        <w:t xml:space="preserve"> </w:t>
      </w:r>
      <w:r>
        <w:t xml:space="preserve">and help reduce wait times for complainants. Operated as a pilot through to June 2025, the service was offered on a trial basis for suitable dispute cases </w:t>
      </w:r>
      <w:r w:rsidDel="00F77A6C">
        <w:t>awaiting</w:t>
      </w:r>
      <w:r>
        <w:t xml:space="preserve"> review by the Building and Technical Inspectorate</w:t>
      </w:r>
      <w:r w:rsidRPr="009E42C4">
        <w:t>.</w:t>
      </w:r>
      <w:r>
        <w:t xml:space="preserve"> For complex matters where disputes remained unresolved, </w:t>
      </w:r>
      <w:r w:rsidRPr="00395FED">
        <w:t>in-principle or procedural agreement</w:t>
      </w:r>
      <w:r>
        <w:t>s were discussed to facilitate progress towards a resolution and clarify the next steps for all parties involved</w:t>
      </w:r>
      <w:r w:rsidRPr="00395FED">
        <w:t>.</w:t>
      </w:r>
      <w:r>
        <w:t xml:space="preserve"> </w:t>
      </w:r>
      <w:r w:rsidR="009B57DA">
        <w:fldChar w:fldCharType="begin"/>
      </w:r>
      <w:r w:rsidR="009B57DA">
        <w:instrText xml:space="preserve"> REF _Ref204670933 \h </w:instrText>
      </w:r>
      <w:r w:rsidR="009B57DA">
        <w:fldChar w:fldCharType="separate"/>
      </w:r>
      <w:r w:rsidR="009B57DA">
        <w:t>Table 13</w:t>
      </w:r>
      <w:r w:rsidR="009B57DA">
        <w:fldChar w:fldCharType="end"/>
      </w:r>
      <w:r w:rsidR="00574142">
        <w:fldChar w:fldCharType="begin"/>
      </w:r>
      <w:r w:rsidR="00574142">
        <w:instrText xml:space="preserve"> REF _Ref204670759 \h </w:instrText>
      </w:r>
      <w:r w:rsidR="00574142">
        <w:fldChar w:fldCharType="separate"/>
      </w:r>
      <w:r w:rsidR="00574142">
        <w:fldChar w:fldCharType="end"/>
      </w:r>
      <w:r w:rsidR="00574142">
        <w:t xml:space="preserve"> </w:t>
      </w:r>
      <w:r>
        <w:t xml:space="preserve">provides an overview of </w:t>
      </w:r>
      <w:r w:rsidRPr="009E42C4">
        <w:t xml:space="preserve">the </w:t>
      </w:r>
      <w:r>
        <w:t>dispute cases identified as suitable for the MCPS since its launch, along with the outcomes achieved</w:t>
      </w:r>
      <w:r w:rsidRPr="009E42C4">
        <w:t xml:space="preserve">. </w:t>
      </w:r>
    </w:p>
    <w:p w14:paraId="59FD56FF" w14:textId="1957317E" w:rsidR="006B0B33" w:rsidRPr="00395FED" w:rsidRDefault="006B0B33" w:rsidP="006B0B33">
      <w:pPr>
        <w:pStyle w:val="Caption"/>
        <w:keepNext/>
        <w:spacing w:before="120" w:after="120"/>
        <w:rPr>
          <w:b w:val="0"/>
        </w:rPr>
      </w:pPr>
      <w:bookmarkStart w:id="95" w:name="_Ref204670933"/>
      <w:bookmarkStart w:id="96" w:name="_Ref204670759"/>
      <w:r>
        <w:t xml:space="preserve">Table </w:t>
      </w:r>
      <w:bookmarkEnd w:id="95"/>
      <w:r w:rsidR="002B0396">
        <w:t>13</w:t>
      </w:r>
      <w:r>
        <w:fldChar w:fldCharType="begin"/>
      </w:r>
      <w:r>
        <w:instrText>SEQ Table \* ARABIC</w:instrText>
      </w:r>
      <w:r>
        <w:fldChar w:fldCharType="separate"/>
      </w:r>
      <w:r>
        <w:fldChar w:fldCharType="end"/>
      </w:r>
      <w:bookmarkEnd w:id="96"/>
      <w:r w:rsidRPr="000B60D3">
        <w:t>: The number of dispute</w:t>
      </w:r>
      <w:r>
        <w:t xml:space="preserve"> cases</w:t>
      </w:r>
      <w:r w:rsidRPr="000B60D3">
        <w:t xml:space="preserve"> identified for MCPS in 2024–25</w:t>
      </w:r>
      <w:r>
        <w:t xml:space="preserve"> and </w:t>
      </w:r>
      <w:r w:rsidRPr="000B60D3">
        <w:t>outcomes achieved</w:t>
      </w:r>
    </w:p>
    <w:tbl>
      <w:tblPr>
        <w:tblStyle w:val="TableGrid"/>
        <w:tblW w:w="10627" w:type="dxa"/>
        <w:tblLook w:val="04A0" w:firstRow="1" w:lastRow="0" w:firstColumn="1" w:lastColumn="0" w:noHBand="0" w:noVBand="1"/>
      </w:tblPr>
      <w:tblGrid>
        <w:gridCol w:w="8642"/>
        <w:gridCol w:w="1985"/>
      </w:tblGrid>
      <w:tr w:rsidR="006B0B33" w:rsidRPr="00DB1C63" w14:paraId="0AB7DE6E" w14:textId="77777777" w:rsidTr="008262E1">
        <w:trPr>
          <w:trHeight w:val="300"/>
        </w:trPr>
        <w:tc>
          <w:tcPr>
            <w:tcW w:w="8642" w:type="dxa"/>
            <w:shd w:val="clear" w:color="auto" w:fill="A6A6A6" w:themeFill="background1" w:themeFillShade="A6"/>
            <w:vAlign w:val="center"/>
          </w:tcPr>
          <w:p w14:paraId="66FF4927" w14:textId="77777777" w:rsidR="006B0B33" w:rsidRPr="00680C55" w:rsidRDefault="006B0B33">
            <w:pPr>
              <w:rPr>
                <w:rFonts w:eastAsia="Arial" w:cs="Arial"/>
                <w:b/>
                <w:szCs w:val="22"/>
              </w:rPr>
            </w:pPr>
            <w:r>
              <w:rPr>
                <w:rFonts w:eastAsia="Arial" w:cs="Arial"/>
                <w:b/>
                <w:szCs w:val="22"/>
              </w:rPr>
              <w:t>Dispute cases</w:t>
            </w:r>
          </w:p>
        </w:tc>
        <w:tc>
          <w:tcPr>
            <w:tcW w:w="1985" w:type="dxa"/>
            <w:shd w:val="clear" w:color="auto" w:fill="A6A6A6" w:themeFill="background1" w:themeFillShade="A6"/>
            <w:vAlign w:val="center"/>
          </w:tcPr>
          <w:p w14:paraId="6AA6592C" w14:textId="77777777" w:rsidR="006B0B33" w:rsidRPr="00680C55" w:rsidRDefault="006B0B33">
            <w:pPr>
              <w:rPr>
                <w:rFonts w:cs="Arial"/>
                <w:b/>
                <w:szCs w:val="22"/>
              </w:rPr>
            </w:pPr>
            <w:r w:rsidRPr="00680C55">
              <w:rPr>
                <w:rFonts w:cs="Arial"/>
                <w:b/>
                <w:szCs w:val="22"/>
              </w:rPr>
              <w:t>2024–25</w:t>
            </w:r>
          </w:p>
        </w:tc>
      </w:tr>
      <w:tr w:rsidR="006B0B33" w:rsidRPr="00DB1C63" w14:paraId="71E8A597" w14:textId="77777777" w:rsidTr="008262E1">
        <w:trPr>
          <w:trHeight w:val="300"/>
        </w:trPr>
        <w:tc>
          <w:tcPr>
            <w:tcW w:w="8642" w:type="dxa"/>
            <w:vAlign w:val="center"/>
          </w:tcPr>
          <w:p w14:paraId="4ADCD596" w14:textId="77777777" w:rsidR="006B0B33" w:rsidRPr="00C67B96" w:rsidRDefault="006B0B33">
            <w:pPr>
              <w:rPr>
                <w:rFonts w:eastAsia="Arial" w:cs="Arial"/>
                <w:bCs/>
                <w:szCs w:val="22"/>
              </w:rPr>
            </w:pPr>
            <w:r w:rsidRPr="00C67B96">
              <w:rPr>
                <w:rFonts w:eastAsia="Arial" w:cs="Arial"/>
                <w:bCs/>
                <w:szCs w:val="22"/>
              </w:rPr>
              <w:t>Identified as suitable for MCPS</w:t>
            </w:r>
          </w:p>
        </w:tc>
        <w:tc>
          <w:tcPr>
            <w:tcW w:w="1985" w:type="dxa"/>
            <w:vAlign w:val="center"/>
          </w:tcPr>
          <w:p w14:paraId="14FABB1B" w14:textId="77777777" w:rsidR="006B0B33" w:rsidRPr="00C67B96" w:rsidRDefault="006B0B33">
            <w:pPr>
              <w:rPr>
                <w:rFonts w:eastAsia="Arial" w:cs="Arial"/>
              </w:rPr>
            </w:pPr>
            <w:r w:rsidRPr="54D64A42">
              <w:rPr>
                <w:rFonts w:eastAsia="Arial" w:cs="Arial"/>
              </w:rPr>
              <w:t>424</w:t>
            </w:r>
          </w:p>
        </w:tc>
      </w:tr>
      <w:tr w:rsidR="006B0B33" w:rsidRPr="00DB1C63" w14:paraId="6B7E133E" w14:textId="77777777" w:rsidTr="008262E1">
        <w:trPr>
          <w:trHeight w:val="300"/>
        </w:trPr>
        <w:tc>
          <w:tcPr>
            <w:tcW w:w="8642" w:type="dxa"/>
            <w:vAlign w:val="center"/>
          </w:tcPr>
          <w:p w14:paraId="05258732" w14:textId="77777777" w:rsidR="006B0B33" w:rsidRPr="00C67B96" w:rsidRDefault="006B0B33">
            <w:pPr>
              <w:rPr>
                <w:rFonts w:eastAsia="Arial" w:cs="Arial"/>
                <w:bCs/>
                <w:szCs w:val="22"/>
              </w:rPr>
            </w:pPr>
            <w:r w:rsidRPr="00C67B96">
              <w:rPr>
                <w:rFonts w:eastAsia="Arial" w:cs="Arial"/>
                <w:bCs/>
                <w:szCs w:val="22"/>
              </w:rPr>
              <w:t>Processed through MCPS</w:t>
            </w:r>
          </w:p>
        </w:tc>
        <w:tc>
          <w:tcPr>
            <w:tcW w:w="1985" w:type="dxa"/>
            <w:vAlign w:val="center"/>
          </w:tcPr>
          <w:p w14:paraId="0BC04E07" w14:textId="77777777" w:rsidR="006B0B33" w:rsidRPr="00C67B96" w:rsidRDefault="006B0B33">
            <w:pPr>
              <w:rPr>
                <w:rFonts w:eastAsia="Arial" w:cs="Arial"/>
              </w:rPr>
            </w:pPr>
            <w:r w:rsidRPr="54D64A42">
              <w:rPr>
                <w:rFonts w:eastAsia="Arial" w:cs="Arial"/>
              </w:rPr>
              <w:t>164</w:t>
            </w:r>
          </w:p>
        </w:tc>
      </w:tr>
      <w:tr w:rsidR="006B0B33" w:rsidRPr="00DB1C63" w14:paraId="58F1DA11" w14:textId="77777777" w:rsidTr="008262E1">
        <w:trPr>
          <w:trHeight w:val="300"/>
        </w:trPr>
        <w:tc>
          <w:tcPr>
            <w:tcW w:w="8642" w:type="dxa"/>
            <w:vAlign w:val="center"/>
          </w:tcPr>
          <w:p w14:paraId="5EB53446" w14:textId="77777777" w:rsidR="006B0B33" w:rsidRPr="00C67B96" w:rsidRDefault="006B0B33">
            <w:pPr>
              <w:ind w:left="720"/>
              <w:rPr>
                <w:rFonts w:eastAsia="Arial" w:cs="Arial"/>
                <w:bCs/>
                <w:szCs w:val="22"/>
              </w:rPr>
            </w:pPr>
            <w:r w:rsidRPr="00C67B96">
              <w:rPr>
                <w:rFonts w:eastAsia="Arial" w:cs="Arial"/>
                <w:bCs/>
                <w:szCs w:val="22"/>
              </w:rPr>
              <w:t>Total complaint items resolved</w:t>
            </w:r>
          </w:p>
        </w:tc>
        <w:tc>
          <w:tcPr>
            <w:tcW w:w="1985" w:type="dxa"/>
            <w:vAlign w:val="center"/>
          </w:tcPr>
          <w:p w14:paraId="68A339EB" w14:textId="77777777" w:rsidR="006B0B33" w:rsidRPr="00C67B96" w:rsidRDefault="006B0B33">
            <w:pPr>
              <w:rPr>
                <w:rFonts w:eastAsia="Arial" w:cs="Arial"/>
                <w:bCs/>
              </w:rPr>
            </w:pPr>
            <w:r w:rsidRPr="54D64A42">
              <w:rPr>
                <w:rFonts w:eastAsia="Arial" w:cs="Arial"/>
              </w:rPr>
              <w:t>1</w:t>
            </w:r>
            <w:r>
              <w:rPr>
                <w:rFonts w:eastAsia="Arial" w:cs="Arial"/>
              </w:rPr>
              <w:t>,</w:t>
            </w:r>
            <w:r w:rsidRPr="54D64A42">
              <w:rPr>
                <w:rFonts w:eastAsia="Arial" w:cs="Arial"/>
              </w:rPr>
              <w:t>278</w:t>
            </w:r>
          </w:p>
        </w:tc>
      </w:tr>
      <w:tr w:rsidR="006B0B33" w:rsidRPr="00DB1C63" w14:paraId="46415063" w14:textId="77777777" w:rsidTr="008262E1">
        <w:trPr>
          <w:trHeight w:val="300"/>
        </w:trPr>
        <w:tc>
          <w:tcPr>
            <w:tcW w:w="8642" w:type="dxa"/>
            <w:vAlign w:val="center"/>
          </w:tcPr>
          <w:p w14:paraId="51479504" w14:textId="77777777" w:rsidR="006B0B33" w:rsidRPr="00C67B96" w:rsidRDefault="006B0B33">
            <w:pPr>
              <w:ind w:left="720"/>
              <w:rPr>
                <w:rFonts w:eastAsia="Arial" w:cs="Arial"/>
                <w:bCs/>
                <w:szCs w:val="22"/>
              </w:rPr>
            </w:pPr>
            <w:r w:rsidRPr="00C67B96">
              <w:rPr>
                <w:rFonts w:eastAsia="Arial" w:cs="Arial"/>
                <w:bCs/>
                <w:szCs w:val="22"/>
              </w:rPr>
              <w:t>Resolved with full or partial resolution</w:t>
            </w:r>
          </w:p>
        </w:tc>
        <w:tc>
          <w:tcPr>
            <w:tcW w:w="1985" w:type="dxa"/>
            <w:vAlign w:val="center"/>
          </w:tcPr>
          <w:p w14:paraId="422CA84C" w14:textId="77777777" w:rsidR="006B0B33" w:rsidRPr="00C67B96" w:rsidRDefault="006B0B33">
            <w:pPr>
              <w:rPr>
                <w:rFonts w:eastAsia="Arial" w:cs="Arial"/>
              </w:rPr>
            </w:pPr>
            <w:r w:rsidRPr="140CA8CA">
              <w:rPr>
                <w:rFonts w:eastAsia="Arial" w:cs="Arial"/>
              </w:rPr>
              <w:t>100</w:t>
            </w:r>
          </w:p>
        </w:tc>
      </w:tr>
      <w:tr w:rsidR="006B0B33" w:rsidRPr="00DB1C63" w14:paraId="37042C73" w14:textId="77777777" w:rsidTr="008262E1">
        <w:trPr>
          <w:trHeight w:val="300"/>
        </w:trPr>
        <w:tc>
          <w:tcPr>
            <w:tcW w:w="8642" w:type="dxa"/>
            <w:vAlign w:val="center"/>
          </w:tcPr>
          <w:p w14:paraId="52B5CB91" w14:textId="77777777" w:rsidR="006B0B33" w:rsidRPr="00C67B96" w:rsidRDefault="006B0B33">
            <w:pPr>
              <w:ind w:left="1440"/>
              <w:rPr>
                <w:rFonts w:eastAsia="Arial" w:cs="Arial"/>
                <w:bCs/>
                <w:szCs w:val="22"/>
              </w:rPr>
            </w:pPr>
            <w:r w:rsidRPr="00C67B96">
              <w:rPr>
                <w:rFonts w:eastAsia="Arial" w:cs="Arial"/>
                <w:bCs/>
                <w:szCs w:val="22"/>
              </w:rPr>
              <w:t>Fully resolved (all complaint items in dispute withdrawn)</w:t>
            </w:r>
          </w:p>
        </w:tc>
        <w:tc>
          <w:tcPr>
            <w:tcW w:w="1985" w:type="dxa"/>
            <w:vAlign w:val="center"/>
          </w:tcPr>
          <w:p w14:paraId="234F5F35" w14:textId="77777777" w:rsidR="006B0B33" w:rsidRPr="00C67B96" w:rsidRDefault="006B0B33">
            <w:pPr>
              <w:rPr>
                <w:rFonts w:eastAsia="Arial" w:cs="Arial"/>
              </w:rPr>
            </w:pPr>
            <w:r w:rsidRPr="2666F024">
              <w:rPr>
                <w:rFonts w:eastAsia="Arial" w:cs="Arial"/>
              </w:rPr>
              <w:t>72</w:t>
            </w:r>
          </w:p>
        </w:tc>
      </w:tr>
      <w:tr w:rsidR="006B0B33" w:rsidRPr="00DB1C63" w14:paraId="7B34D706" w14:textId="77777777" w:rsidTr="008262E1">
        <w:trPr>
          <w:trHeight w:val="300"/>
        </w:trPr>
        <w:tc>
          <w:tcPr>
            <w:tcW w:w="8642" w:type="dxa"/>
            <w:vAlign w:val="center"/>
          </w:tcPr>
          <w:p w14:paraId="362A1A75" w14:textId="77777777" w:rsidR="006B0B33" w:rsidRPr="00C67B96" w:rsidRDefault="006B0B33">
            <w:pPr>
              <w:ind w:left="1440"/>
              <w:rPr>
                <w:rFonts w:eastAsia="Arial" w:cs="Arial"/>
                <w:bCs/>
                <w:szCs w:val="22"/>
              </w:rPr>
            </w:pPr>
            <w:r w:rsidRPr="00C67B96">
              <w:rPr>
                <w:rFonts w:eastAsia="Arial" w:cs="Arial"/>
                <w:bCs/>
                <w:szCs w:val="22"/>
              </w:rPr>
              <w:t>Partial resolution (one or more complaint items in dispute withdrawn)</w:t>
            </w:r>
          </w:p>
        </w:tc>
        <w:tc>
          <w:tcPr>
            <w:tcW w:w="1985" w:type="dxa"/>
            <w:vAlign w:val="center"/>
          </w:tcPr>
          <w:p w14:paraId="0845DCD0" w14:textId="77777777" w:rsidR="006B0B33" w:rsidRPr="00C67B96" w:rsidRDefault="006B0B33">
            <w:pPr>
              <w:rPr>
                <w:rFonts w:eastAsia="Arial" w:cs="Arial"/>
              </w:rPr>
            </w:pPr>
            <w:r w:rsidRPr="140CA8CA">
              <w:rPr>
                <w:rFonts w:eastAsia="Arial" w:cs="Arial"/>
              </w:rPr>
              <w:t>28</w:t>
            </w:r>
          </w:p>
        </w:tc>
      </w:tr>
      <w:tr w:rsidR="006B0B33" w:rsidRPr="00DB1C63" w14:paraId="5DCAE2FA" w14:textId="77777777" w:rsidTr="008262E1">
        <w:trPr>
          <w:trHeight w:val="300"/>
        </w:trPr>
        <w:tc>
          <w:tcPr>
            <w:tcW w:w="8642" w:type="dxa"/>
            <w:vAlign w:val="center"/>
          </w:tcPr>
          <w:p w14:paraId="3529FB9D" w14:textId="77777777" w:rsidR="006B0B33" w:rsidRPr="00C67B96" w:rsidRDefault="006B0B33">
            <w:pPr>
              <w:ind w:left="720"/>
              <w:rPr>
                <w:rFonts w:eastAsia="Arial" w:cs="Arial"/>
                <w:bCs/>
                <w:szCs w:val="22"/>
              </w:rPr>
            </w:pPr>
            <w:r w:rsidRPr="00C67B96">
              <w:rPr>
                <w:rFonts w:eastAsia="Arial" w:cs="Arial"/>
                <w:bCs/>
                <w:szCs w:val="22"/>
              </w:rPr>
              <w:t>Unresolved</w:t>
            </w:r>
          </w:p>
        </w:tc>
        <w:tc>
          <w:tcPr>
            <w:tcW w:w="1985" w:type="dxa"/>
            <w:vAlign w:val="center"/>
          </w:tcPr>
          <w:p w14:paraId="26A68862" w14:textId="77777777" w:rsidR="006B0B33" w:rsidRPr="00C67B96" w:rsidRDefault="006B0B33">
            <w:pPr>
              <w:rPr>
                <w:rFonts w:eastAsia="Arial" w:cs="Arial"/>
              </w:rPr>
            </w:pPr>
            <w:r w:rsidRPr="140CA8CA">
              <w:rPr>
                <w:rFonts w:eastAsia="Arial" w:cs="Arial"/>
              </w:rPr>
              <w:t>64</w:t>
            </w:r>
          </w:p>
        </w:tc>
      </w:tr>
      <w:tr w:rsidR="006B0B33" w:rsidRPr="00DB1C63" w14:paraId="075EC3AD" w14:textId="77777777" w:rsidTr="008262E1">
        <w:trPr>
          <w:trHeight w:val="300"/>
        </w:trPr>
        <w:tc>
          <w:tcPr>
            <w:tcW w:w="8642" w:type="dxa"/>
            <w:vAlign w:val="center"/>
          </w:tcPr>
          <w:p w14:paraId="4B7286AF" w14:textId="77777777" w:rsidR="006B0B33" w:rsidRPr="00C67B96" w:rsidRDefault="006B0B33">
            <w:pPr>
              <w:ind w:left="1440"/>
              <w:rPr>
                <w:rFonts w:eastAsia="Arial" w:cs="Arial"/>
                <w:bCs/>
                <w:szCs w:val="22"/>
              </w:rPr>
            </w:pPr>
            <w:r w:rsidRPr="00C67B96">
              <w:rPr>
                <w:rFonts w:eastAsia="Arial" w:cs="Arial"/>
                <w:bCs/>
                <w:szCs w:val="22"/>
              </w:rPr>
              <w:lastRenderedPageBreak/>
              <w:t>In-principle or procedural agreement</w:t>
            </w:r>
          </w:p>
        </w:tc>
        <w:tc>
          <w:tcPr>
            <w:tcW w:w="1985" w:type="dxa"/>
            <w:vAlign w:val="center"/>
          </w:tcPr>
          <w:p w14:paraId="03A5B6B4" w14:textId="77777777" w:rsidR="006B0B33" w:rsidRPr="00C67B96" w:rsidRDefault="006B0B33">
            <w:pPr>
              <w:rPr>
                <w:rFonts w:eastAsia="Arial" w:cs="Arial"/>
              </w:rPr>
            </w:pPr>
            <w:r w:rsidRPr="4CD250AD">
              <w:rPr>
                <w:rFonts w:eastAsia="Arial" w:cs="Arial"/>
              </w:rPr>
              <w:t>32</w:t>
            </w:r>
          </w:p>
        </w:tc>
      </w:tr>
      <w:tr w:rsidR="006B0B33" w:rsidRPr="00DB1C63" w14:paraId="69E08E78" w14:textId="77777777" w:rsidTr="008262E1">
        <w:trPr>
          <w:trHeight w:val="300"/>
        </w:trPr>
        <w:tc>
          <w:tcPr>
            <w:tcW w:w="8642" w:type="dxa"/>
            <w:vAlign w:val="center"/>
          </w:tcPr>
          <w:p w14:paraId="598584BC" w14:textId="77777777" w:rsidR="006B0B33" w:rsidRPr="00C67B96" w:rsidRDefault="006B0B33">
            <w:pPr>
              <w:ind w:left="1440"/>
              <w:rPr>
                <w:rFonts w:eastAsia="Arial" w:cs="Arial"/>
                <w:bCs/>
                <w:szCs w:val="22"/>
              </w:rPr>
            </w:pPr>
            <w:r w:rsidRPr="00C67B96">
              <w:rPr>
                <w:rFonts w:eastAsia="Arial" w:cs="Arial"/>
                <w:bCs/>
                <w:szCs w:val="22"/>
              </w:rPr>
              <w:t>No agreement</w:t>
            </w:r>
          </w:p>
        </w:tc>
        <w:tc>
          <w:tcPr>
            <w:tcW w:w="1985" w:type="dxa"/>
            <w:vAlign w:val="center"/>
          </w:tcPr>
          <w:p w14:paraId="724205AC" w14:textId="77777777" w:rsidR="006B0B33" w:rsidRPr="00C67B96" w:rsidRDefault="006B0B33">
            <w:pPr>
              <w:rPr>
                <w:rFonts w:eastAsia="Arial" w:cs="Arial"/>
              </w:rPr>
            </w:pPr>
            <w:r w:rsidRPr="140CA8CA">
              <w:rPr>
                <w:rFonts w:eastAsia="Arial" w:cs="Arial"/>
              </w:rPr>
              <w:t>32</w:t>
            </w:r>
          </w:p>
        </w:tc>
      </w:tr>
    </w:tbl>
    <w:p w14:paraId="66C67C84" w14:textId="39DE8B34" w:rsidR="006B0B33" w:rsidRDefault="006B0B33" w:rsidP="006B0B33">
      <w:pPr>
        <w:spacing w:before="120" w:after="120"/>
      </w:pPr>
      <w:r>
        <w:t xml:space="preserve">The 2024–25 development of the </w:t>
      </w:r>
      <w:r w:rsidRPr="00CD2831">
        <w:t xml:space="preserve">MCPS has </w:t>
      </w:r>
      <w:r>
        <w:t>enhanced the QBCC’s</w:t>
      </w:r>
      <w:r w:rsidRPr="00CD2831">
        <w:t xml:space="preserve"> </w:t>
      </w:r>
      <w:r>
        <w:t xml:space="preserve">ability to manage </w:t>
      </w:r>
      <w:r w:rsidRPr="00CD2831">
        <w:t xml:space="preserve">and conciliate </w:t>
      </w:r>
      <w:r>
        <w:t>disputes</w:t>
      </w:r>
      <w:r w:rsidRPr="00CD2831">
        <w:t xml:space="preserve"> </w:t>
      </w:r>
      <w:r>
        <w:t>internally, with access to a panel</w:t>
      </w:r>
      <w:r w:rsidRPr="00CD2831">
        <w:t xml:space="preserve"> of </w:t>
      </w:r>
      <w:r>
        <w:t xml:space="preserve">well-established </w:t>
      </w:r>
      <w:r w:rsidRPr="00CD2831">
        <w:t>external conciliators</w:t>
      </w:r>
      <w:r>
        <w:t xml:space="preserve"> as needed. </w:t>
      </w:r>
      <w:r w:rsidRPr="00395FED">
        <w:t>In 2024–25</w:t>
      </w:r>
      <w:r>
        <w:t xml:space="preserve">, </w:t>
      </w:r>
      <w:r w:rsidRPr="001E6201">
        <w:t xml:space="preserve">the MCPS resolved </w:t>
      </w:r>
      <w:r>
        <w:t>1,278</w:t>
      </w:r>
      <w:r w:rsidRPr="001E6201">
        <w:t xml:space="preserve"> residential defective building work complaint </w:t>
      </w:r>
      <w:r>
        <w:t>items, bringing the total number of items resolved to 2,</w:t>
      </w:r>
      <w:r w:rsidRPr="00437401">
        <w:t xml:space="preserve">300 since its inception. For cases that proceeded to a conciliation conference, </w:t>
      </w:r>
      <w:r>
        <w:t xml:space="preserve">the average time to </w:t>
      </w:r>
      <w:r w:rsidRPr="00437401">
        <w:t>finalis</w:t>
      </w:r>
      <w:r>
        <w:t xml:space="preserve">e a matter was </w:t>
      </w:r>
      <w:r w:rsidRPr="00437401">
        <w:t>30 business days. In total, 1,278</w:t>
      </w:r>
      <w:r>
        <w:t xml:space="preserve"> </w:t>
      </w:r>
      <w:r w:rsidRPr="00437401">
        <w:t xml:space="preserve">complaint items in dispute were withdrawn in 2024–25 </w:t>
      </w:r>
      <w:proofErr w:type="gramStart"/>
      <w:r w:rsidRPr="00437401">
        <w:t>as a result of</w:t>
      </w:r>
      <w:proofErr w:type="gramEnd"/>
      <w:r w:rsidRPr="00437401">
        <w:t xml:space="preserve"> customers using the MCPS. </w:t>
      </w:r>
    </w:p>
    <w:p w14:paraId="443405CD" w14:textId="5CB91057" w:rsidR="006B0B33" w:rsidRPr="00946420" w:rsidRDefault="006B0B33" w:rsidP="00946420">
      <w:pPr>
        <w:spacing w:before="120" w:after="120"/>
        <w:rPr>
          <w:lang w:eastAsia="en-AU"/>
        </w:rPr>
      </w:pPr>
      <w:r>
        <w:t>S</w:t>
      </w:r>
      <w:r w:rsidRPr="00437401">
        <w:t xml:space="preserve">urvey </w:t>
      </w:r>
      <w:r>
        <w:t>findings</w:t>
      </w:r>
      <w:r w:rsidRPr="00437401">
        <w:t xml:space="preserve"> ha</w:t>
      </w:r>
      <w:r>
        <w:t>ve</w:t>
      </w:r>
      <w:r w:rsidRPr="00437401">
        <w:t xml:space="preserve"> been very positive</w:t>
      </w:r>
      <w:r>
        <w:t>,</w:t>
      </w:r>
      <w:r w:rsidRPr="00437401">
        <w:t xml:space="preserve"> with most licensees and </w:t>
      </w:r>
      <w:bookmarkStart w:id="97" w:name="_Int_LGTTBZNk"/>
      <w:proofErr w:type="gramStart"/>
      <w:r w:rsidRPr="00437401">
        <w:t>home owners</w:t>
      </w:r>
      <w:bookmarkEnd w:id="97"/>
      <w:proofErr w:type="gramEnd"/>
      <w:r w:rsidRPr="00437401">
        <w:t xml:space="preserve"> </w:t>
      </w:r>
      <w:r>
        <w:t xml:space="preserve">indicating that they were pleased to hear about the </w:t>
      </w:r>
      <w:r w:rsidRPr="00437401">
        <w:t>QBCC’s trial of mediation and conciliation services (88 per cent and 85 per cent respectively).</w:t>
      </w:r>
      <w:r w:rsidRPr="004B4E7F">
        <w:t xml:space="preserve"> </w:t>
      </w:r>
    </w:p>
    <w:p w14:paraId="1ACF55D4" w14:textId="0CBB8CCC" w:rsidR="006B0B33" w:rsidRDefault="006B0B33" w:rsidP="006B0B33">
      <w:pPr>
        <w:pStyle w:val="Heading3"/>
      </w:pPr>
      <w:r>
        <w:t>Internal review</w:t>
      </w:r>
    </w:p>
    <w:p w14:paraId="1E29225F" w14:textId="0F80DE94" w:rsidR="006B0B33" w:rsidRDefault="006B0B33" w:rsidP="006B0B33">
      <w:pPr>
        <w:spacing w:before="120" w:after="120"/>
        <w:ind w:hanging="11"/>
        <w:rPr>
          <w:rFonts w:cs="Arial"/>
        </w:rPr>
      </w:pPr>
      <w:r w:rsidRPr="0311DE0C">
        <w:rPr>
          <w:rFonts w:cs="Arial"/>
        </w:rPr>
        <w:t xml:space="preserve">The QBCC </w:t>
      </w:r>
      <w:r>
        <w:rPr>
          <w:rFonts w:cs="Arial"/>
        </w:rPr>
        <w:t>provides</w:t>
      </w:r>
      <w:r w:rsidRPr="0311DE0C">
        <w:rPr>
          <w:rFonts w:cs="Arial"/>
        </w:rPr>
        <w:t xml:space="preserve"> a</w:t>
      </w:r>
      <w:r>
        <w:rPr>
          <w:rFonts w:cs="Arial"/>
        </w:rPr>
        <w:t xml:space="preserve">n </w:t>
      </w:r>
      <w:r w:rsidRPr="0311DE0C">
        <w:rPr>
          <w:rFonts w:cs="Arial"/>
        </w:rPr>
        <w:t xml:space="preserve">independent internal review service to </w:t>
      </w:r>
      <w:r>
        <w:rPr>
          <w:rFonts w:cs="Arial"/>
        </w:rPr>
        <w:t>promote</w:t>
      </w:r>
      <w:r w:rsidRPr="0311DE0C">
        <w:rPr>
          <w:rFonts w:cs="Arial"/>
        </w:rPr>
        <w:t xml:space="preserve"> fairness, transparency and accountability in regulatory decision making. Established under the QBCC Act, the service </w:t>
      </w:r>
      <w:r>
        <w:rPr>
          <w:rFonts w:cs="Arial"/>
        </w:rPr>
        <w:t xml:space="preserve">allows </w:t>
      </w:r>
      <w:r w:rsidRPr="0311DE0C">
        <w:rPr>
          <w:rFonts w:cs="Arial"/>
        </w:rPr>
        <w:t xml:space="preserve">individuals or businesses dissatisfied with </w:t>
      </w:r>
      <w:r>
        <w:rPr>
          <w:rFonts w:cs="Arial"/>
        </w:rPr>
        <w:t>certain regulatory decisions</w:t>
      </w:r>
      <w:r w:rsidRPr="0311DE0C">
        <w:rPr>
          <w:rFonts w:cs="Arial"/>
        </w:rPr>
        <w:t xml:space="preserve"> to request a</w:t>
      </w:r>
      <w:r>
        <w:rPr>
          <w:rFonts w:cs="Arial"/>
        </w:rPr>
        <w:t xml:space="preserve">n independent </w:t>
      </w:r>
      <w:r w:rsidRPr="0311DE0C">
        <w:rPr>
          <w:rFonts w:cs="Arial"/>
        </w:rPr>
        <w:t xml:space="preserve">review of </w:t>
      </w:r>
      <w:r>
        <w:rPr>
          <w:rFonts w:cs="Arial"/>
        </w:rPr>
        <w:t>the original decision</w:t>
      </w:r>
      <w:r w:rsidRPr="0311DE0C">
        <w:rPr>
          <w:rFonts w:cs="Arial"/>
        </w:rPr>
        <w:t>. The QBCC Internal Review Unit operat</w:t>
      </w:r>
      <w:r>
        <w:rPr>
          <w:rFonts w:cs="Arial"/>
        </w:rPr>
        <w:t>es</w:t>
      </w:r>
      <w:r w:rsidRPr="0311DE0C">
        <w:rPr>
          <w:rFonts w:cs="Arial"/>
        </w:rPr>
        <w:t xml:space="preserve"> independently </w:t>
      </w:r>
      <w:r>
        <w:rPr>
          <w:rFonts w:cs="Arial"/>
        </w:rPr>
        <w:t xml:space="preserve">of </w:t>
      </w:r>
      <w:r w:rsidRPr="0311DE0C">
        <w:rPr>
          <w:rFonts w:cs="Arial"/>
        </w:rPr>
        <w:t>the original decision maker</w:t>
      </w:r>
      <w:r>
        <w:rPr>
          <w:rFonts w:cs="Arial"/>
        </w:rPr>
        <w:t xml:space="preserve"> and reassesses </w:t>
      </w:r>
      <w:r w:rsidRPr="0311DE0C">
        <w:rPr>
          <w:rFonts w:cs="Arial"/>
        </w:rPr>
        <w:t xml:space="preserve">matters as if no </w:t>
      </w:r>
      <w:r>
        <w:rPr>
          <w:rFonts w:cs="Arial"/>
        </w:rPr>
        <w:t xml:space="preserve">previous </w:t>
      </w:r>
      <w:r w:rsidRPr="0311DE0C">
        <w:rPr>
          <w:rFonts w:cs="Arial"/>
        </w:rPr>
        <w:t xml:space="preserve">decision had been made. </w:t>
      </w:r>
    </w:p>
    <w:p w14:paraId="2B1847AB" w14:textId="58589866" w:rsidR="006B0B33" w:rsidRPr="00635044" w:rsidRDefault="006B0B33" w:rsidP="006B0B33">
      <w:pPr>
        <w:spacing w:before="120" w:after="120"/>
        <w:ind w:hanging="11"/>
        <w:rPr>
          <w:rFonts w:cs="Arial"/>
        </w:rPr>
      </w:pPr>
      <w:r w:rsidRPr="00807F2E">
        <w:rPr>
          <w:rFonts w:cs="Arial"/>
        </w:rPr>
        <w:t xml:space="preserve">The internal review process applies to a range of </w:t>
      </w:r>
      <w:r>
        <w:rPr>
          <w:rFonts w:cs="Arial"/>
        </w:rPr>
        <w:t xml:space="preserve">specified </w:t>
      </w:r>
      <w:r w:rsidRPr="00807F2E">
        <w:rPr>
          <w:rFonts w:cs="Arial"/>
        </w:rPr>
        <w:t>regulatory decisions made by the QBCC</w:t>
      </w:r>
      <w:r>
        <w:rPr>
          <w:rFonts w:cs="Arial"/>
        </w:rPr>
        <w:t xml:space="preserve">, with a full list of reviewable decisions available on the QBCC </w:t>
      </w:r>
      <w:r w:rsidRPr="00D850B1">
        <w:rPr>
          <w:color w:val="020A0A" w:themeColor="accent4"/>
        </w:rPr>
        <w:t>website</w:t>
      </w:r>
      <w:r w:rsidR="00BD0254">
        <w:rPr>
          <w:color w:val="020A0A" w:themeColor="accent4"/>
        </w:rPr>
        <w:t>.</w:t>
      </w:r>
      <w:r>
        <w:rPr>
          <w:rStyle w:val="FootnoteReference"/>
          <w:rFonts w:cs="Arial"/>
        </w:rPr>
        <w:footnoteReference w:id="5"/>
      </w:r>
    </w:p>
    <w:p w14:paraId="5D822497" w14:textId="15426E9F" w:rsidR="006B0B33" w:rsidRPr="00AE014C" w:rsidRDefault="006B0B33" w:rsidP="006B0B33">
      <w:pPr>
        <w:spacing w:before="120" w:after="120"/>
        <w:ind w:hanging="11"/>
        <w:rPr>
          <w:rFonts w:cs="Arial"/>
        </w:rPr>
      </w:pPr>
      <w:r>
        <w:rPr>
          <w:rFonts w:cs="Arial"/>
        </w:rPr>
        <w:t xml:space="preserve">The internal review process </w:t>
      </w:r>
      <w:r w:rsidR="00E50D0B">
        <w:rPr>
          <w:rFonts w:cs="Arial"/>
        </w:rPr>
        <w:t>has</w:t>
      </w:r>
      <w:r>
        <w:rPr>
          <w:rFonts w:cs="Arial"/>
        </w:rPr>
        <w:t xml:space="preserve"> four possible</w:t>
      </w:r>
      <w:r w:rsidRPr="0311DE0C">
        <w:rPr>
          <w:rFonts w:cs="Arial"/>
        </w:rPr>
        <w:t xml:space="preserve"> outcomes:</w:t>
      </w:r>
    </w:p>
    <w:p w14:paraId="64C29AE8" w14:textId="07D16C6B" w:rsidR="006B0B33" w:rsidRPr="00AE014C" w:rsidRDefault="006B0B33" w:rsidP="00BD69F7">
      <w:pPr>
        <w:pStyle w:val="ListParagraph"/>
        <w:numPr>
          <w:ilvl w:val="0"/>
          <w:numId w:val="52"/>
        </w:numPr>
        <w:spacing w:before="120" w:after="120"/>
        <w:contextualSpacing w:val="0"/>
        <w:rPr>
          <w:rFonts w:cs="Arial"/>
        </w:rPr>
      </w:pPr>
      <w:r w:rsidRPr="005036CE">
        <w:rPr>
          <w:rFonts w:cs="Arial"/>
          <w:b/>
        </w:rPr>
        <w:t>Upheld</w:t>
      </w:r>
      <w:r>
        <w:rPr>
          <w:rFonts w:cs="Arial"/>
          <w:b/>
        </w:rPr>
        <w:t>:</w:t>
      </w:r>
      <w:r w:rsidRPr="0311DE0C">
        <w:rPr>
          <w:rFonts w:cs="Arial"/>
        </w:rPr>
        <w:t xml:space="preserve"> The original decision and reasoning are confirmed.</w:t>
      </w:r>
    </w:p>
    <w:p w14:paraId="18BD9F42" w14:textId="5AD241EE" w:rsidR="006B0B33" w:rsidRPr="00AE014C" w:rsidRDefault="006B0B33" w:rsidP="00BD69F7">
      <w:pPr>
        <w:pStyle w:val="ListParagraph"/>
        <w:numPr>
          <w:ilvl w:val="0"/>
          <w:numId w:val="52"/>
        </w:numPr>
        <w:spacing w:before="120" w:after="120"/>
        <w:contextualSpacing w:val="0"/>
        <w:rPr>
          <w:rFonts w:cs="Arial"/>
        </w:rPr>
      </w:pPr>
      <w:r w:rsidRPr="005036CE">
        <w:rPr>
          <w:rFonts w:cs="Arial"/>
          <w:b/>
        </w:rPr>
        <w:t>Varied</w:t>
      </w:r>
      <w:r>
        <w:rPr>
          <w:rFonts w:cs="Arial"/>
          <w:b/>
        </w:rPr>
        <w:t>:</w:t>
      </w:r>
      <w:r w:rsidRPr="0311DE0C">
        <w:rPr>
          <w:rFonts w:cs="Arial"/>
        </w:rPr>
        <w:t xml:space="preserve"> The same outcome is reached, but with different reasoning.</w:t>
      </w:r>
    </w:p>
    <w:p w14:paraId="3D936CCF" w14:textId="480ADC2F" w:rsidR="006B0B33" w:rsidRPr="00AE014C" w:rsidRDefault="006B0B33" w:rsidP="00BD69F7">
      <w:pPr>
        <w:pStyle w:val="ListParagraph"/>
        <w:numPr>
          <w:ilvl w:val="0"/>
          <w:numId w:val="52"/>
        </w:numPr>
        <w:spacing w:before="120" w:after="120"/>
        <w:contextualSpacing w:val="0"/>
        <w:rPr>
          <w:rFonts w:cs="Arial"/>
        </w:rPr>
      </w:pPr>
      <w:r w:rsidRPr="005036CE">
        <w:rPr>
          <w:rFonts w:cs="Arial"/>
          <w:b/>
        </w:rPr>
        <w:t>Overturned</w:t>
      </w:r>
      <w:r>
        <w:rPr>
          <w:rFonts w:cs="Arial"/>
          <w:b/>
        </w:rPr>
        <w:t>:</w:t>
      </w:r>
      <w:r w:rsidRPr="0311DE0C">
        <w:rPr>
          <w:rFonts w:cs="Arial"/>
        </w:rPr>
        <w:t xml:space="preserve"> A different or partially different outcome is determined</w:t>
      </w:r>
      <w:r>
        <w:rPr>
          <w:rFonts w:cs="Arial"/>
        </w:rPr>
        <w:t>.</w:t>
      </w:r>
    </w:p>
    <w:p w14:paraId="5BC22620" w14:textId="1CF40B3D" w:rsidR="006B0B33" w:rsidRPr="00B004BA" w:rsidRDefault="006B0B33" w:rsidP="00BD69F7">
      <w:pPr>
        <w:pStyle w:val="ListParagraph"/>
        <w:numPr>
          <w:ilvl w:val="0"/>
          <w:numId w:val="52"/>
        </w:numPr>
        <w:spacing w:before="120" w:after="120"/>
        <w:contextualSpacing w:val="0"/>
        <w:rPr>
          <w:rFonts w:cs="Arial"/>
        </w:rPr>
      </w:pPr>
      <w:r w:rsidRPr="005036CE">
        <w:rPr>
          <w:rFonts w:cs="Arial"/>
          <w:b/>
        </w:rPr>
        <w:t>Deemed</w:t>
      </w:r>
      <w:r>
        <w:rPr>
          <w:rFonts w:cs="Arial"/>
          <w:b/>
        </w:rPr>
        <w:t>:</w:t>
      </w:r>
      <w:r w:rsidRPr="0311DE0C">
        <w:rPr>
          <w:rFonts w:cs="Arial"/>
        </w:rPr>
        <w:t xml:space="preserve"> If a decision is not made within the legislated timeframe, the original decision </w:t>
      </w:r>
      <w:r w:rsidR="00E250B9">
        <w:rPr>
          <w:rFonts w:cs="Arial"/>
        </w:rPr>
        <w:t>bec</w:t>
      </w:r>
      <w:r w:rsidR="003F13EB">
        <w:rPr>
          <w:rFonts w:cs="Arial"/>
        </w:rPr>
        <w:t>omes</w:t>
      </w:r>
      <w:r w:rsidR="00E250B9">
        <w:rPr>
          <w:rFonts w:cs="Arial"/>
        </w:rPr>
        <w:t xml:space="preserve"> the new review decision</w:t>
      </w:r>
      <w:r w:rsidRPr="0311DE0C">
        <w:rPr>
          <w:rFonts w:cs="Arial"/>
        </w:rPr>
        <w:t xml:space="preserve"> by law at the end of the review period.</w:t>
      </w:r>
    </w:p>
    <w:p w14:paraId="423D8D2A" w14:textId="74318CB1" w:rsidR="006B0B33" w:rsidRDefault="006B0B33" w:rsidP="006B0B33">
      <w:pPr>
        <w:spacing w:before="120" w:after="120"/>
        <w:ind w:hanging="11"/>
        <w:rPr>
          <w:rFonts w:cs="Arial"/>
        </w:rPr>
      </w:pPr>
      <w:r w:rsidRPr="0311DE0C">
        <w:rPr>
          <w:rFonts w:cs="Arial"/>
        </w:rPr>
        <w:t>The QBCC internal review process helps reduce the need for matters to escalate to QCAT</w:t>
      </w:r>
      <w:r>
        <w:rPr>
          <w:rFonts w:cs="Arial"/>
        </w:rPr>
        <w:t xml:space="preserve">. </w:t>
      </w:r>
      <w:r w:rsidRPr="0311DE0C">
        <w:rPr>
          <w:rFonts w:cs="Arial"/>
        </w:rPr>
        <w:t xml:space="preserve">In 2024–25, the QBCC </w:t>
      </w:r>
      <w:r w:rsidRPr="00F338BB">
        <w:rPr>
          <w:rFonts w:cs="Arial"/>
        </w:rPr>
        <w:t>received 1,211 requests for internal review of a decision</w:t>
      </w:r>
      <w:r>
        <w:rPr>
          <w:rFonts w:cs="Arial"/>
        </w:rPr>
        <w:t xml:space="preserve"> and finalised</w:t>
      </w:r>
      <w:r w:rsidRPr="005B15C0">
        <w:rPr>
          <w:rFonts w:cs="Arial"/>
        </w:rPr>
        <w:t xml:space="preserve"> 967 internal reviews.</w:t>
      </w:r>
      <w:r>
        <w:rPr>
          <w:rFonts w:cs="Arial"/>
        </w:rPr>
        <w:t xml:space="preserve"> </w:t>
      </w:r>
      <w:r w:rsidRPr="0311DE0C">
        <w:rPr>
          <w:rFonts w:cs="Arial"/>
        </w:rPr>
        <w:t xml:space="preserve">The outcomes from the completed internal reviews are presented in </w:t>
      </w:r>
      <w:r w:rsidR="009B57DA">
        <w:rPr>
          <w:rFonts w:cs="Arial"/>
        </w:rPr>
        <w:fldChar w:fldCharType="begin"/>
      </w:r>
      <w:r w:rsidR="009B57DA">
        <w:rPr>
          <w:rFonts w:cs="Arial"/>
        </w:rPr>
        <w:instrText xml:space="preserve"> REF _Ref204670980 \h </w:instrText>
      </w:r>
      <w:r w:rsidR="009B57DA">
        <w:rPr>
          <w:rFonts w:cs="Arial"/>
        </w:rPr>
      </w:r>
      <w:r w:rsidR="009B57DA">
        <w:rPr>
          <w:rFonts w:cs="Arial"/>
        </w:rPr>
        <w:fldChar w:fldCharType="separate"/>
      </w:r>
      <w:r w:rsidR="009B57DA">
        <w:t>Table 14</w:t>
      </w:r>
      <w:r w:rsidR="009B57DA">
        <w:rPr>
          <w:rFonts w:cs="Arial"/>
        </w:rPr>
        <w:fldChar w:fldCharType="end"/>
      </w:r>
      <w:r w:rsidRPr="0311DE0C">
        <w:rPr>
          <w:rFonts w:cs="Arial"/>
        </w:rPr>
        <w:t>.</w:t>
      </w:r>
    </w:p>
    <w:p w14:paraId="4E5D618B" w14:textId="2BEF516C" w:rsidR="006B0B33" w:rsidRPr="00EC369F" w:rsidRDefault="006B0B33" w:rsidP="006B0B33">
      <w:pPr>
        <w:pStyle w:val="Caption"/>
        <w:keepNext/>
        <w:spacing w:before="120" w:after="120"/>
      </w:pPr>
      <w:bookmarkStart w:id="98" w:name="_Ref204670980"/>
      <w:r>
        <w:t xml:space="preserve">Table </w:t>
      </w:r>
      <w:bookmarkEnd w:id="98"/>
      <w:r w:rsidR="006C5E7F">
        <w:t>14</w:t>
      </w:r>
      <w:r>
        <w:fldChar w:fldCharType="begin"/>
      </w:r>
      <w:r>
        <w:instrText>SEQ Table \* ARABIC</w:instrText>
      </w:r>
      <w:r>
        <w:fldChar w:fldCharType="separate"/>
      </w:r>
      <w:r>
        <w:fldChar w:fldCharType="end"/>
      </w:r>
      <w:r w:rsidRPr="00E935ED">
        <w:t>: Decision outcomes from the completed internal review in 2023–24 and 2024–25</w:t>
      </w:r>
    </w:p>
    <w:tbl>
      <w:tblPr>
        <w:tblStyle w:val="TableGrid"/>
        <w:tblW w:w="0" w:type="auto"/>
        <w:tblLook w:val="04A0" w:firstRow="1" w:lastRow="0" w:firstColumn="1" w:lastColumn="0" w:noHBand="0" w:noVBand="1"/>
      </w:tblPr>
      <w:tblGrid>
        <w:gridCol w:w="3964"/>
        <w:gridCol w:w="3243"/>
        <w:gridCol w:w="3243"/>
      </w:tblGrid>
      <w:tr w:rsidR="006B0B33" w:rsidRPr="00F90717" w14:paraId="03F3C2F5" w14:textId="77777777">
        <w:trPr>
          <w:trHeight w:val="300"/>
        </w:trPr>
        <w:tc>
          <w:tcPr>
            <w:tcW w:w="3964" w:type="dxa"/>
            <w:shd w:val="clear" w:color="auto" w:fill="A6A6A6" w:themeFill="background1" w:themeFillShade="A6"/>
            <w:vAlign w:val="center"/>
          </w:tcPr>
          <w:p w14:paraId="6F73F0CD" w14:textId="77777777" w:rsidR="006B0B33" w:rsidRPr="00F90717" w:rsidRDefault="006B0B33">
            <w:pPr>
              <w:rPr>
                <w:rFonts w:cs="Arial"/>
                <w:b/>
                <w:bCs/>
              </w:rPr>
            </w:pPr>
            <w:r w:rsidRPr="00F90717">
              <w:rPr>
                <w:rFonts w:cs="Arial"/>
                <w:b/>
                <w:bCs/>
              </w:rPr>
              <w:t>Internal review decision outcome</w:t>
            </w:r>
          </w:p>
        </w:tc>
        <w:tc>
          <w:tcPr>
            <w:tcW w:w="3243" w:type="dxa"/>
            <w:shd w:val="clear" w:color="auto" w:fill="A6A6A6" w:themeFill="background1" w:themeFillShade="A6"/>
            <w:vAlign w:val="center"/>
          </w:tcPr>
          <w:p w14:paraId="4DE9EA79" w14:textId="77777777" w:rsidR="006B0B33" w:rsidRPr="00F90717" w:rsidRDefault="006B0B33">
            <w:pPr>
              <w:rPr>
                <w:rFonts w:cs="Arial"/>
                <w:b/>
                <w:bCs/>
              </w:rPr>
            </w:pPr>
            <w:r w:rsidRPr="00F90717">
              <w:rPr>
                <w:rFonts w:cs="Arial"/>
                <w:b/>
                <w:bCs/>
              </w:rPr>
              <w:t>2023–24 number (%)</w:t>
            </w:r>
          </w:p>
        </w:tc>
        <w:tc>
          <w:tcPr>
            <w:tcW w:w="3243" w:type="dxa"/>
            <w:shd w:val="clear" w:color="auto" w:fill="A6A6A6" w:themeFill="background1" w:themeFillShade="A6"/>
            <w:vAlign w:val="center"/>
          </w:tcPr>
          <w:p w14:paraId="21D5037E" w14:textId="77777777" w:rsidR="006B0B33" w:rsidRPr="00F90717" w:rsidRDefault="006B0B33">
            <w:pPr>
              <w:rPr>
                <w:rFonts w:cs="Arial"/>
                <w:b/>
                <w:bCs/>
              </w:rPr>
            </w:pPr>
            <w:r w:rsidRPr="00F90717">
              <w:rPr>
                <w:rFonts w:cs="Arial"/>
                <w:b/>
                <w:bCs/>
              </w:rPr>
              <w:t>2024–25 number (%)</w:t>
            </w:r>
          </w:p>
        </w:tc>
      </w:tr>
      <w:tr w:rsidR="006B0B33" w:rsidRPr="00F90717" w14:paraId="64F097C0" w14:textId="77777777">
        <w:trPr>
          <w:trHeight w:val="300"/>
        </w:trPr>
        <w:tc>
          <w:tcPr>
            <w:tcW w:w="3964" w:type="dxa"/>
          </w:tcPr>
          <w:p w14:paraId="398ADDBD" w14:textId="77777777" w:rsidR="006B0B33" w:rsidRPr="00F90717" w:rsidRDefault="006B0B33">
            <w:pPr>
              <w:rPr>
                <w:rFonts w:cs="Arial"/>
              </w:rPr>
            </w:pPr>
            <w:r w:rsidRPr="00F90717">
              <w:rPr>
                <w:rFonts w:cs="Arial"/>
              </w:rPr>
              <w:t>1. Upheld</w:t>
            </w:r>
          </w:p>
        </w:tc>
        <w:tc>
          <w:tcPr>
            <w:tcW w:w="3243" w:type="dxa"/>
          </w:tcPr>
          <w:p w14:paraId="1F695FFF" w14:textId="77777777" w:rsidR="006B0B33" w:rsidRPr="00F90717" w:rsidRDefault="006B0B33">
            <w:pPr>
              <w:rPr>
                <w:rFonts w:cs="Arial"/>
              </w:rPr>
            </w:pPr>
            <w:r>
              <w:rPr>
                <w:rFonts w:cs="Arial"/>
              </w:rPr>
              <w:t>538</w:t>
            </w:r>
            <w:r w:rsidRPr="00F90717">
              <w:rPr>
                <w:rFonts w:cs="Arial"/>
              </w:rPr>
              <w:t xml:space="preserve"> (</w:t>
            </w:r>
            <w:r>
              <w:rPr>
                <w:rFonts w:cs="Arial"/>
              </w:rPr>
              <w:t>54</w:t>
            </w:r>
            <w:r w:rsidRPr="00F90717">
              <w:rPr>
                <w:rFonts w:cs="Arial"/>
              </w:rPr>
              <w:t>.</w:t>
            </w:r>
            <w:r>
              <w:rPr>
                <w:rFonts w:cs="Arial"/>
              </w:rPr>
              <w:t>5</w:t>
            </w:r>
            <w:r w:rsidRPr="00F90717">
              <w:rPr>
                <w:rFonts w:cs="Arial"/>
              </w:rPr>
              <w:t>)</w:t>
            </w:r>
          </w:p>
        </w:tc>
        <w:tc>
          <w:tcPr>
            <w:tcW w:w="3243" w:type="dxa"/>
          </w:tcPr>
          <w:p w14:paraId="2894864A" w14:textId="77777777" w:rsidR="006B0B33" w:rsidRPr="00F90717" w:rsidRDefault="006B0B33">
            <w:pPr>
              <w:rPr>
                <w:rFonts w:cs="Arial"/>
              </w:rPr>
            </w:pPr>
            <w:r w:rsidRPr="00F90717">
              <w:rPr>
                <w:rFonts w:cs="Arial"/>
              </w:rPr>
              <w:t>644 (66.6)</w:t>
            </w:r>
          </w:p>
        </w:tc>
      </w:tr>
      <w:tr w:rsidR="006B0B33" w:rsidRPr="00F90717" w14:paraId="7BD4156A" w14:textId="77777777">
        <w:trPr>
          <w:trHeight w:val="300"/>
        </w:trPr>
        <w:tc>
          <w:tcPr>
            <w:tcW w:w="3964" w:type="dxa"/>
          </w:tcPr>
          <w:p w14:paraId="7CFA9CE7" w14:textId="77777777" w:rsidR="006B0B33" w:rsidRPr="00F90717" w:rsidRDefault="006B0B33">
            <w:pPr>
              <w:rPr>
                <w:rFonts w:cs="Arial"/>
              </w:rPr>
            </w:pPr>
            <w:r w:rsidRPr="00F90717">
              <w:rPr>
                <w:rFonts w:cs="Arial"/>
              </w:rPr>
              <w:t xml:space="preserve">2. Varied </w:t>
            </w:r>
          </w:p>
        </w:tc>
        <w:tc>
          <w:tcPr>
            <w:tcW w:w="3243" w:type="dxa"/>
          </w:tcPr>
          <w:p w14:paraId="3562494C" w14:textId="77777777" w:rsidR="006B0B33" w:rsidRPr="00F90717" w:rsidRDefault="006B0B33">
            <w:pPr>
              <w:rPr>
                <w:rFonts w:cs="Arial"/>
              </w:rPr>
            </w:pPr>
            <w:r w:rsidRPr="00F90717">
              <w:rPr>
                <w:rFonts w:cs="Arial"/>
              </w:rPr>
              <w:t>111 (11.2)</w:t>
            </w:r>
          </w:p>
        </w:tc>
        <w:tc>
          <w:tcPr>
            <w:tcW w:w="3243" w:type="dxa"/>
          </w:tcPr>
          <w:p w14:paraId="16A2BA5C" w14:textId="77777777" w:rsidR="006B0B33" w:rsidRPr="00F90717" w:rsidRDefault="006B0B33">
            <w:pPr>
              <w:rPr>
                <w:rFonts w:cs="Arial"/>
              </w:rPr>
            </w:pPr>
            <w:r w:rsidRPr="00F90717">
              <w:rPr>
                <w:rFonts w:cs="Arial"/>
              </w:rPr>
              <w:t>150 (15.5)</w:t>
            </w:r>
          </w:p>
        </w:tc>
      </w:tr>
      <w:tr w:rsidR="006B0B33" w:rsidRPr="00F90717" w14:paraId="19229D78" w14:textId="77777777">
        <w:trPr>
          <w:trHeight w:val="300"/>
        </w:trPr>
        <w:tc>
          <w:tcPr>
            <w:tcW w:w="3964" w:type="dxa"/>
          </w:tcPr>
          <w:p w14:paraId="124673FA" w14:textId="77777777" w:rsidR="006B0B33" w:rsidRPr="00F90717" w:rsidRDefault="006B0B33">
            <w:pPr>
              <w:rPr>
                <w:rFonts w:cs="Arial"/>
              </w:rPr>
            </w:pPr>
            <w:r w:rsidRPr="00F90717">
              <w:rPr>
                <w:rFonts w:cs="Arial"/>
              </w:rPr>
              <w:t xml:space="preserve">3. Overturned </w:t>
            </w:r>
          </w:p>
        </w:tc>
        <w:tc>
          <w:tcPr>
            <w:tcW w:w="3243" w:type="dxa"/>
          </w:tcPr>
          <w:p w14:paraId="33DC0A06" w14:textId="77777777" w:rsidR="006B0B33" w:rsidRPr="00F90717" w:rsidRDefault="006B0B33">
            <w:pPr>
              <w:rPr>
                <w:rFonts w:cs="Arial"/>
              </w:rPr>
            </w:pPr>
            <w:r w:rsidRPr="00F90717">
              <w:rPr>
                <w:rFonts w:cs="Arial"/>
              </w:rPr>
              <w:t>128 (13.0)</w:t>
            </w:r>
          </w:p>
        </w:tc>
        <w:tc>
          <w:tcPr>
            <w:tcW w:w="3243" w:type="dxa"/>
          </w:tcPr>
          <w:p w14:paraId="1B79579B" w14:textId="77777777" w:rsidR="006B0B33" w:rsidRPr="00F90717" w:rsidRDefault="006B0B33">
            <w:pPr>
              <w:rPr>
                <w:rFonts w:cs="Arial"/>
              </w:rPr>
            </w:pPr>
            <w:r w:rsidRPr="00F90717">
              <w:rPr>
                <w:rFonts w:cs="Arial"/>
              </w:rPr>
              <w:t>149 (15.4)</w:t>
            </w:r>
          </w:p>
        </w:tc>
      </w:tr>
      <w:tr w:rsidR="006B0B33" w:rsidRPr="00F90717" w14:paraId="05970BA4" w14:textId="77777777">
        <w:trPr>
          <w:trHeight w:val="300"/>
        </w:trPr>
        <w:tc>
          <w:tcPr>
            <w:tcW w:w="3964" w:type="dxa"/>
          </w:tcPr>
          <w:p w14:paraId="5FFFB4FF" w14:textId="77777777" w:rsidR="006B0B33" w:rsidRPr="00F90717" w:rsidRDefault="006B0B33">
            <w:pPr>
              <w:rPr>
                <w:rFonts w:cs="Arial"/>
              </w:rPr>
            </w:pPr>
            <w:r w:rsidRPr="00F90717">
              <w:rPr>
                <w:rFonts w:cs="Arial"/>
              </w:rPr>
              <w:t xml:space="preserve">4. Deemed </w:t>
            </w:r>
          </w:p>
        </w:tc>
        <w:tc>
          <w:tcPr>
            <w:tcW w:w="3243" w:type="dxa"/>
          </w:tcPr>
          <w:p w14:paraId="6FCF8183" w14:textId="77777777" w:rsidR="006B0B33" w:rsidRPr="00F90717" w:rsidRDefault="006B0B33">
            <w:pPr>
              <w:rPr>
                <w:rFonts w:cs="Arial"/>
              </w:rPr>
            </w:pPr>
            <w:r w:rsidRPr="00F90717">
              <w:rPr>
                <w:rFonts w:cs="Arial"/>
              </w:rPr>
              <w:t>210 (21.2)</w:t>
            </w:r>
          </w:p>
        </w:tc>
        <w:tc>
          <w:tcPr>
            <w:tcW w:w="3243" w:type="dxa"/>
          </w:tcPr>
          <w:p w14:paraId="06A8677E" w14:textId="77777777" w:rsidR="006B0B33" w:rsidRPr="00F90717" w:rsidRDefault="006B0B33">
            <w:pPr>
              <w:rPr>
                <w:rFonts w:cs="Arial"/>
              </w:rPr>
            </w:pPr>
            <w:r w:rsidRPr="00F90717">
              <w:rPr>
                <w:rFonts w:cs="Arial"/>
              </w:rPr>
              <w:t>24 (2.</w:t>
            </w:r>
            <w:r>
              <w:rPr>
                <w:rFonts w:cs="Arial"/>
              </w:rPr>
              <w:t>5</w:t>
            </w:r>
            <w:r w:rsidRPr="00F90717">
              <w:rPr>
                <w:rFonts w:cs="Arial"/>
              </w:rPr>
              <w:t>)</w:t>
            </w:r>
          </w:p>
        </w:tc>
      </w:tr>
    </w:tbl>
    <w:p w14:paraId="0EA65545" w14:textId="4A143FE6" w:rsidR="006B0B33" w:rsidRDefault="006B0B33" w:rsidP="006B0B33">
      <w:pPr>
        <w:spacing w:before="120" w:after="120"/>
        <w:ind w:hanging="11"/>
        <w:rPr>
          <w:rFonts w:cs="Arial"/>
        </w:rPr>
      </w:pPr>
    </w:p>
    <w:p w14:paraId="1E21DE82" w14:textId="0BBFF9A5" w:rsidR="006B0B33" w:rsidRPr="00582FC6" w:rsidRDefault="006B0B33" w:rsidP="006B0B33">
      <w:pPr>
        <w:spacing w:before="120" w:after="120"/>
      </w:pPr>
    </w:p>
    <w:p w14:paraId="1461DBAC" w14:textId="68FC91DC" w:rsidR="006B0B33" w:rsidRDefault="006B0B33" w:rsidP="006B0B33">
      <w:pPr>
        <w:rPr>
          <w:rFonts w:eastAsiaTheme="majorEastAsia" w:cs="Arial"/>
          <w:sz w:val="48"/>
          <w:szCs w:val="48"/>
        </w:rPr>
      </w:pPr>
      <w:r>
        <w:rPr>
          <w:rFonts w:cs="Arial"/>
        </w:rPr>
        <w:br w:type="page"/>
      </w:r>
    </w:p>
    <w:p w14:paraId="34686528" w14:textId="3F771018" w:rsidR="003A55DE" w:rsidRDefault="00A56AFB" w:rsidP="003A55DE">
      <w:pPr>
        <w:pStyle w:val="Heading2"/>
        <w:rPr>
          <w:rFonts w:cs="Arial"/>
        </w:rPr>
      </w:pPr>
      <w:bookmarkStart w:id="99" w:name="_Toc206493015"/>
      <w:r>
        <w:lastRenderedPageBreak/>
        <w:t>Compliance and enforcement</w:t>
      </w:r>
      <w:bookmarkEnd w:id="99"/>
      <w:r>
        <w:t xml:space="preserve"> </w:t>
      </w:r>
    </w:p>
    <w:p w14:paraId="6832373B" w14:textId="30F7C658" w:rsidR="00F9797A" w:rsidRDefault="003A55DE">
      <w:pPr>
        <w:spacing w:before="120" w:after="120"/>
        <w:rPr>
          <w:rFonts w:cs="Arial"/>
        </w:rPr>
      </w:pPr>
      <w:r w:rsidRPr="7E4EA285">
        <w:rPr>
          <w:rFonts w:cs="Arial"/>
        </w:rPr>
        <w:t xml:space="preserve">Exercising its legislative authority, the QBCC monitors and enforces compliance with </w:t>
      </w:r>
      <w:r w:rsidRPr="7E4EA285" w:rsidDel="00D329FD">
        <w:rPr>
          <w:rFonts w:cs="Arial"/>
        </w:rPr>
        <w:t>build</w:t>
      </w:r>
      <w:r w:rsidRPr="7E4EA285">
        <w:rPr>
          <w:rFonts w:cs="Arial"/>
        </w:rPr>
        <w:t xml:space="preserve">ing laws, codes and standards to ensure tradespeople operate lawfully and meet their obligations. </w:t>
      </w:r>
    </w:p>
    <w:p w14:paraId="42CE1328" w14:textId="6039A3CD" w:rsidR="003A55DE" w:rsidRPr="00116692" w:rsidRDefault="003A55DE" w:rsidP="00D850B1">
      <w:pPr>
        <w:spacing w:before="120" w:after="120"/>
        <w:rPr>
          <w:rFonts w:cs="Arial"/>
        </w:rPr>
      </w:pPr>
      <w:r w:rsidRPr="7E4EA285">
        <w:rPr>
          <w:rFonts w:cs="Arial"/>
        </w:rPr>
        <w:t>In 2024–25, the QBCC launched its Compliance and Enforcement Strategy 2024–</w:t>
      </w:r>
      <w:r w:rsidR="00224319">
        <w:rPr>
          <w:rFonts w:cs="Arial"/>
        </w:rPr>
        <w:t>20</w:t>
      </w:r>
      <w:r w:rsidRPr="7E4EA285">
        <w:rPr>
          <w:rFonts w:cs="Arial"/>
        </w:rPr>
        <w:t>26 to reinforce its commitment to proactive and risk-based regulation of Queensland’s building and construction industry. The strategy outlines a targeted</w:t>
      </w:r>
      <w:r w:rsidRPr="7E4EA285" w:rsidDel="00D329FD">
        <w:rPr>
          <w:rFonts w:cs="Arial"/>
        </w:rPr>
        <w:t xml:space="preserve"> </w:t>
      </w:r>
      <w:r w:rsidRPr="7E4EA285">
        <w:rPr>
          <w:rFonts w:cs="Arial"/>
        </w:rPr>
        <w:t xml:space="preserve">approach focused on reducing harm, improving industry compliance and safeguarding consumers, licensees and the wider community. </w:t>
      </w:r>
      <w:r>
        <w:rPr>
          <w:rFonts w:cs="Arial"/>
        </w:rPr>
        <w:t xml:space="preserve">Central to the strategy </w:t>
      </w:r>
      <w:r w:rsidRPr="7E4EA285">
        <w:rPr>
          <w:rFonts w:cs="Arial"/>
        </w:rPr>
        <w:t xml:space="preserve">is a shift towards </w:t>
      </w:r>
      <w:r w:rsidR="00257912">
        <w:rPr>
          <w:rFonts w:cs="Arial"/>
        </w:rPr>
        <w:t>proactive</w:t>
      </w:r>
      <w:r>
        <w:rPr>
          <w:rFonts w:cs="Arial"/>
        </w:rPr>
        <w:t xml:space="preserve"> </w:t>
      </w:r>
      <w:r w:rsidRPr="7E4EA285">
        <w:rPr>
          <w:rFonts w:cs="Arial"/>
        </w:rPr>
        <w:t>regulat</w:t>
      </w:r>
      <w:r w:rsidR="00186EF7">
        <w:rPr>
          <w:rFonts w:cs="Arial"/>
        </w:rPr>
        <w:t>ory activity</w:t>
      </w:r>
      <w:r>
        <w:rPr>
          <w:rFonts w:cs="Arial"/>
        </w:rPr>
        <w:t>—i</w:t>
      </w:r>
      <w:r w:rsidRPr="7E4EA285">
        <w:rPr>
          <w:rFonts w:cs="Arial"/>
        </w:rPr>
        <w:t>dentifying and addressing emerging risks early through education</w:t>
      </w:r>
      <w:r>
        <w:rPr>
          <w:rFonts w:cs="Arial"/>
        </w:rPr>
        <w:t>, engagement</w:t>
      </w:r>
      <w:r w:rsidRPr="7E4EA285">
        <w:rPr>
          <w:rFonts w:cs="Arial"/>
        </w:rPr>
        <w:t xml:space="preserve"> and </w:t>
      </w:r>
      <w:r>
        <w:rPr>
          <w:rFonts w:cs="Arial"/>
        </w:rPr>
        <w:t>enforcement</w:t>
      </w:r>
      <w:r w:rsidRPr="7E4EA285">
        <w:rPr>
          <w:rFonts w:cs="Arial"/>
        </w:rPr>
        <w:t xml:space="preserve">. </w:t>
      </w:r>
      <w:r>
        <w:rPr>
          <w:rFonts w:cs="Arial"/>
        </w:rPr>
        <w:t>R</w:t>
      </w:r>
      <w:r w:rsidRPr="7E4EA285">
        <w:rPr>
          <w:rFonts w:cs="Arial"/>
        </w:rPr>
        <w:t xml:space="preserve">esources </w:t>
      </w:r>
      <w:r>
        <w:rPr>
          <w:rFonts w:cs="Arial"/>
        </w:rPr>
        <w:t xml:space="preserve">are strategically </w:t>
      </w:r>
      <w:r w:rsidR="008313D2">
        <w:rPr>
          <w:rFonts w:cs="Arial"/>
        </w:rPr>
        <w:t>allocated</w:t>
      </w:r>
      <w:r>
        <w:rPr>
          <w:rFonts w:cs="Arial"/>
        </w:rPr>
        <w:t xml:space="preserve"> </w:t>
      </w:r>
      <w:r w:rsidRPr="7E4EA285">
        <w:rPr>
          <w:rFonts w:cs="Arial"/>
        </w:rPr>
        <w:t xml:space="preserve">to areas </w:t>
      </w:r>
      <w:r>
        <w:rPr>
          <w:rFonts w:cs="Arial"/>
        </w:rPr>
        <w:t xml:space="preserve">of </w:t>
      </w:r>
      <w:r w:rsidRPr="7E4EA285">
        <w:rPr>
          <w:rFonts w:cs="Arial"/>
        </w:rPr>
        <w:t>greatest</w:t>
      </w:r>
      <w:r>
        <w:rPr>
          <w:rFonts w:cs="Arial"/>
        </w:rPr>
        <w:t xml:space="preserve"> potential harm</w:t>
      </w:r>
      <w:r w:rsidRPr="7E4EA285">
        <w:rPr>
          <w:rFonts w:cs="Arial"/>
        </w:rPr>
        <w:t>, such as non-compliant building work and materials, unlicensed contracting and pool safety</w:t>
      </w:r>
      <w:r>
        <w:rPr>
          <w:rFonts w:cs="Arial"/>
        </w:rPr>
        <w:t xml:space="preserve"> concerns</w:t>
      </w:r>
      <w:r w:rsidRPr="7E4EA285">
        <w:rPr>
          <w:rFonts w:cs="Arial"/>
        </w:rPr>
        <w:t xml:space="preserve">. </w:t>
      </w:r>
    </w:p>
    <w:p w14:paraId="07529A8F" w14:textId="5A235030" w:rsidR="00AC66DA" w:rsidRPr="003F09C5" w:rsidRDefault="00AC66DA" w:rsidP="00AC66DA">
      <w:pPr>
        <w:pStyle w:val="Heading3"/>
        <w:spacing w:before="120" w:after="120"/>
      </w:pPr>
      <w:r>
        <w:t xml:space="preserve">Proactive audits and site inspections  </w:t>
      </w:r>
    </w:p>
    <w:p w14:paraId="07000EEF" w14:textId="7BA29325" w:rsidR="00AC66DA" w:rsidRPr="001571FF" w:rsidRDefault="00AC66DA" w:rsidP="00AC66DA">
      <w:pPr>
        <w:spacing w:before="120" w:after="120"/>
      </w:pPr>
      <w:r w:rsidRPr="1AA49AC8">
        <w:rPr>
          <w:rFonts w:eastAsia="Arial" w:cs="Arial"/>
        </w:rPr>
        <w:t>As part of its compliance and enforcement activities, the</w:t>
      </w:r>
      <w:r>
        <w:t xml:space="preserve"> QBCC undertakes proactive audits and site inspections as a key initiative under the QBCC Compliance and Enforcement Strategy </w:t>
      </w:r>
      <w:r w:rsidRPr="00861291">
        <w:t>2024–</w:t>
      </w:r>
      <w:r>
        <w:t>20</w:t>
      </w:r>
      <w:r w:rsidRPr="00861291">
        <w:t>26</w:t>
      </w:r>
      <w:r>
        <w:t>. P</w:t>
      </w:r>
      <w:r w:rsidRPr="00F303EA">
        <w:t>roactive audits and inspections help reduce the likelihood of defective work, safety breaches</w:t>
      </w:r>
      <w:r>
        <w:t xml:space="preserve"> </w:t>
      </w:r>
      <w:r w:rsidRPr="00F303EA">
        <w:t xml:space="preserve">and financial harm to consumers. </w:t>
      </w:r>
      <w:r>
        <w:t xml:space="preserve">The QBCC’s </w:t>
      </w:r>
      <w:r w:rsidRPr="00F303EA">
        <w:t>forward-looking approach</w:t>
      </w:r>
      <w:r>
        <w:t xml:space="preserve"> also</w:t>
      </w:r>
      <w:r w:rsidRPr="00F303EA">
        <w:t xml:space="preserve"> supports the </w:t>
      </w:r>
      <w:r>
        <w:t>organisation’</w:t>
      </w:r>
      <w:r w:rsidRPr="00F303EA">
        <w:t>s broader regulatory objective to prevent harm before it occurs, rather than responding only after issues arise.</w:t>
      </w:r>
    </w:p>
    <w:p w14:paraId="28499608" w14:textId="595FED90" w:rsidR="00AC66DA" w:rsidRDefault="00FC3F6E" w:rsidP="00167D4A">
      <w:pPr>
        <w:pStyle w:val="Heading4"/>
      </w:pPr>
      <w:r>
        <w:t>P</w:t>
      </w:r>
      <w:r w:rsidR="00AC66DA" w:rsidRPr="00167D4A">
        <w:t xml:space="preserve">roactive </w:t>
      </w:r>
      <w:r>
        <w:t>I</w:t>
      </w:r>
      <w:r w:rsidR="00AC66DA" w:rsidRPr="00167D4A">
        <w:t xml:space="preserve">nsolvency </w:t>
      </w:r>
      <w:r>
        <w:t>A</w:t>
      </w:r>
      <w:r w:rsidR="00AC66DA" w:rsidRPr="00167D4A">
        <w:t xml:space="preserve">udit </w:t>
      </w:r>
      <w:r>
        <w:t>P</w:t>
      </w:r>
      <w:r w:rsidR="00AC66DA" w:rsidRPr="00167D4A">
        <w:t>rogram</w:t>
      </w:r>
    </w:p>
    <w:p w14:paraId="6D402939" w14:textId="77777777" w:rsidR="00A36E64" w:rsidRDefault="00AC66DA" w:rsidP="00AC66DA">
      <w:pPr>
        <w:spacing w:before="120" w:after="120"/>
      </w:pPr>
      <w:r>
        <w:t xml:space="preserve">In February 2024, the QBCC launched the Proactive Insolvency Audit Program to </w:t>
      </w:r>
      <w:r w:rsidR="00DE60E7">
        <w:t xml:space="preserve">identify, </w:t>
      </w:r>
      <w:r>
        <w:t xml:space="preserve">review and monitor companies at risk of insolvency. </w:t>
      </w:r>
      <w:r w:rsidR="008F5DE3">
        <w:t>Using r</w:t>
      </w:r>
      <w:r w:rsidR="00170FC5">
        <w:t>isk-based indic</w:t>
      </w:r>
      <w:r w:rsidR="005022E4">
        <w:t>a</w:t>
      </w:r>
      <w:r w:rsidR="00170FC5">
        <w:t xml:space="preserve">tors </w:t>
      </w:r>
      <w:r w:rsidR="00A971FE">
        <w:t xml:space="preserve">to </w:t>
      </w:r>
      <w:r w:rsidR="00E27746">
        <w:t xml:space="preserve">assess </w:t>
      </w:r>
      <w:r w:rsidR="00A971FE">
        <w:t>the likelihood of insolvency</w:t>
      </w:r>
      <w:r w:rsidR="008F5DE3">
        <w:t xml:space="preserve">, </w:t>
      </w:r>
      <w:r w:rsidR="00E27746">
        <w:t>the program has su</w:t>
      </w:r>
      <w:r w:rsidR="008838B3">
        <w:t xml:space="preserve">pported the </w:t>
      </w:r>
      <w:r w:rsidR="008F5DE3">
        <w:t>reinject</w:t>
      </w:r>
      <w:r w:rsidR="008838B3">
        <w:t>ion of funds into businesses to help stab</w:t>
      </w:r>
      <w:r w:rsidR="00E3196F">
        <w:t>ilise their financial position</w:t>
      </w:r>
      <w:r w:rsidR="00A971FE">
        <w:t xml:space="preserve">. </w:t>
      </w:r>
      <w:r>
        <w:t xml:space="preserve">Following the success of Phase 1, Phases 2 and 3 were implemented throughout 2024–25. </w:t>
      </w:r>
    </w:p>
    <w:p w14:paraId="2A0D7505" w14:textId="60F334DF" w:rsidR="00AC66DA" w:rsidRDefault="00AC66DA" w:rsidP="00AC66DA">
      <w:pPr>
        <w:spacing w:before="120" w:after="120"/>
      </w:pPr>
      <w:r>
        <w:t>Across Phase 1 to 3, the program has delivered:</w:t>
      </w:r>
    </w:p>
    <w:p w14:paraId="614EF890" w14:textId="54EA3582" w:rsidR="00AC66DA" w:rsidRDefault="00AC66DA" w:rsidP="00BD69F7">
      <w:pPr>
        <w:pStyle w:val="ListParagraph"/>
        <w:numPr>
          <w:ilvl w:val="0"/>
          <w:numId w:val="48"/>
        </w:numPr>
        <w:spacing w:before="120" w:after="120"/>
        <w:ind w:left="714" w:hanging="357"/>
        <w:contextualSpacing w:val="0"/>
      </w:pPr>
      <w:r>
        <w:t>$107 million increase in voluntary cash reserves</w:t>
      </w:r>
    </w:p>
    <w:p w14:paraId="2DA28B8C" w14:textId="3D1A5C34" w:rsidR="00AC66DA" w:rsidRDefault="00AC66DA" w:rsidP="00BD69F7">
      <w:pPr>
        <w:pStyle w:val="ListParagraph"/>
        <w:numPr>
          <w:ilvl w:val="0"/>
          <w:numId w:val="48"/>
        </w:numPr>
        <w:spacing w:before="120" w:after="120"/>
        <w:ind w:left="714" w:hanging="357"/>
        <w:contextualSpacing w:val="0"/>
      </w:pPr>
      <w:r>
        <w:t>$258 million increase in operating cash flows.</w:t>
      </w:r>
    </w:p>
    <w:p w14:paraId="4FD04E87" w14:textId="0CDB4D9E" w:rsidR="00AC66DA" w:rsidRDefault="00AC66DA" w:rsidP="00AC66DA">
      <w:pPr>
        <w:spacing w:before="120" w:after="120"/>
      </w:pPr>
      <w:r>
        <w:t>Phase 4 commenced in February 2025, with 29 licensees selected for review based on 2024–25 financial year reporting data.</w:t>
      </w:r>
      <w:r w:rsidR="00E55CF0">
        <w:t xml:space="preserve"> A</w:t>
      </w:r>
      <w:r w:rsidR="00E55CF0" w:rsidRPr="00E55CF0">
        <w:t>s of June 30</w:t>
      </w:r>
      <w:r>
        <w:t>, Phase 4 has delivered:</w:t>
      </w:r>
    </w:p>
    <w:p w14:paraId="056174A0" w14:textId="045F132D" w:rsidR="00AC66DA" w:rsidRDefault="00AC66DA" w:rsidP="00BD69F7">
      <w:pPr>
        <w:pStyle w:val="ListParagraph"/>
        <w:numPr>
          <w:ilvl w:val="0"/>
          <w:numId w:val="49"/>
        </w:numPr>
        <w:spacing w:before="120" w:after="120"/>
        <w:ind w:left="714" w:hanging="357"/>
        <w:contextualSpacing w:val="0"/>
      </w:pPr>
      <w:r>
        <w:t>$3</w:t>
      </w:r>
      <w:r w:rsidR="005B276F">
        <w:t xml:space="preserve">1 </w:t>
      </w:r>
      <w:r w:rsidR="00CD74F0">
        <w:t>million</w:t>
      </w:r>
      <w:r>
        <w:t xml:space="preserve"> increase in voluntary cash reserves</w:t>
      </w:r>
    </w:p>
    <w:p w14:paraId="06C3E0F7" w14:textId="4E6F518E" w:rsidR="00AC66DA" w:rsidRDefault="00AC66DA" w:rsidP="00BD69F7">
      <w:pPr>
        <w:pStyle w:val="ListParagraph"/>
        <w:numPr>
          <w:ilvl w:val="0"/>
          <w:numId w:val="49"/>
        </w:numPr>
        <w:spacing w:before="120" w:after="120"/>
        <w:ind w:left="714" w:hanging="357"/>
        <w:contextualSpacing w:val="0"/>
      </w:pPr>
      <w:r>
        <w:t>$60</w:t>
      </w:r>
      <w:r w:rsidR="00CD74F0">
        <w:t xml:space="preserve"> million</w:t>
      </w:r>
      <w:r>
        <w:t xml:space="preserve"> increase in operating cash flows.</w:t>
      </w:r>
    </w:p>
    <w:p w14:paraId="239A181B" w14:textId="6651FC65" w:rsidR="00AC66DA" w:rsidRDefault="00AC66DA" w:rsidP="00AC66DA">
      <w:pPr>
        <w:spacing w:before="120" w:after="120"/>
      </w:pPr>
      <w:r>
        <w:t>T</w:t>
      </w:r>
      <w:r w:rsidRPr="003739AC">
        <w:t xml:space="preserve">he </w:t>
      </w:r>
      <w:r>
        <w:t>Proactive Insolvency Audit Program has achieved a 96 per cent success rate to date, with vast majority of participating licensees continuing to demonstrate solvency following intervention.</w:t>
      </w:r>
    </w:p>
    <w:p w14:paraId="699B9C5F" w14:textId="6B51BA26" w:rsidR="00AC66DA" w:rsidRPr="00D850B1" w:rsidRDefault="00AC66DA" w:rsidP="00AC66DA">
      <w:pPr>
        <w:pStyle w:val="Heading4"/>
        <w:spacing w:before="120"/>
      </w:pPr>
      <w:r w:rsidRPr="00B16147">
        <w:t>Licen</w:t>
      </w:r>
      <w:r>
        <w:t>sing</w:t>
      </w:r>
      <w:r w:rsidRPr="00B16147">
        <w:t xml:space="preserve"> compliance audits</w:t>
      </w:r>
      <w:r w:rsidRPr="00D850B1">
        <w:t xml:space="preserve">  </w:t>
      </w:r>
    </w:p>
    <w:p w14:paraId="2E93DA12" w14:textId="4723D278" w:rsidR="00AC66DA" w:rsidRPr="00E27662" w:rsidRDefault="00AC66DA" w:rsidP="00AC66DA">
      <w:pPr>
        <w:spacing w:before="120" w:after="120"/>
        <w:rPr>
          <w:rFonts w:eastAsia="Arial"/>
        </w:rPr>
      </w:pPr>
      <w:r w:rsidRPr="00437419">
        <w:t xml:space="preserve">The QBCC </w:t>
      </w:r>
      <w:r w:rsidRPr="20BE9D8C">
        <w:rPr>
          <w:rFonts w:eastAsia="Arial" w:cs="Arial"/>
        </w:rPr>
        <w:t>conducts comprehensive monthly licensing compliance audits across the state, which include on-site inspections to verify that contractors and tradespeople are appropriately licensed and complying with their legislative obligations. These visits also provide valuable opportunities to engage directly with contractors, offering</w:t>
      </w:r>
      <w:r w:rsidRPr="20BE9D8C" w:rsidDel="00550DB4">
        <w:rPr>
          <w:rFonts w:eastAsia="Arial" w:cs="Arial"/>
        </w:rPr>
        <w:t xml:space="preserve"> </w:t>
      </w:r>
      <w:r w:rsidRPr="20BE9D8C">
        <w:rPr>
          <w:rFonts w:eastAsia="Arial" w:cs="Arial"/>
        </w:rPr>
        <w:t>education and guidance to support industry understanding and compliance. Where potential unlicensed activity is identified during site visits, the QBCC undertakes further investigation to determine whether enforcement action is warranted. To safeguard consumer interests and maintain industry integrity, the QBCC will adopt a strong regulatory approach in dealing with unlicensed contracting employing its full suite of regulatory tools to address this issue.</w:t>
      </w:r>
    </w:p>
    <w:p w14:paraId="7921AC64" w14:textId="431AF6CE" w:rsidR="00AC66DA" w:rsidRPr="003F09C5" w:rsidRDefault="00AC66DA" w:rsidP="00AC66DA">
      <w:pPr>
        <w:spacing w:before="120" w:after="120"/>
        <w:rPr>
          <w:rStyle w:val="normaltextrun"/>
          <w:rFonts w:eastAsia="Arial"/>
        </w:rPr>
      </w:pPr>
      <w:r>
        <w:rPr>
          <w:rFonts w:eastAsia="Arial"/>
        </w:rPr>
        <w:t>In 2024–25, the</w:t>
      </w:r>
      <w:r w:rsidRPr="001F373A">
        <w:rPr>
          <w:rFonts w:eastAsia="Arial"/>
        </w:rPr>
        <w:t xml:space="preserve"> QBCC </w:t>
      </w:r>
      <w:r>
        <w:rPr>
          <w:rFonts w:eastAsia="Arial"/>
        </w:rPr>
        <w:t xml:space="preserve">carried out targeted site </w:t>
      </w:r>
      <w:r w:rsidRPr="001F373A">
        <w:rPr>
          <w:rFonts w:eastAsia="Arial"/>
        </w:rPr>
        <w:t>visit</w:t>
      </w:r>
      <w:r>
        <w:rPr>
          <w:rFonts w:eastAsia="Arial"/>
        </w:rPr>
        <w:t>s across</w:t>
      </w:r>
      <w:r w:rsidRPr="001F373A">
        <w:rPr>
          <w:rFonts w:eastAsia="Arial"/>
        </w:rPr>
        <w:t xml:space="preserve"> </w:t>
      </w:r>
      <w:r>
        <w:rPr>
          <w:rFonts w:eastAsia="Arial"/>
        </w:rPr>
        <w:t xml:space="preserve">Queensland, focusing on unlicensed contracting and </w:t>
      </w:r>
      <w:r w:rsidRPr="001F373A">
        <w:rPr>
          <w:rFonts w:eastAsia="Arial"/>
        </w:rPr>
        <w:t xml:space="preserve">licensed contractors operating outside their </w:t>
      </w:r>
      <w:r>
        <w:rPr>
          <w:rFonts w:eastAsia="Arial"/>
        </w:rPr>
        <w:t xml:space="preserve">approved </w:t>
      </w:r>
      <w:r w:rsidRPr="001F373A">
        <w:rPr>
          <w:rFonts w:eastAsia="Arial"/>
        </w:rPr>
        <w:t>scope</w:t>
      </w:r>
      <w:r>
        <w:rPr>
          <w:rFonts w:eastAsia="Arial"/>
        </w:rPr>
        <w:t xml:space="preserve"> of work</w:t>
      </w:r>
      <w:r w:rsidRPr="001F373A">
        <w:rPr>
          <w:rFonts w:eastAsia="Arial"/>
        </w:rPr>
        <w:t xml:space="preserve">. </w:t>
      </w:r>
      <w:r>
        <w:rPr>
          <w:rFonts w:eastAsia="Arial"/>
        </w:rPr>
        <w:t xml:space="preserve">These activities were supported by a month-long compliance campaign in October 2024 to raise awareness </w:t>
      </w:r>
      <w:r w:rsidR="00B721D4">
        <w:rPr>
          <w:rFonts w:eastAsia="Arial"/>
        </w:rPr>
        <w:t>about</w:t>
      </w:r>
      <w:r>
        <w:rPr>
          <w:rFonts w:eastAsia="Arial"/>
        </w:rPr>
        <w:t xml:space="preserve"> licensing requirements and </w:t>
      </w:r>
      <w:r w:rsidR="0068282C">
        <w:rPr>
          <w:rFonts w:eastAsia="Arial"/>
        </w:rPr>
        <w:t xml:space="preserve">to </w:t>
      </w:r>
      <w:r>
        <w:rPr>
          <w:rFonts w:eastAsia="Arial"/>
        </w:rPr>
        <w:t xml:space="preserve">promote regulatory compliance. </w:t>
      </w:r>
      <w:r w:rsidR="009B57DA">
        <w:rPr>
          <w:rFonts w:eastAsia="Arial"/>
        </w:rPr>
        <w:fldChar w:fldCharType="begin"/>
      </w:r>
      <w:r w:rsidR="009B57DA">
        <w:rPr>
          <w:rFonts w:eastAsia="Arial"/>
        </w:rPr>
        <w:instrText xml:space="preserve"> REF _Ref204671001 \h </w:instrText>
      </w:r>
      <w:r w:rsidR="009B57DA">
        <w:rPr>
          <w:rFonts w:eastAsia="Arial"/>
        </w:rPr>
      </w:r>
      <w:r w:rsidR="009B57DA">
        <w:rPr>
          <w:rFonts w:eastAsia="Arial"/>
        </w:rPr>
        <w:fldChar w:fldCharType="separate"/>
      </w:r>
      <w:r w:rsidR="009B57DA">
        <w:t>Table 15</w:t>
      </w:r>
      <w:r w:rsidR="009B57DA">
        <w:rPr>
          <w:rFonts w:eastAsia="Arial"/>
        </w:rPr>
        <w:fldChar w:fldCharType="end"/>
      </w:r>
      <w:r w:rsidR="009B57DA">
        <w:rPr>
          <w:rFonts w:eastAsia="Arial"/>
        </w:rPr>
        <w:t xml:space="preserve"> </w:t>
      </w:r>
      <w:r w:rsidRPr="00817BD8">
        <w:rPr>
          <w:rFonts w:eastAsia="Arial"/>
        </w:rPr>
        <w:t>summar</w:t>
      </w:r>
      <w:r w:rsidR="004E0F91">
        <w:rPr>
          <w:rFonts w:eastAsia="Arial"/>
        </w:rPr>
        <w:t>ises</w:t>
      </w:r>
      <w:r>
        <w:rPr>
          <w:rFonts w:eastAsia="Arial"/>
        </w:rPr>
        <w:t xml:space="preserve"> </w:t>
      </w:r>
      <w:r w:rsidR="00544751">
        <w:rPr>
          <w:rFonts w:eastAsia="Arial"/>
        </w:rPr>
        <w:t>the number</w:t>
      </w:r>
      <w:r>
        <w:rPr>
          <w:rFonts w:eastAsia="Arial"/>
        </w:rPr>
        <w:t xml:space="preserve"> of site visits conducted and the resulting outcomes during the reporting period.</w:t>
      </w:r>
    </w:p>
    <w:p w14:paraId="0125C549" w14:textId="77777777" w:rsidR="009176A3" w:rsidRDefault="009176A3">
      <w:pPr>
        <w:rPr>
          <w:rFonts w:cs="Arial"/>
          <w:b/>
          <w:szCs w:val="22"/>
        </w:rPr>
      </w:pPr>
      <w:bookmarkStart w:id="100" w:name="_Ref204671001"/>
      <w:r>
        <w:br w:type="page"/>
      </w:r>
    </w:p>
    <w:p w14:paraId="1BDF7FF3" w14:textId="62480CF4" w:rsidR="00AC66DA" w:rsidRPr="00D335F5" w:rsidRDefault="00AC66DA" w:rsidP="00AC66DA">
      <w:pPr>
        <w:pStyle w:val="Caption"/>
        <w:spacing w:before="120" w:after="120"/>
      </w:pPr>
      <w:r>
        <w:lastRenderedPageBreak/>
        <w:t xml:space="preserve">Table </w:t>
      </w:r>
      <w:bookmarkEnd w:id="100"/>
      <w:r w:rsidR="006C5E7F">
        <w:t>15</w:t>
      </w:r>
      <w:r>
        <w:fldChar w:fldCharType="begin"/>
      </w:r>
      <w:r>
        <w:instrText>SEQ Table \* ARABIC</w:instrText>
      </w:r>
      <w:r>
        <w:fldChar w:fldCharType="separate"/>
      </w:r>
      <w:r>
        <w:fldChar w:fldCharType="end"/>
      </w:r>
      <w:r w:rsidRPr="00511994">
        <w:t xml:space="preserve">: </w:t>
      </w:r>
      <w:r>
        <w:t>Site visit activities and o</w:t>
      </w:r>
      <w:r w:rsidRPr="00511994">
        <w:t xml:space="preserve">utcomes </w:t>
      </w:r>
      <w:r>
        <w:t>for</w:t>
      </w:r>
      <w:r w:rsidRPr="00511994">
        <w:t xml:space="preserve"> 2024–25</w:t>
      </w:r>
    </w:p>
    <w:tbl>
      <w:tblPr>
        <w:tblW w:w="104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1"/>
        <w:gridCol w:w="2832"/>
        <w:gridCol w:w="2833"/>
        <w:gridCol w:w="1241"/>
      </w:tblGrid>
      <w:tr w:rsidR="00AC66DA" w:rsidRPr="00EA5EDB" w14:paraId="771057BD" w14:textId="77777777">
        <w:trPr>
          <w:trHeight w:val="318"/>
        </w:trPr>
        <w:tc>
          <w:tcPr>
            <w:tcW w:w="3541" w:type="dxa"/>
            <w:vMerge w:val="restart"/>
            <w:tcBorders>
              <w:top w:val="single" w:sz="6" w:space="0" w:color="auto"/>
              <w:left w:val="single" w:sz="6" w:space="0" w:color="auto"/>
              <w:right w:val="single" w:sz="6" w:space="0" w:color="auto"/>
            </w:tcBorders>
            <w:shd w:val="clear" w:color="auto" w:fill="A6A6A6" w:themeFill="background1" w:themeFillShade="A6"/>
            <w:vAlign w:val="center"/>
          </w:tcPr>
          <w:p w14:paraId="683C5E6C" w14:textId="77777777" w:rsidR="00AC66DA" w:rsidRPr="00EA5EDB" w:rsidDel="004C5FBE" w:rsidRDefault="00AC66DA">
            <w:pPr>
              <w:ind w:left="127"/>
              <w:rPr>
                <w:rFonts w:cs="Arial"/>
                <w:b/>
                <w:szCs w:val="22"/>
              </w:rPr>
            </w:pPr>
            <w:r>
              <w:rPr>
                <w:rFonts w:cs="Arial"/>
                <w:b/>
                <w:szCs w:val="22"/>
              </w:rPr>
              <w:t>Compliance activity and o</w:t>
            </w:r>
            <w:r w:rsidRPr="00EA5EDB">
              <w:rPr>
                <w:rFonts w:cs="Arial"/>
                <w:b/>
                <w:szCs w:val="22"/>
              </w:rPr>
              <w:t>utcome</w:t>
            </w:r>
          </w:p>
        </w:tc>
        <w:tc>
          <w:tcPr>
            <w:tcW w:w="5665" w:type="dxa"/>
            <w:gridSpan w:val="2"/>
            <w:tcBorders>
              <w:top w:val="single" w:sz="6" w:space="0" w:color="auto"/>
              <w:left w:val="single" w:sz="6" w:space="0" w:color="auto"/>
              <w:bottom w:val="single" w:sz="6" w:space="0" w:color="auto"/>
              <w:right w:val="single" w:sz="4" w:space="0" w:color="000000"/>
            </w:tcBorders>
            <w:shd w:val="clear" w:color="auto" w:fill="A6A6A6" w:themeFill="background1" w:themeFillShade="A6"/>
          </w:tcPr>
          <w:p w14:paraId="6EFF4A92" w14:textId="77777777" w:rsidR="00AC66DA" w:rsidRPr="00EA5EDB" w:rsidRDefault="00AC66DA">
            <w:pPr>
              <w:jc w:val="center"/>
              <w:rPr>
                <w:rFonts w:cs="Arial"/>
                <w:b/>
                <w:szCs w:val="22"/>
              </w:rPr>
            </w:pPr>
            <w:r w:rsidRPr="00EA5EDB">
              <w:rPr>
                <w:rFonts w:cs="Arial"/>
                <w:b/>
                <w:szCs w:val="22"/>
              </w:rPr>
              <w:t>Site visits</w:t>
            </w:r>
          </w:p>
        </w:tc>
        <w:tc>
          <w:tcPr>
            <w:tcW w:w="1241" w:type="dxa"/>
            <w:vMerge w:val="restart"/>
            <w:tcBorders>
              <w:top w:val="single" w:sz="6" w:space="0" w:color="auto"/>
              <w:left w:val="single" w:sz="6" w:space="0" w:color="auto"/>
              <w:right w:val="single" w:sz="4" w:space="0" w:color="000000"/>
            </w:tcBorders>
            <w:shd w:val="clear" w:color="auto" w:fill="A6A6A6" w:themeFill="background1" w:themeFillShade="A6"/>
            <w:vAlign w:val="center"/>
          </w:tcPr>
          <w:p w14:paraId="52DCAE1C" w14:textId="77777777" w:rsidR="00AC66DA" w:rsidRDefault="00AC66DA">
            <w:pPr>
              <w:rPr>
                <w:rFonts w:cs="Arial"/>
                <w:b/>
                <w:szCs w:val="22"/>
              </w:rPr>
            </w:pPr>
            <w:r>
              <w:rPr>
                <w:rFonts w:cs="Arial"/>
                <w:b/>
                <w:szCs w:val="22"/>
              </w:rPr>
              <w:t>Total</w:t>
            </w:r>
          </w:p>
        </w:tc>
      </w:tr>
      <w:tr w:rsidR="00AC66DA" w:rsidRPr="00EA5EDB" w14:paraId="2CC510A7" w14:textId="77777777">
        <w:trPr>
          <w:trHeight w:val="286"/>
        </w:trPr>
        <w:tc>
          <w:tcPr>
            <w:tcW w:w="3541" w:type="dxa"/>
            <w:vMerge/>
            <w:vAlign w:val="center"/>
            <w:hideMark/>
          </w:tcPr>
          <w:p w14:paraId="4902D942" w14:textId="77777777" w:rsidR="00AC66DA" w:rsidRPr="00EA5EDB" w:rsidRDefault="00AC66DA">
            <w:pPr>
              <w:ind w:left="127"/>
              <w:rPr>
                <w:rFonts w:cs="Arial"/>
                <w:b/>
                <w:szCs w:val="22"/>
              </w:rPr>
            </w:pPr>
          </w:p>
        </w:tc>
        <w:tc>
          <w:tcPr>
            <w:tcW w:w="283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D558C86" w14:textId="77777777" w:rsidR="00AC66DA" w:rsidRPr="00EA5EDB" w:rsidRDefault="00AC66DA">
            <w:pPr>
              <w:rPr>
                <w:rFonts w:cs="Arial"/>
                <w:b/>
                <w:szCs w:val="22"/>
              </w:rPr>
            </w:pPr>
            <w:r w:rsidRPr="00EA5EDB">
              <w:rPr>
                <w:rFonts w:cs="Arial"/>
                <w:b/>
                <w:szCs w:val="22"/>
              </w:rPr>
              <w:t xml:space="preserve">October </w:t>
            </w:r>
            <w:r>
              <w:rPr>
                <w:rFonts w:cs="Arial"/>
                <w:b/>
                <w:szCs w:val="22"/>
              </w:rPr>
              <w:t>c</w:t>
            </w:r>
            <w:r w:rsidRPr="00EA5EDB">
              <w:rPr>
                <w:rFonts w:cs="Arial"/>
                <w:b/>
                <w:szCs w:val="22"/>
              </w:rPr>
              <w:t>ampaign</w:t>
            </w:r>
          </w:p>
        </w:tc>
        <w:tc>
          <w:tcPr>
            <w:tcW w:w="2833" w:type="dxa"/>
            <w:tcBorders>
              <w:top w:val="single" w:sz="6" w:space="0" w:color="auto"/>
              <w:left w:val="single" w:sz="6" w:space="0" w:color="auto"/>
              <w:bottom w:val="single" w:sz="6" w:space="0" w:color="auto"/>
              <w:right w:val="single" w:sz="4" w:space="0" w:color="000000"/>
            </w:tcBorders>
            <w:shd w:val="clear" w:color="auto" w:fill="BFBFBF" w:themeFill="background1" w:themeFillShade="BF"/>
            <w:hideMark/>
          </w:tcPr>
          <w:p w14:paraId="25FCB877" w14:textId="724CA2D4" w:rsidR="00AC66DA" w:rsidRPr="00EA5EDB" w:rsidRDefault="00AC66DA">
            <w:pPr>
              <w:rPr>
                <w:rFonts w:cs="Arial"/>
                <w:b/>
                <w:szCs w:val="22"/>
              </w:rPr>
            </w:pPr>
            <w:r>
              <w:rPr>
                <w:rFonts w:cs="Arial"/>
                <w:b/>
                <w:szCs w:val="22"/>
              </w:rPr>
              <w:t>Total m</w:t>
            </w:r>
            <w:r w:rsidRPr="00EA5EDB">
              <w:rPr>
                <w:rFonts w:cs="Arial"/>
                <w:b/>
                <w:szCs w:val="22"/>
              </w:rPr>
              <w:t>onthly site audits</w:t>
            </w:r>
            <w:r w:rsidR="00E043BF">
              <w:rPr>
                <w:rFonts w:cs="Arial"/>
                <w:b/>
                <w:szCs w:val="22"/>
              </w:rPr>
              <w:t xml:space="preserve"> (excluding October)</w:t>
            </w:r>
          </w:p>
        </w:tc>
        <w:tc>
          <w:tcPr>
            <w:tcW w:w="1241" w:type="dxa"/>
            <w:vMerge/>
          </w:tcPr>
          <w:p w14:paraId="6B3D6127" w14:textId="77777777" w:rsidR="00AC66DA" w:rsidRPr="00EA5EDB" w:rsidRDefault="00AC66DA">
            <w:pPr>
              <w:rPr>
                <w:rFonts w:cs="Arial"/>
                <w:b/>
                <w:szCs w:val="22"/>
              </w:rPr>
            </w:pPr>
          </w:p>
        </w:tc>
      </w:tr>
      <w:tr w:rsidR="00AC66DA" w:rsidRPr="00EA5EDB" w14:paraId="5FEA0AD9" w14:textId="77777777">
        <w:trPr>
          <w:trHeight w:val="270"/>
        </w:trPr>
        <w:tc>
          <w:tcPr>
            <w:tcW w:w="3541" w:type="dxa"/>
            <w:tcBorders>
              <w:top w:val="single" w:sz="6" w:space="0" w:color="auto"/>
              <w:left w:val="single" w:sz="6" w:space="0" w:color="auto"/>
              <w:bottom w:val="single" w:sz="6" w:space="0" w:color="auto"/>
              <w:right w:val="single" w:sz="6" w:space="0" w:color="auto"/>
            </w:tcBorders>
            <w:vAlign w:val="center"/>
            <w:hideMark/>
          </w:tcPr>
          <w:p w14:paraId="1F1C9755" w14:textId="01FDF21E" w:rsidR="00AC66DA" w:rsidRPr="00EA5EDB" w:rsidRDefault="00AC66DA">
            <w:pPr>
              <w:ind w:left="127"/>
              <w:textAlignment w:val="baseline"/>
              <w:rPr>
                <w:rFonts w:cs="Arial"/>
                <w:szCs w:val="22"/>
              </w:rPr>
            </w:pPr>
            <w:r w:rsidRPr="00EA5EDB">
              <w:rPr>
                <w:rFonts w:cs="Arial"/>
                <w:szCs w:val="22"/>
              </w:rPr>
              <w:t>Site</w:t>
            </w:r>
            <w:r w:rsidR="00C803BA">
              <w:rPr>
                <w:rFonts w:cs="Arial"/>
                <w:szCs w:val="22"/>
              </w:rPr>
              <w:t>s</w:t>
            </w:r>
            <w:r w:rsidRPr="00EA5EDB">
              <w:rPr>
                <w:rFonts w:cs="Arial"/>
                <w:szCs w:val="22"/>
              </w:rPr>
              <w:t xml:space="preserve"> visited </w:t>
            </w:r>
          </w:p>
        </w:tc>
        <w:tc>
          <w:tcPr>
            <w:tcW w:w="2832" w:type="dxa"/>
            <w:tcBorders>
              <w:top w:val="single" w:sz="6" w:space="0" w:color="auto"/>
              <w:left w:val="single" w:sz="6" w:space="0" w:color="auto"/>
              <w:bottom w:val="single" w:sz="6" w:space="0" w:color="auto"/>
              <w:right w:val="single" w:sz="6" w:space="0" w:color="auto"/>
            </w:tcBorders>
            <w:vAlign w:val="center"/>
          </w:tcPr>
          <w:p w14:paraId="26E6685B" w14:textId="77777777" w:rsidR="00AC66DA" w:rsidRPr="00EA5EDB" w:rsidRDefault="00AC66DA">
            <w:pPr>
              <w:textAlignment w:val="baseline"/>
              <w:rPr>
                <w:rFonts w:cs="Arial"/>
                <w:szCs w:val="22"/>
              </w:rPr>
            </w:pPr>
            <w:r w:rsidRPr="00EA5EDB">
              <w:rPr>
                <w:rFonts w:cs="Arial"/>
                <w:szCs w:val="22"/>
              </w:rPr>
              <w:t>713</w:t>
            </w:r>
          </w:p>
        </w:tc>
        <w:tc>
          <w:tcPr>
            <w:tcW w:w="2833" w:type="dxa"/>
            <w:tcBorders>
              <w:top w:val="single" w:sz="6" w:space="0" w:color="auto"/>
              <w:left w:val="single" w:sz="6" w:space="0" w:color="auto"/>
              <w:bottom w:val="single" w:sz="6" w:space="0" w:color="auto"/>
              <w:right w:val="single" w:sz="4" w:space="0" w:color="000000"/>
            </w:tcBorders>
            <w:vAlign w:val="center"/>
          </w:tcPr>
          <w:p w14:paraId="703E21AE" w14:textId="77777777" w:rsidR="00AC66DA" w:rsidRPr="00EA5EDB" w:rsidRDefault="00AC66DA">
            <w:pPr>
              <w:textAlignment w:val="baseline"/>
              <w:rPr>
                <w:rFonts w:cs="Arial"/>
                <w:szCs w:val="22"/>
              </w:rPr>
            </w:pPr>
            <w:r>
              <w:rPr>
                <w:rFonts w:cs="Arial"/>
                <w:szCs w:val="22"/>
              </w:rPr>
              <w:t>403</w:t>
            </w:r>
          </w:p>
        </w:tc>
        <w:tc>
          <w:tcPr>
            <w:tcW w:w="1241" w:type="dxa"/>
            <w:tcBorders>
              <w:top w:val="single" w:sz="6" w:space="0" w:color="auto"/>
              <w:left w:val="single" w:sz="6" w:space="0" w:color="auto"/>
              <w:bottom w:val="single" w:sz="6" w:space="0" w:color="auto"/>
              <w:right w:val="single" w:sz="4" w:space="0" w:color="000000"/>
            </w:tcBorders>
          </w:tcPr>
          <w:p w14:paraId="1A9EFA03" w14:textId="77777777" w:rsidR="00AC66DA" w:rsidRPr="00EA5EDB" w:rsidRDefault="00AC66DA">
            <w:pPr>
              <w:textAlignment w:val="baseline"/>
              <w:rPr>
                <w:rFonts w:cs="Arial"/>
                <w:szCs w:val="22"/>
              </w:rPr>
            </w:pPr>
            <w:r>
              <w:rPr>
                <w:rFonts w:cs="Arial"/>
                <w:szCs w:val="22"/>
              </w:rPr>
              <w:t>1,116</w:t>
            </w:r>
          </w:p>
        </w:tc>
      </w:tr>
      <w:tr w:rsidR="00AC66DA" w:rsidRPr="00EA5EDB" w14:paraId="4087546A" w14:textId="77777777">
        <w:trPr>
          <w:trHeight w:val="270"/>
        </w:trPr>
        <w:tc>
          <w:tcPr>
            <w:tcW w:w="3541" w:type="dxa"/>
            <w:tcBorders>
              <w:top w:val="single" w:sz="6" w:space="0" w:color="auto"/>
              <w:left w:val="single" w:sz="6" w:space="0" w:color="auto"/>
              <w:bottom w:val="single" w:sz="6" w:space="0" w:color="auto"/>
              <w:right w:val="single" w:sz="6" w:space="0" w:color="auto"/>
            </w:tcBorders>
            <w:vAlign w:val="center"/>
            <w:hideMark/>
          </w:tcPr>
          <w:p w14:paraId="30AF04CB" w14:textId="77777777" w:rsidR="00AC66DA" w:rsidRPr="00EA5EDB" w:rsidRDefault="00AC66DA">
            <w:pPr>
              <w:ind w:left="127"/>
              <w:textAlignment w:val="baseline"/>
              <w:rPr>
                <w:rFonts w:cs="Arial"/>
                <w:szCs w:val="22"/>
              </w:rPr>
            </w:pPr>
            <w:r w:rsidRPr="00EA5EDB">
              <w:rPr>
                <w:rFonts w:cs="Arial"/>
                <w:szCs w:val="22"/>
              </w:rPr>
              <w:t>Licensing audits completed </w:t>
            </w:r>
          </w:p>
        </w:tc>
        <w:tc>
          <w:tcPr>
            <w:tcW w:w="2832" w:type="dxa"/>
            <w:tcBorders>
              <w:top w:val="single" w:sz="6" w:space="0" w:color="auto"/>
              <w:left w:val="single" w:sz="6" w:space="0" w:color="auto"/>
              <w:bottom w:val="single" w:sz="6" w:space="0" w:color="auto"/>
              <w:right w:val="single" w:sz="6" w:space="0" w:color="auto"/>
            </w:tcBorders>
            <w:vAlign w:val="center"/>
          </w:tcPr>
          <w:p w14:paraId="4557B10B" w14:textId="77777777" w:rsidR="00AC66DA" w:rsidRPr="00EA5EDB" w:rsidRDefault="00AC66DA">
            <w:pPr>
              <w:textAlignment w:val="baseline"/>
              <w:rPr>
                <w:rFonts w:cs="Arial"/>
                <w:szCs w:val="22"/>
              </w:rPr>
            </w:pPr>
            <w:r w:rsidRPr="00EA5EDB">
              <w:rPr>
                <w:rFonts w:cs="Arial"/>
                <w:szCs w:val="22"/>
              </w:rPr>
              <w:t>2,337</w:t>
            </w:r>
          </w:p>
        </w:tc>
        <w:tc>
          <w:tcPr>
            <w:tcW w:w="2833" w:type="dxa"/>
            <w:tcBorders>
              <w:top w:val="single" w:sz="6" w:space="0" w:color="auto"/>
              <w:left w:val="single" w:sz="6" w:space="0" w:color="auto"/>
              <w:bottom w:val="single" w:sz="6" w:space="0" w:color="auto"/>
              <w:right w:val="single" w:sz="4" w:space="0" w:color="000000"/>
            </w:tcBorders>
            <w:vAlign w:val="center"/>
          </w:tcPr>
          <w:p w14:paraId="502FCFE8" w14:textId="77777777" w:rsidR="00AC66DA" w:rsidRPr="00EA5EDB" w:rsidRDefault="00AC66DA">
            <w:pPr>
              <w:textAlignment w:val="baseline"/>
              <w:rPr>
                <w:rFonts w:cs="Arial"/>
                <w:szCs w:val="22"/>
              </w:rPr>
            </w:pPr>
            <w:r>
              <w:rPr>
                <w:rFonts w:cs="Arial"/>
                <w:szCs w:val="22"/>
              </w:rPr>
              <w:t>1,345</w:t>
            </w:r>
          </w:p>
        </w:tc>
        <w:tc>
          <w:tcPr>
            <w:tcW w:w="1241" w:type="dxa"/>
            <w:tcBorders>
              <w:top w:val="single" w:sz="6" w:space="0" w:color="auto"/>
              <w:left w:val="single" w:sz="6" w:space="0" w:color="auto"/>
              <w:bottom w:val="single" w:sz="6" w:space="0" w:color="auto"/>
              <w:right w:val="single" w:sz="4" w:space="0" w:color="000000"/>
            </w:tcBorders>
          </w:tcPr>
          <w:p w14:paraId="5547DA1C" w14:textId="77777777" w:rsidR="00AC66DA" w:rsidRPr="00EA5EDB" w:rsidRDefault="00AC66DA">
            <w:pPr>
              <w:textAlignment w:val="baseline"/>
              <w:rPr>
                <w:rFonts w:cs="Arial"/>
                <w:szCs w:val="22"/>
              </w:rPr>
            </w:pPr>
            <w:r>
              <w:rPr>
                <w:rFonts w:cs="Arial"/>
                <w:szCs w:val="22"/>
              </w:rPr>
              <w:t>3,682</w:t>
            </w:r>
          </w:p>
        </w:tc>
      </w:tr>
      <w:tr w:rsidR="00AC66DA" w:rsidRPr="00EA5EDB" w14:paraId="649796AD" w14:textId="77777777">
        <w:trPr>
          <w:trHeight w:val="270"/>
        </w:trPr>
        <w:tc>
          <w:tcPr>
            <w:tcW w:w="3541" w:type="dxa"/>
            <w:tcBorders>
              <w:top w:val="single" w:sz="6" w:space="0" w:color="auto"/>
              <w:left w:val="single" w:sz="6" w:space="0" w:color="auto"/>
              <w:bottom w:val="single" w:sz="6" w:space="0" w:color="auto"/>
              <w:right w:val="single" w:sz="6" w:space="0" w:color="auto"/>
            </w:tcBorders>
            <w:vAlign w:val="center"/>
          </w:tcPr>
          <w:p w14:paraId="22BE4418" w14:textId="77777777" w:rsidR="00AC66DA" w:rsidRPr="00EA5EDB" w:rsidRDefault="00AC66DA">
            <w:pPr>
              <w:ind w:left="127"/>
              <w:textAlignment w:val="baseline"/>
              <w:rPr>
                <w:rFonts w:cs="Arial"/>
                <w:szCs w:val="22"/>
              </w:rPr>
            </w:pPr>
            <w:r w:rsidRPr="00EA5EDB">
              <w:rPr>
                <w:rFonts w:cs="Arial"/>
                <w:szCs w:val="22"/>
              </w:rPr>
              <w:t>Total staff involved in campaign</w:t>
            </w:r>
          </w:p>
        </w:tc>
        <w:tc>
          <w:tcPr>
            <w:tcW w:w="2832" w:type="dxa"/>
            <w:tcBorders>
              <w:top w:val="single" w:sz="6" w:space="0" w:color="auto"/>
              <w:left w:val="single" w:sz="6" w:space="0" w:color="auto"/>
              <w:bottom w:val="single" w:sz="6" w:space="0" w:color="auto"/>
              <w:right w:val="single" w:sz="6" w:space="0" w:color="auto"/>
            </w:tcBorders>
            <w:vAlign w:val="center"/>
          </w:tcPr>
          <w:p w14:paraId="78472189" w14:textId="77777777" w:rsidR="00AC66DA" w:rsidRPr="00EA5EDB" w:rsidRDefault="00AC66DA">
            <w:pPr>
              <w:textAlignment w:val="baseline"/>
              <w:rPr>
                <w:rFonts w:cs="Arial"/>
                <w:szCs w:val="22"/>
              </w:rPr>
            </w:pPr>
            <w:r w:rsidRPr="00EA5EDB">
              <w:rPr>
                <w:rFonts w:cs="Arial"/>
                <w:szCs w:val="22"/>
              </w:rPr>
              <w:t>35</w:t>
            </w:r>
          </w:p>
        </w:tc>
        <w:tc>
          <w:tcPr>
            <w:tcW w:w="2833" w:type="dxa"/>
            <w:tcBorders>
              <w:top w:val="single" w:sz="6" w:space="0" w:color="auto"/>
              <w:left w:val="single" w:sz="6" w:space="0" w:color="auto"/>
              <w:bottom w:val="single" w:sz="6" w:space="0" w:color="auto"/>
              <w:right w:val="single" w:sz="4" w:space="0" w:color="000000"/>
            </w:tcBorders>
            <w:vAlign w:val="center"/>
          </w:tcPr>
          <w:p w14:paraId="5BDE7649" w14:textId="3A5A7812" w:rsidR="00AC66DA" w:rsidRPr="00EA5EDB" w:rsidRDefault="00EA441D">
            <w:pPr>
              <w:textAlignment w:val="baseline"/>
              <w:rPr>
                <w:rFonts w:cs="Arial"/>
                <w:szCs w:val="22"/>
              </w:rPr>
            </w:pPr>
            <w:r>
              <w:rPr>
                <w:rFonts w:cs="Arial"/>
                <w:szCs w:val="22"/>
              </w:rPr>
              <w:t>N/A</w:t>
            </w:r>
          </w:p>
        </w:tc>
        <w:tc>
          <w:tcPr>
            <w:tcW w:w="1241" w:type="dxa"/>
            <w:tcBorders>
              <w:top w:val="single" w:sz="6" w:space="0" w:color="auto"/>
              <w:left w:val="single" w:sz="6" w:space="0" w:color="auto"/>
              <w:bottom w:val="single" w:sz="6" w:space="0" w:color="auto"/>
              <w:right w:val="single" w:sz="4" w:space="0" w:color="000000"/>
            </w:tcBorders>
          </w:tcPr>
          <w:p w14:paraId="006CAF8E" w14:textId="77777777" w:rsidR="00AC66DA" w:rsidRPr="00EA5EDB" w:rsidRDefault="00AC66DA">
            <w:pPr>
              <w:textAlignment w:val="baseline"/>
              <w:rPr>
                <w:rFonts w:cs="Arial"/>
                <w:szCs w:val="22"/>
              </w:rPr>
            </w:pPr>
            <w:r>
              <w:rPr>
                <w:rFonts w:cs="Arial"/>
                <w:szCs w:val="22"/>
              </w:rPr>
              <w:t>35</w:t>
            </w:r>
          </w:p>
        </w:tc>
      </w:tr>
      <w:tr w:rsidR="00AC66DA" w:rsidRPr="00EA5EDB" w14:paraId="676A3714" w14:textId="77777777">
        <w:trPr>
          <w:trHeight w:val="286"/>
        </w:trPr>
        <w:tc>
          <w:tcPr>
            <w:tcW w:w="3541" w:type="dxa"/>
            <w:tcBorders>
              <w:top w:val="single" w:sz="6" w:space="0" w:color="auto"/>
              <w:left w:val="single" w:sz="6" w:space="0" w:color="auto"/>
              <w:bottom w:val="single" w:sz="6" w:space="0" w:color="auto"/>
              <w:right w:val="single" w:sz="6" w:space="0" w:color="auto"/>
            </w:tcBorders>
            <w:vAlign w:val="center"/>
            <w:hideMark/>
          </w:tcPr>
          <w:p w14:paraId="267C5E9D" w14:textId="77777777" w:rsidR="00AC66DA" w:rsidRPr="00EA5EDB" w:rsidRDefault="00AC66DA">
            <w:pPr>
              <w:ind w:left="127"/>
              <w:textAlignment w:val="baseline"/>
              <w:rPr>
                <w:rFonts w:cs="Arial"/>
                <w:szCs w:val="22"/>
              </w:rPr>
            </w:pPr>
            <w:r w:rsidRPr="00EA5EDB">
              <w:rPr>
                <w:rFonts w:cs="Arial"/>
                <w:szCs w:val="22"/>
              </w:rPr>
              <w:t xml:space="preserve">Unlicensed </w:t>
            </w:r>
            <w:r w:rsidRPr="227F9032">
              <w:rPr>
                <w:rFonts w:cs="Arial"/>
              </w:rPr>
              <w:t xml:space="preserve">contracting </w:t>
            </w:r>
            <w:r>
              <w:rPr>
                <w:rFonts w:cs="Arial"/>
              </w:rPr>
              <w:t>i</w:t>
            </w:r>
            <w:r w:rsidRPr="227F9032">
              <w:rPr>
                <w:rFonts w:cs="Arial"/>
              </w:rPr>
              <w:t>nvestigations</w:t>
            </w:r>
          </w:p>
        </w:tc>
        <w:tc>
          <w:tcPr>
            <w:tcW w:w="2832" w:type="dxa"/>
            <w:tcBorders>
              <w:top w:val="single" w:sz="6" w:space="0" w:color="auto"/>
              <w:left w:val="single" w:sz="6" w:space="0" w:color="auto"/>
              <w:bottom w:val="single" w:sz="6" w:space="0" w:color="auto"/>
              <w:right w:val="single" w:sz="6" w:space="0" w:color="auto"/>
            </w:tcBorders>
            <w:vAlign w:val="center"/>
          </w:tcPr>
          <w:p w14:paraId="0C468455" w14:textId="77777777" w:rsidR="00AC66DA" w:rsidRPr="00EA5EDB" w:rsidRDefault="00AC66DA">
            <w:pPr>
              <w:textAlignment w:val="baseline"/>
              <w:rPr>
                <w:rFonts w:cs="Arial"/>
                <w:szCs w:val="22"/>
              </w:rPr>
            </w:pPr>
            <w:r w:rsidRPr="00EA5EDB">
              <w:rPr>
                <w:rFonts w:cs="Arial"/>
                <w:szCs w:val="22"/>
              </w:rPr>
              <w:t>18</w:t>
            </w:r>
          </w:p>
        </w:tc>
        <w:tc>
          <w:tcPr>
            <w:tcW w:w="2833" w:type="dxa"/>
            <w:tcBorders>
              <w:top w:val="single" w:sz="6" w:space="0" w:color="auto"/>
              <w:left w:val="single" w:sz="6" w:space="0" w:color="auto"/>
              <w:bottom w:val="single" w:sz="6" w:space="0" w:color="auto"/>
              <w:right w:val="single" w:sz="4" w:space="0" w:color="000000"/>
            </w:tcBorders>
            <w:vAlign w:val="center"/>
          </w:tcPr>
          <w:p w14:paraId="084F5573" w14:textId="77777777" w:rsidR="00AC66DA" w:rsidRPr="00EA5EDB" w:rsidRDefault="00AC66DA">
            <w:pPr>
              <w:textAlignment w:val="baseline"/>
              <w:rPr>
                <w:rFonts w:cs="Arial"/>
                <w:szCs w:val="22"/>
              </w:rPr>
            </w:pPr>
            <w:r w:rsidRPr="00EA5EDB">
              <w:rPr>
                <w:rFonts w:cs="Arial"/>
                <w:szCs w:val="22"/>
              </w:rPr>
              <w:t>5</w:t>
            </w:r>
          </w:p>
        </w:tc>
        <w:tc>
          <w:tcPr>
            <w:tcW w:w="1241" w:type="dxa"/>
            <w:tcBorders>
              <w:top w:val="single" w:sz="6" w:space="0" w:color="auto"/>
              <w:left w:val="single" w:sz="6" w:space="0" w:color="auto"/>
              <w:bottom w:val="single" w:sz="6" w:space="0" w:color="auto"/>
              <w:right w:val="single" w:sz="4" w:space="0" w:color="000000"/>
            </w:tcBorders>
          </w:tcPr>
          <w:p w14:paraId="668DC277" w14:textId="77777777" w:rsidR="00AC66DA" w:rsidRPr="00EA5EDB" w:rsidRDefault="00AC66DA">
            <w:pPr>
              <w:textAlignment w:val="baseline"/>
              <w:rPr>
                <w:rFonts w:cs="Arial"/>
                <w:szCs w:val="22"/>
              </w:rPr>
            </w:pPr>
            <w:r>
              <w:rPr>
                <w:rFonts w:cs="Arial"/>
                <w:szCs w:val="22"/>
              </w:rPr>
              <w:t>23</w:t>
            </w:r>
          </w:p>
        </w:tc>
      </w:tr>
      <w:tr w:rsidR="00AC66DA" w:rsidRPr="00EA5EDB" w14:paraId="6FBEF20B" w14:textId="77777777">
        <w:trPr>
          <w:trHeight w:val="286"/>
        </w:trPr>
        <w:tc>
          <w:tcPr>
            <w:tcW w:w="3541" w:type="dxa"/>
            <w:tcBorders>
              <w:top w:val="single" w:sz="6" w:space="0" w:color="auto"/>
              <w:left w:val="single" w:sz="6" w:space="0" w:color="auto"/>
              <w:bottom w:val="single" w:sz="6" w:space="0" w:color="auto"/>
              <w:right w:val="single" w:sz="6" w:space="0" w:color="auto"/>
            </w:tcBorders>
            <w:vAlign w:val="center"/>
            <w:hideMark/>
          </w:tcPr>
          <w:p w14:paraId="70CFF106" w14:textId="77777777" w:rsidR="00AC66DA" w:rsidRPr="00EA5EDB" w:rsidRDefault="00AC66DA">
            <w:pPr>
              <w:ind w:left="127"/>
              <w:rPr>
                <w:rFonts w:cs="Arial"/>
                <w:szCs w:val="22"/>
              </w:rPr>
            </w:pPr>
            <w:r w:rsidRPr="00EA5EDB">
              <w:rPr>
                <w:rFonts w:cs="Arial"/>
                <w:szCs w:val="22"/>
              </w:rPr>
              <w:t>Licensee contracting with unlicensed person</w:t>
            </w:r>
            <w:r w:rsidRPr="685476AF">
              <w:rPr>
                <w:rFonts w:cs="Arial"/>
              </w:rPr>
              <w:t xml:space="preserve"> investigations</w:t>
            </w:r>
          </w:p>
        </w:tc>
        <w:tc>
          <w:tcPr>
            <w:tcW w:w="2832" w:type="dxa"/>
            <w:tcBorders>
              <w:top w:val="single" w:sz="6" w:space="0" w:color="auto"/>
              <w:left w:val="single" w:sz="6" w:space="0" w:color="auto"/>
              <w:bottom w:val="single" w:sz="6" w:space="0" w:color="auto"/>
              <w:right w:val="single" w:sz="6" w:space="0" w:color="auto"/>
            </w:tcBorders>
            <w:vAlign w:val="center"/>
          </w:tcPr>
          <w:p w14:paraId="745E6F8F" w14:textId="77777777" w:rsidR="00AC66DA" w:rsidRPr="00EA5EDB" w:rsidRDefault="00AC66DA">
            <w:pPr>
              <w:rPr>
                <w:rFonts w:cs="Arial"/>
                <w:szCs w:val="22"/>
              </w:rPr>
            </w:pPr>
            <w:r w:rsidRPr="00EA5EDB">
              <w:rPr>
                <w:rFonts w:cs="Arial"/>
                <w:szCs w:val="22"/>
              </w:rPr>
              <w:t>4</w:t>
            </w:r>
          </w:p>
        </w:tc>
        <w:tc>
          <w:tcPr>
            <w:tcW w:w="2833" w:type="dxa"/>
            <w:tcBorders>
              <w:top w:val="single" w:sz="6" w:space="0" w:color="auto"/>
              <w:left w:val="single" w:sz="6" w:space="0" w:color="auto"/>
              <w:bottom w:val="single" w:sz="6" w:space="0" w:color="auto"/>
              <w:right w:val="single" w:sz="4" w:space="0" w:color="000000"/>
            </w:tcBorders>
            <w:vAlign w:val="center"/>
          </w:tcPr>
          <w:p w14:paraId="65EAAEDE" w14:textId="77777777" w:rsidR="00AC66DA" w:rsidRPr="00EA5EDB" w:rsidRDefault="00AC66DA">
            <w:pPr>
              <w:rPr>
                <w:rFonts w:cs="Arial"/>
                <w:szCs w:val="22"/>
              </w:rPr>
            </w:pPr>
            <w:r w:rsidRPr="00EA5EDB">
              <w:rPr>
                <w:rFonts w:cs="Arial"/>
                <w:szCs w:val="22"/>
              </w:rPr>
              <w:t>3</w:t>
            </w:r>
          </w:p>
        </w:tc>
        <w:tc>
          <w:tcPr>
            <w:tcW w:w="1241" w:type="dxa"/>
            <w:tcBorders>
              <w:top w:val="single" w:sz="6" w:space="0" w:color="auto"/>
              <w:left w:val="single" w:sz="6" w:space="0" w:color="auto"/>
              <w:bottom w:val="single" w:sz="6" w:space="0" w:color="auto"/>
              <w:right w:val="single" w:sz="4" w:space="0" w:color="000000"/>
            </w:tcBorders>
          </w:tcPr>
          <w:p w14:paraId="77436678" w14:textId="77777777" w:rsidR="00AC66DA" w:rsidRPr="00EA5EDB" w:rsidRDefault="00AC66DA">
            <w:pPr>
              <w:rPr>
                <w:rFonts w:cs="Arial"/>
                <w:szCs w:val="22"/>
              </w:rPr>
            </w:pPr>
            <w:r>
              <w:rPr>
                <w:rFonts w:cs="Arial"/>
                <w:szCs w:val="22"/>
              </w:rPr>
              <w:t>7</w:t>
            </w:r>
          </w:p>
        </w:tc>
      </w:tr>
      <w:tr w:rsidR="00AC66DA" w:rsidRPr="00BF31F0" w14:paraId="7AFEFC76" w14:textId="77777777">
        <w:trPr>
          <w:trHeight w:val="270"/>
        </w:trPr>
        <w:tc>
          <w:tcPr>
            <w:tcW w:w="3541" w:type="dxa"/>
            <w:tcBorders>
              <w:top w:val="single" w:sz="6" w:space="0" w:color="auto"/>
              <w:left w:val="single" w:sz="6" w:space="0" w:color="auto"/>
              <w:bottom w:val="single" w:sz="6" w:space="0" w:color="auto"/>
              <w:right w:val="single" w:sz="6" w:space="0" w:color="auto"/>
            </w:tcBorders>
            <w:vAlign w:val="center"/>
            <w:hideMark/>
          </w:tcPr>
          <w:p w14:paraId="0B5871EE" w14:textId="77777777" w:rsidR="00AC66DA" w:rsidRPr="00EA5EDB" w:rsidRDefault="00AC66DA">
            <w:pPr>
              <w:ind w:left="127"/>
              <w:textAlignment w:val="baseline"/>
              <w:rPr>
                <w:rFonts w:cs="Arial"/>
                <w:szCs w:val="22"/>
              </w:rPr>
            </w:pPr>
            <w:r w:rsidRPr="00EA5EDB">
              <w:rPr>
                <w:rFonts w:cs="Arial"/>
                <w:szCs w:val="22"/>
              </w:rPr>
              <w:t>Site sign offences</w:t>
            </w:r>
            <w:r w:rsidRPr="685476AF">
              <w:rPr>
                <w:rFonts w:cs="Arial"/>
              </w:rPr>
              <w:t xml:space="preserve"> investigations</w:t>
            </w:r>
          </w:p>
        </w:tc>
        <w:tc>
          <w:tcPr>
            <w:tcW w:w="2832" w:type="dxa"/>
            <w:tcBorders>
              <w:top w:val="single" w:sz="6" w:space="0" w:color="auto"/>
              <w:left w:val="single" w:sz="6" w:space="0" w:color="auto"/>
              <w:bottom w:val="single" w:sz="6" w:space="0" w:color="auto"/>
              <w:right w:val="single" w:sz="6" w:space="0" w:color="auto"/>
            </w:tcBorders>
            <w:vAlign w:val="center"/>
          </w:tcPr>
          <w:p w14:paraId="5B177A85" w14:textId="77777777" w:rsidR="00AC66DA" w:rsidRPr="00EA5EDB" w:rsidRDefault="00AC66DA">
            <w:pPr>
              <w:textAlignment w:val="baseline"/>
              <w:rPr>
                <w:rFonts w:cs="Arial"/>
                <w:szCs w:val="22"/>
              </w:rPr>
            </w:pPr>
            <w:r w:rsidRPr="00EA5EDB">
              <w:rPr>
                <w:rFonts w:cs="Arial"/>
                <w:szCs w:val="22"/>
              </w:rPr>
              <w:t xml:space="preserve">227 </w:t>
            </w:r>
          </w:p>
        </w:tc>
        <w:tc>
          <w:tcPr>
            <w:tcW w:w="2833" w:type="dxa"/>
            <w:tcBorders>
              <w:top w:val="single" w:sz="6" w:space="0" w:color="auto"/>
              <w:left w:val="single" w:sz="6" w:space="0" w:color="auto"/>
              <w:bottom w:val="single" w:sz="6" w:space="0" w:color="auto"/>
              <w:right w:val="single" w:sz="4" w:space="0" w:color="000000"/>
            </w:tcBorders>
            <w:vAlign w:val="center"/>
          </w:tcPr>
          <w:p w14:paraId="2EC42FF6" w14:textId="77777777" w:rsidR="00AC66DA" w:rsidRPr="00EA5EDB" w:rsidRDefault="00AC66DA">
            <w:pPr>
              <w:textAlignment w:val="baseline"/>
              <w:rPr>
                <w:rFonts w:cs="Arial"/>
                <w:szCs w:val="22"/>
              </w:rPr>
            </w:pPr>
            <w:r w:rsidRPr="00EA5EDB">
              <w:rPr>
                <w:rFonts w:cs="Arial"/>
                <w:szCs w:val="22"/>
              </w:rPr>
              <w:t>22</w:t>
            </w:r>
          </w:p>
        </w:tc>
        <w:tc>
          <w:tcPr>
            <w:tcW w:w="1241" w:type="dxa"/>
            <w:tcBorders>
              <w:top w:val="single" w:sz="6" w:space="0" w:color="auto"/>
              <w:left w:val="single" w:sz="6" w:space="0" w:color="auto"/>
              <w:bottom w:val="single" w:sz="6" w:space="0" w:color="auto"/>
              <w:right w:val="single" w:sz="4" w:space="0" w:color="000000"/>
            </w:tcBorders>
          </w:tcPr>
          <w:p w14:paraId="3770BC92" w14:textId="77777777" w:rsidR="00AC66DA" w:rsidRPr="00EA5EDB" w:rsidRDefault="00AC66DA">
            <w:pPr>
              <w:textAlignment w:val="baseline"/>
              <w:rPr>
                <w:rFonts w:cs="Arial"/>
                <w:szCs w:val="22"/>
              </w:rPr>
            </w:pPr>
            <w:r>
              <w:rPr>
                <w:rFonts w:cs="Arial"/>
                <w:szCs w:val="22"/>
              </w:rPr>
              <w:t>249</w:t>
            </w:r>
          </w:p>
        </w:tc>
      </w:tr>
    </w:tbl>
    <w:p w14:paraId="23282963" w14:textId="318C3B1D" w:rsidR="00AC66DA" w:rsidRDefault="00AC66DA" w:rsidP="00AC66DA">
      <w:pPr>
        <w:pStyle w:val="Heading4"/>
        <w:spacing w:before="120"/>
        <w:rPr>
          <w:rFonts w:cs="Arial"/>
        </w:rPr>
      </w:pPr>
      <w:r>
        <w:t>Building c</w:t>
      </w:r>
      <w:r w:rsidRPr="00B16147">
        <w:t xml:space="preserve">ertifier audits </w:t>
      </w:r>
    </w:p>
    <w:p w14:paraId="55D2A63B" w14:textId="4B6190B0" w:rsidR="00C92ED2" w:rsidRDefault="00AC66DA" w:rsidP="00AC66DA">
      <w:pPr>
        <w:spacing w:before="120" w:after="120"/>
        <w:rPr>
          <w:rFonts w:eastAsia="Arial" w:cs="Arial"/>
        </w:rPr>
      </w:pPr>
      <w:r>
        <w:rPr>
          <w:rFonts w:eastAsia="Arial" w:cs="Arial"/>
        </w:rPr>
        <w:t xml:space="preserve">The QBCC conducts </w:t>
      </w:r>
      <w:r w:rsidRPr="00427CCC">
        <w:rPr>
          <w:rFonts w:eastAsia="Arial" w:cs="Arial"/>
        </w:rPr>
        <w:t xml:space="preserve">certifier compliance </w:t>
      </w:r>
      <w:r>
        <w:rPr>
          <w:rFonts w:eastAsia="Arial" w:cs="Arial"/>
        </w:rPr>
        <w:t xml:space="preserve">audits to assess whether building certifiers are meeting their statutory obligations under the </w:t>
      </w:r>
      <w:r w:rsidRPr="00427CCC">
        <w:rPr>
          <w:rFonts w:eastAsia="Arial" w:cs="Arial"/>
        </w:rPr>
        <w:t>Building Act</w:t>
      </w:r>
      <w:r>
        <w:rPr>
          <w:rFonts w:eastAsia="Arial" w:cs="Arial"/>
        </w:rPr>
        <w:t xml:space="preserve">. Audits are undertaken as </w:t>
      </w:r>
      <w:r w:rsidRPr="00132F70">
        <w:rPr>
          <w:rFonts w:eastAsia="Arial" w:cs="Arial"/>
        </w:rPr>
        <w:t xml:space="preserve">part of </w:t>
      </w:r>
      <w:r>
        <w:rPr>
          <w:rFonts w:eastAsia="Arial" w:cs="Arial"/>
        </w:rPr>
        <w:t>the QBCC</w:t>
      </w:r>
      <w:r w:rsidR="0043676D">
        <w:rPr>
          <w:rFonts w:eastAsia="Arial" w:cs="Arial"/>
        </w:rPr>
        <w:t>’s</w:t>
      </w:r>
      <w:r w:rsidRPr="00132F70">
        <w:rPr>
          <w:rFonts w:eastAsia="Arial" w:cs="Arial"/>
        </w:rPr>
        <w:t xml:space="preserve"> proactive compliance program</w:t>
      </w:r>
      <w:r>
        <w:rPr>
          <w:rFonts w:eastAsia="Arial" w:cs="Arial"/>
        </w:rPr>
        <w:t xml:space="preserve"> and may also be triggered by </w:t>
      </w:r>
      <w:r w:rsidRPr="00132F70">
        <w:rPr>
          <w:rFonts w:eastAsia="Arial" w:cs="Arial"/>
        </w:rPr>
        <w:t xml:space="preserve">complaints or </w:t>
      </w:r>
      <w:r>
        <w:rPr>
          <w:rFonts w:eastAsia="Arial" w:cs="Arial"/>
        </w:rPr>
        <w:t xml:space="preserve">indications of </w:t>
      </w:r>
      <w:r w:rsidRPr="00132F70">
        <w:rPr>
          <w:rFonts w:eastAsia="Arial" w:cs="Arial"/>
        </w:rPr>
        <w:t>potential non-compliance</w:t>
      </w:r>
      <w:r>
        <w:rPr>
          <w:rFonts w:eastAsia="Arial" w:cs="Arial"/>
        </w:rPr>
        <w:t>. During each audit, t</w:t>
      </w:r>
      <w:r w:rsidRPr="00132F70">
        <w:rPr>
          <w:rFonts w:eastAsia="Arial" w:cs="Arial"/>
        </w:rPr>
        <w:t xml:space="preserve">he QBCC </w:t>
      </w:r>
      <w:r w:rsidR="00A820C4" w:rsidRPr="00A820C4">
        <w:rPr>
          <w:rFonts w:eastAsia="Arial" w:cs="Arial"/>
        </w:rPr>
        <w:t>identifies high-risk areas of non-compliance and provides education and early intervention opportunities</w:t>
      </w:r>
      <w:r w:rsidRPr="00132F70">
        <w:rPr>
          <w:rFonts w:eastAsia="Arial" w:cs="Arial"/>
        </w:rPr>
        <w:t>.</w:t>
      </w:r>
      <w:r>
        <w:rPr>
          <w:rFonts w:eastAsia="Arial" w:cs="Arial"/>
        </w:rPr>
        <w:t xml:space="preserve"> </w:t>
      </w:r>
    </w:p>
    <w:p w14:paraId="678E79AE" w14:textId="48DCB32D" w:rsidR="00AC66DA" w:rsidRDefault="00AC66DA" w:rsidP="00AC66DA">
      <w:pPr>
        <w:spacing w:before="120" w:after="120"/>
        <w:rPr>
          <w:rFonts w:eastAsia="Arial" w:cs="Arial"/>
        </w:rPr>
      </w:pPr>
      <w:r>
        <w:rPr>
          <w:rFonts w:eastAsia="Arial" w:cs="Arial"/>
        </w:rPr>
        <w:t>Proactive certifier audits fall into two categories:</w:t>
      </w:r>
    </w:p>
    <w:p w14:paraId="5FDEECFD" w14:textId="3064AD82" w:rsidR="00AC66DA" w:rsidRDefault="00AC66DA" w:rsidP="00BD69F7">
      <w:pPr>
        <w:pStyle w:val="ListParagraph"/>
        <w:numPr>
          <w:ilvl w:val="0"/>
          <w:numId w:val="30"/>
        </w:numPr>
        <w:spacing w:before="120" w:after="120"/>
        <w:ind w:left="714" w:hanging="357"/>
        <w:contextualSpacing w:val="0"/>
        <w:rPr>
          <w:rFonts w:eastAsia="Arial" w:cs="Arial"/>
        </w:rPr>
      </w:pPr>
      <w:r w:rsidRPr="00E42145">
        <w:rPr>
          <w:rFonts w:eastAsia="Arial" w:cs="Arial"/>
          <w:b/>
        </w:rPr>
        <w:t>Assessment audits</w:t>
      </w:r>
      <w:r>
        <w:rPr>
          <w:rFonts w:eastAsia="Arial" w:cs="Arial"/>
          <w:b/>
        </w:rPr>
        <w:t>:</w:t>
      </w:r>
      <w:r>
        <w:rPr>
          <w:rFonts w:eastAsia="Arial" w:cs="Arial"/>
        </w:rPr>
        <w:t xml:space="preserve"> I</w:t>
      </w:r>
      <w:r w:rsidRPr="00427CCC">
        <w:rPr>
          <w:rFonts w:eastAsia="Arial" w:cs="Arial"/>
        </w:rPr>
        <w:t xml:space="preserve">nvolve reviewing a certifier’s files, including approval and inspection </w:t>
      </w:r>
      <w:r w:rsidRPr="006F1A0E">
        <w:rPr>
          <w:rFonts w:eastAsia="Arial" w:cs="Arial"/>
        </w:rPr>
        <w:t>documen</w:t>
      </w:r>
      <w:r>
        <w:rPr>
          <w:rFonts w:eastAsia="Arial" w:cs="Arial"/>
        </w:rPr>
        <w:t>tation</w:t>
      </w:r>
      <w:r w:rsidRPr="00427CCC">
        <w:rPr>
          <w:rFonts w:eastAsia="Arial" w:cs="Arial"/>
        </w:rPr>
        <w:t xml:space="preserve">, as well as administrative </w:t>
      </w:r>
      <w:r>
        <w:rPr>
          <w:rFonts w:eastAsia="Arial" w:cs="Arial"/>
        </w:rPr>
        <w:t xml:space="preserve">practices </w:t>
      </w:r>
      <w:r w:rsidRPr="00427CCC">
        <w:rPr>
          <w:rFonts w:eastAsia="Arial" w:cs="Arial"/>
        </w:rPr>
        <w:t xml:space="preserve">to ensure compliance with legislative requirements. </w:t>
      </w:r>
    </w:p>
    <w:p w14:paraId="06368B84" w14:textId="5FBC7F70" w:rsidR="00AC66DA" w:rsidRPr="003F09C5" w:rsidRDefault="00AC66DA" w:rsidP="00BD69F7">
      <w:pPr>
        <w:pStyle w:val="ListParagraph"/>
        <w:numPr>
          <w:ilvl w:val="0"/>
          <w:numId w:val="30"/>
        </w:numPr>
        <w:spacing w:before="120" w:after="120"/>
        <w:ind w:left="714" w:hanging="357"/>
        <w:contextualSpacing w:val="0"/>
        <w:rPr>
          <w:rFonts w:eastAsia="Arial" w:cs="Arial"/>
        </w:rPr>
      </w:pPr>
      <w:r w:rsidRPr="00E42145">
        <w:rPr>
          <w:rFonts w:eastAsia="Arial" w:cs="Arial"/>
          <w:b/>
        </w:rPr>
        <w:t>Technical audits</w:t>
      </w:r>
      <w:r>
        <w:rPr>
          <w:rFonts w:eastAsia="Arial" w:cs="Arial"/>
          <w:b/>
        </w:rPr>
        <w:t>:</w:t>
      </w:r>
      <w:r w:rsidRPr="00E42145">
        <w:rPr>
          <w:rFonts w:eastAsia="Arial" w:cs="Arial"/>
        </w:rPr>
        <w:t xml:space="preserve"> </w:t>
      </w:r>
      <w:r>
        <w:rPr>
          <w:rFonts w:eastAsia="Arial" w:cs="Arial"/>
        </w:rPr>
        <w:t>I</w:t>
      </w:r>
      <w:r w:rsidRPr="00E42145">
        <w:rPr>
          <w:rFonts w:eastAsia="Arial" w:cs="Arial"/>
        </w:rPr>
        <w:t>nvolve</w:t>
      </w:r>
      <w:r w:rsidRPr="00427CCC">
        <w:rPr>
          <w:rFonts w:eastAsia="Arial" w:cs="Arial"/>
        </w:rPr>
        <w:t xml:space="preserve"> on-site inspections of building work </w:t>
      </w:r>
      <w:r>
        <w:rPr>
          <w:rFonts w:eastAsia="Arial" w:cs="Arial"/>
        </w:rPr>
        <w:t xml:space="preserve">at key </w:t>
      </w:r>
      <w:r w:rsidRPr="00427CCC">
        <w:rPr>
          <w:rFonts w:eastAsia="Arial" w:cs="Arial"/>
        </w:rPr>
        <w:t>stages that require certification sign</w:t>
      </w:r>
      <w:r>
        <w:rPr>
          <w:rFonts w:eastAsia="Arial" w:cs="Arial"/>
        </w:rPr>
        <w:t xml:space="preserve"> </w:t>
      </w:r>
      <w:r w:rsidRPr="00427CCC">
        <w:rPr>
          <w:rFonts w:eastAsia="Arial" w:cs="Arial"/>
        </w:rPr>
        <w:t>off.</w:t>
      </w:r>
      <w:r w:rsidRPr="20BE9D8C">
        <w:rPr>
          <w:rFonts w:eastAsia="Arial" w:cs="Arial"/>
        </w:rPr>
        <w:t xml:space="preserve"> </w:t>
      </w:r>
    </w:p>
    <w:p w14:paraId="7593061D" w14:textId="78F890AB" w:rsidR="00AC66DA" w:rsidRDefault="00AC66DA" w:rsidP="00AC66DA">
      <w:pPr>
        <w:spacing w:before="120" w:after="120"/>
        <w:rPr>
          <w:rFonts w:eastAsia="Arial" w:cs="Arial"/>
        </w:rPr>
      </w:pPr>
      <w:r w:rsidRPr="002F651F">
        <w:rPr>
          <w:rFonts w:eastAsia="Arial" w:cs="Arial"/>
        </w:rPr>
        <w:t xml:space="preserve">In 2024–25, the QBCC </w:t>
      </w:r>
      <w:r w:rsidR="0095140C">
        <w:rPr>
          <w:rFonts w:eastAsia="Arial" w:cs="Arial"/>
        </w:rPr>
        <w:t>commenced</w:t>
      </w:r>
      <w:r w:rsidRPr="002F651F">
        <w:rPr>
          <w:rFonts w:eastAsia="Arial" w:cs="Arial"/>
        </w:rPr>
        <w:t xml:space="preserve"> </w:t>
      </w:r>
      <w:r w:rsidRPr="00EA5EDB">
        <w:rPr>
          <w:rFonts w:eastAsia="Arial" w:cs="Arial"/>
        </w:rPr>
        <w:t>16</w:t>
      </w:r>
      <w:r w:rsidRPr="002F651F">
        <w:rPr>
          <w:rFonts w:eastAsia="Arial" w:cs="Arial"/>
        </w:rPr>
        <w:t xml:space="preserve"> assessment audits and </w:t>
      </w:r>
      <w:r w:rsidRPr="00EA5EDB">
        <w:rPr>
          <w:rFonts w:eastAsia="Arial" w:cs="Arial"/>
        </w:rPr>
        <w:t xml:space="preserve">57 </w:t>
      </w:r>
      <w:r w:rsidRPr="002F651F">
        <w:rPr>
          <w:rFonts w:eastAsia="Arial" w:cs="Arial"/>
        </w:rPr>
        <w:t xml:space="preserve">technical audits. The audits identified two instances of unsatisfactory conduct and 65 instances of satisfactory conduct. </w:t>
      </w:r>
      <w:r w:rsidRPr="00D775DF">
        <w:rPr>
          <w:rFonts w:eastAsia="Arial" w:cs="Arial"/>
        </w:rPr>
        <w:t>Through proactive auditing of certifiers, the QBCC has made recommendations to improve certifier performance in</w:t>
      </w:r>
      <w:r w:rsidR="009D2062">
        <w:rPr>
          <w:rFonts w:eastAsia="Arial" w:cs="Arial"/>
        </w:rPr>
        <w:t xml:space="preserve"> </w:t>
      </w:r>
      <w:r w:rsidRPr="002F651F">
        <w:rPr>
          <w:rFonts w:eastAsia="Arial" w:cs="Arial"/>
        </w:rPr>
        <w:t>43 cases</w:t>
      </w:r>
      <w:r>
        <w:rPr>
          <w:rFonts w:eastAsia="Arial" w:cs="Arial"/>
        </w:rPr>
        <w:t>.</w:t>
      </w:r>
    </w:p>
    <w:p w14:paraId="245E8B76" w14:textId="1531A7E8" w:rsidR="00AC66DA" w:rsidRPr="006679DA" w:rsidRDefault="00AC66DA" w:rsidP="00AC66DA">
      <w:pPr>
        <w:pStyle w:val="Heading4"/>
      </w:pPr>
      <w:r w:rsidRPr="006679DA">
        <w:t xml:space="preserve">Safer </w:t>
      </w:r>
      <w:r>
        <w:t>b</w:t>
      </w:r>
      <w:r w:rsidRPr="006679DA">
        <w:t xml:space="preserve">uildings </w:t>
      </w:r>
      <w:r>
        <w:t>audits</w:t>
      </w:r>
      <w:r w:rsidRPr="006679DA">
        <w:t xml:space="preserve"> </w:t>
      </w:r>
    </w:p>
    <w:p w14:paraId="08E2AF20" w14:textId="1ED5A141" w:rsidR="00AC66DA" w:rsidRDefault="00AC66DA" w:rsidP="00AC66DA">
      <w:pPr>
        <w:spacing w:before="120" w:after="120"/>
        <w:rPr>
          <w:rFonts w:eastAsia="Arial" w:cs="Arial"/>
        </w:rPr>
      </w:pPr>
      <w:r w:rsidRPr="20BE9D8C">
        <w:rPr>
          <w:rFonts w:eastAsia="Arial" w:cs="Arial"/>
        </w:rPr>
        <w:t xml:space="preserve">Part 4A of the </w:t>
      </w:r>
      <w:r w:rsidRPr="20BE9D8C">
        <w:rPr>
          <w:rFonts w:eastAsia="Arial" w:cs="Arial"/>
          <w:i/>
        </w:rPr>
        <w:t>Building Regulation 2021</w:t>
      </w:r>
      <w:r w:rsidRPr="20BE9D8C">
        <w:rPr>
          <w:rFonts w:eastAsia="Arial" w:cs="Arial"/>
        </w:rPr>
        <w:t xml:space="preserve"> related to combustible cladding was introduced in 2018 to help identify privately owned buildings in Queensland that might contain potentially combustible cladding. Using a phased approach, the Safer Buildings Program was established for building owners to assess the materials used in their external wall cladding through a series of checklists and register with the QBCC. </w:t>
      </w:r>
    </w:p>
    <w:p w14:paraId="7B6515D8" w14:textId="1E77B337" w:rsidR="00AC66DA" w:rsidRPr="00636C07" w:rsidRDefault="00AC66DA" w:rsidP="00AC66DA">
      <w:pPr>
        <w:spacing w:before="120" w:after="120"/>
        <w:rPr>
          <w:rFonts w:eastAsia="Arial" w:cs="Arial"/>
        </w:rPr>
      </w:pPr>
      <w:r w:rsidRPr="00EB34C9">
        <w:rPr>
          <w:rFonts w:eastAsia="Arial" w:cs="Arial"/>
        </w:rPr>
        <w:t xml:space="preserve">In 2024–25, the QBCC received 13 additional registrations, bringing the total number of registered buildings to 20,028. None of the new registrations were identified as posing a cladding fire risk. </w:t>
      </w:r>
      <w:r w:rsidRPr="20BE9D8C">
        <w:rPr>
          <w:rFonts w:eastAsia="Arial" w:cs="Arial"/>
        </w:rPr>
        <w:t xml:space="preserve">In addition, the QBCC conducted </w:t>
      </w:r>
      <w:r w:rsidR="00E84743">
        <w:rPr>
          <w:rFonts w:eastAsia="Arial" w:cs="Arial"/>
        </w:rPr>
        <w:t>171</w:t>
      </w:r>
      <w:r w:rsidRPr="20BE9D8C">
        <w:rPr>
          <w:rFonts w:eastAsia="Arial" w:cs="Arial"/>
        </w:rPr>
        <w:t xml:space="preserve"> site audits during the reporting period (a</w:t>
      </w:r>
      <w:r w:rsidRPr="20BE9D8C" w:rsidDel="0009257D">
        <w:rPr>
          <w:rFonts w:eastAsia="Arial" w:cs="Arial"/>
        </w:rPr>
        <w:t xml:space="preserve"> total </w:t>
      </w:r>
      <w:r w:rsidR="008E2F00">
        <w:rPr>
          <w:rFonts w:eastAsia="Arial" w:cs="Arial"/>
        </w:rPr>
        <w:t>of</w:t>
      </w:r>
      <w:r w:rsidRPr="20BE9D8C" w:rsidDel="0009257D">
        <w:rPr>
          <w:rFonts w:eastAsia="Arial" w:cs="Arial"/>
        </w:rPr>
        <w:t xml:space="preserve"> </w:t>
      </w:r>
      <w:r w:rsidR="008E3969">
        <w:rPr>
          <w:rFonts w:eastAsia="Arial" w:cs="Arial"/>
        </w:rPr>
        <w:t>600</w:t>
      </w:r>
      <w:r w:rsidRPr="20BE9D8C" w:rsidDel="0009257D">
        <w:rPr>
          <w:rFonts w:eastAsia="Arial" w:cs="Arial"/>
        </w:rPr>
        <w:t xml:space="preserve"> audits since the program</w:t>
      </w:r>
      <w:r w:rsidR="00F47BDC">
        <w:rPr>
          <w:rFonts w:eastAsia="Arial" w:cs="Arial"/>
        </w:rPr>
        <w:t>’s</w:t>
      </w:r>
      <w:r w:rsidRPr="20BE9D8C" w:rsidDel="0009257D">
        <w:rPr>
          <w:rFonts w:eastAsia="Arial" w:cs="Arial"/>
        </w:rPr>
        <w:t xml:space="preserve"> inception</w:t>
      </w:r>
      <w:r w:rsidRPr="20BE9D8C">
        <w:rPr>
          <w:rFonts w:eastAsia="Arial" w:cs="Arial"/>
        </w:rPr>
        <w:t>) with</w:t>
      </w:r>
      <w:r w:rsidRPr="20BE9D8C" w:rsidDel="0009257D">
        <w:rPr>
          <w:rFonts w:eastAsia="Arial" w:cs="Arial"/>
        </w:rPr>
        <w:t xml:space="preserve"> </w:t>
      </w:r>
      <w:r w:rsidRPr="20BE9D8C">
        <w:rPr>
          <w:rFonts w:eastAsia="Arial" w:cs="Arial"/>
        </w:rPr>
        <w:t>the following outcomes:</w:t>
      </w:r>
    </w:p>
    <w:p w14:paraId="7003FAA6" w14:textId="2E0EAEB2" w:rsidR="00AC66DA" w:rsidRPr="00636C07" w:rsidRDefault="00AC66DA" w:rsidP="00BD69F7">
      <w:pPr>
        <w:pStyle w:val="ListParagraph"/>
        <w:numPr>
          <w:ilvl w:val="0"/>
          <w:numId w:val="34"/>
        </w:numPr>
        <w:spacing w:before="120" w:after="120"/>
        <w:ind w:left="714" w:hanging="357"/>
        <w:contextualSpacing w:val="0"/>
        <w:rPr>
          <w:rFonts w:eastAsia="Arial" w:cs="Arial"/>
        </w:rPr>
      </w:pPr>
      <w:r w:rsidRPr="20BE9D8C">
        <w:rPr>
          <w:rFonts w:eastAsia="Arial" w:cs="Arial"/>
        </w:rPr>
        <w:t>Five sites were brought into compliance.</w:t>
      </w:r>
    </w:p>
    <w:p w14:paraId="63B3A3D2" w14:textId="79D2C312" w:rsidR="00AC66DA" w:rsidRPr="00636C07" w:rsidRDefault="00AC66DA" w:rsidP="00BD69F7">
      <w:pPr>
        <w:pStyle w:val="ListParagraph"/>
        <w:numPr>
          <w:ilvl w:val="0"/>
          <w:numId w:val="34"/>
        </w:numPr>
        <w:spacing w:before="120" w:after="120"/>
        <w:ind w:left="714" w:hanging="357"/>
        <w:contextualSpacing w:val="0"/>
        <w:rPr>
          <w:rFonts w:eastAsia="Arial" w:cs="Arial"/>
        </w:rPr>
      </w:pPr>
      <w:r w:rsidRPr="20BE9D8C">
        <w:rPr>
          <w:rFonts w:eastAsia="Arial" w:cs="Arial"/>
        </w:rPr>
        <w:t>Five investigations remain ongoing.</w:t>
      </w:r>
    </w:p>
    <w:p w14:paraId="7DA09051" w14:textId="7122F6F4" w:rsidR="00AC66DA" w:rsidRPr="00636C07" w:rsidRDefault="008D7C85" w:rsidP="00BD69F7">
      <w:pPr>
        <w:pStyle w:val="ListParagraph"/>
        <w:numPr>
          <w:ilvl w:val="0"/>
          <w:numId w:val="34"/>
        </w:numPr>
        <w:spacing w:before="120" w:after="120"/>
        <w:ind w:left="714" w:hanging="357"/>
        <w:contextualSpacing w:val="0"/>
        <w:rPr>
          <w:rFonts w:eastAsia="Arial" w:cs="Arial"/>
        </w:rPr>
      </w:pPr>
      <w:r w:rsidRPr="008D7C85">
        <w:rPr>
          <w:rFonts w:eastAsia="Arial" w:cs="Arial"/>
        </w:rPr>
        <w:t>Eight sites were provided with education</w:t>
      </w:r>
      <w:r w:rsidR="00AC66DA" w:rsidRPr="20BE9D8C">
        <w:rPr>
          <w:rFonts w:eastAsia="Arial" w:cs="Arial"/>
        </w:rPr>
        <w:t>.</w:t>
      </w:r>
    </w:p>
    <w:p w14:paraId="13CD7C3F" w14:textId="4A93745C" w:rsidR="00AC66DA" w:rsidRDefault="00AC66DA" w:rsidP="00AC66DA">
      <w:pPr>
        <w:pStyle w:val="Heading4"/>
        <w:rPr>
          <w:rFonts w:cs="Arial"/>
        </w:rPr>
      </w:pPr>
      <w:r>
        <w:t xml:space="preserve">Site inspections </w:t>
      </w:r>
    </w:p>
    <w:p w14:paraId="04488475" w14:textId="6568F4C3" w:rsidR="00AC66DA" w:rsidRDefault="00AC66DA" w:rsidP="00AC66DA">
      <w:pPr>
        <w:spacing w:before="120" w:after="120" w:line="259" w:lineRule="auto"/>
        <w:rPr>
          <w:rFonts w:cs="Arial"/>
        </w:rPr>
      </w:pPr>
      <w:r w:rsidRPr="30A721C2">
        <w:rPr>
          <w:rFonts w:cs="Arial"/>
        </w:rPr>
        <w:t xml:space="preserve">The QBCC conducts proactive site inspections across residential and commercial construction sites to monitor compliance with building codes and standards. </w:t>
      </w:r>
      <w:r w:rsidR="00F43CBE">
        <w:rPr>
          <w:rFonts w:cs="Arial"/>
        </w:rPr>
        <w:t>T</w:t>
      </w:r>
      <w:r w:rsidRPr="30A721C2">
        <w:rPr>
          <w:rFonts w:cs="Arial"/>
        </w:rPr>
        <w:t xml:space="preserve">hese inspections provide valuable opportunities to engage directly with licensees and educate them on legislative obligations and building requirements. By identifying potential defects early, proactive site inspections help contractors </w:t>
      </w:r>
      <w:r w:rsidR="00F153D3">
        <w:rPr>
          <w:rFonts w:cs="Arial"/>
        </w:rPr>
        <w:t xml:space="preserve">to </w:t>
      </w:r>
      <w:r w:rsidRPr="30A721C2">
        <w:rPr>
          <w:rFonts w:cs="Arial"/>
        </w:rPr>
        <w:t xml:space="preserve">address issues before they escalate, reducing risks to building occupants and improving overall construction quality. </w:t>
      </w:r>
    </w:p>
    <w:p w14:paraId="6D0E20D7" w14:textId="74F0BB58" w:rsidR="00AC66DA" w:rsidRDefault="00AC66DA" w:rsidP="00AC66DA">
      <w:pPr>
        <w:spacing w:before="120" w:after="120" w:line="259" w:lineRule="auto"/>
        <w:rPr>
          <w:rFonts w:eastAsia="Arial" w:cs="Arial"/>
        </w:rPr>
      </w:pPr>
      <w:r w:rsidRPr="30A721C2">
        <w:rPr>
          <w:rFonts w:cs="Arial"/>
        </w:rPr>
        <w:lastRenderedPageBreak/>
        <w:t xml:space="preserve">Where non-compliance is detected, contractors are given the opportunity to rectify defects </w:t>
      </w:r>
      <w:r w:rsidR="00955A1A">
        <w:rPr>
          <w:rFonts w:cs="Arial"/>
        </w:rPr>
        <w:t>before</w:t>
      </w:r>
      <w:r w:rsidRPr="30A721C2">
        <w:rPr>
          <w:rFonts w:cs="Arial"/>
        </w:rPr>
        <w:t xml:space="preserve"> any formal regulatory action </w:t>
      </w:r>
      <w:r w:rsidR="004B5A74">
        <w:rPr>
          <w:rFonts w:cs="Arial"/>
        </w:rPr>
        <w:t>is</w:t>
      </w:r>
      <w:r w:rsidRPr="30A721C2">
        <w:rPr>
          <w:rFonts w:cs="Arial"/>
        </w:rPr>
        <w:t xml:space="preserve"> taken. Through its proactive approach, the QBCC continues to support licensees </w:t>
      </w:r>
      <w:r w:rsidR="00823FED">
        <w:rPr>
          <w:rFonts w:cs="Arial"/>
        </w:rPr>
        <w:t>in</w:t>
      </w:r>
      <w:r w:rsidRPr="30A721C2">
        <w:rPr>
          <w:rFonts w:cs="Arial"/>
        </w:rPr>
        <w:t xml:space="preserve"> maintain</w:t>
      </w:r>
      <w:r w:rsidR="00E24BB7">
        <w:rPr>
          <w:rFonts w:cs="Arial"/>
        </w:rPr>
        <w:t>ing</w:t>
      </w:r>
      <w:r w:rsidRPr="30A721C2">
        <w:rPr>
          <w:rFonts w:cs="Arial"/>
        </w:rPr>
        <w:t xml:space="preserve"> proper building standards across Queensland. In 2024–25, the QBCC conducted 4</w:t>
      </w:r>
      <w:r>
        <w:rPr>
          <w:rFonts w:cs="Arial"/>
        </w:rPr>
        <w:t>,</w:t>
      </w:r>
      <w:r w:rsidRPr="30A721C2">
        <w:rPr>
          <w:rFonts w:cs="Arial"/>
        </w:rPr>
        <w:t>354 proactive site inspections</w:t>
      </w:r>
      <w:r w:rsidR="003429BC">
        <w:rPr>
          <w:rFonts w:cs="Arial"/>
        </w:rPr>
        <w:t xml:space="preserve"> and</w:t>
      </w:r>
      <w:r w:rsidRPr="30A721C2">
        <w:rPr>
          <w:rFonts w:eastAsia="Arial" w:cs="Arial"/>
        </w:rPr>
        <w:t xml:space="preserve"> identif</w:t>
      </w:r>
      <w:r w:rsidR="00E1712D">
        <w:rPr>
          <w:rFonts w:eastAsia="Arial" w:cs="Arial"/>
        </w:rPr>
        <w:t>ied</w:t>
      </w:r>
      <w:r w:rsidRPr="30A721C2">
        <w:rPr>
          <w:rFonts w:eastAsia="Arial" w:cs="Arial"/>
        </w:rPr>
        <w:t xml:space="preserve"> 556 non-compliant sites that were rectified without regulatory action. </w:t>
      </w:r>
    </w:p>
    <w:p w14:paraId="520EDBFA" w14:textId="223B9AA2" w:rsidR="00AC66DA" w:rsidRDefault="00AC66DA" w:rsidP="00AC66DA">
      <w:pPr>
        <w:spacing w:before="120" w:after="120" w:line="259" w:lineRule="auto"/>
      </w:pPr>
      <w:r w:rsidRPr="20BE9D8C">
        <w:rPr>
          <w:rFonts w:eastAsia="Arial" w:cs="Arial"/>
        </w:rPr>
        <w:t xml:space="preserve">Inspectors continue to prioritise building elements that present the highest risk to consumer safety and industry standards, with a focus on both fire protection systems and high-risk water ingress areas. In line with the Compliance and Enforcement Strategy, proactive audits have included roofing, facades, internal and external waterproofing, slab edge dampness, and stormwater systems. </w:t>
      </w:r>
    </w:p>
    <w:p w14:paraId="1F19FA09" w14:textId="65538EAE" w:rsidR="00AC66DA" w:rsidRDefault="00AC66DA" w:rsidP="00AC66DA">
      <w:pPr>
        <w:spacing w:before="120" w:after="120" w:line="259" w:lineRule="auto"/>
        <w:rPr>
          <w:rFonts w:eastAsia="Arial" w:cs="Arial"/>
        </w:rPr>
      </w:pPr>
      <w:r w:rsidRPr="4DBF21EC">
        <w:rPr>
          <w:rFonts w:eastAsia="Arial" w:cs="Arial"/>
        </w:rPr>
        <w:t xml:space="preserve">Of the 57 proactive fire audits of completed buildings, 22 identified non-compliance related to fire protection systems. This reflects our commitment to undertaking proactive inspections focused on fire protection and ensuring these systems are installed and maintained by appropriately licensed </w:t>
      </w:r>
      <w:proofErr w:type="gramStart"/>
      <w:r w:rsidRPr="4DBF21EC">
        <w:rPr>
          <w:rFonts w:eastAsia="Arial" w:cs="Arial"/>
        </w:rPr>
        <w:t>entities</w:t>
      </w:r>
      <w:r w:rsidR="008A6E1C">
        <w:rPr>
          <w:rFonts w:eastAsia="Arial" w:cs="Arial"/>
        </w:rPr>
        <w:t>,</w:t>
      </w:r>
      <w:r w:rsidRPr="51103E49">
        <w:rPr>
          <w:rFonts w:eastAsia="Arial" w:cs="Arial"/>
        </w:rPr>
        <w:t xml:space="preserve"> and</w:t>
      </w:r>
      <w:proofErr w:type="gramEnd"/>
      <w:r w:rsidRPr="51103E49">
        <w:rPr>
          <w:rFonts w:eastAsia="Arial" w:cs="Arial"/>
        </w:rPr>
        <w:t xml:space="preserve"> educating building owners </w:t>
      </w:r>
      <w:r w:rsidRPr="4DBF21EC">
        <w:rPr>
          <w:rFonts w:eastAsia="Arial" w:cs="Arial"/>
        </w:rPr>
        <w:t>of their obligations to properly maintain fire systems.</w:t>
      </w:r>
    </w:p>
    <w:p w14:paraId="4299FA8B" w14:textId="3DD5BFE1" w:rsidR="00AC66DA" w:rsidRDefault="00AC66DA" w:rsidP="00AC66DA">
      <w:pPr>
        <w:pStyle w:val="Heading4"/>
        <w:rPr>
          <w:rFonts w:cs="Arial"/>
        </w:rPr>
      </w:pPr>
      <w:r w:rsidRPr="00B16147">
        <w:t>Notifiable work audits</w:t>
      </w:r>
      <w:r w:rsidRPr="20BE9D8C">
        <w:rPr>
          <w:rFonts w:cs="Arial"/>
          <w:b w:val="0"/>
        </w:rPr>
        <w:t xml:space="preserve"> </w:t>
      </w:r>
    </w:p>
    <w:p w14:paraId="75A3E946" w14:textId="0682BC14" w:rsidR="00AC66DA" w:rsidRDefault="00AC66DA" w:rsidP="00AC66DA">
      <w:pPr>
        <w:spacing w:before="120" w:after="120"/>
        <w:rPr>
          <w:rFonts w:eastAsia="Arial" w:cs="Arial"/>
        </w:rPr>
      </w:pPr>
      <w:r w:rsidRPr="20BE9D8C">
        <w:rPr>
          <w:rFonts w:eastAsia="Arial" w:cs="Arial"/>
        </w:rPr>
        <w:t xml:space="preserve">Notifiable work </w:t>
      </w:r>
      <w:r w:rsidR="00CF5B20">
        <w:rPr>
          <w:rFonts w:eastAsia="Arial" w:cs="Arial"/>
        </w:rPr>
        <w:t>refers to</w:t>
      </w:r>
      <w:r w:rsidRPr="20BE9D8C">
        <w:rPr>
          <w:rFonts w:eastAsia="Arial" w:cs="Arial"/>
        </w:rPr>
        <w:t xml:space="preserve"> plumbing and drainage work that does not require local council approval or inspection but must still meet the same safety and quality standards. It must be performed by a licensed plumber or drainer, who is required to submit a </w:t>
      </w:r>
      <w:r w:rsidR="008047B4">
        <w:rPr>
          <w:rFonts w:eastAsia="Arial" w:cs="Arial"/>
        </w:rPr>
        <w:t>Notifiable Work Notification (</w:t>
      </w:r>
      <w:r w:rsidRPr="20BE9D8C">
        <w:rPr>
          <w:rFonts w:eastAsia="Arial" w:cs="Arial"/>
        </w:rPr>
        <w:t>Form 4/4A</w:t>
      </w:r>
      <w:r w:rsidR="008047B4">
        <w:rPr>
          <w:rFonts w:eastAsia="Arial" w:cs="Arial"/>
        </w:rPr>
        <w:t>)</w:t>
      </w:r>
      <w:r w:rsidRPr="20BE9D8C">
        <w:rPr>
          <w:rFonts w:eastAsia="Arial" w:cs="Arial"/>
        </w:rPr>
        <w:t xml:space="preserve"> to the QBCC within 10 business days of finishing the work. Notifiable work supports faster project delivery while ensuring regulatory compliance. </w:t>
      </w:r>
    </w:p>
    <w:p w14:paraId="2C39088F" w14:textId="3339C0B2" w:rsidR="00AC66DA" w:rsidRPr="00A57D9E" w:rsidRDefault="00AC66DA" w:rsidP="00AC66DA">
      <w:pPr>
        <w:spacing w:before="120" w:after="120"/>
        <w:rPr>
          <w:rFonts w:eastAsia="Arial" w:cs="Arial"/>
        </w:rPr>
      </w:pPr>
      <w:r w:rsidRPr="20BE9D8C">
        <w:rPr>
          <w:rFonts w:eastAsia="Arial" w:cs="Arial"/>
        </w:rPr>
        <w:t>A comprehensive audit program ensures that the relevant notice is being given when notifiable work is completed</w:t>
      </w:r>
      <w:r w:rsidR="00BA2B93">
        <w:rPr>
          <w:rFonts w:eastAsia="Arial" w:cs="Arial"/>
        </w:rPr>
        <w:t>, with</w:t>
      </w:r>
      <w:r w:rsidRPr="20BE9D8C">
        <w:rPr>
          <w:rFonts w:eastAsia="Arial" w:cs="Arial"/>
        </w:rPr>
        <w:t xml:space="preserve"> approximately 75</w:t>
      </w:r>
      <w:r w:rsidR="00BA2B93">
        <w:rPr>
          <w:rFonts w:eastAsia="Arial" w:cs="Arial"/>
        </w:rPr>
        <w:t xml:space="preserve"> per cent</w:t>
      </w:r>
      <w:r w:rsidRPr="20BE9D8C">
        <w:rPr>
          <w:rFonts w:eastAsia="Arial" w:cs="Arial"/>
        </w:rPr>
        <w:t xml:space="preserve"> of plumbing and drainage work in Queensland covered by this scope of work. The QBCC audits licensees through random and targeted checks to make sure licensed plumbers are registering Form 4/4As where required.</w:t>
      </w:r>
    </w:p>
    <w:p w14:paraId="230A1F9B" w14:textId="4912A09F" w:rsidR="00AC66DA" w:rsidRDefault="00AC66DA" w:rsidP="00AC66DA">
      <w:pPr>
        <w:spacing w:before="120" w:after="120"/>
        <w:rPr>
          <w:rFonts w:eastAsia="Arial" w:cs="Arial"/>
        </w:rPr>
      </w:pPr>
      <w:r w:rsidRPr="68E1662F">
        <w:rPr>
          <w:rFonts w:eastAsia="Arial" w:cs="Arial"/>
        </w:rPr>
        <w:t xml:space="preserve">In 2024–25, the </w:t>
      </w:r>
      <w:r w:rsidRPr="002E6C0E">
        <w:rPr>
          <w:rFonts w:eastAsia="Arial" w:cs="Arial"/>
        </w:rPr>
        <w:t xml:space="preserve">QBCC received </w:t>
      </w:r>
      <w:r w:rsidRPr="00EA5EDB">
        <w:rPr>
          <w:rFonts w:eastAsia="Arial" w:cs="Arial"/>
        </w:rPr>
        <w:t>109,689</w:t>
      </w:r>
      <w:r w:rsidRPr="002E6C0E">
        <w:rPr>
          <w:rFonts w:eastAsia="Arial" w:cs="Arial"/>
        </w:rPr>
        <w:t xml:space="preserve"> Form 4/4As </w:t>
      </w:r>
      <w:r>
        <w:rPr>
          <w:rFonts w:eastAsia="Arial" w:cs="Arial"/>
        </w:rPr>
        <w:t>and</w:t>
      </w:r>
      <w:r w:rsidRPr="002E6C0E">
        <w:rPr>
          <w:rFonts w:eastAsia="Arial" w:cs="Arial"/>
        </w:rPr>
        <w:t xml:space="preserve"> conducted </w:t>
      </w:r>
      <w:r w:rsidRPr="00EA5EDB">
        <w:rPr>
          <w:rFonts w:eastAsia="Arial" w:cs="Arial"/>
        </w:rPr>
        <w:t xml:space="preserve">550 </w:t>
      </w:r>
      <w:r w:rsidRPr="002E6C0E">
        <w:rPr>
          <w:rFonts w:eastAsia="Arial" w:cs="Arial"/>
        </w:rPr>
        <w:t>notifiable work audits of plumbers and drainers, including 50 re</w:t>
      </w:r>
      <w:r w:rsidR="00427C40">
        <w:rPr>
          <w:rFonts w:eastAsia="Arial" w:cs="Arial"/>
        </w:rPr>
        <w:t>-</w:t>
      </w:r>
      <w:r w:rsidRPr="002E6C0E">
        <w:rPr>
          <w:rFonts w:eastAsia="Arial" w:cs="Arial"/>
        </w:rPr>
        <w:t>audits of licensees who were found to be non-compliant in the previous financial year. Of the audits completed</w:t>
      </w:r>
      <w:r w:rsidR="00427C40">
        <w:rPr>
          <w:rFonts w:eastAsia="Arial" w:cs="Arial"/>
        </w:rPr>
        <w:t>:</w:t>
      </w:r>
      <w:r w:rsidRPr="002E6C0E">
        <w:rPr>
          <w:rFonts w:eastAsia="Arial" w:cs="Arial"/>
        </w:rPr>
        <w:t xml:space="preserve"> </w:t>
      </w:r>
    </w:p>
    <w:p w14:paraId="566B45FD" w14:textId="1177025A" w:rsidR="00AC66DA" w:rsidRDefault="00AC66DA" w:rsidP="00BD69F7">
      <w:pPr>
        <w:pStyle w:val="ListParagraph"/>
        <w:numPr>
          <w:ilvl w:val="0"/>
          <w:numId w:val="47"/>
        </w:numPr>
        <w:spacing w:before="120" w:after="120"/>
        <w:ind w:left="714" w:hanging="357"/>
        <w:contextualSpacing w:val="0"/>
        <w:rPr>
          <w:rFonts w:eastAsia="Arial" w:cs="Arial"/>
        </w:rPr>
      </w:pPr>
      <w:r w:rsidRPr="71B0C40F">
        <w:rPr>
          <w:rFonts w:eastAsia="Arial" w:cs="Arial"/>
        </w:rPr>
        <w:t>3</w:t>
      </w:r>
      <w:r>
        <w:rPr>
          <w:rFonts w:eastAsia="Arial" w:cs="Arial"/>
        </w:rPr>
        <w:t>30</w:t>
      </w:r>
      <w:r w:rsidRPr="71B0C40F">
        <w:rPr>
          <w:rFonts w:eastAsia="Arial" w:cs="Arial"/>
        </w:rPr>
        <w:t xml:space="preserve"> </w:t>
      </w:r>
      <w:r>
        <w:rPr>
          <w:rFonts w:eastAsia="Arial" w:cs="Arial"/>
        </w:rPr>
        <w:t>(71</w:t>
      </w:r>
      <w:r w:rsidR="00427C40">
        <w:rPr>
          <w:rFonts w:eastAsia="Arial" w:cs="Arial"/>
        </w:rPr>
        <w:t xml:space="preserve"> per cent</w:t>
      </w:r>
      <w:r>
        <w:rPr>
          <w:rFonts w:eastAsia="Arial" w:cs="Arial"/>
        </w:rPr>
        <w:t xml:space="preserve"> of completed audits) </w:t>
      </w:r>
      <w:r w:rsidRPr="71B0C40F">
        <w:rPr>
          <w:rFonts w:eastAsia="Arial" w:cs="Arial"/>
        </w:rPr>
        <w:t xml:space="preserve">were found to be compliant </w:t>
      </w:r>
    </w:p>
    <w:p w14:paraId="6C68DC17" w14:textId="6075F992" w:rsidR="00AC66DA" w:rsidRDefault="00785189" w:rsidP="00BD69F7">
      <w:pPr>
        <w:pStyle w:val="ListParagraph"/>
        <w:numPr>
          <w:ilvl w:val="0"/>
          <w:numId w:val="47"/>
        </w:numPr>
        <w:spacing w:before="120" w:after="120"/>
        <w:ind w:left="714" w:hanging="357"/>
        <w:contextualSpacing w:val="0"/>
        <w:rPr>
          <w:rFonts w:eastAsia="Arial" w:cs="Arial"/>
        </w:rPr>
      </w:pPr>
      <w:r>
        <w:rPr>
          <w:rFonts w:eastAsia="Arial" w:cs="Arial"/>
        </w:rPr>
        <w:t>137</w:t>
      </w:r>
      <w:r w:rsidR="00AC66DA" w:rsidRPr="71B0C40F">
        <w:rPr>
          <w:rFonts w:eastAsia="Arial" w:cs="Arial"/>
        </w:rPr>
        <w:t xml:space="preserve"> </w:t>
      </w:r>
      <w:r w:rsidR="00AC66DA">
        <w:rPr>
          <w:rFonts w:eastAsia="Arial" w:cs="Arial"/>
        </w:rPr>
        <w:t>(29</w:t>
      </w:r>
      <w:r w:rsidR="00427C40">
        <w:rPr>
          <w:rFonts w:eastAsia="Arial" w:cs="Arial"/>
        </w:rPr>
        <w:t xml:space="preserve"> per cent</w:t>
      </w:r>
      <w:r w:rsidR="00AC66DA">
        <w:rPr>
          <w:rFonts w:eastAsia="Arial" w:cs="Arial"/>
        </w:rPr>
        <w:t xml:space="preserve"> of completed audits)</w:t>
      </w:r>
      <w:r w:rsidR="00AC66DA" w:rsidRPr="71B0C40F">
        <w:rPr>
          <w:rFonts w:eastAsia="Arial" w:cs="Arial"/>
        </w:rPr>
        <w:t xml:space="preserve"> were identified as non-compliant. </w:t>
      </w:r>
    </w:p>
    <w:p w14:paraId="0B69E0EA" w14:textId="4CBB575A" w:rsidR="00AC66DA" w:rsidRPr="0016435C" w:rsidRDefault="00AC66DA" w:rsidP="00AC66DA">
      <w:pPr>
        <w:spacing w:before="120" w:after="120"/>
        <w:rPr>
          <w:rFonts w:eastAsia="Arial" w:cs="Arial"/>
        </w:rPr>
      </w:pPr>
      <w:r>
        <w:rPr>
          <w:rFonts w:eastAsia="Arial" w:cs="Arial"/>
        </w:rPr>
        <w:t>An additional 75 audits (14</w:t>
      </w:r>
      <w:r w:rsidR="00427C40">
        <w:rPr>
          <w:rFonts w:eastAsia="Arial" w:cs="Arial"/>
        </w:rPr>
        <w:t xml:space="preserve"> per cent</w:t>
      </w:r>
      <w:r>
        <w:rPr>
          <w:rFonts w:eastAsia="Arial" w:cs="Arial"/>
        </w:rPr>
        <w:t xml:space="preserve"> of total audits) were withdrawn or cancelled due to the licensee not actively contracting for work. Six audits (</w:t>
      </w:r>
      <w:r w:rsidR="00427C40">
        <w:rPr>
          <w:rFonts w:eastAsia="Arial" w:cs="Arial"/>
        </w:rPr>
        <w:t>one per cent</w:t>
      </w:r>
      <w:r w:rsidR="009824F7">
        <w:rPr>
          <w:rFonts w:eastAsia="Arial" w:cs="Arial"/>
        </w:rPr>
        <w:t xml:space="preserve"> of total </w:t>
      </w:r>
      <w:r w:rsidR="0021388A">
        <w:rPr>
          <w:rFonts w:eastAsia="Arial" w:cs="Arial"/>
        </w:rPr>
        <w:t>audits</w:t>
      </w:r>
      <w:r>
        <w:rPr>
          <w:rFonts w:eastAsia="Arial" w:cs="Arial"/>
        </w:rPr>
        <w:t xml:space="preserve">) were also referred for investigation due to failing to respond to the audit request in accordance with </w:t>
      </w:r>
      <w:r w:rsidR="002A7C2F">
        <w:rPr>
          <w:rFonts w:eastAsia="Arial" w:cs="Arial"/>
        </w:rPr>
        <w:t>S</w:t>
      </w:r>
      <w:r>
        <w:rPr>
          <w:rFonts w:eastAsia="Arial" w:cs="Arial"/>
        </w:rPr>
        <w:t xml:space="preserve">ection 48(5) of the </w:t>
      </w:r>
      <w:r w:rsidR="00F65AFC">
        <w:rPr>
          <w:rFonts w:eastAsia="Arial" w:cs="Arial"/>
          <w:i/>
          <w:iCs/>
        </w:rPr>
        <w:t>PD Act</w:t>
      </w:r>
      <w:r>
        <w:rPr>
          <w:rFonts w:eastAsia="Arial" w:cs="Arial"/>
        </w:rPr>
        <w:t>.</w:t>
      </w:r>
      <w:r w:rsidR="002C53CB">
        <w:rPr>
          <w:rFonts w:eastAsia="Arial" w:cs="Arial"/>
        </w:rPr>
        <w:t xml:space="preserve"> </w:t>
      </w:r>
      <w:r w:rsidRPr="0016435C">
        <w:rPr>
          <w:rFonts w:eastAsia="Arial" w:cs="Arial"/>
        </w:rPr>
        <w:t>Following education and guidance from the QBCC, 80 per cent of the reaudited licensees achieved compliance.</w:t>
      </w:r>
    </w:p>
    <w:p w14:paraId="7A75D33D" w14:textId="62777D82" w:rsidR="003A55DE" w:rsidRDefault="00F372BA" w:rsidP="003A55DE">
      <w:pPr>
        <w:pStyle w:val="Heading3"/>
      </w:pPr>
      <w:r>
        <w:t>I</w:t>
      </w:r>
      <w:r w:rsidR="003A55DE" w:rsidRPr="004A2C19">
        <w:t>nvestigations</w:t>
      </w:r>
      <w:r w:rsidR="003A55DE">
        <w:t xml:space="preserve"> </w:t>
      </w:r>
    </w:p>
    <w:p w14:paraId="66C806A0" w14:textId="77777777" w:rsidR="00F23E4F" w:rsidRDefault="003A55DE" w:rsidP="003A55DE">
      <w:pPr>
        <w:spacing w:before="120" w:after="120"/>
        <w:ind w:right="414"/>
        <w:rPr>
          <w:rFonts w:cs="Arial"/>
        </w:rPr>
      </w:pPr>
      <w:r w:rsidRPr="37EF2F3F">
        <w:rPr>
          <w:rFonts w:cs="Arial"/>
        </w:rPr>
        <w:t>The QBCC conducts a wide range of investigations to uphold the integrity, safety and standards of Queensland’s building and construction industry. Guided by the QBCC Compliance and Enforcement Strategy 2024–</w:t>
      </w:r>
      <w:r w:rsidR="0045345C">
        <w:rPr>
          <w:rFonts w:cs="Arial"/>
        </w:rPr>
        <w:t>20</w:t>
      </w:r>
      <w:r w:rsidRPr="37EF2F3F">
        <w:rPr>
          <w:rFonts w:cs="Arial"/>
        </w:rPr>
        <w:t xml:space="preserve">26, conducting investigations to ensure compliance across various building activities </w:t>
      </w:r>
      <w:r w:rsidR="005820F1">
        <w:rPr>
          <w:rFonts w:cs="Arial"/>
        </w:rPr>
        <w:t>is</w:t>
      </w:r>
      <w:r w:rsidR="005820F1" w:rsidRPr="37EF2F3F">
        <w:rPr>
          <w:rFonts w:cs="Arial"/>
        </w:rPr>
        <w:t xml:space="preserve"> </w:t>
      </w:r>
      <w:r w:rsidRPr="37EF2F3F">
        <w:rPr>
          <w:rFonts w:cs="Arial"/>
        </w:rPr>
        <w:t>a core component of the QBCC</w:t>
      </w:r>
      <w:r w:rsidR="004547C4">
        <w:rPr>
          <w:rFonts w:cs="Arial"/>
        </w:rPr>
        <w:t>’s</w:t>
      </w:r>
      <w:r w:rsidRPr="37EF2F3F">
        <w:rPr>
          <w:rFonts w:cs="Arial"/>
        </w:rPr>
        <w:t xml:space="preserve"> regulatory responsibilities. </w:t>
      </w:r>
    </w:p>
    <w:p w14:paraId="48B6CF4D" w14:textId="5ED9DB89" w:rsidR="003A55DE" w:rsidRDefault="0016793A" w:rsidP="003A55DE">
      <w:pPr>
        <w:spacing w:before="120" w:after="120"/>
        <w:ind w:right="414"/>
        <w:rPr>
          <w:rFonts w:cs="Arial"/>
        </w:rPr>
      </w:pPr>
      <w:r>
        <w:rPr>
          <w:rFonts w:cs="Arial"/>
        </w:rPr>
        <w:t>During 2024–25, t</w:t>
      </w:r>
      <w:r w:rsidR="003A55DE" w:rsidRPr="37EF2F3F">
        <w:rPr>
          <w:rFonts w:cs="Arial"/>
        </w:rPr>
        <w:t xml:space="preserve">he top five offences identified through these investigations </w:t>
      </w:r>
      <w:r w:rsidR="00077CC5">
        <w:rPr>
          <w:rFonts w:cs="Arial"/>
        </w:rPr>
        <w:t xml:space="preserve">accounted for </w:t>
      </w:r>
      <w:r w:rsidR="17E9C2A6" w:rsidRPr="18032E38">
        <w:rPr>
          <w:rFonts w:cs="Arial"/>
        </w:rPr>
        <w:t>50</w:t>
      </w:r>
      <w:r w:rsidR="00077CC5">
        <w:rPr>
          <w:rFonts w:cs="Arial"/>
        </w:rPr>
        <w:t xml:space="preserve"> per cent of all </w:t>
      </w:r>
      <w:r w:rsidR="005A66A4">
        <w:rPr>
          <w:rFonts w:cs="Arial"/>
        </w:rPr>
        <w:t>cases</w:t>
      </w:r>
      <w:r w:rsidR="003A55DE" w:rsidRPr="37EF2F3F">
        <w:rPr>
          <w:rFonts w:cs="Arial"/>
        </w:rPr>
        <w:t>:</w:t>
      </w:r>
    </w:p>
    <w:p w14:paraId="12BC083A" w14:textId="4A1FC49D" w:rsidR="003A55DE" w:rsidRPr="00592B1E" w:rsidRDefault="003477A7" w:rsidP="00BD69F7">
      <w:pPr>
        <w:pStyle w:val="ListParagraph"/>
        <w:numPr>
          <w:ilvl w:val="0"/>
          <w:numId w:val="50"/>
        </w:numPr>
        <w:spacing w:before="120" w:after="120"/>
        <w:ind w:right="413"/>
        <w:contextualSpacing w:val="0"/>
        <w:rPr>
          <w:rFonts w:cs="Arial"/>
          <w:szCs w:val="22"/>
        </w:rPr>
      </w:pPr>
      <w:r w:rsidRPr="00592B1E">
        <w:rPr>
          <w:rFonts w:cs="Arial"/>
          <w:szCs w:val="22"/>
        </w:rPr>
        <w:t>u</w:t>
      </w:r>
      <w:r w:rsidR="003A55DE" w:rsidRPr="00592B1E">
        <w:rPr>
          <w:rFonts w:cs="Arial"/>
          <w:szCs w:val="22"/>
        </w:rPr>
        <w:t>nlicensed contracting</w:t>
      </w:r>
      <w:r w:rsidR="006C6261" w:rsidRPr="00592B1E">
        <w:rPr>
          <w:rFonts w:cs="Arial"/>
          <w:szCs w:val="22"/>
        </w:rPr>
        <w:t xml:space="preserve"> (</w:t>
      </w:r>
      <w:r w:rsidR="20797ECC" w:rsidRPr="00592B1E">
        <w:rPr>
          <w:rFonts w:cs="Arial"/>
        </w:rPr>
        <w:t>46</w:t>
      </w:r>
      <w:r w:rsidR="002A43FB" w:rsidRPr="00592B1E">
        <w:rPr>
          <w:rFonts w:cs="Arial"/>
          <w:szCs w:val="22"/>
        </w:rPr>
        <w:t xml:space="preserve"> per cent)</w:t>
      </w:r>
    </w:p>
    <w:p w14:paraId="6C94FF2B" w14:textId="36DDFA72" w:rsidR="002D138F" w:rsidRPr="00592B1E" w:rsidRDefault="00592B1E" w:rsidP="00BD69F7">
      <w:pPr>
        <w:pStyle w:val="ListParagraph"/>
        <w:numPr>
          <w:ilvl w:val="0"/>
          <w:numId w:val="50"/>
        </w:numPr>
        <w:spacing w:before="120" w:after="120"/>
        <w:ind w:right="413"/>
        <w:contextualSpacing w:val="0"/>
        <w:rPr>
          <w:rFonts w:cs="Arial"/>
          <w:szCs w:val="22"/>
        </w:rPr>
      </w:pPr>
      <w:r w:rsidDel="002D138F">
        <w:rPr>
          <w:rFonts w:cs="Arial"/>
          <w:szCs w:val="22"/>
        </w:rPr>
        <w:t>b</w:t>
      </w:r>
      <w:r w:rsidRPr="37EF2F3F" w:rsidDel="002D138F">
        <w:rPr>
          <w:rFonts w:cs="Arial"/>
          <w:szCs w:val="22"/>
        </w:rPr>
        <w:t>reaches of domestic building contract requirements</w:t>
      </w:r>
      <w:r w:rsidDel="002D138F">
        <w:rPr>
          <w:rFonts w:cs="Arial"/>
          <w:szCs w:val="22"/>
        </w:rPr>
        <w:t xml:space="preserve"> (</w:t>
      </w:r>
      <w:r w:rsidRPr="18032E38" w:rsidDel="002D138F">
        <w:rPr>
          <w:rFonts w:cs="Arial"/>
        </w:rPr>
        <w:t>22</w:t>
      </w:r>
      <w:r w:rsidDel="002D138F">
        <w:rPr>
          <w:rFonts w:cs="Arial"/>
          <w:szCs w:val="22"/>
        </w:rPr>
        <w:t xml:space="preserve"> per cent)</w:t>
      </w:r>
    </w:p>
    <w:p w14:paraId="5294541D" w14:textId="7EDD35F6" w:rsidR="003A55DE" w:rsidRDefault="003477A7" w:rsidP="00BD69F7">
      <w:pPr>
        <w:pStyle w:val="ListParagraph"/>
        <w:numPr>
          <w:ilvl w:val="0"/>
          <w:numId w:val="50"/>
        </w:numPr>
        <w:spacing w:before="120" w:after="120"/>
        <w:ind w:right="413"/>
        <w:contextualSpacing w:val="0"/>
        <w:rPr>
          <w:rFonts w:cs="Arial"/>
          <w:szCs w:val="22"/>
        </w:rPr>
      </w:pPr>
      <w:r>
        <w:rPr>
          <w:rFonts w:cs="Arial"/>
          <w:szCs w:val="22"/>
        </w:rPr>
        <w:t>i</w:t>
      </w:r>
      <w:r w:rsidR="003A55DE" w:rsidRPr="37EF2F3F">
        <w:rPr>
          <w:rFonts w:cs="Arial"/>
          <w:szCs w:val="22"/>
        </w:rPr>
        <w:t>nsurance-related non-compliance</w:t>
      </w:r>
      <w:r w:rsidR="002A43FB">
        <w:rPr>
          <w:rFonts w:cs="Arial"/>
          <w:szCs w:val="22"/>
        </w:rPr>
        <w:t xml:space="preserve"> (</w:t>
      </w:r>
      <w:r w:rsidR="21C29E1A" w:rsidRPr="2C0012DC">
        <w:rPr>
          <w:rFonts w:cs="Arial"/>
        </w:rPr>
        <w:t>18</w:t>
      </w:r>
      <w:r w:rsidR="002A43FB">
        <w:rPr>
          <w:rFonts w:cs="Arial"/>
          <w:szCs w:val="22"/>
        </w:rPr>
        <w:t xml:space="preserve"> per cent)</w:t>
      </w:r>
    </w:p>
    <w:p w14:paraId="6B64D967" w14:textId="32DA7C66" w:rsidR="00592B1E" w:rsidRPr="00592B1E" w:rsidRDefault="00592B1E" w:rsidP="00BD69F7">
      <w:pPr>
        <w:pStyle w:val="ListParagraph"/>
        <w:numPr>
          <w:ilvl w:val="0"/>
          <w:numId w:val="50"/>
        </w:numPr>
        <w:spacing w:before="120" w:after="120"/>
        <w:contextualSpacing w:val="0"/>
        <w:rPr>
          <w:szCs w:val="22"/>
        </w:rPr>
      </w:pPr>
      <w:r>
        <w:t>improper use of a licence (10 per cent)</w:t>
      </w:r>
    </w:p>
    <w:p w14:paraId="1F6BBB79" w14:textId="02E329CD" w:rsidR="003A55DE" w:rsidRDefault="001C2ECB" w:rsidP="00BD69F7">
      <w:pPr>
        <w:pStyle w:val="ListParagraph"/>
        <w:numPr>
          <w:ilvl w:val="0"/>
          <w:numId w:val="50"/>
        </w:numPr>
        <w:spacing w:before="120" w:after="120"/>
        <w:contextualSpacing w:val="0"/>
        <w:rPr>
          <w:szCs w:val="22"/>
        </w:rPr>
      </w:pPr>
      <w:r>
        <w:t>f</w:t>
      </w:r>
      <w:r w:rsidR="003A55DE" w:rsidRPr="37EF2F3F">
        <w:t>alse or misleading advertising</w:t>
      </w:r>
      <w:r w:rsidR="002A43FB">
        <w:t xml:space="preserve"> (</w:t>
      </w:r>
      <w:r w:rsidR="71930F80">
        <w:t>4</w:t>
      </w:r>
      <w:r w:rsidR="002A43FB">
        <w:t xml:space="preserve"> per cent)</w:t>
      </w:r>
      <w:r w:rsidR="000E2B88">
        <w:t>.</w:t>
      </w:r>
    </w:p>
    <w:p w14:paraId="435FBED0" w14:textId="07019EEF" w:rsidR="003A55DE" w:rsidRDefault="003A55DE" w:rsidP="003A55DE">
      <w:pPr>
        <w:spacing w:before="120" w:after="120"/>
        <w:ind w:right="414"/>
        <w:rPr>
          <w:rFonts w:cs="Arial"/>
        </w:rPr>
      </w:pPr>
      <w:r w:rsidRPr="37EF2F3F">
        <w:rPr>
          <w:rFonts w:cs="Arial"/>
        </w:rPr>
        <w:lastRenderedPageBreak/>
        <w:t xml:space="preserve">By detecting and addressing unlawful conduct, the QBCC plays a key role in protecting consumers and industry from harm. </w:t>
      </w:r>
      <w:r w:rsidR="00CE109E">
        <w:rPr>
          <w:rFonts w:cs="Arial"/>
        </w:rPr>
        <w:fldChar w:fldCharType="begin"/>
      </w:r>
      <w:r w:rsidR="00CE109E">
        <w:rPr>
          <w:rFonts w:cs="Arial"/>
        </w:rPr>
        <w:instrText xml:space="preserve"> REF _Ref204671098 \h </w:instrText>
      </w:r>
      <w:r w:rsidR="00CE109E">
        <w:rPr>
          <w:rFonts w:cs="Arial"/>
        </w:rPr>
      </w:r>
      <w:r w:rsidR="00CE109E">
        <w:rPr>
          <w:rFonts w:cs="Arial"/>
        </w:rPr>
        <w:fldChar w:fldCharType="separate"/>
      </w:r>
      <w:r w:rsidR="00CE109E">
        <w:t>Table 16</w:t>
      </w:r>
      <w:r w:rsidR="00CE109E">
        <w:rPr>
          <w:rFonts w:cs="Arial"/>
        </w:rPr>
        <w:fldChar w:fldCharType="end"/>
      </w:r>
      <w:r>
        <w:rPr>
          <w:rFonts w:cs="Arial"/>
        </w:rPr>
        <w:fldChar w:fldCharType="begin"/>
      </w:r>
      <w:r>
        <w:rPr>
          <w:rFonts w:cs="Arial"/>
        </w:rPr>
        <w:instrText xml:space="preserve"> REF _Ref201908307 \h </w:instrText>
      </w:r>
      <w:r>
        <w:rPr>
          <w:rFonts w:cs="Arial"/>
        </w:rPr>
      </w:r>
      <w:r>
        <w:rPr>
          <w:rFonts w:cs="Arial"/>
        </w:rPr>
        <w:fldChar w:fldCharType="end"/>
      </w:r>
      <w:r w:rsidRPr="37EF2F3F">
        <w:rPr>
          <w:rFonts w:cs="Arial"/>
        </w:rPr>
        <w:t xml:space="preserve"> provides a summary of </w:t>
      </w:r>
      <w:r w:rsidR="005D7ED6">
        <w:rPr>
          <w:rFonts w:cs="Arial"/>
        </w:rPr>
        <w:t xml:space="preserve">the </w:t>
      </w:r>
      <w:r w:rsidR="06F52347" w:rsidRPr="37EF2F3F">
        <w:rPr>
          <w:rFonts w:cs="Arial"/>
        </w:rPr>
        <w:t xml:space="preserve">top </w:t>
      </w:r>
      <w:r w:rsidR="005D7ED6">
        <w:rPr>
          <w:rFonts w:cs="Arial"/>
        </w:rPr>
        <w:t>five</w:t>
      </w:r>
      <w:r w:rsidR="06F52347" w:rsidRPr="37EF2F3F">
        <w:rPr>
          <w:rFonts w:cs="Arial"/>
        </w:rPr>
        <w:t xml:space="preserve"> </w:t>
      </w:r>
      <w:r w:rsidRPr="37EF2F3F">
        <w:rPr>
          <w:rFonts w:cs="Arial"/>
        </w:rPr>
        <w:t xml:space="preserve">alleged offences </w:t>
      </w:r>
      <w:r w:rsidR="00AE3661">
        <w:rPr>
          <w:rFonts w:cs="Arial"/>
        </w:rPr>
        <w:t>opened</w:t>
      </w:r>
      <w:r w:rsidR="00AE3661" w:rsidRPr="0BD3A3C6">
        <w:rPr>
          <w:rFonts w:cs="Arial"/>
        </w:rPr>
        <w:t xml:space="preserve"> </w:t>
      </w:r>
      <w:r w:rsidRPr="0BD3A3C6">
        <w:rPr>
          <w:rFonts w:cs="Arial"/>
        </w:rPr>
        <w:t xml:space="preserve">for </w:t>
      </w:r>
      <w:r>
        <w:rPr>
          <w:rFonts w:cs="Arial"/>
        </w:rPr>
        <w:t>i</w:t>
      </w:r>
      <w:r w:rsidRPr="0BD3A3C6">
        <w:rPr>
          <w:rFonts w:cs="Arial"/>
        </w:rPr>
        <w:t>nvestigation</w:t>
      </w:r>
      <w:r>
        <w:rPr>
          <w:rFonts w:cs="Arial"/>
        </w:rPr>
        <w:t xml:space="preserve"> </w:t>
      </w:r>
      <w:r w:rsidRPr="37EF2F3F">
        <w:rPr>
          <w:rFonts w:cs="Arial"/>
        </w:rPr>
        <w:t>over the past five years, highlighting the most frequently occurring types.</w:t>
      </w:r>
    </w:p>
    <w:p w14:paraId="4B281944" w14:textId="43BF97B2" w:rsidR="003A55DE" w:rsidRPr="004C354A" w:rsidRDefault="00F91884" w:rsidP="003A55DE">
      <w:pPr>
        <w:pStyle w:val="Caption"/>
        <w:keepNext/>
        <w:spacing w:before="120" w:after="120"/>
      </w:pPr>
      <w:bookmarkStart w:id="101" w:name="_Ref204671098"/>
      <w:bookmarkStart w:id="102" w:name="_Ref203381600"/>
      <w:r>
        <w:t xml:space="preserve">Table </w:t>
      </w:r>
      <w:bookmarkEnd w:id="101"/>
      <w:r w:rsidR="006C5E7F">
        <w:t>16</w:t>
      </w:r>
      <w:r>
        <w:fldChar w:fldCharType="begin"/>
      </w:r>
      <w:r>
        <w:instrText>SEQ Table \* ARABIC</w:instrText>
      </w:r>
      <w:r>
        <w:fldChar w:fldCharType="separate"/>
      </w:r>
      <w:r>
        <w:fldChar w:fldCharType="end"/>
      </w:r>
      <w:bookmarkEnd w:id="102"/>
      <w:r>
        <w:t xml:space="preserve">: Number of alleged offences </w:t>
      </w:r>
      <w:r w:rsidR="53BEC1E5">
        <w:t>(</w:t>
      </w:r>
      <w:r w:rsidR="005D7ED6">
        <w:t>t</w:t>
      </w:r>
      <w:r w:rsidR="53BEC1E5">
        <w:t xml:space="preserve">op </w:t>
      </w:r>
      <w:r w:rsidR="00ED3B31">
        <w:t>five</w:t>
      </w:r>
      <w:r w:rsidR="53BEC1E5">
        <w:t>)</w:t>
      </w:r>
      <w:r w:rsidR="418F23C3">
        <w:t xml:space="preserve"> </w:t>
      </w:r>
      <w:r w:rsidR="00DE4140">
        <w:t xml:space="preserve">opened </w:t>
      </w:r>
      <w:r>
        <w:t>for investigation over the past five years</w:t>
      </w:r>
    </w:p>
    <w:tbl>
      <w:tblPr>
        <w:tblStyle w:val="TableGrid"/>
        <w:tblW w:w="10454" w:type="dxa"/>
        <w:tblLook w:val="04A0" w:firstRow="1" w:lastRow="0" w:firstColumn="1" w:lastColumn="0" w:noHBand="0" w:noVBand="1"/>
      </w:tblPr>
      <w:tblGrid>
        <w:gridCol w:w="3463"/>
        <w:gridCol w:w="1125"/>
        <w:gridCol w:w="1125"/>
        <w:gridCol w:w="1125"/>
        <w:gridCol w:w="1125"/>
        <w:gridCol w:w="1125"/>
        <w:gridCol w:w="1366"/>
      </w:tblGrid>
      <w:tr w:rsidR="003A55DE" w:rsidRPr="00F112FA" w14:paraId="0DE29866" w14:textId="77777777" w:rsidTr="00035954">
        <w:trPr>
          <w:trHeight w:val="300"/>
        </w:trPr>
        <w:tc>
          <w:tcPr>
            <w:tcW w:w="3463" w:type="dxa"/>
            <w:shd w:val="clear" w:color="auto" w:fill="A6A6A6" w:themeFill="background1" w:themeFillShade="A6"/>
            <w:vAlign w:val="center"/>
          </w:tcPr>
          <w:p w14:paraId="5C5E1F2B" w14:textId="6D83626D" w:rsidR="003A55DE" w:rsidRPr="00F112FA" w:rsidRDefault="001F78EE" w:rsidP="00300163">
            <w:pPr>
              <w:rPr>
                <w:rFonts w:cs="Arial"/>
                <w:b/>
              </w:rPr>
            </w:pPr>
            <w:r>
              <w:rPr>
                <w:rFonts w:cs="Arial"/>
                <w:b/>
                <w:szCs w:val="22"/>
              </w:rPr>
              <w:t>Alleged o</w:t>
            </w:r>
            <w:r w:rsidR="006C6181">
              <w:rPr>
                <w:rFonts w:cs="Arial"/>
                <w:b/>
                <w:szCs w:val="22"/>
              </w:rPr>
              <w:t>ffence</w:t>
            </w:r>
          </w:p>
        </w:tc>
        <w:tc>
          <w:tcPr>
            <w:tcW w:w="1125" w:type="dxa"/>
            <w:tcBorders>
              <w:bottom w:val="single" w:sz="4" w:space="0" w:color="auto"/>
            </w:tcBorders>
            <w:shd w:val="clear" w:color="auto" w:fill="A6A6A6" w:themeFill="background1" w:themeFillShade="A6"/>
            <w:vAlign w:val="center"/>
          </w:tcPr>
          <w:p w14:paraId="21DE89D1" w14:textId="77777777" w:rsidR="003A55DE" w:rsidRPr="00F112FA" w:rsidRDefault="003A55DE" w:rsidP="00300163">
            <w:pPr>
              <w:rPr>
                <w:rFonts w:cs="Arial"/>
                <w:b/>
                <w:szCs w:val="22"/>
              </w:rPr>
            </w:pPr>
            <w:r w:rsidRPr="00F112FA">
              <w:rPr>
                <w:rFonts w:cs="Arial"/>
                <w:b/>
                <w:szCs w:val="22"/>
              </w:rPr>
              <w:t>2020</w:t>
            </w:r>
            <w:r w:rsidRPr="00E27662">
              <w:rPr>
                <w:rFonts w:cs="Arial"/>
                <w:szCs w:val="22"/>
              </w:rPr>
              <w:t>–</w:t>
            </w:r>
            <w:r w:rsidRPr="00F112FA">
              <w:rPr>
                <w:rFonts w:cs="Arial"/>
                <w:b/>
                <w:szCs w:val="22"/>
              </w:rPr>
              <w:t>21</w:t>
            </w:r>
          </w:p>
        </w:tc>
        <w:tc>
          <w:tcPr>
            <w:tcW w:w="1125" w:type="dxa"/>
            <w:tcBorders>
              <w:bottom w:val="single" w:sz="4" w:space="0" w:color="auto"/>
            </w:tcBorders>
            <w:shd w:val="clear" w:color="auto" w:fill="A6A6A6" w:themeFill="background1" w:themeFillShade="A6"/>
            <w:vAlign w:val="center"/>
          </w:tcPr>
          <w:p w14:paraId="7159DE8E" w14:textId="77777777" w:rsidR="003A55DE" w:rsidRPr="00F112FA" w:rsidRDefault="003A55DE" w:rsidP="00300163">
            <w:pPr>
              <w:rPr>
                <w:rFonts w:cs="Arial"/>
                <w:b/>
                <w:szCs w:val="22"/>
              </w:rPr>
            </w:pPr>
            <w:r w:rsidRPr="00F112FA">
              <w:rPr>
                <w:rFonts w:cs="Arial"/>
                <w:b/>
                <w:szCs w:val="22"/>
              </w:rPr>
              <w:t>2021</w:t>
            </w:r>
            <w:r w:rsidRPr="00E27662">
              <w:rPr>
                <w:rFonts w:cs="Arial"/>
                <w:szCs w:val="22"/>
              </w:rPr>
              <w:t>–</w:t>
            </w:r>
            <w:r w:rsidRPr="00F112FA">
              <w:rPr>
                <w:rFonts w:cs="Arial"/>
                <w:b/>
                <w:szCs w:val="22"/>
              </w:rPr>
              <w:t>22</w:t>
            </w:r>
          </w:p>
        </w:tc>
        <w:tc>
          <w:tcPr>
            <w:tcW w:w="1125" w:type="dxa"/>
            <w:tcBorders>
              <w:bottom w:val="single" w:sz="4" w:space="0" w:color="auto"/>
            </w:tcBorders>
            <w:shd w:val="clear" w:color="auto" w:fill="A6A6A6" w:themeFill="background1" w:themeFillShade="A6"/>
            <w:vAlign w:val="center"/>
          </w:tcPr>
          <w:p w14:paraId="1FBBE04E" w14:textId="77777777" w:rsidR="003A55DE" w:rsidRPr="00F112FA" w:rsidRDefault="003A55DE" w:rsidP="00300163">
            <w:pPr>
              <w:rPr>
                <w:rFonts w:cs="Arial"/>
                <w:b/>
                <w:szCs w:val="22"/>
              </w:rPr>
            </w:pPr>
            <w:r w:rsidRPr="00F112FA">
              <w:rPr>
                <w:rFonts w:cs="Arial"/>
                <w:b/>
                <w:szCs w:val="22"/>
              </w:rPr>
              <w:t>2022</w:t>
            </w:r>
            <w:r w:rsidRPr="00E27662">
              <w:rPr>
                <w:rFonts w:cs="Arial"/>
                <w:szCs w:val="22"/>
              </w:rPr>
              <w:t>–</w:t>
            </w:r>
            <w:r w:rsidRPr="00F112FA">
              <w:rPr>
                <w:rFonts w:cs="Arial"/>
                <w:b/>
                <w:szCs w:val="22"/>
              </w:rPr>
              <w:t>23</w:t>
            </w:r>
          </w:p>
        </w:tc>
        <w:tc>
          <w:tcPr>
            <w:tcW w:w="1125" w:type="dxa"/>
            <w:tcBorders>
              <w:bottom w:val="single" w:sz="4" w:space="0" w:color="auto"/>
            </w:tcBorders>
            <w:shd w:val="clear" w:color="auto" w:fill="A6A6A6" w:themeFill="background1" w:themeFillShade="A6"/>
            <w:vAlign w:val="center"/>
          </w:tcPr>
          <w:p w14:paraId="0598C76A" w14:textId="77777777" w:rsidR="003A55DE" w:rsidRPr="00F112FA" w:rsidRDefault="003A55DE" w:rsidP="00300163">
            <w:pPr>
              <w:rPr>
                <w:rFonts w:cs="Arial"/>
                <w:b/>
                <w:szCs w:val="22"/>
              </w:rPr>
            </w:pPr>
            <w:r w:rsidRPr="00F112FA">
              <w:rPr>
                <w:rFonts w:cs="Arial"/>
                <w:b/>
                <w:szCs w:val="22"/>
              </w:rPr>
              <w:t>2023</w:t>
            </w:r>
            <w:r w:rsidRPr="00E27662">
              <w:rPr>
                <w:rFonts w:cs="Arial"/>
                <w:szCs w:val="22"/>
              </w:rPr>
              <w:t>–</w:t>
            </w:r>
            <w:r w:rsidRPr="00F112FA">
              <w:rPr>
                <w:rFonts w:cs="Arial"/>
                <w:b/>
                <w:szCs w:val="22"/>
              </w:rPr>
              <w:t>24</w:t>
            </w:r>
          </w:p>
        </w:tc>
        <w:tc>
          <w:tcPr>
            <w:tcW w:w="1125" w:type="dxa"/>
            <w:tcBorders>
              <w:bottom w:val="single" w:sz="4" w:space="0" w:color="auto"/>
            </w:tcBorders>
            <w:shd w:val="clear" w:color="auto" w:fill="A6A6A6" w:themeFill="background1" w:themeFillShade="A6"/>
            <w:vAlign w:val="center"/>
          </w:tcPr>
          <w:p w14:paraId="5126CE07" w14:textId="77777777" w:rsidR="003A55DE" w:rsidRPr="00C26F38" w:rsidRDefault="003A55DE" w:rsidP="00300163">
            <w:pPr>
              <w:rPr>
                <w:rFonts w:cs="Arial"/>
                <w:b/>
                <w:szCs w:val="22"/>
              </w:rPr>
            </w:pPr>
            <w:r w:rsidRPr="00C26F38">
              <w:rPr>
                <w:rFonts w:cs="Arial"/>
                <w:b/>
                <w:szCs w:val="22"/>
              </w:rPr>
              <w:t>2024</w:t>
            </w:r>
            <w:r w:rsidRPr="00E27662">
              <w:rPr>
                <w:rFonts w:cs="Arial"/>
                <w:szCs w:val="22"/>
              </w:rPr>
              <w:t>–</w:t>
            </w:r>
            <w:r w:rsidRPr="00C26F38">
              <w:rPr>
                <w:rFonts w:cs="Arial"/>
                <w:b/>
                <w:szCs w:val="22"/>
              </w:rPr>
              <w:t>25</w:t>
            </w:r>
          </w:p>
        </w:tc>
        <w:tc>
          <w:tcPr>
            <w:tcW w:w="1366" w:type="dxa"/>
            <w:tcBorders>
              <w:bottom w:val="single" w:sz="4" w:space="0" w:color="auto"/>
            </w:tcBorders>
            <w:shd w:val="clear" w:color="auto" w:fill="A6A6A6" w:themeFill="background1" w:themeFillShade="A6"/>
            <w:vAlign w:val="center"/>
          </w:tcPr>
          <w:p w14:paraId="58BAB5F0" w14:textId="7F67CDED" w:rsidR="003A55DE" w:rsidRPr="00AF4545" w:rsidRDefault="006C6181" w:rsidP="00300163">
            <w:pPr>
              <w:rPr>
                <w:rFonts w:cs="Arial"/>
                <w:b/>
              </w:rPr>
            </w:pPr>
            <w:r>
              <w:rPr>
                <w:rFonts w:cs="Arial"/>
                <w:b/>
              </w:rPr>
              <w:t>Total</w:t>
            </w:r>
          </w:p>
        </w:tc>
      </w:tr>
      <w:tr w:rsidR="003A55DE" w:rsidRPr="00F112FA" w14:paraId="0905CFB8" w14:textId="77777777" w:rsidTr="00035954">
        <w:trPr>
          <w:trHeight w:val="300"/>
        </w:trPr>
        <w:tc>
          <w:tcPr>
            <w:tcW w:w="3463" w:type="dxa"/>
            <w:vAlign w:val="center"/>
          </w:tcPr>
          <w:p w14:paraId="48FD3D39" w14:textId="77777777" w:rsidR="003A55DE" w:rsidRPr="00F112FA" w:rsidRDefault="003A55DE" w:rsidP="00300163">
            <w:pPr>
              <w:rPr>
                <w:rFonts w:cs="Arial"/>
              </w:rPr>
            </w:pPr>
            <w:r w:rsidRPr="37EF2F3F">
              <w:rPr>
                <w:rFonts w:cs="Arial"/>
              </w:rPr>
              <w:t>Breaches of domestic building contract requirements</w:t>
            </w:r>
          </w:p>
        </w:tc>
        <w:tc>
          <w:tcPr>
            <w:tcW w:w="1125" w:type="dxa"/>
            <w:vAlign w:val="center"/>
          </w:tcPr>
          <w:p w14:paraId="36228814" w14:textId="77777777" w:rsidR="003A55DE" w:rsidRPr="00F112FA" w:rsidRDefault="003A55DE" w:rsidP="00300163">
            <w:pPr>
              <w:rPr>
                <w:rFonts w:cs="Arial"/>
                <w:szCs w:val="22"/>
              </w:rPr>
            </w:pPr>
            <w:r w:rsidRPr="00F112FA">
              <w:rPr>
                <w:rFonts w:cs="Arial"/>
                <w:szCs w:val="22"/>
              </w:rPr>
              <w:t>563</w:t>
            </w:r>
          </w:p>
        </w:tc>
        <w:tc>
          <w:tcPr>
            <w:tcW w:w="1125" w:type="dxa"/>
            <w:vAlign w:val="center"/>
          </w:tcPr>
          <w:p w14:paraId="65CB2EF8" w14:textId="77777777" w:rsidR="003A55DE" w:rsidRPr="00F112FA" w:rsidRDefault="003A55DE" w:rsidP="00300163">
            <w:pPr>
              <w:rPr>
                <w:rFonts w:cs="Arial"/>
                <w:szCs w:val="22"/>
              </w:rPr>
            </w:pPr>
            <w:r w:rsidRPr="00F112FA">
              <w:rPr>
                <w:rFonts w:cs="Arial"/>
                <w:szCs w:val="22"/>
              </w:rPr>
              <w:t>719</w:t>
            </w:r>
          </w:p>
        </w:tc>
        <w:tc>
          <w:tcPr>
            <w:tcW w:w="1125" w:type="dxa"/>
            <w:vAlign w:val="center"/>
          </w:tcPr>
          <w:p w14:paraId="3ED5D9C7" w14:textId="77777777" w:rsidR="003A55DE" w:rsidRPr="00F112FA" w:rsidRDefault="003A55DE" w:rsidP="00300163">
            <w:pPr>
              <w:spacing w:line="259" w:lineRule="auto"/>
              <w:rPr>
                <w:rFonts w:eastAsia="Arial" w:cs="Arial"/>
                <w:szCs w:val="22"/>
              </w:rPr>
            </w:pPr>
            <w:r w:rsidRPr="00F112FA">
              <w:rPr>
                <w:rFonts w:cs="Arial"/>
                <w:szCs w:val="22"/>
              </w:rPr>
              <w:t>812</w:t>
            </w:r>
          </w:p>
        </w:tc>
        <w:tc>
          <w:tcPr>
            <w:tcW w:w="1125" w:type="dxa"/>
            <w:vAlign w:val="center"/>
          </w:tcPr>
          <w:p w14:paraId="2D108089" w14:textId="77777777" w:rsidR="003A55DE" w:rsidRPr="00F112FA" w:rsidRDefault="003A55DE" w:rsidP="00300163">
            <w:pPr>
              <w:spacing w:line="259" w:lineRule="auto"/>
              <w:rPr>
                <w:rFonts w:cs="Arial"/>
                <w:szCs w:val="22"/>
              </w:rPr>
            </w:pPr>
            <w:r w:rsidRPr="00F112FA">
              <w:rPr>
                <w:rFonts w:cs="Arial"/>
                <w:szCs w:val="22"/>
              </w:rPr>
              <w:t>470</w:t>
            </w:r>
          </w:p>
        </w:tc>
        <w:tc>
          <w:tcPr>
            <w:tcW w:w="1125" w:type="dxa"/>
            <w:vAlign w:val="center"/>
          </w:tcPr>
          <w:p w14:paraId="6D1FC80E" w14:textId="77777777" w:rsidR="003A55DE" w:rsidRPr="00183081" w:rsidRDefault="003A55DE" w:rsidP="00300163">
            <w:pPr>
              <w:spacing w:line="259" w:lineRule="auto"/>
              <w:rPr>
                <w:rFonts w:cs="Arial"/>
              </w:rPr>
            </w:pPr>
            <w:r w:rsidRPr="00183081">
              <w:rPr>
                <w:rFonts w:cs="Arial"/>
              </w:rPr>
              <w:t>413</w:t>
            </w:r>
          </w:p>
        </w:tc>
        <w:tc>
          <w:tcPr>
            <w:tcW w:w="1366" w:type="dxa"/>
            <w:vAlign w:val="center"/>
          </w:tcPr>
          <w:p w14:paraId="774ABB71" w14:textId="0DDDEBCB" w:rsidR="003A55DE" w:rsidRPr="00183081" w:rsidRDefault="003A55DE" w:rsidP="00300163">
            <w:pPr>
              <w:spacing w:line="259" w:lineRule="auto"/>
              <w:rPr>
                <w:rFonts w:cs="Arial"/>
              </w:rPr>
            </w:pPr>
            <w:r w:rsidRPr="00183081">
              <w:rPr>
                <w:rFonts w:cs="Arial"/>
              </w:rPr>
              <w:t>2</w:t>
            </w:r>
            <w:r w:rsidR="00183081">
              <w:rPr>
                <w:rFonts w:cs="Arial"/>
              </w:rPr>
              <w:t>,</w:t>
            </w:r>
            <w:r w:rsidRPr="00183081">
              <w:rPr>
                <w:rFonts w:cs="Arial"/>
              </w:rPr>
              <w:t>977</w:t>
            </w:r>
          </w:p>
        </w:tc>
      </w:tr>
      <w:tr w:rsidR="003A55DE" w:rsidRPr="00F112FA" w14:paraId="0684EB74" w14:textId="77777777" w:rsidTr="00035954">
        <w:trPr>
          <w:trHeight w:val="300"/>
        </w:trPr>
        <w:tc>
          <w:tcPr>
            <w:tcW w:w="3463" w:type="dxa"/>
            <w:vAlign w:val="center"/>
          </w:tcPr>
          <w:p w14:paraId="3EFE8E73" w14:textId="77777777" w:rsidR="003A55DE" w:rsidRPr="00F112FA" w:rsidRDefault="003A55DE" w:rsidP="00300163">
            <w:pPr>
              <w:rPr>
                <w:rFonts w:cs="Arial"/>
                <w:szCs w:val="22"/>
              </w:rPr>
            </w:pPr>
            <w:r w:rsidRPr="00F112FA">
              <w:rPr>
                <w:rFonts w:cs="Arial"/>
                <w:szCs w:val="22"/>
              </w:rPr>
              <w:t>Unlicensed contracting</w:t>
            </w:r>
          </w:p>
        </w:tc>
        <w:tc>
          <w:tcPr>
            <w:tcW w:w="1125" w:type="dxa"/>
            <w:vAlign w:val="center"/>
          </w:tcPr>
          <w:p w14:paraId="46ABABFE" w14:textId="77777777" w:rsidR="003A55DE" w:rsidRPr="00F112FA" w:rsidRDefault="003A55DE" w:rsidP="00300163">
            <w:pPr>
              <w:rPr>
                <w:rFonts w:cs="Arial"/>
                <w:szCs w:val="22"/>
              </w:rPr>
            </w:pPr>
            <w:r w:rsidRPr="00F112FA">
              <w:rPr>
                <w:rFonts w:cs="Arial"/>
                <w:szCs w:val="22"/>
              </w:rPr>
              <w:t>565</w:t>
            </w:r>
          </w:p>
        </w:tc>
        <w:tc>
          <w:tcPr>
            <w:tcW w:w="1125" w:type="dxa"/>
            <w:vAlign w:val="center"/>
          </w:tcPr>
          <w:p w14:paraId="42F1FD6C" w14:textId="77777777" w:rsidR="003A55DE" w:rsidRPr="00F112FA" w:rsidRDefault="003A55DE" w:rsidP="00300163">
            <w:pPr>
              <w:rPr>
                <w:rFonts w:cs="Arial"/>
                <w:szCs w:val="22"/>
              </w:rPr>
            </w:pPr>
            <w:r w:rsidRPr="00F112FA">
              <w:rPr>
                <w:rFonts w:cs="Arial"/>
                <w:szCs w:val="22"/>
              </w:rPr>
              <w:t>651</w:t>
            </w:r>
          </w:p>
        </w:tc>
        <w:tc>
          <w:tcPr>
            <w:tcW w:w="1125" w:type="dxa"/>
            <w:vAlign w:val="center"/>
          </w:tcPr>
          <w:p w14:paraId="58940361" w14:textId="77777777" w:rsidR="003A55DE" w:rsidRPr="00F112FA" w:rsidRDefault="003A55DE" w:rsidP="00300163">
            <w:pPr>
              <w:spacing w:line="259" w:lineRule="auto"/>
              <w:rPr>
                <w:rFonts w:eastAsia="Arial" w:cs="Arial"/>
                <w:szCs w:val="22"/>
              </w:rPr>
            </w:pPr>
            <w:r w:rsidRPr="00F112FA">
              <w:rPr>
                <w:rFonts w:cs="Arial"/>
                <w:szCs w:val="22"/>
              </w:rPr>
              <w:t xml:space="preserve">735 </w:t>
            </w:r>
          </w:p>
        </w:tc>
        <w:tc>
          <w:tcPr>
            <w:tcW w:w="1125" w:type="dxa"/>
            <w:vAlign w:val="center"/>
          </w:tcPr>
          <w:p w14:paraId="415296B3" w14:textId="77777777" w:rsidR="003A55DE" w:rsidRPr="00F112FA" w:rsidRDefault="003A55DE" w:rsidP="00300163">
            <w:pPr>
              <w:spacing w:line="259" w:lineRule="auto"/>
              <w:rPr>
                <w:rFonts w:cs="Arial"/>
                <w:szCs w:val="22"/>
              </w:rPr>
            </w:pPr>
            <w:r w:rsidRPr="00F112FA">
              <w:rPr>
                <w:rFonts w:cs="Arial"/>
                <w:szCs w:val="22"/>
              </w:rPr>
              <w:t>836</w:t>
            </w:r>
          </w:p>
        </w:tc>
        <w:tc>
          <w:tcPr>
            <w:tcW w:w="1125" w:type="dxa"/>
            <w:vAlign w:val="center"/>
          </w:tcPr>
          <w:p w14:paraId="186C318A" w14:textId="77777777" w:rsidR="003A55DE" w:rsidRPr="00183081" w:rsidRDefault="003A55DE" w:rsidP="00300163">
            <w:pPr>
              <w:spacing w:line="259" w:lineRule="auto"/>
              <w:rPr>
                <w:rFonts w:cs="Arial"/>
              </w:rPr>
            </w:pPr>
            <w:r w:rsidRPr="00183081">
              <w:rPr>
                <w:rFonts w:cs="Arial"/>
              </w:rPr>
              <w:t>864</w:t>
            </w:r>
          </w:p>
        </w:tc>
        <w:tc>
          <w:tcPr>
            <w:tcW w:w="1366" w:type="dxa"/>
            <w:vAlign w:val="center"/>
          </w:tcPr>
          <w:p w14:paraId="09B52CD0" w14:textId="292CF52C" w:rsidR="003A55DE" w:rsidRPr="00183081" w:rsidRDefault="003A55DE" w:rsidP="00300163">
            <w:pPr>
              <w:spacing w:line="259" w:lineRule="auto"/>
              <w:rPr>
                <w:rFonts w:cs="Arial"/>
              </w:rPr>
            </w:pPr>
            <w:r w:rsidRPr="00183081">
              <w:rPr>
                <w:rFonts w:cs="Arial"/>
              </w:rPr>
              <w:t>3</w:t>
            </w:r>
            <w:r w:rsidR="00183081">
              <w:rPr>
                <w:rFonts w:cs="Arial"/>
              </w:rPr>
              <w:t>,</w:t>
            </w:r>
            <w:r w:rsidRPr="00183081">
              <w:rPr>
                <w:rFonts w:cs="Arial"/>
              </w:rPr>
              <w:t>651</w:t>
            </w:r>
          </w:p>
        </w:tc>
      </w:tr>
      <w:tr w:rsidR="003A55DE" w:rsidRPr="00F112FA" w14:paraId="5AFC62CE" w14:textId="77777777" w:rsidTr="00035954">
        <w:trPr>
          <w:trHeight w:val="300"/>
        </w:trPr>
        <w:tc>
          <w:tcPr>
            <w:tcW w:w="3463" w:type="dxa"/>
            <w:vAlign w:val="center"/>
          </w:tcPr>
          <w:p w14:paraId="344963FC" w14:textId="77777777" w:rsidR="003A55DE" w:rsidRPr="00F112FA" w:rsidRDefault="003A55DE" w:rsidP="00300163">
            <w:pPr>
              <w:rPr>
                <w:rFonts w:cs="Arial"/>
              </w:rPr>
            </w:pPr>
            <w:r w:rsidRPr="37EF2F3F">
              <w:rPr>
                <w:rFonts w:cs="Arial"/>
              </w:rPr>
              <w:t>Insurance-related non-compliance</w:t>
            </w:r>
          </w:p>
        </w:tc>
        <w:tc>
          <w:tcPr>
            <w:tcW w:w="1125" w:type="dxa"/>
            <w:vAlign w:val="center"/>
          </w:tcPr>
          <w:p w14:paraId="7E8D7FC7" w14:textId="77777777" w:rsidR="003A55DE" w:rsidRPr="00F112FA" w:rsidRDefault="003A55DE" w:rsidP="00300163">
            <w:pPr>
              <w:rPr>
                <w:rFonts w:cs="Arial"/>
                <w:szCs w:val="22"/>
              </w:rPr>
            </w:pPr>
            <w:r w:rsidRPr="00F112FA">
              <w:rPr>
                <w:rFonts w:cs="Arial"/>
                <w:szCs w:val="22"/>
              </w:rPr>
              <w:t>386</w:t>
            </w:r>
          </w:p>
        </w:tc>
        <w:tc>
          <w:tcPr>
            <w:tcW w:w="1125" w:type="dxa"/>
            <w:vAlign w:val="center"/>
          </w:tcPr>
          <w:p w14:paraId="156BEF34" w14:textId="77777777" w:rsidR="003A55DE" w:rsidRPr="00F112FA" w:rsidRDefault="003A55DE" w:rsidP="00300163">
            <w:pPr>
              <w:rPr>
                <w:rFonts w:cs="Arial"/>
                <w:szCs w:val="22"/>
              </w:rPr>
            </w:pPr>
            <w:r w:rsidRPr="00F112FA">
              <w:rPr>
                <w:rFonts w:cs="Arial"/>
                <w:szCs w:val="22"/>
              </w:rPr>
              <w:t>312</w:t>
            </w:r>
          </w:p>
        </w:tc>
        <w:tc>
          <w:tcPr>
            <w:tcW w:w="1125" w:type="dxa"/>
            <w:vAlign w:val="center"/>
          </w:tcPr>
          <w:p w14:paraId="68C465BF" w14:textId="77777777" w:rsidR="003A55DE" w:rsidRPr="00F112FA" w:rsidRDefault="003A55DE" w:rsidP="00300163">
            <w:pPr>
              <w:spacing w:line="259" w:lineRule="auto"/>
              <w:rPr>
                <w:rFonts w:eastAsia="Arial" w:cs="Arial"/>
                <w:szCs w:val="22"/>
              </w:rPr>
            </w:pPr>
            <w:r w:rsidRPr="00F112FA">
              <w:rPr>
                <w:rFonts w:cs="Arial"/>
                <w:szCs w:val="22"/>
              </w:rPr>
              <w:t>339</w:t>
            </w:r>
          </w:p>
        </w:tc>
        <w:tc>
          <w:tcPr>
            <w:tcW w:w="1125" w:type="dxa"/>
            <w:vAlign w:val="center"/>
          </w:tcPr>
          <w:p w14:paraId="518031A5" w14:textId="77777777" w:rsidR="003A55DE" w:rsidRPr="00F112FA" w:rsidRDefault="003A55DE" w:rsidP="00300163">
            <w:pPr>
              <w:spacing w:line="259" w:lineRule="auto"/>
              <w:rPr>
                <w:rFonts w:cs="Arial"/>
                <w:szCs w:val="22"/>
              </w:rPr>
            </w:pPr>
            <w:r w:rsidRPr="00F112FA">
              <w:rPr>
                <w:rFonts w:cs="Arial"/>
                <w:szCs w:val="22"/>
              </w:rPr>
              <w:t>316</w:t>
            </w:r>
          </w:p>
        </w:tc>
        <w:tc>
          <w:tcPr>
            <w:tcW w:w="1125" w:type="dxa"/>
            <w:vAlign w:val="center"/>
          </w:tcPr>
          <w:p w14:paraId="3DFD57F0" w14:textId="77777777" w:rsidR="003A55DE" w:rsidRPr="00183081" w:rsidRDefault="003A55DE" w:rsidP="00300163">
            <w:pPr>
              <w:spacing w:line="259" w:lineRule="auto"/>
              <w:rPr>
                <w:rFonts w:cs="Arial"/>
              </w:rPr>
            </w:pPr>
            <w:r w:rsidRPr="00183081">
              <w:rPr>
                <w:rFonts w:cs="Arial"/>
              </w:rPr>
              <w:t>339</w:t>
            </w:r>
          </w:p>
        </w:tc>
        <w:tc>
          <w:tcPr>
            <w:tcW w:w="1366" w:type="dxa"/>
            <w:vAlign w:val="center"/>
          </w:tcPr>
          <w:p w14:paraId="3B237997" w14:textId="308DFC47" w:rsidR="003A55DE" w:rsidRPr="00183081" w:rsidRDefault="003A55DE" w:rsidP="00300163">
            <w:pPr>
              <w:spacing w:line="259" w:lineRule="auto"/>
              <w:rPr>
                <w:rFonts w:cs="Arial"/>
              </w:rPr>
            </w:pPr>
            <w:r w:rsidRPr="00183081">
              <w:rPr>
                <w:rFonts w:cs="Arial"/>
              </w:rPr>
              <w:t>1</w:t>
            </w:r>
            <w:r w:rsidR="00183081">
              <w:rPr>
                <w:rFonts w:cs="Arial"/>
              </w:rPr>
              <w:t>,</w:t>
            </w:r>
            <w:r w:rsidRPr="00183081">
              <w:rPr>
                <w:rFonts w:cs="Arial"/>
              </w:rPr>
              <w:t>692</w:t>
            </w:r>
          </w:p>
        </w:tc>
      </w:tr>
      <w:tr w:rsidR="003A55DE" w:rsidRPr="00F112FA" w14:paraId="2985AE04" w14:textId="77777777" w:rsidTr="00035954">
        <w:trPr>
          <w:trHeight w:val="300"/>
        </w:trPr>
        <w:tc>
          <w:tcPr>
            <w:tcW w:w="3463" w:type="dxa"/>
            <w:vAlign w:val="center"/>
          </w:tcPr>
          <w:p w14:paraId="1F676795" w14:textId="77777777" w:rsidR="003A55DE" w:rsidRPr="00F112FA" w:rsidRDefault="003A55DE" w:rsidP="00300163">
            <w:pPr>
              <w:rPr>
                <w:rFonts w:cs="Arial"/>
              </w:rPr>
            </w:pPr>
            <w:r w:rsidRPr="37EF2F3F">
              <w:rPr>
                <w:rFonts w:cs="Arial"/>
              </w:rPr>
              <w:t>False or misleading advertising</w:t>
            </w:r>
          </w:p>
        </w:tc>
        <w:tc>
          <w:tcPr>
            <w:tcW w:w="1125" w:type="dxa"/>
            <w:vAlign w:val="center"/>
          </w:tcPr>
          <w:p w14:paraId="5CFD8470" w14:textId="77777777" w:rsidR="003A55DE" w:rsidRPr="00F112FA" w:rsidRDefault="003A55DE" w:rsidP="00300163">
            <w:pPr>
              <w:rPr>
                <w:rFonts w:cs="Arial"/>
                <w:szCs w:val="22"/>
              </w:rPr>
            </w:pPr>
            <w:r w:rsidRPr="00F112FA">
              <w:rPr>
                <w:rFonts w:cs="Arial"/>
                <w:szCs w:val="22"/>
              </w:rPr>
              <w:t>243</w:t>
            </w:r>
          </w:p>
        </w:tc>
        <w:tc>
          <w:tcPr>
            <w:tcW w:w="1125" w:type="dxa"/>
            <w:vAlign w:val="center"/>
          </w:tcPr>
          <w:p w14:paraId="04CE9734" w14:textId="77777777" w:rsidR="003A55DE" w:rsidRPr="00F112FA" w:rsidRDefault="003A55DE" w:rsidP="00300163">
            <w:pPr>
              <w:rPr>
                <w:rFonts w:cs="Arial"/>
                <w:szCs w:val="22"/>
              </w:rPr>
            </w:pPr>
            <w:r w:rsidRPr="00F112FA">
              <w:rPr>
                <w:rFonts w:cs="Arial"/>
                <w:szCs w:val="22"/>
              </w:rPr>
              <w:t>354</w:t>
            </w:r>
          </w:p>
        </w:tc>
        <w:tc>
          <w:tcPr>
            <w:tcW w:w="1125" w:type="dxa"/>
            <w:vAlign w:val="center"/>
          </w:tcPr>
          <w:p w14:paraId="048B698E" w14:textId="77777777" w:rsidR="003A55DE" w:rsidRPr="00F112FA" w:rsidRDefault="003A55DE" w:rsidP="00300163">
            <w:pPr>
              <w:spacing w:line="259" w:lineRule="auto"/>
              <w:rPr>
                <w:rFonts w:eastAsia="Arial" w:cs="Arial"/>
                <w:szCs w:val="22"/>
              </w:rPr>
            </w:pPr>
            <w:r w:rsidRPr="00F112FA">
              <w:rPr>
                <w:rFonts w:cs="Arial"/>
                <w:szCs w:val="22"/>
              </w:rPr>
              <w:t>320</w:t>
            </w:r>
          </w:p>
        </w:tc>
        <w:tc>
          <w:tcPr>
            <w:tcW w:w="1125" w:type="dxa"/>
            <w:vAlign w:val="center"/>
          </w:tcPr>
          <w:p w14:paraId="735D20E2" w14:textId="77777777" w:rsidR="003A55DE" w:rsidRPr="00F112FA" w:rsidRDefault="003A55DE" w:rsidP="00300163">
            <w:pPr>
              <w:spacing w:line="259" w:lineRule="auto"/>
              <w:rPr>
                <w:rFonts w:cs="Arial"/>
                <w:szCs w:val="22"/>
              </w:rPr>
            </w:pPr>
            <w:r w:rsidRPr="00F112FA">
              <w:rPr>
                <w:rFonts w:cs="Arial"/>
                <w:szCs w:val="22"/>
              </w:rPr>
              <w:t>124</w:t>
            </w:r>
          </w:p>
        </w:tc>
        <w:tc>
          <w:tcPr>
            <w:tcW w:w="1125" w:type="dxa"/>
            <w:vAlign w:val="center"/>
          </w:tcPr>
          <w:p w14:paraId="56C37610" w14:textId="7457740C" w:rsidR="003A55DE" w:rsidRPr="00183081" w:rsidRDefault="003A55DE" w:rsidP="00300163">
            <w:pPr>
              <w:spacing w:line="259" w:lineRule="auto"/>
              <w:rPr>
                <w:rFonts w:cs="Arial"/>
              </w:rPr>
            </w:pPr>
            <w:r w:rsidRPr="00183081">
              <w:rPr>
                <w:rFonts w:cs="Arial"/>
              </w:rPr>
              <w:t>77</w:t>
            </w:r>
          </w:p>
        </w:tc>
        <w:tc>
          <w:tcPr>
            <w:tcW w:w="1366" w:type="dxa"/>
            <w:vAlign w:val="center"/>
          </w:tcPr>
          <w:p w14:paraId="23951650" w14:textId="5A0BF103" w:rsidR="003A55DE" w:rsidRPr="00183081" w:rsidRDefault="003A55DE" w:rsidP="00300163">
            <w:pPr>
              <w:spacing w:line="259" w:lineRule="auto"/>
              <w:rPr>
                <w:rFonts w:cs="Arial"/>
              </w:rPr>
            </w:pPr>
            <w:r w:rsidRPr="00183081">
              <w:rPr>
                <w:rFonts w:cs="Arial"/>
              </w:rPr>
              <w:t>1</w:t>
            </w:r>
            <w:r w:rsidR="00183081">
              <w:rPr>
                <w:rFonts w:cs="Arial"/>
              </w:rPr>
              <w:t>,</w:t>
            </w:r>
            <w:r w:rsidRPr="00183081">
              <w:rPr>
                <w:rFonts w:cs="Arial"/>
              </w:rPr>
              <w:t>118</w:t>
            </w:r>
          </w:p>
        </w:tc>
      </w:tr>
      <w:tr w:rsidR="003A55DE" w:rsidRPr="00F112FA" w14:paraId="0FD1B0A2" w14:textId="77777777" w:rsidTr="00035954">
        <w:trPr>
          <w:trHeight w:val="300"/>
        </w:trPr>
        <w:tc>
          <w:tcPr>
            <w:tcW w:w="3463" w:type="dxa"/>
            <w:vAlign w:val="center"/>
          </w:tcPr>
          <w:p w14:paraId="087196B7" w14:textId="77777777" w:rsidR="003A55DE" w:rsidRPr="00F112FA" w:rsidRDefault="003A55DE" w:rsidP="00300163">
            <w:pPr>
              <w:spacing w:line="259" w:lineRule="auto"/>
              <w:rPr>
                <w:rFonts w:cs="Arial"/>
                <w:szCs w:val="22"/>
              </w:rPr>
            </w:pPr>
            <w:r w:rsidRPr="00F112FA">
              <w:rPr>
                <w:rFonts w:cs="Arial"/>
                <w:szCs w:val="22"/>
              </w:rPr>
              <w:t>Improper use of a licence</w:t>
            </w:r>
          </w:p>
        </w:tc>
        <w:tc>
          <w:tcPr>
            <w:tcW w:w="1125" w:type="dxa"/>
            <w:vAlign w:val="center"/>
          </w:tcPr>
          <w:p w14:paraId="08AF93FF" w14:textId="77777777" w:rsidR="003A55DE" w:rsidRPr="00F112FA" w:rsidRDefault="003A55DE" w:rsidP="00300163">
            <w:pPr>
              <w:spacing w:line="259" w:lineRule="auto"/>
              <w:rPr>
                <w:rFonts w:eastAsia="Arial" w:cs="Arial"/>
                <w:szCs w:val="22"/>
              </w:rPr>
            </w:pPr>
            <w:r w:rsidRPr="00F112FA">
              <w:rPr>
                <w:rFonts w:cs="Arial"/>
                <w:szCs w:val="22"/>
              </w:rPr>
              <w:t>125</w:t>
            </w:r>
          </w:p>
        </w:tc>
        <w:tc>
          <w:tcPr>
            <w:tcW w:w="1125" w:type="dxa"/>
            <w:vAlign w:val="center"/>
          </w:tcPr>
          <w:p w14:paraId="52CD42E0" w14:textId="77777777" w:rsidR="003A55DE" w:rsidRPr="00F112FA" w:rsidRDefault="003A55DE" w:rsidP="00300163">
            <w:pPr>
              <w:spacing w:line="259" w:lineRule="auto"/>
              <w:rPr>
                <w:rFonts w:eastAsia="Arial" w:cs="Arial"/>
                <w:szCs w:val="22"/>
              </w:rPr>
            </w:pPr>
            <w:r w:rsidRPr="00F112FA">
              <w:rPr>
                <w:rFonts w:cs="Arial"/>
                <w:szCs w:val="22"/>
              </w:rPr>
              <w:t>172</w:t>
            </w:r>
          </w:p>
        </w:tc>
        <w:tc>
          <w:tcPr>
            <w:tcW w:w="1125" w:type="dxa"/>
            <w:vAlign w:val="center"/>
          </w:tcPr>
          <w:p w14:paraId="278B6FC8" w14:textId="77777777" w:rsidR="003A55DE" w:rsidRPr="00F112FA" w:rsidRDefault="003A55DE" w:rsidP="00300163">
            <w:pPr>
              <w:rPr>
                <w:rFonts w:cs="Arial"/>
                <w:szCs w:val="22"/>
              </w:rPr>
            </w:pPr>
            <w:r w:rsidRPr="00F112FA">
              <w:rPr>
                <w:rFonts w:cs="Arial"/>
                <w:szCs w:val="22"/>
              </w:rPr>
              <w:t>204</w:t>
            </w:r>
          </w:p>
        </w:tc>
        <w:tc>
          <w:tcPr>
            <w:tcW w:w="1125" w:type="dxa"/>
            <w:vAlign w:val="center"/>
          </w:tcPr>
          <w:p w14:paraId="2B4C0E6B" w14:textId="77777777" w:rsidR="003A55DE" w:rsidRPr="00F112FA" w:rsidRDefault="003A55DE" w:rsidP="00300163">
            <w:pPr>
              <w:rPr>
                <w:rFonts w:cs="Arial"/>
                <w:szCs w:val="22"/>
              </w:rPr>
            </w:pPr>
            <w:r w:rsidRPr="00F112FA">
              <w:rPr>
                <w:rFonts w:cs="Arial"/>
                <w:szCs w:val="22"/>
              </w:rPr>
              <w:t>179</w:t>
            </w:r>
          </w:p>
        </w:tc>
        <w:tc>
          <w:tcPr>
            <w:tcW w:w="1125" w:type="dxa"/>
            <w:vAlign w:val="center"/>
          </w:tcPr>
          <w:p w14:paraId="1FD1F2A5" w14:textId="1729D549" w:rsidR="003A55DE" w:rsidRPr="00183081" w:rsidRDefault="003A55DE" w:rsidP="00300163">
            <w:pPr>
              <w:rPr>
                <w:rFonts w:cs="Arial"/>
              </w:rPr>
            </w:pPr>
            <w:r w:rsidRPr="00183081">
              <w:rPr>
                <w:rFonts w:cs="Arial"/>
              </w:rPr>
              <w:t>181</w:t>
            </w:r>
          </w:p>
        </w:tc>
        <w:tc>
          <w:tcPr>
            <w:tcW w:w="1366" w:type="dxa"/>
            <w:vAlign w:val="center"/>
          </w:tcPr>
          <w:p w14:paraId="54565A43" w14:textId="3AE81927" w:rsidR="003A55DE" w:rsidRPr="00183081" w:rsidRDefault="003A55DE" w:rsidP="00300163">
            <w:pPr>
              <w:rPr>
                <w:rFonts w:cs="Arial"/>
              </w:rPr>
            </w:pPr>
            <w:r w:rsidRPr="00183081">
              <w:rPr>
                <w:rFonts w:cs="Arial"/>
              </w:rPr>
              <w:t>861</w:t>
            </w:r>
          </w:p>
        </w:tc>
      </w:tr>
      <w:tr w:rsidR="00DF25E4" w:rsidRPr="00F112FA" w14:paraId="056BE022" w14:textId="77777777" w:rsidTr="00035954">
        <w:trPr>
          <w:trHeight w:val="300"/>
        </w:trPr>
        <w:tc>
          <w:tcPr>
            <w:tcW w:w="3463" w:type="dxa"/>
            <w:vAlign w:val="center"/>
          </w:tcPr>
          <w:p w14:paraId="5DAEAF35" w14:textId="59BBC324" w:rsidR="00DF25E4" w:rsidRPr="00F112FA" w:rsidRDefault="00DF25E4" w:rsidP="00D850B1">
            <w:pPr>
              <w:spacing w:line="259" w:lineRule="auto"/>
              <w:jc w:val="right"/>
              <w:rPr>
                <w:rFonts w:cs="Arial"/>
                <w:szCs w:val="22"/>
              </w:rPr>
            </w:pPr>
            <w:r>
              <w:rPr>
                <w:rFonts w:cs="Arial"/>
                <w:szCs w:val="22"/>
              </w:rPr>
              <w:t>Total</w:t>
            </w:r>
          </w:p>
        </w:tc>
        <w:tc>
          <w:tcPr>
            <w:tcW w:w="1125" w:type="dxa"/>
            <w:vAlign w:val="center"/>
          </w:tcPr>
          <w:p w14:paraId="11847147" w14:textId="453D53B0" w:rsidR="00DF25E4" w:rsidRPr="00F112FA" w:rsidRDefault="00A95846" w:rsidP="00300163">
            <w:pPr>
              <w:spacing w:line="259" w:lineRule="auto"/>
              <w:rPr>
                <w:rFonts w:cs="Arial"/>
                <w:szCs w:val="22"/>
              </w:rPr>
            </w:pPr>
            <w:r>
              <w:rPr>
                <w:rFonts w:cs="Arial"/>
                <w:szCs w:val="22"/>
              </w:rPr>
              <w:t>1,882</w:t>
            </w:r>
          </w:p>
        </w:tc>
        <w:tc>
          <w:tcPr>
            <w:tcW w:w="1125" w:type="dxa"/>
            <w:vAlign w:val="center"/>
          </w:tcPr>
          <w:p w14:paraId="20FA6F49" w14:textId="6CDC149F" w:rsidR="00DF25E4" w:rsidRPr="00F112FA" w:rsidRDefault="00A95846" w:rsidP="00300163">
            <w:pPr>
              <w:spacing w:line="259" w:lineRule="auto"/>
              <w:rPr>
                <w:rFonts w:cs="Arial"/>
                <w:szCs w:val="22"/>
              </w:rPr>
            </w:pPr>
            <w:r>
              <w:rPr>
                <w:rFonts w:cs="Arial"/>
                <w:szCs w:val="22"/>
              </w:rPr>
              <w:t>2,208</w:t>
            </w:r>
          </w:p>
        </w:tc>
        <w:tc>
          <w:tcPr>
            <w:tcW w:w="1125" w:type="dxa"/>
            <w:vAlign w:val="center"/>
          </w:tcPr>
          <w:p w14:paraId="428C09BA" w14:textId="18C67FC7" w:rsidR="00DF25E4" w:rsidRPr="00F112FA" w:rsidRDefault="00A95846" w:rsidP="00300163">
            <w:pPr>
              <w:rPr>
                <w:rFonts w:cs="Arial"/>
                <w:szCs w:val="22"/>
              </w:rPr>
            </w:pPr>
            <w:r>
              <w:rPr>
                <w:rFonts w:cs="Arial"/>
                <w:szCs w:val="22"/>
              </w:rPr>
              <w:t>2,410</w:t>
            </w:r>
          </w:p>
        </w:tc>
        <w:tc>
          <w:tcPr>
            <w:tcW w:w="1125" w:type="dxa"/>
            <w:vAlign w:val="center"/>
          </w:tcPr>
          <w:p w14:paraId="115E05FB" w14:textId="3DC4E026" w:rsidR="00DF25E4" w:rsidRPr="00F112FA" w:rsidRDefault="000916C3" w:rsidP="00300163">
            <w:pPr>
              <w:rPr>
                <w:rFonts w:cs="Arial"/>
                <w:szCs w:val="22"/>
              </w:rPr>
            </w:pPr>
            <w:r>
              <w:rPr>
                <w:rFonts w:cs="Arial"/>
                <w:szCs w:val="22"/>
              </w:rPr>
              <w:t>1,925</w:t>
            </w:r>
          </w:p>
        </w:tc>
        <w:tc>
          <w:tcPr>
            <w:tcW w:w="1125" w:type="dxa"/>
            <w:vAlign w:val="center"/>
          </w:tcPr>
          <w:p w14:paraId="5F1826C1" w14:textId="4DCF9AA1" w:rsidR="00DF25E4" w:rsidRPr="00183081" w:rsidRDefault="00D22BEF" w:rsidP="00300163">
            <w:pPr>
              <w:rPr>
                <w:rFonts w:cs="Arial"/>
              </w:rPr>
            </w:pPr>
            <w:r>
              <w:rPr>
                <w:rFonts w:cs="Arial"/>
              </w:rPr>
              <w:t>1,874</w:t>
            </w:r>
          </w:p>
        </w:tc>
        <w:tc>
          <w:tcPr>
            <w:tcW w:w="1366" w:type="dxa"/>
            <w:vAlign w:val="center"/>
          </w:tcPr>
          <w:p w14:paraId="3C939946" w14:textId="477B42EB" w:rsidR="00DF25E4" w:rsidRPr="00183081" w:rsidRDefault="007516D4" w:rsidP="00300163">
            <w:pPr>
              <w:rPr>
                <w:rFonts w:cs="Arial"/>
              </w:rPr>
            </w:pPr>
            <w:r>
              <w:rPr>
                <w:rFonts w:cs="Arial"/>
              </w:rPr>
              <w:t>10,299</w:t>
            </w:r>
          </w:p>
        </w:tc>
      </w:tr>
    </w:tbl>
    <w:p w14:paraId="605AE34B" w14:textId="77777777" w:rsidR="003A55DE" w:rsidRPr="00E27662" w:rsidRDefault="003A55DE" w:rsidP="00D850B1">
      <w:pPr>
        <w:pStyle w:val="Heading4"/>
        <w:spacing w:before="120"/>
        <w:rPr>
          <w:szCs w:val="22"/>
        </w:rPr>
      </w:pPr>
      <w:r w:rsidRPr="00E27662">
        <w:rPr>
          <w:szCs w:val="22"/>
        </w:rPr>
        <w:t>Plumbing investigations</w:t>
      </w:r>
      <w:r>
        <w:rPr>
          <w:szCs w:val="22"/>
        </w:rPr>
        <w:t xml:space="preserve">  </w:t>
      </w:r>
    </w:p>
    <w:p w14:paraId="24617157" w14:textId="5E42144E" w:rsidR="003A55DE" w:rsidRDefault="003A55DE" w:rsidP="003A55DE">
      <w:pPr>
        <w:spacing w:before="120" w:after="120"/>
        <w:rPr>
          <w:rFonts w:cs="Arial"/>
        </w:rPr>
      </w:pPr>
      <w:r w:rsidRPr="37EF2F3F">
        <w:rPr>
          <w:rFonts w:cs="Arial"/>
        </w:rPr>
        <w:t xml:space="preserve">The QBCC investigates complaints </w:t>
      </w:r>
      <w:r>
        <w:rPr>
          <w:rFonts w:cs="Arial"/>
        </w:rPr>
        <w:t>related to</w:t>
      </w:r>
      <w:r w:rsidRPr="37EF2F3F">
        <w:rPr>
          <w:rFonts w:cs="Arial"/>
        </w:rPr>
        <w:t xml:space="preserve"> plumbing and drainage work to </w:t>
      </w:r>
      <w:r>
        <w:rPr>
          <w:rFonts w:cs="Arial"/>
        </w:rPr>
        <w:t xml:space="preserve">help </w:t>
      </w:r>
      <w:r w:rsidRPr="37EF2F3F">
        <w:rPr>
          <w:rFonts w:cs="Arial"/>
        </w:rPr>
        <w:t>reduce risks to public health, safety and the environment. A dedicated team of specialist investigators monitor and enforce compliance with the PD Act and the QBCC Act</w:t>
      </w:r>
      <w:r w:rsidR="00C0597F">
        <w:rPr>
          <w:rFonts w:cs="Arial"/>
        </w:rPr>
        <w:t>,</w:t>
      </w:r>
      <w:r w:rsidR="00853291">
        <w:rPr>
          <w:rFonts w:cs="Arial"/>
        </w:rPr>
        <w:t xml:space="preserve"> </w:t>
      </w:r>
      <w:r w:rsidRPr="005C36DB">
        <w:rPr>
          <w:rFonts w:cs="Arial"/>
        </w:rPr>
        <w:t>primar</w:t>
      </w:r>
      <w:r>
        <w:rPr>
          <w:rFonts w:cs="Arial"/>
        </w:rPr>
        <w:t>ily focus</w:t>
      </w:r>
      <w:r w:rsidR="00D41931">
        <w:rPr>
          <w:rFonts w:cs="Arial"/>
        </w:rPr>
        <w:t>ing</w:t>
      </w:r>
      <w:r>
        <w:rPr>
          <w:rFonts w:cs="Arial"/>
        </w:rPr>
        <w:t xml:space="preserve"> on three key areas:</w:t>
      </w:r>
    </w:p>
    <w:p w14:paraId="4945CC2E" w14:textId="27986C1A" w:rsidR="003A55DE" w:rsidRDefault="003A55DE" w:rsidP="00BD69F7">
      <w:pPr>
        <w:pStyle w:val="ListParagraph"/>
        <w:numPr>
          <w:ilvl w:val="0"/>
          <w:numId w:val="60"/>
        </w:numPr>
        <w:spacing w:before="120" w:after="120"/>
        <w:contextualSpacing w:val="0"/>
        <w:rPr>
          <w:rFonts w:cs="Arial"/>
        </w:rPr>
      </w:pPr>
      <w:r w:rsidRPr="008A59D9">
        <w:rPr>
          <w:rFonts w:cs="Arial"/>
          <w:b/>
          <w:bCs/>
        </w:rPr>
        <w:t>Licensing</w:t>
      </w:r>
      <w:r w:rsidR="002815F6">
        <w:rPr>
          <w:rFonts w:cs="Arial"/>
          <w:b/>
          <w:bCs/>
        </w:rPr>
        <w:t>:</w:t>
      </w:r>
      <w:r w:rsidRPr="00DE3D6B">
        <w:rPr>
          <w:rFonts w:cs="Arial"/>
        </w:rPr>
        <w:t xml:space="preserve"> </w:t>
      </w:r>
      <w:r>
        <w:rPr>
          <w:rFonts w:cs="Arial"/>
        </w:rPr>
        <w:t xml:space="preserve">Ensuring all </w:t>
      </w:r>
      <w:r w:rsidRPr="00DE3D6B">
        <w:rPr>
          <w:rFonts w:cs="Arial"/>
        </w:rPr>
        <w:t xml:space="preserve">plumbing and drainage work is carried out by qualified </w:t>
      </w:r>
      <w:r>
        <w:rPr>
          <w:rFonts w:cs="Arial"/>
        </w:rPr>
        <w:t>individuals.</w:t>
      </w:r>
    </w:p>
    <w:p w14:paraId="15B6D5AF" w14:textId="1D77EF60" w:rsidR="003A55DE" w:rsidRDefault="003A55DE" w:rsidP="00BD69F7">
      <w:pPr>
        <w:pStyle w:val="ListParagraph"/>
        <w:numPr>
          <w:ilvl w:val="0"/>
          <w:numId w:val="60"/>
        </w:numPr>
        <w:spacing w:before="120" w:after="120"/>
        <w:contextualSpacing w:val="0"/>
        <w:rPr>
          <w:rFonts w:cs="Arial"/>
        </w:rPr>
      </w:pPr>
      <w:r w:rsidRPr="008A59D9">
        <w:rPr>
          <w:rFonts w:cs="Arial"/>
          <w:b/>
          <w:bCs/>
        </w:rPr>
        <w:t>Permits</w:t>
      </w:r>
      <w:r w:rsidR="002815F6">
        <w:rPr>
          <w:rFonts w:cs="Arial"/>
          <w:b/>
          <w:bCs/>
        </w:rPr>
        <w:t>:</w:t>
      </w:r>
      <w:r w:rsidRPr="00DE3D6B">
        <w:rPr>
          <w:rFonts w:cs="Arial"/>
        </w:rPr>
        <w:t xml:space="preserve"> </w:t>
      </w:r>
      <w:r>
        <w:rPr>
          <w:rFonts w:cs="Arial"/>
        </w:rPr>
        <w:t>R</w:t>
      </w:r>
      <w:r w:rsidRPr="00DE3D6B">
        <w:rPr>
          <w:rFonts w:cs="Arial"/>
        </w:rPr>
        <w:t>egulat</w:t>
      </w:r>
      <w:r>
        <w:rPr>
          <w:rFonts w:cs="Arial"/>
        </w:rPr>
        <w:t xml:space="preserve">ing </w:t>
      </w:r>
      <w:r w:rsidRPr="00DE3D6B">
        <w:rPr>
          <w:rFonts w:cs="Arial"/>
        </w:rPr>
        <w:t xml:space="preserve">the </w:t>
      </w:r>
      <w:r>
        <w:rPr>
          <w:rFonts w:cs="Arial"/>
        </w:rPr>
        <w:t xml:space="preserve">approval </w:t>
      </w:r>
      <w:r w:rsidRPr="00DE3D6B">
        <w:rPr>
          <w:rFonts w:cs="Arial"/>
        </w:rPr>
        <w:t>framework for certain</w:t>
      </w:r>
      <w:r>
        <w:rPr>
          <w:rFonts w:cs="Arial"/>
        </w:rPr>
        <w:t xml:space="preserve"> types of pl</w:t>
      </w:r>
      <w:r w:rsidRPr="00DE3D6B">
        <w:rPr>
          <w:rFonts w:cs="Arial"/>
        </w:rPr>
        <w:t xml:space="preserve">umbing and </w:t>
      </w:r>
      <w:r>
        <w:rPr>
          <w:rFonts w:cs="Arial"/>
        </w:rPr>
        <w:t>d</w:t>
      </w:r>
      <w:r w:rsidRPr="00DE3D6B">
        <w:rPr>
          <w:rFonts w:cs="Arial"/>
        </w:rPr>
        <w:t>rainage work</w:t>
      </w:r>
      <w:r>
        <w:rPr>
          <w:rFonts w:cs="Arial"/>
        </w:rPr>
        <w:t>.</w:t>
      </w:r>
    </w:p>
    <w:p w14:paraId="22304D4E" w14:textId="7848F992" w:rsidR="003A55DE" w:rsidRPr="000D3610" w:rsidRDefault="003A55DE" w:rsidP="00BD69F7">
      <w:pPr>
        <w:pStyle w:val="ListParagraph"/>
        <w:numPr>
          <w:ilvl w:val="0"/>
          <w:numId w:val="60"/>
        </w:numPr>
        <w:spacing w:before="120" w:after="120"/>
        <w:contextualSpacing w:val="0"/>
        <w:rPr>
          <w:rFonts w:cs="Arial"/>
        </w:rPr>
      </w:pPr>
      <w:r w:rsidRPr="008A59D9">
        <w:rPr>
          <w:rFonts w:cs="Arial"/>
          <w:b/>
          <w:bCs/>
        </w:rPr>
        <w:t>Compliance</w:t>
      </w:r>
      <w:r w:rsidR="002815F6">
        <w:rPr>
          <w:rFonts w:cs="Arial"/>
          <w:b/>
          <w:bCs/>
        </w:rPr>
        <w:t>:</w:t>
      </w:r>
      <w:r w:rsidRPr="000D3610">
        <w:rPr>
          <w:rFonts w:cs="Arial"/>
        </w:rPr>
        <w:t xml:space="preserve"> Verifying that work meets legislative requirements, guidelines and relevant codes.</w:t>
      </w:r>
    </w:p>
    <w:p w14:paraId="32125BB0" w14:textId="28F4399F" w:rsidR="003A55DE" w:rsidRDefault="003A55DE" w:rsidP="003A55DE">
      <w:pPr>
        <w:spacing w:before="120" w:after="120"/>
        <w:rPr>
          <w:rFonts w:eastAsia="Arial" w:cs="Arial"/>
          <w:szCs w:val="22"/>
        </w:rPr>
      </w:pPr>
      <w:r w:rsidRPr="000D3610">
        <w:rPr>
          <w:rFonts w:cs="Arial"/>
        </w:rPr>
        <w:t>In 2024–25, the QBCC finalised 44 plumbing and drainage investigations</w:t>
      </w:r>
      <w:r w:rsidR="00195BBE">
        <w:rPr>
          <w:rFonts w:cs="Arial"/>
        </w:rPr>
        <w:t xml:space="preserve">, </w:t>
      </w:r>
      <w:r w:rsidRPr="000D3610">
        <w:rPr>
          <w:rFonts w:cs="Arial"/>
        </w:rPr>
        <w:t>result</w:t>
      </w:r>
      <w:r w:rsidR="00195BBE">
        <w:rPr>
          <w:rFonts w:cs="Arial"/>
        </w:rPr>
        <w:t xml:space="preserve">ing </w:t>
      </w:r>
      <w:r w:rsidRPr="000D3610">
        <w:rPr>
          <w:rFonts w:cs="Arial"/>
        </w:rPr>
        <w:t xml:space="preserve">in </w:t>
      </w:r>
      <w:r w:rsidR="00C00401">
        <w:rPr>
          <w:rFonts w:cs="Arial"/>
        </w:rPr>
        <w:t>six</w:t>
      </w:r>
      <w:r w:rsidRPr="000D3610">
        <w:rPr>
          <w:rFonts w:cs="Arial"/>
        </w:rPr>
        <w:t xml:space="preserve"> penalty infringement notices totalling $7,207 in penalties. </w:t>
      </w:r>
      <w:r w:rsidR="00C00401">
        <w:rPr>
          <w:rFonts w:cs="Arial"/>
        </w:rPr>
        <w:t>N</w:t>
      </w:r>
      <w:r w:rsidR="000D3610" w:rsidRPr="000D3610">
        <w:rPr>
          <w:rFonts w:cs="Arial"/>
        </w:rPr>
        <w:t>o</w:t>
      </w:r>
      <w:r w:rsidRPr="000D3610">
        <w:rPr>
          <w:rFonts w:cs="Arial"/>
        </w:rPr>
        <w:t xml:space="preserve"> disciplinary orders were issued in 2024–25</w:t>
      </w:r>
      <w:r w:rsidR="000D3610" w:rsidRPr="000D3610">
        <w:rPr>
          <w:rFonts w:cs="Arial"/>
        </w:rPr>
        <w:t>.</w:t>
      </w:r>
    </w:p>
    <w:p w14:paraId="05544B2E" w14:textId="77777777" w:rsidR="003A55DE" w:rsidRPr="0081738E" w:rsidRDefault="003A55DE" w:rsidP="003A55DE">
      <w:pPr>
        <w:pStyle w:val="Heading4"/>
      </w:pPr>
      <w:r>
        <w:t xml:space="preserve">Building certifier investigations </w:t>
      </w:r>
    </w:p>
    <w:p w14:paraId="033D25FB" w14:textId="62880752" w:rsidR="003A55DE" w:rsidRDefault="003A55DE" w:rsidP="003B7304">
      <w:pPr>
        <w:spacing w:before="120" w:after="120" w:line="259" w:lineRule="auto"/>
        <w:rPr>
          <w:rFonts w:eastAsia="Arial" w:cs="Arial"/>
        </w:rPr>
      </w:pPr>
      <w:r w:rsidRPr="37EF2F3F">
        <w:rPr>
          <w:rFonts w:eastAsia="Arial" w:cs="Arial"/>
        </w:rPr>
        <w:t>Under the Building Act, the QBCC is authorised to monitor certifier compliance and investigate written complaints involving alleged unsatisfactory conduct by current or former building certifiers. In 2024</w:t>
      </w:r>
      <w:r w:rsidRPr="37EF2F3F">
        <w:rPr>
          <w:rFonts w:cs="Arial"/>
        </w:rPr>
        <w:t>–</w:t>
      </w:r>
      <w:r w:rsidRPr="37EF2F3F">
        <w:rPr>
          <w:rFonts w:eastAsia="Arial" w:cs="Arial"/>
        </w:rPr>
        <w:t xml:space="preserve">25, the QBCC </w:t>
      </w:r>
      <w:r w:rsidRPr="6EFB8A37">
        <w:rPr>
          <w:rFonts w:eastAsia="Arial" w:cs="Arial"/>
        </w:rPr>
        <w:t xml:space="preserve">finalised </w:t>
      </w:r>
      <w:r w:rsidRPr="1122E768">
        <w:rPr>
          <w:rFonts w:eastAsia="Arial" w:cs="Arial"/>
        </w:rPr>
        <w:t>125</w:t>
      </w:r>
      <w:r w:rsidRPr="37EF2F3F">
        <w:rPr>
          <w:rFonts w:eastAsia="Arial" w:cs="Arial"/>
        </w:rPr>
        <w:t xml:space="preserve"> investigations into building certifiers</w:t>
      </w:r>
      <w:r w:rsidR="00590B2F">
        <w:rPr>
          <w:rFonts w:eastAsia="Arial" w:cs="Arial"/>
        </w:rPr>
        <w:t>.</w:t>
      </w:r>
      <w:r w:rsidRPr="37EF2F3F">
        <w:rPr>
          <w:rFonts w:eastAsia="Arial" w:cs="Arial"/>
        </w:rPr>
        <w:t xml:space="preserve"> Of the finalised investigations, </w:t>
      </w:r>
      <w:r w:rsidRPr="003B7304">
        <w:rPr>
          <w:rFonts w:eastAsia="Arial" w:cs="Arial"/>
        </w:rPr>
        <w:t xml:space="preserve">16 </w:t>
      </w:r>
      <w:r w:rsidRPr="000F0142">
        <w:rPr>
          <w:rFonts w:cs="Arial"/>
        </w:rPr>
        <w:t xml:space="preserve">resulted in </w:t>
      </w:r>
      <w:r w:rsidRPr="37EF2F3F">
        <w:rPr>
          <w:rFonts w:eastAsia="Arial" w:cs="Arial"/>
        </w:rPr>
        <w:t xml:space="preserve">findings of unsatisfactory conduct, </w:t>
      </w:r>
      <w:r w:rsidR="0098713B">
        <w:rPr>
          <w:rFonts w:eastAsia="Arial" w:cs="Arial"/>
        </w:rPr>
        <w:t>one</w:t>
      </w:r>
      <w:r w:rsidRPr="003B7304">
        <w:rPr>
          <w:rFonts w:eastAsia="Arial" w:cs="Arial"/>
        </w:rPr>
        <w:t xml:space="preserve"> </w:t>
      </w:r>
      <w:r w:rsidR="003A24E3">
        <w:rPr>
          <w:rFonts w:eastAsia="Arial" w:cs="Arial"/>
        </w:rPr>
        <w:t xml:space="preserve">matter </w:t>
      </w:r>
      <w:r w:rsidR="00790F71">
        <w:rPr>
          <w:rFonts w:eastAsia="Arial" w:cs="Arial"/>
        </w:rPr>
        <w:t xml:space="preserve">was </w:t>
      </w:r>
      <w:r w:rsidRPr="003B7304">
        <w:rPr>
          <w:rFonts w:eastAsia="Arial" w:cs="Arial"/>
        </w:rPr>
        <w:t>referred for disciplinary proceedings</w:t>
      </w:r>
      <w:r w:rsidR="00ED198F">
        <w:rPr>
          <w:rFonts w:eastAsia="Arial" w:cs="Arial"/>
        </w:rPr>
        <w:t>,</w:t>
      </w:r>
      <w:r w:rsidR="00B84C2C">
        <w:rPr>
          <w:rFonts w:eastAsia="Arial" w:cs="Arial"/>
        </w:rPr>
        <w:t xml:space="preserve"> </w:t>
      </w:r>
      <w:r w:rsidR="00B84C2C" w:rsidRPr="008B5993">
        <w:rPr>
          <w:rFonts w:eastAsia="Arial" w:cs="Arial"/>
        </w:rPr>
        <w:t xml:space="preserve">and </w:t>
      </w:r>
      <w:r w:rsidR="00D8493C" w:rsidRPr="008B5993">
        <w:rPr>
          <w:rFonts w:eastAsia="Arial" w:cs="Arial"/>
        </w:rPr>
        <w:t>18</w:t>
      </w:r>
      <w:r w:rsidRPr="1122E768">
        <w:rPr>
          <w:rFonts w:eastAsia="Arial" w:cs="Arial"/>
        </w:rPr>
        <w:t xml:space="preserve"> </w:t>
      </w:r>
      <w:r w:rsidRPr="37EF2F3F">
        <w:rPr>
          <w:rFonts w:eastAsia="Arial" w:cs="Arial"/>
        </w:rPr>
        <w:t>were assessed as satisfactory</w:t>
      </w:r>
      <w:r w:rsidR="00EB3DFD">
        <w:rPr>
          <w:rFonts w:eastAsia="Arial" w:cs="Arial"/>
        </w:rPr>
        <w:t xml:space="preserve"> conduct</w:t>
      </w:r>
      <w:r w:rsidRPr="37EF2F3F">
        <w:rPr>
          <w:rFonts w:eastAsia="Arial" w:cs="Arial"/>
        </w:rPr>
        <w:t>. A</w:t>
      </w:r>
      <w:r w:rsidR="00790F71">
        <w:rPr>
          <w:rFonts w:eastAsia="Arial" w:cs="Arial"/>
        </w:rPr>
        <w:t xml:space="preserve"> further</w:t>
      </w:r>
      <w:r w:rsidRPr="37EF2F3F">
        <w:rPr>
          <w:rFonts w:eastAsia="Arial" w:cs="Arial"/>
        </w:rPr>
        <w:t xml:space="preserve"> </w:t>
      </w:r>
      <w:r w:rsidRPr="003B7304">
        <w:rPr>
          <w:rFonts w:eastAsia="Arial" w:cs="Arial"/>
        </w:rPr>
        <w:t>90</w:t>
      </w:r>
      <w:r w:rsidRPr="37EF2F3F">
        <w:rPr>
          <w:rFonts w:eastAsia="Arial" w:cs="Arial"/>
        </w:rPr>
        <w:t xml:space="preserve"> complaints were dismissed, withdrawn or not progressed due to </w:t>
      </w:r>
      <w:r w:rsidR="00963BEC">
        <w:rPr>
          <w:rFonts w:eastAsia="Arial" w:cs="Arial"/>
        </w:rPr>
        <w:t xml:space="preserve">failing to </w:t>
      </w:r>
      <w:r w:rsidRPr="37EF2F3F">
        <w:rPr>
          <w:rFonts w:eastAsia="Arial" w:cs="Arial"/>
        </w:rPr>
        <w:t xml:space="preserve">meet minimum submission requirements </w:t>
      </w:r>
      <w:r w:rsidRPr="37EF2F3F">
        <w:rPr>
          <w:rFonts w:cs="Arial"/>
        </w:rPr>
        <w:t>or lacking sufficient evidence</w:t>
      </w:r>
      <w:r w:rsidRPr="37EF2F3F">
        <w:rPr>
          <w:rFonts w:eastAsia="Arial" w:cs="Arial"/>
        </w:rPr>
        <w:t>.</w:t>
      </w:r>
      <w:r w:rsidR="003B7304">
        <w:rPr>
          <w:rFonts w:eastAsia="Arial" w:cs="Arial"/>
        </w:rPr>
        <w:t xml:space="preserve"> </w:t>
      </w:r>
      <w:r w:rsidR="29992F9A" w:rsidRPr="1FA3D089">
        <w:rPr>
          <w:rFonts w:eastAsia="Arial" w:cs="Arial"/>
          <w:szCs w:val="22"/>
        </w:rPr>
        <w:t>In addition, during the reporting period, QCAT</w:t>
      </w:r>
      <w:r w:rsidR="29992F9A" w:rsidRPr="1FA3D089" w:rsidDel="00C251E9">
        <w:rPr>
          <w:rFonts w:eastAsia="Arial" w:cs="Arial"/>
          <w:szCs w:val="22"/>
        </w:rPr>
        <w:t xml:space="preserve"> </w:t>
      </w:r>
      <w:r w:rsidR="29992F9A" w:rsidRPr="1FA3D089">
        <w:rPr>
          <w:rFonts w:eastAsia="Arial" w:cs="Arial"/>
          <w:szCs w:val="22"/>
        </w:rPr>
        <w:t>determined two instances of professional misconduct involving building certifiers, following disciplinary proceedings initiated by the QBCC.</w:t>
      </w:r>
      <w:r w:rsidR="009C3F0B">
        <w:rPr>
          <w:rFonts w:eastAsia="Arial" w:cs="Arial"/>
          <w:szCs w:val="22"/>
        </w:rPr>
        <w:t xml:space="preserve"> </w:t>
      </w:r>
      <w:r w:rsidR="009C3CD0">
        <w:rPr>
          <w:rFonts w:eastAsia="Arial" w:cs="Arial"/>
          <w:szCs w:val="22"/>
        </w:rPr>
        <w:t>In both cases, f</w:t>
      </w:r>
      <w:r w:rsidR="009C3F0B">
        <w:rPr>
          <w:rFonts w:eastAsia="Arial" w:cs="Arial"/>
          <w:szCs w:val="22"/>
        </w:rPr>
        <w:t>ines were issued</w:t>
      </w:r>
      <w:r w:rsidR="001B24F1">
        <w:rPr>
          <w:rFonts w:eastAsia="Arial" w:cs="Arial"/>
          <w:szCs w:val="22"/>
        </w:rPr>
        <w:t xml:space="preserve">, </w:t>
      </w:r>
      <w:r w:rsidR="00D50CDE">
        <w:rPr>
          <w:rFonts w:eastAsia="Arial" w:cs="Arial"/>
          <w:szCs w:val="22"/>
        </w:rPr>
        <w:t>and one individual was disqualified f</w:t>
      </w:r>
      <w:r w:rsidR="00CC7EFF">
        <w:rPr>
          <w:rFonts w:eastAsia="Arial" w:cs="Arial"/>
          <w:szCs w:val="22"/>
        </w:rPr>
        <w:t xml:space="preserve">rom </w:t>
      </w:r>
      <w:r w:rsidR="00C4555A">
        <w:rPr>
          <w:rFonts w:eastAsia="Arial" w:cs="Arial"/>
          <w:szCs w:val="22"/>
        </w:rPr>
        <w:t>applying for a certifier’s licence for a period of 12 months</w:t>
      </w:r>
      <w:r w:rsidR="0085753F">
        <w:rPr>
          <w:rFonts w:eastAsia="Arial" w:cs="Arial"/>
          <w:szCs w:val="22"/>
        </w:rPr>
        <w:t>.</w:t>
      </w:r>
      <w:r w:rsidR="00CC7EFF">
        <w:rPr>
          <w:rFonts w:eastAsia="Arial" w:cs="Arial"/>
          <w:szCs w:val="22"/>
        </w:rPr>
        <w:t xml:space="preserve"> </w:t>
      </w:r>
    </w:p>
    <w:p w14:paraId="5BE6B5F8" w14:textId="77777777" w:rsidR="003A55DE" w:rsidRPr="00E27662" w:rsidRDefault="003A55DE" w:rsidP="003A55DE">
      <w:pPr>
        <w:pStyle w:val="Heading4"/>
      </w:pPr>
      <w:r>
        <w:t>Licensing d</w:t>
      </w:r>
      <w:r w:rsidRPr="00B16147">
        <w:t>emerit points</w:t>
      </w:r>
    </w:p>
    <w:p w14:paraId="722AEF9F" w14:textId="7C870166" w:rsidR="003A55DE" w:rsidRDefault="003A55DE" w:rsidP="003A55DE">
      <w:pPr>
        <w:spacing w:before="120" w:after="120"/>
        <w:rPr>
          <w:rFonts w:cs="Arial"/>
        </w:rPr>
      </w:pPr>
      <w:r w:rsidRPr="37EF2F3F">
        <w:rPr>
          <w:rFonts w:cs="Arial"/>
        </w:rPr>
        <w:t xml:space="preserve">The QBCC administers a licence demerit point system designed to deter non-compliant and unlawful behaviour among licensees. Under the system, licensed contractors who breach provisions of the QBCC Act may incur up to </w:t>
      </w:r>
      <w:r w:rsidR="005D7BB1">
        <w:rPr>
          <w:rFonts w:cs="Arial"/>
        </w:rPr>
        <w:t>10</w:t>
      </w:r>
      <w:r w:rsidRPr="37EF2F3F">
        <w:rPr>
          <w:rFonts w:cs="Arial"/>
        </w:rPr>
        <w:t xml:space="preserve"> demerit points per offence depending on the severity of the breach. The most common breaches that result in demerit points include:</w:t>
      </w:r>
    </w:p>
    <w:p w14:paraId="7437A490" w14:textId="597F91D2" w:rsidR="003A55DE" w:rsidRDefault="001C2ECB" w:rsidP="00BD69F7">
      <w:pPr>
        <w:pStyle w:val="ListParagraph"/>
        <w:numPr>
          <w:ilvl w:val="0"/>
          <w:numId w:val="29"/>
        </w:numPr>
        <w:spacing w:before="120" w:after="120"/>
        <w:ind w:left="714" w:hanging="357"/>
        <w:contextualSpacing w:val="0"/>
        <w:rPr>
          <w:rFonts w:cs="Arial"/>
          <w:szCs w:val="22"/>
        </w:rPr>
      </w:pPr>
      <w:r>
        <w:rPr>
          <w:rFonts w:cs="Arial"/>
          <w:szCs w:val="22"/>
        </w:rPr>
        <w:t>c</w:t>
      </w:r>
      <w:r w:rsidR="003A55DE" w:rsidRPr="37EF2F3F">
        <w:rPr>
          <w:rFonts w:cs="Arial"/>
          <w:szCs w:val="22"/>
        </w:rPr>
        <w:t>ontractual breaches</w:t>
      </w:r>
    </w:p>
    <w:p w14:paraId="15B1279E" w14:textId="32F76ADB" w:rsidR="003A55DE" w:rsidRDefault="001C2ECB" w:rsidP="00BD69F7">
      <w:pPr>
        <w:pStyle w:val="ListParagraph"/>
        <w:numPr>
          <w:ilvl w:val="0"/>
          <w:numId w:val="29"/>
        </w:numPr>
        <w:spacing w:before="120" w:after="120"/>
        <w:ind w:left="714" w:hanging="357"/>
        <w:contextualSpacing w:val="0"/>
        <w:rPr>
          <w:rFonts w:cs="Arial"/>
          <w:szCs w:val="22"/>
        </w:rPr>
      </w:pPr>
      <w:r>
        <w:rPr>
          <w:rFonts w:cs="Arial"/>
          <w:szCs w:val="22"/>
        </w:rPr>
        <w:t>f</w:t>
      </w:r>
      <w:r w:rsidR="003A55DE" w:rsidRPr="37EF2F3F">
        <w:rPr>
          <w:rFonts w:cs="Arial"/>
          <w:szCs w:val="22"/>
        </w:rPr>
        <w:t>ailure to rectify defective work</w:t>
      </w:r>
    </w:p>
    <w:p w14:paraId="4849A340" w14:textId="04FB5AD8" w:rsidR="003A55DE" w:rsidRDefault="001C2ECB" w:rsidP="00BD69F7">
      <w:pPr>
        <w:pStyle w:val="ListParagraph"/>
        <w:numPr>
          <w:ilvl w:val="0"/>
          <w:numId w:val="29"/>
        </w:numPr>
        <w:spacing w:before="120" w:after="120"/>
        <w:ind w:left="714" w:hanging="357"/>
        <w:contextualSpacing w:val="0"/>
        <w:rPr>
          <w:rFonts w:cs="Arial"/>
          <w:szCs w:val="22"/>
        </w:rPr>
      </w:pPr>
      <w:r>
        <w:rPr>
          <w:rFonts w:cs="Arial"/>
          <w:szCs w:val="22"/>
        </w:rPr>
        <w:t>f</w:t>
      </w:r>
      <w:r w:rsidR="003A55DE" w:rsidRPr="37EF2F3F">
        <w:rPr>
          <w:rFonts w:cs="Arial"/>
          <w:szCs w:val="22"/>
        </w:rPr>
        <w:t>ailure to pay insurance premium</w:t>
      </w:r>
    </w:p>
    <w:p w14:paraId="4C08B9B2" w14:textId="39D8BFF9" w:rsidR="003A55DE" w:rsidRPr="00DA56FB" w:rsidRDefault="001C2ECB" w:rsidP="00BD69F7">
      <w:pPr>
        <w:pStyle w:val="ListParagraph"/>
        <w:numPr>
          <w:ilvl w:val="0"/>
          <w:numId w:val="29"/>
        </w:numPr>
        <w:spacing w:before="120" w:after="120"/>
        <w:ind w:left="714" w:hanging="357"/>
        <w:contextualSpacing w:val="0"/>
        <w:rPr>
          <w:rFonts w:cs="Arial"/>
        </w:rPr>
      </w:pPr>
      <w:r>
        <w:rPr>
          <w:rFonts w:cs="Arial"/>
          <w:szCs w:val="22"/>
        </w:rPr>
        <w:t>b</w:t>
      </w:r>
      <w:r w:rsidR="003A55DE" w:rsidRPr="37EF2F3F">
        <w:rPr>
          <w:rFonts w:cs="Arial"/>
          <w:szCs w:val="22"/>
        </w:rPr>
        <w:t>uilding certification offences</w:t>
      </w:r>
      <w:r w:rsidR="003A55DE">
        <w:rPr>
          <w:rFonts w:cs="Arial"/>
          <w:szCs w:val="22"/>
        </w:rPr>
        <w:t>.</w:t>
      </w:r>
    </w:p>
    <w:p w14:paraId="05C8CDA4" w14:textId="33D2239D" w:rsidR="003A55DE" w:rsidRDefault="003A55DE" w:rsidP="003A55DE">
      <w:pPr>
        <w:spacing w:before="120" w:after="120"/>
      </w:pPr>
      <w:bookmarkStart w:id="103" w:name="_Ref203381707"/>
      <w:r w:rsidRPr="37EF2F3F">
        <w:rPr>
          <w:rFonts w:cs="Arial"/>
        </w:rPr>
        <w:t xml:space="preserve">Licensees who accumulate 30 demerit points within a three-year period are disqualified from holding a licence for three years. A second disqualification within the following </w:t>
      </w:r>
      <w:r w:rsidR="000C1EE2">
        <w:rPr>
          <w:rFonts w:cs="Arial"/>
        </w:rPr>
        <w:t>10</w:t>
      </w:r>
      <w:r w:rsidRPr="37EF2F3F">
        <w:rPr>
          <w:rFonts w:cs="Arial"/>
        </w:rPr>
        <w:t xml:space="preserve"> years results in a lifetime ban from holding a QBCC licence. </w:t>
      </w:r>
      <w:r w:rsidR="00CE109E">
        <w:rPr>
          <w:rFonts w:cs="Arial"/>
        </w:rPr>
        <w:fldChar w:fldCharType="begin"/>
      </w:r>
      <w:r w:rsidR="00CE109E">
        <w:rPr>
          <w:rFonts w:cs="Arial"/>
        </w:rPr>
        <w:instrText xml:space="preserve"> REF _Ref204671118 \h </w:instrText>
      </w:r>
      <w:r w:rsidR="00CE109E">
        <w:rPr>
          <w:rFonts w:cs="Arial"/>
        </w:rPr>
      </w:r>
      <w:r w:rsidR="00CE109E">
        <w:rPr>
          <w:rFonts w:cs="Arial"/>
        </w:rPr>
        <w:fldChar w:fldCharType="separate"/>
      </w:r>
      <w:r w:rsidR="00CE109E">
        <w:t>Table 17</w:t>
      </w:r>
      <w:r w:rsidR="00CE109E">
        <w:rPr>
          <w:rFonts w:cs="Arial"/>
        </w:rPr>
        <w:fldChar w:fldCharType="end"/>
      </w:r>
      <w:r w:rsidR="00CE109E">
        <w:rPr>
          <w:rFonts w:cs="Arial"/>
        </w:rPr>
        <w:t xml:space="preserve"> </w:t>
      </w:r>
      <w:r w:rsidRPr="37EF2F3F">
        <w:rPr>
          <w:rFonts w:cs="Arial"/>
        </w:rPr>
        <w:t xml:space="preserve">provides a summary of </w:t>
      </w:r>
      <w:r w:rsidR="006A1C84">
        <w:rPr>
          <w:rFonts w:cs="Arial"/>
        </w:rPr>
        <w:t xml:space="preserve">the type of </w:t>
      </w:r>
      <w:r w:rsidRPr="37EF2F3F">
        <w:rPr>
          <w:rFonts w:cs="Arial"/>
        </w:rPr>
        <w:t>licence breaches and demerit points issued over the past five years, highlighting the most frequent types of non-compliance.</w:t>
      </w:r>
    </w:p>
    <w:p w14:paraId="0385B63E" w14:textId="11D810F7" w:rsidR="003A55DE" w:rsidRPr="004C354A" w:rsidRDefault="003A55DE" w:rsidP="00E712F4">
      <w:pPr>
        <w:pStyle w:val="Caption"/>
        <w:spacing w:before="120" w:after="120"/>
      </w:pPr>
      <w:bookmarkStart w:id="104" w:name="_Ref204671118"/>
      <w:bookmarkStart w:id="105" w:name="_Ref203400020"/>
      <w:r>
        <w:lastRenderedPageBreak/>
        <w:t xml:space="preserve">Table </w:t>
      </w:r>
      <w:bookmarkEnd w:id="104"/>
      <w:r w:rsidR="006C5E7F">
        <w:t>17</w:t>
      </w:r>
      <w:r>
        <w:fldChar w:fldCharType="begin"/>
      </w:r>
      <w:r>
        <w:instrText>SEQ Table \* ARABIC</w:instrText>
      </w:r>
      <w:r>
        <w:fldChar w:fldCharType="separate"/>
      </w:r>
      <w:r>
        <w:fldChar w:fldCharType="end"/>
      </w:r>
      <w:bookmarkEnd w:id="103"/>
      <w:bookmarkEnd w:id="105"/>
      <w:r w:rsidRPr="0082490F">
        <w:t>:</w:t>
      </w:r>
      <w:r w:rsidR="00E712F4" w:rsidRPr="001354EA">
        <w:t xml:space="preserve"> </w:t>
      </w:r>
      <w:r w:rsidRPr="0082490F">
        <w:t>Number of demerit points issued over the past five years</w:t>
      </w:r>
    </w:p>
    <w:tbl>
      <w:tblPr>
        <w:tblStyle w:val="TableGrid"/>
        <w:tblW w:w="10435" w:type="dxa"/>
        <w:tblLook w:val="04A0" w:firstRow="1" w:lastRow="0" w:firstColumn="1" w:lastColumn="0" w:noHBand="0" w:noVBand="1"/>
      </w:tblPr>
      <w:tblGrid>
        <w:gridCol w:w="4120"/>
        <w:gridCol w:w="1263"/>
        <w:gridCol w:w="1263"/>
        <w:gridCol w:w="1263"/>
        <w:gridCol w:w="1263"/>
        <w:gridCol w:w="1263"/>
      </w:tblGrid>
      <w:tr w:rsidR="005C5D4C" w:rsidRPr="00331076" w14:paraId="05299D16" w14:textId="77777777" w:rsidTr="00B16678">
        <w:trPr>
          <w:trHeight w:val="300"/>
          <w:tblHeader/>
        </w:trPr>
        <w:tc>
          <w:tcPr>
            <w:tcW w:w="4120" w:type="dxa"/>
            <w:shd w:val="clear" w:color="auto" w:fill="A6A6A6" w:themeFill="background1" w:themeFillShade="A6"/>
            <w:vAlign w:val="center"/>
          </w:tcPr>
          <w:p w14:paraId="3BAD1BB3" w14:textId="77777777" w:rsidR="005C5D4C" w:rsidRPr="00331076" w:rsidRDefault="005C5D4C" w:rsidP="00300163">
            <w:pPr>
              <w:spacing w:line="259" w:lineRule="auto"/>
              <w:rPr>
                <w:rFonts w:cs="Arial"/>
                <w:b/>
              </w:rPr>
            </w:pPr>
            <w:r>
              <w:rPr>
                <w:rFonts w:cs="Arial"/>
                <w:b/>
                <w:bCs/>
              </w:rPr>
              <w:t>Breach</w:t>
            </w:r>
          </w:p>
        </w:tc>
        <w:tc>
          <w:tcPr>
            <w:tcW w:w="1263" w:type="dxa"/>
            <w:shd w:val="clear" w:color="auto" w:fill="A6A6A6" w:themeFill="background1" w:themeFillShade="A6"/>
            <w:vAlign w:val="center"/>
          </w:tcPr>
          <w:p w14:paraId="7B0C7E30" w14:textId="77777777" w:rsidR="005C5D4C" w:rsidRPr="00331076" w:rsidRDefault="005C5D4C" w:rsidP="00300163">
            <w:pPr>
              <w:rPr>
                <w:rFonts w:cs="Arial"/>
                <w:b/>
              </w:rPr>
            </w:pPr>
            <w:r w:rsidRPr="37EF2F3F">
              <w:rPr>
                <w:rFonts w:cs="Arial"/>
                <w:b/>
              </w:rPr>
              <w:t>2020–21</w:t>
            </w:r>
          </w:p>
        </w:tc>
        <w:tc>
          <w:tcPr>
            <w:tcW w:w="1263" w:type="dxa"/>
            <w:shd w:val="clear" w:color="auto" w:fill="A6A6A6" w:themeFill="background1" w:themeFillShade="A6"/>
            <w:vAlign w:val="center"/>
          </w:tcPr>
          <w:p w14:paraId="2951E150" w14:textId="77777777" w:rsidR="005C5D4C" w:rsidRPr="00331076" w:rsidRDefault="005C5D4C" w:rsidP="00300163">
            <w:pPr>
              <w:rPr>
                <w:rFonts w:cs="Arial"/>
                <w:b/>
              </w:rPr>
            </w:pPr>
            <w:r w:rsidRPr="37EF2F3F">
              <w:rPr>
                <w:rFonts w:cs="Arial"/>
                <w:b/>
              </w:rPr>
              <w:t>2021–22</w:t>
            </w:r>
          </w:p>
        </w:tc>
        <w:tc>
          <w:tcPr>
            <w:tcW w:w="1263" w:type="dxa"/>
            <w:shd w:val="clear" w:color="auto" w:fill="A6A6A6" w:themeFill="background1" w:themeFillShade="A6"/>
            <w:vAlign w:val="center"/>
          </w:tcPr>
          <w:p w14:paraId="453D86DD" w14:textId="77777777" w:rsidR="005C5D4C" w:rsidRPr="00331076" w:rsidRDefault="005C5D4C" w:rsidP="00300163">
            <w:pPr>
              <w:rPr>
                <w:rFonts w:cs="Arial"/>
                <w:b/>
              </w:rPr>
            </w:pPr>
            <w:r w:rsidRPr="37EF2F3F">
              <w:rPr>
                <w:rFonts w:cs="Arial"/>
                <w:b/>
              </w:rPr>
              <w:t>2022–23</w:t>
            </w:r>
          </w:p>
        </w:tc>
        <w:tc>
          <w:tcPr>
            <w:tcW w:w="1263" w:type="dxa"/>
            <w:shd w:val="clear" w:color="auto" w:fill="A6A6A6" w:themeFill="background1" w:themeFillShade="A6"/>
            <w:vAlign w:val="center"/>
          </w:tcPr>
          <w:p w14:paraId="646BAD17" w14:textId="77777777" w:rsidR="005C5D4C" w:rsidRPr="00331076" w:rsidRDefault="005C5D4C" w:rsidP="00300163">
            <w:pPr>
              <w:rPr>
                <w:rFonts w:cs="Arial"/>
                <w:b/>
              </w:rPr>
            </w:pPr>
            <w:r w:rsidRPr="37EF2F3F">
              <w:rPr>
                <w:rFonts w:cs="Arial"/>
                <w:b/>
              </w:rPr>
              <w:t>2023–24</w:t>
            </w:r>
          </w:p>
        </w:tc>
        <w:tc>
          <w:tcPr>
            <w:tcW w:w="1263" w:type="dxa"/>
            <w:shd w:val="clear" w:color="auto" w:fill="A6A6A6" w:themeFill="background1" w:themeFillShade="A6"/>
            <w:vAlign w:val="center"/>
          </w:tcPr>
          <w:p w14:paraId="11DC3F46" w14:textId="77777777" w:rsidR="005C5D4C" w:rsidRPr="005C5D4C" w:rsidRDefault="005C5D4C" w:rsidP="00300163">
            <w:pPr>
              <w:rPr>
                <w:rFonts w:cs="Arial"/>
                <w:b/>
              </w:rPr>
            </w:pPr>
            <w:r w:rsidRPr="00EA5EDB">
              <w:rPr>
                <w:rFonts w:cs="Arial"/>
                <w:b/>
              </w:rPr>
              <w:t>2024</w:t>
            </w:r>
            <w:r w:rsidRPr="005C5D4C">
              <w:rPr>
                <w:rFonts w:cs="Arial"/>
                <w:b/>
              </w:rPr>
              <w:t>–</w:t>
            </w:r>
            <w:r w:rsidRPr="00EA5EDB">
              <w:rPr>
                <w:rFonts w:cs="Arial"/>
                <w:b/>
              </w:rPr>
              <w:t>25</w:t>
            </w:r>
          </w:p>
        </w:tc>
      </w:tr>
      <w:tr w:rsidR="005C5D4C" w:rsidRPr="00331076" w14:paraId="480650AF" w14:textId="77777777" w:rsidTr="00EA5EDB">
        <w:trPr>
          <w:trHeight w:val="300"/>
        </w:trPr>
        <w:tc>
          <w:tcPr>
            <w:tcW w:w="4120" w:type="dxa"/>
            <w:vAlign w:val="center"/>
          </w:tcPr>
          <w:p w14:paraId="287C0C24" w14:textId="77777777" w:rsidR="005C5D4C" w:rsidRPr="00331076" w:rsidRDefault="005C5D4C" w:rsidP="00300163">
            <w:pPr>
              <w:spacing w:line="259" w:lineRule="auto"/>
              <w:rPr>
                <w:rFonts w:cs="Arial"/>
              </w:rPr>
            </w:pPr>
            <w:r w:rsidRPr="37EF2F3F">
              <w:rPr>
                <w:rFonts w:cs="Arial"/>
              </w:rPr>
              <w:t>Contractual</w:t>
            </w:r>
          </w:p>
        </w:tc>
        <w:tc>
          <w:tcPr>
            <w:tcW w:w="1263" w:type="dxa"/>
            <w:vAlign w:val="center"/>
          </w:tcPr>
          <w:p w14:paraId="39EA8EEE" w14:textId="77777777" w:rsidR="005C5D4C" w:rsidRPr="00331076" w:rsidRDefault="005C5D4C" w:rsidP="00300163">
            <w:pPr>
              <w:rPr>
                <w:rFonts w:cs="Arial"/>
              </w:rPr>
            </w:pPr>
            <w:r w:rsidRPr="37EF2F3F">
              <w:rPr>
                <w:rFonts w:cs="Arial"/>
              </w:rPr>
              <w:t>1,720</w:t>
            </w:r>
          </w:p>
        </w:tc>
        <w:tc>
          <w:tcPr>
            <w:tcW w:w="1263" w:type="dxa"/>
            <w:vAlign w:val="center"/>
          </w:tcPr>
          <w:p w14:paraId="767A0FBB" w14:textId="77777777" w:rsidR="005C5D4C" w:rsidRPr="00331076" w:rsidRDefault="005C5D4C" w:rsidP="00300163">
            <w:pPr>
              <w:rPr>
                <w:rFonts w:cs="Arial"/>
              </w:rPr>
            </w:pPr>
            <w:r w:rsidRPr="37EF2F3F">
              <w:rPr>
                <w:rFonts w:cs="Arial"/>
              </w:rPr>
              <w:t>1,866</w:t>
            </w:r>
          </w:p>
        </w:tc>
        <w:tc>
          <w:tcPr>
            <w:tcW w:w="1263" w:type="dxa"/>
            <w:vAlign w:val="center"/>
          </w:tcPr>
          <w:p w14:paraId="43BA7FE1" w14:textId="77777777" w:rsidR="005C5D4C" w:rsidRPr="00331076" w:rsidRDefault="005C5D4C" w:rsidP="00300163">
            <w:pPr>
              <w:rPr>
                <w:rFonts w:cs="Arial"/>
              </w:rPr>
            </w:pPr>
            <w:r w:rsidRPr="37EF2F3F">
              <w:rPr>
                <w:rFonts w:cs="Arial"/>
              </w:rPr>
              <w:t>1,454</w:t>
            </w:r>
          </w:p>
        </w:tc>
        <w:tc>
          <w:tcPr>
            <w:tcW w:w="1263" w:type="dxa"/>
            <w:vAlign w:val="center"/>
          </w:tcPr>
          <w:p w14:paraId="64C8B9D2" w14:textId="77777777" w:rsidR="005C5D4C" w:rsidRPr="00331076" w:rsidRDefault="005C5D4C" w:rsidP="00300163">
            <w:pPr>
              <w:rPr>
                <w:rFonts w:cs="Arial"/>
              </w:rPr>
            </w:pPr>
            <w:r w:rsidRPr="37EF2F3F">
              <w:rPr>
                <w:rFonts w:cs="Arial"/>
              </w:rPr>
              <w:t>908</w:t>
            </w:r>
          </w:p>
        </w:tc>
        <w:tc>
          <w:tcPr>
            <w:tcW w:w="1263" w:type="dxa"/>
            <w:vAlign w:val="center"/>
          </w:tcPr>
          <w:p w14:paraId="038D9A63" w14:textId="77777777" w:rsidR="005C5D4C" w:rsidRPr="005C5D4C" w:rsidRDefault="005C5D4C" w:rsidP="00300163">
            <w:pPr>
              <w:rPr>
                <w:rFonts w:cs="Arial"/>
              </w:rPr>
            </w:pPr>
            <w:r w:rsidRPr="00EA5EDB">
              <w:rPr>
                <w:rFonts w:cs="Arial"/>
              </w:rPr>
              <w:t>984</w:t>
            </w:r>
          </w:p>
        </w:tc>
      </w:tr>
      <w:tr w:rsidR="005C5D4C" w:rsidRPr="00331076" w14:paraId="5CB1055B" w14:textId="77777777" w:rsidTr="00EA5EDB">
        <w:trPr>
          <w:trHeight w:val="300"/>
        </w:trPr>
        <w:tc>
          <w:tcPr>
            <w:tcW w:w="4120" w:type="dxa"/>
            <w:vAlign w:val="center"/>
          </w:tcPr>
          <w:p w14:paraId="35522B5B" w14:textId="77777777" w:rsidR="005C5D4C" w:rsidRPr="00331076" w:rsidRDefault="005C5D4C" w:rsidP="00300163">
            <w:pPr>
              <w:rPr>
                <w:rFonts w:cs="Arial"/>
              </w:rPr>
            </w:pPr>
            <w:r w:rsidRPr="37EF2F3F">
              <w:rPr>
                <w:rFonts w:cs="Arial"/>
              </w:rPr>
              <w:t>Failure to rectify defective work</w:t>
            </w:r>
          </w:p>
        </w:tc>
        <w:tc>
          <w:tcPr>
            <w:tcW w:w="1263" w:type="dxa"/>
            <w:vAlign w:val="center"/>
          </w:tcPr>
          <w:p w14:paraId="2C561D79" w14:textId="77777777" w:rsidR="005C5D4C" w:rsidRPr="00331076" w:rsidRDefault="005C5D4C" w:rsidP="00300163">
            <w:pPr>
              <w:rPr>
                <w:rFonts w:cs="Arial"/>
              </w:rPr>
            </w:pPr>
            <w:r w:rsidRPr="37EF2F3F">
              <w:rPr>
                <w:rFonts w:cs="Arial"/>
              </w:rPr>
              <w:t>2,556</w:t>
            </w:r>
          </w:p>
        </w:tc>
        <w:tc>
          <w:tcPr>
            <w:tcW w:w="1263" w:type="dxa"/>
            <w:vAlign w:val="center"/>
          </w:tcPr>
          <w:p w14:paraId="7EB57582" w14:textId="77777777" w:rsidR="005C5D4C" w:rsidRPr="00331076" w:rsidRDefault="005C5D4C" w:rsidP="00300163">
            <w:pPr>
              <w:rPr>
                <w:rFonts w:cs="Arial"/>
              </w:rPr>
            </w:pPr>
            <w:r w:rsidRPr="37EF2F3F">
              <w:rPr>
                <w:rFonts w:cs="Arial"/>
              </w:rPr>
              <w:t>2,768</w:t>
            </w:r>
          </w:p>
        </w:tc>
        <w:tc>
          <w:tcPr>
            <w:tcW w:w="1263" w:type="dxa"/>
            <w:vAlign w:val="center"/>
          </w:tcPr>
          <w:p w14:paraId="1269F22B" w14:textId="77777777" w:rsidR="005C5D4C" w:rsidRPr="00331076" w:rsidRDefault="005C5D4C" w:rsidP="00300163">
            <w:pPr>
              <w:rPr>
                <w:rFonts w:cs="Arial"/>
              </w:rPr>
            </w:pPr>
            <w:r w:rsidRPr="37EF2F3F">
              <w:rPr>
                <w:rFonts w:cs="Arial"/>
              </w:rPr>
              <w:t>3,092</w:t>
            </w:r>
          </w:p>
        </w:tc>
        <w:tc>
          <w:tcPr>
            <w:tcW w:w="1263" w:type="dxa"/>
            <w:vAlign w:val="center"/>
          </w:tcPr>
          <w:p w14:paraId="057C0B81" w14:textId="77777777" w:rsidR="005C5D4C" w:rsidRPr="00331076" w:rsidRDefault="005C5D4C" w:rsidP="00300163">
            <w:pPr>
              <w:rPr>
                <w:rFonts w:cs="Arial"/>
              </w:rPr>
            </w:pPr>
            <w:r w:rsidRPr="37EF2F3F">
              <w:rPr>
                <w:rFonts w:cs="Arial"/>
              </w:rPr>
              <w:t>2,948</w:t>
            </w:r>
          </w:p>
        </w:tc>
        <w:tc>
          <w:tcPr>
            <w:tcW w:w="1263" w:type="dxa"/>
            <w:vAlign w:val="center"/>
          </w:tcPr>
          <w:p w14:paraId="02D209F7" w14:textId="3A3B7655" w:rsidR="005C5D4C" w:rsidRPr="00EA5EDB" w:rsidRDefault="005C5D4C" w:rsidP="00300163">
            <w:pPr>
              <w:rPr>
                <w:rFonts w:cs="Arial"/>
              </w:rPr>
            </w:pPr>
            <w:r w:rsidRPr="00EA5EDB">
              <w:rPr>
                <w:rFonts w:cs="Arial"/>
              </w:rPr>
              <w:t>3</w:t>
            </w:r>
            <w:r>
              <w:rPr>
                <w:rFonts w:cs="Arial"/>
              </w:rPr>
              <w:t>,</w:t>
            </w:r>
            <w:r w:rsidRPr="00EA5EDB">
              <w:rPr>
                <w:rFonts w:cs="Arial"/>
              </w:rPr>
              <w:t>220</w:t>
            </w:r>
          </w:p>
        </w:tc>
      </w:tr>
      <w:tr w:rsidR="005C5D4C" w:rsidRPr="00331076" w14:paraId="5185BD54" w14:textId="77777777" w:rsidTr="00EA5EDB">
        <w:trPr>
          <w:trHeight w:val="300"/>
        </w:trPr>
        <w:tc>
          <w:tcPr>
            <w:tcW w:w="4120" w:type="dxa"/>
            <w:vAlign w:val="center"/>
          </w:tcPr>
          <w:p w14:paraId="0E276667" w14:textId="77777777" w:rsidR="005C5D4C" w:rsidRPr="00331076" w:rsidRDefault="005C5D4C" w:rsidP="00300163">
            <w:pPr>
              <w:rPr>
                <w:rFonts w:cs="Arial"/>
              </w:rPr>
            </w:pPr>
            <w:r w:rsidRPr="37EF2F3F">
              <w:rPr>
                <w:rFonts w:cs="Arial"/>
              </w:rPr>
              <w:t>Failure to pay insurance premium</w:t>
            </w:r>
          </w:p>
        </w:tc>
        <w:tc>
          <w:tcPr>
            <w:tcW w:w="1263" w:type="dxa"/>
            <w:vAlign w:val="center"/>
          </w:tcPr>
          <w:p w14:paraId="189037F1" w14:textId="77777777" w:rsidR="005C5D4C" w:rsidRPr="00331076" w:rsidRDefault="005C5D4C" w:rsidP="00300163">
            <w:pPr>
              <w:rPr>
                <w:rFonts w:cs="Arial"/>
              </w:rPr>
            </w:pPr>
            <w:r w:rsidRPr="37EF2F3F">
              <w:rPr>
                <w:rFonts w:cs="Arial"/>
              </w:rPr>
              <w:t>258</w:t>
            </w:r>
          </w:p>
        </w:tc>
        <w:tc>
          <w:tcPr>
            <w:tcW w:w="1263" w:type="dxa"/>
            <w:vAlign w:val="center"/>
          </w:tcPr>
          <w:p w14:paraId="6FBEC6B4" w14:textId="77777777" w:rsidR="005C5D4C" w:rsidRPr="00331076" w:rsidRDefault="005C5D4C" w:rsidP="00300163">
            <w:pPr>
              <w:rPr>
                <w:rFonts w:cs="Arial"/>
              </w:rPr>
            </w:pPr>
            <w:r w:rsidRPr="37EF2F3F">
              <w:rPr>
                <w:rFonts w:cs="Arial"/>
              </w:rPr>
              <w:t>332</w:t>
            </w:r>
          </w:p>
        </w:tc>
        <w:tc>
          <w:tcPr>
            <w:tcW w:w="1263" w:type="dxa"/>
            <w:vAlign w:val="center"/>
          </w:tcPr>
          <w:p w14:paraId="04D9E367" w14:textId="77777777" w:rsidR="005C5D4C" w:rsidRPr="00331076" w:rsidRDefault="005C5D4C" w:rsidP="00300163">
            <w:pPr>
              <w:rPr>
                <w:rFonts w:cs="Arial"/>
              </w:rPr>
            </w:pPr>
            <w:r w:rsidRPr="37EF2F3F">
              <w:rPr>
                <w:rFonts w:cs="Arial"/>
              </w:rPr>
              <w:t>430</w:t>
            </w:r>
          </w:p>
        </w:tc>
        <w:tc>
          <w:tcPr>
            <w:tcW w:w="1263" w:type="dxa"/>
            <w:vAlign w:val="center"/>
          </w:tcPr>
          <w:p w14:paraId="35F58B35" w14:textId="77777777" w:rsidR="005C5D4C" w:rsidRPr="00331076" w:rsidRDefault="005C5D4C" w:rsidP="00300163">
            <w:pPr>
              <w:rPr>
                <w:rFonts w:cs="Arial"/>
              </w:rPr>
            </w:pPr>
            <w:r w:rsidRPr="37EF2F3F">
              <w:rPr>
                <w:rFonts w:cs="Arial"/>
              </w:rPr>
              <w:t>388</w:t>
            </w:r>
          </w:p>
        </w:tc>
        <w:tc>
          <w:tcPr>
            <w:tcW w:w="1263" w:type="dxa"/>
            <w:vAlign w:val="center"/>
          </w:tcPr>
          <w:p w14:paraId="27EA5137" w14:textId="77777777" w:rsidR="005C5D4C" w:rsidRPr="005C5D4C" w:rsidRDefault="005C5D4C" w:rsidP="00300163">
            <w:pPr>
              <w:rPr>
                <w:rFonts w:cs="Arial"/>
              </w:rPr>
            </w:pPr>
            <w:r w:rsidRPr="00EA5EDB">
              <w:rPr>
                <w:rFonts w:cs="Arial"/>
              </w:rPr>
              <w:t>456</w:t>
            </w:r>
          </w:p>
        </w:tc>
      </w:tr>
      <w:tr w:rsidR="005C5D4C" w:rsidRPr="00331076" w14:paraId="58FF55A2" w14:textId="77777777" w:rsidTr="00EA5EDB">
        <w:trPr>
          <w:trHeight w:val="300"/>
        </w:trPr>
        <w:tc>
          <w:tcPr>
            <w:tcW w:w="4120" w:type="dxa"/>
            <w:vAlign w:val="center"/>
          </w:tcPr>
          <w:p w14:paraId="12BD3156" w14:textId="77777777" w:rsidR="005C5D4C" w:rsidRPr="00331076" w:rsidRDefault="005C5D4C" w:rsidP="00300163">
            <w:pPr>
              <w:rPr>
                <w:rFonts w:cs="Arial"/>
              </w:rPr>
            </w:pPr>
            <w:r w:rsidRPr="37EF2F3F">
              <w:rPr>
                <w:rFonts w:cs="Arial"/>
              </w:rPr>
              <w:t>Other</w:t>
            </w:r>
          </w:p>
        </w:tc>
        <w:tc>
          <w:tcPr>
            <w:tcW w:w="1263" w:type="dxa"/>
            <w:vAlign w:val="center"/>
          </w:tcPr>
          <w:p w14:paraId="7F1A6058" w14:textId="77777777" w:rsidR="005C5D4C" w:rsidRPr="00331076" w:rsidRDefault="005C5D4C" w:rsidP="00300163">
            <w:pPr>
              <w:rPr>
                <w:rFonts w:cs="Arial"/>
              </w:rPr>
            </w:pPr>
            <w:r w:rsidRPr="37EF2F3F">
              <w:rPr>
                <w:rFonts w:cs="Arial"/>
              </w:rPr>
              <w:t>162</w:t>
            </w:r>
          </w:p>
        </w:tc>
        <w:tc>
          <w:tcPr>
            <w:tcW w:w="1263" w:type="dxa"/>
            <w:vAlign w:val="center"/>
          </w:tcPr>
          <w:p w14:paraId="31EF0156" w14:textId="77777777" w:rsidR="005C5D4C" w:rsidRPr="00331076" w:rsidRDefault="005C5D4C" w:rsidP="00300163">
            <w:pPr>
              <w:rPr>
                <w:rFonts w:cs="Arial"/>
              </w:rPr>
            </w:pPr>
            <w:r w:rsidRPr="37EF2F3F">
              <w:rPr>
                <w:rFonts w:cs="Arial"/>
              </w:rPr>
              <w:t>178</w:t>
            </w:r>
          </w:p>
        </w:tc>
        <w:tc>
          <w:tcPr>
            <w:tcW w:w="1263" w:type="dxa"/>
            <w:vAlign w:val="center"/>
          </w:tcPr>
          <w:p w14:paraId="39131357" w14:textId="77777777" w:rsidR="005C5D4C" w:rsidRPr="00331076" w:rsidRDefault="005C5D4C" w:rsidP="00300163">
            <w:pPr>
              <w:rPr>
                <w:rFonts w:cs="Arial"/>
              </w:rPr>
            </w:pPr>
            <w:r w:rsidRPr="37EF2F3F">
              <w:rPr>
                <w:rFonts w:cs="Arial"/>
              </w:rPr>
              <w:t>208</w:t>
            </w:r>
          </w:p>
        </w:tc>
        <w:tc>
          <w:tcPr>
            <w:tcW w:w="1263" w:type="dxa"/>
            <w:vAlign w:val="center"/>
          </w:tcPr>
          <w:p w14:paraId="2BD9B4F1" w14:textId="77777777" w:rsidR="005C5D4C" w:rsidRPr="00331076" w:rsidRDefault="005C5D4C" w:rsidP="00300163">
            <w:pPr>
              <w:rPr>
                <w:rFonts w:cs="Arial"/>
              </w:rPr>
            </w:pPr>
            <w:r w:rsidRPr="37EF2F3F">
              <w:rPr>
                <w:rFonts w:cs="Arial"/>
              </w:rPr>
              <w:t>348</w:t>
            </w:r>
          </w:p>
        </w:tc>
        <w:tc>
          <w:tcPr>
            <w:tcW w:w="1263" w:type="dxa"/>
            <w:vAlign w:val="center"/>
          </w:tcPr>
          <w:p w14:paraId="59FF4E33" w14:textId="77777777" w:rsidR="005C5D4C" w:rsidRPr="00EA5EDB" w:rsidRDefault="005C5D4C" w:rsidP="00300163">
            <w:pPr>
              <w:rPr>
                <w:rFonts w:cs="Arial"/>
              </w:rPr>
            </w:pPr>
            <w:r w:rsidRPr="00EA5EDB">
              <w:rPr>
                <w:rFonts w:cs="Arial"/>
              </w:rPr>
              <w:t>222</w:t>
            </w:r>
          </w:p>
        </w:tc>
      </w:tr>
      <w:tr w:rsidR="005C5D4C" w14:paraId="67C53BDD" w14:textId="77777777" w:rsidTr="00EA5EDB">
        <w:trPr>
          <w:trHeight w:val="300"/>
        </w:trPr>
        <w:tc>
          <w:tcPr>
            <w:tcW w:w="4120" w:type="dxa"/>
            <w:vAlign w:val="center"/>
          </w:tcPr>
          <w:p w14:paraId="568500DE" w14:textId="77777777" w:rsidR="005C5D4C" w:rsidRPr="00DA56FB" w:rsidRDefault="005C5D4C" w:rsidP="00300163">
            <w:pPr>
              <w:jc w:val="right"/>
              <w:rPr>
                <w:rFonts w:cs="Arial"/>
              </w:rPr>
            </w:pPr>
            <w:r w:rsidRPr="00DA56FB">
              <w:rPr>
                <w:rFonts w:cs="Arial"/>
              </w:rPr>
              <w:t xml:space="preserve">Total </w:t>
            </w:r>
          </w:p>
        </w:tc>
        <w:tc>
          <w:tcPr>
            <w:tcW w:w="1263" w:type="dxa"/>
            <w:vAlign w:val="center"/>
          </w:tcPr>
          <w:p w14:paraId="477F1665" w14:textId="77777777" w:rsidR="005C5D4C" w:rsidRPr="00DA56FB" w:rsidRDefault="005C5D4C" w:rsidP="00300163">
            <w:pPr>
              <w:rPr>
                <w:rFonts w:cs="Arial"/>
              </w:rPr>
            </w:pPr>
            <w:r w:rsidRPr="00DA56FB">
              <w:rPr>
                <w:rFonts w:cs="Arial"/>
              </w:rPr>
              <w:t>4,696</w:t>
            </w:r>
          </w:p>
        </w:tc>
        <w:tc>
          <w:tcPr>
            <w:tcW w:w="1263" w:type="dxa"/>
            <w:vAlign w:val="center"/>
          </w:tcPr>
          <w:p w14:paraId="718B010C" w14:textId="77777777" w:rsidR="005C5D4C" w:rsidRPr="00DA56FB" w:rsidRDefault="005C5D4C" w:rsidP="00300163">
            <w:pPr>
              <w:rPr>
                <w:rFonts w:cs="Arial"/>
              </w:rPr>
            </w:pPr>
            <w:r w:rsidRPr="00DA56FB">
              <w:rPr>
                <w:rFonts w:cs="Arial"/>
              </w:rPr>
              <w:t>5,144</w:t>
            </w:r>
          </w:p>
        </w:tc>
        <w:tc>
          <w:tcPr>
            <w:tcW w:w="1263" w:type="dxa"/>
            <w:vAlign w:val="center"/>
          </w:tcPr>
          <w:p w14:paraId="7CB419D3" w14:textId="77777777" w:rsidR="005C5D4C" w:rsidRPr="00DA56FB" w:rsidRDefault="005C5D4C" w:rsidP="00300163">
            <w:pPr>
              <w:rPr>
                <w:rFonts w:cs="Arial"/>
              </w:rPr>
            </w:pPr>
            <w:r w:rsidRPr="00DA56FB">
              <w:rPr>
                <w:rFonts w:cs="Arial"/>
              </w:rPr>
              <w:t>5,184</w:t>
            </w:r>
          </w:p>
        </w:tc>
        <w:tc>
          <w:tcPr>
            <w:tcW w:w="1263" w:type="dxa"/>
            <w:vAlign w:val="center"/>
          </w:tcPr>
          <w:p w14:paraId="244FA638" w14:textId="77777777" w:rsidR="005C5D4C" w:rsidRPr="00DA56FB" w:rsidRDefault="005C5D4C" w:rsidP="00300163">
            <w:pPr>
              <w:rPr>
                <w:rFonts w:cs="Arial"/>
              </w:rPr>
            </w:pPr>
            <w:r w:rsidRPr="00DA56FB">
              <w:rPr>
                <w:rFonts w:cs="Arial"/>
              </w:rPr>
              <w:t>4,592</w:t>
            </w:r>
          </w:p>
        </w:tc>
        <w:tc>
          <w:tcPr>
            <w:tcW w:w="1263" w:type="dxa"/>
            <w:vAlign w:val="center"/>
          </w:tcPr>
          <w:p w14:paraId="1EA881D8" w14:textId="50CAF581" w:rsidR="005C5D4C" w:rsidRPr="00EA5EDB" w:rsidRDefault="005C5D4C" w:rsidP="00300163">
            <w:pPr>
              <w:rPr>
                <w:rFonts w:cs="Arial"/>
              </w:rPr>
            </w:pPr>
            <w:r w:rsidRPr="00EA5EDB">
              <w:rPr>
                <w:rFonts w:cs="Arial"/>
              </w:rPr>
              <w:t>4</w:t>
            </w:r>
            <w:r>
              <w:rPr>
                <w:rFonts w:cs="Arial"/>
              </w:rPr>
              <w:t>,</w:t>
            </w:r>
            <w:r w:rsidRPr="00EA5EDB">
              <w:rPr>
                <w:rFonts w:cs="Arial"/>
              </w:rPr>
              <w:t>882</w:t>
            </w:r>
          </w:p>
        </w:tc>
      </w:tr>
    </w:tbl>
    <w:p w14:paraId="6B019125" w14:textId="77777777" w:rsidR="003A55DE" w:rsidRDefault="003A55DE" w:rsidP="00EA5EDB">
      <w:pPr>
        <w:pStyle w:val="Heading4"/>
        <w:spacing w:before="120"/>
        <w:rPr>
          <w:rFonts w:cs="Arial"/>
        </w:rPr>
      </w:pPr>
      <w:r w:rsidRPr="004A2C19">
        <w:t xml:space="preserve">Non-conforming building </w:t>
      </w:r>
      <w:r>
        <w:t>product investigations</w:t>
      </w:r>
      <w:r w:rsidRPr="004A2C19">
        <w:t xml:space="preserve"> </w:t>
      </w:r>
    </w:p>
    <w:p w14:paraId="5BD6C9EE" w14:textId="3E9F482B" w:rsidR="005203D1" w:rsidRDefault="003A55DE" w:rsidP="003A55DE">
      <w:pPr>
        <w:spacing w:before="120" w:after="120"/>
        <w:rPr>
          <w:rFonts w:eastAsia="Arial" w:cs="Arial"/>
        </w:rPr>
      </w:pPr>
      <w:r w:rsidRPr="37EF2F3F">
        <w:rPr>
          <w:rFonts w:eastAsia="Arial" w:cs="Arial"/>
        </w:rPr>
        <w:t xml:space="preserve">The QBCC plays a critical role in investigating </w:t>
      </w:r>
      <w:r w:rsidR="00173D24">
        <w:t>n</w:t>
      </w:r>
      <w:r w:rsidR="00A31A7C" w:rsidRPr="004A2C19">
        <w:t>on-</w:t>
      </w:r>
      <w:r w:rsidR="00173D24">
        <w:t>c</w:t>
      </w:r>
      <w:r w:rsidR="00A31A7C" w:rsidRPr="004A2C19">
        <w:t xml:space="preserve">onforming </w:t>
      </w:r>
      <w:r w:rsidR="00173D24">
        <w:t>b</w:t>
      </w:r>
      <w:r w:rsidR="00A31A7C" w:rsidRPr="004A2C19">
        <w:t xml:space="preserve">uilding </w:t>
      </w:r>
      <w:r w:rsidR="00173D24">
        <w:t>p</w:t>
      </w:r>
      <w:r w:rsidR="00A31A7C">
        <w:t>roduct</w:t>
      </w:r>
      <w:r w:rsidR="004B05F8">
        <w:t>s</w:t>
      </w:r>
      <w:r w:rsidR="00A31A7C">
        <w:t xml:space="preserve"> </w:t>
      </w:r>
      <w:r w:rsidR="004B05F8">
        <w:t>(</w:t>
      </w:r>
      <w:r w:rsidRPr="37EF2F3F">
        <w:rPr>
          <w:rFonts w:eastAsia="Arial" w:cs="Arial"/>
        </w:rPr>
        <w:t>NCBPs</w:t>
      </w:r>
      <w:r w:rsidR="004B05F8">
        <w:rPr>
          <w:rFonts w:eastAsia="Arial" w:cs="Arial"/>
        </w:rPr>
        <w:t>)</w:t>
      </w:r>
      <w:r w:rsidRPr="37EF2F3F">
        <w:rPr>
          <w:rFonts w:eastAsia="Arial" w:cs="Arial"/>
        </w:rPr>
        <w:t xml:space="preserve"> to protect the safety,</w:t>
      </w:r>
      <w:r>
        <w:rPr>
          <w:rFonts w:eastAsia="Arial" w:cs="Arial"/>
        </w:rPr>
        <w:t xml:space="preserve"> compliance and</w:t>
      </w:r>
      <w:r w:rsidRPr="37EF2F3F">
        <w:rPr>
          <w:rFonts w:eastAsia="Arial" w:cs="Arial"/>
        </w:rPr>
        <w:t xml:space="preserve"> integrity of Queensland’s built environment. NCBPs are materials or components that </w:t>
      </w:r>
      <w:r>
        <w:rPr>
          <w:rFonts w:eastAsia="Arial" w:cs="Arial"/>
        </w:rPr>
        <w:t>are unsafe, non-compliant with regulatory standards</w:t>
      </w:r>
      <w:r w:rsidRPr="37EF2F3F">
        <w:rPr>
          <w:rFonts w:eastAsia="Arial" w:cs="Arial"/>
        </w:rPr>
        <w:t xml:space="preserve"> or </w:t>
      </w:r>
      <w:r>
        <w:rPr>
          <w:rFonts w:eastAsia="Arial" w:cs="Arial"/>
        </w:rPr>
        <w:t xml:space="preserve">do not perform as intended. </w:t>
      </w:r>
    </w:p>
    <w:p w14:paraId="0B6A5386" w14:textId="03E81E6B" w:rsidR="003A55DE" w:rsidRPr="00162AEB" w:rsidRDefault="003A55DE" w:rsidP="003A55DE">
      <w:pPr>
        <w:spacing w:before="120" w:after="120"/>
        <w:rPr>
          <w:rFonts w:eastAsia="Arial" w:cs="Arial"/>
        </w:rPr>
      </w:pPr>
      <w:r w:rsidRPr="00162AEB">
        <w:rPr>
          <w:rFonts w:eastAsia="Arial" w:cs="Arial"/>
        </w:rPr>
        <w:t xml:space="preserve">Where </w:t>
      </w:r>
      <w:r>
        <w:rPr>
          <w:rFonts w:eastAsia="Arial" w:cs="Arial"/>
        </w:rPr>
        <w:t>NCPBs</w:t>
      </w:r>
      <w:r w:rsidRPr="00162AEB">
        <w:rPr>
          <w:rFonts w:eastAsia="Arial" w:cs="Arial"/>
        </w:rPr>
        <w:t xml:space="preserve"> are identified</w:t>
      </w:r>
      <w:r w:rsidR="007A7790">
        <w:rPr>
          <w:rFonts w:eastAsia="Arial" w:cs="Arial"/>
        </w:rPr>
        <w:t xml:space="preserve"> </w:t>
      </w:r>
      <w:r w:rsidR="007A7790" w:rsidRPr="007A7790">
        <w:rPr>
          <w:rFonts w:eastAsia="Arial" w:cs="Arial"/>
        </w:rPr>
        <w:t>following a technical audit</w:t>
      </w:r>
      <w:r w:rsidRPr="00162AEB">
        <w:rPr>
          <w:rFonts w:eastAsia="Arial" w:cs="Arial"/>
        </w:rPr>
        <w:t>, the QBCC</w:t>
      </w:r>
      <w:r>
        <w:rPr>
          <w:rFonts w:eastAsia="Arial" w:cs="Arial"/>
        </w:rPr>
        <w:t xml:space="preserve"> undertakes a formal investigation</w:t>
      </w:r>
      <w:r w:rsidR="003E3AC0">
        <w:rPr>
          <w:rFonts w:eastAsia="Arial" w:cs="Arial"/>
        </w:rPr>
        <w:t xml:space="preserve"> </w:t>
      </w:r>
      <w:r w:rsidR="003E3AC0" w:rsidRPr="003E3AC0">
        <w:rPr>
          <w:rFonts w:eastAsia="Arial" w:cs="Arial"/>
        </w:rPr>
        <w:t>for potential breach of duties under Part 6AA of the QBCC Act</w:t>
      </w:r>
      <w:r>
        <w:rPr>
          <w:rFonts w:eastAsia="Arial" w:cs="Arial"/>
        </w:rPr>
        <w:t xml:space="preserve">, engaging directly with responsible parties </w:t>
      </w:r>
      <w:r w:rsidRPr="00162AEB">
        <w:rPr>
          <w:rFonts w:eastAsia="Arial" w:cs="Arial"/>
        </w:rPr>
        <w:t>to ensure removal or</w:t>
      </w:r>
      <w:r>
        <w:rPr>
          <w:rFonts w:eastAsia="Arial" w:cs="Arial"/>
        </w:rPr>
        <w:t xml:space="preserve"> the implementation of appropriate remedial action</w:t>
      </w:r>
      <w:r w:rsidRPr="00162AEB">
        <w:rPr>
          <w:rFonts w:eastAsia="Arial" w:cs="Arial"/>
        </w:rPr>
        <w:t xml:space="preserve">. </w:t>
      </w:r>
      <w:r>
        <w:rPr>
          <w:rFonts w:eastAsia="Arial" w:cs="Arial"/>
        </w:rPr>
        <w:t>These i</w:t>
      </w:r>
      <w:r w:rsidRPr="00162AEB">
        <w:rPr>
          <w:rFonts w:eastAsia="Arial" w:cs="Arial"/>
        </w:rPr>
        <w:t xml:space="preserve">nvestigations can result in a range of </w:t>
      </w:r>
      <w:r>
        <w:rPr>
          <w:rFonts w:eastAsia="Arial" w:cs="Arial"/>
        </w:rPr>
        <w:t>regulatory outcomes, including:</w:t>
      </w:r>
    </w:p>
    <w:p w14:paraId="0912F6E0" w14:textId="3E05F3B5" w:rsidR="003A55DE" w:rsidRPr="007043FB" w:rsidRDefault="00004B00" w:rsidP="00BD69F7">
      <w:pPr>
        <w:pStyle w:val="ListParagraph"/>
        <w:numPr>
          <w:ilvl w:val="0"/>
          <w:numId w:val="33"/>
        </w:numPr>
        <w:spacing w:before="120" w:after="120"/>
        <w:ind w:left="714" w:hanging="357"/>
        <w:contextualSpacing w:val="0"/>
        <w:rPr>
          <w:rFonts w:eastAsia="Arial" w:cs="Arial"/>
        </w:rPr>
      </w:pPr>
      <w:r>
        <w:rPr>
          <w:rFonts w:eastAsia="Arial" w:cs="Arial"/>
        </w:rPr>
        <w:t>f</w:t>
      </w:r>
      <w:r w:rsidR="003A55DE" w:rsidRPr="007043FB">
        <w:rPr>
          <w:rFonts w:eastAsia="Arial" w:cs="Arial"/>
        </w:rPr>
        <w:t>ormal warnings</w:t>
      </w:r>
    </w:p>
    <w:p w14:paraId="3795B5E2" w14:textId="4AD482D9" w:rsidR="003A55DE" w:rsidRPr="007043FB" w:rsidRDefault="00004B00" w:rsidP="00BD69F7">
      <w:pPr>
        <w:pStyle w:val="ListParagraph"/>
        <w:numPr>
          <w:ilvl w:val="0"/>
          <w:numId w:val="33"/>
        </w:numPr>
        <w:spacing w:before="120" w:after="120"/>
        <w:ind w:left="714" w:hanging="357"/>
        <w:contextualSpacing w:val="0"/>
        <w:rPr>
          <w:rFonts w:eastAsia="Arial" w:cs="Arial"/>
        </w:rPr>
      </w:pPr>
      <w:r>
        <w:rPr>
          <w:rFonts w:eastAsia="Arial" w:cs="Arial"/>
        </w:rPr>
        <w:t>p</w:t>
      </w:r>
      <w:r w:rsidR="003A55DE" w:rsidRPr="007043FB">
        <w:rPr>
          <w:rFonts w:eastAsia="Arial" w:cs="Arial"/>
        </w:rPr>
        <w:t>rosecution</w:t>
      </w:r>
    </w:p>
    <w:p w14:paraId="056F7606" w14:textId="5AE81EF4" w:rsidR="003A55DE" w:rsidRPr="007043FB" w:rsidRDefault="00004B00" w:rsidP="00BD69F7">
      <w:pPr>
        <w:pStyle w:val="ListParagraph"/>
        <w:numPr>
          <w:ilvl w:val="0"/>
          <w:numId w:val="33"/>
        </w:numPr>
        <w:spacing w:before="120" w:after="120"/>
        <w:ind w:left="714" w:hanging="357"/>
        <w:contextualSpacing w:val="0"/>
        <w:rPr>
          <w:rFonts w:eastAsia="Arial" w:cs="Arial"/>
        </w:rPr>
      </w:pPr>
      <w:r>
        <w:rPr>
          <w:rFonts w:eastAsia="Arial" w:cs="Arial"/>
        </w:rPr>
        <w:t>r</w:t>
      </w:r>
      <w:r w:rsidR="003A55DE" w:rsidRPr="007043FB">
        <w:rPr>
          <w:rFonts w:eastAsia="Arial" w:cs="Arial"/>
        </w:rPr>
        <w:t>emedial action</w:t>
      </w:r>
      <w:r w:rsidR="003A55DE">
        <w:rPr>
          <w:rFonts w:eastAsia="Arial" w:cs="Arial"/>
        </w:rPr>
        <w:t xml:space="preserve"> orders</w:t>
      </w:r>
    </w:p>
    <w:p w14:paraId="1B6DF808" w14:textId="15F86B62" w:rsidR="00853700" w:rsidRDefault="00004B00" w:rsidP="00BD69F7">
      <w:pPr>
        <w:pStyle w:val="ListParagraph"/>
        <w:numPr>
          <w:ilvl w:val="0"/>
          <w:numId w:val="33"/>
        </w:numPr>
        <w:spacing w:before="120" w:after="120"/>
        <w:ind w:left="714" w:hanging="357"/>
        <w:contextualSpacing w:val="0"/>
        <w:rPr>
          <w:rFonts w:eastAsia="Arial" w:cs="Arial"/>
        </w:rPr>
      </w:pPr>
      <w:r>
        <w:rPr>
          <w:rFonts w:eastAsia="Arial" w:cs="Arial"/>
        </w:rPr>
        <w:t>p</w:t>
      </w:r>
      <w:r w:rsidR="003A55DE" w:rsidRPr="007043FB">
        <w:rPr>
          <w:rFonts w:eastAsia="Arial" w:cs="Arial"/>
        </w:rPr>
        <w:t xml:space="preserve">ublic </w:t>
      </w:r>
      <w:r w:rsidR="003A55DE">
        <w:rPr>
          <w:rFonts w:eastAsia="Arial" w:cs="Arial"/>
        </w:rPr>
        <w:t>w</w:t>
      </w:r>
      <w:r w:rsidR="003A55DE" w:rsidRPr="007043FB">
        <w:rPr>
          <w:rFonts w:eastAsia="Arial" w:cs="Arial"/>
        </w:rPr>
        <w:t>arnings</w:t>
      </w:r>
    </w:p>
    <w:p w14:paraId="194173C1" w14:textId="00BA0B33" w:rsidR="00D26DB4" w:rsidRDefault="00004B00" w:rsidP="00BD69F7">
      <w:pPr>
        <w:pStyle w:val="ListParagraph"/>
        <w:numPr>
          <w:ilvl w:val="0"/>
          <w:numId w:val="33"/>
        </w:numPr>
        <w:spacing w:before="120" w:after="120"/>
        <w:ind w:left="714" w:hanging="357"/>
        <w:contextualSpacing w:val="0"/>
        <w:rPr>
          <w:rFonts w:eastAsia="Arial" w:cs="Arial"/>
        </w:rPr>
      </w:pPr>
      <w:r>
        <w:rPr>
          <w:rFonts w:eastAsia="Arial" w:cs="Arial"/>
        </w:rPr>
        <w:t>e</w:t>
      </w:r>
      <w:r w:rsidR="003A55DE" w:rsidRPr="007043FB">
        <w:rPr>
          <w:rFonts w:eastAsia="Arial" w:cs="Arial"/>
        </w:rPr>
        <w:t>ducation</w:t>
      </w:r>
      <w:r w:rsidR="003A55DE">
        <w:rPr>
          <w:rFonts w:eastAsia="Arial" w:cs="Arial"/>
        </w:rPr>
        <w:t>al materials</w:t>
      </w:r>
    </w:p>
    <w:p w14:paraId="200F6C45" w14:textId="7C4C5ECB" w:rsidR="003A55DE" w:rsidRPr="007043FB" w:rsidRDefault="00004B00" w:rsidP="00BD69F7">
      <w:pPr>
        <w:pStyle w:val="ListParagraph"/>
        <w:numPr>
          <w:ilvl w:val="0"/>
          <w:numId w:val="33"/>
        </w:numPr>
        <w:spacing w:before="120" w:after="120"/>
        <w:ind w:left="714" w:hanging="357"/>
        <w:contextualSpacing w:val="0"/>
        <w:rPr>
          <w:rFonts w:eastAsia="Arial" w:cs="Arial"/>
        </w:rPr>
      </w:pPr>
      <w:r>
        <w:rPr>
          <w:rFonts w:eastAsia="Arial" w:cs="Arial"/>
        </w:rPr>
        <w:t>p</w:t>
      </w:r>
      <w:r w:rsidR="003A55DE" w:rsidRPr="007043FB">
        <w:rPr>
          <w:rFonts w:eastAsia="Arial" w:cs="Arial"/>
        </w:rPr>
        <w:t>ublish</w:t>
      </w:r>
      <w:r w:rsidR="003A55DE">
        <w:rPr>
          <w:rFonts w:eastAsia="Arial" w:cs="Arial"/>
        </w:rPr>
        <w:t xml:space="preserve">ed </w:t>
      </w:r>
      <w:r w:rsidR="003A55DE" w:rsidRPr="007043FB">
        <w:rPr>
          <w:rFonts w:eastAsia="Arial" w:cs="Arial"/>
        </w:rPr>
        <w:t>information</w:t>
      </w:r>
    </w:p>
    <w:p w14:paraId="7AAC2CE1" w14:textId="18DD8597" w:rsidR="0019556E" w:rsidRDefault="00004B00" w:rsidP="00BD69F7">
      <w:pPr>
        <w:pStyle w:val="ListParagraph"/>
        <w:numPr>
          <w:ilvl w:val="0"/>
          <w:numId w:val="33"/>
        </w:numPr>
        <w:spacing w:before="120" w:after="120"/>
        <w:ind w:left="714" w:hanging="357"/>
        <w:contextualSpacing w:val="0"/>
        <w:rPr>
          <w:rFonts w:eastAsia="Arial" w:cs="Arial"/>
        </w:rPr>
      </w:pPr>
      <w:r>
        <w:rPr>
          <w:rFonts w:eastAsia="Arial" w:cs="Arial"/>
        </w:rPr>
        <w:t>m</w:t>
      </w:r>
      <w:r w:rsidR="003A55DE" w:rsidRPr="007043FB">
        <w:rPr>
          <w:rFonts w:eastAsia="Arial" w:cs="Arial"/>
        </w:rPr>
        <w:t xml:space="preserve">inisterial </w:t>
      </w:r>
      <w:r w:rsidR="003A55DE">
        <w:rPr>
          <w:rFonts w:eastAsia="Arial" w:cs="Arial"/>
        </w:rPr>
        <w:t>warning</w:t>
      </w:r>
      <w:r w:rsidR="0019556E">
        <w:rPr>
          <w:rFonts w:eastAsia="Arial" w:cs="Arial"/>
        </w:rPr>
        <w:t xml:space="preserve"> </w:t>
      </w:r>
    </w:p>
    <w:p w14:paraId="0AB94D5D" w14:textId="055AA9D5" w:rsidR="003A55DE" w:rsidRPr="00E82324" w:rsidRDefault="00004B00" w:rsidP="00BD69F7">
      <w:pPr>
        <w:pStyle w:val="ListParagraph"/>
        <w:numPr>
          <w:ilvl w:val="0"/>
          <w:numId w:val="33"/>
        </w:numPr>
        <w:spacing w:before="120" w:after="120"/>
        <w:ind w:left="714" w:hanging="357"/>
        <w:contextualSpacing w:val="0"/>
        <w:rPr>
          <w:rFonts w:eastAsia="Arial" w:cs="Arial"/>
        </w:rPr>
      </w:pPr>
      <w:r>
        <w:rPr>
          <w:rFonts w:eastAsia="Arial" w:cs="Arial"/>
        </w:rPr>
        <w:t>r</w:t>
      </w:r>
      <w:r w:rsidR="003A55DE" w:rsidRPr="007043FB">
        <w:rPr>
          <w:rFonts w:eastAsia="Arial" w:cs="Arial"/>
        </w:rPr>
        <w:t>ecall</w:t>
      </w:r>
      <w:r w:rsidR="003A55DE">
        <w:rPr>
          <w:rFonts w:eastAsia="Arial" w:cs="Arial"/>
        </w:rPr>
        <w:t>s</w:t>
      </w:r>
    </w:p>
    <w:p w14:paraId="01D9A867" w14:textId="51FBEF0D" w:rsidR="003A55DE" w:rsidRPr="00355653" w:rsidRDefault="002A024B" w:rsidP="00BD69F7">
      <w:pPr>
        <w:pStyle w:val="ListParagraph"/>
        <w:numPr>
          <w:ilvl w:val="0"/>
          <w:numId w:val="33"/>
        </w:numPr>
        <w:spacing w:before="120" w:after="120"/>
        <w:ind w:left="714" w:hanging="357"/>
        <w:contextualSpacing w:val="0"/>
        <w:rPr>
          <w:rFonts w:eastAsia="Arial" w:cs="Arial"/>
        </w:rPr>
      </w:pPr>
      <w:r>
        <w:rPr>
          <w:rFonts w:eastAsia="Arial" w:cs="Arial"/>
        </w:rPr>
        <w:t>d</w:t>
      </w:r>
      <w:r w:rsidR="003A55DE" w:rsidRPr="007043FB">
        <w:rPr>
          <w:rFonts w:eastAsia="Arial" w:cs="Arial"/>
        </w:rPr>
        <w:t xml:space="preserve">isciplinary </w:t>
      </w:r>
      <w:r w:rsidR="003A55DE">
        <w:rPr>
          <w:rFonts w:eastAsia="Arial" w:cs="Arial"/>
        </w:rPr>
        <w:t>a</w:t>
      </w:r>
      <w:r w:rsidR="003A55DE" w:rsidRPr="007043FB">
        <w:rPr>
          <w:rFonts w:eastAsia="Arial" w:cs="Arial"/>
        </w:rPr>
        <w:t>ction</w:t>
      </w:r>
      <w:r>
        <w:rPr>
          <w:rFonts w:eastAsia="Arial" w:cs="Arial"/>
        </w:rPr>
        <w:t>.</w:t>
      </w:r>
    </w:p>
    <w:p w14:paraId="3FD0571A" w14:textId="1202E48E" w:rsidR="00D47FA8" w:rsidRPr="00355653" w:rsidRDefault="005203D1" w:rsidP="003A55DE">
      <w:pPr>
        <w:spacing w:before="120" w:after="120"/>
        <w:rPr>
          <w:rFonts w:eastAsia="Arial" w:cs="Arial"/>
        </w:rPr>
      </w:pPr>
      <w:r>
        <w:rPr>
          <w:rFonts w:eastAsia="Arial" w:cs="Arial"/>
        </w:rPr>
        <w:t>T</w:t>
      </w:r>
      <w:r w:rsidR="003A55DE" w:rsidRPr="00162AEB">
        <w:rPr>
          <w:rFonts w:eastAsia="Arial" w:cs="Arial"/>
        </w:rPr>
        <w:t xml:space="preserve">he QBCC </w:t>
      </w:r>
      <w:r w:rsidR="003A55DE">
        <w:rPr>
          <w:rFonts w:eastAsia="Arial" w:cs="Arial"/>
        </w:rPr>
        <w:t>proactive</w:t>
      </w:r>
      <w:r w:rsidR="00501A6D">
        <w:rPr>
          <w:rFonts w:eastAsia="Arial" w:cs="Arial"/>
        </w:rPr>
        <w:t>ly</w:t>
      </w:r>
      <w:r w:rsidR="003A55DE">
        <w:rPr>
          <w:rFonts w:eastAsia="Arial" w:cs="Arial"/>
        </w:rPr>
        <w:t xml:space="preserve"> educat</w:t>
      </w:r>
      <w:r w:rsidR="00501A6D">
        <w:rPr>
          <w:rFonts w:eastAsia="Arial" w:cs="Arial"/>
        </w:rPr>
        <w:t>es</w:t>
      </w:r>
      <w:r w:rsidR="003A55DE">
        <w:rPr>
          <w:rFonts w:eastAsia="Arial" w:cs="Arial"/>
        </w:rPr>
        <w:t xml:space="preserve"> product designers, manufacturers, importers, suppliers, installers, architects and engineers across the</w:t>
      </w:r>
      <w:r w:rsidR="003A55DE" w:rsidRPr="00162AEB">
        <w:rPr>
          <w:rFonts w:eastAsia="Arial" w:cs="Arial"/>
        </w:rPr>
        <w:t xml:space="preserve"> chain of responsibility</w:t>
      </w:r>
      <w:r w:rsidR="003A55DE">
        <w:rPr>
          <w:rFonts w:eastAsia="Arial" w:cs="Arial"/>
        </w:rPr>
        <w:t xml:space="preserve"> to improve</w:t>
      </w:r>
      <w:r w:rsidR="003A55DE" w:rsidRPr="00F43683">
        <w:rPr>
          <w:rFonts w:eastAsia="Arial" w:cs="Arial"/>
        </w:rPr>
        <w:t xml:space="preserve"> </w:t>
      </w:r>
      <w:r w:rsidR="003A55DE">
        <w:rPr>
          <w:rFonts w:eastAsia="Arial" w:cs="Arial"/>
        </w:rPr>
        <w:t xml:space="preserve">awareness and compliance with </w:t>
      </w:r>
      <w:r w:rsidR="003A55DE" w:rsidRPr="00F43683">
        <w:rPr>
          <w:rFonts w:eastAsia="Arial" w:cs="Arial"/>
        </w:rPr>
        <w:t>NCBP laws</w:t>
      </w:r>
      <w:r w:rsidR="003A55DE" w:rsidRPr="00162AEB">
        <w:rPr>
          <w:rFonts w:eastAsia="Arial" w:cs="Arial"/>
        </w:rPr>
        <w:t>.</w:t>
      </w:r>
      <w:r w:rsidR="003A55DE">
        <w:rPr>
          <w:rFonts w:eastAsia="Arial" w:cs="Arial"/>
        </w:rPr>
        <w:t xml:space="preserve"> T</w:t>
      </w:r>
      <w:r w:rsidR="003A55DE" w:rsidRPr="00162AEB">
        <w:rPr>
          <w:rFonts w:eastAsia="Arial" w:cs="Arial"/>
        </w:rPr>
        <w:t xml:space="preserve">hese </w:t>
      </w:r>
      <w:r w:rsidR="003A55DE">
        <w:rPr>
          <w:rFonts w:eastAsia="Arial" w:cs="Arial"/>
        </w:rPr>
        <w:t xml:space="preserve">combined </w:t>
      </w:r>
      <w:r w:rsidR="003A55DE" w:rsidRPr="00162AEB">
        <w:rPr>
          <w:rFonts w:eastAsia="Arial" w:cs="Arial"/>
        </w:rPr>
        <w:t>efforts</w:t>
      </w:r>
      <w:r w:rsidR="003A55DE">
        <w:rPr>
          <w:rFonts w:eastAsia="Arial" w:cs="Arial"/>
        </w:rPr>
        <w:t xml:space="preserve"> support product safety </w:t>
      </w:r>
      <w:r w:rsidR="003A55DE" w:rsidRPr="00162AEB">
        <w:rPr>
          <w:rFonts w:eastAsia="Arial" w:cs="Arial"/>
        </w:rPr>
        <w:t xml:space="preserve">standards, </w:t>
      </w:r>
      <w:r w:rsidR="003A55DE">
        <w:rPr>
          <w:rFonts w:eastAsia="Arial" w:cs="Arial"/>
        </w:rPr>
        <w:t xml:space="preserve">protect </w:t>
      </w:r>
      <w:r w:rsidR="003A55DE" w:rsidRPr="00162AEB">
        <w:rPr>
          <w:rFonts w:eastAsia="Arial" w:cs="Arial"/>
        </w:rPr>
        <w:t xml:space="preserve">consumers and help </w:t>
      </w:r>
      <w:r w:rsidRPr="005203D1">
        <w:rPr>
          <w:rFonts w:eastAsia="Arial" w:cs="Arial"/>
        </w:rPr>
        <w:t>detect and disrupt serious harm</w:t>
      </w:r>
      <w:r>
        <w:rPr>
          <w:rFonts w:eastAsia="Arial" w:cs="Arial"/>
        </w:rPr>
        <w:t xml:space="preserve">. </w:t>
      </w:r>
      <w:r w:rsidR="003B6FA4">
        <w:rPr>
          <w:rFonts w:eastAsia="Arial" w:cs="Arial"/>
        </w:rPr>
        <w:fldChar w:fldCharType="begin"/>
      </w:r>
      <w:r w:rsidR="003B6FA4">
        <w:rPr>
          <w:rFonts w:eastAsia="Arial" w:cs="Arial"/>
        </w:rPr>
        <w:instrText xml:space="preserve"> REF _Ref204671153 \h </w:instrText>
      </w:r>
      <w:r w:rsidR="003B6FA4">
        <w:rPr>
          <w:rFonts w:eastAsia="Arial" w:cs="Arial"/>
        </w:rPr>
      </w:r>
      <w:r w:rsidR="003B6FA4">
        <w:rPr>
          <w:rFonts w:eastAsia="Arial" w:cs="Arial"/>
        </w:rPr>
        <w:fldChar w:fldCharType="separate"/>
      </w:r>
      <w:r w:rsidR="003B6FA4">
        <w:t>Table 18</w:t>
      </w:r>
      <w:r w:rsidR="003B6FA4">
        <w:rPr>
          <w:rFonts w:eastAsia="Arial" w:cs="Arial"/>
        </w:rPr>
        <w:fldChar w:fldCharType="end"/>
      </w:r>
      <w:r w:rsidR="003A55DE">
        <w:rPr>
          <w:rFonts w:eastAsia="Arial" w:cs="Arial"/>
        </w:rPr>
        <w:fldChar w:fldCharType="begin"/>
      </w:r>
      <w:r w:rsidR="003A55DE">
        <w:rPr>
          <w:rFonts w:eastAsia="Arial" w:cs="Arial"/>
        </w:rPr>
        <w:instrText xml:space="preserve"> REF _Ref201908384 \h </w:instrText>
      </w:r>
      <w:r w:rsidR="003A55DE">
        <w:rPr>
          <w:rFonts w:eastAsia="Arial" w:cs="Arial"/>
        </w:rPr>
      </w:r>
      <w:r w:rsidR="003A55DE">
        <w:rPr>
          <w:rFonts w:eastAsia="Arial" w:cs="Arial"/>
        </w:rPr>
        <w:fldChar w:fldCharType="end"/>
      </w:r>
      <w:r w:rsidR="003A55DE" w:rsidRPr="00162AEB">
        <w:rPr>
          <w:rFonts w:eastAsia="Arial" w:cs="Arial"/>
        </w:rPr>
        <w:t xml:space="preserve"> outlines the</w:t>
      </w:r>
      <w:r w:rsidR="003A55DE">
        <w:rPr>
          <w:rFonts w:eastAsia="Arial" w:cs="Arial"/>
        </w:rPr>
        <w:t xml:space="preserve"> </w:t>
      </w:r>
      <w:r w:rsidR="00DD344F">
        <w:rPr>
          <w:rFonts w:eastAsia="Arial" w:cs="Arial"/>
        </w:rPr>
        <w:t xml:space="preserve">number of </w:t>
      </w:r>
      <w:r w:rsidR="003A55DE">
        <w:rPr>
          <w:rFonts w:eastAsia="Arial" w:cs="Arial"/>
        </w:rPr>
        <w:t xml:space="preserve">NCBP complaints assessed through the QBCC triage and </w:t>
      </w:r>
      <w:r w:rsidR="00B2474D">
        <w:rPr>
          <w:rFonts w:eastAsia="Arial" w:cs="Arial"/>
        </w:rPr>
        <w:t xml:space="preserve">technical </w:t>
      </w:r>
      <w:r w:rsidR="003A55DE">
        <w:rPr>
          <w:rFonts w:eastAsia="Arial" w:cs="Arial"/>
        </w:rPr>
        <w:t>audit processes during</w:t>
      </w:r>
      <w:r w:rsidR="003A55DE" w:rsidRPr="00162AEB">
        <w:rPr>
          <w:rFonts w:eastAsia="Arial" w:cs="Arial"/>
        </w:rPr>
        <w:t xml:space="preserve"> the reporting period</w:t>
      </w:r>
      <w:r w:rsidR="003A55DE">
        <w:rPr>
          <w:rFonts w:eastAsia="Arial" w:cs="Arial"/>
        </w:rPr>
        <w:t>, along with their corresponding outcomes.</w:t>
      </w:r>
    </w:p>
    <w:p w14:paraId="1F99B6C5" w14:textId="56F3F4AD" w:rsidR="003A55DE" w:rsidRPr="004C354A" w:rsidRDefault="003A55DE" w:rsidP="003664F7">
      <w:pPr>
        <w:pStyle w:val="Caption"/>
      </w:pPr>
      <w:bookmarkStart w:id="106" w:name="_Ref204671153"/>
      <w:bookmarkStart w:id="107" w:name="_Ref203399812"/>
      <w:r>
        <w:t xml:space="preserve">Table </w:t>
      </w:r>
      <w:bookmarkEnd w:id="106"/>
      <w:r w:rsidR="006C5E7F">
        <w:t>18</w:t>
      </w:r>
      <w:r>
        <w:fldChar w:fldCharType="begin"/>
      </w:r>
      <w:r>
        <w:instrText>SEQ Table \* ARABIC</w:instrText>
      </w:r>
      <w:r>
        <w:fldChar w:fldCharType="separate"/>
      </w:r>
      <w:r>
        <w:fldChar w:fldCharType="end"/>
      </w:r>
      <w:bookmarkEnd w:id="107"/>
      <w:r w:rsidRPr="007554DD">
        <w:t>: Number of NCBP cases assessed in 2024–25 and their outcomes</w:t>
      </w:r>
    </w:p>
    <w:tbl>
      <w:tblPr>
        <w:tblStyle w:val="TableGrid"/>
        <w:tblW w:w="5000" w:type="pct"/>
        <w:tblLook w:val="04A0" w:firstRow="1" w:lastRow="0" w:firstColumn="1" w:lastColumn="0" w:noHBand="0" w:noVBand="1"/>
      </w:tblPr>
      <w:tblGrid>
        <w:gridCol w:w="1980"/>
        <w:gridCol w:w="7229"/>
        <w:gridCol w:w="1241"/>
      </w:tblGrid>
      <w:tr w:rsidR="003A55DE" w:rsidRPr="002F7963" w14:paraId="2A442650" w14:textId="77777777" w:rsidTr="00393933">
        <w:trPr>
          <w:trHeight w:val="300"/>
          <w:tblHeader/>
        </w:trPr>
        <w:tc>
          <w:tcPr>
            <w:tcW w:w="4406" w:type="pct"/>
            <w:gridSpan w:val="2"/>
            <w:shd w:val="clear" w:color="auto" w:fill="A6A6A6" w:themeFill="background1" w:themeFillShade="A6"/>
            <w:vAlign w:val="center"/>
          </w:tcPr>
          <w:p w14:paraId="670578C2" w14:textId="77777777" w:rsidR="003A55DE" w:rsidRDefault="003A55DE" w:rsidP="00300163">
            <w:pPr>
              <w:jc w:val="center"/>
              <w:rPr>
                <w:rFonts w:cs="Arial"/>
                <w:b/>
                <w:bCs/>
              </w:rPr>
            </w:pPr>
            <w:r>
              <w:rPr>
                <w:rFonts w:cs="Arial"/>
                <w:b/>
                <w:bCs/>
              </w:rPr>
              <w:t>Assessment</w:t>
            </w:r>
          </w:p>
        </w:tc>
        <w:tc>
          <w:tcPr>
            <w:tcW w:w="594" w:type="pct"/>
            <w:vMerge w:val="restart"/>
            <w:shd w:val="clear" w:color="auto" w:fill="A6A6A6" w:themeFill="background1" w:themeFillShade="A6"/>
            <w:vAlign w:val="center"/>
          </w:tcPr>
          <w:p w14:paraId="57F69878" w14:textId="3BEFA19D" w:rsidR="003A55DE" w:rsidRPr="002F7963" w:rsidRDefault="002F706D" w:rsidP="00300163">
            <w:pPr>
              <w:rPr>
                <w:rFonts w:cs="Arial"/>
                <w:b/>
                <w:szCs w:val="22"/>
              </w:rPr>
            </w:pPr>
            <w:r w:rsidRPr="002F7963">
              <w:rPr>
                <w:rFonts w:cs="Arial"/>
                <w:b/>
                <w:szCs w:val="22"/>
              </w:rPr>
              <w:t>202</w:t>
            </w:r>
            <w:r>
              <w:rPr>
                <w:rFonts w:cs="Arial"/>
                <w:b/>
                <w:szCs w:val="22"/>
              </w:rPr>
              <w:t>4</w:t>
            </w:r>
            <w:r w:rsidRPr="002F7963">
              <w:rPr>
                <w:rFonts w:cs="Arial"/>
                <w:b/>
                <w:szCs w:val="22"/>
              </w:rPr>
              <w:t>–2</w:t>
            </w:r>
            <w:r>
              <w:rPr>
                <w:rFonts w:cs="Arial"/>
                <w:b/>
                <w:szCs w:val="22"/>
              </w:rPr>
              <w:t>5</w:t>
            </w:r>
          </w:p>
        </w:tc>
      </w:tr>
      <w:tr w:rsidR="003A55DE" w:rsidRPr="002F7963" w14:paraId="69423DD3" w14:textId="77777777" w:rsidTr="00393933">
        <w:trPr>
          <w:trHeight w:val="300"/>
          <w:tblHeader/>
        </w:trPr>
        <w:tc>
          <w:tcPr>
            <w:tcW w:w="947" w:type="pct"/>
            <w:shd w:val="clear" w:color="auto" w:fill="BFBFBF" w:themeFill="background1" w:themeFillShade="BF"/>
          </w:tcPr>
          <w:p w14:paraId="137E8210" w14:textId="77777777" w:rsidR="003A55DE" w:rsidRDefault="003A55DE" w:rsidP="00300163">
            <w:pPr>
              <w:rPr>
                <w:rFonts w:cs="Arial"/>
                <w:b/>
                <w:bCs/>
              </w:rPr>
            </w:pPr>
            <w:r>
              <w:rPr>
                <w:rFonts w:cs="Arial"/>
                <w:b/>
                <w:bCs/>
              </w:rPr>
              <w:t>Stage</w:t>
            </w:r>
          </w:p>
        </w:tc>
        <w:tc>
          <w:tcPr>
            <w:tcW w:w="3459" w:type="pct"/>
            <w:shd w:val="clear" w:color="auto" w:fill="BFBFBF" w:themeFill="background1" w:themeFillShade="BF"/>
            <w:vAlign w:val="center"/>
          </w:tcPr>
          <w:p w14:paraId="77505FB9" w14:textId="77777777" w:rsidR="003A55DE" w:rsidRPr="002F7963" w:rsidRDefault="003A55DE" w:rsidP="00300163">
            <w:pPr>
              <w:rPr>
                <w:rFonts w:cs="Arial"/>
                <w:b/>
              </w:rPr>
            </w:pPr>
            <w:r>
              <w:rPr>
                <w:rFonts w:cs="Arial"/>
                <w:b/>
                <w:bCs/>
              </w:rPr>
              <w:t>Case outcome</w:t>
            </w:r>
          </w:p>
        </w:tc>
        <w:tc>
          <w:tcPr>
            <w:tcW w:w="594" w:type="pct"/>
            <w:vMerge/>
            <w:shd w:val="clear" w:color="auto" w:fill="A6A6A6" w:themeFill="background1" w:themeFillShade="A6"/>
            <w:vAlign w:val="center"/>
          </w:tcPr>
          <w:p w14:paraId="61753A16" w14:textId="5104A84B" w:rsidR="003A55DE" w:rsidRPr="002F7963" w:rsidRDefault="003A55DE" w:rsidP="00300163">
            <w:pPr>
              <w:rPr>
                <w:rFonts w:cs="Arial"/>
                <w:b/>
                <w:szCs w:val="22"/>
              </w:rPr>
            </w:pPr>
          </w:p>
        </w:tc>
      </w:tr>
      <w:tr w:rsidR="003A55DE" w:rsidRPr="002F7963" w14:paraId="233DE41D" w14:textId="77777777" w:rsidTr="00393933">
        <w:trPr>
          <w:trHeight w:val="300"/>
        </w:trPr>
        <w:tc>
          <w:tcPr>
            <w:tcW w:w="947" w:type="pct"/>
            <w:vMerge w:val="restart"/>
          </w:tcPr>
          <w:p w14:paraId="2D4AADB5" w14:textId="77777777" w:rsidR="003A55DE" w:rsidRPr="37EF2F3F" w:rsidRDefault="003A55DE" w:rsidP="00300163">
            <w:pPr>
              <w:rPr>
                <w:rFonts w:cs="Arial"/>
              </w:rPr>
            </w:pPr>
            <w:r>
              <w:rPr>
                <w:rFonts w:cs="Arial"/>
              </w:rPr>
              <w:t>Triage</w:t>
            </w:r>
          </w:p>
        </w:tc>
        <w:tc>
          <w:tcPr>
            <w:tcW w:w="3459" w:type="pct"/>
            <w:vAlign w:val="center"/>
          </w:tcPr>
          <w:p w14:paraId="24F6BB5E" w14:textId="77777777" w:rsidR="003A55DE" w:rsidRPr="00485383" w:rsidRDefault="003A55DE" w:rsidP="00300163">
            <w:pPr>
              <w:rPr>
                <w:rFonts w:cs="Arial"/>
              </w:rPr>
            </w:pPr>
            <w:r>
              <w:rPr>
                <w:rFonts w:cs="Arial"/>
              </w:rPr>
              <w:t>E</w:t>
            </w:r>
            <w:r w:rsidRPr="00E12BDE">
              <w:rPr>
                <w:rFonts w:cs="Arial"/>
              </w:rPr>
              <w:t>scalated to technical audit</w:t>
            </w:r>
          </w:p>
        </w:tc>
        <w:tc>
          <w:tcPr>
            <w:tcW w:w="594" w:type="pct"/>
            <w:vAlign w:val="center"/>
          </w:tcPr>
          <w:p w14:paraId="287ECAFC" w14:textId="77777777" w:rsidR="003A55DE" w:rsidRPr="002F7963" w:rsidRDefault="003A55DE" w:rsidP="00300163">
            <w:pPr>
              <w:rPr>
                <w:rFonts w:cs="Arial"/>
              </w:rPr>
            </w:pPr>
            <w:r w:rsidRPr="6180F14C">
              <w:rPr>
                <w:rFonts w:cs="Arial"/>
              </w:rPr>
              <w:t>11</w:t>
            </w:r>
          </w:p>
        </w:tc>
      </w:tr>
      <w:tr w:rsidR="003A55DE" w:rsidRPr="002F7963" w14:paraId="50E06935" w14:textId="77777777" w:rsidTr="00393933">
        <w:trPr>
          <w:trHeight w:val="300"/>
        </w:trPr>
        <w:tc>
          <w:tcPr>
            <w:tcW w:w="947" w:type="pct"/>
            <w:vMerge/>
          </w:tcPr>
          <w:p w14:paraId="1864F9B7" w14:textId="77777777" w:rsidR="003A55DE" w:rsidRPr="00F4500A" w:rsidRDefault="003A55DE" w:rsidP="00F83B7E">
            <w:pPr>
              <w:rPr>
                <w:rFonts w:cs="Arial"/>
              </w:rPr>
            </w:pPr>
          </w:p>
        </w:tc>
        <w:tc>
          <w:tcPr>
            <w:tcW w:w="3459" w:type="pct"/>
            <w:vAlign w:val="center"/>
          </w:tcPr>
          <w:p w14:paraId="74CC9866" w14:textId="77777777" w:rsidR="003A55DE" w:rsidRPr="00F4500A" w:rsidRDefault="003A55DE" w:rsidP="00F83B7E">
            <w:pPr>
              <w:rPr>
                <w:rFonts w:cs="Arial"/>
              </w:rPr>
            </w:pPr>
            <w:r>
              <w:rPr>
                <w:rFonts w:cs="Arial"/>
              </w:rPr>
              <w:t xml:space="preserve">Resolved </w:t>
            </w:r>
            <w:r w:rsidRPr="0029622F">
              <w:rPr>
                <w:rFonts w:cs="Arial"/>
              </w:rPr>
              <w:t xml:space="preserve">through general education without </w:t>
            </w:r>
            <w:r>
              <w:rPr>
                <w:rFonts w:cs="Arial"/>
              </w:rPr>
              <w:t>formal findings of</w:t>
            </w:r>
            <w:r w:rsidRPr="0029622F">
              <w:rPr>
                <w:rFonts w:cs="Arial"/>
              </w:rPr>
              <w:t xml:space="preserve"> non-conformance</w:t>
            </w:r>
          </w:p>
        </w:tc>
        <w:tc>
          <w:tcPr>
            <w:tcW w:w="594" w:type="pct"/>
            <w:vAlign w:val="center"/>
          </w:tcPr>
          <w:p w14:paraId="67FF86BA" w14:textId="77777777" w:rsidR="003A55DE" w:rsidRPr="002F7963" w:rsidRDefault="003A55DE" w:rsidP="00F83B7E">
            <w:pPr>
              <w:rPr>
                <w:rFonts w:cs="Arial"/>
              </w:rPr>
            </w:pPr>
            <w:r w:rsidRPr="6180F14C">
              <w:rPr>
                <w:rFonts w:cs="Arial"/>
              </w:rPr>
              <w:t>20</w:t>
            </w:r>
          </w:p>
        </w:tc>
      </w:tr>
      <w:tr w:rsidR="003A55DE" w:rsidRPr="002F7963" w14:paraId="09D82B48" w14:textId="77777777" w:rsidTr="00393933">
        <w:trPr>
          <w:trHeight w:val="300"/>
        </w:trPr>
        <w:tc>
          <w:tcPr>
            <w:tcW w:w="947" w:type="pct"/>
            <w:vMerge/>
          </w:tcPr>
          <w:p w14:paraId="4C30F5B6" w14:textId="77777777" w:rsidR="003A55DE" w:rsidRPr="002F7963" w:rsidRDefault="003A55DE" w:rsidP="00F83B7E">
            <w:pPr>
              <w:rPr>
                <w:rFonts w:cs="Arial"/>
                <w:szCs w:val="22"/>
              </w:rPr>
            </w:pPr>
          </w:p>
        </w:tc>
        <w:tc>
          <w:tcPr>
            <w:tcW w:w="3459" w:type="pct"/>
            <w:vAlign w:val="center"/>
          </w:tcPr>
          <w:p w14:paraId="0D4F30B2" w14:textId="77777777" w:rsidR="003A55DE" w:rsidRPr="002F7963" w:rsidRDefault="003A55DE" w:rsidP="00F83B7E">
            <w:pPr>
              <w:rPr>
                <w:rFonts w:cs="Arial"/>
              </w:rPr>
            </w:pPr>
            <w:r w:rsidRPr="00377FA2">
              <w:rPr>
                <w:rFonts w:cs="Arial"/>
              </w:rPr>
              <w:t>Resol</w:t>
            </w:r>
            <w:r>
              <w:rPr>
                <w:rFonts w:cs="Arial"/>
              </w:rPr>
              <w:t>ved</w:t>
            </w:r>
            <w:r w:rsidRPr="00377FA2">
              <w:rPr>
                <w:rFonts w:cs="Arial"/>
              </w:rPr>
              <w:t xml:space="preserve"> through retaining information as general intelligence</w:t>
            </w:r>
          </w:p>
        </w:tc>
        <w:tc>
          <w:tcPr>
            <w:tcW w:w="594" w:type="pct"/>
            <w:vAlign w:val="center"/>
          </w:tcPr>
          <w:p w14:paraId="320BCD85" w14:textId="77777777" w:rsidR="003A55DE" w:rsidRPr="002F7963" w:rsidRDefault="003A55DE" w:rsidP="00F83B7E">
            <w:pPr>
              <w:rPr>
                <w:rFonts w:cs="Arial"/>
              </w:rPr>
            </w:pPr>
            <w:r w:rsidRPr="6180F14C">
              <w:rPr>
                <w:rFonts w:cs="Arial"/>
              </w:rPr>
              <w:t>38</w:t>
            </w:r>
          </w:p>
        </w:tc>
      </w:tr>
      <w:tr w:rsidR="003A55DE" w:rsidRPr="002F7963" w14:paraId="15A2F09C" w14:textId="77777777" w:rsidTr="00393933">
        <w:trPr>
          <w:trHeight w:val="300"/>
        </w:trPr>
        <w:tc>
          <w:tcPr>
            <w:tcW w:w="947" w:type="pct"/>
            <w:vMerge/>
          </w:tcPr>
          <w:p w14:paraId="450112F7" w14:textId="77777777" w:rsidR="003A55DE" w:rsidRPr="00676F56" w:rsidRDefault="003A55DE" w:rsidP="00F83B7E">
            <w:pPr>
              <w:rPr>
                <w:rFonts w:cs="Arial"/>
              </w:rPr>
            </w:pPr>
          </w:p>
        </w:tc>
        <w:tc>
          <w:tcPr>
            <w:tcW w:w="3459" w:type="pct"/>
            <w:vAlign w:val="center"/>
          </w:tcPr>
          <w:p w14:paraId="55417535" w14:textId="77777777" w:rsidR="003A55DE" w:rsidRPr="002F7963" w:rsidRDefault="003A55DE" w:rsidP="00F83B7E">
            <w:pPr>
              <w:rPr>
                <w:rFonts w:cs="Arial"/>
                <w:szCs w:val="22"/>
              </w:rPr>
            </w:pPr>
            <w:r>
              <w:rPr>
                <w:rFonts w:cs="Arial"/>
                <w:szCs w:val="22"/>
              </w:rPr>
              <w:t>N</w:t>
            </w:r>
            <w:r w:rsidRPr="00154DAF">
              <w:rPr>
                <w:rFonts w:cs="Arial"/>
                <w:szCs w:val="22"/>
              </w:rPr>
              <w:t>ot related to NCBP</w:t>
            </w:r>
            <w:r>
              <w:rPr>
                <w:rFonts w:cs="Arial"/>
                <w:szCs w:val="22"/>
              </w:rPr>
              <w:t xml:space="preserve">, </w:t>
            </w:r>
            <w:r w:rsidRPr="00154DAF">
              <w:rPr>
                <w:rFonts w:cs="Arial"/>
                <w:szCs w:val="22"/>
              </w:rPr>
              <w:t>referred to other QBCC functions</w:t>
            </w:r>
          </w:p>
        </w:tc>
        <w:tc>
          <w:tcPr>
            <w:tcW w:w="594" w:type="pct"/>
            <w:vAlign w:val="center"/>
          </w:tcPr>
          <w:p w14:paraId="4B3A462C" w14:textId="77777777" w:rsidR="003A55DE" w:rsidRPr="002F7963" w:rsidRDefault="003A55DE" w:rsidP="00F83B7E">
            <w:pPr>
              <w:rPr>
                <w:rFonts w:cs="Arial"/>
              </w:rPr>
            </w:pPr>
            <w:r w:rsidRPr="77D1F317">
              <w:rPr>
                <w:rFonts w:cs="Arial"/>
              </w:rPr>
              <w:t>10</w:t>
            </w:r>
          </w:p>
        </w:tc>
      </w:tr>
      <w:tr w:rsidR="003A55DE" w:rsidRPr="002F7963" w14:paraId="4AF7619D" w14:textId="77777777" w:rsidTr="00393933">
        <w:trPr>
          <w:trHeight w:val="300"/>
        </w:trPr>
        <w:tc>
          <w:tcPr>
            <w:tcW w:w="947" w:type="pct"/>
            <w:vMerge/>
          </w:tcPr>
          <w:p w14:paraId="26F5565B" w14:textId="77777777" w:rsidR="003A55DE" w:rsidRPr="00676F56" w:rsidRDefault="003A55DE" w:rsidP="00F83B7E">
            <w:pPr>
              <w:rPr>
                <w:rFonts w:cs="Arial"/>
              </w:rPr>
            </w:pPr>
          </w:p>
        </w:tc>
        <w:tc>
          <w:tcPr>
            <w:tcW w:w="3459" w:type="pct"/>
            <w:vAlign w:val="center"/>
          </w:tcPr>
          <w:p w14:paraId="2CFEB80D" w14:textId="77777777" w:rsidR="003A55DE" w:rsidRPr="002F7963" w:rsidRDefault="003A55DE" w:rsidP="00F83B7E">
            <w:pPr>
              <w:rPr>
                <w:rFonts w:cs="Arial"/>
                <w:szCs w:val="22"/>
              </w:rPr>
            </w:pPr>
            <w:r>
              <w:rPr>
                <w:rFonts w:cs="Arial"/>
                <w:szCs w:val="22"/>
              </w:rPr>
              <w:t>N</w:t>
            </w:r>
            <w:r w:rsidRPr="000347E0">
              <w:rPr>
                <w:rFonts w:cs="Arial"/>
                <w:szCs w:val="22"/>
              </w:rPr>
              <w:t>ot related to NCBP</w:t>
            </w:r>
            <w:r>
              <w:rPr>
                <w:rFonts w:cs="Arial"/>
                <w:szCs w:val="22"/>
              </w:rPr>
              <w:t xml:space="preserve">, </w:t>
            </w:r>
            <w:r w:rsidRPr="000347E0">
              <w:rPr>
                <w:rFonts w:cs="Arial"/>
                <w:szCs w:val="22"/>
              </w:rPr>
              <w:t>referred to other agencies</w:t>
            </w:r>
          </w:p>
        </w:tc>
        <w:tc>
          <w:tcPr>
            <w:tcW w:w="594" w:type="pct"/>
            <w:vAlign w:val="center"/>
          </w:tcPr>
          <w:p w14:paraId="42E7A024" w14:textId="77777777" w:rsidR="003A55DE" w:rsidRPr="002F7963" w:rsidRDefault="003A55DE" w:rsidP="00F83B7E">
            <w:pPr>
              <w:rPr>
                <w:rFonts w:cs="Arial"/>
                <w:szCs w:val="22"/>
              </w:rPr>
            </w:pPr>
            <w:r>
              <w:rPr>
                <w:rFonts w:cs="Arial"/>
                <w:szCs w:val="22"/>
              </w:rPr>
              <w:t>4</w:t>
            </w:r>
          </w:p>
        </w:tc>
      </w:tr>
      <w:tr w:rsidR="003A55DE" w:rsidRPr="002F7963" w14:paraId="24F7A2D7" w14:textId="77777777" w:rsidTr="00393933">
        <w:trPr>
          <w:trHeight w:val="300"/>
        </w:trPr>
        <w:tc>
          <w:tcPr>
            <w:tcW w:w="947" w:type="pct"/>
            <w:vMerge w:val="restart"/>
          </w:tcPr>
          <w:p w14:paraId="0F68AA64" w14:textId="77777777" w:rsidR="003A55DE" w:rsidRPr="00F4500A" w:rsidRDefault="003A55DE" w:rsidP="00300163">
            <w:pPr>
              <w:spacing w:line="259" w:lineRule="auto"/>
              <w:rPr>
                <w:rFonts w:cs="Arial"/>
              </w:rPr>
            </w:pPr>
            <w:r>
              <w:rPr>
                <w:rFonts w:cs="Arial"/>
              </w:rPr>
              <w:t>Technical audit</w:t>
            </w:r>
          </w:p>
        </w:tc>
        <w:tc>
          <w:tcPr>
            <w:tcW w:w="3459" w:type="pct"/>
            <w:vAlign w:val="center"/>
          </w:tcPr>
          <w:p w14:paraId="3D5D7673" w14:textId="77777777" w:rsidR="003A55DE" w:rsidRPr="00F4500A" w:rsidRDefault="003A55DE" w:rsidP="00300163">
            <w:pPr>
              <w:spacing w:line="259" w:lineRule="auto"/>
              <w:rPr>
                <w:rFonts w:cs="Arial"/>
              </w:rPr>
            </w:pPr>
            <w:r>
              <w:rPr>
                <w:rFonts w:cs="Arial"/>
              </w:rPr>
              <w:t>Confirmed</w:t>
            </w:r>
            <w:r w:rsidRPr="007D1E35">
              <w:rPr>
                <w:rFonts w:cs="Arial"/>
              </w:rPr>
              <w:t xml:space="preserve"> </w:t>
            </w:r>
            <w:r>
              <w:rPr>
                <w:rFonts w:cs="Arial"/>
              </w:rPr>
              <w:t xml:space="preserve">as </w:t>
            </w:r>
            <w:r w:rsidRPr="007D1E35">
              <w:rPr>
                <w:rFonts w:cs="Arial"/>
              </w:rPr>
              <w:t xml:space="preserve">NCBP </w:t>
            </w:r>
            <w:r>
              <w:rPr>
                <w:rFonts w:cs="Arial"/>
              </w:rPr>
              <w:t>and referred for formal investigation</w:t>
            </w:r>
          </w:p>
        </w:tc>
        <w:tc>
          <w:tcPr>
            <w:tcW w:w="594" w:type="pct"/>
            <w:vAlign w:val="center"/>
          </w:tcPr>
          <w:p w14:paraId="4595F57D" w14:textId="77777777" w:rsidR="003A55DE" w:rsidRPr="00F20DA6" w:rsidRDefault="003A55DE" w:rsidP="00300163">
            <w:pPr>
              <w:rPr>
                <w:rFonts w:cs="Arial"/>
              </w:rPr>
            </w:pPr>
            <w:r w:rsidRPr="6C69EC02">
              <w:rPr>
                <w:rFonts w:cs="Arial"/>
              </w:rPr>
              <w:t>5</w:t>
            </w:r>
          </w:p>
        </w:tc>
      </w:tr>
      <w:tr w:rsidR="003A55DE" w:rsidRPr="002F7963" w14:paraId="2D770EF1" w14:textId="77777777" w:rsidTr="00393933">
        <w:trPr>
          <w:trHeight w:val="300"/>
        </w:trPr>
        <w:tc>
          <w:tcPr>
            <w:tcW w:w="947" w:type="pct"/>
            <w:vMerge/>
          </w:tcPr>
          <w:p w14:paraId="4B2ED132" w14:textId="77777777" w:rsidR="003A55DE" w:rsidRDefault="003A55DE" w:rsidP="00F83B7E">
            <w:pPr>
              <w:spacing w:line="259" w:lineRule="auto"/>
              <w:rPr>
                <w:rFonts w:cs="Arial"/>
              </w:rPr>
            </w:pPr>
          </w:p>
        </w:tc>
        <w:tc>
          <w:tcPr>
            <w:tcW w:w="3459" w:type="pct"/>
            <w:vAlign w:val="center"/>
          </w:tcPr>
          <w:p w14:paraId="5E1C42C1" w14:textId="77777777" w:rsidR="003A55DE" w:rsidRPr="002F7963" w:rsidRDefault="003A55DE" w:rsidP="00F83B7E">
            <w:pPr>
              <w:spacing w:line="259" w:lineRule="auto"/>
              <w:rPr>
                <w:rFonts w:cs="Arial"/>
              </w:rPr>
            </w:pPr>
            <w:r>
              <w:rPr>
                <w:rFonts w:cs="Arial"/>
              </w:rPr>
              <w:t xml:space="preserve">Resolved through specialised </w:t>
            </w:r>
            <w:r w:rsidRPr="003B3655">
              <w:rPr>
                <w:rFonts w:cs="Arial"/>
              </w:rPr>
              <w:t xml:space="preserve">education </w:t>
            </w:r>
            <w:r>
              <w:rPr>
                <w:rFonts w:cs="Arial"/>
              </w:rPr>
              <w:t xml:space="preserve">following technical </w:t>
            </w:r>
            <w:r w:rsidRPr="003B3655">
              <w:rPr>
                <w:rFonts w:cs="Arial"/>
              </w:rPr>
              <w:t>audit</w:t>
            </w:r>
          </w:p>
        </w:tc>
        <w:tc>
          <w:tcPr>
            <w:tcW w:w="594" w:type="pct"/>
            <w:vAlign w:val="center"/>
          </w:tcPr>
          <w:p w14:paraId="7D39CCE9" w14:textId="77777777" w:rsidR="003A55DE" w:rsidRPr="00D34CC0" w:rsidRDefault="003A55DE" w:rsidP="00F83B7E">
            <w:pPr>
              <w:rPr>
                <w:rFonts w:cs="Arial"/>
                <w:szCs w:val="22"/>
              </w:rPr>
            </w:pPr>
            <w:r w:rsidRPr="00D34CC0">
              <w:rPr>
                <w:rFonts w:cs="Arial"/>
                <w:szCs w:val="22"/>
              </w:rPr>
              <w:t>3</w:t>
            </w:r>
          </w:p>
        </w:tc>
      </w:tr>
      <w:tr w:rsidR="003A55DE" w:rsidRPr="002F7963" w14:paraId="110960EA" w14:textId="77777777" w:rsidTr="00393933">
        <w:trPr>
          <w:trHeight w:val="300"/>
        </w:trPr>
        <w:tc>
          <w:tcPr>
            <w:tcW w:w="947" w:type="pct"/>
            <w:vMerge/>
          </w:tcPr>
          <w:p w14:paraId="4B84F69C" w14:textId="77777777" w:rsidR="003A55DE" w:rsidRPr="37EF2F3F" w:rsidRDefault="003A55DE" w:rsidP="00F83B7E">
            <w:pPr>
              <w:spacing w:line="259" w:lineRule="auto"/>
              <w:rPr>
                <w:rFonts w:cs="Arial"/>
              </w:rPr>
            </w:pPr>
          </w:p>
        </w:tc>
        <w:tc>
          <w:tcPr>
            <w:tcW w:w="3459" w:type="pct"/>
            <w:vAlign w:val="center"/>
          </w:tcPr>
          <w:p w14:paraId="46F5AE51" w14:textId="77777777" w:rsidR="003A55DE" w:rsidRPr="002F7963" w:rsidRDefault="003A55DE" w:rsidP="00F83B7E">
            <w:pPr>
              <w:spacing w:line="259" w:lineRule="auto"/>
              <w:rPr>
                <w:rFonts w:cs="Arial"/>
              </w:rPr>
            </w:pPr>
            <w:r w:rsidRPr="002617D3">
              <w:rPr>
                <w:rFonts w:cs="Arial"/>
              </w:rPr>
              <w:t xml:space="preserve">Insufficient or no evidence of NCBP </w:t>
            </w:r>
            <w:r>
              <w:rPr>
                <w:rFonts w:cs="Arial"/>
              </w:rPr>
              <w:t xml:space="preserve">following technical </w:t>
            </w:r>
            <w:r w:rsidRPr="002617D3">
              <w:rPr>
                <w:rFonts w:cs="Arial"/>
              </w:rPr>
              <w:t>audit</w:t>
            </w:r>
          </w:p>
        </w:tc>
        <w:tc>
          <w:tcPr>
            <w:tcW w:w="594" w:type="pct"/>
            <w:vAlign w:val="center"/>
          </w:tcPr>
          <w:p w14:paraId="5A2D25A0" w14:textId="77777777" w:rsidR="003A55DE" w:rsidRPr="00D34CC0" w:rsidRDefault="003A55DE" w:rsidP="00F83B7E">
            <w:pPr>
              <w:rPr>
                <w:rFonts w:cs="Arial"/>
                <w:szCs w:val="22"/>
              </w:rPr>
            </w:pPr>
            <w:r w:rsidRPr="00D34CC0">
              <w:rPr>
                <w:rFonts w:cs="Arial"/>
                <w:szCs w:val="22"/>
              </w:rPr>
              <w:t>3</w:t>
            </w:r>
          </w:p>
        </w:tc>
      </w:tr>
    </w:tbl>
    <w:p w14:paraId="01E75707" w14:textId="77777777" w:rsidR="003A55DE" w:rsidRDefault="003A55DE" w:rsidP="00D850B1">
      <w:pPr>
        <w:pStyle w:val="Heading4"/>
        <w:spacing w:before="120"/>
      </w:pPr>
      <w:r w:rsidRPr="004A2C19">
        <w:lastRenderedPageBreak/>
        <w:t>Pool safety</w:t>
      </w:r>
      <w:r>
        <w:t xml:space="preserve"> investigations </w:t>
      </w:r>
    </w:p>
    <w:p w14:paraId="2E5EC9FD" w14:textId="54B55803" w:rsidR="003A55DE" w:rsidRDefault="003A55DE" w:rsidP="003A55DE">
      <w:pPr>
        <w:spacing w:before="120" w:after="120"/>
        <w:rPr>
          <w:rFonts w:cs="Arial"/>
        </w:rPr>
      </w:pPr>
      <w:r w:rsidRPr="3B38D01A">
        <w:rPr>
          <w:rFonts w:cs="Arial"/>
        </w:rPr>
        <w:t>The QBCC is responsible for enforcing pool</w:t>
      </w:r>
      <w:r w:rsidRPr="4C44EB3E">
        <w:rPr>
          <w:rFonts w:cs="Arial"/>
        </w:rPr>
        <w:t xml:space="preserve"> safety laws under the Building Act</w:t>
      </w:r>
      <w:r w:rsidRPr="4D1F257C">
        <w:rPr>
          <w:rFonts w:cs="Arial"/>
        </w:rPr>
        <w:t xml:space="preserve">, which </w:t>
      </w:r>
      <w:r w:rsidRPr="0D6981AE">
        <w:rPr>
          <w:rFonts w:cs="Arial"/>
        </w:rPr>
        <w:t>aim</w:t>
      </w:r>
      <w:r>
        <w:rPr>
          <w:rFonts w:cs="Arial"/>
        </w:rPr>
        <w:t>s</w:t>
      </w:r>
      <w:r w:rsidRPr="0D6981AE">
        <w:rPr>
          <w:rFonts w:cs="Arial"/>
        </w:rPr>
        <w:t xml:space="preserve"> to reduce</w:t>
      </w:r>
      <w:r w:rsidRPr="4C44EB3E">
        <w:rPr>
          <w:rFonts w:cs="Arial"/>
        </w:rPr>
        <w:t xml:space="preserve"> the risk of drowning and injury by ensuring </w:t>
      </w:r>
      <w:r w:rsidRPr="00510048">
        <w:rPr>
          <w:rFonts w:cs="Arial"/>
        </w:rPr>
        <w:t>pool owners and PSIs</w:t>
      </w:r>
      <w:r>
        <w:rPr>
          <w:rFonts w:cs="Arial"/>
        </w:rPr>
        <w:t xml:space="preserve"> </w:t>
      </w:r>
      <w:r w:rsidRPr="00510048">
        <w:rPr>
          <w:rFonts w:cs="Arial"/>
        </w:rPr>
        <w:t>compl</w:t>
      </w:r>
      <w:r>
        <w:rPr>
          <w:rFonts w:cs="Arial"/>
        </w:rPr>
        <w:t>y</w:t>
      </w:r>
      <w:r w:rsidRPr="00510048">
        <w:rPr>
          <w:rFonts w:cs="Arial"/>
        </w:rPr>
        <w:t xml:space="preserve"> with the pool safety standard</w:t>
      </w:r>
      <w:r w:rsidR="00523063">
        <w:rPr>
          <w:rFonts w:cs="Arial"/>
        </w:rPr>
        <w:t>s</w:t>
      </w:r>
      <w:r w:rsidRPr="00510048">
        <w:rPr>
          <w:rFonts w:cs="Arial"/>
        </w:rPr>
        <w:t>.</w:t>
      </w:r>
      <w:r>
        <w:rPr>
          <w:rFonts w:cs="Arial"/>
        </w:rPr>
        <w:t xml:space="preserve"> </w:t>
      </w:r>
      <w:r w:rsidRPr="6D5D6D09">
        <w:rPr>
          <w:rFonts w:cs="Arial"/>
        </w:rPr>
        <w:t xml:space="preserve">The QBCC conducts pool safety investigations </w:t>
      </w:r>
      <w:r w:rsidRPr="6A373C16">
        <w:rPr>
          <w:rFonts w:cs="Arial"/>
        </w:rPr>
        <w:t>that focus on</w:t>
      </w:r>
      <w:r w:rsidRPr="6D5D6D09">
        <w:rPr>
          <w:rFonts w:cs="Arial"/>
        </w:rPr>
        <w:t>:</w:t>
      </w:r>
    </w:p>
    <w:p w14:paraId="0577C4C8" w14:textId="50B0DFAA" w:rsidR="003A55DE" w:rsidRDefault="00F766D8" w:rsidP="00BD69F7">
      <w:pPr>
        <w:pStyle w:val="ListParagraph"/>
        <w:numPr>
          <w:ilvl w:val="0"/>
          <w:numId w:val="31"/>
        </w:numPr>
        <w:spacing w:before="120" w:after="120"/>
        <w:ind w:left="714" w:hanging="357"/>
        <w:contextualSpacing w:val="0"/>
        <w:rPr>
          <w:rFonts w:cs="Arial"/>
          <w:szCs w:val="22"/>
        </w:rPr>
      </w:pPr>
      <w:r>
        <w:rPr>
          <w:rFonts w:cs="Arial"/>
        </w:rPr>
        <w:t>r</w:t>
      </w:r>
      <w:r w:rsidR="003A55DE" w:rsidRPr="27DAC36C">
        <w:rPr>
          <w:rFonts w:cs="Arial"/>
        </w:rPr>
        <w:t>esponding</w:t>
      </w:r>
      <w:r w:rsidR="003A55DE" w:rsidRPr="6D5D6D09">
        <w:rPr>
          <w:rFonts w:cs="Arial"/>
        </w:rPr>
        <w:t xml:space="preserve"> to complaints about</w:t>
      </w:r>
      <w:r w:rsidR="003A55DE" w:rsidRPr="00AB30CE">
        <w:rPr>
          <w:rFonts w:cs="Arial"/>
        </w:rPr>
        <w:t xml:space="preserve"> </w:t>
      </w:r>
      <w:r w:rsidR="003A55DE">
        <w:rPr>
          <w:rFonts w:cs="Arial"/>
        </w:rPr>
        <w:t>PSIs</w:t>
      </w:r>
      <w:r w:rsidR="003A55DE" w:rsidRPr="00AB30CE">
        <w:rPr>
          <w:rFonts w:cs="Arial"/>
        </w:rPr>
        <w:t xml:space="preserve"> and pool owners</w:t>
      </w:r>
    </w:p>
    <w:p w14:paraId="5EC4E646" w14:textId="2C81552D" w:rsidR="003A55DE" w:rsidRPr="00032CAA" w:rsidRDefault="00F766D8" w:rsidP="00BD69F7">
      <w:pPr>
        <w:pStyle w:val="ListParagraph"/>
        <w:numPr>
          <w:ilvl w:val="0"/>
          <w:numId w:val="31"/>
        </w:numPr>
        <w:spacing w:before="120" w:after="120"/>
        <w:ind w:left="714" w:hanging="357"/>
        <w:contextualSpacing w:val="0"/>
        <w:rPr>
          <w:rFonts w:cs="Arial"/>
          <w:szCs w:val="22"/>
        </w:rPr>
      </w:pPr>
      <w:r>
        <w:rPr>
          <w:rFonts w:cs="Arial"/>
        </w:rPr>
        <w:t>m</w:t>
      </w:r>
      <w:r w:rsidR="003A55DE" w:rsidRPr="27DAC36C">
        <w:rPr>
          <w:rFonts w:cs="Arial"/>
        </w:rPr>
        <w:t>onitoring</w:t>
      </w:r>
      <w:r w:rsidR="003A55DE" w:rsidRPr="6D5D6D09">
        <w:rPr>
          <w:rFonts w:cs="Arial"/>
        </w:rPr>
        <w:t xml:space="preserve"> and </w:t>
      </w:r>
      <w:r w:rsidR="003A55DE" w:rsidRPr="27DAC36C">
        <w:rPr>
          <w:rFonts w:cs="Arial"/>
        </w:rPr>
        <w:t>enforcing</w:t>
      </w:r>
      <w:r w:rsidR="003A55DE" w:rsidRPr="6D5D6D09">
        <w:rPr>
          <w:rFonts w:cs="Arial"/>
        </w:rPr>
        <w:t xml:space="preserve"> compliance among licensed PSIs</w:t>
      </w:r>
      <w:r w:rsidR="003A55DE" w:rsidRPr="27DAC36C">
        <w:rPr>
          <w:rFonts w:cs="Arial"/>
        </w:rPr>
        <w:t xml:space="preserve"> to ensure</w:t>
      </w:r>
      <w:r w:rsidR="003A55DE" w:rsidRPr="6D5D6D09">
        <w:rPr>
          <w:rFonts w:cs="Arial"/>
        </w:rPr>
        <w:t xml:space="preserve"> professional </w:t>
      </w:r>
      <w:r w:rsidR="003A55DE" w:rsidRPr="2752FB3C">
        <w:rPr>
          <w:rFonts w:cs="Arial"/>
        </w:rPr>
        <w:t>conduct</w:t>
      </w:r>
      <w:r w:rsidR="003A55DE" w:rsidRPr="6D5D6D09">
        <w:rPr>
          <w:rFonts w:cs="Arial"/>
        </w:rPr>
        <w:t>.</w:t>
      </w:r>
    </w:p>
    <w:p w14:paraId="38EE3564" w14:textId="77777777" w:rsidR="00F23E4F" w:rsidRDefault="003A55DE" w:rsidP="003A55DE">
      <w:pPr>
        <w:spacing w:before="120" w:after="120"/>
        <w:rPr>
          <w:rFonts w:cs="Arial"/>
        </w:rPr>
      </w:pPr>
      <w:r w:rsidRPr="2752FB3C">
        <w:rPr>
          <w:rFonts w:cs="Arial"/>
        </w:rPr>
        <w:t xml:space="preserve">Under its regulatory </w:t>
      </w:r>
      <w:r w:rsidRPr="385F30EC">
        <w:rPr>
          <w:rFonts w:cs="Arial"/>
        </w:rPr>
        <w:t>responsibilities</w:t>
      </w:r>
      <w:r w:rsidRPr="2752FB3C">
        <w:rPr>
          <w:rFonts w:cs="Arial"/>
        </w:rPr>
        <w:t>,</w:t>
      </w:r>
      <w:r w:rsidRPr="229D2DA7">
        <w:rPr>
          <w:rFonts w:cs="Arial"/>
        </w:rPr>
        <w:t xml:space="preserve"> the QBCC maintains registers of regulated pools and licensed PSIs</w:t>
      </w:r>
      <w:r w:rsidRPr="08D44C02">
        <w:rPr>
          <w:rFonts w:cs="Arial"/>
        </w:rPr>
        <w:t xml:space="preserve">. </w:t>
      </w:r>
      <w:r>
        <w:rPr>
          <w:rFonts w:cs="Arial"/>
        </w:rPr>
        <w:t>The QBCC</w:t>
      </w:r>
      <w:r w:rsidRPr="2F4B5476">
        <w:rPr>
          <w:rFonts w:cs="Arial"/>
        </w:rPr>
        <w:t xml:space="preserve"> audits</w:t>
      </w:r>
      <w:r w:rsidRPr="229D2DA7">
        <w:rPr>
          <w:rFonts w:cs="Arial"/>
        </w:rPr>
        <w:t xml:space="preserve"> PSI </w:t>
      </w:r>
      <w:r w:rsidRPr="2F4B5476">
        <w:rPr>
          <w:rFonts w:cs="Arial"/>
        </w:rPr>
        <w:t>activities</w:t>
      </w:r>
      <w:r w:rsidRPr="6548DD05">
        <w:rPr>
          <w:rFonts w:cs="Arial"/>
        </w:rPr>
        <w:t xml:space="preserve"> </w:t>
      </w:r>
      <w:r w:rsidRPr="229D2DA7">
        <w:rPr>
          <w:rFonts w:cs="Arial"/>
        </w:rPr>
        <w:t xml:space="preserve">and investigates complaints </w:t>
      </w:r>
      <w:r w:rsidRPr="08D44C02">
        <w:rPr>
          <w:rFonts w:cs="Arial"/>
        </w:rPr>
        <w:t xml:space="preserve">relating to </w:t>
      </w:r>
      <w:r w:rsidRPr="2F4B5476">
        <w:rPr>
          <w:rFonts w:cs="Arial"/>
        </w:rPr>
        <w:t>both</w:t>
      </w:r>
      <w:r w:rsidRPr="229D2DA7">
        <w:rPr>
          <w:rFonts w:cs="Arial"/>
        </w:rPr>
        <w:t xml:space="preserve"> </w:t>
      </w:r>
      <w:r w:rsidRPr="6548DD05">
        <w:rPr>
          <w:rFonts w:cs="Arial"/>
        </w:rPr>
        <w:t xml:space="preserve">non-compliant </w:t>
      </w:r>
      <w:r w:rsidRPr="229D2DA7">
        <w:rPr>
          <w:rFonts w:cs="Arial"/>
        </w:rPr>
        <w:t xml:space="preserve">pools and </w:t>
      </w:r>
      <w:r w:rsidRPr="2F4B5476">
        <w:rPr>
          <w:rFonts w:cs="Arial"/>
        </w:rPr>
        <w:t>inspector conduct.</w:t>
      </w:r>
      <w:r w:rsidRPr="229D2DA7">
        <w:rPr>
          <w:rFonts w:cs="Arial"/>
        </w:rPr>
        <w:t xml:space="preserve"> </w:t>
      </w:r>
    </w:p>
    <w:p w14:paraId="4B61E031" w14:textId="132CCE2C" w:rsidR="00210FAA" w:rsidRDefault="003A55DE" w:rsidP="003A55DE">
      <w:pPr>
        <w:spacing w:before="120" w:after="120"/>
        <w:rPr>
          <w:rFonts w:eastAsia="Arial" w:cs="Arial"/>
        </w:rPr>
      </w:pPr>
      <w:r>
        <w:rPr>
          <w:rFonts w:cs="Arial"/>
        </w:rPr>
        <w:t xml:space="preserve">In addition, </w:t>
      </w:r>
      <w:r>
        <w:rPr>
          <w:rFonts w:eastAsia="Arial" w:cs="Arial"/>
        </w:rPr>
        <w:t>t</w:t>
      </w:r>
      <w:r w:rsidRPr="4E931422">
        <w:rPr>
          <w:rFonts w:eastAsia="Arial" w:cs="Arial"/>
        </w:rPr>
        <w:t xml:space="preserve">he </w:t>
      </w:r>
      <w:r w:rsidRPr="1D6C0690">
        <w:rPr>
          <w:rFonts w:eastAsia="Arial" w:cs="Arial"/>
        </w:rPr>
        <w:t xml:space="preserve">QBCC </w:t>
      </w:r>
      <w:r w:rsidRPr="4E931422">
        <w:rPr>
          <w:rFonts w:eastAsia="Arial" w:cs="Arial"/>
        </w:rPr>
        <w:t xml:space="preserve">promotes </w:t>
      </w:r>
      <w:r w:rsidRPr="56065DED">
        <w:rPr>
          <w:rFonts w:eastAsia="Arial" w:cs="Arial"/>
        </w:rPr>
        <w:t>voluntary</w:t>
      </w:r>
      <w:r w:rsidRPr="1D6C0690">
        <w:rPr>
          <w:rFonts w:eastAsia="Arial" w:cs="Arial"/>
        </w:rPr>
        <w:t xml:space="preserve"> compliance</w:t>
      </w:r>
      <w:r w:rsidRPr="4E931422">
        <w:rPr>
          <w:rFonts w:eastAsia="Arial" w:cs="Arial"/>
        </w:rPr>
        <w:t xml:space="preserve"> by</w:t>
      </w:r>
      <w:r w:rsidRPr="1D6C0690">
        <w:rPr>
          <w:rFonts w:eastAsia="Arial" w:cs="Arial"/>
        </w:rPr>
        <w:t xml:space="preserve"> educating </w:t>
      </w:r>
      <w:bookmarkStart w:id="108" w:name="_Int_T99va8RO"/>
      <w:proofErr w:type="gramStart"/>
      <w:r w:rsidRPr="1D6C0690">
        <w:rPr>
          <w:rFonts w:eastAsia="Arial" w:cs="Arial"/>
        </w:rPr>
        <w:t>home owners</w:t>
      </w:r>
      <w:bookmarkEnd w:id="108"/>
      <w:proofErr w:type="gramEnd"/>
      <w:r w:rsidRPr="459657E7">
        <w:rPr>
          <w:rFonts w:eastAsia="Arial" w:cs="Arial"/>
        </w:rPr>
        <w:t>, PSIs</w:t>
      </w:r>
      <w:r w:rsidRPr="1D6C0690">
        <w:rPr>
          <w:rFonts w:eastAsia="Arial" w:cs="Arial"/>
        </w:rPr>
        <w:t xml:space="preserve"> and other stakeholders </w:t>
      </w:r>
      <w:r w:rsidRPr="459657E7">
        <w:rPr>
          <w:rFonts w:eastAsia="Arial" w:cs="Arial"/>
        </w:rPr>
        <w:t>about</w:t>
      </w:r>
      <w:r w:rsidRPr="1D6C0690">
        <w:rPr>
          <w:rFonts w:eastAsia="Arial" w:cs="Arial"/>
        </w:rPr>
        <w:t xml:space="preserve"> their pool safety obligations.</w:t>
      </w:r>
      <w:r w:rsidRPr="40B3EB95">
        <w:rPr>
          <w:rFonts w:eastAsia="Arial" w:cs="Arial"/>
        </w:rPr>
        <w:t xml:space="preserve"> </w:t>
      </w:r>
    </w:p>
    <w:p w14:paraId="42C2FF6B" w14:textId="146EB741" w:rsidR="003A55DE" w:rsidRDefault="003A55DE" w:rsidP="003A55DE">
      <w:pPr>
        <w:spacing w:before="120" w:after="120"/>
        <w:rPr>
          <w:szCs w:val="22"/>
        </w:rPr>
      </w:pPr>
      <w:r w:rsidRPr="459657E7">
        <w:rPr>
          <w:rFonts w:eastAsia="Arial" w:cs="Arial"/>
        </w:rPr>
        <w:t>Where pools are found to be unsafe,</w:t>
      </w:r>
      <w:r w:rsidRPr="775DBB4F">
        <w:rPr>
          <w:rFonts w:eastAsia="Arial" w:cs="Arial"/>
        </w:rPr>
        <w:t xml:space="preserve"> </w:t>
      </w:r>
      <w:r w:rsidRPr="775DBB4F">
        <w:rPr>
          <w:rFonts w:cs="Arial"/>
        </w:rPr>
        <w:t>t</w:t>
      </w:r>
      <w:r w:rsidRPr="775DBB4F">
        <w:rPr>
          <w:rFonts w:eastAsia="Arial" w:cs="Arial"/>
        </w:rPr>
        <w:t>he</w:t>
      </w:r>
      <w:r w:rsidRPr="1D6C0690">
        <w:rPr>
          <w:rFonts w:eastAsia="Arial" w:cs="Arial"/>
        </w:rPr>
        <w:t xml:space="preserve"> QBCC refers </w:t>
      </w:r>
      <w:r w:rsidRPr="775DBB4F">
        <w:rPr>
          <w:rFonts w:cs="Arial"/>
        </w:rPr>
        <w:t>cases</w:t>
      </w:r>
      <w:r w:rsidRPr="1D6C0690">
        <w:rPr>
          <w:rFonts w:eastAsia="Arial" w:cs="Arial"/>
        </w:rPr>
        <w:t xml:space="preserve"> to local governments for </w:t>
      </w:r>
      <w:r w:rsidRPr="775DBB4F">
        <w:rPr>
          <w:rFonts w:eastAsia="Arial" w:cs="Arial"/>
        </w:rPr>
        <w:t>further inspection</w:t>
      </w:r>
      <w:r w:rsidRPr="1D6C0690">
        <w:rPr>
          <w:rFonts w:eastAsia="Arial" w:cs="Arial"/>
        </w:rPr>
        <w:t xml:space="preserve"> and enforcement action</w:t>
      </w:r>
      <w:r w:rsidRPr="775DBB4F">
        <w:rPr>
          <w:rFonts w:eastAsia="Arial" w:cs="Arial"/>
        </w:rPr>
        <w:t xml:space="preserve">. </w:t>
      </w:r>
      <w:r w:rsidRPr="0AB6B22B">
        <w:rPr>
          <w:rFonts w:eastAsia="Arial" w:cs="Arial"/>
        </w:rPr>
        <w:t>Issued by PSIs, p</w:t>
      </w:r>
      <w:r w:rsidRPr="0AB6B22B">
        <w:rPr>
          <w:rFonts w:cs="Arial"/>
        </w:rPr>
        <w:t>ool</w:t>
      </w:r>
      <w:r w:rsidRPr="40B3EB95">
        <w:rPr>
          <w:rFonts w:cs="Arial"/>
        </w:rPr>
        <w:t xml:space="preserve"> safety certificates are </w:t>
      </w:r>
      <w:r w:rsidRPr="7B39ECBE">
        <w:rPr>
          <w:rFonts w:cs="Arial"/>
        </w:rPr>
        <w:t>legally required when</w:t>
      </w:r>
      <w:r w:rsidRPr="40B3EB95">
        <w:rPr>
          <w:rFonts w:cs="Arial"/>
        </w:rPr>
        <w:t xml:space="preserve"> selling</w:t>
      </w:r>
      <w:r w:rsidRPr="7B39ECBE">
        <w:rPr>
          <w:rFonts w:cs="Arial"/>
        </w:rPr>
        <w:t>, buying</w:t>
      </w:r>
      <w:r w:rsidRPr="40B3EB95">
        <w:rPr>
          <w:rFonts w:cs="Arial"/>
        </w:rPr>
        <w:t xml:space="preserve"> or leasing </w:t>
      </w:r>
      <w:r w:rsidRPr="7B39ECBE">
        <w:rPr>
          <w:rFonts w:cs="Arial"/>
        </w:rPr>
        <w:t>a property</w:t>
      </w:r>
      <w:r w:rsidRPr="40B3EB95">
        <w:rPr>
          <w:rFonts w:cs="Arial"/>
        </w:rPr>
        <w:t xml:space="preserve"> with </w:t>
      </w:r>
      <w:r w:rsidRPr="612811F5">
        <w:rPr>
          <w:rFonts w:cs="Arial"/>
        </w:rPr>
        <w:t>a</w:t>
      </w:r>
      <w:r>
        <w:rPr>
          <w:rFonts w:cs="Arial"/>
        </w:rPr>
        <w:t xml:space="preserve"> regulated</w:t>
      </w:r>
      <w:r w:rsidRPr="612811F5">
        <w:rPr>
          <w:rFonts w:cs="Arial"/>
        </w:rPr>
        <w:t xml:space="preserve"> </w:t>
      </w:r>
      <w:r w:rsidRPr="441E6615">
        <w:rPr>
          <w:rFonts w:cs="Arial"/>
        </w:rPr>
        <w:t>pool.</w:t>
      </w:r>
      <w:r w:rsidRPr="0C6A8476">
        <w:rPr>
          <w:rFonts w:cs="Arial"/>
        </w:rPr>
        <w:t xml:space="preserve"> The QBCC investigates </w:t>
      </w:r>
      <w:r w:rsidRPr="612811F5">
        <w:rPr>
          <w:rFonts w:cs="Arial"/>
        </w:rPr>
        <w:t xml:space="preserve">cases </w:t>
      </w:r>
      <w:r w:rsidRPr="0E4D4BB4">
        <w:rPr>
          <w:rFonts w:cs="Arial"/>
        </w:rPr>
        <w:t>where</w:t>
      </w:r>
      <w:r w:rsidRPr="0C6A8476">
        <w:rPr>
          <w:rFonts w:cs="Arial"/>
        </w:rPr>
        <w:t xml:space="preserve"> pool owners </w:t>
      </w:r>
      <w:r w:rsidRPr="0E4D4BB4">
        <w:rPr>
          <w:rFonts w:cs="Arial"/>
        </w:rPr>
        <w:t>fail</w:t>
      </w:r>
      <w:r w:rsidRPr="0C6A8476">
        <w:rPr>
          <w:rFonts w:cs="Arial"/>
        </w:rPr>
        <w:t xml:space="preserve"> to </w:t>
      </w:r>
      <w:r w:rsidRPr="0E4D4BB4">
        <w:rPr>
          <w:rFonts w:cs="Arial"/>
        </w:rPr>
        <w:t>obtain a</w:t>
      </w:r>
      <w:r w:rsidRPr="0C6A8476">
        <w:rPr>
          <w:rFonts w:cs="Arial"/>
        </w:rPr>
        <w:t xml:space="preserve"> certificate </w:t>
      </w:r>
      <w:r>
        <w:rPr>
          <w:rFonts w:cs="Arial"/>
        </w:rPr>
        <w:t xml:space="preserve">within the required timeframe </w:t>
      </w:r>
      <w:r w:rsidRPr="0C6A8476">
        <w:rPr>
          <w:rFonts w:cs="Arial"/>
        </w:rPr>
        <w:t xml:space="preserve">or </w:t>
      </w:r>
      <w:r w:rsidRPr="5214432E">
        <w:rPr>
          <w:rFonts w:cs="Arial"/>
        </w:rPr>
        <w:t>neglect</w:t>
      </w:r>
      <w:r w:rsidRPr="0C6A8476">
        <w:rPr>
          <w:rFonts w:cs="Arial"/>
        </w:rPr>
        <w:t xml:space="preserve"> to </w:t>
      </w:r>
      <w:r w:rsidRPr="5214432E">
        <w:rPr>
          <w:rFonts w:cs="Arial"/>
        </w:rPr>
        <w:t>notify</w:t>
      </w:r>
      <w:r w:rsidRPr="0C6A8476">
        <w:rPr>
          <w:rFonts w:cs="Arial"/>
        </w:rPr>
        <w:t xml:space="preserve"> the QBCC </w:t>
      </w:r>
      <w:r>
        <w:rPr>
          <w:rFonts w:cs="Arial"/>
        </w:rPr>
        <w:t>when a property with a regulated pool is sold without an active pool safety certificate</w:t>
      </w:r>
      <w:r w:rsidRPr="0C6A8476">
        <w:rPr>
          <w:rFonts w:cs="Arial"/>
        </w:rPr>
        <w:t>.</w:t>
      </w:r>
      <w:r w:rsidRPr="6C6511BC">
        <w:rPr>
          <w:rFonts w:cs="Arial"/>
        </w:rPr>
        <w:t xml:space="preserve"> </w:t>
      </w:r>
      <w:r w:rsidR="003B6FA4">
        <w:rPr>
          <w:rFonts w:cs="Arial"/>
        </w:rPr>
        <w:fldChar w:fldCharType="begin"/>
      </w:r>
      <w:r w:rsidR="003B6FA4">
        <w:rPr>
          <w:rFonts w:cs="Arial"/>
        </w:rPr>
        <w:instrText xml:space="preserve"> REF _Ref204671170 \h </w:instrText>
      </w:r>
      <w:r w:rsidR="003B6FA4">
        <w:rPr>
          <w:rFonts w:cs="Arial"/>
        </w:rPr>
      </w:r>
      <w:r w:rsidR="003B6FA4">
        <w:rPr>
          <w:rFonts w:cs="Arial"/>
        </w:rPr>
        <w:fldChar w:fldCharType="separate"/>
      </w:r>
      <w:r w:rsidR="003B6FA4">
        <w:t>Table 19</w:t>
      </w:r>
      <w:r w:rsidR="003B6FA4">
        <w:rPr>
          <w:rFonts w:cs="Arial"/>
        </w:rPr>
        <w:fldChar w:fldCharType="end"/>
      </w:r>
      <w:r w:rsidR="003B6FA4">
        <w:rPr>
          <w:rFonts w:cs="Arial"/>
        </w:rPr>
        <w:t xml:space="preserve"> </w:t>
      </w:r>
      <w:r w:rsidRPr="3A8EDF8E">
        <w:rPr>
          <w:rFonts w:cs="Arial"/>
        </w:rPr>
        <w:t>provides an overview of pool safety and inspector investigation outcomes over the past five years.</w:t>
      </w:r>
    </w:p>
    <w:p w14:paraId="4DCD8C9A" w14:textId="72D9414C" w:rsidR="003A55DE" w:rsidRPr="00DF29FF" w:rsidRDefault="003A55DE" w:rsidP="00CB28F8">
      <w:pPr>
        <w:pStyle w:val="Caption"/>
        <w:spacing w:after="120"/>
      </w:pPr>
      <w:bookmarkStart w:id="109" w:name="_Ref204671170"/>
      <w:bookmarkStart w:id="110" w:name="_Ref203399848"/>
      <w:r>
        <w:t xml:space="preserve">Table </w:t>
      </w:r>
      <w:bookmarkEnd w:id="109"/>
      <w:r w:rsidR="006C5E7F">
        <w:t>19</w:t>
      </w:r>
      <w:r>
        <w:fldChar w:fldCharType="begin"/>
      </w:r>
      <w:r>
        <w:instrText>SEQ Table \* ARABIC</w:instrText>
      </w:r>
      <w:r>
        <w:fldChar w:fldCharType="separate"/>
      </w:r>
      <w:r>
        <w:fldChar w:fldCharType="end"/>
      </w:r>
      <w:bookmarkEnd w:id="110"/>
      <w:r w:rsidRPr="007D4681">
        <w:t>: Number of pool safety and PSI investigations and outcomes over the past five years</w:t>
      </w:r>
    </w:p>
    <w:tbl>
      <w:tblPr>
        <w:tblStyle w:val="TableGrid"/>
        <w:tblW w:w="10458" w:type="dxa"/>
        <w:tblLook w:val="04A0" w:firstRow="1" w:lastRow="0" w:firstColumn="1" w:lastColumn="0" w:noHBand="0" w:noVBand="1"/>
      </w:tblPr>
      <w:tblGrid>
        <w:gridCol w:w="1550"/>
        <w:gridCol w:w="2414"/>
        <w:gridCol w:w="1082"/>
        <w:gridCol w:w="1082"/>
        <w:gridCol w:w="1083"/>
        <w:gridCol w:w="1082"/>
        <w:gridCol w:w="1082"/>
        <w:gridCol w:w="1083"/>
      </w:tblGrid>
      <w:tr w:rsidR="003A55DE" w:rsidRPr="00ED23D7" w14:paraId="1175740C" w14:textId="77777777" w:rsidTr="00EE0189">
        <w:trPr>
          <w:trHeight w:val="567"/>
          <w:tblHeader/>
        </w:trPr>
        <w:tc>
          <w:tcPr>
            <w:tcW w:w="1550" w:type="dxa"/>
            <w:shd w:val="clear" w:color="auto" w:fill="A6A6A6" w:themeFill="background1" w:themeFillShade="A6"/>
            <w:vAlign w:val="center"/>
          </w:tcPr>
          <w:p w14:paraId="6197DCE4" w14:textId="77777777" w:rsidR="003A55DE" w:rsidRPr="00ED23D7" w:rsidRDefault="003A55DE">
            <w:pPr>
              <w:spacing w:line="259" w:lineRule="auto"/>
              <w:rPr>
                <w:rFonts w:cs="Arial"/>
                <w:b/>
                <w:bCs/>
              </w:rPr>
            </w:pPr>
            <w:r w:rsidRPr="00ED23D7">
              <w:rPr>
                <w:rFonts w:cs="Arial"/>
                <w:b/>
                <w:bCs/>
              </w:rPr>
              <w:t>Type</w:t>
            </w:r>
          </w:p>
        </w:tc>
        <w:tc>
          <w:tcPr>
            <w:tcW w:w="2414" w:type="dxa"/>
            <w:shd w:val="clear" w:color="auto" w:fill="A6A6A6" w:themeFill="background1" w:themeFillShade="A6"/>
            <w:vAlign w:val="center"/>
          </w:tcPr>
          <w:p w14:paraId="1A01F4B7" w14:textId="77777777" w:rsidR="003A55DE" w:rsidRPr="00ED23D7" w:rsidRDefault="003A55DE">
            <w:pPr>
              <w:rPr>
                <w:rFonts w:cs="Arial"/>
                <w:b/>
                <w:szCs w:val="22"/>
              </w:rPr>
            </w:pPr>
            <w:r w:rsidRPr="00ED23D7">
              <w:rPr>
                <w:rFonts w:cs="Arial"/>
                <w:b/>
                <w:bCs/>
              </w:rPr>
              <w:t>Outcome</w:t>
            </w:r>
          </w:p>
        </w:tc>
        <w:tc>
          <w:tcPr>
            <w:tcW w:w="1082" w:type="dxa"/>
            <w:shd w:val="clear" w:color="auto" w:fill="A6A6A6" w:themeFill="background1" w:themeFillShade="A6"/>
            <w:vAlign w:val="center"/>
          </w:tcPr>
          <w:p w14:paraId="5815DACF" w14:textId="77777777" w:rsidR="003A55DE" w:rsidRPr="00ED23D7" w:rsidRDefault="003A55DE">
            <w:pPr>
              <w:rPr>
                <w:rFonts w:cs="Arial"/>
                <w:b/>
                <w:szCs w:val="22"/>
              </w:rPr>
            </w:pPr>
            <w:r w:rsidRPr="00ED23D7">
              <w:rPr>
                <w:rFonts w:cs="Arial"/>
                <w:b/>
                <w:szCs w:val="22"/>
              </w:rPr>
              <w:t>2020–21</w:t>
            </w:r>
          </w:p>
        </w:tc>
        <w:tc>
          <w:tcPr>
            <w:tcW w:w="1082" w:type="dxa"/>
            <w:shd w:val="clear" w:color="auto" w:fill="A6A6A6" w:themeFill="background1" w:themeFillShade="A6"/>
            <w:vAlign w:val="center"/>
          </w:tcPr>
          <w:p w14:paraId="5978183B" w14:textId="77777777" w:rsidR="003A55DE" w:rsidRPr="00ED23D7" w:rsidRDefault="003A55DE">
            <w:pPr>
              <w:rPr>
                <w:rFonts w:cs="Arial"/>
                <w:b/>
                <w:szCs w:val="22"/>
              </w:rPr>
            </w:pPr>
            <w:r w:rsidRPr="00ED23D7">
              <w:rPr>
                <w:rFonts w:cs="Arial"/>
                <w:b/>
                <w:szCs w:val="22"/>
              </w:rPr>
              <w:t>2021–22</w:t>
            </w:r>
          </w:p>
        </w:tc>
        <w:tc>
          <w:tcPr>
            <w:tcW w:w="1083" w:type="dxa"/>
            <w:shd w:val="clear" w:color="auto" w:fill="A6A6A6" w:themeFill="background1" w:themeFillShade="A6"/>
            <w:vAlign w:val="center"/>
          </w:tcPr>
          <w:p w14:paraId="6F4671E3" w14:textId="77777777" w:rsidR="003A55DE" w:rsidRPr="00ED23D7" w:rsidRDefault="003A55DE">
            <w:pPr>
              <w:rPr>
                <w:rFonts w:cs="Arial"/>
                <w:b/>
                <w:szCs w:val="22"/>
              </w:rPr>
            </w:pPr>
            <w:r w:rsidRPr="00ED23D7">
              <w:rPr>
                <w:rFonts w:cs="Arial"/>
                <w:b/>
                <w:szCs w:val="22"/>
              </w:rPr>
              <w:t>2022–23</w:t>
            </w:r>
          </w:p>
        </w:tc>
        <w:tc>
          <w:tcPr>
            <w:tcW w:w="1082" w:type="dxa"/>
            <w:shd w:val="clear" w:color="auto" w:fill="A6A6A6" w:themeFill="background1" w:themeFillShade="A6"/>
            <w:vAlign w:val="center"/>
          </w:tcPr>
          <w:p w14:paraId="7C8C053A" w14:textId="77777777" w:rsidR="003A55DE" w:rsidRPr="00ED23D7" w:rsidRDefault="003A55DE">
            <w:pPr>
              <w:rPr>
                <w:rFonts w:cs="Arial"/>
                <w:b/>
                <w:szCs w:val="22"/>
              </w:rPr>
            </w:pPr>
            <w:r w:rsidRPr="00ED23D7">
              <w:rPr>
                <w:rFonts w:cs="Arial"/>
                <w:b/>
                <w:szCs w:val="22"/>
              </w:rPr>
              <w:t>2023–24</w:t>
            </w:r>
          </w:p>
        </w:tc>
        <w:tc>
          <w:tcPr>
            <w:tcW w:w="1082" w:type="dxa"/>
            <w:shd w:val="clear" w:color="auto" w:fill="A6A6A6" w:themeFill="background1" w:themeFillShade="A6"/>
            <w:vAlign w:val="center"/>
          </w:tcPr>
          <w:p w14:paraId="22B17457" w14:textId="77777777" w:rsidR="003A55DE" w:rsidRPr="00ED23D7" w:rsidRDefault="003A55DE">
            <w:pPr>
              <w:rPr>
                <w:rFonts w:cs="Arial"/>
                <w:b/>
                <w:szCs w:val="22"/>
              </w:rPr>
            </w:pPr>
            <w:r w:rsidRPr="00ED23D7">
              <w:rPr>
                <w:rFonts w:cs="Arial"/>
                <w:b/>
                <w:szCs w:val="22"/>
              </w:rPr>
              <w:t>2024–25</w:t>
            </w:r>
          </w:p>
        </w:tc>
        <w:tc>
          <w:tcPr>
            <w:tcW w:w="1083" w:type="dxa"/>
            <w:shd w:val="clear" w:color="auto" w:fill="A6A6A6" w:themeFill="background1" w:themeFillShade="A6"/>
            <w:vAlign w:val="center"/>
          </w:tcPr>
          <w:p w14:paraId="0CC8E13C" w14:textId="77777777" w:rsidR="003A55DE" w:rsidRPr="00ED23D7" w:rsidRDefault="003A55DE">
            <w:pPr>
              <w:rPr>
                <w:rFonts w:cs="Arial"/>
                <w:b/>
              </w:rPr>
            </w:pPr>
            <w:r w:rsidRPr="00ED23D7">
              <w:rPr>
                <w:rFonts w:cs="Arial"/>
                <w:b/>
              </w:rPr>
              <w:t>Total</w:t>
            </w:r>
          </w:p>
        </w:tc>
      </w:tr>
      <w:tr w:rsidR="003A55DE" w:rsidRPr="00ED23D7" w14:paraId="3E8D3D76" w14:textId="77777777" w:rsidTr="00EE0189">
        <w:trPr>
          <w:trHeight w:val="567"/>
        </w:trPr>
        <w:tc>
          <w:tcPr>
            <w:tcW w:w="1550" w:type="dxa"/>
            <w:vMerge w:val="restart"/>
            <w:vAlign w:val="center"/>
          </w:tcPr>
          <w:p w14:paraId="61F19B24" w14:textId="4BE482EE" w:rsidR="003A55DE" w:rsidRPr="00ED23D7" w:rsidRDefault="003A55DE">
            <w:pPr>
              <w:rPr>
                <w:rFonts w:cs="Arial"/>
              </w:rPr>
            </w:pPr>
            <w:r w:rsidRPr="00ED23D7">
              <w:rPr>
                <w:rFonts w:cs="Arial"/>
              </w:rPr>
              <w:t>Pool owner</w:t>
            </w:r>
            <w:r w:rsidR="00B6390C" w:rsidRPr="00ED23D7">
              <w:rPr>
                <w:rFonts w:cs="Arial"/>
              </w:rPr>
              <w:t xml:space="preserve"> investigations</w:t>
            </w:r>
          </w:p>
        </w:tc>
        <w:tc>
          <w:tcPr>
            <w:tcW w:w="2414" w:type="dxa"/>
            <w:vAlign w:val="center"/>
          </w:tcPr>
          <w:p w14:paraId="0CD9A96B" w14:textId="77777777" w:rsidR="003A55DE" w:rsidRPr="00ED23D7" w:rsidRDefault="003A55DE">
            <w:pPr>
              <w:rPr>
                <w:rFonts w:cs="Arial"/>
              </w:rPr>
            </w:pPr>
            <w:r w:rsidRPr="00ED23D7">
              <w:rPr>
                <w:rFonts w:cs="Arial"/>
              </w:rPr>
              <w:t>Investigations</w:t>
            </w:r>
          </w:p>
        </w:tc>
        <w:tc>
          <w:tcPr>
            <w:tcW w:w="1082" w:type="dxa"/>
            <w:vAlign w:val="center"/>
          </w:tcPr>
          <w:p w14:paraId="15453295" w14:textId="77777777" w:rsidR="003A55DE" w:rsidRPr="00ED23D7" w:rsidRDefault="003A55DE">
            <w:pPr>
              <w:rPr>
                <w:rFonts w:cs="Arial"/>
              </w:rPr>
            </w:pPr>
            <w:r w:rsidRPr="00EA5EDB">
              <w:rPr>
                <w:rFonts w:cs="Arial"/>
              </w:rPr>
              <w:t>6</w:t>
            </w:r>
          </w:p>
        </w:tc>
        <w:tc>
          <w:tcPr>
            <w:tcW w:w="1082" w:type="dxa"/>
            <w:vAlign w:val="center"/>
          </w:tcPr>
          <w:p w14:paraId="1AB24743" w14:textId="77777777" w:rsidR="003A55DE" w:rsidRPr="00ED23D7" w:rsidRDefault="003A55DE">
            <w:pPr>
              <w:rPr>
                <w:rFonts w:cs="Arial"/>
                <w:szCs w:val="22"/>
              </w:rPr>
            </w:pPr>
            <w:r w:rsidRPr="00EA5EDB">
              <w:rPr>
                <w:rFonts w:cs="Arial"/>
              </w:rPr>
              <w:t>3</w:t>
            </w:r>
          </w:p>
        </w:tc>
        <w:tc>
          <w:tcPr>
            <w:tcW w:w="1083" w:type="dxa"/>
            <w:vAlign w:val="center"/>
          </w:tcPr>
          <w:p w14:paraId="4464939B" w14:textId="77777777" w:rsidR="003A55DE" w:rsidRPr="00ED23D7" w:rsidRDefault="003A55DE">
            <w:pPr>
              <w:rPr>
                <w:rFonts w:cs="Arial"/>
              </w:rPr>
            </w:pPr>
            <w:r w:rsidRPr="00EA5EDB">
              <w:rPr>
                <w:rFonts w:cs="Arial"/>
              </w:rPr>
              <w:t>109</w:t>
            </w:r>
          </w:p>
        </w:tc>
        <w:tc>
          <w:tcPr>
            <w:tcW w:w="1082" w:type="dxa"/>
            <w:vAlign w:val="center"/>
          </w:tcPr>
          <w:p w14:paraId="617F78F9" w14:textId="77777777" w:rsidR="003A55DE" w:rsidRPr="00ED23D7" w:rsidRDefault="003A55DE">
            <w:pPr>
              <w:rPr>
                <w:rFonts w:cs="Arial"/>
                <w:szCs w:val="22"/>
              </w:rPr>
            </w:pPr>
            <w:r w:rsidRPr="00ED23D7">
              <w:rPr>
                <w:rFonts w:cs="Arial"/>
                <w:szCs w:val="22"/>
              </w:rPr>
              <w:t>36</w:t>
            </w:r>
          </w:p>
        </w:tc>
        <w:tc>
          <w:tcPr>
            <w:tcW w:w="1082" w:type="dxa"/>
            <w:vAlign w:val="center"/>
          </w:tcPr>
          <w:p w14:paraId="7250D639" w14:textId="77777777" w:rsidR="003A55DE" w:rsidRPr="00ED23D7" w:rsidRDefault="003A55DE">
            <w:pPr>
              <w:rPr>
                <w:rFonts w:cs="Arial"/>
              </w:rPr>
            </w:pPr>
            <w:r w:rsidRPr="00EA5EDB">
              <w:rPr>
                <w:rFonts w:cs="Arial"/>
              </w:rPr>
              <w:t>3</w:t>
            </w:r>
          </w:p>
        </w:tc>
        <w:tc>
          <w:tcPr>
            <w:tcW w:w="1083" w:type="dxa"/>
            <w:vAlign w:val="center"/>
          </w:tcPr>
          <w:p w14:paraId="22374CE2" w14:textId="77777777" w:rsidR="003A55DE" w:rsidRPr="00ED23D7" w:rsidRDefault="003A55DE">
            <w:pPr>
              <w:rPr>
                <w:rFonts w:cs="Arial"/>
              </w:rPr>
            </w:pPr>
            <w:r w:rsidRPr="00EA5EDB">
              <w:rPr>
                <w:rFonts w:cs="Arial"/>
              </w:rPr>
              <w:t>157</w:t>
            </w:r>
          </w:p>
        </w:tc>
      </w:tr>
      <w:tr w:rsidR="003A55DE" w:rsidRPr="00ED23D7" w14:paraId="44C5349F" w14:textId="77777777" w:rsidTr="00EE0189">
        <w:trPr>
          <w:trHeight w:val="567"/>
        </w:trPr>
        <w:tc>
          <w:tcPr>
            <w:tcW w:w="1550" w:type="dxa"/>
            <w:vMerge/>
            <w:vAlign w:val="center"/>
          </w:tcPr>
          <w:p w14:paraId="4B7BBD05" w14:textId="77777777" w:rsidR="003A55DE" w:rsidRPr="00ED23D7" w:rsidRDefault="003A55DE"/>
        </w:tc>
        <w:tc>
          <w:tcPr>
            <w:tcW w:w="2414" w:type="dxa"/>
            <w:vAlign w:val="center"/>
          </w:tcPr>
          <w:p w14:paraId="650F4AE5" w14:textId="77777777" w:rsidR="003A55DE" w:rsidRPr="00ED23D7" w:rsidRDefault="003A55DE">
            <w:pPr>
              <w:rPr>
                <w:rFonts w:cs="Arial"/>
              </w:rPr>
            </w:pPr>
            <w:r w:rsidRPr="00ED23D7">
              <w:rPr>
                <w:rFonts w:cs="Arial"/>
              </w:rPr>
              <w:t>Warning notice</w:t>
            </w:r>
          </w:p>
        </w:tc>
        <w:tc>
          <w:tcPr>
            <w:tcW w:w="1082" w:type="dxa"/>
            <w:vAlign w:val="center"/>
          </w:tcPr>
          <w:p w14:paraId="16B92A7B" w14:textId="77777777" w:rsidR="003A55DE" w:rsidRPr="00ED23D7" w:rsidRDefault="003A55DE">
            <w:pPr>
              <w:rPr>
                <w:rFonts w:cs="Arial"/>
              </w:rPr>
            </w:pPr>
            <w:r w:rsidRPr="00EA5EDB">
              <w:rPr>
                <w:rFonts w:cs="Arial"/>
              </w:rPr>
              <w:t>3</w:t>
            </w:r>
          </w:p>
        </w:tc>
        <w:tc>
          <w:tcPr>
            <w:tcW w:w="1082" w:type="dxa"/>
            <w:vAlign w:val="center"/>
          </w:tcPr>
          <w:p w14:paraId="589F6AC0" w14:textId="77777777" w:rsidR="003A55DE" w:rsidRPr="00ED23D7" w:rsidRDefault="003A55DE">
            <w:pPr>
              <w:rPr>
                <w:rFonts w:cs="Arial"/>
                <w:szCs w:val="22"/>
              </w:rPr>
            </w:pPr>
            <w:r w:rsidRPr="00EA5EDB">
              <w:rPr>
                <w:rFonts w:cs="Arial"/>
              </w:rPr>
              <w:t>1</w:t>
            </w:r>
          </w:p>
        </w:tc>
        <w:tc>
          <w:tcPr>
            <w:tcW w:w="1083" w:type="dxa"/>
            <w:vAlign w:val="center"/>
          </w:tcPr>
          <w:p w14:paraId="76CF3F2F" w14:textId="77777777" w:rsidR="003A55DE" w:rsidRPr="00ED23D7" w:rsidRDefault="003A55DE">
            <w:pPr>
              <w:rPr>
                <w:rFonts w:cs="Arial"/>
              </w:rPr>
            </w:pPr>
            <w:r w:rsidRPr="00EA5EDB">
              <w:rPr>
                <w:rFonts w:cs="Arial"/>
              </w:rPr>
              <w:t>64</w:t>
            </w:r>
          </w:p>
        </w:tc>
        <w:tc>
          <w:tcPr>
            <w:tcW w:w="1082" w:type="dxa"/>
            <w:vAlign w:val="center"/>
          </w:tcPr>
          <w:p w14:paraId="07B7DC73" w14:textId="77777777" w:rsidR="003A55DE" w:rsidRPr="00ED23D7" w:rsidRDefault="003A55DE">
            <w:pPr>
              <w:rPr>
                <w:rFonts w:cs="Arial"/>
                <w:szCs w:val="22"/>
              </w:rPr>
            </w:pPr>
            <w:r w:rsidRPr="00ED23D7">
              <w:rPr>
                <w:rFonts w:cs="Arial"/>
                <w:szCs w:val="22"/>
              </w:rPr>
              <w:t>2</w:t>
            </w:r>
          </w:p>
        </w:tc>
        <w:tc>
          <w:tcPr>
            <w:tcW w:w="1082" w:type="dxa"/>
            <w:vAlign w:val="center"/>
          </w:tcPr>
          <w:p w14:paraId="3390CA52" w14:textId="16F64B34" w:rsidR="003A55DE" w:rsidRPr="00ED23D7" w:rsidRDefault="00BB4749">
            <w:pPr>
              <w:rPr>
                <w:rFonts w:cs="Arial"/>
                <w:szCs w:val="22"/>
              </w:rPr>
            </w:pPr>
            <w:r>
              <w:rPr>
                <w:rFonts w:cs="Arial"/>
              </w:rPr>
              <w:t>N/A</w:t>
            </w:r>
          </w:p>
        </w:tc>
        <w:tc>
          <w:tcPr>
            <w:tcW w:w="1083" w:type="dxa"/>
            <w:vAlign w:val="center"/>
          </w:tcPr>
          <w:p w14:paraId="54AE7B83" w14:textId="77777777" w:rsidR="003A55DE" w:rsidRPr="00ED23D7" w:rsidRDefault="003A55DE">
            <w:pPr>
              <w:rPr>
                <w:rFonts w:cs="Arial"/>
              </w:rPr>
            </w:pPr>
            <w:r w:rsidRPr="00EA5EDB">
              <w:rPr>
                <w:rFonts w:cs="Arial"/>
              </w:rPr>
              <w:t>70</w:t>
            </w:r>
          </w:p>
        </w:tc>
      </w:tr>
      <w:tr w:rsidR="003A55DE" w:rsidRPr="00ED23D7" w14:paraId="0A2C9D74" w14:textId="77777777" w:rsidTr="00EE0189">
        <w:trPr>
          <w:trHeight w:val="567"/>
        </w:trPr>
        <w:tc>
          <w:tcPr>
            <w:tcW w:w="1550" w:type="dxa"/>
            <w:vMerge/>
            <w:vAlign w:val="center"/>
          </w:tcPr>
          <w:p w14:paraId="5C807E0B" w14:textId="77777777" w:rsidR="003A55DE" w:rsidRPr="00ED23D7" w:rsidRDefault="003A55DE"/>
        </w:tc>
        <w:tc>
          <w:tcPr>
            <w:tcW w:w="2414" w:type="dxa"/>
            <w:vAlign w:val="center"/>
          </w:tcPr>
          <w:p w14:paraId="4870545F" w14:textId="77777777" w:rsidR="003A55DE" w:rsidRPr="00ED23D7" w:rsidRDefault="003A55DE">
            <w:pPr>
              <w:rPr>
                <w:rFonts w:cs="Arial"/>
              </w:rPr>
            </w:pPr>
            <w:r w:rsidRPr="00ED23D7">
              <w:rPr>
                <w:rFonts w:cs="Arial"/>
              </w:rPr>
              <w:t xml:space="preserve">No action </w:t>
            </w:r>
          </w:p>
        </w:tc>
        <w:tc>
          <w:tcPr>
            <w:tcW w:w="1082" w:type="dxa"/>
            <w:vAlign w:val="center"/>
          </w:tcPr>
          <w:p w14:paraId="18619B54" w14:textId="77777777" w:rsidR="003A55DE" w:rsidRPr="00ED23D7" w:rsidRDefault="003A55DE">
            <w:pPr>
              <w:rPr>
                <w:rFonts w:cs="Arial"/>
              </w:rPr>
            </w:pPr>
            <w:r w:rsidRPr="00EA5EDB">
              <w:rPr>
                <w:rFonts w:cs="Arial"/>
              </w:rPr>
              <w:t>3</w:t>
            </w:r>
          </w:p>
        </w:tc>
        <w:tc>
          <w:tcPr>
            <w:tcW w:w="1082" w:type="dxa"/>
            <w:vAlign w:val="center"/>
          </w:tcPr>
          <w:p w14:paraId="73909EAF" w14:textId="77777777" w:rsidR="003A55DE" w:rsidRPr="00ED23D7" w:rsidRDefault="003A55DE">
            <w:pPr>
              <w:rPr>
                <w:rFonts w:cs="Arial"/>
                <w:szCs w:val="22"/>
              </w:rPr>
            </w:pPr>
            <w:r w:rsidRPr="00EA5EDB">
              <w:rPr>
                <w:rFonts w:cs="Arial"/>
              </w:rPr>
              <w:t>2</w:t>
            </w:r>
          </w:p>
        </w:tc>
        <w:tc>
          <w:tcPr>
            <w:tcW w:w="1083" w:type="dxa"/>
            <w:vAlign w:val="center"/>
          </w:tcPr>
          <w:p w14:paraId="0E24901F" w14:textId="77777777" w:rsidR="003A55DE" w:rsidRPr="00ED23D7" w:rsidRDefault="003A55DE">
            <w:pPr>
              <w:rPr>
                <w:rFonts w:cs="Arial"/>
              </w:rPr>
            </w:pPr>
            <w:r w:rsidRPr="00EA5EDB">
              <w:rPr>
                <w:rFonts w:cs="Arial"/>
              </w:rPr>
              <w:t>45</w:t>
            </w:r>
          </w:p>
        </w:tc>
        <w:tc>
          <w:tcPr>
            <w:tcW w:w="1082" w:type="dxa"/>
            <w:vAlign w:val="center"/>
          </w:tcPr>
          <w:p w14:paraId="2BB9A225" w14:textId="77777777" w:rsidR="003A55DE" w:rsidRPr="00ED23D7" w:rsidRDefault="003A55DE">
            <w:pPr>
              <w:rPr>
                <w:rFonts w:cs="Arial"/>
                <w:szCs w:val="22"/>
              </w:rPr>
            </w:pPr>
            <w:r w:rsidRPr="00ED23D7">
              <w:rPr>
                <w:rFonts w:cs="Arial"/>
                <w:szCs w:val="22"/>
              </w:rPr>
              <w:t>34</w:t>
            </w:r>
          </w:p>
        </w:tc>
        <w:tc>
          <w:tcPr>
            <w:tcW w:w="1082" w:type="dxa"/>
            <w:vAlign w:val="center"/>
          </w:tcPr>
          <w:p w14:paraId="0B8E37B7" w14:textId="77777777" w:rsidR="003A55DE" w:rsidRPr="00ED23D7" w:rsidRDefault="003A55DE">
            <w:pPr>
              <w:rPr>
                <w:rFonts w:cs="Arial"/>
                <w:szCs w:val="22"/>
              </w:rPr>
            </w:pPr>
            <w:r w:rsidRPr="00EA5EDB">
              <w:rPr>
                <w:rFonts w:cs="Arial"/>
              </w:rPr>
              <w:t>3</w:t>
            </w:r>
          </w:p>
        </w:tc>
        <w:tc>
          <w:tcPr>
            <w:tcW w:w="1083" w:type="dxa"/>
            <w:vAlign w:val="center"/>
          </w:tcPr>
          <w:p w14:paraId="69FC2BE3" w14:textId="77777777" w:rsidR="003A55DE" w:rsidRPr="00ED23D7" w:rsidRDefault="003A55DE">
            <w:pPr>
              <w:rPr>
                <w:rFonts w:cs="Arial"/>
              </w:rPr>
            </w:pPr>
            <w:r w:rsidRPr="00EA5EDB">
              <w:rPr>
                <w:rFonts w:cs="Arial"/>
              </w:rPr>
              <w:t>87</w:t>
            </w:r>
          </w:p>
        </w:tc>
      </w:tr>
      <w:tr w:rsidR="003A55DE" w:rsidRPr="00ED23D7" w14:paraId="20FD3EEE" w14:textId="77777777" w:rsidTr="00EE0189">
        <w:trPr>
          <w:trHeight w:val="567"/>
        </w:trPr>
        <w:tc>
          <w:tcPr>
            <w:tcW w:w="1550" w:type="dxa"/>
            <w:vMerge w:val="restart"/>
            <w:vAlign w:val="center"/>
          </w:tcPr>
          <w:p w14:paraId="6CA11386" w14:textId="057C8914" w:rsidR="003A55DE" w:rsidRPr="00ED23D7" w:rsidRDefault="003A55DE">
            <w:pPr>
              <w:rPr>
                <w:rFonts w:cs="Arial"/>
              </w:rPr>
            </w:pPr>
            <w:r w:rsidRPr="00ED23D7">
              <w:rPr>
                <w:rFonts w:cs="Arial"/>
              </w:rPr>
              <w:t>PSI</w:t>
            </w:r>
            <w:r w:rsidR="00063400">
              <w:rPr>
                <w:rFonts w:cs="Arial"/>
              </w:rPr>
              <w:t xml:space="preserve"> investigations</w:t>
            </w:r>
          </w:p>
        </w:tc>
        <w:tc>
          <w:tcPr>
            <w:tcW w:w="2414" w:type="dxa"/>
            <w:vAlign w:val="center"/>
          </w:tcPr>
          <w:p w14:paraId="7A76F835" w14:textId="41E86097" w:rsidR="003A55DE" w:rsidRPr="00ED23D7" w:rsidRDefault="00F36729">
            <w:pPr>
              <w:rPr>
                <w:rFonts w:cs="Arial"/>
              </w:rPr>
            </w:pPr>
            <w:r>
              <w:rPr>
                <w:rFonts w:cs="Arial"/>
              </w:rPr>
              <w:t>Investigations</w:t>
            </w:r>
          </w:p>
        </w:tc>
        <w:tc>
          <w:tcPr>
            <w:tcW w:w="1082" w:type="dxa"/>
            <w:vAlign w:val="center"/>
          </w:tcPr>
          <w:p w14:paraId="411D0543" w14:textId="77777777" w:rsidR="003A55DE" w:rsidRPr="00ED23D7" w:rsidRDefault="003A55DE">
            <w:pPr>
              <w:rPr>
                <w:rFonts w:cs="Arial"/>
              </w:rPr>
            </w:pPr>
            <w:r w:rsidRPr="00EA5EDB">
              <w:rPr>
                <w:rFonts w:cs="Arial"/>
              </w:rPr>
              <w:t>65</w:t>
            </w:r>
          </w:p>
        </w:tc>
        <w:tc>
          <w:tcPr>
            <w:tcW w:w="1082" w:type="dxa"/>
            <w:vAlign w:val="center"/>
          </w:tcPr>
          <w:p w14:paraId="115FA67F" w14:textId="77777777" w:rsidR="003A55DE" w:rsidRPr="00ED23D7" w:rsidRDefault="003A55DE">
            <w:pPr>
              <w:rPr>
                <w:rFonts w:cs="Arial"/>
              </w:rPr>
            </w:pPr>
            <w:r w:rsidRPr="00EA5EDB">
              <w:rPr>
                <w:rFonts w:cs="Arial"/>
              </w:rPr>
              <w:t>43</w:t>
            </w:r>
          </w:p>
        </w:tc>
        <w:tc>
          <w:tcPr>
            <w:tcW w:w="1083" w:type="dxa"/>
            <w:vAlign w:val="center"/>
          </w:tcPr>
          <w:p w14:paraId="1D8310BC" w14:textId="77777777" w:rsidR="003A55DE" w:rsidRPr="00ED23D7" w:rsidRDefault="003A55DE">
            <w:pPr>
              <w:rPr>
                <w:rFonts w:cs="Arial"/>
              </w:rPr>
            </w:pPr>
            <w:r w:rsidRPr="00EA5EDB">
              <w:rPr>
                <w:rFonts w:cs="Arial"/>
              </w:rPr>
              <w:t>20</w:t>
            </w:r>
          </w:p>
        </w:tc>
        <w:tc>
          <w:tcPr>
            <w:tcW w:w="1082" w:type="dxa"/>
            <w:vAlign w:val="center"/>
          </w:tcPr>
          <w:p w14:paraId="4825B16C" w14:textId="77777777" w:rsidR="003A55DE" w:rsidRPr="00ED23D7" w:rsidRDefault="003A55DE">
            <w:pPr>
              <w:rPr>
                <w:rFonts w:cs="Arial"/>
              </w:rPr>
            </w:pPr>
            <w:r w:rsidRPr="00ED23D7">
              <w:rPr>
                <w:rFonts w:cs="Arial"/>
              </w:rPr>
              <w:t>42</w:t>
            </w:r>
          </w:p>
        </w:tc>
        <w:tc>
          <w:tcPr>
            <w:tcW w:w="1082" w:type="dxa"/>
            <w:vAlign w:val="center"/>
          </w:tcPr>
          <w:p w14:paraId="69144DC1" w14:textId="77777777" w:rsidR="003A55DE" w:rsidRPr="00ED23D7" w:rsidRDefault="003A55DE">
            <w:pPr>
              <w:rPr>
                <w:rFonts w:cs="Arial"/>
              </w:rPr>
            </w:pPr>
            <w:r w:rsidRPr="00EA5EDB">
              <w:rPr>
                <w:rFonts w:cs="Arial"/>
              </w:rPr>
              <w:t>46</w:t>
            </w:r>
          </w:p>
        </w:tc>
        <w:tc>
          <w:tcPr>
            <w:tcW w:w="1083" w:type="dxa"/>
            <w:vAlign w:val="center"/>
          </w:tcPr>
          <w:p w14:paraId="4AF7D6EE" w14:textId="77777777" w:rsidR="003A55DE" w:rsidRPr="00ED23D7" w:rsidRDefault="003A55DE">
            <w:pPr>
              <w:rPr>
                <w:rFonts w:cs="Arial"/>
              </w:rPr>
            </w:pPr>
            <w:r w:rsidRPr="00EA5EDB">
              <w:rPr>
                <w:rFonts w:cs="Arial"/>
              </w:rPr>
              <w:t>216</w:t>
            </w:r>
          </w:p>
        </w:tc>
      </w:tr>
      <w:tr w:rsidR="003A55DE" w:rsidRPr="00ED23D7" w14:paraId="16DDCB29" w14:textId="77777777" w:rsidTr="00EE0189">
        <w:trPr>
          <w:trHeight w:val="567"/>
        </w:trPr>
        <w:tc>
          <w:tcPr>
            <w:tcW w:w="1550" w:type="dxa"/>
            <w:vMerge/>
            <w:vAlign w:val="center"/>
          </w:tcPr>
          <w:p w14:paraId="2E63FB77" w14:textId="77777777" w:rsidR="003A55DE" w:rsidRPr="00ED23D7" w:rsidRDefault="003A55DE">
            <w:pPr>
              <w:rPr>
                <w:rFonts w:cs="Arial"/>
              </w:rPr>
            </w:pPr>
          </w:p>
        </w:tc>
        <w:tc>
          <w:tcPr>
            <w:tcW w:w="2414" w:type="dxa"/>
            <w:vAlign w:val="center"/>
          </w:tcPr>
          <w:p w14:paraId="4CB2D740" w14:textId="77777777" w:rsidR="003A55DE" w:rsidRPr="00ED23D7" w:rsidRDefault="003A55DE">
            <w:pPr>
              <w:rPr>
                <w:rFonts w:cs="Arial"/>
              </w:rPr>
            </w:pPr>
            <w:r w:rsidRPr="00ED23D7">
              <w:rPr>
                <w:rFonts w:eastAsia="Arial" w:cs="Arial"/>
                <w:szCs w:val="22"/>
              </w:rPr>
              <w:t>Disciplinary action</w:t>
            </w:r>
          </w:p>
        </w:tc>
        <w:tc>
          <w:tcPr>
            <w:tcW w:w="1082" w:type="dxa"/>
            <w:vAlign w:val="center"/>
          </w:tcPr>
          <w:p w14:paraId="03F895FC" w14:textId="77777777" w:rsidR="003A55DE" w:rsidRPr="00ED23D7" w:rsidRDefault="003A55DE">
            <w:pPr>
              <w:rPr>
                <w:rFonts w:cs="Arial"/>
              </w:rPr>
            </w:pPr>
            <w:r w:rsidRPr="00EA5EDB">
              <w:rPr>
                <w:rFonts w:cs="Arial"/>
              </w:rPr>
              <w:t>42</w:t>
            </w:r>
          </w:p>
        </w:tc>
        <w:tc>
          <w:tcPr>
            <w:tcW w:w="1082" w:type="dxa"/>
            <w:vAlign w:val="center"/>
          </w:tcPr>
          <w:p w14:paraId="729E8EF4" w14:textId="77777777" w:rsidR="003A55DE" w:rsidRPr="00ED23D7" w:rsidRDefault="003A55DE">
            <w:pPr>
              <w:rPr>
                <w:rFonts w:cs="Arial"/>
              </w:rPr>
            </w:pPr>
            <w:r w:rsidRPr="00EA5EDB">
              <w:rPr>
                <w:rFonts w:cs="Arial"/>
              </w:rPr>
              <w:t>18</w:t>
            </w:r>
          </w:p>
        </w:tc>
        <w:tc>
          <w:tcPr>
            <w:tcW w:w="1083" w:type="dxa"/>
            <w:vAlign w:val="center"/>
          </w:tcPr>
          <w:p w14:paraId="47DF1F80" w14:textId="77777777" w:rsidR="003A55DE" w:rsidRPr="00ED23D7" w:rsidRDefault="003A55DE">
            <w:pPr>
              <w:rPr>
                <w:rFonts w:cs="Arial"/>
              </w:rPr>
            </w:pPr>
            <w:r w:rsidRPr="00EA5EDB">
              <w:rPr>
                <w:rFonts w:cs="Arial"/>
              </w:rPr>
              <w:t>11</w:t>
            </w:r>
          </w:p>
        </w:tc>
        <w:tc>
          <w:tcPr>
            <w:tcW w:w="1082" w:type="dxa"/>
            <w:vAlign w:val="center"/>
          </w:tcPr>
          <w:p w14:paraId="55C84AE3" w14:textId="77777777" w:rsidR="003A55DE" w:rsidRPr="00ED23D7" w:rsidRDefault="003A55DE">
            <w:pPr>
              <w:rPr>
                <w:rFonts w:cs="Arial"/>
              </w:rPr>
            </w:pPr>
            <w:r w:rsidRPr="00ED23D7">
              <w:rPr>
                <w:rFonts w:cs="Arial"/>
              </w:rPr>
              <w:t>26</w:t>
            </w:r>
          </w:p>
        </w:tc>
        <w:tc>
          <w:tcPr>
            <w:tcW w:w="1082" w:type="dxa"/>
            <w:vAlign w:val="center"/>
          </w:tcPr>
          <w:p w14:paraId="7FEDDB0D" w14:textId="77777777" w:rsidR="003A55DE" w:rsidRPr="00ED23D7" w:rsidRDefault="003A55DE">
            <w:pPr>
              <w:rPr>
                <w:rFonts w:cs="Arial"/>
              </w:rPr>
            </w:pPr>
            <w:r w:rsidRPr="00EA5EDB">
              <w:rPr>
                <w:rFonts w:cs="Arial"/>
              </w:rPr>
              <w:t>25</w:t>
            </w:r>
          </w:p>
        </w:tc>
        <w:tc>
          <w:tcPr>
            <w:tcW w:w="1083" w:type="dxa"/>
            <w:vAlign w:val="center"/>
          </w:tcPr>
          <w:p w14:paraId="62F973D6" w14:textId="77777777" w:rsidR="003A55DE" w:rsidRPr="00ED23D7" w:rsidRDefault="003A55DE">
            <w:pPr>
              <w:rPr>
                <w:rFonts w:cs="Arial"/>
              </w:rPr>
            </w:pPr>
            <w:r w:rsidRPr="00EA5EDB">
              <w:rPr>
                <w:rFonts w:cs="Arial"/>
              </w:rPr>
              <w:t>122</w:t>
            </w:r>
          </w:p>
        </w:tc>
      </w:tr>
      <w:tr w:rsidR="003A55DE" w:rsidRPr="00ED23D7" w14:paraId="352BFB71" w14:textId="77777777" w:rsidTr="00EE0189">
        <w:trPr>
          <w:trHeight w:val="567"/>
        </w:trPr>
        <w:tc>
          <w:tcPr>
            <w:tcW w:w="1550" w:type="dxa"/>
            <w:vMerge/>
            <w:vAlign w:val="center"/>
          </w:tcPr>
          <w:p w14:paraId="55C7A561" w14:textId="77777777" w:rsidR="003A55DE" w:rsidRPr="00ED23D7" w:rsidRDefault="003A55DE">
            <w:pPr>
              <w:rPr>
                <w:rFonts w:cs="Arial"/>
              </w:rPr>
            </w:pPr>
          </w:p>
        </w:tc>
        <w:tc>
          <w:tcPr>
            <w:tcW w:w="2414" w:type="dxa"/>
            <w:vAlign w:val="center"/>
          </w:tcPr>
          <w:p w14:paraId="672070FF" w14:textId="77777777" w:rsidR="003A55DE" w:rsidRPr="00ED23D7" w:rsidRDefault="003A55DE">
            <w:pPr>
              <w:rPr>
                <w:rFonts w:cs="Arial"/>
              </w:rPr>
            </w:pPr>
            <w:r w:rsidRPr="00ED23D7">
              <w:rPr>
                <w:rFonts w:cs="Arial"/>
              </w:rPr>
              <w:t>Reviewed by Internal Review Unit</w:t>
            </w:r>
          </w:p>
        </w:tc>
        <w:tc>
          <w:tcPr>
            <w:tcW w:w="1082" w:type="dxa"/>
            <w:vAlign w:val="center"/>
          </w:tcPr>
          <w:p w14:paraId="629BE304" w14:textId="77777777" w:rsidR="003A55DE" w:rsidRPr="00ED23D7" w:rsidRDefault="003A55DE">
            <w:pPr>
              <w:rPr>
                <w:rFonts w:cs="Arial"/>
              </w:rPr>
            </w:pPr>
            <w:r w:rsidRPr="00EA5EDB">
              <w:rPr>
                <w:rFonts w:cs="Arial"/>
              </w:rPr>
              <w:t>2</w:t>
            </w:r>
          </w:p>
        </w:tc>
        <w:tc>
          <w:tcPr>
            <w:tcW w:w="1082" w:type="dxa"/>
            <w:vAlign w:val="center"/>
          </w:tcPr>
          <w:p w14:paraId="1160FE60" w14:textId="0A367FD6" w:rsidR="003A55DE" w:rsidRPr="00ED23D7" w:rsidRDefault="00BB4749">
            <w:pPr>
              <w:rPr>
                <w:rFonts w:cs="Arial"/>
              </w:rPr>
            </w:pPr>
            <w:r>
              <w:rPr>
                <w:rFonts w:cs="Arial"/>
              </w:rPr>
              <w:t>N/A</w:t>
            </w:r>
          </w:p>
        </w:tc>
        <w:tc>
          <w:tcPr>
            <w:tcW w:w="1083" w:type="dxa"/>
            <w:vAlign w:val="center"/>
          </w:tcPr>
          <w:p w14:paraId="510B6E42" w14:textId="77777777" w:rsidR="003A55DE" w:rsidRPr="00ED23D7" w:rsidRDefault="003A55DE">
            <w:pPr>
              <w:rPr>
                <w:rFonts w:cs="Arial"/>
              </w:rPr>
            </w:pPr>
            <w:r w:rsidRPr="00EA5EDB">
              <w:rPr>
                <w:rFonts w:cs="Arial"/>
              </w:rPr>
              <w:t>1</w:t>
            </w:r>
          </w:p>
        </w:tc>
        <w:tc>
          <w:tcPr>
            <w:tcW w:w="1082" w:type="dxa"/>
            <w:vAlign w:val="center"/>
          </w:tcPr>
          <w:p w14:paraId="3E91BB75" w14:textId="77777777" w:rsidR="003A55DE" w:rsidRPr="00ED23D7" w:rsidRDefault="003A55DE">
            <w:pPr>
              <w:rPr>
                <w:rFonts w:cs="Arial"/>
              </w:rPr>
            </w:pPr>
            <w:r w:rsidRPr="00ED23D7">
              <w:rPr>
                <w:rFonts w:cs="Arial"/>
              </w:rPr>
              <w:t>3</w:t>
            </w:r>
          </w:p>
        </w:tc>
        <w:tc>
          <w:tcPr>
            <w:tcW w:w="1082" w:type="dxa"/>
            <w:vAlign w:val="center"/>
          </w:tcPr>
          <w:p w14:paraId="77D15D67" w14:textId="77777777" w:rsidR="003A55DE" w:rsidRPr="00ED23D7" w:rsidRDefault="003A55DE">
            <w:pPr>
              <w:rPr>
                <w:rFonts w:cs="Arial"/>
              </w:rPr>
            </w:pPr>
            <w:r w:rsidRPr="00EA5EDB">
              <w:rPr>
                <w:rFonts w:cs="Arial"/>
              </w:rPr>
              <w:t>3</w:t>
            </w:r>
          </w:p>
        </w:tc>
        <w:tc>
          <w:tcPr>
            <w:tcW w:w="1083" w:type="dxa"/>
            <w:vAlign w:val="center"/>
          </w:tcPr>
          <w:p w14:paraId="35F939D2" w14:textId="77777777" w:rsidR="003A55DE" w:rsidRPr="00ED23D7" w:rsidRDefault="003A55DE">
            <w:pPr>
              <w:rPr>
                <w:rFonts w:cs="Arial"/>
              </w:rPr>
            </w:pPr>
            <w:r w:rsidRPr="00EA5EDB">
              <w:rPr>
                <w:rFonts w:cs="Arial"/>
              </w:rPr>
              <w:t>9</w:t>
            </w:r>
          </w:p>
        </w:tc>
      </w:tr>
      <w:tr w:rsidR="003A55DE" w:rsidRPr="00ED23D7" w14:paraId="46B561B6" w14:textId="77777777" w:rsidTr="00EE0189">
        <w:trPr>
          <w:trHeight w:val="567"/>
        </w:trPr>
        <w:tc>
          <w:tcPr>
            <w:tcW w:w="1550" w:type="dxa"/>
            <w:vMerge/>
            <w:vAlign w:val="center"/>
          </w:tcPr>
          <w:p w14:paraId="7359E2D5" w14:textId="77777777" w:rsidR="003A55DE" w:rsidRPr="00ED23D7" w:rsidRDefault="003A55DE">
            <w:pPr>
              <w:rPr>
                <w:rFonts w:cs="Arial"/>
              </w:rPr>
            </w:pPr>
          </w:p>
        </w:tc>
        <w:tc>
          <w:tcPr>
            <w:tcW w:w="2414" w:type="dxa"/>
            <w:vAlign w:val="center"/>
          </w:tcPr>
          <w:p w14:paraId="5A5FFBD7" w14:textId="77777777" w:rsidR="003A55DE" w:rsidRPr="00ED23D7" w:rsidRDefault="003A55DE">
            <w:pPr>
              <w:rPr>
                <w:rFonts w:cs="Arial"/>
              </w:rPr>
            </w:pPr>
            <w:r w:rsidRPr="00ED23D7">
              <w:rPr>
                <w:rFonts w:cs="Arial"/>
              </w:rPr>
              <w:t>No action</w:t>
            </w:r>
          </w:p>
        </w:tc>
        <w:tc>
          <w:tcPr>
            <w:tcW w:w="1082" w:type="dxa"/>
            <w:vAlign w:val="center"/>
          </w:tcPr>
          <w:p w14:paraId="2F4D47B0" w14:textId="77777777" w:rsidR="003A55DE" w:rsidRPr="00ED23D7" w:rsidRDefault="003A55DE">
            <w:pPr>
              <w:rPr>
                <w:rFonts w:cs="Arial"/>
              </w:rPr>
            </w:pPr>
            <w:r w:rsidRPr="00EA5EDB">
              <w:rPr>
                <w:rFonts w:cs="Arial"/>
              </w:rPr>
              <w:t>1</w:t>
            </w:r>
          </w:p>
        </w:tc>
        <w:tc>
          <w:tcPr>
            <w:tcW w:w="1082" w:type="dxa"/>
            <w:vAlign w:val="center"/>
          </w:tcPr>
          <w:p w14:paraId="42C409F2" w14:textId="77777777" w:rsidR="003A55DE" w:rsidRPr="00ED23D7" w:rsidRDefault="003A55DE">
            <w:pPr>
              <w:rPr>
                <w:rFonts w:cs="Arial"/>
              </w:rPr>
            </w:pPr>
            <w:r w:rsidRPr="00EA5EDB">
              <w:rPr>
                <w:rFonts w:cs="Arial"/>
              </w:rPr>
              <w:t>1</w:t>
            </w:r>
          </w:p>
        </w:tc>
        <w:tc>
          <w:tcPr>
            <w:tcW w:w="1083" w:type="dxa"/>
            <w:vAlign w:val="center"/>
          </w:tcPr>
          <w:p w14:paraId="75BE6F0A" w14:textId="77777777" w:rsidR="003A55DE" w:rsidRPr="00ED23D7" w:rsidRDefault="003A55DE">
            <w:pPr>
              <w:rPr>
                <w:rFonts w:cs="Arial"/>
              </w:rPr>
            </w:pPr>
            <w:r w:rsidRPr="00EA5EDB">
              <w:rPr>
                <w:rFonts w:cs="Arial"/>
              </w:rPr>
              <w:t>0</w:t>
            </w:r>
          </w:p>
        </w:tc>
        <w:tc>
          <w:tcPr>
            <w:tcW w:w="1082" w:type="dxa"/>
            <w:vAlign w:val="center"/>
          </w:tcPr>
          <w:p w14:paraId="25B6C294" w14:textId="77777777" w:rsidR="003A55DE" w:rsidRPr="00ED23D7" w:rsidRDefault="003A55DE">
            <w:pPr>
              <w:rPr>
                <w:rFonts w:cs="Arial"/>
              </w:rPr>
            </w:pPr>
            <w:r w:rsidRPr="00ED23D7">
              <w:rPr>
                <w:rFonts w:cs="Arial"/>
              </w:rPr>
              <w:t>18</w:t>
            </w:r>
          </w:p>
        </w:tc>
        <w:tc>
          <w:tcPr>
            <w:tcW w:w="1082" w:type="dxa"/>
            <w:vAlign w:val="center"/>
          </w:tcPr>
          <w:p w14:paraId="6F5369A0" w14:textId="77777777" w:rsidR="003A55DE" w:rsidRPr="00ED23D7" w:rsidRDefault="003A55DE">
            <w:pPr>
              <w:rPr>
                <w:rFonts w:cs="Arial"/>
              </w:rPr>
            </w:pPr>
            <w:r w:rsidRPr="00EA5EDB">
              <w:rPr>
                <w:rFonts w:cs="Arial"/>
              </w:rPr>
              <w:t>1</w:t>
            </w:r>
          </w:p>
        </w:tc>
        <w:tc>
          <w:tcPr>
            <w:tcW w:w="1083" w:type="dxa"/>
            <w:vAlign w:val="center"/>
          </w:tcPr>
          <w:p w14:paraId="6E08125D" w14:textId="77777777" w:rsidR="003A55DE" w:rsidRPr="00ED23D7" w:rsidRDefault="003A55DE">
            <w:pPr>
              <w:rPr>
                <w:rFonts w:eastAsia="Arial" w:cs="Arial"/>
              </w:rPr>
            </w:pPr>
            <w:r w:rsidRPr="00EA5EDB">
              <w:rPr>
                <w:rFonts w:eastAsia="Arial" w:cs="Arial"/>
              </w:rPr>
              <w:t>21</w:t>
            </w:r>
          </w:p>
        </w:tc>
      </w:tr>
      <w:tr w:rsidR="003A55DE" w:rsidRPr="00ED23D7" w14:paraId="3F42892E" w14:textId="77777777" w:rsidTr="00EE0189">
        <w:trPr>
          <w:trHeight w:val="567"/>
        </w:trPr>
        <w:tc>
          <w:tcPr>
            <w:tcW w:w="1550" w:type="dxa"/>
            <w:vMerge/>
            <w:vAlign w:val="center"/>
          </w:tcPr>
          <w:p w14:paraId="37725A8F" w14:textId="77777777" w:rsidR="003A55DE" w:rsidRPr="00ED23D7" w:rsidRDefault="003A55DE">
            <w:pPr>
              <w:rPr>
                <w:rFonts w:cs="Arial"/>
              </w:rPr>
            </w:pPr>
          </w:p>
        </w:tc>
        <w:tc>
          <w:tcPr>
            <w:tcW w:w="2414" w:type="dxa"/>
            <w:vAlign w:val="center"/>
          </w:tcPr>
          <w:p w14:paraId="3908F8D1" w14:textId="77777777" w:rsidR="003A55DE" w:rsidRPr="00ED23D7" w:rsidRDefault="003A55DE">
            <w:pPr>
              <w:spacing w:line="259" w:lineRule="auto"/>
              <w:rPr>
                <w:rFonts w:cs="Arial"/>
              </w:rPr>
            </w:pPr>
            <w:r w:rsidRPr="00ED23D7">
              <w:rPr>
                <w:rFonts w:cs="Arial"/>
              </w:rPr>
              <w:t>Withdrawn</w:t>
            </w:r>
          </w:p>
        </w:tc>
        <w:tc>
          <w:tcPr>
            <w:tcW w:w="1082" w:type="dxa"/>
            <w:vAlign w:val="center"/>
          </w:tcPr>
          <w:p w14:paraId="283E2DBD" w14:textId="77777777" w:rsidR="003A55DE" w:rsidRPr="00ED23D7" w:rsidRDefault="003A55DE">
            <w:pPr>
              <w:rPr>
                <w:rFonts w:cs="Arial"/>
              </w:rPr>
            </w:pPr>
            <w:r w:rsidRPr="00EA5EDB">
              <w:rPr>
                <w:rFonts w:cs="Arial"/>
              </w:rPr>
              <w:t>7</w:t>
            </w:r>
          </w:p>
        </w:tc>
        <w:tc>
          <w:tcPr>
            <w:tcW w:w="1082" w:type="dxa"/>
            <w:vAlign w:val="center"/>
          </w:tcPr>
          <w:p w14:paraId="746D6DE5" w14:textId="77777777" w:rsidR="003A55DE" w:rsidRPr="00ED23D7" w:rsidRDefault="003A55DE">
            <w:pPr>
              <w:rPr>
                <w:rFonts w:cs="Arial"/>
              </w:rPr>
            </w:pPr>
            <w:r w:rsidRPr="00EA5EDB">
              <w:rPr>
                <w:rFonts w:cs="Arial"/>
              </w:rPr>
              <w:t>1</w:t>
            </w:r>
          </w:p>
        </w:tc>
        <w:tc>
          <w:tcPr>
            <w:tcW w:w="1083" w:type="dxa"/>
            <w:vAlign w:val="center"/>
          </w:tcPr>
          <w:p w14:paraId="251DD9E9" w14:textId="77777777" w:rsidR="003A55DE" w:rsidRPr="00ED23D7" w:rsidRDefault="003A55DE">
            <w:pPr>
              <w:rPr>
                <w:rFonts w:eastAsia="Arial" w:cs="Arial"/>
              </w:rPr>
            </w:pPr>
            <w:r w:rsidRPr="00EA5EDB">
              <w:rPr>
                <w:rFonts w:eastAsia="Arial" w:cs="Arial"/>
              </w:rPr>
              <w:t>0</w:t>
            </w:r>
          </w:p>
        </w:tc>
        <w:tc>
          <w:tcPr>
            <w:tcW w:w="1082" w:type="dxa"/>
            <w:vAlign w:val="center"/>
          </w:tcPr>
          <w:p w14:paraId="053D92E5" w14:textId="77777777" w:rsidR="003A55DE" w:rsidRPr="00ED23D7" w:rsidRDefault="003A55DE">
            <w:pPr>
              <w:rPr>
                <w:rFonts w:cs="Arial"/>
              </w:rPr>
            </w:pPr>
            <w:r w:rsidRPr="00ED23D7">
              <w:rPr>
                <w:rFonts w:cs="Arial"/>
              </w:rPr>
              <w:t>2</w:t>
            </w:r>
          </w:p>
        </w:tc>
        <w:tc>
          <w:tcPr>
            <w:tcW w:w="1082" w:type="dxa"/>
            <w:vAlign w:val="center"/>
          </w:tcPr>
          <w:p w14:paraId="2639071A" w14:textId="77777777" w:rsidR="003A55DE" w:rsidRPr="00ED23D7" w:rsidRDefault="003A55DE">
            <w:pPr>
              <w:rPr>
                <w:rFonts w:cs="Arial"/>
              </w:rPr>
            </w:pPr>
            <w:r w:rsidRPr="00EA5EDB">
              <w:rPr>
                <w:rFonts w:cs="Arial"/>
              </w:rPr>
              <w:t>4</w:t>
            </w:r>
          </w:p>
        </w:tc>
        <w:tc>
          <w:tcPr>
            <w:tcW w:w="1083" w:type="dxa"/>
            <w:vAlign w:val="center"/>
          </w:tcPr>
          <w:p w14:paraId="74D234DA" w14:textId="77777777" w:rsidR="003A55DE" w:rsidRPr="00ED23D7" w:rsidRDefault="003A55DE">
            <w:pPr>
              <w:rPr>
                <w:rFonts w:cs="Arial"/>
              </w:rPr>
            </w:pPr>
            <w:r w:rsidRPr="00EA5EDB">
              <w:rPr>
                <w:rFonts w:cs="Arial"/>
              </w:rPr>
              <w:t>14</w:t>
            </w:r>
          </w:p>
        </w:tc>
      </w:tr>
    </w:tbl>
    <w:p w14:paraId="4B3D0A8C" w14:textId="34E4B3A5" w:rsidR="002E4850" w:rsidRPr="002E4850" w:rsidRDefault="003A55DE" w:rsidP="00D850B1">
      <w:pPr>
        <w:spacing w:before="120"/>
      </w:pPr>
      <w:r>
        <w:rPr>
          <w:rFonts w:cs="Arial"/>
        </w:rPr>
        <w:t>In 2024–25, t</w:t>
      </w:r>
      <w:r w:rsidRPr="4922DB4F">
        <w:rPr>
          <w:rFonts w:cs="Arial"/>
        </w:rPr>
        <w:t>he QBCC</w:t>
      </w:r>
      <w:r w:rsidRPr="71720A0C">
        <w:rPr>
          <w:rFonts w:cs="Arial"/>
        </w:rPr>
        <w:t xml:space="preserve"> </w:t>
      </w:r>
      <w:r w:rsidRPr="4922DB4F">
        <w:rPr>
          <w:rFonts w:cs="Arial"/>
        </w:rPr>
        <w:t xml:space="preserve">referred </w:t>
      </w:r>
      <w:r w:rsidRPr="1E77B126">
        <w:rPr>
          <w:rFonts w:cs="Arial"/>
        </w:rPr>
        <w:t>51</w:t>
      </w:r>
      <w:r w:rsidRPr="4922DB4F">
        <w:rPr>
          <w:rFonts w:cs="Arial"/>
        </w:rPr>
        <w:t xml:space="preserve"> </w:t>
      </w:r>
      <w:r w:rsidRPr="28D5650B">
        <w:rPr>
          <w:rFonts w:cs="Arial"/>
        </w:rPr>
        <w:t>investigations</w:t>
      </w:r>
      <w:r w:rsidRPr="4922DB4F">
        <w:rPr>
          <w:rFonts w:cs="Arial"/>
        </w:rPr>
        <w:t xml:space="preserve"> to local governments</w:t>
      </w:r>
      <w:r w:rsidRPr="71720A0C">
        <w:rPr>
          <w:rFonts w:cs="Arial"/>
        </w:rPr>
        <w:t xml:space="preserve"> for further inspection or </w:t>
      </w:r>
      <w:r w:rsidRPr="28D5650B">
        <w:rPr>
          <w:rFonts w:cs="Arial"/>
        </w:rPr>
        <w:t>enforcement</w:t>
      </w:r>
      <w:r>
        <w:rPr>
          <w:rFonts w:cs="Arial"/>
        </w:rPr>
        <w:t xml:space="preserve"> and</w:t>
      </w:r>
      <w:r w:rsidRPr="28D5650B">
        <w:rPr>
          <w:rFonts w:cs="Arial"/>
        </w:rPr>
        <w:t xml:space="preserve"> </w:t>
      </w:r>
      <w:r w:rsidRPr="37980480">
        <w:rPr>
          <w:rFonts w:cs="Arial"/>
        </w:rPr>
        <w:t xml:space="preserve">received </w:t>
      </w:r>
      <w:r w:rsidRPr="74D69CC4">
        <w:rPr>
          <w:rFonts w:cs="Arial"/>
        </w:rPr>
        <w:t>117</w:t>
      </w:r>
      <w:r w:rsidR="00AC4A0B">
        <w:rPr>
          <w:rFonts w:cs="Arial"/>
        </w:rPr>
        <w:t xml:space="preserve"> </w:t>
      </w:r>
      <w:r w:rsidRPr="37980480">
        <w:rPr>
          <w:rFonts w:cs="Arial"/>
        </w:rPr>
        <w:t xml:space="preserve">immersion incident reports </w:t>
      </w:r>
      <w:r w:rsidRPr="799F77C6">
        <w:rPr>
          <w:rFonts w:cs="Arial"/>
        </w:rPr>
        <w:t xml:space="preserve">from </w:t>
      </w:r>
      <w:r w:rsidRPr="55872675">
        <w:rPr>
          <w:rFonts w:cs="Arial"/>
        </w:rPr>
        <w:t>Queensland</w:t>
      </w:r>
      <w:r w:rsidRPr="799F77C6">
        <w:rPr>
          <w:rFonts w:cs="Arial"/>
        </w:rPr>
        <w:t xml:space="preserve"> </w:t>
      </w:r>
      <w:r w:rsidRPr="29BC6B1B">
        <w:rPr>
          <w:rFonts w:cs="Arial"/>
        </w:rPr>
        <w:t xml:space="preserve">Health </w:t>
      </w:r>
      <w:r w:rsidRPr="3FF8940D">
        <w:rPr>
          <w:rFonts w:cs="Arial"/>
        </w:rPr>
        <w:t xml:space="preserve">involving </w:t>
      </w:r>
      <w:r w:rsidRPr="502E727C">
        <w:rPr>
          <w:rFonts w:eastAsia="Arial" w:cs="Arial"/>
        </w:rPr>
        <w:t>young children</w:t>
      </w:r>
      <w:r w:rsidRPr="24D1E177">
        <w:rPr>
          <w:rFonts w:cs="Arial"/>
        </w:rPr>
        <w:t>. Investigations</w:t>
      </w:r>
      <w:r w:rsidRPr="79BD76DA">
        <w:rPr>
          <w:rFonts w:cs="Arial"/>
        </w:rPr>
        <w:t xml:space="preserve"> identified </w:t>
      </w:r>
      <w:r w:rsidRPr="5C06B042">
        <w:rPr>
          <w:rFonts w:cs="Arial"/>
        </w:rPr>
        <w:t>17</w:t>
      </w:r>
      <w:r w:rsidRPr="79BD76DA">
        <w:rPr>
          <w:rFonts w:cs="Arial"/>
        </w:rPr>
        <w:t xml:space="preserve"> sites where a regulated pool was not </w:t>
      </w:r>
      <w:r w:rsidRPr="6488D3CC">
        <w:rPr>
          <w:rFonts w:cs="Arial"/>
        </w:rPr>
        <w:t>recorded</w:t>
      </w:r>
      <w:r w:rsidRPr="79BD76DA">
        <w:rPr>
          <w:rFonts w:cs="Arial"/>
        </w:rPr>
        <w:t xml:space="preserve"> on the QBCC’s pool register</w:t>
      </w:r>
      <w:r w:rsidRPr="1AD0E903">
        <w:rPr>
          <w:rFonts w:cs="Arial"/>
        </w:rPr>
        <w:t>.</w:t>
      </w:r>
    </w:p>
    <w:p w14:paraId="4FC0EDAA" w14:textId="178DAD5B" w:rsidR="003A55DE" w:rsidRPr="00CB7A22" w:rsidRDefault="003A55DE" w:rsidP="00D850B1">
      <w:pPr>
        <w:pStyle w:val="Heading4"/>
        <w:spacing w:before="120"/>
        <w:rPr>
          <w:rFonts w:cs="Arial"/>
          <w:szCs w:val="22"/>
        </w:rPr>
      </w:pPr>
      <w:r w:rsidRPr="00966904">
        <w:t>Contract</w:t>
      </w:r>
      <w:r w:rsidR="008D5AB7">
        <w:t xml:space="preserve"> compliance</w:t>
      </w:r>
      <w:r w:rsidRPr="00966904">
        <w:t xml:space="preserve"> investigations </w:t>
      </w:r>
    </w:p>
    <w:p w14:paraId="08FD3972" w14:textId="604B2D30" w:rsidR="003A55DE" w:rsidRPr="00786EC8" w:rsidRDefault="00D50C20" w:rsidP="003A55DE">
      <w:pPr>
        <w:spacing w:before="120" w:after="120"/>
        <w:rPr>
          <w:rFonts w:cs="Arial"/>
        </w:rPr>
      </w:pPr>
      <w:r>
        <w:rPr>
          <w:rFonts w:cs="Arial"/>
        </w:rPr>
        <w:t>T</w:t>
      </w:r>
      <w:r w:rsidRPr="00D50C20">
        <w:rPr>
          <w:rFonts w:cs="Arial"/>
        </w:rPr>
        <w:t xml:space="preserve">he QBCC reviews domestic and commercial building contracts to ensure compliance with the statutory requirements of the QBCC Act. Most reviews arise from complaints made by </w:t>
      </w:r>
      <w:proofErr w:type="gramStart"/>
      <w:r w:rsidRPr="00D50C20">
        <w:rPr>
          <w:rFonts w:cs="Arial"/>
        </w:rPr>
        <w:t>home owners</w:t>
      </w:r>
      <w:proofErr w:type="gramEnd"/>
      <w:r w:rsidRPr="00D50C20">
        <w:rPr>
          <w:rFonts w:cs="Arial"/>
        </w:rPr>
        <w:t xml:space="preserve">, contractors or other parties involved in residential building work. Common breaches identified through these reviews include non-compliance with contract requirements, deposit amounts, variations and progress payments. Although the QBCC reviews both domestic and commercial contracts, priority is given to complaints concerning domestic contracts due to their complexity and the greater vulnerability of </w:t>
      </w:r>
      <w:proofErr w:type="gramStart"/>
      <w:r w:rsidRPr="00D50C20">
        <w:rPr>
          <w:rFonts w:cs="Arial"/>
        </w:rPr>
        <w:t>home owners</w:t>
      </w:r>
      <w:proofErr w:type="gramEnd"/>
      <w:r w:rsidRPr="00D50C20">
        <w:rPr>
          <w:rFonts w:cs="Arial"/>
        </w:rPr>
        <w:t xml:space="preserve">, many of whom have limited experience with building contracts. By focusing on domestic contracts, the QBCC </w:t>
      </w:r>
      <w:r w:rsidRPr="00D50C20">
        <w:rPr>
          <w:rFonts w:cs="Arial"/>
        </w:rPr>
        <w:lastRenderedPageBreak/>
        <w:t xml:space="preserve">seeks to reduce non-compliance and strengthen protections for </w:t>
      </w:r>
      <w:proofErr w:type="gramStart"/>
      <w:r w:rsidRPr="00D50C20">
        <w:rPr>
          <w:rFonts w:cs="Arial"/>
        </w:rPr>
        <w:t>home owners</w:t>
      </w:r>
      <w:proofErr w:type="gramEnd"/>
      <w:r w:rsidRPr="00D50C20">
        <w:rPr>
          <w:rFonts w:cs="Arial"/>
        </w:rPr>
        <w:t>. Where breaches are identified, the QBCC has the authority to take regulatory action. Table 20 provides a summary of compliance investigations and outcomes for the reporting period.</w:t>
      </w:r>
    </w:p>
    <w:p w14:paraId="75919078" w14:textId="1CF83EA9" w:rsidR="003A55DE" w:rsidRPr="00D335F5" w:rsidRDefault="003A55DE" w:rsidP="003A6A76">
      <w:pPr>
        <w:pStyle w:val="Caption"/>
        <w:spacing w:before="120" w:after="120"/>
        <w:mirrorIndents/>
      </w:pPr>
      <w:bookmarkStart w:id="111" w:name="_Ref204671202"/>
      <w:bookmarkStart w:id="112" w:name="_Ref203399881"/>
      <w:r>
        <w:t xml:space="preserve">Table </w:t>
      </w:r>
      <w:bookmarkEnd w:id="111"/>
      <w:r w:rsidR="006C5E7F">
        <w:t>20</w:t>
      </w:r>
      <w:r>
        <w:fldChar w:fldCharType="begin"/>
      </w:r>
      <w:r>
        <w:instrText>SEQ Table \* ARABIC</w:instrText>
      </w:r>
      <w:r>
        <w:fldChar w:fldCharType="separate"/>
      </w:r>
      <w:r>
        <w:fldChar w:fldCharType="end"/>
      </w:r>
      <w:bookmarkEnd w:id="112"/>
      <w:r w:rsidRPr="00A31259">
        <w:t>: Contract</w:t>
      </w:r>
      <w:r w:rsidR="00B97782">
        <w:t xml:space="preserve"> compliance</w:t>
      </w:r>
      <w:r w:rsidRPr="00A31259">
        <w:t xml:space="preserve"> outcomes in 2024–25</w:t>
      </w:r>
    </w:p>
    <w:tbl>
      <w:tblPr>
        <w:tblStyle w:val="TableGrid"/>
        <w:tblW w:w="10490" w:type="dxa"/>
        <w:tblInd w:w="-5" w:type="dxa"/>
        <w:tblLayout w:type="fixed"/>
        <w:tblLook w:val="04A0" w:firstRow="1" w:lastRow="0" w:firstColumn="1" w:lastColumn="0" w:noHBand="0" w:noVBand="1"/>
      </w:tblPr>
      <w:tblGrid>
        <w:gridCol w:w="3071"/>
        <w:gridCol w:w="2717"/>
        <w:gridCol w:w="2717"/>
        <w:gridCol w:w="1985"/>
      </w:tblGrid>
      <w:tr w:rsidR="005A1CE4" w:rsidRPr="00B5624D" w14:paraId="7CA328FF" w14:textId="77777777" w:rsidTr="00EE0189">
        <w:tc>
          <w:tcPr>
            <w:tcW w:w="3071" w:type="dxa"/>
            <w:vMerge w:val="restart"/>
            <w:shd w:val="clear" w:color="auto" w:fill="A6A6A6" w:themeFill="background1" w:themeFillShade="A6"/>
            <w:vAlign w:val="center"/>
          </w:tcPr>
          <w:p w14:paraId="6C60456D" w14:textId="77777777" w:rsidR="003A55DE" w:rsidRPr="00B5624D" w:rsidDel="00D16537" w:rsidRDefault="003A55DE" w:rsidP="00300163">
            <w:pPr>
              <w:rPr>
                <w:rFonts w:cs="Arial"/>
                <w:b/>
                <w:szCs w:val="22"/>
              </w:rPr>
            </w:pPr>
            <w:r w:rsidRPr="00B5624D">
              <w:rPr>
                <w:rFonts w:cs="Arial"/>
                <w:b/>
                <w:szCs w:val="22"/>
              </w:rPr>
              <w:t>Outcome</w:t>
            </w:r>
          </w:p>
        </w:tc>
        <w:tc>
          <w:tcPr>
            <w:tcW w:w="5434" w:type="dxa"/>
            <w:gridSpan w:val="2"/>
            <w:shd w:val="clear" w:color="auto" w:fill="A6A6A6" w:themeFill="background1" w:themeFillShade="A6"/>
          </w:tcPr>
          <w:p w14:paraId="44544DED" w14:textId="77777777" w:rsidR="003A55DE" w:rsidRPr="00B5624D" w:rsidRDefault="003A55DE" w:rsidP="00300163">
            <w:pPr>
              <w:jc w:val="center"/>
              <w:rPr>
                <w:rFonts w:cs="Arial"/>
                <w:b/>
                <w:szCs w:val="22"/>
              </w:rPr>
            </w:pPr>
            <w:r w:rsidRPr="00B5624D">
              <w:rPr>
                <w:rFonts w:cs="Arial"/>
                <w:b/>
                <w:szCs w:val="22"/>
              </w:rPr>
              <w:t>Contracts</w:t>
            </w:r>
          </w:p>
        </w:tc>
        <w:tc>
          <w:tcPr>
            <w:tcW w:w="1985" w:type="dxa"/>
            <w:vMerge w:val="restart"/>
            <w:shd w:val="clear" w:color="auto" w:fill="A6A6A6" w:themeFill="background1" w:themeFillShade="A6"/>
            <w:vAlign w:val="center"/>
          </w:tcPr>
          <w:p w14:paraId="713E4327" w14:textId="77777777" w:rsidR="003A55DE" w:rsidRPr="00B5624D" w:rsidRDefault="003A55DE" w:rsidP="00300163">
            <w:pPr>
              <w:rPr>
                <w:rFonts w:cs="Arial"/>
                <w:b/>
                <w:szCs w:val="22"/>
              </w:rPr>
            </w:pPr>
            <w:r w:rsidRPr="00B5624D">
              <w:rPr>
                <w:rFonts w:cs="Arial"/>
                <w:b/>
                <w:szCs w:val="22"/>
              </w:rPr>
              <w:t>Total</w:t>
            </w:r>
          </w:p>
        </w:tc>
      </w:tr>
      <w:tr w:rsidR="005A1CE4" w:rsidRPr="00B5624D" w14:paraId="6F645BD8" w14:textId="77777777" w:rsidTr="00EE0189">
        <w:tc>
          <w:tcPr>
            <w:tcW w:w="3071" w:type="dxa"/>
            <w:vMerge/>
            <w:shd w:val="clear" w:color="auto" w:fill="A6A6A6" w:themeFill="background1" w:themeFillShade="A6"/>
          </w:tcPr>
          <w:p w14:paraId="1A68CC54" w14:textId="77777777" w:rsidR="003A55DE" w:rsidRPr="00B5624D" w:rsidRDefault="003A55DE" w:rsidP="00037F88">
            <w:pPr>
              <w:rPr>
                <w:rFonts w:cs="Arial"/>
                <w:b/>
                <w:szCs w:val="22"/>
              </w:rPr>
            </w:pPr>
          </w:p>
        </w:tc>
        <w:tc>
          <w:tcPr>
            <w:tcW w:w="2717" w:type="dxa"/>
            <w:shd w:val="clear" w:color="auto" w:fill="BFBFBF" w:themeFill="background1" w:themeFillShade="BF"/>
          </w:tcPr>
          <w:p w14:paraId="41737893" w14:textId="77777777" w:rsidR="003A55DE" w:rsidRPr="00B5624D" w:rsidRDefault="003A55DE" w:rsidP="00037F88">
            <w:pPr>
              <w:rPr>
                <w:rFonts w:cs="Arial"/>
                <w:b/>
                <w:szCs w:val="22"/>
              </w:rPr>
            </w:pPr>
            <w:r w:rsidRPr="00B5624D">
              <w:rPr>
                <w:rFonts w:cs="Arial"/>
                <w:b/>
                <w:szCs w:val="22"/>
              </w:rPr>
              <w:t>Domestic</w:t>
            </w:r>
          </w:p>
        </w:tc>
        <w:tc>
          <w:tcPr>
            <w:tcW w:w="2717" w:type="dxa"/>
            <w:shd w:val="clear" w:color="auto" w:fill="BFBFBF" w:themeFill="background1" w:themeFillShade="BF"/>
          </w:tcPr>
          <w:p w14:paraId="05E572E0" w14:textId="77777777" w:rsidR="003A55DE" w:rsidRPr="00B5624D" w:rsidRDefault="003A55DE" w:rsidP="00037F88">
            <w:pPr>
              <w:rPr>
                <w:rFonts w:cs="Arial"/>
                <w:b/>
                <w:szCs w:val="22"/>
              </w:rPr>
            </w:pPr>
            <w:r w:rsidRPr="00B5624D">
              <w:rPr>
                <w:rFonts w:cs="Arial"/>
                <w:b/>
                <w:szCs w:val="22"/>
              </w:rPr>
              <w:t>Commercial</w:t>
            </w:r>
          </w:p>
        </w:tc>
        <w:tc>
          <w:tcPr>
            <w:tcW w:w="1985" w:type="dxa"/>
            <w:vMerge/>
            <w:shd w:val="clear" w:color="auto" w:fill="A6A6A6" w:themeFill="background1" w:themeFillShade="A6"/>
          </w:tcPr>
          <w:p w14:paraId="4E74BC30" w14:textId="77777777" w:rsidR="003A55DE" w:rsidRPr="00B5624D" w:rsidRDefault="003A55DE" w:rsidP="00037F88">
            <w:pPr>
              <w:jc w:val="center"/>
              <w:rPr>
                <w:rFonts w:cs="Arial"/>
                <w:b/>
                <w:szCs w:val="22"/>
              </w:rPr>
            </w:pPr>
          </w:p>
        </w:tc>
      </w:tr>
      <w:tr w:rsidR="006213A3" w:rsidRPr="00B5624D" w14:paraId="388B9146" w14:textId="77777777" w:rsidTr="00B83A56">
        <w:trPr>
          <w:trHeight w:val="300"/>
        </w:trPr>
        <w:tc>
          <w:tcPr>
            <w:tcW w:w="3071" w:type="dxa"/>
          </w:tcPr>
          <w:p w14:paraId="78246893" w14:textId="77777777" w:rsidR="003A55DE" w:rsidRPr="00B5624D" w:rsidRDefault="003A55DE" w:rsidP="00300163">
            <w:pPr>
              <w:rPr>
                <w:rFonts w:cs="Arial"/>
                <w:szCs w:val="22"/>
              </w:rPr>
            </w:pPr>
            <w:r w:rsidRPr="00B5624D">
              <w:rPr>
                <w:rFonts w:cs="Arial"/>
                <w:szCs w:val="22"/>
              </w:rPr>
              <w:t>Investigations</w:t>
            </w:r>
          </w:p>
        </w:tc>
        <w:tc>
          <w:tcPr>
            <w:tcW w:w="2717" w:type="dxa"/>
            <w:vAlign w:val="center"/>
          </w:tcPr>
          <w:p w14:paraId="27CCBA07" w14:textId="58C15604" w:rsidR="003A55DE" w:rsidRPr="00EA5EDB" w:rsidRDefault="003A55DE" w:rsidP="00300163">
            <w:pPr>
              <w:rPr>
                <w:rFonts w:cs="Arial"/>
              </w:rPr>
            </w:pPr>
            <w:r w:rsidRPr="00EA5EDB">
              <w:rPr>
                <w:rFonts w:cs="Arial"/>
              </w:rPr>
              <w:t>413</w:t>
            </w:r>
          </w:p>
        </w:tc>
        <w:tc>
          <w:tcPr>
            <w:tcW w:w="2717" w:type="dxa"/>
            <w:vAlign w:val="center"/>
          </w:tcPr>
          <w:p w14:paraId="7409644C" w14:textId="06AD4106" w:rsidR="003A55DE" w:rsidRPr="00EA5EDB" w:rsidRDefault="003A55DE" w:rsidP="00300163">
            <w:pPr>
              <w:rPr>
                <w:rFonts w:cs="Arial"/>
              </w:rPr>
            </w:pPr>
            <w:r w:rsidRPr="00EA5EDB">
              <w:rPr>
                <w:rFonts w:cs="Arial"/>
              </w:rPr>
              <w:t>14</w:t>
            </w:r>
          </w:p>
        </w:tc>
        <w:tc>
          <w:tcPr>
            <w:tcW w:w="1985" w:type="dxa"/>
            <w:vAlign w:val="center"/>
          </w:tcPr>
          <w:p w14:paraId="2759BBEF" w14:textId="77777777" w:rsidR="003A55DE" w:rsidRPr="00EA5EDB" w:rsidRDefault="003A55DE" w:rsidP="00300163">
            <w:pPr>
              <w:rPr>
                <w:rFonts w:cs="Arial"/>
              </w:rPr>
            </w:pPr>
            <w:r w:rsidRPr="00EA5EDB">
              <w:rPr>
                <w:rFonts w:cs="Arial"/>
              </w:rPr>
              <w:t>427</w:t>
            </w:r>
          </w:p>
        </w:tc>
      </w:tr>
      <w:tr w:rsidR="006213A3" w:rsidRPr="00B5624D" w14:paraId="2A40C9DE" w14:textId="77777777" w:rsidTr="00B83A56">
        <w:trPr>
          <w:trHeight w:val="300"/>
        </w:trPr>
        <w:tc>
          <w:tcPr>
            <w:tcW w:w="3071" w:type="dxa"/>
          </w:tcPr>
          <w:p w14:paraId="5D50EEEA" w14:textId="77777777" w:rsidR="003A55DE" w:rsidRPr="00B5624D" w:rsidRDefault="003A55DE" w:rsidP="00300163">
            <w:pPr>
              <w:rPr>
                <w:rFonts w:cs="Arial"/>
                <w:szCs w:val="22"/>
              </w:rPr>
            </w:pPr>
            <w:r w:rsidRPr="00B5624D">
              <w:rPr>
                <w:rFonts w:cs="Arial"/>
                <w:szCs w:val="22"/>
              </w:rPr>
              <w:t>Warnings</w:t>
            </w:r>
          </w:p>
        </w:tc>
        <w:tc>
          <w:tcPr>
            <w:tcW w:w="2717" w:type="dxa"/>
            <w:vAlign w:val="center"/>
          </w:tcPr>
          <w:p w14:paraId="04EA619A" w14:textId="17C6743E" w:rsidR="003A55DE" w:rsidRPr="00EA5EDB" w:rsidRDefault="003A55DE" w:rsidP="00300163">
            <w:pPr>
              <w:rPr>
                <w:rFonts w:cs="Arial"/>
              </w:rPr>
            </w:pPr>
            <w:r w:rsidRPr="00EA5EDB">
              <w:rPr>
                <w:rFonts w:cs="Arial"/>
              </w:rPr>
              <w:t>131</w:t>
            </w:r>
          </w:p>
        </w:tc>
        <w:tc>
          <w:tcPr>
            <w:tcW w:w="2717" w:type="dxa"/>
            <w:vAlign w:val="center"/>
          </w:tcPr>
          <w:p w14:paraId="2EAEF536" w14:textId="734C87FA" w:rsidR="003A55DE" w:rsidRPr="00EA5EDB" w:rsidRDefault="003A55DE" w:rsidP="00300163">
            <w:pPr>
              <w:rPr>
                <w:rFonts w:cs="Arial"/>
              </w:rPr>
            </w:pPr>
            <w:r w:rsidRPr="00EA5EDB">
              <w:rPr>
                <w:rFonts w:cs="Arial"/>
              </w:rPr>
              <w:t>2</w:t>
            </w:r>
          </w:p>
        </w:tc>
        <w:tc>
          <w:tcPr>
            <w:tcW w:w="1985" w:type="dxa"/>
            <w:vAlign w:val="center"/>
          </w:tcPr>
          <w:p w14:paraId="0901EF2A" w14:textId="77777777" w:rsidR="003A55DE" w:rsidRPr="00EA5EDB" w:rsidRDefault="003A55DE" w:rsidP="00300163">
            <w:pPr>
              <w:rPr>
                <w:rFonts w:cs="Arial"/>
              </w:rPr>
            </w:pPr>
            <w:r w:rsidRPr="00EA5EDB">
              <w:rPr>
                <w:rFonts w:cs="Arial"/>
              </w:rPr>
              <w:t>133</w:t>
            </w:r>
          </w:p>
        </w:tc>
      </w:tr>
      <w:tr w:rsidR="006213A3" w:rsidRPr="00BF31F0" w14:paraId="2D3ABEE0" w14:textId="77777777" w:rsidTr="00B83A56">
        <w:trPr>
          <w:trHeight w:val="300"/>
        </w:trPr>
        <w:tc>
          <w:tcPr>
            <w:tcW w:w="3071" w:type="dxa"/>
          </w:tcPr>
          <w:p w14:paraId="128D188D" w14:textId="77777777" w:rsidR="003A55DE" w:rsidRPr="00B5624D" w:rsidRDefault="003A55DE" w:rsidP="00300163">
            <w:pPr>
              <w:rPr>
                <w:rFonts w:cs="Arial"/>
                <w:szCs w:val="22"/>
              </w:rPr>
            </w:pPr>
            <w:r w:rsidRPr="00B5624D">
              <w:rPr>
                <w:rFonts w:cs="Arial"/>
                <w:szCs w:val="22"/>
              </w:rPr>
              <w:t xml:space="preserve">Infringement notices </w:t>
            </w:r>
          </w:p>
        </w:tc>
        <w:tc>
          <w:tcPr>
            <w:tcW w:w="2717" w:type="dxa"/>
            <w:vAlign w:val="center"/>
          </w:tcPr>
          <w:p w14:paraId="49F396F7" w14:textId="36025DA4" w:rsidR="003A55DE" w:rsidRPr="00EA5EDB" w:rsidRDefault="003A55DE" w:rsidP="00300163">
            <w:pPr>
              <w:rPr>
                <w:rFonts w:cs="Arial"/>
              </w:rPr>
            </w:pPr>
            <w:r w:rsidRPr="00EA5EDB">
              <w:rPr>
                <w:rFonts w:cs="Arial"/>
              </w:rPr>
              <w:t>98</w:t>
            </w:r>
          </w:p>
        </w:tc>
        <w:tc>
          <w:tcPr>
            <w:tcW w:w="2717" w:type="dxa"/>
            <w:vAlign w:val="center"/>
          </w:tcPr>
          <w:p w14:paraId="20F34EFC" w14:textId="0C17D515" w:rsidR="003A55DE" w:rsidRPr="00EA5EDB" w:rsidRDefault="003A55DE" w:rsidP="00300163">
            <w:pPr>
              <w:rPr>
                <w:rFonts w:cs="Arial"/>
              </w:rPr>
            </w:pPr>
            <w:r w:rsidRPr="00EA5EDB">
              <w:rPr>
                <w:rFonts w:cs="Arial"/>
              </w:rPr>
              <w:t>4</w:t>
            </w:r>
          </w:p>
        </w:tc>
        <w:tc>
          <w:tcPr>
            <w:tcW w:w="1985" w:type="dxa"/>
            <w:vAlign w:val="center"/>
          </w:tcPr>
          <w:p w14:paraId="3129D770" w14:textId="77777777" w:rsidR="003A55DE" w:rsidRPr="00EA5EDB" w:rsidRDefault="003A55DE" w:rsidP="00300163">
            <w:pPr>
              <w:rPr>
                <w:rFonts w:cs="Arial"/>
              </w:rPr>
            </w:pPr>
            <w:r w:rsidRPr="00EA5EDB">
              <w:rPr>
                <w:rFonts w:cs="Arial"/>
              </w:rPr>
              <w:t>102</w:t>
            </w:r>
          </w:p>
        </w:tc>
      </w:tr>
    </w:tbl>
    <w:p w14:paraId="67CDE8BF" w14:textId="3700E115" w:rsidR="001E29FA" w:rsidRDefault="001E29FA" w:rsidP="00377E43">
      <w:pPr>
        <w:rPr>
          <w:lang w:eastAsia="en-AU"/>
        </w:rPr>
      </w:pPr>
    </w:p>
    <w:p w14:paraId="4048C623" w14:textId="686C1876" w:rsidR="001E29FA" w:rsidRDefault="001E29FA">
      <w:pPr>
        <w:rPr>
          <w:rFonts w:eastAsiaTheme="majorEastAsia" w:cstheme="majorBidi"/>
          <w:bCs/>
          <w:sz w:val="32"/>
          <w:szCs w:val="32"/>
          <w:lang w:eastAsia="en-AU"/>
        </w:rPr>
      </w:pPr>
      <w:r>
        <w:rPr>
          <w:lang w:eastAsia="en-AU"/>
        </w:rPr>
        <w:br w:type="page"/>
      </w:r>
    </w:p>
    <w:p w14:paraId="52DF533B" w14:textId="6166D00F" w:rsidR="00E428E4" w:rsidRDefault="00E428E4" w:rsidP="008D00B5">
      <w:pPr>
        <w:pStyle w:val="Heading2"/>
        <w:rPr>
          <w:lang w:eastAsia="en-AU"/>
        </w:rPr>
      </w:pPr>
      <w:bookmarkStart w:id="113" w:name="_Toc206493016"/>
      <w:r>
        <w:rPr>
          <w:lang w:eastAsia="en-AU"/>
        </w:rPr>
        <w:lastRenderedPageBreak/>
        <w:t>Queensland Home Warranty Scheme</w:t>
      </w:r>
      <w:bookmarkEnd w:id="113"/>
    </w:p>
    <w:p w14:paraId="4E33A62B" w14:textId="519750A3" w:rsidR="004E1060" w:rsidRDefault="005E3DC1" w:rsidP="00E81A09">
      <w:pPr>
        <w:spacing w:before="120" w:after="120"/>
        <w:rPr>
          <w:lang w:eastAsia="en-AU"/>
        </w:rPr>
      </w:pPr>
      <w:r w:rsidRPr="00680C55">
        <w:rPr>
          <w:lang w:eastAsia="en-AU"/>
        </w:rPr>
        <w:t xml:space="preserve">The </w:t>
      </w:r>
      <w:r w:rsidR="00E9285E">
        <w:rPr>
          <w:lang w:eastAsia="en-AU"/>
        </w:rPr>
        <w:t xml:space="preserve">QBCC administers the </w:t>
      </w:r>
      <w:r w:rsidRPr="00680C55">
        <w:rPr>
          <w:lang w:eastAsia="en-AU"/>
        </w:rPr>
        <w:t>QHWS</w:t>
      </w:r>
      <w:r w:rsidR="00CE18F1">
        <w:rPr>
          <w:lang w:eastAsia="en-AU"/>
        </w:rPr>
        <w:t>, a</w:t>
      </w:r>
      <w:r w:rsidR="00FD31E2">
        <w:rPr>
          <w:lang w:eastAsia="en-AU"/>
        </w:rPr>
        <w:t xml:space="preserve"> </w:t>
      </w:r>
      <w:r w:rsidR="00383E8C">
        <w:rPr>
          <w:lang w:eastAsia="en-AU"/>
        </w:rPr>
        <w:t xml:space="preserve">consumer protection initiative </w:t>
      </w:r>
      <w:r w:rsidR="001A4941">
        <w:rPr>
          <w:lang w:eastAsia="en-AU"/>
        </w:rPr>
        <w:t xml:space="preserve">covering </w:t>
      </w:r>
      <w:r w:rsidR="000379BD">
        <w:rPr>
          <w:lang w:eastAsia="en-AU"/>
        </w:rPr>
        <w:t xml:space="preserve">eligible </w:t>
      </w:r>
      <w:r w:rsidRPr="00680C55">
        <w:rPr>
          <w:lang w:eastAsia="en-AU"/>
        </w:rPr>
        <w:t xml:space="preserve">residential construction </w:t>
      </w:r>
      <w:r w:rsidR="001A4941">
        <w:rPr>
          <w:lang w:eastAsia="en-AU"/>
        </w:rPr>
        <w:t>projects</w:t>
      </w:r>
      <w:r w:rsidR="005F722B">
        <w:rPr>
          <w:lang w:eastAsia="en-AU"/>
        </w:rPr>
        <w:t xml:space="preserve"> in Queensland</w:t>
      </w:r>
      <w:r w:rsidR="00B17446">
        <w:rPr>
          <w:lang w:eastAsia="en-AU"/>
        </w:rPr>
        <w:t xml:space="preserve"> valued </w:t>
      </w:r>
      <w:r w:rsidR="00C52AE4">
        <w:rPr>
          <w:lang w:eastAsia="en-AU"/>
        </w:rPr>
        <w:t xml:space="preserve">over </w:t>
      </w:r>
      <w:r w:rsidR="00B17446">
        <w:rPr>
          <w:lang w:eastAsia="en-AU"/>
        </w:rPr>
        <w:t>$3,300</w:t>
      </w:r>
      <w:r w:rsidRPr="00680C55">
        <w:rPr>
          <w:lang w:eastAsia="en-AU"/>
        </w:rPr>
        <w:t xml:space="preserve">. </w:t>
      </w:r>
      <w:r w:rsidR="0098200F">
        <w:rPr>
          <w:lang w:eastAsia="en-AU"/>
        </w:rPr>
        <w:t xml:space="preserve">The </w:t>
      </w:r>
      <w:r w:rsidR="00452604">
        <w:rPr>
          <w:lang w:eastAsia="en-AU"/>
        </w:rPr>
        <w:t>QHWS</w:t>
      </w:r>
      <w:r w:rsidR="0098200F">
        <w:rPr>
          <w:lang w:eastAsia="en-AU"/>
        </w:rPr>
        <w:t xml:space="preserve"> </w:t>
      </w:r>
      <w:r w:rsidR="009855A1">
        <w:rPr>
          <w:lang w:eastAsia="en-AU"/>
        </w:rPr>
        <w:t xml:space="preserve">serves as </w:t>
      </w:r>
      <w:r w:rsidR="00D50178">
        <w:rPr>
          <w:lang w:eastAsia="en-AU"/>
        </w:rPr>
        <w:t>a</w:t>
      </w:r>
      <w:r w:rsidR="0098200F">
        <w:rPr>
          <w:lang w:eastAsia="en-AU"/>
        </w:rPr>
        <w:t xml:space="preserve"> safety net for </w:t>
      </w:r>
      <w:bookmarkStart w:id="114" w:name="_Int_dOqMpOTE"/>
      <w:proofErr w:type="gramStart"/>
      <w:r w:rsidR="00D50178">
        <w:rPr>
          <w:lang w:eastAsia="en-AU"/>
        </w:rPr>
        <w:t>home owners</w:t>
      </w:r>
      <w:bookmarkEnd w:id="114"/>
      <w:proofErr w:type="gramEnd"/>
      <w:r w:rsidR="00F762A5">
        <w:rPr>
          <w:lang w:eastAsia="en-AU"/>
        </w:rPr>
        <w:t xml:space="preserve"> by </w:t>
      </w:r>
      <w:r w:rsidR="009855A1">
        <w:rPr>
          <w:lang w:eastAsia="en-AU"/>
        </w:rPr>
        <w:t>providing</w:t>
      </w:r>
      <w:r w:rsidR="008A1815">
        <w:rPr>
          <w:lang w:eastAsia="en-AU"/>
        </w:rPr>
        <w:t xml:space="preserve"> </w:t>
      </w:r>
      <w:r w:rsidR="00643F57">
        <w:rPr>
          <w:lang w:eastAsia="en-AU"/>
        </w:rPr>
        <w:t xml:space="preserve">financial protection </w:t>
      </w:r>
      <w:r w:rsidR="00906522">
        <w:rPr>
          <w:lang w:eastAsia="en-AU"/>
        </w:rPr>
        <w:t>against</w:t>
      </w:r>
      <w:r w:rsidR="008A1815">
        <w:rPr>
          <w:lang w:eastAsia="en-AU"/>
        </w:rPr>
        <w:t xml:space="preserve"> incomplete </w:t>
      </w:r>
      <w:r w:rsidR="002341F9">
        <w:rPr>
          <w:lang w:eastAsia="en-AU"/>
        </w:rPr>
        <w:t xml:space="preserve">and defective </w:t>
      </w:r>
      <w:r w:rsidR="008A1815">
        <w:rPr>
          <w:lang w:eastAsia="en-AU"/>
        </w:rPr>
        <w:t>building work</w:t>
      </w:r>
      <w:r w:rsidR="00972384">
        <w:rPr>
          <w:lang w:eastAsia="en-AU"/>
        </w:rPr>
        <w:t xml:space="preserve">. </w:t>
      </w:r>
      <w:r w:rsidR="00256A24">
        <w:rPr>
          <w:lang w:eastAsia="en-AU"/>
        </w:rPr>
        <w:t xml:space="preserve">The </w:t>
      </w:r>
      <w:r w:rsidR="002341F9">
        <w:rPr>
          <w:lang w:eastAsia="en-AU"/>
        </w:rPr>
        <w:t xml:space="preserve">QHWS </w:t>
      </w:r>
      <w:r w:rsidR="001E58B8">
        <w:rPr>
          <w:lang w:eastAsia="en-AU"/>
        </w:rPr>
        <w:t xml:space="preserve">provides compensation of up to $200,000 </w:t>
      </w:r>
      <w:r w:rsidR="008A2F5F">
        <w:rPr>
          <w:lang w:eastAsia="en-AU"/>
        </w:rPr>
        <w:t xml:space="preserve">by </w:t>
      </w:r>
      <w:r w:rsidR="00AD7F6C">
        <w:rPr>
          <w:lang w:eastAsia="en-AU"/>
        </w:rPr>
        <w:t>default</w:t>
      </w:r>
      <w:r w:rsidR="00CB3C0F">
        <w:rPr>
          <w:lang w:eastAsia="en-AU"/>
        </w:rPr>
        <w:t>,</w:t>
      </w:r>
      <w:r w:rsidR="00EF09C5">
        <w:rPr>
          <w:lang w:eastAsia="en-AU"/>
        </w:rPr>
        <w:t xml:space="preserve"> </w:t>
      </w:r>
      <w:r w:rsidR="00AD7F6C">
        <w:rPr>
          <w:lang w:eastAsia="en-AU"/>
        </w:rPr>
        <w:t>and up to $300</w:t>
      </w:r>
      <w:r w:rsidR="00872357">
        <w:rPr>
          <w:lang w:eastAsia="en-AU"/>
        </w:rPr>
        <w:t xml:space="preserve">,000 if the </w:t>
      </w:r>
      <w:bookmarkStart w:id="115" w:name="_Int_ZDUpXqI3"/>
      <w:proofErr w:type="gramStart"/>
      <w:r w:rsidR="00872357">
        <w:rPr>
          <w:lang w:eastAsia="en-AU"/>
        </w:rPr>
        <w:t>home owner</w:t>
      </w:r>
      <w:bookmarkEnd w:id="115"/>
      <w:proofErr w:type="gramEnd"/>
      <w:r w:rsidR="00872357">
        <w:rPr>
          <w:lang w:eastAsia="en-AU"/>
        </w:rPr>
        <w:t xml:space="preserve"> </w:t>
      </w:r>
      <w:r w:rsidR="00CB3C0F">
        <w:rPr>
          <w:lang w:eastAsia="en-AU"/>
        </w:rPr>
        <w:t>opts for</w:t>
      </w:r>
      <w:r w:rsidR="00946AB7">
        <w:rPr>
          <w:lang w:eastAsia="en-AU"/>
        </w:rPr>
        <w:t xml:space="preserve"> </w:t>
      </w:r>
      <w:r w:rsidR="00872357">
        <w:rPr>
          <w:lang w:eastAsia="en-AU"/>
        </w:rPr>
        <w:t>additional</w:t>
      </w:r>
      <w:r w:rsidR="001E58B8">
        <w:rPr>
          <w:lang w:eastAsia="en-AU"/>
        </w:rPr>
        <w:t xml:space="preserve"> cover</w:t>
      </w:r>
      <w:r w:rsidR="00946AB7">
        <w:rPr>
          <w:lang w:eastAsia="en-AU"/>
        </w:rPr>
        <w:t>,</w:t>
      </w:r>
      <w:r w:rsidR="00BC1201">
        <w:rPr>
          <w:lang w:eastAsia="en-AU"/>
        </w:rPr>
        <w:t xml:space="preserve"> </w:t>
      </w:r>
      <w:r w:rsidR="001E58B8">
        <w:rPr>
          <w:lang w:eastAsia="en-AU"/>
        </w:rPr>
        <w:t xml:space="preserve">to </w:t>
      </w:r>
      <w:r w:rsidR="00872357">
        <w:rPr>
          <w:lang w:eastAsia="en-AU"/>
        </w:rPr>
        <w:t xml:space="preserve">protect </w:t>
      </w:r>
      <w:r w:rsidR="00946AB7">
        <w:rPr>
          <w:lang w:eastAsia="en-AU"/>
        </w:rPr>
        <w:t>against</w:t>
      </w:r>
      <w:r w:rsidR="009855A1">
        <w:rPr>
          <w:lang w:eastAsia="en-AU"/>
        </w:rPr>
        <w:t xml:space="preserve"> costs </w:t>
      </w:r>
      <w:r w:rsidR="003843A5">
        <w:rPr>
          <w:lang w:eastAsia="en-AU"/>
        </w:rPr>
        <w:t xml:space="preserve">associated with </w:t>
      </w:r>
      <w:r w:rsidR="00B9136A">
        <w:rPr>
          <w:lang w:eastAsia="en-AU"/>
        </w:rPr>
        <w:t>completing or</w:t>
      </w:r>
      <w:r w:rsidR="003843A5">
        <w:rPr>
          <w:lang w:eastAsia="en-AU"/>
        </w:rPr>
        <w:t xml:space="preserve"> rectifying defects that arise within the specified warranty period</w:t>
      </w:r>
      <w:r w:rsidR="000B2E6C">
        <w:rPr>
          <w:lang w:eastAsia="en-AU"/>
        </w:rPr>
        <w:t xml:space="preserve">. </w:t>
      </w:r>
    </w:p>
    <w:p w14:paraId="184D8F2E" w14:textId="54FB77E6" w:rsidR="00CC0092" w:rsidRDefault="000B2E6C" w:rsidP="00E81A09">
      <w:pPr>
        <w:spacing w:before="120" w:after="120"/>
        <w:rPr>
          <w:lang w:eastAsia="en-AU"/>
        </w:rPr>
      </w:pPr>
      <w:r>
        <w:rPr>
          <w:lang w:eastAsia="en-AU"/>
        </w:rPr>
        <w:t>By doing so</w:t>
      </w:r>
      <w:r w:rsidR="00586BFB">
        <w:rPr>
          <w:lang w:eastAsia="en-AU"/>
        </w:rPr>
        <w:t xml:space="preserve">, </w:t>
      </w:r>
      <w:r>
        <w:rPr>
          <w:lang w:eastAsia="en-AU"/>
        </w:rPr>
        <w:t xml:space="preserve">it </w:t>
      </w:r>
      <w:r w:rsidR="004868C2">
        <w:rPr>
          <w:lang w:eastAsia="en-AU"/>
        </w:rPr>
        <w:t xml:space="preserve">protects </w:t>
      </w:r>
      <w:bookmarkStart w:id="116" w:name="_Int_9jk3gt4r"/>
      <w:proofErr w:type="gramStart"/>
      <w:r w:rsidR="00586BFB">
        <w:rPr>
          <w:lang w:eastAsia="en-AU"/>
        </w:rPr>
        <w:t>home owners</w:t>
      </w:r>
      <w:bookmarkEnd w:id="116"/>
      <w:proofErr w:type="gramEnd"/>
      <w:r w:rsidR="000708F2">
        <w:rPr>
          <w:lang w:eastAsia="en-AU"/>
        </w:rPr>
        <w:t xml:space="preserve"> from unexpected expenses</w:t>
      </w:r>
      <w:r w:rsidR="009533CE">
        <w:rPr>
          <w:lang w:eastAsia="en-AU"/>
        </w:rPr>
        <w:t xml:space="preserve"> and </w:t>
      </w:r>
      <w:r w:rsidR="002B26B0">
        <w:rPr>
          <w:lang w:eastAsia="en-AU"/>
        </w:rPr>
        <w:t xml:space="preserve">provides </w:t>
      </w:r>
      <w:r w:rsidR="00772B0B">
        <w:rPr>
          <w:lang w:eastAsia="en-AU"/>
        </w:rPr>
        <w:t>peace of mind</w:t>
      </w:r>
      <w:r w:rsidR="00120017">
        <w:rPr>
          <w:lang w:eastAsia="en-AU"/>
        </w:rPr>
        <w:t>.</w:t>
      </w:r>
      <w:r w:rsidR="00FC4D63">
        <w:rPr>
          <w:lang w:eastAsia="en-AU"/>
        </w:rPr>
        <w:t xml:space="preserve"> </w:t>
      </w:r>
    </w:p>
    <w:p w14:paraId="2511553A" w14:textId="1BA7C4F7" w:rsidR="00CA144B" w:rsidRDefault="00F0123F" w:rsidP="00E81A09">
      <w:pPr>
        <w:spacing w:before="120" w:after="120"/>
        <w:rPr>
          <w:rFonts w:eastAsia="Times New Roman" w:cs="Arial"/>
          <w:lang w:eastAsia="en-AU"/>
        </w:rPr>
      </w:pPr>
      <w:r>
        <w:rPr>
          <w:lang w:eastAsia="en-AU"/>
        </w:rPr>
        <w:t>W</w:t>
      </w:r>
      <w:r w:rsidR="00DD1349">
        <w:rPr>
          <w:lang w:eastAsia="en-AU"/>
        </w:rPr>
        <w:t xml:space="preserve">here </w:t>
      </w:r>
      <w:r w:rsidR="00F76570">
        <w:rPr>
          <w:lang w:eastAsia="en-AU"/>
        </w:rPr>
        <w:t>a contractor</w:t>
      </w:r>
      <w:r w:rsidR="00DD1349">
        <w:rPr>
          <w:lang w:eastAsia="en-AU"/>
        </w:rPr>
        <w:t xml:space="preserve"> </w:t>
      </w:r>
      <w:r w:rsidR="0020290E" w:rsidRPr="0020290E">
        <w:rPr>
          <w:lang w:eastAsia="en-AU"/>
        </w:rPr>
        <w:t>fails to complete or rectify defe</w:t>
      </w:r>
      <w:r w:rsidR="002A38FE">
        <w:rPr>
          <w:lang w:eastAsia="en-AU"/>
        </w:rPr>
        <w:t xml:space="preserve">ctive </w:t>
      </w:r>
      <w:r w:rsidR="0020290E" w:rsidRPr="0020290E">
        <w:rPr>
          <w:lang w:eastAsia="en-AU"/>
        </w:rPr>
        <w:t>work</w:t>
      </w:r>
      <w:r w:rsidR="00DD1349">
        <w:rPr>
          <w:lang w:eastAsia="en-AU"/>
        </w:rPr>
        <w:t>, t</w:t>
      </w:r>
      <w:r w:rsidR="00C9282B">
        <w:rPr>
          <w:lang w:eastAsia="en-AU"/>
        </w:rPr>
        <w:t>he</w:t>
      </w:r>
      <w:r w:rsidR="00C9282B" w:rsidRPr="00680C55">
        <w:rPr>
          <w:lang w:eastAsia="en-AU"/>
        </w:rPr>
        <w:t xml:space="preserve"> </w:t>
      </w:r>
      <w:r w:rsidR="00260969">
        <w:rPr>
          <w:lang w:eastAsia="en-AU"/>
        </w:rPr>
        <w:t>QHWS</w:t>
      </w:r>
      <w:r w:rsidR="00AF4568">
        <w:rPr>
          <w:lang w:eastAsia="en-AU"/>
        </w:rPr>
        <w:t xml:space="preserve"> steps in to resolve </w:t>
      </w:r>
      <w:r w:rsidR="008402B5">
        <w:rPr>
          <w:lang w:eastAsia="en-AU"/>
        </w:rPr>
        <w:t xml:space="preserve">the issue </w:t>
      </w:r>
      <w:r w:rsidR="00D36603">
        <w:rPr>
          <w:lang w:eastAsia="en-AU"/>
        </w:rPr>
        <w:t xml:space="preserve">and </w:t>
      </w:r>
      <w:r w:rsidR="00260969">
        <w:rPr>
          <w:lang w:eastAsia="en-AU"/>
        </w:rPr>
        <w:t xml:space="preserve">seek </w:t>
      </w:r>
      <w:r w:rsidR="00F72055">
        <w:rPr>
          <w:lang w:eastAsia="en-AU"/>
        </w:rPr>
        <w:t xml:space="preserve">reimbursement </w:t>
      </w:r>
      <w:r w:rsidR="005C5B95">
        <w:rPr>
          <w:lang w:eastAsia="en-AU"/>
        </w:rPr>
        <w:t xml:space="preserve">of the costs of doing so </w:t>
      </w:r>
      <w:r w:rsidR="00CA1292">
        <w:rPr>
          <w:lang w:eastAsia="en-AU"/>
        </w:rPr>
        <w:t xml:space="preserve">directly from the responsible </w:t>
      </w:r>
      <w:r w:rsidR="00A32579">
        <w:rPr>
          <w:lang w:eastAsia="en-AU"/>
        </w:rPr>
        <w:t>c</w:t>
      </w:r>
      <w:r w:rsidR="00C9282B" w:rsidRPr="00680C55">
        <w:rPr>
          <w:lang w:eastAsia="en-AU"/>
        </w:rPr>
        <w:t>ontractor</w:t>
      </w:r>
      <w:r w:rsidR="00CB1565">
        <w:rPr>
          <w:lang w:eastAsia="en-AU"/>
        </w:rPr>
        <w:t xml:space="preserve">. </w:t>
      </w:r>
      <w:r w:rsidR="00026ACB">
        <w:rPr>
          <w:lang w:eastAsia="en-AU"/>
        </w:rPr>
        <w:t xml:space="preserve">This </w:t>
      </w:r>
      <w:r w:rsidR="00AD0D29">
        <w:rPr>
          <w:lang w:eastAsia="en-AU"/>
        </w:rPr>
        <w:t xml:space="preserve">process </w:t>
      </w:r>
      <w:r w:rsidR="00F11159">
        <w:rPr>
          <w:lang w:eastAsia="en-AU"/>
        </w:rPr>
        <w:t>sav</w:t>
      </w:r>
      <w:r w:rsidR="00972C66">
        <w:rPr>
          <w:lang w:eastAsia="en-AU"/>
        </w:rPr>
        <w:t>es</w:t>
      </w:r>
      <w:r w:rsidR="00F11159">
        <w:rPr>
          <w:lang w:eastAsia="en-AU"/>
        </w:rPr>
        <w:t xml:space="preserve"> the </w:t>
      </w:r>
      <w:bookmarkStart w:id="117" w:name="_Int_VwXYFYy2"/>
      <w:proofErr w:type="gramStart"/>
      <w:r w:rsidR="00F11159">
        <w:rPr>
          <w:lang w:eastAsia="en-AU"/>
        </w:rPr>
        <w:t>home owner</w:t>
      </w:r>
      <w:bookmarkEnd w:id="117"/>
      <w:proofErr w:type="gramEnd"/>
      <w:r w:rsidR="00F11159">
        <w:rPr>
          <w:lang w:eastAsia="en-AU"/>
        </w:rPr>
        <w:t xml:space="preserve"> the time, cost and </w:t>
      </w:r>
      <w:r w:rsidR="00EF457A">
        <w:rPr>
          <w:lang w:eastAsia="en-AU"/>
        </w:rPr>
        <w:t>effort</w:t>
      </w:r>
      <w:r w:rsidR="00F11159">
        <w:rPr>
          <w:lang w:eastAsia="en-AU"/>
        </w:rPr>
        <w:t xml:space="preserve"> of </w:t>
      </w:r>
      <w:r w:rsidR="00A21EAF">
        <w:rPr>
          <w:lang w:eastAsia="en-AU"/>
        </w:rPr>
        <w:t>pursuing</w:t>
      </w:r>
      <w:r w:rsidR="00F11159">
        <w:rPr>
          <w:lang w:eastAsia="en-AU"/>
        </w:rPr>
        <w:t xml:space="preserve"> legal action themselves</w:t>
      </w:r>
      <w:r w:rsidR="00026ACB">
        <w:rPr>
          <w:lang w:eastAsia="en-AU"/>
        </w:rPr>
        <w:t xml:space="preserve"> and holds the </w:t>
      </w:r>
      <w:r w:rsidR="008D2494">
        <w:rPr>
          <w:lang w:eastAsia="en-AU"/>
        </w:rPr>
        <w:t>responsible contractor accountable</w:t>
      </w:r>
      <w:r w:rsidR="00DD1349">
        <w:rPr>
          <w:lang w:eastAsia="en-AU"/>
        </w:rPr>
        <w:t>.</w:t>
      </w:r>
      <w:r w:rsidR="00857A33">
        <w:rPr>
          <w:lang w:eastAsia="en-AU"/>
        </w:rPr>
        <w:t xml:space="preserve"> </w:t>
      </w:r>
      <w:r w:rsidR="00CA144B">
        <w:rPr>
          <w:lang w:eastAsia="en-AU"/>
        </w:rPr>
        <w:fldChar w:fldCharType="begin"/>
      </w:r>
      <w:r w:rsidR="00CA144B">
        <w:rPr>
          <w:lang w:eastAsia="en-AU"/>
        </w:rPr>
        <w:instrText xml:space="preserve"> REF _Ref204671557 \h </w:instrText>
      </w:r>
      <w:r w:rsidR="00CA144B">
        <w:rPr>
          <w:lang w:eastAsia="en-AU"/>
        </w:rPr>
      </w:r>
      <w:r w:rsidR="00CA144B">
        <w:rPr>
          <w:lang w:eastAsia="en-AU"/>
        </w:rPr>
        <w:fldChar w:fldCharType="separate"/>
      </w:r>
      <w:r w:rsidR="00CA144B">
        <w:t xml:space="preserve">Table </w:t>
      </w:r>
      <w:r w:rsidR="00CA144B" w:rsidRPr="00A57D9E">
        <w:t>21</w:t>
      </w:r>
      <w:r w:rsidR="00CA144B">
        <w:rPr>
          <w:lang w:eastAsia="en-AU"/>
        </w:rPr>
        <w:fldChar w:fldCharType="end"/>
      </w:r>
      <w:r w:rsidR="005C10A3">
        <w:rPr>
          <w:lang w:eastAsia="en-AU"/>
        </w:rPr>
        <w:fldChar w:fldCharType="begin"/>
      </w:r>
      <w:r w:rsidR="005C10A3">
        <w:rPr>
          <w:lang w:eastAsia="en-AU"/>
        </w:rPr>
        <w:instrText xml:space="preserve"> REF _Ref201911358 \h </w:instrText>
      </w:r>
      <w:r w:rsidR="005C10A3">
        <w:rPr>
          <w:lang w:eastAsia="en-AU"/>
        </w:rPr>
      </w:r>
      <w:r w:rsidR="005C10A3">
        <w:rPr>
          <w:lang w:eastAsia="en-AU"/>
        </w:rPr>
        <w:fldChar w:fldCharType="separate"/>
      </w:r>
      <w:r w:rsidR="005C10A3">
        <w:rPr>
          <w:lang w:eastAsia="en-AU"/>
        </w:rPr>
        <w:fldChar w:fldCharType="end"/>
      </w:r>
      <w:r w:rsidR="00FC4D63" w:rsidRPr="00FC4D63">
        <w:rPr>
          <w:lang w:eastAsia="en-AU"/>
        </w:rPr>
        <w:t xml:space="preserve"> outlines key activities delivered under the </w:t>
      </w:r>
      <w:r w:rsidR="00560D56">
        <w:rPr>
          <w:lang w:eastAsia="en-AU"/>
        </w:rPr>
        <w:t>QHWS</w:t>
      </w:r>
      <w:r w:rsidR="00FC4D63" w:rsidRPr="00FC4D63">
        <w:rPr>
          <w:lang w:eastAsia="en-AU"/>
        </w:rPr>
        <w:t>.</w:t>
      </w:r>
      <w:r w:rsidR="004C4CC5">
        <w:rPr>
          <w:lang w:eastAsia="en-AU"/>
        </w:rPr>
        <w:t xml:space="preserve"> </w:t>
      </w:r>
    </w:p>
    <w:p w14:paraId="504DCA64" w14:textId="0D1F9386" w:rsidR="005E3DC1" w:rsidRPr="009453D1" w:rsidRDefault="00CA144B" w:rsidP="00F2361D">
      <w:pPr>
        <w:pStyle w:val="Caption"/>
        <w:spacing w:before="120" w:after="120"/>
        <w:rPr>
          <w:rFonts w:eastAsia="Times New Roman"/>
          <w:lang w:eastAsia="en-AU"/>
        </w:rPr>
      </w:pPr>
      <w:bookmarkStart w:id="118" w:name="_Ref204671557"/>
      <w:r>
        <w:t xml:space="preserve">Table </w:t>
      </w:r>
      <w:r w:rsidR="0042456A">
        <w:fldChar w:fldCharType="begin"/>
      </w:r>
      <w:r w:rsidR="0042456A">
        <w:instrText xml:space="preserve"> SEQ Table \* ARABIC </w:instrText>
      </w:r>
      <w:r w:rsidR="0042456A">
        <w:fldChar w:fldCharType="separate"/>
      </w:r>
      <w:r w:rsidR="0042456A" w:rsidRPr="00A57D9E">
        <w:t>21</w:t>
      </w:r>
      <w:r w:rsidR="0042456A">
        <w:fldChar w:fldCharType="end"/>
      </w:r>
      <w:bookmarkEnd w:id="118"/>
      <w:r>
        <w:t xml:space="preserve">: </w:t>
      </w:r>
      <w:r w:rsidRPr="0099332A">
        <w:t>QHWS activities administrat</w:t>
      </w:r>
      <w:r w:rsidR="00C51026">
        <w:t>ed</w:t>
      </w:r>
      <w:r w:rsidRPr="0099332A">
        <w:t xml:space="preserve"> over the past five years</w:t>
      </w:r>
    </w:p>
    <w:tbl>
      <w:tblPr>
        <w:tblW w:w="1048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03"/>
        <w:gridCol w:w="1275"/>
        <w:gridCol w:w="1276"/>
        <w:gridCol w:w="1276"/>
        <w:gridCol w:w="1276"/>
        <w:gridCol w:w="1276"/>
      </w:tblGrid>
      <w:tr w:rsidR="008F7747" w:rsidRPr="002C2418" w14:paraId="4020FB35"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739D259C" w14:textId="6A4E2D09" w:rsidR="008F7747" w:rsidRPr="002C2418" w:rsidRDefault="008F7747" w:rsidP="008D00B5">
            <w:pPr>
              <w:rPr>
                <w:rFonts w:eastAsia="Times New Roman" w:cs="Arial"/>
                <w:b/>
                <w:bCs/>
                <w:szCs w:val="18"/>
                <w:lang w:eastAsia="en-AU"/>
              </w:rPr>
            </w:pPr>
            <w:r w:rsidRPr="00A513C1">
              <w:rPr>
                <w:rFonts w:eastAsia="Times New Roman" w:cs="Arial"/>
                <w:szCs w:val="22"/>
                <w:lang w:eastAsia="en-AU"/>
              </w:rPr>
              <w:t> </w:t>
            </w:r>
            <w:r w:rsidR="00E81A09" w:rsidRPr="002C2418">
              <w:rPr>
                <w:rFonts w:eastAsia="Times New Roman" w:cs="Arial"/>
                <w:b/>
                <w:szCs w:val="22"/>
                <w:lang w:eastAsia="en-AU"/>
              </w:rPr>
              <w:t>QHWS activities</w:t>
            </w:r>
          </w:p>
        </w:tc>
        <w:tc>
          <w:tcPr>
            <w:tcW w:w="127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EB8BB3E" w14:textId="77777777" w:rsidR="008F7747" w:rsidRPr="002C2418" w:rsidRDefault="008F7747" w:rsidP="008D00B5">
            <w:pPr>
              <w:rPr>
                <w:rFonts w:eastAsia="Times New Roman" w:cs="Arial"/>
                <w:szCs w:val="18"/>
                <w:lang w:eastAsia="en-AU"/>
              </w:rPr>
            </w:pPr>
            <w:r w:rsidRPr="002C2418">
              <w:rPr>
                <w:rFonts w:eastAsia="Times New Roman" w:cs="Arial"/>
                <w:b/>
                <w:color w:val="000000"/>
                <w:szCs w:val="22"/>
                <w:lang w:eastAsia="en-AU"/>
              </w:rPr>
              <w:t>2020–21</w:t>
            </w:r>
            <w:r w:rsidRPr="002C2418">
              <w:rPr>
                <w:rFonts w:eastAsia="Times New Roman" w:cs="Arial"/>
                <w:color w:val="000000"/>
                <w:szCs w:val="22"/>
                <w:lang w:eastAsia="en-A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3FF4372E" w14:textId="77777777" w:rsidR="008F7747" w:rsidRPr="002C2418" w:rsidRDefault="008F7747" w:rsidP="008D00B5">
            <w:pPr>
              <w:rPr>
                <w:rFonts w:eastAsia="Times New Roman" w:cs="Arial"/>
                <w:szCs w:val="18"/>
                <w:lang w:eastAsia="en-AU"/>
              </w:rPr>
            </w:pPr>
            <w:r w:rsidRPr="002C2418">
              <w:rPr>
                <w:rFonts w:eastAsia="Times New Roman" w:cs="Arial"/>
                <w:b/>
                <w:color w:val="000000"/>
                <w:szCs w:val="22"/>
                <w:lang w:eastAsia="en-AU"/>
              </w:rPr>
              <w:t>2021–22</w:t>
            </w:r>
            <w:r w:rsidRPr="002C2418">
              <w:rPr>
                <w:rFonts w:eastAsia="Times New Roman" w:cs="Arial"/>
                <w:color w:val="000000"/>
                <w:szCs w:val="22"/>
                <w:lang w:eastAsia="en-A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16F5AAB8" w14:textId="77777777" w:rsidR="008F7747" w:rsidRPr="002C2418" w:rsidRDefault="008F7747" w:rsidP="008D00B5">
            <w:pPr>
              <w:rPr>
                <w:rFonts w:eastAsia="Times New Roman" w:cs="Arial"/>
                <w:szCs w:val="18"/>
                <w:lang w:eastAsia="en-AU"/>
              </w:rPr>
            </w:pPr>
            <w:r w:rsidRPr="002C2418">
              <w:rPr>
                <w:rFonts w:eastAsia="Times New Roman" w:cs="Arial"/>
                <w:b/>
                <w:color w:val="000000"/>
                <w:szCs w:val="22"/>
                <w:lang w:eastAsia="en-AU"/>
              </w:rPr>
              <w:t>2022–23</w:t>
            </w:r>
            <w:r w:rsidRPr="002C2418">
              <w:rPr>
                <w:rFonts w:eastAsia="Times New Roman" w:cs="Arial"/>
                <w:color w:val="000000"/>
                <w:szCs w:val="22"/>
                <w:lang w:eastAsia="en-A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9A30180" w14:textId="77777777" w:rsidR="008F7747" w:rsidRPr="002C2418" w:rsidRDefault="008F7747" w:rsidP="008D00B5">
            <w:pPr>
              <w:rPr>
                <w:rFonts w:eastAsia="Times New Roman" w:cs="Arial"/>
                <w:szCs w:val="18"/>
                <w:lang w:eastAsia="en-AU"/>
              </w:rPr>
            </w:pPr>
            <w:r w:rsidRPr="002C2418">
              <w:rPr>
                <w:rFonts w:eastAsia="Times New Roman" w:cs="Arial"/>
                <w:b/>
                <w:szCs w:val="22"/>
                <w:lang w:eastAsia="en-AU"/>
              </w:rPr>
              <w:t>2023–24</w:t>
            </w:r>
            <w:r w:rsidRPr="002C2418">
              <w:rPr>
                <w:rFonts w:eastAsia="Times New Roman" w:cs="Arial"/>
                <w:szCs w:val="22"/>
                <w:lang w:eastAsia="en-A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2D7D6F3B" w14:textId="77777777" w:rsidR="008F7747" w:rsidRPr="002C2418" w:rsidRDefault="008F7747" w:rsidP="008D00B5">
            <w:pPr>
              <w:rPr>
                <w:rFonts w:eastAsia="Times New Roman" w:cs="Arial"/>
                <w:szCs w:val="18"/>
                <w:lang w:eastAsia="en-AU"/>
              </w:rPr>
            </w:pPr>
            <w:r w:rsidRPr="002C2418">
              <w:rPr>
                <w:rFonts w:eastAsia="Times New Roman" w:cs="Arial"/>
                <w:b/>
                <w:szCs w:val="22"/>
                <w:lang w:eastAsia="en-AU"/>
              </w:rPr>
              <w:t>2024–25</w:t>
            </w:r>
            <w:r w:rsidRPr="002C2418">
              <w:rPr>
                <w:rFonts w:eastAsia="Times New Roman" w:cs="Arial"/>
                <w:szCs w:val="22"/>
                <w:lang w:eastAsia="en-AU"/>
              </w:rPr>
              <w:t> </w:t>
            </w:r>
          </w:p>
        </w:tc>
      </w:tr>
      <w:tr w:rsidR="008F7747" w:rsidRPr="002C2418" w14:paraId="2EDAB5BB"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C51F2C0" w14:textId="77604CFB" w:rsidR="008F7747" w:rsidRPr="002C2418" w:rsidRDefault="008F7747" w:rsidP="008D00B5">
            <w:pPr>
              <w:rPr>
                <w:rFonts w:eastAsia="Times New Roman" w:cs="Arial"/>
                <w:szCs w:val="22"/>
                <w:lang w:eastAsia="en-AU"/>
              </w:rPr>
            </w:pPr>
            <w:r w:rsidRPr="002C2418">
              <w:rPr>
                <w:rFonts w:eastAsia="Times New Roman" w:cs="Arial"/>
                <w:szCs w:val="22"/>
                <w:lang w:eastAsia="en-AU"/>
              </w:rPr>
              <w:t xml:space="preserve">Total value of </w:t>
            </w:r>
            <w:r w:rsidR="007517B2" w:rsidRPr="002C2418">
              <w:rPr>
                <w:rFonts w:eastAsia="Times New Roman" w:cs="Arial"/>
                <w:szCs w:val="22"/>
                <w:lang w:eastAsia="en-AU"/>
              </w:rPr>
              <w:t xml:space="preserve">notified </w:t>
            </w:r>
            <w:r w:rsidRPr="002C2418">
              <w:rPr>
                <w:rFonts w:eastAsia="Times New Roman" w:cs="Arial"/>
                <w:szCs w:val="22"/>
                <w:lang w:eastAsia="en-AU"/>
              </w:rPr>
              <w:t>works ($</w:t>
            </w:r>
            <w:r w:rsidR="00D17A49">
              <w:rPr>
                <w:rFonts w:eastAsia="Times New Roman" w:cs="Arial"/>
                <w:szCs w:val="22"/>
                <w:lang w:eastAsia="en-AU"/>
              </w:rPr>
              <w:t>B</w:t>
            </w:r>
            <w:r w:rsidRPr="002C2418">
              <w:rPr>
                <w:rFonts w:eastAsia="Times New Roman" w:cs="Arial"/>
                <w:szCs w:val="22"/>
                <w:lang w:eastAsia="en-AU"/>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EDA8910" w14:textId="28C3CFE2" w:rsidR="008F7747" w:rsidRPr="002C2418" w:rsidRDefault="00266A3B" w:rsidP="008D00B5">
            <w:pPr>
              <w:rPr>
                <w:rFonts w:eastAsia="Times New Roman" w:cs="Arial"/>
                <w:szCs w:val="22"/>
                <w:lang w:eastAsia="en-AU"/>
              </w:rPr>
            </w:pPr>
            <w:r w:rsidRPr="002C2418">
              <w:rPr>
                <w:szCs w:val="22"/>
              </w:rPr>
              <w:t>16.8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0C9186F" w14:textId="5E9A1D5E" w:rsidR="008F7747" w:rsidRPr="002C2418" w:rsidRDefault="00266A3B" w:rsidP="008D00B5">
            <w:pPr>
              <w:rPr>
                <w:rFonts w:eastAsia="Times New Roman" w:cs="Arial"/>
                <w:szCs w:val="22"/>
                <w:lang w:eastAsia="en-AU"/>
              </w:rPr>
            </w:pPr>
            <w:r w:rsidRPr="002C2418">
              <w:rPr>
                <w:szCs w:val="22"/>
              </w:rPr>
              <w:t>15.9</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DBB2A45" w14:textId="63206CE3" w:rsidR="008F7747" w:rsidRPr="002C2418" w:rsidRDefault="00266A3B" w:rsidP="008D00B5">
            <w:pPr>
              <w:rPr>
                <w:rFonts w:eastAsia="Times New Roman" w:cs="Arial"/>
                <w:szCs w:val="22"/>
                <w:lang w:eastAsia="en-AU"/>
              </w:rPr>
            </w:pPr>
            <w:r w:rsidRPr="002C2418">
              <w:rPr>
                <w:szCs w:val="22"/>
              </w:rPr>
              <w:t>16.1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05191FF" w14:textId="77777777" w:rsidR="008F7747" w:rsidRPr="002C2418" w:rsidRDefault="008F7747" w:rsidP="008D00B5">
            <w:pPr>
              <w:rPr>
                <w:rFonts w:eastAsia="Times New Roman" w:cs="Arial"/>
                <w:szCs w:val="22"/>
                <w:lang w:eastAsia="en-AU"/>
              </w:rPr>
            </w:pPr>
            <w:r w:rsidRPr="002C2418">
              <w:rPr>
                <w:rFonts w:eastAsia="Times New Roman" w:cs="Arial"/>
                <w:szCs w:val="22"/>
                <w:lang w:eastAsia="en-AU"/>
              </w:rPr>
              <w:t>18.3 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45AEA49" w14:textId="6A7C408D" w:rsidR="008F7747" w:rsidRPr="002C2418" w:rsidRDefault="00D65121" w:rsidP="008D00B5">
            <w:pPr>
              <w:rPr>
                <w:rFonts w:eastAsia="Times New Roman" w:cs="Arial"/>
                <w:bCs/>
                <w:szCs w:val="18"/>
                <w:lang w:eastAsia="en-AU"/>
              </w:rPr>
            </w:pPr>
            <w:r w:rsidRPr="002C2418">
              <w:rPr>
                <w:rFonts w:eastAsia="Times New Roman" w:cs="Arial"/>
                <w:bCs/>
                <w:szCs w:val="18"/>
                <w:lang w:eastAsia="en-AU"/>
              </w:rPr>
              <w:t>21.</w:t>
            </w:r>
            <w:r w:rsidR="00484DB2">
              <w:rPr>
                <w:rFonts w:eastAsia="Times New Roman" w:cs="Arial"/>
                <w:bCs/>
                <w:szCs w:val="18"/>
                <w:lang w:eastAsia="en-AU"/>
              </w:rPr>
              <w:t>5</w:t>
            </w:r>
          </w:p>
        </w:tc>
      </w:tr>
      <w:tr w:rsidR="00884CC5" w:rsidRPr="002C2418" w14:paraId="1475562E"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77A9E27" w14:textId="5CCA7A9C" w:rsidR="008F7747" w:rsidRPr="002C2418" w:rsidRDefault="004B60C9" w:rsidP="008D00B5">
            <w:pPr>
              <w:rPr>
                <w:rFonts w:eastAsia="Times New Roman" w:cs="Arial"/>
                <w:bCs/>
                <w:szCs w:val="18"/>
                <w:lang w:eastAsia="en-AU"/>
              </w:rPr>
            </w:pPr>
            <w:r w:rsidRPr="002C2418">
              <w:rPr>
                <w:rFonts w:eastAsia="Times New Roman" w:cs="Arial"/>
                <w:szCs w:val="22"/>
                <w:lang w:eastAsia="en-AU"/>
              </w:rPr>
              <w:t xml:space="preserve">Issued </w:t>
            </w:r>
            <w:r w:rsidR="00C67CE6" w:rsidRPr="002C2418">
              <w:rPr>
                <w:rFonts w:eastAsia="Times New Roman" w:cs="Arial"/>
                <w:szCs w:val="22"/>
                <w:lang w:eastAsia="en-AU"/>
              </w:rPr>
              <w:t>p</w:t>
            </w:r>
            <w:r w:rsidR="008F7747" w:rsidRPr="002C2418">
              <w:rPr>
                <w:rFonts w:eastAsia="Times New Roman" w:cs="Arial"/>
                <w:szCs w:val="22"/>
                <w:lang w:eastAsia="en-AU"/>
              </w:rPr>
              <w:t xml:space="preserve">olicies </w:t>
            </w:r>
            <w:r w:rsidR="00E04FA3" w:rsidRPr="002C2418">
              <w:rPr>
                <w:rFonts w:eastAsia="Times New Roman" w:cs="Arial"/>
                <w:szCs w:val="22"/>
                <w:lang w:eastAsia="en-AU"/>
              </w:rPr>
              <w:t>(total number)</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6120220"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168,468 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BE87C2A"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150,171 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0F0185E"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150,164 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5E3C86E"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150,825 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E8D0E95" w14:textId="6B3BC6F9" w:rsidR="008F7747" w:rsidRPr="002C2418" w:rsidRDefault="00672277" w:rsidP="008D00B5">
            <w:pPr>
              <w:rPr>
                <w:rFonts w:eastAsia="Times New Roman" w:cs="Arial"/>
                <w:bCs/>
                <w:szCs w:val="18"/>
                <w:lang w:eastAsia="en-AU"/>
              </w:rPr>
            </w:pPr>
            <w:r w:rsidRPr="002C2418">
              <w:rPr>
                <w:rFonts w:eastAsia="Times New Roman" w:cs="Arial"/>
                <w:bCs/>
                <w:szCs w:val="18"/>
                <w:lang w:eastAsia="en-AU"/>
              </w:rPr>
              <w:t>164,050</w:t>
            </w:r>
          </w:p>
        </w:tc>
      </w:tr>
      <w:tr w:rsidR="00884CC5" w:rsidRPr="002C2418" w14:paraId="2B696D11"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477D356" w14:textId="5ECE87A4" w:rsidR="008F7747" w:rsidRPr="002C2418" w:rsidRDefault="008F7747" w:rsidP="008D00B5">
            <w:pPr>
              <w:ind w:left="720"/>
              <w:rPr>
                <w:rFonts w:eastAsia="Times New Roman" w:cs="Arial"/>
                <w:bCs/>
                <w:szCs w:val="18"/>
                <w:lang w:eastAsia="en-AU"/>
              </w:rPr>
            </w:pPr>
            <w:r w:rsidRPr="002C2418">
              <w:rPr>
                <w:rFonts w:eastAsia="Times New Roman" w:cs="Arial"/>
                <w:szCs w:val="22"/>
                <w:lang w:eastAsia="en-AU"/>
              </w:rPr>
              <w:t>Renovation</w:t>
            </w:r>
            <w:r w:rsidR="00CE6ED7" w:rsidRPr="002C2418">
              <w:rPr>
                <w:rFonts w:eastAsia="Times New Roman" w:cs="Arial"/>
                <w:szCs w:val="22"/>
                <w:lang w:eastAsia="en-AU"/>
              </w:rPr>
              <w:t>s</w:t>
            </w:r>
            <w:r w:rsidRPr="002C2418">
              <w:rPr>
                <w:rFonts w:eastAsia="Times New Roman" w:cs="Arial"/>
                <w:szCs w:val="22"/>
                <w:lang w:eastAsia="en-AU"/>
              </w:rPr>
              <w:t xml:space="preserve"> (</w:t>
            </w:r>
            <w:r w:rsidR="0075456A" w:rsidRPr="002C2418">
              <w:rPr>
                <w:rFonts w:eastAsia="Times New Roman" w:cs="Arial"/>
                <w:szCs w:val="22"/>
                <w:lang w:eastAsia="en-AU"/>
              </w:rPr>
              <w:t>%</w:t>
            </w:r>
            <w:r w:rsidRPr="002C2418">
              <w:rPr>
                <w:rFonts w:eastAsia="Times New Roman" w:cs="Arial"/>
                <w:szCs w:val="22"/>
                <w:lang w:eastAsia="en-AU"/>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3F38606"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76.6 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06970B8"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79.7 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81602D6"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82.4 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F7783DD"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80.7 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70A9100" w14:textId="6F4D410E" w:rsidR="008F7747" w:rsidRPr="002C2418" w:rsidRDefault="00947878" w:rsidP="008D00B5">
            <w:pPr>
              <w:rPr>
                <w:rFonts w:eastAsia="Times New Roman" w:cs="Arial"/>
                <w:bCs/>
                <w:szCs w:val="18"/>
                <w:lang w:eastAsia="en-AU"/>
              </w:rPr>
            </w:pPr>
            <w:r w:rsidRPr="002C2418">
              <w:rPr>
                <w:rFonts w:eastAsia="Times New Roman" w:cs="Arial"/>
                <w:bCs/>
                <w:szCs w:val="18"/>
                <w:lang w:eastAsia="en-AU"/>
              </w:rPr>
              <w:t>79.4</w:t>
            </w:r>
          </w:p>
        </w:tc>
      </w:tr>
      <w:tr w:rsidR="00884CC5" w:rsidRPr="002C2418" w14:paraId="77A4387E"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689E445" w14:textId="2899B3D7" w:rsidR="008F7747" w:rsidRPr="002C2418" w:rsidRDefault="008F7747" w:rsidP="008D00B5">
            <w:pPr>
              <w:ind w:left="720"/>
              <w:rPr>
                <w:rFonts w:eastAsia="Times New Roman" w:cs="Arial"/>
                <w:bCs/>
                <w:szCs w:val="18"/>
                <w:lang w:eastAsia="en-AU"/>
              </w:rPr>
            </w:pPr>
            <w:r w:rsidRPr="002C2418">
              <w:rPr>
                <w:rFonts w:eastAsia="Times New Roman" w:cs="Arial"/>
                <w:szCs w:val="22"/>
                <w:lang w:eastAsia="en-AU"/>
              </w:rPr>
              <w:t>New construction (</w:t>
            </w:r>
            <w:r w:rsidR="0075456A" w:rsidRPr="002C2418">
              <w:rPr>
                <w:rFonts w:eastAsia="Times New Roman" w:cs="Arial"/>
                <w:szCs w:val="22"/>
                <w:lang w:eastAsia="en-AU"/>
              </w:rPr>
              <w:t>%</w:t>
            </w:r>
            <w:r w:rsidRPr="002C2418">
              <w:rPr>
                <w:rFonts w:eastAsia="Times New Roman" w:cs="Arial"/>
                <w:szCs w:val="22"/>
                <w:lang w:eastAsia="en-AU"/>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306DC4B"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23.4 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693E100C"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20.3 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CFA7E4B"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17.6 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0CBC63C"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19.3 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480AE1C" w14:textId="01C5A702" w:rsidR="008F7747" w:rsidRPr="002C2418" w:rsidRDefault="00367B2D" w:rsidP="008D00B5">
            <w:pPr>
              <w:rPr>
                <w:rFonts w:eastAsia="Times New Roman" w:cs="Arial"/>
                <w:bCs/>
                <w:szCs w:val="18"/>
                <w:lang w:eastAsia="en-AU"/>
              </w:rPr>
            </w:pPr>
            <w:r w:rsidRPr="002C2418">
              <w:rPr>
                <w:rFonts w:eastAsia="Times New Roman" w:cs="Arial"/>
                <w:bCs/>
                <w:szCs w:val="18"/>
                <w:lang w:eastAsia="en-AU"/>
              </w:rPr>
              <w:t>20.6</w:t>
            </w:r>
          </w:p>
        </w:tc>
      </w:tr>
      <w:tr w:rsidR="00884CC5" w:rsidRPr="002C2418" w14:paraId="5AAD2EDB"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2183AAF" w14:textId="44762BD3" w:rsidR="008F7747" w:rsidRPr="002C2418" w:rsidRDefault="00ED7109" w:rsidP="008D00B5">
            <w:pPr>
              <w:rPr>
                <w:rFonts w:eastAsia="Times New Roman" w:cs="Arial"/>
                <w:bCs/>
                <w:szCs w:val="18"/>
                <w:lang w:eastAsia="en-AU"/>
              </w:rPr>
            </w:pPr>
            <w:r w:rsidRPr="002C2418">
              <w:rPr>
                <w:rFonts w:eastAsia="Times New Roman" w:cs="Arial"/>
                <w:szCs w:val="22"/>
                <w:lang w:eastAsia="en-AU"/>
              </w:rPr>
              <w:t>P</w:t>
            </w:r>
            <w:r w:rsidR="008F7747" w:rsidRPr="002C2418">
              <w:rPr>
                <w:rFonts w:eastAsia="Times New Roman" w:cs="Arial"/>
                <w:szCs w:val="22"/>
                <w:lang w:eastAsia="en-AU"/>
              </w:rPr>
              <w:t>remiums ($</w:t>
            </w:r>
            <w:r w:rsidR="000930B0">
              <w:rPr>
                <w:rFonts w:eastAsia="Times New Roman" w:cs="Arial"/>
                <w:szCs w:val="22"/>
                <w:lang w:eastAsia="en-AU"/>
              </w:rPr>
              <w:t>M</w:t>
            </w:r>
            <w:r w:rsidR="008F7747" w:rsidRPr="002C2418">
              <w:rPr>
                <w:rFonts w:eastAsia="Times New Roman" w:cs="Arial"/>
                <w:szCs w:val="22"/>
                <w:lang w:eastAsia="en-AU"/>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6904C61"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140.9 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8CEE202"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142.7 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3C1261F"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150.3 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3E01A00"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169.1 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67524851" w14:textId="59E83293" w:rsidR="008F7747" w:rsidRPr="002C2418" w:rsidRDefault="00ED7109" w:rsidP="008D00B5">
            <w:pPr>
              <w:rPr>
                <w:rFonts w:eastAsia="Times New Roman" w:cs="Arial"/>
                <w:bCs/>
                <w:szCs w:val="18"/>
                <w:lang w:eastAsia="en-AU"/>
              </w:rPr>
            </w:pPr>
            <w:r w:rsidRPr="002C2418">
              <w:rPr>
                <w:rFonts w:eastAsia="Times New Roman" w:cs="Arial"/>
                <w:bCs/>
                <w:szCs w:val="18"/>
                <w:lang w:eastAsia="en-AU"/>
              </w:rPr>
              <w:t>198.3</w:t>
            </w:r>
          </w:p>
        </w:tc>
      </w:tr>
      <w:tr w:rsidR="008F7747" w:rsidRPr="002C2418" w14:paraId="34C11808"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0EB62D2" w14:textId="63F366FF" w:rsidR="008F7747" w:rsidRPr="002C2418" w:rsidRDefault="00790E54" w:rsidP="008D00B5">
            <w:pPr>
              <w:rPr>
                <w:rFonts w:eastAsia="Times New Roman" w:cs="Arial"/>
                <w:bCs/>
                <w:szCs w:val="18"/>
                <w:lang w:eastAsia="en-AU"/>
              </w:rPr>
            </w:pPr>
            <w:r w:rsidRPr="002C2418">
              <w:rPr>
                <w:rFonts w:eastAsia="Times New Roman" w:cs="Arial"/>
                <w:szCs w:val="22"/>
                <w:lang w:eastAsia="en-AU"/>
              </w:rPr>
              <w:t>R</w:t>
            </w:r>
            <w:r w:rsidR="00327D18" w:rsidRPr="002C2418">
              <w:rPr>
                <w:rFonts w:eastAsia="Times New Roman" w:cs="Arial"/>
                <w:szCs w:val="22"/>
                <w:lang w:eastAsia="en-AU"/>
              </w:rPr>
              <w:t xml:space="preserve">eceived </w:t>
            </w:r>
            <w:r w:rsidR="008F7747" w:rsidRPr="002C2418">
              <w:rPr>
                <w:rFonts w:eastAsia="Times New Roman" w:cs="Arial"/>
                <w:szCs w:val="22"/>
                <w:lang w:eastAsia="en-AU"/>
              </w:rPr>
              <w:t>claims</w:t>
            </w:r>
            <w:r w:rsidRPr="002C2418">
              <w:rPr>
                <w:rFonts w:eastAsia="Times New Roman" w:cs="Arial"/>
                <w:szCs w:val="22"/>
                <w:lang w:eastAsia="en-AU"/>
              </w:rPr>
              <w:t xml:space="preserve"> (</w:t>
            </w:r>
            <w:r w:rsidR="00A45AD4" w:rsidRPr="002C2418">
              <w:rPr>
                <w:rFonts w:eastAsia="Times New Roman" w:cs="Arial"/>
                <w:szCs w:val="22"/>
                <w:lang w:eastAsia="en-AU"/>
              </w:rPr>
              <w:t xml:space="preserve">total </w:t>
            </w:r>
            <w:r w:rsidRPr="002C2418">
              <w:rPr>
                <w:rFonts w:eastAsia="Times New Roman" w:cs="Arial"/>
                <w:szCs w:val="22"/>
                <w:lang w:eastAsia="en-AU"/>
              </w:rPr>
              <w:t>number)</w:t>
            </w:r>
            <w:r w:rsidR="008F7747" w:rsidRPr="002C2418">
              <w:rPr>
                <w:rFonts w:eastAsia="Times New Roman" w:cs="Arial"/>
                <w:szCs w:val="22"/>
                <w:lang w:eastAsia="en-AU"/>
              </w:rPr>
              <w:t xml:space="preserve">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13AF546" w14:textId="48C173B0" w:rsidR="008F7747" w:rsidRPr="002C2418" w:rsidRDefault="00BC4598" w:rsidP="008D00B5">
            <w:pPr>
              <w:rPr>
                <w:rFonts w:eastAsia="Times New Roman" w:cs="Arial"/>
                <w:szCs w:val="22"/>
                <w:lang w:eastAsia="en-AU"/>
              </w:rPr>
            </w:pPr>
            <w:r w:rsidRPr="002C2418">
              <w:rPr>
                <w:rFonts w:eastAsia="Times New Roman" w:cs="Arial"/>
                <w:szCs w:val="22"/>
                <w:lang w:eastAsia="en-AU"/>
              </w:rPr>
              <w:t>1,537</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6DE02FE1" w14:textId="40800D11" w:rsidR="008F7747" w:rsidRPr="002C2418" w:rsidRDefault="00BC4598" w:rsidP="008D00B5">
            <w:pPr>
              <w:rPr>
                <w:rFonts w:eastAsia="Times New Roman" w:cs="Arial"/>
                <w:szCs w:val="22"/>
                <w:lang w:eastAsia="en-AU"/>
              </w:rPr>
            </w:pPr>
            <w:r w:rsidRPr="002C2418">
              <w:rPr>
                <w:rFonts w:eastAsia="Times New Roman" w:cs="Arial"/>
                <w:szCs w:val="22"/>
                <w:lang w:eastAsia="en-AU"/>
              </w:rPr>
              <w:t>1,856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C99C672" w14:textId="0B820EC2" w:rsidR="008F7747" w:rsidRPr="002C2418" w:rsidRDefault="00BC4598" w:rsidP="008D00B5">
            <w:pPr>
              <w:rPr>
                <w:rFonts w:eastAsia="Times New Roman" w:cs="Arial"/>
                <w:szCs w:val="22"/>
                <w:lang w:eastAsia="en-AU"/>
              </w:rPr>
            </w:pPr>
            <w:r w:rsidRPr="002C2418">
              <w:rPr>
                <w:rFonts w:eastAsia="Times New Roman" w:cs="Arial"/>
                <w:szCs w:val="22"/>
                <w:lang w:eastAsia="en-AU"/>
              </w:rPr>
              <w:t>2,745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25ED90F" w14:textId="177CEA31" w:rsidR="008F7747" w:rsidRPr="002C2418" w:rsidRDefault="00BC4598" w:rsidP="008D00B5">
            <w:pPr>
              <w:rPr>
                <w:rFonts w:eastAsia="Times New Roman" w:cs="Arial"/>
                <w:szCs w:val="22"/>
                <w:lang w:eastAsia="en-AU"/>
              </w:rPr>
            </w:pPr>
            <w:r w:rsidRPr="002C2418">
              <w:rPr>
                <w:rFonts w:eastAsia="Times New Roman" w:cs="Arial"/>
                <w:szCs w:val="22"/>
                <w:lang w:eastAsia="en-AU"/>
              </w:rPr>
              <w:t>2,299</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BB9DF87" w14:textId="3BE91056" w:rsidR="008F7747" w:rsidRPr="002C2418" w:rsidRDefault="002D3CCF" w:rsidP="008D00B5">
            <w:pPr>
              <w:rPr>
                <w:rFonts w:eastAsia="Times New Roman" w:cs="Arial"/>
                <w:bCs/>
                <w:szCs w:val="18"/>
                <w:lang w:eastAsia="en-AU"/>
              </w:rPr>
            </w:pPr>
            <w:r w:rsidRPr="002C2418">
              <w:rPr>
                <w:rFonts w:eastAsia="Times New Roman" w:cs="Arial"/>
                <w:bCs/>
                <w:szCs w:val="18"/>
                <w:lang w:eastAsia="en-AU"/>
              </w:rPr>
              <w:t>1,964</w:t>
            </w:r>
          </w:p>
        </w:tc>
      </w:tr>
      <w:tr w:rsidR="00884CC5" w:rsidRPr="002C2418" w14:paraId="03E6122A"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6EC3CA83" w14:textId="047C1433" w:rsidR="008F7747" w:rsidRPr="002C2418" w:rsidRDefault="00A45AD4" w:rsidP="008D00B5">
            <w:pPr>
              <w:rPr>
                <w:rFonts w:eastAsia="Times New Roman" w:cs="Arial"/>
                <w:bCs/>
                <w:szCs w:val="18"/>
                <w:lang w:eastAsia="en-AU"/>
              </w:rPr>
            </w:pPr>
            <w:r w:rsidRPr="002C2418">
              <w:rPr>
                <w:rFonts w:eastAsia="Times New Roman" w:cs="Arial"/>
                <w:szCs w:val="22"/>
                <w:lang w:eastAsia="en-AU"/>
              </w:rPr>
              <w:t xml:space="preserve">Approved </w:t>
            </w:r>
            <w:r w:rsidR="00543F5D" w:rsidRPr="002C2418">
              <w:rPr>
                <w:rFonts w:eastAsia="Times New Roman" w:cs="Arial"/>
                <w:szCs w:val="22"/>
                <w:lang w:eastAsia="en-AU"/>
              </w:rPr>
              <w:t>c</w:t>
            </w:r>
            <w:r w:rsidR="008F7747" w:rsidRPr="002C2418">
              <w:rPr>
                <w:rFonts w:eastAsia="Times New Roman" w:cs="Arial"/>
                <w:szCs w:val="22"/>
                <w:lang w:eastAsia="en-AU"/>
              </w:rPr>
              <w:t>laims ($</w:t>
            </w:r>
            <w:r w:rsidR="00232AC7">
              <w:rPr>
                <w:rFonts w:eastAsia="Times New Roman" w:cs="Arial"/>
                <w:szCs w:val="22"/>
                <w:lang w:eastAsia="en-AU"/>
              </w:rPr>
              <w:t>M</w:t>
            </w:r>
            <w:r w:rsidR="008F7747" w:rsidRPr="002C2418">
              <w:rPr>
                <w:rFonts w:eastAsia="Times New Roman" w:cs="Arial"/>
                <w:szCs w:val="22"/>
                <w:lang w:eastAsia="en-AU"/>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683CFB19"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31.3 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679E380"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35.1 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D194AD1"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68.6 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E57F8F0"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88.7 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FF5CDD4" w14:textId="77249266" w:rsidR="008F7747" w:rsidRPr="002C2418" w:rsidRDefault="00573C3E" w:rsidP="008D00B5">
            <w:pPr>
              <w:rPr>
                <w:rFonts w:eastAsia="Times New Roman" w:cs="Arial"/>
                <w:bCs/>
                <w:szCs w:val="18"/>
                <w:lang w:eastAsia="en-AU"/>
              </w:rPr>
            </w:pPr>
            <w:r w:rsidRPr="002C2418">
              <w:rPr>
                <w:rFonts w:eastAsia="Times New Roman" w:cs="Arial"/>
                <w:bCs/>
                <w:szCs w:val="18"/>
                <w:lang w:eastAsia="en-AU"/>
              </w:rPr>
              <w:t>60.7</w:t>
            </w:r>
          </w:p>
        </w:tc>
      </w:tr>
      <w:tr w:rsidR="00884CC5" w:rsidRPr="002C2418" w14:paraId="65056136"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C538810" w14:textId="271F9423" w:rsidR="008F7747" w:rsidRPr="002C2418" w:rsidRDefault="008F7747" w:rsidP="008D00B5">
            <w:pPr>
              <w:ind w:left="720"/>
              <w:rPr>
                <w:rFonts w:eastAsia="Times New Roman" w:cs="Arial"/>
                <w:bCs/>
                <w:szCs w:val="18"/>
                <w:lang w:eastAsia="en-AU"/>
              </w:rPr>
            </w:pPr>
            <w:r w:rsidRPr="002C2418">
              <w:rPr>
                <w:rFonts w:eastAsia="Times New Roman" w:cs="Arial"/>
                <w:szCs w:val="22"/>
                <w:lang w:eastAsia="en-AU"/>
              </w:rPr>
              <w:t>Defective work ($</w:t>
            </w:r>
            <w:r w:rsidR="00232AC7">
              <w:rPr>
                <w:rFonts w:eastAsia="Times New Roman" w:cs="Arial"/>
                <w:szCs w:val="22"/>
                <w:lang w:eastAsia="en-AU"/>
              </w:rPr>
              <w:t>M</w:t>
            </w:r>
            <w:r w:rsidRPr="002C2418">
              <w:rPr>
                <w:rFonts w:eastAsia="Times New Roman" w:cs="Arial"/>
                <w:szCs w:val="22"/>
                <w:lang w:eastAsia="en-AU"/>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B978723"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16.6 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F27FB78"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16.9 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BE6F572"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17.3 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66301DC"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21.7 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F4B40E4" w14:textId="5111471E" w:rsidR="008F7747" w:rsidRPr="002C2418" w:rsidRDefault="00573C3E" w:rsidP="008D00B5">
            <w:pPr>
              <w:rPr>
                <w:rFonts w:eastAsia="Times New Roman" w:cs="Arial"/>
                <w:bCs/>
                <w:szCs w:val="18"/>
                <w:lang w:eastAsia="en-AU"/>
              </w:rPr>
            </w:pPr>
            <w:r w:rsidRPr="002C2418">
              <w:rPr>
                <w:rFonts w:eastAsia="Times New Roman" w:cs="Arial"/>
                <w:bCs/>
                <w:szCs w:val="18"/>
                <w:lang w:eastAsia="en-AU"/>
              </w:rPr>
              <w:t>23.5</w:t>
            </w:r>
          </w:p>
        </w:tc>
      </w:tr>
      <w:tr w:rsidR="00884CC5" w:rsidRPr="002C2418" w14:paraId="3263F023"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A6F5486" w14:textId="0182D19E" w:rsidR="008F7747" w:rsidRPr="002C2418" w:rsidRDefault="008F7747" w:rsidP="008D00B5">
            <w:pPr>
              <w:ind w:left="720"/>
              <w:rPr>
                <w:rFonts w:eastAsia="Times New Roman" w:cs="Arial"/>
                <w:bCs/>
                <w:szCs w:val="18"/>
                <w:lang w:eastAsia="en-AU"/>
              </w:rPr>
            </w:pPr>
            <w:r w:rsidRPr="002C2418">
              <w:rPr>
                <w:rFonts w:eastAsia="Times New Roman" w:cs="Arial"/>
                <w:szCs w:val="22"/>
                <w:lang w:eastAsia="en-AU"/>
              </w:rPr>
              <w:t>Non-completion ($</w:t>
            </w:r>
            <w:r w:rsidR="00232AC7">
              <w:rPr>
                <w:rFonts w:eastAsia="Times New Roman" w:cs="Arial"/>
                <w:szCs w:val="22"/>
                <w:lang w:eastAsia="en-AU"/>
              </w:rPr>
              <w:t>M</w:t>
            </w:r>
            <w:r w:rsidRPr="002C2418">
              <w:rPr>
                <w:rFonts w:eastAsia="Times New Roman" w:cs="Arial"/>
                <w:szCs w:val="22"/>
                <w:lang w:eastAsia="en-AU"/>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C0A4E7B"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9.9 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2718831"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13.4 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882B2E5"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47.5 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915AEAB"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62.9 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6FDAA7CA" w14:textId="1EE231AD" w:rsidR="008F7747" w:rsidRPr="002C2418" w:rsidRDefault="00573C3E" w:rsidP="008D00B5">
            <w:pPr>
              <w:rPr>
                <w:rFonts w:eastAsia="Times New Roman" w:cs="Arial"/>
                <w:bCs/>
                <w:szCs w:val="18"/>
                <w:lang w:eastAsia="en-AU"/>
              </w:rPr>
            </w:pPr>
            <w:r w:rsidRPr="002C2418">
              <w:rPr>
                <w:rFonts w:eastAsia="Times New Roman" w:cs="Arial"/>
                <w:bCs/>
                <w:szCs w:val="18"/>
                <w:lang w:eastAsia="en-AU"/>
              </w:rPr>
              <w:t>31.4</w:t>
            </w:r>
          </w:p>
        </w:tc>
      </w:tr>
      <w:tr w:rsidR="00884CC5" w:rsidRPr="002C2418" w14:paraId="5D17E653"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F003D04" w14:textId="12B05824" w:rsidR="008F7747" w:rsidRPr="002C2418" w:rsidRDefault="008F7747" w:rsidP="008D00B5">
            <w:pPr>
              <w:ind w:left="720"/>
              <w:rPr>
                <w:rFonts w:eastAsia="Times New Roman" w:cs="Arial"/>
                <w:bCs/>
                <w:szCs w:val="18"/>
                <w:lang w:eastAsia="en-AU"/>
              </w:rPr>
            </w:pPr>
            <w:r w:rsidRPr="002C2418">
              <w:rPr>
                <w:rFonts w:eastAsia="Times New Roman" w:cs="Arial"/>
                <w:szCs w:val="22"/>
                <w:lang w:eastAsia="en-AU"/>
              </w:rPr>
              <w:t>Subsidence ($</w:t>
            </w:r>
            <w:r w:rsidR="00232AC7">
              <w:rPr>
                <w:rFonts w:eastAsia="Times New Roman" w:cs="Arial"/>
                <w:szCs w:val="22"/>
                <w:lang w:eastAsia="en-AU"/>
              </w:rPr>
              <w:t>M</w:t>
            </w:r>
            <w:r w:rsidRPr="002C2418">
              <w:rPr>
                <w:rFonts w:eastAsia="Times New Roman" w:cs="Arial"/>
                <w:szCs w:val="22"/>
                <w:lang w:eastAsia="en-AU"/>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731952E"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4.8 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434A735" w14:textId="30003E4D" w:rsidR="008F7747" w:rsidRPr="002C2418" w:rsidRDefault="00917B3B" w:rsidP="008D00B5">
            <w:pPr>
              <w:rPr>
                <w:rFonts w:eastAsia="Times New Roman" w:cs="Arial"/>
                <w:bCs/>
                <w:szCs w:val="18"/>
                <w:lang w:eastAsia="en-AU"/>
              </w:rPr>
            </w:pPr>
            <w:r>
              <w:rPr>
                <w:rFonts w:eastAsia="Times New Roman" w:cs="Arial"/>
                <w:color w:val="020A0A"/>
                <w:szCs w:val="22"/>
                <w:lang w:eastAsia="en-AU"/>
              </w:rPr>
              <w:t>5</w:t>
            </w:r>
            <w:r w:rsidR="008F7747" w:rsidRPr="002C2418">
              <w:rPr>
                <w:rFonts w:eastAsia="Times New Roman" w:cs="Arial"/>
                <w:color w:val="020A0A"/>
                <w:szCs w:val="22"/>
                <w:lang w:eastAsia="en-AU"/>
              </w:rPr>
              <w:t>.</w:t>
            </w:r>
            <w:r w:rsidR="001D1A13">
              <w:rPr>
                <w:rFonts w:eastAsia="Times New Roman" w:cs="Arial"/>
                <w:color w:val="020A0A"/>
                <w:szCs w:val="22"/>
                <w:lang w:eastAsia="en-AU"/>
              </w:rPr>
              <w:t>7</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2FF5726" w14:textId="77777777" w:rsidR="008F7747" w:rsidRPr="002C2418" w:rsidRDefault="008F7747" w:rsidP="008D00B5">
            <w:pPr>
              <w:rPr>
                <w:rFonts w:eastAsia="Times New Roman" w:cs="Arial"/>
                <w:bCs/>
                <w:szCs w:val="18"/>
                <w:lang w:eastAsia="en-AU"/>
              </w:rPr>
            </w:pPr>
            <w:r w:rsidRPr="002C2418">
              <w:rPr>
                <w:rFonts w:eastAsia="Times New Roman" w:cs="Arial"/>
                <w:color w:val="020A0A"/>
                <w:szCs w:val="22"/>
                <w:lang w:eastAsia="en-AU"/>
              </w:rPr>
              <w:t>3.8 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8BF1DCD"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4.1 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6E728E0" w14:textId="66988346" w:rsidR="008F7747" w:rsidRPr="002C2418" w:rsidRDefault="00573C3E" w:rsidP="008D00B5">
            <w:pPr>
              <w:rPr>
                <w:rFonts w:eastAsia="Times New Roman" w:cs="Arial"/>
                <w:bCs/>
                <w:szCs w:val="18"/>
                <w:lang w:eastAsia="en-AU"/>
              </w:rPr>
            </w:pPr>
            <w:r w:rsidRPr="002C2418">
              <w:rPr>
                <w:rFonts w:eastAsia="Times New Roman" w:cs="Arial"/>
                <w:bCs/>
                <w:szCs w:val="18"/>
                <w:lang w:eastAsia="en-AU"/>
              </w:rPr>
              <w:t>5.8</w:t>
            </w:r>
          </w:p>
        </w:tc>
      </w:tr>
      <w:tr w:rsidR="00884CC5" w:rsidRPr="008F7747" w14:paraId="6390A262" w14:textId="77777777" w:rsidTr="00F2361D">
        <w:trPr>
          <w:trHeight w:val="300"/>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8EBECE5" w14:textId="12322A55" w:rsidR="008F7747" w:rsidRPr="002C2418" w:rsidRDefault="008F7747" w:rsidP="008D00B5">
            <w:pPr>
              <w:rPr>
                <w:rFonts w:eastAsia="Times New Roman" w:cs="Arial"/>
                <w:bCs/>
                <w:szCs w:val="18"/>
                <w:lang w:eastAsia="en-AU"/>
              </w:rPr>
            </w:pPr>
            <w:r w:rsidRPr="002C2418">
              <w:rPr>
                <w:rFonts w:eastAsia="Times New Roman" w:cs="Arial"/>
                <w:szCs w:val="22"/>
                <w:lang w:eastAsia="en-AU"/>
              </w:rPr>
              <w:t xml:space="preserve">Recovered </w:t>
            </w:r>
            <w:r w:rsidR="00D11724" w:rsidRPr="002C2418">
              <w:rPr>
                <w:rFonts w:eastAsia="Times New Roman" w:cs="Arial"/>
                <w:szCs w:val="22"/>
                <w:lang w:eastAsia="en-AU"/>
              </w:rPr>
              <w:t>paid-out costs</w:t>
            </w:r>
            <w:r w:rsidRPr="002C2418">
              <w:rPr>
                <w:rFonts w:eastAsia="Times New Roman" w:cs="Arial"/>
                <w:szCs w:val="22"/>
                <w:lang w:eastAsia="en-AU"/>
              </w:rPr>
              <w:t xml:space="preserve"> ($</w:t>
            </w:r>
            <w:r w:rsidR="00232AC7">
              <w:rPr>
                <w:rFonts w:eastAsia="Times New Roman" w:cs="Arial"/>
                <w:szCs w:val="22"/>
                <w:lang w:eastAsia="en-AU"/>
              </w:rPr>
              <w:t>M</w:t>
            </w:r>
            <w:r w:rsidRPr="002C2418">
              <w:rPr>
                <w:rFonts w:eastAsia="Times New Roman" w:cs="Arial"/>
                <w:szCs w:val="22"/>
                <w:lang w:eastAsia="en-AU"/>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DEBF8DE"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3.2 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0B710E0"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2.3 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A0F2C00"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4.8 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317F8E8" w14:textId="77777777" w:rsidR="008F7747" w:rsidRPr="002C2418" w:rsidRDefault="008F7747" w:rsidP="008D00B5">
            <w:pPr>
              <w:rPr>
                <w:rFonts w:eastAsia="Times New Roman" w:cs="Arial"/>
                <w:bCs/>
                <w:szCs w:val="18"/>
                <w:lang w:eastAsia="en-AU"/>
              </w:rPr>
            </w:pPr>
            <w:r w:rsidRPr="002C2418">
              <w:rPr>
                <w:rFonts w:eastAsia="Times New Roman" w:cs="Arial"/>
                <w:szCs w:val="22"/>
                <w:lang w:eastAsia="en-AU"/>
              </w:rPr>
              <w:t>3.9 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9B4AE54" w14:textId="03F114F0" w:rsidR="008F7747" w:rsidRPr="00E81A09" w:rsidRDefault="00A20DA1" w:rsidP="008D00B5">
            <w:pPr>
              <w:rPr>
                <w:rFonts w:eastAsia="Times New Roman" w:cs="Arial"/>
                <w:bCs/>
                <w:szCs w:val="18"/>
                <w:lang w:eastAsia="en-AU"/>
              </w:rPr>
            </w:pPr>
            <w:r w:rsidRPr="002C2418">
              <w:rPr>
                <w:rFonts w:eastAsia="Times New Roman" w:cs="Arial"/>
                <w:bCs/>
                <w:szCs w:val="18"/>
                <w:lang w:eastAsia="en-AU"/>
              </w:rPr>
              <w:t>4.3</w:t>
            </w:r>
          </w:p>
        </w:tc>
      </w:tr>
    </w:tbl>
    <w:p w14:paraId="179A0B20" w14:textId="61A9FD47" w:rsidR="007E1520" w:rsidRDefault="007E1520" w:rsidP="00601DDA">
      <w:pPr>
        <w:spacing w:before="120" w:after="120"/>
        <w:rPr>
          <w:rFonts w:eastAsia="Times New Roman" w:cs="Arial"/>
          <w:lang w:eastAsia="en-AU"/>
        </w:rPr>
      </w:pPr>
    </w:p>
    <w:p w14:paraId="02E5AA24" w14:textId="77777777" w:rsidR="008F728C" w:rsidRDefault="008F728C">
      <w:pPr>
        <w:rPr>
          <w:rFonts w:eastAsiaTheme="majorEastAsia" w:cstheme="majorBidi"/>
          <w:bCs/>
          <w:sz w:val="32"/>
          <w:szCs w:val="32"/>
        </w:rPr>
      </w:pPr>
      <w:r>
        <w:br w:type="page"/>
      </w:r>
    </w:p>
    <w:p w14:paraId="1BC44628" w14:textId="653AE3E7" w:rsidR="00C403AF" w:rsidRPr="008502D5" w:rsidRDefault="00C403AF" w:rsidP="00677AC1">
      <w:pPr>
        <w:pStyle w:val="Heading2"/>
      </w:pPr>
      <w:bookmarkStart w:id="119" w:name="_Toc206493017"/>
      <w:r w:rsidRPr="008502D5">
        <w:lastRenderedPageBreak/>
        <w:t>Adjudication</w:t>
      </w:r>
      <w:bookmarkEnd w:id="119"/>
    </w:p>
    <w:p w14:paraId="79985BA6" w14:textId="7B92BDA9" w:rsidR="00204BAE" w:rsidRPr="00204BAE" w:rsidRDefault="00636AC6" w:rsidP="00601DDA">
      <w:pPr>
        <w:spacing w:before="120" w:after="120"/>
      </w:pPr>
      <w:r>
        <w:rPr>
          <w:rFonts w:cs="Arial"/>
          <w:szCs w:val="22"/>
        </w:rPr>
        <w:t>Adjudication provides a timely, efficient and c</w:t>
      </w:r>
      <w:r w:rsidRPr="00257EDC">
        <w:rPr>
          <w:rFonts w:cs="Arial"/>
          <w:szCs w:val="22"/>
        </w:rPr>
        <w:t xml:space="preserve">ost-effective method for resolving payment disputes </w:t>
      </w:r>
      <w:r>
        <w:rPr>
          <w:rFonts w:cs="Arial"/>
          <w:szCs w:val="22"/>
        </w:rPr>
        <w:t>within</w:t>
      </w:r>
      <w:r w:rsidRPr="00257EDC">
        <w:rPr>
          <w:rFonts w:cs="Arial"/>
          <w:szCs w:val="22"/>
        </w:rPr>
        <w:t xml:space="preserve"> the industry. Established under the </w:t>
      </w:r>
      <w:r>
        <w:rPr>
          <w:rFonts w:cs="Arial"/>
          <w:szCs w:val="22"/>
        </w:rPr>
        <w:t>BIF Act</w:t>
      </w:r>
      <w:r w:rsidRPr="00257EDC">
        <w:rPr>
          <w:rFonts w:cs="Arial"/>
          <w:szCs w:val="22"/>
        </w:rPr>
        <w:t xml:space="preserve">, adjudication </w:t>
      </w:r>
      <w:r>
        <w:rPr>
          <w:rFonts w:cs="Arial"/>
          <w:szCs w:val="22"/>
        </w:rPr>
        <w:t xml:space="preserve">helps </w:t>
      </w:r>
      <w:r w:rsidRPr="00257EDC">
        <w:rPr>
          <w:rFonts w:cs="Arial"/>
          <w:szCs w:val="22"/>
        </w:rPr>
        <w:t xml:space="preserve">ensure </w:t>
      </w:r>
      <w:r>
        <w:rPr>
          <w:rFonts w:cs="Arial"/>
          <w:szCs w:val="22"/>
        </w:rPr>
        <w:t>individuals working in the building and construction industry are paid promptly</w:t>
      </w:r>
      <w:r w:rsidRPr="00257EDC">
        <w:rPr>
          <w:rFonts w:cs="Arial"/>
          <w:szCs w:val="22"/>
        </w:rPr>
        <w:t xml:space="preserve"> for </w:t>
      </w:r>
      <w:r>
        <w:rPr>
          <w:rFonts w:cs="Arial"/>
          <w:szCs w:val="22"/>
        </w:rPr>
        <w:t xml:space="preserve">the work they do, </w:t>
      </w:r>
      <w:r w:rsidRPr="00257EDC">
        <w:rPr>
          <w:rFonts w:cs="Arial"/>
          <w:szCs w:val="22"/>
        </w:rPr>
        <w:t xml:space="preserve">thereby supporting cash flow and financial stability </w:t>
      </w:r>
      <w:r>
        <w:rPr>
          <w:rFonts w:cs="Arial"/>
          <w:szCs w:val="22"/>
        </w:rPr>
        <w:t>across</w:t>
      </w:r>
      <w:r w:rsidRPr="00257EDC">
        <w:rPr>
          <w:rFonts w:cs="Arial"/>
          <w:szCs w:val="22"/>
        </w:rPr>
        <w:t xml:space="preserve"> the </w:t>
      </w:r>
      <w:r>
        <w:rPr>
          <w:rFonts w:cs="Arial"/>
          <w:szCs w:val="22"/>
        </w:rPr>
        <w:t>industry</w:t>
      </w:r>
      <w:r w:rsidRPr="00257EDC">
        <w:rPr>
          <w:rFonts w:cs="Arial"/>
          <w:szCs w:val="22"/>
        </w:rPr>
        <w:t>.</w:t>
      </w:r>
      <w:r>
        <w:rPr>
          <w:rFonts w:cs="Arial"/>
          <w:szCs w:val="22"/>
        </w:rPr>
        <w:t xml:space="preserve"> </w:t>
      </w:r>
      <w:r w:rsidR="00905277">
        <w:rPr>
          <w:rFonts w:cs="Arial"/>
          <w:szCs w:val="22"/>
        </w:rPr>
        <w:t>Ad</w:t>
      </w:r>
      <w:r>
        <w:rPr>
          <w:rFonts w:cs="Arial"/>
          <w:szCs w:val="22"/>
        </w:rPr>
        <w:t xml:space="preserve">judication decisions are made </w:t>
      </w:r>
      <w:r w:rsidR="000D47E4">
        <w:rPr>
          <w:rFonts w:cs="Arial"/>
          <w:szCs w:val="22"/>
        </w:rPr>
        <w:t>by</w:t>
      </w:r>
      <w:r>
        <w:rPr>
          <w:rFonts w:cs="Arial"/>
          <w:szCs w:val="22"/>
        </w:rPr>
        <w:t xml:space="preserve"> </w:t>
      </w:r>
      <w:r w:rsidR="00112A08">
        <w:rPr>
          <w:rFonts w:cs="Arial"/>
          <w:szCs w:val="22"/>
        </w:rPr>
        <w:t xml:space="preserve">independent </w:t>
      </w:r>
      <w:r w:rsidR="00FB27BC">
        <w:rPr>
          <w:rFonts w:cs="Arial"/>
          <w:szCs w:val="22"/>
        </w:rPr>
        <w:t>qualified</w:t>
      </w:r>
      <w:r>
        <w:rPr>
          <w:rFonts w:cs="Arial"/>
          <w:szCs w:val="22"/>
        </w:rPr>
        <w:t xml:space="preserve"> adjudicators registered </w:t>
      </w:r>
      <w:r w:rsidR="00497D4F">
        <w:rPr>
          <w:rFonts w:cs="Arial"/>
          <w:szCs w:val="22"/>
        </w:rPr>
        <w:t xml:space="preserve">with </w:t>
      </w:r>
      <w:r>
        <w:rPr>
          <w:rFonts w:cs="Arial"/>
          <w:szCs w:val="22"/>
        </w:rPr>
        <w:t>the Adjudication Reg</w:t>
      </w:r>
      <w:r w:rsidR="00C604FF">
        <w:rPr>
          <w:rFonts w:cs="Arial"/>
          <w:szCs w:val="22"/>
        </w:rPr>
        <w:t>istry</w:t>
      </w:r>
      <w:r w:rsidR="007827C8" w:rsidRPr="007827C8">
        <w:rPr>
          <w:rFonts w:cs="Arial"/>
          <w:szCs w:val="22"/>
        </w:rPr>
        <w:t xml:space="preserve"> </w:t>
      </w:r>
      <w:r w:rsidR="00D43950">
        <w:rPr>
          <w:rFonts w:cs="Arial"/>
          <w:szCs w:val="22"/>
        </w:rPr>
        <w:t>(Registry)</w:t>
      </w:r>
      <w:r w:rsidR="00531495">
        <w:rPr>
          <w:rFonts w:cs="Arial"/>
          <w:szCs w:val="22"/>
        </w:rPr>
        <w:t>.</w:t>
      </w:r>
      <w:r w:rsidR="00A75D10">
        <w:rPr>
          <w:rFonts w:cs="Arial"/>
          <w:szCs w:val="22"/>
        </w:rPr>
        <w:t xml:space="preserve"> </w:t>
      </w:r>
      <w:r w:rsidR="00CC2BB2" w:rsidRPr="00CC2BB2">
        <w:rPr>
          <w:rFonts w:cs="Arial"/>
          <w:szCs w:val="22"/>
        </w:rPr>
        <w:t xml:space="preserve">In 2024–25, the Registry </w:t>
      </w:r>
      <w:r w:rsidR="00FA40D4">
        <w:rPr>
          <w:rFonts w:cs="Arial"/>
          <w:szCs w:val="22"/>
        </w:rPr>
        <w:t>record</w:t>
      </w:r>
      <w:r w:rsidR="006A1DB6" w:rsidRPr="00864CA2">
        <w:rPr>
          <w:rFonts w:cs="Arial"/>
          <w:szCs w:val="22"/>
        </w:rPr>
        <w:t>ed</w:t>
      </w:r>
      <w:r w:rsidR="006A1DB6" w:rsidRPr="00CC2BB2">
        <w:rPr>
          <w:rFonts w:cs="Arial"/>
          <w:szCs w:val="22"/>
        </w:rPr>
        <w:t xml:space="preserve"> </w:t>
      </w:r>
      <w:r w:rsidR="00DE6927" w:rsidRPr="001D3876">
        <w:rPr>
          <w:rFonts w:cs="Arial"/>
          <w:szCs w:val="22"/>
        </w:rPr>
        <w:t>1</w:t>
      </w:r>
      <w:r w:rsidR="0065788B">
        <w:rPr>
          <w:rFonts w:cs="Arial"/>
          <w:szCs w:val="22"/>
        </w:rPr>
        <w:t>,</w:t>
      </w:r>
      <w:r w:rsidR="00DE6927" w:rsidRPr="001D3876">
        <w:rPr>
          <w:rFonts w:cs="Arial"/>
          <w:szCs w:val="22"/>
        </w:rPr>
        <w:t>946</w:t>
      </w:r>
      <w:r w:rsidR="00CC2BB2" w:rsidRPr="00CC2BB2">
        <w:rPr>
          <w:rFonts w:cs="Arial"/>
          <w:szCs w:val="22"/>
        </w:rPr>
        <w:t xml:space="preserve"> enquiries</w:t>
      </w:r>
      <w:r w:rsidR="00CC2BB2" w:rsidRPr="00CC2BB2" w:rsidDel="00FA40D4">
        <w:rPr>
          <w:rFonts w:cs="Arial"/>
          <w:szCs w:val="22"/>
        </w:rPr>
        <w:t>.</w:t>
      </w:r>
    </w:p>
    <w:p w14:paraId="50C73D54" w14:textId="2F69BB40" w:rsidR="00131166" w:rsidRDefault="008C3D33" w:rsidP="00601DDA">
      <w:pPr>
        <w:pStyle w:val="Heading3"/>
        <w:rPr>
          <w:rFonts w:cs="Arial"/>
          <w:szCs w:val="22"/>
        </w:rPr>
      </w:pPr>
      <w:bookmarkStart w:id="120" w:name="_Adjudication_applications_and"/>
      <w:bookmarkEnd w:id="120"/>
      <w:r>
        <w:t xml:space="preserve">Adjudication </w:t>
      </w:r>
      <w:r w:rsidR="0034009E">
        <w:t>applications</w:t>
      </w:r>
      <w:r w:rsidR="00610810">
        <w:t xml:space="preserve"> and decisions</w:t>
      </w:r>
    </w:p>
    <w:p w14:paraId="42EC3CA8" w14:textId="080767BA" w:rsidR="00D94CAA" w:rsidRPr="0093082C" w:rsidRDefault="00B4145E" w:rsidP="00D850B1">
      <w:pPr>
        <w:spacing w:before="120" w:after="120"/>
        <w:ind w:right="-23"/>
        <w:rPr>
          <w:rFonts w:cs="Arial"/>
          <w:szCs w:val="22"/>
        </w:rPr>
      </w:pPr>
      <w:r>
        <w:rPr>
          <w:rFonts w:cs="Arial"/>
          <w:szCs w:val="22"/>
        </w:rPr>
        <w:t xml:space="preserve">Individuals are </w:t>
      </w:r>
      <w:r w:rsidR="00AC6F68">
        <w:rPr>
          <w:rFonts w:cs="Arial"/>
          <w:szCs w:val="22"/>
        </w:rPr>
        <w:t xml:space="preserve">entitled </w:t>
      </w:r>
      <w:r w:rsidR="00090942">
        <w:rPr>
          <w:rFonts w:cs="Arial"/>
          <w:szCs w:val="22"/>
        </w:rPr>
        <w:t xml:space="preserve">to </w:t>
      </w:r>
      <w:r w:rsidR="009A3FE0">
        <w:rPr>
          <w:rFonts w:cs="Arial"/>
          <w:szCs w:val="22"/>
        </w:rPr>
        <w:t>lodge</w:t>
      </w:r>
      <w:r w:rsidR="00090942">
        <w:rPr>
          <w:rFonts w:cs="Arial"/>
          <w:szCs w:val="22"/>
        </w:rPr>
        <w:t xml:space="preserve"> </w:t>
      </w:r>
      <w:r w:rsidR="00DF73B9">
        <w:rPr>
          <w:rFonts w:cs="Arial"/>
          <w:szCs w:val="22"/>
        </w:rPr>
        <w:t xml:space="preserve">an </w:t>
      </w:r>
      <w:r w:rsidR="002824FE">
        <w:rPr>
          <w:rFonts w:cs="Arial"/>
          <w:szCs w:val="22"/>
        </w:rPr>
        <w:t xml:space="preserve">adjudication application </w:t>
      </w:r>
      <w:r w:rsidR="007847BC">
        <w:rPr>
          <w:rFonts w:cs="Arial"/>
          <w:szCs w:val="22"/>
        </w:rPr>
        <w:t xml:space="preserve">to resolve </w:t>
      </w:r>
      <w:r w:rsidR="00FC145B">
        <w:rPr>
          <w:rFonts w:cs="Arial"/>
          <w:szCs w:val="22"/>
        </w:rPr>
        <w:t>pa</w:t>
      </w:r>
      <w:r w:rsidR="007847BC">
        <w:rPr>
          <w:rFonts w:cs="Arial"/>
          <w:szCs w:val="22"/>
        </w:rPr>
        <w:t>yment disputes</w:t>
      </w:r>
      <w:r w:rsidR="00AB46AA">
        <w:rPr>
          <w:rFonts w:cs="Arial"/>
          <w:szCs w:val="22"/>
        </w:rPr>
        <w:t xml:space="preserve"> </w:t>
      </w:r>
      <w:r w:rsidR="009F7088">
        <w:rPr>
          <w:rFonts w:cs="Arial"/>
          <w:szCs w:val="22"/>
        </w:rPr>
        <w:t>under the BIF Act</w:t>
      </w:r>
      <w:r w:rsidR="00F35C41">
        <w:rPr>
          <w:rFonts w:cs="Arial"/>
          <w:szCs w:val="22"/>
        </w:rPr>
        <w:t>.</w:t>
      </w:r>
      <w:r w:rsidR="00616E86">
        <w:rPr>
          <w:rFonts w:cs="Arial"/>
          <w:szCs w:val="22"/>
        </w:rPr>
        <w:t xml:space="preserve"> </w:t>
      </w:r>
      <w:r w:rsidR="00F35C41">
        <w:rPr>
          <w:rFonts w:cs="Arial"/>
          <w:szCs w:val="22"/>
        </w:rPr>
        <w:t xml:space="preserve">Adjudication applications </w:t>
      </w:r>
      <w:r w:rsidR="0018460A">
        <w:rPr>
          <w:rFonts w:cs="Arial"/>
          <w:szCs w:val="22"/>
        </w:rPr>
        <w:t xml:space="preserve">may arise </w:t>
      </w:r>
      <w:r w:rsidR="003E7E6B">
        <w:rPr>
          <w:rFonts w:cs="Arial"/>
          <w:szCs w:val="22"/>
        </w:rPr>
        <w:t>fr</w:t>
      </w:r>
      <w:r w:rsidR="006D6C5F">
        <w:rPr>
          <w:rFonts w:cs="Arial"/>
          <w:szCs w:val="22"/>
        </w:rPr>
        <w:t>o</w:t>
      </w:r>
      <w:r w:rsidR="003E7E6B">
        <w:rPr>
          <w:rFonts w:cs="Arial"/>
          <w:szCs w:val="22"/>
        </w:rPr>
        <w:t xml:space="preserve">m </w:t>
      </w:r>
      <w:r w:rsidR="00150F8A">
        <w:rPr>
          <w:rFonts w:cs="Arial"/>
          <w:szCs w:val="22"/>
        </w:rPr>
        <w:t xml:space="preserve">failure </w:t>
      </w:r>
      <w:r w:rsidR="0018460A">
        <w:rPr>
          <w:rFonts w:cs="Arial"/>
          <w:szCs w:val="22"/>
        </w:rPr>
        <w:t>to provide</w:t>
      </w:r>
      <w:r w:rsidR="00150F8A">
        <w:rPr>
          <w:rFonts w:cs="Arial"/>
          <w:szCs w:val="22"/>
        </w:rPr>
        <w:t xml:space="preserve"> a payment schedule in response to a payment claim</w:t>
      </w:r>
      <w:r w:rsidR="00042223">
        <w:rPr>
          <w:rFonts w:cs="Arial"/>
          <w:szCs w:val="22"/>
        </w:rPr>
        <w:t>.</w:t>
      </w:r>
      <w:r w:rsidR="00154628">
        <w:rPr>
          <w:rFonts w:cs="Arial"/>
          <w:szCs w:val="22"/>
        </w:rPr>
        <w:t xml:space="preserve"> They </w:t>
      </w:r>
      <w:r w:rsidR="0027368E">
        <w:rPr>
          <w:rFonts w:cs="Arial"/>
          <w:szCs w:val="22"/>
        </w:rPr>
        <w:t>may</w:t>
      </w:r>
      <w:r w:rsidR="00154628">
        <w:rPr>
          <w:rFonts w:cs="Arial"/>
          <w:szCs w:val="22"/>
        </w:rPr>
        <w:t xml:space="preserve"> also </w:t>
      </w:r>
      <w:r w:rsidR="0027368E">
        <w:rPr>
          <w:rFonts w:cs="Arial"/>
          <w:szCs w:val="22"/>
        </w:rPr>
        <w:t>result</w:t>
      </w:r>
      <w:r w:rsidR="00780745">
        <w:rPr>
          <w:rFonts w:cs="Arial"/>
          <w:szCs w:val="22"/>
        </w:rPr>
        <w:t xml:space="preserve"> </w:t>
      </w:r>
      <w:r w:rsidR="00645A3D">
        <w:rPr>
          <w:rFonts w:cs="Arial"/>
          <w:szCs w:val="22"/>
        </w:rPr>
        <w:t xml:space="preserve">from </w:t>
      </w:r>
      <w:r w:rsidR="0009042C">
        <w:rPr>
          <w:rFonts w:cs="Arial"/>
          <w:szCs w:val="22"/>
        </w:rPr>
        <w:t xml:space="preserve">the provision of a </w:t>
      </w:r>
      <w:r w:rsidR="00645A3D">
        <w:rPr>
          <w:rFonts w:cs="Arial"/>
          <w:szCs w:val="22"/>
        </w:rPr>
        <w:t>payment</w:t>
      </w:r>
      <w:r w:rsidR="0009042C">
        <w:rPr>
          <w:rFonts w:cs="Arial"/>
          <w:szCs w:val="22"/>
        </w:rPr>
        <w:t xml:space="preserve"> schedule for</w:t>
      </w:r>
      <w:r w:rsidR="00041E0F">
        <w:rPr>
          <w:rFonts w:cs="Arial"/>
          <w:szCs w:val="22"/>
        </w:rPr>
        <w:t xml:space="preserve"> less than </w:t>
      </w:r>
      <w:r w:rsidR="004C6334">
        <w:rPr>
          <w:rFonts w:cs="Arial"/>
          <w:szCs w:val="22"/>
        </w:rPr>
        <w:t xml:space="preserve">the </w:t>
      </w:r>
      <w:r w:rsidR="00041E0F">
        <w:rPr>
          <w:rFonts w:cs="Arial"/>
          <w:szCs w:val="22"/>
        </w:rPr>
        <w:t>claimed amount</w:t>
      </w:r>
      <w:r w:rsidR="004C6334">
        <w:rPr>
          <w:rFonts w:cs="Arial"/>
          <w:szCs w:val="22"/>
        </w:rPr>
        <w:t xml:space="preserve">, or from payments </w:t>
      </w:r>
      <w:r w:rsidR="002B2008">
        <w:rPr>
          <w:rFonts w:cs="Arial"/>
          <w:szCs w:val="22"/>
        </w:rPr>
        <w:t>not being made</w:t>
      </w:r>
      <w:r w:rsidR="00780745">
        <w:rPr>
          <w:rFonts w:cs="Arial"/>
          <w:szCs w:val="22"/>
        </w:rPr>
        <w:t xml:space="preserve"> in full</w:t>
      </w:r>
      <w:r w:rsidR="00D57567">
        <w:rPr>
          <w:rFonts w:cs="Arial"/>
          <w:szCs w:val="22"/>
        </w:rPr>
        <w:t xml:space="preserve"> </w:t>
      </w:r>
      <w:r w:rsidR="0080685B">
        <w:rPr>
          <w:rFonts w:cs="Arial"/>
          <w:szCs w:val="22"/>
        </w:rPr>
        <w:t xml:space="preserve">by the due </w:t>
      </w:r>
      <w:r w:rsidR="00C42D62">
        <w:rPr>
          <w:rFonts w:cs="Arial"/>
          <w:szCs w:val="22"/>
        </w:rPr>
        <w:t>date</w:t>
      </w:r>
      <w:r w:rsidR="00780745">
        <w:rPr>
          <w:rFonts w:cs="Arial"/>
          <w:szCs w:val="22"/>
        </w:rPr>
        <w:t>.</w:t>
      </w:r>
    </w:p>
    <w:p w14:paraId="784DF7B9" w14:textId="3ACBF6C2" w:rsidR="000B7E61" w:rsidRDefault="001E0B8C" w:rsidP="0093082C">
      <w:pPr>
        <w:spacing w:before="120" w:after="120"/>
        <w:ind w:right="-23"/>
        <w:rPr>
          <w:rFonts w:cs="Arial"/>
          <w:szCs w:val="22"/>
        </w:rPr>
      </w:pPr>
      <w:r>
        <w:rPr>
          <w:rFonts w:cs="Arial"/>
          <w:szCs w:val="22"/>
        </w:rPr>
        <w:t>A</w:t>
      </w:r>
      <w:r w:rsidR="00E44387">
        <w:rPr>
          <w:rFonts w:cs="Arial"/>
          <w:szCs w:val="22"/>
        </w:rPr>
        <w:t xml:space="preserve">djudication applications </w:t>
      </w:r>
      <w:r w:rsidR="001B6FC3">
        <w:rPr>
          <w:rFonts w:cs="Arial"/>
          <w:szCs w:val="22"/>
        </w:rPr>
        <w:t>are c</w:t>
      </w:r>
      <w:r w:rsidR="009F74D6">
        <w:rPr>
          <w:rFonts w:cs="Arial"/>
          <w:szCs w:val="22"/>
        </w:rPr>
        <w:t>ategorised</w:t>
      </w:r>
      <w:r w:rsidR="001B6FC3">
        <w:rPr>
          <w:rFonts w:cs="Arial"/>
          <w:szCs w:val="22"/>
        </w:rPr>
        <w:t xml:space="preserve"> </w:t>
      </w:r>
      <w:r w:rsidR="00703B7F">
        <w:rPr>
          <w:rFonts w:cs="Arial"/>
          <w:szCs w:val="22"/>
        </w:rPr>
        <w:t>based on the claimed amount</w:t>
      </w:r>
      <w:r w:rsidR="00B1310C">
        <w:rPr>
          <w:rFonts w:cs="Arial"/>
          <w:szCs w:val="22"/>
        </w:rPr>
        <w:t>:</w:t>
      </w:r>
    </w:p>
    <w:p w14:paraId="786E11E4" w14:textId="65A5E8E7" w:rsidR="002B6D01" w:rsidRPr="00EC36A7" w:rsidRDefault="00F84AED" w:rsidP="00BD69F7">
      <w:pPr>
        <w:pStyle w:val="ListParagraph"/>
        <w:numPr>
          <w:ilvl w:val="0"/>
          <w:numId w:val="61"/>
        </w:numPr>
        <w:spacing w:before="120" w:after="120"/>
        <w:ind w:right="-23"/>
        <w:contextualSpacing w:val="0"/>
        <w:rPr>
          <w:rFonts w:cs="Arial"/>
          <w:szCs w:val="22"/>
        </w:rPr>
      </w:pPr>
      <w:r w:rsidRPr="000924A0">
        <w:rPr>
          <w:rFonts w:cs="Arial"/>
          <w:b/>
          <w:bCs/>
          <w:szCs w:val="22"/>
        </w:rPr>
        <w:t>S</w:t>
      </w:r>
      <w:r w:rsidR="004F3D57" w:rsidRPr="000924A0">
        <w:rPr>
          <w:rFonts w:cs="Arial"/>
          <w:b/>
          <w:bCs/>
          <w:szCs w:val="22"/>
        </w:rPr>
        <w:t>tandard</w:t>
      </w:r>
      <w:r w:rsidR="004360FD">
        <w:rPr>
          <w:rFonts w:cs="Arial"/>
          <w:b/>
          <w:bCs/>
          <w:szCs w:val="22"/>
        </w:rPr>
        <w:t>:</w:t>
      </w:r>
      <w:r w:rsidR="004F3D57" w:rsidRPr="00EC36A7">
        <w:rPr>
          <w:rFonts w:cs="Arial"/>
          <w:szCs w:val="22"/>
        </w:rPr>
        <w:t xml:space="preserve"> </w:t>
      </w:r>
      <w:r w:rsidR="00703B7F">
        <w:rPr>
          <w:rFonts w:cs="Arial"/>
          <w:szCs w:val="22"/>
        </w:rPr>
        <w:t xml:space="preserve">For payment claims </w:t>
      </w:r>
      <w:r w:rsidR="0037051A">
        <w:rPr>
          <w:rFonts w:cs="Arial"/>
          <w:szCs w:val="22"/>
        </w:rPr>
        <w:t xml:space="preserve">of </w:t>
      </w:r>
      <w:r w:rsidR="007B5CDD" w:rsidRPr="00EC36A7">
        <w:rPr>
          <w:rFonts w:cs="Arial"/>
          <w:szCs w:val="22"/>
        </w:rPr>
        <w:t>up to $750,000</w:t>
      </w:r>
      <w:r w:rsidR="00886BEA">
        <w:rPr>
          <w:rFonts w:cs="Arial"/>
          <w:szCs w:val="22"/>
        </w:rPr>
        <w:t>.</w:t>
      </w:r>
    </w:p>
    <w:p w14:paraId="7916A4B1" w14:textId="6B0072A6" w:rsidR="00B84E65" w:rsidRPr="0093082C" w:rsidRDefault="00D60151" w:rsidP="00BD69F7">
      <w:pPr>
        <w:pStyle w:val="ListParagraph"/>
        <w:numPr>
          <w:ilvl w:val="0"/>
          <w:numId w:val="61"/>
        </w:numPr>
        <w:spacing w:before="120" w:after="120"/>
        <w:ind w:right="-23"/>
        <w:contextualSpacing w:val="0"/>
      </w:pPr>
      <w:r w:rsidRPr="000924A0">
        <w:rPr>
          <w:rFonts w:cs="Arial"/>
          <w:b/>
          <w:bCs/>
          <w:szCs w:val="22"/>
        </w:rPr>
        <w:t>C</w:t>
      </w:r>
      <w:r w:rsidR="004F3D57" w:rsidRPr="000924A0">
        <w:rPr>
          <w:rFonts w:cs="Arial"/>
          <w:b/>
          <w:bCs/>
          <w:szCs w:val="22"/>
        </w:rPr>
        <w:t>omplex</w:t>
      </w:r>
      <w:r w:rsidR="004360FD">
        <w:rPr>
          <w:rFonts w:cs="Arial"/>
          <w:b/>
          <w:bCs/>
          <w:szCs w:val="22"/>
        </w:rPr>
        <w:t>:</w:t>
      </w:r>
      <w:r>
        <w:rPr>
          <w:rFonts w:cs="Arial"/>
          <w:szCs w:val="22"/>
        </w:rPr>
        <w:t xml:space="preserve"> </w:t>
      </w:r>
      <w:r w:rsidR="0037051A">
        <w:rPr>
          <w:rFonts w:cs="Arial"/>
          <w:szCs w:val="22"/>
        </w:rPr>
        <w:t xml:space="preserve">For payment claims exceeding </w:t>
      </w:r>
      <w:r w:rsidR="00F401BE" w:rsidRPr="00EC36A7">
        <w:rPr>
          <w:rFonts w:cs="Arial"/>
          <w:szCs w:val="22"/>
        </w:rPr>
        <w:t>$750,000</w:t>
      </w:r>
      <w:r w:rsidR="00886BEA">
        <w:rPr>
          <w:rFonts w:cs="Arial"/>
          <w:szCs w:val="22"/>
        </w:rPr>
        <w:t>.</w:t>
      </w:r>
    </w:p>
    <w:p w14:paraId="0A8204B5" w14:textId="206FBC33" w:rsidR="00B754F9" w:rsidRPr="00B754F9" w:rsidRDefault="00C555C9" w:rsidP="0093082C">
      <w:pPr>
        <w:spacing w:before="120" w:after="120"/>
        <w:rPr>
          <w:rFonts w:cs="Arial"/>
          <w:szCs w:val="18"/>
        </w:rPr>
      </w:pPr>
      <w:r>
        <w:rPr>
          <w:rFonts w:cs="Arial"/>
          <w:szCs w:val="22"/>
        </w:rPr>
        <w:t xml:space="preserve">After </w:t>
      </w:r>
      <w:r w:rsidR="00213C12">
        <w:rPr>
          <w:rFonts w:cs="Arial"/>
          <w:szCs w:val="22"/>
        </w:rPr>
        <w:t>a decision</w:t>
      </w:r>
      <w:r w:rsidR="00DC73D8">
        <w:rPr>
          <w:rFonts w:cs="Arial"/>
          <w:szCs w:val="22"/>
        </w:rPr>
        <w:t xml:space="preserve"> is made,</w:t>
      </w:r>
      <w:r w:rsidR="00213C12">
        <w:rPr>
          <w:rFonts w:cs="Arial"/>
          <w:szCs w:val="22"/>
        </w:rPr>
        <w:t xml:space="preserve"> </w:t>
      </w:r>
      <w:r w:rsidR="00064D87">
        <w:rPr>
          <w:rFonts w:cs="Arial"/>
          <w:szCs w:val="22"/>
        </w:rPr>
        <w:t>the claiman</w:t>
      </w:r>
      <w:r w:rsidR="008C38EE">
        <w:rPr>
          <w:rFonts w:cs="Arial"/>
          <w:szCs w:val="22"/>
        </w:rPr>
        <w:t>t</w:t>
      </w:r>
      <w:r w:rsidR="00064D87">
        <w:rPr>
          <w:rFonts w:cs="Arial"/>
          <w:szCs w:val="22"/>
        </w:rPr>
        <w:t xml:space="preserve"> and respondent must pay </w:t>
      </w:r>
      <w:r w:rsidR="7A699FFF" w:rsidRPr="783DA2D8">
        <w:rPr>
          <w:rFonts w:cs="Arial"/>
        </w:rPr>
        <w:t xml:space="preserve">the </w:t>
      </w:r>
      <w:r w:rsidR="00064D87" w:rsidRPr="783DA2D8">
        <w:rPr>
          <w:rFonts w:cs="Arial"/>
        </w:rPr>
        <w:t>adjudicator</w:t>
      </w:r>
      <w:r w:rsidR="7B6929C2" w:rsidRPr="783DA2D8">
        <w:rPr>
          <w:rFonts w:cs="Arial"/>
        </w:rPr>
        <w:t>’s</w:t>
      </w:r>
      <w:r w:rsidR="00064D87">
        <w:rPr>
          <w:rFonts w:cs="Arial"/>
          <w:szCs w:val="22"/>
        </w:rPr>
        <w:t xml:space="preserve"> fees</w:t>
      </w:r>
      <w:r w:rsidR="008C38EE">
        <w:rPr>
          <w:rFonts w:cs="Arial"/>
          <w:szCs w:val="22"/>
        </w:rPr>
        <w:t xml:space="preserve"> for their time in making the decision. Once fees are paid,</w:t>
      </w:r>
      <w:r w:rsidR="00213C12">
        <w:rPr>
          <w:rFonts w:cs="Arial"/>
          <w:szCs w:val="22"/>
        </w:rPr>
        <w:t xml:space="preserve"> the adjudicator </w:t>
      </w:r>
      <w:r w:rsidR="00F31BF2">
        <w:rPr>
          <w:rFonts w:cs="Arial"/>
          <w:szCs w:val="22"/>
        </w:rPr>
        <w:t xml:space="preserve">releases </w:t>
      </w:r>
      <w:r w:rsidR="002D62CA">
        <w:rPr>
          <w:rFonts w:cs="Arial"/>
          <w:szCs w:val="22"/>
        </w:rPr>
        <w:t>their</w:t>
      </w:r>
      <w:r w:rsidR="00F31BF2">
        <w:rPr>
          <w:rFonts w:cs="Arial"/>
          <w:szCs w:val="22"/>
        </w:rPr>
        <w:t xml:space="preserve"> decision </w:t>
      </w:r>
      <w:r w:rsidR="007C0120">
        <w:rPr>
          <w:rFonts w:cs="Arial"/>
          <w:szCs w:val="22"/>
        </w:rPr>
        <w:t xml:space="preserve">to </w:t>
      </w:r>
      <w:r w:rsidR="009C155B">
        <w:rPr>
          <w:rFonts w:cs="Arial"/>
          <w:szCs w:val="22"/>
        </w:rPr>
        <w:t xml:space="preserve">the claimant, respondent and </w:t>
      </w:r>
      <w:r w:rsidR="00213C12">
        <w:rPr>
          <w:rFonts w:cs="Arial"/>
          <w:szCs w:val="22"/>
        </w:rPr>
        <w:t>the Registry.</w:t>
      </w:r>
      <w:r w:rsidR="00213C12" w:rsidRPr="002C29C8">
        <w:rPr>
          <w:rFonts w:cstheme="minorHAnsi"/>
          <w:szCs w:val="18"/>
        </w:rPr>
        <w:t xml:space="preserve"> </w:t>
      </w:r>
      <w:r w:rsidR="0075761F">
        <w:rPr>
          <w:rFonts w:cstheme="minorHAnsi"/>
          <w:szCs w:val="18"/>
        </w:rPr>
        <w:t>Table 22</w:t>
      </w:r>
      <w:r w:rsidR="00797E1C">
        <w:rPr>
          <w:rFonts w:cs="Arial"/>
          <w:szCs w:val="22"/>
        </w:rPr>
        <w:fldChar w:fldCharType="begin"/>
      </w:r>
      <w:r w:rsidR="00797E1C">
        <w:instrText xml:space="preserve"> REF _Ref201911414 \h </w:instrText>
      </w:r>
      <w:r w:rsidR="00797E1C">
        <w:rPr>
          <w:rFonts w:cs="Arial"/>
          <w:szCs w:val="22"/>
        </w:rPr>
      </w:r>
      <w:r w:rsidR="00797E1C">
        <w:rPr>
          <w:rFonts w:cs="Arial"/>
          <w:szCs w:val="22"/>
        </w:rPr>
        <w:fldChar w:fldCharType="separate"/>
      </w:r>
      <w:r w:rsidR="00797E1C">
        <w:rPr>
          <w:rFonts w:cs="Arial"/>
          <w:szCs w:val="22"/>
        </w:rPr>
        <w:fldChar w:fldCharType="end"/>
      </w:r>
      <w:r w:rsidR="0042504C">
        <w:rPr>
          <w:rFonts w:cs="Arial"/>
          <w:szCs w:val="22"/>
        </w:rPr>
        <w:t xml:space="preserve"> provides an </w:t>
      </w:r>
      <w:r w:rsidR="00762563">
        <w:rPr>
          <w:rFonts w:cs="Arial"/>
          <w:szCs w:val="22"/>
        </w:rPr>
        <w:t xml:space="preserve">overview of the </w:t>
      </w:r>
      <w:r w:rsidR="00B754F9" w:rsidRPr="00EC36A7">
        <w:rPr>
          <w:rFonts w:cs="Arial"/>
          <w:szCs w:val="22"/>
        </w:rPr>
        <w:t xml:space="preserve">total </w:t>
      </w:r>
      <w:r w:rsidR="00436034">
        <w:rPr>
          <w:rFonts w:cs="Arial"/>
          <w:szCs w:val="22"/>
        </w:rPr>
        <w:t xml:space="preserve">number of </w:t>
      </w:r>
      <w:r w:rsidR="00F476D2">
        <w:rPr>
          <w:rFonts w:cs="Arial"/>
          <w:szCs w:val="22"/>
        </w:rPr>
        <w:t xml:space="preserve">valid </w:t>
      </w:r>
      <w:r w:rsidR="0042504C">
        <w:rPr>
          <w:rFonts w:cs="Arial"/>
          <w:szCs w:val="22"/>
        </w:rPr>
        <w:t xml:space="preserve">adjudication </w:t>
      </w:r>
      <w:r w:rsidR="007335B1">
        <w:rPr>
          <w:rFonts w:cs="Arial"/>
          <w:szCs w:val="22"/>
        </w:rPr>
        <w:t>applications</w:t>
      </w:r>
      <w:r w:rsidR="00436034">
        <w:rPr>
          <w:rFonts w:cs="Arial"/>
          <w:szCs w:val="22"/>
        </w:rPr>
        <w:t xml:space="preserve"> received by the </w:t>
      </w:r>
      <w:r w:rsidR="001414A8">
        <w:rPr>
          <w:rFonts w:cs="Arial"/>
          <w:szCs w:val="22"/>
        </w:rPr>
        <w:t>Registry</w:t>
      </w:r>
      <w:r w:rsidR="007335B1">
        <w:rPr>
          <w:rFonts w:cs="Arial"/>
          <w:szCs w:val="22"/>
        </w:rPr>
        <w:t xml:space="preserve"> </w:t>
      </w:r>
      <w:r w:rsidR="00F46D49">
        <w:rPr>
          <w:rFonts w:cs="Arial"/>
          <w:szCs w:val="22"/>
        </w:rPr>
        <w:t xml:space="preserve">during </w:t>
      </w:r>
      <w:r w:rsidR="00B94E9E">
        <w:rPr>
          <w:rFonts w:cs="Arial"/>
          <w:szCs w:val="22"/>
        </w:rPr>
        <w:t>the reporting period</w:t>
      </w:r>
      <w:r w:rsidR="00380202">
        <w:rPr>
          <w:rFonts w:cs="Arial"/>
          <w:szCs w:val="22"/>
        </w:rPr>
        <w:t>, along with</w:t>
      </w:r>
      <w:r w:rsidR="00F46D49">
        <w:rPr>
          <w:rFonts w:cs="Arial"/>
          <w:szCs w:val="22"/>
        </w:rPr>
        <w:t xml:space="preserve"> </w:t>
      </w:r>
      <w:r w:rsidR="00AF1699">
        <w:rPr>
          <w:rFonts w:cs="Arial"/>
          <w:szCs w:val="22"/>
        </w:rPr>
        <w:t xml:space="preserve">the </w:t>
      </w:r>
      <w:r w:rsidR="00F46D49">
        <w:rPr>
          <w:rFonts w:cs="Arial"/>
          <w:szCs w:val="22"/>
        </w:rPr>
        <w:t>corresponding</w:t>
      </w:r>
      <w:r w:rsidR="0001640A">
        <w:rPr>
          <w:rFonts w:cs="Arial"/>
          <w:szCs w:val="22"/>
        </w:rPr>
        <w:t xml:space="preserve"> </w:t>
      </w:r>
      <w:r w:rsidR="00B8799D">
        <w:rPr>
          <w:rFonts w:cs="Arial"/>
          <w:szCs w:val="22"/>
        </w:rPr>
        <w:t>value of claims</w:t>
      </w:r>
      <w:r w:rsidR="00B94E9E">
        <w:rPr>
          <w:rFonts w:cs="Arial"/>
          <w:szCs w:val="22"/>
        </w:rPr>
        <w:t>.</w:t>
      </w:r>
      <w:r w:rsidR="007335B1">
        <w:rPr>
          <w:rFonts w:cs="Arial"/>
          <w:szCs w:val="22"/>
        </w:rPr>
        <w:t xml:space="preserve"> </w:t>
      </w:r>
    </w:p>
    <w:p w14:paraId="38FB4AE7" w14:textId="3ED9F4B7" w:rsidR="00B754F9" w:rsidRPr="00797E1C" w:rsidRDefault="00797E1C" w:rsidP="0093082C">
      <w:pPr>
        <w:pStyle w:val="Caption"/>
        <w:keepNext/>
        <w:spacing w:before="120" w:after="120"/>
      </w:pPr>
      <w:bookmarkStart w:id="121" w:name="_Ref201911414"/>
      <w:bookmarkStart w:id="122" w:name="_Toc177031282"/>
      <w:bookmarkStart w:id="123" w:name="_Toc202872052"/>
      <w:bookmarkStart w:id="124" w:name="_Toc202872672"/>
      <w:r>
        <w:t xml:space="preserve">Table </w:t>
      </w:r>
      <w:r w:rsidR="00311DBB">
        <w:t>22</w:t>
      </w:r>
      <w:r>
        <w:fldChar w:fldCharType="begin"/>
      </w:r>
      <w:r>
        <w:instrText>SEQ Table \* ARABIC</w:instrText>
      </w:r>
      <w:r>
        <w:fldChar w:fldCharType="separate"/>
      </w:r>
      <w:r>
        <w:fldChar w:fldCharType="end"/>
      </w:r>
      <w:bookmarkEnd w:id="121"/>
      <w:r w:rsidRPr="00FA775A">
        <w:t xml:space="preserve">: </w:t>
      </w:r>
      <w:bookmarkStart w:id="125" w:name="_Ref202873572"/>
      <w:r w:rsidRPr="00FA775A">
        <w:t xml:space="preserve">Total number of valid adjudication applications received in 2024–25 and </w:t>
      </w:r>
      <w:bookmarkEnd w:id="122"/>
      <w:r w:rsidR="00543E3E">
        <w:t>value of claims</w:t>
      </w:r>
      <w:bookmarkEnd w:id="123"/>
      <w:bookmarkEnd w:id="124"/>
      <w:bookmarkEnd w:id="125"/>
    </w:p>
    <w:tbl>
      <w:tblPr>
        <w:tblW w:w="10480" w:type="dxa"/>
        <w:tblLayout w:type="fixed"/>
        <w:tblLook w:val="04A0" w:firstRow="1" w:lastRow="0" w:firstColumn="1" w:lastColumn="0" w:noHBand="0" w:noVBand="1"/>
      </w:tblPr>
      <w:tblGrid>
        <w:gridCol w:w="3818"/>
        <w:gridCol w:w="6662"/>
      </w:tblGrid>
      <w:tr w:rsidR="00C71E95" w:rsidRPr="00B754F9" w14:paraId="5DF811B0" w14:textId="703FFAA7" w:rsidTr="00EE0189">
        <w:trPr>
          <w:trHeight w:val="315"/>
        </w:trPr>
        <w:tc>
          <w:tcPr>
            <w:tcW w:w="3818"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1B754DC5" w14:textId="1646296F" w:rsidR="00C71E95" w:rsidRPr="00A513C1" w:rsidRDefault="00BA00C5">
            <w:pPr>
              <w:rPr>
                <w:rFonts w:eastAsia="Arial" w:cs="Arial"/>
                <w:b/>
                <w:szCs w:val="22"/>
              </w:rPr>
            </w:pPr>
            <w:r w:rsidRPr="00A513C1">
              <w:rPr>
                <w:rFonts w:eastAsia="Arial" w:cs="Arial"/>
                <w:b/>
                <w:szCs w:val="22"/>
              </w:rPr>
              <w:t>Application</w:t>
            </w:r>
            <w:r w:rsidR="002D19B8">
              <w:rPr>
                <w:rFonts w:eastAsia="Arial" w:cs="Arial"/>
                <w:b/>
                <w:szCs w:val="22"/>
              </w:rPr>
              <w:t xml:space="preserve"> type</w:t>
            </w:r>
          </w:p>
        </w:tc>
        <w:tc>
          <w:tcPr>
            <w:tcW w:w="6662"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173F9B52" w14:textId="70F09751" w:rsidR="00B81CC5" w:rsidRPr="00A513C1" w:rsidRDefault="00D307C2" w:rsidP="00A513C1">
            <w:pPr>
              <w:rPr>
                <w:rFonts w:eastAsia="Arial" w:cs="Arial"/>
                <w:b/>
                <w:szCs w:val="22"/>
              </w:rPr>
            </w:pPr>
            <w:r w:rsidRPr="00A513C1">
              <w:rPr>
                <w:rFonts w:eastAsia="Arial" w:cs="Arial"/>
                <w:b/>
                <w:szCs w:val="22"/>
              </w:rPr>
              <w:t>2024–25</w:t>
            </w:r>
          </w:p>
        </w:tc>
      </w:tr>
      <w:tr w:rsidR="00C71E95" w:rsidRPr="00B754F9" w14:paraId="69231E77" w14:textId="35B918FE" w:rsidTr="00EE0189">
        <w:trPr>
          <w:trHeight w:val="315"/>
        </w:trPr>
        <w:tc>
          <w:tcPr>
            <w:tcW w:w="38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0CB6C06" w14:textId="37603DD9" w:rsidR="00C71E95" w:rsidRPr="00A513C1" w:rsidRDefault="00C71E95">
            <w:pPr>
              <w:rPr>
                <w:rFonts w:eastAsia="Arial" w:cs="Arial"/>
                <w:szCs w:val="22"/>
              </w:rPr>
            </w:pPr>
            <w:r w:rsidRPr="00A513C1">
              <w:rPr>
                <w:rFonts w:eastAsia="Arial" w:cs="Arial"/>
                <w:szCs w:val="22"/>
              </w:rPr>
              <w:t xml:space="preserve">Standard </w:t>
            </w:r>
          </w:p>
        </w:tc>
        <w:tc>
          <w:tcPr>
            <w:tcW w:w="66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770E6C" w14:textId="651A9B8B" w:rsidR="00B81CC5" w:rsidRPr="004329B9" w:rsidRDefault="001940E4" w:rsidP="00A513C1">
            <w:pPr>
              <w:rPr>
                <w:rFonts w:cs="Arial"/>
                <w:szCs w:val="22"/>
              </w:rPr>
            </w:pPr>
            <w:r w:rsidRPr="004329B9">
              <w:rPr>
                <w:rFonts w:cs="Arial"/>
                <w:bCs/>
                <w:szCs w:val="22"/>
              </w:rPr>
              <w:t>27</w:t>
            </w:r>
            <w:r w:rsidR="00852E6C" w:rsidRPr="004329B9">
              <w:rPr>
                <w:rFonts w:cs="Arial"/>
                <w:bCs/>
                <w:szCs w:val="22"/>
              </w:rPr>
              <w:t>3</w:t>
            </w:r>
          </w:p>
        </w:tc>
      </w:tr>
      <w:tr w:rsidR="00C71E95" w:rsidRPr="00B754F9" w14:paraId="775C8AAF" w14:textId="635598EA" w:rsidTr="00EE0189">
        <w:trPr>
          <w:trHeight w:val="315"/>
        </w:trPr>
        <w:tc>
          <w:tcPr>
            <w:tcW w:w="38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354A3AF" w14:textId="0ECE6292" w:rsidR="00C71E95" w:rsidRPr="00A513C1" w:rsidRDefault="00C71E95">
            <w:pPr>
              <w:rPr>
                <w:rFonts w:eastAsia="Arial" w:cs="Arial"/>
                <w:szCs w:val="22"/>
              </w:rPr>
            </w:pPr>
            <w:r w:rsidRPr="00A513C1">
              <w:rPr>
                <w:rFonts w:eastAsia="Arial" w:cs="Arial"/>
                <w:szCs w:val="22"/>
              </w:rPr>
              <w:t>Complex</w:t>
            </w:r>
          </w:p>
        </w:tc>
        <w:tc>
          <w:tcPr>
            <w:tcW w:w="66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6B04D6" w14:textId="48CE0EF1" w:rsidR="00B81CC5" w:rsidRPr="004329B9" w:rsidRDefault="001940E4" w:rsidP="00A513C1">
            <w:pPr>
              <w:rPr>
                <w:rFonts w:cs="Arial"/>
                <w:szCs w:val="22"/>
              </w:rPr>
            </w:pPr>
            <w:r w:rsidRPr="004329B9">
              <w:rPr>
                <w:rFonts w:cs="Arial"/>
                <w:szCs w:val="22"/>
              </w:rPr>
              <w:t>51</w:t>
            </w:r>
          </w:p>
        </w:tc>
      </w:tr>
      <w:tr w:rsidR="004C450E" w:rsidRPr="00B754F9" w14:paraId="59DE8378" w14:textId="77777777" w:rsidTr="00AB15AF">
        <w:trPr>
          <w:trHeight w:val="315"/>
        </w:trPr>
        <w:tc>
          <w:tcPr>
            <w:tcW w:w="1048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A4D7DC4" w14:textId="58B2888C" w:rsidR="004C450E" w:rsidRPr="004329B9" w:rsidRDefault="00514DB2" w:rsidP="002C29C8">
            <w:pPr>
              <w:rPr>
                <w:rFonts w:cs="Arial"/>
                <w:szCs w:val="22"/>
              </w:rPr>
            </w:pPr>
            <w:r w:rsidRPr="00B8799D">
              <w:rPr>
                <w:rFonts w:eastAsia="Arial" w:cs="Arial"/>
                <w:szCs w:val="22"/>
              </w:rPr>
              <w:t xml:space="preserve">Value of </w:t>
            </w:r>
            <w:r w:rsidR="00C630FB" w:rsidRPr="00B8799D">
              <w:rPr>
                <w:rFonts w:eastAsia="Arial" w:cs="Arial"/>
                <w:szCs w:val="22"/>
              </w:rPr>
              <w:t>c</w:t>
            </w:r>
            <w:r w:rsidR="009C0BCC" w:rsidRPr="00B8799D">
              <w:rPr>
                <w:rFonts w:eastAsia="Arial" w:cs="Arial"/>
                <w:szCs w:val="22"/>
              </w:rPr>
              <w:t>laims</w:t>
            </w:r>
            <w:r w:rsidR="0075761F">
              <w:rPr>
                <w:rFonts w:eastAsia="Arial" w:cs="Arial"/>
                <w:szCs w:val="22"/>
              </w:rPr>
              <w:t xml:space="preserve"> ($)</w:t>
            </w:r>
          </w:p>
        </w:tc>
      </w:tr>
      <w:tr w:rsidR="000F47D3" w:rsidRPr="00B754F9" w14:paraId="5F3AE7E8" w14:textId="77777777" w:rsidTr="00EE0189">
        <w:trPr>
          <w:trHeight w:val="315"/>
        </w:trPr>
        <w:tc>
          <w:tcPr>
            <w:tcW w:w="38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7EC00AE" w14:textId="577D8CA2" w:rsidR="000F47D3" w:rsidRPr="00A513C1" w:rsidRDefault="00BA00C5">
            <w:pPr>
              <w:rPr>
                <w:rFonts w:eastAsia="Arial" w:cs="Arial"/>
                <w:szCs w:val="22"/>
              </w:rPr>
            </w:pPr>
            <w:r w:rsidRPr="00A513C1">
              <w:rPr>
                <w:rFonts w:eastAsia="Arial" w:cs="Arial"/>
                <w:szCs w:val="22"/>
              </w:rPr>
              <w:t xml:space="preserve">Maximum </w:t>
            </w:r>
          </w:p>
        </w:tc>
        <w:tc>
          <w:tcPr>
            <w:tcW w:w="66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7E316D" w14:textId="066BAEEB" w:rsidR="000F47D3" w:rsidRPr="004329B9" w:rsidRDefault="003819BF" w:rsidP="00A513C1">
            <w:pPr>
              <w:rPr>
                <w:rFonts w:cs="Arial"/>
                <w:szCs w:val="22"/>
              </w:rPr>
            </w:pPr>
            <w:r w:rsidRPr="00420374">
              <w:rPr>
                <w:rFonts w:cs="Arial"/>
                <w:szCs w:val="22"/>
              </w:rPr>
              <w:t>80,960,568.29</w:t>
            </w:r>
          </w:p>
        </w:tc>
      </w:tr>
      <w:tr w:rsidR="00BA00C5" w:rsidRPr="00B754F9" w14:paraId="5B2DA338" w14:textId="77777777" w:rsidTr="00EE0189">
        <w:trPr>
          <w:trHeight w:val="315"/>
        </w:trPr>
        <w:tc>
          <w:tcPr>
            <w:tcW w:w="38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675CCD9" w14:textId="560D2ED0" w:rsidR="00BA00C5" w:rsidRPr="00A513C1" w:rsidRDefault="00BA00C5" w:rsidP="00BA00C5">
            <w:pPr>
              <w:rPr>
                <w:rFonts w:eastAsia="Arial" w:cs="Arial"/>
                <w:szCs w:val="22"/>
              </w:rPr>
            </w:pPr>
            <w:r w:rsidRPr="00A513C1">
              <w:rPr>
                <w:rFonts w:eastAsia="Arial" w:cs="Arial"/>
                <w:szCs w:val="22"/>
              </w:rPr>
              <w:t xml:space="preserve">Minimum </w:t>
            </w:r>
          </w:p>
        </w:tc>
        <w:tc>
          <w:tcPr>
            <w:tcW w:w="66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2A8498" w14:textId="6C2222CB" w:rsidR="00BA00C5" w:rsidRPr="004329B9" w:rsidRDefault="003819BF" w:rsidP="00A513C1">
            <w:pPr>
              <w:rPr>
                <w:rFonts w:cs="Arial"/>
                <w:szCs w:val="22"/>
              </w:rPr>
            </w:pPr>
            <w:r w:rsidRPr="00420374">
              <w:rPr>
                <w:rFonts w:cs="Arial"/>
                <w:szCs w:val="22"/>
              </w:rPr>
              <w:t>234.09</w:t>
            </w:r>
          </w:p>
        </w:tc>
      </w:tr>
      <w:tr w:rsidR="00BA00C5" w:rsidRPr="00B754F9" w14:paraId="04A90A1C" w14:textId="77777777" w:rsidTr="00EE0189">
        <w:trPr>
          <w:trHeight w:val="315"/>
        </w:trPr>
        <w:tc>
          <w:tcPr>
            <w:tcW w:w="38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0E4A608" w14:textId="1DDD2C8E" w:rsidR="00BA00C5" w:rsidRPr="00A513C1" w:rsidRDefault="00BA00C5" w:rsidP="00BA00C5">
            <w:pPr>
              <w:rPr>
                <w:rFonts w:eastAsia="Arial" w:cs="Arial"/>
                <w:szCs w:val="22"/>
              </w:rPr>
            </w:pPr>
            <w:r w:rsidRPr="00A513C1">
              <w:rPr>
                <w:rFonts w:eastAsia="Arial" w:cs="Arial"/>
                <w:szCs w:val="22"/>
              </w:rPr>
              <w:t xml:space="preserve">Average </w:t>
            </w:r>
          </w:p>
        </w:tc>
        <w:tc>
          <w:tcPr>
            <w:tcW w:w="66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321052" w14:textId="749DB323" w:rsidR="00BA00C5" w:rsidRPr="004329B9" w:rsidRDefault="00420374" w:rsidP="00A513C1">
            <w:pPr>
              <w:rPr>
                <w:rFonts w:cs="Arial"/>
                <w:szCs w:val="22"/>
              </w:rPr>
            </w:pPr>
            <w:r w:rsidRPr="00420374">
              <w:rPr>
                <w:rFonts w:cs="Arial"/>
                <w:bCs/>
                <w:szCs w:val="22"/>
              </w:rPr>
              <w:t xml:space="preserve">1,594,665.80 </w:t>
            </w:r>
          </w:p>
        </w:tc>
      </w:tr>
      <w:tr w:rsidR="00BE5772" w:rsidRPr="00B754F9" w14:paraId="20F4A9CA" w14:textId="77777777" w:rsidTr="00EE0189">
        <w:trPr>
          <w:trHeight w:val="315"/>
        </w:trPr>
        <w:tc>
          <w:tcPr>
            <w:tcW w:w="38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66FD9A2" w14:textId="225E05AB" w:rsidR="00BE5772" w:rsidRPr="00A513C1" w:rsidRDefault="00BE5772" w:rsidP="00BA00C5">
            <w:pPr>
              <w:rPr>
                <w:rFonts w:eastAsia="Arial" w:cs="Arial"/>
                <w:szCs w:val="22"/>
              </w:rPr>
            </w:pPr>
            <w:r>
              <w:rPr>
                <w:rFonts w:eastAsia="Arial" w:cs="Arial"/>
                <w:szCs w:val="22"/>
              </w:rPr>
              <w:t>Total</w:t>
            </w:r>
          </w:p>
        </w:tc>
        <w:tc>
          <w:tcPr>
            <w:tcW w:w="66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FCEBF4" w14:textId="5CB9D909" w:rsidR="00BE5772" w:rsidRPr="00420374" w:rsidDel="0075761F" w:rsidRDefault="004C60D1" w:rsidP="00A513C1">
            <w:pPr>
              <w:rPr>
                <w:rFonts w:cs="Arial"/>
                <w:bCs/>
                <w:szCs w:val="22"/>
              </w:rPr>
            </w:pPr>
            <w:r w:rsidRPr="004C60D1">
              <w:rPr>
                <w:rFonts w:cs="Arial"/>
                <w:bCs/>
                <w:szCs w:val="22"/>
              </w:rPr>
              <w:t>516,671,718.86</w:t>
            </w:r>
          </w:p>
        </w:tc>
      </w:tr>
    </w:tbl>
    <w:p w14:paraId="6AA5D57C" w14:textId="09AC9621" w:rsidR="00010B7E" w:rsidRDefault="00D87984" w:rsidP="00494585">
      <w:pPr>
        <w:spacing w:before="120" w:after="120"/>
        <w:rPr>
          <w:rFonts w:cs="Arial"/>
          <w:szCs w:val="22"/>
        </w:rPr>
      </w:pPr>
      <w:bookmarkStart w:id="126" w:name="_Hlk140062214"/>
      <w:r w:rsidRPr="007555D5">
        <w:rPr>
          <w:rFonts w:cs="Arial"/>
          <w:szCs w:val="22"/>
        </w:rPr>
        <w:t xml:space="preserve">While </w:t>
      </w:r>
      <w:r w:rsidR="00621729" w:rsidRPr="007555D5">
        <w:rPr>
          <w:rFonts w:cs="Arial"/>
          <w:szCs w:val="22"/>
        </w:rPr>
        <w:t xml:space="preserve">the </w:t>
      </w:r>
      <w:r w:rsidR="004360F3" w:rsidRPr="007555D5">
        <w:rPr>
          <w:rFonts w:cs="Arial"/>
          <w:szCs w:val="22"/>
        </w:rPr>
        <w:t xml:space="preserve">Registry </w:t>
      </w:r>
      <w:r w:rsidR="00F2455D" w:rsidRPr="007555D5">
        <w:rPr>
          <w:rFonts w:cs="Arial"/>
          <w:szCs w:val="22"/>
        </w:rPr>
        <w:t xml:space="preserve">is responsible </w:t>
      </w:r>
      <w:r w:rsidR="00713ADB" w:rsidRPr="007555D5">
        <w:rPr>
          <w:rFonts w:cs="Arial"/>
          <w:szCs w:val="22"/>
        </w:rPr>
        <w:t>for appointing adjudicator</w:t>
      </w:r>
      <w:r w:rsidR="00CA2A19">
        <w:rPr>
          <w:rFonts w:cs="Arial"/>
          <w:szCs w:val="22"/>
        </w:rPr>
        <w:t>s</w:t>
      </w:r>
      <w:r w:rsidR="005371BD">
        <w:rPr>
          <w:rFonts w:cs="Arial"/>
          <w:szCs w:val="22"/>
        </w:rPr>
        <w:t xml:space="preserve">, </w:t>
      </w:r>
      <w:r w:rsidR="000A517C">
        <w:rPr>
          <w:rFonts w:cs="Arial"/>
          <w:szCs w:val="22"/>
        </w:rPr>
        <w:t xml:space="preserve">it </w:t>
      </w:r>
      <w:r w:rsidR="001F0D02">
        <w:rPr>
          <w:rFonts w:cs="Arial"/>
          <w:szCs w:val="22"/>
        </w:rPr>
        <w:t>records</w:t>
      </w:r>
      <w:r w:rsidR="00E87FC6">
        <w:rPr>
          <w:rFonts w:cs="Arial"/>
          <w:szCs w:val="22"/>
        </w:rPr>
        <w:t xml:space="preserve"> </w:t>
      </w:r>
      <w:r w:rsidR="00234B41">
        <w:rPr>
          <w:rFonts w:cs="Arial"/>
          <w:szCs w:val="22"/>
        </w:rPr>
        <w:t>adjudication</w:t>
      </w:r>
      <w:r w:rsidR="00107627">
        <w:rPr>
          <w:rFonts w:cs="Arial"/>
          <w:szCs w:val="22"/>
        </w:rPr>
        <w:t xml:space="preserve"> decisions and </w:t>
      </w:r>
      <w:r w:rsidR="00BC719A">
        <w:rPr>
          <w:rFonts w:cs="Arial"/>
          <w:szCs w:val="22"/>
        </w:rPr>
        <w:t>related</w:t>
      </w:r>
      <w:r w:rsidR="00107627">
        <w:rPr>
          <w:rFonts w:cs="Arial"/>
          <w:szCs w:val="22"/>
        </w:rPr>
        <w:t xml:space="preserve"> </w:t>
      </w:r>
      <w:r w:rsidR="00BC719A">
        <w:rPr>
          <w:rFonts w:cs="Arial"/>
          <w:szCs w:val="22"/>
        </w:rPr>
        <w:t>content</w:t>
      </w:r>
      <w:r w:rsidR="00107627">
        <w:rPr>
          <w:rFonts w:cs="Arial"/>
          <w:szCs w:val="22"/>
        </w:rPr>
        <w:t xml:space="preserve"> </w:t>
      </w:r>
      <w:r w:rsidR="000A517C">
        <w:rPr>
          <w:rFonts w:cs="Arial"/>
          <w:szCs w:val="22"/>
        </w:rPr>
        <w:t xml:space="preserve">only </w:t>
      </w:r>
      <w:r w:rsidR="00BC719A">
        <w:rPr>
          <w:rFonts w:cs="Arial"/>
          <w:szCs w:val="22"/>
        </w:rPr>
        <w:t xml:space="preserve">after they are released </w:t>
      </w:r>
      <w:r w:rsidR="000A517C">
        <w:rPr>
          <w:rFonts w:cs="Arial"/>
          <w:szCs w:val="22"/>
        </w:rPr>
        <w:t xml:space="preserve">by </w:t>
      </w:r>
      <w:r w:rsidR="00713ADB">
        <w:rPr>
          <w:rFonts w:cs="Arial"/>
          <w:szCs w:val="22"/>
        </w:rPr>
        <w:t>the adjudicator</w:t>
      </w:r>
      <w:r w:rsidR="00E612F0">
        <w:rPr>
          <w:rFonts w:cs="Arial"/>
          <w:szCs w:val="22"/>
        </w:rPr>
        <w:t>.</w:t>
      </w:r>
      <w:r>
        <w:rPr>
          <w:rFonts w:cs="Arial"/>
          <w:szCs w:val="22"/>
        </w:rPr>
        <w:t xml:space="preserve"> </w:t>
      </w:r>
      <w:r w:rsidR="0042456A">
        <w:rPr>
          <w:rFonts w:cs="Arial"/>
          <w:szCs w:val="22"/>
        </w:rPr>
        <w:t>Table 23</w:t>
      </w:r>
      <w:r w:rsidR="0053357D">
        <w:rPr>
          <w:rFonts w:cs="Arial"/>
          <w:szCs w:val="22"/>
        </w:rPr>
        <w:fldChar w:fldCharType="begin"/>
      </w:r>
      <w:r w:rsidR="0053357D">
        <w:rPr>
          <w:rFonts w:cs="Arial"/>
          <w:szCs w:val="22"/>
        </w:rPr>
        <w:instrText xml:space="preserve"> REF _Ref201911464 \h </w:instrText>
      </w:r>
      <w:r w:rsidR="0053357D">
        <w:rPr>
          <w:rFonts w:cs="Arial"/>
          <w:szCs w:val="22"/>
        </w:rPr>
      </w:r>
      <w:r w:rsidR="0053357D">
        <w:rPr>
          <w:rFonts w:cs="Arial"/>
          <w:szCs w:val="22"/>
        </w:rPr>
        <w:fldChar w:fldCharType="separate"/>
      </w:r>
      <w:r w:rsidR="0053357D">
        <w:rPr>
          <w:rFonts w:cs="Arial"/>
          <w:szCs w:val="22"/>
        </w:rPr>
        <w:fldChar w:fldCharType="end"/>
      </w:r>
      <w:r w:rsidR="00AB2F87">
        <w:rPr>
          <w:rFonts w:cs="Arial"/>
          <w:szCs w:val="22"/>
        </w:rPr>
        <w:t xml:space="preserve"> summar</w:t>
      </w:r>
      <w:r w:rsidR="00757543">
        <w:rPr>
          <w:rFonts w:cs="Arial"/>
          <w:szCs w:val="22"/>
        </w:rPr>
        <w:t>ises</w:t>
      </w:r>
      <w:r w:rsidR="00AB2F87">
        <w:rPr>
          <w:rFonts w:cs="Arial"/>
          <w:szCs w:val="22"/>
        </w:rPr>
        <w:t xml:space="preserve"> </w:t>
      </w:r>
      <w:r w:rsidR="003371C8" w:rsidRPr="003371C8">
        <w:rPr>
          <w:rFonts w:cs="Arial"/>
          <w:szCs w:val="22"/>
        </w:rPr>
        <w:t>the number of adjudication decisions</w:t>
      </w:r>
      <w:r w:rsidR="00EB06D5">
        <w:rPr>
          <w:rFonts w:cs="Arial"/>
          <w:szCs w:val="22"/>
        </w:rPr>
        <w:t xml:space="preserve"> </w:t>
      </w:r>
      <w:r w:rsidR="002A3298">
        <w:rPr>
          <w:rFonts w:cs="Arial"/>
          <w:szCs w:val="22"/>
        </w:rPr>
        <w:t>released</w:t>
      </w:r>
      <w:r w:rsidR="00EB06D5">
        <w:rPr>
          <w:rFonts w:cs="Arial"/>
          <w:szCs w:val="22"/>
        </w:rPr>
        <w:t xml:space="preserve"> </w:t>
      </w:r>
      <w:r w:rsidR="00FF0944">
        <w:rPr>
          <w:rFonts w:cs="Arial"/>
          <w:szCs w:val="22"/>
        </w:rPr>
        <w:t>during the reporting period</w:t>
      </w:r>
      <w:r w:rsidR="00B252E7">
        <w:rPr>
          <w:rFonts w:cs="Arial"/>
          <w:szCs w:val="22"/>
        </w:rPr>
        <w:t xml:space="preserve">, along with </w:t>
      </w:r>
      <w:r w:rsidR="00A372AB">
        <w:rPr>
          <w:rFonts w:cs="Arial"/>
          <w:szCs w:val="22"/>
        </w:rPr>
        <w:t xml:space="preserve">the </w:t>
      </w:r>
      <w:r w:rsidR="00B224C1">
        <w:rPr>
          <w:rFonts w:cs="Arial"/>
          <w:szCs w:val="22"/>
        </w:rPr>
        <w:t>total</w:t>
      </w:r>
      <w:r w:rsidR="00715DD1">
        <w:rPr>
          <w:rFonts w:cs="Arial"/>
          <w:szCs w:val="22"/>
        </w:rPr>
        <w:t xml:space="preserve"> </w:t>
      </w:r>
      <w:r w:rsidR="00B252E7">
        <w:rPr>
          <w:rFonts w:cs="Arial"/>
          <w:szCs w:val="22"/>
        </w:rPr>
        <w:t>value</w:t>
      </w:r>
      <w:r w:rsidR="00B224C1">
        <w:rPr>
          <w:rFonts w:cs="Arial"/>
          <w:szCs w:val="22"/>
        </w:rPr>
        <w:t>s</w:t>
      </w:r>
      <w:r w:rsidR="00B252E7">
        <w:rPr>
          <w:rFonts w:cs="Arial"/>
          <w:szCs w:val="22"/>
        </w:rPr>
        <w:t xml:space="preserve"> </w:t>
      </w:r>
      <w:r w:rsidR="00FF2DC5">
        <w:rPr>
          <w:rFonts w:cs="Arial"/>
          <w:szCs w:val="22"/>
        </w:rPr>
        <w:t>claim</w:t>
      </w:r>
      <w:r w:rsidR="008D4877">
        <w:rPr>
          <w:rFonts w:cs="Arial"/>
          <w:szCs w:val="22"/>
        </w:rPr>
        <w:t>ed</w:t>
      </w:r>
      <w:r w:rsidR="00FF2DC5">
        <w:rPr>
          <w:rFonts w:cs="Arial"/>
          <w:szCs w:val="22"/>
        </w:rPr>
        <w:t xml:space="preserve"> </w:t>
      </w:r>
      <w:r w:rsidR="00804D96">
        <w:rPr>
          <w:rFonts w:cs="Arial"/>
          <w:szCs w:val="22"/>
        </w:rPr>
        <w:t>and awarded</w:t>
      </w:r>
      <w:r w:rsidR="003371C8" w:rsidRPr="003371C8">
        <w:rPr>
          <w:rFonts w:cs="Arial"/>
          <w:szCs w:val="22"/>
        </w:rPr>
        <w:t>.</w:t>
      </w:r>
    </w:p>
    <w:p w14:paraId="099D104B" w14:textId="2F612E53" w:rsidR="00BD3316" w:rsidRPr="00181285" w:rsidRDefault="0042456A" w:rsidP="00896A14">
      <w:pPr>
        <w:pStyle w:val="Caption"/>
        <w:spacing w:before="120" w:after="120"/>
      </w:pPr>
      <w:bookmarkStart w:id="127" w:name="_Toc202872053"/>
      <w:bookmarkStart w:id="128" w:name="_Toc202872673"/>
      <w:bookmarkStart w:id="129" w:name="_Ref201911464"/>
      <w:r>
        <w:t xml:space="preserve">Table 23: </w:t>
      </w:r>
      <w:r w:rsidRPr="00AE790F">
        <w:t xml:space="preserve">Total number of adjudication decisions released in 2024–25, </w:t>
      </w:r>
      <w:r w:rsidR="00CC6AD4">
        <w:t xml:space="preserve">including </w:t>
      </w:r>
      <w:r w:rsidRPr="00AE790F">
        <w:t>value of claims</w:t>
      </w:r>
      <w:bookmarkEnd w:id="127"/>
      <w:bookmarkEnd w:id="128"/>
      <w:bookmarkEnd w:id="129"/>
      <w:r w:rsidR="00E3754E">
        <w:t xml:space="preserve"> </w:t>
      </w:r>
      <w:r w:rsidR="00E3754E" w:rsidRPr="00E3754E">
        <w:t>and amount awarded under adjudication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662"/>
      </w:tblGrid>
      <w:tr w:rsidR="00C02484" w14:paraId="4EBB06AD" w14:textId="77777777" w:rsidTr="00EE0189">
        <w:trPr>
          <w:trHeight w:val="315"/>
        </w:trPr>
        <w:tc>
          <w:tcPr>
            <w:tcW w:w="3823" w:type="dxa"/>
            <w:shd w:val="clear" w:color="auto" w:fill="A6A6A6" w:themeFill="background1" w:themeFillShade="A6"/>
            <w:tcMar>
              <w:left w:w="108" w:type="dxa"/>
              <w:right w:w="108" w:type="dxa"/>
            </w:tcMar>
            <w:vAlign w:val="center"/>
          </w:tcPr>
          <w:p w14:paraId="517B84E4" w14:textId="01433BAE" w:rsidR="00C02484" w:rsidRPr="002918AF" w:rsidRDefault="00C02484">
            <w:pPr>
              <w:rPr>
                <w:rFonts w:eastAsia="Arial" w:cs="Arial"/>
                <w:b/>
                <w:szCs w:val="22"/>
              </w:rPr>
            </w:pPr>
            <w:r w:rsidRPr="002918AF">
              <w:rPr>
                <w:rFonts w:eastAsia="Arial" w:cs="Arial"/>
                <w:b/>
                <w:szCs w:val="22"/>
              </w:rPr>
              <w:t xml:space="preserve">Application </w:t>
            </w:r>
            <w:r w:rsidR="00923A54">
              <w:rPr>
                <w:rFonts w:eastAsia="Arial" w:cs="Arial"/>
                <w:b/>
                <w:szCs w:val="22"/>
              </w:rPr>
              <w:t>type</w:t>
            </w:r>
          </w:p>
        </w:tc>
        <w:tc>
          <w:tcPr>
            <w:tcW w:w="6662" w:type="dxa"/>
            <w:tcBorders>
              <w:top w:val="single" w:sz="4" w:space="0" w:color="000000"/>
            </w:tcBorders>
            <w:shd w:val="clear" w:color="auto" w:fill="A6A6A6" w:themeFill="background1" w:themeFillShade="A6"/>
            <w:vAlign w:val="center"/>
          </w:tcPr>
          <w:p w14:paraId="1AC33AFF" w14:textId="77777777" w:rsidR="00C02484" w:rsidRPr="002918AF" w:rsidRDefault="00C02484" w:rsidP="00A513C1">
            <w:pPr>
              <w:rPr>
                <w:rFonts w:eastAsia="Arial" w:cs="Arial"/>
                <w:b/>
                <w:szCs w:val="22"/>
              </w:rPr>
            </w:pPr>
            <w:r w:rsidRPr="002918AF">
              <w:rPr>
                <w:rFonts w:eastAsia="Arial" w:cs="Arial"/>
                <w:b/>
                <w:szCs w:val="22"/>
              </w:rPr>
              <w:t>2024–25</w:t>
            </w:r>
          </w:p>
        </w:tc>
      </w:tr>
      <w:tr w:rsidR="00C02484" w:rsidRPr="00FE6E85" w14:paraId="13282C25" w14:textId="77777777" w:rsidTr="00EE0189">
        <w:trPr>
          <w:trHeight w:val="315"/>
        </w:trPr>
        <w:tc>
          <w:tcPr>
            <w:tcW w:w="3823" w:type="dxa"/>
            <w:shd w:val="clear" w:color="auto" w:fill="FFFFFF" w:themeFill="background1"/>
            <w:tcMar>
              <w:left w:w="108" w:type="dxa"/>
              <w:right w:w="108" w:type="dxa"/>
            </w:tcMar>
            <w:vAlign w:val="center"/>
          </w:tcPr>
          <w:p w14:paraId="77FC03F8" w14:textId="34CD23E1" w:rsidR="00C02484" w:rsidRPr="002918AF" w:rsidRDefault="00C02484">
            <w:pPr>
              <w:rPr>
                <w:rFonts w:eastAsia="Arial" w:cs="Arial"/>
                <w:szCs w:val="22"/>
              </w:rPr>
            </w:pPr>
            <w:r w:rsidRPr="002918AF">
              <w:rPr>
                <w:rFonts w:eastAsia="Arial" w:cs="Arial"/>
                <w:szCs w:val="22"/>
              </w:rPr>
              <w:t>Standard</w:t>
            </w:r>
          </w:p>
        </w:tc>
        <w:tc>
          <w:tcPr>
            <w:tcW w:w="6662" w:type="dxa"/>
            <w:tcBorders>
              <w:bottom w:val="single" w:sz="4" w:space="0" w:color="000000"/>
            </w:tcBorders>
            <w:shd w:val="clear" w:color="auto" w:fill="FFFFFF" w:themeFill="background1"/>
            <w:vAlign w:val="center"/>
          </w:tcPr>
          <w:p w14:paraId="6DB9FCE7" w14:textId="450CD31C" w:rsidR="00C02484" w:rsidRPr="00AA381B" w:rsidRDefault="003C7E4C" w:rsidP="00A513C1">
            <w:pPr>
              <w:rPr>
                <w:rFonts w:cs="Arial"/>
                <w:szCs w:val="22"/>
              </w:rPr>
            </w:pPr>
            <w:r w:rsidRPr="00AA381B">
              <w:rPr>
                <w:rFonts w:cs="Arial"/>
                <w:szCs w:val="22"/>
              </w:rPr>
              <w:t>179</w:t>
            </w:r>
          </w:p>
        </w:tc>
      </w:tr>
      <w:tr w:rsidR="00C02484" w:rsidRPr="00FE6E85" w14:paraId="62008260" w14:textId="77777777" w:rsidTr="00EE0189">
        <w:trPr>
          <w:trHeight w:val="315"/>
        </w:trPr>
        <w:tc>
          <w:tcPr>
            <w:tcW w:w="3823" w:type="dxa"/>
            <w:shd w:val="clear" w:color="auto" w:fill="FFFFFF" w:themeFill="background1"/>
            <w:tcMar>
              <w:left w:w="108" w:type="dxa"/>
              <w:right w:w="108" w:type="dxa"/>
            </w:tcMar>
            <w:vAlign w:val="center"/>
          </w:tcPr>
          <w:p w14:paraId="07325598" w14:textId="74BE3306" w:rsidR="00C02484" w:rsidRPr="002918AF" w:rsidRDefault="00C02484">
            <w:pPr>
              <w:rPr>
                <w:rFonts w:eastAsia="Arial" w:cs="Arial"/>
                <w:szCs w:val="22"/>
              </w:rPr>
            </w:pPr>
            <w:r w:rsidRPr="002918AF">
              <w:rPr>
                <w:rFonts w:eastAsia="Arial" w:cs="Arial"/>
                <w:szCs w:val="22"/>
              </w:rPr>
              <w:t>Complex</w:t>
            </w:r>
          </w:p>
        </w:tc>
        <w:tc>
          <w:tcPr>
            <w:tcW w:w="6662" w:type="dxa"/>
            <w:tcBorders>
              <w:top w:val="single" w:sz="4" w:space="0" w:color="000000"/>
            </w:tcBorders>
            <w:shd w:val="clear" w:color="auto" w:fill="FFFFFF" w:themeFill="background1"/>
            <w:vAlign w:val="center"/>
          </w:tcPr>
          <w:p w14:paraId="78048F75" w14:textId="180BC4D9" w:rsidR="00C02484" w:rsidRPr="00AA381B" w:rsidRDefault="003C7E4C" w:rsidP="00A513C1">
            <w:pPr>
              <w:rPr>
                <w:rFonts w:cs="Arial"/>
                <w:szCs w:val="22"/>
              </w:rPr>
            </w:pPr>
            <w:r w:rsidRPr="00AA381B">
              <w:rPr>
                <w:rFonts w:cs="Arial"/>
                <w:szCs w:val="22"/>
              </w:rPr>
              <w:t>35</w:t>
            </w:r>
          </w:p>
        </w:tc>
      </w:tr>
      <w:tr w:rsidR="00A12185" w:rsidRPr="00494585" w14:paraId="4BCF7ACB" w14:textId="77777777" w:rsidTr="00ED2CB7">
        <w:trPr>
          <w:trHeight w:val="315"/>
        </w:trPr>
        <w:tc>
          <w:tcPr>
            <w:tcW w:w="10485" w:type="dxa"/>
            <w:gridSpan w:val="2"/>
            <w:shd w:val="clear" w:color="auto" w:fill="D9D9D9" w:themeFill="background1" w:themeFillShade="D9"/>
            <w:tcMar>
              <w:left w:w="108" w:type="dxa"/>
              <w:right w:w="108" w:type="dxa"/>
            </w:tcMar>
            <w:vAlign w:val="center"/>
          </w:tcPr>
          <w:p w14:paraId="56BA800E" w14:textId="75F7C2A7" w:rsidR="00A12185" w:rsidRPr="00AA381B" w:rsidRDefault="007836C3" w:rsidP="002C29C8">
            <w:pPr>
              <w:rPr>
                <w:rFonts w:cs="Arial"/>
                <w:szCs w:val="22"/>
              </w:rPr>
            </w:pPr>
            <w:r w:rsidRPr="004A3991">
              <w:rPr>
                <w:rFonts w:eastAsia="Arial" w:cs="Arial"/>
                <w:szCs w:val="22"/>
              </w:rPr>
              <w:t>Value of claims</w:t>
            </w:r>
            <w:r w:rsidR="001E4BF0">
              <w:rPr>
                <w:rFonts w:eastAsia="Arial" w:cs="Arial"/>
                <w:szCs w:val="22"/>
              </w:rPr>
              <w:t xml:space="preserve"> ($)</w:t>
            </w:r>
          </w:p>
        </w:tc>
      </w:tr>
      <w:tr w:rsidR="00A12185" w:rsidRPr="00FE6E85" w14:paraId="2A599998" w14:textId="77777777" w:rsidTr="00C65734">
        <w:trPr>
          <w:trHeight w:val="315"/>
        </w:trPr>
        <w:tc>
          <w:tcPr>
            <w:tcW w:w="3823" w:type="dxa"/>
            <w:shd w:val="clear" w:color="auto" w:fill="FFFFFF" w:themeFill="background1"/>
            <w:tcMar>
              <w:left w:w="108" w:type="dxa"/>
              <w:right w:w="108" w:type="dxa"/>
            </w:tcMar>
            <w:vAlign w:val="center"/>
          </w:tcPr>
          <w:p w14:paraId="6E3D0628" w14:textId="18866875" w:rsidR="00A12185" w:rsidRPr="002918AF" w:rsidRDefault="00462C79">
            <w:pPr>
              <w:rPr>
                <w:rFonts w:eastAsia="Arial" w:cs="Arial"/>
                <w:szCs w:val="22"/>
              </w:rPr>
            </w:pPr>
            <w:r w:rsidRPr="00494585">
              <w:rPr>
                <w:rFonts w:cs="Arial"/>
                <w:bCs/>
              </w:rPr>
              <w:t>Maximum</w:t>
            </w:r>
          </w:p>
        </w:tc>
        <w:tc>
          <w:tcPr>
            <w:tcW w:w="6662" w:type="dxa"/>
            <w:shd w:val="clear" w:color="auto" w:fill="FFFFFF" w:themeFill="background1"/>
            <w:vAlign w:val="center"/>
          </w:tcPr>
          <w:p w14:paraId="54B1215C" w14:textId="7035DFD0" w:rsidR="00A12185" w:rsidRPr="00AA381B" w:rsidRDefault="001C1B36" w:rsidP="00A513C1">
            <w:pPr>
              <w:rPr>
                <w:rFonts w:cs="Arial"/>
                <w:szCs w:val="22"/>
              </w:rPr>
            </w:pPr>
            <w:r w:rsidRPr="007E6963">
              <w:rPr>
                <w:rFonts w:cs="Arial"/>
                <w:szCs w:val="22"/>
              </w:rPr>
              <w:t>633,969,448.12</w:t>
            </w:r>
          </w:p>
        </w:tc>
      </w:tr>
      <w:tr w:rsidR="00A12185" w:rsidRPr="00FE6E85" w14:paraId="13DD30CE" w14:textId="77777777" w:rsidTr="00C65734">
        <w:trPr>
          <w:trHeight w:val="315"/>
        </w:trPr>
        <w:tc>
          <w:tcPr>
            <w:tcW w:w="3823" w:type="dxa"/>
            <w:shd w:val="clear" w:color="auto" w:fill="FFFFFF" w:themeFill="background1"/>
            <w:tcMar>
              <w:left w:w="108" w:type="dxa"/>
              <w:right w:w="108" w:type="dxa"/>
            </w:tcMar>
            <w:vAlign w:val="center"/>
          </w:tcPr>
          <w:p w14:paraId="1A6AE749" w14:textId="2641932D" w:rsidR="00A12185" w:rsidRPr="002918AF" w:rsidRDefault="00462C79">
            <w:pPr>
              <w:rPr>
                <w:rFonts w:eastAsia="Arial" w:cs="Arial"/>
                <w:szCs w:val="22"/>
              </w:rPr>
            </w:pPr>
            <w:r w:rsidRPr="00494585">
              <w:rPr>
                <w:rFonts w:cs="Arial"/>
                <w:bCs/>
              </w:rPr>
              <w:t>Minimum</w:t>
            </w:r>
          </w:p>
        </w:tc>
        <w:tc>
          <w:tcPr>
            <w:tcW w:w="6662" w:type="dxa"/>
            <w:shd w:val="clear" w:color="auto" w:fill="FFFFFF" w:themeFill="background1"/>
            <w:vAlign w:val="center"/>
          </w:tcPr>
          <w:p w14:paraId="7AD9E2C2" w14:textId="5DD815F6" w:rsidR="00A12185" w:rsidRPr="00AA381B" w:rsidRDefault="001C1B36" w:rsidP="00A513C1">
            <w:pPr>
              <w:rPr>
                <w:rFonts w:cs="Arial"/>
                <w:szCs w:val="22"/>
              </w:rPr>
            </w:pPr>
            <w:r w:rsidRPr="007E6963">
              <w:rPr>
                <w:rFonts w:cs="Arial"/>
                <w:szCs w:val="22"/>
              </w:rPr>
              <w:t>234.09</w:t>
            </w:r>
          </w:p>
        </w:tc>
      </w:tr>
      <w:tr w:rsidR="00A12185" w:rsidRPr="00FE6E85" w14:paraId="6BF1E167" w14:textId="77777777" w:rsidTr="00C65734">
        <w:trPr>
          <w:trHeight w:val="315"/>
        </w:trPr>
        <w:tc>
          <w:tcPr>
            <w:tcW w:w="3823" w:type="dxa"/>
            <w:shd w:val="clear" w:color="auto" w:fill="FFFFFF" w:themeFill="background1"/>
            <w:tcMar>
              <w:left w:w="108" w:type="dxa"/>
              <w:right w:w="108" w:type="dxa"/>
            </w:tcMar>
            <w:vAlign w:val="center"/>
          </w:tcPr>
          <w:p w14:paraId="2E85BC72" w14:textId="0985A09A" w:rsidR="00A12185" w:rsidRPr="002918AF" w:rsidRDefault="00462C79">
            <w:pPr>
              <w:rPr>
                <w:rFonts w:eastAsia="Arial" w:cs="Arial"/>
                <w:szCs w:val="22"/>
              </w:rPr>
            </w:pPr>
            <w:r w:rsidRPr="00494585">
              <w:rPr>
                <w:rFonts w:cs="Arial"/>
                <w:bCs/>
              </w:rPr>
              <w:t>Average</w:t>
            </w:r>
          </w:p>
        </w:tc>
        <w:tc>
          <w:tcPr>
            <w:tcW w:w="6662" w:type="dxa"/>
            <w:shd w:val="clear" w:color="auto" w:fill="FFFFFF" w:themeFill="background1"/>
            <w:vAlign w:val="center"/>
          </w:tcPr>
          <w:p w14:paraId="6B7112FA" w14:textId="45CF71AF" w:rsidR="00A12185" w:rsidRPr="00AA381B" w:rsidRDefault="001C1B36" w:rsidP="00A513C1">
            <w:pPr>
              <w:rPr>
                <w:rFonts w:cs="Arial"/>
                <w:szCs w:val="22"/>
              </w:rPr>
            </w:pPr>
            <w:r w:rsidRPr="007E6963">
              <w:rPr>
                <w:rFonts w:cs="Arial"/>
                <w:szCs w:val="22"/>
              </w:rPr>
              <w:t>4,471,805.11</w:t>
            </w:r>
          </w:p>
        </w:tc>
      </w:tr>
      <w:tr w:rsidR="004307ED" w:rsidRPr="00FE6E85" w14:paraId="63420F4D" w14:textId="77777777" w:rsidTr="00C65734">
        <w:trPr>
          <w:trHeight w:val="315"/>
        </w:trPr>
        <w:tc>
          <w:tcPr>
            <w:tcW w:w="3823" w:type="dxa"/>
            <w:shd w:val="clear" w:color="auto" w:fill="FFFFFF" w:themeFill="background1"/>
            <w:tcMar>
              <w:left w:w="108" w:type="dxa"/>
              <w:right w:w="108" w:type="dxa"/>
            </w:tcMar>
            <w:vAlign w:val="center"/>
          </w:tcPr>
          <w:p w14:paraId="199E1C94" w14:textId="50BD735E" w:rsidR="004307ED" w:rsidRPr="00494585" w:rsidRDefault="00142570">
            <w:pPr>
              <w:rPr>
                <w:rFonts w:cs="Arial"/>
                <w:bCs/>
              </w:rPr>
            </w:pPr>
            <w:r>
              <w:rPr>
                <w:rFonts w:cs="Arial"/>
                <w:bCs/>
              </w:rPr>
              <w:t>Total</w:t>
            </w:r>
          </w:p>
        </w:tc>
        <w:tc>
          <w:tcPr>
            <w:tcW w:w="6662" w:type="dxa"/>
            <w:shd w:val="clear" w:color="auto" w:fill="FFFFFF" w:themeFill="background1"/>
            <w:vAlign w:val="center"/>
          </w:tcPr>
          <w:p w14:paraId="61BB2332" w14:textId="4BADCFCA" w:rsidR="004307ED" w:rsidRPr="007E6963" w:rsidDel="001E4BF0" w:rsidRDefault="0006439B" w:rsidP="00A513C1">
            <w:pPr>
              <w:rPr>
                <w:rFonts w:cs="Arial"/>
                <w:szCs w:val="22"/>
              </w:rPr>
            </w:pPr>
            <w:r w:rsidRPr="0006439B">
              <w:rPr>
                <w:rFonts w:cs="Arial"/>
                <w:szCs w:val="22"/>
              </w:rPr>
              <w:t>956,966,293.88</w:t>
            </w:r>
          </w:p>
        </w:tc>
      </w:tr>
      <w:tr w:rsidR="00696970" w:rsidRPr="00FE6E85" w14:paraId="3478A4C7" w14:textId="77777777" w:rsidTr="00E31A9B">
        <w:trPr>
          <w:trHeight w:val="315"/>
        </w:trPr>
        <w:tc>
          <w:tcPr>
            <w:tcW w:w="10485" w:type="dxa"/>
            <w:gridSpan w:val="2"/>
            <w:shd w:val="clear" w:color="auto" w:fill="D9D9D9" w:themeFill="background1" w:themeFillShade="D9"/>
            <w:tcMar>
              <w:left w:w="108" w:type="dxa"/>
              <w:right w:w="108" w:type="dxa"/>
            </w:tcMar>
            <w:vAlign w:val="center"/>
          </w:tcPr>
          <w:p w14:paraId="33E6B348" w14:textId="3E84B6E7" w:rsidR="00696970" w:rsidRPr="007E6963" w:rsidDel="001E4BF0" w:rsidRDefault="00696970" w:rsidP="00A513C1">
            <w:pPr>
              <w:rPr>
                <w:rFonts w:cs="Arial"/>
                <w:szCs w:val="22"/>
              </w:rPr>
            </w:pPr>
            <w:r w:rsidRPr="005B2449">
              <w:rPr>
                <w:rFonts w:cs="Arial"/>
                <w:bCs/>
              </w:rPr>
              <w:t>Amount awarded under adjudication</w:t>
            </w:r>
            <w:r>
              <w:rPr>
                <w:rFonts w:cs="Arial"/>
                <w:bCs/>
              </w:rPr>
              <w:t xml:space="preserve"> ($)</w:t>
            </w:r>
          </w:p>
        </w:tc>
      </w:tr>
      <w:tr w:rsidR="00E3754E" w:rsidRPr="00FE6E85" w14:paraId="39D16CDF" w14:textId="77777777" w:rsidTr="00C65734">
        <w:trPr>
          <w:trHeight w:val="315"/>
        </w:trPr>
        <w:tc>
          <w:tcPr>
            <w:tcW w:w="3823" w:type="dxa"/>
            <w:shd w:val="clear" w:color="auto" w:fill="FFFFFF" w:themeFill="background1"/>
            <w:tcMar>
              <w:left w:w="108" w:type="dxa"/>
              <w:right w:w="108" w:type="dxa"/>
            </w:tcMar>
            <w:vAlign w:val="center"/>
          </w:tcPr>
          <w:p w14:paraId="116AB5F1" w14:textId="623AFC40" w:rsidR="00E3754E" w:rsidRPr="00494585" w:rsidRDefault="00122355">
            <w:pPr>
              <w:rPr>
                <w:rFonts w:cs="Arial"/>
                <w:bCs/>
              </w:rPr>
            </w:pPr>
            <w:r w:rsidRPr="00122355">
              <w:rPr>
                <w:rFonts w:cs="Arial"/>
                <w:bCs/>
              </w:rPr>
              <w:t>Total awarded</w:t>
            </w:r>
          </w:p>
        </w:tc>
        <w:tc>
          <w:tcPr>
            <w:tcW w:w="6662" w:type="dxa"/>
            <w:shd w:val="clear" w:color="auto" w:fill="FFFFFF" w:themeFill="background1"/>
            <w:vAlign w:val="center"/>
          </w:tcPr>
          <w:p w14:paraId="45D28F54" w14:textId="0224B6CB" w:rsidR="00E3754E" w:rsidRPr="007E6963" w:rsidDel="001E4BF0" w:rsidRDefault="00696970" w:rsidP="00A513C1">
            <w:pPr>
              <w:rPr>
                <w:rFonts w:cs="Arial"/>
                <w:szCs w:val="22"/>
              </w:rPr>
            </w:pPr>
            <w:r w:rsidRPr="00696970">
              <w:rPr>
                <w:rFonts w:cs="Arial"/>
                <w:szCs w:val="22"/>
              </w:rPr>
              <w:t>81,873,482.13</w:t>
            </w:r>
          </w:p>
        </w:tc>
      </w:tr>
    </w:tbl>
    <w:p w14:paraId="252FC7DB" w14:textId="5EC8C9B8" w:rsidR="00B754F9" w:rsidRPr="00494585" w:rsidRDefault="00D7471A" w:rsidP="00494585">
      <w:pPr>
        <w:spacing w:before="120" w:after="120"/>
        <w:rPr>
          <w:rFonts w:cs="Arial"/>
        </w:rPr>
      </w:pPr>
      <w:r w:rsidRPr="4D53246F">
        <w:rPr>
          <w:rFonts w:cs="Arial"/>
        </w:rPr>
        <w:lastRenderedPageBreak/>
        <w:t xml:space="preserve">To provide further insight into the distribution </w:t>
      </w:r>
      <w:r w:rsidR="00B97E34" w:rsidRPr="4D53246F">
        <w:rPr>
          <w:rFonts w:cs="Arial"/>
        </w:rPr>
        <w:t>of claims across Queensland</w:t>
      </w:r>
      <w:r w:rsidR="00004124" w:rsidRPr="4D53246F">
        <w:rPr>
          <w:rFonts w:cs="Arial"/>
        </w:rPr>
        <w:t xml:space="preserve">, </w:t>
      </w:r>
      <w:r w:rsidR="00E02407" w:rsidRPr="4D53246F">
        <w:rPr>
          <w:rFonts w:cs="Arial"/>
        </w:rPr>
        <w:t>Table 24</w:t>
      </w:r>
      <w:r w:rsidR="00572D50">
        <w:rPr>
          <w:rFonts w:cs="Arial"/>
        </w:rPr>
        <w:fldChar w:fldCharType="begin"/>
      </w:r>
      <w:r w:rsidR="00572D50">
        <w:rPr>
          <w:rFonts w:cs="Arial"/>
        </w:rPr>
        <w:instrText xml:space="preserve"> REF _Ref201911514 \h </w:instrText>
      </w:r>
      <w:r w:rsidR="00572D50">
        <w:rPr>
          <w:rFonts w:cs="Arial"/>
        </w:rPr>
      </w:r>
      <w:r w:rsidR="00572D50">
        <w:rPr>
          <w:rFonts w:cs="Arial"/>
        </w:rPr>
        <w:fldChar w:fldCharType="separate"/>
      </w:r>
      <w:r w:rsidR="00572D50">
        <w:rPr>
          <w:rFonts w:cs="Arial"/>
        </w:rPr>
        <w:fldChar w:fldCharType="end"/>
      </w:r>
      <w:r w:rsidR="00991863" w:rsidRPr="7CFEF083">
        <w:rPr>
          <w:rFonts w:cs="Arial"/>
        </w:rPr>
        <w:t xml:space="preserve"> pr</w:t>
      </w:r>
      <w:r w:rsidR="005E1720" w:rsidRPr="7CFEF083">
        <w:rPr>
          <w:rFonts w:cs="Arial"/>
        </w:rPr>
        <w:t xml:space="preserve">esents </w:t>
      </w:r>
      <w:r w:rsidR="00991863" w:rsidRPr="7CFEF083">
        <w:rPr>
          <w:rFonts w:cs="Arial"/>
        </w:rPr>
        <w:t xml:space="preserve">a regional breakdown of </w:t>
      </w:r>
      <w:r w:rsidR="2FB03F23" w:rsidRPr="7CFEF083">
        <w:rPr>
          <w:rFonts w:cs="Arial"/>
        </w:rPr>
        <w:t xml:space="preserve">valid </w:t>
      </w:r>
      <w:r w:rsidR="00015994" w:rsidRPr="7CFEF083">
        <w:rPr>
          <w:rFonts w:cs="Arial"/>
        </w:rPr>
        <w:t>adjudication applications</w:t>
      </w:r>
      <w:r w:rsidR="009C16EC" w:rsidRPr="7CFEF083">
        <w:rPr>
          <w:rFonts w:cs="Arial"/>
        </w:rPr>
        <w:t xml:space="preserve"> </w:t>
      </w:r>
      <w:r w:rsidR="00C447DC" w:rsidRPr="7CFEF083">
        <w:rPr>
          <w:rFonts w:cs="Arial"/>
        </w:rPr>
        <w:t xml:space="preserve">received </w:t>
      </w:r>
      <w:r w:rsidR="7F31D608" w:rsidRPr="7CFEF083">
        <w:rPr>
          <w:rFonts w:cs="Arial"/>
        </w:rPr>
        <w:t>by the Registry</w:t>
      </w:r>
      <w:r w:rsidR="00FE3C44">
        <w:rPr>
          <w:rFonts w:cs="Arial"/>
        </w:rPr>
        <w:t xml:space="preserve">, </w:t>
      </w:r>
      <w:r w:rsidR="008C471B">
        <w:rPr>
          <w:rFonts w:cs="Arial"/>
        </w:rPr>
        <w:t xml:space="preserve">including </w:t>
      </w:r>
      <w:r w:rsidR="00C447DC" w:rsidRPr="7CFEF083">
        <w:rPr>
          <w:rFonts w:cs="Arial"/>
        </w:rPr>
        <w:t>the</w:t>
      </w:r>
      <w:r w:rsidR="009C16EC" w:rsidRPr="7CFEF083">
        <w:rPr>
          <w:rFonts w:cs="Arial"/>
        </w:rPr>
        <w:t xml:space="preserve"> </w:t>
      </w:r>
      <w:r w:rsidR="008C471B">
        <w:rPr>
          <w:rFonts w:cs="Arial"/>
        </w:rPr>
        <w:t>total</w:t>
      </w:r>
      <w:r w:rsidR="008C471B" w:rsidRPr="7CFEF083">
        <w:rPr>
          <w:rFonts w:cs="Arial"/>
        </w:rPr>
        <w:t xml:space="preserve"> </w:t>
      </w:r>
      <w:r w:rsidR="009C16EC" w:rsidRPr="7CFEF083">
        <w:rPr>
          <w:rFonts w:cs="Arial"/>
        </w:rPr>
        <w:t xml:space="preserve">value </w:t>
      </w:r>
      <w:r w:rsidR="00A176C1" w:rsidRPr="7CFEF083">
        <w:rPr>
          <w:rFonts w:cs="Arial"/>
        </w:rPr>
        <w:t xml:space="preserve">of </w:t>
      </w:r>
      <w:r w:rsidR="00B754F9" w:rsidRPr="7CFEF083">
        <w:rPr>
          <w:rFonts w:cs="Arial"/>
        </w:rPr>
        <w:t>claim</w:t>
      </w:r>
      <w:r w:rsidR="00A176C1" w:rsidRPr="7CFEF083">
        <w:rPr>
          <w:rFonts w:cs="Arial"/>
        </w:rPr>
        <w:t xml:space="preserve">s </w:t>
      </w:r>
      <w:r w:rsidR="00991863" w:rsidRPr="7CFEF083">
        <w:rPr>
          <w:rFonts w:cs="Arial"/>
        </w:rPr>
        <w:t xml:space="preserve">submitted </w:t>
      </w:r>
      <w:r w:rsidR="000F0F2D">
        <w:rPr>
          <w:rFonts w:cs="Arial"/>
        </w:rPr>
        <w:t>during the reporting period</w:t>
      </w:r>
      <w:r w:rsidR="00947636">
        <w:rPr>
          <w:rFonts w:cs="Arial"/>
        </w:rPr>
        <w:t xml:space="preserve">. The table also includes </w:t>
      </w:r>
      <w:r w:rsidR="009B4E10">
        <w:rPr>
          <w:rFonts w:cs="Arial"/>
        </w:rPr>
        <w:t xml:space="preserve">an overview of </w:t>
      </w:r>
      <w:r w:rsidR="00B9545C">
        <w:rPr>
          <w:rFonts w:cs="Arial"/>
        </w:rPr>
        <w:t xml:space="preserve">decisions </w:t>
      </w:r>
      <w:r w:rsidR="008A1970">
        <w:rPr>
          <w:rFonts w:cs="Arial"/>
        </w:rPr>
        <w:t xml:space="preserve">released </w:t>
      </w:r>
      <w:r w:rsidR="009B4E10">
        <w:rPr>
          <w:rFonts w:cs="Arial"/>
        </w:rPr>
        <w:t xml:space="preserve">and </w:t>
      </w:r>
      <w:r w:rsidR="00BA2677">
        <w:rPr>
          <w:rFonts w:cs="Arial"/>
        </w:rPr>
        <w:t xml:space="preserve">the </w:t>
      </w:r>
      <w:r w:rsidR="00947636">
        <w:rPr>
          <w:rFonts w:cs="Arial"/>
        </w:rPr>
        <w:t>corresponding</w:t>
      </w:r>
      <w:r w:rsidR="009B4E10">
        <w:rPr>
          <w:rFonts w:cs="Arial"/>
        </w:rPr>
        <w:t xml:space="preserve"> </w:t>
      </w:r>
      <w:r w:rsidR="00FF2189">
        <w:rPr>
          <w:rFonts w:cs="Arial"/>
        </w:rPr>
        <w:t xml:space="preserve">amounts </w:t>
      </w:r>
      <w:r w:rsidR="009B4E10">
        <w:rPr>
          <w:rFonts w:cs="Arial"/>
        </w:rPr>
        <w:t>awarded</w:t>
      </w:r>
      <w:r w:rsidR="0026311C">
        <w:rPr>
          <w:rFonts w:cs="Arial"/>
        </w:rPr>
        <w:t xml:space="preserve"> </w:t>
      </w:r>
      <w:r w:rsidR="00205A38">
        <w:rPr>
          <w:rFonts w:cs="Arial"/>
        </w:rPr>
        <w:t xml:space="preserve">for all </w:t>
      </w:r>
      <w:r w:rsidR="00B30202">
        <w:rPr>
          <w:rFonts w:cs="Arial"/>
        </w:rPr>
        <w:t>applications</w:t>
      </w:r>
      <w:r w:rsidR="009C4F63">
        <w:rPr>
          <w:rFonts w:cs="Arial"/>
        </w:rPr>
        <w:t xml:space="preserve"> assessed </w:t>
      </w:r>
      <w:r w:rsidR="00205A38">
        <w:rPr>
          <w:rFonts w:cs="Arial"/>
        </w:rPr>
        <w:t>within</w:t>
      </w:r>
      <w:r w:rsidR="009C4F63">
        <w:rPr>
          <w:rFonts w:cs="Arial"/>
        </w:rPr>
        <w:t xml:space="preserve"> the </w:t>
      </w:r>
      <w:r w:rsidR="00205A38">
        <w:rPr>
          <w:rFonts w:cs="Arial"/>
        </w:rPr>
        <w:t>same</w:t>
      </w:r>
      <w:r w:rsidR="009C4F63">
        <w:rPr>
          <w:rFonts w:cs="Arial"/>
        </w:rPr>
        <w:t xml:space="preserve"> period</w:t>
      </w:r>
      <w:r w:rsidR="00462F61" w:rsidRPr="7CFEF083">
        <w:rPr>
          <w:rFonts w:cs="Arial"/>
        </w:rPr>
        <w:t>.</w:t>
      </w:r>
    </w:p>
    <w:p w14:paraId="3512E6BD" w14:textId="50BB190F" w:rsidR="00B754F9" w:rsidRPr="00150397" w:rsidRDefault="00150397" w:rsidP="00494585">
      <w:pPr>
        <w:pStyle w:val="Caption"/>
        <w:keepNext/>
        <w:spacing w:before="120" w:after="120"/>
      </w:pPr>
      <w:bookmarkStart w:id="130" w:name="_Ref201911514"/>
      <w:bookmarkStart w:id="131" w:name="_Toc177031287"/>
      <w:bookmarkStart w:id="132" w:name="_Toc202872054"/>
      <w:bookmarkStart w:id="133" w:name="_Toc202872674"/>
      <w:r>
        <w:t>Table</w:t>
      </w:r>
      <w:r w:rsidR="00311DBB">
        <w:t xml:space="preserve"> 24</w:t>
      </w:r>
      <w:bookmarkEnd w:id="130"/>
      <w:r w:rsidRPr="00E53474">
        <w:t xml:space="preserve">: </w:t>
      </w:r>
      <w:bookmarkStart w:id="134" w:name="_Ref202873585"/>
      <w:r w:rsidRPr="00E53474">
        <w:t xml:space="preserve">Total number and value of valid adjudication applications </w:t>
      </w:r>
      <w:bookmarkStart w:id="135" w:name="_Int_mtTxhrHL"/>
      <w:r w:rsidR="002B63F4">
        <w:t>made</w:t>
      </w:r>
      <w:bookmarkEnd w:id="135"/>
      <w:r w:rsidR="00492699">
        <w:t>,</w:t>
      </w:r>
      <w:r w:rsidR="001B7CF4">
        <w:t xml:space="preserve"> </w:t>
      </w:r>
      <w:r w:rsidRPr="00E53474">
        <w:t>and decisions released in 2024–25 by region</w:t>
      </w:r>
      <w:bookmarkEnd w:id="131"/>
      <w:bookmarkEnd w:id="132"/>
      <w:bookmarkEnd w:id="133"/>
      <w:bookmarkEnd w:id="13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1561"/>
        <w:gridCol w:w="1983"/>
        <w:gridCol w:w="1419"/>
        <w:gridCol w:w="1983"/>
        <w:gridCol w:w="1808"/>
      </w:tblGrid>
      <w:tr w:rsidR="00BB1A30" w:rsidRPr="004929D0" w14:paraId="6F2ADF8A" w14:textId="77777777" w:rsidTr="00933CE5">
        <w:trPr>
          <w:trHeight w:val="496"/>
        </w:trPr>
        <w:tc>
          <w:tcPr>
            <w:tcW w:w="811" w:type="pct"/>
            <w:vMerge w:val="restart"/>
            <w:shd w:val="clear" w:color="auto" w:fill="A6A6A6" w:themeFill="background1" w:themeFillShade="A6"/>
            <w:vAlign w:val="center"/>
          </w:tcPr>
          <w:p w14:paraId="71FC54EC" w14:textId="17C31DDA" w:rsidR="002B63F4" w:rsidRPr="001B7CF4" w:rsidRDefault="002B63F4" w:rsidP="002B63F4">
            <w:pPr>
              <w:rPr>
                <w:rFonts w:cs="Arial"/>
                <w:b/>
                <w:szCs w:val="22"/>
              </w:rPr>
            </w:pPr>
            <w:r w:rsidRPr="003044B3">
              <w:rPr>
                <w:rFonts w:cs="Arial"/>
                <w:b/>
                <w:szCs w:val="22"/>
              </w:rPr>
              <w:t>Decisions by region</w:t>
            </w:r>
            <w:r w:rsidRPr="001B7CF4">
              <w:rPr>
                <w:rFonts w:cs="Arial"/>
                <w:b/>
                <w:szCs w:val="22"/>
              </w:rPr>
              <w:t> </w:t>
            </w:r>
          </w:p>
        </w:tc>
        <w:tc>
          <w:tcPr>
            <w:tcW w:w="1696" w:type="pct"/>
            <w:gridSpan w:val="2"/>
            <w:shd w:val="clear" w:color="auto" w:fill="A6A6A6" w:themeFill="background1" w:themeFillShade="A6"/>
            <w:vAlign w:val="center"/>
          </w:tcPr>
          <w:p w14:paraId="1C905E82" w14:textId="03C25E52" w:rsidR="002B63F4" w:rsidRPr="001B7CF4" w:rsidRDefault="002B63F4" w:rsidP="002B63F4">
            <w:pPr>
              <w:jc w:val="center"/>
              <w:rPr>
                <w:rFonts w:cs="Arial"/>
                <w:b/>
                <w:szCs w:val="22"/>
              </w:rPr>
            </w:pPr>
            <w:r w:rsidRPr="001B7CF4">
              <w:rPr>
                <w:rFonts w:cs="Arial"/>
                <w:b/>
                <w:szCs w:val="22"/>
              </w:rPr>
              <w:t>Applications made</w:t>
            </w:r>
          </w:p>
        </w:tc>
        <w:tc>
          <w:tcPr>
            <w:tcW w:w="2493" w:type="pct"/>
            <w:gridSpan w:val="3"/>
            <w:shd w:val="clear" w:color="auto" w:fill="A6A6A6" w:themeFill="background1" w:themeFillShade="A6"/>
            <w:vAlign w:val="center"/>
          </w:tcPr>
          <w:p w14:paraId="7119359E" w14:textId="438D9E2B" w:rsidR="002B63F4" w:rsidRPr="001B7CF4" w:rsidRDefault="002B63F4" w:rsidP="002B63F4">
            <w:pPr>
              <w:jc w:val="center"/>
              <w:rPr>
                <w:rFonts w:cs="Arial"/>
                <w:b/>
              </w:rPr>
            </w:pPr>
            <w:r w:rsidRPr="0A21745C">
              <w:rPr>
                <w:rFonts w:cs="Arial"/>
                <w:b/>
              </w:rPr>
              <w:t xml:space="preserve">Decisions </w:t>
            </w:r>
            <w:r w:rsidR="00914E6E" w:rsidRPr="0A21745C">
              <w:rPr>
                <w:rFonts w:cs="Arial"/>
                <w:b/>
              </w:rPr>
              <w:t>r</w:t>
            </w:r>
            <w:r w:rsidRPr="0A21745C">
              <w:rPr>
                <w:rFonts w:cs="Arial"/>
                <w:b/>
              </w:rPr>
              <w:t>eleased</w:t>
            </w:r>
          </w:p>
        </w:tc>
      </w:tr>
      <w:tr w:rsidR="00BB1A30" w:rsidRPr="003F020A" w14:paraId="30EE27DA" w14:textId="77777777" w:rsidTr="0A21745C">
        <w:trPr>
          <w:trHeight w:val="971"/>
        </w:trPr>
        <w:tc>
          <w:tcPr>
            <w:tcW w:w="811" w:type="pct"/>
            <w:vMerge/>
            <w:vAlign w:val="center"/>
            <w:hideMark/>
          </w:tcPr>
          <w:p w14:paraId="7F93613C" w14:textId="6916546A" w:rsidR="002B63F4" w:rsidRPr="00C400D4" w:rsidRDefault="002B63F4" w:rsidP="002B63F4">
            <w:pPr>
              <w:rPr>
                <w:rFonts w:eastAsia="Times New Roman" w:cs="Arial"/>
                <w:b/>
                <w:color w:val="000000"/>
                <w:sz w:val="20"/>
                <w:szCs w:val="20"/>
                <w:lang w:eastAsia="en-AU"/>
              </w:rPr>
            </w:pPr>
          </w:p>
        </w:tc>
        <w:tc>
          <w:tcPr>
            <w:tcW w:w="747" w:type="pct"/>
            <w:shd w:val="clear" w:color="auto" w:fill="BFBFBF" w:themeFill="background1" w:themeFillShade="BF"/>
            <w:vAlign w:val="center"/>
            <w:hideMark/>
          </w:tcPr>
          <w:p w14:paraId="54063827" w14:textId="0964ADCB" w:rsidR="002B63F4" w:rsidRPr="001B7CF4" w:rsidRDefault="002B63F4" w:rsidP="00DD5038">
            <w:pPr>
              <w:rPr>
                <w:rFonts w:cs="Arial"/>
                <w:b/>
                <w:szCs w:val="22"/>
              </w:rPr>
            </w:pPr>
            <w:r w:rsidRPr="001B7CF4">
              <w:rPr>
                <w:rFonts w:cs="Arial"/>
                <w:b/>
                <w:szCs w:val="22"/>
              </w:rPr>
              <w:t>Applications made</w:t>
            </w:r>
          </w:p>
        </w:tc>
        <w:tc>
          <w:tcPr>
            <w:tcW w:w="949" w:type="pct"/>
            <w:shd w:val="clear" w:color="auto" w:fill="BFBFBF" w:themeFill="background1" w:themeFillShade="BF"/>
            <w:vAlign w:val="center"/>
            <w:hideMark/>
          </w:tcPr>
          <w:p w14:paraId="0DA505AA" w14:textId="0765246C" w:rsidR="002B63F4" w:rsidRPr="001B7CF4" w:rsidRDefault="002B63F4" w:rsidP="00DD5038">
            <w:pPr>
              <w:rPr>
                <w:rFonts w:cs="Arial"/>
                <w:b/>
                <w:szCs w:val="22"/>
              </w:rPr>
            </w:pPr>
            <w:r w:rsidRPr="001B7CF4">
              <w:rPr>
                <w:rFonts w:cs="Arial"/>
                <w:b/>
                <w:szCs w:val="22"/>
              </w:rPr>
              <w:t>Value of claims</w:t>
            </w:r>
            <w:r w:rsidR="00E02407">
              <w:rPr>
                <w:rFonts w:cs="Arial"/>
                <w:b/>
                <w:szCs w:val="22"/>
              </w:rPr>
              <w:t xml:space="preserve"> ($)</w:t>
            </w:r>
          </w:p>
        </w:tc>
        <w:tc>
          <w:tcPr>
            <w:tcW w:w="679" w:type="pct"/>
            <w:shd w:val="clear" w:color="auto" w:fill="BFBFBF" w:themeFill="background1" w:themeFillShade="BF"/>
            <w:vAlign w:val="center"/>
            <w:hideMark/>
          </w:tcPr>
          <w:p w14:paraId="0ED707E7" w14:textId="009F2F1F" w:rsidR="002B63F4" w:rsidRPr="001B7CF4" w:rsidRDefault="002B63F4" w:rsidP="00DD5038">
            <w:pPr>
              <w:rPr>
                <w:rFonts w:cs="Arial"/>
                <w:b/>
                <w:szCs w:val="22"/>
              </w:rPr>
            </w:pPr>
            <w:r w:rsidRPr="001B7CF4">
              <w:rPr>
                <w:rFonts w:cs="Arial"/>
                <w:b/>
                <w:szCs w:val="22"/>
              </w:rPr>
              <w:t>Decisions released</w:t>
            </w:r>
          </w:p>
        </w:tc>
        <w:tc>
          <w:tcPr>
            <w:tcW w:w="949" w:type="pct"/>
            <w:shd w:val="clear" w:color="auto" w:fill="BFBFBF" w:themeFill="background1" w:themeFillShade="BF"/>
            <w:vAlign w:val="center"/>
            <w:hideMark/>
          </w:tcPr>
          <w:p w14:paraId="6A56E4C9" w14:textId="23B897DF" w:rsidR="002B63F4" w:rsidRPr="001B7CF4" w:rsidRDefault="002B63F4" w:rsidP="00DD5038">
            <w:pPr>
              <w:rPr>
                <w:rFonts w:cs="Arial"/>
                <w:b/>
                <w:szCs w:val="22"/>
              </w:rPr>
            </w:pPr>
            <w:r w:rsidRPr="001B7CF4">
              <w:rPr>
                <w:rFonts w:cs="Arial"/>
                <w:b/>
                <w:szCs w:val="22"/>
              </w:rPr>
              <w:t>Value of claims</w:t>
            </w:r>
            <w:r w:rsidR="00E02407">
              <w:rPr>
                <w:rFonts w:cs="Arial"/>
                <w:b/>
                <w:szCs w:val="22"/>
              </w:rPr>
              <w:t xml:space="preserve"> ($)</w:t>
            </w:r>
          </w:p>
        </w:tc>
        <w:tc>
          <w:tcPr>
            <w:tcW w:w="865" w:type="pct"/>
            <w:shd w:val="clear" w:color="auto" w:fill="BFBFBF" w:themeFill="background1" w:themeFillShade="BF"/>
            <w:vAlign w:val="center"/>
            <w:hideMark/>
          </w:tcPr>
          <w:p w14:paraId="2293D1E2" w14:textId="0F964193" w:rsidR="002B63F4" w:rsidRPr="001B7CF4" w:rsidRDefault="002B63F4" w:rsidP="00DD5038">
            <w:pPr>
              <w:rPr>
                <w:rFonts w:cs="Arial"/>
                <w:b/>
                <w:szCs w:val="22"/>
              </w:rPr>
            </w:pPr>
            <w:r w:rsidRPr="001B7CF4">
              <w:rPr>
                <w:rFonts w:cs="Arial"/>
                <w:b/>
                <w:szCs w:val="22"/>
              </w:rPr>
              <w:t>Adjudicated amount</w:t>
            </w:r>
            <w:r w:rsidR="008A3B71">
              <w:rPr>
                <w:rFonts w:cs="Arial"/>
                <w:b/>
                <w:szCs w:val="22"/>
              </w:rPr>
              <w:t xml:space="preserve"> </w:t>
            </w:r>
            <w:r w:rsidR="00E02407">
              <w:rPr>
                <w:rFonts w:cs="Arial"/>
                <w:b/>
                <w:szCs w:val="22"/>
              </w:rPr>
              <w:t>($)</w:t>
            </w:r>
          </w:p>
        </w:tc>
      </w:tr>
      <w:tr w:rsidR="0094580E" w:rsidRPr="004929D0" w14:paraId="06BC8862" w14:textId="77777777" w:rsidTr="000F6278">
        <w:trPr>
          <w:trHeight w:val="300"/>
        </w:trPr>
        <w:tc>
          <w:tcPr>
            <w:tcW w:w="811" w:type="pct"/>
            <w:vAlign w:val="center"/>
            <w:hideMark/>
          </w:tcPr>
          <w:p w14:paraId="1AB08849" w14:textId="77777777" w:rsidR="002B63F4" w:rsidRPr="00EB38BF" w:rsidRDefault="002B63F4" w:rsidP="002B63F4">
            <w:pPr>
              <w:rPr>
                <w:rFonts w:eastAsia="Times New Roman" w:cs="Arial"/>
                <w:color w:val="000000"/>
                <w:szCs w:val="22"/>
                <w:lang w:eastAsia="en-AU"/>
              </w:rPr>
            </w:pPr>
            <w:r w:rsidRPr="00EB38BF">
              <w:rPr>
                <w:rFonts w:eastAsia="Times New Roman" w:cs="Arial"/>
                <w:color w:val="000000"/>
                <w:szCs w:val="22"/>
                <w:lang w:eastAsia="en-AU"/>
              </w:rPr>
              <w:t>Brisbane</w:t>
            </w:r>
          </w:p>
        </w:tc>
        <w:tc>
          <w:tcPr>
            <w:tcW w:w="747" w:type="pct"/>
            <w:vAlign w:val="center"/>
            <w:hideMark/>
          </w:tcPr>
          <w:p w14:paraId="0169197D" w14:textId="7BE3560B"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190</w:t>
            </w:r>
          </w:p>
        </w:tc>
        <w:tc>
          <w:tcPr>
            <w:tcW w:w="949" w:type="pct"/>
            <w:vAlign w:val="center"/>
            <w:hideMark/>
          </w:tcPr>
          <w:p w14:paraId="38037008" w14:textId="4859895B"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167,800,026.47</w:t>
            </w:r>
          </w:p>
        </w:tc>
        <w:tc>
          <w:tcPr>
            <w:tcW w:w="679" w:type="pct"/>
            <w:noWrap/>
            <w:vAlign w:val="center"/>
            <w:hideMark/>
          </w:tcPr>
          <w:p w14:paraId="76EDAF68" w14:textId="4C879397"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119</w:t>
            </w:r>
          </w:p>
        </w:tc>
        <w:tc>
          <w:tcPr>
            <w:tcW w:w="949" w:type="pct"/>
            <w:vAlign w:val="center"/>
            <w:hideMark/>
          </w:tcPr>
          <w:p w14:paraId="176F1F8C" w14:textId="2DF7554E"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42,538,993.10</w:t>
            </w:r>
          </w:p>
        </w:tc>
        <w:tc>
          <w:tcPr>
            <w:tcW w:w="865" w:type="pct"/>
            <w:vAlign w:val="center"/>
            <w:hideMark/>
          </w:tcPr>
          <w:p w14:paraId="1D19ED97" w14:textId="049064BC"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15,765,840.36</w:t>
            </w:r>
          </w:p>
        </w:tc>
      </w:tr>
      <w:tr w:rsidR="0094580E" w:rsidRPr="004929D0" w14:paraId="1F4FF3B7" w14:textId="77777777" w:rsidTr="000F6278">
        <w:trPr>
          <w:trHeight w:val="300"/>
        </w:trPr>
        <w:tc>
          <w:tcPr>
            <w:tcW w:w="811" w:type="pct"/>
            <w:vAlign w:val="center"/>
            <w:hideMark/>
          </w:tcPr>
          <w:p w14:paraId="09C8D8DE" w14:textId="77777777" w:rsidR="002B63F4" w:rsidRPr="00EB38BF" w:rsidRDefault="002B63F4" w:rsidP="002B63F4">
            <w:pPr>
              <w:rPr>
                <w:rFonts w:eastAsia="Times New Roman" w:cs="Arial"/>
                <w:color w:val="000000"/>
                <w:szCs w:val="22"/>
                <w:lang w:eastAsia="en-AU"/>
              </w:rPr>
            </w:pPr>
            <w:r w:rsidRPr="00EB38BF">
              <w:rPr>
                <w:rFonts w:eastAsia="Times New Roman" w:cs="Arial"/>
                <w:color w:val="000000"/>
                <w:szCs w:val="22"/>
                <w:lang w:eastAsia="en-AU"/>
              </w:rPr>
              <w:t>Cairns</w:t>
            </w:r>
          </w:p>
        </w:tc>
        <w:tc>
          <w:tcPr>
            <w:tcW w:w="747" w:type="pct"/>
            <w:vAlign w:val="center"/>
            <w:hideMark/>
          </w:tcPr>
          <w:p w14:paraId="79347823" w14:textId="44DE7134"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6</w:t>
            </w:r>
          </w:p>
        </w:tc>
        <w:tc>
          <w:tcPr>
            <w:tcW w:w="949" w:type="pct"/>
            <w:vAlign w:val="center"/>
            <w:hideMark/>
          </w:tcPr>
          <w:p w14:paraId="6CF1DF75" w14:textId="32753A25"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5,562,111.08</w:t>
            </w:r>
          </w:p>
        </w:tc>
        <w:tc>
          <w:tcPr>
            <w:tcW w:w="679" w:type="pct"/>
            <w:noWrap/>
            <w:vAlign w:val="center"/>
            <w:hideMark/>
          </w:tcPr>
          <w:p w14:paraId="16167861" w14:textId="1781F6AD"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3</w:t>
            </w:r>
          </w:p>
        </w:tc>
        <w:tc>
          <w:tcPr>
            <w:tcW w:w="949" w:type="pct"/>
            <w:vAlign w:val="center"/>
            <w:hideMark/>
          </w:tcPr>
          <w:p w14:paraId="7714D1DD" w14:textId="5644599C"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1,267,634.50</w:t>
            </w:r>
          </w:p>
        </w:tc>
        <w:tc>
          <w:tcPr>
            <w:tcW w:w="865" w:type="pct"/>
            <w:vAlign w:val="center"/>
            <w:hideMark/>
          </w:tcPr>
          <w:p w14:paraId="74C40710" w14:textId="172E8A0B"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10,334.50</w:t>
            </w:r>
          </w:p>
        </w:tc>
      </w:tr>
      <w:tr w:rsidR="0094580E" w:rsidRPr="004929D0" w14:paraId="4628401F" w14:textId="77777777" w:rsidTr="000F6278">
        <w:trPr>
          <w:trHeight w:val="300"/>
        </w:trPr>
        <w:tc>
          <w:tcPr>
            <w:tcW w:w="811" w:type="pct"/>
            <w:vAlign w:val="center"/>
            <w:hideMark/>
          </w:tcPr>
          <w:p w14:paraId="5945738B" w14:textId="77777777" w:rsidR="002B63F4" w:rsidRPr="00EB38BF" w:rsidRDefault="002B63F4" w:rsidP="002B63F4">
            <w:pPr>
              <w:rPr>
                <w:rFonts w:eastAsia="Times New Roman" w:cs="Arial"/>
                <w:color w:val="000000"/>
                <w:lang w:eastAsia="en-AU"/>
              </w:rPr>
            </w:pPr>
            <w:r w:rsidRPr="7BF6C596">
              <w:rPr>
                <w:rFonts w:eastAsia="Times New Roman" w:cs="Arial"/>
                <w:color w:val="000000"/>
                <w:lang w:eastAsia="en-AU"/>
              </w:rPr>
              <w:t>Gold Coast</w:t>
            </w:r>
          </w:p>
        </w:tc>
        <w:tc>
          <w:tcPr>
            <w:tcW w:w="747" w:type="pct"/>
            <w:vAlign w:val="center"/>
            <w:hideMark/>
          </w:tcPr>
          <w:p w14:paraId="586E80F3" w14:textId="6033DCD0"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58</w:t>
            </w:r>
          </w:p>
        </w:tc>
        <w:tc>
          <w:tcPr>
            <w:tcW w:w="949" w:type="pct"/>
            <w:vAlign w:val="center"/>
            <w:hideMark/>
          </w:tcPr>
          <w:p w14:paraId="2255C1DF" w14:textId="6F728FB3" w:rsidR="002B63F4" w:rsidRPr="00EB38BF" w:rsidRDefault="002B63F4" w:rsidP="00DD5038">
            <w:pPr>
              <w:rPr>
                <w:rFonts w:eastAsia="Times New Roman" w:cs="Arial"/>
                <w:color w:val="000000"/>
                <w:lang w:eastAsia="en-AU"/>
              </w:rPr>
            </w:pPr>
            <w:r w:rsidRPr="7BF6C596">
              <w:rPr>
                <w:rFonts w:eastAsia="Times New Roman" w:cs="Arial"/>
                <w:color w:val="000000"/>
                <w:lang w:eastAsia="en-AU"/>
              </w:rPr>
              <w:t>166,782,055.68</w:t>
            </w:r>
          </w:p>
        </w:tc>
        <w:tc>
          <w:tcPr>
            <w:tcW w:w="679" w:type="pct"/>
            <w:noWrap/>
            <w:vAlign w:val="center"/>
            <w:hideMark/>
          </w:tcPr>
          <w:p w14:paraId="4EFB4873" w14:textId="7F18D945"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40</w:t>
            </w:r>
          </w:p>
        </w:tc>
        <w:tc>
          <w:tcPr>
            <w:tcW w:w="949" w:type="pct"/>
            <w:vAlign w:val="center"/>
            <w:hideMark/>
          </w:tcPr>
          <w:p w14:paraId="191745B6" w14:textId="18FFBFB7"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211,046,322.20</w:t>
            </w:r>
          </w:p>
        </w:tc>
        <w:tc>
          <w:tcPr>
            <w:tcW w:w="865" w:type="pct"/>
            <w:vAlign w:val="center"/>
            <w:hideMark/>
          </w:tcPr>
          <w:p w14:paraId="2CDA1A1B" w14:textId="266A825C"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41,445,010.53</w:t>
            </w:r>
          </w:p>
        </w:tc>
      </w:tr>
      <w:tr w:rsidR="0094580E" w:rsidRPr="004929D0" w14:paraId="66117E2B" w14:textId="77777777" w:rsidTr="000F6278">
        <w:trPr>
          <w:trHeight w:val="300"/>
        </w:trPr>
        <w:tc>
          <w:tcPr>
            <w:tcW w:w="811" w:type="pct"/>
            <w:vAlign w:val="center"/>
            <w:hideMark/>
          </w:tcPr>
          <w:p w14:paraId="1130B597" w14:textId="77777777" w:rsidR="002B63F4" w:rsidRPr="00EB38BF" w:rsidRDefault="002B63F4" w:rsidP="002B63F4">
            <w:pPr>
              <w:rPr>
                <w:rFonts w:eastAsia="Times New Roman" w:cs="Arial"/>
                <w:color w:val="000000"/>
                <w:szCs w:val="22"/>
                <w:lang w:eastAsia="en-AU"/>
              </w:rPr>
            </w:pPr>
            <w:r w:rsidRPr="00EB38BF">
              <w:rPr>
                <w:rFonts w:eastAsia="Times New Roman" w:cs="Arial"/>
                <w:color w:val="000000"/>
                <w:szCs w:val="22"/>
                <w:lang w:eastAsia="en-AU"/>
              </w:rPr>
              <w:t>Mackay</w:t>
            </w:r>
          </w:p>
        </w:tc>
        <w:tc>
          <w:tcPr>
            <w:tcW w:w="747" w:type="pct"/>
            <w:vAlign w:val="center"/>
            <w:hideMark/>
          </w:tcPr>
          <w:p w14:paraId="14B30A8B" w14:textId="3080E103"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9</w:t>
            </w:r>
          </w:p>
        </w:tc>
        <w:tc>
          <w:tcPr>
            <w:tcW w:w="949" w:type="pct"/>
            <w:vAlign w:val="center"/>
            <w:hideMark/>
          </w:tcPr>
          <w:p w14:paraId="33A8422D" w14:textId="5F17C3B5"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16,307,406.45</w:t>
            </w:r>
          </w:p>
        </w:tc>
        <w:tc>
          <w:tcPr>
            <w:tcW w:w="679" w:type="pct"/>
            <w:noWrap/>
            <w:vAlign w:val="center"/>
            <w:hideMark/>
          </w:tcPr>
          <w:p w14:paraId="58FF7D5B" w14:textId="71F0F7F1"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5</w:t>
            </w:r>
          </w:p>
        </w:tc>
        <w:tc>
          <w:tcPr>
            <w:tcW w:w="949" w:type="pct"/>
            <w:vAlign w:val="center"/>
            <w:hideMark/>
          </w:tcPr>
          <w:p w14:paraId="5C78F10F" w14:textId="2DBBF11D"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15,086,617.89</w:t>
            </w:r>
          </w:p>
        </w:tc>
        <w:tc>
          <w:tcPr>
            <w:tcW w:w="865" w:type="pct"/>
            <w:vAlign w:val="center"/>
            <w:hideMark/>
          </w:tcPr>
          <w:p w14:paraId="26C4C6F5" w14:textId="1E1DB0C4"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11,141,639.45</w:t>
            </w:r>
          </w:p>
        </w:tc>
      </w:tr>
      <w:tr w:rsidR="0094580E" w:rsidRPr="004929D0" w14:paraId="7FF728D0" w14:textId="77777777" w:rsidTr="000F6278">
        <w:trPr>
          <w:trHeight w:val="300"/>
        </w:trPr>
        <w:tc>
          <w:tcPr>
            <w:tcW w:w="811" w:type="pct"/>
            <w:vAlign w:val="center"/>
            <w:hideMark/>
          </w:tcPr>
          <w:p w14:paraId="4822174E" w14:textId="77777777" w:rsidR="002B63F4" w:rsidRPr="00EB38BF" w:rsidRDefault="002B63F4" w:rsidP="002B63F4">
            <w:pPr>
              <w:rPr>
                <w:rFonts w:eastAsia="Times New Roman" w:cs="Arial"/>
                <w:color w:val="000000"/>
                <w:szCs w:val="22"/>
                <w:lang w:eastAsia="en-AU"/>
              </w:rPr>
            </w:pPr>
            <w:r w:rsidRPr="00EB38BF">
              <w:rPr>
                <w:rFonts w:eastAsia="Times New Roman" w:cs="Arial"/>
                <w:color w:val="000000"/>
                <w:szCs w:val="22"/>
                <w:lang w:eastAsia="en-AU"/>
              </w:rPr>
              <w:t>Maryborough</w:t>
            </w:r>
          </w:p>
        </w:tc>
        <w:tc>
          <w:tcPr>
            <w:tcW w:w="747" w:type="pct"/>
            <w:vAlign w:val="center"/>
            <w:hideMark/>
          </w:tcPr>
          <w:p w14:paraId="5EE4E373" w14:textId="7A18E861"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4</w:t>
            </w:r>
          </w:p>
        </w:tc>
        <w:tc>
          <w:tcPr>
            <w:tcW w:w="949" w:type="pct"/>
            <w:vAlign w:val="center"/>
            <w:hideMark/>
          </w:tcPr>
          <w:p w14:paraId="0DF6A3FF" w14:textId="741310C3"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3,804,152.37</w:t>
            </w:r>
          </w:p>
        </w:tc>
        <w:tc>
          <w:tcPr>
            <w:tcW w:w="679" w:type="pct"/>
            <w:noWrap/>
            <w:vAlign w:val="center"/>
            <w:hideMark/>
          </w:tcPr>
          <w:p w14:paraId="49FE32B8" w14:textId="73710DC6"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3</w:t>
            </w:r>
          </w:p>
        </w:tc>
        <w:tc>
          <w:tcPr>
            <w:tcW w:w="949" w:type="pct"/>
            <w:vAlign w:val="center"/>
            <w:hideMark/>
          </w:tcPr>
          <w:p w14:paraId="37ECA8D1" w14:textId="1A770692"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182,729.70</w:t>
            </w:r>
          </w:p>
        </w:tc>
        <w:tc>
          <w:tcPr>
            <w:tcW w:w="865" w:type="pct"/>
            <w:vAlign w:val="center"/>
            <w:hideMark/>
          </w:tcPr>
          <w:p w14:paraId="0D1529F4" w14:textId="6343E115"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62,166.71</w:t>
            </w:r>
          </w:p>
        </w:tc>
      </w:tr>
      <w:tr w:rsidR="0094580E" w:rsidRPr="004929D0" w14:paraId="6074A0FC" w14:textId="77777777" w:rsidTr="000F6278">
        <w:trPr>
          <w:trHeight w:val="300"/>
        </w:trPr>
        <w:tc>
          <w:tcPr>
            <w:tcW w:w="811" w:type="pct"/>
            <w:vAlign w:val="center"/>
            <w:hideMark/>
          </w:tcPr>
          <w:p w14:paraId="47E5B616" w14:textId="77777777" w:rsidR="002B63F4" w:rsidRPr="00EB38BF" w:rsidRDefault="002B63F4" w:rsidP="002B63F4">
            <w:pPr>
              <w:rPr>
                <w:rFonts w:eastAsia="Times New Roman" w:cs="Arial"/>
                <w:color w:val="000000"/>
                <w:szCs w:val="22"/>
                <w:lang w:eastAsia="en-AU"/>
              </w:rPr>
            </w:pPr>
            <w:r w:rsidRPr="00EB38BF">
              <w:rPr>
                <w:rFonts w:eastAsia="Times New Roman" w:cs="Arial"/>
                <w:color w:val="000000"/>
                <w:szCs w:val="22"/>
                <w:lang w:eastAsia="en-AU"/>
              </w:rPr>
              <w:t>Rockhampton</w:t>
            </w:r>
          </w:p>
        </w:tc>
        <w:tc>
          <w:tcPr>
            <w:tcW w:w="747" w:type="pct"/>
            <w:vAlign w:val="center"/>
            <w:hideMark/>
          </w:tcPr>
          <w:p w14:paraId="52875404" w14:textId="6FD11FCA"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11</w:t>
            </w:r>
          </w:p>
        </w:tc>
        <w:tc>
          <w:tcPr>
            <w:tcW w:w="949" w:type="pct"/>
            <w:vAlign w:val="center"/>
            <w:hideMark/>
          </w:tcPr>
          <w:p w14:paraId="2CAEF81E" w14:textId="3E1EDEDC"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82,511,737.22</w:t>
            </w:r>
          </w:p>
        </w:tc>
        <w:tc>
          <w:tcPr>
            <w:tcW w:w="679" w:type="pct"/>
            <w:noWrap/>
            <w:vAlign w:val="center"/>
            <w:hideMark/>
          </w:tcPr>
          <w:p w14:paraId="4F71687F" w14:textId="5101FA70"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6</w:t>
            </w:r>
          </w:p>
        </w:tc>
        <w:tc>
          <w:tcPr>
            <w:tcW w:w="949" w:type="pct"/>
            <w:vAlign w:val="center"/>
            <w:hideMark/>
          </w:tcPr>
          <w:p w14:paraId="4CC2A28F" w14:textId="41587DE8"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1,462,019.30</w:t>
            </w:r>
          </w:p>
        </w:tc>
        <w:tc>
          <w:tcPr>
            <w:tcW w:w="865" w:type="pct"/>
            <w:vAlign w:val="center"/>
            <w:hideMark/>
          </w:tcPr>
          <w:p w14:paraId="61E31A4B" w14:textId="7AE2FAE7"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964,392.82</w:t>
            </w:r>
          </w:p>
        </w:tc>
      </w:tr>
      <w:tr w:rsidR="0094580E" w:rsidRPr="004929D0" w14:paraId="5355B0AE" w14:textId="77777777" w:rsidTr="000F6278">
        <w:trPr>
          <w:trHeight w:val="300"/>
        </w:trPr>
        <w:tc>
          <w:tcPr>
            <w:tcW w:w="811" w:type="pct"/>
            <w:vAlign w:val="center"/>
            <w:hideMark/>
          </w:tcPr>
          <w:p w14:paraId="7550D968" w14:textId="77777777" w:rsidR="002B63F4" w:rsidRPr="00EB38BF" w:rsidRDefault="002B63F4" w:rsidP="002B63F4">
            <w:pPr>
              <w:rPr>
                <w:rFonts w:eastAsia="Times New Roman" w:cs="Arial"/>
                <w:color w:val="000000"/>
                <w:szCs w:val="22"/>
                <w:lang w:eastAsia="en-AU"/>
              </w:rPr>
            </w:pPr>
            <w:r w:rsidRPr="00EB38BF">
              <w:rPr>
                <w:rFonts w:eastAsia="Times New Roman" w:cs="Arial"/>
                <w:color w:val="000000"/>
                <w:szCs w:val="22"/>
                <w:lang w:eastAsia="en-AU"/>
              </w:rPr>
              <w:t>Sunshine Coast</w:t>
            </w:r>
          </w:p>
        </w:tc>
        <w:tc>
          <w:tcPr>
            <w:tcW w:w="747" w:type="pct"/>
            <w:vAlign w:val="center"/>
            <w:hideMark/>
          </w:tcPr>
          <w:p w14:paraId="39B16045" w14:textId="4E56B8E0" w:rsidR="002B63F4" w:rsidRPr="00EB38BF" w:rsidRDefault="007F24A3" w:rsidP="00DD5038">
            <w:pPr>
              <w:rPr>
                <w:rFonts w:eastAsia="Times New Roman" w:cs="Arial"/>
                <w:color w:val="000000"/>
                <w:szCs w:val="22"/>
                <w:lang w:eastAsia="en-AU"/>
              </w:rPr>
            </w:pPr>
            <w:r w:rsidRPr="00EB38BF">
              <w:rPr>
                <w:rFonts w:eastAsia="Times New Roman" w:cs="Arial"/>
                <w:color w:val="000000"/>
                <w:szCs w:val="22"/>
                <w:lang w:eastAsia="en-AU"/>
              </w:rPr>
              <w:t>28</w:t>
            </w:r>
          </w:p>
        </w:tc>
        <w:tc>
          <w:tcPr>
            <w:tcW w:w="949" w:type="pct"/>
            <w:vAlign w:val="center"/>
            <w:hideMark/>
          </w:tcPr>
          <w:p w14:paraId="64C709B6" w14:textId="70C07703" w:rsidR="002B63F4" w:rsidRPr="00EB38BF" w:rsidRDefault="007F24A3" w:rsidP="00DD5038">
            <w:pPr>
              <w:rPr>
                <w:rFonts w:eastAsia="Times New Roman" w:cs="Arial"/>
                <w:color w:val="000000"/>
                <w:szCs w:val="22"/>
                <w:lang w:eastAsia="en-AU"/>
              </w:rPr>
            </w:pPr>
            <w:r w:rsidRPr="00EB38BF">
              <w:rPr>
                <w:rFonts w:eastAsia="Times New Roman" w:cs="Arial"/>
                <w:color w:val="000000"/>
                <w:szCs w:val="22"/>
                <w:lang w:eastAsia="en-AU"/>
              </w:rPr>
              <w:t>10,443,174.36</w:t>
            </w:r>
          </w:p>
        </w:tc>
        <w:tc>
          <w:tcPr>
            <w:tcW w:w="679" w:type="pct"/>
            <w:noWrap/>
            <w:vAlign w:val="center"/>
            <w:hideMark/>
          </w:tcPr>
          <w:p w14:paraId="42CC725E" w14:textId="3498779D"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22</w:t>
            </w:r>
          </w:p>
        </w:tc>
        <w:tc>
          <w:tcPr>
            <w:tcW w:w="949" w:type="pct"/>
            <w:vAlign w:val="center"/>
            <w:hideMark/>
          </w:tcPr>
          <w:p w14:paraId="384C6587" w14:textId="22A29B1D"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8,578,928.47</w:t>
            </w:r>
          </w:p>
        </w:tc>
        <w:tc>
          <w:tcPr>
            <w:tcW w:w="865" w:type="pct"/>
            <w:vAlign w:val="center"/>
            <w:hideMark/>
          </w:tcPr>
          <w:p w14:paraId="65DFBCAA" w14:textId="53256619"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2,885,911.37</w:t>
            </w:r>
          </w:p>
        </w:tc>
      </w:tr>
      <w:tr w:rsidR="0094580E" w:rsidRPr="004929D0" w14:paraId="471EF6B9" w14:textId="77777777" w:rsidTr="000F6278">
        <w:trPr>
          <w:trHeight w:val="300"/>
        </w:trPr>
        <w:tc>
          <w:tcPr>
            <w:tcW w:w="811" w:type="pct"/>
            <w:vAlign w:val="center"/>
            <w:hideMark/>
          </w:tcPr>
          <w:p w14:paraId="1967E4C5" w14:textId="77777777" w:rsidR="002B63F4" w:rsidRPr="00EB38BF" w:rsidRDefault="002B63F4" w:rsidP="002B63F4">
            <w:pPr>
              <w:rPr>
                <w:rFonts w:eastAsia="Times New Roman" w:cs="Arial"/>
                <w:color w:val="000000"/>
                <w:szCs w:val="22"/>
                <w:lang w:eastAsia="en-AU"/>
              </w:rPr>
            </w:pPr>
            <w:r w:rsidRPr="00EB38BF">
              <w:rPr>
                <w:rFonts w:eastAsia="Times New Roman" w:cs="Arial"/>
                <w:color w:val="000000"/>
                <w:szCs w:val="22"/>
                <w:lang w:eastAsia="en-AU"/>
              </w:rPr>
              <w:t>Toowoomba</w:t>
            </w:r>
          </w:p>
        </w:tc>
        <w:tc>
          <w:tcPr>
            <w:tcW w:w="747" w:type="pct"/>
            <w:vAlign w:val="center"/>
            <w:hideMark/>
          </w:tcPr>
          <w:p w14:paraId="41C02013" w14:textId="68A5E2A0"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13</w:t>
            </w:r>
          </w:p>
        </w:tc>
        <w:tc>
          <w:tcPr>
            <w:tcW w:w="949" w:type="pct"/>
            <w:vAlign w:val="center"/>
            <w:hideMark/>
          </w:tcPr>
          <w:p w14:paraId="029B4FD3" w14:textId="5CCAC09F"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30,048,038.88</w:t>
            </w:r>
          </w:p>
        </w:tc>
        <w:tc>
          <w:tcPr>
            <w:tcW w:w="679" w:type="pct"/>
            <w:noWrap/>
            <w:vAlign w:val="center"/>
            <w:hideMark/>
          </w:tcPr>
          <w:p w14:paraId="1B51F9BE" w14:textId="4F9F1663"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10</w:t>
            </w:r>
          </w:p>
        </w:tc>
        <w:tc>
          <w:tcPr>
            <w:tcW w:w="949" w:type="pct"/>
            <w:vAlign w:val="center"/>
            <w:hideMark/>
          </w:tcPr>
          <w:p w14:paraId="32E6A852" w14:textId="694C710C"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641,058,767.08</w:t>
            </w:r>
          </w:p>
        </w:tc>
        <w:tc>
          <w:tcPr>
            <w:tcW w:w="865" w:type="pct"/>
            <w:vAlign w:val="center"/>
            <w:hideMark/>
          </w:tcPr>
          <w:p w14:paraId="55D42868" w14:textId="3499B8AB"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3,148,055.56</w:t>
            </w:r>
          </w:p>
        </w:tc>
      </w:tr>
      <w:tr w:rsidR="0094580E" w:rsidRPr="004929D0" w14:paraId="7FA88A5F" w14:textId="77777777" w:rsidTr="000F6278">
        <w:trPr>
          <w:trHeight w:val="300"/>
        </w:trPr>
        <w:tc>
          <w:tcPr>
            <w:tcW w:w="811" w:type="pct"/>
            <w:vAlign w:val="center"/>
            <w:hideMark/>
          </w:tcPr>
          <w:p w14:paraId="09EBE1FD" w14:textId="77777777" w:rsidR="002B63F4" w:rsidRPr="00EB38BF" w:rsidRDefault="002B63F4" w:rsidP="002B63F4">
            <w:pPr>
              <w:rPr>
                <w:rFonts w:eastAsia="Times New Roman" w:cs="Arial"/>
                <w:color w:val="000000"/>
                <w:szCs w:val="22"/>
                <w:lang w:eastAsia="en-AU"/>
              </w:rPr>
            </w:pPr>
            <w:r w:rsidRPr="00EB38BF">
              <w:rPr>
                <w:rFonts w:eastAsia="Times New Roman" w:cs="Arial"/>
                <w:color w:val="000000"/>
                <w:szCs w:val="22"/>
                <w:lang w:eastAsia="en-AU"/>
              </w:rPr>
              <w:t>Townsville</w:t>
            </w:r>
          </w:p>
        </w:tc>
        <w:tc>
          <w:tcPr>
            <w:tcW w:w="747" w:type="pct"/>
            <w:vAlign w:val="center"/>
            <w:hideMark/>
          </w:tcPr>
          <w:p w14:paraId="39496507" w14:textId="3B5C495A"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5</w:t>
            </w:r>
          </w:p>
        </w:tc>
        <w:tc>
          <w:tcPr>
            <w:tcW w:w="949" w:type="pct"/>
            <w:vAlign w:val="center"/>
            <w:hideMark/>
          </w:tcPr>
          <w:p w14:paraId="4FB58746" w14:textId="084E53C3"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33,413,016.35</w:t>
            </w:r>
          </w:p>
        </w:tc>
        <w:tc>
          <w:tcPr>
            <w:tcW w:w="679" w:type="pct"/>
            <w:noWrap/>
            <w:vAlign w:val="center"/>
            <w:hideMark/>
          </w:tcPr>
          <w:p w14:paraId="02135815" w14:textId="5967627C"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6</w:t>
            </w:r>
          </w:p>
        </w:tc>
        <w:tc>
          <w:tcPr>
            <w:tcW w:w="949" w:type="pct"/>
            <w:vAlign w:val="center"/>
            <w:hideMark/>
          </w:tcPr>
          <w:p w14:paraId="3B26D454" w14:textId="3FF018EF"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35,744,281.64</w:t>
            </w:r>
          </w:p>
        </w:tc>
        <w:tc>
          <w:tcPr>
            <w:tcW w:w="865" w:type="pct"/>
            <w:vAlign w:val="center"/>
            <w:hideMark/>
          </w:tcPr>
          <w:p w14:paraId="5BAC64EC" w14:textId="78F97265"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6,450,130.83</w:t>
            </w:r>
          </w:p>
        </w:tc>
      </w:tr>
      <w:tr w:rsidR="0094580E" w:rsidRPr="002B63F4" w14:paraId="10C88BE1" w14:textId="77777777" w:rsidTr="000F6278">
        <w:trPr>
          <w:trHeight w:val="300"/>
        </w:trPr>
        <w:tc>
          <w:tcPr>
            <w:tcW w:w="811" w:type="pct"/>
            <w:vAlign w:val="center"/>
            <w:hideMark/>
          </w:tcPr>
          <w:p w14:paraId="7FD15A24" w14:textId="77777777" w:rsidR="002B63F4" w:rsidRPr="00EB38BF" w:rsidRDefault="002B63F4" w:rsidP="00EE0189">
            <w:pPr>
              <w:jc w:val="right"/>
              <w:rPr>
                <w:rFonts w:eastAsia="Times New Roman" w:cs="Arial"/>
                <w:color w:val="000000"/>
                <w:szCs w:val="22"/>
                <w:lang w:eastAsia="en-AU"/>
              </w:rPr>
            </w:pPr>
            <w:r w:rsidRPr="00EB38BF">
              <w:rPr>
                <w:rFonts w:eastAsia="Times New Roman" w:cs="Arial"/>
                <w:color w:val="000000"/>
                <w:szCs w:val="22"/>
                <w:lang w:eastAsia="en-AU"/>
              </w:rPr>
              <w:t>Total</w:t>
            </w:r>
          </w:p>
        </w:tc>
        <w:tc>
          <w:tcPr>
            <w:tcW w:w="747" w:type="pct"/>
            <w:vAlign w:val="center"/>
            <w:hideMark/>
          </w:tcPr>
          <w:p w14:paraId="1D7C0C32" w14:textId="5645BD5D"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32</w:t>
            </w:r>
            <w:r w:rsidR="008266B6" w:rsidRPr="00EB38BF">
              <w:rPr>
                <w:rFonts w:eastAsia="Times New Roman" w:cs="Arial"/>
                <w:color w:val="000000"/>
                <w:szCs w:val="22"/>
                <w:lang w:eastAsia="en-AU"/>
              </w:rPr>
              <w:t>4</w:t>
            </w:r>
          </w:p>
        </w:tc>
        <w:tc>
          <w:tcPr>
            <w:tcW w:w="949" w:type="pct"/>
            <w:vAlign w:val="center"/>
            <w:hideMark/>
          </w:tcPr>
          <w:p w14:paraId="3AEC8A0B" w14:textId="14A68A46"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516,</w:t>
            </w:r>
            <w:r w:rsidR="008266B6" w:rsidRPr="00EB38BF">
              <w:rPr>
                <w:rFonts w:eastAsia="Times New Roman" w:cs="Arial"/>
                <w:color w:val="000000"/>
                <w:szCs w:val="22"/>
                <w:lang w:eastAsia="en-AU"/>
              </w:rPr>
              <w:t>671,718.86</w:t>
            </w:r>
          </w:p>
        </w:tc>
        <w:tc>
          <w:tcPr>
            <w:tcW w:w="679" w:type="pct"/>
            <w:noWrap/>
            <w:vAlign w:val="center"/>
            <w:hideMark/>
          </w:tcPr>
          <w:p w14:paraId="1F78A476" w14:textId="4306C070"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214</w:t>
            </w:r>
          </w:p>
        </w:tc>
        <w:tc>
          <w:tcPr>
            <w:tcW w:w="949" w:type="pct"/>
            <w:vAlign w:val="center"/>
            <w:hideMark/>
          </w:tcPr>
          <w:p w14:paraId="7249FBE3" w14:textId="54136364"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956,966,293.88</w:t>
            </w:r>
          </w:p>
        </w:tc>
        <w:tc>
          <w:tcPr>
            <w:tcW w:w="865" w:type="pct"/>
            <w:vAlign w:val="center"/>
            <w:hideMark/>
          </w:tcPr>
          <w:p w14:paraId="1B511613" w14:textId="06D8C381" w:rsidR="002B63F4" w:rsidRPr="00EB38BF" w:rsidRDefault="002B63F4" w:rsidP="00DD5038">
            <w:pPr>
              <w:rPr>
                <w:rFonts w:eastAsia="Times New Roman" w:cs="Arial"/>
                <w:color w:val="000000"/>
                <w:szCs w:val="22"/>
                <w:lang w:eastAsia="en-AU"/>
              </w:rPr>
            </w:pPr>
            <w:r w:rsidRPr="00EB38BF">
              <w:rPr>
                <w:rFonts w:eastAsia="Times New Roman" w:cs="Arial"/>
                <w:color w:val="000000"/>
                <w:szCs w:val="22"/>
                <w:lang w:eastAsia="en-AU"/>
              </w:rPr>
              <w:t>81,873,482.13</w:t>
            </w:r>
          </w:p>
        </w:tc>
      </w:tr>
    </w:tbl>
    <w:p w14:paraId="5CAE04B2" w14:textId="0901C732" w:rsidR="00B754F9" w:rsidRPr="00022543" w:rsidRDefault="00B754F9" w:rsidP="00D850B1">
      <w:pPr>
        <w:pStyle w:val="Heading4"/>
        <w:spacing w:before="120"/>
        <w:rPr>
          <w:rFonts w:cs="Arial"/>
        </w:rPr>
      </w:pPr>
      <w:bookmarkStart w:id="136" w:name="_Adjudication_application_fees"/>
      <w:bookmarkEnd w:id="136"/>
      <w:r w:rsidRPr="00B754F9">
        <w:rPr>
          <w:rFonts w:cs="Arial"/>
        </w:rPr>
        <w:t>Adjudication application fees</w:t>
      </w:r>
      <w:r w:rsidR="0005107C">
        <w:rPr>
          <w:rFonts w:cs="Arial"/>
        </w:rPr>
        <w:t xml:space="preserve"> </w:t>
      </w:r>
    </w:p>
    <w:p w14:paraId="4C45DF28" w14:textId="273EFA73" w:rsidR="00F51882" w:rsidRPr="00022543" w:rsidRDefault="00CC4BF5" w:rsidP="00022543">
      <w:pPr>
        <w:spacing w:before="120" w:after="120"/>
      </w:pPr>
      <w:r>
        <w:t>A</w:t>
      </w:r>
      <w:r w:rsidR="009011AF">
        <w:t>pplication</w:t>
      </w:r>
      <w:r w:rsidR="000860D4">
        <w:t xml:space="preserve"> fees </w:t>
      </w:r>
      <w:r w:rsidR="002410C4">
        <w:t>are</w:t>
      </w:r>
      <w:r w:rsidR="000860D4">
        <w:t xml:space="preserve"> </w:t>
      </w:r>
      <w:r w:rsidR="00EB4766">
        <w:t>pa</w:t>
      </w:r>
      <w:r w:rsidR="00AD7C03">
        <w:t>yable</w:t>
      </w:r>
      <w:r w:rsidR="00EC2899">
        <w:t xml:space="preserve"> by the claimant</w:t>
      </w:r>
      <w:r w:rsidR="00AD7C03">
        <w:t xml:space="preserve"> at the time of</w:t>
      </w:r>
      <w:r w:rsidR="00EB4766">
        <w:t xml:space="preserve"> lodgement and </w:t>
      </w:r>
      <w:r w:rsidR="00F35F9F">
        <w:t xml:space="preserve">vary </w:t>
      </w:r>
      <w:r w:rsidR="004523B1">
        <w:t>according to</w:t>
      </w:r>
      <w:r w:rsidR="00F35F9F">
        <w:t xml:space="preserve"> the </w:t>
      </w:r>
      <w:r w:rsidR="00AD7C03">
        <w:t>value of the</w:t>
      </w:r>
      <w:r w:rsidR="00806708">
        <w:t xml:space="preserve"> </w:t>
      </w:r>
      <w:r w:rsidR="00AD7C03">
        <w:t>claim</w:t>
      </w:r>
      <w:r w:rsidR="00806708">
        <w:t>.</w:t>
      </w:r>
      <w:r w:rsidR="001F108A">
        <w:t xml:space="preserve"> </w:t>
      </w:r>
      <w:r w:rsidR="00313424">
        <w:t>Table 25</w:t>
      </w:r>
      <w:r w:rsidR="00032A8E">
        <w:fldChar w:fldCharType="begin"/>
      </w:r>
      <w:r w:rsidR="00032A8E">
        <w:instrText xml:space="preserve"> REF _Ref201911594 \h  \* MERGEFORMAT </w:instrText>
      </w:r>
      <w:r w:rsidR="00032A8E">
        <w:fldChar w:fldCharType="separate"/>
      </w:r>
      <w:r w:rsidR="00032A8E">
        <w:fldChar w:fldCharType="end"/>
      </w:r>
      <w:r w:rsidR="00AA1975" w:rsidRPr="00C22EC5">
        <w:t xml:space="preserve"> </w:t>
      </w:r>
      <w:r w:rsidR="007E0DB2">
        <w:t>provides an overview</w:t>
      </w:r>
      <w:r w:rsidR="00AA1975" w:rsidRPr="00C22EC5" w:rsidDel="007E0DB2">
        <w:t xml:space="preserve"> </w:t>
      </w:r>
      <w:r w:rsidR="007E0DB2">
        <w:t xml:space="preserve">of </w:t>
      </w:r>
      <w:r w:rsidR="00AA1975" w:rsidRPr="00C22EC5">
        <w:t>the</w:t>
      </w:r>
      <w:r w:rsidR="00A63866">
        <w:t xml:space="preserve"> received</w:t>
      </w:r>
      <w:r w:rsidR="00AA1975" w:rsidRPr="00C22EC5">
        <w:t xml:space="preserve"> adjudication application fees</w:t>
      </w:r>
      <w:r w:rsidR="006015CF">
        <w:t xml:space="preserve"> over the financial year</w:t>
      </w:r>
      <w:r w:rsidR="00AA1975" w:rsidRPr="00C22EC5">
        <w:t>. </w:t>
      </w:r>
    </w:p>
    <w:p w14:paraId="794B98DA" w14:textId="1CB3DB49" w:rsidR="00B754F9" w:rsidRPr="00032A8E" w:rsidRDefault="00032A8E" w:rsidP="005E6C4C">
      <w:pPr>
        <w:pStyle w:val="Caption"/>
        <w:keepNext/>
        <w:spacing w:before="120" w:after="120"/>
      </w:pPr>
      <w:bookmarkStart w:id="137" w:name="_Ref201911594"/>
      <w:bookmarkStart w:id="138" w:name="_Toc177031289"/>
      <w:bookmarkStart w:id="139" w:name="_Toc202872055"/>
      <w:bookmarkStart w:id="140" w:name="_Toc202872675"/>
      <w:r>
        <w:t>Table</w:t>
      </w:r>
      <w:r w:rsidR="00311DBB">
        <w:t xml:space="preserve"> 25</w:t>
      </w:r>
      <w:bookmarkEnd w:id="137"/>
      <w:r w:rsidRPr="00787D66">
        <w:t xml:space="preserve">: </w:t>
      </w:r>
      <w:bookmarkStart w:id="141" w:name="_Ref202873589"/>
      <w:r w:rsidRPr="00787D66">
        <w:t xml:space="preserve">Number of valid adjudication applications and corresponding </w:t>
      </w:r>
      <w:r w:rsidR="00864CA2">
        <w:t xml:space="preserve">application </w:t>
      </w:r>
      <w:r w:rsidRPr="00787D66">
        <w:t>fees received in 2024–25</w:t>
      </w:r>
      <w:bookmarkEnd w:id="138"/>
      <w:bookmarkEnd w:id="139"/>
      <w:bookmarkEnd w:id="140"/>
      <w:bookmarkEnd w:id="14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1827"/>
        <w:gridCol w:w="2613"/>
        <w:gridCol w:w="2613"/>
      </w:tblGrid>
      <w:tr w:rsidR="00F51882" w:rsidRPr="00B754F9" w14:paraId="43A97839" w14:textId="77777777" w:rsidTr="00F4193A">
        <w:trPr>
          <w:trHeight w:val="476"/>
        </w:trPr>
        <w:tc>
          <w:tcPr>
            <w:tcW w:w="1625" w:type="pct"/>
            <w:shd w:val="clear" w:color="auto" w:fill="A6A6A6" w:themeFill="background1" w:themeFillShade="A6"/>
            <w:noWrap/>
            <w:vAlign w:val="center"/>
          </w:tcPr>
          <w:p w14:paraId="676E641B" w14:textId="78AE0F85" w:rsidR="005C390E" w:rsidRPr="008C6187" w:rsidRDefault="005C390E" w:rsidP="00BC683E">
            <w:pPr>
              <w:rPr>
                <w:rFonts w:cs="Arial"/>
                <w:b/>
                <w:szCs w:val="22"/>
              </w:rPr>
            </w:pPr>
            <w:r w:rsidRPr="008C6187">
              <w:rPr>
                <w:rFonts w:cs="Arial"/>
                <w:b/>
                <w:szCs w:val="22"/>
              </w:rPr>
              <w:t>Claim value</w:t>
            </w:r>
            <w:r w:rsidR="00313424">
              <w:rPr>
                <w:rFonts w:cs="Arial"/>
                <w:b/>
                <w:szCs w:val="22"/>
              </w:rPr>
              <w:t xml:space="preserve"> ($)</w:t>
            </w:r>
          </w:p>
        </w:tc>
        <w:tc>
          <w:tcPr>
            <w:tcW w:w="874" w:type="pct"/>
            <w:shd w:val="clear" w:color="auto" w:fill="A6A6A6" w:themeFill="background1" w:themeFillShade="A6"/>
            <w:vAlign w:val="center"/>
          </w:tcPr>
          <w:p w14:paraId="11035BF8" w14:textId="3FA0568F" w:rsidR="005C390E" w:rsidRPr="008C6187" w:rsidDel="00C874C2" w:rsidRDefault="005C390E" w:rsidP="00BC683E">
            <w:pPr>
              <w:rPr>
                <w:rFonts w:cs="Arial"/>
                <w:b/>
                <w:szCs w:val="22"/>
              </w:rPr>
            </w:pPr>
            <w:r w:rsidRPr="008C6187">
              <w:rPr>
                <w:rFonts w:cs="Arial"/>
                <w:b/>
                <w:szCs w:val="22"/>
              </w:rPr>
              <w:t>Applications</w:t>
            </w:r>
          </w:p>
        </w:tc>
        <w:tc>
          <w:tcPr>
            <w:tcW w:w="1250" w:type="pct"/>
            <w:shd w:val="clear" w:color="auto" w:fill="A6A6A6" w:themeFill="background1" w:themeFillShade="A6"/>
            <w:vAlign w:val="center"/>
          </w:tcPr>
          <w:p w14:paraId="48EBEBBF" w14:textId="6DE7DAE1" w:rsidR="005C390E" w:rsidRPr="008C6187" w:rsidRDefault="005C390E" w:rsidP="00BC683E">
            <w:pPr>
              <w:rPr>
                <w:rFonts w:cs="Arial"/>
                <w:b/>
                <w:szCs w:val="22"/>
              </w:rPr>
            </w:pPr>
            <w:r w:rsidRPr="008C6187">
              <w:rPr>
                <w:rFonts w:cs="Arial"/>
                <w:b/>
                <w:szCs w:val="22"/>
              </w:rPr>
              <w:t>Average claimed amount</w:t>
            </w:r>
            <w:r w:rsidR="00313424">
              <w:rPr>
                <w:rFonts w:cs="Arial"/>
                <w:b/>
                <w:szCs w:val="22"/>
              </w:rPr>
              <w:t xml:space="preserve"> ($)</w:t>
            </w:r>
          </w:p>
        </w:tc>
        <w:tc>
          <w:tcPr>
            <w:tcW w:w="1250" w:type="pct"/>
            <w:shd w:val="clear" w:color="auto" w:fill="A6A6A6" w:themeFill="background1" w:themeFillShade="A6"/>
            <w:vAlign w:val="center"/>
          </w:tcPr>
          <w:p w14:paraId="62A088B5" w14:textId="08771C96" w:rsidR="005C390E" w:rsidRPr="008C6187" w:rsidRDefault="00F4193A" w:rsidP="009301CB">
            <w:pPr>
              <w:rPr>
                <w:rFonts w:cs="Arial"/>
                <w:b/>
                <w:szCs w:val="22"/>
              </w:rPr>
            </w:pPr>
            <w:r w:rsidRPr="008C6187">
              <w:rPr>
                <w:rFonts w:cs="Arial"/>
                <w:b/>
                <w:szCs w:val="22"/>
              </w:rPr>
              <w:t>Average</w:t>
            </w:r>
            <w:r>
              <w:rPr>
                <w:rFonts w:cs="Arial"/>
                <w:b/>
                <w:szCs w:val="22"/>
              </w:rPr>
              <w:t xml:space="preserve"> application fees</w:t>
            </w:r>
            <w:r w:rsidR="00313424">
              <w:rPr>
                <w:rFonts w:cs="Arial"/>
                <w:b/>
                <w:szCs w:val="22"/>
              </w:rPr>
              <w:t xml:space="preserve"> ($)</w:t>
            </w:r>
          </w:p>
        </w:tc>
      </w:tr>
      <w:tr w:rsidR="00E204E0" w:rsidRPr="00B754F9" w14:paraId="04E7D628" w14:textId="77777777" w:rsidTr="00A25839">
        <w:trPr>
          <w:trHeight w:val="300"/>
        </w:trPr>
        <w:tc>
          <w:tcPr>
            <w:tcW w:w="1625" w:type="pct"/>
            <w:noWrap/>
            <w:vAlign w:val="center"/>
            <w:hideMark/>
          </w:tcPr>
          <w:p w14:paraId="6F3C5323" w14:textId="53942D85" w:rsidR="00446D48" w:rsidRPr="008C6187" w:rsidRDefault="00446D48" w:rsidP="00446D48">
            <w:pPr>
              <w:spacing w:before="120"/>
              <w:rPr>
                <w:rFonts w:cs="Arial"/>
                <w:szCs w:val="22"/>
              </w:rPr>
            </w:pPr>
            <w:r w:rsidRPr="008C6187">
              <w:rPr>
                <w:rFonts w:cs="Arial"/>
                <w:color w:val="000000"/>
                <w:szCs w:val="22"/>
              </w:rPr>
              <w:t>0</w:t>
            </w:r>
            <w:r w:rsidR="00592CE5">
              <w:rPr>
                <w:rFonts w:cs="Arial"/>
                <w:color w:val="000000"/>
                <w:szCs w:val="22"/>
              </w:rPr>
              <w:t>–</w:t>
            </w:r>
            <w:r w:rsidRPr="008C6187">
              <w:rPr>
                <w:rFonts w:cs="Arial"/>
                <w:color w:val="000000"/>
                <w:szCs w:val="22"/>
              </w:rPr>
              <w:t>10,972.65</w:t>
            </w:r>
          </w:p>
        </w:tc>
        <w:tc>
          <w:tcPr>
            <w:tcW w:w="874" w:type="pct"/>
            <w:noWrap/>
            <w:vAlign w:val="center"/>
            <w:hideMark/>
          </w:tcPr>
          <w:p w14:paraId="784E5189" w14:textId="1A74F850" w:rsidR="00446D48" w:rsidRPr="009301CB" w:rsidRDefault="00A628DB" w:rsidP="00226775">
            <w:pPr>
              <w:spacing w:before="120"/>
              <w:rPr>
                <w:rFonts w:cs="Arial"/>
                <w:szCs w:val="22"/>
              </w:rPr>
            </w:pPr>
            <w:r w:rsidRPr="00EA4EB6">
              <w:t>59</w:t>
            </w:r>
          </w:p>
        </w:tc>
        <w:tc>
          <w:tcPr>
            <w:tcW w:w="1250" w:type="pct"/>
            <w:vAlign w:val="center"/>
          </w:tcPr>
          <w:p w14:paraId="6F9ADD4B" w14:textId="76A323DA" w:rsidR="00446D48" w:rsidRPr="009301CB" w:rsidRDefault="00A628DB" w:rsidP="00226775">
            <w:pPr>
              <w:spacing w:before="120"/>
              <w:rPr>
                <w:rFonts w:cs="Arial"/>
                <w:szCs w:val="22"/>
              </w:rPr>
            </w:pPr>
            <w:r w:rsidRPr="00EA4EB6">
              <w:t>5,346.02</w:t>
            </w:r>
          </w:p>
        </w:tc>
        <w:tc>
          <w:tcPr>
            <w:tcW w:w="1250" w:type="pct"/>
            <w:vAlign w:val="center"/>
          </w:tcPr>
          <w:p w14:paraId="6139E3DF" w14:textId="6BA3488C" w:rsidR="00446D48" w:rsidRPr="009301CB" w:rsidRDefault="00F4193A" w:rsidP="00226775">
            <w:pPr>
              <w:spacing w:before="120"/>
              <w:rPr>
                <w:rFonts w:cs="Arial"/>
                <w:szCs w:val="22"/>
              </w:rPr>
            </w:pPr>
            <w:r w:rsidRPr="00EA4EB6">
              <w:t>64.34</w:t>
            </w:r>
          </w:p>
        </w:tc>
      </w:tr>
      <w:tr w:rsidR="00E204E0" w:rsidRPr="00B754F9" w14:paraId="00CAF6C1" w14:textId="77777777" w:rsidTr="00A25839">
        <w:trPr>
          <w:trHeight w:val="300"/>
        </w:trPr>
        <w:tc>
          <w:tcPr>
            <w:tcW w:w="1625" w:type="pct"/>
            <w:noWrap/>
            <w:vAlign w:val="center"/>
            <w:hideMark/>
          </w:tcPr>
          <w:p w14:paraId="4D0F5E79" w14:textId="43FD287F" w:rsidR="00446D48" w:rsidRPr="008C6187" w:rsidRDefault="00446D48" w:rsidP="00446D48">
            <w:pPr>
              <w:spacing w:before="120"/>
              <w:rPr>
                <w:rFonts w:cs="Arial"/>
                <w:szCs w:val="22"/>
              </w:rPr>
            </w:pPr>
            <w:r w:rsidRPr="008C6187">
              <w:rPr>
                <w:rFonts w:cs="Arial"/>
                <w:color w:val="000000"/>
                <w:szCs w:val="22"/>
              </w:rPr>
              <w:t>10,972.65</w:t>
            </w:r>
            <w:r w:rsidR="006747B5">
              <w:rPr>
                <w:rFonts w:cs="Arial"/>
                <w:color w:val="000000"/>
                <w:szCs w:val="22"/>
              </w:rPr>
              <w:t>–</w:t>
            </w:r>
            <w:r w:rsidRPr="008C6187">
              <w:rPr>
                <w:rFonts w:cs="Arial"/>
                <w:color w:val="000000"/>
                <w:szCs w:val="22"/>
              </w:rPr>
              <w:t>54,863.45</w:t>
            </w:r>
          </w:p>
        </w:tc>
        <w:tc>
          <w:tcPr>
            <w:tcW w:w="874" w:type="pct"/>
            <w:noWrap/>
            <w:vAlign w:val="center"/>
            <w:hideMark/>
          </w:tcPr>
          <w:p w14:paraId="61A82CA9" w14:textId="59F36D80" w:rsidR="00446D48" w:rsidRPr="009301CB" w:rsidRDefault="00A628DB" w:rsidP="00226775">
            <w:pPr>
              <w:spacing w:before="120"/>
              <w:rPr>
                <w:rFonts w:cs="Arial"/>
                <w:szCs w:val="22"/>
              </w:rPr>
            </w:pPr>
            <w:r w:rsidRPr="00EA4EB6">
              <w:t>11</w:t>
            </w:r>
            <w:r w:rsidR="00EA4EB6" w:rsidRPr="009301CB">
              <w:t>2</w:t>
            </w:r>
          </w:p>
        </w:tc>
        <w:tc>
          <w:tcPr>
            <w:tcW w:w="1250" w:type="pct"/>
            <w:vAlign w:val="center"/>
          </w:tcPr>
          <w:p w14:paraId="0BC62E08" w14:textId="6207755D" w:rsidR="00446D48" w:rsidRPr="009301CB" w:rsidRDefault="00A628DB" w:rsidP="00226775">
            <w:pPr>
              <w:spacing w:before="120"/>
              <w:rPr>
                <w:rFonts w:cs="Arial"/>
                <w:szCs w:val="22"/>
              </w:rPr>
            </w:pPr>
            <w:r w:rsidRPr="00EA4EB6">
              <w:t>28,</w:t>
            </w:r>
            <w:r w:rsidR="00EA4EB6" w:rsidRPr="009301CB">
              <w:t>841.78</w:t>
            </w:r>
          </w:p>
        </w:tc>
        <w:tc>
          <w:tcPr>
            <w:tcW w:w="1250" w:type="pct"/>
            <w:vAlign w:val="center"/>
          </w:tcPr>
          <w:p w14:paraId="623AB1FC" w14:textId="532E59D5" w:rsidR="00446D48" w:rsidRPr="009301CB" w:rsidRDefault="00F4193A" w:rsidP="00226775">
            <w:pPr>
              <w:spacing w:before="120"/>
              <w:rPr>
                <w:rFonts w:cs="Arial"/>
                <w:szCs w:val="22"/>
              </w:rPr>
            </w:pPr>
            <w:r w:rsidRPr="00EA4EB6">
              <w:t>193.08</w:t>
            </w:r>
          </w:p>
        </w:tc>
      </w:tr>
      <w:tr w:rsidR="00E204E0" w:rsidRPr="00B754F9" w14:paraId="5941E3DF" w14:textId="77777777" w:rsidTr="00A25839">
        <w:trPr>
          <w:trHeight w:val="300"/>
        </w:trPr>
        <w:tc>
          <w:tcPr>
            <w:tcW w:w="1625" w:type="pct"/>
            <w:noWrap/>
            <w:vAlign w:val="center"/>
            <w:hideMark/>
          </w:tcPr>
          <w:p w14:paraId="0568F44D" w14:textId="117B3C4E" w:rsidR="00446D48" w:rsidRPr="008C6187" w:rsidRDefault="00446D48" w:rsidP="00446D48">
            <w:pPr>
              <w:spacing w:before="120"/>
              <w:rPr>
                <w:rFonts w:cs="Arial"/>
                <w:szCs w:val="22"/>
              </w:rPr>
            </w:pPr>
            <w:r w:rsidRPr="008C6187">
              <w:rPr>
                <w:rFonts w:cs="Arial"/>
                <w:color w:val="000000"/>
                <w:szCs w:val="22"/>
              </w:rPr>
              <w:t>54,863.45</w:t>
            </w:r>
            <w:r w:rsidR="006747B5">
              <w:rPr>
                <w:rFonts w:cs="Arial"/>
                <w:color w:val="000000"/>
                <w:szCs w:val="22"/>
              </w:rPr>
              <w:t>–</w:t>
            </w:r>
            <w:r w:rsidRPr="008C6187">
              <w:rPr>
                <w:rFonts w:cs="Arial"/>
                <w:color w:val="000000"/>
                <w:szCs w:val="22"/>
              </w:rPr>
              <w:t>109,726.90</w:t>
            </w:r>
          </w:p>
        </w:tc>
        <w:tc>
          <w:tcPr>
            <w:tcW w:w="874" w:type="pct"/>
            <w:noWrap/>
            <w:vAlign w:val="center"/>
            <w:hideMark/>
          </w:tcPr>
          <w:p w14:paraId="2670EB91" w14:textId="3DA96AC3" w:rsidR="00446D48" w:rsidRPr="009301CB" w:rsidRDefault="00A628DB" w:rsidP="00226775">
            <w:pPr>
              <w:spacing w:before="120"/>
              <w:rPr>
                <w:rFonts w:cs="Arial"/>
                <w:szCs w:val="22"/>
              </w:rPr>
            </w:pPr>
            <w:r w:rsidRPr="00EA4EB6">
              <w:t>38</w:t>
            </w:r>
          </w:p>
        </w:tc>
        <w:tc>
          <w:tcPr>
            <w:tcW w:w="1250" w:type="pct"/>
            <w:vAlign w:val="center"/>
          </w:tcPr>
          <w:p w14:paraId="5509E47C" w14:textId="3FC549E3" w:rsidR="00446D48" w:rsidRPr="009301CB" w:rsidRDefault="00A628DB" w:rsidP="00226775">
            <w:pPr>
              <w:spacing w:before="120"/>
              <w:rPr>
                <w:rFonts w:cs="Arial"/>
                <w:szCs w:val="22"/>
              </w:rPr>
            </w:pPr>
            <w:r w:rsidRPr="00EA4EB6">
              <w:t>78,695.82</w:t>
            </w:r>
          </w:p>
        </w:tc>
        <w:tc>
          <w:tcPr>
            <w:tcW w:w="1250" w:type="pct"/>
            <w:vAlign w:val="center"/>
          </w:tcPr>
          <w:p w14:paraId="51DE53CE" w14:textId="0EB0633B" w:rsidR="00446D48" w:rsidRPr="009301CB" w:rsidRDefault="00F4193A" w:rsidP="00226775">
            <w:pPr>
              <w:spacing w:before="120"/>
              <w:rPr>
                <w:rFonts w:cs="Arial"/>
                <w:szCs w:val="22"/>
              </w:rPr>
            </w:pPr>
            <w:r w:rsidRPr="00EA4EB6">
              <w:t>321.82</w:t>
            </w:r>
          </w:p>
        </w:tc>
      </w:tr>
      <w:tr w:rsidR="00E204E0" w:rsidRPr="00B754F9" w14:paraId="666978F0" w14:textId="77777777" w:rsidTr="00A25839">
        <w:trPr>
          <w:trHeight w:val="300"/>
        </w:trPr>
        <w:tc>
          <w:tcPr>
            <w:tcW w:w="1625" w:type="pct"/>
            <w:noWrap/>
            <w:vAlign w:val="center"/>
            <w:hideMark/>
          </w:tcPr>
          <w:p w14:paraId="4FCFBA47" w14:textId="468EB13A" w:rsidR="00446D48" w:rsidRPr="008C6187" w:rsidRDefault="00446D48" w:rsidP="00446D48">
            <w:pPr>
              <w:spacing w:before="120"/>
              <w:rPr>
                <w:rFonts w:cs="Arial"/>
                <w:szCs w:val="22"/>
              </w:rPr>
            </w:pPr>
            <w:r w:rsidRPr="008C6187">
              <w:rPr>
                <w:rFonts w:cs="Arial"/>
                <w:color w:val="000000"/>
                <w:szCs w:val="22"/>
              </w:rPr>
              <w:t>109,726.90</w:t>
            </w:r>
            <w:r w:rsidR="006747B5">
              <w:rPr>
                <w:rFonts w:cs="Arial"/>
                <w:color w:val="000000"/>
                <w:szCs w:val="22"/>
              </w:rPr>
              <w:t>–</w:t>
            </w:r>
            <w:r w:rsidRPr="008C6187">
              <w:rPr>
                <w:rFonts w:cs="Arial"/>
                <w:color w:val="000000"/>
                <w:szCs w:val="22"/>
              </w:rPr>
              <w:t>274,317.25</w:t>
            </w:r>
          </w:p>
        </w:tc>
        <w:tc>
          <w:tcPr>
            <w:tcW w:w="874" w:type="pct"/>
            <w:noWrap/>
            <w:vAlign w:val="center"/>
            <w:hideMark/>
          </w:tcPr>
          <w:p w14:paraId="6F2A0E95" w14:textId="6F1D94E6" w:rsidR="00446D48" w:rsidRPr="009301CB" w:rsidRDefault="00A628DB" w:rsidP="00226775">
            <w:pPr>
              <w:spacing w:before="120"/>
              <w:rPr>
                <w:rFonts w:cs="Arial"/>
                <w:szCs w:val="22"/>
              </w:rPr>
            </w:pPr>
            <w:r w:rsidRPr="00EA4EB6">
              <w:t>42</w:t>
            </w:r>
          </w:p>
        </w:tc>
        <w:tc>
          <w:tcPr>
            <w:tcW w:w="1250" w:type="pct"/>
            <w:vAlign w:val="center"/>
          </w:tcPr>
          <w:p w14:paraId="3B7E4D56" w14:textId="6B31CBEB" w:rsidR="00446D48" w:rsidRPr="009301CB" w:rsidRDefault="00A628DB" w:rsidP="00226775">
            <w:pPr>
              <w:spacing w:before="120"/>
              <w:rPr>
                <w:rFonts w:cs="Arial"/>
                <w:szCs w:val="22"/>
              </w:rPr>
            </w:pPr>
            <w:r w:rsidRPr="00EA4EB6">
              <w:t>185,683.11</w:t>
            </w:r>
          </w:p>
        </w:tc>
        <w:tc>
          <w:tcPr>
            <w:tcW w:w="1250" w:type="pct"/>
            <w:vAlign w:val="center"/>
          </w:tcPr>
          <w:p w14:paraId="2A8FB6ED" w14:textId="7068EC02" w:rsidR="00446D48" w:rsidRPr="009301CB" w:rsidRDefault="00F4193A" w:rsidP="00226775">
            <w:pPr>
              <w:spacing w:before="120"/>
              <w:rPr>
                <w:rFonts w:cs="Arial"/>
                <w:szCs w:val="22"/>
              </w:rPr>
            </w:pPr>
            <w:r w:rsidRPr="00EA4EB6">
              <w:t>450.71</w:t>
            </w:r>
          </w:p>
        </w:tc>
      </w:tr>
      <w:tr w:rsidR="00E204E0" w:rsidRPr="00B754F9" w14:paraId="4C916CB5" w14:textId="77777777" w:rsidTr="00A25839">
        <w:trPr>
          <w:trHeight w:val="300"/>
        </w:trPr>
        <w:tc>
          <w:tcPr>
            <w:tcW w:w="1625" w:type="pct"/>
            <w:noWrap/>
            <w:vAlign w:val="center"/>
            <w:hideMark/>
          </w:tcPr>
          <w:p w14:paraId="77517D08" w14:textId="30331A87" w:rsidR="00446D48" w:rsidRPr="008C6187" w:rsidRDefault="00446D48" w:rsidP="00446D48">
            <w:pPr>
              <w:spacing w:before="120"/>
              <w:rPr>
                <w:rFonts w:cs="Arial"/>
                <w:szCs w:val="22"/>
              </w:rPr>
            </w:pPr>
            <w:r w:rsidRPr="008C6187">
              <w:rPr>
                <w:rFonts w:cs="Arial"/>
                <w:color w:val="000000"/>
                <w:szCs w:val="22"/>
              </w:rPr>
              <w:t>274,317.25</w:t>
            </w:r>
            <w:r w:rsidR="006747B5">
              <w:rPr>
                <w:rFonts w:cs="Arial"/>
                <w:color w:val="000000"/>
                <w:szCs w:val="22"/>
              </w:rPr>
              <w:t>–</w:t>
            </w:r>
            <w:r w:rsidRPr="008C6187">
              <w:rPr>
                <w:rFonts w:cs="Arial"/>
                <w:color w:val="000000"/>
                <w:szCs w:val="22"/>
              </w:rPr>
              <w:t>548,634.50</w:t>
            </w:r>
          </w:p>
        </w:tc>
        <w:tc>
          <w:tcPr>
            <w:tcW w:w="874" w:type="pct"/>
            <w:noWrap/>
            <w:vAlign w:val="center"/>
            <w:hideMark/>
          </w:tcPr>
          <w:p w14:paraId="0C3680B0" w14:textId="089FB374" w:rsidR="00446D48" w:rsidRPr="009301CB" w:rsidRDefault="00A628DB" w:rsidP="00226775">
            <w:pPr>
              <w:spacing w:before="120"/>
              <w:rPr>
                <w:rFonts w:cs="Arial"/>
                <w:szCs w:val="22"/>
              </w:rPr>
            </w:pPr>
            <w:r w:rsidRPr="00EA4EB6">
              <w:t>19</w:t>
            </w:r>
          </w:p>
        </w:tc>
        <w:tc>
          <w:tcPr>
            <w:tcW w:w="1250" w:type="pct"/>
            <w:vAlign w:val="center"/>
          </w:tcPr>
          <w:p w14:paraId="21F39F41" w14:textId="338D6B89" w:rsidR="00446D48" w:rsidRPr="009301CB" w:rsidRDefault="00A628DB" w:rsidP="00226775">
            <w:pPr>
              <w:spacing w:before="120"/>
              <w:rPr>
                <w:rFonts w:cs="Arial"/>
                <w:szCs w:val="22"/>
              </w:rPr>
            </w:pPr>
            <w:r w:rsidRPr="00EA4EB6">
              <w:t>373,535.70</w:t>
            </w:r>
          </w:p>
        </w:tc>
        <w:tc>
          <w:tcPr>
            <w:tcW w:w="1250" w:type="pct"/>
            <w:vAlign w:val="center"/>
          </w:tcPr>
          <w:p w14:paraId="6F73E7D3" w14:textId="53632CFA" w:rsidR="00446D48" w:rsidRPr="009301CB" w:rsidRDefault="00F4193A" w:rsidP="00226775">
            <w:pPr>
              <w:spacing w:before="120"/>
              <w:rPr>
                <w:rFonts w:cs="Arial"/>
                <w:szCs w:val="22"/>
              </w:rPr>
            </w:pPr>
            <w:r w:rsidRPr="00EA4EB6">
              <w:t>579.40</w:t>
            </w:r>
          </w:p>
        </w:tc>
      </w:tr>
      <w:tr w:rsidR="00E204E0" w:rsidRPr="00B754F9" w14:paraId="5187F4CB" w14:textId="77777777" w:rsidTr="00A25839">
        <w:trPr>
          <w:trHeight w:val="300"/>
        </w:trPr>
        <w:tc>
          <w:tcPr>
            <w:tcW w:w="1625" w:type="pct"/>
            <w:noWrap/>
            <w:vAlign w:val="center"/>
            <w:hideMark/>
          </w:tcPr>
          <w:p w14:paraId="02043AB1" w14:textId="79C91400" w:rsidR="00446D48" w:rsidRPr="008C6187" w:rsidRDefault="00446D48" w:rsidP="00446D48">
            <w:pPr>
              <w:spacing w:before="120"/>
              <w:rPr>
                <w:rFonts w:cs="Arial"/>
                <w:szCs w:val="22"/>
              </w:rPr>
            </w:pPr>
            <w:r w:rsidRPr="008C6187">
              <w:rPr>
                <w:rFonts w:cs="Arial"/>
                <w:color w:val="000000"/>
                <w:szCs w:val="22"/>
              </w:rPr>
              <w:t>548,634.50</w:t>
            </w:r>
            <w:r w:rsidR="006747B5">
              <w:rPr>
                <w:rFonts w:cs="Arial"/>
                <w:color w:val="000000"/>
                <w:szCs w:val="22"/>
              </w:rPr>
              <w:t>–</w:t>
            </w:r>
            <w:r w:rsidRPr="008C6187">
              <w:rPr>
                <w:rFonts w:cs="Arial"/>
                <w:color w:val="000000"/>
                <w:szCs w:val="22"/>
              </w:rPr>
              <w:t>822,951.80</w:t>
            </w:r>
          </w:p>
        </w:tc>
        <w:tc>
          <w:tcPr>
            <w:tcW w:w="874" w:type="pct"/>
            <w:noWrap/>
            <w:vAlign w:val="center"/>
            <w:hideMark/>
          </w:tcPr>
          <w:p w14:paraId="774C5118" w14:textId="29E8F0FB" w:rsidR="00446D48" w:rsidRPr="009301CB" w:rsidRDefault="00A628DB" w:rsidP="00226775">
            <w:pPr>
              <w:spacing w:before="120"/>
              <w:rPr>
                <w:rFonts w:cs="Arial"/>
                <w:szCs w:val="22"/>
              </w:rPr>
            </w:pPr>
            <w:r w:rsidRPr="00EA4EB6">
              <w:t>3</w:t>
            </w:r>
          </w:p>
        </w:tc>
        <w:tc>
          <w:tcPr>
            <w:tcW w:w="1250" w:type="pct"/>
            <w:vAlign w:val="center"/>
          </w:tcPr>
          <w:p w14:paraId="45CFF9C9" w14:textId="32114986" w:rsidR="00446D48" w:rsidRPr="009301CB" w:rsidRDefault="00A628DB" w:rsidP="00226775">
            <w:pPr>
              <w:spacing w:before="120"/>
              <w:rPr>
                <w:rFonts w:cs="Arial"/>
                <w:szCs w:val="22"/>
              </w:rPr>
            </w:pPr>
            <w:r w:rsidRPr="00EA4EB6">
              <w:t>606,010.35</w:t>
            </w:r>
          </w:p>
        </w:tc>
        <w:tc>
          <w:tcPr>
            <w:tcW w:w="1250" w:type="pct"/>
            <w:vAlign w:val="center"/>
          </w:tcPr>
          <w:p w14:paraId="7C7FE52D" w14:textId="5C3E6787" w:rsidR="00446D48" w:rsidRPr="009301CB" w:rsidRDefault="00F4193A" w:rsidP="00226775">
            <w:pPr>
              <w:spacing w:before="120"/>
              <w:rPr>
                <w:rFonts w:cs="Arial"/>
                <w:szCs w:val="22"/>
              </w:rPr>
            </w:pPr>
            <w:r w:rsidRPr="00EA4EB6">
              <w:t>708.13</w:t>
            </w:r>
          </w:p>
        </w:tc>
      </w:tr>
      <w:tr w:rsidR="00E204E0" w:rsidRPr="00B754F9" w14:paraId="550FCABC" w14:textId="77777777" w:rsidTr="00A25839">
        <w:trPr>
          <w:trHeight w:val="300"/>
        </w:trPr>
        <w:tc>
          <w:tcPr>
            <w:tcW w:w="1625" w:type="pct"/>
            <w:noWrap/>
            <w:vAlign w:val="center"/>
            <w:hideMark/>
          </w:tcPr>
          <w:p w14:paraId="67C6FCEA" w14:textId="3B5F42CB" w:rsidR="00446D48" w:rsidRPr="008C6187" w:rsidRDefault="00446D48" w:rsidP="00446D48">
            <w:pPr>
              <w:spacing w:before="120"/>
              <w:rPr>
                <w:rFonts w:cs="Arial"/>
                <w:szCs w:val="22"/>
              </w:rPr>
            </w:pPr>
            <w:r w:rsidRPr="008C6187">
              <w:rPr>
                <w:rFonts w:cs="Arial"/>
                <w:color w:val="000000"/>
                <w:szCs w:val="22"/>
              </w:rPr>
              <w:t>822,951.80</w:t>
            </w:r>
            <w:r w:rsidR="006747B5">
              <w:rPr>
                <w:rFonts w:cs="Arial"/>
                <w:color w:val="000000"/>
                <w:szCs w:val="22"/>
              </w:rPr>
              <w:t>–</w:t>
            </w:r>
            <w:r w:rsidRPr="008C6187">
              <w:rPr>
                <w:rFonts w:cs="Arial"/>
                <w:color w:val="000000"/>
                <w:szCs w:val="22"/>
              </w:rPr>
              <w:t>1,195,558.00</w:t>
            </w:r>
          </w:p>
        </w:tc>
        <w:tc>
          <w:tcPr>
            <w:tcW w:w="874" w:type="pct"/>
            <w:noWrap/>
            <w:vAlign w:val="center"/>
            <w:hideMark/>
          </w:tcPr>
          <w:p w14:paraId="57E18FCC" w14:textId="78424877" w:rsidR="00446D48" w:rsidRPr="009301CB" w:rsidRDefault="00A628DB" w:rsidP="00226775">
            <w:pPr>
              <w:spacing w:before="120"/>
              <w:rPr>
                <w:rFonts w:cs="Arial"/>
                <w:szCs w:val="22"/>
              </w:rPr>
            </w:pPr>
            <w:r w:rsidRPr="00EA4EB6">
              <w:t>7</w:t>
            </w:r>
          </w:p>
        </w:tc>
        <w:tc>
          <w:tcPr>
            <w:tcW w:w="1250" w:type="pct"/>
            <w:vAlign w:val="center"/>
          </w:tcPr>
          <w:p w14:paraId="03566971" w14:textId="509244C1" w:rsidR="00446D48" w:rsidRPr="009301CB" w:rsidRDefault="00A628DB" w:rsidP="00226775">
            <w:pPr>
              <w:spacing w:before="120"/>
              <w:rPr>
                <w:rFonts w:cs="Arial"/>
                <w:szCs w:val="22"/>
              </w:rPr>
            </w:pPr>
            <w:r w:rsidRPr="00EA4EB6">
              <w:t>989,814.91</w:t>
            </w:r>
          </w:p>
        </w:tc>
        <w:tc>
          <w:tcPr>
            <w:tcW w:w="1250" w:type="pct"/>
            <w:vAlign w:val="center"/>
          </w:tcPr>
          <w:p w14:paraId="1D8D695D" w14:textId="1664863E" w:rsidR="00446D48" w:rsidRPr="009301CB" w:rsidRDefault="00F4193A" w:rsidP="00226775">
            <w:pPr>
              <w:spacing w:before="120"/>
              <w:rPr>
                <w:rFonts w:cs="Arial"/>
                <w:szCs w:val="22"/>
              </w:rPr>
            </w:pPr>
            <w:r w:rsidRPr="00EA4EB6">
              <w:t>836.92</w:t>
            </w:r>
          </w:p>
        </w:tc>
      </w:tr>
      <w:tr w:rsidR="00E204E0" w:rsidRPr="00B754F9" w14:paraId="198FCBE3" w14:textId="77777777" w:rsidTr="00A25839">
        <w:trPr>
          <w:trHeight w:val="300"/>
        </w:trPr>
        <w:tc>
          <w:tcPr>
            <w:tcW w:w="1625" w:type="pct"/>
            <w:noWrap/>
            <w:vAlign w:val="center"/>
            <w:hideMark/>
          </w:tcPr>
          <w:p w14:paraId="59E15FBE" w14:textId="297EC21B" w:rsidR="00446D48" w:rsidRPr="008C6187" w:rsidRDefault="00446D48" w:rsidP="00446D48">
            <w:pPr>
              <w:spacing w:before="120"/>
              <w:rPr>
                <w:rFonts w:cs="Arial"/>
                <w:szCs w:val="22"/>
              </w:rPr>
            </w:pPr>
            <w:r w:rsidRPr="008C6187">
              <w:rPr>
                <w:rFonts w:cs="Arial"/>
                <w:color w:val="020A0A" w:themeColor="text1"/>
                <w:szCs w:val="22"/>
              </w:rPr>
              <w:t>&gt; 1,195,558.00</w:t>
            </w:r>
          </w:p>
        </w:tc>
        <w:tc>
          <w:tcPr>
            <w:tcW w:w="874" w:type="pct"/>
            <w:noWrap/>
            <w:vAlign w:val="center"/>
            <w:hideMark/>
          </w:tcPr>
          <w:p w14:paraId="3622E6DF" w14:textId="24C17D22" w:rsidR="00446D48" w:rsidRPr="009301CB" w:rsidRDefault="00A628DB" w:rsidP="00226775">
            <w:pPr>
              <w:spacing w:before="120"/>
              <w:rPr>
                <w:rFonts w:cs="Arial"/>
                <w:szCs w:val="22"/>
              </w:rPr>
            </w:pPr>
            <w:r w:rsidRPr="00EA4EB6">
              <w:t>44</w:t>
            </w:r>
          </w:p>
        </w:tc>
        <w:tc>
          <w:tcPr>
            <w:tcW w:w="1250" w:type="pct"/>
            <w:vAlign w:val="center"/>
          </w:tcPr>
          <w:p w14:paraId="73FFD399" w14:textId="7EE94784" w:rsidR="00446D48" w:rsidRPr="009301CB" w:rsidRDefault="00A628DB" w:rsidP="00226775">
            <w:pPr>
              <w:spacing w:before="120"/>
              <w:rPr>
                <w:rFonts w:cs="Arial"/>
                <w:szCs w:val="22"/>
              </w:rPr>
            </w:pPr>
            <w:r w:rsidRPr="00EA4EB6">
              <w:t>11,056,658.61</w:t>
            </w:r>
          </w:p>
        </w:tc>
        <w:tc>
          <w:tcPr>
            <w:tcW w:w="1250" w:type="pct"/>
            <w:vAlign w:val="center"/>
          </w:tcPr>
          <w:p w14:paraId="29C22EF2" w14:textId="56699E9E" w:rsidR="00446D48" w:rsidRPr="009301CB" w:rsidRDefault="00F4193A" w:rsidP="00226775">
            <w:pPr>
              <w:spacing w:before="120"/>
              <w:rPr>
                <w:rFonts w:cs="Arial"/>
                <w:szCs w:val="22"/>
              </w:rPr>
            </w:pPr>
            <w:r w:rsidRPr="00EA4EB6">
              <w:t>3,620.28</w:t>
            </w:r>
          </w:p>
        </w:tc>
      </w:tr>
    </w:tbl>
    <w:bookmarkEnd w:id="126"/>
    <w:p w14:paraId="460DCAB5" w14:textId="060AD3F2" w:rsidR="00B1638F" w:rsidRPr="0020754E" w:rsidRDefault="00B1638F" w:rsidP="00182936">
      <w:pPr>
        <w:pStyle w:val="Heading4"/>
        <w:spacing w:before="120"/>
        <w:rPr>
          <w:rFonts w:cs="Arial"/>
        </w:rPr>
      </w:pPr>
      <w:r w:rsidRPr="00B754F9">
        <w:rPr>
          <w:rFonts w:cs="Arial"/>
        </w:rPr>
        <w:t xml:space="preserve">Adjudicator fees  </w:t>
      </w:r>
    </w:p>
    <w:p w14:paraId="4DFBF7B9" w14:textId="78002483" w:rsidR="00B1638F" w:rsidRPr="00B754F9" w:rsidRDefault="00972496" w:rsidP="0020754E">
      <w:pPr>
        <w:spacing w:before="120" w:after="120"/>
        <w:rPr>
          <w:rFonts w:cs="Arial"/>
        </w:rPr>
      </w:pPr>
      <w:r w:rsidRPr="57C5725E">
        <w:rPr>
          <w:rFonts w:cs="Arial"/>
        </w:rPr>
        <w:t xml:space="preserve">For progress payment claims under </w:t>
      </w:r>
      <w:r w:rsidR="00362B28" w:rsidRPr="57C5725E">
        <w:rPr>
          <w:rFonts w:cs="Arial"/>
        </w:rPr>
        <w:t>$25,000</w:t>
      </w:r>
      <w:r w:rsidR="00C815A8" w:rsidRPr="57C5725E">
        <w:rPr>
          <w:rFonts w:cs="Arial"/>
        </w:rPr>
        <w:t xml:space="preserve">, </w:t>
      </w:r>
      <w:r w:rsidR="00413DA4" w:rsidRPr="57C5725E">
        <w:rPr>
          <w:rFonts w:cs="Arial"/>
        </w:rPr>
        <w:t xml:space="preserve">maximum </w:t>
      </w:r>
      <w:r w:rsidR="00ED546F" w:rsidRPr="57C5725E">
        <w:rPr>
          <w:rFonts w:cs="Arial"/>
        </w:rPr>
        <w:t>fee</w:t>
      </w:r>
      <w:r w:rsidR="00BE2A32" w:rsidRPr="57C5725E">
        <w:rPr>
          <w:rFonts w:cs="Arial"/>
        </w:rPr>
        <w:t>s</w:t>
      </w:r>
      <w:r w:rsidR="00ED546F" w:rsidRPr="57C5725E">
        <w:rPr>
          <w:rFonts w:cs="Arial"/>
        </w:rPr>
        <w:t xml:space="preserve"> </w:t>
      </w:r>
      <w:r w:rsidR="00362B28" w:rsidRPr="57C5725E">
        <w:rPr>
          <w:rFonts w:cs="Arial"/>
        </w:rPr>
        <w:t>ar</w:t>
      </w:r>
      <w:r w:rsidR="00C67853" w:rsidRPr="57C5725E">
        <w:rPr>
          <w:rFonts w:cs="Arial"/>
        </w:rPr>
        <w:t xml:space="preserve">e </w:t>
      </w:r>
      <w:r w:rsidR="00BE2A32" w:rsidRPr="57C5725E">
        <w:rPr>
          <w:rFonts w:cs="Arial"/>
        </w:rPr>
        <w:t>predetermined</w:t>
      </w:r>
      <w:r w:rsidR="001A71FB" w:rsidRPr="57C5725E">
        <w:rPr>
          <w:rFonts w:cs="Arial"/>
        </w:rPr>
        <w:t xml:space="preserve"> based on the</w:t>
      </w:r>
      <w:r w:rsidR="005C769B" w:rsidRPr="57C5725E">
        <w:rPr>
          <w:rFonts w:cs="Arial"/>
        </w:rPr>
        <w:t xml:space="preserve"> claim</w:t>
      </w:r>
      <w:r w:rsidR="001A71FB" w:rsidRPr="57C5725E">
        <w:rPr>
          <w:rFonts w:cs="Arial"/>
        </w:rPr>
        <w:t xml:space="preserve"> value</w:t>
      </w:r>
      <w:r w:rsidR="00B1638F" w:rsidRPr="57C5725E">
        <w:rPr>
          <w:rFonts w:cs="Arial"/>
        </w:rPr>
        <w:t xml:space="preserve">. </w:t>
      </w:r>
      <w:r w:rsidR="007B1DF5" w:rsidRPr="57C5725E">
        <w:rPr>
          <w:rFonts w:cs="Arial"/>
        </w:rPr>
        <w:t xml:space="preserve">For </w:t>
      </w:r>
      <w:r w:rsidR="00BF5ADB" w:rsidRPr="57C5725E">
        <w:rPr>
          <w:rFonts w:cs="Arial"/>
        </w:rPr>
        <w:t>c</w:t>
      </w:r>
      <w:r w:rsidR="00102ED8" w:rsidRPr="57C5725E">
        <w:rPr>
          <w:rFonts w:cs="Arial"/>
        </w:rPr>
        <w:t xml:space="preserve">laims </w:t>
      </w:r>
      <w:r w:rsidR="007B1DF5" w:rsidRPr="57C5725E">
        <w:rPr>
          <w:rFonts w:cs="Arial"/>
        </w:rPr>
        <w:t>over</w:t>
      </w:r>
      <w:r w:rsidR="00B1638F" w:rsidRPr="57C5725E">
        <w:rPr>
          <w:rFonts w:cs="Arial"/>
        </w:rPr>
        <w:t xml:space="preserve"> $25,000</w:t>
      </w:r>
      <w:r w:rsidR="007B1DF5" w:rsidRPr="57C5725E">
        <w:rPr>
          <w:rFonts w:cs="Arial"/>
        </w:rPr>
        <w:t xml:space="preserve">, fees </w:t>
      </w:r>
      <w:r w:rsidR="00BF5ADB" w:rsidRPr="57C5725E">
        <w:rPr>
          <w:rFonts w:cs="Arial"/>
        </w:rPr>
        <w:t xml:space="preserve">are </w:t>
      </w:r>
      <w:r w:rsidR="005A31CB" w:rsidRPr="57C5725E">
        <w:rPr>
          <w:rFonts w:cs="Arial"/>
        </w:rPr>
        <w:t xml:space="preserve">agreed </w:t>
      </w:r>
      <w:r w:rsidR="005D3D36" w:rsidRPr="57C5725E">
        <w:rPr>
          <w:rFonts w:cs="Arial"/>
        </w:rPr>
        <w:t xml:space="preserve">between the adjudicator and </w:t>
      </w:r>
      <w:r w:rsidR="00B1638F" w:rsidRPr="57C5725E">
        <w:rPr>
          <w:rFonts w:cs="Arial"/>
        </w:rPr>
        <w:t>the parties</w:t>
      </w:r>
      <w:r w:rsidR="005A31CB" w:rsidRPr="57C5725E">
        <w:rPr>
          <w:rFonts w:cs="Arial"/>
        </w:rPr>
        <w:t>,</w:t>
      </w:r>
      <w:r w:rsidR="00347222" w:rsidRPr="57C5725E">
        <w:rPr>
          <w:rFonts w:cs="Arial"/>
        </w:rPr>
        <w:t xml:space="preserve"> </w:t>
      </w:r>
      <w:proofErr w:type="gramStart"/>
      <w:r w:rsidR="00D62F9D" w:rsidRPr="57C5725E">
        <w:rPr>
          <w:rFonts w:cs="Arial"/>
        </w:rPr>
        <w:t>taking into account</w:t>
      </w:r>
      <w:proofErr w:type="gramEnd"/>
      <w:r w:rsidR="00D62F9D" w:rsidRPr="57C5725E">
        <w:rPr>
          <w:rFonts w:cs="Arial"/>
        </w:rPr>
        <w:t xml:space="preserve"> </w:t>
      </w:r>
      <w:r w:rsidR="00B757D5" w:rsidRPr="57C5725E">
        <w:rPr>
          <w:rFonts w:cs="Arial"/>
        </w:rPr>
        <w:t>t</w:t>
      </w:r>
      <w:r w:rsidR="00B1638F" w:rsidRPr="57C5725E">
        <w:rPr>
          <w:rFonts w:cs="Arial"/>
        </w:rPr>
        <w:t xml:space="preserve">he work </w:t>
      </w:r>
      <w:r w:rsidR="005A31CB" w:rsidRPr="57C5725E">
        <w:rPr>
          <w:rFonts w:cs="Arial"/>
        </w:rPr>
        <w:t>performed</w:t>
      </w:r>
      <w:r w:rsidR="00F325F4" w:rsidRPr="57C5725E">
        <w:rPr>
          <w:rFonts w:cs="Arial"/>
        </w:rPr>
        <w:t>,</w:t>
      </w:r>
      <w:r w:rsidR="005A31CB" w:rsidRPr="57C5725E">
        <w:rPr>
          <w:rFonts w:cs="Arial"/>
        </w:rPr>
        <w:t xml:space="preserve"> </w:t>
      </w:r>
      <w:r w:rsidR="00B1638F" w:rsidRPr="57C5725E">
        <w:rPr>
          <w:rFonts w:cs="Arial"/>
        </w:rPr>
        <w:t>and expenses incurred.</w:t>
      </w:r>
      <w:r w:rsidR="00DE3231" w:rsidRPr="57C5725E">
        <w:rPr>
          <w:rFonts w:cs="Arial"/>
        </w:rPr>
        <w:t xml:space="preserve"> </w:t>
      </w:r>
      <w:r w:rsidR="001C1BCE">
        <w:rPr>
          <w:rFonts w:cs="Arial"/>
        </w:rPr>
        <w:t>Table 26</w:t>
      </w:r>
      <w:r w:rsidR="00032A8E">
        <w:rPr>
          <w:rFonts w:cs="Arial"/>
        </w:rPr>
        <w:fldChar w:fldCharType="begin"/>
      </w:r>
      <w:r w:rsidR="00032A8E">
        <w:rPr>
          <w:rFonts w:cs="Arial"/>
        </w:rPr>
        <w:instrText xml:space="preserve"> REF _Ref201911671 \h </w:instrText>
      </w:r>
      <w:r w:rsidR="00032A8E">
        <w:rPr>
          <w:rFonts w:cs="Arial"/>
        </w:rPr>
      </w:r>
      <w:r w:rsidR="00032A8E">
        <w:rPr>
          <w:rFonts w:cs="Arial"/>
        </w:rPr>
        <w:fldChar w:fldCharType="separate"/>
      </w:r>
      <w:r w:rsidR="00032A8E">
        <w:rPr>
          <w:rFonts w:cs="Arial"/>
        </w:rPr>
        <w:fldChar w:fldCharType="end"/>
      </w:r>
      <w:r w:rsidR="00B757D5" w:rsidRPr="57C5725E">
        <w:rPr>
          <w:rFonts w:cs="Arial"/>
        </w:rPr>
        <w:t xml:space="preserve"> </w:t>
      </w:r>
      <w:r w:rsidR="00C81F39" w:rsidRPr="57C5725E">
        <w:rPr>
          <w:rFonts w:cs="Arial"/>
        </w:rPr>
        <w:t>provides a summary of</w:t>
      </w:r>
      <w:r w:rsidR="00B757D5" w:rsidRPr="57C5725E">
        <w:rPr>
          <w:rFonts w:cs="Arial"/>
        </w:rPr>
        <w:t xml:space="preserve"> </w:t>
      </w:r>
      <w:r w:rsidR="00EC51DB" w:rsidRPr="57C5725E">
        <w:rPr>
          <w:rFonts w:cs="Arial"/>
        </w:rPr>
        <w:t>decisions</w:t>
      </w:r>
      <w:r w:rsidR="00C377CE" w:rsidRPr="57C5725E">
        <w:rPr>
          <w:rFonts w:cs="Arial"/>
        </w:rPr>
        <w:t xml:space="preserve"> </w:t>
      </w:r>
      <w:r w:rsidR="6F46F261" w:rsidRPr="57C5725E">
        <w:rPr>
          <w:rFonts w:cs="Arial"/>
        </w:rPr>
        <w:t>released by the adjudicator</w:t>
      </w:r>
      <w:r w:rsidR="00C377CE" w:rsidRPr="57C5725E">
        <w:rPr>
          <w:rFonts w:cs="Arial"/>
        </w:rPr>
        <w:t xml:space="preserve"> and </w:t>
      </w:r>
      <w:r w:rsidR="008031F2" w:rsidRPr="57C5725E">
        <w:rPr>
          <w:rFonts w:cs="Arial"/>
        </w:rPr>
        <w:t xml:space="preserve">the </w:t>
      </w:r>
      <w:r w:rsidR="002F0B50" w:rsidRPr="57C5725E">
        <w:rPr>
          <w:rFonts w:cs="Arial"/>
        </w:rPr>
        <w:t xml:space="preserve">associated </w:t>
      </w:r>
      <w:r w:rsidR="00C377CE" w:rsidRPr="57C5725E">
        <w:rPr>
          <w:rFonts w:cs="Arial"/>
        </w:rPr>
        <w:t>fees</w:t>
      </w:r>
      <w:r w:rsidR="00B1638F" w:rsidRPr="57C5725E">
        <w:rPr>
          <w:rFonts w:cs="Arial"/>
        </w:rPr>
        <w:t>.</w:t>
      </w:r>
    </w:p>
    <w:p w14:paraId="565B638D" w14:textId="08DFB362" w:rsidR="00B1638F" w:rsidRPr="00032A8E" w:rsidRDefault="00032A8E" w:rsidP="0020754E">
      <w:pPr>
        <w:pStyle w:val="Caption"/>
        <w:keepNext/>
        <w:spacing w:before="120" w:after="120"/>
      </w:pPr>
      <w:bookmarkStart w:id="142" w:name="_Ref201911671"/>
      <w:bookmarkStart w:id="143" w:name="_Toc202872056"/>
      <w:bookmarkStart w:id="144" w:name="_Toc202872676"/>
      <w:r>
        <w:lastRenderedPageBreak/>
        <w:t>Table</w:t>
      </w:r>
      <w:r w:rsidR="00311DBB">
        <w:t xml:space="preserve"> 26</w:t>
      </w:r>
      <w:bookmarkEnd w:id="142"/>
      <w:r w:rsidRPr="00E74741">
        <w:t xml:space="preserve">: </w:t>
      </w:r>
      <w:bookmarkStart w:id="145" w:name="_Ref202873593"/>
      <w:r w:rsidRPr="00E74741">
        <w:t xml:space="preserve">Number of adjudication decisions and corresponding </w:t>
      </w:r>
      <w:r w:rsidR="00864CA2">
        <w:t xml:space="preserve">adjudicator </w:t>
      </w:r>
      <w:r w:rsidRPr="00E74741">
        <w:t>fees received in 2024–25</w:t>
      </w:r>
      <w:bookmarkEnd w:id="143"/>
      <w:bookmarkEnd w:id="144"/>
      <w:bookmarkEnd w:id="145"/>
    </w:p>
    <w:tbl>
      <w:tblPr>
        <w:tblW w:w="49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1778"/>
        <w:gridCol w:w="2587"/>
        <w:gridCol w:w="2587"/>
      </w:tblGrid>
      <w:tr w:rsidR="003802DF" w:rsidRPr="00B754F9" w14:paraId="2F21CDC3" w14:textId="77777777" w:rsidTr="00F4193A">
        <w:trPr>
          <w:trHeight w:val="522"/>
          <w:tblHeader/>
        </w:trPr>
        <w:tc>
          <w:tcPr>
            <w:tcW w:w="1641" w:type="pct"/>
            <w:shd w:val="clear" w:color="auto" w:fill="A6A6A6" w:themeFill="background1" w:themeFillShade="A6"/>
            <w:noWrap/>
            <w:vAlign w:val="center"/>
          </w:tcPr>
          <w:p w14:paraId="2D336CB8" w14:textId="4F5990C9" w:rsidR="002C1479" w:rsidRPr="009D04CC" w:rsidRDefault="002C1479" w:rsidP="0020754E">
            <w:pPr>
              <w:rPr>
                <w:rFonts w:cs="Arial"/>
                <w:b/>
                <w:szCs w:val="22"/>
              </w:rPr>
            </w:pPr>
            <w:r w:rsidRPr="009D04CC">
              <w:rPr>
                <w:rFonts w:cs="Arial"/>
                <w:b/>
                <w:szCs w:val="22"/>
              </w:rPr>
              <w:t>Claim value</w:t>
            </w:r>
            <w:r w:rsidR="00606670">
              <w:rPr>
                <w:rFonts w:cs="Arial"/>
                <w:b/>
                <w:szCs w:val="22"/>
              </w:rPr>
              <w:t xml:space="preserve"> ($)</w:t>
            </w:r>
          </w:p>
        </w:tc>
        <w:tc>
          <w:tcPr>
            <w:tcW w:w="859" w:type="pct"/>
            <w:shd w:val="clear" w:color="auto" w:fill="A6A6A6" w:themeFill="background1" w:themeFillShade="A6"/>
            <w:vAlign w:val="center"/>
          </w:tcPr>
          <w:p w14:paraId="28DEA157" w14:textId="227A5E37" w:rsidR="002C1479" w:rsidRPr="009D04CC" w:rsidRDefault="2C869C53" w:rsidP="0020754E">
            <w:pPr>
              <w:spacing w:line="259" w:lineRule="auto"/>
              <w:rPr>
                <w:rFonts w:cs="Arial"/>
                <w:b/>
                <w:szCs w:val="22"/>
              </w:rPr>
            </w:pPr>
            <w:r w:rsidRPr="009D04CC">
              <w:rPr>
                <w:rFonts w:cs="Arial"/>
                <w:b/>
                <w:szCs w:val="22"/>
              </w:rPr>
              <w:t xml:space="preserve">Total released </w:t>
            </w:r>
            <w:r w:rsidR="002C1479" w:rsidRPr="009D04CC">
              <w:rPr>
                <w:rFonts w:cs="Arial"/>
                <w:b/>
                <w:szCs w:val="22"/>
              </w:rPr>
              <w:t>decisions</w:t>
            </w:r>
          </w:p>
        </w:tc>
        <w:tc>
          <w:tcPr>
            <w:tcW w:w="1250" w:type="pct"/>
            <w:shd w:val="clear" w:color="auto" w:fill="A6A6A6" w:themeFill="background1" w:themeFillShade="A6"/>
            <w:vAlign w:val="center"/>
          </w:tcPr>
          <w:p w14:paraId="7FE05FEB" w14:textId="44D17D11" w:rsidR="002C1479" w:rsidRPr="009D04CC" w:rsidRDefault="002C1479" w:rsidP="0020754E">
            <w:pPr>
              <w:rPr>
                <w:rFonts w:cs="Arial"/>
                <w:b/>
                <w:szCs w:val="22"/>
              </w:rPr>
            </w:pPr>
            <w:r w:rsidRPr="009D04CC">
              <w:rPr>
                <w:rFonts w:cs="Arial"/>
                <w:b/>
                <w:szCs w:val="22"/>
              </w:rPr>
              <w:t>Average claimed amount</w:t>
            </w:r>
            <w:r w:rsidR="00606670">
              <w:rPr>
                <w:rFonts w:cs="Arial"/>
                <w:b/>
                <w:szCs w:val="22"/>
              </w:rPr>
              <w:t xml:space="preserve"> ($)</w:t>
            </w:r>
          </w:p>
        </w:tc>
        <w:tc>
          <w:tcPr>
            <w:tcW w:w="1250" w:type="pct"/>
            <w:shd w:val="clear" w:color="auto" w:fill="A6A6A6" w:themeFill="background1" w:themeFillShade="A6"/>
            <w:vAlign w:val="center"/>
          </w:tcPr>
          <w:p w14:paraId="0F558B3A" w14:textId="5977A4BA" w:rsidR="002C1479" w:rsidRPr="009D04CC" w:rsidRDefault="00E87C06" w:rsidP="009D04CC">
            <w:pPr>
              <w:rPr>
                <w:rFonts w:cs="Arial"/>
                <w:b/>
                <w:szCs w:val="22"/>
              </w:rPr>
            </w:pPr>
            <w:r w:rsidRPr="009D04CC">
              <w:rPr>
                <w:rFonts w:cs="Arial"/>
                <w:b/>
                <w:szCs w:val="22"/>
              </w:rPr>
              <w:t xml:space="preserve">Average </w:t>
            </w:r>
            <w:r>
              <w:rPr>
                <w:rFonts w:cs="Arial"/>
                <w:b/>
                <w:szCs w:val="22"/>
              </w:rPr>
              <w:t>adjudicator fees</w:t>
            </w:r>
            <w:r w:rsidR="00606670">
              <w:rPr>
                <w:rFonts w:cs="Arial"/>
                <w:b/>
                <w:szCs w:val="22"/>
              </w:rPr>
              <w:t xml:space="preserve"> ($)</w:t>
            </w:r>
          </w:p>
        </w:tc>
      </w:tr>
      <w:tr w:rsidR="00B1638F" w:rsidRPr="00B754F9" w14:paraId="3537822F" w14:textId="77777777" w:rsidTr="006524C8">
        <w:trPr>
          <w:trHeight w:val="300"/>
        </w:trPr>
        <w:tc>
          <w:tcPr>
            <w:tcW w:w="1641" w:type="pct"/>
            <w:noWrap/>
            <w:vAlign w:val="center"/>
          </w:tcPr>
          <w:p w14:paraId="11A2F91B" w14:textId="0FD46504" w:rsidR="00B1638F" w:rsidRPr="009D04CC" w:rsidRDefault="00B1638F">
            <w:pPr>
              <w:rPr>
                <w:rFonts w:cs="Arial"/>
                <w:szCs w:val="22"/>
              </w:rPr>
            </w:pPr>
            <w:r w:rsidRPr="009D04CC">
              <w:rPr>
                <w:rFonts w:cs="Arial"/>
                <w:color w:val="000000"/>
                <w:szCs w:val="22"/>
              </w:rPr>
              <w:t>0</w:t>
            </w:r>
            <w:r w:rsidR="006747B5">
              <w:rPr>
                <w:rFonts w:cs="Arial"/>
                <w:color w:val="000000"/>
                <w:szCs w:val="22"/>
              </w:rPr>
              <w:t>–</w:t>
            </w:r>
            <w:r w:rsidRPr="009D04CC">
              <w:rPr>
                <w:rFonts w:cs="Arial"/>
                <w:color w:val="000000"/>
                <w:szCs w:val="22"/>
              </w:rPr>
              <w:t>10,972.65</w:t>
            </w:r>
          </w:p>
        </w:tc>
        <w:tc>
          <w:tcPr>
            <w:tcW w:w="859" w:type="pct"/>
            <w:noWrap/>
            <w:vAlign w:val="center"/>
          </w:tcPr>
          <w:p w14:paraId="343B3A5B" w14:textId="2A39D065" w:rsidR="00B1638F" w:rsidRPr="008915D9" w:rsidRDefault="00103DDA" w:rsidP="008915D9">
            <w:pPr>
              <w:rPr>
                <w:rFonts w:cs="Arial"/>
                <w:szCs w:val="22"/>
              </w:rPr>
            </w:pPr>
            <w:r w:rsidRPr="006B0B19">
              <w:t>38</w:t>
            </w:r>
          </w:p>
        </w:tc>
        <w:tc>
          <w:tcPr>
            <w:tcW w:w="1250" w:type="pct"/>
            <w:noWrap/>
            <w:vAlign w:val="center"/>
          </w:tcPr>
          <w:p w14:paraId="5F3A7BB7" w14:textId="6233F8FB" w:rsidR="00B1638F" w:rsidRPr="008915D9" w:rsidRDefault="00103DDA" w:rsidP="008915D9">
            <w:pPr>
              <w:rPr>
                <w:rFonts w:cs="Arial"/>
                <w:szCs w:val="22"/>
              </w:rPr>
            </w:pPr>
            <w:r w:rsidRPr="006B0B19">
              <w:t>5,243.26</w:t>
            </w:r>
          </w:p>
        </w:tc>
        <w:tc>
          <w:tcPr>
            <w:tcW w:w="1250" w:type="pct"/>
            <w:noWrap/>
            <w:vAlign w:val="center"/>
          </w:tcPr>
          <w:p w14:paraId="2B7EA974" w14:textId="7EE3ADAA" w:rsidR="00B1638F" w:rsidRPr="008915D9" w:rsidRDefault="00E87C06" w:rsidP="008915D9">
            <w:pPr>
              <w:rPr>
                <w:rFonts w:cs="Arial"/>
                <w:szCs w:val="22"/>
              </w:rPr>
            </w:pPr>
            <w:r w:rsidRPr="008915D9">
              <w:t>655.56</w:t>
            </w:r>
          </w:p>
        </w:tc>
      </w:tr>
      <w:tr w:rsidR="00B1638F" w:rsidRPr="00B754F9" w14:paraId="1D24315A" w14:textId="77777777" w:rsidTr="006524C8">
        <w:trPr>
          <w:trHeight w:val="300"/>
        </w:trPr>
        <w:tc>
          <w:tcPr>
            <w:tcW w:w="1641" w:type="pct"/>
            <w:noWrap/>
            <w:vAlign w:val="center"/>
          </w:tcPr>
          <w:p w14:paraId="2D8A2403" w14:textId="791073F0" w:rsidR="00B1638F" w:rsidRPr="009D04CC" w:rsidRDefault="00B1638F">
            <w:pPr>
              <w:rPr>
                <w:rFonts w:cs="Arial"/>
                <w:szCs w:val="22"/>
              </w:rPr>
            </w:pPr>
            <w:r w:rsidRPr="009D04CC">
              <w:rPr>
                <w:rFonts w:cs="Arial"/>
                <w:color w:val="000000"/>
                <w:szCs w:val="22"/>
              </w:rPr>
              <w:t>10,972.65</w:t>
            </w:r>
            <w:r w:rsidR="006747B5">
              <w:rPr>
                <w:rFonts w:cs="Arial"/>
                <w:color w:val="000000"/>
                <w:szCs w:val="22"/>
              </w:rPr>
              <w:t>–</w:t>
            </w:r>
            <w:r w:rsidRPr="009D04CC">
              <w:rPr>
                <w:rFonts w:cs="Arial"/>
                <w:color w:val="000000"/>
                <w:szCs w:val="22"/>
              </w:rPr>
              <w:t>54,863.45</w:t>
            </w:r>
          </w:p>
        </w:tc>
        <w:tc>
          <w:tcPr>
            <w:tcW w:w="859" w:type="pct"/>
            <w:noWrap/>
            <w:vAlign w:val="center"/>
          </w:tcPr>
          <w:p w14:paraId="27943FE3" w14:textId="35E19A80" w:rsidR="00B1638F" w:rsidRPr="008915D9" w:rsidRDefault="00103DDA" w:rsidP="008915D9">
            <w:pPr>
              <w:rPr>
                <w:rFonts w:cs="Arial"/>
                <w:szCs w:val="22"/>
              </w:rPr>
            </w:pPr>
            <w:r w:rsidRPr="006B0B19">
              <w:t>61</w:t>
            </w:r>
          </w:p>
        </w:tc>
        <w:tc>
          <w:tcPr>
            <w:tcW w:w="1250" w:type="pct"/>
            <w:noWrap/>
            <w:vAlign w:val="center"/>
          </w:tcPr>
          <w:p w14:paraId="7D63B529" w14:textId="073CB999" w:rsidR="00B1638F" w:rsidRPr="008915D9" w:rsidRDefault="00103DDA" w:rsidP="008915D9">
            <w:pPr>
              <w:rPr>
                <w:rFonts w:cs="Arial"/>
                <w:szCs w:val="22"/>
              </w:rPr>
            </w:pPr>
            <w:r w:rsidRPr="006B0B19">
              <w:t>30,393.49</w:t>
            </w:r>
          </w:p>
        </w:tc>
        <w:tc>
          <w:tcPr>
            <w:tcW w:w="1250" w:type="pct"/>
            <w:noWrap/>
            <w:vAlign w:val="center"/>
          </w:tcPr>
          <w:p w14:paraId="6580E6D4" w14:textId="3FA8DC5A" w:rsidR="00B1638F" w:rsidRPr="008915D9" w:rsidRDefault="00E87C06" w:rsidP="008915D9">
            <w:pPr>
              <w:rPr>
                <w:rFonts w:cs="Arial"/>
                <w:szCs w:val="22"/>
              </w:rPr>
            </w:pPr>
            <w:r w:rsidRPr="006B0B19">
              <w:t>3,188.62</w:t>
            </w:r>
          </w:p>
        </w:tc>
      </w:tr>
      <w:tr w:rsidR="00B1638F" w:rsidRPr="00B754F9" w14:paraId="16E3DB33" w14:textId="77777777" w:rsidTr="006524C8">
        <w:trPr>
          <w:trHeight w:val="300"/>
        </w:trPr>
        <w:tc>
          <w:tcPr>
            <w:tcW w:w="1641" w:type="pct"/>
            <w:noWrap/>
            <w:vAlign w:val="center"/>
          </w:tcPr>
          <w:p w14:paraId="10861779" w14:textId="26B97078" w:rsidR="00B1638F" w:rsidRPr="009D04CC" w:rsidRDefault="00B1638F">
            <w:pPr>
              <w:rPr>
                <w:rFonts w:cs="Arial"/>
                <w:szCs w:val="22"/>
              </w:rPr>
            </w:pPr>
            <w:r w:rsidRPr="009D04CC">
              <w:rPr>
                <w:rFonts w:cs="Arial"/>
                <w:color w:val="000000"/>
                <w:szCs w:val="22"/>
              </w:rPr>
              <w:t>54,863.45</w:t>
            </w:r>
            <w:r w:rsidR="006747B5">
              <w:rPr>
                <w:rFonts w:cs="Arial"/>
                <w:color w:val="000000"/>
                <w:szCs w:val="22"/>
              </w:rPr>
              <w:t>–</w:t>
            </w:r>
            <w:r w:rsidRPr="009D04CC">
              <w:rPr>
                <w:rFonts w:cs="Arial"/>
                <w:color w:val="000000"/>
                <w:szCs w:val="22"/>
              </w:rPr>
              <w:t>109,726.90</w:t>
            </w:r>
          </w:p>
        </w:tc>
        <w:tc>
          <w:tcPr>
            <w:tcW w:w="859" w:type="pct"/>
            <w:noWrap/>
            <w:vAlign w:val="center"/>
          </w:tcPr>
          <w:p w14:paraId="033F4544" w14:textId="75EEF314" w:rsidR="00B1638F" w:rsidRPr="008915D9" w:rsidRDefault="00103DDA" w:rsidP="008915D9">
            <w:pPr>
              <w:rPr>
                <w:rFonts w:cs="Arial"/>
                <w:szCs w:val="22"/>
              </w:rPr>
            </w:pPr>
            <w:r w:rsidRPr="006B0B19">
              <w:t>33</w:t>
            </w:r>
          </w:p>
        </w:tc>
        <w:tc>
          <w:tcPr>
            <w:tcW w:w="1250" w:type="pct"/>
            <w:noWrap/>
            <w:vAlign w:val="center"/>
          </w:tcPr>
          <w:p w14:paraId="2D51000C" w14:textId="331C72ED" w:rsidR="00B1638F" w:rsidRPr="008915D9" w:rsidRDefault="00103DDA" w:rsidP="008915D9">
            <w:pPr>
              <w:rPr>
                <w:rFonts w:cs="Arial"/>
                <w:szCs w:val="22"/>
              </w:rPr>
            </w:pPr>
            <w:r w:rsidRPr="006B0B19">
              <w:t>78,119.56</w:t>
            </w:r>
          </w:p>
        </w:tc>
        <w:tc>
          <w:tcPr>
            <w:tcW w:w="1250" w:type="pct"/>
            <w:noWrap/>
            <w:vAlign w:val="center"/>
          </w:tcPr>
          <w:p w14:paraId="789C1523" w14:textId="6571C4F0" w:rsidR="00B1638F" w:rsidRPr="008915D9" w:rsidRDefault="00E87C06" w:rsidP="008915D9">
            <w:pPr>
              <w:rPr>
                <w:rFonts w:cs="Arial"/>
                <w:szCs w:val="22"/>
              </w:rPr>
            </w:pPr>
            <w:r w:rsidRPr="006B0B19">
              <w:t>8,463.71</w:t>
            </w:r>
          </w:p>
        </w:tc>
      </w:tr>
      <w:tr w:rsidR="00B1638F" w:rsidRPr="00B754F9" w14:paraId="5CFE8C76" w14:textId="77777777" w:rsidTr="006524C8">
        <w:trPr>
          <w:trHeight w:val="300"/>
        </w:trPr>
        <w:tc>
          <w:tcPr>
            <w:tcW w:w="1641" w:type="pct"/>
            <w:noWrap/>
            <w:vAlign w:val="center"/>
          </w:tcPr>
          <w:p w14:paraId="3E5CF431" w14:textId="1DD62CB0" w:rsidR="00B1638F" w:rsidRPr="009D04CC" w:rsidRDefault="00B1638F">
            <w:pPr>
              <w:rPr>
                <w:rFonts w:cs="Arial"/>
                <w:szCs w:val="22"/>
              </w:rPr>
            </w:pPr>
            <w:r w:rsidRPr="009D04CC">
              <w:rPr>
                <w:rFonts w:cs="Arial"/>
                <w:color w:val="000000"/>
                <w:szCs w:val="22"/>
              </w:rPr>
              <w:t>109,726.90</w:t>
            </w:r>
            <w:r w:rsidR="006747B5">
              <w:rPr>
                <w:rFonts w:cs="Arial"/>
                <w:color w:val="000000"/>
                <w:szCs w:val="22"/>
              </w:rPr>
              <w:t>–</w:t>
            </w:r>
            <w:r w:rsidRPr="009D04CC">
              <w:rPr>
                <w:rFonts w:cs="Arial"/>
                <w:color w:val="000000"/>
                <w:szCs w:val="22"/>
              </w:rPr>
              <w:t>274,317.25</w:t>
            </w:r>
          </w:p>
        </w:tc>
        <w:tc>
          <w:tcPr>
            <w:tcW w:w="859" w:type="pct"/>
            <w:noWrap/>
            <w:vAlign w:val="center"/>
          </w:tcPr>
          <w:p w14:paraId="0F10CC47" w14:textId="1619B53D" w:rsidR="00B1638F" w:rsidRPr="008915D9" w:rsidRDefault="00103DDA" w:rsidP="008915D9">
            <w:pPr>
              <w:rPr>
                <w:rFonts w:cs="Arial"/>
                <w:szCs w:val="22"/>
              </w:rPr>
            </w:pPr>
            <w:r w:rsidRPr="006B0B19">
              <w:t>30</w:t>
            </w:r>
          </w:p>
        </w:tc>
        <w:tc>
          <w:tcPr>
            <w:tcW w:w="1250" w:type="pct"/>
            <w:noWrap/>
            <w:vAlign w:val="center"/>
          </w:tcPr>
          <w:p w14:paraId="1279766B" w14:textId="3C7D1B2D" w:rsidR="00B1638F" w:rsidRPr="008915D9" w:rsidRDefault="00103DDA" w:rsidP="008915D9">
            <w:pPr>
              <w:rPr>
                <w:rFonts w:cs="Arial"/>
                <w:szCs w:val="22"/>
              </w:rPr>
            </w:pPr>
            <w:r w:rsidRPr="006B0B19">
              <w:t>189,003.72</w:t>
            </w:r>
          </w:p>
        </w:tc>
        <w:tc>
          <w:tcPr>
            <w:tcW w:w="1250" w:type="pct"/>
            <w:noWrap/>
            <w:vAlign w:val="center"/>
          </w:tcPr>
          <w:p w14:paraId="72525E74" w14:textId="268872E1" w:rsidR="00B1638F" w:rsidRPr="008915D9" w:rsidRDefault="00E87C06" w:rsidP="008915D9">
            <w:pPr>
              <w:rPr>
                <w:rFonts w:cs="Arial"/>
                <w:szCs w:val="22"/>
              </w:rPr>
            </w:pPr>
            <w:r w:rsidRPr="006B0B19">
              <w:t>16,467.55</w:t>
            </w:r>
          </w:p>
        </w:tc>
      </w:tr>
      <w:tr w:rsidR="00B1638F" w:rsidRPr="00B754F9" w14:paraId="076FA727" w14:textId="77777777" w:rsidTr="006524C8">
        <w:trPr>
          <w:trHeight w:val="300"/>
        </w:trPr>
        <w:tc>
          <w:tcPr>
            <w:tcW w:w="1641" w:type="pct"/>
            <w:noWrap/>
            <w:vAlign w:val="center"/>
          </w:tcPr>
          <w:p w14:paraId="2C5F82AE" w14:textId="6AD48881" w:rsidR="00B1638F" w:rsidRPr="009D04CC" w:rsidRDefault="00B1638F">
            <w:pPr>
              <w:rPr>
                <w:rFonts w:cs="Arial"/>
                <w:szCs w:val="22"/>
              </w:rPr>
            </w:pPr>
            <w:r w:rsidRPr="009D04CC">
              <w:rPr>
                <w:rFonts w:cs="Arial"/>
                <w:color w:val="000000"/>
                <w:szCs w:val="22"/>
              </w:rPr>
              <w:t>274,317.25</w:t>
            </w:r>
            <w:r w:rsidR="006747B5">
              <w:rPr>
                <w:rFonts w:cs="Arial"/>
                <w:color w:val="000000"/>
                <w:szCs w:val="22"/>
              </w:rPr>
              <w:t>–</w:t>
            </w:r>
            <w:r w:rsidRPr="009D04CC">
              <w:rPr>
                <w:rFonts w:cs="Arial"/>
                <w:color w:val="000000"/>
                <w:szCs w:val="22"/>
              </w:rPr>
              <w:t>548,634.50</w:t>
            </w:r>
          </w:p>
        </w:tc>
        <w:tc>
          <w:tcPr>
            <w:tcW w:w="859" w:type="pct"/>
            <w:noWrap/>
            <w:vAlign w:val="center"/>
          </w:tcPr>
          <w:p w14:paraId="672511B1" w14:textId="47D42A85" w:rsidR="00B1638F" w:rsidRPr="008915D9" w:rsidRDefault="00103DDA" w:rsidP="008915D9">
            <w:pPr>
              <w:rPr>
                <w:rFonts w:cs="Arial"/>
                <w:szCs w:val="22"/>
              </w:rPr>
            </w:pPr>
            <w:r w:rsidRPr="006B0B19">
              <w:t>14</w:t>
            </w:r>
          </w:p>
        </w:tc>
        <w:tc>
          <w:tcPr>
            <w:tcW w:w="1250" w:type="pct"/>
            <w:noWrap/>
            <w:vAlign w:val="center"/>
          </w:tcPr>
          <w:p w14:paraId="1424B441" w14:textId="76859F2B" w:rsidR="00B1638F" w:rsidRPr="008915D9" w:rsidRDefault="00103DDA" w:rsidP="008915D9">
            <w:pPr>
              <w:rPr>
                <w:rFonts w:cs="Arial"/>
                <w:szCs w:val="22"/>
              </w:rPr>
            </w:pPr>
            <w:r w:rsidRPr="006B0B19">
              <w:t>386,876.52</w:t>
            </w:r>
          </w:p>
        </w:tc>
        <w:tc>
          <w:tcPr>
            <w:tcW w:w="1250" w:type="pct"/>
            <w:noWrap/>
            <w:vAlign w:val="center"/>
          </w:tcPr>
          <w:p w14:paraId="002ADD12" w14:textId="7F381A72" w:rsidR="00B1638F" w:rsidRPr="008915D9" w:rsidRDefault="00E87C06" w:rsidP="008915D9">
            <w:pPr>
              <w:rPr>
                <w:rFonts w:cs="Arial"/>
                <w:szCs w:val="22"/>
              </w:rPr>
            </w:pPr>
            <w:r w:rsidRPr="006B0B19">
              <w:t>21,868.56</w:t>
            </w:r>
          </w:p>
        </w:tc>
      </w:tr>
      <w:tr w:rsidR="00B1638F" w:rsidRPr="00B754F9" w14:paraId="6C105D44" w14:textId="77777777" w:rsidTr="006524C8">
        <w:trPr>
          <w:trHeight w:val="300"/>
        </w:trPr>
        <w:tc>
          <w:tcPr>
            <w:tcW w:w="1641" w:type="pct"/>
            <w:noWrap/>
            <w:vAlign w:val="center"/>
          </w:tcPr>
          <w:p w14:paraId="616C2BB4" w14:textId="1F9413FA" w:rsidR="00B1638F" w:rsidRPr="009D04CC" w:rsidRDefault="00B1638F">
            <w:pPr>
              <w:rPr>
                <w:rFonts w:cs="Arial"/>
                <w:szCs w:val="22"/>
              </w:rPr>
            </w:pPr>
            <w:r w:rsidRPr="009D04CC">
              <w:rPr>
                <w:rFonts w:cs="Arial"/>
                <w:color w:val="000000"/>
                <w:szCs w:val="22"/>
              </w:rPr>
              <w:t>548,634.50</w:t>
            </w:r>
            <w:r w:rsidR="006747B5">
              <w:rPr>
                <w:rFonts w:cs="Arial"/>
                <w:color w:val="000000"/>
                <w:szCs w:val="22"/>
              </w:rPr>
              <w:t>–</w:t>
            </w:r>
            <w:r w:rsidRPr="009D04CC">
              <w:rPr>
                <w:rFonts w:cs="Arial"/>
                <w:color w:val="000000"/>
                <w:szCs w:val="22"/>
              </w:rPr>
              <w:t>822,951.80</w:t>
            </w:r>
          </w:p>
        </w:tc>
        <w:tc>
          <w:tcPr>
            <w:tcW w:w="859" w:type="pct"/>
            <w:noWrap/>
            <w:vAlign w:val="center"/>
          </w:tcPr>
          <w:p w14:paraId="0DD58AE0" w14:textId="236D7C00" w:rsidR="00B1638F" w:rsidRPr="008915D9" w:rsidRDefault="00103DDA" w:rsidP="008915D9">
            <w:pPr>
              <w:rPr>
                <w:rFonts w:cs="Arial"/>
                <w:szCs w:val="22"/>
              </w:rPr>
            </w:pPr>
            <w:r w:rsidRPr="006B0B19">
              <w:t>3</w:t>
            </w:r>
          </w:p>
        </w:tc>
        <w:tc>
          <w:tcPr>
            <w:tcW w:w="1250" w:type="pct"/>
            <w:noWrap/>
            <w:vAlign w:val="center"/>
          </w:tcPr>
          <w:p w14:paraId="543D6C8B" w14:textId="0ECF1E1D" w:rsidR="00B1638F" w:rsidRPr="008915D9" w:rsidRDefault="00103DDA" w:rsidP="008915D9">
            <w:pPr>
              <w:rPr>
                <w:rFonts w:cs="Arial"/>
                <w:szCs w:val="22"/>
              </w:rPr>
            </w:pPr>
            <w:r w:rsidRPr="006B0B19">
              <w:t>581,957.09</w:t>
            </w:r>
          </w:p>
        </w:tc>
        <w:tc>
          <w:tcPr>
            <w:tcW w:w="1250" w:type="pct"/>
            <w:noWrap/>
            <w:vAlign w:val="center"/>
          </w:tcPr>
          <w:p w14:paraId="0A86AFBB" w14:textId="3AC2EC2B" w:rsidR="00B1638F" w:rsidRPr="008915D9" w:rsidRDefault="00E87C06" w:rsidP="008915D9">
            <w:pPr>
              <w:rPr>
                <w:rFonts w:cs="Arial"/>
                <w:szCs w:val="22"/>
              </w:rPr>
            </w:pPr>
            <w:r w:rsidRPr="006B0B19">
              <w:t>14,168.33</w:t>
            </w:r>
          </w:p>
        </w:tc>
      </w:tr>
      <w:tr w:rsidR="00B1638F" w:rsidRPr="00B754F9" w14:paraId="09ED687F" w14:textId="77777777" w:rsidTr="006524C8">
        <w:trPr>
          <w:trHeight w:val="300"/>
        </w:trPr>
        <w:tc>
          <w:tcPr>
            <w:tcW w:w="1641" w:type="pct"/>
            <w:noWrap/>
            <w:vAlign w:val="center"/>
          </w:tcPr>
          <w:p w14:paraId="4AD6ECB8" w14:textId="6B5984C1" w:rsidR="00B1638F" w:rsidRPr="009D04CC" w:rsidRDefault="00B1638F">
            <w:pPr>
              <w:rPr>
                <w:rFonts w:cs="Arial"/>
                <w:szCs w:val="22"/>
              </w:rPr>
            </w:pPr>
            <w:r w:rsidRPr="009D04CC">
              <w:rPr>
                <w:rFonts w:cs="Arial"/>
                <w:color w:val="000000"/>
                <w:szCs w:val="22"/>
              </w:rPr>
              <w:t>822,951.80</w:t>
            </w:r>
            <w:r w:rsidR="006747B5">
              <w:rPr>
                <w:rFonts w:cs="Arial"/>
                <w:color w:val="000000"/>
                <w:szCs w:val="22"/>
              </w:rPr>
              <w:t>–</w:t>
            </w:r>
            <w:r w:rsidRPr="009D04CC">
              <w:rPr>
                <w:rFonts w:cs="Arial"/>
                <w:color w:val="000000"/>
                <w:szCs w:val="22"/>
              </w:rPr>
              <w:t>1,195,558.00</w:t>
            </w:r>
          </w:p>
        </w:tc>
        <w:tc>
          <w:tcPr>
            <w:tcW w:w="859" w:type="pct"/>
            <w:noWrap/>
            <w:vAlign w:val="center"/>
          </w:tcPr>
          <w:p w14:paraId="324421CA" w14:textId="1F584139" w:rsidR="00B1638F" w:rsidRPr="008915D9" w:rsidRDefault="00103DDA" w:rsidP="008915D9">
            <w:pPr>
              <w:rPr>
                <w:rFonts w:cs="Arial"/>
                <w:szCs w:val="22"/>
              </w:rPr>
            </w:pPr>
            <w:r w:rsidRPr="006B0B19">
              <w:t>2</w:t>
            </w:r>
          </w:p>
        </w:tc>
        <w:tc>
          <w:tcPr>
            <w:tcW w:w="1250" w:type="pct"/>
            <w:noWrap/>
            <w:vAlign w:val="center"/>
          </w:tcPr>
          <w:p w14:paraId="7AD11F24" w14:textId="6446DDD7" w:rsidR="00B1638F" w:rsidRPr="008915D9" w:rsidRDefault="00103DDA" w:rsidP="008915D9">
            <w:pPr>
              <w:rPr>
                <w:rFonts w:cs="Arial"/>
                <w:szCs w:val="22"/>
              </w:rPr>
            </w:pPr>
            <w:r w:rsidRPr="006B0B19">
              <w:t>1,106,803.89</w:t>
            </w:r>
          </w:p>
        </w:tc>
        <w:tc>
          <w:tcPr>
            <w:tcW w:w="1250" w:type="pct"/>
            <w:noWrap/>
            <w:vAlign w:val="center"/>
          </w:tcPr>
          <w:p w14:paraId="1E1AEC71" w14:textId="0DB97985" w:rsidR="00B1638F" w:rsidRPr="008915D9" w:rsidRDefault="00E87C06" w:rsidP="008915D9">
            <w:pPr>
              <w:rPr>
                <w:rFonts w:cs="Arial"/>
                <w:szCs w:val="22"/>
              </w:rPr>
            </w:pPr>
            <w:r w:rsidRPr="006B0B19">
              <w:t>7,820.00</w:t>
            </w:r>
          </w:p>
        </w:tc>
      </w:tr>
      <w:tr w:rsidR="00B1638F" w:rsidRPr="00B754F9" w14:paraId="2958281F" w14:textId="77777777" w:rsidTr="006524C8">
        <w:trPr>
          <w:trHeight w:val="300"/>
        </w:trPr>
        <w:tc>
          <w:tcPr>
            <w:tcW w:w="1641" w:type="pct"/>
            <w:noWrap/>
            <w:vAlign w:val="center"/>
          </w:tcPr>
          <w:p w14:paraId="73CE8183" w14:textId="1F7792D3" w:rsidR="00B1638F" w:rsidRPr="009D04CC" w:rsidRDefault="00B1638F">
            <w:pPr>
              <w:rPr>
                <w:rFonts w:cs="Arial"/>
                <w:szCs w:val="22"/>
              </w:rPr>
            </w:pPr>
            <w:r w:rsidRPr="009D04CC">
              <w:rPr>
                <w:rFonts w:cs="Arial"/>
                <w:color w:val="000000"/>
                <w:szCs w:val="22"/>
              </w:rPr>
              <w:t>&gt; 1,195,558.00</w:t>
            </w:r>
          </w:p>
        </w:tc>
        <w:tc>
          <w:tcPr>
            <w:tcW w:w="859" w:type="pct"/>
            <w:noWrap/>
            <w:vAlign w:val="center"/>
          </w:tcPr>
          <w:p w14:paraId="544B7354" w14:textId="54A84809" w:rsidR="00B1638F" w:rsidRPr="008915D9" w:rsidRDefault="00103DDA" w:rsidP="008915D9">
            <w:pPr>
              <w:rPr>
                <w:rFonts w:cs="Arial"/>
                <w:szCs w:val="22"/>
              </w:rPr>
            </w:pPr>
            <w:r w:rsidRPr="006B0B19">
              <w:t>33</w:t>
            </w:r>
          </w:p>
        </w:tc>
        <w:tc>
          <w:tcPr>
            <w:tcW w:w="1250" w:type="pct"/>
            <w:noWrap/>
            <w:vAlign w:val="center"/>
          </w:tcPr>
          <w:p w14:paraId="6D94375A" w14:textId="49486246" w:rsidR="00B1638F" w:rsidRPr="008915D9" w:rsidRDefault="00103DDA" w:rsidP="008915D9">
            <w:pPr>
              <w:rPr>
                <w:rFonts w:cs="Arial"/>
                <w:szCs w:val="22"/>
              </w:rPr>
            </w:pPr>
            <w:r w:rsidRPr="006B0B19">
              <w:t>28,402,704.24</w:t>
            </w:r>
          </w:p>
        </w:tc>
        <w:tc>
          <w:tcPr>
            <w:tcW w:w="1250" w:type="pct"/>
            <w:noWrap/>
            <w:vAlign w:val="center"/>
          </w:tcPr>
          <w:p w14:paraId="5FF73279" w14:textId="78EEE50D" w:rsidR="00B1638F" w:rsidRPr="008915D9" w:rsidRDefault="00E87C06" w:rsidP="008915D9">
            <w:pPr>
              <w:rPr>
                <w:rFonts w:cs="Arial"/>
                <w:szCs w:val="22"/>
              </w:rPr>
            </w:pPr>
            <w:r w:rsidRPr="006B0B19">
              <w:t>60,868.88</w:t>
            </w:r>
          </w:p>
        </w:tc>
      </w:tr>
    </w:tbl>
    <w:p w14:paraId="693A699D" w14:textId="3D23DA57" w:rsidR="002D1235" w:rsidRDefault="004C69FE" w:rsidP="00D850B1">
      <w:pPr>
        <w:pStyle w:val="Heading3"/>
        <w:spacing w:before="120"/>
      </w:pPr>
      <w:bookmarkStart w:id="146" w:name="_Adjudicators"/>
      <w:bookmarkEnd w:id="146"/>
      <w:r>
        <w:t>Adjudicator</w:t>
      </w:r>
      <w:r w:rsidR="0B71E352">
        <w:t>s</w:t>
      </w:r>
    </w:p>
    <w:p w14:paraId="7D305D25" w14:textId="0E58E755" w:rsidR="00445205" w:rsidRPr="00B754F9" w:rsidRDefault="009E237D" w:rsidP="002D1235">
      <w:pPr>
        <w:spacing w:before="120" w:after="120"/>
        <w:rPr>
          <w:rFonts w:cs="Arial"/>
        </w:rPr>
      </w:pPr>
      <w:r w:rsidRPr="1AC001CD">
        <w:rPr>
          <w:rFonts w:cs="Arial"/>
        </w:rPr>
        <w:t xml:space="preserve">Adjudicators </w:t>
      </w:r>
      <w:r w:rsidR="009B634A" w:rsidRPr="1AC001CD">
        <w:rPr>
          <w:rFonts w:cs="Arial"/>
        </w:rPr>
        <w:t xml:space="preserve">are independent qualified professionals </w:t>
      </w:r>
      <w:r w:rsidR="00D37C4D" w:rsidRPr="1AC001CD">
        <w:rPr>
          <w:rFonts w:cs="Arial"/>
        </w:rPr>
        <w:t xml:space="preserve">appointed to make </w:t>
      </w:r>
      <w:r w:rsidR="149A569B" w:rsidRPr="1AC001CD">
        <w:rPr>
          <w:rFonts w:cs="Arial"/>
        </w:rPr>
        <w:t xml:space="preserve">court-enforceable </w:t>
      </w:r>
      <w:r w:rsidR="00D37C4D" w:rsidRPr="1AC001CD">
        <w:rPr>
          <w:rFonts w:cs="Arial"/>
        </w:rPr>
        <w:t>decisions</w:t>
      </w:r>
      <w:r w:rsidR="00E37836" w:rsidRPr="1AC001CD">
        <w:rPr>
          <w:rFonts w:cs="Arial"/>
        </w:rPr>
        <w:t xml:space="preserve"> </w:t>
      </w:r>
      <w:r w:rsidR="00C71239" w:rsidRPr="1AC001CD">
        <w:rPr>
          <w:rFonts w:cs="Arial"/>
        </w:rPr>
        <w:t>i</w:t>
      </w:r>
      <w:r w:rsidR="00E37836" w:rsidRPr="1AC001CD">
        <w:rPr>
          <w:rFonts w:cs="Arial"/>
        </w:rPr>
        <w:t>n payment disputes</w:t>
      </w:r>
      <w:r w:rsidR="00EE470A" w:rsidRPr="1AC001CD">
        <w:rPr>
          <w:rFonts w:cs="Arial"/>
        </w:rPr>
        <w:t xml:space="preserve"> under the BIF Act</w:t>
      </w:r>
      <w:r w:rsidR="00E37836" w:rsidRPr="1AC001CD">
        <w:rPr>
          <w:rFonts w:cs="Arial"/>
        </w:rPr>
        <w:t xml:space="preserve">. </w:t>
      </w:r>
      <w:r w:rsidR="007728CC" w:rsidRPr="1AC001CD">
        <w:rPr>
          <w:rFonts w:cs="Arial"/>
        </w:rPr>
        <w:t>I</w:t>
      </w:r>
      <w:r w:rsidR="003F3D0F" w:rsidRPr="1AC001CD">
        <w:rPr>
          <w:rFonts w:cs="Arial"/>
        </w:rPr>
        <w:t>ndividuals</w:t>
      </w:r>
      <w:r w:rsidR="00666057" w:rsidRPr="1AC001CD">
        <w:rPr>
          <w:rFonts w:cs="Arial"/>
        </w:rPr>
        <w:t xml:space="preserve"> </w:t>
      </w:r>
      <w:r w:rsidR="00D75B5F" w:rsidRPr="1AC001CD">
        <w:rPr>
          <w:rFonts w:cs="Arial"/>
        </w:rPr>
        <w:t xml:space="preserve">seeking </w:t>
      </w:r>
      <w:r w:rsidR="00A62A6D" w:rsidRPr="1AC001CD">
        <w:rPr>
          <w:rFonts w:cs="Arial"/>
        </w:rPr>
        <w:t>regist</w:t>
      </w:r>
      <w:r w:rsidR="001C0E36">
        <w:rPr>
          <w:rFonts w:cs="Arial"/>
        </w:rPr>
        <w:t>r</w:t>
      </w:r>
      <w:r w:rsidR="5F03FD47" w:rsidRPr="1AC001CD">
        <w:rPr>
          <w:rFonts w:cs="Arial"/>
        </w:rPr>
        <w:t>ation</w:t>
      </w:r>
      <w:r w:rsidR="00A62A6D" w:rsidRPr="1AC001CD">
        <w:rPr>
          <w:rFonts w:cs="Arial"/>
        </w:rPr>
        <w:t xml:space="preserve"> </w:t>
      </w:r>
      <w:r w:rsidR="219EE602" w:rsidRPr="1AC001CD">
        <w:rPr>
          <w:rFonts w:cs="Arial"/>
        </w:rPr>
        <w:t>as adjudicator</w:t>
      </w:r>
      <w:r w:rsidR="6B68CA98" w:rsidRPr="1AC001CD">
        <w:rPr>
          <w:rFonts w:cs="Arial"/>
        </w:rPr>
        <w:t>s</w:t>
      </w:r>
      <w:r w:rsidR="219EE602" w:rsidRPr="1AC001CD">
        <w:rPr>
          <w:rFonts w:cs="Arial"/>
        </w:rPr>
        <w:t xml:space="preserve"> must</w:t>
      </w:r>
      <w:r w:rsidR="00D75B5F" w:rsidRPr="1AC001CD">
        <w:rPr>
          <w:rFonts w:cs="Arial"/>
        </w:rPr>
        <w:t xml:space="preserve"> </w:t>
      </w:r>
      <w:r w:rsidR="00D91039" w:rsidRPr="1AC001CD">
        <w:rPr>
          <w:rFonts w:cs="Arial"/>
        </w:rPr>
        <w:t xml:space="preserve">apply </w:t>
      </w:r>
      <w:r w:rsidR="00933BBE" w:rsidRPr="1AC001CD">
        <w:rPr>
          <w:rFonts w:cs="Arial"/>
        </w:rPr>
        <w:t xml:space="preserve">through </w:t>
      </w:r>
      <w:r w:rsidR="00D91039" w:rsidRPr="1AC001CD">
        <w:rPr>
          <w:rFonts w:cs="Arial"/>
        </w:rPr>
        <w:t>the R</w:t>
      </w:r>
      <w:r w:rsidR="0060605B" w:rsidRPr="1AC001CD">
        <w:rPr>
          <w:rFonts w:cs="Arial"/>
        </w:rPr>
        <w:t>e</w:t>
      </w:r>
      <w:r w:rsidR="00D91039" w:rsidRPr="1AC001CD">
        <w:rPr>
          <w:rFonts w:cs="Arial"/>
        </w:rPr>
        <w:t>gistry</w:t>
      </w:r>
      <w:r w:rsidR="00AF4861">
        <w:rPr>
          <w:rFonts w:cs="Arial"/>
        </w:rPr>
        <w:t>,</w:t>
      </w:r>
      <w:r w:rsidR="7F2C4D7F" w:rsidRPr="1AC001CD">
        <w:rPr>
          <w:rFonts w:cs="Arial"/>
        </w:rPr>
        <w:t xml:space="preserve"> where a</w:t>
      </w:r>
      <w:r w:rsidR="00933BBE" w:rsidRPr="1AC001CD">
        <w:rPr>
          <w:rFonts w:cs="Arial"/>
        </w:rPr>
        <w:t>ll a</w:t>
      </w:r>
      <w:r w:rsidR="004F2CE8" w:rsidRPr="1AC001CD">
        <w:rPr>
          <w:rFonts w:cs="Arial"/>
        </w:rPr>
        <w:t>pplica</w:t>
      </w:r>
      <w:r w:rsidR="00933BBE" w:rsidRPr="1AC001CD">
        <w:rPr>
          <w:rFonts w:cs="Arial"/>
        </w:rPr>
        <w:t xml:space="preserve">nts are </w:t>
      </w:r>
      <w:r w:rsidR="004F2CE8" w:rsidRPr="1AC001CD">
        <w:rPr>
          <w:rFonts w:cs="Arial"/>
        </w:rPr>
        <w:t xml:space="preserve">assessed </w:t>
      </w:r>
      <w:r w:rsidR="2A138645" w:rsidRPr="1AC001CD">
        <w:rPr>
          <w:rFonts w:cs="Arial"/>
        </w:rPr>
        <w:t>against the</w:t>
      </w:r>
      <w:r w:rsidR="00933BBE" w:rsidRPr="1AC001CD">
        <w:rPr>
          <w:rFonts w:cs="Arial"/>
        </w:rPr>
        <w:t xml:space="preserve"> </w:t>
      </w:r>
      <w:r w:rsidR="7BB29459" w:rsidRPr="1AC001CD">
        <w:rPr>
          <w:rFonts w:cs="Arial"/>
        </w:rPr>
        <w:t>relevant</w:t>
      </w:r>
      <w:r w:rsidR="00933BBE" w:rsidRPr="1AC001CD">
        <w:rPr>
          <w:rFonts w:cs="Arial"/>
        </w:rPr>
        <w:t xml:space="preserve"> le</w:t>
      </w:r>
      <w:r w:rsidR="00E47E70" w:rsidRPr="1AC001CD">
        <w:rPr>
          <w:rFonts w:cs="Arial"/>
        </w:rPr>
        <w:t>gislative requirements</w:t>
      </w:r>
      <w:r w:rsidR="6469B4F7" w:rsidRPr="1AC001CD">
        <w:rPr>
          <w:rFonts w:cs="Arial"/>
        </w:rPr>
        <w:t>. R</w:t>
      </w:r>
      <w:r w:rsidR="00E47E70" w:rsidRPr="1AC001CD">
        <w:rPr>
          <w:rFonts w:cs="Arial"/>
        </w:rPr>
        <w:t xml:space="preserve">egistrations </w:t>
      </w:r>
      <w:r w:rsidR="6498368A" w:rsidRPr="1AC001CD">
        <w:rPr>
          <w:rFonts w:cs="Arial"/>
        </w:rPr>
        <w:t xml:space="preserve">are valid for </w:t>
      </w:r>
      <w:r w:rsidR="004C69FE" w:rsidRPr="1AC001CD">
        <w:rPr>
          <w:rFonts w:cs="Arial"/>
        </w:rPr>
        <w:t>three years</w:t>
      </w:r>
      <w:r w:rsidR="668DE64D" w:rsidRPr="1AC001CD">
        <w:rPr>
          <w:rFonts w:cs="Arial"/>
        </w:rPr>
        <w:t xml:space="preserve"> and must be renewed to remain active</w:t>
      </w:r>
      <w:r w:rsidR="004C69FE" w:rsidRPr="1AC001CD">
        <w:rPr>
          <w:rFonts w:cs="Arial"/>
        </w:rPr>
        <w:t>.</w:t>
      </w:r>
      <w:r w:rsidR="0076220B" w:rsidRPr="1AC001CD">
        <w:rPr>
          <w:rFonts w:cs="Arial"/>
        </w:rPr>
        <w:t xml:space="preserve"> </w:t>
      </w:r>
      <w:r w:rsidR="00AF4861">
        <w:rPr>
          <w:rFonts w:cs="Arial"/>
        </w:rPr>
        <w:t>Table 27</w:t>
      </w:r>
      <w:r w:rsidR="00032A8E">
        <w:rPr>
          <w:rFonts w:cs="Arial"/>
        </w:rPr>
        <w:fldChar w:fldCharType="begin"/>
      </w:r>
      <w:r w:rsidR="00032A8E">
        <w:rPr>
          <w:rFonts w:cs="Arial"/>
        </w:rPr>
        <w:instrText xml:space="preserve"> REF _Ref201911708 \h </w:instrText>
      </w:r>
      <w:r w:rsidR="00032A8E">
        <w:rPr>
          <w:rFonts w:cs="Arial"/>
        </w:rPr>
      </w:r>
      <w:r w:rsidR="00032A8E">
        <w:rPr>
          <w:rFonts w:cs="Arial"/>
        </w:rPr>
        <w:fldChar w:fldCharType="separate"/>
      </w:r>
      <w:r w:rsidR="00032A8E">
        <w:rPr>
          <w:rFonts w:cs="Arial"/>
        </w:rPr>
        <w:fldChar w:fldCharType="end"/>
      </w:r>
      <w:r w:rsidR="004C69FE" w:rsidRPr="1AC001CD">
        <w:rPr>
          <w:rFonts w:cs="Arial"/>
        </w:rPr>
        <w:t xml:space="preserve"> </w:t>
      </w:r>
      <w:r w:rsidR="4B2C31B2" w:rsidRPr="1AC001CD">
        <w:rPr>
          <w:rFonts w:cs="Arial"/>
        </w:rPr>
        <w:t xml:space="preserve">outlines </w:t>
      </w:r>
      <w:r w:rsidR="004F2CE8" w:rsidRPr="1AC001CD">
        <w:rPr>
          <w:rFonts w:cs="Arial"/>
        </w:rPr>
        <w:t xml:space="preserve">adjudicator </w:t>
      </w:r>
      <w:r w:rsidR="2A2535A9" w:rsidRPr="1AC001CD">
        <w:rPr>
          <w:rFonts w:cs="Arial"/>
        </w:rPr>
        <w:t>registrations and renewals process</w:t>
      </w:r>
      <w:r w:rsidR="52C9C39C" w:rsidRPr="1AC001CD">
        <w:rPr>
          <w:rFonts w:cs="Arial"/>
        </w:rPr>
        <w:t>ed</w:t>
      </w:r>
      <w:r w:rsidR="2A2535A9" w:rsidRPr="1AC001CD">
        <w:rPr>
          <w:rFonts w:cs="Arial"/>
        </w:rPr>
        <w:t xml:space="preserve"> </w:t>
      </w:r>
      <w:r w:rsidR="4D9EBD25" w:rsidRPr="1AC001CD">
        <w:rPr>
          <w:rFonts w:cs="Arial"/>
        </w:rPr>
        <w:t xml:space="preserve">by the Registry </w:t>
      </w:r>
      <w:r w:rsidR="00093349" w:rsidRPr="1AC001CD">
        <w:rPr>
          <w:rFonts w:cs="Arial"/>
        </w:rPr>
        <w:t>during the reporting period</w:t>
      </w:r>
      <w:r w:rsidR="72B652DD" w:rsidRPr="1AC001CD">
        <w:rPr>
          <w:rFonts w:cs="Arial"/>
        </w:rPr>
        <w:t>, along with the associated fees received</w:t>
      </w:r>
      <w:r w:rsidR="6F41D920" w:rsidRPr="1AC001CD">
        <w:rPr>
          <w:rFonts w:cs="Arial"/>
        </w:rPr>
        <w:t>.</w:t>
      </w:r>
    </w:p>
    <w:p w14:paraId="4074A604" w14:textId="56249FDE" w:rsidR="004C69FE" w:rsidRPr="00032A8E" w:rsidRDefault="00032A8E" w:rsidP="002D1235">
      <w:pPr>
        <w:pStyle w:val="Caption"/>
        <w:keepNext/>
        <w:spacing w:before="120" w:after="120"/>
      </w:pPr>
      <w:bookmarkStart w:id="147" w:name="_Ref201911708"/>
      <w:bookmarkStart w:id="148" w:name="_Toc202872057"/>
      <w:bookmarkStart w:id="149" w:name="_Toc202872677"/>
      <w:r>
        <w:t>Table</w:t>
      </w:r>
      <w:r w:rsidR="00311DBB">
        <w:t xml:space="preserve"> 27</w:t>
      </w:r>
      <w:bookmarkEnd w:id="147"/>
      <w:r w:rsidRPr="009959AA">
        <w:t xml:space="preserve">: </w:t>
      </w:r>
      <w:bookmarkStart w:id="150" w:name="_Ref202873597"/>
      <w:r w:rsidRPr="009959AA">
        <w:t>Number of adjudicator applications and associated fees received in 2024–25</w:t>
      </w:r>
      <w:bookmarkEnd w:id="148"/>
      <w:bookmarkEnd w:id="149"/>
      <w:bookmarkEnd w:id="150"/>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9"/>
        <w:gridCol w:w="3449"/>
        <w:gridCol w:w="3450"/>
      </w:tblGrid>
      <w:tr w:rsidR="00E55AEF" w:rsidRPr="00B754F9" w14:paraId="4AE48501" w14:textId="4D802242" w:rsidTr="00810C72">
        <w:trPr>
          <w:trHeight w:val="300"/>
        </w:trPr>
        <w:tc>
          <w:tcPr>
            <w:tcW w:w="3449" w:type="dxa"/>
            <w:shd w:val="clear" w:color="auto" w:fill="A6A6A6" w:themeFill="background1" w:themeFillShade="A6"/>
            <w:noWrap/>
            <w:vAlign w:val="center"/>
          </w:tcPr>
          <w:p w14:paraId="145358F1" w14:textId="00C6A0A6" w:rsidR="00854AD4" w:rsidRPr="00530953" w:rsidRDefault="56ED86CF" w:rsidP="00854AD4">
            <w:pPr>
              <w:keepLines/>
              <w:ind w:right="118"/>
              <w:jc w:val="both"/>
              <w:rPr>
                <w:rFonts w:cs="Arial"/>
                <w:b/>
                <w:szCs w:val="22"/>
              </w:rPr>
            </w:pPr>
            <w:r w:rsidRPr="00530953">
              <w:rPr>
                <w:rFonts w:cs="Arial"/>
                <w:b/>
                <w:szCs w:val="22"/>
              </w:rPr>
              <w:t>Application type</w:t>
            </w:r>
          </w:p>
        </w:tc>
        <w:tc>
          <w:tcPr>
            <w:tcW w:w="3449" w:type="dxa"/>
            <w:shd w:val="clear" w:color="auto" w:fill="A6A6A6" w:themeFill="background1" w:themeFillShade="A6"/>
            <w:vAlign w:val="center"/>
          </w:tcPr>
          <w:p w14:paraId="6514007F" w14:textId="4B4230B4" w:rsidR="00854AD4" w:rsidRPr="00530953" w:rsidRDefault="7ADE0E0F" w:rsidP="009D04CC">
            <w:pPr>
              <w:keepLines/>
              <w:ind w:right="118"/>
              <w:rPr>
                <w:rFonts w:cs="Arial"/>
                <w:b/>
                <w:szCs w:val="22"/>
              </w:rPr>
            </w:pPr>
            <w:r w:rsidRPr="00530953">
              <w:rPr>
                <w:rFonts w:cs="Arial"/>
                <w:b/>
                <w:szCs w:val="22"/>
              </w:rPr>
              <w:t>Total n</w:t>
            </w:r>
            <w:r w:rsidR="3FE70B95" w:rsidRPr="00530953">
              <w:rPr>
                <w:rFonts w:cs="Arial"/>
                <w:b/>
                <w:szCs w:val="22"/>
              </w:rPr>
              <w:t>umber</w:t>
            </w:r>
          </w:p>
        </w:tc>
        <w:tc>
          <w:tcPr>
            <w:tcW w:w="3450" w:type="dxa"/>
            <w:shd w:val="clear" w:color="auto" w:fill="A6A6A6" w:themeFill="background1" w:themeFillShade="A6"/>
            <w:vAlign w:val="center"/>
          </w:tcPr>
          <w:p w14:paraId="47AF0F33" w14:textId="45533BD0" w:rsidR="00854AD4" w:rsidRPr="00530953" w:rsidRDefault="496FE589" w:rsidP="009D04CC">
            <w:pPr>
              <w:keepLines/>
              <w:ind w:right="118"/>
              <w:rPr>
                <w:rFonts w:cs="Arial"/>
                <w:b/>
                <w:szCs w:val="22"/>
              </w:rPr>
            </w:pPr>
            <w:r w:rsidRPr="00530953">
              <w:rPr>
                <w:rFonts w:cs="Arial"/>
                <w:b/>
                <w:szCs w:val="22"/>
              </w:rPr>
              <w:t>Total f</w:t>
            </w:r>
            <w:r w:rsidR="5BBBA52D" w:rsidRPr="00530953">
              <w:rPr>
                <w:rFonts w:cs="Arial"/>
                <w:b/>
                <w:szCs w:val="22"/>
              </w:rPr>
              <w:t>ee</w:t>
            </w:r>
            <w:r w:rsidR="78054FC1" w:rsidRPr="00530953">
              <w:rPr>
                <w:rFonts w:cs="Arial"/>
                <w:b/>
                <w:szCs w:val="22"/>
              </w:rPr>
              <w:t>s</w:t>
            </w:r>
          </w:p>
        </w:tc>
      </w:tr>
      <w:tr w:rsidR="00951D5C" w:rsidRPr="00B754F9" w14:paraId="74859AC7" w14:textId="27AEC30F" w:rsidTr="006715B1">
        <w:trPr>
          <w:trHeight w:val="300"/>
        </w:trPr>
        <w:tc>
          <w:tcPr>
            <w:tcW w:w="3449" w:type="dxa"/>
            <w:noWrap/>
            <w:vAlign w:val="center"/>
          </w:tcPr>
          <w:p w14:paraId="2331961A" w14:textId="77777777" w:rsidR="004C69FE" w:rsidRPr="00530953" w:rsidRDefault="004C69FE">
            <w:pPr>
              <w:keepLines/>
              <w:ind w:right="118"/>
              <w:jc w:val="both"/>
              <w:rPr>
                <w:rFonts w:cs="Arial"/>
                <w:szCs w:val="22"/>
              </w:rPr>
            </w:pPr>
            <w:r w:rsidRPr="00530953">
              <w:rPr>
                <w:rFonts w:cs="Arial"/>
                <w:szCs w:val="22"/>
              </w:rPr>
              <w:t>Registration  </w:t>
            </w:r>
          </w:p>
        </w:tc>
        <w:tc>
          <w:tcPr>
            <w:tcW w:w="3449" w:type="dxa"/>
          </w:tcPr>
          <w:p w14:paraId="0C615FB8" w14:textId="33359B09" w:rsidR="002C14E8" w:rsidRPr="009B6B15" w:rsidRDefault="00257CC0" w:rsidP="009D04CC">
            <w:pPr>
              <w:keepLines/>
              <w:ind w:right="118"/>
              <w:rPr>
                <w:rFonts w:cs="Arial"/>
                <w:szCs w:val="22"/>
              </w:rPr>
            </w:pPr>
            <w:r w:rsidRPr="006B0B19">
              <w:t>8</w:t>
            </w:r>
          </w:p>
        </w:tc>
        <w:tc>
          <w:tcPr>
            <w:tcW w:w="3450" w:type="dxa"/>
          </w:tcPr>
          <w:p w14:paraId="193B17E5" w14:textId="2A898542" w:rsidR="002C14E8" w:rsidRPr="009B6B15" w:rsidRDefault="00257CC0" w:rsidP="009D04CC">
            <w:pPr>
              <w:keepLines/>
              <w:ind w:right="118"/>
              <w:rPr>
                <w:rFonts w:cs="Arial"/>
                <w:szCs w:val="22"/>
              </w:rPr>
            </w:pPr>
            <w:r w:rsidRPr="006B0B19">
              <w:t>$7,152.48</w:t>
            </w:r>
          </w:p>
        </w:tc>
      </w:tr>
      <w:tr w:rsidR="00951D5C" w:rsidRPr="00B754F9" w14:paraId="5572B3F8" w14:textId="063C9761" w:rsidTr="00B76A60">
        <w:trPr>
          <w:trHeight w:val="300"/>
        </w:trPr>
        <w:tc>
          <w:tcPr>
            <w:tcW w:w="3449" w:type="dxa"/>
            <w:noWrap/>
            <w:vAlign w:val="center"/>
          </w:tcPr>
          <w:p w14:paraId="448FC47F" w14:textId="77777777" w:rsidR="004C69FE" w:rsidRPr="00530953" w:rsidRDefault="004C69FE" w:rsidP="00A120C3">
            <w:pPr>
              <w:keepLines/>
              <w:ind w:right="118"/>
              <w:rPr>
                <w:rFonts w:cs="Arial"/>
                <w:szCs w:val="22"/>
              </w:rPr>
            </w:pPr>
            <w:r w:rsidRPr="00530953">
              <w:rPr>
                <w:rFonts w:cs="Arial"/>
                <w:szCs w:val="22"/>
              </w:rPr>
              <w:t>Renewal  </w:t>
            </w:r>
          </w:p>
        </w:tc>
        <w:tc>
          <w:tcPr>
            <w:tcW w:w="3449" w:type="dxa"/>
            <w:vAlign w:val="center"/>
          </w:tcPr>
          <w:p w14:paraId="6069C3F8" w14:textId="78C9F869" w:rsidR="002C14E8" w:rsidRPr="009B6B15" w:rsidRDefault="00257CC0" w:rsidP="009D04CC">
            <w:pPr>
              <w:keepLines/>
              <w:ind w:right="118"/>
              <w:rPr>
                <w:rFonts w:cs="Arial"/>
                <w:szCs w:val="22"/>
              </w:rPr>
            </w:pPr>
            <w:r w:rsidRPr="006B0B19">
              <w:t>34</w:t>
            </w:r>
          </w:p>
        </w:tc>
        <w:tc>
          <w:tcPr>
            <w:tcW w:w="3450" w:type="dxa"/>
            <w:vAlign w:val="center"/>
          </w:tcPr>
          <w:p w14:paraId="642EDC1D" w14:textId="774BC043" w:rsidR="002C14E8" w:rsidRPr="009B6B15" w:rsidRDefault="00257CC0" w:rsidP="009D04CC">
            <w:pPr>
              <w:keepLines/>
              <w:ind w:right="118"/>
              <w:rPr>
                <w:rFonts w:cs="Arial"/>
                <w:szCs w:val="22"/>
              </w:rPr>
            </w:pPr>
            <w:r w:rsidRPr="006B0B19">
              <w:t>$30,398.04</w:t>
            </w:r>
          </w:p>
        </w:tc>
      </w:tr>
    </w:tbl>
    <w:p w14:paraId="4ABAAD38" w14:textId="7B39DB07" w:rsidR="00181C74" w:rsidRPr="00904B20" w:rsidRDefault="00AA1E0B" w:rsidP="0076007E">
      <w:pPr>
        <w:ind w:right="118"/>
        <w:jc w:val="both"/>
        <w:rPr>
          <w:rFonts w:cs="Arial"/>
          <w:i/>
          <w:sz w:val="16"/>
          <w:szCs w:val="16"/>
        </w:rPr>
      </w:pPr>
      <w:r>
        <w:rPr>
          <w:rFonts w:cs="Arial"/>
          <w:i/>
          <w:sz w:val="16"/>
          <w:szCs w:val="16"/>
        </w:rPr>
        <w:t>Note.</w:t>
      </w:r>
      <w:r w:rsidR="00101C29">
        <w:rPr>
          <w:rFonts w:cs="Arial"/>
          <w:i/>
          <w:sz w:val="16"/>
          <w:szCs w:val="16"/>
        </w:rPr>
        <w:t xml:space="preserve"> </w:t>
      </w:r>
      <w:r w:rsidR="00CB1224">
        <w:rPr>
          <w:rFonts w:cs="Arial"/>
          <w:i/>
          <w:sz w:val="16"/>
          <w:szCs w:val="16"/>
        </w:rPr>
        <w:t>R</w:t>
      </w:r>
      <w:r w:rsidR="004C69FE" w:rsidRPr="00B754F9">
        <w:rPr>
          <w:rFonts w:cs="Arial"/>
          <w:i/>
          <w:sz w:val="16"/>
          <w:szCs w:val="16"/>
        </w:rPr>
        <w:t xml:space="preserve">enewal </w:t>
      </w:r>
      <w:r w:rsidR="00CB1224">
        <w:rPr>
          <w:rFonts w:cs="Arial"/>
          <w:i/>
          <w:sz w:val="16"/>
          <w:szCs w:val="16"/>
        </w:rPr>
        <w:t xml:space="preserve">fees </w:t>
      </w:r>
      <w:r w:rsidR="004C69FE" w:rsidRPr="00B754F9">
        <w:rPr>
          <w:rFonts w:cs="Arial"/>
          <w:i/>
          <w:sz w:val="16"/>
          <w:szCs w:val="16"/>
        </w:rPr>
        <w:t>represent renewal paid</w:t>
      </w:r>
      <w:r w:rsidR="00771B92">
        <w:rPr>
          <w:rFonts w:cs="Arial"/>
          <w:i/>
          <w:sz w:val="16"/>
          <w:szCs w:val="16"/>
        </w:rPr>
        <w:t xml:space="preserve"> </w:t>
      </w:r>
      <w:r w:rsidR="004C69FE" w:rsidRPr="00B754F9">
        <w:rPr>
          <w:rFonts w:cs="Arial"/>
          <w:i/>
          <w:sz w:val="16"/>
          <w:szCs w:val="16"/>
        </w:rPr>
        <w:t>on a cash basis (</w:t>
      </w:r>
      <w:r w:rsidR="004D440A">
        <w:rPr>
          <w:rFonts w:cs="Arial"/>
          <w:i/>
          <w:sz w:val="16"/>
          <w:szCs w:val="16"/>
        </w:rPr>
        <w:t xml:space="preserve">i.e. </w:t>
      </w:r>
      <w:r w:rsidR="004C69FE" w:rsidRPr="00B754F9">
        <w:rPr>
          <w:rFonts w:cs="Arial"/>
          <w:i/>
          <w:sz w:val="16"/>
          <w:szCs w:val="16"/>
        </w:rPr>
        <w:t xml:space="preserve">when debt is paid) </w:t>
      </w:r>
      <w:r w:rsidR="004D440A">
        <w:rPr>
          <w:rFonts w:cs="Arial"/>
          <w:i/>
          <w:sz w:val="16"/>
          <w:szCs w:val="16"/>
        </w:rPr>
        <w:t>as opposed to</w:t>
      </w:r>
      <w:r w:rsidR="004C69FE" w:rsidRPr="00B754F9">
        <w:rPr>
          <w:rFonts w:cs="Arial"/>
          <w:i/>
          <w:sz w:val="16"/>
          <w:szCs w:val="16"/>
        </w:rPr>
        <w:t xml:space="preserve"> on an accrual basis as reported in the financial statements.</w:t>
      </w:r>
    </w:p>
    <w:p w14:paraId="3FE5AB8E" w14:textId="4B236589" w:rsidR="004C69FE" w:rsidRDefault="004C69FE" w:rsidP="00FC6B18">
      <w:pPr>
        <w:pStyle w:val="Heading4"/>
        <w:spacing w:before="120"/>
        <w:rPr>
          <w:rFonts w:eastAsiaTheme="minorEastAsia" w:cs="Arial"/>
        </w:rPr>
      </w:pPr>
      <w:bookmarkStart w:id="151" w:name="_Adjudicator_grading"/>
      <w:bookmarkEnd w:id="151"/>
      <w:r w:rsidRPr="00347B51">
        <w:rPr>
          <w:rFonts w:eastAsiaTheme="minorEastAsia" w:cs="Arial"/>
        </w:rPr>
        <w:t>Adjudicator grading</w:t>
      </w:r>
    </w:p>
    <w:p w14:paraId="4FA738A0" w14:textId="6DA3BFCA" w:rsidR="00491BBC" w:rsidRPr="00C22EC5" w:rsidRDefault="00CD55F8" w:rsidP="00530953">
      <w:pPr>
        <w:spacing w:before="120" w:after="120"/>
        <w:rPr>
          <w:rFonts w:cs="Arial"/>
        </w:rPr>
      </w:pPr>
      <w:r w:rsidRPr="1AC001CD">
        <w:rPr>
          <w:rFonts w:cs="Arial"/>
        </w:rPr>
        <w:t>Adjudicators</w:t>
      </w:r>
      <w:r w:rsidR="007E19DE" w:rsidRPr="1AC001CD">
        <w:rPr>
          <w:rFonts w:cs="Arial"/>
        </w:rPr>
        <w:t xml:space="preserve"> are </w:t>
      </w:r>
      <w:r w:rsidR="00B83F8E">
        <w:rPr>
          <w:rFonts w:cs="Arial"/>
        </w:rPr>
        <w:t>categorised</w:t>
      </w:r>
      <w:r w:rsidR="003E4E0C" w:rsidRPr="1AC001CD">
        <w:rPr>
          <w:rFonts w:cs="Arial"/>
        </w:rPr>
        <w:t xml:space="preserve"> </w:t>
      </w:r>
      <w:r w:rsidR="03E5BA50" w:rsidRPr="1AC001CD">
        <w:rPr>
          <w:rFonts w:cs="Arial"/>
        </w:rPr>
        <w:t xml:space="preserve">as either </w:t>
      </w:r>
      <w:r w:rsidR="00FA614E" w:rsidRPr="1AC001CD">
        <w:rPr>
          <w:rFonts w:cs="Arial"/>
        </w:rPr>
        <w:t>G</w:t>
      </w:r>
      <w:r w:rsidR="007E19DE" w:rsidRPr="1AC001CD">
        <w:rPr>
          <w:rFonts w:cs="Arial"/>
        </w:rPr>
        <w:t xml:space="preserve">rade 1 </w:t>
      </w:r>
      <w:r w:rsidR="65DEDB42" w:rsidRPr="1AC001CD">
        <w:rPr>
          <w:rFonts w:cs="Arial"/>
        </w:rPr>
        <w:t>or</w:t>
      </w:r>
      <w:r w:rsidR="007E19DE" w:rsidRPr="1AC001CD">
        <w:rPr>
          <w:rFonts w:cs="Arial"/>
        </w:rPr>
        <w:t xml:space="preserve"> </w:t>
      </w:r>
      <w:r w:rsidR="00FA614E" w:rsidRPr="1AC001CD">
        <w:rPr>
          <w:rFonts w:cs="Arial"/>
        </w:rPr>
        <w:t>G</w:t>
      </w:r>
      <w:r w:rsidR="007E19DE" w:rsidRPr="1AC001CD">
        <w:rPr>
          <w:rFonts w:cs="Arial"/>
        </w:rPr>
        <w:t>rade 2</w:t>
      </w:r>
      <w:r w:rsidR="00646238">
        <w:rPr>
          <w:rFonts w:cs="Arial"/>
        </w:rPr>
        <w:t xml:space="preserve">, depending on their level of </w:t>
      </w:r>
      <w:r w:rsidR="001A0410">
        <w:rPr>
          <w:rFonts w:cs="Arial"/>
        </w:rPr>
        <w:t>experience</w:t>
      </w:r>
      <w:r w:rsidR="007E19DE" w:rsidRPr="1AC001CD">
        <w:rPr>
          <w:rFonts w:cs="Arial"/>
        </w:rPr>
        <w:t>.</w:t>
      </w:r>
      <w:r w:rsidR="0BC094EF" w:rsidRPr="1AC001CD">
        <w:rPr>
          <w:rFonts w:cs="Arial"/>
        </w:rPr>
        <w:t xml:space="preserve"> </w:t>
      </w:r>
      <w:r w:rsidR="007C4FF9">
        <w:rPr>
          <w:rFonts w:cs="Arial"/>
        </w:rPr>
        <w:t>While</w:t>
      </w:r>
      <w:r w:rsidR="0BC094EF" w:rsidRPr="1AC001CD">
        <w:rPr>
          <w:rFonts w:cs="Arial"/>
        </w:rPr>
        <w:t xml:space="preserve"> Grade 1 adjudicators </w:t>
      </w:r>
      <w:r w:rsidR="003E4E0C">
        <w:rPr>
          <w:rFonts w:cs="Arial"/>
        </w:rPr>
        <w:t xml:space="preserve">undergo </w:t>
      </w:r>
      <w:r w:rsidR="0BC094EF" w:rsidRPr="1AC001CD">
        <w:rPr>
          <w:rFonts w:cs="Arial"/>
        </w:rPr>
        <w:t>annual</w:t>
      </w:r>
      <w:r w:rsidR="003E4E0C">
        <w:rPr>
          <w:rFonts w:cs="Arial"/>
        </w:rPr>
        <w:t xml:space="preserve"> classification</w:t>
      </w:r>
      <w:r w:rsidR="00DB1D07">
        <w:rPr>
          <w:rFonts w:cs="Arial"/>
        </w:rPr>
        <w:t xml:space="preserve"> </w:t>
      </w:r>
      <w:r w:rsidR="003E4E0C">
        <w:rPr>
          <w:rFonts w:cs="Arial"/>
        </w:rPr>
        <w:t>review</w:t>
      </w:r>
      <w:r w:rsidR="005901CE">
        <w:rPr>
          <w:rFonts w:cs="Arial"/>
        </w:rPr>
        <w:t>,</w:t>
      </w:r>
      <w:r w:rsidR="001D2AC6">
        <w:rPr>
          <w:rFonts w:cs="Arial"/>
        </w:rPr>
        <w:t xml:space="preserve"> </w:t>
      </w:r>
      <w:r w:rsidR="00DB1D07">
        <w:rPr>
          <w:rFonts w:cs="Arial"/>
        </w:rPr>
        <w:t xml:space="preserve">no ongoing </w:t>
      </w:r>
      <w:r w:rsidR="000E2083">
        <w:rPr>
          <w:rFonts w:cs="Arial"/>
        </w:rPr>
        <w:t>review is required for</w:t>
      </w:r>
      <w:r w:rsidR="001D2AC6">
        <w:rPr>
          <w:rFonts w:cs="Arial"/>
        </w:rPr>
        <w:t xml:space="preserve"> Grade 2 adjudicators</w:t>
      </w:r>
      <w:r w:rsidR="0BC094EF" w:rsidRPr="1AC001CD">
        <w:rPr>
          <w:rFonts w:cs="Arial"/>
        </w:rPr>
        <w:t xml:space="preserve">. </w:t>
      </w:r>
      <w:r w:rsidR="00AE4370" w:rsidRPr="1AC001CD">
        <w:rPr>
          <w:rFonts w:cs="Arial"/>
        </w:rPr>
        <w:t xml:space="preserve">To be </w:t>
      </w:r>
      <w:r w:rsidR="005901CE">
        <w:rPr>
          <w:rFonts w:cs="Arial"/>
        </w:rPr>
        <w:t xml:space="preserve">appointed </w:t>
      </w:r>
      <w:r w:rsidR="209FC123" w:rsidRPr="1AC001CD">
        <w:rPr>
          <w:rFonts w:cs="Arial"/>
        </w:rPr>
        <w:t>as a</w:t>
      </w:r>
      <w:r w:rsidR="00AE4370" w:rsidRPr="1AC001CD">
        <w:rPr>
          <w:rFonts w:cs="Arial"/>
        </w:rPr>
        <w:t xml:space="preserve"> Grade 2</w:t>
      </w:r>
      <w:r w:rsidR="5F5FC92D" w:rsidRPr="1AC001CD">
        <w:rPr>
          <w:rFonts w:cs="Arial"/>
        </w:rPr>
        <w:t xml:space="preserve"> adjudicator</w:t>
      </w:r>
      <w:r w:rsidR="70C90160" w:rsidRPr="1AC001CD">
        <w:rPr>
          <w:rFonts w:cs="Arial"/>
        </w:rPr>
        <w:t xml:space="preserve"> </w:t>
      </w:r>
      <w:r w:rsidR="00571898">
        <w:rPr>
          <w:rFonts w:cs="Arial"/>
        </w:rPr>
        <w:t xml:space="preserve">or </w:t>
      </w:r>
      <w:r w:rsidR="001A52FF">
        <w:rPr>
          <w:rFonts w:cs="Arial"/>
        </w:rPr>
        <w:t xml:space="preserve">to </w:t>
      </w:r>
      <w:r w:rsidR="00571898">
        <w:rPr>
          <w:rFonts w:cs="Arial"/>
        </w:rPr>
        <w:t>progress from Grade 1 to Grade 2,</w:t>
      </w:r>
      <w:r w:rsidR="70C90160" w:rsidRPr="1AC001CD">
        <w:rPr>
          <w:rFonts w:cs="Arial"/>
        </w:rPr>
        <w:t xml:space="preserve"> individuals</w:t>
      </w:r>
      <w:r w:rsidR="004C69FE" w:rsidRPr="1AC001CD">
        <w:rPr>
          <w:rFonts w:cs="Arial"/>
        </w:rPr>
        <w:t xml:space="preserve"> </w:t>
      </w:r>
      <w:r w:rsidR="00AE4370" w:rsidRPr="1AC001CD">
        <w:rPr>
          <w:rFonts w:cs="Arial"/>
        </w:rPr>
        <w:t xml:space="preserve">must </w:t>
      </w:r>
      <w:r w:rsidR="00E972F3" w:rsidRPr="1AC001CD">
        <w:rPr>
          <w:rFonts w:cs="Arial"/>
        </w:rPr>
        <w:t>me</w:t>
      </w:r>
      <w:r w:rsidR="00AE4370" w:rsidRPr="1AC001CD">
        <w:rPr>
          <w:rFonts w:cs="Arial"/>
        </w:rPr>
        <w:t>e</w:t>
      </w:r>
      <w:r w:rsidR="00E972F3" w:rsidRPr="1AC001CD">
        <w:rPr>
          <w:rFonts w:cs="Arial"/>
        </w:rPr>
        <w:t xml:space="preserve">t both of the following </w:t>
      </w:r>
      <w:r w:rsidR="00AE4370" w:rsidRPr="1AC001CD">
        <w:rPr>
          <w:rFonts w:cs="Arial"/>
        </w:rPr>
        <w:t>criteria</w:t>
      </w:r>
      <w:r w:rsidR="00360655" w:rsidRPr="1AC001CD">
        <w:rPr>
          <w:rFonts w:cs="Arial"/>
        </w:rPr>
        <w:t xml:space="preserve"> or</w:t>
      </w:r>
      <w:r w:rsidR="00413B38" w:rsidRPr="1AC001CD">
        <w:rPr>
          <w:rFonts w:cs="Arial"/>
        </w:rPr>
        <w:t xml:space="preserve"> </w:t>
      </w:r>
      <w:r w:rsidR="00AE4370" w:rsidRPr="1AC001CD">
        <w:rPr>
          <w:rFonts w:cs="Arial"/>
        </w:rPr>
        <w:t xml:space="preserve">demonstrate </w:t>
      </w:r>
      <w:r w:rsidR="00413B38" w:rsidRPr="1AC001CD">
        <w:rPr>
          <w:rFonts w:cs="Arial"/>
        </w:rPr>
        <w:t>equivalent experience</w:t>
      </w:r>
      <w:r w:rsidR="004C69FE" w:rsidRPr="1AC001CD">
        <w:rPr>
          <w:rFonts w:cs="Arial"/>
        </w:rPr>
        <w:t xml:space="preserve">: </w:t>
      </w:r>
    </w:p>
    <w:p w14:paraId="79110FB6" w14:textId="7366EA38" w:rsidR="004C69FE" w:rsidRPr="00C22EC5" w:rsidRDefault="00AE4370" w:rsidP="00BD69F7">
      <w:pPr>
        <w:pStyle w:val="ListParagraph"/>
        <w:numPr>
          <w:ilvl w:val="0"/>
          <w:numId w:val="38"/>
        </w:numPr>
        <w:spacing w:before="120" w:after="120"/>
        <w:ind w:left="714" w:hanging="357"/>
        <w:contextualSpacing w:val="0"/>
        <w:rPr>
          <w:rFonts w:cs="Arial"/>
        </w:rPr>
      </w:pPr>
      <w:r w:rsidRPr="1AC001CD">
        <w:rPr>
          <w:rFonts w:cs="Arial"/>
        </w:rPr>
        <w:t xml:space="preserve">Have </w:t>
      </w:r>
      <w:r w:rsidR="00C01685" w:rsidRPr="1AC001CD">
        <w:rPr>
          <w:rFonts w:cs="Arial"/>
        </w:rPr>
        <w:t xml:space="preserve">delivered </w:t>
      </w:r>
      <w:r w:rsidR="004C69FE" w:rsidRPr="1AC001CD">
        <w:rPr>
          <w:rFonts w:cs="Arial"/>
        </w:rPr>
        <w:t xml:space="preserve">at least 10 adjudication </w:t>
      </w:r>
      <w:r w:rsidR="00C01685" w:rsidRPr="1AC001CD">
        <w:rPr>
          <w:rFonts w:cs="Arial"/>
        </w:rPr>
        <w:t>decisions</w:t>
      </w:r>
      <w:r w:rsidR="781D2CF4" w:rsidRPr="1AC001CD">
        <w:rPr>
          <w:rFonts w:cs="Arial"/>
        </w:rPr>
        <w:t>.</w:t>
      </w:r>
    </w:p>
    <w:p w14:paraId="46D35BC9" w14:textId="1988FE67" w:rsidR="004C69FE" w:rsidRPr="00044355" w:rsidRDefault="004006E6" w:rsidP="00BD69F7">
      <w:pPr>
        <w:pStyle w:val="ListParagraph"/>
        <w:numPr>
          <w:ilvl w:val="0"/>
          <w:numId w:val="38"/>
        </w:numPr>
        <w:spacing w:before="120" w:after="120"/>
        <w:ind w:left="714" w:hanging="357"/>
        <w:contextualSpacing w:val="0"/>
        <w:rPr>
          <w:rFonts w:cs="Arial"/>
          <w:szCs w:val="22"/>
        </w:rPr>
      </w:pPr>
      <w:r w:rsidRPr="1AC001CD">
        <w:rPr>
          <w:rFonts w:cs="Arial"/>
        </w:rPr>
        <w:t>A</w:t>
      </w:r>
      <w:r w:rsidR="004C69FE" w:rsidRPr="1AC001CD">
        <w:rPr>
          <w:rFonts w:cs="Arial"/>
        </w:rPr>
        <w:t xml:space="preserve">t least five of </w:t>
      </w:r>
      <w:r w:rsidR="00CF210A" w:rsidRPr="1AC001CD">
        <w:rPr>
          <w:rFonts w:cs="Arial"/>
        </w:rPr>
        <w:t xml:space="preserve">the 10 delivered decisions </w:t>
      </w:r>
      <w:r w:rsidR="004C69FE" w:rsidRPr="1AC001CD">
        <w:rPr>
          <w:rFonts w:cs="Arial"/>
        </w:rPr>
        <w:t xml:space="preserve">have </w:t>
      </w:r>
      <w:r w:rsidR="00CF210A" w:rsidRPr="1AC001CD">
        <w:rPr>
          <w:rFonts w:cs="Arial"/>
        </w:rPr>
        <w:t xml:space="preserve">involved </w:t>
      </w:r>
      <w:r w:rsidR="004C69FE" w:rsidRPr="1AC001CD">
        <w:rPr>
          <w:rFonts w:cs="Arial"/>
        </w:rPr>
        <w:t>progress payment</w:t>
      </w:r>
      <w:r w:rsidR="00C60CC1" w:rsidRPr="1AC001CD">
        <w:rPr>
          <w:rFonts w:cs="Arial"/>
        </w:rPr>
        <w:t>s</w:t>
      </w:r>
      <w:r w:rsidR="004C69FE" w:rsidRPr="1AC001CD">
        <w:rPr>
          <w:rFonts w:cs="Arial"/>
        </w:rPr>
        <w:t xml:space="preserve"> </w:t>
      </w:r>
      <w:r w:rsidR="00CF210A" w:rsidRPr="1AC001CD">
        <w:rPr>
          <w:rFonts w:cs="Arial"/>
        </w:rPr>
        <w:t>exceeding</w:t>
      </w:r>
      <w:r w:rsidR="004C69FE" w:rsidRPr="1AC001CD">
        <w:rPr>
          <w:rFonts w:cs="Arial"/>
        </w:rPr>
        <w:t xml:space="preserve"> $25,000</w:t>
      </w:r>
      <w:r w:rsidR="7C75C218" w:rsidRPr="1AC001CD">
        <w:rPr>
          <w:rFonts w:cs="Arial"/>
        </w:rPr>
        <w:t>.</w:t>
      </w:r>
    </w:p>
    <w:p w14:paraId="3E1D69C9" w14:textId="73767A9F" w:rsidR="007415F7" w:rsidRPr="00C22EC5" w:rsidRDefault="00C11BE9" w:rsidP="002D1235">
      <w:pPr>
        <w:spacing w:before="120" w:after="120"/>
        <w:rPr>
          <w:rFonts w:cs="Arial"/>
        </w:rPr>
      </w:pPr>
      <w:r w:rsidRPr="005201EB">
        <w:rPr>
          <w:rFonts w:cs="Arial"/>
        </w:rPr>
        <w:t>At the</w:t>
      </w:r>
      <w:r w:rsidR="009F3B87">
        <w:rPr>
          <w:rFonts w:cs="Arial"/>
        </w:rPr>
        <w:t xml:space="preserve"> time of the</w:t>
      </w:r>
      <w:r w:rsidR="0012632F">
        <w:rPr>
          <w:rFonts w:cs="Arial"/>
        </w:rPr>
        <w:t xml:space="preserve"> annual review </w:t>
      </w:r>
      <w:r w:rsidR="006873C6">
        <w:rPr>
          <w:rFonts w:cs="Arial"/>
        </w:rPr>
        <w:t xml:space="preserve">completed </w:t>
      </w:r>
      <w:r w:rsidR="0012632F">
        <w:rPr>
          <w:rFonts w:cs="Arial"/>
        </w:rPr>
        <w:t>on</w:t>
      </w:r>
      <w:r w:rsidR="006873C6">
        <w:rPr>
          <w:rFonts w:cs="Arial"/>
        </w:rPr>
        <w:t xml:space="preserve"> 31 October 2024</w:t>
      </w:r>
      <w:r w:rsidRPr="005201EB">
        <w:rPr>
          <w:rFonts w:cs="Arial"/>
        </w:rPr>
        <w:t>,</w:t>
      </w:r>
      <w:r w:rsidR="05D50AB9" w:rsidRPr="1AC001CD">
        <w:rPr>
          <w:rFonts w:cs="Arial"/>
        </w:rPr>
        <w:t xml:space="preserve"> </w:t>
      </w:r>
      <w:r w:rsidR="737E67DF" w:rsidRPr="1AC001CD">
        <w:rPr>
          <w:rFonts w:cs="Arial"/>
        </w:rPr>
        <w:t>the Registry listed</w:t>
      </w:r>
      <w:r w:rsidR="05D50AB9" w:rsidRPr="1AC001CD">
        <w:rPr>
          <w:rFonts w:cs="Arial"/>
        </w:rPr>
        <w:t xml:space="preserve"> a total of </w:t>
      </w:r>
      <w:r w:rsidR="00352C77" w:rsidRPr="006B0B19">
        <w:rPr>
          <w:rFonts w:cs="Arial"/>
        </w:rPr>
        <w:t>51</w:t>
      </w:r>
      <w:r w:rsidR="00352C77" w:rsidRPr="1AC001CD">
        <w:rPr>
          <w:rFonts w:cs="Arial"/>
        </w:rPr>
        <w:t xml:space="preserve"> </w:t>
      </w:r>
      <w:bookmarkStart w:id="152" w:name="_Int_2DwIp4sR"/>
      <w:proofErr w:type="gramStart"/>
      <w:r w:rsidR="05D50AB9" w:rsidRPr="1AC001CD">
        <w:rPr>
          <w:rFonts w:cs="Arial"/>
        </w:rPr>
        <w:t>Grade</w:t>
      </w:r>
      <w:bookmarkEnd w:id="152"/>
      <w:proofErr w:type="gramEnd"/>
      <w:r w:rsidR="05D50AB9" w:rsidRPr="1AC001CD">
        <w:rPr>
          <w:rFonts w:cs="Arial"/>
        </w:rPr>
        <w:t xml:space="preserve"> 1 and </w:t>
      </w:r>
      <w:r w:rsidR="00352C77" w:rsidRPr="006B0B19">
        <w:rPr>
          <w:rFonts w:cs="Arial"/>
        </w:rPr>
        <w:t>80</w:t>
      </w:r>
      <w:r w:rsidR="00352C77" w:rsidRPr="1AC001CD">
        <w:rPr>
          <w:rFonts w:cs="Arial"/>
        </w:rPr>
        <w:t xml:space="preserve"> </w:t>
      </w:r>
      <w:r w:rsidR="05D50AB9" w:rsidRPr="1AC001CD">
        <w:rPr>
          <w:rFonts w:cs="Arial"/>
        </w:rPr>
        <w:t xml:space="preserve">Grade 2 adjudicators. </w:t>
      </w:r>
      <w:r w:rsidR="00DD7B98" w:rsidRPr="1AC001CD">
        <w:rPr>
          <w:rFonts w:cs="Arial"/>
        </w:rPr>
        <w:t>As part of</w:t>
      </w:r>
      <w:r w:rsidR="00B26F34" w:rsidRPr="1AC001CD">
        <w:rPr>
          <w:rFonts w:cs="Arial"/>
        </w:rPr>
        <w:t xml:space="preserve"> </w:t>
      </w:r>
      <w:r w:rsidR="004C69FE" w:rsidRPr="1AC001CD">
        <w:rPr>
          <w:rFonts w:cs="Arial"/>
        </w:rPr>
        <w:t xml:space="preserve">the adjudicator grade review </w:t>
      </w:r>
      <w:r w:rsidR="2CD4F428" w:rsidRPr="1AC001CD">
        <w:rPr>
          <w:rFonts w:cs="Arial"/>
        </w:rPr>
        <w:t>conducted during the reporting period</w:t>
      </w:r>
      <w:r w:rsidR="004C69FE" w:rsidRPr="1AC001CD">
        <w:rPr>
          <w:rFonts w:cs="Arial"/>
        </w:rPr>
        <w:t xml:space="preserve">, </w:t>
      </w:r>
      <w:r w:rsidR="004C69FE" w:rsidRPr="00F943D5">
        <w:rPr>
          <w:rFonts w:cs="Arial"/>
        </w:rPr>
        <w:t>four</w:t>
      </w:r>
      <w:r w:rsidR="004C69FE" w:rsidRPr="002C29C8">
        <w:rPr>
          <w:rFonts w:cs="Arial"/>
        </w:rPr>
        <w:t xml:space="preserve"> </w:t>
      </w:r>
      <w:r w:rsidR="00DD7B98" w:rsidRPr="002C29C8">
        <w:rPr>
          <w:rFonts w:cs="Arial"/>
        </w:rPr>
        <w:t>G</w:t>
      </w:r>
      <w:r w:rsidR="004C69FE" w:rsidRPr="002C29C8">
        <w:rPr>
          <w:rFonts w:cs="Arial"/>
        </w:rPr>
        <w:t>rade</w:t>
      </w:r>
      <w:r w:rsidR="004C69FE" w:rsidRPr="1AC001CD">
        <w:rPr>
          <w:rFonts w:cs="Arial"/>
        </w:rPr>
        <w:t xml:space="preserve"> </w:t>
      </w:r>
      <w:r w:rsidR="00F0137C" w:rsidRPr="1AC001CD">
        <w:rPr>
          <w:rFonts w:cs="Arial"/>
        </w:rPr>
        <w:t>1</w:t>
      </w:r>
      <w:r w:rsidR="004C69FE" w:rsidRPr="1AC001CD">
        <w:rPr>
          <w:rFonts w:cs="Arial"/>
        </w:rPr>
        <w:t xml:space="preserve"> adjudicators </w:t>
      </w:r>
      <w:r w:rsidR="00DD7B98" w:rsidRPr="1AC001CD">
        <w:rPr>
          <w:rFonts w:cs="Arial"/>
        </w:rPr>
        <w:t>were elevated to G</w:t>
      </w:r>
      <w:r w:rsidR="004C69FE" w:rsidRPr="1AC001CD">
        <w:rPr>
          <w:rFonts w:cs="Arial"/>
        </w:rPr>
        <w:t xml:space="preserve">rade </w:t>
      </w:r>
      <w:r w:rsidR="00F0137C" w:rsidRPr="1AC001CD">
        <w:rPr>
          <w:rFonts w:cs="Arial"/>
        </w:rPr>
        <w:t>2</w:t>
      </w:r>
      <w:r w:rsidR="004C69FE" w:rsidRPr="1AC001CD">
        <w:rPr>
          <w:rFonts w:cs="Arial"/>
        </w:rPr>
        <w:t xml:space="preserve"> </w:t>
      </w:r>
      <w:r w:rsidR="00DD7B98" w:rsidRPr="1AC001CD">
        <w:rPr>
          <w:rFonts w:cs="Arial"/>
        </w:rPr>
        <w:t>status</w:t>
      </w:r>
      <w:r w:rsidR="004C69FE" w:rsidRPr="1AC001CD">
        <w:rPr>
          <w:rFonts w:cs="Arial"/>
        </w:rPr>
        <w:t xml:space="preserve">. </w:t>
      </w:r>
    </w:p>
    <w:p w14:paraId="7540A489" w14:textId="4F11539B" w:rsidR="00714B0D" w:rsidRDefault="00E840F9" w:rsidP="002D1235">
      <w:pPr>
        <w:pStyle w:val="Heading4"/>
        <w:rPr>
          <w:rFonts w:eastAsiaTheme="minorEastAsia" w:cs="Arial"/>
          <w:szCs w:val="22"/>
        </w:rPr>
      </w:pPr>
      <w:bookmarkStart w:id="153" w:name="_Professional_development"/>
      <w:bookmarkEnd w:id="153"/>
      <w:r>
        <w:rPr>
          <w:rFonts w:eastAsiaTheme="minorEastAsia" w:cs="Arial"/>
          <w:szCs w:val="22"/>
        </w:rPr>
        <w:t>P</w:t>
      </w:r>
      <w:r w:rsidR="00714B0D" w:rsidRPr="00C22EC5">
        <w:rPr>
          <w:rFonts w:eastAsiaTheme="minorEastAsia" w:cs="Arial"/>
          <w:szCs w:val="22"/>
        </w:rPr>
        <w:t>rofessional development</w:t>
      </w:r>
      <w:r w:rsidR="00714B0D">
        <w:rPr>
          <w:rFonts w:eastAsiaTheme="minorEastAsia" w:cs="Arial"/>
          <w:szCs w:val="22"/>
        </w:rPr>
        <w:t xml:space="preserve"> </w:t>
      </w:r>
    </w:p>
    <w:p w14:paraId="221EBDFF" w14:textId="7B88F731" w:rsidR="00026C70" w:rsidRPr="002D1235" w:rsidRDefault="73E59548" w:rsidP="00C931AE">
      <w:pPr>
        <w:shd w:val="clear" w:color="auto" w:fill="FFFFFF" w:themeFill="background1"/>
        <w:spacing w:before="120" w:after="120"/>
        <w:rPr>
          <w:rFonts w:cs="Arial"/>
          <w:b/>
        </w:rPr>
      </w:pPr>
      <w:r w:rsidRPr="1AC001CD">
        <w:rPr>
          <w:rFonts w:cs="Arial"/>
        </w:rPr>
        <w:t>Under the BIF Act,</w:t>
      </w:r>
      <w:r w:rsidR="0064748F" w:rsidRPr="1AC001CD">
        <w:rPr>
          <w:rFonts w:cs="Arial"/>
        </w:rPr>
        <w:t xml:space="preserve"> </w:t>
      </w:r>
      <w:r w:rsidR="00194C74" w:rsidRPr="1AC001CD">
        <w:rPr>
          <w:rFonts w:cs="Arial"/>
        </w:rPr>
        <w:t xml:space="preserve">adjudicators </w:t>
      </w:r>
      <w:r w:rsidR="67BED08A" w:rsidRPr="1AC001CD">
        <w:rPr>
          <w:rFonts w:cs="Arial"/>
        </w:rPr>
        <w:t>must</w:t>
      </w:r>
      <w:r w:rsidR="0064748F" w:rsidRPr="1AC001CD">
        <w:rPr>
          <w:rFonts w:cs="Arial"/>
        </w:rPr>
        <w:t xml:space="preserve"> undertake </w:t>
      </w:r>
      <w:r w:rsidR="00530B60">
        <w:rPr>
          <w:rFonts w:cs="Arial"/>
        </w:rPr>
        <w:t>c</w:t>
      </w:r>
      <w:r w:rsidR="00976547" w:rsidRPr="00976547">
        <w:rPr>
          <w:rFonts w:cs="Arial"/>
        </w:rPr>
        <w:t xml:space="preserve">ontinuing </w:t>
      </w:r>
      <w:r w:rsidR="00530B60">
        <w:rPr>
          <w:rFonts w:cs="Arial"/>
        </w:rPr>
        <w:t>p</w:t>
      </w:r>
      <w:r w:rsidR="00976547" w:rsidRPr="00976547">
        <w:rPr>
          <w:rFonts w:cs="Arial"/>
        </w:rPr>
        <w:t xml:space="preserve">rofessional </w:t>
      </w:r>
      <w:r w:rsidR="00530B60">
        <w:rPr>
          <w:rFonts w:cs="Arial"/>
        </w:rPr>
        <w:t>d</w:t>
      </w:r>
      <w:r w:rsidR="00976547" w:rsidRPr="00976547">
        <w:rPr>
          <w:rFonts w:cs="Arial"/>
        </w:rPr>
        <w:t xml:space="preserve">evelopment </w:t>
      </w:r>
      <w:r w:rsidR="00976547">
        <w:rPr>
          <w:rFonts w:cs="Arial"/>
        </w:rPr>
        <w:t>(</w:t>
      </w:r>
      <w:r w:rsidR="00270832" w:rsidRPr="1AC001CD">
        <w:rPr>
          <w:rFonts w:cs="Arial"/>
        </w:rPr>
        <w:t>CPD</w:t>
      </w:r>
      <w:r w:rsidR="00976547">
        <w:rPr>
          <w:rFonts w:cs="Arial"/>
        </w:rPr>
        <w:t>)</w:t>
      </w:r>
      <w:r w:rsidR="41B72792" w:rsidRPr="1AC001CD">
        <w:rPr>
          <w:rFonts w:cs="Arial"/>
        </w:rPr>
        <w:t xml:space="preserve"> to maintain their registration</w:t>
      </w:r>
      <w:r w:rsidR="008032E8" w:rsidRPr="1AC001CD">
        <w:rPr>
          <w:rFonts w:cs="Arial"/>
        </w:rPr>
        <w:t xml:space="preserve">. </w:t>
      </w:r>
      <w:r w:rsidR="2E682448" w:rsidRPr="1AC001CD">
        <w:rPr>
          <w:rFonts w:cs="Arial"/>
        </w:rPr>
        <w:t>Participat</w:t>
      </w:r>
      <w:r w:rsidR="00AA5F6A">
        <w:rPr>
          <w:rFonts w:cs="Arial"/>
        </w:rPr>
        <w:t>ion</w:t>
      </w:r>
      <w:r w:rsidR="006513E6" w:rsidRPr="1AC001CD">
        <w:rPr>
          <w:rFonts w:cs="Arial"/>
        </w:rPr>
        <w:t xml:space="preserve"> in </w:t>
      </w:r>
      <w:r w:rsidR="001F7EF1" w:rsidRPr="1AC001CD">
        <w:rPr>
          <w:rFonts w:cs="Arial"/>
        </w:rPr>
        <w:t>CPD activities, such as seminar, lectures, workshop and conferences</w:t>
      </w:r>
      <w:r w:rsidR="000B0812" w:rsidRPr="1AC001CD">
        <w:rPr>
          <w:rFonts w:cs="Arial"/>
        </w:rPr>
        <w:t xml:space="preserve">, </w:t>
      </w:r>
      <w:r w:rsidR="46496BF3" w:rsidRPr="1AC001CD">
        <w:rPr>
          <w:rFonts w:cs="Arial"/>
        </w:rPr>
        <w:t>ensures</w:t>
      </w:r>
      <w:r w:rsidR="000B0812" w:rsidRPr="1AC001CD">
        <w:rPr>
          <w:rFonts w:cs="Arial"/>
        </w:rPr>
        <w:t xml:space="preserve"> adjudicators </w:t>
      </w:r>
      <w:r w:rsidR="53220CCA" w:rsidRPr="1AC001CD">
        <w:rPr>
          <w:rFonts w:cs="Arial"/>
        </w:rPr>
        <w:t>re</w:t>
      </w:r>
      <w:r w:rsidR="000B0812" w:rsidRPr="1AC001CD">
        <w:rPr>
          <w:rFonts w:cs="Arial"/>
        </w:rPr>
        <w:t>main up</w:t>
      </w:r>
      <w:r w:rsidR="4AE16215" w:rsidRPr="1AC001CD">
        <w:rPr>
          <w:rFonts w:cs="Arial"/>
        </w:rPr>
        <w:t xml:space="preserve"> t</w:t>
      </w:r>
      <w:r w:rsidR="000B0812" w:rsidRPr="1AC001CD">
        <w:rPr>
          <w:rFonts w:cs="Arial"/>
        </w:rPr>
        <w:t>o</w:t>
      </w:r>
      <w:r w:rsidR="0914F57C" w:rsidRPr="1AC001CD">
        <w:rPr>
          <w:rFonts w:cs="Arial"/>
        </w:rPr>
        <w:t xml:space="preserve"> date</w:t>
      </w:r>
      <w:r w:rsidR="007C2933" w:rsidRPr="1AC001CD">
        <w:rPr>
          <w:rFonts w:cs="Arial"/>
        </w:rPr>
        <w:t xml:space="preserve"> with legislative </w:t>
      </w:r>
      <w:r w:rsidR="0044317F" w:rsidRPr="1AC001CD">
        <w:rPr>
          <w:rFonts w:cs="Arial"/>
        </w:rPr>
        <w:t xml:space="preserve">changes </w:t>
      </w:r>
      <w:r w:rsidR="007C2933" w:rsidRPr="1AC001CD">
        <w:rPr>
          <w:rFonts w:cs="Arial"/>
        </w:rPr>
        <w:t xml:space="preserve">and industry </w:t>
      </w:r>
      <w:r w:rsidR="002F6152" w:rsidRPr="1AC001CD">
        <w:rPr>
          <w:rFonts w:cs="Arial"/>
        </w:rPr>
        <w:t xml:space="preserve">best </w:t>
      </w:r>
      <w:r w:rsidR="0044317F" w:rsidRPr="1AC001CD">
        <w:rPr>
          <w:rFonts w:cs="Arial"/>
        </w:rPr>
        <w:t>practices</w:t>
      </w:r>
      <w:r w:rsidR="00AF34C1" w:rsidRPr="1AC001CD">
        <w:rPr>
          <w:rFonts w:cs="Arial"/>
        </w:rPr>
        <w:t>.</w:t>
      </w:r>
      <w:r w:rsidR="00380191" w:rsidRPr="1AC001CD">
        <w:rPr>
          <w:rFonts w:cs="Arial"/>
        </w:rPr>
        <w:t xml:space="preserve"> </w:t>
      </w:r>
      <w:r w:rsidR="005C1424" w:rsidRPr="1AC001CD">
        <w:rPr>
          <w:rFonts w:cs="Arial"/>
        </w:rPr>
        <w:t xml:space="preserve">Eligible </w:t>
      </w:r>
      <w:r w:rsidR="002D7797" w:rsidRPr="1AC001CD">
        <w:rPr>
          <w:rFonts w:cs="Arial"/>
        </w:rPr>
        <w:t>activities</w:t>
      </w:r>
      <w:r w:rsidR="00BB7053" w:rsidRPr="1AC001CD">
        <w:rPr>
          <w:rFonts w:cs="Arial"/>
        </w:rPr>
        <w:t xml:space="preserve"> </w:t>
      </w:r>
      <w:r w:rsidR="002D7797" w:rsidRPr="1AC001CD">
        <w:rPr>
          <w:rFonts w:cs="Arial"/>
        </w:rPr>
        <w:t xml:space="preserve">are </w:t>
      </w:r>
      <w:r w:rsidR="00B30D43" w:rsidRPr="1AC001CD">
        <w:rPr>
          <w:rFonts w:cs="Arial"/>
        </w:rPr>
        <w:t xml:space="preserve">outlined </w:t>
      </w:r>
      <w:r w:rsidR="002D7797" w:rsidRPr="1AC001CD">
        <w:rPr>
          <w:rFonts w:cs="Arial"/>
        </w:rPr>
        <w:t xml:space="preserve">in the </w:t>
      </w:r>
      <w:r w:rsidR="008B7AC0" w:rsidRPr="1AC001CD">
        <w:rPr>
          <w:rFonts w:cs="Arial"/>
        </w:rPr>
        <w:t xml:space="preserve">CPD </w:t>
      </w:r>
      <w:r w:rsidR="00F7423B">
        <w:rPr>
          <w:rFonts w:cs="Arial"/>
        </w:rPr>
        <w:t>A</w:t>
      </w:r>
      <w:r w:rsidR="0087242A" w:rsidRPr="0087242A">
        <w:rPr>
          <w:rFonts w:cs="Arial"/>
        </w:rPr>
        <w:t xml:space="preserve">djudicators </w:t>
      </w:r>
      <w:r w:rsidR="00F7423B">
        <w:rPr>
          <w:rFonts w:cs="Arial"/>
        </w:rPr>
        <w:t>P</w:t>
      </w:r>
      <w:r w:rsidR="0087242A" w:rsidRPr="0087242A">
        <w:rPr>
          <w:rFonts w:cs="Arial"/>
        </w:rPr>
        <w:t>olicy</w:t>
      </w:r>
      <w:r w:rsidR="00EF3776">
        <w:rPr>
          <w:rFonts w:cs="Arial"/>
        </w:rPr>
        <w:t>,</w:t>
      </w:r>
      <w:r w:rsidR="008A17E9">
        <w:rPr>
          <w:rStyle w:val="FootnoteReference"/>
          <w:rFonts w:cs="Arial"/>
        </w:rPr>
        <w:footnoteReference w:id="6"/>
      </w:r>
      <w:r w:rsidR="3CDCD120" w:rsidRPr="1AC001CD">
        <w:rPr>
          <w:rFonts w:cs="Arial"/>
        </w:rPr>
        <w:t xml:space="preserve"> </w:t>
      </w:r>
      <w:r w:rsidR="1DCEEB49" w:rsidRPr="1AC001CD">
        <w:rPr>
          <w:rFonts w:cs="Arial"/>
        </w:rPr>
        <w:t>and c</w:t>
      </w:r>
      <w:r w:rsidR="009E1D0A" w:rsidRPr="1AC001CD">
        <w:rPr>
          <w:rFonts w:cs="Arial"/>
        </w:rPr>
        <w:t xml:space="preserve">ompliance </w:t>
      </w:r>
      <w:r w:rsidR="02E8DDF8" w:rsidRPr="1AC001CD">
        <w:rPr>
          <w:rFonts w:cs="Arial"/>
        </w:rPr>
        <w:t>is</w:t>
      </w:r>
      <w:r w:rsidR="009E1D0A" w:rsidRPr="1AC001CD">
        <w:rPr>
          <w:rFonts w:cs="Arial"/>
        </w:rPr>
        <w:t xml:space="preserve"> assessed annual</w:t>
      </w:r>
      <w:r w:rsidR="5667CF37" w:rsidRPr="1AC001CD">
        <w:rPr>
          <w:rFonts w:cs="Arial"/>
        </w:rPr>
        <w:t>ly</w:t>
      </w:r>
      <w:r w:rsidR="0028189E">
        <w:rPr>
          <w:rFonts w:cs="Arial"/>
        </w:rPr>
        <w:t>.</w:t>
      </w:r>
      <w:r w:rsidR="00714B0D" w:rsidRPr="1AC001CD">
        <w:rPr>
          <w:rFonts w:cs="Arial"/>
        </w:rPr>
        <w:t xml:space="preserve"> </w:t>
      </w:r>
      <w:r w:rsidR="007513BC">
        <w:rPr>
          <w:rFonts w:cs="Arial"/>
        </w:rPr>
        <w:t>D</w:t>
      </w:r>
      <w:r w:rsidR="007513BC" w:rsidRPr="1AC001CD">
        <w:rPr>
          <w:rFonts w:cs="Arial"/>
        </w:rPr>
        <w:t xml:space="preserve">uring the </w:t>
      </w:r>
      <w:r w:rsidR="007513BC">
        <w:rPr>
          <w:rFonts w:cs="Arial"/>
        </w:rPr>
        <w:t xml:space="preserve">2025 CPD </w:t>
      </w:r>
      <w:r w:rsidR="007513BC" w:rsidRPr="1AC001CD">
        <w:rPr>
          <w:rFonts w:cs="Arial"/>
        </w:rPr>
        <w:t>reporting period</w:t>
      </w:r>
      <w:r w:rsidR="00604F01">
        <w:rPr>
          <w:rFonts w:cs="Arial"/>
        </w:rPr>
        <w:t xml:space="preserve">, </w:t>
      </w:r>
      <w:r w:rsidR="007513BC" w:rsidRPr="1AC001CD">
        <w:rPr>
          <w:rFonts w:cs="Arial"/>
        </w:rPr>
        <w:t>1</w:t>
      </w:r>
      <w:r w:rsidR="00604F01">
        <w:rPr>
          <w:rFonts w:cs="Arial"/>
        </w:rPr>
        <w:t>–</w:t>
      </w:r>
      <w:r w:rsidR="007513BC" w:rsidRPr="1AC001CD">
        <w:rPr>
          <w:rFonts w:cs="Arial"/>
        </w:rPr>
        <w:t>14 April 2025</w:t>
      </w:r>
      <w:r w:rsidR="00534DD0" w:rsidRPr="006B0B19">
        <w:rPr>
          <w:rFonts w:cs="Arial"/>
        </w:rPr>
        <w:t>,</w:t>
      </w:r>
      <w:r w:rsidR="00534DD0">
        <w:rPr>
          <w:rFonts w:cs="Arial"/>
        </w:rPr>
        <w:t xml:space="preserve"> </w:t>
      </w:r>
      <w:r w:rsidR="6B4496D7" w:rsidRPr="1AC001CD">
        <w:rPr>
          <w:rFonts w:cs="Arial"/>
        </w:rPr>
        <w:t xml:space="preserve">there were a total of </w:t>
      </w:r>
      <w:r w:rsidR="00055037" w:rsidRPr="006B0B19">
        <w:rPr>
          <w:rFonts w:cs="Arial"/>
        </w:rPr>
        <w:t>136</w:t>
      </w:r>
      <w:r w:rsidR="00055037" w:rsidRPr="1AC001CD">
        <w:rPr>
          <w:rFonts w:cs="Arial"/>
        </w:rPr>
        <w:t xml:space="preserve"> </w:t>
      </w:r>
      <w:r w:rsidR="007A1869" w:rsidRPr="1AC001CD">
        <w:rPr>
          <w:rFonts w:cs="Arial"/>
        </w:rPr>
        <w:t xml:space="preserve">adjudicators </w:t>
      </w:r>
      <w:r w:rsidR="0708BE17" w:rsidRPr="1AC001CD">
        <w:rPr>
          <w:rFonts w:cs="Arial"/>
        </w:rPr>
        <w:t>registered</w:t>
      </w:r>
      <w:r w:rsidR="5E512A18" w:rsidRPr="1AC001CD">
        <w:rPr>
          <w:rFonts w:cs="Arial"/>
        </w:rPr>
        <w:t xml:space="preserve">. </w:t>
      </w:r>
      <w:r w:rsidR="58089BD5" w:rsidRPr="1AC001CD">
        <w:rPr>
          <w:rFonts w:cs="Arial"/>
        </w:rPr>
        <w:t xml:space="preserve">Of these, </w:t>
      </w:r>
      <w:r w:rsidR="00055037" w:rsidRPr="006B0B19">
        <w:rPr>
          <w:rFonts w:cs="Arial"/>
        </w:rPr>
        <w:t>131</w:t>
      </w:r>
      <w:r w:rsidR="00055037" w:rsidRPr="1AC001CD">
        <w:rPr>
          <w:rFonts w:cs="Arial"/>
        </w:rPr>
        <w:t xml:space="preserve"> </w:t>
      </w:r>
      <w:r w:rsidR="43FE7956" w:rsidRPr="1AC001CD">
        <w:rPr>
          <w:rFonts w:cs="Arial"/>
        </w:rPr>
        <w:t>submitted</w:t>
      </w:r>
      <w:r w:rsidR="5E512A18" w:rsidRPr="1AC001CD">
        <w:rPr>
          <w:rFonts w:cs="Arial"/>
        </w:rPr>
        <w:t xml:space="preserve"> their </w:t>
      </w:r>
      <w:r w:rsidR="00BB115C" w:rsidRPr="1AC001CD">
        <w:rPr>
          <w:rFonts w:cs="Arial"/>
        </w:rPr>
        <w:t xml:space="preserve">CPD </w:t>
      </w:r>
      <w:r w:rsidR="0661563D" w:rsidRPr="1AC001CD">
        <w:rPr>
          <w:rFonts w:cs="Arial"/>
        </w:rPr>
        <w:t xml:space="preserve">records, </w:t>
      </w:r>
      <w:r w:rsidR="00C2568D">
        <w:rPr>
          <w:rFonts w:cs="Arial"/>
        </w:rPr>
        <w:t>three</w:t>
      </w:r>
      <w:r w:rsidR="00055037" w:rsidRPr="1AC001CD">
        <w:rPr>
          <w:rFonts w:cs="Arial"/>
        </w:rPr>
        <w:t xml:space="preserve"> </w:t>
      </w:r>
      <w:r w:rsidR="0661563D" w:rsidRPr="1AC001CD">
        <w:rPr>
          <w:rFonts w:cs="Arial"/>
        </w:rPr>
        <w:t xml:space="preserve">were suspended due to non-compliance, </w:t>
      </w:r>
      <w:r w:rsidR="00C2568D">
        <w:rPr>
          <w:rFonts w:cs="Arial"/>
        </w:rPr>
        <w:t>one</w:t>
      </w:r>
      <w:r w:rsidR="0661563D" w:rsidRPr="1AC001CD">
        <w:rPr>
          <w:rFonts w:cs="Arial"/>
        </w:rPr>
        <w:t xml:space="preserve"> </w:t>
      </w:r>
      <w:r w:rsidR="00D24FA9">
        <w:rPr>
          <w:rFonts w:cs="Arial"/>
        </w:rPr>
        <w:t>was</w:t>
      </w:r>
      <w:r w:rsidR="00D24FA9" w:rsidRPr="1AC001CD">
        <w:rPr>
          <w:rFonts w:cs="Arial"/>
        </w:rPr>
        <w:t xml:space="preserve"> </w:t>
      </w:r>
      <w:r w:rsidR="5DE049F0" w:rsidRPr="1AC001CD">
        <w:rPr>
          <w:rFonts w:cs="Arial"/>
        </w:rPr>
        <w:t>granted</w:t>
      </w:r>
      <w:r w:rsidR="0661563D" w:rsidRPr="1AC001CD">
        <w:rPr>
          <w:rFonts w:cs="Arial"/>
        </w:rPr>
        <w:t xml:space="preserve"> </w:t>
      </w:r>
      <w:r w:rsidR="5BAAF748" w:rsidRPr="1AC001CD">
        <w:rPr>
          <w:rFonts w:cs="Arial"/>
        </w:rPr>
        <w:t xml:space="preserve">an </w:t>
      </w:r>
      <w:bookmarkStart w:id="154" w:name="_Int_xApRVQiv"/>
      <w:proofErr w:type="gramStart"/>
      <w:r w:rsidR="0661563D" w:rsidRPr="1AC001CD">
        <w:rPr>
          <w:rFonts w:cs="Arial"/>
        </w:rPr>
        <w:t>exemption</w:t>
      </w:r>
      <w:bookmarkEnd w:id="154"/>
      <w:proofErr w:type="gramEnd"/>
      <w:r w:rsidR="0661563D" w:rsidRPr="1AC001CD">
        <w:rPr>
          <w:rFonts w:cs="Arial"/>
        </w:rPr>
        <w:t xml:space="preserve"> and </w:t>
      </w:r>
      <w:r w:rsidR="00C2568D">
        <w:rPr>
          <w:rFonts w:cs="Arial"/>
        </w:rPr>
        <w:t>one</w:t>
      </w:r>
      <w:r w:rsidR="00D24FA9" w:rsidRPr="1AC001CD">
        <w:rPr>
          <w:rFonts w:cs="Arial"/>
        </w:rPr>
        <w:t xml:space="preserve"> </w:t>
      </w:r>
      <w:r w:rsidR="00D24FA9">
        <w:rPr>
          <w:rFonts w:cs="Arial"/>
        </w:rPr>
        <w:t>was</w:t>
      </w:r>
      <w:r w:rsidR="0661563D" w:rsidRPr="1AC001CD">
        <w:rPr>
          <w:rFonts w:cs="Arial"/>
        </w:rPr>
        <w:t xml:space="preserve"> not</w:t>
      </w:r>
      <w:r w:rsidR="2645455E" w:rsidRPr="1AC001CD">
        <w:rPr>
          <w:rFonts w:cs="Arial"/>
        </w:rPr>
        <w:t xml:space="preserve"> required to</w:t>
      </w:r>
      <w:r w:rsidR="4A9FBB18" w:rsidRPr="1AC001CD">
        <w:rPr>
          <w:rFonts w:cs="Arial"/>
        </w:rPr>
        <w:t xml:space="preserve"> submit records under </w:t>
      </w:r>
      <w:r w:rsidR="2645455E" w:rsidRPr="1AC001CD">
        <w:rPr>
          <w:rFonts w:cs="Arial"/>
        </w:rPr>
        <w:t xml:space="preserve">BIF </w:t>
      </w:r>
      <w:r w:rsidR="11374347" w:rsidRPr="1AC001CD">
        <w:rPr>
          <w:rFonts w:cs="Arial"/>
        </w:rPr>
        <w:t>provisions</w:t>
      </w:r>
      <w:r w:rsidR="00360F47" w:rsidRPr="1AC001CD">
        <w:rPr>
          <w:rFonts w:cs="Arial"/>
        </w:rPr>
        <w:t xml:space="preserve">. </w:t>
      </w:r>
    </w:p>
    <w:p w14:paraId="234A818E" w14:textId="3FB2C9D8" w:rsidR="008B27D5" w:rsidRDefault="4E45FB4C" w:rsidP="003822A5">
      <w:pPr>
        <w:pStyle w:val="Heading3"/>
        <w:rPr>
          <w:rFonts w:cs="Arial"/>
          <w:szCs w:val="19"/>
        </w:rPr>
      </w:pPr>
      <w:bookmarkStart w:id="155" w:name="_Forecast_of_Registry"/>
      <w:bookmarkEnd w:id="155"/>
      <w:r>
        <w:lastRenderedPageBreak/>
        <w:t>Forecast of R</w:t>
      </w:r>
      <w:r w:rsidR="00DC647A">
        <w:t>egistry</w:t>
      </w:r>
      <w:r w:rsidR="54503A0C">
        <w:t xml:space="preserve"> operations</w:t>
      </w:r>
    </w:p>
    <w:p w14:paraId="44379F8E" w14:textId="72885BE5" w:rsidR="00400340" w:rsidRPr="00446073" w:rsidRDefault="05E4FAA6" w:rsidP="00530953">
      <w:pPr>
        <w:spacing w:before="120" w:after="120"/>
        <w:rPr>
          <w:rFonts w:cs="Arial"/>
          <w:szCs w:val="19"/>
        </w:rPr>
      </w:pPr>
      <w:r w:rsidRPr="1AC001CD">
        <w:rPr>
          <w:rFonts w:cs="Arial"/>
        </w:rPr>
        <w:t xml:space="preserve">The </w:t>
      </w:r>
      <w:r w:rsidR="009A0486" w:rsidRPr="1AC001CD">
        <w:rPr>
          <w:rFonts w:cs="Arial"/>
        </w:rPr>
        <w:t xml:space="preserve">Registry </w:t>
      </w:r>
      <w:r w:rsidR="00276C8E" w:rsidRPr="1AC001CD">
        <w:rPr>
          <w:rFonts w:cs="Arial"/>
        </w:rPr>
        <w:t>continue</w:t>
      </w:r>
      <w:r w:rsidR="72896074" w:rsidRPr="1AC001CD">
        <w:rPr>
          <w:rFonts w:cs="Arial"/>
        </w:rPr>
        <w:t>s</w:t>
      </w:r>
      <w:r w:rsidR="00276C8E" w:rsidRPr="1AC001CD">
        <w:rPr>
          <w:rFonts w:cs="Arial"/>
        </w:rPr>
        <w:t xml:space="preserve"> to </w:t>
      </w:r>
      <w:r w:rsidR="4FEAB1FC" w:rsidRPr="1AC001CD">
        <w:rPr>
          <w:rFonts w:cs="Arial"/>
        </w:rPr>
        <w:t>review all systems and processes to ensure efficiency in meeting it</w:t>
      </w:r>
      <w:r w:rsidR="12005CCF" w:rsidRPr="1AC001CD">
        <w:rPr>
          <w:rFonts w:cs="Arial"/>
        </w:rPr>
        <w:t>s</w:t>
      </w:r>
      <w:r w:rsidR="4FEAB1FC" w:rsidRPr="1AC001CD">
        <w:rPr>
          <w:rFonts w:cs="Arial"/>
        </w:rPr>
        <w:t xml:space="preserve"> statutory </w:t>
      </w:r>
      <w:r w:rsidR="00123C2E" w:rsidRPr="1AC001CD">
        <w:rPr>
          <w:rFonts w:cs="Arial"/>
        </w:rPr>
        <w:t>mandate</w:t>
      </w:r>
      <w:r w:rsidR="33ABA196" w:rsidRPr="1AC001CD">
        <w:rPr>
          <w:rFonts w:cs="Arial"/>
        </w:rPr>
        <w:t xml:space="preserve">. </w:t>
      </w:r>
      <w:r w:rsidR="00B814B2" w:rsidRPr="1AC001CD">
        <w:rPr>
          <w:rFonts w:cs="Arial"/>
        </w:rPr>
        <w:t xml:space="preserve">To </w:t>
      </w:r>
      <w:r w:rsidR="00C27264" w:rsidRPr="1AC001CD">
        <w:rPr>
          <w:rFonts w:cs="Arial"/>
        </w:rPr>
        <w:t>further</w:t>
      </w:r>
      <w:r w:rsidR="00B814B2" w:rsidRPr="1AC001CD">
        <w:rPr>
          <w:rFonts w:cs="Arial"/>
        </w:rPr>
        <w:t xml:space="preserve"> </w:t>
      </w:r>
      <w:r w:rsidR="009D4984" w:rsidRPr="1AC001CD">
        <w:rPr>
          <w:rFonts w:cs="Arial"/>
        </w:rPr>
        <w:t>improve</w:t>
      </w:r>
      <w:r w:rsidR="00B814B2" w:rsidRPr="1AC001CD">
        <w:rPr>
          <w:rFonts w:cs="Arial"/>
        </w:rPr>
        <w:t xml:space="preserve"> </w:t>
      </w:r>
      <w:r w:rsidR="00791134">
        <w:rPr>
          <w:rFonts w:cs="Arial"/>
        </w:rPr>
        <w:t xml:space="preserve">the </w:t>
      </w:r>
      <w:r w:rsidR="00B814B2" w:rsidRPr="1AC001CD">
        <w:rPr>
          <w:rFonts w:cs="Arial"/>
        </w:rPr>
        <w:t>customer experience</w:t>
      </w:r>
      <w:r w:rsidR="00C32166" w:rsidRPr="1AC001CD">
        <w:rPr>
          <w:rFonts w:cs="Arial"/>
        </w:rPr>
        <w:t xml:space="preserve"> </w:t>
      </w:r>
      <w:r w:rsidR="00C27264" w:rsidRPr="1AC001CD">
        <w:rPr>
          <w:rFonts w:cs="Arial"/>
        </w:rPr>
        <w:t>across</w:t>
      </w:r>
      <w:r w:rsidR="00C32166" w:rsidRPr="1AC001CD">
        <w:rPr>
          <w:rFonts w:cs="Arial"/>
        </w:rPr>
        <w:t xml:space="preserve"> </w:t>
      </w:r>
      <w:r w:rsidR="00792424">
        <w:rPr>
          <w:rFonts w:cs="Arial"/>
        </w:rPr>
        <w:t xml:space="preserve">Brisbane </w:t>
      </w:r>
      <w:r w:rsidR="00C32166" w:rsidRPr="1AC001CD">
        <w:rPr>
          <w:rFonts w:cs="Arial"/>
        </w:rPr>
        <w:t>and regional areas</w:t>
      </w:r>
      <w:r w:rsidR="00B814B2" w:rsidRPr="1AC001CD">
        <w:rPr>
          <w:rFonts w:cs="Arial"/>
        </w:rPr>
        <w:t xml:space="preserve">, the Registry </w:t>
      </w:r>
      <w:r w:rsidR="001F4246">
        <w:rPr>
          <w:rFonts w:cs="Arial"/>
        </w:rPr>
        <w:t xml:space="preserve">works collaboratively with the QBCC staff to </w:t>
      </w:r>
      <w:r w:rsidR="70B9E7BF" w:rsidRPr="1AC001CD">
        <w:rPr>
          <w:rFonts w:cs="Arial"/>
        </w:rPr>
        <w:t>conduct</w:t>
      </w:r>
      <w:r w:rsidR="00C27264" w:rsidRPr="1AC001CD">
        <w:rPr>
          <w:rFonts w:cs="Arial"/>
        </w:rPr>
        <w:t xml:space="preserve"> </w:t>
      </w:r>
      <w:r w:rsidR="009D4984" w:rsidRPr="1AC001CD">
        <w:rPr>
          <w:rFonts w:cs="Arial"/>
        </w:rPr>
        <w:t xml:space="preserve">annual </w:t>
      </w:r>
      <w:r w:rsidR="00B814B2" w:rsidRPr="1AC001CD">
        <w:rPr>
          <w:rFonts w:cs="Arial"/>
        </w:rPr>
        <w:t xml:space="preserve">training on the adjudication process and </w:t>
      </w:r>
      <w:r w:rsidR="3CF57948" w:rsidRPr="1AC001CD">
        <w:rPr>
          <w:rFonts w:cs="Arial"/>
        </w:rPr>
        <w:t>develop associated procedures</w:t>
      </w:r>
      <w:r w:rsidR="00B814B2" w:rsidRPr="1AC001CD">
        <w:rPr>
          <w:rFonts w:cs="Arial"/>
        </w:rPr>
        <w:t xml:space="preserve">. </w:t>
      </w:r>
      <w:r w:rsidR="3C133971" w:rsidRPr="00446073">
        <w:rPr>
          <w:rFonts w:cs="Arial"/>
        </w:rPr>
        <w:t xml:space="preserve">For the next financial year, </w:t>
      </w:r>
      <w:r w:rsidR="007E39B1" w:rsidRPr="00446073">
        <w:rPr>
          <w:rFonts w:cs="Arial"/>
        </w:rPr>
        <w:t xml:space="preserve">Registry </w:t>
      </w:r>
      <w:r w:rsidR="006B340C" w:rsidRPr="00446073">
        <w:rPr>
          <w:rFonts w:cs="Arial"/>
        </w:rPr>
        <w:t>priorities</w:t>
      </w:r>
      <w:r w:rsidR="004C4542" w:rsidRPr="00446073">
        <w:rPr>
          <w:rFonts w:cs="Arial"/>
        </w:rPr>
        <w:t xml:space="preserve"> </w:t>
      </w:r>
      <w:r w:rsidR="00706C43" w:rsidRPr="00446073">
        <w:rPr>
          <w:rFonts w:cs="Arial"/>
        </w:rPr>
        <w:t>are</w:t>
      </w:r>
      <w:r w:rsidR="25E80C49" w:rsidRPr="00446073">
        <w:rPr>
          <w:rFonts w:cs="Arial"/>
        </w:rPr>
        <w:t xml:space="preserve"> </w:t>
      </w:r>
      <w:r w:rsidR="006B340C" w:rsidRPr="00446073">
        <w:rPr>
          <w:rFonts w:cs="Arial"/>
        </w:rPr>
        <w:t>likely</w:t>
      </w:r>
      <w:r w:rsidR="25E80C49" w:rsidRPr="00446073">
        <w:rPr>
          <w:rFonts w:cs="Arial"/>
        </w:rPr>
        <w:t xml:space="preserve"> to include</w:t>
      </w:r>
      <w:r w:rsidR="00C70062" w:rsidRPr="00446073">
        <w:rPr>
          <w:rFonts w:cs="Arial"/>
        </w:rPr>
        <w:t>,</w:t>
      </w:r>
      <w:r w:rsidR="007E39B1" w:rsidRPr="00446073">
        <w:rPr>
          <w:rFonts w:cs="Arial"/>
        </w:rPr>
        <w:t xml:space="preserve"> but not be limited to: </w:t>
      </w:r>
    </w:p>
    <w:p w14:paraId="1AE0E316" w14:textId="223C5AB6" w:rsidR="007E39B1" w:rsidRPr="00446073" w:rsidRDefault="00297904" w:rsidP="00BD69F7">
      <w:pPr>
        <w:pStyle w:val="ListParagraph"/>
        <w:numPr>
          <w:ilvl w:val="0"/>
          <w:numId w:val="23"/>
        </w:numPr>
        <w:spacing w:before="120" w:after="120"/>
        <w:ind w:left="714" w:hanging="357"/>
        <w:contextualSpacing w:val="0"/>
        <w:rPr>
          <w:rFonts w:cs="Arial"/>
        </w:rPr>
      </w:pPr>
      <w:r w:rsidRPr="00446073">
        <w:rPr>
          <w:rFonts w:cs="Arial"/>
        </w:rPr>
        <w:t>i</w:t>
      </w:r>
      <w:r w:rsidR="007E39B1" w:rsidRPr="00446073">
        <w:rPr>
          <w:rFonts w:cs="Arial"/>
        </w:rPr>
        <w:t>mplement</w:t>
      </w:r>
      <w:r w:rsidR="72077789" w:rsidRPr="00446073">
        <w:rPr>
          <w:rFonts w:cs="Arial"/>
        </w:rPr>
        <w:t>ation of</w:t>
      </w:r>
      <w:r w:rsidR="007E39B1" w:rsidRPr="00446073">
        <w:rPr>
          <w:rFonts w:cs="Arial"/>
        </w:rPr>
        <w:t xml:space="preserve"> </w:t>
      </w:r>
      <w:r w:rsidR="1348039F" w:rsidRPr="00446073">
        <w:rPr>
          <w:rFonts w:cs="Arial"/>
        </w:rPr>
        <w:t>any</w:t>
      </w:r>
      <w:r w:rsidR="007E39B1" w:rsidRPr="00446073">
        <w:rPr>
          <w:rFonts w:cs="Arial"/>
        </w:rPr>
        <w:t xml:space="preserve"> legislative reform as required</w:t>
      </w:r>
    </w:p>
    <w:p w14:paraId="4074890D" w14:textId="4152AA36" w:rsidR="007E39B1" w:rsidRPr="00446073" w:rsidRDefault="00297904" w:rsidP="00BD69F7">
      <w:pPr>
        <w:pStyle w:val="ListParagraph"/>
        <w:numPr>
          <w:ilvl w:val="0"/>
          <w:numId w:val="23"/>
        </w:numPr>
        <w:spacing w:before="120" w:after="120"/>
        <w:ind w:left="714" w:hanging="357"/>
        <w:contextualSpacing w:val="0"/>
        <w:rPr>
          <w:rFonts w:cs="Arial"/>
          <w:szCs w:val="22"/>
        </w:rPr>
      </w:pPr>
      <w:r w:rsidRPr="00446073">
        <w:rPr>
          <w:rFonts w:cs="Arial"/>
        </w:rPr>
        <w:t>m</w:t>
      </w:r>
      <w:r w:rsidR="7A402A67" w:rsidRPr="00446073">
        <w:rPr>
          <w:rFonts w:cs="Arial"/>
        </w:rPr>
        <w:t>eeting</w:t>
      </w:r>
      <w:r w:rsidR="007E39B1" w:rsidRPr="00446073">
        <w:rPr>
          <w:rFonts w:cs="Arial"/>
        </w:rPr>
        <w:t xml:space="preserve"> the demand for consumer advisory services</w:t>
      </w:r>
    </w:p>
    <w:p w14:paraId="518C15FB" w14:textId="787F649D" w:rsidR="00400340" w:rsidRPr="00446073" w:rsidRDefault="00297904" w:rsidP="00BD69F7">
      <w:pPr>
        <w:pStyle w:val="ListParagraph"/>
        <w:numPr>
          <w:ilvl w:val="0"/>
          <w:numId w:val="23"/>
        </w:numPr>
        <w:spacing w:before="120" w:after="120"/>
        <w:ind w:left="714" w:hanging="357"/>
        <w:rPr>
          <w:rFonts w:cs="Arial"/>
        </w:rPr>
      </w:pPr>
      <w:r w:rsidRPr="00446073">
        <w:rPr>
          <w:rFonts w:cs="Arial"/>
        </w:rPr>
        <w:t>p</w:t>
      </w:r>
      <w:r w:rsidR="7D97225A" w:rsidRPr="00446073">
        <w:rPr>
          <w:rFonts w:cs="Arial"/>
        </w:rPr>
        <w:t>roviding</w:t>
      </w:r>
      <w:r w:rsidR="00707D1B" w:rsidRPr="00446073">
        <w:rPr>
          <w:rFonts w:cs="Arial"/>
        </w:rPr>
        <w:t xml:space="preserve"> education and engagement </w:t>
      </w:r>
      <w:r w:rsidR="1A8DD6A1" w:rsidRPr="00446073">
        <w:rPr>
          <w:rFonts w:cs="Arial"/>
        </w:rPr>
        <w:t xml:space="preserve">with </w:t>
      </w:r>
      <w:r w:rsidR="00A04C14" w:rsidRPr="00446073">
        <w:rPr>
          <w:rFonts w:cs="Arial"/>
        </w:rPr>
        <w:t xml:space="preserve">industry </w:t>
      </w:r>
      <w:r w:rsidR="007E39B1" w:rsidRPr="00446073">
        <w:rPr>
          <w:rFonts w:cs="Arial"/>
        </w:rPr>
        <w:t>and registered adjudicators</w:t>
      </w:r>
      <w:r w:rsidR="003822A5" w:rsidRPr="00446073">
        <w:rPr>
          <w:rFonts w:cs="Arial"/>
        </w:rPr>
        <w:t>.</w:t>
      </w:r>
    </w:p>
    <w:p w14:paraId="7D73C2A4" w14:textId="10733E32" w:rsidR="005B09A6" w:rsidRDefault="008C6576" w:rsidP="005B2021">
      <w:pPr>
        <w:spacing w:before="120" w:after="120"/>
        <w:rPr>
          <w:rFonts w:eastAsiaTheme="majorEastAsia" w:cs="Arial"/>
          <w:color w:val="020A0A" w:themeColor="text1"/>
          <w:sz w:val="32"/>
          <w:szCs w:val="32"/>
        </w:rPr>
      </w:pPr>
      <w:r w:rsidRPr="00446073">
        <w:rPr>
          <w:rFonts w:cs="Arial"/>
        </w:rPr>
        <w:t xml:space="preserve">By </w:t>
      </w:r>
      <w:r w:rsidR="00D31744" w:rsidRPr="00446073">
        <w:rPr>
          <w:rFonts w:cs="Arial"/>
        </w:rPr>
        <w:t xml:space="preserve">providing </w:t>
      </w:r>
      <w:r w:rsidR="00EE165C" w:rsidRPr="00446073">
        <w:rPr>
          <w:rFonts w:cs="Arial"/>
        </w:rPr>
        <w:t xml:space="preserve">the </w:t>
      </w:r>
      <w:r w:rsidR="387AD91A" w:rsidRPr="00446073">
        <w:rPr>
          <w:rFonts w:cs="Arial"/>
        </w:rPr>
        <w:t xml:space="preserve">industry with access to </w:t>
      </w:r>
      <w:r w:rsidR="00EB3B9D" w:rsidRPr="00446073">
        <w:rPr>
          <w:rFonts w:cs="Arial"/>
        </w:rPr>
        <w:t xml:space="preserve">fair, transparent </w:t>
      </w:r>
      <w:r w:rsidRPr="00446073">
        <w:rPr>
          <w:rFonts w:cs="Arial"/>
        </w:rPr>
        <w:t xml:space="preserve">and </w:t>
      </w:r>
      <w:r w:rsidR="00EB3B9D" w:rsidRPr="00446073">
        <w:rPr>
          <w:rFonts w:cs="Arial"/>
        </w:rPr>
        <w:t xml:space="preserve">accessible </w:t>
      </w:r>
      <w:r w:rsidRPr="00446073">
        <w:rPr>
          <w:rFonts w:cs="Arial"/>
        </w:rPr>
        <w:t xml:space="preserve">adjudication </w:t>
      </w:r>
      <w:r w:rsidR="00EB3B9D" w:rsidRPr="00446073">
        <w:rPr>
          <w:rFonts w:cs="Arial"/>
        </w:rPr>
        <w:t>service</w:t>
      </w:r>
      <w:r w:rsidR="00FA5426" w:rsidRPr="00446073">
        <w:rPr>
          <w:rFonts w:cs="Arial"/>
        </w:rPr>
        <w:t>s</w:t>
      </w:r>
      <w:r w:rsidRPr="00446073">
        <w:rPr>
          <w:rFonts w:cs="Arial"/>
        </w:rPr>
        <w:t xml:space="preserve">, the Registry </w:t>
      </w:r>
      <w:r w:rsidR="00833043" w:rsidRPr="00446073">
        <w:rPr>
          <w:rFonts w:cs="Arial"/>
        </w:rPr>
        <w:t>continue</w:t>
      </w:r>
      <w:r w:rsidR="06A7B48B" w:rsidRPr="00446073">
        <w:rPr>
          <w:rFonts w:cs="Arial"/>
        </w:rPr>
        <w:t>s</w:t>
      </w:r>
      <w:r w:rsidR="00833043" w:rsidRPr="00446073">
        <w:rPr>
          <w:rFonts w:cs="Arial"/>
        </w:rPr>
        <w:t xml:space="preserve"> to </w:t>
      </w:r>
      <w:r w:rsidR="00C55AD6" w:rsidRPr="00446073">
        <w:rPr>
          <w:rFonts w:cs="Arial"/>
        </w:rPr>
        <w:t xml:space="preserve">play a critical role in </w:t>
      </w:r>
      <w:r w:rsidR="0033051E" w:rsidRPr="00446073">
        <w:rPr>
          <w:rFonts w:cs="Arial"/>
        </w:rPr>
        <w:t>safeguarding</w:t>
      </w:r>
      <w:r w:rsidR="00C55AD6" w:rsidRPr="00446073">
        <w:rPr>
          <w:rFonts w:cs="Arial"/>
        </w:rPr>
        <w:t xml:space="preserve"> </w:t>
      </w:r>
      <w:r w:rsidRPr="00446073">
        <w:rPr>
          <w:rFonts w:cs="Arial"/>
        </w:rPr>
        <w:t xml:space="preserve">the financial </w:t>
      </w:r>
      <w:r w:rsidR="00C55AD6" w:rsidRPr="00446073">
        <w:rPr>
          <w:rFonts w:cs="Arial"/>
        </w:rPr>
        <w:t xml:space="preserve">interests </w:t>
      </w:r>
      <w:r w:rsidR="00997BD0" w:rsidRPr="00446073">
        <w:rPr>
          <w:rFonts w:cs="Arial"/>
        </w:rPr>
        <w:t xml:space="preserve">of </w:t>
      </w:r>
      <w:r w:rsidR="009F7F08" w:rsidRPr="00446073">
        <w:rPr>
          <w:rFonts w:cs="Arial"/>
        </w:rPr>
        <w:t>stakeholders</w:t>
      </w:r>
      <w:r w:rsidR="00997BD0" w:rsidRPr="00446073">
        <w:rPr>
          <w:rFonts w:cs="Arial"/>
        </w:rPr>
        <w:t xml:space="preserve">. </w:t>
      </w:r>
      <w:r w:rsidR="00267DB6" w:rsidRPr="00446073">
        <w:rPr>
          <w:rFonts w:cs="Arial"/>
        </w:rPr>
        <w:t xml:space="preserve">Timely resolution of payment disputes </w:t>
      </w:r>
      <w:r w:rsidR="6F066637" w:rsidRPr="00446073">
        <w:rPr>
          <w:rFonts w:cs="Arial"/>
        </w:rPr>
        <w:t>supports</w:t>
      </w:r>
      <w:r w:rsidR="00267DB6" w:rsidRPr="00446073">
        <w:rPr>
          <w:rFonts w:cs="Arial"/>
        </w:rPr>
        <w:t xml:space="preserve"> business </w:t>
      </w:r>
      <w:r w:rsidR="0015047C" w:rsidRPr="00446073">
        <w:rPr>
          <w:rFonts w:cs="Arial"/>
        </w:rPr>
        <w:t xml:space="preserve">continuity, </w:t>
      </w:r>
      <w:r w:rsidR="22C85040" w:rsidRPr="00446073">
        <w:rPr>
          <w:rFonts w:cs="Arial"/>
        </w:rPr>
        <w:t>maintains</w:t>
      </w:r>
      <w:r w:rsidR="0015047C" w:rsidRPr="00446073">
        <w:rPr>
          <w:rFonts w:cs="Arial"/>
        </w:rPr>
        <w:t xml:space="preserve"> healthy cash flow </w:t>
      </w:r>
      <w:r w:rsidR="00BA4580" w:rsidRPr="00446073">
        <w:rPr>
          <w:rFonts w:cs="Arial"/>
        </w:rPr>
        <w:t>throughout</w:t>
      </w:r>
      <w:r w:rsidR="0040789F" w:rsidRPr="00446073">
        <w:rPr>
          <w:rFonts w:cs="Arial"/>
        </w:rPr>
        <w:t xml:space="preserve"> the supply chain</w:t>
      </w:r>
      <w:r w:rsidR="00157259">
        <w:rPr>
          <w:rFonts w:cs="Arial"/>
        </w:rPr>
        <w:t>,</w:t>
      </w:r>
      <w:r w:rsidR="0040789F" w:rsidRPr="00446073">
        <w:rPr>
          <w:rFonts w:cs="Arial"/>
        </w:rPr>
        <w:t xml:space="preserve"> and reduce</w:t>
      </w:r>
      <w:r w:rsidR="0B724CEA" w:rsidRPr="00446073">
        <w:rPr>
          <w:rFonts w:cs="Arial"/>
        </w:rPr>
        <w:t>s</w:t>
      </w:r>
      <w:r w:rsidR="00BA4580" w:rsidRPr="00446073">
        <w:rPr>
          <w:rFonts w:cs="Arial"/>
        </w:rPr>
        <w:t xml:space="preserve"> the</w:t>
      </w:r>
      <w:r w:rsidR="0040789F" w:rsidRPr="00446073">
        <w:rPr>
          <w:rFonts w:cs="Arial"/>
        </w:rPr>
        <w:t xml:space="preserve"> </w:t>
      </w:r>
      <w:r w:rsidRPr="00446073">
        <w:rPr>
          <w:rFonts w:cs="Arial"/>
        </w:rPr>
        <w:t xml:space="preserve">risk </w:t>
      </w:r>
      <w:r w:rsidR="0040789F" w:rsidRPr="00446073">
        <w:rPr>
          <w:rFonts w:cs="Arial"/>
        </w:rPr>
        <w:t xml:space="preserve">of costly project delays or legal escalation. </w:t>
      </w:r>
      <w:r w:rsidR="00C2117A" w:rsidRPr="00446073">
        <w:rPr>
          <w:rFonts w:cs="Arial"/>
        </w:rPr>
        <w:t>In doing so, t</w:t>
      </w:r>
      <w:r w:rsidR="00867385" w:rsidRPr="00446073">
        <w:rPr>
          <w:rFonts w:cs="Arial"/>
        </w:rPr>
        <w:t xml:space="preserve">he Registry </w:t>
      </w:r>
      <w:r w:rsidR="0083597B" w:rsidRPr="00446073">
        <w:rPr>
          <w:rFonts w:cs="Arial"/>
        </w:rPr>
        <w:t>strengthen</w:t>
      </w:r>
      <w:r w:rsidR="52323BEC" w:rsidRPr="00446073">
        <w:rPr>
          <w:rFonts w:cs="Arial"/>
        </w:rPr>
        <w:t>s</w:t>
      </w:r>
      <w:r w:rsidR="00C2117A" w:rsidRPr="00446073">
        <w:rPr>
          <w:rFonts w:cs="Arial"/>
        </w:rPr>
        <w:t xml:space="preserve"> confidence </w:t>
      </w:r>
      <w:r w:rsidR="0083597B" w:rsidRPr="00446073">
        <w:rPr>
          <w:rFonts w:cs="Arial"/>
        </w:rPr>
        <w:t xml:space="preserve">in the payment system, </w:t>
      </w:r>
      <w:r w:rsidRPr="00446073">
        <w:rPr>
          <w:rFonts w:cs="Arial"/>
        </w:rPr>
        <w:t>promote</w:t>
      </w:r>
      <w:r w:rsidR="3DD0AD6B" w:rsidRPr="00446073">
        <w:rPr>
          <w:rFonts w:cs="Arial"/>
        </w:rPr>
        <w:t>s</w:t>
      </w:r>
      <w:r w:rsidRPr="00446073">
        <w:rPr>
          <w:rFonts w:cs="Arial"/>
        </w:rPr>
        <w:t xml:space="preserve"> </w:t>
      </w:r>
      <w:r w:rsidR="00FC6318" w:rsidRPr="00446073">
        <w:rPr>
          <w:rFonts w:cs="Arial"/>
        </w:rPr>
        <w:t>financial certainty</w:t>
      </w:r>
      <w:r w:rsidR="00F15F19" w:rsidRPr="00446073">
        <w:rPr>
          <w:rFonts w:cs="Arial"/>
        </w:rPr>
        <w:t>,</w:t>
      </w:r>
      <w:r w:rsidRPr="00446073">
        <w:rPr>
          <w:rFonts w:cs="Arial"/>
        </w:rPr>
        <w:t xml:space="preserve"> and </w:t>
      </w:r>
      <w:r w:rsidR="007E48DE" w:rsidRPr="00446073">
        <w:rPr>
          <w:rFonts w:cs="Arial"/>
        </w:rPr>
        <w:t>contribute</w:t>
      </w:r>
      <w:r w:rsidR="24AD6EB2" w:rsidRPr="00446073">
        <w:rPr>
          <w:rFonts w:cs="Arial"/>
        </w:rPr>
        <w:t>s</w:t>
      </w:r>
      <w:r w:rsidR="007E48DE" w:rsidRPr="00446073">
        <w:rPr>
          <w:rFonts w:cs="Arial"/>
        </w:rPr>
        <w:t xml:space="preserve"> to a more</w:t>
      </w:r>
      <w:r w:rsidR="00D31744" w:rsidRPr="00446073">
        <w:rPr>
          <w:rFonts w:cs="Arial"/>
        </w:rPr>
        <w:t xml:space="preserve"> resilient </w:t>
      </w:r>
      <w:r w:rsidR="002F4BA7" w:rsidRPr="00446073">
        <w:rPr>
          <w:rFonts w:cs="Arial"/>
        </w:rPr>
        <w:t>and</w:t>
      </w:r>
      <w:r w:rsidRPr="00446073">
        <w:rPr>
          <w:rFonts w:cs="Arial"/>
        </w:rPr>
        <w:t xml:space="preserve"> sustainable building and construction industry in Queensland.</w:t>
      </w:r>
      <w:r w:rsidR="005B09A6" w:rsidRPr="3B27A713">
        <w:rPr>
          <w:rFonts w:cs="Arial"/>
          <w:color w:val="020A0A" w:themeColor="accent4"/>
          <w:sz w:val="32"/>
          <w:szCs w:val="32"/>
        </w:rPr>
        <w:br w:type="page"/>
      </w:r>
    </w:p>
    <w:p w14:paraId="19C96395" w14:textId="6CB10096" w:rsidR="00684B78" w:rsidRDefault="004C4BDB" w:rsidP="003822A5">
      <w:pPr>
        <w:pStyle w:val="Heading2"/>
        <w:rPr>
          <w:rFonts w:cs="Arial"/>
        </w:rPr>
      </w:pPr>
      <w:bookmarkStart w:id="156" w:name="_Toc206493018"/>
      <w:r w:rsidRPr="00F95611">
        <w:lastRenderedPageBreak/>
        <w:t>Frontline</w:t>
      </w:r>
      <w:r w:rsidR="00791148" w:rsidRPr="00F95611">
        <w:t xml:space="preserve"> service</w:t>
      </w:r>
      <w:bookmarkEnd w:id="156"/>
    </w:p>
    <w:p w14:paraId="4FDD1215" w14:textId="77777777" w:rsidR="00FB3843" w:rsidRDefault="00337D81" w:rsidP="003822A5">
      <w:pPr>
        <w:spacing w:before="120" w:after="120"/>
        <w:rPr>
          <w:rFonts w:cs="Arial"/>
        </w:rPr>
      </w:pPr>
      <w:r>
        <w:rPr>
          <w:rFonts w:cs="Arial"/>
        </w:rPr>
        <w:t xml:space="preserve">Delivering </w:t>
      </w:r>
      <w:r w:rsidR="00F1673C">
        <w:rPr>
          <w:rFonts w:cs="Arial"/>
        </w:rPr>
        <w:t>accessible</w:t>
      </w:r>
      <w:r>
        <w:rPr>
          <w:rFonts w:cs="Arial"/>
        </w:rPr>
        <w:t xml:space="preserve">, </w:t>
      </w:r>
      <w:r w:rsidR="00F1673C">
        <w:rPr>
          <w:rFonts w:cs="Arial"/>
        </w:rPr>
        <w:t>timely</w:t>
      </w:r>
      <w:r w:rsidR="00862819">
        <w:rPr>
          <w:rFonts w:cs="Arial"/>
        </w:rPr>
        <w:t xml:space="preserve"> </w:t>
      </w:r>
      <w:r>
        <w:rPr>
          <w:rFonts w:cs="Arial"/>
        </w:rPr>
        <w:t xml:space="preserve">and helpful </w:t>
      </w:r>
      <w:r w:rsidR="0084628F">
        <w:rPr>
          <w:rFonts w:cs="Arial"/>
        </w:rPr>
        <w:t xml:space="preserve">frontline customer </w:t>
      </w:r>
      <w:r w:rsidR="006F3434">
        <w:rPr>
          <w:rFonts w:cs="Arial"/>
        </w:rPr>
        <w:t>support</w:t>
      </w:r>
      <w:r w:rsidR="00F1673C">
        <w:rPr>
          <w:rFonts w:cs="Arial"/>
        </w:rPr>
        <w:t xml:space="preserve"> </w:t>
      </w:r>
      <w:r w:rsidR="006A1ACF">
        <w:rPr>
          <w:rFonts w:cs="Arial"/>
        </w:rPr>
        <w:t xml:space="preserve">is </w:t>
      </w:r>
      <w:r w:rsidR="00F84B9D">
        <w:rPr>
          <w:rFonts w:cs="Arial"/>
        </w:rPr>
        <w:t xml:space="preserve">central to </w:t>
      </w:r>
      <w:r w:rsidR="0069596A">
        <w:rPr>
          <w:rFonts w:cs="Arial"/>
        </w:rPr>
        <w:t xml:space="preserve">the </w:t>
      </w:r>
      <w:r w:rsidR="006A1ACF">
        <w:rPr>
          <w:rFonts w:cs="Arial"/>
        </w:rPr>
        <w:t>QBCC’s commitment to s</w:t>
      </w:r>
      <w:r w:rsidR="003F1095">
        <w:rPr>
          <w:rFonts w:cs="Arial"/>
        </w:rPr>
        <w:t xml:space="preserve">erving </w:t>
      </w:r>
      <w:r w:rsidR="006A1ACF">
        <w:rPr>
          <w:rFonts w:cs="Arial"/>
        </w:rPr>
        <w:t xml:space="preserve">Queensland’s building and construction industry. </w:t>
      </w:r>
      <w:r w:rsidR="00E54142">
        <w:rPr>
          <w:rFonts w:cs="Arial"/>
        </w:rPr>
        <w:t>C</w:t>
      </w:r>
      <w:r w:rsidR="006D657D">
        <w:rPr>
          <w:rFonts w:cs="Arial"/>
        </w:rPr>
        <w:t xml:space="preserve">ustomer </w:t>
      </w:r>
      <w:r w:rsidR="00D2766D">
        <w:rPr>
          <w:rFonts w:cs="Arial"/>
        </w:rPr>
        <w:t xml:space="preserve">service teams play a </w:t>
      </w:r>
      <w:r w:rsidR="009D57C3">
        <w:rPr>
          <w:rFonts w:cs="Arial"/>
        </w:rPr>
        <w:t>vital</w:t>
      </w:r>
      <w:r w:rsidR="00D2766D">
        <w:rPr>
          <w:rFonts w:cs="Arial"/>
        </w:rPr>
        <w:t xml:space="preserve"> role in </w:t>
      </w:r>
      <w:r w:rsidR="00E54142">
        <w:rPr>
          <w:rFonts w:cs="Arial"/>
        </w:rPr>
        <w:t xml:space="preserve">engaging </w:t>
      </w:r>
      <w:r w:rsidR="00410F17">
        <w:rPr>
          <w:rFonts w:cs="Arial"/>
        </w:rPr>
        <w:t xml:space="preserve">with a </w:t>
      </w:r>
      <w:r w:rsidR="00377C6F">
        <w:rPr>
          <w:rFonts w:cs="Arial"/>
        </w:rPr>
        <w:t xml:space="preserve">wide </w:t>
      </w:r>
      <w:r w:rsidR="00410F17">
        <w:rPr>
          <w:rFonts w:cs="Arial"/>
        </w:rPr>
        <w:t>range of customers, including</w:t>
      </w:r>
      <w:r w:rsidR="00F148F1">
        <w:rPr>
          <w:rFonts w:cs="Arial"/>
        </w:rPr>
        <w:t xml:space="preserve"> </w:t>
      </w:r>
      <w:bookmarkStart w:id="157" w:name="_Int_OWM3cMSk"/>
      <w:proofErr w:type="gramStart"/>
      <w:r w:rsidR="00410F17">
        <w:rPr>
          <w:rFonts w:cs="Arial"/>
        </w:rPr>
        <w:t>home owners</w:t>
      </w:r>
      <w:bookmarkEnd w:id="157"/>
      <w:proofErr w:type="gramEnd"/>
      <w:r w:rsidR="00410F17">
        <w:rPr>
          <w:rFonts w:cs="Arial"/>
        </w:rPr>
        <w:t>, builders, contractors, subcontractors</w:t>
      </w:r>
      <w:r w:rsidR="00AF35E2">
        <w:rPr>
          <w:rFonts w:cs="Arial"/>
        </w:rPr>
        <w:t xml:space="preserve">, </w:t>
      </w:r>
      <w:r w:rsidR="00410F17">
        <w:rPr>
          <w:rFonts w:cs="Arial"/>
        </w:rPr>
        <w:t xml:space="preserve">industry </w:t>
      </w:r>
      <w:r w:rsidR="00A01D63">
        <w:rPr>
          <w:rFonts w:cs="Arial"/>
        </w:rPr>
        <w:t>professionals</w:t>
      </w:r>
      <w:r w:rsidR="00A81D67">
        <w:rPr>
          <w:rFonts w:cs="Arial"/>
        </w:rPr>
        <w:t xml:space="preserve"> and the broader </w:t>
      </w:r>
      <w:r w:rsidR="00DA5F98">
        <w:rPr>
          <w:rFonts w:cs="Arial"/>
        </w:rPr>
        <w:t>community</w:t>
      </w:r>
      <w:r w:rsidR="00732527">
        <w:rPr>
          <w:rFonts w:cs="Arial"/>
        </w:rPr>
        <w:t>.</w:t>
      </w:r>
    </w:p>
    <w:p w14:paraId="33C1C2A9" w14:textId="585B236F" w:rsidR="00FF675D" w:rsidRDefault="00535403" w:rsidP="003822A5">
      <w:pPr>
        <w:spacing w:before="120" w:after="120"/>
        <w:rPr>
          <w:rFonts w:cs="Arial"/>
        </w:rPr>
      </w:pPr>
      <w:r>
        <w:rPr>
          <w:rFonts w:cs="Arial"/>
        </w:rPr>
        <w:t xml:space="preserve">As the first point of contact for many, </w:t>
      </w:r>
      <w:r w:rsidR="006F1E73">
        <w:rPr>
          <w:rFonts w:cs="Arial"/>
        </w:rPr>
        <w:t xml:space="preserve">frontline service teams provide </w:t>
      </w:r>
      <w:r w:rsidR="00A01D63">
        <w:rPr>
          <w:rFonts w:cs="Arial"/>
        </w:rPr>
        <w:t>guidance</w:t>
      </w:r>
      <w:r w:rsidR="006E003C">
        <w:rPr>
          <w:rFonts w:cs="Arial"/>
        </w:rPr>
        <w:t xml:space="preserve">, resolve </w:t>
      </w:r>
      <w:r w:rsidR="00A01D63">
        <w:rPr>
          <w:rFonts w:cs="Arial"/>
        </w:rPr>
        <w:t xml:space="preserve">queries </w:t>
      </w:r>
      <w:r w:rsidR="00EB645A">
        <w:rPr>
          <w:rFonts w:cs="Arial"/>
        </w:rPr>
        <w:t xml:space="preserve">and </w:t>
      </w:r>
      <w:r w:rsidR="006E003C">
        <w:rPr>
          <w:rFonts w:cs="Arial"/>
        </w:rPr>
        <w:t xml:space="preserve">help customers </w:t>
      </w:r>
      <w:r w:rsidR="00EB645A">
        <w:rPr>
          <w:rFonts w:cs="Arial"/>
        </w:rPr>
        <w:t xml:space="preserve">understand their rights and </w:t>
      </w:r>
      <w:r w:rsidR="00F148F1">
        <w:rPr>
          <w:rFonts w:cs="Arial"/>
        </w:rPr>
        <w:t>responsibilities</w:t>
      </w:r>
      <w:r w:rsidR="00783391">
        <w:rPr>
          <w:rFonts w:cs="Arial"/>
        </w:rPr>
        <w:t>.</w:t>
      </w:r>
      <w:r w:rsidR="00DF2E92">
        <w:rPr>
          <w:rFonts w:cs="Arial"/>
        </w:rPr>
        <w:t xml:space="preserve"> </w:t>
      </w:r>
      <w:r w:rsidR="009C4A9F">
        <w:rPr>
          <w:rFonts w:cs="Arial"/>
        </w:rPr>
        <w:t>F</w:t>
      </w:r>
      <w:r w:rsidR="006D12D2">
        <w:rPr>
          <w:rFonts w:cs="Arial"/>
        </w:rPr>
        <w:t xml:space="preserve">rontline </w:t>
      </w:r>
      <w:r w:rsidR="009C4A9F">
        <w:rPr>
          <w:rFonts w:cs="Arial"/>
        </w:rPr>
        <w:t>services are</w:t>
      </w:r>
      <w:r w:rsidR="006D12D2">
        <w:rPr>
          <w:rFonts w:cs="Arial"/>
        </w:rPr>
        <w:t xml:space="preserve"> </w:t>
      </w:r>
      <w:r w:rsidR="00783391">
        <w:rPr>
          <w:rFonts w:cs="Arial"/>
        </w:rPr>
        <w:t>delivered</w:t>
      </w:r>
      <w:r w:rsidR="00862819">
        <w:rPr>
          <w:rFonts w:cs="Arial"/>
        </w:rPr>
        <w:t xml:space="preserve"> through </w:t>
      </w:r>
      <w:r w:rsidR="001415AE">
        <w:rPr>
          <w:rFonts w:cs="Arial"/>
        </w:rPr>
        <w:t>multiple channels, including phone support, face-to-face service centre</w:t>
      </w:r>
      <w:r w:rsidR="00A91414">
        <w:rPr>
          <w:rFonts w:cs="Arial"/>
        </w:rPr>
        <w:t xml:space="preserve">s and online </w:t>
      </w:r>
      <w:r w:rsidR="002B456C">
        <w:rPr>
          <w:rFonts w:cs="Arial"/>
        </w:rPr>
        <w:t>platforms</w:t>
      </w:r>
      <w:r w:rsidR="00A91414">
        <w:rPr>
          <w:rFonts w:cs="Arial"/>
        </w:rPr>
        <w:t xml:space="preserve">. </w:t>
      </w:r>
      <w:r w:rsidR="00DF1148">
        <w:rPr>
          <w:rFonts w:cs="Arial"/>
        </w:rPr>
        <w:t xml:space="preserve">Through </w:t>
      </w:r>
      <w:r w:rsidR="009A6EAB">
        <w:rPr>
          <w:rFonts w:cs="Arial"/>
        </w:rPr>
        <w:t>its f</w:t>
      </w:r>
      <w:r w:rsidR="00DF1148">
        <w:rPr>
          <w:rFonts w:cs="Arial"/>
        </w:rPr>
        <w:t>rontline</w:t>
      </w:r>
      <w:r w:rsidR="00F32142">
        <w:rPr>
          <w:rFonts w:cs="Arial"/>
        </w:rPr>
        <w:t xml:space="preserve"> </w:t>
      </w:r>
      <w:r w:rsidR="00DF1148">
        <w:rPr>
          <w:rFonts w:cs="Arial"/>
        </w:rPr>
        <w:t xml:space="preserve">services, </w:t>
      </w:r>
      <w:r w:rsidR="009A6EAB">
        <w:rPr>
          <w:rFonts w:cs="Arial"/>
        </w:rPr>
        <w:t>the QBCC</w:t>
      </w:r>
      <w:r w:rsidR="00802DAD">
        <w:rPr>
          <w:rFonts w:cs="Arial"/>
        </w:rPr>
        <w:t xml:space="preserve"> </w:t>
      </w:r>
      <w:r w:rsidR="00202BE7">
        <w:rPr>
          <w:rFonts w:cs="Arial"/>
        </w:rPr>
        <w:t>promote</w:t>
      </w:r>
      <w:r w:rsidR="00802DAD">
        <w:rPr>
          <w:rFonts w:cs="Arial"/>
        </w:rPr>
        <w:t>s</w:t>
      </w:r>
      <w:r w:rsidR="00202BE7">
        <w:rPr>
          <w:rFonts w:cs="Arial"/>
        </w:rPr>
        <w:t xml:space="preserve"> safety, fairness and informed decision</w:t>
      </w:r>
      <w:r w:rsidR="00FE2C1D">
        <w:rPr>
          <w:rFonts w:cs="Arial"/>
        </w:rPr>
        <w:t xml:space="preserve"> making</w:t>
      </w:r>
      <w:r w:rsidR="00E0290D">
        <w:rPr>
          <w:rFonts w:cs="Arial"/>
        </w:rPr>
        <w:t xml:space="preserve">. </w:t>
      </w:r>
    </w:p>
    <w:p w14:paraId="25DEA912" w14:textId="62840EDB" w:rsidR="00534524" w:rsidRDefault="00534524" w:rsidP="00534524">
      <w:pPr>
        <w:pStyle w:val="Heading3"/>
      </w:pPr>
      <w:bookmarkStart w:id="158" w:name="_Contact_centre"/>
      <w:bookmarkEnd w:id="158"/>
      <w:r w:rsidRPr="002626B8">
        <w:t xml:space="preserve">Contact </w:t>
      </w:r>
      <w:r w:rsidR="00882439">
        <w:t>c</w:t>
      </w:r>
      <w:r w:rsidRPr="002626B8">
        <w:t>entre</w:t>
      </w:r>
      <w:r w:rsidRPr="002626B8" w:rsidDel="001368CE">
        <w:t xml:space="preserve"> </w:t>
      </w:r>
      <w:r>
        <w:t xml:space="preserve"> </w:t>
      </w:r>
    </w:p>
    <w:p w14:paraId="4C7A76F3" w14:textId="77777777" w:rsidR="007E7989" w:rsidRDefault="00B310D6" w:rsidP="003822A5">
      <w:pPr>
        <w:spacing w:before="120" w:after="120"/>
        <w:rPr>
          <w:szCs w:val="28"/>
        </w:rPr>
      </w:pPr>
      <w:r>
        <w:rPr>
          <w:szCs w:val="28"/>
        </w:rPr>
        <w:t>The QBCC contact centre</w:t>
      </w:r>
      <w:r w:rsidR="00E65C64">
        <w:rPr>
          <w:szCs w:val="28"/>
        </w:rPr>
        <w:t xml:space="preserve"> serve</w:t>
      </w:r>
      <w:r w:rsidR="002B2D94">
        <w:rPr>
          <w:szCs w:val="28"/>
        </w:rPr>
        <w:t>s</w:t>
      </w:r>
      <w:r w:rsidR="00E65C64">
        <w:rPr>
          <w:szCs w:val="28"/>
        </w:rPr>
        <w:t xml:space="preserve"> as a </w:t>
      </w:r>
      <w:r w:rsidR="00A71CBD">
        <w:rPr>
          <w:szCs w:val="28"/>
        </w:rPr>
        <w:t>vital</w:t>
      </w:r>
      <w:r w:rsidR="00E65C64">
        <w:rPr>
          <w:szCs w:val="28"/>
        </w:rPr>
        <w:t xml:space="preserve"> frontline channel for engaging with customers across Q</w:t>
      </w:r>
      <w:r w:rsidR="00837EF0">
        <w:rPr>
          <w:szCs w:val="28"/>
        </w:rPr>
        <w:t xml:space="preserve">ueensland. </w:t>
      </w:r>
      <w:r w:rsidR="00D726A8">
        <w:rPr>
          <w:szCs w:val="28"/>
        </w:rPr>
        <w:t>As the primary channel for customer enquiries, the QBCC contact centre delivers</w:t>
      </w:r>
      <w:r w:rsidR="00026BB2">
        <w:rPr>
          <w:szCs w:val="28"/>
        </w:rPr>
        <w:t xml:space="preserve"> consistent, </w:t>
      </w:r>
      <w:r w:rsidR="00E56541">
        <w:rPr>
          <w:szCs w:val="28"/>
        </w:rPr>
        <w:t>timely and</w:t>
      </w:r>
      <w:r w:rsidR="008D4B4D">
        <w:rPr>
          <w:szCs w:val="28"/>
        </w:rPr>
        <w:t xml:space="preserve"> informative service</w:t>
      </w:r>
      <w:r w:rsidR="00C20CD0">
        <w:rPr>
          <w:szCs w:val="28"/>
        </w:rPr>
        <w:t>s</w:t>
      </w:r>
      <w:r w:rsidR="00D726A8">
        <w:rPr>
          <w:szCs w:val="28"/>
        </w:rPr>
        <w:t xml:space="preserve"> that</w:t>
      </w:r>
      <w:r w:rsidR="008D4B4D">
        <w:rPr>
          <w:szCs w:val="28"/>
        </w:rPr>
        <w:t xml:space="preserve"> </w:t>
      </w:r>
      <w:r w:rsidR="0017393E">
        <w:rPr>
          <w:szCs w:val="28"/>
        </w:rPr>
        <w:t xml:space="preserve">enhance the </w:t>
      </w:r>
      <w:r w:rsidR="00A35167">
        <w:rPr>
          <w:szCs w:val="28"/>
        </w:rPr>
        <w:t xml:space="preserve">customer experience, </w:t>
      </w:r>
      <w:r w:rsidR="0017393E">
        <w:rPr>
          <w:szCs w:val="28"/>
        </w:rPr>
        <w:t>support</w:t>
      </w:r>
      <w:r w:rsidR="00306884">
        <w:rPr>
          <w:szCs w:val="28"/>
        </w:rPr>
        <w:t xml:space="preserve"> regulatory </w:t>
      </w:r>
      <w:r w:rsidR="00A35167">
        <w:rPr>
          <w:szCs w:val="28"/>
        </w:rPr>
        <w:t xml:space="preserve">compliance </w:t>
      </w:r>
      <w:r w:rsidR="00E40A8B">
        <w:rPr>
          <w:szCs w:val="28"/>
        </w:rPr>
        <w:t xml:space="preserve">and </w:t>
      </w:r>
      <w:r w:rsidR="00146E5D">
        <w:rPr>
          <w:szCs w:val="28"/>
        </w:rPr>
        <w:t>strengthen</w:t>
      </w:r>
      <w:r w:rsidR="00E40A8B">
        <w:rPr>
          <w:szCs w:val="28"/>
        </w:rPr>
        <w:t xml:space="preserve"> public trust in the </w:t>
      </w:r>
      <w:r w:rsidR="005901B9">
        <w:rPr>
          <w:szCs w:val="28"/>
        </w:rPr>
        <w:t>QBCC</w:t>
      </w:r>
      <w:r w:rsidR="005B2859">
        <w:rPr>
          <w:szCs w:val="28"/>
        </w:rPr>
        <w:t xml:space="preserve">’s role within the </w:t>
      </w:r>
      <w:r w:rsidR="00A35167">
        <w:rPr>
          <w:szCs w:val="28"/>
        </w:rPr>
        <w:t>building and construction industry</w:t>
      </w:r>
      <w:r w:rsidR="00C472AF">
        <w:rPr>
          <w:szCs w:val="28"/>
        </w:rPr>
        <w:t>.</w:t>
      </w:r>
      <w:r w:rsidR="00955156">
        <w:rPr>
          <w:szCs w:val="28"/>
        </w:rPr>
        <w:t xml:space="preserve"> </w:t>
      </w:r>
    </w:p>
    <w:p w14:paraId="24B5CF07" w14:textId="5A2159AF" w:rsidR="004A0375" w:rsidRDefault="00322160" w:rsidP="003822A5">
      <w:pPr>
        <w:spacing w:before="120" w:after="120"/>
        <w:rPr>
          <w:rFonts w:eastAsia="Arial"/>
          <w:szCs w:val="22"/>
        </w:rPr>
      </w:pPr>
      <w:r>
        <w:rPr>
          <w:szCs w:val="28"/>
        </w:rPr>
        <w:t>Table 28</w:t>
      </w:r>
      <w:r w:rsidR="00032A8E">
        <w:rPr>
          <w:szCs w:val="28"/>
        </w:rPr>
        <w:fldChar w:fldCharType="begin"/>
      </w:r>
      <w:r w:rsidR="00032A8E">
        <w:rPr>
          <w:szCs w:val="28"/>
        </w:rPr>
        <w:instrText xml:space="preserve"> REF _Ref201911756 \h </w:instrText>
      </w:r>
      <w:r w:rsidR="00032A8E">
        <w:rPr>
          <w:szCs w:val="28"/>
        </w:rPr>
      </w:r>
      <w:r w:rsidR="00032A8E">
        <w:rPr>
          <w:szCs w:val="28"/>
        </w:rPr>
        <w:fldChar w:fldCharType="separate"/>
      </w:r>
      <w:r w:rsidR="00032A8E">
        <w:rPr>
          <w:szCs w:val="28"/>
        </w:rPr>
        <w:fldChar w:fldCharType="end"/>
      </w:r>
      <w:r w:rsidR="00534524" w:rsidRPr="0072231D">
        <w:rPr>
          <w:rFonts w:eastAsia="Arial" w:cs="Arial"/>
          <w:szCs w:val="22"/>
        </w:rPr>
        <w:t xml:space="preserve"> </w:t>
      </w:r>
      <w:r w:rsidR="00DE3853">
        <w:rPr>
          <w:rFonts w:eastAsia="Arial"/>
          <w:szCs w:val="22"/>
        </w:rPr>
        <w:t>provides an overview of</w:t>
      </w:r>
      <w:r w:rsidR="00534524" w:rsidRPr="0072231D">
        <w:rPr>
          <w:rFonts w:eastAsia="Arial" w:cs="Arial"/>
          <w:szCs w:val="22"/>
        </w:rPr>
        <w:t xml:space="preserve"> customer </w:t>
      </w:r>
      <w:r w:rsidR="00534524" w:rsidRPr="0072231D">
        <w:rPr>
          <w:rFonts w:eastAsia="Arial"/>
          <w:szCs w:val="22"/>
        </w:rPr>
        <w:t xml:space="preserve">interactions </w:t>
      </w:r>
      <w:r w:rsidR="00CD43E1">
        <w:rPr>
          <w:rFonts w:eastAsia="Arial"/>
          <w:szCs w:val="22"/>
        </w:rPr>
        <w:t xml:space="preserve">managed </w:t>
      </w:r>
      <w:r w:rsidR="00232330">
        <w:rPr>
          <w:rFonts w:eastAsia="Arial"/>
          <w:szCs w:val="22"/>
        </w:rPr>
        <w:t>by</w:t>
      </w:r>
      <w:r w:rsidR="00534524" w:rsidRPr="0072231D">
        <w:rPr>
          <w:rFonts w:eastAsia="Arial"/>
          <w:szCs w:val="22"/>
        </w:rPr>
        <w:t xml:space="preserve"> </w:t>
      </w:r>
      <w:r w:rsidR="00ED5245">
        <w:rPr>
          <w:rFonts w:eastAsia="Arial"/>
          <w:szCs w:val="22"/>
        </w:rPr>
        <w:t xml:space="preserve">the </w:t>
      </w:r>
      <w:r w:rsidR="00EB057F">
        <w:rPr>
          <w:rFonts w:eastAsia="Arial"/>
          <w:szCs w:val="22"/>
        </w:rPr>
        <w:t xml:space="preserve">QBCC </w:t>
      </w:r>
      <w:r w:rsidR="00ED5245">
        <w:rPr>
          <w:rFonts w:eastAsia="Arial"/>
          <w:szCs w:val="22"/>
        </w:rPr>
        <w:t>contact centre</w:t>
      </w:r>
      <w:r w:rsidR="003A200B">
        <w:rPr>
          <w:rFonts w:eastAsia="Arial"/>
          <w:szCs w:val="22"/>
        </w:rPr>
        <w:t xml:space="preserve"> during the </w:t>
      </w:r>
      <w:r w:rsidR="00415389">
        <w:rPr>
          <w:rFonts w:eastAsia="Arial"/>
          <w:szCs w:val="22"/>
        </w:rPr>
        <w:t>reporting period</w:t>
      </w:r>
      <w:r w:rsidR="00232330">
        <w:rPr>
          <w:rFonts w:eastAsia="Arial"/>
          <w:szCs w:val="22"/>
        </w:rPr>
        <w:t xml:space="preserve">, along with </w:t>
      </w:r>
      <w:r w:rsidR="00415389">
        <w:rPr>
          <w:rFonts w:eastAsia="Arial"/>
          <w:szCs w:val="22"/>
        </w:rPr>
        <w:t>comparisons</w:t>
      </w:r>
      <w:r w:rsidR="00232330">
        <w:rPr>
          <w:rFonts w:eastAsia="Arial"/>
          <w:szCs w:val="22"/>
        </w:rPr>
        <w:t xml:space="preserve"> to the</w:t>
      </w:r>
      <w:r w:rsidR="00415389">
        <w:rPr>
          <w:rFonts w:eastAsia="Arial"/>
          <w:szCs w:val="22"/>
        </w:rPr>
        <w:t xml:space="preserve"> previous </w:t>
      </w:r>
      <w:r w:rsidR="00FF6C29">
        <w:rPr>
          <w:rFonts w:eastAsia="Arial"/>
          <w:szCs w:val="22"/>
        </w:rPr>
        <w:t xml:space="preserve">four </w:t>
      </w:r>
      <w:r w:rsidR="00232330">
        <w:rPr>
          <w:rFonts w:eastAsia="Arial"/>
          <w:szCs w:val="22"/>
        </w:rPr>
        <w:t>year</w:t>
      </w:r>
      <w:r w:rsidR="00FF6C29">
        <w:rPr>
          <w:rFonts w:eastAsia="Arial"/>
          <w:szCs w:val="22"/>
        </w:rPr>
        <w:t>s</w:t>
      </w:r>
      <w:r w:rsidR="00ED5245">
        <w:rPr>
          <w:rFonts w:eastAsia="Arial"/>
          <w:szCs w:val="22"/>
        </w:rPr>
        <w:t>.</w:t>
      </w:r>
      <w:r w:rsidR="002A2B64">
        <w:rPr>
          <w:rFonts w:eastAsia="Arial"/>
          <w:szCs w:val="22"/>
        </w:rPr>
        <w:t xml:space="preserve"> </w:t>
      </w:r>
    </w:p>
    <w:p w14:paraId="4FEBF232" w14:textId="68D3E99B" w:rsidR="00CA1CF5" w:rsidRPr="002A2B64" w:rsidRDefault="00504DA9" w:rsidP="003822A5">
      <w:pPr>
        <w:spacing w:before="120" w:after="120"/>
        <w:rPr>
          <w:rFonts w:eastAsia="Arial"/>
          <w:szCs w:val="22"/>
        </w:rPr>
      </w:pPr>
      <w:r>
        <w:rPr>
          <w:rFonts w:cs="Arial"/>
          <w:szCs w:val="22"/>
        </w:rPr>
        <w:t>In</w:t>
      </w:r>
      <w:r w:rsidR="00C04B6B">
        <w:rPr>
          <w:rFonts w:cs="Arial"/>
          <w:szCs w:val="22"/>
        </w:rPr>
        <w:t>troduced in Jan</w:t>
      </w:r>
      <w:r w:rsidR="006104E8">
        <w:rPr>
          <w:rFonts w:cs="Arial"/>
          <w:szCs w:val="22"/>
        </w:rPr>
        <w:t>uary 2024, t</w:t>
      </w:r>
      <w:r w:rsidR="00CA1CF5">
        <w:rPr>
          <w:rFonts w:cs="Arial"/>
          <w:szCs w:val="22"/>
        </w:rPr>
        <w:t xml:space="preserve">he </w:t>
      </w:r>
      <w:r w:rsidR="00D32BAF">
        <w:rPr>
          <w:rFonts w:cs="Arial"/>
          <w:szCs w:val="22"/>
        </w:rPr>
        <w:t>Subject Matter Expert (</w:t>
      </w:r>
      <w:r w:rsidR="00CA1CF5">
        <w:rPr>
          <w:rFonts w:cs="Arial"/>
          <w:szCs w:val="22"/>
        </w:rPr>
        <w:t>SME</w:t>
      </w:r>
      <w:r w:rsidR="00D32BAF">
        <w:rPr>
          <w:rFonts w:cs="Arial"/>
          <w:szCs w:val="22"/>
        </w:rPr>
        <w:t>)</w:t>
      </w:r>
      <w:r w:rsidR="00CA1CF5" w:rsidRPr="0072231D">
        <w:rPr>
          <w:rFonts w:cs="Arial"/>
          <w:szCs w:val="22"/>
        </w:rPr>
        <w:t xml:space="preserve"> </w:t>
      </w:r>
      <w:r w:rsidR="00CA1CF5">
        <w:rPr>
          <w:rFonts w:cs="Arial"/>
          <w:szCs w:val="22"/>
        </w:rPr>
        <w:t>roster is designed to strengthen frontline service capability</w:t>
      </w:r>
      <w:r w:rsidR="00C2756A">
        <w:rPr>
          <w:rFonts w:cs="Arial"/>
          <w:szCs w:val="22"/>
        </w:rPr>
        <w:t>.</w:t>
      </w:r>
      <w:r w:rsidR="00CA1CF5">
        <w:rPr>
          <w:rFonts w:cs="Arial"/>
          <w:szCs w:val="22"/>
        </w:rPr>
        <w:t xml:space="preserve"> </w:t>
      </w:r>
      <w:r w:rsidR="00C2756A">
        <w:rPr>
          <w:rFonts w:cs="Arial"/>
          <w:szCs w:val="22"/>
        </w:rPr>
        <w:t>T</w:t>
      </w:r>
      <w:r w:rsidR="00CA1CF5">
        <w:rPr>
          <w:rFonts w:cs="Arial"/>
          <w:szCs w:val="22"/>
        </w:rPr>
        <w:t>he initiative ensures customers have timely access to accurate advice from operational experts when specialised support is required</w:t>
      </w:r>
      <w:r w:rsidR="00CA1CF5" w:rsidRPr="0037600B">
        <w:rPr>
          <w:rFonts w:cs="Arial"/>
          <w:szCs w:val="22"/>
        </w:rPr>
        <w:t>.</w:t>
      </w:r>
      <w:r w:rsidR="00CA1CF5">
        <w:rPr>
          <w:rFonts w:cs="Arial"/>
          <w:szCs w:val="22"/>
        </w:rPr>
        <w:t xml:space="preserve"> </w:t>
      </w:r>
    </w:p>
    <w:p w14:paraId="7F27002F" w14:textId="09FC853B" w:rsidR="00534524" w:rsidRPr="00032A8E" w:rsidRDefault="00032A8E" w:rsidP="003822A5">
      <w:pPr>
        <w:pStyle w:val="Caption"/>
        <w:keepNext/>
        <w:spacing w:before="120" w:after="120"/>
      </w:pPr>
      <w:bookmarkStart w:id="159" w:name="_Ref201911756"/>
      <w:bookmarkStart w:id="160" w:name="_Toc202872058"/>
      <w:bookmarkStart w:id="161" w:name="_Toc202872678"/>
      <w:r>
        <w:t>Table</w:t>
      </w:r>
      <w:r w:rsidR="00311DBB">
        <w:t xml:space="preserve"> 28</w:t>
      </w:r>
      <w:bookmarkEnd w:id="159"/>
      <w:r w:rsidRPr="00850D76">
        <w:t xml:space="preserve">: </w:t>
      </w:r>
      <w:bookmarkStart w:id="162" w:name="_Ref202873600"/>
      <w:r w:rsidRPr="00850D76">
        <w:t>Number of customer interactions over the past five years</w:t>
      </w:r>
      <w:bookmarkEnd w:id="160"/>
      <w:bookmarkEnd w:id="161"/>
      <w:bookmarkEnd w:id="162"/>
    </w:p>
    <w:tbl>
      <w:tblPr>
        <w:tblStyle w:val="TableGrid"/>
        <w:tblW w:w="10343" w:type="dxa"/>
        <w:tblLook w:val="04A0" w:firstRow="1" w:lastRow="0" w:firstColumn="1" w:lastColumn="0" w:noHBand="0" w:noVBand="1"/>
      </w:tblPr>
      <w:tblGrid>
        <w:gridCol w:w="2710"/>
        <w:gridCol w:w="1526"/>
        <w:gridCol w:w="1527"/>
        <w:gridCol w:w="1526"/>
        <w:gridCol w:w="1527"/>
        <w:gridCol w:w="1527"/>
      </w:tblGrid>
      <w:tr w:rsidR="008821C8" w:rsidRPr="00DB7149" w14:paraId="381EEF75" w14:textId="77777777" w:rsidTr="00F238B1">
        <w:trPr>
          <w:trHeight w:val="435"/>
        </w:trPr>
        <w:tc>
          <w:tcPr>
            <w:tcW w:w="2710" w:type="dxa"/>
            <w:shd w:val="clear" w:color="auto" w:fill="A6A6A6" w:themeFill="background1" w:themeFillShade="A6"/>
            <w:vAlign w:val="center"/>
          </w:tcPr>
          <w:p w14:paraId="163F1386" w14:textId="3500C34E" w:rsidR="008821C8" w:rsidRPr="00DB7149" w:rsidRDefault="00ED298E" w:rsidP="00C423D9">
            <w:pPr>
              <w:pStyle w:val="Caption"/>
            </w:pPr>
            <w:r w:rsidRPr="00DB7149">
              <w:t xml:space="preserve">Service </w:t>
            </w:r>
            <w:r w:rsidR="00B3100A" w:rsidRPr="00DB7149">
              <w:t>ce</w:t>
            </w:r>
            <w:r w:rsidR="00E72716" w:rsidRPr="00DB7149">
              <w:t xml:space="preserve">ntre </w:t>
            </w:r>
            <w:r w:rsidR="006130BB" w:rsidRPr="00DB7149">
              <w:t>interactions</w:t>
            </w:r>
          </w:p>
        </w:tc>
        <w:tc>
          <w:tcPr>
            <w:tcW w:w="1526" w:type="dxa"/>
            <w:shd w:val="clear" w:color="auto" w:fill="A6A6A6" w:themeFill="background1" w:themeFillShade="A6"/>
            <w:vAlign w:val="center"/>
          </w:tcPr>
          <w:p w14:paraId="7D942AE5" w14:textId="1722024D" w:rsidR="008821C8" w:rsidRPr="00DB7149" w:rsidRDefault="008821C8" w:rsidP="00D50CB3">
            <w:pPr>
              <w:rPr>
                <w:rFonts w:cs="Arial"/>
                <w:b/>
                <w:szCs w:val="22"/>
              </w:rPr>
            </w:pPr>
            <w:r w:rsidRPr="00DB7149">
              <w:rPr>
                <w:rFonts w:cs="Arial"/>
                <w:b/>
                <w:szCs w:val="22"/>
              </w:rPr>
              <w:t>2020</w:t>
            </w:r>
            <w:r w:rsidR="00426D18" w:rsidRPr="00DB7149">
              <w:rPr>
                <w:rFonts w:cs="Arial"/>
                <w:b/>
                <w:szCs w:val="22"/>
              </w:rPr>
              <w:t>–</w:t>
            </w:r>
            <w:r w:rsidRPr="00DB7149">
              <w:rPr>
                <w:rFonts w:cs="Arial"/>
                <w:b/>
                <w:szCs w:val="22"/>
              </w:rPr>
              <w:t>21</w:t>
            </w:r>
          </w:p>
        </w:tc>
        <w:tc>
          <w:tcPr>
            <w:tcW w:w="1527" w:type="dxa"/>
            <w:shd w:val="clear" w:color="auto" w:fill="A6A6A6" w:themeFill="background1" w:themeFillShade="A6"/>
            <w:vAlign w:val="center"/>
          </w:tcPr>
          <w:p w14:paraId="607F54A3" w14:textId="0EBEF162" w:rsidR="008821C8" w:rsidRPr="00DB7149" w:rsidRDefault="008821C8" w:rsidP="00D50CB3">
            <w:pPr>
              <w:rPr>
                <w:rFonts w:cs="Arial"/>
                <w:b/>
                <w:szCs w:val="22"/>
              </w:rPr>
            </w:pPr>
            <w:r w:rsidRPr="00DB7149">
              <w:rPr>
                <w:rFonts w:cs="Arial"/>
                <w:b/>
                <w:szCs w:val="22"/>
              </w:rPr>
              <w:t>2021</w:t>
            </w:r>
            <w:r w:rsidR="00426D18" w:rsidRPr="00DB7149">
              <w:rPr>
                <w:rFonts w:cs="Arial"/>
                <w:b/>
                <w:szCs w:val="22"/>
              </w:rPr>
              <w:t>–</w:t>
            </w:r>
            <w:r w:rsidRPr="00DB7149">
              <w:rPr>
                <w:rFonts w:cs="Arial"/>
                <w:b/>
                <w:szCs w:val="22"/>
              </w:rPr>
              <w:t>22</w:t>
            </w:r>
          </w:p>
        </w:tc>
        <w:tc>
          <w:tcPr>
            <w:tcW w:w="1526" w:type="dxa"/>
            <w:shd w:val="clear" w:color="auto" w:fill="A6A6A6" w:themeFill="background1" w:themeFillShade="A6"/>
            <w:vAlign w:val="center"/>
          </w:tcPr>
          <w:p w14:paraId="0CDCA651" w14:textId="0F60265F" w:rsidR="008821C8" w:rsidRPr="00DB7149" w:rsidRDefault="008821C8" w:rsidP="00D50CB3">
            <w:pPr>
              <w:rPr>
                <w:rFonts w:cs="Arial"/>
                <w:b/>
                <w:szCs w:val="22"/>
              </w:rPr>
            </w:pPr>
            <w:r w:rsidRPr="00DB7149">
              <w:rPr>
                <w:rFonts w:cs="Arial"/>
                <w:b/>
                <w:szCs w:val="22"/>
              </w:rPr>
              <w:t>2022</w:t>
            </w:r>
            <w:r w:rsidRPr="00DB7149">
              <w:rPr>
                <w:rFonts w:cs="Arial"/>
                <w:b/>
                <w:i/>
                <w:szCs w:val="22"/>
              </w:rPr>
              <w:t>–</w:t>
            </w:r>
            <w:r w:rsidRPr="00DB7149">
              <w:rPr>
                <w:rFonts w:cs="Arial"/>
                <w:b/>
                <w:szCs w:val="22"/>
              </w:rPr>
              <w:t>23</w:t>
            </w:r>
          </w:p>
        </w:tc>
        <w:tc>
          <w:tcPr>
            <w:tcW w:w="1527" w:type="dxa"/>
            <w:shd w:val="clear" w:color="auto" w:fill="A6A6A6" w:themeFill="background1" w:themeFillShade="A6"/>
            <w:vAlign w:val="center"/>
          </w:tcPr>
          <w:p w14:paraId="07E53278" w14:textId="047C3CC4" w:rsidR="008821C8" w:rsidRPr="00DB7149" w:rsidRDefault="008821C8" w:rsidP="00D50CB3">
            <w:pPr>
              <w:rPr>
                <w:rFonts w:cs="Arial"/>
                <w:b/>
                <w:szCs w:val="22"/>
              </w:rPr>
            </w:pPr>
            <w:r w:rsidRPr="00DB7149">
              <w:rPr>
                <w:rFonts w:cs="Arial"/>
                <w:b/>
                <w:szCs w:val="22"/>
              </w:rPr>
              <w:t>2023–24</w:t>
            </w:r>
          </w:p>
        </w:tc>
        <w:tc>
          <w:tcPr>
            <w:tcW w:w="1527" w:type="dxa"/>
            <w:shd w:val="clear" w:color="auto" w:fill="A6A6A6" w:themeFill="background1" w:themeFillShade="A6"/>
            <w:vAlign w:val="center"/>
          </w:tcPr>
          <w:p w14:paraId="7ECDCC2E" w14:textId="77777777" w:rsidR="008821C8" w:rsidRPr="00DB7149" w:rsidRDefault="008821C8" w:rsidP="00D50CB3">
            <w:pPr>
              <w:rPr>
                <w:rFonts w:cs="Arial"/>
                <w:b/>
                <w:szCs w:val="22"/>
              </w:rPr>
            </w:pPr>
            <w:r w:rsidRPr="00DB7149">
              <w:rPr>
                <w:rFonts w:cs="Arial"/>
                <w:b/>
                <w:szCs w:val="22"/>
              </w:rPr>
              <w:t>2024–25</w:t>
            </w:r>
          </w:p>
        </w:tc>
      </w:tr>
      <w:tr w:rsidR="008821C8" w:rsidRPr="00DB7149" w14:paraId="47F66F2D" w14:textId="77777777" w:rsidTr="00F238B1">
        <w:trPr>
          <w:trHeight w:val="309"/>
        </w:trPr>
        <w:tc>
          <w:tcPr>
            <w:tcW w:w="2710" w:type="dxa"/>
            <w:vAlign w:val="center"/>
          </w:tcPr>
          <w:p w14:paraId="15D520F7" w14:textId="5FFA3C05" w:rsidR="008821C8" w:rsidRPr="00DB7149" w:rsidRDefault="005C6BB7" w:rsidP="009A1703">
            <w:pPr>
              <w:rPr>
                <w:rFonts w:cs="Arial"/>
                <w:szCs w:val="22"/>
              </w:rPr>
            </w:pPr>
            <w:r w:rsidRPr="00DB7149">
              <w:rPr>
                <w:rFonts w:cs="Arial"/>
                <w:szCs w:val="22"/>
              </w:rPr>
              <w:t>P</w:t>
            </w:r>
            <w:r w:rsidR="008821C8" w:rsidRPr="00DB7149">
              <w:rPr>
                <w:rFonts w:cs="Arial"/>
                <w:szCs w:val="22"/>
              </w:rPr>
              <w:t>hone calls</w:t>
            </w:r>
          </w:p>
        </w:tc>
        <w:tc>
          <w:tcPr>
            <w:tcW w:w="1526" w:type="dxa"/>
            <w:vAlign w:val="center"/>
          </w:tcPr>
          <w:p w14:paraId="0141F004" w14:textId="76829A5F" w:rsidR="008821C8" w:rsidRPr="00DB7149" w:rsidRDefault="0001792B" w:rsidP="00D50CB3">
            <w:pPr>
              <w:rPr>
                <w:rFonts w:cs="Arial"/>
                <w:szCs w:val="22"/>
              </w:rPr>
            </w:pPr>
            <w:r w:rsidRPr="00DB7149">
              <w:rPr>
                <w:rFonts w:cs="Arial"/>
                <w:szCs w:val="22"/>
              </w:rPr>
              <w:t>238,479</w:t>
            </w:r>
          </w:p>
        </w:tc>
        <w:tc>
          <w:tcPr>
            <w:tcW w:w="1527" w:type="dxa"/>
            <w:vAlign w:val="center"/>
          </w:tcPr>
          <w:p w14:paraId="7A0A2F2B" w14:textId="6635EE82" w:rsidR="008821C8" w:rsidRPr="00DB7149" w:rsidRDefault="0001792B" w:rsidP="00D50CB3">
            <w:pPr>
              <w:rPr>
                <w:rFonts w:cs="Arial"/>
                <w:szCs w:val="22"/>
              </w:rPr>
            </w:pPr>
            <w:r w:rsidRPr="00DB7149">
              <w:rPr>
                <w:rFonts w:cs="Arial"/>
                <w:szCs w:val="22"/>
              </w:rPr>
              <w:t>188,644</w:t>
            </w:r>
          </w:p>
        </w:tc>
        <w:tc>
          <w:tcPr>
            <w:tcW w:w="1526" w:type="dxa"/>
            <w:vAlign w:val="center"/>
          </w:tcPr>
          <w:p w14:paraId="2C5E65D2" w14:textId="5DE374F1" w:rsidR="008821C8" w:rsidRPr="00DB7149" w:rsidRDefault="008821C8" w:rsidP="00D50CB3">
            <w:pPr>
              <w:rPr>
                <w:rFonts w:cs="Arial"/>
                <w:szCs w:val="22"/>
              </w:rPr>
            </w:pPr>
            <w:r w:rsidRPr="00DB7149">
              <w:rPr>
                <w:rFonts w:cs="Arial"/>
                <w:szCs w:val="22"/>
              </w:rPr>
              <w:t>151,987</w:t>
            </w:r>
          </w:p>
        </w:tc>
        <w:tc>
          <w:tcPr>
            <w:tcW w:w="1527" w:type="dxa"/>
            <w:vAlign w:val="center"/>
          </w:tcPr>
          <w:p w14:paraId="3C74E4B5" w14:textId="77777777" w:rsidR="008821C8" w:rsidRPr="00DB7149" w:rsidRDefault="008821C8" w:rsidP="00D50CB3">
            <w:pPr>
              <w:rPr>
                <w:rFonts w:cs="Arial"/>
                <w:szCs w:val="22"/>
              </w:rPr>
            </w:pPr>
            <w:r w:rsidRPr="00DB7149">
              <w:rPr>
                <w:rFonts w:cs="Arial"/>
                <w:szCs w:val="22"/>
              </w:rPr>
              <w:t>147,560</w:t>
            </w:r>
          </w:p>
        </w:tc>
        <w:tc>
          <w:tcPr>
            <w:tcW w:w="1527" w:type="dxa"/>
            <w:vAlign w:val="center"/>
          </w:tcPr>
          <w:p w14:paraId="6B76CF2A" w14:textId="0FD256BA" w:rsidR="008821C8" w:rsidRPr="00DB7149" w:rsidRDefault="6FC5F4B3" w:rsidP="00D50CB3">
            <w:pPr>
              <w:rPr>
                <w:rFonts w:cs="Arial"/>
              </w:rPr>
            </w:pPr>
            <w:r w:rsidRPr="00DB7149">
              <w:rPr>
                <w:rFonts w:cs="Arial"/>
              </w:rPr>
              <w:t>138,618</w:t>
            </w:r>
          </w:p>
        </w:tc>
      </w:tr>
      <w:tr w:rsidR="008821C8" w:rsidRPr="00DB7149" w14:paraId="40C536B4" w14:textId="77777777" w:rsidTr="00F238B1">
        <w:trPr>
          <w:trHeight w:val="270"/>
        </w:trPr>
        <w:tc>
          <w:tcPr>
            <w:tcW w:w="2710" w:type="dxa"/>
            <w:vAlign w:val="center"/>
          </w:tcPr>
          <w:p w14:paraId="5413E0FF" w14:textId="1DDD886D" w:rsidR="008821C8" w:rsidRPr="00DB7149" w:rsidRDefault="005C6BB7" w:rsidP="009A1703">
            <w:pPr>
              <w:rPr>
                <w:rFonts w:cs="Arial"/>
                <w:szCs w:val="22"/>
              </w:rPr>
            </w:pPr>
            <w:r w:rsidRPr="00DB7149">
              <w:rPr>
                <w:rFonts w:cs="Arial"/>
                <w:szCs w:val="22"/>
              </w:rPr>
              <w:t>E</w:t>
            </w:r>
            <w:r w:rsidR="008821C8" w:rsidRPr="00DB7149">
              <w:rPr>
                <w:rFonts w:cs="Arial"/>
                <w:szCs w:val="22"/>
              </w:rPr>
              <w:t>mails</w:t>
            </w:r>
          </w:p>
        </w:tc>
        <w:tc>
          <w:tcPr>
            <w:tcW w:w="1526" w:type="dxa"/>
            <w:vAlign w:val="center"/>
          </w:tcPr>
          <w:p w14:paraId="574B3FF2" w14:textId="05F8B2A6" w:rsidR="008821C8" w:rsidRPr="00DB7149" w:rsidRDefault="0001792B" w:rsidP="00D50CB3">
            <w:pPr>
              <w:rPr>
                <w:rFonts w:cs="Arial"/>
                <w:szCs w:val="22"/>
              </w:rPr>
            </w:pPr>
            <w:r w:rsidRPr="00DB7149">
              <w:rPr>
                <w:rFonts w:cs="Arial"/>
                <w:szCs w:val="22"/>
              </w:rPr>
              <w:t>20,683</w:t>
            </w:r>
          </w:p>
        </w:tc>
        <w:tc>
          <w:tcPr>
            <w:tcW w:w="1527" w:type="dxa"/>
            <w:vAlign w:val="center"/>
          </w:tcPr>
          <w:p w14:paraId="0487B469" w14:textId="744DF10C" w:rsidR="008821C8" w:rsidRPr="00DB7149" w:rsidRDefault="0001792B" w:rsidP="00D50CB3">
            <w:pPr>
              <w:rPr>
                <w:rFonts w:cs="Arial"/>
                <w:szCs w:val="22"/>
              </w:rPr>
            </w:pPr>
            <w:r w:rsidRPr="00DB7149">
              <w:rPr>
                <w:rFonts w:cs="Arial"/>
                <w:szCs w:val="22"/>
              </w:rPr>
              <w:t>10,761</w:t>
            </w:r>
          </w:p>
        </w:tc>
        <w:tc>
          <w:tcPr>
            <w:tcW w:w="1526" w:type="dxa"/>
            <w:vAlign w:val="center"/>
          </w:tcPr>
          <w:p w14:paraId="19AB73B3" w14:textId="47EA59E6" w:rsidR="008821C8" w:rsidRPr="00DB7149" w:rsidRDefault="008821C8" w:rsidP="00D50CB3">
            <w:pPr>
              <w:rPr>
                <w:rFonts w:cs="Arial"/>
                <w:szCs w:val="22"/>
              </w:rPr>
            </w:pPr>
            <w:r w:rsidRPr="00DB7149">
              <w:rPr>
                <w:rFonts w:cs="Arial"/>
                <w:szCs w:val="22"/>
              </w:rPr>
              <w:t>9,540</w:t>
            </w:r>
          </w:p>
        </w:tc>
        <w:tc>
          <w:tcPr>
            <w:tcW w:w="1527" w:type="dxa"/>
            <w:vAlign w:val="center"/>
          </w:tcPr>
          <w:p w14:paraId="6182646E" w14:textId="77777777" w:rsidR="008821C8" w:rsidRPr="00DB7149" w:rsidRDefault="008821C8" w:rsidP="00D50CB3">
            <w:pPr>
              <w:rPr>
                <w:rFonts w:cs="Arial"/>
                <w:szCs w:val="22"/>
              </w:rPr>
            </w:pPr>
            <w:r w:rsidRPr="00DB7149">
              <w:rPr>
                <w:rFonts w:cs="Arial"/>
                <w:szCs w:val="22"/>
              </w:rPr>
              <w:t>9,145</w:t>
            </w:r>
          </w:p>
        </w:tc>
        <w:tc>
          <w:tcPr>
            <w:tcW w:w="1527" w:type="dxa"/>
            <w:vAlign w:val="center"/>
          </w:tcPr>
          <w:p w14:paraId="6253B7F6" w14:textId="1355CAC1" w:rsidR="008821C8" w:rsidRPr="00DB7149" w:rsidRDefault="4E8C01EA" w:rsidP="00D50CB3">
            <w:pPr>
              <w:rPr>
                <w:rFonts w:cs="Arial"/>
              </w:rPr>
            </w:pPr>
            <w:r w:rsidRPr="00DB7149">
              <w:rPr>
                <w:rFonts w:cs="Arial"/>
              </w:rPr>
              <w:t>9,466</w:t>
            </w:r>
          </w:p>
        </w:tc>
      </w:tr>
      <w:tr w:rsidR="00FC6CF8" w:rsidRPr="00DB7149" w14:paraId="5659531F" w14:textId="77777777" w:rsidTr="00F238B1">
        <w:trPr>
          <w:trHeight w:val="270"/>
        </w:trPr>
        <w:tc>
          <w:tcPr>
            <w:tcW w:w="2710" w:type="dxa"/>
            <w:vAlign w:val="center"/>
          </w:tcPr>
          <w:p w14:paraId="3114086B" w14:textId="65AC23D0" w:rsidR="00FC6CF8" w:rsidRPr="00DB7149" w:rsidRDefault="00FC6CF8" w:rsidP="00FC6CF8">
            <w:pPr>
              <w:rPr>
                <w:rFonts w:cs="Arial"/>
                <w:szCs w:val="22"/>
              </w:rPr>
            </w:pPr>
            <w:r>
              <w:rPr>
                <w:rFonts w:cs="Arial"/>
                <w:szCs w:val="22"/>
              </w:rPr>
              <w:t>SME referrals</w:t>
            </w:r>
          </w:p>
        </w:tc>
        <w:tc>
          <w:tcPr>
            <w:tcW w:w="1526" w:type="dxa"/>
            <w:vAlign w:val="center"/>
          </w:tcPr>
          <w:p w14:paraId="6893CB02" w14:textId="17E6C9F8" w:rsidR="00FC6CF8" w:rsidRPr="00DB7149" w:rsidRDefault="00FC6CF8" w:rsidP="00FC6CF8">
            <w:pPr>
              <w:rPr>
                <w:rFonts w:cs="Arial"/>
                <w:szCs w:val="22"/>
              </w:rPr>
            </w:pPr>
            <w:r>
              <w:rPr>
                <w:rFonts w:cs="Arial"/>
              </w:rPr>
              <w:t>N/A</w:t>
            </w:r>
          </w:p>
        </w:tc>
        <w:tc>
          <w:tcPr>
            <w:tcW w:w="1527" w:type="dxa"/>
            <w:vAlign w:val="center"/>
          </w:tcPr>
          <w:p w14:paraId="08DFF947" w14:textId="0BDEE126" w:rsidR="00FC6CF8" w:rsidRPr="00DB7149" w:rsidRDefault="00FC6CF8" w:rsidP="00FC6CF8">
            <w:pPr>
              <w:rPr>
                <w:rFonts w:cs="Arial"/>
                <w:szCs w:val="22"/>
              </w:rPr>
            </w:pPr>
            <w:r>
              <w:rPr>
                <w:rFonts w:cs="Arial"/>
              </w:rPr>
              <w:t>N/A</w:t>
            </w:r>
          </w:p>
        </w:tc>
        <w:tc>
          <w:tcPr>
            <w:tcW w:w="1526" w:type="dxa"/>
            <w:vAlign w:val="center"/>
          </w:tcPr>
          <w:p w14:paraId="136ABB57" w14:textId="00702F2C" w:rsidR="00FC6CF8" w:rsidRPr="00DB7149" w:rsidRDefault="00FC6CF8" w:rsidP="00FC6CF8">
            <w:pPr>
              <w:rPr>
                <w:rFonts w:cs="Arial"/>
                <w:szCs w:val="22"/>
              </w:rPr>
            </w:pPr>
            <w:r>
              <w:rPr>
                <w:rFonts w:cs="Arial"/>
              </w:rPr>
              <w:t>N/A</w:t>
            </w:r>
          </w:p>
        </w:tc>
        <w:tc>
          <w:tcPr>
            <w:tcW w:w="1527" w:type="dxa"/>
            <w:vAlign w:val="center"/>
          </w:tcPr>
          <w:p w14:paraId="00A1A1F8" w14:textId="6ACE5F95" w:rsidR="00FC6CF8" w:rsidRPr="00DB7149" w:rsidRDefault="00FC6CF8" w:rsidP="00FC6CF8">
            <w:pPr>
              <w:rPr>
                <w:rFonts w:cs="Arial"/>
                <w:szCs w:val="22"/>
              </w:rPr>
            </w:pPr>
            <w:r>
              <w:rPr>
                <w:rFonts w:cs="Arial"/>
                <w:szCs w:val="22"/>
              </w:rPr>
              <w:t>308</w:t>
            </w:r>
          </w:p>
        </w:tc>
        <w:tc>
          <w:tcPr>
            <w:tcW w:w="1527" w:type="dxa"/>
            <w:vAlign w:val="center"/>
          </w:tcPr>
          <w:p w14:paraId="53CF64C2" w14:textId="0A35C49B" w:rsidR="00FC6CF8" w:rsidRPr="00DB7149" w:rsidRDefault="00FC6CF8" w:rsidP="00FC6CF8">
            <w:pPr>
              <w:rPr>
                <w:rFonts w:cs="Arial"/>
              </w:rPr>
            </w:pPr>
            <w:r>
              <w:rPr>
                <w:rFonts w:cs="Arial"/>
              </w:rPr>
              <w:t>634</w:t>
            </w:r>
          </w:p>
        </w:tc>
      </w:tr>
      <w:tr w:rsidR="009A4702" w:rsidRPr="00DB7149" w14:paraId="3E9F4C14" w14:textId="77777777" w:rsidTr="00A57D9E">
        <w:trPr>
          <w:trHeight w:val="270"/>
        </w:trPr>
        <w:tc>
          <w:tcPr>
            <w:tcW w:w="10343" w:type="dxa"/>
            <w:gridSpan w:val="6"/>
            <w:shd w:val="clear" w:color="auto" w:fill="D9D9D9" w:themeFill="background1" w:themeFillShade="D9"/>
            <w:vAlign w:val="center"/>
          </w:tcPr>
          <w:p w14:paraId="3B8A2AF8" w14:textId="16424B85" w:rsidR="009A4702" w:rsidRPr="00DB7149" w:rsidRDefault="009A4702" w:rsidP="00D50CB3">
            <w:pPr>
              <w:rPr>
                <w:rFonts w:cs="Arial"/>
              </w:rPr>
            </w:pPr>
            <w:r>
              <w:rPr>
                <w:rFonts w:cs="Arial"/>
                <w:szCs w:val="22"/>
              </w:rPr>
              <w:t>F</w:t>
            </w:r>
            <w:r w:rsidRPr="004575FA">
              <w:rPr>
                <w:rFonts w:cs="Arial"/>
                <w:szCs w:val="22"/>
              </w:rPr>
              <w:t>ront counter enquiries</w:t>
            </w:r>
          </w:p>
        </w:tc>
      </w:tr>
      <w:tr w:rsidR="00B720E3" w:rsidRPr="00DB7149" w14:paraId="4FCC2E3C" w14:textId="77777777" w:rsidTr="00A57D9E">
        <w:trPr>
          <w:trHeight w:val="270"/>
        </w:trPr>
        <w:tc>
          <w:tcPr>
            <w:tcW w:w="2710" w:type="dxa"/>
            <w:vAlign w:val="center"/>
          </w:tcPr>
          <w:p w14:paraId="50429F70" w14:textId="48FF3926" w:rsidR="00B720E3" w:rsidRDefault="00B720E3" w:rsidP="00B720E3">
            <w:pPr>
              <w:rPr>
                <w:rFonts w:cs="Arial"/>
                <w:szCs w:val="22"/>
              </w:rPr>
            </w:pPr>
            <w:r>
              <w:rPr>
                <w:rFonts w:cs="Arial"/>
                <w:szCs w:val="22"/>
              </w:rPr>
              <w:t>Brisbane</w:t>
            </w:r>
          </w:p>
        </w:tc>
        <w:tc>
          <w:tcPr>
            <w:tcW w:w="1526" w:type="dxa"/>
          </w:tcPr>
          <w:p w14:paraId="26EB6621" w14:textId="016222DE" w:rsidR="00B720E3" w:rsidRDefault="00B720E3" w:rsidP="00B720E3">
            <w:pPr>
              <w:rPr>
                <w:rFonts w:cs="Arial"/>
                <w:szCs w:val="22"/>
              </w:rPr>
            </w:pPr>
            <w:r w:rsidRPr="006F31ED">
              <w:t>3, 878</w:t>
            </w:r>
          </w:p>
        </w:tc>
        <w:tc>
          <w:tcPr>
            <w:tcW w:w="1527" w:type="dxa"/>
          </w:tcPr>
          <w:p w14:paraId="2FB9BCAE" w14:textId="2CE058DF" w:rsidR="00B720E3" w:rsidRDefault="00B720E3" w:rsidP="00B720E3">
            <w:pPr>
              <w:rPr>
                <w:rFonts w:cs="Arial"/>
                <w:szCs w:val="22"/>
              </w:rPr>
            </w:pPr>
            <w:r w:rsidRPr="006F31ED">
              <w:t>5,873</w:t>
            </w:r>
          </w:p>
        </w:tc>
        <w:tc>
          <w:tcPr>
            <w:tcW w:w="1526" w:type="dxa"/>
          </w:tcPr>
          <w:p w14:paraId="03883E00" w14:textId="35BE1BA9" w:rsidR="00B720E3" w:rsidRDefault="00B720E3" w:rsidP="00B720E3">
            <w:pPr>
              <w:rPr>
                <w:rFonts w:cs="Arial"/>
                <w:szCs w:val="22"/>
              </w:rPr>
            </w:pPr>
            <w:r w:rsidRPr="006F31ED">
              <w:t>5,471</w:t>
            </w:r>
          </w:p>
        </w:tc>
        <w:tc>
          <w:tcPr>
            <w:tcW w:w="1527" w:type="dxa"/>
          </w:tcPr>
          <w:p w14:paraId="1CBF30DD" w14:textId="5937EDA9" w:rsidR="00B720E3" w:rsidRDefault="00B720E3" w:rsidP="00B720E3">
            <w:pPr>
              <w:rPr>
                <w:rFonts w:cs="Arial"/>
                <w:szCs w:val="22"/>
              </w:rPr>
            </w:pPr>
            <w:r w:rsidRPr="006F31ED">
              <w:t>4,877</w:t>
            </w:r>
          </w:p>
        </w:tc>
        <w:tc>
          <w:tcPr>
            <w:tcW w:w="1527" w:type="dxa"/>
          </w:tcPr>
          <w:p w14:paraId="6DC23DDD" w14:textId="51A544A9" w:rsidR="00B720E3" w:rsidRDefault="00B720E3" w:rsidP="00B720E3">
            <w:pPr>
              <w:rPr>
                <w:rFonts w:cs="Arial"/>
              </w:rPr>
            </w:pPr>
            <w:r w:rsidRPr="006F31ED">
              <w:t>6,471</w:t>
            </w:r>
          </w:p>
        </w:tc>
      </w:tr>
      <w:tr w:rsidR="00E2718F" w:rsidRPr="00DB7149" w14:paraId="4A7F6F6C" w14:textId="77777777" w:rsidTr="00F238B1">
        <w:trPr>
          <w:trHeight w:val="270"/>
        </w:trPr>
        <w:tc>
          <w:tcPr>
            <w:tcW w:w="2710" w:type="dxa"/>
            <w:vAlign w:val="center"/>
          </w:tcPr>
          <w:p w14:paraId="59BF238C" w14:textId="39B9B5E3" w:rsidR="00E2718F" w:rsidRPr="00DB7149" w:rsidRDefault="00E2718F" w:rsidP="009A1703">
            <w:pPr>
              <w:rPr>
                <w:rFonts w:cs="Arial"/>
                <w:szCs w:val="22"/>
              </w:rPr>
            </w:pPr>
            <w:r>
              <w:rPr>
                <w:rFonts w:cs="Arial"/>
                <w:szCs w:val="22"/>
              </w:rPr>
              <w:t>Regional</w:t>
            </w:r>
          </w:p>
        </w:tc>
        <w:tc>
          <w:tcPr>
            <w:tcW w:w="1526" w:type="dxa"/>
            <w:vAlign w:val="center"/>
          </w:tcPr>
          <w:p w14:paraId="14C384BC" w14:textId="45A1CFEB" w:rsidR="00E2718F" w:rsidRPr="00DB7149" w:rsidRDefault="00CE0835" w:rsidP="00D50CB3">
            <w:pPr>
              <w:rPr>
                <w:rFonts w:cs="Arial"/>
                <w:szCs w:val="22"/>
              </w:rPr>
            </w:pPr>
            <w:r>
              <w:rPr>
                <w:rFonts w:cs="Arial"/>
                <w:szCs w:val="22"/>
              </w:rPr>
              <w:t>15,063</w:t>
            </w:r>
          </w:p>
        </w:tc>
        <w:tc>
          <w:tcPr>
            <w:tcW w:w="1527" w:type="dxa"/>
            <w:vAlign w:val="center"/>
          </w:tcPr>
          <w:p w14:paraId="2BC7CFBA" w14:textId="1FED3B6F" w:rsidR="00E2718F" w:rsidRPr="00DB7149" w:rsidRDefault="00025D0A" w:rsidP="00D50CB3">
            <w:pPr>
              <w:rPr>
                <w:rFonts w:cs="Arial"/>
                <w:szCs w:val="22"/>
              </w:rPr>
            </w:pPr>
            <w:r>
              <w:rPr>
                <w:rFonts w:cs="Arial"/>
                <w:szCs w:val="22"/>
              </w:rPr>
              <w:t>15,025</w:t>
            </w:r>
          </w:p>
        </w:tc>
        <w:tc>
          <w:tcPr>
            <w:tcW w:w="1526" w:type="dxa"/>
            <w:vAlign w:val="center"/>
          </w:tcPr>
          <w:p w14:paraId="2B78EB96" w14:textId="12DF1CDF" w:rsidR="00E2718F" w:rsidRPr="00DB7149" w:rsidRDefault="00374D22" w:rsidP="00D50CB3">
            <w:pPr>
              <w:rPr>
                <w:rFonts w:cs="Arial"/>
                <w:szCs w:val="22"/>
              </w:rPr>
            </w:pPr>
            <w:r>
              <w:rPr>
                <w:rFonts w:cs="Arial"/>
                <w:szCs w:val="22"/>
              </w:rPr>
              <w:t>14,262</w:t>
            </w:r>
          </w:p>
        </w:tc>
        <w:tc>
          <w:tcPr>
            <w:tcW w:w="1527" w:type="dxa"/>
            <w:vAlign w:val="center"/>
          </w:tcPr>
          <w:p w14:paraId="58F2AB3D" w14:textId="1ACB9A46" w:rsidR="00E2718F" w:rsidRPr="00DB7149" w:rsidRDefault="00054958" w:rsidP="00D50CB3">
            <w:pPr>
              <w:rPr>
                <w:rFonts w:cs="Arial"/>
                <w:szCs w:val="22"/>
              </w:rPr>
            </w:pPr>
            <w:r>
              <w:rPr>
                <w:rFonts w:cs="Arial"/>
                <w:szCs w:val="22"/>
              </w:rPr>
              <w:t>14</w:t>
            </w:r>
            <w:r w:rsidR="006D4556">
              <w:rPr>
                <w:rFonts w:cs="Arial"/>
                <w:szCs w:val="22"/>
              </w:rPr>
              <w:t>,362</w:t>
            </w:r>
          </w:p>
        </w:tc>
        <w:tc>
          <w:tcPr>
            <w:tcW w:w="1527" w:type="dxa"/>
            <w:vAlign w:val="center"/>
          </w:tcPr>
          <w:p w14:paraId="70A02384" w14:textId="08270F2D" w:rsidR="00E2718F" w:rsidRPr="00DB7149" w:rsidRDefault="00E1458B" w:rsidP="00D50CB3">
            <w:pPr>
              <w:rPr>
                <w:rFonts w:cs="Arial"/>
              </w:rPr>
            </w:pPr>
            <w:r>
              <w:rPr>
                <w:rFonts w:cs="Arial"/>
              </w:rPr>
              <w:t>15,846</w:t>
            </w:r>
          </w:p>
        </w:tc>
      </w:tr>
    </w:tbl>
    <w:p w14:paraId="20F2D412" w14:textId="78ADC2B0" w:rsidR="00FA5E62" w:rsidRDefault="00FA5E62" w:rsidP="00385355">
      <w:pPr>
        <w:pStyle w:val="Heading3"/>
        <w:spacing w:before="120"/>
      </w:pPr>
      <w:bookmarkStart w:id="163" w:name="_Customer_feedback"/>
      <w:bookmarkEnd w:id="163"/>
      <w:r w:rsidRPr="002626B8">
        <w:t>Customer</w:t>
      </w:r>
      <w:r>
        <w:t xml:space="preserve"> f</w:t>
      </w:r>
      <w:r w:rsidRPr="002626B8">
        <w:t>eedback</w:t>
      </w:r>
      <w:r>
        <w:t xml:space="preserve"> </w:t>
      </w:r>
    </w:p>
    <w:p w14:paraId="450CD4F0" w14:textId="2A5A4B8D" w:rsidR="00C56E1A" w:rsidRPr="004F7509" w:rsidRDefault="00D00DA9" w:rsidP="003822A5">
      <w:pPr>
        <w:spacing w:before="120" w:after="120"/>
        <w:rPr>
          <w:rFonts w:cs="Arial"/>
          <w:szCs w:val="22"/>
        </w:rPr>
      </w:pPr>
      <w:r>
        <w:rPr>
          <w:rFonts w:cs="Arial"/>
          <w:szCs w:val="28"/>
        </w:rPr>
        <w:t xml:space="preserve">The </w:t>
      </w:r>
      <w:r w:rsidR="00AE1E96">
        <w:rPr>
          <w:rFonts w:cs="Arial"/>
          <w:szCs w:val="28"/>
        </w:rPr>
        <w:t xml:space="preserve">QBCC values customer input as an important tool for improving service delivery and strengthening </w:t>
      </w:r>
      <w:r w:rsidR="006A4294">
        <w:rPr>
          <w:rFonts w:cs="Arial"/>
          <w:szCs w:val="28"/>
        </w:rPr>
        <w:t xml:space="preserve">customer </w:t>
      </w:r>
      <w:r w:rsidR="00AE1E96">
        <w:rPr>
          <w:rFonts w:cs="Arial"/>
          <w:szCs w:val="28"/>
        </w:rPr>
        <w:t>trust</w:t>
      </w:r>
      <w:r w:rsidR="006A4294">
        <w:rPr>
          <w:rFonts w:cs="Arial"/>
          <w:szCs w:val="28"/>
        </w:rPr>
        <w:t xml:space="preserve">. </w:t>
      </w:r>
      <w:r w:rsidR="005A4B90">
        <w:rPr>
          <w:rFonts w:cs="Arial"/>
          <w:szCs w:val="28"/>
        </w:rPr>
        <w:t xml:space="preserve">Feedback </w:t>
      </w:r>
      <w:r w:rsidR="008169B6">
        <w:rPr>
          <w:rFonts w:cs="Arial"/>
          <w:szCs w:val="28"/>
        </w:rPr>
        <w:t xml:space="preserve">received from customers provides insights into </w:t>
      </w:r>
      <w:r w:rsidR="0010137D">
        <w:rPr>
          <w:rFonts w:cs="Arial"/>
          <w:szCs w:val="28"/>
        </w:rPr>
        <w:t xml:space="preserve">their experiences, expectations and opportunities </w:t>
      </w:r>
      <w:r w:rsidR="003456C6">
        <w:rPr>
          <w:rFonts w:cs="Arial"/>
          <w:szCs w:val="28"/>
        </w:rPr>
        <w:t>for improvement.</w:t>
      </w:r>
      <w:r w:rsidR="00156F3B">
        <w:rPr>
          <w:rFonts w:cs="Arial"/>
          <w:szCs w:val="28"/>
        </w:rPr>
        <w:t xml:space="preserve"> </w:t>
      </w:r>
      <w:r w:rsidR="00030F66">
        <w:rPr>
          <w:rFonts w:cs="Arial"/>
          <w:szCs w:val="28"/>
        </w:rPr>
        <w:t>Table 29</w:t>
      </w:r>
      <w:r w:rsidR="00BC0F85" w:rsidRPr="003A1A80">
        <w:rPr>
          <w:rFonts w:cs="Arial"/>
        </w:rPr>
        <w:fldChar w:fldCharType="begin"/>
      </w:r>
      <w:r w:rsidR="00BC0F85" w:rsidRPr="003A1A80">
        <w:rPr>
          <w:rFonts w:cs="Arial"/>
        </w:rPr>
        <w:instrText xml:space="preserve"> REF _Ref201911862 \h </w:instrText>
      </w:r>
      <w:r w:rsidR="004223AC" w:rsidRPr="003A1A80">
        <w:rPr>
          <w:rFonts w:cs="Arial"/>
        </w:rPr>
        <w:instrText xml:space="preserve"> \* MERGEFORMAT </w:instrText>
      </w:r>
      <w:r w:rsidR="00BC0F85" w:rsidRPr="003A1A80">
        <w:rPr>
          <w:rFonts w:cs="Arial"/>
        </w:rPr>
      </w:r>
      <w:r w:rsidR="00BC0F85" w:rsidRPr="003A1A80">
        <w:rPr>
          <w:rFonts w:cs="Arial"/>
        </w:rPr>
        <w:fldChar w:fldCharType="separate"/>
      </w:r>
      <w:r w:rsidR="00BC0F85" w:rsidRPr="003A1A80">
        <w:rPr>
          <w:rFonts w:cs="Arial"/>
        </w:rPr>
        <w:fldChar w:fldCharType="end"/>
      </w:r>
      <w:r w:rsidR="004578DC" w:rsidRPr="003A1A80">
        <w:rPr>
          <w:rFonts w:cs="Arial"/>
        </w:rPr>
        <w:t xml:space="preserve"> </w:t>
      </w:r>
      <w:r w:rsidR="00832FE5" w:rsidRPr="003A1A80">
        <w:rPr>
          <w:rFonts w:cs="Arial"/>
        </w:rPr>
        <w:t xml:space="preserve">presents </w:t>
      </w:r>
      <w:r w:rsidR="004578DC" w:rsidRPr="003A1A80">
        <w:rPr>
          <w:rFonts w:cs="Arial"/>
        </w:rPr>
        <w:t xml:space="preserve">an overview </w:t>
      </w:r>
      <w:r w:rsidR="004578DC" w:rsidRPr="4A118B41">
        <w:rPr>
          <w:rFonts w:cs="Arial"/>
        </w:rPr>
        <w:t>of</w:t>
      </w:r>
      <w:r w:rsidR="000002F2" w:rsidRPr="4A118B41">
        <w:rPr>
          <w:rFonts w:cs="Arial"/>
        </w:rPr>
        <w:t xml:space="preserve"> </w:t>
      </w:r>
      <w:r w:rsidR="00734DA9" w:rsidRPr="4A118B41">
        <w:rPr>
          <w:rFonts w:cs="Arial"/>
        </w:rPr>
        <w:t>feedback</w:t>
      </w:r>
      <w:r w:rsidR="004A6192" w:rsidRPr="4A118B41">
        <w:rPr>
          <w:rFonts w:cs="Arial"/>
        </w:rPr>
        <w:t xml:space="preserve"> </w:t>
      </w:r>
      <w:r w:rsidR="00734DA9" w:rsidRPr="4A118B41">
        <w:rPr>
          <w:rFonts w:cs="Arial"/>
        </w:rPr>
        <w:t xml:space="preserve">received </w:t>
      </w:r>
      <w:r w:rsidR="009274BE">
        <w:rPr>
          <w:rFonts w:cs="Arial"/>
        </w:rPr>
        <w:t>through</w:t>
      </w:r>
      <w:r w:rsidR="00E86355">
        <w:rPr>
          <w:rFonts w:cs="Arial"/>
        </w:rPr>
        <w:t xml:space="preserve"> the </w:t>
      </w:r>
      <w:r w:rsidR="00C15EAE">
        <w:rPr>
          <w:rFonts w:cs="Arial"/>
        </w:rPr>
        <w:t>customer feedback and enquiry form</w:t>
      </w:r>
      <w:r w:rsidR="007C1D1A">
        <w:rPr>
          <w:rFonts w:cs="Arial"/>
        </w:rPr>
        <w:t xml:space="preserve"> on the </w:t>
      </w:r>
      <w:proofErr w:type="spellStart"/>
      <w:r w:rsidR="003B21FD">
        <w:rPr>
          <w:rFonts w:cs="Arial"/>
        </w:rPr>
        <w:t>myQ</w:t>
      </w:r>
      <w:r w:rsidR="007C1D1A">
        <w:rPr>
          <w:rFonts w:cs="Arial"/>
        </w:rPr>
        <w:t>BCC</w:t>
      </w:r>
      <w:proofErr w:type="spellEnd"/>
      <w:r w:rsidR="003B21FD">
        <w:rPr>
          <w:rFonts w:cs="Arial"/>
        </w:rPr>
        <w:t xml:space="preserve"> portal</w:t>
      </w:r>
      <w:r w:rsidR="00981EA9">
        <w:rPr>
          <w:rFonts w:cs="Arial"/>
        </w:rPr>
        <w:t>, broken down</w:t>
      </w:r>
      <w:r w:rsidR="00E86355">
        <w:rPr>
          <w:rFonts w:cs="Arial"/>
        </w:rPr>
        <w:t xml:space="preserve"> </w:t>
      </w:r>
      <w:r w:rsidR="00981EA9">
        <w:rPr>
          <w:rFonts w:cs="Arial"/>
        </w:rPr>
        <w:t>by</w:t>
      </w:r>
      <w:r w:rsidR="006A7B5A" w:rsidRPr="4A118B41">
        <w:rPr>
          <w:rFonts w:cs="Arial"/>
        </w:rPr>
        <w:t xml:space="preserve"> </w:t>
      </w:r>
      <w:r w:rsidR="00734DA9" w:rsidRPr="4A118B41">
        <w:rPr>
          <w:rFonts w:cs="Arial"/>
        </w:rPr>
        <w:t>categor</w:t>
      </w:r>
      <w:r w:rsidR="000002F2" w:rsidRPr="4A118B41">
        <w:rPr>
          <w:rFonts w:cs="Arial"/>
        </w:rPr>
        <w:t>y</w:t>
      </w:r>
      <w:r w:rsidR="00C91B2A">
        <w:rPr>
          <w:rFonts w:cs="Arial"/>
        </w:rPr>
        <w:t xml:space="preserve">, </w:t>
      </w:r>
      <w:r w:rsidR="00D06FA2">
        <w:rPr>
          <w:rFonts w:cs="Arial"/>
        </w:rPr>
        <w:t xml:space="preserve">and </w:t>
      </w:r>
      <w:r w:rsidR="004A6192" w:rsidRPr="4A118B41">
        <w:rPr>
          <w:rFonts w:cs="Arial"/>
        </w:rPr>
        <w:t>compar</w:t>
      </w:r>
      <w:r w:rsidR="00F03832">
        <w:rPr>
          <w:rFonts w:cs="Arial"/>
        </w:rPr>
        <w:t>ed</w:t>
      </w:r>
      <w:r w:rsidR="00A80655" w:rsidRPr="4A118B41">
        <w:rPr>
          <w:rFonts w:cs="Arial"/>
        </w:rPr>
        <w:t xml:space="preserve"> with</w:t>
      </w:r>
      <w:r w:rsidR="004A6192" w:rsidRPr="4A118B41">
        <w:rPr>
          <w:rFonts w:cs="Arial"/>
        </w:rPr>
        <w:t xml:space="preserve"> </w:t>
      </w:r>
      <w:r w:rsidR="00F74EC0">
        <w:rPr>
          <w:rFonts w:cs="Arial"/>
        </w:rPr>
        <w:t xml:space="preserve">feedback from </w:t>
      </w:r>
      <w:r w:rsidR="004A6192" w:rsidRPr="4A118B41">
        <w:rPr>
          <w:rFonts w:cs="Arial"/>
        </w:rPr>
        <w:t>previous years</w:t>
      </w:r>
      <w:r w:rsidR="002E4AEF" w:rsidRPr="4A118B41">
        <w:rPr>
          <w:rFonts w:cs="Arial"/>
        </w:rPr>
        <w:t>.</w:t>
      </w:r>
    </w:p>
    <w:p w14:paraId="6E9C9C25" w14:textId="2CD233E4" w:rsidR="00FA5E62" w:rsidRPr="00BC0F85" w:rsidRDefault="00BC0F85" w:rsidP="003822A5">
      <w:pPr>
        <w:pStyle w:val="Caption"/>
        <w:keepNext/>
        <w:spacing w:before="120" w:after="120"/>
      </w:pPr>
      <w:bookmarkStart w:id="164" w:name="_Ref201911862"/>
      <w:bookmarkStart w:id="165" w:name="_Toc202872060"/>
      <w:bookmarkStart w:id="166" w:name="_Toc202872680"/>
      <w:r>
        <w:t xml:space="preserve">Table </w:t>
      </w:r>
      <w:r w:rsidR="001570E7">
        <w:t>29</w:t>
      </w:r>
      <w:r>
        <w:fldChar w:fldCharType="begin"/>
      </w:r>
      <w:r>
        <w:instrText>SEQ Table \* ARABIC</w:instrText>
      </w:r>
      <w:r>
        <w:fldChar w:fldCharType="separate"/>
      </w:r>
      <w:r>
        <w:fldChar w:fldCharType="end"/>
      </w:r>
      <w:bookmarkEnd w:id="164"/>
      <w:r w:rsidRPr="005B366E">
        <w:t xml:space="preserve">: </w:t>
      </w:r>
      <w:bookmarkStart w:id="167" w:name="_Ref202873608"/>
      <w:r w:rsidRPr="005B366E">
        <w:t xml:space="preserve">Volume of customer feedback received </w:t>
      </w:r>
      <w:r w:rsidR="00D87D8D">
        <w:t xml:space="preserve">through the </w:t>
      </w:r>
      <w:proofErr w:type="spellStart"/>
      <w:r w:rsidR="008949C4">
        <w:t>myQBCC</w:t>
      </w:r>
      <w:proofErr w:type="spellEnd"/>
      <w:r w:rsidR="008949C4">
        <w:t xml:space="preserve"> portal </w:t>
      </w:r>
      <w:r w:rsidRPr="005B366E">
        <w:t>over the past four years</w:t>
      </w:r>
      <w:bookmarkEnd w:id="165"/>
      <w:bookmarkEnd w:id="166"/>
      <w:bookmarkEnd w:id="167"/>
    </w:p>
    <w:tbl>
      <w:tblPr>
        <w:tblW w:w="10041" w:type="dxa"/>
        <w:tblInd w:w="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06"/>
        <w:gridCol w:w="1697"/>
        <w:gridCol w:w="1697"/>
        <w:gridCol w:w="1697"/>
        <w:gridCol w:w="1944"/>
      </w:tblGrid>
      <w:tr w:rsidR="00FA5E62" w:rsidRPr="009F7245" w14:paraId="407BA0F2" w14:textId="77777777" w:rsidTr="00F238B1">
        <w:trPr>
          <w:trHeight w:val="305"/>
        </w:trPr>
        <w:tc>
          <w:tcPr>
            <w:tcW w:w="3006" w:type="dxa"/>
            <w:shd w:val="clear" w:color="auto" w:fill="A6A6A6" w:themeFill="background1" w:themeFillShade="A6"/>
            <w:noWrap/>
            <w:vAlign w:val="center"/>
            <w:hideMark/>
          </w:tcPr>
          <w:p w14:paraId="091F2391" w14:textId="1DCDA123" w:rsidR="00FA5E62" w:rsidRPr="009F7245" w:rsidRDefault="004C61EF" w:rsidP="00207BD5">
            <w:pPr>
              <w:rPr>
                <w:rFonts w:cs="Arial"/>
                <w:b/>
                <w:szCs w:val="22"/>
              </w:rPr>
            </w:pPr>
            <w:r w:rsidRPr="009F7245">
              <w:rPr>
                <w:rFonts w:cs="Arial"/>
                <w:b/>
                <w:szCs w:val="22"/>
              </w:rPr>
              <w:t>Feedback category</w:t>
            </w:r>
          </w:p>
        </w:tc>
        <w:tc>
          <w:tcPr>
            <w:tcW w:w="1697" w:type="dxa"/>
            <w:shd w:val="clear" w:color="auto" w:fill="A6A6A6" w:themeFill="background1" w:themeFillShade="A6"/>
            <w:vAlign w:val="center"/>
          </w:tcPr>
          <w:p w14:paraId="0AA4295A" w14:textId="3484D580" w:rsidR="00FA5E62" w:rsidRPr="009F7245" w:rsidRDefault="00FA5E62" w:rsidP="003822A5">
            <w:pPr>
              <w:rPr>
                <w:rFonts w:cs="Arial"/>
                <w:b/>
                <w:szCs w:val="22"/>
              </w:rPr>
            </w:pPr>
            <w:r w:rsidRPr="009F7245">
              <w:rPr>
                <w:rFonts w:cs="Arial"/>
                <w:b/>
                <w:szCs w:val="22"/>
              </w:rPr>
              <w:t>2021</w:t>
            </w:r>
            <w:r w:rsidR="00AB13E7" w:rsidRPr="009F7245">
              <w:rPr>
                <w:rFonts w:cs="Arial"/>
                <w:b/>
                <w:szCs w:val="22"/>
              </w:rPr>
              <w:t>–</w:t>
            </w:r>
            <w:r w:rsidR="00205BF3" w:rsidRPr="009F7245">
              <w:rPr>
                <w:rFonts w:cs="Arial"/>
                <w:b/>
                <w:szCs w:val="22"/>
              </w:rPr>
              <w:t>22</w:t>
            </w:r>
          </w:p>
        </w:tc>
        <w:tc>
          <w:tcPr>
            <w:tcW w:w="1697" w:type="dxa"/>
            <w:shd w:val="clear" w:color="auto" w:fill="A6A6A6" w:themeFill="background1" w:themeFillShade="A6"/>
            <w:vAlign w:val="center"/>
          </w:tcPr>
          <w:p w14:paraId="56D31399" w14:textId="66FF5CC0" w:rsidR="00FA5E62" w:rsidRPr="009F7245" w:rsidRDefault="00FA5E62" w:rsidP="003822A5">
            <w:pPr>
              <w:rPr>
                <w:rFonts w:cs="Arial"/>
                <w:b/>
                <w:szCs w:val="22"/>
              </w:rPr>
            </w:pPr>
            <w:r w:rsidRPr="009F7245">
              <w:rPr>
                <w:rFonts w:cs="Arial"/>
                <w:b/>
                <w:szCs w:val="22"/>
              </w:rPr>
              <w:t>2022</w:t>
            </w:r>
            <w:r w:rsidR="00AB13E7" w:rsidRPr="009F7245">
              <w:rPr>
                <w:rFonts w:cs="Arial"/>
                <w:b/>
                <w:szCs w:val="22"/>
              </w:rPr>
              <w:t>–</w:t>
            </w:r>
            <w:r w:rsidR="00205BF3" w:rsidRPr="009F7245">
              <w:rPr>
                <w:rFonts w:cs="Arial"/>
                <w:b/>
                <w:szCs w:val="22"/>
              </w:rPr>
              <w:t>23</w:t>
            </w:r>
          </w:p>
        </w:tc>
        <w:tc>
          <w:tcPr>
            <w:tcW w:w="1697" w:type="dxa"/>
            <w:shd w:val="clear" w:color="auto" w:fill="A6A6A6" w:themeFill="background1" w:themeFillShade="A6"/>
            <w:vAlign w:val="center"/>
          </w:tcPr>
          <w:p w14:paraId="7AA3AD5E" w14:textId="6D961600" w:rsidR="00FA5E62" w:rsidRPr="009F7245" w:rsidRDefault="00FA5E62" w:rsidP="003822A5">
            <w:pPr>
              <w:rPr>
                <w:rFonts w:cs="Arial"/>
                <w:b/>
                <w:szCs w:val="22"/>
              </w:rPr>
            </w:pPr>
            <w:r w:rsidRPr="009F7245">
              <w:rPr>
                <w:rFonts w:cs="Arial"/>
                <w:b/>
                <w:szCs w:val="22"/>
              </w:rPr>
              <w:t>2023</w:t>
            </w:r>
            <w:r w:rsidR="00AB13E7" w:rsidRPr="009F7245">
              <w:rPr>
                <w:rFonts w:cs="Arial"/>
                <w:b/>
                <w:szCs w:val="22"/>
              </w:rPr>
              <w:t>–</w:t>
            </w:r>
            <w:r w:rsidR="00205BF3" w:rsidRPr="009F7245">
              <w:rPr>
                <w:rFonts w:cs="Arial"/>
                <w:b/>
                <w:szCs w:val="22"/>
              </w:rPr>
              <w:t>24</w:t>
            </w:r>
          </w:p>
        </w:tc>
        <w:tc>
          <w:tcPr>
            <w:tcW w:w="1944" w:type="dxa"/>
            <w:shd w:val="clear" w:color="auto" w:fill="A6A6A6" w:themeFill="background1" w:themeFillShade="A6"/>
          </w:tcPr>
          <w:p w14:paraId="743EF8B7" w14:textId="31D6FF8D" w:rsidR="00FA5E62" w:rsidRPr="009F7245" w:rsidRDefault="00FA5E62" w:rsidP="003822A5">
            <w:pPr>
              <w:rPr>
                <w:rFonts w:cs="Arial"/>
                <w:b/>
                <w:szCs w:val="22"/>
              </w:rPr>
            </w:pPr>
            <w:r w:rsidRPr="009F7245">
              <w:rPr>
                <w:rFonts w:cs="Arial"/>
                <w:b/>
                <w:szCs w:val="22"/>
              </w:rPr>
              <w:t>2024</w:t>
            </w:r>
            <w:r w:rsidR="00AB13E7" w:rsidRPr="009F7245">
              <w:rPr>
                <w:rFonts w:cs="Arial"/>
                <w:b/>
                <w:szCs w:val="22"/>
              </w:rPr>
              <w:t>–</w:t>
            </w:r>
            <w:r w:rsidRPr="009F7245">
              <w:rPr>
                <w:rFonts w:cs="Arial"/>
                <w:b/>
                <w:szCs w:val="22"/>
              </w:rPr>
              <w:t>25</w:t>
            </w:r>
          </w:p>
        </w:tc>
      </w:tr>
      <w:tr w:rsidR="00FA5E62" w:rsidRPr="009F7245" w14:paraId="72B727F8" w14:textId="77777777" w:rsidTr="00CB416E">
        <w:trPr>
          <w:trHeight w:val="305"/>
        </w:trPr>
        <w:tc>
          <w:tcPr>
            <w:tcW w:w="3006" w:type="dxa"/>
            <w:noWrap/>
            <w:vAlign w:val="center"/>
            <w:hideMark/>
          </w:tcPr>
          <w:p w14:paraId="61DA4193" w14:textId="77777777" w:rsidR="00FA5E62" w:rsidRPr="009F7245" w:rsidRDefault="00FA5E62">
            <w:pPr>
              <w:rPr>
                <w:rFonts w:cs="Arial"/>
                <w:szCs w:val="22"/>
              </w:rPr>
            </w:pPr>
            <w:r w:rsidRPr="009F7245">
              <w:rPr>
                <w:rFonts w:cs="Arial"/>
                <w:szCs w:val="22"/>
              </w:rPr>
              <w:t>Suggestions</w:t>
            </w:r>
          </w:p>
        </w:tc>
        <w:tc>
          <w:tcPr>
            <w:tcW w:w="1697" w:type="dxa"/>
            <w:vAlign w:val="center"/>
          </w:tcPr>
          <w:p w14:paraId="0D128031" w14:textId="77777777" w:rsidR="00FA5E62" w:rsidRPr="009F7245" w:rsidRDefault="00FA5E62" w:rsidP="003822A5">
            <w:pPr>
              <w:rPr>
                <w:rFonts w:cs="Arial"/>
                <w:szCs w:val="22"/>
              </w:rPr>
            </w:pPr>
            <w:r w:rsidRPr="009F7245">
              <w:rPr>
                <w:rFonts w:cs="Arial"/>
                <w:szCs w:val="22"/>
              </w:rPr>
              <w:t>471</w:t>
            </w:r>
          </w:p>
        </w:tc>
        <w:tc>
          <w:tcPr>
            <w:tcW w:w="1697" w:type="dxa"/>
            <w:vAlign w:val="center"/>
          </w:tcPr>
          <w:p w14:paraId="19CC9ED6" w14:textId="77777777" w:rsidR="00FA5E62" w:rsidRPr="009F7245" w:rsidRDefault="00FA5E62" w:rsidP="003822A5">
            <w:pPr>
              <w:rPr>
                <w:rFonts w:cs="Arial"/>
                <w:szCs w:val="22"/>
              </w:rPr>
            </w:pPr>
            <w:r w:rsidRPr="009F7245">
              <w:rPr>
                <w:rFonts w:cs="Arial"/>
                <w:szCs w:val="22"/>
              </w:rPr>
              <w:t>426</w:t>
            </w:r>
          </w:p>
        </w:tc>
        <w:tc>
          <w:tcPr>
            <w:tcW w:w="1697" w:type="dxa"/>
            <w:vAlign w:val="center"/>
          </w:tcPr>
          <w:p w14:paraId="59F632B6" w14:textId="77777777" w:rsidR="00FA5E62" w:rsidRPr="009F7245" w:rsidRDefault="00FA5E62" w:rsidP="003822A5">
            <w:pPr>
              <w:rPr>
                <w:rFonts w:cs="Arial"/>
                <w:szCs w:val="22"/>
              </w:rPr>
            </w:pPr>
            <w:r w:rsidRPr="009F7245">
              <w:rPr>
                <w:rFonts w:cs="Arial"/>
                <w:szCs w:val="22"/>
              </w:rPr>
              <w:t>222</w:t>
            </w:r>
          </w:p>
        </w:tc>
        <w:tc>
          <w:tcPr>
            <w:tcW w:w="1944" w:type="dxa"/>
          </w:tcPr>
          <w:p w14:paraId="55044815" w14:textId="55AB9251" w:rsidR="00FA5E62" w:rsidRPr="009F7245" w:rsidRDefault="00EF6903" w:rsidP="003822A5">
            <w:pPr>
              <w:rPr>
                <w:rFonts w:cs="Arial"/>
                <w:szCs w:val="22"/>
              </w:rPr>
            </w:pPr>
            <w:r w:rsidRPr="009F7245">
              <w:rPr>
                <w:rFonts w:cs="Arial"/>
                <w:szCs w:val="22"/>
              </w:rPr>
              <w:t>265</w:t>
            </w:r>
          </w:p>
        </w:tc>
      </w:tr>
      <w:tr w:rsidR="00FA5E62" w:rsidRPr="009F7245" w14:paraId="3DF70BB2" w14:textId="77777777" w:rsidTr="00CB416E">
        <w:trPr>
          <w:trHeight w:val="305"/>
        </w:trPr>
        <w:tc>
          <w:tcPr>
            <w:tcW w:w="3006" w:type="dxa"/>
            <w:noWrap/>
            <w:vAlign w:val="center"/>
            <w:hideMark/>
          </w:tcPr>
          <w:p w14:paraId="77854050" w14:textId="77777777" w:rsidR="00FA5E62" w:rsidRPr="009F7245" w:rsidRDefault="00FA5E62">
            <w:pPr>
              <w:rPr>
                <w:rFonts w:cs="Arial"/>
                <w:szCs w:val="22"/>
              </w:rPr>
            </w:pPr>
            <w:r w:rsidRPr="009F7245">
              <w:rPr>
                <w:rFonts w:cs="Arial"/>
                <w:szCs w:val="22"/>
              </w:rPr>
              <w:t>Compliments</w:t>
            </w:r>
          </w:p>
        </w:tc>
        <w:tc>
          <w:tcPr>
            <w:tcW w:w="1697" w:type="dxa"/>
            <w:vAlign w:val="center"/>
          </w:tcPr>
          <w:p w14:paraId="4E013A91" w14:textId="77777777" w:rsidR="00FA5E62" w:rsidRPr="009F7245" w:rsidRDefault="00FA5E62" w:rsidP="003822A5">
            <w:pPr>
              <w:rPr>
                <w:rFonts w:cs="Arial"/>
                <w:szCs w:val="22"/>
              </w:rPr>
            </w:pPr>
            <w:r w:rsidRPr="009F7245">
              <w:rPr>
                <w:rFonts w:cs="Arial"/>
                <w:szCs w:val="22"/>
              </w:rPr>
              <w:t>94</w:t>
            </w:r>
          </w:p>
        </w:tc>
        <w:tc>
          <w:tcPr>
            <w:tcW w:w="1697" w:type="dxa"/>
            <w:vAlign w:val="center"/>
          </w:tcPr>
          <w:p w14:paraId="2030B01C" w14:textId="77777777" w:rsidR="00FA5E62" w:rsidRPr="009F7245" w:rsidRDefault="00FA5E62" w:rsidP="003822A5">
            <w:pPr>
              <w:rPr>
                <w:rFonts w:cs="Arial"/>
                <w:szCs w:val="22"/>
              </w:rPr>
            </w:pPr>
            <w:r w:rsidRPr="00A57D9E">
              <w:rPr>
                <w:rFonts w:cs="Arial"/>
                <w:szCs w:val="22"/>
              </w:rPr>
              <w:t>64</w:t>
            </w:r>
          </w:p>
        </w:tc>
        <w:tc>
          <w:tcPr>
            <w:tcW w:w="1697" w:type="dxa"/>
            <w:vAlign w:val="center"/>
          </w:tcPr>
          <w:p w14:paraId="06E0D713" w14:textId="77777777" w:rsidR="00FA5E62" w:rsidRPr="009F7245" w:rsidRDefault="00FA5E62" w:rsidP="003822A5">
            <w:pPr>
              <w:rPr>
                <w:rFonts w:cs="Arial"/>
                <w:szCs w:val="22"/>
              </w:rPr>
            </w:pPr>
            <w:r w:rsidRPr="009F7245">
              <w:rPr>
                <w:rFonts w:cs="Arial"/>
                <w:szCs w:val="22"/>
              </w:rPr>
              <w:t>76</w:t>
            </w:r>
          </w:p>
        </w:tc>
        <w:tc>
          <w:tcPr>
            <w:tcW w:w="1944" w:type="dxa"/>
          </w:tcPr>
          <w:p w14:paraId="7AA7B084" w14:textId="32190E02" w:rsidR="00FA5E62" w:rsidRPr="009F7245" w:rsidRDefault="00EF6903" w:rsidP="003822A5">
            <w:pPr>
              <w:rPr>
                <w:rFonts w:cs="Arial"/>
                <w:szCs w:val="22"/>
              </w:rPr>
            </w:pPr>
            <w:r w:rsidRPr="009F7245">
              <w:rPr>
                <w:rFonts w:cs="Arial"/>
                <w:szCs w:val="22"/>
              </w:rPr>
              <w:t>48</w:t>
            </w:r>
          </w:p>
        </w:tc>
      </w:tr>
      <w:tr w:rsidR="00FA5E62" w:rsidRPr="009F7245" w14:paraId="754D82ED" w14:textId="77777777" w:rsidTr="00CB416E">
        <w:trPr>
          <w:trHeight w:val="305"/>
        </w:trPr>
        <w:tc>
          <w:tcPr>
            <w:tcW w:w="3006" w:type="dxa"/>
            <w:noWrap/>
            <w:vAlign w:val="center"/>
            <w:hideMark/>
          </w:tcPr>
          <w:p w14:paraId="4988813B" w14:textId="2016A050" w:rsidR="00FA5E62" w:rsidRPr="009F7245" w:rsidRDefault="0011380F">
            <w:pPr>
              <w:rPr>
                <w:rFonts w:cs="Arial"/>
                <w:szCs w:val="22"/>
              </w:rPr>
            </w:pPr>
            <w:r w:rsidRPr="009F7245">
              <w:rPr>
                <w:rFonts w:cs="Arial"/>
                <w:szCs w:val="22"/>
              </w:rPr>
              <w:t>C</w:t>
            </w:r>
            <w:r w:rsidR="00FA5E62" w:rsidRPr="009F7245">
              <w:rPr>
                <w:rFonts w:cs="Arial"/>
                <w:szCs w:val="22"/>
              </w:rPr>
              <w:t>omplaints</w:t>
            </w:r>
          </w:p>
        </w:tc>
        <w:tc>
          <w:tcPr>
            <w:tcW w:w="1697" w:type="dxa"/>
            <w:vAlign w:val="center"/>
          </w:tcPr>
          <w:p w14:paraId="14D29EE9" w14:textId="77777777" w:rsidR="00FA5E62" w:rsidRPr="009F7245" w:rsidRDefault="00FA5E62" w:rsidP="003822A5">
            <w:pPr>
              <w:rPr>
                <w:rFonts w:cs="Arial"/>
                <w:szCs w:val="22"/>
              </w:rPr>
            </w:pPr>
            <w:r w:rsidRPr="009F7245">
              <w:rPr>
                <w:rFonts w:cs="Arial"/>
                <w:szCs w:val="22"/>
              </w:rPr>
              <w:t>1,175</w:t>
            </w:r>
          </w:p>
        </w:tc>
        <w:tc>
          <w:tcPr>
            <w:tcW w:w="1697" w:type="dxa"/>
            <w:vAlign w:val="center"/>
          </w:tcPr>
          <w:p w14:paraId="6F270863" w14:textId="77777777" w:rsidR="00FA5E62" w:rsidRPr="009F7245" w:rsidRDefault="00FA5E62" w:rsidP="003822A5">
            <w:pPr>
              <w:rPr>
                <w:rFonts w:cs="Arial"/>
                <w:szCs w:val="22"/>
              </w:rPr>
            </w:pPr>
            <w:r w:rsidRPr="009F7245">
              <w:rPr>
                <w:rFonts w:cs="Arial"/>
                <w:szCs w:val="22"/>
              </w:rPr>
              <w:t xml:space="preserve">697 </w:t>
            </w:r>
          </w:p>
        </w:tc>
        <w:tc>
          <w:tcPr>
            <w:tcW w:w="1697" w:type="dxa"/>
            <w:vAlign w:val="center"/>
          </w:tcPr>
          <w:p w14:paraId="4779C390" w14:textId="79325987" w:rsidR="00FA5E62" w:rsidRPr="009F7245" w:rsidRDefault="00FA5E62" w:rsidP="003822A5">
            <w:pPr>
              <w:rPr>
                <w:rFonts w:cs="Arial"/>
                <w:szCs w:val="22"/>
              </w:rPr>
            </w:pPr>
            <w:r w:rsidRPr="009F7245">
              <w:rPr>
                <w:rFonts w:cs="Arial"/>
                <w:szCs w:val="22"/>
              </w:rPr>
              <w:t xml:space="preserve">741 </w:t>
            </w:r>
          </w:p>
        </w:tc>
        <w:tc>
          <w:tcPr>
            <w:tcW w:w="1944" w:type="dxa"/>
          </w:tcPr>
          <w:p w14:paraId="2550400F" w14:textId="59A59EDE" w:rsidR="00FA5E62" w:rsidRPr="009F7245" w:rsidRDefault="008C1B36" w:rsidP="003822A5">
            <w:pPr>
              <w:rPr>
                <w:rFonts w:cs="Arial"/>
                <w:szCs w:val="22"/>
              </w:rPr>
            </w:pPr>
            <w:r>
              <w:rPr>
                <w:rFonts w:cs="Arial"/>
                <w:szCs w:val="22"/>
              </w:rPr>
              <w:t>640</w:t>
            </w:r>
          </w:p>
        </w:tc>
      </w:tr>
    </w:tbl>
    <w:p w14:paraId="56B6C461" w14:textId="4AE29735" w:rsidR="00822ADC" w:rsidRPr="00696C76" w:rsidRDefault="00144BBD" w:rsidP="00D850B1">
      <w:pPr>
        <w:spacing w:before="120" w:after="120"/>
        <w:rPr>
          <w:rFonts w:cs="Arial"/>
        </w:rPr>
      </w:pPr>
      <w:bookmarkStart w:id="168" w:name="_Complaints_Management_Review"/>
      <w:bookmarkEnd w:id="168"/>
      <w:r>
        <w:rPr>
          <w:rFonts w:cs="Arial"/>
        </w:rPr>
        <w:t>In 2024–25, t</w:t>
      </w:r>
      <w:r w:rsidR="0096683B">
        <w:rPr>
          <w:rFonts w:cs="Arial"/>
        </w:rPr>
        <w:t xml:space="preserve">he QBCC </w:t>
      </w:r>
      <w:r w:rsidR="000A4328">
        <w:rPr>
          <w:rFonts w:cs="Arial"/>
        </w:rPr>
        <w:t xml:space="preserve">also </w:t>
      </w:r>
      <w:r w:rsidR="005037DF" w:rsidRPr="00EA1EC7">
        <w:rPr>
          <w:rFonts w:cs="Arial"/>
        </w:rPr>
        <w:t>commenced</w:t>
      </w:r>
      <w:r w:rsidR="005037DF">
        <w:rPr>
          <w:rFonts w:cs="Arial"/>
        </w:rPr>
        <w:t xml:space="preserve"> the</w:t>
      </w:r>
      <w:r w:rsidR="0096683B">
        <w:rPr>
          <w:rFonts w:cs="Arial"/>
        </w:rPr>
        <w:t xml:space="preserve"> Complaints Management Review Project</w:t>
      </w:r>
      <w:r w:rsidR="00DF5F29">
        <w:rPr>
          <w:rFonts w:cs="Arial"/>
        </w:rPr>
        <w:t xml:space="preserve"> </w:t>
      </w:r>
      <w:r w:rsidR="003C3D7C">
        <w:rPr>
          <w:rFonts w:cs="Arial"/>
        </w:rPr>
        <w:t>to</w:t>
      </w:r>
      <w:r w:rsidR="004E5A94">
        <w:rPr>
          <w:rFonts w:cs="Arial"/>
        </w:rPr>
        <w:t xml:space="preserve"> </w:t>
      </w:r>
      <w:r w:rsidR="007B15A1">
        <w:rPr>
          <w:rFonts w:cs="Arial"/>
        </w:rPr>
        <w:t>strengthen its</w:t>
      </w:r>
      <w:r w:rsidR="00E63759">
        <w:rPr>
          <w:rFonts w:cs="Arial"/>
        </w:rPr>
        <w:t xml:space="preserve"> </w:t>
      </w:r>
      <w:r w:rsidR="00A2796B">
        <w:rPr>
          <w:rFonts w:cs="Arial"/>
        </w:rPr>
        <w:t xml:space="preserve">handling </w:t>
      </w:r>
      <w:r w:rsidR="00640A1B">
        <w:rPr>
          <w:rFonts w:cs="Arial"/>
        </w:rPr>
        <w:t xml:space="preserve">of </w:t>
      </w:r>
      <w:r w:rsidR="007B15A1">
        <w:rPr>
          <w:rFonts w:cs="Arial"/>
        </w:rPr>
        <w:t xml:space="preserve">complaints </w:t>
      </w:r>
      <w:r w:rsidR="00D16D2A">
        <w:rPr>
          <w:rFonts w:cs="Arial"/>
        </w:rPr>
        <w:t>about the QBCC</w:t>
      </w:r>
      <w:r w:rsidR="00920DAD">
        <w:rPr>
          <w:rFonts w:cs="Arial"/>
        </w:rPr>
        <w:t>.</w:t>
      </w:r>
      <w:r w:rsidR="003B7E3E" w:rsidRPr="003B7E3E">
        <w:rPr>
          <w:rFonts w:cs="Arial"/>
        </w:rPr>
        <w:t xml:space="preserve"> </w:t>
      </w:r>
      <w:r w:rsidR="00BC0044">
        <w:rPr>
          <w:rFonts w:cs="Arial"/>
        </w:rPr>
        <w:t xml:space="preserve">The </w:t>
      </w:r>
      <w:r w:rsidR="00482BAC">
        <w:rPr>
          <w:rFonts w:cs="Arial"/>
        </w:rPr>
        <w:t xml:space="preserve">initial phase of the </w:t>
      </w:r>
      <w:r w:rsidR="00BC0044">
        <w:rPr>
          <w:rFonts w:cs="Arial"/>
        </w:rPr>
        <w:t xml:space="preserve">project </w:t>
      </w:r>
      <w:r w:rsidR="003B7E3E" w:rsidRPr="003B7E3E">
        <w:rPr>
          <w:rFonts w:cs="Arial"/>
        </w:rPr>
        <w:t>streamline</w:t>
      </w:r>
      <w:r w:rsidR="001D7E9D">
        <w:rPr>
          <w:rFonts w:cs="Arial"/>
        </w:rPr>
        <w:t>d</w:t>
      </w:r>
      <w:r w:rsidR="003B7E3E" w:rsidRPr="003B7E3E">
        <w:rPr>
          <w:rFonts w:cs="Arial"/>
        </w:rPr>
        <w:t xml:space="preserve"> processes, standar</w:t>
      </w:r>
      <w:r w:rsidR="00344D83">
        <w:rPr>
          <w:rFonts w:cs="Arial"/>
        </w:rPr>
        <w:t>dise</w:t>
      </w:r>
      <w:r w:rsidR="00E218B5">
        <w:rPr>
          <w:rFonts w:cs="Arial"/>
        </w:rPr>
        <w:t>d</w:t>
      </w:r>
      <w:r w:rsidR="003B7E3E" w:rsidRPr="003B7E3E">
        <w:rPr>
          <w:rFonts w:cs="Arial"/>
        </w:rPr>
        <w:t xml:space="preserve"> data</w:t>
      </w:r>
      <w:r w:rsidR="007270E3">
        <w:rPr>
          <w:rFonts w:cs="Arial"/>
        </w:rPr>
        <w:t xml:space="preserve"> </w:t>
      </w:r>
      <w:r w:rsidR="003B7E3E" w:rsidRPr="003B7E3E">
        <w:rPr>
          <w:rFonts w:cs="Arial"/>
        </w:rPr>
        <w:t xml:space="preserve">and </w:t>
      </w:r>
      <w:r w:rsidR="00896324">
        <w:rPr>
          <w:rFonts w:cs="Arial"/>
        </w:rPr>
        <w:t>enhance</w:t>
      </w:r>
      <w:r w:rsidR="001D7E9D">
        <w:rPr>
          <w:rFonts w:cs="Arial"/>
        </w:rPr>
        <w:t>d</w:t>
      </w:r>
      <w:r w:rsidR="00896324" w:rsidRPr="003B7E3E">
        <w:rPr>
          <w:rFonts w:cs="Arial"/>
        </w:rPr>
        <w:t xml:space="preserve"> </w:t>
      </w:r>
      <w:r w:rsidR="003B7E3E" w:rsidRPr="003B7E3E">
        <w:rPr>
          <w:rFonts w:cs="Arial"/>
        </w:rPr>
        <w:t xml:space="preserve">internal </w:t>
      </w:r>
      <w:r w:rsidR="00D16D08">
        <w:rPr>
          <w:rFonts w:cs="Arial"/>
        </w:rPr>
        <w:t>management</w:t>
      </w:r>
      <w:r w:rsidR="003B7E3E" w:rsidRPr="003B7E3E">
        <w:rPr>
          <w:rFonts w:cs="Arial"/>
        </w:rPr>
        <w:t xml:space="preserve"> </w:t>
      </w:r>
      <w:r w:rsidR="007270E3">
        <w:rPr>
          <w:rFonts w:cs="Arial"/>
        </w:rPr>
        <w:t xml:space="preserve">of </w:t>
      </w:r>
      <w:r w:rsidR="003B7E3E" w:rsidRPr="003B7E3E">
        <w:rPr>
          <w:rFonts w:cs="Arial"/>
        </w:rPr>
        <w:t>complaints</w:t>
      </w:r>
      <w:r w:rsidR="00C33508">
        <w:rPr>
          <w:rFonts w:cs="Arial"/>
        </w:rPr>
        <w:t>.</w:t>
      </w:r>
    </w:p>
    <w:p w14:paraId="42628B25" w14:textId="7DFF391F" w:rsidR="00CA7986" w:rsidRDefault="007C4B4E" w:rsidP="00696C76">
      <w:pPr>
        <w:pStyle w:val="Heading3"/>
      </w:pPr>
      <w:r w:rsidRPr="00D321E0">
        <w:rPr>
          <w:rStyle w:val="SubheadingChar"/>
          <w:rFonts w:ascii="Arial" w:hAnsi="Arial"/>
          <w:bCs w:val="0"/>
          <w:iCs w:val="0"/>
          <w:color w:val="auto"/>
          <w:sz w:val="28"/>
          <w:szCs w:val="24"/>
        </w:rPr>
        <w:lastRenderedPageBreak/>
        <w:t>Service i</w:t>
      </w:r>
      <w:r w:rsidR="0083792B" w:rsidRPr="00D321E0">
        <w:rPr>
          <w:rStyle w:val="SubheadingChar"/>
          <w:rFonts w:ascii="Arial" w:hAnsi="Arial"/>
          <w:bCs w:val="0"/>
          <w:iCs w:val="0"/>
          <w:color w:val="auto"/>
          <w:sz w:val="28"/>
          <w:szCs w:val="24"/>
        </w:rPr>
        <w:t xml:space="preserve">mprovement </w:t>
      </w:r>
    </w:p>
    <w:p w14:paraId="6838C7A2" w14:textId="4BC74A1E" w:rsidR="000B64FA" w:rsidRDefault="00130381" w:rsidP="00696C76">
      <w:pPr>
        <w:spacing w:before="120" w:after="120"/>
        <w:rPr>
          <w:rFonts w:cs="Arial"/>
        </w:rPr>
      </w:pPr>
      <w:r w:rsidRPr="00130381">
        <w:t xml:space="preserve">The QBCC is committed to </w:t>
      </w:r>
      <w:r w:rsidR="000A2D29">
        <w:t>providing</w:t>
      </w:r>
      <w:r w:rsidR="000A2D29" w:rsidRPr="00130381">
        <w:t xml:space="preserve"> </w:t>
      </w:r>
      <w:r w:rsidRPr="00130381">
        <w:t>high-quality</w:t>
      </w:r>
      <w:r w:rsidR="007B5A0E">
        <w:t>,</w:t>
      </w:r>
      <w:r w:rsidR="00471490">
        <w:t xml:space="preserve"> </w:t>
      </w:r>
      <w:r w:rsidRPr="00130381">
        <w:t>customer-focused services</w:t>
      </w:r>
      <w:r w:rsidR="00F03C9F">
        <w:t xml:space="preserve"> </w:t>
      </w:r>
      <w:r w:rsidRPr="00130381">
        <w:t xml:space="preserve">and </w:t>
      </w:r>
      <w:r w:rsidR="007B7757">
        <w:t xml:space="preserve">continues </w:t>
      </w:r>
      <w:r w:rsidR="00B21AE7">
        <w:t xml:space="preserve">to </w:t>
      </w:r>
      <w:r w:rsidR="000D2D85">
        <w:t>deliver</w:t>
      </w:r>
      <w:r w:rsidR="009035DF" w:rsidRPr="00130381">
        <w:t xml:space="preserve"> </w:t>
      </w:r>
      <w:r w:rsidRPr="00130381">
        <w:t>a range of service improvement initiatives</w:t>
      </w:r>
      <w:bookmarkStart w:id="169" w:name="_Customer_Experience_Strategy"/>
      <w:bookmarkEnd w:id="169"/>
      <w:r w:rsidRPr="00130381">
        <w:t>.</w:t>
      </w:r>
      <w:r w:rsidR="00AA1C5D">
        <w:t xml:space="preserve"> </w:t>
      </w:r>
    </w:p>
    <w:p w14:paraId="229AF898" w14:textId="11A75B92" w:rsidR="00C91791" w:rsidRPr="00797BD7" w:rsidRDefault="00C91791" w:rsidP="00797BD7">
      <w:pPr>
        <w:pStyle w:val="Heading4"/>
      </w:pPr>
      <w:r w:rsidRPr="00797BD7">
        <w:t>C</w:t>
      </w:r>
      <w:r w:rsidR="005D1F76" w:rsidRPr="00797BD7">
        <w:t>ustomer Experience</w:t>
      </w:r>
      <w:r w:rsidRPr="00797BD7">
        <w:t xml:space="preserve"> Strategy</w:t>
      </w:r>
      <w:r w:rsidR="0005107C" w:rsidRPr="00797BD7">
        <w:t xml:space="preserve">  </w:t>
      </w:r>
    </w:p>
    <w:p w14:paraId="4C400D36" w14:textId="2333E9DC" w:rsidR="00E75694" w:rsidRDefault="000D2D85" w:rsidP="005234A6">
      <w:pPr>
        <w:spacing w:before="120" w:after="120"/>
        <w:rPr>
          <w:rFonts w:cs="Arial"/>
          <w:szCs w:val="22"/>
        </w:rPr>
      </w:pPr>
      <w:r>
        <w:t>At the c</w:t>
      </w:r>
      <w:r w:rsidRPr="00AA1C5D">
        <w:t>entr</w:t>
      </w:r>
      <w:r>
        <w:t xml:space="preserve">e of </w:t>
      </w:r>
      <w:r w:rsidR="008E58BE">
        <w:t>improving the customer experience is the</w:t>
      </w:r>
      <w:r w:rsidRPr="00AA1C5D">
        <w:t xml:space="preserve"> implementation of the QBCC Customer Experience Strategy</w:t>
      </w:r>
      <w:r>
        <w:t xml:space="preserve"> 2024</w:t>
      </w:r>
      <w:r w:rsidRPr="00AE31C2">
        <w:t>–</w:t>
      </w:r>
      <w:r>
        <w:t>2027 (CX Strategy)</w:t>
      </w:r>
      <w:r w:rsidR="00CB296F">
        <w:t xml:space="preserve">. The CX </w:t>
      </w:r>
      <w:r w:rsidR="00580856">
        <w:t>S</w:t>
      </w:r>
      <w:r w:rsidR="00CB296F">
        <w:t>trategy</w:t>
      </w:r>
      <w:r w:rsidDel="00CB296F">
        <w:t xml:space="preserve"> </w:t>
      </w:r>
      <w:r w:rsidRPr="003A284A">
        <w:t>provides a structured approach to enhancing customer interactions, improving responsiveness</w:t>
      </w:r>
      <w:r>
        <w:t xml:space="preserve"> </w:t>
      </w:r>
      <w:r w:rsidRPr="003A284A">
        <w:t xml:space="preserve">and strengthening trust in the </w:t>
      </w:r>
      <w:r>
        <w:t>QBCC</w:t>
      </w:r>
      <w:r w:rsidRPr="003A284A">
        <w:t>’s regulatory services</w:t>
      </w:r>
      <w:r>
        <w:t xml:space="preserve">. </w:t>
      </w:r>
      <w:r w:rsidR="00F33063">
        <w:rPr>
          <w:rFonts w:cs="Arial"/>
          <w:szCs w:val="22"/>
        </w:rPr>
        <w:t>Developed with input from customers, staff and industry stakeholders, the</w:t>
      </w:r>
      <w:r w:rsidR="006E0FF5">
        <w:rPr>
          <w:rFonts w:cs="Arial"/>
          <w:szCs w:val="22"/>
        </w:rPr>
        <w:t xml:space="preserve"> </w:t>
      </w:r>
      <w:r w:rsidR="007C6B8D">
        <w:rPr>
          <w:rFonts w:cs="Arial"/>
          <w:szCs w:val="22"/>
        </w:rPr>
        <w:t xml:space="preserve">CX </w:t>
      </w:r>
      <w:r w:rsidR="00580856">
        <w:rPr>
          <w:rFonts w:cs="Arial"/>
          <w:szCs w:val="22"/>
        </w:rPr>
        <w:t>S</w:t>
      </w:r>
      <w:r w:rsidR="006E0FF5">
        <w:rPr>
          <w:rFonts w:cs="Arial"/>
          <w:szCs w:val="22"/>
        </w:rPr>
        <w:t xml:space="preserve">trategy </w:t>
      </w:r>
      <w:r w:rsidR="005828A2">
        <w:rPr>
          <w:rFonts w:cs="Arial"/>
          <w:szCs w:val="22"/>
        </w:rPr>
        <w:t xml:space="preserve">provides a clear roadmap </w:t>
      </w:r>
      <w:r w:rsidR="00F33063">
        <w:rPr>
          <w:rFonts w:cs="Arial"/>
          <w:szCs w:val="22"/>
        </w:rPr>
        <w:t xml:space="preserve">to improve </w:t>
      </w:r>
      <w:r w:rsidR="005828A2">
        <w:rPr>
          <w:rFonts w:cs="Arial"/>
          <w:szCs w:val="22"/>
        </w:rPr>
        <w:t>customer interactions, i</w:t>
      </w:r>
      <w:r w:rsidR="00E82006">
        <w:rPr>
          <w:rFonts w:cs="Arial"/>
          <w:szCs w:val="22"/>
        </w:rPr>
        <w:t>ncrease</w:t>
      </w:r>
      <w:r w:rsidR="005828A2">
        <w:rPr>
          <w:rFonts w:cs="Arial"/>
          <w:szCs w:val="22"/>
        </w:rPr>
        <w:t xml:space="preserve"> service accessibility </w:t>
      </w:r>
      <w:r w:rsidR="00A04ABF">
        <w:rPr>
          <w:rFonts w:cs="Arial"/>
          <w:szCs w:val="22"/>
        </w:rPr>
        <w:t xml:space="preserve">and </w:t>
      </w:r>
      <w:r w:rsidR="00E82006">
        <w:rPr>
          <w:rFonts w:cs="Arial"/>
          <w:szCs w:val="22"/>
        </w:rPr>
        <w:t>build stronger</w:t>
      </w:r>
      <w:r w:rsidR="00A04ABF">
        <w:rPr>
          <w:rFonts w:cs="Arial"/>
          <w:szCs w:val="22"/>
        </w:rPr>
        <w:t xml:space="preserve"> trust in the </w:t>
      </w:r>
      <w:r w:rsidR="00E82006">
        <w:rPr>
          <w:rFonts w:cs="Arial"/>
          <w:szCs w:val="22"/>
        </w:rPr>
        <w:t>QB</w:t>
      </w:r>
      <w:r w:rsidR="00A04ABF">
        <w:rPr>
          <w:rFonts w:cs="Arial"/>
          <w:szCs w:val="22"/>
        </w:rPr>
        <w:t xml:space="preserve">CC’s regulatory functions. </w:t>
      </w:r>
    </w:p>
    <w:p w14:paraId="6FE7B5B8" w14:textId="49C323BB" w:rsidR="00B47B3B" w:rsidRDefault="00E75694" w:rsidP="005234A6">
      <w:pPr>
        <w:spacing w:before="120" w:after="120"/>
        <w:rPr>
          <w:rFonts w:cs="Arial"/>
          <w:szCs w:val="22"/>
        </w:rPr>
      </w:pPr>
      <w:r>
        <w:rPr>
          <w:rFonts w:cs="Arial"/>
          <w:szCs w:val="22"/>
        </w:rPr>
        <w:t>T</w:t>
      </w:r>
      <w:r w:rsidR="00696BBD" w:rsidRPr="00696BBD">
        <w:rPr>
          <w:rFonts w:cs="Arial"/>
          <w:szCs w:val="22"/>
        </w:rPr>
        <w:t>he CX Strategy</w:t>
      </w:r>
      <w:r>
        <w:rPr>
          <w:rFonts w:cs="Arial"/>
          <w:szCs w:val="22"/>
        </w:rPr>
        <w:t xml:space="preserve"> aims to </w:t>
      </w:r>
      <w:r w:rsidR="006D5FE8">
        <w:rPr>
          <w:rFonts w:cs="Arial"/>
          <w:szCs w:val="22"/>
        </w:rPr>
        <w:t xml:space="preserve">enhance </w:t>
      </w:r>
      <w:r w:rsidR="00696BBD" w:rsidRPr="00696BBD">
        <w:rPr>
          <w:rFonts w:cs="Arial"/>
          <w:szCs w:val="22"/>
        </w:rPr>
        <w:t xml:space="preserve">communication, streamline service delivery and </w:t>
      </w:r>
      <w:r w:rsidR="006D5FE8">
        <w:rPr>
          <w:rFonts w:cs="Arial"/>
          <w:szCs w:val="22"/>
        </w:rPr>
        <w:t>deepen the</w:t>
      </w:r>
      <w:r w:rsidR="00696BBD" w:rsidRPr="00696BBD">
        <w:rPr>
          <w:rFonts w:cs="Arial"/>
          <w:szCs w:val="22"/>
        </w:rPr>
        <w:t xml:space="preserve"> understanding of customer needs to </w:t>
      </w:r>
      <w:r w:rsidR="006D5FE8">
        <w:rPr>
          <w:rFonts w:cs="Arial"/>
          <w:szCs w:val="22"/>
        </w:rPr>
        <w:t xml:space="preserve">better </w:t>
      </w:r>
      <w:r w:rsidR="00696BBD" w:rsidRPr="00696BBD">
        <w:rPr>
          <w:rFonts w:cs="Arial"/>
          <w:szCs w:val="22"/>
        </w:rPr>
        <w:t>inform decision</w:t>
      </w:r>
      <w:r w:rsidR="003D41EC">
        <w:rPr>
          <w:rFonts w:cs="Arial"/>
          <w:szCs w:val="22"/>
        </w:rPr>
        <w:t xml:space="preserve"> </w:t>
      </w:r>
      <w:r w:rsidR="00696BBD" w:rsidRPr="00696BBD">
        <w:rPr>
          <w:rFonts w:cs="Arial"/>
          <w:szCs w:val="22"/>
        </w:rPr>
        <w:t>making and</w:t>
      </w:r>
      <w:r w:rsidR="006D5FE8">
        <w:rPr>
          <w:rFonts w:cs="Arial"/>
          <w:szCs w:val="22"/>
        </w:rPr>
        <w:t xml:space="preserve"> drive</w:t>
      </w:r>
      <w:r w:rsidR="00696BBD" w:rsidRPr="00696BBD">
        <w:rPr>
          <w:rFonts w:cs="Arial"/>
          <w:szCs w:val="22"/>
        </w:rPr>
        <w:t xml:space="preserve"> continuous improvement.</w:t>
      </w:r>
      <w:r w:rsidR="005D5009">
        <w:rPr>
          <w:rFonts w:cs="Arial"/>
          <w:szCs w:val="22"/>
        </w:rPr>
        <w:t xml:space="preserve"> </w:t>
      </w:r>
      <w:r w:rsidR="00BB06A0">
        <w:rPr>
          <w:rFonts w:cs="Arial"/>
          <w:szCs w:val="22"/>
        </w:rPr>
        <w:t xml:space="preserve">To achieve these outcomes, the strategy centres around </w:t>
      </w:r>
      <w:r w:rsidR="000C5227">
        <w:rPr>
          <w:rFonts w:cs="Arial"/>
          <w:szCs w:val="22"/>
        </w:rPr>
        <w:t xml:space="preserve">five key </w:t>
      </w:r>
      <w:r w:rsidR="00E23741">
        <w:rPr>
          <w:rFonts w:cs="Arial"/>
          <w:szCs w:val="22"/>
        </w:rPr>
        <w:t>focus areas</w:t>
      </w:r>
      <w:r w:rsidR="000C5227">
        <w:rPr>
          <w:rFonts w:cs="Arial"/>
          <w:szCs w:val="22"/>
        </w:rPr>
        <w:t>:</w:t>
      </w:r>
    </w:p>
    <w:p w14:paraId="29957F83" w14:textId="6E85F9A8" w:rsidR="000C5227" w:rsidRDefault="00A61B1D" w:rsidP="00BD69F7">
      <w:pPr>
        <w:pStyle w:val="ListParagraph"/>
        <w:numPr>
          <w:ilvl w:val="0"/>
          <w:numId w:val="51"/>
        </w:numPr>
        <w:spacing w:before="120" w:after="120"/>
        <w:contextualSpacing w:val="0"/>
        <w:rPr>
          <w:rFonts w:cs="Arial"/>
          <w:szCs w:val="22"/>
        </w:rPr>
      </w:pPr>
      <w:r w:rsidRPr="00207BD5">
        <w:rPr>
          <w:rFonts w:cs="Arial"/>
          <w:b/>
          <w:bCs/>
          <w:szCs w:val="22"/>
        </w:rPr>
        <w:t xml:space="preserve">Learn </w:t>
      </w:r>
      <w:r w:rsidR="00450A41" w:rsidRPr="00207BD5">
        <w:rPr>
          <w:rFonts w:cs="Arial"/>
          <w:b/>
          <w:bCs/>
          <w:szCs w:val="22"/>
        </w:rPr>
        <w:t>from customers</w:t>
      </w:r>
      <w:r w:rsidR="000243D2">
        <w:rPr>
          <w:rFonts w:cs="Arial"/>
          <w:b/>
          <w:bCs/>
          <w:szCs w:val="22"/>
        </w:rPr>
        <w:t>:</w:t>
      </w:r>
      <w:r w:rsidR="00450A41">
        <w:rPr>
          <w:rFonts w:cs="Arial"/>
          <w:szCs w:val="22"/>
        </w:rPr>
        <w:t xml:space="preserve"> </w:t>
      </w:r>
      <w:r w:rsidR="006E6C45">
        <w:rPr>
          <w:rFonts w:cs="Arial"/>
          <w:szCs w:val="22"/>
        </w:rPr>
        <w:t>Gather insights to b</w:t>
      </w:r>
      <w:r w:rsidR="00AA2316">
        <w:rPr>
          <w:rFonts w:cs="Arial"/>
          <w:szCs w:val="22"/>
        </w:rPr>
        <w:t xml:space="preserve">etter understand </w:t>
      </w:r>
      <w:r w:rsidR="006E6C45">
        <w:rPr>
          <w:rFonts w:cs="Arial"/>
          <w:szCs w:val="22"/>
        </w:rPr>
        <w:t>c</w:t>
      </w:r>
      <w:r w:rsidR="00DF18EF">
        <w:rPr>
          <w:rFonts w:cs="Arial"/>
          <w:szCs w:val="22"/>
        </w:rPr>
        <w:t>ustomer needs and their experience.</w:t>
      </w:r>
    </w:p>
    <w:p w14:paraId="62637239" w14:textId="5E3E9B7E" w:rsidR="00DF18EF" w:rsidRDefault="005C6D78" w:rsidP="00BD69F7">
      <w:pPr>
        <w:pStyle w:val="ListParagraph"/>
        <w:numPr>
          <w:ilvl w:val="0"/>
          <w:numId w:val="51"/>
        </w:numPr>
        <w:spacing w:before="120" w:after="120"/>
        <w:contextualSpacing w:val="0"/>
        <w:rPr>
          <w:rFonts w:cs="Arial"/>
          <w:szCs w:val="22"/>
        </w:rPr>
      </w:pPr>
      <w:r w:rsidRPr="00207BD5">
        <w:rPr>
          <w:rFonts w:cs="Arial"/>
          <w:b/>
          <w:bCs/>
          <w:szCs w:val="22"/>
        </w:rPr>
        <w:t xml:space="preserve">Put customers </w:t>
      </w:r>
      <w:r w:rsidR="00956208" w:rsidRPr="00207BD5">
        <w:rPr>
          <w:rFonts w:cs="Arial"/>
          <w:b/>
          <w:bCs/>
          <w:szCs w:val="22"/>
        </w:rPr>
        <w:t>first</w:t>
      </w:r>
      <w:r w:rsidR="000243D2">
        <w:rPr>
          <w:rFonts w:cs="Arial"/>
          <w:b/>
          <w:bCs/>
          <w:szCs w:val="22"/>
        </w:rPr>
        <w:t>:</w:t>
      </w:r>
      <w:r>
        <w:rPr>
          <w:rFonts w:cs="Arial"/>
          <w:szCs w:val="22"/>
        </w:rPr>
        <w:t xml:space="preserve"> </w:t>
      </w:r>
      <w:r w:rsidR="008F4553">
        <w:rPr>
          <w:rFonts w:cs="Arial"/>
          <w:szCs w:val="22"/>
        </w:rPr>
        <w:t>Develop</w:t>
      </w:r>
      <w:r>
        <w:rPr>
          <w:rFonts w:cs="Arial"/>
          <w:szCs w:val="22"/>
        </w:rPr>
        <w:t xml:space="preserve"> a culture where </w:t>
      </w:r>
      <w:r w:rsidR="0084653B">
        <w:rPr>
          <w:rFonts w:cs="Arial"/>
          <w:szCs w:val="22"/>
        </w:rPr>
        <w:t>customer</w:t>
      </w:r>
      <w:r w:rsidR="00403095">
        <w:rPr>
          <w:rFonts w:cs="Arial"/>
          <w:szCs w:val="22"/>
        </w:rPr>
        <w:t xml:space="preserve"> needs guide </w:t>
      </w:r>
      <w:r>
        <w:rPr>
          <w:rFonts w:cs="Arial"/>
          <w:szCs w:val="22"/>
        </w:rPr>
        <w:t>decision</w:t>
      </w:r>
      <w:r w:rsidR="00403095">
        <w:rPr>
          <w:rFonts w:cs="Arial"/>
          <w:szCs w:val="22"/>
        </w:rPr>
        <w:t xml:space="preserve"> and action across all teams</w:t>
      </w:r>
      <w:r w:rsidR="0084653B">
        <w:rPr>
          <w:rFonts w:cs="Arial"/>
          <w:szCs w:val="22"/>
        </w:rPr>
        <w:t>.</w:t>
      </w:r>
    </w:p>
    <w:p w14:paraId="293E212A" w14:textId="41CC9E30" w:rsidR="0084653B" w:rsidRDefault="00956208" w:rsidP="00BD69F7">
      <w:pPr>
        <w:pStyle w:val="ListParagraph"/>
        <w:numPr>
          <w:ilvl w:val="0"/>
          <w:numId w:val="51"/>
        </w:numPr>
        <w:spacing w:before="120" w:after="120"/>
        <w:contextualSpacing w:val="0"/>
        <w:rPr>
          <w:rFonts w:cs="Arial"/>
          <w:szCs w:val="22"/>
        </w:rPr>
      </w:pPr>
      <w:r w:rsidRPr="00207BD5">
        <w:rPr>
          <w:rFonts w:cs="Arial"/>
          <w:b/>
          <w:bCs/>
          <w:szCs w:val="22"/>
        </w:rPr>
        <w:t xml:space="preserve">Make </w:t>
      </w:r>
      <w:r w:rsidR="003861A4" w:rsidRPr="00207BD5">
        <w:rPr>
          <w:rFonts w:cs="Arial"/>
          <w:b/>
          <w:bCs/>
          <w:szCs w:val="22"/>
        </w:rPr>
        <w:t>impactful improvements</w:t>
      </w:r>
      <w:r w:rsidR="000243D2">
        <w:rPr>
          <w:rFonts w:cs="Arial"/>
          <w:b/>
          <w:bCs/>
          <w:szCs w:val="22"/>
        </w:rPr>
        <w:t>:</w:t>
      </w:r>
      <w:r w:rsidR="003861A4">
        <w:rPr>
          <w:rFonts w:cs="Arial"/>
          <w:szCs w:val="22"/>
        </w:rPr>
        <w:t xml:space="preserve"> </w:t>
      </w:r>
      <w:r w:rsidR="001E6741">
        <w:rPr>
          <w:rFonts w:cs="Arial"/>
          <w:szCs w:val="22"/>
        </w:rPr>
        <w:t>Design and p</w:t>
      </w:r>
      <w:r w:rsidR="00751FED">
        <w:rPr>
          <w:rFonts w:cs="Arial"/>
          <w:szCs w:val="22"/>
        </w:rPr>
        <w:t>rioritise changes that simplify process</w:t>
      </w:r>
      <w:r w:rsidR="00205519">
        <w:rPr>
          <w:rFonts w:cs="Arial"/>
          <w:szCs w:val="22"/>
        </w:rPr>
        <w:t>es</w:t>
      </w:r>
      <w:r w:rsidR="00751FED">
        <w:rPr>
          <w:rFonts w:cs="Arial"/>
          <w:szCs w:val="22"/>
        </w:rPr>
        <w:t xml:space="preserve"> and improve clarity for customers.</w:t>
      </w:r>
    </w:p>
    <w:p w14:paraId="20A12E5F" w14:textId="60F3EF97" w:rsidR="00C1271B" w:rsidRDefault="001E6741" w:rsidP="00BD69F7">
      <w:pPr>
        <w:pStyle w:val="ListParagraph"/>
        <w:numPr>
          <w:ilvl w:val="0"/>
          <w:numId w:val="51"/>
        </w:numPr>
        <w:spacing w:before="120" w:after="120"/>
        <w:contextualSpacing w:val="0"/>
        <w:rPr>
          <w:rFonts w:cs="Arial"/>
          <w:szCs w:val="22"/>
        </w:rPr>
      </w:pPr>
      <w:r>
        <w:rPr>
          <w:rFonts w:cs="Arial"/>
          <w:b/>
          <w:bCs/>
          <w:szCs w:val="22"/>
        </w:rPr>
        <w:t>Support CX with</w:t>
      </w:r>
      <w:r w:rsidR="00FA2779" w:rsidRPr="00207BD5">
        <w:rPr>
          <w:rFonts w:cs="Arial"/>
          <w:b/>
          <w:bCs/>
          <w:szCs w:val="22"/>
        </w:rPr>
        <w:t xml:space="preserve"> technology</w:t>
      </w:r>
      <w:r w:rsidR="000243D2">
        <w:rPr>
          <w:rFonts w:cs="Arial"/>
          <w:b/>
          <w:bCs/>
          <w:szCs w:val="22"/>
        </w:rPr>
        <w:t>:</w:t>
      </w:r>
      <w:r w:rsidR="00FA2779">
        <w:rPr>
          <w:rFonts w:cs="Arial"/>
          <w:szCs w:val="22"/>
        </w:rPr>
        <w:t xml:space="preserve"> </w:t>
      </w:r>
      <w:r w:rsidR="009F26EF">
        <w:rPr>
          <w:rFonts w:cs="Arial"/>
          <w:szCs w:val="22"/>
        </w:rPr>
        <w:t xml:space="preserve">Enhance tools, systems and processes to deliver </w:t>
      </w:r>
      <w:r w:rsidR="0080633E">
        <w:rPr>
          <w:rFonts w:cs="Arial"/>
          <w:szCs w:val="22"/>
        </w:rPr>
        <w:t>smooth</w:t>
      </w:r>
      <w:r w:rsidR="00CA0B5A">
        <w:rPr>
          <w:rFonts w:cs="Arial"/>
          <w:szCs w:val="22"/>
        </w:rPr>
        <w:t xml:space="preserve">, reliable and user-friendly </w:t>
      </w:r>
      <w:r w:rsidR="0080633E">
        <w:rPr>
          <w:rFonts w:cs="Arial"/>
          <w:szCs w:val="22"/>
        </w:rPr>
        <w:t>experience</w:t>
      </w:r>
      <w:r w:rsidR="00CA0B5A">
        <w:rPr>
          <w:rFonts w:cs="Arial"/>
          <w:szCs w:val="22"/>
        </w:rPr>
        <w:t>s</w:t>
      </w:r>
      <w:r w:rsidR="00C1271B">
        <w:rPr>
          <w:rFonts w:cs="Arial"/>
          <w:szCs w:val="22"/>
        </w:rPr>
        <w:t>.</w:t>
      </w:r>
    </w:p>
    <w:p w14:paraId="2E0A5FC2" w14:textId="06EFEC12" w:rsidR="00A1057F" w:rsidRPr="005234A6" w:rsidRDefault="0024532A" w:rsidP="00BD69F7">
      <w:pPr>
        <w:pStyle w:val="ListParagraph"/>
        <w:numPr>
          <w:ilvl w:val="0"/>
          <w:numId w:val="51"/>
        </w:numPr>
        <w:spacing w:before="120" w:after="120"/>
        <w:rPr>
          <w:rFonts w:cs="Arial"/>
        </w:rPr>
      </w:pPr>
      <w:r w:rsidRPr="20BE9D8C">
        <w:rPr>
          <w:rFonts w:cs="Arial"/>
          <w:b/>
        </w:rPr>
        <w:t xml:space="preserve">Strengthen </w:t>
      </w:r>
      <w:r w:rsidR="00AD71D8" w:rsidRPr="20BE9D8C">
        <w:rPr>
          <w:rFonts w:cs="Arial"/>
          <w:b/>
        </w:rPr>
        <w:t>governance and leadership</w:t>
      </w:r>
      <w:r w:rsidR="000243D2" w:rsidRPr="20BE9D8C">
        <w:rPr>
          <w:rFonts w:cs="Arial"/>
          <w:b/>
        </w:rPr>
        <w:t>:</w:t>
      </w:r>
      <w:r w:rsidR="00AD71D8" w:rsidRPr="20BE9D8C">
        <w:rPr>
          <w:rFonts w:cs="Arial"/>
        </w:rPr>
        <w:t xml:space="preserve"> </w:t>
      </w:r>
      <w:r w:rsidR="00CA0B5A" w:rsidRPr="20BE9D8C">
        <w:rPr>
          <w:rFonts w:cs="Arial"/>
        </w:rPr>
        <w:t>Build</w:t>
      </w:r>
      <w:r w:rsidR="00BC3121" w:rsidRPr="20BE9D8C">
        <w:rPr>
          <w:rFonts w:cs="Arial"/>
        </w:rPr>
        <w:t xml:space="preserve"> </w:t>
      </w:r>
      <w:r w:rsidR="00A7619A" w:rsidRPr="20BE9D8C">
        <w:rPr>
          <w:rFonts w:cs="Arial"/>
        </w:rPr>
        <w:t>leadership</w:t>
      </w:r>
      <w:r w:rsidR="00BC3121" w:rsidRPr="20BE9D8C">
        <w:rPr>
          <w:rFonts w:cs="Arial"/>
        </w:rPr>
        <w:t xml:space="preserve"> capability, improve reporting and support staff to deliver consistently high service standards</w:t>
      </w:r>
      <w:r w:rsidR="00A1057F" w:rsidRPr="20BE9D8C">
        <w:rPr>
          <w:rFonts w:cs="Arial"/>
        </w:rPr>
        <w:t>.</w:t>
      </w:r>
      <w:r w:rsidR="0080633E" w:rsidRPr="20BE9D8C">
        <w:rPr>
          <w:rFonts w:cs="Arial"/>
        </w:rPr>
        <w:t xml:space="preserve"> </w:t>
      </w:r>
      <w:r w:rsidR="00155A51" w:rsidRPr="20BE9D8C">
        <w:rPr>
          <w:rFonts w:cs="Arial"/>
        </w:rPr>
        <w:t xml:space="preserve"> </w:t>
      </w:r>
    </w:p>
    <w:p w14:paraId="410D1E80" w14:textId="2617D0AD" w:rsidR="00AC28B6" w:rsidRPr="00AE014C" w:rsidRDefault="004A1FD2" w:rsidP="00AC28B6">
      <w:pPr>
        <w:spacing w:before="120" w:after="120"/>
      </w:pPr>
      <w:r w:rsidRPr="20BE9D8C">
        <w:rPr>
          <w:rFonts w:cs="Arial"/>
        </w:rPr>
        <w:t xml:space="preserve">By embedding the five areas into </w:t>
      </w:r>
      <w:r w:rsidR="00343CD5" w:rsidRPr="20BE9D8C">
        <w:rPr>
          <w:rFonts w:cs="Arial"/>
        </w:rPr>
        <w:t>day-to-day</w:t>
      </w:r>
      <w:r w:rsidRPr="20BE9D8C">
        <w:rPr>
          <w:rFonts w:cs="Arial"/>
        </w:rPr>
        <w:t xml:space="preserve"> operations, the QBCC is working to </w:t>
      </w:r>
      <w:r w:rsidR="00343CD5" w:rsidRPr="20BE9D8C">
        <w:rPr>
          <w:rFonts w:cs="Arial"/>
        </w:rPr>
        <w:t xml:space="preserve">deliver </w:t>
      </w:r>
      <w:r w:rsidRPr="20BE9D8C">
        <w:rPr>
          <w:rFonts w:cs="Arial"/>
        </w:rPr>
        <w:t>clearer communication, faster response</w:t>
      </w:r>
      <w:r w:rsidR="00343CD5" w:rsidRPr="20BE9D8C">
        <w:rPr>
          <w:rFonts w:cs="Arial"/>
        </w:rPr>
        <w:t xml:space="preserve"> times</w:t>
      </w:r>
      <w:r w:rsidRPr="20BE9D8C">
        <w:rPr>
          <w:rFonts w:cs="Arial"/>
        </w:rPr>
        <w:t xml:space="preserve"> and more </w:t>
      </w:r>
      <w:r w:rsidR="00BF4365" w:rsidRPr="20BE9D8C">
        <w:rPr>
          <w:rFonts w:cs="Arial"/>
        </w:rPr>
        <w:t>reliable</w:t>
      </w:r>
      <w:r w:rsidRPr="20BE9D8C">
        <w:rPr>
          <w:rFonts w:cs="Arial"/>
        </w:rPr>
        <w:t xml:space="preserve"> services.</w:t>
      </w:r>
    </w:p>
    <w:p w14:paraId="471A6A03" w14:textId="16217BC3" w:rsidR="00076648" w:rsidRDefault="00076648" w:rsidP="00843612">
      <w:pPr>
        <w:spacing w:before="120" w:after="120"/>
        <w:rPr>
          <w:rFonts w:eastAsiaTheme="majorEastAsia" w:cstheme="majorBidi"/>
          <w:bCs/>
          <w:sz w:val="32"/>
          <w:szCs w:val="32"/>
        </w:rPr>
      </w:pPr>
      <w:bookmarkStart w:id="170" w:name="_Subject_Matter_Expert"/>
      <w:bookmarkEnd w:id="170"/>
      <w:r>
        <w:br w:type="page"/>
      </w:r>
    </w:p>
    <w:p w14:paraId="16EDEE72" w14:textId="1F4C08CE" w:rsidR="00B364D5" w:rsidRPr="00E1129D" w:rsidRDefault="00B364D5" w:rsidP="00B364D5">
      <w:pPr>
        <w:pStyle w:val="Heading2"/>
      </w:pPr>
      <w:bookmarkStart w:id="171" w:name="_Toc206493019"/>
      <w:r w:rsidRPr="00E1129D">
        <w:lastRenderedPageBreak/>
        <w:t>Education and engagement</w:t>
      </w:r>
      <w:bookmarkEnd w:id="171"/>
    </w:p>
    <w:p w14:paraId="40E13BE5" w14:textId="66AD10E1" w:rsidR="00B364D5" w:rsidRPr="00755FD6" w:rsidRDefault="00B364D5" w:rsidP="00B364D5">
      <w:pPr>
        <w:spacing w:before="120" w:after="120"/>
        <w:rPr>
          <w:strike/>
        </w:rPr>
      </w:pPr>
      <w:r>
        <w:t xml:space="preserve">The QBCC plays an important role in educating and engaging with customers and stakeholders across Queensland’s building and construction industry. In line with its legislated responsibilities under the QBCC Act, the QBCC is required to provide support, education and advice to promote a safer, more compliant and better-informed building and construction industry. Through targeted education and meaningful engagement activities, the QBCC helps </w:t>
      </w:r>
      <w:bookmarkStart w:id="172" w:name="_Int_6wA4nh9G"/>
      <w:proofErr w:type="gramStart"/>
      <w:r>
        <w:t>home owners</w:t>
      </w:r>
      <w:bookmarkEnd w:id="172"/>
      <w:proofErr w:type="gramEnd"/>
      <w:r>
        <w:t>, tradespeople and industry understand their rights, responsibilities and regulatory obligations</w:t>
      </w:r>
      <w:r w:rsidDel="00EB303C">
        <w:t>.</w:t>
      </w:r>
      <w:r>
        <w:t xml:space="preserve"> </w:t>
      </w:r>
    </w:p>
    <w:p w14:paraId="1BC387AD" w14:textId="2396E23F" w:rsidR="00B364D5" w:rsidRPr="00E27662" w:rsidRDefault="00B364D5" w:rsidP="00B364D5">
      <w:pPr>
        <w:pStyle w:val="Heading3"/>
      </w:pPr>
      <w:r>
        <w:t xml:space="preserve">Community engagement  </w:t>
      </w:r>
    </w:p>
    <w:p w14:paraId="15B50DF2" w14:textId="34D4989B" w:rsidR="00B364D5" w:rsidRPr="0066593A" w:rsidRDefault="00B364D5" w:rsidP="003E5BA5">
      <w:pPr>
        <w:pStyle w:val="Caption"/>
        <w:spacing w:before="120" w:after="120"/>
        <w:rPr>
          <w:b w:val="0"/>
        </w:rPr>
      </w:pPr>
      <w:r>
        <w:rPr>
          <w:b w:val="0"/>
        </w:rPr>
        <w:t>The</w:t>
      </w:r>
      <w:r w:rsidRPr="002A23B1">
        <w:rPr>
          <w:b w:val="0"/>
        </w:rPr>
        <w:t xml:space="preserve"> QBCC</w:t>
      </w:r>
      <w:r w:rsidR="0017271A">
        <w:rPr>
          <w:b w:val="0"/>
        </w:rPr>
        <w:t>’s</w:t>
      </w:r>
      <w:r w:rsidRPr="002A23B1">
        <w:rPr>
          <w:b w:val="0"/>
        </w:rPr>
        <w:t xml:space="preserve"> staff actively engage with communities </w:t>
      </w:r>
      <w:r>
        <w:rPr>
          <w:b w:val="0"/>
        </w:rPr>
        <w:t>across</w:t>
      </w:r>
      <w:r w:rsidRPr="002A23B1">
        <w:rPr>
          <w:b w:val="0"/>
        </w:rPr>
        <w:t xml:space="preserve"> Queensland, regularly interacting with TAFE institutions, industry bodies, </w:t>
      </w:r>
      <w:bookmarkStart w:id="173" w:name="_Int_a1pwkHXC"/>
      <w:proofErr w:type="gramStart"/>
      <w:r w:rsidRPr="002A23B1">
        <w:rPr>
          <w:b w:val="0"/>
        </w:rPr>
        <w:t>home</w:t>
      </w:r>
      <w:r>
        <w:rPr>
          <w:b w:val="0"/>
        </w:rPr>
        <w:t xml:space="preserve"> </w:t>
      </w:r>
      <w:r w:rsidRPr="002A23B1">
        <w:rPr>
          <w:b w:val="0"/>
        </w:rPr>
        <w:t>owners</w:t>
      </w:r>
      <w:bookmarkEnd w:id="173"/>
      <w:proofErr w:type="gramEnd"/>
      <w:r w:rsidRPr="002A23B1">
        <w:rPr>
          <w:b w:val="0"/>
        </w:rPr>
        <w:t xml:space="preserve"> and disaster management groups at both local and state levels. </w:t>
      </w:r>
      <w:r w:rsidRPr="0066593A">
        <w:rPr>
          <w:b w:val="0"/>
        </w:rPr>
        <w:t xml:space="preserve">In 2024–25, the QBCC delivered five online information sessions to help </w:t>
      </w:r>
      <w:bookmarkStart w:id="174" w:name="_Int_MsZWIyeH"/>
      <w:proofErr w:type="gramStart"/>
      <w:r w:rsidRPr="0066593A">
        <w:rPr>
          <w:b w:val="0"/>
        </w:rPr>
        <w:t>home owners</w:t>
      </w:r>
      <w:bookmarkEnd w:id="174"/>
      <w:proofErr w:type="gramEnd"/>
      <w:r w:rsidRPr="0066593A">
        <w:rPr>
          <w:b w:val="0"/>
        </w:rPr>
        <w:t xml:space="preserve">, tradespeople and industry stay informed about emerging issues and updates to regulatory requirements. </w:t>
      </w:r>
      <w:r w:rsidR="004708E9">
        <w:rPr>
          <w:b w:val="0"/>
        </w:rPr>
        <w:t>Table 30</w:t>
      </w:r>
      <w:r w:rsidRPr="0066593A">
        <w:rPr>
          <w:b w:val="0"/>
          <w:bCs/>
        </w:rPr>
        <w:fldChar w:fldCharType="begin"/>
      </w:r>
      <w:r w:rsidRPr="0066593A">
        <w:rPr>
          <w:b w:val="0"/>
          <w:bCs/>
        </w:rPr>
        <w:instrText xml:space="preserve"> REF _Ref203746084 \h </w:instrText>
      </w:r>
      <w:r>
        <w:rPr>
          <w:b w:val="0"/>
          <w:bCs/>
        </w:rPr>
        <w:instrText xml:space="preserve"> \* MERGEFORMAT </w:instrText>
      </w:r>
      <w:r w:rsidRPr="0066593A">
        <w:rPr>
          <w:b w:val="0"/>
          <w:bCs/>
        </w:rPr>
      </w:r>
      <w:r w:rsidRPr="0066593A">
        <w:rPr>
          <w:b w:val="0"/>
          <w:bCs/>
        </w:rPr>
        <w:fldChar w:fldCharType="separate"/>
      </w:r>
      <w:r w:rsidRPr="0066593A">
        <w:rPr>
          <w:b w:val="0"/>
          <w:bCs/>
        </w:rPr>
        <w:fldChar w:fldCharType="end"/>
      </w:r>
      <w:r w:rsidRPr="0066593A">
        <w:rPr>
          <w:b w:val="0"/>
        </w:rPr>
        <w:t xml:space="preserve"> provides a summary of webinars delivered during the reporting period.</w:t>
      </w:r>
    </w:p>
    <w:p w14:paraId="5DE4BC14" w14:textId="22133190" w:rsidR="00B364D5" w:rsidRDefault="00B364D5" w:rsidP="00B364D5">
      <w:pPr>
        <w:pStyle w:val="Caption"/>
        <w:spacing w:after="120"/>
      </w:pPr>
      <w:bookmarkStart w:id="175" w:name="_Ref203746084"/>
      <w:r>
        <w:t xml:space="preserve">Table </w:t>
      </w:r>
      <w:r w:rsidR="003C619C">
        <w:t>30</w:t>
      </w:r>
      <w:r>
        <w:fldChar w:fldCharType="begin"/>
      </w:r>
      <w:r>
        <w:instrText>SEQ Table \* ARABIC</w:instrText>
      </w:r>
      <w:r>
        <w:fldChar w:fldCharType="separate"/>
      </w:r>
      <w:r>
        <w:fldChar w:fldCharType="end"/>
      </w:r>
      <w:bookmarkEnd w:id="175"/>
      <w:r>
        <w:t xml:space="preserve">: </w:t>
      </w:r>
      <w:r w:rsidRPr="00061684">
        <w:t>Webinars delivered in 2024–25</w:t>
      </w:r>
    </w:p>
    <w:tbl>
      <w:tblPr>
        <w:tblStyle w:val="TableGrid"/>
        <w:tblW w:w="0" w:type="auto"/>
        <w:tblLayout w:type="fixed"/>
        <w:tblLook w:val="04A0" w:firstRow="1" w:lastRow="0" w:firstColumn="1" w:lastColumn="0" w:noHBand="0" w:noVBand="1"/>
      </w:tblPr>
      <w:tblGrid>
        <w:gridCol w:w="2547"/>
        <w:gridCol w:w="1276"/>
        <w:gridCol w:w="1701"/>
        <w:gridCol w:w="1984"/>
        <w:gridCol w:w="1471"/>
        <w:gridCol w:w="1471"/>
      </w:tblGrid>
      <w:tr w:rsidR="00B364D5" w14:paraId="7B129A41" w14:textId="77777777">
        <w:tc>
          <w:tcPr>
            <w:tcW w:w="2547" w:type="dxa"/>
            <w:vMerge w:val="restart"/>
            <w:shd w:val="clear" w:color="auto" w:fill="A6A6A6" w:themeFill="background1" w:themeFillShade="A6"/>
            <w:vAlign w:val="center"/>
          </w:tcPr>
          <w:p w14:paraId="2B1029D4" w14:textId="77777777" w:rsidR="00B364D5" w:rsidRDefault="00B364D5">
            <w:pPr>
              <w:rPr>
                <w:b/>
                <w:szCs w:val="22"/>
              </w:rPr>
            </w:pPr>
            <w:bookmarkStart w:id="176" w:name="_Internal_review"/>
            <w:bookmarkEnd w:id="176"/>
            <w:r>
              <w:rPr>
                <w:b/>
                <w:szCs w:val="22"/>
              </w:rPr>
              <w:t>Webinar</w:t>
            </w:r>
          </w:p>
        </w:tc>
        <w:tc>
          <w:tcPr>
            <w:tcW w:w="1276" w:type="dxa"/>
            <w:vMerge w:val="restart"/>
            <w:shd w:val="clear" w:color="auto" w:fill="A6A6A6" w:themeFill="background1" w:themeFillShade="A6"/>
            <w:vAlign w:val="center"/>
          </w:tcPr>
          <w:p w14:paraId="26216656" w14:textId="77777777" w:rsidR="00B364D5" w:rsidRDefault="00B364D5">
            <w:pPr>
              <w:rPr>
                <w:b/>
                <w:szCs w:val="22"/>
              </w:rPr>
            </w:pPr>
            <w:r>
              <w:rPr>
                <w:b/>
                <w:szCs w:val="22"/>
              </w:rPr>
              <w:t>Attendee count</w:t>
            </w:r>
          </w:p>
        </w:tc>
        <w:tc>
          <w:tcPr>
            <w:tcW w:w="1701" w:type="dxa"/>
            <w:vMerge w:val="restart"/>
            <w:shd w:val="clear" w:color="auto" w:fill="A6A6A6" w:themeFill="background1" w:themeFillShade="A6"/>
            <w:vAlign w:val="center"/>
          </w:tcPr>
          <w:p w14:paraId="6A5FAD2F" w14:textId="77777777" w:rsidR="00B364D5" w:rsidRDefault="00B364D5">
            <w:pPr>
              <w:rPr>
                <w:b/>
                <w:szCs w:val="22"/>
              </w:rPr>
            </w:pPr>
            <w:r>
              <w:rPr>
                <w:b/>
                <w:szCs w:val="22"/>
              </w:rPr>
              <w:t>Delivery date</w:t>
            </w:r>
          </w:p>
        </w:tc>
        <w:tc>
          <w:tcPr>
            <w:tcW w:w="1984" w:type="dxa"/>
            <w:vMerge w:val="restart"/>
            <w:shd w:val="clear" w:color="auto" w:fill="A6A6A6" w:themeFill="background1" w:themeFillShade="A6"/>
            <w:vAlign w:val="center"/>
          </w:tcPr>
          <w:p w14:paraId="7383C9E6" w14:textId="77777777" w:rsidR="00B364D5" w:rsidRDefault="00B364D5">
            <w:pPr>
              <w:rPr>
                <w:b/>
                <w:szCs w:val="22"/>
              </w:rPr>
            </w:pPr>
            <w:r>
              <w:rPr>
                <w:b/>
                <w:szCs w:val="22"/>
              </w:rPr>
              <w:t>Target audience</w:t>
            </w:r>
          </w:p>
        </w:tc>
        <w:tc>
          <w:tcPr>
            <w:tcW w:w="2942" w:type="dxa"/>
            <w:gridSpan w:val="2"/>
            <w:shd w:val="clear" w:color="auto" w:fill="A6A6A6" w:themeFill="background1" w:themeFillShade="A6"/>
          </w:tcPr>
          <w:p w14:paraId="21E576FD" w14:textId="77777777" w:rsidR="00B364D5" w:rsidRDefault="00B364D5">
            <w:pPr>
              <w:jc w:val="center"/>
              <w:rPr>
                <w:b/>
                <w:szCs w:val="22"/>
              </w:rPr>
            </w:pPr>
            <w:r>
              <w:rPr>
                <w:b/>
                <w:szCs w:val="22"/>
              </w:rPr>
              <w:t xml:space="preserve">Survey feedback on level of understanding </w:t>
            </w:r>
          </w:p>
        </w:tc>
      </w:tr>
      <w:tr w:rsidR="00B364D5" w14:paraId="5C0B339F" w14:textId="77777777" w:rsidTr="3B27A713">
        <w:tc>
          <w:tcPr>
            <w:tcW w:w="2547" w:type="dxa"/>
            <w:vMerge/>
          </w:tcPr>
          <w:p w14:paraId="13B4A15C" w14:textId="77777777" w:rsidR="00B364D5" w:rsidRPr="00B55F53" w:rsidRDefault="00B364D5">
            <w:pPr>
              <w:rPr>
                <w:b/>
                <w:szCs w:val="22"/>
              </w:rPr>
            </w:pPr>
          </w:p>
        </w:tc>
        <w:tc>
          <w:tcPr>
            <w:tcW w:w="1276" w:type="dxa"/>
            <w:vMerge/>
          </w:tcPr>
          <w:p w14:paraId="139EEFB6" w14:textId="77777777" w:rsidR="00B364D5" w:rsidRDefault="00B364D5">
            <w:pPr>
              <w:rPr>
                <w:b/>
                <w:szCs w:val="22"/>
              </w:rPr>
            </w:pPr>
          </w:p>
        </w:tc>
        <w:tc>
          <w:tcPr>
            <w:tcW w:w="1701" w:type="dxa"/>
            <w:vMerge/>
          </w:tcPr>
          <w:p w14:paraId="535ECFD0" w14:textId="77777777" w:rsidR="00B364D5" w:rsidRDefault="00B364D5">
            <w:pPr>
              <w:rPr>
                <w:b/>
                <w:szCs w:val="22"/>
              </w:rPr>
            </w:pPr>
          </w:p>
        </w:tc>
        <w:tc>
          <w:tcPr>
            <w:tcW w:w="1984" w:type="dxa"/>
            <w:vMerge/>
          </w:tcPr>
          <w:p w14:paraId="77574F54" w14:textId="77777777" w:rsidR="00B364D5" w:rsidRDefault="00B364D5">
            <w:pPr>
              <w:rPr>
                <w:b/>
                <w:szCs w:val="22"/>
              </w:rPr>
            </w:pPr>
          </w:p>
        </w:tc>
        <w:tc>
          <w:tcPr>
            <w:tcW w:w="1471" w:type="dxa"/>
            <w:shd w:val="clear" w:color="auto" w:fill="A6A6A6" w:themeFill="background1" w:themeFillShade="A6"/>
          </w:tcPr>
          <w:p w14:paraId="6B8B3184" w14:textId="77777777" w:rsidR="00B364D5" w:rsidRDefault="00B364D5">
            <w:pPr>
              <w:rPr>
                <w:b/>
                <w:szCs w:val="22"/>
              </w:rPr>
            </w:pPr>
            <w:r>
              <w:rPr>
                <w:b/>
                <w:szCs w:val="22"/>
              </w:rPr>
              <w:t xml:space="preserve">Pre-session </w:t>
            </w:r>
          </w:p>
          <w:p w14:paraId="55F77349" w14:textId="77777777" w:rsidR="00B364D5" w:rsidRDefault="00B364D5">
            <w:pPr>
              <w:rPr>
                <w:b/>
                <w:szCs w:val="22"/>
              </w:rPr>
            </w:pPr>
            <w:r>
              <w:rPr>
                <w:b/>
                <w:szCs w:val="22"/>
              </w:rPr>
              <w:t>(%)</w:t>
            </w:r>
          </w:p>
        </w:tc>
        <w:tc>
          <w:tcPr>
            <w:tcW w:w="1471" w:type="dxa"/>
            <w:shd w:val="clear" w:color="auto" w:fill="A6A6A6" w:themeFill="background1" w:themeFillShade="A6"/>
          </w:tcPr>
          <w:p w14:paraId="110EABBD" w14:textId="77777777" w:rsidR="00B364D5" w:rsidRDefault="00B364D5">
            <w:pPr>
              <w:rPr>
                <w:b/>
                <w:szCs w:val="22"/>
              </w:rPr>
            </w:pPr>
            <w:r>
              <w:rPr>
                <w:b/>
                <w:szCs w:val="22"/>
              </w:rPr>
              <w:t>Post-session</w:t>
            </w:r>
          </w:p>
          <w:p w14:paraId="7ADF1A91" w14:textId="77777777" w:rsidR="00B364D5" w:rsidRPr="00B55F53" w:rsidRDefault="00B364D5">
            <w:pPr>
              <w:rPr>
                <w:b/>
                <w:szCs w:val="22"/>
              </w:rPr>
            </w:pPr>
            <w:r>
              <w:rPr>
                <w:b/>
                <w:szCs w:val="22"/>
              </w:rPr>
              <w:t>(%)</w:t>
            </w:r>
          </w:p>
        </w:tc>
      </w:tr>
      <w:tr w:rsidR="00B364D5" w14:paraId="669B411A" w14:textId="77777777">
        <w:tc>
          <w:tcPr>
            <w:tcW w:w="2547" w:type="dxa"/>
          </w:tcPr>
          <w:p w14:paraId="34C839D9" w14:textId="77777777" w:rsidR="00B364D5" w:rsidRDefault="00B364D5">
            <w:bookmarkStart w:id="177" w:name="_Int_hQ8w0Do8"/>
            <w:proofErr w:type="gramStart"/>
            <w:r>
              <w:t>Home owner</w:t>
            </w:r>
            <w:bookmarkEnd w:id="177"/>
            <w:proofErr w:type="gramEnd"/>
            <w:r>
              <w:t xml:space="preserve"> information session: G</w:t>
            </w:r>
            <w:r w:rsidRPr="005A359A">
              <w:t>uidance on building and renovation</w:t>
            </w:r>
          </w:p>
        </w:tc>
        <w:tc>
          <w:tcPr>
            <w:tcW w:w="1276" w:type="dxa"/>
          </w:tcPr>
          <w:p w14:paraId="00600092" w14:textId="77777777" w:rsidR="00B364D5" w:rsidRDefault="00B364D5">
            <w:r>
              <w:t>6</w:t>
            </w:r>
          </w:p>
        </w:tc>
        <w:tc>
          <w:tcPr>
            <w:tcW w:w="1701" w:type="dxa"/>
          </w:tcPr>
          <w:p w14:paraId="7E028021" w14:textId="77777777" w:rsidR="00B364D5" w:rsidRDefault="00B364D5">
            <w:r>
              <w:t>August 2024</w:t>
            </w:r>
          </w:p>
        </w:tc>
        <w:tc>
          <w:tcPr>
            <w:tcW w:w="1984" w:type="dxa"/>
          </w:tcPr>
          <w:p w14:paraId="40FA80CE" w14:textId="77777777" w:rsidR="00B364D5" w:rsidRDefault="00B364D5">
            <w:bookmarkStart w:id="178" w:name="_Int_vmZDGolW"/>
            <w:proofErr w:type="gramStart"/>
            <w:r>
              <w:t>Home owners</w:t>
            </w:r>
            <w:bookmarkEnd w:id="178"/>
            <w:proofErr w:type="gramEnd"/>
          </w:p>
        </w:tc>
        <w:tc>
          <w:tcPr>
            <w:tcW w:w="1471" w:type="dxa"/>
          </w:tcPr>
          <w:p w14:paraId="652C28A3" w14:textId="77777777" w:rsidR="00B364D5" w:rsidRDefault="00B364D5">
            <w:r>
              <w:t>50.0</w:t>
            </w:r>
          </w:p>
        </w:tc>
        <w:tc>
          <w:tcPr>
            <w:tcW w:w="1471" w:type="dxa"/>
          </w:tcPr>
          <w:p w14:paraId="6A1FF231" w14:textId="77777777" w:rsidR="00B364D5" w:rsidRPr="00394212" w:rsidRDefault="00B364D5">
            <w:r>
              <w:t>90.0</w:t>
            </w:r>
          </w:p>
        </w:tc>
      </w:tr>
      <w:tr w:rsidR="00B364D5" w14:paraId="596FA2C7" w14:textId="77777777">
        <w:tc>
          <w:tcPr>
            <w:tcW w:w="2547" w:type="dxa"/>
          </w:tcPr>
          <w:p w14:paraId="6D1D7396" w14:textId="77777777" w:rsidR="00B364D5" w:rsidRDefault="00B364D5">
            <w:pPr>
              <w:rPr>
                <w:szCs w:val="22"/>
              </w:rPr>
            </w:pPr>
            <w:r w:rsidRPr="0F6E1C86">
              <w:rPr>
                <w:rFonts w:cs="Arial"/>
              </w:rPr>
              <w:t xml:space="preserve">Building </w:t>
            </w:r>
            <w:r>
              <w:rPr>
                <w:rFonts w:cs="Arial"/>
              </w:rPr>
              <w:t>s</w:t>
            </w:r>
            <w:r w:rsidRPr="0F6E1C86">
              <w:rPr>
                <w:rFonts w:cs="Arial"/>
              </w:rPr>
              <w:t xml:space="preserve">marter </w:t>
            </w:r>
            <w:r>
              <w:rPr>
                <w:rFonts w:cs="Arial"/>
              </w:rPr>
              <w:t>t</w:t>
            </w:r>
            <w:r w:rsidRPr="0F6E1C86">
              <w:rPr>
                <w:rFonts w:cs="Arial"/>
              </w:rPr>
              <w:t>ogether</w:t>
            </w:r>
            <w:r w:rsidRPr="0688D98E">
              <w:rPr>
                <w:rFonts w:cs="Arial"/>
              </w:rPr>
              <w:t xml:space="preserve">: Compliance </w:t>
            </w:r>
            <w:r w:rsidRPr="7040184B">
              <w:rPr>
                <w:rFonts w:cs="Arial"/>
              </w:rPr>
              <w:t xml:space="preserve">in Queensland </w:t>
            </w:r>
            <w:r>
              <w:rPr>
                <w:rFonts w:cs="Arial"/>
              </w:rPr>
              <w:t>t</w:t>
            </w:r>
            <w:r w:rsidRPr="7040184B">
              <w:rPr>
                <w:rFonts w:cs="Arial"/>
              </w:rPr>
              <w:t xml:space="preserve">hrough </w:t>
            </w:r>
            <w:r>
              <w:rPr>
                <w:rFonts w:cs="Arial"/>
              </w:rPr>
              <w:t>e</w:t>
            </w:r>
            <w:r w:rsidRPr="7040184B">
              <w:rPr>
                <w:rFonts w:cs="Arial"/>
              </w:rPr>
              <w:t>nergy</w:t>
            </w:r>
          </w:p>
        </w:tc>
        <w:tc>
          <w:tcPr>
            <w:tcW w:w="1276" w:type="dxa"/>
          </w:tcPr>
          <w:p w14:paraId="1DE825F9" w14:textId="77777777" w:rsidR="00B364D5" w:rsidRDefault="00B364D5">
            <w:r>
              <w:t>20</w:t>
            </w:r>
          </w:p>
        </w:tc>
        <w:tc>
          <w:tcPr>
            <w:tcW w:w="1701" w:type="dxa"/>
          </w:tcPr>
          <w:p w14:paraId="6E058B42" w14:textId="77777777" w:rsidR="00B364D5" w:rsidRDefault="00B364D5">
            <w:r>
              <w:t>September 2024</w:t>
            </w:r>
          </w:p>
        </w:tc>
        <w:tc>
          <w:tcPr>
            <w:tcW w:w="1984" w:type="dxa"/>
          </w:tcPr>
          <w:p w14:paraId="65BC5FF4" w14:textId="77777777" w:rsidR="00B364D5" w:rsidRDefault="00B364D5">
            <w:r w:rsidRPr="00FD3FE0">
              <w:t>Energy Queensland professionals</w:t>
            </w:r>
          </w:p>
        </w:tc>
        <w:tc>
          <w:tcPr>
            <w:tcW w:w="1471" w:type="dxa"/>
          </w:tcPr>
          <w:p w14:paraId="06BA12F3" w14:textId="77777777" w:rsidR="00B364D5" w:rsidRDefault="00B364D5">
            <w:r>
              <w:t>47.0</w:t>
            </w:r>
          </w:p>
        </w:tc>
        <w:tc>
          <w:tcPr>
            <w:tcW w:w="1471" w:type="dxa"/>
          </w:tcPr>
          <w:p w14:paraId="2B7598B2" w14:textId="77777777" w:rsidR="00B364D5" w:rsidRPr="00394212" w:rsidRDefault="00B364D5">
            <w:r>
              <w:t>70.0</w:t>
            </w:r>
          </w:p>
        </w:tc>
      </w:tr>
      <w:tr w:rsidR="00B364D5" w14:paraId="18BCAF71" w14:textId="77777777">
        <w:tc>
          <w:tcPr>
            <w:tcW w:w="2547" w:type="dxa"/>
          </w:tcPr>
          <w:p w14:paraId="2AC49C63" w14:textId="77777777" w:rsidR="00B364D5" w:rsidRDefault="00B364D5">
            <w:pPr>
              <w:rPr>
                <w:szCs w:val="22"/>
              </w:rPr>
            </w:pPr>
            <w:r w:rsidRPr="00B82975">
              <w:rPr>
                <w:rFonts w:cs="Arial"/>
              </w:rPr>
              <w:t>Construction Industry Trust Account Framework</w:t>
            </w:r>
          </w:p>
        </w:tc>
        <w:tc>
          <w:tcPr>
            <w:tcW w:w="1276" w:type="dxa"/>
          </w:tcPr>
          <w:p w14:paraId="53B0519D" w14:textId="77777777" w:rsidR="00B364D5" w:rsidRDefault="00B364D5">
            <w:r>
              <w:t>133</w:t>
            </w:r>
          </w:p>
        </w:tc>
        <w:tc>
          <w:tcPr>
            <w:tcW w:w="1701" w:type="dxa"/>
          </w:tcPr>
          <w:p w14:paraId="2E37D119" w14:textId="77777777" w:rsidR="00B364D5" w:rsidRDefault="00B364D5">
            <w:r w:rsidRPr="00B82975">
              <w:rPr>
                <w:rFonts w:cs="Arial"/>
              </w:rPr>
              <w:t>October 2024</w:t>
            </w:r>
          </w:p>
        </w:tc>
        <w:tc>
          <w:tcPr>
            <w:tcW w:w="1984" w:type="dxa"/>
          </w:tcPr>
          <w:p w14:paraId="2E5D767D" w14:textId="77777777" w:rsidR="00B364D5" w:rsidRDefault="00B364D5">
            <w:r>
              <w:t>Licensees</w:t>
            </w:r>
          </w:p>
        </w:tc>
        <w:tc>
          <w:tcPr>
            <w:tcW w:w="1471" w:type="dxa"/>
          </w:tcPr>
          <w:p w14:paraId="52975B0C" w14:textId="77777777" w:rsidR="00B364D5" w:rsidRDefault="00B364D5">
            <w:r>
              <w:t>58.0</w:t>
            </w:r>
          </w:p>
        </w:tc>
        <w:tc>
          <w:tcPr>
            <w:tcW w:w="1471" w:type="dxa"/>
          </w:tcPr>
          <w:p w14:paraId="138CB9B2" w14:textId="77777777" w:rsidR="00B364D5" w:rsidRPr="00394212" w:rsidRDefault="00B364D5">
            <w:r>
              <w:t>77.0</w:t>
            </w:r>
          </w:p>
        </w:tc>
      </w:tr>
      <w:tr w:rsidR="00B364D5" w14:paraId="53EC9D5E" w14:textId="77777777">
        <w:tc>
          <w:tcPr>
            <w:tcW w:w="2547" w:type="dxa"/>
          </w:tcPr>
          <w:p w14:paraId="19A34A5C" w14:textId="77777777" w:rsidR="00B364D5" w:rsidRPr="00EC7B74" w:rsidRDefault="00B364D5">
            <w:pPr>
              <w:rPr>
                <w:szCs w:val="22"/>
              </w:rPr>
            </w:pPr>
            <w:r w:rsidRPr="00E57E07">
              <w:rPr>
                <w:szCs w:val="22"/>
              </w:rPr>
              <w:t>Service Trade</w:t>
            </w:r>
            <w:r>
              <w:rPr>
                <w:szCs w:val="22"/>
              </w:rPr>
              <w:t>s</w:t>
            </w:r>
            <w:r w:rsidRPr="00E57E07">
              <w:rPr>
                <w:szCs w:val="22"/>
              </w:rPr>
              <w:t xml:space="preserve"> Council</w:t>
            </w:r>
            <w:r>
              <w:rPr>
                <w:szCs w:val="22"/>
              </w:rPr>
              <w:t xml:space="preserve">: </w:t>
            </w:r>
            <w:r w:rsidRPr="005B34A7">
              <w:rPr>
                <w:szCs w:val="22"/>
              </w:rPr>
              <w:t>Notifiable work, annual reporting and home warranty insurance requirements</w:t>
            </w:r>
            <w:r w:rsidRPr="005B34A7" w:rsidDel="0021267F">
              <w:rPr>
                <w:szCs w:val="22"/>
              </w:rPr>
              <w:t xml:space="preserve"> </w:t>
            </w:r>
          </w:p>
        </w:tc>
        <w:tc>
          <w:tcPr>
            <w:tcW w:w="1276" w:type="dxa"/>
          </w:tcPr>
          <w:p w14:paraId="286869C4" w14:textId="77777777" w:rsidR="00B364D5" w:rsidRPr="005A359A" w:rsidRDefault="00B364D5">
            <w:pPr>
              <w:rPr>
                <w:szCs w:val="22"/>
              </w:rPr>
            </w:pPr>
            <w:r>
              <w:rPr>
                <w:szCs w:val="22"/>
              </w:rPr>
              <w:t>45</w:t>
            </w:r>
          </w:p>
        </w:tc>
        <w:tc>
          <w:tcPr>
            <w:tcW w:w="1701" w:type="dxa"/>
          </w:tcPr>
          <w:p w14:paraId="48AE3C79" w14:textId="77777777" w:rsidR="00B364D5" w:rsidRPr="005A359A" w:rsidRDefault="00B364D5">
            <w:pPr>
              <w:rPr>
                <w:szCs w:val="22"/>
              </w:rPr>
            </w:pPr>
            <w:r w:rsidRPr="005A359A">
              <w:rPr>
                <w:szCs w:val="22"/>
              </w:rPr>
              <w:t>November 2024</w:t>
            </w:r>
          </w:p>
        </w:tc>
        <w:tc>
          <w:tcPr>
            <w:tcW w:w="1984" w:type="dxa"/>
          </w:tcPr>
          <w:p w14:paraId="5F52D79B" w14:textId="77777777" w:rsidR="00B364D5" w:rsidRPr="005A359A" w:rsidRDefault="00B364D5">
            <w:pPr>
              <w:rPr>
                <w:szCs w:val="22"/>
              </w:rPr>
            </w:pPr>
            <w:r w:rsidRPr="005A359A">
              <w:rPr>
                <w:szCs w:val="22"/>
              </w:rPr>
              <w:t>Plumbing, drainage, fire protection and mechanical services licensees</w:t>
            </w:r>
            <w:r>
              <w:rPr>
                <w:szCs w:val="22"/>
              </w:rPr>
              <w:t xml:space="preserve"> and members</w:t>
            </w:r>
          </w:p>
        </w:tc>
        <w:tc>
          <w:tcPr>
            <w:tcW w:w="1471" w:type="dxa"/>
          </w:tcPr>
          <w:p w14:paraId="0826337F" w14:textId="77777777" w:rsidR="00B364D5" w:rsidRPr="00394212" w:rsidRDefault="00B364D5">
            <w:pPr>
              <w:rPr>
                <w:szCs w:val="22"/>
              </w:rPr>
            </w:pPr>
            <w:r>
              <w:rPr>
                <w:szCs w:val="22"/>
              </w:rPr>
              <w:t>68.0</w:t>
            </w:r>
          </w:p>
        </w:tc>
        <w:tc>
          <w:tcPr>
            <w:tcW w:w="1471" w:type="dxa"/>
          </w:tcPr>
          <w:p w14:paraId="3C924EFA" w14:textId="77777777" w:rsidR="00B364D5" w:rsidRPr="00394212" w:rsidRDefault="00B364D5">
            <w:pPr>
              <w:rPr>
                <w:szCs w:val="22"/>
              </w:rPr>
            </w:pPr>
            <w:r>
              <w:rPr>
                <w:szCs w:val="22"/>
              </w:rPr>
              <w:t>78.0</w:t>
            </w:r>
          </w:p>
        </w:tc>
      </w:tr>
      <w:tr w:rsidR="00B364D5" w14:paraId="4DB03DE1" w14:textId="77777777">
        <w:tc>
          <w:tcPr>
            <w:tcW w:w="2547" w:type="dxa"/>
          </w:tcPr>
          <w:p w14:paraId="375E031B" w14:textId="77777777" w:rsidR="00B364D5" w:rsidRPr="00E57E07" w:rsidRDefault="00B364D5">
            <w:pPr>
              <w:rPr>
                <w:szCs w:val="22"/>
              </w:rPr>
            </w:pPr>
            <w:r>
              <w:rPr>
                <w:rFonts w:cs="Arial"/>
              </w:rPr>
              <w:t xml:space="preserve">NCBP: </w:t>
            </w:r>
            <w:r w:rsidRPr="002154C3">
              <w:rPr>
                <w:rFonts w:cs="Arial"/>
              </w:rPr>
              <w:t>Roles and legal duties in eliminating NCBPs</w:t>
            </w:r>
            <w:r w:rsidRPr="002154C3" w:rsidDel="002154C3">
              <w:rPr>
                <w:rFonts w:cs="Arial"/>
              </w:rPr>
              <w:t xml:space="preserve"> </w:t>
            </w:r>
          </w:p>
        </w:tc>
        <w:tc>
          <w:tcPr>
            <w:tcW w:w="1276" w:type="dxa"/>
          </w:tcPr>
          <w:p w14:paraId="2CA9E220" w14:textId="77777777" w:rsidR="00B364D5" w:rsidRPr="00394212" w:rsidRDefault="00B364D5">
            <w:pPr>
              <w:rPr>
                <w:szCs w:val="22"/>
              </w:rPr>
            </w:pPr>
            <w:r>
              <w:rPr>
                <w:szCs w:val="22"/>
              </w:rPr>
              <w:t>256</w:t>
            </w:r>
          </w:p>
        </w:tc>
        <w:tc>
          <w:tcPr>
            <w:tcW w:w="1701" w:type="dxa"/>
          </w:tcPr>
          <w:p w14:paraId="0C54ABC3" w14:textId="77777777" w:rsidR="00B364D5" w:rsidRPr="00394212" w:rsidRDefault="00B364D5">
            <w:pPr>
              <w:rPr>
                <w:szCs w:val="22"/>
              </w:rPr>
            </w:pPr>
            <w:r>
              <w:rPr>
                <w:szCs w:val="22"/>
              </w:rPr>
              <w:t>April 2025</w:t>
            </w:r>
          </w:p>
        </w:tc>
        <w:tc>
          <w:tcPr>
            <w:tcW w:w="1984" w:type="dxa"/>
          </w:tcPr>
          <w:p w14:paraId="274E0BEB" w14:textId="77777777" w:rsidR="00B364D5" w:rsidRPr="00394212" w:rsidRDefault="00B364D5">
            <w:pPr>
              <w:rPr>
                <w:szCs w:val="22"/>
              </w:rPr>
            </w:pPr>
            <w:r>
              <w:rPr>
                <w:szCs w:val="22"/>
              </w:rPr>
              <w:t>Engineers</w:t>
            </w:r>
          </w:p>
        </w:tc>
        <w:tc>
          <w:tcPr>
            <w:tcW w:w="1471" w:type="dxa"/>
          </w:tcPr>
          <w:p w14:paraId="782BF30F" w14:textId="77777777" w:rsidR="00B364D5" w:rsidRDefault="00B364D5">
            <w:pPr>
              <w:rPr>
                <w:szCs w:val="22"/>
              </w:rPr>
            </w:pPr>
            <w:r>
              <w:rPr>
                <w:szCs w:val="22"/>
              </w:rPr>
              <w:t>62.0</w:t>
            </w:r>
          </w:p>
        </w:tc>
        <w:tc>
          <w:tcPr>
            <w:tcW w:w="1471" w:type="dxa"/>
          </w:tcPr>
          <w:p w14:paraId="49188B99" w14:textId="77777777" w:rsidR="00B364D5" w:rsidRDefault="00B364D5">
            <w:pPr>
              <w:rPr>
                <w:szCs w:val="22"/>
              </w:rPr>
            </w:pPr>
            <w:r>
              <w:rPr>
                <w:szCs w:val="22"/>
              </w:rPr>
              <w:t>80.0</w:t>
            </w:r>
          </w:p>
        </w:tc>
      </w:tr>
    </w:tbl>
    <w:p w14:paraId="7D42BDA5" w14:textId="3AA0DAA2" w:rsidR="00B364D5" w:rsidRDefault="00B364D5" w:rsidP="00B364D5">
      <w:pPr>
        <w:pStyle w:val="Heading4"/>
        <w:spacing w:before="120"/>
        <w:rPr>
          <w:rFonts w:eastAsia="Arial" w:cs="Arial"/>
          <w:b w:val="0"/>
        </w:rPr>
      </w:pPr>
      <w:bookmarkStart w:id="179" w:name="_Int_u028wQnv"/>
      <w:proofErr w:type="gramStart"/>
      <w:r>
        <w:t>Home</w:t>
      </w:r>
      <w:r w:rsidRPr="74573D18">
        <w:rPr>
          <w:rFonts w:eastAsia="Arial" w:cs="Arial"/>
        </w:rPr>
        <w:t xml:space="preserve"> owner</w:t>
      </w:r>
      <w:bookmarkEnd w:id="179"/>
      <w:proofErr w:type="gramEnd"/>
      <w:r w:rsidRPr="74573D18">
        <w:rPr>
          <w:rFonts w:eastAsia="Arial" w:cs="Arial"/>
        </w:rPr>
        <w:t xml:space="preserve"> engagements</w:t>
      </w:r>
    </w:p>
    <w:p w14:paraId="34AB44AC" w14:textId="4F7DD939" w:rsidR="00B364D5" w:rsidRPr="0046559B" w:rsidRDefault="00B364D5" w:rsidP="00B364D5">
      <w:pPr>
        <w:rPr>
          <w:rFonts w:cs="Arial"/>
        </w:rPr>
      </w:pPr>
      <w:r w:rsidRPr="74573D18">
        <w:rPr>
          <w:rFonts w:cs="Arial"/>
        </w:rPr>
        <w:t xml:space="preserve">The QBCC actively engages with </w:t>
      </w:r>
      <w:bookmarkStart w:id="180" w:name="_Int_j91W7CMQ"/>
      <w:proofErr w:type="gramStart"/>
      <w:r w:rsidRPr="74573D18">
        <w:rPr>
          <w:rFonts w:cs="Arial"/>
        </w:rPr>
        <w:t>home owners</w:t>
      </w:r>
      <w:bookmarkEnd w:id="180"/>
      <w:proofErr w:type="gramEnd"/>
      <w:r w:rsidRPr="74573D18">
        <w:rPr>
          <w:rFonts w:cs="Arial"/>
        </w:rPr>
        <w:t xml:space="preserve"> to support informed decision making and strengthen their understanding of their rights and responsibilities when undertaking building or renovation projects. Through tailored communications, information delivery initiatives and direct support services, the QBCC offers practical guidance on working with licensed contractors, navigating the building process</w:t>
      </w:r>
      <w:r w:rsidR="00452FB1">
        <w:rPr>
          <w:rFonts w:cs="Arial"/>
        </w:rPr>
        <w:t>,</w:t>
      </w:r>
      <w:r w:rsidRPr="74573D18">
        <w:rPr>
          <w:rFonts w:cs="Arial"/>
        </w:rPr>
        <w:t xml:space="preserve"> and accessing dispute resolution and home warranty insurance services. Attendee feedback from these engagements has consistently indicated a positive experience. In addition to participating in the Brisbane Home Shows, the QBCC exhibited at three Bunnings Trade Expos and one Mitre 10 Trade Expo during the reporting period. </w:t>
      </w:r>
    </w:p>
    <w:p w14:paraId="297638AD" w14:textId="7492CFD7" w:rsidR="00B364D5" w:rsidRPr="009007C7" w:rsidRDefault="00B364D5" w:rsidP="00B364D5">
      <w:pPr>
        <w:pStyle w:val="Heading4"/>
        <w:spacing w:before="120"/>
        <w:rPr>
          <w:rFonts w:cs="Arial"/>
        </w:rPr>
      </w:pPr>
      <w:bookmarkStart w:id="181" w:name="_Ondemand_educational_videos"/>
      <w:bookmarkEnd w:id="181"/>
      <w:r w:rsidRPr="20BE9D8C">
        <w:rPr>
          <w:rFonts w:eastAsiaTheme="minorEastAsia" w:cs="Arial"/>
        </w:rPr>
        <w:lastRenderedPageBreak/>
        <w:t xml:space="preserve">On-demand information videos </w:t>
      </w:r>
    </w:p>
    <w:p w14:paraId="556C6763" w14:textId="19949704" w:rsidR="00B364D5" w:rsidRDefault="00B364D5" w:rsidP="00B364D5">
      <w:pPr>
        <w:spacing w:before="120" w:after="120"/>
      </w:pPr>
      <w:r>
        <w:t>In 2024–25, the QBCC</w:t>
      </w:r>
      <w:r w:rsidDel="00B57E98">
        <w:t xml:space="preserve"> </w:t>
      </w:r>
      <w:r>
        <w:t>expanded its customer engagement efforts by launching a series of short</w:t>
      </w:r>
      <w:r w:rsidR="006D1E8A">
        <w:t>,</w:t>
      </w:r>
      <w:r>
        <w:t xml:space="preserve"> on-demand</w:t>
      </w:r>
      <w:r w:rsidR="006D1E8A">
        <w:t>,</w:t>
      </w:r>
      <w:r>
        <w:t xml:space="preserve"> informative videos, published </w:t>
      </w:r>
      <w:r w:rsidR="00A745C0">
        <w:t>to</w:t>
      </w:r>
      <w:r>
        <w:t xml:space="preserve"> YouTube. Publishing short videos on the YouTube platform demonstrates the QBCC’s commitment to providing accessible and flexible learning opportunities for customers and the wider community, enabling them to better understand key regulatory processes at a time and place that suits them. Designed to be clear, concise and easy to follow, the videos cover a range of important topics, including </w:t>
      </w:r>
      <w:bookmarkStart w:id="182" w:name="_Int_L6OuXQXb"/>
      <w:proofErr w:type="gramStart"/>
      <w:r>
        <w:t>home owner</w:t>
      </w:r>
      <w:bookmarkEnd w:id="182"/>
      <w:proofErr w:type="gramEnd"/>
      <w:r>
        <w:t xml:space="preserve"> information, financial compliance obligations, pool safety requirements and entitlements under the QHWS.</w:t>
      </w:r>
    </w:p>
    <w:p w14:paraId="3AC71E67" w14:textId="0B9AD741" w:rsidR="00B364D5" w:rsidRPr="00E27662" w:rsidRDefault="00B364D5" w:rsidP="00B364D5">
      <w:pPr>
        <w:pStyle w:val="Heading4"/>
        <w:spacing w:before="120"/>
      </w:pPr>
      <w:bookmarkStart w:id="183" w:name="_Blackboard_Learning_Management"/>
      <w:bookmarkEnd w:id="183"/>
      <w:r w:rsidRPr="20BE9D8C">
        <w:rPr>
          <w:rFonts w:eastAsiaTheme="minorEastAsia" w:cs="Arial"/>
        </w:rPr>
        <w:t>Blackboard Learn</w:t>
      </w:r>
      <w:r w:rsidRPr="20BE9D8C" w:rsidDel="005C6F35">
        <w:rPr>
          <w:rFonts w:eastAsiaTheme="minorEastAsia" w:cs="Arial"/>
        </w:rPr>
        <w:t>ing</w:t>
      </w:r>
      <w:r w:rsidRPr="20BE9D8C">
        <w:rPr>
          <w:rFonts w:eastAsiaTheme="minorEastAsia" w:cs="Arial"/>
        </w:rPr>
        <w:t xml:space="preserve"> Management System</w:t>
      </w:r>
    </w:p>
    <w:p w14:paraId="2DD8895F" w14:textId="1AFF893A" w:rsidR="00B364D5" w:rsidRPr="00801805" w:rsidRDefault="00B364D5" w:rsidP="00B364D5">
      <w:pPr>
        <w:spacing w:before="120" w:after="120"/>
        <w:rPr>
          <w:rFonts w:eastAsia="Arial" w:cs="Arial"/>
        </w:rPr>
      </w:pPr>
      <w:r w:rsidRPr="23CADED4">
        <w:rPr>
          <w:rFonts w:eastAsia="Arial" w:cs="Arial"/>
        </w:rPr>
        <w:t xml:space="preserve">The Blackboard Learning Management System (LMS) is a digital platform designed to deliver structured, accessible and scalable learning for licensees and industry stakeholders through </w:t>
      </w:r>
      <w:r>
        <w:rPr>
          <w:rFonts w:eastAsia="Arial" w:cs="Arial"/>
        </w:rPr>
        <w:t xml:space="preserve">the </w:t>
      </w:r>
      <w:proofErr w:type="spellStart"/>
      <w:r w:rsidRPr="23CADED4">
        <w:rPr>
          <w:rFonts w:eastAsia="Arial" w:cs="Arial"/>
        </w:rPr>
        <w:t>myQBCC</w:t>
      </w:r>
      <w:proofErr w:type="spellEnd"/>
      <w:r w:rsidRPr="23CADED4">
        <w:rPr>
          <w:rFonts w:eastAsia="Arial" w:cs="Arial"/>
        </w:rPr>
        <w:t xml:space="preserve"> portal. In 2024–25, the QBCC </w:t>
      </w:r>
      <w:r>
        <w:rPr>
          <w:rFonts w:eastAsia="Arial" w:cs="Arial"/>
        </w:rPr>
        <w:t xml:space="preserve">progressed </w:t>
      </w:r>
      <w:r w:rsidRPr="23CADED4">
        <w:rPr>
          <w:rFonts w:eastAsia="Arial" w:cs="Arial"/>
        </w:rPr>
        <w:t xml:space="preserve">the </w:t>
      </w:r>
      <w:r>
        <w:rPr>
          <w:rFonts w:eastAsia="Arial" w:cs="Arial"/>
        </w:rPr>
        <w:t xml:space="preserve">development of the </w:t>
      </w:r>
      <w:r w:rsidRPr="23CADED4">
        <w:rPr>
          <w:rFonts w:eastAsia="Arial" w:cs="Arial"/>
        </w:rPr>
        <w:t>LMS</w:t>
      </w:r>
      <w:r>
        <w:rPr>
          <w:rFonts w:eastAsia="Arial" w:cs="Arial"/>
        </w:rPr>
        <w:t xml:space="preserve">. </w:t>
      </w:r>
      <w:r w:rsidRPr="23CADED4">
        <w:rPr>
          <w:rFonts w:eastAsia="Arial" w:cs="Arial"/>
        </w:rPr>
        <w:t xml:space="preserve">During the reporting period, the QBCC established key collaborative partnerships </w:t>
      </w:r>
      <w:r>
        <w:rPr>
          <w:rFonts w:eastAsia="Arial" w:cs="Arial"/>
        </w:rPr>
        <w:t xml:space="preserve">with </w:t>
      </w:r>
      <w:r w:rsidRPr="23CADED4">
        <w:rPr>
          <w:rFonts w:eastAsia="Arial" w:cs="Arial"/>
        </w:rPr>
        <w:t>the Housing Industry Association, Master Plumbers</w:t>
      </w:r>
      <w:r>
        <w:rPr>
          <w:rFonts w:eastAsia="Arial" w:cs="Arial"/>
        </w:rPr>
        <w:t xml:space="preserve"> Association of Queensland </w:t>
      </w:r>
      <w:r w:rsidRPr="23CADED4">
        <w:rPr>
          <w:rFonts w:eastAsia="Arial" w:cs="Arial"/>
        </w:rPr>
        <w:t>and</w:t>
      </w:r>
      <w:r>
        <w:rPr>
          <w:rFonts w:eastAsia="Arial" w:cs="Arial"/>
        </w:rPr>
        <w:t xml:space="preserve"> other </w:t>
      </w:r>
      <w:r w:rsidRPr="23CADED4">
        <w:rPr>
          <w:rFonts w:eastAsia="Arial" w:cs="Arial"/>
        </w:rPr>
        <w:t xml:space="preserve">industry </w:t>
      </w:r>
      <w:r>
        <w:rPr>
          <w:rFonts w:eastAsia="Arial" w:cs="Arial"/>
        </w:rPr>
        <w:t>bodies</w:t>
      </w:r>
      <w:r w:rsidRPr="23CADED4">
        <w:rPr>
          <w:rFonts w:eastAsia="Arial" w:cs="Arial"/>
        </w:rPr>
        <w:t xml:space="preserve">. These partners expressed strong interest in co-developing </w:t>
      </w:r>
      <w:r>
        <w:rPr>
          <w:rFonts w:eastAsia="Arial" w:cs="Arial"/>
        </w:rPr>
        <w:t xml:space="preserve">future </w:t>
      </w:r>
      <w:r w:rsidRPr="23CADED4">
        <w:rPr>
          <w:rFonts w:eastAsia="Arial" w:cs="Arial"/>
        </w:rPr>
        <w:t xml:space="preserve">learning initiatives aligned with the QBCC Compliance and Enforcement Strategy </w:t>
      </w:r>
      <w:r>
        <w:rPr>
          <w:rFonts w:eastAsia="Arial" w:cs="Arial"/>
        </w:rPr>
        <w:t xml:space="preserve">2024–2026 </w:t>
      </w:r>
      <w:r w:rsidRPr="23CADED4">
        <w:rPr>
          <w:rFonts w:eastAsia="Arial" w:cs="Arial"/>
        </w:rPr>
        <w:t xml:space="preserve">and </w:t>
      </w:r>
      <w:r>
        <w:rPr>
          <w:rFonts w:eastAsia="Arial" w:cs="Arial"/>
        </w:rPr>
        <w:t xml:space="preserve">its top </w:t>
      </w:r>
      <w:r w:rsidR="00DE58E6">
        <w:rPr>
          <w:rFonts w:eastAsia="Arial" w:cs="Arial"/>
        </w:rPr>
        <w:t>10</w:t>
      </w:r>
      <w:r w:rsidRPr="23CADED4">
        <w:rPr>
          <w:rFonts w:eastAsia="Arial" w:cs="Arial"/>
        </w:rPr>
        <w:t xml:space="preserve"> </w:t>
      </w:r>
      <w:r>
        <w:rPr>
          <w:rFonts w:eastAsia="Arial" w:cs="Arial"/>
        </w:rPr>
        <w:t>d</w:t>
      </w:r>
      <w:r w:rsidRPr="23CADED4">
        <w:rPr>
          <w:rFonts w:eastAsia="Arial" w:cs="Arial"/>
        </w:rPr>
        <w:t>efect</w:t>
      </w:r>
      <w:r>
        <w:rPr>
          <w:rFonts w:eastAsia="Arial" w:cs="Arial"/>
        </w:rPr>
        <w:t xml:space="preserve"> priorities. T</w:t>
      </w:r>
      <w:r w:rsidRPr="23CADED4">
        <w:rPr>
          <w:rFonts w:eastAsia="Arial" w:cs="Arial"/>
        </w:rPr>
        <w:t xml:space="preserve">he first topic </w:t>
      </w:r>
      <w:r>
        <w:rPr>
          <w:rFonts w:eastAsia="Arial" w:cs="Arial"/>
        </w:rPr>
        <w:t>under</w:t>
      </w:r>
      <w:r w:rsidRPr="23CADED4">
        <w:rPr>
          <w:rFonts w:eastAsia="Arial" w:cs="Arial"/>
        </w:rPr>
        <w:t xml:space="preserve"> development </w:t>
      </w:r>
      <w:r>
        <w:rPr>
          <w:rFonts w:eastAsia="Arial" w:cs="Arial"/>
        </w:rPr>
        <w:t xml:space="preserve">is focused on </w:t>
      </w:r>
      <w:r w:rsidRPr="23CADED4">
        <w:rPr>
          <w:rFonts w:eastAsia="Arial" w:cs="Arial"/>
        </w:rPr>
        <w:t>waterproofing</w:t>
      </w:r>
      <w:r w:rsidR="00E2757F">
        <w:rPr>
          <w:rFonts w:eastAsia="Arial" w:cs="Arial"/>
        </w:rPr>
        <w:t>,</w:t>
      </w:r>
      <w:r>
        <w:rPr>
          <w:rFonts w:eastAsia="Arial" w:cs="Arial"/>
        </w:rPr>
        <w:t xml:space="preserve"> with</w:t>
      </w:r>
      <w:r w:rsidRPr="23CADED4">
        <w:rPr>
          <w:rFonts w:eastAsia="Arial" w:cs="Arial"/>
        </w:rPr>
        <w:t xml:space="preserve"> </w:t>
      </w:r>
      <w:r>
        <w:rPr>
          <w:rFonts w:eastAsia="Arial" w:cs="Arial"/>
        </w:rPr>
        <w:t>further f</w:t>
      </w:r>
      <w:r w:rsidRPr="23CADED4">
        <w:rPr>
          <w:rFonts w:eastAsia="Arial" w:cs="Arial"/>
        </w:rPr>
        <w:t xml:space="preserve">oundational work </w:t>
      </w:r>
      <w:r>
        <w:rPr>
          <w:rFonts w:eastAsia="Arial" w:cs="Arial"/>
        </w:rPr>
        <w:t xml:space="preserve">progressing to ensure the successful public release of the LMS. </w:t>
      </w:r>
    </w:p>
    <w:p w14:paraId="671ABB5B" w14:textId="6C724748" w:rsidR="00B364D5" w:rsidRPr="00E27662" w:rsidRDefault="00B364D5" w:rsidP="00B364D5">
      <w:pPr>
        <w:pStyle w:val="Heading4"/>
      </w:pPr>
      <w:bookmarkStart w:id="184" w:name="_Communication_campaigns"/>
      <w:bookmarkEnd w:id="184"/>
      <w:r>
        <w:t xml:space="preserve">Communication campaigns  </w:t>
      </w:r>
    </w:p>
    <w:p w14:paraId="188F993A" w14:textId="0611E9FB" w:rsidR="00B364D5" w:rsidRPr="00890896" w:rsidRDefault="00B364D5" w:rsidP="00B364D5">
      <w:pPr>
        <w:spacing w:before="120" w:after="120"/>
        <w:rPr>
          <w:rFonts w:cs="Arial"/>
          <w:i/>
        </w:rPr>
      </w:pPr>
      <w:r w:rsidRPr="005A4C6F">
        <w:t xml:space="preserve">The QBCC delivers </w:t>
      </w:r>
      <w:r>
        <w:t>strategic</w:t>
      </w:r>
      <w:r w:rsidRPr="005A4C6F">
        <w:t xml:space="preserve"> communication </w:t>
      </w:r>
      <w:r>
        <w:t>initiatives</w:t>
      </w:r>
      <w:r w:rsidRPr="005A4C6F">
        <w:t xml:space="preserve"> to </w:t>
      </w:r>
      <w:r>
        <w:t>drive awareness and understanding among</w:t>
      </w:r>
      <w:r w:rsidRPr="005A4C6F">
        <w:t xml:space="preserve"> </w:t>
      </w:r>
      <w:bookmarkStart w:id="185" w:name="_Int_lELg5ggS"/>
      <w:proofErr w:type="gramStart"/>
      <w:r>
        <w:t>home owners</w:t>
      </w:r>
      <w:bookmarkEnd w:id="185"/>
      <w:proofErr w:type="gramEnd"/>
      <w:r>
        <w:t xml:space="preserve">, tradespeople, industry </w:t>
      </w:r>
      <w:r w:rsidRPr="005A4C6F">
        <w:t xml:space="preserve">and the broader community. These </w:t>
      </w:r>
      <w:r>
        <w:t>initiatives</w:t>
      </w:r>
      <w:r w:rsidRPr="005A4C6F">
        <w:t xml:space="preserve"> </w:t>
      </w:r>
      <w:r>
        <w:t>play an important role in improving</w:t>
      </w:r>
      <w:r w:rsidRPr="005A4C6F">
        <w:t xml:space="preserve"> </w:t>
      </w:r>
      <w:r>
        <w:t>knowledge</w:t>
      </w:r>
      <w:r w:rsidRPr="005A4C6F">
        <w:t xml:space="preserve"> of regulatory responsibilities, promot</w:t>
      </w:r>
      <w:r>
        <w:t>ing</w:t>
      </w:r>
      <w:r w:rsidRPr="005A4C6F">
        <w:t xml:space="preserve"> compliance and </w:t>
      </w:r>
      <w:r>
        <w:t>encouraging best</w:t>
      </w:r>
      <w:r w:rsidRPr="005A4C6F">
        <w:t xml:space="preserve"> practices</w:t>
      </w:r>
      <w:r>
        <w:t xml:space="preserve"> across Queensland’s building and construction industry</w:t>
      </w:r>
      <w:r w:rsidRPr="005A4C6F">
        <w:t xml:space="preserve">. </w:t>
      </w:r>
      <w:r>
        <w:t>By leveraging</w:t>
      </w:r>
      <w:r w:rsidRPr="005A4C6F">
        <w:t xml:space="preserve"> a mix of digital, print and </w:t>
      </w:r>
      <w:r>
        <w:t>in-person</w:t>
      </w:r>
      <w:r w:rsidRPr="005A4C6F">
        <w:t xml:space="preserve"> channels, the QBCC ensures its </w:t>
      </w:r>
      <w:r>
        <w:t>communications are</w:t>
      </w:r>
      <w:r w:rsidRPr="005A4C6F">
        <w:t xml:space="preserve"> accessible, timely and </w:t>
      </w:r>
      <w:r>
        <w:t>tailored to a broad range of audiences.</w:t>
      </w:r>
    </w:p>
    <w:p w14:paraId="57F60DC7" w14:textId="057625C2" w:rsidR="00B364D5" w:rsidRPr="0038555F" w:rsidRDefault="00B364D5" w:rsidP="00B364D5">
      <w:pPr>
        <w:spacing w:before="120" w:after="120"/>
        <w:rPr>
          <w:rFonts w:eastAsia="Arial" w:cs="Arial"/>
          <w:color w:val="020A0A" w:themeColor="accent4"/>
        </w:rPr>
      </w:pPr>
      <w:r w:rsidRPr="02A6C7E4">
        <w:rPr>
          <w:rFonts w:eastAsia="Arial" w:cs="Arial"/>
        </w:rPr>
        <w:t xml:space="preserve">In 2024–25, the QBCC delivered a range of targeted communications to licensees on key industry topics. Clear guidance was provided on changes </w:t>
      </w:r>
      <w:r w:rsidR="44768F88" w:rsidRPr="4CF58A31">
        <w:rPr>
          <w:rFonts w:eastAsia="Arial" w:cs="Arial"/>
        </w:rPr>
        <w:t>introduced through</w:t>
      </w:r>
      <w:r w:rsidRPr="02A6C7E4">
        <w:rPr>
          <w:rFonts w:eastAsia="Arial" w:cs="Arial"/>
        </w:rPr>
        <w:t xml:space="preserve"> the </w:t>
      </w:r>
      <w:r w:rsidRPr="00A57D9E">
        <w:rPr>
          <w:rFonts w:eastAsia="Arial" w:cs="Arial"/>
          <w:i/>
        </w:rPr>
        <w:t xml:space="preserve">Building </w:t>
      </w:r>
      <w:r w:rsidR="007C5AC0" w:rsidRPr="00A57D9E">
        <w:rPr>
          <w:rFonts w:eastAsia="Arial" w:cs="Arial"/>
          <w:i/>
          <w:iCs/>
        </w:rPr>
        <w:t>and Other Legislation Amendment Regulation 2025</w:t>
      </w:r>
      <w:r w:rsidR="00AC4C95">
        <w:rPr>
          <w:rFonts w:eastAsia="Arial" w:cs="Arial"/>
        </w:rPr>
        <w:t xml:space="preserve"> </w:t>
      </w:r>
      <w:r w:rsidRPr="02A6C7E4">
        <w:rPr>
          <w:rFonts w:eastAsia="Arial" w:cs="Arial"/>
          <w:color w:val="020A0A" w:themeColor="accent4"/>
        </w:rPr>
        <w:t xml:space="preserve">and </w:t>
      </w:r>
      <w:r>
        <w:rPr>
          <w:rFonts w:eastAsia="Arial" w:cs="Arial"/>
          <w:color w:val="020A0A" w:themeColor="accent4"/>
        </w:rPr>
        <w:t>its</w:t>
      </w:r>
      <w:r w:rsidRPr="02A6C7E4">
        <w:rPr>
          <w:rFonts w:eastAsia="Arial" w:cs="Arial"/>
          <w:color w:val="020A0A" w:themeColor="accent4"/>
        </w:rPr>
        <w:t xml:space="preserve"> implications for </w:t>
      </w:r>
      <w:r>
        <w:rPr>
          <w:rFonts w:eastAsia="Arial" w:cs="Arial"/>
          <w:color w:val="020A0A" w:themeColor="accent4"/>
        </w:rPr>
        <w:t xml:space="preserve">various </w:t>
      </w:r>
      <w:r w:rsidRPr="02A6C7E4">
        <w:rPr>
          <w:rFonts w:eastAsia="Arial" w:cs="Arial"/>
          <w:color w:val="020A0A" w:themeColor="accent4"/>
        </w:rPr>
        <w:t xml:space="preserve">licence classes. Licensees also received updates and resources related to amendments to the </w:t>
      </w:r>
      <w:r w:rsidR="0094171D">
        <w:rPr>
          <w:rFonts w:eastAsia="Arial" w:cs="Arial"/>
          <w:color w:val="020A0A" w:themeColor="accent4"/>
        </w:rPr>
        <w:t>National Construction Code</w:t>
      </w:r>
      <w:r w:rsidRPr="02A6C7E4">
        <w:rPr>
          <w:rFonts w:eastAsia="Arial" w:cs="Arial"/>
          <w:color w:val="020A0A" w:themeColor="accent4"/>
        </w:rPr>
        <w:t xml:space="preserve">, particularly </w:t>
      </w:r>
      <w:r>
        <w:rPr>
          <w:rFonts w:eastAsia="Arial" w:cs="Arial"/>
          <w:color w:val="020A0A" w:themeColor="accent4"/>
        </w:rPr>
        <w:t>the</w:t>
      </w:r>
      <w:r w:rsidRPr="02A6C7E4">
        <w:rPr>
          <w:rFonts w:eastAsia="Arial" w:cs="Arial"/>
          <w:color w:val="020A0A" w:themeColor="accent4"/>
        </w:rPr>
        <w:t xml:space="preserve"> new residential energy efficiency requirements. </w:t>
      </w:r>
      <w:r>
        <w:rPr>
          <w:rFonts w:eastAsia="Arial" w:cs="Arial"/>
          <w:color w:val="020A0A" w:themeColor="accent4"/>
        </w:rPr>
        <w:t>To</w:t>
      </w:r>
      <w:r w:rsidRPr="02A6C7E4">
        <w:rPr>
          <w:rFonts w:eastAsia="Arial" w:cs="Arial"/>
          <w:color w:val="020A0A" w:themeColor="accent4"/>
        </w:rPr>
        <w:t xml:space="preserve"> support a month-long series of statewide on</w:t>
      </w:r>
      <w:r w:rsidR="00FF0416">
        <w:rPr>
          <w:rFonts w:eastAsia="Arial" w:cs="Arial"/>
          <w:color w:val="020A0A" w:themeColor="accent4"/>
        </w:rPr>
        <w:t>-</w:t>
      </w:r>
      <w:r w:rsidRPr="02A6C7E4">
        <w:rPr>
          <w:rFonts w:eastAsia="Arial" w:cs="Arial"/>
          <w:color w:val="020A0A" w:themeColor="accent4"/>
        </w:rPr>
        <w:t>site compliance audits, the QBCC shared practical information to help licensees me</w:t>
      </w:r>
      <w:r>
        <w:rPr>
          <w:rFonts w:eastAsia="Arial" w:cs="Arial"/>
          <w:color w:val="020A0A" w:themeColor="accent4"/>
        </w:rPr>
        <w:t>e</w:t>
      </w:r>
      <w:r w:rsidRPr="02A6C7E4">
        <w:rPr>
          <w:rFonts w:eastAsia="Arial" w:cs="Arial"/>
          <w:color w:val="020A0A" w:themeColor="accent4"/>
        </w:rPr>
        <w:t>t their building site obligations. Timely reminders were</w:t>
      </w:r>
      <w:r>
        <w:rPr>
          <w:rFonts w:eastAsia="Arial" w:cs="Arial"/>
          <w:color w:val="020A0A" w:themeColor="accent4"/>
        </w:rPr>
        <w:t xml:space="preserve"> also</w:t>
      </w:r>
      <w:r w:rsidRPr="02A6C7E4">
        <w:rPr>
          <w:rFonts w:eastAsia="Arial" w:cs="Arial"/>
          <w:color w:val="020A0A" w:themeColor="accent4"/>
        </w:rPr>
        <w:t xml:space="preserve"> issued to support compliance with mandatory financial reporting</w:t>
      </w:r>
      <w:r>
        <w:rPr>
          <w:rFonts w:eastAsia="Arial" w:cs="Arial"/>
          <w:color w:val="020A0A" w:themeColor="accent4"/>
        </w:rPr>
        <w:t>. K</w:t>
      </w:r>
      <w:r w:rsidRPr="02A6C7E4">
        <w:rPr>
          <w:rFonts w:eastAsia="Arial" w:cs="Arial"/>
          <w:color w:val="020A0A" w:themeColor="accent4"/>
        </w:rPr>
        <w:t>ey priorities outlined in the QBCC Compliance and Enforcement Strategy 2024–</w:t>
      </w:r>
      <w:r>
        <w:rPr>
          <w:rFonts w:eastAsia="Arial" w:cs="Arial"/>
          <w:color w:val="020A0A" w:themeColor="accent4"/>
        </w:rPr>
        <w:t>20</w:t>
      </w:r>
      <w:r w:rsidRPr="02A6C7E4">
        <w:rPr>
          <w:rFonts w:eastAsia="Arial" w:cs="Arial"/>
          <w:color w:val="020A0A" w:themeColor="accent4"/>
        </w:rPr>
        <w:t>26</w:t>
      </w:r>
      <w:r>
        <w:rPr>
          <w:rFonts w:eastAsia="Arial" w:cs="Arial"/>
          <w:color w:val="020A0A" w:themeColor="accent4"/>
        </w:rPr>
        <w:t xml:space="preserve"> were also communicated to industry stakeholders</w:t>
      </w:r>
      <w:r w:rsidRPr="02A6C7E4">
        <w:rPr>
          <w:rFonts w:eastAsia="Arial" w:cs="Arial"/>
          <w:color w:val="020A0A" w:themeColor="accent4"/>
        </w:rPr>
        <w:t>.</w:t>
      </w:r>
    </w:p>
    <w:p w14:paraId="157B5E9E" w14:textId="11988E14" w:rsidR="00B364D5" w:rsidRPr="00652E9D" w:rsidRDefault="00B364D5" w:rsidP="00B364D5">
      <w:pPr>
        <w:spacing w:before="120" w:after="120"/>
        <w:rPr>
          <w:rFonts w:eastAsia="Arial" w:cs="Arial"/>
          <w:color w:val="020A0A" w:themeColor="accent4"/>
        </w:rPr>
      </w:pPr>
      <w:r w:rsidRPr="02A6C7E4">
        <w:rPr>
          <w:rFonts w:eastAsia="Arial" w:cs="Arial"/>
          <w:color w:val="020A0A" w:themeColor="accent4"/>
        </w:rPr>
        <w:t xml:space="preserve">To </w:t>
      </w:r>
      <w:r>
        <w:rPr>
          <w:rFonts w:eastAsia="Arial" w:cs="Arial"/>
          <w:color w:val="020A0A" w:themeColor="accent4"/>
        </w:rPr>
        <w:t>assist</w:t>
      </w:r>
      <w:r w:rsidRPr="02A6C7E4">
        <w:rPr>
          <w:rFonts w:eastAsia="Arial" w:cs="Arial"/>
          <w:color w:val="020A0A" w:themeColor="accent4"/>
        </w:rPr>
        <w:t xml:space="preserve"> </w:t>
      </w:r>
      <w:bookmarkStart w:id="186" w:name="_Int_bsTaEJ8Q"/>
      <w:proofErr w:type="gramStart"/>
      <w:r w:rsidRPr="02A6C7E4">
        <w:rPr>
          <w:rFonts w:eastAsia="Arial" w:cs="Arial"/>
          <w:color w:val="020A0A" w:themeColor="accent4"/>
        </w:rPr>
        <w:t>home owners</w:t>
      </w:r>
      <w:bookmarkEnd w:id="186"/>
      <w:proofErr w:type="gramEnd"/>
      <w:r w:rsidRPr="02A6C7E4">
        <w:rPr>
          <w:rFonts w:eastAsia="Arial" w:cs="Arial"/>
          <w:color w:val="020A0A" w:themeColor="accent4"/>
        </w:rPr>
        <w:t>, the QBCC</w:t>
      </w:r>
      <w:r>
        <w:rPr>
          <w:rFonts w:eastAsia="Arial" w:cs="Arial"/>
          <w:color w:val="020A0A" w:themeColor="accent4"/>
        </w:rPr>
        <w:t xml:space="preserve"> </w:t>
      </w:r>
      <w:r w:rsidRPr="02A6C7E4">
        <w:rPr>
          <w:rFonts w:eastAsia="Arial" w:cs="Arial"/>
          <w:color w:val="020A0A" w:themeColor="accent4"/>
        </w:rPr>
        <w:t xml:space="preserve">released </w:t>
      </w:r>
      <w:r>
        <w:rPr>
          <w:rFonts w:eastAsia="Arial" w:cs="Arial"/>
          <w:color w:val="020A0A" w:themeColor="accent4"/>
        </w:rPr>
        <w:t xml:space="preserve">new </w:t>
      </w:r>
      <w:r w:rsidRPr="02A6C7E4">
        <w:rPr>
          <w:rFonts w:eastAsia="Arial" w:cs="Arial"/>
          <w:color w:val="020A0A" w:themeColor="accent4"/>
        </w:rPr>
        <w:t xml:space="preserve">resources </w:t>
      </w:r>
      <w:r>
        <w:rPr>
          <w:rFonts w:eastAsia="Arial" w:cs="Arial"/>
          <w:color w:val="020A0A" w:themeColor="accent4"/>
        </w:rPr>
        <w:t>describing</w:t>
      </w:r>
      <w:r w:rsidRPr="02A6C7E4">
        <w:rPr>
          <w:rFonts w:eastAsia="Arial" w:cs="Arial"/>
          <w:color w:val="020A0A" w:themeColor="accent4"/>
        </w:rPr>
        <w:t xml:space="preserve"> the </w:t>
      </w:r>
      <w:r w:rsidR="00C711D6">
        <w:rPr>
          <w:rFonts w:eastAsia="Arial" w:cs="Arial"/>
          <w:color w:val="020A0A" w:themeColor="accent4"/>
        </w:rPr>
        <w:t>o</w:t>
      </w:r>
      <w:r>
        <w:rPr>
          <w:rFonts w:eastAsia="Arial" w:cs="Arial"/>
          <w:color w:val="020A0A" w:themeColor="accent4"/>
        </w:rPr>
        <w:t xml:space="preserve">wner </w:t>
      </w:r>
      <w:r w:rsidR="00C711D6">
        <w:rPr>
          <w:rFonts w:eastAsia="Arial" w:cs="Arial"/>
          <w:color w:val="020A0A" w:themeColor="accent4"/>
        </w:rPr>
        <w:t>b</w:t>
      </w:r>
      <w:r>
        <w:rPr>
          <w:rFonts w:eastAsia="Arial" w:cs="Arial"/>
          <w:color w:val="020A0A" w:themeColor="accent4"/>
        </w:rPr>
        <w:t xml:space="preserve">uilder </w:t>
      </w:r>
      <w:r w:rsidR="00C711D6">
        <w:rPr>
          <w:rFonts w:eastAsia="Arial" w:cs="Arial"/>
          <w:color w:val="020A0A" w:themeColor="accent4"/>
        </w:rPr>
        <w:t>p</w:t>
      </w:r>
      <w:r>
        <w:rPr>
          <w:rFonts w:eastAsia="Arial" w:cs="Arial"/>
          <w:color w:val="020A0A" w:themeColor="accent4"/>
        </w:rPr>
        <w:t>ermit</w:t>
      </w:r>
      <w:r w:rsidRPr="02A6C7E4">
        <w:rPr>
          <w:rFonts w:eastAsia="Arial" w:cs="Arial"/>
          <w:color w:val="020A0A" w:themeColor="accent4"/>
        </w:rPr>
        <w:t xml:space="preserve"> process, including eligibility criteria and the types of work permit</w:t>
      </w:r>
      <w:r>
        <w:rPr>
          <w:rFonts w:eastAsia="Arial" w:cs="Arial"/>
          <w:color w:val="020A0A" w:themeColor="accent4"/>
        </w:rPr>
        <w:t>ted</w:t>
      </w:r>
      <w:r w:rsidRPr="02A6C7E4">
        <w:rPr>
          <w:rFonts w:eastAsia="Arial" w:cs="Arial"/>
          <w:color w:val="020A0A" w:themeColor="accent4"/>
        </w:rPr>
        <w:t xml:space="preserve">. </w:t>
      </w:r>
      <w:r>
        <w:rPr>
          <w:rFonts w:eastAsia="Arial" w:cs="Arial"/>
          <w:color w:val="020A0A" w:themeColor="accent4"/>
        </w:rPr>
        <w:t>A</w:t>
      </w:r>
      <w:r w:rsidRPr="02A6C7E4">
        <w:rPr>
          <w:rFonts w:eastAsia="Arial" w:cs="Arial"/>
          <w:color w:val="020A0A" w:themeColor="accent4"/>
        </w:rPr>
        <w:t xml:space="preserve"> new </w:t>
      </w:r>
      <w:bookmarkStart w:id="187" w:name="_Int_2CLzhSAr"/>
      <w:proofErr w:type="gramStart"/>
      <w:r w:rsidRPr="02A6C7E4">
        <w:rPr>
          <w:rFonts w:eastAsia="Arial" w:cs="Arial"/>
          <w:color w:val="020A0A" w:themeColor="accent4"/>
        </w:rPr>
        <w:t>Home Owner</w:t>
      </w:r>
      <w:bookmarkEnd w:id="187"/>
      <w:proofErr w:type="gramEnd"/>
      <w:r w:rsidRPr="02A6C7E4">
        <w:rPr>
          <w:rFonts w:eastAsia="Arial" w:cs="Arial"/>
          <w:color w:val="020A0A" w:themeColor="accent4"/>
        </w:rPr>
        <w:t xml:space="preserve"> Hub was </w:t>
      </w:r>
      <w:r>
        <w:rPr>
          <w:rFonts w:eastAsia="Arial" w:cs="Arial"/>
          <w:color w:val="020A0A" w:themeColor="accent4"/>
        </w:rPr>
        <w:t xml:space="preserve">also </w:t>
      </w:r>
      <w:r w:rsidRPr="02A6C7E4">
        <w:rPr>
          <w:rFonts w:eastAsia="Arial" w:cs="Arial"/>
          <w:color w:val="020A0A" w:themeColor="accent4"/>
        </w:rPr>
        <w:t xml:space="preserve">launched on the QBCC website, </w:t>
      </w:r>
      <w:r>
        <w:rPr>
          <w:rFonts w:eastAsia="Arial" w:cs="Arial"/>
          <w:color w:val="020A0A" w:themeColor="accent4"/>
        </w:rPr>
        <w:t xml:space="preserve">guiding </w:t>
      </w:r>
      <w:bookmarkStart w:id="188" w:name="_Int_4XE0b4LC"/>
      <w:proofErr w:type="gramStart"/>
      <w:r>
        <w:rPr>
          <w:rFonts w:eastAsia="Arial" w:cs="Arial"/>
          <w:color w:val="020A0A" w:themeColor="accent4"/>
        </w:rPr>
        <w:t>home owners</w:t>
      </w:r>
      <w:bookmarkEnd w:id="188"/>
      <w:proofErr w:type="gramEnd"/>
      <w:r>
        <w:rPr>
          <w:rFonts w:eastAsia="Arial" w:cs="Arial"/>
          <w:color w:val="020A0A" w:themeColor="accent4"/>
        </w:rPr>
        <w:t xml:space="preserve"> through the five key stages of the building and renovation process. T</w:t>
      </w:r>
      <w:r w:rsidRPr="02A6C7E4">
        <w:rPr>
          <w:rFonts w:eastAsia="Arial" w:cs="Arial"/>
          <w:color w:val="020A0A" w:themeColor="accent4"/>
        </w:rPr>
        <w:t xml:space="preserve">he QBCC </w:t>
      </w:r>
      <w:r>
        <w:rPr>
          <w:rFonts w:eastAsia="Arial" w:cs="Arial"/>
          <w:color w:val="020A0A" w:themeColor="accent4"/>
        </w:rPr>
        <w:t>further extended its</w:t>
      </w:r>
      <w:r w:rsidRPr="02A6C7E4">
        <w:rPr>
          <w:rFonts w:eastAsia="Arial" w:cs="Arial"/>
          <w:color w:val="020A0A" w:themeColor="accent4"/>
        </w:rPr>
        <w:t xml:space="preserve"> community engagement</w:t>
      </w:r>
      <w:r>
        <w:rPr>
          <w:rFonts w:eastAsia="Arial" w:cs="Arial"/>
          <w:color w:val="020A0A" w:themeColor="accent4"/>
        </w:rPr>
        <w:t xml:space="preserve"> efforts by issuing j</w:t>
      </w:r>
      <w:r w:rsidRPr="02A6C7E4">
        <w:rPr>
          <w:rFonts w:eastAsia="Arial" w:cs="Arial"/>
          <w:color w:val="020A0A" w:themeColor="accent4"/>
        </w:rPr>
        <w:t>oint messag</w:t>
      </w:r>
      <w:r>
        <w:rPr>
          <w:rFonts w:eastAsia="Arial" w:cs="Arial"/>
          <w:color w:val="020A0A" w:themeColor="accent4"/>
        </w:rPr>
        <w:t>es</w:t>
      </w:r>
      <w:r w:rsidRPr="02A6C7E4">
        <w:rPr>
          <w:rFonts w:eastAsia="Arial" w:cs="Arial"/>
          <w:color w:val="020A0A" w:themeColor="accent4"/>
        </w:rPr>
        <w:t xml:space="preserve"> </w:t>
      </w:r>
      <w:r>
        <w:rPr>
          <w:rFonts w:eastAsia="Arial" w:cs="Arial"/>
          <w:color w:val="020A0A" w:themeColor="accent4"/>
        </w:rPr>
        <w:t xml:space="preserve">to </w:t>
      </w:r>
      <w:bookmarkStart w:id="189" w:name="_Int_YabJ3Jjl"/>
      <w:proofErr w:type="gramStart"/>
      <w:r w:rsidRPr="02A6C7E4">
        <w:rPr>
          <w:rFonts w:eastAsia="Arial" w:cs="Arial"/>
          <w:color w:val="020A0A" w:themeColor="accent4"/>
        </w:rPr>
        <w:t>home owners</w:t>
      </w:r>
      <w:bookmarkEnd w:id="189"/>
      <w:proofErr w:type="gramEnd"/>
      <w:r w:rsidRPr="02A6C7E4">
        <w:rPr>
          <w:rFonts w:eastAsia="Arial" w:cs="Arial"/>
          <w:color w:val="020A0A" w:themeColor="accent4"/>
        </w:rPr>
        <w:t xml:space="preserve"> and licensees </w:t>
      </w:r>
      <w:r>
        <w:rPr>
          <w:rFonts w:eastAsia="Arial" w:cs="Arial"/>
          <w:color w:val="020A0A" w:themeColor="accent4"/>
        </w:rPr>
        <w:t xml:space="preserve">regarding </w:t>
      </w:r>
      <w:r w:rsidRPr="02A6C7E4">
        <w:rPr>
          <w:rFonts w:eastAsia="Arial" w:cs="Arial"/>
          <w:color w:val="020A0A" w:themeColor="accent4"/>
        </w:rPr>
        <w:t xml:space="preserve">responsibilities and recovery steps following natural disasters. </w:t>
      </w:r>
      <w:r>
        <w:rPr>
          <w:rFonts w:eastAsia="Arial" w:cs="Arial"/>
          <w:color w:val="020A0A" w:themeColor="accent4"/>
        </w:rPr>
        <w:t>C</w:t>
      </w:r>
      <w:r w:rsidRPr="00C773A2">
        <w:rPr>
          <w:rFonts w:eastAsia="Arial" w:cs="Arial"/>
          <w:color w:val="020A0A" w:themeColor="accent4"/>
        </w:rPr>
        <w:t xml:space="preserve">larification was </w:t>
      </w:r>
      <w:r>
        <w:rPr>
          <w:rFonts w:eastAsia="Arial" w:cs="Arial"/>
          <w:color w:val="020A0A" w:themeColor="accent4"/>
        </w:rPr>
        <w:t xml:space="preserve">also </w:t>
      </w:r>
      <w:r w:rsidRPr="00C773A2">
        <w:rPr>
          <w:rFonts w:eastAsia="Arial" w:cs="Arial"/>
          <w:color w:val="020A0A" w:themeColor="accent4"/>
        </w:rPr>
        <w:t xml:space="preserve">provided to customers </w:t>
      </w:r>
      <w:r>
        <w:rPr>
          <w:rFonts w:eastAsia="Arial" w:cs="Arial"/>
          <w:color w:val="020A0A" w:themeColor="accent4"/>
        </w:rPr>
        <w:t>regarding</w:t>
      </w:r>
      <w:r w:rsidRPr="00C773A2">
        <w:rPr>
          <w:rFonts w:eastAsia="Arial" w:cs="Arial"/>
          <w:color w:val="020A0A" w:themeColor="accent4"/>
        </w:rPr>
        <w:t xml:space="preserve"> eligibility under the </w:t>
      </w:r>
      <w:r>
        <w:rPr>
          <w:rFonts w:eastAsia="Arial" w:cs="Arial"/>
          <w:color w:val="020A0A" w:themeColor="accent4"/>
        </w:rPr>
        <w:t>QHWS</w:t>
      </w:r>
      <w:r w:rsidRPr="00C773A2">
        <w:rPr>
          <w:rFonts w:eastAsia="Arial" w:cs="Arial"/>
          <w:color w:val="020A0A" w:themeColor="accent4"/>
        </w:rPr>
        <w:t xml:space="preserve">, including </w:t>
      </w:r>
      <w:r>
        <w:rPr>
          <w:rFonts w:eastAsia="Arial" w:cs="Arial"/>
          <w:color w:val="020A0A" w:themeColor="accent4"/>
        </w:rPr>
        <w:t xml:space="preserve">confirmation </w:t>
      </w:r>
      <w:r w:rsidRPr="00C773A2">
        <w:rPr>
          <w:rFonts w:eastAsia="Arial" w:cs="Arial"/>
          <w:color w:val="020A0A" w:themeColor="accent4"/>
        </w:rPr>
        <w:t xml:space="preserve">that coverage </w:t>
      </w:r>
      <w:r>
        <w:rPr>
          <w:rFonts w:eastAsia="Arial" w:cs="Arial"/>
          <w:color w:val="020A0A" w:themeColor="accent4"/>
        </w:rPr>
        <w:t xml:space="preserve">excludes </w:t>
      </w:r>
      <w:r w:rsidRPr="00C773A2">
        <w:rPr>
          <w:rFonts w:eastAsia="Arial" w:cs="Arial"/>
          <w:color w:val="020A0A" w:themeColor="accent4"/>
        </w:rPr>
        <w:t>multi-dwelling buildings over three storeys.</w:t>
      </w:r>
    </w:p>
    <w:p w14:paraId="38E98647" w14:textId="0268CCA9" w:rsidR="00B364D5" w:rsidRDefault="00B364D5" w:rsidP="00B364D5">
      <w:pPr>
        <w:pStyle w:val="Heading4"/>
      </w:pPr>
      <w:bookmarkStart w:id="190" w:name="_Stakeholder_engagement"/>
      <w:bookmarkEnd w:id="190"/>
      <w:r>
        <w:t>Disaster response</w:t>
      </w:r>
    </w:p>
    <w:p w14:paraId="71D11214" w14:textId="1AE32373" w:rsidR="00B364D5" w:rsidRPr="00A268EA" w:rsidRDefault="00B364D5" w:rsidP="00B364D5">
      <w:pPr>
        <w:spacing w:before="120" w:after="120"/>
        <w:rPr>
          <w:rFonts w:cs="Arial"/>
        </w:rPr>
      </w:pPr>
      <w:r w:rsidRPr="001B5016">
        <w:rPr>
          <w:rFonts w:eastAsia="Arial" w:cs="Arial"/>
          <w:color w:val="020A0A" w:themeColor="accent4"/>
        </w:rPr>
        <w:t xml:space="preserve">In response to </w:t>
      </w:r>
      <w:r w:rsidR="002F6D10">
        <w:rPr>
          <w:rFonts w:eastAsia="Arial" w:cs="Arial"/>
          <w:color w:val="020A0A" w:themeColor="accent4"/>
        </w:rPr>
        <w:t>multiple</w:t>
      </w:r>
      <w:r w:rsidR="002F6D10" w:rsidRPr="001B5016">
        <w:rPr>
          <w:rFonts w:eastAsia="Arial" w:cs="Arial"/>
          <w:color w:val="020A0A" w:themeColor="accent4"/>
        </w:rPr>
        <w:t xml:space="preserve"> </w:t>
      </w:r>
      <w:r w:rsidRPr="001B5016">
        <w:rPr>
          <w:rFonts w:eastAsia="Arial" w:cs="Arial"/>
          <w:color w:val="020A0A" w:themeColor="accent4"/>
        </w:rPr>
        <w:t xml:space="preserve">natural disasters during </w:t>
      </w:r>
      <w:r w:rsidR="00D578CB" w:rsidRPr="00D578CB">
        <w:rPr>
          <w:rFonts w:eastAsia="Arial" w:cs="Arial"/>
          <w:color w:val="020A0A" w:themeColor="accent4"/>
        </w:rPr>
        <w:t>2024–25</w:t>
      </w:r>
      <w:r w:rsidRPr="001B5016">
        <w:rPr>
          <w:rFonts w:eastAsia="Arial" w:cs="Arial"/>
          <w:color w:val="020A0A" w:themeColor="accent4"/>
        </w:rPr>
        <w:t xml:space="preserve">, the QBCC </w:t>
      </w:r>
      <w:r w:rsidR="006B30C2">
        <w:rPr>
          <w:rFonts w:eastAsia="Arial" w:cs="Arial"/>
          <w:color w:val="020A0A" w:themeColor="accent4"/>
        </w:rPr>
        <w:t xml:space="preserve">significantly </w:t>
      </w:r>
      <w:r w:rsidRPr="001B5016">
        <w:rPr>
          <w:rFonts w:eastAsia="Arial" w:cs="Arial"/>
          <w:color w:val="020A0A" w:themeColor="accent4"/>
        </w:rPr>
        <w:t>increased its</w:t>
      </w:r>
      <w:r w:rsidR="006B30C2">
        <w:rPr>
          <w:rFonts w:eastAsia="Arial" w:cs="Arial"/>
          <w:color w:val="020A0A" w:themeColor="accent4"/>
        </w:rPr>
        <w:t xml:space="preserve"> presence </w:t>
      </w:r>
      <w:r w:rsidR="00250E97">
        <w:rPr>
          <w:rFonts w:eastAsia="Arial" w:cs="Arial"/>
          <w:color w:val="020A0A" w:themeColor="accent4"/>
        </w:rPr>
        <w:t xml:space="preserve">and support </w:t>
      </w:r>
      <w:r w:rsidRPr="001B5016">
        <w:rPr>
          <w:rFonts w:eastAsia="Arial" w:cs="Arial"/>
          <w:color w:val="020A0A" w:themeColor="accent4"/>
        </w:rPr>
        <w:t xml:space="preserve">across affected regions, with some </w:t>
      </w:r>
      <w:r w:rsidR="00250E97">
        <w:rPr>
          <w:rFonts w:eastAsia="Arial" w:cs="Arial"/>
          <w:color w:val="020A0A" w:themeColor="accent4"/>
        </w:rPr>
        <w:t xml:space="preserve">regional </w:t>
      </w:r>
      <w:r w:rsidRPr="001B5016">
        <w:rPr>
          <w:rFonts w:eastAsia="Arial" w:cs="Arial"/>
          <w:color w:val="020A0A" w:themeColor="accent4"/>
        </w:rPr>
        <w:t xml:space="preserve">offices </w:t>
      </w:r>
      <w:r w:rsidR="00250E97">
        <w:rPr>
          <w:rFonts w:eastAsia="Arial" w:cs="Arial"/>
          <w:color w:val="020A0A" w:themeColor="accent4"/>
        </w:rPr>
        <w:t xml:space="preserve">recording </w:t>
      </w:r>
      <w:r w:rsidRPr="001B5016">
        <w:rPr>
          <w:rFonts w:eastAsia="Arial" w:cs="Arial"/>
          <w:color w:val="020A0A" w:themeColor="accent4"/>
        </w:rPr>
        <w:t>a 20</w:t>
      </w:r>
      <w:r>
        <w:rPr>
          <w:rFonts w:eastAsia="Arial" w:cs="Arial"/>
          <w:color w:val="020A0A" w:themeColor="accent4"/>
        </w:rPr>
        <w:t xml:space="preserve"> per cent</w:t>
      </w:r>
      <w:r w:rsidRPr="001B5016">
        <w:rPr>
          <w:rFonts w:eastAsia="Arial" w:cs="Arial"/>
          <w:color w:val="020A0A" w:themeColor="accent4"/>
        </w:rPr>
        <w:t xml:space="preserve"> rise in enquiries</w:t>
      </w:r>
      <w:r w:rsidR="00066431">
        <w:rPr>
          <w:rFonts w:eastAsia="Arial" w:cs="Arial"/>
          <w:color w:val="020A0A" w:themeColor="accent4"/>
        </w:rPr>
        <w:t xml:space="preserve"> compared to the previous months</w:t>
      </w:r>
      <w:r w:rsidRPr="001B5016">
        <w:rPr>
          <w:rFonts w:eastAsia="Arial" w:cs="Arial"/>
          <w:color w:val="020A0A" w:themeColor="accent4"/>
        </w:rPr>
        <w:t>. Targeted</w:t>
      </w:r>
      <w:r w:rsidR="00250E97">
        <w:rPr>
          <w:rFonts w:eastAsia="Arial" w:cs="Arial"/>
          <w:color w:val="020A0A" w:themeColor="accent4"/>
        </w:rPr>
        <w:t xml:space="preserve"> assistance </w:t>
      </w:r>
      <w:r w:rsidRPr="001B5016">
        <w:rPr>
          <w:rFonts w:eastAsia="Arial" w:cs="Arial"/>
          <w:color w:val="020A0A" w:themeColor="accent4"/>
        </w:rPr>
        <w:t>included presentations on licensing and permits, a recovery factsheet</w:t>
      </w:r>
      <w:r w:rsidR="000F4277">
        <w:rPr>
          <w:rFonts w:eastAsia="Arial" w:cs="Arial"/>
          <w:color w:val="020A0A" w:themeColor="accent4"/>
        </w:rPr>
        <w:t xml:space="preserve"> </w:t>
      </w:r>
      <w:r w:rsidR="003907DE">
        <w:rPr>
          <w:rFonts w:eastAsia="Arial" w:cs="Arial"/>
          <w:color w:val="020A0A" w:themeColor="accent4"/>
        </w:rPr>
        <w:t xml:space="preserve">with </w:t>
      </w:r>
      <w:r w:rsidR="00265801">
        <w:rPr>
          <w:rFonts w:eastAsia="Arial" w:cs="Arial"/>
          <w:color w:val="020A0A" w:themeColor="accent4"/>
        </w:rPr>
        <w:t>QR code</w:t>
      </w:r>
      <w:r w:rsidRPr="001B5016">
        <w:rPr>
          <w:rFonts w:eastAsia="Arial" w:cs="Arial"/>
          <w:color w:val="020A0A" w:themeColor="accent4"/>
        </w:rPr>
        <w:t xml:space="preserve"> distributed through recovery hubs and industry partners, </w:t>
      </w:r>
      <w:r w:rsidR="00783013">
        <w:rPr>
          <w:rFonts w:eastAsia="Arial" w:cs="Arial"/>
          <w:color w:val="020A0A" w:themeColor="accent4"/>
        </w:rPr>
        <w:t>and</w:t>
      </w:r>
      <w:r w:rsidRPr="001B5016">
        <w:rPr>
          <w:rFonts w:eastAsia="Arial" w:cs="Arial"/>
          <w:color w:val="020A0A" w:themeColor="accent4"/>
        </w:rPr>
        <w:t xml:space="preserve"> a dedicated flood recovery webpage</w:t>
      </w:r>
      <w:r w:rsidR="00783013">
        <w:rPr>
          <w:rFonts w:eastAsia="Arial" w:cs="Arial"/>
          <w:color w:val="020A0A" w:themeColor="accent4"/>
        </w:rPr>
        <w:t>. I</w:t>
      </w:r>
      <w:r>
        <w:rPr>
          <w:rFonts w:eastAsia="Arial" w:cs="Arial"/>
          <w:color w:val="020A0A" w:themeColor="accent4"/>
        </w:rPr>
        <w:t xml:space="preserve">nformation </w:t>
      </w:r>
      <w:r w:rsidR="00783013">
        <w:rPr>
          <w:rFonts w:eastAsia="Arial" w:cs="Arial"/>
          <w:color w:val="020A0A" w:themeColor="accent4"/>
        </w:rPr>
        <w:t xml:space="preserve">was also provided </w:t>
      </w:r>
      <w:r>
        <w:rPr>
          <w:rFonts w:eastAsia="Arial" w:cs="Arial"/>
          <w:color w:val="020A0A" w:themeColor="accent4"/>
        </w:rPr>
        <w:t>on</w:t>
      </w:r>
      <w:r w:rsidR="00ED2490">
        <w:rPr>
          <w:rFonts w:eastAsia="Arial" w:cs="Arial"/>
          <w:color w:val="020A0A" w:themeColor="accent4"/>
        </w:rPr>
        <w:t xml:space="preserve"> </w:t>
      </w:r>
      <w:r w:rsidRPr="001B5016">
        <w:rPr>
          <w:rFonts w:eastAsia="Arial" w:cs="Arial"/>
          <w:color w:val="020A0A" w:themeColor="accent4"/>
        </w:rPr>
        <w:t>QHWS eligibility and the importance of engaging licensed trades</w:t>
      </w:r>
      <w:r>
        <w:rPr>
          <w:rFonts w:eastAsia="Arial" w:cs="Arial"/>
          <w:color w:val="020A0A" w:themeColor="accent4"/>
        </w:rPr>
        <w:t xml:space="preserve">. </w:t>
      </w:r>
    </w:p>
    <w:p w14:paraId="233BB092" w14:textId="63307C83" w:rsidR="00B364D5" w:rsidRPr="008030F4" w:rsidRDefault="00ED3628" w:rsidP="00B364D5">
      <w:pPr>
        <w:spacing w:before="120" w:after="120"/>
        <w:rPr>
          <w:rFonts w:cs="Arial"/>
        </w:rPr>
      </w:pPr>
      <w:r>
        <w:rPr>
          <w:rFonts w:cs="Arial"/>
        </w:rPr>
        <w:t>Following events</w:t>
      </w:r>
      <w:r w:rsidR="00B364D5">
        <w:rPr>
          <w:rFonts w:cs="Arial"/>
        </w:rPr>
        <w:t xml:space="preserve"> such as </w:t>
      </w:r>
      <w:r w:rsidR="00B364D5">
        <w:rPr>
          <w:rFonts w:eastAsia="Arial" w:cs="Arial"/>
          <w:color w:val="020A0A" w:themeColor="accent4"/>
        </w:rPr>
        <w:t>ex</w:t>
      </w:r>
      <w:r>
        <w:rPr>
          <w:rFonts w:eastAsia="Arial" w:cs="Arial"/>
          <w:color w:val="020A0A" w:themeColor="accent4"/>
        </w:rPr>
        <w:t>-</w:t>
      </w:r>
      <w:r w:rsidR="00B364D5">
        <w:rPr>
          <w:rFonts w:eastAsia="Arial" w:cs="Arial"/>
          <w:color w:val="020A0A" w:themeColor="accent4"/>
        </w:rPr>
        <w:t>T</w:t>
      </w:r>
      <w:r>
        <w:rPr>
          <w:rFonts w:eastAsia="Arial" w:cs="Arial"/>
          <w:color w:val="020A0A" w:themeColor="accent4"/>
        </w:rPr>
        <w:t xml:space="preserve">ropical </w:t>
      </w:r>
      <w:r w:rsidR="00B364D5">
        <w:rPr>
          <w:rFonts w:eastAsia="Arial" w:cs="Arial"/>
          <w:color w:val="020A0A" w:themeColor="accent4"/>
        </w:rPr>
        <w:t>C</w:t>
      </w:r>
      <w:r>
        <w:rPr>
          <w:rFonts w:eastAsia="Arial" w:cs="Arial"/>
          <w:color w:val="020A0A" w:themeColor="accent4"/>
        </w:rPr>
        <w:t>yclone</w:t>
      </w:r>
      <w:r w:rsidR="00B364D5">
        <w:rPr>
          <w:rFonts w:eastAsia="Arial" w:cs="Arial"/>
          <w:color w:val="020A0A" w:themeColor="accent4"/>
        </w:rPr>
        <w:t xml:space="preserve"> Alfred and the Far North Queensland </w:t>
      </w:r>
      <w:r w:rsidR="007A398D">
        <w:rPr>
          <w:rFonts w:eastAsia="Arial" w:cs="Arial"/>
          <w:color w:val="020A0A" w:themeColor="accent4"/>
        </w:rPr>
        <w:t>declared</w:t>
      </w:r>
      <w:r w:rsidR="00B364D5">
        <w:rPr>
          <w:rFonts w:eastAsia="Arial" w:cs="Arial"/>
          <w:color w:val="020A0A" w:themeColor="accent4"/>
        </w:rPr>
        <w:t xml:space="preserve"> flood disaster</w:t>
      </w:r>
      <w:r w:rsidR="00B364D5">
        <w:rPr>
          <w:rFonts w:cs="Arial"/>
        </w:rPr>
        <w:t xml:space="preserve">, </w:t>
      </w:r>
      <w:r w:rsidR="000D7FAC">
        <w:rPr>
          <w:rFonts w:cs="Arial"/>
        </w:rPr>
        <w:t>regional</w:t>
      </w:r>
      <w:r w:rsidR="009879FA">
        <w:rPr>
          <w:rFonts w:cs="Arial"/>
        </w:rPr>
        <w:t xml:space="preserve"> </w:t>
      </w:r>
      <w:r w:rsidR="00B364D5">
        <w:rPr>
          <w:rFonts w:cs="Arial"/>
        </w:rPr>
        <w:t xml:space="preserve">staff </w:t>
      </w:r>
      <w:r w:rsidR="005F5ED9">
        <w:rPr>
          <w:rFonts w:cs="Arial"/>
        </w:rPr>
        <w:t xml:space="preserve">from the QBCC </w:t>
      </w:r>
      <w:r w:rsidR="009879FA">
        <w:rPr>
          <w:rFonts w:cs="Arial"/>
        </w:rPr>
        <w:t xml:space="preserve">were deployed to </w:t>
      </w:r>
      <w:r w:rsidR="00B364D5" w:rsidRPr="00A268EA">
        <w:rPr>
          <w:rFonts w:cs="Arial"/>
        </w:rPr>
        <w:t xml:space="preserve">recovery centres in </w:t>
      </w:r>
      <w:r w:rsidR="00B364D5">
        <w:rPr>
          <w:rFonts w:cs="Arial"/>
        </w:rPr>
        <w:t xml:space="preserve">Hervey Bay, the Gold Coast, </w:t>
      </w:r>
      <w:r w:rsidR="00B364D5" w:rsidRPr="00A268EA">
        <w:rPr>
          <w:rFonts w:cs="Arial"/>
        </w:rPr>
        <w:t>Ingham, Tully</w:t>
      </w:r>
      <w:r w:rsidR="009879FA">
        <w:rPr>
          <w:rFonts w:cs="Arial"/>
        </w:rPr>
        <w:t xml:space="preserve"> </w:t>
      </w:r>
      <w:r w:rsidR="00B364D5" w:rsidRPr="00A268EA">
        <w:rPr>
          <w:rFonts w:cs="Arial"/>
        </w:rPr>
        <w:t xml:space="preserve">and Cardwell. </w:t>
      </w:r>
      <w:r w:rsidR="00244BBF">
        <w:rPr>
          <w:rFonts w:cs="Arial"/>
        </w:rPr>
        <w:t>T</w:t>
      </w:r>
      <w:r w:rsidR="00F8240D">
        <w:rPr>
          <w:rFonts w:cs="Arial"/>
        </w:rPr>
        <w:t xml:space="preserve">he </w:t>
      </w:r>
      <w:r w:rsidR="00B364D5">
        <w:rPr>
          <w:rFonts w:cs="Arial"/>
        </w:rPr>
        <w:t xml:space="preserve">QBCC regional offices in </w:t>
      </w:r>
      <w:r w:rsidR="00F8240D">
        <w:rPr>
          <w:rFonts w:cs="Arial"/>
        </w:rPr>
        <w:t xml:space="preserve">affected </w:t>
      </w:r>
      <w:r w:rsidR="00B364D5">
        <w:rPr>
          <w:rFonts w:cs="Arial"/>
        </w:rPr>
        <w:t xml:space="preserve">areas saw </w:t>
      </w:r>
      <w:r w:rsidR="00F8240D">
        <w:rPr>
          <w:rFonts w:cs="Arial"/>
        </w:rPr>
        <w:t xml:space="preserve">continued high demand, with </w:t>
      </w:r>
      <w:r w:rsidR="00F8240D">
        <w:rPr>
          <w:rFonts w:cs="Arial"/>
        </w:rPr>
        <w:lastRenderedPageBreak/>
        <w:t>most</w:t>
      </w:r>
      <w:r w:rsidR="00B364D5" w:rsidDel="00F8240D">
        <w:rPr>
          <w:rFonts w:cs="Arial"/>
        </w:rPr>
        <w:t xml:space="preserve"> enquires </w:t>
      </w:r>
      <w:r w:rsidR="00B364D5" w:rsidRPr="00A268EA">
        <w:rPr>
          <w:rFonts w:cs="Arial"/>
        </w:rPr>
        <w:t>related to trade</w:t>
      </w:r>
      <w:r w:rsidR="00093C5B">
        <w:rPr>
          <w:rFonts w:cs="Arial"/>
        </w:rPr>
        <w:t xml:space="preserve"> and </w:t>
      </w:r>
      <w:r w:rsidR="00B364D5" w:rsidRPr="00A268EA">
        <w:rPr>
          <w:rFonts w:cs="Arial"/>
        </w:rPr>
        <w:t>occupational licen</w:t>
      </w:r>
      <w:r w:rsidR="00244BBF">
        <w:rPr>
          <w:rFonts w:cs="Arial"/>
        </w:rPr>
        <w:t>ces</w:t>
      </w:r>
      <w:r w:rsidR="00093C5B">
        <w:rPr>
          <w:rFonts w:cs="Arial"/>
        </w:rPr>
        <w:t xml:space="preserve"> </w:t>
      </w:r>
      <w:r w:rsidR="00B364D5" w:rsidRPr="00A268EA">
        <w:rPr>
          <w:rFonts w:cs="Arial"/>
        </w:rPr>
        <w:t xml:space="preserve">and </w:t>
      </w:r>
      <w:r w:rsidR="00B364D5">
        <w:rPr>
          <w:rFonts w:cs="Arial"/>
        </w:rPr>
        <w:t>o</w:t>
      </w:r>
      <w:r w:rsidR="00B364D5" w:rsidRPr="00A268EA">
        <w:rPr>
          <w:rFonts w:cs="Arial"/>
        </w:rPr>
        <w:t>wner</w:t>
      </w:r>
      <w:r w:rsidR="00093C5B">
        <w:rPr>
          <w:rFonts w:cs="Arial"/>
        </w:rPr>
        <w:t xml:space="preserve"> </w:t>
      </w:r>
      <w:r w:rsidR="00B364D5" w:rsidRPr="00A268EA">
        <w:rPr>
          <w:rFonts w:cs="Arial"/>
        </w:rPr>
        <w:t>builder permits.</w:t>
      </w:r>
      <w:r w:rsidR="00B364D5">
        <w:rPr>
          <w:rFonts w:cs="Arial"/>
        </w:rPr>
        <w:t xml:space="preserve"> </w:t>
      </w:r>
      <w:r w:rsidR="00093C5B">
        <w:rPr>
          <w:rFonts w:cs="Arial"/>
        </w:rPr>
        <w:t xml:space="preserve">The </w:t>
      </w:r>
      <w:r w:rsidR="00B364D5">
        <w:rPr>
          <w:rFonts w:cs="Arial"/>
        </w:rPr>
        <w:t xml:space="preserve">QBCC </w:t>
      </w:r>
      <w:r w:rsidR="00093C5B">
        <w:rPr>
          <w:rFonts w:cs="Arial"/>
        </w:rPr>
        <w:t>also undertook targeted</w:t>
      </w:r>
      <w:r w:rsidR="00B13AD5">
        <w:rPr>
          <w:rFonts w:cs="Arial"/>
        </w:rPr>
        <w:t xml:space="preserve"> </w:t>
      </w:r>
      <w:r w:rsidR="00B364D5">
        <w:rPr>
          <w:rFonts w:cs="Arial"/>
        </w:rPr>
        <w:t xml:space="preserve">data-driven inspections </w:t>
      </w:r>
      <w:r w:rsidR="00F6431E">
        <w:rPr>
          <w:rFonts w:cs="Arial"/>
        </w:rPr>
        <w:t xml:space="preserve">as </w:t>
      </w:r>
      <w:r w:rsidR="00B364D5">
        <w:rPr>
          <w:rFonts w:cs="Arial"/>
        </w:rPr>
        <w:t>rectification work commenced</w:t>
      </w:r>
      <w:r w:rsidR="00927FFB">
        <w:rPr>
          <w:rFonts w:cs="Arial"/>
        </w:rPr>
        <w:t>,</w:t>
      </w:r>
      <w:r w:rsidR="00B364D5">
        <w:rPr>
          <w:rFonts w:cs="Arial"/>
        </w:rPr>
        <w:t xml:space="preserve"> and </w:t>
      </w:r>
      <w:r w:rsidR="00F6431E">
        <w:rPr>
          <w:rFonts w:cs="Arial"/>
        </w:rPr>
        <w:t xml:space="preserve">supported </w:t>
      </w:r>
      <w:bookmarkStart w:id="191" w:name="_Int_97Hjovhk"/>
      <w:proofErr w:type="gramStart"/>
      <w:r w:rsidR="00B364D5">
        <w:rPr>
          <w:rFonts w:cs="Arial"/>
        </w:rPr>
        <w:t>home</w:t>
      </w:r>
      <w:r w:rsidR="00F6431E">
        <w:rPr>
          <w:rFonts w:cs="Arial"/>
        </w:rPr>
        <w:t xml:space="preserve"> </w:t>
      </w:r>
      <w:r w:rsidR="00B364D5">
        <w:rPr>
          <w:rFonts w:cs="Arial"/>
        </w:rPr>
        <w:t>owners</w:t>
      </w:r>
      <w:bookmarkEnd w:id="191"/>
      <w:proofErr w:type="gramEnd"/>
      <w:r w:rsidR="00B364D5">
        <w:rPr>
          <w:rFonts w:cs="Arial"/>
        </w:rPr>
        <w:t xml:space="preserve"> and owner</w:t>
      </w:r>
      <w:r w:rsidR="00F6431E">
        <w:rPr>
          <w:rFonts w:cs="Arial"/>
        </w:rPr>
        <w:t xml:space="preserve"> </w:t>
      </w:r>
      <w:r w:rsidR="00B364D5">
        <w:rPr>
          <w:rFonts w:cs="Arial"/>
        </w:rPr>
        <w:t xml:space="preserve">builders </w:t>
      </w:r>
      <w:r w:rsidR="00F6431E">
        <w:rPr>
          <w:rFonts w:cs="Arial"/>
        </w:rPr>
        <w:t xml:space="preserve">with information about </w:t>
      </w:r>
      <w:r w:rsidR="006A3262">
        <w:rPr>
          <w:rFonts w:cs="Arial"/>
        </w:rPr>
        <w:t xml:space="preserve">the </w:t>
      </w:r>
      <w:r w:rsidR="00F6431E">
        <w:rPr>
          <w:rFonts w:cs="Arial"/>
        </w:rPr>
        <w:t>newly</w:t>
      </w:r>
      <w:r w:rsidR="00B364D5">
        <w:rPr>
          <w:rFonts w:cs="Arial"/>
        </w:rPr>
        <w:t xml:space="preserve"> launched </w:t>
      </w:r>
      <w:bookmarkStart w:id="192" w:name="_Int_h8nDGRpE"/>
      <w:proofErr w:type="gramStart"/>
      <w:r w:rsidR="00B7154F">
        <w:rPr>
          <w:rFonts w:cs="Arial"/>
        </w:rPr>
        <w:t>H</w:t>
      </w:r>
      <w:r w:rsidR="00B364D5">
        <w:rPr>
          <w:rFonts w:cs="Arial"/>
        </w:rPr>
        <w:t>ome</w:t>
      </w:r>
      <w:r w:rsidR="00ED2490">
        <w:rPr>
          <w:rFonts w:cs="Arial"/>
        </w:rPr>
        <w:t xml:space="preserve"> </w:t>
      </w:r>
      <w:r w:rsidR="00B7154F">
        <w:rPr>
          <w:rFonts w:cs="Arial"/>
        </w:rPr>
        <w:t>O</w:t>
      </w:r>
      <w:r w:rsidR="00B364D5">
        <w:rPr>
          <w:rFonts w:cs="Arial"/>
        </w:rPr>
        <w:t>wner</w:t>
      </w:r>
      <w:bookmarkEnd w:id="192"/>
      <w:proofErr w:type="gramEnd"/>
      <w:r w:rsidR="00B364D5">
        <w:rPr>
          <w:rFonts w:cs="Arial"/>
        </w:rPr>
        <w:t xml:space="preserve"> </w:t>
      </w:r>
      <w:r w:rsidR="00B7154F">
        <w:rPr>
          <w:rFonts w:cs="Arial"/>
        </w:rPr>
        <w:t>H</w:t>
      </w:r>
      <w:r w:rsidR="00B364D5">
        <w:rPr>
          <w:rFonts w:cs="Arial"/>
        </w:rPr>
        <w:t xml:space="preserve">ub. </w:t>
      </w:r>
    </w:p>
    <w:p w14:paraId="43F184F7" w14:textId="02C0B412" w:rsidR="00B364D5" w:rsidRDefault="00B364D5" w:rsidP="00B364D5">
      <w:pPr>
        <w:pStyle w:val="Heading3"/>
        <w:rPr>
          <w:rFonts w:eastAsia="Arial" w:cs="Arial"/>
        </w:rPr>
      </w:pPr>
      <w:r>
        <w:t xml:space="preserve">Industry </w:t>
      </w:r>
      <w:r w:rsidRPr="00F836E7">
        <w:t>engagement</w:t>
      </w:r>
    </w:p>
    <w:p w14:paraId="2386CCDA" w14:textId="372A0099" w:rsidR="00B364D5" w:rsidRDefault="00B364D5" w:rsidP="00B364D5">
      <w:pPr>
        <w:spacing w:before="120" w:after="120"/>
        <w:rPr>
          <w:rFonts w:eastAsia="Arial" w:cs="Arial"/>
        </w:rPr>
      </w:pPr>
      <w:r w:rsidRPr="20BE9D8C">
        <w:rPr>
          <w:rFonts w:eastAsia="Arial" w:cs="Arial"/>
        </w:rPr>
        <w:t>The QBCC maintains strong collaborative relationships with industry stakeholders to support a safe, compliant and high-performing building and construction industry in Queensland, while also driving continuous quality improvement. Through regular engagement with licensees, peak bodies, professional associations, government agencies and community groups, the QBCC seeks to build mutual understanding, gather feedback</w:t>
      </w:r>
      <w:r w:rsidR="000E0855">
        <w:rPr>
          <w:rFonts w:eastAsia="Arial" w:cs="Arial"/>
        </w:rPr>
        <w:t>,</w:t>
      </w:r>
      <w:r w:rsidRPr="20BE9D8C">
        <w:rPr>
          <w:rFonts w:eastAsia="Arial" w:cs="Arial"/>
        </w:rPr>
        <w:t xml:space="preserve"> and share timely information on regulatory changes, emerging issues and industry priorities. </w:t>
      </w:r>
      <w:r w:rsidR="007F2E86">
        <w:rPr>
          <w:rFonts w:eastAsia="Arial" w:cs="Arial"/>
        </w:rPr>
        <w:t>C</w:t>
      </w:r>
      <w:r w:rsidRPr="20BE9D8C">
        <w:rPr>
          <w:rFonts w:eastAsia="Arial" w:cs="Arial"/>
        </w:rPr>
        <w:t xml:space="preserve">ollaboration helps </w:t>
      </w:r>
      <w:r w:rsidR="007F2E86">
        <w:rPr>
          <w:rFonts w:eastAsia="Arial" w:cs="Arial"/>
        </w:rPr>
        <w:t xml:space="preserve">to </w:t>
      </w:r>
      <w:r w:rsidRPr="20BE9D8C">
        <w:rPr>
          <w:rFonts w:eastAsia="Arial" w:cs="Arial"/>
        </w:rPr>
        <w:t xml:space="preserve">ensure regulatory approaches are well-informed, practical and responsive to the needs of industry </w:t>
      </w:r>
      <w:r w:rsidR="00281503">
        <w:rPr>
          <w:rFonts w:eastAsia="Arial" w:cs="Arial"/>
        </w:rPr>
        <w:t>as well as</w:t>
      </w:r>
      <w:r w:rsidRPr="20BE9D8C">
        <w:rPr>
          <w:rFonts w:eastAsia="Arial" w:cs="Arial"/>
        </w:rPr>
        <w:t xml:space="preserve"> the broader community.</w:t>
      </w:r>
    </w:p>
    <w:p w14:paraId="056D87DD" w14:textId="2DD335AB" w:rsidR="00B364D5" w:rsidRPr="00E27662" w:rsidRDefault="00B364D5" w:rsidP="00B364D5">
      <w:pPr>
        <w:spacing w:before="120" w:after="120"/>
        <w:rPr>
          <w:rFonts w:eastAsia="Arial" w:cs="Arial"/>
        </w:rPr>
      </w:pPr>
      <w:r w:rsidRPr="20BE9D8C">
        <w:rPr>
          <w:rFonts w:cs="Arial"/>
        </w:rPr>
        <w:t>In 2024–25, the QBCC delivered a range of engagement activities, including information sessions and digital communications. The QBCC also actively participated in various industry-specific forums, visited training organisations and attended active building sites to engage directly with licensees, apprentices and industry professionals. These efforts created valuable opportunities for two-way dialogue, enabling the QBCC to remain responsive to emerging issues and community expectations.</w:t>
      </w:r>
      <w:r w:rsidRPr="006F1005">
        <w:rPr>
          <w:rFonts w:cs="Arial"/>
        </w:rPr>
        <w:t xml:space="preserve"> </w:t>
      </w:r>
      <w:r w:rsidRPr="20BE9D8C">
        <w:rPr>
          <w:rFonts w:cs="Arial"/>
        </w:rPr>
        <w:t>Regional QBCC staff across the state actively engaged with industry and communities through attendance at events</w:t>
      </w:r>
      <w:r w:rsidR="00524E1E">
        <w:rPr>
          <w:rFonts w:cs="Arial"/>
        </w:rPr>
        <w:t xml:space="preserve"> and</w:t>
      </w:r>
      <w:r w:rsidRPr="20BE9D8C">
        <w:rPr>
          <w:rFonts w:cs="Arial"/>
        </w:rPr>
        <w:t xml:space="preserve"> trade shows, and formal interactions </w:t>
      </w:r>
      <w:r w:rsidR="00524E1E">
        <w:rPr>
          <w:rFonts w:cs="Arial"/>
        </w:rPr>
        <w:t xml:space="preserve">with organisations </w:t>
      </w:r>
      <w:r w:rsidRPr="20BE9D8C">
        <w:rPr>
          <w:rFonts w:cs="Arial"/>
        </w:rPr>
        <w:t>such as TAFE, peak industry bodies, and disaster management groups at the local and state level</w:t>
      </w:r>
      <w:r w:rsidR="00811356">
        <w:rPr>
          <w:rFonts w:cs="Arial"/>
        </w:rPr>
        <w:t>s</w:t>
      </w:r>
      <w:r w:rsidRPr="20BE9D8C">
        <w:rPr>
          <w:rFonts w:cs="Arial"/>
        </w:rPr>
        <w:t xml:space="preserve">. </w:t>
      </w:r>
      <w:r w:rsidR="009D1599">
        <w:rPr>
          <w:rFonts w:cs="Arial"/>
        </w:rPr>
        <w:t xml:space="preserve">Engagement activities </w:t>
      </w:r>
      <w:r w:rsidRPr="20BE9D8C">
        <w:rPr>
          <w:rFonts w:cs="Arial"/>
        </w:rPr>
        <w:t>include</w:t>
      </w:r>
      <w:r w:rsidR="00E73E5F">
        <w:rPr>
          <w:rFonts w:cs="Arial"/>
        </w:rPr>
        <w:t>d</w:t>
      </w:r>
      <w:r w:rsidRPr="20BE9D8C">
        <w:rPr>
          <w:rFonts w:cs="Arial"/>
        </w:rPr>
        <w:t xml:space="preserve"> presenting at trade shows and to final</w:t>
      </w:r>
      <w:r w:rsidR="00DA04F0">
        <w:rPr>
          <w:rFonts w:cs="Arial"/>
        </w:rPr>
        <w:t>-</w:t>
      </w:r>
      <w:r w:rsidRPr="20BE9D8C">
        <w:rPr>
          <w:rFonts w:cs="Arial"/>
        </w:rPr>
        <w:t xml:space="preserve">year TAFE students on </w:t>
      </w:r>
      <w:r w:rsidR="00DA04F0">
        <w:rPr>
          <w:rFonts w:cs="Arial"/>
        </w:rPr>
        <w:t>licensing</w:t>
      </w:r>
      <w:r w:rsidRPr="20BE9D8C">
        <w:rPr>
          <w:rFonts w:cs="Arial"/>
        </w:rPr>
        <w:t xml:space="preserve"> responsibilities and </w:t>
      </w:r>
      <w:r w:rsidR="00DA04F0">
        <w:rPr>
          <w:rFonts w:cs="Arial"/>
        </w:rPr>
        <w:t>pathway</w:t>
      </w:r>
      <w:r w:rsidR="00F2034E">
        <w:rPr>
          <w:rFonts w:cs="Arial"/>
        </w:rPr>
        <w:t xml:space="preserve">s, </w:t>
      </w:r>
      <w:r w:rsidR="00447183">
        <w:rPr>
          <w:rFonts w:cs="Arial"/>
        </w:rPr>
        <w:t xml:space="preserve">the QBCC’s </w:t>
      </w:r>
      <w:r w:rsidRPr="20BE9D8C">
        <w:rPr>
          <w:rFonts w:cs="Arial"/>
        </w:rPr>
        <w:t xml:space="preserve">educational </w:t>
      </w:r>
      <w:r w:rsidR="00447183">
        <w:rPr>
          <w:rFonts w:cs="Arial"/>
        </w:rPr>
        <w:t>resources</w:t>
      </w:r>
      <w:r w:rsidRPr="20BE9D8C">
        <w:rPr>
          <w:rFonts w:cs="Arial"/>
        </w:rPr>
        <w:t xml:space="preserve">, and </w:t>
      </w:r>
      <w:r w:rsidR="008B3A3C">
        <w:rPr>
          <w:rFonts w:cs="Arial"/>
        </w:rPr>
        <w:t xml:space="preserve">the role of the QBCC </w:t>
      </w:r>
      <w:r w:rsidRPr="20BE9D8C">
        <w:rPr>
          <w:rFonts w:cs="Arial"/>
        </w:rPr>
        <w:t>as a regulator.</w:t>
      </w:r>
    </w:p>
    <w:p w14:paraId="5601D365" w14:textId="7E5B41F8" w:rsidR="00B364D5" w:rsidRPr="00FD7199" w:rsidRDefault="00B364D5" w:rsidP="00B364D5">
      <w:pPr>
        <w:pStyle w:val="Heading4"/>
        <w:rPr>
          <w:rFonts w:cs="Arial"/>
          <w:b w:val="0"/>
          <w:bCs/>
        </w:rPr>
      </w:pPr>
      <w:bookmarkStart w:id="193" w:name="_Service_Trades_Council"/>
      <w:bookmarkEnd w:id="193"/>
      <w:r>
        <w:t>Service Trades Council i</w:t>
      </w:r>
      <w:r w:rsidRPr="00FD7199">
        <w:rPr>
          <w:rFonts w:cs="Arial"/>
          <w:bCs/>
        </w:rPr>
        <w:t>ndustry</w:t>
      </w:r>
      <w:r>
        <w:rPr>
          <w:rFonts w:cs="Arial"/>
          <w:bCs/>
        </w:rPr>
        <w:t xml:space="preserve"> engagements</w:t>
      </w:r>
    </w:p>
    <w:p w14:paraId="696224A5" w14:textId="2D01F995" w:rsidR="00B364D5" w:rsidRDefault="00B364D5" w:rsidP="00B364D5">
      <w:pPr>
        <w:spacing w:before="120" w:after="120"/>
        <w:rPr>
          <w:rFonts w:cs="Arial"/>
        </w:rPr>
      </w:pPr>
      <w:r>
        <w:rPr>
          <w:rFonts w:cs="Arial"/>
        </w:rPr>
        <w:t>E</w:t>
      </w:r>
      <w:r w:rsidRPr="00CF6AAA">
        <w:rPr>
          <w:rFonts w:cs="Arial"/>
        </w:rPr>
        <w:t xml:space="preserve">stablished under </w:t>
      </w:r>
      <w:r>
        <w:rPr>
          <w:rFonts w:cs="Arial"/>
        </w:rPr>
        <w:t xml:space="preserve">the PD Act, the Service Trades Council (STC) </w:t>
      </w:r>
      <w:r w:rsidRPr="00CF6AAA">
        <w:rPr>
          <w:rFonts w:cs="Arial"/>
        </w:rPr>
        <w:t>provide</w:t>
      </w:r>
      <w:r>
        <w:rPr>
          <w:rFonts w:cs="Arial"/>
        </w:rPr>
        <w:t>s</w:t>
      </w:r>
      <w:r w:rsidRPr="00CF6AAA">
        <w:rPr>
          <w:rFonts w:cs="Arial"/>
        </w:rPr>
        <w:t xml:space="preserve"> a </w:t>
      </w:r>
      <w:r>
        <w:rPr>
          <w:rFonts w:cs="Arial"/>
        </w:rPr>
        <w:t>dedicated</w:t>
      </w:r>
      <w:r w:rsidRPr="00CF6AAA">
        <w:rPr>
          <w:rFonts w:cs="Arial"/>
        </w:rPr>
        <w:t xml:space="preserve"> voice for service trades</w:t>
      </w:r>
      <w:r>
        <w:rPr>
          <w:rFonts w:cs="Arial"/>
        </w:rPr>
        <w:t xml:space="preserve"> </w:t>
      </w:r>
      <w:r w:rsidR="00D5700E">
        <w:rPr>
          <w:rFonts w:cs="Arial"/>
        </w:rPr>
        <w:t>professionals</w:t>
      </w:r>
      <w:r>
        <w:rPr>
          <w:rFonts w:cs="Arial"/>
        </w:rPr>
        <w:t xml:space="preserve"> and</w:t>
      </w:r>
      <w:r w:rsidRPr="005E4E84">
        <w:rPr>
          <w:rFonts w:cs="Arial"/>
        </w:rPr>
        <w:t xml:space="preserve"> </w:t>
      </w:r>
      <w:r>
        <w:rPr>
          <w:rFonts w:cs="Arial"/>
        </w:rPr>
        <w:t>operates as</w:t>
      </w:r>
      <w:r w:rsidRPr="005E4E84">
        <w:rPr>
          <w:rFonts w:cs="Arial"/>
        </w:rPr>
        <w:t xml:space="preserve"> part of the QBCC</w:t>
      </w:r>
      <w:r>
        <w:rPr>
          <w:rFonts w:cs="Arial"/>
        </w:rPr>
        <w:t>. T</w:t>
      </w:r>
      <w:r w:rsidRPr="00330B43">
        <w:rPr>
          <w:rFonts w:cs="Arial"/>
        </w:rPr>
        <w:t xml:space="preserve">o </w:t>
      </w:r>
      <w:r>
        <w:rPr>
          <w:rFonts w:cs="Arial"/>
        </w:rPr>
        <w:t xml:space="preserve">support </w:t>
      </w:r>
      <w:r w:rsidRPr="00330B43">
        <w:rPr>
          <w:rFonts w:cs="Arial"/>
        </w:rPr>
        <w:t>engage</w:t>
      </w:r>
      <w:r>
        <w:rPr>
          <w:rFonts w:cs="Arial"/>
        </w:rPr>
        <w:t>ment</w:t>
      </w:r>
      <w:r w:rsidRPr="00330B43">
        <w:rPr>
          <w:rFonts w:cs="Arial"/>
        </w:rPr>
        <w:t xml:space="preserve"> with the </w:t>
      </w:r>
      <w:r>
        <w:rPr>
          <w:rFonts w:cs="Arial"/>
        </w:rPr>
        <w:t>service trades industry</w:t>
      </w:r>
      <w:r w:rsidRPr="00330B43">
        <w:rPr>
          <w:rFonts w:cs="Arial"/>
        </w:rPr>
        <w:t>, </w:t>
      </w:r>
      <w:r>
        <w:rPr>
          <w:rFonts w:cs="Arial"/>
        </w:rPr>
        <w:t xml:space="preserve">the STC regularly hosts forums across Queensland to connect with stakeholders and share important updates. </w:t>
      </w:r>
    </w:p>
    <w:p w14:paraId="7524BA0F" w14:textId="69EA7B56" w:rsidR="00B364D5" w:rsidRDefault="00B364D5" w:rsidP="00B364D5">
      <w:pPr>
        <w:spacing w:before="120" w:after="120" w:line="259" w:lineRule="auto"/>
        <w:rPr>
          <w:rFonts w:cs="Arial"/>
        </w:rPr>
      </w:pPr>
      <w:r>
        <w:rPr>
          <w:rFonts w:cs="Arial"/>
        </w:rPr>
        <w:t xml:space="preserve">In 2024–25, the STC held </w:t>
      </w:r>
      <w:r w:rsidRPr="1AA49AC8">
        <w:rPr>
          <w:rFonts w:cs="Arial"/>
        </w:rPr>
        <w:t>several</w:t>
      </w:r>
      <w:r w:rsidRPr="00E27662">
        <w:rPr>
          <w:rFonts w:cs="Arial"/>
        </w:rPr>
        <w:t xml:space="preserve"> industry forums</w:t>
      </w:r>
      <w:r>
        <w:rPr>
          <w:rFonts w:cs="Arial"/>
        </w:rPr>
        <w:t xml:space="preserve"> in Brisbane, Sunshine Coast, Gold Coast and Townsville. A</w:t>
      </w:r>
      <w:r w:rsidRPr="00BF2410">
        <w:rPr>
          <w:rFonts w:cs="Arial"/>
        </w:rPr>
        <w:t xml:space="preserve">ttendees </w:t>
      </w:r>
      <w:r>
        <w:rPr>
          <w:rFonts w:cs="Arial"/>
        </w:rPr>
        <w:t>included l</w:t>
      </w:r>
      <w:r w:rsidRPr="00BF2410">
        <w:rPr>
          <w:rFonts w:cs="Arial"/>
        </w:rPr>
        <w:t>icens</w:t>
      </w:r>
      <w:r>
        <w:rPr>
          <w:rFonts w:cs="Arial"/>
        </w:rPr>
        <w:t>ed</w:t>
      </w:r>
      <w:r w:rsidRPr="00BF2410">
        <w:rPr>
          <w:rFonts w:cs="Arial"/>
        </w:rPr>
        <w:t xml:space="preserve"> service trade</w:t>
      </w:r>
      <w:r>
        <w:rPr>
          <w:rFonts w:cs="Arial"/>
        </w:rPr>
        <w:t>s professionals</w:t>
      </w:r>
      <w:r w:rsidR="008D630A">
        <w:rPr>
          <w:rFonts w:cs="Arial"/>
        </w:rPr>
        <w:t>,</w:t>
      </w:r>
      <w:r>
        <w:rPr>
          <w:rFonts w:cs="Arial"/>
        </w:rPr>
        <w:t xml:space="preserve"> representatives from RTOs </w:t>
      </w:r>
      <w:r w:rsidRPr="00BF2410">
        <w:rPr>
          <w:rFonts w:cs="Arial"/>
        </w:rPr>
        <w:t>and relevant local council</w:t>
      </w:r>
      <w:r w:rsidR="00DE4DB4">
        <w:rPr>
          <w:rFonts w:cs="Arial"/>
        </w:rPr>
        <w:t xml:space="preserve"> member</w:t>
      </w:r>
      <w:r w:rsidRPr="00BF2410">
        <w:rPr>
          <w:rFonts w:cs="Arial"/>
        </w:rPr>
        <w:t>s</w:t>
      </w:r>
      <w:r>
        <w:rPr>
          <w:rFonts w:cs="Arial"/>
        </w:rPr>
        <w:t>. Key</w:t>
      </w:r>
      <w:r w:rsidDel="003927FD">
        <w:rPr>
          <w:rFonts w:cs="Arial"/>
        </w:rPr>
        <w:t xml:space="preserve"> </w:t>
      </w:r>
      <w:r>
        <w:rPr>
          <w:rFonts w:cs="Arial"/>
        </w:rPr>
        <w:t>topics covered during the forum</w:t>
      </w:r>
      <w:r w:rsidR="00BC6A01">
        <w:rPr>
          <w:rFonts w:cs="Arial"/>
        </w:rPr>
        <w:t>s</w:t>
      </w:r>
      <w:r>
        <w:rPr>
          <w:rFonts w:cs="Arial"/>
        </w:rPr>
        <w:t xml:space="preserve"> included updates from the </w:t>
      </w:r>
      <w:r w:rsidRPr="009C44F9">
        <w:rPr>
          <w:rFonts w:cs="Arial"/>
        </w:rPr>
        <w:t xml:space="preserve">QBCC </w:t>
      </w:r>
      <w:r>
        <w:rPr>
          <w:rFonts w:cs="Arial"/>
        </w:rPr>
        <w:t xml:space="preserve">on </w:t>
      </w:r>
      <w:r w:rsidRPr="009C44F9">
        <w:rPr>
          <w:rFonts w:cs="Arial"/>
        </w:rPr>
        <w:t>compliance</w:t>
      </w:r>
      <w:r>
        <w:rPr>
          <w:rFonts w:cs="Arial"/>
        </w:rPr>
        <w:t xml:space="preserve"> matters, </w:t>
      </w:r>
      <w:r w:rsidRPr="009C44F9">
        <w:rPr>
          <w:rFonts w:cs="Arial"/>
        </w:rPr>
        <w:t>notifiable work, licensing and inspectorate activities</w:t>
      </w:r>
      <w:r>
        <w:rPr>
          <w:rFonts w:cs="Arial"/>
        </w:rPr>
        <w:t xml:space="preserve">. Each forum featured a </w:t>
      </w:r>
      <w:r w:rsidR="00A21067">
        <w:rPr>
          <w:rFonts w:cs="Arial"/>
        </w:rPr>
        <w:t>q</w:t>
      </w:r>
      <w:r>
        <w:rPr>
          <w:rFonts w:cs="Arial"/>
        </w:rPr>
        <w:t>uestion</w:t>
      </w:r>
      <w:r w:rsidDel="00456C2D">
        <w:rPr>
          <w:rFonts w:cs="Arial"/>
        </w:rPr>
        <w:t>-</w:t>
      </w:r>
      <w:r>
        <w:rPr>
          <w:rFonts w:cs="Arial"/>
        </w:rPr>
        <w:t>and</w:t>
      </w:r>
      <w:r w:rsidDel="00456C2D">
        <w:rPr>
          <w:rFonts w:cs="Arial"/>
        </w:rPr>
        <w:t>-</w:t>
      </w:r>
      <w:r w:rsidR="00A21067">
        <w:rPr>
          <w:rFonts w:cs="Arial"/>
        </w:rPr>
        <w:t>a</w:t>
      </w:r>
      <w:r>
        <w:rPr>
          <w:rFonts w:cs="Arial"/>
        </w:rPr>
        <w:t>nswer</w:t>
      </w:r>
      <w:r w:rsidRPr="009C44F9">
        <w:rPr>
          <w:rFonts w:cs="Arial"/>
        </w:rPr>
        <w:t xml:space="preserve"> session</w:t>
      </w:r>
      <w:r>
        <w:rPr>
          <w:rFonts w:cs="Arial"/>
        </w:rPr>
        <w:t xml:space="preserve"> with panel members from the </w:t>
      </w:r>
      <w:r w:rsidRPr="009C44F9">
        <w:rPr>
          <w:rFonts w:cs="Arial"/>
        </w:rPr>
        <w:t xml:space="preserve">QBCC, </w:t>
      </w:r>
      <w:r>
        <w:rPr>
          <w:rFonts w:cs="Arial"/>
        </w:rPr>
        <w:t>DHPW</w:t>
      </w:r>
      <w:r w:rsidRPr="009C44F9">
        <w:rPr>
          <w:rFonts w:cs="Arial"/>
        </w:rPr>
        <w:t xml:space="preserve"> and local councils</w:t>
      </w:r>
      <w:r>
        <w:rPr>
          <w:rFonts w:cs="Arial"/>
        </w:rPr>
        <w:t>, which encouraged dialogue between the regulator and the industry. These events offered licensees valuable opportunities to stay informed and up to date with regulatory and industry developments. They also enabled the QBCC to gather feedback and identify areas for continuous improvement in the delivery of information and resources to support the industry.</w:t>
      </w:r>
    </w:p>
    <w:p w14:paraId="1D02D5C6" w14:textId="192CCFA9" w:rsidR="00B364D5" w:rsidRPr="0038555F" w:rsidRDefault="00B364D5" w:rsidP="00B364D5">
      <w:pPr>
        <w:spacing w:before="120" w:after="120"/>
        <w:rPr>
          <w:rFonts w:cs="Arial"/>
        </w:rPr>
      </w:pPr>
      <w:r>
        <w:rPr>
          <w:rFonts w:cs="Arial"/>
        </w:rPr>
        <w:t xml:space="preserve">In addition, the STC </w:t>
      </w:r>
      <w:r w:rsidRPr="00D64D71">
        <w:rPr>
          <w:rFonts w:cs="Arial"/>
        </w:rPr>
        <w:t xml:space="preserve">hosted a World Plumbing Day event </w:t>
      </w:r>
      <w:r>
        <w:rPr>
          <w:rFonts w:cs="Arial"/>
        </w:rPr>
        <w:t>in partnership with</w:t>
      </w:r>
      <w:r w:rsidRPr="00D64D71">
        <w:rPr>
          <w:rFonts w:cs="Arial"/>
        </w:rPr>
        <w:t xml:space="preserve"> TAFE Queensland</w:t>
      </w:r>
      <w:r w:rsidR="00A30E68">
        <w:rPr>
          <w:rFonts w:cs="Arial"/>
        </w:rPr>
        <w:t xml:space="preserve"> to</w:t>
      </w:r>
      <w:r>
        <w:rPr>
          <w:rFonts w:cs="Arial"/>
        </w:rPr>
        <w:t xml:space="preserve"> </w:t>
      </w:r>
      <w:r w:rsidRPr="00D64D71">
        <w:rPr>
          <w:rFonts w:cs="Arial"/>
        </w:rPr>
        <w:t>celebrat</w:t>
      </w:r>
      <w:r w:rsidR="000B3032">
        <w:rPr>
          <w:rFonts w:cs="Arial"/>
        </w:rPr>
        <w:t>e</w:t>
      </w:r>
      <w:r w:rsidRPr="00D64D71">
        <w:rPr>
          <w:rFonts w:cs="Arial"/>
        </w:rPr>
        <w:t xml:space="preserve"> the </w:t>
      </w:r>
      <w:r>
        <w:rPr>
          <w:rFonts w:cs="Arial"/>
        </w:rPr>
        <w:t>vital</w:t>
      </w:r>
      <w:r w:rsidRPr="00D64D71">
        <w:rPr>
          <w:rFonts w:cs="Arial"/>
        </w:rPr>
        <w:t xml:space="preserve"> role plumbing plays in </w:t>
      </w:r>
      <w:r>
        <w:rPr>
          <w:rFonts w:cs="Arial"/>
        </w:rPr>
        <w:t>safeguarding community h</w:t>
      </w:r>
      <w:r w:rsidRPr="00D64D71">
        <w:rPr>
          <w:rFonts w:cs="Arial"/>
        </w:rPr>
        <w:t>ealth</w:t>
      </w:r>
      <w:r>
        <w:rPr>
          <w:rFonts w:cs="Arial"/>
        </w:rPr>
        <w:t xml:space="preserve">. The event </w:t>
      </w:r>
      <w:r w:rsidR="000B3032">
        <w:rPr>
          <w:rFonts w:cs="Arial"/>
        </w:rPr>
        <w:t>was</w:t>
      </w:r>
      <w:r>
        <w:rPr>
          <w:rFonts w:cs="Arial"/>
        </w:rPr>
        <w:t xml:space="preserve"> a platform </w:t>
      </w:r>
      <w:r w:rsidR="00BE220A">
        <w:rPr>
          <w:rFonts w:cs="Arial"/>
        </w:rPr>
        <w:t>for</w:t>
      </w:r>
      <w:r>
        <w:rPr>
          <w:rFonts w:cs="Arial"/>
        </w:rPr>
        <w:t xml:space="preserve"> promot</w:t>
      </w:r>
      <w:r w:rsidR="00BE220A">
        <w:rPr>
          <w:rFonts w:cs="Arial"/>
        </w:rPr>
        <w:t>ing</w:t>
      </w:r>
      <w:r>
        <w:rPr>
          <w:rFonts w:cs="Arial"/>
        </w:rPr>
        <w:t xml:space="preserve"> the role of the QBCC, shar</w:t>
      </w:r>
      <w:r w:rsidR="000911D2">
        <w:rPr>
          <w:rFonts w:cs="Arial"/>
        </w:rPr>
        <w:t>ing</w:t>
      </w:r>
      <w:r>
        <w:rPr>
          <w:rFonts w:cs="Arial"/>
        </w:rPr>
        <w:t xml:space="preserve"> the latest updates in plumbing and drainage</w:t>
      </w:r>
      <w:r w:rsidR="008979D1">
        <w:rPr>
          <w:rFonts w:cs="Arial"/>
        </w:rPr>
        <w:t>,</w:t>
      </w:r>
      <w:r>
        <w:rPr>
          <w:rFonts w:cs="Arial"/>
        </w:rPr>
        <w:t xml:space="preserve"> and strengthen</w:t>
      </w:r>
      <w:r w:rsidR="001315DE">
        <w:rPr>
          <w:rFonts w:cs="Arial"/>
        </w:rPr>
        <w:t>ing</w:t>
      </w:r>
      <w:r>
        <w:rPr>
          <w:rFonts w:cs="Arial"/>
        </w:rPr>
        <w:t xml:space="preserve"> engagement with industry stakeholders. </w:t>
      </w:r>
      <w:bookmarkStart w:id="194" w:name="_Home_owner_engagements"/>
      <w:bookmarkEnd w:id="194"/>
    </w:p>
    <w:p w14:paraId="10CFDE61" w14:textId="2B963238" w:rsidR="00B364D5" w:rsidRDefault="00B364D5" w:rsidP="00B364D5">
      <w:pPr>
        <w:pStyle w:val="Heading4"/>
      </w:pPr>
      <w:r>
        <w:t>Industry events and outreach</w:t>
      </w:r>
    </w:p>
    <w:p w14:paraId="1192F3BA" w14:textId="320F5F03" w:rsidR="00B364D5" w:rsidRDefault="00B364D5" w:rsidP="00B364D5">
      <w:pPr>
        <w:spacing w:before="120" w:after="120" w:line="259" w:lineRule="auto"/>
        <w:rPr>
          <w:rFonts w:eastAsia="Arial" w:cs="Arial"/>
        </w:rPr>
      </w:pPr>
      <w:r>
        <w:rPr>
          <w:rFonts w:eastAsia="Arial" w:cs="Arial"/>
        </w:rPr>
        <w:t xml:space="preserve">In 2024–25, the QBCC delivered a broad range of engagement activities through industry events and outreach initiatives. Notable activities </w:t>
      </w:r>
      <w:r w:rsidRPr="45A714D6">
        <w:rPr>
          <w:rFonts w:eastAsia="Arial" w:cs="Arial"/>
        </w:rPr>
        <w:t xml:space="preserve">included </w:t>
      </w:r>
      <w:r>
        <w:rPr>
          <w:rFonts w:eastAsia="Arial" w:cs="Arial"/>
        </w:rPr>
        <w:t>57</w:t>
      </w:r>
      <w:r w:rsidRPr="3CF2ACB4">
        <w:rPr>
          <w:rFonts w:eastAsia="Arial" w:cs="Arial"/>
        </w:rPr>
        <w:t xml:space="preserve"> </w:t>
      </w:r>
      <w:r w:rsidRPr="45A714D6">
        <w:rPr>
          <w:rFonts w:eastAsia="Arial" w:cs="Arial"/>
        </w:rPr>
        <w:t>TAFE Industry Stakeholder Coffee Cart events</w:t>
      </w:r>
      <w:r>
        <w:rPr>
          <w:rFonts w:eastAsia="Arial" w:cs="Arial"/>
        </w:rPr>
        <w:t xml:space="preserve">, </w:t>
      </w:r>
      <w:r w:rsidRPr="15358E76">
        <w:rPr>
          <w:rFonts w:eastAsia="Arial" w:cs="Arial"/>
        </w:rPr>
        <w:t xml:space="preserve">held </w:t>
      </w:r>
      <w:r>
        <w:rPr>
          <w:rFonts w:eastAsia="Arial" w:cs="Arial"/>
        </w:rPr>
        <w:t xml:space="preserve">across </w:t>
      </w:r>
      <w:r w:rsidRPr="15358E76">
        <w:rPr>
          <w:rFonts w:eastAsia="Arial" w:cs="Arial"/>
        </w:rPr>
        <w:t xml:space="preserve">TAFE </w:t>
      </w:r>
      <w:r>
        <w:rPr>
          <w:rFonts w:eastAsia="Arial" w:cs="Arial"/>
        </w:rPr>
        <w:t>c</w:t>
      </w:r>
      <w:r w:rsidRPr="15358E76">
        <w:rPr>
          <w:rFonts w:eastAsia="Arial" w:cs="Arial"/>
        </w:rPr>
        <w:t>ampuses for students</w:t>
      </w:r>
      <w:r w:rsidR="00FE3FEE">
        <w:rPr>
          <w:rFonts w:eastAsia="Arial" w:cs="Arial"/>
        </w:rPr>
        <w:t>,</w:t>
      </w:r>
      <w:r w:rsidRPr="15358E76">
        <w:rPr>
          <w:rFonts w:eastAsia="Arial" w:cs="Arial"/>
        </w:rPr>
        <w:t xml:space="preserve"> </w:t>
      </w:r>
      <w:r w:rsidR="0096240D">
        <w:rPr>
          <w:rFonts w:eastAsia="Arial" w:cs="Arial"/>
        </w:rPr>
        <w:t>as well as</w:t>
      </w:r>
      <w:r w:rsidR="0096240D" w:rsidRPr="15358E76">
        <w:rPr>
          <w:rFonts w:eastAsia="Arial" w:cs="Arial"/>
        </w:rPr>
        <w:t xml:space="preserve"> </w:t>
      </w:r>
      <w:r>
        <w:rPr>
          <w:rFonts w:eastAsia="Arial" w:cs="Arial"/>
        </w:rPr>
        <w:t>active c</w:t>
      </w:r>
      <w:r w:rsidRPr="15358E76">
        <w:rPr>
          <w:rFonts w:eastAsia="Arial" w:cs="Arial"/>
        </w:rPr>
        <w:t xml:space="preserve">ommercial and </w:t>
      </w:r>
      <w:r>
        <w:rPr>
          <w:rFonts w:eastAsia="Arial" w:cs="Arial"/>
        </w:rPr>
        <w:t>r</w:t>
      </w:r>
      <w:r w:rsidRPr="15358E76">
        <w:rPr>
          <w:rFonts w:eastAsia="Arial" w:cs="Arial"/>
        </w:rPr>
        <w:t xml:space="preserve">esidential </w:t>
      </w:r>
      <w:r>
        <w:rPr>
          <w:rFonts w:eastAsia="Arial" w:cs="Arial"/>
        </w:rPr>
        <w:t>b</w:t>
      </w:r>
      <w:r w:rsidRPr="15358E76">
        <w:rPr>
          <w:rFonts w:eastAsia="Arial" w:cs="Arial"/>
        </w:rPr>
        <w:t xml:space="preserve">uilding </w:t>
      </w:r>
      <w:r>
        <w:rPr>
          <w:rFonts w:eastAsia="Arial" w:cs="Arial"/>
        </w:rPr>
        <w:t>s</w:t>
      </w:r>
      <w:r w:rsidRPr="15358E76">
        <w:rPr>
          <w:rFonts w:eastAsia="Arial" w:cs="Arial"/>
        </w:rPr>
        <w:t>ites for industry</w:t>
      </w:r>
      <w:r>
        <w:rPr>
          <w:rFonts w:eastAsia="Arial" w:cs="Arial"/>
        </w:rPr>
        <w:t xml:space="preserve"> participants. The QBCC also supported </w:t>
      </w:r>
      <w:r w:rsidR="007B363F">
        <w:rPr>
          <w:rFonts w:eastAsia="Arial" w:cs="Arial"/>
        </w:rPr>
        <w:t xml:space="preserve">the </w:t>
      </w:r>
      <w:r w:rsidR="00A33D91" w:rsidRPr="00E7681B">
        <w:rPr>
          <w:rFonts w:eastAsia="Times New Roman" w:cs="Arial"/>
          <w:color w:val="000000"/>
          <w:szCs w:val="22"/>
          <w:lang w:eastAsia="en-AU"/>
        </w:rPr>
        <w:t>National Association of Women in Construction</w:t>
      </w:r>
      <w:r w:rsidR="00A33D91" w:rsidRPr="45A714D6">
        <w:rPr>
          <w:rFonts w:eastAsia="Arial" w:cs="Arial"/>
        </w:rPr>
        <w:t xml:space="preserve"> </w:t>
      </w:r>
      <w:r w:rsidR="007B363F">
        <w:rPr>
          <w:rFonts w:eastAsia="Arial" w:cs="Arial"/>
        </w:rPr>
        <w:t>(</w:t>
      </w:r>
      <w:r w:rsidRPr="45A714D6">
        <w:rPr>
          <w:rFonts w:eastAsia="Arial" w:cs="Arial"/>
        </w:rPr>
        <w:t>NAWIC</w:t>
      </w:r>
      <w:r w:rsidR="007B363F">
        <w:rPr>
          <w:rFonts w:eastAsia="Arial" w:cs="Arial"/>
        </w:rPr>
        <w:t>)</w:t>
      </w:r>
      <w:r w:rsidRPr="45A714D6">
        <w:rPr>
          <w:rFonts w:eastAsia="Arial" w:cs="Arial"/>
        </w:rPr>
        <w:t xml:space="preserve"> ‘Women on Tools’ and ‘Launch’ events. </w:t>
      </w:r>
    </w:p>
    <w:p w14:paraId="4D9CDACB" w14:textId="093B5351" w:rsidR="00B364D5" w:rsidRPr="009414FB" w:rsidRDefault="00B364D5" w:rsidP="00B364D5">
      <w:pPr>
        <w:spacing w:before="120" w:after="120" w:line="259" w:lineRule="auto"/>
        <w:rPr>
          <w:rFonts w:cs="Arial"/>
        </w:rPr>
      </w:pPr>
      <w:r w:rsidRPr="2528248A">
        <w:rPr>
          <w:rFonts w:eastAsia="Arial" w:cs="Arial"/>
        </w:rPr>
        <w:t xml:space="preserve">Regional engagement was </w:t>
      </w:r>
      <w:r>
        <w:rPr>
          <w:rFonts w:eastAsia="Arial" w:cs="Arial"/>
        </w:rPr>
        <w:t>a key focus,</w:t>
      </w:r>
      <w:r w:rsidRPr="2528248A">
        <w:rPr>
          <w:rFonts w:eastAsia="Arial" w:cs="Arial"/>
        </w:rPr>
        <w:t xml:space="preserve"> </w:t>
      </w:r>
      <w:r w:rsidRPr="4AA51D8A">
        <w:rPr>
          <w:rFonts w:eastAsia="Arial" w:cs="Arial"/>
        </w:rPr>
        <w:t>with</w:t>
      </w:r>
      <w:r w:rsidRPr="6981BECD">
        <w:rPr>
          <w:rFonts w:eastAsia="Arial" w:cs="Arial"/>
        </w:rPr>
        <w:t xml:space="preserve"> </w:t>
      </w:r>
      <w:r>
        <w:rPr>
          <w:rFonts w:eastAsia="Arial" w:cs="Arial"/>
        </w:rPr>
        <w:t xml:space="preserve">the </w:t>
      </w:r>
      <w:r w:rsidRPr="6981BECD">
        <w:rPr>
          <w:rFonts w:eastAsia="Arial" w:cs="Arial"/>
        </w:rPr>
        <w:t xml:space="preserve">QBCC </w:t>
      </w:r>
      <w:r w:rsidRPr="4AA51D8A">
        <w:rPr>
          <w:rFonts w:eastAsia="Arial" w:cs="Arial"/>
        </w:rPr>
        <w:t>collaborati</w:t>
      </w:r>
      <w:r>
        <w:rPr>
          <w:rFonts w:eastAsia="Arial" w:cs="Arial"/>
        </w:rPr>
        <w:t xml:space="preserve">ng with stakeholders </w:t>
      </w:r>
      <w:r w:rsidRPr="4AA51D8A">
        <w:rPr>
          <w:rFonts w:eastAsia="Arial" w:cs="Arial"/>
        </w:rPr>
        <w:t xml:space="preserve">to </w:t>
      </w:r>
      <w:r w:rsidRPr="67F09A96">
        <w:rPr>
          <w:rFonts w:eastAsia="Arial" w:cs="Arial"/>
        </w:rPr>
        <w:t>exhibit</w:t>
      </w:r>
      <w:r w:rsidRPr="23B8D9BE" w:rsidDel="00A306F6">
        <w:rPr>
          <w:rFonts w:eastAsia="Arial" w:cs="Arial"/>
        </w:rPr>
        <w:t xml:space="preserve"> </w:t>
      </w:r>
      <w:r w:rsidRPr="7F1BF032">
        <w:rPr>
          <w:rFonts w:eastAsia="Arial" w:cs="Arial"/>
        </w:rPr>
        <w:t xml:space="preserve">and </w:t>
      </w:r>
      <w:r w:rsidRPr="67F09A96">
        <w:rPr>
          <w:rFonts w:eastAsia="Arial" w:cs="Arial"/>
        </w:rPr>
        <w:t xml:space="preserve">support </w:t>
      </w:r>
      <w:r w:rsidRPr="5DF5F554">
        <w:rPr>
          <w:rFonts w:eastAsia="Arial" w:cs="Arial"/>
        </w:rPr>
        <w:t>several</w:t>
      </w:r>
      <w:r w:rsidRPr="2076776F">
        <w:rPr>
          <w:rFonts w:eastAsia="Arial" w:cs="Arial"/>
        </w:rPr>
        <w:t xml:space="preserve"> </w:t>
      </w:r>
      <w:r w:rsidRPr="3A30F0D3">
        <w:rPr>
          <w:rFonts w:eastAsia="Arial" w:cs="Arial"/>
        </w:rPr>
        <w:t>expos and roadshows</w:t>
      </w:r>
      <w:r>
        <w:rPr>
          <w:rFonts w:eastAsia="Arial" w:cs="Arial"/>
        </w:rPr>
        <w:t xml:space="preserve"> across Queensland. Partners i</w:t>
      </w:r>
      <w:r w:rsidRPr="3A30F0D3">
        <w:rPr>
          <w:rFonts w:eastAsia="Arial" w:cs="Arial"/>
        </w:rPr>
        <w:t>nclud</w:t>
      </w:r>
      <w:r>
        <w:rPr>
          <w:rFonts w:eastAsia="Arial" w:cs="Arial"/>
        </w:rPr>
        <w:t>ed</w:t>
      </w:r>
      <w:r w:rsidRPr="3A30F0D3">
        <w:rPr>
          <w:rFonts w:eastAsia="Arial" w:cs="Arial"/>
        </w:rPr>
        <w:t xml:space="preserve"> </w:t>
      </w:r>
      <w:r w:rsidRPr="4EE9617F">
        <w:rPr>
          <w:rFonts w:eastAsia="Arial" w:cs="Arial"/>
        </w:rPr>
        <w:t xml:space="preserve">TAFE Queensland, </w:t>
      </w:r>
      <w:r>
        <w:rPr>
          <w:rFonts w:eastAsia="Arial" w:cs="Arial"/>
        </w:rPr>
        <w:t>t</w:t>
      </w:r>
      <w:r w:rsidRPr="3A30F0D3">
        <w:rPr>
          <w:rFonts w:eastAsia="Arial" w:cs="Arial"/>
        </w:rPr>
        <w:t xml:space="preserve">he Master Painters Association, Master </w:t>
      </w:r>
      <w:r w:rsidRPr="2DD14EB9">
        <w:rPr>
          <w:rFonts w:eastAsia="Arial" w:cs="Arial"/>
        </w:rPr>
        <w:t xml:space="preserve">Builders Queensland, Housing Industry </w:t>
      </w:r>
      <w:r w:rsidRPr="08CC0F2A">
        <w:rPr>
          <w:rFonts w:eastAsia="Arial" w:cs="Arial"/>
        </w:rPr>
        <w:t xml:space="preserve">Association </w:t>
      </w:r>
      <w:r w:rsidRPr="40030CFF">
        <w:rPr>
          <w:rFonts w:eastAsia="Arial" w:cs="Arial"/>
        </w:rPr>
        <w:t xml:space="preserve">and </w:t>
      </w:r>
      <w:r w:rsidR="000C09D4" w:rsidRPr="000C09D4">
        <w:rPr>
          <w:rFonts w:eastAsia="Arial" w:cs="Arial"/>
        </w:rPr>
        <w:t>Australian Institute of Refrigeration, Air Conditioning and Heating</w:t>
      </w:r>
      <w:r w:rsidRPr="40030CFF">
        <w:rPr>
          <w:rFonts w:eastAsia="Arial" w:cs="Arial"/>
        </w:rPr>
        <w:t>.</w:t>
      </w:r>
      <w:r w:rsidRPr="1521DC6C">
        <w:rPr>
          <w:rFonts w:eastAsia="Arial" w:cs="Arial"/>
        </w:rPr>
        <w:t xml:space="preserve"> </w:t>
      </w:r>
      <w:r w:rsidRPr="224DEC54">
        <w:rPr>
          <w:rFonts w:eastAsia="Arial" w:cs="Arial"/>
        </w:rPr>
        <w:t>Events</w:t>
      </w:r>
      <w:r w:rsidRPr="35725E08">
        <w:rPr>
          <w:rFonts w:eastAsia="Arial" w:cs="Arial"/>
        </w:rPr>
        <w:t xml:space="preserve"> </w:t>
      </w:r>
      <w:r>
        <w:rPr>
          <w:rFonts w:eastAsia="Arial" w:cs="Arial"/>
        </w:rPr>
        <w:t xml:space="preserve">were </w:t>
      </w:r>
      <w:r w:rsidRPr="05CC64DA">
        <w:rPr>
          <w:rFonts w:eastAsia="Arial" w:cs="Arial"/>
        </w:rPr>
        <w:t xml:space="preserve">supported </w:t>
      </w:r>
      <w:r>
        <w:rPr>
          <w:rFonts w:eastAsia="Arial" w:cs="Arial"/>
        </w:rPr>
        <w:t xml:space="preserve">in multiple locations, </w:t>
      </w:r>
      <w:r>
        <w:rPr>
          <w:rFonts w:eastAsia="Arial" w:cs="Arial"/>
        </w:rPr>
        <w:lastRenderedPageBreak/>
        <w:t>including</w:t>
      </w:r>
      <w:r w:rsidRPr="05CC64DA">
        <w:rPr>
          <w:rFonts w:eastAsia="Arial" w:cs="Arial"/>
        </w:rPr>
        <w:t xml:space="preserve"> Cairns, Townsville, Mackay, Rockhampton, </w:t>
      </w:r>
      <w:r w:rsidRPr="40030CFF">
        <w:rPr>
          <w:rFonts w:eastAsia="Arial" w:cs="Arial"/>
        </w:rPr>
        <w:t>Bundaberg</w:t>
      </w:r>
      <w:r w:rsidRPr="05CC64DA">
        <w:rPr>
          <w:rFonts w:eastAsia="Arial" w:cs="Arial"/>
        </w:rPr>
        <w:t>, Toowoomba, Sunshine Coast and Gold Coast.</w:t>
      </w:r>
      <w:r>
        <w:rPr>
          <w:rFonts w:eastAsia="Arial" w:cs="Arial"/>
        </w:rPr>
        <w:t xml:space="preserve"> </w:t>
      </w:r>
      <w:r w:rsidRPr="12BA4A03">
        <w:rPr>
          <w:rFonts w:eastAsia="Arial" w:cs="Arial"/>
        </w:rPr>
        <w:t>These</w:t>
      </w:r>
      <w:r w:rsidRPr="45A714D6">
        <w:rPr>
          <w:rFonts w:eastAsia="Arial" w:cs="Arial"/>
        </w:rPr>
        <w:t xml:space="preserve"> interactions </w:t>
      </w:r>
      <w:r>
        <w:rPr>
          <w:rFonts w:eastAsia="Arial" w:cs="Arial"/>
        </w:rPr>
        <w:t>provided</w:t>
      </w:r>
      <w:r w:rsidRPr="45A714D6">
        <w:rPr>
          <w:rFonts w:eastAsia="Arial" w:cs="Arial"/>
        </w:rPr>
        <w:t xml:space="preserve"> valuable opportunities </w:t>
      </w:r>
      <w:r>
        <w:rPr>
          <w:rFonts w:eastAsia="Arial" w:cs="Arial"/>
        </w:rPr>
        <w:t>for two-way communication, allowing the QBCC to share</w:t>
      </w:r>
      <w:r w:rsidRPr="45A714D6">
        <w:rPr>
          <w:rFonts w:eastAsia="Arial" w:cs="Arial"/>
        </w:rPr>
        <w:t xml:space="preserve"> information</w:t>
      </w:r>
      <w:r>
        <w:rPr>
          <w:rFonts w:eastAsia="Arial" w:cs="Arial"/>
        </w:rPr>
        <w:t xml:space="preserve">, </w:t>
      </w:r>
      <w:r w:rsidRPr="45A714D6">
        <w:rPr>
          <w:rFonts w:eastAsia="Arial" w:cs="Arial"/>
        </w:rPr>
        <w:t xml:space="preserve">gather feedback </w:t>
      </w:r>
      <w:r>
        <w:rPr>
          <w:rFonts w:eastAsia="Arial" w:cs="Arial"/>
        </w:rPr>
        <w:t>and stay informed about</w:t>
      </w:r>
      <w:r w:rsidRPr="45A714D6">
        <w:rPr>
          <w:rFonts w:eastAsia="Arial" w:cs="Arial"/>
        </w:rPr>
        <w:t xml:space="preserve"> emerging trends and challenges</w:t>
      </w:r>
      <w:r>
        <w:rPr>
          <w:rFonts w:eastAsia="Arial" w:cs="Arial"/>
        </w:rPr>
        <w:t xml:space="preserve"> within the industry</w:t>
      </w:r>
      <w:r w:rsidRPr="45A714D6">
        <w:rPr>
          <w:rFonts w:eastAsia="Arial" w:cs="Arial"/>
        </w:rPr>
        <w:t xml:space="preserve">. </w:t>
      </w:r>
    </w:p>
    <w:p w14:paraId="15828EBE" w14:textId="41AF367E" w:rsidR="00B364D5" w:rsidRPr="0038555F" w:rsidRDefault="00B364D5" w:rsidP="00B364D5">
      <w:pPr>
        <w:spacing w:before="120" w:after="120"/>
        <w:rPr>
          <w:rFonts w:cs="Arial"/>
        </w:rPr>
      </w:pPr>
      <w:r>
        <w:rPr>
          <w:rFonts w:cs="Arial"/>
        </w:rPr>
        <w:t>In addition</w:t>
      </w:r>
      <w:r w:rsidRPr="00843F7B">
        <w:rPr>
          <w:rFonts w:cs="Arial"/>
        </w:rPr>
        <w:t xml:space="preserve">, the QBCC delivered </w:t>
      </w:r>
      <w:r>
        <w:rPr>
          <w:rFonts w:cs="Arial"/>
        </w:rPr>
        <w:t xml:space="preserve">a variety of </w:t>
      </w:r>
      <w:r w:rsidRPr="20BE9D8C">
        <w:rPr>
          <w:rFonts w:eastAsia="Arial" w:cs="Arial"/>
        </w:rPr>
        <w:t>educational initiatives to increase awareness, promote compliance and encourage positive behavioural change. These activities were delivered through multiple formats, including</w:t>
      </w:r>
      <w:r>
        <w:rPr>
          <w:rFonts w:cs="Arial"/>
        </w:rPr>
        <w:t xml:space="preserve"> </w:t>
      </w:r>
      <w:r w:rsidRPr="00843F7B">
        <w:rPr>
          <w:rFonts w:cs="Arial"/>
        </w:rPr>
        <w:t>in</w:t>
      </w:r>
      <w:r>
        <w:rPr>
          <w:rFonts w:cs="Arial"/>
        </w:rPr>
        <w:t>formation sessions and webinars.</w:t>
      </w:r>
      <w:r w:rsidRPr="00843F7B">
        <w:rPr>
          <w:rFonts w:cs="Arial"/>
        </w:rPr>
        <w:t xml:space="preserve"> </w:t>
      </w:r>
      <w:r>
        <w:rPr>
          <w:rFonts w:cs="Arial"/>
        </w:rPr>
        <w:t>Ongoing engagement with industry stakeholders enabled the QBCC to share insights, respond to concerns and support a better understand of</w:t>
      </w:r>
      <w:r w:rsidRPr="00843F7B">
        <w:rPr>
          <w:rFonts w:cs="Arial"/>
        </w:rPr>
        <w:t xml:space="preserve"> rights</w:t>
      </w:r>
      <w:r>
        <w:rPr>
          <w:rFonts w:cs="Arial"/>
        </w:rPr>
        <w:t>, responsibilities</w:t>
      </w:r>
      <w:r w:rsidRPr="00843F7B">
        <w:rPr>
          <w:rFonts w:cs="Arial"/>
        </w:rPr>
        <w:t xml:space="preserve"> and </w:t>
      </w:r>
      <w:r>
        <w:rPr>
          <w:rFonts w:cs="Arial"/>
        </w:rPr>
        <w:t xml:space="preserve">regulatory </w:t>
      </w:r>
      <w:r w:rsidRPr="00843F7B">
        <w:rPr>
          <w:rFonts w:cs="Arial"/>
        </w:rPr>
        <w:t>obligations</w:t>
      </w:r>
      <w:r>
        <w:rPr>
          <w:rFonts w:cs="Arial"/>
        </w:rPr>
        <w:t xml:space="preserve"> across the industry</w:t>
      </w:r>
      <w:r w:rsidRPr="00843F7B">
        <w:rPr>
          <w:rFonts w:cs="Arial"/>
        </w:rPr>
        <w:t>.</w:t>
      </w:r>
    </w:p>
    <w:p w14:paraId="4CAABF34" w14:textId="08BC9408" w:rsidR="00B364D5" w:rsidRPr="00E27662" w:rsidRDefault="00B364D5" w:rsidP="00B364D5">
      <w:pPr>
        <w:pStyle w:val="Heading4"/>
        <w:rPr>
          <w:rFonts w:cs="Arial"/>
          <w:b w:val="0"/>
        </w:rPr>
      </w:pPr>
      <w:r w:rsidRPr="00E27662">
        <w:t>N</w:t>
      </w:r>
      <w:r w:rsidRPr="42D527CB">
        <w:rPr>
          <w:rFonts w:cs="Arial"/>
        </w:rPr>
        <w:t>on-</w:t>
      </w:r>
      <w:r w:rsidR="007236EA">
        <w:rPr>
          <w:rFonts w:cs="Arial"/>
        </w:rPr>
        <w:t>c</w:t>
      </w:r>
      <w:r w:rsidRPr="42D527CB">
        <w:rPr>
          <w:rFonts w:cs="Arial"/>
        </w:rPr>
        <w:t xml:space="preserve">onforming </w:t>
      </w:r>
      <w:r w:rsidR="007236EA">
        <w:rPr>
          <w:rFonts w:cs="Arial"/>
        </w:rPr>
        <w:t>b</w:t>
      </w:r>
      <w:r w:rsidRPr="42D527CB">
        <w:rPr>
          <w:rFonts w:cs="Arial"/>
        </w:rPr>
        <w:t xml:space="preserve">uilding </w:t>
      </w:r>
      <w:r w:rsidR="007236EA">
        <w:rPr>
          <w:rFonts w:cs="Arial"/>
        </w:rPr>
        <w:t>p</w:t>
      </w:r>
      <w:r w:rsidRPr="42D527CB">
        <w:rPr>
          <w:rFonts w:cs="Arial"/>
        </w:rPr>
        <w:t xml:space="preserve">roducts engagement </w:t>
      </w:r>
    </w:p>
    <w:p w14:paraId="42E5902F" w14:textId="3437991B" w:rsidR="00B364D5" w:rsidRDefault="00B364D5" w:rsidP="00B364D5">
      <w:pPr>
        <w:spacing w:before="120" w:after="120"/>
        <w:rPr>
          <w:rFonts w:eastAsia="Arial" w:cs="Arial"/>
        </w:rPr>
      </w:pPr>
      <w:r w:rsidRPr="20BE9D8C">
        <w:rPr>
          <w:rFonts w:eastAsia="Arial" w:cs="Arial"/>
        </w:rPr>
        <w:t>The QBCC plays an important role in increasing awareness of NCBPs and supporting industry compliance with legislative obligations. Through targeted engagement activities, the QBCC collaborated with manufacturers, suppliers, builders and other industry stakeholders to strengthen understanding of the risks associated with NCBPs and clarify the responsibilities of participants across the building product supply chain. These efforts are designed to improve product safety, enhance industry accountability and protect consumers from the use of substandard or unsafe materials.</w:t>
      </w:r>
    </w:p>
    <w:p w14:paraId="7BD93F2D" w14:textId="7575975D" w:rsidR="00B364D5" w:rsidRPr="00E27662" w:rsidRDefault="00B364D5" w:rsidP="00B364D5">
      <w:pPr>
        <w:spacing w:before="120" w:after="120"/>
        <w:rPr>
          <w:rFonts w:eastAsia="Arial" w:cs="Arial"/>
        </w:rPr>
      </w:pPr>
      <w:r w:rsidRPr="20BE9D8C">
        <w:rPr>
          <w:rFonts w:eastAsia="Arial" w:cs="Arial"/>
        </w:rPr>
        <w:t>In 2024–25, the QBCC</w:t>
      </w:r>
      <w:r w:rsidR="00F61DED">
        <w:rPr>
          <w:rFonts w:eastAsia="Arial" w:cs="Arial"/>
        </w:rPr>
        <w:t>’s</w:t>
      </w:r>
      <w:r w:rsidRPr="20BE9D8C">
        <w:rPr>
          <w:rFonts w:eastAsia="Arial" w:cs="Arial"/>
        </w:rPr>
        <w:t xml:space="preserve"> NCBP team continued to promote awareness of the NCBP legislation. Activities included publishing two factsheets, delivering a webinar for engineers</w:t>
      </w:r>
      <w:r w:rsidR="006B47E2">
        <w:rPr>
          <w:rFonts w:eastAsia="Arial" w:cs="Arial"/>
        </w:rPr>
        <w:t>,</w:t>
      </w:r>
      <w:r w:rsidRPr="20BE9D8C">
        <w:rPr>
          <w:rFonts w:eastAsia="Arial" w:cs="Arial"/>
        </w:rPr>
        <w:t xml:space="preserve"> and conducting 300 visits to building product suppliers in Brisbane and surrounding regions as part of an education program on NCBP laws.</w:t>
      </w:r>
    </w:p>
    <w:p w14:paraId="585994F6" w14:textId="4587BC5D" w:rsidR="00B364D5" w:rsidRPr="00E27662" w:rsidRDefault="00B364D5" w:rsidP="00B364D5">
      <w:pPr>
        <w:pStyle w:val="Heading4"/>
      </w:pPr>
      <w:bookmarkStart w:id="195" w:name="_Pool_safety_engagements"/>
      <w:bookmarkEnd w:id="195"/>
      <w:r w:rsidRPr="00E27662">
        <w:t>Pool safety engagement</w:t>
      </w:r>
    </w:p>
    <w:p w14:paraId="65D1EAFB" w14:textId="77777777" w:rsidR="00425602" w:rsidRDefault="00B364D5" w:rsidP="00B364D5">
      <w:pPr>
        <w:spacing w:before="120" w:after="120"/>
      </w:pPr>
      <w:r>
        <w:t xml:space="preserve">Pool safety remains a priority for the QBCC, with continued efforts to educate pool owners, certifiers and industry professionals about their obligations under Queensland’s pool safety laws. Targeted engagement activities aim to increase awareness of compliance requirements, reduce the risk of preventable drownings and promote safe pool environments, particularly for families with young children. </w:t>
      </w:r>
    </w:p>
    <w:p w14:paraId="4B79DFD2" w14:textId="1215B51E" w:rsidR="00B364D5" w:rsidRDefault="00B364D5" w:rsidP="00B364D5">
      <w:pPr>
        <w:spacing w:before="120" w:after="120"/>
      </w:pPr>
      <w:r>
        <w:t>By delivering up-to-date information, practical resources and direct support, the QBCC helps ensure pool safety standards are clearly understood and consistently applied across both residential and commercial settings.</w:t>
      </w:r>
    </w:p>
    <w:p w14:paraId="1D8C5355" w14:textId="10444582" w:rsidR="00B364D5" w:rsidRPr="00107F71" w:rsidRDefault="00B364D5" w:rsidP="00B364D5">
      <w:pPr>
        <w:spacing w:before="120" w:after="120"/>
      </w:pPr>
      <w:r>
        <w:t>In 2024–25, the QBCC strengthened its engagement with local government authorities and industry stakeholders to support the effective management of pool safety investigations, with particular attention given to matters involving shared regulatory responsibilities. The QBCC held several meetings with local councils to address emerging issues and provide guidance on complex matters, including the development and implementation of pool safety management plans for regulated premises. Other pool safety engagements included:</w:t>
      </w:r>
    </w:p>
    <w:p w14:paraId="2B65A7C4" w14:textId="7E29170A" w:rsidR="00B364D5" w:rsidRDefault="00B364D5" w:rsidP="00BD69F7">
      <w:pPr>
        <w:pStyle w:val="ListParagraph"/>
        <w:numPr>
          <w:ilvl w:val="0"/>
          <w:numId w:val="43"/>
        </w:numPr>
        <w:spacing w:before="120" w:after="120" w:line="259" w:lineRule="auto"/>
        <w:ind w:left="714" w:hanging="357"/>
        <w:contextualSpacing w:val="0"/>
      </w:pPr>
      <w:r w:rsidRPr="00D850B1">
        <w:rPr>
          <w:b/>
        </w:rPr>
        <w:t>Office of Fair Trading</w:t>
      </w:r>
      <w:r w:rsidRPr="00D850B1">
        <w:rPr>
          <w:b/>
          <w:bCs/>
        </w:rPr>
        <w:t>:</w:t>
      </w:r>
      <w:r>
        <w:t xml:space="preserve"> A </w:t>
      </w:r>
      <w:r w:rsidR="009B28EF">
        <w:t>f</w:t>
      </w:r>
      <w:r>
        <w:t>or</w:t>
      </w:r>
      <w:r w:rsidR="009B28EF">
        <w:t>u</w:t>
      </w:r>
      <w:r>
        <w:t xml:space="preserve">m to share intelligence and align investigative efforts in addressing non-compliance matters related to pool safety. </w:t>
      </w:r>
    </w:p>
    <w:p w14:paraId="75E1D368" w14:textId="5A427F4C" w:rsidR="00B364D5" w:rsidRPr="0027118A" w:rsidRDefault="00B364D5" w:rsidP="3B27A713">
      <w:pPr>
        <w:pStyle w:val="ListParagraph"/>
        <w:numPr>
          <w:ilvl w:val="0"/>
          <w:numId w:val="43"/>
        </w:numPr>
        <w:spacing w:before="120" w:after="120" w:line="259" w:lineRule="auto"/>
        <w:ind w:left="714" w:hanging="357"/>
        <w:contextualSpacing w:val="0"/>
        <w:rPr>
          <w:bCs/>
        </w:rPr>
      </w:pPr>
      <w:r w:rsidRPr="0027118A">
        <w:rPr>
          <w:b/>
        </w:rPr>
        <w:t>T</w:t>
      </w:r>
      <w:r w:rsidRPr="00D850B1">
        <w:rPr>
          <w:b/>
        </w:rPr>
        <w:t>argeted educational materials</w:t>
      </w:r>
      <w:r w:rsidRPr="0027118A">
        <w:rPr>
          <w:b/>
        </w:rPr>
        <w:t>:</w:t>
      </w:r>
      <w:r w:rsidRPr="00F73A67">
        <w:t xml:space="preserve"> </w:t>
      </w:r>
      <w:r w:rsidRPr="0027118A">
        <w:rPr>
          <w:bCs/>
        </w:rPr>
        <w:t xml:space="preserve">Resources for </w:t>
      </w:r>
      <w:bookmarkStart w:id="196" w:name="_Int_X1b60TUY"/>
      <w:proofErr w:type="gramStart"/>
      <w:r w:rsidRPr="0027118A">
        <w:rPr>
          <w:bCs/>
        </w:rPr>
        <w:t>home owners</w:t>
      </w:r>
      <w:bookmarkEnd w:id="196"/>
      <w:proofErr w:type="gramEnd"/>
      <w:r w:rsidRPr="0027118A">
        <w:rPr>
          <w:bCs/>
        </w:rPr>
        <w:t xml:space="preserve"> and property agents promoting awareness of legal responsibilities and encouraging greater compliance within the property sector. </w:t>
      </w:r>
    </w:p>
    <w:p w14:paraId="73782860" w14:textId="68D00B93" w:rsidR="00B364D5" w:rsidRDefault="00B364D5" w:rsidP="00BD69F7">
      <w:pPr>
        <w:pStyle w:val="ListParagraph"/>
        <w:numPr>
          <w:ilvl w:val="0"/>
          <w:numId w:val="42"/>
        </w:numPr>
        <w:spacing w:before="120" w:after="120"/>
        <w:ind w:left="714" w:hanging="357"/>
        <w:contextualSpacing w:val="0"/>
      </w:pPr>
      <w:r w:rsidRPr="00D850B1">
        <w:rPr>
          <w:b/>
        </w:rPr>
        <w:t>Royal Life Saving Society Australia</w:t>
      </w:r>
      <w:r w:rsidRPr="00D850B1">
        <w:rPr>
          <w:b/>
          <w:bCs/>
        </w:rPr>
        <w:t>:</w:t>
      </w:r>
      <w:r>
        <w:t xml:space="preserve"> Review assessment requirements for aquatic centres. </w:t>
      </w:r>
    </w:p>
    <w:p w14:paraId="0FE804A3" w14:textId="66B4B083" w:rsidR="00B364D5" w:rsidRDefault="00B364D5" w:rsidP="00B364D5">
      <w:pPr>
        <w:spacing w:before="120" w:after="120"/>
        <w:rPr>
          <w:rFonts w:eastAsiaTheme="majorEastAsia" w:cstheme="majorBidi"/>
          <w:bCs/>
          <w:sz w:val="32"/>
          <w:szCs w:val="32"/>
        </w:rPr>
      </w:pPr>
      <w:r>
        <w:t>Through delivering these engagement activities, the QBCC continued to build collaborative relationships, deliver consistent regulatory guidance</w:t>
      </w:r>
      <w:r w:rsidR="003C4B16">
        <w:t>,</w:t>
      </w:r>
      <w:r>
        <w:t xml:space="preserve"> and promote a proactive and informed approach to pool safety across Queensland.</w:t>
      </w:r>
      <w:bookmarkStart w:id="197" w:name="_Other_engagements"/>
      <w:bookmarkEnd w:id="197"/>
      <w:r>
        <w:br w:type="page"/>
      </w:r>
    </w:p>
    <w:p w14:paraId="0610FE6C" w14:textId="4DF224BC" w:rsidR="00FE2322" w:rsidRPr="004A2C19" w:rsidRDefault="007A0BC6" w:rsidP="003069C5">
      <w:pPr>
        <w:pStyle w:val="Heading1"/>
        <w:rPr>
          <w:rFonts w:cs="Arial"/>
        </w:rPr>
      </w:pPr>
      <w:bookmarkStart w:id="198" w:name="_Toc206493020"/>
      <w:r>
        <w:rPr>
          <w:rFonts w:cs="Arial"/>
        </w:rPr>
        <w:lastRenderedPageBreak/>
        <w:t>O</w:t>
      </w:r>
      <w:r w:rsidR="00717ABD">
        <w:rPr>
          <w:rFonts w:cs="Arial"/>
        </w:rPr>
        <w:t>r</w:t>
      </w:r>
      <w:r w:rsidR="00FE2322" w:rsidRPr="004A2C19">
        <w:rPr>
          <w:rFonts w:cs="Arial"/>
        </w:rPr>
        <w:t>ganisation</w:t>
      </w:r>
      <w:bookmarkEnd w:id="198"/>
    </w:p>
    <w:p w14:paraId="52A79F06" w14:textId="084ADDF8" w:rsidR="007B31DD" w:rsidRPr="004A2C19" w:rsidRDefault="00A25A9A" w:rsidP="00871EE3">
      <w:r w:rsidRPr="003F0706">
        <w:t>(</w:t>
      </w:r>
      <w:r w:rsidR="00683638" w:rsidRPr="00683638">
        <w:t xml:space="preserve">Alignment with the QBCC Strategic </w:t>
      </w:r>
      <w:r w:rsidRPr="003F0706">
        <w:t xml:space="preserve">Objective </w:t>
      </w:r>
      <w:r>
        <w:t>4</w:t>
      </w:r>
      <w:r w:rsidR="00D03824">
        <w:t xml:space="preserve"> and Strategic </w:t>
      </w:r>
      <w:r w:rsidRPr="003F0706">
        <w:t xml:space="preserve">Objective </w:t>
      </w:r>
      <w:r>
        <w:t>5</w:t>
      </w:r>
      <w:r w:rsidRPr="003F0706">
        <w:t>)</w:t>
      </w:r>
    </w:p>
    <w:p w14:paraId="5766D23A" w14:textId="4E1AD288" w:rsidR="000950D7" w:rsidRDefault="000950D7">
      <w:pPr>
        <w:rPr>
          <w:rFonts w:eastAsiaTheme="majorEastAsia" w:cstheme="majorBidi"/>
          <w:bCs/>
          <w:sz w:val="32"/>
          <w:szCs w:val="32"/>
        </w:rPr>
      </w:pPr>
      <w:r>
        <w:br w:type="page"/>
      </w:r>
    </w:p>
    <w:p w14:paraId="2DF0B1C6" w14:textId="50EE1542" w:rsidR="00065E10" w:rsidRPr="00791F48" w:rsidRDefault="00A66B05" w:rsidP="00677AC1">
      <w:pPr>
        <w:pStyle w:val="Heading2"/>
      </w:pPr>
      <w:bookmarkStart w:id="199" w:name="_Toc206493021"/>
      <w:r w:rsidRPr="004A2C19">
        <w:lastRenderedPageBreak/>
        <w:t>Organisational</w:t>
      </w:r>
      <w:r w:rsidR="005C6A6E" w:rsidRPr="004A2C19">
        <w:t xml:space="preserve"> </w:t>
      </w:r>
      <w:r w:rsidRPr="004A2C19">
        <w:t>structure</w:t>
      </w:r>
      <w:bookmarkEnd w:id="199"/>
    </w:p>
    <w:p w14:paraId="39B60831" w14:textId="47068144" w:rsidR="006A2247" w:rsidRDefault="006A2247">
      <w:pPr>
        <w:rPr>
          <w:rFonts w:cs="Arial"/>
        </w:rPr>
      </w:pPr>
    </w:p>
    <w:p w14:paraId="26FF4B22" w14:textId="72AD9A2D" w:rsidR="00C32DF2" w:rsidRDefault="00C04C7A">
      <w:pPr>
        <w:rPr>
          <w:rFonts w:cs="Arial"/>
        </w:rPr>
      </w:pPr>
      <w:r>
        <w:rPr>
          <w:rFonts w:cs="Arial"/>
          <w:noProof/>
        </w:rPr>
        <w:drawing>
          <wp:inline distT="0" distB="0" distL="0" distR="0" wp14:anchorId="00117BA7" wp14:editId="0773715F">
            <wp:extent cx="5961413" cy="8433880"/>
            <wp:effectExtent l="0" t="0" r="1270" b="5715"/>
            <wp:docPr id="1835688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6398" cy="8455080"/>
                    </a:xfrm>
                    <a:prstGeom prst="rect">
                      <a:avLst/>
                    </a:prstGeom>
                    <a:noFill/>
                  </pic:spPr>
                </pic:pic>
              </a:graphicData>
            </a:graphic>
          </wp:inline>
        </w:drawing>
      </w:r>
      <w:bookmarkStart w:id="200" w:name="_QBC_Board"/>
      <w:bookmarkEnd w:id="200"/>
    </w:p>
    <w:p w14:paraId="3004EE29" w14:textId="1E4ED646" w:rsidR="00F20526" w:rsidRPr="00791F48" w:rsidRDefault="00F20526" w:rsidP="00B01211">
      <w:pPr>
        <w:pStyle w:val="Heading3"/>
        <w:rPr>
          <w:szCs w:val="22"/>
        </w:rPr>
      </w:pPr>
      <w:r w:rsidRPr="00791F48">
        <w:rPr>
          <w:szCs w:val="22"/>
        </w:rPr>
        <w:lastRenderedPageBreak/>
        <w:t>QBC Board</w:t>
      </w:r>
    </w:p>
    <w:p w14:paraId="353031B1" w14:textId="513BF7B9" w:rsidR="008F2F5E" w:rsidRDefault="00540B1F" w:rsidP="008B2FF5">
      <w:pPr>
        <w:spacing w:before="120" w:after="120"/>
        <w:rPr>
          <w:rFonts w:cs="Arial"/>
          <w:szCs w:val="22"/>
        </w:rPr>
      </w:pPr>
      <w:r w:rsidRPr="00791F48">
        <w:rPr>
          <w:rFonts w:cs="Arial"/>
          <w:szCs w:val="22"/>
        </w:rPr>
        <w:t xml:space="preserve">The QBC Board is established </w:t>
      </w:r>
      <w:r w:rsidR="00253634">
        <w:rPr>
          <w:rFonts w:cs="Arial"/>
          <w:szCs w:val="22"/>
        </w:rPr>
        <w:t xml:space="preserve">as a requirement </w:t>
      </w:r>
      <w:r w:rsidR="00492C96">
        <w:rPr>
          <w:rFonts w:cs="Arial"/>
          <w:szCs w:val="22"/>
        </w:rPr>
        <w:t>of</w:t>
      </w:r>
      <w:r w:rsidRPr="00791F48">
        <w:rPr>
          <w:rFonts w:cs="Arial"/>
          <w:szCs w:val="22"/>
        </w:rPr>
        <w:t xml:space="preserve"> the QBCC Act </w:t>
      </w:r>
      <w:r w:rsidR="00684D63">
        <w:rPr>
          <w:rFonts w:cs="Arial"/>
          <w:szCs w:val="22"/>
        </w:rPr>
        <w:t xml:space="preserve">and serves </w:t>
      </w:r>
      <w:r w:rsidRPr="00791F48">
        <w:rPr>
          <w:rFonts w:cs="Arial"/>
          <w:szCs w:val="22"/>
        </w:rPr>
        <w:t>as the governing body</w:t>
      </w:r>
      <w:r w:rsidR="007C79DB">
        <w:rPr>
          <w:rFonts w:cs="Arial"/>
          <w:szCs w:val="22"/>
        </w:rPr>
        <w:t xml:space="preserve"> of the QBCC</w:t>
      </w:r>
      <w:r w:rsidRPr="00791F48">
        <w:rPr>
          <w:rFonts w:cs="Arial"/>
          <w:szCs w:val="22"/>
        </w:rPr>
        <w:t>.</w:t>
      </w:r>
      <w:r w:rsidR="00AD1D30">
        <w:rPr>
          <w:rFonts w:cs="Arial"/>
          <w:szCs w:val="22"/>
        </w:rPr>
        <w:t xml:space="preserve"> </w:t>
      </w:r>
      <w:r w:rsidR="007C79DB">
        <w:rPr>
          <w:rFonts w:cs="Arial"/>
          <w:szCs w:val="22"/>
        </w:rPr>
        <w:t>It</w:t>
      </w:r>
      <w:r w:rsidR="00AD1D30" w:rsidRPr="00AD1D30">
        <w:rPr>
          <w:rFonts w:cs="Arial"/>
          <w:szCs w:val="22"/>
        </w:rPr>
        <w:t xml:space="preserve"> is responsible for setting </w:t>
      </w:r>
      <w:r w:rsidR="007C79DB">
        <w:rPr>
          <w:rFonts w:cs="Arial"/>
          <w:szCs w:val="22"/>
        </w:rPr>
        <w:t xml:space="preserve">the </w:t>
      </w:r>
      <w:r w:rsidR="00AD1D30" w:rsidRPr="00AD1D30">
        <w:rPr>
          <w:rFonts w:cs="Arial"/>
          <w:szCs w:val="22"/>
        </w:rPr>
        <w:t>strateg</w:t>
      </w:r>
      <w:r w:rsidR="00AF4545">
        <w:rPr>
          <w:rFonts w:cs="Arial"/>
          <w:szCs w:val="22"/>
        </w:rPr>
        <w:t>ic</w:t>
      </w:r>
      <w:r w:rsidR="00B041C2">
        <w:rPr>
          <w:rFonts w:cs="Arial"/>
          <w:szCs w:val="22"/>
        </w:rPr>
        <w:t xml:space="preserve"> direction and overseeing the</w:t>
      </w:r>
      <w:r w:rsidR="00842A2D">
        <w:rPr>
          <w:rFonts w:cs="Arial"/>
          <w:szCs w:val="22"/>
        </w:rPr>
        <w:t xml:space="preserve"> </w:t>
      </w:r>
      <w:r w:rsidR="00AD1D30" w:rsidRPr="00AD1D30">
        <w:rPr>
          <w:rFonts w:cs="Arial"/>
          <w:szCs w:val="22"/>
        </w:rPr>
        <w:t xml:space="preserve">operational, administrative and financial policies </w:t>
      </w:r>
      <w:r w:rsidR="00B041C2">
        <w:rPr>
          <w:rFonts w:cs="Arial"/>
          <w:szCs w:val="22"/>
        </w:rPr>
        <w:t>that guide</w:t>
      </w:r>
      <w:r w:rsidR="00AD1D30" w:rsidRPr="00AD1D30">
        <w:rPr>
          <w:rFonts w:cs="Arial"/>
          <w:szCs w:val="22"/>
        </w:rPr>
        <w:t xml:space="preserve"> the QBCC. </w:t>
      </w:r>
      <w:r w:rsidR="00CE14E6">
        <w:rPr>
          <w:rFonts w:cs="Arial"/>
          <w:szCs w:val="22"/>
        </w:rPr>
        <w:t xml:space="preserve">The </w:t>
      </w:r>
      <w:r w:rsidR="00E97A78">
        <w:rPr>
          <w:rFonts w:cs="Arial"/>
          <w:szCs w:val="22"/>
        </w:rPr>
        <w:t>b</w:t>
      </w:r>
      <w:r w:rsidR="00CE14E6">
        <w:rPr>
          <w:rFonts w:cs="Arial"/>
          <w:szCs w:val="22"/>
        </w:rPr>
        <w:t>oard</w:t>
      </w:r>
      <w:r w:rsidR="00AD1D30" w:rsidRPr="00AD1D30">
        <w:rPr>
          <w:rFonts w:cs="Arial"/>
          <w:szCs w:val="22"/>
        </w:rPr>
        <w:t xml:space="preserve"> ensures </w:t>
      </w:r>
      <w:r w:rsidR="00396283">
        <w:rPr>
          <w:rFonts w:cs="Arial"/>
          <w:szCs w:val="22"/>
        </w:rPr>
        <w:t xml:space="preserve">the QBCC </w:t>
      </w:r>
      <w:r w:rsidR="00AD1D30" w:rsidRPr="00AD1D30">
        <w:rPr>
          <w:rFonts w:cs="Arial"/>
          <w:szCs w:val="22"/>
        </w:rPr>
        <w:t>perform</w:t>
      </w:r>
      <w:r w:rsidR="00396283">
        <w:rPr>
          <w:rFonts w:cs="Arial"/>
          <w:szCs w:val="22"/>
        </w:rPr>
        <w:t xml:space="preserve">s its </w:t>
      </w:r>
      <w:r w:rsidR="00AD1D30" w:rsidRPr="00AD1D30">
        <w:rPr>
          <w:rFonts w:cs="Arial"/>
          <w:szCs w:val="22"/>
        </w:rPr>
        <w:t>functions and exercise</w:t>
      </w:r>
      <w:r w:rsidR="00A031EE">
        <w:rPr>
          <w:rFonts w:cs="Arial"/>
          <w:szCs w:val="22"/>
        </w:rPr>
        <w:t xml:space="preserve">s its </w:t>
      </w:r>
      <w:r w:rsidR="00AD1D30" w:rsidRPr="00AD1D30">
        <w:rPr>
          <w:rFonts w:cs="Arial"/>
          <w:szCs w:val="22"/>
        </w:rPr>
        <w:t xml:space="preserve">powers </w:t>
      </w:r>
      <w:r w:rsidR="0087532B">
        <w:rPr>
          <w:rFonts w:cs="Arial"/>
          <w:szCs w:val="22"/>
        </w:rPr>
        <w:t>appropriately</w:t>
      </w:r>
      <w:r w:rsidR="00AD1D30" w:rsidRPr="00AD1D30">
        <w:rPr>
          <w:rFonts w:cs="Arial"/>
          <w:szCs w:val="22"/>
        </w:rPr>
        <w:t>, effective</w:t>
      </w:r>
      <w:r w:rsidR="00E97A78">
        <w:rPr>
          <w:rFonts w:cs="Arial"/>
          <w:szCs w:val="22"/>
        </w:rPr>
        <w:t>ly</w:t>
      </w:r>
      <w:r w:rsidR="00AD1D30" w:rsidRPr="00AD1D30">
        <w:rPr>
          <w:rFonts w:cs="Arial"/>
          <w:szCs w:val="22"/>
        </w:rPr>
        <w:t xml:space="preserve"> and efficient</w:t>
      </w:r>
      <w:r w:rsidR="00E97A78">
        <w:rPr>
          <w:rFonts w:cs="Arial"/>
          <w:szCs w:val="22"/>
        </w:rPr>
        <w:t>ly</w:t>
      </w:r>
      <w:r w:rsidR="00AD1D30" w:rsidRPr="00AD1D30">
        <w:rPr>
          <w:rFonts w:cs="Arial"/>
          <w:szCs w:val="22"/>
        </w:rPr>
        <w:t xml:space="preserve">. </w:t>
      </w:r>
    </w:p>
    <w:p w14:paraId="4AF8B5D3" w14:textId="51A971C8" w:rsidR="00FA0944" w:rsidRPr="00791F48" w:rsidRDefault="00110244" w:rsidP="008B2FF5">
      <w:pPr>
        <w:spacing w:before="120" w:after="120"/>
        <w:rPr>
          <w:rFonts w:cs="Arial"/>
        </w:rPr>
      </w:pPr>
      <w:r w:rsidRPr="57F83FA6">
        <w:rPr>
          <w:rFonts w:cs="Arial"/>
        </w:rPr>
        <w:t>T</w:t>
      </w:r>
      <w:r w:rsidR="00540B1F" w:rsidRPr="57F83FA6">
        <w:rPr>
          <w:rFonts w:cs="Arial"/>
        </w:rPr>
        <w:t xml:space="preserve">he QBC Board </w:t>
      </w:r>
      <w:r w:rsidR="00ED1D84" w:rsidRPr="57F83FA6">
        <w:rPr>
          <w:rFonts w:cs="Arial"/>
        </w:rPr>
        <w:t>is composed</w:t>
      </w:r>
      <w:r w:rsidR="00540B1F" w:rsidRPr="57F83FA6">
        <w:rPr>
          <w:rFonts w:cs="Arial"/>
        </w:rPr>
        <w:t xml:space="preserve"> of independent</w:t>
      </w:r>
      <w:r w:rsidR="00686151" w:rsidRPr="57F83FA6">
        <w:rPr>
          <w:rFonts w:cs="Arial"/>
        </w:rPr>
        <w:t>,</w:t>
      </w:r>
      <w:r w:rsidR="00540B1F" w:rsidRPr="57F83FA6">
        <w:rPr>
          <w:rFonts w:cs="Arial"/>
        </w:rPr>
        <w:t xml:space="preserve"> non-executive members</w:t>
      </w:r>
      <w:r w:rsidR="00B3136D" w:rsidRPr="57F83FA6">
        <w:rPr>
          <w:rFonts w:cs="Arial"/>
        </w:rPr>
        <w:t xml:space="preserve"> appointed by the Governor in Council for </w:t>
      </w:r>
      <w:r w:rsidR="006C6BC1" w:rsidRPr="57F83FA6">
        <w:rPr>
          <w:rFonts w:cs="Arial"/>
        </w:rPr>
        <w:t>terms of up to</w:t>
      </w:r>
      <w:r w:rsidR="00B3136D" w:rsidRPr="57F83FA6">
        <w:rPr>
          <w:rFonts w:cs="Arial"/>
        </w:rPr>
        <w:t xml:space="preserve"> three</w:t>
      </w:r>
      <w:r w:rsidR="006C6BC1" w:rsidRPr="57F83FA6">
        <w:rPr>
          <w:rFonts w:cs="Arial"/>
        </w:rPr>
        <w:t xml:space="preserve"> </w:t>
      </w:r>
      <w:r w:rsidR="00B3136D" w:rsidRPr="57F83FA6">
        <w:rPr>
          <w:rFonts w:cs="Arial"/>
        </w:rPr>
        <w:t>year</w:t>
      </w:r>
      <w:r w:rsidR="006C6BC1" w:rsidRPr="57F83FA6">
        <w:rPr>
          <w:rFonts w:cs="Arial"/>
        </w:rPr>
        <w:t>s</w:t>
      </w:r>
      <w:r w:rsidR="00B3136D" w:rsidRPr="57F83FA6">
        <w:rPr>
          <w:rFonts w:cs="Arial"/>
        </w:rPr>
        <w:t xml:space="preserve">. </w:t>
      </w:r>
      <w:r w:rsidR="00A41135" w:rsidRPr="57F83FA6">
        <w:rPr>
          <w:rFonts w:cs="Arial"/>
        </w:rPr>
        <w:t xml:space="preserve">In April 2025, </w:t>
      </w:r>
      <w:r w:rsidR="006B6D74" w:rsidRPr="57F83FA6">
        <w:rPr>
          <w:rFonts w:cs="Arial"/>
        </w:rPr>
        <w:t xml:space="preserve">Greg Chemello </w:t>
      </w:r>
      <w:r w:rsidR="006C6BC1" w:rsidRPr="57F83FA6">
        <w:rPr>
          <w:rFonts w:cs="Arial"/>
        </w:rPr>
        <w:t xml:space="preserve">was </w:t>
      </w:r>
      <w:r w:rsidR="003F6A59" w:rsidRPr="57F83FA6">
        <w:rPr>
          <w:rFonts w:cs="Arial"/>
        </w:rPr>
        <w:t>appointed as the new QBC Board Chair</w:t>
      </w:r>
      <w:r w:rsidR="006B6D74" w:rsidRPr="57F83FA6">
        <w:rPr>
          <w:rFonts w:cs="Arial"/>
        </w:rPr>
        <w:t xml:space="preserve"> </w:t>
      </w:r>
      <w:r w:rsidR="00E71CAA" w:rsidRPr="57F83FA6" w:rsidDel="003F6A59">
        <w:rPr>
          <w:rFonts w:cs="Arial"/>
        </w:rPr>
        <w:t xml:space="preserve">and </w:t>
      </w:r>
      <w:r w:rsidR="004459B9" w:rsidRPr="57F83FA6">
        <w:rPr>
          <w:rFonts w:cs="Arial"/>
        </w:rPr>
        <w:t>Amelia Hodge</w:t>
      </w:r>
      <w:r w:rsidR="003F6A59" w:rsidRPr="57F83FA6">
        <w:rPr>
          <w:rFonts w:cs="Arial"/>
        </w:rPr>
        <w:t xml:space="preserve"> joined as a </w:t>
      </w:r>
      <w:r w:rsidR="007A4A3B" w:rsidRPr="57F83FA6">
        <w:rPr>
          <w:rFonts w:cs="Arial"/>
        </w:rPr>
        <w:t>board member</w:t>
      </w:r>
      <w:r w:rsidR="00E92A59" w:rsidRPr="57F83FA6">
        <w:rPr>
          <w:rFonts w:cs="Arial"/>
        </w:rPr>
        <w:t>.</w:t>
      </w:r>
      <w:r w:rsidR="000708A1" w:rsidRPr="57F83FA6">
        <w:rPr>
          <w:rFonts w:cs="Arial"/>
        </w:rPr>
        <w:t xml:space="preserve"> </w:t>
      </w:r>
      <w:r w:rsidR="008758C2" w:rsidRPr="57F83FA6">
        <w:rPr>
          <w:rFonts w:cs="Arial"/>
        </w:rPr>
        <w:t xml:space="preserve">During the reporting period, </w:t>
      </w:r>
      <w:r w:rsidR="00B75121" w:rsidRPr="57F83FA6">
        <w:rPr>
          <w:rFonts w:cs="Arial"/>
        </w:rPr>
        <w:t xml:space="preserve">the </w:t>
      </w:r>
      <w:r w:rsidR="004A5631" w:rsidRPr="57F83FA6">
        <w:rPr>
          <w:rFonts w:cs="Arial"/>
        </w:rPr>
        <w:t xml:space="preserve">former QBC Board Chair </w:t>
      </w:r>
      <w:r w:rsidR="00D33B09" w:rsidRPr="57F83FA6">
        <w:rPr>
          <w:rFonts w:cs="Arial"/>
        </w:rPr>
        <w:t xml:space="preserve">departed on </w:t>
      </w:r>
      <w:r w:rsidR="006F0A3E" w:rsidRPr="57F83FA6">
        <w:rPr>
          <w:rFonts w:cs="Arial"/>
        </w:rPr>
        <w:t>26 Feb</w:t>
      </w:r>
      <w:r w:rsidR="00681574" w:rsidRPr="57F83FA6">
        <w:rPr>
          <w:rFonts w:cs="Arial"/>
        </w:rPr>
        <w:t>ruary 2025</w:t>
      </w:r>
      <w:r w:rsidR="00386D24" w:rsidRPr="57F83FA6">
        <w:rPr>
          <w:rFonts w:cs="Arial"/>
        </w:rPr>
        <w:t>. Sep</w:t>
      </w:r>
      <w:r w:rsidR="00EB0076" w:rsidRPr="57F83FA6">
        <w:rPr>
          <w:rFonts w:cs="Arial"/>
        </w:rPr>
        <w:t xml:space="preserve">arately, </w:t>
      </w:r>
      <w:r w:rsidR="00550A6E" w:rsidRPr="57F83FA6">
        <w:rPr>
          <w:rFonts w:cs="Arial"/>
        </w:rPr>
        <w:t xml:space="preserve">board member </w:t>
      </w:r>
      <w:r w:rsidR="004F6C5F" w:rsidRPr="57F83FA6">
        <w:rPr>
          <w:rFonts w:cs="Arial"/>
        </w:rPr>
        <w:t xml:space="preserve">Suzanne Baker </w:t>
      </w:r>
      <w:r w:rsidR="00EB0076" w:rsidRPr="57F83FA6">
        <w:rPr>
          <w:rFonts w:cs="Arial"/>
        </w:rPr>
        <w:t xml:space="preserve">also concluded their term on </w:t>
      </w:r>
      <w:r w:rsidR="00C65636" w:rsidRPr="57F83FA6">
        <w:rPr>
          <w:rFonts w:cs="Arial"/>
        </w:rPr>
        <w:t>15 December 2024</w:t>
      </w:r>
      <w:r w:rsidR="00CA4A5F" w:rsidRPr="57F83FA6">
        <w:rPr>
          <w:rFonts w:cs="Arial"/>
        </w:rPr>
        <w:t xml:space="preserve">. </w:t>
      </w:r>
      <w:r w:rsidR="00540B1F" w:rsidRPr="57F83FA6">
        <w:rPr>
          <w:rFonts w:cs="Arial"/>
        </w:rPr>
        <w:t xml:space="preserve">The QBC Board </w:t>
      </w:r>
      <w:r w:rsidR="007A4A3B" w:rsidRPr="57F83FA6">
        <w:rPr>
          <w:rFonts w:cs="Arial"/>
        </w:rPr>
        <w:t>members</w:t>
      </w:r>
      <w:r w:rsidR="00540B1F" w:rsidRPr="57F83FA6">
        <w:rPr>
          <w:rFonts w:cs="Arial"/>
        </w:rPr>
        <w:t xml:space="preserve"> act in accordance with the QBCC Act and the </w:t>
      </w:r>
      <w:r w:rsidR="007B4871" w:rsidRPr="57F83FA6">
        <w:rPr>
          <w:rFonts w:cs="Arial"/>
        </w:rPr>
        <w:t>QBC</w:t>
      </w:r>
      <w:r w:rsidR="00540B1F" w:rsidRPr="57F83FA6">
        <w:rPr>
          <w:rFonts w:cs="Arial"/>
        </w:rPr>
        <w:t xml:space="preserve"> Board Charter.</w:t>
      </w:r>
      <w:r w:rsidR="005D0685" w:rsidRPr="57F83FA6">
        <w:rPr>
          <w:rFonts w:cs="Arial"/>
        </w:rPr>
        <w:t xml:space="preserve"> </w:t>
      </w:r>
      <w:r w:rsidR="00CF1FBA" w:rsidRPr="57F83FA6">
        <w:rPr>
          <w:rFonts w:cs="Arial"/>
        </w:rPr>
        <w:t xml:space="preserve">To </w:t>
      </w:r>
      <w:r w:rsidR="00652A14" w:rsidRPr="57F83FA6">
        <w:rPr>
          <w:rFonts w:cs="Arial"/>
        </w:rPr>
        <w:t xml:space="preserve">support </w:t>
      </w:r>
      <w:r w:rsidR="00CF1FBA" w:rsidRPr="57F83FA6">
        <w:rPr>
          <w:rFonts w:cs="Arial"/>
        </w:rPr>
        <w:t xml:space="preserve">timely and effective governance, </w:t>
      </w:r>
      <w:r w:rsidR="00A80495" w:rsidRPr="57F83FA6">
        <w:rPr>
          <w:rFonts w:cs="Arial"/>
        </w:rPr>
        <w:t>there were 10 board meetings held</w:t>
      </w:r>
      <w:r w:rsidR="00CD21EE" w:rsidRPr="57F83FA6">
        <w:rPr>
          <w:rFonts w:cs="Arial"/>
        </w:rPr>
        <w:t xml:space="preserve"> </w:t>
      </w:r>
      <w:r w:rsidR="00501417" w:rsidRPr="57F83FA6">
        <w:rPr>
          <w:rFonts w:cs="Arial"/>
        </w:rPr>
        <w:t xml:space="preserve">in 2024–25 </w:t>
      </w:r>
      <w:r w:rsidR="00687F6D" w:rsidRPr="57F83FA6">
        <w:rPr>
          <w:rFonts w:cs="Arial"/>
        </w:rPr>
        <w:t>and</w:t>
      </w:r>
      <w:r w:rsidR="00540B1F" w:rsidRPr="57F83FA6">
        <w:rPr>
          <w:rFonts w:cs="Arial"/>
        </w:rPr>
        <w:t xml:space="preserve"> </w:t>
      </w:r>
      <w:r w:rsidR="001A19DC" w:rsidRPr="57F83FA6">
        <w:rPr>
          <w:rFonts w:cs="Arial"/>
        </w:rPr>
        <w:t>the QBC Board</w:t>
      </w:r>
      <w:r w:rsidR="00540B1F" w:rsidRPr="57F83FA6">
        <w:rPr>
          <w:rFonts w:cs="Arial"/>
        </w:rPr>
        <w:t xml:space="preserve"> </w:t>
      </w:r>
      <w:r w:rsidR="003C0024" w:rsidRPr="57F83FA6">
        <w:rPr>
          <w:rFonts w:cs="Arial"/>
        </w:rPr>
        <w:t xml:space="preserve">also addressed </w:t>
      </w:r>
      <w:r w:rsidR="00540B1F" w:rsidRPr="57F83FA6">
        <w:rPr>
          <w:rFonts w:cs="Arial"/>
        </w:rPr>
        <w:t xml:space="preserve">urgent </w:t>
      </w:r>
      <w:r w:rsidR="0034400C" w:rsidRPr="57F83FA6">
        <w:rPr>
          <w:rFonts w:cs="Arial"/>
        </w:rPr>
        <w:t>or</w:t>
      </w:r>
      <w:r w:rsidR="00540B1F" w:rsidRPr="57F83FA6">
        <w:rPr>
          <w:rFonts w:cs="Arial"/>
        </w:rPr>
        <w:t xml:space="preserve"> complex matters out</w:t>
      </w:r>
      <w:r w:rsidR="0017392F" w:rsidRPr="57F83FA6">
        <w:rPr>
          <w:rFonts w:cs="Arial"/>
        </w:rPr>
        <w:t>side scheduled meetings through</w:t>
      </w:r>
      <w:r w:rsidR="00540B1F" w:rsidRPr="57F83FA6">
        <w:rPr>
          <w:rFonts w:cs="Arial"/>
        </w:rPr>
        <w:t xml:space="preserve"> circular resolutions.</w:t>
      </w:r>
    </w:p>
    <w:p w14:paraId="39A30F0A" w14:textId="54C92E1F" w:rsidR="00A378A1" w:rsidRPr="00791F48" w:rsidRDefault="00A378A1" w:rsidP="00586C47">
      <w:pPr>
        <w:pStyle w:val="Heading3"/>
        <w:rPr>
          <w:szCs w:val="22"/>
        </w:rPr>
      </w:pPr>
      <w:bookmarkStart w:id="201" w:name="_QBC_Board_members"/>
      <w:bookmarkEnd w:id="201"/>
      <w:r w:rsidRPr="00791F48">
        <w:rPr>
          <w:szCs w:val="22"/>
        </w:rPr>
        <w:t>QBC Board</w:t>
      </w:r>
      <w:r w:rsidR="0061111F" w:rsidRPr="00791F48">
        <w:rPr>
          <w:szCs w:val="22"/>
        </w:rPr>
        <w:t xml:space="preserve"> m</w:t>
      </w:r>
      <w:r w:rsidRPr="00791F48">
        <w:rPr>
          <w:szCs w:val="22"/>
        </w:rPr>
        <w:t xml:space="preserve">embers </w:t>
      </w:r>
    </w:p>
    <w:p w14:paraId="0193795A" w14:textId="6F9F567F" w:rsidR="003C14D7" w:rsidRDefault="009503A3" w:rsidP="00646D5D">
      <w:pPr>
        <w:spacing w:before="120" w:after="120"/>
        <w:rPr>
          <w:rFonts w:cs="Arial"/>
        </w:rPr>
      </w:pPr>
      <w:r>
        <w:rPr>
          <w:rFonts w:cs="Arial"/>
        </w:rPr>
        <w:t>A</w:t>
      </w:r>
      <w:r w:rsidRPr="009503A3">
        <w:rPr>
          <w:rFonts w:cs="Arial"/>
        </w:rPr>
        <w:t xml:space="preserve">s recorded </w:t>
      </w:r>
      <w:r w:rsidR="00AB1BAF">
        <w:rPr>
          <w:rFonts w:cs="Arial"/>
        </w:rPr>
        <w:t xml:space="preserve">on 30 </w:t>
      </w:r>
      <w:r w:rsidRPr="009503A3">
        <w:rPr>
          <w:rFonts w:cs="Arial"/>
        </w:rPr>
        <w:t>June 2025</w:t>
      </w:r>
      <w:r w:rsidR="00AB1BAF">
        <w:rPr>
          <w:rFonts w:cs="Arial"/>
        </w:rPr>
        <w:t xml:space="preserve">, </w:t>
      </w:r>
      <w:r w:rsidR="00F1005C">
        <w:rPr>
          <w:rFonts w:cs="Arial"/>
        </w:rPr>
        <w:t xml:space="preserve">the QBC Board </w:t>
      </w:r>
      <w:r w:rsidR="004A590A">
        <w:rPr>
          <w:rFonts w:cs="Arial"/>
        </w:rPr>
        <w:t>comprises seven members</w:t>
      </w:r>
      <w:r w:rsidR="00093126">
        <w:rPr>
          <w:rFonts w:cs="Arial"/>
        </w:rPr>
        <w:t xml:space="preserve">. </w:t>
      </w:r>
      <w:r w:rsidR="00346489">
        <w:rPr>
          <w:rFonts w:cs="Arial"/>
        </w:rPr>
        <w:t>Collectively, their expertise spans</w:t>
      </w:r>
      <w:r w:rsidR="00093126">
        <w:rPr>
          <w:rFonts w:cs="Arial"/>
        </w:rPr>
        <w:t xml:space="preserve"> </w:t>
      </w:r>
      <w:r w:rsidR="00093126" w:rsidRPr="001E304A">
        <w:rPr>
          <w:rFonts w:cs="Arial"/>
        </w:rPr>
        <w:t xml:space="preserve">public and private sector leadership, stakeholder engagement, infrastructure delivery, corporate governance </w:t>
      </w:r>
      <w:r w:rsidR="001B7879">
        <w:rPr>
          <w:rFonts w:cs="Arial"/>
        </w:rPr>
        <w:t xml:space="preserve">and </w:t>
      </w:r>
      <w:r w:rsidR="00093126" w:rsidRPr="001E304A">
        <w:rPr>
          <w:rFonts w:cs="Arial"/>
        </w:rPr>
        <w:t>construction law.</w:t>
      </w:r>
      <w:r w:rsidR="00093126">
        <w:rPr>
          <w:rFonts w:cs="Arial"/>
        </w:rPr>
        <w:t xml:space="preserve"> </w:t>
      </w:r>
      <w:r w:rsidR="00783F13">
        <w:rPr>
          <w:rFonts w:cs="Arial"/>
        </w:rPr>
        <w:t xml:space="preserve">The QBC Board members and their profiles are described </w:t>
      </w:r>
      <w:r w:rsidR="003C14D7">
        <w:rPr>
          <w:rFonts w:cs="Arial"/>
        </w:rPr>
        <w:t xml:space="preserve">in </w:t>
      </w:r>
      <w:r w:rsidR="006158B0">
        <w:rPr>
          <w:rFonts w:cs="Arial"/>
        </w:rPr>
        <w:t>Table 31</w:t>
      </w:r>
      <w:r w:rsidR="003C14D7">
        <w:rPr>
          <w:rFonts w:cs="Arial"/>
        </w:rPr>
        <w:fldChar w:fldCharType="begin"/>
      </w:r>
      <w:r w:rsidR="003C14D7">
        <w:rPr>
          <w:rFonts w:cs="Arial"/>
        </w:rPr>
        <w:instrText xml:space="preserve"> REF _Ref201912144 \h </w:instrText>
      </w:r>
      <w:r w:rsidR="003C14D7">
        <w:rPr>
          <w:rFonts w:cs="Arial"/>
        </w:rPr>
      </w:r>
      <w:r w:rsidR="003C14D7">
        <w:rPr>
          <w:rFonts w:cs="Arial"/>
        </w:rPr>
        <w:fldChar w:fldCharType="separate"/>
      </w:r>
      <w:r w:rsidR="003C14D7">
        <w:rPr>
          <w:rFonts w:cs="Arial"/>
        </w:rPr>
        <w:fldChar w:fldCharType="end"/>
      </w:r>
      <w:r w:rsidR="00783F13">
        <w:rPr>
          <w:rFonts w:cs="Arial"/>
        </w:rPr>
        <w:t>.</w:t>
      </w:r>
    </w:p>
    <w:p w14:paraId="3DF069FB" w14:textId="232AC9F5" w:rsidR="002E5BD8" w:rsidRPr="00B404EA" w:rsidRDefault="003C14D7" w:rsidP="00646D5D">
      <w:pPr>
        <w:pStyle w:val="Caption"/>
        <w:spacing w:before="120" w:after="120"/>
      </w:pPr>
      <w:bookmarkStart w:id="202" w:name="_Ref201912144"/>
      <w:bookmarkStart w:id="203" w:name="_Toc202872062"/>
      <w:bookmarkStart w:id="204" w:name="_Toc202872682"/>
      <w:r>
        <w:t xml:space="preserve">Table </w:t>
      </w:r>
      <w:r w:rsidR="003C619C">
        <w:t>31</w:t>
      </w:r>
      <w:r>
        <w:fldChar w:fldCharType="begin"/>
      </w:r>
      <w:r>
        <w:instrText>SEQ Table \* ARABIC</w:instrText>
      </w:r>
      <w:r>
        <w:fldChar w:fldCharType="separate"/>
      </w:r>
      <w:r>
        <w:fldChar w:fldCharType="end"/>
      </w:r>
      <w:bookmarkEnd w:id="202"/>
      <w:r w:rsidRPr="00491139">
        <w:t xml:space="preserve">: </w:t>
      </w:r>
      <w:bookmarkStart w:id="205" w:name="_Ref202873617"/>
      <w:r w:rsidRPr="00491139">
        <w:t xml:space="preserve">QBC Board </w:t>
      </w:r>
      <w:r w:rsidR="00356EC7">
        <w:t>m</w:t>
      </w:r>
      <w:r>
        <w:t>ember</w:t>
      </w:r>
      <w:r w:rsidR="007E33D0">
        <w:t>s</w:t>
      </w:r>
      <w:r w:rsidR="00356EC7">
        <w:t xml:space="preserve"> and </w:t>
      </w:r>
      <w:r w:rsidR="007E33D0">
        <w:t xml:space="preserve">their </w:t>
      </w:r>
      <w:r w:rsidR="00356EC7">
        <w:t xml:space="preserve">profiles </w:t>
      </w:r>
      <w:r w:rsidR="006E7B6B">
        <w:t>as of 30 June 2025</w:t>
      </w:r>
      <w:bookmarkEnd w:id="203"/>
      <w:bookmarkEnd w:id="204"/>
      <w:bookmarkEnd w:id="205"/>
    </w:p>
    <w:tbl>
      <w:tblPr>
        <w:tblStyle w:val="TableGrid"/>
        <w:tblW w:w="0" w:type="auto"/>
        <w:tblLook w:val="04A0" w:firstRow="1" w:lastRow="0" w:firstColumn="1" w:lastColumn="0" w:noHBand="0" w:noVBand="1"/>
      </w:tblPr>
      <w:tblGrid>
        <w:gridCol w:w="2972"/>
        <w:gridCol w:w="7478"/>
      </w:tblGrid>
      <w:tr w:rsidR="004A2C19" w:rsidRPr="006C5AB4" w14:paraId="5FFADC0D" w14:textId="77777777" w:rsidTr="001254B0">
        <w:tc>
          <w:tcPr>
            <w:tcW w:w="2972" w:type="dxa"/>
            <w:shd w:val="clear" w:color="auto" w:fill="A6A6A6" w:themeFill="background1" w:themeFillShade="A6"/>
          </w:tcPr>
          <w:p w14:paraId="23D5232A" w14:textId="24647013" w:rsidR="0021293F" w:rsidRPr="004A2C19" w:rsidRDefault="0021293F" w:rsidP="004B26BC">
            <w:pPr>
              <w:rPr>
                <w:rFonts w:cs="Arial"/>
                <w:b/>
              </w:rPr>
            </w:pPr>
            <w:r w:rsidRPr="004A2C19">
              <w:rPr>
                <w:rFonts w:cs="Arial"/>
                <w:b/>
              </w:rPr>
              <w:t xml:space="preserve">Name and </w:t>
            </w:r>
            <w:r w:rsidR="00933C78">
              <w:rPr>
                <w:rFonts w:cs="Arial"/>
                <w:b/>
              </w:rPr>
              <w:t>p</w:t>
            </w:r>
            <w:r w:rsidRPr="004A2C19">
              <w:rPr>
                <w:rFonts w:cs="Arial"/>
                <w:b/>
              </w:rPr>
              <w:t xml:space="preserve">osition </w:t>
            </w:r>
          </w:p>
        </w:tc>
        <w:tc>
          <w:tcPr>
            <w:tcW w:w="7478" w:type="dxa"/>
            <w:shd w:val="clear" w:color="auto" w:fill="A6A6A6" w:themeFill="background1" w:themeFillShade="A6"/>
          </w:tcPr>
          <w:p w14:paraId="42B2C9F7" w14:textId="35DBC413" w:rsidR="0021293F" w:rsidRPr="004A2C19" w:rsidRDefault="0021293F" w:rsidP="004B26BC">
            <w:pPr>
              <w:rPr>
                <w:rFonts w:cs="Arial"/>
                <w:b/>
              </w:rPr>
            </w:pPr>
            <w:r w:rsidRPr="004A2C19">
              <w:rPr>
                <w:rFonts w:cs="Arial"/>
                <w:b/>
              </w:rPr>
              <w:t xml:space="preserve">Profile </w:t>
            </w:r>
          </w:p>
        </w:tc>
      </w:tr>
      <w:tr w:rsidR="004A2C19" w:rsidRPr="00133C61" w14:paraId="6D7E314E" w14:textId="77777777" w:rsidTr="00802DFB">
        <w:tc>
          <w:tcPr>
            <w:tcW w:w="2972" w:type="dxa"/>
          </w:tcPr>
          <w:p w14:paraId="0C8EE1C4" w14:textId="2CC58A71" w:rsidR="0021293F" w:rsidRPr="004B26BC" w:rsidRDefault="0A67C2AF" w:rsidP="004B26BC">
            <w:pPr>
              <w:rPr>
                <w:rFonts w:cs="Arial"/>
                <w:b/>
              </w:rPr>
            </w:pPr>
            <w:r w:rsidRPr="004B26BC">
              <w:rPr>
                <w:rFonts w:cs="Arial"/>
                <w:b/>
              </w:rPr>
              <w:t>Greg Chemello</w:t>
            </w:r>
          </w:p>
          <w:p w14:paraId="108D34D7" w14:textId="618D6EA0" w:rsidR="00770D9B" w:rsidRPr="00C931AE" w:rsidRDefault="00770D9B" w:rsidP="004B26BC">
            <w:pPr>
              <w:rPr>
                <w:rFonts w:cs="Arial"/>
                <w:i/>
                <w:iCs/>
              </w:rPr>
            </w:pPr>
            <w:r w:rsidRPr="00C931AE">
              <w:rPr>
                <w:rFonts w:cs="Arial"/>
                <w:i/>
                <w:iCs/>
              </w:rPr>
              <w:t xml:space="preserve">BRTP(Hons), </w:t>
            </w:r>
            <w:bookmarkStart w:id="206" w:name="_Int_5CizwtPs"/>
            <w:proofErr w:type="gramStart"/>
            <w:r w:rsidRPr="00C931AE">
              <w:rPr>
                <w:rFonts w:cs="Arial"/>
                <w:i/>
                <w:iCs/>
              </w:rPr>
              <w:t>MSc(</w:t>
            </w:r>
            <w:bookmarkEnd w:id="206"/>
            <w:proofErr w:type="spellStart"/>
            <w:proofErr w:type="gramEnd"/>
            <w:r w:rsidRPr="00C931AE">
              <w:rPr>
                <w:rFonts w:cs="Arial"/>
                <w:i/>
                <w:iCs/>
              </w:rPr>
              <w:t>EnvMgt</w:t>
            </w:r>
            <w:proofErr w:type="spellEnd"/>
            <w:r w:rsidRPr="00C931AE">
              <w:rPr>
                <w:rFonts w:cs="Arial"/>
                <w:i/>
                <w:iCs/>
              </w:rPr>
              <w:t>), MBA, FAICD</w:t>
            </w:r>
          </w:p>
          <w:p w14:paraId="2BC8B28D" w14:textId="02B4492A" w:rsidR="0021293F" w:rsidRPr="00DF3E78" w:rsidRDefault="0A67C2AF" w:rsidP="004B26BC">
            <w:pPr>
              <w:rPr>
                <w:rFonts w:cs="Arial"/>
              </w:rPr>
            </w:pPr>
            <w:r w:rsidRPr="6A061648">
              <w:rPr>
                <w:rFonts w:cs="Arial"/>
              </w:rPr>
              <w:t>Chair</w:t>
            </w:r>
          </w:p>
          <w:p w14:paraId="2E7C76D0" w14:textId="03A0B36B" w:rsidR="0021293F" w:rsidRPr="00DF3E78" w:rsidRDefault="0021293F" w:rsidP="004B26BC">
            <w:pPr>
              <w:rPr>
                <w:rFonts w:cs="Arial"/>
              </w:rPr>
            </w:pPr>
          </w:p>
        </w:tc>
        <w:tc>
          <w:tcPr>
            <w:tcW w:w="7478" w:type="dxa"/>
          </w:tcPr>
          <w:p w14:paraId="77E6D4CA" w14:textId="5F78F947" w:rsidR="0021293F" w:rsidRPr="000E522E" w:rsidRDefault="004013A4" w:rsidP="004B26BC">
            <w:pPr>
              <w:rPr>
                <w:rFonts w:cs="Arial"/>
              </w:rPr>
            </w:pPr>
            <w:r>
              <w:rPr>
                <w:rFonts w:cs="Arial"/>
              </w:rPr>
              <w:t>Greg</w:t>
            </w:r>
            <w:r w:rsidR="0A67C2AF" w:rsidRPr="476106EE">
              <w:rPr>
                <w:rFonts w:cs="Arial"/>
              </w:rPr>
              <w:t xml:space="preserve"> </w:t>
            </w:r>
            <w:r w:rsidR="00E858D8">
              <w:rPr>
                <w:rFonts w:cs="Arial"/>
              </w:rPr>
              <w:t xml:space="preserve">brings </w:t>
            </w:r>
            <w:r w:rsidR="00652A0D">
              <w:rPr>
                <w:rFonts w:cs="Arial"/>
              </w:rPr>
              <w:t>more than</w:t>
            </w:r>
            <w:r w:rsidR="0A67C2AF" w:rsidRPr="476106EE">
              <w:rPr>
                <w:rFonts w:cs="Arial"/>
              </w:rPr>
              <w:t xml:space="preserve"> 30 years</w:t>
            </w:r>
            <w:r w:rsidR="00E858D8">
              <w:rPr>
                <w:rFonts w:cs="Arial"/>
              </w:rPr>
              <w:t xml:space="preserve"> of </w:t>
            </w:r>
            <w:r w:rsidR="00B2685F">
              <w:rPr>
                <w:rFonts w:cs="Arial"/>
              </w:rPr>
              <w:t>b</w:t>
            </w:r>
            <w:r w:rsidR="00981867" w:rsidRPr="00981867">
              <w:rPr>
                <w:rFonts w:cs="Arial"/>
              </w:rPr>
              <w:t>oard</w:t>
            </w:r>
            <w:r w:rsidR="0A67C2AF" w:rsidRPr="476106EE">
              <w:rPr>
                <w:rFonts w:cs="Arial"/>
              </w:rPr>
              <w:t xml:space="preserve"> </w:t>
            </w:r>
            <w:r w:rsidR="00E858D8">
              <w:rPr>
                <w:rFonts w:cs="Arial"/>
              </w:rPr>
              <w:t xml:space="preserve">experience </w:t>
            </w:r>
            <w:r w:rsidR="0A67C2AF" w:rsidRPr="476106EE">
              <w:rPr>
                <w:rFonts w:cs="Arial"/>
              </w:rPr>
              <w:t xml:space="preserve">and </w:t>
            </w:r>
            <w:r w:rsidR="009B1C84">
              <w:rPr>
                <w:rFonts w:cs="Arial"/>
              </w:rPr>
              <w:t>has been</w:t>
            </w:r>
            <w:r w:rsidR="0A67C2AF" w:rsidRPr="476106EE">
              <w:rPr>
                <w:rFonts w:cs="Arial"/>
              </w:rPr>
              <w:t xml:space="preserve"> a member</w:t>
            </w:r>
            <w:r w:rsidR="00A005A6">
              <w:rPr>
                <w:rFonts w:cs="Arial"/>
              </w:rPr>
              <w:t>—</w:t>
            </w:r>
            <w:r w:rsidR="00BA6BA8">
              <w:rPr>
                <w:rFonts w:cs="Arial"/>
              </w:rPr>
              <w:t>and n</w:t>
            </w:r>
            <w:r w:rsidR="0A67C2AF" w:rsidRPr="476106EE">
              <w:rPr>
                <w:rFonts w:cs="Arial"/>
              </w:rPr>
              <w:t>ow</w:t>
            </w:r>
            <w:r w:rsidR="00A005A6">
              <w:rPr>
                <w:rFonts w:cs="Arial"/>
              </w:rPr>
              <w:t xml:space="preserve"> </w:t>
            </w:r>
            <w:r w:rsidR="0A67C2AF" w:rsidRPr="476106EE">
              <w:rPr>
                <w:rFonts w:cs="Arial"/>
              </w:rPr>
              <w:t>Fellow</w:t>
            </w:r>
            <w:r w:rsidR="00A005A6">
              <w:rPr>
                <w:rFonts w:cs="Arial"/>
              </w:rPr>
              <w:t>—</w:t>
            </w:r>
            <w:r w:rsidR="0A67C2AF" w:rsidRPr="476106EE">
              <w:rPr>
                <w:rFonts w:cs="Arial"/>
              </w:rPr>
              <w:t xml:space="preserve">of the Australian Institute of Company Directors </w:t>
            </w:r>
            <w:r w:rsidR="00F7511D">
              <w:rPr>
                <w:rFonts w:cs="Arial"/>
              </w:rPr>
              <w:t xml:space="preserve">(AICD) </w:t>
            </w:r>
            <w:r w:rsidR="0A67C2AF" w:rsidRPr="476106EE">
              <w:rPr>
                <w:rFonts w:cs="Arial"/>
              </w:rPr>
              <w:t xml:space="preserve">since 1992. Over the </w:t>
            </w:r>
            <w:r w:rsidR="007E1DC7">
              <w:rPr>
                <w:rFonts w:cs="Arial"/>
              </w:rPr>
              <w:t>past</w:t>
            </w:r>
            <w:r w:rsidR="0A67C2AF" w:rsidRPr="476106EE">
              <w:rPr>
                <w:rFonts w:cs="Arial"/>
              </w:rPr>
              <w:t xml:space="preserve"> decade, </w:t>
            </w:r>
            <w:r w:rsidR="00BA6BA8">
              <w:rPr>
                <w:rFonts w:cs="Arial"/>
              </w:rPr>
              <w:t>he</w:t>
            </w:r>
            <w:r w:rsidR="0000041E">
              <w:rPr>
                <w:rFonts w:cs="Arial"/>
              </w:rPr>
              <w:t xml:space="preserve"> </w:t>
            </w:r>
            <w:r w:rsidR="0A67C2AF" w:rsidRPr="476106EE">
              <w:rPr>
                <w:rFonts w:cs="Arial"/>
              </w:rPr>
              <w:t xml:space="preserve">has </w:t>
            </w:r>
            <w:r w:rsidR="00BA6BA8">
              <w:rPr>
                <w:rFonts w:cs="Arial"/>
              </w:rPr>
              <w:t xml:space="preserve">combined </w:t>
            </w:r>
            <w:r w:rsidR="0A67C2AF" w:rsidRPr="476106EE">
              <w:rPr>
                <w:rFonts w:cs="Arial"/>
              </w:rPr>
              <w:t xml:space="preserve">executive leadership </w:t>
            </w:r>
            <w:r w:rsidR="003D72F2">
              <w:rPr>
                <w:rFonts w:cs="Arial"/>
              </w:rPr>
              <w:t xml:space="preserve">and </w:t>
            </w:r>
            <w:r w:rsidR="0000041E">
              <w:rPr>
                <w:rFonts w:cs="Arial"/>
              </w:rPr>
              <w:t xml:space="preserve">CEO </w:t>
            </w:r>
            <w:r w:rsidR="003D72F2">
              <w:rPr>
                <w:rFonts w:cs="Arial"/>
              </w:rPr>
              <w:t xml:space="preserve">roles </w:t>
            </w:r>
            <w:r w:rsidR="0A67C2AF" w:rsidRPr="476106EE">
              <w:rPr>
                <w:rFonts w:cs="Arial"/>
              </w:rPr>
              <w:t xml:space="preserve">with </w:t>
            </w:r>
            <w:r w:rsidR="004C3279">
              <w:rPr>
                <w:rFonts w:cs="Arial"/>
              </w:rPr>
              <w:t>b</w:t>
            </w:r>
            <w:r w:rsidR="00981867" w:rsidRPr="00981867">
              <w:rPr>
                <w:rFonts w:cs="Arial"/>
              </w:rPr>
              <w:t>oard</w:t>
            </w:r>
            <w:r w:rsidR="0A67C2AF" w:rsidRPr="476106EE">
              <w:rPr>
                <w:rFonts w:cs="Arial"/>
              </w:rPr>
              <w:t xml:space="preserve"> </w:t>
            </w:r>
            <w:r w:rsidR="00B52332">
              <w:rPr>
                <w:rFonts w:cs="Arial"/>
              </w:rPr>
              <w:t>appointments</w:t>
            </w:r>
            <w:r w:rsidR="0A67C2AF" w:rsidRPr="476106EE">
              <w:rPr>
                <w:rFonts w:cs="Arial"/>
              </w:rPr>
              <w:t xml:space="preserve"> across Queensland’s </w:t>
            </w:r>
            <w:r w:rsidR="00D435D9">
              <w:rPr>
                <w:rFonts w:cs="Arial"/>
              </w:rPr>
              <w:t xml:space="preserve">public and </w:t>
            </w:r>
            <w:r w:rsidR="0051129A">
              <w:rPr>
                <w:rFonts w:cs="Arial"/>
              </w:rPr>
              <w:t xml:space="preserve">private </w:t>
            </w:r>
            <w:r w:rsidR="0A67C2AF" w:rsidRPr="476106EE">
              <w:rPr>
                <w:rFonts w:cs="Arial"/>
              </w:rPr>
              <w:t>s</w:t>
            </w:r>
            <w:r w:rsidR="00B52332">
              <w:rPr>
                <w:rFonts w:cs="Arial"/>
              </w:rPr>
              <w:t>ectors</w:t>
            </w:r>
            <w:r w:rsidR="0A67C2AF" w:rsidRPr="476106EE">
              <w:rPr>
                <w:rFonts w:cs="Arial"/>
              </w:rPr>
              <w:t>.</w:t>
            </w:r>
            <w:r w:rsidR="00B11732">
              <w:rPr>
                <w:rFonts w:cs="Arial"/>
              </w:rPr>
              <w:t xml:space="preserve"> </w:t>
            </w:r>
            <w:r w:rsidR="00F35351">
              <w:rPr>
                <w:rFonts w:cs="Arial"/>
              </w:rPr>
              <w:t>Greg’s</w:t>
            </w:r>
            <w:r w:rsidR="0A67C2AF" w:rsidRPr="44C59471">
              <w:rPr>
                <w:rFonts w:cs="Arial"/>
              </w:rPr>
              <w:t xml:space="preserve"> </w:t>
            </w:r>
            <w:r w:rsidR="00E07476">
              <w:rPr>
                <w:rFonts w:cs="Arial"/>
              </w:rPr>
              <w:t>expertise covers</w:t>
            </w:r>
            <w:r w:rsidR="0A67C2AF" w:rsidRPr="44C59471">
              <w:rPr>
                <w:rFonts w:cs="Arial"/>
              </w:rPr>
              <w:t xml:space="preserve"> land use and infrastructure planning, property development, project delivery, economic development, stakeholder and community engagement</w:t>
            </w:r>
            <w:r w:rsidR="00011E8B">
              <w:rPr>
                <w:rFonts w:cs="Arial"/>
              </w:rPr>
              <w:t>,</w:t>
            </w:r>
            <w:r w:rsidR="0A67C2AF" w:rsidRPr="44C59471">
              <w:rPr>
                <w:rFonts w:cs="Arial"/>
              </w:rPr>
              <w:t xml:space="preserve"> and corporate governance.</w:t>
            </w:r>
          </w:p>
        </w:tc>
      </w:tr>
      <w:tr w:rsidR="004A2C19" w:rsidRPr="00133C61" w14:paraId="7BC4B6C1" w14:textId="77777777" w:rsidTr="00802DFB">
        <w:tc>
          <w:tcPr>
            <w:tcW w:w="2972" w:type="dxa"/>
          </w:tcPr>
          <w:p w14:paraId="1D367B25" w14:textId="77777777" w:rsidR="0021293F" w:rsidRPr="004A2C19" w:rsidRDefault="0021293F" w:rsidP="004B26BC">
            <w:pPr>
              <w:rPr>
                <w:rFonts w:cs="Arial"/>
                <w:b/>
              </w:rPr>
            </w:pPr>
            <w:r w:rsidRPr="004A2C19">
              <w:rPr>
                <w:rFonts w:cs="Arial"/>
                <w:b/>
              </w:rPr>
              <w:t xml:space="preserve">John Anderson </w:t>
            </w:r>
          </w:p>
          <w:p w14:paraId="0B8BD298" w14:textId="18D8962D" w:rsidR="00EF30F8" w:rsidRDefault="00E24161" w:rsidP="004B26BC">
            <w:pPr>
              <w:rPr>
                <w:rFonts w:cs="Arial"/>
              </w:rPr>
            </w:pPr>
            <w:proofErr w:type="spellStart"/>
            <w:proofErr w:type="gramStart"/>
            <w:r w:rsidRPr="00A57D9E">
              <w:rPr>
                <w:rFonts w:cs="Arial"/>
                <w:i/>
                <w:iCs/>
              </w:rPr>
              <w:t>GCSocSC</w:t>
            </w:r>
            <w:proofErr w:type="spellEnd"/>
            <w:r w:rsidRPr="00A57D9E">
              <w:rPr>
                <w:rFonts w:cs="Arial"/>
                <w:i/>
                <w:iCs/>
              </w:rPr>
              <w:t>(</w:t>
            </w:r>
            <w:proofErr w:type="gramEnd"/>
            <w:r w:rsidRPr="00A57D9E">
              <w:rPr>
                <w:rFonts w:cs="Arial"/>
                <w:i/>
                <w:iCs/>
              </w:rPr>
              <w:t>IP), BA, ADCE, MAICD</w:t>
            </w:r>
            <w:r w:rsidR="00770D9B">
              <w:rPr>
                <w:rFonts w:cs="Arial"/>
                <w:i/>
                <w:iCs/>
              </w:rPr>
              <w:t>,</w:t>
            </w:r>
            <w:r w:rsidRPr="00A57D9E">
              <w:rPr>
                <w:rFonts w:cs="Arial"/>
                <w:i/>
                <w:iCs/>
              </w:rPr>
              <w:t xml:space="preserve"> MAIGM</w:t>
            </w:r>
          </w:p>
          <w:p w14:paraId="4E1EED04" w14:textId="77777777" w:rsidR="0021293F" w:rsidRPr="00133C61" w:rsidRDefault="0021293F" w:rsidP="004B26BC">
            <w:pPr>
              <w:rPr>
                <w:rFonts w:cs="Arial"/>
              </w:rPr>
            </w:pPr>
            <w:r w:rsidRPr="00133C61">
              <w:rPr>
                <w:rFonts w:cs="Arial"/>
              </w:rPr>
              <w:t>Deputy Chair</w:t>
            </w:r>
          </w:p>
          <w:p w14:paraId="1377A399" w14:textId="77777777" w:rsidR="0021293F" w:rsidRPr="00133C61" w:rsidRDefault="0021293F" w:rsidP="004B26BC">
            <w:pPr>
              <w:rPr>
                <w:rFonts w:cs="Arial"/>
                <w:b/>
              </w:rPr>
            </w:pPr>
          </w:p>
        </w:tc>
        <w:tc>
          <w:tcPr>
            <w:tcW w:w="7478" w:type="dxa"/>
          </w:tcPr>
          <w:p w14:paraId="6FCBE2B2" w14:textId="2284D666" w:rsidR="0021293F" w:rsidRPr="004B26BC" w:rsidRDefault="00581D10" w:rsidP="004B26BC">
            <w:pPr>
              <w:rPr>
                <w:rFonts w:cs="Arial"/>
              </w:rPr>
            </w:pPr>
            <w:r>
              <w:rPr>
                <w:rFonts w:cs="Arial"/>
              </w:rPr>
              <w:t>John</w:t>
            </w:r>
            <w:r w:rsidR="00A5601C" w:rsidRPr="00A5601C">
              <w:rPr>
                <w:rFonts w:cs="Arial"/>
              </w:rPr>
              <w:t xml:space="preserve"> is a respected Aboriginal Elder</w:t>
            </w:r>
            <w:r w:rsidR="009623B5">
              <w:rPr>
                <w:rFonts w:cs="Arial"/>
              </w:rPr>
              <w:t xml:space="preserve"> with </w:t>
            </w:r>
            <w:r w:rsidR="00A5601C" w:rsidRPr="00A5601C">
              <w:rPr>
                <w:rFonts w:cs="Arial"/>
              </w:rPr>
              <w:t>tertiary qualif</w:t>
            </w:r>
            <w:r w:rsidR="009623B5">
              <w:rPr>
                <w:rFonts w:cs="Arial"/>
              </w:rPr>
              <w:t xml:space="preserve">ications and </w:t>
            </w:r>
            <w:r w:rsidR="00A5601C" w:rsidRPr="00A5601C">
              <w:rPr>
                <w:rFonts w:cs="Arial"/>
              </w:rPr>
              <w:t xml:space="preserve">extensive </w:t>
            </w:r>
            <w:r w:rsidR="009623B5">
              <w:rPr>
                <w:rFonts w:cs="Arial"/>
              </w:rPr>
              <w:t xml:space="preserve">experience in </w:t>
            </w:r>
            <w:r w:rsidR="00A5601C" w:rsidRPr="00A5601C">
              <w:rPr>
                <w:rFonts w:cs="Arial"/>
              </w:rPr>
              <w:t xml:space="preserve">board and leadership </w:t>
            </w:r>
            <w:r w:rsidR="009623B5">
              <w:rPr>
                <w:rFonts w:cs="Arial"/>
              </w:rPr>
              <w:t>roles</w:t>
            </w:r>
            <w:r w:rsidR="00A5601C" w:rsidRPr="00A5601C">
              <w:rPr>
                <w:rFonts w:cs="Arial"/>
              </w:rPr>
              <w:t xml:space="preserve">. </w:t>
            </w:r>
            <w:r w:rsidR="00764097">
              <w:rPr>
                <w:rFonts w:cs="Arial"/>
              </w:rPr>
              <w:t xml:space="preserve">He serves as </w:t>
            </w:r>
            <w:r w:rsidR="00A5601C" w:rsidRPr="00A5601C">
              <w:rPr>
                <w:rFonts w:cs="Arial"/>
              </w:rPr>
              <w:t xml:space="preserve">the Chair of Coexistence Queensland and </w:t>
            </w:r>
            <w:r w:rsidR="00764097">
              <w:rPr>
                <w:rFonts w:cs="Arial"/>
              </w:rPr>
              <w:t>as</w:t>
            </w:r>
            <w:r w:rsidR="00A5601C" w:rsidRPr="00A5601C">
              <w:rPr>
                <w:rFonts w:cs="Arial"/>
              </w:rPr>
              <w:t xml:space="preserve"> a Community Member of the Board of Professional Engineers Queensland. </w:t>
            </w:r>
            <w:r w:rsidR="003B78C5">
              <w:rPr>
                <w:rFonts w:cs="Arial"/>
              </w:rPr>
              <w:t>After</w:t>
            </w:r>
            <w:r w:rsidR="007C0696" w:rsidRPr="00A5601C">
              <w:rPr>
                <w:rFonts w:cs="Arial"/>
              </w:rPr>
              <w:t xml:space="preserve"> a 30-year career with</w:t>
            </w:r>
            <w:r w:rsidR="007C0696">
              <w:rPr>
                <w:rFonts w:cs="Arial"/>
              </w:rPr>
              <w:t xml:space="preserve"> the</w:t>
            </w:r>
            <w:r w:rsidR="007C0696" w:rsidRPr="00A5601C">
              <w:rPr>
                <w:rFonts w:cs="Arial"/>
              </w:rPr>
              <w:t xml:space="preserve"> Queensland Government</w:t>
            </w:r>
            <w:r w:rsidR="007C0696">
              <w:rPr>
                <w:rFonts w:cs="Arial"/>
              </w:rPr>
              <w:t xml:space="preserve">, </w:t>
            </w:r>
            <w:r w:rsidR="00C64FB2">
              <w:rPr>
                <w:rFonts w:cs="Arial"/>
              </w:rPr>
              <w:t xml:space="preserve">John </w:t>
            </w:r>
            <w:r w:rsidR="00A5601C" w:rsidRPr="00A5601C">
              <w:rPr>
                <w:rFonts w:cs="Arial"/>
              </w:rPr>
              <w:t xml:space="preserve">has been </w:t>
            </w:r>
            <w:r w:rsidR="00F22619">
              <w:rPr>
                <w:rFonts w:cs="Arial"/>
              </w:rPr>
              <w:t xml:space="preserve">the </w:t>
            </w:r>
            <w:r w:rsidR="00A5601C" w:rsidRPr="00A5601C">
              <w:rPr>
                <w:rFonts w:cs="Arial"/>
              </w:rPr>
              <w:t>Executive Director of Pi-</w:t>
            </w:r>
            <w:proofErr w:type="spellStart"/>
            <w:r w:rsidR="00A5601C" w:rsidRPr="00A5601C">
              <w:rPr>
                <w:rFonts w:cs="Arial"/>
              </w:rPr>
              <w:t>CaTS</w:t>
            </w:r>
            <w:proofErr w:type="spellEnd"/>
            <w:r w:rsidR="00A5601C" w:rsidRPr="00A5601C">
              <w:rPr>
                <w:rFonts w:cs="Arial"/>
              </w:rPr>
              <w:t xml:space="preserve"> Pty Ltd since </w:t>
            </w:r>
            <w:bookmarkStart w:id="207" w:name="_Int_vGkGxwRm"/>
            <w:proofErr w:type="gramStart"/>
            <w:r w:rsidR="00A5601C" w:rsidRPr="00A5601C">
              <w:rPr>
                <w:rFonts w:cs="Arial"/>
              </w:rPr>
              <w:t>2005</w:t>
            </w:r>
            <w:r w:rsidR="00011E8B">
              <w:rPr>
                <w:rFonts w:cs="Arial"/>
              </w:rPr>
              <w:t>,</w:t>
            </w:r>
            <w:r w:rsidR="00A5601C" w:rsidRPr="00A5601C">
              <w:rPr>
                <w:rFonts w:cs="Arial"/>
              </w:rPr>
              <w:t xml:space="preserve"> </w:t>
            </w:r>
            <w:r w:rsidR="007C0696">
              <w:rPr>
                <w:rFonts w:cs="Arial"/>
              </w:rPr>
              <w:t>and</w:t>
            </w:r>
            <w:bookmarkEnd w:id="207"/>
            <w:proofErr w:type="gramEnd"/>
            <w:r w:rsidR="007C0696">
              <w:rPr>
                <w:rFonts w:cs="Arial"/>
              </w:rPr>
              <w:t xml:space="preserve"> </w:t>
            </w:r>
            <w:r w:rsidR="003B78C5">
              <w:rPr>
                <w:rFonts w:cs="Arial"/>
              </w:rPr>
              <w:t xml:space="preserve">also </w:t>
            </w:r>
            <w:r w:rsidR="007C0696">
              <w:rPr>
                <w:rFonts w:cs="Arial"/>
              </w:rPr>
              <w:t xml:space="preserve">operates as </w:t>
            </w:r>
            <w:r w:rsidR="007C0696" w:rsidRPr="00A5601C">
              <w:rPr>
                <w:rFonts w:cs="Arial"/>
              </w:rPr>
              <w:t>a sole trader</w:t>
            </w:r>
            <w:r w:rsidR="007C0696">
              <w:rPr>
                <w:rFonts w:cs="Arial"/>
              </w:rPr>
              <w:t>.</w:t>
            </w:r>
            <w:r w:rsidR="00A5601C" w:rsidRPr="00A5601C">
              <w:rPr>
                <w:rFonts w:cs="Arial"/>
              </w:rPr>
              <w:t xml:space="preserve"> </w:t>
            </w:r>
            <w:r w:rsidR="00757361">
              <w:rPr>
                <w:rFonts w:cs="Arial"/>
              </w:rPr>
              <w:t xml:space="preserve">His </w:t>
            </w:r>
            <w:r w:rsidR="00703F48">
              <w:rPr>
                <w:rFonts w:cs="Arial"/>
              </w:rPr>
              <w:t xml:space="preserve">public </w:t>
            </w:r>
            <w:r w:rsidR="00757361">
              <w:rPr>
                <w:rFonts w:cs="Arial"/>
              </w:rPr>
              <w:t>service include</w:t>
            </w:r>
            <w:r w:rsidR="00703F48">
              <w:rPr>
                <w:rFonts w:cs="Arial"/>
              </w:rPr>
              <w:t>s</w:t>
            </w:r>
            <w:r w:rsidR="00757361">
              <w:rPr>
                <w:rFonts w:cs="Arial"/>
              </w:rPr>
              <w:t xml:space="preserve"> roles with</w:t>
            </w:r>
            <w:r w:rsidR="00900B68">
              <w:rPr>
                <w:rFonts w:cs="Arial"/>
              </w:rPr>
              <w:t xml:space="preserve"> </w:t>
            </w:r>
            <w:r w:rsidR="00F6115A">
              <w:rPr>
                <w:rFonts w:cs="Arial"/>
              </w:rPr>
              <w:t>the</w:t>
            </w:r>
            <w:r w:rsidR="00900B68">
              <w:rPr>
                <w:rFonts w:cs="Arial"/>
              </w:rPr>
              <w:t xml:space="preserve"> </w:t>
            </w:r>
            <w:r w:rsidR="00A5601C" w:rsidRPr="00A5601C">
              <w:rPr>
                <w:rFonts w:cs="Arial"/>
              </w:rPr>
              <w:t xml:space="preserve">Queensland </w:t>
            </w:r>
            <w:r w:rsidR="00F6115A">
              <w:rPr>
                <w:rFonts w:cs="Arial"/>
              </w:rPr>
              <w:t xml:space="preserve">Department </w:t>
            </w:r>
            <w:r w:rsidR="00644EC4">
              <w:rPr>
                <w:rFonts w:cs="Arial"/>
              </w:rPr>
              <w:t xml:space="preserve">of </w:t>
            </w:r>
            <w:r w:rsidR="00A5601C" w:rsidRPr="00A5601C">
              <w:rPr>
                <w:rFonts w:cs="Arial"/>
              </w:rPr>
              <w:t>Transport and Main Roads and the Rail and Ports Division.</w:t>
            </w:r>
          </w:p>
        </w:tc>
      </w:tr>
      <w:tr w:rsidR="004A2C19" w:rsidRPr="00133C61" w14:paraId="4FEF857F" w14:textId="77777777" w:rsidTr="00802DFB">
        <w:tc>
          <w:tcPr>
            <w:tcW w:w="2972" w:type="dxa"/>
          </w:tcPr>
          <w:p w14:paraId="7EB83F75" w14:textId="1F2A60C5" w:rsidR="0021293F" w:rsidRPr="004B26BC" w:rsidRDefault="23520823" w:rsidP="004B26BC">
            <w:pPr>
              <w:rPr>
                <w:rFonts w:cs="Arial"/>
                <w:b/>
              </w:rPr>
            </w:pPr>
            <w:r w:rsidRPr="004B26BC">
              <w:rPr>
                <w:rFonts w:cs="Arial"/>
                <w:b/>
              </w:rPr>
              <w:t>Amelia Hodge</w:t>
            </w:r>
          </w:p>
          <w:p w14:paraId="56EA7269" w14:textId="0DBBDE54" w:rsidR="00FC1FEA" w:rsidRPr="00A57D9E" w:rsidRDefault="00FC1FEA" w:rsidP="00FC1FEA">
            <w:pPr>
              <w:rPr>
                <w:rFonts w:cs="Arial"/>
                <w:bCs/>
                <w:i/>
                <w:iCs/>
              </w:rPr>
            </w:pPr>
            <w:r w:rsidRPr="00A57D9E">
              <w:rPr>
                <w:rFonts w:cs="Arial"/>
                <w:bCs/>
                <w:i/>
                <w:iCs/>
              </w:rPr>
              <w:t>LLB</w:t>
            </w:r>
            <w:r w:rsidR="0020539E">
              <w:rPr>
                <w:rFonts w:cs="Arial"/>
                <w:bCs/>
                <w:i/>
                <w:iCs/>
              </w:rPr>
              <w:t>,</w:t>
            </w:r>
            <w:r w:rsidRPr="00A57D9E">
              <w:rPr>
                <w:rFonts w:cs="Arial"/>
                <w:bCs/>
                <w:i/>
                <w:iCs/>
              </w:rPr>
              <w:t xml:space="preserve"> GAICD</w:t>
            </w:r>
            <w:r w:rsidR="0020539E">
              <w:rPr>
                <w:rFonts w:cs="Arial"/>
                <w:bCs/>
                <w:i/>
                <w:iCs/>
              </w:rPr>
              <w:t>,</w:t>
            </w:r>
            <w:r w:rsidRPr="00A57D9E">
              <w:rPr>
                <w:rFonts w:cs="Arial"/>
                <w:bCs/>
                <w:i/>
                <w:iCs/>
              </w:rPr>
              <w:t xml:space="preserve"> </w:t>
            </w:r>
            <w:proofErr w:type="spellStart"/>
            <w:r w:rsidRPr="00A57D9E">
              <w:rPr>
                <w:rFonts w:cs="Arial"/>
                <w:bCs/>
                <w:i/>
                <w:iCs/>
              </w:rPr>
              <w:t>GradCert</w:t>
            </w:r>
            <w:proofErr w:type="spellEnd"/>
            <w:r w:rsidRPr="00A57D9E">
              <w:rPr>
                <w:rFonts w:cs="Arial"/>
                <w:bCs/>
                <w:i/>
                <w:iCs/>
              </w:rPr>
              <w:t xml:space="preserve"> Prop Eco</w:t>
            </w:r>
            <w:r w:rsidR="00196225">
              <w:rPr>
                <w:rFonts w:cs="Arial"/>
                <w:bCs/>
                <w:i/>
                <w:iCs/>
              </w:rPr>
              <w:t>,</w:t>
            </w:r>
            <w:r w:rsidRPr="00A57D9E">
              <w:rPr>
                <w:rFonts w:cs="Arial"/>
                <w:bCs/>
                <w:i/>
                <w:iCs/>
              </w:rPr>
              <w:t xml:space="preserve"> MAPI</w:t>
            </w:r>
          </w:p>
          <w:p w14:paraId="05F89FF3" w14:textId="77777777" w:rsidR="00B65DE1" w:rsidRDefault="23520823" w:rsidP="00B65DE1">
            <w:pPr>
              <w:rPr>
                <w:rFonts w:cs="Arial"/>
              </w:rPr>
            </w:pPr>
            <w:r w:rsidRPr="004B26BC">
              <w:rPr>
                <w:rFonts w:cs="Arial"/>
              </w:rPr>
              <w:t>Board member</w:t>
            </w:r>
          </w:p>
          <w:p w14:paraId="3F1515F0" w14:textId="1E256710" w:rsidR="00B65DE1" w:rsidRPr="00DF3E78" w:rsidRDefault="00B65DE1" w:rsidP="00B65DE1">
            <w:pPr>
              <w:rPr>
                <w:rFonts w:cs="Arial"/>
              </w:rPr>
            </w:pPr>
          </w:p>
          <w:p w14:paraId="62A5A8C2" w14:textId="26F75B2D" w:rsidR="0021293F" w:rsidRPr="00B17359" w:rsidRDefault="0021293F" w:rsidP="004B26BC">
            <w:pPr>
              <w:rPr>
                <w:rFonts w:cs="Arial"/>
              </w:rPr>
            </w:pPr>
          </w:p>
        </w:tc>
        <w:tc>
          <w:tcPr>
            <w:tcW w:w="7478" w:type="dxa"/>
          </w:tcPr>
          <w:p w14:paraId="08481237" w14:textId="159AA4AE" w:rsidR="0021293F" w:rsidRPr="00133C61" w:rsidRDefault="000A6D17" w:rsidP="004B26BC">
            <w:pPr>
              <w:rPr>
                <w:rFonts w:cs="Arial"/>
              </w:rPr>
            </w:pPr>
            <w:r>
              <w:rPr>
                <w:rFonts w:cs="Arial"/>
              </w:rPr>
              <w:t xml:space="preserve">As a new QBC Board member, </w:t>
            </w:r>
            <w:r w:rsidR="006B6178">
              <w:rPr>
                <w:rFonts w:cs="Arial"/>
              </w:rPr>
              <w:t xml:space="preserve">Amelia </w:t>
            </w:r>
            <w:r w:rsidR="23520823" w:rsidRPr="009D5A09">
              <w:rPr>
                <w:rFonts w:cs="Arial"/>
              </w:rPr>
              <w:t xml:space="preserve">brings a </w:t>
            </w:r>
            <w:r w:rsidR="006B6178">
              <w:rPr>
                <w:rFonts w:cs="Arial"/>
              </w:rPr>
              <w:t xml:space="preserve">unique </w:t>
            </w:r>
            <w:r w:rsidR="0066779A">
              <w:rPr>
                <w:rFonts w:cs="Arial"/>
              </w:rPr>
              <w:t>blend of expertise in law</w:t>
            </w:r>
            <w:r w:rsidR="23520823" w:rsidRPr="009D5A09">
              <w:rPr>
                <w:rFonts w:cs="Arial"/>
              </w:rPr>
              <w:t>, governance, risk management</w:t>
            </w:r>
            <w:r w:rsidR="002D6A75">
              <w:rPr>
                <w:rFonts w:cs="Arial"/>
              </w:rPr>
              <w:t>,</w:t>
            </w:r>
            <w:r w:rsidR="00704AEF">
              <w:rPr>
                <w:rFonts w:cs="Arial"/>
              </w:rPr>
              <w:t xml:space="preserve"> </w:t>
            </w:r>
            <w:r w:rsidR="23520823" w:rsidRPr="009D5A09">
              <w:rPr>
                <w:rFonts w:cs="Arial"/>
              </w:rPr>
              <w:t xml:space="preserve">human-centred stakeholder </w:t>
            </w:r>
            <w:r w:rsidR="007330CA">
              <w:rPr>
                <w:rFonts w:cs="Arial"/>
              </w:rPr>
              <w:t xml:space="preserve">engagement </w:t>
            </w:r>
            <w:r w:rsidR="23520823" w:rsidRPr="009D5A09">
              <w:rPr>
                <w:rFonts w:cs="Arial"/>
              </w:rPr>
              <w:t>and commercial skills.</w:t>
            </w:r>
            <w:r w:rsidR="00B91DBE">
              <w:rPr>
                <w:rFonts w:cs="Arial"/>
              </w:rPr>
              <w:t xml:space="preserve"> </w:t>
            </w:r>
            <w:r w:rsidR="00021946">
              <w:rPr>
                <w:rFonts w:cs="Arial"/>
              </w:rPr>
              <w:t>Amelia</w:t>
            </w:r>
            <w:r w:rsidR="009D5A09" w:rsidRPr="009D5A09">
              <w:rPr>
                <w:rFonts w:cs="Arial"/>
              </w:rPr>
              <w:t xml:space="preserve"> has </w:t>
            </w:r>
            <w:r w:rsidR="00285629">
              <w:rPr>
                <w:rFonts w:cs="Arial"/>
              </w:rPr>
              <w:t xml:space="preserve">served </w:t>
            </w:r>
            <w:r w:rsidR="00F86C23">
              <w:rPr>
                <w:rFonts w:cs="Arial"/>
              </w:rPr>
              <w:t xml:space="preserve">as the </w:t>
            </w:r>
            <w:r w:rsidR="009D5A09" w:rsidRPr="009D5A09">
              <w:rPr>
                <w:rFonts w:cs="Arial"/>
              </w:rPr>
              <w:t>Chair and N</w:t>
            </w:r>
            <w:r w:rsidR="00F86C23">
              <w:rPr>
                <w:rFonts w:cs="Arial"/>
              </w:rPr>
              <w:t>on-</w:t>
            </w:r>
            <w:r w:rsidR="009D5A09" w:rsidRPr="009D5A09">
              <w:rPr>
                <w:rFonts w:cs="Arial"/>
              </w:rPr>
              <w:t>E</w:t>
            </w:r>
            <w:r w:rsidR="00F86C23">
              <w:rPr>
                <w:rFonts w:cs="Arial"/>
              </w:rPr>
              <w:t xml:space="preserve">xecutive </w:t>
            </w:r>
            <w:r w:rsidR="009D5A09" w:rsidRPr="009D5A09">
              <w:rPr>
                <w:rFonts w:cs="Arial"/>
              </w:rPr>
              <w:t>D</w:t>
            </w:r>
            <w:r w:rsidR="00F86C23">
              <w:rPr>
                <w:rFonts w:cs="Arial"/>
              </w:rPr>
              <w:t>irector on a variety of b</w:t>
            </w:r>
            <w:r w:rsidR="009D5A09" w:rsidRPr="009D5A09">
              <w:rPr>
                <w:rFonts w:cs="Arial"/>
              </w:rPr>
              <w:t xml:space="preserve">oards and </w:t>
            </w:r>
            <w:r w:rsidR="00521B0D">
              <w:rPr>
                <w:rFonts w:cs="Arial"/>
              </w:rPr>
              <w:t>f</w:t>
            </w:r>
            <w:r w:rsidR="009D5A09" w:rsidRPr="009D5A09">
              <w:rPr>
                <w:rFonts w:cs="Arial"/>
              </w:rPr>
              <w:t xml:space="preserve">inance, </w:t>
            </w:r>
            <w:r w:rsidR="00521B0D">
              <w:rPr>
                <w:rFonts w:cs="Arial"/>
              </w:rPr>
              <w:t>r</w:t>
            </w:r>
            <w:r w:rsidR="009D5A09" w:rsidRPr="009D5A09">
              <w:rPr>
                <w:rFonts w:cs="Arial"/>
              </w:rPr>
              <w:t xml:space="preserve">isk and </w:t>
            </w:r>
            <w:r w:rsidR="00521B0D">
              <w:rPr>
                <w:rFonts w:cs="Arial"/>
              </w:rPr>
              <w:t>a</w:t>
            </w:r>
            <w:r w:rsidR="009D5A09" w:rsidRPr="009D5A09">
              <w:rPr>
                <w:rFonts w:cs="Arial"/>
              </w:rPr>
              <w:t xml:space="preserve">udit </w:t>
            </w:r>
            <w:r w:rsidR="00521B0D">
              <w:rPr>
                <w:rFonts w:cs="Arial"/>
              </w:rPr>
              <w:t>c</w:t>
            </w:r>
            <w:r w:rsidR="009D5A09" w:rsidRPr="009D5A09">
              <w:rPr>
                <w:rFonts w:cs="Arial"/>
              </w:rPr>
              <w:t xml:space="preserve">ommittees </w:t>
            </w:r>
            <w:r w:rsidR="00521B0D">
              <w:rPr>
                <w:rFonts w:cs="Arial"/>
              </w:rPr>
              <w:t>across both</w:t>
            </w:r>
            <w:r w:rsidR="009D5A09" w:rsidRPr="009D5A09">
              <w:rPr>
                <w:rFonts w:cs="Arial"/>
              </w:rPr>
              <w:t xml:space="preserve"> </w:t>
            </w:r>
            <w:r w:rsidR="007D138E">
              <w:rPr>
                <w:rFonts w:cs="Arial"/>
              </w:rPr>
              <w:t>the</w:t>
            </w:r>
            <w:r w:rsidR="009D5A09" w:rsidRPr="009D5A09">
              <w:rPr>
                <w:rFonts w:cs="Arial"/>
              </w:rPr>
              <w:t xml:space="preserve"> public and private sector, including </w:t>
            </w:r>
            <w:r w:rsidR="00C03C66">
              <w:rPr>
                <w:rFonts w:cs="Arial"/>
              </w:rPr>
              <w:t xml:space="preserve">holding </w:t>
            </w:r>
            <w:r w:rsidR="009D5A09" w:rsidRPr="009D5A09">
              <w:rPr>
                <w:rFonts w:cs="Arial"/>
              </w:rPr>
              <w:t xml:space="preserve">global V20 leadership </w:t>
            </w:r>
            <w:r w:rsidR="00C03C66">
              <w:rPr>
                <w:rFonts w:cs="Arial"/>
              </w:rPr>
              <w:t>roles</w:t>
            </w:r>
            <w:r w:rsidR="009D5A09" w:rsidRPr="009D5A09">
              <w:rPr>
                <w:rFonts w:cs="Arial"/>
              </w:rPr>
              <w:t>.</w:t>
            </w:r>
            <w:r w:rsidR="00476524">
              <w:rPr>
                <w:rFonts w:cs="Arial"/>
              </w:rPr>
              <w:t xml:space="preserve"> </w:t>
            </w:r>
            <w:r w:rsidR="00C03C66">
              <w:rPr>
                <w:rFonts w:cs="Arial"/>
              </w:rPr>
              <w:t xml:space="preserve">As a consultant, </w:t>
            </w:r>
            <w:r w:rsidR="00E36E44">
              <w:rPr>
                <w:rFonts w:cs="Arial"/>
              </w:rPr>
              <w:t>Amelia</w:t>
            </w:r>
            <w:r w:rsidR="00476524">
              <w:rPr>
                <w:rFonts w:cs="Arial"/>
              </w:rPr>
              <w:t xml:space="preserve"> </w:t>
            </w:r>
            <w:r w:rsidR="00E36E44">
              <w:rPr>
                <w:rFonts w:cs="Arial"/>
              </w:rPr>
              <w:t>a</w:t>
            </w:r>
            <w:r w:rsidR="009D5A09" w:rsidRPr="009D5A09">
              <w:rPr>
                <w:rFonts w:cs="Arial"/>
              </w:rPr>
              <w:t>cted as</w:t>
            </w:r>
            <w:r w:rsidR="00AC1B88">
              <w:rPr>
                <w:rFonts w:cs="Arial"/>
              </w:rPr>
              <w:t xml:space="preserve"> </w:t>
            </w:r>
            <w:r w:rsidR="00C70E50">
              <w:rPr>
                <w:rFonts w:cs="Arial"/>
              </w:rPr>
              <w:t>the</w:t>
            </w:r>
            <w:r w:rsidR="009D5A09" w:rsidRPr="009D5A09">
              <w:rPr>
                <w:rFonts w:cs="Arial"/>
              </w:rPr>
              <w:t xml:space="preserve"> </w:t>
            </w:r>
            <w:r w:rsidR="003E27EC">
              <w:rPr>
                <w:rFonts w:cs="Arial"/>
              </w:rPr>
              <w:t>t</w:t>
            </w:r>
            <w:r w:rsidR="009D5A09" w:rsidRPr="009D5A09">
              <w:rPr>
                <w:rFonts w:cs="Arial"/>
              </w:rPr>
              <w:t xml:space="preserve">ransaction </w:t>
            </w:r>
            <w:r w:rsidR="003E27EC">
              <w:rPr>
                <w:rFonts w:cs="Arial"/>
              </w:rPr>
              <w:t>d</w:t>
            </w:r>
            <w:r w:rsidR="009D5A09" w:rsidRPr="009D5A09">
              <w:rPr>
                <w:rFonts w:cs="Arial"/>
              </w:rPr>
              <w:t xml:space="preserve">irector on </w:t>
            </w:r>
            <w:r w:rsidR="008F6F01">
              <w:rPr>
                <w:rFonts w:cs="Arial"/>
              </w:rPr>
              <w:t>major</w:t>
            </w:r>
            <w:r w:rsidR="009D5A09" w:rsidRPr="009D5A09">
              <w:rPr>
                <w:rFonts w:cs="Arial"/>
              </w:rPr>
              <w:t xml:space="preserve"> government infrastructure projects and has worked within the oil, gas, energy and transmission </w:t>
            </w:r>
            <w:r w:rsidR="00FB3ED4">
              <w:rPr>
                <w:rFonts w:cs="Arial"/>
              </w:rPr>
              <w:t>industries</w:t>
            </w:r>
            <w:r w:rsidR="009D5A09" w:rsidRPr="009D5A09">
              <w:rPr>
                <w:rFonts w:cs="Arial"/>
              </w:rPr>
              <w:t>.</w:t>
            </w:r>
            <w:r w:rsidR="00FA642E">
              <w:rPr>
                <w:rFonts w:cs="Arial"/>
              </w:rPr>
              <w:t xml:space="preserve"> </w:t>
            </w:r>
            <w:r w:rsidR="00610FD3">
              <w:rPr>
                <w:rFonts w:cs="Arial"/>
              </w:rPr>
              <w:t>Amelia</w:t>
            </w:r>
            <w:r w:rsidR="00610FD3" w:rsidRPr="009D5A09">
              <w:rPr>
                <w:rFonts w:cs="Arial"/>
              </w:rPr>
              <w:t xml:space="preserve"> </w:t>
            </w:r>
            <w:r w:rsidR="009D5A09" w:rsidRPr="009D5A09">
              <w:rPr>
                <w:rFonts w:cs="Arial"/>
              </w:rPr>
              <w:t xml:space="preserve">was </w:t>
            </w:r>
            <w:r w:rsidR="00FB3ED4">
              <w:rPr>
                <w:rFonts w:cs="Arial"/>
              </w:rPr>
              <w:t xml:space="preserve">also </w:t>
            </w:r>
            <w:r w:rsidR="009D5A09" w:rsidRPr="009D5A09">
              <w:rPr>
                <w:rFonts w:cs="Arial"/>
              </w:rPr>
              <w:t xml:space="preserve">honoured to serve </w:t>
            </w:r>
            <w:r w:rsidR="00A02883">
              <w:rPr>
                <w:rFonts w:cs="Arial"/>
              </w:rPr>
              <w:t xml:space="preserve">for four years on </w:t>
            </w:r>
            <w:r w:rsidR="009D5A09" w:rsidRPr="009D5A09">
              <w:rPr>
                <w:rFonts w:cs="Arial"/>
              </w:rPr>
              <w:t>the Council for the Order of Australia</w:t>
            </w:r>
            <w:r w:rsidR="00A02883">
              <w:rPr>
                <w:rFonts w:cs="Arial"/>
              </w:rPr>
              <w:t xml:space="preserve">, </w:t>
            </w:r>
            <w:r w:rsidR="000E047A">
              <w:rPr>
                <w:rFonts w:cs="Arial"/>
              </w:rPr>
              <w:t xml:space="preserve">supporting </w:t>
            </w:r>
            <w:r w:rsidR="009D5A09" w:rsidRPr="009D5A09">
              <w:rPr>
                <w:rFonts w:cs="Arial"/>
              </w:rPr>
              <w:t>the Office of the Governor General.</w:t>
            </w:r>
          </w:p>
        </w:tc>
      </w:tr>
      <w:tr w:rsidR="004A2C19" w:rsidRPr="00133C61" w14:paraId="56D4E7A9" w14:textId="77777777" w:rsidTr="00802DFB">
        <w:tc>
          <w:tcPr>
            <w:tcW w:w="2972" w:type="dxa"/>
          </w:tcPr>
          <w:p w14:paraId="06D969FB" w14:textId="77777777" w:rsidR="00AC1B97" w:rsidRDefault="0021293F" w:rsidP="004B26BC">
            <w:pPr>
              <w:rPr>
                <w:rFonts w:cs="Arial"/>
                <w:b/>
              </w:rPr>
            </w:pPr>
            <w:r w:rsidRPr="004A2C19">
              <w:rPr>
                <w:rFonts w:cs="Arial"/>
                <w:b/>
              </w:rPr>
              <w:t xml:space="preserve">Colin Cassidy </w:t>
            </w:r>
          </w:p>
          <w:p w14:paraId="32E137D9" w14:textId="7CB1DBF4" w:rsidR="0021293F" w:rsidRPr="00133C61" w:rsidRDefault="0021293F" w:rsidP="004B26BC">
            <w:pPr>
              <w:rPr>
                <w:rFonts w:cs="Arial"/>
                <w:b/>
              </w:rPr>
            </w:pPr>
            <w:r w:rsidRPr="004E57BB">
              <w:rPr>
                <w:rFonts w:cs="Arial"/>
                <w:i/>
              </w:rPr>
              <w:t>PSM</w:t>
            </w:r>
            <w:r w:rsidR="00780F3F">
              <w:rPr>
                <w:rFonts w:cs="Arial"/>
                <w:i/>
              </w:rPr>
              <w:t>,</w:t>
            </w:r>
            <w:r w:rsidR="00AC1B97">
              <w:rPr>
                <w:rFonts w:cs="Arial"/>
                <w:i/>
              </w:rPr>
              <w:t xml:space="preserve"> </w:t>
            </w:r>
            <w:r w:rsidR="00263A09">
              <w:rPr>
                <w:rFonts w:cs="Arial"/>
                <w:bCs/>
                <w:i/>
                <w:iCs/>
              </w:rPr>
              <w:t>G</w:t>
            </w:r>
            <w:r w:rsidR="00253C4C" w:rsidRPr="00A57D9E">
              <w:rPr>
                <w:rFonts w:cs="Arial"/>
                <w:bCs/>
                <w:i/>
                <w:iCs/>
              </w:rPr>
              <w:t>AICD</w:t>
            </w:r>
          </w:p>
          <w:p w14:paraId="41F5270C" w14:textId="74E7DDC9" w:rsidR="00871EE3" w:rsidRPr="00133C61" w:rsidRDefault="00871EE3" w:rsidP="004B26BC">
            <w:pPr>
              <w:rPr>
                <w:rFonts w:cs="Arial"/>
              </w:rPr>
            </w:pPr>
            <w:r w:rsidRPr="00133C61">
              <w:rPr>
                <w:rFonts w:cs="Arial"/>
              </w:rPr>
              <w:t>Board member</w:t>
            </w:r>
          </w:p>
          <w:p w14:paraId="05284A17" w14:textId="77777777" w:rsidR="0021293F" w:rsidRPr="00133C61" w:rsidRDefault="0021293F" w:rsidP="004B26BC">
            <w:pPr>
              <w:rPr>
                <w:rFonts w:cs="Arial"/>
                <w:b/>
              </w:rPr>
            </w:pPr>
          </w:p>
        </w:tc>
        <w:tc>
          <w:tcPr>
            <w:tcW w:w="7478" w:type="dxa"/>
          </w:tcPr>
          <w:p w14:paraId="75AF080E" w14:textId="224B10AD" w:rsidR="0021293F" w:rsidRPr="007A3C2C" w:rsidRDefault="002C6554" w:rsidP="004B26BC">
            <w:pPr>
              <w:rPr>
                <w:rFonts w:cs="Arial"/>
              </w:rPr>
            </w:pPr>
            <w:r>
              <w:rPr>
                <w:rFonts w:cs="Arial"/>
              </w:rPr>
              <w:t xml:space="preserve">Colin </w:t>
            </w:r>
            <w:r w:rsidR="00077CEB">
              <w:rPr>
                <w:rFonts w:cs="Arial"/>
              </w:rPr>
              <w:t xml:space="preserve">serves on </w:t>
            </w:r>
            <w:r w:rsidR="007A3C2C" w:rsidRPr="007A3C2C">
              <w:rPr>
                <w:rFonts w:cs="Arial"/>
              </w:rPr>
              <w:t xml:space="preserve">the Metro South Hospital and Health Board and two of its </w:t>
            </w:r>
            <w:bookmarkStart w:id="208" w:name="_Int_Pf4VTrQN"/>
            <w:proofErr w:type="gramStart"/>
            <w:r w:rsidR="007A3C2C" w:rsidRPr="007A3C2C">
              <w:rPr>
                <w:rFonts w:cs="Arial"/>
              </w:rPr>
              <w:t>committees</w:t>
            </w:r>
            <w:r w:rsidR="00E65655">
              <w:rPr>
                <w:rFonts w:cs="Arial"/>
              </w:rPr>
              <w:t xml:space="preserve">, </w:t>
            </w:r>
            <w:r w:rsidR="007C5EA0">
              <w:rPr>
                <w:rFonts w:cs="Arial"/>
              </w:rPr>
              <w:t>and</w:t>
            </w:r>
            <w:bookmarkEnd w:id="208"/>
            <w:proofErr w:type="gramEnd"/>
            <w:r w:rsidR="007C5EA0">
              <w:rPr>
                <w:rFonts w:cs="Arial"/>
              </w:rPr>
              <w:t xml:space="preserve"> has </w:t>
            </w:r>
            <w:r w:rsidR="00E65655">
              <w:rPr>
                <w:rFonts w:cs="Arial"/>
              </w:rPr>
              <w:t>substantial board and committee experience</w:t>
            </w:r>
            <w:r w:rsidR="007A3C2C" w:rsidRPr="007A3C2C">
              <w:rPr>
                <w:rFonts w:cs="Arial"/>
              </w:rPr>
              <w:t xml:space="preserve">. </w:t>
            </w:r>
            <w:r w:rsidR="00E37A49">
              <w:rPr>
                <w:rFonts w:cs="Arial"/>
              </w:rPr>
              <w:t>Colin</w:t>
            </w:r>
            <w:r w:rsidR="007A3C2C" w:rsidRPr="007A3C2C" w:rsidDel="00D220B6">
              <w:rPr>
                <w:rFonts w:cs="Arial"/>
              </w:rPr>
              <w:t xml:space="preserve"> </w:t>
            </w:r>
            <w:r w:rsidR="007A3C2C" w:rsidRPr="007A3C2C">
              <w:rPr>
                <w:rFonts w:cs="Arial"/>
              </w:rPr>
              <w:t xml:space="preserve">has </w:t>
            </w:r>
            <w:r w:rsidR="00E65655">
              <w:rPr>
                <w:rFonts w:cs="Arial"/>
              </w:rPr>
              <w:t>enjoyed a long</w:t>
            </w:r>
            <w:r w:rsidR="007A3C2C" w:rsidRPr="007A3C2C">
              <w:rPr>
                <w:rFonts w:cs="Arial"/>
              </w:rPr>
              <w:t xml:space="preserve"> public sector career, including several senior executive </w:t>
            </w:r>
            <w:r w:rsidR="00746703">
              <w:rPr>
                <w:rFonts w:cs="Arial"/>
              </w:rPr>
              <w:t xml:space="preserve">positions within </w:t>
            </w:r>
            <w:r w:rsidR="007A3C2C" w:rsidRPr="007A3C2C">
              <w:rPr>
                <w:rFonts w:cs="Arial"/>
              </w:rPr>
              <w:t xml:space="preserve">the Queensland Government. </w:t>
            </w:r>
            <w:r w:rsidR="003C6CB1">
              <w:rPr>
                <w:rFonts w:cs="Arial"/>
              </w:rPr>
              <w:t xml:space="preserve">In recognition of his contributions to town planning, </w:t>
            </w:r>
            <w:r w:rsidR="007A3C2C" w:rsidRPr="007A3C2C">
              <w:rPr>
                <w:rFonts w:cs="Arial"/>
              </w:rPr>
              <w:t xml:space="preserve">corporate services and economic </w:t>
            </w:r>
            <w:r w:rsidR="007A3C2C" w:rsidRPr="007A3C2C">
              <w:rPr>
                <w:rFonts w:cs="Arial"/>
              </w:rPr>
              <w:lastRenderedPageBreak/>
              <w:t>development in Queensland</w:t>
            </w:r>
            <w:r w:rsidR="00CB66DB">
              <w:rPr>
                <w:rFonts w:cs="Arial"/>
              </w:rPr>
              <w:t xml:space="preserve">, Colin </w:t>
            </w:r>
            <w:r w:rsidR="00CB66DB" w:rsidRPr="007A3C2C">
              <w:rPr>
                <w:rFonts w:cs="Arial"/>
              </w:rPr>
              <w:t xml:space="preserve">was awarded the Public Service Medal </w:t>
            </w:r>
            <w:r w:rsidR="00CB66DB">
              <w:rPr>
                <w:rFonts w:cs="Arial"/>
              </w:rPr>
              <w:t xml:space="preserve">in </w:t>
            </w:r>
            <w:r w:rsidR="00787EBD">
              <w:rPr>
                <w:rFonts w:cs="Arial"/>
              </w:rPr>
              <w:t xml:space="preserve">the </w:t>
            </w:r>
            <w:r w:rsidR="00CB66DB">
              <w:rPr>
                <w:rFonts w:cs="Arial"/>
              </w:rPr>
              <w:t xml:space="preserve">2020 </w:t>
            </w:r>
            <w:r w:rsidR="00787EBD" w:rsidRPr="007A3C2C">
              <w:rPr>
                <w:rFonts w:cs="Arial"/>
              </w:rPr>
              <w:t xml:space="preserve">Australia Day </w:t>
            </w:r>
            <w:r w:rsidR="00787EBD">
              <w:rPr>
                <w:rFonts w:cs="Arial"/>
              </w:rPr>
              <w:t>Honours</w:t>
            </w:r>
            <w:r w:rsidR="007A3C2C" w:rsidRPr="007A3C2C">
              <w:rPr>
                <w:rFonts w:cs="Arial"/>
              </w:rPr>
              <w:t>.</w:t>
            </w:r>
            <w:r w:rsidR="000D4ECA">
              <w:rPr>
                <w:rFonts w:cs="Arial"/>
              </w:rPr>
              <w:t xml:space="preserve"> </w:t>
            </w:r>
          </w:p>
        </w:tc>
      </w:tr>
      <w:tr w:rsidR="004A2C19" w:rsidRPr="00133C61" w14:paraId="1E6BBA1F" w14:textId="77777777" w:rsidTr="00802DFB">
        <w:tc>
          <w:tcPr>
            <w:tcW w:w="2972" w:type="dxa"/>
          </w:tcPr>
          <w:p w14:paraId="40C831DC" w14:textId="2CF10633" w:rsidR="0021293F" w:rsidRPr="00133C61" w:rsidRDefault="0021293F" w:rsidP="004B26BC">
            <w:pPr>
              <w:rPr>
                <w:rFonts w:cs="Arial"/>
                <w:b/>
              </w:rPr>
            </w:pPr>
            <w:r w:rsidRPr="004A2C19">
              <w:rPr>
                <w:rFonts w:cs="Arial"/>
                <w:b/>
              </w:rPr>
              <w:lastRenderedPageBreak/>
              <w:t xml:space="preserve">Christopher Edwards </w:t>
            </w:r>
            <w:r w:rsidRPr="00133C61">
              <w:rPr>
                <w:rFonts w:cs="Arial"/>
                <w:i/>
              </w:rPr>
              <w:t>FAICD</w:t>
            </w:r>
            <w:r w:rsidR="00E76C72">
              <w:rPr>
                <w:rFonts w:cs="Arial"/>
                <w:i/>
              </w:rPr>
              <w:t>,</w:t>
            </w:r>
            <w:r w:rsidRPr="00133C61">
              <w:rPr>
                <w:rFonts w:cs="Arial"/>
                <w:i/>
              </w:rPr>
              <w:t xml:space="preserve"> MBA</w:t>
            </w:r>
            <w:r w:rsidR="00780F3F">
              <w:rPr>
                <w:rFonts w:cs="Arial"/>
                <w:i/>
              </w:rPr>
              <w:t>,</w:t>
            </w:r>
            <w:r w:rsidRPr="00133C61">
              <w:rPr>
                <w:rFonts w:cs="Arial"/>
                <w:i/>
              </w:rPr>
              <w:t xml:space="preserve"> PMP</w:t>
            </w:r>
            <w:r w:rsidR="00780F3F">
              <w:rPr>
                <w:rFonts w:cs="Arial"/>
                <w:i/>
              </w:rPr>
              <w:t>,</w:t>
            </w:r>
            <w:r w:rsidRPr="00133C61">
              <w:rPr>
                <w:rFonts w:cs="Arial"/>
                <w:i/>
              </w:rPr>
              <w:t xml:space="preserve"> PMI-RMP</w:t>
            </w:r>
            <w:r w:rsidR="00780F3F">
              <w:rPr>
                <w:rFonts w:cs="Arial"/>
                <w:i/>
              </w:rPr>
              <w:t>,</w:t>
            </w:r>
            <w:r w:rsidRPr="00133C61">
              <w:rPr>
                <w:rFonts w:cs="Arial"/>
                <w:i/>
              </w:rPr>
              <w:t xml:space="preserve"> PMI-PBA</w:t>
            </w:r>
          </w:p>
          <w:p w14:paraId="378CF2B3" w14:textId="35478B7A" w:rsidR="00871EE3" w:rsidRPr="00133C61" w:rsidRDefault="00871EE3" w:rsidP="004B26BC">
            <w:pPr>
              <w:rPr>
                <w:rFonts w:cs="Arial"/>
              </w:rPr>
            </w:pPr>
            <w:r w:rsidRPr="00133C61">
              <w:rPr>
                <w:rFonts w:cs="Arial"/>
              </w:rPr>
              <w:t>Board member</w:t>
            </w:r>
          </w:p>
          <w:p w14:paraId="5B2D9B3D" w14:textId="77777777" w:rsidR="0021293F" w:rsidRPr="00133C61" w:rsidRDefault="0021293F" w:rsidP="004B26BC">
            <w:pPr>
              <w:rPr>
                <w:rFonts w:cs="Arial"/>
                <w:b/>
              </w:rPr>
            </w:pPr>
          </w:p>
        </w:tc>
        <w:tc>
          <w:tcPr>
            <w:tcW w:w="7478" w:type="dxa"/>
          </w:tcPr>
          <w:p w14:paraId="7FA95696" w14:textId="749E8B05" w:rsidR="0021293F" w:rsidRPr="00AB43DE" w:rsidRDefault="00A46646" w:rsidP="004B26BC">
            <w:pPr>
              <w:rPr>
                <w:rFonts w:cs="Arial"/>
              </w:rPr>
            </w:pPr>
            <w:r>
              <w:rPr>
                <w:rFonts w:cs="Arial"/>
              </w:rPr>
              <w:t>Chris</w:t>
            </w:r>
            <w:r w:rsidR="00135670">
              <w:rPr>
                <w:rFonts w:cs="Arial"/>
              </w:rPr>
              <w:t>topher</w:t>
            </w:r>
            <w:r>
              <w:rPr>
                <w:rFonts w:cs="Arial"/>
              </w:rPr>
              <w:t xml:space="preserve"> </w:t>
            </w:r>
            <w:r w:rsidR="00E0010A" w:rsidRPr="00E0010A">
              <w:rPr>
                <w:rFonts w:cs="Arial"/>
              </w:rPr>
              <w:t xml:space="preserve">is an executive and non-executive director with </w:t>
            </w:r>
            <w:r w:rsidR="00EE744B">
              <w:rPr>
                <w:rFonts w:cs="Arial"/>
              </w:rPr>
              <w:t>more than</w:t>
            </w:r>
            <w:r w:rsidR="00E0010A" w:rsidRPr="00E0010A">
              <w:rPr>
                <w:rFonts w:cs="Arial"/>
              </w:rPr>
              <w:t xml:space="preserve"> 30 years</w:t>
            </w:r>
            <w:r w:rsidR="003E27EC">
              <w:rPr>
                <w:rFonts w:cs="Arial"/>
              </w:rPr>
              <w:t xml:space="preserve">’ </w:t>
            </w:r>
            <w:r w:rsidR="00E0010A" w:rsidRPr="00E0010A">
              <w:rPr>
                <w:rFonts w:cs="Arial"/>
              </w:rPr>
              <w:t xml:space="preserve">experience delivering major projects and programs across Queensland, totalling more than $30 billion in capital investment. </w:t>
            </w:r>
            <w:r w:rsidR="0081457C">
              <w:rPr>
                <w:rFonts w:cs="Arial"/>
              </w:rPr>
              <w:t>He</w:t>
            </w:r>
            <w:r w:rsidR="00E4155C" w:rsidRPr="00E0010A">
              <w:rPr>
                <w:rFonts w:cs="Arial"/>
              </w:rPr>
              <w:t xml:space="preserve"> </w:t>
            </w:r>
            <w:r w:rsidR="00E0010A" w:rsidRPr="00E0010A">
              <w:rPr>
                <w:rFonts w:cs="Arial"/>
              </w:rPr>
              <w:t xml:space="preserve">is </w:t>
            </w:r>
            <w:r>
              <w:rPr>
                <w:rFonts w:cs="Arial"/>
              </w:rPr>
              <w:t>the</w:t>
            </w:r>
            <w:r w:rsidR="00E0010A" w:rsidRPr="00E0010A">
              <w:rPr>
                <w:rFonts w:cs="Arial"/>
              </w:rPr>
              <w:t xml:space="preserve"> Executive Director </w:t>
            </w:r>
            <w:r w:rsidR="0081457C">
              <w:rPr>
                <w:rFonts w:cs="Arial"/>
              </w:rPr>
              <w:t xml:space="preserve">of </w:t>
            </w:r>
            <w:r w:rsidR="00E0010A" w:rsidRPr="00E0010A">
              <w:rPr>
                <w:rFonts w:cs="Arial"/>
              </w:rPr>
              <w:t xml:space="preserve">Programs at Jacobs, </w:t>
            </w:r>
            <w:r w:rsidR="0081457C">
              <w:rPr>
                <w:rFonts w:cs="Arial"/>
              </w:rPr>
              <w:t xml:space="preserve">where he </w:t>
            </w:r>
            <w:r w:rsidR="00D756A9">
              <w:rPr>
                <w:rFonts w:cs="Arial"/>
              </w:rPr>
              <w:t>leads</w:t>
            </w:r>
            <w:r w:rsidR="00E0010A" w:rsidRPr="00E0010A">
              <w:rPr>
                <w:rFonts w:cs="Arial"/>
              </w:rPr>
              <w:t xml:space="preserve"> </w:t>
            </w:r>
            <w:r w:rsidR="00732E6B">
              <w:rPr>
                <w:rFonts w:cs="Arial"/>
              </w:rPr>
              <w:t>the</w:t>
            </w:r>
            <w:r w:rsidR="00E0010A" w:rsidRPr="00E0010A">
              <w:rPr>
                <w:rFonts w:cs="Arial"/>
              </w:rPr>
              <w:t xml:space="preserve"> national infrastructure delivery strategy and </w:t>
            </w:r>
            <w:r w:rsidR="0081457C">
              <w:rPr>
                <w:rFonts w:cs="Arial"/>
              </w:rPr>
              <w:t>collaborat</w:t>
            </w:r>
            <w:r w:rsidR="00732E6B">
              <w:rPr>
                <w:rFonts w:cs="Arial"/>
              </w:rPr>
              <w:t xml:space="preserve">es with </w:t>
            </w:r>
            <w:r w:rsidR="00E0010A" w:rsidRPr="00E0010A">
              <w:rPr>
                <w:rFonts w:cs="Arial"/>
              </w:rPr>
              <w:t>government on complex capital programs focused on assurance, value and outcomes.</w:t>
            </w:r>
            <w:r w:rsidR="005B63EE">
              <w:rPr>
                <w:rFonts w:cs="Arial"/>
              </w:rPr>
              <w:t xml:space="preserve"> </w:t>
            </w:r>
            <w:r w:rsidR="00250609" w:rsidRPr="00250609">
              <w:rPr>
                <w:rFonts w:cs="Arial"/>
              </w:rPr>
              <w:t xml:space="preserve">Christopher </w:t>
            </w:r>
            <w:r w:rsidR="00E0010A" w:rsidRPr="00E0010A">
              <w:rPr>
                <w:rFonts w:cs="Arial"/>
              </w:rPr>
              <w:t xml:space="preserve">is a Fellow of the </w:t>
            </w:r>
            <w:r w:rsidR="00F7511D">
              <w:rPr>
                <w:rFonts w:cs="Arial"/>
              </w:rPr>
              <w:t>AICD</w:t>
            </w:r>
            <w:r w:rsidR="00E0010A" w:rsidRPr="00E0010A">
              <w:rPr>
                <w:rFonts w:cs="Arial"/>
              </w:rPr>
              <w:t xml:space="preserve"> and serves on several government boards, including Racing Queensland, Community Enterprise Queensland</w:t>
            </w:r>
            <w:r w:rsidR="002305DB">
              <w:rPr>
                <w:rFonts w:cs="Arial"/>
              </w:rPr>
              <w:t xml:space="preserve"> </w:t>
            </w:r>
            <w:r w:rsidR="00E0010A" w:rsidRPr="00E0010A">
              <w:rPr>
                <w:rFonts w:cs="Arial"/>
              </w:rPr>
              <w:t>and Aviation Australia.</w:t>
            </w:r>
          </w:p>
        </w:tc>
      </w:tr>
      <w:tr w:rsidR="004A2C19" w:rsidRPr="00133C61" w14:paraId="715E526F" w14:textId="77777777" w:rsidTr="00802DFB">
        <w:tc>
          <w:tcPr>
            <w:tcW w:w="2972" w:type="dxa"/>
          </w:tcPr>
          <w:p w14:paraId="638A2F45" w14:textId="77777777" w:rsidR="00253C4C" w:rsidRDefault="0021293F" w:rsidP="004B26BC">
            <w:pPr>
              <w:rPr>
                <w:rFonts w:cs="Arial"/>
                <w:b/>
              </w:rPr>
            </w:pPr>
            <w:r w:rsidRPr="004A2C19">
              <w:rPr>
                <w:rFonts w:cs="Arial"/>
                <w:b/>
              </w:rPr>
              <w:t xml:space="preserve">Meg Frisby </w:t>
            </w:r>
          </w:p>
          <w:p w14:paraId="25CFF408" w14:textId="415EE545" w:rsidR="0021293F" w:rsidRPr="00133C61" w:rsidRDefault="0021293F" w:rsidP="004B26BC">
            <w:pPr>
              <w:rPr>
                <w:rFonts w:cs="Arial"/>
                <w:b/>
              </w:rPr>
            </w:pPr>
            <w:r w:rsidRPr="00A06563">
              <w:rPr>
                <w:rFonts w:cs="Arial"/>
                <w:i/>
              </w:rPr>
              <w:t>LLB</w:t>
            </w:r>
            <w:r w:rsidR="00E76C72">
              <w:rPr>
                <w:rFonts w:cs="Arial"/>
                <w:i/>
              </w:rPr>
              <w:t>,</w:t>
            </w:r>
            <w:r w:rsidR="00A06563">
              <w:rPr>
                <w:rFonts w:cs="Arial"/>
                <w:bCs/>
                <w:i/>
                <w:iCs/>
              </w:rPr>
              <w:t xml:space="preserve"> GAICD</w:t>
            </w:r>
          </w:p>
          <w:p w14:paraId="18B9EBDB" w14:textId="77777777" w:rsidR="0021293F" w:rsidRPr="00133C61" w:rsidRDefault="00871EE3" w:rsidP="004B26BC">
            <w:pPr>
              <w:rPr>
                <w:rFonts w:cs="Arial"/>
              </w:rPr>
            </w:pPr>
            <w:r w:rsidRPr="00133C61">
              <w:rPr>
                <w:rFonts w:cs="Arial"/>
              </w:rPr>
              <w:t>Board member</w:t>
            </w:r>
          </w:p>
          <w:p w14:paraId="35D1964C" w14:textId="14BEA7FB" w:rsidR="0021293F" w:rsidRPr="00133C61" w:rsidRDefault="0021293F" w:rsidP="004B26BC">
            <w:pPr>
              <w:rPr>
                <w:rFonts w:cs="Arial"/>
                <w:b/>
              </w:rPr>
            </w:pPr>
          </w:p>
        </w:tc>
        <w:tc>
          <w:tcPr>
            <w:tcW w:w="7478" w:type="dxa"/>
          </w:tcPr>
          <w:p w14:paraId="447FAEB6" w14:textId="4E5018A6" w:rsidR="0021293F" w:rsidRPr="00672CF0" w:rsidRDefault="005D4E33" w:rsidP="004B26BC">
            <w:pPr>
              <w:rPr>
                <w:rFonts w:cs="Arial"/>
              </w:rPr>
            </w:pPr>
            <w:r>
              <w:rPr>
                <w:rFonts w:cs="Arial"/>
              </w:rPr>
              <w:t>Meg</w:t>
            </w:r>
            <w:r w:rsidR="00672CF0" w:rsidRPr="00672CF0">
              <w:rPr>
                <w:rFonts w:cs="Arial"/>
              </w:rPr>
              <w:t xml:space="preserve"> is the Director of Meg Frisby Consulting, a stakeholder relations consultancy based in </w:t>
            </w:r>
            <w:r w:rsidR="00DF5E00" w:rsidRPr="00DF5E00">
              <w:rPr>
                <w:rFonts w:cs="Arial"/>
              </w:rPr>
              <w:t>North</w:t>
            </w:r>
            <w:r w:rsidR="00672CF0" w:rsidRPr="00672CF0">
              <w:rPr>
                <w:rFonts w:cs="Arial"/>
              </w:rPr>
              <w:t xml:space="preserve"> Queensland. </w:t>
            </w:r>
            <w:r w:rsidR="00CC7A99">
              <w:rPr>
                <w:rFonts w:cs="Arial"/>
              </w:rPr>
              <w:t>Meg</w:t>
            </w:r>
            <w:r w:rsidR="00672CF0" w:rsidRPr="00672CF0" w:rsidDel="00364D0D">
              <w:rPr>
                <w:rFonts w:cs="Arial"/>
              </w:rPr>
              <w:t xml:space="preserve"> </w:t>
            </w:r>
            <w:r w:rsidR="00671EF0">
              <w:rPr>
                <w:rFonts w:cs="Arial"/>
              </w:rPr>
              <w:t>brings</w:t>
            </w:r>
            <w:r w:rsidR="00672CF0" w:rsidRPr="00672CF0">
              <w:rPr>
                <w:rFonts w:cs="Arial"/>
              </w:rPr>
              <w:t xml:space="preserve"> extensive </w:t>
            </w:r>
            <w:r w:rsidR="002474C2">
              <w:rPr>
                <w:rFonts w:cs="Arial"/>
              </w:rPr>
              <w:t xml:space="preserve">experience from both the </w:t>
            </w:r>
            <w:r w:rsidR="00672CF0" w:rsidRPr="00672CF0">
              <w:rPr>
                <w:rFonts w:cs="Arial"/>
              </w:rPr>
              <w:t>private and public sector</w:t>
            </w:r>
            <w:r w:rsidR="002474C2">
              <w:rPr>
                <w:rFonts w:cs="Arial"/>
              </w:rPr>
              <w:t>,</w:t>
            </w:r>
            <w:r w:rsidR="00672CF0" w:rsidRPr="00672CF0">
              <w:rPr>
                <w:rFonts w:cs="Arial"/>
              </w:rPr>
              <w:t xml:space="preserve"> having worked as a lawyer, Chief of Staff in state and local government</w:t>
            </w:r>
            <w:r w:rsidR="009B519A">
              <w:rPr>
                <w:rFonts w:cs="Arial"/>
              </w:rPr>
              <w:t>,</w:t>
            </w:r>
            <w:r w:rsidR="00672CF0" w:rsidRPr="00672CF0">
              <w:rPr>
                <w:rFonts w:cs="Arial"/>
              </w:rPr>
              <w:t xml:space="preserve"> and </w:t>
            </w:r>
            <w:r w:rsidR="00181B95">
              <w:rPr>
                <w:rFonts w:cs="Arial"/>
              </w:rPr>
              <w:t xml:space="preserve">as a </w:t>
            </w:r>
            <w:r w:rsidR="009B519A">
              <w:rPr>
                <w:rFonts w:cs="Arial"/>
              </w:rPr>
              <w:t>s</w:t>
            </w:r>
            <w:r w:rsidR="00672CF0" w:rsidRPr="00672CF0">
              <w:rPr>
                <w:rFonts w:cs="Arial"/>
              </w:rPr>
              <w:t xml:space="preserve">takeholder </w:t>
            </w:r>
            <w:r w:rsidR="009B519A">
              <w:rPr>
                <w:rFonts w:cs="Arial"/>
              </w:rPr>
              <w:t>r</w:t>
            </w:r>
            <w:r w:rsidR="00672CF0" w:rsidRPr="00672CF0">
              <w:rPr>
                <w:rFonts w:cs="Arial"/>
              </w:rPr>
              <w:t xml:space="preserve">elations </w:t>
            </w:r>
            <w:r w:rsidR="00283DC9">
              <w:rPr>
                <w:rFonts w:cs="Arial"/>
              </w:rPr>
              <w:t>s</w:t>
            </w:r>
            <w:r w:rsidR="00672CF0" w:rsidRPr="00672CF0">
              <w:rPr>
                <w:rFonts w:cs="Arial"/>
              </w:rPr>
              <w:t>pecialist</w:t>
            </w:r>
            <w:r w:rsidR="00F83845">
              <w:rPr>
                <w:rFonts w:cs="Arial"/>
              </w:rPr>
              <w:t xml:space="preserve"> </w:t>
            </w:r>
            <w:r w:rsidR="00F83845" w:rsidRPr="00672CF0">
              <w:rPr>
                <w:rFonts w:cs="Arial"/>
              </w:rPr>
              <w:t xml:space="preserve">in the resources </w:t>
            </w:r>
            <w:r w:rsidR="00840318">
              <w:rPr>
                <w:rFonts w:cs="Arial"/>
              </w:rPr>
              <w:t>industry</w:t>
            </w:r>
            <w:r w:rsidR="00672CF0" w:rsidRPr="00672CF0">
              <w:rPr>
                <w:rFonts w:cs="Arial"/>
              </w:rPr>
              <w:t>.</w:t>
            </w:r>
            <w:r w:rsidR="00DF5E00" w:rsidRPr="00DF5E00">
              <w:rPr>
                <w:rFonts w:cs="Arial"/>
              </w:rPr>
              <w:t xml:space="preserve"> </w:t>
            </w:r>
            <w:r>
              <w:rPr>
                <w:rFonts w:cs="Arial"/>
              </w:rPr>
              <w:t xml:space="preserve">Meg </w:t>
            </w:r>
            <w:r w:rsidR="00DF5E00" w:rsidRPr="00DF5E00">
              <w:rPr>
                <w:rFonts w:cs="Arial"/>
              </w:rPr>
              <w:t xml:space="preserve">is </w:t>
            </w:r>
            <w:r w:rsidR="00A26BE6">
              <w:rPr>
                <w:rFonts w:cs="Arial"/>
              </w:rPr>
              <w:t xml:space="preserve">a </w:t>
            </w:r>
            <w:r w:rsidR="005C2E0E">
              <w:rPr>
                <w:rFonts w:cs="Arial"/>
              </w:rPr>
              <w:t xml:space="preserve">strong </w:t>
            </w:r>
            <w:r w:rsidR="00DF5E00" w:rsidRPr="00DF5E00">
              <w:rPr>
                <w:rFonts w:cs="Arial"/>
              </w:rPr>
              <w:t>advocate for regional and remote Queensland.</w:t>
            </w:r>
          </w:p>
        </w:tc>
      </w:tr>
      <w:tr w:rsidR="004A2C19" w:rsidRPr="00133C61" w14:paraId="0ACCEE45" w14:textId="77777777" w:rsidTr="00802DFB">
        <w:tc>
          <w:tcPr>
            <w:tcW w:w="2972" w:type="dxa"/>
          </w:tcPr>
          <w:p w14:paraId="211442C3" w14:textId="77777777" w:rsidR="00253C4C" w:rsidRDefault="3263236B" w:rsidP="004B26BC">
            <w:pPr>
              <w:rPr>
                <w:rFonts w:cs="Arial"/>
                <w:b/>
                <w:bCs/>
              </w:rPr>
            </w:pPr>
            <w:r w:rsidRPr="6F24D714">
              <w:rPr>
                <w:rFonts w:cs="Arial"/>
                <w:b/>
                <w:bCs/>
              </w:rPr>
              <w:t xml:space="preserve">Robyn Petrou </w:t>
            </w:r>
          </w:p>
          <w:p w14:paraId="4A8D4FC1" w14:textId="1A032FD6" w:rsidR="0021293F" w:rsidRPr="004A2C19" w:rsidRDefault="00134219" w:rsidP="004B26BC">
            <w:pPr>
              <w:rPr>
                <w:rFonts w:cs="Arial"/>
                <w:i/>
              </w:rPr>
            </w:pPr>
            <w:r>
              <w:rPr>
                <w:rFonts w:cs="Arial"/>
                <w:i/>
                <w:iCs/>
              </w:rPr>
              <w:t>Bec</w:t>
            </w:r>
            <w:r w:rsidR="00FF0609">
              <w:rPr>
                <w:rFonts w:cs="Arial"/>
                <w:i/>
                <w:iCs/>
              </w:rPr>
              <w:t xml:space="preserve">, </w:t>
            </w:r>
            <w:r w:rsidR="5AB1AF0C" w:rsidRPr="6F24D714">
              <w:rPr>
                <w:rFonts w:cs="Arial"/>
                <w:i/>
                <w:iCs/>
              </w:rPr>
              <w:t>CPA</w:t>
            </w:r>
            <w:r w:rsidR="00E76C72">
              <w:rPr>
                <w:rFonts w:cs="Arial"/>
                <w:i/>
                <w:iCs/>
              </w:rPr>
              <w:t xml:space="preserve">, </w:t>
            </w:r>
            <w:r w:rsidR="00FF0609">
              <w:rPr>
                <w:rFonts w:cs="Arial"/>
                <w:i/>
                <w:iCs/>
              </w:rPr>
              <w:t>F</w:t>
            </w:r>
            <w:r w:rsidR="5AB1AF0C" w:rsidRPr="6F24D714">
              <w:rPr>
                <w:rFonts w:cs="Arial"/>
                <w:i/>
                <w:iCs/>
              </w:rPr>
              <w:t>AICD</w:t>
            </w:r>
            <w:r w:rsidR="00E76C72">
              <w:rPr>
                <w:rFonts w:cs="Arial"/>
                <w:i/>
                <w:iCs/>
              </w:rPr>
              <w:t>,</w:t>
            </w:r>
            <w:r w:rsidR="5AB1AF0C" w:rsidRPr="6F24D714">
              <w:rPr>
                <w:rFonts w:cs="Arial"/>
                <w:i/>
                <w:iCs/>
              </w:rPr>
              <w:t xml:space="preserve"> FGIA</w:t>
            </w:r>
            <w:r w:rsidR="00E76C72">
              <w:rPr>
                <w:rFonts w:cs="Arial"/>
                <w:i/>
                <w:iCs/>
              </w:rPr>
              <w:t>,</w:t>
            </w:r>
            <w:r w:rsidR="5AB1AF0C" w:rsidRPr="6F24D714">
              <w:rPr>
                <w:rFonts w:cs="Arial"/>
                <w:i/>
                <w:iCs/>
              </w:rPr>
              <w:t xml:space="preserve"> ASFA AIF</w:t>
            </w:r>
          </w:p>
          <w:p w14:paraId="2A397A74" w14:textId="713F07CC" w:rsidR="0021293F" w:rsidRPr="00133C61" w:rsidRDefault="00871EE3" w:rsidP="004B26BC">
            <w:pPr>
              <w:rPr>
                <w:rFonts w:cs="Arial"/>
              </w:rPr>
            </w:pPr>
            <w:r w:rsidRPr="00133C61">
              <w:rPr>
                <w:rFonts w:cs="Arial"/>
              </w:rPr>
              <w:t>Board member</w:t>
            </w:r>
          </w:p>
        </w:tc>
        <w:tc>
          <w:tcPr>
            <w:tcW w:w="7478" w:type="dxa"/>
          </w:tcPr>
          <w:p w14:paraId="7A1B77B9" w14:textId="3F03F58B" w:rsidR="0021293F" w:rsidRPr="00DB66DD" w:rsidRDefault="008D150E" w:rsidP="004B26BC">
            <w:pPr>
              <w:rPr>
                <w:rFonts w:cs="Arial"/>
              </w:rPr>
            </w:pPr>
            <w:r>
              <w:rPr>
                <w:rFonts w:cs="Arial"/>
              </w:rPr>
              <w:t>Robyn</w:t>
            </w:r>
            <w:r w:rsidR="00A0438E" w:rsidRPr="00A0438E">
              <w:rPr>
                <w:rFonts w:cs="Arial"/>
              </w:rPr>
              <w:t xml:space="preserve"> has </w:t>
            </w:r>
            <w:r w:rsidR="00B07575">
              <w:rPr>
                <w:rFonts w:cs="Arial"/>
              </w:rPr>
              <w:t>more than</w:t>
            </w:r>
            <w:r w:rsidR="00A0438E" w:rsidRPr="00A0438E">
              <w:rPr>
                <w:rFonts w:cs="Arial"/>
              </w:rPr>
              <w:t xml:space="preserve"> 15 years’ experience as a board </w:t>
            </w:r>
            <w:r w:rsidR="00CF3B8D">
              <w:rPr>
                <w:rFonts w:cs="Arial"/>
              </w:rPr>
              <w:t>member</w:t>
            </w:r>
            <w:r w:rsidR="00CF3B8D" w:rsidRPr="00A0438E">
              <w:rPr>
                <w:rFonts w:cs="Arial"/>
              </w:rPr>
              <w:t xml:space="preserve"> </w:t>
            </w:r>
            <w:r w:rsidR="00A0438E" w:rsidRPr="00A0438E">
              <w:rPr>
                <w:rFonts w:cs="Arial"/>
              </w:rPr>
              <w:t>in the public, private and not-for-profit sectors.</w:t>
            </w:r>
            <w:r w:rsidR="00A62ACF">
              <w:rPr>
                <w:rFonts w:cs="Arial"/>
              </w:rPr>
              <w:t xml:space="preserve"> </w:t>
            </w:r>
            <w:r w:rsidR="00EA65AA">
              <w:rPr>
                <w:rFonts w:cs="Arial"/>
              </w:rPr>
              <w:t xml:space="preserve">Robyn </w:t>
            </w:r>
            <w:r w:rsidR="00A62ACF">
              <w:rPr>
                <w:rFonts w:cs="Arial"/>
              </w:rPr>
              <w:t>brings extensive expertise in</w:t>
            </w:r>
            <w:r w:rsidR="00707C5B">
              <w:rPr>
                <w:rFonts w:cs="Arial"/>
              </w:rPr>
              <w:t xml:space="preserve"> </w:t>
            </w:r>
            <w:r w:rsidR="00EE3640" w:rsidRPr="00EE3640">
              <w:rPr>
                <w:rFonts w:cs="Arial"/>
              </w:rPr>
              <w:t>navigat</w:t>
            </w:r>
            <w:r w:rsidR="00283DC9">
              <w:rPr>
                <w:rFonts w:cs="Arial"/>
              </w:rPr>
              <w:t>ing</w:t>
            </w:r>
            <w:r w:rsidR="00EE3640" w:rsidRPr="00EE3640">
              <w:rPr>
                <w:rFonts w:cs="Arial"/>
              </w:rPr>
              <w:t xml:space="preserve"> complex financial </w:t>
            </w:r>
            <w:r w:rsidR="00707C5B">
              <w:rPr>
                <w:rFonts w:cs="Arial"/>
              </w:rPr>
              <w:t>environments</w:t>
            </w:r>
            <w:r w:rsidR="00EE3640" w:rsidRPr="00EE3640">
              <w:rPr>
                <w:rFonts w:cs="Arial"/>
              </w:rPr>
              <w:t xml:space="preserve">, with </w:t>
            </w:r>
            <w:r w:rsidR="00707C5B">
              <w:rPr>
                <w:rFonts w:cs="Arial"/>
              </w:rPr>
              <w:t xml:space="preserve">strengths </w:t>
            </w:r>
            <w:r w:rsidR="00537CB9">
              <w:rPr>
                <w:rFonts w:cs="Arial"/>
              </w:rPr>
              <w:t xml:space="preserve">in </w:t>
            </w:r>
            <w:r w:rsidR="00EE3640" w:rsidRPr="00EE3640">
              <w:rPr>
                <w:rFonts w:cs="Arial"/>
              </w:rPr>
              <w:t>insurance, financial management, investment and corporate strateg</w:t>
            </w:r>
            <w:r w:rsidR="00537CB9">
              <w:rPr>
                <w:rFonts w:cs="Arial"/>
              </w:rPr>
              <w:t>y</w:t>
            </w:r>
            <w:r w:rsidR="00EE3640" w:rsidRPr="00EE3640">
              <w:rPr>
                <w:rFonts w:cs="Arial"/>
              </w:rPr>
              <w:t>, risk mitigation</w:t>
            </w:r>
            <w:r w:rsidR="00E20526">
              <w:rPr>
                <w:rFonts w:cs="Arial"/>
              </w:rPr>
              <w:t xml:space="preserve"> </w:t>
            </w:r>
            <w:r w:rsidR="00EE3640" w:rsidRPr="00EE3640">
              <w:rPr>
                <w:rFonts w:cs="Arial"/>
              </w:rPr>
              <w:t>and advocacy.</w:t>
            </w:r>
            <w:r w:rsidR="00AA08AF">
              <w:rPr>
                <w:rFonts w:cs="Arial"/>
              </w:rPr>
              <w:t xml:space="preserve"> </w:t>
            </w:r>
            <w:r w:rsidR="00E20526">
              <w:rPr>
                <w:rFonts w:cs="Arial"/>
              </w:rPr>
              <w:t>As a former</w:t>
            </w:r>
            <w:r w:rsidR="00EE3640" w:rsidRPr="00EE3640" w:rsidDel="00364D0D">
              <w:rPr>
                <w:rFonts w:cs="Arial"/>
              </w:rPr>
              <w:t xml:space="preserve"> </w:t>
            </w:r>
            <w:r w:rsidR="00EE3640" w:rsidRPr="00EE3640">
              <w:rPr>
                <w:rFonts w:cs="Arial"/>
              </w:rPr>
              <w:t>CEO of a superannuation fund</w:t>
            </w:r>
            <w:r w:rsidR="00E20526">
              <w:rPr>
                <w:rFonts w:cs="Arial"/>
              </w:rPr>
              <w:t xml:space="preserve">, </w:t>
            </w:r>
            <w:r w:rsidR="002F45E4">
              <w:rPr>
                <w:rFonts w:cs="Arial"/>
              </w:rPr>
              <w:t>Robyn</w:t>
            </w:r>
            <w:r w:rsidR="00E20526">
              <w:rPr>
                <w:rFonts w:cs="Arial"/>
              </w:rPr>
              <w:t xml:space="preserve"> was recognised for her </w:t>
            </w:r>
            <w:r w:rsidR="00EE3640" w:rsidRPr="00EE3640">
              <w:rPr>
                <w:rFonts w:cs="Arial"/>
              </w:rPr>
              <w:t>innovative approaches to customer engagement, growth</w:t>
            </w:r>
            <w:r w:rsidR="00E20526">
              <w:rPr>
                <w:rFonts w:cs="Arial"/>
              </w:rPr>
              <w:t xml:space="preserve"> </w:t>
            </w:r>
            <w:r w:rsidR="00EE3640" w:rsidRPr="00EE3640">
              <w:rPr>
                <w:rFonts w:cs="Arial"/>
              </w:rPr>
              <w:t xml:space="preserve">and long-term sustainability. </w:t>
            </w:r>
            <w:r w:rsidR="006D36D1">
              <w:rPr>
                <w:rFonts w:cs="Arial"/>
              </w:rPr>
              <w:t>N</w:t>
            </w:r>
            <w:r w:rsidR="00E20526">
              <w:rPr>
                <w:rFonts w:cs="Arial"/>
              </w:rPr>
              <w:t xml:space="preserve">ow </w:t>
            </w:r>
            <w:r w:rsidR="006D36D1">
              <w:rPr>
                <w:rFonts w:cs="Arial"/>
              </w:rPr>
              <w:t>she</w:t>
            </w:r>
            <w:r w:rsidR="00E20526">
              <w:rPr>
                <w:rFonts w:cs="Arial"/>
              </w:rPr>
              <w:t xml:space="preserve"> operates</w:t>
            </w:r>
            <w:r w:rsidR="00EE3640" w:rsidRPr="00EE3640" w:rsidDel="00AD0D5E">
              <w:rPr>
                <w:rFonts w:cs="Arial"/>
              </w:rPr>
              <w:t xml:space="preserve"> </w:t>
            </w:r>
            <w:r w:rsidR="00EE3640" w:rsidRPr="00EE3640">
              <w:rPr>
                <w:rFonts w:cs="Arial"/>
              </w:rPr>
              <w:t xml:space="preserve">her own strategic advisory firm and </w:t>
            </w:r>
            <w:bookmarkStart w:id="209" w:name="_Int_Vqpt61Dm"/>
            <w:proofErr w:type="gramStart"/>
            <w:r w:rsidR="00EE3640" w:rsidRPr="00EE3640">
              <w:rPr>
                <w:rFonts w:cs="Arial"/>
              </w:rPr>
              <w:t>coach</w:t>
            </w:r>
            <w:r w:rsidR="008E689B">
              <w:rPr>
                <w:rFonts w:cs="Arial"/>
              </w:rPr>
              <w:t>e</w:t>
            </w:r>
            <w:r w:rsidR="00EE3640" w:rsidRPr="00EE3640">
              <w:rPr>
                <w:rFonts w:cs="Arial"/>
              </w:rPr>
              <w:t>s</w:t>
            </w:r>
            <w:bookmarkEnd w:id="209"/>
            <w:proofErr w:type="gramEnd"/>
            <w:r w:rsidR="00EE3640" w:rsidRPr="00EE3640">
              <w:rPr>
                <w:rFonts w:cs="Arial"/>
              </w:rPr>
              <w:t xml:space="preserve"> senior executives across </w:t>
            </w:r>
            <w:r w:rsidR="00E20526">
              <w:rPr>
                <w:rFonts w:cs="Arial"/>
              </w:rPr>
              <w:t>various</w:t>
            </w:r>
            <w:r w:rsidR="00EE3640" w:rsidRPr="00EE3640">
              <w:rPr>
                <w:rFonts w:cs="Arial"/>
              </w:rPr>
              <w:t xml:space="preserve"> industries.</w:t>
            </w:r>
            <w:r w:rsidR="00EA52FC">
              <w:rPr>
                <w:rFonts w:cs="Arial"/>
              </w:rPr>
              <w:t xml:space="preserve"> </w:t>
            </w:r>
          </w:p>
        </w:tc>
      </w:tr>
    </w:tbl>
    <w:p w14:paraId="1E470658" w14:textId="294BBA4B" w:rsidR="0043055E" w:rsidRPr="00791F48" w:rsidRDefault="0043055E" w:rsidP="00C15179">
      <w:pPr>
        <w:pStyle w:val="Heading3"/>
        <w:spacing w:before="120"/>
        <w:rPr>
          <w:szCs w:val="22"/>
        </w:rPr>
      </w:pPr>
      <w:bookmarkStart w:id="210" w:name="_QBC_Board_committees"/>
      <w:bookmarkEnd w:id="210"/>
      <w:r w:rsidRPr="00791F48">
        <w:rPr>
          <w:szCs w:val="22"/>
        </w:rPr>
        <w:t xml:space="preserve">QBC Board </w:t>
      </w:r>
      <w:r w:rsidR="003A282D" w:rsidRPr="00791F48">
        <w:rPr>
          <w:szCs w:val="22"/>
        </w:rPr>
        <w:t>c</w:t>
      </w:r>
      <w:r w:rsidRPr="00791F48">
        <w:rPr>
          <w:szCs w:val="22"/>
        </w:rPr>
        <w:t xml:space="preserve">ommittees  </w:t>
      </w:r>
    </w:p>
    <w:p w14:paraId="2D74A650" w14:textId="06CA4969" w:rsidR="000165C0" w:rsidRDefault="00F24CFF" w:rsidP="00646D5D">
      <w:pPr>
        <w:spacing w:before="120" w:after="120"/>
        <w:rPr>
          <w:rFonts w:cs="Arial"/>
          <w:szCs w:val="22"/>
        </w:rPr>
      </w:pPr>
      <w:r>
        <w:rPr>
          <w:rFonts w:cs="Arial"/>
          <w:szCs w:val="22"/>
        </w:rPr>
        <w:t>In 2024–25, t</w:t>
      </w:r>
      <w:r w:rsidR="006B23D4" w:rsidRPr="006B23D4">
        <w:rPr>
          <w:rFonts w:cs="Arial"/>
          <w:szCs w:val="22"/>
        </w:rPr>
        <w:t xml:space="preserve">he </w:t>
      </w:r>
      <w:r>
        <w:rPr>
          <w:rFonts w:cs="Arial"/>
          <w:szCs w:val="22"/>
        </w:rPr>
        <w:t>QBC</w:t>
      </w:r>
      <w:r w:rsidR="006B23D4" w:rsidRPr="006B23D4">
        <w:rPr>
          <w:rFonts w:cs="Arial"/>
          <w:szCs w:val="22"/>
        </w:rPr>
        <w:t xml:space="preserve"> Board </w:t>
      </w:r>
      <w:r w:rsidR="00572BD9">
        <w:rPr>
          <w:rFonts w:cs="Arial"/>
          <w:szCs w:val="22"/>
        </w:rPr>
        <w:t>was</w:t>
      </w:r>
      <w:r w:rsidR="006B23D4" w:rsidRPr="006B23D4">
        <w:rPr>
          <w:rFonts w:cs="Arial"/>
          <w:szCs w:val="22"/>
        </w:rPr>
        <w:t xml:space="preserve"> </w:t>
      </w:r>
      <w:r w:rsidR="00EF6A0A">
        <w:rPr>
          <w:rFonts w:cs="Arial"/>
          <w:szCs w:val="22"/>
        </w:rPr>
        <w:t>supported</w:t>
      </w:r>
      <w:r w:rsidR="006B23D4" w:rsidRPr="006B23D4">
        <w:rPr>
          <w:rFonts w:cs="Arial"/>
          <w:szCs w:val="22"/>
        </w:rPr>
        <w:t xml:space="preserve"> </w:t>
      </w:r>
      <w:r w:rsidR="00EF6A0A">
        <w:rPr>
          <w:rFonts w:cs="Arial"/>
          <w:szCs w:val="22"/>
        </w:rPr>
        <w:t>by</w:t>
      </w:r>
      <w:r w:rsidR="006B23D4" w:rsidRPr="006B23D4">
        <w:rPr>
          <w:rFonts w:cs="Arial"/>
          <w:szCs w:val="22"/>
        </w:rPr>
        <w:t xml:space="preserve"> </w:t>
      </w:r>
      <w:proofErr w:type="gramStart"/>
      <w:r w:rsidR="00083806">
        <w:rPr>
          <w:rFonts w:cs="Arial"/>
          <w:szCs w:val="22"/>
        </w:rPr>
        <w:t>a number of</w:t>
      </w:r>
      <w:proofErr w:type="gramEnd"/>
      <w:r w:rsidR="00083806" w:rsidRPr="006B23D4">
        <w:rPr>
          <w:rFonts w:cs="Arial"/>
          <w:szCs w:val="22"/>
        </w:rPr>
        <w:t xml:space="preserve"> </w:t>
      </w:r>
      <w:r w:rsidR="006B23D4" w:rsidRPr="006B23D4">
        <w:rPr>
          <w:rFonts w:cs="Arial"/>
          <w:szCs w:val="22"/>
        </w:rPr>
        <w:t xml:space="preserve">committees to </w:t>
      </w:r>
      <w:r w:rsidR="009D0D38">
        <w:rPr>
          <w:rFonts w:cs="Arial"/>
          <w:szCs w:val="22"/>
        </w:rPr>
        <w:t xml:space="preserve">help </w:t>
      </w:r>
      <w:r w:rsidR="00EF6A0A">
        <w:rPr>
          <w:rFonts w:cs="Arial"/>
          <w:szCs w:val="22"/>
        </w:rPr>
        <w:t>fulfil its</w:t>
      </w:r>
      <w:r w:rsidR="006B23D4" w:rsidRPr="006B23D4">
        <w:rPr>
          <w:rFonts w:cs="Arial"/>
          <w:szCs w:val="22"/>
        </w:rPr>
        <w:t xml:space="preserve"> responsibilities. In May 2025, </w:t>
      </w:r>
      <w:r w:rsidR="00425C5E">
        <w:rPr>
          <w:rFonts w:cs="Arial"/>
          <w:szCs w:val="22"/>
        </w:rPr>
        <w:t xml:space="preserve">two </w:t>
      </w:r>
      <w:r w:rsidR="000165C0">
        <w:rPr>
          <w:rFonts w:cs="Arial"/>
          <w:szCs w:val="22"/>
        </w:rPr>
        <w:t xml:space="preserve">committees </w:t>
      </w:r>
      <w:r w:rsidR="009D0D38">
        <w:rPr>
          <w:rFonts w:cs="Arial"/>
          <w:szCs w:val="22"/>
        </w:rPr>
        <w:t>concluded their function</w:t>
      </w:r>
      <w:r w:rsidR="000165C0">
        <w:rPr>
          <w:rFonts w:cs="Arial"/>
          <w:szCs w:val="22"/>
        </w:rPr>
        <w:t>:</w:t>
      </w:r>
    </w:p>
    <w:p w14:paraId="060330EC" w14:textId="12BEFA48" w:rsidR="000165C0" w:rsidRPr="000165C0" w:rsidRDefault="006B23D4" w:rsidP="00BD69F7">
      <w:pPr>
        <w:pStyle w:val="ListParagraph"/>
        <w:numPr>
          <w:ilvl w:val="0"/>
          <w:numId w:val="53"/>
        </w:numPr>
        <w:spacing w:before="120" w:after="120"/>
        <w:contextualSpacing w:val="0"/>
        <w:rPr>
          <w:rFonts w:cs="Arial"/>
        </w:rPr>
      </w:pPr>
      <w:r w:rsidRPr="000165C0">
        <w:rPr>
          <w:rFonts w:cs="Arial"/>
          <w:szCs w:val="22"/>
        </w:rPr>
        <w:t>Digital Advisory Committee</w:t>
      </w:r>
      <w:r w:rsidR="00D55B2D">
        <w:rPr>
          <w:rFonts w:cs="Arial"/>
          <w:szCs w:val="22"/>
        </w:rPr>
        <w:t>.</w:t>
      </w:r>
    </w:p>
    <w:p w14:paraId="48D23AE8" w14:textId="28766590" w:rsidR="000165C0" w:rsidRPr="000165C0" w:rsidRDefault="006B23D4" w:rsidP="00BD69F7">
      <w:pPr>
        <w:pStyle w:val="ListParagraph"/>
        <w:numPr>
          <w:ilvl w:val="0"/>
          <w:numId w:val="53"/>
        </w:numPr>
        <w:spacing w:before="120" w:after="120"/>
        <w:contextualSpacing w:val="0"/>
        <w:rPr>
          <w:rFonts w:cs="Arial"/>
        </w:rPr>
      </w:pPr>
      <w:r w:rsidRPr="000165C0">
        <w:rPr>
          <w:rFonts w:cs="Arial"/>
          <w:szCs w:val="22"/>
        </w:rPr>
        <w:t>Ex</w:t>
      </w:r>
      <w:r w:rsidR="00062812" w:rsidRPr="000165C0">
        <w:rPr>
          <w:rFonts w:cs="Arial"/>
          <w:szCs w:val="22"/>
        </w:rPr>
        <w:t>-</w:t>
      </w:r>
      <w:r w:rsidRPr="000165C0">
        <w:rPr>
          <w:rFonts w:cs="Arial"/>
          <w:szCs w:val="22"/>
        </w:rPr>
        <w:t>Gratia Payment Decisions Committee</w:t>
      </w:r>
      <w:r w:rsidR="00D55B2D">
        <w:rPr>
          <w:rFonts w:cs="Arial"/>
          <w:szCs w:val="22"/>
        </w:rPr>
        <w:t>.</w:t>
      </w:r>
    </w:p>
    <w:p w14:paraId="0522AD30" w14:textId="77777777" w:rsidR="009D3DC9" w:rsidRDefault="00957AE6" w:rsidP="0016342D">
      <w:pPr>
        <w:spacing w:before="120" w:after="120"/>
        <w:rPr>
          <w:rFonts w:cs="Arial"/>
          <w:szCs w:val="22"/>
        </w:rPr>
      </w:pPr>
      <w:r>
        <w:rPr>
          <w:rFonts w:cs="Arial"/>
          <w:szCs w:val="22"/>
        </w:rPr>
        <w:t xml:space="preserve">In addition, the </w:t>
      </w:r>
      <w:r w:rsidRPr="00957AE6">
        <w:rPr>
          <w:rFonts w:cs="Arial"/>
          <w:szCs w:val="22"/>
        </w:rPr>
        <w:t>Finance, Audit and Risk Committee</w:t>
      </w:r>
      <w:r w:rsidR="005B0E45" w:rsidDel="00517282">
        <w:rPr>
          <w:rFonts w:cs="Arial"/>
          <w:szCs w:val="22"/>
        </w:rPr>
        <w:t xml:space="preserve"> </w:t>
      </w:r>
      <w:r w:rsidR="00001AAD">
        <w:rPr>
          <w:rFonts w:cs="Arial"/>
          <w:szCs w:val="22"/>
        </w:rPr>
        <w:t>(FAR)</w:t>
      </w:r>
      <w:r w:rsidR="005B0E45" w:rsidDel="00517282">
        <w:rPr>
          <w:rFonts w:cs="Arial"/>
          <w:szCs w:val="22"/>
        </w:rPr>
        <w:t xml:space="preserve"> </w:t>
      </w:r>
      <w:r w:rsidR="003E50BC">
        <w:rPr>
          <w:rFonts w:cs="Arial"/>
          <w:szCs w:val="22"/>
        </w:rPr>
        <w:t>merged</w:t>
      </w:r>
      <w:r w:rsidR="00D55FF2">
        <w:rPr>
          <w:rFonts w:cs="Arial"/>
          <w:szCs w:val="22"/>
        </w:rPr>
        <w:t xml:space="preserve"> with</w:t>
      </w:r>
      <w:r w:rsidR="005B0E45">
        <w:rPr>
          <w:rFonts w:cs="Arial"/>
          <w:szCs w:val="22"/>
        </w:rPr>
        <w:t xml:space="preserve"> the </w:t>
      </w:r>
      <w:r w:rsidR="005B0E45" w:rsidRPr="005B0E45">
        <w:rPr>
          <w:rFonts w:cs="Arial"/>
          <w:szCs w:val="22"/>
        </w:rPr>
        <w:t>Insurance Committee</w:t>
      </w:r>
      <w:r w:rsidR="005B0E45" w:rsidDel="00517282">
        <w:rPr>
          <w:rFonts w:cs="Arial"/>
          <w:szCs w:val="22"/>
        </w:rPr>
        <w:t xml:space="preserve"> </w:t>
      </w:r>
      <w:r w:rsidR="0085024B">
        <w:rPr>
          <w:rFonts w:cs="Arial"/>
          <w:szCs w:val="22"/>
        </w:rPr>
        <w:t>on</w:t>
      </w:r>
      <w:r w:rsidR="00425C5E">
        <w:rPr>
          <w:rFonts w:cs="Arial"/>
          <w:szCs w:val="22"/>
        </w:rPr>
        <w:t xml:space="preserve"> 26 June 2025</w:t>
      </w:r>
      <w:r w:rsidR="00EE328B">
        <w:rPr>
          <w:rFonts w:cs="Arial"/>
          <w:szCs w:val="22"/>
        </w:rPr>
        <w:t>. The</w:t>
      </w:r>
      <w:r w:rsidR="00425C5E">
        <w:rPr>
          <w:rFonts w:cs="Arial"/>
          <w:szCs w:val="22"/>
        </w:rPr>
        <w:t xml:space="preserve"> Industry Advisory Committee</w:t>
      </w:r>
      <w:r w:rsidR="007639D1" w:rsidDel="00517282">
        <w:rPr>
          <w:rFonts w:cs="Arial"/>
          <w:szCs w:val="22"/>
        </w:rPr>
        <w:t xml:space="preserve"> </w:t>
      </w:r>
      <w:r w:rsidR="008A0DDE">
        <w:rPr>
          <w:rFonts w:cs="Arial"/>
          <w:szCs w:val="22"/>
        </w:rPr>
        <w:t>(IAC)</w:t>
      </w:r>
      <w:r w:rsidR="007639D1" w:rsidDel="00517282">
        <w:rPr>
          <w:rFonts w:cs="Arial"/>
          <w:szCs w:val="22"/>
        </w:rPr>
        <w:t xml:space="preserve"> </w:t>
      </w:r>
      <w:r w:rsidR="007639D1">
        <w:rPr>
          <w:rFonts w:cs="Arial"/>
          <w:szCs w:val="22"/>
        </w:rPr>
        <w:t xml:space="preserve">also concluded </w:t>
      </w:r>
      <w:r w:rsidR="008A1523">
        <w:rPr>
          <w:rFonts w:cs="Arial"/>
          <w:szCs w:val="22"/>
        </w:rPr>
        <w:t>its</w:t>
      </w:r>
      <w:r w:rsidR="007639D1">
        <w:rPr>
          <w:rFonts w:cs="Arial"/>
          <w:szCs w:val="22"/>
        </w:rPr>
        <w:t xml:space="preserve"> function</w:t>
      </w:r>
      <w:r w:rsidR="008A1523">
        <w:rPr>
          <w:rFonts w:cs="Arial"/>
          <w:szCs w:val="22"/>
        </w:rPr>
        <w:t xml:space="preserve"> during this time</w:t>
      </w:r>
      <w:r w:rsidR="009A415B">
        <w:rPr>
          <w:rFonts w:cs="Arial"/>
          <w:szCs w:val="22"/>
        </w:rPr>
        <w:t xml:space="preserve">. </w:t>
      </w:r>
    </w:p>
    <w:p w14:paraId="2844270D" w14:textId="102C0E06" w:rsidR="00D4131F" w:rsidRDefault="00C92D34" w:rsidP="0016342D">
      <w:pPr>
        <w:spacing w:before="120" w:after="120"/>
        <w:rPr>
          <w:rFonts w:cs="Arial"/>
          <w:szCs w:val="22"/>
        </w:rPr>
      </w:pPr>
      <w:r>
        <w:rPr>
          <w:rFonts w:cs="Arial"/>
          <w:szCs w:val="22"/>
        </w:rPr>
        <w:t xml:space="preserve">As recorded </w:t>
      </w:r>
      <w:r w:rsidR="009C6915">
        <w:rPr>
          <w:rFonts w:cs="Arial"/>
          <w:szCs w:val="22"/>
        </w:rPr>
        <w:t>on 30 June 2025</w:t>
      </w:r>
      <w:r w:rsidR="00025B9C">
        <w:rPr>
          <w:rFonts w:cs="Arial"/>
          <w:szCs w:val="22"/>
        </w:rPr>
        <w:t xml:space="preserve">, </w:t>
      </w:r>
      <w:r w:rsidR="00235332">
        <w:rPr>
          <w:rFonts w:cs="Arial"/>
          <w:szCs w:val="22"/>
        </w:rPr>
        <w:t>two</w:t>
      </w:r>
      <w:r w:rsidR="006B23D4" w:rsidRPr="0016342D">
        <w:rPr>
          <w:rFonts w:cs="Arial"/>
          <w:szCs w:val="22"/>
        </w:rPr>
        <w:t xml:space="preserve"> committees</w:t>
      </w:r>
      <w:r w:rsidR="00863DA1">
        <w:rPr>
          <w:rFonts w:cs="Arial"/>
          <w:szCs w:val="22"/>
        </w:rPr>
        <w:t xml:space="preserve"> remained active</w:t>
      </w:r>
      <w:r w:rsidR="00D4131F">
        <w:rPr>
          <w:rFonts w:cs="Arial"/>
          <w:szCs w:val="22"/>
        </w:rPr>
        <w:t>:</w:t>
      </w:r>
    </w:p>
    <w:p w14:paraId="4FCE0ADB" w14:textId="406F9A8B" w:rsidR="00077DA5" w:rsidRPr="00077DA5" w:rsidRDefault="00077DA5" w:rsidP="00BD69F7">
      <w:pPr>
        <w:pStyle w:val="ListParagraph"/>
        <w:numPr>
          <w:ilvl w:val="0"/>
          <w:numId w:val="54"/>
        </w:numPr>
        <w:spacing w:before="120" w:after="120"/>
        <w:contextualSpacing w:val="0"/>
        <w:rPr>
          <w:rFonts w:cs="Arial"/>
        </w:rPr>
      </w:pPr>
      <w:r w:rsidRPr="00077DA5">
        <w:rPr>
          <w:rFonts w:cs="Arial"/>
          <w:szCs w:val="22"/>
        </w:rPr>
        <w:t>Finance, Audit, Insurance and Risk</w:t>
      </w:r>
      <w:r w:rsidR="00BD1A11">
        <w:rPr>
          <w:rFonts w:cs="Arial"/>
          <w:szCs w:val="22"/>
        </w:rPr>
        <w:t xml:space="preserve"> </w:t>
      </w:r>
      <w:r w:rsidR="00BD1A11" w:rsidRPr="000165C0">
        <w:rPr>
          <w:rFonts w:cs="Arial"/>
          <w:szCs w:val="22"/>
        </w:rPr>
        <w:t>Committee</w:t>
      </w:r>
      <w:r w:rsidR="00D55B2D">
        <w:rPr>
          <w:rFonts w:cs="Arial"/>
          <w:szCs w:val="22"/>
        </w:rPr>
        <w:t>.</w:t>
      </w:r>
    </w:p>
    <w:p w14:paraId="252AA337" w14:textId="086DFD8E" w:rsidR="00226127" w:rsidRPr="006D0EAA" w:rsidRDefault="00077DA5" w:rsidP="00BD69F7">
      <w:pPr>
        <w:pStyle w:val="ListParagraph"/>
        <w:numPr>
          <w:ilvl w:val="0"/>
          <w:numId w:val="54"/>
        </w:numPr>
        <w:spacing w:before="120" w:after="120"/>
        <w:contextualSpacing w:val="0"/>
        <w:rPr>
          <w:rFonts w:cs="Arial"/>
        </w:rPr>
      </w:pPr>
      <w:r w:rsidRPr="00077DA5">
        <w:rPr>
          <w:rFonts w:cs="Arial"/>
          <w:szCs w:val="22"/>
        </w:rPr>
        <w:t>People, Culture and Performance</w:t>
      </w:r>
      <w:r w:rsidR="00BD1A11">
        <w:rPr>
          <w:rFonts w:cs="Arial"/>
          <w:szCs w:val="22"/>
        </w:rPr>
        <w:t xml:space="preserve"> </w:t>
      </w:r>
      <w:r w:rsidR="00BD1A11" w:rsidRPr="000165C0">
        <w:rPr>
          <w:rFonts w:cs="Arial"/>
          <w:szCs w:val="22"/>
        </w:rPr>
        <w:t>Committee</w:t>
      </w:r>
      <w:r w:rsidR="00D55B2D">
        <w:rPr>
          <w:rFonts w:cs="Arial"/>
          <w:szCs w:val="22"/>
        </w:rPr>
        <w:t>.</w:t>
      </w:r>
    </w:p>
    <w:p w14:paraId="5C0BB918" w14:textId="7A6E0105" w:rsidR="00486650" w:rsidRPr="006D0EAA" w:rsidRDefault="00E11252" w:rsidP="006D0EAA">
      <w:pPr>
        <w:spacing w:before="120" w:after="120"/>
        <w:rPr>
          <w:rFonts w:cs="Arial"/>
        </w:rPr>
      </w:pPr>
      <w:r w:rsidRPr="006D0EAA">
        <w:rPr>
          <w:rFonts w:cs="Arial"/>
          <w:szCs w:val="22"/>
        </w:rPr>
        <w:t xml:space="preserve">Each committee </w:t>
      </w:r>
      <w:r w:rsidR="00655C8B" w:rsidRPr="006D0EAA">
        <w:rPr>
          <w:rFonts w:cs="Arial"/>
          <w:szCs w:val="22"/>
        </w:rPr>
        <w:t>operates under</w:t>
      </w:r>
      <w:r w:rsidRPr="006D0EAA">
        <w:rPr>
          <w:rFonts w:cs="Arial"/>
          <w:szCs w:val="22"/>
        </w:rPr>
        <w:t xml:space="preserve"> a </w:t>
      </w:r>
      <w:r w:rsidR="00655C8B" w:rsidRPr="006D0EAA">
        <w:rPr>
          <w:rFonts w:cs="Arial"/>
          <w:szCs w:val="22"/>
        </w:rPr>
        <w:t>b</w:t>
      </w:r>
      <w:r w:rsidRPr="006D0EAA">
        <w:rPr>
          <w:rFonts w:cs="Arial"/>
          <w:szCs w:val="22"/>
        </w:rPr>
        <w:t>oard-approved charter or terms of reference</w:t>
      </w:r>
      <w:r w:rsidR="000236FD" w:rsidRPr="006D0EAA">
        <w:rPr>
          <w:rFonts w:cs="Arial"/>
          <w:szCs w:val="22"/>
        </w:rPr>
        <w:t xml:space="preserve">, which outlines its </w:t>
      </w:r>
      <w:r w:rsidRPr="006D0EAA">
        <w:rPr>
          <w:rFonts w:cs="Arial"/>
          <w:szCs w:val="22"/>
        </w:rPr>
        <w:t xml:space="preserve">membership, </w:t>
      </w:r>
      <w:r w:rsidR="000236FD" w:rsidRPr="006D0EAA">
        <w:rPr>
          <w:rFonts w:cs="Arial"/>
          <w:szCs w:val="22"/>
        </w:rPr>
        <w:t>purpose</w:t>
      </w:r>
      <w:r w:rsidR="000022E0" w:rsidRPr="006D0EAA">
        <w:rPr>
          <w:rFonts w:cs="Arial"/>
          <w:szCs w:val="22"/>
        </w:rPr>
        <w:t xml:space="preserve">, </w:t>
      </w:r>
      <w:r w:rsidRPr="006D0EAA">
        <w:rPr>
          <w:rFonts w:cs="Arial"/>
          <w:szCs w:val="22"/>
        </w:rPr>
        <w:t xml:space="preserve">functions and reporting </w:t>
      </w:r>
      <w:r w:rsidR="000022E0" w:rsidRPr="006D0EAA">
        <w:rPr>
          <w:rFonts w:cs="Arial"/>
          <w:szCs w:val="22"/>
        </w:rPr>
        <w:t>obligations</w:t>
      </w:r>
      <w:r w:rsidR="009C0694" w:rsidRPr="006D0EAA">
        <w:rPr>
          <w:rFonts w:cs="Arial"/>
          <w:szCs w:val="22"/>
        </w:rPr>
        <w:t xml:space="preserve">. </w:t>
      </w:r>
      <w:r w:rsidR="00A00F9A">
        <w:rPr>
          <w:rFonts w:cs="Arial"/>
          <w:szCs w:val="22"/>
        </w:rPr>
        <w:t>Table 32</w:t>
      </w:r>
      <w:r w:rsidR="003C14D7" w:rsidRPr="006D0EAA">
        <w:rPr>
          <w:rFonts w:cs="Arial"/>
          <w:szCs w:val="22"/>
        </w:rPr>
        <w:fldChar w:fldCharType="begin"/>
      </w:r>
      <w:r w:rsidR="003C14D7" w:rsidRPr="006D0EAA">
        <w:rPr>
          <w:rFonts w:cs="Arial"/>
          <w:szCs w:val="22"/>
        </w:rPr>
        <w:instrText xml:space="preserve"> REF _Ref201912157 \h </w:instrText>
      </w:r>
      <w:r w:rsidR="003C14D7" w:rsidRPr="006D0EAA">
        <w:rPr>
          <w:rFonts w:cs="Arial"/>
          <w:szCs w:val="22"/>
        </w:rPr>
      </w:r>
      <w:r w:rsidR="003C14D7" w:rsidRPr="006D0EAA">
        <w:rPr>
          <w:rFonts w:cs="Arial"/>
          <w:szCs w:val="22"/>
        </w:rPr>
        <w:fldChar w:fldCharType="separate"/>
      </w:r>
      <w:r w:rsidR="003C14D7" w:rsidRPr="006D0EAA">
        <w:rPr>
          <w:rFonts w:cs="Arial"/>
          <w:szCs w:val="22"/>
        </w:rPr>
        <w:fldChar w:fldCharType="end"/>
      </w:r>
      <w:r w:rsidR="009C0694" w:rsidRPr="006D0EAA">
        <w:rPr>
          <w:rFonts w:cs="Arial"/>
          <w:szCs w:val="22"/>
        </w:rPr>
        <w:t xml:space="preserve"> provides a</w:t>
      </w:r>
      <w:r w:rsidR="000022E0" w:rsidRPr="006D0EAA">
        <w:rPr>
          <w:rFonts w:cs="Arial"/>
          <w:szCs w:val="22"/>
        </w:rPr>
        <w:t>n</w:t>
      </w:r>
      <w:r w:rsidR="009C0694" w:rsidRPr="006D0EAA">
        <w:rPr>
          <w:rFonts w:cs="Arial"/>
          <w:szCs w:val="22"/>
        </w:rPr>
        <w:t xml:space="preserve"> overview of the </w:t>
      </w:r>
      <w:r w:rsidR="00D74D40" w:rsidRPr="006D0EAA">
        <w:rPr>
          <w:rFonts w:cs="Arial"/>
          <w:szCs w:val="22"/>
        </w:rPr>
        <w:t xml:space="preserve">QBC Board </w:t>
      </w:r>
      <w:r w:rsidR="00DD30F4">
        <w:rPr>
          <w:rFonts w:cs="Arial"/>
          <w:szCs w:val="22"/>
        </w:rPr>
        <w:t>c</w:t>
      </w:r>
      <w:r w:rsidR="00D74D40" w:rsidRPr="006D0EAA">
        <w:rPr>
          <w:rFonts w:cs="Arial"/>
          <w:szCs w:val="22"/>
        </w:rPr>
        <w:t>ommittees</w:t>
      </w:r>
      <w:r w:rsidR="004F454A" w:rsidRPr="006D0EAA">
        <w:rPr>
          <w:rFonts w:cs="Arial"/>
          <w:szCs w:val="22"/>
        </w:rPr>
        <w:t xml:space="preserve"> that operated during the </w:t>
      </w:r>
      <w:r w:rsidR="00661771">
        <w:rPr>
          <w:rFonts w:cs="Arial"/>
          <w:szCs w:val="22"/>
        </w:rPr>
        <w:t>reporting period</w:t>
      </w:r>
      <w:r w:rsidRPr="006D0EAA">
        <w:rPr>
          <w:rFonts w:cs="Arial"/>
          <w:szCs w:val="22"/>
        </w:rPr>
        <w:t>.</w:t>
      </w:r>
    </w:p>
    <w:p w14:paraId="56801739" w14:textId="24BFA6CE" w:rsidR="00486650" w:rsidRPr="004B26BC" w:rsidRDefault="003C14D7" w:rsidP="00646D5D">
      <w:pPr>
        <w:pStyle w:val="Caption"/>
        <w:keepNext/>
        <w:spacing w:before="120" w:after="120"/>
        <w:rPr>
          <w:b w:val="0"/>
        </w:rPr>
      </w:pPr>
      <w:bookmarkStart w:id="211" w:name="_Ref201912157"/>
      <w:bookmarkStart w:id="212" w:name="_Toc202872063"/>
      <w:bookmarkStart w:id="213" w:name="_Toc202872683"/>
      <w:r>
        <w:t xml:space="preserve">Table </w:t>
      </w:r>
      <w:r w:rsidR="00A955BE">
        <w:t>32</w:t>
      </w:r>
      <w:r>
        <w:fldChar w:fldCharType="begin"/>
      </w:r>
      <w:r>
        <w:instrText>SEQ Table \* ARABIC</w:instrText>
      </w:r>
      <w:r>
        <w:fldChar w:fldCharType="separate"/>
      </w:r>
      <w:r>
        <w:fldChar w:fldCharType="end"/>
      </w:r>
      <w:bookmarkEnd w:id="211"/>
      <w:r w:rsidRPr="00EE7756">
        <w:t xml:space="preserve">: </w:t>
      </w:r>
      <w:bookmarkStart w:id="214" w:name="_Ref202873621"/>
      <w:r w:rsidRPr="00EE7756">
        <w:t xml:space="preserve">QBC Board </w:t>
      </w:r>
      <w:r w:rsidR="00DD30F4">
        <w:t>c</w:t>
      </w:r>
      <w:r w:rsidRPr="00EE7756">
        <w:t>ommittees</w:t>
      </w:r>
      <w:r w:rsidR="004F454A">
        <w:t xml:space="preserve"> </w:t>
      </w:r>
      <w:r w:rsidR="006F504A">
        <w:t>operat</w:t>
      </w:r>
      <w:r w:rsidR="00FB3C2D">
        <w:t>ing</w:t>
      </w:r>
      <w:r w:rsidR="006F504A">
        <w:t xml:space="preserve"> in 2024–25</w:t>
      </w:r>
      <w:bookmarkEnd w:id="212"/>
      <w:bookmarkEnd w:id="213"/>
      <w:bookmarkEnd w:id="214"/>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7" w:type="dxa"/>
          <w:left w:w="57" w:type="dxa"/>
          <w:bottom w:w="57" w:type="dxa"/>
          <w:right w:w="57" w:type="dxa"/>
        </w:tblCellMar>
        <w:tblLook w:val="04A0" w:firstRow="1" w:lastRow="0" w:firstColumn="1" w:lastColumn="0" w:noHBand="0" w:noVBand="1"/>
      </w:tblPr>
      <w:tblGrid>
        <w:gridCol w:w="1838"/>
        <w:gridCol w:w="4820"/>
        <w:gridCol w:w="1984"/>
        <w:gridCol w:w="1564"/>
      </w:tblGrid>
      <w:tr w:rsidR="00083A9E" w:rsidRPr="00083A9E" w14:paraId="417E61E9" w14:textId="77777777" w:rsidTr="0032403D">
        <w:trPr>
          <w:tblHeader/>
          <w:jc w:val="center"/>
        </w:trPr>
        <w:tc>
          <w:tcPr>
            <w:tcW w:w="1838" w:type="dxa"/>
            <w:shd w:val="clear" w:color="auto" w:fill="A6A6A6" w:themeFill="background1" w:themeFillShade="A6"/>
            <w:vAlign w:val="center"/>
          </w:tcPr>
          <w:p w14:paraId="45E1BAD9" w14:textId="77777777" w:rsidR="00083A9E" w:rsidRPr="00DF3E78" w:rsidRDefault="00083A9E" w:rsidP="0032403D">
            <w:pPr>
              <w:contextualSpacing/>
              <w:rPr>
                <w:rFonts w:cs="Arial"/>
                <w:b/>
                <w:szCs w:val="20"/>
              </w:rPr>
            </w:pPr>
            <w:r w:rsidRPr="00DF3E78">
              <w:rPr>
                <w:rFonts w:cs="Arial"/>
                <w:b/>
                <w:szCs w:val="20"/>
              </w:rPr>
              <w:t>Committee</w:t>
            </w:r>
          </w:p>
        </w:tc>
        <w:tc>
          <w:tcPr>
            <w:tcW w:w="4820" w:type="dxa"/>
            <w:shd w:val="clear" w:color="auto" w:fill="A6A6A6" w:themeFill="background1" w:themeFillShade="A6"/>
            <w:vAlign w:val="center"/>
          </w:tcPr>
          <w:p w14:paraId="7FC9FDA1" w14:textId="0711C496" w:rsidR="00083A9E" w:rsidRPr="00DF3E78" w:rsidRDefault="00083A9E" w:rsidP="00CE6544">
            <w:pPr>
              <w:contextualSpacing/>
              <w:rPr>
                <w:rFonts w:cs="Arial"/>
                <w:b/>
                <w:szCs w:val="20"/>
              </w:rPr>
            </w:pPr>
            <w:r w:rsidRPr="00DF3E78">
              <w:rPr>
                <w:rFonts w:cs="Arial"/>
                <w:b/>
                <w:szCs w:val="20"/>
              </w:rPr>
              <w:t xml:space="preserve">Purpose and </w:t>
            </w:r>
            <w:r w:rsidR="00025799">
              <w:rPr>
                <w:rFonts w:cs="Arial"/>
                <w:b/>
                <w:szCs w:val="20"/>
              </w:rPr>
              <w:t>f</w:t>
            </w:r>
            <w:r w:rsidRPr="00DF3E78">
              <w:rPr>
                <w:rFonts w:cs="Arial"/>
                <w:b/>
                <w:szCs w:val="20"/>
              </w:rPr>
              <w:t>unctions</w:t>
            </w:r>
          </w:p>
        </w:tc>
        <w:tc>
          <w:tcPr>
            <w:tcW w:w="1984" w:type="dxa"/>
            <w:shd w:val="clear" w:color="auto" w:fill="A6A6A6" w:themeFill="background1" w:themeFillShade="A6"/>
            <w:vAlign w:val="center"/>
          </w:tcPr>
          <w:p w14:paraId="031411C9" w14:textId="77777777" w:rsidR="00083A9E" w:rsidRPr="00DF3E78" w:rsidRDefault="00083A9E" w:rsidP="0032403D">
            <w:pPr>
              <w:contextualSpacing/>
              <w:rPr>
                <w:rFonts w:cs="Arial"/>
                <w:b/>
                <w:szCs w:val="20"/>
              </w:rPr>
            </w:pPr>
            <w:r w:rsidRPr="00DF3E78">
              <w:rPr>
                <w:rFonts w:cs="Arial"/>
                <w:b/>
                <w:szCs w:val="20"/>
              </w:rPr>
              <w:t>Members</w:t>
            </w:r>
          </w:p>
        </w:tc>
        <w:tc>
          <w:tcPr>
            <w:tcW w:w="1564" w:type="dxa"/>
            <w:shd w:val="clear" w:color="auto" w:fill="A6A6A6" w:themeFill="background1" w:themeFillShade="A6"/>
            <w:vAlign w:val="center"/>
          </w:tcPr>
          <w:p w14:paraId="33FB0F15" w14:textId="77777777" w:rsidR="00083A9E" w:rsidRPr="00DF3E78" w:rsidRDefault="00083A9E" w:rsidP="0032403D">
            <w:pPr>
              <w:contextualSpacing/>
              <w:rPr>
                <w:rFonts w:cs="Arial"/>
                <w:b/>
                <w:szCs w:val="20"/>
              </w:rPr>
            </w:pPr>
            <w:r w:rsidRPr="00DF3E78">
              <w:rPr>
                <w:rFonts w:cs="Arial"/>
                <w:b/>
                <w:szCs w:val="20"/>
              </w:rPr>
              <w:t>Meeting frequency</w:t>
            </w:r>
          </w:p>
        </w:tc>
      </w:tr>
      <w:tr w:rsidR="00083A9E" w:rsidRPr="00083A9E" w14:paraId="422A6752" w14:textId="77777777" w:rsidTr="004B26BC">
        <w:trPr>
          <w:jc w:val="center"/>
        </w:trPr>
        <w:tc>
          <w:tcPr>
            <w:tcW w:w="1838" w:type="dxa"/>
            <w:shd w:val="clear" w:color="auto" w:fill="FFFFFF" w:themeFill="background1"/>
            <w:hideMark/>
          </w:tcPr>
          <w:p w14:paraId="034D3F97" w14:textId="77777777" w:rsidR="00083A9E" w:rsidRPr="00A57D9E" w:rsidRDefault="00083A9E" w:rsidP="004B26BC">
            <w:pPr>
              <w:suppressLineNumbers/>
              <w:suppressAutoHyphens/>
              <w:textAlignment w:val="baseline"/>
              <w:rPr>
                <w:rFonts w:cs="Arial"/>
                <w:szCs w:val="20"/>
              </w:rPr>
            </w:pPr>
            <w:r w:rsidRPr="00A57D9E">
              <w:rPr>
                <w:rFonts w:cs="Arial"/>
                <w:szCs w:val="20"/>
              </w:rPr>
              <w:t>Finance, Audit and Risk Committee</w:t>
            </w:r>
          </w:p>
          <w:p w14:paraId="34381F46" w14:textId="0A1349E8" w:rsidR="002D1023" w:rsidRPr="00A57D9E" w:rsidRDefault="002D1023" w:rsidP="004B26BC">
            <w:pPr>
              <w:suppressLineNumbers/>
              <w:suppressAutoHyphens/>
              <w:textAlignment w:val="baseline"/>
              <w:rPr>
                <w:rFonts w:cs="Arial"/>
                <w:szCs w:val="20"/>
              </w:rPr>
            </w:pPr>
            <w:r w:rsidRPr="00A57D9E">
              <w:rPr>
                <w:rFonts w:cs="Arial"/>
                <w:szCs w:val="20"/>
              </w:rPr>
              <w:t>(FAR)</w:t>
            </w:r>
          </w:p>
          <w:p w14:paraId="4E8639F4" w14:textId="77777777" w:rsidR="00745C36" w:rsidRPr="00A57D9E" w:rsidRDefault="00745C36" w:rsidP="004B26BC">
            <w:pPr>
              <w:suppressLineNumbers/>
              <w:suppressAutoHyphens/>
              <w:textAlignment w:val="baseline"/>
              <w:rPr>
                <w:rFonts w:cs="Arial"/>
                <w:szCs w:val="20"/>
              </w:rPr>
            </w:pPr>
          </w:p>
          <w:p w14:paraId="13BF3ADE" w14:textId="77777777" w:rsidR="00745C36" w:rsidRPr="00A57D9E" w:rsidRDefault="00745C36" w:rsidP="00745C36">
            <w:pPr>
              <w:suppressLineNumbers/>
              <w:suppressAutoHyphens/>
              <w:textAlignment w:val="baseline"/>
              <w:rPr>
                <w:rFonts w:cs="Arial"/>
                <w:i/>
                <w:szCs w:val="20"/>
              </w:rPr>
            </w:pPr>
            <w:r w:rsidRPr="00A57D9E">
              <w:rPr>
                <w:rFonts w:cs="Arial"/>
                <w:i/>
                <w:szCs w:val="20"/>
              </w:rPr>
              <w:t xml:space="preserve">Operational </w:t>
            </w:r>
          </w:p>
          <w:p w14:paraId="447F68CB" w14:textId="366073B2" w:rsidR="00745C36" w:rsidRPr="00A57D9E" w:rsidRDefault="00745C36" w:rsidP="00745C36">
            <w:pPr>
              <w:suppressLineNumbers/>
              <w:suppressAutoHyphens/>
              <w:textAlignment w:val="baseline"/>
              <w:rPr>
                <w:rFonts w:cs="Arial"/>
                <w:i/>
                <w:szCs w:val="20"/>
              </w:rPr>
            </w:pPr>
            <w:r w:rsidRPr="00A57D9E">
              <w:rPr>
                <w:rFonts w:cs="Arial"/>
                <w:i/>
                <w:szCs w:val="20"/>
              </w:rPr>
              <w:lastRenderedPageBreak/>
              <w:t xml:space="preserve">1 July 2024 </w:t>
            </w:r>
            <w:r w:rsidR="00D55B2D">
              <w:rPr>
                <w:rFonts w:cs="Arial"/>
                <w:i/>
                <w:szCs w:val="20"/>
              </w:rPr>
              <w:t>–</w:t>
            </w:r>
            <w:r w:rsidR="00927B4F">
              <w:rPr>
                <w:rFonts w:cs="Arial"/>
                <w:i/>
                <w:szCs w:val="20"/>
              </w:rPr>
              <w:t xml:space="preserve"> </w:t>
            </w:r>
            <w:r w:rsidR="007639D1" w:rsidRPr="00A57D9E">
              <w:rPr>
                <w:rFonts w:cs="Arial"/>
                <w:i/>
                <w:szCs w:val="20"/>
              </w:rPr>
              <w:t>26 June</w:t>
            </w:r>
            <w:r w:rsidRPr="00A57D9E">
              <w:rPr>
                <w:rFonts w:cs="Arial"/>
                <w:i/>
                <w:szCs w:val="20"/>
              </w:rPr>
              <w:t xml:space="preserve"> 2025</w:t>
            </w:r>
          </w:p>
          <w:p w14:paraId="1DE1FD58" w14:textId="29264E5C" w:rsidR="00745C36" w:rsidRPr="00083A9E" w:rsidRDefault="00745C36" w:rsidP="004B26BC">
            <w:pPr>
              <w:suppressLineNumbers/>
              <w:suppressAutoHyphens/>
              <w:textAlignment w:val="baseline"/>
              <w:rPr>
                <w:rFonts w:cs="Arial"/>
                <w:szCs w:val="20"/>
              </w:rPr>
            </w:pPr>
          </w:p>
        </w:tc>
        <w:tc>
          <w:tcPr>
            <w:tcW w:w="4820" w:type="dxa"/>
            <w:shd w:val="clear" w:color="auto" w:fill="FFFFFF" w:themeFill="background1"/>
          </w:tcPr>
          <w:p w14:paraId="1334341B" w14:textId="77777777" w:rsidR="0018549C" w:rsidRPr="00A57D9E" w:rsidRDefault="00C9044A" w:rsidP="00C9044A">
            <w:pPr>
              <w:suppressLineNumbers/>
              <w:suppressAutoHyphens/>
              <w:textAlignment w:val="baseline"/>
              <w:rPr>
                <w:rFonts w:cs="Arial"/>
                <w:szCs w:val="20"/>
              </w:rPr>
            </w:pPr>
            <w:r w:rsidRPr="00A57D9E">
              <w:rPr>
                <w:rFonts w:cs="Arial"/>
                <w:szCs w:val="20"/>
                <w:u w:val="single"/>
              </w:rPr>
              <w:lastRenderedPageBreak/>
              <w:t>Purpose:</w:t>
            </w:r>
            <w:r w:rsidRPr="00A57D9E">
              <w:rPr>
                <w:rFonts w:cs="Arial"/>
                <w:szCs w:val="20"/>
              </w:rPr>
              <w:t xml:space="preserve"> </w:t>
            </w:r>
          </w:p>
          <w:p w14:paraId="11532233" w14:textId="4AA8E37C" w:rsidR="00C9044A" w:rsidRPr="004B7EE7" w:rsidRDefault="00C9044A" w:rsidP="00C9044A">
            <w:pPr>
              <w:suppressLineNumbers/>
              <w:suppressAutoHyphens/>
              <w:textAlignment w:val="baseline"/>
              <w:rPr>
                <w:rFonts w:cs="Arial"/>
                <w:u w:val="single"/>
                <w:lang w:val="en-GB"/>
              </w:rPr>
            </w:pPr>
            <w:r w:rsidRPr="2CB0BF71">
              <w:rPr>
                <w:rFonts w:cs="Arial"/>
                <w:lang w:val="en-GB"/>
              </w:rPr>
              <w:t>To support the QBC Board by overseeing and providing advice on financial management, audit and risk matters and setting the tone for risk culture through the promotion of open risk discussions and consideration of risk in decision making</w:t>
            </w:r>
          </w:p>
          <w:p w14:paraId="41B4290D" w14:textId="77777777" w:rsidR="00884D5E" w:rsidRPr="00A57D9E" w:rsidRDefault="00884D5E" w:rsidP="00C9044A">
            <w:pPr>
              <w:suppressLineNumbers/>
              <w:suppressAutoHyphens/>
              <w:textAlignment w:val="baseline"/>
              <w:rPr>
                <w:rFonts w:cs="Arial"/>
                <w:szCs w:val="20"/>
                <w:u w:val="single"/>
              </w:rPr>
            </w:pPr>
          </w:p>
          <w:p w14:paraId="3D53A724" w14:textId="1EAF2F3E" w:rsidR="00C9044A" w:rsidRPr="00A57D9E" w:rsidRDefault="00C9044A" w:rsidP="00C9044A">
            <w:pPr>
              <w:suppressLineNumbers/>
              <w:suppressAutoHyphens/>
              <w:textAlignment w:val="baseline"/>
              <w:rPr>
                <w:rFonts w:cs="Arial"/>
                <w:szCs w:val="20"/>
                <w:u w:val="single"/>
              </w:rPr>
            </w:pPr>
            <w:r w:rsidRPr="00A57D9E">
              <w:rPr>
                <w:rFonts w:cs="Arial"/>
                <w:szCs w:val="20"/>
                <w:u w:val="single"/>
              </w:rPr>
              <w:t>Functions:</w:t>
            </w:r>
          </w:p>
          <w:p w14:paraId="4D3FD4C9" w14:textId="4C2BEB6E" w:rsidR="00C9044A" w:rsidRPr="004B7EE7" w:rsidRDefault="00C9044A" w:rsidP="2CB0BF71">
            <w:pPr>
              <w:pStyle w:val="ListParagraph"/>
              <w:numPr>
                <w:ilvl w:val="0"/>
                <w:numId w:val="4"/>
              </w:numPr>
              <w:suppressLineNumbers/>
              <w:suppressAutoHyphens/>
              <w:ind w:left="170" w:hanging="170"/>
              <w:textAlignment w:val="baseline"/>
              <w:rPr>
                <w:rFonts w:cs="Arial"/>
                <w:lang w:val="en-GB"/>
              </w:rPr>
            </w:pPr>
            <w:r w:rsidRPr="2CB0BF71">
              <w:rPr>
                <w:rFonts w:cs="Arial"/>
                <w:lang w:val="en-GB"/>
              </w:rPr>
              <w:t>Providing assurance to the Board on the accuracy and integrity of the QBCC’s financial management and reporting</w:t>
            </w:r>
          </w:p>
          <w:p w14:paraId="24D31284" w14:textId="4BF3BD91" w:rsidR="00C9044A" w:rsidRPr="00A57D9E" w:rsidRDefault="00C9044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Monitoring compliance with relevant financial legislation and prescribed requirements</w:t>
            </w:r>
          </w:p>
          <w:p w14:paraId="507A1038" w14:textId="60BC3F03" w:rsidR="00C9044A" w:rsidRPr="00A57D9E" w:rsidRDefault="00C9044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Ensuring the establishment and maintenance of policies and strategies for the investment of surplus funds</w:t>
            </w:r>
          </w:p>
          <w:p w14:paraId="39646406" w14:textId="30CA400A" w:rsidR="00C9044A" w:rsidRPr="00A57D9E" w:rsidRDefault="00C9044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Monitoring the QBCC’s internal audit program</w:t>
            </w:r>
          </w:p>
          <w:p w14:paraId="01C0CED9" w14:textId="5A079354" w:rsidR="00083A9E" w:rsidRPr="004B7EE7" w:rsidRDefault="00C9044A" w:rsidP="2CB0BF71">
            <w:pPr>
              <w:pStyle w:val="ListParagraph"/>
              <w:numPr>
                <w:ilvl w:val="0"/>
                <w:numId w:val="4"/>
              </w:numPr>
              <w:suppressLineNumbers/>
              <w:suppressAutoHyphens/>
              <w:ind w:left="170" w:hanging="170"/>
              <w:textAlignment w:val="baseline"/>
              <w:rPr>
                <w:rFonts w:cs="Arial"/>
                <w:lang w:val="en-GB"/>
              </w:rPr>
            </w:pPr>
            <w:r w:rsidRPr="2CB0BF71">
              <w:rPr>
                <w:rFonts w:cs="Arial"/>
                <w:lang w:val="en-GB"/>
              </w:rPr>
              <w:t>Ensuring that the QBCC has appropriate and effective risk management and compliance management systems in place</w:t>
            </w:r>
          </w:p>
        </w:tc>
        <w:tc>
          <w:tcPr>
            <w:tcW w:w="1984" w:type="dxa"/>
            <w:shd w:val="clear" w:color="auto" w:fill="FFFFFF" w:themeFill="background1"/>
          </w:tcPr>
          <w:p w14:paraId="3E73F33F" w14:textId="77777777" w:rsidR="00524E5E" w:rsidRPr="00A57D9E" w:rsidRDefault="00524E5E"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lastRenderedPageBreak/>
              <w:t>Robyn Petrou (Chair)</w:t>
            </w:r>
          </w:p>
          <w:p w14:paraId="01477A81" w14:textId="77777777" w:rsidR="00524E5E" w:rsidRPr="00A57D9E" w:rsidRDefault="00524E5E"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Colin Cassidy</w:t>
            </w:r>
          </w:p>
          <w:p w14:paraId="2E334656" w14:textId="77777777" w:rsidR="00524E5E" w:rsidRPr="004B7EE7" w:rsidRDefault="00524E5E" w:rsidP="2CB0BF71">
            <w:pPr>
              <w:pStyle w:val="ListParagraph"/>
              <w:numPr>
                <w:ilvl w:val="0"/>
                <w:numId w:val="4"/>
              </w:numPr>
              <w:suppressLineNumbers/>
              <w:suppressAutoHyphens/>
              <w:ind w:left="170" w:hanging="170"/>
              <w:textAlignment w:val="baseline"/>
              <w:rPr>
                <w:rFonts w:cs="Arial"/>
                <w:lang w:val="en-GB"/>
              </w:rPr>
            </w:pPr>
            <w:r w:rsidRPr="2CB0BF71">
              <w:rPr>
                <w:rFonts w:cs="Arial"/>
                <w:lang w:val="en-GB"/>
              </w:rPr>
              <w:t>Greg Chemello, Board Chair</w:t>
            </w:r>
          </w:p>
          <w:p w14:paraId="001E0FD0" w14:textId="6FABD33B" w:rsidR="00524E5E" w:rsidRPr="00A57D9E" w:rsidRDefault="00524E5E"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Michelle James, Board Chair </w:t>
            </w:r>
            <w:r w:rsidRPr="00A57D9E">
              <w:rPr>
                <w:rFonts w:cs="Arial"/>
                <w:i/>
                <w:szCs w:val="20"/>
              </w:rPr>
              <w:t xml:space="preserve">(1 </w:t>
            </w:r>
            <w:r w:rsidRPr="00A57D9E">
              <w:rPr>
                <w:rFonts w:cs="Arial"/>
                <w:i/>
                <w:szCs w:val="20"/>
              </w:rPr>
              <w:lastRenderedPageBreak/>
              <w:t xml:space="preserve">July 2024 </w:t>
            </w:r>
            <w:r w:rsidR="00CC7B66" w:rsidRPr="00A57D9E">
              <w:rPr>
                <w:rFonts w:cs="Arial"/>
                <w:i/>
                <w:szCs w:val="20"/>
              </w:rPr>
              <w:t>–</w:t>
            </w:r>
            <w:r w:rsidRPr="00A57D9E">
              <w:rPr>
                <w:rFonts w:cs="Arial"/>
                <w:i/>
                <w:szCs w:val="20"/>
              </w:rPr>
              <w:t xml:space="preserve"> 26 February 2025)</w:t>
            </w:r>
          </w:p>
          <w:p w14:paraId="6807A8F3" w14:textId="7A8F828F" w:rsidR="00524E5E" w:rsidRPr="00A57D9E" w:rsidRDefault="00524E5E" w:rsidP="38FB3BF5">
            <w:pPr>
              <w:pStyle w:val="ListParagraph"/>
              <w:numPr>
                <w:ilvl w:val="0"/>
                <w:numId w:val="4"/>
              </w:numPr>
              <w:suppressLineNumbers/>
              <w:suppressAutoHyphens/>
              <w:ind w:left="170" w:hanging="170"/>
              <w:textAlignment w:val="baseline"/>
              <w:rPr>
                <w:rFonts w:cs="Arial"/>
              </w:rPr>
            </w:pPr>
            <w:r w:rsidRPr="00A57D9E">
              <w:rPr>
                <w:rFonts w:cs="Arial"/>
              </w:rPr>
              <w:t>Suzanne Baker</w:t>
            </w:r>
            <w:r w:rsidR="0085615F" w:rsidRPr="00A57D9E">
              <w:rPr>
                <w:rFonts w:cs="Arial"/>
              </w:rPr>
              <w:t>,</w:t>
            </w:r>
            <w:r w:rsidRPr="00A57D9E">
              <w:rPr>
                <w:rFonts w:cs="Arial"/>
              </w:rPr>
              <w:t xml:space="preserve"> </w:t>
            </w:r>
            <w:r w:rsidR="4B097E2B" w:rsidRPr="38FB3BF5">
              <w:rPr>
                <w:rFonts w:cs="Arial"/>
                <w:i/>
                <w:iCs/>
              </w:rPr>
              <w:t>Chair (</w:t>
            </w:r>
            <w:r w:rsidRPr="00A57D9E">
              <w:rPr>
                <w:rFonts w:cs="Arial"/>
                <w:i/>
              </w:rPr>
              <w:t xml:space="preserve">1 July 2024 </w:t>
            </w:r>
            <w:r w:rsidR="00CC7B66" w:rsidRPr="00A57D9E">
              <w:rPr>
                <w:rFonts w:cs="Arial"/>
                <w:i/>
              </w:rPr>
              <w:t>–</w:t>
            </w:r>
            <w:r w:rsidRPr="00A57D9E">
              <w:rPr>
                <w:rFonts w:cs="Arial"/>
                <w:i/>
              </w:rPr>
              <w:t xml:space="preserve"> 15 December 2024</w:t>
            </w:r>
            <w:r w:rsidRPr="00A57D9E">
              <w:rPr>
                <w:rFonts w:cs="Arial"/>
              </w:rPr>
              <w:t>)</w:t>
            </w:r>
          </w:p>
          <w:p w14:paraId="5CCBFEF2" w14:textId="0A37541B" w:rsidR="00083A9E" w:rsidRPr="00A57D9E" w:rsidRDefault="00083A9E" w:rsidP="004B26BC">
            <w:pPr>
              <w:pStyle w:val="ListParagraph"/>
              <w:suppressLineNumbers/>
              <w:suppressAutoHyphens/>
              <w:ind w:left="170"/>
              <w:contextualSpacing w:val="0"/>
              <w:textAlignment w:val="baseline"/>
              <w:rPr>
                <w:rFonts w:cs="Arial"/>
                <w:szCs w:val="20"/>
              </w:rPr>
            </w:pPr>
          </w:p>
        </w:tc>
        <w:tc>
          <w:tcPr>
            <w:tcW w:w="1564" w:type="dxa"/>
            <w:shd w:val="clear" w:color="auto" w:fill="FFFFFF" w:themeFill="background1"/>
          </w:tcPr>
          <w:p w14:paraId="190078E3" w14:textId="4201354A" w:rsidR="00083A9E" w:rsidRPr="00A57D9E" w:rsidRDefault="00442C6B" w:rsidP="004B26BC">
            <w:pPr>
              <w:suppressLineNumbers/>
              <w:suppressAutoHyphens/>
              <w:textAlignment w:val="baseline"/>
              <w:rPr>
                <w:rFonts w:cs="Arial"/>
                <w:szCs w:val="20"/>
                <w:highlight w:val="magenta"/>
              </w:rPr>
            </w:pPr>
            <w:r w:rsidRPr="00A57D9E">
              <w:rPr>
                <w:rFonts w:cs="Arial"/>
                <w:szCs w:val="20"/>
              </w:rPr>
              <w:lastRenderedPageBreak/>
              <w:t>Quarterly</w:t>
            </w:r>
          </w:p>
        </w:tc>
      </w:tr>
      <w:tr w:rsidR="005E2095" w:rsidRPr="00083A9E" w14:paraId="2EFA3738" w14:textId="77777777" w:rsidTr="004B26BC">
        <w:trPr>
          <w:jc w:val="center"/>
        </w:trPr>
        <w:tc>
          <w:tcPr>
            <w:tcW w:w="1838" w:type="dxa"/>
            <w:shd w:val="clear" w:color="auto" w:fill="FFFFFF" w:themeFill="background1"/>
          </w:tcPr>
          <w:p w14:paraId="777FD5B9" w14:textId="77777777" w:rsidR="005E2095" w:rsidRPr="00A57D9E" w:rsidRDefault="005E2095" w:rsidP="005E2095">
            <w:pPr>
              <w:suppressLineNumbers/>
              <w:suppressAutoHyphens/>
              <w:textAlignment w:val="baseline"/>
              <w:rPr>
                <w:rFonts w:cs="Arial"/>
                <w:szCs w:val="20"/>
              </w:rPr>
            </w:pPr>
            <w:r w:rsidRPr="00A57D9E">
              <w:rPr>
                <w:rFonts w:cs="Arial"/>
                <w:szCs w:val="20"/>
              </w:rPr>
              <w:t>People, Culture and Performance Committee</w:t>
            </w:r>
          </w:p>
          <w:p w14:paraId="7E3714C9" w14:textId="5C37DC6A" w:rsidR="005E2095" w:rsidRPr="00A57D9E" w:rsidRDefault="005E2095" w:rsidP="005E2095">
            <w:pPr>
              <w:suppressLineNumbers/>
              <w:suppressAutoHyphens/>
              <w:textAlignment w:val="baseline"/>
              <w:rPr>
                <w:rFonts w:cs="Arial"/>
                <w:szCs w:val="20"/>
              </w:rPr>
            </w:pPr>
            <w:r w:rsidRPr="00A57D9E">
              <w:rPr>
                <w:rFonts w:cs="Arial"/>
                <w:szCs w:val="20"/>
              </w:rPr>
              <w:t>(PCP)</w:t>
            </w:r>
          </w:p>
          <w:p w14:paraId="348B445C" w14:textId="77777777" w:rsidR="005E2095" w:rsidRPr="00A57D9E" w:rsidRDefault="005E2095" w:rsidP="00B71D96">
            <w:pPr>
              <w:suppressLineNumbers/>
              <w:suppressAutoHyphens/>
              <w:textAlignment w:val="baseline"/>
              <w:rPr>
                <w:rFonts w:cs="Arial"/>
                <w:szCs w:val="20"/>
              </w:rPr>
            </w:pPr>
          </w:p>
          <w:p w14:paraId="65682B4C" w14:textId="77777777" w:rsidR="00641361" w:rsidRPr="00A57D9E" w:rsidRDefault="00641361" w:rsidP="00641361">
            <w:pPr>
              <w:suppressLineNumbers/>
              <w:suppressAutoHyphens/>
              <w:textAlignment w:val="baseline"/>
              <w:rPr>
                <w:rFonts w:cs="Arial"/>
                <w:i/>
                <w:szCs w:val="20"/>
              </w:rPr>
            </w:pPr>
            <w:r w:rsidRPr="00A57D9E">
              <w:rPr>
                <w:rFonts w:cs="Arial"/>
                <w:i/>
                <w:szCs w:val="20"/>
              </w:rPr>
              <w:t xml:space="preserve">Operational </w:t>
            </w:r>
          </w:p>
          <w:p w14:paraId="2CE3DB81" w14:textId="79FE2434" w:rsidR="00641361" w:rsidRPr="00A57D9E" w:rsidRDefault="00641361" w:rsidP="00641361">
            <w:pPr>
              <w:suppressLineNumbers/>
              <w:suppressAutoHyphens/>
              <w:textAlignment w:val="baseline"/>
              <w:rPr>
                <w:rFonts w:cs="Arial"/>
                <w:i/>
                <w:szCs w:val="20"/>
              </w:rPr>
            </w:pPr>
            <w:r w:rsidRPr="00A57D9E">
              <w:rPr>
                <w:rFonts w:cs="Arial"/>
                <w:i/>
                <w:szCs w:val="20"/>
              </w:rPr>
              <w:t xml:space="preserve">1 July 2024 </w:t>
            </w:r>
            <w:r w:rsidR="00927B4F">
              <w:rPr>
                <w:rFonts w:cs="Arial"/>
                <w:i/>
                <w:szCs w:val="20"/>
              </w:rPr>
              <w:t xml:space="preserve">– </w:t>
            </w:r>
            <w:r w:rsidRPr="00A57D9E">
              <w:rPr>
                <w:rFonts w:cs="Arial"/>
                <w:i/>
                <w:szCs w:val="20"/>
              </w:rPr>
              <w:t>30 June 2025</w:t>
            </w:r>
          </w:p>
          <w:p w14:paraId="51194995" w14:textId="77777777" w:rsidR="00641361" w:rsidRPr="00A57D9E" w:rsidRDefault="00641361" w:rsidP="00B71D96">
            <w:pPr>
              <w:suppressLineNumbers/>
              <w:suppressAutoHyphens/>
              <w:textAlignment w:val="baseline"/>
              <w:rPr>
                <w:rFonts w:cs="Arial"/>
                <w:szCs w:val="20"/>
              </w:rPr>
            </w:pPr>
          </w:p>
        </w:tc>
        <w:tc>
          <w:tcPr>
            <w:tcW w:w="4820" w:type="dxa"/>
            <w:shd w:val="clear" w:color="auto" w:fill="FFFFFF" w:themeFill="background1"/>
          </w:tcPr>
          <w:p w14:paraId="22256985" w14:textId="50DC4AFA" w:rsidR="005E2095" w:rsidRPr="00A57D9E" w:rsidRDefault="005E2095" w:rsidP="005E2095">
            <w:pPr>
              <w:suppressLineNumbers/>
              <w:suppressAutoHyphens/>
              <w:textAlignment w:val="baseline"/>
              <w:rPr>
                <w:rFonts w:cs="Arial"/>
                <w:szCs w:val="20"/>
                <w:u w:val="single"/>
              </w:rPr>
            </w:pPr>
            <w:r w:rsidRPr="00A57D9E">
              <w:rPr>
                <w:rFonts w:cs="Arial"/>
                <w:szCs w:val="20"/>
                <w:u w:val="single"/>
              </w:rPr>
              <w:t>Functions:</w:t>
            </w:r>
          </w:p>
          <w:p w14:paraId="104DC898" w14:textId="11DCE197" w:rsidR="005E2095" w:rsidRPr="00A57D9E" w:rsidRDefault="005E2095"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Reviewing QBC Board performance evaluation processes, succession planning and induction and development programs</w:t>
            </w:r>
          </w:p>
          <w:p w14:paraId="13152851" w14:textId="61C71899" w:rsidR="005E2095" w:rsidRPr="004B7EE7" w:rsidRDefault="005E2095" w:rsidP="2CB0BF71">
            <w:pPr>
              <w:pStyle w:val="ListParagraph"/>
              <w:numPr>
                <w:ilvl w:val="0"/>
                <w:numId w:val="4"/>
              </w:numPr>
              <w:suppressLineNumbers/>
              <w:suppressAutoHyphens/>
              <w:ind w:left="170" w:hanging="170"/>
              <w:textAlignment w:val="baseline"/>
              <w:rPr>
                <w:rFonts w:cs="Arial"/>
                <w:lang w:val="en-GB"/>
              </w:rPr>
            </w:pPr>
            <w:r w:rsidRPr="2CB0BF71">
              <w:rPr>
                <w:rFonts w:cs="Arial"/>
                <w:lang w:val="en-GB"/>
              </w:rPr>
              <w:t>Reviewing matters concerning the recruitment, remuneration</w:t>
            </w:r>
            <w:r w:rsidR="00D779E6" w:rsidRPr="2CB0BF71">
              <w:rPr>
                <w:rFonts w:cs="Arial"/>
                <w:lang w:val="en-GB"/>
              </w:rPr>
              <w:t xml:space="preserve">, </w:t>
            </w:r>
            <w:r w:rsidRPr="2CB0BF71">
              <w:rPr>
                <w:rFonts w:cs="Arial"/>
                <w:lang w:val="en-GB"/>
              </w:rPr>
              <w:t>performance</w:t>
            </w:r>
            <w:r w:rsidR="00D779E6" w:rsidRPr="2CB0BF71">
              <w:rPr>
                <w:rFonts w:cs="Arial"/>
                <w:lang w:val="en-GB"/>
              </w:rPr>
              <w:t xml:space="preserve"> and</w:t>
            </w:r>
            <w:r w:rsidRPr="2CB0BF71">
              <w:rPr>
                <w:rFonts w:cs="Arial"/>
                <w:lang w:val="en-GB"/>
              </w:rPr>
              <w:t xml:space="preserve"> retention for the Commissioner</w:t>
            </w:r>
          </w:p>
          <w:p w14:paraId="2DB86EA3" w14:textId="2E078F02" w:rsidR="005E2095" w:rsidRPr="004B7EE7" w:rsidRDefault="005E2095" w:rsidP="2CB0BF71">
            <w:pPr>
              <w:pStyle w:val="ListParagraph"/>
              <w:numPr>
                <w:ilvl w:val="0"/>
                <w:numId w:val="4"/>
              </w:numPr>
              <w:suppressLineNumbers/>
              <w:suppressAutoHyphens/>
              <w:ind w:left="170" w:hanging="170"/>
              <w:textAlignment w:val="baseline"/>
              <w:rPr>
                <w:rFonts w:cs="Arial"/>
                <w:lang w:val="en-GB"/>
              </w:rPr>
            </w:pPr>
            <w:r w:rsidRPr="2CB0BF71">
              <w:rPr>
                <w:rFonts w:cs="Arial"/>
                <w:lang w:val="en-GB"/>
              </w:rPr>
              <w:t>Monitoring the propriety, efficiency and effectiveness of executive recruitment, remuneration, succession and related relevant QBCC policies for Senior Leadership Team members</w:t>
            </w:r>
          </w:p>
          <w:p w14:paraId="5228B7B0" w14:textId="73060901" w:rsidR="005E2095" w:rsidRPr="00A57D9E" w:rsidRDefault="005E2095"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Monitoring and reviewing matters relating to the QBCC’s people, culture, and workplace health and safety</w:t>
            </w:r>
          </w:p>
        </w:tc>
        <w:tc>
          <w:tcPr>
            <w:tcW w:w="1984" w:type="dxa"/>
            <w:shd w:val="clear" w:color="auto" w:fill="FFFFFF" w:themeFill="background1"/>
          </w:tcPr>
          <w:p w14:paraId="20C37849" w14:textId="77777777" w:rsidR="005E2095" w:rsidRPr="00A57D9E" w:rsidRDefault="005E2095"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Colin Cassidy (Chair)</w:t>
            </w:r>
          </w:p>
          <w:p w14:paraId="05EA58B2" w14:textId="77777777" w:rsidR="005E2095" w:rsidRPr="00A57D9E" w:rsidRDefault="005E2095"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John Anderson</w:t>
            </w:r>
          </w:p>
          <w:p w14:paraId="0A5965C8" w14:textId="77777777" w:rsidR="005E2095" w:rsidRPr="00A57D9E" w:rsidRDefault="005E2095"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Meg Frisby</w:t>
            </w:r>
          </w:p>
          <w:p w14:paraId="22A25737" w14:textId="77777777" w:rsidR="005E2095" w:rsidRPr="004B7EE7" w:rsidRDefault="005E2095" w:rsidP="2CB0BF71">
            <w:pPr>
              <w:pStyle w:val="ListParagraph"/>
              <w:numPr>
                <w:ilvl w:val="0"/>
                <w:numId w:val="4"/>
              </w:numPr>
              <w:suppressLineNumbers/>
              <w:suppressAutoHyphens/>
              <w:ind w:left="170" w:hanging="170"/>
              <w:textAlignment w:val="baseline"/>
              <w:rPr>
                <w:rFonts w:cs="Arial"/>
                <w:lang w:val="en-GB"/>
              </w:rPr>
            </w:pPr>
            <w:r w:rsidRPr="2CB0BF71">
              <w:rPr>
                <w:rFonts w:cs="Arial"/>
                <w:lang w:val="en-GB"/>
              </w:rPr>
              <w:t>Greg Chemello, Board Chair</w:t>
            </w:r>
          </w:p>
          <w:p w14:paraId="7F1BBD9D" w14:textId="49945DEE" w:rsidR="005E2095" w:rsidRPr="00A57D9E" w:rsidRDefault="005E2095" w:rsidP="00BD69F7">
            <w:pPr>
              <w:pStyle w:val="ListParagraph"/>
              <w:numPr>
                <w:ilvl w:val="0"/>
                <w:numId w:val="4"/>
              </w:numPr>
              <w:suppressLineNumbers/>
              <w:suppressAutoHyphens/>
              <w:ind w:left="170" w:hanging="170"/>
              <w:contextualSpacing w:val="0"/>
              <w:textAlignment w:val="baseline"/>
              <w:rPr>
                <w:rFonts w:cs="Arial"/>
                <w:i/>
                <w:szCs w:val="20"/>
              </w:rPr>
            </w:pPr>
            <w:r w:rsidRPr="00A57D9E">
              <w:rPr>
                <w:rFonts w:cs="Arial"/>
                <w:szCs w:val="20"/>
              </w:rPr>
              <w:t xml:space="preserve">Michelle James, Board Chair </w:t>
            </w:r>
            <w:r w:rsidRPr="00A57D9E">
              <w:rPr>
                <w:rFonts w:cs="Arial"/>
                <w:i/>
                <w:szCs w:val="20"/>
              </w:rPr>
              <w:t xml:space="preserve">(1 July 2024 </w:t>
            </w:r>
            <w:r w:rsidR="003C421D" w:rsidRPr="00A57D9E">
              <w:rPr>
                <w:rFonts w:cs="Arial"/>
                <w:i/>
                <w:szCs w:val="20"/>
              </w:rPr>
              <w:t>–</w:t>
            </w:r>
            <w:r w:rsidRPr="00A57D9E">
              <w:rPr>
                <w:rFonts w:cs="Arial"/>
                <w:i/>
                <w:szCs w:val="20"/>
              </w:rPr>
              <w:t xml:space="preserve"> 26 February 2025)</w:t>
            </w:r>
          </w:p>
        </w:tc>
        <w:tc>
          <w:tcPr>
            <w:tcW w:w="1564" w:type="dxa"/>
            <w:shd w:val="clear" w:color="auto" w:fill="FFFFFF" w:themeFill="background1"/>
          </w:tcPr>
          <w:p w14:paraId="664638B4" w14:textId="04B51936" w:rsidR="005E2095" w:rsidRPr="00A57D9E" w:rsidRDefault="005E2095" w:rsidP="00B71D96">
            <w:pPr>
              <w:suppressLineNumbers/>
              <w:suppressAutoHyphens/>
              <w:textAlignment w:val="baseline"/>
              <w:rPr>
                <w:rFonts w:cs="Arial"/>
                <w:szCs w:val="20"/>
              </w:rPr>
            </w:pPr>
            <w:r w:rsidRPr="00A57D9E">
              <w:rPr>
                <w:rFonts w:cs="Arial"/>
                <w:szCs w:val="20"/>
              </w:rPr>
              <w:t>Quarterly</w:t>
            </w:r>
          </w:p>
        </w:tc>
      </w:tr>
      <w:tr w:rsidR="00930268" w:rsidRPr="00083A9E" w14:paraId="47B5DCC2" w14:textId="77777777" w:rsidTr="004B26BC">
        <w:trPr>
          <w:jc w:val="center"/>
        </w:trPr>
        <w:tc>
          <w:tcPr>
            <w:tcW w:w="1838" w:type="dxa"/>
            <w:shd w:val="clear" w:color="auto" w:fill="FFFFFF" w:themeFill="background1"/>
          </w:tcPr>
          <w:p w14:paraId="0C08F483" w14:textId="77777777" w:rsidR="00F939DF" w:rsidRPr="00A57D9E" w:rsidRDefault="00930268" w:rsidP="00930268">
            <w:pPr>
              <w:suppressLineNumbers/>
              <w:suppressAutoHyphens/>
              <w:textAlignment w:val="baseline"/>
              <w:rPr>
                <w:rFonts w:cs="Arial"/>
                <w:szCs w:val="20"/>
              </w:rPr>
            </w:pPr>
            <w:r w:rsidRPr="00A57D9E">
              <w:rPr>
                <w:rFonts w:cs="Arial"/>
                <w:szCs w:val="20"/>
              </w:rPr>
              <w:t>Insurance Committee</w:t>
            </w:r>
            <w:r w:rsidR="00F939DF" w:rsidRPr="00A57D9E">
              <w:rPr>
                <w:rFonts w:cs="Arial"/>
                <w:szCs w:val="20"/>
              </w:rPr>
              <w:t xml:space="preserve"> </w:t>
            </w:r>
          </w:p>
          <w:p w14:paraId="72F2D336" w14:textId="3350F745" w:rsidR="00AD55B0" w:rsidRPr="00A57D9E" w:rsidRDefault="00F939DF" w:rsidP="00930268">
            <w:pPr>
              <w:suppressLineNumbers/>
              <w:suppressAutoHyphens/>
              <w:textAlignment w:val="baseline"/>
              <w:rPr>
                <w:rFonts w:cs="Arial"/>
                <w:szCs w:val="20"/>
              </w:rPr>
            </w:pPr>
            <w:r w:rsidRPr="00A57D9E">
              <w:rPr>
                <w:rFonts w:cs="Arial"/>
                <w:szCs w:val="20"/>
              </w:rPr>
              <w:t>(INS</w:t>
            </w:r>
            <w:r w:rsidR="00957FFB" w:rsidRPr="00A57D9E">
              <w:rPr>
                <w:rFonts w:cs="Arial"/>
                <w:szCs w:val="20"/>
              </w:rPr>
              <w:t>C</w:t>
            </w:r>
            <w:r w:rsidRPr="00A57D9E">
              <w:rPr>
                <w:rFonts w:cs="Arial"/>
                <w:szCs w:val="20"/>
              </w:rPr>
              <w:t>)</w:t>
            </w:r>
          </w:p>
          <w:p w14:paraId="73D0B2AC" w14:textId="77777777" w:rsidR="00641361" w:rsidRPr="00A57D9E" w:rsidRDefault="00641361" w:rsidP="00930268">
            <w:pPr>
              <w:suppressLineNumbers/>
              <w:suppressAutoHyphens/>
              <w:textAlignment w:val="baseline"/>
              <w:rPr>
                <w:rFonts w:cs="Arial"/>
                <w:szCs w:val="20"/>
              </w:rPr>
            </w:pPr>
          </w:p>
          <w:p w14:paraId="19150B1B" w14:textId="77777777" w:rsidR="00641361" w:rsidRPr="00A57D9E" w:rsidRDefault="00641361" w:rsidP="00641361">
            <w:pPr>
              <w:suppressLineNumbers/>
              <w:suppressAutoHyphens/>
              <w:textAlignment w:val="baseline"/>
              <w:rPr>
                <w:rFonts w:cs="Arial"/>
                <w:i/>
                <w:szCs w:val="20"/>
              </w:rPr>
            </w:pPr>
            <w:r w:rsidRPr="00A57D9E">
              <w:rPr>
                <w:rFonts w:cs="Arial"/>
                <w:i/>
                <w:szCs w:val="20"/>
              </w:rPr>
              <w:t xml:space="preserve">Operational </w:t>
            </w:r>
          </w:p>
          <w:p w14:paraId="60563836" w14:textId="6AF1D941" w:rsidR="00641361" w:rsidRPr="00A57D9E" w:rsidRDefault="00641361" w:rsidP="00641361">
            <w:pPr>
              <w:suppressLineNumbers/>
              <w:suppressAutoHyphens/>
              <w:textAlignment w:val="baseline"/>
              <w:rPr>
                <w:rFonts w:cs="Arial"/>
                <w:i/>
                <w:szCs w:val="20"/>
              </w:rPr>
            </w:pPr>
            <w:r w:rsidRPr="00A57D9E">
              <w:rPr>
                <w:rFonts w:cs="Arial"/>
                <w:i/>
                <w:szCs w:val="20"/>
              </w:rPr>
              <w:t xml:space="preserve">1 July 2024 </w:t>
            </w:r>
            <w:r w:rsidR="00456C81">
              <w:rPr>
                <w:rFonts w:cs="Arial"/>
                <w:i/>
                <w:szCs w:val="20"/>
              </w:rPr>
              <w:t xml:space="preserve">– </w:t>
            </w:r>
            <w:r w:rsidR="00CF763C" w:rsidRPr="00A57D9E">
              <w:rPr>
                <w:rFonts w:cs="Arial"/>
                <w:i/>
                <w:szCs w:val="20"/>
              </w:rPr>
              <w:t>15 May</w:t>
            </w:r>
            <w:r w:rsidRPr="00A57D9E">
              <w:rPr>
                <w:rFonts w:cs="Arial"/>
                <w:i/>
                <w:szCs w:val="20"/>
              </w:rPr>
              <w:t xml:space="preserve"> 2025</w:t>
            </w:r>
          </w:p>
          <w:p w14:paraId="70CD8D92" w14:textId="00A8C1C0" w:rsidR="00641361" w:rsidRPr="00A57D9E" w:rsidRDefault="00641361" w:rsidP="00930268">
            <w:pPr>
              <w:suppressLineNumbers/>
              <w:suppressAutoHyphens/>
              <w:textAlignment w:val="baseline"/>
              <w:rPr>
                <w:rFonts w:cs="Arial"/>
                <w:szCs w:val="20"/>
              </w:rPr>
            </w:pPr>
          </w:p>
        </w:tc>
        <w:tc>
          <w:tcPr>
            <w:tcW w:w="4820" w:type="dxa"/>
            <w:shd w:val="clear" w:color="auto" w:fill="FFFFFF" w:themeFill="background1"/>
          </w:tcPr>
          <w:p w14:paraId="780C6589" w14:textId="77777777" w:rsidR="0018549C" w:rsidRPr="00A57D9E" w:rsidRDefault="00930268" w:rsidP="00930268">
            <w:pPr>
              <w:suppressLineNumbers/>
              <w:suppressAutoHyphens/>
              <w:textAlignment w:val="baseline"/>
              <w:rPr>
                <w:rFonts w:cs="Arial"/>
                <w:szCs w:val="20"/>
              </w:rPr>
            </w:pPr>
            <w:r w:rsidRPr="00A57D9E">
              <w:rPr>
                <w:rFonts w:cs="Arial"/>
                <w:szCs w:val="20"/>
                <w:u w:val="single"/>
              </w:rPr>
              <w:t>Purpose:</w:t>
            </w:r>
            <w:r w:rsidRPr="00A57D9E">
              <w:rPr>
                <w:rFonts w:cs="Arial"/>
                <w:szCs w:val="20"/>
              </w:rPr>
              <w:t xml:space="preserve"> </w:t>
            </w:r>
          </w:p>
          <w:p w14:paraId="3E6936DA" w14:textId="5BE442F5" w:rsidR="00930268" w:rsidRPr="00A57D9E" w:rsidRDefault="00930268" w:rsidP="00930268">
            <w:pPr>
              <w:suppressLineNumbers/>
              <w:suppressAutoHyphens/>
              <w:textAlignment w:val="baseline"/>
              <w:rPr>
                <w:rFonts w:cs="Arial"/>
                <w:szCs w:val="20"/>
              </w:rPr>
            </w:pPr>
            <w:r w:rsidRPr="00A57D9E">
              <w:rPr>
                <w:rFonts w:cs="Arial"/>
                <w:szCs w:val="20"/>
              </w:rPr>
              <w:t>To support the QBC Board by overseeing and providing advice on the performance of and issues confronting the Queensland Home Warranty Scheme</w:t>
            </w:r>
          </w:p>
          <w:p w14:paraId="23A6B8F0" w14:textId="77777777" w:rsidR="0018549C" w:rsidRPr="00A57D9E" w:rsidRDefault="0018549C" w:rsidP="00930268">
            <w:pPr>
              <w:suppressLineNumbers/>
              <w:suppressAutoHyphens/>
              <w:textAlignment w:val="baseline"/>
              <w:rPr>
                <w:rFonts w:cs="Arial"/>
                <w:szCs w:val="20"/>
                <w:u w:val="single"/>
              </w:rPr>
            </w:pPr>
          </w:p>
          <w:p w14:paraId="656A1C83" w14:textId="77777777" w:rsidR="00930268" w:rsidRPr="00A57D9E" w:rsidRDefault="00930268" w:rsidP="00930268">
            <w:pPr>
              <w:suppressLineNumbers/>
              <w:suppressAutoHyphens/>
              <w:textAlignment w:val="baseline"/>
              <w:rPr>
                <w:rFonts w:cs="Arial"/>
                <w:szCs w:val="20"/>
                <w:u w:val="single"/>
              </w:rPr>
            </w:pPr>
            <w:r w:rsidRPr="00A57D9E">
              <w:rPr>
                <w:rFonts w:cs="Arial"/>
                <w:szCs w:val="20"/>
                <w:u w:val="single"/>
              </w:rPr>
              <w:t>Functions:</w:t>
            </w:r>
          </w:p>
          <w:p w14:paraId="32D4CD32" w14:textId="5EE9A67D"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Overseeing QHWS performance</w:t>
            </w:r>
          </w:p>
          <w:p w14:paraId="28D0B774" w14:textId="44A5026B"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Developing improvements to the QHWS</w:t>
            </w:r>
          </w:p>
          <w:p w14:paraId="6A1AB122" w14:textId="095AAA20"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Reviewing capital management, investment strategies and claims administration efficiency</w:t>
            </w:r>
          </w:p>
          <w:p w14:paraId="18BD1BBE" w14:textId="763D4CA3"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Monitoring underwriting, reinsurance, and actuarial assessments of the QHWS</w:t>
            </w:r>
            <w:r w:rsidR="00F30856" w:rsidRPr="00A57D9E">
              <w:rPr>
                <w:rFonts w:cs="Arial"/>
                <w:szCs w:val="20"/>
              </w:rPr>
              <w:t>’</w:t>
            </w:r>
            <w:r w:rsidRPr="00A57D9E">
              <w:rPr>
                <w:rFonts w:cs="Arial"/>
                <w:szCs w:val="20"/>
              </w:rPr>
              <w:t xml:space="preserve"> sustainability</w:t>
            </w:r>
          </w:p>
        </w:tc>
        <w:tc>
          <w:tcPr>
            <w:tcW w:w="1984" w:type="dxa"/>
            <w:shd w:val="clear" w:color="auto" w:fill="FFFFFF" w:themeFill="background1"/>
          </w:tcPr>
          <w:p w14:paraId="30B6437A" w14:textId="77777777"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Robyn Petrou (Chair)</w:t>
            </w:r>
          </w:p>
          <w:p w14:paraId="5B4776AF" w14:textId="77777777"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Christopher Edwards</w:t>
            </w:r>
          </w:p>
          <w:p w14:paraId="5FA10FD5" w14:textId="77777777"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Meg Frisby</w:t>
            </w:r>
          </w:p>
          <w:p w14:paraId="40E94CAC" w14:textId="77777777" w:rsidR="00930268" w:rsidRPr="004B7EE7" w:rsidRDefault="00930268" w:rsidP="2CB0BF71">
            <w:pPr>
              <w:pStyle w:val="ListParagraph"/>
              <w:numPr>
                <w:ilvl w:val="0"/>
                <w:numId w:val="4"/>
              </w:numPr>
              <w:suppressLineNumbers/>
              <w:suppressAutoHyphens/>
              <w:ind w:left="170" w:hanging="170"/>
              <w:textAlignment w:val="baseline"/>
              <w:rPr>
                <w:rFonts w:cs="Arial"/>
                <w:lang w:val="en-GB"/>
              </w:rPr>
            </w:pPr>
            <w:r w:rsidRPr="2CB0BF71">
              <w:rPr>
                <w:rFonts w:cs="Arial"/>
                <w:lang w:val="en-GB"/>
              </w:rPr>
              <w:t>Greg Chemello, Board Chair</w:t>
            </w:r>
          </w:p>
          <w:p w14:paraId="512F4AB5" w14:textId="28B20034"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Michelle James, Board Chair </w:t>
            </w:r>
            <w:r w:rsidRPr="00A57D9E">
              <w:rPr>
                <w:rFonts w:cs="Arial"/>
                <w:i/>
                <w:szCs w:val="20"/>
              </w:rPr>
              <w:t xml:space="preserve">(1 July 2024 </w:t>
            </w:r>
            <w:r w:rsidR="003C421D" w:rsidRPr="00A57D9E">
              <w:rPr>
                <w:rFonts w:cs="Arial"/>
                <w:i/>
                <w:szCs w:val="20"/>
              </w:rPr>
              <w:t>–</w:t>
            </w:r>
            <w:r w:rsidRPr="00A57D9E">
              <w:rPr>
                <w:rFonts w:cs="Arial"/>
                <w:i/>
                <w:szCs w:val="20"/>
              </w:rPr>
              <w:t xml:space="preserve"> 26 February 2025)</w:t>
            </w:r>
          </w:p>
          <w:p w14:paraId="29DE0BAF" w14:textId="4FBE8F73"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Suzanne Baker </w:t>
            </w:r>
            <w:r w:rsidRPr="00A57D9E">
              <w:rPr>
                <w:rFonts w:cs="Arial"/>
                <w:i/>
                <w:szCs w:val="20"/>
              </w:rPr>
              <w:t xml:space="preserve">(1 July 2024 </w:t>
            </w:r>
            <w:r w:rsidR="003C421D" w:rsidRPr="00A57D9E">
              <w:rPr>
                <w:rFonts w:cs="Arial"/>
                <w:i/>
                <w:szCs w:val="20"/>
              </w:rPr>
              <w:t>–</w:t>
            </w:r>
            <w:r w:rsidRPr="00A57D9E">
              <w:rPr>
                <w:rFonts w:cs="Arial"/>
                <w:i/>
                <w:szCs w:val="20"/>
              </w:rPr>
              <w:t xml:space="preserve"> 15 December 2024)</w:t>
            </w:r>
          </w:p>
        </w:tc>
        <w:tc>
          <w:tcPr>
            <w:tcW w:w="1564" w:type="dxa"/>
            <w:shd w:val="clear" w:color="auto" w:fill="FFFFFF" w:themeFill="background1"/>
          </w:tcPr>
          <w:p w14:paraId="4673133D" w14:textId="49309C0D" w:rsidR="00930268" w:rsidRPr="00A57D9E" w:rsidRDefault="00930268" w:rsidP="00B71D96">
            <w:pPr>
              <w:suppressLineNumbers/>
              <w:suppressAutoHyphens/>
              <w:textAlignment w:val="baseline"/>
              <w:rPr>
                <w:rFonts w:cs="Arial"/>
                <w:szCs w:val="20"/>
              </w:rPr>
            </w:pPr>
            <w:r w:rsidRPr="00A57D9E">
              <w:rPr>
                <w:rFonts w:cs="Arial"/>
                <w:szCs w:val="20"/>
              </w:rPr>
              <w:t>Quarterly</w:t>
            </w:r>
          </w:p>
        </w:tc>
      </w:tr>
      <w:tr w:rsidR="00083A9E" w:rsidRPr="00083A9E" w14:paraId="1BB4272D" w14:textId="77777777" w:rsidTr="004B26BC">
        <w:trPr>
          <w:jc w:val="center"/>
        </w:trPr>
        <w:tc>
          <w:tcPr>
            <w:tcW w:w="1838" w:type="dxa"/>
            <w:shd w:val="clear" w:color="auto" w:fill="FFFFFF" w:themeFill="background1"/>
            <w:hideMark/>
          </w:tcPr>
          <w:p w14:paraId="6FCA79DF" w14:textId="77777777" w:rsidR="00083A9E" w:rsidRPr="00A57D9E" w:rsidRDefault="00083A9E" w:rsidP="004B26BC">
            <w:pPr>
              <w:suppressLineNumbers/>
              <w:suppressAutoHyphens/>
              <w:textAlignment w:val="baseline"/>
              <w:rPr>
                <w:rFonts w:cs="Arial"/>
                <w:szCs w:val="20"/>
              </w:rPr>
            </w:pPr>
            <w:r w:rsidRPr="00A57D9E">
              <w:rPr>
                <w:rFonts w:cs="Arial"/>
                <w:szCs w:val="20"/>
              </w:rPr>
              <w:t>Industry Advisory Committee</w:t>
            </w:r>
          </w:p>
          <w:p w14:paraId="413AD392" w14:textId="2DFA690C" w:rsidR="00087CF6" w:rsidRPr="00083A9E" w:rsidRDefault="00087CF6" w:rsidP="004B26BC">
            <w:pPr>
              <w:suppressLineNumbers/>
              <w:suppressAutoHyphens/>
              <w:textAlignment w:val="baseline"/>
              <w:rPr>
                <w:rFonts w:cs="Arial"/>
                <w:szCs w:val="20"/>
              </w:rPr>
            </w:pPr>
            <w:r w:rsidRPr="00A57D9E">
              <w:rPr>
                <w:rFonts w:cs="Arial"/>
                <w:szCs w:val="20"/>
              </w:rPr>
              <w:t>(IAC)</w:t>
            </w:r>
          </w:p>
          <w:p w14:paraId="47E78BD4" w14:textId="77777777" w:rsidR="00641361" w:rsidRDefault="00641361" w:rsidP="004B26BC">
            <w:pPr>
              <w:suppressLineNumbers/>
              <w:suppressAutoHyphens/>
              <w:textAlignment w:val="baseline"/>
              <w:rPr>
                <w:rFonts w:cs="Arial"/>
                <w:szCs w:val="20"/>
              </w:rPr>
            </w:pPr>
          </w:p>
          <w:p w14:paraId="3BD39BD5" w14:textId="77777777" w:rsidR="00641361" w:rsidRPr="00A57D9E" w:rsidRDefault="00641361" w:rsidP="00641361">
            <w:pPr>
              <w:suppressLineNumbers/>
              <w:suppressAutoHyphens/>
              <w:textAlignment w:val="baseline"/>
              <w:rPr>
                <w:rFonts w:cs="Arial"/>
                <w:i/>
                <w:szCs w:val="20"/>
              </w:rPr>
            </w:pPr>
            <w:r w:rsidRPr="00A57D9E">
              <w:rPr>
                <w:rFonts w:cs="Arial"/>
                <w:i/>
                <w:szCs w:val="20"/>
              </w:rPr>
              <w:t xml:space="preserve">Operational </w:t>
            </w:r>
          </w:p>
          <w:p w14:paraId="78C2A7A6" w14:textId="3FD3CB3C" w:rsidR="00641361" w:rsidRPr="00A57D9E" w:rsidRDefault="00641361" w:rsidP="00641361">
            <w:pPr>
              <w:suppressLineNumbers/>
              <w:suppressAutoHyphens/>
              <w:textAlignment w:val="baseline"/>
              <w:rPr>
                <w:rFonts w:cs="Arial"/>
                <w:i/>
                <w:szCs w:val="20"/>
              </w:rPr>
            </w:pPr>
            <w:r w:rsidRPr="00A57D9E">
              <w:rPr>
                <w:rFonts w:cs="Arial"/>
                <w:i/>
                <w:szCs w:val="20"/>
              </w:rPr>
              <w:t xml:space="preserve">1 July 2024 </w:t>
            </w:r>
            <w:r w:rsidR="00456C81">
              <w:rPr>
                <w:rFonts w:cs="Arial"/>
                <w:i/>
                <w:szCs w:val="20"/>
              </w:rPr>
              <w:t xml:space="preserve">– </w:t>
            </w:r>
            <w:r w:rsidR="00BB02D4" w:rsidRPr="00A57D9E">
              <w:rPr>
                <w:rFonts w:cs="Arial"/>
                <w:i/>
                <w:szCs w:val="20"/>
              </w:rPr>
              <w:t>26 June</w:t>
            </w:r>
            <w:r w:rsidR="009E24CA" w:rsidRPr="00A57D9E">
              <w:rPr>
                <w:rFonts w:cs="Arial"/>
                <w:i/>
                <w:szCs w:val="20"/>
              </w:rPr>
              <w:t xml:space="preserve"> </w:t>
            </w:r>
            <w:r w:rsidRPr="00A57D9E">
              <w:rPr>
                <w:rFonts w:cs="Arial"/>
                <w:i/>
                <w:szCs w:val="20"/>
              </w:rPr>
              <w:t>2025</w:t>
            </w:r>
          </w:p>
          <w:p w14:paraId="45B24BFC" w14:textId="45AE4608" w:rsidR="00641361" w:rsidRPr="00083A9E" w:rsidRDefault="00641361" w:rsidP="004B26BC">
            <w:pPr>
              <w:suppressLineNumbers/>
              <w:suppressAutoHyphens/>
              <w:textAlignment w:val="baseline"/>
              <w:rPr>
                <w:rFonts w:cs="Arial"/>
                <w:szCs w:val="20"/>
              </w:rPr>
            </w:pPr>
          </w:p>
        </w:tc>
        <w:tc>
          <w:tcPr>
            <w:tcW w:w="4820" w:type="dxa"/>
            <w:shd w:val="clear" w:color="auto" w:fill="FFFFFF" w:themeFill="background1"/>
          </w:tcPr>
          <w:p w14:paraId="1E0B6486" w14:textId="77777777" w:rsidR="0018549C" w:rsidRPr="00A57D9E" w:rsidRDefault="00D60D16" w:rsidP="00D60D16">
            <w:pPr>
              <w:suppressLineNumbers/>
              <w:suppressAutoHyphens/>
              <w:textAlignment w:val="baseline"/>
              <w:rPr>
                <w:rFonts w:cs="Arial"/>
                <w:szCs w:val="20"/>
              </w:rPr>
            </w:pPr>
            <w:r w:rsidRPr="00A57D9E">
              <w:rPr>
                <w:rFonts w:cs="Arial"/>
                <w:szCs w:val="20"/>
                <w:u w:val="single"/>
              </w:rPr>
              <w:t>Purpose:</w:t>
            </w:r>
            <w:r w:rsidRPr="00A57D9E">
              <w:rPr>
                <w:rFonts w:cs="Arial"/>
                <w:szCs w:val="20"/>
              </w:rPr>
              <w:t xml:space="preserve"> </w:t>
            </w:r>
          </w:p>
          <w:p w14:paraId="3519EA86" w14:textId="5C921055" w:rsidR="00D60D16" w:rsidRPr="00A57D9E" w:rsidRDefault="00D60D16" w:rsidP="00D60D16">
            <w:pPr>
              <w:suppressLineNumbers/>
              <w:suppressAutoHyphens/>
              <w:textAlignment w:val="baseline"/>
              <w:rPr>
                <w:rFonts w:cs="Arial"/>
                <w:szCs w:val="20"/>
                <w:u w:val="single"/>
              </w:rPr>
            </w:pPr>
            <w:r w:rsidRPr="00A57D9E">
              <w:rPr>
                <w:rFonts w:cs="Arial"/>
                <w:szCs w:val="20"/>
              </w:rPr>
              <w:t>To provide a forum for the QBC Board to engage formally with the building and construction industry on current and emerging industry activities</w:t>
            </w:r>
          </w:p>
          <w:p w14:paraId="6419D2A5" w14:textId="1BAFAA89" w:rsidR="00083A9E" w:rsidRPr="00A57D9E" w:rsidRDefault="00083A9E" w:rsidP="00DF3315">
            <w:pPr>
              <w:pStyle w:val="ListParagraph"/>
              <w:suppressLineNumbers/>
              <w:suppressAutoHyphens/>
              <w:ind w:left="170"/>
              <w:contextualSpacing w:val="0"/>
              <w:textAlignment w:val="baseline"/>
              <w:rPr>
                <w:rFonts w:cs="Arial"/>
                <w:szCs w:val="20"/>
              </w:rPr>
            </w:pPr>
          </w:p>
        </w:tc>
        <w:tc>
          <w:tcPr>
            <w:tcW w:w="1984" w:type="dxa"/>
            <w:shd w:val="clear" w:color="auto" w:fill="FFFFFF" w:themeFill="background1"/>
          </w:tcPr>
          <w:p w14:paraId="7FE55F94" w14:textId="77777777"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John Anderson (Chair) as QBC Board representative</w:t>
            </w:r>
          </w:p>
          <w:p w14:paraId="1D90C08E" w14:textId="77777777"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Meg Frisby (Alternate Chair) </w:t>
            </w:r>
            <w:r w:rsidRPr="00A57D9E">
              <w:rPr>
                <w:rFonts w:cs="Arial"/>
                <w:szCs w:val="20"/>
              </w:rPr>
              <w:lastRenderedPageBreak/>
              <w:t>as QBC Board representative</w:t>
            </w:r>
          </w:p>
          <w:p w14:paraId="5537D0F1" w14:textId="77777777"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Skye Bowie, QBCC Acting Chief Building Regulator (Deputy Chair) </w:t>
            </w:r>
          </w:p>
          <w:p w14:paraId="428C19D5" w14:textId="77777777" w:rsidR="00752B3E" w:rsidRPr="00A57D9E" w:rsidRDefault="00752B3E" w:rsidP="004B26BC">
            <w:pPr>
              <w:suppressLineNumbers/>
              <w:suppressAutoHyphens/>
              <w:textAlignment w:val="baseline"/>
              <w:rPr>
                <w:rFonts w:cs="Arial"/>
                <w:szCs w:val="20"/>
              </w:rPr>
            </w:pPr>
          </w:p>
          <w:p w14:paraId="595780B8" w14:textId="77777777" w:rsidR="00944CFA" w:rsidRPr="00A57D9E" w:rsidRDefault="00944CFA" w:rsidP="004B26BC">
            <w:pPr>
              <w:suppressLineNumbers/>
              <w:suppressAutoHyphens/>
              <w:textAlignment w:val="baseline"/>
              <w:rPr>
                <w:rFonts w:cs="Arial"/>
                <w:i/>
                <w:szCs w:val="20"/>
              </w:rPr>
            </w:pPr>
            <w:r w:rsidRPr="00A57D9E">
              <w:rPr>
                <w:rFonts w:cs="Arial"/>
                <w:i/>
                <w:szCs w:val="20"/>
              </w:rPr>
              <w:t>External members:</w:t>
            </w:r>
          </w:p>
          <w:p w14:paraId="0CF20483" w14:textId="77777777"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Paul Bidwell</w:t>
            </w:r>
          </w:p>
          <w:p w14:paraId="3BA3DE1F" w14:textId="77777777"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Peter Chamberlain</w:t>
            </w:r>
          </w:p>
          <w:p w14:paraId="188D1E83" w14:textId="6A8979BF"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Matthew Cornell </w:t>
            </w:r>
            <w:r w:rsidRPr="00A57D9E">
              <w:rPr>
                <w:rFonts w:cs="Arial"/>
                <w:i/>
                <w:szCs w:val="20"/>
              </w:rPr>
              <w:t xml:space="preserve">(3 April 2023 </w:t>
            </w:r>
            <w:r w:rsidR="003C421D" w:rsidRPr="00A57D9E">
              <w:rPr>
                <w:rFonts w:cs="Arial"/>
                <w:i/>
                <w:szCs w:val="20"/>
              </w:rPr>
              <w:t>–</w:t>
            </w:r>
            <w:r w:rsidRPr="00A57D9E">
              <w:rPr>
                <w:rFonts w:cs="Arial"/>
                <w:i/>
                <w:szCs w:val="20"/>
              </w:rPr>
              <w:t xml:space="preserve"> 20 March 2025)</w:t>
            </w:r>
          </w:p>
          <w:p w14:paraId="78D8337F" w14:textId="77777777"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Brenden Creed</w:t>
            </w:r>
          </w:p>
          <w:p w14:paraId="193C79EA" w14:textId="77777777"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Don Grehan</w:t>
            </w:r>
          </w:p>
          <w:p w14:paraId="401DB357" w14:textId="77777777"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Luke Mackey</w:t>
            </w:r>
          </w:p>
          <w:p w14:paraId="4E75E653" w14:textId="371091AB"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Justin Maxwell </w:t>
            </w:r>
            <w:r w:rsidRPr="00A57D9E">
              <w:rPr>
                <w:rFonts w:cs="Arial"/>
                <w:i/>
                <w:szCs w:val="20"/>
              </w:rPr>
              <w:t xml:space="preserve">(3 April 2023 </w:t>
            </w:r>
            <w:r w:rsidR="003C421D" w:rsidRPr="00A57D9E">
              <w:rPr>
                <w:rFonts w:cs="Arial"/>
                <w:i/>
                <w:szCs w:val="20"/>
              </w:rPr>
              <w:t>–</w:t>
            </w:r>
            <w:r w:rsidRPr="00A57D9E">
              <w:rPr>
                <w:rFonts w:cs="Arial"/>
                <w:i/>
                <w:szCs w:val="20"/>
              </w:rPr>
              <w:t xml:space="preserve"> 25 March 2025)</w:t>
            </w:r>
            <w:r w:rsidRPr="00A57D9E">
              <w:rPr>
                <w:rFonts w:cs="Arial"/>
                <w:szCs w:val="20"/>
              </w:rPr>
              <w:t xml:space="preserve"> </w:t>
            </w:r>
          </w:p>
          <w:p w14:paraId="1C11D034" w14:textId="77777777"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Úna Mc Kenna</w:t>
            </w:r>
          </w:p>
          <w:p w14:paraId="726D0A64" w14:textId="77777777"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Nicky McMillan </w:t>
            </w:r>
          </w:p>
          <w:p w14:paraId="5C34A4AC" w14:textId="77777777" w:rsidR="00944CFA"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Samantha Reece</w:t>
            </w:r>
          </w:p>
          <w:p w14:paraId="6A9E4E8C" w14:textId="2B2BC9DD" w:rsidR="00944CFA" w:rsidRPr="00A57D9E" w:rsidRDefault="00944CFA" w:rsidP="00BD69F7">
            <w:pPr>
              <w:pStyle w:val="ListParagraph"/>
              <w:numPr>
                <w:ilvl w:val="0"/>
                <w:numId w:val="4"/>
              </w:numPr>
              <w:suppressLineNumbers/>
              <w:suppressAutoHyphens/>
              <w:ind w:left="170" w:hanging="170"/>
              <w:textAlignment w:val="baseline"/>
              <w:rPr>
                <w:rFonts w:cs="Arial"/>
              </w:rPr>
            </w:pPr>
            <w:r w:rsidRPr="00A57D9E">
              <w:rPr>
                <w:rFonts w:cs="Arial"/>
              </w:rPr>
              <w:t xml:space="preserve">Bruce Robb </w:t>
            </w:r>
          </w:p>
          <w:p w14:paraId="43E48C5F" w14:textId="33010B24" w:rsidR="00C51FAF" w:rsidRPr="00A57D9E" w:rsidRDefault="00944CFA" w:rsidP="00BD69F7">
            <w:pPr>
              <w:pStyle w:val="ListParagraph"/>
              <w:numPr>
                <w:ilvl w:val="0"/>
                <w:numId w:val="4"/>
              </w:numPr>
              <w:suppressLineNumbers/>
              <w:suppressAutoHyphens/>
              <w:ind w:left="170" w:hanging="170"/>
              <w:textAlignment w:val="baseline"/>
            </w:pPr>
            <w:r w:rsidRPr="00A57D9E">
              <w:rPr>
                <w:rFonts w:cs="Arial"/>
              </w:rPr>
              <w:t>Michael Roberts</w:t>
            </w:r>
          </w:p>
          <w:p w14:paraId="4DB2E473" w14:textId="505F1D6E" w:rsidR="00083A9E" w:rsidRPr="00A57D9E" w:rsidRDefault="00944CF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Tim </w:t>
            </w:r>
            <w:r w:rsidR="00930268" w:rsidRPr="00A57D9E">
              <w:rPr>
                <w:rFonts w:cs="Arial"/>
                <w:szCs w:val="20"/>
              </w:rPr>
              <w:t>Webber</w:t>
            </w:r>
          </w:p>
        </w:tc>
        <w:tc>
          <w:tcPr>
            <w:tcW w:w="1564" w:type="dxa"/>
            <w:shd w:val="clear" w:color="auto" w:fill="FFFFFF" w:themeFill="background1"/>
          </w:tcPr>
          <w:p w14:paraId="62F2E7D1" w14:textId="102FF68A" w:rsidR="00083A9E" w:rsidRPr="00A57D9E" w:rsidRDefault="00E73C30" w:rsidP="004B26BC">
            <w:pPr>
              <w:suppressLineNumbers/>
              <w:suppressAutoHyphens/>
              <w:textAlignment w:val="baseline"/>
              <w:rPr>
                <w:rFonts w:cs="Arial"/>
                <w:szCs w:val="20"/>
                <w:highlight w:val="magenta"/>
              </w:rPr>
            </w:pPr>
            <w:r w:rsidRPr="00A57D9E">
              <w:rPr>
                <w:rFonts w:cs="Arial"/>
                <w:szCs w:val="20"/>
              </w:rPr>
              <w:lastRenderedPageBreak/>
              <w:t>At least three times per year</w:t>
            </w:r>
          </w:p>
        </w:tc>
      </w:tr>
      <w:tr w:rsidR="00930268" w:rsidRPr="00083A9E" w14:paraId="0758CEF6" w14:textId="77777777" w:rsidTr="004B26BC">
        <w:trPr>
          <w:jc w:val="center"/>
        </w:trPr>
        <w:tc>
          <w:tcPr>
            <w:tcW w:w="1838" w:type="dxa"/>
            <w:shd w:val="clear" w:color="auto" w:fill="FFFFFF" w:themeFill="background1"/>
          </w:tcPr>
          <w:p w14:paraId="64166882" w14:textId="77777777" w:rsidR="00930268" w:rsidRPr="00A57D9E" w:rsidRDefault="00930268" w:rsidP="00930268">
            <w:pPr>
              <w:suppressLineNumbers/>
              <w:suppressAutoHyphens/>
              <w:textAlignment w:val="baseline"/>
              <w:rPr>
                <w:rFonts w:cs="Arial"/>
                <w:szCs w:val="20"/>
              </w:rPr>
            </w:pPr>
            <w:r w:rsidRPr="00A57D9E">
              <w:rPr>
                <w:rFonts w:cs="Arial"/>
                <w:szCs w:val="20"/>
              </w:rPr>
              <w:t>Digital Advisory Committee</w:t>
            </w:r>
          </w:p>
          <w:p w14:paraId="4AB440BB" w14:textId="77777777" w:rsidR="00930268" w:rsidRPr="00A57D9E" w:rsidRDefault="00930268" w:rsidP="00B71D96">
            <w:pPr>
              <w:suppressLineNumbers/>
              <w:suppressAutoHyphens/>
              <w:textAlignment w:val="baseline"/>
              <w:rPr>
                <w:rFonts w:cs="Arial"/>
                <w:szCs w:val="20"/>
              </w:rPr>
            </w:pPr>
            <w:r w:rsidRPr="00A57D9E">
              <w:rPr>
                <w:rFonts w:cs="Arial"/>
                <w:szCs w:val="20"/>
              </w:rPr>
              <w:t>(DAC)</w:t>
            </w:r>
          </w:p>
          <w:p w14:paraId="0024294B" w14:textId="77777777" w:rsidR="00930268" w:rsidRPr="00A57D9E" w:rsidRDefault="00930268" w:rsidP="00B71D96">
            <w:pPr>
              <w:suppressLineNumbers/>
              <w:suppressAutoHyphens/>
              <w:textAlignment w:val="baseline"/>
              <w:rPr>
                <w:rFonts w:cs="Arial"/>
                <w:i/>
                <w:szCs w:val="20"/>
              </w:rPr>
            </w:pPr>
          </w:p>
          <w:p w14:paraId="0650D02E" w14:textId="77777777" w:rsidR="00930268" w:rsidRPr="00A57D9E" w:rsidRDefault="00930268" w:rsidP="00930268">
            <w:pPr>
              <w:suppressLineNumbers/>
              <w:suppressAutoHyphens/>
              <w:textAlignment w:val="baseline"/>
              <w:rPr>
                <w:rFonts w:cs="Arial"/>
                <w:i/>
                <w:szCs w:val="20"/>
              </w:rPr>
            </w:pPr>
            <w:r w:rsidRPr="00A57D9E">
              <w:rPr>
                <w:rFonts w:cs="Arial"/>
                <w:i/>
                <w:szCs w:val="20"/>
              </w:rPr>
              <w:t xml:space="preserve">Operational </w:t>
            </w:r>
          </w:p>
          <w:p w14:paraId="2AC26298" w14:textId="36FCA114" w:rsidR="00930268" w:rsidRPr="00A57D9E" w:rsidRDefault="00930268" w:rsidP="00B71D96">
            <w:pPr>
              <w:suppressLineNumbers/>
              <w:suppressAutoHyphens/>
              <w:textAlignment w:val="baseline"/>
              <w:rPr>
                <w:rFonts w:cs="Arial"/>
                <w:i/>
                <w:szCs w:val="20"/>
              </w:rPr>
            </w:pPr>
            <w:r w:rsidRPr="00A57D9E">
              <w:rPr>
                <w:rFonts w:cs="Arial"/>
                <w:i/>
                <w:szCs w:val="20"/>
              </w:rPr>
              <w:t xml:space="preserve">1 July 2024 </w:t>
            </w:r>
            <w:r w:rsidR="00456C81">
              <w:rPr>
                <w:rFonts w:cs="Arial"/>
                <w:i/>
                <w:szCs w:val="20"/>
              </w:rPr>
              <w:t xml:space="preserve">– </w:t>
            </w:r>
            <w:r w:rsidRPr="00A57D9E">
              <w:rPr>
                <w:rFonts w:cs="Arial"/>
                <w:i/>
                <w:szCs w:val="20"/>
              </w:rPr>
              <w:t>15 May 2025</w:t>
            </w:r>
          </w:p>
          <w:p w14:paraId="35B71098" w14:textId="77777777" w:rsidR="00930268" w:rsidRPr="00A57D9E" w:rsidRDefault="00930268" w:rsidP="00B71D96">
            <w:pPr>
              <w:suppressLineNumbers/>
              <w:suppressAutoHyphens/>
              <w:textAlignment w:val="baseline"/>
              <w:rPr>
                <w:rFonts w:cs="Arial"/>
                <w:szCs w:val="20"/>
              </w:rPr>
            </w:pPr>
          </w:p>
        </w:tc>
        <w:tc>
          <w:tcPr>
            <w:tcW w:w="4820" w:type="dxa"/>
            <w:shd w:val="clear" w:color="auto" w:fill="FFFFFF" w:themeFill="background1"/>
          </w:tcPr>
          <w:p w14:paraId="242CD7E2" w14:textId="77777777" w:rsidR="0018549C" w:rsidRPr="00A57D9E" w:rsidRDefault="00930268" w:rsidP="00930268">
            <w:pPr>
              <w:suppressLineNumbers/>
              <w:suppressAutoHyphens/>
              <w:textAlignment w:val="baseline"/>
              <w:rPr>
                <w:rFonts w:cs="Arial"/>
                <w:szCs w:val="20"/>
              </w:rPr>
            </w:pPr>
            <w:r w:rsidRPr="00A57D9E">
              <w:rPr>
                <w:rFonts w:cs="Arial"/>
                <w:szCs w:val="20"/>
                <w:u w:val="single"/>
              </w:rPr>
              <w:t>Purpose:</w:t>
            </w:r>
            <w:r w:rsidRPr="00A57D9E">
              <w:rPr>
                <w:rFonts w:cs="Arial"/>
                <w:szCs w:val="20"/>
              </w:rPr>
              <w:t xml:space="preserve"> </w:t>
            </w:r>
          </w:p>
          <w:p w14:paraId="7E4D1E6F" w14:textId="11B11B93" w:rsidR="00930268" w:rsidRPr="00A57D9E" w:rsidRDefault="00930268" w:rsidP="00930268">
            <w:pPr>
              <w:suppressLineNumbers/>
              <w:suppressAutoHyphens/>
              <w:textAlignment w:val="baseline"/>
              <w:rPr>
                <w:rFonts w:cs="Arial"/>
                <w:szCs w:val="20"/>
                <w:u w:val="single"/>
              </w:rPr>
            </w:pPr>
            <w:r w:rsidRPr="00A57D9E">
              <w:rPr>
                <w:rFonts w:cs="Arial"/>
                <w:szCs w:val="20"/>
              </w:rPr>
              <w:t>To provide the QBC Board and management with independent, impartial, and expert advice on internal assurance and governance controls about matters affecting the Digital Portfolio and associated funding</w:t>
            </w:r>
          </w:p>
          <w:p w14:paraId="4B046D63" w14:textId="6CB7F42F" w:rsidR="00930268" w:rsidRPr="00A57D9E" w:rsidRDefault="00930268" w:rsidP="00DF3315">
            <w:pPr>
              <w:suppressLineNumbers/>
              <w:suppressAutoHyphens/>
              <w:textAlignment w:val="baseline"/>
              <w:rPr>
                <w:rFonts w:cs="Arial"/>
                <w:szCs w:val="20"/>
              </w:rPr>
            </w:pPr>
          </w:p>
        </w:tc>
        <w:tc>
          <w:tcPr>
            <w:tcW w:w="1984" w:type="dxa"/>
            <w:shd w:val="clear" w:color="auto" w:fill="FFFFFF" w:themeFill="background1"/>
          </w:tcPr>
          <w:p w14:paraId="7F3C7560" w14:textId="77777777"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Christopher Edwards (Chair)</w:t>
            </w:r>
          </w:p>
          <w:p w14:paraId="4D6FECFE" w14:textId="77777777"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Robyn Petrou</w:t>
            </w:r>
          </w:p>
          <w:p w14:paraId="59E3B5B2" w14:textId="77777777"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Meg Frisby</w:t>
            </w:r>
          </w:p>
          <w:p w14:paraId="0FBE5D4F" w14:textId="527B90B2"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Anissa Levy, Commissioner</w:t>
            </w:r>
            <w:r w:rsidRPr="00A57D9E">
              <w:rPr>
                <w:rFonts w:cs="Arial"/>
                <w:i/>
                <w:szCs w:val="20"/>
              </w:rPr>
              <w:t xml:space="preserve"> (14 February 2022 </w:t>
            </w:r>
            <w:r w:rsidR="003C421D" w:rsidRPr="00A57D9E">
              <w:rPr>
                <w:rFonts w:cs="Arial"/>
                <w:i/>
                <w:szCs w:val="20"/>
              </w:rPr>
              <w:t>–</w:t>
            </w:r>
            <w:r w:rsidRPr="00A57D9E">
              <w:rPr>
                <w:rFonts w:cs="Arial"/>
                <w:i/>
                <w:szCs w:val="20"/>
              </w:rPr>
              <w:t xml:space="preserve"> 28 March 2025)</w:t>
            </w:r>
          </w:p>
          <w:p w14:paraId="150E6BE7" w14:textId="77777777" w:rsidR="00930268" w:rsidRPr="00A57D9E" w:rsidRDefault="00930268" w:rsidP="00930268">
            <w:pPr>
              <w:suppressLineNumbers/>
              <w:suppressAutoHyphens/>
              <w:textAlignment w:val="baseline"/>
              <w:rPr>
                <w:rFonts w:cs="Arial"/>
                <w:szCs w:val="20"/>
              </w:rPr>
            </w:pPr>
          </w:p>
          <w:p w14:paraId="654E4C57" w14:textId="77777777" w:rsidR="00930268" w:rsidRPr="00A57D9E" w:rsidRDefault="00930268" w:rsidP="00930268">
            <w:pPr>
              <w:suppressLineNumbers/>
              <w:suppressAutoHyphens/>
              <w:textAlignment w:val="baseline"/>
              <w:rPr>
                <w:rFonts w:cs="Arial"/>
                <w:i/>
                <w:szCs w:val="20"/>
              </w:rPr>
            </w:pPr>
            <w:r w:rsidRPr="00A57D9E">
              <w:rPr>
                <w:rFonts w:cs="Arial"/>
                <w:i/>
                <w:szCs w:val="20"/>
              </w:rPr>
              <w:t>Independent advisors:</w:t>
            </w:r>
          </w:p>
          <w:p w14:paraId="07D39421" w14:textId="77777777"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Anthony Borgo</w:t>
            </w:r>
          </w:p>
          <w:p w14:paraId="03E54476" w14:textId="5AE66664"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Tracy Whitelaw</w:t>
            </w:r>
          </w:p>
        </w:tc>
        <w:tc>
          <w:tcPr>
            <w:tcW w:w="1564" w:type="dxa"/>
            <w:shd w:val="clear" w:color="auto" w:fill="FFFFFF" w:themeFill="background1"/>
          </w:tcPr>
          <w:p w14:paraId="0D802003" w14:textId="53F2F134" w:rsidR="00930268" w:rsidRPr="00A57D9E" w:rsidRDefault="00930268" w:rsidP="00B71D96">
            <w:pPr>
              <w:suppressLineNumbers/>
              <w:suppressAutoHyphens/>
              <w:textAlignment w:val="baseline"/>
              <w:rPr>
                <w:rFonts w:cs="Arial"/>
                <w:szCs w:val="20"/>
              </w:rPr>
            </w:pPr>
            <w:r w:rsidRPr="00A57D9E">
              <w:rPr>
                <w:rFonts w:cs="Arial"/>
                <w:szCs w:val="20"/>
              </w:rPr>
              <w:t>Monthly</w:t>
            </w:r>
          </w:p>
        </w:tc>
      </w:tr>
      <w:tr w:rsidR="00930268" w:rsidRPr="00083A9E" w14:paraId="0AA500D8" w14:textId="77777777" w:rsidTr="004B26BC">
        <w:trPr>
          <w:jc w:val="center"/>
        </w:trPr>
        <w:tc>
          <w:tcPr>
            <w:tcW w:w="1838" w:type="dxa"/>
            <w:shd w:val="clear" w:color="auto" w:fill="FFFFFF" w:themeFill="background1"/>
          </w:tcPr>
          <w:p w14:paraId="2A1C40CB" w14:textId="49FC518C" w:rsidR="00930268" w:rsidRPr="00A57D9E" w:rsidRDefault="00930268" w:rsidP="00930268">
            <w:pPr>
              <w:suppressLineNumbers/>
              <w:suppressAutoHyphens/>
              <w:textAlignment w:val="baseline"/>
              <w:rPr>
                <w:rFonts w:cs="Arial"/>
                <w:szCs w:val="20"/>
              </w:rPr>
            </w:pPr>
            <w:r w:rsidRPr="00A57D9E">
              <w:rPr>
                <w:rFonts w:cs="Arial"/>
                <w:szCs w:val="20"/>
              </w:rPr>
              <w:t>Ex</w:t>
            </w:r>
            <w:r w:rsidR="00131322" w:rsidRPr="00A57D9E">
              <w:rPr>
                <w:rFonts w:cs="Arial"/>
                <w:szCs w:val="20"/>
              </w:rPr>
              <w:t>-</w:t>
            </w:r>
            <w:r w:rsidRPr="00A57D9E">
              <w:rPr>
                <w:rFonts w:cs="Arial"/>
                <w:szCs w:val="20"/>
              </w:rPr>
              <w:t>Gratia Payment Decisions Committee</w:t>
            </w:r>
          </w:p>
          <w:p w14:paraId="18EE6A9D" w14:textId="77777777" w:rsidR="00930268" w:rsidRPr="00A57D9E" w:rsidRDefault="00930268" w:rsidP="00B71D96">
            <w:pPr>
              <w:suppressLineNumbers/>
              <w:suppressAutoHyphens/>
              <w:textAlignment w:val="baseline"/>
              <w:rPr>
                <w:rFonts w:cs="Arial"/>
                <w:szCs w:val="20"/>
              </w:rPr>
            </w:pPr>
            <w:r w:rsidRPr="00A57D9E">
              <w:rPr>
                <w:rFonts w:cs="Arial"/>
                <w:szCs w:val="20"/>
              </w:rPr>
              <w:t>(EGP)</w:t>
            </w:r>
          </w:p>
          <w:p w14:paraId="0D7CCBBA" w14:textId="77777777" w:rsidR="00930268" w:rsidRPr="00A57D9E" w:rsidRDefault="00930268" w:rsidP="00B71D96">
            <w:pPr>
              <w:suppressLineNumbers/>
              <w:suppressAutoHyphens/>
              <w:textAlignment w:val="baseline"/>
              <w:rPr>
                <w:rFonts w:cs="Arial"/>
                <w:szCs w:val="20"/>
              </w:rPr>
            </w:pPr>
          </w:p>
          <w:p w14:paraId="07A04503" w14:textId="77777777" w:rsidR="00930268" w:rsidRPr="00A57D9E" w:rsidRDefault="00930268" w:rsidP="00930268">
            <w:pPr>
              <w:suppressLineNumbers/>
              <w:suppressAutoHyphens/>
              <w:textAlignment w:val="baseline"/>
              <w:rPr>
                <w:rFonts w:cs="Arial"/>
                <w:i/>
                <w:szCs w:val="20"/>
              </w:rPr>
            </w:pPr>
            <w:r w:rsidRPr="00A57D9E">
              <w:rPr>
                <w:rFonts w:cs="Arial"/>
                <w:i/>
                <w:szCs w:val="20"/>
              </w:rPr>
              <w:t xml:space="preserve">Operational </w:t>
            </w:r>
          </w:p>
          <w:p w14:paraId="1B7BE531" w14:textId="3E5D7389" w:rsidR="00930268" w:rsidRPr="00EF4668" w:rsidRDefault="00930268" w:rsidP="00B71D96">
            <w:pPr>
              <w:suppressLineNumbers/>
              <w:suppressAutoHyphens/>
              <w:textAlignment w:val="baseline"/>
              <w:rPr>
                <w:rFonts w:cs="Arial"/>
                <w:i/>
                <w:szCs w:val="20"/>
              </w:rPr>
            </w:pPr>
            <w:r w:rsidRPr="00A57D9E">
              <w:rPr>
                <w:rFonts w:cs="Arial"/>
                <w:i/>
                <w:szCs w:val="20"/>
              </w:rPr>
              <w:t xml:space="preserve">1 July 2024 </w:t>
            </w:r>
            <w:r w:rsidR="00456C81">
              <w:rPr>
                <w:rFonts w:cs="Arial"/>
                <w:i/>
                <w:szCs w:val="20"/>
              </w:rPr>
              <w:t xml:space="preserve">– </w:t>
            </w:r>
            <w:r w:rsidRPr="00A57D9E">
              <w:rPr>
                <w:rFonts w:cs="Arial"/>
                <w:i/>
                <w:szCs w:val="20"/>
              </w:rPr>
              <w:t>15 May 2025</w:t>
            </w:r>
          </w:p>
        </w:tc>
        <w:tc>
          <w:tcPr>
            <w:tcW w:w="4820" w:type="dxa"/>
            <w:shd w:val="clear" w:color="auto" w:fill="FFFFFF" w:themeFill="background1"/>
          </w:tcPr>
          <w:p w14:paraId="6577A7D2" w14:textId="77777777" w:rsidR="00F53624" w:rsidRPr="00A57D9E" w:rsidRDefault="00930268" w:rsidP="00930268">
            <w:pPr>
              <w:suppressLineNumbers/>
              <w:suppressAutoHyphens/>
              <w:textAlignment w:val="baseline"/>
              <w:rPr>
                <w:rFonts w:cs="Arial"/>
                <w:szCs w:val="20"/>
              </w:rPr>
            </w:pPr>
            <w:r w:rsidRPr="00A57D9E">
              <w:rPr>
                <w:rFonts w:cs="Arial"/>
                <w:szCs w:val="20"/>
                <w:u w:val="single"/>
              </w:rPr>
              <w:t>Purpose:</w:t>
            </w:r>
            <w:r w:rsidRPr="00A57D9E">
              <w:rPr>
                <w:rFonts w:cs="Arial"/>
                <w:szCs w:val="20"/>
              </w:rPr>
              <w:t xml:space="preserve"> </w:t>
            </w:r>
          </w:p>
          <w:p w14:paraId="2E6DB28E" w14:textId="696AE2A4" w:rsidR="00930268" w:rsidRPr="004B7EE7" w:rsidRDefault="00930268" w:rsidP="00930268">
            <w:pPr>
              <w:suppressLineNumbers/>
              <w:suppressAutoHyphens/>
              <w:textAlignment w:val="baseline"/>
              <w:rPr>
                <w:rFonts w:cs="Arial"/>
                <w:lang w:val="en-GB"/>
              </w:rPr>
            </w:pPr>
            <w:r w:rsidRPr="2CB0BF71">
              <w:rPr>
                <w:rFonts w:cs="Arial"/>
                <w:lang w:val="en-GB"/>
              </w:rPr>
              <w:t>To oversee and determine the making of ex gratia payments in line with the QBCC’s Ex</w:t>
            </w:r>
            <w:r w:rsidR="0046086A" w:rsidRPr="2CB0BF71">
              <w:rPr>
                <w:rFonts w:cs="Arial"/>
                <w:lang w:val="en-GB"/>
              </w:rPr>
              <w:t>-</w:t>
            </w:r>
            <w:r w:rsidRPr="2CB0BF71">
              <w:rPr>
                <w:rFonts w:cs="Arial"/>
                <w:lang w:val="en-GB"/>
              </w:rPr>
              <w:t>Gratia Compensation Payments for Defective Administration Procedure</w:t>
            </w:r>
          </w:p>
          <w:p w14:paraId="7B14365B" w14:textId="4E33FE22" w:rsidR="00930268" w:rsidRPr="00A57D9E" w:rsidRDefault="00930268" w:rsidP="00DF3315">
            <w:pPr>
              <w:suppressLineNumbers/>
              <w:suppressAutoHyphens/>
              <w:textAlignment w:val="baseline"/>
              <w:rPr>
                <w:rFonts w:cs="Arial"/>
                <w:szCs w:val="20"/>
              </w:rPr>
            </w:pPr>
          </w:p>
        </w:tc>
        <w:tc>
          <w:tcPr>
            <w:tcW w:w="1984" w:type="dxa"/>
            <w:shd w:val="clear" w:color="auto" w:fill="FFFFFF" w:themeFill="background1"/>
          </w:tcPr>
          <w:p w14:paraId="3546308B" w14:textId="77777777"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Meg Frisby (Chair)</w:t>
            </w:r>
          </w:p>
          <w:p w14:paraId="60C113C5" w14:textId="77777777"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John Anderson (Deputy Chair)</w:t>
            </w:r>
          </w:p>
          <w:p w14:paraId="51762BAE" w14:textId="44858F96" w:rsidR="00930268" w:rsidRPr="00A57D9E" w:rsidRDefault="00930268"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Michelle James, Board Chair </w:t>
            </w:r>
            <w:r w:rsidRPr="00A57D9E">
              <w:rPr>
                <w:rFonts w:cs="Arial"/>
                <w:i/>
                <w:szCs w:val="20"/>
              </w:rPr>
              <w:t xml:space="preserve">(1 July 2024 </w:t>
            </w:r>
            <w:r w:rsidR="00ED7D13" w:rsidRPr="00A57D9E">
              <w:rPr>
                <w:rFonts w:cs="Arial"/>
                <w:i/>
                <w:szCs w:val="20"/>
              </w:rPr>
              <w:t>–</w:t>
            </w:r>
            <w:r w:rsidRPr="00A57D9E">
              <w:rPr>
                <w:rFonts w:cs="Arial"/>
                <w:i/>
                <w:szCs w:val="20"/>
              </w:rPr>
              <w:t xml:space="preserve"> 26 February 2025)</w:t>
            </w:r>
          </w:p>
        </w:tc>
        <w:tc>
          <w:tcPr>
            <w:tcW w:w="1564" w:type="dxa"/>
            <w:shd w:val="clear" w:color="auto" w:fill="FFFFFF" w:themeFill="background1"/>
          </w:tcPr>
          <w:p w14:paraId="3D769E55" w14:textId="743C89D0" w:rsidR="00930268" w:rsidRPr="00A57D9E" w:rsidRDefault="00930268" w:rsidP="00B71D96">
            <w:pPr>
              <w:suppressLineNumbers/>
              <w:suppressAutoHyphens/>
              <w:textAlignment w:val="baseline"/>
              <w:rPr>
                <w:rFonts w:cs="Arial"/>
                <w:szCs w:val="20"/>
              </w:rPr>
            </w:pPr>
            <w:r w:rsidRPr="00A57D9E">
              <w:rPr>
                <w:rFonts w:cs="Arial"/>
                <w:szCs w:val="20"/>
              </w:rPr>
              <w:t>As required</w:t>
            </w:r>
          </w:p>
        </w:tc>
      </w:tr>
    </w:tbl>
    <w:p w14:paraId="754B9494" w14:textId="08020137" w:rsidR="0043055E" w:rsidRDefault="0043055E" w:rsidP="00C15179">
      <w:pPr>
        <w:pStyle w:val="Heading3"/>
        <w:spacing w:before="120"/>
      </w:pPr>
      <w:bookmarkStart w:id="215" w:name="_QBC_Board_member"/>
      <w:bookmarkEnd w:id="215"/>
      <w:r w:rsidRPr="006C7392">
        <w:lastRenderedPageBreak/>
        <w:t xml:space="preserve">QBC Board </w:t>
      </w:r>
      <w:r w:rsidR="003D4F42">
        <w:t xml:space="preserve">member </w:t>
      </w:r>
      <w:r w:rsidR="00180819">
        <w:t xml:space="preserve">meeting </w:t>
      </w:r>
      <w:r w:rsidR="003D4F42">
        <w:t>attendance and remuneration</w:t>
      </w:r>
    </w:p>
    <w:p w14:paraId="29B66C88" w14:textId="4DA4E3A9" w:rsidR="00DC4035" w:rsidRDefault="00E84CD7" w:rsidP="00646D5D">
      <w:pPr>
        <w:spacing w:before="120" w:after="120"/>
        <w:rPr>
          <w:rFonts w:cs="Arial"/>
        </w:rPr>
      </w:pPr>
      <w:r w:rsidRPr="00E84CD7">
        <w:rPr>
          <w:rFonts w:cs="Arial"/>
        </w:rPr>
        <w:t xml:space="preserve">The QBCC is committed to transparency and </w:t>
      </w:r>
      <w:r w:rsidR="00B03DF6">
        <w:rPr>
          <w:rFonts w:cs="Arial"/>
        </w:rPr>
        <w:t>strong</w:t>
      </w:r>
      <w:r w:rsidRPr="00E84CD7">
        <w:rPr>
          <w:rFonts w:cs="Arial"/>
        </w:rPr>
        <w:t xml:space="preserve"> governance, including </w:t>
      </w:r>
      <w:r w:rsidR="004C7C5E">
        <w:rPr>
          <w:rFonts w:cs="Arial"/>
        </w:rPr>
        <w:t>clear reporting on</w:t>
      </w:r>
      <w:r w:rsidRPr="00E84CD7">
        <w:rPr>
          <w:rFonts w:cs="Arial"/>
        </w:rPr>
        <w:t xml:space="preserve"> QBC Board member engagement and remuneration. </w:t>
      </w:r>
      <w:r w:rsidR="00ED7D13">
        <w:rPr>
          <w:rFonts w:cs="Arial"/>
        </w:rPr>
        <w:t>Table 33</w:t>
      </w:r>
      <w:r w:rsidR="003C14D7">
        <w:rPr>
          <w:rFonts w:cs="Arial"/>
        </w:rPr>
        <w:fldChar w:fldCharType="begin"/>
      </w:r>
      <w:r w:rsidR="003C14D7">
        <w:rPr>
          <w:rFonts w:cs="Arial"/>
        </w:rPr>
        <w:instrText xml:space="preserve"> REF _Ref201912188 \h </w:instrText>
      </w:r>
      <w:r w:rsidR="003C14D7">
        <w:rPr>
          <w:rFonts w:cs="Arial"/>
        </w:rPr>
      </w:r>
      <w:r w:rsidR="003C14D7">
        <w:rPr>
          <w:rFonts w:cs="Arial"/>
        </w:rPr>
        <w:fldChar w:fldCharType="separate"/>
      </w:r>
      <w:r w:rsidR="003C14D7">
        <w:rPr>
          <w:rFonts w:cs="Arial"/>
        </w:rPr>
        <w:fldChar w:fldCharType="end"/>
      </w:r>
      <w:r w:rsidR="00FC1A33" w:rsidRPr="00FC1A33">
        <w:rPr>
          <w:rFonts w:cs="Arial"/>
        </w:rPr>
        <w:t xml:space="preserve"> </w:t>
      </w:r>
      <w:r w:rsidR="00D05D98">
        <w:rPr>
          <w:rFonts w:cs="Arial"/>
        </w:rPr>
        <w:t xml:space="preserve">outlines </w:t>
      </w:r>
      <w:r w:rsidR="009C0B68">
        <w:rPr>
          <w:rFonts w:cs="Arial"/>
        </w:rPr>
        <w:t xml:space="preserve">the QBC </w:t>
      </w:r>
      <w:r w:rsidR="00D05D98" w:rsidRPr="00FC1A33">
        <w:rPr>
          <w:rFonts w:cs="Arial"/>
        </w:rPr>
        <w:t>Board members</w:t>
      </w:r>
      <w:r w:rsidR="009C0B68">
        <w:rPr>
          <w:rFonts w:cs="Arial"/>
        </w:rPr>
        <w:t>’</w:t>
      </w:r>
      <w:r w:rsidR="00D05D98" w:rsidRPr="00FC1A33">
        <w:rPr>
          <w:rFonts w:cs="Arial"/>
        </w:rPr>
        <w:t xml:space="preserve"> attendance at </w:t>
      </w:r>
      <w:r w:rsidR="0076292B">
        <w:rPr>
          <w:rFonts w:cs="Arial"/>
        </w:rPr>
        <w:t>regular</w:t>
      </w:r>
      <w:r w:rsidR="0076292B" w:rsidRPr="00FC1A33">
        <w:rPr>
          <w:rFonts w:cs="Arial"/>
        </w:rPr>
        <w:t xml:space="preserve"> </w:t>
      </w:r>
      <w:r w:rsidR="00FC1A33" w:rsidRPr="00FC1A33">
        <w:rPr>
          <w:rFonts w:cs="Arial"/>
        </w:rPr>
        <w:t xml:space="preserve">and extraordinary meetings, </w:t>
      </w:r>
      <w:r w:rsidR="009C0B68">
        <w:rPr>
          <w:rFonts w:cs="Arial"/>
        </w:rPr>
        <w:t>along with</w:t>
      </w:r>
      <w:r w:rsidR="00FC1A33" w:rsidRPr="00FC1A33">
        <w:rPr>
          <w:rFonts w:cs="Arial"/>
        </w:rPr>
        <w:t xml:space="preserve"> their remuneration</w:t>
      </w:r>
      <w:r w:rsidR="009C0B68">
        <w:rPr>
          <w:rFonts w:cs="Arial"/>
        </w:rPr>
        <w:t xml:space="preserve"> details</w:t>
      </w:r>
      <w:r w:rsidR="00FC1A33" w:rsidRPr="00FC1A33">
        <w:rPr>
          <w:rFonts w:cs="Arial"/>
        </w:rPr>
        <w:t>.</w:t>
      </w:r>
    </w:p>
    <w:p w14:paraId="65746DFB" w14:textId="172EE696" w:rsidR="00DC4035" w:rsidRPr="003C14D7" w:rsidRDefault="003C14D7" w:rsidP="00646D5D">
      <w:pPr>
        <w:pStyle w:val="Caption"/>
        <w:keepNext/>
        <w:spacing w:before="120" w:after="120"/>
      </w:pPr>
      <w:bookmarkStart w:id="216" w:name="_Ref201912188"/>
      <w:bookmarkStart w:id="217" w:name="_Toc202872064"/>
      <w:bookmarkStart w:id="218" w:name="_Toc202872684"/>
      <w:r>
        <w:t xml:space="preserve">Table </w:t>
      </w:r>
      <w:r w:rsidR="00A955BE">
        <w:t>33</w:t>
      </w:r>
      <w:r>
        <w:fldChar w:fldCharType="begin"/>
      </w:r>
      <w:r>
        <w:instrText>SEQ Table \* ARABIC</w:instrText>
      </w:r>
      <w:r>
        <w:fldChar w:fldCharType="separate"/>
      </w:r>
      <w:r>
        <w:fldChar w:fldCharType="end"/>
      </w:r>
      <w:bookmarkEnd w:id="216"/>
      <w:r w:rsidRPr="00077838">
        <w:t xml:space="preserve">: </w:t>
      </w:r>
      <w:bookmarkStart w:id="219" w:name="_Ref202873627"/>
      <w:r w:rsidRPr="00077838">
        <w:t xml:space="preserve">QBC Board member attendance and remuneration </w:t>
      </w:r>
      <w:r w:rsidR="00A658DD">
        <w:t xml:space="preserve">in </w:t>
      </w:r>
      <w:r w:rsidRPr="00077838">
        <w:t>2024–25</w:t>
      </w:r>
      <w:bookmarkEnd w:id="217"/>
      <w:bookmarkEnd w:id="218"/>
      <w:bookmarkEnd w:id="219"/>
    </w:p>
    <w:tbl>
      <w:tblPr>
        <w:tblStyle w:val="TableGrid"/>
        <w:tblW w:w="10206" w:type="dxa"/>
        <w:jc w:val="center"/>
        <w:tblLayout w:type="fixed"/>
        <w:tblCellMar>
          <w:top w:w="57" w:type="dxa"/>
          <w:left w:w="57" w:type="dxa"/>
          <w:bottom w:w="57" w:type="dxa"/>
          <w:right w:w="57" w:type="dxa"/>
        </w:tblCellMar>
        <w:tblLook w:val="04A0" w:firstRow="1" w:lastRow="0" w:firstColumn="1" w:lastColumn="0" w:noHBand="0" w:noVBand="1"/>
      </w:tblPr>
      <w:tblGrid>
        <w:gridCol w:w="1271"/>
        <w:gridCol w:w="766"/>
        <w:gridCol w:w="935"/>
        <w:gridCol w:w="1985"/>
        <w:gridCol w:w="1902"/>
        <w:gridCol w:w="1641"/>
        <w:gridCol w:w="1706"/>
      </w:tblGrid>
      <w:tr w:rsidR="008B1BA7" w:rsidRPr="001E41ED" w14:paraId="3E34610C" w14:textId="77777777" w:rsidTr="0032403D">
        <w:trPr>
          <w:tblHeader/>
          <w:jc w:val="center"/>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4034BF" w14:textId="77777777" w:rsidR="008B1BA7" w:rsidRPr="004B26BC" w:rsidRDefault="008B1BA7">
            <w:pPr>
              <w:contextualSpacing/>
              <w:rPr>
                <w:rFonts w:cs="Arial"/>
                <w:szCs w:val="22"/>
              </w:rPr>
            </w:pPr>
            <w:r w:rsidRPr="004B26BC">
              <w:rPr>
                <w:rFonts w:cs="Arial"/>
                <w:b/>
                <w:szCs w:val="22"/>
              </w:rPr>
              <w:t>Queensland Building and Construction Board</w:t>
            </w:r>
          </w:p>
        </w:tc>
      </w:tr>
      <w:tr w:rsidR="008B1BA7" w:rsidRPr="001E41ED" w14:paraId="2D0A5813" w14:textId="77777777" w:rsidTr="0032403D">
        <w:trPr>
          <w:jc w:val="center"/>
        </w:trPr>
        <w:tc>
          <w:tcPr>
            <w:tcW w:w="203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7BE525" w14:textId="77777777" w:rsidR="008B1BA7" w:rsidRPr="004B26BC" w:rsidRDefault="008B1BA7">
            <w:pPr>
              <w:contextualSpacing/>
              <w:rPr>
                <w:rFonts w:cs="Arial"/>
                <w:szCs w:val="22"/>
              </w:rPr>
            </w:pPr>
            <w:r w:rsidRPr="004B26BC">
              <w:rPr>
                <w:rFonts w:cs="Arial"/>
                <w:szCs w:val="22"/>
              </w:rPr>
              <w:t>Act or instrument</w:t>
            </w:r>
          </w:p>
        </w:tc>
        <w:tc>
          <w:tcPr>
            <w:tcW w:w="816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12A9D5" w14:textId="77777777" w:rsidR="008B1BA7" w:rsidRPr="004B26BC" w:rsidRDefault="008B1BA7">
            <w:pPr>
              <w:contextualSpacing/>
              <w:rPr>
                <w:rFonts w:cs="Arial"/>
                <w:iCs/>
                <w:szCs w:val="22"/>
              </w:rPr>
            </w:pPr>
            <w:r w:rsidRPr="004B26BC">
              <w:rPr>
                <w:rFonts w:cs="Arial"/>
                <w:i/>
                <w:szCs w:val="22"/>
              </w:rPr>
              <w:t>Queensland Building and Construction Commission Act 1991</w:t>
            </w:r>
          </w:p>
        </w:tc>
      </w:tr>
      <w:tr w:rsidR="008B1BA7" w:rsidRPr="001E41ED" w14:paraId="19A777D3" w14:textId="77777777">
        <w:trPr>
          <w:jc w:val="center"/>
        </w:trPr>
        <w:tc>
          <w:tcPr>
            <w:tcW w:w="2037" w:type="dxa"/>
            <w:gridSpan w:val="2"/>
            <w:tcBorders>
              <w:top w:val="single" w:sz="4" w:space="0" w:color="auto"/>
              <w:left w:val="single" w:sz="4" w:space="0" w:color="auto"/>
              <w:bottom w:val="single" w:sz="4" w:space="0" w:color="auto"/>
              <w:right w:val="single" w:sz="4" w:space="0" w:color="auto"/>
            </w:tcBorders>
            <w:hideMark/>
          </w:tcPr>
          <w:p w14:paraId="00E1A8F2" w14:textId="77777777" w:rsidR="008B1BA7" w:rsidRPr="004B26BC" w:rsidRDefault="008B1BA7">
            <w:pPr>
              <w:contextualSpacing/>
              <w:rPr>
                <w:rFonts w:cs="Arial"/>
                <w:szCs w:val="22"/>
              </w:rPr>
            </w:pPr>
            <w:r w:rsidRPr="004B26BC">
              <w:rPr>
                <w:rFonts w:cs="Arial"/>
                <w:szCs w:val="22"/>
              </w:rPr>
              <w:t>Functions</w:t>
            </w:r>
          </w:p>
        </w:tc>
        <w:tc>
          <w:tcPr>
            <w:tcW w:w="8169" w:type="dxa"/>
            <w:gridSpan w:val="5"/>
            <w:tcBorders>
              <w:top w:val="single" w:sz="4" w:space="0" w:color="auto"/>
              <w:left w:val="single" w:sz="4" w:space="0" w:color="auto"/>
              <w:bottom w:val="single" w:sz="4" w:space="0" w:color="auto"/>
              <w:right w:val="single" w:sz="4" w:space="0" w:color="auto"/>
            </w:tcBorders>
            <w:hideMark/>
          </w:tcPr>
          <w:p w14:paraId="74546165" w14:textId="56EB9EC7" w:rsidR="008E04B4" w:rsidRPr="004B7EE7" w:rsidRDefault="00DC7696" w:rsidP="00BD69F7">
            <w:pPr>
              <w:pStyle w:val="ListParagraph"/>
              <w:numPr>
                <w:ilvl w:val="0"/>
                <w:numId w:val="4"/>
              </w:numPr>
              <w:ind w:left="170" w:hanging="170"/>
              <w:textAlignment w:val="baseline"/>
              <w:rPr>
                <w:rFonts w:cs="Arial"/>
                <w:lang w:val="en-GB"/>
              </w:rPr>
            </w:pPr>
            <w:r w:rsidRPr="2CB0BF71">
              <w:rPr>
                <w:rFonts w:cs="Arial"/>
                <w:lang w:val="en-GB"/>
              </w:rPr>
              <w:t>D</w:t>
            </w:r>
            <w:r w:rsidR="008E04B4" w:rsidRPr="2CB0BF71">
              <w:rPr>
                <w:rFonts w:cs="Arial"/>
                <w:lang w:val="en-GB"/>
              </w:rPr>
              <w:t>eciding the strategies and the operational, administrative</w:t>
            </w:r>
            <w:r w:rsidR="0072237D" w:rsidRPr="2CB0BF71">
              <w:rPr>
                <w:rFonts w:cs="Arial"/>
                <w:lang w:val="en-GB"/>
              </w:rPr>
              <w:t xml:space="preserve"> </w:t>
            </w:r>
            <w:r w:rsidR="008E04B4" w:rsidRPr="2CB0BF71">
              <w:rPr>
                <w:rFonts w:cs="Arial"/>
                <w:lang w:val="en-GB"/>
              </w:rPr>
              <w:t>and financial policies to be followed by the QBCC</w:t>
            </w:r>
          </w:p>
          <w:p w14:paraId="225945A1" w14:textId="6BEC5A48" w:rsidR="008E04B4" w:rsidRPr="004B7EE7" w:rsidRDefault="00DC7696" w:rsidP="00BD69F7">
            <w:pPr>
              <w:pStyle w:val="ListParagraph"/>
              <w:numPr>
                <w:ilvl w:val="0"/>
                <w:numId w:val="4"/>
              </w:numPr>
              <w:ind w:left="170" w:hanging="170"/>
              <w:textAlignment w:val="baseline"/>
              <w:rPr>
                <w:rFonts w:cs="Arial"/>
                <w:lang w:val="en-GB"/>
              </w:rPr>
            </w:pPr>
            <w:r w:rsidRPr="2CB0BF71">
              <w:rPr>
                <w:rFonts w:cs="Arial"/>
                <w:lang w:val="en-GB"/>
              </w:rPr>
              <w:t>E</w:t>
            </w:r>
            <w:r w:rsidR="008E04B4" w:rsidRPr="2CB0BF71">
              <w:rPr>
                <w:rFonts w:cs="Arial"/>
                <w:lang w:val="en-GB"/>
              </w:rPr>
              <w:t>nsuring the QBCC performs its functions (including financial, governance, risk and compliance</w:t>
            </w:r>
            <w:r w:rsidR="00A73BFB" w:rsidRPr="2CB0BF71">
              <w:rPr>
                <w:rFonts w:cs="Arial"/>
                <w:lang w:val="en-GB"/>
              </w:rPr>
              <w:t xml:space="preserve"> </w:t>
            </w:r>
            <w:r w:rsidR="008E04B4" w:rsidRPr="2CB0BF71">
              <w:rPr>
                <w:rFonts w:cs="Arial"/>
                <w:lang w:val="en-GB"/>
              </w:rPr>
              <w:t>obligations) and exercises its powers properly, effectively</w:t>
            </w:r>
            <w:r w:rsidR="005C4EAF" w:rsidRPr="2CB0BF71">
              <w:rPr>
                <w:rFonts w:cs="Arial"/>
                <w:lang w:val="en-GB"/>
              </w:rPr>
              <w:t xml:space="preserve"> </w:t>
            </w:r>
            <w:r w:rsidR="008E04B4" w:rsidRPr="2CB0BF71">
              <w:rPr>
                <w:rFonts w:cs="Arial"/>
                <w:lang w:val="en-GB"/>
              </w:rPr>
              <w:t>and efficiently</w:t>
            </w:r>
          </w:p>
          <w:p w14:paraId="5E85997C" w14:textId="65505C23" w:rsidR="00D9600A" w:rsidRPr="00A57D9E" w:rsidRDefault="002A053C" w:rsidP="00BD69F7">
            <w:pPr>
              <w:pStyle w:val="ListParagraph"/>
              <w:numPr>
                <w:ilvl w:val="0"/>
                <w:numId w:val="4"/>
              </w:numPr>
              <w:ind w:left="170" w:hanging="170"/>
              <w:textAlignment w:val="baseline"/>
              <w:rPr>
                <w:rFonts w:cs="Arial"/>
              </w:rPr>
            </w:pPr>
            <w:r w:rsidRPr="00A57D9E">
              <w:rPr>
                <w:rFonts w:cs="Arial"/>
              </w:rPr>
              <w:t>P</w:t>
            </w:r>
            <w:r w:rsidR="00D9600A" w:rsidRPr="00A57D9E">
              <w:rPr>
                <w:rFonts w:cs="Arial"/>
              </w:rPr>
              <w:t>rovid</w:t>
            </w:r>
            <w:r w:rsidR="00DA5091" w:rsidRPr="00A57D9E">
              <w:rPr>
                <w:rFonts w:cs="Arial"/>
              </w:rPr>
              <w:t>ing</w:t>
            </w:r>
            <w:r w:rsidR="00D9600A" w:rsidRPr="00A57D9E">
              <w:rPr>
                <w:rFonts w:cs="Arial"/>
              </w:rPr>
              <w:t xml:space="preserve"> </w:t>
            </w:r>
            <w:r w:rsidR="001D6657" w:rsidRPr="00A57D9E">
              <w:rPr>
                <w:rFonts w:cs="Arial"/>
              </w:rPr>
              <w:t xml:space="preserve">strategic </w:t>
            </w:r>
            <w:r w:rsidR="00D9600A" w:rsidRPr="00A57D9E">
              <w:rPr>
                <w:rFonts w:cs="Arial"/>
              </w:rPr>
              <w:t>guidance and leadership to the Commissioner</w:t>
            </w:r>
            <w:r w:rsidR="00A549D3" w:rsidRPr="00A57D9E">
              <w:rPr>
                <w:rFonts w:cs="Arial"/>
              </w:rPr>
              <w:t xml:space="preserve"> and </w:t>
            </w:r>
            <w:r w:rsidR="00D9600A" w:rsidRPr="00A57D9E">
              <w:rPr>
                <w:rFonts w:cs="Arial"/>
              </w:rPr>
              <w:t xml:space="preserve">the </w:t>
            </w:r>
            <w:r w:rsidR="0060642B" w:rsidRPr="00A57D9E">
              <w:rPr>
                <w:rFonts w:cs="Arial"/>
              </w:rPr>
              <w:t>STC</w:t>
            </w:r>
            <w:r w:rsidR="009A542F" w:rsidRPr="00A57D9E">
              <w:rPr>
                <w:rFonts w:cs="Arial"/>
              </w:rPr>
              <w:t xml:space="preserve"> in support of the QBCC’s regulatory </w:t>
            </w:r>
            <w:r w:rsidR="00922E18" w:rsidRPr="00A57D9E">
              <w:rPr>
                <w:rFonts w:cs="Arial"/>
              </w:rPr>
              <w:t xml:space="preserve">responsibilities, except in matters </w:t>
            </w:r>
            <w:r w:rsidR="00676D8F" w:rsidRPr="00A57D9E">
              <w:rPr>
                <w:rFonts w:cs="Arial"/>
              </w:rPr>
              <w:t xml:space="preserve">where the STC </w:t>
            </w:r>
            <w:r w:rsidR="00D9600A" w:rsidRPr="00A57D9E">
              <w:rPr>
                <w:rFonts w:cs="Arial"/>
              </w:rPr>
              <w:t>confer</w:t>
            </w:r>
            <w:r w:rsidR="00676D8F" w:rsidRPr="00A57D9E">
              <w:rPr>
                <w:rFonts w:cs="Arial"/>
              </w:rPr>
              <w:t>s</w:t>
            </w:r>
            <w:r w:rsidR="00D9600A" w:rsidRPr="00A57D9E">
              <w:rPr>
                <w:rFonts w:cs="Arial"/>
              </w:rPr>
              <w:t xml:space="preserve"> on national policy development and implementation for the plumbing and drainage trade under the PD Act</w:t>
            </w:r>
          </w:p>
          <w:p w14:paraId="55BF2B13" w14:textId="2195AF02" w:rsidR="00BF2685" w:rsidRPr="00A57D9E" w:rsidRDefault="002A053C" w:rsidP="00BD69F7">
            <w:pPr>
              <w:pStyle w:val="ListParagraph"/>
              <w:numPr>
                <w:ilvl w:val="0"/>
                <w:numId w:val="4"/>
              </w:numPr>
              <w:ind w:left="170" w:hanging="170"/>
              <w:textAlignment w:val="baseline"/>
              <w:rPr>
                <w:rFonts w:cs="Arial"/>
                <w:szCs w:val="22"/>
              </w:rPr>
            </w:pPr>
            <w:r w:rsidRPr="00A57D9E">
              <w:rPr>
                <w:rFonts w:cs="Arial"/>
                <w:szCs w:val="22"/>
              </w:rPr>
              <w:t>A</w:t>
            </w:r>
            <w:r w:rsidR="00BF2685" w:rsidRPr="00A57D9E">
              <w:rPr>
                <w:rFonts w:cs="Arial"/>
                <w:szCs w:val="22"/>
              </w:rPr>
              <w:t xml:space="preserve">dvising the </w:t>
            </w:r>
            <w:r w:rsidR="00416EBF" w:rsidRPr="00A57D9E">
              <w:rPr>
                <w:rFonts w:cs="Arial"/>
                <w:szCs w:val="22"/>
              </w:rPr>
              <w:t xml:space="preserve">responsible </w:t>
            </w:r>
            <w:r w:rsidR="00F5097E" w:rsidRPr="00A57D9E">
              <w:rPr>
                <w:rFonts w:cs="Arial"/>
                <w:szCs w:val="22"/>
              </w:rPr>
              <w:t>m</w:t>
            </w:r>
            <w:r w:rsidR="00BF2685" w:rsidRPr="00A57D9E">
              <w:rPr>
                <w:rFonts w:cs="Arial"/>
                <w:szCs w:val="22"/>
              </w:rPr>
              <w:t>inister on issues affecting:</w:t>
            </w:r>
          </w:p>
          <w:p w14:paraId="21E45F9B" w14:textId="77777777" w:rsidR="00BF2685" w:rsidRPr="00A57D9E" w:rsidRDefault="00BF2685" w:rsidP="00BD69F7">
            <w:pPr>
              <w:pStyle w:val="ListParagraph"/>
              <w:numPr>
                <w:ilvl w:val="0"/>
                <w:numId w:val="11"/>
              </w:numPr>
              <w:textAlignment w:val="baseline"/>
              <w:rPr>
                <w:rFonts w:cs="Arial"/>
                <w:szCs w:val="22"/>
              </w:rPr>
            </w:pPr>
            <w:r w:rsidRPr="00A57D9E">
              <w:rPr>
                <w:rFonts w:cs="Arial"/>
                <w:szCs w:val="22"/>
              </w:rPr>
              <w:t>the building industry</w:t>
            </w:r>
          </w:p>
          <w:p w14:paraId="51347FC5" w14:textId="77777777" w:rsidR="00BF2685" w:rsidRPr="00A57D9E" w:rsidRDefault="00BF2685" w:rsidP="00BD69F7">
            <w:pPr>
              <w:pStyle w:val="ListParagraph"/>
              <w:numPr>
                <w:ilvl w:val="0"/>
                <w:numId w:val="11"/>
              </w:numPr>
              <w:textAlignment w:val="baseline"/>
              <w:rPr>
                <w:rFonts w:cs="Arial"/>
                <w:szCs w:val="22"/>
              </w:rPr>
            </w:pPr>
            <w:r w:rsidRPr="00A57D9E">
              <w:rPr>
                <w:rFonts w:cs="Arial"/>
                <w:szCs w:val="22"/>
              </w:rPr>
              <w:t>consumers</w:t>
            </w:r>
          </w:p>
          <w:p w14:paraId="093F39D4" w14:textId="0667929B" w:rsidR="00BF2685" w:rsidRPr="00A57D9E" w:rsidRDefault="00BF2685" w:rsidP="00BD69F7">
            <w:pPr>
              <w:pStyle w:val="ListParagraph"/>
              <w:numPr>
                <w:ilvl w:val="0"/>
                <w:numId w:val="11"/>
              </w:numPr>
              <w:textAlignment w:val="baseline"/>
              <w:rPr>
                <w:rFonts w:cs="Arial"/>
                <w:szCs w:val="22"/>
              </w:rPr>
            </w:pPr>
            <w:r w:rsidRPr="00A57D9E">
              <w:rPr>
                <w:rFonts w:cs="Arial"/>
                <w:szCs w:val="22"/>
              </w:rPr>
              <w:t xml:space="preserve">the administration of the QBCC </w:t>
            </w:r>
            <w:r w:rsidR="00080541" w:rsidRPr="00A57D9E">
              <w:rPr>
                <w:rFonts w:cs="Arial"/>
                <w:szCs w:val="22"/>
              </w:rPr>
              <w:t xml:space="preserve">and the </w:t>
            </w:r>
            <w:r w:rsidRPr="00A57D9E">
              <w:rPr>
                <w:rFonts w:cs="Arial"/>
                <w:szCs w:val="22"/>
              </w:rPr>
              <w:t>QBCC Act</w:t>
            </w:r>
          </w:p>
          <w:p w14:paraId="37BB55AB" w14:textId="77394A82" w:rsidR="00264B47" w:rsidRPr="004B7EE7" w:rsidRDefault="00752AF9" w:rsidP="00BD69F7">
            <w:pPr>
              <w:pStyle w:val="ListParagraph"/>
              <w:numPr>
                <w:ilvl w:val="0"/>
                <w:numId w:val="4"/>
              </w:numPr>
              <w:ind w:left="170" w:hanging="170"/>
              <w:textAlignment w:val="baseline"/>
              <w:rPr>
                <w:rFonts w:cs="Arial"/>
                <w:lang w:val="en-GB"/>
              </w:rPr>
            </w:pPr>
            <w:r w:rsidRPr="2CB0BF71">
              <w:rPr>
                <w:rFonts w:cs="Arial"/>
                <w:lang w:val="en-GB"/>
              </w:rPr>
              <w:t>A</w:t>
            </w:r>
            <w:r w:rsidR="00DA5091" w:rsidRPr="2CB0BF71">
              <w:rPr>
                <w:rFonts w:cs="Arial"/>
                <w:lang w:val="en-GB"/>
              </w:rPr>
              <w:t xml:space="preserve">dvising the </w:t>
            </w:r>
            <w:r w:rsidR="005327E4" w:rsidRPr="2CB0BF71">
              <w:rPr>
                <w:rFonts w:cs="Arial"/>
                <w:lang w:val="en-GB"/>
              </w:rPr>
              <w:t xml:space="preserve">responsible </w:t>
            </w:r>
            <w:r w:rsidR="00F5097E" w:rsidRPr="2CB0BF71">
              <w:rPr>
                <w:rFonts w:cs="Arial"/>
                <w:lang w:val="en-GB"/>
              </w:rPr>
              <w:t>m</w:t>
            </w:r>
            <w:r w:rsidR="00DA5091" w:rsidRPr="2CB0BF71">
              <w:rPr>
                <w:rFonts w:cs="Arial"/>
                <w:lang w:val="en-GB"/>
              </w:rPr>
              <w:t>inister about unfair or unconscionable trading practices affecting security of payments to contractors and subcontractors</w:t>
            </w:r>
          </w:p>
          <w:p w14:paraId="32D7BE2C" w14:textId="7D49AD19" w:rsidR="008B1BA7" w:rsidRPr="00A57D9E" w:rsidRDefault="00752AF9" w:rsidP="00BD69F7">
            <w:pPr>
              <w:pStyle w:val="ListParagraph"/>
              <w:numPr>
                <w:ilvl w:val="0"/>
                <w:numId w:val="4"/>
              </w:numPr>
              <w:ind w:left="170" w:hanging="170"/>
              <w:textAlignment w:val="baseline"/>
              <w:rPr>
                <w:rFonts w:cs="Arial"/>
                <w:szCs w:val="22"/>
              </w:rPr>
            </w:pPr>
            <w:r w:rsidRPr="00A57D9E">
              <w:rPr>
                <w:rFonts w:cs="Arial"/>
                <w:szCs w:val="22"/>
              </w:rPr>
              <w:t>C</w:t>
            </w:r>
            <w:r w:rsidR="00DA5091" w:rsidRPr="00A57D9E">
              <w:rPr>
                <w:rFonts w:cs="Arial"/>
                <w:szCs w:val="22"/>
              </w:rPr>
              <w:t>onsulting the building industry and its consumers</w:t>
            </w:r>
            <w:r w:rsidR="00BC0DDC" w:rsidRPr="00A57D9E">
              <w:rPr>
                <w:rFonts w:cs="Arial"/>
                <w:szCs w:val="22"/>
              </w:rPr>
              <w:t>,</w:t>
            </w:r>
            <w:r w:rsidR="00DA5091" w:rsidRPr="00A57D9E">
              <w:rPr>
                <w:rFonts w:cs="Arial"/>
                <w:szCs w:val="22"/>
              </w:rPr>
              <w:t xml:space="preserve"> and advancing their interests</w:t>
            </w:r>
            <w:r w:rsidR="00CE7BC7" w:rsidRPr="00A57D9E">
              <w:rPr>
                <w:rFonts w:cs="Arial"/>
                <w:szCs w:val="22"/>
              </w:rPr>
              <w:t xml:space="preserve"> in</w:t>
            </w:r>
            <w:r w:rsidR="00DA5091" w:rsidRPr="00A57D9E">
              <w:rPr>
                <w:rFonts w:cs="Arial"/>
                <w:szCs w:val="22"/>
              </w:rPr>
              <w:t xml:space="preserve"> </w:t>
            </w:r>
            <w:r w:rsidR="00BC0DDC" w:rsidRPr="00A57D9E">
              <w:rPr>
                <w:rFonts w:cs="Arial"/>
                <w:szCs w:val="22"/>
              </w:rPr>
              <w:t>alignment</w:t>
            </w:r>
            <w:r w:rsidR="00DA5091" w:rsidRPr="00A57D9E">
              <w:rPr>
                <w:rFonts w:cs="Arial"/>
                <w:szCs w:val="22"/>
              </w:rPr>
              <w:t xml:space="preserve"> with the QBCC Act</w:t>
            </w:r>
          </w:p>
        </w:tc>
      </w:tr>
      <w:tr w:rsidR="008B1BA7" w:rsidRPr="001E41ED" w14:paraId="52F86AB8" w14:textId="77777777">
        <w:trPr>
          <w:jc w:val="center"/>
        </w:trPr>
        <w:tc>
          <w:tcPr>
            <w:tcW w:w="2037" w:type="dxa"/>
            <w:gridSpan w:val="2"/>
            <w:tcBorders>
              <w:top w:val="single" w:sz="4" w:space="0" w:color="auto"/>
              <w:left w:val="single" w:sz="4" w:space="0" w:color="auto"/>
              <w:bottom w:val="single" w:sz="4" w:space="0" w:color="auto"/>
              <w:right w:val="single" w:sz="4" w:space="0" w:color="auto"/>
            </w:tcBorders>
            <w:hideMark/>
          </w:tcPr>
          <w:p w14:paraId="48ACAB53" w14:textId="77777777" w:rsidR="008B1BA7" w:rsidRPr="004B26BC" w:rsidRDefault="008B1BA7">
            <w:pPr>
              <w:contextualSpacing/>
              <w:rPr>
                <w:rFonts w:cs="Arial"/>
                <w:szCs w:val="22"/>
              </w:rPr>
            </w:pPr>
            <w:r w:rsidRPr="004B26BC">
              <w:rPr>
                <w:rFonts w:cs="Arial"/>
                <w:szCs w:val="22"/>
              </w:rPr>
              <w:t>Achievements</w:t>
            </w:r>
          </w:p>
        </w:tc>
        <w:tc>
          <w:tcPr>
            <w:tcW w:w="8169" w:type="dxa"/>
            <w:gridSpan w:val="5"/>
            <w:tcBorders>
              <w:top w:val="single" w:sz="4" w:space="0" w:color="auto"/>
              <w:left w:val="single" w:sz="4" w:space="0" w:color="auto"/>
              <w:bottom w:val="single" w:sz="4" w:space="0" w:color="auto"/>
              <w:right w:val="single" w:sz="4" w:space="0" w:color="auto"/>
            </w:tcBorders>
            <w:hideMark/>
          </w:tcPr>
          <w:p w14:paraId="2335688B" w14:textId="77777777" w:rsidR="008B1BA7" w:rsidRPr="004B26BC" w:rsidRDefault="008B1BA7">
            <w:pPr>
              <w:autoSpaceDE w:val="0"/>
              <w:autoSpaceDN w:val="0"/>
              <w:adjustRightInd w:val="0"/>
              <w:contextualSpacing/>
              <w:rPr>
                <w:rFonts w:cs="Arial"/>
                <w:szCs w:val="22"/>
              </w:rPr>
            </w:pPr>
            <w:r w:rsidRPr="004B26BC">
              <w:rPr>
                <w:rFonts w:cs="Arial"/>
                <w:szCs w:val="22"/>
              </w:rPr>
              <w:t>Governing body of the Queensland Building and Construction Commission</w:t>
            </w:r>
          </w:p>
        </w:tc>
      </w:tr>
      <w:tr w:rsidR="008B1BA7" w:rsidRPr="001E41ED" w14:paraId="23282BDA" w14:textId="77777777">
        <w:trPr>
          <w:jc w:val="center"/>
        </w:trPr>
        <w:tc>
          <w:tcPr>
            <w:tcW w:w="2037" w:type="dxa"/>
            <w:gridSpan w:val="2"/>
            <w:tcBorders>
              <w:top w:val="single" w:sz="4" w:space="0" w:color="auto"/>
              <w:left w:val="single" w:sz="4" w:space="0" w:color="auto"/>
              <w:bottom w:val="single" w:sz="4" w:space="0" w:color="auto"/>
              <w:right w:val="single" w:sz="4" w:space="0" w:color="auto"/>
            </w:tcBorders>
            <w:hideMark/>
          </w:tcPr>
          <w:p w14:paraId="1F2306F6" w14:textId="77777777" w:rsidR="008B1BA7" w:rsidRPr="004B26BC" w:rsidRDefault="008B1BA7">
            <w:pPr>
              <w:contextualSpacing/>
              <w:rPr>
                <w:rFonts w:cs="Arial"/>
                <w:szCs w:val="22"/>
              </w:rPr>
            </w:pPr>
            <w:r w:rsidRPr="004B26BC">
              <w:rPr>
                <w:rFonts w:cs="Arial"/>
                <w:szCs w:val="22"/>
              </w:rPr>
              <w:t>Financial reporting</w:t>
            </w:r>
          </w:p>
        </w:tc>
        <w:tc>
          <w:tcPr>
            <w:tcW w:w="8169" w:type="dxa"/>
            <w:gridSpan w:val="5"/>
            <w:tcBorders>
              <w:top w:val="single" w:sz="4" w:space="0" w:color="auto"/>
              <w:left w:val="single" w:sz="4" w:space="0" w:color="auto"/>
              <w:bottom w:val="single" w:sz="4" w:space="0" w:color="auto"/>
              <w:right w:val="single" w:sz="4" w:space="0" w:color="auto"/>
            </w:tcBorders>
            <w:hideMark/>
          </w:tcPr>
          <w:p w14:paraId="1DCED759" w14:textId="4FB88BAD" w:rsidR="008B1BA7" w:rsidRPr="004B26BC" w:rsidRDefault="008B1BA7">
            <w:pPr>
              <w:contextualSpacing/>
              <w:rPr>
                <w:rFonts w:cs="Arial"/>
                <w:szCs w:val="22"/>
              </w:rPr>
            </w:pPr>
            <w:r w:rsidRPr="004B26BC">
              <w:rPr>
                <w:rFonts w:cs="Arial"/>
                <w:szCs w:val="22"/>
              </w:rPr>
              <w:t>Transactions of the QBCC and the QBC Employing Office are accounted for in the Financial Statements</w:t>
            </w:r>
          </w:p>
        </w:tc>
      </w:tr>
      <w:tr w:rsidR="008B1BA7" w:rsidRPr="001E41ED" w14:paraId="12D22820" w14:textId="77777777" w:rsidTr="0032403D">
        <w:trPr>
          <w:jc w:val="center"/>
        </w:trPr>
        <w:tc>
          <w:tcPr>
            <w:tcW w:w="1020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271EB7" w14:textId="77777777" w:rsidR="008B1BA7" w:rsidRPr="004B26BC" w:rsidRDefault="008B1BA7">
            <w:pPr>
              <w:contextualSpacing/>
              <w:rPr>
                <w:rFonts w:cs="Arial"/>
                <w:szCs w:val="22"/>
              </w:rPr>
            </w:pPr>
            <w:r w:rsidRPr="004B26BC">
              <w:rPr>
                <w:rFonts w:cs="Arial"/>
                <w:b/>
                <w:szCs w:val="22"/>
              </w:rPr>
              <w:t>Remuneration</w:t>
            </w:r>
            <w:r w:rsidRPr="004B26BC">
              <w:rPr>
                <w:rFonts w:cs="Arial"/>
                <w:szCs w:val="22"/>
              </w:rPr>
              <w:t xml:space="preserve"> </w:t>
            </w:r>
          </w:p>
        </w:tc>
      </w:tr>
      <w:tr w:rsidR="008B1BA7" w:rsidRPr="001E41ED" w14:paraId="785A6318" w14:textId="77777777" w:rsidTr="002E473E">
        <w:trPr>
          <w:jc w:val="center"/>
        </w:trPr>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5A1EB5" w14:textId="77777777" w:rsidR="008B1BA7" w:rsidRPr="004B26BC" w:rsidRDefault="008B1BA7" w:rsidP="002E473E">
            <w:pPr>
              <w:contextualSpacing/>
              <w:rPr>
                <w:rFonts w:cs="Arial"/>
                <w:szCs w:val="22"/>
              </w:rPr>
            </w:pPr>
            <w:r w:rsidRPr="004B26BC">
              <w:rPr>
                <w:rFonts w:cs="Arial"/>
                <w:szCs w:val="22"/>
              </w:rPr>
              <w:t xml:space="preserve">Position </w:t>
            </w:r>
          </w:p>
          <w:p w14:paraId="5358B961" w14:textId="77777777" w:rsidR="008B1BA7" w:rsidRPr="004B26BC" w:rsidRDefault="008B1BA7" w:rsidP="002E473E">
            <w:pPr>
              <w:contextualSpacing/>
              <w:rPr>
                <w:rFonts w:cs="Arial"/>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CC9DDA" w14:textId="77777777" w:rsidR="008B1BA7" w:rsidRPr="004B26BC" w:rsidRDefault="008B1BA7" w:rsidP="002E473E">
            <w:pPr>
              <w:contextualSpacing/>
              <w:rPr>
                <w:rFonts w:cs="Arial"/>
                <w:szCs w:val="22"/>
              </w:rPr>
            </w:pPr>
            <w:r w:rsidRPr="004B26BC">
              <w:rPr>
                <w:rFonts w:cs="Arial"/>
                <w:szCs w:val="22"/>
              </w:rPr>
              <w:t>Name</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D05EFA" w14:textId="2D352997" w:rsidR="008B1BA7" w:rsidRPr="004B26BC" w:rsidRDefault="008B1BA7" w:rsidP="002E473E">
            <w:pPr>
              <w:contextualSpacing/>
              <w:rPr>
                <w:rFonts w:cs="Arial"/>
                <w:szCs w:val="22"/>
              </w:rPr>
            </w:pPr>
            <w:r w:rsidRPr="004B26BC">
              <w:rPr>
                <w:rFonts w:cs="Arial"/>
                <w:szCs w:val="22"/>
              </w:rPr>
              <w:t>Meeting</w:t>
            </w:r>
            <w:r w:rsidR="0017724C">
              <w:rPr>
                <w:rFonts w:cs="Arial"/>
                <w:szCs w:val="22"/>
              </w:rPr>
              <w:t xml:space="preserve"> </w:t>
            </w:r>
            <w:r w:rsidRPr="004B26BC">
              <w:rPr>
                <w:rFonts w:cs="Arial"/>
                <w:szCs w:val="22"/>
              </w:rPr>
              <w:t xml:space="preserve">attendance </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D89229" w14:textId="5339F1D4" w:rsidR="008B1BA7" w:rsidRPr="004B26BC" w:rsidRDefault="008B1BA7" w:rsidP="002E473E">
            <w:pPr>
              <w:contextualSpacing/>
              <w:rPr>
                <w:rFonts w:cs="Arial"/>
                <w:szCs w:val="22"/>
              </w:rPr>
            </w:pPr>
            <w:r w:rsidRPr="004B26BC">
              <w:rPr>
                <w:rFonts w:cs="Arial"/>
                <w:szCs w:val="22"/>
              </w:rPr>
              <w:t xml:space="preserve">Approved annual, sessional or daily fee </w:t>
            </w:r>
            <w:r w:rsidR="0045137E">
              <w:rPr>
                <w:rFonts w:cs="Arial"/>
                <w:szCs w:val="22"/>
              </w:rPr>
              <w:t>(exclude superannuation)</w:t>
            </w:r>
            <w:r w:rsidRPr="004B26BC">
              <w:rPr>
                <w:rFonts w:cs="Arial"/>
                <w:szCs w:val="22"/>
              </w:rPr>
              <w:t xml:space="preserve"> </w:t>
            </w:r>
            <w:r w:rsidR="0001074F">
              <w:rPr>
                <w:rFonts w:cs="Arial"/>
                <w:szCs w:val="22"/>
              </w:rPr>
              <w:t>($)</w:t>
            </w:r>
          </w:p>
        </w:tc>
        <w:tc>
          <w:tcPr>
            <w:tcW w:w="16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6BF3C1" w14:textId="3C3E57C8" w:rsidR="008B1BA7" w:rsidRPr="004B26BC" w:rsidRDefault="008B1BA7" w:rsidP="002E473E">
            <w:pPr>
              <w:contextualSpacing/>
              <w:rPr>
                <w:rFonts w:cs="Arial"/>
                <w:szCs w:val="22"/>
              </w:rPr>
            </w:pPr>
            <w:r w:rsidRPr="004B26BC">
              <w:rPr>
                <w:rFonts w:cs="Arial"/>
                <w:szCs w:val="22"/>
              </w:rPr>
              <w:t>Approved sub-committee fees if applicable</w:t>
            </w:r>
          </w:p>
        </w:tc>
        <w:tc>
          <w:tcPr>
            <w:tcW w:w="1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730A2F" w14:textId="7E666D53" w:rsidR="008B1BA7" w:rsidRPr="004B26BC" w:rsidRDefault="008B1BA7" w:rsidP="002E473E">
            <w:pPr>
              <w:contextualSpacing/>
              <w:rPr>
                <w:rFonts w:cs="Arial"/>
                <w:szCs w:val="22"/>
              </w:rPr>
            </w:pPr>
            <w:r w:rsidRPr="004B26BC">
              <w:rPr>
                <w:rFonts w:cs="Arial"/>
                <w:szCs w:val="22"/>
              </w:rPr>
              <w:t>Actual fees received</w:t>
            </w:r>
            <w:r w:rsidR="0005107C" w:rsidRPr="004B26BC">
              <w:rPr>
                <w:rFonts w:cs="Arial"/>
                <w:szCs w:val="22"/>
              </w:rPr>
              <w:t xml:space="preserve"> </w:t>
            </w:r>
            <w:r w:rsidR="00F80F90" w:rsidRPr="00F80F90">
              <w:rPr>
                <w:rFonts w:cs="Arial"/>
                <w:szCs w:val="22"/>
              </w:rPr>
              <w:t>(</w:t>
            </w:r>
            <w:r w:rsidR="00F80F90">
              <w:rPr>
                <w:rFonts w:cs="Arial"/>
                <w:szCs w:val="22"/>
              </w:rPr>
              <w:t>in</w:t>
            </w:r>
            <w:r w:rsidR="00F80F90" w:rsidRPr="00F80F90">
              <w:rPr>
                <w:rFonts w:cs="Arial"/>
                <w:szCs w:val="22"/>
              </w:rPr>
              <w:t>clude superannuation)</w:t>
            </w:r>
            <w:r w:rsidR="0001074F">
              <w:rPr>
                <w:rFonts w:cs="Arial"/>
                <w:szCs w:val="22"/>
              </w:rPr>
              <w:t xml:space="preserve"> ($)</w:t>
            </w:r>
            <w:r w:rsidR="0005107C" w:rsidRPr="004B26BC">
              <w:rPr>
                <w:rFonts w:cs="Arial"/>
                <w:szCs w:val="22"/>
              </w:rPr>
              <w:t xml:space="preserve"> </w:t>
            </w:r>
            <w:r w:rsidRPr="004B26BC">
              <w:rPr>
                <w:rFonts w:cs="Arial"/>
                <w:szCs w:val="22"/>
              </w:rPr>
              <w:t xml:space="preserve"> </w:t>
            </w:r>
          </w:p>
        </w:tc>
      </w:tr>
      <w:tr w:rsidR="008B1BA7" w:rsidRPr="001E41ED" w14:paraId="2F420D96" w14:textId="77777777" w:rsidTr="00B361F3">
        <w:trPr>
          <w:jc w:val="center"/>
        </w:trPr>
        <w:tc>
          <w:tcPr>
            <w:tcW w:w="1271" w:type="dxa"/>
            <w:tcBorders>
              <w:top w:val="single" w:sz="4" w:space="0" w:color="auto"/>
              <w:left w:val="single" w:sz="4" w:space="0" w:color="auto"/>
              <w:bottom w:val="single" w:sz="4" w:space="0" w:color="auto"/>
              <w:right w:val="single" w:sz="4" w:space="0" w:color="auto"/>
            </w:tcBorders>
            <w:hideMark/>
          </w:tcPr>
          <w:p w14:paraId="3E988E7F" w14:textId="1C314648" w:rsidR="008B1BA7" w:rsidRPr="004B26BC" w:rsidRDefault="00651F7F">
            <w:pPr>
              <w:contextualSpacing/>
              <w:rPr>
                <w:rFonts w:cs="Arial"/>
                <w:szCs w:val="22"/>
              </w:rPr>
            </w:pPr>
            <w:r w:rsidRPr="004B26BC">
              <w:rPr>
                <w:rFonts w:cs="Arial"/>
                <w:szCs w:val="22"/>
              </w:rPr>
              <w:t xml:space="preserve">Former </w:t>
            </w:r>
            <w:r w:rsidR="008B1BA7" w:rsidRPr="004B26BC">
              <w:rPr>
                <w:rFonts w:cs="Arial"/>
                <w:szCs w:val="22"/>
              </w:rPr>
              <w:t>Chair</w:t>
            </w:r>
          </w:p>
        </w:tc>
        <w:tc>
          <w:tcPr>
            <w:tcW w:w="1701" w:type="dxa"/>
            <w:gridSpan w:val="2"/>
            <w:tcBorders>
              <w:top w:val="single" w:sz="4" w:space="0" w:color="auto"/>
              <w:left w:val="single" w:sz="4" w:space="0" w:color="auto"/>
              <w:bottom w:val="single" w:sz="4" w:space="0" w:color="auto"/>
              <w:right w:val="single" w:sz="4" w:space="0" w:color="auto"/>
            </w:tcBorders>
            <w:hideMark/>
          </w:tcPr>
          <w:p w14:paraId="40DCEF3C" w14:textId="77777777" w:rsidR="00C21719" w:rsidRDefault="008B1BA7">
            <w:pPr>
              <w:contextualSpacing/>
              <w:rPr>
                <w:rFonts w:cs="Arial"/>
                <w:szCs w:val="22"/>
              </w:rPr>
            </w:pPr>
            <w:r w:rsidRPr="004B26BC">
              <w:rPr>
                <w:rFonts w:cs="Arial"/>
                <w:szCs w:val="22"/>
              </w:rPr>
              <w:t>Michelle James</w:t>
            </w:r>
          </w:p>
          <w:p w14:paraId="7D9F84DC" w14:textId="32E746AD" w:rsidR="008B1BA7" w:rsidRPr="004B26BC" w:rsidRDefault="00E357A5">
            <w:pPr>
              <w:contextualSpacing/>
              <w:rPr>
                <w:rFonts w:cs="Arial"/>
                <w:szCs w:val="22"/>
                <w:highlight w:val="yellow"/>
              </w:rPr>
            </w:pPr>
            <w:r w:rsidRPr="00A57D9E">
              <w:rPr>
                <w:rFonts w:cs="Arial"/>
                <w:i/>
                <w:szCs w:val="20"/>
              </w:rPr>
              <w:t xml:space="preserve">(1 July 2024 </w:t>
            </w:r>
            <w:r w:rsidR="008E71B1" w:rsidRPr="00A57D9E">
              <w:rPr>
                <w:rFonts w:cs="Arial"/>
                <w:i/>
                <w:szCs w:val="20"/>
              </w:rPr>
              <w:t>–</w:t>
            </w:r>
            <w:r w:rsidRPr="00A57D9E">
              <w:rPr>
                <w:rFonts w:cs="Arial"/>
                <w:i/>
                <w:szCs w:val="20"/>
              </w:rPr>
              <w:t xml:space="preserve"> 26 February 2025)</w:t>
            </w:r>
          </w:p>
        </w:tc>
        <w:tc>
          <w:tcPr>
            <w:tcW w:w="1985" w:type="dxa"/>
            <w:tcBorders>
              <w:top w:val="single" w:sz="4" w:space="0" w:color="auto"/>
              <w:left w:val="single" w:sz="4" w:space="0" w:color="auto"/>
              <w:bottom w:val="single" w:sz="4" w:space="0" w:color="auto"/>
              <w:right w:val="single" w:sz="4" w:space="0" w:color="auto"/>
            </w:tcBorders>
          </w:tcPr>
          <w:p w14:paraId="6BB8ED3F" w14:textId="3DF478E6" w:rsidR="008B1BA7" w:rsidRPr="004B26BC" w:rsidRDefault="008B1BA7">
            <w:pPr>
              <w:contextualSpacing/>
              <w:rPr>
                <w:rFonts w:cs="Arial"/>
                <w:szCs w:val="22"/>
              </w:rPr>
            </w:pPr>
            <w:r w:rsidRPr="004B26BC">
              <w:rPr>
                <w:rFonts w:cs="Arial"/>
                <w:szCs w:val="22"/>
              </w:rPr>
              <w:t xml:space="preserve">Board: </w:t>
            </w:r>
            <w:r w:rsidR="00860FC5">
              <w:rPr>
                <w:rFonts w:cs="Arial"/>
                <w:szCs w:val="22"/>
              </w:rPr>
              <w:t>6</w:t>
            </w:r>
          </w:p>
          <w:p w14:paraId="325F862D" w14:textId="55A6020C" w:rsidR="008B1BA7" w:rsidRPr="004B26BC" w:rsidRDefault="008B1BA7">
            <w:pPr>
              <w:contextualSpacing/>
              <w:rPr>
                <w:rFonts w:cs="Arial"/>
                <w:szCs w:val="22"/>
              </w:rPr>
            </w:pPr>
            <w:r w:rsidRPr="004B26BC">
              <w:rPr>
                <w:rFonts w:cs="Arial"/>
                <w:szCs w:val="22"/>
              </w:rPr>
              <w:t xml:space="preserve">FAR: </w:t>
            </w:r>
            <w:r w:rsidR="000867EC" w:rsidRPr="004B26BC">
              <w:rPr>
                <w:rFonts w:cs="Arial"/>
                <w:szCs w:val="22"/>
              </w:rPr>
              <w:t>3</w:t>
            </w:r>
          </w:p>
          <w:p w14:paraId="0280A26E" w14:textId="356CEC26" w:rsidR="009C542B" w:rsidRPr="004B26BC" w:rsidRDefault="009C542B">
            <w:pPr>
              <w:contextualSpacing/>
              <w:rPr>
                <w:rFonts w:cs="Arial"/>
                <w:szCs w:val="22"/>
              </w:rPr>
            </w:pPr>
            <w:r w:rsidRPr="004B26BC">
              <w:rPr>
                <w:rFonts w:cs="Arial"/>
                <w:szCs w:val="22"/>
              </w:rPr>
              <w:t xml:space="preserve">PCP: </w:t>
            </w:r>
            <w:r w:rsidR="00850AB0" w:rsidRPr="004B26BC">
              <w:rPr>
                <w:rFonts w:cs="Arial"/>
                <w:szCs w:val="22"/>
              </w:rPr>
              <w:t>2</w:t>
            </w:r>
            <w:r w:rsidRPr="004B26BC">
              <w:rPr>
                <w:rFonts w:cs="Arial"/>
                <w:szCs w:val="22"/>
              </w:rPr>
              <w:t xml:space="preserve"> </w:t>
            </w:r>
          </w:p>
          <w:p w14:paraId="15AB3EEC" w14:textId="5CA96A3D" w:rsidR="008B1BA7" w:rsidRPr="004B26BC" w:rsidRDefault="008B1BA7">
            <w:pPr>
              <w:contextualSpacing/>
              <w:rPr>
                <w:rFonts w:cs="Arial"/>
                <w:szCs w:val="22"/>
              </w:rPr>
            </w:pPr>
            <w:r w:rsidRPr="004B26BC">
              <w:rPr>
                <w:rFonts w:cs="Arial"/>
                <w:szCs w:val="22"/>
              </w:rPr>
              <w:t xml:space="preserve">INS: </w:t>
            </w:r>
            <w:r w:rsidR="00850AB0" w:rsidRPr="004B26BC">
              <w:rPr>
                <w:rFonts w:cs="Arial"/>
                <w:szCs w:val="22"/>
              </w:rPr>
              <w:t>3</w:t>
            </w:r>
          </w:p>
          <w:p w14:paraId="5141F92B" w14:textId="7D169567" w:rsidR="008B1BA7" w:rsidRPr="004B26BC" w:rsidRDefault="00D2058D">
            <w:pPr>
              <w:contextualSpacing/>
              <w:rPr>
                <w:rFonts w:cs="Arial"/>
                <w:szCs w:val="22"/>
              </w:rPr>
            </w:pPr>
            <w:r w:rsidRPr="004B26BC">
              <w:rPr>
                <w:rFonts w:cs="Arial"/>
                <w:szCs w:val="22"/>
              </w:rPr>
              <w:t xml:space="preserve">DAC: </w:t>
            </w:r>
            <w:r w:rsidR="00CC26F5" w:rsidRPr="004B26BC">
              <w:rPr>
                <w:rFonts w:cs="Arial"/>
                <w:szCs w:val="22"/>
              </w:rPr>
              <w:t>3</w:t>
            </w:r>
          </w:p>
        </w:tc>
        <w:tc>
          <w:tcPr>
            <w:tcW w:w="1902" w:type="dxa"/>
            <w:tcBorders>
              <w:top w:val="single" w:sz="4" w:space="0" w:color="auto"/>
              <w:left w:val="single" w:sz="4" w:space="0" w:color="auto"/>
              <w:bottom w:val="single" w:sz="4" w:space="0" w:color="auto"/>
              <w:right w:val="single" w:sz="4" w:space="0" w:color="auto"/>
            </w:tcBorders>
            <w:hideMark/>
          </w:tcPr>
          <w:p w14:paraId="6B00B6DE" w14:textId="73383DCD" w:rsidR="008B1BA7" w:rsidRPr="004B26BC" w:rsidRDefault="0084576C">
            <w:pPr>
              <w:contextualSpacing/>
              <w:rPr>
                <w:rFonts w:cs="Arial"/>
                <w:szCs w:val="22"/>
              </w:rPr>
            </w:pPr>
            <w:r w:rsidRPr="0084576C">
              <w:rPr>
                <w:rFonts w:cs="Arial"/>
                <w:szCs w:val="22"/>
              </w:rPr>
              <w:t>50,000</w:t>
            </w:r>
          </w:p>
          <w:p w14:paraId="15745118" w14:textId="77777777" w:rsidR="008B1BA7" w:rsidRPr="004B26BC" w:rsidRDefault="008B1BA7">
            <w:pPr>
              <w:contextualSpacing/>
              <w:rPr>
                <w:rFonts w:cs="Arial"/>
                <w:szCs w:val="22"/>
              </w:rPr>
            </w:pPr>
          </w:p>
        </w:tc>
        <w:tc>
          <w:tcPr>
            <w:tcW w:w="1641" w:type="dxa"/>
            <w:tcBorders>
              <w:top w:val="single" w:sz="4" w:space="0" w:color="auto"/>
              <w:left w:val="single" w:sz="4" w:space="0" w:color="auto"/>
              <w:bottom w:val="single" w:sz="4" w:space="0" w:color="auto"/>
              <w:right w:val="single" w:sz="4" w:space="0" w:color="auto"/>
            </w:tcBorders>
            <w:hideMark/>
          </w:tcPr>
          <w:p w14:paraId="2A57D5AB" w14:textId="77777777" w:rsidR="008B1BA7" w:rsidRPr="004B26BC" w:rsidRDefault="008B1BA7">
            <w:pPr>
              <w:contextualSpacing/>
              <w:rPr>
                <w:rFonts w:cs="Arial"/>
                <w:szCs w:val="22"/>
              </w:rPr>
            </w:pPr>
            <w:r w:rsidRPr="004B26BC">
              <w:rPr>
                <w:rFonts w:cs="Arial"/>
                <w:szCs w:val="22"/>
              </w:rPr>
              <w:t>N/A</w:t>
            </w:r>
          </w:p>
        </w:tc>
        <w:tc>
          <w:tcPr>
            <w:tcW w:w="1706" w:type="dxa"/>
            <w:tcBorders>
              <w:top w:val="single" w:sz="4" w:space="0" w:color="auto"/>
              <w:left w:val="single" w:sz="4" w:space="0" w:color="auto"/>
              <w:bottom w:val="single" w:sz="4" w:space="0" w:color="auto"/>
              <w:right w:val="single" w:sz="4" w:space="0" w:color="auto"/>
            </w:tcBorders>
            <w:hideMark/>
          </w:tcPr>
          <w:p w14:paraId="06ACD3B2" w14:textId="0D939EBA" w:rsidR="008B1BA7" w:rsidRPr="00442534" w:rsidRDefault="63B6F242">
            <w:pPr>
              <w:contextualSpacing/>
              <w:rPr>
                <w:rFonts w:cs="Arial"/>
              </w:rPr>
            </w:pPr>
            <w:r w:rsidRPr="00442534">
              <w:rPr>
                <w:rFonts w:cs="Arial"/>
              </w:rPr>
              <w:t>38,000</w:t>
            </w:r>
          </w:p>
        </w:tc>
      </w:tr>
      <w:tr w:rsidR="00E76AD3" w:rsidRPr="001E41ED" w14:paraId="01132C77" w14:textId="77777777" w:rsidTr="00010D66">
        <w:trPr>
          <w:jc w:val="center"/>
        </w:trPr>
        <w:tc>
          <w:tcPr>
            <w:tcW w:w="1271" w:type="dxa"/>
            <w:tcBorders>
              <w:top w:val="single" w:sz="4" w:space="0" w:color="auto"/>
              <w:left w:val="single" w:sz="4" w:space="0" w:color="auto"/>
              <w:bottom w:val="single" w:sz="4" w:space="0" w:color="auto"/>
              <w:right w:val="single" w:sz="4" w:space="0" w:color="auto"/>
            </w:tcBorders>
          </w:tcPr>
          <w:p w14:paraId="6FC5B262" w14:textId="300BB638" w:rsidR="00E76AD3" w:rsidRPr="004B26BC" w:rsidRDefault="00E76AD3" w:rsidP="00E76AD3">
            <w:pPr>
              <w:contextualSpacing/>
              <w:rPr>
                <w:rFonts w:cs="Arial"/>
                <w:szCs w:val="22"/>
              </w:rPr>
            </w:pPr>
            <w:r w:rsidRPr="004B26BC">
              <w:rPr>
                <w:rFonts w:cs="Arial"/>
                <w:szCs w:val="22"/>
              </w:rPr>
              <w:t>Chair</w:t>
            </w:r>
          </w:p>
        </w:tc>
        <w:tc>
          <w:tcPr>
            <w:tcW w:w="1701" w:type="dxa"/>
            <w:gridSpan w:val="2"/>
            <w:tcBorders>
              <w:top w:val="single" w:sz="4" w:space="0" w:color="auto"/>
              <w:left w:val="single" w:sz="4" w:space="0" w:color="auto"/>
              <w:bottom w:val="single" w:sz="4" w:space="0" w:color="auto"/>
              <w:right w:val="single" w:sz="4" w:space="0" w:color="auto"/>
            </w:tcBorders>
          </w:tcPr>
          <w:p w14:paraId="0E595982" w14:textId="1C135860" w:rsidR="00E76AD3" w:rsidRPr="004B26BC" w:rsidRDefault="00E76AD3" w:rsidP="00E76AD3">
            <w:pPr>
              <w:contextualSpacing/>
              <w:rPr>
                <w:rFonts w:cs="Arial"/>
                <w:szCs w:val="22"/>
              </w:rPr>
            </w:pPr>
            <w:r w:rsidRPr="004B26BC">
              <w:rPr>
                <w:rFonts w:cs="Arial"/>
                <w:szCs w:val="22"/>
              </w:rPr>
              <w:t>Greg Chemello</w:t>
            </w:r>
          </w:p>
        </w:tc>
        <w:tc>
          <w:tcPr>
            <w:tcW w:w="1985" w:type="dxa"/>
            <w:tcBorders>
              <w:top w:val="single" w:sz="4" w:space="0" w:color="auto"/>
              <w:left w:val="single" w:sz="4" w:space="0" w:color="auto"/>
              <w:bottom w:val="single" w:sz="4" w:space="0" w:color="auto"/>
              <w:right w:val="single" w:sz="4" w:space="0" w:color="auto"/>
            </w:tcBorders>
          </w:tcPr>
          <w:p w14:paraId="1A7723B6" w14:textId="37040EB4" w:rsidR="00E76AD3" w:rsidRPr="004B26BC" w:rsidRDefault="00E76AD3" w:rsidP="00E76AD3">
            <w:pPr>
              <w:contextualSpacing/>
              <w:rPr>
                <w:rFonts w:cs="Arial"/>
                <w:szCs w:val="22"/>
              </w:rPr>
            </w:pPr>
            <w:r w:rsidRPr="004B26BC">
              <w:rPr>
                <w:rFonts w:cs="Arial"/>
                <w:szCs w:val="22"/>
              </w:rPr>
              <w:t xml:space="preserve">Board: </w:t>
            </w:r>
            <w:r w:rsidR="0093795C" w:rsidRPr="004B26BC">
              <w:rPr>
                <w:rFonts w:cs="Arial"/>
                <w:szCs w:val="22"/>
              </w:rPr>
              <w:t>3</w:t>
            </w:r>
          </w:p>
          <w:p w14:paraId="67A1CB0A" w14:textId="08BAE3E7" w:rsidR="00E76AD3" w:rsidRPr="004B26BC" w:rsidRDefault="00E76AD3" w:rsidP="00E76AD3">
            <w:pPr>
              <w:contextualSpacing/>
              <w:rPr>
                <w:rFonts w:cs="Arial"/>
                <w:szCs w:val="22"/>
              </w:rPr>
            </w:pPr>
            <w:r w:rsidRPr="004B26BC">
              <w:rPr>
                <w:rFonts w:cs="Arial"/>
                <w:szCs w:val="22"/>
              </w:rPr>
              <w:t xml:space="preserve">FAR: </w:t>
            </w:r>
            <w:r w:rsidR="00822D94" w:rsidRPr="00233E07">
              <w:rPr>
                <w:rFonts w:cs="Arial"/>
                <w:szCs w:val="22"/>
              </w:rPr>
              <w:t>0</w:t>
            </w:r>
          </w:p>
          <w:p w14:paraId="44F73B3D" w14:textId="66CEE858" w:rsidR="00E76AD3" w:rsidRPr="004B26BC" w:rsidRDefault="00E76AD3" w:rsidP="00E76AD3">
            <w:pPr>
              <w:contextualSpacing/>
              <w:rPr>
                <w:rFonts w:cs="Arial"/>
                <w:szCs w:val="22"/>
              </w:rPr>
            </w:pPr>
            <w:r w:rsidRPr="004B26BC">
              <w:rPr>
                <w:rFonts w:cs="Arial"/>
                <w:szCs w:val="22"/>
              </w:rPr>
              <w:t xml:space="preserve">PCP: </w:t>
            </w:r>
            <w:r w:rsidR="00860FC5">
              <w:rPr>
                <w:rFonts w:cs="Arial"/>
                <w:szCs w:val="22"/>
              </w:rPr>
              <w:t>1</w:t>
            </w:r>
            <w:r w:rsidRPr="004B26BC">
              <w:rPr>
                <w:rFonts w:cs="Arial"/>
                <w:szCs w:val="22"/>
              </w:rPr>
              <w:t xml:space="preserve"> </w:t>
            </w:r>
          </w:p>
          <w:p w14:paraId="14CB861A" w14:textId="6060F7F6" w:rsidR="00E76AD3" w:rsidRPr="004B26BC" w:rsidRDefault="00E76AD3" w:rsidP="00E76AD3">
            <w:pPr>
              <w:contextualSpacing/>
              <w:rPr>
                <w:rFonts w:cs="Arial"/>
                <w:szCs w:val="22"/>
              </w:rPr>
            </w:pPr>
            <w:r w:rsidRPr="004B26BC">
              <w:rPr>
                <w:rFonts w:cs="Arial"/>
                <w:szCs w:val="22"/>
              </w:rPr>
              <w:t xml:space="preserve">INS: </w:t>
            </w:r>
            <w:r w:rsidR="00B71D96" w:rsidRPr="004B26BC">
              <w:rPr>
                <w:rFonts w:cs="Arial"/>
                <w:szCs w:val="22"/>
              </w:rPr>
              <w:t>0</w:t>
            </w:r>
          </w:p>
        </w:tc>
        <w:tc>
          <w:tcPr>
            <w:tcW w:w="1902" w:type="dxa"/>
            <w:tcBorders>
              <w:top w:val="single" w:sz="4" w:space="0" w:color="auto"/>
              <w:left w:val="single" w:sz="4" w:space="0" w:color="auto"/>
              <w:bottom w:val="single" w:sz="4" w:space="0" w:color="auto"/>
              <w:right w:val="single" w:sz="4" w:space="0" w:color="auto"/>
            </w:tcBorders>
          </w:tcPr>
          <w:p w14:paraId="2887B034" w14:textId="7B56B3C1" w:rsidR="002517DD" w:rsidRPr="004B26BC" w:rsidRDefault="0084576C" w:rsidP="002517DD">
            <w:pPr>
              <w:contextualSpacing/>
              <w:rPr>
                <w:rFonts w:cs="Arial"/>
                <w:szCs w:val="22"/>
              </w:rPr>
            </w:pPr>
            <w:r w:rsidRPr="0084576C">
              <w:rPr>
                <w:rFonts w:cs="Arial"/>
                <w:szCs w:val="22"/>
              </w:rPr>
              <w:t>50,000</w:t>
            </w:r>
          </w:p>
          <w:p w14:paraId="5EE45DEC" w14:textId="77777777" w:rsidR="00E76AD3" w:rsidRPr="004B26BC" w:rsidRDefault="00E76AD3" w:rsidP="00E76AD3">
            <w:pPr>
              <w:contextualSpacing/>
              <w:rPr>
                <w:rFonts w:cs="Arial"/>
                <w:szCs w:val="22"/>
              </w:rPr>
            </w:pPr>
          </w:p>
        </w:tc>
        <w:tc>
          <w:tcPr>
            <w:tcW w:w="1641" w:type="dxa"/>
            <w:tcBorders>
              <w:top w:val="single" w:sz="4" w:space="0" w:color="auto"/>
              <w:left w:val="single" w:sz="4" w:space="0" w:color="auto"/>
              <w:bottom w:val="single" w:sz="4" w:space="0" w:color="auto"/>
              <w:right w:val="single" w:sz="4" w:space="0" w:color="auto"/>
            </w:tcBorders>
          </w:tcPr>
          <w:p w14:paraId="79F415B3" w14:textId="787F71E3" w:rsidR="00E76AD3" w:rsidRPr="004B26BC" w:rsidRDefault="002517DD" w:rsidP="00E76AD3">
            <w:pPr>
              <w:contextualSpacing/>
              <w:rPr>
                <w:rFonts w:cs="Arial"/>
                <w:szCs w:val="22"/>
              </w:rPr>
            </w:pPr>
            <w:r w:rsidRPr="004B26BC">
              <w:rPr>
                <w:rFonts w:cs="Arial"/>
                <w:szCs w:val="22"/>
              </w:rPr>
              <w:t>N/A</w:t>
            </w:r>
          </w:p>
        </w:tc>
        <w:tc>
          <w:tcPr>
            <w:tcW w:w="1706" w:type="dxa"/>
            <w:tcBorders>
              <w:top w:val="single" w:sz="4" w:space="0" w:color="auto"/>
              <w:left w:val="single" w:sz="4" w:space="0" w:color="auto"/>
              <w:bottom w:val="single" w:sz="4" w:space="0" w:color="auto"/>
              <w:right w:val="single" w:sz="4" w:space="0" w:color="auto"/>
            </w:tcBorders>
          </w:tcPr>
          <w:p w14:paraId="4C40F7BE" w14:textId="3658CBE3" w:rsidR="002517DD" w:rsidRPr="00442534" w:rsidRDefault="7C0E3157" w:rsidP="002517DD">
            <w:pPr>
              <w:contextualSpacing/>
              <w:rPr>
                <w:rFonts w:cs="Arial"/>
              </w:rPr>
            </w:pPr>
            <w:r w:rsidRPr="00442534">
              <w:rPr>
                <w:rFonts w:cs="Arial"/>
              </w:rPr>
              <w:t>11,000</w:t>
            </w:r>
          </w:p>
          <w:p w14:paraId="23F1749B" w14:textId="77777777" w:rsidR="00E76AD3" w:rsidRPr="00442534" w:rsidRDefault="00E76AD3" w:rsidP="00E76AD3">
            <w:pPr>
              <w:contextualSpacing/>
              <w:rPr>
                <w:rFonts w:cs="Arial"/>
                <w:szCs w:val="22"/>
              </w:rPr>
            </w:pPr>
          </w:p>
        </w:tc>
      </w:tr>
      <w:tr w:rsidR="008B1BA7" w:rsidRPr="001E41ED" w14:paraId="1736036A" w14:textId="77777777" w:rsidTr="00010D66">
        <w:trPr>
          <w:jc w:val="center"/>
        </w:trPr>
        <w:tc>
          <w:tcPr>
            <w:tcW w:w="1271" w:type="dxa"/>
            <w:tcBorders>
              <w:top w:val="single" w:sz="4" w:space="0" w:color="auto"/>
              <w:left w:val="single" w:sz="4" w:space="0" w:color="auto"/>
              <w:bottom w:val="single" w:sz="4" w:space="0" w:color="auto"/>
              <w:right w:val="single" w:sz="4" w:space="0" w:color="auto"/>
            </w:tcBorders>
          </w:tcPr>
          <w:p w14:paraId="140FF6A2" w14:textId="685686DD" w:rsidR="008B1BA7" w:rsidRPr="004B26BC" w:rsidRDefault="008B1BA7">
            <w:pPr>
              <w:contextualSpacing/>
              <w:rPr>
                <w:rFonts w:cs="Arial"/>
                <w:szCs w:val="22"/>
              </w:rPr>
            </w:pPr>
            <w:r w:rsidRPr="004B26BC">
              <w:rPr>
                <w:rFonts w:cs="Arial"/>
                <w:szCs w:val="22"/>
              </w:rPr>
              <w:t>Deputy Chair</w:t>
            </w:r>
          </w:p>
        </w:tc>
        <w:tc>
          <w:tcPr>
            <w:tcW w:w="1701" w:type="dxa"/>
            <w:gridSpan w:val="2"/>
            <w:tcBorders>
              <w:top w:val="single" w:sz="4" w:space="0" w:color="auto"/>
              <w:left w:val="single" w:sz="4" w:space="0" w:color="auto"/>
              <w:bottom w:val="single" w:sz="4" w:space="0" w:color="auto"/>
              <w:right w:val="single" w:sz="4" w:space="0" w:color="auto"/>
            </w:tcBorders>
          </w:tcPr>
          <w:p w14:paraId="43754EBD" w14:textId="77777777" w:rsidR="008B1BA7" w:rsidRPr="004B26BC" w:rsidRDefault="008B1BA7">
            <w:pPr>
              <w:contextualSpacing/>
              <w:rPr>
                <w:rFonts w:cs="Arial"/>
                <w:szCs w:val="22"/>
                <w:highlight w:val="yellow"/>
              </w:rPr>
            </w:pPr>
            <w:r w:rsidRPr="004B26BC">
              <w:rPr>
                <w:rFonts w:cs="Arial"/>
                <w:szCs w:val="22"/>
              </w:rPr>
              <w:t>John Anderson</w:t>
            </w:r>
          </w:p>
        </w:tc>
        <w:tc>
          <w:tcPr>
            <w:tcW w:w="1985" w:type="dxa"/>
            <w:tcBorders>
              <w:top w:val="single" w:sz="4" w:space="0" w:color="auto"/>
              <w:left w:val="single" w:sz="4" w:space="0" w:color="auto"/>
              <w:bottom w:val="single" w:sz="4" w:space="0" w:color="auto"/>
              <w:right w:val="single" w:sz="4" w:space="0" w:color="auto"/>
            </w:tcBorders>
          </w:tcPr>
          <w:p w14:paraId="04BA4BAE" w14:textId="0E6B733C" w:rsidR="00E76AD3" w:rsidRPr="004B26BC" w:rsidRDefault="00E76AD3" w:rsidP="00E76AD3">
            <w:pPr>
              <w:contextualSpacing/>
              <w:rPr>
                <w:rFonts w:cs="Arial"/>
                <w:szCs w:val="22"/>
              </w:rPr>
            </w:pPr>
            <w:r w:rsidRPr="004B26BC">
              <w:rPr>
                <w:rFonts w:cs="Arial"/>
                <w:szCs w:val="22"/>
              </w:rPr>
              <w:t xml:space="preserve">Board: </w:t>
            </w:r>
            <w:r w:rsidR="0028084F">
              <w:rPr>
                <w:rFonts w:cs="Arial"/>
                <w:szCs w:val="22"/>
              </w:rPr>
              <w:t>9</w:t>
            </w:r>
          </w:p>
          <w:p w14:paraId="46479814" w14:textId="3C09F115" w:rsidR="00D63137" w:rsidRDefault="00D63137" w:rsidP="00E76AD3">
            <w:pPr>
              <w:contextualSpacing/>
              <w:rPr>
                <w:rFonts w:cs="Arial"/>
                <w:szCs w:val="22"/>
              </w:rPr>
            </w:pPr>
            <w:r>
              <w:rPr>
                <w:rFonts w:cs="Arial"/>
                <w:szCs w:val="22"/>
              </w:rPr>
              <w:t>FAR: 1</w:t>
            </w:r>
          </w:p>
          <w:p w14:paraId="6E398320" w14:textId="2AB45B2D" w:rsidR="00E76AD3" w:rsidRPr="004B26BC" w:rsidRDefault="00E76AD3" w:rsidP="00E76AD3">
            <w:pPr>
              <w:contextualSpacing/>
              <w:rPr>
                <w:rFonts w:cs="Arial"/>
                <w:szCs w:val="22"/>
              </w:rPr>
            </w:pPr>
            <w:r w:rsidRPr="004B26BC">
              <w:rPr>
                <w:rFonts w:cs="Arial"/>
                <w:szCs w:val="22"/>
              </w:rPr>
              <w:t xml:space="preserve">PCP: </w:t>
            </w:r>
            <w:r w:rsidR="00860FC5">
              <w:rPr>
                <w:rFonts w:cs="Arial"/>
                <w:szCs w:val="22"/>
              </w:rPr>
              <w:t>4</w:t>
            </w:r>
            <w:r w:rsidRPr="004B26BC">
              <w:rPr>
                <w:rFonts w:cs="Arial"/>
                <w:szCs w:val="22"/>
              </w:rPr>
              <w:t xml:space="preserve"> </w:t>
            </w:r>
          </w:p>
          <w:p w14:paraId="2DBF880C" w14:textId="70CB817C" w:rsidR="008B1BA7" w:rsidRPr="004B26BC" w:rsidRDefault="00E76AD3">
            <w:pPr>
              <w:contextualSpacing/>
              <w:rPr>
                <w:rFonts w:cs="Arial"/>
                <w:szCs w:val="22"/>
              </w:rPr>
            </w:pPr>
            <w:r w:rsidRPr="004B26BC">
              <w:rPr>
                <w:rFonts w:cs="Arial"/>
                <w:szCs w:val="22"/>
              </w:rPr>
              <w:t xml:space="preserve">IAC: </w:t>
            </w:r>
            <w:r w:rsidR="002C492C" w:rsidRPr="004B26BC">
              <w:rPr>
                <w:rFonts w:cs="Arial"/>
                <w:szCs w:val="22"/>
              </w:rPr>
              <w:t>4</w:t>
            </w:r>
          </w:p>
        </w:tc>
        <w:tc>
          <w:tcPr>
            <w:tcW w:w="1902" w:type="dxa"/>
            <w:tcBorders>
              <w:top w:val="single" w:sz="4" w:space="0" w:color="auto"/>
              <w:left w:val="single" w:sz="4" w:space="0" w:color="auto"/>
              <w:bottom w:val="single" w:sz="4" w:space="0" w:color="auto"/>
              <w:right w:val="single" w:sz="4" w:space="0" w:color="auto"/>
            </w:tcBorders>
          </w:tcPr>
          <w:p w14:paraId="27D2F6D3" w14:textId="74FAB8F6" w:rsidR="008B1BA7" w:rsidRPr="004B26BC" w:rsidRDefault="00764154">
            <w:pPr>
              <w:contextualSpacing/>
              <w:rPr>
                <w:rFonts w:cs="Arial"/>
                <w:szCs w:val="22"/>
              </w:rPr>
            </w:pPr>
            <w:r w:rsidRPr="00764154">
              <w:rPr>
                <w:rFonts w:cs="Arial"/>
                <w:szCs w:val="22"/>
              </w:rPr>
              <w:t>25,000</w:t>
            </w:r>
          </w:p>
          <w:p w14:paraId="6353B48C" w14:textId="77777777" w:rsidR="008B1BA7" w:rsidRPr="004B26BC" w:rsidRDefault="008B1BA7">
            <w:pPr>
              <w:contextualSpacing/>
              <w:rPr>
                <w:rFonts w:cs="Arial"/>
                <w:szCs w:val="22"/>
              </w:rPr>
            </w:pPr>
          </w:p>
        </w:tc>
        <w:tc>
          <w:tcPr>
            <w:tcW w:w="1641" w:type="dxa"/>
            <w:tcBorders>
              <w:top w:val="single" w:sz="4" w:space="0" w:color="auto"/>
              <w:left w:val="single" w:sz="4" w:space="0" w:color="auto"/>
              <w:bottom w:val="single" w:sz="4" w:space="0" w:color="auto"/>
              <w:right w:val="single" w:sz="4" w:space="0" w:color="auto"/>
            </w:tcBorders>
          </w:tcPr>
          <w:p w14:paraId="1D424C08" w14:textId="77777777" w:rsidR="008B1BA7" w:rsidRPr="004B26BC" w:rsidRDefault="008B1BA7">
            <w:pPr>
              <w:contextualSpacing/>
              <w:rPr>
                <w:rFonts w:cs="Arial"/>
                <w:szCs w:val="22"/>
              </w:rPr>
            </w:pPr>
            <w:r w:rsidRPr="004B26BC">
              <w:rPr>
                <w:rFonts w:cs="Arial"/>
                <w:szCs w:val="22"/>
              </w:rPr>
              <w:t>N/A</w:t>
            </w:r>
          </w:p>
        </w:tc>
        <w:tc>
          <w:tcPr>
            <w:tcW w:w="1706" w:type="dxa"/>
            <w:tcBorders>
              <w:top w:val="single" w:sz="4" w:space="0" w:color="auto"/>
              <w:left w:val="single" w:sz="4" w:space="0" w:color="auto"/>
              <w:bottom w:val="single" w:sz="4" w:space="0" w:color="auto"/>
              <w:right w:val="single" w:sz="4" w:space="0" w:color="auto"/>
            </w:tcBorders>
          </w:tcPr>
          <w:p w14:paraId="136B9B56" w14:textId="27197743" w:rsidR="008B1BA7" w:rsidRPr="00442534" w:rsidRDefault="136D1B04">
            <w:pPr>
              <w:contextualSpacing/>
              <w:rPr>
                <w:rFonts w:cs="Arial"/>
              </w:rPr>
            </w:pPr>
            <w:r w:rsidRPr="00442534">
              <w:rPr>
                <w:rFonts w:cs="Arial"/>
              </w:rPr>
              <w:t>28,000</w:t>
            </w:r>
          </w:p>
          <w:p w14:paraId="2232F036" w14:textId="77777777" w:rsidR="008B1BA7" w:rsidRPr="00442534" w:rsidRDefault="008B1BA7">
            <w:pPr>
              <w:contextualSpacing/>
              <w:rPr>
                <w:rFonts w:cs="Arial"/>
                <w:szCs w:val="22"/>
              </w:rPr>
            </w:pPr>
          </w:p>
        </w:tc>
      </w:tr>
      <w:tr w:rsidR="008B1BA7" w:rsidRPr="001E41ED" w14:paraId="6D6F2D2C" w14:textId="77777777" w:rsidTr="00010D66">
        <w:trPr>
          <w:jc w:val="center"/>
        </w:trPr>
        <w:tc>
          <w:tcPr>
            <w:tcW w:w="1271" w:type="dxa"/>
            <w:tcBorders>
              <w:top w:val="single" w:sz="4" w:space="0" w:color="auto"/>
              <w:left w:val="single" w:sz="4" w:space="0" w:color="auto"/>
              <w:bottom w:val="single" w:sz="4" w:space="0" w:color="auto"/>
              <w:right w:val="single" w:sz="4" w:space="0" w:color="auto"/>
            </w:tcBorders>
          </w:tcPr>
          <w:p w14:paraId="0E2DAB0A" w14:textId="3C499C18" w:rsidR="008B1BA7" w:rsidRPr="004B26BC" w:rsidRDefault="006F1330">
            <w:pPr>
              <w:contextualSpacing/>
              <w:rPr>
                <w:rFonts w:cs="Arial"/>
                <w:szCs w:val="22"/>
              </w:rPr>
            </w:pPr>
            <w:r w:rsidRPr="004B26BC">
              <w:rPr>
                <w:rFonts w:cs="Arial"/>
                <w:szCs w:val="22"/>
              </w:rPr>
              <w:t xml:space="preserve">Former </w:t>
            </w:r>
            <w:r w:rsidR="008B1BA7" w:rsidRPr="004B26BC">
              <w:rPr>
                <w:rFonts w:cs="Arial"/>
                <w:szCs w:val="22"/>
              </w:rPr>
              <w:t>Member</w:t>
            </w:r>
          </w:p>
        </w:tc>
        <w:tc>
          <w:tcPr>
            <w:tcW w:w="1701" w:type="dxa"/>
            <w:gridSpan w:val="2"/>
            <w:tcBorders>
              <w:top w:val="single" w:sz="4" w:space="0" w:color="auto"/>
              <w:left w:val="single" w:sz="4" w:space="0" w:color="auto"/>
              <w:bottom w:val="single" w:sz="4" w:space="0" w:color="auto"/>
              <w:right w:val="single" w:sz="4" w:space="0" w:color="auto"/>
            </w:tcBorders>
          </w:tcPr>
          <w:p w14:paraId="63F6BF93" w14:textId="77777777" w:rsidR="008B1BA7" w:rsidRDefault="008B1BA7">
            <w:pPr>
              <w:contextualSpacing/>
              <w:rPr>
                <w:rFonts w:cs="Arial"/>
                <w:szCs w:val="22"/>
              </w:rPr>
            </w:pPr>
            <w:r w:rsidRPr="004B26BC">
              <w:rPr>
                <w:rFonts w:cs="Arial"/>
                <w:szCs w:val="22"/>
              </w:rPr>
              <w:t>Suzanne Baker</w:t>
            </w:r>
          </w:p>
          <w:p w14:paraId="09075496" w14:textId="170117FD" w:rsidR="008B1BA7" w:rsidRPr="004B26BC" w:rsidRDefault="00643F3A">
            <w:pPr>
              <w:contextualSpacing/>
              <w:rPr>
                <w:rFonts w:cs="Arial"/>
                <w:szCs w:val="22"/>
                <w:highlight w:val="yellow"/>
              </w:rPr>
            </w:pPr>
            <w:r w:rsidRPr="00A57D9E">
              <w:rPr>
                <w:rFonts w:cs="Arial"/>
                <w:i/>
                <w:szCs w:val="20"/>
              </w:rPr>
              <w:lastRenderedPageBreak/>
              <w:t xml:space="preserve">(1 July 2024 </w:t>
            </w:r>
            <w:r w:rsidR="0001074F" w:rsidRPr="00A57D9E">
              <w:rPr>
                <w:rFonts w:cs="Arial"/>
                <w:i/>
                <w:szCs w:val="20"/>
              </w:rPr>
              <w:t>–</w:t>
            </w:r>
            <w:r w:rsidRPr="00A57D9E">
              <w:rPr>
                <w:rFonts w:cs="Arial"/>
                <w:i/>
                <w:szCs w:val="20"/>
              </w:rPr>
              <w:t xml:space="preserve"> 15 December 2024)</w:t>
            </w:r>
          </w:p>
        </w:tc>
        <w:tc>
          <w:tcPr>
            <w:tcW w:w="1985" w:type="dxa"/>
            <w:tcBorders>
              <w:top w:val="single" w:sz="4" w:space="0" w:color="auto"/>
              <w:left w:val="single" w:sz="4" w:space="0" w:color="auto"/>
              <w:bottom w:val="single" w:sz="4" w:space="0" w:color="auto"/>
              <w:right w:val="single" w:sz="4" w:space="0" w:color="auto"/>
            </w:tcBorders>
          </w:tcPr>
          <w:p w14:paraId="7CCAF9B8" w14:textId="641A93B4" w:rsidR="00E76AD3" w:rsidRPr="004B26BC" w:rsidRDefault="00E76AD3" w:rsidP="00E76AD3">
            <w:pPr>
              <w:contextualSpacing/>
              <w:rPr>
                <w:rFonts w:cs="Arial"/>
                <w:szCs w:val="22"/>
              </w:rPr>
            </w:pPr>
            <w:r w:rsidRPr="004B26BC">
              <w:rPr>
                <w:rFonts w:cs="Arial"/>
                <w:szCs w:val="22"/>
              </w:rPr>
              <w:lastRenderedPageBreak/>
              <w:t xml:space="preserve">Board: </w:t>
            </w:r>
            <w:r w:rsidR="009E69D2">
              <w:rPr>
                <w:rFonts w:cs="Arial"/>
                <w:szCs w:val="22"/>
              </w:rPr>
              <w:t>3</w:t>
            </w:r>
          </w:p>
          <w:p w14:paraId="11DB10BE" w14:textId="45979569" w:rsidR="00E76AD3" w:rsidRPr="004B26BC" w:rsidRDefault="00E76AD3" w:rsidP="00E76AD3">
            <w:pPr>
              <w:contextualSpacing/>
              <w:rPr>
                <w:rFonts w:cs="Arial"/>
                <w:szCs w:val="22"/>
              </w:rPr>
            </w:pPr>
            <w:r w:rsidRPr="004B26BC">
              <w:rPr>
                <w:rFonts w:cs="Arial"/>
                <w:szCs w:val="22"/>
              </w:rPr>
              <w:t xml:space="preserve">FAR: </w:t>
            </w:r>
            <w:r w:rsidR="00A3695C" w:rsidRPr="004B26BC">
              <w:rPr>
                <w:rFonts w:cs="Arial"/>
                <w:szCs w:val="22"/>
              </w:rPr>
              <w:t>2</w:t>
            </w:r>
          </w:p>
          <w:p w14:paraId="25620CFD" w14:textId="688D3ED7" w:rsidR="008B1BA7" w:rsidRPr="004B26BC" w:rsidRDefault="00E76AD3">
            <w:pPr>
              <w:contextualSpacing/>
              <w:rPr>
                <w:rFonts w:cs="Arial"/>
                <w:szCs w:val="22"/>
              </w:rPr>
            </w:pPr>
            <w:r w:rsidRPr="004B26BC">
              <w:rPr>
                <w:rFonts w:cs="Arial"/>
                <w:szCs w:val="22"/>
              </w:rPr>
              <w:lastRenderedPageBreak/>
              <w:t xml:space="preserve">INS: </w:t>
            </w:r>
            <w:r w:rsidR="00A3695C" w:rsidRPr="004B26BC">
              <w:rPr>
                <w:rFonts w:cs="Arial"/>
                <w:szCs w:val="22"/>
              </w:rPr>
              <w:t>2</w:t>
            </w:r>
          </w:p>
        </w:tc>
        <w:tc>
          <w:tcPr>
            <w:tcW w:w="1902" w:type="dxa"/>
            <w:tcBorders>
              <w:top w:val="single" w:sz="4" w:space="0" w:color="auto"/>
              <w:left w:val="single" w:sz="4" w:space="0" w:color="auto"/>
              <w:bottom w:val="single" w:sz="4" w:space="0" w:color="auto"/>
              <w:right w:val="single" w:sz="4" w:space="0" w:color="auto"/>
            </w:tcBorders>
          </w:tcPr>
          <w:p w14:paraId="3632FC9F" w14:textId="1C9E279C" w:rsidR="008B1BA7" w:rsidRPr="004B26BC" w:rsidRDefault="00764154">
            <w:pPr>
              <w:contextualSpacing/>
              <w:rPr>
                <w:rFonts w:cs="Arial"/>
                <w:szCs w:val="22"/>
              </w:rPr>
            </w:pPr>
            <w:r w:rsidRPr="0030119E">
              <w:lastRenderedPageBreak/>
              <w:t>25,000</w:t>
            </w:r>
          </w:p>
        </w:tc>
        <w:tc>
          <w:tcPr>
            <w:tcW w:w="1641" w:type="dxa"/>
            <w:tcBorders>
              <w:top w:val="single" w:sz="4" w:space="0" w:color="auto"/>
              <w:left w:val="single" w:sz="4" w:space="0" w:color="auto"/>
              <w:bottom w:val="single" w:sz="4" w:space="0" w:color="auto"/>
              <w:right w:val="single" w:sz="4" w:space="0" w:color="auto"/>
            </w:tcBorders>
          </w:tcPr>
          <w:p w14:paraId="5D12327B" w14:textId="77777777" w:rsidR="008B1BA7" w:rsidRPr="004B26BC" w:rsidRDefault="008B1BA7">
            <w:pPr>
              <w:contextualSpacing/>
              <w:rPr>
                <w:rFonts w:cs="Arial"/>
                <w:szCs w:val="22"/>
              </w:rPr>
            </w:pPr>
            <w:r w:rsidRPr="004B26BC">
              <w:rPr>
                <w:rFonts w:cs="Arial"/>
                <w:szCs w:val="22"/>
              </w:rPr>
              <w:t>N/A</w:t>
            </w:r>
          </w:p>
        </w:tc>
        <w:tc>
          <w:tcPr>
            <w:tcW w:w="1706" w:type="dxa"/>
            <w:tcBorders>
              <w:top w:val="single" w:sz="4" w:space="0" w:color="auto"/>
              <w:left w:val="single" w:sz="4" w:space="0" w:color="auto"/>
              <w:bottom w:val="single" w:sz="4" w:space="0" w:color="auto"/>
              <w:right w:val="single" w:sz="4" w:space="0" w:color="auto"/>
            </w:tcBorders>
          </w:tcPr>
          <w:p w14:paraId="1E2786E8" w14:textId="35368393" w:rsidR="008B1BA7" w:rsidRPr="00442534" w:rsidRDefault="40414132">
            <w:pPr>
              <w:contextualSpacing/>
              <w:rPr>
                <w:rFonts w:cs="Arial"/>
              </w:rPr>
            </w:pPr>
            <w:r w:rsidRPr="00442534">
              <w:rPr>
                <w:rFonts w:cs="Arial"/>
              </w:rPr>
              <w:t>14,000</w:t>
            </w:r>
          </w:p>
        </w:tc>
      </w:tr>
      <w:tr w:rsidR="00F013D5" w:rsidRPr="001E41ED" w14:paraId="121CEEC9" w14:textId="77777777" w:rsidTr="00010D66">
        <w:trPr>
          <w:jc w:val="center"/>
        </w:trPr>
        <w:tc>
          <w:tcPr>
            <w:tcW w:w="1271" w:type="dxa"/>
            <w:tcBorders>
              <w:top w:val="single" w:sz="4" w:space="0" w:color="auto"/>
              <w:left w:val="single" w:sz="4" w:space="0" w:color="auto"/>
              <w:bottom w:val="single" w:sz="4" w:space="0" w:color="auto"/>
              <w:right w:val="single" w:sz="4" w:space="0" w:color="auto"/>
            </w:tcBorders>
          </w:tcPr>
          <w:p w14:paraId="060839D0" w14:textId="1878600C" w:rsidR="00F013D5" w:rsidRPr="004B26BC" w:rsidRDefault="00F013D5" w:rsidP="00F013D5">
            <w:pPr>
              <w:contextualSpacing/>
              <w:rPr>
                <w:rFonts w:cs="Arial"/>
                <w:szCs w:val="22"/>
              </w:rPr>
            </w:pPr>
            <w:r w:rsidRPr="004B26BC">
              <w:rPr>
                <w:rFonts w:cs="Arial"/>
                <w:szCs w:val="22"/>
              </w:rPr>
              <w:t>Member</w:t>
            </w:r>
          </w:p>
        </w:tc>
        <w:tc>
          <w:tcPr>
            <w:tcW w:w="1701" w:type="dxa"/>
            <w:gridSpan w:val="2"/>
            <w:tcBorders>
              <w:top w:val="single" w:sz="4" w:space="0" w:color="auto"/>
              <w:left w:val="single" w:sz="4" w:space="0" w:color="auto"/>
              <w:bottom w:val="single" w:sz="4" w:space="0" w:color="auto"/>
              <w:right w:val="single" w:sz="4" w:space="0" w:color="auto"/>
            </w:tcBorders>
          </w:tcPr>
          <w:p w14:paraId="049E8F9F" w14:textId="71569CBC" w:rsidR="00F013D5" w:rsidRPr="004B26BC" w:rsidRDefault="002517DD" w:rsidP="00F013D5">
            <w:pPr>
              <w:contextualSpacing/>
              <w:rPr>
                <w:rFonts w:cs="Arial"/>
                <w:szCs w:val="22"/>
              </w:rPr>
            </w:pPr>
            <w:r w:rsidRPr="004B26BC">
              <w:rPr>
                <w:rFonts w:cs="Arial"/>
                <w:szCs w:val="22"/>
              </w:rPr>
              <w:t>Amelia Hodge</w:t>
            </w:r>
          </w:p>
        </w:tc>
        <w:tc>
          <w:tcPr>
            <w:tcW w:w="1985" w:type="dxa"/>
            <w:tcBorders>
              <w:top w:val="single" w:sz="4" w:space="0" w:color="auto"/>
              <w:left w:val="single" w:sz="4" w:space="0" w:color="auto"/>
              <w:bottom w:val="single" w:sz="4" w:space="0" w:color="auto"/>
              <w:right w:val="single" w:sz="4" w:space="0" w:color="auto"/>
            </w:tcBorders>
          </w:tcPr>
          <w:p w14:paraId="6AB14141" w14:textId="77777777" w:rsidR="00F013D5" w:rsidRDefault="00F013D5" w:rsidP="00F013D5">
            <w:pPr>
              <w:contextualSpacing/>
              <w:rPr>
                <w:rFonts w:cs="Arial"/>
                <w:szCs w:val="22"/>
              </w:rPr>
            </w:pPr>
            <w:r w:rsidRPr="004B26BC">
              <w:rPr>
                <w:rFonts w:cs="Arial"/>
                <w:szCs w:val="22"/>
              </w:rPr>
              <w:t xml:space="preserve">Board: </w:t>
            </w:r>
            <w:r w:rsidR="002C492C" w:rsidRPr="004B26BC">
              <w:rPr>
                <w:rFonts w:cs="Arial"/>
                <w:szCs w:val="22"/>
              </w:rPr>
              <w:t>2</w:t>
            </w:r>
          </w:p>
          <w:p w14:paraId="51F87CEF" w14:textId="69242F0A" w:rsidR="009E69D2" w:rsidRPr="004B26BC" w:rsidRDefault="009E69D2" w:rsidP="00F013D5">
            <w:pPr>
              <w:contextualSpacing/>
              <w:rPr>
                <w:rFonts w:cs="Arial"/>
                <w:szCs w:val="22"/>
              </w:rPr>
            </w:pPr>
            <w:r w:rsidRPr="004B26BC">
              <w:rPr>
                <w:rFonts w:cs="Arial"/>
                <w:szCs w:val="22"/>
              </w:rPr>
              <w:t>PCP:</w:t>
            </w:r>
            <w:r>
              <w:rPr>
                <w:rFonts w:cs="Arial"/>
                <w:szCs w:val="22"/>
              </w:rPr>
              <w:t xml:space="preserve"> 1</w:t>
            </w:r>
          </w:p>
        </w:tc>
        <w:tc>
          <w:tcPr>
            <w:tcW w:w="1902" w:type="dxa"/>
            <w:tcBorders>
              <w:top w:val="single" w:sz="4" w:space="0" w:color="auto"/>
              <w:left w:val="single" w:sz="4" w:space="0" w:color="auto"/>
              <w:bottom w:val="single" w:sz="4" w:space="0" w:color="auto"/>
              <w:right w:val="single" w:sz="4" w:space="0" w:color="auto"/>
            </w:tcBorders>
          </w:tcPr>
          <w:p w14:paraId="44DDC32D" w14:textId="7A625E04" w:rsidR="00F013D5" w:rsidRPr="004B26BC" w:rsidRDefault="00764154" w:rsidP="00F013D5">
            <w:pPr>
              <w:contextualSpacing/>
              <w:rPr>
                <w:rFonts w:cs="Arial"/>
                <w:szCs w:val="22"/>
              </w:rPr>
            </w:pPr>
            <w:r w:rsidRPr="0030119E">
              <w:t>25,000</w:t>
            </w:r>
          </w:p>
        </w:tc>
        <w:tc>
          <w:tcPr>
            <w:tcW w:w="1641" w:type="dxa"/>
            <w:tcBorders>
              <w:top w:val="single" w:sz="4" w:space="0" w:color="auto"/>
              <w:left w:val="single" w:sz="4" w:space="0" w:color="auto"/>
              <w:bottom w:val="single" w:sz="4" w:space="0" w:color="auto"/>
              <w:right w:val="single" w:sz="4" w:space="0" w:color="auto"/>
            </w:tcBorders>
          </w:tcPr>
          <w:p w14:paraId="0A9573D6" w14:textId="107B654E" w:rsidR="00F013D5" w:rsidRPr="004B26BC" w:rsidRDefault="002517DD" w:rsidP="00F013D5">
            <w:pPr>
              <w:contextualSpacing/>
              <w:rPr>
                <w:rFonts w:cs="Arial"/>
                <w:szCs w:val="22"/>
              </w:rPr>
            </w:pPr>
            <w:r w:rsidRPr="004B26BC">
              <w:rPr>
                <w:rFonts w:cs="Arial"/>
                <w:szCs w:val="22"/>
              </w:rPr>
              <w:t>N/A</w:t>
            </w:r>
          </w:p>
        </w:tc>
        <w:tc>
          <w:tcPr>
            <w:tcW w:w="1706" w:type="dxa"/>
            <w:tcBorders>
              <w:top w:val="single" w:sz="4" w:space="0" w:color="auto"/>
              <w:left w:val="single" w:sz="4" w:space="0" w:color="auto"/>
              <w:bottom w:val="single" w:sz="4" w:space="0" w:color="auto"/>
              <w:right w:val="single" w:sz="4" w:space="0" w:color="auto"/>
            </w:tcBorders>
          </w:tcPr>
          <w:p w14:paraId="68EA2AD7" w14:textId="0EC05E1E" w:rsidR="002517DD" w:rsidRPr="00442534" w:rsidRDefault="02B80B1A" w:rsidP="002517DD">
            <w:pPr>
              <w:contextualSpacing/>
              <w:rPr>
                <w:rFonts w:cs="Arial"/>
              </w:rPr>
            </w:pPr>
            <w:r w:rsidRPr="00442534">
              <w:rPr>
                <w:rFonts w:cs="Arial"/>
              </w:rPr>
              <w:t>6,000</w:t>
            </w:r>
          </w:p>
          <w:p w14:paraId="22898E18" w14:textId="77777777" w:rsidR="00F013D5" w:rsidRPr="00442534" w:rsidRDefault="00F013D5" w:rsidP="00F013D5">
            <w:pPr>
              <w:contextualSpacing/>
              <w:rPr>
                <w:rFonts w:cs="Arial"/>
                <w:szCs w:val="22"/>
              </w:rPr>
            </w:pPr>
          </w:p>
        </w:tc>
      </w:tr>
      <w:tr w:rsidR="008B1BA7" w:rsidRPr="001E41ED" w14:paraId="4FD6734F" w14:textId="77777777" w:rsidTr="00010D66">
        <w:trPr>
          <w:jc w:val="center"/>
        </w:trPr>
        <w:tc>
          <w:tcPr>
            <w:tcW w:w="1271" w:type="dxa"/>
            <w:tcBorders>
              <w:top w:val="single" w:sz="4" w:space="0" w:color="auto"/>
              <w:left w:val="single" w:sz="4" w:space="0" w:color="auto"/>
              <w:bottom w:val="single" w:sz="4" w:space="0" w:color="auto"/>
              <w:right w:val="single" w:sz="4" w:space="0" w:color="auto"/>
            </w:tcBorders>
          </w:tcPr>
          <w:p w14:paraId="5D24E858" w14:textId="77777777" w:rsidR="008B1BA7" w:rsidRPr="004B26BC" w:rsidRDefault="008B1BA7">
            <w:pPr>
              <w:contextualSpacing/>
              <w:rPr>
                <w:rFonts w:cs="Arial"/>
                <w:i/>
                <w:szCs w:val="22"/>
              </w:rPr>
            </w:pPr>
            <w:r w:rsidRPr="004B26BC">
              <w:rPr>
                <w:rFonts w:cs="Arial"/>
                <w:szCs w:val="22"/>
              </w:rPr>
              <w:t>Member</w:t>
            </w:r>
          </w:p>
        </w:tc>
        <w:tc>
          <w:tcPr>
            <w:tcW w:w="1701" w:type="dxa"/>
            <w:gridSpan w:val="2"/>
            <w:tcBorders>
              <w:top w:val="single" w:sz="4" w:space="0" w:color="auto"/>
              <w:left w:val="single" w:sz="4" w:space="0" w:color="auto"/>
              <w:bottom w:val="single" w:sz="4" w:space="0" w:color="auto"/>
              <w:right w:val="single" w:sz="4" w:space="0" w:color="auto"/>
            </w:tcBorders>
          </w:tcPr>
          <w:p w14:paraId="6BF25F71" w14:textId="77777777" w:rsidR="008B1BA7" w:rsidRPr="004B26BC" w:rsidRDefault="008B1BA7">
            <w:pPr>
              <w:contextualSpacing/>
              <w:rPr>
                <w:rFonts w:cs="Arial"/>
                <w:szCs w:val="22"/>
                <w:highlight w:val="yellow"/>
              </w:rPr>
            </w:pPr>
            <w:r w:rsidRPr="004B26BC">
              <w:rPr>
                <w:rFonts w:cs="Arial"/>
                <w:szCs w:val="22"/>
              </w:rPr>
              <w:t>Colin Cassidy</w:t>
            </w:r>
          </w:p>
        </w:tc>
        <w:tc>
          <w:tcPr>
            <w:tcW w:w="1985" w:type="dxa"/>
            <w:tcBorders>
              <w:top w:val="single" w:sz="4" w:space="0" w:color="auto"/>
              <w:left w:val="single" w:sz="4" w:space="0" w:color="auto"/>
              <w:bottom w:val="single" w:sz="4" w:space="0" w:color="auto"/>
              <w:right w:val="single" w:sz="4" w:space="0" w:color="auto"/>
            </w:tcBorders>
          </w:tcPr>
          <w:p w14:paraId="66F9DAD0" w14:textId="67C5F012" w:rsidR="00E76AD3" w:rsidRPr="004B26BC" w:rsidRDefault="00E76AD3" w:rsidP="00E76AD3">
            <w:pPr>
              <w:contextualSpacing/>
              <w:rPr>
                <w:rFonts w:cs="Arial"/>
                <w:szCs w:val="22"/>
              </w:rPr>
            </w:pPr>
            <w:r w:rsidRPr="004B26BC">
              <w:rPr>
                <w:rFonts w:cs="Arial"/>
                <w:szCs w:val="22"/>
              </w:rPr>
              <w:t xml:space="preserve">Board: </w:t>
            </w:r>
            <w:r w:rsidR="00376E04" w:rsidRPr="004B26BC">
              <w:rPr>
                <w:rFonts w:cs="Arial"/>
                <w:szCs w:val="22"/>
              </w:rPr>
              <w:t>10</w:t>
            </w:r>
          </w:p>
          <w:p w14:paraId="1A4C4411" w14:textId="6C33BA9F" w:rsidR="00E76AD3" w:rsidRPr="004B26BC" w:rsidRDefault="00E76AD3" w:rsidP="00E76AD3">
            <w:pPr>
              <w:contextualSpacing/>
              <w:rPr>
                <w:rFonts w:cs="Arial"/>
                <w:szCs w:val="22"/>
              </w:rPr>
            </w:pPr>
            <w:r w:rsidRPr="004B26BC">
              <w:rPr>
                <w:rFonts w:cs="Arial"/>
                <w:szCs w:val="22"/>
              </w:rPr>
              <w:t xml:space="preserve">FAR: </w:t>
            </w:r>
            <w:r w:rsidR="00376E04" w:rsidRPr="004B26BC">
              <w:rPr>
                <w:rFonts w:cs="Arial"/>
                <w:szCs w:val="22"/>
              </w:rPr>
              <w:t>4</w:t>
            </w:r>
          </w:p>
          <w:p w14:paraId="7FCC7EFF" w14:textId="6AA14FBB" w:rsidR="008B1BA7" w:rsidRPr="004B26BC" w:rsidRDefault="00E76AD3">
            <w:pPr>
              <w:contextualSpacing/>
              <w:rPr>
                <w:rFonts w:cs="Arial"/>
                <w:szCs w:val="22"/>
              </w:rPr>
            </w:pPr>
            <w:r w:rsidRPr="004B26BC">
              <w:rPr>
                <w:rFonts w:cs="Arial"/>
                <w:szCs w:val="22"/>
              </w:rPr>
              <w:t xml:space="preserve">PCP: </w:t>
            </w:r>
            <w:r w:rsidR="009E69D2">
              <w:rPr>
                <w:rFonts w:cs="Arial"/>
                <w:szCs w:val="22"/>
              </w:rPr>
              <w:t>4</w:t>
            </w:r>
          </w:p>
        </w:tc>
        <w:tc>
          <w:tcPr>
            <w:tcW w:w="1902" w:type="dxa"/>
            <w:tcBorders>
              <w:top w:val="single" w:sz="4" w:space="0" w:color="auto"/>
              <w:left w:val="single" w:sz="4" w:space="0" w:color="auto"/>
              <w:bottom w:val="single" w:sz="4" w:space="0" w:color="auto"/>
              <w:right w:val="single" w:sz="4" w:space="0" w:color="auto"/>
            </w:tcBorders>
          </w:tcPr>
          <w:p w14:paraId="6ACDA580" w14:textId="2ABDB132" w:rsidR="008B1BA7" w:rsidRPr="004B26BC" w:rsidRDefault="00764154">
            <w:pPr>
              <w:contextualSpacing/>
              <w:rPr>
                <w:rFonts w:cs="Arial"/>
                <w:szCs w:val="22"/>
              </w:rPr>
            </w:pPr>
            <w:r w:rsidRPr="0030119E">
              <w:t>25,000</w:t>
            </w:r>
          </w:p>
        </w:tc>
        <w:tc>
          <w:tcPr>
            <w:tcW w:w="1641" w:type="dxa"/>
            <w:tcBorders>
              <w:top w:val="single" w:sz="4" w:space="0" w:color="auto"/>
              <w:left w:val="single" w:sz="4" w:space="0" w:color="auto"/>
              <w:bottom w:val="single" w:sz="4" w:space="0" w:color="auto"/>
              <w:right w:val="single" w:sz="4" w:space="0" w:color="auto"/>
            </w:tcBorders>
          </w:tcPr>
          <w:p w14:paraId="6E531489" w14:textId="77777777" w:rsidR="008B1BA7" w:rsidRPr="004B26BC" w:rsidRDefault="008B1BA7">
            <w:pPr>
              <w:contextualSpacing/>
              <w:rPr>
                <w:rFonts w:cs="Arial"/>
                <w:szCs w:val="22"/>
              </w:rPr>
            </w:pPr>
            <w:r w:rsidRPr="004B26BC">
              <w:rPr>
                <w:rFonts w:cs="Arial"/>
                <w:szCs w:val="22"/>
              </w:rPr>
              <w:t>N/A</w:t>
            </w:r>
          </w:p>
        </w:tc>
        <w:tc>
          <w:tcPr>
            <w:tcW w:w="1706" w:type="dxa"/>
            <w:tcBorders>
              <w:top w:val="single" w:sz="4" w:space="0" w:color="auto"/>
              <w:left w:val="single" w:sz="4" w:space="0" w:color="auto"/>
              <w:bottom w:val="single" w:sz="4" w:space="0" w:color="auto"/>
              <w:right w:val="single" w:sz="4" w:space="0" w:color="auto"/>
            </w:tcBorders>
          </w:tcPr>
          <w:p w14:paraId="0447C17C" w14:textId="443DC84B" w:rsidR="008B1BA7" w:rsidRPr="00442534" w:rsidRDefault="248C3A39">
            <w:pPr>
              <w:contextualSpacing/>
              <w:rPr>
                <w:rFonts w:cs="Arial"/>
              </w:rPr>
            </w:pPr>
            <w:r w:rsidRPr="00442534">
              <w:rPr>
                <w:rFonts w:cs="Arial"/>
              </w:rPr>
              <w:t>28,000</w:t>
            </w:r>
          </w:p>
        </w:tc>
      </w:tr>
      <w:tr w:rsidR="008B1BA7" w:rsidRPr="001E41ED" w14:paraId="2A8116D1" w14:textId="77777777" w:rsidTr="00010D66">
        <w:trPr>
          <w:jc w:val="center"/>
        </w:trPr>
        <w:tc>
          <w:tcPr>
            <w:tcW w:w="1271" w:type="dxa"/>
            <w:tcBorders>
              <w:top w:val="single" w:sz="4" w:space="0" w:color="auto"/>
              <w:left w:val="single" w:sz="4" w:space="0" w:color="auto"/>
              <w:bottom w:val="single" w:sz="4" w:space="0" w:color="auto"/>
              <w:right w:val="single" w:sz="4" w:space="0" w:color="auto"/>
            </w:tcBorders>
          </w:tcPr>
          <w:p w14:paraId="71127F8E" w14:textId="77777777" w:rsidR="008B1BA7" w:rsidRPr="004B26BC" w:rsidRDefault="008B1BA7">
            <w:pPr>
              <w:contextualSpacing/>
              <w:rPr>
                <w:rFonts w:cs="Arial"/>
                <w:i/>
                <w:szCs w:val="22"/>
              </w:rPr>
            </w:pPr>
            <w:r w:rsidRPr="004B26BC">
              <w:rPr>
                <w:rFonts w:cs="Arial"/>
                <w:szCs w:val="22"/>
              </w:rPr>
              <w:t>Member</w:t>
            </w:r>
          </w:p>
        </w:tc>
        <w:tc>
          <w:tcPr>
            <w:tcW w:w="1701" w:type="dxa"/>
            <w:gridSpan w:val="2"/>
            <w:tcBorders>
              <w:top w:val="single" w:sz="4" w:space="0" w:color="auto"/>
              <w:left w:val="single" w:sz="4" w:space="0" w:color="auto"/>
              <w:bottom w:val="single" w:sz="4" w:space="0" w:color="auto"/>
              <w:right w:val="single" w:sz="4" w:space="0" w:color="auto"/>
            </w:tcBorders>
          </w:tcPr>
          <w:p w14:paraId="6DB44CF7" w14:textId="77777777" w:rsidR="008B1BA7" w:rsidRPr="004B26BC" w:rsidRDefault="008B1BA7">
            <w:pPr>
              <w:contextualSpacing/>
              <w:rPr>
                <w:rFonts w:cs="Arial"/>
                <w:szCs w:val="22"/>
                <w:highlight w:val="yellow"/>
              </w:rPr>
            </w:pPr>
            <w:r w:rsidRPr="004B26BC">
              <w:rPr>
                <w:rFonts w:cs="Arial"/>
                <w:szCs w:val="22"/>
              </w:rPr>
              <w:t>Christopher Edwards</w:t>
            </w:r>
          </w:p>
        </w:tc>
        <w:tc>
          <w:tcPr>
            <w:tcW w:w="1985" w:type="dxa"/>
            <w:tcBorders>
              <w:top w:val="single" w:sz="4" w:space="0" w:color="auto"/>
              <w:left w:val="single" w:sz="4" w:space="0" w:color="auto"/>
              <w:bottom w:val="single" w:sz="4" w:space="0" w:color="auto"/>
              <w:right w:val="single" w:sz="4" w:space="0" w:color="auto"/>
            </w:tcBorders>
          </w:tcPr>
          <w:p w14:paraId="49E6A830" w14:textId="08166836" w:rsidR="00E76AD3" w:rsidRPr="004B26BC" w:rsidRDefault="00E76AD3" w:rsidP="00E76AD3">
            <w:pPr>
              <w:contextualSpacing/>
              <w:rPr>
                <w:rFonts w:cs="Arial"/>
                <w:szCs w:val="22"/>
              </w:rPr>
            </w:pPr>
            <w:r w:rsidRPr="004B26BC">
              <w:rPr>
                <w:rFonts w:cs="Arial"/>
                <w:szCs w:val="22"/>
              </w:rPr>
              <w:t xml:space="preserve">Board: </w:t>
            </w:r>
            <w:r w:rsidR="00D700F1" w:rsidRPr="004B26BC">
              <w:rPr>
                <w:rFonts w:cs="Arial"/>
                <w:szCs w:val="22"/>
              </w:rPr>
              <w:t>8</w:t>
            </w:r>
          </w:p>
          <w:p w14:paraId="30FFB7B3" w14:textId="5F21E4B6" w:rsidR="00E76AD3" w:rsidRPr="004B26BC" w:rsidRDefault="00E76AD3" w:rsidP="00E76AD3">
            <w:pPr>
              <w:contextualSpacing/>
              <w:rPr>
                <w:rFonts w:cs="Arial"/>
                <w:szCs w:val="22"/>
              </w:rPr>
            </w:pPr>
            <w:r w:rsidRPr="004B26BC">
              <w:rPr>
                <w:rFonts w:cs="Arial"/>
                <w:szCs w:val="22"/>
              </w:rPr>
              <w:t xml:space="preserve">INS: </w:t>
            </w:r>
            <w:r w:rsidR="000A0BFA" w:rsidRPr="004B26BC">
              <w:rPr>
                <w:rFonts w:cs="Arial"/>
                <w:szCs w:val="22"/>
              </w:rPr>
              <w:t>4</w:t>
            </w:r>
          </w:p>
          <w:p w14:paraId="195AA8D9" w14:textId="5DDE325B" w:rsidR="008B1BA7" w:rsidRPr="004B26BC" w:rsidRDefault="00E76AD3">
            <w:pPr>
              <w:contextualSpacing/>
              <w:rPr>
                <w:rFonts w:cs="Arial"/>
                <w:szCs w:val="22"/>
              </w:rPr>
            </w:pPr>
            <w:r w:rsidRPr="004B26BC">
              <w:rPr>
                <w:rFonts w:cs="Arial"/>
                <w:szCs w:val="22"/>
              </w:rPr>
              <w:t xml:space="preserve">DAC: </w:t>
            </w:r>
            <w:r w:rsidR="00672A63">
              <w:rPr>
                <w:rFonts w:cs="Arial"/>
                <w:szCs w:val="22"/>
              </w:rPr>
              <w:t>5</w:t>
            </w:r>
          </w:p>
        </w:tc>
        <w:tc>
          <w:tcPr>
            <w:tcW w:w="1902" w:type="dxa"/>
            <w:tcBorders>
              <w:top w:val="single" w:sz="4" w:space="0" w:color="auto"/>
              <w:left w:val="single" w:sz="4" w:space="0" w:color="auto"/>
              <w:bottom w:val="single" w:sz="4" w:space="0" w:color="auto"/>
              <w:right w:val="single" w:sz="4" w:space="0" w:color="auto"/>
            </w:tcBorders>
          </w:tcPr>
          <w:p w14:paraId="60EBF2C6" w14:textId="4A439AD0" w:rsidR="008B1BA7" w:rsidRPr="004B26BC" w:rsidRDefault="00764154">
            <w:pPr>
              <w:contextualSpacing/>
              <w:rPr>
                <w:rFonts w:cs="Arial"/>
                <w:szCs w:val="22"/>
              </w:rPr>
            </w:pPr>
            <w:r w:rsidRPr="0030119E">
              <w:t>25,000</w:t>
            </w:r>
          </w:p>
        </w:tc>
        <w:tc>
          <w:tcPr>
            <w:tcW w:w="1641" w:type="dxa"/>
            <w:tcBorders>
              <w:top w:val="single" w:sz="4" w:space="0" w:color="auto"/>
              <w:left w:val="single" w:sz="4" w:space="0" w:color="auto"/>
              <w:bottom w:val="single" w:sz="4" w:space="0" w:color="auto"/>
              <w:right w:val="single" w:sz="4" w:space="0" w:color="auto"/>
            </w:tcBorders>
          </w:tcPr>
          <w:p w14:paraId="56CD71A4" w14:textId="77777777" w:rsidR="008B1BA7" w:rsidRPr="004B26BC" w:rsidRDefault="008B1BA7">
            <w:pPr>
              <w:contextualSpacing/>
              <w:rPr>
                <w:rFonts w:cs="Arial"/>
                <w:szCs w:val="22"/>
              </w:rPr>
            </w:pPr>
            <w:r w:rsidRPr="004B26BC">
              <w:rPr>
                <w:rFonts w:cs="Arial"/>
                <w:szCs w:val="22"/>
              </w:rPr>
              <w:t>N/A</w:t>
            </w:r>
          </w:p>
        </w:tc>
        <w:tc>
          <w:tcPr>
            <w:tcW w:w="1706" w:type="dxa"/>
            <w:tcBorders>
              <w:top w:val="single" w:sz="4" w:space="0" w:color="auto"/>
              <w:left w:val="single" w:sz="4" w:space="0" w:color="auto"/>
              <w:bottom w:val="single" w:sz="4" w:space="0" w:color="auto"/>
              <w:right w:val="single" w:sz="4" w:space="0" w:color="auto"/>
            </w:tcBorders>
          </w:tcPr>
          <w:p w14:paraId="228D8702" w14:textId="28466B3E" w:rsidR="008B1BA7" w:rsidRPr="00442534" w:rsidRDefault="2C30C8D8">
            <w:pPr>
              <w:contextualSpacing/>
              <w:rPr>
                <w:rFonts w:cs="Arial"/>
              </w:rPr>
            </w:pPr>
            <w:r w:rsidRPr="00442534">
              <w:rPr>
                <w:rFonts w:cs="Arial"/>
              </w:rPr>
              <w:t>28,000</w:t>
            </w:r>
          </w:p>
        </w:tc>
      </w:tr>
      <w:tr w:rsidR="008B1BA7" w:rsidRPr="001E41ED" w14:paraId="57C5CC4F" w14:textId="77777777" w:rsidTr="00010D66">
        <w:trPr>
          <w:jc w:val="center"/>
        </w:trPr>
        <w:tc>
          <w:tcPr>
            <w:tcW w:w="1271" w:type="dxa"/>
            <w:tcBorders>
              <w:top w:val="single" w:sz="4" w:space="0" w:color="auto"/>
              <w:left w:val="single" w:sz="4" w:space="0" w:color="auto"/>
              <w:bottom w:val="single" w:sz="4" w:space="0" w:color="auto"/>
              <w:right w:val="single" w:sz="4" w:space="0" w:color="auto"/>
            </w:tcBorders>
          </w:tcPr>
          <w:p w14:paraId="35552785" w14:textId="77777777" w:rsidR="008B1BA7" w:rsidRPr="004B26BC" w:rsidRDefault="008B1BA7">
            <w:pPr>
              <w:contextualSpacing/>
              <w:rPr>
                <w:rFonts w:cs="Arial"/>
                <w:i/>
                <w:szCs w:val="22"/>
              </w:rPr>
            </w:pPr>
            <w:r w:rsidRPr="004B26BC">
              <w:rPr>
                <w:rFonts w:cs="Arial"/>
                <w:szCs w:val="22"/>
              </w:rPr>
              <w:t>Member</w:t>
            </w:r>
          </w:p>
        </w:tc>
        <w:tc>
          <w:tcPr>
            <w:tcW w:w="1701" w:type="dxa"/>
            <w:gridSpan w:val="2"/>
            <w:tcBorders>
              <w:top w:val="single" w:sz="4" w:space="0" w:color="auto"/>
              <w:left w:val="single" w:sz="4" w:space="0" w:color="auto"/>
              <w:bottom w:val="single" w:sz="4" w:space="0" w:color="auto"/>
              <w:right w:val="single" w:sz="4" w:space="0" w:color="auto"/>
            </w:tcBorders>
          </w:tcPr>
          <w:p w14:paraId="1ED9D9C2" w14:textId="77777777" w:rsidR="008B1BA7" w:rsidRPr="004B26BC" w:rsidRDefault="008B1BA7">
            <w:pPr>
              <w:autoSpaceDE w:val="0"/>
              <w:autoSpaceDN w:val="0"/>
              <w:adjustRightInd w:val="0"/>
              <w:contextualSpacing/>
              <w:rPr>
                <w:rFonts w:cs="Arial"/>
                <w:highlight w:val="yellow"/>
              </w:rPr>
            </w:pPr>
            <w:r w:rsidRPr="4D2A6B06">
              <w:rPr>
                <w:rFonts w:cs="Arial"/>
              </w:rPr>
              <w:t>Meg Frisby</w:t>
            </w:r>
          </w:p>
        </w:tc>
        <w:tc>
          <w:tcPr>
            <w:tcW w:w="1985" w:type="dxa"/>
            <w:tcBorders>
              <w:top w:val="single" w:sz="4" w:space="0" w:color="auto"/>
              <w:left w:val="single" w:sz="4" w:space="0" w:color="auto"/>
              <w:bottom w:val="single" w:sz="4" w:space="0" w:color="auto"/>
              <w:right w:val="single" w:sz="4" w:space="0" w:color="auto"/>
            </w:tcBorders>
          </w:tcPr>
          <w:p w14:paraId="385B449E" w14:textId="054825BE" w:rsidR="00E76AD3" w:rsidRPr="004B26BC" w:rsidRDefault="00E76AD3" w:rsidP="00E76AD3">
            <w:pPr>
              <w:contextualSpacing/>
              <w:rPr>
                <w:rFonts w:cs="Arial"/>
                <w:szCs w:val="22"/>
              </w:rPr>
            </w:pPr>
            <w:r w:rsidRPr="004B26BC">
              <w:rPr>
                <w:rFonts w:cs="Arial"/>
                <w:szCs w:val="22"/>
              </w:rPr>
              <w:t xml:space="preserve">Board: </w:t>
            </w:r>
            <w:r w:rsidR="009C7E45" w:rsidRPr="004B26BC">
              <w:rPr>
                <w:rFonts w:cs="Arial"/>
                <w:szCs w:val="22"/>
              </w:rPr>
              <w:t>9</w:t>
            </w:r>
          </w:p>
          <w:p w14:paraId="3C5631F8" w14:textId="497CB5FD" w:rsidR="00E76AD3" w:rsidRPr="004B26BC" w:rsidRDefault="00E76AD3" w:rsidP="00E76AD3">
            <w:pPr>
              <w:contextualSpacing/>
              <w:rPr>
                <w:rFonts w:cs="Arial"/>
                <w:szCs w:val="22"/>
              </w:rPr>
            </w:pPr>
            <w:r w:rsidRPr="004B26BC">
              <w:rPr>
                <w:rFonts w:cs="Arial"/>
                <w:szCs w:val="22"/>
              </w:rPr>
              <w:t xml:space="preserve">PCP: </w:t>
            </w:r>
            <w:r w:rsidR="009E69D2">
              <w:rPr>
                <w:rFonts w:cs="Arial"/>
                <w:szCs w:val="22"/>
              </w:rPr>
              <w:t>3</w:t>
            </w:r>
            <w:r w:rsidRPr="004B26BC">
              <w:rPr>
                <w:rFonts w:cs="Arial"/>
                <w:szCs w:val="22"/>
              </w:rPr>
              <w:t xml:space="preserve"> </w:t>
            </w:r>
          </w:p>
          <w:p w14:paraId="51C7BCED" w14:textId="505E8AD1" w:rsidR="00E76AD3" w:rsidRPr="004B26BC" w:rsidRDefault="00E76AD3" w:rsidP="00E76AD3">
            <w:pPr>
              <w:contextualSpacing/>
              <w:rPr>
                <w:rFonts w:cs="Arial"/>
                <w:szCs w:val="22"/>
              </w:rPr>
            </w:pPr>
            <w:r w:rsidRPr="004B26BC">
              <w:rPr>
                <w:rFonts w:cs="Arial"/>
                <w:szCs w:val="22"/>
              </w:rPr>
              <w:t xml:space="preserve">INS: </w:t>
            </w:r>
            <w:r w:rsidR="00867C7E">
              <w:rPr>
                <w:rFonts w:cs="Arial"/>
                <w:szCs w:val="22"/>
              </w:rPr>
              <w:t>2</w:t>
            </w:r>
          </w:p>
          <w:p w14:paraId="76A7B506" w14:textId="36C5F6BF" w:rsidR="00E76AD3" w:rsidRPr="004B26BC" w:rsidRDefault="00E76AD3" w:rsidP="00E76AD3">
            <w:pPr>
              <w:contextualSpacing/>
              <w:rPr>
                <w:rFonts w:cs="Arial"/>
                <w:szCs w:val="22"/>
              </w:rPr>
            </w:pPr>
            <w:r w:rsidRPr="004B26BC">
              <w:rPr>
                <w:rFonts w:cs="Arial"/>
                <w:szCs w:val="22"/>
              </w:rPr>
              <w:t xml:space="preserve">IAC: </w:t>
            </w:r>
            <w:r w:rsidR="009C7E45" w:rsidRPr="004B26BC">
              <w:rPr>
                <w:rFonts w:cs="Arial"/>
                <w:szCs w:val="22"/>
              </w:rPr>
              <w:t>2</w:t>
            </w:r>
          </w:p>
          <w:p w14:paraId="0978D7C2" w14:textId="560060F2" w:rsidR="008B1BA7" w:rsidRPr="004B26BC" w:rsidRDefault="00E76AD3">
            <w:pPr>
              <w:contextualSpacing/>
              <w:rPr>
                <w:rFonts w:cs="Arial"/>
                <w:szCs w:val="22"/>
              </w:rPr>
            </w:pPr>
            <w:r w:rsidRPr="004B26BC">
              <w:rPr>
                <w:rFonts w:cs="Arial"/>
                <w:szCs w:val="22"/>
              </w:rPr>
              <w:t xml:space="preserve">DAC: </w:t>
            </w:r>
            <w:r w:rsidR="00867C7E">
              <w:rPr>
                <w:rFonts w:cs="Arial"/>
                <w:szCs w:val="22"/>
              </w:rPr>
              <w:t>4</w:t>
            </w:r>
          </w:p>
        </w:tc>
        <w:tc>
          <w:tcPr>
            <w:tcW w:w="1902" w:type="dxa"/>
            <w:tcBorders>
              <w:top w:val="single" w:sz="4" w:space="0" w:color="auto"/>
              <w:left w:val="single" w:sz="4" w:space="0" w:color="auto"/>
              <w:bottom w:val="single" w:sz="4" w:space="0" w:color="auto"/>
              <w:right w:val="single" w:sz="4" w:space="0" w:color="auto"/>
            </w:tcBorders>
          </w:tcPr>
          <w:p w14:paraId="3A1B5AA0" w14:textId="1E96FAA0" w:rsidR="008B1BA7" w:rsidRPr="004B26BC" w:rsidRDefault="00764154">
            <w:pPr>
              <w:contextualSpacing/>
              <w:rPr>
                <w:rFonts w:cs="Arial"/>
                <w:szCs w:val="22"/>
              </w:rPr>
            </w:pPr>
            <w:r w:rsidRPr="0030119E">
              <w:t>25,000</w:t>
            </w:r>
          </w:p>
        </w:tc>
        <w:tc>
          <w:tcPr>
            <w:tcW w:w="1641" w:type="dxa"/>
            <w:tcBorders>
              <w:top w:val="single" w:sz="4" w:space="0" w:color="auto"/>
              <w:left w:val="single" w:sz="4" w:space="0" w:color="auto"/>
              <w:bottom w:val="single" w:sz="4" w:space="0" w:color="auto"/>
              <w:right w:val="single" w:sz="4" w:space="0" w:color="auto"/>
            </w:tcBorders>
          </w:tcPr>
          <w:p w14:paraId="46708D28" w14:textId="77777777" w:rsidR="008B1BA7" w:rsidRPr="004B26BC" w:rsidRDefault="008B1BA7">
            <w:pPr>
              <w:contextualSpacing/>
              <w:rPr>
                <w:rFonts w:cs="Arial"/>
                <w:szCs w:val="22"/>
              </w:rPr>
            </w:pPr>
            <w:r w:rsidRPr="004B26BC">
              <w:rPr>
                <w:rFonts w:cs="Arial"/>
                <w:szCs w:val="22"/>
              </w:rPr>
              <w:t>N/A</w:t>
            </w:r>
          </w:p>
        </w:tc>
        <w:tc>
          <w:tcPr>
            <w:tcW w:w="1706" w:type="dxa"/>
            <w:tcBorders>
              <w:top w:val="single" w:sz="4" w:space="0" w:color="auto"/>
              <w:left w:val="single" w:sz="4" w:space="0" w:color="auto"/>
              <w:bottom w:val="single" w:sz="4" w:space="0" w:color="auto"/>
              <w:right w:val="single" w:sz="4" w:space="0" w:color="auto"/>
            </w:tcBorders>
          </w:tcPr>
          <w:p w14:paraId="66E419FC" w14:textId="0182C965" w:rsidR="008B1BA7" w:rsidRPr="00442534" w:rsidRDefault="154E44A8">
            <w:pPr>
              <w:contextualSpacing/>
              <w:rPr>
                <w:rFonts w:cs="Arial"/>
              </w:rPr>
            </w:pPr>
            <w:r w:rsidRPr="00442534">
              <w:rPr>
                <w:rFonts w:cs="Arial"/>
              </w:rPr>
              <w:t>28,000</w:t>
            </w:r>
          </w:p>
        </w:tc>
      </w:tr>
      <w:tr w:rsidR="008B1BA7" w:rsidRPr="001E41ED" w14:paraId="7E712C6E" w14:textId="77777777" w:rsidTr="00010D66">
        <w:trPr>
          <w:jc w:val="center"/>
        </w:trPr>
        <w:tc>
          <w:tcPr>
            <w:tcW w:w="1271" w:type="dxa"/>
            <w:tcBorders>
              <w:top w:val="single" w:sz="4" w:space="0" w:color="auto"/>
              <w:left w:val="single" w:sz="4" w:space="0" w:color="auto"/>
              <w:bottom w:val="single" w:sz="4" w:space="0" w:color="auto"/>
              <w:right w:val="single" w:sz="4" w:space="0" w:color="auto"/>
            </w:tcBorders>
            <w:hideMark/>
          </w:tcPr>
          <w:p w14:paraId="5A3BE4E3" w14:textId="77777777" w:rsidR="008B1BA7" w:rsidRPr="004B26BC" w:rsidRDefault="008B1BA7">
            <w:pPr>
              <w:contextualSpacing/>
              <w:rPr>
                <w:rFonts w:cs="Arial"/>
                <w:szCs w:val="22"/>
              </w:rPr>
            </w:pPr>
            <w:r w:rsidRPr="004B26BC">
              <w:rPr>
                <w:rFonts w:cs="Arial"/>
                <w:szCs w:val="22"/>
              </w:rPr>
              <w:t>Member</w:t>
            </w:r>
          </w:p>
        </w:tc>
        <w:tc>
          <w:tcPr>
            <w:tcW w:w="1701" w:type="dxa"/>
            <w:gridSpan w:val="2"/>
            <w:tcBorders>
              <w:top w:val="single" w:sz="4" w:space="0" w:color="auto"/>
              <w:left w:val="single" w:sz="4" w:space="0" w:color="auto"/>
              <w:bottom w:val="single" w:sz="4" w:space="0" w:color="auto"/>
              <w:right w:val="single" w:sz="4" w:space="0" w:color="auto"/>
            </w:tcBorders>
            <w:hideMark/>
          </w:tcPr>
          <w:p w14:paraId="46C8D1C6" w14:textId="77777777" w:rsidR="008B1BA7" w:rsidRPr="004B26BC" w:rsidRDefault="008B1BA7">
            <w:pPr>
              <w:contextualSpacing/>
              <w:rPr>
                <w:rFonts w:cs="Arial"/>
                <w:szCs w:val="22"/>
                <w:highlight w:val="yellow"/>
              </w:rPr>
            </w:pPr>
            <w:r w:rsidRPr="004B26BC">
              <w:rPr>
                <w:rFonts w:cs="Arial"/>
                <w:szCs w:val="22"/>
              </w:rPr>
              <w:t>Robyn Petrou</w:t>
            </w:r>
          </w:p>
        </w:tc>
        <w:tc>
          <w:tcPr>
            <w:tcW w:w="1985" w:type="dxa"/>
            <w:tcBorders>
              <w:top w:val="single" w:sz="4" w:space="0" w:color="auto"/>
              <w:left w:val="single" w:sz="4" w:space="0" w:color="auto"/>
              <w:bottom w:val="single" w:sz="4" w:space="0" w:color="auto"/>
              <w:right w:val="single" w:sz="4" w:space="0" w:color="auto"/>
            </w:tcBorders>
          </w:tcPr>
          <w:p w14:paraId="1D4FDA85" w14:textId="679408C4" w:rsidR="00E76AD3" w:rsidRPr="004B26BC" w:rsidRDefault="00E76AD3" w:rsidP="00E76AD3">
            <w:pPr>
              <w:contextualSpacing/>
              <w:rPr>
                <w:rFonts w:cs="Arial"/>
                <w:szCs w:val="22"/>
              </w:rPr>
            </w:pPr>
            <w:r w:rsidRPr="004B26BC">
              <w:rPr>
                <w:rFonts w:cs="Arial"/>
                <w:szCs w:val="22"/>
              </w:rPr>
              <w:t xml:space="preserve">Board: </w:t>
            </w:r>
            <w:r w:rsidR="00867C7E">
              <w:rPr>
                <w:rFonts w:cs="Arial"/>
                <w:szCs w:val="22"/>
              </w:rPr>
              <w:t>9</w:t>
            </w:r>
          </w:p>
          <w:p w14:paraId="1B7EF091" w14:textId="68DC74BA" w:rsidR="00E76AD3" w:rsidRPr="004B26BC" w:rsidRDefault="00E76AD3" w:rsidP="00E76AD3">
            <w:pPr>
              <w:contextualSpacing/>
              <w:rPr>
                <w:rFonts w:cs="Arial"/>
                <w:szCs w:val="22"/>
              </w:rPr>
            </w:pPr>
            <w:r w:rsidRPr="004B26BC">
              <w:rPr>
                <w:rFonts w:cs="Arial"/>
                <w:szCs w:val="22"/>
              </w:rPr>
              <w:t xml:space="preserve">FAR: </w:t>
            </w:r>
            <w:r w:rsidR="009C7E45" w:rsidRPr="004B26BC">
              <w:rPr>
                <w:rFonts w:cs="Arial"/>
                <w:szCs w:val="22"/>
              </w:rPr>
              <w:t>4</w:t>
            </w:r>
          </w:p>
          <w:p w14:paraId="73D98C46" w14:textId="5C6A2040" w:rsidR="00E76AD3" w:rsidRPr="004B26BC" w:rsidRDefault="00E76AD3" w:rsidP="00E76AD3">
            <w:pPr>
              <w:contextualSpacing/>
              <w:rPr>
                <w:rFonts w:cs="Arial"/>
                <w:szCs w:val="22"/>
              </w:rPr>
            </w:pPr>
            <w:r w:rsidRPr="004B26BC">
              <w:rPr>
                <w:rFonts w:cs="Arial"/>
                <w:szCs w:val="22"/>
              </w:rPr>
              <w:t xml:space="preserve">INS: </w:t>
            </w:r>
            <w:r w:rsidR="001538E1" w:rsidRPr="004B26BC">
              <w:rPr>
                <w:rFonts w:cs="Arial"/>
                <w:szCs w:val="22"/>
              </w:rPr>
              <w:t>4</w:t>
            </w:r>
          </w:p>
          <w:p w14:paraId="4A8C995B" w14:textId="2BBEAFCA" w:rsidR="008B1BA7" w:rsidRPr="004B26BC" w:rsidRDefault="00E76AD3">
            <w:pPr>
              <w:contextualSpacing/>
              <w:rPr>
                <w:rFonts w:cs="Arial"/>
                <w:szCs w:val="22"/>
              </w:rPr>
            </w:pPr>
            <w:r w:rsidRPr="004B26BC">
              <w:rPr>
                <w:rFonts w:cs="Arial"/>
                <w:szCs w:val="22"/>
              </w:rPr>
              <w:t xml:space="preserve">DAC: </w:t>
            </w:r>
            <w:r w:rsidR="00672A63">
              <w:rPr>
                <w:rFonts w:cs="Arial"/>
                <w:szCs w:val="22"/>
              </w:rPr>
              <w:t>5</w:t>
            </w:r>
          </w:p>
        </w:tc>
        <w:tc>
          <w:tcPr>
            <w:tcW w:w="1902" w:type="dxa"/>
            <w:tcBorders>
              <w:top w:val="single" w:sz="4" w:space="0" w:color="auto"/>
              <w:left w:val="single" w:sz="4" w:space="0" w:color="auto"/>
              <w:bottom w:val="single" w:sz="4" w:space="0" w:color="auto"/>
              <w:right w:val="single" w:sz="4" w:space="0" w:color="auto"/>
            </w:tcBorders>
          </w:tcPr>
          <w:p w14:paraId="5EDD12BC" w14:textId="21199688" w:rsidR="008B1BA7" w:rsidRPr="004B26BC" w:rsidRDefault="00764154">
            <w:pPr>
              <w:contextualSpacing/>
              <w:rPr>
                <w:rFonts w:cs="Arial"/>
                <w:szCs w:val="22"/>
              </w:rPr>
            </w:pPr>
            <w:r w:rsidRPr="0030119E">
              <w:t>25,000</w:t>
            </w:r>
          </w:p>
        </w:tc>
        <w:tc>
          <w:tcPr>
            <w:tcW w:w="1641" w:type="dxa"/>
            <w:tcBorders>
              <w:top w:val="single" w:sz="4" w:space="0" w:color="auto"/>
              <w:left w:val="single" w:sz="4" w:space="0" w:color="auto"/>
              <w:bottom w:val="single" w:sz="4" w:space="0" w:color="auto"/>
              <w:right w:val="single" w:sz="4" w:space="0" w:color="auto"/>
            </w:tcBorders>
          </w:tcPr>
          <w:p w14:paraId="62249382" w14:textId="77777777" w:rsidR="008B1BA7" w:rsidRPr="004B26BC" w:rsidRDefault="008B1BA7">
            <w:pPr>
              <w:contextualSpacing/>
              <w:rPr>
                <w:rFonts w:cs="Arial"/>
                <w:szCs w:val="22"/>
              </w:rPr>
            </w:pPr>
            <w:r w:rsidRPr="004B26BC">
              <w:rPr>
                <w:rFonts w:cs="Arial"/>
                <w:szCs w:val="22"/>
              </w:rPr>
              <w:t>N/A</w:t>
            </w:r>
          </w:p>
        </w:tc>
        <w:tc>
          <w:tcPr>
            <w:tcW w:w="1706" w:type="dxa"/>
            <w:tcBorders>
              <w:top w:val="single" w:sz="4" w:space="0" w:color="auto"/>
              <w:left w:val="single" w:sz="4" w:space="0" w:color="auto"/>
              <w:bottom w:val="single" w:sz="4" w:space="0" w:color="auto"/>
              <w:right w:val="single" w:sz="4" w:space="0" w:color="auto"/>
            </w:tcBorders>
          </w:tcPr>
          <w:p w14:paraId="303BBA91" w14:textId="34ABB9C1" w:rsidR="008B1BA7" w:rsidRPr="00442534" w:rsidRDefault="4C020036">
            <w:pPr>
              <w:contextualSpacing/>
              <w:rPr>
                <w:rFonts w:cs="Arial"/>
              </w:rPr>
            </w:pPr>
            <w:r w:rsidRPr="00442534">
              <w:rPr>
                <w:rFonts w:cs="Arial"/>
              </w:rPr>
              <w:t>28,000</w:t>
            </w:r>
          </w:p>
        </w:tc>
      </w:tr>
      <w:tr w:rsidR="008B1BA7" w:rsidRPr="00963F76" w14:paraId="0C33A022" w14:textId="77777777" w:rsidTr="00010D66">
        <w:trPr>
          <w:jc w:val="center"/>
        </w:trPr>
        <w:tc>
          <w:tcPr>
            <w:tcW w:w="1271" w:type="dxa"/>
            <w:tcBorders>
              <w:top w:val="single" w:sz="4" w:space="0" w:color="auto"/>
              <w:left w:val="single" w:sz="4" w:space="0" w:color="auto"/>
              <w:bottom w:val="single" w:sz="4" w:space="0" w:color="auto"/>
              <w:right w:val="single" w:sz="4" w:space="0" w:color="auto"/>
            </w:tcBorders>
            <w:hideMark/>
          </w:tcPr>
          <w:p w14:paraId="56C27D68" w14:textId="77777777" w:rsidR="008B1BA7" w:rsidRPr="004B26BC" w:rsidRDefault="008B1BA7">
            <w:pPr>
              <w:contextualSpacing/>
              <w:rPr>
                <w:rFonts w:cs="Arial"/>
                <w:szCs w:val="22"/>
              </w:rPr>
            </w:pPr>
            <w:r w:rsidRPr="004B26BC" w:rsidDel="00143937">
              <w:rPr>
                <w:rFonts w:cs="Arial"/>
                <w:szCs w:val="22"/>
              </w:rPr>
              <w:t xml:space="preserve">No. </w:t>
            </w:r>
            <w:r w:rsidRPr="004B26BC">
              <w:rPr>
                <w:rFonts w:cs="Arial"/>
                <w:szCs w:val="22"/>
              </w:rPr>
              <w:t>of scheduled meetings/sessions</w:t>
            </w:r>
          </w:p>
        </w:tc>
        <w:tc>
          <w:tcPr>
            <w:tcW w:w="8935" w:type="dxa"/>
            <w:gridSpan w:val="6"/>
            <w:tcBorders>
              <w:top w:val="single" w:sz="4" w:space="0" w:color="auto"/>
              <w:left w:val="single" w:sz="4" w:space="0" w:color="auto"/>
              <w:bottom w:val="single" w:sz="4" w:space="0" w:color="auto"/>
              <w:right w:val="single" w:sz="4" w:space="0" w:color="auto"/>
            </w:tcBorders>
            <w:hideMark/>
          </w:tcPr>
          <w:p w14:paraId="24B75B98" w14:textId="0DB0B552" w:rsidR="00037DDF" w:rsidRPr="004B26BC" w:rsidRDefault="00037DDF" w:rsidP="00037DDF">
            <w:pPr>
              <w:contextualSpacing/>
              <w:rPr>
                <w:rFonts w:cs="Arial"/>
                <w:szCs w:val="22"/>
              </w:rPr>
            </w:pPr>
            <w:r w:rsidRPr="004B26BC">
              <w:rPr>
                <w:rFonts w:cs="Arial"/>
                <w:szCs w:val="22"/>
              </w:rPr>
              <w:t xml:space="preserve">Board: </w:t>
            </w:r>
            <w:r w:rsidR="00EE1D3E">
              <w:rPr>
                <w:rFonts w:cs="Arial"/>
                <w:szCs w:val="22"/>
              </w:rPr>
              <w:t>10</w:t>
            </w:r>
          </w:p>
          <w:p w14:paraId="327C932B" w14:textId="495DBE49" w:rsidR="00A572A2" w:rsidRPr="004B26BC" w:rsidRDefault="00A572A2" w:rsidP="00A572A2">
            <w:pPr>
              <w:contextualSpacing/>
              <w:rPr>
                <w:rFonts w:cs="Arial"/>
                <w:szCs w:val="22"/>
              </w:rPr>
            </w:pPr>
            <w:r w:rsidRPr="004B26BC">
              <w:rPr>
                <w:rFonts w:cs="Arial"/>
                <w:szCs w:val="22"/>
              </w:rPr>
              <w:t xml:space="preserve">FAR: </w:t>
            </w:r>
            <w:r w:rsidR="00EE1D3E">
              <w:rPr>
                <w:rFonts w:cs="Arial"/>
                <w:szCs w:val="22"/>
              </w:rPr>
              <w:t>4</w:t>
            </w:r>
          </w:p>
          <w:p w14:paraId="7026A6D8" w14:textId="77777777" w:rsidR="00A572A2" w:rsidRPr="004B26BC" w:rsidRDefault="00A572A2" w:rsidP="00A572A2">
            <w:pPr>
              <w:contextualSpacing/>
              <w:rPr>
                <w:rFonts w:cs="Arial"/>
                <w:szCs w:val="22"/>
              </w:rPr>
            </w:pPr>
            <w:r w:rsidRPr="004B26BC">
              <w:rPr>
                <w:rFonts w:cs="Arial"/>
                <w:szCs w:val="22"/>
              </w:rPr>
              <w:t xml:space="preserve">PCP: 4 </w:t>
            </w:r>
          </w:p>
          <w:p w14:paraId="15DB9E96" w14:textId="77777777" w:rsidR="00A572A2" w:rsidRPr="004B26BC" w:rsidRDefault="00A572A2" w:rsidP="00A572A2">
            <w:pPr>
              <w:contextualSpacing/>
              <w:rPr>
                <w:rFonts w:cs="Arial"/>
                <w:szCs w:val="22"/>
              </w:rPr>
            </w:pPr>
            <w:r w:rsidRPr="004B26BC">
              <w:rPr>
                <w:rFonts w:cs="Arial"/>
                <w:szCs w:val="22"/>
              </w:rPr>
              <w:t>INS: 4</w:t>
            </w:r>
          </w:p>
          <w:p w14:paraId="255FAC8C" w14:textId="75435D16" w:rsidR="00A572A2" w:rsidRPr="004B26BC" w:rsidRDefault="00A572A2" w:rsidP="00A572A2">
            <w:pPr>
              <w:contextualSpacing/>
              <w:rPr>
                <w:rFonts w:cs="Arial"/>
                <w:szCs w:val="22"/>
              </w:rPr>
            </w:pPr>
            <w:r w:rsidRPr="004B26BC">
              <w:rPr>
                <w:rFonts w:cs="Arial"/>
                <w:szCs w:val="22"/>
              </w:rPr>
              <w:t xml:space="preserve">IAC: </w:t>
            </w:r>
            <w:r w:rsidR="00EE1D3E">
              <w:rPr>
                <w:rFonts w:cs="Arial"/>
                <w:szCs w:val="22"/>
              </w:rPr>
              <w:t>4</w:t>
            </w:r>
          </w:p>
          <w:p w14:paraId="626B3858" w14:textId="723A62E0" w:rsidR="00A572A2" w:rsidRPr="004B26BC" w:rsidRDefault="00A572A2" w:rsidP="00A572A2">
            <w:pPr>
              <w:contextualSpacing/>
              <w:rPr>
                <w:rFonts w:cs="Arial"/>
                <w:szCs w:val="22"/>
              </w:rPr>
            </w:pPr>
            <w:r w:rsidRPr="004B26BC">
              <w:rPr>
                <w:rFonts w:cs="Arial"/>
                <w:szCs w:val="22"/>
              </w:rPr>
              <w:t xml:space="preserve">DAC: </w:t>
            </w:r>
            <w:r w:rsidR="007B5812">
              <w:rPr>
                <w:rFonts w:cs="Arial"/>
                <w:szCs w:val="22"/>
              </w:rPr>
              <w:t>5</w:t>
            </w:r>
          </w:p>
          <w:p w14:paraId="4E55C077" w14:textId="32A612D0" w:rsidR="000454CA" w:rsidRPr="004B26BC" w:rsidRDefault="00A572A2" w:rsidP="000454CA">
            <w:pPr>
              <w:contextualSpacing/>
              <w:rPr>
                <w:rFonts w:cs="Arial"/>
                <w:szCs w:val="22"/>
              </w:rPr>
            </w:pPr>
            <w:r w:rsidRPr="004B26BC">
              <w:rPr>
                <w:rFonts w:cs="Arial"/>
                <w:szCs w:val="22"/>
              </w:rPr>
              <w:t>EGP: 0</w:t>
            </w:r>
          </w:p>
          <w:p w14:paraId="64CC49AF" w14:textId="29FD58DB" w:rsidR="008B1BA7" w:rsidRPr="004B26BC" w:rsidRDefault="008B1BA7">
            <w:pPr>
              <w:contextualSpacing/>
              <w:rPr>
                <w:rFonts w:cs="Arial"/>
                <w:szCs w:val="22"/>
              </w:rPr>
            </w:pPr>
          </w:p>
        </w:tc>
      </w:tr>
      <w:tr w:rsidR="008B1BA7" w:rsidRPr="001E41ED" w14:paraId="4D544A8E" w14:textId="77777777" w:rsidTr="00010D66">
        <w:trPr>
          <w:jc w:val="center"/>
        </w:trPr>
        <w:tc>
          <w:tcPr>
            <w:tcW w:w="1271" w:type="dxa"/>
            <w:tcBorders>
              <w:top w:val="single" w:sz="4" w:space="0" w:color="auto"/>
              <w:left w:val="single" w:sz="4" w:space="0" w:color="auto"/>
              <w:bottom w:val="single" w:sz="4" w:space="0" w:color="auto"/>
              <w:right w:val="single" w:sz="4" w:space="0" w:color="auto"/>
            </w:tcBorders>
            <w:hideMark/>
          </w:tcPr>
          <w:p w14:paraId="3392FEDC" w14:textId="77777777" w:rsidR="008B1BA7" w:rsidRPr="004B26BC" w:rsidRDefault="008B1BA7">
            <w:pPr>
              <w:contextualSpacing/>
              <w:rPr>
                <w:rFonts w:cs="Arial"/>
                <w:i/>
                <w:szCs w:val="22"/>
                <w:highlight w:val="yellow"/>
              </w:rPr>
            </w:pPr>
            <w:r w:rsidRPr="004B26BC">
              <w:rPr>
                <w:rFonts w:cs="Arial"/>
                <w:szCs w:val="22"/>
              </w:rPr>
              <w:t>Total out of pocket expenses</w:t>
            </w:r>
          </w:p>
        </w:tc>
        <w:tc>
          <w:tcPr>
            <w:tcW w:w="8935" w:type="dxa"/>
            <w:gridSpan w:val="6"/>
            <w:tcBorders>
              <w:top w:val="single" w:sz="4" w:space="0" w:color="auto"/>
              <w:left w:val="single" w:sz="4" w:space="0" w:color="auto"/>
              <w:bottom w:val="single" w:sz="4" w:space="0" w:color="auto"/>
              <w:right w:val="single" w:sz="4" w:space="0" w:color="auto"/>
            </w:tcBorders>
          </w:tcPr>
          <w:p w14:paraId="294814D7" w14:textId="6F58B7F7" w:rsidR="008B1BA7" w:rsidRPr="004B26BC" w:rsidRDefault="008B1BA7">
            <w:pPr>
              <w:contextualSpacing/>
              <w:rPr>
                <w:rFonts w:cs="Arial"/>
              </w:rPr>
            </w:pPr>
            <w:r w:rsidRPr="00442534">
              <w:t>$</w:t>
            </w:r>
            <w:r w:rsidR="69CB8672" w:rsidRPr="00442534">
              <w:rPr>
                <w:rFonts w:cs="Arial"/>
              </w:rPr>
              <w:t>48,051</w:t>
            </w:r>
            <w:r w:rsidRPr="00442534">
              <w:t>.</w:t>
            </w:r>
            <w:r w:rsidRPr="00442534" w:rsidDel="006B7DB3">
              <w:t xml:space="preserve"> </w:t>
            </w:r>
            <w:r w:rsidRPr="00442534">
              <w:t>Other operational costs totalled $</w:t>
            </w:r>
            <w:r w:rsidR="00FA58E8" w:rsidRPr="00442534">
              <w:rPr>
                <w:rFonts w:cs="Arial"/>
              </w:rPr>
              <w:t xml:space="preserve"> </w:t>
            </w:r>
            <w:r w:rsidR="353294EB" w:rsidRPr="00442534">
              <w:rPr>
                <w:rFonts w:cs="Arial"/>
              </w:rPr>
              <w:t>31,184</w:t>
            </w:r>
          </w:p>
        </w:tc>
      </w:tr>
    </w:tbl>
    <w:p w14:paraId="35A3C8C2" w14:textId="77777777" w:rsidR="00C87FFE" w:rsidRDefault="00C87FFE" w:rsidP="00C87FFE">
      <w:bookmarkStart w:id="220" w:name="_Service_Trades_Council_1"/>
      <w:bookmarkEnd w:id="220"/>
    </w:p>
    <w:p w14:paraId="15345FAD" w14:textId="77777777" w:rsidR="007345BE" w:rsidRDefault="007345BE" w:rsidP="007345BE">
      <w:pPr>
        <w:pStyle w:val="Heading3"/>
        <w:rPr>
          <w:rFonts w:cs="Arial"/>
        </w:rPr>
      </w:pPr>
      <w:r w:rsidRPr="00B1152C">
        <w:t xml:space="preserve">Senior </w:t>
      </w:r>
      <w:r>
        <w:t>L</w:t>
      </w:r>
      <w:r w:rsidRPr="00B1152C">
        <w:t xml:space="preserve">eadership </w:t>
      </w:r>
      <w:r>
        <w:t>T</w:t>
      </w:r>
      <w:r w:rsidRPr="00B1152C">
        <w:t xml:space="preserve">eam </w:t>
      </w:r>
    </w:p>
    <w:p w14:paraId="7D3D0A3D" w14:textId="391620CF" w:rsidR="4A97A777" w:rsidRDefault="00013460" w:rsidP="473BD2F1">
      <w:pPr>
        <w:spacing w:before="120" w:after="120"/>
      </w:pPr>
      <w:r w:rsidRPr="20BE9D8C">
        <w:rPr>
          <w:rFonts w:eastAsia="Arial" w:cs="Arial"/>
        </w:rPr>
        <w:t>The QBCC</w:t>
      </w:r>
      <w:r w:rsidR="4A97A777" w:rsidRPr="20BE9D8C">
        <w:rPr>
          <w:rFonts w:eastAsia="Arial" w:cs="Arial"/>
        </w:rPr>
        <w:t xml:space="preserve"> Senior Leadership Team (SLT), including the Com</w:t>
      </w:r>
      <w:r w:rsidR="7C110FAC" w:rsidRPr="20BE9D8C">
        <w:rPr>
          <w:rFonts w:eastAsia="Arial" w:cs="Arial"/>
        </w:rPr>
        <w:t>missioner</w:t>
      </w:r>
      <w:r w:rsidR="00623D25" w:rsidRPr="20BE9D8C">
        <w:rPr>
          <w:rFonts w:eastAsia="Arial" w:cs="Arial"/>
        </w:rPr>
        <w:t>,</w:t>
      </w:r>
      <w:r w:rsidR="7C110FAC" w:rsidRPr="20BE9D8C">
        <w:rPr>
          <w:rFonts w:eastAsia="Arial" w:cs="Arial"/>
        </w:rPr>
        <w:t xml:space="preserve"> </w:t>
      </w:r>
      <w:r w:rsidR="00623D25" w:rsidRPr="20BE9D8C">
        <w:rPr>
          <w:rFonts w:eastAsia="Arial" w:cs="Arial"/>
        </w:rPr>
        <w:t>is</w:t>
      </w:r>
      <w:r w:rsidR="4A97A777" w:rsidRPr="20BE9D8C">
        <w:rPr>
          <w:rFonts w:eastAsia="Arial" w:cs="Arial"/>
        </w:rPr>
        <w:t xml:space="preserve"> responsible for providing strategic and operational oversight of the </w:t>
      </w:r>
      <w:r w:rsidR="00921CE2" w:rsidRPr="20BE9D8C">
        <w:rPr>
          <w:rFonts w:eastAsia="Arial" w:cs="Arial"/>
        </w:rPr>
        <w:t>QBCC</w:t>
      </w:r>
      <w:r w:rsidR="00623D25" w:rsidRPr="20BE9D8C">
        <w:rPr>
          <w:rFonts w:eastAsia="Arial" w:cs="Arial"/>
        </w:rPr>
        <w:t xml:space="preserve"> </w:t>
      </w:r>
      <w:r w:rsidR="4A97A777" w:rsidRPr="20BE9D8C">
        <w:rPr>
          <w:rFonts w:eastAsia="Arial" w:cs="Arial"/>
        </w:rPr>
        <w:t xml:space="preserve">and implementing strategies to help </w:t>
      </w:r>
      <w:r w:rsidR="00623D25" w:rsidRPr="20BE9D8C">
        <w:rPr>
          <w:rFonts w:eastAsia="Arial" w:cs="Arial"/>
        </w:rPr>
        <w:t>the organisation to</w:t>
      </w:r>
      <w:r w:rsidR="4A97A777" w:rsidRPr="20BE9D8C">
        <w:rPr>
          <w:rFonts w:eastAsia="Arial" w:cs="Arial"/>
        </w:rPr>
        <w:t xml:space="preserve"> achieve</w:t>
      </w:r>
      <w:r w:rsidR="00623D25" w:rsidRPr="20BE9D8C">
        <w:rPr>
          <w:rFonts w:eastAsia="Arial" w:cs="Arial"/>
        </w:rPr>
        <w:t xml:space="preserve"> its</w:t>
      </w:r>
      <w:r w:rsidR="4A97A777" w:rsidRPr="20BE9D8C" w:rsidDel="00623D25">
        <w:rPr>
          <w:rFonts w:eastAsia="Arial" w:cs="Arial"/>
        </w:rPr>
        <w:t xml:space="preserve"> </w:t>
      </w:r>
      <w:r w:rsidR="4A97A777" w:rsidRPr="20BE9D8C">
        <w:rPr>
          <w:rFonts w:eastAsia="Arial" w:cs="Arial"/>
        </w:rPr>
        <w:t>objectives.</w:t>
      </w:r>
    </w:p>
    <w:p w14:paraId="63D2A7F4" w14:textId="4C22FA1A" w:rsidR="007345BE" w:rsidRPr="00557862" w:rsidRDefault="00D60301" w:rsidP="007345BE">
      <w:pPr>
        <w:pStyle w:val="Caption"/>
        <w:keepNext/>
        <w:spacing w:before="120" w:after="120"/>
      </w:pPr>
      <w:r w:rsidRPr="00A57D9E">
        <w:fldChar w:fldCharType="begin"/>
      </w:r>
      <w:r>
        <w:instrText xml:space="preserve"> REF _Ref203982265 \h </w:instrText>
      </w:r>
      <w:r w:rsidRPr="00A57D9E">
        <w:fldChar w:fldCharType="separate"/>
      </w:r>
      <w:r w:rsidRPr="00A57D9E">
        <w:fldChar w:fldCharType="end"/>
      </w:r>
      <w:bookmarkStart w:id="221" w:name="_Ref203982265"/>
      <w:bookmarkStart w:id="222" w:name="_Toc202872065"/>
      <w:bookmarkStart w:id="223" w:name="_Toc202872685"/>
      <w:r w:rsidR="007345BE">
        <w:t xml:space="preserve">Table </w:t>
      </w:r>
      <w:r w:rsidR="00A955BE">
        <w:t>34</w:t>
      </w:r>
      <w:r w:rsidR="007345BE">
        <w:fldChar w:fldCharType="begin"/>
      </w:r>
      <w:r w:rsidR="007345BE">
        <w:instrText>SEQ Table \* ARABIC</w:instrText>
      </w:r>
      <w:r w:rsidR="007345BE">
        <w:fldChar w:fldCharType="separate"/>
      </w:r>
      <w:r w:rsidR="007345BE">
        <w:fldChar w:fldCharType="end"/>
      </w:r>
      <w:bookmarkEnd w:id="221"/>
      <w:r w:rsidR="007345BE">
        <w:t xml:space="preserve">: </w:t>
      </w:r>
      <w:bookmarkStart w:id="224" w:name="_Ref202873630"/>
      <w:r w:rsidR="007345BE">
        <w:t>SLT</w:t>
      </w:r>
      <w:r w:rsidR="007345BE" w:rsidRPr="00E20334">
        <w:t xml:space="preserve"> </w:t>
      </w:r>
      <w:r w:rsidR="0052373A">
        <w:t>members</w:t>
      </w:r>
      <w:r w:rsidR="006176A5">
        <w:t xml:space="preserve"> and</w:t>
      </w:r>
      <w:r w:rsidR="006176A5" w:rsidRPr="006176A5">
        <w:t xml:space="preserve"> their profiles as of 30 June 2025</w:t>
      </w:r>
      <w:bookmarkEnd w:id="222"/>
      <w:bookmarkEnd w:id="223"/>
      <w:bookmarkEnd w:id="224"/>
    </w:p>
    <w:tbl>
      <w:tblPr>
        <w:tblStyle w:val="TableGrid"/>
        <w:tblW w:w="0" w:type="auto"/>
        <w:tblLook w:val="04A0" w:firstRow="1" w:lastRow="0" w:firstColumn="1" w:lastColumn="0" w:noHBand="0" w:noVBand="1"/>
      </w:tblPr>
      <w:tblGrid>
        <w:gridCol w:w="2830"/>
        <w:gridCol w:w="7620"/>
      </w:tblGrid>
      <w:tr w:rsidR="007345BE" w:rsidRPr="007007D1" w14:paraId="72FC1C49" w14:textId="77777777" w:rsidTr="00377E43">
        <w:trPr>
          <w:trHeight w:val="310"/>
        </w:trPr>
        <w:tc>
          <w:tcPr>
            <w:tcW w:w="2830" w:type="dxa"/>
            <w:shd w:val="clear" w:color="auto" w:fill="A6A6A6" w:themeFill="background1" w:themeFillShade="A6"/>
            <w:vAlign w:val="center"/>
          </w:tcPr>
          <w:p w14:paraId="23822AD6" w14:textId="77777777" w:rsidR="007345BE" w:rsidRPr="004A2C19" w:rsidRDefault="007345BE">
            <w:pPr>
              <w:rPr>
                <w:rFonts w:cs="Arial"/>
                <w:b/>
              </w:rPr>
            </w:pPr>
            <w:r w:rsidRPr="004A2C19">
              <w:rPr>
                <w:rFonts w:cs="Arial"/>
                <w:b/>
              </w:rPr>
              <w:t xml:space="preserve">Name and </w:t>
            </w:r>
            <w:r>
              <w:rPr>
                <w:rFonts w:cs="Arial"/>
                <w:b/>
              </w:rPr>
              <w:t>p</w:t>
            </w:r>
            <w:r w:rsidRPr="004A2C19">
              <w:rPr>
                <w:rFonts w:cs="Arial"/>
                <w:b/>
              </w:rPr>
              <w:t xml:space="preserve">osition </w:t>
            </w:r>
          </w:p>
        </w:tc>
        <w:tc>
          <w:tcPr>
            <w:tcW w:w="7620" w:type="dxa"/>
            <w:shd w:val="clear" w:color="auto" w:fill="A6A6A6" w:themeFill="background1" w:themeFillShade="A6"/>
            <w:vAlign w:val="center"/>
          </w:tcPr>
          <w:p w14:paraId="53B21C7F" w14:textId="77777777" w:rsidR="007345BE" w:rsidRPr="004A2C19" w:rsidRDefault="007345BE">
            <w:pPr>
              <w:rPr>
                <w:rFonts w:cs="Arial"/>
                <w:b/>
              </w:rPr>
            </w:pPr>
            <w:r w:rsidRPr="004A2C19">
              <w:rPr>
                <w:rFonts w:cs="Arial"/>
                <w:b/>
              </w:rPr>
              <w:t xml:space="preserve">Profile </w:t>
            </w:r>
          </w:p>
        </w:tc>
      </w:tr>
      <w:tr w:rsidR="007345BE" w:rsidRPr="00DF0645" w14:paraId="6C7CB8C8" w14:textId="77777777" w:rsidTr="00377E43">
        <w:tc>
          <w:tcPr>
            <w:tcW w:w="2830" w:type="dxa"/>
          </w:tcPr>
          <w:p w14:paraId="4CD608CA" w14:textId="77777777" w:rsidR="007345BE" w:rsidRDefault="007345BE">
            <w:pPr>
              <w:rPr>
                <w:rFonts w:cs="Arial"/>
                <w:b/>
              </w:rPr>
            </w:pPr>
            <w:r w:rsidRPr="00C36D93">
              <w:rPr>
                <w:rFonts w:cs="Arial"/>
                <w:b/>
              </w:rPr>
              <w:t>Angelo Lambrinos</w:t>
            </w:r>
          </w:p>
          <w:p w14:paraId="4A1C195B" w14:textId="77777777" w:rsidR="007345BE" w:rsidRDefault="007345BE">
            <w:pPr>
              <w:rPr>
                <w:rFonts w:cs="Arial"/>
              </w:rPr>
            </w:pPr>
            <w:r w:rsidRPr="002114A5">
              <w:rPr>
                <w:rFonts w:cs="Arial"/>
              </w:rPr>
              <w:t>CEO and Commissioner</w:t>
            </w:r>
          </w:p>
          <w:p w14:paraId="33058815" w14:textId="77777777" w:rsidR="007345BE" w:rsidRPr="002114A5" w:rsidRDefault="007345BE">
            <w:pPr>
              <w:rPr>
                <w:rFonts w:cs="Arial"/>
              </w:rPr>
            </w:pPr>
          </w:p>
        </w:tc>
        <w:tc>
          <w:tcPr>
            <w:tcW w:w="7620" w:type="dxa"/>
          </w:tcPr>
          <w:p w14:paraId="7642672A" w14:textId="56ACCF7E" w:rsidR="007345BE" w:rsidRPr="003453AA" w:rsidRDefault="007345BE">
            <w:pPr>
              <w:rPr>
                <w:rFonts w:cs="Arial"/>
              </w:rPr>
            </w:pPr>
            <w:r w:rsidRPr="00B95C1F">
              <w:rPr>
                <w:rFonts w:cs="Arial"/>
              </w:rPr>
              <w:t xml:space="preserve">Angelo is a </w:t>
            </w:r>
            <w:r w:rsidR="00F86404">
              <w:rPr>
                <w:rFonts w:cs="Arial"/>
              </w:rPr>
              <w:t xml:space="preserve">senior </w:t>
            </w:r>
            <w:r w:rsidRPr="00B95C1F">
              <w:rPr>
                <w:rFonts w:cs="Arial"/>
              </w:rPr>
              <w:t xml:space="preserve">executive and </w:t>
            </w:r>
            <w:r w:rsidR="005100C1">
              <w:rPr>
                <w:rFonts w:cs="Arial"/>
              </w:rPr>
              <w:t>C</w:t>
            </w:r>
            <w:r w:rsidRPr="00B95C1F">
              <w:rPr>
                <w:rFonts w:cs="Arial"/>
              </w:rPr>
              <w:t xml:space="preserve">hartered </w:t>
            </w:r>
            <w:r w:rsidR="005100C1">
              <w:rPr>
                <w:rFonts w:cs="Arial"/>
              </w:rPr>
              <w:t>P</w:t>
            </w:r>
            <w:r w:rsidRPr="00B95C1F">
              <w:rPr>
                <w:rFonts w:cs="Arial"/>
              </w:rPr>
              <w:t xml:space="preserve">rofessional </w:t>
            </w:r>
            <w:r w:rsidR="005100C1">
              <w:rPr>
                <w:rFonts w:cs="Arial"/>
              </w:rPr>
              <w:t>E</w:t>
            </w:r>
            <w:r w:rsidRPr="00B95C1F">
              <w:rPr>
                <w:rFonts w:cs="Arial"/>
              </w:rPr>
              <w:t xml:space="preserve">ngineer with </w:t>
            </w:r>
            <w:r w:rsidR="00F30BB0">
              <w:rPr>
                <w:rFonts w:cs="Arial"/>
              </w:rPr>
              <w:t>over 25 years</w:t>
            </w:r>
            <w:r w:rsidR="00F5729C">
              <w:rPr>
                <w:rFonts w:cs="Arial"/>
              </w:rPr>
              <w:t xml:space="preserve"> of</w:t>
            </w:r>
            <w:r w:rsidR="00F30BB0">
              <w:rPr>
                <w:rFonts w:cs="Arial"/>
              </w:rPr>
              <w:t xml:space="preserve"> experience driving </w:t>
            </w:r>
            <w:r w:rsidRPr="00B95C1F">
              <w:rPr>
                <w:rFonts w:cs="Arial"/>
              </w:rPr>
              <w:t xml:space="preserve">organisational </w:t>
            </w:r>
            <w:r w:rsidR="0069058F">
              <w:rPr>
                <w:rFonts w:cs="Arial"/>
              </w:rPr>
              <w:t xml:space="preserve">transformation </w:t>
            </w:r>
            <w:r w:rsidRPr="00B95C1F">
              <w:rPr>
                <w:rFonts w:cs="Arial"/>
              </w:rPr>
              <w:t xml:space="preserve">through strategic leadership. </w:t>
            </w:r>
            <w:r w:rsidR="004859F4">
              <w:rPr>
                <w:rFonts w:cs="Arial"/>
              </w:rPr>
              <w:t xml:space="preserve">With </w:t>
            </w:r>
            <w:r w:rsidR="00713910">
              <w:rPr>
                <w:rFonts w:cs="Arial"/>
              </w:rPr>
              <w:t xml:space="preserve">a </w:t>
            </w:r>
            <w:r w:rsidR="00F06952">
              <w:rPr>
                <w:rFonts w:cs="Arial"/>
              </w:rPr>
              <w:t xml:space="preserve">diverse </w:t>
            </w:r>
            <w:r w:rsidR="00B25D93">
              <w:rPr>
                <w:rFonts w:cs="Arial"/>
              </w:rPr>
              <w:t>background span</w:t>
            </w:r>
            <w:r w:rsidR="00270041">
              <w:rPr>
                <w:rFonts w:cs="Arial"/>
              </w:rPr>
              <w:t xml:space="preserve">ning </w:t>
            </w:r>
            <w:r w:rsidRPr="00B95C1F">
              <w:rPr>
                <w:rFonts w:cs="Arial"/>
              </w:rPr>
              <w:t xml:space="preserve">construction, financial services and operations, </w:t>
            </w:r>
            <w:r w:rsidR="00713910">
              <w:rPr>
                <w:rFonts w:cs="Arial"/>
              </w:rPr>
              <w:t xml:space="preserve">Angelo </w:t>
            </w:r>
            <w:r w:rsidR="00DC7CC2">
              <w:rPr>
                <w:rFonts w:cs="Arial"/>
              </w:rPr>
              <w:t xml:space="preserve">has successfully </w:t>
            </w:r>
            <w:r w:rsidRPr="00B95C1F">
              <w:rPr>
                <w:rFonts w:cs="Arial"/>
              </w:rPr>
              <w:t>led large-scale transformation</w:t>
            </w:r>
            <w:r w:rsidR="000A561B">
              <w:rPr>
                <w:rFonts w:cs="Arial"/>
              </w:rPr>
              <w:t>s</w:t>
            </w:r>
            <w:r w:rsidR="00DC7CC2">
              <w:rPr>
                <w:rFonts w:cs="Arial"/>
              </w:rPr>
              <w:t xml:space="preserve"> </w:t>
            </w:r>
            <w:r w:rsidR="002D662E">
              <w:rPr>
                <w:rFonts w:cs="Arial"/>
              </w:rPr>
              <w:t>that have</w:t>
            </w:r>
            <w:r w:rsidR="00CE7B41">
              <w:rPr>
                <w:rFonts w:cs="Arial"/>
              </w:rPr>
              <w:t xml:space="preserve"> delivered improved </w:t>
            </w:r>
            <w:r w:rsidRPr="00B95C1F">
              <w:rPr>
                <w:rFonts w:cs="Arial"/>
              </w:rPr>
              <w:t>service responsiveness</w:t>
            </w:r>
            <w:r w:rsidR="004500E4">
              <w:rPr>
                <w:rFonts w:cs="Arial"/>
              </w:rPr>
              <w:t xml:space="preserve"> and </w:t>
            </w:r>
            <w:r w:rsidRPr="00B95C1F">
              <w:rPr>
                <w:rFonts w:cs="Arial"/>
              </w:rPr>
              <w:t>increased customer satisfaction</w:t>
            </w:r>
            <w:r w:rsidR="007A0A53">
              <w:rPr>
                <w:rFonts w:cs="Arial"/>
              </w:rPr>
              <w:t xml:space="preserve">. </w:t>
            </w:r>
            <w:r w:rsidR="00CD4EC0">
              <w:rPr>
                <w:rFonts w:cs="Arial"/>
              </w:rPr>
              <w:t xml:space="preserve">He has built his </w:t>
            </w:r>
            <w:r w:rsidR="00015B98">
              <w:rPr>
                <w:rFonts w:cs="Arial"/>
              </w:rPr>
              <w:t>credibility and reputation</w:t>
            </w:r>
            <w:r w:rsidRPr="00B95C1F">
              <w:rPr>
                <w:rFonts w:cs="Arial"/>
              </w:rPr>
              <w:t xml:space="preserve"> </w:t>
            </w:r>
            <w:r w:rsidR="000B1B92">
              <w:rPr>
                <w:rFonts w:cs="Arial"/>
              </w:rPr>
              <w:t>su</w:t>
            </w:r>
            <w:r w:rsidR="003747F0">
              <w:rPr>
                <w:rFonts w:cs="Arial"/>
              </w:rPr>
              <w:t xml:space="preserve">ccessfully </w:t>
            </w:r>
            <w:r w:rsidR="005A42CC">
              <w:rPr>
                <w:rFonts w:cs="Arial"/>
              </w:rPr>
              <w:t>delivering</w:t>
            </w:r>
            <w:r w:rsidR="008B3471">
              <w:rPr>
                <w:rFonts w:cs="Arial"/>
              </w:rPr>
              <w:t xml:space="preserve"> </w:t>
            </w:r>
            <w:r w:rsidRPr="00B95C1F">
              <w:rPr>
                <w:rFonts w:cs="Arial"/>
              </w:rPr>
              <w:t>major infrastructure, corporate and asset</w:t>
            </w:r>
            <w:r w:rsidR="008B3471">
              <w:rPr>
                <w:rFonts w:cs="Arial"/>
              </w:rPr>
              <w:t>-</w:t>
            </w:r>
            <w:r w:rsidRPr="00B95C1F">
              <w:rPr>
                <w:rFonts w:cs="Arial"/>
              </w:rPr>
              <w:t>intensive portfolios</w:t>
            </w:r>
            <w:r w:rsidR="00A10DC8">
              <w:rPr>
                <w:rFonts w:cs="Arial"/>
              </w:rPr>
              <w:t xml:space="preserve"> and building high performing and </w:t>
            </w:r>
            <w:r w:rsidR="002B0713">
              <w:rPr>
                <w:rFonts w:cs="Arial"/>
              </w:rPr>
              <w:t>highly engaged</w:t>
            </w:r>
            <w:r w:rsidR="002D15AB">
              <w:rPr>
                <w:rFonts w:cs="Arial"/>
              </w:rPr>
              <w:t xml:space="preserve"> and optimised</w:t>
            </w:r>
            <w:r w:rsidR="002B0713">
              <w:rPr>
                <w:rFonts w:cs="Arial"/>
              </w:rPr>
              <w:t xml:space="preserve"> orga</w:t>
            </w:r>
            <w:r w:rsidR="00A866D0">
              <w:rPr>
                <w:rFonts w:cs="Arial"/>
              </w:rPr>
              <w:t>n</w:t>
            </w:r>
            <w:r w:rsidR="002B0713">
              <w:rPr>
                <w:rFonts w:cs="Arial"/>
              </w:rPr>
              <w:t>isations</w:t>
            </w:r>
            <w:r w:rsidRPr="00B95C1F">
              <w:rPr>
                <w:rFonts w:cs="Arial"/>
              </w:rPr>
              <w:t>.</w:t>
            </w:r>
          </w:p>
        </w:tc>
      </w:tr>
      <w:tr w:rsidR="007345BE" w:rsidRPr="00DF0645" w14:paraId="31F3A14A" w14:textId="77777777" w:rsidTr="00377E43">
        <w:tc>
          <w:tcPr>
            <w:tcW w:w="2830" w:type="dxa"/>
          </w:tcPr>
          <w:p w14:paraId="07C9BAAF" w14:textId="77777777" w:rsidR="007345BE" w:rsidRPr="004A2C19" w:rsidRDefault="007345BE">
            <w:pPr>
              <w:rPr>
                <w:rFonts w:cs="Arial"/>
                <w:b/>
              </w:rPr>
            </w:pPr>
            <w:r w:rsidRPr="004A2C19">
              <w:rPr>
                <w:rFonts w:cs="Arial"/>
                <w:b/>
              </w:rPr>
              <w:t>Skye Bowie</w:t>
            </w:r>
          </w:p>
          <w:p w14:paraId="610B7FF3" w14:textId="77777777" w:rsidR="007345BE" w:rsidRPr="00DF0645" w:rsidRDefault="007345BE">
            <w:pPr>
              <w:rPr>
                <w:rFonts w:cs="Arial"/>
              </w:rPr>
            </w:pPr>
            <w:r w:rsidRPr="00DF0645">
              <w:rPr>
                <w:rFonts w:cs="Arial"/>
              </w:rPr>
              <w:lastRenderedPageBreak/>
              <w:t>A</w:t>
            </w:r>
            <w:r>
              <w:rPr>
                <w:rFonts w:cs="Arial"/>
              </w:rPr>
              <w:t xml:space="preserve">cting </w:t>
            </w:r>
            <w:r w:rsidRPr="00DF0645">
              <w:rPr>
                <w:rFonts w:cs="Arial"/>
              </w:rPr>
              <w:t>Chief Building Regulator</w:t>
            </w:r>
          </w:p>
          <w:p w14:paraId="113865D9" w14:textId="77777777" w:rsidR="007345BE" w:rsidRPr="00DF0645" w:rsidRDefault="007345BE">
            <w:pPr>
              <w:rPr>
                <w:rFonts w:cs="Arial"/>
                <w:b/>
              </w:rPr>
            </w:pPr>
          </w:p>
        </w:tc>
        <w:tc>
          <w:tcPr>
            <w:tcW w:w="7620" w:type="dxa"/>
          </w:tcPr>
          <w:p w14:paraId="3BA7DDC5" w14:textId="68A34B2C" w:rsidR="007345BE" w:rsidRPr="003453AA" w:rsidRDefault="007345BE">
            <w:pPr>
              <w:rPr>
                <w:rFonts w:cs="Arial"/>
              </w:rPr>
            </w:pPr>
            <w:r w:rsidRPr="009748C6">
              <w:rPr>
                <w:rFonts w:cs="Arial"/>
              </w:rPr>
              <w:lastRenderedPageBreak/>
              <w:t xml:space="preserve">Skye is an executive leader </w:t>
            </w:r>
            <w:r w:rsidR="003968C5">
              <w:rPr>
                <w:rFonts w:cs="Arial"/>
              </w:rPr>
              <w:t xml:space="preserve">and </w:t>
            </w:r>
            <w:r w:rsidR="00BC35A7">
              <w:rPr>
                <w:rFonts w:cs="Arial"/>
              </w:rPr>
              <w:t>lawyer</w:t>
            </w:r>
            <w:r w:rsidR="003968C5">
              <w:rPr>
                <w:rFonts w:cs="Arial"/>
              </w:rPr>
              <w:t xml:space="preserve"> </w:t>
            </w:r>
            <w:r w:rsidRPr="009748C6">
              <w:rPr>
                <w:rFonts w:cs="Arial"/>
              </w:rPr>
              <w:t xml:space="preserve">with </w:t>
            </w:r>
            <w:r w:rsidR="00BC35A7">
              <w:rPr>
                <w:rFonts w:cs="Arial"/>
              </w:rPr>
              <w:t>extensive</w:t>
            </w:r>
            <w:r w:rsidR="00386B81">
              <w:rPr>
                <w:rFonts w:cs="Arial"/>
              </w:rPr>
              <w:t xml:space="preserve"> </w:t>
            </w:r>
            <w:r w:rsidRPr="009748C6">
              <w:rPr>
                <w:rFonts w:cs="Arial"/>
              </w:rPr>
              <w:t xml:space="preserve">experience </w:t>
            </w:r>
            <w:r w:rsidR="00386B81">
              <w:rPr>
                <w:rFonts w:cs="Arial"/>
              </w:rPr>
              <w:t>across</w:t>
            </w:r>
            <w:r w:rsidRPr="009748C6">
              <w:rPr>
                <w:rFonts w:cs="Arial"/>
              </w:rPr>
              <w:t xml:space="preserve"> </w:t>
            </w:r>
            <w:r w:rsidR="00DA38A5" w:rsidRPr="009748C6">
              <w:rPr>
                <w:rFonts w:cs="Arial"/>
              </w:rPr>
              <w:t>regulat</w:t>
            </w:r>
            <w:r w:rsidR="00DA38A5">
              <w:rPr>
                <w:rFonts w:cs="Arial"/>
              </w:rPr>
              <w:t>ory</w:t>
            </w:r>
            <w:r w:rsidRPr="009748C6">
              <w:rPr>
                <w:rFonts w:cs="Arial"/>
              </w:rPr>
              <w:t>,</w:t>
            </w:r>
            <w:r w:rsidR="00DA38A5">
              <w:rPr>
                <w:rFonts w:cs="Arial"/>
              </w:rPr>
              <w:t xml:space="preserve"> legal,</w:t>
            </w:r>
            <w:r w:rsidRPr="009748C6">
              <w:rPr>
                <w:rFonts w:cs="Arial"/>
              </w:rPr>
              <w:t xml:space="preserve"> financial services</w:t>
            </w:r>
            <w:r w:rsidR="007C48CA">
              <w:rPr>
                <w:rFonts w:cs="Arial"/>
              </w:rPr>
              <w:t>,</w:t>
            </w:r>
            <w:r w:rsidRPr="009748C6">
              <w:rPr>
                <w:rFonts w:cs="Arial"/>
              </w:rPr>
              <w:t xml:space="preserve"> and building</w:t>
            </w:r>
            <w:r w:rsidR="00581519">
              <w:rPr>
                <w:rFonts w:cs="Arial"/>
              </w:rPr>
              <w:t xml:space="preserve"> and construction</w:t>
            </w:r>
            <w:r w:rsidRPr="009748C6">
              <w:rPr>
                <w:rFonts w:cs="Arial"/>
              </w:rPr>
              <w:t xml:space="preserve"> </w:t>
            </w:r>
            <w:r w:rsidRPr="009748C6">
              <w:rPr>
                <w:rFonts w:cs="Arial"/>
              </w:rPr>
              <w:lastRenderedPageBreak/>
              <w:t>industr</w:t>
            </w:r>
            <w:r w:rsidR="00DA38A5">
              <w:rPr>
                <w:rFonts w:cs="Arial"/>
              </w:rPr>
              <w:t>ies</w:t>
            </w:r>
            <w:r w:rsidRPr="009748C6">
              <w:rPr>
                <w:rFonts w:cs="Arial"/>
              </w:rPr>
              <w:t xml:space="preserve">. </w:t>
            </w:r>
            <w:r w:rsidR="0026391A">
              <w:rPr>
                <w:rFonts w:cs="Arial"/>
              </w:rPr>
              <w:t>Skye</w:t>
            </w:r>
            <w:r w:rsidR="0026391A" w:rsidRPr="009748C6">
              <w:rPr>
                <w:rFonts w:cs="Arial"/>
              </w:rPr>
              <w:t xml:space="preserve"> </w:t>
            </w:r>
            <w:r w:rsidRPr="009748C6">
              <w:rPr>
                <w:rFonts w:cs="Arial"/>
              </w:rPr>
              <w:t xml:space="preserve">has led significant strategic reforms </w:t>
            </w:r>
            <w:r w:rsidR="008446CC">
              <w:rPr>
                <w:rFonts w:cs="Arial"/>
              </w:rPr>
              <w:t>to</w:t>
            </w:r>
            <w:r w:rsidRPr="009748C6">
              <w:rPr>
                <w:rFonts w:cs="Arial"/>
              </w:rPr>
              <w:t xml:space="preserve"> enhance service delivery and </w:t>
            </w:r>
            <w:r w:rsidR="008446CC">
              <w:rPr>
                <w:rFonts w:cs="Arial"/>
              </w:rPr>
              <w:t xml:space="preserve">strengthen </w:t>
            </w:r>
            <w:r w:rsidR="0083238B">
              <w:rPr>
                <w:rFonts w:cs="Arial"/>
              </w:rPr>
              <w:t xml:space="preserve">governance and </w:t>
            </w:r>
            <w:r w:rsidRPr="009748C6">
              <w:rPr>
                <w:rFonts w:cs="Arial"/>
              </w:rPr>
              <w:t xml:space="preserve">compliance. </w:t>
            </w:r>
            <w:r w:rsidR="00376EBE">
              <w:rPr>
                <w:rFonts w:cs="Arial"/>
              </w:rPr>
              <w:t xml:space="preserve">Skye is committed to </w:t>
            </w:r>
            <w:r w:rsidRPr="009748C6">
              <w:rPr>
                <w:rFonts w:cs="Arial"/>
              </w:rPr>
              <w:t>reduc</w:t>
            </w:r>
            <w:r w:rsidR="00376EBE">
              <w:rPr>
                <w:rFonts w:cs="Arial"/>
              </w:rPr>
              <w:t xml:space="preserve">ing </w:t>
            </w:r>
            <w:r w:rsidRPr="009748C6">
              <w:rPr>
                <w:rFonts w:cs="Arial"/>
              </w:rPr>
              <w:t xml:space="preserve">risk and harm in Queensland's </w:t>
            </w:r>
            <w:r w:rsidR="003A20D6">
              <w:rPr>
                <w:rFonts w:cs="Arial"/>
              </w:rPr>
              <w:t xml:space="preserve">building and </w:t>
            </w:r>
            <w:r w:rsidRPr="009748C6">
              <w:rPr>
                <w:rFonts w:cs="Arial"/>
              </w:rPr>
              <w:t xml:space="preserve">construction industry by </w:t>
            </w:r>
            <w:r w:rsidR="00CD7093">
              <w:rPr>
                <w:rFonts w:cs="Arial"/>
              </w:rPr>
              <w:t>harnessing</w:t>
            </w:r>
            <w:r w:rsidRPr="009748C6">
              <w:rPr>
                <w:rFonts w:cs="Arial"/>
              </w:rPr>
              <w:t xml:space="preserve"> innovative technology and </w:t>
            </w:r>
            <w:r w:rsidR="00DE3318">
              <w:rPr>
                <w:rFonts w:cs="Arial"/>
              </w:rPr>
              <w:t>developing</w:t>
            </w:r>
            <w:r w:rsidR="00CD7093">
              <w:rPr>
                <w:rFonts w:cs="Arial"/>
              </w:rPr>
              <w:t xml:space="preserve"> </w:t>
            </w:r>
            <w:r w:rsidRPr="009748C6">
              <w:rPr>
                <w:rFonts w:cs="Arial"/>
              </w:rPr>
              <w:t>collaborative partnerships</w:t>
            </w:r>
            <w:r w:rsidR="00CD7093">
              <w:rPr>
                <w:rFonts w:cs="Arial"/>
              </w:rPr>
              <w:t xml:space="preserve">, </w:t>
            </w:r>
            <w:r w:rsidR="004D179D">
              <w:rPr>
                <w:rFonts w:cs="Arial"/>
              </w:rPr>
              <w:t xml:space="preserve">with a focus on </w:t>
            </w:r>
            <w:r w:rsidRPr="009748C6">
              <w:rPr>
                <w:rFonts w:cs="Arial"/>
              </w:rPr>
              <w:t>creat</w:t>
            </w:r>
            <w:r w:rsidR="004D179D">
              <w:rPr>
                <w:rFonts w:cs="Arial"/>
              </w:rPr>
              <w:t xml:space="preserve">ing </w:t>
            </w:r>
            <w:r w:rsidRPr="009748C6">
              <w:rPr>
                <w:rFonts w:cs="Arial"/>
              </w:rPr>
              <w:t>a more sustainable</w:t>
            </w:r>
            <w:r w:rsidR="003A20D6">
              <w:rPr>
                <w:rFonts w:cs="Arial"/>
              </w:rPr>
              <w:t xml:space="preserve"> and </w:t>
            </w:r>
            <w:r w:rsidRPr="009748C6">
              <w:rPr>
                <w:rFonts w:cs="Arial"/>
              </w:rPr>
              <w:t xml:space="preserve">customer-focused regulatory </w:t>
            </w:r>
            <w:r w:rsidR="004D179D">
              <w:rPr>
                <w:rFonts w:cs="Arial"/>
              </w:rPr>
              <w:t>environment</w:t>
            </w:r>
            <w:r w:rsidRPr="009748C6">
              <w:rPr>
                <w:rFonts w:cs="Arial"/>
              </w:rPr>
              <w:t>.</w:t>
            </w:r>
          </w:p>
        </w:tc>
      </w:tr>
      <w:tr w:rsidR="007345BE" w:rsidRPr="00DF0645" w14:paraId="0C58692D" w14:textId="77777777" w:rsidTr="00377E43">
        <w:tc>
          <w:tcPr>
            <w:tcW w:w="2830" w:type="dxa"/>
          </w:tcPr>
          <w:p w14:paraId="6A7F5BBD" w14:textId="77777777" w:rsidR="007345BE" w:rsidRPr="004A2C19" w:rsidRDefault="007345BE">
            <w:pPr>
              <w:rPr>
                <w:rFonts w:cs="Arial"/>
                <w:b/>
              </w:rPr>
            </w:pPr>
            <w:r w:rsidRPr="004A2C19">
              <w:rPr>
                <w:rFonts w:cs="Arial"/>
                <w:b/>
              </w:rPr>
              <w:lastRenderedPageBreak/>
              <w:t>Chris McCahon</w:t>
            </w:r>
          </w:p>
          <w:p w14:paraId="32EF42EB" w14:textId="77777777" w:rsidR="007345BE" w:rsidRPr="00DF0645" w:rsidRDefault="007345BE">
            <w:pPr>
              <w:rPr>
                <w:rFonts w:cs="Arial"/>
              </w:rPr>
            </w:pPr>
            <w:r w:rsidRPr="00DF0645">
              <w:rPr>
                <w:rFonts w:cs="Arial"/>
              </w:rPr>
              <w:t>Assistant Commissioner Regulatory Standards and Support</w:t>
            </w:r>
          </w:p>
          <w:p w14:paraId="1FE7025F" w14:textId="77777777" w:rsidR="007345BE" w:rsidRPr="00DF0645" w:rsidRDefault="007345BE">
            <w:pPr>
              <w:rPr>
                <w:rFonts w:cs="Arial"/>
                <w:b/>
              </w:rPr>
            </w:pPr>
            <w:r w:rsidRPr="00DF0645">
              <w:rPr>
                <w:rFonts w:cs="Arial"/>
                <w:b/>
              </w:rPr>
              <w:t xml:space="preserve"> </w:t>
            </w:r>
          </w:p>
        </w:tc>
        <w:tc>
          <w:tcPr>
            <w:tcW w:w="7620" w:type="dxa"/>
          </w:tcPr>
          <w:p w14:paraId="7C52B78C" w14:textId="2A610527" w:rsidR="007345BE" w:rsidRPr="004B26BC" w:rsidRDefault="007345BE">
            <w:pPr>
              <w:rPr>
                <w:rFonts w:cs="Arial"/>
              </w:rPr>
            </w:pPr>
            <w:r w:rsidRPr="004B26BC">
              <w:rPr>
                <w:rFonts w:cs="Arial"/>
                <w:bCs/>
              </w:rPr>
              <w:t>Chris is</w:t>
            </w:r>
            <w:r w:rsidR="00446DFA">
              <w:rPr>
                <w:rFonts w:cs="Arial"/>
                <w:bCs/>
              </w:rPr>
              <w:t xml:space="preserve"> a </w:t>
            </w:r>
            <w:r w:rsidRPr="004B26BC">
              <w:rPr>
                <w:rFonts w:cs="Arial"/>
                <w:bCs/>
              </w:rPr>
              <w:t xml:space="preserve">leader with </w:t>
            </w:r>
            <w:r w:rsidR="00595603">
              <w:rPr>
                <w:rFonts w:cs="Arial"/>
                <w:bCs/>
              </w:rPr>
              <w:t>16</w:t>
            </w:r>
            <w:r w:rsidRPr="004B26BC">
              <w:rPr>
                <w:rFonts w:cs="Arial"/>
                <w:bCs/>
              </w:rPr>
              <w:t xml:space="preserve"> years</w:t>
            </w:r>
            <w:r w:rsidR="008A60BA">
              <w:rPr>
                <w:rFonts w:cs="Arial"/>
                <w:bCs/>
              </w:rPr>
              <w:t xml:space="preserve"> of</w:t>
            </w:r>
            <w:r w:rsidR="00446DFA">
              <w:rPr>
                <w:rFonts w:cs="Arial"/>
                <w:bCs/>
              </w:rPr>
              <w:t xml:space="preserve"> </w:t>
            </w:r>
            <w:r w:rsidR="008A60BA">
              <w:rPr>
                <w:rFonts w:cs="Arial"/>
                <w:bCs/>
              </w:rPr>
              <w:t xml:space="preserve">executive leadership </w:t>
            </w:r>
            <w:r w:rsidR="000E5E8C">
              <w:rPr>
                <w:rFonts w:cs="Arial"/>
                <w:bCs/>
              </w:rPr>
              <w:t>across local and state government</w:t>
            </w:r>
            <w:r w:rsidRPr="004B26BC">
              <w:rPr>
                <w:rFonts w:cs="Arial"/>
                <w:bCs/>
              </w:rPr>
              <w:t xml:space="preserve">. As </w:t>
            </w:r>
            <w:r w:rsidR="001E61C3">
              <w:rPr>
                <w:rFonts w:cs="Arial"/>
                <w:bCs/>
              </w:rPr>
              <w:t xml:space="preserve">the </w:t>
            </w:r>
            <w:r w:rsidRPr="004B26BC">
              <w:rPr>
                <w:rFonts w:cs="Arial"/>
                <w:bCs/>
              </w:rPr>
              <w:t xml:space="preserve">Assistant Commissioner Regulatory Standards and Support, </w:t>
            </w:r>
            <w:r w:rsidR="009076D6">
              <w:rPr>
                <w:rFonts w:cs="Arial"/>
                <w:bCs/>
              </w:rPr>
              <w:t>Chris</w:t>
            </w:r>
            <w:r w:rsidRPr="004B26BC">
              <w:rPr>
                <w:rFonts w:cs="Arial"/>
                <w:bCs/>
              </w:rPr>
              <w:t xml:space="preserve"> has </w:t>
            </w:r>
            <w:r w:rsidR="001E61C3">
              <w:rPr>
                <w:rFonts w:cs="Arial"/>
                <w:bCs/>
              </w:rPr>
              <w:t xml:space="preserve">driven </w:t>
            </w:r>
            <w:r w:rsidR="00D420B0">
              <w:rPr>
                <w:rFonts w:cs="Arial"/>
                <w:bCs/>
              </w:rPr>
              <w:t xml:space="preserve">key </w:t>
            </w:r>
            <w:r w:rsidRPr="004B26BC">
              <w:rPr>
                <w:rFonts w:cs="Arial"/>
                <w:bCs/>
              </w:rPr>
              <w:t>initiatives at the QBCC, including the development of a new digital licensing platform</w:t>
            </w:r>
            <w:r w:rsidR="00C27E85">
              <w:rPr>
                <w:rFonts w:cs="Arial"/>
                <w:bCs/>
              </w:rPr>
              <w:t xml:space="preserve"> and the adoption of </w:t>
            </w:r>
            <w:r w:rsidRPr="004B26BC">
              <w:rPr>
                <w:rFonts w:cs="Arial"/>
                <w:bCs/>
              </w:rPr>
              <w:t>a more customer-focused regulatory approach.</w:t>
            </w:r>
            <w:r w:rsidR="00877B3E">
              <w:rPr>
                <w:rFonts w:cs="Arial"/>
                <w:bCs/>
              </w:rPr>
              <w:t xml:space="preserve"> </w:t>
            </w:r>
            <w:r w:rsidR="00C844CF">
              <w:rPr>
                <w:rFonts w:cs="Arial"/>
                <w:bCs/>
              </w:rPr>
              <w:t xml:space="preserve">Chris is </w:t>
            </w:r>
            <w:r w:rsidR="00AE457C">
              <w:rPr>
                <w:rFonts w:cs="Arial"/>
                <w:bCs/>
              </w:rPr>
              <w:t>renowned</w:t>
            </w:r>
            <w:r w:rsidR="00877B3E">
              <w:rPr>
                <w:rFonts w:cs="Arial"/>
                <w:bCs/>
              </w:rPr>
              <w:t xml:space="preserve"> for leading </w:t>
            </w:r>
            <w:r w:rsidRPr="004B26BC">
              <w:rPr>
                <w:rFonts w:cs="Arial"/>
                <w:bCs/>
              </w:rPr>
              <w:t>organisational change, building high-performing teams and</w:t>
            </w:r>
            <w:r w:rsidR="00FB0CF7">
              <w:rPr>
                <w:rFonts w:cs="Arial"/>
                <w:bCs/>
              </w:rPr>
              <w:t xml:space="preserve"> enhancing </w:t>
            </w:r>
            <w:r w:rsidRPr="004B26BC">
              <w:rPr>
                <w:rFonts w:cs="Arial"/>
                <w:bCs/>
              </w:rPr>
              <w:t>customer experience</w:t>
            </w:r>
            <w:r w:rsidR="009076D6">
              <w:rPr>
                <w:rFonts w:cs="Arial"/>
                <w:bCs/>
              </w:rPr>
              <w:t>.</w:t>
            </w:r>
            <w:r w:rsidRPr="004B26BC">
              <w:rPr>
                <w:rFonts w:cs="Arial"/>
                <w:bCs/>
              </w:rPr>
              <w:t xml:space="preserve"> </w:t>
            </w:r>
            <w:r w:rsidR="00F5729C">
              <w:rPr>
                <w:rFonts w:cs="Arial"/>
                <w:bCs/>
              </w:rPr>
              <w:t xml:space="preserve">Chris </w:t>
            </w:r>
            <w:r w:rsidR="00E801A6">
              <w:rPr>
                <w:rFonts w:cs="Arial"/>
                <w:bCs/>
              </w:rPr>
              <w:t>is committed</w:t>
            </w:r>
            <w:r w:rsidRPr="004B26BC">
              <w:rPr>
                <w:rFonts w:cs="Arial"/>
                <w:bCs/>
              </w:rPr>
              <w:t xml:space="preserve"> </w:t>
            </w:r>
            <w:r w:rsidR="00FB0CF7">
              <w:rPr>
                <w:rFonts w:cs="Arial"/>
                <w:bCs/>
              </w:rPr>
              <w:t>to</w:t>
            </w:r>
            <w:r w:rsidRPr="004B26BC">
              <w:rPr>
                <w:rFonts w:cs="Arial"/>
                <w:bCs/>
              </w:rPr>
              <w:t xml:space="preserve"> aligning</w:t>
            </w:r>
            <w:r w:rsidR="00105ED8">
              <w:rPr>
                <w:rFonts w:cs="Arial"/>
                <w:bCs/>
              </w:rPr>
              <w:t xml:space="preserve"> </w:t>
            </w:r>
            <w:r w:rsidRPr="004B26BC">
              <w:rPr>
                <w:rFonts w:cs="Arial"/>
                <w:bCs/>
              </w:rPr>
              <w:t xml:space="preserve">organisational </w:t>
            </w:r>
            <w:r w:rsidR="00105ED8">
              <w:rPr>
                <w:rFonts w:cs="Arial"/>
                <w:bCs/>
              </w:rPr>
              <w:t xml:space="preserve">objectives </w:t>
            </w:r>
            <w:r w:rsidRPr="004B26BC">
              <w:rPr>
                <w:rFonts w:cs="Arial"/>
                <w:bCs/>
              </w:rPr>
              <w:t xml:space="preserve">with the needs of industry stakeholders and </w:t>
            </w:r>
            <w:r w:rsidR="00105ED8">
              <w:rPr>
                <w:rFonts w:cs="Arial"/>
                <w:bCs/>
              </w:rPr>
              <w:t>the broader</w:t>
            </w:r>
            <w:r w:rsidRPr="004B26BC">
              <w:rPr>
                <w:rFonts w:cs="Arial"/>
                <w:bCs/>
              </w:rPr>
              <w:t xml:space="preserve"> community.</w:t>
            </w:r>
          </w:p>
        </w:tc>
      </w:tr>
      <w:tr w:rsidR="007345BE" w:rsidRPr="00DF0645" w14:paraId="72C0E547" w14:textId="77777777" w:rsidTr="00377E43">
        <w:tc>
          <w:tcPr>
            <w:tcW w:w="2830" w:type="dxa"/>
          </w:tcPr>
          <w:p w14:paraId="36C7ABCE" w14:textId="77777777" w:rsidR="007345BE" w:rsidRPr="004A2C19" w:rsidRDefault="007345BE">
            <w:pPr>
              <w:rPr>
                <w:rFonts w:cs="Arial"/>
                <w:b/>
              </w:rPr>
            </w:pPr>
            <w:r w:rsidRPr="004A2C19">
              <w:rPr>
                <w:rFonts w:cs="Arial"/>
                <w:b/>
              </w:rPr>
              <w:t xml:space="preserve">Gary Saunders </w:t>
            </w:r>
          </w:p>
          <w:p w14:paraId="2516CA1D" w14:textId="77777777" w:rsidR="007345BE" w:rsidRPr="00DF0645" w:rsidRDefault="007345BE">
            <w:pPr>
              <w:rPr>
                <w:rFonts w:cs="Arial"/>
              </w:rPr>
            </w:pPr>
            <w:r w:rsidRPr="00DF0645">
              <w:rPr>
                <w:rFonts w:cs="Arial"/>
              </w:rPr>
              <w:t xml:space="preserve">Assistant Commissioner Regulatory Operations </w:t>
            </w:r>
          </w:p>
          <w:p w14:paraId="765490ED" w14:textId="77777777" w:rsidR="007345BE" w:rsidRPr="00DF0645" w:rsidRDefault="007345BE">
            <w:pPr>
              <w:rPr>
                <w:rFonts w:cs="Arial"/>
                <w:b/>
              </w:rPr>
            </w:pPr>
          </w:p>
        </w:tc>
        <w:tc>
          <w:tcPr>
            <w:tcW w:w="7620" w:type="dxa"/>
          </w:tcPr>
          <w:p w14:paraId="2548BE7F" w14:textId="1A0898C1" w:rsidR="007345BE" w:rsidRPr="004B26BC" w:rsidRDefault="007345BE">
            <w:pPr>
              <w:rPr>
                <w:rFonts w:cs="Arial"/>
              </w:rPr>
            </w:pPr>
            <w:r w:rsidRPr="004B26BC">
              <w:rPr>
                <w:rFonts w:cs="Arial"/>
                <w:bCs/>
              </w:rPr>
              <w:t>Gary is a</w:t>
            </w:r>
            <w:r w:rsidR="00C740C7">
              <w:rPr>
                <w:rFonts w:cs="Arial"/>
                <w:bCs/>
              </w:rPr>
              <w:t xml:space="preserve"> </w:t>
            </w:r>
            <w:r w:rsidR="00733072">
              <w:rPr>
                <w:rFonts w:cs="Arial"/>
                <w:bCs/>
              </w:rPr>
              <w:t>s</w:t>
            </w:r>
            <w:r w:rsidRPr="004B26BC">
              <w:rPr>
                <w:rFonts w:cs="Arial"/>
                <w:bCs/>
              </w:rPr>
              <w:t xml:space="preserve">enior executive with </w:t>
            </w:r>
            <w:r w:rsidR="00F845E8">
              <w:rPr>
                <w:rFonts w:cs="Arial"/>
                <w:bCs/>
              </w:rPr>
              <w:t>more than</w:t>
            </w:r>
            <w:r w:rsidRPr="004B26BC">
              <w:rPr>
                <w:rFonts w:cs="Arial"/>
                <w:bCs/>
              </w:rPr>
              <w:t xml:space="preserve"> 38 years</w:t>
            </w:r>
            <w:r w:rsidR="00F5729C">
              <w:rPr>
                <w:rFonts w:cs="Arial"/>
                <w:bCs/>
              </w:rPr>
              <w:t xml:space="preserve"> of</w:t>
            </w:r>
            <w:r w:rsidR="00733072" w:rsidDel="00F5729C">
              <w:rPr>
                <w:rFonts w:cs="Arial"/>
                <w:bCs/>
              </w:rPr>
              <w:t xml:space="preserve"> </w:t>
            </w:r>
            <w:r w:rsidRPr="004B26BC">
              <w:rPr>
                <w:rFonts w:cs="Arial"/>
                <w:bCs/>
              </w:rPr>
              <w:t xml:space="preserve">experience and a </w:t>
            </w:r>
            <w:r w:rsidR="008F5B68">
              <w:rPr>
                <w:rFonts w:cs="Arial"/>
                <w:bCs/>
              </w:rPr>
              <w:t xml:space="preserve">distinguished </w:t>
            </w:r>
            <w:r w:rsidR="002414B7">
              <w:rPr>
                <w:rFonts w:cs="Arial"/>
                <w:bCs/>
              </w:rPr>
              <w:t>background</w:t>
            </w:r>
            <w:r w:rsidR="008F5B68">
              <w:rPr>
                <w:rFonts w:cs="Arial"/>
                <w:bCs/>
              </w:rPr>
              <w:t xml:space="preserve"> in </w:t>
            </w:r>
            <w:r w:rsidRPr="004B26BC">
              <w:rPr>
                <w:rFonts w:cs="Arial"/>
                <w:bCs/>
              </w:rPr>
              <w:t>the infrastructure and building sector</w:t>
            </w:r>
            <w:r w:rsidR="008F5B68">
              <w:rPr>
                <w:rFonts w:cs="Arial"/>
                <w:bCs/>
              </w:rPr>
              <w:t>s</w:t>
            </w:r>
            <w:r w:rsidRPr="004B26BC">
              <w:rPr>
                <w:rFonts w:cs="Arial"/>
                <w:bCs/>
              </w:rPr>
              <w:t xml:space="preserve">. As </w:t>
            </w:r>
            <w:r w:rsidR="008F5B68">
              <w:rPr>
                <w:rFonts w:cs="Arial"/>
                <w:bCs/>
              </w:rPr>
              <w:t xml:space="preserve">the </w:t>
            </w:r>
            <w:r w:rsidRPr="004B26BC">
              <w:rPr>
                <w:rFonts w:cs="Arial"/>
                <w:bCs/>
              </w:rPr>
              <w:t xml:space="preserve">Assistant Commissioner Regulatory Operations, </w:t>
            </w:r>
            <w:r w:rsidR="00CD1CA9">
              <w:rPr>
                <w:rFonts w:cs="Arial"/>
                <w:bCs/>
              </w:rPr>
              <w:t>Gary</w:t>
            </w:r>
            <w:r w:rsidRPr="004B26BC">
              <w:rPr>
                <w:rFonts w:cs="Arial"/>
                <w:bCs/>
              </w:rPr>
              <w:t xml:space="preserve"> is </w:t>
            </w:r>
            <w:r w:rsidR="00F43A03">
              <w:rPr>
                <w:rFonts w:cs="Arial"/>
                <w:bCs/>
              </w:rPr>
              <w:t xml:space="preserve">committed </w:t>
            </w:r>
            <w:r w:rsidR="009903F4">
              <w:rPr>
                <w:rFonts w:cs="Arial"/>
                <w:bCs/>
              </w:rPr>
              <w:t xml:space="preserve">to advancing the </w:t>
            </w:r>
            <w:r w:rsidRPr="004B26BC">
              <w:rPr>
                <w:rFonts w:cs="Arial"/>
                <w:bCs/>
              </w:rPr>
              <w:t xml:space="preserve">building and construction industry. </w:t>
            </w:r>
            <w:r w:rsidR="00F477EF">
              <w:rPr>
                <w:rFonts w:cs="Arial"/>
                <w:bCs/>
              </w:rPr>
              <w:t xml:space="preserve">Gary’s strategic focus on </w:t>
            </w:r>
            <w:r w:rsidRPr="004B26BC">
              <w:rPr>
                <w:rFonts w:cs="Arial"/>
                <w:bCs/>
              </w:rPr>
              <w:t>operational excellence</w:t>
            </w:r>
            <w:r w:rsidR="00FC043E">
              <w:rPr>
                <w:rFonts w:cs="Arial"/>
                <w:bCs/>
              </w:rPr>
              <w:t xml:space="preserve"> </w:t>
            </w:r>
            <w:r w:rsidR="009178AF">
              <w:rPr>
                <w:rFonts w:cs="Arial"/>
                <w:bCs/>
              </w:rPr>
              <w:t xml:space="preserve">drives </w:t>
            </w:r>
            <w:r w:rsidR="003762A8">
              <w:rPr>
                <w:rFonts w:cs="Arial"/>
                <w:bCs/>
              </w:rPr>
              <w:t>t</w:t>
            </w:r>
            <w:r w:rsidR="00FC043E">
              <w:rPr>
                <w:rFonts w:cs="Arial"/>
                <w:bCs/>
              </w:rPr>
              <w:t xml:space="preserve">he effective </w:t>
            </w:r>
            <w:r w:rsidRPr="004B26BC">
              <w:rPr>
                <w:rFonts w:cs="Arial"/>
                <w:bCs/>
              </w:rPr>
              <w:t xml:space="preserve">delivery of technical services </w:t>
            </w:r>
            <w:r w:rsidR="009178AF">
              <w:rPr>
                <w:rFonts w:cs="Arial"/>
                <w:bCs/>
              </w:rPr>
              <w:t xml:space="preserve">in line </w:t>
            </w:r>
            <w:r w:rsidR="000F7CE6">
              <w:rPr>
                <w:rFonts w:cs="Arial"/>
                <w:bCs/>
              </w:rPr>
              <w:t>with the</w:t>
            </w:r>
            <w:r w:rsidRPr="004B26BC">
              <w:rPr>
                <w:rFonts w:cs="Arial"/>
                <w:bCs/>
              </w:rPr>
              <w:t xml:space="preserve"> QBCC</w:t>
            </w:r>
            <w:r w:rsidR="00921347">
              <w:rPr>
                <w:rFonts w:cs="Arial"/>
                <w:bCs/>
              </w:rPr>
              <w:t>’</w:t>
            </w:r>
            <w:r w:rsidRPr="004B26BC">
              <w:rPr>
                <w:rFonts w:cs="Arial"/>
                <w:bCs/>
              </w:rPr>
              <w:t>s regulatory responsibilities</w:t>
            </w:r>
            <w:r w:rsidR="003762A8">
              <w:rPr>
                <w:rFonts w:cs="Arial"/>
                <w:bCs/>
              </w:rPr>
              <w:t xml:space="preserve">. </w:t>
            </w:r>
            <w:r w:rsidR="00CD1CA9">
              <w:rPr>
                <w:rFonts w:cs="Arial"/>
                <w:bCs/>
              </w:rPr>
              <w:t>Gary</w:t>
            </w:r>
            <w:r w:rsidR="007056CA">
              <w:rPr>
                <w:rFonts w:cs="Arial"/>
                <w:bCs/>
              </w:rPr>
              <w:t xml:space="preserve"> ensures </w:t>
            </w:r>
            <w:r w:rsidR="0094528E">
              <w:rPr>
                <w:rFonts w:cs="Arial"/>
                <w:bCs/>
              </w:rPr>
              <w:t xml:space="preserve">the provision of </w:t>
            </w:r>
            <w:r w:rsidRPr="004B26BC">
              <w:rPr>
                <w:rFonts w:cs="Arial"/>
                <w:bCs/>
              </w:rPr>
              <w:t>high-quality sustainable services</w:t>
            </w:r>
            <w:r w:rsidR="002609AF">
              <w:rPr>
                <w:rFonts w:cs="Arial"/>
                <w:bCs/>
              </w:rPr>
              <w:t xml:space="preserve"> and</w:t>
            </w:r>
            <w:r w:rsidRPr="004B26BC">
              <w:rPr>
                <w:rFonts w:cs="Arial"/>
                <w:bCs/>
              </w:rPr>
              <w:t xml:space="preserve"> programs</w:t>
            </w:r>
            <w:r w:rsidR="002609AF">
              <w:rPr>
                <w:rFonts w:cs="Arial"/>
                <w:bCs/>
              </w:rPr>
              <w:t xml:space="preserve"> across </w:t>
            </w:r>
            <w:r w:rsidRPr="004B26BC">
              <w:rPr>
                <w:rFonts w:cs="Arial"/>
                <w:bCs/>
              </w:rPr>
              <w:t xml:space="preserve">compliance, </w:t>
            </w:r>
            <w:r w:rsidR="00C21816">
              <w:rPr>
                <w:rFonts w:cs="Arial"/>
                <w:bCs/>
              </w:rPr>
              <w:t xml:space="preserve">dispute </w:t>
            </w:r>
            <w:r w:rsidRPr="004B26BC">
              <w:rPr>
                <w:rFonts w:cs="Arial"/>
                <w:bCs/>
              </w:rPr>
              <w:t>resolution, licensing and financial review.</w:t>
            </w:r>
          </w:p>
        </w:tc>
      </w:tr>
      <w:tr w:rsidR="007345BE" w:rsidRPr="00DF0645" w14:paraId="30B7F11E" w14:textId="77777777" w:rsidTr="00377E43">
        <w:tc>
          <w:tcPr>
            <w:tcW w:w="2830" w:type="dxa"/>
          </w:tcPr>
          <w:p w14:paraId="6D28B825" w14:textId="77777777" w:rsidR="007345BE" w:rsidRPr="004A2C19" w:rsidRDefault="007345BE">
            <w:pPr>
              <w:rPr>
                <w:rFonts w:cs="Arial"/>
                <w:b/>
              </w:rPr>
            </w:pPr>
            <w:r w:rsidRPr="004A2C19">
              <w:rPr>
                <w:rFonts w:cs="Arial"/>
                <w:b/>
              </w:rPr>
              <w:t xml:space="preserve">Mandy Downes </w:t>
            </w:r>
          </w:p>
          <w:p w14:paraId="4E2D5E40" w14:textId="77777777" w:rsidR="007345BE" w:rsidRPr="00DF0645" w:rsidRDefault="007345BE">
            <w:pPr>
              <w:rPr>
                <w:rFonts w:cs="Arial"/>
              </w:rPr>
            </w:pPr>
            <w:r w:rsidRPr="00DF0645">
              <w:rPr>
                <w:rFonts w:cs="Arial"/>
              </w:rPr>
              <w:t xml:space="preserve">Executive Director Regulatory Practice and Engagement </w:t>
            </w:r>
          </w:p>
          <w:p w14:paraId="3D858C00" w14:textId="77777777" w:rsidR="007345BE" w:rsidRPr="00DF0645" w:rsidRDefault="007345BE">
            <w:pPr>
              <w:rPr>
                <w:rFonts w:cs="Arial"/>
                <w:b/>
              </w:rPr>
            </w:pPr>
          </w:p>
        </w:tc>
        <w:tc>
          <w:tcPr>
            <w:tcW w:w="7620" w:type="dxa"/>
          </w:tcPr>
          <w:p w14:paraId="4758B22B" w14:textId="1D3DBBB8" w:rsidR="007345BE" w:rsidRPr="004B26BC" w:rsidRDefault="007345BE">
            <w:pPr>
              <w:rPr>
                <w:rFonts w:cs="Arial"/>
              </w:rPr>
            </w:pPr>
            <w:r w:rsidRPr="004B26BC">
              <w:rPr>
                <w:rFonts w:cs="Arial"/>
                <w:bCs/>
              </w:rPr>
              <w:t xml:space="preserve">Mandy is a leader </w:t>
            </w:r>
            <w:r w:rsidR="006324D3">
              <w:rPr>
                <w:rFonts w:cs="Arial"/>
                <w:bCs/>
              </w:rPr>
              <w:t xml:space="preserve">with </w:t>
            </w:r>
            <w:r w:rsidR="00433638">
              <w:rPr>
                <w:rFonts w:cs="Arial"/>
                <w:bCs/>
              </w:rPr>
              <w:t>more than</w:t>
            </w:r>
            <w:r w:rsidR="00EE524C">
              <w:rPr>
                <w:rFonts w:cs="Arial"/>
                <w:bCs/>
              </w:rPr>
              <w:t xml:space="preserve"> 30 years </w:t>
            </w:r>
            <w:r w:rsidR="00F5729C">
              <w:rPr>
                <w:rFonts w:cs="Arial"/>
                <w:bCs/>
              </w:rPr>
              <w:t xml:space="preserve">of </w:t>
            </w:r>
            <w:r w:rsidR="00CE4740">
              <w:rPr>
                <w:rFonts w:cs="Arial"/>
                <w:bCs/>
              </w:rPr>
              <w:t>experience in s</w:t>
            </w:r>
            <w:r w:rsidRPr="004B26BC">
              <w:rPr>
                <w:rFonts w:cs="Arial"/>
                <w:bCs/>
              </w:rPr>
              <w:t xml:space="preserve">tate </w:t>
            </w:r>
            <w:r w:rsidR="00CE4740">
              <w:rPr>
                <w:rFonts w:cs="Arial"/>
                <w:bCs/>
              </w:rPr>
              <w:t>g</w:t>
            </w:r>
            <w:r w:rsidRPr="004B26BC">
              <w:rPr>
                <w:rFonts w:cs="Arial"/>
                <w:bCs/>
              </w:rPr>
              <w:t>overnment</w:t>
            </w:r>
            <w:r w:rsidR="00661133">
              <w:rPr>
                <w:rFonts w:cs="Arial"/>
                <w:bCs/>
              </w:rPr>
              <w:t xml:space="preserve"> across </w:t>
            </w:r>
            <w:r w:rsidR="00F52666">
              <w:rPr>
                <w:rFonts w:cs="Arial"/>
                <w:bCs/>
              </w:rPr>
              <w:t>regulation, transformation</w:t>
            </w:r>
            <w:r w:rsidR="00CB3B0D">
              <w:rPr>
                <w:rFonts w:cs="Arial"/>
                <w:bCs/>
              </w:rPr>
              <w:t xml:space="preserve">, policy and program </w:t>
            </w:r>
            <w:r w:rsidR="009B5F69">
              <w:rPr>
                <w:rFonts w:cs="Arial"/>
                <w:bCs/>
              </w:rPr>
              <w:t>areas</w:t>
            </w:r>
            <w:r w:rsidRPr="004B26BC">
              <w:rPr>
                <w:rFonts w:cs="Arial"/>
                <w:bCs/>
              </w:rPr>
              <w:t xml:space="preserve">. As the Executive Director of Regulatory Practice and Engagement, </w:t>
            </w:r>
            <w:r w:rsidR="00326DA4">
              <w:rPr>
                <w:rFonts w:cs="Arial"/>
                <w:bCs/>
              </w:rPr>
              <w:t>Mandy</w:t>
            </w:r>
            <w:r w:rsidRPr="004B26BC">
              <w:rPr>
                <w:rFonts w:cs="Arial"/>
                <w:bCs/>
              </w:rPr>
              <w:t xml:space="preserve"> </w:t>
            </w:r>
            <w:r w:rsidR="00682F28">
              <w:rPr>
                <w:rFonts w:cs="Arial"/>
                <w:bCs/>
              </w:rPr>
              <w:t xml:space="preserve">was instrumental in </w:t>
            </w:r>
            <w:r w:rsidRPr="004B26BC">
              <w:rPr>
                <w:rFonts w:cs="Arial"/>
                <w:bCs/>
              </w:rPr>
              <w:t>establishing the Regulatory Practice and Engagement Division</w:t>
            </w:r>
            <w:r w:rsidR="00682F28">
              <w:rPr>
                <w:rFonts w:cs="Arial"/>
                <w:bCs/>
              </w:rPr>
              <w:t>—</w:t>
            </w:r>
            <w:r w:rsidRPr="004B26BC">
              <w:rPr>
                <w:rFonts w:cs="Arial"/>
                <w:bCs/>
              </w:rPr>
              <w:t xml:space="preserve">an integral </w:t>
            </w:r>
            <w:r w:rsidR="00682F28">
              <w:rPr>
                <w:rFonts w:cs="Arial"/>
                <w:bCs/>
              </w:rPr>
              <w:t xml:space="preserve">part </w:t>
            </w:r>
            <w:r w:rsidRPr="004B26BC">
              <w:rPr>
                <w:rFonts w:cs="Arial"/>
                <w:bCs/>
              </w:rPr>
              <w:t>of the Regulatory Services Group</w:t>
            </w:r>
            <w:r w:rsidR="00653619">
              <w:rPr>
                <w:rFonts w:cs="Arial"/>
                <w:bCs/>
              </w:rPr>
              <w:t xml:space="preserve"> within the QBCC</w:t>
            </w:r>
            <w:r w:rsidRPr="004B26BC">
              <w:rPr>
                <w:rFonts w:cs="Arial"/>
                <w:bCs/>
              </w:rPr>
              <w:t xml:space="preserve">. </w:t>
            </w:r>
            <w:r w:rsidR="00653619">
              <w:rPr>
                <w:rFonts w:cs="Arial"/>
                <w:bCs/>
              </w:rPr>
              <w:t xml:space="preserve">Overseeing </w:t>
            </w:r>
            <w:r w:rsidRPr="004B26BC">
              <w:rPr>
                <w:rFonts w:cs="Arial"/>
                <w:bCs/>
              </w:rPr>
              <w:t xml:space="preserve">education, engagement and business reforms, Mandy </w:t>
            </w:r>
            <w:r w:rsidR="007545FC">
              <w:rPr>
                <w:rFonts w:cs="Arial"/>
                <w:bCs/>
              </w:rPr>
              <w:t>is</w:t>
            </w:r>
            <w:r w:rsidRPr="004B26BC">
              <w:rPr>
                <w:rFonts w:cs="Arial"/>
                <w:bCs/>
              </w:rPr>
              <w:t xml:space="preserve"> </w:t>
            </w:r>
            <w:r w:rsidR="00196A1B">
              <w:rPr>
                <w:rFonts w:cs="Arial"/>
                <w:bCs/>
              </w:rPr>
              <w:t>delivering</w:t>
            </w:r>
            <w:r w:rsidR="00196A1B" w:rsidRPr="004B26BC">
              <w:rPr>
                <w:rFonts w:cs="Arial"/>
                <w:bCs/>
              </w:rPr>
              <w:t xml:space="preserve"> </w:t>
            </w:r>
            <w:r w:rsidRPr="004B26BC">
              <w:rPr>
                <w:rFonts w:cs="Arial"/>
                <w:bCs/>
              </w:rPr>
              <w:t xml:space="preserve">responsive regulatory services and </w:t>
            </w:r>
            <w:r w:rsidR="00E20E82">
              <w:rPr>
                <w:rFonts w:cs="Arial"/>
                <w:bCs/>
              </w:rPr>
              <w:t xml:space="preserve">driving </w:t>
            </w:r>
            <w:r w:rsidRPr="004B26BC">
              <w:rPr>
                <w:rFonts w:cs="Arial"/>
                <w:bCs/>
              </w:rPr>
              <w:t xml:space="preserve">improvements that </w:t>
            </w:r>
            <w:r w:rsidR="00AA5E62">
              <w:rPr>
                <w:rFonts w:cs="Arial"/>
                <w:bCs/>
              </w:rPr>
              <w:t>are</w:t>
            </w:r>
            <w:r w:rsidR="00AA5E62" w:rsidRPr="004B26BC">
              <w:rPr>
                <w:rFonts w:cs="Arial"/>
                <w:bCs/>
              </w:rPr>
              <w:t xml:space="preserve"> </w:t>
            </w:r>
            <w:r w:rsidR="006D1122">
              <w:rPr>
                <w:rFonts w:cs="Arial"/>
                <w:bCs/>
              </w:rPr>
              <w:t>enhanc</w:t>
            </w:r>
            <w:r w:rsidR="00AA5E62">
              <w:rPr>
                <w:rFonts w:cs="Arial"/>
                <w:bCs/>
              </w:rPr>
              <w:t>ing</w:t>
            </w:r>
            <w:r w:rsidR="006D1122">
              <w:rPr>
                <w:rFonts w:cs="Arial"/>
                <w:bCs/>
              </w:rPr>
              <w:t xml:space="preserve"> </w:t>
            </w:r>
            <w:r w:rsidRPr="004B26BC">
              <w:rPr>
                <w:rFonts w:cs="Arial"/>
                <w:bCs/>
              </w:rPr>
              <w:t>operational consistency, efficiency and effectiveness.</w:t>
            </w:r>
          </w:p>
        </w:tc>
      </w:tr>
      <w:tr w:rsidR="007345BE" w:rsidRPr="00DF0645" w14:paraId="74F5B2AC" w14:textId="77777777" w:rsidTr="00377E43">
        <w:tc>
          <w:tcPr>
            <w:tcW w:w="2830" w:type="dxa"/>
          </w:tcPr>
          <w:p w14:paraId="1BA9C90B" w14:textId="77777777" w:rsidR="007345BE" w:rsidRPr="004A2C19" w:rsidRDefault="007345BE">
            <w:pPr>
              <w:rPr>
                <w:rFonts w:cs="Arial"/>
                <w:b/>
              </w:rPr>
            </w:pPr>
            <w:r w:rsidRPr="004A2C19">
              <w:rPr>
                <w:rFonts w:cs="Arial"/>
                <w:b/>
              </w:rPr>
              <w:t xml:space="preserve">Natalie Homan </w:t>
            </w:r>
          </w:p>
          <w:p w14:paraId="5B9266DD" w14:textId="77777777" w:rsidR="007345BE" w:rsidRPr="00DF0645" w:rsidRDefault="007345BE">
            <w:pPr>
              <w:rPr>
                <w:rFonts w:cs="Arial"/>
              </w:rPr>
            </w:pPr>
            <w:r w:rsidRPr="00DF0645">
              <w:rPr>
                <w:rFonts w:cs="Arial"/>
              </w:rPr>
              <w:t>A</w:t>
            </w:r>
            <w:r>
              <w:rPr>
                <w:rFonts w:cs="Arial"/>
              </w:rPr>
              <w:t xml:space="preserve">cting </w:t>
            </w:r>
            <w:r w:rsidRPr="00DF0645">
              <w:rPr>
                <w:rFonts w:cs="Arial"/>
              </w:rPr>
              <w:t xml:space="preserve">Chief Integrity and Risk Officer </w:t>
            </w:r>
          </w:p>
          <w:p w14:paraId="1A810B26" w14:textId="77777777" w:rsidR="007345BE" w:rsidRPr="004A2C19" w:rsidRDefault="007345BE">
            <w:pPr>
              <w:rPr>
                <w:rFonts w:cs="Arial"/>
                <w:b/>
              </w:rPr>
            </w:pPr>
          </w:p>
        </w:tc>
        <w:tc>
          <w:tcPr>
            <w:tcW w:w="7620" w:type="dxa"/>
          </w:tcPr>
          <w:p w14:paraId="639562A1" w14:textId="1C7F23D3" w:rsidR="007345BE" w:rsidRPr="004B26BC" w:rsidRDefault="007345BE">
            <w:pPr>
              <w:rPr>
                <w:rFonts w:cs="Arial"/>
              </w:rPr>
            </w:pPr>
            <w:r w:rsidRPr="004B26BC">
              <w:rPr>
                <w:rFonts w:cs="Arial"/>
                <w:bCs/>
              </w:rPr>
              <w:t xml:space="preserve">Natalie has </w:t>
            </w:r>
            <w:r w:rsidR="00E41D90">
              <w:rPr>
                <w:rFonts w:cs="Arial"/>
                <w:bCs/>
              </w:rPr>
              <w:t xml:space="preserve">built a </w:t>
            </w:r>
            <w:r w:rsidRPr="004B26BC">
              <w:rPr>
                <w:rFonts w:cs="Arial"/>
                <w:bCs/>
              </w:rPr>
              <w:t xml:space="preserve">career in law and the public sector, </w:t>
            </w:r>
            <w:r w:rsidR="00A30413">
              <w:rPr>
                <w:rFonts w:cs="Arial"/>
                <w:bCs/>
              </w:rPr>
              <w:t xml:space="preserve">with a strong focus on </w:t>
            </w:r>
            <w:r w:rsidRPr="004B26BC">
              <w:rPr>
                <w:rFonts w:cs="Arial"/>
                <w:bCs/>
              </w:rPr>
              <w:t xml:space="preserve">specialist integrity </w:t>
            </w:r>
            <w:r w:rsidR="00A30413">
              <w:rPr>
                <w:rFonts w:cs="Arial"/>
                <w:bCs/>
              </w:rPr>
              <w:t xml:space="preserve">roles </w:t>
            </w:r>
            <w:r w:rsidRPr="004B26BC">
              <w:rPr>
                <w:rFonts w:cs="Arial"/>
                <w:bCs/>
              </w:rPr>
              <w:t xml:space="preserve">within </w:t>
            </w:r>
            <w:r w:rsidR="00A30413">
              <w:rPr>
                <w:rFonts w:cs="Arial"/>
                <w:bCs/>
              </w:rPr>
              <w:t xml:space="preserve">the </w:t>
            </w:r>
            <w:r w:rsidRPr="004B26BC">
              <w:rPr>
                <w:rFonts w:cs="Arial"/>
                <w:bCs/>
              </w:rPr>
              <w:t xml:space="preserve">Queensland Government. </w:t>
            </w:r>
            <w:r w:rsidR="00CD2E51">
              <w:rPr>
                <w:rFonts w:cs="Arial"/>
                <w:bCs/>
              </w:rPr>
              <w:t>A</w:t>
            </w:r>
            <w:r w:rsidRPr="004B26BC">
              <w:rPr>
                <w:rFonts w:cs="Arial"/>
                <w:bCs/>
              </w:rPr>
              <w:t xml:space="preserve">dmitted </w:t>
            </w:r>
            <w:r w:rsidR="00CD2E51">
              <w:rPr>
                <w:rFonts w:cs="Arial"/>
                <w:bCs/>
              </w:rPr>
              <w:t>as a l</w:t>
            </w:r>
            <w:r w:rsidR="00380656">
              <w:rPr>
                <w:rFonts w:cs="Arial"/>
                <w:bCs/>
              </w:rPr>
              <w:t>a</w:t>
            </w:r>
            <w:r w:rsidR="00CD2E51">
              <w:rPr>
                <w:rFonts w:cs="Arial"/>
                <w:bCs/>
              </w:rPr>
              <w:t xml:space="preserve">wyer </w:t>
            </w:r>
            <w:r w:rsidRPr="004B26BC">
              <w:rPr>
                <w:rFonts w:cs="Arial"/>
                <w:bCs/>
              </w:rPr>
              <w:t>to the Supreme Court of Queensland</w:t>
            </w:r>
            <w:r w:rsidR="00380656">
              <w:rPr>
                <w:rFonts w:cs="Arial"/>
                <w:bCs/>
              </w:rPr>
              <w:t xml:space="preserve"> in 2012, </w:t>
            </w:r>
            <w:r w:rsidR="009F664D">
              <w:rPr>
                <w:rFonts w:cs="Arial"/>
                <w:bCs/>
              </w:rPr>
              <w:t xml:space="preserve">Natalie </w:t>
            </w:r>
            <w:r w:rsidR="00AA1C43">
              <w:rPr>
                <w:rFonts w:cs="Arial"/>
                <w:bCs/>
              </w:rPr>
              <w:t>now serves</w:t>
            </w:r>
            <w:r w:rsidR="00B91B49">
              <w:rPr>
                <w:rFonts w:cs="Arial"/>
                <w:bCs/>
              </w:rPr>
              <w:t xml:space="preserve"> as the </w:t>
            </w:r>
            <w:r w:rsidRPr="004B26BC">
              <w:rPr>
                <w:rFonts w:cs="Arial"/>
                <w:bCs/>
              </w:rPr>
              <w:t>Acting Chief Integrity and Risk Officer</w:t>
            </w:r>
            <w:r w:rsidR="00C202F9">
              <w:rPr>
                <w:rFonts w:cs="Arial"/>
                <w:bCs/>
              </w:rPr>
              <w:t xml:space="preserve">. In this role, </w:t>
            </w:r>
            <w:r w:rsidRPr="004B26BC">
              <w:rPr>
                <w:rFonts w:cs="Arial"/>
                <w:bCs/>
              </w:rPr>
              <w:t xml:space="preserve">Natalie ensures </w:t>
            </w:r>
            <w:r w:rsidR="00C202F9">
              <w:rPr>
                <w:rFonts w:cs="Arial"/>
                <w:bCs/>
              </w:rPr>
              <w:t xml:space="preserve">robust </w:t>
            </w:r>
            <w:r w:rsidRPr="004B26BC">
              <w:rPr>
                <w:rFonts w:cs="Arial"/>
                <w:bCs/>
              </w:rPr>
              <w:t>governance</w:t>
            </w:r>
            <w:r w:rsidR="00AB4DD3">
              <w:rPr>
                <w:rFonts w:cs="Arial"/>
                <w:bCs/>
              </w:rPr>
              <w:t xml:space="preserve"> and</w:t>
            </w:r>
            <w:r w:rsidRPr="004B26BC">
              <w:rPr>
                <w:rFonts w:cs="Arial"/>
                <w:bCs/>
              </w:rPr>
              <w:t xml:space="preserve"> </w:t>
            </w:r>
            <w:bookmarkStart w:id="225" w:name="_Int_OubIwJzD"/>
            <w:proofErr w:type="gramStart"/>
            <w:r w:rsidRPr="004B26BC">
              <w:rPr>
                <w:rFonts w:cs="Arial"/>
                <w:bCs/>
              </w:rPr>
              <w:t>risk</w:t>
            </w:r>
            <w:bookmarkEnd w:id="225"/>
            <w:proofErr w:type="gramEnd"/>
            <w:r w:rsidRPr="004B26BC">
              <w:rPr>
                <w:rFonts w:cs="Arial"/>
                <w:bCs/>
              </w:rPr>
              <w:t xml:space="preserve"> and assurance systems </w:t>
            </w:r>
            <w:r w:rsidR="00C202F9">
              <w:rPr>
                <w:rFonts w:cs="Arial"/>
                <w:bCs/>
              </w:rPr>
              <w:t xml:space="preserve">are </w:t>
            </w:r>
            <w:r w:rsidRPr="004B26BC">
              <w:rPr>
                <w:rFonts w:cs="Arial"/>
                <w:bCs/>
              </w:rPr>
              <w:t xml:space="preserve">in place to </w:t>
            </w:r>
            <w:r w:rsidR="00C202F9">
              <w:rPr>
                <w:rFonts w:cs="Arial"/>
                <w:bCs/>
              </w:rPr>
              <w:t>support</w:t>
            </w:r>
            <w:r w:rsidRPr="004B26BC">
              <w:rPr>
                <w:rFonts w:cs="Arial"/>
                <w:bCs/>
              </w:rPr>
              <w:t xml:space="preserve"> the QBCC </w:t>
            </w:r>
            <w:r w:rsidR="00FE0C89">
              <w:rPr>
                <w:rFonts w:cs="Arial"/>
                <w:bCs/>
              </w:rPr>
              <w:t xml:space="preserve">in </w:t>
            </w:r>
            <w:r w:rsidRPr="004B26BC">
              <w:rPr>
                <w:rFonts w:cs="Arial"/>
                <w:bCs/>
              </w:rPr>
              <w:t>achiev</w:t>
            </w:r>
            <w:r w:rsidR="00FE0C89">
              <w:rPr>
                <w:rFonts w:cs="Arial"/>
                <w:bCs/>
              </w:rPr>
              <w:t xml:space="preserve">ing </w:t>
            </w:r>
            <w:r w:rsidRPr="004B26BC">
              <w:rPr>
                <w:rFonts w:cs="Arial"/>
                <w:bCs/>
              </w:rPr>
              <w:t xml:space="preserve">its objectives with </w:t>
            </w:r>
            <w:r w:rsidR="00FE0C89">
              <w:rPr>
                <w:rFonts w:cs="Arial"/>
                <w:bCs/>
              </w:rPr>
              <w:t xml:space="preserve">the </w:t>
            </w:r>
            <w:r w:rsidRPr="004B26BC">
              <w:rPr>
                <w:rFonts w:cs="Arial"/>
                <w:bCs/>
              </w:rPr>
              <w:t>high</w:t>
            </w:r>
            <w:r w:rsidR="00FE0C89">
              <w:rPr>
                <w:rFonts w:cs="Arial"/>
                <w:bCs/>
              </w:rPr>
              <w:t>est</w:t>
            </w:r>
            <w:r w:rsidRPr="004B26BC">
              <w:rPr>
                <w:rFonts w:cs="Arial"/>
                <w:bCs/>
              </w:rPr>
              <w:t xml:space="preserve"> standards of integrity</w:t>
            </w:r>
            <w:r w:rsidR="00ED20C1">
              <w:rPr>
                <w:rFonts w:cs="Arial"/>
                <w:bCs/>
              </w:rPr>
              <w:t xml:space="preserve">. </w:t>
            </w:r>
            <w:r w:rsidR="0006030C">
              <w:rPr>
                <w:rFonts w:cs="Arial"/>
                <w:bCs/>
              </w:rPr>
              <w:t>She</w:t>
            </w:r>
            <w:r w:rsidR="00ED20C1">
              <w:rPr>
                <w:rFonts w:cs="Arial"/>
                <w:bCs/>
              </w:rPr>
              <w:t xml:space="preserve"> leads a team that </w:t>
            </w:r>
            <w:r w:rsidRPr="004B26BC">
              <w:rPr>
                <w:rFonts w:cs="Arial"/>
                <w:bCs/>
              </w:rPr>
              <w:t>provide</w:t>
            </w:r>
            <w:r w:rsidR="00ED20C1">
              <w:rPr>
                <w:rFonts w:cs="Arial"/>
                <w:bCs/>
              </w:rPr>
              <w:t xml:space="preserve">s </w:t>
            </w:r>
            <w:r w:rsidRPr="004B26BC">
              <w:rPr>
                <w:rFonts w:cs="Arial"/>
                <w:bCs/>
              </w:rPr>
              <w:t>independent</w:t>
            </w:r>
            <w:r w:rsidR="001E5EAD">
              <w:rPr>
                <w:rFonts w:cs="Arial"/>
                <w:bCs/>
              </w:rPr>
              <w:t xml:space="preserve"> well</w:t>
            </w:r>
            <w:r w:rsidR="00692C40">
              <w:rPr>
                <w:rFonts w:cs="Arial"/>
                <w:bCs/>
              </w:rPr>
              <w:t xml:space="preserve">-informed </w:t>
            </w:r>
            <w:r w:rsidRPr="004B26BC">
              <w:rPr>
                <w:rFonts w:cs="Arial"/>
                <w:bCs/>
              </w:rPr>
              <w:t>resolution and review</w:t>
            </w:r>
            <w:r w:rsidR="00F256AC">
              <w:rPr>
                <w:rFonts w:cs="Arial"/>
                <w:bCs/>
              </w:rPr>
              <w:t xml:space="preserve"> services</w:t>
            </w:r>
            <w:r w:rsidR="001E5EAD">
              <w:rPr>
                <w:rFonts w:cs="Arial"/>
                <w:bCs/>
              </w:rPr>
              <w:t>,</w:t>
            </w:r>
            <w:r w:rsidR="007B0D33">
              <w:rPr>
                <w:rFonts w:cs="Arial"/>
                <w:bCs/>
              </w:rPr>
              <w:t xml:space="preserve"> ensuring both effective </w:t>
            </w:r>
            <w:r w:rsidRPr="004B26BC">
              <w:rPr>
                <w:rFonts w:cs="Arial"/>
                <w:bCs/>
              </w:rPr>
              <w:t xml:space="preserve">service delivery and </w:t>
            </w:r>
            <w:r w:rsidR="00C12BA1">
              <w:rPr>
                <w:rFonts w:cs="Arial"/>
                <w:bCs/>
              </w:rPr>
              <w:t xml:space="preserve">organisational </w:t>
            </w:r>
            <w:r w:rsidRPr="004B26BC">
              <w:rPr>
                <w:rFonts w:cs="Arial"/>
                <w:bCs/>
              </w:rPr>
              <w:t>integrity.</w:t>
            </w:r>
          </w:p>
        </w:tc>
      </w:tr>
      <w:tr w:rsidR="007345BE" w:rsidRPr="00DF0645" w14:paraId="2FD02015" w14:textId="77777777" w:rsidTr="00377E43">
        <w:tc>
          <w:tcPr>
            <w:tcW w:w="2830" w:type="dxa"/>
          </w:tcPr>
          <w:p w14:paraId="10D457D0" w14:textId="77777777" w:rsidR="007345BE" w:rsidRPr="004A2C19" w:rsidRDefault="007345BE">
            <w:pPr>
              <w:rPr>
                <w:rFonts w:cs="Arial"/>
                <w:b/>
              </w:rPr>
            </w:pPr>
            <w:r w:rsidRPr="004A2C19">
              <w:rPr>
                <w:rFonts w:cs="Arial"/>
                <w:b/>
              </w:rPr>
              <w:t xml:space="preserve">Dean McNulty </w:t>
            </w:r>
          </w:p>
          <w:p w14:paraId="3D398C9F" w14:textId="77777777" w:rsidR="007345BE" w:rsidRPr="00DF0645" w:rsidRDefault="007345BE">
            <w:pPr>
              <w:rPr>
                <w:rFonts w:cs="Arial"/>
              </w:rPr>
            </w:pPr>
            <w:r w:rsidRPr="00DF0645">
              <w:rPr>
                <w:rFonts w:cs="Arial"/>
              </w:rPr>
              <w:t>Chief Legal Officer</w:t>
            </w:r>
          </w:p>
          <w:p w14:paraId="63D4833B" w14:textId="77777777" w:rsidR="007345BE" w:rsidRPr="00DF0645" w:rsidRDefault="007345BE">
            <w:pPr>
              <w:rPr>
                <w:rFonts w:cs="Arial"/>
                <w:b/>
              </w:rPr>
            </w:pPr>
          </w:p>
        </w:tc>
        <w:tc>
          <w:tcPr>
            <w:tcW w:w="7620" w:type="dxa"/>
          </w:tcPr>
          <w:p w14:paraId="6ABB559C" w14:textId="2891DA91" w:rsidR="007345BE" w:rsidRPr="004B26BC" w:rsidRDefault="007345BE">
            <w:pPr>
              <w:rPr>
                <w:rFonts w:cs="Arial"/>
              </w:rPr>
            </w:pPr>
            <w:r w:rsidRPr="004B26BC">
              <w:rPr>
                <w:rFonts w:cs="Arial"/>
                <w:bCs/>
              </w:rPr>
              <w:t xml:space="preserve">Dean is a solicitor of the Supreme Court of Queensland and the High Court of Australia, </w:t>
            </w:r>
            <w:r w:rsidR="004C5824">
              <w:rPr>
                <w:rFonts w:cs="Arial"/>
                <w:bCs/>
              </w:rPr>
              <w:t xml:space="preserve">with </w:t>
            </w:r>
            <w:r w:rsidR="003C46B9">
              <w:rPr>
                <w:rFonts w:cs="Arial"/>
                <w:bCs/>
              </w:rPr>
              <w:t xml:space="preserve">approximately </w:t>
            </w:r>
            <w:r w:rsidRPr="004B26BC">
              <w:rPr>
                <w:rFonts w:cs="Arial"/>
                <w:bCs/>
              </w:rPr>
              <w:t>eight years</w:t>
            </w:r>
            <w:r w:rsidR="003C46B9">
              <w:rPr>
                <w:rFonts w:cs="Arial"/>
                <w:bCs/>
              </w:rPr>
              <w:t xml:space="preserve"> of experience at the QBCC</w:t>
            </w:r>
            <w:r w:rsidRPr="004B26BC">
              <w:rPr>
                <w:rFonts w:cs="Arial"/>
                <w:bCs/>
              </w:rPr>
              <w:t xml:space="preserve">. As </w:t>
            </w:r>
            <w:r w:rsidR="00706C14">
              <w:rPr>
                <w:rFonts w:cs="Arial"/>
                <w:bCs/>
              </w:rPr>
              <w:t xml:space="preserve">the </w:t>
            </w:r>
            <w:r w:rsidRPr="004B26BC">
              <w:rPr>
                <w:rFonts w:cs="Arial"/>
                <w:bCs/>
              </w:rPr>
              <w:t xml:space="preserve">Chief Legal Officer, </w:t>
            </w:r>
            <w:r w:rsidR="0022484C">
              <w:rPr>
                <w:rFonts w:cs="Arial"/>
                <w:bCs/>
              </w:rPr>
              <w:t>Dean</w:t>
            </w:r>
            <w:r w:rsidR="0022484C" w:rsidRPr="004B26BC">
              <w:rPr>
                <w:rFonts w:cs="Arial"/>
                <w:bCs/>
              </w:rPr>
              <w:t xml:space="preserve"> </w:t>
            </w:r>
            <w:r w:rsidRPr="004B26BC">
              <w:rPr>
                <w:rFonts w:cs="Arial"/>
                <w:bCs/>
              </w:rPr>
              <w:t xml:space="preserve">provides expert legal advice to the </w:t>
            </w:r>
            <w:r w:rsidR="00E61183">
              <w:rPr>
                <w:rFonts w:cs="Arial"/>
                <w:bCs/>
              </w:rPr>
              <w:t xml:space="preserve">QBC </w:t>
            </w:r>
            <w:r w:rsidRPr="004B26BC">
              <w:rPr>
                <w:rFonts w:cs="Arial"/>
                <w:bCs/>
              </w:rPr>
              <w:t xml:space="preserve">Board, the Commissioner and </w:t>
            </w:r>
            <w:r w:rsidR="00777866">
              <w:rPr>
                <w:rFonts w:cs="Arial"/>
                <w:bCs/>
              </w:rPr>
              <w:t>SLT.</w:t>
            </w:r>
            <w:r w:rsidRPr="004B26BC">
              <w:rPr>
                <w:rFonts w:cs="Arial"/>
                <w:bCs/>
              </w:rPr>
              <w:t xml:space="preserve"> </w:t>
            </w:r>
            <w:r w:rsidR="00BA733F">
              <w:rPr>
                <w:rFonts w:cs="Arial"/>
                <w:bCs/>
              </w:rPr>
              <w:t xml:space="preserve">Dean is dedicated to ensuring the QBCC delivers </w:t>
            </w:r>
            <w:r w:rsidRPr="004B26BC">
              <w:rPr>
                <w:rFonts w:cs="Arial"/>
                <w:bCs/>
              </w:rPr>
              <w:t xml:space="preserve">fair, ethical and lawful regulatory services, </w:t>
            </w:r>
            <w:r w:rsidR="00F656E6">
              <w:rPr>
                <w:rFonts w:cs="Arial"/>
                <w:bCs/>
              </w:rPr>
              <w:t xml:space="preserve">while also </w:t>
            </w:r>
            <w:r w:rsidR="00C1503E">
              <w:rPr>
                <w:rFonts w:cs="Arial"/>
                <w:bCs/>
              </w:rPr>
              <w:t>promoting</w:t>
            </w:r>
            <w:r w:rsidR="00F656E6">
              <w:rPr>
                <w:rFonts w:cs="Arial"/>
                <w:bCs/>
              </w:rPr>
              <w:t xml:space="preserve"> </w:t>
            </w:r>
            <w:r w:rsidRPr="004B26BC">
              <w:rPr>
                <w:rFonts w:cs="Arial"/>
                <w:bCs/>
              </w:rPr>
              <w:t xml:space="preserve">a safe and healthy </w:t>
            </w:r>
            <w:r w:rsidR="00F656E6">
              <w:rPr>
                <w:rFonts w:cs="Arial"/>
                <w:bCs/>
              </w:rPr>
              <w:t>work</w:t>
            </w:r>
            <w:r w:rsidRPr="004B26BC">
              <w:rPr>
                <w:rFonts w:cs="Arial"/>
                <w:bCs/>
              </w:rPr>
              <w:t>place.</w:t>
            </w:r>
            <w:r>
              <w:rPr>
                <w:rFonts w:cs="Arial"/>
                <w:bCs/>
              </w:rPr>
              <w:t xml:space="preserve"> </w:t>
            </w:r>
            <w:r w:rsidR="008D3E1C">
              <w:rPr>
                <w:rFonts w:cs="Arial"/>
                <w:bCs/>
              </w:rPr>
              <w:t xml:space="preserve">Dean </w:t>
            </w:r>
            <w:r w:rsidR="002F7702">
              <w:rPr>
                <w:rFonts w:cs="Arial"/>
                <w:bCs/>
              </w:rPr>
              <w:t xml:space="preserve">oversees </w:t>
            </w:r>
            <w:r w:rsidRPr="005966E0">
              <w:rPr>
                <w:rFonts w:cs="Arial"/>
                <w:bCs/>
              </w:rPr>
              <w:t xml:space="preserve">a team </w:t>
            </w:r>
            <w:r w:rsidR="002F7702">
              <w:rPr>
                <w:rFonts w:cs="Arial"/>
                <w:bCs/>
              </w:rPr>
              <w:t xml:space="preserve">that delivers </w:t>
            </w:r>
            <w:r w:rsidR="00C628ED">
              <w:rPr>
                <w:rFonts w:cs="Arial"/>
                <w:bCs/>
              </w:rPr>
              <w:t xml:space="preserve">comprehensive </w:t>
            </w:r>
            <w:r w:rsidRPr="005966E0">
              <w:rPr>
                <w:rFonts w:cs="Arial"/>
                <w:bCs/>
              </w:rPr>
              <w:t>legal services</w:t>
            </w:r>
            <w:r w:rsidR="00254967">
              <w:rPr>
                <w:rFonts w:cs="Arial"/>
                <w:bCs/>
              </w:rPr>
              <w:t xml:space="preserve"> and</w:t>
            </w:r>
            <w:r w:rsidRPr="005966E0">
              <w:rPr>
                <w:rFonts w:cs="Arial"/>
                <w:bCs/>
              </w:rPr>
              <w:t xml:space="preserve"> ensure</w:t>
            </w:r>
            <w:r w:rsidR="00254967">
              <w:rPr>
                <w:rFonts w:cs="Arial"/>
                <w:bCs/>
              </w:rPr>
              <w:t>s</w:t>
            </w:r>
            <w:r w:rsidRPr="005966E0">
              <w:rPr>
                <w:rFonts w:cs="Arial"/>
                <w:bCs/>
              </w:rPr>
              <w:t xml:space="preserve"> compliance with </w:t>
            </w:r>
            <w:r w:rsidR="00AA2F6A">
              <w:rPr>
                <w:rFonts w:cs="Arial"/>
                <w:bCs/>
              </w:rPr>
              <w:t>w</w:t>
            </w:r>
            <w:r w:rsidR="00BE014D">
              <w:rPr>
                <w:rFonts w:cs="Arial"/>
                <w:bCs/>
              </w:rPr>
              <w:t xml:space="preserve">ork, </w:t>
            </w:r>
            <w:r w:rsidR="00AA2F6A">
              <w:rPr>
                <w:rFonts w:cs="Arial"/>
                <w:bCs/>
              </w:rPr>
              <w:t>h</w:t>
            </w:r>
            <w:r w:rsidR="00BE014D">
              <w:rPr>
                <w:rFonts w:cs="Arial"/>
                <w:bCs/>
              </w:rPr>
              <w:t xml:space="preserve">ealth and </w:t>
            </w:r>
            <w:r w:rsidR="00AA2F6A">
              <w:rPr>
                <w:rFonts w:cs="Arial"/>
                <w:bCs/>
              </w:rPr>
              <w:t>s</w:t>
            </w:r>
            <w:r w:rsidR="00BE014D">
              <w:rPr>
                <w:rFonts w:cs="Arial"/>
                <w:bCs/>
              </w:rPr>
              <w:t>afety (</w:t>
            </w:r>
            <w:r w:rsidRPr="005966E0">
              <w:rPr>
                <w:rFonts w:cs="Arial"/>
                <w:bCs/>
              </w:rPr>
              <w:t>WHS</w:t>
            </w:r>
            <w:r w:rsidR="00BE014D">
              <w:rPr>
                <w:rFonts w:cs="Arial"/>
                <w:bCs/>
              </w:rPr>
              <w:t>)</w:t>
            </w:r>
            <w:r w:rsidRPr="005966E0">
              <w:rPr>
                <w:rFonts w:cs="Arial"/>
                <w:bCs/>
              </w:rPr>
              <w:t xml:space="preserve">, privacy and </w:t>
            </w:r>
            <w:r w:rsidR="00BA26FE">
              <w:rPr>
                <w:rFonts w:cs="Arial"/>
                <w:bCs/>
              </w:rPr>
              <w:t>r</w:t>
            </w:r>
            <w:r w:rsidRPr="005966E0">
              <w:rPr>
                <w:rFonts w:cs="Arial"/>
                <w:bCs/>
              </w:rPr>
              <w:t xml:space="preserve">ight to </w:t>
            </w:r>
            <w:r w:rsidR="00BA26FE">
              <w:rPr>
                <w:rFonts w:cs="Arial"/>
                <w:bCs/>
              </w:rPr>
              <w:t>i</w:t>
            </w:r>
            <w:r w:rsidRPr="005966E0">
              <w:rPr>
                <w:rFonts w:cs="Arial"/>
                <w:bCs/>
              </w:rPr>
              <w:t xml:space="preserve">nformation </w:t>
            </w:r>
            <w:r w:rsidR="00C628ED">
              <w:rPr>
                <w:rFonts w:cs="Arial"/>
                <w:bCs/>
              </w:rPr>
              <w:t>requirements</w:t>
            </w:r>
            <w:r w:rsidR="009F6149">
              <w:rPr>
                <w:rFonts w:cs="Arial"/>
                <w:bCs/>
              </w:rPr>
              <w:t xml:space="preserve">. </w:t>
            </w:r>
            <w:r w:rsidR="52DA480A" w:rsidRPr="4E85AF4A">
              <w:rPr>
                <w:rFonts w:cs="Arial"/>
              </w:rPr>
              <w:t xml:space="preserve">Through </w:t>
            </w:r>
            <w:r w:rsidR="793C7C8F" w:rsidRPr="37486D7F">
              <w:rPr>
                <w:rFonts w:cs="Arial"/>
              </w:rPr>
              <w:t>the</w:t>
            </w:r>
            <w:r w:rsidR="52DA480A" w:rsidRPr="4E85AF4A">
              <w:rPr>
                <w:rFonts w:cs="Arial"/>
              </w:rPr>
              <w:t xml:space="preserve"> QBCC </w:t>
            </w:r>
            <w:r w:rsidR="52DA480A" w:rsidRPr="0D5AFEFE">
              <w:rPr>
                <w:rFonts w:cs="Arial"/>
              </w:rPr>
              <w:t>P</w:t>
            </w:r>
            <w:r w:rsidR="00CA327C">
              <w:rPr>
                <w:rFonts w:cs="Arial"/>
              </w:rPr>
              <w:t>o</w:t>
            </w:r>
            <w:r w:rsidR="52DA480A" w:rsidRPr="0D5AFEFE">
              <w:rPr>
                <w:rFonts w:cs="Arial"/>
              </w:rPr>
              <w:t>licy</w:t>
            </w:r>
            <w:r w:rsidR="52DA480A" w:rsidRPr="4E85AF4A">
              <w:rPr>
                <w:rFonts w:cs="Arial"/>
              </w:rPr>
              <w:t xml:space="preserve"> and Legislation </w:t>
            </w:r>
            <w:r w:rsidR="00BA26FE">
              <w:rPr>
                <w:rFonts w:cs="Arial"/>
              </w:rPr>
              <w:t>t</w:t>
            </w:r>
            <w:r w:rsidR="52DA480A" w:rsidRPr="4E85AF4A">
              <w:rPr>
                <w:rFonts w:cs="Arial"/>
              </w:rPr>
              <w:t xml:space="preserve">eam, </w:t>
            </w:r>
            <w:r w:rsidR="009F6149">
              <w:rPr>
                <w:rFonts w:cs="Arial"/>
                <w:bCs/>
              </w:rPr>
              <w:t xml:space="preserve">Dean is also responsible for </w:t>
            </w:r>
            <w:r w:rsidR="3CEAD3F8" w:rsidRPr="66DBB211">
              <w:rPr>
                <w:rFonts w:cs="Arial"/>
              </w:rPr>
              <w:t xml:space="preserve">contributing to the development </w:t>
            </w:r>
            <w:r w:rsidR="7AEE00B7" w:rsidRPr="4E85AF4A">
              <w:rPr>
                <w:rFonts w:cs="Arial"/>
              </w:rPr>
              <w:t xml:space="preserve">of </w:t>
            </w:r>
            <w:r w:rsidRPr="005966E0">
              <w:rPr>
                <w:rFonts w:cs="Arial"/>
                <w:bCs/>
              </w:rPr>
              <w:t>polic</w:t>
            </w:r>
            <w:r w:rsidR="009F6149">
              <w:rPr>
                <w:rFonts w:cs="Arial"/>
                <w:bCs/>
              </w:rPr>
              <w:t>ies</w:t>
            </w:r>
            <w:r w:rsidRPr="005966E0">
              <w:rPr>
                <w:rFonts w:cs="Arial"/>
                <w:bCs/>
              </w:rPr>
              <w:t xml:space="preserve"> and legislation </w:t>
            </w:r>
            <w:r w:rsidR="00BA26FE">
              <w:rPr>
                <w:rFonts w:cs="Arial"/>
              </w:rPr>
              <w:t>that</w:t>
            </w:r>
            <w:r w:rsidR="00BA26FE">
              <w:rPr>
                <w:rFonts w:cs="Arial"/>
                <w:bCs/>
              </w:rPr>
              <w:t xml:space="preserve"> </w:t>
            </w:r>
            <w:r w:rsidRPr="005966E0">
              <w:rPr>
                <w:rFonts w:cs="Arial"/>
                <w:bCs/>
              </w:rPr>
              <w:t>support</w:t>
            </w:r>
            <w:r w:rsidR="004E3170">
              <w:rPr>
                <w:rFonts w:cs="Arial"/>
                <w:bCs/>
              </w:rPr>
              <w:t xml:space="preserve"> </w:t>
            </w:r>
            <w:r w:rsidRPr="005966E0">
              <w:rPr>
                <w:rFonts w:cs="Arial"/>
                <w:bCs/>
              </w:rPr>
              <w:t xml:space="preserve">and protect the building </w:t>
            </w:r>
            <w:r w:rsidR="00ED798A">
              <w:rPr>
                <w:rFonts w:cs="Arial"/>
                <w:bCs/>
              </w:rPr>
              <w:t xml:space="preserve">and construction </w:t>
            </w:r>
            <w:r w:rsidRPr="005966E0">
              <w:rPr>
                <w:rFonts w:cs="Arial"/>
                <w:bCs/>
              </w:rPr>
              <w:t>industry</w:t>
            </w:r>
            <w:r w:rsidR="1C5B4F59" w:rsidRPr="4E85AF4A">
              <w:rPr>
                <w:rFonts w:cs="Arial"/>
              </w:rPr>
              <w:t xml:space="preserve"> and consumers</w:t>
            </w:r>
            <w:r w:rsidRPr="005966E0">
              <w:rPr>
                <w:rFonts w:cs="Arial"/>
                <w:bCs/>
              </w:rPr>
              <w:t>.</w:t>
            </w:r>
          </w:p>
        </w:tc>
      </w:tr>
      <w:tr w:rsidR="007345BE" w:rsidRPr="00DF0645" w14:paraId="2BA19294" w14:textId="77777777" w:rsidTr="00377E43">
        <w:tc>
          <w:tcPr>
            <w:tcW w:w="2830" w:type="dxa"/>
          </w:tcPr>
          <w:p w14:paraId="5E6B9A5F" w14:textId="77777777" w:rsidR="007345BE" w:rsidRPr="004A2C19" w:rsidRDefault="007345BE">
            <w:pPr>
              <w:rPr>
                <w:rFonts w:cs="Arial"/>
                <w:b/>
              </w:rPr>
            </w:pPr>
            <w:r w:rsidRPr="004A2C19">
              <w:rPr>
                <w:rFonts w:cs="Arial"/>
                <w:b/>
              </w:rPr>
              <w:t xml:space="preserve">Julia Smith </w:t>
            </w:r>
          </w:p>
          <w:p w14:paraId="610E190F" w14:textId="05B948F5" w:rsidR="007345BE" w:rsidRPr="00DF0645" w:rsidRDefault="007345BE">
            <w:pPr>
              <w:rPr>
                <w:rFonts w:cs="Arial"/>
              </w:rPr>
            </w:pPr>
            <w:r w:rsidRPr="00DF0645">
              <w:rPr>
                <w:rFonts w:cs="Arial"/>
              </w:rPr>
              <w:t xml:space="preserve">Chief Human Resource Officer </w:t>
            </w:r>
          </w:p>
          <w:p w14:paraId="74E43986" w14:textId="77777777" w:rsidR="007345BE" w:rsidRPr="004A2C19" w:rsidRDefault="007345BE">
            <w:pPr>
              <w:rPr>
                <w:rFonts w:cs="Arial"/>
                <w:b/>
              </w:rPr>
            </w:pPr>
          </w:p>
        </w:tc>
        <w:tc>
          <w:tcPr>
            <w:tcW w:w="7620" w:type="dxa"/>
          </w:tcPr>
          <w:p w14:paraId="727FCB27" w14:textId="75FD1075" w:rsidR="007345BE" w:rsidRPr="004B26BC" w:rsidRDefault="007345BE">
            <w:pPr>
              <w:rPr>
                <w:rFonts w:cs="Arial"/>
              </w:rPr>
            </w:pPr>
            <w:r w:rsidRPr="004B26BC">
              <w:rPr>
                <w:rFonts w:cs="Arial"/>
                <w:bCs/>
              </w:rPr>
              <w:t xml:space="preserve">Julia has </w:t>
            </w:r>
            <w:r w:rsidR="00C70A8E">
              <w:rPr>
                <w:rFonts w:cs="Arial"/>
                <w:bCs/>
              </w:rPr>
              <w:t>extensive executive and operational experience</w:t>
            </w:r>
            <w:r w:rsidRPr="004B26BC">
              <w:rPr>
                <w:rFonts w:cs="Arial"/>
                <w:bCs/>
              </w:rPr>
              <w:t xml:space="preserve"> </w:t>
            </w:r>
            <w:r w:rsidR="00E60ECF">
              <w:rPr>
                <w:rFonts w:cs="Arial"/>
                <w:bCs/>
              </w:rPr>
              <w:t>in people, culture and change</w:t>
            </w:r>
            <w:r w:rsidRPr="004B26BC">
              <w:rPr>
                <w:rFonts w:cs="Arial"/>
                <w:bCs/>
              </w:rPr>
              <w:t xml:space="preserve"> </w:t>
            </w:r>
            <w:r w:rsidR="00417BE5">
              <w:rPr>
                <w:rFonts w:cs="Arial"/>
                <w:bCs/>
              </w:rPr>
              <w:t>roles</w:t>
            </w:r>
            <w:r w:rsidRPr="004B26BC">
              <w:rPr>
                <w:rFonts w:cs="Arial"/>
                <w:bCs/>
              </w:rPr>
              <w:t xml:space="preserve"> </w:t>
            </w:r>
            <w:r w:rsidR="00DD3BCB">
              <w:rPr>
                <w:rFonts w:cs="Arial"/>
                <w:bCs/>
              </w:rPr>
              <w:t xml:space="preserve">across a range of </w:t>
            </w:r>
            <w:r w:rsidRPr="004B26BC">
              <w:rPr>
                <w:rFonts w:cs="Arial"/>
                <w:bCs/>
              </w:rPr>
              <w:t xml:space="preserve">industries </w:t>
            </w:r>
            <w:r w:rsidR="00417BE5">
              <w:rPr>
                <w:rFonts w:cs="Arial"/>
                <w:bCs/>
              </w:rPr>
              <w:t>in</w:t>
            </w:r>
            <w:r w:rsidR="00E60ECF">
              <w:rPr>
                <w:rFonts w:cs="Arial"/>
                <w:bCs/>
              </w:rPr>
              <w:t xml:space="preserve"> the private and public sectors</w:t>
            </w:r>
            <w:r w:rsidRPr="004B26BC">
              <w:rPr>
                <w:rFonts w:cs="Arial"/>
                <w:bCs/>
              </w:rPr>
              <w:t xml:space="preserve">. As </w:t>
            </w:r>
            <w:r w:rsidR="00DD3BCB">
              <w:rPr>
                <w:rFonts w:cs="Arial"/>
                <w:bCs/>
              </w:rPr>
              <w:t xml:space="preserve">the </w:t>
            </w:r>
            <w:r w:rsidRPr="004B26BC">
              <w:rPr>
                <w:rFonts w:cs="Arial"/>
                <w:bCs/>
              </w:rPr>
              <w:t xml:space="preserve">Chief Human Resource Officer, </w:t>
            </w:r>
            <w:r w:rsidR="004B7B25">
              <w:rPr>
                <w:rFonts w:cs="Arial"/>
                <w:bCs/>
              </w:rPr>
              <w:t>Julia</w:t>
            </w:r>
            <w:r w:rsidR="004B7B25" w:rsidRPr="004B26BC">
              <w:rPr>
                <w:rFonts w:cs="Arial"/>
                <w:bCs/>
              </w:rPr>
              <w:t xml:space="preserve"> </w:t>
            </w:r>
            <w:r w:rsidRPr="004B26BC">
              <w:rPr>
                <w:rFonts w:cs="Arial"/>
                <w:bCs/>
              </w:rPr>
              <w:t xml:space="preserve">is committed to </w:t>
            </w:r>
            <w:r w:rsidR="000E3621">
              <w:rPr>
                <w:rFonts w:cs="Arial"/>
                <w:bCs/>
              </w:rPr>
              <w:t>guiding</w:t>
            </w:r>
            <w:r w:rsidRPr="004B26BC">
              <w:rPr>
                <w:rFonts w:cs="Arial"/>
                <w:bCs/>
              </w:rPr>
              <w:t xml:space="preserve"> people and organisations through change.</w:t>
            </w:r>
            <w:r>
              <w:rPr>
                <w:rFonts w:cs="Arial"/>
              </w:rPr>
              <w:t xml:space="preserve"> </w:t>
            </w:r>
            <w:r w:rsidR="000E3621">
              <w:rPr>
                <w:rFonts w:cs="Arial"/>
              </w:rPr>
              <w:t xml:space="preserve">Julia </w:t>
            </w:r>
            <w:r w:rsidRPr="00D716F9">
              <w:rPr>
                <w:rFonts w:cs="Arial"/>
                <w:bCs/>
              </w:rPr>
              <w:t xml:space="preserve">has focused on </w:t>
            </w:r>
            <w:r w:rsidR="000E3621">
              <w:rPr>
                <w:rFonts w:cs="Arial"/>
                <w:bCs/>
              </w:rPr>
              <w:lastRenderedPageBreak/>
              <w:t xml:space="preserve">strengthening </w:t>
            </w:r>
            <w:r w:rsidRPr="00D716F9">
              <w:rPr>
                <w:rFonts w:cs="Arial"/>
                <w:bCs/>
              </w:rPr>
              <w:t xml:space="preserve">the </w:t>
            </w:r>
            <w:r>
              <w:rPr>
                <w:rFonts w:cs="Arial"/>
                <w:bCs/>
              </w:rPr>
              <w:t>H</w:t>
            </w:r>
            <w:r w:rsidR="00C12F32">
              <w:rPr>
                <w:rFonts w:cs="Arial"/>
                <w:bCs/>
              </w:rPr>
              <w:t xml:space="preserve">uman </w:t>
            </w:r>
            <w:r>
              <w:rPr>
                <w:rFonts w:cs="Arial"/>
                <w:bCs/>
              </w:rPr>
              <w:t>R</w:t>
            </w:r>
            <w:r w:rsidR="00C12F32">
              <w:rPr>
                <w:rFonts w:cs="Arial"/>
                <w:bCs/>
              </w:rPr>
              <w:t>esources</w:t>
            </w:r>
            <w:r>
              <w:rPr>
                <w:rFonts w:cs="Arial"/>
                <w:bCs/>
              </w:rPr>
              <w:t xml:space="preserve"> </w:t>
            </w:r>
            <w:r w:rsidR="00B23B87">
              <w:rPr>
                <w:rFonts w:cs="Arial"/>
                <w:bCs/>
              </w:rPr>
              <w:t xml:space="preserve">(HR) </w:t>
            </w:r>
            <w:r>
              <w:rPr>
                <w:rFonts w:cs="Arial"/>
                <w:bCs/>
              </w:rPr>
              <w:t>division</w:t>
            </w:r>
            <w:r w:rsidRPr="00D716F9">
              <w:rPr>
                <w:rFonts w:cs="Arial"/>
                <w:bCs/>
              </w:rPr>
              <w:t xml:space="preserve"> </w:t>
            </w:r>
            <w:r w:rsidR="00C12F32">
              <w:rPr>
                <w:rFonts w:cs="Arial"/>
                <w:bCs/>
              </w:rPr>
              <w:t xml:space="preserve">by </w:t>
            </w:r>
            <w:r w:rsidRPr="00D716F9">
              <w:rPr>
                <w:rFonts w:cs="Arial"/>
                <w:bCs/>
              </w:rPr>
              <w:t>build</w:t>
            </w:r>
            <w:r w:rsidR="00C12F32">
              <w:rPr>
                <w:rFonts w:cs="Arial"/>
                <w:bCs/>
              </w:rPr>
              <w:t xml:space="preserve">ing </w:t>
            </w:r>
            <w:r w:rsidR="001153CC">
              <w:rPr>
                <w:rFonts w:cs="Arial"/>
                <w:bCs/>
              </w:rPr>
              <w:t>strong</w:t>
            </w:r>
            <w:r w:rsidR="00DF5078">
              <w:rPr>
                <w:rFonts w:cs="Arial"/>
                <w:bCs/>
              </w:rPr>
              <w:t xml:space="preserve"> foundations </w:t>
            </w:r>
            <w:r w:rsidR="00FC6B5B">
              <w:rPr>
                <w:rFonts w:cs="Arial"/>
                <w:bCs/>
              </w:rPr>
              <w:t xml:space="preserve">and implementing effective </w:t>
            </w:r>
            <w:r w:rsidRPr="00D716F9">
              <w:rPr>
                <w:rFonts w:cs="Arial"/>
                <w:bCs/>
              </w:rPr>
              <w:t>work practices, people strategies and systems</w:t>
            </w:r>
            <w:r w:rsidR="00DF4E51">
              <w:rPr>
                <w:rFonts w:cs="Arial"/>
                <w:bCs/>
              </w:rPr>
              <w:t xml:space="preserve">. </w:t>
            </w:r>
            <w:r w:rsidR="00EF378E">
              <w:rPr>
                <w:rFonts w:cs="Arial"/>
                <w:bCs/>
              </w:rPr>
              <w:t>Julia</w:t>
            </w:r>
            <w:r w:rsidR="00EF378E" w:rsidRPr="004B26BC">
              <w:rPr>
                <w:rFonts w:cs="Arial"/>
                <w:bCs/>
              </w:rPr>
              <w:t xml:space="preserve"> </w:t>
            </w:r>
            <w:r w:rsidRPr="004B26BC">
              <w:rPr>
                <w:rFonts w:cs="Arial"/>
                <w:bCs/>
              </w:rPr>
              <w:t>played a leading role in</w:t>
            </w:r>
            <w:r w:rsidR="00453D44">
              <w:rPr>
                <w:rFonts w:cs="Arial"/>
                <w:bCs/>
              </w:rPr>
              <w:t xml:space="preserve"> </w:t>
            </w:r>
            <w:r w:rsidR="001153CC">
              <w:rPr>
                <w:rFonts w:cs="Arial"/>
                <w:bCs/>
              </w:rPr>
              <w:t xml:space="preserve">delivering </w:t>
            </w:r>
            <w:r w:rsidR="00453D44">
              <w:rPr>
                <w:rFonts w:cs="Arial"/>
                <w:bCs/>
              </w:rPr>
              <w:t xml:space="preserve">the </w:t>
            </w:r>
            <w:r w:rsidR="00C922CC">
              <w:rPr>
                <w:rFonts w:cs="Arial"/>
                <w:bCs/>
              </w:rPr>
              <w:t xml:space="preserve">QBCC </w:t>
            </w:r>
            <w:r w:rsidRPr="004B26BC">
              <w:rPr>
                <w:rFonts w:cs="Arial"/>
                <w:bCs/>
              </w:rPr>
              <w:t>Reset</w:t>
            </w:r>
            <w:r w:rsidR="00453D44">
              <w:rPr>
                <w:rFonts w:cs="Arial"/>
                <w:bCs/>
              </w:rPr>
              <w:t xml:space="preserve"> </w:t>
            </w:r>
            <w:bookmarkStart w:id="226" w:name="_Int_gxtrGWyp"/>
            <w:proofErr w:type="gramStart"/>
            <w:r w:rsidR="00453D44">
              <w:rPr>
                <w:rFonts w:cs="Arial"/>
                <w:bCs/>
              </w:rPr>
              <w:t>initiative</w:t>
            </w:r>
            <w:r w:rsidR="008F11D2">
              <w:rPr>
                <w:rFonts w:cs="Arial"/>
                <w:bCs/>
              </w:rPr>
              <w:t>,</w:t>
            </w:r>
            <w:r w:rsidR="004370D4">
              <w:rPr>
                <w:rFonts w:cs="Arial"/>
                <w:bCs/>
              </w:rPr>
              <w:t xml:space="preserve"> and</w:t>
            </w:r>
            <w:bookmarkEnd w:id="226"/>
            <w:proofErr w:type="gramEnd"/>
            <w:r w:rsidR="004370D4">
              <w:rPr>
                <w:rFonts w:cs="Arial"/>
                <w:bCs/>
              </w:rPr>
              <w:t xml:space="preserve"> </w:t>
            </w:r>
            <w:r w:rsidR="00484653">
              <w:rPr>
                <w:rFonts w:cs="Arial"/>
                <w:bCs/>
              </w:rPr>
              <w:t xml:space="preserve">is </w:t>
            </w:r>
            <w:r w:rsidR="002D1D9E">
              <w:rPr>
                <w:rFonts w:cs="Arial"/>
                <w:bCs/>
              </w:rPr>
              <w:t>current</w:t>
            </w:r>
            <w:r w:rsidR="004370D4">
              <w:rPr>
                <w:rFonts w:cs="Arial"/>
                <w:bCs/>
              </w:rPr>
              <w:t xml:space="preserve">ly </w:t>
            </w:r>
            <w:r w:rsidR="001153CC">
              <w:rPr>
                <w:rFonts w:cs="Arial"/>
                <w:bCs/>
              </w:rPr>
              <w:t xml:space="preserve">focused on </w:t>
            </w:r>
            <w:r w:rsidR="000B04CA">
              <w:rPr>
                <w:rFonts w:cs="Arial"/>
                <w:bCs/>
              </w:rPr>
              <w:t>enhanc</w:t>
            </w:r>
            <w:r w:rsidR="001153CC">
              <w:rPr>
                <w:rFonts w:cs="Arial"/>
                <w:bCs/>
              </w:rPr>
              <w:t xml:space="preserve">ing </w:t>
            </w:r>
            <w:r w:rsidR="00F87215">
              <w:rPr>
                <w:rFonts w:cs="Arial"/>
                <w:bCs/>
              </w:rPr>
              <w:t xml:space="preserve">leadership capability within </w:t>
            </w:r>
            <w:r w:rsidRPr="004B26BC">
              <w:rPr>
                <w:rFonts w:cs="Arial"/>
                <w:bCs/>
              </w:rPr>
              <w:t>the QBCC, improv</w:t>
            </w:r>
            <w:r w:rsidR="001153CC">
              <w:rPr>
                <w:rFonts w:cs="Arial"/>
                <w:bCs/>
              </w:rPr>
              <w:t>ing</w:t>
            </w:r>
            <w:r w:rsidRPr="004B26BC">
              <w:rPr>
                <w:rFonts w:cs="Arial"/>
                <w:bCs/>
              </w:rPr>
              <w:t xml:space="preserve"> people systems, </w:t>
            </w:r>
            <w:r w:rsidR="00FC7C93">
              <w:rPr>
                <w:rFonts w:cs="Arial"/>
                <w:bCs/>
              </w:rPr>
              <w:t>advanc</w:t>
            </w:r>
            <w:r w:rsidR="001153CC">
              <w:rPr>
                <w:rFonts w:cs="Arial"/>
                <w:bCs/>
              </w:rPr>
              <w:t>ing</w:t>
            </w:r>
            <w:r w:rsidR="00FC7C93">
              <w:rPr>
                <w:rFonts w:cs="Arial"/>
                <w:bCs/>
              </w:rPr>
              <w:t xml:space="preserve"> the </w:t>
            </w:r>
            <w:r w:rsidR="00727328">
              <w:rPr>
                <w:rFonts w:cs="Arial"/>
                <w:bCs/>
              </w:rPr>
              <w:t>D</w:t>
            </w:r>
            <w:r w:rsidRPr="004B26BC">
              <w:rPr>
                <w:rFonts w:cs="Arial"/>
                <w:bCs/>
              </w:rPr>
              <w:t xml:space="preserve">iversity, </w:t>
            </w:r>
            <w:r w:rsidR="00727328">
              <w:rPr>
                <w:rFonts w:cs="Arial"/>
                <w:bCs/>
              </w:rPr>
              <w:t>E</w:t>
            </w:r>
            <w:r w:rsidRPr="004B26BC">
              <w:rPr>
                <w:rFonts w:cs="Arial"/>
                <w:bCs/>
              </w:rPr>
              <w:t xml:space="preserve">quity, </w:t>
            </w:r>
            <w:r w:rsidR="00727328">
              <w:rPr>
                <w:rFonts w:cs="Arial"/>
                <w:bCs/>
              </w:rPr>
              <w:t>I</w:t>
            </w:r>
            <w:r w:rsidRPr="004B26BC">
              <w:rPr>
                <w:rFonts w:cs="Arial"/>
                <w:bCs/>
              </w:rPr>
              <w:t xml:space="preserve">nclusion and </w:t>
            </w:r>
            <w:r w:rsidR="00727328">
              <w:rPr>
                <w:rFonts w:cs="Arial"/>
                <w:bCs/>
              </w:rPr>
              <w:t>B</w:t>
            </w:r>
            <w:r w:rsidRPr="004B26BC">
              <w:rPr>
                <w:rFonts w:cs="Arial"/>
                <w:bCs/>
              </w:rPr>
              <w:t xml:space="preserve">elonging </w:t>
            </w:r>
            <w:r w:rsidR="00D91D18">
              <w:rPr>
                <w:rFonts w:cs="Arial"/>
                <w:bCs/>
              </w:rPr>
              <w:t>(DEIB)</w:t>
            </w:r>
            <w:r w:rsidRPr="004B26BC">
              <w:rPr>
                <w:rFonts w:cs="Arial"/>
                <w:bCs/>
              </w:rPr>
              <w:t xml:space="preserve"> </w:t>
            </w:r>
            <w:r w:rsidR="008F11D2">
              <w:rPr>
                <w:rFonts w:cs="Arial"/>
                <w:bCs/>
              </w:rPr>
              <w:t>P</w:t>
            </w:r>
            <w:r w:rsidRPr="004B26BC">
              <w:rPr>
                <w:rFonts w:cs="Arial"/>
                <w:bCs/>
              </w:rPr>
              <w:t>lan, embed</w:t>
            </w:r>
            <w:r w:rsidR="001153CC">
              <w:rPr>
                <w:rFonts w:cs="Arial"/>
                <w:bCs/>
              </w:rPr>
              <w:t>ding</w:t>
            </w:r>
            <w:r w:rsidR="00491D57">
              <w:rPr>
                <w:rFonts w:cs="Arial"/>
                <w:bCs/>
              </w:rPr>
              <w:t xml:space="preserve"> </w:t>
            </w:r>
            <w:r w:rsidR="00437B74">
              <w:rPr>
                <w:rFonts w:cs="Arial"/>
                <w:bCs/>
              </w:rPr>
              <w:t xml:space="preserve">the </w:t>
            </w:r>
            <w:r w:rsidRPr="004B26BC">
              <w:rPr>
                <w:rFonts w:cs="Arial"/>
                <w:bCs/>
              </w:rPr>
              <w:t>QBCC values</w:t>
            </w:r>
            <w:r w:rsidR="00491D57">
              <w:rPr>
                <w:rFonts w:cs="Arial"/>
                <w:bCs/>
              </w:rPr>
              <w:t xml:space="preserve"> </w:t>
            </w:r>
            <w:r w:rsidRPr="004B26BC">
              <w:rPr>
                <w:rFonts w:cs="Arial"/>
                <w:bCs/>
              </w:rPr>
              <w:t>and implemen</w:t>
            </w:r>
            <w:r w:rsidR="00A8411D">
              <w:rPr>
                <w:rFonts w:cs="Arial"/>
                <w:bCs/>
              </w:rPr>
              <w:t>t</w:t>
            </w:r>
            <w:r w:rsidR="00437B74">
              <w:rPr>
                <w:rFonts w:cs="Arial"/>
                <w:bCs/>
              </w:rPr>
              <w:t>ing</w:t>
            </w:r>
            <w:r w:rsidRPr="004B26BC">
              <w:rPr>
                <w:rFonts w:cs="Arial"/>
                <w:bCs/>
              </w:rPr>
              <w:t xml:space="preserve"> public sector employee relations frameworks.</w:t>
            </w:r>
          </w:p>
        </w:tc>
      </w:tr>
      <w:tr w:rsidR="007345BE" w:rsidRPr="00DF0645" w14:paraId="384DCD18" w14:textId="77777777" w:rsidTr="00377E43">
        <w:tc>
          <w:tcPr>
            <w:tcW w:w="2830" w:type="dxa"/>
          </w:tcPr>
          <w:p w14:paraId="7080F188" w14:textId="77777777" w:rsidR="007345BE" w:rsidRPr="004A2C19" w:rsidRDefault="007345BE">
            <w:pPr>
              <w:rPr>
                <w:rFonts w:cs="Arial"/>
                <w:b/>
              </w:rPr>
            </w:pPr>
            <w:r w:rsidRPr="004A2C19">
              <w:rPr>
                <w:rFonts w:cs="Arial"/>
                <w:b/>
              </w:rPr>
              <w:lastRenderedPageBreak/>
              <w:t xml:space="preserve">Tracy Vincent </w:t>
            </w:r>
          </w:p>
          <w:p w14:paraId="1DBEF056" w14:textId="77777777" w:rsidR="007345BE" w:rsidRPr="00DF0645" w:rsidRDefault="007345BE">
            <w:pPr>
              <w:rPr>
                <w:rFonts w:cs="Arial"/>
              </w:rPr>
            </w:pPr>
            <w:r w:rsidRPr="00DF0645">
              <w:rPr>
                <w:rFonts w:cs="Arial"/>
              </w:rPr>
              <w:t>A</w:t>
            </w:r>
            <w:r>
              <w:rPr>
                <w:rFonts w:cs="Arial"/>
              </w:rPr>
              <w:t xml:space="preserve">cting </w:t>
            </w:r>
            <w:r w:rsidRPr="00DF0645">
              <w:rPr>
                <w:rFonts w:cs="Arial"/>
              </w:rPr>
              <w:t xml:space="preserve">Chief Customer and Strategy Officer </w:t>
            </w:r>
          </w:p>
          <w:p w14:paraId="4116C585" w14:textId="77777777" w:rsidR="007345BE" w:rsidRPr="00DF0645" w:rsidRDefault="007345BE">
            <w:pPr>
              <w:rPr>
                <w:rFonts w:cs="Arial"/>
                <w:b/>
              </w:rPr>
            </w:pPr>
          </w:p>
        </w:tc>
        <w:tc>
          <w:tcPr>
            <w:tcW w:w="7620" w:type="dxa"/>
          </w:tcPr>
          <w:p w14:paraId="21A45496" w14:textId="405383DC" w:rsidR="007345BE" w:rsidRPr="006C60EA" w:rsidRDefault="00C603BA" w:rsidP="00C603BA">
            <w:pPr>
              <w:rPr>
                <w:rFonts w:cs="Arial"/>
                <w:bCs/>
              </w:rPr>
            </w:pPr>
            <w:r w:rsidRPr="00C603BA">
              <w:rPr>
                <w:rFonts w:cs="Arial"/>
                <w:bCs/>
              </w:rPr>
              <w:t>Tracy is a</w:t>
            </w:r>
            <w:r w:rsidR="00EA1C93">
              <w:rPr>
                <w:rFonts w:cs="Arial"/>
                <w:bCs/>
              </w:rPr>
              <w:t xml:space="preserve"> </w:t>
            </w:r>
            <w:r w:rsidRPr="00C603BA">
              <w:rPr>
                <w:rFonts w:cs="Arial"/>
                <w:bCs/>
              </w:rPr>
              <w:t xml:space="preserve">leader with deep expertise in guiding multidisciplinary teams to deliver transformational change across both regulatory and non-regulatory settings. As </w:t>
            </w:r>
            <w:r w:rsidR="00E4347F">
              <w:rPr>
                <w:rFonts w:cs="Arial"/>
                <w:bCs/>
              </w:rPr>
              <w:t xml:space="preserve">the </w:t>
            </w:r>
            <w:r w:rsidRPr="00C603BA">
              <w:rPr>
                <w:rFonts w:cs="Arial"/>
                <w:bCs/>
              </w:rPr>
              <w:t xml:space="preserve">Acting Chief Customer and Strategy Officer, Tracy is leading the transformation of the QBCC’s customer experience, </w:t>
            </w:r>
            <w:r w:rsidR="008167DC">
              <w:rPr>
                <w:rFonts w:cs="Arial"/>
                <w:bCs/>
              </w:rPr>
              <w:t xml:space="preserve">strengthening </w:t>
            </w:r>
            <w:r w:rsidRPr="00C603BA">
              <w:rPr>
                <w:rFonts w:cs="Arial"/>
                <w:bCs/>
              </w:rPr>
              <w:t xml:space="preserve">trust and respect for the QBCC as the regulator of Queensland’s building and construction industry. </w:t>
            </w:r>
            <w:r w:rsidR="00025E1E" w:rsidRPr="00025E1E">
              <w:rPr>
                <w:rFonts w:cs="Arial"/>
                <w:bCs/>
              </w:rPr>
              <w:t xml:space="preserve">Tracy also championed the establishment of the customer research team, demonstrating the value of a quality voice of </w:t>
            </w:r>
            <w:r w:rsidR="00E74FFE">
              <w:rPr>
                <w:rFonts w:cs="Arial"/>
                <w:bCs/>
              </w:rPr>
              <w:t xml:space="preserve">customer </w:t>
            </w:r>
            <w:r w:rsidR="00025E1E" w:rsidRPr="00025E1E">
              <w:rPr>
                <w:rFonts w:cs="Arial"/>
                <w:bCs/>
              </w:rPr>
              <w:t>program.</w:t>
            </w:r>
            <w:r w:rsidR="00025E1E">
              <w:rPr>
                <w:rFonts w:cs="Arial"/>
                <w:bCs/>
              </w:rPr>
              <w:t xml:space="preserve"> </w:t>
            </w:r>
            <w:r w:rsidRPr="00C603BA">
              <w:rPr>
                <w:rFonts w:cs="Arial"/>
                <w:bCs/>
              </w:rPr>
              <w:t>Tracy is committed to achieving strategic and operational outcomes by enhancing enterprise portfolio management practices. In addition, Tracy oversees teams responsible for advancing data analytics capabilities and ensuring compliance with statutory planning and reporting requirements.</w:t>
            </w:r>
          </w:p>
        </w:tc>
      </w:tr>
      <w:tr w:rsidR="007345BE" w:rsidRPr="00DF0645" w14:paraId="34CDEDE5" w14:textId="77777777" w:rsidTr="00377E43">
        <w:tc>
          <w:tcPr>
            <w:tcW w:w="2830" w:type="dxa"/>
          </w:tcPr>
          <w:p w14:paraId="1BC1D9F4" w14:textId="5FCF09AE" w:rsidR="007345BE" w:rsidRDefault="007345BE">
            <w:pPr>
              <w:rPr>
                <w:rFonts w:cs="Arial"/>
                <w:b/>
              </w:rPr>
            </w:pPr>
            <w:r>
              <w:rPr>
                <w:rFonts w:cs="Arial"/>
                <w:b/>
              </w:rPr>
              <w:t>Hannah Rowe</w:t>
            </w:r>
          </w:p>
          <w:p w14:paraId="76D31D02" w14:textId="77777777" w:rsidR="007345BE" w:rsidRPr="004B26BC" w:rsidRDefault="007345BE">
            <w:pPr>
              <w:rPr>
                <w:rFonts w:cs="Arial"/>
                <w:bCs/>
              </w:rPr>
            </w:pPr>
            <w:r w:rsidRPr="00DF0645">
              <w:rPr>
                <w:rFonts w:cs="Arial"/>
              </w:rPr>
              <w:t>Chief Customer and Strategy Officer</w:t>
            </w:r>
          </w:p>
        </w:tc>
        <w:tc>
          <w:tcPr>
            <w:tcW w:w="7620" w:type="dxa"/>
          </w:tcPr>
          <w:p w14:paraId="1C0CDED9" w14:textId="214A0649" w:rsidR="007345BE" w:rsidRPr="004B26BC" w:rsidRDefault="355E2B66">
            <w:pPr>
              <w:rPr>
                <w:rFonts w:eastAsia="Arial" w:cs="Arial"/>
                <w:szCs w:val="22"/>
              </w:rPr>
            </w:pPr>
            <w:r w:rsidRPr="2D4240A9">
              <w:rPr>
                <w:rFonts w:eastAsia="Arial" w:cs="Arial"/>
                <w:szCs w:val="22"/>
              </w:rPr>
              <w:t xml:space="preserve">Hannah is an executive leader with extensive experience leading teams across communications, customer experience, strategic planning, media and frontline services in both the private and public sector. As Chief Customer and Strategy Officer, </w:t>
            </w:r>
            <w:r w:rsidR="008A34BE">
              <w:rPr>
                <w:rFonts w:eastAsia="Arial" w:cs="Arial"/>
                <w:szCs w:val="22"/>
              </w:rPr>
              <w:t>Hannah</w:t>
            </w:r>
            <w:r w:rsidRPr="2D4240A9">
              <w:rPr>
                <w:rFonts w:eastAsia="Arial" w:cs="Arial"/>
                <w:szCs w:val="22"/>
              </w:rPr>
              <w:t xml:space="preserve"> established the Customer and Strategy division, overseeing business intelligence and analytics, customer experience, communication and executive services, and strategy and portfolio management. </w:t>
            </w:r>
            <w:r w:rsidR="001F8558" w:rsidRPr="6D119DB8">
              <w:rPr>
                <w:rFonts w:eastAsia="Arial" w:cs="Arial"/>
              </w:rPr>
              <w:t xml:space="preserve">Having </w:t>
            </w:r>
            <w:r w:rsidR="77AC9E4F" w:rsidRPr="6D119DB8">
              <w:rPr>
                <w:rFonts w:eastAsia="Arial" w:cs="Arial"/>
              </w:rPr>
              <w:t>played a pivotal role in</w:t>
            </w:r>
            <w:r w:rsidRPr="2D4240A9">
              <w:rPr>
                <w:rFonts w:eastAsia="Arial" w:cs="Arial"/>
                <w:szCs w:val="22"/>
              </w:rPr>
              <w:t xml:space="preserve"> the development of the QBCC’s first Customer Experience Strategy</w:t>
            </w:r>
            <w:r w:rsidR="008A34BE">
              <w:rPr>
                <w:rFonts w:eastAsia="Arial" w:cs="Arial"/>
                <w:szCs w:val="22"/>
              </w:rPr>
              <w:t>,</w:t>
            </w:r>
            <w:r w:rsidRPr="2D4240A9">
              <w:rPr>
                <w:rFonts w:eastAsia="Arial" w:cs="Arial"/>
                <w:szCs w:val="22"/>
              </w:rPr>
              <w:t xml:space="preserve"> </w:t>
            </w:r>
            <w:r w:rsidR="008A34BE">
              <w:rPr>
                <w:rFonts w:eastAsia="Arial" w:cs="Arial"/>
                <w:szCs w:val="22"/>
              </w:rPr>
              <w:t xml:space="preserve">Hannah </w:t>
            </w:r>
            <w:r w:rsidRPr="2D4240A9">
              <w:rPr>
                <w:rFonts w:eastAsia="Arial" w:cs="Arial"/>
                <w:szCs w:val="22"/>
              </w:rPr>
              <w:t xml:space="preserve">applies </w:t>
            </w:r>
            <w:r w:rsidR="7B62D5EA" w:rsidRPr="2D4240A9">
              <w:rPr>
                <w:rFonts w:eastAsia="Arial" w:cs="Arial"/>
                <w:szCs w:val="22"/>
              </w:rPr>
              <w:t xml:space="preserve">an </w:t>
            </w:r>
            <w:r w:rsidRPr="2D4240A9">
              <w:rPr>
                <w:rFonts w:eastAsia="Arial" w:cs="Arial"/>
                <w:szCs w:val="22"/>
              </w:rPr>
              <w:t>insight-led approach to improv</w:t>
            </w:r>
            <w:r w:rsidR="4258BEA1" w:rsidRPr="2D4240A9">
              <w:rPr>
                <w:rFonts w:eastAsia="Arial" w:cs="Arial"/>
                <w:szCs w:val="22"/>
              </w:rPr>
              <w:t>ing</w:t>
            </w:r>
            <w:r w:rsidRPr="2D4240A9">
              <w:rPr>
                <w:rFonts w:eastAsia="Arial" w:cs="Arial"/>
                <w:szCs w:val="22"/>
              </w:rPr>
              <w:t xml:space="preserve"> service delivery and </w:t>
            </w:r>
            <w:r w:rsidR="45610551" w:rsidRPr="2D4240A9">
              <w:rPr>
                <w:rFonts w:eastAsia="Arial" w:cs="Arial"/>
                <w:szCs w:val="22"/>
              </w:rPr>
              <w:t xml:space="preserve">building </w:t>
            </w:r>
            <w:r w:rsidRPr="2D4240A9">
              <w:rPr>
                <w:rFonts w:eastAsia="Arial" w:cs="Arial"/>
                <w:szCs w:val="22"/>
              </w:rPr>
              <w:t>public trust. Hannah</w:t>
            </w:r>
            <w:r w:rsidR="597F8303" w:rsidRPr="2D4240A9">
              <w:rPr>
                <w:rFonts w:eastAsia="Arial" w:cs="Arial"/>
                <w:szCs w:val="22"/>
              </w:rPr>
              <w:t xml:space="preserve"> </w:t>
            </w:r>
            <w:r w:rsidR="2C835041" w:rsidRPr="2D4240A9">
              <w:rPr>
                <w:rFonts w:eastAsia="Arial" w:cs="Arial"/>
                <w:szCs w:val="22"/>
              </w:rPr>
              <w:t xml:space="preserve">is also committed to </w:t>
            </w:r>
            <w:r w:rsidR="1A0821B6" w:rsidRPr="2D4240A9">
              <w:rPr>
                <w:rFonts w:eastAsia="Arial" w:cs="Arial"/>
                <w:szCs w:val="22"/>
              </w:rPr>
              <w:t xml:space="preserve">leveraging data analytics capabilities to inform </w:t>
            </w:r>
            <w:r w:rsidRPr="2D4240A9">
              <w:rPr>
                <w:rFonts w:eastAsia="Arial" w:cs="Arial"/>
                <w:szCs w:val="22"/>
              </w:rPr>
              <w:t>evidence-based decision</w:t>
            </w:r>
            <w:r w:rsidR="007C4A56">
              <w:rPr>
                <w:rFonts w:eastAsia="Arial" w:cs="Arial"/>
                <w:szCs w:val="22"/>
              </w:rPr>
              <w:t xml:space="preserve"> </w:t>
            </w:r>
            <w:r w:rsidRPr="2D4240A9">
              <w:rPr>
                <w:rFonts w:eastAsia="Arial" w:cs="Arial"/>
                <w:szCs w:val="22"/>
              </w:rPr>
              <w:t xml:space="preserve">making </w:t>
            </w:r>
            <w:r w:rsidR="31DB5248" w:rsidRPr="1A1F91C3">
              <w:rPr>
                <w:rFonts w:eastAsia="Arial" w:cs="Arial"/>
                <w:szCs w:val="22"/>
              </w:rPr>
              <w:t>to</w:t>
            </w:r>
            <w:r w:rsidRPr="2D4240A9">
              <w:rPr>
                <w:rFonts w:eastAsia="Arial" w:cs="Arial"/>
                <w:szCs w:val="22"/>
              </w:rPr>
              <w:t xml:space="preserve"> drive </w:t>
            </w:r>
            <w:r w:rsidR="0C0FF06A" w:rsidRPr="1A1F91C3">
              <w:rPr>
                <w:rFonts w:eastAsia="Arial" w:cs="Arial"/>
                <w:szCs w:val="22"/>
              </w:rPr>
              <w:t>better</w:t>
            </w:r>
            <w:r w:rsidRPr="1A1F91C3">
              <w:rPr>
                <w:rFonts w:eastAsia="Arial" w:cs="Arial"/>
                <w:szCs w:val="22"/>
              </w:rPr>
              <w:t xml:space="preserve"> </w:t>
            </w:r>
            <w:r w:rsidRPr="2D4240A9">
              <w:rPr>
                <w:rFonts w:eastAsia="Arial" w:cs="Arial"/>
                <w:szCs w:val="22"/>
              </w:rPr>
              <w:t xml:space="preserve">regulatory </w:t>
            </w:r>
            <w:r w:rsidR="68E67F43" w:rsidRPr="1A1F91C3">
              <w:rPr>
                <w:rFonts w:eastAsia="Arial" w:cs="Arial"/>
                <w:szCs w:val="22"/>
              </w:rPr>
              <w:t>outcomes</w:t>
            </w:r>
            <w:r w:rsidRPr="2D4240A9">
              <w:rPr>
                <w:rFonts w:eastAsia="Arial" w:cs="Arial"/>
                <w:szCs w:val="22"/>
              </w:rPr>
              <w:t>.</w:t>
            </w:r>
          </w:p>
        </w:tc>
      </w:tr>
      <w:tr w:rsidR="007345BE" w:rsidRPr="00DF0645" w14:paraId="6AFD24AE" w14:textId="77777777" w:rsidTr="00377E43">
        <w:tc>
          <w:tcPr>
            <w:tcW w:w="2830" w:type="dxa"/>
          </w:tcPr>
          <w:p w14:paraId="5B2C3378" w14:textId="77777777" w:rsidR="007345BE" w:rsidRPr="004A2C19" w:rsidRDefault="007345BE">
            <w:pPr>
              <w:rPr>
                <w:rFonts w:cs="Arial"/>
                <w:b/>
              </w:rPr>
            </w:pPr>
            <w:r w:rsidRPr="004A2C19">
              <w:rPr>
                <w:rFonts w:cs="Arial"/>
                <w:b/>
              </w:rPr>
              <w:t xml:space="preserve">Tim Murphy </w:t>
            </w:r>
          </w:p>
          <w:p w14:paraId="49BF7529" w14:textId="77777777" w:rsidR="007345BE" w:rsidRPr="00DF0645" w:rsidRDefault="007345BE">
            <w:pPr>
              <w:rPr>
                <w:rFonts w:cs="Arial"/>
              </w:rPr>
            </w:pPr>
            <w:r w:rsidRPr="00DF0645">
              <w:rPr>
                <w:rFonts w:cs="Arial"/>
              </w:rPr>
              <w:t xml:space="preserve">Chief Financial Officer </w:t>
            </w:r>
          </w:p>
          <w:p w14:paraId="50FE7551" w14:textId="77777777" w:rsidR="007345BE" w:rsidRPr="00DF0645" w:rsidRDefault="007345BE">
            <w:pPr>
              <w:rPr>
                <w:rFonts w:cs="Arial"/>
                <w:b/>
              </w:rPr>
            </w:pPr>
          </w:p>
        </w:tc>
        <w:tc>
          <w:tcPr>
            <w:tcW w:w="7620" w:type="dxa"/>
          </w:tcPr>
          <w:p w14:paraId="4CE792F2" w14:textId="68E811F3" w:rsidR="007345BE" w:rsidRPr="004B26BC" w:rsidRDefault="007345BE">
            <w:pPr>
              <w:rPr>
                <w:rFonts w:cs="Arial"/>
              </w:rPr>
            </w:pPr>
            <w:r w:rsidRPr="004B26BC">
              <w:rPr>
                <w:rFonts w:cs="Arial"/>
                <w:bCs/>
              </w:rPr>
              <w:t>Tim is a</w:t>
            </w:r>
            <w:r w:rsidR="00A3560A">
              <w:rPr>
                <w:rFonts w:cs="Arial"/>
                <w:bCs/>
              </w:rPr>
              <w:t>n</w:t>
            </w:r>
            <w:r w:rsidR="003B337F">
              <w:rPr>
                <w:rFonts w:cs="Arial"/>
                <w:bCs/>
              </w:rPr>
              <w:t xml:space="preserve"> </w:t>
            </w:r>
            <w:r w:rsidRPr="004B26BC">
              <w:rPr>
                <w:rFonts w:cs="Arial"/>
                <w:bCs/>
              </w:rPr>
              <w:t>executive</w:t>
            </w:r>
            <w:r w:rsidR="00A548A7">
              <w:rPr>
                <w:rFonts w:cs="Arial"/>
                <w:bCs/>
              </w:rPr>
              <w:t xml:space="preserve"> leader and </w:t>
            </w:r>
            <w:r w:rsidR="00E727BB">
              <w:rPr>
                <w:rFonts w:cs="Arial"/>
                <w:bCs/>
              </w:rPr>
              <w:t>c</w:t>
            </w:r>
            <w:r w:rsidR="00A548A7">
              <w:rPr>
                <w:rFonts w:cs="Arial"/>
                <w:bCs/>
              </w:rPr>
              <w:t xml:space="preserve">hartered </w:t>
            </w:r>
            <w:r w:rsidR="00E727BB">
              <w:rPr>
                <w:rFonts w:cs="Arial"/>
                <w:bCs/>
              </w:rPr>
              <w:t>a</w:t>
            </w:r>
            <w:r w:rsidR="00A548A7">
              <w:rPr>
                <w:rFonts w:cs="Arial"/>
                <w:bCs/>
              </w:rPr>
              <w:t>ccountant</w:t>
            </w:r>
            <w:r w:rsidRPr="004B26BC">
              <w:rPr>
                <w:rFonts w:cs="Arial"/>
                <w:bCs/>
              </w:rPr>
              <w:t xml:space="preserve"> with </w:t>
            </w:r>
            <w:r w:rsidR="007142A9">
              <w:rPr>
                <w:rFonts w:cs="Arial"/>
                <w:bCs/>
              </w:rPr>
              <w:t>over</w:t>
            </w:r>
            <w:r w:rsidRPr="004B26BC">
              <w:rPr>
                <w:rFonts w:cs="Arial"/>
                <w:bCs/>
              </w:rPr>
              <w:t xml:space="preserve"> 35 years</w:t>
            </w:r>
            <w:r w:rsidR="0014277C">
              <w:rPr>
                <w:rFonts w:cs="Arial"/>
                <w:bCs/>
              </w:rPr>
              <w:t xml:space="preserve"> of </w:t>
            </w:r>
            <w:r w:rsidRPr="004B26BC">
              <w:rPr>
                <w:rFonts w:cs="Arial"/>
                <w:bCs/>
              </w:rPr>
              <w:t xml:space="preserve">experience </w:t>
            </w:r>
            <w:r w:rsidR="007142A9">
              <w:rPr>
                <w:rFonts w:cs="Arial"/>
                <w:bCs/>
              </w:rPr>
              <w:t>delivering</w:t>
            </w:r>
            <w:r w:rsidRPr="004B26BC">
              <w:rPr>
                <w:rFonts w:cs="Arial"/>
                <w:bCs/>
              </w:rPr>
              <w:t xml:space="preserve"> financial services </w:t>
            </w:r>
            <w:r w:rsidR="00BE019D">
              <w:rPr>
                <w:rFonts w:cs="Arial"/>
                <w:bCs/>
              </w:rPr>
              <w:t>across a wide range of</w:t>
            </w:r>
            <w:r w:rsidRPr="004B26BC">
              <w:rPr>
                <w:rFonts w:cs="Arial"/>
                <w:bCs/>
              </w:rPr>
              <w:t xml:space="preserve"> industries and complex organisations </w:t>
            </w:r>
            <w:r w:rsidR="00BE019D">
              <w:rPr>
                <w:rFonts w:cs="Arial"/>
                <w:bCs/>
              </w:rPr>
              <w:t>in both the</w:t>
            </w:r>
            <w:r w:rsidRPr="004B26BC">
              <w:rPr>
                <w:rFonts w:cs="Arial"/>
                <w:bCs/>
              </w:rPr>
              <w:t xml:space="preserve"> private and public sector</w:t>
            </w:r>
            <w:r w:rsidR="00BE019D">
              <w:rPr>
                <w:rFonts w:cs="Arial"/>
                <w:bCs/>
              </w:rPr>
              <w:t>s</w:t>
            </w:r>
            <w:r w:rsidRPr="004B26BC">
              <w:rPr>
                <w:rFonts w:cs="Arial"/>
                <w:bCs/>
              </w:rPr>
              <w:t xml:space="preserve">. As </w:t>
            </w:r>
            <w:r w:rsidR="00BE019D">
              <w:rPr>
                <w:rFonts w:cs="Arial"/>
                <w:bCs/>
              </w:rPr>
              <w:t xml:space="preserve">the </w:t>
            </w:r>
            <w:r w:rsidRPr="004B26BC">
              <w:rPr>
                <w:rFonts w:cs="Arial"/>
                <w:bCs/>
              </w:rPr>
              <w:t xml:space="preserve">Chief Financial Officer, </w:t>
            </w:r>
            <w:r w:rsidR="00155C66">
              <w:rPr>
                <w:rFonts w:cs="Arial"/>
                <w:bCs/>
              </w:rPr>
              <w:t>Tim</w:t>
            </w:r>
            <w:r w:rsidR="00155C66" w:rsidRPr="004B26BC">
              <w:rPr>
                <w:rFonts w:cs="Arial"/>
                <w:bCs/>
              </w:rPr>
              <w:t xml:space="preserve"> </w:t>
            </w:r>
            <w:r w:rsidRPr="004B26BC">
              <w:rPr>
                <w:rFonts w:cs="Arial"/>
                <w:bCs/>
              </w:rPr>
              <w:t xml:space="preserve">leads the Financial Services </w:t>
            </w:r>
            <w:r w:rsidR="00E727BB">
              <w:rPr>
                <w:rFonts w:cs="Arial"/>
                <w:bCs/>
              </w:rPr>
              <w:t>d</w:t>
            </w:r>
            <w:r w:rsidRPr="004B26BC">
              <w:rPr>
                <w:rFonts w:cs="Arial"/>
                <w:bCs/>
              </w:rPr>
              <w:t xml:space="preserve">ivision, </w:t>
            </w:r>
            <w:r w:rsidR="00C27ED7">
              <w:rPr>
                <w:rFonts w:cs="Arial"/>
                <w:bCs/>
              </w:rPr>
              <w:t>encompa</w:t>
            </w:r>
            <w:r w:rsidR="007E1D48">
              <w:rPr>
                <w:rFonts w:cs="Arial"/>
                <w:bCs/>
              </w:rPr>
              <w:t>s</w:t>
            </w:r>
            <w:r w:rsidR="00C27ED7">
              <w:rPr>
                <w:rFonts w:cs="Arial"/>
                <w:bCs/>
              </w:rPr>
              <w:t>sing</w:t>
            </w:r>
            <w:r w:rsidR="007E1D48">
              <w:rPr>
                <w:rFonts w:cs="Arial"/>
                <w:bCs/>
              </w:rPr>
              <w:t xml:space="preserve"> </w:t>
            </w:r>
            <w:r w:rsidRPr="004B26BC">
              <w:rPr>
                <w:rFonts w:cs="Arial"/>
                <w:bCs/>
              </w:rPr>
              <w:t>Facilities Management, Finance, Procurement</w:t>
            </w:r>
            <w:r w:rsidR="007E1D48">
              <w:rPr>
                <w:rFonts w:cs="Arial"/>
                <w:bCs/>
              </w:rPr>
              <w:t xml:space="preserve"> </w:t>
            </w:r>
            <w:r w:rsidRPr="004B26BC">
              <w:rPr>
                <w:rFonts w:cs="Arial"/>
                <w:bCs/>
              </w:rPr>
              <w:t xml:space="preserve">and Insurance Scheme Management. </w:t>
            </w:r>
            <w:r w:rsidR="00AD0550">
              <w:rPr>
                <w:rFonts w:cs="Arial"/>
                <w:bCs/>
              </w:rPr>
              <w:t>Tim</w:t>
            </w:r>
            <w:r w:rsidRPr="004B26BC">
              <w:rPr>
                <w:rFonts w:cs="Arial"/>
                <w:bCs/>
              </w:rPr>
              <w:t xml:space="preserve"> is focused on </w:t>
            </w:r>
            <w:r w:rsidR="00AD0550">
              <w:rPr>
                <w:rFonts w:cs="Arial"/>
                <w:bCs/>
              </w:rPr>
              <w:t>safeguarding the</w:t>
            </w:r>
            <w:r w:rsidRPr="004B26BC">
              <w:rPr>
                <w:rFonts w:cs="Arial"/>
                <w:bCs/>
              </w:rPr>
              <w:t xml:space="preserve"> QBCC’s financial health through</w:t>
            </w:r>
            <w:r w:rsidR="00AD0550">
              <w:rPr>
                <w:rFonts w:cs="Arial"/>
                <w:bCs/>
              </w:rPr>
              <w:t xml:space="preserve"> </w:t>
            </w:r>
            <w:r w:rsidRPr="004B26BC">
              <w:rPr>
                <w:rFonts w:cs="Arial"/>
                <w:bCs/>
              </w:rPr>
              <w:t>strategic oversight</w:t>
            </w:r>
            <w:r w:rsidR="00AD0550">
              <w:rPr>
                <w:rFonts w:cs="Arial"/>
                <w:bCs/>
              </w:rPr>
              <w:t xml:space="preserve">, effective </w:t>
            </w:r>
            <w:r w:rsidRPr="004B26BC">
              <w:rPr>
                <w:rFonts w:cs="Arial"/>
                <w:bCs/>
              </w:rPr>
              <w:t xml:space="preserve">risk </w:t>
            </w:r>
            <w:r w:rsidR="00AD0550">
              <w:rPr>
                <w:rFonts w:cs="Arial"/>
                <w:bCs/>
              </w:rPr>
              <w:t xml:space="preserve">management </w:t>
            </w:r>
            <w:r w:rsidRPr="004B26BC">
              <w:rPr>
                <w:rFonts w:cs="Arial"/>
                <w:bCs/>
              </w:rPr>
              <w:t xml:space="preserve">and maintaining a strong net asset position. </w:t>
            </w:r>
            <w:r w:rsidR="00325D11">
              <w:rPr>
                <w:rFonts w:cs="Arial"/>
                <w:bCs/>
              </w:rPr>
              <w:t xml:space="preserve">Tim </w:t>
            </w:r>
            <w:r w:rsidRPr="004B26BC">
              <w:rPr>
                <w:rFonts w:cs="Arial"/>
                <w:bCs/>
              </w:rPr>
              <w:t xml:space="preserve">is committed to </w:t>
            </w:r>
            <w:r w:rsidR="00CE13A0">
              <w:rPr>
                <w:rFonts w:cs="Arial"/>
                <w:bCs/>
              </w:rPr>
              <w:t>ensuring the QBCC’s lo</w:t>
            </w:r>
            <w:r w:rsidRPr="004B26BC">
              <w:rPr>
                <w:rFonts w:cs="Arial"/>
                <w:bCs/>
              </w:rPr>
              <w:t xml:space="preserve">ng-term financial sustainability and delivering value across the </w:t>
            </w:r>
            <w:r w:rsidR="00D1153E">
              <w:rPr>
                <w:rFonts w:cs="Arial"/>
                <w:bCs/>
              </w:rPr>
              <w:t>organisation</w:t>
            </w:r>
            <w:r w:rsidRPr="004B26BC">
              <w:rPr>
                <w:rFonts w:cs="Arial"/>
                <w:bCs/>
              </w:rPr>
              <w:t>.</w:t>
            </w:r>
          </w:p>
        </w:tc>
      </w:tr>
      <w:tr w:rsidR="007345BE" w:rsidRPr="00DF0645" w14:paraId="44052355" w14:textId="77777777" w:rsidTr="00377E43">
        <w:tc>
          <w:tcPr>
            <w:tcW w:w="2830" w:type="dxa"/>
          </w:tcPr>
          <w:p w14:paraId="0C750E17" w14:textId="77777777" w:rsidR="007345BE" w:rsidRPr="004A2C19" w:rsidRDefault="007345BE">
            <w:pPr>
              <w:rPr>
                <w:rFonts w:cs="Arial"/>
                <w:b/>
              </w:rPr>
            </w:pPr>
            <w:r w:rsidRPr="004A2C19">
              <w:rPr>
                <w:rFonts w:cs="Arial"/>
                <w:b/>
              </w:rPr>
              <w:t>Jeremy Janes</w:t>
            </w:r>
          </w:p>
          <w:p w14:paraId="01AA4AF9" w14:textId="77777777" w:rsidR="007345BE" w:rsidRPr="00DF0645" w:rsidRDefault="007345BE">
            <w:pPr>
              <w:rPr>
                <w:rFonts w:cs="Arial"/>
              </w:rPr>
            </w:pPr>
            <w:r w:rsidRPr="00DF0645">
              <w:rPr>
                <w:rFonts w:cs="Arial"/>
              </w:rPr>
              <w:t xml:space="preserve">Chief Digital and Information Officer </w:t>
            </w:r>
          </w:p>
          <w:p w14:paraId="7D0AD1EC" w14:textId="77777777" w:rsidR="007345BE" w:rsidRPr="00DF0645" w:rsidRDefault="007345BE">
            <w:pPr>
              <w:rPr>
                <w:rFonts w:cs="Arial"/>
                <w:b/>
              </w:rPr>
            </w:pPr>
          </w:p>
        </w:tc>
        <w:tc>
          <w:tcPr>
            <w:tcW w:w="7620" w:type="dxa"/>
          </w:tcPr>
          <w:p w14:paraId="23245608" w14:textId="2EDE38C5" w:rsidR="007345BE" w:rsidRPr="004B26BC" w:rsidRDefault="007345BE">
            <w:pPr>
              <w:rPr>
                <w:rFonts w:cs="Arial"/>
              </w:rPr>
            </w:pPr>
            <w:r w:rsidRPr="004B26BC">
              <w:rPr>
                <w:rFonts w:cs="Arial"/>
                <w:bCs/>
              </w:rPr>
              <w:t xml:space="preserve">Jeremy is an </w:t>
            </w:r>
            <w:r w:rsidR="006E0828">
              <w:rPr>
                <w:rFonts w:cs="Arial"/>
                <w:bCs/>
              </w:rPr>
              <w:t>experienced</w:t>
            </w:r>
            <w:r w:rsidRPr="004B26BC">
              <w:rPr>
                <w:rFonts w:cs="Arial"/>
                <w:bCs/>
              </w:rPr>
              <w:t xml:space="preserve"> digital leader with </w:t>
            </w:r>
            <w:r w:rsidR="006E0828">
              <w:rPr>
                <w:rFonts w:cs="Arial"/>
                <w:bCs/>
              </w:rPr>
              <w:t xml:space="preserve">over </w:t>
            </w:r>
            <w:r w:rsidRPr="004B26BC">
              <w:rPr>
                <w:rFonts w:cs="Arial"/>
                <w:bCs/>
              </w:rPr>
              <w:t xml:space="preserve">25 years </w:t>
            </w:r>
            <w:r w:rsidR="007577FA">
              <w:rPr>
                <w:rFonts w:cs="Arial"/>
                <w:bCs/>
              </w:rPr>
              <w:t xml:space="preserve">of experience </w:t>
            </w:r>
            <w:r w:rsidRPr="004B26BC">
              <w:rPr>
                <w:rFonts w:cs="Arial"/>
                <w:bCs/>
              </w:rPr>
              <w:t xml:space="preserve">in </w:t>
            </w:r>
            <w:r>
              <w:rPr>
                <w:rFonts w:cs="Arial"/>
                <w:bCs/>
              </w:rPr>
              <w:t>information technology</w:t>
            </w:r>
            <w:r>
              <w:rPr>
                <w:rFonts w:cs="Arial"/>
              </w:rPr>
              <w:t xml:space="preserve"> </w:t>
            </w:r>
            <w:r w:rsidRPr="004B26BC">
              <w:rPr>
                <w:rFonts w:cs="Arial"/>
                <w:bCs/>
              </w:rPr>
              <w:t xml:space="preserve">and digital transformation. As </w:t>
            </w:r>
            <w:r w:rsidR="00C7116C">
              <w:rPr>
                <w:rFonts w:cs="Arial"/>
                <w:bCs/>
              </w:rPr>
              <w:t xml:space="preserve">the </w:t>
            </w:r>
            <w:r w:rsidRPr="004B26BC">
              <w:rPr>
                <w:rFonts w:cs="Arial"/>
                <w:bCs/>
              </w:rPr>
              <w:t xml:space="preserve">Chief Digital and Information Officer, </w:t>
            </w:r>
            <w:r w:rsidR="00607913">
              <w:rPr>
                <w:rFonts w:cs="Arial"/>
                <w:bCs/>
              </w:rPr>
              <w:t xml:space="preserve">Jeremy </w:t>
            </w:r>
            <w:r w:rsidR="00F06B3C">
              <w:rPr>
                <w:rFonts w:cs="Arial"/>
                <w:bCs/>
              </w:rPr>
              <w:t xml:space="preserve">drives the </w:t>
            </w:r>
            <w:r w:rsidRPr="004B26BC">
              <w:rPr>
                <w:rFonts w:cs="Arial"/>
                <w:bCs/>
              </w:rPr>
              <w:t xml:space="preserve">QBCC’s digital and information strategies, </w:t>
            </w:r>
            <w:r w:rsidR="00F06B3C">
              <w:rPr>
                <w:rFonts w:cs="Arial"/>
                <w:bCs/>
              </w:rPr>
              <w:t>advancing innovation and m</w:t>
            </w:r>
            <w:r w:rsidRPr="004B26BC">
              <w:rPr>
                <w:rFonts w:cs="Arial"/>
                <w:bCs/>
              </w:rPr>
              <w:t>odernising digital infrastructure</w:t>
            </w:r>
            <w:r w:rsidR="00F06B3C">
              <w:rPr>
                <w:rFonts w:cs="Arial"/>
                <w:bCs/>
              </w:rPr>
              <w:t xml:space="preserve">. Jeremy is committed </w:t>
            </w:r>
            <w:r w:rsidRPr="004B26BC">
              <w:rPr>
                <w:rFonts w:cs="Arial"/>
                <w:bCs/>
              </w:rPr>
              <w:t xml:space="preserve">to </w:t>
            </w:r>
            <w:r w:rsidR="00D06711">
              <w:rPr>
                <w:rFonts w:cs="Arial"/>
                <w:bCs/>
              </w:rPr>
              <w:t xml:space="preserve">enhancing digital capability, supporting </w:t>
            </w:r>
            <w:r w:rsidRPr="004B26BC">
              <w:rPr>
                <w:rFonts w:cs="Arial"/>
                <w:bCs/>
              </w:rPr>
              <w:t>operational excellence, improv</w:t>
            </w:r>
            <w:r w:rsidR="00D06711">
              <w:rPr>
                <w:rFonts w:cs="Arial"/>
                <w:bCs/>
              </w:rPr>
              <w:t>ing</w:t>
            </w:r>
            <w:r w:rsidRPr="004B26BC">
              <w:rPr>
                <w:rFonts w:cs="Arial"/>
                <w:bCs/>
              </w:rPr>
              <w:t xml:space="preserve"> accessibility, deliver</w:t>
            </w:r>
            <w:r w:rsidR="00D06711">
              <w:rPr>
                <w:rFonts w:cs="Arial"/>
                <w:bCs/>
              </w:rPr>
              <w:t>ing</w:t>
            </w:r>
            <w:r w:rsidRPr="004B26BC">
              <w:rPr>
                <w:rFonts w:cs="Arial"/>
                <w:bCs/>
              </w:rPr>
              <w:t xml:space="preserve"> long-term value and ensur</w:t>
            </w:r>
            <w:r w:rsidR="00807D98">
              <w:rPr>
                <w:rFonts w:cs="Arial"/>
                <w:bCs/>
              </w:rPr>
              <w:t>ing</w:t>
            </w:r>
            <w:r w:rsidRPr="004B26BC">
              <w:rPr>
                <w:rFonts w:cs="Arial"/>
                <w:bCs/>
              </w:rPr>
              <w:t xml:space="preserve"> the organisation</w:t>
            </w:r>
            <w:r w:rsidR="00807D98">
              <w:rPr>
                <w:rFonts w:cs="Arial"/>
                <w:bCs/>
              </w:rPr>
              <w:t xml:space="preserve">’s continued </w:t>
            </w:r>
            <w:r w:rsidRPr="004B26BC">
              <w:rPr>
                <w:rFonts w:cs="Arial"/>
                <w:bCs/>
              </w:rPr>
              <w:t>industry leader</w:t>
            </w:r>
            <w:r w:rsidR="004C6E93">
              <w:rPr>
                <w:rFonts w:cs="Arial"/>
                <w:bCs/>
              </w:rPr>
              <w:t>ship</w:t>
            </w:r>
            <w:r w:rsidRPr="004B26BC">
              <w:rPr>
                <w:rFonts w:cs="Arial"/>
                <w:bCs/>
              </w:rPr>
              <w:t>.</w:t>
            </w:r>
          </w:p>
        </w:tc>
      </w:tr>
      <w:tr w:rsidR="007345BE" w:rsidRPr="00DF0645" w14:paraId="43DAF30B" w14:textId="77777777" w:rsidTr="00377E43">
        <w:tc>
          <w:tcPr>
            <w:tcW w:w="2830" w:type="dxa"/>
          </w:tcPr>
          <w:p w14:paraId="14295716" w14:textId="77777777" w:rsidR="007345BE" w:rsidRPr="004A2C19" w:rsidRDefault="007345BE">
            <w:pPr>
              <w:rPr>
                <w:rFonts w:cs="Arial"/>
                <w:b/>
              </w:rPr>
            </w:pPr>
            <w:r>
              <w:rPr>
                <w:rFonts w:cs="Arial"/>
                <w:b/>
              </w:rPr>
              <w:t>Brendan Gribbin</w:t>
            </w:r>
            <w:r w:rsidRPr="004A2C19">
              <w:rPr>
                <w:rFonts w:cs="Arial"/>
                <w:b/>
              </w:rPr>
              <w:t xml:space="preserve"> </w:t>
            </w:r>
          </w:p>
          <w:p w14:paraId="10FEAD5A" w14:textId="77777777" w:rsidR="007345BE" w:rsidRPr="00DF0645" w:rsidRDefault="007345BE">
            <w:pPr>
              <w:rPr>
                <w:rFonts w:cs="Arial"/>
              </w:rPr>
            </w:pPr>
            <w:r w:rsidRPr="00DF0645">
              <w:rPr>
                <w:rFonts w:cs="Arial"/>
              </w:rPr>
              <w:t xml:space="preserve">Company Secretary </w:t>
            </w:r>
          </w:p>
          <w:p w14:paraId="154D1EAE" w14:textId="77777777" w:rsidR="007345BE" w:rsidRPr="00DF0645" w:rsidRDefault="007345BE">
            <w:pPr>
              <w:rPr>
                <w:rFonts w:cs="Arial"/>
                <w:b/>
              </w:rPr>
            </w:pPr>
          </w:p>
        </w:tc>
        <w:tc>
          <w:tcPr>
            <w:tcW w:w="7620" w:type="dxa"/>
          </w:tcPr>
          <w:p w14:paraId="4A9EA98A" w14:textId="116717D0" w:rsidR="007345BE" w:rsidRPr="004B26BC" w:rsidRDefault="007345BE">
            <w:pPr>
              <w:rPr>
                <w:rFonts w:cs="Arial"/>
                <w:i/>
              </w:rPr>
            </w:pPr>
            <w:r w:rsidRPr="004B26BC">
              <w:rPr>
                <w:rFonts w:cs="Arial"/>
                <w:bCs/>
              </w:rPr>
              <w:t>Brendan is a</w:t>
            </w:r>
            <w:r w:rsidR="004F2620">
              <w:rPr>
                <w:rFonts w:cs="Arial"/>
                <w:bCs/>
              </w:rPr>
              <w:t xml:space="preserve"> skilled </w:t>
            </w:r>
            <w:r w:rsidRPr="004B26BC">
              <w:rPr>
                <w:rFonts w:cs="Arial"/>
                <w:bCs/>
              </w:rPr>
              <w:t>senior leader with 15 years</w:t>
            </w:r>
            <w:r w:rsidR="0014277C">
              <w:rPr>
                <w:rFonts w:cs="Arial"/>
                <w:bCs/>
              </w:rPr>
              <w:t xml:space="preserve"> of experience</w:t>
            </w:r>
            <w:r w:rsidR="00D73245">
              <w:rPr>
                <w:rFonts w:cs="Arial"/>
                <w:bCs/>
              </w:rPr>
              <w:t xml:space="preserve"> </w:t>
            </w:r>
            <w:r w:rsidRPr="004B26BC">
              <w:rPr>
                <w:rFonts w:cs="Arial"/>
                <w:bCs/>
              </w:rPr>
              <w:t xml:space="preserve">in the </w:t>
            </w:r>
            <w:r w:rsidR="00E80F18">
              <w:rPr>
                <w:rFonts w:cs="Arial"/>
                <w:bCs/>
              </w:rPr>
              <w:t>p</w:t>
            </w:r>
            <w:r w:rsidRPr="004B26BC">
              <w:rPr>
                <w:rFonts w:cs="Arial"/>
                <w:bCs/>
              </w:rPr>
              <w:t xml:space="preserve">ublic </w:t>
            </w:r>
            <w:r w:rsidR="00E80F18">
              <w:rPr>
                <w:rFonts w:cs="Arial"/>
                <w:bCs/>
              </w:rPr>
              <w:t>s</w:t>
            </w:r>
            <w:r w:rsidRPr="004B26BC">
              <w:rPr>
                <w:rFonts w:cs="Arial"/>
                <w:bCs/>
              </w:rPr>
              <w:t>ector</w:t>
            </w:r>
            <w:r w:rsidR="00D73245">
              <w:rPr>
                <w:rFonts w:cs="Arial"/>
                <w:bCs/>
              </w:rPr>
              <w:t xml:space="preserve">, specialising </w:t>
            </w:r>
            <w:r w:rsidR="00EB25F3">
              <w:rPr>
                <w:rFonts w:cs="Arial"/>
                <w:bCs/>
              </w:rPr>
              <w:t>in g</w:t>
            </w:r>
            <w:r w:rsidRPr="004B26BC">
              <w:rPr>
                <w:rFonts w:cs="Arial"/>
                <w:bCs/>
              </w:rPr>
              <w:t xml:space="preserve">overnance, </w:t>
            </w:r>
            <w:r w:rsidR="00EB25F3">
              <w:rPr>
                <w:rFonts w:cs="Arial"/>
                <w:bCs/>
              </w:rPr>
              <w:t>r</w:t>
            </w:r>
            <w:r w:rsidRPr="004B26BC">
              <w:rPr>
                <w:rFonts w:cs="Arial"/>
                <w:bCs/>
              </w:rPr>
              <w:t xml:space="preserve">isk and </w:t>
            </w:r>
            <w:r w:rsidR="00FF2E3B">
              <w:rPr>
                <w:rFonts w:cs="Arial"/>
                <w:bCs/>
              </w:rPr>
              <w:t>f</w:t>
            </w:r>
            <w:r w:rsidRPr="004B26BC">
              <w:rPr>
                <w:rFonts w:cs="Arial"/>
                <w:bCs/>
              </w:rPr>
              <w:t xml:space="preserve">inance. As </w:t>
            </w:r>
            <w:r w:rsidR="00D06109">
              <w:rPr>
                <w:rFonts w:cs="Arial"/>
                <w:bCs/>
              </w:rPr>
              <w:t xml:space="preserve">the </w:t>
            </w:r>
            <w:r w:rsidRPr="004B26BC">
              <w:rPr>
                <w:rFonts w:cs="Arial"/>
                <w:bCs/>
              </w:rPr>
              <w:t xml:space="preserve">Company Secretary, </w:t>
            </w:r>
            <w:r w:rsidR="007E3AA7">
              <w:rPr>
                <w:rFonts w:cs="Arial"/>
                <w:bCs/>
              </w:rPr>
              <w:t xml:space="preserve">Brendan </w:t>
            </w:r>
            <w:r w:rsidR="00D06109">
              <w:rPr>
                <w:rFonts w:cs="Arial"/>
                <w:bCs/>
              </w:rPr>
              <w:t xml:space="preserve">supports </w:t>
            </w:r>
            <w:r w:rsidRPr="004B26BC">
              <w:rPr>
                <w:rFonts w:cs="Arial"/>
                <w:bCs/>
              </w:rPr>
              <w:t xml:space="preserve">the QBC Board and its committees </w:t>
            </w:r>
            <w:r w:rsidR="00D76757">
              <w:rPr>
                <w:rFonts w:cs="Arial"/>
                <w:bCs/>
              </w:rPr>
              <w:t xml:space="preserve">in fulfilling their legislative </w:t>
            </w:r>
            <w:r w:rsidRPr="004B26BC">
              <w:rPr>
                <w:rFonts w:cs="Arial"/>
                <w:bCs/>
              </w:rPr>
              <w:t xml:space="preserve">responsibilities. </w:t>
            </w:r>
            <w:r w:rsidR="00F47440">
              <w:rPr>
                <w:rFonts w:cs="Arial"/>
                <w:bCs/>
              </w:rPr>
              <w:t xml:space="preserve">Brendan works closely with the QBC Board and SLT </w:t>
            </w:r>
            <w:r w:rsidRPr="004B26BC">
              <w:rPr>
                <w:rFonts w:cs="Arial"/>
                <w:bCs/>
              </w:rPr>
              <w:t>to ensure effective communication</w:t>
            </w:r>
            <w:r w:rsidR="00045433">
              <w:rPr>
                <w:rFonts w:cs="Arial"/>
                <w:bCs/>
              </w:rPr>
              <w:t>,</w:t>
            </w:r>
            <w:r w:rsidR="000E1D45">
              <w:rPr>
                <w:rFonts w:cs="Arial"/>
                <w:bCs/>
              </w:rPr>
              <w:t xml:space="preserve"> </w:t>
            </w:r>
            <w:r w:rsidR="00F74AAA">
              <w:rPr>
                <w:rFonts w:cs="Arial"/>
                <w:bCs/>
              </w:rPr>
              <w:t>provid</w:t>
            </w:r>
            <w:r w:rsidR="00045433">
              <w:rPr>
                <w:rFonts w:cs="Arial"/>
                <w:bCs/>
              </w:rPr>
              <w:t>e</w:t>
            </w:r>
            <w:r w:rsidR="00F74AAA">
              <w:rPr>
                <w:rFonts w:cs="Arial"/>
                <w:bCs/>
              </w:rPr>
              <w:t xml:space="preserve"> timely and relevant i</w:t>
            </w:r>
            <w:r w:rsidRPr="004B26BC">
              <w:rPr>
                <w:rFonts w:cs="Arial"/>
                <w:bCs/>
              </w:rPr>
              <w:t xml:space="preserve">nformation </w:t>
            </w:r>
            <w:r w:rsidR="00A94EB7">
              <w:rPr>
                <w:rFonts w:cs="Arial"/>
                <w:bCs/>
              </w:rPr>
              <w:t>for sound decision making</w:t>
            </w:r>
            <w:r w:rsidR="008030CC">
              <w:rPr>
                <w:rFonts w:cs="Arial"/>
                <w:bCs/>
              </w:rPr>
              <w:t xml:space="preserve"> </w:t>
            </w:r>
            <w:r w:rsidR="00A94EB7">
              <w:rPr>
                <w:rFonts w:cs="Arial"/>
                <w:bCs/>
              </w:rPr>
              <w:t xml:space="preserve">and </w:t>
            </w:r>
            <w:r w:rsidR="00CF44AB">
              <w:rPr>
                <w:rFonts w:cs="Arial"/>
                <w:bCs/>
              </w:rPr>
              <w:t xml:space="preserve">deliver </w:t>
            </w:r>
            <w:r w:rsidR="00A94EB7">
              <w:rPr>
                <w:rFonts w:cs="Arial"/>
                <w:bCs/>
              </w:rPr>
              <w:t>advi</w:t>
            </w:r>
            <w:r w:rsidR="00AA7180">
              <w:rPr>
                <w:rFonts w:cs="Arial"/>
                <w:bCs/>
              </w:rPr>
              <w:t>c</w:t>
            </w:r>
            <w:r w:rsidR="00A94EB7">
              <w:rPr>
                <w:rFonts w:cs="Arial"/>
                <w:bCs/>
              </w:rPr>
              <w:t>e on a range of</w:t>
            </w:r>
            <w:r w:rsidRPr="004B26BC">
              <w:rPr>
                <w:rFonts w:cs="Arial"/>
                <w:bCs/>
              </w:rPr>
              <w:t xml:space="preserve"> governance matters.</w:t>
            </w:r>
          </w:p>
        </w:tc>
      </w:tr>
    </w:tbl>
    <w:p w14:paraId="460C49B5" w14:textId="7BDBF8A1" w:rsidR="00257BF1" w:rsidRDefault="00C53D16" w:rsidP="00C01AC3">
      <w:pPr>
        <w:pStyle w:val="Heading3"/>
        <w:spacing w:before="120" w:after="120"/>
      </w:pPr>
      <w:bookmarkStart w:id="227" w:name="_Service_Trades_Council_3"/>
      <w:bookmarkEnd w:id="227"/>
      <w:r w:rsidRPr="000E032D">
        <w:lastRenderedPageBreak/>
        <w:t>Service Trade</w:t>
      </w:r>
      <w:r w:rsidR="00280953">
        <w:t>s</w:t>
      </w:r>
      <w:r w:rsidRPr="000E032D">
        <w:t xml:space="preserve"> Council</w:t>
      </w:r>
      <w:r w:rsidR="00FA1576">
        <w:t xml:space="preserve"> </w:t>
      </w:r>
    </w:p>
    <w:p w14:paraId="496F88C3" w14:textId="4F2548A6" w:rsidR="00BD4D4A" w:rsidRDefault="004F7BDA" w:rsidP="002E3AE0">
      <w:pPr>
        <w:spacing w:before="120" w:after="120"/>
        <w:rPr>
          <w:rFonts w:cs="Arial"/>
        </w:rPr>
      </w:pPr>
      <w:r>
        <w:rPr>
          <w:rFonts w:cs="Arial"/>
          <w:szCs w:val="22"/>
        </w:rPr>
        <w:t>The STC</w:t>
      </w:r>
      <w:r w:rsidR="006A4204">
        <w:rPr>
          <w:rFonts w:cs="Arial"/>
          <w:szCs w:val="22"/>
        </w:rPr>
        <w:t xml:space="preserve"> is positioned to </w:t>
      </w:r>
      <w:r w:rsidRPr="004F7BDA">
        <w:rPr>
          <w:rFonts w:cs="Arial"/>
          <w:szCs w:val="22"/>
        </w:rPr>
        <w:t>provide advice and recommendations to the</w:t>
      </w:r>
      <w:r w:rsidR="009E4EFB">
        <w:rPr>
          <w:rFonts w:cs="Arial"/>
          <w:szCs w:val="22"/>
        </w:rPr>
        <w:t xml:space="preserve"> </w:t>
      </w:r>
      <w:r w:rsidRPr="004F7BDA">
        <w:rPr>
          <w:rFonts w:cs="Arial"/>
          <w:szCs w:val="22"/>
        </w:rPr>
        <w:t xml:space="preserve">Commissioner and the Minister for </w:t>
      </w:r>
      <w:r w:rsidR="006A4204">
        <w:rPr>
          <w:rFonts w:cs="Arial"/>
          <w:szCs w:val="22"/>
        </w:rPr>
        <w:t xml:space="preserve">Housing and </w:t>
      </w:r>
      <w:r w:rsidRPr="004F7BDA">
        <w:rPr>
          <w:rFonts w:cs="Arial"/>
          <w:szCs w:val="22"/>
        </w:rPr>
        <w:t>Public Works</w:t>
      </w:r>
      <w:r w:rsidR="0026189C">
        <w:rPr>
          <w:rFonts w:cs="Arial"/>
          <w:szCs w:val="22"/>
        </w:rPr>
        <w:t xml:space="preserve"> and Minister for Youth</w:t>
      </w:r>
      <w:r w:rsidRPr="004F7BDA">
        <w:rPr>
          <w:rFonts w:cs="Arial"/>
          <w:szCs w:val="22"/>
        </w:rPr>
        <w:t xml:space="preserve"> on issues affecting the service trades industry.</w:t>
      </w:r>
      <w:r w:rsidR="005C0734">
        <w:rPr>
          <w:rFonts w:cs="Arial"/>
          <w:szCs w:val="22"/>
        </w:rPr>
        <w:t xml:space="preserve"> </w:t>
      </w:r>
      <w:r w:rsidR="00A52771" w:rsidRPr="00A52771">
        <w:rPr>
          <w:rFonts w:cs="Arial"/>
          <w:szCs w:val="22"/>
        </w:rPr>
        <w:t xml:space="preserve">The STC </w:t>
      </w:r>
      <w:r w:rsidR="005C0734">
        <w:rPr>
          <w:rFonts w:cs="Arial"/>
          <w:szCs w:val="22"/>
        </w:rPr>
        <w:t xml:space="preserve">is </w:t>
      </w:r>
      <w:r w:rsidR="00A52771" w:rsidRPr="00A52771">
        <w:rPr>
          <w:rFonts w:cs="Arial"/>
          <w:szCs w:val="22"/>
        </w:rPr>
        <w:t>supported by the QBCC</w:t>
      </w:r>
      <w:r w:rsidR="00AA06A9">
        <w:rPr>
          <w:rFonts w:cs="Arial"/>
          <w:szCs w:val="22"/>
        </w:rPr>
        <w:t xml:space="preserve"> </w:t>
      </w:r>
      <w:r w:rsidR="00A52771" w:rsidRPr="00A52771">
        <w:rPr>
          <w:rFonts w:cs="Arial"/>
          <w:szCs w:val="22"/>
        </w:rPr>
        <w:t>Assistant Commissioner</w:t>
      </w:r>
      <w:r w:rsidR="005C0734">
        <w:rPr>
          <w:rFonts w:cs="Arial"/>
          <w:szCs w:val="22"/>
        </w:rPr>
        <w:t>,</w:t>
      </w:r>
      <w:r w:rsidR="00A52771" w:rsidRPr="00A52771">
        <w:rPr>
          <w:rFonts w:cs="Arial"/>
          <w:szCs w:val="22"/>
        </w:rPr>
        <w:t xml:space="preserve"> Regulatory Standards and Support. </w:t>
      </w:r>
      <w:r w:rsidR="00805023" w:rsidRPr="00805023">
        <w:rPr>
          <w:rFonts w:cs="Arial"/>
          <w:szCs w:val="22"/>
        </w:rPr>
        <w:t xml:space="preserve">It operates in accordance with the PD Act and the </w:t>
      </w:r>
      <w:r w:rsidR="0023028B">
        <w:rPr>
          <w:rFonts w:cs="Arial"/>
          <w:szCs w:val="22"/>
        </w:rPr>
        <w:t>STC</w:t>
      </w:r>
      <w:r w:rsidR="00805023" w:rsidRPr="00805023">
        <w:rPr>
          <w:rFonts w:cs="Arial"/>
          <w:szCs w:val="22"/>
        </w:rPr>
        <w:t xml:space="preserve"> Charter.</w:t>
      </w:r>
    </w:p>
    <w:p w14:paraId="6517601A" w14:textId="4D1F37F3" w:rsidR="00A14652" w:rsidRPr="00791F48" w:rsidRDefault="00BD4D4A" w:rsidP="002E3AE0">
      <w:pPr>
        <w:spacing w:before="120" w:after="120"/>
        <w:rPr>
          <w:rFonts w:cs="Arial"/>
          <w:szCs w:val="22"/>
        </w:rPr>
      </w:pPr>
      <w:r w:rsidRPr="00DC4327">
        <w:rPr>
          <w:rFonts w:cs="Arial"/>
        </w:rPr>
        <w:t xml:space="preserve">STC members are appointed by the Governor in Council for a </w:t>
      </w:r>
      <w:r w:rsidR="00805023">
        <w:rPr>
          <w:rFonts w:cs="Arial"/>
        </w:rPr>
        <w:t xml:space="preserve">term of up to </w:t>
      </w:r>
      <w:r w:rsidRPr="00DC4327">
        <w:rPr>
          <w:rFonts w:cs="Arial"/>
        </w:rPr>
        <w:t>four</w:t>
      </w:r>
      <w:r w:rsidR="00805023">
        <w:rPr>
          <w:rFonts w:cs="Arial"/>
        </w:rPr>
        <w:t xml:space="preserve"> </w:t>
      </w:r>
      <w:r w:rsidRPr="00DC4327">
        <w:rPr>
          <w:rFonts w:cs="Arial"/>
        </w:rPr>
        <w:t>year</w:t>
      </w:r>
      <w:r w:rsidR="00805023">
        <w:rPr>
          <w:rFonts w:cs="Arial"/>
        </w:rPr>
        <w:t>s</w:t>
      </w:r>
      <w:r w:rsidRPr="00DC4327">
        <w:rPr>
          <w:rFonts w:cs="Arial"/>
        </w:rPr>
        <w:t xml:space="preserve">. </w:t>
      </w:r>
      <w:r w:rsidR="00822F28">
        <w:rPr>
          <w:rFonts w:cs="Arial"/>
        </w:rPr>
        <w:t>At the conclusion of the</w:t>
      </w:r>
      <w:r w:rsidRPr="00DC4327">
        <w:rPr>
          <w:rFonts w:cs="Arial"/>
        </w:rPr>
        <w:t xml:space="preserve"> </w:t>
      </w:r>
      <w:r w:rsidR="007722BF">
        <w:rPr>
          <w:rFonts w:cs="Arial"/>
        </w:rPr>
        <w:t>2024–25 reporting period</w:t>
      </w:r>
      <w:r w:rsidRPr="00DC4327">
        <w:rPr>
          <w:rFonts w:cs="Arial"/>
        </w:rPr>
        <w:t xml:space="preserve">, the STC </w:t>
      </w:r>
      <w:r w:rsidR="004F2305">
        <w:rPr>
          <w:rFonts w:cs="Arial"/>
        </w:rPr>
        <w:t>consisted</w:t>
      </w:r>
      <w:r w:rsidR="00822F28">
        <w:rPr>
          <w:rFonts w:cs="Arial"/>
        </w:rPr>
        <w:t xml:space="preserve"> </w:t>
      </w:r>
      <w:r w:rsidR="004E0386">
        <w:rPr>
          <w:rFonts w:cs="Arial"/>
        </w:rPr>
        <w:t xml:space="preserve">of </w:t>
      </w:r>
      <w:r w:rsidR="00DD5571">
        <w:rPr>
          <w:rFonts w:cs="Arial"/>
        </w:rPr>
        <w:t>16 members</w:t>
      </w:r>
      <w:r w:rsidR="00BD53A9">
        <w:rPr>
          <w:rFonts w:cs="Arial"/>
        </w:rPr>
        <w:t>—</w:t>
      </w:r>
      <w:r w:rsidR="005A01BD">
        <w:rPr>
          <w:rFonts w:cs="Arial"/>
        </w:rPr>
        <w:t>10</w:t>
      </w:r>
      <w:r w:rsidR="005A01BD" w:rsidRPr="00DC4327">
        <w:rPr>
          <w:rFonts w:cs="Arial"/>
        </w:rPr>
        <w:t xml:space="preserve"> </w:t>
      </w:r>
      <w:r w:rsidRPr="00DC4327">
        <w:rPr>
          <w:rFonts w:cs="Arial"/>
        </w:rPr>
        <w:t>independent members and six deputy members.</w:t>
      </w:r>
      <w:r w:rsidR="00BD53A9">
        <w:rPr>
          <w:rFonts w:cs="Arial"/>
          <w:szCs w:val="22"/>
        </w:rPr>
        <w:t xml:space="preserve"> The STC </w:t>
      </w:r>
      <w:r w:rsidR="005824D6">
        <w:rPr>
          <w:rFonts w:cs="Arial"/>
          <w:szCs w:val="22"/>
        </w:rPr>
        <w:t xml:space="preserve">meets formally </w:t>
      </w:r>
      <w:r w:rsidR="00A14652" w:rsidRPr="00791F48">
        <w:rPr>
          <w:rFonts w:cs="Arial"/>
          <w:szCs w:val="22"/>
        </w:rPr>
        <w:t xml:space="preserve">at least six times per calendar year, </w:t>
      </w:r>
      <w:r w:rsidR="00002727" w:rsidRPr="00791F48">
        <w:rPr>
          <w:rFonts w:cs="Arial"/>
          <w:szCs w:val="22"/>
        </w:rPr>
        <w:t>including</w:t>
      </w:r>
      <w:r w:rsidR="00A14652" w:rsidRPr="00791F48">
        <w:rPr>
          <w:rFonts w:cs="Arial"/>
          <w:szCs w:val="22"/>
        </w:rPr>
        <w:t xml:space="preserve"> four </w:t>
      </w:r>
      <w:r w:rsidR="00AF367F" w:rsidRPr="00791F48">
        <w:rPr>
          <w:rFonts w:cs="Arial"/>
          <w:szCs w:val="22"/>
        </w:rPr>
        <w:t xml:space="preserve">regional </w:t>
      </w:r>
      <w:r w:rsidR="00A14652" w:rsidRPr="00791F48">
        <w:rPr>
          <w:rFonts w:cs="Arial"/>
          <w:szCs w:val="22"/>
        </w:rPr>
        <w:t>industry forums</w:t>
      </w:r>
      <w:r w:rsidR="002B77A9">
        <w:rPr>
          <w:rFonts w:cs="Arial"/>
          <w:szCs w:val="22"/>
        </w:rPr>
        <w:t xml:space="preserve"> to strengthen engagement with stakeholders </w:t>
      </w:r>
      <w:r w:rsidR="008D4D6C">
        <w:rPr>
          <w:rFonts w:cs="Arial"/>
          <w:szCs w:val="22"/>
        </w:rPr>
        <w:t>across Queensland</w:t>
      </w:r>
      <w:r w:rsidR="00A14652" w:rsidRPr="00791F48">
        <w:rPr>
          <w:rFonts w:cs="Arial"/>
          <w:szCs w:val="22"/>
        </w:rPr>
        <w:t xml:space="preserve">. </w:t>
      </w:r>
      <w:r w:rsidR="008D4D6C">
        <w:rPr>
          <w:rFonts w:cs="Arial"/>
          <w:szCs w:val="22"/>
        </w:rPr>
        <w:t xml:space="preserve">It </w:t>
      </w:r>
      <w:r w:rsidR="00A14652" w:rsidRPr="00791F48">
        <w:rPr>
          <w:rFonts w:cs="Arial"/>
          <w:szCs w:val="22"/>
        </w:rPr>
        <w:t>may also consider urgent or complex matters</w:t>
      </w:r>
      <w:r w:rsidR="005629ED">
        <w:rPr>
          <w:rFonts w:cs="Arial"/>
          <w:szCs w:val="22"/>
        </w:rPr>
        <w:t xml:space="preserve"> through</w:t>
      </w:r>
      <w:r w:rsidR="00A14652" w:rsidRPr="00791F48">
        <w:rPr>
          <w:rFonts w:cs="Arial"/>
          <w:szCs w:val="22"/>
        </w:rPr>
        <w:t xml:space="preserve"> out of session</w:t>
      </w:r>
      <w:r w:rsidR="00B9113D">
        <w:rPr>
          <w:rFonts w:cs="Arial"/>
          <w:szCs w:val="22"/>
        </w:rPr>
        <w:t xml:space="preserve"> processes</w:t>
      </w:r>
      <w:r w:rsidR="00A14652" w:rsidRPr="00791F48">
        <w:rPr>
          <w:rFonts w:cs="Arial"/>
          <w:szCs w:val="22"/>
        </w:rPr>
        <w:t xml:space="preserve"> or </w:t>
      </w:r>
      <w:r w:rsidR="006B09FE">
        <w:rPr>
          <w:rFonts w:cs="Arial"/>
          <w:szCs w:val="22"/>
        </w:rPr>
        <w:t xml:space="preserve">at </w:t>
      </w:r>
      <w:r w:rsidR="00A14652" w:rsidRPr="00791F48">
        <w:rPr>
          <w:rFonts w:cs="Arial"/>
          <w:szCs w:val="22"/>
        </w:rPr>
        <w:t>extraordinary meeting</w:t>
      </w:r>
      <w:r w:rsidR="006B09FE">
        <w:rPr>
          <w:rFonts w:cs="Arial"/>
          <w:szCs w:val="22"/>
        </w:rPr>
        <w:t>s</w:t>
      </w:r>
      <w:r w:rsidR="00A14652" w:rsidRPr="00791F48">
        <w:rPr>
          <w:rFonts w:cs="Arial"/>
          <w:szCs w:val="22"/>
        </w:rPr>
        <w:t>.</w:t>
      </w:r>
    </w:p>
    <w:p w14:paraId="3DAFEBED" w14:textId="0AFBEF07" w:rsidR="00A22073" w:rsidRDefault="00857803" w:rsidP="00EB76D8">
      <w:pPr>
        <w:pStyle w:val="Heading4"/>
      </w:pPr>
      <w:bookmarkStart w:id="228" w:name="_STC_panels"/>
      <w:bookmarkStart w:id="229" w:name="_STC_member_attendance"/>
      <w:bookmarkStart w:id="230" w:name="_Member_attendance_and"/>
      <w:bookmarkEnd w:id="228"/>
      <w:bookmarkEnd w:id="229"/>
      <w:bookmarkEnd w:id="230"/>
      <w:r>
        <w:t>M</w:t>
      </w:r>
      <w:r w:rsidR="00A22073">
        <w:t>ember attendance and remuneration</w:t>
      </w:r>
    </w:p>
    <w:p w14:paraId="7273D001" w14:textId="7D6F33A8" w:rsidR="002F0AFC" w:rsidRPr="002F0AFC" w:rsidRDefault="008243E7" w:rsidP="002F0AFC">
      <w:pPr>
        <w:spacing w:before="120" w:after="120"/>
        <w:mirrorIndents/>
        <w:rPr>
          <w:rFonts w:cs="Arial"/>
        </w:rPr>
      </w:pPr>
      <w:r>
        <w:rPr>
          <w:rFonts w:cs="Arial"/>
        </w:rPr>
        <w:t xml:space="preserve">Active participation </w:t>
      </w:r>
      <w:r w:rsidR="00B147CD">
        <w:rPr>
          <w:rFonts w:cs="Arial"/>
        </w:rPr>
        <w:t xml:space="preserve">by </w:t>
      </w:r>
      <w:r w:rsidR="00ED69F6">
        <w:rPr>
          <w:rFonts w:cs="Arial"/>
        </w:rPr>
        <w:t xml:space="preserve">each </w:t>
      </w:r>
      <w:r w:rsidR="00A21E73" w:rsidRPr="00A21E73">
        <w:rPr>
          <w:rFonts w:cs="Arial"/>
        </w:rPr>
        <w:t xml:space="preserve">member </w:t>
      </w:r>
      <w:r w:rsidR="004546B6">
        <w:rPr>
          <w:rFonts w:cs="Arial"/>
        </w:rPr>
        <w:t>ensures the STC can</w:t>
      </w:r>
      <w:r w:rsidR="00A21E73" w:rsidRPr="00A21E73">
        <w:rPr>
          <w:rFonts w:cs="Arial"/>
        </w:rPr>
        <w:t xml:space="preserve"> respond </w:t>
      </w:r>
      <w:r w:rsidR="004546B6">
        <w:rPr>
          <w:rFonts w:cs="Arial"/>
        </w:rPr>
        <w:t xml:space="preserve">promptly </w:t>
      </w:r>
      <w:r w:rsidR="00A21E73" w:rsidRPr="00A21E73">
        <w:rPr>
          <w:rFonts w:cs="Arial"/>
        </w:rPr>
        <w:t>to</w:t>
      </w:r>
      <w:r w:rsidR="00681E44">
        <w:rPr>
          <w:rFonts w:cs="Arial"/>
        </w:rPr>
        <w:t xml:space="preserve"> </w:t>
      </w:r>
      <w:r w:rsidR="00A21E73" w:rsidRPr="00A21E73">
        <w:rPr>
          <w:rFonts w:cs="Arial"/>
        </w:rPr>
        <w:t>industry</w:t>
      </w:r>
      <w:r w:rsidR="00681E44">
        <w:rPr>
          <w:rFonts w:cs="Arial"/>
        </w:rPr>
        <w:t xml:space="preserve"> </w:t>
      </w:r>
      <w:r w:rsidR="00A21E73" w:rsidRPr="00A21E73">
        <w:rPr>
          <w:rFonts w:cs="Arial"/>
        </w:rPr>
        <w:t>developments</w:t>
      </w:r>
      <w:r w:rsidR="0059741C">
        <w:rPr>
          <w:rFonts w:cs="Arial"/>
        </w:rPr>
        <w:t xml:space="preserve">, </w:t>
      </w:r>
      <w:r w:rsidR="007B5822">
        <w:rPr>
          <w:rFonts w:cs="Arial"/>
        </w:rPr>
        <w:t xml:space="preserve">emerging trends and </w:t>
      </w:r>
      <w:r w:rsidR="00A21E73" w:rsidRPr="00A21E73">
        <w:rPr>
          <w:rFonts w:cs="Arial"/>
        </w:rPr>
        <w:t>regulatory challenges.</w:t>
      </w:r>
      <w:r w:rsidR="007E5B60">
        <w:rPr>
          <w:rFonts w:cs="Arial"/>
        </w:rPr>
        <w:t xml:space="preserve"> </w:t>
      </w:r>
      <w:r w:rsidR="008647DD">
        <w:rPr>
          <w:rFonts w:cs="Arial"/>
        </w:rPr>
        <w:t xml:space="preserve">Under the </w:t>
      </w:r>
      <w:r w:rsidR="00D76F00">
        <w:rPr>
          <w:rFonts w:cs="Arial"/>
        </w:rPr>
        <w:t>PD Act, d</w:t>
      </w:r>
      <w:r w:rsidR="00550BA7">
        <w:rPr>
          <w:rFonts w:cs="Arial"/>
        </w:rPr>
        <w:t>eputy members</w:t>
      </w:r>
      <w:r w:rsidR="00D76F00">
        <w:rPr>
          <w:rFonts w:cs="Arial"/>
        </w:rPr>
        <w:t xml:space="preserve"> are appointed </w:t>
      </w:r>
      <w:r w:rsidR="00627F8F">
        <w:rPr>
          <w:rFonts w:cs="Arial"/>
        </w:rPr>
        <w:t>to</w:t>
      </w:r>
      <w:r w:rsidR="00BD5267">
        <w:rPr>
          <w:rFonts w:cs="Arial"/>
        </w:rPr>
        <w:t xml:space="preserve"> </w:t>
      </w:r>
      <w:r w:rsidR="002A77D1">
        <w:rPr>
          <w:rFonts w:cs="Arial"/>
        </w:rPr>
        <w:t xml:space="preserve">represent </w:t>
      </w:r>
      <w:r w:rsidR="00627F8F">
        <w:rPr>
          <w:rFonts w:cs="Arial"/>
        </w:rPr>
        <w:t>member</w:t>
      </w:r>
      <w:r w:rsidR="002A77D1">
        <w:rPr>
          <w:rFonts w:cs="Arial"/>
        </w:rPr>
        <w:t>s</w:t>
      </w:r>
      <w:r w:rsidR="00A66388">
        <w:rPr>
          <w:rFonts w:cs="Arial"/>
        </w:rPr>
        <w:t xml:space="preserve"> in their </w:t>
      </w:r>
      <w:r w:rsidR="00627F8F">
        <w:rPr>
          <w:rFonts w:cs="Arial"/>
        </w:rPr>
        <w:t>absence</w:t>
      </w:r>
      <w:r w:rsidR="00BD5267">
        <w:rPr>
          <w:rFonts w:cs="Arial"/>
        </w:rPr>
        <w:t xml:space="preserve"> and </w:t>
      </w:r>
      <w:r w:rsidR="002A77D1">
        <w:rPr>
          <w:rFonts w:cs="Arial"/>
        </w:rPr>
        <w:t xml:space="preserve">to </w:t>
      </w:r>
      <w:r w:rsidR="000A3BF2">
        <w:rPr>
          <w:rFonts w:cs="Arial"/>
        </w:rPr>
        <w:t>participate in</w:t>
      </w:r>
      <w:r w:rsidR="00BD5267">
        <w:rPr>
          <w:rFonts w:cs="Arial"/>
        </w:rPr>
        <w:t xml:space="preserve"> </w:t>
      </w:r>
      <w:r w:rsidR="00B3423C">
        <w:rPr>
          <w:rFonts w:cs="Arial"/>
        </w:rPr>
        <w:t xml:space="preserve">meetings as </w:t>
      </w:r>
      <w:r w:rsidR="000A3BF2">
        <w:rPr>
          <w:rFonts w:cs="Arial"/>
        </w:rPr>
        <w:t>required</w:t>
      </w:r>
      <w:r w:rsidR="00455918">
        <w:rPr>
          <w:rFonts w:cs="Arial"/>
        </w:rPr>
        <w:t>.</w:t>
      </w:r>
      <w:r w:rsidR="00B3423C">
        <w:rPr>
          <w:rFonts w:cs="Arial"/>
        </w:rPr>
        <w:t xml:space="preserve"> </w:t>
      </w:r>
      <w:r w:rsidR="005A01BD">
        <w:rPr>
          <w:rFonts w:cs="Arial"/>
        </w:rPr>
        <w:t>Table 35</w:t>
      </w:r>
      <w:r w:rsidR="007E0EEF">
        <w:rPr>
          <w:rFonts w:cs="Arial"/>
        </w:rPr>
        <w:fldChar w:fldCharType="begin"/>
      </w:r>
      <w:r w:rsidR="007E0EEF">
        <w:rPr>
          <w:rFonts w:cs="Arial"/>
        </w:rPr>
        <w:instrText xml:space="preserve"> REF _Ref203992258 \h </w:instrText>
      </w:r>
      <w:r w:rsidR="007E0EEF">
        <w:rPr>
          <w:rFonts w:cs="Arial"/>
        </w:rPr>
      </w:r>
      <w:r w:rsidR="007E0EEF">
        <w:rPr>
          <w:rFonts w:cs="Arial"/>
        </w:rPr>
        <w:fldChar w:fldCharType="separate"/>
      </w:r>
      <w:r w:rsidR="007E0EEF">
        <w:rPr>
          <w:rFonts w:cs="Arial"/>
        </w:rPr>
        <w:fldChar w:fldCharType="end"/>
      </w:r>
      <w:r w:rsidR="007E0EEF">
        <w:rPr>
          <w:rFonts w:cs="Arial"/>
        </w:rPr>
        <w:t xml:space="preserve"> </w:t>
      </w:r>
      <w:r w:rsidR="00B21D77">
        <w:rPr>
          <w:rFonts w:cs="Arial"/>
        </w:rPr>
        <w:t>p</w:t>
      </w:r>
      <w:r w:rsidR="007B5822">
        <w:rPr>
          <w:rFonts w:cs="Arial"/>
        </w:rPr>
        <w:t>resent</w:t>
      </w:r>
      <w:r w:rsidR="00B21D77">
        <w:rPr>
          <w:rFonts w:cs="Arial"/>
        </w:rPr>
        <w:t>s a</w:t>
      </w:r>
      <w:r w:rsidR="007B5822">
        <w:rPr>
          <w:rFonts w:cs="Arial"/>
        </w:rPr>
        <w:t xml:space="preserve"> summary </w:t>
      </w:r>
      <w:r w:rsidR="00861445">
        <w:rPr>
          <w:rFonts w:cs="Arial"/>
        </w:rPr>
        <w:t xml:space="preserve">of member </w:t>
      </w:r>
      <w:r w:rsidR="00B21D77" w:rsidRPr="00B21D77">
        <w:rPr>
          <w:rFonts w:cs="Arial"/>
        </w:rPr>
        <w:t xml:space="preserve">attendance </w:t>
      </w:r>
      <w:r w:rsidR="00861445">
        <w:rPr>
          <w:rFonts w:cs="Arial"/>
        </w:rPr>
        <w:t xml:space="preserve">throughout the </w:t>
      </w:r>
      <w:r w:rsidR="00F20C0C">
        <w:rPr>
          <w:rFonts w:cs="Arial"/>
        </w:rPr>
        <w:t>reporting period</w:t>
      </w:r>
      <w:r w:rsidR="00A22073" w:rsidRPr="00A22073">
        <w:rPr>
          <w:rFonts w:cs="Arial"/>
        </w:rPr>
        <w:t>.</w:t>
      </w:r>
      <w:bookmarkStart w:id="231" w:name="_Ref201912240"/>
      <w:bookmarkStart w:id="232" w:name="_Toc202872066"/>
      <w:bookmarkStart w:id="233" w:name="_Toc202872686"/>
    </w:p>
    <w:p w14:paraId="7DE70E49" w14:textId="41B24988" w:rsidR="00A22073" w:rsidRPr="003C14D7" w:rsidRDefault="003C14D7" w:rsidP="00C5752C">
      <w:pPr>
        <w:pStyle w:val="Caption"/>
        <w:keepNext/>
        <w:spacing w:before="120" w:after="120"/>
      </w:pPr>
      <w:bookmarkStart w:id="234" w:name="_Ref203992258"/>
      <w:r>
        <w:t xml:space="preserve">Table </w:t>
      </w:r>
      <w:r w:rsidR="009517DB">
        <w:t>35</w:t>
      </w:r>
      <w:r>
        <w:fldChar w:fldCharType="begin"/>
      </w:r>
      <w:r>
        <w:instrText>SEQ Table \* ARABIC</w:instrText>
      </w:r>
      <w:r>
        <w:fldChar w:fldCharType="separate"/>
      </w:r>
      <w:r>
        <w:fldChar w:fldCharType="end"/>
      </w:r>
      <w:bookmarkEnd w:id="231"/>
      <w:bookmarkEnd w:id="234"/>
      <w:r w:rsidRPr="002B38B0">
        <w:t xml:space="preserve">: </w:t>
      </w:r>
      <w:bookmarkStart w:id="235" w:name="_Ref202873635"/>
      <w:r w:rsidRPr="002B38B0">
        <w:t xml:space="preserve">STC member attendance and remuneration </w:t>
      </w:r>
      <w:r w:rsidR="00D175AA">
        <w:t xml:space="preserve">in </w:t>
      </w:r>
      <w:r w:rsidRPr="002B38B0">
        <w:t>2024</w:t>
      </w:r>
      <w:r w:rsidR="00151B59">
        <w:t>–</w:t>
      </w:r>
      <w:r w:rsidRPr="002B38B0">
        <w:t>25</w:t>
      </w:r>
      <w:bookmarkEnd w:id="232"/>
      <w:bookmarkEnd w:id="233"/>
      <w:bookmarkEnd w:id="235"/>
    </w:p>
    <w:tbl>
      <w:tblPr>
        <w:tblStyle w:val="TableGrid"/>
        <w:tblW w:w="10206" w:type="dxa"/>
        <w:jc w:val="center"/>
        <w:tblLayout w:type="fixed"/>
        <w:tblCellMar>
          <w:top w:w="57" w:type="dxa"/>
          <w:left w:w="57" w:type="dxa"/>
          <w:bottom w:w="57" w:type="dxa"/>
          <w:right w:w="57" w:type="dxa"/>
        </w:tblCellMar>
        <w:tblLook w:val="04A0" w:firstRow="1" w:lastRow="0" w:firstColumn="1" w:lastColumn="0" w:noHBand="0" w:noVBand="1"/>
      </w:tblPr>
      <w:tblGrid>
        <w:gridCol w:w="1271"/>
        <w:gridCol w:w="766"/>
        <w:gridCol w:w="1077"/>
        <w:gridCol w:w="1417"/>
        <w:gridCol w:w="1985"/>
        <w:gridCol w:w="1701"/>
        <w:gridCol w:w="1989"/>
      </w:tblGrid>
      <w:tr w:rsidR="00B76F2C" w:rsidRPr="001E41ED" w14:paraId="161D7CF1" w14:textId="77777777" w:rsidTr="7B3F2B7B">
        <w:trPr>
          <w:tblHeader/>
          <w:jc w:val="center"/>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1A305AC" w14:textId="1DA6EEAA" w:rsidR="00B76F2C" w:rsidRPr="004B26BC" w:rsidRDefault="00B76F2C">
            <w:pPr>
              <w:contextualSpacing/>
              <w:rPr>
                <w:rFonts w:cs="Arial"/>
                <w:szCs w:val="22"/>
              </w:rPr>
            </w:pPr>
            <w:r w:rsidRPr="004B26BC">
              <w:rPr>
                <w:rFonts w:cs="Arial"/>
                <w:b/>
                <w:szCs w:val="22"/>
              </w:rPr>
              <w:t xml:space="preserve">Service </w:t>
            </w:r>
            <w:r w:rsidR="00502671" w:rsidRPr="004B26BC">
              <w:rPr>
                <w:rFonts w:cs="Arial"/>
                <w:b/>
                <w:szCs w:val="22"/>
              </w:rPr>
              <w:t>Trades Council</w:t>
            </w:r>
          </w:p>
        </w:tc>
      </w:tr>
      <w:tr w:rsidR="00B76F2C" w:rsidRPr="001E41ED" w14:paraId="6C73AD6E" w14:textId="77777777" w:rsidTr="7B3F2B7B">
        <w:trPr>
          <w:jc w:val="center"/>
        </w:trPr>
        <w:tc>
          <w:tcPr>
            <w:tcW w:w="203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44EDAEF" w14:textId="77777777" w:rsidR="00B76F2C" w:rsidRPr="004B26BC" w:rsidRDefault="00B76F2C">
            <w:pPr>
              <w:contextualSpacing/>
              <w:rPr>
                <w:rFonts w:cs="Arial"/>
                <w:szCs w:val="22"/>
              </w:rPr>
            </w:pPr>
            <w:r w:rsidRPr="004B26BC">
              <w:rPr>
                <w:rFonts w:cs="Arial"/>
                <w:szCs w:val="22"/>
              </w:rPr>
              <w:t>Act or instrument</w:t>
            </w:r>
          </w:p>
        </w:tc>
        <w:tc>
          <w:tcPr>
            <w:tcW w:w="816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31AAD6" w14:textId="462C31C4" w:rsidR="00B76F2C" w:rsidRPr="004B26BC" w:rsidRDefault="00502671">
            <w:pPr>
              <w:contextualSpacing/>
              <w:rPr>
                <w:rFonts w:cs="Arial"/>
                <w:szCs w:val="22"/>
              </w:rPr>
            </w:pPr>
            <w:r w:rsidRPr="004B26BC">
              <w:rPr>
                <w:rFonts w:cs="Arial"/>
                <w:i/>
                <w:szCs w:val="22"/>
              </w:rPr>
              <w:t>Plumbing and Drainage Act 2018</w:t>
            </w:r>
          </w:p>
        </w:tc>
      </w:tr>
      <w:tr w:rsidR="00B76F2C" w:rsidRPr="001E41ED" w14:paraId="124759C0" w14:textId="77777777" w:rsidTr="7B3F2B7B">
        <w:trPr>
          <w:jc w:val="center"/>
        </w:trPr>
        <w:tc>
          <w:tcPr>
            <w:tcW w:w="203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AA4FD4" w14:textId="77777777" w:rsidR="00B76F2C" w:rsidRPr="004B26BC" w:rsidRDefault="00B76F2C">
            <w:pPr>
              <w:contextualSpacing/>
              <w:rPr>
                <w:rFonts w:cs="Arial"/>
                <w:szCs w:val="22"/>
              </w:rPr>
            </w:pPr>
            <w:r w:rsidRPr="004B26BC">
              <w:rPr>
                <w:rFonts w:cs="Arial"/>
                <w:szCs w:val="22"/>
              </w:rPr>
              <w:t>Financial reporting</w:t>
            </w:r>
          </w:p>
        </w:tc>
        <w:tc>
          <w:tcPr>
            <w:tcW w:w="816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C539CD" w14:textId="17B8A7A1" w:rsidR="00B76F2C" w:rsidRPr="004B26BC" w:rsidRDefault="00B76F2C">
            <w:pPr>
              <w:contextualSpacing/>
              <w:rPr>
                <w:rFonts w:cs="Arial"/>
                <w:szCs w:val="22"/>
              </w:rPr>
            </w:pPr>
            <w:r w:rsidRPr="004B26BC">
              <w:rPr>
                <w:rFonts w:cs="Arial"/>
                <w:szCs w:val="22"/>
              </w:rPr>
              <w:t xml:space="preserve">Transactions of the </w:t>
            </w:r>
            <w:r w:rsidR="00BA3CE8" w:rsidRPr="004B26BC">
              <w:rPr>
                <w:rFonts w:cs="Arial"/>
                <w:szCs w:val="22"/>
              </w:rPr>
              <w:t>entity</w:t>
            </w:r>
            <w:r w:rsidRPr="004B26BC">
              <w:rPr>
                <w:rFonts w:cs="Arial"/>
                <w:szCs w:val="22"/>
              </w:rPr>
              <w:t xml:space="preserve"> are accounted for in the </w:t>
            </w:r>
            <w:r w:rsidR="00BA3CE8" w:rsidRPr="004B26BC">
              <w:rPr>
                <w:rFonts w:cs="Arial"/>
                <w:szCs w:val="22"/>
              </w:rPr>
              <w:t xml:space="preserve">QBCC’s </w:t>
            </w:r>
            <w:r w:rsidRPr="004B26BC">
              <w:rPr>
                <w:rFonts w:cs="Arial"/>
                <w:szCs w:val="22"/>
              </w:rPr>
              <w:t>Financial Statements.</w:t>
            </w:r>
          </w:p>
        </w:tc>
      </w:tr>
      <w:tr w:rsidR="00B76F2C" w:rsidRPr="001E41ED" w14:paraId="0D88E7BF" w14:textId="77777777" w:rsidTr="7B3F2B7B">
        <w:trPr>
          <w:jc w:val="center"/>
        </w:trPr>
        <w:tc>
          <w:tcPr>
            <w:tcW w:w="1020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AC588" w14:textId="77777777" w:rsidR="00B76F2C" w:rsidRPr="004B26BC" w:rsidRDefault="00B76F2C">
            <w:pPr>
              <w:contextualSpacing/>
              <w:rPr>
                <w:rFonts w:cs="Arial"/>
                <w:szCs w:val="22"/>
              </w:rPr>
            </w:pPr>
            <w:r w:rsidRPr="004B26BC">
              <w:rPr>
                <w:rFonts w:cs="Arial"/>
                <w:b/>
                <w:szCs w:val="22"/>
              </w:rPr>
              <w:t>Remuneration</w:t>
            </w:r>
            <w:r w:rsidRPr="004B26BC">
              <w:rPr>
                <w:rFonts w:cs="Arial"/>
                <w:szCs w:val="22"/>
              </w:rPr>
              <w:t xml:space="preserve"> </w:t>
            </w:r>
          </w:p>
        </w:tc>
      </w:tr>
      <w:tr w:rsidR="00B76F2C" w:rsidRPr="001E41ED" w14:paraId="741B2FFE" w14:textId="77777777" w:rsidTr="7B3F2B7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2F4F18" w14:textId="77777777" w:rsidR="00B76F2C" w:rsidRPr="004B26BC" w:rsidRDefault="00B76F2C">
            <w:pPr>
              <w:contextualSpacing/>
              <w:rPr>
                <w:rFonts w:cs="Arial"/>
                <w:szCs w:val="22"/>
              </w:rPr>
            </w:pPr>
            <w:r w:rsidRPr="004B26BC">
              <w:rPr>
                <w:rFonts w:cs="Arial"/>
                <w:szCs w:val="22"/>
              </w:rPr>
              <w:t xml:space="preserve">Position </w:t>
            </w:r>
          </w:p>
          <w:p w14:paraId="29FA3B37" w14:textId="77777777" w:rsidR="00B76F2C" w:rsidRPr="004B26BC" w:rsidRDefault="00B76F2C">
            <w:pPr>
              <w:contextualSpacing/>
              <w:rPr>
                <w:rFonts w:cs="Arial"/>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BE6B3E" w14:textId="77777777" w:rsidR="00B76F2C" w:rsidRPr="004B26BC" w:rsidRDefault="00B76F2C">
            <w:pPr>
              <w:contextualSpacing/>
              <w:rPr>
                <w:rFonts w:cs="Arial"/>
                <w:szCs w:val="22"/>
              </w:rPr>
            </w:pPr>
            <w:r w:rsidRPr="004B26BC">
              <w:rPr>
                <w:rFonts w:cs="Arial"/>
                <w:szCs w:val="22"/>
              </w:rPr>
              <w:t>Name</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25278D" w14:textId="63F397C5" w:rsidR="00B76F2C" w:rsidRPr="004B26BC" w:rsidRDefault="00B76F2C">
            <w:pPr>
              <w:contextualSpacing/>
              <w:rPr>
                <w:rFonts w:cs="Arial"/>
                <w:szCs w:val="22"/>
              </w:rPr>
            </w:pPr>
            <w:r w:rsidRPr="004B26BC">
              <w:rPr>
                <w:rFonts w:cs="Arial"/>
                <w:szCs w:val="22"/>
              </w:rPr>
              <w:t xml:space="preserve">Meetings attendance </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6B3A24" w14:textId="78C6B788" w:rsidR="00B76F2C" w:rsidRPr="004B26BC" w:rsidRDefault="00B76F2C">
            <w:pPr>
              <w:contextualSpacing/>
              <w:rPr>
                <w:rFonts w:cs="Arial"/>
                <w:szCs w:val="22"/>
              </w:rPr>
            </w:pPr>
            <w:r w:rsidRPr="004B26BC">
              <w:rPr>
                <w:rFonts w:cs="Arial"/>
                <w:szCs w:val="22"/>
              </w:rPr>
              <w:t xml:space="preserve">Approved annual, sessional or daily fee </w:t>
            </w:r>
            <w:r w:rsidR="00971611">
              <w:rPr>
                <w:rFonts w:cs="Arial"/>
                <w:szCs w:val="22"/>
              </w:rPr>
              <w:t>(exclude superannuation)</w:t>
            </w:r>
            <w:r w:rsidRPr="004B26BC">
              <w:rPr>
                <w:rFonts w:cs="Arial"/>
                <w:szCs w:val="22"/>
              </w:rPr>
              <w:t xml:space="preserve"> </w:t>
            </w:r>
            <w:r w:rsidR="007C6C5F">
              <w:rPr>
                <w:rFonts w:cs="Arial"/>
                <w:szCs w:val="22"/>
              </w:rPr>
              <w:t>($)</w:t>
            </w:r>
            <w:r w:rsidRPr="004B26BC">
              <w:rPr>
                <w:rFonts w:cs="Arial"/>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A262D3" w14:textId="025F6DF9" w:rsidR="00B76F2C" w:rsidRPr="004B26BC" w:rsidRDefault="00B76F2C">
            <w:pPr>
              <w:contextualSpacing/>
              <w:rPr>
                <w:rFonts w:cs="Arial"/>
                <w:szCs w:val="22"/>
              </w:rPr>
            </w:pPr>
            <w:r w:rsidRPr="004B26BC">
              <w:rPr>
                <w:rFonts w:cs="Arial"/>
                <w:szCs w:val="22"/>
              </w:rPr>
              <w:t>Approved sub-committee fees if applicable</w:t>
            </w:r>
            <w:r w:rsidR="007C6C5F">
              <w:rPr>
                <w:rFonts w:cs="Arial"/>
                <w:szCs w:val="22"/>
              </w:rPr>
              <w:t xml:space="preserve"> ($)</w:t>
            </w:r>
          </w:p>
        </w:tc>
        <w:tc>
          <w:tcPr>
            <w:tcW w:w="19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B61A48" w14:textId="56AA3C34" w:rsidR="00B76F2C" w:rsidRPr="004B26BC" w:rsidRDefault="00B76F2C">
            <w:pPr>
              <w:contextualSpacing/>
              <w:rPr>
                <w:rFonts w:cs="Arial"/>
                <w:szCs w:val="22"/>
              </w:rPr>
            </w:pPr>
            <w:r w:rsidRPr="004B26BC">
              <w:rPr>
                <w:rFonts w:cs="Arial"/>
                <w:szCs w:val="22"/>
              </w:rPr>
              <w:t>Actual fees received</w:t>
            </w:r>
            <w:r w:rsidR="00AB1BFF">
              <w:rPr>
                <w:rFonts w:cs="Arial"/>
                <w:szCs w:val="22"/>
              </w:rPr>
              <w:t xml:space="preserve"> (include superannuation)</w:t>
            </w:r>
            <w:r w:rsidRPr="004B26BC">
              <w:rPr>
                <w:rFonts w:cs="Arial"/>
                <w:szCs w:val="22"/>
              </w:rPr>
              <w:t xml:space="preserve"> </w:t>
            </w:r>
            <w:r w:rsidR="007C6C5F">
              <w:rPr>
                <w:rFonts w:cs="Arial"/>
                <w:szCs w:val="22"/>
              </w:rPr>
              <w:t>($)</w:t>
            </w:r>
          </w:p>
        </w:tc>
      </w:tr>
      <w:tr w:rsidR="001B7913" w:rsidRPr="001E41ED" w14:paraId="5A964158"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20D1C6F" w14:textId="3C7E0D05" w:rsidR="001B7913" w:rsidRPr="004B26BC" w:rsidRDefault="001B7913" w:rsidP="001B7913">
            <w:pPr>
              <w:contextualSpacing/>
              <w:rPr>
                <w:rFonts w:cs="Arial"/>
                <w:szCs w:val="22"/>
              </w:rPr>
            </w:pPr>
            <w:r w:rsidRPr="007519BD">
              <w:rPr>
                <w:szCs w:val="22"/>
              </w:rPr>
              <w:t>Chair</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C089D39" w14:textId="3923B391" w:rsidR="001B7913" w:rsidRPr="004B26BC" w:rsidRDefault="001B7913" w:rsidP="001B7913">
            <w:pPr>
              <w:contextualSpacing/>
              <w:rPr>
                <w:rFonts w:cs="Arial"/>
                <w:szCs w:val="22"/>
                <w:highlight w:val="yellow"/>
              </w:rPr>
            </w:pPr>
            <w:r w:rsidRPr="007519BD">
              <w:rPr>
                <w:szCs w:val="22"/>
              </w:rPr>
              <w:t xml:space="preserve">Penny </w:t>
            </w:r>
            <w:proofErr w:type="spellStart"/>
            <w:r w:rsidRPr="007519BD">
              <w:rPr>
                <w:szCs w:val="22"/>
              </w:rPr>
              <w:t>Cornah</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1918538D" w14:textId="64C047DD" w:rsidR="001B7913" w:rsidRPr="004B26BC" w:rsidRDefault="001B7913" w:rsidP="001B7913">
            <w:pPr>
              <w:contextualSpacing/>
              <w:rPr>
                <w:rFonts w:cs="Arial"/>
                <w:szCs w:val="22"/>
              </w:rPr>
            </w:pPr>
            <w:r>
              <w:rPr>
                <w:szCs w:val="22"/>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9A5B95" w14:textId="19FDABF0" w:rsidR="001B7913" w:rsidRPr="004B26BC" w:rsidRDefault="00933A79" w:rsidP="001B7913">
            <w:pPr>
              <w:contextualSpacing/>
              <w:rPr>
                <w:rFonts w:cs="Arial"/>
                <w:szCs w:val="22"/>
              </w:rPr>
            </w:pPr>
            <w:r w:rsidRPr="00933A79">
              <w:rPr>
                <w:rFonts w:cs="Arial"/>
                <w:szCs w:val="22"/>
              </w:rPr>
              <w:t>N/A</w:t>
            </w:r>
          </w:p>
        </w:tc>
        <w:tc>
          <w:tcPr>
            <w:tcW w:w="1701" w:type="dxa"/>
            <w:tcBorders>
              <w:top w:val="single" w:sz="4" w:space="0" w:color="auto"/>
              <w:left w:val="single" w:sz="4" w:space="0" w:color="auto"/>
              <w:bottom w:val="single" w:sz="4" w:space="0" w:color="auto"/>
              <w:right w:val="single" w:sz="4" w:space="0" w:color="auto"/>
            </w:tcBorders>
            <w:hideMark/>
          </w:tcPr>
          <w:p w14:paraId="46B82477" w14:textId="2EAB9426" w:rsidR="001B7913" w:rsidRPr="004B26BC" w:rsidRDefault="00933A79" w:rsidP="001B7913">
            <w:pPr>
              <w:contextualSpacing/>
              <w:rPr>
                <w:rFonts w:cs="Arial"/>
                <w:szCs w:val="22"/>
              </w:rPr>
            </w:pPr>
            <w:r w:rsidRPr="00933A79">
              <w:rPr>
                <w:rFonts w:cs="Arial"/>
                <w:szCs w:val="22"/>
              </w:rPr>
              <w:t>N/A</w:t>
            </w:r>
          </w:p>
        </w:tc>
        <w:tc>
          <w:tcPr>
            <w:tcW w:w="1989" w:type="dxa"/>
            <w:tcBorders>
              <w:top w:val="single" w:sz="4" w:space="0" w:color="auto"/>
              <w:left w:val="single" w:sz="4" w:space="0" w:color="auto"/>
              <w:bottom w:val="single" w:sz="4" w:space="0" w:color="auto"/>
              <w:right w:val="single" w:sz="4" w:space="0" w:color="auto"/>
            </w:tcBorders>
            <w:hideMark/>
          </w:tcPr>
          <w:p w14:paraId="215BD20F" w14:textId="63DF0D83" w:rsidR="001B7913" w:rsidRPr="004B26BC" w:rsidRDefault="001B7913" w:rsidP="001B7913">
            <w:pPr>
              <w:contextualSpacing/>
              <w:rPr>
                <w:rFonts w:cs="Arial"/>
              </w:rPr>
            </w:pPr>
            <w:r w:rsidRPr="008950ED">
              <w:rPr>
                <w:rFonts w:cs="Arial"/>
                <w:szCs w:val="22"/>
              </w:rPr>
              <w:t>0</w:t>
            </w:r>
          </w:p>
        </w:tc>
      </w:tr>
      <w:tr w:rsidR="001B7913" w:rsidRPr="001E41ED" w14:paraId="55AE875D"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155BA23" w14:textId="4AC653C7" w:rsidR="001B7913" w:rsidRPr="004B26BC" w:rsidRDefault="001B7913" w:rsidP="001B7913">
            <w:pPr>
              <w:contextualSpacing/>
              <w:rPr>
                <w:rFonts w:cs="Arial"/>
                <w:szCs w:val="22"/>
              </w:rPr>
            </w:pPr>
            <w:r w:rsidRPr="007519BD">
              <w:rPr>
                <w:szCs w:val="22"/>
              </w:rPr>
              <w:t>Deputy Chair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0D2C381" w14:textId="29ACA495" w:rsidR="001B7913" w:rsidRPr="004B26BC" w:rsidRDefault="001B7913" w:rsidP="001B7913">
            <w:pPr>
              <w:contextualSpacing/>
              <w:rPr>
                <w:rFonts w:cs="Arial"/>
                <w:szCs w:val="22"/>
              </w:rPr>
            </w:pPr>
            <w:r w:rsidRPr="007519BD">
              <w:rPr>
                <w:szCs w:val="22"/>
              </w:rPr>
              <w:t>Mary Morrison</w:t>
            </w:r>
          </w:p>
        </w:tc>
        <w:tc>
          <w:tcPr>
            <w:tcW w:w="1417" w:type="dxa"/>
            <w:tcBorders>
              <w:top w:val="single" w:sz="4" w:space="0" w:color="auto"/>
              <w:left w:val="single" w:sz="4" w:space="0" w:color="auto"/>
              <w:bottom w:val="single" w:sz="4" w:space="0" w:color="auto"/>
              <w:right w:val="single" w:sz="4" w:space="0" w:color="auto"/>
            </w:tcBorders>
            <w:vAlign w:val="center"/>
          </w:tcPr>
          <w:p w14:paraId="76E8D480" w14:textId="527B57D7" w:rsidR="001B7913" w:rsidRPr="004B26BC" w:rsidRDefault="001B7913" w:rsidP="001B7913">
            <w:pPr>
              <w:contextualSpacing/>
              <w:rPr>
                <w:rFonts w:cs="Arial"/>
                <w:szCs w:val="22"/>
              </w:rPr>
            </w:pPr>
            <w:r>
              <w:rPr>
                <w:szCs w:val="22"/>
              </w:rPr>
              <w:t>4</w:t>
            </w:r>
          </w:p>
        </w:tc>
        <w:tc>
          <w:tcPr>
            <w:tcW w:w="1985" w:type="dxa"/>
            <w:tcBorders>
              <w:top w:val="single" w:sz="4" w:space="0" w:color="auto"/>
              <w:left w:val="single" w:sz="4" w:space="0" w:color="auto"/>
              <w:bottom w:val="single" w:sz="4" w:space="0" w:color="auto"/>
              <w:right w:val="single" w:sz="4" w:space="0" w:color="auto"/>
            </w:tcBorders>
          </w:tcPr>
          <w:p w14:paraId="28BD03A0" w14:textId="2CC3DA4C"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7640CC51" w14:textId="6CAD233C"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0F0F369B" w14:textId="5D06E90F" w:rsidR="001B7913" w:rsidRPr="004B26BC" w:rsidRDefault="001B7913" w:rsidP="001B7913">
            <w:pPr>
              <w:contextualSpacing/>
              <w:rPr>
                <w:rFonts w:cs="Arial"/>
                <w:szCs w:val="22"/>
              </w:rPr>
            </w:pPr>
            <w:r w:rsidRPr="00661DDA">
              <w:rPr>
                <w:rFonts w:cs="Arial"/>
                <w:szCs w:val="22"/>
              </w:rPr>
              <w:t>0</w:t>
            </w:r>
          </w:p>
        </w:tc>
      </w:tr>
      <w:tr w:rsidR="001B7913" w:rsidRPr="001E41ED" w14:paraId="16702798"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38BD753" w14:textId="3588E6C4" w:rsidR="001B7913" w:rsidRPr="004B26BC" w:rsidRDefault="001B7913" w:rsidP="001B7913">
            <w:pPr>
              <w:contextualSpacing/>
              <w:rPr>
                <w:rFonts w:cs="Arial"/>
                <w:szCs w:val="22"/>
              </w:rPr>
            </w:pPr>
            <w:r w:rsidRPr="007519BD">
              <w:rPr>
                <w:szCs w:val="22"/>
              </w:rPr>
              <w:t>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6D04B24" w14:textId="5F32B8FA" w:rsidR="001B7913" w:rsidRPr="004B26BC" w:rsidRDefault="001B7913" w:rsidP="001B7913">
            <w:pPr>
              <w:contextualSpacing/>
              <w:rPr>
                <w:rFonts w:cs="Arial"/>
                <w:szCs w:val="22"/>
                <w:highlight w:val="yellow"/>
              </w:rPr>
            </w:pPr>
            <w:r w:rsidRPr="007519BD">
              <w:rPr>
                <w:szCs w:val="22"/>
              </w:rPr>
              <w:t>Chris McCahon, QBCC Assistant Commissioner Regulatory Standards and Support</w:t>
            </w:r>
          </w:p>
        </w:tc>
        <w:tc>
          <w:tcPr>
            <w:tcW w:w="1417" w:type="dxa"/>
            <w:tcBorders>
              <w:top w:val="single" w:sz="4" w:space="0" w:color="auto"/>
              <w:left w:val="single" w:sz="4" w:space="0" w:color="auto"/>
              <w:bottom w:val="single" w:sz="4" w:space="0" w:color="auto"/>
              <w:right w:val="single" w:sz="4" w:space="0" w:color="auto"/>
            </w:tcBorders>
            <w:vAlign w:val="center"/>
          </w:tcPr>
          <w:p w14:paraId="3AA78E9B" w14:textId="7E9C21DC" w:rsidR="001B7913" w:rsidRPr="004B26BC" w:rsidRDefault="001B7913" w:rsidP="001B7913">
            <w:pPr>
              <w:contextualSpacing/>
              <w:rPr>
                <w:rFonts w:cs="Arial"/>
                <w:szCs w:val="22"/>
              </w:rPr>
            </w:pPr>
            <w:r w:rsidRPr="004B26BC">
              <w:rPr>
                <w:szCs w:val="22"/>
              </w:rPr>
              <w:t>6</w:t>
            </w:r>
          </w:p>
        </w:tc>
        <w:tc>
          <w:tcPr>
            <w:tcW w:w="1985" w:type="dxa"/>
            <w:tcBorders>
              <w:top w:val="single" w:sz="4" w:space="0" w:color="auto"/>
              <w:left w:val="single" w:sz="4" w:space="0" w:color="auto"/>
              <w:bottom w:val="single" w:sz="4" w:space="0" w:color="auto"/>
              <w:right w:val="single" w:sz="4" w:space="0" w:color="auto"/>
            </w:tcBorders>
          </w:tcPr>
          <w:p w14:paraId="074AB14E" w14:textId="78DEDA3F"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5780B9A7" w14:textId="577602BB"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5C0DBF48" w14:textId="6D27D97C" w:rsidR="001B7913" w:rsidRPr="004B26BC" w:rsidRDefault="001B7913" w:rsidP="001B7913">
            <w:pPr>
              <w:contextualSpacing/>
              <w:rPr>
                <w:rFonts w:cs="Arial"/>
                <w:szCs w:val="22"/>
                <w:highlight w:val="green"/>
              </w:rPr>
            </w:pPr>
            <w:r w:rsidRPr="00661DDA">
              <w:rPr>
                <w:rFonts w:cs="Arial"/>
                <w:szCs w:val="22"/>
              </w:rPr>
              <w:t>0</w:t>
            </w:r>
          </w:p>
        </w:tc>
      </w:tr>
      <w:tr w:rsidR="001B7913" w:rsidRPr="001E41ED" w14:paraId="58C18F1E"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7ABAC70" w14:textId="6009AF23" w:rsidR="001B7913" w:rsidRPr="004B26BC" w:rsidRDefault="001B7913" w:rsidP="001B7913">
            <w:pPr>
              <w:contextualSpacing/>
              <w:rPr>
                <w:rFonts w:cs="Arial"/>
                <w:szCs w:val="22"/>
              </w:rPr>
            </w:pPr>
            <w:r w:rsidRPr="007519BD">
              <w:rPr>
                <w:szCs w:val="22"/>
              </w:rPr>
              <w:t>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00323B2" w14:textId="37EF2849" w:rsidR="001B7913" w:rsidRPr="004B26BC" w:rsidRDefault="001B7913" w:rsidP="001B7913">
            <w:pPr>
              <w:contextualSpacing/>
              <w:rPr>
                <w:rFonts w:cs="Arial"/>
                <w:szCs w:val="22"/>
                <w:highlight w:val="yellow"/>
              </w:rPr>
            </w:pPr>
            <w:r w:rsidRPr="007519BD">
              <w:rPr>
                <w:szCs w:val="22"/>
              </w:rPr>
              <w:t>Phillip Denman</w:t>
            </w:r>
          </w:p>
        </w:tc>
        <w:tc>
          <w:tcPr>
            <w:tcW w:w="1417" w:type="dxa"/>
            <w:tcBorders>
              <w:top w:val="single" w:sz="4" w:space="0" w:color="auto"/>
              <w:left w:val="single" w:sz="4" w:space="0" w:color="auto"/>
              <w:bottom w:val="single" w:sz="4" w:space="0" w:color="auto"/>
              <w:right w:val="single" w:sz="4" w:space="0" w:color="auto"/>
            </w:tcBorders>
            <w:vAlign w:val="center"/>
          </w:tcPr>
          <w:p w14:paraId="66ECEA3A" w14:textId="147E42A4" w:rsidR="001B7913" w:rsidRPr="004B26BC" w:rsidRDefault="001B7913" w:rsidP="001B7913">
            <w:pPr>
              <w:contextualSpacing/>
              <w:rPr>
                <w:rFonts w:cs="Arial"/>
                <w:szCs w:val="22"/>
              </w:rPr>
            </w:pPr>
            <w:r w:rsidRPr="004B26BC">
              <w:rPr>
                <w:szCs w:val="22"/>
              </w:rPr>
              <w:t>6</w:t>
            </w:r>
          </w:p>
        </w:tc>
        <w:tc>
          <w:tcPr>
            <w:tcW w:w="1985" w:type="dxa"/>
            <w:tcBorders>
              <w:top w:val="single" w:sz="4" w:space="0" w:color="auto"/>
              <w:left w:val="single" w:sz="4" w:space="0" w:color="auto"/>
              <w:bottom w:val="single" w:sz="4" w:space="0" w:color="auto"/>
              <w:right w:val="single" w:sz="4" w:space="0" w:color="auto"/>
            </w:tcBorders>
          </w:tcPr>
          <w:p w14:paraId="74FC6487" w14:textId="530E34CD"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11A97E17" w14:textId="6F129905"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2E56F353" w14:textId="2A93BD5D" w:rsidR="001B7913" w:rsidRPr="004B26BC" w:rsidRDefault="001B7913" w:rsidP="001B7913">
            <w:pPr>
              <w:contextualSpacing/>
              <w:rPr>
                <w:rFonts w:cs="Arial"/>
                <w:szCs w:val="22"/>
              </w:rPr>
            </w:pPr>
            <w:r w:rsidRPr="00661DDA">
              <w:rPr>
                <w:rFonts w:cs="Arial"/>
                <w:szCs w:val="22"/>
              </w:rPr>
              <w:t>0</w:t>
            </w:r>
          </w:p>
        </w:tc>
      </w:tr>
      <w:tr w:rsidR="001B7913" w:rsidRPr="001E41ED" w14:paraId="0CDCBDC0"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49C552E" w14:textId="6E90CBEC" w:rsidR="001B7913" w:rsidRPr="004B26BC" w:rsidRDefault="001B7913" w:rsidP="001B7913">
            <w:pPr>
              <w:contextualSpacing/>
              <w:rPr>
                <w:rFonts w:cs="Arial"/>
                <w:szCs w:val="22"/>
              </w:rPr>
            </w:pPr>
            <w:r w:rsidRPr="007519BD">
              <w:rPr>
                <w:szCs w:val="22"/>
              </w:rPr>
              <w:t>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C7C9309" w14:textId="6CE94DB6" w:rsidR="001B7913" w:rsidRPr="004B26BC" w:rsidRDefault="001B7913" w:rsidP="001B7913">
            <w:pPr>
              <w:contextualSpacing/>
              <w:rPr>
                <w:rFonts w:cs="Arial"/>
                <w:szCs w:val="22"/>
              </w:rPr>
            </w:pPr>
            <w:r w:rsidRPr="007519BD">
              <w:rPr>
                <w:szCs w:val="22"/>
              </w:rPr>
              <w:t>Benjamin Hawkins</w:t>
            </w:r>
          </w:p>
        </w:tc>
        <w:tc>
          <w:tcPr>
            <w:tcW w:w="1417" w:type="dxa"/>
            <w:tcBorders>
              <w:top w:val="single" w:sz="4" w:space="0" w:color="auto"/>
              <w:left w:val="single" w:sz="4" w:space="0" w:color="auto"/>
              <w:bottom w:val="single" w:sz="4" w:space="0" w:color="auto"/>
              <w:right w:val="single" w:sz="4" w:space="0" w:color="auto"/>
            </w:tcBorders>
            <w:vAlign w:val="center"/>
          </w:tcPr>
          <w:p w14:paraId="3607912A" w14:textId="6410A0C1" w:rsidR="001B7913" w:rsidRPr="004B26BC" w:rsidRDefault="001B7913" w:rsidP="001B7913">
            <w:pPr>
              <w:contextualSpacing/>
              <w:rPr>
                <w:rFonts w:cs="Arial"/>
                <w:szCs w:val="22"/>
              </w:rPr>
            </w:pPr>
            <w:r w:rsidRPr="004B26BC">
              <w:rPr>
                <w:szCs w:val="22"/>
              </w:rPr>
              <w:t>3</w:t>
            </w:r>
          </w:p>
        </w:tc>
        <w:tc>
          <w:tcPr>
            <w:tcW w:w="1985" w:type="dxa"/>
            <w:tcBorders>
              <w:top w:val="single" w:sz="4" w:space="0" w:color="auto"/>
              <w:left w:val="single" w:sz="4" w:space="0" w:color="auto"/>
              <w:bottom w:val="single" w:sz="4" w:space="0" w:color="auto"/>
              <w:right w:val="single" w:sz="4" w:space="0" w:color="auto"/>
            </w:tcBorders>
          </w:tcPr>
          <w:p w14:paraId="79ABF8D0" w14:textId="0C78480E"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55752BDD" w14:textId="6FC23CBC"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7B6C82A4" w14:textId="00D45C86" w:rsidR="001B7913" w:rsidRPr="004B26BC" w:rsidRDefault="001B7913" w:rsidP="001B7913">
            <w:pPr>
              <w:contextualSpacing/>
              <w:rPr>
                <w:rFonts w:cs="Arial"/>
                <w:szCs w:val="22"/>
              </w:rPr>
            </w:pPr>
            <w:r w:rsidRPr="00661DDA">
              <w:rPr>
                <w:rFonts w:cs="Arial"/>
                <w:szCs w:val="22"/>
              </w:rPr>
              <w:t>0</w:t>
            </w:r>
          </w:p>
        </w:tc>
      </w:tr>
      <w:tr w:rsidR="001B7913" w:rsidRPr="001E41ED" w14:paraId="43AA6754"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B681F15" w14:textId="43EC0064" w:rsidR="001B7913" w:rsidRPr="004B26BC" w:rsidRDefault="001B7913" w:rsidP="001B7913">
            <w:pPr>
              <w:contextualSpacing/>
              <w:rPr>
                <w:rFonts w:cs="Arial"/>
                <w:i/>
                <w:szCs w:val="22"/>
              </w:rPr>
            </w:pPr>
            <w:r w:rsidRPr="007519BD">
              <w:rPr>
                <w:szCs w:val="22"/>
              </w:rPr>
              <w:t>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47D222D" w14:textId="4D572D1D" w:rsidR="001B7913" w:rsidRPr="004B26BC" w:rsidRDefault="001B7913" w:rsidP="001B7913">
            <w:pPr>
              <w:contextualSpacing/>
              <w:rPr>
                <w:rFonts w:cs="Arial"/>
                <w:szCs w:val="22"/>
                <w:highlight w:val="yellow"/>
              </w:rPr>
            </w:pPr>
            <w:r w:rsidRPr="007519BD">
              <w:rPr>
                <w:szCs w:val="22"/>
              </w:rPr>
              <w:t>Michelle Kennedy</w:t>
            </w:r>
          </w:p>
        </w:tc>
        <w:tc>
          <w:tcPr>
            <w:tcW w:w="1417" w:type="dxa"/>
            <w:tcBorders>
              <w:top w:val="single" w:sz="4" w:space="0" w:color="auto"/>
              <w:left w:val="single" w:sz="4" w:space="0" w:color="auto"/>
              <w:bottom w:val="single" w:sz="4" w:space="0" w:color="auto"/>
              <w:right w:val="single" w:sz="4" w:space="0" w:color="auto"/>
            </w:tcBorders>
            <w:vAlign w:val="center"/>
          </w:tcPr>
          <w:p w14:paraId="13FA408E" w14:textId="05C84BFA" w:rsidR="001B7913" w:rsidRPr="004B26BC" w:rsidRDefault="001B7913" w:rsidP="001B7913">
            <w:pPr>
              <w:contextualSpacing/>
              <w:rPr>
                <w:rFonts w:cs="Arial"/>
                <w:szCs w:val="22"/>
              </w:rPr>
            </w:pPr>
            <w:r w:rsidRPr="004B26BC">
              <w:rPr>
                <w:szCs w:val="22"/>
              </w:rPr>
              <w:t>3</w:t>
            </w:r>
          </w:p>
        </w:tc>
        <w:tc>
          <w:tcPr>
            <w:tcW w:w="1985" w:type="dxa"/>
            <w:tcBorders>
              <w:top w:val="single" w:sz="4" w:space="0" w:color="auto"/>
              <w:left w:val="single" w:sz="4" w:space="0" w:color="auto"/>
              <w:bottom w:val="single" w:sz="4" w:space="0" w:color="auto"/>
              <w:right w:val="single" w:sz="4" w:space="0" w:color="auto"/>
            </w:tcBorders>
          </w:tcPr>
          <w:p w14:paraId="3387F96C" w14:textId="7CEBF4F4"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02788366" w14:textId="2C0EF2FA"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64559E65" w14:textId="677EA6C1" w:rsidR="001B7913" w:rsidRPr="004B26BC" w:rsidRDefault="001B7913" w:rsidP="001B7913">
            <w:pPr>
              <w:contextualSpacing/>
              <w:rPr>
                <w:rFonts w:cs="Arial"/>
                <w:szCs w:val="22"/>
                <w:highlight w:val="green"/>
              </w:rPr>
            </w:pPr>
            <w:r w:rsidRPr="00661DDA">
              <w:rPr>
                <w:rFonts w:cs="Arial"/>
                <w:szCs w:val="22"/>
              </w:rPr>
              <w:t>0</w:t>
            </w:r>
          </w:p>
        </w:tc>
      </w:tr>
      <w:tr w:rsidR="001B7913" w:rsidRPr="001E41ED" w14:paraId="7A41C224"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B4ADBCD" w14:textId="4FD7C648" w:rsidR="001B7913" w:rsidRPr="004B26BC" w:rsidRDefault="001B7913" w:rsidP="001B7913">
            <w:pPr>
              <w:contextualSpacing/>
              <w:rPr>
                <w:rFonts w:cs="Arial"/>
                <w:i/>
                <w:szCs w:val="22"/>
              </w:rPr>
            </w:pPr>
            <w:r w:rsidRPr="007519BD">
              <w:rPr>
                <w:szCs w:val="22"/>
              </w:rPr>
              <w:t>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07D8992D" w14:textId="496C8D88" w:rsidR="001B7913" w:rsidRDefault="001B7913" w:rsidP="001B7913">
            <w:pPr>
              <w:contextualSpacing/>
              <w:rPr>
                <w:szCs w:val="22"/>
              </w:rPr>
            </w:pPr>
            <w:r w:rsidRPr="007519BD">
              <w:rPr>
                <w:szCs w:val="22"/>
              </w:rPr>
              <w:t>Greg Moore</w:t>
            </w:r>
          </w:p>
          <w:p w14:paraId="01DF42F5" w14:textId="0EF36BB7" w:rsidR="001B7913" w:rsidRPr="00010D66" w:rsidRDefault="001B7913" w:rsidP="001B7913">
            <w:pPr>
              <w:contextualSpacing/>
              <w:rPr>
                <w:rFonts w:cs="Arial"/>
                <w:i/>
                <w:szCs w:val="22"/>
                <w:highlight w:val="yellow"/>
              </w:rPr>
            </w:pPr>
            <w:r w:rsidRPr="00010D66">
              <w:rPr>
                <w:rFonts w:cs="Arial"/>
                <w:i/>
                <w:iCs/>
                <w:szCs w:val="22"/>
              </w:rPr>
              <w:t>(</w:t>
            </w:r>
            <w:r>
              <w:rPr>
                <w:rFonts w:cs="Arial"/>
                <w:i/>
                <w:iCs/>
                <w:szCs w:val="22"/>
              </w:rPr>
              <w:t>1 July 2024 – 7</w:t>
            </w:r>
            <w:r w:rsidRPr="00010D66">
              <w:rPr>
                <w:rFonts w:cs="Arial"/>
                <w:i/>
                <w:iCs/>
                <w:szCs w:val="22"/>
              </w:rPr>
              <w:t xml:space="preserve"> February 2025)</w:t>
            </w:r>
          </w:p>
        </w:tc>
        <w:tc>
          <w:tcPr>
            <w:tcW w:w="1417" w:type="dxa"/>
            <w:tcBorders>
              <w:top w:val="single" w:sz="4" w:space="0" w:color="auto"/>
              <w:left w:val="single" w:sz="4" w:space="0" w:color="auto"/>
              <w:bottom w:val="single" w:sz="4" w:space="0" w:color="auto"/>
              <w:right w:val="single" w:sz="4" w:space="0" w:color="auto"/>
            </w:tcBorders>
            <w:vAlign w:val="center"/>
          </w:tcPr>
          <w:p w14:paraId="2F582449" w14:textId="160C8709" w:rsidR="001B7913" w:rsidRPr="004B26BC" w:rsidRDefault="001B7913" w:rsidP="001B7913">
            <w:pPr>
              <w:contextualSpacing/>
              <w:rPr>
                <w:rFonts w:cs="Arial"/>
                <w:szCs w:val="22"/>
              </w:rPr>
            </w:pPr>
            <w:r w:rsidRPr="004B26BC">
              <w:rPr>
                <w:szCs w:val="22"/>
              </w:rPr>
              <w:t>1</w:t>
            </w:r>
          </w:p>
        </w:tc>
        <w:tc>
          <w:tcPr>
            <w:tcW w:w="1985" w:type="dxa"/>
            <w:tcBorders>
              <w:top w:val="single" w:sz="4" w:space="0" w:color="auto"/>
              <w:left w:val="single" w:sz="4" w:space="0" w:color="auto"/>
              <w:bottom w:val="single" w:sz="4" w:space="0" w:color="auto"/>
              <w:right w:val="single" w:sz="4" w:space="0" w:color="auto"/>
            </w:tcBorders>
          </w:tcPr>
          <w:p w14:paraId="11D74B63" w14:textId="22D2ECA6"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0B73CCDD" w14:textId="32C1D791"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74870117" w14:textId="4A46C18D" w:rsidR="001B7913" w:rsidRPr="004B26BC" w:rsidRDefault="001B7913" w:rsidP="001B7913">
            <w:pPr>
              <w:contextualSpacing/>
              <w:rPr>
                <w:rFonts w:cs="Arial"/>
                <w:szCs w:val="22"/>
              </w:rPr>
            </w:pPr>
            <w:r w:rsidRPr="00661DDA">
              <w:rPr>
                <w:rFonts w:cs="Arial"/>
                <w:szCs w:val="22"/>
              </w:rPr>
              <w:t>0</w:t>
            </w:r>
          </w:p>
        </w:tc>
      </w:tr>
      <w:tr w:rsidR="001B7913" w:rsidRPr="001E41ED" w14:paraId="35468DC7"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7C1E9C5" w14:textId="23DE9CB6" w:rsidR="001B7913" w:rsidRPr="004B26BC" w:rsidRDefault="001B7913" w:rsidP="001B7913">
            <w:pPr>
              <w:contextualSpacing/>
              <w:rPr>
                <w:rFonts w:cs="Arial"/>
                <w:i/>
                <w:szCs w:val="22"/>
              </w:rPr>
            </w:pPr>
            <w:r w:rsidRPr="007519BD">
              <w:rPr>
                <w:szCs w:val="22"/>
              </w:rPr>
              <w:t>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5320CCB" w14:textId="246C4AD4" w:rsidR="001B7913" w:rsidRPr="004B26BC" w:rsidRDefault="001B7913" w:rsidP="001B7913">
            <w:pPr>
              <w:autoSpaceDE w:val="0"/>
              <w:autoSpaceDN w:val="0"/>
              <w:adjustRightInd w:val="0"/>
              <w:contextualSpacing/>
              <w:rPr>
                <w:rFonts w:cs="Arial"/>
                <w:szCs w:val="22"/>
                <w:highlight w:val="yellow"/>
              </w:rPr>
            </w:pPr>
            <w:r w:rsidRPr="007519BD">
              <w:rPr>
                <w:szCs w:val="22"/>
              </w:rPr>
              <w:t>Anne Neuendorf</w:t>
            </w:r>
          </w:p>
        </w:tc>
        <w:tc>
          <w:tcPr>
            <w:tcW w:w="1417" w:type="dxa"/>
            <w:tcBorders>
              <w:top w:val="single" w:sz="4" w:space="0" w:color="auto"/>
              <w:left w:val="single" w:sz="4" w:space="0" w:color="auto"/>
              <w:bottom w:val="single" w:sz="4" w:space="0" w:color="auto"/>
              <w:right w:val="single" w:sz="4" w:space="0" w:color="auto"/>
            </w:tcBorders>
            <w:vAlign w:val="center"/>
          </w:tcPr>
          <w:p w14:paraId="31EC4F37" w14:textId="6F5CD3E0" w:rsidR="001B7913" w:rsidRPr="004B26BC" w:rsidRDefault="001B7913" w:rsidP="001B7913">
            <w:pPr>
              <w:contextualSpacing/>
              <w:rPr>
                <w:rFonts w:cs="Arial"/>
                <w:szCs w:val="22"/>
              </w:rPr>
            </w:pPr>
            <w:r w:rsidRPr="004B26BC">
              <w:rPr>
                <w:szCs w:val="22"/>
              </w:rPr>
              <w:t>3</w:t>
            </w:r>
          </w:p>
        </w:tc>
        <w:tc>
          <w:tcPr>
            <w:tcW w:w="1985" w:type="dxa"/>
            <w:tcBorders>
              <w:top w:val="single" w:sz="4" w:space="0" w:color="auto"/>
              <w:left w:val="single" w:sz="4" w:space="0" w:color="auto"/>
              <w:bottom w:val="single" w:sz="4" w:space="0" w:color="auto"/>
              <w:right w:val="single" w:sz="4" w:space="0" w:color="auto"/>
            </w:tcBorders>
          </w:tcPr>
          <w:p w14:paraId="2A0ECF24" w14:textId="756785B6"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152D5380" w14:textId="489A01EB"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06E90A8E" w14:textId="11D31700" w:rsidR="001B7913" w:rsidRPr="004B26BC" w:rsidRDefault="001B7913" w:rsidP="001B7913">
            <w:pPr>
              <w:contextualSpacing/>
              <w:rPr>
                <w:rFonts w:cs="Arial"/>
                <w:szCs w:val="22"/>
                <w:highlight w:val="green"/>
              </w:rPr>
            </w:pPr>
            <w:r w:rsidRPr="00661DDA">
              <w:rPr>
                <w:rFonts w:cs="Arial"/>
                <w:szCs w:val="22"/>
              </w:rPr>
              <w:t>0</w:t>
            </w:r>
          </w:p>
        </w:tc>
      </w:tr>
      <w:tr w:rsidR="001B7913" w:rsidRPr="001E41ED" w14:paraId="0521DCE3"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EB9DADD" w14:textId="2E2EC2D1" w:rsidR="001B7913" w:rsidRPr="004B26BC" w:rsidRDefault="001B7913" w:rsidP="001B7913">
            <w:pPr>
              <w:contextualSpacing/>
              <w:rPr>
                <w:rFonts w:cs="Arial"/>
                <w:szCs w:val="22"/>
              </w:rPr>
            </w:pPr>
            <w:r w:rsidRPr="007519BD">
              <w:rPr>
                <w:szCs w:val="22"/>
              </w:rPr>
              <w:t>Member</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B0E4CBD" w14:textId="697F66ED" w:rsidR="001B7913" w:rsidRPr="004B26BC" w:rsidRDefault="001B7913" w:rsidP="001B7913">
            <w:pPr>
              <w:contextualSpacing/>
              <w:rPr>
                <w:rFonts w:cs="Arial"/>
                <w:szCs w:val="22"/>
                <w:highlight w:val="yellow"/>
              </w:rPr>
            </w:pPr>
            <w:r w:rsidRPr="007519BD">
              <w:rPr>
                <w:szCs w:val="22"/>
              </w:rPr>
              <w:t>Gary O’Halloran</w:t>
            </w:r>
          </w:p>
        </w:tc>
        <w:tc>
          <w:tcPr>
            <w:tcW w:w="1417" w:type="dxa"/>
            <w:tcBorders>
              <w:top w:val="single" w:sz="4" w:space="0" w:color="auto"/>
              <w:left w:val="single" w:sz="4" w:space="0" w:color="auto"/>
              <w:bottom w:val="single" w:sz="4" w:space="0" w:color="auto"/>
              <w:right w:val="single" w:sz="4" w:space="0" w:color="auto"/>
            </w:tcBorders>
            <w:vAlign w:val="center"/>
          </w:tcPr>
          <w:p w14:paraId="75AEF964" w14:textId="525C2D63" w:rsidR="001B7913" w:rsidRPr="004B26BC" w:rsidRDefault="001B7913" w:rsidP="001B7913">
            <w:pPr>
              <w:contextualSpacing/>
              <w:rPr>
                <w:rFonts w:cs="Arial"/>
                <w:szCs w:val="22"/>
              </w:rPr>
            </w:pPr>
            <w:r w:rsidRPr="004B26BC">
              <w:rPr>
                <w:szCs w:val="22"/>
              </w:rPr>
              <w:t>2</w:t>
            </w:r>
          </w:p>
        </w:tc>
        <w:tc>
          <w:tcPr>
            <w:tcW w:w="1985" w:type="dxa"/>
            <w:tcBorders>
              <w:top w:val="single" w:sz="4" w:space="0" w:color="auto"/>
              <w:left w:val="single" w:sz="4" w:space="0" w:color="auto"/>
              <w:bottom w:val="single" w:sz="4" w:space="0" w:color="auto"/>
              <w:right w:val="single" w:sz="4" w:space="0" w:color="auto"/>
            </w:tcBorders>
          </w:tcPr>
          <w:p w14:paraId="73890727" w14:textId="0E8E1841"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6AE4574E" w14:textId="02AB1B86"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54F63A27" w14:textId="508A958D" w:rsidR="001B7913" w:rsidRPr="004B26BC" w:rsidRDefault="001B7913" w:rsidP="001B7913">
            <w:pPr>
              <w:contextualSpacing/>
              <w:rPr>
                <w:rFonts w:cs="Arial"/>
                <w:szCs w:val="22"/>
                <w:highlight w:val="green"/>
              </w:rPr>
            </w:pPr>
            <w:r w:rsidRPr="00661DDA">
              <w:rPr>
                <w:rFonts w:cs="Arial"/>
                <w:szCs w:val="22"/>
              </w:rPr>
              <w:t>0</w:t>
            </w:r>
          </w:p>
        </w:tc>
      </w:tr>
      <w:tr w:rsidR="001B7913" w:rsidRPr="001E41ED" w14:paraId="5A78EE3C"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699FC3F" w14:textId="52F49774" w:rsidR="001B7913" w:rsidRPr="004B26BC" w:rsidRDefault="001B7913" w:rsidP="001B7913">
            <w:pPr>
              <w:contextualSpacing/>
              <w:rPr>
                <w:rFonts w:cs="Arial"/>
                <w:szCs w:val="22"/>
              </w:rPr>
            </w:pPr>
            <w:r w:rsidRPr="007519BD">
              <w:rPr>
                <w:szCs w:val="22"/>
              </w:rPr>
              <w:t>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C6ED9CD" w14:textId="579C8FFA" w:rsidR="001B7913" w:rsidRPr="004B26BC" w:rsidRDefault="001B7913" w:rsidP="001B7913">
            <w:pPr>
              <w:contextualSpacing/>
              <w:rPr>
                <w:rFonts w:cs="Arial"/>
                <w:szCs w:val="22"/>
                <w:highlight w:val="yellow"/>
              </w:rPr>
            </w:pPr>
            <w:r w:rsidRPr="007519BD">
              <w:rPr>
                <w:szCs w:val="22"/>
              </w:rPr>
              <w:t>Sharon Simmers</w:t>
            </w:r>
          </w:p>
        </w:tc>
        <w:tc>
          <w:tcPr>
            <w:tcW w:w="1417" w:type="dxa"/>
            <w:tcBorders>
              <w:top w:val="single" w:sz="4" w:space="0" w:color="auto"/>
              <w:left w:val="single" w:sz="4" w:space="0" w:color="auto"/>
              <w:bottom w:val="single" w:sz="4" w:space="0" w:color="auto"/>
              <w:right w:val="single" w:sz="4" w:space="0" w:color="auto"/>
            </w:tcBorders>
            <w:vAlign w:val="center"/>
          </w:tcPr>
          <w:p w14:paraId="63A649F0" w14:textId="03B33F83" w:rsidR="001B7913" w:rsidRPr="004B26BC" w:rsidRDefault="001B7913" w:rsidP="001B7913">
            <w:pPr>
              <w:contextualSpacing/>
              <w:rPr>
                <w:rFonts w:cs="Arial"/>
                <w:szCs w:val="22"/>
              </w:rPr>
            </w:pPr>
            <w:r w:rsidRPr="004B26BC">
              <w:rPr>
                <w:szCs w:val="22"/>
              </w:rPr>
              <w:t>5</w:t>
            </w:r>
          </w:p>
        </w:tc>
        <w:tc>
          <w:tcPr>
            <w:tcW w:w="1985" w:type="dxa"/>
            <w:tcBorders>
              <w:top w:val="single" w:sz="4" w:space="0" w:color="auto"/>
              <w:left w:val="single" w:sz="4" w:space="0" w:color="auto"/>
              <w:bottom w:val="single" w:sz="4" w:space="0" w:color="auto"/>
              <w:right w:val="single" w:sz="4" w:space="0" w:color="auto"/>
            </w:tcBorders>
          </w:tcPr>
          <w:p w14:paraId="7D6F6C6D" w14:textId="65F813ED"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369F958C" w14:textId="0DD42C0D"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2338F0C1" w14:textId="3CF75B44" w:rsidR="001B7913" w:rsidRPr="004B26BC" w:rsidRDefault="001B7913" w:rsidP="001B7913">
            <w:pPr>
              <w:contextualSpacing/>
              <w:rPr>
                <w:rFonts w:cs="Arial"/>
                <w:szCs w:val="22"/>
              </w:rPr>
            </w:pPr>
            <w:r w:rsidRPr="00661DDA">
              <w:rPr>
                <w:rFonts w:cs="Arial"/>
                <w:szCs w:val="22"/>
              </w:rPr>
              <w:t>0</w:t>
            </w:r>
          </w:p>
        </w:tc>
      </w:tr>
      <w:tr w:rsidR="001B7913" w:rsidRPr="001E41ED" w14:paraId="0294442C"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B6C0CF3" w14:textId="0C631A94" w:rsidR="001B7913" w:rsidRPr="004B26BC" w:rsidRDefault="001B7913" w:rsidP="001B7913">
            <w:pPr>
              <w:contextualSpacing/>
              <w:rPr>
                <w:rFonts w:cs="Arial"/>
                <w:szCs w:val="22"/>
              </w:rPr>
            </w:pPr>
            <w:r w:rsidRPr="007519BD">
              <w:rPr>
                <w:szCs w:val="22"/>
              </w:rPr>
              <w:lastRenderedPageBreak/>
              <w:t>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B397303" w14:textId="2C4C49A8" w:rsidR="001B7913" w:rsidRPr="004B26BC" w:rsidRDefault="001B7913" w:rsidP="001B7913">
            <w:pPr>
              <w:contextualSpacing/>
              <w:rPr>
                <w:rFonts w:cs="Arial"/>
                <w:szCs w:val="22"/>
                <w:highlight w:val="yellow"/>
              </w:rPr>
            </w:pPr>
            <w:r w:rsidRPr="007519BD">
              <w:rPr>
                <w:szCs w:val="22"/>
              </w:rPr>
              <w:t>Joseph Smith</w:t>
            </w:r>
          </w:p>
        </w:tc>
        <w:tc>
          <w:tcPr>
            <w:tcW w:w="1417" w:type="dxa"/>
            <w:tcBorders>
              <w:top w:val="single" w:sz="4" w:space="0" w:color="auto"/>
              <w:left w:val="single" w:sz="4" w:space="0" w:color="auto"/>
              <w:bottom w:val="single" w:sz="4" w:space="0" w:color="auto"/>
              <w:right w:val="single" w:sz="4" w:space="0" w:color="auto"/>
            </w:tcBorders>
            <w:vAlign w:val="center"/>
          </w:tcPr>
          <w:p w14:paraId="75FE156A" w14:textId="61872972" w:rsidR="001B7913" w:rsidRPr="004B26BC" w:rsidRDefault="001B7913" w:rsidP="001B7913">
            <w:pPr>
              <w:contextualSpacing/>
              <w:rPr>
                <w:rFonts w:cs="Arial"/>
                <w:szCs w:val="22"/>
              </w:rPr>
            </w:pPr>
            <w:r w:rsidRPr="004B26BC">
              <w:rPr>
                <w:szCs w:val="22"/>
              </w:rPr>
              <w:t>4</w:t>
            </w:r>
          </w:p>
        </w:tc>
        <w:tc>
          <w:tcPr>
            <w:tcW w:w="1985" w:type="dxa"/>
            <w:tcBorders>
              <w:top w:val="single" w:sz="4" w:space="0" w:color="auto"/>
              <w:left w:val="single" w:sz="4" w:space="0" w:color="auto"/>
              <w:bottom w:val="single" w:sz="4" w:space="0" w:color="auto"/>
              <w:right w:val="single" w:sz="4" w:space="0" w:color="auto"/>
            </w:tcBorders>
          </w:tcPr>
          <w:p w14:paraId="2F888489" w14:textId="703FCEA5"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23514D85" w14:textId="7ED7011A"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0117A151" w14:textId="3CFA96D8" w:rsidR="001B7913" w:rsidRPr="004B26BC" w:rsidRDefault="001B7913" w:rsidP="001B7913">
            <w:pPr>
              <w:contextualSpacing/>
              <w:rPr>
                <w:rFonts w:cs="Arial"/>
                <w:szCs w:val="22"/>
              </w:rPr>
            </w:pPr>
            <w:r w:rsidRPr="00661DDA">
              <w:rPr>
                <w:rFonts w:cs="Arial"/>
                <w:szCs w:val="22"/>
              </w:rPr>
              <w:t>0</w:t>
            </w:r>
          </w:p>
        </w:tc>
      </w:tr>
      <w:tr w:rsidR="001B7913" w:rsidRPr="001E41ED" w14:paraId="403C9E45"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1979215" w14:textId="13D0D119" w:rsidR="001B7913" w:rsidRPr="004B26BC" w:rsidRDefault="001B7913" w:rsidP="001B7913">
            <w:pPr>
              <w:contextualSpacing/>
              <w:rPr>
                <w:rFonts w:cs="Arial"/>
                <w:szCs w:val="22"/>
              </w:rPr>
            </w:pPr>
            <w:r w:rsidRPr="007519BD">
              <w:rPr>
                <w:szCs w:val="22"/>
              </w:rPr>
              <w:t>Deputy 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ECC1BC0" w14:textId="05B271B9" w:rsidR="001B7913" w:rsidRPr="004B26BC" w:rsidRDefault="001B7913" w:rsidP="001B7913">
            <w:pPr>
              <w:contextualSpacing/>
              <w:rPr>
                <w:rFonts w:cs="Arial"/>
                <w:szCs w:val="22"/>
                <w:highlight w:val="yellow"/>
              </w:rPr>
            </w:pPr>
            <w:r w:rsidRPr="007519BD">
              <w:rPr>
                <w:szCs w:val="22"/>
              </w:rPr>
              <w:t>Rudolphe Martin</w:t>
            </w:r>
          </w:p>
        </w:tc>
        <w:tc>
          <w:tcPr>
            <w:tcW w:w="1417" w:type="dxa"/>
            <w:tcBorders>
              <w:top w:val="single" w:sz="4" w:space="0" w:color="auto"/>
              <w:left w:val="single" w:sz="4" w:space="0" w:color="auto"/>
              <w:bottom w:val="single" w:sz="4" w:space="0" w:color="auto"/>
              <w:right w:val="single" w:sz="4" w:space="0" w:color="auto"/>
            </w:tcBorders>
            <w:vAlign w:val="center"/>
          </w:tcPr>
          <w:p w14:paraId="375172B6" w14:textId="0407092A" w:rsidR="001B7913" w:rsidRPr="004B26BC" w:rsidRDefault="001B7913" w:rsidP="001B7913">
            <w:pPr>
              <w:contextualSpacing/>
              <w:rPr>
                <w:rFonts w:cs="Arial"/>
                <w:szCs w:val="22"/>
              </w:rPr>
            </w:pPr>
            <w:r w:rsidRPr="004B26BC">
              <w:rPr>
                <w:szCs w:val="22"/>
              </w:rPr>
              <w:t>3</w:t>
            </w:r>
          </w:p>
        </w:tc>
        <w:tc>
          <w:tcPr>
            <w:tcW w:w="1985" w:type="dxa"/>
            <w:tcBorders>
              <w:top w:val="single" w:sz="4" w:space="0" w:color="auto"/>
              <w:left w:val="single" w:sz="4" w:space="0" w:color="auto"/>
              <w:bottom w:val="single" w:sz="4" w:space="0" w:color="auto"/>
              <w:right w:val="single" w:sz="4" w:space="0" w:color="auto"/>
            </w:tcBorders>
          </w:tcPr>
          <w:p w14:paraId="4AAA816A" w14:textId="022D1EFE"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0A339C6C" w14:textId="6ADA2B09"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790497B3" w14:textId="7C3147EB" w:rsidR="001B7913" w:rsidRPr="004B26BC" w:rsidRDefault="001B7913" w:rsidP="001B7913">
            <w:pPr>
              <w:contextualSpacing/>
              <w:rPr>
                <w:rFonts w:cs="Arial"/>
                <w:szCs w:val="22"/>
              </w:rPr>
            </w:pPr>
            <w:r w:rsidRPr="00661DDA">
              <w:rPr>
                <w:rFonts w:cs="Arial"/>
                <w:szCs w:val="22"/>
              </w:rPr>
              <w:t>0</w:t>
            </w:r>
          </w:p>
        </w:tc>
      </w:tr>
      <w:tr w:rsidR="001B7913" w:rsidRPr="001E41ED" w14:paraId="37B31A33"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75B0550" w14:textId="4CF26986" w:rsidR="001B7913" w:rsidRPr="004B26BC" w:rsidRDefault="001B7913" w:rsidP="001B7913">
            <w:pPr>
              <w:contextualSpacing/>
              <w:rPr>
                <w:rFonts w:cs="Arial"/>
                <w:szCs w:val="22"/>
              </w:rPr>
            </w:pPr>
            <w:r w:rsidRPr="007519BD">
              <w:rPr>
                <w:szCs w:val="22"/>
              </w:rPr>
              <w:t>Deputy 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9E7752D" w14:textId="29C188D2" w:rsidR="001B7913" w:rsidRPr="004B26BC" w:rsidRDefault="001B7913" w:rsidP="001B7913">
            <w:pPr>
              <w:contextualSpacing/>
              <w:rPr>
                <w:rFonts w:cs="Arial"/>
                <w:szCs w:val="22"/>
                <w:highlight w:val="yellow"/>
              </w:rPr>
            </w:pPr>
            <w:r w:rsidRPr="007519BD">
              <w:rPr>
                <w:szCs w:val="22"/>
              </w:rPr>
              <w:t>Stacey McInnes</w:t>
            </w:r>
          </w:p>
        </w:tc>
        <w:tc>
          <w:tcPr>
            <w:tcW w:w="1417" w:type="dxa"/>
            <w:tcBorders>
              <w:top w:val="single" w:sz="4" w:space="0" w:color="auto"/>
              <w:left w:val="single" w:sz="4" w:space="0" w:color="auto"/>
              <w:bottom w:val="single" w:sz="4" w:space="0" w:color="auto"/>
              <w:right w:val="single" w:sz="4" w:space="0" w:color="auto"/>
            </w:tcBorders>
            <w:vAlign w:val="center"/>
          </w:tcPr>
          <w:p w14:paraId="4F871225" w14:textId="3A8F91F1" w:rsidR="001B7913" w:rsidRPr="004B26BC" w:rsidRDefault="001B7913" w:rsidP="001B7913">
            <w:pPr>
              <w:contextualSpacing/>
              <w:rPr>
                <w:rFonts w:cs="Arial"/>
                <w:szCs w:val="22"/>
              </w:rPr>
            </w:pPr>
            <w:r w:rsidRPr="004B26BC">
              <w:rPr>
                <w:szCs w:val="22"/>
              </w:rPr>
              <w:t>3</w:t>
            </w:r>
          </w:p>
        </w:tc>
        <w:tc>
          <w:tcPr>
            <w:tcW w:w="1985" w:type="dxa"/>
            <w:tcBorders>
              <w:top w:val="single" w:sz="4" w:space="0" w:color="auto"/>
              <w:left w:val="single" w:sz="4" w:space="0" w:color="auto"/>
              <w:bottom w:val="single" w:sz="4" w:space="0" w:color="auto"/>
              <w:right w:val="single" w:sz="4" w:space="0" w:color="auto"/>
            </w:tcBorders>
          </w:tcPr>
          <w:p w14:paraId="0BCFE445" w14:textId="1B039DD0"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4174E1D7" w14:textId="020B2B79"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3C08C67A" w14:textId="028A8088" w:rsidR="001B7913" w:rsidRPr="004B26BC" w:rsidRDefault="001B7913" w:rsidP="001B7913">
            <w:pPr>
              <w:contextualSpacing/>
              <w:rPr>
                <w:rFonts w:cs="Arial"/>
                <w:szCs w:val="22"/>
              </w:rPr>
            </w:pPr>
            <w:r w:rsidRPr="00661DDA">
              <w:rPr>
                <w:rFonts w:cs="Arial"/>
                <w:szCs w:val="22"/>
              </w:rPr>
              <w:t>0</w:t>
            </w:r>
          </w:p>
        </w:tc>
      </w:tr>
      <w:tr w:rsidR="001B7913" w:rsidRPr="001E41ED" w14:paraId="2D0F7F28"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7A6096D" w14:textId="0AC7116D" w:rsidR="001B7913" w:rsidRPr="004B26BC" w:rsidRDefault="001B7913" w:rsidP="001B7913">
            <w:pPr>
              <w:contextualSpacing/>
              <w:rPr>
                <w:rFonts w:cs="Arial"/>
                <w:szCs w:val="22"/>
              </w:rPr>
            </w:pPr>
            <w:r w:rsidRPr="007519BD">
              <w:rPr>
                <w:szCs w:val="22"/>
              </w:rPr>
              <w:t>Deputy 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7C45929" w14:textId="00AAA620" w:rsidR="001B7913" w:rsidRPr="004B26BC" w:rsidRDefault="001B7913" w:rsidP="001B7913">
            <w:pPr>
              <w:contextualSpacing/>
              <w:rPr>
                <w:rFonts w:cs="Arial"/>
                <w:szCs w:val="22"/>
                <w:highlight w:val="yellow"/>
              </w:rPr>
            </w:pPr>
            <w:r w:rsidRPr="007519BD">
              <w:rPr>
                <w:szCs w:val="22"/>
              </w:rPr>
              <w:t>Christopher McKenzie</w:t>
            </w:r>
          </w:p>
        </w:tc>
        <w:tc>
          <w:tcPr>
            <w:tcW w:w="1417" w:type="dxa"/>
            <w:tcBorders>
              <w:top w:val="single" w:sz="4" w:space="0" w:color="auto"/>
              <w:left w:val="single" w:sz="4" w:space="0" w:color="auto"/>
              <w:bottom w:val="single" w:sz="4" w:space="0" w:color="auto"/>
              <w:right w:val="single" w:sz="4" w:space="0" w:color="auto"/>
            </w:tcBorders>
            <w:vAlign w:val="center"/>
          </w:tcPr>
          <w:p w14:paraId="429D6D6F" w14:textId="57A2283B" w:rsidR="001B7913" w:rsidRPr="004B26BC" w:rsidRDefault="001B7913" w:rsidP="001B7913">
            <w:pPr>
              <w:contextualSpacing/>
              <w:rPr>
                <w:rFonts w:cs="Arial"/>
                <w:szCs w:val="22"/>
              </w:rPr>
            </w:pPr>
            <w:r w:rsidRPr="004B26BC">
              <w:rPr>
                <w:szCs w:val="22"/>
              </w:rPr>
              <w:t>1</w:t>
            </w:r>
          </w:p>
        </w:tc>
        <w:tc>
          <w:tcPr>
            <w:tcW w:w="1985" w:type="dxa"/>
            <w:tcBorders>
              <w:top w:val="single" w:sz="4" w:space="0" w:color="auto"/>
              <w:left w:val="single" w:sz="4" w:space="0" w:color="auto"/>
              <w:bottom w:val="single" w:sz="4" w:space="0" w:color="auto"/>
              <w:right w:val="single" w:sz="4" w:space="0" w:color="auto"/>
            </w:tcBorders>
          </w:tcPr>
          <w:p w14:paraId="2C7C18C3" w14:textId="748CF95D"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2FCEB7B9" w14:textId="4CF7A45B"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286B079B" w14:textId="1CB1A791" w:rsidR="001B7913" w:rsidRPr="004B26BC" w:rsidRDefault="001B7913" w:rsidP="001B7913">
            <w:pPr>
              <w:contextualSpacing/>
              <w:rPr>
                <w:rFonts w:cs="Arial"/>
                <w:szCs w:val="22"/>
              </w:rPr>
            </w:pPr>
            <w:r w:rsidRPr="00661DDA">
              <w:rPr>
                <w:rFonts w:cs="Arial"/>
                <w:szCs w:val="22"/>
              </w:rPr>
              <w:t>0</w:t>
            </w:r>
          </w:p>
        </w:tc>
      </w:tr>
      <w:tr w:rsidR="001B7913" w:rsidRPr="001E41ED" w14:paraId="5419F93E"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4FD9C59" w14:textId="11F42A9D" w:rsidR="001B7913" w:rsidRPr="004B26BC" w:rsidRDefault="001B7913" w:rsidP="001B7913">
            <w:pPr>
              <w:contextualSpacing/>
              <w:rPr>
                <w:rFonts w:cs="Arial"/>
                <w:szCs w:val="22"/>
              </w:rPr>
            </w:pPr>
            <w:r w:rsidRPr="007519BD">
              <w:rPr>
                <w:szCs w:val="22"/>
              </w:rPr>
              <w:t>Deputy 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063EA2F" w14:textId="2DB3D831" w:rsidR="001B7913" w:rsidRPr="004B26BC" w:rsidRDefault="001B7913" w:rsidP="001B7913">
            <w:pPr>
              <w:contextualSpacing/>
              <w:rPr>
                <w:rFonts w:cs="Arial"/>
                <w:szCs w:val="22"/>
                <w:highlight w:val="yellow"/>
              </w:rPr>
            </w:pPr>
            <w:r w:rsidRPr="007519BD">
              <w:rPr>
                <w:szCs w:val="22"/>
              </w:rPr>
              <w:t>Justin Maxwell</w:t>
            </w:r>
          </w:p>
        </w:tc>
        <w:tc>
          <w:tcPr>
            <w:tcW w:w="1417" w:type="dxa"/>
            <w:tcBorders>
              <w:top w:val="single" w:sz="4" w:space="0" w:color="auto"/>
              <w:left w:val="single" w:sz="4" w:space="0" w:color="auto"/>
              <w:bottom w:val="single" w:sz="4" w:space="0" w:color="auto"/>
              <w:right w:val="single" w:sz="4" w:space="0" w:color="auto"/>
            </w:tcBorders>
            <w:vAlign w:val="center"/>
          </w:tcPr>
          <w:p w14:paraId="241BDD79" w14:textId="502EBE1C" w:rsidR="001B7913" w:rsidRPr="004B26BC" w:rsidRDefault="001B7913" w:rsidP="001B7913">
            <w:pPr>
              <w:contextualSpacing/>
              <w:rPr>
                <w:rFonts w:cs="Arial"/>
                <w:szCs w:val="22"/>
              </w:rPr>
            </w:pPr>
            <w:r w:rsidRPr="004B26BC">
              <w:rPr>
                <w:szCs w:val="22"/>
              </w:rPr>
              <w:t>3</w:t>
            </w:r>
          </w:p>
        </w:tc>
        <w:tc>
          <w:tcPr>
            <w:tcW w:w="1985" w:type="dxa"/>
            <w:tcBorders>
              <w:top w:val="single" w:sz="4" w:space="0" w:color="auto"/>
              <w:left w:val="single" w:sz="4" w:space="0" w:color="auto"/>
              <w:bottom w:val="single" w:sz="4" w:space="0" w:color="auto"/>
              <w:right w:val="single" w:sz="4" w:space="0" w:color="auto"/>
            </w:tcBorders>
          </w:tcPr>
          <w:p w14:paraId="5C0C40F9" w14:textId="01E22BE9"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5D257E60" w14:textId="15B484FC"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026E14A0" w14:textId="5BD23D49" w:rsidR="001B7913" w:rsidRPr="004B26BC" w:rsidRDefault="001B7913" w:rsidP="001B7913">
            <w:pPr>
              <w:contextualSpacing/>
              <w:rPr>
                <w:rFonts w:cs="Arial"/>
                <w:szCs w:val="22"/>
              </w:rPr>
            </w:pPr>
            <w:r w:rsidRPr="00661DDA">
              <w:rPr>
                <w:rFonts w:cs="Arial"/>
                <w:szCs w:val="22"/>
              </w:rPr>
              <w:t>0</w:t>
            </w:r>
          </w:p>
        </w:tc>
      </w:tr>
      <w:tr w:rsidR="001B7913" w:rsidRPr="001E41ED" w14:paraId="723CAF15"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491E6F1" w14:textId="5F137C5C" w:rsidR="001B7913" w:rsidRPr="004B26BC" w:rsidRDefault="001B7913" w:rsidP="001B7913">
            <w:pPr>
              <w:contextualSpacing/>
              <w:rPr>
                <w:rFonts w:cs="Arial"/>
                <w:szCs w:val="22"/>
              </w:rPr>
            </w:pPr>
            <w:r w:rsidRPr="007519BD">
              <w:rPr>
                <w:szCs w:val="22"/>
              </w:rPr>
              <w:t>Deputy 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797D253" w14:textId="77777777" w:rsidR="001B7913" w:rsidRDefault="001B7913" w:rsidP="001B7913">
            <w:pPr>
              <w:contextualSpacing/>
              <w:rPr>
                <w:szCs w:val="22"/>
              </w:rPr>
            </w:pPr>
            <w:r w:rsidRPr="007519BD">
              <w:rPr>
                <w:szCs w:val="22"/>
              </w:rPr>
              <w:t>Wayne Swindell</w:t>
            </w:r>
          </w:p>
          <w:p w14:paraId="0C556CF7" w14:textId="41C51888" w:rsidR="0061762A" w:rsidRPr="00C931AE" w:rsidRDefault="0061762A" w:rsidP="001B7913">
            <w:pPr>
              <w:contextualSpacing/>
              <w:rPr>
                <w:rFonts w:cs="Arial"/>
                <w:i/>
                <w:iCs/>
                <w:szCs w:val="22"/>
                <w:highlight w:val="yellow"/>
              </w:rPr>
            </w:pPr>
            <w:r w:rsidRPr="00C931AE">
              <w:rPr>
                <w:rFonts w:cs="Arial"/>
                <w:i/>
                <w:iCs/>
                <w:szCs w:val="22"/>
              </w:rPr>
              <w:t>(1 July 2024 – 11 April 2025)</w:t>
            </w:r>
          </w:p>
        </w:tc>
        <w:tc>
          <w:tcPr>
            <w:tcW w:w="1417" w:type="dxa"/>
            <w:tcBorders>
              <w:top w:val="single" w:sz="4" w:space="0" w:color="auto"/>
              <w:left w:val="single" w:sz="4" w:space="0" w:color="auto"/>
              <w:bottom w:val="single" w:sz="4" w:space="0" w:color="auto"/>
              <w:right w:val="single" w:sz="4" w:space="0" w:color="auto"/>
            </w:tcBorders>
            <w:vAlign w:val="center"/>
          </w:tcPr>
          <w:p w14:paraId="44420929" w14:textId="36D20601" w:rsidR="001B7913" w:rsidRPr="004B26BC" w:rsidRDefault="001B7913" w:rsidP="001B7913">
            <w:pPr>
              <w:contextualSpacing/>
              <w:rPr>
                <w:rFonts w:cs="Arial"/>
                <w:szCs w:val="22"/>
              </w:rPr>
            </w:pPr>
            <w:r w:rsidRPr="004B26BC">
              <w:rPr>
                <w:szCs w:val="22"/>
              </w:rPr>
              <w:t>2</w:t>
            </w:r>
          </w:p>
        </w:tc>
        <w:tc>
          <w:tcPr>
            <w:tcW w:w="1985" w:type="dxa"/>
            <w:tcBorders>
              <w:top w:val="single" w:sz="4" w:space="0" w:color="auto"/>
              <w:left w:val="single" w:sz="4" w:space="0" w:color="auto"/>
              <w:bottom w:val="single" w:sz="4" w:space="0" w:color="auto"/>
              <w:right w:val="single" w:sz="4" w:space="0" w:color="auto"/>
            </w:tcBorders>
          </w:tcPr>
          <w:p w14:paraId="34664409" w14:textId="44F4E598"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524CD473" w14:textId="0E984B9B"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687F2F0B" w14:textId="50DAF3CB" w:rsidR="001B7913" w:rsidRPr="004B26BC" w:rsidRDefault="001B7913" w:rsidP="001B7913">
            <w:pPr>
              <w:contextualSpacing/>
              <w:rPr>
                <w:rFonts w:cs="Arial"/>
                <w:szCs w:val="22"/>
              </w:rPr>
            </w:pPr>
            <w:r w:rsidRPr="00661DDA">
              <w:rPr>
                <w:rFonts w:cs="Arial"/>
                <w:szCs w:val="22"/>
              </w:rPr>
              <w:t>0</w:t>
            </w:r>
          </w:p>
        </w:tc>
      </w:tr>
      <w:tr w:rsidR="001B7913" w:rsidRPr="001E41ED" w14:paraId="56AD917F"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1E05FFA" w14:textId="0996BF86" w:rsidR="001B7913" w:rsidRPr="004B26BC" w:rsidRDefault="001B7913" w:rsidP="001B7913">
            <w:pPr>
              <w:contextualSpacing/>
              <w:rPr>
                <w:rFonts w:cs="Arial"/>
                <w:szCs w:val="22"/>
              </w:rPr>
            </w:pPr>
            <w:r w:rsidRPr="007519BD">
              <w:rPr>
                <w:szCs w:val="22"/>
              </w:rPr>
              <w:t>Deputy 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7CEFD78" w14:textId="3F880B9C" w:rsidR="001B7913" w:rsidRPr="004B26BC" w:rsidRDefault="001B7913" w:rsidP="001B7913">
            <w:pPr>
              <w:contextualSpacing/>
              <w:rPr>
                <w:rFonts w:cs="Arial"/>
                <w:szCs w:val="22"/>
                <w:highlight w:val="yellow"/>
              </w:rPr>
            </w:pPr>
            <w:r w:rsidRPr="007519BD">
              <w:rPr>
                <w:szCs w:val="22"/>
              </w:rPr>
              <w:t>Kent Vickers</w:t>
            </w:r>
          </w:p>
        </w:tc>
        <w:tc>
          <w:tcPr>
            <w:tcW w:w="1417" w:type="dxa"/>
            <w:tcBorders>
              <w:top w:val="single" w:sz="4" w:space="0" w:color="auto"/>
              <w:left w:val="single" w:sz="4" w:space="0" w:color="auto"/>
              <w:bottom w:val="single" w:sz="4" w:space="0" w:color="auto"/>
              <w:right w:val="single" w:sz="4" w:space="0" w:color="auto"/>
            </w:tcBorders>
            <w:vAlign w:val="center"/>
          </w:tcPr>
          <w:p w14:paraId="6ADEC3FA" w14:textId="678E2C93" w:rsidR="001B7913" w:rsidRPr="004B26BC" w:rsidRDefault="001B7913" w:rsidP="001B7913">
            <w:pPr>
              <w:contextualSpacing/>
              <w:rPr>
                <w:rFonts w:cs="Arial"/>
                <w:szCs w:val="22"/>
              </w:rPr>
            </w:pPr>
            <w:r w:rsidRPr="004B26BC">
              <w:rPr>
                <w:szCs w:val="22"/>
              </w:rPr>
              <w:t>0</w:t>
            </w:r>
          </w:p>
        </w:tc>
        <w:tc>
          <w:tcPr>
            <w:tcW w:w="1985" w:type="dxa"/>
            <w:tcBorders>
              <w:top w:val="single" w:sz="4" w:space="0" w:color="auto"/>
              <w:left w:val="single" w:sz="4" w:space="0" w:color="auto"/>
              <w:bottom w:val="single" w:sz="4" w:space="0" w:color="auto"/>
              <w:right w:val="single" w:sz="4" w:space="0" w:color="auto"/>
            </w:tcBorders>
          </w:tcPr>
          <w:p w14:paraId="7F11306C" w14:textId="26E7BD3B"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517BA0EF" w14:textId="4C2BCA19"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0ED9DADA" w14:textId="577704FC" w:rsidR="001B7913" w:rsidRPr="004B26BC" w:rsidRDefault="001B7913" w:rsidP="001B7913">
            <w:pPr>
              <w:contextualSpacing/>
              <w:rPr>
                <w:rFonts w:cs="Arial"/>
                <w:szCs w:val="22"/>
              </w:rPr>
            </w:pPr>
            <w:r w:rsidRPr="00661DDA">
              <w:rPr>
                <w:rFonts w:cs="Arial"/>
                <w:szCs w:val="22"/>
              </w:rPr>
              <w:t>0</w:t>
            </w:r>
          </w:p>
        </w:tc>
      </w:tr>
      <w:tr w:rsidR="001B7913" w:rsidRPr="001E41ED" w14:paraId="12DA9245"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B65EC27" w14:textId="773E32F2" w:rsidR="001B7913" w:rsidRPr="004B26BC" w:rsidRDefault="001B7913" w:rsidP="001B7913">
            <w:pPr>
              <w:contextualSpacing/>
              <w:rPr>
                <w:rFonts w:cs="Arial"/>
                <w:szCs w:val="22"/>
              </w:rPr>
            </w:pPr>
            <w:r w:rsidRPr="007519BD">
              <w:rPr>
                <w:szCs w:val="22"/>
              </w:rPr>
              <w:t>Deputy 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B209D20" w14:textId="283561C1" w:rsidR="001B7913" w:rsidRDefault="001B7913" w:rsidP="001B7913">
            <w:pPr>
              <w:contextualSpacing/>
              <w:rPr>
                <w:szCs w:val="22"/>
              </w:rPr>
            </w:pPr>
            <w:r w:rsidRPr="007519BD">
              <w:rPr>
                <w:szCs w:val="22"/>
              </w:rPr>
              <w:t>Geoffrey Woodall</w:t>
            </w:r>
          </w:p>
          <w:p w14:paraId="60215CC6" w14:textId="7B93383B" w:rsidR="001B7913" w:rsidRPr="00010D66" w:rsidRDefault="001B7913" w:rsidP="001B7913">
            <w:pPr>
              <w:contextualSpacing/>
              <w:rPr>
                <w:rFonts w:cs="Arial"/>
                <w:i/>
                <w:szCs w:val="22"/>
                <w:highlight w:val="yellow"/>
              </w:rPr>
            </w:pPr>
            <w:r w:rsidRPr="00010D66">
              <w:rPr>
                <w:rFonts w:cs="Arial"/>
                <w:i/>
                <w:iCs/>
                <w:szCs w:val="22"/>
              </w:rPr>
              <w:t>(</w:t>
            </w:r>
            <w:r>
              <w:rPr>
                <w:rFonts w:cs="Arial"/>
                <w:i/>
                <w:iCs/>
                <w:szCs w:val="22"/>
              </w:rPr>
              <w:t>1 July 2024 – 8</w:t>
            </w:r>
            <w:r w:rsidRPr="00010D66">
              <w:rPr>
                <w:rFonts w:cs="Arial"/>
                <w:i/>
                <w:iCs/>
                <w:szCs w:val="22"/>
              </w:rPr>
              <w:t xml:space="preserve"> May 2025)</w:t>
            </w:r>
          </w:p>
        </w:tc>
        <w:tc>
          <w:tcPr>
            <w:tcW w:w="1417" w:type="dxa"/>
            <w:tcBorders>
              <w:top w:val="single" w:sz="4" w:space="0" w:color="auto"/>
              <w:left w:val="single" w:sz="4" w:space="0" w:color="auto"/>
              <w:bottom w:val="single" w:sz="4" w:space="0" w:color="auto"/>
              <w:right w:val="single" w:sz="4" w:space="0" w:color="auto"/>
            </w:tcBorders>
            <w:vAlign w:val="center"/>
          </w:tcPr>
          <w:p w14:paraId="7AF0F224" w14:textId="29882174" w:rsidR="001B7913" w:rsidRPr="004B26BC" w:rsidRDefault="001B7913" w:rsidP="001B7913">
            <w:pPr>
              <w:contextualSpacing/>
              <w:rPr>
                <w:rFonts w:cs="Arial"/>
                <w:szCs w:val="22"/>
              </w:rPr>
            </w:pPr>
            <w:r w:rsidRPr="004B26BC">
              <w:rPr>
                <w:szCs w:val="22"/>
              </w:rPr>
              <w:t>3</w:t>
            </w:r>
          </w:p>
        </w:tc>
        <w:tc>
          <w:tcPr>
            <w:tcW w:w="1985" w:type="dxa"/>
            <w:tcBorders>
              <w:top w:val="single" w:sz="4" w:space="0" w:color="auto"/>
              <w:left w:val="single" w:sz="4" w:space="0" w:color="auto"/>
              <w:bottom w:val="single" w:sz="4" w:space="0" w:color="auto"/>
              <w:right w:val="single" w:sz="4" w:space="0" w:color="auto"/>
            </w:tcBorders>
          </w:tcPr>
          <w:p w14:paraId="08864398" w14:textId="3F875EB1"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21DBE314" w14:textId="42C51678"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0BA34D56" w14:textId="0AA5216D" w:rsidR="001B7913" w:rsidRPr="004B26BC" w:rsidRDefault="001B7913" w:rsidP="001B7913">
            <w:pPr>
              <w:contextualSpacing/>
              <w:rPr>
                <w:rFonts w:cs="Arial"/>
                <w:szCs w:val="22"/>
              </w:rPr>
            </w:pPr>
            <w:r w:rsidRPr="00661DDA">
              <w:rPr>
                <w:rFonts w:cs="Arial"/>
                <w:szCs w:val="22"/>
              </w:rPr>
              <w:t>0</w:t>
            </w:r>
          </w:p>
        </w:tc>
      </w:tr>
      <w:tr w:rsidR="001B7913" w:rsidRPr="001E41ED" w14:paraId="616405CF"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F6C2864" w14:textId="22F3FC10" w:rsidR="001B7913" w:rsidRPr="004B26BC" w:rsidRDefault="001B7913" w:rsidP="001B7913">
            <w:pPr>
              <w:contextualSpacing/>
              <w:rPr>
                <w:rFonts w:cs="Arial"/>
                <w:szCs w:val="22"/>
              </w:rPr>
            </w:pPr>
            <w:r w:rsidRPr="007519BD">
              <w:rPr>
                <w:szCs w:val="22"/>
              </w:rPr>
              <w:t>Deputy Member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DEA561A" w14:textId="4456F483" w:rsidR="001B7913" w:rsidRDefault="001B7913" w:rsidP="001B7913">
            <w:pPr>
              <w:contextualSpacing/>
              <w:rPr>
                <w:szCs w:val="22"/>
              </w:rPr>
            </w:pPr>
            <w:r w:rsidRPr="007519BD">
              <w:rPr>
                <w:szCs w:val="22"/>
              </w:rPr>
              <w:t>Shannon Fogarty</w:t>
            </w:r>
          </w:p>
          <w:p w14:paraId="3356515B" w14:textId="3A7522E7" w:rsidR="001B7913" w:rsidRPr="00010D66" w:rsidRDefault="001B7913" w:rsidP="001B7913">
            <w:pPr>
              <w:contextualSpacing/>
              <w:rPr>
                <w:rFonts w:cs="Arial"/>
                <w:i/>
                <w:szCs w:val="22"/>
                <w:highlight w:val="yellow"/>
              </w:rPr>
            </w:pPr>
            <w:r w:rsidRPr="00010D66">
              <w:rPr>
                <w:i/>
                <w:iCs/>
                <w:szCs w:val="22"/>
              </w:rPr>
              <w:t>(</w:t>
            </w:r>
            <w:r>
              <w:rPr>
                <w:i/>
                <w:iCs/>
                <w:szCs w:val="22"/>
              </w:rPr>
              <w:t xml:space="preserve">1 July 2024 </w:t>
            </w:r>
            <w:r>
              <w:rPr>
                <w:rFonts w:cs="Arial"/>
                <w:i/>
                <w:iCs/>
                <w:szCs w:val="22"/>
              </w:rPr>
              <w:t>–</w:t>
            </w:r>
            <w:r>
              <w:rPr>
                <w:i/>
                <w:iCs/>
                <w:szCs w:val="22"/>
              </w:rPr>
              <w:t xml:space="preserve"> </w:t>
            </w:r>
            <w:r w:rsidRPr="00010D66">
              <w:rPr>
                <w:i/>
                <w:iCs/>
                <w:szCs w:val="22"/>
              </w:rPr>
              <w:t>2</w:t>
            </w:r>
            <w:r>
              <w:rPr>
                <w:i/>
                <w:iCs/>
                <w:szCs w:val="22"/>
              </w:rPr>
              <w:t>1</w:t>
            </w:r>
            <w:r w:rsidRPr="00010D66">
              <w:rPr>
                <w:i/>
                <w:iCs/>
                <w:szCs w:val="22"/>
              </w:rPr>
              <w:t xml:space="preserve"> October 2024)</w:t>
            </w:r>
          </w:p>
        </w:tc>
        <w:tc>
          <w:tcPr>
            <w:tcW w:w="1417" w:type="dxa"/>
            <w:tcBorders>
              <w:top w:val="single" w:sz="4" w:space="0" w:color="auto"/>
              <w:left w:val="single" w:sz="4" w:space="0" w:color="auto"/>
              <w:bottom w:val="single" w:sz="4" w:space="0" w:color="auto"/>
              <w:right w:val="single" w:sz="4" w:space="0" w:color="auto"/>
            </w:tcBorders>
            <w:vAlign w:val="center"/>
          </w:tcPr>
          <w:p w14:paraId="117BDF69" w14:textId="554ADEAB" w:rsidR="001B7913" w:rsidRPr="004B26BC" w:rsidRDefault="001B7913" w:rsidP="001B7913">
            <w:pPr>
              <w:contextualSpacing/>
              <w:rPr>
                <w:rFonts w:cs="Arial"/>
                <w:szCs w:val="22"/>
              </w:rPr>
            </w:pPr>
            <w:r w:rsidRPr="004B26BC">
              <w:rPr>
                <w:szCs w:val="22"/>
              </w:rPr>
              <w:t>0</w:t>
            </w:r>
          </w:p>
        </w:tc>
        <w:tc>
          <w:tcPr>
            <w:tcW w:w="1985" w:type="dxa"/>
            <w:tcBorders>
              <w:top w:val="single" w:sz="4" w:space="0" w:color="auto"/>
              <w:left w:val="single" w:sz="4" w:space="0" w:color="auto"/>
              <w:bottom w:val="single" w:sz="4" w:space="0" w:color="auto"/>
              <w:right w:val="single" w:sz="4" w:space="0" w:color="auto"/>
            </w:tcBorders>
          </w:tcPr>
          <w:p w14:paraId="58368055" w14:textId="5F390E86" w:rsidR="001B7913" w:rsidRPr="004B26BC" w:rsidRDefault="00933A79" w:rsidP="001B7913">
            <w:pPr>
              <w:contextualSpacing/>
              <w:rPr>
                <w:rFonts w:cs="Arial"/>
                <w:szCs w:val="22"/>
              </w:rPr>
            </w:pPr>
            <w:r w:rsidRPr="00E87DAE">
              <w:t>N/A</w:t>
            </w:r>
          </w:p>
        </w:tc>
        <w:tc>
          <w:tcPr>
            <w:tcW w:w="1701" w:type="dxa"/>
            <w:tcBorders>
              <w:top w:val="single" w:sz="4" w:space="0" w:color="auto"/>
              <w:left w:val="single" w:sz="4" w:space="0" w:color="auto"/>
              <w:bottom w:val="single" w:sz="4" w:space="0" w:color="auto"/>
              <w:right w:val="single" w:sz="4" w:space="0" w:color="auto"/>
            </w:tcBorders>
          </w:tcPr>
          <w:p w14:paraId="3DE617C4" w14:textId="2FC0C627" w:rsidR="001B7913" w:rsidRPr="004B26BC" w:rsidRDefault="00933A79" w:rsidP="001B7913">
            <w:pPr>
              <w:contextualSpacing/>
              <w:rPr>
                <w:rFonts w:cs="Arial"/>
                <w:szCs w:val="22"/>
              </w:rPr>
            </w:pPr>
            <w:r w:rsidRPr="00E87DAE">
              <w:t>N/A</w:t>
            </w:r>
          </w:p>
        </w:tc>
        <w:tc>
          <w:tcPr>
            <w:tcW w:w="1989" w:type="dxa"/>
            <w:tcBorders>
              <w:top w:val="single" w:sz="4" w:space="0" w:color="auto"/>
              <w:left w:val="single" w:sz="4" w:space="0" w:color="auto"/>
              <w:bottom w:val="single" w:sz="4" w:space="0" w:color="auto"/>
              <w:right w:val="single" w:sz="4" w:space="0" w:color="auto"/>
            </w:tcBorders>
          </w:tcPr>
          <w:p w14:paraId="3F2AA0B5" w14:textId="2A8AFAD5" w:rsidR="001B7913" w:rsidRPr="004B26BC" w:rsidRDefault="001B7913" w:rsidP="001B7913">
            <w:pPr>
              <w:contextualSpacing/>
              <w:rPr>
                <w:rFonts w:cs="Arial"/>
                <w:szCs w:val="22"/>
              </w:rPr>
            </w:pPr>
            <w:r w:rsidRPr="00661DDA">
              <w:rPr>
                <w:rFonts w:cs="Arial"/>
                <w:szCs w:val="22"/>
              </w:rPr>
              <w:t>0</w:t>
            </w:r>
          </w:p>
        </w:tc>
      </w:tr>
      <w:tr w:rsidR="00B76F2C" w:rsidRPr="00963F76" w14:paraId="4D033782" w14:textId="77777777" w:rsidTr="7B3F2B7B">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7F23A775" w14:textId="77777777" w:rsidR="00B76F2C" w:rsidRPr="004B26BC" w:rsidRDefault="00B76F2C">
            <w:pPr>
              <w:contextualSpacing/>
              <w:rPr>
                <w:rFonts w:cs="Arial"/>
                <w:szCs w:val="22"/>
              </w:rPr>
            </w:pPr>
            <w:r w:rsidRPr="004B26BC" w:rsidDel="00143937">
              <w:rPr>
                <w:rFonts w:cs="Arial"/>
                <w:szCs w:val="22"/>
              </w:rPr>
              <w:t xml:space="preserve">No. </w:t>
            </w:r>
            <w:r w:rsidRPr="004B26BC">
              <w:rPr>
                <w:rFonts w:cs="Arial"/>
                <w:szCs w:val="22"/>
              </w:rPr>
              <w:t>of scheduled meetings/sessions</w:t>
            </w:r>
          </w:p>
        </w:tc>
        <w:tc>
          <w:tcPr>
            <w:tcW w:w="8935" w:type="dxa"/>
            <w:gridSpan w:val="6"/>
            <w:tcBorders>
              <w:top w:val="single" w:sz="4" w:space="0" w:color="auto"/>
              <w:left w:val="single" w:sz="4" w:space="0" w:color="auto"/>
              <w:bottom w:val="single" w:sz="4" w:space="0" w:color="auto"/>
              <w:right w:val="single" w:sz="4" w:space="0" w:color="auto"/>
            </w:tcBorders>
            <w:vAlign w:val="center"/>
            <w:hideMark/>
          </w:tcPr>
          <w:p w14:paraId="519C8098" w14:textId="77777777" w:rsidR="002205D7" w:rsidRPr="004B26BC" w:rsidRDefault="002205D7" w:rsidP="002205D7">
            <w:pPr>
              <w:contextualSpacing/>
              <w:rPr>
                <w:rFonts w:cs="Arial"/>
                <w:szCs w:val="22"/>
              </w:rPr>
            </w:pPr>
            <w:r w:rsidRPr="004B26BC">
              <w:rPr>
                <w:rFonts w:cs="Arial"/>
                <w:szCs w:val="22"/>
              </w:rPr>
              <w:t>STC: 6</w:t>
            </w:r>
          </w:p>
          <w:p w14:paraId="7BFE29F9" w14:textId="77777777" w:rsidR="002205D7" w:rsidRPr="004B26BC" w:rsidRDefault="002205D7" w:rsidP="002205D7">
            <w:pPr>
              <w:contextualSpacing/>
              <w:rPr>
                <w:rFonts w:cs="Arial"/>
                <w:szCs w:val="22"/>
              </w:rPr>
            </w:pPr>
            <w:r w:rsidRPr="004B26BC">
              <w:rPr>
                <w:rFonts w:cs="Arial"/>
                <w:szCs w:val="22"/>
              </w:rPr>
              <w:t>STLAP: 5</w:t>
            </w:r>
          </w:p>
          <w:p w14:paraId="7440FB6C" w14:textId="613975FA" w:rsidR="00B76F2C" w:rsidRPr="004B26BC" w:rsidRDefault="002205D7">
            <w:pPr>
              <w:contextualSpacing/>
              <w:rPr>
                <w:rFonts w:cs="Arial"/>
                <w:szCs w:val="22"/>
              </w:rPr>
            </w:pPr>
            <w:r w:rsidRPr="004B26BC">
              <w:rPr>
                <w:rFonts w:cs="Arial"/>
                <w:szCs w:val="22"/>
              </w:rPr>
              <w:t>NWP:</w:t>
            </w:r>
            <w:r w:rsidR="003070E8">
              <w:rPr>
                <w:rFonts w:cs="Arial"/>
                <w:szCs w:val="22"/>
              </w:rPr>
              <w:t xml:space="preserve"> </w:t>
            </w:r>
            <w:r w:rsidRPr="004B26BC">
              <w:rPr>
                <w:rFonts w:cs="Arial"/>
                <w:szCs w:val="22"/>
              </w:rPr>
              <w:t>6</w:t>
            </w:r>
          </w:p>
          <w:p w14:paraId="7BFA5105" w14:textId="77777777" w:rsidR="00B76F2C" w:rsidRPr="004B26BC" w:rsidRDefault="00B76F2C">
            <w:pPr>
              <w:contextualSpacing/>
              <w:rPr>
                <w:rFonts w:cs="Arial"/>
                <w:szCs w:val="22"/>
              </w:rPr>
            </w:pPr>
          </w:p>
        </w:tc>
      </w:tr>
      <w:tr w:rsidR="00B76F2C" w:rsidRPr="001E41ED" w14:paraId="658A4AF9" w14:textId="77777777" w:rsidTr="7B3F2B7B">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F755876" w14:textId="703C929E" w:rsidR="00B76F2C" w:rsidRPr="004B26BC" w:rsidRDefault="00B76F2C">
            <w:pPr>
              <w:contextualSpacing/>
              <w:rPr>
                <w:rFonts w:cs="Arial"/>
                <w:i/>
                <w:szCs w:val="22"/>
                <w:highlight w:val="yellow"/>
              </w:rPr>
            </w:pPr>
            <w:r w:rsidRPr="004B26BC">
              <w:rPr>
                <w:rFonts w:cs="Arial"/>
                <w:szCs w:val="22"/>
              </w:rPr>
              <w:t>Total out of pocket expenses</w:t>
            </w:r>
          </w:p>
        </w:tc>
        <w:tc>
          <w:tcPr>
            <w:tcW w:w="8935" w:type="dxa"/>
            <w:gridSpan w:val="6"/>
            <w:tcBorders>
              <w:top w:val="single" w:sz="4" w:space="0" w:color="auto"/>
              <w:left w:val="single" w:sz="4" w:space="0" w:color="auto"/>
              <w:bottom w:val="single" w:sz="4" w:space="0" w:color="auto"/>
              <w:right w:val="single" w:sz="4" w:space="0" w:color="auto"/>
            </w:tcBorders>
            <w:vAlign w:val="center"/>
          </w:tcPr>
          <w:p w14:paraId="23CF5F5D" w14:textId="1D81B1AD" w:rsidR="00B76F2C" w:rsidRPr="004B26BC" w:rsidRDefault="00B76F2C" w:rsidP="7B3F2B7B">
            <w:pPr>
              <w:contextualSpacing/>
              <w:rPr>
                <w:rFonts w:cs="Arial"/>
              </w:rPr>
            </w:pPr>
            <w:r w:rsidRPr="001B7913">
              <w:t>$</w:t>
            </w:r>
            <w:r w:rsidR="3E0A1CF5" w:rsidRPr="001B7913">
              <w:rPr>
                <w:rFonts w:cs="Arial"/>
              </w:rPr>
              <w:t>0</w:t>
            </w:r>
            <w:r w:rsidRPr="001B7913">
              <w:t>. Other operational costs totalled $</w:t>
            </w:r>
            <w:r w:rsidRPr="001B7913">
              <w:rPr>
                <w:rFonts w:cs="Arial"/>
              </w:rPr>
              <w:t xml:space="preserve"> </w:t>
            </w:r>
            <w:r w:rsidR="1661027A" w:rsidRPr="001B7913">
              <w:rPr>
                <w:rFonts w:cs="Arial"/>
              </w:rPr>
              <w:t>21,559.</w:t>
            </w:r>
          </w:p>
        </w:tc>
      </w:tr>
    </w:tbl>
    <w:p w14:paraId="3343833F" w14:textId="4678277F" w:rsidR="00F9295A" w:rsidRPr="00686BC9" w:rsidRDefault="00F9295A" w:rsidP="00C1577E">
      <w:pPr>
        <w:pStyle w:val="Heading4"/>
        <w:spacing w:before="120"/>
      </w:pPr>
      <w:bookmarkStart w:id="236" w:name="_Senior_Leadership_Team"/>
      <w:bookmarkStart w:id="237" w:name="_Advisory_panels"/>
      <w:bookmarkEnd w:id="236"/>
      <w:bookmarkEnd w:id="237"/>
      <w:r w:rsidRPr="00686BC9">
        <w:t>Advisory panels</w:t>
      </w:r>
    </w:p>
    <w:p w14:paraId="2031D709" w14:textId="34FBCF5C" w:rsidR="00F9295A" w:rsidRPr="00B1273B" w:rsidRDefault="00F9295A" w:rsidP="00985CDF">
      <w:pPr>
        <w:spacing w:before="120" w:after="120"/>
        <w:rPr>
          <w:rFonts w:cs="Arial"/>
        </w:rPr>
      </w:pPr>
      <w:r w:rsidRPr="00791F48">
        <w:rPr>
          <w:rFonts w:cs="Arial"/>
          <w:szCs w:val="22"/>
        </w:rPr>
        <w:t xml:space="preserve">The STC has </w:t>
      </w:r>
      <w:r>
        <w:rPr>
          <w:rFonts w:cs="Arial"/>
          <w:szCs w:val="22"/>
        </w:rPr>
        <w:t>formed</w:t>
      </w:r>
      <w:r w:rsidRPr="00791F48">
        <w:rPr>
          <w:rFonts w:cs="Arial"/>
          <w:szCs w:val="22"/>
        </w:rPr>
        <w:t xml:space="preserve"> two advisory panels under the PD Act</w:t>
      </w:r>
      <w:r>
        <w:rPr>
          <w:rFonts w:cs="Arial"/>
          <w:szCs w:val="22"/>
        </w:rPr>
        <w:t xml:space="preserve"> to offer expert guidance and strengthen regulatory outcomes </w:t>
      </w:r>
      <w:r w:rsidR="00E61694">
        <w:rPr>
          <w:rFonts w:cs="Arial"/>
          <w:szCs w:val="22"/>
        </w:rPr>
        <w:t>across</w:t>
      </w:r>
      <w:r>
        <w:rPr>
          <w:rFonts w:cs="Arial"/>
          <w:szCs w:val="22"/>
        </w:rPr>
        <w:t xml:space="preserve"> the plumbing and drainage trades.</w:t>
      </w:r>
      <w:r w:rsidR="00F35342">
        <w:rPr>
          <w:rFonts w:cs="Arial"/>
          <w:szCs w:val="22"/>
        </w:rPr>
        <w:t xml:space="preserve"> </w:t>
      </w:r>
      <w:r w:rsidR="00523604">
        <w:rPr>
          <w:rFonts w:cs="Arial"/>
          <w:szCs w:val="22"/>
        </w:rPr>
        <w:fldChar w:fldCharType="begin"/>
      </w:r>
      <w:r w:rsidR="00523604">
        <w:rPr>
          <w:rFonts w:cs="Arial"/>
          <w:szCs w:val="22"/>
        </w:rPr>
        <w:instrText xml:space="preserve"> REF _Ref204947054 \h </w:instrText>
      </w:r>
      <w:r w:rsidR="00523604">
        <w:rPr>
          <w:rFonts w:cs="Arial"/>
          <w:szCs w:val="22"/>
        </w:rPr>
      </w:r>
      <w:r w:rsidR="00523604">
        <w:rPr>
          <w:rFonts w:cs="Arial"/>
          <w:szCs w:val="22"/>
        </w:rPr>
        <w:fldChar w:fldCharType="separate"/>
      </w:r>
      <w:r w:rsidR="00523604">
        <w:t>Table 36</w:t>
      </w:r>
      <w:r w:rsidR="00523604">
        <w:rPr>
          <w:rFonts w:cs="Arial"/>
          <w:szCs w:val="22"/>
        </w:rPr>
        <w:fldChar w:fldCharType="end"/>
      </w:r>
      <w:r w:rsidR="00BB78BF">
        <w:rPr>
          <w:rFonts w:cs="Arial"/>
          <w:szCs w:val="22"/>
        </w:rPr>
        <w:fldChar w:fldCharType="begin"/>
      </w:r>
      <w:r w:rsidR="00BB78BF">
        <w:rPr>
          <w:rFonts w:cs="Arial"/>
          <w:szCs w:val="22"/>
        </w:rPr>
        <w:instrText xml:space="preserve"> REF _Ref203982809 \h </w:instrText>
      </w:r>
      <w:r w:rsidR="00BB78BF">
        <w:rPr>
          <w:rFonts w:cs="Arial"/>
          <w:szCs w:val="22"/>
        </w:rPr>
      </w:r>
      <w:r w:rsidR="00BB78BF">
        <w:rPr>
          <w:rFonts w:cs="Arial"/>
          <w:szCs w:val="22"/>
        </w:rPr>
        <w:fldChar w:fldCharType="separate"/>
      </w:r>
      <w:r w:rsidR="00BB78BF">
        <w:rPr>
          <w:rFonts w:cs="Arial"/>
          <w:szCs w:val="22"/>
        </w:rPr>
        <w:fldChar w:fldCharType="end"/>
      </w:r>
      <w:r w:rsidRPr="00B1273B">
        <w:rPr>
          <w:rFonts w:cs="Arial"/>
          <w:szCs w:val="22"/>
        </w:rPr>
        <w:t xml:space="preserve"> </w:t>
      </w:r>
      <w:r w:rsidR="004E3B4C">
        <w:rPr>
          <w:rFonts w:cs="Arial"/>
          <w:szCs w:val="22"/>
        </w:rPr>
        <w:t>provides</w:t>
      </w:r>
      <w:r w:rsidR="004E3B4C" w:rsidRPr="00B1273B">
        <w:rPr>
          <w:rFonts w:cs="Arial"/>
          <w:szCs w:val="22"/>
        </w:rPr>
        <w:t xml:space="preserve"> </w:t>
      </w:r>
      <w:r w:rsidRPr="00B1273B">
        <w:rPr>
          <w:rFonts w:cs="Arial"/>
          <w:szCs w:val="22"/>
        </w:rPr>
        <w:t>an overview of the advisory panels</w:t>
      </w:r>
      <w:r w:rsidR="00D175AA">
        <w:rPr>
          <w:rFonts w:cs="Arial"/>
          <w:szCs w:val="22"/>
        </w:rPr>
        <w:t xml:space="preserve"> established during the reporting period</w:t>
      </w:r>
      <w:r w:rsidRPr="00B1273B">
        <w:rPr>
          <w:rFonts w:cs="Arial"/>
          <w:szCs w:val="22"/>
        </w:rPr>
        <w:t>.</w:t>
      </w:r>
    </w:p>
    <w:p w14:paraId="3313486A" w14:textId="69BD3D42" w:rsidR="00F9295A" w:rsidRPr="003C14D7" w:rsidRDefault="00F9295A" w:rsidP="00F9295A">
      <w:pPr>
        <w:pStyle w:val="Caption"/>
        <w:keepNext/>
        <w:spacing w:before="120" w:after="120"/>
      </w:pPr>
      <w:bookmarkStart w:id="238" w:name="_Ref204947054"/>
      <w:bookmarkStart w:id="239" w:name="_Ref203982809"/>
      <w:bookmarkStart w:id="240" w:name="_Ref202871785"/>
      <w:bookmarkStart w:id="241" w:name="_Toc202872067"/>
      <w:bookmarkStart w:id="242" w:name="_Toc202872687"/>
      <w:r>
        <w:t xml:space="preserve">Table </w:t>
      </w:r>
      <w:r w:rsidR="003E332F">
        <w:t>36</w:t>
      </w:r>
      <w:bookmarkEnd w:id="238"/>
      <w:r>
        <w:fldChar w:fldCharType="begin"/>
      </w:r>
      <w:r>
        <w:instrText>SEQ Table \* ARABIC</w:instrText>
      </w:r>
      <w:r>
        <w:fldChar w:fldCharType="separate"/>
      </w:r>
      <w:r>
        <w:fldChar w:fldCharType="end"/>
      </w:r>
      <w:bookmarkEnd w:id="239"/>
      <w:r w:rsidRPr="007576FE">
        <w:t xml:space="preserve">: </w:t>
      </w:r>
      <w:bookmarkStart w:id="243" w:name="_Ref202873638"/>
      <w:r w:rsidRPr="007576FE">
        <w:t>STC advisory panels</w:t>
      </w:r>
      <w:r>
        <w:t xml:space="preserve">, </w:t>
      </w:r>
      <w:r w:rsidRPr="00207B11">
        <w:t>purpose, functions</w:t>
      </w:r>
      <w:r>
        <w:t xml:space="preserve">, </w:t>
      </w:r>
      <w:r w:rsidRPr="00207B11">
        <w:t>member</w:t>
      </w:r>
      <w:r>
        <w:t>ship</w:t>
      </w:r>
      <w:r w:rsidRPr="00207B11">
        <w:t xml:space="preserve"> </w:t>
      </w:r>
      <w:r>
        <w:t>and meeting schedule for 2024–25</w:t>
      </w:r>
      <w:bookmarkEnd w:id="240"/>
      <w:bookmarkEnd w:id="241"/>
      <w:bookmarkEnd w:id="242"/>
      <w:bookmarkEnd w:id="243"/>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38"/>
        <w:gridCol w:w="2126"/>
        <w:gridCol w:w="4678"/>
        <w:gridCol w:w="1564"/>
      </w:tblGrid>
      <w:tr w:rsidR="00F9295A" w:rsidRPr="008464AD" w14:paraId="0843F80A" w14:textId="77777777" w:rsidTr="00BD3E13">
        <w:trPr>
          <w:tblHeader/>
          <w:jc w:val="center"/>
        </w:trPr>
        <w:tc>
          <w:tcPr>
            <w:tcW w:w="1838" w:type="dxa"/>
            <w:shd w:val="clear" w:color="auto" w:fill="A6A6A6" w:themeFill="background1" w:themeFillShade="A6"/>
            <w:vAlign w:val="center"/>
          </w:tcPr>
          <w:p w14:paraId="05CDE3AD" w14:textId="77777777" w:rsidR="00F9295A" w:rsidRPr="001A2426" w:rsidRDefault="00F9295A" w:rsidP="007078EC">
            <w:pPr>
              <w:contextualSpacing/>
              <w:rPr>
                <w:rFonts w:cs="Arial"/>
                <w:b/>
                <w:szCs w:val="20"/>
              </w:rPr>
            </w:pPr>
            <w:r>
              <w:rPr>
                <w:rFonts w:cs="Arial"/>
                <w:b/>
                <w:szCs w:val="20"/>
              </w:rPr>
              <w:t>Advisory panel</w:t>
            </w:r>
          </w:p>
        </w:tc>
        <w:tc>
          <w:tcPr>
            <w:tcW w:w="2126" w:type="dxa"/>
            <w:shd w:val="clear" w:color="auto" w:fill="A6A6A6" w:themeFill="background1" w:themeFillShade="A6"/>
            <w:vAlign w:val="center"/>
          </w:tcPr>
          <w:p w14:paraId="46A41D2B" w14:textId="4C494BA2" w:rsidR="00F9295A" w:rsidRPr="001A2426" w:rsidRDefault="00F9295A" w:rsidP="007078EC">
            <w:pPr>
              <w:contextualSpacing/>
              <w:rPr>
                <w:rFonts w:cs="Arial"/>
                <w:b/>
                <w:szCs w:val="20"/>
              </w:rPr>
            </w:pPr>
            <w:r w:rsidRPr="27F2466D">
              <w:rPr>
                <w:rFonts w:cs="Arial"/>
                <w:b/>
                <w:bCs/>
              </w:rPr>
              <w:t>Purpose</w:t>
            </w:r>
          </w:p>
        </w:tc>
        <w:tc>
          <w:tcPr>
            <w:tcW w:w="4678" w:type="dxa"/>
            <w:shd w:val="clear" w:color="auto" w:fill="A6A6A6" w:themeFill="background1" w:themeFillShade="A6"/>
            <w:vAlign w:val="center"/>
          </w:tcPr>
          <w:p w14:paraId="20FFD2BD" w14:textId="77777777" w:rsidR="00F9295A" w:rsidRPr="001A2426" w:rsidRDefault="00F9295A" w:rsidP="007078EC">
            <w:pPr>
              <w:contextualSpacing/>
              <w:rPr>
                <w:rFonts w:cs="Arial"/>
                <w:b/>
                <w:szCs w:val="20"/>
              </w:rPr>
            </w:pPr>
            <w:r w:rsidRPr="001A2426">
              <w:rPr>
                <w:rFonts w:cs="Arial"/>
                <w:b/>
                <w:szCs w:val="20"/>
              </w:rPr>
              <w:t>Members</w:t>
            </w:r>
          </w:p>
        </w:tc>
        <w:tc>
          <w:tcPr>
            <w:tcW w:w="1564" w:type="dxa"/>
            <w:shd w:val="clear" w:color="auto" w:fill="A6A6A6" w:themeFill="background1" w:themeFillShade="A6"/>
            <w:vAlign w:val="center"/>
          </w:tcPr>
          <w:p w14:paraId="11446784" w14:textId="05D4B9D8" w:rsidR="00F9295A" w:rsidRPr="001A2426" w:rsidRDefault="00A478E0" w:rsidP="007078EC">
            <w:pPr>
              <w:contextualSpacing/>
              <w:rPr>
                <w:rFonts w:cs="Arial"/>
                <w:b/>
                <w:szCs w:val="20"/>
              </w:rPr>
            </w:pPr>
            <w:r>
              <w:rPr>
                <w:rFonts w:cs="Arial"/>
                <w:b/>
                <w:szCs w:val="20"/>
              </w:rPr>
              <w:t>No. of m</w:t>
            </w:r>
            <w:r w:rsidR="00F9295A" w:rsidRPr="001A2426">
              <w:rPr>
                <w:rFonts w:cs="Arial"/>
                <w:b/>
                <w:szCs w:val="20"/>
              </w:rPr>
              <w:t>eeting</w:t>
            </w:r>
            <w:r>
              <w:rPr>
                <w:rFonts w:cs="Arial"/>
                <w:b/>
                <w:szCs w:val="20"/>
              </w:rPr>
              <w:t>s</w:t>
            </w:r>
            <w:r w:rsidR="00F9295A" w:rsidRPr="001A2426">
              <w:rPr>
                <w:rFonts w:cs="Arial"/>
                <w:b/>
                <w:szCs w:val="20"/>
              </w:rPr>
              <w:t xml:space="preserve"> </w:t>
            </w:r>
          </w:p>
        </w:tc>
      </w:tr>
      <w:tr w:rsidR="00F9295A" w:rsidRPr="008464AD" w14:paraId="0E4917E9" w14:textId="77777777" w:rsidTr="001254B0">
        <w:trPr>
          <w:jc w:val="center"/>
        </w:trPr>
        <w:tc>
          <w:tcPr>
            <w:tcW w:w="1838" w:type="dxa"/>
            <w:hideMark/>
          </w:tcPr>
          <w:p w14:paraId="328F5D3E" w14:textId="04B2581C" w:rsidR="00F9295A" w:rsidRPr="00A57D9E" w:rsidRDefault="003E7A71">
            <w:pPr>
              <w:suppressLineNumbers/>
              <w:suppressAutoHyphens/>
              <w:textAlignment w:val="baseline"/>
              <w:rPr>
                <w:rFonts w:cs="Arial"/>
                <w:b/>
                <w:szCs w:val="20"/>
              </w:rPr>
            </w:pPr>
            <w:r w:rsidRPr="00A57D9E">
              <w:rPr>
                <w:rFonts w:cs="Arial"/>
                <w:szCs w:val="20"/>
              </w:rPr>
              <w:t>Service Trades Licensing Advisory Panel (</w:t>
            </w:r>
            <w:r w:rsidR="00F9295A" w:rsidRPr="00A57D9E">
              <w:rPr>
                <w:rFonts w:cs="Arial"/>
                <w:szCs w:val="20"/>
              </w:rPr>
              <w:t>STLAP</w:t>
            </w:r>
            <w:r w:rsidRPr="00A57D9E">
              <w:rPr>
                <w:rFonts w:cs="Arial"/>
                <w:szCs w:val="20"/>
              </w:rPr>
              <w:t>)</w:t>
            </w:r>
          </w:p>
        </w:tc>
        <w:tc>
          <w:tcPr>
            <w:tcW w:w="2126" w:type="dxa"/>
          </w:tcPr>
          <w:p w14:paraId="40F8E38C" w14:textId="5487EE60" w:rsidR="00F9295A" w:rsidRPr="004B7EE7" w:rsidRDefault="00F9295A">
            <w:pPr>
              <w:suppressLineNumbers/>
              <w:suppressAutoHyphens/>
              <w:textAlignment w:val="baseline"/>
              <w:rPr>
                <w:rFonts w:cs="Arial"/>
                <w:lang w:val="en-GB"/>
              </w:rPr>
            </w:pPr>
            <w:r w:rsidRPr="2CB0BF71">
              <w:rPr>
                <w:rFonts w:cs="Arial"/>
                <w:lang w:val="en-GB"/>
              </w:rPr>
              <w:t>To help the Commissioner to effectively and efficiently perform the Commissioner’s licensing functions under Part 2, divisions 1</w:t>
            </w:r>
            <w:r w:rsidR="000A2997" w:rsidRPr="2CB0BF71">
              <w:rPr>
                <w:rFonts w:cs="Arial"/>
                <w:i/>
                <w:lang w:val="en-GB"/>
              </w:rPr>
              <w:t>–</w:t>
            </w:r>
            <w:r w:rsidRPr="2CB0BF71">
              <w:rPr>
                <w:rFonts w:cs="Arial"/>
                <w:lang w:val="en-GB"/>
              </w:rPr>
              <w:t>7 of the PD Act</w:t>
            </w:r>
          </w:p>
          <w:p w14:paraId="2561B89D" w14:textId="60D12A47" w:rsidR="00F9295A" w:rsidRPr="00A57D9E" w:rsidRDefault="00F9295A" w:rsidP="00E265B7">
            <w:pPr>
              <w:pStyle w:val="ListParagraph"/>
              <w:suppressLineNumbers/>
              <w:suppressAutoHyphens/>
              <w:ind w:left="170"/>
              <w:contextualSpacing w:val="0"/>
              <w:textAlignment w:val="baseline"/>
              <w:rPr>
                <w:rFonts w:cs="Arial"/>
                <w:szCs w:val="20"/>
              </w:rPr>
            </w:pPr>
          </w:p>
        </w:tc>
        <w:tc>
          <w:tcPr>
            <w:tcW w:w="4678" w:type="dxa"/>
          </w:tcPr>
          <w:p w14:paraId="30F41A14"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Luke Barden (Chair)</w:t>
            </w:r>
          </w:p>
          <w:p w14:paraId="1F995034"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Ernie Kretschmer (Deputy Chair)</w:t>
            </w:r>
          </w:p>
          <w:p w14:paraId="57A693AF" w14:textId="77777777" w:rsidR="00F9295A" w:rsidRPr="00A57D9E" w:rsidRDefault="00F9295A">
            <w:pPr>
              <w:suppressLineNumbers/>
              <w:suppressAutoHyphens/>
              <w:textAlignment w:val="baseline"/>
              <w:rPr>
                <w:rFonts w:cs="Arial"/>
                <w:szCs w:val="20"/>
              </w:rPr>
            </w:pPr>
          </w:p>
          <w:p w14:paraId="2C7C94A4" w14:textId="77777777" w:rsidR="00F9295A" w:rsidRPr="00A57D9E" w:rsidRDefault="00F9295A">
            <w:pPr>
              <w:suppressLineNumbers/>
              <w:suppressAutoHyphens/>
              <w:textAlignment w:val="baseline"/>
              <w:rPr>
                <w:rFonts w:cs="Arial"/>
                <w:i/>
                <w:szCs w:val="20"/>
              </w:rPr>
            </w:pPr>
            <w:r w:rsidRPr="00A57D9E">
              <w:rPr>
                <w:rFonts w:cs="Arial"/>
                <w:i/>
                <w:szCs w:val="20"/>
              </w:rPr>
              <w:t>Voting members:</w:t>
            </w:r>
          </w:p>
          <w:p w14:paraId="425F18EA"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Rechelle Adams</w:t>
            </w:r>
          </w:p>
          <w:p w14:paraId="554BB1D5"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Andrew Evans</w:t>
            </w:r>
          </w:p>
          <w:p w14:paraId="53F216A3"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Kimberly Kerby </w:t>
            </w:r>
          </w:p>
          <w:p w14:paraId="095B5864" w14:textId="77777777" w:rsidR="00F9295A" w:rsidRPr="004B7EE7" w:rsidRDefault="00F9295A" w:rsidP="2CB0BF71">
            <w:pPr>
              <w:pStyle w:val="ListParagraph"/>
              <w:numPr>
                <w:ilvl w:val="0"/>
                <w:numId w:val="4"/>
              </w:numPr>
              <w:suppressLineNumbers/>
              <w:suppressAutoHyphens/>
              <w:ind w:left="170" w:hanging="170"/>
              <w:textAlignment w:val="baseline"/>
              <w:rPr>
                <w:rFonts w:cs="Arial"/>
                <w:lang w:val="en-GB"/>
              </w:rPr>
            </w:pPr>
            <w:r w:rsidRPr="2CB0BF71">
              <w:rPr>
                <w:rFonts w:cs="Arial"/>
                <w:lang w:val="en-GB"/>
              </w:rPr>
              <w:t>James Metassa</w:t>
            </w:r>
          </w:p>
          <w:p w14:paraId="105A9A65"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Steven Micallef</w:t>
            </w:r>
          </w:p>
          <w:p w14:paraId="7EE1D2A7"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Adam Shaw</w:t>
            </w:r>
          </w:p>
          <w:p w14:paraId="385B5930" w14:textId="7DD0C0F2"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Allen Taylor </w:t>
            </w:r>
            <w:r w:rsidRPr="00A57D9E">
              <w:rPr>
                <w:rFonts w:cs="Arial"/>
                <w:i/>
                <w:szCs w:val="20"/>
              </w:rPr>
              <w:t xml:space="preserve">(27 July 2020 </w:t>
            </w:r>
            <w:r w:rsidR="00A478E0">
              <w:rPr>
                <w:rFonts w:cs="Arial"/>
                <w:i/>
                <w:iCs/>
                <w:szCs w:val="22"/>
              </w:rPr>
              <w:t>–</w:t>
            </w:r>
            <w:r w:rsidRPr="00A57D9E">
              <w:rPr>
                <w:rFonts w:cs="Arial"/>
                <w:i/>
                <w:szCs w:val="20"/>
              </w:rPr>
              <w:t xml:space="preserve"> 8 August 2024)</w:t>
            </w:r>
          </w:p>
          <w:p w14:paraId="23795E7B" w14:textId="77777777" w:rsidR="00F9295A" w:rsidRPr="00A57D9E" w:rsidRDefault="00F9295A">
            <w:pPr>
              <w:suppressLineNumbers/>
              <w:suppressAutoHyphens/>
              <w:textAlignment w:val="baseline"/>
              <w:rPr>
                <w:rFonts w:cs="Arial"/>
                <w:szCs w:val="20"/>
              </w:rPr>
            </w:pPr>
          </w:p>
          <w:p w14:paraId="022A5893" w14:textId="77777777" w:rsidR="00F9295A" w:rsidRPr="00A57D9E" w:rsidRDefault="00F9295A">
            <w:pPr>
              <w:suppressLineNumbers/>
              <w:suppressAutoHyphens/>
              <w:textAlignment w:val="baseline"/>
              <w:rPr>
                <w:rFonts w:cs="Arial"/>
                <w:i/>
                <w:szCs w:val="20"/>
              </w:rPr>
            </w:pPr>
            <w:r w:rsidRPr="00A57D9E">
              <w:rPr>
                <w:rFonts w:cs="Arial"/>
                <w:i/>
                <w:szCs w:val="20"/>
              </w:rPr>
              <w:t>Non-voting members:</w:t>
            </w:r>
          </w:p>
          <w:p w14:paraId="2D94A23F"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Chris McCahon, QBCC Assistant Commissioner Regulatory Standards and Support</w:t>
            </w:r>
          </w:p>
          <w:p w14:paraId="3A211020"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Cameron Byram, QBCC Director Licensing Services Branch</w:t>
            </w:r>
          </w:p>
          <w:p w14:paraId="21745FD0"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Jo Wilson, QBCC Principal Plumbing Investigator</w:t>
            </w:r>
          </w:p>
        </w:tc>
        <w:tc>
          <w:tcPr>
            <w:tcW w:w="1564" w:type="dxa"/>
          </w:tcPr>
          <w:p w14:paraId="088C6D48" w14:textId="40E6F165" w:rsidR="00F9295A" w:rsidRPr="00A57D9E" w:rsidRDefault="00FD0F68">
            <w:pPr>
              <w:suppressLineNumbers/>
              <w:suppressAutoHyphens/>
              <w:textAlignment w:val="baseline"/>
              <w:rPr>
                <w:rFonts w:cs="Arial"/>
                <w:szCs w:val="20"/>
              </w:rPr>
            </w:pPr>
            <w:r w:rsidRPr="00A57D9E">
              <w:rPr>
                <w:rFonts w:cs="Arial"/>
                <w:szCs w:val="20"/>
              </w:rPr>
              <w:lastRenderedPageBreak/>
              <w:t>5</w:t>
            </w:r>
          </w:p>
        </w:tc>
      </w:tr>
      <w:tr w:rsidR="00F9295A" w:rsidRPr="008464AD" w14:paraId="58EE003F" w14:textId="77777777" w:rsidTr="001254B0">
        <w:trPr>
          <w:jc w:val="center"/>
        </w:trPr>
        <w:tc>
          <w:tcPr>
            <w:tcW w:w="1838" w:type="dxa"/>
          </w:tcPr>
          <w:p w14:paraId="2526F454" w14:textId="5C83C745" w:rsidR="00F9295A" w:rsidRPr="00A57D9E" w:rsidRDefault="003E7A71">
            <w:pPr>
              <w:suppressLineNumbers/>
              <w:suppressAutoHyphens/>
              <w:textAlignment w:val="baseline"/>
              <w:rPr>
                <w:rFonts w:cs="Arial"/>
                <w:szCs w:val="20"/>
              </w:rPr>
            </w:pPr>
            <w:r w:rsidRPr="00A57D9E">
              <w:rPr>
                <w:rFonts w:cs="Arial"/>
                <w:szCs w:val="20"/>
              </w:rPr>
              <w:t>Notifiable Work Panel (</w:t>
            </w:r>
            <w:r w:rsidR="00F9295A" w:rsidRPr="00A57D9E">
              <w:rPr>
                <w:rFonts w:cs="Arial"/>
                <w:szCs w:val="20"/>
              </w:rPr>
              <w:t>NWP</w:t>
            </w:r>
            <w:r w:rsidRPr="00A57D9E">
              <w:rPr>
                <w:rFonts w:cs="Arial"/>
                <w:szCs w:val="20"/>
              </w:rPr>
              <w:t>)</w:t>
            </w:r>
          </w:p>
        </w:tc>
        <w:tc>
          <w:tcPr>
            <w:tcW w:w="2126" w:type="dxa"/>
          </w:tcPr>
          <w:p w14:paraId="6277F435" w14:textId="4C870F94" w:rsidR="00F9295A" w:rsidRPr="00A57D9E" w:rsidRDefault="00F9295A">
            <w:pPr>
              <w:suppressLineNumbers/>
              <w:suppressAutoHyphens/>
              <w:textAlignment w:val="baseline"/>
              <w:rPr>
                <w:rFonts w:cs="Arial"/>
                <w:szCs w:val="20"/>
              </w:rPr>
            </w:pPr>
            <w:r w:rsidRPr="00A57D9E">
              <w:rPr>
                <w:rFonts w:cs="Arial"/>
                <w:szCs w:val="20"/>
              </w:rPr>
              <w:t>To review and provide recommendations for improvement to the notifiable work framework</w:t>
            </w:r>
          </w:p>
          <w:p w14:paraId="1DDE5CEA" w14:textId="0191F68E" w:rsidR="00F9295A" w:rsidRPr="00A57D9E" w:rsidRDefault="00F9295A" w:rsidP="00E265B7">
            <w:pPr>
              <w:pStyle w:val="ListParagraph"/>
              <w:suppressLineNumbers/>
              <w:suppressAutoHyphens/>
              <w:ind w:left="170"/>
              <w:contextualSpacing w:val="0"/>
              <w:textAlignment w:val="baseline"/>
              <w:rPr>
                <w:rFonts w:cs="Arial"/>
                <w:szCs w:val="20"/>
              </w:rPr>
            </w:pPr>
          </w:p>
        </w:tc>
        <w:tc>
          <w:tcPr>
            <w:tcW w:w="4678" w:type="dxa"/>
          </w:tcPr>
          <w:p w14:paraId="769F35CD" w14:textId="79173FF0"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Geoffrey Woodall (Chair)</w:t>
            </w:r>
          </w:p>
          <w:p w14:paraId="54DFED89" w14:textId="746D90C8"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Greg Moore, STC member (Chair – </w:t>
            </w:r>
            <w:r w:rsidRPr="00A57D9E">
              <w:rPr>
                <w:rFonts w:cs="Arial"/>
                <w:i/>
                <w:szCs w:val="20"/>
              </w:rPr>
              <w:t xml:space="preserve">7 February 2024 </w:t>
            </w:r>
            <w:r w:rsidR="00DC397F">
              <w:rPr>
                <w:rFonts w:cs="Arial"/>
                <w:i/>
                <w:iCs/>
                <w:szCs w:val="22"/>
              </w:rPr>
              <w:t>–</w:t>
            </w:r>
            <w:r w:rsidRPr="00A57D9E">
              <w:rPr>
                <w:rFonts w:cs="Arial"/>
                <w:i/>
                <w:szCs w:val="20"/>
              </w:rPr>
              <w:t xml:space="preserve"> 8 February 2025</w:t>
            </w:r>
            <w:r w:rsidRPr="00A57D9E">
              <w:rPr>
                <w:rFonts w:cs="Arial"/>
                <w:szCs w:val="20"/>
              </w:rPr>
              <w:t>)</w:t>
            </w:r>
          </w:p>
          <w:p w14:paraId="2DA8888C"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Elizabeth Palmer-Bright, QBCC Acting Manager Plumbing and Pools Investigations (Deputy Chair) </w:t>
            </w:r>
          </w:p>
          <w:p w14:paraId="358B2C4A"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Luke Barden </w:t>
            </w:r>
          </w:p>
          <w:p w14:paraId="372EED06"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Andrew Evans</w:t>
            </w:r>
          </w:p>
          <w:p w14:paraId="1E47C65D"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Gregory Gilboy </w:t>
            </w:r>
          </w:p>
          <w:p w14:paraId="4291A6B1"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Gerard Gill </w:t>
            </w:r>
          </w:p>
          <w:p w14:paraId="68B4A406"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Patrick Keough </w:t>
            </w:r>
          </w:p>
          <w:p w14:paraId="75055E35"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Kimberly Kerby </w:t>
            </w:r>
          </w:p>
          <w:p w14:paraId="69FC03E6"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Ernie Kretschmer </w:t>
            </w:r>
          </w:p>
          <w:p w14:paraId="042E7715"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Russell Martin </w:t>
            </w:r>
          </w:p>
          <w:p w14:paraId="059B2305"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Kelvin Mason </w:t>
            </w:r>
          </w:p>
          <w:p w14:paraId="2B9B27BF" w14:textId="77777777" w:rsidR="00F9295A" w:rsidRPr="00A57D9E" w:rsidRDefault="00F9295A" w:rsidP="00BD69F7">
            <w:pPr>
              <w:pStyle w:val="ListParagraph"/>
              <w:numPr>
                <w:ilvl w:val="0"/>
                <w:numId w:val="4"/>
              </w:numPr>
              <w:suppressLineNumbers/>
              <w:suppressAutoHyphens/>
              <w:ind w:left="170" w:hanging="170"/>
              <w:contextualSpacing w:val="0"/>
              <w:textAlignment w:val="baseline"/>
              <w:rPr>
                <w:rFonts w:cs="Arial"/>
                <w:szCs w:val="20"/>
              </w:rPr>
            </w:pPr>
            <w:r w:rsidRPr="00A57D9E">
              <w:rPr>
                <w:rFonts w:cs="Arial"/>
                <w:szCs w:val="20"/>
              </w:rPr>
              <w:t xml:space="preserve">Adam Shaw </w:t>
            </w:r>
          </w:p>
          <w:p w14:paraId="7A509550" w14:textId="77777777" w:rsidR="00F9295A" w:rsidRPr="004B7EE7" w:rsidRDefault="00F9295A" w:rsidP="2CB0BF71">
            <w:pPr>
              <w:pStyle w:val="ListParagraph"/>
              <w:numPr>
                <w:ilvl w:val="0"/>
                <w:numId w:val="4"/>
              </w:numPr>
              <w:suppressLineNumbers/>
              <w:suppressAutoHyphens/>
              <w:ind w:left="170" w:hanging="170"/>
              <w:textAlignment w:val="baseline"/>
              <w:rPr>
                <w:rFonts w:cs="Arial"/>
                <w:lang w:val="en-GB"/>
              </w:rPr>
            </w:pPr>
            <w:r w:rsidRPr="2CB0BF71">
              <w:rPr>
                <w:rFonts w:cs="Arial"/>
                <w:lang w:val="en-GB"/>
              </w:rPr>
              <w:t>Bridget Vietheer, QBCC Manager Plumbing and Pools Investigations</w:t>
            </w:r>
          </w:p>
        </w:tc>
        <w:tc>
          <w:tcPr>
            <w:tcW w:w="1564" w:type="dxa"/>
          </w:tcPr>
          <w:p w14:paraId="007D107B" w14:textId="76C7991D" w:rsidR="00F9295A" w:rsidRPr="00A57D9E" w:rsidRDefault="00FD0F68">
            <w:pPr>
              <w:suppressLineNumbers/>
              <w:suppressAutoHyphens/>
              <w:textAlignment w:val="baseline"/>
              <w:rPr>
                <w:rFonts w:cs="Arial"/>
                <w:szCs w:val="20"/>
              </w:rPr>
            </w:pPr>
            <w:r w:rsidRPr="00A57D9E">
              <w:rPr>
                <w:rFonts w:cs="Arial"/>
                <w:szCs w:val="20"/>
              </w:rPr>
              <w:t>6</w:t>
            </w:r>
          </w:p>
        </w:tc>
      </w:tr>
    </w:tbl>
    <w:p w14:paraId="79627D8D" w14:textId="77777777" w:rsidR="00675C67" w:rsidRDefault="00675C67" w:rsidP="00010D66"/>
    <w:p w14:paraId="2005F168" w14:textId="77777777" w:rsidR="004B53A2" w:rsidRDefault="004B53A2" w:rsidP="00010D66">
      <w:bookmarkStart w:id="244" w:name="_QBCC_people_and"/>
      <w:bookmarkEnd w:id="244"/>
    </w:p>
    <w:p w14:paraId="02BE1A9F" w14:textId="77777777" w:rsidR="004B53A2" w:rsidRDefault="004B53A2">
      <w:pPr>
        <w:rPr>
          <w:rFonts w:eastAsiaTheme="majorEastAsia" w:cstheme="majorBidi"/>
          <w:bCs/>
          <w:sz w:val="32"/>
          <w:szCs w:val="32"/>
        </w:rPr>
      </w:pPr>
      <w:r>
        <w:br w:type="page"/>
      </w:r>
    </w:p>
    <w:p w14:paraId="76AA4B49" w14:textId="53D1ED34" w:rsidR="004979E6" w:rsidRDefault="001C6A9A" w:rsidP="00677AC1">
      <w:pPr>
        <w:pStyle w:val="Heading2"/>
      </w:pPr>
      <w:bookmarkStart w:id="245" w:name="_Toc206493022"/>
      <w:r>
        <w:lastRenderedPageBreak/>
        <w:t>P</w:t>
      </w:r>
      <w:r w:rsidR="005B0558">
        <w:t xml:space="preserve">eople and </w:t>
      </w:r>
      <w:r w:rsidR="00016D8E">
        <w:t>c</w:t>
      </w:r>
      <w:r w:rsidR="005B0558">
        <w:t>ulture</w:t>
      </w:r>
      <w:bookmarkEnd w:id="245"/>
    </w:p>
    <w:p w14:paraId="18C89265" w14:textId="1C6D21C0" w:rsidR="00FF7C1F" w:rsidRDefault="003627E2" w:rsidP="00015DB0">
      <w:pPr>
        <w:spacing w:before="120" w:after="120"/>
      </w:pPr>
      <w:r>
        <w:t xml:space="preserve">The QBCC’s ability to </w:t>
      </w:r>
      <w:r w:rsidR="00954B57">
        <w:t xml:space="preserve">fulfil its </w:t>
      </w:r>
      <w:r w:rsidR="00220CE9">
        <w:t xml:space="preserve">regulatory </w:t>
      </w:r>
      <w:r w:rsidR="00954B57">
        <w:t>respon</w:t>
      </w:r>
      <w:r w:rsidR="000313F4">
        <w:t>sibilities</w:t>
      </w:r>
      <w:r w:rsidR="00457E90">
        <w:t xml:space="preserve"> </w:t>
      </w:r>
      <w:r w:rsidR="000313F4">
        <w:t xml:space="preserve">and </w:t>
      </w:r>
      <w:r w:rsidR="000313F4" w:rsidRPr="000313F4">
        <w:t xml:space="preserve">respond to industry challenges is underpinned by the capability, wellbeing and engagement of its people. In 2024–25, the organisation continued to invest in </w:t>
      </w:r>
      <w:r w:rsidR="00617362">
        <w:t xml:space="preserve">cultivating </w:t>
      </w:r>
      <w:r w:rsidR="00000204">
        <w:t xml:space="preserve">a </w:t>
      </w:r>
      <w:r w:rsidR="000313F4" w:rsidRPr="000313F4">
        <w:t>positiv</w:t>
      </w:r>
      <w:r w:rsidR="002A6767">
        <w:t>e</w:t>
      </w:r>
      <w:r w:rsidR="00386775">
        <w:t xml:space="preserve"> and </w:t>
      </w:r>
      <w:r w:rsidR="000313F4" w:rsidRPr="000313F4">
        <w:t xml:space="preserve">inclusive workplace culture that supports </w:t>
      </w:r>
      <w:r w:rsidR="0063621C">
        <w:t xml:space="preserve">high </w:t>
      </w:r>
      <w:r w:rsidR="00386775">
        <w:t xml:space="preserve">performance, </w:t>
      </w:r>
      <w:r w:rsidR="000313F4" w:rsidRPr="000313F4">
        <w:t xml:space="preserve">professional growth, leadership </w:t>
      </w:r>
      <w:r w:rsidR="0063621C">
        <w:t xml:space="preserve">development </w:t>
      </w:r>
      <w:r w:rsidR="000313F4" w:rsidRPr="000313F4">
        <w:t>and staff wellbeing.</w:t>
      </w:r>
      <w:r w:rsidR="00EB3892">
        <w:t xml:space="preserve"> </w:t>
      </w:r>
      <w:r w:rsidR="00EB3892" w:rsidRPr="009514F1">
        <w:t xml:space="preserve">Guided </w:t>
      </w:r>
      <w:r w:rsidR="00B41BA5">
        <w:t xml:space="preserve">by </w:t>
      </w:r>
      <w:r w:rsidR="00867CFB">
        <w:t xml:space="preserve">the </w:t>
      </w:r>
      <w:r w:rsidR="00BC1FD9">
        <w:t>QBCC</w:t>
      </w:r>
      <w:r w:rsidR="00667706">
        <w:t>’s</w:t>
      </w:r>
      <w:r w:rsidR="00BC1FD9">
        <w:t xml:space="preserve"> </w:t>
      </w:r>
      <w:r w:rsidR="00574DE5">
        <w:t xml:space="preserve">prioritised complex </w:t>
      </w:r>
      <w:r w:rsidR="008647C3">
        <w:t>capabilities</w:t>
      </w:r>
      <w:r w:rsidR="001D6A76">
        <w:t xml:space="preserve">, </w:t>
      </w:r>
      <w:r w:rsidR="009D0C82">
        <w:t xml:space="preserve">the </w:t>
      </w:r>
      <w:r w:rsidR="0034590C">
        <w:t>organisation</w:t>
      </w:r>
      <w:r w:rsidR="009D0C82">
        <w:t xml:space="preserve"> </w:t>
      </w:r>
      <w:r w:rsidR="00C87FD2">
        <w:t xml:space="preserve">prioritised </w:t>
      </w:r>
      <w:r w:rsidR="007E16A7" w:rsidRPr="00E67B61">
        <w:t>strengthening workforce resilience</w:t>
      </w:r>
      <w:r w:rsidR="009468B0" w:rsidRPr="00E67B61">
        <w:t xml:space="preserve"> </w:t>
      </w:r>
      <w:r w:rsidR="00190609" w:rsidRPr="00E67B61">
        <w:t>t</w:t>
      </w:r>
      <w:r w:rsidR="00190609">
        <w:t>hrough targeted training</w:t>
      </w:r>
      <w:r w:rsidR="00DF5512">
        <w:t xml:space="preserve"> </w:t>
      </w:r>
      <w:r w:rsidR="001F6EE8">
        <w:t xml:space="preserve">and </w:t>
      </w:r>
      <w:r w:rsidR="00C87FD2">
        <w:t xml:space="preserve">by </w:t>
      </w:r>
      <w:r w:rsidR="00235DCF">
        <w:t>cultivating</w:t>
      </w:r>
      <w:r w:rsidR="007E16A7" w:rsidRPr="007E16A7">
        <w:t xml:space="preserve"> a culture </w:t>
      </w:r>
      <w:r w:rsidR="00BA11DF">
        <w:t xml:space="preserve">that supports </w:t>
      </w:r>
      <w:r w:rsidR="0068003A">
        <w:t xml:space="preserve">organisational success and </w:t>
      </w:r>
      <w:r w:rsidR="003F67CC">
        <w:t>positive</w:t>
      </w:r>
      <w:r w:rsidR="0068003A">
        <w:t xml:space="preserve"> customer</w:t>
      </w:r>
      <w:r w:rsidR="003F67CC">
        <w:t xml:space="preserve"> outcome</w:t>
      </w:r>
      <w:r w:rsidR="0068003A">
        <w:t>s</w:t>
      </w:r>
      <w:r w:rsidR="003A3C24">
        <w:t>.</w:t>
      </w:r>
      <w:r w:rsidR="00B30D16">
        <w:t xml:space="preserve"> </w:t>
      </w:r>
    </w:p>
    <w:p w14:paraId="00985CA4" w14:textId="1B8D527D" w:rsidR="00AC3478" w:rsidRPr="005A2D83" w:rsidRDefault="00F449A2" w:rsidP="00015DB0">
      <w:pPr>
        <w:spacing w:before="120" w:after="120"/>
      </w:pPr>
      <w:r>
        <w:t>T</w:t>
      </w:r>
      <w:r w:rsidR="00B92F40">
        <w:t>hroughout the year</w:t>
      </w:r>
      <w:r w:rsidR="0065531A">
        <w:t xml:space="preserve">, a range of initiatives </w:t>
      </w:r>
      <w:r w:rsidR="002B4570">
        <w:t xml:space="preserve">were </w:t>
      </w:r>
      <w:r w:rsidR="001D140E">
        <w:t>delivered</w:t>
      </w:r>
      <w:r w:rsidR="00BE1A1D">
        <w:t xml:space="preserve"> to enhance </w:t>
      </w:r>
      <w:r w:rsidR="00DD3164">
        <w:t>employee</w:t>
      </w:r>
      <w:r w:rsidR="003D6BAA">
        <w:t xml:space="preserve"> </w:t>
      </w:r>
      <w:r w:rsidR="001F4456">
        <w:t>engagement</w:t>
      </w:r>
      <w:r w:rsidR="00F25DE8">
        <w:t xml:space="preserve">, </w:t>
      </w:r>
      <w:r w:rsidR="00863601">
        <w:t>build</w:t>
      </w:r>
      <w:r w:rsidR="00BB4902">
        <w:t xml:space="preserve"> </w:t>
      </w:r>
      <w:r w:rsidR="00791252">
        <w:t xml:space="preserve">leadership </w:t>
      </w:r>
      <w:r w:rsidR="00BB4902">
        <w:t>capability</w:t>
      </w:r>
      <w:r w:rsidR="00B83909">
        <w:t xml:space="preserve"> </w:t>
      </w:r>
      <w:r w:rsidR="00FF7C1F">
        <w:t xml:space="preserve">and capacity, as well as </w:t>
      </w:r>
      <w:r w:rsidR="00F25DE8">
        <w:t xml:space="preserve">promote </w:t>
      </w:r>
      <w:r w:rsidR="00E73481">
        <w:t>me</w:t>
      </w:r>
      <w:r w:rsidR="00E86C3D">
        <w:t xml:space="preserve">ntal </w:t>
      </w:r>
      <w:r w:rsidR="00C42254">
        <w:t>health and wellbeing</w:t>
      </w:r>
      <w:r w:rsidR="004C707D">
        <w:t xml:space="preserve">. </w:t>
      </w:r>
      <w:r w:rsidR="00E73481">
        <w:t>W</w:t>
      </w:r>
      <w:r w:rsidR="004C707D">
        <w:t xml:space="preserve">orkforce planning and capability development </w:t>
      </w:r>
      <w:r w:rsidR="00E73481">
        <w:t xml:space="preserve">also remained </w:t>
      </w:r>
      <w:r w:rsidR="000F22A3">
        <w:t>key</w:t>
      </w:r>
      <w:r w:rsidR="00E73481">
        <w:t xml:space="preserve"> priorit</w:t>
      </w:r>
      <w:r w:rsidR="000F22A3">
        <w:t>ies</w:t>
      </w:r>
      <w:r w:rsidR="00204AF8">
        <w:t xml:space="preserve"> to </w:t>
      </w:r>
      <w:r w:rsidR="00DD00A1">
        <w:t>ensur</w:t>
      </w:r>
      <w:r w:rsidR="00204AF8">
        <w:t xml:space="preserve">e </w:t>
      </w:r>
      <w:r w:rsidR="00DD00A1">
        <w:t xml:space="preserve">the organisation is </w:t>
      </w:r>
      <w:r w:rsidR="00381764">
        <w:t xml:space="preserve">well-positioned </w:t>
      </w:r>
      <w:r w:rsidR="00A50806">
        <w:t xml:space="preserve">to meet future demands </w:t>
      </w:r>
      <w:r w:rsidR="002C6BFF">
        <w:t>and regulatory challenges</w:t>
      </w:r>
      <w:r w:rsidR="004B1427">
        <w:t>.</w:t>
      </w:r>
      <w:r w:rsidR="008D6A0E">
        <w:t xml:space="preserve"> </w:t>
      </w:r>
      <w:r w:rsidR="008D6A0E" w:rsidRPr="008D6A0E">
        <w:t xml:space="preserve">These </w:t>
      </w:r>
      <w:r w:rsidR="003C70FA">
        <w:t xml:space="preserve">ongoing </w:t>
      </w:r>
      <w:r w:rsidR="008D6A0E" w:rsidRPr="008D6A0E">
        <w:t xml:space="preserve">efforts have helped </w:t>
      </w:r>
      <w:r w:rsidR="00D643EA">
        <w:t>equip</w:t>
      </w:r>
      <w:r w:rsidR="008D6A0E">
        <w:t xml:space="preserve"> </w:t>
      </w:r>
      <w:r w:rsidR="00DB55CF">
        <w:t xml:space="preserve">QBCC </w:t>
      </w:r>
      <w:r w:rsidR="008D6A0E">
        <w:t xml:space="preserve">staff </w:t>
      </w:r>
      <w:r w:rsidR="00501CE4">
        <w:t xml:space="preserve">to </w:t>
      </w:r>
      <w:r w:rsidR="00F47157">
        <w:t xml:space="preserve">better </w:t>
      </w:r>
      <w:r w:rsidR="00501CE4">
        <w:t>adapt</w:t>
      </w:r>
      <w:r w:rsidR="00DB55CF">
        <w:t xml:space="preserve"> </w:t>
      </w:r>
      <w:r w:rsidR="008D6A0E" w:rsidRPr="008D6A0E">
        <w:t xml:space="preserve">and </w:t>
      </w:r>
      <w:r w:rsidR="00501CE4">
        <w:t xml:space="preserve">continue </w:t>
      </w:r>
      <w:r w:rsidR="008D6A0E" w:rsidRPr="008D6A0E">
        <w:t>deliver</w:t>
      </w:r>
      <w:r w:rsidR="00501CE4">
        <w:t>ing</w:t>
      </w:r>
      <w:r w:rsidR="008D6A0E" w:rsidRPr="008D6A0E">
        <w:t xml:space="preserve"> </w:t>
      </w:r>
      <w:r w:rsidR="00BC74EC">
        <w:t xml:space="preserve">high-quality </w:t>
      </w:r>
      <w:r w:rsidR="00DB55CF">
        <w:t xml:space="preserve">regulatory </w:t>
      </w:r>
      <w:r w:rsidR="008D6A0E" w:rsidRPr="008D6A0E">
        <w:t xml:space="preserve">services that </w:t>
      </w:r>
      <w:r w:rsidR="00DB55CF">
        <w:t xml:space="preserve">reflect </w:t>
      </w:r>
      <w:r w:rsidR="008D6A0E" w:rsidRPr="008D6A0E">
        <w:t xml:space="preserve">the </w:t>
      </w:r>
      <w:r w:rsidR="00501CE4">
        <w:t xml:space="preserve">evolving </w:t>
      </w:r>
      <w:r w:rsidR="00B92D2E">
        <w:t xml:space="preserve">expectations </w:t>
      </w:r>
      <w:r w:rsidR="008D6A0E" w:rsidRPr="008D6A0E">
        <w:t>of Queensland’s building and construction industry.</w:t>
      </w:r>
    </w:p>
    <w:p w14:paraId="28641673" w14:textId="7B047552" w:rsidR="006B7F7C" w:rsidRDefault="00E16668" w:rsidP="005A2D83">
      <w:pPr>
        <w:pStyle w:val="Heading3"/>
        <w:rPr>
          <w:rFonts w:cs="Arial"/>
          <w:szCs w:val="22"/>
        </w:rPr>
      </w:pPr>
      <w:bookmarkStart w:id="246" w:name="_Workforce_profile"/>
      <w:bookmarkEnd w:id="246"/>
      <w:r w:rsidRPr="00F36A2D">
        <w:t>Workforce profile</w:t>
      </w:r>
      <w:r w:rsidR="0005107C" w:rsidRPr="00F36A2D">
        <w:t xml:space="preserve"> </w:t>
      </w:r>
      <w:r w:rsidR="0005107C">
        <w:t xml:space="preserve"> </w:t>
      </w:r>
    </w:p>
    <w:p w14:paraId="295682F3" w14:textId="1B179B13" w:rsidR="00943533" w:rsidRDefault="001F73E6" w:rsidP="00015DB0">
      <w:pPr>
        <w:spacing w:before="120" w:after="120"/>
        <w:rPr>
          <w:rFonts w:cs="Arial"/>
        </w:rPr>
      </w:pPr>
      <w:r>
        <w:rPr>
          <w:rFonts w:cs="Arial"/>
        </w:rPr>
        <w:t xml:space="preserve">Understanding the </w:t>
      </w:r>
      <w:r w:rsidR="005E3544">
        <w:rPr>
          <w:rFonts w:cs="Arial"/>
        </w:rPr>
        <w:t xml:space="preserve">QBCC workforce </w:t>
      </w:r>
      <w:r w:rsidR="002D6A44">
        <w:rPr>
          <w:rFonts w:cs="Arial"/>
        </w:rPr>
        <w:t>composition helps to</w:t>
      </w:r>
      <w:r w:rsidR="005E3544">
        <w:rPr>
          <w:rFonts w:cs="Arial"/>
        </w:rPr>
        <w:t xml:space="preserve"> </w:t>
      </w:r>
      <w:r w:rsidR="008775E1" w:rsidRPr="008775E1">
        <w:rPr>
          <w:rFonts w:cs="Arial"/>
        </w:rPr>
        <w:t xml:space="preserve">support workforce planning and ensure the </w:t>
      </w:r>
      <w:r w:rsidR="00DC480B">
        <w:rPr>
          <w:rFonts w:cs="Arial"/>
        </w:rPr>
        <w:t xml:space="preserve">organisation </w:t>
      </w:r>
      <w:r w:rsidR="008775E1" w:rsidRPr="008775E1">
        <w:rPr>
          <w:rFonts w:cs="Arial"/>
        </w:rPr>
        <w:t>is equipped with the right mix of skills and experience to meet current and future demands.</w:t>
      </w:r>
      <w:r w:rsidR="00DC480B">
        <w:rPr>
          <w:rFonts w:cs="Arial"/>
        </w:rPr>
        <w:t xml:space="preserve"> </w:t>
      </w:r>
      <w:r w:rsidR="00C62F59">
        <w:rPr>
          <w:rFonts w:cs="Arial"/>
        </w:rPr>
        <w:fldChar w:fldCharType="begin"/>
      </w:r>
      <w:r w:rsidR="00C62F59">
        <w:rPr>
          <w:rFonts w:cs="Arial"/>
        </w:rPr>
        <w:instrText xml:space="preserve"> REF _Ref201912431 \h </w:instrText>
      </w:r>
      <w:r w:rsidR="00C62F59">
        <w:rPr>
          <w:rFonts w:cs="Arial"/>
        </w:rPr>
      </w:r>
      <w:r w:rsidR="00C62F59">
        <w:rPr>
          <w:rFonts w:cs="Arial"/>
        </w:rPr>
        <w:fldChar w:fldCharType="separate"/>
      </w:r>
      <w:r w:rsidR="00C62F59">
        <w:rPr>
          <w:rFonts w:cs="Arial"/>
        </w:rPr>
        <w:fldChar w:fldCharType="end"/>
      </w:r>
      <w:r w:rsidR="00397973" w:rsidRPr="00397973">
        <w:rPr>
          <w:rFonts w:cs="Arial"/>
        </w:rPr>
        <w:t xml:space="preserve"> </w:t>
      </w:r>
      <w:r w:rsidR="00C0397F">
        <w:rPr>
          <w:rFonts w:cs="Arial"/>
        </w:rPr>
        <w:fldChar w:fldCharType="begin"/>
      </w:r>
      <w:r w:rsidR="00C0397F">
        <w:rPr>
          <w:rFonts w:cs="Arial"/>
        </w:rPr>
        <w:instrText xml:space="preserve"> REF _Ref204954995 \h </w:instrText>
      </w:r>
      <w:r w:rsidR="00C0397F">
        <w:rPr>
          <w:rFonts w:cs="Arial"/>
        </w:rPr>
      </w:r>
      <w:r w:rsidR="00C0397F">
        <w:rPr>
          <w:rFonts w:cs="Arial"/>
        </w:rPr>
        <w:fldChar w:fldCharType="separate"/>
      </w:r>
      <w:r w:rsidR="00C0397F">
        <w:t>Table 37</w:t>
      </w:r>
      <w:r w:rsidR="00C0397F">
        <w:rPr>
          <w:rFonts w:cs="Arial"/>
        </w:rPr>
        <w:fldChar w:fldCharType="end"/>
      </w:r>
      <w:r w:rsidR="00C0397F">
        <w:rPr>
          <w:rFonts w:cs="Arial"/>
        </w:rPr>
        <w:t xml:space="preserve"> </w:t>
      </w:r>
      <w:r w:rsidR="00397973" w:rsidRPr="00397973">
        <w:rPr>
          <w:rFonts w:cs="Arial"/>
        </w:rPr>
        <w:t xml:space="preserve">provides an </w:t>
      </w:r>
      <w:r w:rsidR="00D06A2C">
        <w:rPr>
          <w:rFonts w:cs="Arial"/>
        </w:rPr>
        <w:t xml:space="preserve">overview of the QBCC workforce composition </w:t>
      </w:r>
      <w:r w:rsidR="006D69D3" w:rsidRPr="002F22FB">
        <w:rPr>
          <w:rFonts w:cs="Arial"/>
        </w:rPr>
        <w:t>as recorded</w:t>
      </w:r>
      <w:r w:rsidR="00AB64AB">
        <w:rPr>
          <w:rFonts w:cs="Arial"/>
        </w:rPr>
        <w:t xml:space="preserve"> in the QBCC payroll system</w:t>
      </w:r>
      <w:r w:rsidR="006D69D3">
        <w:rPr>
          <w:rFonts w:cs="Arial"/>
        </w:rPr>
        <w:t xml:space="preserve"> on 30 </w:t>
      </w:r>
      <w:r w:rsidR="00EC5E62">
        <w:rPr>
          <w:rFonts w:cs="Arial"/>
        </w:rPr>
        <w:t>June 2025</w:t>
      </w:r>
      <w:r w:rsidR="00441B69">
        <w:rPr>
          <w:rFonts w:cs="Arial"/>
        </w:rPr>
        <w:t xml:space="preserve">, highlighting employee </w:t>
      </w:r>
      <w:r w:rsidR="007A369A">
        <w:rPr>
          <w:rFonts w:cs="Arial"/>
        </w:rPr>
        <w:t>demographics</w:t>
      </w:r>
      <w:r w:rsidR="000C12BF">
        <w:rPr>
          <w:rFonts w:cs="Arial"/>
        </w:rPr>
        <w:t xml:space="preserve">, </w:t>
      </w:r>
      <w:r w:rsidR="00397973" w:rsidRPr="00397973">
        <w:rPr>
          <w:rFonts w:cs="Arial"/>
        </w:rPr>
        <w:t>diversity</w:t>
      </w:r>
      <w:r w:rsidR="002130E6">
        <w:rPr>
          <w:rFonts w:cs="Arial"/>
        </w:rPr>
        <w:t xml:space="preserve"> </w:t>
      </w:r>
      <w:r w:rsidR="00397973" w:rsidRPr="00397973">
        <w:rPr>
          <w:rFonts w:cs="Arial"/>
        </w:rPr>
        <w:t xml:space="preserve">and </w:t>
      </w:r>
      <w:r w:rsidR="00412DD1">
        <w:rPr>
          <w:rFonts w:cs="Arial"/>
        </w:rPr>
        <w:t xml:space="preserve">women in </w:t>
      </w:r>
      <w:r w:rsidR="00397973" w:rsidRPr="00397973">
        <w:rPr>
          <w:rFonts w:cs="Arial"/>
        </w:rPr>
        <w:t>leadership.</w:t>
      </w:r>
    </w:p>
    <w:p w14:paraId="2D775DC2" w14:textId="2A9F2E90" w:rsidR="00943533" w:rsidRPr="00C62F59" w:rsidRDefault="00C62F59" w:rsidP="00015DB0">
      <w:pPr>
        <w:pStyle w:val="Caption"/>
        <w:keepNext/>
        <w:spacing w:before="120" w:after="120"/>
      </w:pPr>
      <w:bookmarkStart w:id="247" w:name="_Ref204954995"/>
      <w:bookmarkStart w:id="248" w:name="_Ref201912431"/>
      <w:bookmarkStart w:id="249" w:name="_Toc202872068"/>
      <w:bookmarkStart w:id="250" w:name="_Toc202872688"/>
      <w:r>
        <w:t xml:space="preserve">Table </w:t>
      </w:r>
      <w:r w:rsidR="00617483">
        <w:t>37</w:t>
      </w:r>
      <w:bookmarkEnd w:id="247"/>
      <w:r>
        <w:fldChar w:fldCharType="begin"/>
      </w:r>
      <w:r>
        <w:instrText>SEQ Table \* ARABIC</w:instrText>
      </w:r>
      <w:r>
        <w:fldChar w:fldCharType="separate"/>
      </w:r>
      <w:r>
        <w:fldChar w:fldCharType="end"/>
      </w:r>
      <w:bookmarkEnd w:id="248"/>
      <w:r w:rsidRPr="008833DE">
        <w:t xml:space="preserve">: </w:t>
      </w:r>
      <w:bookmarkStart w:id="251" w:name="_Ref202873652"/>
      <w:r w:rsidR="00412DD1">
        <w:t>Employee demographics, diversity</w:t>
      </w:r>
      <w:r w:rsidR="00403C65">
        <w:t xml:space="preserve"> and leadership</w:t>
      </w:r>
      <w:r w:rsidRPr="008833DE">
        <w:t xml:space="preserve"> </w:t>
      </w:r>
      <w:r w:rsidR="002F4128">
        <w:t xml:space="preserve">roles </w:t>
      </w:r>
      <w:r w:rsidRPr="008833DE">
        <w:t>in 2024–25</w:t>
      </w:r>
      <w:bookmarkEnd w:id="249"/>
      <w:bookmarkEnd w:id="250"/>
      <w:bookmarkEnd w:id="251"/>
    </w:p>
    <w:tbl>
      <w:tblPr>
        <w:tblStyle w:val="TableGrid"/>
        <w:tblW w:w="10065" w:type="dxa"/>
        <w:tblInd w:w="-5" w:type="dxa"/>
        <w:tblLayout w:type="fixed"/>
        <w:tblLook w:val="04A0" w:firstRow="1" w:lastRow="0" w:firstColumn="1" w:lastColumn="0" w:noHBand="0" w:noVBand="1"/>
      </w:tblPr>
      <w:tblGrid>
        <w:gridCol w:w="3355"/>
        <w:gridCol w:w="3355"/>
        <w:gridCol w:w="3355"/>
      </w:tblGrid>
      <w:tr w:rsidR="00EC1A8A" w:rsidRPr="00CF18BC" w14:paraId="59442F78" w14:textId="77777777" w:rsidTr="005327AD">
        <w:tc>
          <w:tcPr>
            <w:tcW w:w="3355" w:type="dxa"/>
            <w:shd w:val="clear" w:color="auto" w:fill="A6A6A6" w:themeFill="background1" w:themeFillShade="A6"/>
            <w:vAlign w:val="center"/>
          </w:tcPr>
          <w:p w14:paraId="5F86DF85" w14:textId="77777777" w:rsidR="005708FD" w:rsidRPr="004A2C19" w:rsidRDefault="005708FD" w:rsidP="007B040A">
            <w:pPr>
              <w:rPr>
                <w:rFonts w:cs="Arial"/>
                <w:b/>
                <w:szCs w:val="22"/>
              </w:rPr>
            </w:pPr>
            <w:r w:rsidRPr="004A2C19">
              <w:rPr>
                <w:rFonts w:cs="Arial"/>
                <w:b/>
                <w:szCs w:val="22"/>
              </w:rPr>
              <w:t>Gender</w:t>
            </w:r>
          </w:p>
        </w:tc>
        <w:tc>
          <w:tcPr>
            <w:tcW w:w="3355" w:type="dxa"/>
            <w:shd w:val="clear" w:color="auto" w:fill="A6A6A6" w:themeFill="background1" w:themeFillShade="A6"/>
            <w:vAlign w:val="center"/>
          </w:tcPr>
          <w:p w14:paraId="4C190254" w14:textId="7C50221A" w:rsidR="005708FD" w:rsidRPr="00CF18BC" w:rsidRDefault="00094FA8" w:rsidP="007B040A">
            <w:pPr>
              <w:rPr>
                <w:rFonts w:cs="Arial"/>
                <w:b/>
                <w:szCs w:val="22"/>
              </w:rPr>
            </w:pPr>
            <w:r>
              <w:rPr>
                <w:rFonts w:cs="Arial"/>
                <w:b/>
                <w:szCs w:val="22"/>
              </w:rPr>
              <w:t xml:space="preserve">Headcount </w:t>
            </w:r>
          </w:p>
        </w:tc>
        <w:tc>
          <w:tcPr>
            <w:tcW w:w="3355" w:type="dxa"/>
            <w:shd w:val="clear" w:color="auto" w:fill="A6A6A6" w:themeFill="background1" w:themeFillShade="A6"/>
            <w:vAlign w:val="center"/>
          </w:tcPr>
          <w:p w14:paraId="6C6E29BD" w14:textId="73102972" w:rsidR="005708FD" w:rsidRPr="00CF18BC" w:rsidRDefault="00543CA6" w:rsidP="007B040A">
            <w:pPr>
              <w:rPr>
                <w:rFonts w:cs="Arial"/>
                <w:b/>
                <w:szCs w:val="22"/>
              </w:rPr>
            </w:pPr>
            <w:r>
              <w:rPr>
                <w:rFonts w:cs="Arial"/>
                <w:b/>
                <w:szCs w:val="22"/>
              </w:rPr>
              <w:t>T</w:t>
            </w:r>
            <w:r w:rsidR="005708FD" w:rsidRPr="004A2C19">
              <w:rPr>
                <w:rFonts w:cs="Arial"/>
                <w:b/>
                <w:szCs w:val="22"/>
              </w:rPr>
              <w:t>otal workforce</w:t>
            </w:r>
            <w:r w:rsidR="00AF47DE">
              <w:rPr>
                <w:rFonts w:cs="Arial"/>
                <w:b/>
                <w:szCs w:val="22"/>
              </w:rPr>
              <w:t xml:space="preserve"> by headcount</w:t>
            </w:r>
            <w:r w:rsidR="00D55F67">
              <w:rPr>
                <w:rFonts w:cs="Arial"/>
                <w:b/>
                <w:szCs w:val="22"/>
              </w:rPr>
              <w:t xml:space="preserve"> (</w:t>
            </w:r>
            <w:r w:rsidR="000D1B29">
              <w:rPr>
                <w:rFonts w:cs="Arial"/>
                <w:b/>
                <w:szCs w:val="22"/>
              </w:rPr>
              <w:t>%)</w:t>
            </w:r>
          </w:p>
        </w:tc>
      </w:tr>
      <w:tr w:rsidR="006213A3" w:rsidRPr="001710E8" w14:paraId="328DEC00" w14:textId="77777777" w:rsidTr="005E46C9">
        <w:trPr>
          <w:trHeight w:val="300"/>
        </w:trPr>
        <w:tc>
          <w:tcPr>
            <w:tcW w:w="3355" w:type="dxa"/>
            <w:vAlign w:val="center"/>
          </w:tcPr>
          <w:p w14:paraId="27DDF985" w14:textId="0DB94816" w:rsidR="005708FD" w:rsidRPr="004A2C19" w:rsidRDefault="005708FD" w:rsidP="007B040A">
            <w:pPr>
              <w:rPr>
                <w:rFonts w:cs="Arial"/>
              </w:rPr>
            </w:pPr>
            <w:r w:rsidRPr="004A2C19">
              <w:rPr>
                <w:rFonts w:cs="Arial"/>
              </w:rPr>
              <w:t>M</w:t>
            </w:r>
            <w:r w:rsidR="003163E2">
              <w:rPr>
                <w:rFonts w:cs="Arial"/>
              </w:rPr>
              <w:t>e</w:t>
            </w:r>
            <w:r w:rsidRPr="004A2C19">
              <w:rPr>
                <w:rFonts w:cs="Arial"/>
              </w:rPr>
              <w:t>n</w:t>
            </w:r>
          </w:p>
        </w:tc>
        <w:tc>
          <w:tcPr>
            <w:tcW w:w="3355" w:type="dxa"/>
            <w:vAlign w:val="center"/>
          </w:tcPr>
          <w:p w14:paraId="09BA1E83" w14:textId="5910C271" w:rsidR="005708FD" w:rsidRPr="00D55F67" w:rsidRDefault="026740B6" w:rsidP="007B040A">
            <w:pPr>
              <w:rPr>
                <w:rFonts w:cs="Arial"/>
              </w:rPr>
            </w:pPr>
            <w:r w:rsidRPr="00D55F67">
              <w:rPr>
                <w:rFonts w:cs="Arial"/>
              </w:rPr>
              <w:t>314</w:t>
            </w:r>
          </w:p>
        </w:tc>
        <w:tc>
          <w:tcPr>
            <w:tcW w:w="3355" w:type="dxa"/>
            <w:vAlign w:val="center"/>
          </w:tcPr>
          <w:p w14:paraId="44314E19" w14:textId="18167F62" w:rsidR="005708FD" w:rsidRPr="00D55F67" w:rsidRDefault="359AC83C" w:rsidP="007B040A">
            <w:pPr>
              <w:spacing w:line="259" w:lineRule="auto"/>
              <w:rPr>
                <w:rFonts w:cs="Arial"/>
              </w:rPr>
            </w:pPr>
            <w:r w:rsidRPr="00D55F67">
              <w:rPr>
                <w:rFonts w:cs="Arial"/>
              </w:rPr>
              <w:t>45.4</w:t>
            </w:r>
          </w:p>
        </w:tc>
      </w:tr>
      <w:tr w:rsidR="006213A3" w:rsidRPr="001710E8" w14:paraId="725481FA" w14:textId="77777777" w:rsidTr="005E46C9">
        <w:trPr>
          <w:trHeight w:val="300"/>
        </w:trPr>
        <w:tc>
          <w:tcPr>
            <w:tcW w:w="3355" w:type="dxa"/>
            <w:vAlign w:val="center"/>
          </w:tcPr>
          <w:p w14:paraId="09A38A74" w14:textId="180F2A78" w:rsidR="005708FD" w:rsidRPr="004A2C19" w:rsidRDefault="005708FD" w:rsidP="007B040A">
            <w:pPr>
              <w:rPr>
                <w:rFonts w:cs="Arial"/>
              </w:rPr>
            </w:pPr>
            <w:r w:rsidRPr="004A2C19">
              <w:rPr>
                <w:rFonts w:cs="Arial"/>
              </w:rPr>
              <w:t>Wom</w:t>
            </w:r>
            <w:r w:rsidR="00DA4F33">
              <w:rPr>
                <w:rFonts w:cs="Arial"/>
              </w:rPr>
              <w:t>e</w:t>
            </w:r>
            <w:r w:rsidRPr="004A2C19">
              <w:rPr>
                <w:rFonts w:cs="Arial"/>
              </w:rPr>
              <w:t>n</w:t>
            </w:r>
          </w:p>
        </w:tc>
        <w:tc>
          <w:tcPr>
            <w:tcW w:w="3355" w:type="dxa"/>
            <w:vAlign w:val="center"/>
          </w:tcPr>
          <w:p w14:paraId="62033E6F" w14:textId="751F94F7" w:rsidR="005708FD" w:rsidRPr="00D55F67" w:rsidRDefault="6B5CC758" w:rsidP="007B040A">
            <w:pPr>
              <w:rPr>
                <w:rFonts w:cs="Arial"/>
              </w:rPr>
            </w:pPr>
            <w:r w:rsidRPr="00D55F67">
              <w:rPr>
                <w:rFonts w:cs="Arial"/>
              </w:rPr>
              <w:t>378</w:t>
            </w:r>
          </w:p>
        </w:tc>
        <w:tc>
          <w:tcPr>
            <w:tcW w:w="3355" w:type="dxa"/>
            <w:vAlign w:val="center"/>
          </w:tcPr>
          <w:p w14:paraId="317F0E4E" w14:textId="6F47F196" w:rsidR="005708FD" w:rsidRPr="00D55F67" w:rsidRDefault="307D55D5" w:rsidP="007B040A">
            <w:pPr>
              <w:rPr>
                <w:rFonts w:cs="Arial"/>
              </w:rPr>
            </w:pPr>
            <w:r w:rsidRPr="00D55F67">
              <w:rPr>
                <w:rFonts w:cs="Arial"/>
              </w:rPr>
              <w:t>54.6</w:t>
            </w:r>
          </w:p>
        </w:tc>
      </w:tr>
      <w:tr w:rsidR="006213A3" w:rsidRPr="001710E8" w14:paraId="57108E9F" w14:textId="77777777" w:rsidTr="005E46C9">
        <w:trPr>
          <w:trHeight w:val="300"/>
        </w:trPr>
        <w:tc>
          <w:tcPr>
            <w:tcW w:w="3355" w:type="dxa"/>
            <w:vAlign w:val="center"/>
          </w:tcPr>
          <w:p w14:paraId="2F0B4424" w14:textId="77777777" w:rsidR="005708FD" w:rsidRPr="004A2C19" w:rsidRDefault="005708FD" w:rsidP="007B040A">
            <w:pPr>
              <w:rPr>
                <w:rFonts w:cs="Arial"/>
              </w:rPr>
            </w:pPr>
            <w:r w:rsidRPr="004A2C19">
              <w:rPr>
                <w:rFonts w:cs="Arial"/>
              </w:rPr>
              <w:t>Non-binary</w:t>
            </w:r>
          </w:p>
        </w:tc>
        <w:tc>
          <w:tcPr>
            <w:tcW w:w="3355" w:type="dxa"/>
            <w:vAlign w:val="center"/>
          </w:tcPr>
          <w:p w14:paraId="5E41D758" w14:textId="33C1ABDF" w:rsidR="005708FD" w:rsidRPr="00D55F67" w:rsidRDefault="262662CF" w:rsidP="007B040A">
            <w:pPr>
              <w:rPr>
                <w:rFonts w:cs="Arial"/>
              </w:rPr>
            </w:pPr>
            <w:r w:rsidRPr="00D55F67">
              <w:rPr>
                <w:rFonts w:cs="Arial"/>
              </w:rPr>
              <w:t>0</w:t>
            </w:r>
          </w:p>
        </w:tc>
        <w:tc>
          <w:tcPr>
            <w:tcW w:w="3355" w:type="dxa"/>
            <w:vAlign w:val="center"/>
          </w:tcPr>
          <w:p w14:paraId="1EEF22A3" w14:textId="360BF929" w:rsidR="005708FD" w:rsidRPr="00D55F67" w:rsidRDefault="7AE43D69" w:rsidP="007B040A">
            <w:pPr>
              <w:rPr>
                <w:rFonts w:cs="Arial"/>
              </w:rPr>
            </w:pPr>
            <w:r w:rsidRPr="00D55F67">
              <w:rPr>
                <w:rFonts w:cs="Arial"/>
              </w:rPr>
              <w:t>0</w:t>
            </w:r>
          </w:p>
        </w:tc>
      </w:tr>
      <w:tr w:rsidR="00EC1A8A" w:rsidRPr="00DC16F3" w14:paraId="1A30508D" w14:textId="77777777" w:rsidTr="005327AD">
        <w:tc>
          <w:tcPr>
            <w:tcW w:w="3355" w:type="dxa"/>
            <w:shd w:val="clear" w:color="auto" w:fill="A6A6A6" w:themeFill="background1" w:themeFillShade="A6"/>
            <w:vAlign w:val="center"/>
          </w:tcPr>
          <w:p w14:paraId="313C4793" w14:textId="378BECC3" w:rsidR="005708FD" w:rsidRPr="004A2C19" w:rsidRDefault="005708FD" w:rsidP="007B040A">
            <w:pPr>
              <w:rPr>
                <w:rFonts w:cs="Arial"/>
                <w:b/>
                <w:szCs w:val="22"/>
              </w:rPr>
            </w:pPr>
            <w:r w:rsidRPr="004A2C19">
              <w:rPr>
                <w:rFonts w:cs="Arial"/>
                <w:b/>
                <w:szCs w:val="22"/>
              </w:rPr>
              <w:t xml:space="preserve">Diversity </w:t>
            </w:r>
          </w:p>
        </w:tc>
        <w:tc>
          <w:tcPr>
            <w:tcW w:w="3355" w:type="dxa"/>
            <w:shd w:val="clear" w:color="auto" w:fill="A6A6A6" w:themeFill="background1" w:themeFillShade="A6"/>
            <w:vAlign w:val="center"/>
          </w:tcPr>
          <w:p w14:paraId="42883EFE" w14:textId="1ED18128" w:rsidR="005708FD" w:rsidRPr="00D55F67" w:rsidRDefault="00A0725E" w:rsidP="007B040A">
            <w:pPr>
              <w:rPr>
                <w:rFonts w:cs="Arial"/>
                <w:b/>
                <w:szCs w:val="22"/>
              </w:rPr>
            </w:pPr>
            <w:r w:rsidRPr="00D55F67">
              <w:rPr>
                <w:rFonts w:cs="Arial"/>
                <w:b/>
                <w:szCs w:val="22"/>
              </w:rPr>
              <w:t>Headcount</w:t>
            </w:r>
          </w:p>
        </w:tc>
        <w:tc>
          <w:tcPr>
            <w:tcW w:w="3355" w:type="dxa"/>
            <w:shd w:val="clear" w:color="auto" w:fill="A6A6A6" w:themeFill="background1" w:themeFillShade="A6"/>
            <w:vAlign w:val="center"/>
          </w:tcPr>
          <w:p w14:paraId="214CCBBA" w14:textId="64443C28" w:rsidR="005708FD" w:rsidRPr="00D55F67" w:rsidRDefault="00543CA6" w:rsidP="007B040A">
            <w:pPr>
              <w:rPr>
                <w:rFonts w:cs="Arial"/>
                <w:b/>
                <w:szCs w:val="22"/>
              </w:rPr>
            </w:pPr>
            <w:r>
              <w:rPr>
                <w:rFonts w:cs="Arial"/>
                <w:b/>
                <w:szCs w:val="22"/>
              </w:rPr>
              <w:t>T</w:t>
            </w:r>
            <w:r w:rsidR="00AF47DE" w:rsidRPr="00D55F67">
              <w:rPr>
                <w:rFonts w:cs="Arial"/>
                <w:b/>
                <w:szCs w:val="22"/>
              </w:rPr>
              <w:t>otal workforce by headcount</w:t>
            </w:r>
            <w:r w:rsidR="00020352">
              <w:rPr>
                <w:rFonts w:cs="Arial"/>
                <w:b/>
                <w:szCs w:val="22"/>
              </w:rPr>
              <w:t xml:space="preserve"> (%)</w:t>
            </w:r>
          </w:p>
        </w:tc>
      </w:tr>
      <w:tr w:rsidR="006213A3" w:rsidRPr="00EC7496" w14:paraId="55B94B1D" w14:textId="77777777" w:rsidTr="005E46C9">
        <w:trPr>
          <w:trHeight w:val="300"/>
        </w:trPr>
        <w:tc>
          <w:tcPr>
            <w:tcW w:w="3355" w:type="dxa"/>
            <w:vAlign w:val="center"/>
          </w:tcPr>
          <w:p w14:paraId="4A8EEA9E" w14:textId="77777777" w:rsidR="005708FD" w:rsidRPr="004A2C19" w:rsidRDefault="005708FD" w:rsidP="007B040A">
            <w:pPr>
              <w:rPr>
                <w:rFonts w:cs="Arial"/>
                <w:szCs w:val="22"/>
              </w:rPr>
            </w:pPr>
            <w:r w:rsidRPr="004A2C19">
              <w:rPr>
                <w:rFonts w:cs="Arial"/>
                <w:szCs w:val="22"/>
              </w:rPr>
              <w:t>Women</w:t>
            </w:r>
          </w:p>
        </w:tc>
        <w:tc>
          <w:tcPr>
            <w:tcW w:w="3355" w:type="dxa"/>
            <w:vAlign w:val="center"/>
          </w:tcPr>
          <w:p w14:paraId="67CB8E7B" w14:textId="55837CB2" w:rsidR="005708FD" w:rsidRPr="00D55F67" w:rsidRDefault="4B1BF3BE" w:rsidP="007B040A">
            <w:pPr>
              <w:rPr>
                <w:rFonts w:cs="Arial"/>
              </w:rPr>
            </w:pPr>
            <w:r w:rsidRPr="00D55F67">
              <w:rPr>
                <w:rFonts w:cs="Arial"/>
              </w:rPr>
              <w:t>378</w:t>
            </w:r>
          </w:p>
        </w:tc>
        <w:tc>
          <w:tcPr>
            <w:tcW w:w="3355" w:type="dxa"/>
            <w:vAlign w:val="center"/>
          </w:tcPr>
          <w:p w14:paraId="0725F1C8" w14:textId="04626281" w:rsidR="005708FD" w:rsidRPr="00D55F67" w:rsidRDefault="77E41B47" w:rsidP="007B040A">
            <w:pPr>
              <w:rPr>
                <w:rFonts w:cs="Arial"/>
              </w:rPr>
            </w:pPr>
            <w:r w:rsidRPr="00D55F67">
              <w:rPr>
                <w:rFonts w:cs="Arial"/>
              </w:rPr>
              <w:t>54.6</w:t>
            </w:r>
          </w:p>
        </w:tc>
      </w:tr>
      <w:tr w:rsidR="006213A3" w:rsidRPr="00EC7496" w14:paraId="3E928A04" w14:textId="77777777" w:rsidTr="005327AD">
        <w:trPr>
          <w:trHeight w:val="283"/>
        </w:trPr>
        <w:tc>
          <w:tcPr>
            <w:tcW w:w="3355" w:type="dxa"/>
            <w:vAlign w:val="center"/>
          </w:tcPr>
          <w:p w14:paraId="40837FFC" w14:textId="77DAC79E" w:rsidR="005708FD" w:rsidRPr="004A2C19" w:rsidRDefault="005708FD" w:rsidP="007B040A">
            <w:pPr>
              <w:rPr>
                <w:rFonts w:cs="Arial"/>
                <w:szCs w:val="22"/>
              </w:rPr>
            </w:pPr>
            <w:r w:rsidRPr="004A2C19">
              <w:rPr>
                <w:rFonts w:cs="Arial"/>
                <w:szCs w:val="22"/>
              </w:rPr>
              <w:t xml:space="preserve">Aboriginal </w:t>
            </w:r>
            <w:r w:rsidR="004769D3">
              <w:rPr>
                <w:rFonts w:cs="Arial"/>
                <w:szCs w:val="22"/>
              </w:rPr>
              <w:t>p</w:t>
            </w:r>
            <w:r w:rsidRPr="004A2C19">
              <w:rPr>
                <w:rFonts w:cs="Arial"/>
                <w:szCs w:val="22"/>
              </w:rPr>
              <w:t xml:space="preserve">eoples and Torres Strait Islander </w:t>
            </w:r>
            <w:r w:rsidR="004769D3">
              <w:rPr>
                <w:rFonts w:cs="Arial"/>
                <w:szCs w:val="22"/>
              </w:rPr>
              <w:t>p</w:t>
            </w:r>
            <w:r w:rsidRPr="004A2C19">
              <w:rPr>
                <w:rFonts w:cs="Arial"/>
                <w:szCs w:val="22"/>
              </w:rPr>
              <w:t>eoples</w:t>
            </w:r>
          </w:p>
        </w:tc>
        <w:tc>
          <w:tcPr>
            <w:tcW w:w="3355" w:type="dxa"/>
            <w:vAlign w:val="center"/>
          </w:tcPr>
          <w:p w14:paraId="0FD1C855" w14:textId="5B3CAACC" w:rsidR="005708FD" w:rsidRPr="00D55F67" w:rsidRDefault="3FA34036" w:rsidP="007B040A">
            <w:pPr>
              <w:rPr>
                <w:rFonts w:cs="Arial"/>
              </w:rPr>
            </w:pPr>
            <w:r w:rsidRPr="00D55F67">
              <w:rPr>
                <w:rFonts w:cs="Arial"/>
              </w:rPr>
              <w:t>8</w:t>
            </w:r>
          </w:p>
        </w:tc>
        <w:tc>
          <w:tcPr>
            <w:tcW w:w="3355" w:type="dxa"/>
            <w:vAlign w:val="center"/>
          </w:tcPr>
          <w:p w14:paraId="7DFF19ED" w14:textId="4D69A2B7" w:rsidR="005708FD" w:rsidRPr="00D55F67" w:rsidRDefault="33A16275" w:rsidP="007B040A">
            <w:pPr>
              <w:rPr>
                <w:rFonts w:cs="Arial"/>
                <w:szCs w:val="22"/>
              </w:rPr>
            </w:pPr>
            <w:r w:rsidRPr="00D55F67">
              <w:rPr>
                <w:rFonts w:cs="Arial"/>
              </w:rPr>
              <w:t>1.2</w:t>
            </w:r>
          </w:p>
        </w:tc>
      </w:tr>
      <w:tr w:rsidR="006213A3" w:rsidRPr="00EC7496" w14:paraId="74F2227C" w14:textId="77777777" w:rsidTr="005327AD">
        <w:trPr>
          <w:trHeight w:val="283"/>
        </w:trPr>
        <w:tc>
          <w:tcPr>
            <w:tcW w:w="3355" w:type="dxa"/>
            <w:vAlign w:val="center"/>
          </w:tcPr>
          <w:p w14:paraId="16C58B1B" w14:textId="77777777" w:rsidR="005708FD" w:rsidRPr="004A2C19" w:rsidRDefault="005708FD" w:rsidP="007B040A">
            <w:pPr>
              <w:rPr>
                <w:rFonts w:cs="Arial"/>
                <w:szCs w:val="22"/>
              </w:rPr>
            </w:pPr>
            <w:r w:rsidRPr="004A2C19">
              <w:rPr>
                <w:rFonts w:cs="Arial"/>
                <w:szCs w:val="22"/>
              </w:rPr>
              <w:t>People with disability</w:t>
            </w:r>
          </w:p>
        </w:tc>
        <w:tc>
          <w:tcPr>
            <w:tcW w:w="3355" w:type="dxa"/>
            <w:vAlign w:val="center"/>
          </w:tcPr>
          <w:p w14:paraId="33764182" w14:textId="3840863D" w:rsidR="005708FD" w:rsidRPr="00D55F67" w:rsidRDefault="0FE1CCF6" w:rsidP="007B040A">
            <w:pPr>
              <w:rPr>
                <w:rFonts w:cs="Arial"/>
                <w:szCs w:val="22"/>
              </w:rPr>
            </w:pPr>
            <w:r w:rsidRPr="00D55F67">
              <w:rPr>
                <w:rFonts w:cs="Arial"/>
              </w:rPr>
              <w:t>32</w:t>
            </w:r>
          </w:p>
        </w:tc>
        <w:tc>
          <w:tcPr>
            <w:tcW w:w="3355" w:type="dxa"/>
            <w:vAlign w:val="center"/>
          </w:tcPr>
          <w:p w14:paraId="5ABBE2A1" w14:textId="689414A1" w:rsidR="005708FD" w:rsidRPr="00D55F67" w:rsidRDefault="60B99F1A" w:rsidP="007B040A">
            <w:pPr>
              <w:rPr>
                <w:rFonts w:cs="Arial"/>
                <w:szCs w:val="22"/>
              </w:rPr>
            </w:pPr>
            <w:r w:rsidRPr="00D55F67">
              <w:rPr>
                <w:rFonts w:cs="Arial"/>
              </w:rPr>
              <w:t>4.6</w:t>
            </w:r>
          </w:p>
        </w:tc>
      </w:tr>
      <w:tr w:rsidR="006213A3" w:rsidRPr="00EC7496" w14:paraId="67AA1DE8" w14:textId="77777777" w:rsidTr="005327AD">
        <w:trPr>
          <w:trHeight w:val="283"/>
        </w:trPr>
        <w:tc>
          <w:tcPr>
            <w:tcW w:w="3355" w:type="dxa"/>
            <w:vAlign w:val="center"/>
          </w:tcPr>
          <w:p w14:paraId="0821F3C0" w14:textId="3DAA45D7" w:rsidR="005708FD" w:rsidRPr="004A2C19" w:rsidRDefault="004F46A3" w:rsidP="007B040A">
            <w:pPr>
              <w:rPr>
                <w:rFonts w:cs="Arial"/>
                <w:szCs w:val="22"/>
              </w:rPr>
            </w:pPr>
            <w:r>
              <w:rPr>
                <w:rFonts w:cs="Arial"/>
                <w:szCs w:val="22"/>
              </w:rPr>
              <w:t>People</w:t>
            </w:r>
            <w:r w:rsidR="005708FD" w:rsidRPr="00EC7496">
              <w:rPr>
                <w:rFonts w:cs="Arial"/>
                <w:szCs w:val="22"/>
              </w:rPr>
              <w:t xml:space="preserve"> </w:t>
            </w:r>
            <w:r>
              <w:rPr>
                <w:rFonts w:cs="Arial"/>
                <w:szCs w:val="22"/>
              </w:rPr>
              <w:t>b</w:t>
            </w:r>
            <w:r w:rsidR="005708FD" w:rsidRPr="00EC7496">
              <w:rPr>
                <w:rFonts w:cs="Arial"/>
                <w:szCs w:val="22"/>
              </w:rPr>
              <w:t>orn overseas</w:t>
            </w:r>
          </w:p>
        </w:tc>
        <w:tc>
          <w:tcPr>
            <w:tcW w:w="3355" w:type="dxa"/>
            <w:vAlign w:val="center"/>
          </w:tcPr>
          <w:p w14:paraId="1990B43D" w14:textId="26B89F2C" w:rsidR="005708FD" w:rsidRPr="00D55F67" w:rsidRDefault="0644FA1A" w:rsidP="007B040A">
            <w:pPr>
              <w:rPr>
                <w:rFonts w:cs="Arial"/>
              </w:rPr>
            </w:pPr>
            <w:r w:rsidRPr="00D55F67">
              <w:rPr>
                <w:rFonts w:cs="Arial"/>
              </w:rPr>
              <w:t>172</w:t>
            </w:r>
          </w:p>
        </w:tc>
        <w:tc>
          <w:tcPr>
            <w:tcW w:w="3355" w:type="dxa"/>
            <w:vAlign w:val="center"/>
          </w:tcPr>
          <w:p w14:paraId="5F5F576F" w14:textId="13E84FA4" w:rsidR="005708FD" w:rsidRPr="00D55F67" w:rsidRDefault="51E0D468" w:rsidP="007B040A">
            <w:pPr>
              <w:rPr>
                <w:rFonts w:cs="Arial"/>
              </w:rPr>
            </w:pPr>
            <w:r w:rsidRPr="00D55F67">
              <w:rPr>
                <w:rFonts w:cs="Arial"/>
              </w:rPr>
              <w:t>24.9</w:t>
            </w:r>
          </w:p>
        </w:tc>
      </w:tr>
      <w:tr w:rsidR="006213A3" w:rsidRPr="00EC7496" w14:paraId="704ED532" w14:textId="77777777" w:rsidTr="005327AD">
        <w:trPr>
          <w:trHeight w:val="283"/>
        </w:trPr>
        <w:tc>
          <w:tcPr>
            <w:tcW w:w="3355" w:type="dxa"/>
            <w:vAlign w:val="center"/>
          </w:tcPr>
          <w:p w14:paraId="044A2C4B" w14:textId="0EF59B10" w:rsidR="005708FD" w:rsidRPr="004A2C19" w:rsidRDefault="004F46A3" w:rsidP="007B040A">
            <w:pPr>
              <w:rPr>
                <w:rFonts w:cs="Arial"/>
                <w:szCs w:val="22"/>
              </w:rPr>
            </w:pPr>
            <w:r>
              <w:rPr>
                <w:rFonts w:cs="Arial"/>
                <w:szCs w:val="22"/>
              </w:rPr>
              <w:t xml:space="preserve">People </w:t>
            </w:r>
            <w:r w:rsidR="004769D3">
              <w:rPr>
                <w:rFonts w:cs="Arial"/>
                <w:szCs w:val="22"/>
              </w:rPr>
              <w:t xml:space="preserve">who </w:t>
            </w:r>
            <w:r>
              <w:rPr>
                <w:rFonts w:cs="Arial"/>
                <w:szCs w:val="22"/>
              </w:rPr>
              <w:t>s</w:t>
            </w:r>
            <w:r w:rsidR="005708FD" w:rsidRPr="00EC7496">
              <w:rPr>
                <w:rFonts w:cs="Arial"/>
                <w:szCs w:val="22"/>
              </w:rPr>
              <w:t>peak a language other than English</w:t>
            </w:r>
            <w:r w:rsidR="00C653EF">
              <w:rPr>
                <w:rFonts w:cs="Arial"/>
                <w:szCs w:val="22"/>
              </w:rPr>
              <w:t xml:space="preserve"> at home</w:t>
            </w:r>
          </w:p>
        </w:tc>
        <w:tc>
          <w:tcPr>
            <w:tcW w:w="3355" w:type="dxa"/>
            <w:vAlign w:val="center"/>
          </w:tcPr>
          <w:p w14:paraId="2C91F903" w14:textId="5A5E46B1" w:rsidR="005708FD" w:rsidRPr="00D55F67" w:rsidRDefault="0494EB69" w:rsidP="007B040A">
            <w:pPr>
              <w:rPr>
                <w:rFonts w:cs="Arial"/>
              </w:rPr>
            </w:pPr>
            <w:r w:rsidRPr="00D55F67">
              <w:rPr>
                <w:rFonts w:cs="Arial"/>
              </w:rPr>
              <w:t>69</w:t>
            </w:r>
          </w:p>
        </w:tc>
        <w:tc>
          <w:tcPr>
            <w:tcW w:w="3355" w:type="dxa"/>
            <w:vAlign w:val="center"/>
          </w:tcPr>
          <w:p w14:paraId="770AB1AB" w14:textId="5243F050" w:rsidR="005708FD" w:rsidRPr="00D55F67" w:rsidRDefault="19AA521B" w:rsidP="007B040A">
            <w:pPr>
              <w:rPr>
                <w:rFonts w:cs="Arial"/>
              </w:rPr>
            </w:pPr>
            <w:r w:rsidRPr="00D55F67">
              <w:rPr>
                <w:rFonts w:cs="Arial"/>
              </w:rPr>
              <w:t>10.0</w:t>
            </w:r>
          </w:p>
        </w:tc>
      </w:tr>
      <w:tr w:rsidR="00EC1A8A" w:rsidRPr="00F93287" w14:paraId="336AEDC3" w14:textId="77777777" w:rsidTr="005327AD">
        <w:trPr>
          <w:trHeight w:val="283"/>
        </w:trPr>
        <w:tc>
          <w:tcPr>
            <w:tcW w:w="3355" w:type="dxa"/>
            <w:shd w:val="clear" w:color="auto" w:fill="A6A6A6" w:themeFill="background1" w:themeFillShade="A6"/>
            <w:vAlign w:val="center"/>
          </w:tcPr>
          <w:p w14:paraId="1B55C48B" w14:textId="226971B2" w:rsidR="005708FD" w:rsidRPr="004A2C19" w:rsidRDefault="005708FD" w:rsidP="007B040A">
            <w:pPr>
              <w:rPr>
                <w:rFonts w:cs="Arial"/>
                <w:b/>
              </w:rPr>
            </w:pPr>
            <w:r w:rsidRPr="004A2C19">
              <w:rPr>
                <w:rFonts w:cs="Arial"/>
                <w:b/>
              </w:rPr>
              <w:t xml:space="preserve">Women in </w:t>
            </w:r>
            <w:r w:rsidR="004912B8">
              <w:rPr>
                <w:rFonts w:cs="Arial"/>
                <w:b/>
              </w:rPr>
              <w:t>l</w:t>
            </w:r>
            <w:r w:rsidRPr="004A2C19">
              <w:rPr>
                <w:rFonts w:cs="Arial"/>
                <w:b/>
              </w:rPr>
              <w:t xml:space="preserve">eadership </w:t>
            </w:r>
          </w:p>
        </w:tc>
        <w:tc>
          <w:tcPr>
            <w:tcW w:w="3355" w:type="dxa"/>
            <w:shd w:val="clear" w:color="auto" w:fill="A6A6A6" w:themeFill="background1" w:themeFillShade="A6"/>
            <w:vAlign w:val="center"/>
          </w:tcPr>
          <w:p w14:paraId="78D61EB0" w14:textId="62D88B3D" w:rsidR="005708FD" w:rsidRPr="00D55F67" w:rsidRDefault="001A556F" w:rsidP="007B040A">
            <w:pPr>
              <w:rPr>
                <w:rFonts w:cs="Arial"/>
                <w:b/>
              </w:rPr>
            </w:pPr>
            <w:r w:rsidRPr="00D55F67">
              <w:rPr>
                <w:rFonts w:cs="Arial"/>
                <w:b/>
                <w:szCs w:val="22"/>
              </w:rPr>
              <w:t>Headcount</w:t>
            </w:r>
          </w:p>
        </w:tc>
        <w:tc>
          <w:tcPr>
            <w:tcW w:w="3355" w:type="dxa"/>
            <w:shd w:val="clear" w:color="auto" w:fill="A6A6A6" w:themeFill="background1" w:themeFillShade="A6"/>
            <w:vAlign w:val="center"/>
          </w:tcPr>
          <w:p w14:paraId="276D9E9E" w14:textId="3720690F" w:rsidR="005708FD" w:rsidRPr="00D55F67" w:rsidRDefault="00796977" w:rsidP="007B040A">
            <w:pPr>
              <w:rPr>
                <w:rFonts w:cs="Arial"/>
                <w:b/>
              </w:rPr>
            </w:pPr>
            <w:r>
              <w:rPr>
                <w:rFonts w:cs="Arial"/>
                <w:b/>
              </w:rPr>
              <w:t>T</w:t>
            </w:r>
            <w:r w:rsidR="005708FD" w:rsidRPr="00D55F67">
              <w:rPr>
                <w:rFonts w:cs="Arial"/>
                <w:b/>
              </w:rPr>
              <w:t>otal leadership</w:t>
            </w:r>
            <w:r w:rsidR="00A10C05" w:rsidRPr="00D55F67">
              <w:rPr>
                <w:rFonts w:cs="Arial"/>
                <w:b/>
              </w:rPr>
              <w:t xml:space="preserve"> cohort</w:t>
            </w:r>
            <w:r w:rsidR="001A556F" w:rsidRPr="00D55F67">
              <w:rPr>
                <w:rFonts w:cs="Arial"/>
                <w:b/>
              </w:rPr>
              <w:t xml:space="preserve"> by headcount</w:t>
            </w:r>
            <w:r w:rsidR="00020352">
              <w:rPr>
                <w:rFonts w:cs="Arial"/>
                <w:b/>
              </w:rPr>
              <w:t xml:space="preserve"> (%)</w:t>
            </w:r>
          </w:p>
        </w:tc>
      </w:tr>
      <w:tr w:rsidR="006213A3" w:rsidRPr="00133B4A" w14:paraId="4C996C15" w14:textId="77777777" w:rsidTr="005E46C9">
        <w:trPr>
          <w:trHeight w:val="300"/>
        </w:trPr>
        <w:tc>
          <w:tcPr>
            <w:tcW w:w="3355" w:type="dxa"/>
            <w:vAlign w:val="center"/>
          </w:tcPr>
          <w:p w14:paraId="28302DEE" w14:textId="77777777" w:rsidR="005708FD" w:rsidRPr="00133B4A" w:rsidDel="00C147EB" w:rsidRDefault="005708FD" w:rsidP="007B040A">
            <w:pPr>
              <w:rPr>
                <w:rFonts w:cs="Arial"/>
                <w:szCs w:val="22"/>
              </w:rPr>
            </w:pPr>
            <w:r w:rsidRPr="004A2C19">
              <w:rPr>
                <w:rFonts w:cs="Arial"/>
                <w:szCs w:val="22"/>
              </w:rPr>
              <w:t>Senior Officers</w:t>
            </w:r>
          </w:p>
        </w:tc>
        <w:tc>
          <w:tcPr>
            <w:tcW w:w="3355" w:type="dxa"/>
            <w:vAlign w:val="center"/>
          </w:tcPr>
          <w:p w14:paraId="5B5EC000" w14:textId="61294268" w:rsidR="005708FD" w:rsidRPr="00D55F67" w:rsidRDefault="79FA5B13" w:rsidP="007B040A">
            <w:pPr>
              <w:rPr>
                <w:rFonts w:cs="Arial"/>
              </w:rPr>
            </w:pPr>
            <w:r w:rsidRPr="00D55F67">
              <w:rPr>
                <w:rFonts w:cs="Arial"/>
              </w:rPr>
              <w:t>17</w:t>
            </w:r>
            <w:r w:rsidR="005327AD" w:rsidRPr="00D55F67">
              <w:rPr>
                <w:rFonts w:cs="Arial"/>
              </w:rPr>
              <w:t xml:space="preserve"> </w:t>
            </w:r>
          </w:p>
        </w:tc>
        <w:tc>
          <w:tcPr>
            <w:tcW w:w="3355" w:type="dxa"/>
            <w:vAlign w:val="center"/>
          </w:tcPr>
          <w:p w14:paraId="5CF8B736" w14:textId="13670D93" w:rsidR="005708FD" w:rsidRPr="00D55F67" w:rsidRDefault="2AE84386" w:rsidP="007B040A">
            <w:pPr>
              <w:rPr>
                <w:rFonts w:cs="Arial"/>
              </w:rPr>
            </w:pPr>
            <w:r w:rsidRPr="00D55F67">
              <w:rPr>
                <w:rFonts w:cs="Arial"/>
              </w:rPr>
              <w:t>56.7</w:t>
            </w:r>
          </w:p>
        </w:tc>
      </w:tr>
      <w:tr w:rsidR="006213A3" w:rsidRPr="00133B4A" w14:paraId="0434B860" w14:textId="77777777" w:rsidTr="005327AD">
        <w:trPr>
          <w:trHeight w:val="283"/>
        </w:trPr>
        <w:tc>
          <w:tcPr>
            <w:tcW w:w="3355" w:type="dxa"/>
            <w:vAlign w:val="center"/>
          </w:tcPr>
          <w:p w14:paraId="34D436D3" w14:textId="77777777" w:rsidR="005708FD" w:rsidRPr="004A2C19" w:rsidRDefault="005708FD" w:rsidP="007B040A">
            <w:pPr>
              <w:rPr>
                <w:rFonts w:cs="Arial"/>
                <w:szCs w:val="22"/>
              </w:rPr>
            </w:pPr>
            <w:r w:rsidRPr="004A2C19">
              <w:rPr>
                <w:rFonts w:cs="Arial"/>
                <w:szCs w:val="22"/>
              </w:rPr>
              <w:t>Senior Executive Service and Chief Executives</w:t>
            </w:r>
          </w:p>
        </w:tc>
        <w:tc>
          <w:tcPr>
            <w:tcW w:w="3355" w:type="dxa"/>
            <w:vAlign w:val="center"/>
          </w:tcPr>
          <w:p w14:paraId="4C480449" w14:textId="3E8CD4F1" w:rsidR="005708FD" w:rsidRPr="00D55F67" w:rsidRDefault="36CA9329" w:rsidP="007B040A">
            <w:pPr>
              <w:rPr>
                <w:rFonts w:cs="Arial"/>
              </w:rPr>
            </w:pPr>
            <w:r w:rsidRPr="00D55F67">
              <w:rPr>
                <w:rFonts w:cs="Arial"/>
              </w:rPr>
              <w:t>7</w:t>
            </w:r>
            <w:r w:rsidR="005327AD" w:rsidRPr="00D55F67">
              <w:rPr>
                <w:rFonts w:cs="Arial"/>
              </w:rPr>
              <w:t xml:space="preserve"> </w:t>
            </w:r>
          </w:p>
        </w:tc>
        <w:tc>
          <w:tcPr>
            <w:tcW w:w="3355" w:type="dxa"/>
            <w:vAlign w:val="center"/>
          </w:tcPr>
          <w:p w14:paraId="01D930E0" w14:textId="73807214" w:rsidR="005708FD" w:rsidRPr="00D55F67" w:rsidRDefault="4E57C107" w:rsidP="007B040A">
            <w:pPr>
              <w:spacing w:line="259" w:lineRule="auto"/>
              <w:rPr>
                <w:rFonts w:cs="Arial"/>
              </w:rPr>
            </w:pPr>
            <w:r w:rsidRPr="00D55F67">
              <w:rPr>
                <w:rFonts w:cs="Arial"/>
              </w:rPr>
              <w:t>38.9</w:t>
            </w:r>
          </w:p>
        </w:tc>
      </w:tr>
    </w:tbl>
    <w:p w14:paraId="012C37BA" w14:textId="564B97E4" w:rsidR="00BF67B7" w:rsidRPr="00E64FC4" w:rsidRDefault="00BF67B7" w:rsidP="001C3557">
      <w:pPr>
        <w:pStyle w:val="Heading3"/>
        <w:spacing w:before="120"/>
        <w:rPr>
          <w:rFonts w:cs="Arial"/>
        </w:rPr>
      </w:pPr>
      <w:bookmarkStart w:id="252" w:name="_Employee_engagement_and"/>
      <w:bookmarkEnd w:id="252"/>
      <w:r w:rsidRPr="001B7913">
        <w:t>Employee engagement</w:t>
      </w:r>
      <w:r w:rsidRPr="00E64FC4">
        <w:t xml:space="preserve"> </w:t>
      </w:r>
      <w:r w:rsidR="00DC10EF">
        <w:t>and support</w:t>
      </w:r>
    </w:p>
    <w:p w14:paraId="38DB46D5" w14:textId="66380A4B" w:rsidR="00E13252" w:rsidRDefault="0046470A" w:rsidP="00B017DD">
      <w:pPr>
        <w:spacing w:before="120" w:after="120"/>
        <w:rPr>
          <w:rFonts w:cs="Arial"/>
        </w:rPr>
      </w:pPr>
      <w:r>
        <w:rPr>
          <w:rFonts w:cs="Arial"/>
        </w:rPr>
        <w:t xml:space="preserve">The </w:t>
      </w:r>
      <w:r w:rsidR="002B4EFB">
        <w:rPr>
          <w:rFonts w:cs="Arial"/>
        </w:rPr>
        <w:t>QBCC</w:t>
      </w:r>
      <w:r w:rsidR="002B4EFB" w:rsidRPr="002B4EFB">
        <w:rPr>
          <w:rFonts w:cs="Arial"/>
        </w:rPr>
        <w:t xml:space="preserve"> recognises that </w:t>
      </w:r>
      <w:r w:rsidR="00900183">
        <w:rPr>
          <w:rFonts w:cs="Arial"/>
        </w:rPr>
        <w:t xml:space="preserve">meaningful </w:t>
      </w:r>
      <w:r w:rsidR="002B4EFB" w:rsidRPr="002B4EFB">
        <w:rPr>
          <w:rFonts w:cs="Arial"/>
        </w:rPr>
        <w:t xml:space="preserve">employee engagement </w:t>
      </w:r>
      <w:r w:rsidR="00900183">
        <w:rPr>
          <w:rFonts w:cs="Arial"/>
        </w:rPr>
        <w:t xml:space="preserve">extends beyond </w:t>
      </w:r>
      <w:r w:rsidR="00B80B63">
        <w:rPr>
          <w:rFonts w:cs="Arial"/>
        </w:rPr>
        <w:t>job satisfaction</w:t>
      </w:r>
      <w:r w:rsidR="00690A08">
        <w:rPr>
          <w:rFonts w:cs="Arial"/>
        </w:rPr>
        <w:t xml:space="preserve">. It involves creating a workplace </w:t>
      </w:r>
      <w:r w:rsidR="000841AC">
        <w:rPr>
          <w:rFonts w:cs="Arial"/>
        </w:rPr>
        <w:t xml:space="preserve">where people </w:t>
      </w:r>
      <w:r w:rsidR="002B4EFB" w:rsidRPr="002B4EFB">
        <w:rPr>
          <w:rFonts w:cs="Arial"/>
        </w:rPr>
        <w:t xml:space="preserve">feel </w:t>
      </w:r>
      <w:r w:rsidR="000841AC">
        <w:rPr>
          <w:rFonts w:cs="Arial"/>
        </w:rPr>
        <w:t xml:space="preserve">supported, </w:t>
      </w:r>
      <w:r w:rsidR="002B4EFB" w:rsidRPr="002B4EFB">
        <w:rPr>
          <w:rFonts w:cs="Arial"/>
        </w:rPr>
        <w:t>valued</w:t>
      </w:r>
      <w:r w:rsidR="000841AC">
        <w:rPr>
          <w:rFonts w:cs="Arial"/>
        </w:rPr>
        <w:t xml:space="preserve"> </w:t>
      </w:r>
      <w:r w:rsidR="002B4EFB" w:rsidRPr="002B4EFB">
        <w:rPr>
          <w:rFonts w:cs="Arial"/>
        </w:rPr>
        <w:t xml:space="preserve">and connected to their </w:t>
      </w:r>
      <w:r w:rsidR="000841AC">
        <w:rPr>
          <w:rFonts w:cs="Arial"/>
        </w:rPr>
        <w:t>roles.</w:t>
      </w:r>
      <w:r w:rsidR="00464D6E">
        <w:rPr>
          <w:rFonts w:cs="Arial"/>
        </w:rPr>
        <w:t xml:space="preserve"> </w:t>
      </w:r>
      <w:r w:rsidR="00464D6E" w:rsidRPr="00464D6E">
        <w:rPr>
          <w:rFonts w:cs="Arial"/>
        </w:rPr>
        <w:t xml:space="preserve">By </w:t>
      </w:r>
      <w:r w:rsidR="00BC6D26">
        <w:rPr>
          <w:rFonts w:cs="Arial"/>
        </w:rPr>
        <w:t>promoting</w:t>
      </w:r>
      <w:r w:rsidR="004528E9">
        <w:rPr>
          <w:rFonts w:cs="Arial"/>
        </w:rPr>
        <w:t xml:space="preserve"> </w:t>
      </w:r>
      <w:r w:rsidR="00464D6E" w:rsidRPr="00464D6E">
        <w:rPr>
          <w:rFonts w:cs="Arial"/>
        </w:rPr>
        <w:t>a positive</w:t>
      </w:r>
      <w:r w:rsidR="00A3782D">
        <w:rPr>
          <w:rFonts w:cs="Arial"/>
        </w:rPr>
        <w:t xml:space="preserve"> organisa</w:t>
      </w:r>
      <w:r w:rsidR="004528E9">
        <w:rPr>
          <w:rFonts w:cs="Arial"/>
        </w:rPr>
        <w:t xml:space="preserve">tional </w:t>
      </w:r>
      <w:r w:rsidR="00464D6E" w:rsidRPr="00464D6E">
        <w:rPr>
          <w:rFonts w:cs="Arial"/>
        </w:rPr>
        <w:t xml:space="preserve">culture and </w:t>
      </w:r>
      <w:r w:rsidR="00612BF2">
        <w:rPr>
          <w:rFonts w:cs="Arial"/>
        </w:rPr>
        <w:t xml:space="preserve">investing in </w:t>
      </w:r>
      <w:r w:rsidR="00464D6E" w:rsidRPr="00464D6E">
        <w:rPr>
          <w:rFonts w:cs="Arial"/>
        </w:rPr>
        <w:t xml:space="preserve">learning and development, the </w:t>
      </w:r>
      <w:r w:rsidR="00612BF2">
        <w:rPr>
          <w:rFonts w:cs="Arial"/>
        </w:rPr>
        <w:t>QBCC</w:t>
      </w:r>
      <w:r w:rsidR="0094166B">
        <w:rPr>
          <w:rFonts w:cs="Arial"/>
        </w:rPr>
        <w:t xml:space="preserve"> promotes </w:t>
      </w:r>
      <w:r w:rsidR="00464D6E" w:rsidRPr="00464D6E">
        <w:rPr>
          <w:rFonts w:cs="Arial"/>
        </w:rPr>
        <w:t>ownership</w:t>
      </w:r>
      <w:r w:rsidR="0094166B">
        <w:rPr>
          <w:rFonts w:cs="Arial"/>
        </w:rPr>
        <w:t xml:space="preserve">, </w:t>
      </w:r>
      <w:r w:rsidR="00464D6E" w:rsidRPr="00464D6E">
        <w:rPr>
          <w:rFonts w:cs="Arial"/>
        </w:rPr>
        <w:t>accountability</w:t>
      </w:r>
      <w:r w:rsidR="0094166B">
        <w:rPr>
          <w:rFonts w:cs="Arial"/>
        </w:rPr>
        <w:t xml:space="preserve"> and adaptability across </w:t>
      </w:r>
      <w:r w:rsidR="00464D6E" w:rsidRPr="00464D6E">
        <w:rPr>
          <w:rFonts w:cs="Arial"/>
        </w:rPr>
        <w:t>all levels</w:t>
      </w:r>
      <w:r w:rsidR="0094166B">
        <w:rPr>
          <w:rFonts w:cs="Arial"/>
        </w:rPr>
        <w:t xml:space="preserve"> of the workforce</w:t>
      </w:r>
      <w:r w:rsidR="00464D6E" w:rsidRPr="00464D6E">
        <w:rPr>
          <w:rFonts w:cs="Arial"/>
        </w:rPr>
        <w:t xml:space="preserve">. </w:t>
      </w:r>
      <w:r w:rsidR="008F05E6">
        <w:rPr>
          <w:rFonts w:cs="Arial"/>
        </w:rPr>
        <w:t xml:space="preserve">These efforts </w:t>
      </w:r>
      <w:r w:rsidR="0094166B">
        <w:rPr>
          <w:rFonts w:cs="Arial"/>
        </w:rPr>
        <w:t>enhance</w:t>
      </w:r>
      <w:r w:rsidR="008F05E6">
        <w:rPr>
          <w:rFonts w:cs="Arial"/>
        </w:rPr>
        <w:t xml:space="preserve"> </w:t>
      </w:r>
      <w:r w:rsidR="0094166B">
        <w:rPr>
          <w:rFonts w:cs="Arial"/>
        </w:rPr>
        <w:t>s</w:t>
      </w:r>
      <w:r w:rsidR="00464D6E" w:rsidRPr="00464D6E">
        <w:rPr>
          <w:rFonts w:cs="Arial"/>
        </w:rPr>
        <w:t>ervice delivery</w:t>
      </w:r>
      <w:r w:rsidR="008767E2">
        <w:rPr>
          <w:rFonts w:cs="Arial"/>
        </w:rPr>
        <w:t xml:space="preserve">, support </w:t>
      </w:r>
      <w:r w:rsidR="00D70EB4">
        <w:rPr>
          <w:rFonts w:cs="Arial"/>
        </w:rPr>
        <w:t xml:space="preserve">operational </w:t>
      </w:r>
      <w:r w:rsidR="00A50A7B">
        <w:rPr>
          <w:rFonts w:cs="Arial"/>
        </w:rPr>
        <w:t>efficiency</w:t>
      </w:r>
      <w:r w:rsidR="008767E2">
        <w:rPr>
          <w:rFonts w:cs="Arial"/>
        </w:rPr>
        <w:t xml:space="preserve"> </w:t>
      </w:r>
      <w:r w:rsidR="00464D6E" w:rsidRPr="00464D6E">
        <w:rPr>
          <w:rFonts w:cs="Arial"/>
        </w:rPr>
        <w:t>and position the</w:t>
      </w:r>
      <w:r w:rsidR="008F05E6">
        <w:rPr>
          <w:rFonts w:cs="Arial"/>
        </w:rPr>
        <w:t xml:space="preserve"> organisation </w:t>
      </w:r>
      <w:r w:rsidR="00464D6E" w:rsidRPr="00464D6E">
        <w:rPr>
          <w:rFonts w:cs="Arial"/>
        </w:rPr>
        <w:t xml:space="preserve">to </w:t>
      </w:r>
      <w:r w:rsidR="008767E2">
        <w:rPr>
          <w:rFonts w:cs="Arial"/>
        </w:rPr>
        <w:t>respond effectively to emerging</w:t>
      </w:r>
      <w:r w:rsidR="00464D6E" w:rsidRPr="00464D6E">
        <w:rPr>
          <w:rFonts w:cs="Arial"/>
        </w:rPr>
        <w:t xml:space="preserve"> challenges and</w:t>
      </w:r>
      <w:r w:rsidR="00733FF5">
        <w:rPr>
          <w:rFonts w:cs="Arial"/>
        </w:rPr>
        <w:t xml:space="preserve"> </w:t>
      </w:r>
      <w:r w:rsidR="00464D6E" w:rsidRPr="00464D6E">
        <w:rPr>
          <w:rFonts w:cs="Arial"/>
        </w:rPr>
        <w:t>opportunities</w:t>
      </w:r>
      <w:r w:rsidR="00B017DD">
        <w:rPr>
          <w:rFonts w:cs="Arial"/>
        </w:rPr>
        <w:t>.</w:t>
      </w:r>
    </w:p>
    <w:p w14:paraId="2B8E1607" w14:textId="449EBE92" w:rsidR="003D775F" w:rsidRDefault="00E13252" w:rsidP="00B017DD">
      <w:pPr>
        <w:spacing w:before="120" w:after="120"/>
        <w:rPr>
          <w:rFonts w:cs="Arial"/>
        </w:rPr>
      </w:pPr>
      <w:r w:rsidRPr="00E13252">
        <w:rPr>
          <w:rFonts w:cs="Arial"/>
        </w:rPr>
        <w:t xml:space="preserve">In 2024–25, the QBCC continued to prioritise employee engagement and support through a range of initiatives aligned with </w:t>
      </w:r>
      <w:r w:rsidR="000D4A2E">
        <w:rPr>
          <w:rFonts w:cs="Arial"/>
        </w:rPr>
        <w:t xml:space="preserve">its </w:t>
      </w:r>
      <w:r w:rsidRPr="00E13252">
        <w:rPr>
          <w:rFonts w:cs="Arial"/>
        </w:rPr>
        <w:t xml:space="preserve">commitments </w:t>
      </w:r>
      <w:r w:rsidR="000D4A2E">
        <w:rPr>
          <w:rFonts w:cs="Arial"/>
        </w:rPr>
        <w:t>under the</w:t>
      </w:r>
      <w:r w:rsidR="004225FA">
        <w:rPr>
          <w:rFonts w:cs="Arial"/>
        </w:rPr>
        <w:t xml:space="preserve"> </w:t>
      </w:r>
      <w:r w:rsidR="004225FA" w:rsidRPr="004225FA">
        <w:rPr>
          <w:rFonts w:cs="Arial"/>
          <w:i/>
          <w:iCs/>
        </w:rPr>
        <w:t>State Government Entities Certified Agreement 2023</w:t>
      </w:r>
      <w:r w:rsidR="00BB4441">
        <w:rPr>
          <w:rFonts w:cs="Arial"/>
        </w:rPr>
        <w:t>, including</w:t>
      </w:r>
      <w:r w:rsidR="008A4162">
        <w:rPr>
          <w:rFonts w:cs="Arial"/>
        </w:rPr>
        <w:t>:</w:t>
      </w:r>
    </w:p>
    <w:p w14:paraId="2BCBEC42" w14:textId="73F4B8BE" w:rsidR="003D775F" w:rsidRPr="00DC2EE2" w:rsidRDefault="00774802" w:rsidP="00BD69F7">
      <w:pPr>
        <w:numPr>
          <w:ilvl w:val="0"/>
          <w:numId w:val="5"/>
        </w:numPr>
        <w:spacing w:before="120" w:after="120"/>
        <w:ind w:left="714" w:hanging="357"/>
      </w:pPr>
      <w:r>
        <w:lastRenderedPageBreak/>
        <w:t>d</w:t>
      </w:r>
      <w:r w:rsidR="00A604B4">
        <w:t xml:space="preserve">eveloping </w:t>
      </w:r>
      <w:r w:rsidR="00694816">
        <w:t>t</w:t>
      </w:r>
      <w:r w:rsidR="00E9096A" w:rsidRPr="00DC2EE2">
        <w:t xml:space="preserve">argeted </w:t>
      </w:r>
      <w:r w:rsidR="00205E17">
        <w:t>training</w:t>
      </w:r>
      <w:r w:rsidR="00BB7230">
        <w:t xml:space="preserve">, tools and resources </w:t>
      </w:r>
      <w:r w:rsidR="003D775F" w:rsidRPr="00DC2EE2">
        <w:t xml:space="preserve">to </w:t>
      </w:r>
      <w:r w:rsidR="00470E48">
        <w:t>help</w:t>
      </w:r>
      <w:r w:rsidR="003D775F" w:rsidRPr="00DC2EE2">
        <w:t xml:space="preserve"> staff </w:t>
      </w:r>
      <w:r w:rsidR="00FB6CB7" w:rsidRPr="00DC2EE2">
        <w:t xml:space="preserve">perform </w:t>
      </w:r>
      <w:r w:rsidR="003D775F" w:rsidRPr="00DC2EE2">
        <w:t xml:space="preserve">their </w:t>
      </w:r>
      <w:r w:rsidR="00FB6CB7" w:rsidRPr="00DC2EE2">
        <w:t>roles</w:t>
      </w:r>
      <w:r w:rsidR="003D775F" w:rsidRPr="00DC2EE2">
        <w:t xml:space="preserve"> safely and effectively</w:t>
      </w:r>
      <w:r w:rsidR="00FB6CB7" w:rsidRPr="00DC2EE2">
        <w:t xml:space="preserve">, while </w:t>
      </w:r>
      <w:r w:rsidR="00B03EC6">
        <w:t xml:space="preserve">also </w:t>
      </w:r>
      <w:r w:rsidR="003D775F" w:rsidRPr="00DC2EE2">
        <w:t>support</w:t>
      </w:r>
      <w:r w:rsidR="00FB6CB7" w:rsidRPr="00DC2EE2">
        <w:t xml:space="preserve">ing </w:t>
      </w:r>
      <w:r w:rsidR="00A226B8">
        <w:t xml:space="preserve">their </w:t>
      </w:r>
      <w:r w:rsidR="003D775F" w:rsidRPr="00DC2EE2">
        <w:t xml:space="preserve">career </w:t>
      </w:r>
      <w:r w:rsidR="00FB6CB7" w:rsidRPr="00DC2EE2">
        <w:t>development</w:t>
      </w:r>
    </w:p>
    <w:p w14:paraId="493372B2" w14:textId="507AD9E0" w:rsidR="003D775F" w:rsidRPr="00DC2EE2" w:rsidRDefault="00694816" w:rsidP="00BD69F7">
      <w:pPr>
        <w:numPr>
          <w:ilvl w:val="0"/>
          <w:numId w:val="5"/>
        </w:numPr>
        <w:spacing w:before="120" w:after="120"/>
        <w:ind w:left="714" w:hanging="357"/>
      </w:pPr>
      <w:r>
        <w:t>i</w:t>
      </w:r>
      <w:r w:rsidR="003D775F" w:rsidRPr="00DC2EE2">
        <w:t xml:space="preserve">mplementing key </w:t>
      </w:r>
      <w:r w:rsidR="005F2726" w:rsidRPr="00DC2EE2">
        <w:t xml:space="preserve">workplace </w:t>
      </w:r>
      <w:r w:rsidR="003D775F" w:rsidRPr="00DC2EE2">
        <w:t>policies and procedures</w:t>
      </w:r>
      <w:r w:rsidR="00E82EB1" w:rsidRPr="00DC2EE2">
        <w:t>,</w:t>
      </w:r>
      <w:r w:rsidR="003D775F" w:rsidRPr="00DC2EE2">
        <w:t xml:space="preserve"> </w:t>
      </w:r>
      <w:r w:rsidR="005F2726" w:rsidRPr="00DC2EE2">
        <w:t xml:space="preserve">such as </w:t>
      </w:r>
      <w:r w:rsidR="003D775F" w:rsidRPr="00DC2EE2">
        <w:t>Flexible Work Arrangements</w:t>
      </w:r>
      <w:r w:rsidR="00F371CF" w:rsidRPr="00DC2EE2">
        <w:t xml:space="preserve"> (FWAs)</w:t>
      </w:r>
      <w:r w:rsidR="003D775F" w:rsidRPr="00DC2EE2">
        <w:t>, Individual Employee Grievances</w:t>
      </w:r>
      <w:r w:rsidR="005F2726" w:rsidRPr="00DC2EE2">
        <w:t xml:space="preserve"> </w:t>
      </w:r>
      <w:r w:rsidR="003D775F" w:rsidRPr="00DC2EE2">
        <w:t>and Preventing and Responding to Workplace Sexual Harassment</w:t>
      </w:r>
    </w:p>
    <w:p w14:paraId="55C404E2" w14:textId="1405496F" w:rsidR="003D775F" w:rsidRPr="00DC2EE2" w:rsidRDefault="00694816" w:rsidP="00BD69F7">
      <w:pPr>
        <w:numPr>
          <w:ilvl w:val="0"/>
          <w:numId w:val="5"/>
        </w:numPr>
        <w:spacing w:before="120" w:after="120"/>
        <w:ind w:left="714" w:hanging="357"/>
      </w:pPr>
      <w:r>
        <w:t>f</w:t>
      </w:r>
      <w:r w:rsidR="003D775F" w:rsidRPr="00DC2EE2">
        <w:t>acilitating regular Agency Consultative Committee meetings with Together Union and</w:t>
      </w:r>
      <w:r w:rsidR="00965D2B" w:rsidRPr="00DC2EE2">
        <w:t xml:space="preserve"> d</w:t>
      </w:r>
      <w:r w:rsidR="003D775F" w:rsidRPr="00DC2EE2">
        <w:t xml:space="preserve">elegates </w:t>
      </w:r>
      <w:r w:rsidR="00965D2B" w:rsidRPr="00DC2EE2">
        <w:t xml:space="preserve">from the QBCC </w:t>
      </w:r>
      <w:r w:rsidR="003D775F" w:rsidRPr="00DC2EE2">
        <w:t>to discuss operational priorities</w:t>
      </w:r>
      <w:r w:rsidR="00164309" w:rsidRPr="00DC2EE2">
        <w:t xml:space="preserve">, </w:t>
      </w:r>
      <w:r w:rsidR="003D775F" w:rsidRPr="00DC2EE2">
        <w:t>significant workplace changes</w:t>
      </w:r>
      <w:r w:rsidR="007224C9" w:rsidRPr="00DC2EE2">
        <w:t xml:space="preserve"> and</w:t>
      </w:r>
      <w:r w:rsidR="003D775F" w:rsidRPr="00DC2EE2">
        <w:t xml:space="preserve"> key </w:t>
      </w:r>
      <w:r w:rsidR="00A249DC" w:rsidRPr="00DC2EE2">
        <w:t xml:space="preserve">matters including </w:t>
      </w:r>
      <w:r w:rsidR="00D91D18" w:rsidRPr="00DC2EE2">
        <w:t>DEIB</w:t>
      </w:r>
      <w:r w:rsidR="003D775F" w:rsidRPr="00DC2EE2">
        <w:t>.</w:t>
      </w:r>
    </w:p>
    <w:p w14:paraId="63A05FAC" w14:textId="68528A6B" w:rsidR="0063761C" w:rsidRDefault="00A249DC" w:rsidP="00B017DD">
      <w:pPr>
        <w:spacing w:before="120" w:after="120"/>
        <w:rPr>
          <w:rFonts w:cs="Arial"/>
        </w:rPr>
      </w:pPr>
      <w:r>
        <w:rPr>
          <w:rFonts w:cs="Arial"/>
        </w:rPr>
        <w:t>Together</w:t>
      </w:r>
      <w:r w:rsidR="00056285">
        <w:rPr>
          <w:rFonts w:cs="Arial"/>
        </w:rPr>
        <w:t xml:space="preserve"> with its employees</w:t>
      </w:r>
      <w:r w:rsidR="0063761C" w:rsidRPr="0063761C">
        <w:rPr>
          <w:rFonts w:cs="Arial"/>
        </w:rPr>
        <w:t>, th</w:t>
      </w:r>
      <w:r w:rsidR="007815F6">
        <w:rPr>
          <w:rFonts w:cs="Arial"/>
        </w:rPr>
        <w:t xml:space="preserve">e QBCC is working </w:t>
      </w:r>
      <w:r w:rsidR="00056285">
        <w:rPr>
          <w:rFonts w:cs="Arial"/>
        </w:rPr>
        <w:t xml:space="preserve">to build a </w:t>
      </w:r>
      <w:r w:rsidR="0063761C" w:rsidRPr="0063761C">
        <w:rPr>
          <w:rFonts w:cs="Arial"/>
        </w:rPr>
        <w:t>safe,</w:t>
      </w:r>
      <w:r w:rsidR="007815F6">
        <w:rPr>
          <w:rFonts w:cs="Arial"/>
        </w:rPr>
        <w:t xml:space="preserve"> inclusive and </w:t>
      </w:r>
      <w:r w:rsidR="008F10A3">
        <w:rPr>
          <w:rFonts w:cs="Arial"/>
        </w:rPr>
        <w:t xml:space="preserve">high-performing </w:t>
      </w:r>
      <w:r w:rsidR="0063761C" w:rsidRPr="0063761C">
        <w:rPr>
          <w:rFonts w:cs="Arial"/>
        </w:rPr>
        <w:t xml:space="preserve">workplace </w:t>
      </w:r>
      <w:r w:rsidR="008F10A3">
        <w:rPr>
          <w:rFonts w:cs="Arial"/>
        </w:rPr>
        <w:t xml:space="preserve">culture </w:t>
      </w:r>
      <w:r w:rsidR="0063761C" w:rsidRPr="0063761C">
        <w:rPr>
          <w:rFonts w:cs="Arial"/>
        </w:rPr>
        <w:t xml:space="preserve">where employees are empowered to </w:t>
      </w:r>
      <w:r w:rsidR="00A32FB2">
        <w:rPr>
          <w:rFonts w:cs="Arial"/>
        </w:rPr>
        <w:t>thrive and contribute to the</w:t>
      </w:r>
      <w:r w:rsidR="00BD4665">
        <w:rPr>
          <w:rFonts w:cs="Arial"/>
        </w:rPr>
        <w:t xml:space="preserve"> organisation’s objectives</w:t>
      </w:r>
      <w:r w:rsidR="00525FFF">
        <w:rPr>
          <w:rFonts w:cs="Arial"/>
        </w:rPr>
        <w:t xml:space="preserve"> and b</w:t>
      </w:r>
      <w:r w:rsidR="00450864">
        <w:rPr>
          <w:rFonts w:cs="Arial"/>
        </w:rPr>
        <w:t>r</w:t>
      </w:r>
      <w:r w:rsidR="00525FFF">
        <w:rPr>
          <w:rFonts w:cs="Arial"/>
        </w:rPr>
        <w:t>oader vision</w:t>
      </w:r>
      <w:r w:rsidR="0063761C" w:rsidRPr="0063761C">
        <w:rPr>
          <w:rFonts w:cs="Arial"/>
        </w:rPr>
        <w:t>.</w:t>
      </w:r>
    </w:p>
    <w:p w14:paraId="586D74A3" w14:textId="29DEDFBF" w:rsidR="00BF67B7" w:rsidRPr="001325DB" w:rsidRDefault="0059675E" w:rsidP="00DB7C79">
      <w:pPr>
        <w:pStyle w:val="Heading4"/>
      </w:pPr>
      <w:bookmarkStart w:id="253" w:name="_Work_for_Queensland"/>
      <w:bookmarkEnd w:id="253"/>
      <w:r>
        <w:t>Staff engagement surveys</w:t>
      </w:r>
    </w:p>
    <w:p w14:paraId="4817E614" w14:textId="0EF0E8D4" w:rsidR="003037D1" w:rsidRPr="003E273B" w:rsidRDefault="00BF67B7" w:rsidP="00BC2281">
      <w:pPr>
        <w:spacing w:before="120" w:after="120"/>
        <w:rPr>
          <w:rFonts w:cs="Arial"/>
        </w:rPr>
      </w:pPr>
      <w:r w:rsidRPr="003E273B">
        <w:rPr>
          <w:rFonts w:cs="Arial"/>
        </w:rPr>
        <w:t xml:space="preserve">In September 2024, the QBCC participated in the </w:t>
      </w:r>
      <w:r w:rsidR="00A0778D" w:rsidRPr="003E273B">
        <w:rPr>
          <w:rFonts w:cs="Arial"/>
        </w:rPr>
        <w:t>Work</w:t>
      </w:r>
      <w:r w:rsidR="003E2FE0" w:rsidRPr="003E273B">
        <w:rPr>
          <w:rFonts w:cs="Arial"/>
        </w:rPr>
        <w:t>ing</w:t>
      </w:r>
      <w:r w:rsidR="00A0778D" w:rsidRPr="003E273B">
        <w:rPr>
          <w:rFonts w:cs="Arial"/>
        </w:rPr>
        <w:t xml:space="preserve"> for Queensland (</w:t>
      </w:r>
      <w:proofErr w:type="spellStart"/>
      <w:r w:rsidRPr="003E273B">
        <w:rPr>
          <w:rFonts w:cs="Arial"/>
        </w:rPr>
        <w:t>WfQ</w:t>
      </w:r>
      <w:proofErr w:type="spellEnd"/>
      <w:r w:rsidR="00A0778D" w:rsidRPr="003E273B">
        <w:rPr>
          <w:rFonts w:cs="Arial"/>
        </w:rPr>
        <w:t>)</w:t>
      </w:r>
      <w:r w:rsidRPr="003E273B">
        <w:rPr>
          <w:rFonts w:cs="Arial"/>
        </w:rPr>
        <w:t xml:space="preserve"> Survey</w:t>
      </w:r>
      <w:r w:rsidR="008E5260">
        <w:rPr>
          <w:rFonts w:cs="Arial"/>
        </w:rPr>
        <w:t xml:space="preserve">, </w:t>
      </w:r>
      <w:r w:rsidR="00694AAD" w:rsidRPr="003E273B">
        <w:rPr>
          <w:rFonts w:cs="Arial"/>
        </w:rPr>
        <w:t xml:space="preserve">an annual initiative </w:t>
      </w:r>
      <w:r w:rsidR="00A604A6">
        <w:rPr>
          <w:rFonts w:cs="Arial"/>
        </w:rPr>
        <w:t xml:space="preserve">conducted </w:t>
      </w:r>
      <w:r w:rsidRPr="003E273B">
        <w:rPr>
          <w:rFonts w:cs="Arial"/>
        </w:rPr>
        <w:t xml:space="preserve">across </w:t>
      </w:r>
      <w:r w:rsidR="006A05FB" w:rsidRPr="003E273B">
        <w:rPr>
          <w:rFonts w:cs="Arial"/>
        </w:rPr>
        <w:t xml:space="preserve">all </w:t>
      </w:r>
      <w:r w:rsidRPr="003E273B">
        <w:rPr>
          <w:rFonts w:cs="Arial"/>
        </w:rPr>
        <w:t xml:space="preserve">Queensland </w:t>
      </w:r>
      <w:r w:rsidR="0094310B" w:rsidRPr="003E273B">
        <w:rPr>
          <w:rFonts w:cs="Arial"/>
        </w:rPr>
        <w:t>P</w:t>
      </w:r>
      <w:r w:rsidRPr="003E273B">
        <w:rPr>
          <w:rFonts w:cs="Arial"/>
        </w:rPr>
        <w:t xml:space="preserve">ublic </w:t>
      </w:r>
      <w:r w:rsidR="0094310B" w:rsidRPr="003E273B">
        <w:rPr>
          <w:rFonts w:cs="Arial"/>
        </w:rPr>
        <w:t>S</w:t>
      </w:r>
      <w:r w:rsidRPr="003E273B">
        <w:rPr>
          <w:rFonts w:cs="Arial"/>
        </w:rPr>
        <w:t xml:space="preserve">ector agencies to </w:t>
      </w:r>
      <w:r w:rsidR="00986948" w:rsidRPr="003E273B">
        <w:rPr>
          <w:rFonts w:cs="Arial"/>
        </w:rPr>
        <w:t xml:space="preserve">capture </w:t>
      </w:r>
      <w:r w:rsidRPr="003E273B">
        <w:rPr>
          <w:rFonts w:cs="Arial"/>
        </w:rPr>
        <w:t>employee perceptions</w:t>
      </w:r>
      <w:r w:rsidR="00694AAD" w:rsidRPr="003E273B">
        <w:rPr>
          <w:rFonts w:cs="Arial"/>
        </w:rPr>
        <w:t xml:space="preserve"> and workplace culture</w:t>
      </w:r>
      <w:r w:rsidRPr="003E273B">
        <w:rPr>
          <w:rFonts w:cs="Arial"/>
        </w:rPr>
        <w:t>.</w:t>
      </w:r>
      <w:r w:rsidR="00694AAD" w:rsidRPr="003E273B">
        <w:rPr>
          <w:rFonts w:cs="Arial"/>
        </w:rPr>
        <w:t xml:space="preserve"> </w:t>
      </w:r>
      <w:r w:rsidR="006E260B" w:rsidRPr="003E273B">
        <w:rPr>
          <w:rFonts w:cs="Arial"/>
        </w:rPr>
        <w:t xml:space="preserve">The </w:t>
      </w:r>
      <w:r w:rsidRPr="003E273B">
        <w:rPr>
          <w:rFonts w:cs="Arial"/>
        </w:rPr>
        <w:t>QBCC</w:t>
      </w:r>
      <w:r w:rsidR="006731FB" w:rsidRPr="003E273B">
        <w:rPr>
          <w:rFonts w:cs="Arial"/>
        </w:rPr>
        <w:t xml:space="preserve"> </w:t>
      </w:r>
      <w:r w:rsidR="006F25C3" w:rsidRPr="003E273B">
        <w:rPr>
          <w:rFonts w:cs="Arial"/>
        </w:rPr>
        <w:t xml:space="preserve">achieved </w:t>
      </w:r>
      <w:r w:rsidR="006D3DA4" w:rsidRPr="003E273B">
        <w:rPr>
          <w:rFonts w:cs="Arial"/>
        </w:rPr>
        <w:t xml:space="preserve">a strong </w:t>
      </w:r>
      <w:r w:rsidRPr="003E273B">
        <w:rPr>
          <w:rFonts w:cs="Arial"/>
        </w:rPr>
        <w:t xml:space="preserve">participation rate </w:t>
      </w:r>
      <w:r w:rsidR="00AB3C0A" w:rsidRPr="003E273B">
        <w:rPr>
          <w:rFonts w:cs="Arial"/>
        </w:rPr>
        <w:t xml:space="preserve">of </w:t>
      </w:r>
      <w:r w:rsidRPr="003E273B">
        <w:rPr>
          <w:rFonts w:cs="Arial"/>
        </w:rPr>
        <w:t>89 per cent</w:t>
      </w:r>
      <w:r w:rsidR="00613919">
        <w:rPr>
          <w:rFonts w:cs="Arial"/>
        </w:rPr>
        <w:t>,</w:t>
      </w:r>
      <w:r w:rsidR="00C54BB0" w:rsidRPr="003E273B">
        <w:rPr>
          <w:rFonts w:cs="Arial"/>
        </w:rPr>
        <w:t xml:space="preserve"> </w:t>
      </w:r>
      <w:r w:rsidR="00FD5EB4" w:rsidRPr="003E273B">
        <w:rPr>
          <w:rFonts w:cs="Arial"/>
        </w:rPr>
        <w:t xml:space="preserve">well above </w:t>
      </w:r>
      <w:r w:rsidR="00867A71" w:rsidRPr="003E273B">
        <w:rPr>
          <w:rFonts w:cs="Arial"/>
        </w:rPr>
        <w:t xml:space="preserve">the </w:t>
      </w:r>
      <w:r w:rsidRPr="003E273B">
        <w:rPr>
          <w:rFonts w:cs="Arial"/>
        </w:rPr>
        <w:t xml:space="preserve">Queensland Public Sector </w:t>
      </w:r>
      <w:r w:rsidR="00F971D3" w:rsidRPr="003E273B">
        <w:rPr>
          <w:rFonts w:cs="Arial"/>
        </w:rPr>
        <w:t xml:space="preserve">average </w:t>
      </w:r>
      <w:r w:rsidR="00CA7627" w:rsidRPr="003E273B">
        <w:rPr>
          <w:rFonts w:cs="Arial"/>
        </w:rPr>
        <w:t xml:space="preserve">of </w:t>
      </w:r>
      <w:r w:rsidR="000868C0" w:rsidRPr="003E273B">
        <w:rPr>
          <w:rFonts w:cs="Arial"/>
        </w:rPr>
        <w:t>45</w:t>
      </w:r>
      <w:r w:rsidRPr="003E273B">
        <w:rPr>
          <w:rFonts w:cs="Arial"/>
        </w:rPr>
        <w:t xml:space="preserve"> per cent.</w:t>
      </w:r>
      <w:r w:rsidR="00E32907" w:rsidRPr="003E273B">
        <w:rPr>
          <w:rFonts w:cs="Arial"/>
        </w:rPr>
        <w:t xml:space="preserve"> </w:t>
      </w:r>
      <w:r w:rsidR="004C3408" w:rsidRPr="003E273B">
        <w:rPr>
          <w:rFonts w:cs="Arial"/>
        </w:rPr>
        <w:t xml:space="preserve">In April 2025, the QBCC staff also </w:t>
      </w:r>
      <w:r w:rsidR="00044925" w:rsidRPr="003E273B">
        <w:rPr>
          <w:rFonts w:cs="Arial"/>
        </w:rPr>
        <w:t xml:space="preserve">participated </w:t>
      </w:r>
      <w:r w:rsidR="004C3408" w:rsidRPr="003E273B">
        <w:rPr>
          <w:rFonts w:cs="Arial"/>
        </w:rPr>
        <w:t xml:space="preserve">in the follow-up Pulse Survey, with </w:t>
      </w:r>
      <w:r w:rsidR="005B712C" w:rsidRPr="003E273B">
        <w:rPr>
          <w:rFonts w:cs="Arial"/>
        </w:rPr>
        <w:t xml:space="preserve">a response rate of </w:t>
      </w:r>
      <w:r w:rsidR="004C3408" w:rsidRPr="003E273B">
        <w:rPr>
          <w:rFonts w:cs="Arial"/>
        </w:rPr>
        <w:t>56 per cent.</w:t>
      </w:r>
    </w:p>
    <w:p w14:paraId="38958983" w14:textId="77777777" w:rsidR="00BA035B" w:rsidRDefault="008C42A8" w:rsidP="00BC2281">
      <w:pPr>
        <w:spacing w:before="120" w:after="120"/>
        <w:rPr>
          <w:rFonts w:cs="Arial"/>
        </w:rPr>
      </w:pPr>
      <w:r w:rsidRPr="003E273B">
        <w:rPr>
          <w:rFonts w:cs="Arial"/>
        </w:rPr>
        <w:t>K</w:t>
      </w:r>
      <w:r w:rsidR="00E32907" w:rsidRPr="003E273B">
        <w:rPr>
          <w:rFonts w:cs="Arial"/>
        </w:rPr>
        <w:t xml:space="preserve">ey </w:t>
      </w:r>
      <w:r w:rsidR="009908C8">
        <w:rPr>
          <w:rFonts w:cs="Arial"/>
        </w:rPr>
        <w:t>results</w:t>
      </w:r>
      <w:r w:rsidRPr="003E273B">
        <w:rPr>
          <w:rFonts w:cs="Arial"/>
        </w:rPr>
        <w:t xml:space="preserve"> </w:t>
      </w:r>
      <w:r w:rsidR="000431C8" w:rsidRPr="003E273B">
        <w:rPr>
          <w:rFonts w:cs="Arial"/>
        </w:rPr>
        <w:t>included</w:t>
      </w:r>
      <w:r w:rsidR="00B47B18" w:rsidRPr="003E273B">
        <w:rPr>
          <w:rFonts w:cs="Arial"/>
        </w:rPr>
        <w:t xml:space="preserve"> </w:t>
      </w:r>
      <w:r w:rsidR="00A31575" w:rsidRPr="003E273B">
        <w:rPr>
          <w:rFonts w:cs="Arial"/>
        </w:rPr>
        <w:t xml:space="preserve">48 per cent </w:t>
      </w:r>
      <w:r w:rsidR="003867A4" w:rsidRPr="003E273B">
        <w:rPr>
          <w:rFonts w:cs="Arial"/>
        </w:rPr>
        <w:t xml:space="preserve">of staff expressing </w:t>
      </w:r>
      <w:r w:rsidR="006A2783" w:rsidRPr="003E273B">
        <w:rPr>
          <w:rFonts w:cs="Arial"/>
        </w:rPr>
        <w:t>satisfaction</w:t>
      </w:r>
      <w:r w:rsidR="00B47B18" w:rsidRPr="003E273B">
        <w:rPr>
          <w:rFonts w:cs="Arial"/>
        </w:rPr>
        <w:t xml:space="preserve"> with supervisor support </w:t>
      </w:r>
      <w:r w:rsidR="00453C51" w:rsidRPr="003E273B">
        <w:rPr>
          <w:rFonts w:cs="Arial"/>
        </w:rPr>
        <w:t>for professional development</w:t>
      </w:r>
      <w:r w:rsidR="009E5C1E" w:rsidRPr="003E273B">
        <w:rPr>
          <w:rFonts w:cs="Arial"/>
        </w:rPr>
        <w:t xml:space="preserve"> and </w:t>
      </w:r>
      <w:r w:rsidR="00946C4C" w:rsidRPr="003E273B">
        <w:rPr>
          <w:rFonts w:cs="Arial"/>
        </w:rPr>
        <w:t xml:space="preserve">one-on-one </w:t>
      </w:r>
      <w:r w:rsidR="00C81AAB" w:rsidRPr="003E273B">
        <w:rPr>
          <w:rFonts w:cs="Arial"/>
        </w:rPr>
        <w:t xml:space="preserve">performance and development </w:t>
      </w:r>
      <w:r w:rsidR="00553FA1" w:rsidRPr="003E273B">
        <w:rPr>
          <w:rFonts w:cs="Arial"/>
        </w:rPr>
        <w:t>discussions</w:t>
      </w:r>
      <w:r w:rsidR="00453C51" w:rsidRPr="003E273B">
        <w:rPr>
          <w:rFonts w:cs="Arial"/>
        </w:rPr>
        <w:t>.</w:t>
      </w:r>
      <w:r w:rsidR="006F5F1D" w:rsidRPr="003E273B">
        <w:rPr>
          <w:rFonts w:cs="Arial"/>
        </w:rPr>
        <w:t xml:space="preserve"> </w:t>
      </w:r>
    </w:p>
    <w:p w14:paraId="577E4C7D" w14:textId="54541424" w:rsidR="00846719" w:rsidRDefault="001B0E8F" w:rsidP="00BC2281">
      <w:pPr>
        <w:spacing w:before="120" w:after="120"/>
        <w:rPr>
          <w:rFonts w:cs="Arial"/>
        </w:rPr>
      </w:pPr>
      <w:r w:rsidRPr="003E273B">
        <w:rPr>
          <w:rFonts w:cs="Arial"/>
        </w:rPr>
        <w:t xml:space="preserve">In addition, </w:t>
      </w:r>
      <w:r w:rsidR="00BF6099" w:rsidRPr="003E273B">
        <w:rPr>
          <w:rFonts w:cs="Arial"/>
        </w:rPr>
        <w:t xml:space="preserve">83 per cent of respondents </w:t>
      </w:r>
      <w:r w:rsidR="00D075C1" w:rsidRPr="003E273B">
        <w:rPr>
          <w:rFonts w:cs="Arial"/>
        </w:rPr>
        <w:t xml:space="preserve">indicated they </w:t>
      </w:r>
      <w:r w:rsidR="00EA238B">
        <w:rPr>
          <w:rFonts w:cs="Arial"/>
        </w:rPr>
        <w:t xml:space="preserve">understood </w:t>
      </w:r>
      <w:r w:rsidR="0051262C" w:rsidRPr="003E273B">
        <w:rPr>
          <w:rFonts w:cs="Arial"/>
        </w:rPr>
        <w:t>how their work contributes to the organisation</w:t>
      </w:r>
      <w:r w:rsidR="00B6569C">
        <w:rPr>
          <w:rFonts w:cs="Arial"/>
        </w:rPr>
        <w:t>’s</w:t>
      </w:r>
      <w:r w:rsidR="0051262C" w:rsidRPr="003E273B">
        <w:rPr>
          <w:rFonts w:cs="Arial"/>
        </w:rPr>
        <w:t xml:space="preserve"> </w:t>
      </w:r>
      <w:r w:rsidR="00935ED9" w:rsidRPr="003E273B">
        <w:rPr>
          <w:rFonts w:cs="Arial"/>
        </w:rPr>
        <w:t>strategies</w:t>
      </w:r>
      <w:r w:rsidR="00B6569C">
        <w:rPr>
          <w:rFonts w:cs="Arial"/>
        </w:rPr>
        <w:t>,</w:t>
      </w:r>
      <w:r w:rsidR="0080163B" w:rsidRPr="003E273B">
        <w:rPr>
          <w:rFonts w:cs="Arial"/>
        </w:rPr>
        <w:t xml:space="preserve"> and</w:t>
      </w:r>
      <w:r w:rsidR="000F2918" w:rsidRPr="003E273B">
        <w:rPr>
          <w:rFonts w:cs="Arial"/>
        </w:rPr>
        <w:t xml:space="preserve"> 66 per cent </w:t>
      </w:r>
      <w:r w:rsidR="00FE3AA0" w:rsidRPr="003E273B">
        <w:rPr>
          <w:rFonts w:cs="Arial"/>
        </w:rPr>
        <w:t xml:space="preserve">agreed that </w:t>
      </w:r>
      <w:r w:rsidR="00F41B6A" w:rsidRPr="003E273B">
        <w:rPr>
          <w:rFonts w:cs="Arial"/>
        </w:rPr>
        <w:t xml:space="preserve">the QBCC has a positive impact on </w:t>
      </w:r>
      <w:r w:rsidR="009A0BAE" w:rsidRPr="003E273B">
        <w:rPr>
          <w:rFonts w:cs="Arial"/>
        </w:rPr>
        <w:t>the Queensland community</w:t>
      </w:r>
      <w:r w:rsidR="0080163B" w:rsidRPr="003E273B">
        <w:rPr>
          <w:rFonts w:cs="Arial"/>
        </w:rPr>
        <w:t xml:space="preserve">. </w:t>
      </w:r>
      <w:r w:rsidR="00EB5386" w:rsidRPr="003E273B">
        <w:rPr>
          <w:rFonts w:cs="Arial"/>
        </w:rPr>
        <w:t>However, t</w:t>
      </w:r>
      <w:r w:rsidR="006F5F1D" w:rsidRPr="003E273B">
        <w:rPr>
          <w:rFonts w:cs="Arial"/>
        </w:rPr>
        <w:t xml:space="preserve">he </w:t>
      </w:r>
      <w:r w:rsidR="00FE3AA0" w:rsidRPr="003E273B">
        <w:rPr>
          <w:rFonts w:cs="Arial"/>
        </w:rPr>
        <w:t>overall s</w:t>
      </w:r>
      <w:r w:rsidR="003C379E" w:rsidRPr="003E273B">
        <w:rPr>
          <w:rFonts w:cs="Arial"/>
        </w:rPr>
        <w:t xml:space="preserve">taff engagement score </w:t>
      </w:r>
      <w:r w:rsidR="00FE3AA0" w:rsidRPr="003E273B">
        <w:rPr>
          <w:rFonts w:cs="Arial"/>
        </w:rPr>
        <w:t>was</w:t>
      </w:r>
      <w:r w:rsidR="003C379E" w:rsidRPr="003E273B">
        <w:rPr>
          <w:rFonts w:cs="Arial"/>
        </w:rPr>
        <w:t xml:space="preserve"> 46 per cent</w:t>
      </w:r>
      <w:r w:rsidR="00043D9D" w:rsidRPr="003E273B">
        <w:rPr>
          <w:rFonts w:cs="Arial"/>
        </w:rPr>
        <w:t>,</w:t>
      </w:r>
      <w:r w:rsidR="00FE3AA0" w:rsidRPr="003E273B">
        <w:rPr>
          <w:rFonts w:cs="Arial"/>
        </w:rPr>
        <w:t xml:space="preserve"> reflect</w:t>
      </w:r>
      <w:r w:rsidR="00043D9D" w:rsidRPr="003E273B">
        <w:rPr>
          <w:rFonts w:cs="Arial"/>
        </w:rPr>
        <w:t xml:space="preserve">ing </w:t>
      </w:r>
      <w:r w:rsidR="00562142">
        <w:rPr>
          <w:rFonts w:cs="Arial"/>
        </w:rPr>
        <w:t xml:space="preserve">that </w:t>
      </w:r>
      <w:r w:rsidR="004F3F2B">
        <w:rPr>
          <w:rFonts w:cs="Arial"/>
        </w:rPr>
        <w:t>more need</w:t>
      </w:r>
      <w:r w:rsidR="009968C8">
        <w:rPr>
          <w:rFonts w:cs="Arial"/>
        </w:rPr>
        <w:t>s</w:t>
      </w:r>
      <w:r w:rsidR="004F3F2B">
        <w:rPr>
          <w:rFonts w:cs="Arial"/>
        </w:rPr>
        <w:t xml:space="preserve"> to</w:t>
      </w:r>
      <w:r w:rsidR="00E07DF8">
        <w:rPr>
          <w:rFonts w:cs="Arial"/>
        </w:rPr>
        <w:t xml:space="preserve"> </w:t>
      </w:r>
      <w:r w:rsidR="009968C8">
        <w:rPr>
          <w:rFonts w:cs="Arial"/>
        </w:rPr>
        <w:t xml:space="preserve">be </w:t>
      </w:r>
      <w:r w:rsidR="00E07DF8">
        <w:rPr>
          <w:rFonts w:cs="Arial"/>
        </w:rPr>
        <w:t>do</w:t>
      </w:r>
      <w:r w:rsidR="009968C8">
        <w:rPr>
          <w:rFonts w:cs="Arial"/>
        </w:rPr>
        <w:t>ne</w:t>
      </w:r>
      <w:r w:rsidR="004F3F2B">
        <w:rPr>
          <w:rFonts w:cs="Arial"/>
        </w:rPr>
        <w:t xml:space="preserve">.  </w:t>
      </w:r>
    </w:p>
    <w:p w14:paraId="44841132" w14:textId="7F0F16B5" w:rsidR="002247F1" w:rsidRPr="00BC2281" w:rsidRDefault="004A567E" w:rsidP="00BC2281">
      <w:pPr>
        <w:spacing w:before="120" w:after="120"/>
        <w:rPr>
          <w:rFonts w:cs="Arial"/>
        </w:rPr>
      </w:pPr>
      <w:r w:rsidRPr="003E273B">
        <w:rPr>
          <w:rFonts w:cs="Arial"/>
        </w:rPr>
        <w:t xml:space="preserve">Insights from both surveys </w:t>
      </w:r>
      <w:r w:rsidR="00E77668">
        <w:rPr>
          <w:rFonts w:cs="Arial"/>
        </w:rPr>
        <w:t>guided</w:t>
      </w:r>
      <w:r w:rsidR="007264C8" w:rsidRPr="003E273B">
        <w:rPr>
          <w:rFonts w:cs="Arial"/>
        </w:rPr>
        <w:t xml:space="preserve"> </w:t>
      </w:r>
      <w:r w:rsidR="00D7162B" w:rsidRPr="003E273B">
        <w:rPr>
          <w:rFonts w:cs="Arial"/>
        </w:rPr>
        <w:t xml:space="preserve">the </w:t>
      </w:r>
      <w:r w:rsidR="00E77668">
        <w:rPr>
          <w:rFonts w:cs="Arial"/>
        </w:rPr>
        <w:t>creation</w:t>
      </w:r>
      <w:r w:rsidR="00D7162B" w:rsidRPr="003E273B">
        <w:rPr>
          <w:rFonts w:cs="Arial"/>
        </w:rPr>
        <w:t xml:space="preserve"> of </w:t>
      </w:r>
      <w:r w:rsidR="00DE7CF6">
        <w:rPr>
          <w:rFonts w:cs="Arial"/>
        </w:rPr>
        <w:t xml:space="preserve">commitment plans </w:t>
      </w:r>
      <w:r w:rsidR="00E77668">
        <w:rPr>
          <w:rFonts w:cs="Arial"/>
        </w:rPr>
        <w:t xml:space="preserve">across </w:t>
      </w:r>
      <w:r w:rsidR="006D5989">
        <w:rPr>
          <w:rFonts w:cs="Arial"/>
        </w:rPr>
        <w:t xml:space="preserve">the organisation </w:t>
      </w:r>
      <w:r w:rsidR="008810A3">
        <w:rPr>
          <w:rFonts w:cs="Arial"/>
        </w:rPr>
        <w:t xml:space="preserve">to enhance </w:t>
      </w:r>
      <w:r w:rsidR="00AB4D2A">
        <w:rPr>
          <w:rFonts w:cs="Arial"/>
        </w:rPr>
        <w:t xml:space="preserve">the </w:t>
      </w:r>
      <w:r w:rsidR="008810A3">
        <w:rPr>
          <w:rFonts w:cs="Arial"/>
        </w:rPr>
        <w:t xml:space="preserve">employee </w:t>
      </w:r>
      <w:r w:rsidR="00AB4D2A">
        <w:rPr>
          <w:rFonts w:cs="Arial"/>
        </w:rPr>
        <w:t xml:space="preserve">experience </w:t>
      </w:r>
      <w:r w:rsidR="00604CE9">
        <w:rPr>
          <w:rFonts w:cs="Arial"/>
        </w:rPr>
        <w:t xml:space="preserve">and </w:t>
      </w:r>
      <w:r w:rsidR="007802DE">
        <w:rPr>
          <w:rFonts w:cs="Arial"/>
        </w:rPr>
        <w:t xml:space="preserve">deliver </w:t>
      </w:r>
      <w:r w:rsidR="00D7162B" w:rsidRPr="003E273B">
        <w:rPr>
          <w:rFonts w:cs="Arial"/>
        </w:rPr>
        <w:t>initiatives</w:t>
      </w:r>
      <w:r w:rsidR="00310EC6" w:rsidRPr="003E273B">
        <w:rPr>
          <w:rFonts w:cs="Arial"/>
        </w:rPr>
        <w:t xml:space="preserve"> </w:t>
      </w:r>
      <w:r w:rsidR="00834024">
        <w:rPr>
          <w:rFonts w:cs="Arial"/>
        </w:rPr>
        <w:t>d</w:t>
      </w:r>
      <w:r w:rsidR="00D0559F">
        <w:rPr>
          <w:rFonts w:cs="Arial"/>
        </w:rPr>
        <w:t>esigned to s</w:t>
      </w:r>
      <w:r w:rsidR="00803D03" w:rsidRPr="003E273B">
        <w:rPr>
          <w:rFonts w:cs="Arial"/>
        </w:rPr>
        <w:t>trengthen</w:t>
      </w:r>
      <w:r w:rsidR="00820794">
        <w:rPr>
          <w:rFonts w:cs="Arial"/>
        </w:rPr>
        <w:t>ing</w:t>
      </w:r>
      <w:r w:rsidR="00BE624C" w:rsidRPr="003E273B">
        <w:rPr>
          <w:rFonts w:cs="Arial"/>
        </w:rPr>
        <w:t xml:space="preserve"> </w:t>
      </w:r>
      <w:r w:rsidR="009B12A7" w:rsidRPr="003E273B">
        <w:rPr>
          <w:rFonts w:cs="Arial"/>
        </w:rPr>
        <w:t>engagement</w:t>
      </w:r>
      <w:r w:rsidR="00032B30" w:rsidRPr="003E273B">
        <w:rPr>
          <w:rFonts w:cs="Arial"/>
        </w:rPr>
        <w:t xml:space="preserve">, </w:t>
      </w:r>
      <w:r w:rsidR="00DF4422" w:rsidRPr="003E273B">
        <w:rPr>
          <w:rFonts w:cs="Arial"/>
        </w:rPr>
        <w:t>connection</w:t>
      </w:r>
      <w:r w:rsidR="00420778" w:rsidRPr="003E273B">
        <w:rPr>
          <w:rFonts w:cs="Arial"/>
        </w:rPr>
        <w:t xml:space="preserve"> </w:t>
      </w:r>
      <w:r w:rsidR="00032B30" w:rsidRPr="003E273B">
        <w:rPr>
          <w:rFonts w:cs="Arial"/>
        </w:rPr>
        <w:t xml:space="preserve">and sense of </w:t>
      </w:r>
      <w:r w:rsidR="00032B30" w:rsidRPr="006660B8">
        <w:rPr>
          <w:rFonts w:cs="Arial"/>
        </w:rPr>
        <w:t>purpose</w:t>
      </w:r>
      <w:r w:rsidR="009961DE" w:rsidRPr="006660B8">
        <w:rPr>
          <w:rFonts w:cs="Arial"/>
        </w:rPr>
        <w:t>. The plans also</w:t>
      </w:r>
      <w:r w:rsidR="006A483F" w:rsidRPr="006660B8">
        <w:rPr>
          <w:rFonts w:cs="Arial"/>
        </w:rPr>
        <w:t xml:space="preserve"> </w:t>
      </w:r>
      <w:r w:rsidR="003F308F" w:rsidRPr="006660B8">
        <w:rPr>
          <w:rFonts w:cs="Arial"/>
        </w:rPr>
        <w:t xml:space="preserve">focus on creating positive work environments and </w:t>
      </w:r>
      <w:r w:rsidR="002964C7" w:rsidRPr="006660B8">
        <w:rPr>
          <w:rFonts w:cs="Arial"/>
        </w:rPr>
        <w:t xml:space="preserve">targeted </w:t>
      </w:r>
      <w:r w:rsidR="007C2D20" w:rsidRPr="006660B8">
        <w:rPr>
          <w:rFonts w:cs="Arial"/>
        </w:rPr>
        <w:t>actions</w:t>
      </w:r>
      <w:r w:rsidR="003F308F" w:rsidRPr="006660B8">
        <w:rPr>
          <w:rFonts w:cs="Arial"/>
        </w:rPr>
        <w:t xml:space="preserve"> to examine and address work demands</w:t>
      </w:r>
      <w:r w:rsidR="009B12A7" w:rsidRPr="006660B8">
        <w:rPr>
          <w:rFonts w:cs="Arial"/>
        </w:rPr>
        <w:t xml:space="preserve">. </w:t>
      </w:r>
      <w:r w:rsidR="002964C7" w:rsidRPr="006660B8">
        <w:rPr>
          <w:rFonts w:cs="Arial"/>
        </w:rPr>
        <w:t>Survey</w:t>
      </w:r>
      <w:r w:rsidR="00052E4B" w:rsidRPr="006660B8">
        <w:rPr>
          <w:rFonts w:cs="Arial"/>
        </w:rPr>
        <w:t xml:space="preserve"> insights</w:t>
      </w:r>
      <w:r w:rsidR="002964C7" w:rsidRPr="006660B8">
        <w:rPr>
          <w:rFonts w:cs="Arial"/>
        </w:rPr>
        <w:t xml:space="preserve"> </w:t>
      </w:r>
      <w:r w:rsidR="004F2E49" w:rsidRPr="006660B8">
        <w:rPr>
          <w:rFonts w:cs="Arial"/>
        </w:rPr>
        <w:t>continue</w:t>
      </w:r>
      <w:r w:rsidR="004F2E49">
        <w:rPr>
          <w:rFonts w:cs="Arial"/>
        </w:rPr>
        <w:t xml:space="preserve"> to </w:t>
      </w:r>
      <w:r w:rsidR="00771917">
        <w:rPr>
          <w:rFonts w:cs="Arial"/>
        </w:rPr>
        <w:t>shape</w:t>
      </w:r>
      <w:r w:rsidR="004F2E49">
        <w:rPr>
          <w:rFonts w:cs="Arial"/>
        </w:rPr>
        <w:t xml:space="preserve"> </w:t>
      </w:r>
      <w:r w:rsidR="007222D5">
        <w:rPr>
          <w:rFonts w:cs="Arial"/>
        </w:rPr>
        <w:t xml:space="preserve">broader </w:t>
      </w:r>
      <w:r w:rsidR="007F2BB2" w:rsidRPr="003E273B">
        <w:rPr>
          <w:rFonts w:cs="Arial"/>
        </w:rPr>
        <w:t xml:space="preserve">organisational </w:t>
      </w:r>
      <w:r w:rsidR="00E353FB" w:rsidRPr="003E273B">
        <w:rPr>
          <w:rFonts w:cs="Arial"/>
        </w:rPr>
        <w:t xml:space="preserve">strategies </w:t>
      </w:r>
      <w:r w:rsidR="00771917">
        <w:rPr>
          <w:rFonts w:cs="Arial"/>
        </w:rPr>
        <w:t xml:space="preserve">aimed at creating </w:t>
      </w:r>
      <w:r w:rsidR="003C5044">
        <w:rPr>
          <w:rFonts w:cs="Arial"/>
        </w:rPr>
        <w:t xml:space="preserve">a </w:t>
      </w:r>
      <w:r w:rsidR="00DB3B7D" w:rsidRPr="003E273B">
        <w:rPr>
          <w:rFonts w:cs="Arial"/>
        </w:rPr>
        <w:t xml:space="preserve">more inclusive, </w:t>
      </w:r>
      <w:r w:rsidR="00507199" w:rsidRPr="003E273B">
        <w:rPr>
          <w:rFonts w:cs="Arial"/>
        </w:rPr>
        <w:t>connected</w:t>
      </w:r>
      <w:r w:rsidR="00DB3B7D" w:rsidRPr="003E273B">
        <w:rPr>
          <w:rFonts w:cs="Arial"/>
        </w:rPr>
        <w:t xml:space="preserve"> and </w:t>
      </w:r>
      <w:r w:rsidR="00507199" w:rsidRPr="003E273B">
        <w:rPr>
          <w:rFonts w:cs="Arial"/>
        </w:rPr>
        <w:t xml:space="preserve">empowering </w:t>
      </w:r>
      <w:r w:rsidR="00DB3B7D" w:rsidRPr="003E273B">
        <w:rPr>
          <w:rFonts w:cs="Arial"/>
        </w:rPr>
        <w:t>work</w:t>
      </w:r>
      <w:r w:rsidR="003C5044">
        <w:rPr>
          <w:rFonts w:cs="Arial"/>
        </w:rPr>
        <w:t>place</w:t>
      </w:r>
      <w:r w:rsidR="00DB3B7D" w:rsidRPr="003E273B">
        <w:rPr>
          <w:rFonts w:cs="Arial"/>
        </w:rPr>
        <w:t>.</w:t>
      </w:r>
      <w:r w:rsidR="00DB3B7D" w:rsidRPr="7CBA624D">
        <w:rPr>
          <w:rFonts w:cs="Arial"/>
        </w:rPr>
        <w:t xml:space="preserve"> </w:t>
      </w:r>
    </w:p>
    <w:p w14:paraId="16E2F924" w14:textId="025D3073" w:rsidR="00BF67B7" w:rsidRPr="00A92538" w:rsidRDefault="00BF67B7" w:rsidP="00DB7C79">
      <w:pPr>
        <w:pStyle w:val="Heading4"/>
      </w:pPr>
      <w:bookmarkStart w:id="254" w:name="_Innovation_factory"/>
      <w:bookmarkEnd w:id="254"/>
      <w:r w:rsidRPr="00A92538">
        <w:t>Innovation factory</w:t>
      </w:r>
    </w:p>
    <w:p w14:paraId="6C00E8A2" w14:textId="38FE01CB" w:rsidR="00960034" w:rsidRPr="00960034" w:rsidRDefault="00254AB3" w:rsidP="00BC2281">
      <w:pPr>
        <w:spacing w:before="120" w:after="120"/>
        <w:rPr>
          <w:rFonts w:cs="Arial"/>
        </w:rPr>
      </w:pPr>
      <w:r>
        <w:rPr>
          <w:rFonts w:cs="Arial"/>
        </w:rPr>
        <w:t xml:space="preserve">In 2024–25, </w:t>
      </w:r>
      <w:r w:rsidR="00960034" w:rsidRPr="00960034">
        <w:rPr>
          <w:rFonts w:cs="Arial"/>
        </w:rPr>
        <w:t xml:space="preserve">the Innovation Factory successfully </w:t>
      </w:r>
      <w:r w:rsidR="0015115D">
        <w:rPr>
          <w:rFonts w:cs="Arial"/>
        </w:rPr>
        <w:t xml:space="preserve">advanced </w:t>
      </w:r>
      <w:r w:rsidR="00960034" w:rsidRPr="00960034">
        <w:rPr>
          <w:rFonts w:cs="Arial"/>
        </w:rPr>
        <w:t xml:space="preserve">a </w:t>
      </w:r>
      <w:r w:rsidR="0015115D">
        <w:rPr>
          <w:rFonts w:cs="Arial"/>
        </w:rPr>
        <w:t>variety</w:t>
      </w:r>
      <w:r w:rsidR="00960034" w:rsidRPr="00960034">
        <w:rPr>
          <w:rFonts w:cs="Arial"/>
        </w:rPr>
        <w:t xml:space="preserve"> of impactful initiatives</w:t>
      </w:r>
      <w:r w:rsidR="005C27AA">
        <w:rPr>
          <w:rFonts w:cs="Arial"/>
        </w:rPr>
        <w:t>,</w:t>
      </w:r>
      <w:r w:rsidR="00960034" w:rsidRPr="00960034">
        <w:rPr>
          <w:rFonts w:cs="Arial"/>
        </w:rPr>
        <w:t xml:space="preserve"> including:</w:t>
      </w:r>
    </w:p>
    <w:p w14:paraId="25200AC7" w14:textId="6A061484" w:rsidR="008E298E" w:rsidRDefault="00694816" w:rsidP="38FB3BF5">
      <w:pPr>
        <w:pStyle w:val="ListParagraph"/>
        <w:numPr>
          <w:ilvl w:val="0"/>
          <w:numId w:val="35"/>
        </w:numPr>
        <w:spacing w:before="120" w:after="120"/>
        <w:ind w:left="714" w:hanging="357"/>
        <w:contextualSpacing w:val="0"/>
        <w:rPr>
          <w:rFonts w:cs="Arial"/>
        </w:rPr>
      </w:pPr>
      <w:r>
        <w:rPr>
          <w:rFonts w:cs="Arial"/>
        </w:rPr>
        <w:t>d</w:t>
      </w:r>
      <w:r w:rsidR="007A4A00">
        <w:rPr>
          <w:rFonts w:cs="Arial"/>
        </w:rPr>
        <w:t>eveloping</w:t>
      </w:r>
      <w:r w:rsidR="008E298E">
        <w:rPr>
          <w:rFonts w:cs="Arial"/>
        </w:rPr>
        <w:t xml:space="preserve"> </w:t>
      </w:r>
      <w:r w:rsidR="005B2AFA">
        <w:rPr>
          <w:rFonts w:cs="Arial"/>
        </w:rPr>
        <w:t xml:space="preserve">and launching </w:t>
      </w:r>
      <w:r w:rsidR="008E298E">
        <w:rPr>
          <w:rFonts w:cs="Arial"/>
        </w:rPr>
        <w:t xml:space="preserve">an online </w:t>
      </w:r>
      <w:bookmarkStart w:id="255" w:name="_Int_A1V0OU6m"/>
      <w:proofErr w:type="gramStart"/>
      <w:r w:rsidR="008E298E">
        <w:rPr>
          <w:rFonts w:cs="Arial"/>
        </w:rPr>
        <w:t>Home Owner</w:t>
      </w:r>
      <w:bookmarkEnd w:id="255"/>
      <w:proofErr w:type="gramEnd"/>
      <w:r w:rsidR="008E298E">
        <w:rPr>
          <w:rFonts w:cs="Arial"/>
        </w:rPr>
        <w:t xml:space="preserve"> Hub</w:t>
      </w:r>
      <w:r w:rsidR="00E1035B">
        <w:rPr>
          <w:rFonts w:cs="Arial"/>
        </w:rPr>
        <w:t xml:space="preserve"> </w:t>
      </w:r>
      <w:r w:rsidR="007A4A00">
        <w:rPr>
          <w:rFonts w:cs="Arial"/>
        </w:rPr>
        <w:t>on the QBCC’s website</w:t>
      </w:r>
    </w:p>
    <w:p w14:paraId="577FDEAB" w14:textId="7AB3D205" w:rsidR="00890192" w:rsidRDefault="00694816" w:rsidP="00BD69F7">
      <w:pPr>
        <w:pStyle w:val="ListParagraph"/>
        <w:numPr>
          <w:ilvl w:val="0"/>
          <w:numId w:val="35"/>
        </w:numPr>
        <w:spacing w:before="120" w:after="120"/>
        <w:ind w:left="714" w:hanging="357"/>
        <w:contextualSpacing w:val="0"/>
        <w:rPr>
          <w:rFonts w:cs="Arial"/>
        </w:rPr>
      </w:pPr>
      <w:r>
        <w:rPr>
          <w:rFonts w:cs="Arial"/>
        </w:rPr>
        <w:t>e</w:t>
      </w:r>
      <w:r w:rsidR="00890192">
        <w:rPr>
          <w:rFonts w:cs="Arial"/>
        </w:rPr>
        <w:t xml:space="preserve">stablishing a </w:t>
      </w:r>
      <w:r w:rsidR="00890192" w:rsidRPr="00890192">
        <w:rPr>
          <w:rFonts w:cs="Arial"/>
        </w:rPr>
        <w:t>digital hub</w:t>
      </w:r>
      <w:r w:rsidR="00890192">
        <w:rPr>
          <w:rFonts w:cs="Arial"/>
        </w:rPr>
        <w:t xml:space="preserve"> </w:t>
      </w:r>
      <w:r w:rsidR="005C27AA">
        <w:rPr>
          <w:rFonts w:cs="Arial"/>
        </w:rPr>
        <w:t xml:space="preserve">equipped </w:t>
      </w:r>
      <w:r w:rsidR="00890192">
        <w:rPr>
          <w:rFonts w:cs="Arial"/>
        </w:rPr>
        <w:t xml:space="preserve">with </w:t>
      </w:r>
      <w:r w:rsidR="00890192" w:rsidRPr="00890192">
        <w:rPr>
          <w:rFonts w:cs="Arial"/>
        </w:rPr>
        <w:t>tools for submitting, sharing</w:t>
      </w:r>
      <w:r w:rsidR="00300A77">
        <w:rPr>
          <w:rFonts w:cs="Arial"/>
        </w:rPr>
        <w:t xml:space="preserve"> </w:t>
      </w:r>
      <w:r w:rsidR="00890192" w:rsidRPr="00890192">
        <w:rPr>
          <w:rFonts w:cs="Arial"/>
        </w:rPr>
        <w:t>and refining ideas</w:t>
      </w:r>
    </w:p>
    <w:p w14:paraId="0A9A7975" w14:textId="3FC09F42" w:rsidR="00221152" w:rsidRDefault="00694816" w:rsidP="00BD69F7">
      <w:pPr>
        <w:pStyle w:val="ListParagraph"/>
        <w:numPr>
          <w:ilvl w:val="0"/>
          <w:numId w:val="35"/>
        </w:numPr>
        <w:spacing w:before="120" w:after="120"/>
        <w:ind w:left="714" w:hanging="357"/>
        <w:contextualSpacing w:val="0"/>
        <w:rPr>
          <w:rFonts w:cs="Arial"/>
        </w:rPr>
      </w:pPr>
      <w:r>
        <w:rPr>
          <w:rFonts w:cs="Arial"/>
        </w:rPr>
        <w:t>s</w:t>
      </w:r>
      <w:r w:rsidR="007A4A00">
        <w:rPr>
          <w:rFonts w:cs="Arial"/>
        </w:rPr>
        <w:t>upporting the implementation of</w:t>
      </w:r>
      <w:r w:rsidR="00503626">
        <w:rPr>
          <w:rFonts w:cs="Arial"/>
        </w:rPr>
        <w:t xml:space="preserve"> </w:t>
      </w:r>
      <w:r w:rsidR="005C27AA">
        <w:rPr>
          <w:rFonts w:cs="Arial"/>
        </w:rPr>
        <w:t>‘</w:t>
      </w:r>
      <w:r w:rsidR="002D7C4D">
        <w:rPr>
          <w:rFonts w:cs="Arial"/>
        </w:rPr>
        <w:t>C</w:t>
      </w:r>
      <w:r w:rsidR="00503626" w:rsidRPr="00503626">
        <w:rPr>
          <w:rFonts w:cs="Arial"/>
        </w:rPr>
        <w:t xml:space="preserve">ontainers for </w:t>
      </w:r>
      <w:r w:rsidR="002D7C4D">
        <w:rPr>
          <w:rFonts w:cs="Arial"/>
        </w:rPr>
        <w:t>C</w:t>
      </w:r>
      <w:r w:rsidR="00503626" w:rsidRPr="00503626">
        <w:rPr>
          <w:rFonts w:cs="Arial"/>
        </w:rPr>
        <w:t>hange</w:t>
      </w:r>
      <w:r w:rsidR="005C27AA">
        <w:rPr>
          <w:rFonts w:cs="Arial"/>
        </w:rPr>
        <w:t>’</w:t>
      </w:r>
      <w:r w:rsidR="00503626" w:rsidRPr="00503626">
        <w:rPr>
          <w:rFonts w:cs="Arial"/>
        </w:rPr>
        <w:t xml:space="preserve"> </w:t>
      </w:r>
      <w:r w:rsidR="005C27AA">
        <w:rPr>
          <w:rFonts w:cs="Arial"/>
        </w:rPr>
        <w:t>within</w:t>
      </w:r>
      <w:r w:rsidR="00503626" w:rsidRPr="00503626">
        <w:rPr>
          <w:rFonts w:cs="Arial"/>
        </w:rPr>
        <w:t xml:space="preserve"> </w:t>
      </w:r>
      <w:r w:rsidR="00EA5B2F">
        <w:rPr>
          <w:rFonts w:cs="Arial"/>
        </w:rPr>
        <w:t>the</w:t>
      </w:r>
      <w:r w:rsidR="00503626" w:rsidRPr="00503626">
        <w:rPr>
          <w:rFonts w:cs="Arial"/>
        </w:rPr>
        <w:t xml:space="preserve"> workplaces</w:t>
      </w:r>
    </w:p>
    <w:p w14:paraId="0B1A17C6" w14:textId="35C0D33F" w:rsidR="00960034" w:rsidRPr="005C446A" w:rsidRDefault="00694816" w:rsidP="00BD69F7">
      <w:pPr>
        <w:pStyle w:val="ListParagraph"/>
        <w:numPr>
          <w:ilvl w:val="0"/>
          <w:numId w:val="35"/>
        </w:numPr>
        <w:spacing w:before="120" w:after="120"/>
        <w:ind w:left="714" w:hanging="357"/>
        <w:contextualSpacing w:val="0"/>
        <w:rPr>
          <w:rFonts w:cs="Arial"/>
        </w:rPr>
      </w:pPr>
      <w:r>
        <w:rPr>
          <w:rFonts w:cs="Arial"/>
        </w:rPr>
        <w:t>a</w:t>
      </w:r>
      <w:r w:rsidR="00046759">
        <w:rPr>
          <w:rFonts w:cs="Arial"/>
        </w:rPr>
        <w:t xml:space="preserve">dvancing </w:t>
      </w:r>
      <w:r w:rsidR="008E70D7">
        <w:rPr>
          <w:rFonts w:cs="Arial"/>
        </w:rPr>
        <w:t xml:space="preserve">the development of </w:t>
      </w:r>
      <w:r w:rsidR="00960034" w:rsidRPr="005C446A">
        <w:rPr>
          <w:rFonts w:cs="Arial"/>
        </w:rPr>
        <w:t>a ‘Lessons Learn</w:t>
      </w:r>
      <w:r w:rsidR="000A1978">
        <w:rPr>
          <w:rFonts w:cs="Arial"/>
        </w:rPr>
        <w:t>ed</w:t>
      </w:r>
      <w:r w:rsidR="00960034" w:rsidRPr="005C446A">
        <w:rPr>
          <w:rFonts w:cs="Arial"/>
        </w:rPr>
        <w:t xml:space="preserve">’ platform to capture </w:t>
      </w:r>
      <w:r w:rsidR="002D7C4D">
        <w:rPr>
          <w:rFonts w:cs="Arial"/>
        </w:rPr>
        <w:t xml:space="preserve">and share </w:t>
      </w:r>
      <w:r w:rsidR="00960034" w:rsidRPr="005C446A">
        <w:rPr>
          <w:rFonts w:cs="Arial"/>
        </w:rPr>
        <w:t xml:space="preserve">organisational </w:t>
      </w:r>
      <w:r w:rsidR="008E70D7">
        <w:rPr>
          <w:rFonts w:cs="Arial"/>
        </w:rPr>
        <w:t>insights</w:t>
      </w:r>
      <w:r w:rsidR="00B75628">
        <w:rPr>
          <w:rFonts w:cs="Arial"/>
        </w:rPr>
        <w:t xml:space="preserve"> and support continuous improvement in </w:t>
      </w:r>
      <w:r w:rsidR="007A4A00">
        <w:rPr>
          <w:rFonts w:cs="Arial"/>
        </w:rPr>
        <w:t>decision</w:t>
      </w:r>
      <w:r w:rsidR="00B36C25">
        <w:rPr>
          <w:rFonts w:cs="Arial"/>
        </w:rPr>
        <w:t xml:space="preserve"> </w:t>
      </w:r>
      <w:r w:rsidR="007A4A00">
        <w:rPr>
          <w:rFonts w:cs="Arial"/>
        </w:rPr>
        <w:t>making</w:t>
      </w:r>
    </w:p>
    <w:p w14:paraId="68C6E5CB" w14:textId="3E561F26" w:rsidR="00960034" w:rsidRPr="005C446A" w:rsidRDefault="00694816" w:rsidP="00BD69F7">
      <w:pPr>
        <w:pStyle w:val="ListParagraph"/>
        <w:numPr>
          <w:ilvl w:val="0"/>
          <w:numId w:val="35"/>
        </w:numPr>
        <w:spacing w:before="120" w:after="120"/>
        <w:ind w:left="714" w:hanging="357"/>
        <w:contextualSpacing w:val="0"/>
        <w:rPr>
          <w:rFonts w:cs="Arial"/>
        </w:rPr>
      </w:pPr>
      <w:r>
        <w:rPr>
          <w:rFonts w:cs="Arial"/>
        </w:rPr>
        <w:t>e</w:t>
      </w:r>
      <w:r w:rsidR="007A4A00">
        <w:rPr>
          <w:rFonts w:cs="Arial"/>
        </w:rPr>
        <w:t>nhancing t</w:t>
      </w:r>
      <w:r w:rsidR="00E61693">
        <w:rPr>
          <w:rFonts w:cs="Arial"/>
        </w:rPr>
        <w:t xml:space="preserve">he new starter onboarding </w:t>
      </w:r>
      <w:r w:rsidR="00624625">
        <w:rPr>
          <w:rFonts w:cs="Arial"/>
        </w:rPr>
        <w:t xml:space="preserve">experience by </w:t>
      </w:r>
      <w:r w:rsidR="00CA3D5E">
        <w:rPr>
          <w:rFonts w:cs="Arial"/>
        </w:rPr>
        <w:t>contributing to</w:t>
      </w:r>
      <w:r w:rsidR="00FF189D">
        <w:rPr>
          <w:rFonts w:cs="Arial"/>
        </w:rPr>
        <w:t xml:space="preserve"> a successful </w:t>
      </w:r>
      <w:r w:rsidR="00624625">
        <w:rPr>
          <w:rFonts w:cs="Arial"/>
        </w:rPr>
        <w:t xml:space="preserve">delivery of </w:t>
      </w:r>
      <w:r w:rsidR="00193E63">
        <w:rPr>
          <w:rFonts w:cs="Arial"/>
        </w:rPr>
        <w:t xml:space="preserve">a </w:t>
      </w:r>
      <w:r w:rsidR="00FF189D">
        <w:rPr>
          <w:rFonts w:cs="Arial"/>
        </w:rPr>
        <w:t xml:space="preserve">‘Welcome Day’ </w:t>
      </w:r>
      <w:r w:rsidR="00193E63">
        <w:rPr>
          <w:rFonts w:cs="Arial"/>
        </w:rPr>
        <w:t>p</w:t>
      </w:r>
      <w:r w:rsidR="001309BF">
        <w:rPr>
          <w:rFonts w:cs="Arial"/>
        </w:rPr>
        <w:t>ilot for new employees</w:t>
      </w:r>
    </w:p>
    <w:p w14:paraId="58BB9D7F" w14:textId="578712D0" w:rsidR="00960034" w:rsidRPr="005C446A" w:rsidRDefault="00694816" w:rsidP="00BD69F7">
      <w:pPr>
        <w:pStyle w:val="ListParagraph"/>
        <w:numPr>
          <w:ilvl w:val="0"/>
          <w:numId w:val="35"/>
        </w:numPr>
        <w:spacing w:before="120" w:after="120"/>
        <w:ind w:left="714" w:hanging="357"/>
        <w:contextualSpacing w:val="0"/>
        <w:rPr>
          <w:rFonts w:cs="Arial"/>
        </w:rPr>
      </w:pPr>
      <w:r>
        <w:rPr>
          <w:rFonts w:cs="Arial"/>
        </w:rPr>
        <w:t>e</w:t>
      </w:r>
      <w:r w:rsidR="00B256F5">
        <w:rPr>
          <w:rFonts w:cs="Arial"/>
        </w:rPr>
        <w:t xml:space="preserve">nhancing </w:t>
      </w:r>
      <w:r w:rsidR="00960034" w:rsidRPr="005C446A">
        <w:rPr>
          <w:rFonts w:cs="Arial"/>
        </w:rPr>
        <w:t>after-hours connectivity for facilities support</w:t>
      </w:r>
    </w:p>
    <w:p w14:paraId="05DC8289" w14:textId="63C481DA" w:rsidR="00960034" w:rsidRPr="005C446A" w:rsidRDefault="00694816" w:rsidP="00BD69F7">
      <w:pPr>
        <w:pStyle w:val="ListParagraph"/>
        <w:numPr>
          <w:ilvl w:val="0"/>
          <w:numId w:val="35"/>
        </w:numPr>
        <w:spacing w:before="120" w:after="120"/>
        <w:ind w:left="714" w:hanging="357"/>
        <w:contextualSpacing w:val="0"/>
        <w:rPr>
          <w:rFonts w:cs="Arial"/>
        </w:rPr>
      </w:pPr>
      <w:r>
        <w:rPr>
          <w:rFonts w:cs="Arial"/>
        </w:rPr>
        <w:t>s</w:t>
      </w:r>
      <w:r w:rsidR="00960034" w:rsidRPr="005C446A">
        <w:rPr>
          <w:rFonts w:cs="Arial"/>
        </w:rPr>
        <w:t xml:space="preserve">trengthening workplace health and safety peer support and </w:t>
      </w:r>
      <w:r w:rsidR="00500439">
        <w:rPr>
          <w:rFonts w:cs="Arial"/>
        </w:rPr>
        <w:t>h</w:t>
      </w:r>
      <w:r w:rsidR="00D44BE1">
        <w:rPr>
          <w:rFonts w:cs="Arial"/>
        </w:rPr>
        <w:t xml:space="preserve">uman </w:t>
      </w:r>
      <w:r w:rsidR="00500439">
        <w:rPr>
          <w:rFonts w:cs="Arial"/>
        </w:rPr>
        <w:t>r</w:t>
      </w:r>
      <w:r w:rsidR="00D44BE1">
        <w:rPr>
          <w:rFonts w:cs="Arial"/>
        </w:rPr>
        <w:t>esources</w:t>
      </w:r>
      <w:r w:rsidR="00960034" w:rsidRPr="005C446A">
        <w:rPr>
          <w:rFonts w:cs="Arial"/>
        </w:rPr>
        <w:t xml:space="preserve"> </w:t>
      </w:r>
      <w:r w:rsidR="00500439">
        <w:rPr>
          <w:rFonts w:cs="Arial"/>
        </w:rPr>
        <w:t>c</w:t>
      </w:r>
      <w:r w:rsidR="00960034" w:rsidRPr="005C446A">
        <w:rPr>
          <w:rFonts w:cs="Arial"/>
        </w:rPr>
        <w:t xml:space="preserve">ontact </w:t>
      </w:r>
      <w:r w:rsidR="00500439">
        <w:rPr>
          <w:rFonts w:cs="Arial"/>
        </w:rPr>
        <w:t>o</w:t>
      </w:r>
      <w:r w:rsidR="00960034" w:rsidRPr="005C446A">
        <w:rPr>
          <w:rFonts w:cs="Arial"/>
        </w:rPr>
        <w:t>fficer networks</w:t>
      </w:r>
    </w:p>
    <w:p w14:paraId="1214B6EE" w14:textId="04B68268" w:rsidR="001309BF" w:rsidRPr="005C446A" w:rsidRDefault="00694816" w:rsidP="00BD69F7">
      <w:pPr>
        <w:pStyle w:val="ListParagraph"/>
        <w:numPr>
          <w:ilvl w:val="0"/>
          <w:numId w:val="35"/>
        </w:numPr>
        <w:spacing w:before="120" w:after="120"/>
        <w:ind w:left="714" w:hanging="357"/>
        <w:contextualSpacing w:val="0"/>
        <w:rPr>
          <w:rFonts w:cs="Arial"/>
        </w:rPr>
      </w:pPr>
      <w:r>
        <w:rPr>
          <w:rFonts w:cs="Arial"/>
        </w:rPr>
        <w:t>s</w:t>
      </w:r>
      <w:r w:rsidR="00191FF3">
        <w:rPr>
          <w:rFonts w:cs="Arial"/>
        </w:rPr>
        <w:t xml:space="preserve">upporting in-house Justice of the Peace services through centralising </w:t>
      </w:r>
      <w:r w:rsidR="00E64724">
        <w:rPr>
          <w:rFonts w:cs="Arial"/>
        </w:rPr>
        <w:t>access to shared stamps</w:t>
      </w:r>
      <w:r w:rsidR="0004122C">
        <w:rPr>
          <w:rFonts w:cs="Arial"/>
        </w:rPr>
        <w:t xml:space="preserve"> and </w:t>
      </w:r>
      <w:r w:rsidR="001156ED">
        <w:rPr>
          <w:rFonts w:cs="Arial"/>
        </w:rPr>
        <w:t xml:space="preserve">reference </w:t>
      </w:r>
      <w:r w:rsidR="0004122C">
        <w:rPr>
          <w:rFonts w:cs="Arial"/>
        </w:rPr>
        <w:t>manuals.</w:t>
      </w:r>
    </w:p>
    <w:p w14:paraId="74D2F419" w14:textId="09165E70" w:rsidR="00971DAC" w:rsidRPr="00BC06D8" w:rsidRDefault="00960034" w:rsidP="00BC2281">
      <w:pPr>
        <w:spacing w:before="120" w:after="120"/>
      </w:pPr>
      <w:r w:rsidRPr="00960034">
        <w:rPr>
          <w:rFonts w:cs="Arial"/>
        </w:rPr>
        <w:t>Over</w:t>
      </w:r>
      <w:r w:rsidR="00BF5A51">
        <w:rPr>
          <w:rFonts w:cs="Arial"/>
        </w:rPr>
        <w:t xml:space="preserve"> the past</w:t>
      </w:r>
      <w:r w:rsidRPr="00960034">
        <w:rPr>
          <w:rFonts w:cs="Arial"/>
        </w:rPr>
        <w:t xml:space="preserve"> 18 months, the Innovation Factory has </w:t>
      </w:r>
      <w:r w:rsidR="006A06B6">
        <w:rPr>
          <w:rFonts w:cs="Arial"/>
        </w:rPr>
        <w:t>supported</w:t>
      </w:r>
      <w:r w:rsidR="00232667">
        <w:rPr>
          <w:rFonts w:cs="Arial"/>
        </w:rPr>
        <w:t xml:space="preserve"> a</w:t>
      </w:r>
      <w:r w:rsidRPr="00960034">
        <w:rPr>
          <w:rFonts w:cs="Arial"/>
        </w:rPr>
        <w:t xml:space="preserve"> safe </w:t>
      </w:r>
      <w:r w:rsidR="00232667">
        <w:rPr>
          <w:rFonts w:cs="Arial"/>
        </w:rPr>
        <w:t xml:space="preserve">environment for </w:t>
      </w:r>
      <w:r w:rsidRPr="00960034">
        <w:rPr>
          <w:rFonts w:cs="Arial"/>
        </w:rPr>
        <w:t>constructive dialogue</w:t>
      </w:r>
      <w:r w:rsidR="007F109D">
        <w:rPr>
          <w:rFonts w:cs="Arial"/>
        </w:rPr>
        <w:t xml:space="preserve"> that has </w:t>
      </w:r>
      <w:r w:rsidR="00F02673">
        <w:rPr>
          <w:rFonts w:cs="Arial"/>
        </w:rPr>
        <w:t>empower</w:t>
      </w:r>
      <w:r w:rsidR="007F109D">
        <w:rPr>
          <w:rFonts w:cs="Arial"/>
        </w:rPr>
        <w:t xml:space="preserve">ed </w:t>
      </w:r>
      <w:r w:rsidR="007B1E98">
        <w:rPr>
          <w:rFonts w:cs="Arial"/>
        </w:rPr>
        <w:t>its</w:t>
      </w:r>
      <w:r w:rsidR="00BB5857">
        <w:rPr>
          <w:rFonts w:cs="Arial"/>
        </w:rPr>
        <w:t xml:space="preserve"> people</w:t>
      </w:r>
      <w:r w:rsidRPr="00960034">
        <w:rPr>
          <w:rFonts w:cs="Arial"/>
        </w:rPr>
        <w:t xml:space="preserve"> to </w:t>
      </w:r>
      <w:r w:rsidR="00517F9D">
        <w:rPr>
          <w:rFonts w:cs="Arial"/>
        </w:rPr>
        <w:t xml:space="preserve">pursue </w:t>
      </w:r>
      <w:r w:rsidRPr="00960034">
        <w:rPr>
          <w:rFonts w:cs="Arial"/>
        </w:rPr>
        <w:t xml:space="preserve">innovation aligned with </w:t>
      </w:r>
      <w:r w:rsidR="00517F9D">
        <w:rPr>
          <w:rFonts w:cs="Arial"/>
        </w:rPr>
        <w:t xml:space="preserve">the </w:t>
      </w:r>
      <w:r w:rsidRPr="00960034">
        <w:rPr>
          <w:rFonts w:cs="Arial"/>
        </w:rPr>
        <w:t>QBCC</w:t>
      </w:r>
      <w:r w:rsidR="00517F9D">
        <w:rPr>
          <w:rFonts w:cs="Arial"/>
        </w:rPr>
        <w:t>’s objectives</w:t>
      </w:r>
      <w:r w:rsidRPr="00960034">
        <w:rPr>
          <w:rFonts w:cs="Arial"/>
        </w:rPr>
        <w:t>.</w:t>
      </w:r>
    </w:p>
    <w:p w14:paraId="1C077DE3" w14:textId="7C57252A" w:rsidR="00517B92" w:rsidRPr="006D3F3B" w:rsidRDefault="00517B92" w:rsidP="004B26BC">
      <w:pPr>
        <w:pStyle w:val="Heading4"/>
      </w:pPr>
      <w:bookmarkStart w:id="256" w:name="_Staff_onboarding_and"/>
      <w:bookmarkEnd w:id="256"/>
      <w:r w:rsidRPr="00F36A2D">
        <w:lastRenderedPageBreak/>
        <w:t>Staff onboarding and induction</w:t>
      </w:r>
      <w:r>
        <w:t xml:space="preserve">  </w:t>
      </w:r>
    </w:p>
    <w:p w14:paraId="6DDC59A5" w14:textId="77777777" w:rsidR="00285074" w:rsidRDefault="001A4D43" w:rsidP="00BC2281">
      <w:pPr>
        <w:spacing w:before="120" w:after="120"/>
      </w:pPr>
      <w:r w:rsidRPr="001A4D43">
        <w:t xml:space="preserve">In 2024–25, the QBCC </w:t>
      </w:r>
      <w:r w:rsidR="0095345F">
        <w:t xml:space="preserve">strengthened </w:t>
      </w:r>
      <w:r w:rsidR="00FF65E6">
        <w:t xml:space="preserve">its </w:t>
      </w:r>
      <w:r w:rsidRPr="001A4D43">
        <w:t xml:space="preserve">onboarding process </w:t>
      </w:r>
      <w:r w:rsidR="004B6F9F">
        <w:t>with</w:t>
      </w:r>
      <w:r w:rsidRPr="001A4D43">
        <w:t xml:space="preserve"> </w:t>
      </w:r>
      <w:r w:rsidR="00FF65E6">
        <w:t>the</w:t>
      </w:r>
      <w:r w:rsidRPr="001A4D43">
        <w:t xml:space="preserve"> launch of the Onboarding and Induction Project</w:t>
      </w:r>
      <w:r w:rsidR="00DD30B1">
        <w:t xml:space="preserve">. </w:t>
      </w:r>
      <w:r w:rsidR="004B6F9F">
        <w:t>D</w:t>
      </w:r>
      <w:r w:rsidRPr="001A4D43">
        <w:t>eliver</w:t>
      </w:r>
      <w:r w:rsidR="00D06B90">
        <w:t xml:space="preserve">ing </w:t>
      </w:r>
      <w:r w:rsidRPr="001A4D43">
        <w:t>a consistent a</w:t>
      </w:r>
      <w:r w:rsidR="005B39B6">
        <w:t xml:space="preserve">nd </w:t>
      </w:r>
      <w:r w:rsidRPr="001A4D43">
        <w:t xml:space="preserve">structured experience from pre-boarding </w:t>
      </w:r>
      <w:r w:rsidR="005B39B6">
        <w:t xml:space="preserve">through the first </w:t>
      </w:r>
      <w:r w:rsidRPr="001A4D43">
        <w:t>six months of employment</w:t>
      </w:r>
      <w:r w:rsidR="00034D6F">
        <w:t xml:space="preserve">, the project </w:t>
      </w:r>
      <w:r w:rsidRPr="001A4D43">
        <w:t>focus</w:t>
      </w:r>
      <w:r w:rsidR="00034D6F">
        <w:t xml:space="preserve">es </w:t>
      </w:r>
      <w:r w:rsidRPr="001A4D43">
        <w:t xml:space="preserve">on </w:t>
      </w:r>
      <w:r w:rsidR="002E76EB">
        <w:t>building</w:t>
      </w:r>
      <w:r w:rsidRPr="001A4D43">
        <w:t xml:space="preserve"> a sense of connection and belonging while equipping new employees with the </w:t>
      </w:r>
      <w:r w:rsidR="00990F11">
        <w:t xml:space="preserve">tools </w:t>
      </w:r>
      <w:r w:rsidRPr="001A4D43">
        <w:t xml:space="preserve">and training </w:t>
      </w:r>
      <w:r w:rsidR="00990F11">
        <w:t>necessary for</w:t>
      </w:r>
      <w:r w:rsidRPr="001A4D43">
        <w:t xml:space="preserve"> succe</w:t>
      </w:r>
      <w:r w:rsidR="00990F11">
        <w:t>ss</w:t>
      </w:r>
      <w:r w:rsidRPr="001A4D43">
        <w:t xml:space="preserve">. </w:t>
      </w:r>
    </w:p>
    <w:p w14:paraId="641EDEE3" w14:textId="2AE6A889" w:rsidR="00DA7DF5" w:rsidRDefault="001A4D43" w:rsidP="00BC2281">
      <w:pPr>
        <w:spacing w:before="120" w:after="120"/>
      </w:pPr>
      <w:r w:rsidRPr="001A4D43">
        <w:t>Key achievements include</w:t>
      </w:r>
      <w:r w:rsidR="00DA7DF5">
        <w:t>:</w:t>
      </w:r>
    </w:p>
    <w:p w14:paraId="6C967E9E" w14:textId="67B11C80" w:rsidR="00DA7DF5" w:rsidRDefault="00FD1FA9" w:rsidP="00BD69F7">
      <w:pPr>
        <w:pStyle w:val="ListParagraph"/>
        <w:numPr>
          <w:ilvl w:val="0"/>
          <w:numId w:val="36"/>
        </w:numPr>
        <w:spacing w:before="120" w:after="120"/>
        <w:ind w:left="782" w:hanging="357"/>
        <w:contextualSpacing w:val="0"/>
      </w:pPr>
      <w:r>
        <w:t xml:space="preserve">the </w:t>
      </w:r>
      <w:r w:rsidR="001A4D43" w:rsidRPr="001A4D43">
        <w:t>introduction of a comprehensive onboarding plan for managers and new starters</w:t>
      </w:r>
    </w:p>
    <w:p w14:paraId="150CA237" w14:textId="22ADA78D" w:rsidR="00DA7DF5" w:rsidRDefault="00FD1FA9" w:rsidP="00BD69F7">
      <w:pPr>
        <w:pStyle w:val="ListParagraph"/>
        <w:numPr>
          <w:ilvl w:val="0"/>
          <w:numId w:val="36"/>
        </w:numPr>
        <w:spacing w:before="120" w:after="120"/>
        <w:ind w:left="782" w:hanging="357"/>
        <w:contextualSpacing w:val="0"/>
      </w:pPr>
      <w:r>
        <w:t xml:space="preserve">the </w:t>
      </w:r>
      <w:r w:rsidR="001A4D43" w:rsidRPr="001A4D43">
        <w:t>establishment of the highly successful QBCC Welcome Day group induction</w:t>
      </w:r>
    </w:p>
    <w:p w14:paraId="6CE03966" w14:textId="00F70C8E" w:rsidR="006B4246" w:rsidRDefault="00FB7B84" w:rsidP="00BD69F7">
      <w:pPr>
        <w:pStyle w:val="ListParagraph"/>
        <w:numPr>
          <w:ilvl w:val="0"/>
          <w:numId w:val="36"/>
        </w:numPr>
        <w:spacing w:before="120" w:after="120"/>
        <w:ind w:left="782" w:hanging="357"/>
        <w:contextualSpacing w:val="0"/>
      </w:pPr>
      <w:r>
        <w:t xml:space="preserve">a </w:t>
      </w:r>
      <w:r w:rsidR="001A4D43" w:rsidRPr="001A4D43">
        <w:t xml:space="preserve">tailored Leaders’ Onboarding Program. </w:t>
      </w:r>
    </w:p>
    <w:p w14:paraId="0FDDC94E" w14:textId="248041CC" w:rsidR="0055178E" w:rsidRPr="00FB538A" w:rsidRDefault="001A4D43" w:rsidP="00FB538A">
      <w:pPr>
        <w:spacing w:before="120" w:after="120"/>
      </w:pPr>
      <w:r w:rsidRPr="001A4D43">
        <w:t xml:space="preserve">Feedback from new employees </w:t>
      </w:r>
      <w:r w:rsidR="009A2286">
        <w:t xml:space="preserve">indicates </w:t>
      </w:r>
      <w:r w:rsidR="00B404A7">
        <w:t xml:space="preserve">that the </w:t>
      </w:r>
      <w:r w:rsidR="00021E31">
        <w:t xml:space="preserve">onboarding experience </w:t>
      </w:r>
      <w:r w:rsidR="00032C63">
        <w:t xml:space="preserve">has </w:t>
      </w:r>
      <w:r w:rsidR="00FB7B84">
        <w:t>increased</w:t>
      </w:r>
      <w:r w:rsidR="00032C63">
        <w:t xml:space="preserve"> their</w:t>
      </w:r>
      <w:r w:rsidRPr="001A4D43">
        <w:t xml:space="preserve"> confidence, understanding</w:t>
      </w:r>
      <w:r w:rsidR="006B4246">
        <w:t xml:space="preserve"> </w:t>
      </w:r>
      <w:r w:rsidRPr="001A4D43">
        <w:t>and satisfaction,</w:t>
      </w:r>
      <w:r w:rsidR="00032C63">
        <w:t xml:space="preserve"> which in turn is helping to strengthen </w:t>
      </w:r>
      <w:r w:rsidRPr="001A4D43">
        <w:t xml:space="preserve">engagement </w:t>
      </w:r>
      <w:r w:rsidR="00110C5B">
        <w:t xml:space="preserve">and support </w:t>
      </w:r>
      <w:r w:rsidRPr="001A4D43">
        <w:t>across the organisation.</w:t>
      </w:r>
    </w:p>
    <w:p w14:paraId="3D4FD19E" w14:textId="08F2F287" w:rsidR="00B52764" w:rsidRDefault="00B52764" w:rsidP="00B52764">
      <w:pPr>
        <w:pStyle w:val="Heading4"/>
      </w:pPr>
      <w:bookmarkStart w:id="257" w:name="_Diversity_and_inclusion"/>
      <w:bookmarkEnd w:id="257"/>
      <w:r w:rsidRPr="00676172">
        <w:t>Diversity and inclusion</w:t>
      </w:r>
      <w:r>
        <w:t xml:space="preserve"> </w:t>
      </w:r>
    </w:p>
    <w:p w14:paraId="0F10C942" w14:textId="4A8E6B0D" w:rsidR="00951772" w:rsidRDefault="00A31B52" w:rsidP="00BC2281">
      <w:pPr>
        <w:spacing w:before="120" w:after="120"/>
        <w:rPr>
          <w:rFonts w:cs="Arial"/>
        </w:rPr>
      </w:pPr>
      <w:r w:rsidRPr="00A31B52">
        <w:rPr>
          <w:rFonts w:cs="Arial"/>
        </w:rPr>
        <w:t xml:space="preserve">In 2024–25, the QBCC demonstrated </w:t>
      </w:r>
      <w:r w:rsidR="00F26C02">
        <w:rPr>
          <w:rFonts w:cs="Arial"/>
        </w:rPr>
        <w:t>a</w:t>
      </w:r>
      <w:r w:rsidRPr="00A31B52">
        <w:rPr>
          <w:rFonts w:cs="Arial"/>
        </w:rPr>
        <w:t xml:space="preserve"> strong commitment to </w:t>
      </w:r>
      <w:r w:rsidR="002B3CA4">
        <w:rPr>
          <w:rFonts w:cs="Arial"/>
        </w:rPr>
        <w:t>creating</w:t>
      </w:r>
      <w:r w:rsidRPr="00A31B52">
        <w:rPr>
          <w:rFonts w:cs="Arial"/>
        </w:rPr>
        <w:t xml:space="preserve"> an inclusive, safe</w:t>
      </w:r>
      <w:r>
        <w:rPr>
          <w:rFonts w:cs="Arial"/>
        </w:rPr>
        <w:t xml:space="preserve"> </w:t>
      </w:r>
      <w:r w:rsidRPr="00A31B52">
        <w:rPr>
          <w:rFonts w:cs="Arial"/>
        </w:rPr>
        <w:t xml:space="preserve">and supportive workplace, aligned with obligations under the </w:t>
      </w:r>
      <w:r w:rsidRPr="00A31B52">
        <w:rPr>
          <w:rFonts w:cs="Arial"/>
          <w:i/>
          <w:iCs/>
        </w:rPr>
        <w:t>Public Sector Act 2022</w:t>
      </w:r>
      <w:r w:rsidRPr="00A31B52">
        <w:rPr>
          <w:rFonts w:cs="Arial"/>
        </w:rPr>
        <w:t xml:space="preserve">. The launch of the </w:t>
      </w:r>
      <w:r w:rsidR="00A77FE9">
        <w:rPr>
          <w:rFonts w:cs="Arial"/>
        </w:rPr>
        <w:t xml:space="preserve">QBCC </w:t>
      </w:r>
      <w:r w:rsidRPr="00A31B52">
        <w:rPr>
          <w:rFonts w:cs="Arial"/>
        </w:rPr>
        <w:t>D</w:t>
      </w:r>
      <w:r w:rsidR="00992042">
        <w:rPr>
          <w:rFonts w:cs="Arial"/>
        </w:rPr>
        <w:t xml:space="preserve">iversity </w:t>
      </w:r>
      <w:r w:rsidRPr="00A31B52">
        <w:rPr>
          <w:rFonts w:cs="Arial"/>
        </w:rPr>
        <w:t>E</w:t>
      </w:r>
      <w:r w:rsidR="00992042">
        <w:rPr>
          <w:rFonts w:cs="Arial"/>
        </w:rPr>
        <w:t xml:space="preserve">quity </w:t>
      </w:r>
      <w:r w:rsidR="00F03A73">
        <w:rPr>
          <w:rFonts w:cs="Arial"/>
        </w:rPr>
        <w:t>Inclusion</w:t>
      </w:r>
      <w:r w:rsidR="00992042">
        <w:rPr>
          <w:rFonts w:cs="Arial"/>
        </w:rPr>
        <w:t xml:space="preserve"> and </w:t>
      </w:r>
      <w:r w:rsidRPr="00A31B52">
        <w:rPr>
          <w:rFonts w:cs="Arial"/>
        </w:rPr>
        <w:t>B</w:t>
      </w:r>
      <w:r w:rsidR="00992042">
        <w:rPr>
          <w:rFonts w:cs="Arial"/>
        </w:rPr>
        <w:t xml:space="preserve">elonging </w:t>
      </w:r>
      <w:r w:rsidRPr="00A31B52">
        <w:rPr>
          <w:rFonts w:cs="Arial"/>
        </w:rPr>
        <w:t>Action Plan 2024–</w:t>
      </w:r>
      <w:r w:rsidR="0011517F">
        <w:rPr>
          <w:rFonts w:cs="Arial"/>
        </w:rPr>
        <w:t>20</w:t>
      </w:r>
      <w:r w:rsidRPr="00A31B52">
        <w:rPr>
          <w:rFonts w:cs="Arial"/>
        </w:rPr>
        <w:t xml:space="preserve">26 established six key pillars to guide the organisation’s efforts in advancing </w:t>
      </w:r>
      <w:r w:rsidR="00D91D18">
        <w:rPr>
          <w:rFonts w:cs="Arial"/>
        </w:rPr>
        <w:t>DEIB</w:t>
      </w:r>
      <w:r w:rsidRPr="00A31B52">
        <w:rPr>
          <w:rFonts w:cs="Arial"/>
        </w:rPr>
        <w:t xml:space="preserve">. </w:t>
      </w:r>
      <w:r w:rsidR="00895B01">
        <w:rPr>
          <w:rFonts w:cs="Arial"/>
        </w:rPr>
        <w:t>S</w:t>
      </w:r>
      <w:r w:rsidRPr="00A31B52">
        <w:rPr>
          <w:rFonts w:cs="Arial"/>
        </w:rPr>
        <w:t>ignificant progress was made in policy development, education and engagement, including the publication of a Sexual Harassment Prevention Plan and the rollout of LGBTQ inclusion training.</w:t>
      </w:r>
      <w:r w:rsidR="00A703C6">
        <w:rPr>
          <w:rFonts w:cs="Arial"/>
        </w:rPr>
        <w:t xml:space="preserve"> </w:t>
      </w:r>
    </w:p>
    <w:p w14:paraId="14C4EB68" w14:textId="77777777" w:rsidR="00A00B6D" w:rsidRDefault="00A83A6B" w:rsidP="00BC2281">
      <w:pPr>
        <w:spacing w:before="120" w:after="120"/>
        <w:rPr>
          <w:rFonts w:cs="Arial"/>
        </w:rPr>
      </w:pPr>
      <w:r>
        <w:rPr>
          <w:rFonts w:cs="Arial"/>
        </w:rPr>
        <w:t xml:space="preserve">To </w:t>
      </w:r>
      <w:r w:rsidRPr="00A83A6B">
        <w:rPr>
          <w:rFonts w:cs="Arial"/>
        </w:rPr>
        <w:t>further enrich</w:t>
      </w:r>
      <w:r>
        <w:rPr>
          <w:rFonts w:cs="Arial"/>
        </w:rPr>
        <w:t xml:space="preserve"> </w:t>
      </w:r>
      <w:r w:rsidRPr="00A83A6B">
        <w:rPr>
          <w:rFonts w:cs="Arial"/>
        </w:rPr>
        <w:t>workplace culture</w:t>
      </w:r>
      <w:r>
        <w:rPr>
          <w:rFonts w:cs="Arial"/>
        </w:rPr>
        <w:t xml:space="preserve">, </w:t>
      </w:r>
      <w:r w:rsidR="00DD75A9">
        <w:rPr>
          <w:rFonts w:cs="Arial"/>
        </w:rPr>
        <w:t>t</w:t>
      </w:r>
      <w:r w:rsidR="00A31B52" w:rsidRPr="00A31B52">
        <w:rPr>
          <w:rFonts w:cs="Arial"/>
        </w:rPr>
        <w:t xml:space="preserve">he QBCC </w:t>
      </w:r>
      <w:r>
        <w:rPr>
          <w:rFonts w:cs="Arial"/>
        </w:rPr>
        <w:t xml:space="preserve">also </w:t>
      </w:r>
      <w:r w:rsidR="00A31B52" w:rsidRPr="00A31B52">
        <w:rPr>
          <w:rFonts w:cs="Arial"/>
        </w:rPr>
        <w:t>celebrated Neurodiversity Week</w:t>
      </w:r>
      <w:r w:rsidR="00B73E8A">
        <w:rPr>
          <w:rFonts w:cs="Arial"/>
        </w:rPr>
        <w:t>,</w:t>
      </w:r>
      <w:r w:rsidR="00A31B52" w:rsidRPr="00A31B52">
        <w:rPr>
          <w:rFonts w:cs="Arial"/>
        </w:rPr>
        <w:t xml:space="preserve"> with activities </w:t>
      </w:r>
      <w:r w:rsidR="00AC1849">
        <w:rPr>
          <w:rFonts w:cs="Arial"/>
        </w:rPr>
        <w:t xml:space="preserve">that </w:t>
      </w:r>
      <w:r w:rsidR="00A31B52" w:rsidRPr="00A31B52">
        <w:rPr>
          <w:rFonts w:cs="Arial"/>
        </w:rPr>
        <w:t>highlight the experiences and contributions of neurodivergent employees.</w:t>
      </w:r>
      <w:r w:rsidR="00951772">
        <w:rPr>
          <w:rFonts w:cs="Arial"/>
        </w:rPr>
        <w:t xml:space="preserve"> </w:t>
      </w:r>
      <w:r w:rsidR="00DF408E">
        <w:rPr>
          <w:rFonts w:cs="Arial"/>
        </w:rPr>
        <w:t>In addition, a</w:t>
      </w:r>
      <w:r w:rsidR="00A31B52" w:rsidRPr="00A31B52">
        <w:rPr>
          <w:rFonts w:cs="Arial"/>
        </w:rPr>
        <w:t xml:space="preserve">ctive participation in external networks such as NAWIC and sponsorship of professional development scholarships </w:t>
      </w:r>
      <w:r w:rsidR="00225B9A">
        <w:rPr>
          <w:rFonts w:cs="Arial"/>
        </w:rPr>
        <w:t xml:space="preserve">are testament </w:t>
      </w:r>
      <w:r w:rsidR="007E2778">
        <w:rPr>
          <w:rFonts w:cs="Arial"/>
        </w:rPr>
        <w:t>to</w:t>
      </w:r>
      <w:r w:rsidR="00A31B52" w:rsidRPr="00A31B52">
        <w:rPr>
          <w:rFonts w:cs="Arial"/>
        </w:rPr>
        <w:t xml:space="preserve"> the </w:t>
      </w:r>
      <w:r w:rsidR="007E2778">
        <w:rPr>
          <w:rFonts w:cs="Arial"/>
        </w:rPr>
        <w:t>QBCC’s</w:t>
      </w:r>
      <w:r w:rsidR="00A31B52" w:rsidRPr="00A31B52">
        <w:rPr>
          <w:rFonts w:cs="Arial"/>
        </w:rPr>
        <w:t xml:space="preserve"> support for industry-wide inclusion.</w:t>
      </w:r>
      <w:r w:rsidR="00951772">
        <w:rPr>
          <w:rFonts w:cs="Arial"/>
        </w:rPr>
        <w:t xml:space="preserve"> </w:t>
      </w:r>
      <w:r w:rsidR="00A31B52" w:rsidRPr="00A31B52">
        <w:rPr>
          <w:rFonts w:cs="Arial"/>
        </w:rPr>
        <w:t>Reconciliation efforts</w:t>
      </w:r>
      <w:r w:rsidR="00951772">
        <w:rPr>
          <w:rFonts w:cs="Arial"/>
        </w:rPr>
        <w:t xml:space="preserve"> were also </w:t>
      </w:r>
      <w:r w:rsidR="00A31B52" w:rsidRPr="00A31B52">
        <w:rPr>
          <w:rFonts w:cs="Arial"/>
        </w:rPr>
        <w:t xml:space="preserve">advanced </w:t>
      </w:r>
      <w:r w:rsidR="00E157A8">
        <w:rPr>
          <w:rFonts w:cs="Arial"/>
        </w:rPr>
        <w:t xml:space="preserve">during the reporting period </w:t>
      </w:r>
      <w:r w:rsidR="00A31B52" w:rsidRPr="00A31B52">
        <w:rPr>
          <w:rFonts w:cs="Arial"/>
        </w:rPr>
        <w:t>through the Reconciliation Action Plan</w:t>
      </w:r>
      <w:r w:rsidR="00E83CF1">
        <w:rPr>
          <w:rFonts w:cs="Arial"/>
        </w:rPr>
        <w:t xml:space="preserve"> (</w:t>
      </w:r>
      <w:r w:rsidR="00DA5B22">
        <w:rPr>
          <w:rFonts w:cs="Arial"/>
        </w:rPr>
        <w:t>RAP</w:t>
      </w:r>
      <w:r w:rsidR="00E83CF1">
        <w:rPr>
          <w:rFonts w:cs="Arial"/>
        </w:rPr>
        <w:t>)</w:t>
      </w:r>
      <w:r w:rsidR="00A31B52" w:rsidRPr="00A31B52">
        <w:rPr>
          <w:rFonts w:cs="Arial"/>
        </w:rPr>
        <w:t>, marked by cultural learning initiatives, the launch of the Aboriginal and Torres Strait Islander Cultural Learning Commitment</w:t>
      </w:r>
      <w:r w:rsidR="00E157A8">
        <w:rPr>
          <w:rFonts w:cs="Arial"/>
        </w:rPr>
        <w:t xml:space="preserve"> </w:t>
      </w:r>
      <w:r w:rsidR="00A31B52" w:rsidRPr="00A31B52">
        <w:rPr>
          <w:rFonts w:cs="Arial"/>
        </w:rPr>
        <w:t xml:space="preserve">and membership in Supply Nation and Reconciliation Queensland. </w:t>
      </w:r>
    </w:p>
    <w:p w14:paraId="7C7D04B3" w14:textId="1D31A648" w:rsidR="0031032C" w:rsidRDefault="00A31B52" w:rsidP="00BC2281">
      <w:pPr>
        <w:spacing w:before="120" w:after="120"/>
        <w:rPr>
          <w:rFonts w:cs="Arial"/>
        </w:rPr>
      </w:pPr>
      <w:r w:rsidRPr="00A31B52">
        <w:rPr>
          <w:rFonts w:cs="Arial"/>
        </w:rPr>
        <w:t xml:space="preserve">The </w:t>
      </w:r>
      <w:r w:rsidR="00E157A8">
        <w:rPr>
          <w:rFonts w:cs="Arial"/>
        </w:rPr>
        <w:t xml:space="preserve">QBCC </w:t>
      </w:r>
      <w:r w:rsidR="00DA5B22">
        <w:rPr>
          <w:rFonts w:cs="Arial"/>
        </w:rPr>
        <w:t>RAP</w:t>
      </w:r>
      <w:r w:rsidRPr="00A31B52">
        <w:rPr>
          <w:rFonts w:cs="Arial"/>
        </w:rPr>
        <w:t xml:space="preserve"> Working Group </w:t>
      </w:r>
      <w:r w:rsidR="00E157A8">
        <w:rPr>
          <w:rFonts w:cs="Arial"/>
        </w:rPr>
        <w:t>enhance</w:t>
      </w:r>
      <w:r w:rsidR="008D3390">
        <w:rPr>
          <w:rFonts w:cs="Arial"/>
        </w:rPr>
        <w:t>d</w:t>
      </w:r>
      <w:r w:rsidR="00E157A8">
        <w:rPr>
          <w:rFonts w:cs="Arial"/>
        </w:rPr>
        <w:t xml:space="preserve"> </w:t>
      </w:r>
      <w:r w:rsidRPr="00A31B52">
        <w:rPr>
          <w:rFonts w:cs="Arial"/>
        </w:rPr>
        <w:t>cultural capability</w:t>
      </w:r>
      <w:r w:rsidR="008D3390">
        <w:rPr>
          <w:rFonts w:cs="Arial"/>
        </w:rPr>
        <w:t xml:space="preserve"> by</w:t>
      </w:r>
      <w:r w:rsidR="0031032C">
        <w:rPr>
          <w:rFonts w:cs="Arial"/>
        </w:rPr>
        <w:t>:</w:t>
      </w:r>
    </w:p>
    <w:p w14:paraId="66EED191" w14:textId="402FE1B2" w:rsidR="00DE6776" w:rsidRPr="0031032C" w:rsidRDefault="00955B22" w:rsidP="00BD69F7">
      <w:pPr>
        <w:pStyle w:val="ListParagraph"/>
        <w:numPr>
          <w:ilvl w:val="0"/>
          <w:numId w:val="37"/>
        </w:numPr>
        <w:spacing w:before="120" w:after="120"/>
        <w:ind w:left="714" w:hanging="357"/>
        <w:contextualSpacing w:val="0"/>
        <w:rPr>
          <w:rFonts w:cs="Arial"/>
        </w:rPr>
      </w:pPr>
      <w:r>
        <w:rPr>
          <w:rFonts w:cs="Arial"/>
        </w:rPr>
        <w:t xml:space="preserve">providing </w:t>
      </w:r>
      <w:r w:rsidR="0031032C">
        <w:rPr>
          <w:rFonts w:cs="Arial"/>
        </w:rPr>
        <w:t>t</w:t>
      </w:r>
      <w:r w:rsidR="000E40A1" w:rsidRPr="0031032C">
        <w:rPr>
          <w:rFonts w:cs="Arial"/>
        </w:rPr>
        <w:t xml:space="preserve">raining for delivering an Acknowledgement of Country </w:t>
      </w:r>
    </w:p>
    <w:p w14:paraId="35A32C19" w14:textId="4D9EF1B4" w:rsidR="000E40A1" w:rsidRPr="00CE5B9A" w:rsidRDefault="005304CF" w:rsidP="00BD69F7">
      <w:pPr>
        <w:pStyle w:val="ListParagraph"/>
        <w:numPr>
          <w:ilvl w:val="0"/>
          <w:numId w:val="32"/>
        </w:numPr>
        <w:spacing w:before="120" w:after="120"/>
        <w:ind w:left="714" w:hanging="357"/>
        <w:contextualSpacing w:val="0"/>
        <w:rPr>
          <w:rFonts w:cs="Arial"/>
        </w:rPr>
      </w:pPr>
      <w:r>
        <w:rPr>
          <w:rFonts w:cs="Arial"/>
        </w:rPr>
        <w:t>u</w:t>
      </w:r>
      <w:r w:rsidR="000E40A1" w:rsidRPr="00CE5B9A">
        <w:rPr>
          <w:rFonts w:cs="Arial"/>
        </w:rPr>
        <w:t xml:space="preserve">sing </w:t>
      </w:r>
      <w:r w:rsidR="000E40A1" w:rsidRPr="004B26BC">
        <w:rPr>
          <w:rFonts w:cs="Arial"/>
        </w:rPr>
        <w:t>artwork</w:t>
      </w:r>
      <w:r w:rsidR="000E40A1" w:rsidRPr="00CE5B9A">
        <w:rPr>
          <w:rFonts w:cs="Arial"/>
        </w:rPr>
        <w:t xml:space="preserve"> by Shane Mankitya Cook to promote reconciliation and inspire connection across the organisation</w:t>
      </w:r>
    </w:p>
    <w:p w14:paraId="4FDF7DD8" w14:textId="50468F17" w:rsidR="000E40A1" w:rsidRPr="00CE5B9A" w:rsidRDefault="009B4DAD" w:rsidP="00BD69F7">
      <w:pPr>
        <w:pStyle w:val="ListParagraph"/>
        <w:numPr>
          <w:ilvl w:val="0"/>
          <w:numId w:val="32"/>
        </w:numPr>
        <w:spacing w:before="120" w:after="120"/>
        <w:ind w:left="714" w:hanging="357"/>
        <w:contextualSpacing w:val="0"/>
        <w:rPr>
          <w:rFonts w:cs="Arial"/>
        </w:rPr>
      </w:pPr>
      <w:r>
        <w:rPr>
          <w:rFonts w:cs="Arial"/>
        </w:rPr>
        <w:t>hosting</w:t>
      </w:r>
      <w:r w:rsidR="000E40A1" w:rsidRPr="00CE5B9A">
        <w:rPr>
          <w:rFonts w:cs="Arial"/>
        </w:rPr>
        <w:t xml:space="preserve"> activities for National Reconciliation Week </w:t>
      </w:r>
      <w:r w:rsidR="008968C7" w:rsidRPr="008968C7">
        <w:rPr>
          <w:rFonts w:cs="Arial"/>
        </w:rPr>
        <w:t xml:space="preserve">and </w:t>
      </w:r>
      <w:r w:rsidR="00897949">
        <w:rPr>
          <w:rFonts w:cs="Arial"/>
        </w:rPr>
        <w:t>NAIDOC</w:t>
      </w:r>
      <w:r w:rsidR="000E40A1" w:rsidRPr="00CE5B9A">
        <w:rPr>
          <w:rFonts w:cs="Arial"/>
        </w:rPr>
        <w:t xml:space="preserve"> </w:t>
      </w:r>
      <w:r w:rsidR="008968C7">
        <w:rPr>
          <w:rFonts w:cs="Arial"/>
        </w:rPr>
        <w:t>w</w:t>
      </w:r>
      <w:r w:rsidR="000E40A1" w:rsidRPr="00CE5B9A">
        <w:rPr>
          <w:rFonts w:cs="Arial"/>
        </w:rPr>
        <w:t xml:space="preserve">eek, including Yarning Circles, panel discussions with guest speakers, Dreamtime Stories screening and Aboriginal art painting sessions. </w:t>
      </w:r>
    </w:p>
    <w:p w14:paraId="23072FA0" w14:textId="0ADDEFB3" w:rsidR="00B52764" w:rsidRPr="00F6786F" w:rsidRDefault="007C06E4" w:rsidP="00BC2281">
      <w:pPr>
        <w:spacing w:before="120" w:after="120"/>
        <w:rPr>
          <w:rFonts w:cs="Arial"/>
        </w:rPr>
      </w:pPr>
      <w:r>
        <w:rPr>
          <w:rFonts w:cs="Arial"/>
        </w:rPr>
        <w:t>Together</w:t>
      </w:r>
      <w:r w:rsidRPr="007C06E4">
        <w:rPr>
          <w:rFonts w:cs="Arial"/>
        </w:rPr>
        <w:t xml:space="preserve">, these initiatives have contributed to creating a more diverse, inclusive and culturally aware </w:t>
      </w:r>
      <w:r w:rsidR="0098335B">
        <w:rPr>
          <w:rFonts w:cs="Arial"/>
        </w:rPr>
        <w:t>organisation</w:t>
      </w:r>
      <w:r w:rsidRPr="007C06E4">
        <w:rPr>
          <w:rFonts w:cs="Arial"/>
        </w:rPr>
        <w:t>,</w:t>
      </w:r>
      <w:r w:rsidR="00F47F19">
        <w:rPr>
          <w:rFonts w:cs="Arial"/>
        </w:rPr>
        <w:t xml:space="preserve"> </w:t>
      </w:r>
      <w:r w:rsidR="008B4E97">
        <w:rPr>
          <w:rFonts w:cs="Arial"/>
        </w:rPr>
        <w:t>and</w:t>
      </w:r>
      <w:r w:rsidRPr="007C06E4">
        <w:rPr>
          <w:rFonts w:cs="Arial"/>
        </w:rPr>
        <w:t xml:space="preserve"> a positive and equitable workplace culture.</w:t>
      </w:r>
    </w:p>
    <w:p w14:paraId="6E13D895" w14:textId="77777777" w:rsidR="00613DE2" w:rsidRPr="009A3FF0" w:rsidRDefault="00613DE2" w:rsidP="00613DE2">
      <w:pPr>
        <w:pStyle w:val="Heading4"/>
        <w:rPr>
          <w:rFonts w:cs="Arial"/>
        </w:rPr>
      </w:pPr>
      <w:bookmarkStart w:id="258" w:name="_Flexible_work"/>
      <w:bookmarkEnd w:id="258"/>
      <w:r w:rsidRPr="00F36A2D">
        <w:t>Flexible work</w:t>
      </w:r>
      <w:r>
        <w:t xml:space="preserve">  </w:t>
      </w:r>
    </w:p>
    <w:p w14:paraId="66F3F61C" w14:textId="2CB12890" w:rsidR="00D2327F" w:rsidRPr="0074561F" w:rsidRDefault="00AD697C" w:rsidP="00BC2281">
      <w:pPr>
        <w:spacing w:before="120" w:after="120"/>
      </w:pPr>
      <w:r>
        <w:rPr>
          <w:rFonts w:cs="Arial"/>
        </w:rPr>
        <w:t>I</w:t>
      </w:r>
      <w:r w:rsidR="00A275BF">
        <w:rPr>
          <w:rFonts w:cs="Arial"/>
        </w:rPr>
        <w:t>n</w:t>
      </w:r>
      <w:r>
        <w:rPr>
          <w:rFonts w:cs="Arial"/>
        </w:rPr>
        <w:t xml:space="preserve"> </w:t>
      </w:r>
      <w:r w:rsidRPr="007E0548">
        <w:rPr>
          <w:rFonts w:cs="Arial"/>
        </w:rPr>
        <w:t>2024–25</w:t>
      </w:r>
      <w:r w:rsidR="007E0548">
        <w:rPr>
          <w:rFonts w:cs="Arial"/>
        </w:rPr>
        <w:t>,</w:t>
      </w:r>
      <w:r>
        <w:rPr>
          <w:rFonts w:cs="Arial"/>
        </w:rPr>
        <w:t xml:space="preserve"> t</w:t>
      </w:r>
      <w:r w:rsidR="00317BBA" w:rsidRPr="00B93468">
        <w:rPr>
          <w:rFonts w:cs="Arial"/>
        </w:rPr>
        <w:t xml:space="preserve">he QBCC </w:t>
      </w:r>
      <w:r w:rsidR="00AA4C07">
        <w:rPr>
          <w:rFonts w:cs="Arial"/>
        </w:rPr>
        <w:t xml:space="preserve">strengthened </w:t>
      </w:r>
      <w:r w:rsidR="00906C24">
        <w:rPr>
          <w:rFonts w:cs="Arial"/>
        </w:rPr>
        <w:t xml:space="preserve">its support for flexible work by introducing a suite of resources, including the </w:t>
      </w:r>
      <w:r w:rsidR="00B912B2">
        <w:rPr>
          <w:rFonts w:cs="Arial"/>
        </w:rPr>
        <w:t>FWA</w:t>
      </w:r>
      <w:r w:rsidR="00317BBA" w:rsidRPr="002F3555">
        <w:rPr>
          <w:rFonts w:cs="Arial"/>
        </w:rPr>
        <w:t xml:space="preserve"> Policy and Procedur</w:t>
      </w:r>
      <w:r w:rsidR="00317BBA">
        <w:rPr>
          <w:rFonts w:cs="Arial"/>
        </w:rPr>
        <w:t xml:space="preserve">e and </w:t>
      </w:r>
      <w:r w:rsidR="00317BBA" w:rsidRPr="008A2DFF">
        <w:rPr>
          <w:rFonts w:cs="Arial"/>
        </w:rPr>
        <w:t>the QBCC Flexible Work Toolkit</w:t>
      </w:r>
      <w:r w:rsidR="00906C24">
        <w:rPr>
          <w:rFonts w:cs="Arial"/>
        </w:rPr>
        <w:t xml:space="preserve">. These tools </w:t>
      </w:r>
      <w:r w:rsidR="003003EB">
        <w:rPr>
          <w:rFonts w:cs="Arial"/>
        </w:rPr>
        <w:t>help</w:t>
      </w:r>
      <w:r w:rsidR="00906C24">
        <w:rPr>
          <w:rFonts w:cs="Arial"/>
        </w:rPr>
        <w:t xml:space="preserve"> </w:t>
      </w:r>
      <w:r w:rsidR="000A08FA">
        <w:rPr>
          <w:rFonts w:cs="Arial"/>
        </w:rPr>
        <w:t xml:space="preserve">employees and leaders </w:t>
      </w:r>
      <w:r w:rsidR="00906C24">
        <w:rPr>
          <w:rFonts w:cs="Arial"/>
        </w:rPr>
        <w:t>navigat</w:t>
      </w:r>
      <w:r w:rsidR="003003EB">
        <w:rPr>
          <w:rFonts w:cs="Arial"/>
        </w:rPr>
        <w:t>e</w:t>
      </w:r>
      <w:r w:rsidR="00906C24">
        <w:rPr>
          <w:rFonts w:cs="Arial"/>
        </w:rPr>
        <w:t xml:space="preserve"> </w:t>
      </w:r>
      <w:r w:rsidR="007E40F7">
        <w:rPr>
          <w:rFonts w:cs="Arial"/>
        </w:rPr>
        <w:t xml:space="preserve">flexible work options, while maintaining </w:t>
      </w:r>
      <w:r w:rsidR="00CE63F6">
        <w:rPr>
          <w:rFonts w:cs="Arial"/>
        </w:rPr>
        <w:t xml:space="preserve">customer service </w:t>
      </w:r>
      <w:r w:rsidR="007E40F7">
        <w:rPr>
          <w:rFonts w:cs="Arial"/>
        </w:rPr>
        <w:t xml:space="preserve">delivery </w:t>
      </w:r>
      <w:r w:rsidR="00CE63F6">
        <w:rPr>
          <w:rFonts w:cs="Arial"/>
        </w:rPr>
        <w:t xml:space="preserve">and </w:t>
      </w:r>
      <w:r w:rsidR="007E40F7">
        <w:rPr>
          <w:rFonts w:cs="Arial"/>
        </w:rPr>
        <w:t xml:space="preserve">meeting </w:t>
      </w:r>
      <w:r w:rsidR="00CE63F6">
        <w:rPr>
          <w:rFonts w:cs="Arial"/>
        </w:rPr>
        <w:t xml:space="preserve">safety and operational </w:t>
      </w:r>
      <w:r w:rsidR="007E40F7">
        <w:rPr>
          <w:rFonts w:cs="Arial"/>
        </w:rPr>
        <w:t>needs</w:t>
      </w:r>
      <w:r w:rsidR="00D72B02">
        <w:rPr>
          <w:rFonts w:cs="Arial"/>
        </w:rPr>
        <w:t xml:space="preserve">. </w:t>
      </w:r>
      <w:r w:rsidR="00E86FFA">
        <w:rPr>
          <w:rFonts w:cs="Arial"/>
        </w:rPr>
        <w:t xml:space="preserve">The positive impact is reflected in </w:t>
      </w:r>
      <w:r w:rsidR="00C4537A">
        <w:rPr>
          <w:rFonts w:cs="Arial"/>
        </w:rPr>
        <w:t>results</w:t>
      </w:r>
      <w:r w:rsidR="00B65E99" w:rsidRPr="00B65E99">
        <w:rPr>
          <w:rFonts w:cs="Arial"/>
        </w:rPr>
        <w:t xml:space="preserve"> from the 2024</w:t>
      </w:r>
      <w:r w:rsidR="00B65E99">
        <w:rPr>
          <w:rFonts w:cs="Arial"/>
        </w:rPr>
        <w:t xml:space="preserve"> </w:t>
      </w:r>
      <w:proofErr w:type="spellStart"/>
      <w:r w:rsidR="00B65E99" w:rsidRPr="00B65E99">
        <w:rPr>
          <w:rFonts w:cs="Arial"/>
        </w:rPr>
        <w:t>WfQ</w:t>
      </w:r>
      <w:proofErr w:type="spellEnd"/>
      <w:r w:rsidR="00B65E99">
        <w:rPr>
          <w:rFonts w:cs="Arial"/>
        </w:rPr>
        <w:t xml:space="preserve"> </w:t>
      </w:r>
      <w:r w:rsidR="00B65E99" w:rsidRPr="00B65E99">
        <w:rPr>
          <w:rFonts w:cs="Arial"/>
        </w:rPr>
        <w:t xml:space="preserve">survey </w:t>
      </w:r>
      <w:r w:rsidR="00666174">
        <w:rPr>
          <w:rFonts w:cs="Arial"/>
        </w:rPr>
        <w:t>that</w:t>
      </w:r>
      <w:r w:rsidR="00B65E99" w:rsidRPr="00B65E99">
        <w:rPr>
          <w:rFonts w:cs="Arial"/>
        </w:rPr>
        <w:t xml:space="preserve"> show a notable uplift in employee perceptions of workplace flexibility, reinforcing the value of flexible work in supporting </w:t>
      </w:r>
      <w:r w:rsidR="00B417CC">
        <w:rPr>
          <w:rFonts w:cs="Arial"/>
        </w:rPr>
        <w:t xml:space="preserve">employee </w:t>
      </w:r>
      <w:r w:rsidR="00B65E99" w:rsidRPr="00B65E99">
        <w:rPr>
          <w:rFonts w:cs="Arial"/>
        </w:rPr>
        <w:t>engagement, connection and a culture of trust at the QBCC</w:t>
      </w:r>
      <w:r w:rsidR="00BC2281">
        <w:rPr>
          <w:rFonts w:cs="Arial"/>
        </w:rPr>
        <w:t>.</w:t>
      </w:r>
    </w:p>
    <w:p w14:paraId="7CC4B06C" w14:textId="7DE04DC3" w:rsidR="006627D5" w:rsidRPr="004B26BC" w:rsidRDefault="00F66042" w:rsidP="00FE07C4">
      <w:pPr>
        <w:pStyle w:val="Heading3"/>
      </w:pPr>
      <w:bookmarkStart w:id="259" w:name="_Employee_learning_and"/>
      <w:bookmarkEnd w:id="259"/>
      <w:r>
        <w:t>Employee l</w:t>
      </w:r>
      <w:r w:rsidR="006627D5" w:rsidRPr="004B26BC">
        <w:t>earning and development</w:t>
      </w:r>
    </w:p>
    <w:p w14:paraId="55752384" w14:textId="029F37B2" w:rsidR="007D6160" w:rsidRDefault="00D85038" w:rsidP="00BC2281">
      <w:pPr>
        <w:spacing w:before="120" w:after="120"/>
        <w:rPr>
          <w:rFonts w:cs="Arial"/>
        </w:rPr>
      </w:pPr>
      <w:r w:rsidRPr="00D85038">
        <w:rPr>
          <w:rFonts w:cs="Arial"/>
        </w:rPr>
        <w:t xml:space="preserve">At the QBCC, investing in staff learning and development is essential to building a capable, confident and future-ready workforce. </w:t>
      </w:r>
      <w:r w:rsidR="00A42172" w:rsidRPr="00A42172">
        <w:rPr>
          <w:rFonts w:cs="Arial"/>
        </w:rPr>
        <w:t xml:space="preserve">Ongoing professional development equips employees to navigate a changing regulatory environment </w:t>
      </w:r>
      <w:r w:rsidR="00C96014">
        <w:rPr>
          <w:rFonts w:cs="Arial"/>
        </w:rPr>
        <w:t>and</w:t>
      </w:r>
      <w:r w:rsidR="00D518B5">
        <w:rPr>
          <w:rFonts w:cs="Arial"/>
        </w:rPr>
        <w:t xml:space="preserve"> </w:t>
      </w:r>
      <w:r w:rsidR="00A42172" w:rsidRPr="00A42172">
        <w:rPr>
          <w:rFonts w:cs="Arial"/>
        </w:rPr>
        <w:t>support</w:t>
      </w:r>
      <w:r w:rsidR="002A6AD4">
        <w:rPr>
          <w:rFonts w:cs="Arial"/>
        </w:rPr>
        <w:t>s</w:t>
      </w:r>
      <w:r w:rsidR="00A42172" w:rsidRPr="00A42172">
        <w:rPr>
          <w:rFonts w:cs="Arial"/>
        </w:rPr>
        <w:t xml:space="preserve"> job satisfaction, </w:t>
      </w:r>
      <w:r w:rsidR="00C96014">
        <w:rPr>
          <w:rFonts w:cs="Arial"/>
        </w:rPr>
        <w:t xml:space="preserve">staff </w:t>
      </w:r>
      <w:r w:rsidR="00A42172" w:rsidRPr="00A42172">
        <w:rPr>
          <w:rFonts w:cs="Arial"/>
        </w:rPr>
        <w:t xml:space="preserve">retention and </w:t>
      </w:r>
      <w:r w:rsidR="00FF1C03">
        <w:rPr>
          <w:rFonts w:cs="Arial"/>
        </w:rPr>
        <w:t xml:space="preserve">organisational </w:t>
      </w:r>
      <w:r w:rsidR="00A42172" w:rsidRPr="00A42172">
        <w:rPr>
          <w:rFonts w:cs="Arial"/>
        </w:rPr>
        <w:t>adaptability. </w:t>
      </w:r>
      <w:r w:rsidRPr="00D85038">
        <w:rPr>
          <w:rFonts w:cs="Arial"/>
        </w:rPr>
        <w:t xml:space="preserve">By </w:t>
      </w:r>
      <w:r w:rsidR="00455D14">
        <w:rPr>
          <w:rFonts w:cs="Arial"/>
        </w:rPr>
        <w:lastRenderedPageBreak/>
        <w:t>building</w:t>
      </w:r>
      <w:r w:rsidR="008C243F">
        <w:rPr>
          <w:rFonts w:cs="Arial"/>
        </w:rPr>
        <w:t xml:space="preserve"> a strong</w:t>
      </w:r>
      <w:r w:rsidRPr="00D85038">
        <w:rPr>
          <w:rFonts w:cs="Arial"/>
        </w:rPr>
        <w:t xml:space="preserve"> culture of learning, the QBCC </w:t>
      </w:r>
      <w:r w:rsidR="003B08B6">
        <w:rPr>
          <w:rFonts w:cs="Arial"/>
        </w:rPr>
        <w:t>enhances</w:t>
      </w:r>
      <w:r w:rsidRPr="00D85038">
        <w:rPr>
          <w:rFonts w:cs="Arial"/>
        </w:rPr>
        <w:t xml:space="preserve"> its </w:t>
      </w:r>
      <w:r w:rsidR="000C7C98">
        <w:rPr>
          <w:rFonts w:cs="Arial"/>
        </w:rPr>
        <w:t>capa</w:t>
      </w:r>
      <w:r w:rsidRPr="00D85038">
        <w:rPr>
          <w:rFonts w:cs="Arial"/>
        </w:rPr>
        <w:t xml:space="preserve">bility to deliver high-quality services, respond to </w:t>
      </w:r>
      <w:r w:rsidR="007E6B09">
        <w:rPr>
          <w:rFonts w:cs="Arial"/>
        </w:rPr>
        <w:t xml:space="preserve">emerging </w:t>
      </w:r>
      <w:r w:rsidRPr="00D85038">
        <w:rPr>
          <w:rFonts w:cs="Arial"/>
        </w:rPr>
        <w:t xml:space="preserve">challenges and support </w:t>
      </w:r>
      <w:r w:rsidR="00E81718">
        <w:rPr>
          <w:rFonts w:cs="Arial"/>
        </w:rPr>
        <w:t>individual</w:t>
      </w:r>
      <w:r w:rsidRPr="00D85038">
        <w:rPr>
          <w:rFonts w:cs="Arial"/>
        </w:rPr>
        <w:t xml:space="preserve"> growth</w:t>
      </w:r>
      <w:r w:rsidR="00833E8A">
        <w:rPr>
          <w:rFonts w:cs="Arial"/>
        </w:rPr>
        <w:t xml:space="preserve">. </w:t>
      </w:r>
    </w:p>
    <w:p w14:paraId="568DE812" w14:textId="37EFB92F" w:rsidR="006627D5" w:rsidRPr="00C740FB" w:rsidRDefault="002B7449" w:rsidP="00FE07C4">
      <w:pPr>
        <w:pStyle w:val="Heading4"/>
      </w:pPr>
      <w:bookmarkStart w:id="260" w:name="_Learning_and_development"/>
      <w:bookmarkEnd w:id="260"/>
      <w:r>
        <w:t xml:space="preserve">Workforce </w:t>
      </w:r>
      <w:r w:rsidR="00AC7815">
        <w:t>development</w:t>
      </w:r>
      <w:r w:rsidR="000B796C">
        <w:t xml:space="preserve"> act</w:t>
      </w:r>
      <w:r w:rsidR="002C202E">
        <w:t>i</w:t>
      </w:r>
      <w:r w:rsidR="006627D5" w:rsidRPr="002243C8">
        <w:t>vities</w:t>
      </w:r>
      <w:r w:rsidR="006627D5">
        <w:t xml:space="preserve">  </w:t>
      </w:r>
    </w:p>
    <w:p w14:paraId="4CCAFFB4" w14:textId="0D467D43" w:rsidR="00C47A37" w:rsidRDefault="009852BD" w:rsidP="00064E52">
      <w:pPr>
        <w:spacing w:before="120" w:after="120"/>
        <w:rPr>
          <w:rFonts w:cs="Arial"/>
        </w:rPr>
      </w:pPr>
      <w:r>
        <w:rPr>
          <w:rFonts w:cs="Arial"/>
        </w:rPr>
        <w:t>During the reporting period</w:t>
      </w:r>
      <w:r w:rsidR="006627D5">
        <w:rPr>
          <w:rFonts w:cs="Arial"/>
        </w:rPr>
        <w:t xml:space="preserve">, the QBCC </w:t>
      </w:r>
      <w:r w:rsidR="003C24EF">
        <w:rPr>
          <w:rFonts w:cs="Arial"/>
        </w:rPr>
        <w:t xml:space="preserve">delivered </w:t>
      </w:r>
      <w:r w:rsidR="00E83C90">
        <w:rPr>
          <w:rFonts w:cs="Arial"/>
        </w:rPr>
        <w:t>a range of</w:t>
      </w:r>
      <w:r w:rsidR="003C24EF">
        <w:rPr>
          <w:rFonts w:cs="Arial"/>
        </w:rPr>
        <w:t xml:space="preserve"> </w:t>
      </w:r>
      <w:r w:rsidR="00ED1160">
        <w:rPr>
          <w:rFonts w:cs="Arial"/>
        </w:rPr>
        <w:t xml:space="preserve">in-person workshops and </w:t>
      </w:r>
      <w:r w:rsidR="00FA6132">
        <w:rPr>
          <w:rFonts w:cs="Arial"/>
        </w:rPr>
        <w:t xml:space="preserve">online </w:t>
      </w:r>
      <w:r w:rsidR="008556CC">
        <w:rPr>
          <w:rFonts w:cs="Arial"/>
        </w:rPr>
        <w:t xml:space="preserve">webinars </w:t>
      </w:r>
      <w:r w:rsidR="00CF013F">
        <w:rPr>
          <w:rFonts w:cs="Arial"/>
        </w:rPr>
        <w:t>t</w:t>
      </w:r>
      <w:r w:rsidR="00BF6720">
        <w:rPr>
          <w:rFonts w:cs="Arial"/>
        </w:rPr>
        <w:t>o</w:t>
      </w:r>
      <w:r w:rsidR="00291B83">
        <w:rPr>
          <w:rFonts w:cs="Arial"/>
        </w:rPr>
        <w:t xml:space="preserve"> </w:t>
      </w:r>
      <w:r w:rsidR="00FA6132">
        <w:rPr>
          <w:rFonts w:cs="Arial"/>
        </w:rPr>
        <w:t>support</w:t>
      </w:r>
      <w:r w:rsidR="00291B83">
        <w:rPr>
          <w:rFonts w:cs="Arial"/>
        </w:rPr>
        <w:t xml:space="preserve"> </w:t>
      </w:r>
      <w:r w:rsidR="006627D5" w:rsidRPr="7E4EA285">
        <w:rPr>
          <w:rFonts w:cs="Arial"/>
        </w:rPr>
        <w:t xml:space="preserve">professional development, </w:t>
      </w:r>
      <w:r w:rsidR="003F4B22">
        <w:rPr>
          <w:rFonts w:cs="Arial"/>
        </w:rPr>
        <w:t xml:space="preserve">strengthen </w:t>
      </w:r>
      <w:r w:rsidR="006627D5" w:rsidRPr="7E4EA285">
        <w:rPr>
          <w:rFonts w:cs="Arial"/>
        </w:rPr>
        <w:t>compliance with legal standards</w:t>
      </w:r>
      <w:r w:rsidR="008D2407">
        <w:rPr>
          <w:rFonts w:cs="Arial"/>
        </w:rPr>
        <w:t xml:space="preserve"> </w:t>
      </w:r>
      <w:r w:rsidR="006627D5" w:rsidRPr="7E4EA285">
        <w:rPr>
          <w:rFonts w:cs="Arial"/>
        </w:rPr>
        <w:t xml:space="preserve">and </w:t>
      </w:r>
      <w:r w:rsidR="008D2407">
        <w:rPr>
          <w:rFonts w:cs="Arial"/>
        </w:rPr>
        <w:t xml:space="preserve">enhance </w:t>
      </w:r>
      <w:r w:rsidR="006627D5" w:rsidRPr="7E4EA285">
        <w:rPr>
          <w:rFonts w:cs="Arial"/>
        </w:rPr>
        <w:t xml:space="preserve">job performance. </w:t>
      </w:r>
      <w:r w:rsidR="00DC2C02">
        <w:rPr>
          <w:rFonts w:cs="Arial"/>
        </w:rPr>
        <w:t>T</w:t>
      </w:r>
      <w:r w:rsidR="00BE5A25">
        <w:rPr>
          <w:rFonts w:cs="Arial"/>
        </w:rPr>
        <w:t xml:space="preserve">he </w:t>
      </w:r>
      <w:r w:rsidR="001059B4" w:rsidRPr="00B87BD5">
        <w:rPr>
          <w:rFonts w:cs="Arial"/>
        </w:rPr>
        <w:t>Learning and Development</w:t>
      </w:r>
      <w:r w:rsidR="001059B4">
        <w:rPr>
          <w:rFonts w:cs="Arial"/>
        </w:rPr>
        <w:t xml:space="preserve"> team </w:t>
      </w:r>
      <w:r w:rsidR="00056EA5">
        <w:rPr>
          <w:rFonts w:cs="Arial"/>
        </w:rPr>
        <w:t>led these</w:t>
      </w:r>
      <w:r w:rsidR="001059B4">
        <w:rPr>
          <w:rFonts w:cs="Arial"/>
        </w:rPr>
        <w:t xml:space="preserve"> </w:t>
      </w:r>
      <w:r w:rsidR="004F6368">
        <w:rPr>
          <w:rFonts w:cs="Arial"/>
        </w:rPr>
        <w:t>initiatives</w:t>
      </w:r>
      <w:r w:rsidR="00F93C55">
        <w:rPr>
          <w:rFonts w:cs="Arial"/>
        </w:rPr>
        <w:t xml:space="preserve">, providing training opportunities across </w:t>
      </w:r>
      <w:r w:rsidR="006627D5" w:rsidRPr="00DB4D62">
        <w:rPr>
          <w:rFonts w:cs="Arial"/>
        </w:rPr>
        <w:t xml:space="preserve">cultural </w:t>
      </w:r>
      <w:r w:rsidR="00B76289">
        <w:rPr>
          <w:rFonts w:cs="Arial"/>
        </w:rPr>
        <w:t xml:space="preserve">awareness, leadership </w:t>
      </w:r>
      <w:r w:rsidR="006C1839">
        <w:rPr>
          <w:rFonts w:cs="Arial"/>
        </w:rPr>
        <w:t>capability and complex skill development</w:t>
      </w:r>
      <w:r w:rsidR="000D15D7">
        <w:rPr>
          <w:rFonts w:cs="Arial"/>
        </w:rPr>
        <w:t xml:space="preserve">. </w:t>
      </w:r>
      <w:r w:rsidR="00CE2872">
        <w:rPr>
          <w:rFonts w:cs="Arial"/>
        </w:rPr>
        <w:t>T</w:t>
      </w:r>
      <w:r w:rsidR="006627D5" w:rsidRPr="00DB4D62">
        <w:rPr>
          <w:rFonts w:cs="Arial"/>
        </w:rPr>
        <w:t xml:space="preserve">raining was </w:t>
      </w:r>
      <w:r w:rsidR="00180458">
        <w:rPr>
          <w:rFonts w:cs="Arial"/>
        </w:rPr>
        <w:t>provided</w:t>
      </w:r>
      <w:r w:rsidR="00FE6FD9">
        <w:rPr>
          <w:rFonts w:cs="Arial"/>
        </w:rPr>
        <w:t xml:space="preserve"> </w:t>
      </w:r>
      <w:r w:rsidR="006627D5" w:rsidRPr="00DB4D62">
        <w:rPr>
          <w:rFonts w:cs="Arial"/>
        </w:rPr>
        <w:t xml:space="preserve">to </w:t>
      </w:r>
      <w:r w:rsidR="00FE6FD9">
        <w:rPr>
          <w:rFonts w:cs="Arial"/>
        </w:rPr>
        <w:t>a</w:t>
      </w:r>
      <w:r w:rsidR="00B2204A">
        <w:rPr>
          <w:rFonts w:cs="Arial"/>
        </w:rPr>
        <w:t>ll</w:t>
      </w:r>
      <w:r w:rsidR="00FE6FD9">
        <w:rPr>
          <w:rFonts w:cs="Arial"/>
        </w:rPr>
        <w:t xml:space="preserve"> staff</w:t>
      </w:r>
      <w:r w:rsidR="00B2204A">
        <w:rPr>
          <w:rFonts w:cs="Arial"/>
        </w:rPr>
        <w:t xml:space="preserve"> levels</w:t>
      </w:r>
      <w:r w:rsidR="00FE6FD9">
        <w:rPr>
          <w:rFonts w:cs="Arial"/>
        </w:rPr>
        <w:t xml:space="preserve">, </w:t>
      </w:r>
      <w:r w:rsidR="00BB3647">
        <w:rPr>
          <w:rFonts w:cs="Arial"/>
        </w:rPr>
        <w:t>focus</w:t>
      </w:r>
      <w:r w:rsidR="0037263E">
        <w:rPr>
          <w:rFonts w:cs="Arial"/>
        </w:rPr>
        <w:t>ing</w:t>
      </w:r>
      <w:r w:rsidR="00BB3647">
        <w:rPr>
          <w:rFonts w:cs="Arial"/>
        </w:rPr>
        <w:t xml:space="preserve"> on </w:t>
      </w:r>
      <w:r w:rsidR="0037263E">
        <w:rPr>
          <w:rFonts w:cs="Arial"/>
        </w:rPr>
        <w:t>building</w:t>
      </w:r>
      <w:r w:rsidR="00BB3647">
        <w:rPr>
          <w:rFonts w:cs="Arial"/>
        </w:rPr>
        <w:t xml:space="preserve"> </w:t>
      </w:r>
      <w:r w:rsidR="00AE3062">
        <w:rPr>
          <w:rFonts w:cs="Arial"/>
        </w:rPr>
        <w:t xml:space="preserve">the </w:t>
      </w:r>
      <w:r w:rsidR="004962BE">
        <w:rPr>
          <w:rFonts w:cs="Arial"/>
        </w:rPr>
        <w:t>capabilities essential fo</w:t>
      </w:r>
      <w:r w:rsidR="006627D5" w:rsidRPr="00DB4D62">
        <w:rPr>
          <w:rFonts w:cs="Arial"/>
        </w:rPr>
        <w:t xml:space="preserve">r </w:t>
      </w:r>
      <w:r w:rsidR="004B06C9">
        <w:rPr>
          <w:rFonts w:cs="Arial"/>
        </w:rPr>
        <w:t xml:space="preserve">meeting </w:t>
      </w:r>
      <w:r w:rsidR="006627D5" w:rsidRPr="00DB4D62">
        <w:rPr>
          <w:rFonts w:cs="Arial"/>
        </w:rPr>
        <w:t xml:space="preserve">day-to-day </w:t>
      </w:r>
      <w:r w:rsidR="0037263E">
        <w:rPr>
          <w:rFonts w:cs="Arial"/>
        </w:rPr>
        <w:t>responsibilities</w:t>
      </w:r>
      <w:r w:rsidR="007D1B14">
        <w:rPr>
          <w:rFonts w:cs="Arial"/>
        </w:rPr>
        <w:t xml:space="preserve"> and </w:t>
      </w:r>
      <w:r w:rsidR="00381B9D">
        <w:rPr>
          <w:rFonts w:cs="Arial"/>
        </w:rPr>
        <w:t>core</w:t>
      </w:r>
      <w:r w:rsidR="006627D5" w:rsidRPr="00DB4D62">
        <w:rPr>
          <w:rFonts w:cs="Arial"/>
        </w:rPr>
        <w:t xml:space="preserve"> </w:t>
      </w:r>
      <w:r w:rsidR="007D1B14">
        <w:rPr>
          <w:rFonts w:cs="Arial"/>
        </w:rPr>
        <w:t xml:space="preserve">functions </w:t>
      </w:r>
      <w:r w:rsidR="00BF3367">
        <w:rPr>
          <w:rFonts w:cs="Arial"/>
        </w:rPr>
        <w:t xml:space="preserve">such as </w:t>
      </w:r>
      <w:r w:rsidR="006627D5" w:rsidRPr="00DB4D62">
        <w:rPr>
          <w:rFonts w:cs="Arial"/>
        </w:rPr>
        <w:t>recruitment and selection.</w:t>
      </w:r>
    </w:p>
    <w:p w14:paraId="5B7F76BF" w14:textId="65C814AB" w:rsidR="006627D5" w:rsidRDefault="001059B4" w:rsidP="00F327D6">
      <w:pPr>
        <w:spacing w:before="120" w:after="120"/>
      </w:pPr>
      <w:r>
        <w:rPr>
          <w:rFonts w:cs="Arial"/>
        </w:rPr>
        <w:t>In</w:t>
      </w:r>
      <w:r w:rsidRPr="7E4EA285">
        <w:rPr>
          <w:rFonts w:cs="Arial"/>
        </w:rPr>
        <w:t xml:space="preserve"> </w:t>
      </w:r>
      <w:r w:rsidRPr="00896AEC">
        <w:rPr>
          <w:rFonts w:cs="Arial"/>
        </w:rPr>
        <w:t>2024–25</w:t>
      </w:r>
      <w:r w:rsidRPr="00B87BD5">
        <w:rPr>
          <w:rFonts w:cs="Arial"/>
        </w:rPr>
        <w:t>, the Learning and Development team de</w:t>
      </w:r>
      <w:r w:rsidR="00390ED7">
        <w:rPr>
          <w:rFonts w:cs="Arial"/>
        </w:rPr>
        <w:t>signed</w:t>
      </w:r>
      <w:r>
        <w:rPr>
          <w:rFonts w:cs="Arial"/>
        </w:rPr>
        <w:t xml:space="preserve"> and </w:t>
      </w:r>
      <w:r w:rsidRPr="00B87BD5">
        <w:rPr>
          <w:rFonts w:cs="Arial"/>
        </w:rPr>
        <w:t>delivered</w:t>
      </w:r>
      <w:r>
        <w:rPr>
          <w:rFonts w:cs="Arial"/>
        </w:rPr>
        <w:t xml:space="preserve"> </w:t>
      </w:r>
      <w:r w:rsidR="00C723BA">
        <w:rPr>
          <w:rFonts w:cs="Arial"/>
        </w:rPr>
        <w:t>81</w:t>
      </w:r>
      <w:r w:rsidRPr="00B87BD5">
        <w:rPr>
          <w:rFonts w:cs="Arial"/>
        </w:rPr>
        <w:t xml:space="preserve"> </w:t>
      </w:r>
      <w:r w:rsidR="00390ED7">
        <w:rPr>
          <w:rFonts w:cs="Arial"/>
        </w:rPr>
        <w:t xml:space="preserve">training sessions, </w:t>
      </w:r>
      <w:r w:rsidR="00B91C07">
        <w:rPr>
          <w:rFonts w:cs="Arial"/>
        </w:rPr>
        <w:t xml:space="preserve">including </w:t>
      </w:r>
      <w:r w:rsidR="00C723BA">
        <w:rPr>
          <w:rFonts w:cs="Arial"/>
        </w:rPr>
        <w:t>26</w:t>
      </w:r>
      <w:r>
        <w:rPr>
          <w:rFonts w:cs="Arial"/>
        </w:rPr>
        <w:t xml:space="preserve"> </w:t>
      </w:r>
      <w:r w:rsidRPr="00B87BD5">
        <w:rPr>
          <w:rFonts w:cs="Arial"/>
        </w:rPr>
        <w:t xml:space="preserve">workshops and </w:t>
      </w:r>
      <w:r w:rsidR="00EB0423">
        <w:rPr>
          <w:rFonts w:cs="Arial"/>
        </w:rPr>
        <w:t>55</w:t>
      </w:r>
      <w:r>
        <w:rPr>
          <w:rFonts w:cs="Arial"/>
        </w:rPr>
        <w:t xml:space="preserve"> </w:t>
      </w:r>
      <w:r w:rsidRPr="00B87BD5">
        <w:rPr>
          <w:rFonts w:cs="Arial"/>
        </w:rPr>
        <w:t>webinars</w:t>
      </w:r>
      <w:r w:rsidRPr="00B87BD5" w:rsidDel="00E03688">
        <w:rPr>
          <w:rFonts w:cs="Arial"/>
        </w:rPr>
        <w:t xml:space="preserve">. </w:t>
      </w:r>
      <w:r w:rsidR="00DE560E">
        <w:rPr>
          <w:rFonts w:cs="Arial"/>
        </w:rPr>
        <w:t>Notable</w:t>
      </w:r>
      <w:r w:rsidR="00FE05D5">
        <w:rPr>
          <w:rFonts w:cs="Arial"/>
        </w:rPr>
        <w:t xml:space="preserve"> </w:t>
      </w:r>
      <w:r w:rsidR="00FE05D5" w:rsidRPr="008F4DF8">
        <w:t xml:space="preserve">initiatives </w:t>
      </w:r>
      <w:r w:rsidR="00007D9D">
        <w:rPr>
          <w:rFonts w:cs="Arial"/>
        </w:rPr>
        <w:t xml:space="preserve">delivered </w:t>
      </w:r>
      <w:r w:rsidR="006627D5" w:rsidRPr="008F4DF8">
        <w:t xml:space="preserve">during </w:t>
      </w:r>
      <w:r w:rsidR="00DE560E">
        <w:t xml:space="preserve">the </w:t>
      </w:r>
      <w:r w:rsidR="006F482D">
        <w:t xml:space="preserve">financial </w:t>
      </w:r>
      <w:r w:rsidR="00DE560E">
        <w:t>year</w:t>
      </w:r>
      <w:r w:rsidR="006627D5" w:rsidRPr="008F4DF8">
        <w:t xml:space="preserve"> included</w:t>
      </w:r>
      <w:r w:rsidR="00007D9D">
        <w:t xml:space="preserve"> the following</w:t>
      </w:r>
      <w:r w:rsidR="006627D5" w:rsidRPr="008F4DF8">
        <w:t>:</w:t>
      </w:r>
    </w:p>
    <w:p w14:paraId="43FB690F" w14:textId="2B991140" w:rsidR="006627D5" w:rsidRPr="00300026" w:rsidRDefault="006B233C" w:rsidP="00BD69F7">
      <w:pPr>
        <w:pStyle w:val="ListParagraph"/>
        <w:numPr>
          <w:ilvl w:val="0"/>
          <w:numId w:val="12"/>
        </w:numPr>
        <w:spacing w:before="120" w:after="120"/>
        <w:ind w:left="714" w:hanging="357"/>
        <w:contextualSpacing w:val="0"/>
      </w:pPr>
      <w:r w:rsidRPr="008954C6">
        <w:rPr>
          <w:rFonts w:cs="Arial"/>
          <w:b/>
          <w:bCs/>
        </w:rPr>
        <w:t>Courageous Connections</w:t>
      </w:r>
      <w:r w:rsidR="008318F2">
        <w:rPr>
          <w:rFonts w:cs="Arial"/>
          <w:b/>
          <w:bCs/>
        </w:rPr>
        <w:t xml:space="preserve"> Pilot</w:t>
      </w:r>
      <w:r w:rsidR="004423C7">
        <w:rPr>
          <w:rFonts w:cs="Arial"/>
          <w:b/>
          <w:bCs/>
        </w:rPr>
        <w:t>:</w:t>
      </w:r>
      <w:r>
        <w:rPr>
          <w:rFonts w:cs="Arial"/>
        </w:rPr>
        <w:t xml:space="preserve"> </w:t>
      </w:r>
      <w:r w:rsidR="002B3C2C">
        <w:rPr>
          <w:rFonts w:cs="Arial"/>
        </w:rPr>
        <w:t>A p</w:t>
      </w:r>
      <w:r w:rsidR="008318F2">
        <w:rPr>
          <w:rFonts w:cs="Arial"/>
        </w:rPr>
        <w:t>ro</w:t>
      </w:r>
      <w:r>
        <w:rPr>
          <w:rFonts w:cs="Arial"/>
        </w:rPr>
        <w:t xml:space="preserve">gram </w:t>
      </w:r>
      <w:r w:rsidR="00E91CD3">
        <w:rPr>
          <w:rFonts w:cs="Arial"/>
        </w:rPr>
        <w:t>focused on</w:t>
      </w:r>
      <w:r w:rsidR="000A520C">
        <w:rPr>
          <w:rFonts w:cs="Arial"/>
        </w:rPr>
        <w:t xml:space="preserve"> building </w:t>
      </w:r>
      <w:r w:rsidR="00E91CD3">
        <w:rPr>
          <w:rFonts w:cs="Arial"/>
        </w:rPr>
        <w:t>advanced skills</w:t>
      </w:r>
      <w:r w:rsidR="006627D5">
        <w:rPr>
          <w:rFonts w:cs="Arial"/>
        </w:rPr>
        <w:t xml:space="preserve"> </w:t>
      </w:r>
      <w:r w:rsidR="00EB0D6E">
        <w:rPr>
          <w:rFonts w:cs="Arial"/>
        </w:rPr>
        <w:t xml:space="preserve">for </w:t>
      </w:r>
      <w:r w:rsidR="00A36572">
        <w:rPr>
          <w:rFonts w:cs="Arial"/>
        </w:rPr>
        <w:t>staff</w:t>
      </w:r>
      <w:r w:rsidR="006627D5">
        <w:rPr>
          <w:rFonts w:cs="Arial"/>
        </w:rPr>
        <w:t xml:space="preserve"> </w:t>
      </w:r>
      <w:r w:rsidR="006627D5" w:rsidRPr="00300026">
        <w:t>in complex skill areas</w:t>
      </w:r>
      <w:r w:rsidR="000A520C">
        <w:t xml:space="preserve"> </w:t>
      </w:r>
      <w:r w:rsidR="003F08EE">
        <w:t xml:space="preserve">like </w:t>
      </w:r>
      <w:r w:rsidR="00910CE2">
        <w:t xml:space="preserve">effective </w:t>
      </w:r>
      <w:r w:rsidR="003529DC">
        <w:t>communication</w:t>
      </w:r>
      <w:r w:rsidR="000A520C">
        <w:t xml:space="preserve"> and </w:t>
      </w:r>
      <w:r w:rsidR="003529DC">
        <w:t>emotional intelligence</w:t>
      </w:r>
      <w:r w:rsidR="00550959">
        <w:t>.</w:t>
      </w:r>
    </w:p>
    <w:p w14:paraId="2A74911E" w14:textId="67C4330F" w:rsidR="00A20468" w:rsidRPr="00300026" w:rsidRDefault="00E03688" w:rsidP="00BD69F7">
      <w:pPr>
        <w:pStyle w:val="ListParagraph"/>
        <w:numPr>
          <w:ilvl w:val="0"/>
          <w:numId w:val="12"/>
        </w:numPr>
        <w:spacing w:before="120" w:after="120"/>
        <w:ind w:left="714" w:hanging="357"/>
        <w:contextualSpacing w:val="0"/>
      </w:pPr>
      <w:r>
        <w:rPr>
          <w:b/>
        </w:rPr>
        <w:t xml:space="preserve">Responding to </w:t>
      </w:r>
      <w:r w:rsidR="00A20468" w:rsidRPr="00956BAC">
        <w:rPr>
          <w:b/>
        </w:rPr>
        <w:t>Customer Violence and Aggression</w:t>
      </w:r>
      <w:r w:rsidR="004423C7">
        <w:rPr>
          <w:b/>
        </w:rPr>
        <w:t>:</w:t>
      </w:r>
      <w:r w:rsidR="00A20468" w:rsidRPr="00A20468">
        <w:t xml:space="preserve"> </w:t>
      </w:r>
      <w:r w:rsidR="00D559B3">
        <w:t xml:space="preserve">Training designed to equip staff with strategies to </w:t>
      </w:r>
      <w:r w:rsidR="0001141D">
        <w:t>manage</w:t>
      </w:r>
      <w:r w:rsidR="00A20468" w:rsidRPr="00A20468">
        <w:t xml:space="preserve"> and </w:t>
      </w:r>
      <w:r w:rsidR="0001141D">
        <w:t>respond</w:t>
      </w:r>
      <w:r w:rsidR="00A20468" w:rsidRPr="00A20468">
        <w:t xml:space="preserve"> to aggression</w:t>
      </w:r>
      <w:r w:rsidR="00EF07F0">
        <w:t xml:space="preserve"> or </w:t>
      </w:r>
      <w:r w:rsidR="00A20468" w:rsidRPr="00A20468">
        <w:t>viole</w:t>
      </w:r>
      <w:r w:rsidR="00EF07F0">
        <w:t>nt customer behaviour</w:t>
      </w:r>
      <w:r w:rsidR="00A20468" w:rsidRPr="00A20468">
        <w:t>.</w:t>
      </w:r>
    </w:p>
    <w:p w14:paraId="16110F5B" w14:textId="4755B414" w:rsidR="00FB2698" w:rsidRPr="00956BAC" w:rsidRDefault="00DA7F3B" w:rsidP="00BD69F7">
      <w:pPr>
        <w:pStyle w:val="ListParagraph"/>
        <w:numPr>
          <w:ilvl w:val="0"/>
          <w:numId w:val="12"/>
        </w:numPr>
        <w:spacing w:before="120" w:after="120"/>
        <w:ind w:left="714" w:hanging="357"/>
        <w:contextualSpacing w:val="0"/>
      </w:pPr>
      <w:r w:rsidRPr="00956BAC">
        <w:rPr>
          <w:b/>
        </w:rPr>
        <w:t>Psychosocial Hazards for Leaders Pilot</w:t>
      </w:r>
      <w:r w:rsidR="004423C7">
        <w:rPr>
          <w:b/>
        </w:rPr>
        <w:t>:</w:t>
      </w:r>
      <w:r w:rsidRPr="00DA7F3B">
        <w:t xml:space="preserve"> </w:t>
      </w:r>
      <w:r w:rsidR="00214110">
        <w:t>Support for</w:t>
      </w:r>
      <w:r w:rsidRPr="00DA7F3B">
        <w:t xml:space="preserve"> leaders </w:t>
      </w:r>
      <w:r w:rsidR="00C5334F">
        <w:t>to</w:t>
      </w:r>
      <w:r w:rsidR="00214110">
        <w:t xml:space="preserve"> identify and</w:t>
      </w:r>
      <w:r w:rsidRPr="00DA7F3B">
        <w:t xml:space="preserve"> manag</w:t>
      </w:r>
      <w:r w:rsidR="00C5334F">
        <w:t>e</w:t>
      </w:r>
      <w:r w:rsidRPr="00DA7F3B">
        <w:t xml:space="preserve"> </w:t>
      </w:r>
      <w:r w:rsidR="0034619C">
        <w:t xml:space="preserve">workplace </w:t>
      </w:r>
      <w:r w:rsidRPr="00DA7F3B">
        <w:t xml:space="preserve">psychosocial </w:t>
      </w:r>
      <w:r w:rsidR="0034619C">
        <w:t>risks</w:t>
      </w:r>
      <w:r w:rsidR="00C5334F">
        <w:t xml:space="preserve">, </w:t>
      </w:r>
      <w:r w:rsidR="0034619C">
        <w:t>promote mental wellbeing</w:t>
      </w:r>
      <w:r w:rsidR="00423300">
        <w:t xml:space="preserve"> and </w:t>
      </w:r>
      <w:r w:rsidR="00E1332F">
        <w:t>mitigat</w:t>
      </w:r>
      <w:r w:rsidR="003D5C8E">
        <w:t>e</w:t>
      </w:r>
      <w:r w:rsidR="00374CD0">
        <w:t xml:space="preserve"> </w:t>
      </w:r>
      <w:r w:rsidR="00E1332F">
        <w:t xml:space="preserve">hazards in </w:t>
      </w:r>
      <w:r w:rsidR="00374CD0">
        <w:t xml:space="preserve">line with </w:t>
      </w:r>
      <w:r w:rsidR="00E1332F">
        <w:t>the code of practice</w:t>
      </w:r>
      <w:r w:rsidR="00BD4F0E">
        <w:t>.</w:t>
      </w:r>
    </w:p>
    <w:p w14:paraId="5E6714DF" w14:textId="504DAC66" w:rsidR="006627D5" w:rsidRDefault="003B6913" w:rsidP="00BD69F7">
      <w:pPr>
        <w:pStyle w:val="ListParagraph"/>
        <w:numPr>
          <w:ilvl w:val="0"/>
          <w:numId w:val="12"/>
        </w:numPr>
        <w:spacing w:before="120" w:after="120"/>
        <w:ind w:left="714" w:hanging="357"/>
        <w:contextualSpacing w:val="0"/>
      </w:pPr>
      <w:r w:rsidRPr="008C6B93">
        <w:rPr>
          <w:rFonts w:cs="Arial"/>
          <w:b/>
          <w:bCs/>
        </w:rPr>
        <w:t>Leader</w:t>
      </w:r>
      <w:r w:rsidR="008318F2" w:rsidRPr="008C6B93">
        <w:rPr>
          <w:rFonts w:cs="Arial"/>
          <w:b/>
          <w:bCs/>
        </w:rPr>
        <w:t>s’</w:t>
      </w:r>
      <w:r w:rsidRPr="008C6B93">
        <w:rPr>
          <w:rFonts w:cs="Arial"/>
          <w:b/>
          <w:bCs/>
        </w:rPr>
        <w:t xml:space="preserve"> </w:t>
      </w:r>
      <w:r w:rsidR="003B5644" w:rsidRPr="008C6B93">
        <w:rPr>
          <w:rFonts w:cs="Arial"/>
          <w:b/>
          <w:bCs/>
        </w:rPr>
        <w:t>Onboarding</w:t>
      </w:r>
      <w:r w:rsidR="008318F2" w:rsidRPr="008C6B93">
        <w:rPr>
          <w:rFonts w:cs="Arial"/>
          <w:b/>
          <w:bCs/>
        </w:rPr>
        <w:t xml:space="preserve"> Pilot</w:t>
      </w:r>
      <w:r w:rsidR="004423C7">
        <w:rPr>
          <w:rFonts w:cs="Arial"/>
          <w:b/>
          <w:bCs/>
        </w:rPr>
        <w:t>:</w:t>
      </w:r>
      <w:r w:rsidR="003B5644">
        <w:rPr>
          <w:rFonts w:cs="Arial"/>
        </w:rPr>
        <w:t xml:space="preserve"> </w:t>
      </w:r>
      <w:r w:rsidR="002B3C2C">
        <w:rPr>
          <w:rFonts w:cs="Arial"/>
        </w:rPr>
        <w:t xml:space="preserve">A </w:t>
      </w:r>
      <w:r w:rsidR="002A7BD0">
        <w:rPr>
          <w:rFonts w:cs="Arial"/>
        </w:rPr>
        <w:t xml:space="preserve">targeted </w:t>
      </w:r>
      <w:r w:rsidR="006627D5" w:rsidRPr="006E299A">
        <w:rPr>
          <w:rFonts w:cs="Arial"/>
        </w:rPr>
        <w:t xml:space="preserve">program </w:t>
      </w:r>
      <w:r w:rsidR="008F0B19">
        <w:rPr>
          <w:rFonts w:cs="Arial"/>
        </w:rPr>
        <w:t xml:space="preserve">providing </w:t>
      </w:r>
      <w:r w:rsidR="002A7BD0">
        <w:rPr>
          <w:rFonts w:cs="Arial"/>
        </w:rPr>
        <w:t xml:space="preserve">new </w:t>
      </w:r>
      <w:r w:rsidR="006627D5" w:rsidRPr="006E299A">
        <w:rPr>
          <w:rFonts w:cs="Arial"/>
        </w:rPr>
        <w:t>leaders</w:t>
      </w:r>
      <w:r w:rsidR="002A7BD0">
        <w:rPr>
          <w:rFonts w:cs="Arial"/>
        </w:rPr>
        <w:t xml:space="preserve"> </w:t>
      </w:r>
      <w:r w:rsidR="000A55D5">
        <w:rPr>
          <w:rFonts w:cs="Arial"/>
        </w:rPr>
        <w:t xml:space="preserve">with </w:t>
      </w:r>
      <w:r w:rsidR="008F0B19">
        <w:rPr>
          <w:rFonts w:cs="Arial"/>
        </w:rPr>
        <w:t>essential</w:t>
      </w:r>
      <w:r w:rsidR="000A55D5">
        <w:rPr>
          <w:rFonts w:cs="Arial"/>
        </w:rPr>
        <w:t xml:space="preserve"> </w:t>
      </w:r>
      <w:r w:rsidR="006627D5" w:rsidRPr="006E299A">
        <w:rPr>
          <w:rFonts w:cs="Arial"/>
        </w:rPr>
        <w:t xml:space="preserve">tools, resources and training </w:t>
      </w:r>
      <w:r w:rsidR="00A20816">
        <w:rPr>
          <w:rFonts w:cs="Arial"/>
        </w:rPr>
        <w:t>t</w:t>
      </w:r>
      <w:r w:rsidR="006627D5" w:rsidRPr="006E299A">
        <w:rPr>
          <w:rFonts w:cs="Arial"/>
        </w:rPr>
        <w:t xml:space="preserve">o </w:t>
      </w:r>
      <w:r w:rsidR="00A20816">
        <w:rPr>
          <w:rFonts w:cs="Arial"/>
        </w:rPr>
        <w:t>confidently</w:t>
      </w:r>
      <w:r w:rsidR="006627D5" w:rsidRPr="006E299A">
        <w:rPr>
          <w:rFonts w:cs="Arial"/>
        </w:rPr>
        <w:t xml:space="preserve"> lead</w:t>
      </w:r>
      <w:r w:rsidR="000A55D5">
        <w:rPr>
          <w:rFonts w:cs="Arial"/>
        </w:rPr>
        <w:t xml:space="preserve"> </w:t>
      </w:r>
      <w:r w:rsidR="006627D5" w:rsidRPr="006E299A">
        <w:rPr>
          <w:rFonts w:cs="Arial"/>
        </w:rPr>
        <w:t>teams</w:t>
      </w:r>
      <w:r w:rsidR="000A55D5">
        <w:rPr>
          <w:rFonts w:cs="Arial"/>
        </w:rPr>
        <w:t xml:space="preserve"> from </w:t>
      </w:r>
      <w:r w:rsidR="00892A78">
        <w:rPr>
          <w:rFonts w:cs="Arial"/>
        </w:rPr>
        <w:t>day one</w:t>
      </w:r>
      <w:r w:rsidR="006627D5" w:rsidRPr="006E299A">
        <w:rPr>
          <w:rFonts w:cs="Arial"/>
        </w:rPr>
        <w:t>.</w:t>
      </w:r>
    </w:p>
    <w:p w14:paraId="6CC6E7B7" w14:textId="285D186B" w:rsidR="002A36FA" w:rsidRDefault="00BB37A0" w:rsidP="00BD69F7">
      <w:pPr>
        <w:pStyle w:val="ListParagraph"/>
        <w:numPr>
          <w:ilvl w:val="0"/>
          <w:numId w:val="13"/>
        </w:numPr>
        <w:spacing w:before="120" w:after="120"/>
        <w:ind w:left="714" w:hanging="357"/>
        <w:contextualSpacing w:val="0"/>
      </w:pPr>
      <w:r w:rsidRPr="00991D5C">
        <w:rPr>
          <w:rFonts w:cs="Arial"/>
          <w:b/>
          <w:bCs/>
        </w:rPr>
        <w:t>Leading with Clarity</w:t>
      </w:r>
      <w:r w:rsidR="004423C7">
        <w:rPr>
          <w:rFonts w:cs="Arial"/>
          <w:b/>
          <w:bCs/>
        </w:rPr>
        <w:t>:</w:t>
      </w:r>
      <w:r>
        <w:rPr>
          <w:rFonts w:cs="Arial"/>
        </w:rPr>
        <w:t xml:space="preserve"> </w:t>
      </w:r>
      <w:r w:rsidR="00BF0C13">
        <w:rPr>
          <w:rFonts w:cs="Arial"/>
        </w:rPr>
        <w:t xml:space="preserve">Customised leadership </w:t>
      </w:r>
      <w:r w:rsidR="0050162A">
        <w:rPr>
          <w:rFonts w:cs="Arial"/>
        </w:rPr>
        <w:t xml:space="preserve">sessions </w:t>
      </w:r>
      <w:r w:rsidR="00E92D79">
        <w:rPr>
          <w:rFonts w:cs="Arial"/>
        </w:rPr>
        <w:t xml:space="preserve">covering key topics such as </w:t>
      </w:r>
      <w:r w:rsidR="00AB675F">
        <w:rPr>
          <w:rFonts w:cs="Arial"/>
        </w:rPr>
        <w:t xml:space="preserve">managing </w:t>
      </w:r>
      <w:r w:rsidR="00B912B2">
        <w:rPr>
          <w:rFonts w:cs="Arial"/>
        </w:rPr>
        <w:t>FWAs</w:t>
      </w:r>
      <w:r w:rsidR="00E345EF">
        <w:rPr>
          <w:rFonts w:cs="Arial"/>
        </w:rPr>
        <w:t xml:space="preserve"> and </w:t>
      </w:r>
      <w:r w:rsidR="001B1078">
        <w:rPr>
          <w:rFonts w:cs="Arial"/>
        </w:rPr>
        <w:t xml:space="preserve">developing successful </w:t>
      </w:r>
      <w:r w:rsidR="003F098A">
        <w:rPr>
          <w:rFonts w:cs="Arial"/>
        </w:rPr>
        <w:t>performance development plans</w:t>
      </w:r>
      <w:r w:rsidR="00550959">
        <w:rPr>
          <w:rFonts w:cs="Arial"/>
        </w:rPr>
        <w:t>.</w:t>
      </w:r>
    </w:p>
    <w:p w14:paraId="33988CEF" w14:textId="40C97E83" w:rsidR="006627D5" w:rsidRPr="005B7B2E" w:rsidRDefault="00242B8F" w:rsidP="00BD69F7">
      <w:pPr>
        <w:pStyle w:val="ListParagraph"/>
        <w:numPr>
          <w:ilvl w:val="0"/>
          <w:numId w:val="13"/>
        </w:numPr>
        <w:spacing w:before="120" w:after="120"/>
        <w:ind w:left="714" w:hanging="357"/>
        <w:contextualSpacing w:val="0"/>
      </w:pPr>
      <w:r w:rsidRPr="00885E3D">
        <w:rPr>
          <w:b/>
          <w:bCs/>
        </w:rPr>
        <w:t>Lead</w:t>
      </w:r>
      <w:r w:rsidR="00885E3D" w:rsidRPr="00885E3D">
        <w:rPr>
          <w:b/>
          <w:bCs/>
        </w:rPr>
        <w:t>ership Masterclass Series</w:t>
      </w:r>
      <w:r w:rsidR="004423C7">
        <w:rPr>
          <w:b/>
          <w:bCs/>
        </w:rPr>
        <w:t>:</w:t>
      </w:r>
      <w:r w:rsidR="00885E3D">
        <w:t xml:space="preserve"> A</w:t>
      </w:r>
      <w:r w:rsidR="006627D5" w:rsidRPr="005B7B2E">
        <w:t xml:space="preserve"> </w:t>
      </w:r>
      <w:r w:rsidR="00720DF6">
        <w:t>series</w:t>
      </w:r>
      <w:r w:rsidR="00885E3D">
        <w:t xml:space="preserve"> of </w:t>
      </w:r>
      <w:r w:rsidR="00720DF6">
        <w:t>workshops helping</w:t>
      </w:r>
      <w:r w:rsidR="006627D5" w:rsidRPr="005B7B2E">
        <w:t xml:space="preserve"> leaders </w:t>
      </w:r>
      <w:r w:rsidR="00297777">
        <w:t xml:space="preserve">embed the </w:t>
      </w:r>
      <w:r w:rsidR="00F2357A">
        <w:t xml:space="preserve">QBCC’s values </w:t>
      </w:r>
      <w:r w:rsidR="00F43095">
        <w:t xml:space="preserve">into their teams </w:t>
      </w:r>
      <w:r w:rsidR="00747EB8">
        <w:t>using</w:t>
      </w:r>
      <w:r w:rsidR="00F43095">
        <w:t xml:space="preserve"> </w:t>
      </w:r>
      <w:r w:rsidR="006627D5" w:rsidRPr="005B7B2E">
        <w:t xml:space="preserve">practical tools and </w:t>
      </w:r>
      <w:r w:rsidR="0082106E">
        <w:t>techniques.</w:t>
      </w:r>
    </w:p>
    <w:p w14:paraId="4C430D25" w14:textId="35DE17D0" w:rsidR="006627D5" w:rsidRDefault="006627D5" w:rsidP="00BD69F7">
      <w:pPr>
        <w:pStyle w:val="ListParagraph"/>
        <w:numPr>
          <w:ilvl w:val="0"/>
          <w:numId w:val="13"/>
        </w:numPr>
        <w:spacing w:before="120" w:after="120"/>
        <w:ind w:left="714" w:hanging="357"/>
        <w:contextualSpacing w:val="0"/>
      </w:pPr>
      <w:r w:rsidRPr="00537FD0">
        <w:rPr>
          <w:b/>
          <w:bCs/>
        </w:rPr>
        <w:t>Constructive Conversations</w:t>
      </w:r>
      <w:r w:rsidR="004423C7">
        <w:rPr>
          <w:b/>
          <w:bCs/>
        </w:rPr>
        <w:t>:</w:t>
      </w:r>
      <w:r w:rsidR="00560125">
        <w:t xml:space="preserve"> A</w:t>
      </w:r>
      <w:r w:rsidRPr="005B7B2E">
        <w:t xml:space="preserve">n immersive eight-week program </w:t>
      </w:r>
      <w:r w:rsidR="00FF709D">
        <w:t xml:space="preserve">designed to enhance </w:t>
      </w:r>
      <w:r w:rsidR="00A51251">
        <w:t xml:space="preserve">leadership </w:t>
      </w:r>
      <w:r w:rsidR="00FF709D">
        <w:t xml:space="preserve">skills </w:t>
      </w:r>
      <w:r w:rsidR="004B5B31">
        <w:t xml:space="preserve">in handling </w:t>
      </w:r>
      <w:r w:rsidR="000A4EE5">
        <w:t xml:space="preserve">complex </w:t>
      </w:r>
      <w:r w:rsidR="004B5B31">
        <w:t>workplace challenges</w:t>
      </w:r>
      <w:r w:rsidR="00A51251">
        <w:t xml:space="preserve">, </w:t>
      </w:r>
      <w:r w:rsidR="00C960E4">
        <w:t>tailored specifically</w:t>
      </w:r>
      <w:r w:rsidR="000A4EE5">
        <w:t xml:space="preserve"> for the </w:t>
      </w:r>
      <w:r w:rsidR="00F831B4">
        <w:t>QBCC</w:t>
      </w:r>
      <w:r w:rsidR="00C960E4">
        <w:t>’s unique environment</w:t>
      </w:r>
      <w:r w:rsidR="00873411" w:rsidRPr="00873411">
        <w:t xml:space="preserve">. </w:t>
      </w:r>
    </w:p>
    <w:p w14:paraId="79D11669" w14:textId="7EDF712B" w:rsidR="00550959" w:rsidRPr="005B7B2E" w:rsidRDefault="00550959" w:rsidP="00BD69F7">
      <w:pPr>
        <w:pStyle w:val="ListParagraph"/>
        <w:numPr>
          <w:ilvl w:val="0"/>
          <w:numId w:val="13"/>
        </w:numPr>
        <w:spacing w:before="120" w:after="120"/>
        <w:ind w:left="714" w:hanging="357"/>
      </w:pPr>
      <w:r w:rsidRPr="004932DC">
        <w:rPr>
          <w:b/>
          <w:bCs/>
        </w:rPr>
        <w:t>Leaders</w:t>
      </w:r>
      <w:r w:rsidR="003A18C4" w:rsidRPr="004932DC">
        <w:rPr>
          <w:b/>
          <w:bCs/>
        </w:rPr>
        <w:t>’</w:t>
      </w:r>
      <w:r w:rsidRPr="004932DC">
        <w:rPr>
          <w:b/>
          <w:bCs/>
        </w:rPr>
        <w:t xml:space="preserve"> Playbook</w:t>
      </w:r>
      <w:r w:rsidR="004423C7">
        <w:rPr>
          <w:b/>
          <w:bCs/>
        </w:rPr>
        <w:t>:</w:t>
      </w:r>
      <w:r w:rsidR="003A18C4">
        <w:t xml:space="preserve"> </w:t>
      </w:r>
      <w:r w:rsidR="004932DC" w:rsidRPr="004932DC">
        <w:t xml:space="preserve">A </w:t>
      </w:r>
      <w:r w:rsidR="009D185D">
        <w:t xml:space="preserve">practical </w:t>
      </w:r>
      <w:r w:rsidR="00237FEE">
        <w:t>guide</w:t>
      </w:r>
      <w:r w:rsidR="004932DC" w:rsidRPr="004932DC">
        <w:t xml:space="preserve"> </w:t>
      </w:r>
      <w:r w:rsidR="003E1687">
        <w:t xml:space="preserve">designed </w:t>
      </w:r>
      <w:r w:rsidR="004932DC" w:rsidRPr="004932DC">
        <w:t xml:space="preserve">to help leaders navigate key </w:t>
      </w:r>
      <w:r w:rsidR="00D16B03">
        <w:t>leadership moments</w:t>
      </w:r>
      <w:r w:rsidR="00A528AC">
        <w:t xml:space="preserve"> by </w:t>
      </w:r>
      <w:r w:rsidR="00C80B3D">
        <w:t>supporting</w:t>
      </w:r>
      <w:r w:rsidR="000C700A">
        <w:t xml:space="preserve"> consistent </w:t>
      </w:r>
      <w:r w:rsidR="000A2FFD">
        <w:t xml:space="preserve">decision making </w:t>
      </w:r>
      <w:r w:rsidR="00E478B4">
        <w:t>aligned with</w:t>
      </w:r>
      <w:r w:rsidR="000C700A">
        <w:t xml:space="preserve"> </w:t>
      </w:r>
      <w:r w:rsidR="00CB3BF2">
        <w:t>organisation</w:t>
      </w:r>
      <w:r w:rsidR="000C700A">
        <w:t>al</w:t>
      </w:r>
      <w:r w:rsidR="00CB3BF2">
        <w:t xml:space="preserve"> frameworks</w:t>
      </w:r>
      <w:r w:rsidR="003E1687">
        <w:t xml:space="preserve"> </w:t>
      </w:r>
      <w:r w:rsidR="004932DC" w:rsidRPr="004932DC">
        <w:t xml:space="preserve">and </w:t>
      </w:r>
      <w:r w:rsidR="000C700A">
        <w:t>best practice</w:t>
      </w:r>
      <w:r w:rsidR="004932DC" w:rsidRPr="004932DC">
        <w:t>.</w:t>
      </w:r>
    </w:p>
    <w:p w14:paraId="58F9FB6E" w14:textId="4F3FB2FB" w:rsidR="006627D5" w:rsidRPr="00962C64" w:rsidRDefault="006627D5" w:rsidP="00FE07C4">
      <w:pPr>
        <w:pStyle w:val="Heading4"/>
      </w:pPr>
      <w:bookmarkStart w:id="261" w:name="_Performance_development_plans"/>
      <w:bookmarkEnd w:id="261"/>
      <w:r w:rsidRPr="00962C64">
        <w:t>Performance development plans</w:t>
      </w:r>
      <w:r>
        <w:t xml:space="preserve">  </w:t>
      </w:r>
    </w:p>
    <w:p w14:paraId="2F47E136" w14:textId="658CEB52" w:rsidR="00036E8B" w:rsidRDefault="00845691" w:rsidP="00F327D6">
      <w:pPr>
        <w:spacing w:before="120" w:after="120"/>
        <w:rPr>
          <w:rFonts w:cs="Arial"/>
        </w:rPr>
      </w:pPr>
      <w:r w:rsidRPr="00F11EEF">
        <w:rPr>
          <w:rFonts w:cs="Arial"/>
        </w:rPr>
        <w:t>In</w:t>
      </w:r>
      <w:r w:rsidR="00581777" w:rsidRPr="00F11EEF">
        <w:rPr>
          <w:rFonts w:cs="Arial"/>
        </w:rPr>
        <w:t xml:space="preserve"> 2024–25, </w:t>
      </w:r>
      <w:r w:rsidR="00045992" w:rsidRPr="00045992">
        <w:rPr>
          <w:rFonts w:cs="Arial"/>
        </w:rPr>
        <w:t xml:space="preserve">Performance Development Plans </w:t>
      </w:r>
      <w:r w:rsidR="00736DD3">
        <w:rPr>
          <w:rFonts w:cs="Arial"/>
        </w:rPr>
        <w:t>(</w:t>
      </w:r>
      <w:r w:rsidR="005848EA">
        <w:rPr>
          <w:rFonts w:cs="Arial"/>
        </w:rPr>
        <w:t>PDP</w:t>
      </w:r>
      <w:r w:rsidR="00736DD3">
        <w:rPr>
          <w:rFonts w:cs="Arial"/>
        </w:rPr>
        <w:t>)</w:t>
      </w:r>
      <w:r w:rsidR="005848EA">
        <w:rPr>
          <w:rFonts w:cs="Arial"/>
        </w:rPr>
        <w:t xml:space="preserve"> activities in</w:t>
      </w:r>
      <w:r w:rsidR="00086B6C">
        <w:rPr>
          <w:rFonts w:cs="Arial"/>
        </w:rPr>
        <w:t xml:space="preserve">volved </w:t>
      </w:r>
      <w:r w:rsidR="00581777" w:rsidRPr="00F11EEF">
        <w:rPr>
          <w:rFonts w:cs="Arial"/>
        </w:rPr>
        <w:t>one-on-one meetings, feedback sessions</w:t>
      </w:r>
      <w:r w:rsidR="005848EA">
        <w:rPr>
          <w:rFonts w:cs="Arial"/>
        </w:rPr>
        <w:t xml:space="preserve"> </w:t>
      </w:r>
      <w:r w:rsidR="00581777" w:rsidRPr="00F11EEF">
        <w:rPr>
          <w:rFonts w:cs="Arial"/>
        </w:rPr>
        <w:t>and coaching conversations</w:t>
      </w:r>
      <w:r w:rsidR="00255D27">
        <w:rPr>
          <w:rFonts w:cs="Arial"/>
        </w:rPr>
        <w:t xml:space="preserve"> to </w:t>
      </w:r>
      <w:r w:rsidR="00581777" w:rsidRPr="00F11EEF">
        <w:rPr>
          <w:rFonts w:cs="Arial"/>
        </w:rPr>
        <w:t>ensure</w:t>
      </w:r>
      <w:r w:rsidR="00255D27">
        <w:rPr>
          <w:rFonts w:cs="Arial"/>
        </w:rPr>
        <w:t xml:space="preserve"> </w:t>
      </w:r>
      <w:r w:rsidR="00581777" w:rsidRPr="00F11EEF">
        <w:rPr>
          <w:rFonts w:cs="Arial"/>
        </w:rPr>
        <w:t xml:space="preserve">staff development </w:t>
      </w:r>
      <w:r w:rsidR="00B22FC3">
        <w:rPr>
          <w:rFonts w:cs="Arial"/>
        </w:rPr>
        <w:t xml:space="preserve">remained </w:t>
      </w:r>
      <w:r w:rsidR="00581777" w:rsidRPr="00F11EEF">
        <w:rPr>
          <w:rFonts w:cs="Arial"/>
        </w:rPr>
        <w:t>continuous and constructive. Formal performance reviews were conducted</w:t>
      </w:r>
      <w:r w:rsidR="00D36279">
        <w:rPr>
          <w:rFonts w:cs="Arial"/>
        </w:rPr>
        <w:t xml:space="preserve"> </w:t>
      </w:r>
      <w:r w:rsidR="00AA7558">
        <w:rPr>
          <w:rFonts w:cs="Arial"/>
        </w:rPr>
        <w:t xml:space="preserve">at the </w:t>
      </w:r>
      <w:r w:rsidR="00D36279">
        <w:rPr>
          <w:rFonts w:cs="Arial"/>
        </w:rPr>
        <w:t>six</w:t>
      </w:r>
      <w:r w:rsidR="00296CDB">
        <w:rPr>
          <w:rFonts w:cs="Arial"/>
        </w:rPr>
        <w:t>-</w:t>
      </w:r>
      <w:r w:rsidR="00D36279">
        <w:rPr>
          <w:rFonts w:cs="Arial"/>
        </w:rPr>
        <w:t>month</w:t>
      </w:r>
      <w:r w:rsidR="00AA7558">
        <w:rPr>
          <w:rFonts w:cs="Arial"/>
        </w:rPr>
        <w:t xml:space="preserve"> </w:t>
      </w:r>
      <w:r w:rsidR="006E099F">
        <w:rPr>
          <w:rFonts w:cs="Arial"/>
        </w:rPr>
        <w:t>mark</w:t>
      </w:r>
      <w:r w:rsidR="00581777" w:rsidRPr="00F11EEF">
        <w:rPr>
          <w:rFonts w:cs="Arial"/>
        </w:rPr>
        <w:t xml:space="preserve">, with progress </w:t>
      </w:r>
      <w:r w:rsidR="00C12046">
        <w:rPr>
          <w:rFonts w:cs="Arial"/>
        </w:rPr>
        <w:t>captured</w:t>
      </w:r>
      <w:r w:rsidR="00C12046" w:rsidRPr="00F11EEF">
        <w:rPr>
          <w:rFonts w:cs="Arial"/>
        </w:rPr>
        <w:t xml:space="preserve"> </w:t>
      </w:r>
      <w:r w:rsidR="00581777" w:rsidRPr="00F11EEF">
        <w:rPr>
          <w:rFonts w:cs="Arial"/>
        </w:rPr>
        <w:t xml:space="preserve">in PDPs to </w:t>
      </w:r>
      <w:r w:rsidR="00077F4D">
        <w:rPr>
          <w:rFonts w:cs="Arial"/>
        </w:rPr>
        <w:t>provide clear guidance</w:t>
      </w:r>
      <w:r w:rsidR="00D661C6">
        <w:rPr>
          <w:rFonts w:cs="Arial"/>
        </w:rPr>
        <w:t xml:space="preserve"> and </w:t>
      </w:r>
      <w:r w:rsidR="00581777" w:rsidRPr="00F11EEF">
        <w:rPr>
          <w:rFonts w:cs="Arial"/>
        </w:rPr>
        <w:t>accountability.</w:t>
      </w:r>
      <w:r w:rsidR="004105B8">
        <w:rPr>
          <w:rFonts w:cs="Arial"/>
        </w:rPr>
        <w:t xml:space="preserve"> </w:t>
      </w:r>
      <w:r w:rsidR="00036E8B">
        <w:rPr>
          <w:rFonts w:cs="Arial"/>
        </w:rPr>
        <w:t>T</w:t>
      </w:r>
      <w:r w:rsidR="00581777" w:rsidRPr="00581777">
        <w:rPr>
          <w:rFonts w:cs="Arial"/>
        </w:rPr>
        <w:t xml:space="preserve">he QBCC </w:t>
      </w:r>
      <w:r w:rsidR="005D751C">
        <w:rPr>
          <w:rFonts w:cs="Arial"/>
        </w:rPr>
        <w:t>also completed its</w:t>
      </w:r>
      <w:r w:rsidR="00B94581">
        <w:rPr>
          <w:rFonts w:cs="Arial"/>
        </w:rPr>
        <w:t xml:space="preserve"> </w:t>
      </w:r>
      <w:r w:rsidR="00581777" w:rsidRPr="00581777">
        <w:rPr>
          <w:rFonts w:cs="Arial"/>
        </w:rPr>
        <w:t>annual</w:t>
      </w:r>
      <w:r w:rsidR="00B94581">
        <w:rPr>
          <w:rFonts w:cs="Arial"/>
        </w:rPr>
        <w:t xml:space="preserve"> </w:t>
      </w:r>
      <w:r w:rsidR="00581777" w:rsidRPr="00581777">
        <w:rPr>
          <w:rFonts w:cs="Arial"/>
        </w:rPr>
        <w:t>review and update</w:t>
      </w:r>
      <w:r w:rsidR="005D751C">
        <w:rPr>
          <w:rFonts w:cs="Arial"/>
        </w:rPr>
        <w:t xml:space="preserve"> of </w:t>
      </w:r>
      <w:r w:rsidR="00581777" w:rsidRPr="00581777">
        <w:rPr>
          <w:rFonts w:cs="Arial"/>
        </w:rPr>
        <w:t xml:space="preserve">performance development tools. </w:t>
      </w:r>
      <w:r w:rsidR="00C02315">
        <w:rPr>
          <w:rFonts w:cs="Arial"/>
        </w:rPr>
        <w:t>E</w:t>
      </w:r>
      <w:r w:rsidR="00581777" w:rsidRPr="00581777">
        <w:rPr>
          <w:rFonts w:cs="Arial"/>
        </w:rPr>
        <w:t xml:space="preserve">nhancements were made to </w:t>
      </w:r>
      <w:r w:rsidR="00277C42">
        <w:rPr>
          <w:rFonts w:cs="Arial"/>
        </w:rPr>
        <w:t xml:space="preserve">better highlight </w:t>
      </w:r>
      <w:r w:rsidR="00581777" w:rsidRPr="00581777">
        <w:rPr>
          <w:rFonts w:cs="Arial"/>
        </w:rPr>
        <w:t xml:space="preserve">individual contributions to a values-driven culture. </w:t>
      </w:r>
    </w:p>
    <w:p w14:paraId="57200285" w14:textId="77777777" w:rsidR="003C7547" w:rsidRDefault="00AA75D7" w:rsidP="00F327D6">
      <w:pPr>
        <w:spacing w:before="120" w:after="120"/>
        <w:rPr>
          <w:rFonts w:cs="Arial"/>
        </w:rPr>
      </w:pPr>
      <w:r>
        <w:rPr>
          <w:rFonts w:cs="Arial"/>
        </w:rPr>
        <w:t>T</w:t>
      </w:r>
      <w:r w:rsidR="00581777" w:rsidRPr="00581777">
        <w:rPr>
          <w:rFonts w:cs="Arial"/>
        </w:rPr>
        <w:t>he QBCC’s Innovate R</w:t>
      </w:r>
      <w:r w:rsidR="00B84C72">
        <w:rPr>
          <w:rFonts w:cs="Arial"/>
        </w:rPr>
        <w:t>AP</w:t>
      </w:r>
      <w:r w:rsidR="00581777" w:rsidRPr="00581777">
        <w:rPr>
          <w:rFonts w:cs="Arial"/>
        </w:rPr>
        <w:t xml:space="preserve"> was </w:t>
      </w:r>
      <w:r>
        <w:rPr>
          <w:rFonts w:cs="Arial"/>
        </w:rPr>
        <w:t xml:space="preserve">also </w:t>
      </w:r>
      <w:r w:rsidR="00581777" w:rsidRPr="00581777">
        <w:rPr>
          <w:rFonts w:cs="Arial"/>
        </w:rPr>
        <w:t xml:space="preserve">integrated into the PDP template, encouraging employees to reflect on </w:t>
      </w:r>
      <w:r w:rsidR="00001AED">
        <w:rPr>
          <w:rFonts w:cs="Arial"/>
        </w:rPr>
        <w:t xml:space="preserve">their </w:t>
      </w:r>
      <w:r w:rsidR="0034077F">
        <w:rPr>
          <w:rFonts w:cs="Arial"/>
        </w:rPr>
        <w:t>role in advancing the QBCC</w:t>
      </w:r>
      <w:r w:rsidR="00581777" w:rsidRPr="00581777">
        <w:rPr>
          <w:rFonts w:cs="Arial"/>
        </w:rPr>
        <w:t xml:space="preserve">’s </w:t>
      </w:r>
      <w:r w:rsidR="00C10F53">
        <w:rPr>
          <w:rFonts w:cs="Arial"/>
        </w:rPr>
        <w:t>r</w:t>
      </w:r>
      <w:r w:rsidR="00581777" w:rsidRPr="00581777">
        <w:rPr>
          <w:rFonts w:cs="Arial"/>
        </w:rPr>
        <w:t xml:space="preserve">econciliation </w:t>
      </w:r>
      <w:r w:rsidR="00C10F53">
        <w:rPr>
          <w:rFonts w:cs="Arial"/>
        </w:rPr>
        <w:t>j</w:t>
      </w:r>
      <w:r w:rsidR="00581777" w:rsidRPr="00581777">
        <w:rPr>
          <w:rFonts w:cs="Arial"/>
        </w:rPr>
        <w:t xml:space="preserve">ourney. </w:t>
      </w:r>
    </w:p>
    <w:p w14:paraId="391AAAC6" w14:textId="7843ABBA" w:rsidR="006627D5" w:rsidRPr="000E57FC" w:rsidRDefault="004E061B" w:rsidP="00F327D6">
      <w:pPr>
        <w:spacing w:before="120" w:after="120"/>
        <w:rPr>
          <w:rFonts w:cs="Arial"/>
        </w:rPr>
      </w:pPr>
      <w:r>
        <w:rPr>
          <w:rFonts w:cs="Arial"/>
        </w:rPr>
        <w:t xml:space="preserve">At the </w:t>
      </w:r>
      <w:r w:rsidR="00581777" w:rsidRPr="00581777">
        <w:rPr>
          <w:rFonts w:cs="Arial"/>
        </w:rPr>
        <w:t>March 2025 mid-year check</w:t>
      </w:r>
      <w:r>
        <w:rPr>
          <w:rFonts w:cs="Arial"/>
        </w:rPr>
        <w:t>point</w:t>
      </w:r>
      <w:r w:rsidR="00581777" w:rsidRPr="00581777">
        <w:rPr>
          <w:rFonts w:cs="Arial"/>
        </w:rPr>
        <w:t xml:space="preserve">, </w:t>
      </w:r>
      <w:r w:rsidR="00BB0DAE">
        <w:rPr>
          <w:rFonts w:cs="Arial"/>
        </w:rPr>
        <w:t xml:space="preserve">the PDP </w:t>
      </w:r>
      <w:r w:rsidR="00581777" w:rsidRPr="00581777">
        <w:rPr>
          <w:rFonts w:cs="Arial"/>
        </w:rPr>
        <w:t xml:space="preserve">completion rate </w:t>
      </w:r>
      <w:r w:rsidR="00BB0DAE">
        <w:rPr>
          <w:rFonts w:cs="Arial"/>
        </w:rPr>
        <w:t xml:space="preserve">was </w:t>
      </w:r>
      <w:r w:rsidR="000E451B">
        <w:rPr>
          <w:rFonts w:cs="Arial"/>
        </w:rPr>
        <w:t>74</w:t>
      </w:r>
      <w:r w:rsidR="00EA0D84">
        <w:rPr>
          <w:rFonts w:cs="Arial"/>
        </w:rPr>
        <w:t xml:space="preserve"> per cent</w:t>
      </w:r>
      <w:r w:rsidR="00581777" w:rsidRPr="00581777">
        <w:rPr>
          <w:rFonts w:cs="Arial"/>
        </w:rPr>
        <w:t xml:space="preserve">, </w:t>
      </w:r>
      <w:r w:rsidR="000662F2">
        <w:rPr>
          <w:rFonts w:cs="Arial"/>
        </w:rPr>
        <w:t>reflecting</w:t>
      </w:r>
      <w:r w:rsidR="000662F2" w:rsidRPr="00581777">
        <w:rPr>
          <w:rFonts w:cs="Arial"/>
        </w:rPr>
        <w:t xml:space="preserve"> </w:t>
      </w:r>
      <w:r w:rsidR="00581777" w:rsidRPr="00581777">
        <w:rPr>
          <w:rFonts w:cs="Arial"/>
        </w:rPr>
        <w:t xml:space="preserve">strong </w:t>
      </w:r>
      <w:r w:rsidR="00887B1C">
        <w:rPr>
          <w:rFonts w:cs="Arial"/>
        </w:rPr>
        <w:t xml:space="preserve">staff </w:t>
      </w:r>
      <w:r w:rsidR="00581777" w:rsidRPr="00581777">
        <w:rPr>
          <w:rFonts w:cs="Arial"/>
        </w:rPr>
        <w:t>engagement with the performance development process</w:t>
      </w:r>
      <w:r w:rsidR="007905B5">
        <w:rPr>
          <w:rFonts w:cs="Arial"/>
        </w:rPr>
        <w:t xml:space="preserve">. These efforts </w:t>
      </w:r>
      <w:r w:rsidR="00191549">
        <w:rPr>
          <w:rFonts w:cs="Arial"/>
        </w:rPr>
        <w:t xml:space="preserve">reflect the QBCC’s ongoing </w:t>
      </w:r>
      <w:r w:rsidR="00B9407D">
        <w:rPr>
          <w:rFonts w:cs="Arial"/>
        </w:rPr>
        <w:t>commitment to build</w:t>
      </w:r>
      <w:r w:rsidR="00C732FB">
        <w:rPr>
          <w:rFonts w:cs="Arial"/>
        </w:rPr>
        <w:t>ing</w:t>
      </w:r>
      <w:r w:rsidR="00B9407D">
        <w:rPr>
          <w:rFonts w:cs="Arial"/>
        </w:rPr>
        <w:t xml:space="preserve"> a</w:t>
      </w:r>
      <w:r w:rsidR="00380530">
        <w:rPr>
          <w:rFonts w:cs="Arial"/>
        </w:rPr>
        <w:t xml:space="preserve"> </w:t>
      </w:r>
      <w:r w:rsidR="00581777" w:rsidRPr="00581777">
        <w:rPr>
          <w:rFonts w:cs="Arial"/>
        </w:rPr>
        <w:t xml:space="preserve">capable </w:t>
      </w:r>
      <w:r w:rsidR="00E527CC">
        <w:rPr>
          <w:rFonts w:cs="Arial"/>
        </w:rPr>
        <w:t xml:space="preserve">and motivated </w:t>
      </w:r>
      <w:r w:rsidR="00581777" w:rsidRPr="00581777">
        <w:rPr>
          <w:rFonts w:cs="Arial"/>
        </w:rPr>
        <w:t xml:space="preserve">workforce </w:t>
      </w:r>
      <w:r w:rsidR="002F494D">
        <w:rPr>
          <w:rFonts w:cs="Arial"/>
        </w:rPr>
        <w:t xml:space="preserve">that is </w:t>
      </w:r>
      <w:r w:rsidR="002458D0">
        <w:rPr>
          <w:rFonts w:cs="Arial"/>
        </w:rPr>
        <w:t xml:space="preserve">responsive to change </w:t>
      </w:r>
      <w:r w:rsidR="00C970B0">
        <w:rPr>
          <w:rFonts w:cs="Arial"/>
        </w:rPr>
        <w:t xml:space="preserve">and </w:t>
      </w:r>
      <w:r w:rsidR="00D91608">
        <w:rPr>
          <w:rFonts w:cs="Arial"/>
        </w:rPr>
        <w:t xml:space="preserve">committed </w:t>
      </w:r>
      <w:r w:rsidR="009C1B46">
        <w:rPr>
          <w:rFonts w:cs="Arial"/>
        </w:rPr>
        <w:t xml:space="preserve">to </w:t>
      </w:r>
      <w:r w:rsidR="00E1217A">
        <w:rPr>
          <w:rFonts w:cs="Arial"/>
        </w:rPr>
        <w:t>cultivating</w:t>
      </w:r>
      <w:r w:rsidR="009C1B46">
        <w:rPr>
          <w:rFonts w:cs="Arial"/>
        </w:rPr>
        <w:t xml:space="preserve"> </w:t>
      </w:r>
      <w:r w:rsidR="00C970B0">
        <w:rPr>
          <w:rFonts w:cs="Arial"/>
        </w:rPr>
        <w:t>a culture that empo</w:t>
      </w:r>
      <w:r w:rsidR="00D00C85">
        <w:rPr>
          <w:rFonts w:cs="Arial"/>
        </w:rPr>
        <w:t>w</w:t>
      </w:r>
      <w:r w:rsidR="00C970B0">
        <w:rPr>
          <w:rFonts w:cs="Arial"/>
        </w:rPr>
        <w:t xml:space="preserve">ers </w:t>
      </w:r>
      <w:r w:rsidR="00EA0D84">
        <w:rPr>
          <w:rFonts w:cs="Arial"/>
        </w:rPr>
        <w:t>its people</w:t>
      </w:r>
      <w:r w:rsidR="00581777" w:rsidRPr="00581777">
        <w:rPr>
          <w:rFonts w:cs="Arial"/>
        </w:rPr>
        <w:t>.</w:t>
      </w:r>
    </w:p>
    <w:p w14:paraId="4F164A3E" w14:textId="77777777" w:rsidR="006627D5" w:rsidRPr="00C503EF" w:rsidRDefault="006627D5" w:rsidP="00FE07C4">
      <w:pPr>
        <w:pStyle w:val="Heading4"/>
      </w:pPr>
      <w:bookmarkStart w:id="262" w:name="_Study_and_Research"/>
      <w:bookmarkEnd w:id="262"/>
      <w:r w:rsidRPr="7E4EA285">
        <w:t xml:space="preserve">Study and Research Assistance Scheme </w:t>
      </w:r>
      <w:r>
        <w:t xml:space="preserve">  </w:t>
      </w:r>
    </w:p>
    <w:p w14:paraId="6F9CF1F4" w14:textId="31F2BC40" w:rsidR="00AF575D" w:rsidRDefault="006627D5" w:rsidP="008C0416">
      <w:pPr>
        <w:spacing w:before="120" w:after="120"/>
        <w:rPr>
          <w:rFonts w:cs="Arial"/>
        </w:rPr>
      </w:pPr>
      <w:r>
        <w:rPr>
          <w:rFonts w:cs="Arial"/>
          <w:szCs w:val="20"/>
        </w:rPr>
        <w:t>The QBCC</w:t>
      </w:r>
      <w:r w:rsidR="009473CB">
        <w:rPr>
          <w:rFonts w:cs="Arial"/>
          <w:szCs w:val="20"/>
        </w:rPr>
        <w:t>’s</w:t>
      </w:r>
      <w:r>
        <w:rPr>
          <w:rFonts w:cs="Arial"/>
          <w:szCs w:val="20"/>
        </w:rPr>
        <w:t xml:space="preserve"> </w:t>
      </w:r>
      <w:r w:rsidR="00736DD3" w:rsidRPr="00736DD3">
        <w:rPr>
          <w:rFonts w:cs="Arial"/>
          <w:szCs w:val="20"/>
        </w:rPr>
        <w:t xml:space="preserve">Study and Research Assistance Scheme </w:t>
      </w:r>
      <w:r w:rsidR="00736DD3">
        <w:rPr>
          <w:rFonts w:cs="Arial"/>
          <w:szCs w:val="20"/>
        </w:rPr>
        <w:t>(</w:t>
      </w:r>
      <w:r w:rsidRPr="00C42D19">
        <w:rPr>
          <w:rFonts w:cs="Arial"/>
          <w:szCs w:val="20"/>
        </w:rPr>
        <w:t>SARAS</w:t>
      </w:r>
      <w:r w:rsidR="00736DD3">
        <w:rPr>
          <w:rFonts w:cs="Arial"/>
          <w:szCs w:val="20"/>
        </w:rPr>
        <w:t>)</w:t>
      </w:r>
      <w:r>
        <w:rPr>
          <w:rFonts w:cs="Arial"/>
          <w:szCs w:val="20"/>
        </w:rPr>
        <w:t xml:space="preserve"> </w:t>
      </w:r>
      <w:r w:rsidRPr="00C42D19">
        <w:rPr>
          <w:rFonts w:cs="Arial"/>
          <w:szCs w:val="20"/>
        </w:rPr>
        <w:t>support</w:t>
      </w:r>
      <w:r w:rsidR="00C442F0">
        <w:rPr>
          <w:rFonts w:cs="Arial"/>
          <w:szCs w:val="20"/>
        </w:rPr>
        <w:t xml:space="preserve">s </w:t>
      </w:r>
      <w:r w:rsidRPr="00C42D19">
        <w:rPr>
          <w:rFonts w:cs="Arial"/>
          <w:szCs w:val="20"/>
        </w:rPr>
        <w:t xml:space="preserve">employees </w:t>
      </w:r>
      <w:r w:rsidR="00C442F0">
        <w:rPr>
          <w:rFonts w:cs="Arial"/>
          <w:szCs w:val="20"/>
        </w:rPr>
        <w:t xml:space="preserve">undertaking </w:t>
      </w:r>
      <w:r w:rsidRPr="00C42D19">
        <w:rPr>
          <w:rFonts w:cs="Arial"/>
          <w:szCs w:val="20"/>
        </w:rPr>
        <w:t xml:space="preserve">formal qualifications or additional learning opportunities that </w:t>
      </w:r>
      <w:r w:rsidR="00801C16">
        <w:rPr>
          <w:rFonts w:cs="Arial"/>
          <w:szCs w:val="20"/>
        </w:rPr>
        <w:t xml:space="preserve">align with </w:t>
      </w:r>
      <w:r w:rsidRPr="00C42D19">
        <w:rPr>
          <w:rFonts w:cs="Arial"/>
          <w:szCs w:val="20"/>
        </w:rPr>
        <w:t>their professional development</w:t>
      </w:r>
      <w:r w:rsidR="00801C16">
        <w:rPr>
          <w:rFonts w:cs="Arial"/>
          <w:szCs w:val="20"/>
        </w:rPr>
        <w:t xml:space="preserve"> goals </w:t>
      </w:r>
      <w:r w:rsidRPr="00C42D19">
        <w:rPr>
          <w:rFonts w:cs="Arial"/>
          <w:szCs w:val="20"/>
        </w:rPr>
        <w:t>and</w:t>
      </w:r>
      <w:r w:rsidR="00801C16">
        <w:rPr>
          <w:rFonts w:cs="Arial"/>
          <w:szCs w:val="20"/>
        </w:rPr>
        <w:t xml:space="preserve"> </w:t>
      </w:r>
      <w:r w:rsidRPr="00C42D19">
        <w:rPr>
          <w:rFonts w:cs="Arial"/>
          <w:szCs w:val="20"/>
        </w:rPr>
        <w:t xml:space="preserve">career aspirations. </w:t>
      </w:r>
      <w:r w:rsidR="00613852">
        <w:rPr>
          <w:rFonts w:cs="Arial"/>
          <w:szCs w:val="20"/>
        </w:rPr>
        <w:t xml:space="preserve">The </w:t>
      </w:r>
      <w:r w:rsidR="000B3082">
        <w:rPr>
          <w:rFonts w:cs="Arial"/>
          <w:szCs w:val="20"/>
        </w:rPr>
        <w:t>SARAS</w:t>
      </w:r>
      <w:r w:rsidR="00613852">
        <w:rPr>
          <w:rFonts w:cs="Arial"/>
          <w:szCs w:val="20"/>
        </w:rPr>
        <w:t xml:space="preserve"> initiative reflects</w:t>
      </w:r>
      <w:r>
        <w:rPr>
          <w:rFonts w:cs="Arial"/>
          <w:szCs w:val="20"/>
        </w:rPr>
        <w:t xml:space="preserve"> the QBCC</w:t>
      </w:r>
      <w:r w:rsidR="00C40766">
        <w:rPr>
          <w:rFonts w:cs="Arial"/>
          <w:szCs w:val="20"/>
        </w:rPr>
        <w:t>’</w:t>
      </w:r>
      <w:r>
        <w:rPr>
          <w:rFonts w:cs="Arial"/>
          <w:szCs w:val="20"/>
        </w:rPr>
        <w:t xml:space="preserve">s </w:t>
      </w:r>
      <w:r w:rsidR="008324D9">
        <w:rPr>
          <w:rFonts w:cs="Arial"/>
          <w:szCs w:val="20"/>
        </w:rPr>
        <w:t xml:space="preserve">strong </w:t>
      </w:r>
      <w:r>
        <w:rPr>
          <w:rFonts w:cs="Arial"/>
          <w:szCs w:val="20"/>
        </w:rPr>
        <w:t xml:space="preserve">commitment </w:t>
      </w:r>
      <w:r w:rsidR="008324D9">
        <w:rPr>
          <w:rFonts w:cs="Arial"/>
          <w:szCs w:val="20"/>
        </w:rPr>
        <w:t xml:space="preserve">to </w:t>
      </w:r>
      <w:r w:rsidR="00E1217A">
        <w:rPr>
          <w:rFonts w:cs="Arial"/>
          <w:szCs w:val="20"/>
        </w:rPr>
        <w:t>encouraging</w:t>
      </w:r>
      <w:r w:rsidR="008324D9">
        <w:rPr>
          <w:rFonts w:cs="Arial"/>
          <w:szCs w:val="20"/>
        </w:rPr>
        <w:t xml:space="preserve"> continu</w:t>
      </w:r>
      <w:r w:rsidR="00E72555">
        <w:rPr>
          <w:rFonts w:cs="Arial"/>
          <w:szCs w:val="20"/>
        </w:rPr>
        <w:t>ou</w:t>
      </w:r>
      <w:r w:rsidR="008324D9">
        <w:rPr>
          <w:rFonts w:cs="Arial"/>
          <w:szCs w:val="20"/>
        </w:rPr>
        <w:t xml:space="preserve">s </w:t>
      </w:r>
      <w:r w:rsidR="00E72555">
        <w:rPr>
          <w:rFonts w:cs="Arial"/>
          <w:szCs w:val="20"/>
        </w:rPr>
        <w:t xml:space="preserve">learning and </w:t>
      </w:r>
      <w:r w:rsidR="003B1C11">
        <w:rPr>
          <w:rFonts w:cs="Arial"/>
          <w:szCs w:val="20"/>
        </w:rPr>
        <w:t xml:space="preserve">supporting the </w:t>
      </w:r>
      <w:r>
        <w:rPr>
          <w:rFonts w:cs="Arial"/>
          <w:szCs w:val="20"/>
        </w:rPr>
        <w:t xml:space="preserve">growth </w:t>
      </w:r>
      <w:r w:rsidR="00A27BA5">
        <w:rPr>
          <w:rFonts w:cs="Arial"/>
          <w:szCs w:val="20"/>
        </w:rPr>
        <w:t>of its people</w:t>
      </w:r>
      <w:r>
        <w:rPr>
          <w:rFonts w:cs="Arial"/>
          <w:szCs w:val="20"/>
        </w:rPr>
        <w:t xml:space="preserve">. </w:t>
      </w:r>
      <w:r w:rsidR="00C92085">
        <w:rPr>
          <w:rFonts w:cs="Arial"/>
          <w:szCs w:val="20"/>
        </w:rPr>
        <w:t xml:space="preserve">SARAS provides </w:t>
      </w:r>
      <w:r w:rsidR="00E67B04">
        <w:rPr>
          <w:rFonts w:cs="Arial"/>
          <w:szCs w:val="20"/>
        </w:rPr>
        <w:t>f</w:t>
      </w:r>
      <w:r>
        <w:rPr>
          <w:rFonts w:cs="Arial"/>
          <w:szCs w:val="20"/>
        </w:rPr>
        <w:t xml:space="preserve">inancial assistance </w:t>
      </w:r>
      <w:r w:rsidR="005B6A2A">
        <w:rPr>
          <w:rFonts w:cs="Arial"/>
          <w:szCs w:val="20"/>
        </w:rPr>
        <w:t xml:space="preserve">for </w:t>
      </w:r>
      <w:r>
        <w:rPr>
          <w:rFonts w:cs="Arial"/>
          <w:szCs w:val="20"/>
        </w:rPr>
        <w:t>educational expenses</w:t>
      </w:r>
      <w:r w:rsidR="005B6A2A">
        <w:rPr>
          <w:rFonts w:cs="Arial"/>
          <w:szCs w:val="20"/>
        </w:rPr>
        <w:t>,</w:t>
      </w:r>
      <w:r>
        <w:rPr>
          <w:rFonts w:cs="Arial"/>
          <w:szCs w:val="20"/>
        </w:rPr>
        <w:t xml:space="preserve"> such as </w:t>
      </w:r>
      <w:r w:rsidR="005B6A2A">
        <w:rPr>
          <w:rFonts w:cs="Arial"/>
          <w:szCs w:val="20"/>
        </w:rPr>
        <w:t xml:space="preserve">tuition fees, </w:t>
      </w:r>
      <w:r>
        <w:rPr>
          <w:rFonts w:cs="Arial"/>
          <w:szCs w:val="20"/>
        </w:rPr>
        <w:t>textbooks</w:t>
      </w:r>
      <w:r w:rsidR="005B6A2A">
        <w:rPr>
          <w:rFonts w:cs="Arial"/>
          <w:szCs w:val="20"/>
        </w:rPr>
        <w:t xml:space="preserve"> </w:t>
      </w:r>
      <w:r>
        <w:rPr>
          <w:rFonts w:cs="Arial"/>
          <w:szCs w:val="20"/>
        </w:rPr>
        <w:t xml:space="preserve">and </w:t>
      </w:r>
      <w:r w:rsidR="005B6A2A">
        <w:rPr>
          <w:rFonts w:cs="Arial"/>
          <w:szCs w:val="20"/>
        </w:rPr>
        <w:t xml:space="preserve">other relevant </w:t>
      </w:r>
      <w:r>
        <w:rPr>
          <w:rFonts w:cs="Arial"/>
          <w:szCs w:val="20"/>
        </w:rPr>
        <w:t>learning materials. In 2024</w:t>
      </w:r>
      <w:r w:rsidRPr="00896AEC">
        <w:rPr>
          <w:rFonts w:cs="Arial"/>
        </w:rPr>
        <w:t>–</w:t>
      </w:r>
      <w:r>
        <w:rPr>
          <w:rFonts w:cs="Arial"/>
          <w:szCs w:val="20"/>
        </w:rPr>
        <w:t>25</w:t>
      </w:r>
      <w:r w:rsidRPr="00C42D19">
        <w:rPr>
          <w:rFonts w:cs="Arial"/>
          <w:szCs w:val="20"/>
        </w:rPr>
        <w:t xml:space="preserve">, </w:t>
      </w:r>
      <w:r w:rsidR="00883DB0">
        <w:rPr>
          <w:rFonts w:cs="Arial"/>
          <w:szCs w:val="20"/>
        </w:rPr>
        <w:t>12</w:t>
      </w:r>
      <w:r w:rsidRPr="00C42D19">
        <w:rPr>
          <w:rFonts w:cs="Arial"/>
          <w:szCs w:val="20"/>
        </w:rPr>
        <w:t xml:space="preserve"> </w:t>
      </w:r>
      <w:r w:rsidRPr="00C42D19">
        <w:rPr>
          <w:rFonts w:cs="Arial"/>
          <w:szCs w:val="20"/>
        </w:rPr>
        <w:lastRenderedPageBreak/>
        <w:t xml:space="preserve">employees </w:t>
      </w:r>
      <w:r w:rsidR="002858F7">
        <w:rPr>
          <w:rFonts w:cs="Arial"/>
          <w:szCs w:val="20"/>
        </w:rPr>
        <w:t xml:space="preserve">successfully </w:t>
      </w:r>
      <w:r w:rsidRPr="00C42D19">
        <w:rPr>
          <w:rFonts w:cs="Arial"/>
          <w:szCs w:val="20"/>
        </w:rPr>
        <w:t xml:space="preserve">applied </w:t>
      </w:r>
      <w:r w:rsidR="0015298C">
        <w:rPr>
          <w:rFonts w:cs="Arial"/>
          <w:szCs w:val="20"/>
        </w:rPr>
        <w:t xml:space="preserve">for </w:t>
      </w:r>
      <w:r w:rsidRPr="00C42D19">
        <w:rPr>
          <w:rFonts w:cs="Arial"/>
          <w:szCs w:val="20"/>
        </w:rPr>
        <w:t>and were approved to receive SARAS funding.</w:t>
      </w:r>
      <w:r>
        <w:rPr>
          <w:rFonts w:cs="Arial"/>
          <w:szCs w:val="20"/>
        </w:rPr>
        <w:t xml:space="preserve"> </w:t>
      </w:r>
      <w:r w:rsidRPr="00F11F31">
        <w:rPr>
          <w:rFonts w:cs="Arial"/>
          <w:szCs w:val="20"/>
        </w:rPr>
        <w:t xml:space="preserve">By </w:t>
      </w:r>
      <w:r w:rsidR="009A18D5">
        <w:rPr>
          <w:rFonts w:cs="Arial"/>
          <w:szCs w:val="20"/>
        </w:rPr>
        <w:t>supporting</w:t>
      </w:r>
      <w:r w:rsidR="00F160A5">
        <w:rPr>
          <w:rFonts w:cs="Arial"/>
          <w:szCs w:val="20"/>
        </w:rPr>
        <w:t xml:space="preserve"> </w:t>
      </w:r>
      <w:r w:rsidR="008607EA">
        <w:rPr>
          <w:rFonts w:cs="Arial"/>
          <w:szCs w:val="20"/>
        </w:rPr>
        <w:t>professional development</w:t>
      </w:r>
      <w:r w:rsidR="00392536">
        <w:rPr>
          <w:rFonts w:cs="Arial"/>
          <w:szCs w:val="20"/>
        </w:rPr>
        <w:t xml:space="preserve">, </w:t>
      </w:r>
      <w:r w:rsidRPr="00F11F31">
        <w:rPr>
          <w:rFonts w:cs="Arial"/>
          <w:szCs w:val="20"/>
        </w:rPr>
        <w:t xml:space="preserve">SARAS </w:t>
      </w:r>
      <w:r w:rsidR="00C67DCC">
        <w:rPr>
          <w:rFonts w:cs="Arial"/>
          <w:szCs w:val="20"/>
        </w:rPr>
        <w:t xml:space="preserve">empowers </w:t>
      </w:r>
      <w:r w:rsidR="0073092D">
        <w:rPr>
          <w:rFonts w:cs="Arial"/>
          <w:szCs w:val="20"/>
        </w:rPr>
        <w:t>the QBCC</w:t>
      </w:r>
      <w:r w:rsidRPr="00F11F31">
        <w:rPr>
          <w:rFonts w:cs="Arial"/>
          <w:szCs w:val="20"/>
        </w:rPr>
        <w:t xml:space="preserve"> </w:t>
      </w:r>
      <w:r w:rsidR="00C67DCC">
        <w:rPr>
          <w:rFonts w:cs="Arial"/>
          <w:szCs w:val="20"/>
        </w:rPr>
        <w:t xml:space="preserve">staff </w:t>
      </w:r>
      <w:r w:rsidR="0073092D">
        <w:rPr>
          <w:rFonts w:cs="Arial"/>
          <w:szCs w:val="20"/>
        </w:rPr>
        <w:t xml:space="preserve">to </w:t>
      </w:r>
      <w:r w:rsidR="003B5A88">
        <w:rPr>
          <w:rFonts w:cs="Arial"/>
          <w:szCs w:val="20"/>
        </w:rPr>
        <w:t>enhance their skills</w:t>
      </w:r>
      <w:r w:rsidR="00E35001">
        <w:rPr>
          <w:rFonts w:cs="Arial"/>
          <w:szCs w:val="20"/>
        </w:rPr>
        <w:t xml:space="preserve">, </w:t>
      </w:r>
      <w:r w:rsidR="00E5177A">
        <w:rPr>
          <w:rFonts w:cs="Arial"/>
          <w:szCs w:val="20"/>
        </w:rPr>
        <w:t>contribut</w:t>
      </w:r>
      <w:r w:rsidR="00E35001">
        <w:rPr>
          <w:rFonts w:cs="Arial"/>
          <w:szCs w:val="20"/>
        </w:rPr>
        <w:t xml:space="preserve">ing </w:t>
      </w:r>
      <w:r w:rsidR="00E5177A">
        <w:rPr>
          <w:rFonts w:cs="Arial"/>
          <w:szCs w:val="20"/>
        </w:rPr>
        <w:t xml:space="preserve">to a more </w:t>
      </w:r>
      <w:r w:rsidR="00072EEB">
        <w:rPr>
          <w:rFonts w:cs="Arial"/>
          <w:szCs w:val="20"/>
        </w:rPr>
        <w:t>capab</w:t>
      </w:r>
      <w:r w:rsidR="00E5177A">
        <w:rPr>
          <w:rFonts w:cs="Arial"/>
          <w:szCs w:val="20"/>
        </w:rPr>
        <w:t>le and resilient w</w:t>
      </w:r>
      <w:r w:rsidRPr="00F11F31">
        <w:rPr>
          <w:rFonts w:cs="Arial"/>
          <w:szCs w:val="20"/>
        </w:rPr>
        <w:t>orkforc</w:t>
      </w:r>
      <w:r w:rsidR="00495286">
        <w:rPr>
          <w:rFonts w:cs="Arial"/>
          <w:szCs w:val="20"/>
        </w:rPr>
        <w:t>e</w:t>
      </w:r>
      <w:r w:rsidRPr="00F11F31">
        <w:rPr>
          <w:rFonts w:cs="Arial"/>
          <w:szCs w:val="20"/>
        </w:rPr>
        <w:t>.</w:t>
      </w:r>
    </w:p>
    <w:p w14:paraId="6B91F2FE" w14:textId="12F69448" w:rsidR="006627D5" w:rsidRPr="00161312" w:rsidRDefault="006627D5" w:rsidP="00FE07C4">
      <w:pPr>
        <w:pStyle w:val="Heading4"/>
      </w:pPr>
      <w:bookmarkStart w:id="263" w:name="_The_QBCC_Regulatory"/>
      <w:bookmarkEnd w:id="263"/>
      <w:r w:rsidRPr="00161312">
        <w:t>Regulatory Academy</w:t>
      </w:r>
      <w:r>
        <w:t xml:space="preserve">  </w:t>
      </w:r>
    </w:p>
    <w:p w14:paraId="4F0AB8ED" w14:textId="117E7C8D" w:rsidR="006B6009" w:rsidRDefault="006627D5" w:rsidP="008C0416">
      <w:pPr>
        <w:spacing w:before="120" w:after="120"/>
        <w:rPr>
          <w:rFonts w:cs="Arial"/>
        </w:rPr>
      </w:pPr>
      <w:r w:rsidRPr="005A71A3">
        <w:rPr>
          <w:rFonts w:cs="Arial"/>
        </w:rPr>
        <w:t xml:space="preserve">The QBCC Regulatory Academy </w:t>
      </w:r>
      <w:r w:rsidR="00E3774B">
        <w:rPr>
          <w:rFonts w:cs="Arial"/>
        </w:rPr>
        <w:t>provides</w:t>
      </w:r>
      <w:r w:rsidR="00144271">
        <w:rPr>
          <w:rFonts w:cs="Arial"/>
        </w:rPr>
        <w:t xml:space="preserve"> </w:t>
      </w:r>
      <w:r w:rsidRPr="005A71A3">
        <w:rPr>
          <w:rFonts w:cs="Arial"/>
        </w:rPr>
        <w:t xml:space="preserve">technical and regulatory </w:t>
      </w:r>
      <w:r w:rsidR="00906B7E">
        <w:rPr>
          <w:rFonts w:cs="Arial"/>
        </w:rPr>
        <w:t>training</w:t>
      </w:r>
      <w:r w:rsidRPr="005A71A3">
        <w:rPr>
          <w:rFonts w:cs="Arial"/>
        </w:rPr>
        <w:t xml:space="preserve"> to </w:t>
      </w:r>
      <w:r w:rsidR="0034037A">
        <w:rPr>
          <w:rFonts w:cs="Arial"/>
        </w:rPr>
        <w:t xml:space="preserve">the </w:t>
      </w:r>
      <w:r w:rsidRPr="005A71A3">
        <w:rPr>
          <w:rFonts w:cs="Arial"/>
        </w:rPr>
        <w:t>QBCC staff</w:t>
      </w:r>
      <w:r w:rsidR="00A26B5B">
        <w:rPr>
          <w:rFonts w:cs="Arial"/>
        </w:rPr>
        <w:t xml:space="preserve"> to </w:t>
      </w:r>
      <w:r w:rsidR="00CA0F37">
        <w:rPr>
          <w:rFonts w:cs="Arial"/>
        </w:rPr>
        <w:t>strengthen</w:t>
      </w:r>
      <w:r w:rsidR="009F137B">
        <w:rPr>
          <w:rFonts w:cs="Arial"/>
        </w:rPr>
        <w:t xml:space="preserve"> </w:t>
      </w:r>
      <w:r w:rsidR="000C4073">
        <w:rPr>
          <w:rFonts w:cs="Arial"/>
        </w:rPr>
        <w:t xml:space="preserve">the </w:t>
      </w:r>
      <w:r w:rsidRPr="005A71A3">
        <w:rPr>
          <w:rFonts w:cs="Arial"/>
        </w:rPr>
        <w:t>quality</w:t>
      </w:r>
      <w:r w:rsidR="009B1688">
        <w:rPr>
          <w:rFonts w:cs="Arial"/>
        </w:rPr>
        <w:t xml:space="preserve">, </w:t>
      </w:r>
      <w:r w:rsidRPr="005A71A3">
        <w:rPr>
          <w:rFonts w:cs="Arial"/>
        </w:rPr>
        <w:t xml:space="preserve">consistency </w:t>
      </w:r>
      <w:r w:rsidR="009B1688">
        <w:rPr>
          <w:rFonts w:cs="Arial"/>
        </w:rPr>
        <w:t xml:space="preserve">and effectiveness of </w:t>
      </w:r>
      <w:r w:rsidRPr="005A71A3">
        <w:rPr>
          <w:rFonts w:cs="Arial"/>
        </w:rPr>
        <w:t>regulatory outcomes</w:t>
      </w:r>
      <w:r w:rsidR="00D82EE2">
        <w:rPr>
          <w:rFonts w:cs="Arial"/>
        </w:rPr>
        <w:t xml:space="preserve"> </w:t>
      </w:r>
      <w:r w:rsidR="00CA0F37">
        <w:rPr>
          <w:rFonts w:cs="Arial"/>
        </w:rPr>
        <w:t xml:space="preserve">delivered to </w:t>
      </w:r>
      <w:r w:rsidR="2B5884AB" w:rsidRPr="49C5D123">
        <w:rPr>
          <w:rFonts w:cs="Arial"/>
        </w:rPr>
        <w:t>customers</w:t>
      </w:r>
      <w:r w:rsidR="7D3E1757" w:rsidRPr="49C5D123">
        <w:rPr>
          <w:rFonts w:cs="Arial"/>
        </w:rPr>
        <w:t>.</w:t>
      </w:r>
      <w:r w:rsidRPr="005A71A3">
        <w:rPr>
          <w:rFonts w:cs="Arial"/>
        </w:rPr>
        <w:t xml:space="preserve"> </w:t>
      </w:r>
      <w:r w:rsidR="0006671A">
        <w:rPr>
          <w:rFonts w:cs="Arial"/>
        </w:rPr>
        <w:t xml:space="preserve">It plays a </w:t>
      </w:r>
      <w:r w:rsidR="00BD7073">
        <w:rPr>
          <w:rFonts w:cs="Arial"/>
        </w:rPr>
        <w:t xml:space="preserve">critical role </w:t>
      </w:r>
      <w:r w:rsidR="00265800">
        <w:rPr>
          <w:rFonts w:cs="Arial"/>
        </w:rPr>
        <w:t xml:space="preserve">by designing, </w:t>
      </w:r>
      <w:r w:rsidR="00D5415F">
        <w:rPr>
          <w:rFonts w:cs="Arial"/>
        </w:rPr>
        <w:t xml:space="preserve">delivering </w:t>
      </w:r>
      <w:r w:rsidRPr="005A71A3">
        <w:rPr>
          <w:rFonts w:cs="Arial"/>
        </w:rPr>
        <w:t>and</w:t>
      </w:r>
      <w:r w:rsidR="00E516DC">
        <w:rPr>
          <w:rFonts w:cs="Arial"/>
        </w:rPr>
        <w:t xml:space="preserve"> evaluating learning programs </w:t>
      </w:r>
      <w:r w:rsidR="00E7388D">
        <w:rPr>
          <w:rFonts w:cs="Arial"/>
        </w:rPr>
        <w:t>tailored to r</w:t>
      </w:r>
      <w:r w:rsidRPr="005A71A3">
        <w:rPr>
          <w:rFonts w:cs="Arial"/>
        </w:rPr>
        <w:t xml:space="preserve">egulatory </w:t>
      </w:r>
      <w:r w:rsidR="00E7388D">
        <w:rPr>
          <w:rFonts w:cs="Arial"/>
        </w:rPr>
        <w:t>functions</w:t>
      </w:r>
      <w:r w:rsidRPr="005A71A3">
        <w:rPr>
          <w:rFonts w:cs="Arial"/>
        </w:rPr>
        <w:t>.</w:t>
      </w:r>
      <w:r w:rsidR="004C276E">
        <w:rPr>
          <w:rFonts w:cs="Arial"/>
        </w:rPr>
        <w:t xml:space="preserve"> </w:t>
      </w:r>
      <w:r w:rsidR="005D138B">
        <w:rPr>
          <w:rFonts w:cs="Arial"/>
        </w:rPr>
        <w:t xml:space="preserve">Guided by the QBCC </w:t>
      </w:r>
      <w:r w:rsidRPr="005A71A3">
        <w:rPr>
          <w:rFonts w:cs="Arial"/>
        </w:rPr>
        <w:t>Regulatory Capability Strategy</w:t>
      </w:r>
      <w:r w:rsidR="00C72B46">
        <w:rPr>
          <w:rFonts w:cs="Arial"/>
        </w:rPr>
        <w:t xml:space="preserve">, </w:t>
      </w:r>
      <w:r w:rsidR="00342313">
        <w:rPr>
          <w:rFonts w:cs="Arial"/>
        </w:rPr>
        <w:t xml:space="preserve">the academy has defined </w:t>
      </w:r>
      <w:r w:rsidR="007F4E93">
        <w:rPr>
          <w:rFonts w:cs="Arial"/>
        </w:rPr>
        <w:t xml:space="preserve">the </w:t>
      </w:r>
      <w:r w:rsidR="005C2483">
        <w:rPr>
          <w:rFonts w:cs="Arial"/>
        </w:rPr>
        <w:t>core com</w:t>
      </w:r>
      <w:r w:rsidR="00F40366">
        <w:rPr>
          <w:rFonts w:cs="Arial"/>
        </w:rPr>
        <w:t xml:space="preserve">petencies required for effective </w:t>
      </w:r>
      <w:r w:rsidR="009B1BEE">
        <w:rPr>
          <w:rFonts w:cs="Arial"/>
        </w:rPr>
        <w:t xml:space="preserve">regulatory practice </w:t>
      </w:r>
      <w:r w:rsidR="00F87B65">
        <w:rPr>
          <w:rFonts w:cs="Arial"/>
        </w:rPr>
        <w:t xml:space="preserve">and </w:t>
      </w:r>
      <w:r w:rsidR="009B1BEE">
        <w:rPr>
          <w:rFonts w:cs="Arial"/>
        </w:rPr>
        <w:t>support</w:t>
      </w:r>
      <w:r w:rsidR="00F87B65">
        <w:rPr>
          <w:rFonts w:cs="Arial"/>
        </w:rPr>
        <w:t>s</w:t>
      </w:r>
      <w:r w:rsidR="009B1BEE">
        <w:rPr>
          <w:rFonts w:cs="Arial"/>
        </w:rPr>
        <w:t xml:space="preserve"> </w:t>
      </w:r>
      <w:r w:rsidR="00B5302E">
        <w:rPr>
          <w:rFonts w:cs="Arial"/>
        </w:rPr>
        <w:t xml:space="preserve">a </w:t>
      </w:r>
      <w:r w:rsidR="00F048F7">
        <w:rPr>
          <w:rFonts w:cs="Arial"/>
        </w:rPr>
        <w:t>learnin</w:t>
      </w:r>
      <w:r w:rsidRPr="005A71A3">
        <w:rPr>
          <w:rFonts w:cs="Arial"/>
        </w:rPr>
        <w:t>g</w:t>
      </w:r>
      <w:r w:rsidR="007D09AA">
        <w:rPr>
          <w:rFonts w:cs="Arial"/>
        </w:rPr>
        <w:t xml:space="preserve"> model that </w:t>
      </w:r>
      <w:r w:rsidR="007A1261">
        <w:rPr>
          <w:rFonts w:cs="Arial"/>
        </w:rPr>
        <w:t xml:space="preserve">incorporates </w:t>
      </w:r>
      <w:r w:rsidR="007D09AA">
        <w:rPr>
          <w:rFonts w:cs="Arial"/>
        </w:rPr>
        <w:t>formal, social</w:t>
      </w:r>
      <w:r w:rsidR="004323E0">
        <w:rPr>
          <w:rFonts w:cs="Arial"/>
        </w:rPr>
        <w:t xml:space="preserve"> and experiential learning </w:t>
      </w:r>
      <w:r w:rsidR="004F2941">
        <w:rPr>
          <w:rFonts w:cs="Arial"/>
        </w:rPr>
        <w:t>to build capability at all levels</w:t>
      </w:r>
      <w:r w:rsidRPr="005A71A3">
        <w:rPr>
          <w:rFonts w:cs="Arial"/>
        </w:rPr>
        <w:t xml:space="preserve">. </w:t>
      </w:r>
    </w:p>
    <w:p w14:paraId="610F4B68" w14:textId="14229555" w:rsidR="006627D5" w:rsidRPr="005A71A3" w:rsidRDefault="00027AED" w:rsidP="008C0416">
      <w:pPr>
        <w:spacing w:before="120" w:after="120"/>
        <w:rPr>
          <w:rFonts w:cs="Arial"/>
        </w:rPr>
      </w:pPr>
      <w:r>
        <w:rPr>
          <w:rFonts w:cs="Arial"/>
        </w:rPr>
        <w:t>Complementing the</w:t>
      </w:r>
      <w:r w:rsidR="00F20F9A">
        <w:rPr>
          <w:rFonts w:cs="Arial"/>
        </w:rPr>
        <w:t xml:space="preserve"> QBCC </w:t>
      </w:r>
      <w:r w:rsidR="00F20F9A" w:rsidRPr="00F20F9A">
        <w:rPr>
          <w:rFonts w:cs="Arial"/>
        </w:rPr>
        <w:t>Regulatory Capability Strategy</w:t>
      </w:r>
      <w:r w:rsidR="00F20F9A">
        <w:rPr>
          <w:rFonts w:cs="Arial"/>
        </w:rPr>
        <w:t xml:space="preserve"> </w:t>
      </w:r>
      <w:r>
        <w:rPr>
          <w:rFonts w:cs="Arial"/>
        </w:rPr>
        <w:t xml:space="preserve">is the QBCC </w:t>
      </w:r>
      <w:r w:rsidR="006627D5" w:rsidRPr="005A71A3">
        <w:rPr>
          <w:rFonts w:cs="Arial"/>
        </w:rPr>
        <w:t>Regulatory Capability Framework</w:t>
      </w:r>
      <w:r>
        <w:rPr>
          <w:rFonts w:cs="Arial"/>
        </w:rPr>
        <w:t xml:space="preserve">, which outlines </w:t>
      </w:r>
      <w:r w:rsidR="0026370B">
        <w:rPr>
          <w:rFonts w:cs="Arial"/>
        </w:rPr>
        <w:t xml:space="preserve">competency </w:t>
      </w:r>
      <w:r>
        <w:rPr>
          <w:rFonts w:cs="Arial"/>
        </w:rPr>
        <w:t xml:space="preserve">expectations </w:t>
      </w:r>
      <w:r w:rsidR="00C34410">
        <w:rPr>
          <w:rFonts w:cs="Arial"/>
        </w:rPr>
        <w:t xml:space="preserve">across </w:t>
      </w:r>
      <w:r w:rsidR="00C0323F">
        <w:rPr>
          <w:rFonts w:cs="Arial"/>
        </w:rPr>
        <w:t>f</w:t>
      </w:r>
      <w:r w:rsidR="006627D5" w:rsidRPr="00637C9F">
        <w:rPr>
          <w:rFonts w:cs="Arial"/>
        </w:rPr>
        <w:t>oundational</w:t>
      </w:r>
      <w:r w:rsidR="00306CCD">
        <w:rPr>
          <w:rFonts w:cs="Arial"/>
        </w:rPr>
        <w:t>, intermediate and</w:t>
      </w:r>
      <w:r w:rsidR="006627D5" w:rsidRPr="00637C9F">
        <w:rPr>
          <w:rFonts w:cs="Arial"/>
        </w:rPr>
        <w:t xml:space="preserve"> advanced </w:t>
      </w:r>
      <w:r w:rsidR="00515715">
        <w:rPr>
          <w:rFonts w:cs="Arial"/>
        </w:rPr>
        <w:t>experience</w:t>
      </w:r>
      <w:r w:rsidR="0061696E">
        <w:rPr>
          <w:rFonts w:cs="Arial"/>
        </w:rPr>
        <w:t xml:space="preserve"> levels</w:t>
      </w:r>
      <w:r w:rsidR="00306CCD">
        <w:rPr>
          <w:rFonts w:cs="Arial"/>
        </w:rPr>
        <w:t xml:space="preserve">. </w:t>
      </w:r>
      <w:r w:rsidR="009B5D3E">
        <w:rPr>
          <w:rFonts w:cs="Arial"/>
        </w:rPr>
        <w:t xml:space="preserve">This framework provides staff </w:t>
      </w:r>
      <w:r w:rsidR="00FE4FD4">
        <w:rPr>
          <w:rFonts w:cs="Arial"/>
        </w:rPr>
        <w:t>with</w:t>
      </w:r>
      <w:r w:rsidR="007D631F">
        <w:rPr>
          <w:rFonts w:cs="Arial"/>
        </w:rPr>
        <w:t xml:space="preserve"> a</w:t>
      </w:r>
      <w:r w:rsidR="00FE4FD4">
        <w:rPr>
          <w:rFonts w:cs="Arial"/>
        </w:rPr>
        <w:t xml:space="preserve"> </w:t>
      </w:r>
      <w:r w:rsidR="002518CA">
        <w:rPr>
          <w:rFonts w:cs="Arial"/>
        </w:rPr>
        <w:t>clear development</w:t>
      </w:r>
      <w:r w:rsidR="00FE4FD4">
        <w:rPr>
          <w:rFonts w:cs="Arial"/>
        </w:rPr>
        <w:t xml:space="preserve"> </w:t>
      </w:r>
      <w:r w:rsidR="006627D5" w:rsidRPr="00637C9F">
        <w:rPr>
          <w:rFonts w:cs="Arial"/>
        </w:rPr>
        <w:t>pathway</w:t>
      </w:r>
      <w:r w:rsidR="00FE4FD4">
        <w:rPr>
          <w:rFonts w:cs="Arial"/>
        </w:rPr>
        <w:t xml:space="preserve"> to </w:t>
      </w:r>
      <w:r w:rsidR="00E932DA">
        <w:rPr>
          <w:rFonts w:cs="Arial"/>
        </w:rPr>
        <w:t>grow t</w:t>
      </w:r>
      <w:r w:rsidR="00FE4FD4">
        <w:rPr>
          <w:rFonts w:cs="Arial"/>
        </w:rPr>
        <w:t xml:space="preserve">heir </w:t>
      </w:r>
      <w:r w:rsidR="006627D5" w:rsidRPr="00637C9F">
        <w:rPr>
          <w:rFonts w:cs="Arial"/>
        </w:rPr>
        <w:t xml:space="preserve">regulatory </w:t>
      </w:r>
      <w:r w:rsidR="00E932DA">
        <w:rPr>
          <w:rFonts w:cs="Arial"/>
        </w:rPr>
        <w:t>expertise</w:t>
      </w:r>
      <w:r w:rsidR="006627D5" w:rsidRPr="00637C9F">
        <w:rPr>
          <w:rFonts w:cs="Arial"/>
        </w:rPr>
        <w:t xml:space="preserve"> </w:t>
      </w:r>
      <w:r w:rsidR="00FE4FD4">
        <w:rPr>
          <w:rFonts w:cs="Arial"/>
        </w:rPr>
        <w:t>and prepare for both</w:t>
      </w:r>
      <w:r w:rsidR="006627D5" w:rsidRPr="00637C9F">
        <w:rPr>
          <w:rFonts w:cs="Arial"/>
        </w:rPr>
        <w:t xml:space="preserve"> current </w:t>
      </w:r>
      <w:r w:rsidR="00285F85">
        <w:rPr>
          <w:rFonts w:cs="Arial"/>
        </w:rPr>
        <w:t xml:space="preserve">responsibilities </w:t>
      </w:r>
      <w:r w:rsidR="006627D5" w:rsidRPr="00637C9F">
        <w:rPr>
          <w:rFonts w:cs="Arial"/>
        </w:rPr>
        <w:t xml:space="preserve">and future </w:t>
      </w:r>
      <w:r w:rsidR="00477D72">
        <w:rPr>
          <w:rFonts w:cs="Arial"/>
        </w:rPr>
        <w:t>opportunities</w:t>
      </w:r>
      <w:r w:rsidR="006627D5" w:rsidRPr="00637C9F">
        <w:rPr>
          <w:rFonts w:cs="Arial"/>
        </w:rPr>
        <w:t>.</w:t>
      </w:r>
      <w:r w:rsidR="00E665C4">
        <w:rPr>
          <w:rFonts w:cs="Arial"/>
        </w:rPr>
        <w:t xml:space="preserve"> Through targeted and consistent training, </w:t>
      </w:r>
      <w:r w:rsidR="00142970">
        <w:rPr>
          <w:rFonts w:cs="Arial"/>
        </w:rPr>
        <w:t>the a</w:t>
      </w:r>
      <w:r w:rsidR="006627D5" w:rsidRPr="00264701">
        <w:rPr>
          <w:rFonts w:cs="Arial"/>
        </w:rPr>
        <w:t xml:space="preserve">cademy </w:t>
      </w:r>
      <w:r w:rsidR="00142970">
        <w:rPr>
          <w:rFonts w:cs="Arial"/>
        </w:rPr>
        <w:t xml:space="preserve">helps to </w:t>
      </w:r>
      <w:r w:rsidR="006627D5" w:rsidRPr="00264701">
        <w:rPr>
          <w:rFonts w:cs="Arial"/>
        </w:rPr>
        <w:t xml:space="preserve">reduce </w:t>
      </w:r>
      <w:r w:rsidR="00142970">
        <w:rPr>
          <w:rFonts w:cs="Arial"/>
        </w:rPr>
        <w:t xml:space="preserve">regulatory </w:t>
      </w:r>
      <w:r w:rsidR="006627D5" w:rsidRPr="00264701">
        <w:rPr>
          <w:rFonts w:cs="Arial"/>
        </w:rPr>
        <w:t xml:space="preserve">risks, </w:t>
      </w:r>
      <w:r w:rsidR="00142970">
        <w:rPr>
          <w:rFonts w:cs="Arial"/>
        </w:rPr>
        <w:t xml:space="preserve">strengthen decision making </w:t>
      </w:r>
      <w:r w:rsidR="008B7BE2">
        <w:rPr>
          <w:rFonts w:cs="Arial"/>
        </w:rPr>
        <w:t>within</w:t>
      </w:r>
      <w:r w:rsidR="00142970">
        <w:rPr>
          <w:rFonts w:cs="Arial"/>
        </w:rPr>
        <w:t xml:space="preserve"> </w:t>
      </w:r>
      <w:r w:rsidR="006627D5" w:rsidRPr="00264701">
        <w:rPr>
          <w:rFonts w:cs="Arial"/>
        </w:rPr>
        <w:t>legislative authority</w:t>
      </w:r>
      <w:r w:rsidR="00B636AF">
        <w:rPr>
          <w:rFonts w:cs="Arial"/>
        </w:rPr>
        <w:t xml:space="preserve"> </w:t>
      </w:r>
      <w:r w:rsidR="006627D5" w:rsidRPr="00264701">
        <w:rPr>
          <w:rFonts w:cs="Arial"/>
        </w:rPr>
        <w:t xml:space="preserve">and </w:t>
      </w:r>
      <w:r w:rsidR="008B7BE2">
        <w:rPr>
          <w:rFonts w:cs="Arial"/>
        </w:rPr>
        <w:t>enhance</w:t>
      </w:r>
      <w:r w:rsidR="00B636AF">
        <w:rPr>
          <w:rFonts w:cs="Arial"/>
        </w:rPr>
        <w:t xml:space="preserve"> </w:t>
      </w:r>
      <w:r w:rsidR="006627D5" w:rsidRPr="00264701">
        <w:rPr>
          <w:rFonts w:cs="Arial"/>
        </w:rPr>
        <w:t>stakeholder experiences</w:t>
      </w:r>
      <w:r w:rsidR="00B636AF">
        <w:rPr>
          <w:rFonts w:cs="Arial"/>
        </w:rPr>
        <w:t xml:space="preserve">. </w:t>
      </w:r>
    </w:p>
    <w:p w14:paraId="13C11EB2" w14:textId="1BD3EA13" w:rsidR="006160C2" w:rsidRPr="005A71A3" w:rsidRDefault="001C350A" w:rsidP="008C0416">
      <w:pPr>
        <w:spacing w:before="120" w:after="120"/>
        <w:rPr>
          <w:rFonts w:cs="Arial"/>
        </w:rPr>
      </w:pPr>
      <w:r>
        <w:rPr>
          <w:rFonts w:cs="Arial"/>
        </w:rPr>
        <w:t xml:space="preserve">In 2024–25, the </w:t>
      </w:r>
      <w:r w:rsidR="00A60D3A">
        <w:rPr>
          <w:rFonts w:cs="Arial"/>
        </w:rPr>
        <w:t>QBCC Regulatory A</w:t>
      </w:r>
      <w:r>
        <w:rPr>
          <w:rFonts w:cs="Arial"/>
        </w:rPr>
        <w:t xml:space="preserve">cademy delivered </w:t>
      </w:r>
      <w:r w:rsidR="003D7170">
        <w:rPr>
          <w:rFonts w:cs="Arial"/>
        </w:rPr>
        <w:t>training</w:t>
      </w:r>
      <w:r w:rsidR="00A60D3A">
        <w:rPr>
          <w:rFonts w:cs="Arial"/>
        </w:rPr>
        <w:t xml:space="preserve"> aligned with th</w:t>
      </w:r>
      <w:r w:rsidR="006D37EB">
        <w:rPr>
          <w:rFonts w:cs="Arial"/>
        </w:rPr>
        <w:t xml:space="preserve">e </w:t>
      </w:r>
      <w:r w:rsidR="006D37EB" w:rsidRPr="006D37EB">
        <w:rPr>
          <w:rFonts w:cs="Arial"/>
        </w:rPr>
        <w:t>QBCC Regulatory Capability Strategy</w:t>
      </w:r>
      <w:r w:rsidR="006D37EB">
        <w:rPr>
          <w:rFonts w:cs="Arial"/>
        </w:rPr>
        <w:t xml:space="preserve"> and </w:t>
      </w:r>
      <w:r w:rsidR="006D37EB" w:rsidRPr="006D37EB">
        <w:rPr>
          <w:rFonts w:cs="Arial"/>
        </w:rPr>
        <w:t>Framework</w:t>
      </w:r>
      <w:r w:rsidR="00B12629">
        <w:rPr>
          <w:rFonts w:cs="Arial"/>
        </w:rPr>
        <w:t xml:space="preserve">, </w:t>
      </w:r>
      <w:r w:rsidR="00BE670E">
        <w:rPr>
          <w:rFonts w:cs="Arial"/>
        </w:rPr>
        <w:t>including</w:t>
      </w:r>
      <w:r w:rsidR="006627D5" w:rsidRPr="005A71A3">
        <w:rPr>
          <w:rFonts w:cs="Arial"/>
        </w:rPr>
        <w:t>:</w:t>
      </w:r>
    </w:p>
    <w:p w14:paraId="258F8AAE" w14:textId="42A77414" w:rsidR="006627D5" w:rsidRPr="009D66F2" w:rsidRDefault="00676A4F" w:rsidP="00BD69F7">
      <w:pPr>
        <w:pStyle w:val="ListParagraph"/>
        <w:numPr>
          <w:ilvl w:val="0"/>
          <w:numId w:val="14"/>
        </w:numPr>
        <w:spacing w:before="120" w:after="120"/>
        <w:ind w:left="714" w:hanging="357"/>
        <w:contextualSpacing w:val="0"/>
        <w:rPr>
          <w:rFonts w:cs="Arial"/>
        </w:rPr>
      </w:pPr>
      <w:r>
        <w:rPr>
          <w:rFonts w:cs="Arial"/>
        </w:rPr>
        <w:t>c</w:t>
      </w:r>
      <w:r w:rsidR="006627D5" w:rsidRPr="009D66F2">
        <w:rPr>
          <w:rFonts w:cs="Arial"/>
        </w:rPr>
        <w:t>ustomer</w:t>
      </w:r>
      <w:r w:rsidR="008F20CD">
        <w:rPr>
          <w:rFonts w:cs="Arial"/>
        </w:rPr>
        <w:t xml:space="preserve"> </w:t>
      </w:r>
      <w:r w:rsidR="006627D5" w:rsidRPr="009D66F2">
        <w:rPr>
          <w:rFonts w:cs="Arial"/>
        </w:rPr>
        <w:t xml:space="preserve">skills workshops for </w:t>
      </w:r>
      <w:r w:rsidR="008B28EC">
        <w:rPr>
          <w:rFonts w:cs="Arial"/>
        </w:rPr>
        <w:t xml:space="preserve">individuals within the </w:t>
      </w:r>
      <w:r w:rsidR="006627D5" w:rsidRPr="009D66F2">
        <w:rPr>
          <w:rFonts w:cs="Arial"/>
        </w:rPr>
        <w:t>Building and Technical Inspectorate</w:t>
      </w:r>
      <w:r w:rsidR="008B28EC">
        <w:rPr>
          <w:rFonts w:cs="Arial"/>
        </w:rPr>
        <w:t xml:space="preserve"> team</w:t>
      </w:r>
    </w:p>
    <w:p w14:paraId="0EC7FB7F" w14:textId="4D885693" w:rsidR="006627D5" w:rsidRPr="009D66F2" w:rsidRDefault="00676A4F" w:rsidP="00BD69F7">
      <w:pPr>
        <w:pStyle w:val="ListParagraph"/>
        <w:numPr>
          <w:ilvl w:val="0"/>
          <w:numId w:val="14"/>
        </w:numPr>
        <w:spacing w:before="120" w:after="120"/>
        <w:ind w:left="714" w:hanging="357"/>
        <w:contextualSpacing w:val="0"/>
        <w:rPr>
          <w:rFonts w:cs="Arial"/>
        </w:rPr>
      </w:pPr>
      <w:r>
        <w:rPr>
          <w:rFonts w:cs="Arial"/>
        </w:rPr>
        <w:t>d</w:t>
      </w:r>
      <w:r w:rsidR="00397183" w:rsidRPr="009D66F2">
        <w:rPr>
          <w:rFonts w:cs="Arial"/>
        </w:rPr>
        <w:t>ecision-making workshops</w:t>
      </w:r>
      <w:r w:rsidR="009555C7">
        <w:rPr>
          <w:rFonts w:cs="Arial"/>
        </w:rPr>
        <w:t xml:space="preserve"> for b</w:t>
      </w:r>
      <w:r w:rsidR="009555C7" w:rsidRPr="009D66F2">
        <w:rPr>
          <w:rFonts w:cs="Arial"/>
        </w:rPr>
        <w:t xml:space="preserve">uilding </w:t>
      </w:r>
      <w:r w:rsidR="009555C7">
        <w:rPr>
          <w:rFonts w:cs="Arial"/>
        </w:rPr>
        <w:t>i</w:t>
      </w:r>
      <w:r w:rsidR="009555C7" w:rsidRPr="009D66F2">
        <w:rPr>
          <w:rFonts w:cs="Arial"/>
        </w:rPr>
        <w:t>nspector</w:t>
      </w:r>
      <w:r w:rsidR="009555C7">
        <w:rPr>
          <w:rFonts w:cs="Arial"/>
        </w:rPr>
        <w:t>s</w:t>
      </w:r>
    </w:p>
    <w:p w14:paraId="2907F926" w14:textId="5466CE11" w:rsidR="006627D5" w:rsidRPr="009D66F2" w:rsidRDefault="00676A4F" w:rsidP="00BD69F7">
      <w:pPr>
        <w:pStyle w:val="ListParagraph"/>
        <w:numPr>
          <w:ilvl w:val="0"/>
          <w:numId w:val="14"/>
        </w:numPr>
        <w:spacing w:before="120" w:after="120"/>
        <w:ind w:left="714" w:hanging="357"/>
        <w:contextualSpacing w:val="0"/>
        <w:rPr>
          <w:rFonts w:cs="Arial"/>
        </w:rPr>
      </w:pPr>
      <w:r>
        <w:rPr>
          <w:rFonts w:cs="Arial"/>
        </w:rPr>
        <w:t>d</w:t>
      </w:r>
      <w:r w:rsidR="006627D5" w:rsidRPr="009D66F2">
        <w:rPr>
          <w:rFonts w:cs="Arial"/>
        </w:rPr>
        <w:t>igital</w:t>
      </w:r>
      <w:r w:rsidR="009555C7">
        <w:rPr>
          <w:rFonts w:cs="Arial"/>
        </w:rPr>
        <w:t xml:space="preserve"> and </w:t>
      </w:r>
      <w:r w:rsidR="006627D5" w:rsidRPr="009D66F2">
        <w:rPr>
          <w:rFonts w:cs="Arial"/>
        </w:rPr>
        <w:t>interactive safety awareness learning for field officers</w:t>
      </w:r>
    </w:p>
    <w:p w14:paraId="31EE019E" w14:textId="178E5780" w:rsidR="006627D5" w:rsidRPr="009D66F2" w:rsidRDefault="00676A4F" w:rsidP="00BD69F7">
      <w:pPr>
        <w:pStyle w:val="ListParagraph"/>
        <w:numPr>
          <w:ilvl w:val="0"/>
          <w:numId w:val="14"/>
        </w:numPr>
        <w:spacing w:before="120" w:after="120"/>
        <w:ind w:left="714" w:hanging="357"/>
        <w:contextualSpacing w:val="0"/>
        <w:rPr>
          <w:rFonts w:cs="Arial"/>
        </w:rPr>
      </w:pPr>
      <w:r>
        <w:rPr>
          <w:rFonts w:cs="Arial"/>
        </w:rPr>
        <w:t>s</w:t>
      </w:r>
      <w:r w:rsidR="006627D5" w:rsidRPr="009D66F2">
        <w:rPr>
          <w:rFonts w:cs="Arial"/>
        </w:rPr>
        <w:t>afe driver training for field officers</w:t>
      </w:r>
    </w:p>
    <w:p w14:paraId="12C0E9EF" w14:textId="2EE55799" w:rsidR="006627D5" w:rsidRPr="009D66F2" w:rsidRDefault="00676A4F" w:rsidP="00BD69F7">
      <w:pPr>
        <w:pStyle w:val="ListParagraph"/>
        <w:numPr>
          <w:ilvl w:val="0"/>
          <w:numId w:val="14"/>
        </w:numPr>
        <w:spacing w:before="120" w:after="120"/>
        <w:ind w:left="714" w:hanging="357"/>
        <w:contextualSpacing w:val="0"/>
        <w:rPr>
          <w:rFonts w:cs="Arial"/>
        </w:rPr>
      </w:pPr>
      <w:r>
        <w:rPr>
          <w:rFonts w:cs="Arial"/>
        </w:rPr>
        <w:t>i</w:t>
      </w:r>
      <w:r w:rsidR="006627D5" w:rsidRPr="009D66F2">
        <w:rPr>
          <w:rFonts w:cs="Arial"/>
        </w:rPr>
        <w:t xml:space="preserve">nvestigative interviewing </w:t>
      </w:r>
      <w:r w:rsidR="00A243B1">
        <w:rPr>
          <w:rFonts w:cs="Arial"/>
        </w:rPr>
        <w:t xml:space="preserve">training </w:t>
      </w:r>
      <w:r w:rsidR="006627D5" w:rsidRPr="009D66F2">
        <w:rPr>
          <w:rFonts w:cs="Arial"/>
        </w:rPr>
        <w:t>for compliance and enforcement officers</w:t>
      </w:r>
    </w:p>
    <w:p w14:paraId="2270D935" w14:textId="268D6F57" w:rsidR="00C5247A" w:rsidRDefault="00676A4F" w:rsidP="00BD69F7">
      <w:pPr>
        <w:pStyle w:val="ListParagraph"/>
        <w:numPr>
          <w:ilvl w:val="0"/>
          <w:numId w:val="14"/>
        </w:numPr>
        <w:spacing w:before="120" w:after="120"/>
        <w:ind w:left="714" w:hanging="357"/>
      </w:pPr>
      <w:r>
        <w:rPr>
          <w:rFonts w:cs="Arial"/>
        </w:rPr>
        <w:t>s</w:t>
      </w:r>
      <w:r w:rsidR="006627D5" w:rsidRPr="009D66F2">
        <w:rPr>
          <w:rFonts w:cs="Arial"/>
        </w:rPr>
        <w:t>tatutory notice powers training for regulatory officers</w:t>
      </w:r>
      <w:r w:rsidR="00C82B10">
        <w:rPr>
          <w:rFonts w:cs="Arial"/>
        </w:rPr>
        <w:t>.</w:t>
      </w:r>
    </w:p>
    <w:p w14:paraId="163FD717" w14:textId="1F935CBF" w:rsidR="008451FD" w:rsidRDefault="000E2ACB" w:rsidP="00AC09E5">
      <w:pPr>
        <w:pStyle w:val="Heading3"/>
        <w:rPr>
          <w:rFonts w:cs="Arial"/>
        </w:rPr>
      </w:pPr>
      <w:r>
        <w:t>Employee h</w:t>
      </w:r>
      <w:r w:rsidR="008451FD" w:rsidRPr="00A3657A">
        <w:t>ea</w:t>
      </w:r>
      <w:r>
        <w:t>l</w:t>
      </w:r>
      <w:r w:rsidR="008451FD" w:rsidRPr="00A3657A">
        <w:t>th, safety and wellbeing</w:t>
      </w:r>
      <w:r w:rsidR="008451FD">
        <w:t xml:space="preserve">  </w:t>
      </w:r>
    </w:p>
    <w:p w14:paraId="6920E429" w14:textId="671C4937" w:rsidR="0043585E" w:rsidRDefault="00C6264B" w:rsidP="00D50999">
      <w:pPr>
        <w:spacing w:before="120" w:after="120"/>
        <w:rPr>
          <w:rFonts w:cs="Arial"/>
        </w:rPr>
      </w:pPr>
      <w:r>
        <w:rPr>
          <w:rFonts w:cs="Arial"/>
        </w:rPr>
        <w:t>The QBCC’s</w:t>
      </w:r>
      <w:r w:rsidR="005B2A0E">
        <w:rPr>
          <w:rFonts w:cs="Arial"/>
        </w:rPr>
        <w:t xml:space="preserve"> commitment </w:t>
      </w:r>
      <w:r w:rsidR="00512067">
        <w:rPr>
          <w:rFonts w:cs="Arial"/>
        </w:rPr>
        <w:t>to</w:t>
      </w:r>
      <w:r w:rsidR="000A2DA1">
        <w:rPr>
          <w:rFonts w:cs="Arial"/>
        </w:rPr>
        <w:t xml:space="preserve"> </w:t>
      </w:r>
      <w:r>
        <w:rPr>
          <w:rFonts w:cs="Arial"/>
        </w:rPr>
        <w:t>employee</w:t>
      </w:r>
      <w:r w:rsidR="00235C39">
        <w:rPr>
          <w:rFonts w:cs="Arial"/>
        </w:rPr>
        <w:t xml:space="preserve"> </w:t>
      </w:r>
      <w:r w:rsidR="00477635">
        <w:rPr>
          <w:rFonts w:cs="Arial"/>
        </w:rPr>
        <w:t>health, safety and wellbeing</w:t>
      </w:r>
      <w:r w:rsidR="00973561">
        <w:rPr>
          <w:rFonts w:cs="Arial"/>
        </w:rPr>
        <w:t xml:space="preserve"> </w:t>
      </w:r>
      <w:r w:rsidR="0023062F">
        <w:rPr>
          <w:rFonts w:cs="Arial"/>
        </w:rPr>
        <w:t xml:space="preserve">reflects </w:t>
      </w:r>
      <w:r>
        <w:rPr>
          <w:rFonts w:cs="Arial"/>
        </w:rPr>
        <w:t>its broader</w:t>
      </w:r>
      <w:r w:rsidR="00B24F80">
        <w:rPr>
          <w:rFonts w:cs="Arial"/>
        </w:rPr>
        <w:t xml:space="preserve"> responsibility </w:t>
      </w:r>
      <w:r w:rsidR="00E46420" w:rsidRPr="00E46420">
        <w:rPr>
          <w:rFonts w:cs="Arial"/>
        </w:rPr>
        <w:t xml:space="preserve">to </w:t>
      </w:r>
      <w:r w:rsidR="00ED0E08">
        <w:rPr>
          <w:rFonts w:cs="Arial"/>
        </w:rPr>
        <w:t xml:space="preserve">cultivate </w:t>
      </w:r>
      <w:r w:rsidR="00FD6ACC">
        <w:rPr>
          <w:rFonts w:cs="Arial"/>
        </w:rPr>
        <w:t xml:space="preserve">a workplace where all employees </w:t>
      </w:r>
      <w:r w:rsidR="00E46420" w:rsidRPr="00E46420">
        <w:rPr>
          <w:rFonts w:cs="Arial"/>
        </w:rPr>
        <w:t xml:space="preserve">feel valued, respected and supported. </w:t>
      </w:r>
      <w:r w:rsidR="006D291A">
        <w:rPr>
          <w:rFonts w:cs="Arial"/>
        </w:rPr>
        <w:t xml:space="preserve">During the reporting period, </w:t>
      </w:r>
      <w:r w:rsidR="0043585E">
        <w:rPr>
          <w:rFonts w:cs="Arial"/>
        </w:rPr>
        <w:t xml:space="preserve">the organisation delivered </w:t>
      </w:r>
      <w:r w:rsidR="006E103C">
        <w:rPr>
          <w:rFonts w:cs="Arial"/>
        </w:rPr>
        <w:t xml:space="preserve">several </w:t>
      </w:r>
      <w:r w:rsidR="0097018A">
        <w:rPr>
          <w:rFonts w:cs="Arial"/>
        </w:rPr>
        <w:t>proactive initiatives,</w:t>
      </w:r>
      <w:r w:rsidR="0043585E">
        <w:rPr>
          <w:rFonts w:cs="Arial"/>
        </w:rPr>
        <w:t xml:space="preserve"> includ</w:t>
      </w:r>
      <w:r w:rsidR="009E5D1E">
        <w:rPr>
          <w:rFonts w:cs="Arial"/>
        </w:rPr>
        <w:t>ing</w:t>
      </w:r>
      <w:r w:rsidR="0043585E">
        <w:rPr>
          <w:rFonts w:cs="Arial"/>
        </w:rPr>
        <w:t>:</w:t>
      </w:r>
    </w:p>
    <w:p w14:paraId="65A1E052" w14:textId="66DD5676" w:rsidR="00DF3A9F" w:rsidRDefault="00A74FF1" w:rsidP="00BD69F7">
      <w:pPr>
        <w:pStyle w:val="ListParagraph"/>
        <w:numPr>
          <w:ilvl w:val="0"/>
          <w:numId w:val="41"/>
        </w:numPr>
        <w:spacing w:before="120" w:after="120"/>
        <w:ind w:left="714" w:hanging="357"/>
        <w:contextualSpacing w:val="0"/>
        <w:rPr>
          <w:rFonts w:cs="Arial"/>
        </w:rPr>
      </w:pPr>
      <w:r>
        <w:rPr>
          <w:rFonts w:cs="Arial"/>
        </w:rPr>
        <w:t>d</w:t>
      </w:r>
      <w:r w:rsidR="00572398">
        <w:rPr>
          <w:rFonts w:cs="Arial"/>
        </w:rPr>
        <w:t>eveloping t</w:t>
      </w:r>
      <w:r w:rsidR="0043585E">
        <w:rPr>
          <w:rFonts w:cs="Arial"/>
        </w:rPr>
        <w:t xml:space="preserve">he </w:t>
      </w:r>
      <w:r w:rsidR="0043585E" w:rsidRPr="0043585E">
        <w:rPr>
          <w:rFonts w:cs="Arial"/>
        </w:rPr>
        <w:t>QBCC WHS Strategy and Roadmap</w:t>
      </w:r>
    </w:p>
    <w:p w14:paraId="2232E517" w14:textId="551D2F42" w:rsidR="007B56C2" w:rsidRDefault="00A74FF1" w:rsidP="00BD69F7">
      <w:pPr>
        <w:pStyle w:val="ListParagraph"/>
        <w:numPr>
          <w:ilvl w:val="0"/>
          <w:numId w:val="41"/>
        </w:numPr>
        <w:spacing w:before="120" w:after="120"/>
        <w:ind w:left="714" w:hanging="357"/>
        <w:contextualSpacing w:val="0"/>
        <w:rPr>
          <w:rFonts w:cs="Arial"/>
        </w:rPr>
      </w:pPr>
      <w:r>
        <w:rPr>
          <w:rFonts w:cs="Arial"/>
        </w:rPr>
        <w:t>e</w:t>
      </w:r>
      <w:r w:rsidR="00572398">
        <w:rPr>
          <w:rFonts w:cs="Arial"/>
        </w:rPr>
        <w:t xml:space="preserve">stablishing the </w:t>
      </w:r>
      <w:r w:rsidR="0043585E" w:rsidRPr="0043585E">
        <w:rPr>
          <w:rFonts w:cs="Arial"/>
        </w:rPr>
        <w:t>Health and Wellbeing Network</w:t>
      </w:r>
    </w:p>
    <w:p w14:paraId="55E62A73" w14:textId="5BAAE652" w:rsidR="007B56C2" w:rsidRDefault="00A74FF1" w:rsidP="00BD69F7">
      <w:pPr>
        <w:pStyle w:val="ListParagraph"/>
        <w:numPr>
          <w:ilvl w:val="0"/>
          <w:numId w:val="41"/>
        </w:numPr>
        <w:spacing w:before="120" w:after="120"/>
        <w:ind w:left="714" w:hanging="357"/>
        <w:contextualSpacing w:val="0"/>
        <w:rPr>
          <w:rFonts w:cs="Arial"/>
        </w:rPr>
      </w:pPr>
      <w:r>
        <w:rPr>
          <w:rFonts w:cs="Arial"/>
        </w:rPr>
        <w:t>p</w:t>
      </w:r>
      <w:r w:rsidR="00572398">
        <w:rPr>
          <w:rFonts w:cs="Arial"/>
        </w:rPr>
        <w:t>roviding s</w:t>
      </w:r>
      <w:r w:rsidR="0043585E" w:rsidRPr="0043585E">
        <w:rPr>
          <w:rFonts w:cs="Arial"/>
        </w:rPr>
        <w:t>upport for early retirement, redundancy and retrenchment</w:t>
      </w:r>
      <w:r w:rsidR="00F62946">
        <w:rPr>
          <w:rFonts w:cs="Arial"/>
        </w:rPr>
        <w:t>.</w:t>
      </w:r>
    </w:p>
    <w:p w14:paraId="7E4FF84C" w14:textId="52BE1D56" w:rsidR="00956598" w:rsidRPr="007B56C2" w:rsidRDefault="00CC5DE5" w:rsidP="007B56C2">
      <w:pPr>
        <w:spacing w:before="120" w:after="120"/>
        <w:rPr>
          <w:rFonts w:cs="Arial"/>
        </w:rPr>
      </w:pPr>
      <w:r>
        <w:rPr>
          <w:rFonts w:cs="Arial"/>
        </w:rPr>
        <w:t xml:space="preserve">Through these efforts, the QBCC </w:t>
      </w:r>
      <w:r w:rsidR="00E46420" w:rsidRPr="007B56C2">
        <w:rPr>
          <w:rFonts w:cs="Arial"/>
        </w:rPr>
        <w:t xml:space="preserve">continues to </w:t>
      </w:r>
      <w:r w:rsidR="00E2791D">
        <w:rPr>
          <w:rFonts w:cs="Arial"/>
        </w:rPr>
        <w:t>build</w:t>
      </w:r>
      <w:r>
        <w:rPr>
          <w:rFonts w:cs="Arial"/>
        </w:rPr>
        <w:t xml:space="preserve"> </w:t>
      </w:r>
      <w:r w:rsidR="00E46420" w:rsidRPr="007B56C2">
        <w:rPr>
          <w:rFonts w:cs="Arial"/>
        </w:rPr>
        <w:t>a resilient and healthy workforce</w:t>
      </w:r>
      <w:r w:rsidR="00157308">
        <w:rPr>
          <w:rFonts w:cs="Arial"/>
        </w:rPr>
        <w:t>,</w:t>
      </w:r>
      <w:r w:rsidR="00E46420" w:rsidRPr="007B56C2">
        <w:rPr>
          <w:rFonts w:cs="Arial"/>
        </w:rPr>
        <w:t xml:space="preserve"> </w:t>
      </w:r>
      <w:r w:rsidR="009878BD" w:rsidRPr="007B56C2">
        <w:rPr>
          <w:rFonts w:cs="Arial"/>
        </w:rPr>
        <w:t xml:space="preserve">capable of </w:t>
      </w:r>
      <w:r w:rsidR="00E46420" w:rsidRPr="007B56C2">
        <w:rPr>
          <w:rFonts w:cs="Arial"/>
        </w:rPr>
        <w:t>adap</w:t>
      </w:r>
      <w:r w:rsidR="009878BD" w:rsidRPr="007B56C2">
        <w:rPr>
          <w:rFonts w:cs="Arial"/>
        </w:rPr>
        <w:t>ting</w:t>
      </w:r>
      <w:r w:rsidR="00EB506A" w:rsidRPr="007B56C2">
        <w:rPr>
          <w:rFonts w:cs="Arial"/>
        </w:rPr>
        <w:t xml:space="preserve"> </w:t>
      </w:r>
      <w:r w:rsidR="00E46420" w:rsidRPr="007B56C2">
        <w:rPr>
          <w:rFonts w:cs="Arial"/>
        </w:rPr>
        <w:t>and perform</w:t>
      </w:r>
      <w:r w:rsidR="00EB506A" w:rsidRPr="007B56C2">
        <w:rPr>
          <w:rFonts w:cs="Arial"/>
        </w:rPr>
        <w:t>ing</w:t>
      </w:r>
      <w:r w:rsidR="00E46420" w:rsidRPr="007B56C2">
        <w:rPr>
          <w:rFonts w:cs="Arial"/>
        </w:rPr>
        <w:t xml:space="preserve"> </w:t>
      </w:r>
      <w:r w:rsidR="00A24D72">
        <w:rPr>
          <w:rFonts w:cs="Arial"/>
        </w:rPr>
        <w:t>with</w:t>
      </w:r>
      <w:r w:rsidR="00E46420" w:rsidRPr="007B56C2">
        <w:rPr>
          <w:rFonts w:cs="Arial"/>
        </w:rPr>
        <w:t>in a dynamic regulatory environment.</w:t>
      </w:r>
    </w:p>
    <w:p w14:paraId="1D670BCE" w14:textId="581AB2D9" w:rsidR="008451FD" w:rsidRPr="00E46420" w:rsidRDefault="008451FD" w:rsidP="00E46420">
      <w:pPr>
        <w:pStyle w:val="Heading4"/>
      </w:pPr>
      <w:bookmarkStart w:id="264" w:name="_QBCC_WHS_Strategy"/>
      <w:bookmarkEnd w:id="264"/>
      <w:r>
        <w:t>W</w:t>
      </w:r>
      <w:r w:rsidR="00F908DB">
        <w:t>ork</w:t>
      </w:r>
      <w:r w:rsidR="00956598">
        <w:t xml:space="preserve"> </w:t>
      </w:r>
      <w:r w:rsidR="00984FA7">
        <w:t>h</w:t>
      </w:r>
      <w:r w:rsidR="00F908DB">
        <w:t xml:space="preserve">ealth and </w:t>
      </w:r>
      <w:r w:rsidR="00984FA7">
        <w:t>s</w:t>
      </w:r>
      <w:r w:rsidR="00F908DB">
        <w:t>afety</w:t>
      </w:r>
      <w:r w:rsidRPr="00E46420">
        <w:t xml:space="preserve">  </w:t>
      </w:r>
    </w:p>
    <w:p w14:paraId="29A93CC2" w14:textId="3D32CCB1" w:rsidR="00715203" w:rsidRPr="003A6F32" w:rsidRDefault="00B3786A" w:rsidP="00640671">
      <w:pPr>
        <w:spacing w:before="120" w:after="120"/>
        <w:rPr>
          <w:rFonts w:cs="Arial"/>
        </w:rPr>
      </w:pPr>
      <w:r>
        <w:rPr>
          <w:rFonts w:cs="Arial"/>
        </w:rPr>
        <w:t>During the reporting period, t</w:t>
      </w:r>
      <w:r w:rsidR="00715203" w:rsidRPr="00827848">
        <w:rPr>
          <w:rFonts w:cs="Arial"/>
        </w:rPr>
        <w:t xml:space="preserve">he QBCC </w:t>
      </w:r>
      <w:r w:rsidR="1832641D" w:rsidRPr="484AE6BB">
        <w:rPr>
          <w:rFonts w:cs="Arial"/>
        </w:rPr>
        <w:t xml:space="preserve">has </w:t>
      </w:r>
      <w:r w:rsidR="1832641D" w:rsidRPr="05897E6B">
        <w:rPr>
          <w:rFonts w:cs="Arial"/>
        </w:rPr>
        <w:t xml:space="preserve">maintained a strong focus on safety </w:t>
      </w:r>
      <w:r w:rsidR="102D0FB7" w:rsidRPr="06A7B98F">
        <w:rPr>
          <w:rFonts w:cs="Arial"/>
        </w:rPr>
        <w:t>in</w:t>
      </w:r>
      <w:r w:rsidR="1832641D" w:rsidRPr="05897E6B">
        <w:rPr>
          <w:rFonts w:cs="Arial"/>
        </w:rPr>
        <w:t xml:space="preserve"> the </w:t>
      </w:r>
      <w:bookmarkStart w:id="265" w:name="_Int_JphCkEBv"/>
      <w:proofErr w:type="gramStart"/>
      <w:r w:rsidR="1832641D" w:rsidRPr="1F43F9A2">
        <w:rPr>
          <w:rFonts w:cs="Arial"/>
        </w:rPr>
        <w:t>workplace</w:t>
      </w:r>
      <w:r w:rsidR="00715203" w:rsidRPr="00827848">
        <w:rPr>
          <w:rFonts w:cs="Arial"/>
        </w:rPr>
        <w:t xml:space="preserve">, </w:t>
      </w:r>
      <w:r w:rsidR="676BB8A0" w:rsidRPr="44E620C7">
        <w:rPr>
          <w:rFonts w:cs="Arial"/>
        </w:rPr>
        <w:t>and</w:t>
      </w:r>
      <w:bookmarkEnd w:id="265"/>
      <w:proofErr w:type="gramEnd"/>
      <w:r w:rsidR="676BB8A0" w:rsidRPr="44E620C7">
        <w:rPr>
          <w:rFonts w:cs="Arial"/>
        </w:rPr>
        <w:t xml:space="preserve"> </w:t>
      </w:r>
      <w:r w:rsidR="676BB8A0" w:rsidRPr="14D95A2C">
        <w:rPr>
          <w:rFonts w:cs="Arial"/>
        </w:rPr>
        <w:t xml:space="preserve">pursued </w:t>
      </w:r>
      <w:r w:rsidR="3BA1DCC4" w:rsidRPr="4A312DFD">
        <w:rPr>
          <w:rFonts w:cs="Arial"/>
        </w:rPr>
        <w:t>continuous</w:t>
      </w:r>
      <w:r w:rsidR="676BB8A0" w:rsidRPr="14D95A2C">
        <w:rPr>
          <w:rFonts w:cs="Arial"/>
        </w:rPr>
        <w:t xml:space="preserve"> </w:t>
      </w:r>
      <w:r w:rsidR="319627ED" w:rsidRPr="0558A560">
        <w:rPr>
          <w:rFonts w:cs="Arial"/>
        </w:rPr>
        <w:t xml:space="preserve">improvement in WHS by </w:t>
      </w:r>
      <w:r w:rsidR="35C0051E" w:rsidRPr="29E8985B">
        <w:rPr>
          <w:rFonts w:cs="Arial"/>
        </w:rPr>
        <w:t xml:space="preserve">further </w:t>
      </w:r>
      <w:r w:rsidR="00D94CD1" w:rsidRPr="0558A560">
        <w:rPr>
          <w:rFonts w:cs="Arial"/>
        </w:rPr>
        <w:t>strengthening</w:t>
      </w:r>
      <w:r w:rsidR="00D94CD1">
        <w:rPr>
          <w:rFonts w:cs="Arial"/>
        </w:rPr>
        <w:t xml:space="preserve"> </w:t>
      </w:r>
      <w:r w:rsidR="00715203" w:rsidRPr="00827848">
        <w:rPr>
          <w:rFonts w:cs="Arial"/>
        </w:rPr>
        <w:t>leader</w:t>
      </w:r>
      <w:r w:rsidR="00D94CD1">
        <w:rPr>
          <w:rFonts w:cs="Arial"/>
        </w:rPr>
        <w:t xml:space="preserve">ship </w:t>
      </w:r>
      <w:r w:rsidR="00EF269E">
        <w:rPr>
          <w:rFonts w:cs="Arial"/>
        </w:rPr>
        <w:t xml:space="preserve">capability </w:t>
      </w:r>
      <w:r w:rsidR="00715203" w:rsidRPr="00827848">
        <w:rPr>
          <w:rFonts w:cs="Arial"/>
        </w:rPr>
        <w:t xml:space="preserve">and </w:t>
      </w:r>
      <w:r w:rsidR="00EF269E">
        <w:rPr>
          <w:rFonts w:cs="Arial"/>
        </w:rPr>
        <w:t xml:space="preserve">refining </w:t>
      </w:r>
      <w:r w:rsidR="00121DCE">
        <w:rPr>
          <w:rFonts w:cs="Arial"/>
        </w:rPr>
        <w:t xml:space="preserve">workplace </w:t>
      </w:r>
      <w:r w:rsidR="00177EC8">
        <w:rPr>
          <w:rFonts w:cs="Arial"/>
        </w:rPr>
        <w:t xml:space="preserve">safety practices. </w:t>
      </w:r>
      <w:r w:rsidR="006715A1">
        <w:rPr>
          <w:rFonts w:cs="Arial"/>
        </w:rPr>
        <w:t xml:space="preserve">Key activities included upskilling </w:t>
      </w:r>
      <w:r w:rsidR="00AD29C1">
        <w:rPr>
          <w:rFonts w:cs="Arial"/>
        </w:rPr>
        <w:t xml:space="preserve">leaders in </w:t>
      </w:r>
      <w:r w:rsidR="00715203" w:rsidRPr="00827848">
        <w:rPr>
          <w:rFonts w:cs="Arial"/>
        </w:rPr>
        <w:t>incident investigation methodolog</w:t>
      </w:r>
      <w:r w:rsidR="00AD29C1">
        <w:rPr>
          <w:rFonts w:cs="Arial"/>
        </w:rPr>
        <w:t xml:space="preserve">ies </w:t>
      </w:r>
      <w:r w:rsidR="00715203" w:rsidRPr="00827848">
        <w:rPr>
          <w:rFonts w:cs="Arial"/>
        </w:rPr>
        <w:t xml:space="preserve">and the development of </w:t>
      </w:r>
      <w:r w:rsidR="00AD29C1">
        <w:rPr>
          <w:rFonts w:cs="Arial"/>
        </w:rPr>
        <w:t xml:space="preserve">effective </w:t>
      </w:r>
      <w:r w:rsidR="00715203" w:rsidRPr="00827848">
        <w:rPr>
          <w:rFonts w:cs="Arial"/>
        </w:rPr>
        <w:t xml:space="preserve">control measures </w:t>
      </w:r>
      <w:r w:rsidR="00AD29C1">
        <w:rPr>
          <w:rFonts w:cs="Arial"/>
        </w:rPr>
        <w:t xml:space="preserve">in response to </w:t>
      </w:r>
      <w:r w:rsidR="00715203" w:rsidRPr="00827848">
        <w:rPr>
          <w:rFonts w:cs="Arial"/>
        </w:rPr>
        <w:t xml:space="preserve">reported incidents. </w:t>
      </w:r>
      <w:r w:rsidR="000B7D05">
        <w:rPr>
          <w:rFonts w:cs="Arial"/>
        </w:rPr>
        <w:t xml:space="preserve">In 2024–25, </w:t>
      </w:r>
      <w:r w:rsidR="00AD29C1">
        <w:rPr>
          <w:rFonts w:cs="Arial"/>
        </w:rPr>
        <w:t xml:space="preserve">a </w:t>
      </w:r>
      <w:r w:rsidR="00715203" w:rsidRPr="00DE4779">
        <w:rPr>
          <w:rFonts w:cs="Arial"/>
        </w:rPr>
        <w:t xml:space="preserve">primary </w:t>
      </w:r>
      <w:r w:rsidR="00AD29C1">
        <w:rPr>
          <w:rFonts w:cs="Arial"/>
        </w:rPr>
        <w:t xml:space="preserve">area of </w:t>
      </w:r>
      <w:r w:rsidR="00715203" w:rsidRPr="00DE4779">
        <w:rPr>
          <w:rFonts w:cs="Arial"/>
        </w:rPr>
        <w:t xml:space="preserve">focus was </w:t>
      </w:r>
      <w:r w:rsidR="00F3712B">
        <w:rPr>
          <w:rFonts w:cs="Arial"/>
        </w:rPr>
        <w:t xml:space="preserve">to </w:t>
      </w:r>
      <w:r w:rsidR="00715203" w:rsidRPr="00DE4779">
        <w:rPr>
          <w:rFonts w:cs="Arial"/>
        </w:rPr>
        <w:t>enhanc</w:t>
      </w:r>
      <w:r w:rsidR="000313C3">
        <w:rPr>
          <w:rFonts w:cs="Arial"/>
        </w:rPr>
        <w:t>e</w:t>
      </w:r>
      <w:r w:rsidR="00F3712B">
        <w:rPr>
          <w:rFonts w:cs="Arial"/>
        </w:rPr>
        <w:t xml:space="preserve"> </w:t>
      </w:r>
      <w:r w:rsidR="00F27A05">
        <w:rPr>
          <w:rFonts w:cs="Arial"/>
        </w:rPr>
        <w:t>the</w:t>
      </w:r>
      <w:r w:rsidR="000313C3">
        <w:rPr>
          <w:rFonts w:cs="Arial"/>
        </w:rPr>
        <w:t xml:space="preserve"> </w:t>
      </w:r>
      <w:r w:rsidR="00715203" w:rsidRPr="00DE4779">
        <w:rPr>
          <w:rFonts w:cs="Arial"/>
        </w:rPr>
        <w:t xml:space="preserve">understanding and </w:t>
      </w:r>
      <w:r w:rsidR="008E0076">
        <w:rPr>
          <w:rFonts w:cs="Arial"/>
        </w:rPr>
        <w:t xml:space="preserve">application </w:t>
      </w:r>
      <w:r w:rsidR="00715203" w:rsidRPr="00DE4779">
        <w:rPr>
          <w:rFonts w:cs="Arial"/>
        </w:rPr>
        <w:t>of psychosocial risk assessments, along</w:t>
      </w:r>
      <w:r w:rsidR="008E0076">
        <w:rPr>
          <w:rFonts w:cs="Arial"/>
        </w:rPr>
        <w:t xml:space="preserve">side </w:t>
      </w:r>
      <w:r w:rsidR="00715203" w:rsidRPr="00DE4779">
        <w:rPr>
          <w:rFonts w:cs="Arial"/>
        </w:rPr>
        <w:t>the development of related control measures.</w:t>
      </w:r>
    </w:p>
    <w:p w14:paraId="237B22D8" w14:textId="1D4B9BDE" w:rsidR="00715203" w:rsidRDefault="00C60B26" w:rsidP="00E94621">
      <w:pPr>
        <w:spacing w:before="120" w:after="120"/>
        <w:rPr>
          <w:rFonts w:cs="Arial"/>
        </w:rPr>
      </w:pPr>
      <w:r>
        <w:rPr>
          <w:rFonts w:cs="Arial"/>
        </w:rPr>
        <w:t>P</w:t>
      </w:r>
      <w:r w:rsidR="00715203" w:rsidRPr="002235B0">
        <w:rPr>
          <w:rFonts w:cs="Arial"/>
        </w:rPr>
        <w:t xml:space="preserve">ilot training </w:t>
      </w:r>
      <w:r w:rsidR="00737E47">
        <w:rPr>
          <w:rFonts w:cs="Arial"/>
        </w:rPr>
        <w:t>program</w:t>
      </w:r>
      <w:r w:rsidR="00715203" w:rsidRPr="002235B0">
        <w:rPr>
          <w:rFonts w:cs="Arial"/>
        </w:rPr>
        <w:t xml:space="preserve">s </w:t>
      </w:r>
      <w:r>
        <w:rPr>
          <w:rFonts w:cs="Arial"/>
        </w:rPr>
        <w:t xml:space="preserve">were </w:t>
      </w:r>
      <w:r w:rsidR="00EF25EE">
        <w:rPr>
          <w:rFonts w:cs="Arial"/>
        </w:rPr>
        <w:t>delivered to build leadership capability in key areas</w:t>
      </w:r>
      <w:r w:rsidR="003D407B">
        <w:rPr>
          <w:rFonts w:cs="Arial"/>
        </w:rPr>
        <w:t>,</w:t>
      </w:r>
      <w:r w:rsidR="00EF25EE">
        <w:rPr>
          <w:rFonts w:cs="Arial"/>
        </w:rPr>
        <w:t xml:space="preserve"> such as </w:t>
      </w:r>
      <w:r w:rsidR="003D407B">
        <w:rPr>
          <w:rFonts w:cs="Arial"/>
        </w:rPr>
        <w:t xml:space="preserve">due </w:t>
      </w:r>
      <w:r w:rsidR="00715203" w:rsidRPr="002235B0">
        <w:rPr>
          <w:rFonts w:cs="Arial"/>
        </w:rPr>
        <w:t xml:space="preserve">diligence, risk </w:t>
      </w:r>
      <w:r w:rsidR="003D407B">
        <w:rPr>
          <w:rFonts w:cs="Arial"/>
        </w:rPr>
        <w:t xml:space="preserve">and </w:t>
      </w:r>
      <w:r w:rsidR="00715203" w:rsidRPr="002235B0">
        <w:rPr>
          <w:rFonts w:cs="Arial"/>
        </w:rPr>
        <w:t>injury management.</w:t>
      </w:r>
      <w:r w:rsidR="00715203">
        <w:rPr>
          <w:rFonts w:cs="Arial"/>
        </w:rPr>
        <w:t xml:space="preserve"> </w:t>
      </w:r>
      <w:r w:rsidR="00715203" w:rsidRPr="00825623">
        <w:rPr>
          <w:rFonts w:cs="Arial"/>
        </w:rPr>
        <w:t xml:space="preserve">These sessions aimed to equip </w:t>
      </w:r>
      <w:r w:rsidR="00D2202A">
        <w:rPr>
          <w:rFonts w:cs="Arial"/>
        </w:rPr>
        <w:t xml:space="preserve">current and </w:t>
      </w:r>
      <w:r w:rsidR="00621248">
        <w:rPr>
          <w:rFonts w:cs="Arial"/>
        </w:rPr>
        <w:t xml:space="preserve">emerging </w:t>
      </w:r>
      <w:r w:rsidR="00715203" w:rsidRPr="00825623">
        <w:rPr>
          <w:rFonts w:cs="Arial"/>
        </w:rPr>
        <w:t>leaders with the knowledge</w:t>
      </w:r>
      <w:r w:rsidR="00621248">
        <w:rPr>
          <w:rFonts w:cs="Arial"/>
        </w:rPr>
        <w:t xml:space="preserve"> and tools to </w:t>
      </w:r>
      <w:r w:rsidR="00715203" w:rsidRPr="00825623">
        <w:rPr>
          <w:rFonts w:cs="Arial"/>
        </w:rPr>
        <w:t>manage health and safety effectively within their teams</w:t>
      </w:r>
      <w:r w:rsidR="00621248">
        <w:rPr>
          <w:rFonts w:cs="Arial"/>
        </w:rPr>
        <w:t xml:space="preserve"> and </w:t>
      </w:r>
      <w:r w:rsidR="00F97849">
        <w:rPr>
          <w:rFonts w:cs="Arial"/>
        </w:rPr>
        <w:t>develop</w:t>
      </w:r>
      <w:r w:rsidR="00621248">
        <w:rPr>
          <w:rFonts w:cs="Arial"/>
        </w:rPr>
        <w:t xml:space="preserve"> a strong</w:t>
      </w:r>
      <w:r w:rsidR="00BF136A">
        <w:rPr>
          <w:rFonts w:cs="Arial"/>
        </w:rPr>
        <w:t xml:space="preserve"> safety </w:t>
      </w:r>
      <w:r w:rsidR="00715203" w:rsidRPr="00825623">
        <w:rPr>
          <w:rFonts w:cs="Arial"/>
        </w:rPr>
        <w:t>culture across the organisation.</w:t>
      </w:r>
    </w:p>
    <w:p w14:paraId="6DC27FD3" w14:textId="77777777" w:rsidR="00B96423" w:rsidRDefault="009413C8" w:rsidP="00E94621">
      <w:pPr>
        <w:spacing w:before="120" w:after="120"/>
        <w:rPr>
          <w:rFonts w:cs="Arial"/>
        </w:rPr>
      </w:pPr>
      <w:r>
        <w:rPr>
          <w:rFonts w:cs="Arial"/>
        </w:rPr>
        <w:lastRenderedPageBreak/>
        <w:t xml:space="preserve">Further reinforcing its commitment to a respectful </w:t>
      </w:r>
      <w:r w:rsidR="00CC3ABA">
        <w:rPr>
          <w:rFonts w:cs="Arial"/>
        </w:rPr>
        <w:t>and inclusive workplace, t</w:t>
      </w:r>
      <w:r w:rsidR="00715203">
        <w:rPr>
          <w:rFonts w:cs="Arial"/>
        </w:rPr>
        <w:t xml:space="preserve">he QBCC </w:t>
      </w:r>
      <w:r w:rsidR="00715203" w:rsidRPr="00A5512F">
        <w:rPr>
          <w:rFonts w:cs="Arial"/>
        </w:rPr>
        <w:t>implemented its Preventing and Responding to Workplace Sexual Harassment Policy and Procedure</w:t>
      </w:r>
      <w:r w:rsidR="00BD13D1">
        <w:rPr>
          <w:rFonts w:cs="Arial"/>
        </w:rPr>
        <w:t xml:space="preserve"> during the reporting period</w:t>
      </w:r>
      <w:r w:rsidR="00040119">
        <w:rPr>
          <w:rFonts w:cs="Arial"/>
        </w:rPr>
        <w:t xml:space="preserve">. </w:t>
      </w:r>
      <w:r w:rsidR="00BA7802" w:rsidRPr="00BA7802">
        <w:rPr>
          <w:rFonts w:cs="Arial"/>
        </w:rPr>
        <w:t>In March 2025, the Sexual, Sex and Gender-Based Harassment Prevention Plan was launched.</w:t>
      </w:r>
      <w:r w:rsidR="00BA7802">
        <w:rPr>
          <w:rFonts w:cs="Arial"/>
        </w:rPr>
        <w:t xml:space="preserve"> </w:t>
      </w:r>
      <w:r w:rsidR="00715203" w:rsidRPr="00A5512F">
        <w:rPr>
          <w:rFonts w:cs="Arial"/>
        </w:rPr>
        <w:t>Th</w:t>
      </w:r>
      <w:r w:rsidR="00FF1580">
        <w:rPr>
          <w:rFonts w:cs="Arial"/>
        </w:rPr>
        <w:t xml:space="preserve">ese initiatives </w:t>
      </w:r>
      <w:r w:rsidR="000304AC">
        <w:rPr>
          <w:rFonts w:cs="Arial"/>
        </w:rPr>
        <w:t>align</w:t>
      </w:r>
      <w:r w:rsidR="0008517F">
        <w:rPr>
          <w:rFonts w:cs="Arial"/>
        </w:rPr>
        <w:t>ed</w:t>
      </w:r>
      <w:r w:rsidR="000304AC">
        <w:rPr>
          <w:rFonts w:cs="Arial"/>
        </w:rPr>
        <w:t xml:space="preserve"> with </w:t>
      </w:r>
      <w:r w:rsidR="00715203" w:rsidRPr="00A5512F">
        <w:rPr>
          <w:rFonts w:cs="Arial"/>
        </w:rPr>
        <w:t xml:space="preserve">amendments </w:t>
      </w:r>
      <w:r w:rsidR="003A2965">
        <w:rPr>
          <w:rFonts w:cs="Arial"/>
        </w:rPr>
        <w:t xml:space="preserve">to the </w:t>
      </w:r>
      <w:r w:rsidR="00715203" w:rsidRPr="00A5512F">
        <w:rPr>
          <w:rFonts w:cs="Arial"/>
          <w:i/>
          <w:iCs/>
        </w:rPr>
        <w:t>Work Health Safety Act 2011</w:t>
      </w:r>
      <w:r w:rsidR="00715203" w:rsidRPr="00A5512F">
        <w:rPr>
          <w:rFonts w:cs="Arial"/>
        </w:rPr>
        <w:t xml:space="preserve"> (Qld)</w:t>
      </w:r>
      <w:r w:rsidR="008B3EFC">
        <w:rPr>
          <w:rFonts w:cs="Arial"/>
        </w:rPr>
        <w:t xml:space="preserve"> and the </w:t>
      </w:r>
      <w:r w:rsidR="008B3EFC" w:rsidRPr="00A5512F">
        <w:rPr>
          <w:rFonts w:cs="Arial"/>
          <w:i/>
          <w:iCs/>
        </w:rPr>
        <w:t>Work Health and Safety (Sexual Harassment) Amendment Regulation 2024</w:t>
      </w:r>
      <w:r w:rsidR="008B3EFC" w:rsidRPr="00A5512F">
        <w:rPr>
          <w:rFonts w:cs="Arial"/>
        </w:rPr>
        <w:t xml:space="preserve"> (Qld)</w:t>
      </w:r>
      <w:r w:rsidR="007129D5">
        <w:rPr>
          <w:rFonts w:cs="Arial"/>
        </w:rPr>
        <w:t xml:space="preserve">, which came into effect 1 March 2025. </w:t>
      </w:r>
    </w:p>
    <w:p w14:paraId="45F43DD9" w14:textId="27792664" w:rsidR="00715203" w:rsidRPr="00E94621" w:rsidRDefault="00523251" w:rsidP="00E94621">
      <w:pPr>
        <w:spacing w:before="120" w:after="120"/>
        <w:rPr>
          <w:rFonts w:cs="Arial"/>
        </w:rPr>
      </w:pPr>
      <w:r w:rsidRPr="00523251">
        <w:rPr>
          <w:rFonts w:cs="Arial"/>
        </w:rPr>
        <w:t xml:space="preserve">Together, these </w:t>
      </w:r>
      <w:r w:rsidR="0015733C">
        <w:rPr>
          <w:rFonts w:cs="Arial"/>
        </w:rPr>
        <w:t>efforts</w:t>
      </w:r>
      <w:r w:rsidRPr="00523251">
        <w:rPr>
          <w:rFonts w:cs="Arial"/>
        </w:rPr>
        <w:t xml:space="preserve"> reinforce</w:t>
      </w:r>
      <w:r w:rsidR="0008517F">
        <w:rPr>
          <w:rFonts w:cs="Arial"/>
        </w:rPr>
        <w:t>d</w:t>
      </w:r>
      <w:r w:rsidRPr="00523251">
        <w:rPr>
          <w:rFonts w:cs="Arial"/>
        </w:rPr>
        <w:t xml:space="preserve"> the QBCC’s zero-tolerance </w:t>
      </w:r>
      <w:r w:rsidR="00A42616" w:rsidRPr="00A42616">
        <w:rPr>
          <w:rFonts w:cs="Arial"/>
        </w:rPr>
        <w:t xml:space="preserve">approach to harassment and support a safe and respectful </w:t>
      </w:r>
      <w:r w:rsidRPr="00523251">
        <w:rPr>
          <w:rFonts w:cs="Arial"/>
        </w:rPr>
        <w:t>workplace.</w:t>
      </w:r>
      <w:r>
        <w:rPr>
          <w:rFonts w:cs="Arial"/>
        </w:rPr>
        <w:t xml:space="preserve"> </w:t>
      </w:r>
    </w:p>
    <w:p w14:paraId="71202825" w14:textId="1964CCF2" w:rsidR="002B0D45" w:rsidRDefault="001F5393" w:rsidP="00E94621">
      <w:pPr>
        <w:spacing w:before="120" w:after="120"/>
      </w:pPr>
      <w:r>
        <w:t>In addition, the QBCC’s WHS advisors</w:t>
      </w:r>
      <w:r w:rsidR="00082E55">
        <w:t xml:space="preserve"> played a proactive role during the </w:t>
      </w:r>
      <w:r w:rsidR="0030673D">
        <w:t>year by</w:t>
      </w:r>
      <w:r w:rsidR="008451FD">
        <w:t>:</w:t>
      </w:r>
    </w:p>
    <w:p w14:paraId="4FFE5777" w14:textId="29DF3EBA" w:rsidR="008451FD" w:rsidRDefault="008451FD" w:rsidP="00BD69F7">
      <w:pPr>
        <w:pStyle w:val="ListParagraph"/>
        <w:numPr>
          <w:ilvl w:val="0"/>
          <w:numId w:val="16"/>
        </w:numPr>
        <w:spacing w:before="120" w:after="120"/>
        <w:ind w:left="714" w:hanging="357"/>
        <w:contextualSpacing w:val="0"/>
      </w:pPr>
      <w:r>
        <w:t>work</w:t>
      </w:r>
      <w:r w:rsidR="00E8237B">
        <w:t>ing</w:t>
      </w:r>
      <w:r>
        <w:t xml:space="preserve"> closely with </w:t>
      </w:r>
      <w:r w:rsidR="00DD7599">
        <w:t xml:space="preserve">staff </w:t>
      </w:r>
      <w:r>
        <w:t>to ensure line mana</w:t>
      </w:r>
      <w:r w:rsidR="0030673D">
        <w:t xml:space="preserve">gers </w:t>
      </w:r>
      <w:r>
        <w:t>remain</w:t>
      </w:r>
      <w:r w:rsidR="005D636E">
        <w:t>ed</w:t>
      </w:r>
      <w:r>
        <w:t xml:space="preserve"> accountable </w:t>
      </w:r>
      <w:r w:rsidR="0030673D">
        <w:t xml:space="preserve">for developing and implementing </w:t>
      </w:r>
      <w:r>
        <w:t>control measures in response to reported incidents</w:t>
      </w:r>
    </w:p>
    <w:p w14:paraId="3AA691E1" w14:textId="50A6087A" w:rsidR="000B0F95" w:rsidRPr="00E94621" w:rsidRDefault="008451FD" w:rsidP="00BD69F7">
      <w:pPr>
        <w:pStyle w:val="ListParagraph"/>
        <w:numPr>
          <w:ilvl w:val="0"/>
          <w:numId w:val="16"/>
        </w:numPr>
        <w:spacing w:before="120" w:after="120"/>
        <w:ind w:left="714" w:hanging="357"/>
        <w:contextualSpacing w:val="0"/>
      </w:pPr>
      <w:r>
        <w:t>commenc</w:t>
      </w:r>
      <w:r w:rsidR="00E8237B">
        <w:t>ing</w:t>
      </w:r>
      <w:r>
        <w:t xml:space="preserve"> </w:t>
      </w:r>
      <w:r w:rsidR="00CF4B84">
        <w:t xml:space="preserve">the </w:t>
      </w:r>
      <w:r>
        <w:t>revisi</w:t>
      </w:r>
      <w:r w:rsidR="00CF4B84">
        <w:t xml:space="preserve">on of the </w:t>
      </w:r>
      <w:r>
        <w:t>incident and hazard reporting and investigation procedure</w:t>
      </w:r>
      <w:r w:rsidR="00CF4B84">
        <w:t xml:space="preserve">, </w:t>
      </w:r>
      <w:r w:rsidR="00FB1CEA">
        <w:t xml:space="preserve">with </w:t>
      </w:r>
      <w:r w:rsidRPr="00BE42F8">
        <w:t>consultation</w:t>
      </w:r>
      <w:r w:rsidR="00FB1CEA">
        <w:t>s</w:t>
      </w:r>
      <w:r w:rsidRPr="00BE42F8">
        <w:t xml:space="preserve"> </w:t>
      </w:r>
      <w:r w:rsidR="00906B44">
        <w:t xml:space="preserve">on revised procedure </w:t>
      </w:r>
      <w:r w:rsidRPr="00BE42F8">
        <w:t>commenc</w:t>
      </w:r>
      <w:r w:rsidR="00FB1CEA">
        <w:t xml:space="preserve">ing </w:t>
      </w:r>
      <w:r w:rsidRPr="00BE42F8">
        <w:t>in late 2024</w:t>
      </w:r>
      <w:r w:rsidR="002D5EEF" w:rsidRPr="00896AEC">
        <w:rPr>
          <w:rFonts w:cs="Arial"/>
        </w:rPr>
        <w:t>–</w:t>
      </w:r>
      <w:r w:rsidRPr="00BE42F8">
        <w:t xml:space="preserve">25 </w:t>
      </w:r>
      <w:r w:rsidR="00421115">
        <w:t>and continu</w:t>
      </w:r>
      <w:r w:rsidR="00FB46EC">
        <w:t>ing</w:t>
      </w:r>
      <w:r w:rsidR="00421115">
        <w:t xml:space="preserve"> </w:t>
      </w:r>
      <w:r w:rsidR="00101497">
        <w:t xml:space="preserve">into </w:t>
      </w:r>
      <w:r w:rsidRPr="00BE42F8">
        <w:t>early 2025</w:t>
      </w:r>
      <w:r w:rsidR="002E48E3" w:rsidRPr="0050399A">
        <w:rPr>
          <w:rFonts w:cs="Arial"/>
          <w:szCs w:val="28"/>
        </w:rPr>
        <w:t>–</w:t>
      </w:r>
      <w:r w:rsidRPr="00BE42F8">
        <w:t>26.</w:t>
      </w:r>
      <w:bookmarkStart w:id="266" w:name="_Health_and_Wellbeing"/>
      <w:bookmarkEnd w:id="266"/>
    </w:p>
    <w:p w14:paraId="13A61ACA" w14:textId="22716CF3" w:rsidR="008451FD" w:rsidRPr="00AB703E" w:rsidRDefault="008451FD" w:rsidP="00FE07C4">
      <w:pPr>
        <w:pStyle w:val="Heading4"/>
      </w:pPr>
      <w:r w:rsidRPr="00AB703E">
        <w:t>Health and Wellbeing Network</w:t>
      </w:r>
      <w:r>
        <w:t xml:space="preserve">  </w:t>
      </w:r>
    </w:p>
    <w:p w14:paraId="3ECB75F4" w14:textId="293CAAB4" w:rsidR="008451FD" w:rsidRDefault="008451FD" w:rsidP="00E94621">
      <w:pPr>
        <w:spacing w:before="120" w:after="120"/>
        <w:rPr>
          <w:rFonts w:cs="Arial"/>
        </w:rPr>
      </w:pPr>
      <w:r w:rsidRPr="00260C51">
        <w:rPr>
          <w:rFonts w:cs="Arial"/>
        </w:rPr>
        <w:t xml:space="preserve">The QBCC Health and Wellbeing Network </w:t>
      </w:r>
      <w:r w:rsidR="00E36846">
        <w:rPr>
          <w:rFonts w:cs="Arial"/>
        </w:rPr>
        <w:t>is</w:t>
      </w:r>
      <w:r>
        <w:rPr>
          <w:rFonts w:cs="Arial"/>
        </w:rPr>
        <w:t xml:space="preserve"> </w:t>
      </w:r>
      <w:r w:rsidRPr="00260C51">
        <w:rPr>
          <w:rFonts w:cs="Arial"/>
        </w:rPr>
        <w:t xml:space="preserve">a group of dedicated </w:t>
      </w:r>
      <w:r w:rsidR="00274D98" w:rsidRPr="00260C51">
        <w:rPr>
          <w:rFonts w:cs="Arial"/>
        </w:rPr>
        <w:t>volunteers</w:t>
      </w:r>
      <w:r w:rsidRPr="00260C51">
        <w:rPr>
          <w:rFonts w:cs="Arial"/>
        </w:rPr>
        <w:t xml:space="preserve"> </w:t>
      </w:r>
      <w:r w:rsidR="00E36846">
        <w:rPr>
          <w:rFonts w:cs="Arial"/>
        </w:rPr>
        <w:t>united by a sh</w:t>
      </w:r>
      <w:r w:rsidRPr="00260C51">
        <w:rPr>
          <w:rFonts w:cs="Arial"/>
        </w:rPr>
        <w:t xml:space="preserve">ared </w:t>
      </w:r>
      <w:r w:rsidR="00BD51CF">
        <w:rPr>
          <w:rFonts w:cs="Arial"/>
        </w:rPr>
        <w:t xml:space="preserve">commitment </w:t>
      </w:r>
      <w:r w:rsidR="00F94674">
        <w:rPr>
          <w:rFonts w:cs="Arial"/>
        </w:rPr>
        <w:t>t</w:t>
      </w:r>
      <w:r w:rsidRPr="00260C51">
        <w:rPr>
          <w:rFonts w:cs="Arial"/>
        </w:rPr>
        <w:t>o promot</w:t>
      </w:r>
      <w:r w:rsidR="00F94674">
        <w:rPr>
          <w:rFonts w:cs="Arial"/>
        </w:rPr>
        <w:t xml:space="preserve">ing </w:t>
      </w:r>
      <w:r w:rsidRPr="00260C51">
        <w:rPr>
          <w:rFonts w:cs="Arial"/>
        </w:rPr>
        <w:t>health and wellbeing across the organisation.</w:t>
      </w:r>
      <w:r w:rsidRPr="00753E6C">
        <w:t xml:space="preserve"> </w:t>
      </w:r>
      <w:r w:rsidRPr="00260C51">
        <w:rPr>
          <w:rFonts w:cs="Arial"/>
        </w:rPr>
        <w:t xml:space="preserve">The </w:t>
      </w:r>
      <w:r w:rsidR="00122435">
        <w:rPr>
          <w:rFonts w:cs="Arial"/>
        </w:rPr>
        <w:t>n</w:t>
      </w:r>
      <w:r w:rsidRPr="00260C51">
        <w:rPr>
          <w:rFonts w:cs="Arial"/>
        </w:rPr>
        <w:t xml:space="preserve">etwork </w:t>
      </w:r>
      <w:r w:rsidR="007D7573">
        <w:rPr>
          <w:rFonts w:cs="Arial"/>
        </w:rPr>
        <w:t xml:space="preserve">drives this commitment </w:t>
      </w:r>
      <w:r w:rsidRPr="00260C51">
        <w:rPr>
          <w:rFonts w:cs="Arial"/>
        </w:rPr>
        <w:t xml:space="preserve">through a </w:t>
      </w:r>
      <w:r w:rsidR="00FB4152">
        <w:rPr>
          <w:rFonts w:cs="Arial"/>
        </w:rPr>
        <w:t>variety</w:t>
      </w:r>
      <w:r w:rsidRPr="00260C51">
        <w:rPr>
          <w:rFonts w:cs="Arial"/>
        </w:rPr>
        <w:t xml:space="preserve"> of </w:t>
      </w:r>
      <w:r w:rsidR="00FB4152">
        <w:rPr>
          <w:rFonts w:cs="Arial"/>
        </w:rPr>
        <w:t xml:space="preserve">initiatives </w:t>
      </w:r>
      <w:r w:rsidR="00F03384">
        <w:rPr>
          <w:rFonts w:cs="Arial"/>
        </w:rPr>
        <w:t xml:space="preserve">that raise </w:t>
      </w:r>
      <w:r w:rsidRPr="00260C51">
        <w:rPr>
          <w:rFonts w:cs="Arial"/>
        </w:rPr>
        <w:t xml:space="preserve">awareness </w:t>
      </w:r>
      <w:r w:rsidR="001F7AD5">
        <w:rPr>
          <w:rFonts w:cs="Arial"/>
        </w:rPr>
        <w:t xml:space="preserve">and encourage proactive approaches to </w:t>
      </w:r>
      <w:r w:rsidRPr="00260C51">
        <w:rPr>
          <w:rFonts w:cs="Arial"/>
        </w:rPr>
        <w:t xml:space="preserve">mental and physical </w:t>
      </w:r>
      <w:r w:rsidR="00EA23F3">
        <w:rPr>
          <w:rFonts w:cs="Arial"/>
        </w:rPr>
        <w:t xml:space="preserve">wellbeing, </w:t>
      </w:r>
      <w:r w:rsidRPr="00260C51">
        <w:rPr>
          <w:rFonts w:cs="Arial"/>
        </w:rPr>
        <w:t>resilience</w:t>
      </w:r>
      <w:r w:rsidR="00972F36">
        <w:rPr>
          <w:rFonts w:cs="Arial"/>
        </w:rPr>
        <w:t xml:space="preserve"> and overall fitness</w:t>
      </w:r>
      <w:r w:rsidRPr="00260C51">
        <w:rPr>
          <w:rFonts w:cs="Arial"/>
        </w:rPr>
        <w:t xml:space="preserve">. </w:t>
      </w:r>
      <w:r w:rsidR="00972F36">
        <w:rPr>
          <w:rFonts w:cs="Arial"/>
        </w:rPr>
        <w:t>R</w:t>
      </w:r>
      <w:r w:rsidRPr="00AB207D">
        <w:rPr>
          <w:rFonts w:cs="Arial"/>
        </w:rPr>
        <w:t xml:space="preserve">egular activities </w:t>
      </w:r>
      <w:r w:rsidR="00972F36">
        <w:rPr>
          <w:rFonts w:cs="Arial"/>
        </w:rPr>
        <w:t xml:space="preserve">include </w:t>
      </w:r>
      <w:r w:rsidRPr="00AB207D">
        <w:rPr>
          <w:rFonts w:cs="Arial"/>
        </w:rPr>
        <w:t xml:space="preserve">weekly Workplace Wellness Walks and </w:t>
      </w:r>
      <w:r w:rsidR="00AB7DC3">
        <w:rPr>
          <w:rFonts w:cs="Arial"/>
        </w:rPr>
        <w:t xml:space="preserve">active </w:t>
      </w:r>
      <w:r w:rsidRPr="00AB207D">
        <w:rPr>
          <w:rFonts w:cs="Arial"/>
        </w:rPr>
        <w:t>participat</w:t>
      </w:r>
      <w:r>
        <w:rPr>
          <w:rFonts w:cs="Arial"/>
        </w:rPr>
        <w:t>i</w:t>
      </w:r>
      <w:r w:rsidR="00AB7DC3">
        <w:rPr>
          <w:rFonts w:cs="Arial"/>
        </w:rPr>
        <w:t xml:space="preserve">on </w:t>
      </w:r>
      <w:r w:rsidRPr="00AB207D">
        <w:rPr>
          <w:rFonts w:cs="Arial"/>
        </w:rPr>
        <w:t xml:space="preserve">in branch meetings and </w:t>
      </w:r>
      <w:r w:rsidR="00AB7DC3">
        <w:rPr>
          <w:rFonts w:cs="Arial"/>
        </w:rPr>
        <w:t xml:space="preserve">staff </w:t>
      </w:r>
      <w:r w:rsidRPr="00AB207D">
        <w:rPr>
          <w:rFonts w:cs="Arial"/>
        </w:rPr>
        <w:t xml:space="preserve">onboarding sessions, where members </w:t>
      </w:r>
      <w:r w:rsidR="001D6274">
        <w:rPr>
          <w:rFonts w:cs="Arial"/>
        </w:rPr>
        <w:t xml:space="preserve">share </w:t>
      </w:r>
      <w:r w:rsidR="00832634">
        <w:rPr>
          <w:rFonts w:cs="Arial"/>
        </w:rPr>
        <w:t xml:space="preserve">the </w:t>
      </w:r>
      <w:r w:rsidR="001D6274">
        <w:rPr>
          <w:rFonts w:cs="Arial"/>
        </w:rPr>
        <w:t xml:space="preserve">purpose of the </w:t>
      </w:r>
      <w:r w:rsidR="008050A5">
        <w:rPr>
          <w:rFonts w:cs="Arial"/>
        </w:rPr>
        <w:t>n</w:t>
      </w:r>
      <w:r w:rsidRPr="00AB207D">
        <w:rPr>
          <w:rFonts w:cs="Arial"/>
        </w:rPr>
        <w:t xml:space="preserve">etwork and encourage </w:t>
      </w:r>
      <w:r w:rsidR="005413AF">
        <w:rPr>
          <w:rFonts w:cs="Arial"/>
        </w:rPr>
        <w:t xml:space="preserve">wider </w:t>
      </w:r>
      <w:r w:rsidRPr="00AB207D">
        <w:rPr>
          <w:rFonts w:cs="Arial"/>
        </w:rPr>
        <w:t>staff engagement.</w:t>
      </w:r>
    </w:p>
    <w:p w14:paraId="1B15DD6D" w14:textId="229452B2" w:rsidR="000901CD" w:rsidRDefault="00CA1A1D" w:rsidP="00E94621">
      <w:pPr>
        <w:spacing w:before="120" w:after="120"/>
        <w:rPr>
          <w:rFonts w:cs="Arial"/>
        </w:rPr>
      </w:pPr>
      <w:r>
        <w:rPr>
          <w:rFonts w:cs="Arial"/>
        </w:rPr>
        <w:t>In</w:t>
      </w:r>
      <w:r w:rsidR="008451FD" w:rsidRPr="00D740AF">
        <w:rPr>
          <w:rFonts w:cs="Arial"/>
        </w:rPr>
        <w:t xml:space="preserve"> 2024–25, the</w:t>
      </w:r>
      <w:r w:rsidR="001B29D1">
        <w:rPr>
          <w:rFonts w:cs="Arial"/>
        </w:rPr>
        <w:t xml:space="preserve"> n</w:t>
      </w:r>
      <w:r w:rsidR="008451FD" w:rsidRPr="00D740AF">
        <w:rPr>
          <w:rFonts w:cs="Arial"/>
        </w:rPr>
        <w:t xml:space="preserve">etwork expanded its </w:t>
      </w:r>
      <w:r w:rsidR="001B29D1">
        <w:rPr>
          <w:rFonts w:cs="Arial"/>
        </w:rPr>
        <w:t xml:space="preserve">popular </w:t>
      </w:r>
      <w:r w:rsidR="008451FD" w:rsidRPr="00D740AF">
        <w:rPr>
          <w:rFonts w:cs="Arial"/>
        </w:rPr>
        <w:t xml:space="preserve">Paws and Pat sessions to regional offices, </w:t>
      </w:r>
      <w:r w:rsidR="00F96334">
        <w:rPr>
          <w:rFonts w:cs="Arial"/>
        </w:rPr>
        <w:t xml:space="preserve">giving </w:t>
      </w:r>
      <w:r w:rsidR="008451FD" w:rsidRPr="00D740AF">
        <w:rPr>
          <w:rFonts w:cs="Arial"/>
        </w:rPr>
        <w:t xml:space="preserve">more </w:t>
      </w:r>
      <w:r w:rsidR="00F96334">
        <w:rPr>
          <w:rFonts w:cs="Arial"/>
        </w:rPr>
        <w:t xml:space="preserve">employees the opportunity </w:t>
      </w:r>
      <w:r w:rsidR="00907EB6">
        <w:rPr>
          <w:rFonts w:cs="Arial"/>
        </w:rPr>
        <w:t xml:space="preserve">to experience the </w:t>
      </w:r>
      <w:r w:rsidR="008451FD" w:rsidRPr="00D740AF">
        <w:rPr>
          <w:rFonts w:cs="Arial"/>
        </w:rPr>
        <w:t>therap</w:t>
      </w:r>
      <w:r w:rsidR="009220E1">
        <w:rPr>
          <w:rFonts w:cs="Arial"/>
        </w:rPr>
        <w:t>e</w:t>
      </w:r>
      <w:r w:rsidR="00907EB6">
        <w:rPr>
          <w:rFonts w:cs="Arial"/>
        </w:rPr>
        <w:t>utic</w:t>
      </w:r>
      <w:r w:rsidR="009220E1">
        <w:rPr>
          <w:rFonts w:cs="Arial"/>
        </w:rPr>
        <w:t xml:space="preserve"> benefits of interacting with accredited therapy </w:t>
      </w:r>
      <w:r w:rsidR="008451FD" w:rsidRPr="00D740AF">
        <w:rPr>
          <w:rFonts w:cs="Arial"/>
        </w:rPr>
        <w:t>dog</w:t>
      </w:r>
      <w:r w:rsidR="00AB127C">
        <w:rPr>
          <w:rFonts w:cs="Arial"/>
        </w:rPr>
        <w:t>s</w:t>
      </w:r>
      <w:r w:rsidR="001D7FB8">
        <w:rPr>
          <w:rFonts w:cs="Arial"/>
        </w:rPr>
        <w:t xml:space="preserve"> and their </w:t>
      </w:r>
      <w:r w:rsidR="0024778E">
        <w:rPr>
          <w:rFonts w:cs="Arial"/>
        </w:rPr>
        <w:t xml:space="preserve">handlers in a relaxed </w:t>
      </w:r>
      <w:r w:rsidR="00DC6712">
        <w:rPr>
          <w:rFonts w:cs="Arial"/>
        </w:rPr>
        <w:t xml:space="preserve">and </w:t>
      </w:r>
      <w:r w:rsidR="0024778E">
        <w:rPr>
          <w:rFonts w:cs="Arial"/>
        </w:rPr>
        <w:t>supportive setting</w:t>
      </w:r>
      <w:r w:rsidR="008451FD">
        <w:rPr>
          <w:rFonts w:cs="Arial"/>
        </w:rPr>
        <w:t>.</w:t>
      </w:r>
      <w:r w:rsidR="0089771D">
        <w:rPr>
          <w:rFonts w:cs="Arial"/>
        </w:rPr>
        <w:t xml:space="preserve"> </w:t>
      </w:r>
      <w:r w:rsidR="008451FD" w:rsidRPr="00096A7D">
        <w:rPr>
          <w:rFonts w:cs="Arial"/>
        </w:rPr>
        <w:t>T</w:t>
      </w:r>
      <w:r w:rsidR="008451FD" w:rsidRPr="004F0B02">
        <w:rPr>
          <w:rFonts w:cs="Arial"/>
        </w:rPr>
        <w:t xml:space="preserve">he </w:t>
      </w:r>
      <w:r w:rsidR="00D87D81">
        <w:rPr>
          <w:rFonts w:cs="Arial"/>
        </w:rPr>
        <w:t>n</w:t>
      </w:r>
      <w:r w:rsidR="008451FD" w:rsidRPr="004F0B02">
        <w:rPr>
          <w:rFonts w:cs="Arial"/>
        </w:rPr>
        <w:t>etwork</w:t>
      </w:r>
      <w:r w:rsidR="008451FD" w:rsidRPr="00096A7D">
        <w:rPr>
          <w:rFonts w:cs="Arial"/>
        </w:rPr>
        <w:t xml:space="preserve"> </w:t>
      </w:r>
      <w:r w:rsidR="00D87D81">
        <w:rPr>
          <w:rFonts w:cs="Arial"/>
        </w:rPr>
        <w:t xml:space="preserve">also led a range of initiatives </w:t>
      </w:r>
      <w:r w:rsidR="00F61BD2">
        <w:rPr>
          <w:rFonts w:cs="Arial"/>
        </w:rPr>
        <w:t xml:space="preserve">during </w:t>
      </w:r>
      <w:r w:rsidR="00FE1099">
        <w:rPr>
          <w:rFonts w:cs="Arial"/>
        </w:rPr>
        <w:t>N</w:t>
      </w:r>
      <w:r w:rsidR="008451FD" w:rsidRPr="004F0B02">
        <w:rPr>
          <w:rFonts w:cs="Arial"/>
        </w:rPr>
        <w:t xml:space="preserve">eurodiversity </w:t>
      </w:r>
      <w:r w:rsidR="00FE1099">
        <w:rPr>
          <w:rFonts w:cs="Arial"/>
        </w:rPr>
        <w:t>W</w:t>
      </w:r>
      <w:r w:rsidR="008451FD" w:rsidRPr="004F0B02">
        <w:rPr>
          <w:rFonts w:cs="Arial"/>
        </w:rPr>
        <w:t>eek</w:t>
      </w:r>
      <w:r w:rsidR="00883E24">
        <w:rPr>
          <w:rFonts w:cs="Arial"/>
        </w:rPr>
        <w:t>,</w:t>
      </w:r>
      <w:r w:rsidR="0031268B">
        <w:rPr>
          <w:rFonts w:cs="Arial"/>
        </w:rPr>
        <w:t xml:space="preserve"> including </w:t>
      </w:r>
      <w:r w:rsidR="00567B6C">
        <w:rPr>
          <w:rFonts w:cs="Arial"/>
        </w:rPr>
        <w:t xml:space="preserve">the </w:t>
      </w:r>
      <w:r w:rsidR="008451FD">
        <w:rPr>
          <w:rFonts w:cs="Arial"/>
        </w:rPr>
        <w:t>publi</w:t>
      </w:r>
      <w:r w:rsidR="00567B6C">
        <w:rPr>
          <w:rFonts w:cs="Arial"/>
        </w:rPr>
        <w:t xml:space="preserve">cation of employee </w:t>
      </w:r>
      <w:r w:rsidR="00623E00">
        <w:rPr>
          <w:rFonts w:cs="Arial"/>
        </w:rPr>
        <w:t xml:space="preserve">stories </w:t>
      </w:r>
      <w:r w:rsidR="0064079A">
        <w:rPr>
          <w:rFonts w:cs="Arial"/>
        </w:rPr>
        <w:t xml:space="preserve">that shared </w:t>
      </w:r>
      <w:r w:rsidR="00E76F11">
        <w:rPr>
          <w:rFonts w:cs="Arial"/>
        </w:rPr>
        <w:t xml:space="preserve">lived </w:t>
      </w:r>
      <w:r w:rsidR="008451FD" w:rsidRPr="004F0B02">
        <w:rPr>
          <w:rFonts w:cs="Arial"/>
        </w:rPr>
        <w:t xml:space="preserve">experiences. </w:t>
      </w:r>
      <w:r w:rsidR="00BD2D82">
        <w:rPr>
          <w:rFonts w:cs="Arial"/>
        </w:rPr>
        <w:t xml:space="preserve">In April </w:t>
      </w:r>
      <w:r w:rsidR="00963B70">
        <w:rPr>
          <w:rFonts w:cs="Arial"/>
        </w:rPr>
        <w:t>2025, t</w:t>
      </w:r>
      <w:r w:rsidR="008451FD">
        <w:rPr>
          <w:rFonts w:cs="Arial"/>
        </w:rPr>
        <w:t xml:space="preserve">he </w:t>
      </w:r>
      <w:r w:rsidR="00963B70">
        <w:rPr>
          <w:rFonts w:cs="Arial"/>
        </w:rPr>
        <w:t>n</w:t>
      </w:r>
      <w:r w:rsidR="008451FD">
        <w:rPr>
          <w:rFonts w:cs="Arial"/>
        </w:rPr>
        <w:t xml:space="preserve">etwork </w:t>
      </w:r>
      <w:r w:rsidR="00963B70">
        <w:rPr>
          <w:rFonts w:cs="Arial"/>
        </w:rPr>
        <w:t xml:space="preserve">partnered with </w:t>
      </w:r>
      <w:r w:rsidR="005E335D">
        <w:rPr>
          <w:rFonts w:cs="Arial"/>
        </w:rPr>
        <w:t>G</w:t>
      </w:r>
      <w:r w:rsidR="008451FD" w:rsidRPr="004F0B02">
        <w:rPr>
          <w:rFonts w:cs="Arial"/>
        </w:rPr>
        <w:t xml:space="preserve">uide Dogs Queensland </w:t>
      </w:r>
      <w:r w:rsidR="005E335D">
        <w:rPr>
          <w:rFonts w:cs="Arial"/>
        </w:rPr>
        <w:t>to</w:t>
      </w:r>
      <w:r w:rsidR="008451FD" w:rsidRPr="004F0B02">
        <w:rPr>
          <w:rFonts w:cs="Arial"/>
        </w:rPr>
        <w:t xml:space="preserve"> </w:t>
      </w:r>
      <w:r w:rsidR="005E335D">
        <w:rPr>
          <w:rFonts w:cs="Arial"/>
        </w:rPr>
        <w:t xml:space="preserve">host </w:t>
      </w:r>
      <w:r w:rsidR="00264A60">
        <w:rPr>
          <w:rFonts w:cs="Arial"/>
        </w:rPr>
        <w:t>workplace visits that highlighted the importance of accessibility, inclusion and</w:t>
      </w:r>
      <w:r w:rsidR="00910ABF">
        <w:rPr>
          <w:rFonts w:cs="Arial"/>
        </w:rPr>
        <w:t xml:space="preserve"> support</w:t>
      </w:r>
      <w:r w:rsidR="008451FD" w:rsidRPr="004F0B02">
        <w:rPr>
          <w:rFonts w:cs="Arial"/>
        </w:rPr>
        <w:t>.</w:t>
      </w:r>
    </w:p>
    <w:p w14:paraId="7DCEA91C" w14:textId="77777777" w:rsidR="00044523" w:rsidRPr="00FE07C4" w:rsidRDefault="00044523" w:rsidP="00FE07C4">
      <w:pPr>
        <w:pStyle w:val="Heading4"/>
        <w:rPr>
          <w:rStyle w:val="Heading4Char"/>
          <w:b/>
          <w:iCs/>
          <w:sz w:val="22"/>
        </w:rPr>
      </w:pPr>
      <w:bookmarkStart w:id="267" w:name="_Early_retirement_redundancy"/>
      <w:bookmarkEnd w:id="267"/>
      <w:r w:rsidRPr="00FE07C4">
        <w:rPr>
          <w:rStyle w:val="Heading4Char"/>
          <w:b/>
          <w:iCs/>
          <w:sz w:val="22"/>
        </w:rPr>
        <w:t xml:space="preserve">Early retirement, redundancy and retrenchment  </w:t>
      </w:r>
    </w:p>
    <w:p w14:paraId="5321C67C" w14:textId="761E8499" w:rsidR="00CF791E" w:rsidRPr="00F33855" w:rsidRDefault="00FE1E33" w:rsidP="00D850B1">
      <w:pPr>
        <w:spacing w:before="120" w:after="120"/>
        <w:rPr>
          <w:rFonts w:cs="Arial"/>
        </w:rPr>
      </w:pPr>
      <w:r w:rsidRPr="20BE9D8C">
        <w:rPr>
          <w:rFonts w:cs="Arial"/>
        </w:rPr>
        <w:t xml:space="preserve">Effective </w:t>
      </w:r>
      <w:r w:rsidR="000D25F6" w:rsidRPr="20BE9D8C">
        <w:rPr>
          <w:rFonts w:cs="Arial"/>
        </w:rPr>
        <w:t>workforce management</w:t>
      </w:r>
      <w:r w:rsidR="00C54C37" w:rsidRPr="20BE9D8C">
        <w:rPr>
          <w:rFonts w:cs="Arial"/>
        </w:rPr>
        <w:t xml:space="preserve"> </w:t>
      </w:r>
      <w:r w:rsidRPr="20BE9D8C">
        <w:rPr>
          <w:rFonts w:cs="Arial"/>
        </w:rPr>
        <w:t xml:space="preserve">is essential for the QBCC to respond </w:t>
      </w:r>
      <w:r w:rsidR="00BF5136" w:rsidRPr="20BE9D8C">
        <w:rPr>
          <w:rFonts w:cs="Arial"/>
        </w:rPr>
        <w:t xml:space="preserve">to internal </w:t>
      </w:r>
      <w:r w:rsidR="009D52D7" w:rsidRPr="20BE9D8C">
        <w:rPr>
          <w:rFonts w:cs="Arial"/>
        </w:rPr>
        <w:t xml:space="preserve">employment </w:t>
      </w:r>
      <w:r w:rsidR="00BF5136" w:rsidRPr="20BE9D8C">
        <w:rPr>
          <w:rFonts w:cs="Arial"/>
        </w:rPr>
        <w:t>changes</w:t>
      </w:r>
      <w:r w:rsidRPr="20BE9D8C">
        <w:rPr>
          <w:rFonts w:cs="Arial"/>
        </w:rPr>
        <w:t xml:space="preserve"> while</w:t>
      </w:r>
      <w:r w:rsidR="009C4734" w:rsidRPr="20BE9D8C">
        <w:rPr>
          <w:rFonts w:cs="Arial"/>
        </w:rPr>
        <w:t xml:space="preserve"> maintaining </w:t>
      </w:r>
      <w:r w:rsidRPr="20BE9D8C">
        <w:rPr>
          <w:rFonts w:cs="Arial"/>
        </w:rPr>
        <w:t xml:space="preserve">staff </w:t>
      </w:r>
      <w:r w:rsidR="009C4734" w:rsidRPr="20BE9D8C">
        <w:rPr>
          <w:rFonts w:cs="Arial"/>
        </w:rPr>
        <w:t xml:space="preserve">morale and upholding </w:t>
      </w:r>
      <w:r w:rsidRPr="20BE9D8C">
        <w:rPr>
          <w:rFonts w:cs="Arial"/>
        </w:rPr>
        <w:t xml:space="preserve">its </w:t>
      </w:r>
      <w:r w:rsidR="009C4734" w:rsidRPr="20BE9D8C">
        <w:rPr>
          <w:rFonts w:cs="Arial"/>
        </w:rPr>
        <w:t xml:space="preserve">commitment to </w:t>
      </w:r>
      <w:r w:rsidRPr="20BE9D8C">
        <w:rPr>
          <w:rFonts w:cs="Arial"/>
        </w:rPr>
        <w:t>a respectful and supportive culture. Employee transitions, such as early</w:t>
      </w:r>
      <w:r w:rsidR="007453EA" w:rsidRPr="20BE9D8C">
        <w:rPr>
          <w:rFonts w:cs="Arial"/>
        </w:rPr>
        <w:t xml:space="preserve"> r</w:t>
      </w:r>
      <w:r w:rsidR="003A17A5" w:rsidRPr="20BE9D8C">
        <w:rPr>
          <w:rFonts w:cs="Arial"/>
        </w:rPr>
        <w:t>etirement, redundancy and retrenchment</w:t>
      </w:r>
      <w:r w:rsidRPr="20BE9D8C">
        <w:rPr>
          <w:rFonts w:cs="Arial"/>
        </w:rPr>
        <w:t>,</w:t>
      </w:r>
      <w:r w:rsidR="003A17A5" w:rsidRPr="20BE9D8C">
        <w:rPr>
          <w:rFonts w:cs="Arial"/>
        </w:rPr>
        <w:t xml:space="preserve"> are significant </w:t>
      </w:r>
      <w:r w:rsidRPr="20BE9D8C">
        <w:rPr>
          <w:rFonts w:cs="Arial"/>
        </w:rPr>
        <w:t xml:space="preserve">events </w:t>
      </w:r>
      <w:r w:rsidR="003A17A5" w:rsidRPr="20BE9D8C">
        <w:rPr>
          <w:rFonts w:cs="Arial"/>
        </w:rPr>
        <w:t xml:space="preserve">that can </w:t>
      </w:r>
      <w:r w:rsidRPr="20BE9D8C">
        <w:rPr>
          <w:rFonts w:cs="Arial"/>
        </w:rPr>
        <w:t>impact</w:t>
      </w:r>
      <w:r w:rsidR="003A17A5" w:rsidRPr="20BE9D8C">
        <w:rPr>
          <w:rFonts w:cs="Arial"/>
        </w:rPr>
        <w:t xml:space="preserve"> both </w:t>
      </w:r>
      <w:r w:rsidRPr="20BE9D8C">
        <w:rPr>
          <w:rFonts w:cs="Arial"/>
        </w:rPr>
        <w:t>individuals</w:t>
      </w:r>
      <w:r w:rsidR="003A17A5" w:rsidRPr="20BE9D8C">
        <w:rPr>
          <w:rFonts w:cs="Arial"/>
        </w:rPr>
        <w:t xml:space="preserve"> and the </w:t>
      </w:r>
      <w:r w:rsidRPr="20BE9D8C">
        <w:rPr>
          <w:rFonts w:cs="Arial"/>
        </w:rPr>
        <w:t>broader organisation.</w:t>
      </w:r>
      <w:r w:rsidR="003A17A5" w:rsidRPr="20BE9D8C">
        <w:rPr>
          <w:rFonts w:cs="Arial"/>
        </w:rPr>
        <w:t xml:space="preserve"> </w:t>
      </w:r>
      <w:r w:rsidR="00DF4994" w:rsidRPr="20BE9D8C">
        <w:rPr>
          <w:rFonts w:cs="Arial"/>
        </w:rPr>
        <w:t>Supporting staff throughout these processes is vital to maintaining trust, morale and alignment with the organisation’s values. With clear policies and procedures in place, the QBCC ensures that these transitions are managed with transparency, fairness and care.</w:t>
      </w:r>
      <w:r w:rsidR="003F4300" w:rsidRPr="20BE9D8C">
        <w:rPr>
          <w:rFonts w:cs="Arial"/>
        </w:rPr>
        <w:t xml:space="preserve"> </w:t>
      </w:r>
      <w:r w:rsidR="009D4007" w:rsidRPr="20BE9D8C">
        <w:rPr>
          <w:rFonts w:cs="Arial"/>
        </w:rPr>
        <w:t>No</w:t>
      </w:r>
      <w:r w:rsidR="000B4D35" w:rsidRPr="20BE9D8C">
        <w:rPr>
          <w:rFonts w:cs="Arial"/>
        </w:rPr>
        <w:t xml:space="preserve"> </w:t>
      </w:r>
      <w:r w:rsidR="000A6EA1" w:rsidRPr="20BE9D8C">
        <w:rPr>
          <w:rFonts w:cs="Arial"/>
        </w:rPr>
        <w:t>redundancy</w:t>
      </w:r>
      <w:r w:rsidR="00BA6F67" w:rsidRPr="20BE9D8C">
        <w:rPr>
          <w:rFonts w:cs="Arial"/>
        </w:rPr>
        <w:t xml:space="preserve">, </w:t>
      </w:r>
      <w:r w:rsidR="000A6EA1" w:rsidRPr="20BE9D8C">
        <w:rPr>
          <w:rFonts w:cs="Arial"/>
        </w:rPr>
        <w:t>early retirement</w:t>
      </w:r>
      <w:r w:rsidR="00FD68C3" w:rsidRPr="20BE9D8C">
        <w:rPr>
          <w:rFonts w:cs="Arial"/>
        </w:rPr>
        <w:t xml:space="preserve"> or </w:t>
      </w:r>
      <w:r w:rsidR="000A6EA1" w:rsidRPr="20BE9D8C">
        <w:rPr>
          <w:rFonts w:cs="Arial"/>
        </w:rPr>
        <w:t>retrenchment packages</w:t>
      </w:r>
      <w:r w:rsidR="009D4007" w:rsidRPr="20BE9D8C">
        <w:rPr>
          <w:rFonts w:cs="Arial"/>
        </w:rPr>
        <w:t xml:space="preserve"> were paid during the period</w:t>
      </w:r>
      <w:r w:rsidR="00E21EBA" w:rsidRPr="20BE9D8C">
        <w:rPr>
          <w:rFonts w:cs="Arial"/>
        </w:rPr>
        <w:t>.</w:t>
      </w:r>
      <w:bookmarkStart w:id="268" w:name="_Governance_and_accountability"/>
      <w:bookmarkEnd w:id="268"/>
      <w:r w:rsidR="00CF791E">
        <w:br w:type="page"/>
      </w:r>
    </w:p>
    <w:p w14:paraId="6A913B18" w14:textId="2734586B" w:rsidR="004341FB" w:rsidRDefault="006D4282" w:rsidP="00F75018">
      <w:pPr>
        <w:pStyle w:val="Heading2"/>
      </w:pPr>
      <w:bookmarkStart w:id="269" w:name="_Toc206493023"/>
      <w:r w:rsidRPr="00097695">
        <w:lastRenderedPageBreak/>
        <w:t>Governance and accountability</w:t>
      </w:r>
      <w:bookmarkEnd w:id="269"/>
    </w:p>
    <w:p w14:paraId="7A5944FF" w14:textId="2702EF38" w:rsidR="00E537C2" w:rsidRPr="00D850B1" w:rsidRDefault="005C7DB1" w:rsidP="00D850B1">
      <w:pPr>
        <w:spacing w:before="120" w:after="120"/>
        <w:rPr>
          <w:strike/>
        </w:rPr>
      </w:pPr>
      <w:r>
        <w:t xml:space="preserve">The QBCC’s </w:t>
      </w:r>
      <w:r w:rsidR="005C516C">
        <w:t xml:space="preserve">strong </w:t>
      </w:r>
      <w:r>
        <w:t xml:space="preserve">commitment to integrity and accountability is </w:t>
      </w:r>
      <w:r w:rsidR="005C516C">
        <w:t>reflected</w:t>
      </w:r>
      <w:r w:rsidR="00600049">
        <w:t xml:space="preserve"> in </w:t>
      </w:r>
      <w:r>
        <w:t xml:space="preserve">its </w:t>
      </w:r>
      <w:r w:rsidR="00600049">
        <w:t>comprehensive</w:t>
      </w:r>
      <w:r w:rsidR="00C57F82">
        <w:t xml:space="preserve"> C</w:t>
      </w:r>
      <w:r w:rsidR="000A639B">
        <w:t>or</w:t>
      </w:r>
      <w:r w:rsidR="00C57F82">
        <w:t>porate</w:t>
      </w:r>
      <w:r w:rsidR="000F4DFB">
        <w:t xml:space="preserve"> </w:t>
      </w:r>
      <w:r w:rsidR="00C57F82">
        <w:t>G</w:t>
      </w:r>
      <w:r w:rsidR="00CD57FE">
        <w:t xml:space="preserve">overnance </w:t>
      </w:r>
      <w:r w:rsidR="00C57F82">
        <w:t>F</w:t>
      </w:r>
      <w:r w:rsidR="00CD57FE">
        <w:t>ramework, which</w:t>
      </w:r>
      <w:r>
        <w:t xml:space="preserve"> guides </w:t>
      </w:r>
      <w:r w:rsidR="00CD57FE">
        <w:t xml:space="preserve">every </w:t>
      </w:r>
      <w:r>
        <w:t>aspect</w:t>
      </w:r>
      <w:r w:rsidR="00CD57FE">
        <w:t xml:space="preserve"> </w:t>
      </w:r>
      <w:r>
        <w:t xml:space="preserve">of </w:t>
      </w:r>
      <w:r w:rsidR="00CD57FE">
        <w:t xml:space="preserve">the organisation’s </w:t>
      </w:r>
      <w:r>
        <w:t xml:space="preserve">operations. </w:t>
      </w:r>
      <w:r w:rsidR="00177301">
        <w:t>Released</w:t>
      </w:r>
      <w:r w:rsidR="00497139">
        <w:t xml:space="preserve"> in February 2025, </w:t>
      </w:r>
      <w:r w:rsidR="00E537C2">
        <w:t xml:space="preserve">the </w:t>
      </w:r>
      <w:r w:rsidR="00D574B5">
        <w:t xml:space="preserve">framework was </w:t>
      </w:r>
      <w:r w:rsidR="00E537C2">
        <w:t xml:space="preserve">developed in alignment with the </w:t>
      </w:r>
      <w:r w:rsidR="00E537C2" w:rsidRPr="001E0DA9">
        <w:rPr>
          <w:i/>
        </w:rPr>
        <w:t>Financial and Performance Management Standard 2019</w:t>
      </w:r>
      <w:r w:rsidR="00E537C2">
        <w:t xml:space="preserve"> and the Queensland Audit Office’s Leading Accountability – Governance better practice guide. </w:t>
      </w:r>
      <w:r w:rsidR="00BB380B">
        <w:t xml:space="preserve">Further </w:t>
      </w:r>
      <w:r w:rsidR="001361DB">
        <w:t>guidance come</w:t>
      </w:r>
      <w:r w:rsidR="0058096F">
        <w:t>s</w:t>
      </w:r>
      <w:r w:rsidR="001361DB">
        <w:t xml:space="preserve"> from </w:t>
      </w:r>
      <w:r w:rsidR="00E537C2">
        <w:t xml:space="preserve">the </w:t>
      </w:r>
      <w:r w:rsidR="00E537C2" w:rsidRPr="001E0DA9">
        <w:rPr>
          <w:i/>
        </w:rPr>
        <w:t>Public Sector Act 2022</w:t>
      </w:r>
      <w:r w:rsidR="00E43A25">
        <w:rPr>
          <w:i/>
        </w:rPr>
        <w:t xml:space="preserve"> </w:t>
      </w:r>
      <w:r w:rsidR="00E43A25">
        <w:rPr>
          <w:iCs/>
        </w:rPr>
        <w:t>(Qld)</w:t>
      </w:r>
      <w:r w:rsidR="00E537C2">
        <w:t xml:space="preserve">, the </w:t>
      </w:r>
      <w:r w:rsidR="00E537C2" w:rsidRPr="001E0DA9">
        <w:rPr>
          <w:i/>
        </w:rPr>
        <w:t>Public Sector Ethics Act 1994</w:t>
      </w:r>
      <w:r w:rsidR="00E537C2">
        <w:t xml:space="preserve"> </w:t>
      </w:r>
      <w:r w:rsidR="00A95415">
        <w:t xml:space="preserve">(Qld) </w:t>
      </w:r>
      <w:r w:rsidR="00E537C2">
        <w:t xml:space="preserve">and the </w:t>
      </w:r>
      <w:r w:rsidR="00E537C2" w:rsidRPr="001E0DA9">
        <w:rPr>
          <w:i/>
        </w:rPr>
        <w:t xml:space="preserve">Code of Conduct for the Queensland Public Service </w:t>
      </w:r>
      <w:r w:rsidR="00E537C2" w:rsidRPr="00F33855">
        <w:rPr>
          <w:iCs/>
        </w:rPr>
        <w:t>(Code of Conduct)</w:t>
      </w:r>
      <w:r w:rsidR="001361DB" w:rsidRPr="000A3031">
        <w:rPr>
          <w:iCs/>
        </w:rPr>
        <w:t>.</w:t>
      </w:r>
    </w:p>
    <w:p w14:paraId="7CB3BC9E" w14:textId="234E925F" w:rsidR="0061671B" w:rsidRPr="00496E68" w:rsidRDefault="004A5D74" w:rsidP="00FB5B22">
      <w:pPr>
        <w:spacing w:before="120" w:after="120"/>
        <w:rPr>
          <w:rFonts w:cs="Arial"/>
          <w:szCs w:val="22"/>
        </w:rPr>
      </w:pPr>
      <w:r>
        <w:rPr>
          <w:rFonts w:cs="Arial"/>
          <w:szCs w:val="22"/>
        </w:rPr>
        <w:t xml:space="preserve">Each </w:t>
      </w:r>
      <w:r w:rsidR="002A12CE" w:rsidRPr="00496E68">
        <w:rPr>
          <w:rFonts w:cs="Arial"/>
          <w:szCs w:val="22"/>
        </w:rPr>
        <w:t>element</w:t>
      </w:r>
      <w:r>
        <w:rPr>
          <w:rFonts w:cs="Arial"/>
          <w:szCs w:val="22"/>
        </w:rPr>
        <w:t xml:space="preserve"> is </w:t>
      </w:r>
      <w:r w:rsidR="002A12CE" w:rsidRPr="00496E68">
        <w:rPr>
          <w:rFonts w:cs="Arial"/>
          <w:szCs w:val="22"/>
        </w:rPr>
        <w:t>embedded across all operational areas of the QBCC</w:t>
      </w:r>
      <w:r w:rsidR="00745BD8">
        <w:rPr>
          <w:rFonts w:cs="Arial"/>
          <w:szCs w:val="22"/>
        </w:rPr>
        <w:t xml:space="preserve">, </w:t>
      </w:r>
      <w:r w:rsidR="00745BD8" w:rsidRPr="00745BD8">
        <w:rPr>
          <w:rFonts w:cs="Arial"/>
          <w:szCs w:val="22"/>
        </w:rPr>
        <w:t>provid</w:t>
      </w:r>
      <w:r w:rsidR="00745BD8">
        <w:rPr>
          <w:rFonts w:cs="Arial"/>
          <w:szCs w:val="22"/>
        </w:rPr>
        <w:t>ing</w:t>
      </w:r>
      <w:r w:rsidR="00745BD8" w:rsidRPr="00745BD8">
        <w:rPr>
          <w:rFonts w:cs="Arial"/>
          <w:szCs w:val="22"/>
        </w:rPr>
        <w:t xml:space="preserve"> a </w:t>
      </w:r>
      <w:r>
        <w:rPr>
          <w:rFonts w:cs="Arial"/>
          <w:szCs w:val="22"/>
        </w:rPr>
        <w:t xml:space="preserve">robust </w:t>
      </w:r>
      <w:r w:rsidR="00745BD8" w:rsidRPr="00745BD8">
        <w:rPr>
          <w:rFonts w:cs="Arial"/>
          <w:szCs w:val="22"/>
        </w:rPr>
        <w:t>foundation for clear accountability, effective oversight and sound decision</w:t>
      </w:r>
      <w:r w:rsidR="00745BD8">
        <w:rPr>
          <w:rFonts w:cs="Arial"/>
          <w:szCs w:val="22"/>
        </w:rPr>
        <w:t xml:space="preserve"> </w:t>
      </w:r>
      <w:r w:rsidR="00745BD8" w:rsidRPr="00745BD8">
        <w:rPr>
          <w:rFonts w:cs="Arial"/>
          <w:szCs w:val="22"/>
        </w:rPr>
        <w:t>making</w:t>
      </w:r>
      <w:r w:rsidR="00745BD8">
        <w:rPr>
          <w:rFonts w:cs="Arial"/>
          <w:szCs w:val="22"/>
        </w:rPr>
        <w:t xml:space="preserve">. </w:t>
      </w:r>
      <w:r w:rsidR="008C430C">
        <w:rPr>
          <w:rFonts w:cs="Arial"/>
          <w:szCs w:val="22"/>
        </w:rPr>
        <w:t>The</w:t>
      </w:r>
      <w:r w:rsidR="00286FCB">
        <w:rPr>
          <w:rFonts w:cs="Arial"/>
          <w:szCs w:val="22"/>
        </w:rPr>
        <w:t xml:space="preserve"> integration of these elements enables </w:t>
      </w:r>
      <w:r w:rsidR="00BF51A3">
        <w:rPr>
          <w:rFonts w:cs="Arial"/>
          <w:szCs w:val="22"/>
        </w:rPr>
        <w:t xml:space="preserve">the QBCC to </w:t>
      </w:r>
      <w:r w:rsidR="00CF62A6">
        <w:t>uphold</w:t>
      </w:r>
      <w:r w:rsidR="00BF51A3">
        <w:t xml:space="preserve"> </w:t>
      </w:r>
      <w:r w:rsidR="005C7DB1">
        <w:t>high ethical standards</w:t>
      </w:r>
      <w:r w:rsidR="007257CF">
        <w:t xml:space="preserve"> and e</w:t>
      </w:r>
      <w:r w:rsidR="005C7DB1">
        <w:t>nsur</w:t>
      </w:r>
      <w:r w:rsidR="00BF51A3">
        <w:t>e</w:t>
      </w:r>
      <w:r w:rsidR="005C7DB1">
        <w:t xml:space="preserve"> </w:t>
      </w:r>
      <w:r w:rsidR="007257CF">
        <w:t>all actions</w:t>
      </w:r>
      <w:r w:rsidR="005C7DB1">
        <w:t xml:space="preserve"> </w:t>
      </w:r>
      <w:r w:rsidR="00286FCB">
        <w:t xml:space="preserve">and decisions </w:t>
      </w:r>
      <w:r w:rsidR="00E80652">
        <w:t>align</w:t>
      </w:r>
      <w:r w:rsidR="008C1E0E">
        <w:t xml:space="preserve"> with the</w:t>
      </w:r>
      <w:r w:rsidR="00884217">
        <w:t xml:space="preserve"> organisation’s </w:t>
      </w:r>
      <w:r w:rsidR="008C1E0E">
        <w:t>core</w:t>
      </w:r>
      <w:r w:rsidR="005C7DB1">
        <w:t xml:space="preserve"> values and objectives</w:t>
      </w:r>
      <w:r w:rsidR="005D7D2D">
        <w:t xml:space="preserve">, as well as the </w:t>
      </w:r>
      <w:r w:rsidR="00194C76" w:rsidRPr="00194C76">
        <w:t>broader Queensland Government’s objectives for the community</w:t>
      </w:r>
      <w:r w:rsidR="00560785" w:rsidRPr="00D850B1">
        <w:t>.</w:t>
      </w:r>
      <w:r w:rsidR="005C7DB1" w:rsidRPr="00D850B1">
        <w:rPr>
          <w:strike/>
        </w:rPr>
        <w:t xml:space="preserve"> </w:t>
      </w:r>
    </w:p>
    <w:p w14:paraId="658E51DC" w14:textId="1856CC30" w:rsidR="00823645" w:rsidRDefault="009C3B6D" w:rsidP="00F01751">
      <w:pPr>
        <w:pStyle w:val="Heading3"/>
      </w:pPr>
      <w:bookmarkStart w:id="270" w:name="_Risk_management"/>
      <w:bookmarkEnd w:id="270"/>
      <w:r w:rsidRPr="00097695">
        <w:t xml:space="preserve">Risk </w:t>
      </w:r>
      <w:r w:rsidR="00497E42">
        <w:t>m</w:t>
      </w:r>
      <w:r w:rsidRPr="00097695">
        <w:t>anagement</w:t>
      </w:r>
      <w:r w:rsidR="0005107C">
        <w:t xml:space="preserve">  </w:t>
      </w:r>
    </w:p>
    <w:p w14:paraId="311448AF" w14:textId="203BC651" w:rsidR="00B85463" w:rsidRDefault="00FF18EF" w:rsidP="00C65734">
      <w:pPr>
        <w:spacing w:before="120" w:after="120"/>
        <w:rPr>
          <w:rFonts w:cs="Arial"/>
          <w:szCs w:val="22"/>
        </w:rPr>
      </w:pPr>
      <w:r>
        <w:rPr>
          <w:rFonts w:cs="Arial"/>
          <w:szCs w:val="22"/>
        </w:rPr>
        <w:t xml:space="preserve">In accordance with the </w:t>
      </w:r>
      <w:r w:rsidR="001F72D5" w:rsidRPr="00A40C6E">
        <w:rPr>
          <w:rFonts w:cs="Arial"/>
          <w:i/>
          <w:iCs/>
          <w:szCs w:val="22"/>
        </w:rPr>
        <w:t>Financial</w:t>
      </w:r>
      <w:r w:rsidR="001F72D5" w:rsidRPr="00FF13E9">
        <w:rPr>
          <w:rFonts w:cs="Arial"/>
          <w:i/>
          <w:iCs/>
          <w:szCs w:val="22"/>
        </w:rPr>
        <w:t xml:space="preserve"> </w:t>
      </w:r>
      <w:r w:rsidR="001F72D5">
        <w:rPr>
          <w:rFonts w:cs="Arial"/>
          <w:i/>
          <w:iCs/>
          <w:szCs w:val="22"/>
        </w:rPr>
        <w:t>Accountability Act 2009</w:t>
      </w:r>
      <w:r w:rsidR="001F72D5" w:rsidRPr="00A40C6E">
        <w:rPr>
          <w:rFonts w:cs="Arial"/>
          <w:szCs w:val="22"/>
        </w:rPr>
        <w:t xml:space="preserve"> and </w:t>
      </w:r>
      <w:r w:rsidR="001F72D5" w:rsidRPr="007F2DCD">
        <w:rPr>
          <w:rFonts w:cs="Arial"/>
          <w:i/>
          <w:szCs w:val="22"/>
        </w:rPr>
        <w:t>Financial Performance Management Standard 2019</w:t>
      </w:r>
      <w:r w:rsidR="00897EF1">
        <w:rPr>
          <w:rFonts w:cs="Arial"/>
          <w:szCs w:val="22"/>
        </w:rPr>
        <w:t>, the QBCC</w:t>
      </w:r>
      <w:r w:rsidR="0021649B">
        <w:rPr>
          <w:rFonts w:cs="Arial"/>
          <w:szCs w:val="22"/>
        </w:rPr>
        <w:t xml:space="preserve"> </w:t>
      </w:r>
      <w:r w:rsidR="00897EF1">
        <w:rPr>
          <w:rFonts w:cs="Arial"/>
          <w:szCs w:val="22"/>
        </w:rPr>
        <w:t>maintain</w:t>
      </w:r>
      <w:r w:rsidR="0021649B">
        <w:rPr>
          <w:rFonts w:cs="Arial"/>
          <w:szCs w:val="22"/>
        </w:rPr>
        <w:t xml:space="preserve">s </w:t>
      </w:r>
      <w:r w:rsidR="00897EF1">
        <w:rPr>
          <w:rFonts w:cs="Arial"/>
          <w:szCs w:val="22"/>
        </w:rPr>
        <w:t xml:space="preserve">a </w:t>
      </w:r>
      <w:r w:rsidR="0021649B">
        <w:rPr>
          <w:rFonts w:cs="Arial"/>
          <w:szCs w:val="22"/>
        </w:rPr>
        <w:t xml:space="preserve">comprehensive </w:t>
      </w:r>
      <w:r w:rsidR="00B61F8E">
        <w:rPr>
          <w:rFonts w:cs="Arial"/>
          <w:szCs w:val="22"/>
        </w:rPr>
        <w:t xml:space="preserve">system for </w:t>
      </w:r>
      <w:r w:rsidR="00897EF1">
        <w:rPr>
          <w:rFonts w:cs="Arial"/>
          <w:szCs w:val="22"/>
        </w:rPr>
        <w:t>manag</w:t>
      </w:r>
      <w:r w:rsidR="00B61F8E">
        <w:rPr>
          <w:rFonts w:cs="Arial"/>
          <w:szCs w:val="22"/>
        </w:rPr>
        <w:t xml:space="preserve">ing both </w:t>
      </w:r>
      <w:r w:rsidR="00F26827">
        <w:rPr>
          <w:rFonts w:cs="Arial"/>
          <w:szCs w:val="22"/>
        </w:rPr>
        <w:t>strategic and operational risks.</w:t>
      </w:r>
      <w:r w:rsidR="002620D0">
        <w:rPr>
          <w:rFonts w:cs="Arial"/>
          <w:szCs w:val="22"/>
        </w:rPr>
        <w:t xml:space="preserve"> </w:t>
      </w:r>
      <w:r w:rsidR="007B3B26">
        <w:rPr>
          <w:rFonts w:cs="Arial"/>
          <w:szCs w:val="22"/>
        </w:rPr>
        <w:t xml:space="preserve">In </w:t>
      </w:r>
      <w:r w:rsidR="007B3B26" w:rsidRPr="00496E68">
        <w:rPr>
          <w:rFonts w:cs="Arial"/>
          <w:szCs w:val="22"/>
        </w:rPr>
        <w:t>2024</w:t>
      </w:r>
      <w:r w:rsidR="007B3B26">
        <w:rPr>
          <w:rFonts w:cs="Arial"/>
          <w:szCs w:val="22"/>
        </w:rPr>
        <w:t>–</w:t>
      </w:r>
      <w:r w:rsidR="007B3B26" w:rsidRPr="00496E68">
        <w:rPr>
          <w:rFonts w:cs="Arial"/>
          <w:szCs w:val="22"/>
        </w:rPr>
        <w:t xml:space="preserve">25, the QBCC </w:t>
      </w:r>
      <w:r w:rsidR="00B61F8E">
        <w:rPr>
          <w:rFonts w:cs="Arial"/>
          <w:szCs w:val="22"/>
        </w:rPr>
        <w:t xml:space="preserve">further </w:t>
      </w:r>
      <w:r w:rsidR="007B3B26" w:rsidRPr="00496E68">
        <w:rPr>
          <w:rFonts w:cs="Arial"/>
          <w:szCs w:val="22"/>
        </w:rPr>
        <w:t>strengthen</w:t>
      </w:r>
      <w:r w:rsidR="00FB4C56">
        <w:rPr>
          <w:rFonts w:cs="Arial"/>
          <w:szCs w:val="22"/>
        </w:rPr>
        <w:t>ed</w:t>
      </w:r>
      <w:r w:rsidR="007B3B26" w:rsidRPr="00496E68">
        <w:rPr>
          <w:rFonts w:cs="Arial"/>
          <w:szCs w:val="22"/>
        </w:rPr>
        <w:t xml:space="preserve"> its </w:t>
      </w:r>
      <w:r w:rsidR="00CC0D8D">
        <w:rPr>
          <w:rFonts w:cs="Arial"/>
          <w:szCs w:val="22"/>
        </w:rPr>
        <w:t>r</w:t>
      </w:r>
      <w:r w:rsidR="007B3B26" w:rsidRPr="00496E68">
        <w:rPr>
          <w:rFonts w:cs="Arial"/>
          <w:szCs w:val="22"/>
        </w:rPr>
        <w:t xml:space="preserve">isk management and resilience through </w:t>
      </w:r>
      <w:r w:rsidR="00071C98">
        <w:rPr>
          <w:rFonts w:cs="Arial"/>
          <w:szCs w:val="22"/>
        </w:rPr>
        <w:t xml:space="preserve">delivering several </w:t>
      </w:r>
      <w:r w:rsidR="00FB4C56">
        <w:rPr>
          <w:rFonts w:cs="Arial"/>
          <w:szCs w:val="22"/>
        </w:rPr>
        <w:t xml:space="preserve">targeted </w:t>
      </w:r>
      <w:r w:rsidR="007B3B26" w:rsidRPr="00496E68">
        <w:rPr>
          <w:rFonts w:cs="Arial"/>
          <w:szCs w:val="22"/>
        </w:rPr>
        <w:t>initiatives</w:t>
      </w:r>
      <w:r w:rsidR="00C91550">
        <w:rPr>
          <w:rFonts w:cs="Arial"/>
          <w:szCs w:val="22"/>
        </w:rPr>
        <w:t xml:space="preserve"> </w:t>
      </w:r>
      <w:r w:rsidR="00187786">
        <w:rPr>
          <w:rFonts w:cs="Arial"/>
          <w:szCs w:val="22"/>
        </w:rPr>
        <w:t>aimed at</w:t>
      </w:r>
      <w:r w:rsidR="002C032B">
        <w:rPr>
          <w:rFonts w:cs="Arial"/>
          <w:szCs w:val="22"/>
        </w:rPr>
        <w:t xml:space="preserve"> </w:t>
      </w:r>
      <w:r w:rsidR="00E2356A">
        <w:rPr>
          <w:rFonts w:cs="Arial"/>
          <w:szCs w:val="22"/>
        </w:rPr>
        <w:t>promoting</w:t>
      </w:r>
      <w:r w:rsidR="002C032B">
        <w:rPr>
          <w:rFonts w:cs="Arial"/>
          <w:szCs w:val="22"/>
        </w:rPr>
        <w:t xml:space="preserve"> </w:t>
      </w:r>
      <w:r w:rsidR="007B3B26" w:rsidRPr="00496E68">
        <w:rPr>
          <w:rFonts w:cs="Arial"/>
          <w:szCs w:val="22"/>
        </w:rPr>
        <w:t xml:space="preserve">a positive risk culture and </w:t>
      </w:r>
      <w:r w:rsidR="002C032B">
        <w:rPr>
          <w:rFonts w:cs="Arial"/>
          <w:szCs w:val="22"/>
        </w:rPr>
        <w:t>improving</w:t>
      </w:r>
      <w:r w:rsidR="007B3B26" w:rsidRPr="00496E68">
        <w:rPr>
          <w:rFonts w:cs="Arial"/>
          <w:szCs w:val="22"/>
        </w:rPr>
        <w:t xml:space="preserve"> organisational preparedness.</w:t>
      </w:r>
      <w:r w:rsidR="004562F8">
        <w:rPr>
          <w:rFonts w:cs="Arial"/>
          <w:szCs w:val="22"/>
        </w:rPr>
        <w:t xml:space="preserve"> </w:t>
      </w:r>
      <w:r w:rsidR="00BC624A">
        <w:rPr>
          <w:rFonts w:cs="Arial"/>
          <w:szCs w:val="22"/>
        </w:rPr>
        <w:t>K</w:t>
      </w:r>
      <w:r w:rsidR="00884A38">
        <w:rPr>
          <w:rFonts w:cs="Arial"/>
          <w:szCs w:val="22"/>
        </w:rPr>
        <w:t xml:space="preserve">ey activities included </w:t>
      </w:r>
      <w:r w:rsidR="00D12DAC">
        <w:rPr>
          <w:rFonts w:cs="Arial"/>
          <w:szCs w:val="22"/>
        </w:rPr>
        <w:t>delivering r</w:t>
      </w:r>
      <w:r w:rsidR="007B3B26" w:rsidRPr="00496E68">
        <w:rPr>
          <w:rFonts w:cs="Arial"/>
          <w:szCs w:val="22"/>
        </w:rPr>
        <w:t xml:space="preserve">egular workshops and </w:t>
      </w:r>
      <w:r w:rsidR="006960C2">
        <w:rPr>
          <w:rFonts w:cs="Arial"/>
          <w:szCs w:val="22"/>
        </w:rPr>
        <w:t xml:space="preserve">facilitating </w:t>
      </w:r>
      <w:r w:rsidR="007B3B26" w:rsidRPr="00496E68">
        <w:rPr>
          <w:rFonts w:cs="Arial"/>
          <w:szCs w:val="22"/>
        </w:rPr>
        <w:t xml:space="preserve">discussions with </w:t>
      </w:r>
      <w:r w:rsidR="00E12375">
        <w:rPr>
          <w:rFonts w:cs="Arial"/>
          <w:szCs w:val="22"/>
        </w:rPr>
        <w:t>s</w:t>
      </w:r>
      <w:r w:rsidR="007B3B26" w:rsidRPr="00496E68">
        <w:rPr>
          <w:rFonts w:cs="Arial"/>
          <w:szCs w:val="22"/>
        </w:rPr>
        <w:t xml:space="preserve">enior </w:t>
      </w:r>
      <w:r w:rsidR="00E12375">
        <w:rPr>
          <w:rFonts w:cs="Arial"/>
          <w:szCs w:val="22"/>
        </w:rPr>
        <w:t>l</w:t>
      </w:r>
      <w:r w:rsidR="007B3B26" w:rsidRPr="00496E68">
        <w:rPr>
          <w:rFonts w:cs="Arial"/>
          <w:szCs w:val="22"/>
        </w:rPr>
        <w:t xml:space="preserve">eaders </w:t>
      </w:r>
      <w:r w:rsidR="00EF11F9">
        <w:rPr>
          <w:rFonts w:cs="Arial"/>
          <w:szCs w:val="22"/>
        </w:rPr>
        <w:t xml:space="preserve">to </w:t>
      </w:r>
      <w:r w:rsidR="00854507">
        <w:rPr>
          <w:rFonts w:cs="Arial"/>
          <w:szCs w:val="22"/>
        </w:rPr>
        <w:t>support</w:t>
      </w:r>
      <w:r w:rsidR="00EF11F9">
        <w:rPr>
          <w:rFonts w:cs="Arial"/>
          <w:szCs w:val="22"/>
        </w:rPr>
        <w:t xml:space="preserve"> </w:t>
      </w:r>
      <w:r w:rsidR="007B3B26" w:rsidRPr="00496E68">
        <w:rPr>
          <w:rFonts w:cs="Arial"/>
          <w:szCs w:val="22"/>
        </w:rPr>
        <w:t xml:space="preserve">ongoing monitoring </w:t>
      </w:r>
      <w:r w:rsidR="0011015D">
        <w:rPr>
          <w:rFonts w:cs="Arial"/>
          <w:szCs w:val="22"/>
        </w:rPr>
        <w:t xml:space="preserve">and awareness </w:t>
      </w:r>
      <w:r w:rsidR="00E40922">
        <w:rPr>
          <w:rFonts w:cs="Arial"/>
          <w:szCs w:val="22"/>
        </w:rPr>
        <w:t xml:space="preserve">of </w:t>
      </w:r>
      <w:r w:rsidR="007B3B26" w:rsidRPr="00496E68" w:rsidDel="0011015D">
        <w:rPr>
          <w:rFonts w:cs="Arial"/>
          <w:szCs w:val="22"/>
        </w:rPr>
        <w:t>st</w:t>
      </w:r>
      <w:r w:rsidR="007B3B26" w:rsidRPr="00496E68" w:rsidDel="00E40922">
        <w:rPr>
          <w:rFonts w:cs="Arial"/>
          <w:szCs w:val="22"/>
        </w:rPr>
        <w:t>r</w:t>
      </w:r>
      <w:r w:rsidR="007B3B26" w:rsidRPr="00496E68">
        <w:rPr>
          <w:rFonts w:cs="Arial"/>
          <w:szCs w:val="22"/>
        </w:rPr>
        <w:t xml:space="preserve">ategic and operational risks, </w:t>
      </w:r>
      <w:r w:rsidR="00BC624A">
        <w:rPr>
          <w:rFonts w:cs="Arial"/>
          <w:szCs w:val="22"/>
        </w:rPr>
        <w:t xml:space="preserve">while also </w:t>
      </w:r>
      <w:r w:rsidR="00CF1008">
        <w:rPr>
          <w:rFonts w:cs="Arial"/>
          <w:szCs w:val="22"/>
        </w:rPr>
        <w:t>embedding</w:t>
      </w:r>
      <w:r w:rsidR="008357AA">
        <w:rPr>
          <w:rFonts w:cs="Arial"/>
          <w:szCs w:val="22"/>
        </w:rPr>
        <w:t xml:space="preserve"> risk </w:t>
      </w:r>
      <w:r w:rsidR="00CF1008">
        <w:rPr>
          <w:rFonts w:cs="Arial"/>
          <w:szCs w:val="22"/>
        </w:rPr>
        <w:t>consideration</w:t>
      </w:r>
      <w:r w:rsidR="008357AA">
        <w:rPr>
          <w:rFonts w:cs="Arial"/>
          <w:szCs w:val="22"/>
        </w:rPr>
        <w:t>s</w:t>
      </w:r>
      <w:r w:rsidR="00CF1008">
        <w:rPr>
          <w:rFonts w:cs="Arial"/>
          <w:szCs w:val="22"/>
        </w:rPr>
        <w:t xml:space="preserve"> into </w:t>
      </w:r>
      <w:r w:rsidR="007B3B26" w:rsidRPr="00496E68">
        <w:rPr>
          <w:rFonts w:cs="Arial"/>
          <w:szCs w:val="22"/>
        </w:rPr>
        <w:t>decision-making processes.</w:t>
      </w:r>
      <w:r w:rsidR="00BB4905">
        <w:rPr>
          <w:rFonts w:cs="Arial"/>
          <w:szCs w:val="22"/>
        </w:rPr>
        <w:t xml:space="preserve"> </w:t>
      </w:r>
      <w:r w:rsidR="00131881">
        <w:rPr>
          <w:rFonts w:cs="Arial"/>
          <w:szCs w:val="22"/>
        </w:rPr>
        <w:t>S</w:t>
      </w:r>
      <w:r w:rsidR="007B3B26" w:rsidRPr="00496E68">
        <w:rPr>
          <w:rFonts w:cs="Arial"/>
          <w:szCs w:val="22"/>
        </w:rPr>
        <w:t xml:space="preserve">trong governance was </w:t>
      </w:r>
      <w:r w:rsidR="00131881">
        <w:rPr>
          <w:rFonts w:cs="Arial"/>
          <w:szCs w:val="22"/>
        </w:rPr>
        <w:t xml:space="preserve">upheld </w:t>
      </w:r>
      <w:r w:rsidR="00AE4387">
        <w:rPr>
          <w:rFonts w:cs="Arial"/>
          <w:szCs w:val="22"/>
        </w:rPr>
        <w:t xml:space="preserve">through detailed risk </w:t>
      </w:r>
      <w:r w:rsidR="007B3B26" w:rsidRPr="00496E68">
        <w:rPr>
          <w:rFonts w:cs="Arial"/>
          <w:szCs w:val="22"/>
        </w:rPr>
        <w:t>reporting to the QBC Board and its advisory committees</w:t>
      </w:r>
      <w:r w:rsidR="00060625">
        <w:rPr>
          <w:rFonts w:cs="Arial"/>
          <w:szCs w:val="22"/>
        </w:rPr>
        <w:t xml:space="preserve"> (</w:t>
      </w:r>
      <w:r w:rsidR="00E710EC">
        <w:rPr>
          <w:rFonts w:cs="Arial"/>
          <w:szCs w:val="22"/>
        </w:rPr>
        <w:t>FAR</w:t>
      </w:r>
      <w:r w:rsidR="007B3B26" w:rsidRPr="00496E68">
        <w:rPr>
          <w:rFonts w:cs="Arial"/>
          <w:szCs w:val="22"/>
        </w:rPr>
        <w:t xml:space="preserve"> and </w:t>
      </w:r>
      <w:r w:rsidR="007409CB">
        <w:rPr>
          <w:rFonts w:cs="Arial"/>
          <w:szCs w:val="22"/>
        </w:rPr>
        <w:t>PCP</w:t>
      </w:r>
      <w:r w:rsidR="00060625">
        <w:rPr>
          <w:rFonts w:cs="Arial"/>
          <w:szCs w:val="22"/>
        </w:rPr>
        <w:t>)</w:t>
      </w:r>
      <w:r w:rsidR="0020149E">
        <w:rPr>
          <w:rFonts w:cs="Arial"/>
          <w:szCs w:val="22"/>
        </w:rPr>
        <w:t xml:space="preserve">, </w:t>
      </w:r>
      <w:r w:rsidR="00060625">
        <w:rPr>
          <w:rFonts w:cs="Arial"/>
          <w:szCs w:val="22"/>
        </w:rPr>
        <w:t xml:space="preserve">underscoring </w:t>
      </w:r>
      <w:r w:rsidR="007B3B26">
        <w:rPr>
          <w:rFonts w:cs="Arial"/>
          <w:szCs w:val="22"/>
        </w:rPr>
        <w:t xml:space="preserve">the </w:t>
      </w:r>
      <w:r w:rsidR="007B3B26" w:rsidRPr="00496E68">
        <w:rPr>
          <w:rFonts w:cs="Arial"/>
          <w:szCs w:val="22"/>
        </w:rPr>
        <w:t>QBCC’s commitment to transparency and effective risk oversight.</w:t>
      </w:r>
      <w:r w:rsidR="00FC0D4E">
        <w:rPr>
          <w:rFonts w:cs="Arial"/>
          <w:szCs w:val="22"/>
        </w:rPr>
        <w:t xml:space="preserve"> </w:t>
      </w:r>
      <w:r w:rsidR="007829B5">
        <w:rPr>
          <w:rFonts w:cs="Arial"/>
          <w:szCs w:val="22"/>
        </w:rPr>
        <w:t xml:space="preserve">The organisation </w:t>
      </w:r>
      <w:r w:rsidR="009A594E">
        <w:rPr>
          <w:rFonts w:cs="Arial"/>
          <w:szCs w:val="22"/>
        </w:rPr>
        <w:t>systematically</w:t>
      </w:r>
      <w:r w:rsidR="007B3B26" w:rsidRPr="00496E68">
        <w:rPr>
          <w:rFonts w:cs="Arial"/>
          <w:szCs w:val="22"/>
        </w:rPr>
        <w:t xml:space="preserve"> reviewed</w:t>
      </w:r>
      <w:r w:rsidR="001742BE">
        <w:rPr>
          <w:rFonts w:cs="Arial"/>
          <w:szCs w:val="22"/>
        </w:rPr>
        <w:t xml:space="preserve"> fraud and corruption risks </w:t>
      </w:r>
      <w:r w:rsidR="007B3B26" w:rsidRPr="004B26BC">
        <w:rPr>
          <w:rFonts w:cs="Arial"/>
          <w:szCs w:val="22"/>
        </w:rPr>
        <w:t xml:space="preserve">across </w:t>
      </w:r>
      <w:r w:rsidR="001742BE">
        <w:rPr>
          <w:rFonts w:cs="Arial"/>
          <w:szCs w:val="22"/>
        </w:rPr>
        <w:t xml:space="preserve">all </w:t>
      </w:r>
      <w:r w:rsidR="007B3B26" w:rsidRPr="004B26BC">
        <w:rPr>
          <w:rFonts w:cs="Arial"/>
          <w:szCs w:val="22"/>
        </w:rPr>
        <w:t>functions</w:t>
      </w:r>
      <w:r w:rsidR="001742BE">
        <w:rPr>
          <w:rFonts w:cs="Arial"/>
          <w:szCs w:val="22"/>
        </w:rPr>
        <w:t xml:space="preserve">, </w:t>
      </w:r>
      <w:r w:rsidR="00B955A5">
        <w:rPr>
          <w:rFonts w:cs="Arial"/>
          <w:szCs w:val="22"/>
        </w:rPr>
        <w:t>identify</w:t>
      </w:r>
      <w:r w:rsidR="001742BE">
        <w:rPr>
          <w:rFonts w:cs="Arial"/>
          <w:szCs w:val="22"/>
        </w:rPr>
        <w:t>ing</w:t>
      </w:r>
      <w:r w:rsidR="00B955A5">
        <w:rPr>
          <w:rFonts w:cs="Arial"/>
          <w:szCs w:val="22"/>
        </w:rPr>
        <w:t xml:space="preserve"> </w:t>
      </w:r>
      <w:r w:rsidR="000126C4">
        <w:rPr>
          <w:rFonts w:cs="Arial"/>
          <w:szCs w:val="22"/>
        </w:rPr>
        <w:t xml:space="preserve">control </w:t>
      </w:r>
      <w:r w:rsidR="00B955A5">
        <w:rPr>
          <w:rFonts w:cs="Arial"/>
          <w:szCs w:val="22"/>
        </w:rPr>
        <w:t xml:space="preserve">gaps and </w:t>
      </w:r>
      <w:r w:rsidR="000126C4">
        <w:rPr>
          <w:rFonts w:cs="Arial"/>
          <w:szCs w:val="22"/>
        </w:rPr>
        <w:t>implementing improvements</w:t>
      </w:r>
      <w:r w:rsidR="007B3B26" w:rsidRPr="004B26BC">
        <w:rPr>
          <w:rFonts w:cs="Arial"/>
          <w:szCs w:val="22"/>
        </w:rPr>
        <w:t>.</w:t>
      </w:r>
      <w:r w:rsidR="007B3B26" w:rsidRPr="00877852">
        <w:rPr>
          <w:rFonts w:cs="Arial"/>
          <w:szCs w:val="22"/>
        </w:rPr>
        <w:t xml:space="preserve"> </w:t>
      </w:r>
    </w:p>
    <w:p w14:paraId="17A28C75" w14:textId="1EE40129" w:rsidR="00EE72F2" w:rsidRPr="00907476" w:rsidRDefault="007B3B26" w:rsidP="754EBB5F">
      <w:pPr>
        <w:spacing w:before="120" w:after="120" w:line="259" w:lineRule="auto"/>
        <w:rPr>
          <w:rFonts w:cs="Arial"/>
          <w:szCs w:val="22"/>
        </w:rPr>
      </w:pPr>
      <w:r w:rsidRPr="00496E68">
        <w:rPr>
          <w:rFonts w:cs="Arial"/>
          <w:szCs w:val="22"/>
        </w:rPr>
        <w:t>In addition,</w:t>
      </w:r>
      <w:r w:rsidR="000126C4">
        <w:rPr>
          <w:rFonts w:cs="Arial"/>
          <w:szCs w:val="22"/>
        </w:rPr>
        <w:t xml:space="preserve"> the QBCC conducted </w:t>
      </w:r>
      <w:r w:rsidRPr="00496E68">
        <w:rPr>
          <w:rFonts w:cs="Arial"/>
          <w:szCs w:val="22"/>
        </w:rPr>
        <w:t xml:space="preserve">a self-assessment </w:t>
      </w:r>
      <w:r w:rsidR="00D16619" w:rsidRPr="002C7BB8">
        <w:rPr>
          <w:rFonts w:cs="Arial"/>
          <w:szCs w:val="22"/>
        </w:rPr>
        <w:t>using the Q</w:t>
      </w:r>
      <w:r w:rsidR="007F296F">
        <w:rPr>
          <w:rFonts w:cs="Arial"/>
          <w:szCs w:val="22"/>
        </w:rPr>
        <w:t xml:space="preserve">ueensland </w:t>
      </w:r>
      <w:r w:rsidR="00D16619" w:rsidRPr="002C7BB8">
        <w:rPr>
          <w:rFonts w:cs="Arial"/>
          <w:szCs w:val="22"/>
        </w:rPr>
        <w:t>A</w:t>
      </w:r>
      <w:r w:rsidR="007F296F">
        <w:rPr>
          <w:rFonts w:cs="Arial"/>
          <w:szCs w:val="22"/>
        </w:rPr>
        <w:t xml:space="preserve">udit </w:t>
      </w:r>
      <w:r w:rsidR="00D16619" w:rsidRPr="002C7BB8">
        <w:rPr>
          <w:rFonts w:cs="Arial"/>
          <w:szCs w:val="22"/>
        </w:rPr>
        <w:t>O</w:t>
      </w:r>
      <w:r w:rsidR="007F296F">
        <w:rPr>
          <w:rFonts w:cs="Arial"/>
          <w:szCs w:val="22"/>
        </w:rPr>
        <w:t>ffice</w:t>
      </w:r>
      <w:r w:rsidR="00D16619" w:rsidRPr="002C7BB8">
        <w:rPr>
          <w:rFonts w:cs="Arial"/>
          <w:szCs w:val="22"/>
        </w:rPr>
        <w:t xml:space="preserve"> </w:t>
      </w:r>
      <w:r w:rsidR="00B72119">
        <w:rPr>
          <w:rFonts w:cs="Arial"/>
          <w:szCs w:val="22"/>
        </w:rPr>
        <w:t xml:space="preserve">(QAO) </w:t>
      </w:r>
      <w:r w:rsidR="00D16619" w:rsidRPr="002C7BB8">
        <w:rPr>
          <w:rFonts w:cs="Arial"/>
          <w:szCs w:val="22"/>
        </w:rPr>
        <w:t xml:space="preserve">model </w:t>
      </w:r>
      <w:r w:rsidR="007C50F6">
        <w:rPr>
          <w:rFonts w:cs="Arial"/>
          <w:szCs w:val="22"/>
        </w:rPr>
        <w:t xml:space="preserve">to </w:t>
      </w:r>
      <w:r w:rsidR="00D16619" w:rsidRPr="002C7BB8">
        <w:rPr>
          <w:rFonts w:cs="Arial"/>
          <w:szCs w:val="22"/>
        </w:rPr>
        <w:t>benchmark</w:t>
      </w:r>
      <w:r w:rsidR="00E137D6">
        <w:rPr>
          <w:rFonts w:cs="Arial"/>
          <w:szCs w:val="22"/>
        </w:rPr>
        <w:t xml:space="preserve"> its</w:t>
      </w:r>
      <w:r w:rsidR="00D16619" w:rsidRPr="002C7BB8">
        <w:rPr>
          <w:rFonts w:cs="Arial"/>
          <w:szCs w:val="22"/>
        </w:rPr>
        <w:t xml:space="preserve"> fraud and corruption controls against best practice standards.</w:t>
      </w:r>
      <w:r w:rsidR="00B523C5">
        <w:rPr>
          <w:rFonts w:cs="Arial"/>
          <w:szCs w:val="22"/>
        </w:rPr>
        <w:t xml:space="preserve"> </w:t>
      </w:r>
      <w:r w:rsidR="00FC2A81">
        <w:rPr>
          <w:rFonts w:cs="Arial"/>
          <w:szCs w:val="22"/>
        </w:rPr>
        <w:t>T</w:t>
      </w:r>
      <w:r w:rsidRPr="00496E68">
        <w:rPr>
          <w:rFonts w:cs="Arial"/>
          <w:szCs w:val="22"/>
        </w:rPr>
        <w:t xml:space="preserve">he QBCC </w:t>
      </w:r>
      <w:r w:rsidR="00A53034">
        <w:rPr>
          <w:rFonts w:cs="Arial"/>
          <w:szCs w:val="22"/>
        </w:rPr>
        <w:t xml:space="preserve">also </w:t>
      </w:r>
      <w:r w:rsidRPr="00496E68">
        <w:rPr>
          <w:rFonts w:cs="Arial"/>
          <w:szCs w:val="22"/>
        </w:rPr>
        <w:t>refine</w:t>
      </w:r>
      <w:r w:rsidR="00FA40C0">
        <w:rPr>
          <w:rFonts w:cs="Arial"/>
          <w:szCs w:val="22"/>
        </w:rPr>
        <w:t>d</w:t>
      </w:r>
      <w:r w:rsidRPr="00496E68">
        <w:rPr>
          <w:rFonts w:cs="Arial"/>
          <w:szCs w:val="22"/>
        </w:rPr>
        <w:t xml:space="preserve"> its strategic risk profile to align with </w:t>
      </w:r>
      <w:r w:rsidR="006B162B">
        <w:rPr>
          <w:rFonts w:cs="Arial"/>
          <w:szCs w:val="22"/>
        </w:rPr>
        <w:t>its</w:t>
      </w:r>
      <w:r w:rsidRPr="00496E68">
        <w:rPr>
          <w:rFonts w:cs="Arial"/>
          <w:szCs w:val="22"/>
        </w:rPr>
        <w:t xml:space="preserve"> refreshed strategic intent, </w:t>
      </w:r>
      <w:r w:rsidR="006B162B">
        <w:rPr>
          <w:rFonts w:cs="Arial"/>
          <w:szCs w:val="22"/>
        </w:rPr>
        <w:t xml:space="preserve">focusing on </w:t>
      </w:r>
      <w:r w:rsidRPr="00496E68">
        <w:rPr>
          <w:rFonts w:cs="Arial"/>
          <w:szCs w:val="22"/>
        </w:rPr>
        <w:t xml:space="preserve">evolving customer expectations and government reform priorities. </w:t>
      </w:r>
      <w:r w:rsidR="673B02A6" w:rsidRPr="754EBB5F">
        <w:rPr>
          <w:rFonts w:cs="Arial"/>
        </w:rPr>
        <w:t>A</w:t>
      </w:r>
      <w:r w:rsidR="00617E12">
        <w:rPr>
          <w:rFonts w:cs="Arial"/>
          <w:szCs w:val="22"/>
        </w:rPr>
        <w:t xml:space="preserve"> </w:t>
      </w:r>
      <w:r w:rsidR="001F1A7A">
        <w:rPr>
          <w:rFonts w:cs="Arial"/>
          <w:szCs w:val="22"/>
        </w:rPr>
        <w:t>revised</w:t>
      </w:r>
      <w:r w:rsidRPr="00496E68">
        <w:rPr>
          <w:rFonts w:cs="Arial"/>
          <w:szCs w:val="22"/>
        </w:rPr>
        <w:t xml:space="preserve"> Risk Appetite Statement</w:t>
      </w:r>
      <w:r w:rsidR="00617E12">
        <w:rPr>
          <w:rFonts w:cs="Arial"/>
          <w:szCs w:val="22"/>
        </w:rPr>
        <w:t xml:space="preserve"> </w:t>
      </w:r>
      <w:r w:rsidR="13A51A8E" w:rsidRPr="754EBB5F">
        <w:rPr>
          <w:rFonts w:cs="Arial"/>
        </w:rPr>
        <w:t xml:space="preserve">was developed to </w:t>
      </w:r>
      <w:r w:rsidR="00617E12">
        <w:rPr>
          <w:rFonts w:cs="Arial"/>
          <w:szCs w:val="22"/>
        </w:rPr>
        <w:t xml:space="preserve">further </w:t>
      </w:r>
      <w:r w:rsidR="005B728D">
        <w:rPr>
          <w:rFonts w:cs="Arial"/>
          <w:szCs w:val="22"/>
        </w:rPr>
        <w:t>strengthen the QBCC’s cap</w:t>
      </w:r>
      <w:r w:rsidR="00DC2B13">
        <w:rPr>
          <w:rFonts w:cs="Arial"/>
          <w:szCs w:val="22"/>
        </w:rPr>
        <w:t xml:space="preserve">acity to operate as a </w:t>
      </w:r>
      <w:r w:rsidR="004264B9">
        <w:rPr>
          <w:rFonts w:cs="Arial"/>
          <w:szCs w:val="22"/>
        </w:rPr>
        <w:t>risk-based regulator</w:t>
      </w:r>
      <w:r w:rsidR="00E727BA">
        <w:rPr>
          <w:rFonts w:cs="Arial"/>
          <w:szCs w:val="22"/>
        </w:rPr>
        <w:t xml:space="preserve"> and </w:t>
      </w:r>
      <w:r w:rsidR="00737875">
        <w:rPr>
          <w:rFonts w:cs="Arial"/>
          <w:szCs w:val="22"/>
        </w:rPr>
        <w:t xml:space="preserve">deliver </w:t>
      </w:r>
      <w:r w:rsidR="00DC2B13">
        <w:rPr>
          <w:rFonts w:cs="Arial"/>
          <w:szCs w:val="22"/>
        </w:rPr>
        <w:t>targeted r</w:t>
      </w:r>
      <w:r w:rsidR="00737875">
        <w:rPr>
          <w:rFonts w:cs="Arial"/>
          <w:szCs w:val="22"/>
        </w:rPr>
        <w:t>egulation</w:t>
      </w:r>
      <w:r w:rsidR="00692591">
        <w:rPr>
          <w:rFonts w:cs="Arial"/>
          <w:szCs w:val="22"/>
        </w:rPr>
        <w:t xml:space="preserve">. It also </w:t>
      </w:r>
      <w:r w:rsidR="008C2779">
        <w:rPr>
          <w:rFonts w:cs="Arial"/>
          <w:szCs w:val="22"/>
        </w:rPr>
        <w:t>provide</w:t>
      </w:r>
      <w:r w:rsidR="00692591">
        <w:rPr>
          <w:rFonts w:cs="Arial"/>
          <w:szCs w:val="22"/>
        </w:rPr>
        <w:t>s</w:t>
      </w:r>
      <w:r w:rsidR="008C2779">
        <w:rPr>
          <w:rFonts w:cs="Arial"/>
          <w:szCs w:val="22"/>
        </w:rPr>
        <w:t xml:space="preserve"> clear guidance to </w:t>
      </w:r>
      <w:r w:rsidR="00DC2B13">
        <w:rPr>
          <w:rFonts w:cs="Arial"/>
          <w:szCs w:val="22"/>
        </w:rPr>
        <w:t xml:space="preserve">support </w:t>
      </w:r>
      <w:r w:rsidR="008C2779">
        <w:rPr>
          <w:rFonts w:cs="Arial"/>
          <w:szCs w:val="22"/>
        </w:rPr>
        <w:t>r</w:t>
      </w:r>
      <w:r w:rsidRPr="00496E68">
        <w:rPr>
          <w:rFonts w:cs="Arial"/>
          <w:szCs w:val="22"/>
        </w:rPr>
        <w:t>isk-</w:t>
      </w:r>
      <w:r w:rsidR="00E26C32">
        <w:rPr>
          <w:rFonts w:cs="Arial"/>
          <w:szCs w:val="22"/>
        </w:rPr>
        <w:t>based</w:t>
      </w:r>
      <w:r w:rsidRPr="00496E68">
        <w:rPr>
          <w:rFonts w:cs="Arial"/>
          <w:szCs w:val="22"/>
        </w:rPr>
        <w:t xml:space="preserve"> decision</w:t>
      </w:r>
      <w:r>
        <w:rPr>
          <w:rFonts w:cs="Arial"/>
          <w:szCs w:val="22"/>
        </w:rPr>
        <w:t xml:space="preserve"> </w:t>
      </w:r>
      <w:r w:rsidRPr="00496E68">
        <w:rPr>
          <w:rFonts w:cs="Arial"/>
          <w:szCs w:val="22"/>
        </w:rPr>
        <w:t xml:space="preserve">making </w:t>
      </w:r>
      <w:r w:rsidR="09AB81D8" w:rsidRPr="47C37761">
        <w:rPr>
          <w:rFonts w:cs="Arial"/>
        </w:rPr>
        <w:t xml:space="preserve">in </w:t>
      </w:r>
      <w:r w:rsidR="008F7BB7">
        <w:rPr>
          <w:rFonts w:cs="Arial"/>
        </w:rPr>
        <w:t>the</w:t>
      </w:r>
      <w:r w:rsidR="00A30ECA">
        <w:rPr>
          <w:rFonts w:cs="Arial"/>
        </w:rPr>
        <w:t xml:space="preserve"> QBCC’s</w:t>
      </w:r>
      <w:r w:rsidR="09AB81D8" w:rsidRPr="47C37761">
        <w:rPr>
          <w:rFonts w:cs="Arial"/>
        </w:rPr>
        <w:t xml:space="preserve"> regulatory services </w:t>
      </w:r>
      <w:r w:rsidRPr="00496E68">
        <w:rPr>
          <w:rFonts w:cs="Arial"/>
          <w:szCs w:val="22"/>
        </w:rPr>
        <w:t xml:space="preserve">and </w:t>
      </w:r>
      <w:r w:rsidR="001F1A7A">
        <w:rPr>
          <w:rFonts w:cs="Arial"/>
          <w:szCs w:val="22"/>
        </w:rPr>
        <w:t xml:space="preserve">the </w:t>
      </w:r>
      <w:r w:rsidR="00241F89">
        <w:rPr>
          <w:rFonts w:cs="Arial"/>
          <w:szCs w:val="22"/>
        </w:rPr>
        <w:t xml:space="preserve">proactive management </w:t>
      </w:r>
      <w:r w:rsidR="00677668">
        <w:rPr>
          <w:rFonts w:cs="Arial"/>
          <w:szCs w:val="22"/>
        </w:rPr>
        <w:t xml:space="preserve">of </w:t>
      </w:r>
      <w:r w:rsidRPr="00496E68">
        <w:rPr>
          <w:rFonts w:cs="Arial"/>
          <w:szCs w:val="22"/>
        </w:rPr>
        <w:t>strategic risk</w:t>
      </w:r>
      <w:r w:rsidR="00677668">
        <w:rPr>
          <w:rFonts w:cs="Arial"/>
          <w:szCs w:val="22"/>
        </w:rPr>
        <w:t>s</w:t>
      </w:r>
      <w:r w:rsidRPr="00496E68">
        <w:rPr>
          <w:rFonts w:cs="Arial"/>
          <w:szCs w:val="22"/>
        </w:rPr>
        <w:t>.</w:t>
      </w:r>
    </w:p>
    <w:p w14:paraId="23449486" w14:textId="27B19CC7" w:rsidR="0057305A" w:rsidRPr="00907476" w:rsidRDefault="003C27D1" w:rsidP="00907476">
      <w:pPr>
        <w:pStyle w:val="Heading3"/>
      </w:pPr>
      <w:bookmarkStart w:id="271" w:name="_Internal_audits_and"/>
      <w:bookmarkEnd w:id="271"/>
      <w:r w:rsidRPr="00097695">
        <w:t xml:space="preserve">Internal </w:t>
      </w:r>
      <w:r w:rsidR="00580C71">
        <w:t>a</w:t>
      </w:r>
      <w:r w:rsidRPr="00097695">
        <w:t>udit</w:t>
      </w:r>
      <w:r w:rsidR="0060689E">
        <w:t>s</w:t>
      </w:r>
      <w:r w:rsidRPr="00097695">
        <w:t xml:space="preserve"> and </w:t>
      </w:r>
      <w:r w:rsidR="00580C71">
        <w:t>e</w:t>
      </w:r>
      <w:r w:rsidR="00EE4C84" w:rsidRPr="00097695">
        <w:t xml:space="preserve">xternal scrutiny  </w:t>
      </w:r>
    </w:p>
    <w:p w14:paraId="0288A7B2" w14:textId="77777777" w:rsidR="007646E0" w:rsidRDefault="008E4838" w:rsidP="00907476">
      <w:pPr>
        <w:spacing w:before="120" w:after="120"/>
        <w:rPr>
          <w:rFonts w:cs="Arial"/>
        </w:rPr>
      </w:pPr>
      <w:r w:rsidRPr="004B26BC">
        <w:rPr>
          <w:rFonts w:cs="Arial"/>
        </w:rPr>
        <w:t xml:space="preserve">The </w:t>
      </w:r>
      <w:r w:rsidR="00054CB5" w:rsidRPr="00054CB5">
        <w:rPr>
          <w:rFonts w:cs="Arial"/>
        </w:rPr>
        <w:t xml:space="preserve">QBCC’s internal </w:t>
      </w:r>
      <w:r w:rsidR="00C11423">
        <w:rPr>
          <w:rFonts w:cs="Arial"/>
        </w:rPr>
        <w:t>and regulatory</w:t>
      </w:r>
      <w:r w:rsidR="00054CB5" w:rsidRPr="00054CB5">
        <w:rPr>
          <w:rFonts w:cs="Arial"/>
        </w:rPr>
        <w:t xml:space="preserve"> audit function</w:t>
      </w:r>
      <w:r w:rsidR="00B94883">
        <w:rPr>
          <w:rFonts w:cs="Arial"/>
        </w:rPr>
        <w:t xml:space="preserve">, </w:t>
      </w:r>
      <w:r w:rsidR="00D37C50">
        <w:rPr>
          <w:rFonts w:cs="Arial"/>
        </w:rPr>
        <w:t xml:space="preserve">along </w:t>
      </w:r>
      <w:r w:rsidR="00B94883">
        <w:rPr>
          <w:rFonts w:cs="Arial"/>
        </w:rPr>
        <w:t xml:space="preserve">with </w:t>
      </w:r>
      <w:r w:rsidR="008D7A96">
        <w:rPr>
          <w:rFonts w:cs="Arial"/>
        </w:rPr>
        <w:t xml:space="preserve">external oversight from </w:t>
      </w:r>
      <w:r w:rsidR="002D09D7">
        <w:rPr>
          <w:rFonts w:cs="Arial"/>
        </w:rPr>
        <w:t xml:space="preserve">the </w:t>
      </w:r>
      <w:r w:rsidR="008D7A96">
        <w:rPr>
          <w:rFonts w:cs="Arial"/>
        </w:rPr>
        <w:t>QAO</w:t>
      </w:r>
      <w:r w:rsidR="00AA7444">
        <w:rPr>
          <w:rFonts w:cs="Arial"/>
        </w:rPr>
        <w:t xml:space="preserve">, play a key role in </w:t>
      </w:r>
      <w:r w:rsidR="00A27AD5">
        <w:rPr>
          <w:rFonts w:cs="Arial"/>
        </w:rPr>
        <w:t>strengthening</w:t>
      </w:r>
      <w:r w:rsidR="00054CB5" w:rsidRPr="00054CB5">
        <w:rPr>
          <w:rFonts w:cs="Arial"/>
        </w:rPr>
        <w:t xml:space="preserve"> governance, </w:t>
      </w:r>
      <w:r w:rsidR="00442CB1">
        <w:rPr>
          <w:rFonts w:cs="Arial"/>
        </w:rPr>
        <w:t>promoting</w:t>
      </w:r>
      <w:r w:rsidR="006633EC">
        <w:rPr>
          <w:rFonts w:cs="Arial"/>
        </w:rPr>
        <w:t xml:space="preserve"> </w:t>
      </w:r>
      <w:r w:rsidR="00054CB5" w:rsidRPr="00054CB5">
        <w:rPr>
          <w:rFonts w:cs="Arial"/>
        </w:rPr>
        <w:t xml:space="preserve">accountability and </w:t>
      </w:r>
      <w:r w:rsidR="00442CB1">
        <w:rPr>
          <w:rFonts w:cs="Arial"/>
        </w:rPr>
        <w:t>driving</w:t>
      </w:r>
      <w:r w:rsidR="006633EC">
        <w:rPr>
          <w:rFonts w:cs="Arial"/>
        </w:rPr>
        <w:t xml:space="preserve"> </w:t>
      </w:r>
      <w:r w:rsidR="00442CB1">
        <w:rPr>
          <w:rFonts w:cs="Arial"/>
        </w:rPr>
        <w:t>continuous</w:t>
      </w:r>
      <w:r w:rsidR="00054CB5" w:rsidRPr="00054CB5">
        <w:rPr>
          <w:rFonts w:cs="Arial"/>
        </w:rPr>
        <w:t xml:space="preserve"> improvement across the organisation. </w:t>
      </w:r>
    </w:p>
    <w:p w14:paraId="5A439088" w14:textId="0BC0E7C8" w:rsidR="00836B83" w:rsidRDefault="0008726A" w:rsidP="00907476">
      <w:pPr>
        <w:spacing w:before="120" w:after="120"/>
        <w:rPr>
          <w:rFonts w:cs="Arial"/>
        </w:rPr>
      </w:pPr>
      <w:r>
        <w:rPr>
          <w:rFonts w:cs="Arial"/>
        </w:rPr>
        <w:t>In line</w:t>
      </w:r>
      <w:r w:rsidR="00054CB5" w:rsidRPr="00054CB5">
        <w:rPr>
          <w:rFonts w:cs="Arial"/>
        </w:rPr>
        <w:t xml:space="preserve"> with the </w:t>
      </w:r>
      <w:r w:rsidR="00054CB5" w:rsidRPr="00C75067">
        <w:rPr>
          <w:rFonts w:cs="Arial"/>
          <w:i/>
        </w:rPr>
        <w:t>Financial and Performance Management Standard 2019</w:t>
      </w:r>
      <w:r w:rsidR="00054CB5" w:rsidRPr="00054CB5">
        <w:rPr>
          <w:rFonts w:cs="Arial"/>
        </w:rPr>
        <w:t xml:space="preserve">, the </w:t>
      </w:r>
      <w:r w:rsidR="00E24574">
        <w:rPr>
          <w:rFonts w:cs="Arial"/>
        </w:rPr>
        <w:t xml:space="preserve">internal audit </w:t>
      </w:r>
      <w:r w:rsidR="00054CB5" w:rsidRPr="00054CB5">
        <w:rPr>
          <w:rFonts w:cs="Arial"/>
        </w:rPr>
        <w:t>function provides independent</w:t>
      </w:r>
      <w:r w:rsidR="00135BF7">
        <w:rPr>
          <w:rFonts w:cs="Arial"/>
        </w:rPr>
        <w:t xml:space="preserve"> </w:t>
      </w:r>
      <w:r w:rsidR="00054CB5" w:rsidRPr="00054CB5">
        <w:rPr>
          <w:rFonts w:cs="Arial"/>
        </w:rPr>
        <w:t xml:space="preserve">objective assurance and advisory services to assess and </w:t>
      </w:r>
      <w:r w:rsidR="00627BF1">
        <w:rPr>
          <w:rFonts w:cs="Arial"/>
        </w:rPr>
        <w:t>enhance</w:t>
      </w:r>
      <w:r w:rsidR="00475DCA">
        <w:rPr>
          <w:rFonts w:cs="Arial"/>
        </w:rPr>
        <w:t xml:space="preserve"> </w:t>
      </w:r>
      <w:r w:rsidR="00054CB5" w:rsidRPr="00054CB5">
        <w:rPr>
          <w:rFonts w:cs="Arial"/>
        </w:rPr>
        <w:t xml:space="preserve">the </w:t>
      </w:r>
      <w:r w:rsidR="00AA1FAF">
        <w:rPr>
          <w:rFonts w:cs="Arial"/>
        </w:rPr>
        <w:t>effectiveness of</w:t>
      </w:r>
      <w:r w:rsidR="00475DCA">
        <w:rPr>
          <w:rFonts w:cs="Arial"/>
        </w:rPr>
        <w:t xml:space="preserve"> risk management</w:t>
      </w:r>
      <w:r w:rsidR="00054CB5" w:rsidRPr="00054CB5">
        <w:rPr>
          <w:rFonts w:cs="Arial"/>
        </w:rPr>
        <w:t>, internal control</w:t>
      </w:r>
      <w:r w:rsidR="00110F32">
        <w:rPr>
          <w:rFonts w:cs="Arial"/>
        </w:rPr>
        <w:t>s</w:t>
      </w:r>
      <w:r w:rsidR="00054CB5" w:rsidRPr="00054CB5">
        <w:rPr>
          <w:rFonts w:cs="Arial"/>
        </w:rPr>
        <w:t xml:space="preserve"> and governance </w:t>
      </w:r>
      <w:r w:rsidR="00BF0B97">
        <w:rPr>
          <w:rFonts w:cs="Arial"/>
        </w:rPr>
        <w:t>systems</w:t>
      </w:r>
      <w:r w:rsidR="00054CB5" w:rsidRPr="00054CB5">
        <w:rPr>
          <w:rFonts w:cs="Arial"/>
        </w:rPr>
        <w:t>.</w:t>
      </w:r>
      <w:r w:rsidR="004D2D10">
        <w:rPr>
          <w:rFonts w:cs="Arial"/>
        </w:rPr>
        <w:t xml:space="preserve"> To </w:t>
      </w:r>
      <w:r w:rsidR="00D02EA6">
        <w:rPr>
          <w:rFonts w:cs="Arial"/>
        </w:rPr>
        <w:t xml:space="preserve">support the </w:t>
      </w:r>
      <w:r w:rsidR="004D2D10">
        <w:rPr>
          <w:rFonts w:cs="Arial"/>
        </w:rPr>
        <w:t>deliver</w:t>
      </w:r>
      <w:r w:rsidR="00D02EA6">
        <w:rPr>
          <w:rFonts w:cs="Arial"/>
        </w:rPr>
        <w:t>y of</w:t>
      </w:r>
      <w:r w:rsidR="004D2D10">
        <w:rPr>
          <w:rFonts w:cs="Arial"/>
        </w:rPr>
        <w:t xml:space="preserve"> the </w:t>
      </w:r>
      <w:r w:rsidR="009901E1" w:rsidRPr="009901E1">
        <w:rPr>
          <w:rFonts w:cs="Arial"/>
        </w:rPr>
        <w:t>internal audit function</w:t>
      </w:r>
      <w:r w:rsidR="0036786E">
        <w:rPr>
          <w:rFonts w:cs="Arial"/>
        </w:rPr>
        <w:t xml:space="preserve">, </w:t>
      </w:r>
      <w:r w:rsidR="00506261">
        <w:rPr>
          <w:rFonts w:cs="Arial"/>
        </w:rPr>
        <w:t>t</w:t>
      </w:r>
      <w:r w:rsidR="008E4838" w:rsidRPr="004B26BC">
        <w:rPr>
          <w:rFonts w:cs="Arial"/>
        </w:rPr>
        <w:t>he QBCC</w:t>
      </w:r>
      <w:r w:rsidR="00296155">
        <w:rPr>
          <w:rFonts w:cs="Arial"/>
        </w:rPr>
        <w:t xml:space="preserve"> </w:t>
      </w:r>
      <w:r w:rsidR="00506261">
        <w:rPr>
          <w:rFonts w:cs="Arial"/>
        </w:rPr>
        <w:t xml:space="preserve">engages </w:t>
      </w:r>
      <w:r w:rsidR="00973333" w:rsidRPr="00973333">
        <w:rPr>
          <w:rFonts w:cs="Arial"/>
        </w:rPr>
        <w:t>O’Connor Marsden and Associates</w:t>
      </w:r>
      <w:r w:rsidR="00973333">
        <w:rPr>
          <w:rFonts w:cs="Arial"/>
        </w:rPr>
        <w:t xml:space="preserve"> (OCM)</w:t>
      </w:r>
      <w:r w:rsidR="009C381C">
        <w:rPr>
          <w:rFonts w:cs="Arial"/>
        </w:rPr>
        <w:t xml:space="preserve"> to </w:t>
      </w:r>
      <w:r w:rsidR="0038010A">
        <w:rPr>
          <w:rFonts w:cs="Arial"/>
        </w:rPr>
        <w:t>conduct</w:t>
      </w:r>
      <w:r w:rsidR="009C381C">
        <w:rPr>
          <w:rFonts w:cs="Arial"/>
        </w:rPr>
        <w:t xml:space="preserve"> </w:t>
      </w:r>
      <w:r w:rsidR="004D2D10">
        <w:rPr>
          <w:rFonts w:cs="Arial"/>
        </w:rPr>
        <w:t xml:space="preserve">targeted </w:t>
      </w:r>
      <w:r w:rsidR="009C381C">
        <w:rPr>
          <w:rFonts w:cs="Arial"/>
        </w:rPr>
        <w:t xml:space="preserve">audits of </w:t>
      </w:r>
      <w:r w:rsidR="00F434CD">
        <w:rPr>
          <w:rFonts w:cs="Arial"/>
        </w:rPr>
        <w:t xml:space="preserve">internal </w:t>
      </w:r>
      <w:r w:rsidR="00231BDF">
        <w:rPr>
          <w:rFonts w:cs="Arial"/>
        </w:rPr>
        <w:t xml:space="preserve">systems, </w:t>
      </w:r>
      <w:r w:rsidR="00F434CD">
        <w:rPr>
          <w:rFonts w:cs="Arial"/>
        </w:rPr>
        <w:t xml:space="preserve">policies and </w:t>
      </w:r>
      <w:r w:rsidR="00231BDF">
        <w:rPr>
          <w:rFonts w:cs="Arial"/>
        </w:rPr>
        <w:t>processes</w:t>
      </w:r>
      <w:r w:rsidR="00F434CD">
        <w:rPr>
          <w:rFonts w:cs="Arial"/>
        </w:rPr>
        <w:t>.</w:t>
      </w:r>
      <w:r w:rsidR="00A21B2C">
        <w:rPr>
          <w:rFonts w:cs="Arial"/>
        </w:rPr>
        <w:t xml:space="preserve"> In addition, t</w:t>
      </w:r>
      <w:r w:rsidR="00B56E3E">
        <w:rPr>
          <w:rFonts w:cs="Arial"/>
        </w:rPr>
        <w:t>he QBCC’s Regulatory Assurance and Audit team audits regulatory decisions</w:t>
      </w:r>
      <w:r w:rsidR="008403D7">
        <w:rPr>
          <w:rFonts w:cs="Arial"/>
        </w:rPr>
        <w:t xml:space="preserve"> and </w:t>
      </w:r>
      <w:r w:rsidR="002B17E8">
        <w:rPr>
          <w:rFonts w:cs="Arial"/>
        </w:rPr>
        <w:t xml:space="preserve">carries out </w:t>
      </w:r>
      <w:r w:rsidR="008403D7">
        <w:rPr>
          <w:rFonts w:cs="Arial"/>
        </w:rPr>
        <w:t>other assurance activities</w:t>
      </w:r>
      <w:r w:rsidR="00803390">
        <w:rPr>
          <w:rFonts w:cs="Arial"/>
        </w:rPr>
        <w:t xml:space="preserve"> under the Regulatory Assurance Framework (RAF)</w:t>
      </w:r>
      <w:r w:rsidR="002B17E8">
        <w:rPr>
          <w:rFonts w:cs="Arial"/>
        </w:rPr>
        <w:t>.</w:t>
      </w:r>
      <w:r w:rsidR="00487364">
        <w:rPr>
          <w:rFonts w:cs="Arial"/>
        </w:rPr>
        <w:t xml:space="preserve"> </w:t>
      </w:r>
      <w:r w:rsidR="00D37C50">
        <w:rPr>
          <w:rFonts w:cs="Arial"/>
        </w:rPr>
        <w:t>Together, t</w:t>
      </w:r>
      <w:r w:rsidR="00AD0474">
        <w:rPr>
          <w:rFonts w:cs="Arial"/>
        </w:rPr>
        <w:t>hese</w:t>
      </w:r>
      <w:r w:rsidR="00803390">
        <w:rPr>
          <w:rFonts w:cs="Arial"/>
        </w:rPr>
        <w:t xml:space="preserve"> activities</w:t>
      </w:r>
      <w:r w:rsidR="00476D92" w:rsidRPr="00476D92">
        <w:rPr>
          <w:rFonts w:cs="Arial"/>
        </w:rPr>
        <w:t xml:space="preserve"> form a </w:t>
      </w:r>
      <w:r w:rsidR="003A0572">
        <w:rPr>
          <w:rFonts w:cs="Arial"/>
        </w:rPr>
        <w:t xml:space="preserve">comprehensive </w:t>
      </w:r>
      <w:r w:rsidR="001317B2">
        <w:rPr>
          <w:rFonts w:cs="Arial"/>
        </w:rPr>
        <w:t xml:space="preserve">internal and external </w:t>
      </w:r>
      <w:r w:rsidR="001B5F33">
        <w:rPr>
          <w:rFonts w:cs="Arial"/>
        </w:rPr>
        <w:t>assurance</w:t>
      </w:r>
      <w:r w:rsidR="00476D92" w:rsidRPr="00476D92">
        <w:rPr>
          <w:rFonts w:cs="Arial"/>
        </w:rPr>
        <w:t xml:space="preserve"> </w:t>
      </w:r>
      <w:r w:rsidR="003332BC">
        <w:rPr>
          <w:rFonts w:cs="Arial"/>
        </w:rPr>
        <w:t xml:space="preserve">system </w:t>
      </w:r>
      <w:r w:rsidR="00476D92" w:rsidRPr="00476D92">
        <w:rPr>
          <w:rFonts w:cs="Arial"/>
        </w:rPr>
        <w:t xml:space="preserve">that </w:t>
      </w:r>
      <w:r w:rsidR="00F8163E">
        <w:rPr>
          <w:rFonts w:cs="Arial"/>
        </w:rPr>
        <w:t xml:space="preserve">strengthens </w:t>
      </w:r>
      <w:r w:rsidR="00476D92" w:rsidRPr="00476D92">
        <w:rPr>
          <w:rFonts w:cs="Arial"/>
        </w:rPr>
        <w:t>transparency, integrity and organisational effectiveness.</w:t>
      </w:r>
    </w:p>
    <w:p w14:paraId="0A6EC8DB" w14:textId="405D6F8A" w:rsidR="000F0052" w:rsidRPr="00907476" w:rsidRDefault="00D71FAE" w:rsidP="00D850B1">
      <w:pPr>
        <w:spacing w:before="120" w:after="120"/>
        <w:rPr>
          <w:rFonts w:cs="Arial"/>
          <w:strike/>
          <w:szCs w:val="22"/>
        </w:rPr>
      </w:pPr>
      <w:r>
        <w:rPr>
          <w:rFonts w:cs="Arial"/>
        </w:rPr>
        <w:t>In 2024–25, w</w:t>
      </w:r>
      <w:r w:rsidR="00593E80">
        <w:rPr>
          <w:rFonts w:cs="Arial"/>
        </w:rPr>
        <w:t xml:space="preserve">ith the support of </w:t>
      </w:r>
      <w:r w:rsidR="00430650">
        <w:rPr>
          <w:rFonts w:cs="Arial"/>
        </w:rPr>
        <w:t xml:space="preserve">OCM, </w:t>
      </w:r>
      <w:r w:rsidR="006625B6">
        <w:rPr>
          <w:rFonts w:cs="Arial"/>
        </w:rPr>
        <w:t>the QBCC developed</w:t>
      </w:r>
      <w:r w:rsidR="00002FAF">
        <w:rPr>
          <w:rFonts w:cs="Arial"/>
        </w:rPr>
        <w:t xml:space="preserve"> </w:t>
      </w:r>
      <w:r w:rsidR="005F0BBE">
        <w:rPr>
          <w:rFonts w:cs="Arial"/>
        </w:rPr>
        <w:t>its</w:t>
      </w:r>
      <w:r w:rsidR="00970496">
        <w:rPr>
          <w:rFonts w:cs="Arial"/>
        </w:rPr>
        <w:t xml:space="preserve"> </w:t>
      </w:r>
      <w:r w:rsidR="005F0BBE">
        <w:rPr>
          <w:rFonts w:cs="Arial"/>
        </w:rPr>
        <w:t>Strategic Internal Audit Plan 2026–28</w:t>
      </w:r>
      <w:bookmarkStart w:id="272" w:name="_Internal_and_external"/>
      <w:bookmarkEnd w:id="272"/>
      <w:r w:rsidR="00F51913">
        <w:rPr>
          <w:rFonts w:cs="Arial"/>
        </w:rPr>
        <w:t xml:space="preserve"> </w:t>
      </w:r>
      <w:r w:rsidR="000C372E">
        <w:rPr>
          <w:rFonts w:cs="Arial"/>
        </w:rPr>
        <w:t>t</w:t>
      </w:r>
      <w:r w:rsidR="009E2DAF">
        <w:rPr>
          <w:rFonts w:cs="Arial"/>
        </w:rPr>
        <w:t>o</w:t>
      </w:r>
      <w:r w:rsidR="004E697E">
        <w:rPr>
          <w:rFonts w:cs="Arial"/>
        </w:rPr>
        <w:t xml:space="preserve"> guide</w:t>
      </w:r>
      <w:r w:rsidR="009E2DAF" w:rsidRPr="002E4A3A">
        <w:rPr>
          <w:rFonts w:cs="Arial"/>
        </w:rPr>
        <w:t xml:space="preserve"> a </w:t>
      </w:r>
      <w:r w:rsidR="005F5D63">
        <w:rPr>
          <w:rFonts w:cs="Arial"/>
        </w:rPr>
        <w:t>more targeted</w:t>
      </w:r>
      <w:r w:rsidR="009E2DAF">
        <w:rPr>
          <w:rFonts w:cs="Arial"/>
        </w:rPr>
        <w:t xml:space="preserve"> </w:t>
      </w:r>
      <w:r w:rsidR="009E2DAF" w:rsidRPr="002E4A3A">
        <w:rPr>
          <w:rFonts w:cs="Arial"/>
        </w:rPr>
        <w:t xml:space="preserve">risk-based approach to </w:t>
      </w:r>
      <w:r w:rsidR="009E2DAF">
        <w:rPr>
          <w:rFonts w:cs="Arial"/>
        </w:rPr>
        <w:t xml:space="preserve">internal </w:t>
      </w:r>
      <w:r w:rsidR="009E2DAF" w:rsidRPr="002E4A3A">
        <w:rPr>
          <w:rFonts w:cs="Arial"/>
        </w:rPr>
        <w:t>audit</w:t>
      </w:r>
      <w:r w:rsidR="00F51913">
        <w:rPr>
          <w:rFonts w:cs="Arial"/>
        </w:rPr>
        <w:t>ing</w:t>
      </w:r>
      <w:r w:rsidR="0045272F">
        <w:rPr>
          <w:rFonts w:cs="Arial"/>
        </w:rPr>
        <w:t>. Approved in June 2025, the</w:t>
      </w:r>
      <w:r w:rsidR="00C6376D">
        <w:rPr>
          <w:rFonts w:cs="Arial"/>
        </w:rPr>
        <w:t xml:space="preserve"> </w:t>
      </w:r>
      <w:r w:rsidR="0045272F">
        <w:rPr>
          <w:rFonts w:cs="Arial"/>
        </w:rPr>
        <w:t xml:space="preserve">plan </w:t>
      </w:r>
      <w:r w:rsidR="009E2DAF" w:rsidRPr="002E4A3A">
        <w:rPr>
          <w:rFonts w:cs="Arial"/>
        </w:rPr>
        <w:t xml:space="preserve">aligns with the </w:t>
      </w:r>
      <w:r w:rsidR="00FC71C1">
        <w:rPr>
          <w:rFonts w:cs="Arial"/>
        </w:rPr>
        <w:t>QBCC</w:t>
      </w:r>
      <w:r w:rsidR="009E2DAF">
        <w:rPr>
          <w:rFonts w:cs="Arial"/>
        </w:rPr>
        <w:t>’s</w:t>
      </w:r>
      <w:r w:rsidR="009E2DAF" w:rsidRPr="002E4A3A">
        <w:rPr>
          <w:rFonts w:cs="Arial"/>
        </w:rPr>
        <w:t xml:space="preserve"> objectives, </w:t>
      </w:r>
      <w:r w:rsidR="003E5F5B">
        <w:rPr>
          <w:rFonts w:cs="Arial"/>
        </w:rPr>
        <w:t>prioritises</w:t>
      </w:r>
      <w:r w:rsidR="009B7A65">
        <w:rPr>
          <w:rFonts w:cs="Arial"/>
        </w:rPr>
        <w:t xml:space="preserve"> high-</w:t>
      </w:r>
      <w:r w:rsidR="009E2DAF" w:rsidRPr="002E4A3A">
        <w:rPr>
          <w:rFonts w:cs="Arial"/>
        </w:rPr>
        <w:t>risk</w:t>
      </w:r>
      <w:r w:rsidR="009B7A65">
        <w:rPr>
          <w:rFonts w:cs="Arial"/>
        </w:rPr>
        <w:t xml:space="preserve"> areas</w:t>
      </w:r>
      <w:r w:rsidR="00237AA7">
        <w:rPr>
          <w:rFonts w:cs="Arial"/>
        </w:rPr>
        <w:t>,</w:t>
      </w:r>
      <w:r w:rsidR="009E2DAF" w:rsidRPr="002E4A3A">
        <w:rPr>
          <w:rFonts w:cs="Arial"/>
        </w:rPr>
        <w:t xml:space="preserve"> and supports </w:t>
      </w:r>
      <w:r w:rsidR="00CB19A7">
        <w:rPr>
          <w:rFonts w:cs="Arial"/>
        </w:rPr>
        <w:t xml:space="preserve">ongoing </w:t>
      </w:r>
      <w:r w:rsidR="009E2DAF" w:rsidRPr="002E4A3A">
        <w:rPr>
          <w:rFonts w:cs="Arial"/>
        </w:rPr>
        <w:t>improvement</w:t>
      </w:r>
      <w:r w:rsidR="00CB19A7">
        <w:rPr>
          <w:rFonts w:cs="Arial"/>
        </w:rPr>
        <w:t>s</w:t>
      </w:r>
      <w:r w:rsidR="009E2DAF" w:rsidRPr="002E4A3A">
        <w:rPr>
          <w:rFonts w:cs="Arial"/>
        </w:rPr>
        <w:t xml:space="preserve"> in governance</w:t>
      </w:r>
      <w:r w:rsidR="00B579C8">
        <w:rPr>
          <w:rFonts w:cs="Arial"/>
        </w:rPr>
        <w:t>, accountability</w:t>
      </w:r>
      <w:r w:rsidR="009E2DAF" w:rsidRPr="002E4A3A">
        <w:rPr>
          <w:rFonts w:cs="Arial"/>
        </w:rPr>
        <w:t xml:space="preserve"> and operation</w:t>
      </w:r>
      <w:r w:rsidR="00B579C8">
        <w:rPr>
          <w:rFonts w:cs="Arial"/>
        </w:rPr>
        <w:t>al performance</w:t>
      </w:r>
      <w:r w:rsidR="009E2DAF" w:rsidRPr="002E4A3A">
        <w:rPr>
          <w:rFonts w:cs="Arial"/>
        </w:rPr>
        <w:t>.</w:t>
      </w:r>
      <w:r w:rsidR="00AD0474">
        <w:rPr>
          <w:rFonts w:cs="Arial"/>
        </w:rPr>
        <w:t xml:space="preserve"> The QBCC also developed and finalised </w:t>
      </w:r>
      <w:r w:rsidR="000541A0">
        <w:rPr>
          <w:rFonts w:cs="Arial"/>
        </w:rPr>
        <w:t xml:space="preserve">the </w:t>
      </w:r>
      <w:r w:rsidR="000541A0" w:rsidRPr="000541A0">
        <w:rPr>
          <w:rFonts w:cs="Arial"/>
        </w:rPr>
        <w:t>2025–26</w:t>
      </w:r>
      <w:r w:rsidR="00AD0474">
        <w:rPr>
          <w:rFonts w:cs="Arial"/>
        </w:rPr>
        <w:t xml:space="preserve"> </w:t>
      </w:r>
      <w:r w:rsidR="000541A0">
        <w:rPr>
          <w:rFonts w:cs="Arial"/>
        </w:rPr>
        <w:t>R</w:t>
      </w:r>
      <w:r w:rsidR="00AD0474">
        <w:rPr>
          <w:rFonts w:cs="Arial"/>
        </w:rPr>
        <w:t xml:space="preserve">egulatory </w:t>
      </w:r>
      <w:r w:rsidR="000541A0">
        <w:rPr>
          <w:rFonts w:cs="Arial"/>
        </w:rPr>
        <w:t>A</w:t>
      </w:r>
      <w:r w:rsidR="00AD0474">
        <w:rPr>
          <w:rFonts w:cs="Arial"/>
        </w:rPr>
        <w:t xml:space="preserve">udit </w:t>
      </w:r>
      <w:r w:rsidR="000541A0">
        <w:rPr>
          <w:rFonts w:cs="Arial"/>
        </w:rPr>
        <w:t>P</w:t>
      </w:r>
      <w:r w:rsidR="00AD0474">
        <w:rPr>
          <w:rFonts w:cs="Arial"/>
        </w:rPr>
        <w:t>lan</w:t>
      </w:r>
      <w:r w:rsidR="000541A0">
        <w:rPr>
          <w:rFonts w:cs="Arial"/>
        </w:rPr>
        <w:t>,</w:t>
      </w:r>
      <w:r w:rsidR="00AD0474">
        <w:rPr>
          <w:rFonts w:cs="Arial"/>
        </w:rPr>
        <w:t xml:space="preserve"> </w:t>
      </w:r>
      <w:r w:rsidR="009B6EE2">
        <w:rPr>
          <w:rFonts w:cs="Arial"/>
        </w:rPr>
        <w:t xml:space="preserve">outlining the audit </w:t>
      </w:r>
      <w:r w:rsidR="00DB6973">
        <w:rPr>
          <w:rFonts w:cs="Arial"/>
        </w:rPr>
        <w:t xml:space="preserve">program for the year. </w:t>
      </w:r>
    </w:p>
    <w:p w14:paraId="5BFBAC21" w14:textId="5B8CD4D4" w:rsidR="0077652B" w:rsidRPr="0077652B" w:rsidRDefault="00D732E1" w:rsidP="0077652B">
      <w:pPr>
        <w:spacing w:before="120" w:after="120"/>
        <w:rPr>
          <w:rFonts w:cs="Arial"/>
        </w:rPr>
      </w:pPr>
      <w:r w:rsidRPr="794E446C">
        <w:rPr>
          <w:rFonts w:cs="Arial"/>
        </w:rPr>
        <w:t>T</w:t>
      </w:r>
      <w:r w:rsidR="00122770" w:rsidRPr="794E446C">
        <w:rPr>
          <w:rFonts w:cs="Arial"/>
        </w:rPr>
        <w:t>he</w:t>
      </w:r>
      <w:r w:rsidR="00D02432" w:rsidRPr="794E446C">
        <w:rPr>
          <w:rFonts w:cs="Arial"/>
        </w:rPr>
        <w:t xml:space="preserve"> QBCC </w:t>
      </w:r>
      <w:r w:rsidR="00EF7C68" w:rsidRPr="794E446C">
        <w:rPr>
          <w:rFonts w:cs="Arial"/>
        </w:rPr>
        <w:t xml:space="preserve">has </w:t>
      </w:r>
      <w:r w:rsidR="00E44CD1" w:rsidRPr="794E446C">
        <w:rPr>
          <w:rFonts w:cs="Arial"/>
        </w:rPr>
        <w:t xml:space="preserve">implemented </w:t>
      </w:r>
      <w:r w:rsidR="00D02432" w:rsidRPr="794E446C">
        <w:rPr>
          <w:rFonts w:cs="Arial"/>
        </w:rPr>
        <w:t xml:space="preserve">recommendations </w:t>
      </w:r>
      <w:r w:rsidR="00346569" w:rsidRPr="794E446C">
        <w:rPr>
          <w:rFonts w:cs="Arial"/>
        </w:rPr>
        <w:t xml:space="preserve">from </w:t>
      </w:r>
      <w:r w:rsidR="00332DE5" w:rsidRPr="794E446C">
        <w:rPr>
          <w:rFonts w:cs="Arial"/>
        </w:rPr>
        <w:t xml:space="preserve">most </w:t>
      </w:r>
      <w:r w:rsidR="00FB3C21" w:rsidRPr="794E446C">
        <w:rPr>
          <w:rFonts w:cs="Arial"/>
        </w:rPr>
        <w:t xml:space="preserve">completed </w:t>
      </w:r>
      <w:r w:rsidR="00402FF4">
        <w:rPr>
          <w:rFonts w:cs="Arial"/>
        </w:rPr>
        <w:t xml:space="preserve">internal and regulatory </w:t>
      </w:r>
      <w:r w:rsidR="00F16FBC" w:rsidRPr="794E446C">
        <w:rPr>
          <w:rFonts w:cs="Arial"/>
        </w:rPr>
        <w:t>audits</w:t>
      </w:r>
      <w:r w:rsidR="00EF7C68" w:rsidRPr="794E446C">
        <w:rPr>
          <w:rFonts w:cs="Arial"/>
        </w:rPr>
        <w:t xml:space="preserve">, </w:t>
      </w:r>
      <w:r w:rsidR="00BC30F2" w:rsidRPr="794E446C">
        <w:rPr>
          <w:rFonts w:cs="Arial"/>
        </w:rPr>
        <w:t>resulting in</w:t>
      </w:r>
      <w:r w:rsidR="00C4613A" w:rsidRPr="794E446C">
        <w:rPr>
          <w:rFonts w:cs="Arial"/>
        </w:rPr>
        <w:t xml:space="preserve"> </w:t>
      </w:r>
      <w:r w:rsidR="00BC30F2" w:rsidRPr="794E446C">
        <w:rPr>
          <w:rFonts w:cs="Arial"/>
        </w:rPr>
        <w:t>stronger</w:t>
      </w:r>
      <w:r w:rsidR="00EF7C68" w:rsidRPr="794E446C">
        <w:rPr>
          <w:rFonts w:cs="Arial"/>
        </w:rPr>
        <w:t xml:space="preserve"> </w:t>
      </w:r>
      <w:r w:rsidR="00BC30F2" w:rsidRPr="794E446C">
        <w:rPr>
          <w:rFonts w:cs="Arial"/>
        </w:rPr>
        <w:t>internal controls,</w:t>
      </w:r>
      <w:r w:rsidR="00EF7C68" w:rsidRPr="794E446C">
        <w:rPr>
          <w:rFonts w:cs="Arial"/>
        </w:rPr>
        <w:t xml:space="preserve"> </w:t>
      </w:r>
      <w:r w:rsidR="000344B1" w:rsidRPr="794E446C">
        <w:rPr>
          <w:rFonts w:cs="Arial"/>
        </w:rPr>
        <w:t>improved</w:t>
      </w:r>
      <w:r w:rsidR="001C4452" w:rsidRPr="794E446C">
        <w:rPr>
          <w:rFonts w:cs="Arial"/>
        </w:rPr>
        <w:t xml:space="preserve"> </w:t>
      </w:r>
      <w:r w:rsidR="00E26C5F" w:rsidRPr="794E446C">
        <w:rPr>
          <w:rFonts w:cs="Arial"/>
        </w:rPr>
        <w:t>business practices and</w:t>
      </w:r>
      <w:r w:rsidR="00F16FBC" w:rsidRPr="794E446C">
        <w:rPr>
          <w:rFonts w:cs="Arial"/>
        </w:rPr>
        <w:t xml:space="preserve"> </w:t>
      </w:r>
      <w:r w:rsidR="00E26C5F" w:rsidRPr="794E446C">
        <w:rPr>
          <w:rFonts w:cs="Arial"/>
        </w:rPr>
        <w:t xml:space="preserve">enhanced </w:t>
      </w:r>
      <w:r w:rsidR="00294477" w:rsidRPr="794E446C">
        <w:rPr>
          <w:rFonts w:cs="Arial"/>
        </w:rPr>
        <w:t xml:space="preserve">regulatory </w:t>
      </w:r>
      <w:r w:rsidR="00294477" w:rsidRPr="794E446C" w:rsidDel="00E26C5F">
        <w:rPr>
          <w:rFonts w:cs="Arial"/>
        </w:rPr>
        <w:t>effectiveness</w:t>
      </w:r>
      <w:r w:rsidR="00294477" w:rsidRPr="794E446C">
        <w:rPr>
          <w:rFonts w:cs="Arial"/>
        </w:rPr>
        <w:t>.</w:t>
      </w:r>
      <w:r w:rsidR="00A54C8A" w:rsidRPr="794E446C">
        <w:rPr>
          <w:rFonts w:cs="Arial"/>
        </w:rPr>
        <w:t xml:space="preserve"> </w:t>
      </w:r>
      <w:r w:rsidR="001B4EA0" w:rsidRPr="794E446C">
        <w:rPr>
          <w:rFonts w:cs="Arial"/>
        </w:rPr>
        <w:lastRenderedPageBreak/>
        <w:t>The organisation also fin</w:t>
      </w:r>
      <w:r w:rsidR="00D0008A" w:rsidRPr="794E446C">
        <w:rPr>
          <w:rFonts w:cs="Arial"/>
        </w:rPr>
        <w:t>alised</w:t>
      </w:r>
      <w:r w:rsidR="00FF1456" w:rsidRPr="794E446C">
        <w:rPr>
          <w:rFonts w:cs="Arial"/>
        </w:rPr>
        <w:t xml:space="preserve"> </w:t>
      </w:r>
      <w:r w:rsidR="00F5423C" w:rsidRPr="794E446C">
        <w:rPr>
          <w:rFonts w:cs="Arial"/>
        </w:rPr>
        <w:t xml:space="preserve">all </w:t>
      </w:r>
      <w:r w:rsidR="00BB2EFD">
        <w:rPr>
          <w:rFonts w:cs="Arial"/>
        </w:rPr>
        <w:t>but one</w:t>
      </w:r>
      <w:r w:rsidR="00F5423C" w:rsidRPr="794E446C">
        <w:rPr>
          <w:rFonts w:cs="Arial"/>
        </w:rPr>
        <w:t xml:space="preserve"> outstanding </w:t>
      </w:r>
      <w:r w:rsidR="6D84C693" w:rsidRPr="4D53246F">
        <w:rPr>
          <w:rFonts w:cs="Arial"/>
        </w:rPr>
        <w:t>recommendation</w:t>
      </w:r>
      <w:r w:rsidR="00F5423C" w:rsidRPr="794E446C">
        <w:rPr>
          <w:rFonts w:cs="Arial"/>
        </w:rPr>
        <w:t xml:space="preserve"> </w:t>
      </w:r>
      <w:r w:rsidR="009A48D3" w:rsidRPr="794E446C">
        <w:rPr>
          <w:rFonts w:cs="Arial"/>
        </w:rPr>
        <w:t xml:space="preserve">from the </w:t>
      </w:r>
      <w:r w:rsidR="00F5423C" w:rsidRPr="794E446C">
        <w:rPr>
          <w:rFonts w:cs="Arial"/>
        </w:rPr>
        <w:t>QAO</w:t>
      </w:r>
      <w:r w:rsidR="00D0008A" w:rsidRPr="794E446C">
        <w:rPr>
          <w:rFonts w:cs="Arial"/>
        </w:rPr>
        <w:t xml:space="preserve">, further reinforcing its governance and accountability </w:t>
      </w:r>
      <w:r w:rsidR="004F2A49" w:rsidRPr="794E446C">
        <w:rPr>
          <w:rFonts w:cs="Arial"/>
        </w:rPr>
        <w:t>frameworks</w:t>
      </w:r>
      <w:r w:rsidR="00DD5ADA" w:rsidRPr="794E446C">
        <w:rPr>
          <w:rFonts w:cs="Arial"/>
        </w:rPr>
        <w:t>.</w:t>
      </w:r>
      <w:r w:rsidR="00547A97" w:rsidRPr="794E446C">
        <w:rPr>
          <w:rFonts w:cs="Arial"/>
        </w:rPr>
        <w:t xml:space="preserve"> Complementing </w:t>
      </w:r>
      <w:r w:rsidR="003A2A66" w:rsidRPr="794E446C">
        <w:rPr>
          <w:rFonts w:cs="Arial"/>
        </w:rPr>
        <w:t>these assurance activities</w:t>
      </w:r>
      <w:r w:rsidR="00E22BAB" w:rsidRPr="794E446C">
        <w:rPr>
          <w:rFonts w:cs="Arial"/>
        </w:rPr>
        <w:t xml:space="preserve">, the QBCC </w:t>
      </w:r>
      <w:r w:rsidR="00A5085F" w:rsidRPr="794E446C">
        <w:rPr>
          <w:rFonts w:cs="Arial"/>
        </w:rPr>
        <w:t xml:space="preserve">made </w:t>
      </w:r>
      <w:r w:rsidR="003A2A66" w:rsidRPr="794E446C">
        <w:rPr>
          <w:rFonts w:cs="Arial"/>
        </w:rPr>
        <w:t>substantial</w:t>
      </w:r>
      <w:r w:rsidR="0077652B" w:rsidRPr="794E446C">
        <w:rPr>
          <w:rFonts w:cs="Arial"/>
        </w:rPr>
        <w:t xml:space="preserve"> progress in embedding </w:t>
      </w:r>
      <w:r w:rsidR="003A2A66" w:rsidRPr="794E446C">
        <w:rPr>
          <w:rFonts w:cs="Arial"/>
        </w:rPr>
        <w:t>its</w:t>
      </w:r>
      <w:r w:rsidR="0077652B" w:rsidRPr="794E446C">
        <w:rPr>
          <w:rFonts w:cs="Arial"/>
        </w:rPr>
        <w:t xml:space="preserve"> R</w:t>
      </w:r>
      <w:r w:rsidR="0099789B" w:rsidRPr="794E446C">
        <w:rPr>
          <w:rFonts w:cs="Arial"/>
        </w:rPr>
        <w:t>A</w:t>
      </w:r>
      <w:r w:rsidR="0077652B" w:rsidRPr="794E446C">
        <w:rPr>
          <w:rFonts w:cs="Arial"/>
        </w:rPr>
        <w:t>F across the organisation</w:t>
      </w:r>
      <w:r w:rsidR="003A2A66" w:rsidRPr="794E446C">
        <w:rPr>
          <w:rFonts w:cs="Arial"/>
        </w:rPr>
        <w:t xml:space="preserve">. Key </w:t>
      </w:r>
      <w:r w:rsidR="005956FE" w:rsidRPr="794E446C">
        <w:rPr>
          <w:rFonts w:cs="Arial"/>
        </w:rPr>
        <w:t>achieve</w:t>
      </w:r>
      <w:r w:rsidR="003A2A66" w:rsidRPr="794E446C">
        <w:rPr>
          <w:rFonts w:cs="Arial"/>
        </w:rPr>
        <w:t>ments included</w:t>
      </w:r>
      <w:r w:rsidR="0077652B" w:rsidRPr="794E446C">
        <w:rPr>
          <w:rFonts w:cs="Arial"/>
        </w:rPr>
        <w:t xml:space="preserve">: </w:t>
      </w:r>
    </w:p>
    <w:p w14:paraId="610751B7" w14:textId="44CD9EBC" w:rsidR="0077652B" w:rsidRPr="0077652B" w:rsidRDefault="00A74FF1" w:rsidP="00BD69F7">
      <w:pPr>
        <w:pStyle w:val="ListParagraph"/>
        <w:numPr>
          <w:ilvl w:val="0"/>
          <w:numId w:val="40"/>
        </w:numPr>
        <w:spacing w:before="120" w:after="120"/>
        <w:ind w:left="714" w:hanging="357"/>
        <w:contextualSpacing w:val="0"/>
        <w:rPr>
          <w:rFonts w:cs="Arial"/>
          <w:szCs w:val="22"/>
        </w:rPr>
      </w:pPr>
      <w:r>
        <w:rPr>
          <w:rFonts w:cs="Arial"/>
          <w:szCs w:val="22"/>
        </w:rPr>
        <w:t>e</w:t>
      </w:r>
      <w:r w:rsidR="0077652B" w:rsidRPr="0077652B">
        <w:rPr>
          <w:rFonts w:cs="Arial"/>
          <w:szCs w:val="22"/>
        </w:rPr>
        <w:t>stablishing a dedicated regulatory audit function</w:t>
      </w:r>
    </w:p>
    <w:p w14:paraId="70D6D09D" w14:textId="1F4F6458" w:rsidR="0077652B" w:rsidRPr="0077652B" w:rsidRDefault="00A74FF1" w:rsidP="00BD69F7">
      <w:pPr>
        <w:pStyle w:val="ListParagraph"/>
        <w:numPr>
          <w:ilvl w:val="0"/>
          <w:numId w:val="40"/>
        </w:numPr>
        <w:spacing w:before="120" w:after="120"/>
        <w:ind w:left="714" w:hanging="357"/>
        <w:contextualSpacing w:val="0"/>
        <w:rPr>
          <w:rFonts w:cs="Arial"/>
          <w:szCs w:val="22"/>
        </w:rPr>
      </w:pPr>
      <w:r>
        <w:rPr>
          <w:rFonts w:cs="Arial"/>
          <w:szCs w:val="22"/>
        </w:rPr>
        <w:t>i</w:t>
      </w:r>
      <w:r w:rsidR="0077652B" w:rsidRPr="0077652B">
        <w:rPr>
          <w:rFonts w:cs="Arial"/>
          <w:szCs w:val="22"/>
        </w:rPr>
        <w:t>ntroducing a risk-based decision</w:t>
      </w:r>
      <w:r w:rsidR="00BB2EFD">
        <w:rPr>
          <w:rFonts w:cs="Arial"/>
          <w:szCs w:val="22"/>
        </w:rPr>
        <w:t>-</w:t>
      </w:r>
      <w:r w:rsidR="0077652B" w:rsidRPr="0077652B">
        <w:rPr>
          <w:rFonts w:cs="Arial"/>
          <w:szCs w:val="22"/>
        </w:rPr>
        <w:t xml:space="preserve">making framework and </w:t>
      </w:r>
      <w:r w:rsidR="003A2A66">
        <w:rPr>
          <w:rFonts w:cs="Arial"/>
          <w:szCs w:val="22"/>
        </w:rPr>
        <w:t>supporting</w:t>
      </w:r>
      <w:r w:rsidR="0077652B" w:rsidRPr="0077652B">
        <w:rPr>
          <w:rFonts w:cs="Arial"/>
          <w:szCs w:val="22"/>
        </w:rPr>
        <w:t xml:space="preserve"> </w:t>
      </w:r>
      <w:r w:rsidR="00B05ADE">
        <w:rPr>
          <w:rFonts w:cs="Arial"/>
          <w:szCs w:val="22"/>
        </w:rPr>
        <w:t>guidance</w:t>
      </w:r>
    </w:p>
    <w:p w14:paraId="7C0E0FE4" w14:textId="7B35E63F" w:rsidR="0077652B" w:rsidRPr="0077652B" w:rsidRDefault="00A74FF1" w:rsidP="00BD69F7">
      <w:pPr>
        <w:pStyle w:val="ListParagraph"/>
        <w:numPr>
          <w:ilvl w:val="0"/>
          <w:numId w:val="40"/>
        </w:numPr>
        <w:spacing w:before="120" w:after="120"/>
        <w:ind w:left="714" w:hanging="357"/>
        <w:contextualSpacing w:val="0"/>
        <w:rPr>
          <w:rFonts w:cs="Arial"/>
          <w:szCs w:val="22"/>
        </w:rPr>
      </w:pPr>
      <w:r>
        <w:rPr>
          <w:rFonts w:cs="Arial"/>
          <w:szCs w:val="22"/>
        </w:rPr>
        <w:t>d</w:t>
      </w:r>
      <w:r w:rsidR="0077652B" w:rsidRPr="0077652B">
        <w:rPr>
          <w:rFonts w:cs="Arial"/>
          <w:szCs w:val="22"/>
        </w:rPr>
        <w:t>eveloping organisation</w:t>
      </w:r>
      <w:r w:rsidR="00B05ADE">
        <w:rPr>
          <w:rFonts w:cs="Arial"/>
          <w:szCs w:val="22"/>
        </w:rPr>
        <w:t>-wide</w:t>
      </w:r>
      <w:r w:rsidR="0077652B" w:rsidRPr="0077652B">
        <w:rPr>
          <w:rFonts w:cs="Arial"/>
          <w:szCs w:val="22"/>
        </w:rPr>
        <w:t xml:space="preserve"> quality assurance guidance</w:t>
      </w:r>
    </w:p>
    <w:p w14:paraId="42849D95" w14:textId="193FDE1E" w:rsidR="0077652B" w:rsidRPr="0077652B" w:rsidRDefault="00A74FF1" w:rsidP="00BD69F7">
      <w:pPr>
        <w:pStyle w:val="ListParagraph"/>
        <w:numPr>
          <w:ilvl w:val="0"/>
          <w:numId w:val="40"/>
        </w:numPr>
        <w:spacing w:before="120" w:after="120"/>
        <w:ind w:left="714" w:hanging="357"/>
        <w:contextualSpacing w:val="0"/>
        <w:rPr>
          <w:rFonts w:cs="Arial"/>
          <w:szCs w:val="22"/>
        </w:rPr>
      </w:pPr>
      <w:r>
        <w:rPr>
          <w:rFonts w:cs="Arial"/>
          <w:szCs w:val="22"/>
        </w:rPr>
        <w:t>p</w:t>
      </w:r>
      <w:r w:rsidR="0077652B" w:rsidRPr="0077652B">
        <w:rPr>
          <w:rFonts w:cs="Arial"/>
          <w:szCs w:val="22"/>
        </w:rPr>
        <w:t xml:space="preserve">ublishing </w:t>
      </w:r>
      <w:r w:rsidR="00A42145">
        <w:rPr>
          <w:rFonts w:cs="Arial"/>
          <w:szCs w:val="22"/>
        </w:rPr>
        <w:t>a</w:t>
      </w:r>
      <w:r w:rsidR="0077652B" w:rsidRPr="0077652B">
        <w:rPr>
          <w:rFonts w:cs="Arial"/>
          <w:szCs w:val="22"/>
        </w:rPr>
        <w:t xml:space="preserve"> Good Decision-Making Guide </w:t>
      </w:r>
      <w:r w:rsidR="001C56B7">
        <w:rPr>
          <w:rFonts w:cs="Arial"/>
          <w:szCs w:val="22"/>
        </w:rPr>
        <w:t xml:space="preserve">for </w:t>
      </w:r>
      <w:r w:rsidR="0077652B" w:rsidRPr="005956FE">
        <w:rPr>
          <w:rFonts w:cs="Arial"/>
          <w:szCs w:val="22"/>
        </w:rPr>
        <w:t>interna</w:t>
      </w:r>
      <w:r w:rsidR="001C56B7">
        <w:rPr>
          <w:rFonts w:cs="Arial"/>
          <w:szCs w:val="22"/>
        </w:rPr>
        <w:t>l use</w:t>
      </w:r>
    </w:p>
    <w:p w14:paraId="749E2B6D" w14:textId="08EB041F" w:rsidR="0077652B" w:rsidRPr="0077652B" w:rsidRDefault="00A74FF1" w:rsidP="00BD69F7">
      <w:pPr>
        <w:pStyle w:val="ListParagraph"/>
        <w:numPr>
          <w:ilvl w:val="0"/>
          <w:numId w:val="40"/>
        </w:numPr>
        <w:spacing w:before="120" w:after="120"/>
        <w:ind w:left="714" w:hanging="357"/>
        <w:contextualSpacing w:val="0"/>
        <w:rPr>
          <w:rFonts w:cs="Arial"/>
          <w:szCs w:val="22"/>
        </w:rPr>
      </w:pPr>
      <w:r>
        <w:rPr>
          <w:rFonts w:cs="Arial"/>
          <w:szCs w:val="22"/>
        </w:rPr>
        <w:t>a</w:t>
      </w:r>
      <w:r w:rsidR="0077652B" w:rsidRPr="0077652B">
        <w:rPr>
          <w:rFonts w:cs="Arial"/>
          <w:szCs w:val="22"/>
        </w:rPr>
        <w:t>pproving and implementing a Capability Framework</w:t>
      </w:r>
    </w:p>
    <w:p w14:paraId="72F4EDAE" w14:textId="03F189F6" w:rsidR="0077652B" w:rsidRPr="0077652B" w:rsidRDefault="00A74FF1" w:rsidP="00BD69F7">
      <w:pPr>
        <w:pStyle w:val="ListParagraph"/>
        <w:numPr>
          <w:ilvl w:val="0"/>
          <w:numId w:val="40"/>
        </w:numPr>
        <w:spacing w:before="120" w:after="120"/>
        <w:ind w:left="714" w:hanging="357"/>
        <w:contextualSpacing w:val="0"/>
        <w:rPr>
          <w:rFonts w:cs="Arial"/>
          <w:szCs w:val="22"/>
        </w:rPr>
      </w:pPr>
      <w:r>
        <w:rPr>
          <w:rFonts w:cs="Arial"/>
          <w:szCs w:val="22"/>
        </w:rPr>
        <w:t>d</w:t>
      </w:r>
      <w:r w:rsidR="001C56B7">
        <w:rPr>
          <w:rFonts w:cs="Arial"/>
          <w:szCs w:val="22"/>
        </w:rPr>
        <w:t>elivering</w:t>
      </w:r>
      <w:r w:rsidR="0077652B" w:rsidRPr="0077652B">
        <w:rPr>
          <w:rFonts w:cs="Arial"/>
          <w:szCs w:val="22"/>
        </w:rPr>
        <w:t xml:space="preserve"> pilot training programs on good decision</w:t>
      </w:r>
      <w:r w:rsidR="001C56B7">
        <w:rPr>
          <w:rFonts w:cs="Arial"/>
          <w:szCs w:val="22"/>
        </w:rPr>
        <w:t xml:space="preserve"> </w:t>
      </w:r>
      <w:r w:rsidR="0077652B" w:rsidRPr="0077652B">
        <w:rPr>
          <w:rFonts w:cs="Arial"/>
          <w:szCs w:val="22"/>
        </w:rPr>
        <w:t>making and statutory interpretation</w:t>
      </w:r>
    </w:p>
    <w:p w14:paraId="5FB0BF3A" w14:textId="401A3C3E" w:rsidR="004F552F" w:rsidRPr="005956FE" w:rsidRDefault="00A74FF1" w:rsidP="00BD69F7">
      <w:pPr>
        <w:pStyle w:val="ListParagraph"/>
        <w:numPr>
          <w:ilvl w:val="0"/>
          <w:numId w:val="40"/>
        </w:numPr>
        <w:spacing w:before="120" w:after="120"/>
        <w:ind w:left="714" w:hanging="357"/>
        <w:contextualSpacing w:val="0"/>
        <w:rPr>
          <w:rFonts w:cs="Arial"/>
          <w:szCs w:val="22"/>
        </w:rPr>
      </w:pPr>
      <w:r>
        <w:rPr>
          <w:rFonts w:cs="Arial"/>
          <w:szCs w:val="22"/>
        </w:rPr>
        <w:t>r</w:t>
      </w:r>
      <w:r w:rsidR="0077652B" w:rsidRPr="005956FE">
        <w:rPr>
          <w:rFonts w:cs="Arial"/>
          <w:szCs w:val="22"/>
        </w:rPr>
        <w:t>evi</w:t>
      </w:r>
      <w:r w:rsidR="001C56B7">
        <w:rPr>
          <w:rFonts w:cs="Arial"/>
          <w:szCs w:val="22"/>
        </w:rPr>
        <w:t>ewing</w:t>
      </w:r>
      <w:r w:rsidR="0077652B" w:rsidRPr="0077652B">
        <w:rPr>
          <w:rFonts w:cs="Arial"/>
          <w:szCs w:val="22"/>
        </w:rPr>
        <w:t xml:space="preserve"> and updating the QBCC Delegations </w:t>
      </w:r>
      <w:r w:rsidR="00A977C4">
        <w:rPr>
          <w:rFonts w:cs="Arial"/>
          <w:szCs w:val="22"/>
        </w:rPr>
        <w:t>and Authorisation</w:t>
      </w:r>
      <w:r w:rsidR="0077652B" w:rsidRPr="0077652B">
        <w:rPr>
          <w:rFonts w:cs="Arial"/>
          <w:szCs w:val="22"/>
        </w:rPr>
        <w:t xml:space="preserve"> Manual</w:t>
      </w:r>
    </w:p>
    <w:p w14:paraId="7EF4464C" w14:textId="6D860AD5" w:rsidR="00B67DF5" w:rsidRPr="006E46C3" w:rsidRDefault="00A74FF1" w:rsidP="00BD69F7">
      <w:pPr>
        <w:pStyle w:val="ListParagraph"/>
        <w:numPr>
          <w:ilvl w:val="0"/>
          <w:numId w:val="40"/>
        </w:numPr>
        <w:spacing w:before="120" w:after="120"/>
        <w:ind w:left="714" w:hanging="357"/>
        <w:contextualSpacing w:val="0"/>
        <w:rPr>
          <w:rFonts w:cs="Arial"/>
          <w:szCs w:val="22"/>
        </w:rPr>
      </w:pPr>
      <w:r>
        <w:rPr>
          <w:rFonts w:cs="Arial"/>
          <w:szCs w:val="22"/>
        </w:rPr>
        <w:t>d</w:t>
      </w:r>
      <w:r w:rsidR="00B67DF5">
        <w:rPr>
          <w:rFonts w:cs="Arial"/>
          <w:szCs w:val="22"/>
        </w:rPr>
        <w:t xml:space="preserve">eveloping and </w:t>
      </w:r>
      <w:r w:rsidR="00B67DF5" w:rsidRPr="00B67DF5">
        <w:rPr>
          <w:rFonts w:cs="Arial"/>
          <w:szCs w:val="22"/>
        </w:rPr>
        <w:t>implement</w:t>
      </w:r>
      <w:r w:rsidR="00B67DF5">
        <w:rPr>
          <w:rFonts w:cs="Arial"/>
          <w:szCs w:val="22"/>
        </w:rPr>
        <w:t xml:space="preserve">ing the QBCC </w:t>
      </w:r>
      <w:r w:rsidR="00B67DF5" w:rsidRPr="00B67DF5">
        <w:rPr>
          <w:rFonts w:cs="Arial"/>
          <w:szCs w:val="22"/>
        </w:rPr>
        <w:t>Proactive Approach to Regulatory Intelligence and the</w:t>
      </w:r>
      <w:r w:rsidR="00B52995">
        <w:rPr>
          <w:rFonts w:cs="Arial"/>
          <w:szCs w:val="22"/>
        </w:rPr>
        <w:t xml:space="preserve"> </w:t>
      </w:r>
      <w:r w:rsidR="00B67DF5" w:rsidRPr="00B67DF5">
        <w:rPr>
          <w:rFonts w:cs="Arial"/>
          <w:szCs w:val="22"/>
        </w:rPr>
        <w:t>Regulatory Intelligence Priorities</w:t>
      </w:r>
      <w:r w:rsidR="00B52995">
        <w:rPr>
          <w:rFonts w:cs="Arial"/>
          <w:szCs w:val="22"/>
        </w:rPr>
        <w:t xml:space="preserve"> for 2024–25</w:t>
      </w:r>
      <w:r w:rsidR="008D6A7C">
        <w:rPr>
          <w:rFonts w:cs="Arial"/>
          <w:szCs w:val="22"/>
        </w:rPr>
        <w:t>.</w:t>
      </w:r>
    </w:p>
    <w:p w14:paraId="24727130" w14:textId="24AC8375" w:rsidR="00547A97" w:rsidRPr="00CA7CA8" w:rsidRDefault="00C13C93" w:rsidP="00907476">
      <w:pPr>
        <w:spacing w:before="120" w:after="120"/>
        <w:rPr>
          <w:rFonts w:cs="Arial"/>
          <w:szCs w:val="22"/>
        </w:rPr>
      </w:pPr>
      <w:r w:rsidRPr="00CA7CA8">
        <w:rPr>
          <w:rFonts w:cs="Arial"/>
          <w:szCs w:val="22"/>
        </w:rPr>
        <w:t>The</w:t>
      </w:r>
      <w:r w:rsidR="0083068D" w:rsidRPr="00CA7CA8">
        <w:rPr>
          <w:rFonts w:cs="Arial"/>
          <w:szCs w:val="22"/>
        </w:rPr>
        <w:t xml:space="preserve">se achievements </w:t>
      </w:r>
      <w:r w:rsidR="00DC51A9" w:rsidRPr="00CA7CA8">
        <w:rPr>
          <w:rFonts w:cs="Arial"/>
          <w:szCs w:val="22"/>
        </w:rPr>
        <w:t>provide</w:t>
      </w:r>
      <w:r w:rsidR="0083068D" w:rsidRPr="00CA7CA8">
        <w:rPr>
          <w:rFonts w:cs="Arial"/>
          <w:szCs w:val="22"/>
        </w:rPr>
        <w:t xml:space="preserve"> a strong foundation for </w:t>
      </w:r>
      <w:r w:rsidR="00BA4F96" w:rsidRPr="00CA7CA8">
        <w:rPr>
          <w:rFonts w:cs="Arial"/>
          <w:szCs w:val="22"/>
        </w:rPr>
        <w:t xml:space="preserve">the QBCC to </w:t>
      </w:r>
      <w:r w:rsidR="00C64201" w:rsidRPr="00CA7CA8">
        <w:rPr>
          <w:rFonts w:cs="Arial"/>
          <w:szCs w:val="22"/>
        </w:rPr>
        <w:t>embed</w:t>
      </w:r>
      <w:r w:rsidR="0083068D" w:rsidRPr="00CA7CA8">
        <w:rPr>
          <w:rFonts w:cs="Arial"/>
          <w:szCs w:val="22"/>
        </w:rPr>
        <w:t xml:space="preserve"> intelligence </w:t>
      </w:r>
      <w:r w:rsidR="00BA4F96" w:rsidRPr="00CA7CA8">
        <w:rPr>
          <w:rFonts w:cs="Arial"/>
          <w:szCs w:val="22"/>
        </w:rPr>
        <w:t xml:space="preserve">and </w:t>
      </w:r>
      <w:r w:rsidR="0083068D" w:rsidRPr="00CA7CA8">
        <w:rPr>
          <w:rFonts w:cs="Arial"/>
          <w:szCs w:val="22"/>
        </w:rPr>
        <w:t>insights into regulatory decision making</w:t>
      </w:r>
      <w:r w:rsidR="00C64201" w:rsidRPr="00CA7CA8">
        <w:rPr>
          <w:rFonts w:cs="Arial"/>
          <w:szCs w:val="22"/>
        </w:rPr>
        <w:t>, supported by</w:t>
      </w:r>
      <w:r w:rsidR="0083068D" w:rsidRPr="00CA7CA8">
        <w:rPr>
          <w:rFonts w:cs="Arial"/>
          <w:szCs w:val="22"/>
        </w:rPr>
        <w:t xml:space="preserve"> clear direction and accountability for how intelligence </w:t>
      </w:r>
      <w:r w:rsidR="00934693" w:rsidRPr="00CA7CA8">
        <w:rPr>
          <w:rFonts w:cs="Arial"/>
          <w:szCs w:val="22"/>
        </w:rPr>
        <w:t>informs</w:t>
      </w:r>
      <w:r w:rsidR="0083068D" w:rsidRPr="00CA7CA8">
        <w:rPr>
          <w:rFonts w:cs="Arial"/>
          <w:szCs w:val="22"/>
        </w:rPr>
        <w:t xml:space="preserve"> risk-based regulation</w:t>
      </w:r>
      <w:r w:rsidR="00537A75" w:rsidRPr="00CA7CA8">
        <w:rPr>
          <w:rFonts w:cs="Arial"/>
          <w:szCs w:val="22"/>
        </w:rPr>
        <w:t>.</w:t>
      </w:r>
    </w:p>
    <w:p w14:paraId="0299D266" w14:textId="57370A93" w:rsidR="00DF399A" w:rsidRPr="00903B71" w:rsidRDefault="00DF399A" w:rsidP="00DE22C5">
      <w:pPr>
        <w:pStyle w:val="Heading4"/>
        <w:rPr>
          <w:szCs w:val="28"/>
        </w:rPr>
      </w:pPr>
      <w:bookmarkStart w:id="273" w:name="_QBCC_Governance_Review"/>
      <w:bookmarkEnd w:id="273"/>
      <w:r w:rsidRPr="00903B71">
        <w:rPr>
          <w:szCs w:val="28"/>
        </w:rPr>
        <w:t xml:space="preserve">QBCC Governance Review 2022 </w:t>
      </w:r>
      <w:r w:rsidR="0005107C" w:rsidRPr="00903B71">
        <w:rPr>
          <w:szCs w:val="28"/>
        </w:rPr>
        <w:t xml:space="preserve">  </w:t>
      </w:r>
      <w:r w:rsidRPr="00903B71">
        <w:rPr>
          <w:szCs w:val="28"/>
        </w:rPr>
        <w:t xml:space="preserve"> </w:t>
      </w:r>
    </w:p>
    <w:p w14:paraId="3E5B6437" w14:textId="1760ED5E" w:rsidR="00F75E79" w:rsidRDefault="00162242" w:rsidP="00907476">
      <w:pPr>
        <w:spacing w:before="120" w:after="120"/>
        <w:rPr>
          <w:rFonts w:cs="Arial"/>
          <w:szCs w:val="22"/>
        </w:rPr>
      </w:pPr>
      <w:r w:rsidRPr="00162242">
        <w:rPr>
          <w:rFonts w:cs="Arial"/>
          <w:szCs w:val="22"/>
        </w:rPr>
        <w:t xml:space="preserve">In November 2021, the then Department of Energy and Public Works commissioned an independent review into the governance of the QBCC. The </w:t>
      </w:r>
      <w:r w:rsidR="00D552A3">
        <w:rPr>
          <w:rFonts w:cs="Arial"/>
          <w:szCs w:val="22"/>
        </w:rPr>
        <w:t xml:space="preserve">QBCC </w:t>
      </w:r>
      <w:r w:rsidRPr="00162242">
        <w:rPr>
          <w:rFonts w:cs="Arial"/>
          <w:szCs w:val="22"/>
        </w:rPr>
        <w:t xml:space="preserve">Governance Review </w:t>
      </w:r>
      <w:r w:rsidR="00F542AE">
        <w:rPr>
          <w:rFonts w:cs="Arial"/>
          <w:szCs w:val="22"/>
        </w:rPr>
        <w:t xml:space="preserve">2022 </w:t>
      </w:r>
      <w:r w:rsidR="006A0E5D">
        <w:rPr>
          <w:rFonts w:cs="Arial"/>
          <w:szCs w:val="22"/>
        </w:rPr>
        <w:t>(G</w:t>
      </w:r>
      <w:r w:rsidR="00C11780">
        <w:rPr>
          <w:rFonts w:cs="Arial"/>
          <w:szCs w:val="22"/>
        </w:rPr>
        <w:t xml:space="preserve">overnance Review) </w:t>
      </w:r>
      <w:r w:rsidR="009060DB">
        <w:rPr>
          <w:rFonts w:cs="Arial"/>
          <w:szCs w:val="22"/>
        </w:rPr>
        <w:t>outlined</w:t>
      </w:r>
      <w:r w:rsidRPr="00162242">
        <w:rPr>
          <w:rFonts w:cs="Arial"/>
          <w:szCs w:val="22"/>
        </w:rPr>
        <w:t xml:space="preserve"> 17 recommendations with 77 </w:t>
      </w:r>
      <w:r w:rsidR="009060DB">
        <w:rPr>
          <w:rFonts w:cs="Arial"/>
          <w:szCs w:val="22"/>
        </w:rPr>
        <w:t xml:space="preserve">associated </w:t>
      </w:r>
      <w:r w:rsidRPr="00162242">
        <w:rPr>
          <w:rFonts w:cs="Arial"/>
          <w:szCs w:val="22"/>
        </w:rPr>
        <w:t xml:space="preserve">actions to be </w:t>
      </w:r>
      <w:r w:rsidR="002B669A">
        <w:rPr>
          <w:rFonts w:cs="Arial"/>
          <w:szCs w:val="22"/>
        </w:rPr>
        <w:t xml:space="preserve">implemented </w:t>
      </w:r>
      <w:r w:rsidRPr="00162242">
        <w:rPr>
          <w:rFonts w:cs="Arial"/>
          <w:szCs w:val="22"/>
        </w:rPr>
        <w:t xml:space="preserve">over a </w:t>
      </w:r>
      <w:r w:rsidR="00C05701">
        <w:rPr>
          <w:rFonts w:cs="Arial"/>
          <w:szCs w:val="22"/>
        </w:rPr>
        <w:t>three</w:t>
      </w:r>
      <w:r w:rsidR="006437E9">
        <w:rPr>
          <w:rFonts w:cs="Arial"/>
          <w:szCs w:val="22"/>
        </w:rPr>
        <w:t>-</w:t>
      </w:r>
      <w:r w:rsidRPr="00162242">
        <w:rPr>
          <w:rFonts w:cs="Arial"/>
          <w:szCs w:val="22"/>
        </w:rPr>
        <w:t xml:space="preserve">year </w:t>
      </w:r>
      <w:r w:rsidR="002B669A">
        <w:rPr>
          <w:rFonts w:cs="Arial"/>
          <w:szCs w:val="22"/>
        </w:rPr>
        <w:t>period</w:t>
      </w:r>
      <w:r w:rsidRPr="00162242">
        <w:rPr>
          <w:rFonts w:cs="Arial"/>
          <w:szCs w:val="22"/>
        </w:rPr>
        <w:t xml:space="preserve">. </w:t>
      </w:r>
      <w:r w:rsidR="00D760B8">
        <w:rPr>
          <w:rFonts w:cs="Arial"/>
          <w:szCs w:val="22"/>
        </w:rPr>
        <w:t>To overs</w:t>
      </w:r>
      <w:r w:rsidR="006F0D9E">
        <w:rPr>
          <w:rFonts w:cs="Arial"/>
          <w:szCs w:val="22"/>
        </w:rPr>
        <w:t>ee the implementation, a</w:t>
      </w:r>
      <w:r w:rsidR="00BF5E45">
        <w:rPr>
          <w:rFonts w:cs="Arial"/>
          <w:szCs w:val="22"/>
        </w:rPr>
        <w:t>n</w:t>
      </w:r>
      <w:r w:rsidR="00BF5E45" w:rsidRPr="00162242">
        <w:rPr>
          <w:rFonts w:cs="Arial"/>
          <w:szCs w:val="22"/>
        </w:rPr>
        <w:t xml:space="preserve"> Implementation Steering Committee (ISC) was </w:t>
      </w:r>
      <w:r w:rsidR="006F0D9E">
        <w:rPr>
          <w:rFonts w:cs="Arial"/>
          <w:szCs w:val="22"/>
        </w:rPr>
        <w:t>established</w:t>
      </w:r>
      <w:r w:rsidR="00570598">
        <w:rPr>
          <w:rFonts w:cs="Arial"/>
          <w:szCs w:val="22"/>
        </w:rPr>
        <w:t>,</w:t>
      </w:r>
      <w:r w:rsidR="006F0D9E">
        <w:rPr>
          <w:rFonts w:cs="Arial"/>
          <w:szCs w:val="22"/>
        </w:rPr>
        <w:t xml:space="preserve"> </w:t>
      </w:r>
      <w:r w:rsidRPr="00162242">
        <w:rPr>
          <w:rFonts w:cs="Arial"/>
          <w:szCs w:val="22"/>
        </w:rPr>
        <w:t xml:space="preserve">chaired by the Director-General of </w:t>
      </w:r>
      <w:r w:rsidR="00C7266D">
        <w:rPr>
          <w:rFonts w:cs="Arial"/>
          <w:szCs w:val="22"/>
        </w:rPr>
        <w:t xml:space="preserve">the </w:t>
      </w:r>
      <w:r w:rsidRPr="00162242">
        <w:rPr>
          <w:rFonts w:cs="Arial"/>
          <w:szCs w:val="22"/>
        </w:rPr>
        <w:t>DHPW, and compri</w:t>
      </w:r>
      <w:r w:rsidR="00C7266D">
        <w:rPr>
          <w:rFonts w:cs="Arial"/>
          <w:szCs w:val="22"/>
        </w:rPr>
        <w:t xml:space="preserve">sing </w:t>
      </w:r>
      <w:r w:rsidRPr="00162242">
        <w:rPr>
          <w:rFonts w:cs="Arial"/>
          <w:szCs w:val="22"/>
        </w:rPr>
        <w:t>the QBC Board Chair, the Commissioner and</w:t>
      </w:r>
      <w:r w:rsidR="00C5005E">
        <w:rPr>
          <w:rFonts w:cs="Arial"/>
          <w:szCs w:val="22"/>
        </w:rPr>
        <w:t xml:space="preserve"> </w:t>
      </w:r>
      <w:r w:rsidRPr="00162242">
        <w:rPr>
          <w:rFonts w:cs="Arial"/>
          <w:szCs w:val="22"/>
        </w:rPr>
        <w:t>representatives</w:t>
      </w:r>
      <w:r w:rsidR="00E202DA">
        <w:rPr>
          <w:rFonts w:cs="Arial"/>
          <w:szCs w:val="22"/>
        </w:rPr>
        <w:t xml:space="preserve"> </w:t>
      </w:r>
      <w:r w:rsidRPr="00162242">
        <w:rPr>
          <w:rFonts w:cs="Arial"/>
          <w:szCs w:val="22"/>
        </w:rPr>
        <w:t>from Queensland Treasury and the Department of Premier and Cabinet.</w:t>
      </w:r>
    </w:p>
    <w:p w14:paraId="6983FDB3" w14:textId="2D8552D4" w:rsidR="00162242" w:rsidRPr="00162242" w:rsidRDefault="00E202DA" w:rsidP="00175C13">
      <w:pPr>
        <w:spacing w:before="120" w:after="120"/>
        <w:rPr>
          <w:rFonts w:cs="Arial"/>
        </w:rPr>
      </w:pPr>
      <w:r w:rsidRPr="78A1246B">
        <w:rPr>
          <w:rFonts w:cs="Arial"/>
        </w:rPr>
        <w:t>Throughout</w:t>
      </w:r>
      <w:r w:rsidR="00F75E79" w:rsidRPr="78A1246B">
        <w:rPr>
          <w:rFonts w:cs="Arial"/>
        </w:rPr>
        <w:t xml:space="preserve"> 2024–25, the </w:t>
      </w:r>
      <w:r w:rsidR="00162242" w:rsidRPr="78A1246B">
        <w:rPr>
          <w:rFonts w:cs="Arial"/>
        </w:rPr>
        <w:t xml:space="preserve">ISC </w:t>
      </w:r>
      <w:r w:rsidR="0018615F" w:rsidRPr="78A1246B">
        <w:rPr>
          <w:rFonts w:cs="Arial"/>
        </w:rPr>
        <w:t>held</w:t>
      </w:r>
      <w:r w:rsidR="00CA302D" w:rsidRPr="78A1246B">
        <w:rPr>
          <w:rFonts w:cs="Arial"/>
        </w:rPr>
        <w:t xml:space="preserve"> </w:t>
      </w:r>
      <w:r w:rsidR="00F925A2" w:rsidRPr="78A1246B">
        <w:rPr>
          <w:rFonts w:cs="Arial"/>
        </w:rPr>
        <w:t>regular</w:t>
      </w:r>
      <w:r w:rsidR="00CA302D" w:rsidRPr="78A1246B">
        <w:rPr>
          <w:rFonts w:cs="Arial"/>
        </w:rPr>
        <w:t xml:space="preserve"> </w:t>
      </w:r>
      <w:r w:rsidR="00162242" w:rsidRPr="78A1246B">
        <w:rPr>
          <w:rFonts w:cs="Arial"/>
        </w:rPr>
        <w:t>meet</w:t>
      </w:r>
      <w:r w:rsidR="00CA302D" w:rsidRPr="78A1246B">
        <w:rPr>
          <w:rFonts w:cs="Arial"/>
        </w:rPr>
        <w:t>ing</w:t>
      </w:r>
      <w:r w:rsidR="00162242" w:rsidRPr="78A1246B">
        <w:rPr>
          <w:rFonts w:cs="Arial"/>
        </w:rPr>
        <w:t xml:space="preserve">s to </w:t>
      </w:r>
      <w:r w:rsidR="0018615F" w:rsidRPr="78A1246B">
        <w:rPr>
          <w:rFonts w:cs="Arial"/>
        </w:rPr>
        <w:t xml:space="preserve">monitor </w:t>
      </w:r>
      <w:r w:rsidR="00162242" w:rsidRPr="78A1246B">
        <w:rPr>
          <w:rFonts w:cs="Arial"/>
        </w:rPr>
        <w:t>progress</w:t>
      </w:r>
      <w:r w:rsidR="0018615F" w:rsidRPr="78A1246B">
        <w:rPr>
          <w:rFonts w:cs="Arial"/>
        </w:rPr>
        <w:t xml:space="preserve">, assess the </w:t>
      </w:r>
      <w:r w:rsidR="00162242" w:rsidRPr="78A1246B">
        <w:rPr>
          <w:rFonts w:cs="Arial"/>
        </w:rPr>
        <w:t xml:space="preserve">formal closure of actions </w:t>
      </w:r>
      <w:r w:rsidR="00F676F1" w:rsidRPr="78A1246B">
        <w:rPr>
          <w:rFonts w:cs="Arial"/>
        </w:rPr>
        <w:t>and oversee reporting on implementation outcomes</w:t>
      </w:r>
      <w:r w:rsidR="00162242" w:rsidRPr="78A1246B">
        <w:rPr>
          <w:rFonts w:cs="Arial"/>
        </w:rPr>
        <w:t xml:space="preserve">. </w:t>
      </w:r>
      <w:r w:rsidR="00175C13" w:rsidRPr="78A1246B">
        <w:rPr>
          <w:rFonts w:cs="Arial"/>
        </w:rPr>
        <w:t xml:space="preserve">As </w:t>
      </w:r>
      <w:r w:rsidR="002B1C12" w:rsidRPr="78A1246B">
        <w:rPr>
          <w:rFonts w:cs="Arial"/>
        </w:rPr>
        <w:t xml:space="preserve">recorded on </w:t>
      </w:r>
      <w:r w:rsidR="00175C13" w:rsidRPr="78A1246B">
        <w:rPr>
          <w:rFonts w:cs="Arial"/>
        </w:rPr>
        <w:t xml:space="preserve">30 June 2025, the QBCC and DHPW had </w:t>
      </w:r>
      <w:r w:rsidR="00126003">
        <w:rPr>
          <w:rFonts w:cs="Arial"/>
        </w:rPr>
        <w:t xml:space="preserve">together </w:t>
      </w:r>
      <w:r w:rsidR="00175C13" w:rsidRPr="78A1246B">
        <w:rPr>
          <w:rFonts w:cs="Arial"/>
        </w:rPr>
        <w:t xml:space="preserve">successfully </w:t>
      </w:r>
      <w:r w:rsidR="6F48ED1F" w:rsidRPr="486E46DE">
        <w:rPr>
          <w:rFonts w:cs="Arial"/>
        </w:rPr>
        <w:t>completed</w:t>
      </w:r>
      <w:r w:rsidR="00175C13" w:rsidRPr="486E46DE">
        <w:rPr>
          <w:rFonts w:cs="Arial"/>
        </w:rPr>
        <w:t xml:space="preserve"> </w:t>
      </w:r>
      <w:r w:rsidR="00AC2437">
        <w:rPr>
          <w:rFonts w:cs="Arial"/>
        </w:rPr>
        <w:t>71</w:t>
      </w:r>
      <w:r w:rsidR="00175C13" w:rsidRPr="78A1246B">
        <w:rPr>
          <w:rFonts w:cs="Arial"/>
        </w:rPr>
        <w:t xml:space="preserve"> actions, with</w:t>
      </w:r>
      <w:r w:rsidR="5E33739B" w:rsidRPr="23758376">
        <w:rPr>
          <w:rFonts w:cs="Arial"/>
        </w:rPr>
        <w:t xml:space="preserve"> three</w:t>
      </w:r>
      <w:r w:rsidR="00393B30">
        <w:rPr>
          <w:rFonts w:cs="Arial"/>
        </w:rPr>
        <w:t xml:space="preserve"> </w:t>
      </w:r>
      <w:r w:rsidR="00175C13" w:rsidRPr="78A1246B">
        <w:rPr>
          <w:rFonts w:cs="Arial"/>
        </w:rPr>
        <w:t xml:space="preserve">actions </w:t>
      </w:r>
      <w:r w:rsidR="00D0341A" w:rsidRPr="00D0341A">
        <w:rPr>
          <w:rFonts w:cs="Arial"/>
        </w:rPr>
        <w:t xml:space="preserve">closed and three ongoing as </w:t>
      </w:r>
      <w:proofErr w:type="gramStart"/>
      <w:r w:rsidR="00D0341A" w:rsidRPr="00D0341A">
        <w:rPr>
          <w:rFonts w:cs="Arial"/>
        </w:rPr>
        <w:t>business as usual</w:t>
      </w:r>
      <w:proofErr w:type="gramEnd"/>
      <w:r w:rsidR="00D0341A" w:rsidRPr="00D0341A">
        <w:rPr>
          <w:rFonts w:cs="Arial"/>
        </w:rPr>
        <w:t xml:space="preserve"> activities</w:t>
      </w:r>
      <w:r w:rsidR="00175C13" w:rsidRPr="78A1246B">
        <w:rPr>
          <w:rFonts w:cs="Arial"/>
        </w:rPr>
        <w:t>.</w:t>
      </w:r>
      <w:r w:rsidR="00673897" w:rsidRPr="78A1246B">
        <w:rPr>
          <w:rFonts w:cs="Arial"/>
        </w:rPr>
        <w:t xml:space="preserve"> </w:t>
      </w:r>
    </w:p>
    <w:p w14:paraId="7BABBEF7" w14:textId="6F7DA459" w:rsidR="001E679F" w:rsidRDefault="001E679F" w:rsidP="001E679F">
      <w:pPr>
        <w:pStyle w:val="Heading3"/>
      </w:pPr>
      <w:bookmarkStart w:id="274" w:name="_Code_of_Conduct"/>
      <w:bookmarkStart w:id="275" w:name="_Regulatory_assurance"/>
      <w:bookmarkStart w:id="276" w:name="_Regulatory_intelligence_and"/>
      <w:bookmarkStart w:id="277" w:name="_Prudent_investment_management"/>
      <w:bookmarkEnd w:id="274"/>
      <w:bookmarkEnd w:id="275"/>
      <w:bookmarkEnd w:id="276"/>
      <w:bookmarkEnd w:id="277"/>
      <w:r>
        <w:t>Code of Conduct</w:t>
      </w:r>
    </w:p>
    <w:p w14:paraId="4A782913" w14:textId="77777777" w:rsidR="00FE57DD" w:rsidRDefault="0069019F" w:rsidP="00557617">
      <w:pPr>
        <w:spacing w:before="120" w:after="120"/>
        <w:rPr>
          <w:rFonts w:cs="Arial"/>
        </w:rPr>
      </w:pPr>
      <w:r w:rsidRPr="000E6937">
        <w:rPr>
          <w:rFonts w:cs="Arial"/>
        </w:rPr>
        <w:t xml:space="preserve">The </w:t>
      </w:r>
      <w:r w:rsidR="000521FF" w:rsidRPr="000E6937">
        <w:rPr>
          <w:rFonts w:cs="Arial"/>
        </w:rPr>
        <w:t>Code of Conduct</w:t>
      </w:r>
      <w:r w:rsidRPr="0069027B">
        <w:rPr>
          <w:rFonts w:cs="Arial"/>
        </w:rPr>
        <w:t xml:space="preserve"> </w:t>
      </w:r>
      <w:r w:rsidR="002A0E02">
        <w:rPr>
          <w:rFonts w:cs="Arial"/>
        </w:rPr>
        <w:t xml:space="preserve">provides </w:t>
      </w:r>
      <w:r w:rsidR="008341AC">
        <w:rPr>
          <w:rFonts w:cs="Arial"/>
        </w:rPr>
        <w:t>the</w:t>
      </w:r>
      <w:r w:rsidR="004E7B5D">
        <w:rPr>
          <w:rFonts w:cs="Arial"/>
        </w:rPr>
        <w:t xml:space="preserve"> </w:t>
      </w:r>
      <w:r w:rsidR="002A0E02">
        <w:rPr>
          <w:rFonts w:cs="Arial"/>
        </w:rPr>
        <w:t xml:space="preserve">framework </w:t>
      </w:r>
      <w:r w:rsidR="004E7B5D">
        <w:rPr>
          <w:rFonts w:cs="Arial"/>
        </w:rPr>
        <w:t xml:space="preserve">for upholding </w:t>
      </w:r>
      <w:r w:rsidRPr="0069027B">
        <w:rPr>
          <w:rFonts w:cs="Arial"/>
        </w:rPr>
        <w:t xml:space="preserve">integrity and ethical </w:t>
      </w:r>
      <w:r w:rsidR="004E7B5D">
        <w:rPr>
          <w:rFonts w:cs="Arial"/>
        </w:rPr>
        <w:t xml:space="preserve">behaviour across the organisation, </w:t>
      </w:r>
      <w:r w:rsidR="007A4564">
        <w:rPr>
          <w:rFonts w:cs="Arial"/>
        </w:rPr>
        <w:t xml:space="preserve">aligned with </w:t>
      </w:r>
      <w:r w:rsidR="00D04ADD">
        <w:rPr>
          <w:rFonts w:cs="Arial"/>
        </w:rPr>
        <w:t xml:space="preserve">principles of the </w:t>
      </w:r>
      <w:r w:rsidR="0058288C" w:rsidRPr="00D06035">
        <w:rPr>
          <w:rFonts w:cs="Arial"/>
          <w:i/>
        </w:rPr>
        <w:t>Public Sector Ethics Act 1994</w:t>
      </w:r>
      <w:r w:rsidR="00AB5BD5" w:rsidRPr="00510703">
        <w:rPr>
          <w:rFonts w:cs="Arial"/>
        </w:rPr>
        <w:t xml:space="preserve">. </w:t>
      </w:r>
      <w:r w:rsidR="00AB5BD5">
        <w:rPr>
          <w:rFonts w:cs="Arial"/>
          <w:iCs/>
        </w:rPr>
        <w:t xml:space="preserve">The Code </w:t>
      </w:r>
      <w:r w:rsidR="00380834">
        <w:rPr>
          <w:rFonts w:cs="Arial"/>
          <w:iCs/>
        </w:rPr>
        <w:t>of Conduct</w:t>
      </w:r>
      <w:r w:rsidR="007E58C7">
        <w:rPr>
          <w:rFonts w:cs="Arial"/>
          <w:iCs/>
        </w:rPr>
        <w:t xml:space="preserve"> is </w:t>
      </w:r>
      <w:r w:rsidR="009865E2">
        <w:rPr>
          <w:rFonts w:cs="Arial"/>
          <w:iCs/>
        </w:rPr>
        <w:t>embedded</w:t>
      </w:r>
      <w:r w:rsidR="007E58C7">
        <w:rPr>
          <w:rFonts w:cs="Arial"/>
          <w:iCs/>
        </w:rPr>
        <w:t xml:space="preserve"> in the </w:t>
      </w:r>
      <w:r w:rsidR="00AB5BD5">
        <w:rPr>
          <w:rFonts w:cs="Arial"/>
          <w:iCs/>
        </w:rPr>
        <w:t>QBCC</w:t>
      </w:r>
      <w:r w:rsidR="00F83BC1">
        <w:rPr>
          <w:rFonts w:cs="Arial"/>
          <w:iCs/>
        </w:rPr>
        <w:t>’s</w:t>
      </w:r>
      <w:r w:rsidR="00AB5BD5">
        <w:rPr>
          <w:rFonts w:cs="Arial"/>
          <w:iCs/>
        </w:rPr>
        <w:t xml:space="preserve"> </w:t>
      </w:r>
      <w:r w:rsidR="00AB253D">
        <w:rPr>
          <w:rFonts w:cs="Arial"/>
          <w:iCs/>
        </w:rPr>
        <w:t>integrity and</w:t>
      </w:r>
      <w:r w:rsidR="00AB5BD5">
        <w:rPr>
          <w:rFonts w:cs="Arial"/>
          <w:iCs/>
        </w:rPr>
        <w:t xml:space="preserve"> </w:t>
      </w:r>
      <w:r w:rsidR="007E58C7">
        <w:rPr>
          <w:rFonts w:cs="Arial"/>
          <w:iCs/>
        </w:rPr>
        <w:t>human r</w:t>
      </w:r>
      <w:r w:rsidR="0061644F">
        <w:rPr>
          <w:rFonts w:cs="Arial"/>
          <w:iCs/>
        </w:rPr>
        <w:t xml:space="preserve">esource policies, procedures and management </w:t>
      </w:r>
      <w:r w:rsidR="00F476C9">
        <w:rPr>
          <w:rFonts w:cs="Arial"/>
          <w:iCs/>
        </w:rPr>
        <w:t>practices</w:t>
      </w:r>
      <w:r w:rsidR="0061644F">
        <w:rPr>
          <w:rFonts w:cs="Arial"/>
          <w:iCs/>
        </w:rPr>
        <w:t>.</w:t>
      </w:r>
      <w:r w:rsidR="009D708F">
        <w:rPr>
          <w:rFonts w:cs="Arial"/>
          <w:iCs/>
        </w:rPr>
        <w:t xml:space="preserve"> It</w:t>
      </w:r>
      <w:r w:rsidR="00C87273">
        <w:rPr>
          <w:rFonts w:cs="Arial"/>
          <w:iCs/>
        </w:rPr>
        <w:t xml:space="preserve"> underpins efforts to promote high </w:t>
      </w:r>
      <w:r w:rsidR="0061644F">
        <w:rPr>
          <w:rFonts w:cs="Arial"/>
          <w:iCs/>
        </w:rPr>
        <w:t>standards</w:t>
      </w:r>
      <w:r w:rsidR="00C87273">
        <w:rPr>
          <w:rFonts w:cs="Arial"/>
          <w:iCs/>
        </w:rPr>
        <w:t xml:space="preserve"> of </w:t>
      </w:r>
      <w:r w:rsidR="00102ADA">
        <w:rPr>
          <w:rFonts w:cs="Arial"/>
          <w:iCs/>
        </w:rPr>
        <w:t>public administration and personal conduct.</w:t>
      </w:r>
      <w:r w:rsidR="009D708F">
        <w:rPr>
          <w:rFonts w:cs="Arial"/>
          <w:iCs/>
        </w:rPr>
        <w:t xml:space="preserve"> </w:t>
      </w:r>
      <w:r w:rsidR="0020361C">
        <w:rPr>
          <w:rFonts w:cs="Arial"/>
          <w:iCs/>
        </w:rPr>
        <w:t xml:space="preserve">To support compliance with ethical obligations, the QBCC </w:t>
      </w:r>
      <w:r w:rsidR="0069027B" w:rsidRPr="0069027B">
        <w:rPr>
          <w:rFonts w:cs="Arial"/>
        </w:rPr>
        <w:t xml:space="preserve">implemented a </w:t>
      </w:r>
      <w:r w:rsidR="00A27F84">
        <w:rPr>
          <w:rFonts w:cs="Arial"/>
        </w:rPr>
        <w:t xml:space="preserve">suite of </w:t>
      </w:r>
      <w:r w:rsidR="007A31B0">
        <w:rPr>
          <w:rFonts w:cs="Arial"/>
        </w:rPr>
        <w:t xml:space="preserve">mandatory </w:t>
      </w:r>
      <w:r w:rsidR="0069027B" w:rsidRPr="0069027B">
        <w:rPr>
          <w:rFonts w:cs="Arial"/>
        </w:rPr>
        <w:t xml:space="preserve">training </w:t>
      </w:r>
      <w:r w:rsidR="00C74957">
        <w:rPr>
          <w:rFonts w:cs="Arial"/>
        </w:rPr>
        <w:t xml:space="preserve">programs delivered through </w:t>
      </w:r>
      <w:r w:rsidR="00B20F6F">
        <w:rPr>
          <w:rFonts w:cs="Arial"/>
        </w:rPr>
        <w:t>its online learning platform,</w:t>
      </w:r>
      <w:r w:rsidR="00C74957">
        <w:rPr>
          <w:rFonts w:cs="Arial"/>
        </w:rPr>
        <w:t xml:space="preserve"> </w:t>
      </w:r>
      <w:r w:rsidR="00457DAF">
        <w:rPr>
          <w:rFonts w:cs="Arial"/>
        </w:rPr>
        <w:t>the QBCC Learning Hub</w:t>
      </w:r>
      <w:r w:rsidR="009D2D0F">
        <w:rPr>
          <w:rFonts w:cs="Arial"/>
        </w:rPr>
        <w:t xml:space="preserve">. These </w:t>
      </w:r>
      <w:r w:rsidR="00C37CA9">
        <w:rPr>
          <w:rFonts w:cs="Arial"/>
        </w:rPr>
        <w:t>programs</w:t>
      </w:r>
      <w:r w:rsidR="009D2D0F">
        <w:rPr>
          <w:rFonts w:cs="Arial"/>
        </w:rPr>
        <w:t xml:space="preserve"> </w:t>
      </w:r>
      <w:r w:rsidR="00FD340B">
        <w:rPr>
          <w:rFonts w:cs="Arial"/>
        </w:rPr>
        <w:t>are designed to ensure</w:t>
      </w:r>
      <w:r w:rsidR="00591040">
        <w:rPr>
          <w:rFonts w:cs="Arial"/>
        </w:rPr>
        <w:t xml:space="preserve"> staff</w:t>
      </w:r>
      <w:r w:rsidR="008F36A3">
        <w:rPr>
          <w:rFonts w:cs="Arial"/>
        </w:rPr>
        <w:t xml:space="preserve"> members</w:t>
      </w:r>
      <w:r w:rsidR="00FD340B">
        <w:rPr>
          <w:rFonts w:cs="Arial"/>
        </w:rPr>
        <w:t xml:space="preserve"> understand and uphold key principles such as </w:t>
      </w:r>
      <w:r w:rsidR="00C40E56">
        <w:rPr>
          <w:rFonts w:cs="Arial"/>
        </w:rPr>
        <w:t xml:space="preserve">integrity, impartiality, accountability, transparency and </w:t>
      </w:r>
      <w:r w:rsidR="004E4AE5">
        <w:rPr>
          <w:rFonts w:cs="Arial"/>
        </w:rPr>
        <w:t xml:space="preserve">the </w:t>
      </w:r>
      <w:r w:rsidR="00C40E56">
        <w:rPr>
          <w:rFonts w:cs="Arial"/>
        </w:rPr>
        <w:t>promot</w:t>
      </w:r>
      <w:r w:rsidR="00FD340B">
        <w:rPr>
          <w:rFonts w:cs="Arial"/>
        </w:rPr>
        <w:t>i</w:t>
      </w:r>
      <w:r w:rsidR="004E4AE5">
        <w:rPr>
          <w:rFonts w:cs="Arial"/>
        </w:rPr>
        <w:t>on</w:t>
      </w:r>
      <w:r w:rsidR="00D20A98">
        <w:rPr>
          <w:rFonts w:cs="Arial"/>
        </w:rPr>
        <w:t xml:space="preserve"> </w:t>
      </w:r>
      <w:r w:rsidR="00D57147">
        <w:rPr>
          <w:rFonts w:cs="Arial"/>
        </w:rPr>
        <w:t>of</w:t>
      </w:r>
      <w:r w:rsidR="00FD340B">
        <w:rPr>
          <w:rFonts w:cs="Arial"/>
        </w:rPr>
        <w:t xml:space="preserve"> </w:t>
      </w:r>
      <w:r w:rsidR="00C40E56">
        <w:rPr>
          <w:rFonts w:cs="Arial"/>
        </w:rPr>
        <w:t>public goo</w:t>
      </w:r>
      <w:r w:rsidR="00DA0319">
        <w:rPr>
          <w:rFonts w:cs="Arial"/>
        </w:rPr>
        <w:t>d</w:t>
      </w:r>
      <w:r w:rsidR="00957974">
        <w:rPr>
          <w:rFonts w:cs="Arial"/>
        </w:rPr>
        <w:t xml:space="preserve">. </w:t>
      </w:r>
    </w:p>
    <w:p w14:paraId="2516DA83" w14:textId="1B4BEAB7" w:rsidR="0059556C" w:rsidRPr="0069027B" w:rsidRDefault="00F07481" w:rsidP="00557617">
      <w:pPr>
        <w:spacing w:before="120" w:after="120"/>
        <w:rPr>
          <w:rFonts w:cs="Arial"/>
        </w:rPr>
      </w:pPr>
      <w:r>
        <w:rPr>
          <w:rFonts w:cs="Arial"/>
        </w:rPr>
        <w:t>Mandatory</w:t>
      </w:r>
      <w:r w:rsidR="0069027B" w:rsidRPr="0069027B">
        <w:rPr>
          <w:rFonts w:cs="Arial"/>
        </w:rPr>
        <w:t xml:space="preserve"> training </w:t>
      </w:r>
      <w:r w:rsidR="00A27F84">
        <w:rPr>
          <w:rFonts w:cs="Arial"/>
        </w:rPr>
        <w:t>cover</w:t>
      </w:r>
      <w:r w:rsidR="00D133C0">
        <w:rPr>
          <w:rFonts w:cs="Arial"/>
        </w:rPr>
        <w:t>s</w:t>
      </w:r>
      <w:r w:rsidR="00A27F84">
        <w:rPr>
          <w:rFonts w:cs="Arial"/>
        </w:rPr>
        <w:t xml:space="preserve"> </w:t>
      </w:r>
      <w:r>
        <w:rPr>
          <w:rFonts w:cs="Arial"/>
        </w:rPr>
        <w:t xml:space="preserve">a range of </w:t>
      </w:r>
      <w:r w:rsidR="00BB06B6">
        <w:rPr>
          <w:rFonts w:cs="Arial"/>
        </w:rPr>
        <w:t>important topics</w:t>
      </w:r>
      <w:r w:rsidR="0069027B" w:rsidRPr="0069027B">
        <w:rPr>
          <w:rFonts w:cs="Arial"/>
        </w:rPr>
        <w:t>:</w:t>
      </w:r>
    </w:p>
    <w:p w14:paraId="1C673641" w14:textId="3B9911F0" w:rsidR="0069027B" w:rsidRPr="009F333C" w:rsidRDefault="0069027B" w:rsidP="00BD69F7">
      <w:pPr>
        <w:pStyle w:val="ListParagraph"/>
        <w:numPr>
          <w:ilvl w:val="0"/>
          <w:numId w:val="9"/>
        </w:numPr>
        <w:spacing w:before="120" w:after="120"/>
        <w:ind w:left="714" w:hanging="357"/>
        <w:contextualSpacing w:val="0"/>
        <w:rPr>
          <w:rFonts w:cs="Arial"/>
        </w:rPr>
      </w:pPr>
      <w:r w:rsidRPr="009F333C">
        <w:rPr>
          <w:rFonts w:cs="Arial"/>
        </w:rPr>
        <w:t xml:space="preserve">Code of Conduct </w:t>
      </w:r>
      <w:r w:rsidR="00C204AD">
        <w:rPr>
          <w:rFonts w:cs="Arial"/>
        </w:rPr>
        <w:t xml:space="preserve">and </w:t>
      </w:r>
      <w:r w:rsidR="00885848">
        <w:rPr>
          <w:rFonts w:cs="Arial"/>
        </w:rPr>
        <w:t>w</w:t>
      </w:r>
      <w:r w:rsidR="00C204AD">
        <w:rPr>
          <w:rFonts w:cs="Arial"/>
        </w:rPr>
        <w:t xml:space="preserve">orkplace </w:t>
      </w:r>
      <w:r w:rsidR="00885848">
        <w:rPr>
          <w:rFonts w:cs="Arial"/>
        </w:rPr>
        <w:t>b</w:t>
      </w:r>
      <w:r w:rsidR="00C204AD">
        <w:rPr>
          <w:rFonts w:cs="Arial"/>
        </w:rPr>
        <w:t>ullying</w:t>
      </w:r>
    </w:p>
    <w:p w14:paraId="75EE0F7D" w14:textId="599ADF3B" w:rsidR="00C204AD" w:rsidRPr="009F333C" w:rsidRDefault="00885848" w:rsidP="00BD69F7">
      <w:pPr>
        <w:pStyle w:val="ListParagraph"/>
        <w:numPr>
          <w:ilvl w:val="0"/>
          <w:numId w:val="9"/>
        </w:numPr>
        <w:spacing w:before="120" w:after="120"/>
        <w:ind w:left="714" w:hanging="357"/>
        <w:contextualSpacing w:val="0"/>
        <w:rPr>
          <w:rFonts w:cs="Arial"/>
        </w:rPr>
      </w:pPr>
      <w:r>
        <w:rPr>
          <w:rFonts w:cs="Arial"/>
        </w:rPr>
        <w:t>h</w:t>
      </w:r>
      <w:r w:rsidR="00662E18" w:rsidRPr="00662E18">
        <w:rPr>
          <w:rFonts w:cs="Arial"/>
        </w:rPr>
        <w:t xml:space="preserve">arassment and </w:t>
      </w:r>
      <w:r>
        <w:rPr>
          <w:rFonts w:cs="Arial"/>
        </w:rPr>
        <w:t>e</w:t>
      </w:r>
      <w:r w:rsidR="00662E18" w:rsidRPr="00662E18">
        <w:rPr>
          <w:rFonts w:cs="Arial"/>
        </w:rPr>
        <w:t xml:space="preserve">qual </w:t>
      </w:r>
      <w:r>
        <w:rPr>
          <w:rFonts w:cs="Arial"/>
        </w:rPr>
        <w:t>e</w:t>
      </w:r>
      <w:r w:rsidR="00662E18" w:rsidRPr="00662E18">
        <w:rPr>
          <w:rFonts w:cs="Arial"/>
        </w:rPr>
        <w:t xml:space="preserve">mployment </w:t>
      </w:r>
      <w:r>
        <w:rPr>
          <w:rFonts w:cs="Arial"/>
        </w:rPr>
        <w:t>o</w:t>
      </w:r>
      <w:r w:rsidR="00662E18" w:rsidRPr="00662E18">
        <w:rPr>
          <w:rFonts w:cs="Arial"/>
        </w:rPr>
        <w:t>pportunity</w:t>
      </w:r>
    </w:p>
    <w:p w14:paraId="3E991C47" w14:textId="3BEAF992" w:rsidR="0069027B" w:rsidRPr="009F333C" w:rsidRDefault="00885848" w:rsidP="00BD69F7">
      <w:pPr>
        <w:pStyle w:val="ListParagraph"/>
        <w:numPr>
          <w:ilvl w:val="0"/>
          <w:numId w:val="8"/>
        </w:numPr>
        <w:spacing w:before="120" w:after="120"/>
        <w:ind w:left="714" w:hanging="357"/>
        <w:contextualSpacing w:val="0"/>
        <w:rPr>
          <w:rFonts w:cs="Arial"/>
        </w:rPr>
      </w:pPr>
      <w:r>
        <w:rPr>
          <w:rFonts w:cs="Arial"/>
        </w:rPr>
        <w:t>f</w:t>
      </w:r>
      <w:r w:rsidR="0069027B" w:rsidRPr="009F333C">
        <w:rPr>
          <w:rFonts w:cs="Arial"/>
        </w:rPr>
        <w:t xml:space="preserve">raud and </w:t>
      </w:r>
      <w:r>
        <w:rPr>
          <w:rFonts w:cs="Arial"/>
        </w:rPr>
        <w:t>c</w:t>
      </w:r>
      <w:r w:rsidR="0069027B" w:rsidRPr="009F333C">
        <w:rPr>
          <w:rFonts w:cs="Arial"/>
        </w:rPr>
        <w:t>orruption</w:t>
      </w:r>
    </w:p>
    <w:p w14:paraId="12DEA045" w14:textId="49D79565" w:rsidR="0069027B" w:rsidRPr="009F333C" w:rsidRDefault="00885848" w:rsidP="00BD69F7">
      <w:pPr>
        <w:pStyle w:val="ListParagraph"/>
        <w:numPr>
          <w:ilvl w:val="0"/>
          <w:numId w:val="8"/>
        </w:numPr>
        <w:spacing w:before="120" w:after="120"/>
        <w:ind w:left="714" w:hanging="357"/>
        <w:contextualSpacing w:val="0"/>
        <w:rPr>
          <w:rFonts w:cs="Arial"/>
        </w:rPr>
      </w:pPr>
      <w:r>
        <w:rPr>
          <w:rFonts w:cs="Arial"/>
        </w:rPr>
        <w:t>p</w:t>
      </w:r>
      <w:r w:rsidR="0069027B" w:rsidRPr="009F333C">
        <w:rPr>
          <w:rFonts w:cs="Arial"/>
        </w:rPr>
        <w:t xml:space="preserve">ublic </w:t>
      </w:r>
      <w:r>
        <w:rPr>
          <w:rFonts w:cs="Arial"/>
        </w:rPr>
        <w:t>i</w:t>
      </w:r>
      <w:r w:rsidR="0069027B" w:rsidRPr="009F333C">
        <w:rPr>
          <w:rFonts w:cs="Arial"/>
        </w:rPr>
        <w:t xml:space="preserve">nterest </w:t>
      </w:r>
      <w:r>
        <w:rPr>
          <w:rFonts w:cs="Arial"/>
        </w:rPr>
        <w:t>d</w:t>
      </w:r>
      <w:r w:rsidR="0069027B" w:rsidRPr="009F333C">
        <w:rPr>
          <w:rFonts w:cs="Arial"/>
        </w:rPr>
        <w:t>isclosures</w:t>
      </w:r>
    </w:p>
    <w:p w14:paraId="01B72DB1" w14:textId="216C8DE5" w:rsidR="0069027B" w:rsidRPr="009F333C" w:rsidRDefault="00885848" w:rsidP="00BD69F7">
      <w:pPr>
        <w:pStyle w:val="ListParagraph"/>
        <w:numPr>
          <w:ilvl w:val="0"/>
          <w:numId w:val="8"/>
        </w:numPr>
        <w:spacing w:before="120" w:after="120"/>
        <w:ind w:left="714" w:hanging="357"/>
        <w:rPr>
          <w:rFonts w:cs="Arial"/>
        </w:rPr>
      </w:pPr>
      <w:r>
        <w:rPr>
          <w:rFonts w:cs="Arial"/>
        </w:rPr>
        <w:t>c</w:t>
      </w:r>
      <w:r w:rsidR="0069027B" w:rsidRPr="009F333C">
        <w:rPr>
          <w:rFonts w:cs="Arial"/>
        </w:rPr>
        <w:t xml:space="preserve">onflict of </w:t>
      </w:r>
      <w:r>
        <w:rPr>
          <w:rFonts w:cs="Arial"/>
        </w:rPr>
        <w:t>i</w:t>
      </w:r>
      <w:r w:rsidR="0069027B" w:rsidRPr="009F333C">
        <w:rPr>
          <w:rFonts w:cs="Arial"/>
        </w:rPr>
        <w:t xml:space="preserve">nterest, </w:t>
      </w:r>
      <w:r>
        <w:rPr>
          <w:rFonts w:cs="Arial"/>
        </w:rPr>
        <w:t>s</w:t>
      </w:r>
      <w:r w:rsidR="0069027B" w:rsidRPr="009F333C">
        <w:rPr>
          <w:rFonts w:cs="Arial"/>
        </w:rPr>
        <w:t xml:space="preserve">econdary </w:t>
      </w:r>
      <w:r>
        <w:rPr>
          <w:rFonts w:cs="Arial"/>
        </w:rPr>
        <w:t>e</w:t>
      </w:r>
      <w:r w:rsidR="0069027B" w:rsidRPr="009F333C">
        <w:rPr>
          <w:rFonts w:cs="Arial"/>
        </w:rPr>
        <w:t xml:space="preserve">mployment, </w:t>
      </w:r>
      <w:r>
        <w:rPr>
          <w:rFonts w:cs="Arial"/>
        </w:rPr>
        <w:t>r</w:t>
      </w:r>
      <w:r w:rsidR="00D729E6">
        <w:rPr>
          <w:rFonts w:cs="Arial"/>
        </w:rPr>
        <w:t xml:space="preserve">ight to </w:t>
      </w:r>
      <w:r>
        <w:rPr>
          <w:rFonts w:cs="Arial"/>
        </w:rPr>
        <w:t>i</w:t>
      </w:r>
      <w:r w:rsidR="00D729E6">
        <w:rPr>
          <w:rFonts w:cs="Arial"/>
        </w:rPr>
        <w:t xml:space="preserve">nformation and </w:t>
      </w:r>
      <w:r>
        <w:rPr>
          <w:rFonts w:cs="Arial"/>
        </w:rPr>
        <w:t>i</w:t>
      </w:r>
      <w:r w:rsidR="00D729E6">
        <w:rPr>
          <w:rFonts w:cs="Arial"/>
        </w:rPr>
        <w:t xml:space="preserve">nformation </w:t>
      </w:r>
      <w:r>
        <w:rPr>
          <w:rFonts w:cs="Arial"/>
        </w:rPr>
        <w:t>p</w:t>
      </w:r>
      <w:r w:rsidR="00D729E6">
        <w:rPr>
          <w:rFonts w:cs="Arial"/>
        </w:rPr>
        <w:t>rivacy</w:t>
      </w:r>
      <w:r w:rsidR="00FA43E5">
        <w:rPr>
          <w:rFonts w:cs="Arial"/>
        </w:rPr>
        <w:t>.</w:t>
      </w:r>
    </w:p>
    <w:p w14:paraId="7D867089" w14:textId="17E62BAB" w:rsidR="00CC0097" w:rsidRDefault="00017D60" w:rsidP="00793BEC">
      <w:pPr>
        <w:spacing w:before="120" w:after="120"/>
        <w:rPr>
          <w:rFonts w:cs="Arial"/>
        </w:rPr>
      </w:pPr>
      <w:r>
        <w:rPr>
          <w:rFonts w:cs="Arial"/>
        </w:rPr>
        <w:t xml:space="preserve">All </w:t>
      </w:r>
      <w:r w:rsidR="00561403">
        <w:rPr>
          <w:rFonts w:cs="Arial"/>
        </w:rPr>
        <w:t>staff</w:t>
      </w:r>
      <w:r w:rsidR="0069027B" w:rsidRPr="0069027B">
        <w:rPr>
          <w:rFonts w:cs="Arial"/>
        </w:rPr>
        <w:t xml:space="preserve"> are required to complete mandatory </w:t>
      </w:r>
      <w:r w:rsidR="006A0F4C">
        <w:rPr>
          <w:rFonts w:cs="Arial"/>
        </w:rPr>
        <w:t>training</w:t>
      </w:r>
      <w:r w:rsidR="00C81DCC">
        <w:rPr>
          <w:rFonts w:cs="Arial"/>
        </w:rPr>
        <w:t>,</w:t>
      </w:r>
      <w:r w:rsidR="004F78ED">
        <w:rPr>
          <w:rFonts w:cs="Arial"/>
        </w:rPr>
        <w:t xml:space="preserve"> </w:t>
      </w:r>
      <w:r w:rsidR="009B0C9D">
        <w:rPr>
          <w:rFonts w:cs="Arial"/>
        </w:rPr>
        <w:t xml:space="preserve">with </w:t>
      </w:r>
      <w:r w:rsidR="0069027B" w:rsidRPr="0069027B">
        <w:rPr>
          <w:rFonts w:cs="Arial"/>
        </w:rPr>
        <w:t xml:space="preserve">refresher </w:t>
      </w:r>
      <w:r w:rsidR="003A5A4A">
        <w:rPr>
          <w:rFonts w:cs="Arial"/>
        </w:rPr>
        <w:t xml:space="preserve">modules </w:t>
      </w:r>
      <w:r w:rsidR="00146231">
        <w:rPr>
          <w:rFonts w:cs="Arial"/>
        </w:rPr>
        <w:t xml:space="preserve">undertaken </w:t>
      </w:r>
      <w:r w:rsidR="005D3131">
        <w:rPr>
          <w:rFonts w:cs="Arial"/>
        </w:rPr>
        <w:t xml:space="preserve">every two years </w:t>
      </w:r>
      <w:r w:rsidR="00C81DCC">
        <w:rPr>
          <w:rFonts w:cs="Arial"/>
        </w:rPr>
        <w:t xml:space="preserve">to </w:t>
      </w:r>
      <w:r w:rsidR="00D77E4F">
        <w:rPr>
          <w:rFonts w:cs="Arial"/>
        </w:rPr>
        <w:t>maintain</w:t>
      </w:r>
      <w:r w:rsidR="0084162E">
        <w:rPr>
          <w:rFonts w:cs="Arial"/>
        </w:rPr>
        <w:t xml:space="preserve"> </w:t>
      </w:r>
      <w:r w:rsidR="00FD71C8">
        <w:rPr>
          <w:rFonts w:cs="Arial"/>
        </w:rPr>
        <w:t>awareness and a</w:t>
      </w:r>
      <w:r w:rsidR="00C329D6">
        <w:rPr>
          <w:rFonts w:cs="Arial"/>
        </w:rPr>
        <w:t>lignment with</w:t>
      </w:r>
      <w:r w:rsidR="0069027B" w:rsidRPr="0069027B">
        <w:rPr>
          <w:rFonts w:cs="Arial"/>
        </w:rPr>
        <w:t xml:space="preserve"> ethical standards</w:t>
      </w:r>
      <w:r w:rsidR="00C329D6">
        <w:rPr>
          <w:rFonts w:cs="Arial"/>
        </w:rPr>
        <w:t xml:space="preserve">. </w:t>
      </w:r>
      <w:r w:rsidR="00AF2E59">
        <w:rPr>
          <w:rFonts w:cs="Arial"/>
        </w:rPr>
        <w:t>As recorded on</w:t>
      </w:r>
      <w:r w:rsidR="00482F70">
        <w:rPr>
          <w:rFonts w:cs="Arial"/>
        </w:rPr>
        <w:t xml:space="preserve"> </w:t>
      </w:r>
      <w:r w:rsidR="00DA5F08">
        <w:rPr>
          <w:rFonts w:cs="Arial"/>
        </w:rPr>
        <w:t xml:space="preserve">30 June 2025, the completion rate for </w:t>
      </w:r>
      <w:r w:rsidR="00971331">
        <w:rPr>
          <w:rFonts w:cs="Arial"/>
        </w:rPr>
        <w:t>m</w:t>
      </w:r>
      <w:r w:rsidR="00DA5F08">
        <w:rPr>
          <w:rFonts w:cs="Arial"/>
        </w:rPr>
        <w:t xml:space="preserve">andatory </w:t>
      </w:r>
      <w:r w:rsidR="00B71059">
        <w:rPr>
          <w:rFonts w:cs="Arial"/>
        </w:rPr>
        <w:t xml:space="preserve">eLearning across the QBCC </w:t>
      </w:r>
      <w:r w:rsidR="00AF2E59">
        <w:rPr>
          <w:rFonts w:cs="Arial"/>
        </w:rPr>
        <w:t xml:space="preserve">was </w:t>
      </w:r>
      <w:r w:rsidR="00B71059">
        <w:rPr>
          <w:rFonts w:cs="Arial"/>
        </w:rPr>
        <w:t xml:space="preserve">92 per cent. </w:t>
      </w:r>
      <w:r w:rsidR="005011E1">
        <w:rPr>
          <w:rFonts w:cs="Arial"/>
        </w:rPr>
        <w:t>P</w:t>
      </w:r>
      <w:r w:rsidR="00AB2F41">
        <w:rPr>
          <w:rFonts w:cs="Arial"/>
        </w:rPr>
        <w:t xml:space="preserve">roactive </w:t>
      </w:r>
      <w:r w:rsidR="00D15422">
        <w:rPr>
          <w:rFonts w:cs="Arial"/>
        </w:rPr>
        <w:t>learning</w:t>
      </w:r>
      <w:r w:rsidR="006D46B4" w:rsidRPr="006D46B4">
        <w:rPr>
          <w:rFonts w:cs="Arial"/>
        </w:rPr>
        <w:t xml:space="preserve"> </w:t>
      </w:r>
      <w:r w:rsidR="00AB2F41">
        <w:rPr>
          <w:rFonts w:cs="Arial"/>
        </w:rPr>
        <w:t>strengthen</w:t>
      </w:r>
      <w:r w:rsidR="002A455E">
        <w:rPr>
          <w:rFonts w:cs="Arial"/>
        </w:rPr>
        <w:t>s</w:t>
      </w:r>
      <w:r w:rsidR="00AB2F41">
        <w:rPr>
          <w:rFonts w:cs="Arial"/>
        </w:rPr>
        <w:t xml:space="preserve"> </w:t>
      </w:r>
      <w:r w:rsidR="00C85D14">
        <w:rPr>
          <w:rFonts w:cs="Arial"/>
        </w:rPr>
        <w:lastRenderedPageBreak/>
        <w:t>organisational accountability</w:t>
      </w:r>
      <w:r w:rsidR="00D34A4F">
        <w:rPr>
          <w:rFonts w:cs="Arial"/>
        </w:rPr>
        <w:t xml:space="preserve">, </w:t>
      </w:r>
      <w:r w:rsidR="006D46B4" w:rsidRPr="006D46B4">
        <w:rPr>
          <w:rFonts w:cs="Arial"/>
        </w:rPr>
        <w:t>suppor</w:t>
      </w:r>
      <w:r w:rsidR="00D34A4F">
        <w:rPr>
          <w:rFonts w:cs="Arial"/>
        </w:rPr>
        <w:t>t</w:t>
      </w:r>
      <w:r w:rsidR="002A455E">
        <w:rPr>
          <w:rFonts w:cs="Arial"/>
        </w:rPr>
        <w:t>s</w:t>
      </w:r>
      <w:r w:rsidR="00D34A4F">
        <w:rPr>
          <w:rFonts w:cs="Arial"/>
        </w:rPr>
        <w:t xml:space="preserve"> ethical decision making and reinforce</w:t>
      </w:r>
      <w:r w:rsidR="002A455E">
        <w:rPr>
          <w:rFonts w:cs="Arial"/>
        </w:rPr>
        <w:t>s</w:t>
      </w:r>
      <w:r w:rsidR="00D34A4F">
        <w:rPr>
          <w:rFonts w:cs="Arial"/>
        </w:rPr>
        <w:t xml:space="preserve"> the </w:t>
      </w:r>
      <w:r w:rsidR="006D46B4" w:rsidRPr="006D46B4">
        <w:rPr>
          <w:rFonts w:cs="Arial"/>
        </w:rPr>
        <w:t>QBCC’s commitment to</w:t>
      </w:r>
      <w:r w:rsidR="002F53B2">
        <w:rPr>
          <w:rFonts w:cs="Arial"/>
        </w:rPr>
        <w:t xml:space="preserve"> </w:t>
      </w:r>
      <w:r w:rsidR="004770B8">
        <w:rPr>
          <w:rFonts w:cs="Arial"/>
        </w:rPr>
        <w:t>integrity in all aspects of it</w:t>
      </w:r>
      <w:r w:rsidR="00510703">
        <w:rPr>
          <w:rFonts w:cs="Arial"/>
        </w:rPr>
        <w:t>s</w:t>
      </w:r>
      <w:r w:rsidR="004770B8">
        <w:rPr>
          <w:rFonts w:cs="Arial"/>
        </w:rPr>
        <w:t xml:space="preserve"> regulatory responsibilities</w:t>
      </w:r>
      <w:r w:rsidR="006D46B4" w:rsidRPr="006D46B4">
        <w:rPr>
          <w:rFonts w:cs="Arial"/>
        </w:rPr>
        <w:t xml:space="preserve">. </w:t>
      </w:r>
      <w:bookmarkStart w:id="278" w:name="_Human_rights_disclosure"/>
      <w:bookmarkEnd w:id="278"/>
    </w:p>
    <w:p w14:paraId="78BEFE46" w14:textId="67FB5888" w:rsidR="001E679F" w:rsidRDefault="001E679F" w:rsidP="001E679F">
      <w:pPr>
        <w:pStyle w:val="Heading3"/>
      </w:pPr>
      <w:r>
        <w:t xml:space="preserve">Human rights </w:t>
      </w:r>
    </w:p>
    <w:p w14:paraId="3F91FDDC" w14:textId="00801E22" w:rsidR="00D53A51" w:rsidRDefault="00065DFE" w:rsidP="00793BEC">
      <w:pPr>
        <w:spacing w:before="120" w:after="120"/>
        <w:rPr>
          <w:rFonts w:cs="Arial"/>
        </w:rPr>
      </w:pPr>
      <w:r>
        <w:rPr>
          <w:rFonts w:cs="Arial"/>
        </w:rPr>
        <w:t xml:space="preserve">The </w:t>
      </w:r>
      <w:r w:rsidRPr="00BC3C71">
        <w:rPr>
          <w:rFonts w:cs="Arial"/>
          <w:szCs w:val="28"/>
        </w:rPr>
        <w:t xml:space="preserve">QBCC is </w:t>
      </w:r>
      <w:r w:rsidR="001958A0">
        <w:rPr>
          <w:rFonts w:cs="Arial"/>
          <w:szCs w:val="28"/>
        </w:rPr>
        <w:t>dedicated</w:t>
      </w:r>
      <w:r w:rsidR="001958A0" w:rsidRPr="00BC3C71">
        <w:rPr>
          <w:rFonts w:cs="Arial"/>
          <w:szCs w:val="28"/>
        </w:rPr>
        <w:t xml:space="preserve"> </w:t>
      </w:r>
      <w:r w:rsidRPr="00BC3C71">
        <w:rPr>
          <w:rFonts w:cs="Arial"/>
          <w:szCs w:val="28"/>
        </w:rPr>
        <w:t xml:space="preserve">to </w:t>
      </w:r>
      <w:r w:rsidR="008A1190">
        <w:rPr>
          <w:rFonts w:cs="Arial"/>
          <w:szCs w:val="28"/>
        </w:rPr>
        <w:t xml:space="preserve">respecting, protecting and promoting human rights in </w:t>
      </w:r>
      <w:r w:rsidR="005D5912">
        <w:rPr>
          <w:rFonts w:cs="Arial"/>
          <w:szCs w:val="28"/>
        </w:rPr>
        <w:t>all its</w:t>
      </w:r>
      <w:r w:rsidR="008A1190">
        <w:rPr>
          <w:rFonts w:cs="Arial"/>
          <w:szCs w:val="28"/>
        </w:rPr>
        <w:t xml:space="preserve"> decision</w:t>
      </w:r>
      <w:r w:rsidR="005D5912">
        <w:rPr>
          <w:rFonts w:cs="Arial"/>
          <w:szCs w:val="28"/>
        </w:rPr>
        <w:t>s</w:t>
      </w:r>
      <w:r w:rsidR="006D0A88">
        <w:rPr>
          <w:rFonts w:cs="Arial"/>
          <w:szCs w:val="28"/>
        </w:rPr>
        <w:t xml:space="preserve"> and actions</w:t>
      </w:r>
      <w:r w:rsidR="005F4D99" w:rsidRPr="005F4D99">
        <w:rPr>
          <w:rFonts w:cs="Arial"/>
        </w:rPr>
        <w:t xml:space="preserve">, </w:t>
      </w:r>
      <w:r w:rsidR="005D5912">
        <w:rPr>
          <w:rFonts w:cs="Arial"/>
        </w:rPr>
        <w:t xml:space="preserve">in alignment with the </w:t>
      </w:r>
      <w:r w:rsidR="005D5912">
        <w:rPr>
          <w:rFonts w:cs="Arial"/>
          <w:szCs w:val="28"/>
        </w:rPr>
        <w:t>priorities outline</w:t>
      </w:r>
      <w:r w:rsidR="00C22879">
        <w:rPr>
          <w:rFonts w:cs="Arial"/>
          <w:szCs w:val="28"/>
        </w:rPr>
        <w:t>d</w:t>
      </w:r>
      <w:r w:rsidR="005D5912">
        <w:rPr>
          <w:rFonts w:cs="Arial"/>
          <w:szCs w:val="28"/>
        </w:rPr>
        <w:t xml:space="preserve"> in </w:t>
      </w:r>
      <w:r w:rsidR="00A7573C">
        <w:rPr>
          <w:rFonts w:cs="Arial"/>
          <w:szCs w:val="28"/>
        </w:rPr>
        <w:t xml:space="preserve">the </w:t>
      </w:r>
      <w:r w:rsidR="00CA5392">
        <w:rPr>
          <w:rFonts w:cs="Arial"/>
          <w:szCs w:val="28"/>
        </w:rPr>
        <w:t>Strategic Plan</w:t>
      </w:r>
      <w:r w:rsidR="00101A46">
        <w:rPr>
          <w:rFonts w:cs="Arial"/>
          <w:szCs w:val="28"/>
        </w:rPr>
        <w:t xml:space="preserve">. </w:t>
      </w:r>
      <w:r w:rsidR="005F4D99" w:rsidRPr="005F4D99">
        <w:rPr>
          <w:rFonts w:cs="Arial"/>
        </w:rPr>
        <w:t xml:space="preserve">To </w:t>
      </w:r>
      <w:r w:rsidR="00E1656E">
        <w:rPr>
          <w:rFonts w:cs="Arial"/>
        </w:rPr>
        <w:t>uphold the</w:t>
      </w:r>
      <w:r w:rsidR="005F4D99" w:rsidRPr="005F4D99">
        <w:rPr>
          <w:rFonts w:cs="Arial"/>
        </w:rPr>
        <w:t xml:space="preserve"> objectives</w:t>
      </w:r>
      <w:r w:rsidR="00E1656E">
        <w:rPr>
          <w:rFonts w:cs="Arial"/>
        </w:rPr>
        <w:t xml:space="preserve"> of</w:t>
      </w:r>
      <w:r w:rsidR="005F4D99" w:rsidRPr="005F4D99">
        <w:rPr>
          <w:rFonts w:cs="Arial"/>
        </w:rPr>
        <w:t xml:space="preserve"> </w:t>
      </w:r>
      <w:r w:rsidR="00B731A8">
        <w:rPr>
          <w:rFonts w:cs="Arial"/>
        </w:rPr>
        <w:t xml:space="preserve">the </w:t>
      </w:r>
      <w:r w:rsidR="00B731A8" w:rsidRPr="007F2DCD">
        <w:rPr>
          <w:rFonts w:cs="Arial"/>
          <w:i/>
        </w:rPr>
        <w:t>Human Rights Act 2019</w:t>
      </w:r>
      <w:r w:rsidR="00553203">
        <w:rPr>
          <w:rFonts w:cs="Arial"/>
          <w:i/>
        </w:rPr>
        <w:t xml:space="preserve"> </w:t>
      </w:r>
      <w:r w:rsidR="00553203">
        <w:rPr>
          <w:rFonts w:cs="Arial"/>
          <w:iCs/>
        </w:rPr>
        <w:t>(Qld)</w:t>
      </w:r>
      <w:r w:rsidR="005F4D99" w:rsidRPr="005F4D99">
        <w:rPr>
          <w:rFonts w:cs="Arial"/>
        </w:rPr>
        <w:t xml:space="preserve">, the QBCC has implemented </w:t>
      </w:r>
      <w:r w:rsidR="00B818E6">
        <w:rPr>
          <w:rFonts w:cs="Arial"/>
        </w:rPr>
        <w:t xml:space="preserve">robust </w:t>
      </w:r>
      <w:r w:rsidR="005F4D99" w:rsidRPr="005F4D99">
        <w:rPr>
          <w:rFonts w:cs="Arial"/>
        </w:rPr>
        <w:t xml:space="preserve">processes </w:t>
      </w:r>
      <w:r w:rsidR="003634A9">
        <w:rPr>
          <w:rFonts w:cs="Arial"/>
        </w:rPr>
        <w:t>to</w:t>
      </w:r>
      <w:r w:rsidR="005F4D99" w:rsidRPr="005F4D99">
        <w:rPr>
          <w:rFonts w:cs="Arial"/>
        </w:rPr>
        <w:t xml:space="preserve"> </w:t>
      </w:r>
      <w:r w:rsidR="00466D55">
        <w:rPr>
          <w:rFonts w:cs="Arial"/>
        </w:rPr>
        <w:t>embed</w:t>
      </w:r>
      <w:r w:rsidR="005F4D99" w:rsidRPr="005F4D99">
        <w:rPr>
          <w:rFonts w:cs="Arial"/>
        </w:rPr>
        <w:t xml:space="preserve"> human rights considerations into </w:t>
      </w:r>
      <w:r w:rsidR="00466D55">
        <w:rPr>
          <w:rFonts w:cs="Arial"/>
        </w:rPr>
        <w:t>its operations and</w:t>
      </w:r>
      <w:r w:rsidR="003B563F">
        <w:rPr>
          <w:rFonts w:cs="Arial"/>
        </w:rPr>
        <w:t xml:space="preserve"> ensure </w:t>
      </w:r>
      <w:r w:rsidR="00466D55">
        <w:rPr>
          <w:rFonts w:cs="Arial"/>
        </w:rPr>
        <w:t xml:space="preserve">ongoing </w:t>
      </w:r>
      <w:r w:rsidR="003B563F">
        <w:rPr>
          <w:rFonts w:cs="Arial"/>
        </w:rPr>
        <w:t>compliance</w:t>
      </w:r>
      <w:r w:rsidR="005F4D99" w:rsidRPr="005F4D99">
        <w:rPr>
          <w:rFonts w:cs="Arial"/>
        </w:rPr>
        <w:t>.</w:t>
      </w:r>
      <w:r w:rsidR="00394895">
        <w:rPr>
          <w:rFonts w:cs="Arial"/>
        </w:rPr>
        <w:t xml:space="preserve"> </w:t>
      </w:r>
    </w:p>
    <w:p w14:paraId="117EEBF9" w14:textId="43C959D6" w:rsidR="004F24BD" w:rsidRDefault="0034005C" w:rsidP="00793BEC">
      <w:pPr>
        <w:spacing w:before="120" w:after="120"/>
        <w:rPr>
          <w:rFonts w:cs="Arial"/>
        </w:rPr>
      </w:pPr>
      <w:r>
        <w:rPr>
          <w:rFonts w:cs="Arial"/>
        </w:rPr>
        <w:t>In 2024</w:t>
      </w:r>
      <w:r w:rsidR="00D53A51">
        <w:rPr>
          <w:rFonts w:cs="Arial"/>
        </w:rPr>
        <w:t xml:space="preserve">–25, </w:t>
      </w:r>
      <w:r w:rsidR="00394895" w:rsidRPr="00394895">
        <w:rPr>
          <w:rFonts w:cs="Arial"/>
        </w:rPr>
        <w:t>training</w:t>
      </w:r>
      <w:r w:rsidR="005E17B5">
        <w:rPr>
          <w:rFonts w:cs="Arial"/>
        </w:rPr>
        <w:t xml:space="preserve"> was </w:t>
      </w:r>
      <w:r w:rsidR="00394895" w:rsidRPr="00394895">
        <w:rPr>
          <w:rFonts w:cs="Arial"/>
        </w:rPr>
        <w:t xml:space="preserve">conducted to ensure directors </w:t>
      </w:r>
      <w:r w:rsidR="003B6AEB">
        <w:rPr>
          <w:rFonts w:cs="Arial"/>
        </w:rPr>
        <w:t>understand</w:t>
      </w:r>
      <w:r w:rsidR="00394895" w:rsidRPr="00394895">
        <w:rPr>
          <w:rFonts w:cs="Arial"/>
        </w:rPr>
        <w:t xml:space="preserve"> the </w:t>
      </w:r>
      <w:r w:rsidR="005E17B5">
        <w:rPr>
          <w:rFonts w:cs="Arial"/>
        </w:rPr>
        <w:t>QBCC</w:t>
      </w:r>
      <w:r w:rsidR="0001093B">
        <w:rPr>
          <w:rFonts w:cs="Arial"/>
        </w:rPr>
        <w:t>’s</w:t>
      </w:r>
      <w:r w:rsidR="00394895" w:rsidRPr="00394895">
        <w:rPr>
          <w:rFonts w:cs="Arial"/>
        </w:rPr>
        <w:t xml:space="preserve"> obligations under the </w:t>
      </w:r>
      <w:r w:rsidR="00394895" w:rsidRPr="0001093B">
        <w:rPr>
          <w:rFonts w:cs="Arial"/>
          <w:i/>
        </w:rPr>
        <w:t>Human Rights Act 2019</w:t>
      </w:r>
      <w:r w:rsidR="00394895" w:rsidRPr="00394895">
        <w:rPr>
          <w:rFonts w:cs="Arial"/>
        </w:rPr>
        <w:t xml:space="preserve"> and </w:t>
      </w:r>
      <w:r w:rsidR="009D0974">
        <w:rPr>
          <w:rFonts w:cs="Arial"/>
        </w:rPr>
        <w:t xml:space="preserve">are equipped </w:t>
      </w:r>
      <w:r w:rsidR="00394895" w:rsidRPr="00394895">
        <w:rPr>
          <w:rFonts w:cs="Arial"/>
        </w:rPr>
        <w:t xml:space="preserve">to </w:t>
      </w:r>
      <w:r w:rsidR="009D0974">
        <w:rPr>
          <w:rFonts w:cs="Arial"/>
        </w:rPr>
        <w:t>consider</w:t>
      </w:r>
      <w:r w:rsidR="00394895" w:rsidRPr="00394895">
        <w:rPr>
          <w:rFonts w:cs="Arial"/>
        </w:rPr>
        <w:t xml:space="preserve"> human rights in decision</w:t>
      </w:r>
      <w:r w:rsidR="000072A1">
        <w:rPr>
          <w:rFonts w:cs="Arial"/>
        </w:rPr>
        <w:t xml:space="preserve"> </w:t>
      </w:r>
      <w:r w:rsidR="00394895" w:rsidRPr="00394895">
        <w:rPr>
          <w:rFonts w:cs="Arial"/>
        </w:rPr>
        <w:t>making.</w:t>
      </w:r>
      <w:r w:rsidR="00D53A51" w:rsidRPr="23A16AD1">
        <w:rPr>
          <w:rFonts w:cs="Arial"/>
        </w:rPr>
        <w:t xml:space="preserve"> </w:t>
      </w:r>
      <w:r w:rsidR="00466D55" w:rsidRPr="23A16AD1">
        <w:rPr>
          <w:rFonts w:cs="Arial"/>
        </w:rPr>
        <w:t xml:space="preserve">During </w:t>
      </w:r>
      <w:r w:rsidRPr="23A16AD1">
        <w:rPr>
          <w:rFonts w:cs="Arial"/>
        </w:rPr>
        <w:t>the reporting period</w:t>
      </w:r>
      <w:r w:rsidR="00860882" w:rsidRPr="23A16AD1">
        <w:rPr>
          <w:rFonts w:cs="Arial"/>
        </w:rPr>
        <w:t>,</w:t>
      </w:r>
      <w:r w:rsidR="00065DFE" w:rsidRPr="23A16AD1">
        <w:rPr>
          <w:rFonts w:cs="Arial"/>
        </w:rPr>
        <w:t xml:space="preserve"> </w:t>
      </w:r>
      <w:r w:rsidR="00402BFD" w:rsidRPr="23A16AD1">
        <w:rPr>
          <w:rFonts w:cs="Arial"/>
        </w:rPr>
        <w:t>the QBCC receive</w:t>
      </w:r>
      <w:r w:rsidR="00C05868">
        <w:rPr>
          <w:rFonts w:cs="Arial"/>
        </w:rPr>
        <w:t xml:space="preserve">d three </w:t>
      </w:r>
      <w:r w:rsidR="00466D55" w:rsidRPr="23A16AD1">
        <w:rPr>
          <w:rFonts w:cs="Arial"/>
        </w:rPr>
        <w:t xml:space="preserve">complaints related to </w:t>
      </w:r>
      <w:r w:rsidR="00065DFE" w:rsidRPr="23A16AD1">
        <w:rPr>
          <w:rFonts w:cs="Arial"/>
        </w:rPr>
        <w:t>human rights</w:t>
      </w:r>
      <w:r w:rsidR="00C05868">
        <w:rPr>
          <w:rFonts w:cs="Arial"/>
        </w:rPr>
        <w:t>, all of which remain in progress with outcomes yet to be determined</w:t>
      </w:r>
      <w:r w:rsidR="00065DFE" w:rsidRPr="23A16AD1">
        <w:rPr>
          <w:rFonts w:cs="Arial"/>
        </w:rPr>
        <w:t>.</w:t>
      </w:r>
    </w:p>
    <w:p w14:paraId="05A5CEEE" w14:textId="227577CD" w:rsidR="004F24BD" w:rsidRDefault="007B6456" w:rsidP="004B26BC">
      <w:pPr>
        <w:pStyle w:val="Heading3"/>
      </w:pPr>
      <w:r>
        <w:t>Employee conduct</w:t>
      </w:r>
    </w:p>
    <w:p w14:paraId="5C138B13" w14:textId="77777777" w:rsidR="0018178E" w:rsidRDefault="004F24BD" w:rsidP="00793BEC">
      <w:pPr>
        <w:spacing w:before="120" w:after="120"/>
        <w:rPr>
          <w:rFonts w:cs="Arial"/>
        </w:rPr>
      </w:pPr>
      <w:r>
        <w:rPr>
          <w:rFonts w:cs="Arial"/>
        </w:rPr>
        <w:t>Th</w:t>
      </w:r>
      <w:r w:rsidR="00D712C2" w:rsidRPr="00D712C2">
        <w:rPr>
          <w:rFonts w:cs="Arial"/>
        </w:rPr>
        <w:t xml:space="preserve">e QBCC </w:t>
      </w:r>
      <w:r w:rsidR="00005EEA" w:rsidRPr="00005EEA">
        <w:rPr>
          <w:rFonts w:cs="Arial"/>
        </w:rPr>
        <w:t xml:space="preserve">is </w:t>
      </w:r>
      <w:r w:rsidR="002E15D2">
        <w:rPr>
          <w:rFonts w:cs="Arial"/>
        </w:rPr>
        <w:t>committed</w:t>
      </w:r>
      <w:r w:rsidR="00005EEA" w:rsidRPr="00005EEA">
        <w:rPr>
          <w:rFonts w:cs="Arial"/>
        </w:rPr>
        <w:t xml:space="preserve"> to </w:t>
      </w:r>
      <w:r w:rsidR="00003A28">
        <w:rPr>
          <w:rFonts w:cs="Arial"/>
        </w:rPr>
        <w:t>maintaining</w:t>
      </w:r>
      <w:r w:rsidR="00D712C2" w:rsidRPr="00D712C2">
        <w:rPr>
          <w:rFonts w:cs="Arial"/>
        </w:rPr>
        <w:t xml:space="preserve"> the highest </w:t>
      </w:r>
      <w:r w:rsidR="00005EEA" w:rsidRPr="00005EEA">
        <w:rPr>
          <w:rFonts w:cs="Arial"/>
        </w:rPr>
        <w:t>standards</w:t>
      </w:r>
      <w:r w:rsidR="00D712C2" w:rsidRPr="00D712C2">
        <w:rPr>
          <w:rFonts w:cs="Arial"/>
        </w:rPr>
        <w:t xml:space="preserve"> of integrity and </w:t>
      </w:r>
      <w:r w:rsidR="004A729B">
        <w:rPr>
          <w:rFonts w:cs="Arial"/>
        </w:rPr>
        <w:t>strongly upholds</w:t>
      </w:r>
      <w:r w:rsidR="00D712C2" w:rsidRPr="00D712C2">
        <w:rPr>
          <w:rFonts w:cs="Arial"/>
        </w:rPr>
        <w:t xml:space="preserve"> its legislative and ethical </w:t>
      </w:r>
      <w:r w:rsidR="00243E56">
        <w:rPr>
          <w:rFonts w:cs="Arial"/>
        </w:rPr>
        <w:t>obligations under</w:t>
      </w:r>
      <w:r w:rsidR="00D712C2" w:rsidRPr="00D712C2">
        <w:rPr>
          <w:rFonts w:cs="Arial"/>
        </w:rPr>
        <w:t xml:space="preserve"> the </w:t>
      </w:r>
      <w:r w:rsidR="002573A7" w:rsidRPr="00B11404">
        <w:rPr>
          <w:rFonts w:cs="Arial"/>
          <w:i/>
          <w:iCs/>
        </w:rPr>
        <w:t>Public Interest Disclosure Act 2010</w:t>
      </w:r>
      <w:r w:rsidR="00243E56">
        <w:rPr>
          <w:rFonts w:cs="Arial"/>
        </w:rPr>
        <w:t>.</w:t>
      </w:r>
      <w:r w:rsidR="00005EEA" w:rsidRPr="00005EEA">
        <w:rPr>
          <w:rFonts w:cs="Arial"/>
        </w:rPr>
        <w:t xml:space="preserve"> </w:t>
      </w:r>
    </w:p>
    <w:p w14:paraId="1C5B8DEE" w14:textId="2F07DF70" w:rsidR="00D712C2" w:rsidRPr="00793BEC" w:rsidRDefault="00005EEA" w:rsidP="00793BEC">
      <w:pPr>
        <w:spacing w:before="120" w:after="120"/>
        <w:rPr>
          <w:rFonts w:cs="Arial"/>
        </w:rPr>
      </w:pPr>
      <w:r w:rsidRPr="00005EEA">
        <w:rPr>
          <w:rFonts w:cs="Arial"/>
        </w:rPr>
        <w:t xml:space="preserve">To support </w:t>
      </w:r>
      <w:r w:rsidR="00284CB2">
        <w:rPr>
          <w:rFonts w:cs="Arial"/>
        </w:rPr>
        <w:t>its</w:t>
      </w:r>
      <w:r w:rsidRPr="00005EEA">
        <w:rPr>
          <w:rFonts w:cs="Arial"/>
        </w:rPr>
        <w:t xml:space="preserve"> commitment, the</w:t>
      </w:r>
      <w:r w:rsidR="00226A7E">
        <w:rPr>
          <w:rFonts w:cs="Arial"/>
        </w:rPr>
        <w:t xml:space="preserve"> organisation</w:t>
      </w:r>
      <w:r w:rsidR="00D712C2" w:rsidRPr="00D712C2">
        <w:rPr>
          <w:rFonts w:cs="Arial"/>
        </w:rPr>
        <w:t xml:space="preserve"> </w:t>
      </w:r>
      <w:r w:rsidRPr="00005EEA">
        <w:rPr>
          <w:rFonts w:cs="Arial"/>
        </w:rPr>
        <w:t>has established</w:t>
      </w:r>
      <w:r w:rsidR="00D712C2" w:rsidRPr="00D712C2">
        <w:rPr>
          <w:rFonts w:cs="Arial"/>
        </w:rPr>
        <w:t xml:space="preserve"> </w:t>
      </w:r>
      <w:r w:rsidR="00527137">
        <w:rPr>
          <w:rFonts w:cs="Arial"/>
        </w:rPr>
        <w:t>clear</w:t>
      </w:r>
      <w:r w:rsidR="00D712C2" w:rsidRPr="00D712C2">
        <w:rPr>
          <w:rFonts w:cs="Arial"/>
        </w:rPr>
        <w:t xml:space="preserve"> procedures for reporting and </w:t>
      </w:r>
      <w:r w:rsidR="000A591F" w:rsidRPr="00D712C2">
        <w:rPr>
          <w:rFonts w:cs="Arial"/>
        </w:rPr>
        <w:t>manag</w:t>
      </w:r>
      <w:r w:rsidR="000A591F">
        <w:rPr>
          <w:rFonts w:cs="Arial"/>
        </w:rPr>
        <w:t>ing</w:t>
      </w:r>
      <w:r w:rsidR="00380D2A">
        <w:rPr>
          <w:rFonts w:cs="Arial"/>
        </w:rPr>
        <w:t xml:space="preserve"> </w:t>
      </w:r>
      <w:r w:rsidR="00C46E90">
        <w:rPr>
          <w:rFonts w:cs="Arial"/>
        </w:rPr>
        <w:t xml:space="preserve">actual or suspected </w:t>
      </w:r>
      <w:r w:rsidR="00767740">
        <w:rPr>
          <w:rFonts w:cs="Arial"/>
        </w:rPr>
        <w:t>instances</w:t>
      </w:r>
      <w:r w:rsidR="00380D2A">
        <w:rPr>
          <w:rFonts w:cs="Arial"/>
        </w:rPr>
        <w:t xml:space="preserve"> of</w:t>
      </w:r>
      <w:r w:rsidR="000A591F" w:rsidRPr="00D712C2">
        <w:rPr>
          <w:rFonts w:cs="Arial"/>
        </w:rPr>
        <w:t xml:space="preserve"> </w:t>
      </w:r>
      <w:r w:rsidR="00D712C2" w:rsidRPr="00D712C2">
        <w:rPr>
          <w:rFonts w:cs="Arial"/>
        </w:rPr>
        <w:t>corrupt conduct</w:t>
      </w:r>
      <w:r w:rsidR="00EE13D0">
        <w:rPr>
          <w:rFonts w:cs="Arial"/>
        </w:rPr>
        <w:t xml:space="preserve"> or</w:t>
      </w:r>
      <w:r w:rsidR="004A2A54">
        <w:rPr>
          <w:rFonts w:cs="Arial"/>
        </w:rPr>
        <w:t xml:space="preserve"> misconduct</w:t>
      </w:r>
      <w:r w:rsidR="00EE13D0">
        <w:rPr>
          <w:rFonts w:cs="Arial"/>
        </w:rPr>
        <w:t>,</w:t>
      </w:r>
      <w:r w:rsidR="00D712C2" w:rsidRPr="00D712C2">
        <w:rPr>
          <w:rFonts w:cs="Arial"/>
        </w:rPr>
        <w:t xml:space="preserve"> and public interest disclosures.</w:t>
      </w:r>
    </w:p>
    <w:p w14:paraId="482BF0F3" w14:textId="33ACA902" w:rsidR="00F620EF" w:rsidRDefault="00EB7569" w:rsidP="00793BEC">
      <w:pPr>
        <w:pStyle w:val="Heading3"/>
      </w:pPr>
      <w:bookmarkStart w:id="279" w:name="_Access_to_information"/>
      <w:bookmarkEnd w:id="279"/>
      <w:r w:rsidRPr="00097695">
        <w:t>Access to information</w:t>
      </w:r>
      <w:r w:rsidR="0005107C">
        <w:t xml:space="preserve">  </w:t>
      </w:r>
      <w:r w:rsidRPr="00097695">
        <w:t xml:space="preserve"> </w:t>
      </w:r>
      <w:bookmarkStart w:id="280" w:name="_Right_to_information"/>
      <w:bookmarkEnd w:id="280"/>
    </w:p>
    <w:p w14:paraId="307154BA" w14:textId="6EC7645B" w:rsidR="009319F1" w:rsidRDefault="00344779" w:rsidP="001A2526">
      <w:pPr>
        <w:spacing w:before="120" w:after="120"/>
        <w:rPr>
          <w:rFonts w:cs="Arial"/>
        </w:rPr>
      </w:pPr>
      <w:r w:rsidRPr="00344779">
        <w:t xml:space="preserve">The QBCC is committed to </w:t>
      </w:r>
      <w:r w:rsidR="00F11EAD">
        <w:t>upholding</w:t>
      </w:r>
      <w:r w:rsidR="00C061F2">
        <w:t xml:space="preserve"> the Queensland </w:t>
      </w:r>
      <w:r w:rsidR="006C2FAE">
        <w:t xml:space="preserve">community’s right to access government-held information and </w:t>
      </w:r>
      <w:r w:rsidR="00D22ECD">
        <w:t xml:space="preserve">to </w:t>
      </w:r>
      <w:r w:rsidR="00B63C60">
        <w:t xml:space="preserve">the </w:t>
      </w:r>
      <w:r w:rsidR="00011B63">
        <w:t>protect</w:t>
      </w:r>
      <w:r w:rsidR="00B63C60">
        <w:t>ion of</w:t>
      </w:r>
      <w:r w:rsidR="00011B63">
        <w:t xml:space="preserve"> personal </w:t>
      </w:r>
      <w:r w:rsidR="0044034D">
        <w:t>information</w:t>
      </w:r>
      <w:r w:rsidR="00011B63">
        <w:t xml:space="preserve"> in accordance with</w:t>
      </w:r>
      <w:r w:rsidR="00EA033F">
        <w:t xml:space="preserve"> the </w:t>
      </w:r>
      <w:r w:rsidR="00EA033F" w:rsidRPr="40147BD5">
        <w:rPr>
          <w:rFonts w:cs="Arial"/>
          <w:i/>
        </w:rPr>
        <w:t>Right to Information Act 2009</w:t>
      </w:r>
      <w:r w:rsidR="00AB6180" w:rsidRPr="40147BD5">
        <w:rPr>
          <w:rFonts w:cs="Arial"/>
        </w:rPr>
        <w:t xml:space="preserve"> (RTI Act)</w:t>
      </w:r>
      <w:r w:rsidR="00196248" w:rsidRPr="40147BD5">
        <w:rPr>
          <w:rFonts w:cs="Arial"/>
        </w:rPr>
        <w:t xml:space="preserve">, </w:t>
      </w:r>
      <w:r w:rsidR="53F55375" w:rsidRPr="6CB12632">
        <w:rPr>
          <w:rFonts w:cs="Arial"/>
        </w:rPr>
        <w:t>and</w:t>
      </w:r>
      <w:r w:rsidR="00196248" w:rsidRPr="6CB12632">
        <w:rPr>
          <w:rFonts w:cs="Arial"/>
        </w:rPr>
        <w:t xml:space="preserve"> </w:t>
      </w:r>
      <w:r w:rsidR="00EA033F" w:rsidRPr="40147BD5">
        <w:rPr>
          <w:rFonts w:cs="Arial"/>
        </w:rPr>
        <w:t xml:space="preserve">the </w:t>
      </w:r>
      <w:r w:rsidR="00EA033F" w:rsidRPr="40147BD5">
        <w:rPr>
          <w:rFonts w:cs="Arial"/>
          <w:i/>
        </w:rPr>
        <w:t>Information Privacy Act 2009</w:t>
      </w:r>
      <w:r w:rsidR="00EA033F" w:rsidRPr="40147BD5">
        <w:rPr>
          <w:rFonts w:cs="Arial"/>
        </w:rPr>
        <w:t xml:space="preserve"> (IP Act</w:t>
      </w:r>
      <w:r w:rsidR="00EA033F" w:rsidRPr="6CB12632">
        <w:rPr>
          <w:rFonts w:cs="Arial"/>
        </w:rPr>
        <w:t>)</w:t>
      </w:r>
      <w:r w:rsidR="61E40252" w:rsidRPr="6CB12632" w:rsidDel="00D66F3A">
        <w:rPr>
          <w:rFonts w:cs="Arial"/>
        </w:rPr>
        <w:t>.</w:t>
      </w:r>
      <w:r w:rsidR="00304326" w:rsidRPr="40147BD5">
        <w:rPr>
          <w:rFonts w:cs="Arial"/>
        </w:rPr>
        <w:t xml:space="preserve"> </w:t>
      </w:r>
      <w:r w:rsidR="0031475D" w:rsidRPr="40147BD5">
        <w:rPr>
          <w:rFonts w:cs="Arial"/>
        </w:rPr>
        <w:t xml:space="preserve">In line with its commitment to </w:t>
      </w:r>
      <w:r w:rsidR="00B42FCC" w:rsidRPr="40147BD5">
        <w:rPr>
          <w:rFonts w:cs="Arial"/>
        </w:rPr>
        <w:t xml:space="preserve">transparency </w:t>
      </w:r>
      <w:r w:rsidR="0031475D" w:rsidRPr="40147BD5">
        <w:rPr>
          <w:rFonts w:cs="Arial"/>
        </w:rPr>
        <w:t xml:space="preserve">and </w:t>
      </w:r>
      <w:r w:rsidR="00BD4D51" w:rsidRPr="40147BD5">
        <w:rPr>
          <w:rFonts w:cs="Arial"/>
        </w:rPr>
        <w:t>community engagement</w:t>
      </w:r>
      <w:r w:rsidR="0031475D" w:rsidRPr="40147BD5">
        <w:rPr>
          <w:rFonts w:cs="Arial"/>
        </w:rPr>
        <w:t xml:space="preserve">, </w:t>
      </w:r>
      <w:r w:rsidR="008F2339" w:rsidRPr="40147BD5">
        <w:rPr>
          <w:rFonts w:cs="Arial"/>
        </w:rPr>
        <w:t xml:space="preserve">the QBCC proactively releases information about its functions </w:t>
      </w:r>
      <w:r w:rsidR="003A4DA2" w:rsidRPr="40147BD5">
        <w:rPr>
          <w:rFonts w:cs="Arial"/>
        </w:rPr>
        <w:t xml:space="preserve">and publishes a wide range of resources on its website. Where possible, information </w:t>
      </w:r>
      <w:r w:rsidR="00B42FCC" w:rsidRPr="40147BD5">
        <w:rPr>
          <w:rFonts w:cs="Arial"/>
        </w:rPr>
        <w:t xml:space="preserve">is made </w:t>
      </w:r>
      <w:r w:rsidR="003A4DA2" w:rsidRPr="40147BD5">
        <w:rPr>
          <w:rFonts w:cs="Arial"/>
        </w:rPr>
        <w:t>available to the public</w:t>
      </w:r>
      <w:r w:rsidR="002205E3" w:rsidRPr="40147BD5">
        <w:rPr>
          <w:rFonts w:cs="Arial"/>
        </w:rPr>
        <w:t xml:space="preserve"> without the need for formal applications</w:t>
      </w:r>
      <w:r w:rsidR="00EB6C7C" w:rsidRPr="40147BD5">
        <w:rPr>
          <w:rFonts w:cs="Arial"/>
        </w:rPr>
        <w:t xml:space="preserve">. </w:t>
      </w:r>
      <w:r w:rsidR="00C95FB8" w:rsidRPr="40147BD5">
        <w:rPr>
          <w:rFonts w:cs="Arial"/>
        </w:rPr>
        <w:t xml:space="preserve">To build awareness and trust, the QBCC </w:t>
      </w:r>
      <w:r w:rsidR="001C523A" w:rsidRPr="40147BD5">
        <w:rPr>
          <w:rFonts w:cs="Arial"/>
        </w:rPr>
        <w:t>also educate</w:t>
      </w:r>
      <w:r w:rsidR="00BD4D51" w:rsidRPr="40147BD5">
        <w:rPr>
          <w:rFonts w:cs="Arial"/>
        </w:rPr>
        <w:t>s</w:t>
      </w:r>
      <w:r w:rsidR="001C523A" w:rsidRPr="40147BD5">
        <w:rPr>
          <w:rFonts w:cs="Arial"/>
        </w:rPr>
        <w:t xml:space="preserve"> the </w:t>
      </w:r>
      <w:r w:rsidR="00C95FB8" w:rsidRPr="40147BD5">
        <w:rPr>
          <w:rFonts w:cs="Arial"/>
        </w:rPr>
        <w:t xml:space="preserve">public about </w:t>
      </w:r>
      <w:r w:rsidR="001C523A" w:rsidRPr="40147BD5">
        <w:rPr>
          <w:rFonts w:cs="Arial"/>
        </w:rPr>
        <w:t xml:space="preserve">their </w:t>
      </w:r>
      <w:r w:rsidR="00C95FB8" w:rsidRPr="40147BD5">
        <w:rPr>
          <w:rFonts w:cs="Arial"/>
        </w:rPr>
        <w:t xml:space="preserve">rights </w:t>
      </w:r>
      <w:r w:rsidR="001C523A" w:rsidRPr="40147BD5">
        <w:rPr>
          <w:rFonts w:cs="Arial"/>
        </w:rPr>
        <w:t>under the IP Act</w:t>
      </w:r>
      <w:r w:rsidR="003977D6" w:rsidRPr="40147BD5">
        <w:rPr>
          <w:rFonts w:cs="Arial"/>
        </w:rPr>
        <w:t xml:space="preserve"> and</w:t>
      </w:r>
      <w:r w:rsidR="00C95FB8" w:rsidRPr="40147BD5">
        <w:rPr>
          <w:rFonts w:cs="Arial"/>
        </w:rPr>
        <w:t xml:space="preserve"> the </w:t>
      </w:r>
      <w:r w:rsidR="001C523A" w:rsidRPr="40147BD5">
        <w:rPr>
          <w:rFonts w:cs="Arial"/>
        </w:rPr>
        <w:t xml:space="preserve">responsibilities </w:t>
      </w:r>
      <w:r w:rsidR="00C95FB8" w:rsidRPr="40147BD5">
        <w:rPr>
          <w:rFonts w:cs="Arial"/>
        </w:rPr>
        <w:t xml:space="preserve">of individuals </w:t>
      </w:r>
      <w:r w:rsidR="007D1E31" w:rsidRPr="40147BD5">
        <w:rPr>
          <w:rFonts w:cs="Arial"/>
        </w:rPr>
        <w:t>and agencies in safeguarding personal information. These efforts help strengthen public confidence in government and the public sector</w:t>
      </w:r>
      <w:r w:rsidR="005D6FD7" w:rsidRPr="40147BD5">
        <w:rPr>
          <w:rFonts w:cs="Arial"/>
        </w:rPr>
        <w:t xml:space="preserve">. </w:t>
      </w:r>
    </w:p>
    <w:p w14:paraId="3D17D060" w14:textId="4929611F" w:rsidR="009B2B42" w:rsidRDefault="000B799D" w:rsidP="00793BEC">
      <w:pPr>
        <w:spacing w:before="120" w:after="120"/>
        <w:rPr>
          <w:rFonts w:cs="Arial"/>
        </w:rPr>
      </w:pPr>
      <w:r w:rsidRPr="20678FD9">
        <w:rPr>
          <w:rFonts w:cs="Arial"/>
        </w:rPr>
        <w:t xml:space="preserve">In 2024–25, </w:t>
      </w:r>
      <w:r w:rsidR="7D2559F8" w:rsidRPr="20678FD9">
        <w:rPr>
          <w:rFonts w:cs="Arial"/>
        </w:rPr>
        <w:t>t</w:t>
      </w:r>
      <w:r w:rsidR="5F0BF36C" w:rsidRPr="20678FD9">
        <w:rPr>
          <w:rFonts w:cs="Arial"/>
        </w:rPr>
        <w:t xml:space="preserve">he </w:t>
      </w:r>
      <w:r w:rsidR="005D6FD7" w:rsidRPr="20678FD9">
        <w:rPr>
          <w:rFonts w:cs="Arial"/>
        </w:rPr>
        <w:t>QBCC</w:t>
      </w:r>
      <w:r w:rsidR="00E721A8" w:rsidRPr="20678FD9">
        <w:rPr>
          <w:rFonts w:cs="Arial"/>
        </w:rPr>
        <w:t xml:space="preserve"> </w:t>
      </w:r>
      <w:r w:rsidR="7C551038" w:rsidRPr="20678FD9">
        <w:rPr>
          <w:rFonts w:cs="Arial"/>
        </w:rPr>
        <w:t>maintained its</w:t>
      </w:r>
      <w:r w:rsidR="7D2559F8" w:rsidRPr="20678FD9">
        <w:rPr>
          <w:rFonts w:cs="Arial"/>
        </w:rPr>
        <w:t xml:space="preserve"> </w:t>
      </w:r>
      <w:r w:rsidR="1FABD48A" w:rsidRPr="20678FD9">
        <w:rPr>
          <w:rFonts w:cs="Arial"/>
        </w:rPr>
        <w:t>focus</w:t>
      </w:r>
      <w:r w:rsidR="00E721A8" w:rsidRPr="20678FD9">
        <w:rPr>
          <w:rFonts w:cs="Arial"/>
        </w:rPr>
        <w:t xml:space="preserve"> </w:t>
      </w:r>
      <w:r w:rsidR="005D6FD7" w:rsidRPr="20678FD9">
        <w:rPr>
          <w:rFonts w:cs="Arial"/>
        </w:rPr>
        <w:t xml:space="preserve">on </w:t>
      </w:r>
      <w:r w:rsidR="00FC0CC5">
        <w:rPr>
          <w:rFonts w:cs="Arial"/>
        </w:rPr>
        <w:t>developing</w:t>
      </w:r>
      <w:r w:rsidR="7C551038" w:rsidRPr="20678FD9">
        <w:rPr>
          <w:rFonts w:cs="Arial"/>
        </w:rPr>
        <w:t xml:space="preserve"> an</w:t>
      </w:r>
      <w:r w:rsidR="005D6FD7" w:rsidRPr="20678FD9">
        <w:rPr>
          <w:rFonts w:cs="Arial"/>
        </w:rPr>
        <w:t xml:space="preserve"> effective, efficient, ethical, transparent and accountable </w:t>
      </w:r>
      <w:r w:rsidR="4EEE91B8" w:rsidRPr="20678FD9">
        <w:rPr>
          <w:rFonts w:cs="Arial"/>
        </w:rPr>
        <w:t xml:space="preserve">organisation. </w:t>
      </w:r>
      <w:r w:rsidR="7D192F69" w:rsidRPr="20678FD9">
        <w:rPr>
          <w:rFonts w:cs="Arial"/>
        </w:rPr>
        <w:t>T</w:t>
      </w:r>
      <w:r w:rsidR="13E666E2" w:rsidRPr="20678FD9">
        <w:rPr>
          <w:rFonts w:cs="Arial"/>
        </w:rPr>
        <w:t xml:space="preserve">he </w:t>
      </w:r>
      <w:r w:rsidR="7D192F69" w:rsidRPr="20678FD9">
        <w:rPr>
          <w:rFonts w:cs="Arial"/>
        </w:rPr>
        <w:t xml:space="preserve">organisation </w:t>
      </w:r>
      <w:r w:rsidR="4EEE91B8" w:rsidRPr="20678FD9">
        <w:rPr>
          <w:rFonts w:cs="Arial"/>
        </w:rPr>
        <w:t>promoted</w:t>
      </w:r>
      <w:r w:rsidR="005D6FD7" w:rsidRPr="20678FD9">
        <w:rPr>
          <w:rFonts w:cs="Arial"/>
        </w:rPr>
        <w:t xml:space="preserve"> awareness </w:t>
      </w:r>
      <w:r w:rsidR="4EEE91B8" w:rsidRPr="20678FD9">
        <w:rPr>
          <w:rFonts w:cs="Arial"/>
        </w:rPr>
        <w:t xml:space="preserve">of </w:t>
      </w:r>
      <w:r w:rsidR="5F0BF36C" w:rsidRPr="20678FD9">
        <w:rPr>
          <w:rFonts w:cs="Arial"/>
        </w:rPr>
        <w:t>access</w:t>
      </w:r>
      <w:r w:rsidR="13E666E2" w:rsidRPr="20678FD9">
        <w:rPr>
          <w:rFonts w:cs="Arial"/>
        </w:rPr>
        <w:t xml:space="preserve"> and </w:t>
      </w:r>
      <w:r w:rsidR="005D6FD7" w:rsidRPr="20678FD9">
        <w:rPr>
          <w:rFonts w:cs="Arial"/>
        </w:rPr>
        <w:t>privacy rights</w:t>
      </w:r>
      <w:r w:rsidR="13E666E2" w:rsidRPr="20678FD9">
        <w:rPr>
          <w:rFonts w:cs="Arial"/>
        </w:rPr>
        <w:t>, including</w:t>
      </w:r>
      <w:r w:rsidR="005D6FD7" w:rsidRPr="20678FD9">
        <w:rPr>
          <w:rFonts w:cs="Arial"/>
        </w:rPr>
        <w:t xml:space="preserve"> how these rights can be </w:t>
      </w:r>
      <w:r w:rsidR="13E666E2" w:rsidRPr="20678FD9">
        <w:rPr>
          <w:rFonts w:cs="Arial"/>
        </w:rPr>
        <w:t>exercised</w:t>
      </w:r>
      <w:r w:rsidR="005D6FD7" w:rsidRPr="20678FD9">
        <w:rPr>
          <w:rFonts w:cs="Arial"/>
        </w:rPr>
        <w:t xml:space="preserve"> under the RTI </w:t>
      </w:r>
      <w:r w:rsidR="00413F7C">
        <w:rPr>
          <w:rFonts w:cs="Arial"/>
        </w:rPr>
        <w:t>A</w:t>
      </w:r>
      <w:r w:rsidR="00AB6180">
        <w:rPr>
          <w:rFonts w:cs="Arial"/>
        </w:rPr>
        <w:t>ct</w:t>
      </w:r>
      <w:r w:rsidR="005D6FD7" w:rsidRPr="20678FD9">
        <w:rPr>
          <w:rFonts w:cs="Arial"/>
        </w:rPr>
        <w:t xml:space="preserve"> and IP Act.</w:t>
      </w:r>
      <w:r w:rsidR="009172C0" w:rsidRPr="20678FD9">
        <w:rPr>
          <w:rFonts w:cs="Arial"/>
        </w:rPr>
        <w:t xml:space="preserve"> </w:t>
      </w:r>
      <w:r w:rsidR="0E1097E4" w:rsidRPr="20678FD9">
        <w:rPr>
          <w:rFonts w:cs="Arial"/>
        </w:rPr>
        <w:t xml:space="preserve">It also </w:t>
      </w:r>
      <w:r w:rsidR="6B66B171" w:rsidRPr="20678FD9">
        <w:rPr>
          <w:rFonts w:cs="Arial"/>
        </w:rPr>
        <w:t xml:space="preserve">continued </w:t>
      </w:r>
      <w:r w:rsidR="001F7225" w:rsidRPr="20678FD9">
        <w:rPr>
          <w:rFonts w:cs="Arial"/>
        </w:rPr>
        <w:t xml:space="preserve">to </w:t>
      </w:r>
      <w:r w:rsidR="0E1097E4" w:rsidRPr="20678FD9">
        <w:rPr>
          <w:rFonts w:cs="Arial"/>
        </w:rPr>
        <w:t>support</w:t>
      </w:r>
      <w:r w:rsidR="00FF5753" w:rsidRPr="20678FD9">
        <w:rPr>
          <w:rFonts w:cs="Arial"/>
        </w:rPr>
        <w:t xml:space="preserve"> the fair </w:t>
      </w:r>
      <w:r w:rsidR="0E1097E4" w:rsidRPr="20678FD9">
        <w:rPr>
          <w:rFonts w:cs="Arial"/>
        </w:rPr>
        <w:t xml:space="preserve">and lawful </w:t>
      </w:r>
      <w:r w:rsidR="00FF5753" w:rsidRPr="20678FD9">
        <w:rPr>
          <w:rFonts w:cs="Arial"/>
        </w:rPr>
        <w:t>collection and handling of personal information</w:t>
      </w:r>
      <w:r w:rsidR="0E1097E4" w:rsidRPr="20678FD9">
        <w:rPr>
          <w:rFonts w:cs="Arial"/>
        </w:rPr>
        <w:t xml:space="preserve">, including the </w:t>
      </w:r>
      <w:r w:rsidR="00FF5753" w:rsidRPr="20678FD9">
        <w:rPr>
          <w:rFonts w:cs="Arial"/>
        </w:rPr>
        <w:t xml:space="preserve">right to request </w:t>
      </w:r>
      <w:r w:rsidR="7D192F69" w:rsidRPr="20678FD9">
        <w:rPr>
          <w:rFonts w:cs="Arial"/>
        </w:rPr>
        <w:t xml:space="preserve">amendments </w:t>
      </w:r>
      <w:r w:rsidR="0E1097E4" w:rsidRPr="20678FD9">
        <w:rPr>
          <w:rFonts w:cs="Arial"/>
        </w:rPr>
        <w:t xml:space="preserve">to </w:t>
      </w:r>
      <w:r w:rsidR="00FF5753" w:rsidRPr="20678FD9">
        <w:rPr>
          <w:rFonts w:cs="Arial"/>
        </w:rPr>
        <w:t xml:space="preserve">personal </w:t>
      </w:r>
      <w:r w:rsidR="0E1097E4" w:rsidRPr="20678FD9">
        <w:rPr>
          <w:rFonts w:cs="Arial"/>
        </w:rPr>
        <w:t>data</w:t>
      </w:r>
      <w:r w:rsidR="55C38926" w:rsidRPr="20678FD9">
        <w:rPr>
          <w:rFonts w:cs="Arial"/>
        </w:rPr>
        <w:t>.</w:t>
      </w:r>
      <w:r w:rsidR="00B976B1" w:rsidRPr="20678FD9">
        <w:rPr>
          <w:rFonts w:cs="Arial"/>
        </w:rPr>
        <w:t xml:space="preserve"> </w:t>
      </w:r>
      <w:r w:rsidR="00B337B5" w:rsidRPr="20678FD9">
        <w:rPr>
          <w:rFonts w:cs="Arial"/>
        </w:rPr>
        <w:t>During the reporting p</w:t>
      </w:r>
      <w:r w:rsidR="009350C3" w:rsidRPr="20678FD9">
        <w:rPr>
          <w:rFonts w:cs="Arial"/>
        </w:rPr>
        <w:t xml:space="preserve">eriod, the QBCC </w:t>
      </w:r>
      <w:r w:rsidR="704D364F" w:rsidRPr="20678FD9">
        <w:rPr>
          <w:rFonts w:cs="Arial"/>
        </w:rPr>
        <w:t xml:space="preserve">received and </w:t>
      </w:r>
      <w:r w:rsidR="009350C3" w:rsidRPr="20678FD9">
        <w:rPr>
          <w:rFonts w:cs="Arial"/>
        </w:rPr>
        <w:t xml:space="preserve">responded to </w:t>
      </w:r>
      <w:r w:rsidR="526A04A3" w:rsidRPr="20678FD9">
        <w:rPr>
          <w:rFonts w:cs="Arial"/>
        </w:rPr>
        <w:t xml:space="preserve">275 </w:t>
      </w:r>
      <w:r w:rsidR="009350C3" w:rsidRPr="20678FD9">
        <w:rPr>
          <w:rFonts w:cs="Arial"/>
        </w:rPr>
        <w:t xml:space="preserve">requests for </w:t>
      </w:r>
      <w:r w:rsidR="007C16DC" w:rsidRPr="20678FD9">
        <w:rPr>
          <w:rFonts w:cs="Arial"/>
        </w:rPr>
        <w:t>information</w:t>
      </w:r>
      <w:r w:rsidR="7D192F69" w:rsidRPr="20678FD9">
        <w:rPr>
          <w:rFonts w:cs="Arial"/>
        </w:rPr>
        <w:t xml:space="preserve">. </w:t>
      </w:r>
      <w:r w:rsidR="35D7EAB0" w:rsidRPr="20678FD9">
        <w:rPr>
          <w:rFonts w:cs="Arial"/>
        </w:rPr>
        <w:t>The</w:t>
      </w:r>
      <w:r w:rsidR="008A621A">
        <w:rPr>
          <w:rFonts w:cs="Arial"/>
        </w:rPr>
        <w:t xml:space="preserve"> </w:t>
      </w:r>
      <w:proofErr w:type="gramStart"/>
      <w:r w:rsidR="00572928">
        <w:rPr>
          <w:rFonts w:cs="Arial"/>
        </w:rPr>
        <w:t>most commonly r</w:t>
      </w:r>
      <w:r w:rsidR="72F75E09" w:rsidRPr="20678FD9">
        <w:rPr>
          <w:rFonts w:cs="Arial"/>
        </w:rPr>
        <w:t>equested</w:t>
      </w:r>
      <w:proofErr w:type="gramEnd"/>
      <w:r w:rsidR="72F75E09" w:rsidRPr="20678FD9">
        <w:rPr>
          <w:rFonts w:cs="Arial"/>
        </w:rPr>
        <w:t xml:space="preserve"> </w:t>
      </w:r>
      <w:r w:rsidR="725F4E6E" w:rsidRPr="20678FD9">
        <w:rPr>
          <w:rFonts w:cs="Arial"/>
        </w:rPr>
        <w:t>topics</w:t>
      </w:r>
      <w:r w:rsidR="29D225A0" w:rsidRPr="20678FD9">
        <w:rPr>
          <w:rFonts w:cs="Arial"/>
        </w:rPr>
        <w:t xml:space="preserve"> </w:t>
      </w:r>
      <w:r w:rsidR="00572928">
        <w:rPr>
          <w:rFonts w:cs="Arial"/>
        </w:rPr>
        <w:t>included</w:t>
      </w:r>
      <w:r w:rsidR="65D71770" w:rsidRPr="20678FD9">
        <w:rPr>
          <w:rFonts w:cs="Arial"/>
        </w:rPr>
        <w:t>:</w:t>
      </w:r>
    </w:p>
    <w:p w14:paraId="7AA7D45F" w14:textId="65C7A9F8" w:rsidR="006454FA" w:rsidRDefault="000D2272" w:rsidP="00BD69F7">
      <w:pPr>
        <w:pStyle w:val="ListParagraph"/>
        <w:numPr>
          <w:ilvl w:val="0"/>
          <w:numId w:val="55"/>
        </w:numPr>
        <w:spacing w:before="120" w:after="120"/>
        <w:contextualSpacing w:val="0"/>
        <w:rPr>
          <w:rFonts w:cs="Arial"/>
          <w:szCs w:val="22"/>
        </w:rPr>
      </w:pPr>
      <w:r>
        <w:rPr>
          <w:rFonts w:cs="Arial"/>
          <w:szCs w:val="22"/>
        </w:rPr>
        <w:t>l</w:t>
      </w:r>
      <w:r w:rsidR="006454FA">
        <w:rPr>
          <w:rFonts w:cs="Arial"/>
          <w:szCs w:val="22"/>
        </w:rPr>
        <w:t>icensee information</w:t>
      </w:r>
    </w:p>
    <w:p w14:paraId="1D6461F4" w14:textId="051E2F95" w:rsidR="006454FA" w:rsidRDefault="0080544B" w:rsidP="00BD69F7">
      <w:pPr>
        <w:pStyle w:val="ListParagraph"/>
        <w:numPr>
          <w:ilvl w:val="0"/>
          <w:numId w:val="55"/>
        </w:numPr>
        <w:spacing w:before="120" w:after="120"/>
        <w:contextualSpacing w:val="0"/>
        <w:rPr>
          <w:rFonts w:cs="Arial"/>
          <w:szCs w:val="22"/>
        </w:rPr>
      </w:pPr>
      <w:r>
        <w:rPr>
          <w:rFonts w:cs="Arial"/>
          <w:szCs w:val="22"/>
        </w:rPr>
        <w:t>h</w:t>
      </w:r>
      <w:r w:rsidR="00BA6240">
        <w:rPr>
          <w:rFonts w:cs="Arial"/>
          <w:szCs w:val="22"/>
        </w:rPr>
        <w:t xml:space="preserve">ome </w:t>
      </w:r>
      <w:r>
        <w:rPr>
          <w:rFonts w:cs="Arial"/>
          <w:szCs w:val="22"/>
        </w:rPr>
        <w:t>w</w:t>
      </w:r>
      <w:r w:rsidR="00BA6240">
        <w:rPr>
          <w:rFonts w:cs="Arial"/>
          <w:szCs w:val="22"/>
        </w:rPr>
        <w:t xml:space="preserve">arranty </w:t>
      </w:r>
      <w:r w:rsidR="0083470B">
        <w:rPr>
          <w:rFonts w:cs="Arial"/>
          <w:szCs w:val="22"/>
        </w:rPr>
        <w:t>i</w:t>
      </w:r>
      <w:r w:rsidR="00BA6240">
        <w:rPr>
          <w:rFonts w:cs="Arial"/>
          <w:szCs w:val="22"/>
        </w:rPr>
        <w:t>nsurance</w:t>
      </w:r>
      <w:r w:rsidR="00BE7FF6">
        <w:rPr>
          <w:rFonts w:cs="Arial"/>
          <w:szCs w:val="22"/>
        </w:rPr>
        <w:t xml:space="preserve"> claims</w:t>
      </w:r>
    </w:p>
    <w:p w14:paraId="7DCB976D" w14:textId="513EBF5E" w:rsidR="00BA6240" w:rsidRDefault="000D2272" w:rsidP="00BD69F7">
      <w:pPr>
        <w:pStyle w:val="ListParagraph"/>
        <w:numPr>
          <w:ilvl w:val="0"/>
          <w:numId w:val="55"/>
        </w:numPr>
        <w:spacing w:before="120" w:after="120"/>
        <w:contextualSpacing w:val="0"/>
        <w:rPr>
          <w:rFonts w:cs="Arial"/>
          <w:szCs w:val="22"/>
        </w:rPr>
      </w:pPr>
      <w:r>
        <w:rPr>
          <w:rFonts w:cs="Arial"/>
          <w:szCs w:val="22"/>
        </w:rPr>
        <w:t>d</w:t>
      </w:r>
      <w:r w:rsidR="00BA6240">
        <w:rPr>
          <w:rFonts w:cs="Arial"/>
          <w:szCs w:val="22"/>
        </w:rPr>
        <w:t xml:space="preserve">efective building </w:t>
      </w:r>
      <w:r w:rsidR="00BE7FF6">
        <w:rPr>
          <w:rFonts w:cs="Arial"/>
          <w:szCs w:val="22"/>
        </w:rPr>
        <w:t>works</w:t>
      </w:r>
      <w:r w:rsidR="00D54554">
        <w:rPr>
          <w:rFonts w:cs="Arial"/>
          <w:szCs w:val="22"/>
        </w:rPr>
        <w:t xml:space="preserve"> information</w:t>
      </w:r>
    </w:p>
    <w:p w14:paraId="7CF17E85" w14:textId="1257BE9A" w:rsidR="00BE7FF6" w:rsidRDefault="000D2272" w:rsidP="00BD69F7">
      <w:pPr>
        <w:pStyle w:val="ListParagraph"/>
        <w:numPr>
          <w:ilvl w:val="0"/>
          <w:numId w:val="55"/>
        </w:numPr>
        <w:spacing w:before="120" w:after="120"/>
        <w:contextualSpacing w:val="0"/>
        <w:rPr>
          <w:rFonts w:cs="Arial"/>
          <w:szCs w:val="22"/>
        </w:rPr>
      </w:pPr>
      <w:r>
        <w:rPr>
          <w:rFonts w:cs="Arial"/>
          <w:szCs w:val="22"/>
        </w:rPr>
        <w:t>b</w:t>
      </w:r>
      <w:r w:rsidR="006B217A">
        <w:rPr>
          <w:rFonts w:cs="Arial"/>
          <w:szCs w:val="22"/>
        </w:rPr>
        <w:t>uilding works</w:t>
      </w:r>
      <w:r w:rsidR="00D54554">
        <w:rPr>
          <w:rFonts w:cs="Arial"/>
          <w:szCs w:val="22"/>
        </w:rPr>
        <w:t xml:space="preserve"> information</w:t>
      </w:r>
    </w:p>
    <w:p w14:paraId="4A5E8C28" w14:textId="533BE8DC" w:rsidR="006B217A" w:rsidRDefault="00EA2983" w:rsidP="00BD69F7">
      <w:pPr>
        <w:pStyle w:val="ListParagraph"/>
        <w:numPr>
          <w:ilvl w:val="0"/>
          <w:numId w:val="55"/>
        </w:numPr>
        <w:spacing w:before="120" w:after="120"/>
        <w:rPr>
          <w:rFonts w:cs="Arial"/>
        </w:rPr>
      </w:pPr>
      <w:r w:rsidRPr="20BE9D8C">
        <w:rPr>
          <w:rFonts w:cs="Arial"/>
        </w:rPr>
        <w:t>b</w:t>
      </w:r>
      <w:r w:rsidR="006B217A" w:rsidRPr="20BE9D8C">
        <w:rPr>
          <w:rFonts w:cs="Arial"/>
        </w:rPr>
        <w:t>uilding complaint disputes</w:t>
      </w:r>
      <w:r w:rsidR="00CC121B" w:rsidRPr="20BE9D8C">
        <w:rPr>
          <w:rFonts w:cs="Arial"/>
        </w:rPr>
        <w:t>.</w:t>
      </w:r>
    </w:p>
    <w:p w14:paraId="6C2D66D9" w14:textId="77777777" w:rsidR="009F2100" w:rsidRDefault="00711ADD" w:rsidP="00C931AE">
      <w:pPr>
        <w:spacing w:before="120" w:after="120"/>
        <w:rPr>
          <w:rFonts w:eastAsia="MS Mincho" w:cs="Arial"/>
        </w:rPr>
      </w:pPr>
      <w:r w:rsidRPr="67847FE3">
        <w:rPr>
          <w:rFonts w:eastAsia="MS Mincho" w:cs="Arial"/>
        </w:rPr>
        <w:t xml:space="preserve">To </w:t>
      </w:r>
      <w:r w:rsidR="00AE1BCD" w:rsidRPr="67847FE3">
        <w:rPr>
          <w:rFonts w:eastAsia="MS Mincho" w:cs="Arial"/>
        </w:rPr>
        <w:t>further strengthen</w:t>
      </w:r>
      <w:r w:rsidRPr="67847FE3">
        <w:rPr>
          <w:rFonts w:eastAsia="MS Mincho" w:cs="Arial"/>
        </w:rPr>
        <w:t xml:space="preserve"> its </w:t>
      </w:r>
      <w:r w:rsidR="00107B61" w:rsidRPr="67847FE3">
        <w:rPr>
          <w:rFonts w:eastAsia="MS Mincho" w:cs="Arial"/>
        </w:rPr>
        <w:t>privacy</w:t>
      </w:r>
      <w:r w:rsidR="00AE1BCD" w:rsidRPr="67847FE3">
        <w:rPr>
          <w:rFonts w:eastAsia="MS Mincho" w:cs="Arial"/>
        </w:rPr>
        <w:t xml:space="preserve"> practices</w:t>
      </w:r>
      <w:r w:rsidR="000C3502" w:rsidRPr="67847FE3">
        <w:rPr>
          <w:rFonts w:eastAsia="MS Mincho" w:cs="Arial"/>
        </w:rPr>
        <w:t>,</w:t>
      </w:r>
      <w:r w:rsidR="00107B61" w:rsidRPr="67847FE3">
        <w:rPr>
          <w:rFonts w:eastAsia="MS Mincho" w:cs="Arial"/>
        </w:rPr>
        <w:t xml:space="preserve"> the QBCC </w:t>
      </w:r>
      <w:r w:rsidR="00AE1BCD" w:rsidRPr="67847FE3">
        <w:rPr>
          <w:rFonts w:eastAsia="MS Mincho" w:cs="Arial"/>
        </w:rPr>
        <w:t>undertook</w:t>
      </w:r>
      <w:r w:rsidR="000B2D80" w:rsidRPr="67847FE3">
        <w:rPr>
          <w:rFonts w:eastAsia="MS Mincho" w:cs="Arial"/>
        </w:rPr>
        <w:t xml:space="preserve"> </w:t>
      </w:r>
      <w:r w:rsidR="00F15FF6" w:rsidRPr="67847FE3">
        <w:rPr>
          <w:rFonts w:eastAsia="MS Mincho" w:cs="Arial"/>
        </w:rPr>
        <w:t xml:space="preserve">an </w:t>
      </w:r>
      <w:bookmarkStart w:id="281" w:name="_Privacy"/>
      <w:bookmarkEnd w:id="281"/>
      <w:r w:rsidR="000B2D80" w:rsidRPr="67847FE3">
        <w:rPr>
          <w:rFonts w:eastAsia="MS Mincho" w:cs="Arial"/>
        </w:rPr>
        <w:t>organisation</w:t>
      </w:r>
      <w:r w:rsidR="00AE1BCD" w:rsidRPr="67847FE3">
        <w:rPr>
          <w:rFonts w:eastAsia="MS Mincho" w:cs="Arial"/>
        </w:rPr>
        <w:t xml:space="preserve">-wide </w:t>
      </w:r>
      <w:r w:rsidR="00881880" w:rsidRPr="67847FE3">
        <w:rPr>
          <w:rFonts w:eastAsia="MS Mincho" w:cs="Arial"/>
        </w:rPr>
        <w:t>P</w:t>
      </w:r>
      <w:r w:rsidR="000B2D80" w:rsidRPr="67847FE3">
        <w:rPr>
          <w:rFonts w:eastAsia="MS Mincho" w:cs="Arial"/>
        </w:rPr>
        <w:t xml:space="preserve">rivacy </w:t>
      </w:r>
      <w:r w:rsidR="00881880" w:rsidRPr="67847FE3">
        <w:rPr>
          <w:rFonts w:eastAsia="MS Mincho" w:cs="Arial"/>
        </w:rPr>
        <w:t>M</w:t>
      </w:r>
      <w:r w:rsidR="000B2D80" w:rsidRPr="67847FE3">
        <w:rPr>
          <w:rFonts w:eastAsia="MS Mincho" w:cs="Arial"/>
        </w:rPr>
        <w:t xml:space="preserve">aturity </w:t>
      </w:r>
      <w:r w:rsidR="00881880" w:rsidRPr="67847FE3">
        <w:rPr>
          <w:rFonts w:eastAsia="MS Mincho" w:cs="Arial"/>
        </w:rPr>
        <w:t>A</w:t>
      </w:r>
      <w:r w:rsidR="000B2D80" w:rsidRPr="67847FE3">
        <w:rPr>
          <w:rFonts w:eastAsia="MS Mincho" w:cs="Arial"/>
        </w:rPr>
        <w:t>ssessment,</w:t>
      </w:r>
      <w:r w:rsidR="00E872E6" w:rsidRPr="67847FE3">
        <w:rPr>
          <w:rFonts w:eastAsia="MS Mincho" w:cs="Arial"/>
        </w:rPr>
        <w:t xml:space="preserve"> developed </w:t>
      </w:r>
      <w:r w:rsidR="00AF1E0B" w:rsidRPr="67847FE3">
        <w:rPr>
          <w:rFonts w:eastAsia="MS Mincho" w:cs="Arial"/>
        </w:rPr>
        <w:t>a</w:t>
      </w:r>
      <w:r w:rsidR="00E872E6" w:rsidRPr="67847FE3">
        <w:rPr>
          <w:rFonts w:eastAsia="MS Mincho" w:cs="Arial"/>
        </w:rPr>
        <w:t xml:space="preserve"> comprehensive</w:t>
      </w:r>
      <w:r w:rsidR="000B2D80" w:rsidRPr="67847FE3">
        <w:rPr>
          <w:rFonts w:eastAsia="MS Mincho" w:cs="Arial"/>
        </w:rPr>
        <w:t xml:space="preserve"> Privacy Management Framework and updated key </w:t>
      </w:r>
      <w:r w:rsidR="00881880" w:rsidRPr="67847FE3">
        <w:rPr>
          <w:rFonts w:eastAsia="MS Mincho" w:cs="Arial"/>
        </w:rPr>
        <w:t>internal</w:t>
      </w:r>
      <w:r w:rsidR="000B2D80" w:rsidRPr="67847FE3">
        <w:rPr>
          <w:rFonts w:eastAsia="MS Mincho" w:cs="Arial"/>
        </w:rPr>
        <w:t xml:space="preserve"> policies and resources</w:t>
      </w:r>
      <w:r w:rsidR="00AF1E0B" w:rsidRPr="67847FE3">
        <w:rPr>
          <w:rFonts w:eastAsia="MS Mincho" w:cs="Arial"/>
        </w:rPr>
        <w:t xml:space="preserve">. </w:t>
      </w:r>
    </w:p>
    <w:p w14:paraId="3E43B702" w14:textId="25133037" w:rsidR="00165C7E" w:rsidRDefault="00AF1E0B" w:rsidP="00C931AE">
      <w:pPr>
        <w:spacing w:before="120" w:after="120"/>
        <w:rPr>
          <w:rFonts w:eastAsia="MS Mincho" w:cs="Arial"/>
        </w:rPr>
      </w:pPr>
      <w:r w:rsidRPr="67847FE3">
        <w:rPr>
          <w:rFonts w:eastAsia="MS Mincho" w:cs="Arial"/>
        </w:rPr>
        <w:t xml:space="preserve">These initiatives support a </w:t>
      </w:r>
      <w:r w:rsidR="000B2D80" w:rsidRPr="67847FE3">
        <w:rPr>
          <w:rFonts w:eastAsia="MS Mincho" w:cs="Arial"/>
        </w:rPr>
        <w:t xml:space="preserve">culture </w:t>
      </w:r>
      <w:r w:rsidRPr="67847FE3">
        <w:rPr>
          <w:rFonts w:eastAsia="MS Mincho" w:cs="Arial"/>
        </w:rPr>
        <w:t xml:space="preserve">of </w:t>
      </w:r>
      <w:r w:rsidR="000B2D80" w:rsidRPr="67847FE3">
        <w:rPr>
          <w:rFonts w:eastAsia="MS Mincho" w:cs="Arial"/>
        </w:rPr>
        <w:t xml:space="preserve">privacy </w:t>
      </w:r>
      <w:r w:rsidRPr="67847FE3">
        <w:rPr>
          <w:rFonts w:eastAsia="MS Mincho" w:cs="Arial"/>
        </w:rPr>
        <w:t xml:space="preserve">awareness </w:t>
      </w:r>
      <w:r w:rsidR="000B2D80" w:rsidRPr="67847FE3">
        <w:rPr>
          <w:rFonts w:eastAsia="MS Mincho" w:cs="Arial"/>
        </w:rPr>
        <w:t xml:space="preserve">and </w:t>
      </w:r>
      <w:r w:rsidRPr="67847FE3">
        <w:rPr>
          <w:rFonts w:eastAsia="MS Mincho" w:cs="Arial"/>
        </w:rPr>
        <w:t xml:space="preserve">reinforce the QBCC’s commitment to </w:t>
      </w:r>
      <w:r w:rsidR="000B2D80" w:rsidRPr="67847FE3">
        <w:rPr>
          <w:rFonts w:eastAsia="MS Mincho" w:cs="Arial"/>
        </w:rPr>
        <w:t>transparency.</w:t>
      </w:r>
      <w:r w:rsidR="00955E6D" w:rsidRPr="67847FE3">
        <w:rPr>
          <w:rFonts w:eastAsia="MS Mincho" w:cs="Arial"/>
        </w:rPr>
        <w:t xml:space="preserve"> </w:t>
      </w:r>
      <w:r w:rsidR="00DA0984" w:rsidRPr="67847FE3">
        <w:rPr>
          <w:rFonts w:eastAsia="MS Mincho" w:cs="Arial"/>
        </w:rPr>
        <w:t>T</w:t>
      </w:r>
      <w:r w:rsidR="00955E6D" w:rsidRPr="67847FE3">
        <w:rPr>
          <w:rFonts w:eastAsia="MS Mincho" w:cs="Arial"/>
        </w:rPr>
        <w:t xml:space="preserve">he QBCC </w:t>
      </w:r>
      <w:r w:rsidR="008B5B7C" w:rsidRPr="67847FE3">
        <w:rPr>
          <w:rFonts w:eastAsia="MS Mincho" w:cs="Arial"/>
        </w:rPr>
        <w:t xml:space="preserve">responded to </w:t>
      </w:r>
      <w:r w:rsidR="048D76B0" w:rsidRPr="67847FE3">
        <w:rPr>
          <w:rFonts w:eastAsia="MS Mincho" w:cs="Arial"/>
        </w:rPr>
        <w:t>12</w:t>
      </w:r>
      <w:r w:rsidR="00955E6D" w:rsidRPr="67847FE3">
        <w:rPr>
          <w:rFonts w:eastAsia="MS Mincho" w:cs="Arial"/>
        </w:rPr>
        <w:t xml:space="preserve"> </w:t>
      </w:r>
      <w:r w:rsidR="00734363" w:rsidRPr="67847FE3">
        <w:rPr>
          <w:rFonts w:eastAsia="MS Mincho" w:cs="Arial"/>
        </w:rPr>
        <w:t xml:space="preserve">privacy complaints </w:t>
      </w:r>
      <w:r w:rsidR="00325B73" w:rsidRPr="67847FE3">
        <w:rPr>
          <w:rFonts w:eastAsia="MS Mincho" w:cs="Arial"/>
        </w:rPr>
        <w:t xml:space="preserve">and </w:t>
      </w:r>
      <w:r w:rsidR="00DA0984" w:rsidRPr="67847FE3">
        <w:rPr>
          <w:rFonts w:eastAsia="MS Mincho" w:cs="Arial"/>
        </w:rPr>
        <w:t xml:space="preserve">addressed </w:t>
      </w:r>
      <w:r w:rsidR="6723009E" w:rsidRPr="67847FE3">
        <w:rPr>
          <w:rFonts w:eastAsia="MS Mincho" w:cs="Arial"/>
        </w:rPr>
        <w:t>68</w:t>
      </w:r>
      <w:r w:rsidR="00325B73" w:rsidRPr="67847FE3">
        <w:rPr>
          <w:rFonts w:eastAsia="MS Mincho" w:cs="Arial"/>
        </w:rPr>
        <w:t xml:space="preserve"> </w:t>
      </w:r>
      <w:r w:rsidR="00734363" w:rsidRPr="67847FE3">
        <w:rPr>
          <w:rFonts w:eastAsia="MS Mincho" w:cs="Arial"/>
        </w:rPr>
        <w:t>potential privacy breaches</w:t>
      </w:r>
      <w:r w:rsidR="00DA0984" w:rsidRPr="67847FE3">
        <w:rPr>
          <w:rFonts w:eastAsia="MS Mincho" w:cs="Arial"/>
        </w:rPr>
        <w:t xml:space="preserve"> during the </w:t>
      </w:r>
      <w:bookmarkStart w:id="282" w:name="_QBCC_information_and"/>
      <w:bookmarkEnd w:id="282"/>
      <w:r w:rsidR="00047DD4">
        <w:rPr>
          <w:rFonts w:eastAsia="MS Mincho" w:cs="Arial"/>
        </w:rPr>
        <w:t>financial</w:t>
      </w:r>
      <w:r w:rsidR="00DA0984" w:rsidRPr="67847FE3">
        <w:rPr>
          <w:rFonts w:eastAsia="MS Mincho" w:cs="Arial"/>
        </w:rPr>
        <w:t xml:space="preserve"> year</w:t>
      </w:r>
      <w:r w:rsidR="00734363" w:rsidRPr="67847FE3">
        <w:rPr>
          <w:rFonts w:eastAsia="MS Mincho" w:cs="Arial"/>
        </w:rPr>
        <w:t>.</w:t>
      </w:r>
    </w:p>
    <w:p w14:paraId="7A6D481D" w14:textId="77777777" w:rsidR="00251998" w:rsidRDefault="00165C7E" w:rsidP="00165C7E">
      <w:pPr>
        <w:pStyle w:val="Heading3"/>
      </w:pPr>
      <w:r>
        <w:t>Open data</w:t>
      </w:r>
    </w:p>
    <w:p w14:paraId="0038C3F3" w14:textId="7B6502F5" w:rsidR="00656102" w:rsidRDefault="00251998" w:rsidP="00C931AE">
      <w:pPr>
        <w:spacing w:before="120" w:after="120"/>
      </w:pPr>
      <w:r>
        <w:t xml:space="preserve">The </w:t>
      </w:r>
      <w:r w:rsidR="00782599">
        <w:t xml:space="preserve">QBCC is required to </w:t>
      </w:r>
      <w:r w:rsidR="00BC2F8E">
        <w:t xml:space="preserve">meet </w:t>
      </w:r>
      <w:proofErr w:type="gramStart"/>
      <w:r w:rsidR="000367C7">
        <w:t>a number of</w:t>
      </w:r>
      <w:proofErr w:type="gramEnd"/>
      <w:r w:rsidR="000367C7">
        <w:t xml:space="preserve"> annual report</w:t>
      </w:r>
      <w:r w:rsidR="00507137">
        <w:t>ing</w:t>
      </w:r>
      <w:r w:rsidR="000367C7">
        <w:t xml:space="preserve"> </w:t>
      </w:r>
      <w:r w:rsidR="00507137">
        <w:t>obligations</w:t>
      </w:r>
      <w:r w:rsidR="0038668D">
        <w:t xml:space="preserve"> by</w:t>
      </w:r>
      <w:r w:rsidR="00A539DA">
        <w:t xml:space="preserve"> publi</w:t>
      </w:r>
      <w:r w:rsidR="00507137">
        <w:t>shing</w:t>
      </w:r>
      <w:r w:rsidR="00A539DA">
        <w:t xml:space="preserve"> </w:t>
      </w:r>
      <w:r w:rsidR="0038668D">
        <w:t>d</w:t>
      </w:r>
      <w:r w:rsidR="00A539DA">
        <w:t>ata through the Queensland Government Open Data Portal</w:t>
      </w:r>
      <w:r w:rsidR="001D164D">
        <w:t xml:space="preserve"> at </w:t>
      </w:r>
      <w:r w:rsidR="004C6333" w:rsidRPr="00C931AE">
        <w:t>www.data.qld.gov.au</w:t>
      </w:r>
      <w:r w:rsidR="001D164D">
        <w:t>.</w:t>
      </w:r>
      <w:r w:rsidR="004C6333">
        <w:t xml:space="preserve"> The </w:t>
      </w:r>
      <w:r w:rsidR="00A9795B">
        <w:t xml:space="preserve">reported </w:t>
      </w:r>
      <w:r w:rsidR="004C6333">
        <w:t>information</w:t>
      </w:r>
      <w:r w:rsidR="00A9795B">
        <w:t xml:space="preserve"> </w:t>
      </w:r>
      <w:r w:rsidR="00656102">
        <w:t>includes:</w:t>
      </w:r>
    </w:p>
    <w:p w14:paraId="5CF7EB1D" w14:textId="77777777" w:rsidR="0067034B" w:rsidRDefault="0067034B" w:rsidP="00C931AE">
      <w:pPr>
        <w:pStyle w:val="ListParagraph"/>
        <w:numPr>
          <w:ilvl w:val="0"/>
          <w:numId w:val="97"/>
        </w:numPr>
        <w:spacing w:before="120" w:after="120"/>
        <w:contextualSpacing w:val="0"/>
      </w:pPr>
      <w:r>
        <w:lastRenderedPageBreak/>
        <w:t>consultancies</w:t>
      </w:r>
    </w:p>
    <w:p w14:paraId="281D6803" w14:textId="77777777" w:rsidR="0067034B" w:rsidRDefault="0067034B" w:rsidP="00C931AE">
      <w:pPr>
        <w:pStyle w:val="ListParagraph"/>
        <w:numPr>
          <w:ilvl w:val="0"/>
          <w:numId w:val="97"/>
        </w:numPr>
        <w:spacing w:before="120" w:after="120"/>
        <w:contextualSpacing w:val="0"/>
      </w:pPr>
      <w:r>
        <w:t>overseas travel</w:t>
      </w:r>
    </w:p>
    <w:p w14:paraId="584F1836" w14:textId="77777777" w:rsidR="0067034B" w:rsidRDefault="0067034B" w:rsidP="00C931AE">
      <w:pPr>
        <w:pStyle w:val="ListParagraph"/>
        <w:numPr>
          <w:ilvl w:val="0"/>
          <w:numId w:val="97"/>
        </w:numPr>
        <w:spacing w:before="120" w:after="120"/>
        <w:contextualSpacing w:val="0"/>
      </w:pPr>
      <w:r>
        <w:t>Queensland Language Services Policy</w:t>
      </w:r>
    </w:p>
    <w:p w14:paraId="5B92CE2C" w14:textId="7C63EDEF" w:rsidR="00282A46" w:rsidRDefault="0067034B" w:rsidP="004C251D">
      <w:pPr>
        <w:pStyle w:val="ListParagraph"/>
        <w:numPr>
          <w:ilvl w:val="0"/>
          <w:numId w:val="97"/>
        </w:numPr>
        <w:spacing w:before="120" w:after="120"/>
        <w:contextualSpacing w:val="0"/>
      </w:pPr>
      <w:r>
        <w:t>Charter of Victims’ Rights</w:t>
      </w:r>
      <w:r w:rsidR="00E62A6C">
        <w:t>.</w:t>
      </w:r>
      <w:r w:rsidR="004C6333">
        <w:t xml:space="preserve"> </w:t>
      </w:r>
    </w:p>
    <w:p w14:paraId="341C6661" w14:textId="29E9405E" w:rsidR="009333E1" w:rsidRPr="002A4F7F" w:rsidRDefault="00957AE2" w:rsidP="00C931AE">
      <w:pPr>
        <w:spacing w:before="120" w:after="120"/>
      </w:pPr>
      <w:r>
        <w:t xml:space="preserve">As </w:t>
      </w:r>
      <w:r w:rsidR="004E28B0">
        <w:t xml:space="preserve">no </w:t>
      </w:r>
      <w:r w:rsidR="000D6401">
        <w:t xml:space="preserve">overseas travel </w:t>
      </w:r>
      <w:r w:rsidR="00DC01F3">
        <w:t xml:space="preserve">was undertaken by </w:t>
      </w:r>
      <w:r w:rsidR="000D6401">
        <w:t xml:space="preserve">staff </w:t>
      </w:r>
      <w:r w:rsidR="00577DFE">
        <w:t>durin</w:t>
      </w:r>
      <w:r w:rsidR="00DC01F3">
        <w:t>g the year</w:t>
      </w:r>
      <w:r w:rsidR="00AA601E">
        <w:t xml:space="preserve">, </w:t>
      </w:r>
      <w:r>
        <w:t>a</w:t>
      </w:r>
      <w:r w:rsidR="00AA601E">
        <w:t xml:space="preserve"> report on overseas travel expenditure was </w:t>
      </w:r>
      <w:r>
        <w:t xml:space="preserve">not </w:t>
      </w:r>
      <w:r w:rsidR="00AA601E">
        <w:t>required for 2024–25</w:t>
      </w:r>
      <w:r w:rsidR="000D6401">
        <w:t xml:space="preserve">. </w:t>
      </w:r>
      <w:r w:rsidR="00577DFE">
        <w:t>Likewise</w:t>
      </w:r>
      <w:r w:rsidR="000D6401">
        <w:t xml:space="preserve">, </w:t>
      </w:r>
      <w:r w:rsidR="00577DFE">
        <w:t>no r</w:t>
      </w:r>
      <w:r w:rsidR="00B969C3">
        <w:t xml:space="preserve">eport on </w:t>
      </w:r>
      <w:r w:rsidR="00577DFE">
        <w:t xml:space="preserve">the </w:t>
      </w:r>
      <w:r w:rsidR="00B969C3" w:rsidRPr="00B969C3">
        <w:t xml:space="preserve">Charter of Victims’ Rights </w:t>
      </w:r>
      <w:r w:rsidR="00B969C3">
        <w:t xml:space="preserve">was </w:t>
      </w:r>
      <w:r w:rsidR="00744C17">
        <w:t>required</w:t>
      </w:r>
      <w:r w:rsidR="000854A4">
        <w:t xml:space="preserve"> </w:t>
      </w:r>
      <w:r w:rsidR="00744C17">
        <w:t xml:space="preserve">as </w:t>
      </w:r>
      <w:r w:rsidR="00D86ED8">
        <w:t xml:space="preserve">no cases </w:t>
      </w:r>
      <w:r w:rsidR="00744C17">
        <w:t xml:space="preserve">were </w:t>
      </w:r>
      <w:r w:rsidR="00D86ED8">
        <w:t>reported.</w:t>
      </w:r>
      <w:r w:rsidR="00B969C3" w:rsidRPr="00B969C3">
        <w:t xml:space="preserve"> </w:t>
      </w:r>
      <w:r w:rsidR="009333E1">
        <w:br w:type="page"/>
      </w:r>
    </w:p>
    <w:p w14:paraId="709A7F68" w14:textId="4A518306" w:rsidR="00173DBA" w:rsidRDefault="004D3D57" w:rsidP="00793BEC">
      <w:pPr>
        <w:pStyle w:val="Heading2"/>
      </w:pPr>
      <w:bookmarkStart w:id="283" w:name="_Toc206493024"/>
      <w:r>
        <w:lastRenderedPageBreak/>
        <w:t>I</w:t>
      </w:r>
      <w:r w:rsidR="002C77B0" w:rsidRPr="006A5014">
        <w:t>nformation</w:t>
      </w:r>
      <w:r w:rsidR="002C77B0" w:rsidRPr="00097695">
        <w:t xml:space="preserve"> and digital systems</w:t>
      </w:r>
      <w:bookmarkEnd w:id="283"/>
    </w:p>
    <w:p w14:paraId="37AEA5F7" w14:textId="435D1BDC" w:rsidR="00793BEC" w:rsidRDefault="00A37D0E" w:rsidP="00DB6638">
      <w:pPr>
        <w:spacing w:before="120" w:after="120"/>
      </w:pPr>
      <w:r w:rsidRPr="00A37D0E">
        <w:t xml:space="preserve">The QBCC is </w:t>
      </w:r>
      <w:r w:rsidR="00690E30">
        <w:t xml:space="preserve">committed </w:t>
      </w:r>
      <w:r w:rsidR="008A1793">
        <w:t>to strengthening its</w:t>
      </w:r>
      <w:r w:rsidR="0012306B">
        <w:t xml:space="preserve"> </w:t>
      </w:r>
      <w:r w:rsidRPr="00A37D0E">
        <w:t xml:space="preserve">digital </w:t>
      </w:r>
      <w:r w:rsidR="009B373E">
        <w:t>foundations</w:t>
      </w:r>
      <w:r w:rsidRPr="00A37D0E">
        <w:t>, enhancing data governance</w:t>
      </w:r>
      <w:r>
        <w:t xml:space="preserve"> </w:t>
      </w:r>
      <w:r w:rsidRPr="00A37D0E">
        <w:t>and e</w:t>
      </w:r>
      <w:r w:rsidR="009B373E">
        <w:t>mbedding</w:t>
      </w:r>
      <w:r w:rsidRPr="00A37D0E">
        <w:t xml:space="preserve"> evidence-based decision</w:t>
      </w:r>
      <w:r>
        <w:t xml:space="preserve"> </w:t>
      </w:r>
      <w:r w:rsidRPr="00A37D0E">
        <w:t>making</w:t>
      </w:r>
      <w:r w:rsidR="00503A38">
        <w:t>.</w:t>
      </w:r>
      <w:r w:rsidR="000A67DF">
        <w:t xml:space="preserve"> </w:t>
      </w:r>
      <w:r w:rsidR="00F06EAC">
        <w:t>D</w:t>
      </w:r>
      <w:r w:rsidR="000A67DF" w:rsidRPr="000A67DF">
        <w:t>ata</w:t>
      </w:r>
      <w:r w:rsidR="008E0A3B">
        <w:t xml:space="preserve"> </w:t>
      </w:r>
      <w:r w:rsidR="000A67DF" w:rsidRPr="000A67DF">
        <w:t xml:space="preserve">and technology </w:t>
      </w:r>
      <w:r w:rsidR="0019070C">
        <w:t xml:space="preserve">are </w:t>
      </w:r>
      <w:r w:rsidR="00886BBD">
        <w:t>key</w:t>
      </w:r>
      <w:r w:rsidR="0019070C">
        <w:t xml:space="preserve"> enablers </w:t>
      </w:r>
      <w:r w:rsidR="008359B8">
        <w:t xml:space="preserve">of </w:t>
      </w:r>
      <w:r w:rsidR="000A67DF" w:rsidRPr="000A67DF">
        <w:t>efficie</w:t>
      </w:r>
      <w:r w:rsidR="000A45EA">
        <w:t>nt</w:t>
      </w:r>
      <w:r w:rsidR="000A67DF" w:rsidRPr="000A67DF">
        <w:t>, responsive and high-quality regulatory services.</w:t>
      </w:r>
      <w:r w:rsidR="007E4C7D">
        <w:t xml:space="preserve"> </w:t>
      </w:r>
      <w:r w:rsidR="007E4C7D" w:rsidRPr="007E4C7D">
        <w:t xml:space="preserve">As part of </w:t>
      </w:r>
      <w:r w:rsidR="00B63288">
        <w:t>a</w:t>
      </w:r>
      <w:r w:rsidR="007E4C7D" w:rsidRPr="007E4C7D">
        <w:t xml:space="preserve"> </w:t>
      </w:r>
      <w:r w:rsidR="00B66B92">
        <w:t>continued</w:t>
      </w:r>
      <w:r w:rsidR="000A45EA">
        <w:t xml:space="preserve"> </w:t>
      </w:r>
      <w:r w:rsidR="00A200C4">
        <w:t xml:space="preserve">focus on </w:t>
      </w:r>
      <w:r w:rsidR="007E4C7D" w:rsidRPr="007E4C7D">
        <w:t>modernis</w:t>
      </w:r>
      <w:r w:rsidR="00F52463">
        <w:t xml:space="preserve">ation </w:t>
      </w:r>
      <w:r w:rsidR="007E4C7D" w:rsidRPr="007E4C7D">
        <w:t>and innovat</w:t>
      </w:r>
      <w:r w:rsidR="00F52463">
        <w:t>ion</w:t>
      </w:r>
      <w:r w:rsidR="007E4C7D" w:rsidRPr="007E4C7D">
        <w:t xml:space="preserve">, the </w:t>
      </w:r>
      <w:r w:rsidR="00211EC3">
        <w:t xml:space="preserve">QBCC </w:t>
      </w:r>
      <w:r w:rsidR="00656F3D">
        <w:t>is advancing</w:t>
      </w:r>
      <w:r w:rsidR="00667294">
        <w:t xml:space="preserve"> </w:t>
      </w:r>
      <w:r w:rsidR="007E4C7D" w:rsidRPr="007E4C7D">
        <w:t xml:space="preserve">its digital </w:t>
      </w:r>
      <w:r w:rsidR="00211EC3">
        <w:t xml:space="preserve">capabilities </w:t>
      </w:r>
      <w:r w:rsidR="007E4C7D" w:rsidRPr="007E4C7D">
        <w:t xml:space="preserve">and </w:t>
      </w:r>
      <w:r w:rsidR="008625F8">
        <w:t>technology</w:t>
      </w:r>
      <w:r w:rsidR="007E4C7D" w:rsidRPr="007E4C7D">
        <w:t xml:space="preserve"> </w:t>
      </w:r>
      <w:r w:rsidR="004F50FD">
        <w:t xml:space="preserve">strategy </w:t>
      </w:r>
      <w:r w:rsidR="007E4C7D" w:rsidRPr="007E4C7D">
        <w:t xml:space="preserve">to </w:t>
      </w:r>
      <w:r w:rsidR="00DF105F">
        <w:t>improve</w:t>
      </w:r>
      <w:r w:rsidR="004F50FD">
        <w:t xml:space="preserve"> </w:t>
      </w:r>
      <w:r w:rsidR="00B171B4">
        <w:t xml:space="preserve">service </w:t>
      </w:r>
      <w:r w:rsidR="00E56F74">
        <w:t xml:space="preserve">delivery </w:t>
      </w:r>
      <w:r w:rsidR="00871BB7">
        <w:t>and</w:t>
      </w:r>
      <w:r w:rsidR="00E56F74">
        <w:t xml:space="preserve"> </w:t>
      </w:r>
      <w:r w:rsidR="00B171B4">
        <w:t xml:space="preserve">operational </w:t>
      </w:r>
      <w:r w:rsidR="002767C0">
        <w:t>performance</w:t>
      </w:r>
      <w:r w:rsidR="007E4C7D" w:rsidRPr="007E4C7D">
        <w:t>.</w:t>
      </w:r>
      <w:r w:rsidR="003C5452">
        <w:t xml:space="preserve"> </w:t>
      </w:r>
      <w:r w:rsidR="00C30906">
        <w:t>Given the</w:t>
      </w:r>
      <w:r w:rsidR="00DE7821">
        <w:t xml:space="preserve"> </w:t>
      </w:r>
      <w:r w:rsidR="00A80BF2">
        <w:t xml:space="preserve">substantial </w:t>
      </w:r>
      <w:r w:rsidR="00A830B8">
        <w:t xml:space="preserve">volume of sensitive data </w:t>
      </w:r>
      <w:r w:rsidR="002427BC">
        <w:t>it manages, the organisation</w:t>
      </w:r>
      <w:r w:rsidR="0081177A">
        <w:t xml:space="preserve"> remains </w:t>
      </w:r>
      <w:r w:rsidR="00B75E4E">
        <w:t>dedicated</w:t>
      </w:r>
      <w:r w:rsidR="002C2839">
        <w:t xml:space="preserve"> to ensuring </w:t>
      </w:r>
      <w:r w:rsidR="00B75E4E">
        <w:t>data</w:t>
      </w:r>
      <w:r w:rsidR="003B2F93">
        <w:t xml:space="preserve"> is securely protected</w:t>
      </w:r>
      <w:r w:rsidR="004430CE">
        <w:t xml:space="preserve">, </w:t>
      </w:r>
      <w:r w:rsidR="00B7066C">
        <w:t xml:space="preserve">appropriately </w:t>
      </w:r>
      <w:r w:rsidR="004430CE">
        <w:t xml:space="preserve">accessed and </w:t>
      </w:r>
      <w:r w:rsidR="00B75E4E">
        <w:t xml:space="preserve">used </w:t>
      </w:r>
      <w:r w:rsidR="004430CE">
        <w:t xml:space="preserve">effectively </w:t>
      </w:r>
      <w:r w:rsidR="00B7066C">
        <w:t xml:space="preserve">to support </w:t>
      </w:r>
      <w:r w:rsidR="00B75E4E">
        <w:t>informed</w:t>
      </w:r>
      <w:r w:rsidR="004430CE">
        <w:t xml:space="preserve"> </w:t>
      </w:r>
      <w:r w:rsidR="00B7066C">
        <w:t>decision making</w:t>
      </w:r>
      <w:r w:rsidR="00B677FF">
        <w:t xml:space="preserve">. </w:t>
      </w:r>
    </w:p>
    <w:p w14:paraId="0FF05437" w14:textId="61917E04" w:rsidR="009A251B" w:rsidRDefault="00F82B4E" w:rsidP="00793BEC">
      <w:pPr>
        <w:spacing w:before="120" w:after="120"/>
        <w:contextualSpacing/>
      </w:pPr>
      <w:r>
        <w:t>During the reporting period, the QBCC</w:t>
      </w:r>
      <w:r w:rsidR="004430CE">
        <w:t xml:space="preserve"> </w:t>
      </w:r>
      <w:r w:rsidR="00CE2BFF" w:rsidRPr="00CE2BFF">
        <w:t>advanc</w:t>
      </w:r>
      <w:r w:rsidR="000739C1">
        <w:t>ed its</w:t>
      </w:r>
      <w:r w:rsidR="00CE2BFF" w:rsidRPr="00CE2BFF">
        <w:t xml:space="preserve"> data governance and records management practices</w:t>
      </w:r>
      <w:r w:rsidR="00914761">
        <w:t>,</w:t>
      </w:r>
      <w:r w:rsidR="00DB01C3">
        <w:t xml:space="preserve"> and </w:t>
      </w:r>
      <w:r w:rsidR="00CE2BFF" w:rsidRPr="00CE2BFF">
        <w:t>deliver</w:t>
      </w:r>
      <w:r w:rsidR="00B13D9A">
        <w:t>ed</w:t>
      </w:r>
      <w:r w:rsidR="00CE2BFF" w:rsidRPr="00CE2BFF">
        <w:t xml:space="preserve"> </w:t>
      </w:r>
      <w:r w:rsidR="00742B7B">
        <w:t xml:space="preserve">a </w:t>
      </w:r>
      <w:r w:rsidR="00DB01C3">
        <w:t>suite</w:t>
      </w:r>
      <w:r w:rsidR="00742B7B">
        <w:t xml:space="preserve"> of </w:t>
      </w:r>
      <w:r w:rsidR="00CE2BFF" w:rsidRPr="00CE2BFF">
        <w:t xml:space="preserve">digital improvement initiatives. </w:t>
      </w:r>
      <w:r w:rsidR="006C51F6">
        <w:t>Notable</w:t>
      </w:r>
      <w:r w:rsidR="00974A8E">
        <w:t xml:space="preserve"> achievements include the delivery </w:t>
      </w:r>
      <w:r w:rsidR="000D71D5">
        <w:t xml:space="preserve">of </w:t>
      </w:r>
      <w:r w:rsidR="00CE2BFF" w:rsidRPr="00CE2BFF">
        <w:t xml:space="preserve">digital portfolio projects that </w:t>
      </w:r>
      <w:r w:rsidR="000D71D5">
        <w:t xml:space="preserve">supported the </w:t>
      </w:r>
      <w:r w:rsidR="007458B7">
        <w:t>di</w:t>
      </w:r>
      <w:r w:rsidR="0048290D">
        <w:t xml:space="preserve">gitisation of </w:t>
      </w:r>
      <w:r w:rsidR="007458B7">
        <w:t>licen</w:t>
      </w:r>
      <w:r w:rsidR="00867118">
        <w:t>sing products</w:t>
      </w:r>
      <w:r w:rsidR="00637EF5">
        <w:t xml:space="preserve">, </w:t>
      </w:r>
      <w:r w:rsidR="001C611E">
        <w:t xml:space="preserve">forms and </w:t>
      </w:r>
      <w:r w:rsidR="00867118">
        <w:t xml:space="preserve">core </w:t>
      </w:r>
      <w:r w:rsidR="00520592">
        <w:t>operation</w:t>
      </w:r>
      <w:r w:rsidR="00876893">
        <w:t>s</w:t>
      </w:r>
      <w:r w:rsidR="00CE2BFF" w:rsidRPr="00CE2BFF">
        <w:t>.</w:t>
      </w:r>
      <w:r w:rsidR="00DC7247">
        <w:t xml:space="preserve"> </w:t>
      </w:r>
      <w:r w:rsidR="00E45409">
        <w:t>Collectively</w:t>
      </w:r>
      <w:r w:rsidR="00CE2BFF" w:rsidRPr="00CE2BFF">
        <w:t xml:space="preserve">, these </w:t>
      </w:r>
      <w:r w:rsidR="00373CAE">
        <w:t>initiatives reinforce</w:t>
      </w:r>
      <w:r w:rsidR="003C5452">
        <w:t xml:space="preserve"> </w:t>
      </w:r>
      <w:r w:rsidR="00CE2BFF" w:rsidRPr="00CE2BFF">
        <w:t>the QBCC</w:t>
      </w:r>
      <w:r w:rsidR="003C5452">
        <w:t xml:space="preserve">’s </w:t>
      </w:r>
      <w:r w:rsidR="00CA556F">
        <w:t>role</w:t>
      </w:r>
      <w:r w:rsidR="003C5452">
        <w:t xml:space="preserve"> as</w:t>
      </w:r>
      <w:r w:rsidR="00CE2BFF" w:rsidRPr="00CE2BFF">
        <w:t xml:space="preserve"> a digitally</w:t>
      </w:r>
      <w:r w:rsidR="00F050C5">
        <w:t xml:space="preserve"> </w:t>
      </w:r>
      <w:r w:rsidR="00CE2BFF" w:rsidRPr="00CE2BFF">
        <w:t xml:space="preserve">enabled </w:t>
      </w:r>
      <w:r w:rsidR="00B156E0">
        <w:t>and data</w:t>
      </w:r>
      <w:r w:rsidR="00131333">
        <w:t>-</w:t>
      </w:r>
      <w:r w:rsidR="00B156E0">
        <w:t>informed</w:t>
      </w:r>
      <w:r w:rsidR="00CE2BFF" w:rsidRPr="00CE2BFF">
        <w:t xml:space="preserve"> regulator</w:t>
      </w:r>
      <w:r w:rsidR="00131333">
        <w:t>.</w:t>
      </w:r>
    </w:p>
    <w:p w14:paraId="69793342" w14:textId="7A4B3EAE" w:rsidR="00173DBA" w:rsidRDefault="002C0FA4" w:rsidP="00793BEC">
      <w:pPr>
        <w:pStyle w:val="Heading3"/>
      </w:pPr>
      <w:bookmarkStart w:id="284" w:name="_Data_governance"/>
      <w:bookmarkEnd w:id="284"/>
      <w:r w:rsidRPr="00F673F6">
        <w:t>D</w:t>
      </w:r>
      <w:r w:rsidR="007A236F" w:rsidRPr="00F673F6">
        <w:t xml:space="preserve">ata governance </w:t>
      </w:r>
      <w:r w:rsidR="00950449">
        <w:t>and cyber security</w:t>
      </w:r>
    </w:p>
    <w:p w14:paraId="52EB6116" w14:textId="46919CD4" w:rsidR="003C15F3" w:rsidRDefault="00DD7F64" w:rsidP="00793BEC">
      <w:pPr>
        <w:spacing w:before="120" w:after="120"/>
        <w:rPr>
          <w:rFonts w:cs="Arial"/>
          <w:szCs w:val="22"/>
        </w:rPr>
      </w:pPr>
      <w:r w:rsidRPr="00DD7F64">
        <w:rPr>
          <w:rFonts w:cs="Arial"/>
          <w:szCs w:val="22"/>
        </w:rPr>
        <w:t xml:space="preserve">Effective data governance </w:t>
      </w:r>
      <w:r w:rsidR="0044038D">
        <w:rPr>
          <w:rFonts w:cs="Arial"/>
          <w:szCs w:val="22"/>
        </w:rPr>
        <w:t>and cyber security</w:t>
      </w:r>
      <w:r w:rsidRPr="00DD7F64">
        <w:rPr>
          <w:rFonts w:cs="Arial"/>
          <w:szCs w:val="22"/>
        </w:rPr>
        <w:t xml:space="preserve"> </w:t>
      </w:r>
      <w:r w:rsidR="0044038D">
        <w:rPr>
          <w:rFonts w:cs="Arial"/>
          <w:szCs w:val="22"/>
        </w:rPr>
        <w:t>are</w:t>
      </w:r>
      <w:r w:rsidRPr="00DD7F64">
        <w:rPr>
          <w:rFonts w:cs="Arial"/>
          <w:szCs w:val="22"/>
        </w:rPr>
        <w:t xml:space="preserve"> </w:t>
      </w:r>
      <w:r w:rsidR="00106CF3">
        <w:rPr>
          <w:rFonts w:cs="Arial"/>
          <w:szCs w:val="22"/>
        </w:rPr>
        <w:t>fundamental</w:t>
      </w:r>
      <w:r w:rsidRPr="00DD7F64">
        <w:rPr>
          <w:rFonts w:cs="Arial"/>
          <w:szCs w:val="22"/>
        </w:rPr>
        <w:t xml:space="preserve"> to the QBCC’s </w:t>
      </w:r>
      <w:r w:rsidR="003975D8">
        <w:rPr>
          <w:rFonts w:cs="Arial"/>
          <w:szCs w:val="22"/>
        </w:rPr>
        <w:t>capacity</w:t>
      </w:r>
      <w:r w:rsidRPr="00DD7F64">
        <w:rPr>
          <w:rFonts w:cs="Arial"/>
          <w:szCs w:val="22"/>
        </w:rPr>
        <w:t xml:space="preserve"> to deliver secure </w:t>
      </w:r>
      <w:r w:rsidR="003975D8">
        <w:rPr>
          <w:rFonts w:cs="Arial"/>
          <w:szCs w:val="22"/>
        </w:rPr>
        <w:t>high-</w:t>
      </w:r>
      <w:r w:rsidRPr="00DD7F64">
        <w:rPr>
          <w:rFonts w:cs="Arial"/>
          <w:szCs w:val="22"/>
        </w:rPr>
        <w:t>quality services.</w:t>
      </w:r>
      <w:r w:rsidR="003D4EEA">
        <w:rPr>
          <w:rFonts w:cs="Arial"/>
          <w:szCs w:val="22"/>
        </w:rPr>
        <w:t xml:space="preserve"> </w:t>
      </w:r>
      <w:r w:rsidR="007278BF">
        <w:rPr>
          <w:rFonts w:cs="Arial"/>
          <w:szCs w:val="22"/>
        </w:rPr>
        <w:t>G</w:t>
      </w:r>
      <w:r w:rsidR="007278BF" w:rsidRPr="007278BF">
        <w:rPr>
          <w:rFonts w:cs="Arial"/>
          <w:szCs w:val="22"/>
        </w:rPr>
        <w:t xml:space="preserve">uided by the Queensland Government Enterprise Architecture (QGEA) </w:t>
      </w:r>
      <w:r w:rsidR="009D2380">
        <w:rPr>
          <w:rFonts w:cs="Arial"/>
          <w:szCs w:val="22"/>
        </w:rPr>
        <w:t>F</w:t>
      </w:r>
      <w:r w:rsidR="007278BF" w:rsidRPr="007278BF">
        <w:rPr>
          <w:rFonts w:cs="Arial"/>
          <w:szCs w:val="22"/>
        </w:rPr>
        <w:t>ramework</w:t>
      </w:r>
      <w:r w:rsidR="007278BF">
        <w:rPr>
          <w:rFonts w:cs="Arial"/>
          <w:szCs w:val="22"/>
        </w:rPr>
        <w:t>, t</w:t>
      </w:r>
      <w:r w:rsidR="003D4EEA" w:rsidRPr="003D4EEA">
        <w:rPr>
          <w:rFonts w:cs="Arial"/>
          <w:szCs w:val="22"/>
        </w:rPr>
        <w:t xml:space="preserve">he </w:t>
      </w:r>
      <w:r w:rsidR="009D5AAA">
        <w:rPr>
          <w:rFonts w:cs="Arial"/>
          <w:szCs w:val="22"/>
        </w:rPr>
        <w:t>organisation</w:t>
      </w:r>
      <w:r w:rsidR="003D4EEA" w:rsidRPr="003D4EEA">
        <w:rPr>
          <w:rFonts w:cs="Arial"/>
          <w:szCs w:val="22"/>
        </w:rPr>
        <w:t xml:space="preserve"> </w:t>
      </w:r>
      <w:r w:rsidR="00611B51">
        <w:rPr>
          <w:rFonts w:cs="Arial"/>
          <w:szCs w:val="22"/>
        </w:rPr>
        <w:t>adopts</w:t>
      </w:r>
      <w:r w:rsidR="003D4EEA" w:rsidRPr="003D4EEA">
        <w:rPr>
          <w:rFonts w:cs="Arial"/>
          <w:szCs w:val="22"/>
        </w:rPr>
        <w:t xml:space="preserve"> a strategic and integrated approach to </w:t>
      </w:r>
      <w:r w:rsidR="002B2AB0">
        <w:rPr>
          <w:rFonts w:cs="Arial"/>
          <w:szCs w:val="22"/>
        </w:rPr>
        <w:t xml:space="preserve">managing </w:t>
      </w:r>
      <w:r w:rsidR="003D4EEA" w:rsidRPr="003D4EEA">
        <w:rPr>
          <w:rFonts w:cs="Arial"/>
          <w:szCs w:val="22"/>
        </w:rPr>
        <w:t>information</w:t>
      </w:r>
      <w:r w:rsidR="002B2AB0">
        <w:rPr>
          <w:rFonts w:cs="Arial"/>
          <w:szCs w:val="22"/>
        </w:rPr>
        <w:t>,</w:t>
      </w:r>
      <w:r w:rsidR="003D4EEA" w:rsidRPr="003D4EEA">
        <w:rPr>
          <w:rFonts w:cs="Arial"/>
          <w:szCs w:val="22"/>
        </w:rPr>
        <w:t xml:space="preserve"> digital </w:t>
      </w:r>
      <w:r w:rsidR="002B2AB0">
        <w:rPr>
          <w:rFonts w:cs="Arial"/>
          <w:szCs w:val="22"/>
        </w:rPr>
        <w:t>assets</w:t>
      </w:r>
      <w:r w:rsidR="00DB310D">
        <w:rPr>
          <w:rFonts w:cs="Arial"/>
          <w:szCs w:val="22"/>
        </w:rPr>
        <w:t xml:space="preserve"> and cyber risks</w:t>
      </w:r>
      <w:r w:rsidR="00F00E86">
        <w:rPr>
          <w:rFonts w:cs="Arial"/>
          <w:szCs w:val="22"/>
        </w:rPr>
        <w:t>.</w:t>
      </w:r>
      <w:r w:rsidR="003D4EEA" w:rsidRPr="003D4EEA">
        <w:rPr>
          <w:rFonts w:cs="Arial"/>
          <w:szCs w:val="22"/>
        </w:rPr>
        <w:t xml:space="preserve"> </w:t>
      </w:r>
      <w:r w:rsidR="00E52965">
        <w:rPr>
          <w:rFonts w:cs="Arial"/>
          <w:szCs w:val="22"/>
        </w:rPr>
        <w:t>By a</w:t>
      </w:r>
      <w:r w:rsidR="003D4EEA" w:rsidRPr="003D4EEA">
        <w:rPr>
          <w:rFonts w:cs="Arial"/>
          <w:szCs w:val="22"/>
        </w:rPr>
        <w:t>lign</w:t>
      </w:r>
      <w:r w:rsidR="00E52965">
        <w:rPr>
          <w:rFonts w:cs="Arial"/>
          <w:szCs w:val="22"/>
        </w:rPr>
        <w:t>ing</w:t>
      </w:r>
      <w:r w:rsidR="003D4EEA" w:rsidRPr="003D4EEA">
        <w:rPr>
          <w:rFonts w:cs="Arial"/>
          <w:szCs w:val="22"/>
        </w:rPr>
        <w:t xml:space="preserve"> with </w:t>
      </w:r>
      <w:r w:rsidR="00AE674E">
        <w:rPr>
          <w:rFonts w:cs="Arial"/>
          <w:szCs w:val="22"/>
        </w:rPr>
        <w:t>the QGEA</w:t>
      </w:r>
      <w:r w:rsidR="00E52965">
        <w:rPr>
          <w:rFonts w:cs="Arial"/>
          <w:szCs w:val="22"/>
        </w:rPr>
        <w:t>, the QBCC</w:t>
      </w:r>
      <w:r w:rsidR="003D4EEA" w:rsidRPr="003D4EEA">
        <w:rPr>
          <w:rFonts w:cs="Arial"/>
          <w:szCs w:val="22"/>
        </w:rPr>
        <w:t xml:space="preserve"> ensures </w:t>
      </w:r>
      <w:r w:rsidR="00E52965">
        <w:rPr>
          <w:rFonts w:cs="Arial"/>
          <w:szCs w:val="22"/>
        </w:rPr>
        <w:t>its</w:t>
      </w:r>
      <w:r w:rsidR="003D4EEA" w:rsidRPr="003D4EEA">
        <w:rPr>
          <w:rFonts w:cs="Arial"/>
          <w:szCs w:val="22"/>
        </w:rPr>
        <w:t xml:space="preserve"> digital investments </w:t>
      </w:r>
      <w:r w:rsidR="003B7F4B">
        <w:rPr>
          <w:rFonts w:cs="Arial"/>
          <w:szCs w:val="22"/>
        </w:rPr>
        <w:t>and protections</w:t>
      </w:r>
      <w:r w:rsidR="003D4EEA" w:rsidRPr="003D4EEA">
        <w:rPr>
          <w:rFonts w:cs="Arial"/>
          <w:szCs w:val="22"/>
        </w:rPr>
        <w:t xml:space="preserve"> comply with whole-of-government </w:t>
      </w:r>
      <w:r w:rsidR="0052253A">
        <w:rPr>
          <w:rFonts w:cs="Arial"/>
          <w:szCs w:val="22"/>
        </w:rPr>
        <w:t xml:space="preserve">policies on </w:t>
      </w:r>
      <w:r w:rsidR="003D4EEA" w:rsidRPr="003D4EEA">
        <w:rPr>
          <w:rFonts w:cs="Arial"/>
          <w:szCs w:val="22"/>
        </w:rPr>
        <w:t xml:space="preserve">information, </w:t>
      </w:r>
      <w:r w:rsidR="001C4312">
        <w:rPr>
          <w:rFonts w:cs="Arial"/>
          <w:szCs w:val="22"/>
        </w:rPr>
        <w:t xml:space="preserve">cyber </w:t>
      </w:r>
      <w:r w:rsidR="003D4EEA" w:rsidRPr="003D4EEA">
        <w:rPr>
          <w:rFonts w:cs="Arial"/>
          <w:szCs w:val="22"/>
        </w:rPr>
        <w:t xml:space="preserve">security and digital </w:t>
      </w:r>
      <w:r w:rsidR="0052253A">
        <w:rPr>
          <w:rFonts w:cs="Arial"/>
          <w:szCs w:val="22"/>
        </w:rPr>
        <w:t>services</w:t>
      </w:r>
      <w:r w:rsidR="001C4312">
        <w:rPr>
          <w:rFonts w:cs="Arial"/>
          <w:szCs w:val="22"/>
        </w:rPr>
        <w:t>,</w:t>
      </w:r>
      <w:r w:rsidR="003D4EEA" w:rsidRPr="003D4EEA">
        <w:rPr>
          <w:rFonts w:cs="Arial"/>
          <w:szCs w:val="22"/>
        </w:rPr>
        <w:t xml:space="preserve"> while </w:t>
      </w:r>
      <w:r w:rsidR="00E52965">
        <w:rPr>
          <w:rFonts w:cs="Arial"/>
          <w:szCs w:val="22"/>
        </w:rPr>
        <w:t>also</w:t>
      </w:r>
      <w:r w:rsidR="003D4EEA" w:rsidRPr="003D4EEA">
        <w:rPr>
          <w:rFonts w:cs="Arial"/>
          <w:szCs w:val="22"/>
        </w:rPr>
        <w:t xml:space="preserve"> balancing delivery costs, operational risks and long-term business value.</w:t>
      </w:r>
      <w:r w:rsidR="007A2FB7">
        <w:rPr>
          <w:rFonts w:cs="Arial"/>
          <w:szCs w:val="22"/>
        </w:rPr>
        <w:t xml:space="preserve"> </w:t>
      </w:r>
    </w:p>
    <w:p w14:paraId="68CB6FCE" w14:textId="141E92F5" w:rsidR="00CB23AB" w:rsidRDefault="00CF0CD3" w:rsidP="00793BEC">
      <w:pPr>
        <w:spacing w:before="120" w:after="120"/>
        <w:rPr>
          <w:rFonts w:cs="Arial"/>
          <w:szCs w:val="22"/>
        </w:rPr>
      </w:pPr>
      <w:r w:rsidRPr="00CF0CD3">
        <w:rPr>
          <w:rFonts w:cs="Arial"/>
          <w:szCs w:val="22"/>
        </w:rPr>
        <w:t xml:space="preserve">In 2024–25, the </w:t>
      </w:r>
      <w:r w:rsidR="003C15F3">
        <w:rPr>
          <w:rFonts w:cs="Arial"/>
          <w:szCs w:val="22"/>
        </w:rPr>
        <w:t xml:space="preserve">QBCC </w:t>
      </w:r>
      <w:r w:rsidRPr="00CF0CD3">
        <w:rPr>
          <w:rFonts w:cs="Arial"/>
          <w:szCs w:val="22"/>
        </w:rPr>
        <w:t xml:space="preserve">continued to </w:t>
      </w:r>
      <w:r w:rsidR="003C15F3">
        <w:rPr>
          <w:rFonts w:cs="Arial"/>
          <w:szCs w:val="22"/>
        </w:rPr>
        <w:t>enhance</w:t>
      </w:r>
      <w:r w:rsidRPr="00CF0CD3">
        <w:rPr>
          <w:rFonts w:cs="Arial"/>
          <w:szCs w:val="22"/>
        </w:rPr>
        <w:t xml:space="preserve"> its data governance practices to </w:t>
      </w:r>
      <w:r w:rsidR="003C15F3">
        <w:rPr>
          <w:rFonts w:cs="Arial"/>
          <w:szCs w:val="22"/>
        </w:rPr>
        <w:t>promote</w:t>
      </w:r>
      <w:r w:rsidRPr="00CF0CD3">
        <w:rPr>
          <w:rFonts w:cs="Arial"/>
          <w:szCs w:val="22"/>
        </w:rPr>
        <w:t xml:space="preserve"> responsible data management</w:t>
      </w:r>
      <w:r w:rsidR="00F13A89">
        <w:rPr>
          <w:rFonts w:cs="Arial"/>
          <w:szCs w:val="22"/>
        </w:rPr>
        <w:t xml:space="preserve"> and</w:t>
      </w:r>
      <w:r w:rsidRPr="00CF0CD3">
        <w:rPr>
          <w:rFonts w:cs="Arial"/>
          <w:szCs w:val="22"/>
        </w:rPr>
        <w:t xml:space="preserve"> improve information flow across all operation</w:t>
      </w:r>
      <w:r w:rsidR="003C15F3">
        <w:rPr>
          <w:rFonts w:cs="Arial"/>
          <w:szCs w:val="22"/>
        </w:rPr>
        <w:t>s</w:t>
      </w:r>
      <w:r w:rsidRPr="00CF0CD3">
        <w:rPr>
          <w:rFonts w:cs="Arial"/>
          <w:szCs w:val="22"/>
        </w:rPr>
        <w:t>.</w:t>
      </w:r>
      <w:r w:rsidR="00560B86">
        <w:rPr>
          <w:rFonts w:cs="Arial"/>
          <w:szCs w:val="22"/>
        </w:rPr>
        <w:t xml:space="preserve"> </w:t>
      </w:r>
      <w:r w:rsidR="00C21BEB">
        <w:rPr>
          <w:rFonts w:cs="Arial"/>
          <w:szCs w:val="22"/>
        </w:rPr>
        <w:t xml:space="preserve">The ongoing </w:t>
      </w:r>
      <w:r w:rsidR="009D2380">
        <w:rPr>
          <w:rFonts w:cs="Arial"/>
          <w:szCs w:val="22"/>
        </w:rPr>
        <w:t>integration of</w:t>
      </w:r>
      <w:r w:rsidR="00123CA0" w:rsidRPr="00123CA0">
        <w:rPr>
          <w:rFonts w:cs="Arial"/>
          <w:szCs w:val="22"/>
        </w:rPr>
        <w:t xml:space="preserve"> the Information and Data Governance Framework and Operating Model ensured alig</w:t>
      </w:r>
      <w:r w:rsidR="00963E1A">
        <w:rPr>
          <w:rFonts w:cs="Arial"/>
          <w:szCs w:val="22"/>
        </w:rPr>
        <w:t>nment</w:t>
      </w:r>
      <w:r w:rsidR="00123CA0" w:rsidRPr="00123CA0">
        <w:rPr>
          <w:rFonts w:cs="Arial"/>
          <w:szCs w:val="22"/>
        </w:rPr>
        <w:t xml:space="preserve"> with the QGEA Information Governance Policy and Data Governance Guidelines. </w:t>
      </w:r>
      <w:r w:rsidR="00165058">
        <w:rPr>
          <w:rFonts w:cs="Arial"/>
          <w:szCs w:val="22"/>
        </w:rPr>
        <w:t>T</w:t>
      </w:r>
      <w:r w:rsidR="00F328EE">
        <w:rPr>
          <w:rFonts w:cs="Arial"/>
          <w:szCs w:val="22"/>
        </w:rPr>
        <w:t>he</w:t>
      </w:r>
      <w:r w:rsidR="00F34F2E">
        <w:rPr>
          <w:rFonts w:cs="Arial"/>
          <w:szCs w:val="22"/>
        </w:rPr>
        <w:t xml:space="preserve"> </w:t>
      </w:r>
      <w:r w:rsidR="00C671BB">
        <w:rPr>
          <w:rFonts w:cs="Arial"/>
          <w:szCs w:val="22"/>
        </w:rPr>
        <w:t>I</w:t>
      </w:r>
      <w:r w:rsidR="00C138A6">
        <w:rPr>
          <w:rFonts w:cs="Arial"/>
          <w:szCs w:val="22"/>
        </w:rPr>
        <w:t xml:space="preserve">nformation </w:t>
      </w:r>
      <w:r w:rsidR="00C671BB">
        <w:rPr>
          <w:rFonts w:cs="Arial"/>
          <w:szCs w:val="22"/>
        </w:rPr>
        <w:t xml:space="preserve">and </w:t>
      </w:r>
      <w:r w:rsidR="0088448F">
        <w:rPr>
          <w:rFonts w:cs="Arial"/>
          <w:szCs w:val="22"/>
        </w:rPr>
        <w:t>Data Governance F</w:t>
      </w:r>
      <w:r w:rsidR="007006EF">
        <w:rPr>
          <w:rFonts w:cs="Arial"/>
          <w:szCs w:val="22"/>
        </w:rPr>
        <w:t>ramework</w:t>
      </w:r>
      <w:r w:rsidR="00123CA0" w:rsidRPr="00123CA0">
        <w:rPr>
          <w:rFonts w:cs="Arial"/>
          <w:szCs w:val="22"/>
        </w:rPr>
        <w:t xml:space="preserve"> </w:t>
      </w:r>
      <w:r w:rsidR="00DF17EA">
        <w:rPr>
          <w:rFonts w:cs="Arial"/>
          <w:szCs w:val="22"/>
        </w:rPr>
        <w:t>promotes</w:t>
      </w:r>
      <w:r w:rsidR="00DF17EA" w:rsidRPr="00123CA0">
        <w:rPr>
          <w:rFonts w:cs="Arial"/>
          <w:szCs w:val="22"/>
        </w:rPr>
        <w:t xml:space="preserve"> </w:t>
      </w:r>
      <w:r w:rsidR="00123CA0" w:rsidRPr="00123CA0">
        <w:rPr>
          <w:rFonts w:cs="Arial"/>
          <w:szCs w:val="22"/>
        </w:rPr>
        <w:t xml:space="preserve">a consistent and </w:t>
      </w:r>
      <w:r w:rsidR="00763781">
        <w:rPr>
          <w:rFonts w:cs="Arial"/>
          <w:szCs w:val="22"/>
        </w:rPr>
        <w:t>unified</w:t>
      </w:r>
      <w:r w:rsidR="00123CA0" w:rsidRPr="00123CA0">
        <w:rPr>
          <w:rFonts w:cs="Arial"/>
          <w:szCs w:val="22"/>
        </w:rPr>
        <w:t xml:space="preserve"> approach to managing technology and information assets. </w:t>
      </w:r>
      <w:r w:rsidR="00763781">
        <w:rPr>
          <w:rFonts w:cs="Arial"/>
          <w:szCs w:val="22"/>
        </w:rPr>
        <w:t>As a result</w:t>
      </w:r>
      <w:r w:rsidR="00123CA0" w:rsidRPr="00123CA0">
        <w:rPr>
          <w:rFonts w:cs="Arial"/>
          <w:szCs w:val="22"/>
        </w:rPr>
        <w:t xml:space="preserve">, the QBCC is better </w:t>
      </w:r>
      <w:r w:rsidR="00763781">
        <w:rPr>
          <w:rFonts w:cs="Arial"/>
          <w:szCs w:val="22"/>
        </w:rPr>
        <w:t>equipped</w:t>
      </w:r>
      <w:r w:rsidR="00123CA0" w:rsidRPr="00123CA0">
        <w:rPr>
          <w:rFonts w:cs="Arial"/>
          <w:szCs w:val="22"/>
        </w:rPr>
        <w:t xml:space="preserve"> to identify and mitigate data risks while enabling the secure and effective use of its most valuable data assets.</w:t>
      </w:r>
    </w:p>
    <w:p w14:paraId="75F4C364" w14:textId="41719574" w:rsidR="00D84E52" w:rsidRDefault="00CB23AB" w:rsidP="00C82B10">
      <w:pPr>
        <w:spacing w:before="120" w:after="120"/>
        <w:rPr>
          <w:rFonts w:cs="Arial"/>
        </w:rPr>
      </w:pPr>
      <w:r w:rsidRPr="20BE9D8C">
        <w:rPr>
          <w:rFonts w:cs="Arial"/>
        </w:rPr>
        <w:t xml:space="preserve">During the reporting period, the organisation </w:t>
      </w:r>
      <w:r w:rsidR="00172B71" w:rsidRPr="20BE9D8C">
        <w:rPr>
          <w:rFonts w:cs="Arial"/>
        </w:rPr>
        <w:t>undertook</w:t>
      </w:r>
      <w:r w:rsidR="00051121" w:rsidRPr="20BE9D8C" w:rsidDel="00137FEE">
        <w:rPr>
          <w:rFonts w:cs="Arial"/>
        </w:rPr>
        <w:t xml:space="preserve"> </w:t>
      </w:r>
      <w:r w:rsidR="00051121" w:rsidRPr="20BE9D8C">
        <w:rPr>
          <w:rFonts w:cs="Arial"/>
        </w:rPr>
        <w:t xml:space="preserve">comprehensive </w:t>
      </w:r>
      <w:r w:rsidRPr="20BE9D8C">
        <w:rPr>
          <w:rFonts w:cs="Arial"/>
        </w:rPr>
        <w:t>profil</w:t>
      </w:r>
      <w:r w:rsidR="00051121" w:rsidRPr="20BE9D8C">
        <w:rPr>
          <w:rFonts w:cs="Arial"/>
        </w:rPr>
        <w:t>ing of</w:t>
      </w:r>
      <w:r w:rsidRPr="20BE9D8C">
        <w:rPr>
          <w:rFonts w:cs="Arial"/>
        </w:rPr>
        <w:t xml:space="preserve"> its </w:t>
      </w:r>
      <w:r w:rsidR="00646D96" w:rsidRPr="20BE9D8C">
        <w:rPr>
          <w:rFonts w:cs="Arial"/>
        </w:rPr>
        <w:t>i</w:t>
      </w:r>
      <w:r w:rsidRPr="20BE9D8C">
        <w:rPr>
          <w:rFonts w:cs="Arial"/>
        </w:rPr>
        <w:t xml:space="preserve">nformation </w:t>
      </w:r>
      <w:r w:rsidR="00646D96" w:rsidRPr="20BE9D8C">
        <w:rPr>
          <w:rFonts w:cs="Arial"/>
        </w:rPr>
        <w:t>a</w:t>
      </w:r>
      <w:r w:rsidRPr="20BE9D8C">
        <w:rPr>
          <w:rFonts w:cs="Arial"/>
        </w:rPr>
        <w:t>ssets across</w:t>
      </w:r>
      <w:r w:rsidR="00137FEE" w:rsidRPr="20BE9D8C">
        <w:rPr>
          <w:rFonts w:cs="Arial"/>
        </w:rPr>
        <w:t xml:space="preserve"> its</w:t>
      </w:r>
      <w:r w:rsidRPr="20BE9D8C">
        <w:rPr>
          <w:rFonts w:cs="Arial"/>
        </w:rPr>
        <w:t xml:space="preserve"> business systems. </w:t>
      </w:r>
      <w:r w:rsidR="00D8765F" w:rsidRPr="20BE9D8C">
        <w:rPr>
          <w:rFonts w:cs="Arial"/>
        </w:rPr>
        <w:t>D</w:t>
      </w:r>
      <w:r w:rsidRPr="20BE9D8C">
        <w:rPr>
          <w:rFonts w:cs="Arial"/>
        </w:rPr>
        <w:t>efin</w:t>
      </w:r>
      <w:r w:rsidR="00D8765F" w:rsidRPr="20BE9D8C">
        <w:rPr>
          <w:rFonts w:cs="Arial"/>
        </w:rPr>
        <w:t>ing key</w:t>
      </w:r>
      <w:r w:rsidRPr="20BE9D8C">
        <w:rPr>
          <w:rFonts w:cs="Arial"/>
        </w:rPr>
        <w:t xml:space="preserve"> attributes for each asset inform</w:t>
      </w:r>
      <w:r w:rsidR="000F47EA" w:rsidRPr="20BE9D8C">
        <w:rPr>
          <w:rFonts w:cs="Arial"/>
        </w:rPr>
        <w:t xml:space="preserve">ed the application of </w:t>
      </w:r>
      <w:r w:rsidRPr="20BE9D8C">
        <w:rPr>
          <w:rFonts w:cs="Arial"/>
        </w:rPr>
        <w:t>appropriate security controls and enhance</w:t>
      </w:r>
      <w:r w:rsidR="000F47EA" w:rsidRPr="20BE9D8C">
        <w:rPr>
          <w:rFonts w:cs="Arial"/>
        </w:rPr>
        <w:t>d</w:t>
      </w:r>
      <w:r w:rsidRPr="20BE9D8C">
        <w:rPr>
          <w:rFonts w:cs="Arial"/>
        </w:rPr>
        <w:t xml:space="preserve"> data lifecycle management.</w:t>
      </w:r>
      <w:r w:rsidR="007B0D45" w:rsidRPr="20BE9D8C">
        <w:rPr>
          <w:rFonts w:cs="Arial"/>
        </w:rPr>
        <w:t xml:space="preserve"> To </w:t>
      </w:r>
      <w:r w:rsidR="000F47EA" w:rsidRPr="20BE9D8C">
        <w:rPr>
          <w:rFonts w:cs="Arial"/>
        </w:rPr>
        <w:t>safeguard</w:t>
      </w:r>
      <w:r w:rsidR="007B0D45" w:rsidRPr="20BE9D8C">
        <w:rPr>
          <w:rFonts w:cs="Arial"/>
        </w:rPr>
        <w:t xml:space="preserve"> data integrity and </w:t>
      </w:r>
      <w:r w:rsidR="000F47EA" w:rsidRPr="20BE9D8C">
        <w:rPr>
          <w:rFonts w:cs="Arial"/>
        </w:rPr>
        <w:t>ensure</w:t>
      </w:r>
      <w:r w:rsidR="007B0D45" w:rsidRPr="20BE9D8C">
        <w:rPr>
          <w:rFonts w:cs="Arial"/>
        </w:rPr>
        <w:t xml:space="preserve"> secure data us</w:t>
      </w:r>
      <w:r w:rsidR="00186839" w:rsidRPr="20BE9D8C">
        <w:rPr>
          <w:rFonts w:cs="Arial"/>
        </w:rPr>
        <w:t>e</w:t>
      </w:r>
      <w:r w:rsidR="007B0D45" w:rsidRPr="20BE9D8C">
        <w:rPr>
          <w:rFonts w:cs="Arial"/>
        </w:rPr>
        <w:t xml:space="preserve">, the QBCC prioritised cyber security by developing a comprehensive Cyber Security Program, </w:t>
      </w:r>
      <w:r w:rsidR="008C5562" w:rsidRPr="20BE9D8C">
        <w:rPr>
          <w:rFonts w:cs="Arial"/>
        </w:rPr>
        <w:t xml:space="preserve">which </w:t>
      </w:r>
      <w:r w:rsidR="007B0D45" w:rsidRPr="20BE9D8C">
        <w:rPr>
          <w:rFonts w:cs="Arial"/>
        </w:rPr>
        <w:t>includ</w:t>
      </w:r>
      <w:r w:rsidR="008C5562" w:rsidRPr="20BE9D8C">
        <w:rPr>
          <w:rFonts w:cs="Arial"/>
        </w:rPr>
        <w:t>es</w:t>
      </w:r>
      <w:r w:rsidR="007B0D45" w:rsidRPr="20BE9D8C">
        <w:rPr>
          <w:rFonts w:cs="Arial"/>
        </w:rPr>
        <w:t xml:space="preserve"> a Cyber Security Strategy and a three-year roadmap of initiatives. </w:t>
      </w:r>
      <w:r w:rsidR="00186839" w:rsidRPr="20BE9D8C">
        <w:rPr>
          <w:rFonts w:cs="Arial"/>
        </w:rPr>
        <w:t>T</w:t>
      </w:r>
      <w:r w:rsidR="007B0D45" w:rsidRPr="20BE9D8C">
        <w:rPr>
          <w:rFonts w:cs="Arial"/>
        </w:rPr>
        <w:t>he engage</w:t>
      </w:r>
      <w:r w:rsidR="007959A2" w:rsidRPr="20BE9D8C">
        <w:rPr>
          <w:rFonts w:cs="Arial"/>
        </w:rPr>
        <w:t>ment of</w:t>
      </w:r>
      <w:r w:rsidR="007B0D45" w:rsidRPr="20BE9D8C">
        <w:rPr>
          <w:rFonts w:cs="Arial"/>
        </w:rPr>
        <w:t xml:space="preserve"> a virtual Chief Information Security Officer provide</w:t>
      </w:r>
      <w:r w:rsidR="00717EB8" w:rsidRPr="20BE9D8C">
        <w:rPr>
          <w:rFonts w:cs="Arial"/>
        </w:rPr>
        <w:t>s</w:t>
      </w:r>
      <w:r w:rsidR="007B0D45" w:rsidRPr="20BE9D8C">
        <w:rPr>
          <w:rFonts w:cs="Arial"/>
        </w:rPr>
        <w:t xml:space="preserve"> strategic oversight </w:t>
      </w:r>
      <w:r w:rsidR="00084174" w:rsidRPr="20BE9D8C">
        <w:rPr>
          <w:rFonts w:cs="Arial"/>
        </w:rPr>
        <w:t>to strengthen</w:t>
      </w:r>
      <w:r w:rsidR="007B0D45" w:rsidRPr="20BE9D8C">
        <w:rPr>
          <w:rFonts w:cs="Arial"/>
        </w:rPr>
        <w:t xml:space="preserve"> cyber maturity and digital resilience. </w:t>
      </w:r>
    </w:p>
    <w:p w14:paraId="6183579A" w14:textId="778264DD" w:rsidR="00665967" w:rsidRPr="00FE21BD" w:rsidRDefault="002E5D29" w:rsidP="00C82B10">
      <w:pPr>
        <w:spacing w:before="120" w:after="120"/>
        <w:rPr>
          <w:rFonts w:cs="Arial"/>
        </w:rPr>
      </w:pPr>
      <w:r>
        <w:rPr>
          <w:rFonts w:cs="Arial"/>
          <w:szCs w:val="22"/>
        </w:rPr>
        <w:t>Complementing</w:t>
      </w:r>
      <w:r w:rsidR="007B0D45" w:rsidRPr="007B0D45">
        <w:rPr>
          <w:rFonts w:cs="Arial"/>
          <w:szCs w:val="22"/>
        </w:rPr>
        <w:t xml:space="preserve"> these efforts, the organisation developed an Information Security Management System</w:t>
      </w:r>
      <w:r w:rsidR="005C625A">
        <w:rPr>
          <w:rFonts w:cs="Arial"/>
          <w:szCs w:val="22"/>
        </w:rPr>
        <w:t xml:space="preserve">, along </w:t>
      </w:r>
      <w:r w:rsidR="001D3F5E">
        <w:rPr>
          <w:rFonts w:cs="Arial"/>
          <w:szCs w:val="22"/>
        </w:rPr>
        <w:t xml:space="preserve">with </w:t>
      </w:r>
      <w:r w:rsidR="005C625A">
        <w:rPr>
          <w:rFonts w:cs="Arial"/>
          <w:szCs w:val="22"/>
        </w:rPr>
        <w:t xml:space="preserve">a </w:t>
      </w:r>
      <w:r w:rsidR="001D3F5E">
        <w:rPr>
          <w:rFonts w:cs="Arial"/>
          <w:szCs w:val="22"/>
        </w:rPr>
        <w:t>s</w:t>
      </w:r>
      <w:r w:rsidR="007B0D45" w:rsidRPr="007B0D45">
        <w:rPr>
          <w:rFonts w:cs="Arial"/>
          <w:szCs w:val="22"/>
        </w:rPr>
        <w:t xml:space="preserve">cope </w:t>
      </w:r>
      <w:r w:rsidR="001D3F5E">
        <w:rPr>
          <w:rFonts w:cs="Arial"/>
          <w:szCs w:val="22"/>
        </w:rPr>
        <w:t>s</w:t>
      </w:r>
      <w:r w:rsidR="007B0D45" w:rsidRPr="007B0D45">
        <w:rPr>
          <w:rFonts w:cs="Arial"/>
          <w:szCs w:val="22"/>
        </w:rPr>
        <w:t xml:space="preserve">tatement and </w:t>
      </w:r>
      <w:r w:rsidR="001D3F5E">
        <w:rPr>
          <w:rFonts w:cs="Arial"/>
          <w:szCs w:val="22"/>
        </w:rPr>
        <w:t>c</w:t>
      </w:r>
      <w:r w:rsidR="007B0D45" w:rsidRPr="007B0D45">
        <w:rPr>
          <w:rFonts w:cs="Arial"/>
          <w:szCs w:val="22"/>
        </w:rPr>
        <w:t xml:space="preserve">ommunications </w:t>
      </w:r>
      <w:r w:rsidR="001D3F5E">
        <w:rPr>
          <w:rFonts w:cs="Arial"/>
          <w:szCs w:val="22"/>
        </w:rPr>
        <w:t>p</w:t>
      </w:r>
      <w:r w:rsidR="007B0D45" w:rsidRPr="007B0D45">
        <w:rPr>
          <w:rFonts w:cs="Arial"/>
          <w:szCs w:val="22"/>
        </w:rPr>
        <w:t xml:space="preserve">lan, </w:t>
      </w:r>
      <w:r w:rsidR="00B12D8C">
        <w:rPr>
          <w:rFonts w:cs="Arial"/>
          <w:szCs w:val="22"/>
        </w:rPr>
        <w:t xml:space="preserve">and </w:t>
      </w:r>
      <w:r w:rsidR="007B0D45" w:rsidRPr="007B0D45">
        <w:rPr>
          <w:rFonts w:cs="Arial"/>
          <w:szCs w:val="22"/>
        </w:rPr>
        <w:t>conduct</w:t>
      </w:r>
      <w:r w:rsidR="00B12D8C">
        <w:rPr>
          <w:rFonts w:cs="Arial"/>
          <w:szCs w:val="22"/>
        </w:rPr>
        <w:t>ed</w:t>
      </w:r>
      <w:r w:rsidR="007B0D45" w:rsidRPr="007B0D45">
        <w:rPr>
          <w:rFonts w:cs="Arial"/>
          <w:szCs w:val="22"/>
        </w:rPr>
        <w:t xml:space="preserve"> quarterly maturity reviews to </w:t>
      </w:r>
      <w:r w:rsidR="0014082C">
        <w:rPr>
          <w:rFonts w:cs="Arial"/>
          <w:szCs w:val="22"/>
        </w:rPr>
        <w:t>monitor</w:t>
      </w:r>
      <w:r w:rsidR="007B0D45" w:rsidRPr="007B0D45">
        <w:rPr>
          <w:rFonts w:cs="Arial"/>
          <w:szCs w:val="22"/>
        </w:rPr>
        <w:t xml:space="preserve"> progress.</w:t>
      </w:r>
      <w:r w:rsidR="008819F0">
        <w:rPr>
          <w:rFonts w:cs="Arial"/>
          <w:szCs w:val="22"/>
        </w:rPr>
        <w:t xml:space="preserve"> </w:t>
      </w:r>
      <w:r w:rsidR="006853EC">
        <w:rPr>
          <w:rFonts w:cs="Arial"/>
          <w:szCs w:val="22"/>
        </w:rPr>
        <w:t>Together</w:t>
      </w:r>
      <w:r w:rsidR="007B0D45" w:rsidRPr="007B0D45">
        <w:rPr>
          <w:rFonts w:cs="Arial"/>
          <w:szCs w:val="22"/>
        </w:rPr>
        <w:t>,</w:t>
      </w:r>
      <w:r w:rsidR="009A05A5">
        <w:rPr>
          <w:rFonts w:cs="Arial"/>
          <w:szCs w:val="22"/>
        </w:rPr>
        <w:t xml:space="preserve"> </w:t>
      </w:r>
      <w:r w:rsidR="006853EC">
        <w:rPr>
          <w:rFonts w:cs="Arial"/>
          <w:szCs w:val="22"/>
        </w:rPr>
        <w:t xml:space="preserve">these </w:t>
      </w:r>
      <w:r w:rsidR="007B0D45" w:rsidRPr="007B0D45">
        <w:rPr>
          <w:rFonts w:cs="Arial"/>
          <w:szCs w:val="22"/>
        </w:rPr>
        <w:t>data governance</w:t>
      </w:r>
      <w:r w:rsidR="006E7389">
        <w:rPr>
          <w:rFonts w:cs="Arial"/>
          <w:szCs w:val="22"/>
        </w:rPr>
        <w:t xml:space="preserve"> </w:t>
      </w:r>
      <w:r w:rsidR="006853EC">
        <w:rPr>
          <w:rFonts w:cs="Arial"/>
          <w:szCs w:val="22"/>
        </w:rPr>
        <w:t xml:space="preserve">and </w:t>
      </w:r>
      <w:r w:rsidR="000F5429">
        <w:rPr>
          <w:rFonts w:cs="Arial"/>
          <w:szCs w:val="22"/>
        </w:rPr>
        <w:t xml:space="preserve">cyber </w:t>
      </w:r>
      <w:r w:rsidR="00777784">
        <w:rPr>
          <w:rFonts w:cs="Arial"/>
          <w:szCs w:val="22"/>
        </w:rPr>
        <w:t>security</w:t>
      </w:r>
      <w:r w:rsidR="007B0D45" w:rsidRPr="007B0D45">
        <w:rPr>
          <w:rFonts w:cs="Arial"/>
          <w:szCs w:val="22"/>
        </w:rPr>
        <w:t xml:space="preserve"> initiatives </w:t>
      </w:r>
      <w:r w:rsidR="004C38A9">
        <w:rPr>
          <w:rFonts w:cs="Arial"/>
          <w:szCs w:val="22"/>
        </w:rPr>
        <w:t>contribute to</w:t>
      </w:r>
      <w:r w:rsidR="007B0D45" w:rsidRPr="007B0D45">
        <w:rPr>
          <w:rFonts w:cs="Arial"/>
          <w:szCs w:val="22"/>
        </w:rPr>
        <w:t xml:space="preserve"> a secure</w:t>
      </w:r>
      <w:r w:rsidR="00BE2503">
        <w:rPr>
          <w:rFonts w:cs="Arial"/>
          <w:szCs w:val="22"/>
        </w:rPr>
        <w:t xml:space="preserve"> and</w:t>
      </w:r>
      <w:r w:rsidR="007B0D45" w:rsidRPr="007B0D45">
        <w:rPr>
          <w:rFonts w:cs="Arial"/>
          <w:szCs w:val="22"/>
        </w:rPr>
        <w:t xml:space="preserve"> well-governed digital environment. The improvements </w:t>
      </w:r>
      <w:r w:rsidR="003663CE">
        <w:rPr>
          <w:rFonts w:cs="Arial"/>
          <w:szCs w:val="22"/>
        </w:rPr>
        <w:t xml:space="preserve">achieved </w:t>
      </w:r>
      <w:r w:rsidR="00035014">
        <w:rPr>
          <w:rFonts w:cs="Arial"/>
          <w:szCs w:val="22"/>
        </w:rPr>
        <w:t xml:space="preserve">are </w:t>
      </w:r>
      <w:r w:rsidR="007B0D45" w:rsidRPr="007B0D45">
        <w:rPr>
          <w:rFonts w:cs="Arial"/>
          <w:szCs w:val="22"/>
        </w:rPr>
        <w:t>enabl</w:t>
      </w:r>
      <w:r w:rsidR="00035014">
        <w:rPr>
          <w:rFonts w:cs="Arial"/>
          <w:szCs w:val="22"/>
        </w:rPr>
        <w:t>ing</w:t>
      </w:r>
      <w:r w:rsidR="007B0D45" w:rsidRPr="007B0D45">
        <w:rPr>
          <w:rFonts w:cs="Arial"/>
          <w:szCs w:val="22"/>
        </w:rPr>
        <w:t xml:space="preserve"> more informed decision</w:t>
      </w:r>
      <w:r w:rsidR="00EA2BF0">
        <w:rPr>
          <w:rFonts w:cs="Arial"/>
          <w:szCs w:val="22"/>
        </w:rPr>
        <w:t xml:space="preserve"> </w:t>
      </w:r>
      <w:r w:rsidR="007B0D45" w:rsidRPr="007B0D45">
        <w:rPr>
          <w:rFonts w:cs="Arial"/>
          <w:szCs w:val="22"/>
        </w:rPr>
        <w:t>making</w:t>
      </w:r>
      <w:r w:rsidR="0020462E">
        <w:rPr>
          <w:rFonts w:cs="Arial"/>
          <w:szCs w:val="22"/>
        </w:rPr>
        <w:t xml:space="preserve"> through</w:t>
      </w:r>
      <w:r w:rsidR="00A079B6">
        <w:rPr>
          <w:rFonts w:cs="Arial"/>
          <w:szCs w:val="22"/>
        </w:rPr>
        <w:t xml:space="preserve"> </w:t>
      </w:r>
      <w:r w:rsidR="00442AC3">
        <w:rPr>
          <w:rFonts w:cs="Arial"/>
          <w:szCs w:val="22"/>
        </w:rPr>
        <w:t>enhanced</w:t>
      </w:r>
      <w:r w:rsidR="00A079B6">
        <w:rPr>
          <w:rFonts w:cs="Arial"/>
          <w:szCs w:val="22"/>
        </w:rPr>
        <w:t xml:space="preserve"> data </w:t>
      </w:r>
      <w:r w:rsidR="00442AC3">
        <w:rPr>
          <w:rFonts w:cs="Arial"/>
          <w:szCs w:val="22"/>
        </w:rPr>
        <w:t>quality</w:t>
      </w:r>
      <w:r w:rsidR="007B0D45" w:rsidRPr="007B0D45">
        <w:rPr>
          <w:rFonts w:cs="Arial"/>
          <w:szCs w:val="22"/>
        </w:rPr>
        <w:t>,</w:t>
      </w:r>
      <w:r w:rsidR="004D7021">
        <w:rPr>
          <w:rFonts w:cs="Arial"/>
          <w:szCs w:val="22"/>
        </w:rPr>
        <w:t xml:space="preserve"> increased transparency of information flows</w:t>
      </w:r>
      <w:r w:rsidR="007B0D45" w:rsidRPr="007B0D45">
        <w:rPr>
          <w:rFonts w:cs="Arial"/>
          <w:szCs w:val="22"/>
        </w:rPr>
        <w:t xml:space="preserve"> </w:t>
      </w:r>
      <w:r w:rsidR="005059B5">
        <w:rPr>
          <w:rFonts w:cs="Arial"/>
          <w:szCs w:val="22"/>
        </w:rPr>
        <w:t xml:space="preserve">and improved accessibility </w:t>
      </w:r>
      <w:r w:rsidR="00C348C3">
        <w:rPr>
          <w:rFonts w:cs="Arial"/>
          <w:szCs w:val="22"/>
        </w:rPr>
        <w:t>to trusted data.</w:t>
      </w:r>
      <w:r w:rsidR="007B0D45" w:rsidRPr="007B0D45">
        <w:rPr>
          <w:rFonts w:cs="Arial"/>
          <w:szCs w:val="22"/>
        </w:rPr>
        <w:t xml:space="preserve"> </w:t>
      </w:r>
      <w:r w:rsidR="007A0F47">
        <w:rPr>
          <w:rFonts w:cs="Arial"/>
          <w:szCs w:val="22"/>
        </w:rPr>
        <w:t xml:space="preserve">These outcomes </w:t>
      </w:r>
      <w:r w:rsidR="006F385A">
        <w:rPr>
          <w:rFonts w:cs="Arial"/>
          <w:szCs w:val="22"/>
        </w:rPr>
        <w:t xml:space="preserve">support data-driven practices, </w:t>
      </w:r>
      <w:r w:rsidR="00353F7C">
        <w:rPr>
          <w:rFonts w:cs="Arial"/>
          <w:szCs w:val="22"/>
        </w:rPr>
        <w:t>encourag</w:t>
      </w:r>
      <w:r w:rsidR="006F385A">
        <w:rPr>
          <w:rFonts w:cs="Arial"/>
          <w:szCs w:val="22"/>
        </w:rPr>
        <w:t>e</w:t>
      </w:r>
      <w:r w:rsidR="00353F7C" w:rsidRPr="007B0D45">
        <w:rPr>
          <w:rFonts w:cs="Arial"/>
          <w:szCs w:val="22"/>
        </w:rPr>
        <w:t xml:space="preserve"> </w:t>
      </w:r>
      <w:r w:rsidR="007B0D45" w:rsidRPr="007B0D45">
        <w:rPr>
          <w:rFonts w:cs="Arial"/>
          <w:szCs w:val="22"/>
        </w:rPr>
        <w:t>innovation</w:t>
      </w:r>
      <w:r w:rsidR="00353F7C" w:rsidRPr="00353F7C">
        <w:rPr>
          <w:rFonts w:cs="Arial"/>
          <w:szCs w:val="22"/>
        </w:rPr>
        <w:t xml:space="preserve"> and safeguard data and information assets for the benefit of the organisation, its employees and the broader Queensland community.</w:t>
      </w:r>
      <w:bookmarkStart w:id="285" w:name="_Records_management"/>
      <w:bookmarkEnd w:id="285"/>
    </w:p>
    <w:p w14:paraId="4A82A9ED" w14:textId="39604945" w:rsidR="00F878BC" w:rsidRDefault="00F878BC" w:rsidP="00F31FB2">
      <w:pPr>
        <w:pStyle w:val="Heading3"/>
      </w:pPr>
      <w:r w:rsidRPr="004A2C19">
        <w:t>Record</w:t>
      </w:r>
      <w:r w:rsidR="0092224A">
        <w:t>s</w:t>
      </w:r>
      <w:r w:rsidRPr="004A2C19">
        <w:t xml:space="preserve"> management</w:t>
      </w:r>
      <w:r w:rsidR="0005107C">
        <w:t xml:space="preserve">  </w:t>
      </w:r>
    </w:p>
    <w:p w14:paraId="6635C04A" w14:textId="77777777" w:rsidR="0009556E" w:rsidRDefault="00470E5D" w:rsidP="00793BEC">
      <w:pPr>
        <w:spacing w:before="120" w:after="120"/>
        <w:rPr>
          <w:rFonts w:cs="Arial"/>
          <w:szCs w:val="22"/>
        </w:rPr>
      </w:pPr>
      <w:r w:rsidRPr="00470E5D">
        <w:rPr>
          <w:rFonts w:cs="Arial"/>
          <w:szCs w:val="22"/>
        </w:rPr>
        <w:t xml:space="preserve">The QBCC continues to </w:t>
      </w:r>
      <w:r w:rsidR="00BF4B04">
        <w:rPr>
          <w:rFonts w:cs="Arial"/>
          <w:szCs w:val="22"/>
        </w:rPr>
        <w:t>enhance</w:t>
      </w:r>
      <w:r w:rsidRPr="00470E5D">
        <w:rPr>
          <w:rFonts w:cs="Arial"/>
          <w:szCs w:val="22"/>
        </w:rPr>
        <w:t xml:space="preserve"> its records management practices to </w:t>
      </w:r>
      <w:r w:rsidR="009440D8">
        <w:rPr>
          <w:rFonts w:cs="Arial"/>
          <w:szCs w:val="22"/>
        </w:rPr>
        <w:t>enable</w:t>
      </w:r>
      <w:r w:rsidRPr="00470E5D">
        <w:rPr>
          <w:rFonts w:cs="Arial"/>
          <w:szCs w:val="22"/>
        </w:rPr>
        <w:t xml:space="preserve"> informed decision</w:t>
      </w:r>
      <w:r>
        <w:rPr>
          <w:rFonts w:cs="Arial"/>
          <w:szCs w:val="22"/>
        </w:rPr>
        <w:t xml:space="preserve"> </w:t>
      </w:r>
      <w:r w:rsidRPr="00470E5D">
        <w:rPr>
          <w:rFonts w:cs="Arial"/>
          <w:szCs w:val="22"/>
        </w:rPr>
        <w:t xml:space="preserve">making, </w:t>
      </w:r>
      <w:r w:rsidR="009440D8">
        <w:rPr>
          <w:rFonts w:cs="Arial"/>
          <w:szCs w:val="22"/>
        </w:rPr>
        <w:t>uphold strong</w:t>
      </w:r>
      <w:r w:rsidRPr="00470E5D">
        <w:rPr>
          <w:rFonts w:cs="Arial"/>
          <w:szCs w:val="22"/>
        </w:rPr>
        <w:t xml:space="preserve"> governance</w:t>
      </w:r>
      <w:r>
        <w:rPr>
          <w:rFonts w:cs="Arial"/>
          <w:szCs w:val="22"/>
        </w:rPr>
        <w:t xml:space="preserve"> </w:t>
      </w:r>
      <w:r w:rsidRPr="00470E5D">
        <w:rPr>
          <w:rFonts w:cs="Arial"/>
          <w:szCs w:val="22"/>
        </w:rPr>
        <w:t xml:space="preserve">and </w:t>
      </w:r>
      <w:r w:rsidR="009440D8">
        <w:rPr>
          <w:rFonts w:cs="Arial"/>
          <w:szCs w:val="22"/>
        </w:rPr>
        <w:t>safeguard</w:t>
      </w:r>
      <w:r w:rsidR="00963C09">
        <w:rPr>
          <w:rFonts w:cs="Arial"/>
          <w:szCs w:val="22"/>
        </w:rPr>
        <w:t xml:space="preserve"> the</w:t>
      </w:r>
      <w:r w:rsidR="006D6973">
        <w:rPr>
          <w:rFonts w:cs="Arial"/>
          <w:szCs w:val="22"/>
        </w:rPr>
        <w:t xml:space="preserve"> rights of individuals a</w:t>
      </w:r>
      <w:r w:rsidR="008A5FA6">
        <w:rPr>
          <w:rFonts w:cs="Arial"/>
          <w:szCs w:val="22"/>
        </w:rPr>
        <w:t>nd stakeholders</w:t>
      </w:r>
      <w:r w:rsidRPr="00470E5D">
        <w:rPr>
          <w:rFonts w:cs="Arial"/>
          <w:szCs w:val="22"/>
        </w:rPr>
        <w:t>.</w:t>
      </w:r>
      <w:r w:rsidR="00E457E8">
        <w:rPr>
          <w:rFonts w:cs="Arial"/>
          <w:szCs w:val="22"/>
        </w:rPr>
        <w:t xml:space="preserve"> In alignment</w:t>
      </w:r>
      <w:r w:rsidR="002F5B08" w:rsidRPr="009170C9">
        <w:rPr>
          <w:rFonts w:cs="Arial"/>
          <w:szCs w:val="22"/>
        </w:rPr>
        <w:t xml:space="preserve"> with </w:t>
      </w:r>
      <w:r w:rsidR="00E457E8">
        <w:rPr>
          <w:rFonts w:cs="Arial"/>
          <w:szCs w:val="22"/>
        </w:rPr>
        <w:t>t</w:t>
      </w:r>
      <w:r w:rsidR="002F5B08" w:rsidRPr="009170C9">
        <w:rPr>
          <w:rFonts w:cs="Arial"/>
          <w:szCs w:val="22"/>
        </w:rPr>
        <w:t xml:space="preserve">he </w:t>
      </w:r>
      <w:r w:rsidR="002F5B08" w:rsidRPr="009170C9">
        <w:rPr>
          <w:rFonts w:cs="Arial"/>
          <w:i/>
          <w:szCs w:val="22"/>
        </w:rPr>
        <w:t>Public Records Act 2023</w:t>
      </w:r>
      <w:r w:rsidR="002F5B08" w:rsidRPr="009170C9">
        <w:rPr>
          <w:rFonts w:cs="Arial"/>
          <w:szCs w:val="22"/>
        </w:rPr>
        <w:t xml:space="preserve"> and the </w:t>
      </w:r>
      <w:r w:rsidR="00680608">
        <w:rPr>
          <w:rFonts w:cs="Arial"/>
          <w:szCs w:val="22"/>
        </w:rPr>
        <w:t>organisation’s</w:t>
      </w:r>
      <w:r w:rsidR="002F5B08" w:rsidRPr="009170C9">
        <w:rPr>
          <w:rFonts w:cs="Arial"/>
          <w:szCs w:val="22"/>
        </w:rPr>
        <w:t xml:space="preserve"> Information Management Policy</w:t>
      </w:r>
      <w:r w:rsidR="00680608">
        <w:rPr>
          <w:rFonts w:cs="Arial"/>
          <w:szCs w:val="22"/>
        </w:rPr>
        <w:t>, the QBCC</w:t>
      </w:r>
      <w:r w:rsidR="00BD4FAD">
        <w:rPr>
          <w:rFonts w:cs="Arial"/>
          <w:szCs w:val="22"/>
        </w:rPr>
        <w:t xml:space="preserve"> ensures that public records</w:t>
      </w:r>
      <w:r w:rsidR="002F5B08" w:rsidRPr="009170C9">
        <w:rPr>
          <w:rFonts w:cs="Arial"/>
          <w:szCs w:val="22"/>
        </w:rPr>
        <w:t xml:space="preserve"> </w:t>
      </w:r>
      <w:r w:rsidR="00C715BE">
        <w:rPr>
          <w:rFonts w:cs="Arial"/>
          <w:szCs w:val="22"/>
        </w:rPr>
        <w:t>are</w:t>
      </w:r>
      <w:r w:rsidR="002F5B08" w:rsidRPr="009170C9">
        <w:rPr>
          <w:rFonts w:cs="Arial"/>
          <w:szCs w:val="22"/>
        </w:rPr>
        <w:t xml:space="preserve"> capture</w:t>
      </w:r>
      <w:r w:rsidR="00C715BE">
        <w:rPr>
          <w:rFonts w:cs="Arial"/>
          <w:szCs w:val="22"/>
        </w:rPr>
        <w:t>d</w:t>
      </w:r>
      <w:r w:rsidR="002F5B08" w:rsidRPr="009170C9">
        <w:rPr>
          <w:rFonts w:cs="Arial"/>
          <w:szCs w:val="22"/>
        </w:rPr>
        <w:t>, stor</w:t>
      </w:r>
      <w:r w:rsidR="00C715BE">
        <w:rPr>
          <w:rFonts w:cs="Arial"/>
          <w:szCs w:val="22"/>
        </w:rPr>
        <w:t>ed</w:t>
      </w:r>
      <w:r w:rsidR="002F5B08" w:rsidRPr="009170C9">
        <w:rPr>
          <w:rFonts w:cs="Arial"/>
          <w:szCs w:val="22"/>
        </w:rPr>
        <w:t xml:space="preserve"> and dispos</w:t>
      </w:r>
      <w:r w:rsidR="00674A48">
        <w:rPr>
          <w:rFonts w:cs="Arial"/>
          <w:szCs w:val="22"/>
        </w:rPr>
        <w:t>ed of</w:t>
      </w:r>
      <w:r w:rsidR="002F5B08" w:rsidRPr="009170C9">
        <w:rPr>
          <w:rFonts w:cs="Arial"/>
          <w:szCs w:val="22"/>
        </w:rPr>
        <w:t xml:space="preserve"> in accordance with Queensland State Archives</w:t>
      </w:r>
      <w:r w:rsidR="00702453">
        <w:rPr>
          <w:rFonts w:cs="Arial"/>
          <w:szCs w:val="22"/>
        </w:rPr>
        <w:t xml:space="preserve"> </w:t>
      </w:r>
      <w:r w:rsidR="002F5B08" w:rsidRPr="009170C9">
        <w:rPr>
          <w:rFonts w:cs="Arial"/>
          <w:szCs w:val="22"/>
        </w:rPr>
        <w:t xml:space="preserve">approved disposal authorities. </w:t>
      </w:r>
      <w:r w:rsidR="009A46D7">
        <w:rPr>
          <w:rFonts w:cs="Arial"/>
          <w:szCs w:val="22"/>
        </w:rPr>
        <w:t>Clear r</w:t>
      </w:r>
      <w:r w:rsidR="002F5B08" w:rsidRPr="009170C9">
        <w:rPr>
          <w:rFonts w:cs="Arial"/>
          <w:szCs w:val="22"/>
        </w:rPr>
        <w:t xml:space="preserve">oles and responsibilities for </w:t>
      </w:r>
      <w:r w:rsidR="00201EFB">
        <w:rPr>
          <w:rFonts w:cs="Arial"/>
          <w:szCs w:val="22"/>
        </w:rPr>
        <w:t>records</w:t>
      </w:r>
      <w:r w:rsidR="002F5B08" w:rsidRPr="009170C9">
        <w:rPr>
          <w:rFonts w:cs="Arial"/>
          <w:szCs w:val="22"/>
        </w:rPr>
        <w:t xml:space="preserve"> management are </w:t>
      </w:r>
      <w:r w:rsidR="00201EFB">
        <w:rPr>
          <w:rFonts w:cs="Arial"/>
          <w:szCs w:val="22"/>
        </w:rPr>
        <w:t>outlined</w:t>
      </w:r>
      <w:r w:rsidR="002F5B08" w:rsidRPr="009170C9">
        <w:rPr>
          <w:rFonts w:cs="Arial"/>
          <w:szCs w:val="22"/>
        </w:rPr>
        <w:t xml:space="preserve"> in the QBCC’s Information Management Policy and Record</w:t>
      </w:r>
      <w:r w:rsidR="009F04B7">
        <w:rPr>
          <w:rFonts w:cs="Arial"/>
          <w:szCs w:val="22"/>
        </w:rPr>
        <w:t>s Management Procedure</w:t>
      </w:r>
      <w:r w:rsidR="002F5B08" w:rsidRPr="009170C9">
        <w:rPr>
          <w:rFonts w:cs="Arial"/>
          <w:szCs w:val="22"/>
        </w:rPr>
        <w:t xml:space="preserve">. </w:t>
      </w:r>
    </w:p>
    <w:p w14:paraId="571472C9" w14:textId="73154AB2" w:rsidR="00B6402E" w:rsidRPr="0072231D" w:rsidRDefault="00960AA0" w:rsidP="00793BEC">
      <w:pPr>
        <w:spacing w:before="120" w:after="120"/>
        <w:rPr>
          <w:rFonts w:cs="Arial"/>
          <w:szCs w:val="22"/>
        </w:rPr>
      </w:pPr>
      <w:r>
        <w:rPr>
          <w:rFonts w:cs="Arial"/>
          <w:szCs w:val="22"/>
        </w:rPr>
        <w:lastRenderedPageBreak/>
        <w:t xml:space="preserve">In 2024–25, the QBCC </w:t>
      </w:r>
      <w:r w:rsidR="002D640D">
        <w:rPr>
          <w:rFonts w:cs="Arial"/>
          <w:szCs w:val="22"/>
        </w:rPr>
        <w:t>completed</w:t>
      </w:r>
      <w:r>
        <w:rPr>
          <w:rFonts w:cs="Arial"/>
          <w:szCs w:val="22"/>
        </w:rPr>
        <w:t xml:space="preserve"> its annual </w:t>
      </w:r>
      <w:r w:rsidRPr="009170C9">
        <w:rPr>
          <w:rFonts w:cs="Arial"/>
          <w:szCs w:val="22"/>
        </w:rPr>
        <w:t>recordkeeping maturity assessment</w:t>
      </w:r>
      <w:r w:rsidR="00A704BC">
        <w:rPr>
          <w:rFonts w:cs="Arial"/>
          <w:szCs w:val="22"/>
        </w:rPr>
        <w:t xml:space="preserve">, demonstrating </w:t>
      </w:r>
      <w:r w:rsidR="00C821A8">
        <w:rPr>
          <w:rFonts w:cs="Arial"/>
          <w:szCs w:val="22"/>
        </w:rPr>
        <w:t>a</w:t>
      </w:r>
      <w:r w:rsidR="00A704BC">
        <w:rPr>
          <w:rFonts w:cs="Arial"/>
          <w:szCs w:val="22"/>
        </w:rPr>
        <w:t xml:space="preserve"> commitment to continuous</w:t>
      </w:r>
      <w:r w:rsidR="00026350">
        <w:rPr>
          <w:rFonts w:cs="Arial"/>
          <w:szCs w:val="22"/>
        </w:rPr>
        <w:t xml:space="preserve"> improvement and alignment </w:t>
      </w:r>
      <w:r w:rsidR="00820300">
        <w:rPr>
          <w:rFonts w:cs="Arial"/>
          <w:szCs w:val="22"/>
        </w:rPr>
        <w:t>with</w:t>
      </w:r>
      <w:r w:rsidRPr="009170C9">
        <w:rPr>
          <w:rFonts w:cs="Arial"/>
          <w:szCs w:val="22"/>
        </w:rPr>
        <w:t xml:space="preserve"> Queensland State Archives</w:t>
      </w:r>
      <w:r w:rsidR="00B42303">
        <w:rPr>
          <w:rFonts w:cs="Arial"/>
          <w:szCs w:val="22"/>
        </w:rPr>
        <w:t>’ recommendations</w:t>
      </w:r>
      <w:r w:rsidRPr="009170C9">
        <w:rPr>
          <w:rFonts w:cs="Arial"/>
          <w:szCs w:val="22"/>
        </w:rPr>
        <w:t>.</w:t>
      </w:r>
      <w:r>
        <w:rPr>
          <w:rFonts w:cs="Arial"/>
          <w:szCs w:val="22"/>
        </w:rPr>
        <w:t xml:space="preserve"> </w:t>
      </w:r>
      <w:r w:rsidR="00412F5E">
        <w:rPr>
          <w:rFonts w:cs="Arial"/>
          <w:szCs w:val="22"/>
        </w:rPr>
        <w:t>To</w:t>
      </w:r>
      <w:r w:rsidR="001A0A70">
        <w:rPr>
          <w:rFonts w:cs="Arial"/>
          <w:szCs w:val="22"/>
        </w:rPr>
        <w:t xml:space="preserve"> strengthen organisational capability</w:t>
      </w:r>
      <w:r w:rsidR="00412F5E">
        <w:rPr>
          <w:rFonts w:cs="Arial"/>
          <w:szCs w:val="22"/>
        </w:rPr>
        <w:t>,</w:t>
      </w:r>
      <w:r w:rsidR="003F0F06">
        <w:rPr>
          <w:rFonts w:cs="Arial"/>
          <w:szCs w:val="22"/>
        </w:rPr>
        <w:t xml:space="preserve"> the QBCC delivered</w:t>
      </w:r>
      <w:r>
        <w:rPr>
          <w:rFonts w:cs="Arial"/>
          <w:szCs w:val="22"/>
        </w:rPr>
        <w:t xml:space="preserve"> m</w:t>
      </w:r>
      <w:r w:rsidR="002F5B08" w:rsidRPr="009170C9">
        <w:rPr>
          <w:rFonts w:cs="Arial"/>
          <w:szCs w:val="22"/>
        </w:rPr>
        <w:t>andatory record</w:t>
      </w:r>
      <w:r w:rsidR="003E13F8">
        <w:rPr>
          <w:rFonts w:cs="Arial"/>
          <w:szCs w:val="22"/>
        </w:rPr>
        <w:t>s management</w:t>
      </w:r>
      <w:r w:rsidR="002F5B08" w:rsidRPr="009170C9">
        <w:rPr>
          <w:rFonts w:cs="Arial"/>
          <w:szCs w:val="22"/>
        </w:rPr>
        <w:t xml:space="preserve"> training </w:t>
      </w:r>
      <w:r w:rsidR="003E13F8">
        <w:rPr>
          <w:rFonts w:cs="Arial"/>
          <w:szCs w:val="22"/>
        </w:rPr>
        <w:t>to all</w:t>
      </w:r>
      <w:r w:rsidR="002F5B08" w:rsidRPr="009170C9">
        <w:rPr>
          <w:rFonts w:cs="Arial"/>
          <w:szCs w:val="22"/>
        </w:rPr>
        <w:t xml:space="preserve"> new employees</w:t>
      </w:r>
      <w:r w:rsidR="003E13F8">
        <w:rPr>
          <w:rFonts w:cs="Arial"/>
          <w:szCs w:val="22"/>
        </w:rPr>
        <w:t xml:space="preserve"> as part of </w:t>
      </w:r>
      <w:r w:rsidR="00894B12">
        <w:rPr>
          <w:rFonts w:cs="Arial"/>
          <w:szCs w:val="22"/>
        </w:rPr>
        <w:t xml:space="preserve">their </w:t>
      </w:r>
      <w:r w:rsidR="003E13F8">
        <w:rPr>
          <w:rFonts w:cs="Arial"/>
          <w:szCs w:val="22"/>
        </w:rPr>
        <w:t>induction</w:t>
      </w:r>
      <w:r w:rsidR="002142D9">
        <w:rPr>
          <w:rFonts w:cs="Arial"/>
          <w:szCs w:val="22"/>
        </w:rPr>
        <w:t xml:space="preserve">. </w:t>
      </w:r>
      <w:r w:rsidR="002142D9" w:rsidRPr="002142D9">
        <w:rPr>
          <w:rFonts w:cs="Arial"/>
          <w:szCs w:val="22"/>
        </w:rPr>
        <w:t>Ongoing compliance is maintained through online refresher training conducted every three years.</w:t>
      </w:r>
      <w:r w:rsidR="002142D9">
        <w:rPr>
          <w:rFonts w:cs="Arial"/>
          <w:szCs w:val="22"/>
        </w:rPr>
        <w:t xml:space="preserve"> </w:t>
      </w:r>
      <w:r w:rsidR="007320BD">
        <w:rPr>
          <w:rFonts w:cs="Arial"/>
          <w:szCs w:val="22"/>
        </w:rPr>
        <w:t>Specialist training sessions were also provided</w:t>
      </w:r>
      <w:r w:rsidR="002903D7">
        <w:rPr>
          <w:rFonts w:cs="Arial"/>
          <w:szCs w:val="22"/>
        </w:rPr>
        <w:t xml:space="preserve"> where needed</w:t>
      </w:r>
      <w:r w:rsidR="008271EA">
        <w:rPr>
          <w:rFonts w:cs="Arial"/>
          <w:szCs w:val="22"/>
        </w:rPr>
        <w:t xml:space="preserve"> to</w:t>
      </w:r>
      <w:r w:rsidR="00854ABD">
        <w:rPr>
          <w:rFonts w:cs="Arial"/>
          <w:szCs w:val="22"/>
        </w:rPr>
        <w:t xml:space="preserve"> </w:t>
      </w:r>
      <w:r w:rsidR="00854ABD" w:rsidRPr="00854ABD">
        <w:rPr>
          <w:rFonts w:cs="Arial"/>
          <w:szCs w:val="22"/>
        </w:rPr>
        <w:t>reinforc</w:t>
      </w:r>
      <w:r w:rsidR="008271EA">
        <w:rPr>
          <w:rFonts w:cs="Arial"/>
          <w:szCs w:val="22"/>
        </w:rPr>
        <w:t>e</w:t>
      </w:r>
      <w:r w:rsidR="00854ABD" w:rsidRPr="00854ABD">
        <w:rPr>
          <w:rFonts w:cs="Arial"/>
          <w:szCs w:val="22"/>
        </w:rPr>
        <w:t xml:space="preserve"> best practices and ensur</w:t>
      </w:r>
      <w:r w:rsidR="00E50E96">
        <w:rPr>
          <w:rFonts w:cs="Arial"/>
          <w:szCs w:val="22"/>
        </w:rPr>
        <w:t>e</w:t>
      </w:r>
      <w:r w:rsidR="00854ABD" w:rsidRPr="00854ABD">
        <w:rPr>
          <w:rFonts w:cs="Arial"/>
          <w:szCs w:val="22"/>
        </w:rPr>
        <w:t xml:space="preserve"> staff understand their obligations in managing public records responsibly.</w:t>
      </w:r>
      <w:r w:rsidR="002903D7">
        <w:rPr>
          <w:rFonts w:cs="Arial"/>
          <w:szCs w:val="22"/>
        </w:rPr>
        <w:t xml:space="preserve"> </w:t>
      </w:r>
      <w:r w:rsidR="002F5B08" w:rsidRPr="009170C9">
        <w:rPr>
          <w:rFonts w:cs="Arial"/>
          <w:szCs w:val="22"/>
        </w:rPr>
        <w:t xml:space="preserve"> </w:t>
      </w:r>
    </w:p>
    <w:p w14:paraId="08515B69" w14:textId="77777777" w:rsidR="00B90F95" w:rsidRPr="003E0C3C" w:rsidRDefault="00B90F95" w:rsidP="00D850B1">
      <w:pPr>
        <w:pStyle w:val="Heading3"/>
        <w:rPr>
          <w:rFonts w:cs="Arial"/>
        </w:rPr>
      </w:pPr>
      <w:bookmarkStart w:id="286" w:name="_Digital_improvement_initiatives"/>
      <w:bookmarkEnd w:id="286"/>
      <w:r w:rsidRPr="003E0C3C">
        <w:t>Digital Services Business Case</w:t>
      </w:r>
      <w:r>
        <w:t xml:space="preserve">  </w:t>
      </w:r>
    </w:p>
    <w:p w14:paraId="0124974F" w14:textId="42E05698" w:rsidR="00B90F95" w:rsidRPr="00793BEC" w:rsidRDefault="00B90F95" w:rsidP="00D850B1">
      <w:pPr>
        <w:spacing w:before="120" w:after="120"/>
        <w:rPr>
          <w:rFonts w:cs="Arial"/>
        </w:rPr>
      </w:pPr>
      <w:r w:rsidRPr="00373971">
        <w:rPr>
          <w:rFonts w:cs="Arial"/>
        </w:rPr>
        <w:t xml:space="preserve">The Governance Review </w:t>
      </w:r>
      <w:r>
        <w:rPr>
          <w:rFonts w:cs="Arial"/>
        </w:rPr>
        <w:t>2022 r</w:t>
      </w:r>
      <w:r w:rsidRPr="00373971">
        <w:rPr>
          <w:rFonts w:cs="Arial"/>
        </w:rPr>
        <w:t>ecommend</w:t>
      </w:r>
      <w:r>
        <w:rPr>
          <w:rFonts w:cs="Arial"/>
        </w:rPr>
        <w:t>ed that the QBCC</w:t>
      </w:r>
      <w:r w:rsidRPr="00373971">
        <w:rPr>
          <w:rFonts w:cs="Arial"/>
        </w:rPr>
        <w:t xml:space="preserve"> </w:t>
      </w:r>
      <w:r>
        <w:rPr>
          <w:rFonts w:cs="Arial"/>
        </w:rPr>
        <w:t>‘</w:t>
      </w:r>
      <w:r w:rsidRPr="00132FEC">
        <w:rPr>
          <w:rFonts w:cs="Arial"/>
          <w:i/>
        </w:rPr>
        <w:t>Replace the existing IT systems with fit-for-purpose systems that align with the QBCC functions and reporting framework</w:t>
      </w:r>
      <w:r>
        <w:rPr>
          <w:rFonts w:cs="Arial"/>
        </w:rPr>
        <w:t xml:space="preserve">’. </w:t>
      </w:r>
      <w:r w:rsidRPr="00373971">
        <w:rPr>
          <w:rFonts w:cs="Arial"/>
        </w:rPr>
        <w:t xml:space="preserve">In response, the QBCC developed a Digital Services Business Case </w:t>
      </w:r>
      <w:r>
        <w:rPr>
          <w:rFonts w:cs="Arial"/>
        </w:rPr>
        <w:t xml:space="preserve">to guide the organisation’s transformation </w:t>
      </w:r>
      <w:r w:rsidRPr="00373971">
        <w:rPr>
          <w:rFonts w:cs="Arial"/>
        </w:rPr>
        <w:t>into a</w:t>
      </w:r>
      <w:r>
        <w:rPr>
          <w:rFonts w:cs="Arial"/>
        </w:rPr>
        <w:t xml:space="preserve"> more</w:t>
      </w:r>
      <w:r w:rsidRPr="00373971">
        <w:rPr>
          <w:rFonts w:cs="Arial"/>
        </w:rPr>
        <w:t xml:space="preserve"> efficient</w:t>
      </w:r>
      <w:r>
        <w:rPr>
          <w:rFonts w:cs="Arial"/>
        </w:rPr>
        <w:t xml:space="preserve">, </w:t>
      </w:r>
      <w:r w:rsidRPr="00373971">
        <w:rPr>
          <w:rFonts w:cs="Arial"/>
        </w:rPr>
        <w:t>outcomes-focused</w:t>
      </w:r>
      <w:r>
        <w:rPr>
          <w:rFonts w:cs="Arial"/>
        </w:rPr>
        <w:t xml:space="preserve"> and</w:t>
      </w:r>
      <w:r w:rsidRPr="00373971">
        <w:rPr>
          <w:rFonts w:cs="Arial"/>
        </w:rPr>
        <w:t xml:space="preserve"> insight-driven regulator</w:t>
      </w:r>
      <w:r>
        <w:rPr>
          <w:rFonts w:cs="Arial"/>
        </w:rPr>
        <w:t>.</w:t>
      </w:r>
      <w:r w:rsidRPr="00373971">
        <w:rPr>
          <w:rFonts w:cs="Arial"/>
        </w:rPr>
        <w:t xml:space="preserve"> </w:t>
      </w:r>
    </w:p>
    <w:p w14:paraId="73CD57FC" w14:textId="3366E042" w:rsidR="00B90F95" w:rsidRPr="00373971" w:rsidRDefault="00B90F95" w:rsidP="00B90F95">
      <w:pPr>
        <w:spacing w:before="120" w:after="120"/>
        <w:rPr>
          <w:rFonts w:cs="Arial"/>
        </w:rPr>
      </w:pPr>
      <w:r>
        <w:rPr>
          <w:rFonts w:cs="Arial"/>
        </w:rPr>
        <w:t>The</w:t>
      </w:r>
      <w:r w:rsidRPr="00373971">
        <w:rPr>
          <w:rFonts w:cs="Arial"/>
        </w:rPr>
        <w:t xml:space="preserve"> </w:t>
      </w:r>
      <w:r>
        <w:rPr>
          <w:rFonts w:cs="Arial"/>
        </w:rPr>
        <w:t xml:space="preserve">business case identified a range of </w:t>
      </w:r>
      <w:r w:rsidRPr="00373971">
        <w:rPr>
          <w:rFonts w:cs="Arial"/>
        </w:rPr>
        <w:t>benefits and opportunities</w:t>
      </w:r>
      <w:r>
        <w:rPr>
          <w:rFonts w:cs="Arial"/>
        </w:rPr>
        <w:t>, including</w:t>
      </w:r>
      <w:r w:rsidRPr="00373971">
        <w:rPr>
          <w:rFonts w:cs="Arial"/>
        </w:rPr>
        <w:t>:</w:t>
      </w:r>
    </w:p>
    <w:p w14:paraId="27B557C9" w14:textId="3FDF60E7" w:rsidR="00B90F95" w:rsidRPr="00373971" w:rsidRDefault="00EA2983" w:rsidP="00BD69F7">
      <w:pPr>
        <w:pStyle w:val="ListParagraph"/>
        <w:numPr>
          <w:ilvl w:val="0"/>
          <w:numId w:val="7"/>
        </w:numPr>
        <w:spacing w:before="120" w:after="120"/>
        <w:ind w:left="714" w:hanging="357"/>
        <w:contextualSpacing w:val="0"/>
        <w:rPr>
          <w:rFonts w:cs="Arial"/>
        </w:rPr>
      </w:pPr>
      <w:r>
        <w:rPr>
          <w:rFonts w:cs="Arial"/>
        </w:rPr>
        <w:t>i</w:t>
      </w:r>
      <w:r w:rsidR="00B90F95">
        <w:rPr>
          <w:rFonts w:cs="Arial"/>
        </w:rPr>
        <w:t xml:space="preserve">mproved </w:t>
      </w:r>
      <w:r w:rsidR="00B90F95" w:rsidRPr="00373971">
        <w:rPr>
          <w:rFonts w:cs="Arial"/>
        </w:rPr>
        <w:t>customer</w:t>
      </w:r>
      <w:r w:rsidR="00B90F95">
        <w:rPr>
          <w:rFonts w:cs="Arial"/>
        </w:rPr>
        <w:t xml:space="preserve"> experience through </w:t>
      </w:r>
      <w:r w:rsidR="00B90F95" w:rsidRPr="00373971">
        <w:rPr>
          <w:rFonts w:cs="Arial"/>
        </w:rPr>
        <w:t xml:space="preserve">services </w:t>
      </w:r>
      <w:r w:rsidR="00B90F95">
        <w:rPr>
          <w:rFonts w:cs="Arial"/>
        </w:rPr>
        <w:t>that are easier</w:t>
      </w:r>
      <w:r w:rsidR="00B90F95" w:rsidRPr="00373971">
        <w:rPr>
          <w:rFonts w:cs="Arial"/>
        </w:rPr>
        <w:t xml:space="preserve"> to use and comply with, </w:t>
      </w:r>
      <w:r w:rsidR="00B90F95">
        <w:rPr>
          <w:rFonts w:cs="Arial"/>
        </w:rPr>
        <w:t>leading to better time management</w:t>
      </w:r>
      <w:r w:rsidR="00B90F95" w:rsidRPr="00373971">
        <w:rPr>
          <w:rFonts w:cs="Arial"/>
        </w:rPr>
        <w:t>, increased satisfaction and higher compliance rates</w:t>
      </w:r>
    </w:p>
    <w:p w14:paraId="72F574FC" w14:textId="367CE8D9" w:rsidR="00B90F95" w:rsidRPr="00373971" w:rsidRDefault="00EA2983" w:rsidP="00BD69F7">
      <w:pPr>
        <w:pStyle w:val="ListParagraph"/>
        <w:numPr>
          <w:ilvl w:val="0"/>
          <w:numId w:val="7"/>
        </w:numPr>
        <w:spacing w:before="120" w:after="120"/>
        <w:ind w:left="714" w:hanging="357"/>
        <w:contextualSpacing w:val="0"/>
        <w:rPr>
          <w:rFonts w:cs="Arial"/>
        </w:rPr>
      </w:pPr>
      <w:r>
        <w:rPr>
          <w:rFonts w:cs="Arial"/>
        </w:rPr>
        <w:t>e</w:t>
      </w:r>
      <w:r w:rsidR="00B90F95">
        <w:rPr>
          <w:rFonts w:cs="Arial"/>
        </w:rPr>
        <w:t>nhanced decision making enabled by access to high-quality, trusted data that supports better targeting of services</w:t>
      </w:r>
    </w:p>
    <w:p w14:paraId="4D95E5E0" w14:textId="4E34E30D" w:rsidR="00B90F95" w:rsidRPr="00373971" w:rsidRDefault="00EA2983" w:rsidP="00BD69F7">
      <w:pPr>
        <w:pStyle w:val="ListParagraph"/>
        <w:numPr>
          <w:ilvl w:val="0"/>
          <w:numId w:val="7"/>
        </w:numPr>
        <w:spacing w:before="120" w:after="120"/>
        <w:ind w:left="714" w:hanging="357"/>
        <w:contextualSpacing w:val="0"/>
        <w:rPr>
          <w:rFonts w:cs="Arial"/>
        </w:rPr>
      </w:pPr>
      <w:r>
        <w:rPr>
          <w:rFonts w:cs="Arial"/>
        </w:rPr>
        <w:t>g</w:t>
      </w:r>
      <w:r w:rsidR="00B90F95">
        <w:rPr>
          <w:rFonts w:cs="Arial"/>
        </w:rPr>
        <w:t xml:space="preserve">reater operational efficiency through </w:t>
      </w:r>
      <w:r w:rsidR="00B90F95" w:rsidRPr="00373971">
        <w:rPr>
          <w:rFonts w:cs="Arial"/>
        </w:rPr>
        <w:t>automation</w:t>
      </w:r>
      <w:r w:rsidR="00B90F95">
        <w:rPr>
          <w:rFonts w:cs="Arial"/>
        </w:rPr>
        <w:t xml:space="preserve"> and more convenient digital channels for service delivery</w:t>
      </w:r>
    </w:p>
    <w:p w14:paraId="0AA0A5CF" w14:textId="349999C2" w:rsidR="00B90F95" w:rsidRPr="00373971" w:rsidRDefault="00EA2983" w:rsidP="00BD69F7">
      <w:pPr>
        <w:pStyle w:val="ListParagraph"/>
        <w:numPr>
          <w:ilvl w:val="0"/>
          <w:numId w:val="7"/>
        </w:numPr>
        <w:spacing w:before="120" w:after="120"/>
        <w:ind w:left="714" w:hanging="357"/>
        <w:contextualSpacing w:val="0"/>
        <w:rPr>
          <w:rFonts w:cs="Arial"/>
        </w:rPr>
      </w:pPr>
      <w:r>
        <w:rPr>
          <w:rFonts w:cs="Arial"/>
        </w:rPr>
        <w:t>a</w:t>
      </w:r>
      <w:r w:rsidR="00B90F95">
        <w:rPr>
          <w:rFonts w:cs="Arial"/>
        </w:rPr>
        <w:t xml:space="preserve"> more engaged and capable workforce, with improved</w:t>
      </w:r>
      <w:r w:rsidR="00B90F95" w:rsidRPr="00373971">
        <w:rPr>
          <w:rFonts w:cs="Arial"/>
        </w:rPr>
        <w:t xml:space="preserve"> motivation</w:t>
      </w:r>
      <w:r w:rsidR="00B90F95">
        <w:rPr>
          <w:rFonts w:cs="Arial"/>
        </w:rPr>
        <w:t>, skill development</w:t>
      </w:r>
      <w:r w:rsidR="00B90F95" w:rsidRPr="00373971">
        <w:rPr>
          <w:rFonts w:cs="Arial"/>
        </w:rPr>
        <w:t xml:space="preserve"> and </w:t>
      </w:r>
      <w:r w:rsidR="00B90F95">
        <w:rPr>
          <w:rFonts w:cs="Arial"/>
        </w:rPr>
        <w:t>staff</w:t>
      </w:r>
      <w:r w:rsidR="00B90F95" w:rsidRPr="00373971">
        <w:rPr>
          <w:rFonts w:cs="Arial"/>
        </w:rPr>
        <w:t xml:space="preserve"> </w:t>
      </w:r>
      <w:r w:rsidR="00B90F95">
        <w:rPr>
          <w:rFonts w:cs="Arial"/>
        </w:rPr>
        <w:t>retention</w:t>
      </w:r>
    </w:p>
    <w:p w14:paraId="5005AB19" w14:textId="0A96A15D" w:rsidR="00B90F95" w:rsidRPr="00373971" w:rsidRDefault="00EA2983" w:rsidP="00BD69F7">
      <w:pPr>
        <w:pStyle w:val="ListParagraph"/>
        <w:numPr>
          <w:ilvl w:val="0"/>
          <w:numId w:val="7"/>
        </w:numPr>
        <w:spacing w:before="120" w:after="120"/>
        <w:ind w:left="714" w:hanging="357"/>
        <w:contextualSpacing w:val="0"/>
        <w:rPr>
          <w:rFonts w:cs="Arial"/>
        </w:rPr>
      </w:pPr>
      <w:r>
        <w:rPr>
          <w:rFonts w:cs="Arial"/>
        </w:rPr>
        <w:t>i</w:t>
      </w:r>
      <w:r w:rsidR="00B90F95" w:rsidRPr="00373971">
        <w:rPr>
          <w:rFonts w:cs="Arial"/>
        </w:rPr>
        <w:t xml:space="preserve">ncreased </w:t>
      </w:r>
      <w:r w:rsidR="00B90F95">
        <w:rPr>
          <w:rFonts w:cs="Arial"/>
        </w:rPr>
        <w:t>responsiveness</w:t>
      </w:r>
      <w:r w:rsidR="00B90F95" w:rsidRPr="00373971">
        <w:rPr>
          <w:rFonts w:cs="Arial"/>
        </w:rPr>
        <w:t xml:space="preserve"> to customer </w:t>
      </w:r>
      <w:r w:rsidR="00B90F95">
        <w:rPr>
          <w:rFonts w:cs="Arial"/>
        </w:rPr>
        <w:t>needs</w:t>
      </w:r>
      <w:r w:rsidR="00B90F95" w:rsidRPr="00373971">
        <w:rPr>
          <w:rFonts w:cs="Arial"/>
        </w:rPr>
        <w:t xml:space="preserve"> through integrated digital platforms, </w:t>
      </w:r>
      <w:r w:rsidR="00B90F95">
        <w:rPr>
          <w:rFonts w:cs="Arial"/>
        </w:rPr>
        <w:t>reducing</w:t>
      </w:r>
      <w:r w:rsidR="00B90F95" w:rsidRPr="00373971">
        <w:rPr>
          <w:rFonts w:cs="Arial"/>
        </w:rPr>
        <w:t xml:space="preserve"> risks</w:t>
      </w:r>
      <w:r w:rsidR="00B90F95">
        <w:rPr>
          <w:rFonts w:cs="Arial"/>
        </w:rPr>
        <w:t xml:space="preserve"> to information technology</w:t>
      </w:r>
    </w:p>
    <w:p w14:paraId="0481C111" w14:textId="6F91C33F" w:rsidR="00B90F95" w:rsidRPr="00793BEC" w:rsidRDefault="00EA2983" w:rsidP="00BD69F7">
      <w:pPr>
        <w:pStyle w:val="ListParagraph"/>
        <w:numPr>
          <w:ilvl w:val="0"/>
          <w:numId w:val="7"/>
        </w:numPr>
        <w:spacing w:before="120" w:after="120"/>
        <w:ind w:left="714" w:hanging="357"/>
        <w:rPr>
          <w:rFonts w:cs="Arial"/>
        </w:rPr>
      </w:pPr>
      <w:r>
        <w:rPr>
          <w:rFonts w:cs="Arial"/>
        </w:rPr>
        <w:t>a</w:t>
      </w:r>
      <w:r w:rsidR="00B90F95">
        <w:rPr>
          <w:rFonts w:cs="Arial"/>
        </w:rPr>
        <w:t>ccelerated</w:t>
      </w:r>
      <w:r w:rsidR="00B90F95" w:rsidRPr="00373971">
        <w:rPr>
          <w:rFonts w:cs="Arial"/>
        </w:rPr>
        <w:t xml:space="preserve"> innovation through a culture of continuous </w:t>
      </w:r>
      <w:r w:rsidR="00B90F95">
        <w:rPr>
          <w:rFonts w:cs="Arial"/>
        </w:rPr>
        <w:t>improvement</w:t>
      </w:r>
      <w:r w:rsidR="00B90F95" w:rsidRPr="00373971">
        <w:rPr>
          <w:rFonts w:cs="Arial"/>
        </w:rPr>
        <w:t xml:space="preserve"> and faster delivery</w:t>
      </w:r>
      <w:r w:rsidR="00B90F95">
        <w:rPr>
          <w:rFonts w:cs="Arial"/>
        </w:rPr>
        <w:t xml:space="preserve"> of services</w:t>
      </w:r>
      <w:r w:rsidR="00B90F95" w:rsidRPr="00373971">
        <w:rPr>
          <w:rFonts w:cs="Arial"/>
        </w:rPr>
        <w:t xml:space="preserve">. </w:t>
      </w:r>
    </w:p>
    <w:p w14:paraId="7F8D3FBE" w14:textId="2E7DD25F" w:rsidR="00B90F95" w:rsidRPr="003E0C3C" w:rsidRDefault="00B90F95" w:rsidP="00D850B1">
      <w:pPr>
        <w:pStyle w:val="Heading3"/>
        <w:rPr>
          <w:rFonts w:cs="Arial"/>
        </w:rPr>
      </w:pPr>
      <w:r>
        <w:t>Technology</w:t>
      </w:r>
      <w:r w:rsidRPr="003E0C3C">
        <w:t xml:space="preserve"> Strategy</w:t>
      </w:r>
      <w:r>
        <w:t xml:space="preserve"> 2025–</w:t>
      </w:r>
      <w:r w:rsidR="001B01C4">
        <w:t>20</w:t>
      </w:r>
      <w:r>
        <w:t xml:space="preserve">27  </w:t>
      </w:r>
    </w:p>
    <w:p w14:paraId="0DA5E458" w14:textId="4FC416F7" w:rsidR="00B90F95" w:rsidRDefault="00B90F95" w:rsidP="00B90F95">
      <w:pPr>
        <w:spacing w:before="120" w:after="120"/>
      </w:pPr>
      <w:r>
        <w:t>In 2024–25, t</w:t>
      </w:r>
      <w:r w:rsidRPr="00680E49">
        <w:t xml:space="preserve">he QBCC </w:t>
      </w:r>
      <w:r>
        <w:t>progressed the development of its</w:t>
      </w:r>
      <w:r w:rsidRPr="00680E49">
        <w:t xml:space="preserve"> </w:t>
      </w:r>
      <w:r w:rsidR="00847C4E" w:rsidRPr="00847C4E">
        <w:t>Technology Strategy 2025–</w:t>
      </w:r>
      <w:r w:rsidR="00E24029">
        <w:t>20</w:t>
      </w:r>
      <w:r w:rsidR="00847C4E" w:rsidRPr="00847C4E">
        <w:t xml:space="preserve">27 </w:t>
      </w:r>
      <w:r w:rsidR="00847C4E">
        <w:t>(</w:t>
      </w:r>
      <w:r>
        <w:t>Technology Strategy</w:t>
      </w:r>
      <w:r w:rsidR="00847C4E">
        <w:t>)</w:t>
      </w:r>
      <w:r>
        <w:t>, building on the foundations established by the previous Digital Strategy 2022–</w:t>
      </w:r>
      <w:r w:rsidR="00E24029">
        <w:t>20</w:t>
      </w:r>
      <w:r>
        <w:t>25. The updated Technology Strategy</w:t>
      </w:r>
      <w:r w:rsidRPr="00680E49">
        <w:t xml:space="preserve"> </w:t>
      </w:r>
      <w:r>
        <w:t>outlines a</w:t>
      </w:r>
      <w:r w:rsidRPr="00680E49">
        <w:t xml:space="preserve"> </w:t>
      </w:r>
      <w:r>
        <w:t>clear and forward-focused r</w:t>
      </w:r>
      <w:r w:rsidRPr="00680E49">
        <w:t xml:space="preserve">oadmap </w:t>
      </w:r>
      <w:r>
        <w:t>to support the QBCC’s</w:t>
      </w:r>
      <w:r w:rsidRPr="00680E49">
        <w:t xml:space="preserve"> </w:t>
      </w:r>
      <w:r>
        <w:t xml:space="preserve">continued </w:t>
      </w:r>
      <w:r w:rsidRPr="00680E49">
        <w:t>digital transformation</w:t>
      </w:r>
      <w:r>
        <w:t xml:space="preserve">. Since the launch of the original strategy </w:t>
      </w:r>
      <w:r w:rsidRPr="00680E49">
        <w:t xml:space="preserve">in </w:t>
      </w:r>
      <w:r>
        <w:t xml:space="preserve">October </w:t>
      </w:r>
      <w:r w:rsidRPr="00680E49">
        <w:t>2022</w:t>
      </w:r>
      <w:r>
        <w:t>, the QBCC has achieved major milestones, including the decommissioning of m</w:t>
      </w:r>
      <w:r w:rsidRPr="00680E49">
        <w:t xml:space="preserve">ost legacy </w:t>
      </w:r>
      <w:r>
        <w:t>systems</w:t>
      </w:r>
      <w:r w:rsidR="00625819">
        <w:t xml:space="preserve">, </w:t>
      </w:r>
      <w:r>
        <w:t xml:space="preserve">resulting in more streamlined </w:t>
      </w:r>
      <w:r w:rsidRPr="00680E49">
        <w:t xml:space="preserve">regulatory and corporate </w:t>
      </w:r>
      <w:r>
        <w:t>operations</w:t>
      </w:r>
      <w:r w:rsidRPr="00680E49">
        <w:t xml:space="preserve">. </w:t>
      </w:r>
    </w:p>
    <w:p w14:paraId="3035B4AC" w14:textId="3A610B17" w:rsidR="00B90F95" w:rsidRPr="00680E49" w:rsidRDefault="00B90F95" w:rsidP="00B90F95">
      <w:pPr>
        <w:spacing w:before="120" w:after="120"/>
      </w:pPr>
      <w:r>
        <w:t>The</w:t>
      </w:r>
      <w:r w:rsidRPr="00680E49">
        <w:t xml:space="preserve"> </w:t>
      </w:r>
      <w:r>
        <w:t>Technology S</w:t>
      </w:r>
      <w:r w:rsidRPr="00680E49">
        <w:t xml:space="preserve">trategy </w:t>
      </w:r>
      <w:r>
        <w:t>brings renewed focus to three key strategic technology priorities:</w:t>
      </w:r>
    </w:p>
    <w:p w14:paraId="176106E0" w14:textId="5E9C8374" w:rsidR="00B90F95" w:rsidRPr="00501A8B" w:rsidRDefault="00B90F95" w:rsidP="00BD69F7">
      <w:pPr>
        <w:numPr>
          <w:ilvl w:val="0"/>
          <w:numId w:val="56"/>
        </w:numPr>
        <w:spacing w:before="120" w:after="120"/>
      </w:pPr>
      <w:r w:rsidRPr="00501A8B">
        <w:rPr>
          <w:b/>
          <w:bCs/>
        </w:rPr>
        <w:t xml:space="preserve">Digital </w:t>
      </w:r>
      <w:r>
        <w:rPr>
          <w:b/>
          <w:bCs/>
        </w:rPr>
        <w:t>l</w:t>
      </w:r>
      <w:r w:rsidRPr="00501A8B">
        <w:rPr>
          <w:b/>
          <w:bCs/>
        </w:rPr>
        <w:t xml:space="preserve">icensing and </w:t>
      </w:r>
      <w:r>
        <w:rPr>
          <w:b/>
          <w:bCs/>
        </w:rPr>
        <w:t>o</w:t>
      </w:r>
      <w:r w:rsidRPr="00501A8B">
        <w:rPr>
          <w:b/>
          <w:bCs/>
        </w:rPr>
        <w:t xml:space="preserve">nline </w:t>
      </w:r>
      <w:r>
        <w:rPr>
          <w:b/>
          <w:bCs/>
        </w:rPr>
        <w:t>s</w:t>
      </w:r>
      <w:r w:rsidRPr="00501A8B">
        <w:rPr>
          <w:b/>
          <w:bCs/>
        </w:rPr>
        <w:t>ervices</w:t>
      </w:r>
      <w:r>
        <w:rPr>
          <w:b/>
          <w:bCs/>
        </w:rPr>
        <w:t>:</w:t>
      </w:r>
      <w:r w:rsidRPr="00501A8B">
        <w:t xml:space="preserve"> </w:t>
      </w:r>
      <w:r>
        <w:t>D</w:t>
      </w:r>
      <w:r w:rsidRPr="00501A8B">
        <w:t>elivering modern user-friendly</w:t>
      </w:r>
      <w:r>
        <w:t xml:space="preserve"> platforms </w:t>
      </w:r>
      <w:r w:rsidRPr="00501A8B">
        <w:t>and online forms</w:t>
      </w:r>
      <w:r>
        <w:t xml:space="preserve"> to improve customer access and experience.</w:t>
      </w:r>
    </w:p>
    <w:p w14:paraId="0051716E" w14:textId="38108DF8" w:rsidR="00B90F95" w:rsidRPr="00501A8B" w:rsidRDefault="00B90F95" w:rsidP="00BD69F7">
      <w:pPr>
        <w:numPr>
          <w:ilvl w:val="0"/>
          <w:numId w:val="56"/>
        </w:numPr>
        <w:spacing w:before="120" w:after="120"/>
      </w:pPr>
      <w:r w:rsidRPr="00501A8B">
        <w:rPr>
          <w:b/>
          <w:bCs/>
        </w:rPr>
        <w:t xml:space="preserve">Security and </w:t>
      </w:r>
      <w:r>
        <w:rPr>
          <w:b/>
          <w:bCs/>
        </w:rPr>
        <w:t>r</w:t>
      </w:r>
      <w:r w:rsidRPr="00501A8B">
        <w:rPr>
          <w:b/>
          <w:bCs/>
        </w:rPr>
        <w:t>esilience</w:t>
      </w:r>
      <w:r>
        <w:rPr>
          <w:b/>
          <w:bCs/>
        </w:rPr>
        <w:t>:</w:t>
      </w:r>
      <w:r w:rsidRPr="00501A8B">
        <w:t xml:space="preserve"> </w:t>
      </w:r>
      <w:r>
        <w:t xml:space="preserve">Maintaining secure and </w:t>
      </w:r>
      <w:r w:rsidRPr="00501A8B">
        <w:t xml:space="preserve">reliable </w:t>
      </w:r>
      <w:r>
        <w:t xml:space="preserve">systems that support </w:t>
      </w:r>
      <w:r w:rsidRPr="00501A8B">
        <w:t>business continuity</w:t>
      </w:r>
      <w:r>
        <w:t xml:space="preserve"> and protect critical information.</w:t>
      </w:r>
    </w:p>
    <w:p w14:paraId="12A23C1A" w14:textId="78354444" w:rsidR="00B90F95" w:rsidRPr="0072231D" w:rsidRDefault="00B90F95" w:rsidP="00BD69F7">
      <w:pPr>
        <w:numPr>
          <w:ilvl w:val="0"/>
          <w:numId w:val="56"/>
        </w:numPr>
        <w:spacing w:before="120" w:after="120"/>
        <w:rPr>
          <w:rFonts w:cs="Arial"/>
          <w:szCs w:val="22"/>
        </w:rPr>
      </w:pPr>
      <w:r w:rsidRPr="00501A8B">
        <w:rPr>
          <w:b/>
          <w:bCs/>
        </w:rPr>
        <w:t xml:space="preserve">Business </w:t>
      </w:r>
      <w:r>
        <w:rPr>
          <w:b/>
          <w:bCs/>
        </w:rPr>
        <w:t>c</w:t>
      </w:r>
      <w:r w:rsidRPr="00501A8B">
        <w:rPr>
          <w:b/>
          <w:bCs/>
        </w:rPr>
        <w:t xml:space="preserve">apability </w:t>
      </w:r>
      <w:r>
        <w:rPr>
          <w:b/>
          <w:bCs/>
        </w:rPr>
        <w:t>u</w:t>
      </w:r>
      <w:r w:rsidRPr="00501A8B">
        <w:rPr>
          <w:b/>
          <w:bCs/>
        </w:rPr>
        <w:t>plift</w:t>
      </w:r>
      <w:r>
        <w:rPr>
          <w:b/>
          <w:bCs/>
        </w:rPr>
        <w:t>:</w:t>
      </w:r>
      <w:r w:rsidRPr="00501A8B">
        <w:t xml:space="preserve"> </w:t>
      </w:r>
      <w:r>
        <w:t>Strengthening</w:t>
      </w:r>
      <w:r w:rsidRPr="00501A8B">
        <w:t xml:space="preserve"> internal systems and </w:t>
      </w:r>
      <w:r>
        <w:t xml:space="preserve">building </w:t>
      </w:r>
      <w:r w:rsidRPr="00501A8B">
        <w:t>staff capabilit</w:t>
      </w:r>
      <w:r>
        <w:t>y</w:t>
      </w:r>
      <w:r w:rsidRPr="00501A8B">
        <w:t xml:space="preserve"> to meet future</w:t>
      </w:r>
      <w:r>
        <w:t xml:space="preserve"> demands.</w:t>
      </w:r>
    </w:p>
    <w:p w14:paraId="0921CB59" w14:textId="113068E3" w:rsidR="001B339E" w:rsidRDefault="00BF0FBC" w:rsidP="00793BEC">
      <w:pPr>
        <w:pStyle w:val="Heading3"/>
        <w:rPr>
          <w:rFonts w:eastAsia="MS Mincho" w:cs="Arial"/>
        </w:rPr>
      </w:pPr>
      <w:r w:rsidRPr="004A2C19">
        <w:t xml:space="preserve">Digital </w:t>
      </w:r>
      <w:r w:rsidR="00084090" w:rsidRPr="00084090">
        <w:t>improvement initiatives</w:t>
      </w:r>
      <w:r w:rsidR="0005107C">
        <w:t xml:space="preserve"> </w:t>
      </w:r>
    </w:p>
    <w:p w14:paraId="3A29B140" w14:textId="786A9047" w:rsidR="00CB4C3B" w:rsidRDefault="00690E2C" w:rsidP="00577C14">
      <w:pPr>
        <w:spacing w:before="120" w:after="120"/>
        <w:rPr>
          <w:rFonts w:eastAsia="MS Mincho"/>
        </w:rPr>
      </w:pPr>
      <w:r w:rsidRPr="00690E2C">
        <w:rPr>
          <w:rFonts w:eastAsia="MS Mincho" w:cs="Arial"/>
        </w:rPr>
        <w:t xml:space="preserve">The QBCC is </w:t>
      </w:r>
      <w:r>
        <w:rPr>
          <w:rFonts w:eastAsia="MS Mincho" w:cs="Arial"/>
        </w:rPr>
        <w:t>committed</w:t>
      </w:r>
      <w:r w:rsidRPr="00690E2C">
        <w:rPr>
          <w:rFonts w:eastAsia="MS Mincho" w:cs="Arial"/>
        </w:rPr>
        <w:t xml:space="preserve"> to enhancing </w:t>
      </w:r>
      <w:r w:rsidR="006114E4">
        <w:rPr>
          <w:rFonts w:eastAsia="MS Mincho" w:cs="Arial"/>
        </w:rPr>
        <w:t>its</w:t>
      </w:r>
      <w:r w:rsidRPr="00690E2C">
        <w:rPr>
          <w:rFonts w:eastAsia="MS Mincho" w:cs="Arial"/>
        </w:rPr>
        <w:t xml:space="preserve"> business practices </w:t>
      </w:r>
      <w:r w:rsidR="00A3301E">
        <w:rPr>
          <w:rFonts w:eastAsia="MS Mincho" w:cs="Arial"/>
        </w:rPr>
        <w:t xml:space="preserve">through </w:t>
      </w:r>
      <w:r w:rsidR="0043507A">
        <w:rPr>
          <w:rFonts w:eastAsia="MS Mincho" w:cs="Arial"/>
        </w:rPr>
        <w:t>fit-for-purpose</w:t>
      </w:r>
      <w:r w:rsidRPr="00690E2C">
        <w:rPr>
          <w:rFonts w:eastAsia="MS Mincho" w:cs="Arial"/>
        </w:rPr>
        <w:t xml:space="preserve"> digital tools</w:t>
      </w:r>
      <w:r w:rsidR="0043507A">
        <w:rPr>
          <w:rFonts w:eastAsia="MS Mincho" w:cs="Arial"/>
        </w:rPr>
        <w:t xml:space="preserve"> </w:t>
      </w:r>
      <w:r w:rsidR="00A3301E">
        <w:rPr>
          <w:rFonts w:eastAsia="MS Mincho" w:cs="Arial"/>
        </w:rPr>
        <w:t xml:space="preserve">and </w:t>
      </w:r>
      <w:r w:rsidR="0043507A">
        <w:rPr>
          <w:rFonts w:eastAsia="MS Mincho" w:cs="Arial"/>
        </w:rPr>
        <w:t xml:space="preserve">targeted </w:t>
      </w:r>
      <w:r w:rsidRPr="00690E2C">
        <w:rPr>
          <w:rFonts w:eastAsia="MS Mincho" w:cs="Arial"/>
        </w:rPr>
        <w:t xml:space="preserve">training. </w:t>
      </w:r>
      <w:r w:rsidR="003D44E3">
        <w:rPr>
          <w:rFonts w:eastAsia="MS Mincho" w:cs="Arial"/>
        </w:rPr>
        <w:t>F</w:t>
      </w:r>
      <w:r w:rsidRPr="00690E2C">
        <w:rPr>
          <w:rFonts w:eastAsia="MS Mincho" w:cs="Arial"/>
        </w:rPr>
        <w:t xml:space="preserve">eedback from </w:t>
      </w:r>
      <w:r w:rsidR="003D44E3">
        <w:rPr>
          <w:rFonts w:eastAsia="MS Mincho" w:cs="Arial"/>
        </w:rPr>
        <w:t>the QBCC</w:t>
      </w:r>
      <w:r w:rsidRPr="00690E2C">
        <w:rPr>
          <w:rFonts w:eastAsia="MS Mincho" w:cs="Arial"/>
        </w:rPr>
        <w:t xml:space="preserve"> </w:t>
      </w:r>
      <w:r w:rsidR="00761481">
        <w:rPr>
          <w:rFonts w:eastAsia="MS Mincho" w:cs="Arial"/>
        </w:rPr>
        <w:t>D</w:t>
      </w:r>
      <w:r w:rsidRPr="00690E2C">
        <w:rPr>
          <w:rFonts w:eastAsia="MS Mincho" w:cs="Arial"/>
        </w:rPr>
        <w:t xml:space="preserve">igital </w:t>
      </w:r>
      <w:r w:rsidR="00761481">
        <w:rPr>
          <w:rFonts w:eastAsia="MS Mincho" w:cs="Arial"/>
        </w:rPr>
        <w:t>L</w:t>
      </w:r>
      <w:r w:rsidRPr="00690E2C">
        <w:rPr>
          <w:rFonts w:eastAsia="MS Mincho" w:cs="Arial"/>
        </w:rPr>
        <w:t xml:space="preserve">iteracy </w:t>
      </w:r>
      <w:r w:rsidR="00761481">
        <w:rPr>
          <w:rFonts w:eastAsia="MS Mincho" w:cs="Arial"/>
        </w:rPr>
        <w:t>S</w:t>
      </w:r>
      <w:r w:rsidRPr="00690E2C">
        <w:rPr>
          <w:rFonts w:eastAsia="MS Mincho" w:cs="Arial"/>
        </w:rPr>
        <w:t xml:space="preserve">urvey </w:t>
      </w:r>
      <w:r w:rsidR="00804B30">
        <w:rPr>
          <w:rFonts w:eastAsia="MS Mincho" w:cs="Arial"/>
        </w:rPr>
        <w:t xml:space="preserve">has been instrumental in </w:t>
      </w:r>
      <w:r w:rsidRPr="00690E2C">
        <w:rPr>
          <w:rFonts w:eastAsia="MS Mincho" w:cs="Arial"/>
        </w:rPr>
        <w:t>shap</w:t>
      </w:r>
      <w:r w:rsidR="00804B30">
        <w:rPr>
          <w:rFonts w:eastAsia="MS Mincho" w:cs="Arial"/>
        </w:rPr>
        <w:t xml:space="preserve">ing the organisation’s </w:t>
      </w:r>
      <w:r w:rsidRPr="00690E2C">
        <w:rPr>
          <w:rFonts w:eastAsia="MS Mincho" w:cs="Arial"/>
        </w:rPr>
        <w:t>digital investment and training priorit</w:t>
      </w:r>
      <w:r w:rsidR="00804B30">
        <w:rPr>
          <w:rFonts w:eastAsia="MS Mincho" w:cs="Arial"/>
        </w:rPr>
        <w:t>ies</w:t>
      </w:r>
      <w:r w:rsidR="006062B4">
        <w:rPr>
          <w:rFonts w:eastAsia="MS Mincho" w:cs="Arial"/>
        </w:rPr>
        <w:t>, with a focus on initiatives</w:t>
      </w:r>
      <w:r w:rsidRPr="00690E2C">
        <w:rPr>
          <w:rFonts w:eastAsia="MS Mincho" w:cs="Arial"/>
        </w:rPr>
        <w:t xml:space="preserve"> that </w:t>
      </w:r>
      <w:r w:rsidR="006062B4">
        <w:rPr>
          <w:rFonts w:eastAsia="MS Mincho" w:cs="Arial"/>
        </w:rPr>
        <w:t xml:space="preserve">improve </w:t>
      </w:r>
      <w:r w:rsidR="008D1B65">
        <w:rPr>
          <w:rFonts w:eastAsia="MS Mincho" w:cs="Arial"/>
        </w:rPr>
        <w:t>day-to-day</w:t>
      </w:r>
      <w:r w:rsidRPr="00690E2C">
        <w:rPr>
          <w:rFonts w:eastAsia="MS Mincho" w:cs="Arial"/>
        </w:rPr>
        <w:t xml:space="preserve"> operations.</w:t>
      </w:r>
      <w:r w:rsidR="00BA5AFD">
        <w:rPr>
          <w:rFonts w:eastAsia="MS Mincho"/>
        </w:rPr>
        <w:t xml:space="preserve"> </w:t>
      </w:r>
      <w:r w:rsidR="009A52C8">
        <w:rPr>
          <w:rFonts w:eastAsia="MS Mincho"/>
        </w:rPr>
        <w:t>In</w:t>
      </w:r>
      <w:r w:rsidR="006B244B">
        <w:rPr>
          <w:rFonts w:eastAsia="MS Mincho"/>
        </w:rPr>
        <w:t xml:space="preserve"> 2024–25, t</w:t>
      </w:r>
      <w:r w:rsidR="006B244B" w:rsidRPr="001A2FEA">
        <w:rPr>
          <w:rFonts w:eastAsia="MS Mincho"/>
        </w:rPr>
        <w:t xml:space="preserve">he QBCC </w:t>
      </w:r>
      <w:r w:rsidR="008D1B65">
        <w:rPr>
          <w:rFonts w:eastAsia="MS Mincho"/>
        </w:rPr>
        <w:t>progress</w:t>
      </w:r>
      <w:r w:rsidR="00F23C23">
        <w:rPr>
          <w:rFonts w:eastAsia="MS Mincho"/>
        </w:rPr>
        <w:t xml:space="preserve">ed </w:t>
      </w:r>
      <w:r w:rsidR="006723C9">
        <w:rPr>
          <w:rFonts w:eastAsia="MS Mincho"/>
        </w:rPr>
        <w:t>several major</w:t>
      </w:r>
      <w:r w:rsidR="00C3121E">
        <w:rPr>
          <w:rFonts w:eastAsia="MS Mincho"/>
        </w:rPr>
        <w:t xml:space="preserve"> digital </w:t>
      </w:r>
      <w:r w:rsidR="00764130">
        <w:rPr>
          <w:rFonts w:eastAsia="MS Mincho"/>
        </w:rPr>
        <w:t xml:space="preserve">improvement </w:t>
      </w:r>
      <w:r w:rsidR="009E276E">
        <w:rPr>
          <w:rFonts w:eastAsia="MS Mincho"/>
        </w:rPr>
        <w:t>initiatives</w:t>
      </w:r>
      <w:r w:rsidR="003179AF" w:rsidRPr="003179AF">
        <w:rPr>
          <w:rFonts w:eastAsia="MS Mincho"/>
        </w:rPr>
        <w:t xml:space="preserve"> </w:t>
      </w:r>
      <w:r w:rsidR="009300CC">
        <w:rPr>
          <w:rFonts w:eastAsia="MS Mincho"/>
        </w:rPr>
        <w:t xml:space="preserve">to </w:t>
      </w:r>
      <w:r w:rsidR="009E30AA">
        <w:rPr>
          <w:rFonts w:eastAsia="MS Mincho"/>
        </w:rPr>
        <w:t>streamlin</w:t>
      </w:r>
      <w:r w:rsidR="009300CC">
        <w:rPr>
          <w:rFonts w:eastAsia="MS Mincho"/>
        </w:rPr>
        <w:t>e</w:t>
      </w:r>
      <w:r w:rsidR="009E30AA">
        <w:rPr>
          <w:rFonts w:eastAsia="MS Mincho"/>
        </w:rPr>
        <w:t xml:space="preserve"> </w:t>
      </w:r>
      <w:r w:rsidR="00467FD3">
        <w:rPr>
          <w:rFonts w:eastAsia="MS Mincho"/>
        </w:rPr>
        <w:t>internal processes and strengthen</w:t>
      </w:r>
      <w:r w:rsidR="009300CC">
        <w:rPr>
          <w:rFonts w:eastAsia="MS Mincho"/>
        </w:rPr>
        <w:t xml:space="preserve"> </w:t>
      </w:r>
      <w:r w:rsidR="00813A54">
        <w:rPr>
          <w:rFonts w:eastAsia="MS Mincho"/>
        </w:rPr>
        <w:t xml:space="preserve">customer </w:t>
      </w:r>
      <w:r w:rsidR="0058300D">
        <w:rPr>
          <w:rFonts w:eastAsia="MS Mincho"/>
        </w:rPr>
        <w:t>service delivery</w:t>
      </w:r>
      <w:r w:rsidR="003179AF" w:rsidRPr="003179AF">
        <w:rPr>
          <w:rFonts w:eastAsia="MS Mincho"/>
        </w:rPr>
        <w:t xml:space="preserve">. </w:t>
      </w:r>
      <w:r w:rsidR="0058300D">
        <w:rPr>
          <w:rFonts w:eastAsia="MS Mincho"/>
        </w:rPr>
        <w:t xml:space="preserve">Key </w:t>
      </w:r>
      <w:r w:rsidR="002E7D52">
        <w:rPr>
          <w:rFonts w:eastAsia="MS Mincho"/>
        </w:rPr>
        <w:t>achievements</w:t>
      </w:r>
      <w:r w:rsidR="0058300D">
        <w:rPr>
          <w:rFonts w:eastAsia="MS Mincho"/>
        </w:rPr>
        <w:t xml:space="preserve"> included </w:t>
      </w:r>
      <w:r w:rsidR="008624FA">
        <w:rPr>
          <w:rFonts w:eastAsia="MS Mincho"/>
        </w:rPr>
        <w:t>the rollout of</w:t>
      </w:r>
      <w:r w:rsidR="0058300D">
        <w:rPr>
          <w:rFonts w:eastAsia="MS Mincho"/>
        </w:rPr>
        <w:t xml:space="preserve"> </w:t>
      </w:r>
      <w:r w:rsidR="00C61DAE">
        <w:rPr>
          <w:rFonts w:eastAsia="MS Mincho"/>
        </w:rPr>
        <w:t>a</w:t>
      </w:r>
      <w:r w:rsidR="00CF6BAB">
        <w:rPr>
          <w:rFonts w:eastAsia="MS Mincho"/>
        </w:rPr>
        <w:t xml:space="preserve"> field services solution </w:t>
      </w:r>
      <w:r w:rsidR="00BA2507">
        <w:rPr>
          <w:rFonts w:eastAsia="MS Mincho"/>
        </w:rPr>
        <w:t>for</w:t>
      </w:r>
      <w:r w:rsidR="00A17857">
        <w:rPr>
          <w:rFonts w:eastAsia="MS Mincho"/>
        </w:rPr>
        <w:t xml:space="preserve"> building inspectors</w:t>
      </w:r>
      <w:r w:rsidR="003179AF" w:rsidRPr="003179AF">
        <w:rPr>
          <w:rFonts w:eastAsia="MS Mincho"/>
        </w:rPr>
        <w:t xml:space="preserve">, </w:t>
      </w:r>
      <w:r w:rsidR="00006435">
        <w:rPr>
          <w:rFonts w:eastAsia="MS Mincho"/>
        </w:rPr>
        <w:t>expan</w:t>
      </w:r>
      <w:r w:rsidR="00BA2507">
        <w:rPr>
          <w:rFonts w:eastAsia="MS Mincho"/>
        </w:rPr>
        <w:t xml:space="preserve">sion of the </w:t>
      </w:r>
      <w:r w:rsidR="00006435">
        <w:rPr>
          <w:rFonts w:eastAsia="MS Mincho"/>
        </w:rPr>
        <w:t xml:space="preserve">case management </w:t>
      </w:r>
      <w:r w:rsidR="002C0201">
        <w:rPr>
          <w:rFonts w:eastAsia="MS Mincho"/>
        </w:rPr>
        <w:t>platform</w:t>
      </w:r>
      <w:r w:rsidR="00006435">
        <w:rPr>
          <w:rFonts w:eastAsia="MS Mincho"/>
        </w:rPr>
        <w:t xml:space="preserve">, </w:t>
      </w:r>
      <w:r w:rsidR="00331AD7">
        <w:rPr>
          <w:rFonts w:eastAsia="MS Mincho"/>
        </w:rPr>
        <w:t>digitis</w:t>
      </w:r>
      <w:r w:rsidR="000E7A71">
        <w:rPr>
          <w:rFonts w:eastAsia="MS Mincho"/>
        </w:rPr>
        <w:t>ation of</w:t>
      </w:r>
      <w:r w:rsidR="00D81C85">
        <w:rPr>
          <w:rFonts w:eastAsia="MS Mincho"/>
        </w:rPr>
        <w:t xml:space="preserve"> </w:t>
      </w:r>
      <w:r w:rsidR="00D81C85">
        <w:rPr>
          <w:rFonts w:eastAsia="MS Mincho"/>
        </w:rPr>
        <w:lastRenderedPageBreak/>
        <w:t>corporate services</w:t>
      </w:r>
      <w:r w:rsidR="000469FD">
        <w:rPr>
          <w:rFonts w:eastAsia="MS Mincho"/>
        </w:rPr>
        <w:t>,</w:t>
      </w:r>
      <w:r w:rsidR="00551381">
        <w:rPr>
          <w:rFonts w:eastAsia="MS Mincho"/>
        </w:rPr>
        <w:t xml:space="preserve"> </w:t>
      </w:r>
      <w:r w:rsidR="00551381" w:rsidRPr="00551381">
        <w:rPr>
          <w:rFonts w:eastAsia="MS Mincho"/>
        </w:rPr>
        <w:t>development of executive dashboards</w:t>
      </w:r>
      <w:r w:rsidR="00784002" w:rsidDel="00466FD6">
        <w:rPr>
          <w:rFonts w:eastAsia="MS Mincho"/>
        </w:rPr>
        <w:t xml:space="preserve"> </w:t>
      </w:r>
      <w:r w:rsidR="000469FD">
        <w:rPr>
          <w:rFonts w:eastAsia="MS Mincho"/>
        </w:rPr>
        <w:t xml:space="preserve">and </w:t>
      </w:r>
      <w:r w:rsidR="003F5387">
        <w:rPr>
          <w:rFonts w:eastAsia="MS Mincho"/>
        </w:rPr>
        <w:t>enhancements</w:t>
      </w:r>
      <w:r w:rsidR="000469FD">
        <w:rPr>
          <w:rFonts w:eastAsia="MS Mincho"/>
        </w:rPr>
        <w:t xml:space="preserve"> </w:t>
      </w:r>
      <w:r w:rsidR="003F5387">
        <w:rPr>
          <w:rFonts w:eastAsia="MS Mincho"/>
        </w:rPr>
        <w:t>to the</w:t>
      </w:r>
      <w:r w:rsidR="000469FD">
        <w:rPr>
          <w:rFonts w:eastAsia="MS Mincho"/>
        </w:rPr>
        <w:t xml:space="preserve"> </w:t>
      </w:r>
      <w:r w:rsidR="6DF7A915" w:rsidRPr="57F83FA6">
        <w:rPr>
          <w:rFonts w:eastAsia="MS Mincho"/>
        </w:rPr>
        <w:t>E</w:t>
      </w:r>
      <w:r w:rsidR="22D9318B" w:rsidRPr="57F83FA6">
        <w:rPr>
          <w:rFonts w:eastAsia="MS Mincho"/>
        </w:rPr>
        <w:t xml:space="preserve">nterprise </w:t>
      </w:r>
      <w:r w:rsidR="012155B9" w:rsidRPr="57F83FA6">
        <w:rPr>
          <w:rFonts w:eastAsia="MS Mincho"/>
        </w:rPr>
        <w:t>D</w:t>
      </w:r>
      <w:r w:rsidR="22D9318B" w:rsidRPr="57F83FA6">
        <w:rPr>
          <w:rFonts w:eastAsia="MS Mincho"/>
        </w:rPr>
        <w:t xml:space="preserve">ata </w:t>
      </w:r>
      <w:r w:rsidR="005EBF08" w:rsidRPr="57F83FA6">
        <w:rPr>
          <w:rFonts w:eastAsia="MS Mincho"/>
        </w:rPr>
        <w:t>W</w:t>
      </w:r>
      <w:r w:rsidR="0092339C" w:rsidRPr="0092339C">
        <w:rPr>
          <w:rFonts w:eastAsia="MS Mincho"/>
        </w:rPr>
        <w:t>arehouse (EDW)</w:t>
      </w:r>
      <w:r w:rsidR="007E20BB">
        <w:rPr>
          <w:rFonts w:eastAsia="MS Mincho"/>
        </w:rPr>
        <w:t>.</w:t>
      </w:r>
      <w:r w:rsidR="00B10696">
        <w:rPr>
          <w:rFonts w:eastAsia="MS Mincho"/>
        </w:rPr>
        <w:t xml:space="preserve"> </w:t>
      </w:r>
    </w:p>
    <w:p w14:paraId="4ED9F397" w14:textId="77777777" w:rsidR="00704751" w:rsidRDefault="00CB4C3B" w:rsidP="00577C14">
      <w:pPr>
        <w:spacing w:before="120" w:after="120"/>
        <w:rPr>
          <w:rFonts w:eastAsia="MS Mincho"/>
        </w:rPr>
      </w:pPr>
      <w:r>
        <w:rPr>
          <w:rFonts w:eastAsia="MS Mincho"/>
        </w:rPr>
        <w:t>G</w:t>
      </w:r>
      <w:r w:rsidR="00577C14" w:rsidRPr="00577C14">
        <w:rPr>
          <w:rFonts w:eastAsia="MS Mincho"/>
        </w:rPr>
        <w:t>uided by its Technology Strategy and dedicated Digital Portfolio Investment Strategy (Investment Strategy)</w:t>
      </w:r>
      <w:r w:rsidR="00255690">
        <w:rPr>
          <w:rFonts w:eastAsia="MS Mincho"/>
        </w:rPr>
        <w:t>,</w:t>
      </w:r>
      <w:r w:rsidR="00577C14" w:rsidRPr="00577C14">
        <w:rPr>
          <w:rFonts w:eastAsia="MS Mincho"/>
        </w:rPr>
        <w:t xml:space="preserve"> </w:t>
      </w:r>
      <w:r w:rsidR="00FB433D">
        <w:rPr>
          <w:rFonts w:eastAsia="MS Mincho"/>
        </w:rPr>
        <w:t xml:space="preserve">the QBCC continues to invest in projects that </w:t>
      </w:r>
      <w:r w:rsidR="00577C14" w:rsidRPr="00577C14">
        <w:rPr>
          <w:rFonts w:eastAsia="MS Mincho"/>
        </w:rPr>
        <w:t xml:space="preserve">enhance operational efficiency, improve </w:t>
      </w:r>
      <w:r w:rsidR="00B2147B">
        <w:rPr>
          <w:rFonts w:eastAsia="MS Mincho"/>
        </w:rPr>
        <w:t xml:space="preserve">the </w:t>
      </w:r>
      <w:r w:rsidR="00577C14" w:rsidRPr="00577C14">
        <w:rPr>
          <w:rFonts w:eastAsia="MS Mincho"/>
        </w:rPr>
        <w:t xml:space="preserve">customer experience and equip staff with modern digital tools. The updated Investment Strategy provides a structured </w:t>
      </w:r>
      <w:r w:rsidR="000402F3">
        <w:rPr>
          <w:rFonts w:eastAsia="MS Mincho"/>
        </w:rPr>
        <w:t xml:space="preserve">framework for </w:t>
      </w:r>
      <w:r w:rsidR="00577C14" w:rsidRPr="00577C14">
        <w:rPr>
          <w:rFonts w:eastAsia="MS Mincho"/>
        </w:rPr>
        <w:t xml:space="preserve">identifying, assessing and delivering </w:t>
      </w:r>
      <w:r w:rsidR="00925F50">
        <w:rPr>
          <w:rFonts w:eastAsia="MS Mincho"/>
        </w:rPr>
        <w:t>digital initiatives</w:t>
      </w:r>
      <w:r w:rsidR="00577C14" w:rsidRPr="00577C14">
        <w:rPr>
          <w:rFonts w:eastAsia="MS Mincho"/>
        </w:rPr>
        <w:t xml:space="preserve"> that align with </w:t>
      </w:r>
      <w:r w:rsidR="00925F50">
        <w:rPr>
          <w:rFonts w:eastAsia="MS Mincho"/>
        </w:rPr>
        <w:t>organisational</w:t>
      </w:r>
      <w:r w:rsidR="00577C14" w:rsidRPr="00577C14">
        <w:rPr>
          <w:rFonts w:eastAsia="MS Mincho"/>
        </w:rPr>
        <w:t xml:space="preserve"> objectives. It introduces a phased approach to investment approval and assurance, </w:t>
      </w:r>
      <w:r w:rsidR="00871D76">
        <w:rPr>
          <w:rFonts w:eastAsia="MS Mincho"/>
        </w:rPr>
        <w:t>helping</w:t>
      </w:r>
      <w:r w:rsidR="00577C14" w:rsidRPr="00577C14">
        <w:rPr>
          <w:rFonts w:eastAsia="MS Mincho"/>
        </w:rPr>
        <w:t xml:space="preserve"> to prioritise </w:t>
      </w:r>
      <w:r w:rsidR="00871D76">
        <w:rPr>
          <w:rFonts w:eastAsia="MS Mincho"/>
        </w:rPr>
        <w:t>projects that meet</w:t>
      </w:r>
      <w:r w:rsidR="00577C14" w:rsidRPr="00577C14">
        <w:rPr>
          <w:rFonts w:eastAsia="MS Mincho"/>
        </w:rPr>
        <w:t xml:space="preserve"> business needs and deliver measurable value. Th</w:t>
      </w:r>
      <w:r w:rsidR="000F1E63">
        <w:rPr>
          <w:rFonts w:eastAsia="MS Mincho"/>
        </w:rPr>
        <w:t>is</w:t>
      </w:r>
      <w:r w:rsidR="00577C14" w:rsidRPr="00577C14">
        <w:rPr>
          <w:rFonts w:eastAsia="MS Mincho"/>
        </w:rPr>
        <w:t xml:space="preserve"> structured approach ensure</w:t>
      </w:r>
      <w:r w:rsidR="00D840E1">
        <w:rPr>
          <w:rFonts w:eastAsia="MS Mincho"/>
        </w:rPr>
        <w:t>s</w:t>
      </w:r>
      <w:r w:rsidR="00577C14" w:rsidRPr="00577C14">
        <w:rPr>
          <w:rFonts w:eastAsia="MS Mincho"/>
        </w:rPr>
        <w:t xml:space="preserve"> investment decisions are evidence</w:t>
      </w:r>
      <w:r w:rsidR="00D840E1">
        <w:rPr>
          <w:rFonts w:eastAsia="MS Mincho"/>
        </w:rPr>
        <w:t xml:space="preserve"> based</w:t>
      </w:r>
      <w:r w:rsidR="00577C14" w:rsidRPr="00577C14">
        <w:rPr>
          <w:rFonts w:eastAsia="MS Mincho"/>
        </w:rPr>
        <w:t xml:space="preserve">, </w:t>
      </w:r>
      <w:r w:rsidR="00D840E1">
        <w:rPr>
          <w:rFonts w:eastAsia="MS Mincho"/>
        </w:rPr>
        <w:t xml:space="preserve">strategically </w:t>
      </w:r>
      <w:r w:rsidR="00577C14" w:rsidRPr="00577C14">
        <w:rPr>
          <w:rFonts w:eastAsia="MS Mincho"/>
        </w:rPr>
        <w:t>align</w:t>
      </w:r>
      <w:r w:rsidR="00D840E1">
        <w:rPr>
          <w:rFonts w:eastAsia="MS Mincho"/>
        </w:rPr>
        <w:t>ed</w:t>
      </w:r>
      <w:r w:rsidR="00577C14" w:rsidRPr="00577C14">
        <w:rPr>
          <w:rFonts w:eastAsia="MS Mincho"/>
        </w:rPr>
        <w:t xml:space="preserve"> </w:t>
      </w:r>
      <w:r w:rsidR="00DA6897">
        <w:rPr>
          <w:rFonts w:eastAsia="MS Mincho"/>
        </w:rPr>
        <w:t>and outcome focused</w:t>
      </w:r>
      <w:r w:rsidR="00577C14" w:rsidRPr="00577C14">
        <w:rPr>
          <w:rFonts w:eastAsia="MS Mincho"/>
        </w:rPr>
        <w:t xml:space="preserve">. </w:t>
      </w:r>
    </w:p>
    <w:p w14:paraId="363FBE72" w14:textId="438B376C" w:rsidR="00577C14" w:rsidRPr="00577C14" w:rsidRDefault="00FA3E71" w:rsidP="00577C14">
      <w:pPr>
        <w:spacing w:before="120" w:after="120"/>
        <w:rPr>
          <w:rFonts w:eastAsia="MS Mincho"/>
        </w:rPr>
      </w:pPr>
      <w:r>
        <w:rPr>
          <w:rFonts w:eastAsia="MS Mincho"/>
        </w:rPr>
        <w:t>During the reporting period</w:t>
      </w:r>
      <w:r w:rsidR="00577C14" w:rsidRPr="00577C14">
        <w:rPr>
          <w:rFonts w:eastAsia="MS Mincho"/>
        </w:rPr>
        <w:t>, the QBCC made significant progress on key digital portfolio projects:</w:t>
      </w:r>
    </w:p>
    <w:p w14:paraId="47F91976" w14:textId="134C7194" w:rsidR="00FA3E71" w:rsidRDefault="00577C14" w:rsidP="00BD69F7">
      <w:pPr>
        <w:pStyle w:val="ListParagraph"/>
        <w:numPr>
          <w:ilvl w:val="0"/>
          <w:numId w:val="9"/>
        </w:numPr>
        <w:spacing w:before="120" w:after="120"/>
        <w:ind w:left="714" w:hanging="357"/>
        <w:contextualSpacing w:val="0"/>
        <w:rPr>
          <w:rFonts w:eastAsia="MS Mincho"/>
        </w:rPr>
      </w:pPr>
      <w:r w:rsidRPr="00D850B1">
        <w:rPr>
          <w:rFonts w:eastAsia="MS Mincho"/>
          <w:b/>
        </w:rPr>
        <w:t>Digital Licensing Project:</w:t>
      </w:r>
      <w:r w:rsidRPr="00D850B1">
        <w:rPr>
          <w:rFonts w:eastAsia="MS Mincho"/>
        </w:rPr>
        <w:t xml:space="preserve"> </w:t>
      </w:r>
      <w:r w:rsidR="00780A29">
        <w:rPr>
          <w:rFonts w:eastAsia="MS Mincho"/>
        </w:rPr>
        <w:t>Commenced</w:t>
      </w:r>
      <w:r w:rsidR="0094363C">
        <w:rPr>
          <w:rFonts w:eastAsia="MS Mincho"/>
        </w:rPr>
        <w:t xml:space="preserve"> the </w:t>
      </w:r>
      <w:r w:rsidR="007A4AF3">
        <w:rPr>
          <w:rFonts w:eastAsia="MS Mincho"/>
        </w:rPr>
        <w:t>replac</w:t>
      </w:r>
      <w:r w:rsidR="000E5569">
        <w:rPr>
          <w:rFonts w:eastAsia="MS Mincho"/>
        </w:rPr>
        <w:t>ement of</w:t>
      </w:r>
      <w:r w:rsidR="007A4AF3">
        <w:rPr>
          <w:rFonts w:eastAsia="MS Mincho"/>
        </w:rPr>
        <w:t xml:space="preserve"> </w:t>
      </w:r>
      <w:r w:rsidRPr="00D850B1">
        <w:rPr>
          <w:rFonts w:eastAsia="MS Mincho"/>
        </w:rPr>
        <w:t xml:space="preserve">the </w:t>
      </w:r>
      <w:r w:rsidR="008A6933">
        <w:rPr>
          <w:rFonts w:eastAsia="MS Mincho"/>
        </w:rPr>
        <w:t xml:space="preserve">internal </w:t>
      </w:r>
      <w:r w:rsidRPr="00D850B1">
        <w:rPr>
          <w:rFonts w:eastAsia="MS Mincho"/>
        </w:rPr>
        <w:t>legacy BUILD system with Salesforce to reduce cyber risks, improve licensing functionality</w:t>
      </w:r>
      <w:r w:rsidR="0026652E">
        <w:rPr>
          <w:rFonts w:eastAsia="MS Mincho"/>
        </w:rPr>
        <w:t>,</w:t>
      </w:r>
      <w:r w:rsidRPr="00D850B1">
        <w:rPr>
          <w:rFonts w:eastAsia="MS Mincho"/>
        </w:rPr>
        <w:t xml:space="preserve"> and integrate with the Queensland Government</w:t>
      </w:r>
      <w:r w:rsidR="0026652E">
        <w:rPr>
          <w:rFonts w:eastAsia="MS Mincho"/>
        </w:rPr>
        <w:t>’</w:t>
      </w:r>
      <w:r w:rsidRPr="00D850B1">
        <w:rPr>
          <w:rFonts w:eastAsia="MS Mincho"/>
        </w:rPr>
        <w:t xml:space="preserve">s digital licensing platform to enhance online identity verification and user access to services. </w:t>
      </w:r>
    </w:p>
    <w:p w14:paraId="5698172E" w14:textId="57F11AA7" w:rsidR="00FA3E71" w:rsidRDefault="00577C14" w:rsidP="00BD69F7">
      <w:pPr>
        <w:pStyle w:val="ListParagraph"/>
        <w:numPr>
          <w:ilvl w:val="0"/>
          <w:numId w:val="9"/>
        </w:numPr>
        <w:spacing w:before="120" w:after="120"/>
        <w:ind w:left="714" w:hanging="357"/>
        <w:contextualSpacing w:val="0"/>
        <w:rPr>
          <w:rFonts w:eastAsia="MS Mincho"/>
        </w:rPr>
      </w:pPr>
      <w:r w:rsidRPr="00D850B1">
        <w:rPr>
          <w:rFonts w:eastAsia="MS Mincho"/>
          <w:b/>
        </w:rPr>
        <w:t>Case Management Project:</w:t>
      </w:r>
      <w:r w:rsidRPr="00D850B1">
        <w:rPr>
          <w:rFonts w:eastAsia="MS Mincho"/>
        </w:rPr>
        <w:t xml:space="preserve"> Develop</w:t>
      </w:r>
      <w:r w:rsidR="001B7913">
        <w:rPr>
          <w:rFonts w:eastAsia="MS Mincho"/>
        </w:rPr>
        <w:t>ed</w:t>
      </w:r>
      <w:r w:rsidRPr="00D850B1">
        <w:rPr>
          <w:rFonts w:eastAsia="MS Mincho"/>
        </w:rPr>
        <w:t xml:space="preserve"> an automated online case management system to streamline workflows, improve data quality and enhance reporting decision making.</w:t>
      </w:r>
    </w:p>
    <w:p w14:paraId="5B21774E" w14:textId="77777777" w:rsidR="00FA3E71" w:rsidRDefault="00577C14" w:rsidP="00BD69F7">
      <w:pPr>
        <w:pStyle w:val="ListParagraph"/>
        <w:numPr>
          <w:ilvl w:val="0"/>
          <w:numId w:val="9"/>
        </w:numPr>
        <w:spacing w:before="120" w:after="120"/>
        <w:ind w:left="714" w:hanging="357"/>
        <w:contextualSpacing w:val="0"/>
        <w:rPr>
          <w:rFonts w:eastAsia="MS Mincho"/>
        </w:rPr>
      </w:pPr>
      <w:r w:rsidRPr="00D850B1">
        <w:rPr>
          <w:rFonts w:eastAsia="MS Mincho"/>
          <w:b/>
        </w:rPr>
        <w:t>Digital Forms Project:</w:t>
      </w:r>
      <w:r w:rsidRPr="00D850B1">
        <w:rPr>
          <w:rFonts w:eastAsia="MS Mincho"/>
        </w:rPr>
        <w:t xml:space="preserve"> Enabled online submission of plumbing and drainage forms, improving customer experience and integrating data directly with customer records for better data management.</w:t>
      </w:r>
    </w:p>
    <w:p w14:paraId="6100F17B" w14:textId="0752558C" w:rsidR="00577C14" w:rsidRPr="004D0986" w:rsidRDefault="00577C14" w:rsidP="00BD69F7">
      <w:pPr>
        <w:pStyle w:val="ListParagraph"/>
        <w:numPr>
          <w:ilvl w:val="0"/>
          <w:numId w:val="9"/>
        </w:numPr>
        <w:spacing w:before="120" w:after="120"/>
        <w:ind w:left="714" w:hanging="357"/>
        <w:rPr>
          <w:rFonts w:eastAsia="MS Mincho"/>
        </w:rPr>
      </w:pPr>
      <w:r w:rsidRPr="00D850B1">
        <w:rPr>
          <w:rFonts w:eastAsia="MS Mincho"/>
          <w:b/>
        </w:rPr>
        <w:t>Field Services Improvement Project:</w:t>
      </w:r>
      <w:r w:rsidRPr="004D0986">
        <w:rPr>
          <w:rFonts w:eastAsia="MS Mincho"/>
        </w:rPr>
        <w:t xml:space="preserve"> Finalised in December 2024, this project significantly improved field operations by automating and digitising inspection scheduling processes, reducing building inspection wait times from 20 weeks to nine weeks and enhancing overall operational efficiency.</w:t>
      </w:r>
    </w:p>
    <w:p w14:paraId="3F9327FC" w14:textId="46E556F8" w:rsidR="00805F8B" w:rsidRDefault="00805F8B" w:rsidP="004A4EC0">
      <w:pPr>
        <w:pStyle w:val="Heading4"/>
      </w:pPr>
      <w:bookmarkStart w:id="287" w:name="_Executive_Dashboards"/>
      <w:bookmarkEnd w:id="287"/>
      <w:r w:rsidRPr="00B6402E">
        <w:t>Executive Dashboard</w:t>
      </w:r>
      <w:r w:rsidR="00AD47C8">
        <w:t xml:space="preserve"> Program</w:t>
      </w:r>
      <w:r>
        <w:t xml:space="preserve">  </w:t>
      </w:r>
    </w:p>
    <w:p w14:paraId="5BB7CCF4" w14:textId="1A1647B9" w:rsidR="00C505A6" w:rsidRPr="00C505A6" w:rsidRDefault="00E30B13" w:rsidP="00A403BE">
      <w:pPr>
        <w:spacing w:before="120"/>
      </w:pPr>
      <w:r>
        <w:t xml:space="preserve">In </w:t>
      </w:r>
      <w:r w:rsidR="00805F8B" w:rsidRPr="001144A2">
        <w:t>2024</w:t>
      </w:r>
      <w:r w:rsidR="00D1061F">
        <w:t>–25</w:t>
      </w:r>
      <w:r w:rsidR="00AD47C8">
        <w:t xml:space="preserve">, </w:t>
      </w:r>
      <w:r w:rsidR="009D01E4">
        <w:t>t</w:t>
      </w:r>
      <w:r w:rsidR="00AD47C8">
        <w:t xml:space="preserve">he </w:t>
      </w:r>
      <w:r w:rsidR="009D01E4">
        <w:t xml:space="preserve">QBCC </w:t>
      </w:r>
      <w:r w:rsidR="00C505A6" w:rsidRPr="00C505A6">
        <w:t>progressed</w:t>
      </w:r>
      <w:r w:rsidR="00AC5D23">
        <w:t xml:space="preserve"> </w:t>
      </w:r>
      <w:r w:rsidR="00C328BC">
        <w:t xml:space="preserve">its </w:t>
      </w:r>
      <w:r w:rsidR="00AD47C8">
        <w:t xml:space="preserve">Executive </w:t>
      </w:r>
      <w:r w:rsidR="00C505A6" w:rsidRPr="00C505A6">
        <w:t xml:space="preserve">and Operational </w:t>
      </w:r>
      <w:r w:rsidR="00AD47C8">
        <w:t xml:space="preserve">Dashboard </w:t>
      </w:r>
      <w:r w:rsidR="009D01E4">
        <w:t>P</w:t>
      </w:r>
      <w:r w:rsidR="00AD47C8">
        <w:t>rogram</w:t>
      </w:r>
      <w:r w:rsidR="00C505A6" w:rsidRPr="00C505A6">
        <w:t>, focusing on the development of real-time dashboards to support strategic and operational decision</w:t>
      </w:r>
      <w:r w:rsidR="00985306">
        <w:t xml:space="preserve"> </w:t>
      </w:r>
      <w:r w:rsidR="00C505A6" w:rsidRPr="00C505A6">
        <w:t>making. These dashboards offer immediate visual access to key performance metrics</w:t>
      </w:r>
      <w:r w:rsidR="00EC642E">
        <w:t xml:space="preserve"> that are </w:t>
      </w:r>
      <w:r w:rsidR="00D04D97">
        <w:t xml:space="preserve">customer </w:t>
      </w:r>
      <w:r w:rsidR="294FA896">
        <w:t>centric,</w:t>
      </w:r>
      <w:r w:rsidR="00D83341">
        <w:t xml:space="preserve"> </w:t>
      </w:r>
      <w:r w:rsidR="6B46FAC7">
        <w:t>service</w:t>
      </w:r>
      <w:r w:rsidR="2C9ECF91">
        <w:t xml:space="preserve"> oriented and</w:t>
      </w:r>
      <w:r w:rsidR="00D83341">
        <w:t xml:space="preserve"> </w:t>
      </w:r>
      <w:r w:rsidR="00EC642E">
        <w:t xml:space="preserve">outcomes </w:t>
      </w:r>
      <w:r w:rsidR="7BD873FC">
        <w:t>driven</w:t>
      </w:r>
      <w:r w:rsidR="00C505A6" w:rsidRPr="00C505A6">
        <w:t>.</w:t>
      </w:r>
    </w:p>
    <w:p w14:paraId="0516F8DF" w14:textId="3998FBEA" w:rsidR="00655FAE" w:rsidRDefault="001635C2" w:rsidP="00311792">
      <w:pPr>
        <w:spacing w:before="120" w:after="120"/>
        <w:rPr>
          <w:rFonts w:cs="Arial"/>
        </w:rPr>
      </w:pPr>
      <w:r>
        <w:t xml:space="preserve">By enabling </w:t>
      </w:r>
      <w:r w:rsidR="00E567D4">
        <w:t xml:space="preserve">the </w:t>
      </w:r>
      <w:r w:rsidR="00D04B90">
        <w:t xml:space="preserve">QBCC executive leaders </w:t>
      </w:r>
      <w:r w:rsidR="00C505A6" w:rsidRPr="00C505A6">
        <w:t>to monitor progress, identify emerging trends</w:t>
      </w:r>
      <w:r w:rsidR="002865BE">
        <w:t xml:space="preserve"> </w:t>
      </w:r>
      <w:r w:rsidR="00C505A6" w:rsidRPr="00C505A6">
        <w:t>and respond swiftly to changing priorities</w:t>
      </w:r>
      <w:r w:rsidR="0004459A">
        <w:t xml:space="preserve">, the dashboards have </w:t>
      </w:r>
      <w:r w:rsidR="00C505A6" w:rsidRPr="00C505A6">
        <w:t xml:space="preserve">strengthened the </w:t>
      </w:r>
      <w:r w:rsidR="00303480">
        <w:t>organisation’s</w:t>
      </w:r>
      <w:r w:rsidR="00C505A6" w:rsidRPr="00C505A6">
        <w:t xml:space="preserve"> ability to make informed decisions, track performance and proactively manage risks and opportunities. </w:t>
      </w:r>
      <w:r w:rsidR="00603022">
        <w:t xml:space="preserve">The </w:t>
      </w:r>
      <w:r w:rsidR="00181549">
        <w:t>program also</w:t>
      </w:r>
      <w:r w:rsidR="00C505A6" w:rsidRPr="00C505A6">
        <w:t xml:space="preserve"> enhanc</w:t>
      </w:r>
      <w:r w:rsidR="00181549">
        <w:t>es</w:t>
      </w:r>
      <w:r w:rsidR="00C505A6" w:rsidRPr="00C505A6">
        <w:t xml:space="preserve"> data visibility, integrat</w:t>
      </w:r>
      <w:r w:rsidR="00181549">
        <w:t>es</w:t>
      </w:r>
      <w:r w:rsidR="00C505A6" w:rsidRPr="00C505A6">
        <w:t xml:space="preserve"> analytics and embed</w:t>
      </w:r>
      <w:r w:rsidR="00C37612">
        <w:t>s</w:t>
      </w:r>
      <w:r w:rsidR="00C505A6" w:rsidRPr="00C505A6">
        <w:t xml:space="preserve"> evidence-based practices, </w:t>
      </w:r>
      <w:r w:rsidR="00C13E16">
        <w:t xml:space="preserve">directly supporting </w:t>
      </w:r>
      <w:r w:rsidR="00C505A6" w:rsidRPr="00C505A6" w:rsidDel="00C13E16">
        <w:t xml:space="preserve">the </w:t>
      </w:r>
      <w:r w:rsidR="00C505A6" w:rsidRPr="00C505A6">
        <w:t>QBCC’s objective</w:t>
      </w:r>
      <w:r w:rsidR="00C505A6">
        <w:t xml:space="preserve"> </w:t>
      </w:r>
      <w:r w:rsidR="00913408">
        <w:t xml:space="preserve">to </w:t>
      </w:r>
      <w:r w:rsidR="00810095">
        <w:t>turn data into actionable insights that support better planning, risk management and service outcomes</w:t>
      </w:r>
      <w:r w:rsidR="00805F8B" w:rsidDel="00826E9C">
        <w:t>.</w:t>
      </w:r>
      <w:r w:rsidR="00805F8B">
        <w:t xml:space="preserve"> </w:t>
      </w:r>
    </w:p>
    <w:p w14:paraId="7374159B" w14:textId="3FCD451E" w:rsidR="00D83B9C" w:rsidRPr="00CF4079" w:rsidRDefault="008714F8" w:rsidP="00AC656A">
      <w:pPr>
        <w:pStyle w:val="Heading4"/>
      </w:pPr>
      <w:r>
        <w:t xml:space="preserve">Enterprise </w:t>
      </w:r>
      <w:r w:rsidR="00D83B9C" w:rsidRPr="00CF4079">
        <w:t>Data Warehouse</w:t>
      </w:r>
      <w:r w:rsidR="00D83B9C">
        <w:t xml:space="preserve">  </w:t>
      </w:r>
    </w:p>
    <w:p w14:paraId="430B2AF6" w14:textId="77777777" w:rsidR="00791481" w:rsidRDefault="00D15C4A" w:rsidP="00CF26C8">
      <w:pPr>
        <w:spacing w:before="120" w:after="120"/>
        <w:rPr>
          <w:iCs/>
        </w:rPr>
      </w:pPr>
      <w:r>
        <w:rPr>
          <w:iCs/>
        </w:rPr>
        <w:t>In July 202</w:t>
      </w:r>
      <w:r w:rsidR="00E82391">
        <w:rPr>
          <w:iCs/>
        </w:rPr>
        <w:t>4</w:t>
      </w:r>
      <w:r>
        <w:rPr>
          <w:iCs/>
        </w:rPr>
        <w:t>,</w:t>
      </w:r>
      <w:r w:rsidR="00E82391">
        <w:rPr>
          <w:iCs/>
        </w:rPr>
        <w:t xml:space="preserve"> the QBCC successfully delivered a foundational </w:t>
      </w:r>
      <w:r w:rsidR="663FABCF">
        <w:t>EDW</w:t>
      </w:r>
      <w:r w:rsidR="00E82391">
        <w:rPr>
          <w:iCs/>
        </w:rPr>
        <w:t xml:space="preserve">, marking a </w:t>
      </w:r>
      <w:r w:rsidR="00362F4E">
        <w:rPr>
          <w:iCs/>
        </w:rPr>
        <w:t>significant milestone in its data transformation journey.</w:t>
      </w:r>
      <w:r>
        <w:rPr>
          <w:iCs/>
        </w:rPr>
        <w:t xml:space="preserve"> </w:t>
      </w:r>
      <w:r w:rsidR="002A15DE" w:rsidRPr="002A15DE">
        <w:rPr>
          <w:iCs/>
        </w:rPr>
        <w:t xml:space="preserve">The EDW </w:t>
      </w:r>
      <w:r w:rsidR="00437C63">
        <w:rPr>
          <w:iCs/>
        </w:rPr>
        <w:t xml:space="preserve">provides </w:t>
      </w:r>
      <w:r w:rsidR="002A15DE" w:rsidRPr="002A15DE">
        <w:rPr>
          <w:iCs/>
        </w:rPr>
        <w:t xml:space="preserve">a centralised platform </w:t>
      </w:r>
      <w:r w:rsidR="007E60DB">
        <w:rPr>
          <w:iCs/>
        </w:rPr>
        <w:t xml:space="preserve">for integrating internal and external data </w:t>
      </w:r>
      <w:r w:rsidR="002A15DE" w:rsidRPr="002A15DE">
        <w:rPr>
          <w:iCs/>
        </w:rPr>
        <w:t>sources</w:t>
      </w:r>
      <w:r w:rsidR="00CC59B0">
        <w:rPr>
          <w:iCs/>
        </w:rPr>
        <w:t>, improving data quality, consistency and accessibility</w:t>
      </w:r>
      <w:r w:rsidR="0073758D">
        <w:rPr>
          <w:iCs/>
        </w:rPr>
        <w:t xml:space="preserve"> </w:t>
      </w:r>
      <w:r w:rsidR="00BD72CD">
        <w:rPr>
          <w:iCs/>
        </w:rPr>
        <w:t>across the organisation</w:t>
      </w:r>
      <w:r w:rsidR="005933EB">
        <w:rPr>
          <w:iCs/>
        </w:rPr>
        <w:t xml:space="preserve">. </w:t>
      </w:r>
    </w:p>
    <w:p w14:paraId="450155ED" w14:textId="5753C075" w:rsidR="00575817" w:rsidRDefault="00416A3A" w:rsidP="00CF26C8">
      <w:pPr>
        <w:spacing w:before="120" w:after="120"/>
        <w:rPr>
          <w:iCs/>
        </w:rPr>
      </w:pPr>
      <w:r>
        <w:rPr>
          <w:iCs/>
        </w:rPr>
        <w:t xml:space="preserve">In </w:t>
      </w:r>
      <w:r w:rsidR="007564C6" w:rsidRPr="007564C6">
        <w:rPr>
          <w:iCs/>
        </w:rPr>
        <w:t>2024–25,</w:t>
      </w:r>
      <w:r w:rsidR="007564C6">
        <w:rPr>
          <w:iCs/>
        </w:rPr>
        <w:t xml:space="preserve"> k</w:t>
      </w:r>
      <w:r w:rsidR="00CF26C8" w:rsidRPr="00CF26C8">
        <w:rPr>
          <w:iCs/>
        </w:rPr>
        <w:t xml:space="preserve">ey </w:t>
      </w:r>
      <w:r w:rsidR="00D2262B">
        <w:rPr>
          <w:iCs/>
        </w:rPr>
        <w:t xml:space="preserve">achievements </w:t>
      </w:r>
      <w:r w:rsidR="00CF26C8" w:rsidRPr="00CF26C8">
        <w:rPr>
          <w:iCs/>
        </w:rPr>
        <w:t>included</w:t>
      </w:r>
      <w:r w:rsidR="00575817">
        <w:rPr>
          <w:iCs/>
        </w:rPr>
        <w:t>:</w:t>
      </w:r>
    </w:p>
    <w:p w14:paraId="71E5B04D" w14:textId="77777777" w:rsidR="00575817" w:rsidRDefault="00CF26C8" w:rsidP="00BD69F7">
      <w:pPr>
        <w:pStyle w:val="ListParagraph"/>
        <w:numPr>
          <w:ilvl w:val="0"/>
          <w:numId w:val="44"/>
        </w:numPr>
        <w:spacing w:before="120" w:after="120"/>
        <w:ind w:left="782" w:hanging="357"/>
        <w:contextualSpacing w:val="0"/>
        <w:rPr>
          <w:iCs/>
        </w:rPr>
      </w:pPr>
      <w:r w:rsidRPr="00575817">
        <w:rPr>
          <w:iCs/>
        </w:rPr>
        <w:t>simplifying data ingestion and modelling processes</w:t>
      </w:r>
    </w:p>
    <w:p w14:paraId="37B8AD47" w14:textId="77777777" w:rsidR="00575817" w:rsidRDefault="00CF26C8" w:rsidP="00BD69F7">
      <w:pPr>
        <w:pStyle w:val="ListParagraph"/>
        <w:numPr>
          <w:ilvl w:val="0"/>
          <w:numId w:val="44"/>
        </w:numPr>
        <w:spacing w:before="120" w:after="120"/>
        <w:ind w:left="782" w:hanging="357"/>
        <w:contextualSpacing w:val="0"/>
        <w:rPr>
          <w:iCs/>
        </w:rPr>
      </w:pPr>
      <w:r w:rsidRPr="00575817">
        <w:rPr>
          <w:iCs/>
        </w:rPr>
        <w:t>expanding the range of integrated data sources</w:t>
      </w:r>
    </w:p>
    <w:p w14:paraId="5B4AEC85" w14:textId="15AF7B2D" w:rsidR="00CF26C8" w:rsidRPr="00575817" w:rsidRDefault="00CF26C8" w:rsidP="00BD69F7">
      <w:pPr>
        <w:pStyle w:val="ListParagraph"/>
        <w:numPr>
          <w:ilvl w:val="0"/>
          <w:numId w:val="44"/>
        </w:numPr>
        <w:spacing w:before="120" w:after="120"/>
        <w:ind w:left="782" w:hanging="357"/>
        <w:rPr>
          <w:iCs/>
        </w:rPr>
      </w:pPr>
      <w:r w:rsidRPr="00575817">
        <w:rPr>
          <w:iCs/>
        </w:rPr>
        <w:t>improving the efficiency and scalability of reporting.</w:t>
      </w:r>
    </w:p>
    <w:p w14:paraId="3E9802CF" w14:textId="5EA7D71C" w:rsidR="00724E4A" w:rsidRPr="00153AC6" w:rsidRDefault="00AD3C0B" w:rsidP="002778D6">
      <w:pPr>
        <w:spacing w:before="120" w:after="120"/>
        <w:rPr>
          <w:iCs/>
        </w:rPr>
      </w:pPr>
      <w:r>
        <w:rPr>
          <w:iCs/>
        </w:rPr>
        <w:t>In addition, s</w:t>
      </w:r>
      <w:r w:rsidR="00CF26C8" w:rsidRPr="00CF26C8">
        <w:rPr>
          <w:iCs/>
        </w:rPr>
        <w:t>everal existing reporting tools were updated to source data directly from the EDW, improving consistency and reducing manual effort. A new reporting solution was also developed to provide insights into Queensland’s building and construction industry</w:t>
      </w:r>
      <w:r w:rsidR="00EF154D">
        <w:rPr>
          <w:iCs/>
        </w:rPr>
        <w:t>.</w:t>
      </w:r>
      <w:r w:rsidR="00965314">
        <w:rPr>
          <w:iCs/>
        </w:rPr>
        <w:t xml:space="preserve"> </w:t>
      </w:r>
      <w:r w:rsidR="00CF26C8" w:rsidRPr="00CF26C8">
        <w:rPr>
          <w:iCs/>
        </w:rPr>
        <w:t>These improvements are enabling more</w:t>
      </w:r>
      <w:r w:rsidR="00210A81">
        <w:rPr>
          <w:iCs/>
        </w:rPr>
        <w:t xml:space="preserve"> efficient and</w:t>
      </w:r>
      <w:r w:rsidR="00CF26C8" w:rsidRPr="00CF26C8">
        <w:rPr>
          <w:iCs/>
        </w:rPr>
        <w:t xml:space="preserve"> informed decision</w:t>
      </w:r>
      <w:r w:rsidR="00210A81">
        <w:rPr>
          <w:iCs/>
        </w:rPr>
        <w:t xml:space="preserve"> </w:t>
      </w:r>
      <w:r w:rsidR="00CF26C8" w:rsidRPr="00CF26C8">
        <w:rPr>
          <w:iCs/>
        </w:rPr>
        <w:t>making and delivering stronger operational insights across the organisation.</w:t>
      </w:r>
      <w:bookmarkStart w:id="288" w:name="_Digital_Portfolio_Projects"/>
      <w:bookmarkEnd w:id="288"/>
    </w:p>
    <w:p w14:paraId="2899D4BE" w14:textId="1205CF54" w:rsidR="002778D6" w:rsidRPr="003F6DD9" w:rsidRDefault="002778D6" w:rsidP="000600DC">
      <w:pPr>
        <w:spacing w:before="120" w:after="120"/>
        <w:rPr>
          <w:rFonts w:cs="Arial"/>
        </w:rPr>
      </w:pPr>
      <w:r>
        <w:rPr>
          <w:rFonts w:cs="Arial"/>
        </w:rPr>
        <w:br w:type="page"/>
      </w:r>
    </w:p>
    <w:p w14:paraId="3F6ADB25" w14:textId="64BF12E7" w:rsidR="00510242" w:rsidRPr="004A2C19" w:rsidRDefault="00DB5EE5" w:rsidP="003069C5">
      <w:pPr>
        <w:pStyle w:val="Heading1"/>
        <w:rPr>
          <w:rFonts w:cs="Arial"/>
        </w:rPr>
      </w:pPr>
      <w:bookmarkStart w:id="289" w:name="_Toc206493025"/>
      <w:r>
        <w:rPr>
          <w:rFonts w:cs="Arial"/>
        </w:rPr>
        <w:lastRenderedPageBreak/>
        <w:t>P</w:t>
      </w:r>
      <w:r w:rsidR="00B84627" w:rsidRPr="004A2C19">
        <w:rPr>
          <w:rFonts w:cs="Arial"/>
        </w:rPr>
        <w:t>erformance</w:t>
      </w:r>
      <w:bookmarkEnd w:id="289"/>
      <w:r w:rsidR="007940BE">
        <w:rPr>
          <w:rFonts w:cs="Arial"/>
        </w:rPr>
        <w:t xml:space="preserve"> </w:t>
      </w:r>
    </w:p>
    <w:p w14:paraId="20C12EA6" w14:textId="77777777" w:rsidR="007C487A" w:rsidRPr="007C487A" w:rsidRDefault="007C487A" w:rsidP="007C487A"/>
    <w:p w14:paraId="23E1EBBF" w14:textId="77777777" w:rsidR="00B9646C" w:rsidRDefault="00B9646C">
      <w:pPr>
        <w:rPr>
          <w:rFonts w:eastAsiaTheme="majorEastAsia" w:cstheme="majorBidi"/>
          <w:bCs/>
          <w:sz w:val="32"/>
          <w:szCs w:val="32"/>
        </w:rPr>
      </w:pPr>
      <w:bookmarkStart w:id="290" w:name="_QBCC_Strategic_Plan"/>
      <w:bookmarkEnd w:id="290"/>
      <w:r>
        <w:br w:type="page"/>
      </w:r>
    </w:p>
    <w:p w14:paraId="462D6685" w14:textId="677AEF7A" w:rsidR="00204D93" w:rsidRDefault="00204D93" w:rsidP="00204D93">
      <w:pPr>
        <w:pStyle w:val="Heading2"/>
      </w:pPr>
      <w:bookmarkStart w:id="291" w:name="_Toc206493026"/>
      <w:r w:rsidRPr="004A2C19">
        <w:lastRenderedPageBreak/>
        <w:t xml:space="preserve">Service </w:t>
      </w:r>
      <w:r>
        <w:t>D</w:t>
      </w:r>
      <w:r w:rsidRPr="004A2C19">
        <w:t xml:space="preserve">elivery </w:t>
      </w:r>
      <w:r>
        <w:t>S</w:t>
      </w:r>
      <w:r w:rsidRPr="004A2C19">
        <w:t>tatements</w:t>
      </w:r>
      <w:r>
        <w:t xml:space="preserve"> </w:t>
      </w:r>
      <w:r w:rsidR="00DC6F97">
        <w:t>service</w:t>
      </w:r>
      <w:r>
        <w:t xml:space="preserve"> standards</w:t>
      </w:r>
      <w:bookmarkEnd w:id="291"/>
      <w:r w:rsidRPr="004A2C19">
        <w:t xml:space="preserve"> </w:t>
      </w:r>
    </w:p>
    <w:p w14:paraId="0DAC968A" w14:textId="77777777" w:rsidR="00204D93" w:rsidRDefault="00204D93" w:rsidP="00204D93">
      <w:pPr>
        <w:rPr>
          <w:rFonts w:cs="Arial"/>
        </w:rPr>
      </w:pPr>
    </w:p>
    <w:p w14:paraId="3D4B6C11" w14:textId="6D6520B1" w:rsidR="00204D93" w:rsidRPr="004A2C19" w:rsidRDefault="0093510C" w:rsidP="00204D93">
      <w:pPr>
        <w:rPr>
          <w:rFonts w:cs="Arial"/>
        </w:rPr>
      </w:pPr>
      <w:bookmarkStart w:id="292" w:name="_Toc202872689"/>
      <w:r>
        <w:rPr>
          <w:rFonts w:cs="Arial"/>
        </w:rPr>
        <w:t xml:space="preserve">The QBCC </w:t>
      </w:r>
      <w:r w:rsidR="001834BF" w:rsidRPr="001834BF">
        <w:rPr>
          <w:rFonts w:cs="Arial"/>
        </w:rPr>
        <w:t xml:space="preserve">Service Delivery Statements </w:t>
      </w:r>
      <w:r w:rsidR="003B74F5">
        <w:rPr>
          <w:rFonts w:cs="Arial"/>
        </w:rPr>
        <w:t>(</w:t>
      </w:r>
      <w:r w:rsidR="00F52886" w:rsidRPr="00F52886">
        <w:rPr>
          <w:rFonts w:cs="Arial"/>
        </w:rPr>
        <w:t>SDS</w:t>
      </w:r>
      <w:r w:rsidR="003B74F5">
        <w:rPr>
          <w:rFonts w:cs="Arial"/>
        </w:rPr>
        <w:t>)</w:t>
      </w:r>
      <w:r w:rsidR="00F52886" w:rsidRPr="00F52886">
        <w:rPr>
          <w:rFonts w:cs="Arial"/>
        </w:rPr>
        <w:t xml:space="preserve"> </w:t>
      </w:r>
      <w:r w:rsidR="006F4AB0">
        <w:rPr>
          <w:rFonts w:cs="Arial"/>
        </w:rPr>
        <w:t>service</w:t>
      </w:r>
      <w:r w:rsidR="00F52886" w:rsidRPr="00F52886">
        <w:rPr>
          <w:rFonts w:cs="Arial"/>
        </w:rPr>
        <w:t xml:space="preserve"> standards are key indicators </w:t>
      </w:r>
      <w:r w:rsidR="00E5056E">
        <w:rPr>
          <w:rFonts w:cs="Arial"/>
        </w:rPr>
        <w:t>that reflect</w:t>
      </w:r>
      <w:r w:rsidR="0008696D">
        <w:rPr>
          <w:rFonts w:cs="Arial"/>
        </w:rPr>
        <w:t xml:space="preserve"> the</w:t>
      </w:r>
      <w:r w:rsidR="00F52886" w:rsidRPr="00F52886">
        <w:rPr>
          <w:rFonts w:cs="Arial"/>
        </w:rPr>
        <w:t xml:space="preserve"> expected </w:t>
      </w:r>
      <w:r w:rsidR="00E5056E">
        <w:rPr>
          <w:rFonts w:cs="Arial"/>
        </w:rPr>
        <w:t>levels of</w:t>
      </w:r>
      <w:r w:rsidR="00E5056E" w:rsidDel="002C44DD">
        <w:rPr>
          <w:rFonts w:cs="Arial"/>
        </w:rPr>
        <w:t xml:space="preserve"> </w:t>
      </w:r>
      <w:r w:rsidR="00935EAB">
        <w:rPr>
          <w:rFonts w:cs="Arial"/>
        </w:rPr>
        <w:t xml:space="preserve">regulatory and support </w:t>
      </w:r>
      <w:r w:rsidR="00F52886" w:rsidRPr="00F52886">
        <w:rPr>
          <w:rFonts w:cs="Arial"/>
        </w:rPr>
        <w:t>services</w:t>
      </w:r>
      <w:r w:rsidR="00A65E2A">
        <w:rPr>
          <w:rFonts w:cs="Arial"/>
        </w:rPr>
        <w:t xml:space="preserve"> </w:t>
      </w:r>
      <w:r w:rsidR="002C44DD">
        <w:rPr>
          <w:rFonts w:cs="Arial"/>
        </w:rPr>
        <w:t xml:space="preserve">delivered </w:t>
      </w:r>
      <w:r w:rsidR="00A65E2A">
        <w:rPr>
          <w:rFonts w:cs="Arial"/>
        </w:rPr>
        <w:t>to the Queensland community</w:t>
      </w:r>
      <w:r w:rsidR="00F52886" w:rsidRPr="00F52886">
        <w:rPr>
          <w:rFonts w:cs="Arial"/>
        </w:rPr>
        <w:t xml:space="preserve">. </w:t>
      </w:r>
      <w:r w:rsidR="00AE4663">
        <w:rPr>
          <w:rFonts w:cs="Arial"/>
        </w:rPr>
        <w:t>E</w:t>
      </w:r>
      <w:r w:rsidR="00204D93" w:rsidRPr="004A2C19">
        <w:rPr>
          <w:rFonts w:cs="Arial"/>
        </w:rPr>
        <w:t>stimated actuals</w:t>
      </w:r>
      <w:r w:rsidR="00CC0CCA">
        <w:rPr>
          <w:rFonts w:cs="Arial"/>
        </w:rPr>
        <w:t xml:space="preserve"> are pr</w:t>
      </w:r>
      <w:r w:rsidR="00FB4F46">
        <w:rPr>
          <w:rFonts w:cs="Arial"/>
        </w:rPr>
        <w:t>epared</w:t>
      </w:r>
      <w:r w:rsidR="00204D93" w:rsidRPr="004A2C19">
        <w:rPr>
          <w:rFonts w:cs="Arial"/>
        </w:rPr>
        <w:t xml:space="preserve"> prior to the end of the financial year</w:t>
      </w:r>
      <w:r w:rsidR="00EC0C37">
        <w:rPr>
          <w:rFonts w:cs="Arial"/>
        </w:rPr>
        <w:t xml:space="preserve"> to </w:t>
      </w:r>
      <w:r w:rsidR="00FB4F46">
        <w:rPr>
          <w:rFonts w:cs="Arial"/>
        </w:rPr>
        <w:t xml:space="preserve">inform </w:t>
      </w:r>
      <w:r w:rsidR="00EC0C37">
        <w:rPr>
          <w:rFonts w:cs="Arial"/>
        </w:rPr>
        <w:t>the budget process</w:t>
      </w:r>
      <w:r w:rsidR="00204D93">
        <w:rPr>
          <w:rFonts w:cs="Arial"/>
        </w:rPr>
        <w:t xml:space="preserve">. </w:t>
      </w:r>
      <w:r w:rsidR="003B3EE1">
        <w:rPr>
          <w:rFonts w:cs="Arial"/>
        </w:rPr>
        <w:fldChar w:fldCharType="begin"/>
      </w:r>
      <w:r w:rsidR="003B3EE1">
        <w:rPr>
          <w:rFonts w:cs="Arial"/>
        </w:rPr>
        <w:instrText xml:space="preserve"> REF _Ref204672319 \h </w:instrText>
      </w:r>
      <w:r w:rsidR="003B3EE1">
        <w:rPr>
          <w:rFonts w:cs="Arial"/>
        </w:rPr>
      </w:r>
      <w:r w:rsidR="003B3EE1">
        <w:rPr>
          <w:rFonts w:cs="Arial"/>
        </w:rPr>
        <w:fldChar w:fldCharType="separate"/>
      </w:r>
      <w:r w:rsidR="003B3EE1">
        <w:t>Table 38</w:t>
      </w:r>
      <w:r w:rsidR="003B3EE1">
        <w:rPr>
          <w:rFonts w:cs="Arial"/>
        </w:rPr>
        <w:fldChar w:fldCharType="end"/>
      </w:r>
      <w:r w:rsidR="00BB78BF">
        <w:rPr>
          <w:rFonts w:cs="Arial"/>
        </w:rPr>
        <w:fldChar w:fldCharType="begin"/>
      </w:r>
      <w:r w:rsidR="00BB78BF">
        <w:rPr>
          <w:rFonts w:cs="Arial"/>
        </w:rPr>
        <w:instrText xml:space="preserve"> REF _Ref203982847 \h </w:instrText>
      </w:r>
      <w:r w:rsidR="00BB78BF">
        <w:rPr>
          <w:rFonts w:cs="Arial"/>
        </w:rPr>
      </w:r>
      <w:r w:rsidR="00BB78BF">
        <w:rPr>
          <w:rFonts w:cs="Arial"/>
        </w:rPr>
        <w:fldChar w:fldCharType="separate"/>
      </w:r>
      <w:r w:rsidR="00BB78BF">
        <w:rPr>
          <w:rFonts w:cs="Arial"/>
        </w:rPr>
        <w:fldChar w:fldCharType="end"/>
      </w:r>
      <w:r w:rsidR="00A45E9F">
        <w:rPr>
          <w:rFonts w:cs="Arial"/>
        </w:rPr>
        <w:t xml:space="preserve"> </w:t>
      </w:r>
      <w:r w:rsidR="00A45E9F">
        <w:t>outlines</w:t>
      </w:r>
      <w:r w:rsidR="00204D93">
        <w:rPr>
          <w:rFonts w:cs="Arial"/>
        </w:rPr>
        <w:t xml:space="preserve"> the </w:t>
      </w:r>
      <w:r w:rsidR="00204D93" w:rsidRPr="004A2C19">
        <w:rPr>
          <w:rFonts w:cs="Arial"/>
        </w:rPr>
        <w:t xml:space="preserve">actual </w:t>
      </w:r>
      <w:r w:rsidR="00B04EF2">
        <w:rPr>
          <w:rFonts w:cs="Arial"/>
        </w:rPr>
        <w:t xml:space="preserve">performance </w:t>
      </w:r>
      <w:r w:rsidR="00204D93" w:rsidRPr="004A2C19">
        <w:rPr>
          <w:rFonts w:cs="Arial"/>
        </w:rPr>
        <w:t xml:space="preserve">results </w:t>
      </w:r>
      <w:r w:rsidR="00B04EF2">
        <w:rPr>
          <w:rFonts w:cs="Arial"/>
        </w:rPr>
        <w:t xml:space="preserve">recorded </w:t>
      </w:r>
      <w:r w:rsidR="00B77808">
        <w:rPr>
          <w:rFonts w:cs="Arial"/>
        </w:rPr>
        <w:t>on</w:t>
      </w:r>
      <w:r w:rsidR="00204D93" w:rsidRPr="004A2C19">
        <w:rPr>
          <w:rFonts w:cs="Arial"/>
        </w:rPr>
        <w:t xml:space="preserve"> 30 June 202</w:t>
      </w:r>
      <w:r w:rsidR="00204D93">
        <w:rPr>
          <w:rFonts w:cs="Arial"/>
        </w:rPr>
        <w:t>5</w:t>
      </w:r>
      <w:r w:rsidR="00562345">
        <w:rPr>
          <w:rFonts w:cs="Arial"/>
        </w:rPr>
        <w:t xml:space="preserve">, </w:t>
      </w:r>
      <w:r w:rsidR="00172CD8">
        <w:rPr>
          <w:rFonts w:cs="Arial"/>
        </w:rPr>
        <w:t xml:space="preserve">including </w:t>
      </w:r>
      <w:r w:rsidR="00562345">
        <w:rPr>
          <w:rFonts w:cs="Arial"/>
        </w:rPr>
        <w:t>explanation</w:t>
      </w:r>
      <w:r w:rsidR="00172CD8">
        <w:rPr>
          <w:rFonts w:cs="Arial"/>
        </w:rPr>
        <w:t>s for</w:t>
      </w:r>
      <w:r w:rsidR="00204D93">
        <w:rPr>
          <w:rFonts w:cs="Arial"/>
        </w:rPr>
        <w:t xml:space="preserve"> </w:t>
      </w:r>
      <w:r w:rsidR="00204D93" w:rsidRPr="008D4EB2">
        <w:rPr>
          <w:rFonts w:cs="Arial"/>
        </w:rPr>
        <w:t xml:space="preserve">any significant variances between </w:t>
      </w:r>
      <w:r w:rsidR="00427BB8">
        <w:rPr>
          <w:rFonts w:cs="Arial"/>
        </w:rPr>
        <w:t xml:space="preserve">the </w:t>
      </w:r>
      <w:r w:rsidR="00204D93" w:rsidRPr="008D4EB2">
        <w:rPr>
          <w:rFonts w:cs="Arial"/>
        </w:rPr>
        <w:t>actual results</w:t>
      </w:r>
      <w:r w:rsidR="00427BB8">
        <w:rPr>
          <w:rFonts w:cs="Arial"/>
        </w:rPr>
        <w:t>,</w:t>
      </w:r>
      <w:r w:rsidR="00204D93" w:rsidRPr="008D4EB2">
        <w:rPr>
          <w:rFonts w:cs="Arial"/>
        </w:rPr>
        <w:t xml:space="preserve"> targets </w:t>
      </w:r>
      <w:r w:rsidR="00427BB8">
        <w:rPr>
          <w:rFonts w:cs="Arial"/>
        </w:rPr>
        <w:t>and</w:t>
      </w:r>
      <w:r w:rsidR="00204D93" w:rsidRPr="008D4EB2">
        <w:rPr>
          <w:rFonts w:cs="Arial"/>
        </w:rPr>
        <w:t xml:space="preserve"> estimated </w:t>
      </w:r>
      <w:r w:rsidR="00172CD8">
        <w:rPr>
          <w:rFonts w:cs="Arial"/>
        </w:rPr>
        <w:t>outcomes</w:t>
      </w:r>
      <w:r w:rsidR="00204D93" w:rsidRPr="008D4EB2">
        <w:rPr>
          <w:rFonts w:cs="Arial"/>
        </w:rPr>
        <w:t xml:space="preserve"> published in the </w:t>
      </w:r>
      <w:r w:rsidR="00324FFB">
        <w:rPr>
          <w:rFonts w:cs="Arial"/>
        </w:rPr>
        <w:t xml:space="preserve">2024–25 </w:t>
      </w:r>
      <w:r w:rsidR="00204D93" w:rsidRPr="008D4EB2">
        <w:rPr>
          <w:rFonts w:cs="Arial"/>
        </w:rPr>
        <w:t>SDS</w:t>
      </w:r>
      <w:r w:rsidR="00204D93">
        <w:rPr>
          <w:rFonts w:cs="Arial"/>
        </w:rPr>
        <w:t>.</w:t>
      </w:r>
      <w:bookmarkEnd w:id="292"/>
    </w:p>
    <w:p w14:paraId="117D8E29" w14:textId="1FD7CBBF" w:rsidR="00204D93" w:rsidRPr="007B59FA" w:rsidRDefault="00A45E9F" w:rsidP="00283DD8">
      <w:pPr>
        <w:pStyle w:val="Caption"/>
        <w:keepNext/>
        <w:spacing w:before="120" w:after="120"/>
      </w:pPr>
      <w:bookmarkStart w:id="293" w:name="_Ref204672319"/>
      <w:bookmarkStart w:id="294" w:name="_Ref203982847"/>
      <w:bookmarkStart w:id="295" w:name="_Ref202873290"/>
      <w:r>
        <w:t xml:space="preserve">Table </w:t>
      </w:r>
      <w:r w:rsidR="00617483">
        <w:t>38</w:t>
      </w:r>
      <w:bookmarkEnd w:id="293"/>
      <w:r>
        <w:fldChar w:fldCharType="begin"/>
      </w:r>
      <w:r>
        <w:instrText>SEQ Table \* ARABIC</w:instrText>
      </w:r>
      <w:r>
        <w:fldChar w:fldCharType="separate"/>
      </w:r>
      <w:r>
        <w:fldChar w:fldCharType="end"/>
      </w:r>
      <w:bookmarkEnd w:id="294"/>
      <w:r>
        <w:t xml:space="preserve">: </w:t>
      </w:r>
      <w:bookmarkStart w:id="296" w:name="_Ref202873656"/>
      <w:r w:rsidR="002D13E9">
        <w:t xml:space="preserve">The QBCC </w:t>
      </w:r>
      <w:r w:rsidR="00204D93" w:rsidRPr="00175AD8">
        <w:t xml:space="preserve">performance </w:t>
      </w:r>
      <w:r w:rsidR="007658BF">
        <w:t xml:space="preserve">in 2024–25 </w:t>
      </w:r>
      <w:r w:rsidR="00F82FC5">
        <w:t xml:space="preserve">measured </w:t>
      </w:r>
      <w:r w:rsidR="007658BF">
        <w:t xml:space="preserve">against the </w:t>
      </w:r>
      <w:r w:rsidR="00204D93" w:rsidRPr="00175AD8">
        <w:t xml:space="preserve">SDS </w:t>
      </w:r>
      <w:r w:rsidR="007658BF">
        <w:t>standards</w:t>
      </w:r>
      <w:bookmarkEnd w:id="295"/>
      <w:bookmarkEnd w:id="296"/>
    </w:p>
    <w:tbl>
      <w:tblPr>
        <w:tblW w:w="1080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7"/>
        <w:gridCol w:w="1276"/>
        <w:gridCol w:w="1412"/>
        <w:gridCol w:w="1418"/>
        <w:gridCol w:w="4146"/>
      </w:tblGrid>
      <w:tr w:rsidR="00EC1A8A" w:rsidRPr="00E44E32" w14:paraId="05FB3F86" w14:textId="77777777" w:rsidTr="00F352AD">
        <w:trPr>
          <w:trHeight w:val="921"/>
          <w:tblHeader/>
        </w:trPr>
        <w:tc>
          <w:tcPr>
            <w:tcW w:w="2557" w:type="dxa"/>
            <w:shd w:val="clear" w:color="auto" w:fill="A6A6A6" w:themeFill="background1" w:themeFillShade="A6"/>
            <w:vAlign w:val="center"/>
            <w:hideMark/>
          </w:tcPr>
          <w:p w14:paraId="18C38766" w14:textId="77777777" w:rsidR="00204D93" w:rsidRPr="004B26BC" w:rsidRDefault="00204D93" w:rsidP="00F352AD">
            <w:pPr>
              <w:spacing w:before="120"/>
              <w:rPr>
                <w:rFonts w:cs="Arial"/>
                <w:b/>
                <w:szCs w:val="22"/>
              </w:rPr>
            </w:pPr>
            <w:r w:rsidRPr="004B26BC">
              <w:rPr>
                <w:rFonts w:cs="Arial"/>
                <w:b/>
                <w:szCs w:val="22"/>
              </w:rPr>
              <w:t>Service standards</w:t>
            </w:r>
          </w:p>
          <w:p w14:paraId="202E18FE" w14:textId="77777777" w:rsidR="00204D93" w:rsidRPr="004B26BC" w:rsidRDefault="00204D93" w:rsidP="00F352AD">
            <w:pPr>
              <w:spacing w:before="120"/>
              <w:rPr>
                <w:rFonts w:cs="Arial"/>
                <w:b/>
                <w:szCs w:val="22"/>
              </w:rPr>
            </w:pPr>
          </w:p>
        </w:tc>
        <w:tc>
          <w:tcPr>
            <w:tcW w:w="1276" w:type="dxa"/>
            <w:shd w:val="clear" w:color="auto" w:fill="A6A6A6" w:themeFill="background1" w:themeFillShade="A6"/>
            <w:vAlign w:val="center"/>
            <w:hideMark/>
          </w:tcPr>
          <w:p w14:paraId="23817FF2" w14:textId="194AF7A5" w:rsidR="00204D93" w:rsidRPr="004B26BC" w:rsidRDefault="00204D93" w:rsidP="006F04CD">
            <w:pPr>
              <w:spacing w:before="120"/>
              <w:jc w:val="center"/>
              <w:rPr>
                <w:rFonts w:cs="Arial"/>
                <w:b/>
                <w:szCs w:val="22"/>
              </w:rPr>
            </w:pPr>
            <w:r w:rsidRPr="004B26BC">
              <w:rPr>
                <w:rFonts w:cs="Arial"/>
                <w:b/>
                <w:szCs w:val="22"/>
              </w:rPr>
              <w:t>2024–25</w:t>
            </w:r>
            <w:r>
              <w:rPr>
                <w:rFonts w:cs="Arial"/>
                <w:b/>
                <w:bCs/>
                <w:szCs w:val="22"/>
              </w:rPr>
              <w:t xml:space="preserve"> </w:t>
            </w:r>
            <w:r w:rsidRPr="004B26BC">
              <w:rPr>
                <w:rFonts w:cs="Arial"/>
                <w:b/>
                <w:szCs w:val="22"/>
              </w:rPr>
              <w:t>Target</w:t>
            </w:r>
            <w:r w:rsidR="00020352">
              <w:rPr>
                <w:rFonts w:cs="Arial"/>
                <w:b/>
                <w:szCs w:val="22"/>
              </w:rPr>
              <w:t xml:space="preserve"> </w:t>
            </w:r>
          </w:p>
        </w:tc>
        <w:tc>
          <w:tcPr>
            <w:tcW w:w="1412" w:type="dxa"/>
            <w:shd w:val="clear" w:color="auto" w:fill="A6A6A6" w:themeFill="background1" w:themeFillShade="A6"/>
            <w:vAlign w:val="center"/>
          </w:tcPr>
          <w:p w14:paraId="3A163F2E" w14:textId="06FCF5CD" w:rsidR="00204D93" w:rsidRPr="004B26BC" w:rsidRDefault="00204D93" w:rsidP="006F04CD">
            <w:pPr>
              <w:spacing w:before="120"/>
              <w:jc w:val="center"/>
              <w:rPr>
                <w:rFonts w:cs="Arial"/>
                <w:b/>
              </w:rPr>
            </w:pPr>
            <w:r w:rsidRPr="2976195E">
              <w:rPr>
                <w:rFonts w:cs="Arial"/>
                <w:b/>
              </w:rPr>
              <w:t>2024–25 Est. Actual</w:t>
            </w:r>
            <w:r w:rsidR="00020352" w:rsidRPr="2976195E">
              <w:rPr>
                <w:rFonts w:cs="Arial"/>
                <w:b/>
              </w:rPr>
              <w:t xml:space="preserve"> </w:t>
            </w:r>
          </w:p>
        </w:tc>
        <w:tc>
          <w:tcPr>
            <w:tcW w:w="1418" w:type="dxa"/>
            <w:shd w:val="clear" w:color="auto" w:fill="A6A6A6" w:themeFill="background1" w:themeFillShade="A6"/>
            <w:vAlign w:val="center"/>
          </w:tcPr>
          <w:p w14:paraId="0282A081" w14:textId="316E660E" w:rsidR="00204D93" w:rsidRPr="004B26BC" w:rsidRDefault="00204D93" w:rsidP="00BC683E">
            <w:pPr>
              <w:spacing w:before="120"/>
              <w:rPr>
                <w:rFonts w:cs="Arial"/>
                <w:b/>
                <w:szCs w:val="22"/>
              </w:rPr>
            </w:pPr>
            <w:r w:rsidRPr="004B26BC">
              <w:rPr>
                <w:rFonts w:cs="Arial"/>
                <w:b/>
                <w:szCs w:val="22"/>
              </w:rPr>
              <w:t>2024–25 Actual</w:t>
            </w:r>
          </w:p>
        </w:tc>
        <w:tc>
          <w:tcPr>
            <w:tcW w:w="4146" w:type="dxa"/>
            <w:shd w:val="clear" w:color="auto" w:fill="A6A6A6" w:themeFill="background1" w:themeFillShade="A6"/>
            <w:vAlign w:val="center"/>
            <w:hideMark/>
          </w:tcPr>
          <w:p w14:paraId="685431B4" w14:textId="5146CC64" w:rsidR="00204D93" w:rsidRPr="004B26BC" w:rsidRDefault="00204D93">
            <w:pPr>
              <w:spacing w:before="120"/>
              <w:rPr>
                <w:rFonts w:cs="Arial"/>
                <w:b/>
                <w:szCs w:val="22"/>
              </w:rPr>
            </w:pPr>
            <w:r w:rsidRPr="004B26BC">
              <w:rPr>
                <w:rFonts w:cs="Arial"/>
                <w:b/>
                <w:szCs w:val="22"/>
              </w:rPr>
              <w:t xml:space="preserve">Comment </w:t>
            </w:r>
          </w:p>
          <w:p w14:paraId="0103B31E" w14:textId="77777777" w:rsidR="00204D93" w:rsidRPr="004B26BC" w:rsidRDefault="00204D93">
            <w:pPr>
              <w:spacing w:before="120"/>
              <w:rPr>
                <w:rFonts w:cs="Arial"/>
                <w:b/>
                <w:szCs w:val="22"/>
              </w:rPr>
            </w:pPr>
          </w:p>
        </w:tc>
      </w:tr>
      <w:tr w:rsidR="00EC1A8A" w:rsidRPr="00ED4CA6" w14:paraId="029E6FC9" w14:textId="77777777" w:rsidTr="00283DD8">
        <w:trPr>
          <w:trHeight w:val="346"/>
        </w:trPr>
        <w:tc>
          <w:tcPr>
            <w:tcW w:w="10809" w:type="dxa"/>
            <w:gridSpan w:val="5"/>
            <w:shd w:val="clear" w:color="auto" w:fill="BFBFBF" w:themeFill="background1" w:themeFillShade="BF"/>
          </w:tcPr>
          <w:p w14:paraId="12C09EF2" w14:textId="77777777" w:rsidR="00204D93" w:rsidRPr="000B621B" w:rsidRDefault="00204D93">
            <w:pPr>
              <w:spacing w:before="120" w:after="120"/>
              <w:rPr>
                <w:rStyle w:val="Bold"/>
                <w:rFonts w:ascii="Arial" w:hAnsi="Arial" w:cs="Arial"/>
                <w:i/>
                <w:sz w:val="22"/>
                <w:szCs w:val="22"/>
              </w:rPr>
            </w:pPr>
            <w:r w:rsidRPr="000B621B">
              <w:rPr>
                <w:rStyle w:val="Bold"/>
                <w:rFonts w:ascii="Arial" w:hAnsi="Arial" w:cs="Arial"/>
                <w:i/>
                <w:sz w:val="22"/>
                <w:szCs w:val="22"/>
              </w:rPr>
              <w:t>Effectiveness measures</w:t>
            </w:r>
          </w:p>
        </w:tc>
      </w:tr>
      <w:tr w:rsidR="00204D93" w:rsidRPr="00417111" w14:paraId="5FFDB2D7" w14:textId="77777777">
        <w:trPr>
          <w:trHeight w:val="1053"/>
        </w:trPr>
        <w:tc>
          <w:tcPr>
            <w:tcW w:w="2557" w:type="dxa"/>
          </w:tcPr>
          <w:p w14:paraId="2A5D07ED" w14:textId="1B40AB1C" w:rsidR="00204D93" w:rsidRPr="004A2C19" w:rsidRDefault="00204D93">
            <w:pPr>
              <w:spacing w:before="120" w:after="120"/>
              <w:rPr>
                <w:rFonts w:cs="Arial"/>
              </w:rPr>
            </w:pPr>
            <w:r w:rsidRPr="004A2C19">
              <w:rPr>
                <w:rFonts w:cs="Arial"/>
              </w:rPr>
              <w:t>Perception of fairness</w:t>
            </w:r>
            <w:r w:rsidR="00AE7E62">
              <w:rPr>
                <w:rFonts w:cs="Arial"/>
              </w:rPr>
              <w:t xml:space="preserve"> </w:t>
            </w:r>
            <w:r w:rsidRPr="004A2C19">
              <w:rPr>
                <w:rFonts w:cs="Arial"/>
              </w:rPr>
              <w:t>in decision-making: percentage of survey respondents agree the final decision was fair</w:t>
            </w:r>
          </w:p>
        </w:tc>
        <w:tc>
          <w:tcPr>
            <w:tcW w:w="1276" w:type="dxa"/>
          </w:tcPr>
          <w:p w14:paraId="4E05D0F1" w14:textId="77777777" w:rsidR="00204D93" w:rsidRPr="00417111" w:rsidRDefault="00204D93">
            <w:pPr>
              <w:spacing w:before="120" w:after="120"/>
              <w:rPr>
                <w:rFonts w:cs="Arial"/>
              </w:rPr>
            </w:pPr>
            <w:r w:rsidRPr="00417111">
              <w:rPr>
                <w:rFonts w:cs="Arial"/>
              </w:rPr>
              <w:t>65%</w:t>
            </w:r>
          </w:p>
        </w:tc>
        <w:tc>
          <w:tcPr>
            <w:tcW w:w="1412" w:type="dxa"/>
          </w:tcPr>
          <w:p w14:paraId="502D824B" w14:textId="77777777" w:rsidR="00204D93" w:rsidRPr="00417111" w:rsidRDefault="00204D93">
            <w:pPr>
              <w:spacing w:before="120" w:after="120"/>
              <w:rPr>
                <w:rFonts w:cs="Arial"/>
              </w:rPr>
            </w:pPr>
            <w:r>
              <w:rPr>
                <w:rFonts w:cs="Arial"/>
              </w:rPr>
              <w:t>65%</w:t>
            </w:r>
          </w:p>
        </w:tc>
        <w:tc>
          <w:tcPr>
            <w:tcW w:w="1418" w:type="dxa"/>
          </w:tcPr>
          <w:p w14:paraId="7CEC61CA" w14:textId="1F8EEA13" w:rsidR="00204D93" w:rsidRPr="00417111" w:rsidRDefault="00F96164">
            <w:pPr>
              <w:spacing w:before="120" w:after="120"/>
              <w:rPr>
                <w:rFonts w:cs="Arial"/>
              </w:rPr>
            </w:pPr>
            <w:r w:rsidRPr="00F96164">
              <w:rPr>
                <w:rFonts w:cs="Arial"/>
              </w:rPr>
              <w:t>64.5%</w:t>
            </w:r>
          </w:p>
        </w:tc>
        <w:tc>
          <w:tcPr>
            <w:tcW w:w="4146" w:type="dxa"/>
          </w:tcPr>
          <w:p w14:paraId="13708DD4" w14:textId="66AE45B9" w:rsidR="00204D93" w:rsidRPr="00417111" w:rsidRDefault="62C8FCB0" w:rsidP="00766B8A">
            <w:pPr>
              <w:spacing w:before="120" w:after="120"/>
              <w:rPr>
                <w:rFonts w:cs="Arial"/>
              </w:rPr>
            </w:pPr>
            <w:r w:rsidRPr="08D0DD5B">
              <w:rPr>
                <w:rFonts w:cs="Arial"/>
              </w:rPr>
              <w:t>T</w:t>
            </w:r>
            <w:r w:rsidR="0061187E">
              <w:rPr>
                <w:rFonts w:cs="Arial"/>
              </w:rPr>
              <w:t>he t</w:t>
            </w:r>
            <w:r w:rsidRPr="08D0DD5B">
              <w:rPr>
                <w:rFonts w:cs="Arial"/>
              </w:rPr>
              <w:t>arget</w:t>
            </w:r>
            <w:r w:rsidR="0061187E">
              <w:rPr>
                <w:rFonts w:cs="Arial"/>
              </w:rPr>
              <w:t xml:space="preserve"> has been</w:t>
            </w:r>
            <w:r w:rsidRPr="08D0DD5B">
              <w:rPr>
                <w:rFonts w:cs="Arial"/>
              </w:rPr>
              <w:t xml:space="preserve"> </w:t>
            </w:r>
            <w:r w:rsidR="004A5EF4">
              <w:rPr>
                <w:rFonts w:cs="Arial"/>
              </w:rPr>
              <w:t xml:space="preserve">achieved </w:t>
            </w:r>
            <w:r w:rsidR="00BA247A">
              <w:rPr>
                <w:rFonts w:cs="Arial"/>
              </w:rPr>
              <w:t>with</w:t>
            </w:r>
            <w:r w:rsidR="0061187E">
              <w:rPr>
                <w:rFonts w:cs="Arial"/>
              </w:rPr>
              <w:t>in</w:t>
            </w:r>
            <w:r w:rsidR="00BA247A">
              <w:rPr>
                <w:rFonts w:cs="Arial"/>
              </w:rPr>
              <w:t xml:space="preserve"> </w:t>
            </w:r>
            <w:r w:rsidR="0061187E">
              <w:rPr>
                <w:rFonts w:cs="Arial"/>
              </w:rPr>
              <w:t xml:space="preserve">the </w:t>
            </w:r>
            <w:r w:rsidR="00E0667A">
              <w:rPr>
                <w:rFonts w:cs="Arial"/>
              </w:rPr>
              <w:t>acceptable variance</w:t>
            </w:r>
            <w:r w:rsidR="00026B8B">
              <w:rPr>
                <w:rFonts w:cs="Arial"/>
              </w:rPr>
              <w:t>.</w:t>
            </w:r>
          </w:p>
        </w:tc>
      </w:tr>
      <w:tr w:rsidR="00BB339B" w:rsidRPr="00417111" w14:paraId="379FC75C" w14:textId="77777777">
        <w:trPr>
          <w:trHeight w:val="1053"/>
        </w:trPr>
        <w:tc>
          <w:tcPr>
            <w:tcW w:w="2557" w:type="dxa"/>
          </w:tcPr>
          <w:p w14:paraId="240460D6" w14:textId="39DA3118" w:rsidR="00204D93" w:rsidRPr="004A2C19" w:rsidRDefault="00204D93">
            <w:pPr>
              <w:spacing w:before="120" w:after="120"/>
              <w:rPr>
                <w:rFonts w:cs="Arial"/>
              </w:rPr>
            </w:pPr>
            <w:r w:rsidRPr="003463A1">
              <w:rPr>
                <w:rFonts w:cs="Arial"/>
              </w:rPr>
              <w:t>Percentage of QBCC decisions set aside (within the financial year period) by the Queensland Civil and Administrative Tribunal</w:t>
            </w:r>
          </w:p>
        </w:tc>
        <w:tc>
          <w:tcPr>
            <w:tcW w:w="1276" w:type="dxa"/>
          </w:tcPr>
          <w:p w14:paraId="5703C6B6" w14:textId="77777777" w:rsidR="00204D93" w:rsidRPr="00417111" w:rsidRDefault="00204D93">
            <w:pPr>
              <w:spacing w:before="120" w:after="120"/>
              <w:rPr>
                <w:rFonts w:cs="Arial"/>
              </w:rPr>
            </w:pPr>
            <w:r w:rsidRPr="00417111">
              <w:rPr>
                <w:rFonts w:cs="Arial"/>
              </w:rPr>
              <w:t>7%</w:t>
            </w:r>
          </w:p>
        </w:tc>
        <w:tc>
          <w:tcPr>
            <w:tcW w:w="1412" w:type="dxa"/>
          </w:tcPr>
          <w:p w14:paraId="46EB0D35" w14:textId="77777777" w:rsidR="00204D93" w:rsidRPr="00417111" w:rsidRDefault="00204D93">
            <w:pPr>
              <w:spacing w:before="120" w:after="120"/>
              <w:rPr>
                <w:rFonts w:cs="Arial"/>
              </w:rPr>
            </w:pPr>
            <w:r>
              <w:rPr>
                <w:rFonts w:cs="Arial"/>
              </w:rPr>
              <w:t>12%</w:t>
            </w:r>
          </w:p>
        </w:tc>
        <w:tc>
          <w:tcPr>
            <w:tcW w:w="1418" w:type="dxa"/>
          </w:tcPr>
          <w:p w14:paraId="426682F8" w14:textId="54ADF3B2" w:rsidR="00204D93" w:rsidRPr="00417111" w:rsidRDefault="00F96164">
            <w:pPr>
              <w:spacing w:before="120" w:after="120"/>
              <w:rPr>
                <w:rFonts w:cs="Arial"/>
              </w:rPr>
            </w:pPr>
            <w:r w:rsidRPr="00F96164">
              <w:rPr>
                <w:rFonts w:cs="Arial"/>
              </w:rPr>
              <w:t>9.4%</w:t>
            </w:r>
            <w:r w:rsidR="00C33663">
              <w:rPr>
                <w:rStyle w:val="FootnoteReference"/>
                <w:rFonts w:cs="Arial"/>
              </w:rPr>
              <w:footnoteReference w:id="7"/>
            </w:r>
            <w:r w:rsidR="00780BFF" w:rsidRPr="00A57D9E">
              <w:rPr>
                <w:rFonts w:cs="Arial"/>
                <w:vertAlign w:val="superscript"/>
              </w:rPr>
              <w:t>,</w:t>
            </w:r>
            <w:r w:rsidR="00A2334A">
              <w:rPr>
                <w:rStyle w:val="FootnoteReference"/>
                <w:rFonts w:cs="Arial"/>
              </w:rPr>
              <w:footnoteReference w:id="8"/>
            </w:r>
          </w:p>
        </w:tc>
        <w:tc>
          <w:tcPr>
            <w:tcW w:w="4146" w:type="dxa"/>
          </w:tcPr>
          <w:p w14:paraId="71BB4054" w14:textId="095C8893" w:rsidR="00204D93" w:rsidRPr="00417111" w:rsidRDefault="00033715" w:rsidP="00BB339B">
            <w:pPr>
              <w:spacing w:before="120" w:after="120"/>
              <w:rPr>
                <w:rFonts w:cs="Arial"/>
              </w:rPr>
            </w:pPr>
            <w:r w:rsidRPr="00033715">
              <w:rPr>
                <w:rFonts w:cs="Arial"/>
              </w:rPr>
              <w:t>The variance from target is due to an increase in review applications and decisions made by QCAT involving the QBCC as respondent. It is also attributable to QCAT’s capacity to consider new evidence that was not available to the QBCC at the time of the original decision.</w:t>
            </w:r>
            <w:r w:rsidR="00F205DD">
              <w:rPr>
                <w:rFonts w:cs="Arial"/>
              </w:rPr>
              <w:t xml:space="preserve"> </w:t>
            </w:r>
            <w:r w:rsidR="006123FC">
              <w:rPr>
                <w:rFonts w:cs="Arial"/>
              </w:rPr>
              <w:t>Because</w:t>
            </w:r>
            <w:r w:rsidR="002A3F2B">
              <w:rPr>
                <w:rFonts w:cs="Arial"/>
              </w:rPr>
              <w:t xml:space="preserve"> estimates are based on historical data</w:t>
            </w:r>
            <w:r w:rsidR="00A420D8">
              <w:rPr>
                <w:rFonts w:cs="Arial"/>
              </w:rPr>
              <w:t>,</w:t>
            </w:r>
            <w:r w:rsidR="006C42BC">
              <w:rPr>
                <w:rFonts w:cs="Arial"/>
              </w:rPr>
              <w:t xml:space="preserve"> the</w:t>
            </w:r>
            <w:r w:rsidR="008904CF">
              <w:rPr>
                <w:rFonts w:cs="Arial"/>
              </w:rPr>
              <w:t xml:space="preserve"> actual</w:t>
            </w:r>
            <w:r w:rsidR="002F231C">
              <w:rPr>
                <w:rFonts w:cs="Arial"/>
              </w:rPr>
              <w:t xml:space="preserve"> </w:t>
            </w:r>
            <w:r w:rsidR="00BB339B">
              <w:rPr>
                <w:rFonts w:cs="Arial"/>
              </w:rPr>
              <w:t>number of</w:t>
            </w:r>
            <w:r w:rsidR="00A420D8">
              <w:rPr>
                <w:rFonts w:cs="Arial"/>
              </w:rPr>
              <w:t xml:space="preserve"> </w:t>
            </w:r>
            <w:r w:rsidR="007C53CF">
              <w:rPr>
                <w:rFonts w:cs="Arial"/>
              </w:rPr>
              <w:t>matters</w:t>
            </w:r>
            <w:r w:rsidR="003111CD">
              <w:rPr>
                <w:rFonts w:cs="Arial"/>
              </w:rPr>
              <w:t xml:space="preserve"> involving the QBCC</w:t>
            </w:r>
            <w:r w:rsidRPr="00033715">
              <w:rPr>
                <w:rFonts w:cs="Arial"/>
              </w:rPr>
              <w:t xml:space="preserve"> de</w:t>
            </w:r>
            <w:r w:rsidR="003111CD">
              <w:rPr>
                <w:rFonts w:cs="Arial"/>
              </w:rPr>
              <w:t xml:space="preserve">termined </w:t>
            </w:r>
            <w:r w:rsidRPr="00033715">
              <w:rPr>
                <w:rFonts w:cs="Arial"/>
              </w:rPr>
              <w:t xml:space="preserve">by </w:t>
            </w:r>
            <w:r w:rsidR="008904CF">
              <w:rPr>
                <w:rFonts w:cs="Arial"/>
              </w:rPr>
              <w:t xml:space="preserve">the </w:t>
            </w:r>
            <w:r w:rsidRPr="00033715">
              <w:rPr>
                <w:rFonts w:cs="Arial"/>
              </w:rPr>
              <w:t xml:space="preserve">QCAT and </w:t>
            </w:r>
            <w:r w:rsidR="007C53CF">
              <w:rPr>
                <w:rFonts w:cs="Arial"/>
              </w:rPr>
              <w:t xml:space="preserve">the </w:t>
            </w:r>
            <w:r w:rsidR="00423CA0">
              <w:rPr>
                <w:rFonts w:cs="Arial"/>
              </w:rPr>
              <w:t xml:space="preserve">proportion </w:t>
            </w:r>
            <w:r w:rsidR="0042608C">
              <w:rPr>
                <w:rFonts w:cs="Arial"/>
              </w:rPr>
              <w:t xml:space="preserve">of those </w:t>
            </w:r>
            <w:r w:rsidRPr="00033715">
              <w:rPr>
                <w:rFonts w:cs="Arial"/>
              </w:rPr>
              <w:t>decisions</w:t>
            </w:r>
            <w:r w:rsidR="0042608C">
              <w:rPr>
                <w:rFonts w:cs="Arial"/>
              </w:rPr>
              <w:t xml:space="preserve"> that may be</w:t>
            </w:r>
            <w:r w:rsidRPr="00033715">
              <w:rPr>
                <w:rFonts w:cs="Arial"/>
              </w:rPr>
              <w:t xml:space="preserve"> set aside</w:t>
            </w:r>
            <w:r w:rsidR="00AD722B">
              <w:rPr>
                <w:rFonts w:cs="Arial"/>
              </w:rPr>
              <w:t xml:space="preserve"> </w:t>
            </w:r>
            <w:r w:rsidR="001B0360">
              <w:rPr>
                <w:rFonts w:cs="Arial"/>
              </w:rPr>
              <w:t xml:space="preserve">can differ from past </w:t>
            </w:r>
            <w:r w:rsidR="008904CF">
              <w:rPr>
                <w:rFonts w:cs="Arial"/>
              </w:rPr>
              <w:t>outcomes</w:t>
            </w:r>
            <w:r w:rsidRPr="00033715">
              <w:rPr>
                <w:rFonts w:cs="Arial"/>
              </w:rPr>
              <w:t>.</w:t>
            </w:r>
          </w:p>
        </w:tc>
      </w:tr>
      <w:tr w:rsidR="00204D93" w:rsidRPr="00417111" w14:paraId="0B2417D5" w14:textId="77777777">
        <w:trPr>
          <w:trHeight w:val="1278"/>
        </w:trPr>
        <w:tc>
          <w:tcPr>
            <w:tcW w:w="2557" w:type="dxa"/>
          </w:tcPr>
          <w:p w14:paraId="00C4EF81" w14:textId="5CF13F7E" w:rsidR="00204D93" w:rsidRPr="004A2C19" w:rsidRDefault="00204D93">
            <w:pPr>
              <w:spacing w:before="120" w:after="120"/>
              <w:rPr>
                <w:rFonts w:cs="Arial"/>
              </w:rPr>
            </w:pPr>
            <w:r w:rsidRPr="004A2C19">
              <w:rPr>
                <w:rFonts w:cs="Arial"/>
              </w:rPr>
              <w:t xml:space="preserve">Percentage of licensees in category 4–7 who improved their financial position to meet minimum financial requirements to operate sustainably </w:t>
            </w:r>
            <w:proofErr w:type="gramStart"/>
            <w:r w:rsidRPr="004A2C19">
              <w:rPr>
                <w:rFonts w:cs="Arial"/>
              </w:rPr>
              <w:t>as a result of</w:t>
            </w:r>
            <w:proofErr w:type="gramEnd"/>
            <w:r w:rsidRPr="004A2C19">
              <w:rPr>
                <w:rFonts w:cs="Arial"/>
              </w:rPr>
              <w:t xml:space="preserve"> QBCC regulatory action</w:t>
            </w:r>
          </w:p>
        </w:tc>
        <w:tc>
          <w:tcPr>
            <w:tcW w:w="1276" w:type="dxa"/>
          </w:tcPr>
          <w:p w14:paraId="1E24C769" w14:textId="77777777" w:rsidR="00204D93" w:rsidRPr="00417111" w:rsidRDefault="00204D93">
            <w:pPr>
              <w:spacing w:before="120" w:after="120"/>
              <w:rPr>
                <w:rFonts w:cs="Arial"/>
              </w:rPr>
            </w:pPr>
            <w:r w:rsidRPr="00417111">
              <w:rPr>
                <w:rFonts w:cs="Arial"/>
              </w:rPr>
              <w:t>80%</w:t>
            </w:r>
          </w:p>
        </w:tc>
        <w:tc>
          <w:tcPr>
            <w:tcW w:w="1412" w:type="dxa"/>
          </w:tcPr>
          <w:p w14:paraId="0402CCAF" w14:textId="77777777" w:rsidR="00204D93" w:rsidRPr="00417111" w:rsidRDefault="00204D93">
            <w:pPr>
              <w:spacing w:before="120" w:after="120"/>
              <w:rPr>
                <w:rFonts w:cs="Arial"/>
              </w:rPr>
            </w:pPr>
            <w:r>
              <w:rPr>
                <w:rFonts w:cs="Arial"/>
              </w:rPr>
              <w:t>88%</w:t>
            </w:r>
          </w:p>
        </w:tc>
        <w:tc>
          <w:tcPr>
            <w:tcW w:w="1418" w:type="dxa"/>
          </w:tcPr>
          <w:p w14:paraId="7A7303C4" w14:textId="5363258C" w:rsidR="00204D93" w:rsidRPr="00417111" w:rsidRDefault="00F96164">
            <w:pPr>
              <w:spacing w:before="120" w:after="120"/>
              <w:rPr>
                <w:rFonts w:cs="Arial"/>
              </w:rPr>
            </w:pPr>
            <w:r w:rsidRPr="00F96164">
              <w:rPr>
                <w:rFonts w:cs="Arial"/>
              </w:rPr>
              <w:t>90%</w:t>
            </w:r>
            <w:r w:rsidR="00E6218E" w:rsidRPr="00A57D9E">
              <w:rPr>
                <w:rFonts w:cs="Arial"/>
                <w:vertAlign w:val="superscript"/>
              </w:rPr>
              <w:t>7</w:t>
            </w:r>
          </w:p>
        </w:tc>
        <w:tc>
          <w:tcPr>
            <w:tcW w:w="4146" w:type="dxa"/>
          </w:tcPr>
          <w:p w14:paraId="29646284" w14:textId="02886A01" w:rsidR="00204D93" w:rsidRPr="00417111" w:rsidRDefault="0016266C" w:rsidP="0016266C">
            <w:pPr>
              <w:spacing w:before="120" w:after="120"/>
              <w:rPr>
                <w:rFonts w:cs="Arial"/>
              </w:rPr>
            </w:pPr>
            <w:r w:rsidRPr="0016266C">
              <w:rPr>
                <w:rFonts w:cs="Arial"/>
              </w:rPr>
              <w:t xml:space="preserve">The variance from </w:t>
            </w:r>
            <w:r w:rsidR="00CB3E6A">
              <w:rPr>
                <w:rFonts w:cs="Arial"/>
              </w:rPr>
              <w:t xml:space="preserve">the </w:t>
            </w:r>
            <w:r w:rsidRPr="0016266C">
              <w:rPr>
                <w:rFonts w:cs="Arial"/>
              </w:rPr>
              <w:t xml:space="preserve">target is due to proactive engagement </w:t>
            </w:r>
            <w:r w:rsidR="008301E1">
              <w:rPr>
                <w:rFonts w:cs="Arial"/>
              </w:rPr>
              <w:t>activities</w:t>
            </w:r>
            <w:r w:rsidRPr="0016266C">
              <w:rPr>
                <w:rFonts w:cs="Arial"/>
              </w:rPr>
              <w:t xml:space="preserve"> and regulatory actions undertaken </w:t>
            </w:r>
            <w:r w:rsidR="008301E1">
              <w:rPr>
                <w:rFonts w:cs="Arial"/>
              </w:rPr>
              <w:t xml:space="preserve">throughout the year </w:t>
            </w:r>
            <w:r w:rsidRPr="0016266C">
              <w:rPr>
                <w:rFonts w:cs="Arial"/>
              </w:rPr>
              <w:t>to support licensees in meeting minimum financial requirements.</w:t>
            </w:r>
          </w:p>
        </w:tc>
      </w:tr>
      <w:tr w:rsidR="00EC1A8A" w:rsidRPr="00417111" w14:paraId="24DAD2BF" w14:textId="77777777" w:rsidTr="005D5446">
        <w:trPr>
          <w:trHeight w:val="346"/>
        </w:trPr>
        <w:tc>
          <w:tcPr>
            <w:tcW w:w="10809" w:type="dxa"/>
            <w:gridSpan w:val="5"/>
            <w:shd w:val="clear" w:color="auto" w:fill="BFBFBF" w:themeFill="background1" w:themeFillShade="BF"/>
          </w:tcPr>
          <w:p w14:paraId="02B2EA80" w14:textId="77777777" w:rsidR="00204D93" w:rsidRPr="000B621B" w:rsidRDefault="00204D93">
            <w:pPr>
              <w:spacing w:before="120" w:after="120"/>
              <w:rPr>
                <w:rStyle w:val="Bold"/>
                <w:rFonts w:ascii="Arial" w:hAnsi="Arial" w:cs="Arial"/>
                <w:i/>
                <w:sz w:val="22"/>
                <w:szCs w:val="22"/>
              </w:rPr>
            </w:pPr>
            <w:r w:rsidRPr="000B621B">
              <w:rPr>
                <w:rStyle w:val="Bold"/>
                <w:rFonts w:ascii="Arial" w:hAnsi="Arial" w:cs="Arial"/>
                <w:i/>
                <w:sz w:val="22"/>
                <w:szCs w:val="22"/>
              </w:rPr>
              <w:t>Efficiency measures</w:t>
            </w:r>
          </w:p>
        </w:tc>
      </w:tr>
      <w:tr w:rsidR="00204D93" w:rsidRPr="00417111" w14:paraId="6310758F" w14:textId="77777777">
        <w:trPr>
          <w:trHeight w:val="827"/>
        </w:trPr>
        <w:tc>
          <w:tcPr>
            <w:tcW w:w="2557" w:type="dxa"/>
          </w:tcPr>
          <w:p w14:paraId="46441250" w14:textId="714F2398" w:rsidR="00204D93" w:rsidRPr="004A2C19" w:rsidRDefault="00204D93">
            <w:pPr>
              <w:spacing w:before="120" w:after="120"/>
              <w:rPr>
                <w:rFonts w:cs="Arial"/>
              </w:rPr>
            </w:pPr>
            <w:r w:rsidRPr="00625B73">
              <w:rPr>
                <w:rFonts w:cs="Arial"/>
              </w:rPr>
              <w:t>Cost</w:t>
            </w:r>
            <w:r w:rsidRPr="004A2C19">
              <w:rPr>
                <w:rFonts w:cs="Arial"/>
              </w:rPr>
              <w:t xml:space="preserve"> of recovering $1.00 of funds owed to creditors</w:t>
            </w:r>
          </w:p>
        </w:tc>
        <w:tc>
          <w:tcPr>
            <w:tcW w:w="1276" w:type="dxa"/>
          </w:tcPr>
          <w:p w14:paraId="3C7F694B" w14:textId="77777777" w:rsidR="00204D93" w:rsidRPr="00417111" w:rsidRDefault="00204D93">
            <w:pPr>
              <w:spacing w:before="120" w:after="120"/>
              <w:rPr>
                <w:rFonts w:cs="Arial"/>
              </w:rPr>
            </w:pPr>
            <w:r w:rsidRPr="00417111">
              <w:rPr>
                <w:rFonts w:cs="Arial"/>
              </w:rPr>
              <w:t>$0.55</w:t>
            </w:r>
          </w:p>
        </w:tc>
        <w:tc>
          <w:tcPr>
            <w:tcW w:w="1412" w:type="dxa"/>
          </w:tcPr>
          <w:p w14:paraId="7EF7411A" w14:textId="77777777" w:rsidR="00204D93" w:rsidRPr="00417111" w:rsidRDefault="00204D93">
            <w:pPr>
              <w:spacing w:before="120" w:after="120"/>
              <w:rPr>
                <w:rFonts w:cs="Arial"/>
              </w:rPr>
            </w:pPr>
            <w:r>
              <w:rPr>
                <w:rFonts w:cs="Arial"/>
              </w:rPr>
              <w:t>$0.89</w:t>
            </w:r>
          </w:p>
        </w:tc>
        <w:tc>
          <w:tcPr>
            <w:tcW w:w="1418" w:type="dxa"/>
          </w:tcPr>
          <w:p w14:paraId="6E8980FF" w14:textId="0BAFEE4D" w:rsidR="00204D93" w:rsidRPr="00417111" w:rsidRDefault="00E84B11">
            <w:pPr>
              <w:spacing w:before="120" w:after="120"/>
              <w:rPr>
                <w:rFonts w:cs="Arial"/>
              </w:rPr>
            </w:pPr>
            <w:r w:rsidRPr="0039215A">
              <w:rPr>
                <w:rFonts w:cs="Arial"/>
              </w:rPr>
              <w:t>$0.74</w:t>
            </w:r>
            <w:r>
              <w:rPr>
                <w:rFonts w:cs="Arial"/>
                <w:vertAlign w:val="superscript"/>
              </w:rPr>
              <w:t>6</w:t>
            </w:r>
            <w:r w:rsidRPr="007D15A6">
              <w:rPr>
                <w:rFonts w:cs="Arial"/>
                <w:vertAlign w:val="superscript"/>
              </w:rPr>
              <w:t>,</w:t>
            </w:r>
            <w:r>
              <w:rPr>
                <w:rFonts w:cs="Arial"/>
                <w:vertAlign w:val="superscript"/>
              </w:rPr>
              <w:t>7</w:t>
            </w:r>
          </w:p>
        </w:tc>
        <w:tc>
          <w:tcPr>
            <w:tcW w:w="4146" w:type="dxa"/>
          </w:tcPr>
          <w:p w14:paraId="5BB6871B" w14:textId="09C878B7" w:rsidR="00204D93" w:rsidRPr="00417111" w:rsidRDefault="00714C80" w:rsidP="0703F47F">
            <w:pPr>
              <w:spacing w:before="120" w:after="120"/>
              <w:rPr>
                <w:rFonts w:cs="Arial"/>
              </w:rPr>
            </w:pPr>
            <w:r w:rsidRPr="00714C80">
              <w:rPr>
                <w:rFonts w:cs="Arial"/>
              </w:rPr>
              <w:t xml:space="preserve">The variance from </w:t>
            </w:r>
            <w:r w:rsidR="00CB3E6A">
              <w:rPr>
                <w:rFonts w:cs="Arial"/>
              </w:rPr>
              <w:t xml:space="preserve">the </w:t>
            </w:r>
            <w:r w:rsidRPr="00714C80">
              <w:rPr>
                <w:rFonts w:cs="Arial"/>
              </w:rPr>
              <w:t>target</w:t>
            </w:r>
            <w:r w:rsidR="00DF66EA">
              <w:rPr>
                <w:rFonts w:cs="Arial"/>
              </w:rPr>
              <w:t xml:space="preserve"> and </w:t>
            </w:r>
            <w:r w:rsidRPr="00714C80">
              <w:rPr>
                <w:rFonts w:cs="Arial"/>
              </w:rPr>
              <w:t xml:space="preserve">estimated actual is due to a decrease in the number of complaints </w:t>
            </w:r>
            <w:r w:rsidRPr="3C59FE5F">
              <w:rPr>
                <w:rFonts w:cs="Arial"/>
              </w:rPr>
              <w:t>receiv</w:t>
            </w:r>
            <w:r w:rsidR="004E2B5B">
              <w:rPr>
                <w:rFonts w:cs="Arial"/>
              </w:rPr>
              <w:t xml:space="preserve">ed </w:t>
            </w:r>
            <w:r w:rsidRPr="3C59FE5F">
              <w:rPr>
                <w:rFonts w:cs="Arial"/>
              </w:rPr>
              <w:t xml:space="preserve">and </w:t>
            </w:r>
            <w:r w:rsidRPr="3C59FE5F">
              <w:rPr>
                <w:rFonts w:cs="Arial"/>
              </w:rPr>
              <w:lastRenderedPageBreak/>
              <w:t>a reduction in the amounts returned to creditors.</w:t>
            </w:r>
            <w:r w:rsidR="00091AC0">
              <w:rPr>
                <w:rFonts w:cs="Arial"/>
              </w:rPr>
              <w:t xml:space="preserve"> </w:t>
            </w:r>
            <w:r w:rsidR="00961190">
              <w:rPr>
                <w:rFonts w:cs="Arial"/>
              </w:rPr>
              <w:t xml:space="preserve">The </w:t>
            </w:r>
            <w:r w:rsidR="008826EC">
              <w:rPr>
                <w:rFonts w:cs="Arial"/>
              </w:rPr>
              <w:t>decline</w:t>
            </w:r>
            <w:r w:rsidR="00961190">
              <w:rPr>
                <w:rFonts w:cs="Arial"/>
              </w:rPr>
              <w:t xml:space="preserve"> in</w:t>
            </w:r>
            <w:r w:rsidR="00091AC0" w:rsidRPr="42F540BC">
              <w:rPr>
                <w:rFonts w:cs="Arial"/>
              </w:rPr>
              <w:t xml:space="preserve"> </w:t>
            </w:r>
            <w:r w:rsidR="00091AC0">
              <w:rPr>
                <w:rFonts w:cs="Arial"/>
              </w:rPr>
              <w:t>m</w:t>
            </w:r>
            <w:r w:rsidR="00091AC0" w:rsidRPr="42F540BC">
              <w:rPr>
                <w:rFonts w:cs="Arial"/>
              </w:rPr>
              <w:t xml:space="preserve">onies </w:t>
            </w:r>
            <w:r w:rsidR="00091AC0">
              <w:rPr>
                <w:rFonts w:cs="Arial"/>
              </w:rPr>
              <w:t>o</w:t>
            </w:r>
            <w:r w:rsidR="00091AC0" w:rsidRPr="42F540BC">
              <w:rPr>
                <w:rFonts w:cs="Arial"/>
              </w:rPr>
              <w:t xml:space="preserve">wed </w:t>
            </w:r>
            <w:r w:rsidR="00091AC0">
              <w:rPr>
                <w:rFonts w:cs="Arial"/>
              </w:rPr>
              <w:t>c</w:t>
            </w:r>
            <w:r w:rsidR="00091AC0" w:rsidRPr="42F540BC">
              <w:rPr>
                <w:rFonts w:cs="Arial"/>
              </w:rPr>
              <w:t>omplaints</w:t>
            </w:r>
            <w:r w:rsidR="00091AC0">
              <w:rPr>
                <w:rFonts w:cs="Arial"/>
              </w:rPr>
              <w:t>,</w:t>
            </w:r>
            <w:r w:rsidR="00091AC0" w:rsidRPr="42F540BC">
              <w:rPr>
                <w:rFonts w:cs="Arial"/>
              </w:rPr>
              <w:t xml:space="preserve"> and </w:t>
            </w:r>
            <w:r w:rsidR="00091AC0">
              <w:rPr>
                <w:rFonts w:cs="Arial"/>
              </w:rPr>
              <w:t xml:space="preserve">the resulting </w:t>
            </w:r>
            <w:r w:rsidR="00091AC0" w:rsidRPr="10F42DB6">
              <w:rPr>
                <w:rFonts w:cs="Arial"/>
              </w:rPr>
              <w:t xml:space="preserve">increase in </w:t>
            </w:r>
            <w:r w:rsidR="00091AC0" w:rsidRPr="5BAD482B">
              <w:rPr>
                <w:rFonts w:cs="Arial"/>
              </w:rPr>
              <w:t xml:space="preserve">the unit cost </w:t>
            </w:r>
            <w:r w:rsidR="00961190">
              <w:rPr>
                <w:rFonts w:cs="Arial"/>
              </w:rPr>
              <w:t>of</w:t>
            </w:r>
            <w:r w:rsidR="00091AC0" w:rsidRPr="5BAD482B">
              <w:rPr>
                <w:rFonts w:cs="Arial"/>
              </w:rPr>
              <w:t xml:space="preserve"> recover</w:t>
            </w:r>
            <w:r w:rsidR="00961190">
              <w:rPr>
                <w:rFonts w:cs="Arial"/>
              </w:rPr>
              <w:t>y,</w:t>
            </w:r>
            <w:r w:rsidR="00091AC0" w:rsidRPr="5BAD482B">
              <w:rPr>
                <w:rFonts w:cs="Arial"/>
              </w:rPr>
              <w:t xml:space="preserve"> </w:t>
            </w:r>
            <w:r w:rsidR="008E454E">
              <w:rPr>
                <w:rFonts w:cs="Arial"/>
              </w:rPr>
              <w:t>reflects</w:t>
            </w:r>
            <w:r w:rsidR="00586635">
              <w:rPr>
                <w:rFonts w:cs="Arial"/>
              </w:rPr>
              <w:t xml:space="preserve"> </w:t>
            </w:r>
            <w:r w:rsidR="00091AC0" w:rsidRPr="0AB35B32">
              <w:rPr>
                <w:rFonts w:cs="Arial"/>
              </w:rPr>
              <w:t xml:space="preserve">improved payment compliance and </w:t>
            </w:r>
            <w:r w:rsidR="00091AC0" w:rsidRPr="66DF3170">
              <w:rPr>
                <w:rFonts w:cs="Arial"/>
              </w:rPr>
              <w:t>credit</w:t>
            </w:r>
            <w:r w:rsidR="00091AC0" w:rsidRPr="2CCD96FE">
              <w:rPr>
                <w:rFonts w:cs="Arial"/>
              </w:rPr>
              <w:t>-management</w:t>
            </w:r>
            <w:r w:rsidR="00091AC0" w:rsidRPr="0AB35B32">
              <w:rPr>
                <w:rFonts w:cs="Arial"/>
              </w:rPr>
              <w:t xml:space="preserve"> by </w:t>
            </w:r>
            <w:r w:rsidR="00091AC0">
              <w:rPr>
                <w:rFonts w:cs="Arial"/>
              </w:rPr>
              <w:t>l</w:t>
            </w:r>
            <w:r w:rsidR="00091AC0" w:rsidRPr="0AB35B32">
              <w:rPr>
                <w:rFonts w:cs="Arial"/>
              </w:rPr>
              <w:t>icensees.</w:t>
            </w:r>
          </w:p>
          <w:p w14:paraId="2C26AEE6" w14:textId="514BFD07" w:rsidR="00204D93" w:rsidRPr="00417111" w:rsidRDefault="00204D93" w:rsidP="00714C80">
            <w:pPr>
              <w:spacing w:before="120" w:after="120"/>
              <w:rPr>
                <w:rFonts w:cs="Arial"/>
              </w:rPr>
            </w:pPr>
          </w:p>
        </w:tc>
      </w:tr>
      <w:tr w:rsidR="00204D93" w:rsidRPr="00417111" w14:paraId="194719E3" w14:textId="77777777">
        <w:trPr>
          <w:trHeight w:val="1278"/>
        </w:trPr>
        <w:tc>
          <w:tcPr>
            <w:tcW w:w="2557" w:type="dxa"/>
          </w:tcPr>
          <w:p w14:paraId="49A8FA32" w14:textId="73D8BE69" w:rsidR="00204D93" w:rsidRPr="00417111" w:rsidRDefault="00204D93">
            <w:pPr>
              <w:spacing w:before="120" w:after="120"/>
              <w:rPr>
                <w:rFonts w:cs="Arial"/>
              </w:rPr>
            </w:pPr>
            <w:r w:rsidRPr="004A2C19">
              <w:rPr>
                <w:rFonts w:cs="Arial"/>
              </w:rPr>
              <w:lastRenderedPageBreak/>
              <w:t xml:space="preserve">Cost to assess and finalise a new licence application made under the </w:t>
            </w:r>
            <w:r w:rsidRPr="00AA1701">
              <w:rPr>
                <w:rFonts w:cs="Arial"/>
                <w:i/>
              </w:rPr>
              <w:t>Queensland Building and Construction Act 1991</w:t>
            </w:r>
            <w:r w:rsidRPr="004A2C19">
              <w:rPr>
                <w:rFonts w:cs="Arial"/>
              </w:rPr>
              <w:t xml:space="preserve">, the </w:t>
            </w:r>
            <w:r w:rsidRPr="00AA1701">
              <w:rPr>
                <w:rFonts w:cs="Arial"/>
                <w:i/>
              </w:rPr>
              <w:t>Building Act 1975</w:t>
            </w:r>
            <w:r w:rsidRPr="004A2C19">
              <w:rPr>
                <w:rFonts w:cs="Arial"/>
              </w:rPr>
              <w:t xml:space="preserve">, and the </w:t>
            </w:r>
            <w:r w:rsidRPr="00AA1701">
              <w:rPr>
                <w:rFonts w:cs="Arial"/>
                <w:i/>
              </w:rPr>
              <w:t>Plumbing and Drainage Act 2018</w:t>
            </w:r>
          </w:p>
        </w:tc>
        <w:tc>
          <w:tcPr>
            <w:tcW w:w="1276" w:type="dxa"/>
          </w:tcPr>
          <w:p w14:paraId="72933850" w14:textId="17D976B9" w:rsidR="00204D93" w:rsidRPr="00417111" w:rsidRDefault="00204D93">
            <w:pPr>
              <w:spacing w:before="120" w:after="120"/>
              <w:rPr>
                <w:rFonts w:cs="Arial"/>
              </w:rPr>
            </w:pPr>
            <w:r w:rsidRPr="00417111">
              <w:rPr>
                <w:rFonts w:cs="Arial"/>
              </w:rPr>
              <w:t>$1,500</w:t>
            </w:r>
            <w:r w:rsidR="00B415E6">
              <w:rPr>
                <w:rFonts w:cs="Arial"/>
              </w:rPr>
              <w:t>.00</w:t>
            </w:r>
          </w:p>
        </w:tc>
        <w:tc>
          <w:tcPr>
            <w:tcW w:w="1412" w:type="dxa"/>
          </w:tcPr>
          <w:p w14:paraId="14E44156" w14:textId="1B4592D7" w:rsidR="00204D93" w:rsidRPr="00417111" w:rsidRDefault="00204D93">
            <w:pPr>
              <w:spacing w:before="120" w:after="120"/>
              <w:rPr>
                <w:rFonts w:cs="Arial"/>
              </w:rPr>
            </w:pPr>
            <w:r>
              <w:rPr>
                <w:rFonts w:cs="Arial"/>
              </w:rPr>
              <w:t>$1,552</w:t>
            </w:r>
            <w:r w:rsidR="00B415E6">
              <w:rPr>
                <w:rFonts w:cs="Arial"/>
              </w:rPr>
              <w:t>.00</w:t>
            </w:r>
          </w:p>
        </w:tc>
        <w:tc>
          <w:tcPr>
            <w:tcW w:w="1418" w:type="dxa"/>
          </w:tcPr>
          <w:p w14:paraId="13AB45DB" w14:textId="02DD37DC" w:rsidR="00204D93" w:rsidRPr="00417111" w:rsidRDefault="001F5565">
            <w:pPr>
              <w:spacing w:before="120" w:after="120"/>
              <w:rPr>
                <w:rFonts w:cs="Arial"/>
              </w:rPr>
            </w:pPr>
            <w:r w:rsidRPr="001F5565">
              <w:rPr>
                <w:rFonts w:cs="Arial"/>
              </w:rPr>
              <w:t>$1,474.25</w:t>
            </w:r>
          </w:p>
        </w:tc>
        <w:tc>
          <w:tcPr>
            <w:tcW w:w="4146" w:type="dxa"/>
          </w:tcPr>
          <w:p w14:paraId="2CA38C38" w14:textId="1BD34F53" w:rsidR="00204D93" w:rsidRPr="00417111" w:rsidRDefault="00737F9C">
            <w:pPr>
              <w:spacing w:before="120" w:after="120"/>
              <w:rPr>
                <w:rFonts w:cs="Arial"/>
              </w:rPr>
            </w:pPr>
            <w:r w:rsidRPr="00737F9C">
              <w:rPr>
                <w:rFonts w:cs="Arial"/>
              </w:rPr>
              <w:t xml:space="preserve">The target has been </w:t>
            </w:r>
            <w:r w:rsidR="00501DEA">
              <w:rPr>
                <w:rFonts w:cs="Arial"/>
              </w:rPr>
              <w:t>achieved</w:t>
            </w:r>
            <w:r w:rsidR="00657D2A" w:rsidRPr="00657D2A">
              <w:rPr>
                <w:rFonts w:cs="Arial"/>
              </w:rPr>
              <w:t>.</w:t>
            </w:r>
          </w:p>
        </w:tc>
      </w:tr>
      <w:tr w:rsidR="00EC1A8A" w:rsidRPr="00417111" w14:paraId="67F42736" w14:textId="77777777" w:rsidTr="005D5446">
        <w:trPr>
          <w:trHeight w:val="361"/>
        </w:trPr>
        <w:tc>
          <w:tcPr>
            <w:tcW w:w="10809" w:type="dxa"/>
            <w:gridSpan w:val="5"/>
            <w:shd w:val="clear" w:color="auto" w:fill="BFBFBF" w:themeFill="background1" w:themeFillShade="BF"/>
          </w:tcPr>
          <w:p w14:paraId="57B8CF43" w14:textId="77777777" w:rsidR="00204D93" w:rsidRPr="000B621B" w:rsidRDefault="00204D93">
            <w:pPr>
              <w:spacing w:before="120" w:after="120"/>
              <w:rPr>
                <w:rStyle w:val="Bold"/>
                <w:rFonts w:ascii="Arial" w:hAnsi="Arial" w:cs="Arial"/>
                <w:i/>
                <w:sz w:val="22"/>
                <w:szCs w:val="22"/>
              </w:rPr>
            </w:pPr>
            <w:r w:rsidRPr="000B621B">
              <w:rPr>
                <w:rStyle w:val="Bold"/>
                <w:rFonts w:ascii="Arial" w:hAnsi="Arial" w:cs="Arial"/>
                <w:i/>
                <w:sz w:val="22"/>
                <w:szCs w:val="22"/>
              </w:rPr>
              <w:t>Other measures</w:t>
            </w:r>
          </w:p>
        </w:tc>
      </w:tr>
      <w:tr w:rsidR="00204D93" w:rsidRPr="00417111" w14:paraId="6837D3B9" w14:textId="77777777">
        <w:trPr>
          <w:trHeight w:val="812"/>
        </w:trPr>
        <w:tc>
          <w:tcPr>
            <w:tcW w:w="2557" w:type="dxa"/>
          </w:tcPr>
          <w:p w14:paraId="09C63A99" w14:textId="7B0A5442" w:rsidR="00204D93" w:rsidRPr="00417111" w:rsidRDefault="00204D93">
            <w:pPr>
              <w:spacing w:before="120" w:after="120"/>
              <w:rPr>
                <w:rFonts w:cs="Arial"/>
              </w:rPr>
            </w:pPr>
            <w:r w:rsidRPr="00625B73">
              <w:rPr>
                <w:rFonts w:cs="Arial"/>
              </w:rPr>
              <w:t>Percentage</w:t>
            </w:r>
            <w:r w:rsidRPr="00417111">
              <w:rPr>
                <w:rFonts w:cs="Arial"/>
              </w:rPr>
              <w:t xml:space="preserve"> of </w:t>
            </w:r>
            <w:r w:rsidR="00BA293B">
              <w:rPr>
                <w:rFonts w:cs="Arial"/>
              </w:rPr>
              <w:t>early dispute resolution</w:t>
            </w:r>
            <w:r w:rsidRPr="00417111">
              <w:rPr>
                <w:rFonts w:cs="Arial"/>
              </w:rPr>
              <w:t xml:space="preserve"> cases finalised within 28 days</w:t>
            </w:r>
          </w:p>
        </w:tc>
        <w:tc>
          <w:tcPr>
            <w:tcW w:w="1276" w:type="dxa"/>
          </w:tcPr>
          <w:p w14:paraId="14C2AAE5" w14:textId="77777777" w:rsidR="00204D93" w:rsidRPr="00417111" w:rsidRDefault="00204D93">
            <w:pPr>
              <w:spacing w:before="120" w:after="120"/>
              <w:rPr>
                <w:rFonts w:cs="Arial"/>
              </w:rPr>
            </w:pPr>
            <w:r w:rsidRPr="00417111">
              <w:rPr>
                <w:rFonts w:cs="Arial"/>
              </w:rPr>
              <w:t>80%</w:t>
            </w:r>
          </w:p>
        </w:tc>
        <w:tc>
          <w:tcPr>
            <w:tcW w:w="1412" w:type="dxa"/>
          </w:tcPr>
          <w:p w14:paraId="0B22C639" w14:textId="77777777" w:rsidR="00204D93" w:rsidRPr="00417111" w:rsidRDefault="00204D93">
            <w:pPr>
              <w:spacing w:before="120" w:after="120"/>
              <w:rPr>
                <w:rFonts w:cs="Arial"/>
              </w:rPr>
            </w:pPr>
            <w:r>
              <w:rPr>
                <w:rFonts w:cs="Arial"/>
              </w:rPr>
              <w:t>90%</w:t>
            </w:r>
          </w:p>
        </w:tc>
        <w:tc>
          <w:tcPr>
            <w:tcW w:w="1418" w:type="dxa"/>
          </w:tcPr>
          <w:p w14:paraId="501B2091" w14:textId="347EC914" w:rsidR="00204D93" w:rsidRPr="00417111" w:rsidRDefault="00F15D67">
            <w:pPr>
              <w:spacing w:before="120" w:after="120"/>
              <w:rPr>
                <w:rFonts w:cs="Arial"/>
              </w:rPr>
            </w:pPr>
            <w:r w:rsidRPr="00755297">
              <w:rPr>
                <w:rFonts w:cs="Arial"/>
              </w:rPr>
              <w:t>97%</w:t>
            </w:r>
            <w:r w:rsidR="00B91D03">
              <w:rPr>
                <w:rFonts w:cs="Arial"/>
                <w:vertAlign w:val="superscript"/>
              </w:rPr>
              <w:t>6</w:t>
            </w:r>
            <w:r w:rsidRPr="00E94CBB">
              <w:rPr>
                <w:rFonts w:cs="Arial"/>
                <w:vertAlign w:val="superscript"/>
              </w:rPr>
              <w:t>,</w:t>
            </w:r>
            <w:r w:rsidR="00B91D03">
              <w:rPr>
                <w:rFonts w:cs="Arial"/>
                <w:vertAlign w:val="superscript"/>
              </w:rPr>
              <w:t>7</w:t>
            </w:r>
          </w:p>
        </w:tc>
        <w:tc>
          <w:tcPr>
            <w:tcW w:w="4146" w:type="dxa"/>
          </w:tcPr>
          <w:p w14:paraId="3BBD4CCB" w14:textId="726466A6" w:rsidR="00204D93" w:rsidRPr="00417111" w:rsidRDefault="007075F5" w:rsidP="007075F5">
            <w:pPr>
              <w:spacing w:before="120" w:after="120"/>
              <w:rPr>
                <w:rFonts w:cs="Arial"/>
              </w:rPr>
            </w:pPr>
            <w:r w:rsidRPr="007075F5">
              <w:rPr>
                <w:rFonts w:cs="Arial"/>
              </w:rPr>
              <w:t xml:space="preserve">The </w:t>
            </w:r>
            <w:r w:rsidR="00B15F80">
              <w:rPr>
                <w:rFonts w:cs="Arial"/>
              </w:rPr>
              <w:t>variance</w:t>
            </w:r>
            <w:r w:rsidR="007D304A">
              <w:rPr>
                <w:rFonts w:cs="Arial"/>
              </w:rPr>
              <w:t>s</w:t>
            </w:r>
            <w:r w:rsidRPr="007075F5">
              <w:rPr>
                <w:rFonts w:cs="Arial"/>
              </w:rPr>
              <w:t xml:space="preserve"> from both the target and the estimated actual reflect a reduction in the number of cases requiring complex investigation.</w:t>
            </w:r>
          </w:p>
        </w:tc>
      </w:tr>
      <w:tr w:rsidR="00204D93" w:rsidRPr="00417111" w14:paraId="3B2111F5" w14:textId="77777777">
        <w:trPr>
          <w:trHeight w:val="812"/>
        </w:trPr>
        <w:tc>
          <w:tcPr>
            <w:tcW w:w="2557" w:type="dxa"/>
          </w:tcPr>
          <w:p w14:paraId="7747E3DF" w14:textId="5FA76411" w:rsidR="00204D93" w:rsidRPr="00417111" w:rsidRDefault="00204D93">
            <w:pPr>
              <w:spacing w:before="120" w:after="120"/>
              <w:rPr>
                <w:rFonts w:cs="Arial"/>
              </w:rPr>
            </w:pPr>
            <w:r w:rsidRPr="00BA5521">
              <w:rPr>
                <w:rFonts w:cs="Arial"/>
              </w:rPr>
              <w:t>Average number of days to process licence applications</w:t>
            </w:r>
          </w:p>
        </w:tc>
        <w:tc>
          <w:tcPr>
            <w:tcW w:w="1276" w:type="dxa"/>
          </w:tcPr>
          <w:p w14:paraId="1BFDDE05" w14:textId="77777777" w:rsidR="00204D93" w:rsidRPr="00417111" w:rsidRDefault="00204D93">
            <w:pPr>
              <w:spacing w:before="120" w:after="120"/>
              <w:rPr>
                <w:rFonts w:cs="Arial"/>
              </w:rPr>
            </w:pPr>
            <w:r w:rsidRPr="00417111">
              <w:rPr>
                <w:rFonts w:cs="Arial"/>
              </w:rPr>
              <w:t>30 days</w:t>
            </w:r>
          </w:p>
        </w:tc>
        <w:tc>
          <w:tcPr>
            <w:tcW w:w="1412" w:type="dxa"/>
          </w:tcPr>
          <w:p w14:paraId="753B30F7" w14:textId="77777777" w:rsidR="00204D93" w:rsidRPr="00417111" w:rsidRDefault="00204D93">
            <w:pPr>
              <w:spacing w:before="120" w:after="120"/>
              <w:rPr>
                <w:rFonts w:cs="Arial"/>
              </w:rPr>
            </w:pPr>
            <w:r>
              <w:rPr>
                <w:rFonts w:cs="Arial"/>
              </w:rPr>
              <w:t>34 days</w:t>
            </w:r>
          </w:p>
        </w:tc>
        <w:tc>
          <w:tcPr>
            <w:tcW w:w="1418" w:type="dxa"/>
          </w:tcPr>
          <w:p w14:paraId="7AD27B0C" w14:textId="64E30ECD" w:rsidR="00204D93" w:rsidRPr="00417111" w:rsidRDefault="00755297">
            <w:pPr>
              <w:spacing w:before="120" w:after="120"/>
              <w:rPr>
                <w:rFonts w:cs="Arial"/>
              </w:rPr>
            </w:pPr>
            <w:r>
              <w:rPr>
                <w:rFonts w:cs="Arial"/>
              </w:rPr>
              <w:t>31 days</w:t>
            </w:r>
            <w:r w:rsidR="00AD340B" w:rsidRPr="00AD340B">
              <w:rPr>
                <w:rFonts w:cs="Arial"/>
                <w:vertAlign w:val="superscript"/>
              </w:rPr>
              <w:t>6</w:t>
            </w:r>
          </w:p>
        </w:tc>
        <w:tc>
          <w:tcPr>
            <w:tcW w:w="4146" w:type="dxa"/>
          </w:tcPr>
          <w:p w14:paraId="77C77D5B" w14:textId="314B1421" w:rsidR="00204D93" w:rsidRPr="00417111" w:rsidRDefault="00793247" w:rsidP="00793247">
            <w:pPr>
              <w:spacing w:before="120" w:after="120"/>
              <w:rPr>
                <w:rFonts w:cs="Arial"/>
              </w:rPr>
            </w:pPr>
            <w:r w:rsidRPr="00793247">
              <w:rPr>
                <w:rFonts w:cs="Arial"/>
              </w:rPr>
              <w:t>A variance exceeding five per cent between the estimated actual and the final reported actual</w:t>
            </w:r>
            <w:r w:rsidR="00AD5205">
              <w:rPr>
                <w:rFonts w:cs="Arial"/>
              </w:rPr>
              <w:t xml:space="preserve"> </w:t>
            </w:r>
            <w:r w:rsidRPr="00793247">
              <w:rPr>
                <w:rFonts w:cs="Arial"/>
              </w:rPr>
              <w:t>is due to the completion of a six-week overtime project that reduced the outstanding workload and the reallocation of resources to QBCC Act licence applications towards the end of the financial year.</w:t>
            </w:r>
          </w:p>
        </w:tc>
      </w:tr>
      <w:tr w:rsidR="00204D93" w:rsidRPr="00417111" w14:paraId="707974BB" w14:textId="77777777">
        <w:trPr>
          <w:trHeight w:val="1053"/>
        </w:trPr>
        <w:tc>
          <w:tcPr>
            <w:tcW w:w="2557" w:type="dxa"/>
          </w:tcPr>
          <w:p w14:paraId="5ABBF40A" w14:textId="1565952F" w:rsidR="00204D93" w:rsidRPr="00417111" w:rsidRDefault="00204D93">
            <w:pPr>
              <w:spacing w:before="120" w:after="120"/>
              <w:rPr>
                <w:rFonts w:cs="Arial"/>
              </w:rPr>
            </w:pPr>
            <w:r w:rsidRPr="00625B73">
              <w:rPr>
                <w:rFonts w:cs="Arial"/>
              </w:rPr>
              <w:t>Percentage</w:t>
            </w:r>
            <w:r w:rsidRPr="00417111">
              <w:rPr>
                <w:rFonts w:cs="Arial"/>
              </w:rPr>
              <w:t xml:space="preserve"> of owner builder permits approved within 15 working days</w:t>
            </w:r>
          </w:p>
        </w:tc>
        <w:tc>
          <w:tcPr>
            <w:tcW w:w="1276" w:type="dxa"/>
          </w:tcPr>
          <w:p w14:paraId="778E0A5B" w14:textId="77777777" w:rsidR="00204D93" w:rsidRPr="00417111" w:rsidRDefault="00204D93">
            <w:pPr>
              <w:spacing w:before="120" w:after="120"/>
              <w:rPr>
                <w:rFonts w:cs="Arial"/>
              </w:rPr>
            </w:pPr>
            <w:r w:rsidRPr="00417111">
              <w:rPr>
                <w:rFonts w:cs="Arial"/>
              </w:rPr>
              <w:t>90%</w:t>
            </w:r>
          </w:p>
        </w:tc>
        <w:tc>
          <w:tcPr>
            <w:tcW w:w="1412" w:type="dxa"/>
          </w:tcPr>
          <w:p w14:paraId="1F304663" w14:textId="77777777" w:rsidR="00204D93" w:rsidRPr="00417111" w:rsidRDefault="00204D93">
            <w:pPr>
              <w:spacing w:before="120" w:after="120"/>
              <w:rPr>
                <w:rFonts w:cs="Arial"/>
              </w:rPr>
            </w:pPr>
            <w:r>
              <w:rPr>
                <w:rFonts w:cs="Arial"/>
              </w:rPr>
              <w:t>90%</w:t>
            </w:r>
          </w:p>
        </w:tc>
        <w:tc>
          <w:tcPr>
            <w:tcW w:w="1418" w:type="dxa"/>
          </w:tcPr>
          <w:p w14:paraId="1A090B39" w14:textId="63C2693B" w:rsidR="00204D93" w:rsidRPr="00417111" w:rsidRDefault="00755297">
            <w:pPr>
              <w:spacing w:before="120" w:after="120"/>
              <w:rPr>
                <w:rFonts w:cs="Arial"/>
              </w:rPr>
            </w:pPr>
            <w:r w:rsidRPr="00755297">
              <w:rPr>
                <w:rFonts w:cs="Arial"/>
              </w:rPr>
              <w:t>91%</w:t>
            </w:r>
          </w:p>
        </w:tc>
        <w:tc>
          <w:tcPr>
            <w:tcW w:w="4146" w:type="dxa"/>
          </w:tcPr>
          <w:p w14:paraId="68005994" w14:textId="7DDF202D" w:rsidR="00204D93" w:rsidRPr="00417111" w:rsidRDefault="005C18AA">
            <w:pPr>
              <w:spacing w:before="120" w:after="120"/>
              <w:rPr>
                <w:rFonts w:cs="Arial"/>
              </w:rPr>
            </w:pPr>
            <w:r w:rsidRPr="08D0DD5B">
              <w:rPr>
                <w:rFonts w:cs="Arial"/>
              </w:rPr>
              <w:t>T</w:t>
            </w:r>
            <w:r>
              <w:rPr>
                <w:rFonts w:cs="Arial"/>
              </w:rPr>
              <w:t>he t</w:t>
            </w:r>
            <w:r w:rsidRPr="08D0DD5B">
              <w:rPr>
                <w:rFonts w:cs="Arial"/>
              </w:rPr>
              <w:t>arget</w:t>
            </w:r>
            <w:r>
              <w:rPr>
                <w:rFonts w:cs="Arial"/>
              </w:rPr>
              <w:t xml:space="preserve"> has been</w:t>
            </w:r>
            <w:r w:rsidRPr="08D0DD5B">
              <w:rPr>
                <w:rFonts w:cs="Arial"/>
              </w:rPr>
              <w:t xml:space="preserve"> </w:t>
            </w:r>
            <w:r>
              <w:rPr>
                <w:rFonts w:cs="Arial"/>
              </w:rPr>
              <w:t>achieved.</w:t>
            </w:r>
          </w:p>
        </w:tc>
      </w:tr>
      <w:tr w:rsidR="00204D93" w:rsidRPr="00417111" w14:paraId="1850F3BB" w14:textId="77777777">
        <w:trPr>
          <w:trHeight w:val="1053"/>
        </w:trPr>
        <w:tc>
          <w:tcPr>
            <w:tcW w:w="2557" w:type="dxa"/>
          </w:tcPr>
          <w:p w14:paraId="11B2E25F" w14:textId="7A9B89C2" w:rsidR="00204D93" w:rsidRPr="00417111" w:rsidRDefault="00204D93">
            <w:pPr>
              <w:spacing w:before="120" w:after="120"/>
              <w:rPr>
                <w:rFonts w:cs="Arial"/>
              </w:rPr>
            </w:pPr>
            <w:r w:rsidRPr="00625B73">
              <w:rPr>
                <w:rFonts w:cs="Arial"/>
              </w:rPr>
              <w:t>Percentage</w:t>
            </w:r>
            <w:r w:rsidRPr="00417111">
              <w:rPr>
                <w:rFonts w:cs="Arial"/>
              </w:rPr>
              <w:t xml:space="preserve"> of adjudication applications referred to an adjudicator within 4 business days</w:t>
            </w:r>
          </w:p>
        </w:tc>
        <w:tc>
          <w:tcPr>
            <w:tcW w:w="1276" w:type="dxa"/>
          </w:tcPr>
          <w:p w14:paraId="16A303FF" w14:textId="77777777" w:rsidR="00204D93" w:rsidRPr="00417111" w:rsidRDefault="00204D93">
            <w:pPr>
              <w:spacing w:before="120" w:after="120"/>
              <w:rPr>
                <w:rFonts w:cs="Arial"/>
              </w:rPr>
            </w:pPr>
            <w:r w:rsidRPr="00417111">
              <w:rPr>
                <w:rFonts w:cs="Arial"/>
              </w:rPr>
              <w:t>100%</w:t>
            </w:r>
          </w:p>
        </w:tc>
        <w:tc>
          <w:tcPr>
            <w:tcW w:w="1412" w:type="dxa"/>
          </w:tcPr>
          <w:p w14:paraId="06DD0AEF" w14:textId="77777777" w:rsidR="00204D93" w:rsidRPr="00417111" w:rsidRDefault="00204D93">
            <w:pPr>
              <w:spacing w:before="120" w:after="120"/>
              <w:rPr>
                <w:rFonts w:cs="Arial"/>
              </w:rPr>
            </w:pPr>
            <w:r>
              <w:rPr>
                <w:rFonts w:cs="Arial"/>
              </w:rPr>
              <w:t>99%</w:t>
            </w:r>
          </w:p>
        </w:tc>
        <w:tc>
          <w:tcPr>
            <w:tcW w:w="1418" w:type="dxa"/>
          </w:tcPr>
          <w:p w14:paraId="68F91643" w14:textId="77777777" w:rsidR="00204D93" w:rsidRPr="00417111" w:rsidRDefault="00204D93">
            <w:pPr>
              <w:spacing w:before="120" w:after="120"/>
              <w:rPr>
                <w:rFonts w:cs="Arial"/>
              </w:rPr>
            </w:pPr>
            <w:r>
              <w:rPr>
                <w:rFonts w:cs="Arial"/>
              </w:rPr>
              <w:t>99%</w:t>
            </w:r>
          </w:p>
        </w:tc>
        <w:tc>
          <w:tcPr>
            <w:tcW w:w="4146" w:type="dxa"/>
          </w:tcPr>
          <w:p w14:paraId="36D80552" w14:textId="4F186FF8" w:rsidR="00204D93" w:rsidRPr="00417111" w:rsidRDefault="00156CB0">
            <w:pPr>
              <w:spacing w:before="120" w:after="120"/>
              <w:rPr>
                <w:rFonts w:cs="Arial"/>
              </w:rPr>
            </w:pPr>
            <w:r w:rsidRPr="00156CB0">
              <w:rPr>
                <w:rFonts w:cs="Arial"/>
              </w:rPr>
              <w:t xml:space="preserve">The target has not been </w:t>
            </w:r>
            <w:r w:rsidR="00EC55A4">
              <w:rPr>
                <w:rFonts w:cs="Arial"/>
              </w:rPr>
              <w:t>achieved</w:t>
            </w:r>
            <w:r w:rsidRPr="00156CB0">
              <w:rPr>
                <w:rFonts w:cs="Arial"/>
              </w:rPr>
              <w:t xml:space="preserve"> due to </w:t>
            </w:r>
            <w:r w:rsidR="009B37CF">
              <w:rPr>
                <w:rFonts w:cs="Arial"/>
              </w:rPr>
              <w:t xml:space="preserve">minor procedural and </w:t>
            </w:r>
            <w:r w:rsidRPr="00156CB0">
              <w:rPr>
                <w:rFonts w:cs="Arial"/>
              </w:rPr>
              <w:t xml:space="preserve">technical issues that affected </w:t>
            </w:r>
            <w:r w:rsidR="009B37CF">
              <w:rPr>
                <w:rFonts w:cs="Arial"/>
              </w:rPr>
              <w:t>referral</w:t>
            </w:r>
            <w:r w:rsidRPr="00156CB0">
              <w:rPr>
                <w:rFonts w:cs="Arial"/>
              </w:rPr>
              <w:t xml:space="preserve"> processes.</w:t>
            </w:r>
          </w:p>
        </w:tc>
      </w:tr>
      <w:tr w:rsidR="00204D93" w:rsidRPr="00417111" w14:paraId="6F76A9E7" w14:textId="77777777">
        <w:trPr>
          <w:trHeight w:val="1038"/>
        </w:trPr>
        <w:tc>
          <w:tcPr>
            <w:tcW w:w="2557" w:type="dxa"/>
          </w:tcPr>
          <w:p w14:paraId="2FD18599" w14:textId="2E8C6F77" w:rsidR="00204D93" w:rsidRPr="00417111" w:rsidRDefault="00204D93">
            <w:pPr>
              <w:spacing w:before="120" w:after="120"/>
              <w:rPr>
                <w:rFonts w:cs="Arial"/>
              </w:rPr>
            </w:pPr>
            <w:r w:rsidRPr="00625B73">
              <w:rPr>
                <w:rFonts w:cs="Arial"/>
              </w:rPr>
              <w:t>Percentage</w:t>
            </w:r>
            <w:r w:rsidRPr="00417111">
              <w:rPr>
                <w:rFonts w:cs="Arial"/>
              </w:rPr>
              <w:t xml:space="preserve"> of insurance claims for defective work assessed and response </w:t>
            </w:r>
            <w:r w:rsidRPr="00417111">
              <w:rPr>
                <w:rFonts w:cs="Arial"/>
              </w:rPr>
              <w:lastRenderedPageBreak/>
              <w:t>provided within 35 business days</w:t>
            </w:r>
          </w:p>
        </w:tc>
        <w:tc>
          <w:tcPr>
            <w:tcW w:w="1276" w:type="dxa"/>
          </w:tcPr>
          <w:p w14:paraId="13FF0864" w14:textId="77777777" w:rsidR="00204D93" w:rsidRPr="006D738F" w:rsidRDefault="00204D93">
            <w:pPr>
              <w:spacing w:before="120" w:after="120"/>
              <w:rPr>
                <w:rFonts w:cs="Arial"/>
              </w:rPr>
            </w:pPr>
            <w:r>
              <w:rPr>
                <w:rFonts w:cs="Arial"/>
              </w:rPr>
              <w:lastRenderedPageBreak/>
              <w:t>3</w:t>
            </w:r>
            <w:r w:rsidRPr="006D738F">
              <w:rPr>
                <w:rFonts w:cs="Arial"/>
              </w:rPr>
              <w:t>5%</w:t>
            </w:r>
          </w:p>
        </w:tc>
        <w:tc>
          <w:tcPr>
            <w:tcW w:w="1412" w:type="dxa"/>
          </w:tcPr>
          <w:p w14:paraId="39F19495" w14:textId="77777777" w:rsidR="00204D93" w:rsidRPr="00417111" w:rsidRDefault="00204D93">
            <w:pPr>
              <w:spacing w:before="120" w:after="120"/>
              <w:rPr>
                <w:rFonts w:cs="Arial"/>
              </w:rPr>
            </w:pPr>
            <w:r>
              <w:rPr>
                <w:rFonts w:cs="Arial"/>
              </w:rPr>
              <w:t>95%</w:t>
            </w:r>
          </w:p>
        </w:tc>
        <w:tc>
          <w:tcPr>
            <w:tcW w:w="1418" w:type="dxa"/>
          </w:tcPr>
          <w:p w14:paraId="03DDF113" w14:textId="4EE348DA" w:rsidR="00204D93" w:rsidRPr="00417111" w:rsidRDefault="00D12F97">
            <w:pPr>
              <w:spacing w:before="120" w:after="120"/>
              <w:rPr>
                <w:rFonts w:cs="Arial"/>
              </w:rPr>
            </w:pPr>
            <w:r w:rsidRPr="009902CB">
              <w:rPr>
                <w:rFonts w:cs="Arial"/>
              </w:rPr>
              <w:t>97%</w:t>
            </w:r>
            <w:r>
              <w:rPr>
                <w:rFonts w:cs="Arial"/>
                <w:vertAlign w:val="superscript"/>
              </w:rPr>
              <w:t>7</w:t>
            </w:r>
          </w:p>
        </w:tc>
        <w:tc>
          <w:tcPr>
            <w:tcW w:w="4146" w:type="dxa"/>
          </w:tcPr>
          <w:p w14:paraId="74760A51" w14:textId="7B152206" w:rsidR="00204D93" w:rsidRPr="00417111" w:rsidRDefault="003D0FD4" w:rsidP="003D0FD4">
            <w:pPr>
              <w:spacing w:before="120" w:after="120"/>
              <w:rPr>
                <w:rFonts w:cs="Arial"/>
              </w:rPr>
            </w:pPr>
            <w:r w:rsidRPr="003D0FD4">
              <w:rPr>
                <w:rFonts w:cs="Arial"/>
              </w:rPr>
              <w:t xml:space="preserve">The variance from the target reflects the positive impact of implementing the Claims Management Improvement Project, which has enhanced digital and case management functions for </w:t>
            </w:r>
            <w:r w:rsidRPr="003D0FD4">
              <w:rPr>
                <w:rFonts w:cs="Arial"/>
              </w:rPr>
              <w:lastRenderedPageBreak/>
              <w:t>handling claims. The calculation methodology was also updated to include both accepted and declined claim</w:t>
            </w:r>
            <w:r w:rsidR="00990680">
              <w:rPr>
                <w:rFonts w:cs="Arial"/>
              </w:rPr>
              <w:t xml:space="preserve"> responses</w:t>
            </w:r>
            <w:r w:rsidR="00CF2EA2">
              <w:rPr>
                <w:rFonts w:cs="Arial"/>
              </w:rPr>
              <w:t xml:space="preserve"> </w:t>
            </w:r>
            <w:r w:rsidR="004661F9">
              <w:rPr>
                <w:rFonts w:cs="Arial"/>
              </w:rPr>
              <w:t>to better represent the</w:t>
            </w:r>
            <w:r w:rsidR="009C3F32">
              <w:rPr>
                <w:rFonts w:cs="Arial"/>
              </w:rPr>
              <w:t xml:space="preserve"> </w:t>
            </w:r>
            <w:r w:rsidR="009813DC">
              <w:rPr>
                <w:rFonts w:cs="Arial"/>
              </w:rPr>
              <w:t>measure</w:t>
            </w:r>
            <w:r w:rsidRPr="003D0FD4">
              <w:rPr>
                <w:rFonts w:cs="Arial"/>
              </w:rPr>
              <w:t>.</w:t>
            </w:r>
          </w:p>
        </w:tc>
      </w:tr>
      <w:tr w:rsidR="00204D93" w:rsidRPr="00417111" w14:paraId="05FE2821" w14:textId="77777777">
        <w:trPr>
          <w:trHeight w:val="827"/>
        </w:trPr>
        <w:tc>
          <w:tcPr>
            <w:tcW w:w="2557" w:type="dxa"/>
          </w:tcPr>
          <w:p w14:paraId="405A69AF" w14:textId="586605BF" w:rsidR="00204D93" w:rsidRPr="00417111" w:rsidRDefault="00204D93">
            <w:pPr>
              <w:spacing w:before="120" w:after="120"/>
              <w:rPr>
                <w:rFonts w:cs="Arial"/>
              </w:rPr>
            </w:pPr>
            <w:r w:rsidRPr="00625B73">
              <w:rPr>
                <w:rFonts w:cs="Arial"/>
              </w:rPr>
              <w:lastRenderedPageBreak/>
              <w:t>Average</w:t>
            </w:r>
            <w:r w:rsidRPr="00417111">
              <w:rPr>
                <w:rFonts w:cs="Arial"/>
              </w:rPr>
              <w:t xml:space="preserve"> processing time for an </w:t>
            </w:r>
            <w:r w:rsidR="006A35D8">
              <w:rPr>
                <w:rFonts w:cs="Arial"/>
              </w:rPr>
              <w:t>early dispute resolution</w:t>
            </w:r>
            <w:r w:rsidRPr="00417111">
              <w:rPr>
                <w:rFonts w:cs="Arial"/>
              </w:rPr>
              <w:t xml:space="preserve"> case</w:t>
            </w:r>
          </w:p>
        </w:tc>
        <w:tc>
          <w:tcPr>
            <w:tcW w:w="1276" w:type="dxa"/>
          </w:tcPr>
          <w:p w14:paraId="67953E7B" w14:textId="77777777" w:rsidR="00204D93" w:rsidRPr="00417111" w:rsidRDefault="00204D93">
            <w:pPr>
              <w:spacing w:before="120" w:after="120"/>
              <w:rPr>
                <w:rFonts w:cs="Arial"/>
              </w:rPr>
            </w:pPr>
            <w:r w:rsidRPr="00417111">
              <w:rPr>
                <w:rFonts w:cs="Arial"/>
              </w:rPr>
              <w:t>28 working days</w:t>
            </w:r>
          </w:p>
        </w:tc>
        <w:tc>
          <w:tcPr>
            <w:tcW w:w="1412" w:type="dxa"/>
          </w:tcPr>
          <w:p w14:paraId="638AE1B4" w14:textId="77777777" w:rsidR="00204D93" w:rsidRPr="00417111" w:rsidRDefault="00204D93">
            <w:pPr>
              <w:spacing w:before="120" w:after="120"/>
              <w:rPr>
                <w:rFonts w:cs="Arial"/>
              </w:rPr>
            </w:pPr>
            <w:r>
              <w:rPr>
                <w:rFonts w:cs="Arial"/>
              </w:rPr>
              <w:t>17 working days</w:t>
            </w:r>
          </w:p>
        </w:tc>
        <w:tc>
          <w:tcPr>
            <w:tcW w:w="1418" w:type="dxa"/>
          </w:tcPr>
          <w:p w14:paraId="62019B3E" w14:textId="2F04E46F" w:rsidR="00204D93" w:rsidRPr="00417111" w:rsidRDefault="009902CB">
            <w:pPr>
              <w:spacing w:before="120" w:after="120"/>
              <w:rPr>
                <w:rFonts w:cs="Arial"/>
              </w:rPr>
            </w:pPr>
            <w:r>
              <w:rPr>
                <w:rFonts w:cs="Arial"/>
              </w:rPr>
              <w:t>14 working days</w:t>
            </w:r>
            <w:r w:rsidR="00AD340B">
              <w:rPr>
                <w:rFonts w:cs="Arial"/>
                <w:vertAlign w:val="superscript"/>
              </w:rPr>
              <w:t>6</w:t>
            </w:r>
            <w:r w:rsidR="00FE413C">
              <w:rPr>
                <w:rFonts w:cs="Arial"/>
                <w:vertAlign w:val="superscript"/>
              </w:rPr>
              <w:t>,7</w:t>
            </w:r>
          </w:p>
        </w:tc>
        <w:tc>
          <w:tcPr>
            <w:tcW w:w="4146" w:type="dxa"/>
          </w:tcPr>
          <w:p w14:paraId="72AD8617" w14:textId="1E4F25BA" w:rsidR="00204D93" w:rsidRPr="00417111" w:rsidRDefault="00FE413C" w:rsidP="00FE413C">
            <w:pPr>
              <w:spacing w:before="120" w:after="120"/>
              <w:rPr>
                <w:rFonts w:cs="Arial"/>
              </w:rPr>
            </w:pPr>
            <w:r w:rsidRPr="00FE413C">
              <w:rPr>
                <w:rFonts w:cs="Arial"/>
              </w:rPr>
              <w:t>The variances from both the target and the estimated actual reflect a reduction in the number of cases requiring complex investigation.</w:t>
            </w:r>
          </w:p>
        </w:tc>
      </w:tr>
      <w:tr w:rsidR="006A4F12" w:rsidRPr="00417111" w14:paraId="0408619F" w14:textId="77777777">
        <w:trPr>
          <w:trHeight w:val="812"/>
        </w:trPr>
        <w:tc>
          <w:tcPr>
            <w:tcW w:w="2557" w:type="dxa"/>
          </w:tcPr>
          <w:p w14:paraId="3FDE771C" w14:textId="09B18A2A" w:rsidR="00204D93" w:rsidRPr="00417111" w:rsidRDefault="00204D93">
            <w:pPr>
              <w:spacing w:before="120" w:after="120"/>
              <w:rPr>
                <w:rFonts w:cs="Arial"/>
              </w:rPr>
            </w:pPr>
            <w:r w:rsidRPr="003B2415">
              <w:rPr>
                <w:rFonts w:cs="Arial"/>
              </w:rPr>
              <w:t>Average approval time for defects claims less than $20,000</w:t>
            </w:r>
          </w:p>
        </w:tc>
        <w:tc>
          <w:tcPr>
            <w:tcW w:w="1276" w:type="dxa"/>
          </w:tcPr>
          <w:p w14:paraId="548C3AE0" w14:textId="77777777" w:rsidR="00204D93" w:rsidRPr="00417111" w:rsidRDefault="00204D93">
            <w:pPr>
              <w:spacing w:before="120" w:after="120"/>
              <w:rPr>
                <w:rFonts w:cs="Arial"/>
              </w:rPr>
            </w:pPr>
            <w:r>
              <w:rPr>
                <w:rFonts w:cs="Arial"/>
              </w:rPr>
              <w:t>50</w:t>
            </w:r>
            <w:r w:rsidRPr="00417111">
              <w:rPr>
                <w:rFonts w:cs="Arial"/>
              </w:rPr>
              <w:t xml:space="preserve"> </w:t>
            </w:r>
            <w:r>
              <w:rPr>
                <w:rFonts w:cs="Arial"/>
              </w:rPr>
              <w:t>working</w:t>
            </w:r>
            <w:r w:rsidRPr="00417111">
              <w:rPr>
                <w:rFonts w:cs="Arial"/>
              </w:rPr>
              <w:t xml:space="preserve"> days</w:t>
            </w:r>
          </w:p>
        </w:tc>
        <w:tc>
          <w:tcPr>
            <w:tcW w:w="1412" w:type="dxa"/>
          </w:tcPr>
          <w:p w14:paraId="22BB7BB8" w14:textId="77777777" w:rsidR="00204D93" w:rsidRPr="00417111" w:rsidRDefault="00204D93">
            <w:pPr>
              <w:spacing w:before="120" w:after="120"/>
              <w:rPr>
                <w:rFonts w:cs="Arial"/>
              </w:rPr>
            </w:pPr>
            <w:r>
              <w:rPr>
                <w:rFonts w:cs="Arial"/>
              </w:rPr>
              <w:t>25 working days</w:t>
            </w:r>
          </w:p>
        </w:tc>
        <w:tc>
          <w:tcPr>
            <w:tcW w:w="1418" w:type="dxa"/>
          </w:tcPr>
          <w:p w14:paraId="0D85FB3E" w14:textId="1C9AEB60" w:rsidR="00204D93" w:rsidRPr="00417111" w:rsidRDefault="009902CB">
            <w:pPr>
              <w:spacing w:before="120" w:after="120"/>
              <w:rPr>
                <w:rFonts w:cs="Arial"/>
              </w:rPr>
            </w:pPr>
            <w:r>
              <w:rPr>
                <w:rFonts w:cs="Arial"/>
              </w:rPr>
              <w:t>19 working days</w:t>
            </w:r>
            <w:r w:rsidR="00AD340B">
              <w:rPr>
                <w:rFonts w:cs="Arial"/>
                <w:vertAlign w:val="superscript"/>
              </w:rPr>
              <w:t>6</w:t>
            </w:r>
            <w:r w:rsidR="003D771B">
              <w:rPr>
                <w:rFonts w:cs="Arial"/>
                <w:vertAlign w:val="superscript"/>
              </w:rPr>
              <w:t>,7</w:t>
            </w:r>
          </w:p>
        </w:tc>
        <w:tc>
          <w:tcPr>
            <w:tcW w:w="4146" w:type="dxa"/>
          </w:tcPr>
          <w:p w14:paraId="6804323E" w14:textId="02C6EF9F" w:rsidR="00204D93" w:rsidRPr="00417111" w:rsidRDefault="0094444D" w:rsidP="006A4F12">
            <w:pPr>
              <w:spacing w:before="120" w:after="120"/>
              <w:rPr>
                <w:rFonts w:cs="Arial"/>
              </w:rPr>
            </w:pPr>
            <w:r w:rsidRPr="0094444D">
              <w:rPr>
                <w:rFonts w:cs="Arial"/>
              </w:rPr>
              <w:t>The variance from the target reflects the positive impact of implementing the Claims Management Improvement Project, which has enhanced digital and case management functions for handling claims. In addition, the calculation methodology was updated to include both accepted and declined claims.</w:t>
            </w:r>
            <w:r w:rsidR="006A4F12">
              <w:rPr>
                <w:rFonts w:cs="Arial"/>
              </w:rPr>
              <w:t xml:space="preserve"> </w:t>
            </w:r>
            <w:r w:rsidR="00E85B74">
              <w:rPr>
                <w:rFonts w:cs="Arial"/>
              </w:rPr>
              <w:t xml:space="preserve">As </w:t>
            </w:r>
            <w:r w:rsidRPr="0094444D">
              <w:rPr>
                <w:rFonts w:cs="Arial"/>
              </w:rPr>
              <w:t xml:space="preserve">declined claims </w:t>
            </w:r>
            <w:r w:rsidR="00E85B74">
              <w:rPr>
                <w:rFonts w:cs="Arial"/>
              </w:rPr>
              <w:t xml:space="preserve">were newly </w:t>
            </w:r>
            <w:r w:rsidR="00214A02">
              <w:rPr>
                <w:rFonts w:cs="Arial"/>
              </w:rPr>
              <w:t xml:space="preserve">incorporated into the </w:t>
            </w:r>
            <w:r w:rsidRPr="0094444D">
              <w:rPr>
                <w:rFonts w:cs="Arial"/>
              </w:rPr>
              <w:t>calculation</w:t>
            </w:r>
            <w:r w:rsidR="00214A02">
              <w:rPr>
                <w:rFonts w:cs="Arial"/>
              </w:rPr>
              <w:t>,</w:t>
            </w:r>
            <w:r w:rsidR="00B82ADF">
              <w:rPr>
                <w:rFonts w:cs="Arial"/>
              </w:rPr>
              <w:t xml:space="preserve"> </w:t>
            </w:r>
            <w:r w:rsidR="00283042">
              <w:rPr>
                <w:rFonts w:cs="Arial"/>
              </w:rPr>
              <w:t>full-year b</w:t>
            </w:r>
            <w:r w:rsidR="00664BE9">
              <w:rPr>
                <w:rFonts w:cs="Arial"/>
              </w:rPr>
              <w:t xml:space="preserve">aseline </w:t>
            </w:r>
            <w:r w:rsidR="000D681A">
              <w:rPr>
                <w:rFonts w:cs="Arial"/>
              </w:rPr>
              <w:t xml:space="preserve">data </w:t>
            </w:r>
            <w:r w:rsidR="003D070A">
              <w:rPr>
                <w:rFonts w:cs="Arial"/>
              </w:rPr>
              <w:t xml:space="preserve">from the previous year </w:t>
            </w:r>
            <w:r w:rsidR="00EA26BB">
              <w:rPr>
                <w:rFonts w:cs="Arial"/>
              </w:rPr>
              <w:t>w</w:t>
            </w:r>
            <w:r w:rsidR="004E1E1A">
              <w:rPr>
                <w:rFonts w:cs="Arial"/>
              </w:rPr>
              <w:t>ere</w:t>
            </w:r>
            <w:r w:rsidR="00221507">
              <w:rPr>
                <w:rFonts w:cs="Arial"/>
              </w:rPr>
              <w:t xml:space="preserve"> unavailable </w:t>
            </w:r>
            <w:r w:rsidR="000A71F8">
              <w:rPr>
                <w:rFonts w:cs="Arial"/>
              </w:rPr>
              <w:t>to support accurate estimation</w:t>
            </w:r>
            <w:r w:rsidR="00F4781B">
              <w:rPr>
                <w:rFonts w:cs="Arial"/>
              </w:rPr>
              <w:t>.</w:t>
            </w:r>
          </w:p>
        </w:tc>
      </w:tr>
      <w:tr w:rsidR="00204D93" w:rsidRPr="00417111" w14:paraId="2D09E746" w14:textId="77777777">
        <w:trPr>
          <w:trHeight w:val="1053"/>
        </w:trPr>
        <w:tc>
          <w:tcPr>
            <w:tcW w:w="2557" w:type="dxa"/>
          </w:tcPr>
          <w:p w14:paraId="1F480ACC" w14:textId="43EE3160" w:rsidR="00204D93" w:rsidRPr="00417111" w:rsidRDefault="00204D93">
            <w:pPr>
              <w:spacing w:before="120" w:after="120"/>
              <w:rPr>
                <w:rFonts w:cs="Arial"/>
              </w:rPr>
            </w:pPr>
            <w:r w:rsidRPr="00625B73">
              <w:rPr>
                <w:rFonts w:cs="Arial"/>
              </w:rPr>
              <w:t>Percentage</w:t>
            </w:r>
            <w:r w:rsidRPr="00417111">
              <w:rPr>
                <w:rFonts w:cs="Arial"/>
              </w:rPr>
              <w:t xml:space="preserve"> of internal review applicants contacted within 2 business days</w:t>
            </w:r>
          </w:p>
        </w:tc>
        <w:tc>
          <w:tcPr>
            <w:tcW w:w="1276" w:type="dxa"/>
          </w:tcPr>
          <w:p w14:paraId="29D2EF87" w14:textId="77777777" w:rsidR="00204D93" w:rsidRPr="00417111" w:rsidRDefault="00204D93">
            <w:pPr>
              <w:spacing w:before="120" w:after="120"/>
              <w:rPr>
                <w:rFonts w:cs="Arial"/>
              </w:rPr>
            </w:pPr>
            <w:r w:rsidRPr="00417111">
              <w:rPr>
                <w:rFonts w:cs="Arial"/>
              </w:rPr>
              <w:t>95%</w:t>
            </w:r>
          </w:p>
        </w:tc>
        <w:tc>
          <w:tcPr>
            <w:tcW w:w="1412" w:type="dxa"/>
          </w:tcPr>
          <w:p w14:paraId="1C3BE975" w14:textId="53B26830" w:rsidR="00204D93" w:rsidRPr="00417111" w:rsidRDefault="00204D93">
            <w:pPr>
              <w:spacing w:before="120" w:after="120"/>
              <w:rPr>
                <w:rFonts w:cs="Arial"/>
              </w:rPr>
            </w:pPr>
            <w:r>
              <w:rPr>
                <w:rFonts w:cs="Arial"/>
              </w:rPr>
              <w:t>97%</w:t>
            </w:r>
          </w:p>
        </w:tc>
        <w:tc>
          <w:tcPr>
            <w:tcW w:w="1418" w:type="dxa"/>
          </w:tcPr>
          <w:p w14:paraId="4177F80F" w14:textId="611D5874" w:rsidR="00204D93" w:rsidRPr="00417111" w:rsidRDefault="00204D93">
            <w:pPr>
              <w:spacing w:before="120" w:after="120"/>
              <w:rPr>
                <w:rFonts w:cs="Arial"/>
              </w:rPr>
            </w:pPr>
            <w:r>
              <w:rPr>
                <w:rFonts w:cs="Arial"/>
              </w:rPr>
              <w:t>98.</w:t>
            </w:r>
            <w:r w:rsidR="009902CB">
              <w:rPr>
                <w:rFonts w:cs="Arial"/>
              </w:rPr>
              <w:t>3</w:t>
            </w:r>
            <w:r>
              <w:rPr>
                <w:rFonts w:cs="Arial"/>
              </w:rPr>
              <w:t>%</w:t>
            </w:r>
          </w:p>
        </w:tc>
        <w:tc>
          <w:tcPr>
            <w:tcW w:w="4146" w:type="dxa"/>
          </w:tcPr>
          <w:p w14:paraId="32742706" w14:textId="24E3469C" w:rsidR="00204D93" w:rsidRPr="00417111" w:rsidRDefault="0024208D">
            <w:pPr>
              <w:spacing w:before="120" w:after="120"/>
              <w:rPr>
                <w:rFonts w:cs="Arial"/>
              </w:rPr>
            </w:pPr>
            <w:r w:rsidRPr="0024208D">
              <w:rPr>
                <w:rFonts w:cs="Arial"/>
              </w:rPr>
              <w:t>The target has been achieved</w:t>
            </w:r>
            <w:r w:rsidR="006D34BE" w:rsidRPr="006D34BE">
              <w:rPr>
                <w:rFonts w:cs="Arial"/>
              </w:rPr>
              <w:t>.</w:t>
            </w:r>
          </w:p>
        </w:tc>
      </w:tr>
    </w:tbl>
    <w:p w14:paraId="6FFA36F4" w14:textId="4B6EBF15" w:rsidR="00204D93" w:rsidRPr="002B55AC" w:rsidRDefault="00204D93" w:rsidP="00204D93">
      <w:pPr>
        <w:rPr>
          <w:rFonts w:cs="Arial"/>
          <w:color w:val="FFFFFF" w:themeColor="background1"/>
          <w:sz w:val="16"/>
          <w:szCs w:val="16"/>
        </w:rPr>
      </w:pPr>
    </w:p>
    <w:p w14:paraId="2942A0DA" w14:textId="3835C140" w:rsidR="00913FA7" w:rsidRDefault="00406599" w:rsidP="007E0B42">
      <w:pPr>
        <w:pStyle w:val="FootnoteText"/>
      </w:pPr>
      <w:r>
        <w:rPr>
          <w:noProof/>
        </w:rPr>
        <mc:AlternateContent>
          <mc:Choice Requires="wps">
            <w:drawing>
              <wp:anchor distT="0" distB="0" distL="114300" distR="114300" simplePos="0" relativeHeight="251658245" behindDoc="0" locked="0" layoutInCell="1" allowOverlap="1" wp14:anchorId="0143803B" wp14:editId="4A09FA86">
                <wp:simplePos x="0" y="0"/>
                <wp:positionH relativeFrom="margin">
                  <wp:align>left</wp:align>
                </wp:positionH>
                <wp:positionV relativeFrom="paragraph">
                  <wp:posOffset>48260</wp:posOffset>
                </wp:positionV>
                <wp:extent cx="1800000" cy="0"/>
                <wp:effectExtent l="0" t="0" r="0" b="0"/>
                <wp:wrapNone/>
                <wp:docPr id="1303420465" name="Straight Connector 1"/>
                <wp:cNvGraphicFramePr/>
                <a:graphic xmlns:a="http://schemas.openxmlformats.org/drawingml/2006/main">
                  <a:graphicData uri="http://schemas.microsoft.com/office/word/2010/wordprocessingShape">
                    <wps:wsp>
                      <wps:cNvCnPr/>
                      <wps:spPr>
                        <a:xfrm>
                          <a:off x="0" y="0"/>
                          <a:ext cx="18000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CEF8542" id="Straight Connector 1" o:spid="_x0000_s1026" style="position:absolute;z-index:25165824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8pt" to="141.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" strokecolor="#020a0a [3213]" strokeweight="1pt">
                <w10:wrap anchorx="margin"/>
              </v:line>
            </w:pict>
          </mc:Fallback>
        </mc:AlternateContent>
      </w:r>
    </w:p>
    <w:p w14:paraId="33EE642D" w14:textId="3E1889B8" w:rsidR="007E0B42" w:rsidRDefault="00913FA7" w:rsidP="007E0B42">
      <w:pPr>
        <w:pStyle w:val="FootnoteText"/>
      </w:pPr>
      <w:r>
        <w:rPr>
          <w:rStyle w:val="FootnoteReference"/>
        </w:rPr>
        <w:t>6</w:t>
      </w:r>
      <w:r w:rsidR="007E0B42">
        <w:t xml:space="preserve"> </w:t>
      </w:r>
      <w:r w:rsidR="007E0B42" w:rsidRPr="000C675D">
        <w:rPr>
          <w:rFonts w:cs="Arial"/>
          <w:sz w:val="16"/>
          <w:szCs w:val="16"/>
        </w:rPr>
        <w:t xml:space="preserve">A difference of more than </w:t>
      </w:r>
      <w:r w:rsidR="005C61E0">
        <w:rPr>
          <w:rFonts w:cs="Arial"/>
          <w:sz w:val="16"/>
          <w:szCs w:val="16"/>
        </w:rPr>
        <w:t>five</w:t>
      </w:r>
      <w:r w:rsidR="007E0B42">
        <w:rPr>
          <w:rFonts w:cs="Arial"/>
          <w:sz w:val="16"/>
          <w:szCs w:val="16"/>
        </w:rPr>
        <w:t xml:space="preserve"> per cent</w:t>
      </w:r>
      <w:r w:rsidR="007E0B42" w:rsidRPr="000C675D">
        <w:rPr>
          <w:rFonts w:cs="Arial"/>
          <w:sz w:val="16"/>
          <w:szCs w:val="16"/>
        </w:rPr>
        <w:t xml:space="preserve"> between the estimated actual and actual</w:t>
      </w:r>
    </w:p>
    <w:p w14:paraId="6D1B1644" w14:textId="4E68276B" w:rsidR="00204D93" w:rsidRDefault="00913FA7" w:rsidP="007E0B42">
      <w:pPr>
        <w:rPr>
          <w:rFonts w:cs="Arial"/>
        </w:rPr>
      </w:pPr>
      <w:r>
        <w:rPr>
          <w:rStyle w:val="FootnoteReference"/>
        </w:rPr>
        <w:t>7</w:t>
      </w:r>
      <w:r w:rsidR="007E0B42">
        <w:t xml:space="preserve"> </w:t>
      </w:r>
      <w:r w:rsidR="007E0B42" w:rsidRPr="007D15A6">
        <w:rPr>
          <w:sz w:val="16"/>
          <w:szCs w:val="16"/>
        </w:rPr>
        <w:t xml:space="preserve">A difference of more than </w:t>
      </w:r>
      <w:r w:rsidR="005C61E0">
        <w:rPr>
          <w:sz w:val="16"/>
          <w:szCs w:val="16"/>
        </w:rPr>
        <w:t>five</w:t>
      </w:r>
      <w:r w:rsidR="007E0B42" w:rsidRPr="007D15A6">
        <w:rPr>
          <w:sz w:val="16"/>
          <w:szCs w:val="16"/>
        </w:rPr>
        <w:t xml:space="preserve"> per cent between the target and actual</w:t>
      </w:r>
      <w:r w:rsidR="007E0B42">
        <w:rPr>
          <w:rFonts w:cs="Arial"/>
        </w:rPr>
        <w:t xml:space="preserve"> </w:t>
      </w:r>
      <w:r w:rsidR="00204D93">
        <w:rPr>
          <w:rFonts w:cs="Arial"/>
        </w:rPr>
        <w:br w:type="page"/>
      </w:r>
    </w:p>
    <w:p w14:paraId="48FA8144" w14:textId="0CBD09F8" w:rsidR="009C072E" w:rsidRPr="003801FD" w:rsidRDefault="007D580B" w:rsidP="003801FD">
      <w:pPr>
        <w:pStyle w:val="Heading2"/>
        <w:rPr>
          <w:rFonts w:cs="Arial"/>
          <w:szCs w:val="20"/>
        </w:rPr>
      </w:pPr>
      <w:bookmarkStart w:id="297" w:name="_Toc206493027"/>
      <w:r>
        <w:lastRenderedPageBreak/>
        <w:t>S</w:t>
      </w:r>
      <w:r w:rsidR="00D7263B" w:rsidRPr="00E31122">
        <w:t xml:space="preserve">trategic </w:t>
      </w:r>
      <w:r w:rsidR="009E29B5">
        <w:t>P</w:t>
      </w:r>
      <w:r w:rsidR="00D7263B" w:rsidRPr="00E31122">
        <w:t xml:space="preserve">lan </w:t>
      </w:r>
      <w:r w:rsidR="001E4736" w:rsidRPr="00E31122">
        <w:t>p</w:t>
      </w:r>
      <w:r w:rsidR="00913F12" w:rsidRPr="00E31122">
        <w:t xml:space="preserve">erformance </w:t>
      </w:r>
      <w:r w:rsidR="001E4736" w:rsidRPr="00E31122">
        <w:t>measures</w:t>
      </w:r>
      <w:bookmarkEnd w:id="297"/>
    </w:p>
    <w:p w14:paraId="42A83C87" w14:textId="72159A5A" w:rsidR="00312719" w:rsidRPr="00FB18B0" w:rsidRDefault="00862DF6" w:rsidP="0030657F">
      <w:pPr>
        <w:spacing w:before="120" w:after="120"/>
      </w:pPr>
      <w:r w:rsidRPr="00FB18B0">
        <w:t xml:space="preserve">The QBCC </w:t>
      </w:r>
      <w:r w:rsidR="00A63FE4" w:rsidRPr="00FB18B0">
        <w:t xml:space="preserve">uses its </w:t>
      </w:r>
      <w:r w:rsidR="005656EF" w:rsidRPr="00FB18B0">
        <w:t>s</w:t>
      </w:r>
      <w:r w:rsidRPr="00FB18B0">
        <w:t xml:space="preserve">trategic plan performance measures to </w:t>
      </w:r>
      <w:r w:rsidR="00714AC1" w:rsidRPr="00FB18B0">
        <w:t xml:space="preserve">monitor </w:t>
      </w:r>
      <w:r w:rsidRPr="00FB18B0">
        <w:t>progress toward</w:t>
      </w:r>
      <w:r w:rsidR="00014ED8" w:rsidRPr="00FB18B0">
        <w:t>s</w:t>
      </w:r>
      <w:r w:rsidRPr="00FB18B0">
        <w:t xml:space="preserve"> </w:t>
      </w:r>
      <w:r w:rsidR="0007393B" w:rsidRPr="00FB18B0">
        <w:t>achieving</w:t>
      </w:r>
      <w:r w:rsidR="00B50F21" w:rsidRPr="00FB18B0">
        <w:t xml:space="preserve"> </w:t>
      </w:r>
      <w:r w:rsidR="00014ED8" w:rsidRPr="00FB18B0">
        <w:t>the</w:t>
      </w:r>
      <w:r w:rsidR="00B50F21" w:rsidRPr="00FB18B0">
        <w:t xml:space="preserve"> organisational</w:t>
      </w:r>
      <w:r w:rsidRPr="00FB18B0">
        <w:t xml:space="preserve"> objectives </w:t>
      </w:r>
      <w:r w:rsidR="00014ED8" w:rsidRPr="00FB18B0">
        <w:t>set out</w:t>
      </w:r>
      <w:r w:rsidRPr="00FB18B0">
        <w:t xml:space="preserve"> in </w:t>
      </w:r>
      <w:r w:rsidR="000C56FC" w:rsidRPr="00FB18B0">
        <w:t>the</w:t>
      </w:r>
      <w:r w:rsidR="002239C7" w:rsidRPr="00FB18B0">
        <w:t xml:space="preserve"> </w:t>
      </w:r>
      <w:r w:rsidR="00EC136E" w:rsidRPr="00FB18B0">
        <w:t>Strategic Plan</w:t>
      </w:r>
      <w:r w:rsidRPr="00FB18B0">
        <w:t xml:space="preserve">. </w:t>
      </w:r>
      <w:r w:rsidR="00B8097C">
        <w:t>Several of</w:t>
      </w:r>
      <w:r w:rsidR="00A67AA2" w:rsidRPr="00FB18B0">
        <w:t xml:space="preserve"> these </w:t>
      </w:r>
      <w:r w:rsidR="005A2AD0" w:rsidRPr="00FB18B0">
        <w:t xml:space="preserve">measures also </w:t>
      </w:r>
      <w:r w:rsidR="00A67AA2" w:rsidRPr="00FB18B0">
        <w:t>form part of</w:t>
      </w:r>
      <w:r w:rsidR="005A2AD0" w:rsidRPr="00FB18B0">
        <w:t xml:space="preserve"> </w:t>
      </w:r>
      <w:r w:rsidR="00735AF5" w:rsidRPr="00FB18B0">
        <w:t xml:space="preserve">the QBCC </w:t>
      </w:r>
      <w:r w:rsidR="005A2AD0" w:rsidRPr="00FB18B0">
        <w:t xml:space="preserve">SDS performance </w:t>
      </w:r>
      <w:r w:rsidR="008619FF" w:rsidRPr="00FB18B0">
        <w:t>standards</w:t>
      </w:r>
      <w:r w:rsidR="00FB18B0" w:rsidRPr="00FB18B0">
        <w:t xml:space="preserve">. </w:t>
      </w:r>
      <w:r w:rsidR="00A602D8">
        <w:t>Table 39</w:t>
      </w:r>
      <w:r w:rsidR="00E26808">
        <w:t xml:space="preserve"> </w:t>
      </w:r>
      <w:r w:rsidR="0030675A" w:rsidRPr="00FB18B0">
        <w:t>provide</w:t>
      </w:r>
      <w:r w:rsidR="00E26808">
        <w:t>s</w:t>
      </w:r>
      <w:r w:rsidR="0030675A" w:rsidRPr="00FB18B0">
        <w:t xml:space="preserve"> an overview of the QBCC </w:t>
      </w:r>
      <w:r w:rsidR="009E7825">
        <w:t>S</w:t>
      </w:r>
      <w:r w:rsidR="0030675A" w:rsidRPr="00FB18B0">
        <w:t xml:space="preserve">trategic </w:t>
      </w:r>
      <w:r w:rsidR="009E7825">
        <w:t>P</w:t>
      </w:r>
      <w:r w:rsidR="0030675A" w:rsidRPr="00FB18B0">
        <w:t>lan performance measures</w:t>
      </w:r>
      <w:r w:rsidR="00204D93" w:rsidRPr="00FB18B0">
        <w:t>,</w:t>
      </w:r>
      <w:r w:rsidR="00713E9C" w:rsidRPr="00FB18B0">
        <w:t xml:space="preserve"> with </w:t>
      </w:r>
      <w:r w:rsidR="00204D93" w:rsidRPr="00FB18B0">
        <w:t xml:space="preserve">detailed </w:t>
      </w:r>
      <w:r w:rsidR="00713E9C" w:rsidRPr="00FB18B0">
        <w:t>reporting o</w:t>
      </w:r>
      <w:r w:rsidR="00204D93" w:rsidRPr="00FB18B0">
        <w:t>n</w:t>
      </w:r>
      <w:r w:rsidR="00713E9C" w:rsidRPr="00FB18B0">
        <w:t xml:space="preserve"> the SDS </w:t>
      </w:r>
      <w:r w:rsidR="008D7A24" w:rsidRPr="00FB18B0">
        <w:t>performance standards</w:t>
      </w:r>
      <w:r w:rsidR="00713E9C" w:rsidRPr="00FB18B0">
        <w:t xml:space="preserve"> </w:t>
      </w:r>
      <w:r w:rsidR="00204D93" w:rsidRPr="00FB18B0">
        <w:t>presented</w:t>
      </w:r>
      <w:r w:rsidR="00713E9C" w:rsidRPr="00FB18B0">
        <w:t xml:space="preserve"> in </w:t>
      </w:r>
      <w:r w:rsidR="006C7BC0">
        <w:fldChar w:fldCharType="begin"/>
      </w:r>
      <w:r w:rsidR="006C7BC0">
        <w:instrText xml:space="preserve"> REF _Ref204672319 \h </w:instrText>
      </w:r>
      <w:r w:rsidR="006C7BC0">
        <w:fldChar w:fldCharType="separate"/>
      </w:r>
      <w:r w:rsidR="006C7BC0">
        <w:t>Table 38</w:t>
      </w:r>
      <w:r w:rsidR="006C7BC0">
        <w:fldChar w:fldCharType="end"/>
      </w:r>
      <w:r w:rsidR="00A45E9F">
        <w:t>.</w:t>
      </w:r>
    </w:p>
    <w:p w14:paraId="17F9890F" w14:textId="52A92C4A" w:rsidR="00A51E8C" w:rsidRPr="007B59FA" w:rsidRDefault="00A45E9F" w:rsidP="00283DD8">
      <w:pPr>
        <w:pStyle w:val="Caption"/>
        <w:spacing w:before="120" w:after="120"/>
      </w:pPr>
      <w:bookmarkStart w:id="298" w:name="_Ref204672363"/>
      <w:bookmarkStart w:id="299" w:name="_Ref203982866"/>
      <w:bookmarkStart w:id="300" w:name="_Toc202872070"/>
      <w:bookmarkStart w:id="301" w:name="_Ref202873326"/>
      <w:bookmarkStart w:id="302" w:name="_Hlk202872538"/>
      <w:r>
        <w:t xml:space="preserve">Table </w:t>
      </w:r>
      <w:r w:rsidR="003B3EE1">
        <w:t>39</w:t>
      </w:r>
      <w:bookmarkEnd w:id="298"/>
      <w:r>
        <w:fldChar w:fldCharType="begin"/>
      </w:r>
      <w:r>
        <w:instrText>SEQ Table \* ARABIC</w:instrText>
      </w:r>
      <w:r>
        <w:fldChar w:fldCharType="separate"/>
      </w:r>
      <w:r>
        <w:fldChar w:fldCharType="end"/>
      </w:r>
      <w:bookmarkEnd w:id="299"/>
      <w:r>
        <w:t xml:space="preserve">: </w:t>
      </w:r>
      <w:bookmarkStart w:id="303" w:name="_Ref202873660"/>
      <w:r w:rsidR="00E774E6" w:rsidRPr="00E774E6">
        <w:t xml:space="preserve">QBCC performance in 2024–25 </w:t>
      </w:r>
      <w:r w:rsidR="00964890">
        <w:t xml:space="preserve">measured </w:t>
      </w:r>
      <w:r w:rsidR="00E774E6" w:rsidRPr="00E774E6">
        <w:t>against the</w:t>
      </w:r>
      <w:r w:rsidR="00E774E6">
        <w:t xml:space="preserve"> s</w:t>
      </w:r>
      <w:r w:rsidR="007B59FA" w:rsidRPr="006520DC">
        <w:t xml:space="preserve">trategic </w:t>
      </w:r>
      <w:r w:rsidR="00E774E6">
        <w:t>p</w:t>
      </w:r>
      <w:r w:rsidR="007B59FA" w:rsidRPr="006520DC">
        <w:t>lan performance measures</w:t>
      </w:r>
      <w:bookmarkEnd w:id="300"/>
      <w:bookmarkEnd w:id="301"/>
      <w:bookmarkEnd w:id="303"/>
    </w:p>
    <w:tbl>
      <w:tblPr>
        <w:tblStyle w:val="TableGrid"/>
        <w:tblW w:w="0" w:type="auto"/>
        <w:tblLook w:val="04A0" w:firstRow="1" w:lastRow="0" w:firstColumn="1" w:lastColumn="0" w:noHBand="0" w:noVBand="1"/>
      </w:tblPr>
      <w:tblGrid>
        <w:gridCol w:w="2948"/>
        <w:gridCol w:w="1275"/>
        <w:gridCol w:w="1273"/>
        <w:gridCol w:w="4954"/>
      </w:tblGrid>
      <w:tr w:rsidR="0013152F" w14:paraId="7439E3FE" w14:textId="77777777" w:rsidTr="00A57D9E">
        <w:trPr>
          <w:trHeight w:val="391"/>
          <w:tblHeader/>
        </w:trPr>
        <w:tc>
          <w:tcPr>
            <w:tcW w:w="2948" w:type="dxa"/>
            <w:shd w:val="clear" w:color="auto" w:fill="A6A6A6" w:themeFill="background1" w:themeFillShade="A6"/>
          </w:tcPr>
          <w:bookmarkEnd w:id="302"/>
          <w:p w14:paraId="50C0B67A" w14:textId="77777777" w:rsidR="0013152F" w:rsidRDefault="0013152F" w:rsidP="000516FA">
            <w:pPr>
              <w:spacing w:before="120" w:after="120"/>
            </w:pPr>
            <w:r w:rsidRPr="00DF3649">
              <w:rPr>
                <w:rFonts w:cs="Arial"/>
                <w:b/>
              </w:rPr>
              <w:t>Measure</w:t>
            </w:r>
          </w:p>
        </w:tc>
        <w:tc>
          <w:tcPr>
            <w:tcW w:w="1275" w:type="dxa"/>
            <w:shd w:val="clear" w:color="auto" w:fill="A6A6A6" w:themeFill="background1" w:themeFillShade="A6"/>
          </w:tcPr>
          <w:p w14:paraId="0C254003" w14:textId="77777777" w:rsidR="0013152F" w:rsidRDefault="0013152F" w:rsidP="000516FA">
            <w:pPr>
              <w:spacing w:before="120" w:after="120"/>
            </w:pPr>
            <w:r w:rsidRPr="00DF3649">
              <w:rPr>
                <w:rFonts w:cs="Arial"/>
                <w:b/>
              </w:rPr>
              <w:t>Target</w:t>
            </w:r>
          </w:p>
        </w:tc>
        <w:tc>
          <w:tcPr>
            <w:tcW w:w="1273" w:type="dxa"/>
            <w:shd w:val="clear" w:color="auto" w:fill="A6A6A6" w:themeFill="background1" w:themeFillShade="A6"/>
          </w:tcPr>
          <w:p w14:paraId="0C1576D4" w14:textId="77777777" w:rsidR="0013152F" w:rsidRDefault="0013152F" w:rsidP="000516FA">
            <w:pPr>
              <w:spacing w:before="120" w:after="120"/>
            </w:pPr>
            <w:r w:rsidRPr="00DF3649">
              <w:rPr>
                <w:rFonts w:cs="Arial"/>
                <w:b/>
              </w:rPr>
              <w:t>Actual</w:t>
            </w:r>
          </w:p>
        </w:tc>
        <w:tc>
          <w:tcPr>
            <w:tcW w:w="4954" w:type="dxa"/>
            <w:shd w:val="clear" w:color="auto" w:fill="A6A6A6" w:themeFill="background1" w:themeFillShade="A6"/>
          </w:tcPr>
          <w:p w14:paraId="2E7C5E49" w14:textId="2C4799F3" w:rsidR="0013152F" w:rsidRDefault="0013152F" w:rsidP="000516FA">
            <w:pPr>
              <w:spacing w:before="120" w:after="120"/>
            </w:pPr>
            <w:r w:rsidRPr="00DF3649">
              <w:rPr>
                <w:rFonts w:cs="Arial"/>
                <w:b/>
              </w:rPr>
              <w:t>Comments</w:t>
            </w:r>
          </w:p>
        </w:tc>
      </w:tr>
      <w:tr w:rsidR="0013152F" w14:paraId="6B07F139" w14:textId="77777777" w:rsidTr="30A721C2">
        <w:trPr>
          <w:trHeight w:val="391"/>
        </w:trPr>
        <w:tc>
          <w:tcPr>
            <w:tcW w:w="10450" w:type="dxa"/>
            <w:gridSpan w:val="4"/>
            <w:shd w:val="clear" w:color="auto" w:fill="BFBFBF" w:themeFill="background1" w:themeFillShade="BF"/>
            <w:vAlign w:val="center"/>
          </w:tcPr>
          <w:p w14:paraId="6BEC806E" w14:textId="3E056E8B" w:rsidR="0013152F" w:rsidRDefault="0013152F" w:rsidP="000516FA">
            <w:pPr>
              <w:spacing w:before="120" w:after="120"/>
            </w:pPr>
            <w:r w:rsidRPr="00DF3649">
              <w:rPr>
                <w:rFonts w:cs="Arial"/>
                <w:b/>
              </w:rPr>
              <w:t xml:space="preserve">Objective 1 </w:t>
            </w:r>
            <w:r w:rsidRPr="00DF3649">
              <w:rPr>
                <w:rFonts w:cs="Arial"/>
              </w:rPr>
              <w:t xml:space="preserve">– </w:t>
            </w:r>
            <w:r w:rsidRPr="00DF3649">
              <w:rPr>
                <w:rFonts w:cs="Arial"/>
                <w:szCs w:val="20"/>
              </w:rPr>
              <w:t>Support a strong, safe and sustainable industry through responsive regulatory activity to reduce risk and harm</w:t>
            </w:r>
          </w:p>
        </w:tc>
      </w:tr>
      <w:tr w:rsidR="0013152F" w14:paraId="6C65F934" w14:textId="77777777" w:rsidTr="00A57D9E">
        <w:tc>
          <w:tcPr>
            <w:tcW w:w="2948" w:type="dxa"/>
          </w:tcPr>
          <w:p w14:paraId="557507C2" w14:textId="16CFC2F1" w:rsidR="0013152F" w:rsidRPr="006660B8" w:rsidRDefault="0013152F" w:rsidP="000516FA">
            <w:pPr>
              <w:spacing w:before="120" w:after="120"/>
              <w:rPr>
                <w:rFonts w:cs="Arial"/>
              </w:rPr>
            </w:pPr>
            <w:r w:rsidRPr="0BAA477D">
              <w:rPr>
                <w:rFonts w:cs="Arial"/>
                <w:b/>
              </w:rPr>
              <w:t>Qualitative statement:</w:t>
            </w:r>
            <w:r w:rsidRPr="0BAA477D">
              <w:rPr>
                <w:rFonts w:cs="Arial"/>
              </w:rPr>
              <w:t xml:space="preserve"> </w:t>
            </w:r>
            <w:r w:rsidR="003A57FD" w:rsidRPr="0BAA477D">
              <w:rPr>
                <w:rFonts w:cs="Arial"/>
              </w:rPr>
              <w:t>O</w:t>
            </w:r>
            <w:r w:rsidRPr="0BAA477D">
              <w:rPr>
                <w:rFonts w:cs="Arial"/>
              </w:rPr>
              <w:t>utcomes of proactive inspection programs</w:t>
            </w:r>
          </w:p>
        </w:tc>
        <w:tc>
          <w:tcPr>
            <w:tcW w:w="7502" w:type="dxa"/>
            <w:gridSpan w:val="3"/>
          </w:tcPr>
          <w:p w14:paraId="05B78495" w14:textId="3DF030E4" w:rsidR="0013152F" w:rsidRDefault="00C0004A" w:rsidP="009C3F0B">
            <w:pPr>
              <w:spacing w:before="120" w:after="120"/>
              <w:rPr>
                <w:rFonts w:eastAsia="Arial" w:cs="Arial"/>
              </w:rPr>
            </w:pPr>
            <w:r w:rsidRPr="00C0004A">
              <w:rPr>
                <w:rFonts w:eastAsia="Arial" w:cs="Arial"/>
              </w:rPr>
              <w:t xml:space="preserve">In 2024–25, the Technical Standards </w:t>
            </w:r>
            <w:r w:rsidR="00652454">
              <w:rPr>
                <w:rFonts w:eastAsia="Arial" w:cs="Arial"/>
              </w:rPr>
              <w:t xml:space="preserve">Unit </w:t>
            </w:r>
            <w:r w:rsidRPr="00C0004A">
              <w:rPr>
                <w:rFonts w:eastAsia="Arial" w:cs="Arial"/>
              </w:rPr>
              <w:t>and Service Trades U</w:t>
            </w:r>
            <w:r w:rsidR="00652454">
              <w:rPr>
                <w:rFonts w:eastAsia="Arial" w:cs="Arial"/>
              </w:rPr>
              <w:t>nit</w:t>
            </w:r>
            <w:r w:rsidRPr="00C0004A">
              <w:rPr>
                <w:rFonts w:eastAsia="Arial" w:cs="Arial"/>
              </w:rPr>
              <w:t xml:space="preserve"> carried out 4,354 proactive building inspections and identified 556 sites with non-compliance. These teams work</w:t>
            </w:r>
            <w:r w:rsidR="007B7E6C">
              <w:rPr>
                <w:rFonts w:eastAsia="Arial" w:cs="Arial"/>
              </w:rPr>
              <w:t>ed directly</w:t>
            </w:r>
            <w:r w:rsidRPr="00C0004A">
              <w:rPr>
                <w:rFonts w:eastAsia="Arial" w:cs="Arial"/>
              </w:rPr>
              <w:t xml:space="preserve"> with builders and subcontractors </w:t>
            </w:r>
            <w:r w:rsidR="6EE6EA67" w:rsidRPr="757F3647">
              <w:rPr>
                <w:rFonts w:eastAsia="Arial" w:cs="Arial"/>
              </w:rPr>
              <w:t>who</w:t>
            </w:r>
            <w:r w:rsidRPr="00C0004A">
              <w:rPr>
                <w:rFonts w:eastAsia="Arial" w:cs="Arial"/>
              </w:rPr>
              <w:t xml:space="preserve"> rectif</w:t>
            </w:r>
            <w:r w:rsidR="00600BFA">
              <w:rPr>
                <w:rFonts w:eastAsia="Arial" w:cs="Arial"/>
              </w:rPr>
              <w:t>ied</w:t>
            </w:r>
            <w:r w:rsidR="00875BDE">
              <w:rPr>
                <w:rFonts w:eastAsia="Arial" w:cs="Arial"/>
              </w:rPr>
              <w:t xml:space="preserve"> the</w:t>
            </w:r>
            <w:r w:rsidRPr="00C0004A">
              <w:rPr>
                <w:rFonts w:eastAsia="Arial" w:cs="Arial"/>
              </w:rPr>
              <w:t xml:space="preserve"> defects identified by the QBCC inspectors without needing a formal DTR. </w:t>
            </w:r>
            <w:r w:rsidR="00756E62">
              <w:rPr>
                <w:rFonts w:eastAsia="Arial" w:cs="Arial"/>
              </w:rPr>
              <w:t>I</w:t>
            </w:r>
            <w:r w:rsidRPr="00C0004A">
              <w:rPr>
                <w:rFonts w:eastAsia="Arial" w:cs="Arial"/>
              </w:rPr>
              <w:t>nspectors then confirm</w:t>
            </w:r>
            <w:r w:rsidR="0075293C">
              <w:rPr>
                <w:rFonts w:eastAsia="Arial" w:cs="Arial"/>
              </w:rPr>
              <w:t>ed</w:t>
            </w:r>
            <w:r w:rsidRPr="00C0004A">
              <w:rPr>
                <w:rFonts w:eastAsia="Arial" w:cs="Arial"/>
              </w:rPr>
              <w:t xml:space="preserve"> the defects ha</w:t>
            </w:r>
            <w:r w:rsidR="00DD5BA1">
              <w:rPr>
                <w:rFonts w:eastAsia="Arial" w:cs="Arial"/>
              </w:rPr>
              <w:t>d</w:t>
            </w:r>
            <w:r w:rsidRPr="00C0004A">
              <w:rPr>
                <w:rFonts w:eastAsia="Arial" w:cs="Arial"/>
              </w:rPr>
              <w:t xml:space="preserve"> been fixed through follow-up inspections or by reviewing written or photographic evidence </w:t>
            </w:r>
            <w:r w:rsidR="00DD5BA1">
              <w:rPr>
                <w:rFonts w:eastAsia="Arial" w:cs="Arial"/>
              </w:rPr>
              <w:t>provided by the</w:t>
            </w:r>
            <w:r w:rsidRPr="00C0004A">
              <w:rPr>
                <w:rFonts w:eastAsia="Arial" w:cs="Arial"/>
              </w:rPr>
              <w:t xml:space="preserve"> contractors.</w:t>
            </w:r>
          </w:p>
        </w:tc>
      </w:tr>
      <w:tr w:rsidR="0013152F" w14:paraId="0467342E" w14:textId="77777777" w:rsidTr="00A57D9E">
        <w:tc>
          <w:tcPr>
            <w:tcW w:w="2948" w:type="dxa"/>
          </w:tcPr>
          <w:p w14:paraId="33804C39" w14:textId="745907F3" w:rsidR="0013152F" w:rsidRPr="006660B8" w:rsidRDefault="0013152F" w:rsidP="000516FA">
            <w:pPr>
              <w:spacing w:before="120" w:after="120"/>
              <w:rPr>
                <w:rFonts w:cs="Arial"/>
                <w:szCs w:val="18"/>
              </w:rPr>
            </w:pPr>
            <w:r w:rsidRPr="00DF3649">
              <w:rPr>
                <w:rFonts w:cs="Arial"/>
                <w:szCs w:val="18"/>
              </w:rPr>
              <w:t>Surveyed statutory councils and industry advisory bodies indicate a perception of effectiveness of engagement</w:t>
            </w:r>
          </w:p>
        </w:tc>
        <w:tc>
          <w:tcPr>
            <w:tcW w:w="1275" w:type="dxa"/>
          </w:tcPr>
          <w:p w14:paraId="5BF8F6E1" w14:textId="77777777" w:rsidR="0013152F" w:rsidRDefault="0013152F" w:rsidP="000516FA">
            <w:pPr>
              <w:spacing w:before="120" w:after="120"/>
            </w:pPr>
            <w:r>
              <w:rPr>
                <w:rFonts w:cs="Arial"/>
              </w:rPr>
              <w:t>70%</w:t>
            </w:r>
          </w:p>
        </w:tc>
        <w:tc>
          <w:tcPr>
            <w:tcW w:w="1273" w:type="dxa"/>
          </w:tcPr>
          <w:p w14:paraId="7923FD36" w14:textId="77777777" w:rsidR="0013152F" w:rsidRDefault="0013152F" w:rsidP="000516FA">
            <w:pPr>
              <w:spacing w:before="120" w:after="120"/>
            </w:pPr>
            <w:r w:rsidRPr="00595621">
              <w:rPr>
                <w:rFonts w:cs="Arial"/>
                <w:szCs w:val="18"/>
              </w:rPr>
              <w:t>74.2%</w:t>
            </w:r>
          </w:p>
        </w:tc>
        <w:tc>
          <w:tcPr>
            <w:tcW w:w="4954" w:type="dxa"/>
          </w:tcPr>
          <w:p w14:paraId="74B5FAE6" w14:textId="42906B3A" w:rsidR="0013152F" w:rsidRDefault="0024208D" w:rsidP="000516FA">
            <w:pPr>
              <w:spacing w:before="120" w:after="120"/>
            </w:pPr>
            <w:r w:rsidRPr="0024208D">
              <w:t>The target has been achieved</w:t>
            </w:r>
            <w:r w:rsidR="00F845CE">
              <w:t>.</w:t>
            </w:r>
          </w:p>
        </w:tc>
      </w:tr>
      <w:tr w:rsidR="0013152F" w14:paraId="429747EC" w14:textId="77777777" w:rsidTr="30A721C2">
        <w:trPr>
          <w:trHeight w:val="391"/>
        </w:trPr>
        <w:tc>
          <w:tcPr>
            <w:tcW w:w="10450" w:type="dxa"/>
            <w:gridSpan w:val="4"/>
            <w:shd w:val="clear" w:color="auto" w:fill="BFBFBF" w:themeFill="background1" w:themeFillShade="BF"/>
            <w:vAlign w:val="center"/>
          </w:tcPr>
          <w:p w14:paraId="1EEE9A04" w14:textId="6EA0242F" w:rsidR="0013152F" w:rsidRDefault="0013152F" w:rsidP="000516FA">
            <w:pPr>
              <w:spacing w:before="120" w:after="120"/>
            </w:pPr>
            <w:r w:rsidRPr="00DF3649">
              <w:rPr>
                <w:rFonts w:cs="Arial"/>
                <w:b/>
                <w:szCs w:val="20"/>
              </w:rPr>
              <w:t>Objective 2</w:t>
            </w:r>
            <w:r w:rsidRPr="00DF3649">
              <w:rPr>
                <w:rFonts w:cs="Arial"/>
                <w:szCs w:val="20"/>
              </w:rPr>
              <w:t xml:space="preserve"> – Improve the customer experience through the provision of information, advice and decisions that are practical, clearly communicated, transparent and timely</w:t>
            </w:r>
          </w:p>
        </w:tc>
      </w:tr>
      <w:tr w:rsidR="0013152F" w14:paraId="1B19A006" w14:textId="77777777" w:rsidTr="00A57D9E">
        <w:tc>
          <w:tcPr>
            <w:tcW w:w="2948" w:type="dxa"/>
          </w:tcPr>
          <w:p w14:paraId="129E4EA0" w14:textId="1D7FF39E" w:rsidR="0013152F" w:rsidRPr="006660B8" w:rsidRDefault="0013152F" w:rsidP="006660B8">
            <w:pPr>
              <w:tabs>
                <w:tab w:val="left" w:pos="884"/>
              </w:tabs>
              <w:spacing w:before="120" w:after="120"/>
              <w:ind w:left="33"/>
              <w:rPr>
                <w:rFonts w:cs="Arial"/>
              </w:rPr>
            </w:pPr>
            <w:r w:rsidRPr="00DF2621">
              <w:rPr>
                <w:rFonts w:cs="Arial"/>
              </w:rPr>
              <w:t>Percentage of licence applications determined within timeframes – per category/type</w:t>
            </w:r>
          </w:p>
        </w:tc>
        <w:tc>
          <w:tcPr>
            <w:tcW w:w="1275" w:type="dxa"/>
          </w:tcPr>
          <w:p w14:paraId="5E3AFE94" w14:textId="77777777" w:rsidR="0013152F" w:rsidRDefault="0013152F" w:rsidP="000516FA">
            <w:pPr>
              <w:spacing w:before="120" w:after="120"/>
            </w:pPr>
            <w:r>
              <w:rPr>
                <w:rFonts w:cs="Arial"/>
              </w:rPr>
              <w:t>90%</w:t>
            </w:r>
          </w:p>
        </w:tc>
        <w:tc>
          <w:tcPr>
            <w:tcW w:w="1273" w:type="dxa"/>
          </w:tcPr>
          <w:p w14:paraId="18456549" w14:textId="6330E10A" w:rsidR="0013152F" w:rsidRDefault="0013152F" w:rsidP="000516FA">
            <w:pPr>
              <w:spacing w:before="120" w:after="120"/>
            </w:pPr>
            <w:r w:rsidRPr="00E87C0D">
              <w:rPr>
                <w:rFonts w:cs="Arial"/>
              </w:rPr>
              <w:t>69%</w:t>
            </w:r>
            <w:r w:rsidR="003252D0">
              <w:rPr>
                <w:rStyle w:val="FootnoteReference"/>
                <w:rFonts w:cs="Arial"/>
              </w:rPr>
              <w:footnoteReference w:id="9"/>
            </w:r>
          </w:p>
        </w:tc>
        <w:tc>
          <w:tcPr>
            <w:tcW w:w="4954" w:type="dxa"/>
          </w:tcPr>
          <w:p w14:paraId="394B5C1D" w14:textId="7045D286" w:rsidR="0013152F" w:rsidRPr="00A57D9E" w:rsidRDefault="007A11FF" w:rsidP="007A11FF">
            <w:pPr>
              <w:spacing w:before="120" w:after="120"/>
              <w:rPr>
                <w:strike/>
              </w:rPr>
            </w:pPr>
            <w:r>
              <w:t xml:space="preserve">The variance </w:t>
            </w:r>
            <w:r w:rsidR="00572DE9">
              <w:t>is due to</w:t>
            </w:r>
            <w:r w:rsidR="00904261">
              <w:t xml:space="preserve"> the repeated need </w:t>
            </w:r>
            <w:r>
              <w:t xml:space="preserve">to request additional information </w:t>
            </w:r>
            <w:r w:rsidR="008E6876">
              <w:t xml:space="preserve">from applicants to </w:t>
            </w:r>
            <w:r w:rsidR="0014040B">
              <w:t xml:space="preserve">support </w:t>
            </w:r>
            <w:r w:rsidR="008A747C">
              <w:t>a successful outcome</w:t>
            </w:r>
            <w:r w:rsidR="00A37A26">
              <w:t>.</w:t>
            </w:r>
            <w:r w:rsidR="00904261">
              <w:t xml:space="preserve"> </w:t>
            </w:r>
            <w:r w:rsidR="00FF6396">
              <w:t xml:space="preserve">There has also been an increasing need </w:t>
            </w:r>
            <w:r w:rsidR="00A37A26">
              <w:t xml:space="preserve">to </w:t>
            </w:r>
            <w:r>
              <w:t>verify qualifications</w:t>
            </w:r>
            <w:r w:rsidR="0014040B">
              <w:t>,</w:t>
            </w:r>
            <w:r>
              <w:t xml:space="preserve"> </w:t>
            </w:r>
            <w:r w:rsidR="00464A5E">
              <w:t xml:space="preserve">due to </w:t>
            </w:r>
            <w:r w:rsidR="001B2208">
              <w:t xml:space="preserve">the submission of </w:t>
            </w:r>
            <w:r w:rsidR="00464A5E">
              <w:t xml:space="preserve">fraudulent </w:t>
            </w:r>
            <w:r w:rsidR="00675E98" w:rsidDel="001B2208">
              <w:t>qualifications</w:t>
            </w:r>
            <w:r w:rsidR="00E96237">
              <w:t xml:space="preserve"> </w:t>
            </w:r>
            <w:r w:rsidR="001B2208">
              <w:t xml:space="preserve">that were subsequently </w:t>
            </w:r>
            <w:r w:rsidR="003A10B9">
              <w:t xml:space="preserve">cancelled by </w:t>
            </w:r>
            <w:r w:rsidR="001B2208">
              <w:t xml:space="preserve">the </w:t>
            </w:r>
            <w:r w:rsidR="003A10B9">
              <w:t>A</w:t>
            </w:r>
            <w:r w:rsidR="00293BC6">
              <w:t xml:space="preserve">ustralian </w:t>
            </w:r>
            <w:r w:rsidR="003A10B9">
              <w:t>S</w:t>
            </w:r>
            <w:r w:rsidR="00293BC6">
              <w:t xml:space="preserve">kills </w:t>
            </w:r>
            <w:r w:rsidR="003A10B9">
              <w:t>Q</w:t>
            </w:r>
            <w:r w:rsidR="00293BC6">
              <w:t xml:space="preserve">uality </w:t>
            </w:r>
            <w:r w:rsidR="003A10B9">
              <w:t>A</w:t>
            </w:r>
            <w:r w:rsidR="00293BC6">
              <w:t>uthority</w:t>
            </w:r>
            <w:r w:rsidR="00675E98">
              <w:t>.</w:t>
            </w:r>
            <w:r w:rsidR="001F012B">
              <w:t xml:space="preserve">     </w:t>
            </w:r>
          </w:p>
        </w:tc>
      </w:tr>
      <w:tr w:rsidR="0013152F" w14:paraId="7DAA0304" w14:textId="77777777" w:rsidTr="00A57D9E">
        <w:tc>
          <w:tcPr>
            <w:tcW w:w="2948" w:type="dxa"/>
          </w:tcPr>
          <w:p w14:paraId="0A8BDFD9" w14:textId="4A7DD66C" w:rsidR="0013152F" w:rsidRPr="006660B8" w:rsidRDefault="0013152F" w:rsidP="000516FA">
            <w:pPr>
              <w:spacing w:before="120" w:after="120"/>
              <w:rPr>
                <w:rFonts w:cs="Arial"/>
              </w:rPr>
            </w:pPr>
            <w:r w:rsidRPr="00DF3649">
              <w:rPr>
                <w:rFonts w:cs="Arial"/>
              </w:rPr>
              <w:t>Surveyed customers indicate that our tools and information provided have assisted them to comply with requirements</w:t>
            </w:r>
          </w:p>
        </w:tc>
        <w:tc>
          <w:tcPr>
            <w:tcW w:w="1275" w:type="dxa"/>
          </w:tcPr>
          <w:p w14:paraId="331737F0" w14:textId="77777777" w:rsidR="0013152F" w:rsidRDefault="0013152F" w:rsidP="000516FA">
            <w:pPr>
              <w:spacing w:before="120" w:after="120"/>
            </w:pPr>
            <w:r>
              <w:rPr>
                <w:rFonts w:cs="Arial"/>
              </w:rPr>
              <w:t>32.5%</w:t>
            </w:r>
          </w:p>
        </w:tc>
        <w:tc>
          <w:tcPr>
            <w:tcW w:w="1273" w:type="dxa"/>
          </w:tcPr>
          <w:p w14:paraId="1CC9BD31" w14:textId="77777777" w:rsidR="0013152F" w:rsidRDefault="0013152F" w:rsidP="000516FA">
            <w:pPr>
              <w:spacing w:before="120" w:after="120"/>
            </w:pPr>
            <w:r w:rsidRPr="009836DA">
              <w:rPr>
                <w:rFonts w:cs="Arial"/>
                <w:szCs w:val="18"/>
              </w:rPr>
              <w:t>34.9%</w:t>
            </w:r>
          </w:p>
        </w:tc>
        <w:tc>
          <w:tcPr>
            <w:tcW w:w="4954" w:type="dxa"/>
          </w:tcPr>
          <w:p w14:paraId="026BD3D3" w14:textId="41AA476E" w:rsidR="0013152F" w:rsidRDefault="00EE3206" w:rsidP="000516FA">
            <w:pPr>
              <w:spacing w:before="120" w:after="120"/>
            </w:pPr>
            <w:r w:rsidRPr="00EE3206">
              <w:t>The target has been achieved</w:t>
            </w:r>
            <w:r w:rsidR="00835DBB">
              <w:t>.</w:t>
            </w:r>
          </w:p>
        </w:tc>
      </w:tr>
      <w:tr w:rsidR="0013152F" w14:paraId="397EAEC9" w14:textId="77777777" w:rsidTr="00A57D9E">
        <w:tc>
          <w:tcPr>
            <w:tcW w:w="2948" w:type="dxa"/>
          </w:tcPr>
          <w:p w14:paraId="5E24356E" w14:textId="175B8E7A" w:rsidR="0013152F" w:rsidRPr="006660B8" w:rsidRDefault="0013152F" w:rsidP="000516FA">
            <w:pPr>
              <w:spacing w:before="120" w:after="120"/>
              <w:rPr>
                <w:rFonts w:cs="Arial"/>
              </w:rPr>
            </w:pPr>
            <w:r w:rsidRPr="00DF3649">
              <w:rPr>
                <w:rFonts w:cs="Arial"/>
              </w:rPr>
              <w:t>Percentage of interactive forms available to be fully completed online</w:t>
            </w:r>
          </w:p>
        </w:tc>
        <w:tc>
          <w:tcPr>
            <w:tcW w:w="1275" w:type="dxa"/>
          </w:tcPr>
          <w:p w14:paraId="2E229441" w14:textId="77777777" w:rsidR="0013152F" w:rsidRDefault="0013152F" w:rsidP="000516FA">
            <w:pPr>
              <w:spacing w:before="120" w:after="120"/>
            </w:pPr>
            <w:r>
              <w:rPr>
                <w:rFonts w:cs="Arial"/>
              </w:rPr>
              <w:t>50%</w:t>
            </w:r>
          </w:p>
        </w:tc>
        <w:tc>
          <w:tcPr>
            <w:tcW w:w="1273" w:type="dxa"/>
          </w:tcPr>
          <w:p w14:paraId="7F9E4C8A" w14:textId="694918AC" w:rsidR="0013152F" w:rsidRDefault="0013152F" w:rsidP="000516FA">
            <w:pPr>
              <w:spacing w:before="120" w:after="120"/>
            </w:pPr>
            <w:r w:rsidRPr="009836DA">
              <w:rPr>
                <w:rFonts w:cs="Arial"/>
                <w:szCs w:val="18"/>
              </w:rPr>
              <w:t>31.7%</w:t>
            </w:r>
            <w:r w:rsidR="009D0813">
              <w:rPr>
                <w:rFonts w:cs="Arial"/>
                <w:szCs w:val="18"/>
                <w:vertAlign w:val="superscript"/>
              </w:rPr>
              <w:t>8</w:t>
            </w:r>
          </w:p>
        </w:tc>
        <w:tc>
          <w:tcPr>
            <w:tcW w:w="4954" w:type="dxa"/>
          </w:tcPr>
          <w:p w14:paraId="76EB3C8C" w14:textId="0437466E" w:rsidR="0013152F" w:rsidRDefault="009E76A0" w:rsidP="009E76A0">
            <w:pPr>
              <w:spacing w:before="120" w:after="120"/>
            </w:pPr>
            <w:r>
              <w:t xml:space="preserve">The variance from </w:t>
            </w:r>
            <w:r w:rsidR="001B5315">
              <w:t>the</w:t>
            </w:r>
            <w:r>
              <w:t xml:space="preserve"> target is due to the need to decommission </w:t>
            </w:r>
            <w:r w:rsidR="001133A2">
              <w:t xml:space="preserve">an </w:t>
            </w:r>
            <w:r w:rsidR="004F772F">
              <w:t xml:space="preserve">internal legacy </w:t>
            </w:r>
            <w:r w:rsidR="00794A04">
              <w:t xml:space="preserve">digital </w:t>
            </w:r>
            <w:r w:rsidR="004F772F">
              <w:t>system</w:t>
            </w:r>
            <w:r>
              <w:t xml:space="preserve"> before the remaining forms can be digitised.</w:t>
            </w:r>
          </w:p>
        </w:tc>
      </w:tr>
      <w:tr w:rsidR="0013152F" w14:paraId="786489AB" w14:textId="77777777" w:rsidTr="00A57D9E">
        <w:tc>
          <w:tcPr>
            <w:tcW w:w="2948" w:type="dxa"/>
          </w:tcPr>
          <w:p w14:paraId="572A83BB" w14:textId="62965D44" w:rsidR="0013152F" w:rsidRPr="006660B8" w:rsidRDefault="0013152F" w:rsidP="000516FA">
            <w:pPr>
              <w:spacing w:before="120" w:after="120"/>
              <w:rPr>
                <w:rFonts w:cs="Arial"/>
              </w:rPr>
            </w:pPr>
            <w:r w:rsidRPr="00DF3649">
              <w:rPr>
                <w:rFonts w:cs="Arial"/>
              </w:rPr>
              <w:lastRenderedPageBreak/>
              <w:t>Overall customer satisfaction</w:t>
            </w:r>
          </w:p>
        </w:tc>
        <w:tc>
          <w:tcPr>
            <w:tcW w:w="1275" w:type="dxa"/>
          </w:tcPr>
          <w:p w14:paraId="150C871C" w14:textId="77777777" w:rsidR="0013152F" w:rsidRDefault="0013152F" w:rsidP="000516FA">
            <w:pPr>
              <w:spacing w:before="120" w:after="120"/>
            </w:pPr>
            <w:r>
              <w:rPr>
                <w:rFonts w:cs="Arial"/>
              </w:rPr>
              <w:t>37%</w:t>
            </w:r>
          </w:p>
        </w:tc>
        <w:tc>
          <w:tcPr>
            <w:tcW w:w="1273" w:type="dxa"/>
          </w:tcPr>
          <w:p w14:paraId="1CA7FF69" w14:textId="77777777" w:rsidR="0013152F" w:rsidRDefault="0013152F" w:rsidP="000516FA">
            <w:pPr>
              <w:spacing w:before="120" w:after="120"/>
            </w:pPr>
            <w:r w:rsidRPr="00B811D0">
              <w:rPr>
                <w:rFonts w:cs="Arial"/>
                <w:szCs w:val="18"/>
              </w:rPr>
              <w:t>37.7%</w:t>
            </w:r>
          </w:p>
        </w:tc>
        <w:tc>
          <w:tcPr>
            <w:tcW w:w="4954" w:type="dxa"/>
          </w:tcPr>
          <w:p w14:paraId="73FE287F" w14:textId="3C831E67" w:rsidR="0013152F" w:rsidRDefault="007C06C5" w:rsidP="000516FA">
            <w:pPr>
              <w:spacing w:before="120" w:after="120"/>
            </w:pPr>
            <w:r w:rsidRPr="007C06C5">
              <w:t>The target has been achieved.</w:t>
            </w:r>
          </w:p>
        </w:tc>
      </w:tr>
      <w:tr w:rsidR="0013152F" w14:paraId="4155602D" w14:textId="77777777" w:rsidTr="00A57D9E">
        <w:tc>
          <w:tcPr>
            <w:tcW w:w="2948" w:type="dxa"/>
          </w:tcPr>
          <w:p w14:paraId="28CE0BBB" w14:textId="0E89D1C8" w:rsidR="0013152F" w:rsidRPr="006660B8" w:rsidRDefault="0013152F" w:rsidP="000516FA">
            <w:pPr>
              <w:spacing w:before="120" w:after="120"/>
              <w:rPr>
                <w:rFonts w:cs="Arial"/>
              </w:rPr>
            </w:pPr>
            <w:r w:rsidRPr="00DF3649">
              <w:rPr>
                <w:rFonts w:cs="Arial"/>
              </w:rPr>
              <w:t>Percentage of internal review decisions made within the required period</w:t>
            </w:r>
          </w:p>
        </w:tc>
        <w:tc>
          <w:tcPr>
            <w:tcW w:w="1275" w:type="dxa"/>
          </w:tcPr>
          <w:p w14:paraId="03A4D6E9" w14:textId="77777777" w:rsidR="0013152F" w:rsidRDefault="0013152F" w:rsidP="000516FA">
            <w:pPr>
              <w:spacing w:before="120" w:after="120"/>
            </w:pPr>
            <w:r>
              <w:rPr>
                <w:rFonts w:cs="Arial"/>
              </w:rPr>
              <w:t>80%</w:t>
            </w:r>
          </w:p>
        </w:tc>
        <w:tc>
          <w:tcPr>
            <w:tcW w:w="1273" w:type="dxa"/>
          </w:tcPr>
          <w:p w14:paraId="65D5512E" w14:textId="77777777" w:rsidR="0013152F" w:rsidRDefault="0013152F" w:rsidP="000516FA">
            <w:pPr>
              <w:spacing w:before="120" w:after="120"/>
            </w:pPr>
            <w:r>
              <w:rPr>
                <w:rFonts w:cs="Arial"/>
                <w:szCs w:val="18"/>
              </w:rPr>
              <w:t>97.4%</w:t>
            </w:r>
          </w:p>
        </w:tc>
        <w:tc>
          <w:tcPr>
            <w:tcW w:w="4954" w:type="dxa"/>
          </w:tcPr>
          <w:p w14:paraId="439835D1" w14:textId="0D322E49" w:rsidR="0013152F" w:rsidRDefault="006B3957" w:rsidP="000516FA">
            <w:pPr>
              <w:spacing w:before="120" w:after="120"/>
            </w:pPr>
            <w:r w:rsidRPr="006B3957">
              <w:t>The target has been achieved.</w:t>
            </w:r>
          </w:p>
        </w:tc>
      </w:tr>
      <w:tr w:rsidR="0013152F" w14:paraId="61BFCD70" w14:textId="77777777" w:rsidTr="00A57D9E">
        <w:tc>
          <w:tcPr>
            <w:tcW w:w="2948" w:type="dxa"/>
          </w:tcPr>
          <w:p w14:paraId="4F3A2922" w14:textId="1F8971BF" w:rsidR="0013152F" w:rsidRPr="006660B8" w:rsidRDefault="0013152F" w:rsidP="000516FA">
            <w:pPr>
              <w:spacing w:before="120" w:after="120"/>
              <w:rPr>
                <w:rFonts w:cs="Arial"/>
              </w:rPr>
            </w:pPr>
            <w:r w:rsidRPr="009A54C3">
              <w:rPr>
                <w:rFonts w:cs="Arial"/>
              </w:rPr>
              <w:t>Percentage of peer reviews which agree with the original recommendation to grant/suspend/cancel a licence</w:t>
            </w:r>
          </w:p>
        </w:tc>
        <w:tc>
          <w:tcPr>
            <w:tcW w:w="1275" w:type="dxa"/>
          </w:tcPr>
          <w:p w14:paraId="0548D95E" w14:textId="77777777" w:rsidR="0013152F" w:rsidRDefault="0013152F" w:rsidP="000516FA">
            <w:pPr>
              <w:spacing w:before="120" w:after="120"/>
            </w:pPr>
            <w:r>
              <w:rPr>
                <w:rFonts w:cs="Arial"/>
              </w:rPr>
              <w:t>95%</w:t>
            </w:r>
          </w:p>
        </w:tc>
        <w:tc>
          <w:tcPr>
            <w:tcW w:w="1273" w:type="dxa"/>
          </w:tcPr>
          <w:p w14:paraId="56C7A0B9" w14:textId="77777777" w:rsidR="0013152F" w:rsidRDefault="0013152F" w:rsidP="000516FA">
            <w:pPr>
              <w:spacing w:before="120" w:after="120"/>
            </w:pPr>
            <w:r w:rsidRPr="004B6A97">
              <w:rPr>
                <w:rFonts w:cs="Arial"/>
                <w:szCs w:val="18"/>
              </w:rPr>
              <w:t>92%</w:t>
            </w:r>
          </w:p>
        </w:tc>
        <w:tc>
          <w:tcPr>
            <w:tcW w:w="4954" w:type="dxa"/>
          </w:tcPr>
          <w:p w14:paraId="436DAE2D" w14:textId="59266A54" w:rsidR="0013152F" w:rsidRPr="00A57D9E" w:rsidRDefault="000D2CA9" w:rsidP="000D2CA9">
            <w:pPr>
              <w:spacing w:before="120" w:after="120"/>
              <w:rPr>
                <w:strike/>
              </w:rPr>
            </w:pPr>
            <w:r>
              <w:t xml:space="preserve">The target has been </w:t>
            </w:r>
            <w:r w:rsidR="006B3957" w:rsidRPr="006B3957">
              <w:t>achieved within</w:t>
            </w:r>
            <w:r>
              <w:t xml:space="preserve"> the </w:t>
            </w:r>
            <w:r w:rsidR="006B3957" w:rsidRPr="006B3957">
              <w:t xml:space="preserve">acceptable </w:t>
            </w:r>
            <w:r>
              <w:t>variance</w:t>
            </w:r>
            <w:r w:rsidR="006B3957" w:rsidRPr="006B3957">
              <w:t>.</w:t>
            </w:r>
          </w:p>
        </w:tc>
      </w:tr>
      <w:tr w:rsidR="0013152F" w14:paraId="48B2F6A2" w14:textId="77777777" w:rsidTr="30A721C2">
        <w:trPr>
          <w:trHeight w:val="391"/>
        </w:trPr>
        <w:tc>
          <w:tcPr>
            <w:tcW w:w="10450" w:type="dxa"/>
            <w:gridSpan w:val="4"/>
            <w:shd w:val="clear" w:color="auto" w:fill="BFBFBF" w:themeFill="background1" w:themeFillShade="BF"/>
            <w:vAlign w:val="center"/>
          </w:tcPr>
          <w:p w14:paraId="68B0261C" w14:textId="396E6617" w:rsidR="0013152F" w:rsidRDefault="0013152F" w:rsidP="000516FA">
            <w:pPr>
              <w:spacing w:before="120" w:after="120"/>
            </w:pPr>
            <w:r w:rsidRPr="00DF3649">
              <w:rPr>
                <w:rFonts w:cs="Arial"/>
                <w:b/>
                <w:szCs w:val="20"/>
              </w:rPr>
              <w:t>Objective 3</w:t>
            </w:r>
            <w:r w:rsidRPr="00DF3649">
              <w:rPr>
                <w:rFonts w:cs="Arial"/>
                <w:szCs w:val="20"/>
              </w:rPr>
              <w:t xml:space="preserve"> – Educate and inform customers to support continuous quality improvement</w:t>
            </w:r>
          </w:p>
        </w:tc>
      </w:tr>
      <w:tr w:rsidR="0013152F" w14:paraId="5DF0DF1A" w14:textId="77777777" w:rsidTr="00A57D9E">
        <w:tc>
          <w:tcPr>
            <w:tcW w:w="2948" w:type="dxa"/>
          </w:tcPr>
          <w:p w14:paraId="3984F277" w14:textId="13ECBC6C" w:rsidR="0013152F" w:rsidRPr="006660B8" w:rsidRDefault="0013152F" w:rsidP="000516FA">
            <w:pPr>
              <w:spacing w:before="120" w:after="120"/>
              <w:rPr>
                <w:rFonts w:cs="Arial"/>
              </w:rPr>
            </w:pPr>
            <w:r w:rsidRPr="4D53246F">
              <w:rPr>
                <w:rFonts w:cs="Arial"/>
                <w:b/>
              </w:rPr>
              <w:t>Qualitative statement:</w:t>
            </w:r>
            <w:r w:rsidRPr="4D53246F">
              <w:rPr>
                <w:rFonts w:cs="Arial"/>
              </w:rPr>
              <w:t xml:space="preserve"> </w:t>
            </w:r>
            <w:r w:rsidRPr="00DF3649">
              <w:rPr>
                <w:rFonts w:cs="Arial"/>
              </w:rPr>
              <w:t xml:space="preserve">Customers and </w:t>
            </w:r>
            <w:bookmarkStart w:id="304" w:name="_Int_9l5b7Wdt"/>
            <w:proofErr w:type="gramStart"/>
            <w:r w:rsidRPr="00DF3649">
              <w:rPr>
                <w:rFonts w:cs="Arial"/>
              </w:rPr>
              <w:t>stakeholders</w:t>
            </w:r>
            <w:bookmarkEnd w:id="304"/>
            <w:proofErr w:type="gramEnd"/>
            <w:r w:rsidRPr="00DF3649">
              <w:rPr>
                <w:rFonts w:cs="Arial"/>
              </w:rPr>
              <w:t xml:space="preserve"> satisfaction with engagement mechanisms</w:t>
            </w:r>
          </w:p>
        </w:tc>
        <w:tc>
          <w:tcPr>
            <w:tcW w:w="7502" w:type="dxa"/>
            <w:gridSpan w:val="3"/>
          </w:tcPr>
          <w:p w14:paraId="3C56831E" w14:textId="6B8BA3A4" w:rsidR="0013152F" w:rsidRDefault="00E87D92" w:rsidP="009C3F0B">
            <w:pPr>
              <w:spacing w:before="120" w:after="120"/>
              <w:rPr>
                <w:rFonts w:eastAsia="Arial" w:cs="Arial"/>
              </w:rPr>
            </w:pPr>
            <w:r w:rsidRPr="00E87D92">
              <w:rPr>
                <w:rFonts w:eastAsia="Arial" w:cs="Arial"/>
              </w:rPr>
              <w:t xml:space="preserve">In 2024–25, the QBCC delivered a range of education and engagement activities across Queensland, regularly engaging with licensees, industry professionals, industry bodies, TAFE institutions and </w:t>
            </w:r>
            <w:bookmarkStart w:id="305" w:name="_Int_3LhVTSzh"/>
            <w:proofErr w:type="gramStart"/>
            <w:r w:rsidRPr="00E87D92">
              <w:rPr>
                <w:rFonts w:eastAsia="Arial" w:cs="Arial"/>
              </w:rPr>
              <w:t>home owners</w:t>
            </w:r>
            <w:bookmarkEnd w:id="305"/>
            <w:proofErr w:type="gramEnd"/>
            <w:r w:rsidRPr="00E87D92">
              <w:rPr>
                <w:rFonts w:eastAsia="Arial" w:cs="Arial"/>
              </w:rPr>
              <w:t xml:space="preserve"> at both local and state levels. Feedback from attendees consistently indicated a positive experience</w:t>
            </w:r>
            <w:r w:rsidR="5129E902" w:rsidRPr="66BE97E5">
              <w:rPr>
                <w:rFonts w:eastAsia="Arial" w:cs="Arial"/>
              </w:rPr>
              <w:t xml:space="preserve"> interacting with </w:t>
            </w:r>
            <w:r w:rsidR="00AA2A06">
              <w:rPr>
                <w:rFonts w:eastAsia="Arial" w:cs="Arial"/>
              </w:rPr>
              <w:t>the QBCC</w:t>
            </w:r>
            <w:r w:rsidR="5129E902" w:rsidRPr="66BE97E5">
              <w:rPr>
                <w:rFonts w:eastAsia="Arial" w:cs="Arial"/>
              </w:rPr>
              <w:t xml:space="preserve"> staff</w:t>
            </w:r>
            <w:r w:rsidRPr="66BE97E5">
              <w:rPr>
                <w:rFonts w:eastAsia="Arial" w:cs="Arial"/>
              </w:rPr>
              <w:t>.</w:t>
            </w:r>
            <w:r w:rsidRPr="00E87D92">
              <w:rPr>
                <w:rFonts w:eastAsia="Arial" w:cs="Arial"/>
              </w:rPr>
              <w:t xml:space="preserve">  </w:t>
            </w:r>
          </w:p>
        </w:tc>
      </w:tr>
      <w:tr w:rsidR="0013152F" w14:paraId="0BA86F5C" w14:textId="77777777" w:rsidTr="00A57D9E">
        <w:tc>
          <w:tcPr>
            <w:tcW w:w="2948" w:type="dxa"/>
          </w:tcPr>
          <w:p w14:paraId="66F27D8A" w14:textId="594DF49A" w:rsidR="0013152F" w:rsidRPr="006660B8" w:rsidRDefault="0013152F" w:rsidP="000516FA">
            <w:pPr>
              <w:spacing w:before="120" w:after="120"/>
              <w:rPr>
                <w:rFonts w:cs="Arial"/>
              </w:rPr>
            </w:pPr>
            <w:r w:rsidRPr="00DF3649">
              <w:rPr>
                <w:rFonts w:cs="Arial"/>
              </w:rPr>
              <w:t>Percentage of attendees agreeing that the events/materials have improved their knowledge/ understanding of the topic</w:t>
            </w:r>
          </w:p>
        </w:tc>
        <w:tc>
          <w:tcPr>
            <w:tcW w:w="1275" w:type="dxa"/>
          </w:tcPr>
          <w:p w14:paraId="7FC70559" w14:textId="77777777" w:rsidR="0013152F" w:rsidRDefault="0013152F" w:rsidP="000516FA">
            <w:pPr>
              <w:spacing w:before="120" w:after="120"/>
            </w:pPr>
            <w:r>
              <w:rPr>
                <w:rFonts w:cs="Arial"/>
              </w:rPr>
              <w:t>75%</w:t>
            </w:r>
          </w:p>
        </w:tc>
        <w:tc>
          <w:tcPr>
            <w:tcW w:w="1273" w:type="dxa"/>
          </w:tcPr>
          <w:p w14:paraId="11252EF5" w14:textId="77777777" w:rsidR="0013152F" w:rsidRDefault="0013152F" w:rsidP="000516FA">
            <w:pPr>
              <w:spacing w:before="120" w:after="120"/>
            </w:pPr>
            <w:r w:rsidRPr="00AF3116">
              <w:rPr>
                <w:rFonts w:cs="Arial"/>
                <w:szCs w:val="18"/>
              </w:rPr>
              <w:t>82%</w:t>
            </w:r>
          </w:p>
        </w:tc>
        <w:tc>
          <w:tcPr>
            <w:tcW w:w="4954" w:type="dxa"/>
          </w:tcPr>
          <w:p w14:paraId="5A8717C9" w14:textId="31CA011E" w:rsidR="0013152F" w:rsidRDefault="00F36343" w:rsidP="000516FA">
            <w:pPr>
              <w:spacing w:before="120" w:after="120"/>
            </w:pPr>
            <w:r w:rsidRPr="00F36343">
              <w:t>The target has been achieved.</w:t>
            </w:r>
          </w:p>
        </w:tc>
      </w:tr>
      <w:tr w:rsidR="0013152F" w14:paraId="689309BA" w14:textId="77777777" w:rsidTr="00A57D9E">
        <w:tc>
          <w:tcPr>
            <w:tcW w:w="2948" w:type="dxa"/>
          </w:tcPr>
          <w:p w14:paraId="36FD9E7C" w14:textId="75C1E985" w:rsidR="0013152F" w:rsidRPr="006660B8" w:rsidRDefault="78448AD7" w:rsidP="000516FA">
            <w:pPr>
              <w:spacing w:before="120" w:after="120"/>
              <w:rPr>
                <w:rFonts w:cs="Arial"/>
              </w:rPr>
            </w:pPr>
            <w:r w:rsidRPr="30A721C2">
              <w:rPr>
                <w:rFonts w:cs="Arial"/>
                <w:b/>
                <w:bCs/>
              </w:rPr>
              <w:t>Qualitative statement:</w:t>
            </w:r>
            <w:r w:rsidRPr="30A721C2">
              <w:rPr>
                <w:rFonts w:cs="Arial"/>
              </w:rPr>
              <w:t xml:space="preserve"> Percentage of licensees found to be compliant with audit obligations following QBCC education and engagement</w:t>
            </w:r>
          </w:p>
        </w:tc>
        <w:tc>
          <w:tcPr>
            <w:tcW w:w="7502" w:type="dxa"/>
            <w:gridSpan w:val="3"/>
          </w:tcPr>
          <w:p w14:paraId="3AB5B950" w14:textId="7B532683" w:rsidR="0013152F" w:rsidRDefault="002E56FA" w:rsidP="000516FA">
            <w:pPr>
              <w:spacing w:before="120" w:after="120"/>
            </w:pPr>
            <w:r w:rsidRPr="002E56FA">
              <w:t>As recorded on 30 June 2025, the Technical Standards U</w:t>
            </w:r>
            <w:r w:rsidR="00A957E7">
              <w:t>nit</w:t>
            </w:r>
            <w:r w:rsidRPr="002E56FA">
              <w:t xml:space="preserve"> and Service Trades U</w:t>
            </w:r>
            <w:r w:rsidR="00652454">
              <w:t>nit</w:t>
            </w:r>
            <w:r w:rsidRPr="002E56FA">
              <w:t xml:space="preserve"> had confirmed rectification at all </w:t>
            </w:r>
            <w:r w:rsidR="00B02393">
              <w:t xml:space="preserve">556 </w:t>
            </w:r>
            <w:r w:rsidRPr="002E56FA">
              <w:t>non-compliant sites, except for 21 ongoing matters. These remaining sites are scheduled for reinspection by the QBCC inspectors or are awaiting evidence of rectification from the contractor before the matters can be closed.</w:t>
            </w:r>
          </w:p>
        </w:tc>
      </w:tr>
      <w:tr w:rsidR="0013152F" w14:paraId="6771716A" w14:textId="77777777" w:rsidTr="30A721C2">
        <w:trPr>
          <w:trHeight w:val="391"/>
        </w:trPr>
        <w:tc>
          <w:tcPr>
            <w:tcW w:w="10450" w:type="dxa"/>
            <w:gridSpan w:val="4"/>
            <w:shd w:val="clear" w:color="auto" w:fill="BFBFBF" w:themeFill="background1" w:themeFillShade="BF"/>
            <w:vAlign w:val="center"/>
          </w:tcPr>
          <w:p w14:paraId="6BE91257" w14:textId="0ADE43CF" w:rsidR="0013152F" w:rsidRDefault="0013152F" w:rsidP="000516FA">
            <w:pPr>
              <w:spacing w:before="120" w:after="120"/>
            </w:pPr>
            <w:r w:rsidRPr="00DF3649">
              <w:rPr>
                <w:rFonts w:cs="Arial"/>
                <w:b/>
                <w:szCs w:val="20"/>
              </w:rPr>
              <w:t>Objective 4</w:t>
            </w:r>
            <w:r w:rsidRPr="00DF3649">
              <w:rPr>
                <w:rFonts w:cs="Arial"/>
                <w:szCs w:val="20"/>
              </w:rPr>
              <w:t xml:space="preserve"> – Be a sustainable and digitally enabled organisation</w:t>
            </w:r>
          </w:p>
        </w:tc>
      </w:tr>
      <w:tr w:rsidR="008162D7" w14:paraId="21CB98DD" w14:textId="77777777" w:rsidTr="00A57D9E">
        <w:tc>
          <w:tcPr>
            <w:tcW w:w="2948" w:type="dxa"/>
          </w:tcPr>
          <w:p w14:paraId="02529197" w14:textId="4DF895AE" w:rsidR="008162D7" w:rsidRPr="006660B8" w:rsidRDefault="008162D7" w:rsidP="000516FA">
            <w:pPr>
              <w:spacing w:before="120" w:after="120"/>
              <w:rPr>
                <w:rFonts w:cs="Arial"/>
              </w:rPr>
            </w:pPr>
            <w:r w:rsidRPr="004B26BC">
              <w:rPr>
                <w:rFonts w:cs="Arial"/>
                <w:b/>
              </w:rPr>
              <w:t>Qualitative statement:</w:t>
            </w:r>
            <w:r w:rsidRPr="00DF3649">
              <w:rPr>
                <w:rFonts w:cs="Arial"/>
              </w:rPr>
              <w:t xml:space="preserve"> </w:t>
            </w:r>
            <w:r w:rsidR="00127F06">
              <w:rPr>
                <w:rFonts w:cs="Arial"/>
              </w:rPr>
              <w:t>A</w:t>
            </w:r>
            <w:r w:rsidRPr="00DF3649">
              <w:rPr>
                <w:rFonts w:cs="Arial"/>
              </w:rPr>
              <w:t>pplication of relevant Queensland Government Enterprise Architecture elements</w:t>
            </w:r>
          </w:p>
        </w:tc>
        <w:tc>
          <w:tcPr>
            <w:tcW w:w="7502" w:type="dxa"/>
            <w:gridSpan w:val="3"/>
          </w:tcPr>
          <w:p w14:paraId="4065F097" w14:textId="100E8062" w:rsidR="008162D7" w:rsidRDefault="00D85A1C" w:rsidP="000516FA">
            <w:pPr>
              <w:spacing w:before="120" w:after="120"/>
            </w:pPr>
            <w:r w:rsidRPr="00D85A1C">
              <w:t>Compliance with the Queensland Government Information Security Policy (IS18) was achieved in September 2024 to reduce cyber security risks across the organisation. Ongoing compliance will be maintained by continuing to adhere to IS18, Queensland Digital Identity, Information Classification and other Enterprise Architecture practices.</w:t>
            </w:r>
          </w:p>
        </w:tc>
      </w:tr>
      <w:tr w:rsidR="0013152F" w14:paraId="0C96AEDF" w14:textId="77777777" w:rsidTr="00A57D9E">
        <w:tc>
          <w:tcPr>
            <w:tcW w:w="2948" w:type="dxa"/>
          </w:tcPr>
          <w:p w14:paraId="0B1A8AA8" w14:textId="40F5ED14" w:rsidR="0013152F" w:rsidRPr="006660B8" w:rsidRDefault="0013152F" w:rsidP="000516FA">
            <w:pPr>
              <w:spacing w:before="120" w:after="120"/>
              <w:rPr>
                <w:rFonts w:cs="Arial"/>
              </w:rPr>
            </w:pPr>
            <w:r w:rsidRPr="00DF3649">
              <w:rPr>
                <w:rFonts w:cs="Arial"/>
              </w:rPr>
              <w:t>General Fund expenditure is within tolerance</w:t>
            </w:r>
          </w:p>
        </w:tc>
        <w:tc>
          <w:tcPr>
            <w:tcW w:w="1275" w:type="dxa"/>
          </w:tcPr>
          <w:p w14:paraId="144610D2" w14:textId="77777777" w:rsidR="0013152F" w:rsidRDefault="0013152F" w:rsidP="000516FA">
            <w:pPr>
              <w:spacing w:before="120" w:after="120"/>
            </w:pPr>
            <w:r>
              <w:rPr>
                <w:rFonts w:cs="Arial"/>
              </w:rPr>
              <w:t>+/- 5%</w:t>
            </w:r>
          </w:p>
        </w:tc>
        <w:tc>
          <w:tcPr>
            <w:tcW w:w="1273" w:type="dxa"/>
          </w:tcPr>
          <w:p w14:paraId="5F000E32" w14:textId="3A71F3A9" w:rsidR="0013152F" w:rsidRDefault="00930587" w:rsidP="000516FA">
            <w:pPr>
              <w:spacing w:before="120" w:after="120"/>
            </w:pPr>
            <w:r w:rsidRPr="005569BB">
              <w:t>-3.9%</w:t>
            </w:r>
          </w:p>
        </w:tc>
        <w:tc>
          <w:tcPr>
            <w:tcW w:w="4954" w:type="dxa"/>
          </w:tcPr>
          <w:p w14:paraId="202D8010" w14:textId="7A6581C8" w:rsidR="0013152F" w:rsidRDefault="00B95EB5" w:rsidP="000516FA">
            <w:pPr>
              <w:spacing w:before="120" w:after="120"/>
            </w:pPr>
            <w:r w:rsidRPr="00B95EB5">
              <w:t>The target has been achieved.</w:t>
            </w:r>
          </w:p>
        </w:tc>
      </w:tr>
      <w:tr w:rsidR="0013152F" w14:paraId="55DE4CF4" w14:textId="77777777" w:rsidTr="00A57D9E">
        <w:tc>
          <w:tcPr>
            <w:tcW w:w="2948" w:type="dxa"/>
          </w:tcPr>
          <w:p w14:paraId="46ABAA7C" w14:textId="4DFAC951" w:rsidR="0013152F" w:rsidRPr="006660B8" w:rsidRDefault="0013152F" w:rsidP="000516FA">
            <w:pPr>
              <w:spacing w:before="120" w:after="120"/>
              <w:rPr>
                <w:rFonts w:cs="Arial"/>
              </w:rPr>
            </w:pPr>
            <w:r w:rsidRPr="003463A1">
              <w:rPr>
                <w:rFonts w:cs="Arial"/>
              </w:rPr>
              <w:t>Insurance Fund expenditure (excl. claims and related) is within tolerance</w:t>
            </w:r>
          </w:p>
        </w:tc>
        <w:tc>
          <w:tcPr>
            <w:tcW w:w="1275" w:type="dxa"/>
          </w:tcPr>
          <w:p w14:paraId="42B84471" w14:textId="77777777" w:rsidR="0013152F" w:rsidRDefault="0013152F" w:rsidP="000516FA">
            <w:pPr>
              <w:spacing w:before="120" w:after="120"/>
            </w:pPr>
            <w:r>
              <w:rPr>
                <w:rFonts w:cs="Arial"/>
              </w:rPr>
              <w:t>+/- 5%</w:t>
            </w:r>
          </w:p>
        </w:tc>
        <w:tc>
          <w:tcPr>
            <w:tcW w:w="1273" w:type="dxa"/>
          </w:tcPr>
          <w:p w14:paraId="32268462" w14:textId="55AE94D6" w:rsidR="0013152F" w:rsidRDefault="002C7976" w:rsidP="000516FA">
            <w:pPr>
              <w:spacing w:before="120" w:after="120"/>
            </w:pPr>
            <w:r w:rsidRPr="005569BB">
              <w:t>-40.0%</w:t>
            </w:r>
            <w:r w:rsidRPr="00A57D9E">
              <w:rPr>
                <w:vertAlign w:val="superscript"/>
              </w:rPr>
              <w:t>8</w:t>
            </w:r>
          </w:p>
        </w:tc>
        <w:tc>
          <w:tcPr>
            <w:tcW w:w="4954" w:type="dxa"/>
          </w:tcPr>
          <w:p w14:paraId="0AB17B92" w14:textId="4201C717" w:rsidR="0013152F" w:rsidRDefault="00452068" w:rsidP="00452068">
            <w:pPr>
              <w:spacing w:before="120" w:after="120"/>
            </w:pPr>
            <w:r>
              <w:t xml:space="preserve">The </w:t>
            </w:r>
            <w:r w:rsidR="00B95EB5">
              <w:t>variance</w:t>
            </w:r>
            <w:r>
              <w:t xml:space="preserve"> from the target is due to </w:t>
            </w:r>
            <w:r w:rsidR="00C309C5">
              <w:t xml:space="preserve">the budget </w:t>
            </w:r>
            <w:r w:rsidR="00485150">
              <w:t>includ</w:t>
            </w:r>
            <w:r w:rsidR="008332C3">
              <w:t>ing</w:t>
            </w:r>
            <w:r w:rsidR="00485150">
              <w:t xml:space="preserve"> cost for the </w:t>
            </w:r>
            <w:r>
              <w:t xml:space="preserve">implementation stage of the QHWS </w:t>
            </w:r>
            <w:r w:rsidR="00572B5A">
              <w:t>R</w:t>
            </w:r>
            <w:r>
              <w:t>eview and other budgeted reforms</w:t>
            </w:r>
            <w:r w:rsidR="002207F7">
              <w:t xml:space="preserve"> </w:t>
            </w:r>
            <w:r w:rsidR="00567663">
              <w:t>that</w:t>
            </w:r>
            <w:r w:rsidR="002207F7">
              <w:t xml:space="preserve"> did not occur in 2024</w:t>
            </w:r>
            <w:r w:rsidR="00254113">
              <w:t>–</w:t>
            </w:r>
            <w:r w:rsidR="002207F7">
              <w:t xml:space="preserve">25. </w:t>
            </w:r>
            <w:r w:rsidR="003771A6">
              <w:t xml:space="preserve">While </w:t>
            </w:r>
            <w:r w:rsidR="002207F7">
              <w:t>Building Reg Reno Tra</w:t>
            </w:r>
            <w:r w:rsidR="005C2C26">
              <w:t>n</w:t>
            </w:r>
            <w:r w:rsidR="002207F7">
              <w:t xml:space="preserve">che 4 includes some elements of the QHWS Review </w:t>
            </w:r>
            <w:r w:rsidR="002207F7">
              <w:lastRenderedPageBreak/>
              <w:t>recommendations</w:t>
            </w:r>
            <w:r w:rsidR="003771A6">
              <w:t xml:space="preserve">, </w:t>
            </w:r>
            <w:r w:rsidR="002207F7">
              <w:t xml:space="preserve">the timing of </w:t>
            </w:r>
            <w:r w:rsidR="005C2C26">
              <w:t>th</w:t>
            </w:r>
            <w:r w:rsidR="00132055">
              <w:t>eir</w:t>
            </w:r>
            <w:r w:rsidR="005C2C26">
              <w:t xml:space="preserve"> implementation is yet to be determined. </w:t>
            </w:r>
          </w:p>
        </w:tc>
      </w:tr>
      <w:tr w:rsidR="0013152F" w14:paraId="7D2D7398" w14:textId="77777777" w:rsidTr="00A57D9E">
        <w:tc>
          <w:tcPr>
            <w:tcW w:w="2948" w:type="dxa"/>
          </w:tcPr>
          <w:p w14:paraId="135421BE" w14:textId="0A693F3F" w:rsidR="0013152F" w:rsidRPr="006660B8" w:rsidRDefault="0013152F" w:rsidP="000516FA">
            <w:pPr>
              <w:spacing w:before="120" w:after="120"/>
              <w:rPr>
                <w:rFonts w:cs="Arial"/>
              </w:rPr>
            </w:pPr>
            <w:r w:rsidRPr="00DF3649">
              <w:rPr>
                <w:rFonts w:cs="Arial"/>
              </w:rPr>
              <w:lastRenderedPageBreak/>
              <w:t>Average cost to assess and finalise a Queensland Home Warranty Scheme claim</w:t>
            </w:r>
          </w:p>
        </w:tc>
        <w:tc>
          <w:tcPr>
            <w:tcW w:w="1275" w:type="dxa"/>
          </w:tcPr>
          <w:p w14:paraId="1D9F26BB" w14:textId="77777777" w:rsidR="0013152F" w:rsidRDefault="0013152F" w:rsidP="000516FA">
            <w:pPr>
              <w:spacing w:before="120" w:after="120"/>
            </w:pPr>
            <w:r>
              <w:rPr>
                <w:rFonts w:cs="Arial"/>
              </w:rPr>
              <w:t>$6,137.00</w:t>
            </w:r>
          </w:p>
        </w:tc>
        <w:tc>
          <w:tcPr>
            <w:tcW w:w="1273" w:type="dxa"/>
          </w:tcPr>
          <w:p w14:paraId="7D9D89F4" w14:textId="07F87495" w:rsidR="0013152F" w:rsidRDefault="00793B5F" w:rsidP="000516FA">
            <w:pPr>
              <w:spacing w:before="120" w:after="120"/>
            </w:pPr>
            <w:r w:rsidRPr="00EA262F">
              <w:t>$9,012.64</w:t>
            </w:r>
            <w:r w:rsidR="00FA37E7" w:rsidRPr="00A57D9E">
              <w:rPr>
                <w:vertAlign w:val="superscript"/>
              </w:rPr>
              <w:t>8</w:t>
            </w:r>
          </w:p>
        </w:tc>
        <w:tc>
          <w:tcPr>
            <w:tcW w:w="4954" w:type="dxa"/>
          </w:tcPr>
          <w:p w14:paraId="1FC2546C" w14:textId="6B9E81D4" w:rsidR="0013152F" w:rsidRDefault="003A173E" w:rsidP="003A173E">
            <w:pPr>
              <w:spacing w:before="120" w:after="120"/>
            </w:pPr>
            <w:r>
              <w:t xml:space="preserve">The variance </w:t>
            </w:r>
            <w:r w:rsidR="5FE8A7B5">
              <w:t>from</w:t>
            </w:r>
            <w:r w:rsidR="00C24F9B">
              <w:t xml:space="preserve"> the</w:t>
            </w:r>
            <w:r>
              <w:t xml:space="preserve"> target is due to increased cost associated with the </w:t>
            </w:r>
            <w:r w:rsidR="00A9629E">
              <w:t xml:space="preserve">upfront </w:t>
            </w:r>
            <w:r w:rsidR="008F5E20">
              <w:t xml:space="preserve">investment in the </w:t>
            </w:r>
            <w:r>
              <w:t xml:space="preserve">Claims Management Improvement Project, which was established to </w:t>
            </w:r>
            <w:r w:rsidRPr="006505F8">
              <w:t xml:space="preserve">enhance </w:t>
            </w:r>
            <w:r w:rsidR="39D65C3C" w:rsidRPr="00A57D9E">
              <w:t>operational efficiency and elevate customer service standards</w:t>
            </w:r>
            <w:r w:rsidR="6C1987FF" w:rsidRPr="00A57D9E">
              <w:t xml:space="preserve">. </w:t>
            </w:r>
            <w:r>
              <w:t>In addition, the introduction of new supplier contracts for managing individual claims has further increased costs</w:t>
            </w:r>
            <w:r w:rsidR="1D4F0521">
              <w:t xml:space="preserve"> to deliver this service</w:t>
            </w:r>
            <w:r>
              <w:t>.</w:t>
            </w:r>
          </w:p>
        </w:tc>
      </w:tr>
      <w:tr w:rsidR="0013152F" w14:paraId="686A06E6" w14:textId="77777777" w:rsidTr="00A57D9E">
        <w:tc>
          <w:tcPr>
            <w:tcW w:w="2948" w:type="dxa"/>
          </w:tcPr>
          <w:p w14:paraId="48D347CF" w14:textId="143A38F6" w:rsidR="0013152F" w:rsidRPr="006660B8" w:rsidRDefault="0013152F" w:rsidP="000516FA">
            <w:pPr>
              <w:spacing w:before="120" w:after="120"/>
              <w:rPr>
                <w:rFonts w:cs="Arial"/>
              </w:rPr>
            </w:pPr>
            <w:r w:rsidRPr="00DF3649">
              <w:rPr>
                <w:rFonts w:cs="Arial"/>
              </w:rPr>
              <w:t>Percentage of staff self-reporting comfort in their digital capability and tools as required by their current work processes</w:t>
            </w:r>
          </w:p>
        </w:tc>
        <w:tc>
          <w:tcPr>
            <w:tcW w:w="1275" w:type="dxa"/>
          </w:tcPr>
          <w:p w14:paraId="6C76B952" w14:textId="77777777" w:rsidR="0013152F" w:rsidRDefault="0013152F" w:rsidP="000516FA">
            <w:pPr>
              <w:spacing w:before="120" w:after="120"/>
            </w:pPr>
            <w:r>
              <w:rPr>
                <w:rFonts w:cs="Arial"/>
              </w:rPr>
              <w:t>60%</w:t>
            </w:r>
          </w:p>
        </w:tc>
        <w:tc>
          <w:tcPr>
            <w:tcW w:w="1273" w:type="dxa"/>
          </w:tcPr>
          <w:p w14:paraId="21B078ED" w14:textId="77777777" w:rsidR="0013152F" w:rsidRDefault="0013152F" w:rsidP="000516FA">
            <w:pPr>
              <w:spacing w:before="120" w:after="120"/>
            </w:pPr>
            <w:r w:rsidRPr="00914E78">
              <w:rPr>
                <w:rFonts w:cs="Arial"/>
                <w:szCs w:val="18"/>
              </w:rPr>
              <w:t>73%</w:t>
            </w:r>
          </w:p>
        </w:tc>
        <w:tc>
          <w:tcPr>
            <w:tcW w:w="4954" w:type="dxa"/>
          </w:tcPr>
          <w:p w14:paraId="0A1BD293" w14:textId="593F97A5" w:rsidR="0013152F" w:rsidRDefault="00466563" w:rsidP="000516FA">
            <w:pPr>
              <w:spacing w:before="120" w:after="120"/>
            </w:pPr>
            <w:r w:rsidRPr="00466563">
              <w:t>The target has been achieved.</w:t>
            </w:r>
          </w:p>
        </w:tc>
      </w:tr>
      <w:tr w:rsidR="0013152F" w14:paraId="5E6F885A" w14:textId="77777777" w:rsidTr="00A57D9E">
        <w:tc>
          <w:tcPr>
            <w:tcW w:w="2948" w:type="dxa"/>
          </w:tcPr>
          <w:p w14:paraId="40F8A995" w14:textId="09F1ABA4" w:rsidR="0013152F" w:rsidRPr="006660B8" w:rsidRDefault="0013152F" w:rsidP="001B323F">
            <w:pPr>
              <w:spacing w:before="120" w:after="120"/>
              <w:rPr>
                <w:rFonts w:cs="Arial"/>
              </w:rPr>
            </w:pPr>
            <w:r w:rsidRPr="004B26BC">
              <w:rPr>
                <w:rFonts w:cs="Arial"/>
                <w:b/>
              </w:rPr>
              <w:t>Qualitative statement:</w:t>
            </w:r>
            <w:r w:rsidRPr="00DF3649">
              <w:rPr>
                <w:rFonts w:cs="Arial"/>
              </w:rPr>
              <w:t xml:space="preserve"> </w:t>
            </w:r>
            <w:r>
              <w:rPr>
                <w:rFonts w:cs="Arial"/>
              </w:rPr>
              <w:t>A</w:t>
            </w:r>
            <w:r w:rsidRPr="00DF3649">
              <w:rPr>
                <w:rFonts w:cs="Arial"/>
              </w:rPr>
              <w:t>ctivities conducted that have a positive financial, environmental and social impact</w:t>
            </w:r>
          </w:p>
        </w:tc>
        <w:tc>
          <w:tcPr>
            <w:tcW w:w="7502" w:type="dxa"/>
            <w:gridSpan w:val="3"/>
          </w:tcPr>
          <w:p w14:paraId="1E8E9179" w14:textId="6A1BC89A" w:rsidR="0013152F" w:rsidRDefault="00294E6E" w:rsidP="001B323F">
            <w:pPr>
              <w:spacing w:before="120" w:after="120"/>
            </w:pPr>
            <w:r w:rsidRPr="00294E6E">
              <w:t>In 2024–25, the QBCC</w:t>
            </w:r>
            <w:r w:rsidR="000901D6">
              <w:t xml:space="preserve"> </w:t>
            </w:r>
            <w:r w:rsidR="00FA53A8">
              <w:t>repurposed</w:t>
            </w:r>
            <w:r w:rsidR="00762B8D">
              <w:t xml:space="preserve"> </w:t>
            </w:r>
            <w:r w:rsidR="00DD4741">
              <w:t>office</w:t>
            </w:r>
            <w:r w:rsidR="00073A55">
              <w:t xml:space="preserve"> equipment </w:t>
            </w:r>
            <w:r w:rsidR="00FA53A8">
              <w:t xml:space="preserve">across </w:t>
            </w:r>
            <w:r w:rsidR="000901D6">
              <w:t xml:space="preserve">its </w:t>
            </w:r>
            <w:r w:rsidR="00B74435">
              <w:t>offices</w:t>
            </w:r>
            <w:r w:rsidR="00D35E20">
              <w:t>,</w:t>
            </w:r>
            <w:r w:rsidR="00CA3E2C">
              <w:t xml:space="preserve"> </w:t>
            </w:r>
            <w:r w:rsidRPr="00294E6E">
              <w:t>donated surplus furniture to another government entity</w:t>
            </w:r>
            <w:r w:rsidR="00F9705C">
              <w:t>,</w:t>
            </w:r>
            <w:r w:rsidR="00D35E20">
              <w:t xml:space="preserve"> and </w:t>
            </w:r>
            <w:r w:rsidR="00D35E20" w:rsidRPr="00D35E20">
              <w:t>introduced container and coffee cup recycling at its Brisbane office</w:t>
            </w:r>
            <w:r w:rsidRPr="00294E6E">
              <w:t>.</w:t>
            </w:r>
          </w:p>
        </w:tc>
      </w:tr>
      <w:tr w:rsidR="0013152F" w14:paraId="52399663" w14:textId="77777777" w:rsidTr="30A721C2">
        <w:trPr>
          <w:trHeight w:val="391"/>
        </w:trPr>
        <w:tc>
          <w:tcPr>
            <w:tcW w:w="10450" w:type="dxa"/>
            <w:gridSpan w:val="4"/>
            <w:shd w:val="clear" w:color="auto" w:fill="BFBFBF" w:themeFill="background1" w:themeFillShade="BF"/>
            <w:vAlign w:val="center"/>
          </w:tcPr>
          <w:p w14:paraId="77CEC3C7" w14:textId="77777777" w:rsidR="0013152F" w:rsidRDefault="0013152F" w:rsidP="001B323F">
            <w:pPr>
              <w:spacing w:before="120" w:after="120"/>
            </w:pPr>
            <w:r w:rsidRPr="00DF3649">
              <w:rPr>
                <w:rFonts w:cs="Arial"/>
                <w:b/>
                <w:szCs w:val="20"/>
              </w:rPr>
              <w:t>Objective 5</w:t>
            </w:r>
            <w:r w:rsidRPr="00DF3649">
              <w:rPr>
                <w:rFonts w:cs="Arial"/>
                <w:szCs w:val="20"/>
              </w:rPr>
              <w:t xml:space="preserve"> – Be an organisation that supports, values and empowers our people</w:t>
            </w:r>
          </w:p>
        </w:tc>
      </w:tr>
      <w:tr w:rsidR="0013152F" w14:paraId="367B5E43" w14:textId="77777777" w:rsidTr="00A57D9E">
        <w:tc>
          <w:tcPr>
            <w:tcW w:w="2948" w:type="dxa"/>
          </w:tcPr>
          <w:p w14:paraId="0FDAEA79" w14:textId="089003C7" w:rsidR="0013152F" w:rsidRPr="006660B8" w:rsidRDefault="0013152F" w:rsidP="001B323F">
            <w:pPr>
              <w:spacing w:before="120" w:after="120"/>
              <w:rPr>
                <w:rFonts w:cs="Arial"/>
              </w:rPr>
            </w:pPr>
            <w:r w:rsidRPr="00DF3649">
              <w:rPr>
                <w:rFonts w:cs="Arial"/>
              </w:rPr>
              <w:t>Percentage of staff indicating satisfaction with their supervisor’s support for their professional development through learning and development opportunities</w:t>
            </w:r>
          </w:p>
        </w:tc>
        <w:tc>
          <w:tcPr>
            <w:tcW w:w="1275" w:type="dxa"/>
          </w:tcPr>
          <w:p w14:paraId="5C61DF60" w14:textId="77777777" w:rsidR="0013152F" w:rsidRDefault="0013152F" w:rsidP="001B323F">
            <w:pPr>
              <w:spacing w:before="120" w:after="120"/>
            </w:pPr>
            <w:r>
              <w:rPr>
                <w:rFonts w:cs="Arial"/>
              </w:rPr>
              <w:t>45%</w:t>
            </w:r>
          </w:p>
        </w:tc>
        <w:tc>
          <w:tcPr>
            <w:tcW w:w="1273" w:type="dxa"/>
          </w:tcPr>
          <w:p w14:paraId="31C3414A" w14:textId="77777777" w:rsidR="0013152F" w:rsidRDefault="0013152F" w:rsidP="001B323F">
            <w:pPr>
              <w:spacing w:before="120" w:after="120"/>
            </w:pPr>
            <w:r w:rsidRPr="004A4496">
              <w:rPr>
                <w:rFonts w:cs="Arial"/>
                <w:szCs w:val="18"/>
              </w:rPr>
              <w:t>48%</w:t>
            </w:r>
          </w:p>
        </w:tc>
        <w:tc>
          <w:tcPr>
            <w:tcW w:w="4954" w:type="dxa"/>
          </w:tcPr>
          <w:p w14:paraId="2AAC7E70" w14:textId="46EBA19F" w:rsidR="0013152F" w:rsidRDefault="00A0108B" w:rsidP="001B323F">
            <w:pPr>
              <w:spacing w:before="120" w:after="120"/>
            </w:pPr>
            <w:r w:rsidRPr="00A0108B">
              <w:t>The target has been achieved.</w:t>
            </w:r>
          </w:p>
        </w:tc>
      </w:tr>
      <w:tr w:rsidR="0013152F" w14:paraId="46D61845" w14:textId="77777777" w:rsidTr="00A57D9E">
        <w:tc>
          <w:tcPr>
            <w:tcW w:w="2948" w:type="dxa"/>
          </w:tcPr>
          <w:p w14:paraId="54EF9ED9" w14:textId="03D08E25" w:rsidR="0013152F" w:rsidRPr="006660B8" w:rsidRDefault="0013152F" w:rsidP="001B323F">
            <w:pPr>
              <w:spacing w:before="120" w:after="120"/>
              <w:rPr>
                <w:rFonts w:cs="Arial"/>
              </w:rPr>
            </w:pPr>
            <w:r w:rsidRPr="00DF3649">
              <w:rPr>
                <w:rFonts w:cs="Arial"/>
              </w:rPr>
              <w:t>Percentage of staff satisfied with the quality of engagement with their leaders during one-on-one performance and development discussions</w:t>
            </w:r>
          </w:p>
        </w:tc>
        <w:tc>
          <w:tcPr>
            <w:tcW w:w="1275" w:type="dxa"/>
          </w:tcPr>
          <w:p w14:paraId="07ADD276" w14:textId="77777777" w:rsidR="0013152F" w:rsidRDefault="0013152F" w:rsidP="001B323F">
            <w:pPr>
              <w:spacing w:before="120" w:after="120"/>
            </w:pPr>
            <w:r>
              <w:rPr>
                <w:rFonts w:cs="Arial"/>
              </w:rPr>
              <w:t>45%</w:t>
            </w:r>
          </w:p>
        </w:tc>
        <w:tc>
          <w:tcPr>
            <w:tcW w:w="1273" w:type="dxa"/>
          </w:tcPr>
          <w:p w14:paraId="326FB45D" w14:textId="77777777" w:rsidR="0013152F" w:rsidRDefault="0013152F" w:rsidP="001B323F">
            <w:pPr>
              <w:spacing w:before="120" w:after="120"/>
            </w:pPr>
            <w:r>
              <w:rPr>
                <w:rFonts w:cs="Arial"/>
                <w:szCs w:val="18"/>
              </w:rPr>
              <w:t>48%</w:t>
            </w:r>
          </w:p>
        </w:tc>
        <w:tc>
          <w:tcPr>
            <w:tcW w:w="4954" w:type="dxa"/>
          </w:tcPr>
          <w:p w14:paraId="02670FCF" w14:textId="2F90B090" w:rsidR="0013152F" w:rsidRDefault="005F79C0" w:rsidP="001B323F">
            <w:pPr>
              <w:spacing w:before="120" w:after="120"/>
            </w:pPr>
            <w:r w:rsidRPr="005F79C0">
              <w:t xml:space="preserve">The target has been </w:t>
            </w:r>
            <w:r w:rsidR="00A0108B" w:rsidRPr="00A0108B">
              <w:t>achieved.</w:t>
            </w:r>
          </w:p>
        </w:tc>
      </w:tr>
      <w:tr w:rsidR="0013152F" w14:paraId="13FEBA6C" w14:textId="77777777" w:rsidTr="00A57D9E">
        <w:tc>
          <w:tcPr>
            <w:tcW w:w="2948" w:type="dxa"/>
          </w:tcPr>
          <w:p w14:paraId="78118606" w14:textId="20104A75" w:rsidR="0013152F" w:rsidRPr="006660B8" w:rsidRDefault="0013152F" w:rsidP="001B323F">
            <w:pPr>
              <w:spacing w:before="120" w:after="120"/>
              <w:rPr>
                <w:rFonts w:cs="Arial"/>
              </w:rPr>
            </w:pPr>
            <w:r w:rsidRPr="00DF3649">
              <w:rPr>
                <w:rFonts w:cs="Arial"/>
              </w:rPr>
              <w:t>Percentage of staff being able to identify how their work contributes to the strategic plan</w:t>
            </w:r>
          </w:p>
        </w:tc>
        <w:tc>
          <w:tcPr>
            <w:tcW w:w="1275" w:type="dxa"/>
          </w:tcPr>
          <w:p w14:paraId="534F91C2" w14:textId="77777777" w:rsidR="0013152F" w:rsidRDefault="0013152F" w:rsidP="001B323F">
            <w:pPr>
              <w:spacing w:before="120" w:after="120"/>
            </w:pPr>
            <w:r>
              <w:rPr>
                <w:rFonts w:cs="Arial"/>
              </w:rPr>
              <w:t>83.1%</w:t>
            </w:r>
          </w:p>
        </w:tc>
        <w:tc>
          <w:tcPr>
            <w:tcW w:w="1273" w:type="dxa"/>
          </w:tcPr>
          <w:p w14:paraId="2E97A9CD" w14:textId="77777777" w:rsidR="0013152F" w:rsidRDefault="0013152F" w:rsidP="001B323F">
            <w:pPr>
              <w:spacing w:before="120" w:after="120"/>
            </w:pPr>
            <w:r>
              <w:rPr>
                <w:rFonts w:cs="Arial"/>
                <w:szCs w:val="18"/>
              </w:rPr>
              <w:t>83%</w:t>
            </w:r>
          </w:p>
        </w:tc>
        <w:tc>
          <w:tcPr>
            <w:tcW w:w="4954" w:type="dxa"/>
          </w:tcPr>
          <w:p w14:paraId="0B59EDA6" w14:textId="5CD26318" w:rsidR="0013152F" w:rsidRDefault="00C26AB2" w:rsidP="00C26AB2">
            <w:pPr>
              <w:spacing w:before="120" w:after="120"/>
            </w:pPr>
            <w:r>
              <w:t xml:space="preserve">The target has been </w:t>
            </w:r>
            <w:r w:rsidR="00F272FF" w:rsidRPr="00F272FF">
              <w:t>achieved within</w:t>
            </w:r>
            <w:r>
              <w:t xml:space="preserve"> the </w:t>
            </w:r>
            <w:r w:rsidR="00F272FF" w:rsidRPr="00F272FF">
              <w:t xml:space="preserve">acceptable </w:t>
            </w:r>
            <w:r>
              <w:t>variance</w:t>
            </w:r>
            <w:r w:rsidR="00F272FF" w:rsidRPr="00F272FF">
              <w:t>.</w:t>
            </w:r>
          </w:p>
        </w:tc>
      </w:tr>
      <w:tr w:rsidR="0013152F" w14:paraId="30BD03E4" w14:textId="77777777" w:rsidTr="00A57D9E">
        <w:tc>
          <w:tcPr>
            <w:tcW w:w="2948" w:type="dxa"/>
            <w:vAlign w:val="center"/>
          </w:tcPr>
          <w:p w14:paraId="45A12601" w14:textId="0E2EDE43" w:rsidR="0013152F" w:rsidRPr="006660B8" w:rsidRDefault="0013152F" w:rsidP="001B323F">
            <w:pPr>
              <w:spacing w:before="120" w:after="120"/>
              <w:rPr>
                <w:rFonts w:cs="Arial"/>
              </w:rPr>
            </w:pPr>
            <w:r w:rsidRPr="00DF3649">
              <w:rPr>
                <w:rFonts w:cs="Arial"/>
              </w:rPr>
              <w:t>Percentage of internal Regulatory Academy participants indicating uplift in regulatory maturity</w:t>
            </w:r>
          </w:p>
        </w:tc>
        <w:tc>
          <w:tcPr>
            <w:tcW w:w="1275" w:type="dxa"/>
          </w:tcPr>
          <w:p w14:paraId="523BE069" w14:textId="77777777" w:rsidR="0013152F" w:rsidRDefault="0013152F" w:rsidP="001B323F">
            <w:pPr>
              <w:spacing w:before="120" w:after="120"/>
            </w:pPr>
            <w:r>
              <w:rPr>
                <w:rFonts w:cs="Arial"/>
              </w:rPr>
              <w:t>50%</w:t>
            </w:r>
          </w:p>
        </w:tc>
        <w:tc>
          <w:tcPr>
            <w:tcW w:w="1273" w:type="dxa"/>
          </w:tcPr>
          <w:p w14:paraId="5E1CF323" w14:textId="77777777" w:rsidR="0013152F" w:rsidRDefault="0013152F" w:rsidP="001B323F">
            <w:pPr>
              <w:spacing w:before="120" w:after="120"/>
            </w:pPr>
            <w:r>
              <w:rPr>
                <w:rFonts w:cs="Arial"/>
                <w:szCs w:val="18"/>
              </w:rPr>
              <w:t>52%</w:t>
            </w:r>
          </w:p>
        </w:tc>
        <w:tc>
          <w:tcPr>
            <w:tcW w:w="4954" w:type="dxa"/>
          </w:tcPr>
          <w:p w14:paraId="17A85B23" w14:textId="0E30874F" w:rsidR="0013152F" w:rsidRDefault="00F272FF" w:rsidP="001B323F">
            <w:pPr>
              <w:spacing w:before="120" w:after="120"/>
            </w:pPr>
            <w:r w:rsidRPr="00F272FF">
              <w:t>The target has been achieved.</w:t>
            </w:r>
          </w:p>
        </w:tc>
      </w:tr>
      <w:tr w:rsidR="0013152F" w14:paraId="789FFB97" w14:textId="77777777" w:rsidTr="00A57D9E">
        <w:tc>
          <w:tcPr>
            <w:tcW w:w="2948" w:type="dxa"/>
          </w:tcPr>
          <w:p w14:paraId="7E918D68" w14:textId="69EB8022" w:rsidR="0013152F" w:rsidRPr="006660B8" w:rsidRDefault="0013152F" w:rsidP="001B323F">
            <w:pPr>
              <w:spacing w:before="120" w:after="120"/>
              <w:rPr>
                <w:rFonts w:cs="Arial"/>
              </w:rPr>
            </w:pPr>
            <w:r w:rsidRPr="00DF3649">
              <w:rPr>
                <w:rFonts w:cs="Arial"/>
              </w:rPr>
              <w:lastRenderedPageBreak/>
              <w:t>Staff engagement score</w:t>
            </w:r>
          </w:p>
        </w:tc>
        <w:tc>
          <w:tcPr>
            <w:tcW w:w="1275" w:type="dxa"/>
          </w:tcPr>
          <w:p w14:paraId="30EAD0DC" w14:textId="77777777" w:rsidR="0013152F" w:rsidRDefault="0013152F" w:rsidP="001B323F">
            <w:pPr>
              <w:spacing w:before="120" w:after="120"/>
            </w:pPr>
            <w:r>
              <w:rPr>
                <w:rFonts w:cs="Arial"/>
              </w:rPr>
              <w:t>50%</w:t>
            </w:r>
          </w:p>
        </w:tc>
        <w:tc>
          <w:tcPr>
            <w:tcW w:w="1273" w:type="dxa"/>
          </w:tcPr>
          <w:p w14:paraId="3B5B47FC" w14:textId="6EBE2AD5" w:rsidR="0013152F" w:rsidRDefault="0013152F" w:rsidP="001B323F">
            <w:pPr>
              <w:spacing w:before="120" w:after="120"/>
            </w:pPr>
            <w:r>
              <w:rPr>
                <w:rFonts w:cs="Arial"/>
                <w:szCs w:val="18"/>
              </w:rPr>
              <w:t>46%</w:t>
            </w:r>
            <w:r w:rsidR="00F338A9">
              <w:rPr>
                <w:rFonts w:cs="Arial"/>
                <w:szCs w:val="18"/>
                <w:vertAlign w:val="superscript"/>
              </w:rPr>
              <w:t>8</w:t>
            </w:r>
          </w:p>
        </w:tc>
        <w:tc>
          <w:tcPr>
            <w:tcW w:w="4954" w:type="dxa"/>
          </w:tcPr>
          <w:p w14:paraId="37E57400" w14:textId="52994B08" w:rsidR="0013152F" w:rsidRDefault="001E6E8A" w:rsidP="001E6E8A">
            <w:pPr>
              <w:spacing w:before="120" w:after="120"/>
            </w:pPr>
            <w:r>
              <w:t xml:space="preserve">The variance from </w:t>
            </w:r>
            <w:r w:rsidR="00F272FF">
              <w:t xml:space="preserve">the </w:t>
            </w:r>
            <w:r>
              <w:t xml:space="preserve">target is due to a </w:t>
            </w:r>
            <w:r w:rsidR="00E177BF">
              <w:t>decl</w:t>
            </w:r>
            <w:r w:rsidR="00A434DA">
              <w:t>ine</w:t>
            </w:r>
            <w:r w:rsidR="0025473B">
              <w:t xml:space="preserve"> in </w:t>
            </w:r>
            <w:r>
              <w:t>organisational connection</w:t>
            </w:r>
            <w:r w:rsidR="0005117F">
              <w:t xml:space="preserve">, driven by </w:t>
            </w:r>
            <w:r w:rsidR="0022384B">
              <w:t xml:space="preserve">reduced </w:t>
            </w:r>
            <w:r w:rsidR="00E6147E">
              <w:t xml:space="preserve">inspiration </w:t>
            </w:r>
            <w:r w:rsidR="002E546B">
              <w:t>in day-to-day work</w:t>
            </w:r>
            <w:r>
              <w:t xml:space="preserve"> and </w:t>
            </w:r>
            <w:r w:rsidR="00D53485">
              <w:t xml:space="preserve">a lower sense of </w:t>
            </w:r>
            <w:r w:rsidR="00E6147E">
              <w:t>personal attachment</w:t>
            </w:r>
            <w:r w:rsidR="001C52CD">
              <w:t xml:space="preserve"> to the organisation</w:t>
            </w:r>
            <w:r>
              <w:t>.</w:t>
            </w:r>
          </w:p>
        </w:tc>
      </w:tr>
      <w:tr w:rsidR="0013152F" w14:paraId="39F5FD9C" w14:textId="77777777" w:rsidTr="00A57D9E">
        <w:tc>
          <w:tcPr>
            <w:tcW w:w="2948" w:type="dxa"/>
          </w:tcPr>
          <w:p w14:paraId="54032CF6" w14:textId="109D7681" w:rsidR="0013152F" w:rsidRPr="006660B8" w:rsidRDefault="0013152F" w:rsidP="001B323F">
            <w:pPr>
              <w:spacing w:before="120" w:after="120"/>
              <w:rPr>
                <w:rFonts w:cs="Arial"/>
              </w:rPr>
            </w:pPr>
            <w:r w:rsidRPr="00DF3649">
              <w:rPr>
                <w:rFonts w:cs="Arial"/>
              </w:rPr>
              <w:t>Percentage of staff who identify that the organisation has a positive impact on the lives of the people of Queensland</w:t>
            </w:r>
          </w:p>
        </w:tc>
        <w:tc>
          <w:tcPr>
            <w:tcW w:w="1275" w:type="dxa"/>
          </w:tcPr>
          <w:p w14:paraId="18E0C2B8" w14:textId="77777777" w:rsidR="0013152F" w:rsidRDefault="0013152F" w:rsidP="001B323F">
            <w:pPr>
              <w:spacing w:before="120" w:after="120"/>
            </w:pPr>
            <w:r>
              <w:rPr>
                <w:rFonts w:cs="Arial"/>
              </w:rPr>
              <w:t>65%</w:t>
            </w:r>
          </w:p>
        </w:tc>
        <w:tc>
          <w:tcPr>
            <w:tcW w:w="1273" w:type="dxa"/>
          </w:tcPr>
          <w:p w14:paraId="019ACF29" w14:textId="77777777" w:rsidR="0013152F" w:rsidRDefault="0013152F" w:rsidP="001B323F">
            <w:pPr>
              <w:spacing w:before="120" w:after="120"/>
            </w:pPr>
            <w:r>
              <w:rPr>
                <w:rFonts w:cs="Arial"/>
                <w:szCs w:val="18"/>
              </w:rPr>
              <w:t>66%</w:t>
            </w:r>
          </w:p>
        </w:tc>
        <w:tc>
          <w:tcPr>
            <w:tcW w:w="4954" w:type="dxa"/>
          </w:tcPr>
          <w:p w14:paraId="2B0A01DB" w14:textId="76C39147" w:rsidR="0013152F" w:rsidRDefault="00070369" w:rsidP="001B323F">
            <w:pPr>
              <w:spacing w:before="120" w:after="120"/>
            </w:pPr>
            <w:r w:rsidRPr="00070369">
              <w:t>The target has been achieved.</w:t>
            </w:r>
          </w:p>
        </w:tc>
      </w:tr>
    </w:tbl>
    <w:p w14:paraId="0203696D" w14:textId="77777777" w:rsidR="00AF3C54" w:rsidRPr="00AF3C54" w:rsidRDefault="00AF3C54" w:rsidP="000516FA"/>
    <w:p w14:paraId="748ED71E" w14:textId="47A937BF" w:rsidR="00730C25" w:rsidRDefault="00705C37">
      <w:pPr>
        <w:rPr>
          <w:rFonts w:eastAsiaTheme="majorEastAsia" w:cstheme="majorBidi"/>
          <w:bCs/>
          <w:sz w:val="32"/>
          <w:szCs w:val="32"/>
        </w:rPr>
      </w:pPr>
      <w:r>
        <w:rPr>
          <w:rStyle w:val="FootnoteReference"/>
        </w:rPr>
        <w:t>8</w:t>
      </w:r>
      <w:r w:rsidR="00472472">
        <w:t xml:space="preserve"> </w:t>
      </w:r>
      <w:r w:rsidR="00472472">
        <w:rPr>
          <w:rFonts w:cs="Arial"/>
          <w:sz w:val="16"/>
          <w:szCs w:val="16"/>
        </w:rPr>
        <w:t xml:space="preserve">Have </w:t>
      </w:r>
      <w:bookmarkStart w:id="306" w:name="_Int_OKz8ZPru"/>
      <w:r w:rsidR="00472472">
        <w:rPr>
          <w:rFonts w:cs="Arial"/>
          <w:sz w:val="16"/>
          <w:szCs w:val="16"/>
        </w:rPr>
        <w:t>not met</w:t>
      </w:r>
      <w:bookmarkEnd w:id="306"/>
      <w:r w:rsidR="00472472">
        <w:rPr>
          <w:rFonts w:cs="Arial"/>
          <w:sz w:val="16"/>
          <w:szCs w:val="16"/>
        </w:rPr>
        <w:t xml:space="preserve"> the target by more than </w:t>
      </w:r>
      <w:r w:rsidR="005C61E0">
        <w:rPr>
          <w:rFonts w:cs="Arial"/>
          <w:sz w:val="16"/>
          <w:szCs w:val="16"/>
        </w:rPr>
        <w:t>five</w:t>
      </w:r>
      <w:r w:rsidR="00472472">
        <w:rPr>
          <w:rFonts w:cs="Arial"/>
          <w:sz w:val="16"/>
          <w:szCs w:val="16"/>
        </w:rPr>
        <w:t xml:space="preserve"> per cent variance</w:t>
      </w:r>
      <w:r w:rsidR="00472472">
        <w:rPr>
          <w:noProof/>
        </w:rPr>
        <w:t xml:space="preserve"> </w:t>
      </w:r>
      <w:r>
        <w:rPr>
          <w:noProof/>
        </w:rPr>
        <mc:AlternateContent>
          <mc:Choice Requires="wps">
            <w:drawing>
              <wp:anchor distT="0" distB="0" distL="114300" distR="114300" simplePos="0" relativeHeight="251658246" behindDoc="0" locked="0" layoutInCell="1" allowOverlap="1" wp14:anchorId="45D38F59" wp14:editId="55B0F90E">
                <wp:simplePos x="0" y="0"/>
                <wp:positionH relativeFrom="margin">
                  <wp:posOffset>0</wp:posOffset>
                </wp:positionH>
                <wp:positionV relativeFrom="paragraph">
                  <wp:posOffset>-635</wp:posOffset>
                </wp:positionV>
                <wp:extent cx="1800000" cy="0"/>
                <wp:effectExtent l="0" t="0" r="0" b="0"/>
                <wp:wrapNone/>
                <wp:docPr id="775713655" name="Straight Connector 1"/>
                <wp:cNvGraphicFramePr/>
                <a:graphic xmlns:a="http://schemas.openxmlformats.org/drawingml/2006/main">
                  <a:graphicData uri="http://schemas.microsoft.com/office/word/2010/wordprocessingShape">
                    <wps:wsp>
                      <wps:cNvCnPr/>
                      <wps:spPr>
                        <a:xfrm>
                          <a:off x="0" y="0"/>
                          <a:ext cx="18000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D80EAB" id="Straight Connector 1"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5pt" to="141.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" strokecolor="#020a0a [3213]" strokeweight="1pt">
                <w10:wrap anchorx="margin"/>
              </v:line>
            </w:pict>
          </mc:Fallback>
        </mc:AlternateContent>
      </w:r>
      <w:r w:rsidR="00730C25">
        <w:br w:type="page"/>
      </w:r>
    </w:p>
    <w:p w14:paraId="13F700FA" w14:textId="61B073E2" w:rsidR="000B0EF4" w:rsidRPr="004A2C19" w:rsidRDefault="00DB5EE5" w:rsidP="003069C5">
      <w:pPr>
        <w:pStyle w:val="Heading1"/>
        <w:rPr>
          <w:rFonts w:cs="Arial"/>
        </w:rPr>
      </w:pPr>
      <w:bookmarkStart w:id="307" w:name="_Toc206493028"/>
      <w:r>
        <w:rPr>
          <w:rFonts w:cs="Arial"/>
        </w:rPr>
        <w:lastRenderedPageBreak/>
        <w:t>F</w:t>
      </w:r>
      <w:r w:rsidR="000B0EF4" w:rsidRPr="004A2C19">
        <w:rPr>
          <w:rFonts w:cs="Arial"/>
        </w:rPr>
        <w:t>inances</w:t>
      </w:r>
      <w:bookmarkEnd w:id="307"/>
      <w:r w:rsidR="000B0EF4" w:rsidRPr="004A2C19">
        <w:rPr>
          <w:rFonts w:cs="Arial"/>
        </w:rPr>
        <w:t xml:space="preserve"> </w:t>
      </w:r>
    </w:p>
    <w:p w14:paraId="44209AEC" w14:textId="77777777" w:rsidR="00C7310F" w:rsidRDefault="00C7310F" w:rsidP="00C7310F"/>
    <w:p w14:paraId="7AC2FA8C" w14:textId="77777777" w:rsidR="001E6D12" w:rsidRDefault="001E6D12" w:rsidP="001E6D12"/>
    <w:p w14:paraId="71E6F604" w14:textId="77777777" w:rsidR="001E6D12" w:rsidRDefault="001E6D12" w:rsidP="001E6D12"/>
    <w:p w14:paraId="0EE0E52D" w14:textId="77777777" w:rsidR="001E6D12" w:rsidRDefault="001E6D12" w:rsidP="001E6D12"/>
    <w:p w14:paraId="27C10F28" w14:textId="77777777" w:rsidR="001E6D12" w:rsidRDefault="001E6D12" w:rsidP="001E6D12"/>
    <w:p w14:paraId="77E9AED0" w14:textId="77777777" w:rsidR="001E6D12" w:rsidRDefault="001E6D12" w:rsidP="001E6D12"/>
    <w:p w14:paraId="317CBE78" w14:textId="77777777" w:rsidR="001E6D12" w:rsidRDefault="001E6D12" w:rsidP="001E6D12"/>
    <w:p w14:paraId="5AC554FD" w14:textId="77777777" w:rsidR="001E6D12" w:rsidRDefault="001E6D12" w:rsidP="001E6D12"/>
    <w:p w14:paraId="37EB4FBC" w14:textId="77777777" w:rsidR="001E6D12" w:rsidRDefault="001E6D12" w:rsidP="001E6D12"/>
    <w:p w14:paraId="0286E516" w14:textId="77777777" w:rsidR="001E6D12" w:rsidRDefault="001E6D12" w:rsidP="001E6D12"/>
    <w:p w14:paraId="25186266" w14:textId="77777777" w:rsidR="001E6D12" w:rsidRDefault="001E6D12" w:rsidP="001E6D12"/>
    <w:p w14:paraId="0C20D32C" w14:textId="77777777" w:rsidR="001E6D12" w:rsidRDefault="001E6D12" w:rsidP="001E6D12"/>
    <w:p w14:paraId="5D1AD305" w14:textId="77777777" w:rsidR="001E6D12" w:rsidRDefault="001E6D12" w:rsidP="001E6D12"/>
    <w:p w14:paraId="61E20098" w14:textId="77777777" w:rsidR="001E6D12" w:rsidRDefault="001E6D12" w:rsidP="001E6D12"/>
    <w:p w14:paraId="350C8B33" w14:textId="77777777" w:rsidR="001E6D12" w:rsidRDefault="001E6D12" w:rsidP="001E6D12"/>
    <w:p w14:paraId="2137E67E" w14:textId="77777777" w:rsidR="001E6D12" w:rsidRDefault="001E6D12" w:rsidP="001E6D12"/>
    <w:p w14:paraId="24BBC623" w14:textId="77777777" w:rsidR="001E6D12" w:rsidRDefault="001E6D12" w:rsidP="001E6D12"/>
    <w:p w14:paraId="1AACFB58" w14:textId="77777777" w:rsidR="001E6D12" w:rsidRDefault="001E6D12" w:rsidP="001E6D12"/>
    <w:p w14:paraId="6B088B41" w14:textId="77777777" w:rsidR="001E6D12" w:rsidRDefault="001E6D12" w:rsidP="001E6D12"/>
    <w:p w14:paraId="79076416" w14:textId="77777777" w:rsidR="001E6D12" w:rsidRDefault="001E6D12" w:rsidP="001E6D12"/>
    <w:p w14:paraId="01F3ACB6" w14:textId="77777777" w:rsidR="001E6D12" w:rsidRDefault="001E6D12" w:rsidP="001E6D12"/>
    <w:p w14:paraId="3CFCB9B1" w14:textId="77777777" w:rsidR="001E6D12" w:rsidRDefault="001E6D12" w:rsidP="001E6D12"/>
    <w:p w14:paraId="7A80455A" w14:textId="77777777" w:rsidR="001E6D12" w:rsidRDefault="001E6D12" w:rsidP="001E6D12"/>
    <w:p w14:paraId="32372E73" w14:textId="77777777" w:rsidR="001E6D12" w:rsidRDefault="001E6D12" w:rsidP="001E6D12"/>
    <w:p w14:paraId="6B80640B" w14:textId="77777777" w:rsidR="001E6D12" w:rsidRDefault="001E6D12" w:rsidP="001E6D12"/>
    <w:p w14:paraId="1843DF0F" w14:textId="77777777" w:rsidR="001E6D12" w:rsidRDefault="001E6D12" w:rsidP="001E6D12"/>
    <w:p w14:paraId="631E9874" w14:textId="77777777" w:rsidR="001E6D12" w:rsidRDefault="001E6D12" w:rsidP="001E6D12"/>
    <w:p w14:paraId="7C9627C2" w14:textId="77777777" w:rsidR="001E6D12" w:rsidRDefault="001E6D12" w:rsidP="001E6D12"/>
    <w:p w14:paraId="4DC45396" w14:textId="77777777" w:rsidR="001E6D12" w:rsidRDefault="001E6D12" w:rsidP="001E6D12"/>
    <w:p w14:paraId="19D9412A" w14:textId="77777777" w:rsidR="001E6D12" w:rsidRDefault="001E6D12" w:rsidP="001E6D12"/>
    <w:p w14:paraId="751DF296" w14:textId="77777777" w:rsidR="001E6D12" w:rsidRDefault="001E6D12" w:rsidP="001E6D12"/>
    <w:p w14:paraId="2CBFDE9D" w14:textId="77777777" w:rsidR="001E6D12" w:rsidRDefault="001E6D12" w:rsidP="001E6D12"/>
    <w:p w14:paraId="23C0FE62" w14:textId="77777777" w:rsidR="001E6D12" w:rsidRDefault="001E6D12" w:rsidP="001E6D12"/>
    <w:p w14:paraId="69EB37A0" w14:textId="77777777" w:rsidR="001E6D12" w:rsidRDefault="001E6D12" w:rsidP="001E6D12"/>
    <w:p w14:paraId="5587945C" w14:textId="77777777" w:rsidR="001E6D12" w:rsidRDefault="001E6D12" w:rsidP="001E6D12"/>
    <w:p w14:paraId="2087DEC7" w14:textId="77777777" w:rsidR="001E6D12" w:rsidRDefault="001E6D12" w:rsidP="001E6D12"/>
    <w:p w14:paraId="51666C6C" w14:textId="77777777" w:rsidR="001E6D12" w:rsidRDefault="001E6D12" w:rsidP="001E6D12"/>
    <w:p w14:paraId="19419003" w14:textId="77777777" w:rsidR="001E6D12" w:rsidRDefault="001E6D12" w:rsidP="001E6D12"/>
    <w:p w14:paraId="29D88DE7" w14:textId="77777777" w:rsidR="001E6D12" w:rsidRDefault="001E6D12" w:rsidP="001E6D12"/>
    <w:p w14:paraId="28A662D9" w14:textId="77777777" w:rsidR="001E6D12" w:rsidRDefault="001E6D12" w:rsidP="001E6D12"/>
    <w:p w14:paraId="123736D4" w14:textId="77777777" w:rsidR="001E6D12" w:rsidRDefault="001E6D12" w:rsidP="001E6D12"/>
    <w:p w14:paraId="5F3D3728" w14:textId="77777777" w:rsidR="001E6D12" w:rsidRDefault="001E6D12" w:rsidP="001E6D12"/>
    <w:p w14:paraId="7A7328C9" w14:textId="77777777" w:rsidR="001E6D12" w:rsidRDefault="001E6D12" w:rsidP="001E6D12"/>
    <w:p w14:paraId="35DE3261" w14:textId="77777777" w:rsidR="001E6D12" w:rsidRDefault="001E6D12" w:rsidP="001E6D12"/>
    <w:p w14:paraId="086F3615" w14:textId="77777777" w:rsidR="001E6D12" w:rsidRDefault="001E6D12" w:rsidP="001E6D12"/>
    <w:p w14:paraId="5FC497BC" w14:textId="77777777" w:rsidR="001E6D12" w:rsidRDefault="001E6D12" w:rsidP="001E6D12"/>
    <w:p w14:paraId="216C4E64" w14:textId="77777777" w:rsidR="001E6D12" w:rsidRDefault="001E6D12" w:rsidP="001E6D12"/>
    <w:p w14:paraId="2E3E5F7C" w14:textId="77777777" w:rsidR="001E6D12" w:rsidRDefault="001E6D12" w:rsidP="001E6D12"/>
    <w:p w14:paraId="0D392BC4" w14:textId="77777777" w:rsidR="001E6D12" w:rsidRDefault="001E6D12" w:rsidP="001E6D12"/>
    <w:p w14:paraId="33C5C8C0" w14:textId="77777777" w:rsidR="001E6D12" w:rsidRDefault="001E6D12" w:rsidP="001E6D12"/>
    <w:p w14:paraId="548EBDFD" w14:textId="77777777" w:rsidR="001E6D12" w:rsidRDefault="001E6D12" w:rsidP="00B86045"/>
    <w:p w14:paraId="7D276217" w14:textId="77777777" w:rsidR="00100D88" w:rsidRDefault="00100D88" w:rsidP="00100D88"/>
    <w:p w14:paraId="00698757" w14:textId="77777777" w:rsidR="00100D88" w:rsidRDefault="00100D88" w:rsidP="00100D88"/>
    <w:p w14:paraId="064526B6" w14:textId="0C7EFBDF" w:rsidR="00100D88" w:rsidRPr="008420FF" w:rsidRDefault="00100D88" w:rsidP="00100D88">
      <w:r w:rsidRPr="008420FF">
        <w:lastRenderedPageBreak/>
        <w:t xml:space="preserve">The following pages provide details around the QBCC’s financial performance in </w:t>
      </w:r>
      <w:r w:rsidRPr="008420FF">
        <w:rPr>
          <w:szCs w:val="22"/>
        </w:rPr>
        <w:t>202</w:t>
      </w:r>
      <w:r>
        <w:rPr>
          <w:szCs w:val="22"/>
        </w:rPr>
        <w:t>4</w:t>
      </w:r>
      <w:r w:rsidR="006D2CD4">
        <w:rPr>
          <w:szCs w:val="22"/>
        </w:rPr>
        <w:t>–</w:t>
      </w:r>
      <w:r w:rsidRPr="008420FF">
        <w:rPr>
          <w:szCs w:val="22"/>
        </w:rPr>
        <w:t>2</w:t>
      </w:r>
      <w:r w:rsidR="003C11DB">
        <w:rPr>
          <w:szCs w:val="22"/>
        </w:rPr>
        <w:t>5</w:t>
      </w:r>
      <w:r w:rsidRPr="008420FF">
        <w:t>.</w:t>
      </w:r>
    </w:p>
    <w:p w14:paraId="25EAD95A" w14:textId="77777777" w:rsidR="00100D88" w:rsidRPr="005A2712" w:rsidRDefault="00100D88" w:rsidP="00100D88"/>
    <w:p w14:paraId="3DA1253E" w14:textId="77777777" w:rsidR="00100D88" w:rsidRPr="005A2712" w:rsidRDefault="00100D88" w:rsidP="00100D88">
      <w:pPr>
        <w:jc w:val="center"/>
      </w:pPr>
    </w:p>
    <w:p w14:paraId="6A1E834D" w14:textId="4ACBC04D" w:rsidR="00100D88" w:rsidRPr="005A2712" w:rsidRDefault="00100D88" w:rsidP="00100D88">
      <w:pPr>
        <w:pStyle w:val="Heading2"/>
      </w:pPr>
      <w:bookmarkStart w:id="308" w:name="_Toc524611847"/>
      <w:bookmarkStart w:id="309" w:name="_Toc13825037"/>
      <w:bookmarkStart w:id="310" w:name="_Toc206493029"/>
      <w:r w:rsidRPr="005A2712">
        <w:t>Summary of financial performance</w:t>
      </w:r>
      <w:bookmarkEnd w:id="308"/>
      <w:bookmarkEnd w:id="309"/>
      <w:bookmarkEnd w:id="310"/>
      <w:r w:rsidRPr="005A2712">
        <w:t xml:space="preserve"> </w:t>
      </w:r>
    </w:p>
    <w:p w14:paraId="2FA021A0" w14:textId="77777777" w:rsidR="00100D88" w:rsidRPr="005A2712" w:rsidDel="009059DF" w:rsidRDefault="00100D88" w:rsidP="00100D88">
      <w:pPr>
        <w:rPr>
          <w:szCs w:val="22"/>
        </w:rPr>
      </w:pPr>
    </w:p>
    <w:p w14:paraId="3990AB22" w14:textId="77777777" w:rsidR="0014413D" w:rsidRPr="00184C47" w:rsidRDefault="0014413D" w:rsidP="0014413D">
      <w:r w:rsidRPr="0075340B">
        <w:t xml:space="preserve">The QBCC </w:t>
      </w:r>
      <w:r w:rsidRPr="00184C47">
        <w:t>returned a surplus of $</w:t>
      </w:r>
      <w:r>
        <w:t>108.83</w:t>
      </w:r>
      <w:r w:rsidRPr="00184C47">
        <w:t xml:space="preserve"> million in 2024–25 and has a net asset position of $</w:t>
      </w:r>
      <w:r>
        <w:t>349.23</w:t>
      </w:r>
      <w:r w:rsidRPr="00184C47">
        <w:t xml:space="preserve"> million. </w:t>
      </w:r>
    </w:p>
    <w:p w14:paraId="7E020A5E" w14:textId="77777777" w:rsidR="0014413D" w:rsidRPr="00184C47" w:rsidRDefault="0014413D" w:rsidP="0014413D"/>
    <w:p w14:paraId="2F54C23E" w14:textId="77777777" w:rsidR="0014413D" w:rsidRDefault="0014413D" w:rsidP="0014413D">
      <w:r w:rsidRPr="00184C47">
        <w:t>Total income was $</w:t>
      </w:r>
      <w:r>
        <w:t>445.01</w:t>
      </w:r>
      <w:r w:rsidRPr="00184C47">
        <w:t xml:space="preserve"> million, </w:t>
      </w:r>
      <w:r>
        <w:t>10.46</w:t>
      </w:r>
      <w:r w:rsidRPr="00184C47">
        <w:t xml:space="preserve"> per cent </w:t>
      </w:r>
      <w:r w:rsidRPr="00C65734">
        <w:t>higher</w:t>
      </w:r>
      <w:r w:rsidRPr="00184C47">
        <w:t xml:space="preserve"> than 2023–24. The reason for the </w:t>
      </w:r>
      <w:r w:rsidRPr="00C65734">
        <w:t>increase</w:t>
      </w:r>
      <w:r w:rsidRPr="00184C47">
        <w:t xml:space="preserve"> from 2023–24 to 2024–25 relates to</w:t>
      </w:r>
      <w:r>
        <w:t>:</w:t>
      </w:r>
    </w:p>
    <w:p w14:paraId="61AC955F" w14:textId="5B4F47E9" w:rsidR="0014413D" w:rsidRDefault="0014413D" w:rsidP="0014413D">
      <w:pPr>
        <w:pStyle w:val="ListParagraph"/>
        <w:numPr>
          <w:ilvl w:val="0"/>
          <w:numId w:val="96"/>
        </w:numPr>
      </w:pPr>
      <w:r>
        <w:t>the increase in activity in the industry generating higher premium, insurance administration, and licence revenue</w:t>
      </w:r>
    </w:p>
    <w:p w14:paraId="34EB36FA" w14:textId="46EA5ACF" w:rsidR="0014413D" w:rsidRDefault="0014413D" w:rsidP="0014413D">
      <w:pPr>
        <w:pStyle w:val="ListParagraph"/>
        <w:numPr>
          <w:ilvl w:val="0"/>
          <w:numId w:val="96"/>
        </w:numPr>
      </w:pPr>
      <w:r w:rsidRPr="00365602">
        <w:t>change in fair value of investments, which is dependent on the performance of investment markets</w:t>
      </w:r>
    </w:p>
    <w:p w14:paraId="3EA8EA04" w14:textId="77777777" w:rsidR="0014413D" w:rsidRPr="00184C47" w:rsidRDefault="0014413D" w:rsidP="0014413D">
      <w:pPr>
        <w:pStyle w:val="ListParagraph"/>
        <w:numPr>
          <w:ilvl w:val="0"/>
          <w:numId w:val="96"/>
        </w:numPr>
      </w:pPr>
      <w:r w:rsidRPr="00365602">
        <w:t>other revenue from the Queensland Government</w:t>
      </w:r>
      <w:r w:rsidRPr="00184C47">
        <w:t>.</w:t>
      </w:r>
    </w:p>
    <w:p w14:paraId="71266315" w14:textId="77777777" w:rsidR="0014413D" w:rsidRPr="00184C47" w:rsidRDefault="0014413D" w:rsidP="0014413D">
      <w:r w:rsidRPr="00184C47">
        <w:t xml:space="preserve"> </w:t>
      </w:r>
    </w:p>
    <w:p w14:paraId="68B40F58" w14:textId="1B33B060" w:rsidR="0014413D" w:rsidRPr="0075340B" w:rsidRDefault="0014413D" w:rsidP="0014413D">
      <w:r w:rsidRPr="00184C47">
        <w:t>Total expenditure was $</w:t>
      </w:r>
      <w:r>
        <w:t>336.19</w:t>
      </w:r>
      <w:r w:rsidRPr="00184C47">
        <w:t xml:space="preserve"> million, which is </w:t>
      </w:r>
      <w:r>
        <w:t>marginally lower than</w:t>
      </w:r>
      <w:r w:rsidRPr="00184C47">
        <w:t xml:space="preserve"> </w:t>
      </w:r>
      <w:r w:rsidR="007356F0">
        <w:t xml:space="preserve">in </w:t>
      </w:r>
      <w:r w:rsidRPr="00184C47">
        <w:t xml:space="preserve">2023–24. </w:t>
      </w:r>
      <w:r w:rsidRPr="00365602">
        <w:t>The major variance w</w:t>
      </w:r>
      <w:r>
        <w:t>as</w:t>
      </w:r>
      <w:r w:rsidRPr="00365602">
        <w:t xml:space="preserve"> a decrease in </w:t>
      </w:r>
      <w:r>
        <w:t>impairment loss on financial assets relating to the provision and write-off of non-recoverable claim approvals related to the Queensland Home Warranty Scheme, which is linked to the movement in claims approved.</w:t>
      </w:r>
    </w:p>
    <w:p w14:paraId="7503E47F" w14:textId="77777777" w:rsidR="003E70BC" w:rsidRDefault="003E70BC" w:rsidP="00B84627">
      <w:pPr>
        <w:rPr>
          <w:rFonts w:cs="Arial"/>
        </w:rPr>
      </w:pPr>
    </w:p>
    <w:p w14:paraId="76B895A2" w14:textId="5A3B79FD" w:rsidR="00C929A9" w:rsidRDefault="00C929A9">
      <w:pPr>
        <w:rPr>
          <w:rFonts w:cs="Arial"/>
        </w:rPr>
      </w:pPr>
      <w:r>
        <w:rPr>
          <w:rFonts w:cs="Arial"/>
        </w:rPr>
        <w:br w:type="page"/>
      </w:r>
    </w:p>
    <w:p w14:paraId="0ACD0F1D" w14:textId="684C774B" w:rsidR="00C929A9" w:rsidRPr="005A2712" w:rsidRDefault="00C929A9" w:rsidP="00C929A9">
      <w:pPr>
        <w:rPr>
          <w:b/>
          <w:sz w:val="28"/>
          <w:szCs w:val="28"/>
        </w:rPr>
      </w:pPr>
      <w:r w:rsidRPr="005A2712">
        <w:rPr>
          <w:b/>
          <w:sz w:val="28"/>
          <w:szCs w:val="28"/>
        </w:rPr>
        <w:lastRenderedPageBreak/>
        <w:t xml:space="preserve">The QBCC </w:t>
      </w:r>
      <w:r>
        <w:rPr>
          <w:b/>
          <w:sz w:val="28"/>
          <w:szCs w:val="28"/>
        </w:rPr>
        <w:t>F</w:t>
      </w:r>
      <w:r w:rsidRPr="005A2712">
        <w:rPr>
          <w:b/>
          <w:sz w:val="28"/>
          <w:szCs w:val="28"/>
        </w:rPr>
        <w:t xml:space="preserve">inancial </w:t>
      </w:r>
      <w:r>
        <w:rPr>
          <w:b/>
          <w:sz w:val="28"/>
          <w:szCs w:val="28"/>
        </w:rPr>
        <w:t>S</w:t>
      </w:r>
      <w:r w:rsidRPr="005A2712">
        <w:rPr>
          <w:b/>
          <w:sz w:val="28"/>
          <w:szCs w:val="28"/>
        </w:rPr>
        <w:t>tatements can be found in the PDF version of the Annual Report 202</w:t>
      </w:r>
      <w:r>
        <w:rPr>
          <w:b/>
          <w:sz w:val="28"/>
          <w:szCs w:val="28"/>
        </w:rPr>
        <w:t>4–</w:t>
      </w:r>
      <w:r w:rsidRPr="005A2712">
        <w:rPr>
          <w:b/>
          <w:sz w:val="28"/>
          <w:szCs w:val="28"/>
        </w:rPr>
        <w:t>202</w:t>
      </w:r>
      <w:r>
        <w:rPr>
          <w:b/>
          <w:sz w:val="28"/>
          <w:szCs w:val="28"/>
        </w:rPr>
        <w:t>5</w:t>
      </w:r>
    </w:p>
    <w:p w14:paraId="36C3CDCE" w14:textId="77777777" w:rsidR="00C929A9" w:rsidRPr="004A2C19" w:rsidRDefault="00C929A9" w:rsidP="00B84627">
      <w:pPr>
        <w:rPr>
          <w:rFonts w:cs="Arial"/>
        </w:rPr>
      </w:pPr>
    </w:p>
    <w:p w14:paraId="6A0F14DF" w14:textId="77777777" w:rsidR="00AE7098" w:rsidRDefault="00AE7098">
      <w:pPr>
        <w:rPr>
          <w:rFonts w:eastAsiaTheme="majorEastAsia" w:cs="Arial"/>
          <w:sz w:val="48"/>
          <w:szCs w:val="32"/>
        </w:rPr>
      </w:pPr>
      <w:r>
        <w:rPr>
          <w:rFonts w:cs="Arial"/>
        </w:rPr>
        <w:br w:type="page"/>
      </w:r>
    </w:p>
    <w:p w14:paraId="41B1903E" w14:textId="60AA372C" w:rsidR="00E53917" w:rsidRPr="00E53917" w:rsidRDefault="00E53917" w:rsidP="00432C37">
      <w:pPr>
        <w:pStyle w:val="Heading1"/>
      </w:pPr>
      <w:bookmarkStart w:id="311" w:name="_Toc190446773"/>
      <w:bookmarkStart w:id="312" w:name="_Toc206493034"/>
      <w:r w:rsidRPr="00E53917">
        <w:lastRenderedPageBreak/>
        <w:t>Appendix A: Compliance checklist</w:t>
      </w:r>
      <w:bookmarkEnd w:id="311"/>
      <w:bookmarkEnd w:id="312"/>
      <w:r w:rsidRPr="00E53917">
        <w:t xml:space="preserve"> </w:t>
      </w:r>
    </w:p>
    <w:p w14:paraId="7C1DB2E0" w14:textId="1AFB9F2F" w:rsidR="004E712A" w:rsidRPr="004E712A" w:rsidRDefault="004E712A" w:rsidP="004E712A"/>
    <w:tbl>
      <w:tblPr>
        <w:tblW w:w="0" w:type="auto"/>
        <w:tblInd w:w="14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4265"/>
        <w:gridCol w:w="2520"/>
        <w:gridCol w:w="1591"/>
      </w:tblGrid>
      <w:tr w:rsidR="004E712A" w14:paraId="0BF84049" w14:textId="77777777">
        <w:trPr>
          <w:trHeight w:val="652"/>
          <w:tblHeader/>
        </w:trPr>
        <w:tc>
          <w:tcPr>
            <w:tcW w:w="5813" w:type="dxa"/>
            <w:gridSpan w:val="2"/>
            <w:shd w:val="clear" w:color="auto" w:fill="E6E6E6"/>
          </w:tcPr>
          <w:p w14:paraId="1A01C13D" w14:textId="77777777" w:rsidR="004E712A" w:rsidRDefault="004E712A">
            <w:pPr>
              <w:pStyle w:val="TableParagraph"/>
              <w:spacing w:before="15"/>
              <w:ind w:left="0"/>
              <w:rPr>
                <w:sz w:val="18"/>
              </w:rPr>
            </w:pPr>
          </w:p>
          <w:p w14:paraId="505F0738" w14:textId="77777777" w:rsidR="004E712A" w:rsidRDefault="004E712A">
            <w:pPr>
              <w:pStyle w:val="TableParagraph"/>
              <w:spacing w:before="0"/>
              <w:ind w:left="107"/>
              <w:rPr>
                <w:b/>
                <w:sz w:val="18"/>
              </w:rPr>
            </w:pPr>
            <w:r>
              <w:rPr>
                <w:b/>
                <w:sz w:val="18"/>
              </w:rPr>
              <w:t>Summary</w:t>
            </w:r>
            <w:r>
              <w:rPr>
                <w:b/>
                <w:spacing w:val="-3"/>
                <w:sz w:val="18"/>
              </w:rPr>
              <w:t xml:space="preserve"> </w:t>
            </w:r>
            <w:r>
              <w:rPr>
                <w:b/>
                <w:sz w:val="18"/>
              </w:rPr>
              <w:t>of</w:t>
            </w:r>
            <w:r>
              <w:rPr>
                <w:b/>
                <w:spacing w:val="-2"/>
                <w:sz w:val="18"/>
              </w:rPr>
              <w:t xml:space="preserve"> requirement</w:t>
            </w:r>
          </w:p>
        </w:tc>
        <w:tc>
          <w:tcPr>
            <w:tcW w:w="2520" w:type="dxa"/>
            <w:shd w:val="clear" w:color="auto" w:fill="E6E6E6"/>
          </w:tcPr>
          <w:p w14:paraId="68A4C2D0" w14:textId="77777777" w:rsidR="004E712A" w:rsidRDefault="004E712A">
            <w:pPr>
              <w:pStyle w:val="TableParagraph"/>
              <w:spacing w:before="15"/>
              <w:ind w:left="0"/>
              <w:rPr>
                <w:sz w:val="18"/>
              </w:rPr>
            </w:pPr>
          </w:p>
          <w:p w14:paraId="13D28CBE" w14:textId="77777777" w:rsidR="004E712A" w:rsidRDefault="004E712A">
            <w:pPr>
              <w:pStyle w:val="TableParagraph"/>
              <w:spacing w:before="0"/>
              <w:ind w:left="325"/>
              <w:rPr>
                <w:b/>
                <w:sz w:val="18"/>
              </w:rPr>
            </w:pPr>
            <w:r>
              <w:rPr>
                <w:b/>
                <w:sz w:val="18"/>
              </w:rPr>
              <w:t>Basis</w:t>
            </w:r>
            <w:r>
              <w:rPr>
                <w:b/>
                <w:spacing w:val="-2"/>
                <w:sz w:val="18"/>
              </w:rPr>
              <w:t xml:space="preserve"> </w:t>
            </w:r>
            <w:r>
              <w:rPr>
                <w:b/>
                <w:sz w:val="18"/>
              </w:rPr>
              <w:t>for</w:t>
            </w:r>
            <w:r>
              <w:rPr>
                <w:b/>
                <w:spacing w:val="-1"/>
                <w:sz w:val="18"/>
              </w:rPr>
              <w:t xml:space="preserve"> </w:t>
            </w:r>
            <w:r>
              <w:rPr>
                <w:b/>
                <w:spacing w:val="-2"/>
                <w:sz w:val="18"/>
              </w:rPr>
              <w:t>requirement</w:t>
            </w:r>
          </w:p>
        </w:tc>
        <w:tc>
          <w:tcPr>
            <w:tcW w:w="1591" w:type="dxa"/>
            <w:shd w:val="clear" w:color="auto" w:fill="E6E6E6"/>
          </w:tcPr>
          <w:p w14:paraId="0F6E0D13" w14:textId="77777777" w:rsidR="004E712A" w:rsidRDefault="004E712A">
            <w:pPr>
              <w:pStyle w:val="TableParagraph"/>
              <w:spacing w:before="119"/>
              <w:ind w:left="385" w:right="198" w:hanging="185"/>
              <w:rPr>
                <w:b/>
                <w:sz w:val="18"/>
              </w:rPr>
            </w:pPr>
            <w:r>
              <w:rPr>
                <w:b/>
                <w:sz w:val="18"/>
              </w:rPr>
              <w:t>Annual</w:t>
            </w:r>
            <w:r>
              <w:rPr>
                <w:b/>
                <w:spacing w:val="-13"/>
                <w:sz w:val="18"/>
              </w:rPr>
              <w:t xml:space="preserve"> </w:t>
            </w:r>
            <w:r>
              <w:rPr>
                <w:b/>
                <w:sz w:val="18"/>
              </w:rPr>
              <w:t xml:space="preserve">report </w:t>
            </w:r>
            <w:r>
              <w:rPr>
                <w:b/>
                <w:spacing w:val="-2"/>
                <w:sz w:val="18"/>
              </w:rPr>
              <w:t>reference</w:t>
            </w:r>
          </w:p>
        </w:tc>
      </w:tr>
      <w:tr w:rsidR="004E712A" w14:paraId="52EBA62B" w14:textId="77777777">
        <w:trPr>
          <w:trHeight w:val="580"/>
        </w:trPr>
        <w:tc>
          <w:tcPr>
            <w:tcW w:w="1548" w:type="dxa"/>
          </w:tcPr>
          <w:p w14:paraId="4DC6F4B4" w14:textId="77777777" w:rsidR="004E712A" w:rsidRDefault="004E712A">
            <w:pPr>
              <w:pStyle w:val="TableParagraph"/>
              <w:spacing w:before="99" w:line="244" w:lineRule="auto"/>
              <w:ind w:left="107"/>
              <w:rPr>
                <w:b/>
                <w:sz w:val="16"/>
              </w:rPr>
            </w:pPr>
            <w:r>
              <w:rPr>
                <w:b/>
                <w:sz w:val="16"/>
              </w:rPr>
              <w:t xml:space="preserve">Letter of </w:t>
            </w:r>
            <w:r>
              <w:rPr>
                <w:b/>
                <w:spacing w:val="-2"/>
                <w:sz w:val="16"/>
              </w:rPr>
              <w:t>compliance</w:t>
            </w:r>
          </w:p>
        </w:tc>
        <w:tc>
          <w:tcPr>
            <w:tcW w:w="4265" w:type="dxa"/>
          </w:tcPr>
          <w:p w14:paraId="64A68278" w14:textId="77777777" w:rsidR="004E712A" w:rsidRDefault="004E712A">
            <w:pPr>
              <w:pStyle w:val="TableParagraph"/>
              <w:numPr>
                <w:ilvl w:val="0"/>
                <w:numId w:val="82"/>
              </w:numPr>
              <w:tabs>
                <w:tab w:val="left" w:pos="355"/>
              </w:tabs>
              <w:ind w:right="115"/>
              <w:rPr>
                <w:b/>
                <w:sz w:val="16"/>
              </w:rPr>
            </w:pPr>
            <w:r>
              <w:rPr>
                <w:b/>
                <w:sz w:val="16"/>
              </w:rPr>
              <w:t>A letter of compliance from the accountable officer</w:t>
            </w:r>
            <w:r>
              <w:rPr>
                <w:b/>
                <w:spacing w:val="-5"/>
                <w:sz w:val="16"/>
              </w:rPr>
              <w:t xml:space="preserve"> </w:t>
            </w:r>
            <w:r>
              <w:rPr>
                <w:b/>
                <w:sz w:val="16"/>
              </w:rPr>
              <w:t>or</w:t>
            </w:r>
            <w:r>
              <w:rPr>
                <w:b/>
                <w:spacing w:val="-7"/>
                <w:sz w:val="16"/>
              </w:rPr>
              <w:t xml:space="preserve"> </w:t>
            </w:r>
            <w:r>
              <w:rPr>
                <w:b/>
                <w:sz w:val="16"/>
              </w:rPr>
              <w:t>statutory</w:t>
            </w:r>
            <w:r>
              <w:rPr>
                <w:b/>
                <w:spacing w:val="-5"/>
                <w:sz w:val="16"/>
              </w:rPr>
              <w:t xml:space="preserve"> </w:t>
            </w:r>
            <w:r>
              <w:rPr>
                <w:b/>
                <w:sz w:val="16"/>
              </w:rPr>
              <w:t>body</w:t>
            </w:r>
            <w:r>
              <w:rPr>
                <w:b/>
                <w:spacing w:val="-5"/>
                <w:sz w:val="16"/>
              </w:rPr>
              <w:t xml:space="preserve"> </w:t>
            </w:r>
            <w:r>
              <w:rPr>
                <w:b/>
                <w:sz w:val="16"/>
              </w:rPr>
              <w:t>to</w:t>
            </w:r>
            <w:r>
              <w:rPr>
                <w:b/>
                <w:spacing w:val="-7"/>
                <w:sz w:val="16"/>
              </w:rPr>
              <w:t xml:space="preserve"> </w:t>
            </w:r>
            <w:r>
              <w:rPr>
                <w:b/>
                <w:sz w:val="16"/>
              </w:rPr>
              <w:t>the</w:t>
            </w:r>
            <w:r>
              <w:rPr>
                <w:b/>
                <w:spacing w:val="-5"/>
                <w:sz w:val="16"/>
              </w:rPr>
              <w:t xml:space="preserve"> </w:t>
            </w:r>
            <w:r>
              <w:rPr>
                <w:b/>
                <w:sz w:val="16"/>
              </w:rPr>
              <w:t>relevant</w:t>
            </w:r>
            <w:r>
              <w:rPr>
                <w:b/>
                <w:spacing w:val="-5"/>
                <w:sz w:val="16"/>
              </w:rPr>
              <w:t xml:space="preserve"> </w:t>
            </w:r>
            <w:r>
              <w:rPr>
                <w:b/>
                <w:sz w:val="16"/>
              </w:rPr>
              <w:t>Minister/s</w:t>
            </w:r>
          </w:p>
        </w:tc>
        <w:tc>
          <w:tcPr>
            <w:tcW w:w="2520" w:type="dxa"/>
          </w:tcPr>
          <w:p w14:paraId="62E810B4" w14:textId="77777777" w:rsidR="004E712A" w:rsidRDefault="004E712A">
            <w:pPr>
              <w:pStyle w:val="TableParagraph"/>
              <w:spacing w:before="101"/>
              <w:rPr>
                <w:sz w:val="16"/>
              </w:rPr>
            </w:pPr>
            <w:r>
              <w:rPr>
                <w:sz w:val="16"/>
              </w:rPr>
              <w:t>ARRs</w:t>
            </w:r>
            <w:r>
              <w:rPr>
                <w:spacing w:val="-4"/>
                <w:sz w:val="16"/>
              </w:rPr>
              <w:t xml:space="preserve"> </w:t>
            </w:r>
            <w:r>
              <w:rPr>
                <w:i/>
                <w:sz w:val="16"/>
              </w:rPr>
              <w:t>–</w:t>
            </w:r>
            <w:r>
              <w:rPr>
                <w:i/>
                <w:spacing w:val="-5"/>
                <w:sz w:val="16"/>
              </w:rPr>
              <w:t xml:space="preserve"> </w:t>
            </w:r>
            <w:r>
              <w:rPr>
                <w:sz w:val="16"/>
              </w:rPr>
              <w:t>section</w:t>
            </w:r>
            <w:r>
              <w:rPr>
                <w:spacing w:val="-3"/>
                <w:sz w:val="16"/>
              </w:rPr>
              <w:t xml:space="preserve"> </w:t>
            </w:r>
            <w:r>
              <w:rPr>
                <w:spacing w:val="-10"/>
                <w:sz w:val="16"/>
              </w:rPr>
              <w:t>7</w:t>
            </w:r>
          </w:p>
        </w:tc>
        <w:tc>
          <w:tcPr>
            <w:tcW w:w="1591" w:type="dxa"/>
          </w:tcPr>
          <w:p w14:paraId="7BD5C4CB" w14:textId="7E1A84D9" w:rsidR="004E712A" w:rsidRDefault="007D372B" w:rsidP="007D372B">
            <w:pPr>
              <w:pStyle w:val="TableParagraph"/>
              <w:spacing w:before="101"/>
              <w:rPr>
                <w:rFonts w:ascii="Times New Roman"/>
                <w:sz w:val="16"/>
              </w:rPr>
            </w:pPr>
            <w:r w:rsidRPr="00073382">
              <w:rPr>
                <w:sz w:val="16"/>
              </w:rPr>
              <w:t>4</w:t>
            </w:r>
          </w:p>
        </w:tc>
      </w:tr>
      <w:tr w:rsidR="004E712A" w14:paraId="6C90E99B" w14:textId="77777777">
        <w:trPr>
          <w:trHeight w:val="688"/>
        </w:trPr>
        <w:tc>
          <w:tcPr>
            <w:tcW w:w="1548" w:type="dxa"/>
            <w:vMerge w:val="restart"/>
          </w:tcPr>
          <w:p w14:paraId="3552945E" w14:textId="77777777" w:rsidR="004E712A" w:rsidRDefault="004E712A">
            <w:pPr>
              <w:pStyle w:val="TableParagraph"/>
              <w:spacing w:before="101"/>
              <w:ind w:left="107"/>
              <w:rPr>
                <w:b/>
                <w:sz w:val="16"/>
              </w:rPr>
            </w:pPr>
            <w:r>
              <w:rPr>
                <w:b/>
                <w:spacing w:val="-2"/>
                <w:sz w:val="16"/>
              </w:rPr>
              <w:t>Accessibility</w:t>
            </w:r>
          </w:p>
        </w:tc>
        <w:tc>
          <w:tcPr>
            <w:tcW w:w="4265" w:type="dxa"/>
          </w:tcPr>
          <w:p w14:paraId="3C129E55" w14:textId="77777777" w:rsidR="004E712A" w:rsidRDefault="004E712A">
            <w:pPr>
              <w:pStyle w:val="TableParagraph"/>
              <w:numPr>
                <w:ilvl w:val="0"/>
                <w:numId w:val="81"/>
              </w:numPr>
              <w:tabs>
                <w:tab w:val="left" w:pos="354"/>
              </w:tabs>
              <w:ind w:left="354" w:hanging="251"/>
              <w:rPr>
                <w:b/>
                <w:sz w:val="16"/>
              </w:rPr>
            </w:pPr>
            <w:r>
              <w:rPr>
                <w:b/>
                <w:sz w:val="16"/>
              </w:rPr>
              <w:t>Table</w:t>
            </w:r>
            <w:r>
              <w:rPr>
                <w:b/>
                <w:spacing w:val="-3"/>
                <w:sz w:val="16"/>
              </w:rPr>
              <w:t xml:space="preserve"> </w:t>
            </w:r>
            <w:r>
              <w:rPr>
                <w:b/>
                <w:sz w:val="16"/>
              </w:rPr>
              <w:t>of</w:t>
            </w:r>
            <w:r>
              <w:rPr>
                <w:b/>
                <w:spacing w:val="-1"/>
                <w:sz w:val="16"/>
              </w:rPr>
              <w:t xml:space="preserve"> </w:t>
            </w:r>
            <w:r>
              <w:rPr>
                <w:b/>
                <w:spacing w:val="-2"/>
                <w:sz w:val="16"/>
              </w:rPr>
              <w:t>contents</w:t>
            </w:r>
          </w:p>
          <w:p w14:paraId="315107F5" w14:textId="77777777" w:rsidR="004E712A" w:rsidRDefault="004E712A">
            <w:pPr>
              <w:pStyle w:val="TableParagraph"/>
              <w:numPr>
                <w:ilvl w:val="0"/>
                <w:numId w:val="81"/>
              </w:numPr>
              <w:tabs>
                <w:tab w:val="left" w:pos="354"/>
              </w:tabs>
              <w:spacing w:before="97"/>
              <w:ind w:left="354" w:hanging="251"/>
              <w:rPr>
                <w:b/>
                <w:sz w:val="16"/>
              </w:rPr>
            </w:pPr>
            <w:r>
              <w:rPr>
                <w:b/>
                <w:spacing w:val="-2"/>
                <w:sz w:val="16"/>
              </w:rPr>
              <w:t>Glossary</w:t>
            </w:r>
          </w:p>
        </w:tc>
        <w:tc>
          <w:tcPr>
            <w:tcW w:w="2520" w:type="dxa"/>
          </w:tcPr>
          <w:p w14:paraId="0CAB1D1F" w14:textId="77777777" w:rsidR="004E712A" w:rsidRDefault="004E712A">
            <w:pPr>
              <w:pStyle w:val="TableParagraph"/>
              <w:spacing w:before="101"/>
              <w:rPr>
                <w:sz w:val="16"/>
              </w:rPr>
            </w:pPr>
            <w:r>
              <w:rPr>
                <w:sz w:val="16"/>
              </w:rPr>
              <w:t>ARRs</w:t>
            </w:r>
            <w:r>
              <w:rPr>
                <w:spacing w:val="-2"/>
                <w:sz w:val="16"/>
              </w:rPr>
              <w:t xml:space="preserve"> </w:t>
            </w:r>
            <w:r>
              <w:rPr>
                <w:sz w:val="16"/>
              </w:rPr>
              <w:t>–</w:t>
            </w:r>
            <w:r>
              <w:rPr>
                <w:spacing w:val="-5"/>
                <w:sz w:val="16"/>
              </w:rPr>
              <w:t xml:space="preserve"> </w:t>
            </w:r>
            <w:r>
              <w:rPr>
                <w:sz w:val="16"/>
              </w:rPr>
              <w:t>section</w:t>
            </w:r>
            <w:r>
              <w:rPr>
                <w:spacing w:val="-3"/>
                <w:sz w:val="16"/>
              </w:rPr>
              <w:t xml:space="preserve"> </w:t>
            </w:r>
            <w:r>
              <w:rPr>
                <w:spacing w:val="-5"/>
                <w:sz w:val="16"/>
              </w:rPr>
              <w:t>9.1</w:t>
            </w:r>
          </w:p>
        </w:tc>
        <w:tc>
          <w:tcPr>
            <w:tcW w:w="1591" w:type="dxa"/>
          </w:tcPr>
          <w:p w14:paraId="5A677942" w14:textId="77777777" w:rsidR="007D372B" w:rsidRDefault="007D372B" w:rsidP="007D372B">
            <w:pPr>
              <w:pStyle w:val="TableParagraph"/>
              <w:spacing w:before="101"/>
              <w:rPr>
                <w:sz w:val="16"/>
              </w:rPr>
            </w:pPr>
            <w:r w:rsidRPr="00073382">
              <w:rPr>
                <w:sz w:val="16"/>
              </w:rPr>
              <w:t>3</w:t>
            </w:r>
          </w:p>
          <w:p w14:paraId="1B88DCF2" w14:textId="6A6E65E8" w:rsidR="004E712A" w:rsidRPr="00F932ED" w:rsidRDefault="001C2404" w:rsidP="007D372B">
            <w:pPr>
              <w:pStyle w:val="TableParagraph"/>
              <w:spacing w:before="101"/>
              <w:rPr>
                <w:sz w:val="16"/>
              </w:rPr>
            </w:pPr>
            <w:r>
              <w:rPr>
                <w:sz w:val="16"/>
              </w:rPr>
              <w:t xml:space="preserve">114 </w:t>
            </w:r>
            <w:r>
              <w:rPr>
                <w:rFonts w:ascii="Myanmar Text" w:hAnsi="Myanmar Text" w:cs="Myanmar Text"/>
                <w:sz w:val="16"/>
              </w:rPr>
              <w:t xml:space="preserve">– </w:t>
            </w:r>
            <w:r>
              <w:rPr>
                <w:sz w:val="16"/>
              </w:rPr>
              <w:t>115</w:t>
            </w:r>
          </w:p>
        </w:tc>
      </w:tr>
      <w:tr w:rsidR="004E712A" w14:paraId="34E7EA05" w14:textId="77777777">
        <w:trPr>
          <w:trHeight w:val="396"/>
        </w:trPr>
        <w:tc>
          <w:tcPr>
            <w:tcW w:w="1548" w:type="dxa"/>
            <w:vMerge/>
          </w:tcPr>
          <w:p w14:paraId="0E5EDA45" w14:textId="77777777" w:rsidR="004E712A" w:rsidRDefault="004E712A">
            <w:pPr>
              <w:rPr>
                <w:sz w:val="2"/>
                <w:szCs w:val="2"/>
              </w:rPr>
            </w:pPr>
          </w:p>
        </w:tc>
        <w:tc>
          <w:tcPr>
            <w:tcW w:w="4265" w:type="dxa"/>
          </w:tcPr>
          <w:p w14:paraId="67E83F63" w14:textId="77777777" w:rsidR="004E712A" w:rsidRDefault="004E712A">
            <w:pPr>
              <w:pStyle w:val="TableParagraph"/>
              <w:numPr>
                <w:ilvl w:val="0"/>
                <w:numId w:val="80"/>
              </w:numPr>
              <w:tabs>
                <w:tab w:val="left" w:pos="354"/>
              </w:tabs>
              <w:ind w:left="354" w:hanging="251"/>
              <w:rPr>
                <w:b/>
                <w:sz w:val="16"/>
              </w:rPr>
            </w:pPr>
            <w:r>
              <w:rPr>
                <w:b/>
                <w:sz w:val="16"/>
              </w:rPr>
              <w:t>Public</w:t>
            </w:r>
            <w:r>
              <w:rPr>
                <w:b/>
                <w:spacing w:val="-5"/>
                <w:sz w:val="16"/>
              </w:rPr>
              <w:t xml:space="preserve"> </w:t>
            </w:r>
            <w:r>
              <w:rPr>
                <w:b/>
                <w:spacing w:val="-2"/>
                <w:sz w:val="16"/>
              </w:rPr>
              <w:t>availability</w:t>
            </w:r>
          </w:p>
        </w:tc>
        <w:tc>
          <w:tcPr>
            <w:tcW w:w="2520" w:type="dxa"/>
          </w:tcPr>
          <w:p w14:paraId="53D4AD41" w14:textId="77777777" w:rsidR="004E712A" w:rsidRDefault="004E712A">
            <w:pPr>
              <w:pStyle w:val="TableParagraph"/>
              <w:spacing w:before="101"/>
              <w:rPr>
                <w:sz w:val="16"/>
              </w:rPr>
            </w:pPr>
            <w:r>
              <w:rPr>
                <w:sz w:val="16"/>
              </w:rPr>
              <w:t>ARRs</w:t>
            </w:r>
            <w:r>
              <w:rPr>
                <w:spacing w:val="-2"/>
                <w:sz w:val="16"/>
              </w:rPr>
              <w:t xml:space="preserve"> </w:t>
            </w:r>
            <w:r>
              <w:rPr>
                <w:sz w:val="16"/>
              </w:rPr>
              <w:t>–</w:t>
            </w:r>
            <w:r>
              <w:rPr>
                <w:spacing w:val="-5"/>
                <w:sz w:val="16"/>
              </w:rPr>
              <w:t xml:space="preserve"> </w:t>
            </w:r>
            <w:r>
              <w:rPr>
                <w:sz w:val="16"/>
              </w:rPr>
              <w:t>section</w:t>
            </w:r>
            <w:r>
              <w:rPr>
                <w:spacing w:val="-3"/>
                <w:sz w:val="16"/>
              </w:rPr>
              <w:t xml:space="preserve"> </w:t>
            </w:r>
            <w:r>
              <w:rPr>
                <w:spacing w:val="-5"/>
                <w:sz w:val="16"/>
              </w:rPr>
              <w:t>9.2</w:t>
            </w:r>
          </w:p>
        </w:tc>
        <w:tc>
          <w:tcPr>
            <w:tcW w:w="1591" w:type="dxa"/>
          </w:tcPr>
          <w:p w14:paraId="21076CDC" w14:textId="7AFE375A" w:rsidR="004E712A" w:rsidRPr="007573C1" w:rsidRDefault="007D372B" w:rsidP="007D372B">
            <w:pPr>
              <w:pStyle w:val="TableParagraph"/>
              <w:spacing w:before="101"/>
              <w:rPr>
                <w:sz w:val="16"/>
              </w:rPr>
            </w:pPr>
            <w:r>
              <w:rPr>
                <w:sz w:val="16"/>
              </w:rPr>
              <w:t>2</w:t>
            </w:r>
          </w:p>
        </w:tc>
      </w:tr>
      <w:tr w:rsidR="004E712A" w14:paraId="1655865B" w14:textId="77777777">
        <w:trPr>
          <w:trHeight w:val="851"/>
        </w:trPr>
        <w:tc>
          <w:tcPr>
            <w:tcW w:w="1548" w:type="dxa"/>
            <w:vMerge/>
          </w:tcPr>
          <w:p w14:paraId="4009A133" w14:textId="77777777" w:rsidR="004E712A" w:rsidRDefault="004E712A">
            <w:pPr>
              <w:rPr>
                <w:sz w:val="2"/>
                <w:szCs w:val="2"/>
              </w:rPr>
            </w:pPr>
          </w:p>
        </w:tc>
        <w:tc>
          <w:tcPr>
            <w:tcW w:w="4265" w:type="dxa"/>
          </w:tcPr>
          <w:p w14:paraId="4C7A0422" w14:textId="77777777" w:rsidR="004E712A" w:rsidRDefault="004E712A">
            <w:pPr>
              <w:pStyle w:val="TableParagraph"/>
              <w:numPr>
                <w:ilvl w:val="0"/>
                <w:numId w:val="79"/>
              </w:numPr>
              <w:tabs>
                <w:tab w:val="left" w:pos="354"/>
              </w:tabs>
              <w:ind w:left="354" w:hanging="251"/>
              <w:rPr>
                <w:b/>
                <w:sz w:val="16"/>
              </w:rPr>
            </w:pPr>
            <w:r>
              <w:rPr>
                <w:b/>
                <w:sz w:val="16"/>
              </w:rPr>
              <w:t>Interpreter</w:t>
            </w:r>
            <w:r>
              <w:rPr>
                <w:b/>
                <w:spacing w:val="-7"/>
                <w:sz w:val="16"/>
              </w:rPr>
              <w:t xml:space="preserve"> </w:t>
            </w:r>
            <w:r>
              <w:rPr>
                <w:b/>
                <w:sz w:val="16"/>
              </w:rPr>
              <w:t>service</w:t>
            </w:r>
            <w:r>
              <w:rPr>
                <w:b/>
                <w:spacing w:val="-9"/>
                <w:sz w:val="16"/>
              </w:rPr>
              <w:t xml:space="preserve"> </w:t>
            </w:r>
            <w:r>
              <w:rPr>
                <w:b/>
                <w:spacing w:val="-2"/>
                <w:sz w:val="16"/>
              </w:rPr>
              <w:t>statement</w:t>
            </w:r>
          </w:p>
        </w:tc>
        <w:tc>
          <w:tcPr>
            <w:tcW w:w="2520" w:type="dxa"/>
          </w:tcPr>
          <w:p w14:paraId="7FFD67B0" w14:textId="77777777" w:rsidR="004E712A" w:rsidRDefault="004E712A">
            <w:pPr>
              <w:pStyle w:val="TableParagraph"/>
              <w:spacing w:before="99"/>
              <w:rPr>
                <w:i/>
                <w:sz w:val="16"/>
              </w:rPr>
            </w:pPr>
            <w:r>
              <w:rPr>
                <w:i/>
                <w:sz w:val="16"/>
              </w:rPr>
              <w:t>Queensland Government Language</w:t>
            </w:r>
            <w:r>
              <w:rPr>
                <w:i/>
                <w:spacing w:val="-12"/>
                <w:sz w:val="16"/>
              </w:rPr>
              <w:t xml:space="preserve"> </w:t>
            </w:r>
            <w:r>
              <w:rPr>
                <w:i/>
                <w:sz w:val="16"/>
              </w:rPr>
              <w:t>Services</w:t>
            </w:r>
            <w:r>
              <w:rPr>
                <w:i/>
                <w:spacing w:val="-11"/>
                <w:sz w:val="16"/>
              </w:rPr>
              <w:t xml:space="preserve"> </w:t>
            </w:r>
            <w:r>
              <w:rPr>
                <w:i/>
                <w:sz w:val="16"/>
              </w:rPr>
              <w:t>Policy</w:t>
            </w:r>
          </w:p>
          <w:p w14:paraId="377FB4E3" w14:textId="77777777" w:rsidR="004E712A" w:rsidRDefault="004E712A">
            <w:pPr>
              <w:pStyle w:val="TableParagraph"/>
              <w:spacing w:before="102"/>
              <w:rPr>
                <w:sz w:val="16"/>
              </w:rPr>
            </w:pPr>
            <w:r>
              <w:rPr>
                <w:sz w:val="16"/>
              </w:rPr>
              <w:t>ARRs</w:t>
            </w:r>
            <w:r>
              <w:rPr>
                <w:spacing w:val="-2"/>
                <w:sz w:val="16"/>
              </w:rPr>
              <w:t xml:space="preserve"> </w:t>
            </w:r>
            <w:r>
              <w:rPr>
                <w:sz w:val="16"/>
              </w:rPr>
              <w:t>–</w:t>
            </w:r>
            <w:r>
              <w:rPr>
                <w:spacing w:val="-5"/>
                <w:sz w:val="16"/>
              </w:rPr>
              <w:t xml:space="preserve"> </w:t>
            </w:r>
            <w:r>
              <w:rPr>
                <w:sz w:val="16"/>
              </w:rPr>
              <w:t>section</w:t>
            </w:r>
            <w:r>
              <w:rPr>
                <w:spacing w:val="-3"/>
                <w:sz w:val="16"/>
              </w:rPr>
              <w:t xml:space="preserve"> </w:t>
            </w:r>
            <w:r>
              <w:rPr>
                <w:spacing w:val="-5"/>
                <w:sz w:val="16"/>
              </w:rPr>
              <w:t>9.3</w:t>
            </w:r>
          </w:p>
        </w:tc>
        <w:tc>
          <w:tcPr>
            <w:tcW w:w="1591" w:type="dxa"/>
          </w:tcPr>
          <w:p w14:paraId="059E652B" w14:textId="77777777" w:rsidR="007D372B" w:rsidRDefault="007D372B" w:rsidP="007D372B">
            <w:pPr>
              <w:pStyle w:val="TableParagraph"/>
              <w:spacing w:before="101"/>
              <w:rPr>
                <w:sz w:val="16"/>
              </w:rPr>
            </w:pPr>
            <w:r>
              <w:rPr>
                <w:sz w:val="16"/>
              </w:rPr>
              <w:t>2</w:t>
            </w:r>
          </w:p>
          <w:p w14:paraId="394B3C4F" w14:textId="77777777" w:rsidR="004E712A" w:rsidRPr="007573C1" w:rsidRDefault="004E712A" w:rsidP="007D372B">
            <w:pPr>
              <w:pStyle w:val="TableParagraph"/>
              <w:spacing w:before="101"/>
              <w:rPr>
                <w:sz w:val="16"/>
              </w:rPr>
            </w:pPr>
          </w:p>
        </w:tc>
      </w:tr>
      <w:tr w:rsidR="004E712A" w14:paraId="76ACA607" w14:textId="77777777">
        <w:trPr>
          <w:trHeight w:val="666"/>
        </w:trPr>
        <w:tc>
          <w:tcPr>
            <w:tcW w:w="1548" w:type="dxa"/>
            <w:vMerge/>
          </w:tcPr>
          <w:p w14:paraId="6A101ADC" w14:textId="77777777" w:rsidR="004E712A" w:rsidRDefault="004E712A">
            <w:pPr>
              <w:rPr>
                <w:sz w:val="2"/>
                <w:szCs w:val="2"/>
              </w:rPr>
            </w:pPr>
          </w:p>
        </w:tc>
        <w:tc>
          <w:tcPr>
            <w:tcW w:w="4265" w:type="dxa"/>
          </w:tcPr>
          <w:p w14:paraId="06E366E8" w14:textId="77777777" w:rsidR="004E712A" w:rsidRDefault="004E712A">
            <w:pPr>
              <w:pStyle w:val="TableParagraph"/>
              <w:numPr>
                <w:ilvl w:val="0"/>
                <w:numId w:val="78"/>
              </w:numPr>
              <w:tabs>
                <w:tab w:val="left" w:pos="354"/>
              </w:tabs>
              <w:ind w:left="354" w:hanging="251"/>
              <w:rPr>
                <w:b/>
                <w:sz w:val="16"/>
              </w:rPr>
            </w:pPr>
            <w:r>
              <w:rPr>
                <w:b/>
                <w:sz w:val="16"/>
              </w:rPr>
              <w:t>Copyright</w:t>
            </w:r>
            <w:r>
              <w:rPr>
                <w:b/>
                <w:spacing w:val="-3"/>
                <w:sz w:val="16"/>
              </w:rPr>
              <w:t xml:space="preserve"> </w:t>
            </w:r>
            <w:r>
              <w:rPr>
                <w:b/>
                <w:spacing w:val="-2"/>
                <w:sz w:val="16"/>
              </w:rPr>
              <w:t>notice</w:t>
            </w:r>
          </w:p>
        </w:tc>
        <w:tc>
          <w:tcPr>
            <w:tcW w:w="2520" w:type="dxa"/>
          </w:tcPr>
          <w:p w14:paraId="5CEF84DB" w14:textId="77777777" w:rsidR="004E712A" w:rsidRDefault="004E712A">
            <w:pPr>
              <w:pStyle w:val="TableParagraph"/>
              <w:spacing w:before="101"/>
              <w:rPr>
                <w:i/>
                <w:sz w:val="16"/>
              </w:rPr>
            </w:pPr>
            <w:r>
              <w:rPr>
                <w:i/>
                <w:sz w:val="16"/>
              </w:rPr>
              <w:t>Copyright</w:t>
            </w:r>
            <w:r>
              <w:rPr>
                <w:i/>
                <w:spacing w:val="-6"/>
                <w:sz w:val="16"/>
              </w:rPr>
              <w:t xml:space="preserve"> </w:t>
            </w:r>
            <w:r>
              <w:rPr>
                <w:i/>
                <w:sz w:val="16"/>
              </w:rPr>
              <w:t>Act</w:t>
            </w:r>
            <w:r>
              <w:rPr>
                <w:i/>
                <w:spacing w:val="-3"/>
                <w:sz w:val="16"/>
              </w:rPr>
              <w:t xml:space="preserve"> </w:t>
            </w:r>
            <w:r>
              <w:rPr>
                <w:i/>
                <w:spacing w:val="-4"/>
                <w:sz w:val="16"/>
              </w:rPr>
              <w:t>1968</w:t>
            </w:r>
          </w:p>
          <w:p w14:paraId="6BC8B6B3" w14:textId="77777777" w:rsidR="004E712A" w:rsidRDefault="004E712A">
            <w:pPr>
              <w:pStyle w:val="TableParagraph"/>
              <w:rPr>
                <w:sz w:val="16"/>
              </w:rPr>
            </w:pPr>
            <w:r>
              <w:rPr>
                <w:sz w:val="16"/>
              </w:rPr>
              <w:t>ARRs</w:t>
            </w:r>
            <w:r>
              <w:rPr>
                <w:spacing w:val="-2"/>
                <w:sz w:val="16"/>
              </w:rPr>
              <w:t xml:space="preserve"> </w:t>
            </w:r>
            <w:r>
              <w:rPr>
                <w:sz w:val="16"/>
              </w:rPr>
              <w:t>–</w:t>
            </w:r>
            <w:r>
              <w:rPr>
                <w:spacing w:val="-5"/>
                <w:sz w:val="16"/>
              </w:rPr>
              <w:t xml:space="preserve"> </w:t>
            </w:r>
            <w:r>
              <w:rPr>
                <w:sz w:val="16"/>
              </w:rPr>
              <w:t>section</w:t>
            </w:r>
            <w:r>
              <w:rPr>
                <w:spacing w:val="-3"/>
                <w:sz w:val="16"/>
              </w:rPr>
              <w:t xml:space="preserve"> </w:t>
            </w:r>
            <w:r>
              <w:rPr>
                <w:spacing w:val="-5"/>
                <w:sz w:val="16"/>
              </w:rPr>
              <w:t>9.4</w:t>
            </w:r>
          </w:p>
        </w:tc>
        <w:tc>
          <w:tcPr>
            <w:tcW w:w="1591" w:type="dxa"/>
          </w:tcPr>
          <w:p w14:paraId="0E15D582" w14:textId="289BE4A2" w:rsidR="004E712A" w:rsidRPr="007573C1" w:rsidRDefault="007D372B" w:rsidP="007D372B">
            <w:pPr>
              <w:pStyle w:val="TableParagraph"/>
              <w:spacing w:before="101"/>
              <w:rPr>
                <w:sz w:val="16"/>
              </w:rPr>
            </w:pPr>
            <w:r>
              <w:rPr>
                <w:sz w:val="16"/>
              </w:rPr>
              <w:t>2</w:t>
            </w:r>
          </w:p>
        </w:tc>
      </w:tr>
      <w:tr w:rsidR="004E712A" w14:paraId="598D7726" w14:textId="77777777">
        <w:trPr>
          <w:trHeight w:val="669"/>
        </w:trPr>
        <w:tc>
          <w:tcPr>
            <w:tcW w:w="1548" w:type="dxa"/>
            <w:vMerge/>
          </w:tcPr>
          <w:p w14:paraId="586A5786" w14:textId="77777777" w:rsidR="004E712A" w:rsidRDefault="004E712A">
            <w:pPr>
              <w:rPr>
                <w:sz w:val="2"/>
                <w:szCs w:val="2"/>
              </w:rPr>
            </w:pPr>
          </w:p>
        </w:tc>
        <w:tc>
          <w:tcPr>
            <w:tcW w:w="4265" w:type="dxa"/>
          </w:tcPr>
          <w:p w14:paraId="02AC88A0" w14:textId="77777777" w:rsidR="004E712A" w:rsidRDefault="004E712A">
            <w:pPr>
              <w:pStyle w:val="TableParagraph"/>
              <w:numPr>
                <w:ilvl w:val="0"/>
                <w:numId w:val="77"/>
              </w:numPr>
              <w:tabs>
                <w:tab w:val="left" w:pos="354"/>
              </w:tabs>
              <w:ind w:left="354" w:hanging="251"/>
              <w:rPr>
                <w:b/>
                <w:sz w:val="16"/>
              </w:rPr>
            </w:pPr>
            <w:r>
              <w:rPr>
                <w:b/>
                <w:sz w:val="16"/>
              </w:rPr>
              <w:t>Information</w:t>
            </w:r>
            <w:r>
              <w:rPr>
                <w:b/>
                <w:spacing w:val="-9"/>
                <w:sz w:val="16"/>
              </w:rPr>
              <w:t xml:space="preserve"> </w:t>
            </w:r>
            <w:r>
              <w:rPr>
                <w:b/>
                <w:spacing w:val="-2"/>
                <w:sz w:val="16"/>
              </w:rPr>
              <w:t>Licensing</w:t>
            </w:r>
          </w:p>
        </w:tc>
        <w:tc>
          <w:tcPr>
            <w:tcW w:w="2520" w:type="dxa"/>
          </w:tcPr>
          <w:p w14:paraId="3002068B" w14:textId="77777777" w:rsidR="004E712A" w:rsidRDefault="004E712A">
            <w:pPr>
              <w:pStyle w:val="TableParagraph"/>
              <w:spacing w:before="101"/>
              <w:rPr>
                <w:i/>
                <w:sz w:val="16"/>
              </w:rPr>
            </w:pPr>
            <w:r>
              <w:rPr>
                <w:i/>
                <w:sz w:val="16"/>
              </w:rPr>
              <w:t>QGEA</w:t>
            </w:r>
            <w:r>
              <w:rPr>
                <w:i/>
                <w:spacing w:val="-5"/>
                <w:sz w:val="16"/>
              </w:rPr>
              <w:t xml:space="preserve"> </w:t>
            </w:r>
            <w:r>
              <w:rPr>
                <w:i/>
                <w:sz w:val="16"/>
              </w:rPr>
              <w:t>–</w:t>
            </w:r>
            <w:r>
              <w:rPr>
                <w:i/>
                <w:spacing w:val="-5"/>
                <w:sz w:val="16"/>
              </w:rPr>
              <w:t xml:space="preserve"> </w:t>
            </w:r>
            <w:r>
              <w:rPr>
                <w:i/>
                <w:sz w:val="16"/>
              </w:rPr>
              <w:t>Information</w:t>
            </w:r>
            <w:r>
              <w:rPr>
                <w:i/>
                <w:spacing w:val="-3"/>
                <w:sz w:val="16"/>
              </w:rPr>
              <w:t xml:space="preserve"> </w:t>
            </w:r>
            <w:r>
              <w:rPr>
                <w:i/>
                <w:spacing w:val="-2"/>
                <w:sz w:val="16"/>
              </w:rPr>
              <w:t>Licensing</w:t>
            </w:r>
          </w:p>
          <w:p w14:paraId="58C1C09D" w14:textId="77777777" w:rsidR="004E712A" w:rsidRDefault="004E712A">
            <w:pPr>
              <w:pStyle w:val="TableParagraph"/>
              <w:rPr>
                <w:sz w:val="16"/>
              </w:rPr>
            </w:pPr>
            <w:r>
              <w:rPr>
                <w:sz w:val="16"/>
              </w:rPr>
              <w:t>ARRs</w:t>
            </w:r>
            <w:r>
              <w:rPr>
                <w:spacing w:val="-2"/>
                <w:sz w:val="16"/>
              </w:rPr>
              <w:t xml:space="preserve"> </w:t>
            </w:r>
            <w:r>
              <w:rPr>
                <w:sz w:val="16"/>
              </w:rPr>
              <w:t>–</w:t>
            </w:r>
            <w:r>
              <w:rPr>
                <w:spacing w:val="-5"/>
                <w:sz w:val="16"/>
              </w:rPr>
              <w:t xml:space="preserve"> </w:t>
            </w:r>
            <w:r>
              <w:rPr>
                <w:sz w:val="16"/>
              </w:rPr>
              <w:t>section</w:t>
            </w:r>
            <w:r>
              <w:rPr>
                <w:spacing w:val="-3"/>
                <w:sz w:val="16"/>
              </w:rPr>
              <w:t xml:space="preserve"> </w:t>
            </w:r>
            <w:r>
              <w:rPr>
                <w:spacing w:val="-5"/>
                <w:sz w:val="16"/>
              </w:rPr>
              <w:t>9.5</w:t>
            </w:r>
          </w:p>
        </w:tc>
        <w:tc>
          <w:tcPr>
            <w:tcW w:w="1591" w:type="dxa"/>
          </w:tcPr>
          <w:p w14:paraId="1C0727C5" w14:textId="7F9EF5A9" w:rsidR="004E712A" w:rsidRPr="007573C1" w:rsidRDefault="007D372B" w:rsidP="007D372B">
            <w:pPr>
              <w:pStyle w:val="TableParagraph"/>
              <w:spacing w:before="101"/>
              <w:rPr>
                <w:sz w:val="16"/>
              </w:rPr>
            </w:pPr>
            <w:r>
              <w:rPr>
                <w:sz w:val="16"/>
              </w:rPr>
              <w:t>2</w:t>
            </w:r>
          </w:p>
        </w:tc>
      </w:tr>
      <w:tr w:rsidR="004E712A" w14:paraId="03104C56" w14:textId="77777777">
        <w:trPr>
          <w:trHeight w:val="568"/>
        </w:trPr>
        <w:tc>
          <w:tcPr>
            <w:tcW w:w="1548" w:type="dxa"/>
          </w:tcPr>
          <w:p w14:paraId="2320CAB1" w14:textId="77777777" w:rsidR="004E712A" w:rsidRDefault="004E712A">
            <w:pPr>
              <w:pStyle w:val="TableParagraph"/>
              <w:spacing w:before="99"/>
              <w:ind w:left="107" w:right="112"/>
              <w:rPr>
                <w:b/>
                <w:sz w:val="16"/>
              </w:rPr>
            </w:pPr>
            <w:r>
              <w:rPr>
                <w:b/>
                <w:spacing w:val="-2"/>
                <w:sz w:val="16"/>
              </w:rPr>
              <w:t>General information</w:t>
            </w:r>
          </w:p>
        </w:tc>
        <w:tc>
          <w:tcPr>
            <w:tcW w:w="4265" w:type="dxa"/>
          </w:tcPr>
          <w:p w14:paraId="3C0CB2A1" w14:textId="77777777" w:rsidR="004E712A" w:rsidRDefault="004E712A">
            <w:pPr>
              <w:pStyle w:val="TableParagraph"/>
              <w:numPr>
                <w:ilvl w:val="0"/>
                <w:numId w:val="76"/>
              </w:numPr>
              <w:tabs>
                <w:tab w:val="left" w:pos="354"/>
              </w:tabs>
              <w:ind w:left="354" w:hanging="251"/>
              <w:rPr>
                <w:b/>
                <w:sz w:val="16"/>
              </w:rPr>
            </w:pPr>
            <w:r>
              <w:rPr>
                <w:b/>
                <w:sz w:val="16"/>
              </w:rPr>
              <w:t>Introductory</w:t>
            </w:r>
            <w:r>
              <w:rPr>
                <w:b/>
                <w:spacing w:val="-8"/>
                <w:sz w:val="16"/>
              </w:rPr>
              <w:t xml:space="preserve"> </w:t>
            </w:r>
            <w:r>
              <w:rPr>
                <w:b/>
                <w:spacing w:val="-2"/>
                <w:sz w:val="16"/>
              </w:rPr>
              <w:t>Information</w:t>
            </w:r>
          </w:p>
        </w:tc>
        <w:tc>
          <w:tcPr>
            <w:tcW w:w="2520" w:type="dxa"/>
          </w:tcPr>
          <w:p w14:paraId="4E2DAB85" w14:textId="77777777" w:rsidR="004E712A" w:rsidRDefault="004E712A">
            <w:pPr>
              <w:pStyle w:val="TableParagraph"/>
              <w:spacing w:before="101"/>
              <w:rPr>
                <w:sz w:val="16"/>
              </w:rPr>
            </w:pPr>
            <w:r>
              <w:rPr>
                <w:sz w:val="16"/>
              </w:rPr>
              <w:t>ARRs</w:t>
            </w:r>
            <w:r>
              <w:rPr>
                <w:spacing w:val="-2"/>
                <w:sz w:val="16"/>
              </w:rPr>
              <w:t xml:space="preserve"> </w:t>
            </w:r>
            <w:r>
              <w:rPr>
                <w:sz w:val="16"/>
              </w:rPr>
              <w:t>–</w:t>
            </w:r>
            <w:r>
              <w:rPr>
                <w:spacing w:val="-5"/>
                <w:sz w:val="16"/>
              </w:rPr>
              <w:t xml:space="preserve"> </w:t>
            </w:r>
            <w:r>
              <w:rPr>
                <w:sz w:val="16"/>
              </w:rPr>
              <w:t>section</w:t>
            </w:r>
            <w:r>
              <w:rPr>
                <w:spacing w:val="-3"/>
                <w:sz w:val="16"/>
              </w:rPr>
              <w:t xml:space="preserve"> </w:t>
            </w:r>
            <w:r>
              <w:rPr>
                <w:spacing w:val="-5"/>
                <w:sz w:val="16"/>
              </w:rPr>
              <w:t>10</w:t>
            </w:r>
          </w:p>
        </w:tc>
        <w:tc>
          <w:tcPr>
            <w:tcW w:w="1591" w:type="dxa"/>
          </w:tcPr>
          <w:p w14:paraId="4919EFC6" w14:textId="10435A4B" w:rsidR="004E712A" w:rsidRPr="007573C1" w:rsidRDefault="007D372B" w:rsidP="007D372B">
            <w:pPr>
              <w:pStyle w:val="TableParagraph"/>
              <w:spacing w:before="101"/>
              <w:rPr>
                <w:sz w:val="16"/>
              </w:rPr>
            </w:pPr>
            <w:r>
              <w:rPr>
                <w:sz w:val="16"/>
              </w:rPr>
              <w:t>7</w:t>
            </w:r>
            <w:r>
              <w:rPr>
                <w:rFonts w:ascii="Segoe UI Historic" w:hAnsi="Segoe UI Historic" w:cs="Segoe UI Historic"/>
                <w:sz w:val="16"/>
              </w:rPr>
              <w:t>–</w:t>
            </w:r>
            <w:r>
              <w:rPr>
                <w:sz w:val="16"/>
              </w:rPr>
              <w:t>8</w:t>
            </w:r>
          </w:p>
        </w:tc>
      </w:tr>
      <w:tr w:rsidR="004E712A" w14:paraId="5BB66959" w14:textId="77777777">
        <w:trPr>
          <w:trHeight w:val="577"/>
        </w:trPr>
        <w:tc>
          <w:tcPr>
            <w:tcW w:w="1548" w:type="dxa"/>
            <w:vMerge w:val="restart"/>
          </w:tcPr>
          <w:p w14:paraId="234D24B5" w14:textId="77777777" w:rsidR="004E712A" w:rsidRDefault="004E712A">
            <w:pPr>
              <w:pStyle w:val="TableParagraph"/>
              <w:spacing w:before="99"/>
              <w:ind w:left="107"/>
              <w:rPr>
                <w:b/>
                <w:sz w:val="16"/>
              </w:rPr>
            </w:pPr>
            <w:r>
              <w:rPr>
                <w:b/>
                <w:spacing w:val="-2"/>
                <w:sz w:val="16"/>
              </w:rPr>
              <w:t>Non-financial performance</w:t>
            </w:r>
          </w:p>
        </w:tc>
        <w:tc>
          <w:tcPr>
            <w:tcW w:w="4265" w:type="dxa"/>
          </w:tcPr>
          <w:p w14:paraId="618606B3" w14:textId="77777777" w:rsidR="004E712A" w:rsidRDefault="004E712A">
            <w:pPr>
              <w:pStyle w:val="TableParagraph"/>
              <w:numPr>
                <w:ilvl w:val="0"/>
                <w:numId w:val="75"/>
              </w:numPr>
              <w:tabs>
                <w:tab w:val="left" w:pos="355"/>
              </w:tabs>
              <w:ind w:right="222"/>
              <w:rPr>
                <w:b/>
                <w:sz w:val="16"/>
              </w:rPr>
            </w:pPr>
            <w:r>
              <w:rPr>
                <w:b/>
                <w:sz w:val="16"/>
              </w:rPr>
              <w:t>Government’s</w:t>
            </w:r>
            <w:r>
              <w:rPr>
                <w:b/>
                <w:spacing w:val="-7"/>
                <w:sz w:val="16"/>
              </w:rPr>
              <w:t xml:space="preserve"> </w:t>
            </w:r>
            <w:r>
              <w:rPr>
                <w:b/>
                <w:sz w:val="16"/>
              </w:rPr>
              <w:t>objectives</w:t>
            </w:r>
            <w:r>
              <w:rPr>
                <w:b/>
                <w:spacing w:val="-10"/>
                <w:sz w:val="16"/>
              </w:rPr>
              <w:t xml:space="preserve"> </w:t>
            </w:r>
            <w:r>
              <w:rPr>
                <w:b/>
                <w:sz w:val="16"/>
              </w:rPr>
              <w:t>for</w:t>
            </w:r>
            <w:r>
              <w:rPr>
                <w:b/>
                <w:spacing w:val="-6"/>
                <w:sz w:val="16"/>
              </w:rPr>
              <w:t xml:space="preserve"> </w:t>
            </w:r>
            <w:r>
              <w:rPr>
                <w:b/>
                <w:sz w:val="16"/>
              </w:rPr>
              <w:t>the</w:t>
            </w:r>
            <w:r>
              <w:rPr>
                <w:b/>
                <w:spacing w:val="-9"/>
                <w:sz w:val="16"/>
              </w:rPr>
              <w:t xml:space="preserve"> </w:t>
            </w:r>
            <w:r>
              <w:rPr>
                <w:b/>
                <w:sz w:val="16"/>
              </w:rPr>
              <w:t>community</w:t>
            </w:r>
            <w:r>
              <w:rPr>
                <w:b/>
                <w:spacing w:val="-5"/>
                <w:sz w:val="16"/>
              </w:rPr>
              <w:t xml:space="preserve"> </w:t>
            </w:r>
            <w:r>
              <w:rPr>
                <w:b/>
                <w:sz w:val="16"/>
              </w:rPr>
              <w:t>and whole-of-government plans/specific initiatives</w:t>
            </w:r>
          </w:p>
        </w:tc>
        <w:tc>
          <w:tcPr>
            <w:tcW w:w="2520" w:type="dxa"/>
          </w:tcPr>
          <w:p w14:paraId="6DBBF4CA"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11.1</w:t>
            </w:r>
          </w:p>
        </w:tc>
        <w:tc>
          <w:tcPr>
            <w:tcW w:w="1591" w:type="dxa"/>
          </w:tcPr>
          <w:p w14:paraId="5EAADB92" w14:textId="02EBB981" w:rsidR="004E712A" w:rsidRPr="006E554B" w:rsidRDefault="007D372B" w:rsidP="007D372B">
            <w:pPr>
              <w:pStyle w:val="TableParagraph"/>
              <w:spacing w:before="101"/>
              <w:rPr>
                <w:sz w:val="16"/>
              </w:rPr>
            </w:pPr>
            <w:r>
              <w:rPr>
                <w:sz w:val="16"/>
              </w:rPr>
              <w:t>8</w:t>
            </w:r>
          </w:p>
        </w:tc>
      </w:tr>
      <w:tr w:rsidR="004E712A" w14:paraId="3159C4E7" w14:textId="77777777">
        <w:trPr>
          <w:trHeight w:val="395"/>
        </w:trPr>
        <w:tc>
          <w:tcPr>
            <w:tcW w:w="1548" w:type="dxa"/>
            <w:vMerge/>
          </w:tcPr>
          <w:p w14:paraId="7FF45817" w14:textId="77777777" w:rsidR="004E712A" w:rsidRDefault="004E712A">
            <w:pPr>
              <w:rPr>
                <w:sz w:val="2"/>
                <w:szCs w:val="2"/>
              </w:rPr>
            </w:pPr>
          </w:p>
        </w:tc>
        <w:tc>
          <w:tcPr>
            <w:tcW w:w="4265" w:type="dxa"/>
          </w:tcPr>
          <w:p w14:paraId="5BE4659C" w14:textId="77777777" w:rsidR="004E712A" w:rsidRDefault="004E712A">
            <w:pPr>
              <w:pStyle w:val="TableParagraph"/>
              <w:numPr>
                <w:ilvl w:val="0"/>
                <w:numId w:val="74"/>
              </w:numPr>
              <w:tabs>
                <w:tab w:val="left" w:pos="354"/>
              </w:tabs>
              <w:ind w:left="354" w:hanging="251"/>
              <w:rPr>
                <w:b/>
                <w:sz w:val="16"/>
              </w:rPr>
            </w:pPr>
            <w:r>
              <w:rPr>
                <w:b/>
                <w:sz w:val="16"/>
              </w:rPr>
              <w:t>Agency</w:t>
            </w:r>
            <w:r>
              <w:rPr>
                <w:b/>
                <w:spacing w:val="-7"/>
                <w:sz w:val="16"/>
              </w:rPr>
              <w:t xml:space="preserve"> </w:t>
            </w:r>
            <w:r>
              <w:rPr>
                <w:b/>
                <w:sz w:val="16"/>
              </w:rPr>
              <w:t>objectives</w:t>
            </w:r>
            <w:r>
              <w:rPr>
                <w:b/>
                <w:spacing w:val="-7"/>
                <w:sz w:val="16"/>
              </w:rPr>
              <w:t xml:space="preserve"> </w:t>
            </w:r>
            <w:r>
              <w:rPr>
                <w:b/>
                <w:sz w:val="16"/>
              </w:rPr>
              <w:t>and</w:t>
            </w:r>
            <w:r>
              <w:rPr>
                <w:b/>
                <w:spacing w:val="-9"/>
                <w:sz w:val="16"/>
              </w:rPr>
              <w:t xml:space="preserve"> </w:t>
            </w:r>
            <w:r>
              <w:rPr>
                <w:b/>
                <w:sz w:val="16"/>
              </w:rPr>
              <w:t>performance</w:t>
            </w:r>
            <w:r>
              <w:rPr>
                <w:b/>
                <w:spacing w:val="-7"/>
                <w:sz w:val="16"/>
              </w:rPr>
              <w:t xml:space="preserve"> </w:t>
            </w:r>
            <w:r>
              <w:rPr>
                <w:b/>
                <w:spacing w:val="-2"/>
                <w:sz w:val="16"/>
              </w:rPr>
              <w:t>indicators</w:t>
            </w:r>
          </w:p>
        </w:tc>
        <w:tc>
          <w:tcPr>
            <w:tcW w:w="2520" w:type="dxa"/>
          </w:tcPr>
          <w:p w14:paraId="641B0A3B"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11.2</w:t>
            </w:r>
          </w:p>
        </w:tc>
        <w:tc>
          <w:tcPr>
            <w:tcW w:w="1591" w:type="dxa"/>
          </w:tcPr>
          <w:p w14:paraId="7C645D3C" w14:textId="3C833212" w:rsidR="004E712A" w:rsidRPr="006E554B" w:rsidRDefault="000F31CE" w:rsidP="007D372B">
            <w:pPr>
              <w:pStyle w:val="TableParagraph"/>
              <w:spacing w:before="101"/>
              <w:rPr>
                <w:sz w:val="16"/>
              </w:rPr>
            </w:pPr>
            <w:r>
              <w:rPr>
                <w:sz w:val="16"/>
              </w:rPr>
              <w:t>53–55</w:t>
            </w:r>
          </w:p>
        </w:tc>
      </w:tr>
      <w:tr w:rsidR="004E712A" w14:paraId="590EB5FE" w14:textId="77777777">
        <w:trPr>
          <w:trHeight w:val="393"/>
        </w:trPr>
        <w:tc>
          <w:tcPr>
            <w:tcW w:w="1548" w:type="dxa"/>
            <w:vMerge/>
          </w:tcPr>
          <w:p w14:paraId="5BE3A05E" w14:textId="77777777" w:rsidR="004E712A" w:rsidRDefault="004E712A">
            <w:pPr>
              <w:rPr>
                <w:sz w:val="2"/>
                <w:szCs w:val="2"/>
              </w:rPr>
            </w:pPr>
          </w:p>
        </w:tc>
        <w:tc>
          <w:tcPr>
            <w:tcW w:w="4265" w:type="dxa"/>
          </w:tcPr>
          <w:p w14:paraId="468C16CE" w14:textId="77777777" w:rsidR="004E712A" w:rsidRDefault="004E712A">
            <w:pPr>
              <w:pStyle w:val="TableParagraph"/>
              <w:numPr>
                <w:ilvl w:val="0"/>
                <w:numId w:val="73"/>
              </w:numPr>
              <w:tabs>
                <w:tab w:val="left" w:pos="354"/>
              </w:tabs>
              <w:ind w:left="354" w:hanging="251"/>
              <w:rPr>
                <w:b/>
                <w:sz w:val="16"/>
              </w:rPr>
            </w:pPr>
            <w:r>
              <w:rPr>
                <w:b/>
                <w:sz w:val="16"/>
              </w:rPr>
              <w:t>Agency</w:t>
            </w:r>
            <w:r>
              <w:rPr>
                <w:b/>
                <w:spacing w:val="-6"/>
                <w:sz w:val="16"/>
              </w:rPr>
              <w:t xml:space="preserve"> </w:t>
            </w:r>
            <w:r>
              <w:rPr>
                <w:b/>
                <w:sz w:val="16"/>
              </w:rPr>
              <w:t>service</w:t>
            </w:r>
            <w:r>
              <w:rPr>
                <w:b/>
                <w:spacing w:val="-6"/>
                <w:sz w:val="16"/>
              </w:rPr>
              <w:t xml:space="preserve"> </w:t>
            </w:r>
            <w:r>
              <w:rPr>
                <w:b/>
                <w:sz w:val="16"/>
              </w:rPr>
              <w:t>areas</w:t>
            </w:r>
            <w:r>
              <w:rPr>
                <w:b/>
                <w:spacing w:val="-5"/>
                <w:sz w:val="16"/>
              </w:rPr>
              <w:t xml:space="preserve"> </w:t>
            </w:r>
            <w:r>
              <w:rPr>
                <w:b/>
                <w:sz w:val="16"/>
              </w:rPr>
              <w:t>and</w:t>
            </w:r>
            <w:r>
              <w:rPr>
                <w:b/>
                <w:spacing w:val="-5"/>
                <w:sz w:val="16"/>
              </w:rPr>
              <w:t xml:space="preserve"> </w:t>
            </w:r>
            <w:r>
              <w:rPr>
                <w:b/>
                <w:sz w:val="16"/>
              </w:rPr>
              <w:t>service</w:t>
            </w:r>
            <w:r>
              <w:rPr>
                <w:b/>
                <w:spacing w:val="-5"/>
                <w:sz w:val="16"/>
              </w:rPr>
              <w:t xml:space="preserve"> </w:t>
            </w:r>
            <w:r>
              <w:rPr>
                <w:b/>
                <w:spacing w:val="-2"/>
                <w:sz w:val="16"/>
              </w:rPr>
              <w:t>standards</w:t>
            </w:r>
          </w:p>
        </w:tc>
        <w:tc>
          <w:tcPr>
            <w:tcW w:w="2520" w:type="dxa"/>
          </w:tcPr>
          <w:p w14:paraId="0753C2D1"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11.3</w:t>
            </w:r>
          </w:p>
        </w:tc>
        <w:tc>
          <w:tcPr>
            <w:tcW w:w="1591" w:type="dxa"/>
          </w:tcPr>
          <w:p w14:paraId="33658792" w14:textId="1024C37E" w:rsidR="004E712A" w:rsidRPr="006E554B" w:rsidRDefault="000F31CE" w:rsidP="007D372B">
            <w:pPr>
              <w:pStyle w:val="TableParagraph"/>
              <w:spacing w:before="101"/>
              <w:rPr>
                <w:sz w:val="16"/>
              </w:rPr>
            </w:pPr>
            <w:r>
              <w:rPr>
                <w:sz w:val="16"/>
              </w:rPr>
              <w:t>51–52</w:t>
            </w:r>
          </w:p>
        </w:tc>
      </w:tr>
      <w:tr w:rsidR="004E712A" w14:paraId="5498FA24" w14:textId="77777777">
        <w:trPr>
          <w:trHeight w:val="568"/>
        </w:trPr>
        <w:tc>
          <w:tcPr>
            <w:tcW w:w="1548" w:type="dxa"/>
          </w:tcPr>
          <w:p w14:paraId="2468B5D4" w14:textId="77777777" w:rsidR="004E712A" w:rsidRDefault="004E712A">
            <w:pPr>
              <w:pStyle w:val="TableParagraph"/>
              <w:spacing w:before="99" w:line="244" w:lineRule="auto"/>
              <w:ind w:left="107"/>
              <w:rPr>
                <w:b/>
                <w:sz w:val="16"/>
              </w:rPr>
            </w:pPr>
            <w:r>
              <w:rPr>
                <w:b/>
                <w:spacing w:val="-2"/>
                <w:sz w:val="16"/>
              </w:rPr>
              <w:t>Financial performance</w:t>
            </w:r>
          </w:p>
        </w:tc>
        <w:tc>
          <w:tcPr>
            <w:tcW w:w="4265" w:type="dxa"/>
          </w:tcPr>
          <w:p w14:paraId="601456B6" w14:textId="77777777" w:rsidR="004E712A" w:rsidRDefault="004E712A">
            <w:pPr>
              <w:pStyle w:val="TableParagraph"/>
              <w:numPr>
                <w:ilvl w:val="0"/>
                <w:numId w:val="72"/>
              </w:numPr>
              <w:tabs>
                <w:tab w:val="left" w:pos="354"/>
              </w:tabs>
              <w:ind w:left="354" w:hanging="251"/>
              <w:rPr>
                <w:b/>
                <w:sz w:val="16"/>
              </w:rPr>
            </w:pPr>
            <w:r>
              <w:rPr>
                <w:b/>
                <w:sz w:val="16"/>
              </w:rPr>
              <w:t>Summary</w:t>
            </w:r>
            <w:r>
              <w:rPr>
                <w:b/>
                <w:spacing w:val="-9"/>
                <w:sz w:val="16"/>
              </w:rPr>
              <w:t xml:space="preserve"> </w:t>
            </w:r>
            <w:r>
              <w:rPr>
                <w:b/>
                <w:sz w:val="16"/>
              </w:rPr>
              <w:t>of</w:t>
            </w:r>
            <w:r>
              <w:rPr>
                <w:b/>
                <w:spacing w:val="-5"/>
                <w:sz w:val="16"/>
              </w:rPr>
              <w:t xml:space="preserve"> </w:t>
            </w:r>
            <w:r>
              <w:rPr>
                <w:b/>
                <w:sz w:val="16"/>
              </w:rPr>
              <w:t>financial</w:t>
            </w:r>
            <w:r>
              <w:rPr>
                <w:b/>
                <w:spacing w:val="-4"/>
                <w:sz w:val="16"/>
              </w:rPr>
              <w:t xml:space="preserve"> </w:t>
            </w:r>
            <w:r>
              <w:rPr>
                <w:b/>
                <w:spacing w:val="-2"/>
                <w:sz w:val="16"/>
              </w:rPr>
              <w:t>performance</w:t>
            </w:r>
          </w:p>
        </w:tc>
        <w:tc>
          <w:tcPr>
            <w:tcW w:w="2520" w:type="dxa"/>
          </w:tcPr>
          <w:p w14:paraId="074F7603"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12.1</w:t>
            </w:r>
          </w:p>
        </w:tc>
        <w:tc>
          <w:tcPr>
            <w:tcW w:w="1591" w:type="dxa"/>
          </w:tcPr>
          <w:p w14:paraId="0E6F082A" w14:textId="6D6C8247" w:rsidR="004E712A" w:rsidRPr="006E554B" w:rsidRDefault="000F31CE" w:rsidP="007D372B">
            <w:pPr>
              <w:pStyle w:val="TableParagraph"/>
              <w:spacing w:before="101"/>
              <w:rPr>
                <w:sz w:val="16"/>
              </w:rPr>
            </w:pPr>
            <w:r>
              <w:rPr>
                <w:sz w:val="16"/>
              </w:rPr>
              <w:t>56</w:t>
            </w:r>
          </w:p>
        </w:tc>
      </w:tr>
      <w:tr w:rsidR="004E712A" w14:paraId="479951D2" w14:textId="77777777">
        <w:trPr>
          <w:trHeight w:val="395"/>
        </w:trPr>
        <w:tc>
          <w:tcPr>
            <w:tcW w:w="1548" w:type="dxa"/>
            <w:vMerge w:val="restart"/>
          </w:tcPr>
          <w:p w14:paraId="0BC10A7A" w14:textId="77777777" w:rsidR="004E712A" w:rsidRDefault="004E712A">
            <w:pPr>
              <w:pStyle w:val="TableParagraph"/>
              <w:spacing w:before="99"/>
              <w:ind w:left="107" w:right="112"/>
              <w:rPr>
                <w:b/>
                <w:sz w:val="16"/>
              </w:rPr>
            </w:pPr>
            <w:r>
              <w:rPr>
                <w:b/>
                <w:sz w:val="16"/>
              </w:rPr>
              <w:t>Governance – management</w:t>
            </w:r>
            <w:r>
              <w:rPr>
                <w:b/>
                <w:spacing w:val="-12"/>
                <w:sz w:val="16"/>
              </w:rPr>
              <w:t xml:space="preserve"> </w:t>
            </w:r>
            <w:r>
              <w:rPr>
                <w:b/>
                <w:sz w:val="16"/>
              </w:rPr>
              <w:t xml:space="preserve">and </w:t>
            </w:r>
            <w:r>
              <w:rPr>
                <w:b/>
                <w:spacing w:val="-2"/>
                <w:sz w:val="16"/>
              </w:rPr>
              <w:t>structure</w:t>
            </w:r>
          </w:p>
        </w:tc>
        <w:tc>
          <w:tcPr>
            <w:tcW w:w="4265" w:type="dxa"/>
          </w:tcPr>
          <w:p w14:paraId="07BBA42B" w14:textId="77777777" w:rsidR="004E712A" w:rsidRDefault="004E712A">
            <w:pPr>
              <w:pStyle w:val="TableParagraph"/>
              <w:numPr>
                <w:ilvl w:val="0"/>
                <w:numId w:val="71"/>
              </w:numPr>
              <w:tabs>
                <w:tab w:val="left" w:pos="354"/>
              </w:tabs>
              <w:ind w:left="354" w:hanging="251"/>
              <w:rPr>
                <w:b/>
                <w:sz w:val="16"/>
              </w:rPr>
            </w:pPr>
            <w:proofErr w:type="spellStart"/>
            <w:r>
              <w:rPr>
                <w:b/>
                <w:sz w:val="16"/>
              </w:rPr>
              <w:t>Organisational</w:t>
            </w:r>
            <w:proofErr w:type="spellEnd"/>
            <w:r>
              <w:rPr>
                <w:b/>
                <w:spacing w:val="-9"/>
                <w:sz w:val="16"/>
              </w:rPr>
              <w:t xml:space="preserve"> </w:t>
            </w:r>
            <w:r>
              <w:rPr>
                <w:b/>
                <w:spacing w:val="-2"/>
                <w:sz w:val="16"/>
              </w:rPr>
              <w:t>structure</w:t>
            </w:r>
          </w:p>
        </w:tc>
        <w:tc>
          <w:tcPr>
            <w:tcW w:w="2520" w:type="dxa"/>
          </w:tcPr>
          <w:p w14:paraId="4495C1CA"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13.1</w:t>
            </w:r>
          </w:p>
        </w:tc>
        <w:tc>
          <w:tcPr>
            <w:tcW w:w="1591" w:type="dxa"/>
          </w:tcPr>
          <w:p w14:paraId="403836C1" w14:textId="3F3ECF34" w:rsidR="004E712A" w:rsidRPr="006E554B" w:rsidRDefault="007D372B" w:rsidP="007D372B">
            <w:pPr>
              <w:pStyle w:val="TableParagraph"/>
              <w:spacing w:before="101"/>
              <w:rPr>
                <w:sz w:val="16"/>
              </w:rPr>
            </w:pPr>
            <w:r>
              <w:rPr>
                <w:sz w:val="16"/>
              </w:rPr>
              <w:t>31</w:t>
            </w:r>
          </w:p>
        </w:tc>
      </w:tr>
      <w:tr w:rsidR="004E712A" w14:paraId="3EF16E89" w14:textId="77777777">
        <w:trPr>
          <w:trHeight w:val="393"/>
        </w:trPr>
        <w:tc>
          <w:tcPr>
            <w:tcW w:w="1548" w:type="dxa"/>
            <w:vMerge/>
          </w:tcPr>
          <w:p w14:paraId="5FE4B89C" w14:textId="77777777" w:rsidR="004E712A" w:rsidRDefault="004E712A">
            <w:pPr>
              <w:rPr>
                <w:sz w:val="2"/>
                <w:szCs w:val="2"/>
              </w:rPr>
            </w:pPr>
          </w:p>
        </w:tc>
        <w:tc>
          <w:tcPr>
            <w:tcW w:w="4265" w:type="dxa"/>
          </w:tcPr>
          <w:p w14:paraId="648B11E9" w14:textId="77777777" w:rsidR="004E712A" w:rsidRDefault="004E712A">
            <w:pPr>
              <w:pStyle w:val="TableParagraph"/>
              <w:numPr>
                <w:ilvl w:val="0"/>
                <w:numId w:val="70"/>
              </w:numPr>
              <w:tabs>
                <w:tab w:val="left" w:pos="354"/>
              </w:tabs>
              <w:ind w:left="354" w:hanging="251"/>
              <w:rPr>
                <w:b/>
                <w:sz w:val="16"/>
              </w:rPr>
            </w:pPr>
            <w:r>
              <w:rPr>
                <w:b/>
                <w:sz w:val="16"/>
              </w:rPr>
              <w:t>Executive</w:t>
            </w:r>
            <w:r>
              <w:rPr>
                <w:b/>
                <w:spacing w:val="-7"/>
                <w:sz w:val="16"/>
              </w:rPr>
              <w:t xml:space="preserve"> </w:t>
            </w:r>
            <w:r>
              <w:rPr>
                <w:b/>
                <w:spacing w:val="-2"/>
                <w:sz w:val="16"/>
              </w:rPr>
              <w:t>management</w:t>
            </w:r>
          </w:p>
        </w:tc>
        <w:tc>
          <w:tcPr>
            <w:tcW w:w="2520" w:type="dxa"/>
          </w:tcPr>
          <w:p w14:paraId="463AFE4C"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13.2</w:t>
            </w:r>
          </w:p>
        </w:tc>
        <w:tc>
          <w:tcPr>
            <w:tcW w:w="1591" w:type="dxa"/>
          </w:tcPr>
          <w:p w14:paraId="603A7D9A" w14:textId="679FE643" w:rsidR="004E712A" w:rsidRPr="006E554B" w:rsidRDefault="007D372B" w:rsidP="007D372B">
            <w:pPr>
              <w:pStyle w:val="TableParagraph"/>
              <w:spacing w:before="101"/>
              <w:rPr>
                <w:sz w:val="16"/>
              </w:rPr>
            </w:pPr>
            <w:r>
              <w:rPr>
                <w:sz w:val="16"/>
              </w:rPr>
              <w:t>37–38</w:t>
            </w:r>
          </w:p>
        </w:tc>
      </w:tr>
      <w:tr w:rsidR="004E712A" w14:paraId="0AC3C26F" w14:textId="77777777">
        <w:trPr>
          <w:trHeight w:val="580"/>
        </w:trPr>
        <w:tc>
          <w:tcPr>
            <w:tcW w:w="1548" w:type="dxa"/>
            <w:vMerge/>
          </w:tcPr>
          <w:p w14:paraId="4F2A65B2" w14:textId="77777777" w:rsidR="004E712A" w:rsidRDefault="004E712A">
            <w:pPr>
              <w:rPr>
                <w:sz w:val="2"/>
                <w:szCs w:val="2"/>
              </w:rPr>
            </w:pPr>
          </w:p>
        </w:tc>
        <w:tc>
          <w:tcPr>
            <w:tcW w:w="4265" w:type="dxa"/>
          </w:tcPr>
          <w:p w14:paraId="288C3508" w14:textId="77777777" w:rsidR="004E712A" w:rsidRDefault="004E712A">
            <w:pPr>
              <w:pStyle w:val="TableParagraph"/>
              <w:numPr>
                <w:ilvl w:val="0"/>
                <w:numId w:val="69"/>
              </w:numPr>
              <w:tabs>
                <w:tab w:val="left" w:pos="355"/>
              </w:tabs>
              <w:ind w:right="279"/>
              <w:rPr>
                <w:b/>
                <w:sz w:val="16"/>
              </w:rPr>
            </w:pPr>
            <w:r>
              <w:rPr>
                <w:b/>
                <w:sz w:val="16"/>
              </w:rPr>
              <w:t>Government</w:t>
            </w:r>
            <w:r>
              <w:rPr>
                <w:b/>
                <w:spacing w:val="-9"/>
                <w:sz w:val="16"/>
              </w:rPr>
              <w:t xml:space="preserve"> </w:t>
            </w:r>
            <w:r>
              <w:rPr>
                <w:b/>
                <w:sz w:val="16"/>
              </w:rPr>
              <w:t>bodies</w:t>
            </w:r>
            <w:r>
              <w:rPr>
                <w:b/>
                <w:spacing w:val="-7"/>
                <w:sz w:val="16"/>
              </w:rPr>
              <w:t xml:space="preserve"> </w:t>
            </w:r>
            <w:r>
              <w:rPr>
                <w:b/>
                <w:sz w:val="16"/>
              </w:rPr>
              <w:t>(statutory</w:t>
            </w:r>
            <w:r>
              <w:rPr>
                <w:b/>
                <w:spacing w:val="-9"/>
                <w:sz w:val="16"/>
              </w:rPr>
              <w:t xml:space="preserve"> </w:t>
            </w:r>
            <w:r>
              <w:rPr>
                <w:b/>
                <w:sz w:val="16"/>
              </w:rPr>
              <w:t>bodies</w:t>
            </w:r>
            <w:r>
              <w:rPr>
                <w:b/>
                <w:spacing w:val="-7"/>
                <w:sz w:val="16"/>
              </w:rPr>
              <w:t xml:space="preserve"> </w:t>
            </w:r>
            <w:r>
              <w:rPr>
                <w:b/>
                <w:sz w:val="16"/>
              </w:rPr>
              <w:t>and</w:t>
            </w:r>
            <w:r>
              <w:rPr>
                <w:b/>
                <w:spacing w:val="-8"/>
                <w:sz w:val="16"/>
              </w:rPr>
              <w:t xml:space="preserve"> </w:t>
            </w:r>
            <w:r>
              <w:rPr>
                <w:b/>
                <w:sz w:val="16"/>
              </w:rPr>
              <w:t xml:space="preserve">other </w:t>
            </w:r>
            <w:r>
              <w:rPr>
                <w:b/>
                <w:spacing w:val="-2"/>
                <w:sz w:val="16"/>
              </w:rPr>
              <w:t>entities)</w:t>
            </w:r>
          </w:p>
        </w:tc>
        <w:tc>
          <w:tcPr>
            <w:tcW w:w="2520" w:type="dxa"/>
          </w:tcPr>
          <w:p w14:paraId="25DB45CE" w14:textId="77777777" w:rsidR="004E712A" w:rsidRDefault="004E712A">
            <w:pPr>
              <w:pStyle w:val="TableParagraph"/>
              <w:spacing w:before="104"/>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13.3</w:t>
            </w:r>
          </w:p>
        </w:tc>
        <w:tc>
          <w:tcPr>
            <w:tcW w:w="1591" w:type="dxa"/>
          </w:tcPr>
          <w:p w14:paraId="6811B7C4" w14:textId="60893A19" w:rsidR="004E712A" w:rsidRPr="006E554B" w:rsidRDefault="007D372B" w:rsidP="007D372B">
            <w:pPr>
              <w:pStyle w:val="TableParagraph"/>
              <w:spacing w:before="101"/>
              <w:rPr>
                <w:sz w:val="16"/>
              </w:rPr>
            </w:pPr>
            <w:r>
              <w:rPr>
                <w:sz w:val="16"/>
              </w:rPr>
              <w:t>35</w:t>
            </w:r>
            <w:r w:rsidR="00D15357">
              <w:rPr>
                <w:sz w:val="16"/>
              </w:rPr>
              <w:t>–36</w:t>
            </w:r>
            <w:r>
              <w:rPr>
                <w:sz w:val="16"/>
              </w:rPr>
              <w:t>, 40</w:t>
            </w:r>
          </w:p>
        </w:tc>
      </w:tr>
      <w:tr w:rsidR="004E712A" w14:paraId="587FAAF9" w14:textId="77777777">
        <w:trPr>
          <w:trHeight w:val="666"/>
        </w:trPr>
        <w:tc>
          <w:tcPr>
            <w:tcW w:w="1548" w:type="dxa"/>
            <w:vMerge/>
          </w:tcPr>
          <w:p w14:paraId="1306C2D7" w14:textId="77777777" w:rsidR="004E712A" w:rsidRDefault="004E712A">
            <w:pPr>
              <w:rPr>
                <w:sz w:val="2"/>
                <w:szCs w:val="2"/>
              </w:rPr>
            </w:pPr>
          </w:p>
        </w:tc>
        <w:tc>
          <w:tcPr>
            <w:tcW w:w="4265" w:type="dxa"/>
          </w:tcPr>
          <w:p w14:paraId="056D7386" w14:textId="77777777" w:rsidR="004E712A" w:rsidRDefault="004E712A">
            <w:pPr>
              <w:pStyle w:val="TableParagraph"/>
              <w:numPr>
                <w:ilvl w:val="0"/>
                <w:numId w:val="68"/>
              </w:numPr>
              <w:tabs>
                <w:tab w:val="left" w:pos="354"/>
              </w:tabs>
              <w:ind w:left="354" w:hanging="251"/>
              <w:rPr>
                <w:b/>
                <w:sz w:val="16"/>
              </w:rPr>
            </w:pPr>
            <w:r>
              <w:rPr>
                <w:b/>
                <w:sz w:val="16"/>
              </w:rPr>
              <w:t>Public</w:t>
            </w:r>
            <w:r>
              <w:rPr>
                <w:b/>
                <w:spacing w:val="-6"/>
                <w:sz w:val="16"/>
              </w:rPr>
              <w:t xml:space="preserve"> </w:t>
            </w:r>
            <w:r>
              <w:rPr>
                <w:b/>
                <w:sz w:val="16"/>
              </w:rPr>
              <w:t>Sector</w:t>
            </w:r>
            <w:r>
              <w:rPr>
                <w:b/>
                <w:spacing w:val="-5"/>
                <w:sz w:val="16"/>
              </w:rPr>
              <w:t xml:space="preserve"> </w:t>
            </w:r>
            <w:r>
              <w:rPr>
                <w:b/>
                <w:spacing w:val="-2"/>
                <w:sz w:val="16"/>
              </w:rPr>
              <w:t>Ethics</w:t>
            </w:r>
          </w:p>
        </w:tc>
        <w:tc>
          <w:tcPr>
            <w:tcW w:w="2520" w:type="dxa"/>
          </w:tcPr>
          <w:p w14:paraId="52F57EBF" w14:textId="77777777" w:rsidR="004E712A" w:rsidRDefault="004E712A">
            <w:pPr>
              <w:pStyle w:val="TableParagraph"/>
              <w:spacing w:before="101"/>
              <w:rPr>
                <w:i/>
                <w:sz w:val="16"/>
              </w:rPr>
            </w:pPr>
            <w:r>
              <w:rPr>
                <w:i/>
                <w:sz w:val="16"/>
              </w:rPr>
              <w:t>Public</w:t>
            </w:r>
            <w:r>
              <w:rPr>
                <w:i/>
                <w:spacing w:val="-5"/>
                <w:sz w:val="16"/>
              </w:rPr>
              <w:t xml:space="preserve"> </w:t>
            </w:r>
            <w:r>
              <w:rPr>
                <w:i/>
                <w:sz w:val="16"/>
              </w:rPr>
              <w:t>Sector</w:t>
            </w:r>
            <w:r>
              <w:rPr>
                <w:i/>
                <w:spacing w:val="-6"/>
                <w:sz w:val="16"/>
              </w:rPr>
              <w:t xml:space="preserve"> </w:t>
            </w:r>
            <w:r>
              <w:rPr>
                <w:i/>
                <w:sz w:val="16"/>
              </w:rPr>
              <w:t>Ethics</w:t>
            </w:r>
            <w:r>
              <w:rPr>
                <w:i/>
                <w:spacing w:val="-5"/>
                <w:sz w:val="16"/>
              </w:rPr>
              <w:t xml:space="preserve"> </w:t>
            </w:r>
            <w:r>
              <w:rPr>
                <w:i/>
                <w:sz w:val="16"/>
              </w:rPr>
              <w:t>Act</w:t>
            </w:r>
            <w:r>
              <w:rPr>
                <w:i/>
                <w:spacing w:val="-4"/>
                <w:sz w:val="16"/>
              </w:rPr>
              <w:t xml:space="preserve"> 1994</w:t>
            </w:r>
          </w:p>
          <w:p w14:paraId="2F0C3F87" w14:textId="77777777" w:rsidR="004E712A" w:rsidRDefault="004E712A">
            <w:pPr>
              <w:pStyle w:val="TableParagraph"/>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13.4</w:t>
            </w:r>
          </w:p>
        </w:tc>
        <w:tc>
          <w:tcPr>
            <w:tcW w:w="1591" w:type="dxa"/>
          </w:tcPr>
          <w:p w14:paraId="03EDE53B" w14:textId="76CEBEE6" w:rsidR="004E712A" w:rsidRPr="006E554B" w:rsidRDefault="00C865B0" w:rsidP="007D372B">
            <w:pPr>
              <w:pStyle w:val="TableParagraph"/>
              <w:spacing w:before="101"/>
              <w:rPr>
                <w:sz w:val="16"/>
              </w:rPr>
            </w:pPr>
            <w:r>
              <w:rPr>
                <w:sz w:val="16"/>
              </w:rPr>
              <w:t>47</w:t>
            </w:r>
          </w:p>
        </w:tc>
      </w:tr>
      <w:tr w:rsidR="004E712A" w14:paraId="3CB50F18" w14:textId="77777777">
        <w:trPr>
          <w:trHeight w:val="669"/>
        </w:trPr>
        <w:tc>
          <w:tcPr>
            <w:tcW w:w="1548" w:type="dxa"/>
            <w:vMerge/>
          </w:tcPr>
          <w:p w14:paraId="34CF088C" w14:textId="77777777" w:rsidR="004E712A" w:rsidRDefault="004E712A">
            <w:pPr>
              <w:rPr>
                <w:sz w:val="2"/>
                <w:szCs w:val="2"/>
              </w:rPr>
            </w:pPr>
          </w:p>
        </w:tc>
        <w:tc>
          <w:tcPr>
            <w:tcW w:w="4265" w:type="dxa"/>
          </w:tcPr>
          <w:p w14:paraId="0587A087" w14:textId="77777777" w:rsidR="004E712A" w:rsidRDefault="004E712A">
            <w:pPr>
              <w:pStyle w:val="TableParagraph"/>
              <w:numPr>
                <w:ilvl w:val="0"/>
                <w:numId w:val="67"/>
              </w:numPr>
              <w:tabs>
                <w:tab w:val="left" w:pos="354"/>
              </w:tabs>
              <w:ind w:left="354" w:hanging="251"/>
              <w:rPr>
                <w:b/>
                <w:sz w:val="16"/>
              </w:rPr>
            </w:pPr>
            <w:r>
              <w:rPr>
                <w:b/>
                <w:sz w:val="16"/>
              </w:rPr>
              <w:t>Human</w:t>
            </w:r>
            <w:r>
              <w:rPr>
                <w:b/>
                <w:spacing w:val="-7"/>
                <w:sz w:val="16"/>
              </w:rPr>
              <w:t xml:space="preserve"> </w:t>
            </w:r>
            <w:r>
              <w:rPr>
                <w:b/>
                <w:spacing w:val="-2"/>
                <w:sz w:val="16"/>
              </w:rPr>
              <w:t>Rights</w:t>
            </w:r>
          </w:p>
        </w:tc>
        <w:tc>
          <w:tcPr>
            <w:tcW w:w="2520" w:type="dxa"/>
          </w:tcPr>
          <w:p w14:paraId="3F262153" w14:textId="77777777" w:rsidR="004E712A" w:rsidRDefault="004E712A">
            <w:pPr>
              <w:pStyle w:val="TableParagraph"/>
              <w:spacing w:before="101"/>
              <w:rPr>
                <w:i/>
                <w:sz w:val="16"/>
              </w:rPr>
            </w:pPr>
            <w:r>
              <w:rPr>
                <w:i/>
                <w:sz w:val="16"/>
              </w:rPr>
              <w:t>Human</w:t>
            </w:r>
            <w:r>
              <w:rPr>
                <w:i/>
                <w:spacing w:val="-4"/>
                <w:sz w:val="16"/>
              </w:rPr>
              <w:t xml:space="preserve"> </w:t>
            </w:r>
            <w:r>
              <w:rPr>
                <w:i/>
                <w:sz w:val="16"/>
              </w:rPr>
              <w:t>Rights</w:t>
            </w:r>
            <w:r>
              <w:rPr>
                <w:i/>
                <w:spacing w:val="-5"/>
                <w:sz w:val="16"/>
              </w:rPr>
              <w:t xml:space="preserve"> </w:t>
            </w:r>
            <w:r>
              <w:rPr>
                <w:i/>
                <w:sz w:val="16"/>
              </w:rPr>
              <w:t>Act</w:t>
            </w:r>
            <w:r>
              <w:rPr>
                <w:i/>
                <w:spacing w:val="-3"/>
                <w:sz w:val="16"/>
              </w:rPr>
              <w:t xml:space="preserve"> </w:t>
            </w:r>
            <w:r>
              <w:rPr>
                <w:i/>
                <w:spacing w:val="-4"/>
                <w:sz w:val="16"/>
              </w:rPr>
              <w:t>2019</w:t>
            </w:r>
          </w:p>
          <w:p w14:paraId="34D95587" w14:textId="77777777" w:rsidR="004E712A" w:rsidRDefault="004E712A">
            <w:pPr>
              <w:pStyle w:val="TableParagraph"/>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13.5</w:t>
            </w:r>
          </w:p>
        </w:tc>
        <w:tc>
          <w:tcPr>
            <w:tcW w:w="1591" w:type="dxa"/>
          </w:tcPr>
          <w:p w14:paraId="10B2F6DC" w14:textId="747E66FA" w:rsidR="004E712A" w:rsidRPr="006E554B" w:rsidRDefault="00CD74EF" w:rsidP="007D372B">
            <w:pPr>
              <w:pStyle w:val="TableParagraph"/>
              <w:spacing w:before="101"/>
              <w:rPr>
                <w:sz w:val="16"/>
              </w:rPr>
            </w:pPr>
            <w:r>
              <w:rPr>
                <w:sz w:val="16"/>
              </w:rPr>
              <w:t>47</w:t>
            </w:r>
          </w:p>
        </w:tc>
      </w:tr>
      <w:tr w:rsidR="004E712A" w14:paraId="4B8C6D66" w14:textId="77777777">
        <w:trPr>
          <w:trHeight w:val="393"/>
        </w:trPr>
        <w:tc>
          <w:tcPr>
            <w:tcW w:w="1548" w:type="dxa"/>
            <w:vMerge/>
          </w:tcPr>
          <w:p w14:paraId="0910D5E7" w14:textId="77777777" w:rsidR="004E712A" w:rsidRDefault="004E712A">
            <w:pPr>
              <w:rPr>
                <w:sz w:val="2"/>
                <w:szCs w:val="2"/>
              </w:rPr>
            </w:pPr>
          </w:p>
        </w:tc>
        <w:tc>
          <w:tcPr>
            <w:tcW w:w="4265" w:type="dxa"/>
          </w:tcPr>
          <w:p w14:paraId="65EAABA6" w14:textId="77777777" w:rsidR="004E712A" w:rsidRDefault="004E712A">
            <w:pPr>
              <w:pStyle w:val="TableParagraph"/>
              <w:numPr>
                <w:ilvl w:val="0"/>
                <w:numId w:val="66"/>
              </w:numPr>
              <w:tabs>
                <w:tab w:val="left" w:pos="354"/>
              </w:tabs>
              <w:ind w:left="354" w:hanging="251"/>
              <w:rPr>
                <w:b/>
                <w:sz w:val="16"/>
              </w:rPr>
            </w:pPr>
            <w:r>
              <w:rPr>
                <w:b/>
                <w:sz w:val="16"/>
              </w:rPr>
              <w:t>Queensland</w:t>
            </w:r>
            <w:r>
              <w:rPr>
                <w:b/>
                <w:spacing w:val="-7"/>
                <w:sz w:val="16"/>
              </w:rPr>
              <w:t xml:space="preserve"> </w:t>
            </w:r>
            <w:r>
              <w:rPr>
                <w:b/>
                <w:sz w:val="16"/>
              </w:rPr>
              <w:t>public</w:t>
            </w:r>
            <w:r>
              <w:rPr>
                <w:b/>
                <w:spacing w:val="-5"/>
                <w:sz w:val="16"/>
              </w:rPr>
              <w:t xml:space="preserve"> </w:t>
            </w:r>
            <w:r>
              <w:rPr>
                <w:b/>
                <w:sz w:val="16"/>
              </w:rPr>
              <w:t>service</w:t>
            </w:r>
            <w:r>
              <w:rPr>
                <w:b/>
                <w:spacing w:val="-7"/>
                <w:sz w:val="16"/>
              </w:rPr>
              <w:t xml:space="preserve"> </w:t>
            </w:r>
            <w:r>
              <w:rPr>
                <w:b/>
                <w:spacing w:val="-2"/>
                <w:sz w:val="16"/>
              </w:rPr>
              <w:t>values</w:t>
            </w:r>
          </w:p>
        </w:tc>
        <w:tc>
          <w:tcPr>
            <w:tcW w:w="2520" w:type="dxa"/>
          </w:tcPr>
          <w:p w14:paraId="76C7EA00"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13.6</w:t>
            </w:r>
          </w:p>
        </w:tc>
        <w:tc>
          <w:tcPr>
            <w:tcW w:w="1591" w:type="dxa"/>
          </w:tcPr>
          <w:p w14:paraId="6E68F503" w14:textId="73CEDFA3" w:rsidR="004E712A" w:rsidRPr="006E554B" w:rsidRDefault="00383687" w:rsidP="007D372B">
            <w:pPr>
              <w:pStyle w:val="TableParagraph"/>
              <w:spacing w:before="101"/>
              <w:rPr>
                <w:sz w:val="16"/>
              </w:rPr>
            </w:pPr>
            <w:r>
              <w:rPr>
                <w:sz w:val="16"/>
              </w:rPr>
              <w:t>8</w:t>
            </w:r>
          </w:p>
        </w:tc>
      </w:tr>
      <w:tr w:rsidR="004E712A" w14:paraId="0BA85E4A" w14:textId="77777777">
        <w:trPr>
          <w:trHeight w:val="395"/>
        </w:trPr>
        <w:tc>
          <w:tcPr>
            <w:tcW w:w="1548" w:type="dxa"/>
            <w:vMerge w:val="restart"/>
          </w:tcPr>
          <w:p w14:paraId="654DBEE4" w14:textId="77777777" w:rsidR="004E712A" w:rsidRDefault="004E712A">
            <w:pPr>
              <w:pStyle w:val="TableParagraph"/>
              <w:spacing w:before="99"/>
              <w:ind w:left="107" w:right="115"/>
              <w:rPr>
                <w:b/>
                <w:sz w:val="16"/>
              </w:rPr>
            </w:pPr>
            <w:r>
              <w:rPr>
                <w:b/>
                <w:sz w:val="16"/>
              </w:rPr>
              <w:t>Governance – risk</w:t>
            </w:r>
            <w:r>
              <w:rPr>
                <w:b/>
                <w:spacing w:val="-12"/>
                <w:sz w:val="16"/>
              </w:rPr>
              <w:t xml:space="preserve"> </w:t>
            </w:r>
            <w:r>
              <w:rPr>
                <w:b/>
                <w:sz w:val="16"/>
              </w:rPr>
              <w:t xml:space="preserve">management </w:t>
            </w:r>
            <w:r>
              <w:rPr>
                <w:b/>
                <w:spacing w:val="-4"/>
                <w:sz w:val="16"/>
              </w:rPr>
              <w:t>and</w:t>
            </w:r>
            <w:r>
              <w:rPr>
                <w:b/>
                <w:spacing w:val="-2"/>
                <w:sz w:val="16"/>
              </w:rPr>
              <w:t xml:space="preserve"> accountability</w:t>
            </w:r>
          </w:p>
        </w:tc>
        <w:tc>
          <w:tcPr>
            <w:tcW w:w="4265" w:type="dxa"/>
          </w:tcPr>
          <w:p w14:paraId="72A10CB0" w14:textId="77777777" w:rsidR="004E712A" w:rsidRDefault="004E712A">
            <w:pPr>
              <w:pStyle w:val="TableParagraph"/>
              <w:numPr>
                <w:ilvl w:val="0"/>
                <w:numId w:val="65"/>
              </w:numPr>
              <w:tabs>
                <w:tab w:val="left" w:pos="354"/>
              </w:tabs>
              <w:ind w:left="354" w:hanging="251"/>
              <w:rPr>
                <w:b/>
                <w:sz w:val="16"/>
              </w:rPr>
            </w:pPr>
            <w:r>
              <w:rPr>
                <w:b/>
                <w:sz w:val="16"/>
              </w:rPr>
              <w:t>Risk</w:t>
            </w:r>
            <w:r>
              <w:rPr>
                <w:b/>
                <w:spacing w:val="-2"/>
                <w:sz w:val="16"/>
              </w:rPr>
              <w:t xml:space="preserve"> management</w:t>
            </w:r>
          </w:p>
        </w:tc>
        <w:tc>
          <w:tcPr>
            <w:tcW w:w="2520" w:type="dxa"/>
          </w:tcPr>
          <w:p w14:paraId="2770B04E"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14.1</w:t>
            </w:r>
          </w:p>
        </w:tc>
        <w:tc>
          <w:tcPr>
            <w:tcW w:w="1591" w:type="dxa"/>
          </w:tcPr>
          <w:p w14:paraId="29285743" w14:textId="3041748A" w:rsidR="004E712A" w:rsidRPr="006E554B" w:rsidRDefault="000A0C93" w:rsidP="007D372B">
            <w:pPr>
              <w:pStyle w:val="TableParagraph"/>
              <w:spacing w:before="101"/>
              <w:rPr>
                <w:sz w:val="16"/>
              </w:rPr>
            </w:pPr>
            <w:r>
              <w:rPr>
                <w:sz w:val="16"/>
              </w:rPr>
              <w:t>46</w:t>
            </w:r>
          </w:p>
        </w:tc>
      </w:tr>
      <w:tr w:rsidR="004E712A" w14:paraId="5DA6BEA9" w14:textId="77777777">
        <w:trPr>
          <w:trHeight w:val="395"/>
        </w:trPr>
        <w:tc>
          <w:tcPr>
            <w:tcW w:w="1548" w:type="dxa"/>
            <w:vMerge/>
          </w:tcPr>
          <w:p w14:paraId="5535F228" w14:textId="77777777" w:rsidR="004E712A" w:rsidRDefault="004E712A">
            <w:pPr>
              <w:rPr>
                <w:sz w:val="2"/>
                <w:szCs w:val="2"/>
              </w:rPr>
            </w:pPr>
          </w:p>
        </w:tc>
        <w:tc>
          <w:tcPr>
            <w:tcW w:w="4265" w:type="dxa"/>
          </w:tcPr>
          <w:p w14:paraId="1197C7FE" w14:textId="77777777" w:rsidR="004E712A" w:rsidRDefault="004E712A">
            <w:pPr>
              <w:pStyle w:val="TableParagraph"/>
              <w:numPr>
                <w:ilvl w:val="0"/>
                <w:numId w:val="64"/>
              </w:numPr>
              <w:tabs>
                <w:tab w:val="left" w:pos="354"/>
              </w:tabs>
              <w:ind w:left="354" w:hanging="251"/>
              <w:rPr>
                <w:b/>
                <w:sz w:val="16"/>
              </w:rPr>
            </w:pPr>
            <w:r>
              <w:rPr>
                <w:b/>
                <w:sz w:val="16"/>
              </w:rPr>
              <w:t xml:space="preserve">Audit </w:t>
            </w:r>
            <w:r>
              <w:rPr>
                <w:b/>
                <w:spacing w:val="-2"/>
                <w:sz w:val="16"/>
              </w:rPr>
              <w:t>committee</w:t>
            </w:r>
          </w:p>
        </w:tc>
        <w:tc>
          <w:tcPr>
            <w:tcW w:w="2520" w:type="dxa"/>
          </w:tcPr>
          <w:p w14:paraId="06E01E7D"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14.2</w:t>
            </w:r>
          </w:p>
        </w:tc>
        <w:tc>
          <w:tcPr>
            <w:tcW w:w="1591" w:type="dxa"/>
          </w:tcPr>
          <w:p w14:paraId="5EFE5243" w14:textId="0AE3F7C1" w:rsidR="004E712A" w:rsidRPr="009130F1" w:rsidRDefault="007D372B" w:rsidP="007D372B">
            <w:pPr>
              <w:pStyle w:val="TableParagraph"/>
              <w:spacing w:before="101"/>
              <w:rPr>
                <w:sz w:val="16"/>
              </w:rPr>
            </w:pPr>
            <w:r>
              <w:rPr>
                <w:sz w:val="16"/>
              </w:rPr>
              <w:t>33</w:t>
            </w:r>
          </w:p>
        </w:tc>
      </w:tr>
      <w:tr w:rsidR="004E712A" w14:paraId="41BA7D15" w14:textId="77777777">
        <w:trPr>
          <w:trHeight w:val="422"/>
        </w:trPr>
        <w:tc>
          <w:tcPr>
            <w:tcW w:w="1548" w:type="dxa"/>
            <w:vMerge/>
          </w:tcPr>
          <w:p w14:paraId="60ED4FEE" w14:textId="77777777" w:rsidR="004E712A" w:rsidRDefault="004E712A">
            <w:pPr>
              <w:rPr>
                <w:sz w:val="2"/>
                <w:szCs w:val="2"/>
              </w:rPr>
            </w:pPr>
          </w:p>
        </w:tc>
        <w:tc>
          <w:tcPr>
            <w:tcW w:w="4265" w:type="dxa"/>
          </w:tcPr>
          <w:p w14:paraId="0B2044F1" w14:textId="77777777" w:rsidR="004E712A" w:rsidRDefault="004E712A">
            <w:pPr>
              <w:pStyle w:val="TableParagraph"/>
              <w:numPr>
                <w:ilvl w:val="0"/>
                <w:numId w:val="63"/>
              </w:numPr>
              <w:tabs>
                <w:tab w:val="left" w:pos="354"/>
              </w:tabs>
              <w:ind w:left="354" w:hanging="251"/>
              <w:rPr>
                <w:b/>
                <w:sz w:val="16"/>
              </w:rPr>
            </w:pPr>
            <w:r>
              <w:rPr>
                <w:b/>
                <w:sz w:val="16"/>
              </w:rPr>
              <w:t>Internal</w:t>
            </w:r>
            <w:r>
              <w:rPr>
                <w:b/>
                <w:spacing w:val="-8"/>
                <w:sz w:val="16"/>
              </w:rPr>
              <w:t xml:space="preserve"> </w:t>
            </w:r>
            <w:r>
              <w:rPr>
                <w:b/>
                <w:spacing w:val="-2"/>
                <w:sz w:val="16"/>
              </w:rPr>
              <w:t>audit</w:t>
            </w:r>
          </w:p>
        </w:tc>
        <w:tc>
          <w:tcPr>
            <w:tcW w:w="2520" w:type="dxa"/>
          </w:tcPr>
          <w:p w14:paraId="70017F1B"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14.3</w:t>
            </w:r>
          </w:p>
        </w:tc>
        <w:tc>
          <w:tcPr>
            <w:tcW w:w="1591" w:type="dxa"/>
          </w:tcPr>
          <w:p w14:paraId="0476196F" w14:textId="5A20A560" w:rsidR="004E712A" w:rsidRPr="009130F1" w:rsidRDefault="000A0C93" w:rsidP="007D372B">
            <w:pPr>
              <w:pStyle w:val="TableParagraph"/>
              <w:spacing w:before="101"/>
              <w:rPr>
                <w:sz w:val="16"/>
              </w:rPr>
            </w:pPr>
            <w:r>
              <w:rPr>
                <w:sz w:val="16"/>
              </w:rPr>
              <w:t>46</w:t>
            </w:r>
          </w:p>
        </w:tc>
      </w:tr>
      <w:tr w:rsidR="004E712A" w14:paraId="432D25F6" w14:textId="77777777">
        <w:trPr>
          <w:trHeight w:val="421"/>
        </w:trPr>
        <w:tc>
          <w:tcPr>
            <w:tcW w:w="1548" w:type="dxa"/>
            <w:vMerge/>
          </w:tcPr>
          <w:p w14:paraId="2A5D6C97" w14:textId="77777777" w:rsidR="004E712A" w:rsidRDefault="004E712A">
            <w:pPr>
              <w:rPr>
                <w:sz w:val="2"/>
                <w:szCs w:val="2"/>
              </w:rPr>
            </w:pPr>
          </w:p>
        </w:tc>
        <w:tc>
          <w:tcPr>
            <w:tcW w:w="4265" w:type="dxa"/>
          </w:tcPr>
          <w:p w14:paraId="5D1BAE27" w14:textId="77777777" w:rsidR="004E712A" w:rsidRDefault="004E712A">
            <w:pPr>
              <w:pStyle w:val="TableParagraph"/>
              <w:numPr>
                <w:ilvl w:val="0"/>
                <w:numId w:val="62"/>
              </w:numPr>
              <w:tabs>
                <w:tab w:val="left" w:pos="354"/>
              </w:tabs>
              <w:ind w:left="354" w:hanging="251"/>
              <w:rPr>
                <w:b/>
                <w:sz w:val="16"/>
              </w:rPr>
            </w:pPr>
            <w:r>
              <w:rPr>
                <w:b/>
                <w:sz w:val="16"/>
              </w:rPr>
              <w:t>External</w:t>
            </w:r>
            <w:r>
              <w:rPr>
                <w:b/>
                <w:spacing w:val="-7"/>
                <w:sz w:val="16"/>
              </w:rPr>
              <w:t xml:space="preserve"> </w:t>
            </w:r>
            <w:r>
              <w:rPr>
                <w:b/>
                <w:spacing w:val="-2"/>
                <w:sz w:val="16"/>
              </w:rPr>
              <w:t>scrutiny</w:t>
            </w:r>
          </w:p>
        </w:tc>
        <w:tc>
          <w:tcPr>
            <w:tcW w:w="2520" w:type="dxa"/>
          </w:tcPr>
          <w:p w14:paraId="09F4EB15"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14.4</w:t>
            </w:r>
          </w:p>
        </w:tc>
        <w:tc>
          <w:tcPr>
            <w:tcW w:w="1591" w:type="dxa"/>
          </w:tcPr>
          <w:p w14:paraId="13EB4119" w14:textId="7C0501FF" w:rsidR="004E712A" w:rsidRPr="009130F1" w:rsidRDefault="00BA40B7" w:rsidP="007D372B">
            <w:pPr>
              <w:pStyle w:val="TableParagraph"/>
              <w:spacing w:before="101"/>
              <w:rPr>
                <w:sz w:val="16"/>
              </w:rPr>
            </w:pPr>
            <w:r>
              <w:rPr>
                <w:sz w:val="16"/>
              </w:rPr>
              <w:t>46–47</w:t>
            </w:r>
          </w:p>
        </w:tc>
      </w:tr>
      <w:tr w:rsidR="004E712A" w14:paraId="1722856C" w14:textId="77777777">
        <w:trPr>
          <w:trHeight w:val="421"/>
        </w:trPr>
        <w:tc>
          <w:tcPr>
            <w:tcW w:w="1548" w:type="dxa"/>
            <w:vMerge/>
          </w:tcPr>
          <w:p w14:paraId="36162BF4" w14:textId="77777777" w:rsidR="004E712A" w:rsidRDefault="004E712A">
            <w:pPr>
              <w:pStyle w:val="TableParagraph"/>
              <w:spacing w:before="0"/>
              <w:ind w:left="0"/>
              <w:rPr>
                <w:rFonts w:ascii="Times New Roman"/>
                <w:sz w:val="14"/>
              </w:rPr>
            </w:pPr>
          </w:p>
        </w:tc>
        <w:tc>
          <w:tcPr>
            <w:tcW w:w="4265" w:type="dxa"/>
          </w:tcPr>
          <w:p w14:paraId="0BA10477" w14:textId="77777777" w:rsidR="004E712A" w:rsidRDefault="004E712A">
            <w:pPr>
              <w:pStyle w:val="TableParagraph"/>
              <w:numPr>
                <w:ilvl w:val="0"/>
                <w:numId w:val="93"/>
              </w:numPr>
              <w:tabs>
                <w:tab w:val="left" w:pos="354"/>
              </w:tabs>
              <w:ind w:left="354" w:hanging="251"/>
              <w:rPr>
                <w:b/>
                <w:sz w:val="16"/>
              </w:rPr>
            </w:pPr>
            <w:r>
              <w:rPr>
                <w:b/>
                <w:sz w:val="16"/>
              </w:rPr>
              <w:t>Information</w:t>
            </w:r>
            <w:r>
              <w:rPr>
                <w:b/>
                <w:spacing w:val="-8"/>
                <w:sz w:val="16"/>
              </w:rPr>
              <w:t xml:space="preserve"> </w:t>
            </w:r>
            <w:r>
              <w:rPr>
                <w:b/>
                <w:sz w:val="16"/>
              </w:rPr>
              <w:t>systems</w:t>
            </w:r>
            <w:r>
              <w:rPr>
                <w:b/>
                <w:spacing w:val="-5"/>
                <w:sz w:val="16"/>
              </w:rPr>
              <w:t xml:space="preserve"> </w:t>
            </w:r>
            <w:r>
              <w:rPr>
                <w:b/>
                <w:sz w:val="16"/>
              </w:rPr>
              <w:t>and</w:t>
            </w:r>
            <w:r>
              <w:rPr>
                <w:b/>
                <w:spacing w:val="-4"/>
                <w:sz w:val="16"/>
              </w:rPr>
              <w:t xml:space="preserve"> </w:t>
            </w:r>
            <w:r>
              <w:rPr>
                <w:b/>
                <w:spacing w:val="-2"/>
                <w:sz w:val="16"/>
              </w:rPr>
              <w:t>recordkeeping</w:t>
            </w:r>
          </w:p>
        </w:tc>
        <w:tc>
          <w:tcPr>
            <w:tcW w:w="2520" w:type="dxa"/>
          </w:tcPr>
          <w:p w14:paraId="3B34EE05"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14.5</w:t>
            </w:r>
          </w:p>
        </w:tc>
        <w:tc>
          <w:tcPr>
            <w:tcW w:w="1591" w:type="dxa"/>
          </w:tcPr>
          <w:p w14:paraId="789C16C5" w14:textId="672A8D9E" w:rsidR="004E712A" w:rsidRPr="009130F1" w:rsidRDefault="00C400A2" w:rsidP="007D372B">
            <w:pPr>
              <w:pStyle w:val="TableParagraph"/>
              <w:spacing w:before="101"/>
              <w:rPr>
                <w:sz w:val="16"/>
              </w:rPr>
            </w:pPr>
            <w:r>
              <w:rPr>
                <w:sz w:val="16"/>
              </w:rPr>
              <w:t>48</w:t>
            </w:r>
          </w:p>
        </w:tc>
      </w:tr>
      <w:tr w:rsidR="004E712A" w14:paraId="756535B1" w14:textId="77777777">
        <w:trPr>
          <w:trHeight w:val="422"/>
        </w:trPr>
        <w:tc>
          <w:tcPr>
            <w:tcW w:w="1548" w:type="dxa"/>
            <w:vMerge/>
          </w:tcPr>
          <w:p w14:paraId="22652B78" w14:textId="77777777" w:rsidR="004E712A" w:rsidRDefault="004E712A">
            <w:pPr>
              <w:rPr>
                <w:sz w:val="2"/>
                <w:szCs w:val="2"/>
              </w:rPr>
            </w:pPr>
          </w:p>
        </w:tc>
        <w:tc>
          <w:tcPr>
            <w:tcW w:w="4265" w:type="dxa"/>
          </w:tcPr>
          <w:p w14:paraId="1E416D04" w14:textId="77777777" w:rsidR="004E712A" w:rsidRDefault="004E712A">
            <w:pPr>
              <w:pStyle w:val="TableParagraph"/>
              <w:numPr>
                <w:ilvl w:val="0"/>
                <w:numId w:val="92"/>
              </w:numPr>
              <w:tabs>
                <w:tab w:val="left" w:pos="354"/>
              </w:tabs>
              <w:ind w:left="354" w:hanging="251"/>
              <w:rPr>
                <w:b/>
                <w:sz w:val="16"/>
              </w:rPr>
            </w:pPr>
            <w:r>
              <w:rPr>
                <w:b/>
                <w:sz w:val="16"/>
              </w:rPr>
              <w:t>Information</w:t>
            </w:r>
            <w:r>
              <w:rPr>
                <w:b/>
                <w:spacing w:val="-11"/>
                <w:sz w:val="16"/>
              </w:rPr>
              <w:t xml:space="preserve"> </w:t>
            </w:r>
            <w:r>
              <w:rPr>
                <w:b/>
                <w:sz w:val="16"/>
              </w:rPr>
              <w:t>Security</w:t>
            </w:r>
            <w:r>
              <w:rPr>
                <w:b/>
                <w:spacing w:val="-6"/>
                <w:sz w:val="16"/>
              </w:rPr>
              <w:t xml:space="preserve"> </w:t>
            </w:r>
            <w:r>
              <w:rPr>
                <w:b/>
                <w:spacing w:val="-2"/>
                <w:sz w:val="16"/>
              </w:rPr>
              <w:t>attestation</w:t>
            </w:r>
          </w:p>
        </w:tc>
        <w:tc>
          <w:tcPr>
            <w:tcW w:w="2520" w:type="dxa"/>
          </w:tcPr>
          <w:p w14:paraId="4F0004CC"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14.6</w:t>
            </w:r>
          </w:p>
        </w:tc>
        <w:tc>
          <w:tcPr>
            <w:tcW w:w="1591" w:type="dxa"/>
          </w:tcPr>
          <w:p w14:paraId="4EC4F7DA" w14:textId="619B3F05" w:rsidR="004E712A" w:rsidRPr="009130F1" w:rsidRDefault="007D372B" w:rsidP="007D372B">
            <w:pPr>
              <w:pStyle w:val="TableParagraph"/>
              <w:spacing w:before="101"/>
              <w:rPr>
                <w:sz w:val="16"/>
              </w:rPr>
            </w:pPr>
            <w:r>
              <w:rPr>
                <w:sz w:val="16"/>
              </w:rPr>
              <w:t>Not applicable</w:t>
            </w:r>
          </w:p>
        </w:tc>
      </w:tr>
      <w:tr w:rsidR="004E712A" w14:paraId="2F1CC840" w14:textId="77777777">
        <w:trPr>
          <w:trHeight w:val="393"/>
        </w:trPr>
        <w:tc>
          <w:tcPr>
            <w:tcW w:w="1548" w:type="dxa"/>
            <w:vMerge w:val="restart"/>
          </w:tcPr>
          <w:p w14:paraId="46C9BCCA" w14:textId="77777777" w:rsidR="004E712A" w:rsidRDefault="004E712A">
            <w:pPr>
              <w:pStyle w:val="TableParagraph"/>
              <w:spacing w:before="99"/>
              <w:ind w:left="107" w:right="369"/>
              <w:rPr>
                <w:b/>
                <w:sz w:val="16"/>
              </w:rPr>
            </w:pPr>
            <w:r>
              <w:rPr>
                <w:b/>
                <w:sz w:val="16"/>
              </w:rPr>
              <w:t>Governance</w:t>
            </w:r>
            <w:r>
              <w:rPr>
                <w:b/>
                <w:spacing w:val="-12"/>
                <w:sz w:val="16"/>
              </w:rPr>
              <w:t xml:space="preserve"> </w:t>
            </w:r>
            <w:r>
              <w:rPr>
                <w:b/>
                <w:sz w:val="16"/>
              </w:rPr>
              <w:t xml:space="preserve">– </w:t>
            </w:r>
            <w:r>
              <w:rPr>
                <w:b/>
                <w:spacing w:val="-2"/>
                <w:sz w:val="16"/>
              </w:rPr>
              <w:lastRenderedPageBreak/>
              <w:t>human resources</w:t>
            </w:r>
          </w:p>
        </w:tc>
        <w:tc>
          <w:tcPr>
            <w:tcW w:w="4265" w:type="dxa"/>
          </w:tcPr>
          <w:p w14:paraId="445C6407" w14:textId="77777777" w:rsidR="004E712A" w:rsidRDefault="004E712A">
            <w:pPr>
              <w:pStyle w:val="TableParagraph"/>
              <w:numPr>
                <w:ilvl w:val="0"/>
                <w:numId w:val="91"/>
              </w:numPr>
              <w:tabs>
                <w:tab w:val="left" w:pos="354"/>
              </w:tabs>
              <w:ind w:left="354" w:hanging="251"/>
              <w:rPr>
                <w:b/>
                <w:sz w:val="16"/>
              </w:rPr>
            </w:pPr>
            <w:r>
              <w:rPr>
                <w:b/>
                <w:sz w:val="16"/>
              </w:rPr>
              <w:lastRenderedPageBreak/>
              <w:t>Strategic</w:t>
            </w:r>
            <w:r>
              <w:rPr>
                <w:b/>
                <w:spacing w:val="-9"/>
                <w:sz w:val="16"/>
              </w:rPr>
              <w:t xml:space="preserve"> </w:t>
            </w:r>
            <w:r>
              <w:rPr>
                <w:b/>
                <w:sz w:val="16"/>
              </w:rPr>
              <w:t>workforce</w:t>
            </w:r>
            <w:r>
              <w:rPr>
                <w:b/>
                <w:spacing w:val="-6"/>
                <w:sz w:val="16"/>
              </w:rPr>
              <w:t xml:space="preserve"> </w:t>
            </w:r>
            <w:r>
              <w:rPr>
                <w:b/>
                <w:sz w:val="16"/>
              </w:rPr>
              <w:t>planning</w:t>
            </w:r>
            <w:r>
              <w:rPr>
                <w:b/>
                <w:spacing w:val="-6"/>
                <w:sz w:val="16"/>
              </w:rPr>
              <w:t xml:space="preserve"> </w:t>
            </w:r>
            <w:r>
              <w:rPr>
                <w:b/>
                <w:sz w:val="16"/>
              </w:rPr>
              <w:t>and</w:t>
            </w:r>
            <w:r>
              <w:rPr>
                <w:b/>
                <w:spacing w:val="-5"/>
                <w:sz w:val="16"/>
              </w:rPr>
              <w:t xml:space="preserve"> </w:t>
            </w:r>
            <w:r>
              <w:rPr>
                <w:b/>
                <w:spacing w:val="-2"/>
                <w:sz w:val="16"/>
              </w:rPr>
              <w:t>performance</w:t>
            </w:r>
          </w:p>
        </w:tc>
        <w:tc>
          <w:tcPr>
            <w:tcW w:w="2520" w:type="dxa"/>
          </w:tcPr>
          <w:p w14:paraId="277647CC"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15.1</w:t>
            </w:r>
          </w:p>
        </w:tc>
        <w:tc>
          <w:tcPr>
            <w:tcW w:w="1591" w:type="dxa"/>
          </w:tcPr>
          <w:p w14:paraId="7FAD1C1F" w14:textId="6687DB82" w:rsidR="004E712A" w:rsidRPr="009130F1" w:rsidRDefault="001748B8" w:rsidP="007D372B">
            <w:pPr>
              <w:pStyle w:val="TableParagraph"/>
              <w:spacing w:before="101"/>
              <w:rPr>
                <w:sz w:val="16"/>
              </w:rPr>
            </w:pPr>
            <w:r>
              <w:rPr>
                <w:sz w:val="16"/>
              </w:rPr>
              <w:t>42–45</w:t>
            </w:r>
          </w:p>
        </w:tc>
      </w:tr>
      <w:tr w:rsidR="004E712A" w14:paraId="3A477A46" w14:textId="77777777">
        <w:trPr>
          <w:trHeight w:val="1036"/>
        </w:trPr>
        <w:tc>
          <w:tcPr>
            <w:tcW w:w="1548" w:type="dxa"/>
            <w:vMerge/>
          </w:tcPr>
          <w:p w14:paraId="7E3B03CE" w14:textId="77777777" w:rsidR="004E712A" w:rsidRDefault="004E712A">
            <w:pPr>
              <w:rPr>
                <w:sz w:val="2"/>
                <w:szCs w:val="2"/>
              </w:rPr>
            </w:pPr>
          </w:p>
        </w:tc>
        <w:tc>
          <w:tcPr>
            <w:tcW w:w="4265" w:type="dxa"/>
          </w:tcPr>
          <w:p w14:paraId="390DFDC2" w14:textId="77777777" w:rsidR="004E712A" w:rsidRDefault="004E712A">
            <w:pPr>
              <w:pStyle w:val="TableParagraph"/>
              <w:numPr>
                <w:ilvl w:val="0"/>
                <w:numId w:val="90"/>
              </w:numPr>
              <w:tabs>
                <w:tab w:val="left" w:pos="354"/>
              </w:tabs>
              <w:ind w:left="354" w:hanging="251"/>
              <w:rPr>
                <w:b/>
                <w:sz w:val="16"/>
              </w:rPr>
            </w:pPr>
            <w:r>
              <w:rPr>
                <w:b/>
                <w:sz w:val="16"/>
              </w:rPr>
              <w:t>Early</w:t>
            </w:r>
            <w:r>
              <w:rPr>
                <w:b/>
                <w:spacing w:val="-8"/>
                <w:sz w:val="16"/>
              </w:rPr>
              <w:t xml:space="preserve"> </w:t>
            </w:r>
            <w:r>
              <w:rPr>
                <w:b/>
                <w:sz w:val="16"/>
              </w:rPr>
              <w:t>retirement,</w:t>
            </w:r>
            <w:r>
              <w:rPr>
                <w:b/>
                <w:spacing w:val="-6"/>
                <w:sz w:val="16"/>
              </w:rPr>
              <w:t xml:space="preserve"> </w:t>
            </w:r>
            <w:r>
              <w:rPr>
                <w:b/>
                <w:sz w:val="16"/>
              </w:rPr>
              <w:t>redundancy</w:t>
            </w:r>
            <w:r>
              <w:rPr>
                <w:b/>
                <w:spacing w:val="-8"/>
                <w:sz w:val="16"/>
              </w:rPr>
              <w:t xml:space="preserve"> </w:t>
            </w:r>
            <w:r>
              <w:rPr>
                <w:b/>
                <w:sz w:val="16"/>
              </w:rPr>
              <w:t>and</w:t>
            </w:r>
            <w:r>
              <w:rPr>
                <w:b/>
                <w:spacing w:val="-6"/>
                <w:sz w:val="16"/>
              </w:rPr>
              <w:t xml:space="preserve"> </w:t>
            </w:r>
            <w:r>
              <w:rPr>
                <w:b/>
                <w:spacing w:val="-2"/>
                <w:sz w:val="16"/>
              </w:rPr>
              <w:t>retrenchment</w:t>
            </w:r>
          </w:p>
        </w:tc>
        <w:tc>
          <w:tcPr>
            <w:tcW w:w="2520" w:type="dxa"/>
          </w:tcPr>
          <w:p w14:paraId="68CCC222" w14:textId="77777777" w:rsidR="004E712A" w:rsidRDefault="004E712A">
            <w:pPr>
              <w:pStyle w:val="TableParagraph"/>
              <w:spacing w:before="99"/>
              <w:rPr>
                <w:i/>
                <w:sz w:val="16"/>
              </w:rPr>
            </w:pPr>
            <w:r>
              <w:rPr>
                <w:sz w:val="16"/>
              </w:rPr>
              <w:t xml:space="preserve">Directive No.04/18 </w:t>
            </w:r>
            <w:r>
              <w:rPr>
                <w:i/>
                <w:sz w:val="16"/>
              </w:rPr>
              <w:t>Early Retirement,</w:t>
            </w:r>
            <w:r>
              <w:rPr>
                <w:i/>
                <w:spacing w:val="-12"/>
                <w:sz w:val="16"/>
              </w:rPr>
              <w:t xml:space="preserve"> </w:t>
            </w:r>
            <w:r>
              <w:rPr>
                <w:i/>
                <w:sz w:val="16"/>
              </w:rPr>
              <w:t>Redundancy</w:t>
            </w:r>
            <w:r>
              <w:rPr>
                <w:i/>
                <w:spacing w:val="-11"/>
                <w:sz w:val="16"/>
              </w:rPr>
              <w:t xml:space="preserve"> </w:t>
            </w:r>
            <w:r>
              <w:rPr>
                <w:i/>
                <w:sz w:val="16"/>
              </w:rPr>
              <w:t xml:space="preserve">and </w:t>
            </w:r>
            <w:r>
              <w:rPr>
                <w:i/>
                <w:spacing w:val="-2"/>
                <w:sz w:val="16"/>
              </w:rPr>
              <w:t>Retrenchment</w:t>
            </w:r>
          </w:p>
          <w:p w14:paraId="12407735" w14:textId="77777777" w:rsidR="004E712A" w:rsidRDefault="004E712A">
            <w:pPr>
              <w:pStyle w:val="TableParagraph"/>
              <w:spacing w:before="103"/>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15.2</w:t>
            </w:r>
          </w:p>
        </w:tc>
        <w:tc>
          <w:tcPr>
            <w:tcW w:w="1591" w:type="dxa"/>
          </w:tcPr>
          <w:p w14:paraId="4E29F276" w14:textId="04FD06C3" w:rsidR="004E712A" w:rsidRPr="007573C1" w:rsidRDefault="001748B8" w:rsidP="007D372B">
            <w:pPr>
              <w:pStyle w:val="TableParagraph"/>
              <w:spacing w:before="101"/>
              <w:rPr>
                <w:sz w:val="16"/>
              </w:rPr>
            </w:pPr>
            <w:r>
              <w:rPr>
                <w:sz w:val="16"/>
              </w:rPr>
              <w:t>45</w:t>
            </w:r>
          </w:p>
        </w:tc>
      </w:tr>
      <w:tr w:rsidR="004E712A" w14:paraId="461F57FE" w14:textId="77777777">
        <w:trPr>
          <w:trHeight w:val="395"/>
        </w:trPr>
        <w:tc>
          <w:tcPr>
            <w:tcW w:w="1548" w:type="dxa"/>
            <w:vMerge w:val="restart"/>
          </w:tcPr>
          <w:p w14:paraId="632AAE5D" w14:textId="77777777" w:rsidR="004E712A" w:rsidRDefault="004E712A">
            <w:pPr>
              <w:pStyle w:val="TableParagraph"/>
              <w:spacing w:before="101"/>
              <w:ind w:left="107"/>
              <w:rPr>
                <w:b/>
                <w:sz w:val="16"/>
              </w:rPr>
            </w:pPr>
            <w:r>
              <w:rPr>
                <w:b/>
                <w:sz w:val="16"/>
              </w:rPr>
              <w:t>Open</w:t>
            </w:r>
            <w:r>
              <w:rPr>
                <w:b/>
                <w:spacing w:val="-2"/>
                <w:sz w:val="16"/>
              </w:rPr>
              <w:t xml:space="preserve"> </w:t>
            </w:r>
            <w:r>
              <w:rPr>
                <w:b/>
                <w:spacing w:val="-4"/>
                <w:sz w:val="16"/>
              </w:rPr>
              <w:t>Data</w:t>
            </w:r>
          </w:p>
        </w:tc>
        <w:tc>
          <w:tcPr>
            <w:tcW w:w="4265" w:type="dxa"/>
          </w:tcPr>
          <w:p w14:paraId="777004F1" w14:textId="77777777" w:rsidR="004E712A" w:rsidRDefault="004E712A">
            <w:pPr>
              <w:pStyle w:val="TableParagraph"/>
              <w:numPr>
                <w:ilvl w:val="0"/>
                <w:numId w:val="89"/>
              </w:numPr>
              <w:tabs>
                <w:tab w:val="left" w:pos="354"/>
              </w:tabs>
              <w:ind w:left="354" w:hanging="251"/>
              <w:rPr>
                <w:b/>
                <w:sz w:val="16"/>
              </w:rPr>
            </w:pPr>
            <w:r>
              <w:rPr>
                <w:b/>
                <w:sz w:val="16"/>
              </w:rPr>
              <w:t>Statement</w:t>
            </w:r>
            <w:r>
              <w:rPr>
                <w:b/>
                <w:spacing w:val="-7"/>
                <w:sz w:val="16"/>
              </w:rPr>
              <w:t xml:space="preserve"> </w:t>
            </w:r>
            <w:r>
              <w:rPr>
                <w:b/>
                <w:sz w:val="16"/>
              </w:rPr>
              <w:t>advising</w:t>
            </w:r>
            <w:r>
              <w:rPr>
                <w:b/>
                <w:spacing w:val="-5"/>
                <w:sz w:val="16"/>
              </w:rPr>
              <w:t xml:space="preserve"> </w:t>
            </w:r>
            <w:r>
              <w:rPr>
                <w:b/>
                <w:sz w:val="16"/>
              </w:rPr>
              <w:t>publication</w:t>
            </w:r>
            <w:r>
              <w:rPr>
                <w:b/>
                <w:spacing w:val="-8"/>
                <w:sz w:val="16"/>
              </w:rPr>
              <w:t xml:space="preserve"> </w:t>
            </w:r>
            <w:r>
              <w:rPr>
                <w:b/>
                <w:sz w:val="16"/>
              </w:rPr>
              <w:t>of</w:t>
            </w:r>
            <w:r>
              <w:rPr>
                <w:b/>
                <w:spacing w:val="-6"/>
                <w:sz w:val="16"/>
              </w:rPr>
              <w:t xml:space="preserve"> </w:t>
            </w:r>
            <w:r>
              <w:rPr>
                <w:b/>
                <w:spacing w:val="-2"/>
                <w:sz w:val="16"/>
              </w:rPr>
              <w:t>information</w:t>
            </w:r>
          </w:p>
        </w:tc>
        <w:tc>
          <w:tcPr>
            <w:tcW w:w="2520" w:type="dxa"/>
          </w:tcPr>
          <w:p w14:paraId="1F7A859E" w14:textId="77777777" w:rsidR="004E712A" w:rsidRDefault="004E712A">
            <w:pPr>
              <w:pStyle w:val="TableParagraph"/>
              <w:spacing w:before="101"/>
              <w:rPr>
                <w:sz w:val="16"/>
              </w:rPr>
            </w:pPr>
            <w:r>
              <w:rPr>
                <w:sz w:val="16"/>
              </w:rPr>
              <w:t>ARRs</w:t>
            </w:r>
            <w:r>
              <w:rPr>
                <w:spacing w:val="-2"/>
                <w:sz w:val="16"/>
              </w:rPr>
              <w:t xml:space="preserve"> </w:t>
            </w:r>
            <w:r>
              <w:rPr>
                <w:sz w:val="16"/>
              </w:rPr>
              <w:t>–</w:t>
            </w:r>
            <w:r>
              <w:rPr>
                <w:spacing w:val="-5"/>
                <w:sz w:val="16"/>
              </w:rPr>
              <w:t xml:space="preserve"> </w:t>
            </w:r>
            <w:r>
              <w:rPr>
                <w:sz w:val="16"/>
              </w:rPr>
              <w:t>section</w:t>
            </w:r>
            <w:r>
              <w:rPr>
                <w:spacing w:val="-3"/>
                <w:sz w:val="16"/>
              </w:rPr>
              <w:t xml:space="preserve"> </w:t>
            </w:r>
            <w:r>
              <w:rPr>
                <w:spacing w:val="-5"/>
                <w:sz w:val="16"/>
              </w:rPr>
              <w:t>16</w:t>
            </w:r>
          </w:p>
        </w:tc>
        <w:tc>
          <w:tcPr>
            <w:tcW w:w="1591" w:type="dxa"/>
          </w:tcPr>
          <w:p w14:paraId="3A64BFD0" w14:textId="071E49BC" w:rsidR="004E712A" w:rsidRPr="007573C1" w:rsidRDefault="007D372B" w:rsidP="007D372B">
            <w:pPr>
              <w:pStyle w:val="TableParagraph"/>
              <w:spacing w:before="101"/>
              <w:rPr>
                <w:sz w:val="16"/>
              </w:rPr>
            </w:pPr>
            <w:r>
              <w:rPr>
                <w:sz w:val="16"/>
              </w:rPr>
              <w:t>2</w:t>
            </w:r>
          </w:p>
        </w:tc>
      </w:tr>
      <w:tr w:rsidR="004E712A" w14:paraId="06A203DA" w14:textId="77777777">
        <w:trPr>
          <w:trHeight w:val="393"/>
        </w:trPr>
        <w:tc>
          <w:tcPr>
            <w:tcW w:w="1548" w:type="dxa"/>
            <w:vMerge/>
          </w:tcPr>
          <w:p w14:paraId="3B7F856A" w14:textId="77777777" w:rsidR="004E712A" w:rsidRDefault="004E712A">
            <w:pPr>
              <w:rPr>
                <w:sz w:val="2"/>
                <w:szCs w:val="2"/>
              </w:rPr>
            </w:pPr>
          </w:p>
        </w:tc>
        <w:tc>
          <w:tcPr>
            <w:tcW w:w="4265" w:type="dxa"/>
          </w:tcPr>
          <w:p w14:paraId="262DFAB1" w14:textId="77777777" w:rsidR="004E712A" w:rsidRDefault="004E712A">
            <w:pPr>
              <w:pStyle w:val="TableParagraph"/>
              <w:numPr>
                <w:ilvl w:val="0"/>
                <w:numId w:val="88"/>
              </w:numPr>
              <w:tabs>
                <w:tab w:val="left" w:pos="354"/>
              </w:tabs>
              <w:ind w:left="354" w:hanging="251"/>
              <w:rPr>
                <w:b/>
                <w:sz w:val="16"/>
              </w:rPr>
            </w:pPr>
            <w:r>
              <w:rPr>
                <w:b/>
                <w:spacing w:val="-2"/>
                <w:sz w:val="16"/>
              </w:rPr>
              <w:t>Consultancies</w:t>
            </w:r>
          </w:p>
        </w:tc>
        <w:tc>
          <w:tcPr>
            <w:tcW w:w="2520" w:type="dxa"/>
          </w:tcPr>
          <w:p w14:paraId="4CF72135"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31.1</w:t>
            </w:r>
          </w:p>
        </w:tc>
        <w:tc>
          <w:tcPr>
            <w:tcW w:w="1591" w:type="dxa"/>
          </w:tcPr>
          <w:p w14:paraId="3FC1BDFA" w14:textId="77777777" w:rsidR="004E712A" w:rsidRDefault="004E712A">
            <w:pPr>
              <w:pStyle w:val="TableParagraph"/>
              <w:spacing w:before="101"/>
              <w:ind w:left="0" w:right="1"/>
              <w:jc w:val="center"/>
              <w:rPr>
                <w:sz w:val="12"/>
              </w:rPr>
            </w:pPr>
            <w:r>
              <w:rPr>
                <w:spacing w:val="-2"/>
                <w:sz w:val="12"/>
                <w:u w:val="single"/>
              </w:rPr>
              <w:t>https://data.qld.gov.au</w:t>
            </w:r>
          </w:p>
        </w:tc>
      </w:tr>
      <w:tr w:rsidR="004E712A" w14:paraId="04D9BDD1" w14:textId="77777777">
        <w:trPr>
          <w:trHeight w:val="396"/>
        </w:trPr>
        <w:tc>
          <w:tcPr>
            <w:tcW w:w="1548" w:type="dxa"/>
            <w:vMerge/>
          </w:tcPr>
          <w:p w14:paraId="107A887B" w14:textId="77777777" w:rsidR="004E712A" w:rsidRDefault="004E712A">
            <w:pPr>
              <w:rPr>
                <w:sz w:val="2"/>
                <w:szCs w:val="2"/>
              </w:rPr>
            </w:pPr>
          </w:p>
        </w:tc>
        <w:tc>
          <w:tcPr>
            <w:tcW w:w="4265" w:type="dxa"/>
          </w:tcPr>
          <w:p w14:paraId="47D298B2" w14:textId="77777777" w:rsidR="004E712A" w:rsidRDefault="004E712A">
            <w:pPr>
              <w:pStyle w:val="TableParagraph"/>
              <w:numPr>
                <w:ilvl w:val="0"/>
                <w:numId w:val="87"/>
              </w:numPr>
              <w:tabs>
                <w:tab w:val="left" w:pos="354"/>
              </w:tabs>
              <w:spacing w:before="103"/>
              <w:ind w:left="354" w:hanging="251"/>
              <w:rPr>
                <w:b/>
                <w:sz w:val="16"/>
              </w:rPr>
            </w:pPr>
            <w:r>
              <w:rPr>
                <w:b/>
                <w:sz w:val="16"/>
              </w:rPr>
              <w:t>Overseas</w:t>
            </w:r>
            <w:r>
              <w:rPr>
                <w:b/>
                <w:spacing w:val="-7"/>
                <w:sz w:val="16"/>
              </w:rPr>
              <w:t xml:space="preserve"> </w:t>
            </w:r>
            <w:r>
              <w:rPr>
                <w:b/>
                <w:spacing w:val="-2"/>
                <w:sz w:val="16"/>
              </w:rPr>
              <w:t>travel</w:t>
            </w:r>
          </w:p>
        </w:tc>
        <w:tc>
          <w:tcPr>
            <w:tcW w:w="2520" w:type="dxa"/>
          </w:tcPr>
          <w:p w14:paraId="7538BF79" w14:textId="77777777" w:rsidR="004E712A" w:rsidRDefault="004E712A">
            <w:pPr>
              <w:pStyle w:val="TableParagraph"/>
              <w:spacing w:before="104"/>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31.2</w:t>
            </w:r>
          </w:p>
        </w:tc>
        <w:tc>
          <w:tcPr>
            <w:tcW w:w="1591" w:type="dxa"/>
          </w:tcPr>
          <w:p w14:paraId="1D168ADB" w14:textId="28485830" w:rsidR="004E712A" w:rsidRPr="00C931AE" w:rsidRDefault="00A46F51" w:rsidP="00C931AE">
            <w:pPr>
              <w:pStyle w:val="TableParagraph"/>
              <w:spacing w:before="101"/>
              <w:rPr>
                <w:sz w:val="16"/>
              </w:rPr>
            </w:pPr>
            <w:r>
              <w:rPr>
                <w:sz w:val="16"/>
              </w:rPr>
              <w:t>47</w:t>
            </w:r>
          </w:p>
        </w:tc>
      </w:tr>
      <w:tr w:rsidR="004E712A" w14:paraId="7C13A7F7" w14:textId="77777777">
        <w:trPr>
          <w:trHeight w:val="395"/>
        </w:trPr>
        <w:tc>
          <w:tcPr>
            <w:tcW w:w="1548" w:type="dxa"/>
            <w:vMerge/>
          </w:tcPr>
          <w:p w14:paraId="3053AEA1" w14:textId="77777777" w:rsidR="004E712A" w:rsidRDefault="004E712A">
            <w:pPr>
              <w:rPr>
                <w:sz w:val="2"/>
                <w:szCs w:val="2"/>
              </w:rPr>
            </w:pPr>
          </w:p>
        </w:tc>
        <w:tc>
          <w:tcPr>
            <w:tcW w:w="4265" w:type="dxa"/>
          </w:tcPr>
          <w:p w14:paraId="155F16B4" w14:textId="77777777" w:rsidR="004E712A" w:rsidRDefault="004E712A">
            <w:pPr>
              <w:pStyle w:val="TableParagraph"/>
              <w:numPr>
                <w:ilvl w:val="0"/>
                <w:numId w:val="86"/>
              </w:numPr>
              <w:tabs>
                <w:tab w:val="left" w:pos="354"/>
              </w:tabs>
              <w:ind w:left="354" w:hanging="251"/>
              <w:rPr>
                <w:b/>
                <w:sz w:val="16"/>
              </w:rPr>
            </w:pPr>
            <w:r>
              <w:rPr>
                <w:b/>
                <w:sz w:val="16"/>
              </w:rPr>
              <w:t>Queensland</w:t>
            </w:r>
            <w:r>
              <w:rPr>
                <w:b/>
                <w:spacing w:val="-8"/>
                <w:sz w:val="16"/>
              </w:rPr>
              <w:t xml:space="preserve"> </w:t>
            </w:r>
            <w:r>
              <w:rPr>
                <w:b/>
                <w:sz w:val="16"/>
              </w:rPr>
              <w:t>Language</w:t>
            </w:r>
            <w:r>
              <w:rPr>
                <w:b/>
                <w:spacing w:val="-8"/>
                <w:sz w:val="16"/>
              </w:rPr>
              <w:t xml:space="preserve"> </w:t>
            </w:r>
            <w:r>
              <w:rPr>
                <w:b/>
                <w:sz w:val="16"/>
              </w:rPr>
              <w:t>Services</w:t>
            </w:r>
            <w:r>
              <w:rPr>
                <w:b/>
                <w:spacing w:val="-8"/>
                <w:sz w:val="16"/>
              </w:rPr>
              <w:t xml:space="preserve"> </w:t>
            </w:r>
            <w:r>
              <w:rPr>
                <w:b/>
                <w:spacing w:val="-2"/>
                <w:sz w:val="16"/>
              </w:rPr>
              <w:t>Policy</w:t>
            </w:r>
          </w:p>
        </w:tc>
        <w:tc>
          <w:tcPr>
            <w:tcW w:w="2520" w:type="dxa"/>
          </w:tcPr>
          <w:p w14:paraId="7BF6C46A" w14:textId="77777777" w:rsidR="004E712A" w:rsidRDefault="004E712A">
            <w:pPr>
              <w:pStyle w:val="TableParagraph"/>
              <w:spacing w:before="101"/>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31.3</w:t>
            </w:r>
          </w:p>
        </w:tc>
        <w:tc>
          <w:tcPr>
            <w:tcW w:w="1591" w:type="dxa"/>
          </w:tcPr>
          <w:p w14:paraId="44DA0C38" w14:textId="77777777" w:rsidR="004E712A" w:rsidRDefault="004E712A">
            <w:pPr>
              <w:pStyle w:val="TableParagraph"/>
              <w:spacing w:before="101"/>
              <w:ind w:left="0" w:right="1"/>
              <w:jc w:val="center"/>
              <w:rPr>
                <w:sz w:val="12"/>
              </w:rPr>
            </w:pPr>
            <w:r>
              <w:rPr>
                <w:spacing w:val="-2"/>
                <w:sz w:val="12"/>
                <w:u w:val="single"/>
              </w:rPr>
              <w:t>https://data.qld.gov.au</w:t>
            </w:r>
          </w:p>
        </w:tc>
      </w:tr>
      <w:tr w:rsidR="004E712A" w14:paraId="2626E5C7" w14:textId="77777777">
        <w:trPr>
          <w:trHeight w:val="666"/>
        </w:trPr>
        <w:tc>
          <w:tcPr>
            <w:tcW w:w="1548" w:type="dxa"/>
            <w:vMerge/>
          </w:tcPr>
          <w:p w14:paraId="191FB6F4" w14:textId="77777777" w:rsidR="004E712A" w:rsidRDefault="004E712A">
            <w:pPr>
              <w:rPr>
                <w:sz w:val="2"/>
                <w:szCs w:val="2"/>
              </w:rPr>
            </w:pPr>
          </w:p>
        </w:tc>
        <w:tc>
          <w:tcPr>
            <w:tcW w:w="4265" w:type="dxa"/>
          </w:tcPr>
          <w:p w14:paraId="70BA6ACE" w14:textId="77777777" w:rsidR="004E712A" w:rsidRDefault="004E712A">
            <w:pPr>
              <w:pStyle w:val="TableParagraph"/>
              <w:numPr>
                <w:ilvl w:val="0"/>
                <w:numId w:val="85"/>
              </w:numPr>
              <w:tabs>
                <w:tab w:val="left" w:pos="354"/>
              </w:tabs>
              <w:ind w:left="354" w:hanging="251"/>
              <w:rPr>
                <w:b/>
                <w:sz w:val="16"/>
              </w:rPr>
            </w:pPr>
            <w:r>
              <w:rPr>
                <w:b/>
                <w:sz w:val="16"/>
              </w:rPr>
              <w:t>Charter</w:t>
            </w:r>
            <w:r>
              <w:rPr>
                <w:b/>
                <w:spacing w:val="-5"/>
                <w:sz w:val="16"/>
              </w:rPr>
              <w:t xml:space="preserve"> </w:t>
            </w:r>
            <w:r>
              <w:rPr>
                <w:b/>
                <w:sz w:val="16"/>
              </w:rPr>
              <w:t>of</w:t>
            </w:r>
            <w:r>
              <w:rPr>
                <w:b/>
                <w:spacing w:val="-4"/>
                <w:sz w:val="16"/>
              </w:rPr>
              <w:t xml:space="preserve"> </w:t>
            </w:r>
            <w:r>
              <w:rPr>
                <w:b/>
                <w:sz w:val="16"/>
              </w:rPr>
              <w:t>Victims’</w:t>
            </w:r>
            <w:r>
              <w:rPr>
                <w:b/>
                <w:spacing w:val="-5"/>
                <w:sz w:val="16"/>
              </w:rPr>
              <w:t xml:space="preserve"> </w:t>
            </w:r>
            <w:r>
              <w:rPr>
                <w:b/>
                <w:spacing w:val="-2"/>
                <w:sz w:val="16"/>
              </w:rPr>
              <w:t>Rights</w:t>
            </w:r>
          </w:p>
        </w:tc>
        <w:tc>
          <w:tcPr>
            <w:tcW w:w="2520" w:type="dxa"/>
          </w:tcPr>
          <w:p w14:paraId="3AA05B92" w14:textId="77777777" w:rsidR="004E712A" w:rsidRDefault="004E712A">
            <w:pPr>
              <w:pStyle w:val="TableParagraph"/>
              <w:spacing w:before="101"/>
              <w:rPr>
                <w:i/>
                <w:sz w:val="16"/>
              </w:rPr>
            </w:pPr>
            <w:r>
              <w:rPr>
                <w:i/>
                <w:sz w:val="16"/>
              </w:rPr>
              <w:t>VCSVRB</w:t>
            </w:r>
            <w:r>
              <w:rPr>
                <w:i/>
                <w:spacing w:val="-5"/>
                <w:sz w:val="16"/>
              </w:rPr>
              <w:t xml:space="preserve"> </w:t>
            </w:r>
            <w:r>
              <w:rPr>
                <w:i/>
                <w:sz w:val="16"/>
              </w:rPr>
              <w:t>Act</w:t>
            </w:r>
            <w:r>
              <w:rPr>
                <w:i/>
                <w:spacing w:val="-2"/>
                <w:sz w:val="16"/>
              </w:rPr>
              <w:t xml:space="preserve"> </w:t>
            </w:r>
            <w:r>
              <w:rPr>
                <w:i/>
                <w:spacing w:val="-4"/>
                <w:sz w:val="16"/>
              </w:rPr>
              <w:t>2024</w:t>
            </w:r>
          </w:p>
          <w:p w14:paraId="34E5B7E5" w14:textId="77777777" w:rsidR="004E712A" w:rsidRDefault="004E712A">
            <w:pPr>
              <w:pStyle w:val="TableParagraph"/>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31.4</w:t>
            </w:r>
          </w:p>
        </w:tc>
        <w:tc>
          <w:tcPr>
            <w:tcW w:w="1591" w:type="dxa"/>
          </w:tcPr>
          <w:p w14:paraId="6BCCAD72" w14:textId="7A6BFA48" w:rsidR="004E712A" w:rsidRPr="00C931AE" w:rsidRDefault="00A46F51" w:rsidP="00C931AE">
            <w:pPr>
              <w:pStyle w:val="TableParagraph"/>
              <w:spacing w:before="101"/>
              <w:rPr>
                <w:sz w:val="16"/>
              </w:rPr>
            </w:pPr>
            <w:r>
              <w:rPr>
                <w:sz w:val="16"/>
              </w:rPr>
              <w:t>47</w:t>
            </w:r>
          </w:p>
        </w:tc>
      </w:tr>
      <w:tr w:rsidR="004E712A" w14:paraId="74722618" w14:textId="77777777">
        <w:trPr>
          <w:trHeight w:val="952"/>
        </w:trPr>
        <w:tc>
          <w:tcPr>
            <w:tcW w:w="1548" w:type="dxa"/>
            <w:vMerge w:val="restart"/>
          </w:tcPr>
          <w:p w14:paraId="3D49C468" w14:textId="77777777" w:rsidR="004E712A" w:rsidRDefault="004E712A">
            <w:pPr>
              <w:pStyle w:val="TableParagraph"/>
              <w:spacing w:before="99" w:line="244" w:lineRule="auto"/>
              <w:ind w:left="107"/>
              <w:rPr>
                <w:b/>
                <w:sz w:val="16"/>
              </w:rPr>
            </w:pPr>
            <w:r>
              <w:rPr>
                <w:b/>
                <w:spacing w:val="-2"/>
                <w:sz w:val="16"/>
              </w:rPr>
              <w:t>Financial statements</w:t>
            </w:r>
          </w:p>
        </w:tc>
        <w:tc>
          <w:tcPr>
            <w:tcW w:w="4265" w:type="dxa"/>
          </w:tcPr>
          <w:p w14:paraId="52009DB3" w14:textId="77777777" w:rsidR="004E712A" w:rsidRDefault="004E712A">
            <w:pPr>
              <w:pStyle w:val="TableParagraph"/>
              <w:numPr>
                <w:ilvl w:val="0"/>
                <w:numId w:val="84"/>
              </w:numPr>
              <w:tabs>
                <w:tab w:val="left" w:pos="354"/>
              </w:tabs>
              <w:ind w:left="354" w:hanging="251"/>
              <w:rPr>
                <w:b/>
                <w:sz w:val="16"/>
              </w:rPr>
            </w:pPr>
            <w:r>
              <w:rPr>
                <w:b/>
                <w:sz w:val="16"/>
              </w:rPr>
              <w:t>Certification</w:t>
            </w:r>
            <w:r>
              <w:rPr>
                <w:b/>
                <w:spacing w:val="-8"/>
                <w:sz w:val="16"/>
              </w:rPr>
              <w:t xml:space="preserve"> </w:t>
            </w:r>
            <w:r>
              <w:rPr>
                <w:b/>
                <w:sz w:val="16"/>
              </w:rPr>
              <w:t>of</w:t>
            </w:r>
            <w:r>
              <w:rPr>
                <w:b/>
                <w:spacing w:val="-6"/>
                <w:sz w:val="16"/>
              </w:rPr>
              <w:t xml:space="preserve"> </w:t>
            </w:r>
            <w:r>
              <w:rPr>
                <w:b/>
                <w:sz w:val="16"/>
              </w:rPr>
              <w:t>financial</w:t>
            </w:r>
            <w:r>
              <w:rPr>
                <w:b/>
                <w:spacing w:val="-5"/>
                <w:sz w:val="16"/>
              </w:rPr>
              <w:t xml:space="preserve"> </w:t>
            </w:r>
            <w:r>
              <w:rPr>
                <w:b/>
                <w:spacing w:val="-2"/>
                <w:sz w:val="16"/>
              </w:rPr>
              <w:t>statements</w:t>
            </w:r>
          </w:p>
        </w:tc>
        <w:tc>
          <w:tcPr>
            <w:tcW w:w="2520" w:type="dxa"/>
          </w:tcPr>
          <w:p w14:paraId="7CAEC6A6" w14:textId="77777777" w:rsidR="004E712A" w:rsidRDefault="004E712A">
            <w:pPr>
              <w:pStyle w:val="TableParagraph"/>
              <w:spacing w:before="101"/>
              <w:rPr>
                <w:sz w:val="16"/>
              </w:rPr>
            </w:pPr>
            <w:r>
              <w:rPr>
                <w:sz w:val="16"/>
              </w:rPr>
              <w:t>FAA</w:t>
            </w:r>
            <w:r>
              <w:rPr>
                <w:spacing w:val="-5"/>
                <w:sz w:val="16"/>
              </w:rPr>
              <w:t xml:space="preserve"> </w:t>
            </w:r>
            <w:r>
              <w:rPr>
                <w:sz w:val="16"/>
              </w:rPr>
              <w:t>–</w:t>
            </w:r>
            <w:r>
              <w:rPr>
                <w:spacing w:val="-4"/>
                <w:sz w:val="16"/>
              </w:rPr>
              <w:t xml:space="preserve"> </w:t>
            </w:r>
            <w:r>
              <w:rPr>
                <w:sz w:val="16"/>
              </w:rPr>
              <w:t>section</w:t>
            </w:r>
            <w:r>
              <w:rPr>
                <w:spacing w:val="-1"/>
                <w:sz w:val="16"/>
              </w:rPr>
              <w:t xml:space="preserve"> </w:t>
            </w:r>
            <w:r>
              <w:rPr>
                <w:spacing w:val="-5"/>
                <w:sz w:val="16"/>
              </w:rPr>
              <w:t>62</w:t>
            </w:r>
          </w:p>
          <w:p w14:paraId="5807BA5A" w14:textId="77777777" w:rsidR="004E712A" w:rsidRDefault="004E712A">
            <w:pPr>
              <w:pStyle w:val="TableParagraph"/>
              <w:spacing w:before="21" w:line="286" w:lineRule="exact"/>
              <w:rPr>
                <w:sz w:val="16"/>
              </w:rPr>
            </w:pPr>
            <w:r>
              <w:rPr>
                <w:sz w:val="16"/>
              </w:rPr>
              <w:t>FPMS</w:t>
            </w:r>
            <w:r>
              <w:rPr>
                <w:spacing w:val="-5"/>
                <w:sz w:val="16"/>
              </w:rPr>
              <w:t xml:space="preserve"> </w:t>
            </w:r>
            <w:r>
              <w:rPr>
                <w:sz w:val="16"/>
              </w:rPr>
              <w:t>–</w:t>
            </w:r>
            <w:r>
              <w:rPr>
                <w:spacing w:val="-8"/>
                <w:sz w:val="16"/>
              </w:rPr>
              <w:t xml:space="preserve"> </w:t>
            </w:r>
            <w:r>
              <w:rPr>
                <w:sz w:val="16"/>
              </w:rPr>
              <w:t>sections</w:t>
            </w:r>
            <w:r>
              <w:rPr>
                <w:spacing w:val="-6"/>
                <w:sz w:val="16"/>
              </w:rPr>
              <w:t xml:space="preserve"> </w:t>
            </w:r>
            <w:r>
              <w:rPr>
                <w:sz w:val="16"/>
              </w:rPr>
              <w:t>38,</w:t>
            </w:r>
            <w:r>
              <w:rPr>
                <w:spacing w:val="-5"/>
                <w:sz w:val="16"/>
              </w:rPr>
              <w:t xml:space="preserve"> </w:t>
            </w:r>
            <w:r>
              <w:rPr>
                <w:sz w:val="16"/>
              </w:rPr>
              <w:t>39</w:t>
            </w:r>
            <w:r>
              <w:rPr>
                <w:spacing w:val="-8"/>
                <w:sz w:val="16"/>
              </w:rPr>
              <w:t xml:space="preserve"> </w:t>
            </w:r>
            <w:r>
              <w:rPr>
                <w:sz w:val="16"/>
              </w:rPr>
              <w:t>and</w:t>
            </w:r>
            <w:r>
              <w:rPr>
                <w:spacing w:val="-6"/>
                <w:sz w:val="16"/>
              </w:rPr>
              <w:t xml:space="preserve"> </w:t>
            </w:r>
            <w:r>
              <w:rPr>
                <w:sz w:val="16"/>
              </w:rPr>
              <w:t>46 ARRs – section 17.1</w:t>
            </w:r>
          </w:p>
        </w:tc>
        <w:tc>
          <w:tcPr>
            <w:tcW w:w="1591" w:type="dxa"/>
          </w:tcPr>
          <w:p w14:paraId="3B84E5D6" w14:textId="298EB951" w:rsidR="004E712A" w:rsidRPr="006E554B" w:rsidRDefault="00B11FA3" w:rsidP="007D372B">
            <w:pPr>
              <w:pStyle w:val="TableParagraph"/>
              <w:spacing w:before="101"/>
              <w:rPr>
                <w:sz w:val="16"/>
              </w:rPr>
            </w:pPr>
            <w:r>
              <w:rPr>
                <w:sz w:val="16"/>
              </w:rPr>
              <w:t>106</w:t>
            </w:r>
          </w:p>
        </w:tc>
      </w:tr>
      <w:tr w:rsidR="004E712A" w14:paraId="6D88EDA6" w14:textId="77777777">
        <w:trPr>
          <w:trHeight w:val="952"/>
        </w:trPr>
        <w:tc>
          <w:tcPr>
            <w:tcW w:w="1548" w:type="dxa"/>
            <w:vMerge/>
          </w:tcPr>
          <w:p w14:paraId="5A2C6160" w14:textId="77777777" w:rsidR="004E712A" w:rsidRDefault="004E712A">
            <w:pPr>
              <w:rPr>
                <w:sz w:val="2"/>
                <w:szCs w:val="2"/>
              </w:rPr>
            </w:pPr>
          </w:p>
        </w:tc>
        <w:tc>
          <w:tcPr>
            <w:tcW w:w="4265" w:type="dxa"/>
          </w:tcPr>
          <w:p w14:paraId="73A0870C" w14:textId="77777777" w:rsidR="004E712A" w:rsidRDefault="004E712A">
            <w:pPr>
              <w:pStyle w:val="TableParagraph"/>
              <w:numPr>
                <w:ilvl w:val="0"/>
                <w:numId w:val="83"/>
              </w:numPr>
              <w:tabs>
                <w:tab w:val="left" w:pos="354"/>
              </w:tabs>
              <w:ind w:left="354" w:hanging="251"/>
              <w:rPr>
                <w:b/>
                <w:sz w:val="16"/>
              </w:rPr>
            </w:pPr>
            <w:r>
              <w:rPr>
                <w:b/>
                <w:sz w:val="16"/>
              </w:rPr>
              <w:t>Independent</w:t>
            </w:r>
            <w:r>
              <w:rPr>
                <w:b/>
                <w:spacing w:val="-9"/>
                <w:sz w:val="16"/>
              </w:rPr>
              <w:t xml:space="preserve"> </w:t>
            </w:r>
            <w:r>
              <w:rPr>
                <w:b/>
                <w:sz w:val="16"/>
              </w:rPr>
              <w:t>Auditor’s</w:t>
            </w:r>
            <w:r>
              <w:rPr>
                <w:b/>
                <w:spacing w:val="-7"/>
                <w:sz w:val="16"/>
              </w:rPr>
              <w:t xml:space="preserve"> </w:t>
            </w:r>
            <w:r>
              <w:rPr>
                <w:b/>
                <w:spacing w:val="-2"/>
                <w:sz w:val="16"/>
              </w:rPr>
              <w:t>Report</w:t>
            </w:r>
          </w:p>
        </w:tc>
        <w:tc>
          <w:tcPr>
            <w:tcW w:w="2520" w:type="dxa"/>
          </w:tcPr>
          <w:p w14:paraId="7069DC21" w14:textId="77777777" w:rsidR="004E712A" w:rsidRDefault="004E712A">
            <w:pPr>
              <w:pStyle w:val="TableParagraph"/>
              <w:spacing w:before="101" w:line="369" w:lineRule="auto"/>
              <w:ind w:right="763"/>
              <w:rPr>
                <w:sz w:val="16"/>
              </w:rPr>
            </w:pPr>
            <w:r>
              <w:rPr>
                <w:sz w:val="16"/>
              </w:rPr>
              <w:t>FAA – section 62 FPMS</w:t>
            </w:r>
            <w:r>
              <w:rPr>
                <w:spacing w:val="-12"/>
                <w:sz w:val="16"/>
              </w:rPr>
              <w:t xml:space="preserve"> </w:t>
            </w:r>
            <w:r>
              <w:rPr>
                <w:sz w:val="16"/>
              </w:rPr>
              <w:t>–</w:t>
            </w:r>
            <w:r>
              <w:rPr>
                <w:spacing w:val="-11"/>
                <w:sz w:val="16"/>
              </w:rPr>
              <w:t xml:space="preserve"> </w:t>
            </w:r>
            <w:r>
              <w:rPr>
                <w:sz w:val="16"/>
              </w:rPr>
              <w:t>section</w:t>
            </w:r>
            <w:r>
              <w:rPr>
                <w:spacing w:val="-11"/>
                <w:sz w:val="16"/>
              </w:rPr>
              <w:t xml:space="preserve"> </w:t>
            </w:r>
            <w:r>
              <w:rPr>
                <w:sz w:val="16"/>
              </w:rPr>
              <w:t>46</w:t>
            </w:r>
          </w:p>
          <w:p w14:paraId="282ED919" w14:textId="77777777" w:rsidR="004E712A" w:rsidRDefault="004E712A">
            <w:pPr>
              <w:pStyle w:val="TableParagraph"/>
              <w:spacing w:before="3"/>
              <w:rPr>
                <w:sz w:val="16"/>
              </w:rPr>
            </w:pPr>
            <w:r>
              <w:rPr>
                <w:sz w:val="16"/>
              </w:rPr>
              <w:t>ARRs</w:t>
            </w:r>
            <w:r>
              <w:rPr>
                <w:spacing w:val="-4"/>
                <w:sz w:val="16"/>
              </w:rPr>
              <w:t xml:space="preserve"> </w:t>
            </w:r>
            <w:r>
              <w:rPr>
                <w:sz w:val="16"/>
              </w:rPr>
              <w:t>–</w:t>
            </w:r>
            <w:r>
              <w:rPr>
                <w:spacing w:val="-5"/>
                <w:sz w:val="16"/>
              </w:rPr>
              <w:t xml:space="preserve"> </w:t>
            </w:r>
            <w:r>
              <w:rPr>
                <w:sz w:val="16"/>
              </w:rPr>
              <w:t>section</w:t>
            </w:r>
            <w:r>
              <w:rPr>
                <w:spacing w:val="-3"/>
                <w:sz w:val="16"/>
              </w:rPr>
              <w:t xml:space="preserve"> </w:t>
            </w:r>
            <w:r>
              <w:rPr>
                <w:spacing w:val="-4"/>
                <w:sz w:val="16"/>
              </w:rPr>
              <w:t>17.2</w:t>
            </w:r>
          </w:p>
        </w:tc>
        <w:tc>
          <w:tcPr>
            <w:tcW w:w="1591" w:type="dxa"/>
          </w:tcPr>
          <w:p w14:paraId="284B5858" w14:textId="44EF09B1" w:rsidR="004E712A" w:rsidRPr="006E554B" w:rsidRDefault="00B11FA3" w:rsidP="007D372B">
            <w:pPr>
              <w:pStyle w:val="TableParagraph"/>
              <w:spacing w:before="101"/>
              <w:rPr>
                <w:sz w:val="16"/>
              </w:rPr>
            </w:pPr>
            <w:r>
              <w:rPr>
                <w:sz w:val="16"/>
              </w:rPr>
              <w:t>107</w:t>
            </w:r>
          </w:p>
        </w:tc>
      </w:tr>
    </w:tbl>
    <w:p w14:paraId="2063B654" w14:textId="77777777" w:rsidR="005537AA" w:rsidRDefault="005537AA" w:rsidP="005537AA">
      <w:pPr>
        <w:pStyle w:val="BodyText"/>
        <w:tabs>
          <w:tab w:val="left" w:pos="1854"/>
        </w:tabs>
        <w:spacing w:before="147"/>
        <w:ind w:left="140"/>
      </w:pPr>
      <w:r>
        <w:rPr>
          <w:i w:val="0"/>
          <w:spacing w:val="-5"/>
        </w:rPr>
        <w:t>FAA</w:t>
      </w:r>
      <w:r>
        <w:rPr>
          <w:i w:val="0"/>
        </w:rPr>
        <w:tab/>
      </w:r>
      <w:r>
        <w:t>Financial</w:t>
      </w:r>
      <w:r>
        <w:rPr>
          <w:spacing w:val="-10"/>
        </w:rPr>
        <w:t xml:space="preserve"> </w:t>
      </w:r>
      <w:r>
        <w:t>Accountability</w:t>
      </w:r>
      <w:r>
        <w:rPr>
          <w:spacing w:val="-8"/>
        </w:rPr>
        <w:t xml:space="preserve"> </w:t>
      </w:r>
      <w:r>
        <w:t>Act</w:t>
      </w:r>
      <w:r>
        <w:rPr>
          <w:spacing w:val="-8"/>
        </w:rPr>
        <w:t xml:space="preserve"> </w:t>
      </w:r>
      <w:r>
        <w:rPr>
          <w:spacing w:val="-4"/>
        </w:rPr>
        <w:t>2009</w:t>
      </w:r>
    </w:p>
    <w:p w14:paraId="2C566C6A" w14:textId="77777777" w:rsidR="005537AA" w:rsidRDefault="005537AA" w:rsidP="005537AA">
      <w:pPr>
        <w:pStyle w:val="BodyText"/>
        <w:tabs>
          <w:tab w:val="left" w:pos="1854"/>
        </w:tabs>
        <w:spacing w:before="121"/>
        <w:ind w:left="140"/>
      </w:pPr>
      <w:r>
        <w:rPr>
          <w:i w:val="0"/>
          <w:spacing w:val="-4"/>
        </w:rPr>
        <w:t>FPMS</w:t>
      </w:r>
      <w:r>
        <w:rPr>
          <w:i w:val="0"/>
        </w:rPr>
        <w:tab/>
      </w:r>
      <w:r>
        <w:t>Financial</w:t>
      </w:r>
      <w:r>
        <w:rPr>
          <w:spacing w:val="-9"/>
        </w:rPr>
        <w:t xml:space="preserve"> </w:t>
      </w:r>
      <w:r>
        <w:t>and</w:t>
      </w:r>
      <w:r>
        <w:rPr>
          <w:spacing w:val="-8"/>
        </w:rPr>
        <w:t xml:space="preserve"> </w:t>
      </w:r>
      <w:r>
        <w:t>Performance</w:t>
      </w:r>
      <w:r>
        <w:rPr>
          <w:spacing w:val="-10"/>
        </w:rPr>
        <w:t xml:space="preserve"> </w:t>
      </w:r>
      <w:r>
        <w:t>Management</w:t>
      </w:r>
      <w:r>
        <w:rPr>
          <w:spacing w:val="-8"/>
        </w:rPr>
        <w:t xml:space="preserve"> </w:t>
      </w:r>
      <w:r>
        <w:t>Standard</w:t>
      </w:r>
      <w:r>
        <w:rPr>
          <w:spacing w:val="-4"/>
        </w:rPr>
        <w:t xml:space="preserve"> 2019</w:t>
      </w:r>
    </w:p>
    <w:p w14:paraId="0A89E552" w14:textId="77777777" w:rsidR="005537AA" w:rsidRDefault="005537AA" w:rsidP="005537AA">
      <w:pPr>
        <w:pStyle w:val="BodyText"/>
        <w:tabs>
          <w:tab w:val="left" w:pos="1854"/>
        </w:tabs>
        <w:spacing w:before="119"/>
        <w:ind w:left="140"/>
      </w:pPr>
      <w:r>
        <w:rPr>
          <w:i w:val="0"/>
          <w:spacing w:val="-4"/>
        </w:rPr>
        <w:t>ARRs</w:t>
      </w:r>
      <w:r>
        <w:rPr>
          <w:i w:val="0"/>
        </w:rPr>
        <w:tab/>
      </w:r>
      <w:r>
        <w:t>Annual</w:t>
      </w:r>
      <w:r>
        <w:rPr>
          <w:spacing w:val="-9"/>
        </w:rPr>
        <w:t xml:space="preserve"> </w:t>
      </w:r>
      <w:r>
        <w:t>report</w:t>
      </w:r>
      <w:r>
        <w:rPr>
          <w:spacing w:val="-7"/>
        </w:rPr>
        <w:t xml:space="preserve"> </w:t>
      </w:r>
      <w:r>
        <w:t>requirements</w:t>
      </w:r>
      <w:r>
        <w:rPr>
          <w:spacing w:val="-8"/>
        </w:rPr>
        <w:t xml:space="preserve"> </w:t>
      </w:r>
      <w:r>
        <w:t>for</w:t>
      </w:r>
      <w:r>
        <w:rPr>
          <w:spacing w:val="-7"/>
        </w:rPr>
        <w:t xml:space="preserve"> </w:t>
      </w:r>
      <w:r>
        <w:t>Queensland</w:t>
      </w:r>
      <w:r>
        <w:rPr>
          <w:spacing w:val="-8"/>
        </w:rPr>
        <w:t xml:space="preserve"> </w:t>
      </w:r>
      <w:r>
        <w:t>Government</w:t>
      </w:r>
      <w:r>
        <w:rPr>
          <w:spacing w:val="-6"/>
        </w:rPr>
        <w:t xml:space="preserve"> </w:t>
      </w:r>
      <w:r>
        <w:rPr>
          <w:spacing w:val="-2"/>
        </w:rPr>
        <w:t>agencies</w:t>
      </w:r>
    </w:p>
    <w:p w14:paraId="11866F91" w14:textId="02ECF485" w:rsidR="00AE7098" w:rsidRDefault="00AE7098">
      <w:pPr>
        <w:rPr>
          <w:rFonts w:eastAsiaTheme="majorEastAsia" w:cs="Arial"/>
          <w:sz w:val="28"/>
          <w:szCs w:val="28"/>
        </w:rPr>
      </w:pPr>
      <w:r w:rsidRPr="38C43A39">
        <w:rPr>
          <w:rFonts w:cs="Arial"/>
          <w:sz w:val="28"/>
          <w:szCs w:val="28"/>
        </w:rPr>
        <w:br w:type="page"/>
      </w:r>
    </w:p>
    <w:p w14:paraId="1DD0F32F" w14:textId="4D39A271" w:rsidR="00FA4C90" w:rsidRPr="00296D4B" w:rsidRDefault="001F4C7E" w:rsidP="00296D4B">
      <w:pPr>
        <w:pStyle w:val="Heading1"/>
        <w:rPr>
          <w:color w:val="020A0A" w:themeColor="text1"/>
        </w:rPr>
      </w:pPr>
      <w:bookmarkStart w:id="313" w:name="_Toc206493035"/>
      <w:r w:rsidRPr="00B35692">
        <w:lastRenderedPageBreak/>
        <w:t xml:space="preserve">Appendix B: </w:t>
      </w:r>
      <w:r w:rsidR="00DC0465" w:rsidRPr="00B35692">
        <w:rPr>
          <w:color w:val="020A0A" w:themeColor="text1"/>
        </w:rPr>
        <w:t>Glossary</w:t>
      </w:r>
      <w:bookmarkEnd w:id="313"/>
    </w:p>
    <w:p w14:paraId="1427752E" w14:textId="77777777" w:rsidR="009138E9" w:rsidRPr="002B64E0" w:rsidRDefault="009138E9" w:rsidP="002B64E0"/>
    <w:tbl>
      <w:tblPr>
        <w:tblStyle w:val="PlainTable4"/>
        <w:tblW w:w="10485" w:type="dxa"/>
        <w:tblLook w:val="04A0" w:firstRow="1" w:lastRow="0" w:firstColumn="1" w:lastColumn="0" w:noHBand="0" w:noVBand="1"/>
      </w:tblPr>
      <w:tblGrid>
        <w:gridCol w:w="2906"/>
        <w:gridCol w:w="7579"/>
      </w:tblGrid>
      <w:tr w:rsidR="00D60F6F" w14:paraId="14722156" w14:textId="77777777" w:rsidTr="00377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2D0B0A" w14:textId="7CC255F7" w:rsidR="009F5982" w:rsidRPr="001F3BDB" w:rsidRDefault="00FA4C90">
            <w:pPr>
              <w:rPr>
                <w:rFonts w:cs="Arial"/>
                <w:b w:val="0"/>
                <w:szCs w:val="22"/>
              </w:rPr>
            </w:pPr>
            <w:r>
              <w:rPr>
                <w:rFonts w:cs="Arial"/>
                <w:szCs w:val="22"/>
              </w:rPr>
              <w:t>Term</w:t>
            </w:r>
          </w:p>
        </w:tc>
        <w:tc>
          <w:tcPr>
            <w:tcW w:w="757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0D83EF" w14:textId="4FED6977" w:rsidR="009F5982" w:rsidRPr="001F3BDB" w:rsidRDefault="008E65C2">
            <w:pPr>
              <w:cnfStyle w:val="100000000000" w:firstRow="1" w:lastRow="0" w:firstColumn="0" w:lastColumn="0" w:oddVBand="0" w:evenVBand="0" w:oddHBand="0" w:evenHBand="0" w:firstRowFirstColumn="0" w:firstRowLastColumn="0" w:lastRowFirstColumn="0" w:lastRowLastColumn="0"/>
              <w:rPr>
                <w:rFonts w:cs="Arial"/>
                <w:szCs w:val="22"/>
              </w:rPr>
            </w:pPr>
            <w:r>
              <w:rPr>
                <w:rFonts w:cs="Arial"/>
                <w:szCs w:val="22"/>
              </w:rPr>
              <w:t>Definition</w:t>
            </w:r>
          </w:p>
        </w:tc>
      </w:tr>
      <w:tr w:rsidR="007971A4" w14:paraId="1E49988E"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top w:val="single" w:sz="4" w:space="0" w:color="auto"/>
              <w:left w:val="single" w:sz="4" w:space="0" w:color="auto"/>
              <w:right w:val="single" w:sz="4" w:space="0" w:color="auto"/>
            </w:tcBorders>
            <w:vAlign w:val="center"/>
          </w:tcPr>
          <w:p w14:paraId="79759D75" w14:textId="70C17791" w:rsidR="00164636" w:rsidRPr="001F3BDB" w:rsidRDefault="00F81571" w:rsidP="00164636">
            <w:pPr>
              <w:rPr>
                <w:rFonts w:cs="Arial"/>
                <w:b w:val="0"/>
                <w:szCs w:val="22"/>
              </w:rPr>
            </w:pPr>
            <w:r>
              <w:rPr>
                <w:rFonts w:cs="Arial"/>
                <w:b w:val="0"/>
                <w:bCs w:val="0"/>
                <w:szCs w:val="22"/>
              </w:rPr>
              <w:t>Adjudication</w:t>
            </w:r>
          </w:p>
        </w:tc>
        <w:tc>
          <w:tcPr>
            <w:tcW w:w="7579" w:type="dxa"/>
            <w:tcBorders>
              <w:top w:val="single" w:sz="4" w:space="0" w:color="auto"/>
              <w:left w:val="single" w:sz="4" w:space="0" w:color="auto"/>
              <w:right w:val="single" w:sz="4" w:space="0" w:color="auto"/>
            </w:tcBorders>
            <w:vAlign w:val="center"/>
          </w:tcPr>
          <w:p w14:paraId="30267AB4" w14:textId="6FA26612" w:rsidR="00164636" w:rsidRPr="001F3BDB" w:rsidRDefault="00E21C8E" w:rsidP="00164636">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A process where </w:t>
            </w:r>
            <w:r w:rsidR="00CB3444">
              <w:rPr>
                <w:rFonts w:cs="Arial"/>
                <w:szCs w:val="22"/>
              </w:rPr>
              <w:t xml:space="preserve">an independent expert reviews a payment dispute and </w:t>
            </w:r>
            <w:proofErr w:type="gramStart"/>
            <w:r w:rsidR="00CB3444">
              <w:rPr>
                <w:rFonts w:cs="Arial"/>
                <w:szCs w:val="22"/>
              </w:rPr>
              <w:t>makes a decision</w:t>
            </w:r>
            <w:proofErr w:type="gramEnd"/>
            <w:r w:rsidR="00CB3444">
              <w:rPr>
                <w:rFonts w:cs="Arial"/>
                <w:szCs w:val="22"/>
              </w:rPr>
              <w:t xml:space="preserve"> to resolve it without going to court</w:t>
            </w:r>
          </w:p>
        </w:tc>
      </w:tr>
      <w:tr w:rsidR="00D60F6F" w14:paraId="0B20E382" w14:textId="77777777" w:rsidTr="00377E43">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086E4DE4" w14:textId="434C3485" w:rsidR="00164636" w:rsidRPr="001F3BDB" w:rsidRDefault="00F81571" w:rsidP="00164636">
            <w:pPr>
              <w:rPr>
                <w:rFonts w:cs="Arial"/>
                <w:b w:val="0"/>
                <w:szCs w:val="22"/>
              </w:rPr>
            </w:pPr>
            <w:r>
              <w:rPr>
                <w:rFonts w:cs="Arial"/>
                <w:b w:val="0"/>
                <w:bCs w:val="0"/>
                <w:szCs w:val="22"/>
              </w:rPr>
              <w:t>Application</w:t>
            </w:r>
          </w:p>
        </w:tc>
        <w:tc>
          <w:tcPr>
            <w:tcW w:w="7579" w:type="dxa"/>
            <w:tcBorders>
              <w:left w:val="single" w:sz="4" w:space="0" w:color="auto"/>
              <w:right w:val="single" w:sz="4" w:space="0" w:color="auto"/>
            </w:tcBorders>
            <w:vAlign w:val="center"/>
          </w:tcPr>
          <w:p w14:paraId="0AAED030" w14:textId="4432ABD6" w:rsidR="00164636" w:rsidRPr="001F3BDB" w:rsidRDefault="00BB2A78" w:rsidP="00164636">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A formal request submitted for approval, a licence or another </w:t>
            </w:r>
            <w:r w:rsidR="006D5A38">
              <w:rPr>
                <w:rFonts w:cs="Arial"/>
                <w:szCs w:val="22"/>
              </w:rPr>
              <w:t>service</w:t>
            </w:r>
          </w:p>
        </w:tc>
      </w:tr>
      <w:tr w:rsidR="007971A4" w14:paraId="2340C099"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07C49D04" w14:textId="5D879DB1" w:rsidR="00164636" w:rsidRPr="003C41E7" w:rsidRDefault="00F81571" w:rsidP="00164636">
            <w:pPr>
              <w:rPr>
                <w:rFonts w:cs="Arial"/>
                <w:b w:val="0"/>
                <w:szCs w:val="22"/>
              </w:rPr>
            </w:pPr>
            <w:r>
              <w:rPr>
                <w:rFonts w:cs="Arial"/>
                <w:b w:val="0"/>
                <w:bCs w:val="0"/>
                <w:szCs w:val="22"/>
              </w:rPr>
              <w:t>Audit</w:t>
            </w:r>
          </w:p>
        </w:tc>
        <w:tc>
          <w:tcPr>
            <w:tcW w:w="7579" w:type="dxa"/>
            <w:tcBorders>
              <w:left w:val="single" w:sz="4" w:space="0" w:color="auto"/>
              <w:right w:val="single" w:sz="4" w:space="0" w:color="auto"/>
            </w:tcBorders>
            <w:vAlign w:val="center"/>
          </w:tcPr>
          <w:p w14:paraId="1CC84B11" w14:textId="66F70EC6" w:rsidR="00164636" w:rsidRPr="003C41E7" w:rsidRDefault="00BD7FC7" w:rsidP="00164636">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A check or review of </w:t>
            </w:r>
            <w:r w:rsidR="00E41EDD">
              <w:rPr>
                <w:rFonts w:cs="Arial"/>
                <w:szCs w:val="22"/>
              </w:rPr>
              <w:t>documents or activities</w:t>
            </w:r>
            <w:r w:rsidR="00BC0E7A">
              <w:rPr>
                <w:rFonts w:cs="Arial"/>
                <w:szCs w:val="22"/>
              </w:rPr>
              <w:t xml:space="preserve"> </w:t>
            </w:r>
            <w:r w:rsidR="00A9380F">
              <w:rPr>
                <w:rFonts w:cs="Arial"/>
                <w:szCs w:val="22"/>
              </w:rPr>
              <w:t xml:space="preserve">to ensure </w:t>
            </w:r>
            <w:r w:rsidR="00BC0E7A">
              <w:rPr>
                <w:rFonts w:cs="Arial"/>
                <w:szCs w:val="22"/>
              </w:rPr>
              <w:t xml:space="preserve">they meet the required </w:t>
            </w:r>
            <w:r w:rsidR="007C6D93">
              <w:rPr>
                <w:rFonts w:cs="Arial"/>
                <w:szCs w:val="22"/>
              </w:rPr>
              <w:t xml:space="preserve">industry </w:t>
            </w:r>
            <w:r w:rsidR="00BC0E7A">
              <w:rPr>
                <w:rFonts w:cs="Arial"/>
                <w:szCs w:val="22"/>
              </w:rPr>
              <w:t>standards and rules</w:t>
            </w:r>
          </w:p>
        </w:tc>
      </w:tr>
      <w:tr w:rsidR="009F521E" w14:paraId="31EC6777" w14:textId="77777777" w:rsidTr="00377E43">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7D83416A" w14:textId="5575C10B" w:rsidR="009F521E" w:rsidRDefault="009F521E" w:rsidP="00F81571">
            <w:pPr>
              <w:rPr>
                <w:rFonts w:cs="Arial"/>
                <w:b w:val="0"/>
                <w:bCs w:val="0"/>
                <w:szCs w:val="22"/>
              </w:rPr>
            </w:pPr>
            <w:r>
              <w:rPr>
                <w:rFonts w:cs="Arial"/>
                <w:b w:val="0"/>
                <w:bCs w:val="0"/>
                <w:szCs w:val="22"/>
              </w:rPr>
              <w:t>Building</w:t>
            </w:r>
          </w:p>
        </w:tc>
        <w:tc>
          <w:tcPr>
            <w:tcW w:w="7579" w:type="dxa"/>
            <w:tcBorders>
              <w:left w:val="single" w:sz="4" w:space="0" w:color="auto"/>
              <w:right w:val="single" w:sz="4" w:space="0" w:color="auto"/>
            </w:tcBorders>
            <w:vAlign w:val="center"/>
          </w:tcPr>
          <w:p w14:paraId="2F718AF3" w14:textId="7E2E06BC" w:rsidR="009F521E" w:rsidRDefault="00D355CB"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A</w:t>
            </w:r>
            <w:r w:rsidR="00465E61" w:rsidRPr="00465E61">
              <w:rPr>
                <w:rFonts w:cs="Arial"/>
                <w:szCs w:val="22"/>
              </w:rPr>
              <w:t xml:space="preserve"> physical structure, such as a house or an apartment, </w:t>
            </w:r>
            <w:r w:rsidR="004E548A">
              <w:rPr>
                <w:rFonts w:cs="Arial"/>
                <w:szCs w:val="22"/>
              </w:rPr>
              <w:t xml:space="preserve">and can also </w:t>
            </w:r>
            <w:r w:rsidR="00810292">
              <w:rPr>
                <w:rFonts w:cs="Arial"/>
                <w:szCs w:val="22"/>
              </w:rPr>
              <w:t>describe</w:t>
            </w:r>
            <w:r w:rsidR="00654F12">
              <w:rPr>
                <w:rFonts w:cs="Arial"/>
                <w:szCs w:val="22"/>
              </w:rPr>
              <w:t xml:space="preserve"> t</w:t>
            </w:r>
            <w:r w:rsidR="004E548A" w:rsidRPr="004E548A">
              <w:rPr>
                <w:rFonts w:cs="Arial"/>
                <w:szCs w:val="22"/>
              </w:rPr>
              <w:t>he process of creating or assembling components to form a complete product</w:t>
            </w:r>
            <w:r w:rsidR="00E352EB">
              <w:rPr>
                <w:rFonts w:cs="Arial"/>
                <w:szCs w:val="22"/>
              </w:rPr>
              <w:t xml:space="preserve"> or</w:t>
            </w:r>
            <w:r w:rsidR="004E548A" w:rsidRPr="004E548A">
              <w:rPr>
                <w:rFonts w:cs="Arial"/>
                <w:szCs w:val="22"/>
              </w:rPr>
              <w:t xml:space="preserve"> system</w:t>
            </w:r>
          </w:p>
        </w:tc>
      </w:tr>
      <w:tr w:rsidR="007971A4" w14:paraId="1D6DE476"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0357FDC6" w14:textId="0B74E3E5" w:rsidR="0074282A" w:rsidRDefault="0074282A" w:rsidP="00F81571">
            <w:pPr>
              <w:rPr>
                <w:rFonts w:cs="Arial"/>
                <w:b w:val="0"/>
                <w:bCs w:val="0"/>
                <w:szCs w:val="22"/>
              </w:rPr>
            </w:pPr>
            <w:r>
              <w:rPr>
                <w:rFonts w:cs="Arial"/>
                <w:b w:val="0"/>
                <w:bCs w:val="0"/>
                <w:szCs w:val="22"/>
              </w:rPr>
              <w:t>Certifier</w:t>
            </w:r>
          </w:p>
        </w:tc>
        <w:tc>
          <w:tcPr>
            <w:tcW w:w="7579" w:type="dxa"/>
            <w:tcBorders>
              <w:left w:val="single" w:sz="4" w:space="0" w:color="auto"/>
              <w:right w:val="single" w:sz="4" w:space="0" w:color="auto"/>
            </w:tcBorders>
            <w:vAlign w:val="center"/>
          </w:tcPr>
          <w:p w14:paraId="61AF4EC6" w14:textId="46C563DD" w:rsidR="0074282A" w:rsidRDefault="00FB6F38" w:rsidP="00F81571">
            <w:pPr>
              <w:cnfStyle w:val="000000100000" w:firstRow="0" w:lastRow="0" w:firstColumn="0" w:lastColumn="0" w:oddVBand="0" w:evenVBand="0" w:oddHBand="1" w:evenHBand="0" w:firstRowFirstColumn="0" w:firstRowLastColumn="0" w:lastRowFirstColumn="0" w:lastRowLastColumn="0"/>
              <w:rPr>
                <w:rFonts w:cs="Arial"/>
                <w:szCs w:val="22"/>
              </w:rPr>
            </w:pPr>
            <w:r w:rsidRPr="00FB6F38">
              <w:rPr>
                <w:rFonts w:cs="Arial"/>
                <w:szCs w:val="22"/>
              </w:rPr>
              <w:t>A qualified professional</w:t>
            </w:r>
            <w:r>
              <w:rPr>
                <w:rFonts w:cs="Arial"/>
                <w:szCs w:val="22"/>
              </w:rPr>
              <w:t xml:space="preserve"> </w:t>
            </w:r>
            <w:r w:rsidR="00D355CB">
              <w:rPr>
                <w:rFonts w:cs="Arial"/>
                <w:szCs w:val="22"/>
              </w:rPr>
              <w:t xml:space="preserve">who </w:t>
            </w:r>
            <w:r w:rsidR="001D775C">
              <w:rPr>
                <w:rFonts w:cs="Arial"/>
                <w:szCs w:val="22"/>
              </w:rPr>
              <w:t xml:space="preserve">is appointed </w:t>
            </w:r>
            <w:r>
              <w:rPr>
                <w:rFonts w:cs="Arial"/>
                <w:szCs w:val="22"/>
              </w:rPr>
              <w:t xml:space="preserve">to </w:t>
            </w:r>
            <w:r w:rsidR="00857E86">
              <w:rPr>
                <w:rFonts w:cs="Arial"/>
                <w:szCs w:val="22"/>
              </w:rPr>
              <w:t>asses</w:t>
            </w:r>
            <w:r w:rsidR="00EF6DC2">
              <w:rPr>
                <w:rFonts w:cs="Arial"/>
                <w:szCs w:val="22"/>
              </w:rPr>
              <w:t>s</w:t>
            </w:r>
            <w:r w:rsidR="00857E86">
              <w:rPr>
                <w:rFonts w:cs="Arial"/>
                <w:szCs w:val="22"/>
              </w:rPr>
              <w:t xml:space="preserve"> </w:t>
            </w:r>
            <w:r w:rsidR="00202091">
              <w:rPr>
                <w:rFonts w:cs="Arial"/>
                <w:szCs w:val="22"/>
              </w:rPr>
              <w:t>if a building</w:t>
            </w:r>
            <w:r w:rsidR="00655F95">
              <w:rPr>
                <w:rFonts w:cs="Arial"/>
                <w:szCs w:val="22"/>
              </w:rPr>
              <w:t>, amenity</w:t>
            </w:r>
            <w:r w:rsidR="00202091">
              <w:rPr>
                <w:rFonts w:cs="Arial"/>
                <w:szCs w:val="22"/>
              </w:rPr>
              <w:t xml:space="preserve"> or a</w:t>
            </w:r>
            <w:r w:rsidR="00662E83">
              <w:rPr>
                <w:rFonts w:cs="Arial"/>
                <w:szCs w:val="22"/>
              </w:rPr>
              <w:t xml:space="preserve"> </w:t>
            </w:r>
            <w:r w:rsidR="00202091">
              <w:rPr>
                <w:rFonts w:cs="Arial"/>
                <w:szCs w:val="22"/>
              </w:rPr>
              <w:t xml:space="preserve">product </w:t>
            </w:r>
            <w:r w:rsidR="000E2117">
              <w:rPr>
                <w:rFonts w:cs="Arial"/>
                <w:szCs w:val="22"/>
              </w:rPr>
              <w:t>complies with the</w:t>
            </w:r>
            <w:r w:rsidR="001D775C">
              <w:rPr>
                <w:rFonts w:cs="Arial"/>
                <w:szCs w:val="22"/>
              </w:rPr>
              <w:t xml:space="preserve"> industry standard</w:t>
            </w:r>
            <w:r>
              <w:rPr>
                <w:rFonts w:cs="Arial"/>
                <w:szCs w:val="22"/>
              </w:rPr>
              <w:t xml:space="preserve"> </w:t>
            </w:r>
            <w:r w:rsidR="00EF6DC2">
              <w:rPr>
                <w:rFonts w:cs="Arial"/>
                <w:szCs w:val="22"/>
              </w:rPr>
              <w:t>for approval</w:t>
            </w:r>
          </w:p>
        </w:tc>
      </w:tr>
      <w:tr w:rsidR="00755441" w14:paraId="3A34700D" w14:textId="77777777" w:rsidTr="00377E43">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5DB4576C" w14:textId="06366B63" w:rsidR="00164636" w:rsidRPr="001F3BDB" w:rsidRDefault="00F81571" w:rsidP="00164636">
            <w:pPr>
              <w:rPr>
                <w:rFonts w:cs="Arial"/>
                <w:b w:val="0"/>
                <w:szCs w:val="22"/>
              </w:rPr>
            </w:pPr>
            <w:r>
              <w:rPr>
                <w:rFonts w:cs="Arial"/>
                <w:b w:val="0"/>
                <w:bCs w:val="0"/>
                <w:szCs w:val="22"/>
              </w:rPr>
              <w:t>Complaints</w:t>
            </w:r>
          </w:p>
        </w:tc>
        <w:tc>
          <w:tcPr>
            <w:tcW w:w="7579" w:type="dxa"/>
            <w:tcBorders>
              <w:left w:val="single" w:sz="4" w:space="0" w:color="auto"/>
              <w:right w:val="single" w:sz="4" w:space="0" w:color="auto"/>
            </w:tcBorders>
            <w:vAlign w:val="center"/>
          </w:tcPr>
          <w:p w14:paraId="6A8AB3A8" w14:textId="1D950202" w:rsidR="00164636" w:rsidRPr="003C41E7" w:rsidRDefault="00193E64" w:rsidP="00164636">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Expression </w:t>
            </w:r>
            <w:r w:rsidR="00EF58CB">
              <w:rPr>
                <w:rFonts w:cs="Arial"/>
                <w:szCs w:val="22"/>
              </w:rPr>
              <w:t xml:space="preserve">or allegations of </w:t>
            </w:r>
            <w:r w:rsidR="00A35D0B">
              <w:rPr>
                <w:rFonts w:cs="Arial"/>
                <w:szCs w:val="22"/>
              </w:rPr>
              <w:t xml:space="preserve">building </w:t>
            </w:r>
            <w:r w:rsidR="00E663FE">
              <w:rPr>
                <w:rFonts w:cs="Arial"/>
                <w:szCs w:val="22"/>
              </w:rPr>
              <w:t xml:space="preserve">work or service </w:t>
            </w:r>
            <w:r w:rsidR="00EF58CB">
              <w:rPr>
                <w:rFonts w:cs="Arial"/>
                <w:szCs w:val="22"/>
              </w:rPr>
              <w:t xml:space="preserve">dissatisfaction made by </w:t>
            </w:r>
            <w:r w:rsidR="008A3FF1">
              <w:rPr>
                <w:rFonts w:cs="Arial"/>
                <w:szCs w:val="22"/>
              </w:rPr>
              <w:t>an</w:t>
            </w:r>
            <w:r w:rsidR="00EF58CB">
              <w:rPr>
                <w:rFonts w:cs="Arial"/>
                <w:szCs w:val="22"/>
              </w:rPr>
              <w:t xml:space="preserve"> </w:t>
            </w:r>
            <w:r w:rsidR="0025226A">
              <w:rPr>
                <w:rFonts w:cs="Arial"/>
                <w:szCs w:val="22"/>
              </w:rPr>
              <w:t>individual</w:t>
            </w:r>
            <w:r w:rsidR="00EF58CB">
              <w:rPr>
                <w:rFonts w:cs="Arial"/>
                <w:szCs w:val="22"/>
              </w:rPr>
              <w:t xml:space="preserve"> or group</w:t>
            </w:r>
            <w:r w:rsidR="00C722C2">
              <w:rPr>
                <w:rFonts w:cs="Arial"/>
                <w:szCs w:val="22"/>
              </w:rPr>
              <w:t>,</w:t>
            </w:r>
            <w:r w:rsidR="00EF58CB">
              <w:rPr>
                <w:rFonts w:cs="Arial"/>
                <w:szCs w:val="22"/>
              </w:rPr>
              <w:t xml:space="preserve"> </w:t>
            </w:r>
            <w:r w:rsidR="00321740">
              <w:rPr>
                <w:rFonts w:cs="Arial"/>
                <w:szCs w:val="22"/>
              </w:rPr>
              <w:t>often seeking investigation or remedy</w:t>
            </w:r>
          </w:p>
        </w:tc>
      </w:tr>
      <w:tr w:rsidR="007971A4" w14:paraId="0FBD8BE4"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6B7D7B1A" w14:textId="70C2613F" w:rsidR="00164636" w:rsidRPr="003C41E7" w:rsidRDefault="00F81571" w:rsidP="00164636">
            <w:pPr>
              <w:rPr>
                <w:rFonts w:cs="Arial"/>
                <w:b w:val="0"/>
                <w:szCs w:val="22"/>
              </w:rPr>
            </w:pPr>
            <w:r>
              <w:rPr>
                <w:rFonts w:cs="Arial"/>
                <w:b w:val="0"/>
                <w:bCs w:val="0"/>
                <w:szCs w:val="22"/>
              </w:rPr>
              <w:t>Compliance</w:t>
            </w:r>
          </w:p>
        </w:tc>
        <w:tc>
          <w:tcPr>
            <w:tcW w:w="7579" w:type="dxa"/>
            <w:tcBorders>
              <w:left w:val="single" w:sz="4" w:space="0" w:color="auto"/>
              <w:right w:val="single" w:sz="4" w:space="0" w:color="auto"/>
            </w:tcBorders>
            <w:vAlign w:val="center"/>
          </w:tcPr>
          <w:p w14:paraId="47E887C3" w14:textId="787ACFB4" w:rsidR="00164636" w:rsidRPr="003C41E7" w:rsidRDefault="007956B8" w:rsidP="00164636">
            <w:pPr>
              <w:cnfStyle w:val="000000100000" w:firstRow="0" w:lastRow="0" w:firstColumn="0" w:lastColumn="0" w:oddVBand="0" w:evenVBand="0" w:oddHBand="1" w:evenHBand="0" w:firstRowFirstColumn="0" w:firstRowLastColumn="0" w:lastRowFirstColumn="0" w:lastRowLastColumn="0"/>
              <w:rPr>
                <w:rFonts w:cs="Arial"/>
                <w:szCs w:val="22"/>
              </w:rPr>
            </w:pPr>
            <w:r w:rsidRPr="007956B8">
              <w:rPr>
                <w:rFonts w:cs="Arial"/>
                <w:szCs w:val="22"/>
              </w:rPr>
              <w:t>Following the laws, rules and standards set</w:t>
            </w:r>
            <w:r>
              <w:rPr>
                <w:rFonts w:cs="Arial"/>
                <w:szCs w:val="22"/>
              </w:rPr>
              <w:t xml:space="preserve"> for building work, licences and industry conduct</w:t>
            </w:r>
          </w:p>
        </w:tc>
      </w:tr>
      <w:tr w:rsidR="004117B2" w14:paraId="259AC951" w14:textId="77777777" w:rsidTr="00377E43">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49BA4BC5" w14:textId="571443DD" w:rsidR="004117B2" w:rsidRDefault="004117B2" w:rsidP="00164636">
            <w:pPr>
              <w:rPr>
                <w:rFonts w:cs="Arial"/>
                <w:b w:val="0"/>
                <w:bCs w:val="0"/>
                <w:szCs w:val="22"/>
              </w:rPr>
            </w:pPr>
            <w:r>
              <w:rPr>
                <w:rFonts w:cs="Arial"/>
                <w:b w:val="0"/>
                <w:bCs w:val="0"/>
                <w:szCs w:val="22"/>
              </w:rPr>
              <w:t>Conciliation</w:t>
            </w:r>
          </w:p>
        </w:tc>
        <w:tc>
          <w:tcPr>
            <w:tcW w:w="7579" w:type="dxa"/>
            <w:tcBorders>
              <w:left w:val="single" w:sz="4" w:space="0" w:color="auto"/>
              <w:right w:val="single" w:sz="4" w:space="0" w:color="auto"/>
            </w:tcBorders>
            <w:vAlign w:val="center"/>
          </w:tcPr>
          <w:p w14:paraId="0AF9A0CF" w14:textId="1A7F2973" w:rsidR="004117B2" w:rsidRPr="007956B8" w:rsidRDefault="004637C7" w:rsidP="00164636">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A</w:t>
            </w:r>
            <w:r w:rsidR="009B7598">
              <w:rPr>
                <w:rFonts w:cs="Arial"/>
                <w:szCs w:val="22"/>
              </w:rPr>
              <w:t>n informal dispute process where a neutral individual</w:t>
            </w:r>
            <w:r w:rsidR="00057FFE">
              <w:rPr>
                <w:rFonts w:cs="Arial"/>
                <w:szCs w:val="22"/>
              </w:rPr>
              <w:t xml:space="preserve"> assists parties in </w:t>
            </w:r>
            <w:r w:rsidR="00795D4F">
              <w:rPr>
                <w:rFonts w:cs="Arial"/>
                <w:szCs w:val="22"/>
              </w:rPr>
              <w:t>discussing</w:t>
            </w:r>
            <w:r w:rsidR="00795D4F" w:rsidRPr="00795D4F">
              <w:rPr>
                <w:rFonts w:cs="Arial"/>
                <w:szCs w:val="22"/>
              </w:rPr>
              <w:t xml:space="preserve"> their issues and explor</w:t>
            </w:r>
            <w:r w:rsidR="0018502C">
              <w:rPr>
                <w:rFonts w:cs="Arial"/>
                <w:szCs w:val="22"/>
              </w:rPr>
              <w:t>es</w:t>
            </w:r>
            <w:r w:rsidR="00795D4F" w:rsidRPr="00795D4F">
              <w:rPr>
                <w:rFonts w:cs="Arial"/>
                <w:szCs w:val="22"/>
              </w:rPr>
              <w:t xml:space="preserve"> options for resolving building or contractual disputes</w:t>
            </w:r>
          </w:p>
        </w:tc>
      </w:tr>
      <w:tr w:rsidR="007971A4" w14:paraId="5E7669DD"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7808060C" w14:textId="6C199523" w:rsidR="00164636" w:rsidRPr="003C41E7" w:rsidRDefault="00F81571" w:rsidP="00164636">
            <w:pPr>
              <w:rPr>
                <w:rFonts w:cs="Arial"/>
                <w:b w:val="0"/>
                <w:szCs w:val="22"/>
              </w:rPr>
            </w:pPr>
            <w:r>
              <w:rPr>
                <w:rFonts w:cs="Arial"/>
                <w:b w:val="0"/>
                <w:bCs w:val="0"/>
                <w:szCs w:val="22"/>
              </w:rPr>
              <w:t>Construction</w:t>
            </w:r>
          </w:p>
        </w:tc>
        <w:tc>
          <w:tcPr>
            <w:tcW w:w="7579" w:type="dxa"/>
            <w:tcBorders>
              <w:left w:val="single" w:sz="4" w:space="0" w:color="auto"/>
              <w:right w:val="single" w:sz="4" w:space="0" w:color="auto"/>
            </w:tcBorders>
            <w:vAlign w:val="center"/>
          </w:tcPr>
          <w:p w14:paraId="66DCF3AB" w14:textId="1B65DA66" w:rsidR="00164636" w:rsidRPr="003C41E7" w:rsidRDefault="001664B6" w:rsidP="00164636">
            <w:pPr>
              <w:cnfStyle w:val="000000100000" w:firstRow="0" w:lastRow="0" w:firstColumn="0" w:lastColumn="0" w:oddVBand="0" w:evenVBand="0" w:oddHBand="1" w:evenHBand="0" w:firstRowFirstColumn="0" w:firstRowLastColumn="0" w:lastRowFirstColumn="0" w:lastRowLastColumn="0"/>
              <w:rPr>
                <w:rFonts w:cs="Arial"/>
                <w:szCs w:val="22"/>
              </w:rPr>
            </w:pPr>
            <w:r w:rsidRPr="001664B6">
              <w:rPr>
                <w:rFonts w:cs="Arial"/>
                <w:szCs w:val="22"/>
              </w:rPr>
              <w:t xml:space="preserve">The process of </w:t>
            </w:r>
            <w:r w:rsidR="00A84124">
              <w:rPr>
                <w:rFonts w:cs="Arial"/>
                <w:szCs w:val="22"/>
              </w:rPr>
              <w:t>assembling</w:t>
            </w:r>
            <w:r w:rsidRPr="001664B6">
              <w:rPr>
                <w:rFonts w:cs="Arial"/>
                <w:szCs w:val="22"/>
              </w:rPr>
              <w:t xml:space="preserve">, </w:t>
            </w:r>
            <w:r w:rsidR="005201BF">
              <w:rPr>
                <w:rFonts w:cs="Arial"/>
                <w:szCs w:val="22"/>
              </w:rPr>
              <w:t>modifying</w:t>
            </w:r>
            <w:r w:rsidRPr="001664B6">
              <w:rPr>
                <w:rFonts w:cs="Arial"/>
                <w:szCs w:val="22"/>
              </w:rPr>
              <w:t>, repairing or demolishing structures</w:t>
            </w:r>
            <w:r w:rsidR="0076734F">
              <w:rPr>
                <w:rFonts w:cs="Arial"/>
                <w:szCs w:val="22"/>
              </w:rPr>
              <w:t xml:space="preserve">, </w:t>
            </w:r>
            <w:r w:rsidR="005201BF">
              <w:rPr>
                <w:rFonts w:cs="Arial"/>
                <w:szCs w:val="22"/>
              </w:rPr>
              <w:t xml:space="preserve">encompassing all stages </w:t>
            </w:r>
            <w:r w:rsidR="00E345D5" w:rsidRPr="00E345D5">
              <w:rPr>
                <w:rFonts w:cs="Arial"/>
                <w:szCs w:val="22"/>
              </w:rPr>
              <w:t xml:space="preserve">from site preparation through to </w:t>
            </w:r>
            <w:r w:rsidR="00145FC9">
              <w:rPr>
                <w:rFonts w:cs="Arial"/>
                <w:szCs w:val="22"/>
              </w:rPr>
              <w:t>project</w:t>
            </w:r>
            <w:r w:rsidR="00E345D5" w:rsidRPr="00E345D5">
              <w:rPr>
                <w:rFonts w:cs="Arial"/>
                <w:szCs w:val="22"/>
              </w:rPr>
              <w:t xml:space="preserve"> completion</w:t>
            </w:r>
          </w:p>
        </w:tc>
      </w:tr>
      <w:tr w:rsidR="00D60F6F" w14:paraId="1259970D" w14:textId="77777777" w:rsidTr="00377E43">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3CBDB501" w14:textId="2C7B453F" w:rsidR="00164636" w:rsidRPr="003C41E7" w:rsidRDefault="00F81571" w:rsidP="00164636">
            <w:pPr>
              <w:rPr>
                <w:rFonts w:cs="Arial"/>
                <w:b w:val="0"/>
                <w:szCs w:val="22"/>
              </w:rPr>
            </w:pPr>
            <w:r>
              <w:rPr>
                <w:rFonts w:cs="Arial"/>
                <w:b w:val="0"/>
                <w:bCs w:val="0"/>
                <w:szCs w:val="22"/>
              </w:rPr>
              <w:t>Contractor</w:t>
            </w:r>
          </w:p>
        </w:tc>
        <w:tc>
          <w:tcPr>
            <w:tcW w:w="7579" w:type="dxa"/>
            <w:tcBorders>
              <w:left w:val="single" w:sz="4" w:space="0" w:color="auto"/>
              <w:right w:val="single" w:sz="4" w:space="0" w:color="auto"/>
            </w:tcBorders>
            <w:vAlign w:val="center"/>
          </w:tcPr>
          <w:p w14:paraId="54D5C672" w14:textId="2D7848AF" w:rsidR="00164636" w:rsidRPr="003C41E7" w:rsidRDefault="00297FBE" w:rsidP="00164636">
            <w:pPr>
              <w:cnfStyle w:val="000000000000" w:firstRow="0" w:lastRow="0" w:firstColumn="0" w:lastColumn="0" w:oddVBand="0" w:evenVBand="0" w:oddHBand="0" w:evenHBand="0" w:firstRowFirstColumn="0" w:firstRowLastColumn="0" w:lastRowFirstColumn="0" w:lastRowLastColumn="0"/>
              <w:rPr>
                <w:rFonts w:cs="Arial"/>
                <w:szCs w:val="22"/>
              </w:rPr>
            </w:pPr>
            <w:r w:rsidRPr="00297FBE">
              <w:rPr>
                <w:rFonts w:cs="Arial"/>
                <w:szCs w:val="22"/>
              </w:rPr>
              <w:t>A</w:t>
            </w:r>
            <w:r w:rsidR="00A073ED">
              <w:rPr>
                <w:rFonts w:cs="Arial"/>
                <w:szCs w:val="22"/>
              </w:rPr>
              <w:t>n</w:t>
            </w:r>
            <w:r w:rsidR="00A23C7F">
              <w:rPr>
                <w:rFonts w:cs="Arial"/>
                <w:szCs w:val="22"/>
              </w:rPr>
              <w:t xml:space="preserve"> </w:t>
            </w:r>
            <w:r w:rsidR="0025226A">
              <w:rPr>
                <w:rFonts w:cs="Arial"/>
                <w:szCs w:val="22"/>
              </w:rPr>
              <w:t>individual</w:t>
            </w:r>
            <w:r w:rsidR="00A23C7F">
              <w:rPr>
                <w:rFonts w:cs="Arial"/>
                <w:szCs w:val="22"/>
              </w:rPr>
              <w:t xml:space="preserve"> or company </w:t>
            </w:r>
            <w:r w:rsidRPr="00297FBE">
              <w:rPr>
                <w:rFonts w:cs="Arial"/>
                <w:szCs w:val="22"/>
              </w:rPr>
              <w:t>engaged under</w:t>
            </w:r>
            <w:r w:rsidR="00A23C7F">
              <w:rPr>
                <w:rFonts w:cs="Arial"/>
                <w:szCs w:val="22"/>
              </w:rPr>
              <w:t xml:space="preserve"> a contract to </w:t>
            </w:r>
            <w:r w:rsidRPr="00297FBE">
              <w:rPr>
                <w:rFonts w:cs="Arial"/>
                <w:szCs w:val="22"/>
              </w:rPr>
              <w:t>carry out</w:t>
            </w:r>
            <w:r w:rsidR="00082F93">
              <w:rPr>
                <w:rFonts w:cs="Arial"/>
                <w:szCs w:val="22"/>
              </w:rPr>
              <w:t xml:space="preserve"> </w:t>
            </w:r>
            <w:r w:rsidR="00FC261C" w:rsidRPr="00FC261C">
              <w:rPr>
                <w:rFonts w:cs="Arial"/>
                <w:szCs w:val="22"/>
              </w:rPr>
              <w:t xml:space="preserve">building work or provide </w:t>
            </w:r>
            <w:r w:rsidR="00622C8A">
              <w:rPr>
                <w:rFonts w:cs="Arial"/>
                <w:szCs w:val="22"/>
              </w:rPr>
              <w:t>industry</w:t>
            </w:r>
            <w:r w:rsidR="00020669">
              <w:rPr>
                <w:rFonts w:cs="Arial"/>
                <w:szCs w:val="22"/>
              </w:rPr>
              <w:t>-</w:t>
            </w:r>
            <w:r w:rsidR="00FC261C" w:rsidRPr="00FC261C">
              <w:rPr>
                <w:rFonts w:cs="Arial"/>
                <w:szCs w:val="22"/>
              </w:rPr>
              <w:t>related services</w:t>
            </w:r>
          </w:p>
        </w:tc>
      </w:tr>
      <w:tr w:rsidR="007971A4" w14:paraId="71A5A599"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4C58DB4A" w14:textId="21E560AE" w:rsidR="00356297" w:rsidRDefault="00356297" w:rsidP="00F81571">
            <w:pPr>
              <w:rPr>
                <w:rFonts w:cs="Arial"/>
                <w:b w:val="0"/>
                <w:bCs w:val="0"/>
                <w:szCs w:val="22"/>
              </w:rPr>
            </w:pPr>
            <w:r>
              <w:rPr>
                <w:rFonts w:cs="Arial"/>
                <w:b w:val="0"/>
                <w:bCs w:val="0"/>
                <w:szCs w:val="22"/>
              </w:rPr>
              <w:t>Culture</w:t>
            </w:r>
          </w:p>
        </w:tc>
        <w:tc>
          <w:tcPr>
            <w:tcW w:w="7579" w:type="dxa"/>
            <w:tcBorders>
              <w:left w:val="single" w:sz="4" w:space="0" w:color="auto"/>
              <w:right w:val="single" w:sz="4" w:space="0" w:color="auto"/>
            </w:tcBorders>
            <w:vAlign w:val="center"/>
          </w:tcPr>
          <w:p w14:paraId="07E18485" w14:textId="7A891BF1" w:rsidR="00356297" w:rsidRPr="00297FBE" w:rsidRDefault="00A8498C"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The shared values, behaviours, attitudes and practices in </w:t>
            </w:r>
            <w:r w:rsidR="00357AC1">
              <w:rPr>
                <w:rFonts w:cs="Arial"/>
                <w:szCs w:val="22"/>
              </w:rPr>
              <w:t>an</w:t>
            </w:r>
            <w:r>
              <w:rPr>
                <w:rFonts w:cs="Arial"/>
                <w:szCs w:val="22"/>
              </w:rPr>
              <w:t xml:space="preserve"> </w:t>
            </w:r>
            <w:r w:rsidR="00357AC1">
              <w:rPr>
                <w:rFonts w:cs="Arial"/>
                <w:szCs w:val="22"/>
              </w:rPr>
              <w:t xml:space="preserve">industry </w:t>
            </w:r>
            <w:r w:rsidR="00F87A08">
              <w:rPr>
                <w:rFonts w:cs="Arial"/>
                <w:szCs w:val="22"/>
              </w:rPr>
              <w:t xml:space="preserve">or organisation </w:t>
            </w:r>
            <w:r w:rsidRPr="00A8498C">
              <w:rPr>
                <w:rFonts w:cs="Arial"/>
                <w:szCs w:val="22"/>
              </w:rPr>
              <w:t>that shape how people work, interact and deliver services</w:t>
            </w:r>
          </w:p>
        </w:tc>
      </w:tr>
      <w:tr w:rsidR="00755441" w14:paraId="1B8A7459" w14:textId="77777777" w:rsidTr="00377E43">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195DB123" w14:textId="101C3A29" w:rsidR="00164636" w:rsidRPr="003C41E7" w:rsidRDefault="00F81571" w:rsidP="00164636">
            <w:pPr>
              <w:rPr>
                <w:rFonts w:cs="Arial"/>
                <w:b w:val="0"/>
                <w:szCs w:val="22"/>
              </w:rPr>
            </w:pPr>
            <w:r>
              <w:rPr>
                <w:rFonts w:cs="Arial"/>
                <w:b w:val="0"/>
                <w:bCs w:val="0"/>
                <w:szCs w:val="22"/>
              </w:rPr>
              <w:t>Customer</w:t>
            </w:r>
          </w:p>
        </w:tc>
        <w:tc>
          <w:tcPr>
            <w:tcW w:w="7579" w:type="dxa"/>
            <w:tcBorders>
              <w:left w:val="single" w:sz="4" w:space="0" w:color="auto"/>
              <w:right w:val="single" w:sz="4" w:space="0" w:color="auto"/>
            </w:tcBorders>
            <w:vAlign w:val="center"/>
          </w:tcPr>
          <w:p w14:paraId="3A615B4A" w14:textId="7901D97E" w:rsidR="00164636" w:rsidRPr="003C41E7" w:rsidRDefault="00102441" w:rsidP="00164636">
            <w:pPr>
              <w:cnfStyle w:val="000000000000" w:firstRow="0" w:lastRow="0" w:firstColumn="0" w:lastColumn="0" w:oddVBand="0" w:evenVBand="0" w:oddHBand="0" w:evenHBand="0" w:firstRowFirstColumn="0" w:firstRowLastColumn="0" w:lastRowFirstColumn="0" w:lastRowLastColumn="0"/>
              <w:rPr>
                <w:rFonts w:cs="Arial"/>
                <w:szCs w:val="22"/>
              </w:rPr>
            </w:pPr>
            <w:r w:rsidRPr="00102441">
              <w:rPr>
                <w:rFonts w:cs="Arial"/>
                <w:szCs w:val="22"/>
              </w:rPr>
              <w:t>Individuals or entities engaged in the building industry, including building contractors</w:t>
            </w:r>
            <w:r w:rsidR="007E762E">
              <w:rPr>
                <w:rFonts w:cs="Arial"/>
                <w:szCs w:val="22"/>
              </w:rPr>
              <w:t xml:space="preserve"> and </w:t>
            </w:r>
            <w:r w:rsidRPr="00102441">
              <w:rPr>
                <w:rFonts w:cs="Arial"/>
                <w:szCs w:val="22"/>
              </w:rPr>
              <w:t>consumers</w:t>
            </w:r>
          </w:p>
        </w:tc>
      </w:tr>
      <w:tr w:rsidR="007971A4" w14:paraId="0EA661D9"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43F64497" w14:textId="25EFFA2F" w:rsidR="00164636" w:rsidRPr="00D86494" w:rsidRDefault="00F81571" w:rsidP="00164636">
            <w:pPr>
              <w:rPr>
                <w:rFonts w:cs="Arial"/>
                <w:b w:val="0"/>
                <w:szCs w:val="22"/>
              </w:rPr>
            </w:pPr>
            <w:r>
              <w:rPr>
                <w:rFonts w:cs="Arial"/>
                <w:b w:val="0"/>
                <w:bCs w:val="0"/>
                <w:szCs w:val="22"/>
              </w:rPr>
              <w:t>Decision</w:t>
            </w:r>
          </w:p>
        </w:tc>
        <w:tc>
          <w:tcPr>
            <w:tcW w:w="7579" w:type="dxa"/>
            <w:tcBorders>
              <w:left w:val="single" w:sz="4" w:space="0" w:color="auto"/>
              <w:right w:val="single" w:sz="4" w:space="0" w:color="auto"/>
            </w:tcBorders>
            <w:vAlign w:val="center"/>
          </w:tcPr>
          <w:p w14:paraId="59B22028" w14:textId="5701BB2C" w:rsidR="00164636" w:rsidRPr="00D86494" w:rsidRDefault="00BC4D2F" w:rsidP="00164636">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An official ruling or outcome by an appointed authority about a complaint, dispute or application</w:t>
            </w:r>
          </w:p>
        </w:tc>
      </w:tr>
      <w:tr w:rsidR="005E266B" w14:paraId="7FA4A95F" w14:textId="77777777" w:rsidTr="00377E43">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054D23B0" w14:textId="7CBAF04F" w:rsidR="005E266B" w:rsidRDefault="005E266B" w:rsidP="00F81571">
            <w:pPr>
              <w:rPr>
                <w:rFonts w:cs="Arial"/>
                <w:b w:val="0"/>
                <w:bCs w:val="0"/>
                <w:szCs w:val="22"/>
              </w:rPr>
            </w:pPr>
            <w:r>
              <w:rPr>
                <w:rFonts w:cs="Arial"/>
                <w:b w:val="0"/>
                <w:bCs w:val="0"/>
                <w:szCs w:val="22"/>
              </w:rPr>
              <w:t>Demerits</w:t>
            </w:r>
          </w:p>
        </w:tc>
        <w:tc>
          <w:tcPr>
            <w:tcW w:w="7579" w:type="dxa"/>
            <w:tcBorders>
              <w:left w:val="single" w:sz="4" w:space="0" w:color="auto"/>
              <w:right w:val="single" w:sz="4" w:space="0" w:color="auto"/>
            </w:tcBorders>
            <w:vAlign w:val="center"/>
          </w:tcPr>
          <w:p w14:paraId="7B5ED1D4" w14:textId="78765F52" w:rsidR="005E266B" w:rsidRDefault="00063DBB"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w:t>
            </w:r>
            <w:r w:rsidRPr="00063DBB">
              <w:rPr>
                <w:rFonts w:cs="Arial"/>
                <w:szCs w:val="22"/>
              </w:rPr>
              <w:t>enalty points assigned to a licensee for breaches of building legislation, licence conditions or regulatory requirements</w:t>
            </w:r>
          </w:p>
        </w:tc>
      </w:tr>
      <w:tr w:rsidR="007971A4" w14:paraId="21172731"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2C78475E" w14:textId="4ABBF21B" w:rsidR="00F5322B" w:rsidRDefault="00F5322B" w:rsidP="00F81571">
            <w:pPr>
              <w:rPr>
                <w:rFonts w:cs="Arial"/>
                <w:b w:val="0"/>
                <w:bCs w:val="0"/>
                <w:szCs w:val="22"/>
              </w:rPr>
            </w:pPr>
            <w:r>
              <w:rPr>
                <w:rFonts w:cs="Arial"/>
                <w:b w:val="0"/>
                <w:bCs w:val="0"/>
                <w:szCs w:val="22"/>
              </w:rPr>
              <w:t>Digital systems</w:t>
            </w:r>
          </w:p>
        </w:tc>
        <w:tc>
          <w:tcPr>
            <w:tcW w:w="7579" w:type="dxa"/>
            <w:tcBorders>
              <w:left w:val="single" w:sz="4" w:space="0" w:color="auto"/>
              <w:right w:val="single" w:sz="4" w:space="0" w:color="auto"/>
            </w:tcBorders>
            <w:vAlign w:val="center"/>
          </w:tcPr>
          <w:p w14:paraId="1D56AC27" w14:textId="7033D2E8" w:rsidR="00F5322B" w:rsidRDefault="006A4805"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Electronic tools, platforms or software</w:t>
            </w:r>
            <w:r w:rsidR="00AB697C">
              <w:rPr>
                <w:rFonts w:cs="Arial"/>
                <w:szCs w:val="22"/>
              </w:rPr>
              <w:t xml:space="preserve"> used to manage information, deliver services </w:t>
            </w:r>
            <w:r w:rsidR="009D7546">
              <w:rPr>
                <w:rFonts w:cs="Arial"/>
                <w:szCs w:val="22"/>
              </w:rPr>
              <w:t>and/</w:t>
            </w:r>
            <w:r w:rsidR="00AB697C">
              <w:rPr>
                <w:rFonts w:cs="Arial"/>
                <w:szCs w:val="22"/>
              </w:rPr>
              <w:t>or improve processes</w:t>
            </w:r>
          </w:p>
        </w:tc>
      </w:tr>
      <w:tr w:rsidR="00755441" w14:paraId="426DDD5C" w14:textId="77777777" w:rsidTr="00377E43">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08EA99AB" w14:textId="025D94E6" w:rsidR="00164636" w:rsidRPr="00D86494" w:rsidRDefault="00F81571" w:rsidP="00164636">
            <w:pPr>
              <w:rPr>
                <w:rFonts w:cs="Arial"/>
                <w:b w:val="0"/>
                <w:szCs w:val="22"/>
              </w:rPr>
            </w:pPr>
            <w:r>
              <w:rPr>
                <w:rFonts w:cs="Arial"/>
                <w:b w:val="0"/>
                <w:bCs w:val="0"/>
                <w:szCs w:val="22"/>
              </w:rPr>
              <w:t>Dispute resolution</w:t>
            </w:r>
          </w:p>
        </w:tc>
        <w:tc>
          <w:tcPr>
            <w:tcW w:w="7579" w:type="dxa"/>
            <w:tcBorders>
              <w:left w:val="single" w:sz="4" w:space="0" w:color="auto"/>
              <w:right w:val="single" w:sz="4" w:space="0" w:color="auto"/>
            </w:tcBorders>
            <w:vAlign w:val="center"/>
          </w:tcPr>
          <w:p w14:paraId="2B15E4ED" w14:textId="0F2F13E2" w:rsidR="00164636" w:rsidRPr="00D86494" w:rsidRDefault="00F235BC" w:rsidP="00164636">
            <w:pPr>
              <w:cnfStyle w:val="000000000000" w:firstRow="0" w:lastRow="0" w:firstColumn="0" w:lastColumn="0" w:oddVBand="0" w:evenVBand="0" w:oddHBand="0" w:evenHBand="0" w:firstRowFirstColumn="0" w:firstRowLastColumn="0" w:lastRowFirstColumn="0" w:lastRowLastColumn="0"/>
              <w:rPr>
                <w:rFonts w:cs="Arial"/>
                <w:szCs w:val="22"/>
              </w:rPr>
            </w:pPr>
            <w:r w:rsidRPr="00F235BC">
              <w:rPr>
                <w:rFonts w:cs="Arial"/>
                <w:szCs w:val="22"/>
              </w:rPr>
              <w:t xml:space="preserve">The process </w:t>
            </w:r>
            <w:r w:rsidR="00A01650">
              <w:rPr>
                <w:rFonts w:cs="Arial"/>
                <w:szCs w:val="22"/>
              </w:rPr>
              <w:t>of helping individuals or organisations in the building industry settle disagreements or conflicts</w:t>
            </w:r>
            <w:r w:rsidR="00F95AEC">
              <w:rPr>
                <w:rFonts w:cs="Arial"/>
                <w:szCs w:val="22"/>
              </w:rPr>
              <w:t>, without needing to go to court</w:t>
            </w:r>
          </w:p>
        </w:tc>
      </w:tr>
      <w:tr w:rsidR="007971A4" w14:paraId="70D7A737"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16945EA6" w14:textId="322E3F16" w:rsidR="00D4447D" w:rsidRDefault="00D4447D" w:rsidP="00F81571">
            <w:pPr>
              <w:rPr>
                <w:rFonts w:cs="Arial"/>
                <w:b w:val="0"/>
                <w:bCs w:val="0"/>
                <w:szCs w:val="22"/>
              </w:rPr>
            </w:pPr>
            <w:r>
              <w:rPr>
                <w:rFonts w:cs="Arial"/>
                <w:b w:val="0"/>
                <w:bCs w:val="0"/>
                <w:szCs w:val="22"/>
              </w:rPr>
              <w:t>Diversity and inclusion</w:t>
            </w:r>
          </w:p>
        </w:tc>
        <w:tc>
          <w:tcPr>
            <w:tcW w:w="7579" w:type="dxa"/>
            <w:tcBorders>
              <w:left w:val="single" w:sz="4" w:space="0" w:color="auto"/>
              <w:right w:val="single" w:sz="4" w:space="0" w:color="auto"/>
            </w:tcBorders>
            <w:vAlign w:val="center"/>
          </w:tcPr>
          <w:p w14:paraId="54FFB535" w14:textId="1C1A737C" w:rsidR="00D4447D" w:rsidRPr="00F235BC" w:rsidRDefault="000E2D4C"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w:t>
            </w:r>
            <w:r w:rsidR="00426731">
              <w:rPr>
                <w:rFonts w:cs="Arial"/>
                <w:szCs w:val="22"/>
              </w:rPr>
              <w:t xml:space="preserve"> commitment </w:t>
            </w:r>
            <w:r w:rsidR="00AE1E4B">
              <w:rPr>
                <w:rFonts w:cs="Arial"/>
                <w:szCs w:val="22"/>
              </w:rPr>
              <w:t xml:space="preserve">to value and support individuals from different </w:t>
            </w:r>
            <w:r w:rsidR="00EB69DA">
              <w:rPr>
                <w:rFonts w:cs="Arial"/>
                <w:szCs w:val="22"/>
              </w:rPr>
              <w:t xml:space="preserve">cultural backgrounds, creating a welcoming environment where everyone </w:t>
            </w:r>
            <w:r>
              <w:rPr>
                <w:rFonts w:cs="Arial"/>
                <w:szCs w:val="22"/>
              </w:rPr>
              <w:t>has equal opportunities</w:t>
            </w:r>
          </w:p>
        </w:tc>
      </w:tr>
      <w:tr w:rsidR="009E46A4" w14:paraId="41BA830B" w14:textId="77777777" w:rsidTr="00377E43">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3E36C3FC" w14:textId="69CB0F37" w:rsidR="00430960" w:rsidRDefault="00430960" w:rsidP="00F81571">
            <w:pPr>
              <w:rPr>
                <w:rFonts w:cs="Arial"/>
                <w:b w:val="0"/>
                <w:bCs w:val="0"/>
                <w:szCs w:val="22"/>
              </w:rPr>
            </w:pPr>
            <w:r>
              <w:rPr>
                <w:rFonts w:cs="Arial"/>
                <w:b w:val="0"/>
                <w:bCs w:val="0"/>
                <w:szCs w:val="22"/>
              </w:rPr>
              <w:t>Education</w:t>
            </w:r>
          </w:p>
        </w:tc>
        <w:tc>
          <w:tcPr>
            <w:tcW w:w="7579" w:type="dxa"/>
            <w:tcBorders>
              <w:left w:val="single" w:sz="4" w:space="0" w:color="auto"/>
              <w:right w:val="single" w:sz="4" w:space="0" w:color="auto"/>
            </w:tcBorders>
            <w:vAlign w:val="center"/>
          </w:tcPr>
          <w:p w14:paraId="560966D3" w14:textId="3DCD203B" w:rsidR="00430960" w:rsidRPr="00F235BC" w:rsidRDefault="00A70006"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Program</w:t>
            </w:r>
            <w:r w:rsidR="001A252A">
              <w:rPr>
                <w:rFonts w:cs="Arial"/>
                <w:szCs w:val="22"/>
              </w:rPr>
              <w:t>s</w:t>
            </w:r>
            <w:r>
              <w:rPr>
                <w:rFonts w:cs="Arial"/>
                <w:szCs w:val="22"/>
              </w:rPr>
              <w:t>, resources or activities provided to help</w:t>
            </w:r>
            <w:r w:rsidR="00AB735D">
              <w:rPr>
                <w:rFonts w:cs="Arial"/>
                <w:szCs w:val="22"/>
              </w:rPr>
              <w:t xml:space="preserve"> </w:t>
            </w:r>
            <w:r w:rsidR="00776761">
              <w:rPr>
                <w:rFonts w:cs="Arial"/>
                <w:szCs w:val="22"/>
              </w:rPr>
              <w:t>individuals</w:t>
            </w:r>
            <w:r w:rsidR="00AB735D">
              <w:rPr>
                <w:rFonts w:cs="Arial"/>
                <w:szCs w:val="22"/>
              </w:rPr>
              <w:t xml:space="preserve"> </w:t>
            </w:r>
            <w:r w:rsidR="00776761">
              <w:rPr>
                <w:rFonts w:cs="Arial"/>
                <w:szCs w:val="22"/>
              </w:rPr>
              <w:t>in the building and construction industry understand their rights, responsibilities and best practices</w:t>
            </w:r>
          </w:p>
        </w:tc>
      </w:tr>
      <w:tr w:rsidR="007971A4" w14:paraId="20154242"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20E8440E" w14:textId="5B25FB64" w:rsidR="00164636" w:rsidRPr="00D86494" w:rsidRDefault="00F81571" w:rsidP="00E82993">
            <w:pPr>
              <w:rPr>
                <w:rFonts w:cs="Arial"/>
                <w:b w:val="0"/>
              </w:rPr>
            </w:pPr>
            <w:r w:rsidRPr="32187982">
              <w:rPr>
                <w:rFonts w:cs="Arial"/>
                <w:b w:val="0"/>
              </w:rPr>
              <w:t>Employee</w:t>
            </w:r>
          </w:p>
        </w:tc>
        <w:tc>
          <w:tcPr>
            <w:tcW w:w="7579" w:type="dxa"/>
            <w:tcBorders>
              <w:left w:val="single" w:sz="4" w:space="0" w:color="auto"/>
              <w:right w:val="single" w:sz="4" w:space="0" w:color="auto"/>
            </w:tcBorders>
            <w:vAlign w:val="center"/>
          </w:tcPr>
          <w:p w14:paraId="09878E0D" w14:textId="015A5C84" w:rsidR="00164636" w:rsidRPr="00D86494" w:rsidRDefault="00F235BC" w:rsidP="00164636">
            <w:pPr>
              <w:cnfStyle w:val="000000100000" w:firstRow="0" w:lastRow="0" w:firstColumn="0" w:lastColumn="0" w:oddVBand="0" w:evenVBand="0" w:oddHBand="1" w:evenHBand="0" w:firstRowFirstColumn="0" w:firstRowLastColumn="0" w:lastRowFirstColumn="0" w:lastRowLastColumn="0"/>
              <w:rPr>
                <w:rFonts w:cs="Arial"/>
                <w:szCs w:val="22"/>
              </w:rPr>
            </w:pPr>
            <w:r w:rsidRPr="00F235BC">
              <w:rPr>
                <w:rFonts w:cs="Arial"/>
                <w:szCs w:val="22"/>
              </w:rPr>
              <w:t xml:space="preserve">An individual </w:t>
            </w:r>
            <w:r w:rsidR="000F7EA5">
              <w:rPr>
                <w:rFonts w:cs="Arial"/>
                <w:szCs w:val="22"/>
              </w:rPr>
              <w:t>employed by the QBCC to</w:t>
            </w:r>
            <w:r w:rsidR="00E211B3" w:rsidRPr="00E211B3">
              <w:rPr>
                <w:rFonts w:cs="Arial"/>
                <w:szCs w:val="22"/>
              </w:rPr>
              <w:t xml:space="preserve"> perform work or duties under a contract of employment</w:t>
            </w:r>
          </w:p>
        </w:tc>
      </w:tr>
      <w:tr w:rsidR="009E46A4" w14:paraId="089A5F86" w14:textId="77777777" w:rsidTr="00377E43">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6B807306" w14:textId="462832AA" w:rsidR="00430960" w:rsidRDefault="00430960" w:rsidP="00F81571">
            <w:pPr>
              <w:rPr>
                <w:rFonts w:cs="Arial"/>
                <w:b w:val="0"/>
                <w:bCs w:val="0"/>
                <w:szCs w:val="22"/>
              </w:rPr>
            </w:pPr>
            <w:r>
              <w:rPr>
                <w:rFonts w:cs="Arial"/>
                <w:b w:val="0"/>
                <w:bCs w:val="0"/>
                <w:szCs w:val="22"/>
              </w:rPr>
              <w:t>Engagement</w:t>
            </w:r>
          </w:p>
        </w:tc>
        <w:tc>
          <w:tcPr>
            <w:tcW w:w="7579" w:type="dxa"/>
            <w:tcBorders>
              <w:left w:val="single" w:sz="4" w:space="0" w:color="auto"/>
              <w:right w:val="single" w:sz="4" w:space="0" w:color="auto"/>
            </w:tcBorders>
            <w:vAlign w:val="center"/>
          </w:tcPr>
          <w:p w14:paraId="39C9AA63" w14:textId="029BE8B5" w:rsidR="00430960" w:rsidRPr="00F235BC" w:rsidRDefault="00576226"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The process of actively </w:t>
            </w:r>
            <w:r w:rsidR="00C857A7">
              <w:rPr>
                <w:rFonts w:cs="Arial"/>
                <w:szCs w:val="22"/>
              </w:rPr>
              <w:t>involving and communicating with individuals</w:t>
            </w:r>
            <w:r w:rsidR="0072235C">
              <w:rPr>
                <w:rFonts w:cs="Arial"/>
                <w:szCs w:val="22"/>
              </w:rPr>
              <w:t xml:space="preserve"> </w:t>
            </w:r>
            <w:r w:rsidR="00DC6B31">
              <w:rPr>
                <w:rFonts w:cs="Arial"/>
                <w:szCs w:val="22"/>
              </w:rPr>
              <w:t xml:space="preserve">to share information, gather feedback and build positive </w:t>
            </w:r>
            <w:r w:rsidR="006B1465">
              <w:rPr>
                <w:rFonts w:cs="Arial"/>
                <w:szCs w:val="22"/>
              </w:rPr>
              <w:t>relationships</w:t>
            </w:r>
          </w:p>
        </w:tc>
      </w:tr>
      <w:tr w:rsidR="007971A4" w14:paraId="6559C3FE" w14:textId="77777777" w:rsidTr="0037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2A8AB86E" w14:textId="455B110D" w:rsidR="00D4447D" w:rsidRDefault="00D4447D" w:rsidP="00F81571">
            <w:pPr>
              <w:rPr>
                <w:rFonts w:cs="Arial"/>
                <w:b w:val="0"/>
                <w:bCs w:val="0"/>
                <w:szCs w:val="22"/>
              </w:rPr>
            </w:pPr>
            <w:r>
              <w:rPr>
                <w:rFonts w:cs="Arial"/>
                <w:b w:val="0"/>
                <w:bCs w:val="0"/>
                <w:szCs w:val="22"/>
              </w:rPr>
              <w:t>Flexible work</w:t>
            </w:r>
            <w:r w:rsidR="00BF7FD4">
              <w:rPr>
                <w:rFonts w:cs="Arial"/>
                <w:b w:val="0"/>
                <w:bCs w:val="0"/>
                <w:szCs w:val="22"/>
              </w:rPr>
              <w:t xml:space="preserve"> arrangement</w:t>
            </w:r>
          </w:p>
        </w:tc>
        <w:tc>
          <w:tcPr>
            <w:tcW w:w="7579" w:type="dxa"/>
            <w:tcBorders>
              <w:left w:val="single" w:sz="4" w:space="0" w:color="auto"/>
              <w:right w:val="single" w:sz="4" w:space="0" w:color="auto"/>
            </w:tcBorders>
            <w:vAlign w:val="center"/>
          </w:tcPr>
          <w:p w14:paraId="26D21AC5" w14:textId="323B1670" w:rsidR="00D4447D" w:rsidRPr="001303B8" w:rsidRDefault="00EC0E4C"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Work arrangements that allow employees to adjust the</w:t>
            </w:r>
            <w:r w:rsidR="001156F5">
              <w:rPr>
                <w:rFonts w:cs="Arial"/>
                <w:szCs w:val="22"/>
              </w:rPr>
              <w:t>ir</w:t>
            </w:r>
            <w:r>
              <w:rPr>
                <w:rFonts w:cs="Arial"/>
                <w:szCs w:val="22"/>
              </w:rPr>
              <w:t xml:space="preserve"> work hours, location and patterns </w:t>
            </w:r>
            <w:r w:rsidR="001156F5">
              <w:rPr>
                <w:rFonts w:cs="Arial"/>
                <w:szCs w:val="22"/>
              </w:rPr>
              <w:t>to better balance work and personal commitments</w:t>
            </w:r>
          </w:p>
        </w:tc>
      </w:tr>
      <w:tr w:rsidR="00C964C4" w14:paraId="7CF5DBF6"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258AE30D" w14:textId="78C8A41F" w:rsidR="00430960" w:rsidRDefault="00430960" w:rsidP="00F81571">
            <w:pPr>
              <w:rPr>
                <w:rFonts w:cs="Arial"/>
                <w:b w:val="0"/>
                <w:bCs w:val="0"/>
                <w:szCs w:val="22"/>
              </w:rPr>
            </w:pPr>
            <w:r>
              <w:rPr>
                <w:rFonts w:cs="Arial"/>
                <w:b w:val="0"/>
                <w:bCs w:val="0"/>
                <w:szCs w:val="22"/>
              </w:rPr>
              <w:t>Frontline services</w:t>
            </w:r>
          </w:p>
        </w:tc>
        <w:tc>
          <w:tcPr>
            <w:tcW w:w="7579" w:type="dxa"/>
            <w:tcBorders>
              <w:left w:val="single" w:sz="4" w:space="0" w:color="auto"/>
              <w:right w:val="single" w:sz="4" w:space="0" w:color="auto"/>
            </w:tcBorders>
            <w:vAlign w:val="center"/>
          </w:tcPr>
          <w:p w14:paraId="5C351F12" w14:textId="1FD88BE2" w:rsidR="00430960" w:rsidRPr="001303B8" w:rsidRDefault="00A2377C"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The first point of contact that delivers</w:t>
            </w:r>
            <w:r w:rsidR="001D3061">
              <w:rPr>
                <w:rFonts w:cs="Arial"/>
                <w:szCs w:val="22"/>
              </w:rPr>
              <w:t xml:space="preserve"> building and construction</w:t>
            </w:r>
            <w:r>
              <w:rPr>
                <w:rFonts w:cs="Arial"/>
                <w:szCs w:val="22"/>
              </w:rPr>
              <w:t xml:space="preserve"> </w:t>
            </w:r>
            <w:r w:rsidR="001D3061">
              <w:rPr>
                <w:rFonts w:cs="Arial"/>
                <w:szCs w:val="22"/>
              </w:rPr>
              <w:t xml:space="preserve">industry </w:t>
            </w:r>
            <w:r>
              <w:rPr>
                <w:rFonts w:cs="Arial"/>
                <w:szCs w:val="22"/>
              </w:rPr>
              <w:t xml:space="preserve">services to </w:t>
            </w:r>
            <w:r w:rsidR="001D3061">
              <w:rPr>
                <w:rFonts w:cs="Arial"/>
                <w:szCs w:val="22"/>
              </w:rPr>
              <w:t xml:space="preserve">customers and the </w:t>
            </w:r>
            <w:r w:rsidR="00923817">
              <w:rPr>
                <w:rFonts w:cs="Arial"/>
                <w:szCs w:val="22"/>
              </w:rPr>
              <w:t>community</w:t>
            </w:r>
          </w:p>
        </w:tc>
      </w:tr>
      <w:tr w:rsidR="007971A4" w14:paraId="7CE68593" w14:textId="77777777" w:rsidTr="0037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4E3E6BB1" w14:textId="7A70791D" w:rsidR="00164636" w:rsidRPr="00D86494" w:rsidRDefault="00F81571" w:rsidP="00164636">
            <w:pPr>
              <w:rPr>
                <w:rFonts w:cs="Arial"/>
                <w:b w:val="0"/>
                <w:szCs w:val="22"/>
              </w:rPr>
            </w:pPr>
            <w:r>
              <w:rPr>
                <w:rFonts w:cs="Arial"/>
                <w:b w:val="0"/>
                <w:bCs w:val="0"/>
                <w:szCs w:val="22"/>
              </w:rPr>
              <w:t>Governance</w:t>
            </w:r>
          </w:p>
        </w:tc>
        <w:tc>
          <w:tcPr>
            <w:tcW w:w="7579" w:type="dxa"/>
            <w:tcBorders>
              <w:left w:val="single" w:sz="4" w:space="0" w:color="auto"/>
              <w:right w:val="single" w:sz="4" w:space="0" w:color="auto"/>
            </w:tcBorders>
            <w:vAlign w:val="center"/>
          </w:tcPr>
          <w:p w14:paraId="4BB643A3" w14:textId="517B2957" w:rsidR="00164636" w:rsidRPr="00D86494" w:rsidRDefault="006D3656" w:rsidP="00164636">
            <w:pPr>
              <w:cnfStyle w:val="000000100000" w:firstRow="0" w:lastRow="0" w:firstColumn="0" w:lastColumn="0" w:oddVBand="0" w:evenVBand="0" w:oddHBand="1" w:evenHBand="0" w:firstRowFirstColumn="0" w:firstRowLastColumn="0" w:lastRowFirstColumn="0" w:lastRowLastColumn="0"/>
              <w:rPr>
                <w:rFonts w:cs="Arial"/>
                <w:szCs w:val="22"/>
              </w:rPr>
            </w:pPr>
            <w:r w:rsidRPr="006D3656">
              <w:rPr>
                <w:rFonts w:cs="Arial"/>
                <w:szCs w:val="22"/>
              </w:rPr>
              <w:t xml:space="preserve">The </w:t>
            </w:r>
            <w:r w:rsidR="00E636BF" w:rsidRPr="00E636BF">
              <w:rPr>
                <w:rFonts w:cs="Arial"/>
                <w:szCs w:val="22"/>
              </w:rPr>
              <w:t>system</w:t>
            </w:r>
            <w:r w:rsidRPr="006D3656">
              <w:rPr>
                <w:rFonts w:cs="Arial"/>
                <w:szCs w:val="22"/>
              </w:rPr>
              <w:t xml:space="preserve"> of rules, policies and procedures that </w:t>
            </w:r>
            <w:r w:rsidR="00E636BF" w:rsidRPr="00E636BF">
              <w:rPr>
                <w:rFonts w:cs="Arial"/>
                <w:szCs w:val="22"/>
              </w:rPr>
              <w:t>directs</w:t>
            </w:r>
            <w:r w:rsidRPr="006D3656">
              <w:rPr>
                <w:rFonts w:cs="Arial"/>
                <w:szCs w:val="22"/>
              </w:rPr>
              <w:t xml:space="preserve"> how decisions are made and </w:t>
            </w:r>
            <w:r w:rsidR="00E636BF" w:rsidRPr="00E636BF">
              <w:rPr>
                <w:rFonts w:cs="Arial"/>
                <w:szCs w:val="22"/>
              </w:rPr>
              <w:t>put into practice</w:t>
            </w:r>
            <w:r w:rsidR="00E461FD">
              <w:rPr>
                <w:rFonts w:cs="Arial"/>
                <w:szCs w:val="22"/>
              </w:rPr>
              <w:t xml:space="preserve"> to ensure effective, ethical and transparent operations</w:t>
            </w:r>
          </w:p>
        </w:tc>
      </w:tr>
      <w:tr w:rsidR="00C964C4" w14:paraId="58A875C7"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7A7D7C06" w14:textId="567B1D98" w:rsidR="00164636" w:rsidRPr="00D86494" w:rsidRDefault="00F81571" w:rsidP="00164636">
            <w:pPr>
              <w:rPr>
                <w:rFonts w:cs="Arial"/>
                <w:b w:val="0"/>
                <w:szCs w:val="22"/>
              </w:rPr>
            </w:pPr>
            <w:r>
              <w:rPr>
                <w:rFonts w:cs="Arial"/>
                <w:b w:val="0"/>
                <w:bCs w:val="0"/>
                <w:szCs w:val="22"/>
              </w:rPr>
              <w:lastRenderedPageBreak/>
              <w:t xml:space="preserve">Government </w:t>
            </w:r>
            <w:r w:rsidR="00A35641">
              <w:rPr>
                <w:rFonts w:cs="Arial"/>
                <w:b w:val="0"/>
                <w:bCs w:val="0"/>
                <w:szCs w:val="22"/>
              </w:rPr>
              <w:t>o</w:t>
            </w:r>
            <w:r>
              <w:rPr>
                <w:rFonts w:cs="Arial"/>
                <w:b w:val="0"/>
                <w:bCs w:val="0"/>
                <w:szCs w:val="22"/>
              </w:rPr>
              <w:t>bjectives</w:t>
            </w:r>
          </w:p>
        </w:tc>
        <w:tc>
          <w:tcPr>
            <w:tcW w:w="7579" w:type="dxa"/>
            <w:tcBorders>
              <w:left w:val="single" w:sz="4" w:space="0" w:color="auto"/>
              <w:right w:val="single" w:sz="4" w:space="0" w:color="auto"/>
            </w:tcBorders>
            <w:vAlign w:val="center"/>
          </w:tcPr>
          <w:p w14:paraId="3B0BFEBF" w14:textId="7CEDD4B1" w:rsidR="00164636" w:rsidRPr="00D86494" w:rsidRDefault="00135B80" w:rsidP="00164636">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The </w:t>
            </w:r>
            <w:r w:rsidR="00026621">
              <w:rPr>
                <w:rFonts w:cs="Arial"/>
              </w:rPr>
              <w:t xml:space="preserve">Queensland </w:t>
            </w:r>
            <w:r w:rsidR="00142568">
              <w:rPr>
                <w:rFonts w:cs="Arial"/>
              </w:rPr>
              <w:t>G</w:t>
            </w:r>
            <w:r w:rsidR="00712F6F">
              <w:rPr>
                <w:rFonts w:cs="Arial"/>
              </w:rPr>
              <w:t xml:space="preserve">overnment </w:t>
            </w:r>
            <w:r w:rsidR="00142568">
              <w:rPr>
                <w:rFonts w:cs="Arial"/>
              </w:rPr>
              <w:t>objectives for the community</w:t>
            </w:r>
            <w:r w:rsidR="00712F6F">
              <w:rPr>
                <w:rFonts w:cs="Arial"/>
              </w:rPr>
              <w:t xml:space="preserve"> </w:t>
            </w:r>
            <w:r w:rsidR="00990BA5">
              <w:rPr>
                <w:rFonts w:cs="Arial"/>
              </w:rPr>
              <w:t xml:space="preserve">focusing on </w:t>
            </w:r>
            <w:r w:rsidR="0082316E">
              <w:rPr>
                <w:rFonts w:cs="Arial"/>
              </w:rPr>
              <w:t>creating a safer</w:t>
            </w:r>
            <w:r w:rsidR="0006589C">
              <w:rPr>
                <w:rFonts w:cs="Arial"/>
              </w:rPr>
              <w:t>, more liveable and future-</w:t>
            </w:r>
            <w:r w:rsidR="00606E83">
              <w:rPr>
                <w:rFonts w:cs="Arial"/>
              </w:rPr>
              <w:t>ready</w:t>
            </w:r>
            <w:r w:rsidR="004C18C7">
              <w:rPr>
                <w:rFonts w:cs="Arial"/>
              </w:rPr>
              <w:t xml:space="preserve"> state by strengthening the economy</w:t>
            </w:r>
            <w:r w:rsidR="008A2D91">
              <w:rPr>
                <w:rFonts w:cs="Arial"/>
              </w:rPr>
              <w:t>, improving</w:t>
            </w:r>
            <w:r w:rsidR="004C18C7">
              <w:rPr>
                <w:rFonts w:cs="Arial"/>
              </w:rPr>
              <w:t xml:space="preserve"> </w:t>
            </w:r>
            <w:r w:rsidR="00616EDB">
              <w:rPr>
                <w:rFonts w:cs="Arial"/>
              </w:rPr>
              <w:t>access to</w:t>
            </w:r>
            <w:r w:rsidR="0057655A">
              <w:rPr>
                <w:rFonts w:cs="Arial"/>
              </w:rPr>
              <w:t xml:space="preserve"> health services and </w:t>
            </w:r>
            <w:r w:rsidR="008A2D91">
              <w:rPr>
                <w:rFonts w:cs="Arial"/>
              </w:rPr>
              <w:t>enhancing overall</w:t>
            </w:r>
            <w:r w:rsidR="0002040E">
              <w:rPr>
                <w:rFonts w:cs="Arial"/>
              </w:rPr>
              <w:t xml:space="preserve"> quality of life</w:t>
            </w:r>
          </w:p>
        </w:tc>
      </w:tr>
      <w:tr w:rsidR="007971A4" w14:paraId="6B3555C1" w14:textId="77777777" w:rsidTr="0037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3C730422" w14:textId="7694788B" w:rsidR="00164636" w:rsidRPr="00D86494" w:rsidRDefault="00F81571" w:rsidP="00164636">
            <w:pPr>
              <w:rPr>
                <w:rFonts w:cs="Arial"/>
                <w:b w:val="0"/>
                <w:szCs w:val="22"/>
              </w:rPr>
            </w:pPr>
            <w:r>
              <w:rPr>
                <w:rFonts w:cs="Arial"/>
                <w:b w:val="0"/>
                <w:bCs w:val="0"/>
                <w:szCs w:val="22"/>
              </w:rPr>
              <w:t>Guideline</w:t>
            </w:r>
          </w:p>
        </w:tc>
        <w:tc>
          <w:tcPr>
            <w:tcW w:w="7579" w:type="dxa"/>
            <w:tcBorders>
              <w:left w:val="single" w:sz="4" w:space="0" w:color="auto"/>
              <w:right w:val="single" w:sz="4" w:space="0" w:color="auto"/>
            </w:tcBorders>
            <w:vAlign w:val="center"/>
          </w:tcPr>
          <w:p w14:paraId="23726957" w14:textId="4B0589FA" w:rsidR="00164636" w:rsidRPr="00D86494" w:rsidRDefault="00F05AF7" w:rsidP="00164636">
            <w:pPr>
              <w:cnfStyle w:val="000000100000" w:firstRow="0" w:lastRow="0" w:firstColumn="0" w:lastColumn="0" w:oddVBand="0" w:evenVBand="0" w:oddHBand="1" w:evenHBand="0" w:firstRowFirstColumn="0" w:firstRowLastColumn="0" w:lastRowFirstColumn="0" w:lastRowLastColumn="0"/>
              <w:rPr>
                <w:rFonts w:cs="Arial"/>
                <w:szCs w:val="22"/>
              </w:rPr>
            </w:pPr>
            <w:r w:rsidRPr="00F05AF7">
              <w:rPr>
                <w:rFonts w:cs="Arial"/>
                <w:szCs w:val="22"/>
              </w:rPr>
              <w:t xml:space="preserve">General rules, principles or </w:t>
            </w:r>
            <w:r w:rsidR="0010354F" w:rsidRPr="0010354F">
              <w:rPr>
                <w:rFonts w:cs="Arial"/>
                <w:szCs w:val="22"/>
              </w:rPr>
              <w:t>recommendations</w:t>
            </w:r>
            <w:r w:rsidRPr="00F05AF7">
              <w:rPr>
                <w:rFonts w:cs="Arial"/>
                <w:szCs w:val="22"/>
              </w:rPr>
              <w:t xml:space="preserve"> </w:t>
            </w:r>
            <w:r w:rsidR="0010354F" w:rsidRPr="0010354F">
              <w:rPr>
                <w:rFonts w:cs="Arial"/>
                <w:szCs w:val="22"/>
              </w:rPr>
              <w:t>offer</w:t>
            </w:r>
            <w:r w:rsidR="00E60321">
              <w:rPr>
                <w:rFonts w:cs="Arial"/>
                <w:szCs w:val="22"/>
              </w:rPr>
              <w:t>ing</w:t>
            </w:r>
            <w:r w:rsidR="0010354F" w:rsidRPr="0010354F">
              <w:rPr>
                <w:rFonts w:cs="Arial"/>
                <w:szCs w:val="22"/>
              </w:rPr>
              <w:t xml:space="preserve"> guidance</w:t>
            </w:r>
            <w:r w:rsidRPr="00F05AF7">
              <w:rPr>
                <w:rFonts w:cs="Arial"/>
                <w:szCs w:val="22"/>
              </w:rPr>
              <w:t xml:space="preserve"> on how something should be done or </w:t>
            </w:r>
            <w:r w:rsidR="00E60321">
              <w:rPr>
                <w:rFonts w:cs="Arial"/>
                <w:szCs w:val="22"/>
              </w:rPr>
              <w:t>the</w:t>
            </w:r>
            <w:r w:rsidRPr="00F05AF7">
              <w:rPr>
                <w:rFonts w:cs="Arial"/>
                <w:szCs w:val="22"/>
              </w:rPr>
              <w:t xml:space="preserve"> standards </w:t>
            </w:r>
            <w:r w:rsidR="00E60321">
              <w:rPr>
                <w:rFonts w:cs="Arial"/>
                <w:szCs w:val="22"/>
              </w:rPr>
              <w:t xml:space="preserve">that </w:t>
            </w:r>
            <w:r w:rsidRPr="00F05AF7">
              <w:rPr>
                <w:rFonts w:cs="Arial"/>
                <w:szCs w:val="22"/>
              </w:rPr>
              <w:t>should be followed</w:t>
            </w:r>
          </w:p>
        </w:tc>
      </w:tr>
      <w:tr w:rsidR="00C964C4" w14:paraId="4BD1EE91"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103D7E94" w14:textId="5B8670E4" w:rsidR="00F5322B" w:rsidRDefault="00F5322B" w:rsidP="00F81571">
            <w:pPr>
              <w:rPr>
                <w:rFonts w:cs="Arial"/>
                <w:b w:val="0"/>
                <w:bCs w:val="0"/>
                <w:szCs w:val="22"/>
              </w:rPr>
            </w:pPr>
            <w:r>
              <w:rPr>
                <w:rFonts w:cs="Arial"/>
                <w:b w:val="0"/>
                <w:bCs w:val="0"/>
                <w:szCs w:val="22"/>
              </w:rPr>
              <w:t>Health</w:t>
            </w:r>
            <w:r w:rsidR="002732C3">
              <w:rPr>
                <w:rFonts w:cs="Arial"/>
                <w:b w:val="0"/>
                <w:bCs w:val="0"/>
                <w:szCs w:val="22"/>
              </w:rPr>
              <w:t>,</w:t>
            </w:r>
            <w:r>
              <w:rPr>
                <w:rFonts w:cs="Arial"/>
                <w:b w:val="0"/>
                <w:bCs w:val="0"/>
                <w:szCs w:val="22"/>
              </w:rPr>
              <w:t xml:space="preserve"> safety and wellbeing</w:t>
            </w:r>
          </w:p>
        </w:tc>
        <w:tc>
          <w:tcPr>
            <w:tcW w:w="7579" w:type="dxa"/>
            <w:tcBorders>
              <w:left w:val="single" w:sz="4" w:space="0" w:color="auto"/>
              <w:right w:val="single" w:sz="4" w:space="0" w:color="auto"/>
            </w:tcBorders>
            <w:vAlign w:val="center"/>
          </w:tcPr>
          <w:p w14:paraId="222DA2F9" w14:textId="2E8B2971" w:rsidR="00F5322B" w:rsidRPr="0010354F" w:rsidRDefault="00DC397D"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A commitment to protect and promote </w:t>
            </w:r>
            <w:r w:rsidR="00DD7A77">
              <w:rPr>
                <w:rFonts w:cs="Arial"/>
                <w:szCs w:val="22"/>
              </w:rPr>
              <w:t>t</w:t>
            </w:r>
            <w:r w:rsidR="00B67E84">
              <w:rPr>
                <w:rFonts w:cs="Arial"/>
                <w:szCs w:val="22"/>
              </w:rPr>
              <w:t xml:space="preserve">he overall wellbeing of workers, customers and the community through safe work practices, support services and </w:t>
            </w:r>
            <w:r w:rsidR="00DD7A77">
              <w:rPr>
                <w:rFonts w:cs="Arial"/>
                <w:szCs w:val="22"/>
              </w:rPr>
              <w:t>work environment</w:t>
            </w:r>
          </w:p>
        </w:tc>
      </w:tr>
      <w:tr w:rsidR="007971A4" w14:paraId="07ADB901" w14:textId="77777777" w:rsidTr="0037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5B78F37B" w14:textId="38E16D39" w:rsidR="00164636" w:rsidRPr="00D86494" w:rsidRDefault="00F81571" w:rsidP="00164636">
            <w:pPr>
              <w:rPr>
                <w:rFonts w:cs="Arial"/>
                <w:b w:val="0"/>
              </w:rPr>
            </w:pPr>
            <w:bookmarkStart w:id="314" w:name="_Int_vQ3xSFhQ"/>
            <w:proofErr w:type="gramStart"/>
            <w:r w:rsidRPr="4D53246F">
              <w:rPr>
                <w:rFonts w:cs="Arial"/>
                <w:b w:val="0"/>
              </w:rPr>
              <w:t>Home owner</w:t>
            </w:r>
            <w:bookmarkEnd w:id="314"/>
            <w:proofErr w:type="gramEnd"/>
          </w:p>
        </w:tc>
        <w:tc>
          <w:tcPr>
            <w:tcW w:w="7579" w:type="dxa"/>
            <w:tcBorders>
              <w:left w:val="single" w:sz="4" w:space="0" w:color="auto"/>
              <w:right w:val="single" w:sz="4" w:space="0" w:color="auto"/>
            </w:tcBorders>
            <w:vAlign w:val="center"/>
          </w:tcPr>
          <w:p w14:paraId="4A219EA8" w14:textId="2BC1A3ED" w:rsidR="00164636" w:rsidRPr="00D86494" w:rsidRDefault="002F6238" w:rsidP="00164636">
            <w:pPr>
              <w:cnfStyle w:val="000000100000" w:firstRow="0" w:lastRow="0" w:firstColumn="0" w:lastColumn="0" w:oddVBand="0" w:evenVBand="0" w:oddHBand="1" w:evenHBand="0" w:firstRowFirstColumn="0" w:firstRowLastColumn="0" w:lastRowFirstColumn="0" w:lastRowLastColumn="0"/>
              <w:rPr>
                <w:rFonts w:cs="Arial"/>
                <w:szCs w:val="22"/>
              </w:rPr>
            </w:pPr>
            <w:r w:rsidRPr="002F6238">
              <w:rPr>
                <w:rFonts w:cs="Arial"/>
                <w:szCs w:val="22"/>
              </w:rPr>
              <w:t>An individual</w:t>
            </w:r>
            <w:r w:rsidR="000842F3">
              <w:rPr>
                <w:rFonts w:cs="Arial"/>
                <w:szCs w:val="22"/>
              </w:rPr>
              <w:t xml:space="preserve"> who owns the house or </w:t>
            </w:r>
            <w:r w:rsidR="00641368">
              <w:rPr>
                <w:rFonts w:cs="Arial"/>
                <w:szCs w:val="22"/>
              </w:rPr>
              <w:t>residential property</w:t>
            </w:r>
            <w:r w:rsidR="000842F3">
              <w:rPr>
                <w:rFonts w:cs="Arial"/>
                <w:szCs w:val="22"/>
              </w:rPr>
              <w:t xml:space="preserve"> in which they </w:t>
            </w:r>
            <w:r w:rsidRPr="002F6238">
              <w:rPr>
                <w:rFonts w:cs="Arial"/>
                <w:szCs w:val="22"/>
              </w:rPr>
              <w:t>reside</w:t>
            </w:r>
          </w:p>
        </w:tc>
      </w:tr>
      <w:tr w:rsidR="00C964C4" w14:paraId="4BD21F7B"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6B7EC7F4" w14:textId="6EEC9CA9" w:rsidR="00B859FA" w:rsidRDefault="00B859FA" w:rsidP="00F81571">
            <w:pPr>
              <w:rPr>
                <w:rFonts w:cs="Arial"/>
                <w:b w:val="0"/>
                <w:bCs w:val="0"/>
                <w:szCs w:val="22"/>
              </w:rPr>
            </w:pPr>
            <w:r>
              <w:rPr>
                <w:rFonts w:cs="Arial"/>
                <w:b w:val="0"/>
                <w:bCs w:val="0"/>
                <w:szCs w:val="22"/>
              </w:rPr>
              <w:t>Industry</w:t>
            </w:r>
          </w:p>
        </w:tc>
        <w:tc>
          <w:tcPr>
            <w:tcW w:w="7579" w:type="dxa"/>
            <w:tcBorders>
              <w:left w:val="single" w:sz="4" w:space="0" w:color="auto"/>
              <w:right w:val="single" w:sz="4" w:space="0" w:color="auto"/>
            </w:tcBorders>
            <w:vAlign w:val="center"/>
          </w:tcPr>
          <w:p w14:paraId="79C9BFDB" w14:textId="3EBA86B3" w:rsidR="00B859FA" w:rsidRPr="002F6238" w:rsidRDefault="00FE489E" w:rsidP="00F81571">
            <w:pPr>
              <w:cnfStyle w:val="000000000000" w:firstRow="0" w:lastRow="0" w:firstColumn="0" w:lastColumn="0" w:oddVBand="0" w:evenVBand="0" w:oddHBand="0" w:evenHBand="0" w:firstRowFirstColumn="0" w:firstRowLastColumn="0" w:lastRowFirstColumn="0" w:lastRowLastColumn="0"/>
              <w:rPr>
                <w:rFonts w:cs="Arial"/>
                <w:szCs w:val="22"/>
              </w:rPr>
            </w:pPr>
            <w:r w:rsidRPr="00FE489E">
              <w:rPr>
                <w:rFonts w:cs="Arial"/>
                <w:szCs w:val="22"/>
              </w:rPr>
              <w:t>The collective group of businesses, workers and organisations involved in the building and construction sector</w:t>
            </w:r>
          </w:p>
        </w:tc>
      </w:tr>
      <w:tr w:rsidR="007971A4" w14:paraId="285817FF"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23135C7F" w14:textId="5162D12B" w:rsidR="006B5A37" w:rsidRPr="006B5A37" w:rsidRDefault="006B5A37" w:rsidP="00F81571">
            <w:pPr>
              <w:rPr>
                <w:rFonts w:cs="Arial"/>
                <w:b w:val="0"/>
                <w:bCs w:val="0"/>
                <w:szCs w:val="22"/>
              </w:rPr>
            </w:pPr>
            <w:r w:rsidRPr="006B5A37">
              <w:rPr>
                <w:rFonts w:cs="Arial"/>
                <w:b w:val="0"/>
                <w:bCs w:val="0"/>
                <w:szCs w:val="22"/>
              </w:rPr>
              <w:t>Industry body</w:t>
            </w:r>
          </w:p>
        </w:tc>
        <w:tc>
          <w:tcPr>
            <w:tcW w:w="7579" w:type="dxa"/>
            <w:tcBorders>
              <w:left w:val="single" w:sz="4" w:space="0" w:color="auto"/>
              <w:right w:val="single" w:sz="4" w:space="0" w:color="auto"/>
            </w:tcBorders>
            <w:vAlign w:val="center"/>
          </w:tcPr>
          <w:p w14:paraId="38D040F0" w14:textId="14CE656F" w:rsidR="006B5A37" w:rsidRPr="00FE489E" w:rsidRDefault="00DF7A7C"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An</w:t>
            </w:r>
            <w:r w:rsidR="0070334A" w:rsidRPr="0070334A">
              <w:rPr>
                <w:rFonts w:cs="Arial"/>
                <w:szCs w:val="22"/>
              </w:rPr>
              <w:t xml:space="preserve"> organisation </w:t>
            </w:r>
            <w:r w:rsidR="00173933">
              <w:rPr>
                <w:rFonts w:cs="Arial"/>
                <w:szCs w:val="22"/>
              </w:rPr>
              <w:t>that represents</w:t>
            </w:r>
            <w:r w:rsidR="00AE4A48">
              <w:rPr>
                <w:rFonts w:cs="Arial"/>
                <w:szCs w:val="22"/>
              </w:rPr>
              <w:t xml:space="preserve"> </w:t>
            </w:r>
            <w:r w:rsidR="0034334C">
              <w:rPr>
                <w:rFonts w:cs="Arial"/>
                <w:szCs w:val="22"/>
              </w:rPr>
              <w:t>businesses</w:t>
            </w:r>
            <w:r w:rsidR="0070334A" w:rsidRPr="0070334A">
              <w:rPr>
                <w:rFonts w:cs="Arial"/>
                <w:szCs w:val="22"/>
              </w:rPr>
              <w:t xml:space="preserve"> </w:t>
            </w:r>
            <w:r w:rsidR="00803F73">
              <w:rPr>
                <w:rFonts w:cs="Arial"/>
                <w:szCs w:val="22"/>
              </w:rPr>
              <w:t xml:space="preserve">within </w:t>
            </w:r>
            <w:r w:rsidR="00B66E1A">
              <w:rPr>
                <w:rFonts w:cs="Arial"/>
                <w:szCs w:val="22"/>
              </w:rPr>
              <w:t xml:space="preserve">the </w:t>
            </w:r>
            <w:r w:rsidR="00ED4D82">
              <w:rPr>
                <w:rFonts w:cs="Arial"/>
                <w:szCs w:val="22"/>
              </w:rPr>
              <w:t>building and construction</w:t>
            </w:r>
            <w:r w:rsidR="00803F73">
              <w:rPr>
                <w:rFonts w:cs="Arial"/>
                <w:szCs w:val="22"/>
              </w:rPr>
              <w:t xml:space="preserve"> industry </w:t>
            </w:r>
            <w:r w:rsidR="00B351E4">
              <w:rPr>
                <w:rFonts w:cs="Arial"/>
                <w:szCs w:val="22"/>
              </w:rPr>
              <w:t>by advocating</w:t>
            </w:r>
            <w:r w:rsidR="00AE4A48">
              <w:rPr>
                <w:rFonts w:cs="Arial"/>
                <w:szCs w:val="22"/>
              </w:rPr>
              <w:t xml:space="preserve"> for</w:t>
            </w:r>
            <w:r w:rsidR="00AE4A48" w:rsidRPr="0070334A">
              <w:rPr>
                <w:rFonts w:cs="Arial"/>
                <w:szCs w:val="22"/>
              </w:rPr>
              <w:t xml:space="preserve"> </w:t>
            </w:r>
            <w:r w:rsidR="00F42963">
              <w:rPr>
                <w:rFonts w:cs="Arial"/>
                <w:szCs w:val="22"/>
              </w:rPr>
              <w:t>their interests</w:t>
            </w:r>
            <w:r w:rsidR="006127F9">
              <w:rPr>
                <w:rFonts w:cs="Arial"/>
                <w:szCs w:val="22"/>
              </w:rPr>
              <w:t>,</w:t>
            </w:r>
            <w:r w:rsidR="00F42963">
              <w:rPr>
                <w:rFonts w:cs="Arial"/>
                <w:szCs w:val="22"/>
              </w:rPr>
              <w:t xml:space="preserve"> </w:t>
            </w:r>
            <w:r w:rsidR="00B351E4">
              <w:rPr>
                <w:rFonts w:cs="Arial"/>
                <w:szCs w:val="22"/>
              </w:rPr>
              <w:t xml:space="preserve">supporting </w:t>
            </w:r>
            <w:r w:rsidR="00D64132">
              <w:rPr>
                <w:rFonts w:cs="Arial"/>
                <w:szCs w:val="22"/>
              </w:rPr>
              <w:t xml:space="preserve">best practices and </w:t>
            </w:r>
            <w:r w:rsidR="00EE6BFE">
              <w:rPr>
                <w:rFonts w:cs="Arial"/>
                <w:szCs w:val="22"/>
              </w:rPr>
              <w:t>contribut</w:t>
            </w:r>
            <w:r w:rsidR="00324C33">
              <w:rPr>
                <w:rFonts w:cs="Arial"/>
                <w:szCs w:val="22"/>
              </w:rPr>
              <w:t>ing</w:t>
            </w:r>
            <w:r w:rsidR="00EE6BFE">
              <w:rPr>
                <w:rFonts w:cs="Arial"/>
                <w:szCs w:val="22"/>
              </w:rPr>
              <w:t xml:space="preserve"> to policy </w:t>
            </w:r>
            <w:r w:rsidR="00D64132">
              <w:rPr>
                <w:rFonts w:cs="Arial"/>
                <w:szCs w:val="22"/>
              </w:rPr>
              <w:t>development</w:t>
            </w:r>
          </w:p>
        </w:tc>
      </w:tr>
      <w:tr w:rsidR="00C964C4" w14:paraId="03BAD057"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452C782D" w14:textId="36E363AE" w:rsidR="00BE1B96" w:rsidRPr="00BE1B96" w:rsidRDefault="00BE1B96" w:rsidP="00F81571">
            <w:pPr>
              <w:rPr>
                <w:rFonts w:cs="Arial"/>
                <w:b w:val="0"/>
                <w:bCs w:val="0"/>
                <w:szCs w:val="22"/>
              </w:rPr>
            </w:pPr>
            <w:r w:rsidRPr="00BE1B96">
              <w:rPr>
                <w:rFonts w:cs="Arial"/>
                <w:b w:val="0"/>
                <w:bCs w:val="0"/>
                <w:szCs w:val="22"/>
              </w:rPr>
              <w:t xml:space="preserve">Industry </w:t>
            </w:r>
            <w:r w:rsidR="00531927">
              <w:rPr>
                <w:rFonts w:cs="Arial"/>
                <w:b w:val="0"/>
                <w:bCs w:val="0"/>
                <w:szCs w:val="22"/>
              </w:rPr>
              <w:t>p</w:t>
            </w:r>
            <w:r w:rsidRPr="00BE1B96">
              <w:rPr>
                <w:rFonts w:cs="Arial"/>
                <w:b w:val="0"/>
                <w:bCs w:val="0"/>
                <w:szCs w:val="22"/>
              </w:rPr>
              <w:t>rofessionals</w:t>
            </w:r>
          </w:p>
        </w:tc>
        <w:tc>
          <w:tcPr>
            <w:tcW w:w="7579" w:type="dxa"/>
            <w:tcBorders>
              <w:left w:val="single" w:sz="4" w:space="0" w:color="auto"/>
              <w:right w:val="single" w:sz="4" w:space="0" w:color="auto"/>
            </w:tcBorders>
            <w:vAlign w:val="center"/>
          </w:tcPr>
          <w:p w14:paraId="560B1F40" w14:textId="4D161616" w:rsidR="00BE1B96" w:rsidRPr="00FE489E" w:rsidRDefault="006437DF"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Individuals who </w:t>
            </w:r>
            <w:r w:rsidR="006D07AA">
              <w:rPr>
                <w:rFonts w:cs="Arial"/>
                <w:szCs w:val="22"/>
              </w:rPr>
              <w:t>hold relevant qualifications or</w:t>
            </w:r>
            <w:r>
              <w:rPr>
                <w:rFonts w:cs="Arial"/>
                <w:szCs w:val="22"/>
              </w:rPr>
              <w:t xml:space="preserve"> license</w:t>
            </w:r>
            <w:r w:rsidR="00D94F11">
              <w:rPr>
                <w:rFonts w:cs="Arial"/>
                <w:szCs w:val="22"/>
              </w:rPr>
              <w:t>s</w:t>
            </w:r>
            <w:r>
              <w:rPr>
                <w:rFonts w:cs="Arial"/>
                <w:szCs w:val="22"/>
              </w:rPr>
              <w:t xml:space="preserve"> </w:t>
            </w:r>
            <w:r w:rsidR="00D94F11">
              <w:rPr>
                <w:rFonts w:cs="Arial"/>
                <w:szCs w:val="22"/>
              </w:rPr>
              <w:t>and are</w:t>
            </w:r>
            <w:r w:rsidR="003722CA">
              <w:rPr>
                <w:rFonts w:cs="Arial"/>
                <w:szCs w:val="22"/>
              </w:rPr>
              <w:t xml:space="preserve"> actively </w:t>
            </w:r>
            <w:r w:rsidR="00D94F11">
              <w:rPr>
                <w:rFonts w:cs="Arial"/>
                <w:szCs w:val="22"/>
              </w:rPr>
              <w:t>engaged</w:t>
            </w:r>
            <w:r w:rsidR="009F76DF">
              <w:rPr>
                <w:rFonts w:cs="Arial"/>
                <w:szCs w:val="22"/>
              </w:rPr>
              <w:t xml:space="preserve"> </w:t>
            </w:r>
            <w:r w:rsidR="003722CA">
              <w:rPr>
                <w:rFonts w:cs="Arial"/>
                <w:szCs w:val="22"/>
              </w:rPr>
              <w:t xml:space="preserve">within the Queensland’s building and construction </w:t>
            </w:r>
            <w:r w:rsidR="00C67DDB">
              <w:rPr>
                <w:rFonts w:cs="Arial"/>
                <w:szCs w:val="22"/>
              </w:rPr>
              <w:t>industry</w:t>
            </w:r>
          </w:p>
        </w:tc>
      </w:tr>
      <w:tr w:rsidR="007971A4" w14:paraId="4878B13C"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67B8EA81" w14:textId="0A5B7D19" w:rsidR="00BE1B96" w:rsidRPr="00BE1B96" w:rsidRDefault="00BE1B96" w:rsidP="00F81571">
            <w:pPr>
              <w:rPr>
                <w:rFonts w:cs="Arial"/>
                <w:b w:val="0"/>
                <w:bCs w:val="0"/>
                <w:szCs w:val="22"/>
              </w:rPr>
            </w:pPr>
            <w:r w:rsidRPr="00BE1B96">
              <w:rPr>
                <w:rFonts w:cs="Arial"/>
                <w:b w:val="0"/>
                <w:bCs w:val="0"/>
                <w:szCs w:val="22"/>
              </w:rPr>
              <w:t xml:space="preserve">Industry </w:t>
            </w:r>
            <w:r w:rsidR="00531927">
              <w:rPr>
                <w:rFonts w:cs="Arial"/>
                <w:b w:val="0"/>
                <w:bCs w:val="0"/>
                <w:szCs w:val="22"/>
              </w:rPr>
              <w:t>s</w:t>
            </w:r>
            <w:r w:rsidRPr="00BE1B96">
              <w:rPr>
                <w:rFonts w:cs="Arial"/>
                <w:b w:val="0"/>
                <w:bCs w:val="0"/>
                <w:szCs w:val="22"/>
              </w:rPr>
              <w:t>takeholders</w:t>
            </w:r>
          </w:p>
        </w:tc>
        <w:tc>
          <w:tcPr>
            <w:tcW w:w="7579" w:type="dxa"/>
            <w:tcBorders>
              <w:left w:val="single" w:sz="4" w:space="0" w:color="auto"/>
              <w:right w:val="single" w:sz="4" w:space="0" w:color="auto"/>
            </w:tcBorders>
            <w:vAlign w:val="center"/>
          </w:tcPr>
          <w:p w14:paraId="3C093666" w14:textId="635A1DC3" w:rsidR="00BE1B96" w:rsidRPr="00FE489E" w:rsidRDefault="00C51BA7"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Individuals, groups or organisations that have an interest in, are </w:t>
            </w:r>
            <w:r w:rsidR="004B06E2">
              <w:rPr>
                <w:rFonts w:cs="Arial"/>
                <w:szCs w:val="22"/>
              </w:rPr>
              <w:t xml:space="preserve">involved </w:t>
            </w:r>
            <w:r w:rsidR="00C53447">
              <w:rPr>
                <w:rFonts w:cs="Arial"/>
                <w:szCs w:val="22"/>
              </w:rPr>
              <w:t xml:space="preserve">in </w:t>
            </w:r>
            <w:r w:rsidR="004B06E2">
              <w:rPr>
                <w:rFonts w:cs="Arial"/>
                <w:szCs w:val="22"/>
              </w:rPr>
              <w:t>or</w:t>
            </w:r>
            <w:r>
              <w:rPr>
                <w:rFonts w:cs="Arial"/>
                <w:szCs w:val="22"/>
              </w:rPr>
              <w:t xml:space="preserve"> </w:t>
            </w:r>
            <w:r w:rsidR="00D47D9C">
              <w:rPr>
                <w:rFonts w:cs="Arial"/>
                <w:szCs w:val="22"/>
              </w:rPr>
              <w:t xml:space="preserve">are </w:t>
            </w:r>
            <w:r>
              <w:rPr>
                <w:rFonts w:cs="Arial"/>
                <w:szCs w:val="22"/>
              </w:rPr>
              <w:t xml:space="preserve">impacted by the building and construction </w:t>
            </w:r>
            <w:r w:rsidR="00D401B7">
              <w:rPr>
                <w:rFonts w:cs="Arial"/>
                <w:szCs w:val="22"/>
              </w:rPr>
              <w:t>industry</w:t>
            </w:r>
            <w:r>
              <w:rPr>
                <w:rFonts w:cs="Arial"/>
                <w:szCs w:val="22"/>
              </w:rPr>
              <w:t xml:space="preserve"> in Queensland</w:t>
            </w:r>
          </w:p>
        </w:tc>
      </w:tr>
      <w:tr w:rsidR="00C964C4" w14:paraId="33DF064F"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68C8997E" w14:textId="6FC14E3F" w:rsidR="00002101" w:rsidRDefault="00002101" w:rsidP="00F81571">
            <w:pPr>
              <w:rPr>
                <w:rFonts w:cs="Arial"/>
                <w:b w:val="0"/>
                <w:bCs w:val="0"/>
                <w:szCs w:val="22"/>
              </w:rPr>
            </w:pPr>
            <w:r>
              <w:rPr>
                <w:rFonts w:cs="Arial"/>
                <w:b w:val="0"/>
                <w:bCs w:val="0"/>
                <w:szCs w:val="22"/>
              </w:rPr>
              <w:t>Infringe</w:t>
            </w:r>
            <w:r w:rsidRPr="000772E3">
              <w:rPr>
                <w:rFonts w:cs="Arial"/>
                <w:b w:val="0"/>
                <w:bCs w:val="0"/>
                <w:szCs w:val="22"/>
              </w:rPr>
              <w:t>men</w:t>
            </w:r>
            <w:r w:rsidR="000772E3" w:rsidRPr="000772E3">
              <w:rPr>
                <w:rFonts w:cs="Arial"/>
                <w:b w:val="0"/>
                <w:bCs w:val="0"/>
                <w:szCs w:val="22"/>
              </w:rPr>
              <w:t>t</w:t>
            </w:r>
            <w:r w:rsidRPr="000772E3">
              <w:rPr>
                <w:rFonts w:cs="Arial"/>
                <w:b w:val="0"/>
                <w:bCs w:val="0"/>
                <w:szCs w:val="22"/>
              </w:rPr>
              <w:t xml:space="preserve"> </w:t>
            </w:r>
            <w:r w:rsidR="00A417DF">
              <w:rPr>
                <w:rFonts w:cs="Arial"/>
                <w:b w:val="0"/>
                <w:bCs w:val="0"/>
                <w:szCs w:val="22"/>
              </w:rPr>
              <w:t>n</w:t>
            </w:r>
            <w:r>
              <w:rPr>
                <w:rFonts w:cs="Arial"/>
                <w:b w:val="0"/>
                <w:bCs w:val="0"/>
                <w:szCs w:val="22"/>
              </w:rPr>
              <w:t>otice</w:t>
            </w:r>
          </w:p>
        </w:tc>
        <w:tc>
          <w:tcPr>
            <w:tcW w:w="7579" w:type="dxa"/>
            <w:tcBorders>
              <w:left w:val="single" w:sz="4" w:space="0" w:color="auto"/>
              <w:right w:val="single" w:sz="4" w:space="0" w:color="auto"/>
            </w:tcBorders>
            <w:vAlign w:val="center"/>
          </w:tcPr>
          <w:p w14:paraId="72B5648A" w14:textId="0399DEE0" w:rsidR="00002101" w:rsidRPr="00FE489E" w:rsidRDefault="000772E3" w:rsidP="00F81571">
            <w:pPr>
              <w:cnfStyle w:val="000000000000" w:firstRow="0" w:lastRow="0" w:firstColumn="0" w:lastColumn="0" w:oddVBand="0" w:evenVBand="0" w:oddHBand="0" w:evenHBand="0" w:firstRowFirstColumn="0" w:firstRowLastColumn="0" w:lastRowFirstColumn="0" w:lastRowLastColumn="0"/>
              <w:rPr>
                <w:rFonts w:cs="Arial"/>
                <w:szCs w:val="22"/>
              </w:rPr>
            </w:pPr>
            <w:r w:rsidRPr="000772E3">
              <w:rPr>
                <w:rFonts w:cs="Arial"/>
                <w:szCs w:val="22"/>
              </w:rPr>
              <w:t>A formal notice issued</w:t>
            </w:r>
            <w:r>
              <w:rPr>
                <w:rFonts w:cs="Arial"/>
                <w:szCs w:val="22"/>
              </w:rPr>
              <w:t xml:space="preserve"> </w:t>
            </w:r>
            <w:r w:rsidRPr="000772E3">
              <w:rPr>
                <w:rFonts w:cs="Arial"/>
                <w:szCs w:val="22"/>
              </w:rPr>
              <w:t>to a</w:t>
            </w:r>
            <w:r>
              <w:rPr>
                <w:rFonts w:cs="Arial"/>
                <w:szCs w:val="22"/>
              </w:rPr>
              <w:t xml:space="preserve">n individual </w:t>
            </w:r>
            <w:r w:rsidRPr="000772E3">
              <w:rPr>
                <w:rFonts w:cs="Arial"/>
                <w:szCs w:val="22"/>
              </w:rPr>
              <w:t>or company for breaking a law, rule or regulation in the building and construction industry</w:t>
            </w:r>
          </w:p>
        </w:tc>
      </w:tr>
      <w:tr w:rsidR="007971A4" w14:paraId="7E9420EB"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606ADB1D" w14:textId="46CA2786" w:rsidR="00350A16" w:rsidRDefault="00350A16" w:rsidP="00F81571">
            <w:pPr>
              <w:rPr>
                <w:rFonts w:cs="Arial"/>
                <w:b w:val="0"/>
                <w:bCs w:val="0"/>
                <w:szCs w:val="22"/>
              </w:rPr>
            </w:pPr>
            <w:r>
              <w:rPr>
                <w:rFonts w:cs="Arial"/>
                <w:b w:val="0"/>
                <w:bCs w:val="0"/>
                <w:szCs w:val="22"/>
              </w:rPr>
              <w:t>Initiatives</w:t>
            </w:r>
          </w:p>
        </w:tc>
        <w:tc>
          <w:tcPr>
            <w:tcW w:w="7579" w:type="dxa"/>
            <w:tcBorders>
              <w:left w:val="single" w:sz="4" w:space="0" w:color="auto"/>
              <w:right w:val="single" w:sz="4" w:space="0" w:color="auto"/>
            </w:tcBorders>
            <w:vAlign w:val="center"/>
          </w:tcPr>
          <w:p w14:paraId="7E64DD8B" w14:textId="13349E87" w:rsidR="00350A16" w:rsidRPr="002F6238" w:rsidRDefault="00F8411A" w:rsidP="00F81571">
            <w:pPr>
              <w:cnfStyle w:val="000000100000" w:firstRow="0" w:lastRow="0" w:firstColumn="0" w:lastColumn="0" w:oddVBand="0" w:evenVBand="0" w:oddHBand="1" w:evenHBand="0" w:firstRowFirstColumn="0" w:firstRowLastColumn="0" w:lastRowFirstColumn="0" w:lastRowLastColumn="0"/>
              <w:rPr>
                <w:rFonts w:cs="Arial"/>
                <w:szCs w:val="22"/>
              </w:rPr>
            </w:pPr>
            <w:r w:rsidRPr="00F8411A">
              <w:rPr>
                <w:rFonts w:cs="Arial"/>
                <w:szCs w:val="22"/>
              </w:rPr>
              <w:t xml:space="preserve">New projects, programs or actions </w:t>
            </w:r>
            <w:r w:rsidR="00391451">
              <w:rPr>
                <w:rFonts w:cs="Arial"/>
                <w:szCs w:val="22"/>
              </w:rPr>
              <w:t>implemented</w:t>
            </w:r>
            <w:r w:rsidRPr="00F8411A">
              <w:rPr>
                <w:rFonts w:cs="Arial"/>
                <w:szCs w:val="22"/>
              </w:rPr>
              <w:t xml:space="preserve"> to improve the building and construction industry, address issues </w:t>
            </w:r>
            <w:r w:rsidR="00391451">
              <w:rPr>
                <w:rFonts w:cs="Arial"/>
                <w:szCs w:val="22"/>
              </w:rPr>
              <w:t>and/</w:t>
            </w:r>
            <w:r w:rsidRPr="00F8411A">
              <w:rPr>
                <w:rFonts w:cs="Arial"/>
                <w:szCs w:val="22"/>
              </w:rPr>
              <w:t>or achieve specific goals</w:t>
            </w:r>
          </w:p>
        </w:tc>
      </w:tr>
      <w:tr w:rsidR="00C964C4" w14:paraId="6CA462CE"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2F648AA5" w14:textId="00316EF2" w:rsidR="009C617A" w:rsidRDefault="009C617A" w:rsidP="00F81571">
            <w:pPr>
              <w:rPr>
                <w:rFonts w:cs="Arial"/>
                <w:b w:val="0"/>
                <w:bCs w:val="0"/>
                <w:szCs w:val="22"/>
              </w:rPr>
            </w:pPr>
            <w:r>
              <w:rPr>
                <w:rFonts w:cs="Arial"/>
                <w:b w:val="0"/>
                <w:bCs w:val="0"/>
                <w:szCs w:val="22"/>
              </w:rPr>
              <w:t>Internal review</w:t>
            </w:r>
          </w:p>
        </w:tc>
        <w:tc>
          <w:tcPr>
            <w:tcW w:w="7579" w:type="dxa"/>
            <w:tcBorders>
              <w:left w:val="single" w:sz="4" w:space="0" w:color="auto"/>
              <w:right w:val="single" w:sz="4" w:space="0" w:color="auto"/>
            </w:tcBorders>
            <w:vAlign w:val="center"/>
          </w:tcPr>
          <w:p w14:paraId="3F2795A3" w14:textId="64B26EF7" w:rsidR="009C617A" w:rsidRPr="00F8411A" w:rsidRDefault="00851219"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A</w:t>
            </w:r>
            <w:r w:rsidRPr="00851219">
              <w:rPr>
                <w:rFonts w:cs="Arial"/>
                <w:szCs w:val="22"/>
              </w:rPr>
              <w:t xml:space="preserve"> process where the QBCC re-examines a decision </w:t>
            </w:r>
            <w:r w:rsidR="005827AE">
              <w:rPr>
                <w:rFonts w:cs="Arial"/>
                <w:szCs w:val="22"/>
              </w:rPr>
              <w:t>that</w:t>
            </w:r>
            <w:r w:rsidRPr="00851219">
              <w:rPr>
                <w:rFonts w:cs="Arial"/>
                <w:szCs w:val="22"/>
              </w:rPr>
              <w:t xml:space="preserve"> has </w:t>
            </w:r>
            <w:r w:rsidR="005827AE">
              <w:rPr>
                <w:rFonts w:cs="Arial"/>
                <w:szCs w:val="22"/>
              </w:rPr>
              <w:t>been</w:t>
            </w:r>
            <w:r w:rsidRPr="00851219">
              <w:rPr>
                <w:rFonts w:cs="Arial"/>
                <w:szCs w:val="22"/>
              </w:rPr>
              <w:t xml:space="preserve"> made</w:t>
            </w:r>
          </w:p>
        </w:tc>
      </w:tr>
      <w:tr w:rsidR="007971A4" w14:paraId="3E6A5124"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24B48B89" w14:textId="3B27FFF2" w:rsidR="00164636" w:rsidRPr="00D86494" w:rsidRDefault="00F81571" w:rsidP="00164636">
            <w:pPr>
              <w:rPr>
                <w:rFonts w:cs="Arial"/>
                <w:b w:val="0"/>
                <w:szCs w:val="22"/>
              </w:rPr>
            </w:pPr>
            <w:r>
              <w:rPr>
                <w:rFonts w:cs="Arial"/>
                <w:b w:val="0"/>
                <w:bCs w:val="0"/>
                <w:szCs w:val="22"/>
              </w:rPr>
              <w:t>Investigation</w:t>
            </w:r>
          </w:p>
        </w:tc>
        <w:tc>
          <w:tcPr>
            <w:tcW w:w="7579" w:type="dxa"/>
            <w:tcBorders>
              <w:left w:val="single" w:sz="4" w:space="0" w:color="auto"/>
              <w:right w:val="single" w:sz="4" w:space="0" w:color="auto"/>
            </w:tcBorders>
            <w:vAlign w:val="center"/>
          </w:tcPr>
          <w:p w14:paraId="3D59BFDE" w14:textId="2C57F656" w:rsidR="00164636" w:rsidRPr="00D86494" w:rsidRDefault="000365EB" w:rsidP="00164636">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E</w:t>
            </w:r>
            <w:r w:rsidR="0048269B">
              <w:rPr>
                <w:rFonts w:cs="Arial"/>
                <w:szCs w:val="22"/>
              </w:rPr>
              <w:t>xamin</w:t>
            </w:r>
            <w:r>
              <w:rPr>
                <w:rFonts w:cs="Arial"/>
                <w:szCs w:val="22"/>
              </w:rPr>
              <w:t>ing</w:t>
            </w:r>
            <w:r w:rsidR="0048269B">
              <w:rPr>
                <w:rFonts w:cs="Arial"/>
                <w:szCs w:val="22"/>
              </w:rPr>
              <w:t xml:space="preserve"> complaints, alleged breaches or issues in the building industry, with the aim of finding facts and deciding if any </w:t>
            </w:r>
            <w:r w:rsidR="00793DFF">
              <w:rPr>
                <w:rFonts w:cs="Arial"/>
                <w:szCs w:val="22"/>
              </w:rPr>
              <w:t>industry</w:t>
            </w:r>
            <w:r w:rsidR="0048269B">
              <w:rPr>
                <w:rFonts w:cs="Arial"/>
                <w:szCs w:val="22"/>
              </w:rPr>
              <w:t xml:space="preserve"> rules or laws have been breached</w:t>
            </w:r>
          </w:p>
        </w:tc>
      </w:tr>
      <w:tr w:rsidR="00C964C4" w14:paraId="4FD41BDA"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024508EB" w14:textId="71CA3DA6" w:rsidR="00F5322B" w:rsidRDefault="00F5322B" w:rsidP="00F81571">
            <w:pPr>
              <w:rPr>
                <w:rFonts w:cs="Arial"/>
                <w:b w:val="0"/>
                <w:bCs w:val="0"/>
                <w:szCs w:val="22"/>
              </w:rPr>
            </w:pPr>
            <w:r>
              <w:rPr>
                <w:rFonts w:cs="Arial"/>
                <w:b w:val="0"/>
                <w:bCs w:val="0"/>
                <w:szCs w:val="22"/>
              </w:rPr>
              <w:t>Learning and development</w:t>
            </w:r>
          </w:p>
        </w:tc>
        <w:tc>
          <w:tcPr>
            <w:tcW w:w="7579" w:type="dxa"/>
            <w:tcBorders>
              <w:left w:val="single" w:sz="4" w:space="0" w:color="auto"/>
              <w:right w:val="single" w:sz="4" w:space="0" w:color="auto"/>
            </w:tcBorders>
            <w:vAlign w:val="center"/>
          </w:tcPr>
          <w:p w14:paraId="2D73D58C" w14:textId="45921DB4" w:rsidR="00F5322B" w:rsidRDefault="00DF5ADA"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Programs, training and opportunities to help </w:t>
            </w:r>
            <w:r w:rsidR="000027E0">
              <w:rPr>
                <w:rFonts w:cs="Arial"/>
                <w:szCs w:val="22"/>
              </w:rPr>
              <w:t>employees</w:t>
            </w:r>
            <w:r>
              <w:rPr>
                <w:rFonts w:cs="Arial"/>
                <w:szCs w:val="22"/>
              </w:rPr>
              <w:t xml:space="preserve"> build skills, gain knowledge and improve their performance </w:t>
            </w:r>
            <w:r w:rsidR="003A5285">
              <w:rPr>
                <w:rFonts w:cs="Arial"/>
                <w:szCs w:val="22"/>
              </w:rPr>
              <w:t>and career growth</w:t>
            </w:r>
          </w:p>
        </w:tc>
      </w:tr>
      <w:tr w:rsidR="007971A4" w14:paraId="21DD9518"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16B8B3FC" w14:textId="0892B166" w:rsidR="00164636" w:rsidRPr="00D86494" w:rsidRDefault="00F81571" w:rsidP="00164636">
            <w:pPr>
              <w:rPr>
                <w:rFonts w:cs="Arial"/>
                <w:b w:val="0"/>
                <w:szCs w:val="22"/>
              </w:rPr>
            </w:pPr>
            <w:r>
              <w:rPr>
                <w:rFonts w:cs="Arial"/>
                <w:b w:val="0"/>
                <w:bCs w:val="0"/>
                <w:szCs w:val="22"/>
              </w:rPr>
              <w:t>Licensee</w:t>
            </w:r>
          </w:p>
        </w:tc>
        <w:tc>
          <w:tcPr>
            <w:tcW w:w="7579" w:type="dxa"/>
            <w:tcBorders>
              <w:left w:val="single" w:sz="4" w:space="0" w:color="auto"/>
              <w:right w:val="single" w:sz="4" w:space="0" w:color="auto"/>
            </w:tcBorders>
            <w:vAlign w:val="center"/>
          </w:tcPr>
          <w:p w14:paraId="46DD8ECE" w14:textId="04D5CB8A" w:rsidR="00164636" w:rsidRPr="00D86494" w:rsidRDefault="00A53550" w:rsidP="00164636">
            <w:pPr>
              <w:cnfStyle w:val="000000100000" w:firstRow="0" w:lastRow="0" w:firstColumn="0" w:lastColumn="0" w:oddVBand="0" w:evenVBand="0" w:oddHBand="1" w:evenHBand="0" w:firstRowFirstColumn="0" w:firstRowLastColumn="0" w:lastRowFirstColumn="0" w:lastRowLastColumn="0"/>
              <w:rPr>
                <w:rFonts w:cs="Arial"/>
                <w:szCs w:val="22"/>
              </w:rPr>
            </w:pPr>
            <w:r w:rsidRPr="00A53550">
              <w:rPr>
                <w:rFonts w:cs="Arial"/>
                <w:szCs w:val="22"/>
              </w:rPr>
              <w:t>An individual</w:t>
            </w:r>
            <w:r w:rsidR="00C24EA7">
              <w:rPr>
                <w:rFonts w:cs="Arial"/>
                <w:szCs w:val="22"/>
              </w:rPr>
              <w:t xml:space="preserve"> or company</w:t>
            </w:r>
            <w:r w:rsidRPr="00A53550">
              <w:rPr>
                <w:rFonts w:cs="Arial"/>
                <w:szCs w:val="22"/>
              </w:rPr>
              <w:t xml:space="preserve"> that</w:t>
            </w:r>
            <w:r w:rsidR="00DD3D60">
              <w:rPr>
                <w:rFonts w:cs="Arial"/>
                <w:szCs w:val="22"/>
              </w:rPr>
              <w:t xml:space="preserve"> holds a valid licence to carry out building work or provide related services in Queensland</w:t>
            </w:r>
          </w:p>
        </w:tc>
      </w:tr>
      <w:tr w:rsidR="00C964C4" w14:paraId="49222BF4"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1496661D" w14:textId="4DC91AA2" w:rsidR="00430960" w:rsidRDefault="00430960" w:rsidP="00F81571">
            <w:pPr>
              <w:rPr>
                <w:rFonts w:cs="Arial"/>
                <w:b w:val="0"/>
                <w:bCs w:val="0"/>
                <w:szCs w:val="22"/>
              </w:rPr>
            </w:pPr>
            <w:r>
              <w:rPr>
                <w:rFonts w:cs="Arial"/>
                <w:b w:val="0"/>
                <w:bCs w:val="0"/>
                <w:szCs w:val="22"/>
              </w:rPr>
              <w:t>Licensing</w:t>
            </w:r>
          </w:p>
        </w:tc>
        <w:tc>
          <w:tcPr>
            <w:tcW w:w="7579" w:type="dxa"/>
            <w:tcBorders>
              <w:left w:val="single" w:sz="4" w:space="0" w:color="auto"/>
              <w:right w:val="single" w:sz="4" w:space="0" w:color="auto"/>
            </w:tcBorders>
            <w:vAlign w:val="center"/>
          </w:tcPr>
          <w:p w14:paraId="68D832CF" w14:textId="18EE221C" w:rsidR="00430960" w:rsidRPr="00A53550" w:rsidRDefault="00CD77E8"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The process </w:t>
            </w:r>
            <w:r w:rsidR="002732C3">
              <w:rPr>
                <w:rFonts w:cs="Arial"/>
                <w:szCs w:val="22"/>
              </w:rPr>
              <w:t xml:space="preserve">of </w:t>
            </w:r>
            <w:r>
              <w:rPr>
                <w:rFonts w:cs="Arial"/>
                <w:szCs w:val="22"/>
              </w:rPr>
              <w:t xml:space="preserve">granting, renewing or managing licences that allows individuals or companies to legally carry out building work </w:t>
            </w:r>
            <w:r w:rsidR="00B9619D">
              <w:rPr>
                <w:rFonts w:cs="Arial"/>
                <w:szCs w:val="22"/>
              </w:rPr>
              <w:t>or related services in Queensland</w:t>
            </w:r>
          </w:p>
        </w:tc>
      </w:tr>
      <w:tr w:rsidR="007971A4" w14:paraId="7921332D"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422E93CD" w14:textId="5666047C" w:rsidR="00397A51" w:rsidRDefault="00397A51" w:rsidP="00F81571">
            <w:pPr>
              <w:rPr>
                <w:rFonts w:cs="Arial"/>
                <w:b w:val="0"/>
                <w:bCs w:val="0"/>
                <w:szCs w:val="22"/>
              </w:rPr>
            </w:pPr>
            <w:r>
              <w:rPr>
                <w:rFonts w:cs="Arial"/>
                <w:b w:val="0"/>
                <w:bCs w:val="0"/>
                <w:szCs w:val="22"/>
              </w:rPr>
              <w:t xml:space="preserve">Machinery of </w:t>
            </w:r>
            <w:r w:rsidR="002732C3">
              <w:rPr>
                <w:rFonts w:cs="Arial"/>
                <w:b w:val="0"/>
                <w:bCs w:val="0"/>
                <w:szCs w:val="22"/>
              </w:rPr>
              <w:t>g</w:t>
            </w:r>
            <w:r>
              <w:rPr>
                <w:rFonts w:cs="Arial"/>
                <w:b w:val="0"/>
                <w:bCs w:val="0"/>
                <w:szCs w:val="22"/>
              </w:rPr>
              <w:t>overnment changes</w:t>
            </w:r>
          </w:p>
        </w:tc>
        <w:tc>
          <w:tcPr>
            <w:tcW w:w="7579" w:type="dxa"/>
            <w:tcBorders>
              <w:left w:val="single" w:sz="4" w:space="0" w:color="auto"/>
              <w:right w:val="single" w:sz="4" w:space="0" w:color="auto"/>
            </w:tcBorders>
            <w:vAlign w:val="center"/>
          </w:tcPr>
          <w:p w14:paraId="0FE902E8" w14:textId="029F4FC3" w:rsidR="00397A51" w:rsidRDefault="00BE454C"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C</w:t>
            </w:r>
            <w:r w:rsidRPr="00BE454C">
              <w:rPr>
                <w:rFonts w:cs="Arial"/>
                <w:szCs w:val="22"/>
              </w:rPr>
              <w:t>hanges made by the Queensland Government to the structure, functions or responsibilities of government departments and agencies</w:t>
            </w:r>
          </w:p>
        </w:tc>
      </w:tr>
      <w:tr w:rsidR="00C964C4" w14:paraId="5DDB0938"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3A3CD8E9" w14:textId="22FF499C" w:rsidR="00685181" w:rsidRDefault="004117B2" w:rsidP="00F81571">
            <w:pPr>
              <w:rPr>
                <w:rFonts w:cs="Arial"/>
                <w:b w:val="0"/>
                <w:bCs w:val="0"/>
                <w:szCs w:val="22"/>
              </w:rPr>
            </w:pPr>
            <w:r>
              <w:rPr>
                <w:rFonts w:cs="Arial"/>
                <w:b w:val="0"/>
                <w:bCs w:val="0"/>
                <w:szCs w:val="22"/>
              </w:rPr>
              <w:t>Mediation</w:t>
            </w:r>
          </w:p>
        </w:tc>
        <w:tc>
          <w:tcPr>
            <w:tcW w:w="7579" w:type="dxa"/>
            <w:tcBorders>
              <w:left w:val="single" w:sz="4" w:space="0" w:color="auto"/>
              <w:right w:val="single" w:sz="4" w:space="0" w:color="auto"/>
            </w:tcBorders>
            <w:vAlign w:val="center"/>
          </w:tcPr>
          <w:p w14:paraId="4B5A2F72" w14:textId="34C3992C" w:rsidR="00685181" w:rsidRDefault="008C29D8"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A</w:t>
            </w:r>
            <w:r w:rsidR="00B57C63" w:rsidRPr="00B57C63">
              <w:rPr>
                <w:rFonts w:cs="Arial"/>
                <w:szCs w:val="22"/>
              </w:rPr>
              <w:t xml:space="preserve"> confidential process</w:t>
            </w:r>
            <w:r w:rsidR="00B57C63">
              <w:rPr>
                <w:rFonts w:cs="Arial"/>
                <w:szCs w:val="22"/>
              </w:rPr>
              <w:t xml:space="preserve"> </w:t>
            </w:r>
            <w:r w:rsidR="001717CE">
              <w:rPr>
                <w:rFonts w:cs="Arial"/>
                <w:szCs w:val="22"/>
              </w:rPr>
              <w:t xml:space="preserve">in which </w:t>
            </w:r>
            <w:r w:rsidR="00FE6707" w:rsidRPr="00FE6707">
              <w:rPr>
                <w:rFonts w:cs="Arial"/>
                <w:szCs w:val="22"/>
              </w:rPr>
              <w:t xml:space="preserve">an independent </w:t>
            </w:r>
            <w:r w:rsidR="001717CE">
              <w:rPr>
                <w:rFonts w:cs="Arial"/>
                <w:szCs w:val="22"/>
              </w:rPr>
              <w:t>and impartial facilitator helps</w:t>
            </w:r>
            <w:r w:rsidR="00FE6707" w:rsidRPr="00FE6707">
              <w:rPr>
                <w:rFonts w:cs="Arial"/>
                <w:szCs w:val="22"/>
              </w:rPr>
              <w:t xml:space="preserve"> parties</w:t>
            </w:r>
            <w:r w:rsidR="00E527AD">
              <w:rPr>
                <w:rFonts w:cs="Arial"/>
                <w:szCs w:val="22"/>
              </w:rPr>
              <w:t xml:space="preserve"> </w:t>
            </w:r>
            <w:r w:rsidR="001717CE">
              <w:rPr>
                <w:rFonts w:cs="Arial"/>
                <w:szCs w:val="22"/>
              </w:rPr>
              <w:t xml:space="preserve">communicate and negotiate </w:t>
            </w:r>
            <w:r w:rsidR="00E527AD" w:rsidRPr="00E527AD">
              <w:rPr>
                <w:rFonts w:cs="Arial"/>
                <w:szCs w:val="22"/>
              </w:rPr>
              <w:t xml:space="preserve">to resolve disputes </w:t>
            </w:r>
            <w:r w:rsidR="001717CE">
              <w:rPr>
                <w:rFonts w:cs="Arial"/>
                <w:szCs w:val="22"/>
              </w:rPr>
              <w:t>related to</w:t>
            </w:r>
            <w:r w:rsidR="00E527AD" w:rsidRPr="00E527AD">
              <w:rPr>
                <w:rFonts w:cs="Arial"/>
                <w:szCs w:val="22"/>
              </w:rPr>
              <w:t xml:space="preserve"> building work</w:t>
            </w:r>
          </w:p>
        </w:tc>
      </w:tr>
      <w:tr w:rsidR="007971A4" w14:paraId="191B3A48" w14:textId="77777777" w:rsidTr="00E272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17C3052B" w14:textId="2FF895D3" w:rsidR="00164636" w:rsidRPr="00D86494" w:rsidRDefault="00F81571" w:rsidP="00164636">
            <w:pPr>
              <w:rPr>
                <w:rFonts w:cs="Arial"/>
                <w:b w:val="0"/>
                <w:szCs w:val="22"/>
              </w:rPr>
            </w:pPr>
            <w:r>
              <w:rPr>
                <w:rFonts w:cs="Arial"/>
                <w:b w:val="0"/>
                <w:bCs w:val="0"/>
                <w:szCs w:val="22"/>
              </w:rPr>
              <w:t>Obligations</w:t>
            </w:r>
          </w:p>
        </w:tc>
        <w:tc>
          <w:tcPr>
            <w:tcW w:w="7579" w:type="dxa"/>
            <w:tcBorders>
              <w:left w:val="single" w:sz="4" w:space="0" w:color="auto"/>
              <w:right w:val="single" w:sz="4" w:space="0" w:color="auto"/>
            </w:tcBorders>
            <w:vAlign w:val="center"/>
          </w:tcPr>
          <w:p w14:paraId="2FAA08C1" w14:textId="4ED802B4" w:rsidR="00164636" w:rsidRPr="00D86494" w:rsidRDefault="00EC5723" w:rsidP="00164636">
            <w:pPr>
              <w:cnfStyle w:val="000000100000" w:firstRow="0" w:lastRow="0" w:firstColumn="0" w:lastColumn="0" w:oddVBand="0" w:evenVBand="0" w:oddHBand="1" w:evenHBand="0" w:firstRowFirstColumn="0" w:firstRowLastColumn="0" w:lastRowFirstColumn="0" w:lastRowLastColumn="0"/>
              <w:rPr>
                <w:rFonts w:cs="Arial"/>
                <w:szCs w:val="22"/>
              </w:rPr>
            </w:pPr>
            <w:r w:rsidRPr="00EC5723">
              <w:rPr>
                <w:rFonts w:cs="Arial"/>
                <w:szCs w:val="22"/>
              </w:rPr>
              <w:t xml:space="preserve">Duties or responsibilities that </w:t>
            </w:r>
            <w:r w:rsidR="00E14B0B" w:rsidRPr="00E14B0B">
              <w:rPr>
                <w:rFonts w:cs="Arial"/>
                <w:szCs w:val="22"/>
              </w:rPr>
              <w:t>an individual</w:t>
            </w:r>
            <w:r w:rsidRPr="00EC5723">
              <w:rPr>
                <w:rFonts w:cs="Arial"/>
                <w:szCs w:val="22"/>
              </w:rPr>
              <w:t xml:space="preserve">, organisation or </w:t>
            </w:r>
            <w:r w:rsidR="000E2B8D">
              <w:rPr>
                <w:rFonts w:cs="Arial"/>
                <w:szCs w:val="22"/>
              </w:rPr>
              <w:t>contractor must follow under the laws, rules</w:t>
            </w:r>
            <w:r w:rsidRPr="00EC5723">
              <w:rPr>
                <w:rFonts w:cs="Arial"/>
                <w:szCs w:val="22"/>
              </w:rPr>
              <w:t xml:space="preserve"> or </w:t>
            </w:r>
            <w:r w:rsidR="000E2B8D">
              <w:rPr>
                <w:rFonts w:cs="Arial"/>
                <w:szCs w:val="22"/>
              </w:rPr>
              <w:t>conditions</w:t>
            </w:r>
          </w:p>
        </w:tc>
      </w:tr>
      <w:tr w:rsidR="00C964C4" w14:paraId="3BC3BE8A" w14:textId="77777777" w:rsidTr="00E272E6">
        <w:trPr>
          <w:trHeight w:val="7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3153B69F" w14:textId="61A245B5" w:rsidR="002E4C4F" w:rsidRDefault="002E4C4F" w:rsidP="00F81571">
            <w:pPr>
              <w:rPr>
                <w:rFonts w:cs="Arial"/>
                <w:b w:val="0"/>
                <w:bCs w:val="0"/>
                <w:szCs w:val="22"/>
              </w:rPr>
            </w:pPr>
            <w:r>
              <w:rPr>
                <w:rFonts w:cs="Arial"/>
                <w:b w:val="0"/>
                <w:bCs w:val="0"/>
                <w:szCs w:val="22"/>
              </w:rPr>
              <w:t xml:space="preserve">Onboarding and </w:t>
            </w:r>
            <w:r w:rsidR="00D4447D">
              <w:rPr>
                <w:rFonts w:cs="Arial"/>
                <w:b w:val="0"/>
                <w:bCs w:val="0"/>
                <w:szCs w:val="22"/>
              </w:rPr>
              <w:t>induction</w:t>
            </w:r>
          </w:p>
        </w:tc>
        <w:tc>
          <w:tcPr>
            <w:tcW w:w="7579" w:type="dxa"/>
            <w:tcBorders>
              <w:left w:val="single" w:sz="4" w:space="0" w:color="auto"/>
              <w:right w:val="single" w:sz="4" w:space="0" w:color="auto"/>
            </w:tcBorders>
            <w:vAlign w:val="center"/>
          </w:tcPr>
          <w:p w14:paraId="7391CF1F" w14:textId="4FEC9C70" w:rsidR="002E4C4F" w:rsidRPr="00E14B0B" w:rsidRDefault="00C54EAB"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Welcoming new </w:t>
            </w:r>
            <w:r w:rsidR="006078F0">
              <w:rPr>
                <w:rFonts w:cs="Arial"/>
                <w:szCs w:val="22"/>
              </w:rPr>
              <w:t>employees</w:t>
            </w:r>
            <w:r w:rsidR="0037241E">
              <w:rPr>
                <w:rFonts w:cs="Arial"/>
                <w:szCs w:val="22"/>
              </w:rPr>
              <w:t xml:space="preserve"> and providing essential information, training and support</w:t>
            </w:r>
            <w:r w:rsidR="00CA332C">
              <w:rPr>
                <w:rFonts w:cs="Arial"/>
                <w:szCs w:val="22"/>
              </w:rPr>
              <w:t xml:space="preserve"> to </w:t>
            </w:r>
            <w:r w:rsidR="00BD5D85">
              <w:rPr>
                <w:rFonts w:cs="Arial"/>
                <w:szCs w:val="22"/>
              </w:rPr>
              <w:t xml:space="preserve">assist </w:t>
            </w:r>
            <w:r w:rsidR="00794011">
              <w:rPr>
                <w:rFonts w:cs="Arial"/>
                <w:szCs w:val="22"/>
              </w:rPr>
              <w:t xml:space="preserve">them </w:t>
            </w:r>
            <w:r w:rsidR="00BD5D85">
              <w:rPr>
                <w:rFonts w:cs="Arial"/>
                <w:szCs w:val="22"/>
              </w:rPr>
              <w:t xml:space="preserve">in </w:t>
            </w:r>
            <w:r w:rsidR="00CA332C">
              <w:rPr>
                <w:rFonts w:cs="Arial"/>
                <w:szCs w:val="22"/>
              </w:rPr>
              <w:t>understand</w:t>
            </w:r>
            <w:r w:rsidR="00BD5D85">
              <w:rPr>
                <w:rFonts w:cs="Arial"/>
                <w:szCs w:val="22"/>
              </w:rPr>
              <w:t>ing</w:t>
            </w:r>
            <w:r w:rsidR="00CA332C">
              <w:rPr>
                <w:rFonts w:cs="Arial"/>
                <w:szCs w:val="22"/>
              </w:rPr>
              <w:t xml:space="preserve"> the organisations values, policies and procedures</w:t>
            </w:r>
          </w:p>
        </w:tc>
      </w:tr>
      <w:tr w:rsidR="007971A4" w14:paraId="509B74CF" w14:textId="77777777" w:rsidTr="00E272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5298C004" w14:textId="2527935C" w:rsidR="00B21C4C" w:rsidRDefault="00B21C4C" w:rsidP="00F81571">
            <w:pPr>
              <w:rPr>
                <w:rFonts w:cs="Arial"/>
                <w:b w:val="0"/>
                <w:bCs w:val="0"/>
                <w:szCs w:val="22"/>
              </w:rPr>
            </w:pPr>
            <w:r>
              <w:rPr>
                <w:rFonts w:cs="Arial"/>
                <w:b w:val="0"/>
                <w:bCs w:val="0"/>
                <w:szCs w:val="22"/>
              </w:rPr>
              <w:t>Offence</w:t>
            </w:r>
          </w:p>
        </w:tc>
        <w:tc>
          <w:tcPr>
            <w:tcW w:w="7579" w:type="dxa"/>
            <w:tcBorders>
              <w:left w:val="single" w:sz="4" w:space="0" w:color="auto"/>
              <w:right w:val="single" w:sz="4" w:space="0" w:color="auto"/>
            </w:tcBorders>
            <w:vAlign w:val="center"/>
          </w:tcPr>
          <w:p w14:paraId="490B4679" w14:textId="433A67DA" w:rsidR="00B21C4C" w:rsidRDefault="00BB6FE2"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w:t>
            </w:r>
            <w:r w:rsidRPr="00BB6FE2">
              <w:rPr>
                <w:rFonts w:cs="Arial"/>
                <w:szCs w:val="22"/>
              </w:rPr>
              <w:t xml:space="preserve"> breach or violation of building laws, regulations or licence conditions</w:t>
            </w:r>
            <w:r>
              <w:rPr>
                <w:rFonts w:cs="Arial"/>
                <w:szCs w:val="22"/>
              </w:rPr>
              <w:t xml:space="preserve"> resulting in </w:t>
            </w:r>
            <w:r w:rsidRPr="00BB6FE2">
              <w:rPr>
                <w:rFonts w:cs="Arial"/>
                <w:szCs w:val="22"/>
              </w:rPr>
              <w:t>penalties</w:t>
            </w:r>
            <w:r w:rsidR="00D30AB1">
              <w:rPr>
                <w:rFonts w:cs="Arial"/>
                <w:szCs w:val="22"/>
              </w:rPr>
              <w:t>,</w:t>
            </w:r>
            <w:r w:rsidRPr="00BB6FE2">
              <w:rPr>
                <w:rFonts w:cs="Arial"/>
                <w:szCs w:val="22"/>
              </w:rPr>
              <w:t xml:space="preserve"> such as fines, demerit points or disciplinary action against the individual involved</w:t>
            </w:r>
          </w:p>
        </w:tc>
      </w:tr>
      <w:tr w:rsidR="00C964C4" w14:paraId="75D73942"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698C4725" w14:textId="6E988DCD" w:rsidR="00164636" w:rsidRPr="00D86494" w:rsidRDefault="00F81571" w:rsidP="00164636">
            <w:pPr>
              <w:rPr>
                <w:rFonts w:cs="Arial"/>
                <w:b w:val="0"/>
                <w:szCs w:val="22"/>
              </w:rPr>
            </w:pPr>
            <w:r>
              <w:rPr>
                <w:rFonts w:cs="Arial"/>
                <w:b w:val="0"/>
                <w:bCs w:val="0"/>
                <w:szCs w:val="22"/>
              </w:rPr>
              <w:t>Performance</w:t>
            </w:r>
          </w:p>
        </w:tc>
        <w:tc>
          <w:tcPr>
            <w:tcW w:w="7579" w:type="dxa"/>
            <w:tcBorders>
              <w:left w:val="single" w:sz="4" w:space="0" w:color="auto"/>
              <w:right w:val="single" w:sz="4" w:space="0" w:color="auto"/>
            </w:tcBorders>
            <w:vAlign w:val="center"/>
          </w:tcPr>
          <w:p w14:paraId="4592464F" w14:textId="32AEF701" w:rsidR="00164636" w:rsidRPr="00D86494" w:rsidRDefault="005A00D0" w:rsidP="00164636">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A</w:t>
            </w:r>
            <w:r w:rsidR="007B0D08">
              <w:rPr>
                <w:rFonts w:cs="Arial"/>
                <w:szCs w:val="22"/>
              </w:rPr>
              <w:t>n</w:t>
            </w:r>
            <w:r>
              <w:rPr>
                <w:rFonts w:cs="Arial"/>
                <w:szCs w:val="22"/>
              </w:rPr>
              <w:t xml:space="preserve"> individual, business or building project </w:t>
            </w:r>
            <w:r w:rsidR="007B0D08">
              <w:rPr>
                <w:rFonts w:cs="Arial"/>
                <w:szCs w:val="22"/>
              </w:rPr>
              <w:t>meeting</w:t>
            </w:r>
            <w:r>
              <w:rPr>
                <w:rFonts w:cs="Arial"/>
                <w:szCs w:val="22"/>
              </w:rPr>
              <w:t xml:space="preserve"> the standards, requirements and expectations</w:t>
            </w:r>
          </w:p>
        </w:tc>
      </w:tr>
      <w:tr w:rsidR="007971A4" w14:paraId="0F43AA07"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5B8D327C" w14:textId="44E631EA" w:rsidR="00D4447D" w:rsidRDefault="00D4447D" w:rsidP="00F81571">
            <w:pPr>
              <w:rPr>
                <w:rFonts w:cs="Arial"/>
                <w:b w:val="0"/>
                <w:bCs w:val="0"/>
                <w:szCs w:val="22"/>
              </w:rPr>
            </w:pPr>
            <w:r>
              <w:rPr>
                <w:rFonts w:cs="Arial"/>
                <w:b w:val="0"/>
                <w:bCs w:val="0"/>
                <w:szCs w:val="22"/>
              </w:rPr>
              <w:t>Performance development plan</w:t>
            </w:r>
          </w:p>
        </w:tc>
        <w:tc>
          <w:tcPr>
            <w:tcW w:w="7579" w:type="dxa"/>
            <w:tcBorders>
              <w:left w:val="single" w:sz="4" w:space="0" w:color="auto"/>
              <w:right w:val="single" w:sz="4" w:space="0" w:color="auto"/>
            </w:tcBorders>
            <w:vAlign w:val="center"/>
          </w:tcPr>
          <w:p w14:paraId="52D6A34D" w14:textId="7D46AEE9" w:rsidR="00D4447D" w:rsidRDefault="00167C38"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 s</w:t>
            </w:r>
            <w:r w:rsidR="00670B95">
              <w:rPr>
                <w:rFonts w:cs="Arial"/>
                <w:szCs w:val="22"/>
              </w:rPr>
              <w:t xml:space="preserve">tructured plans to help </w:t>
            </w:r>
            <w:r w:rsidR="003C543B">
              <w:rPr>
                <w:rFonts w:cs="Arial"/>
                <w:szCs w:val="22"/>
              </w:rPr>
              <w:t>employees</w:t>
            </w:r>
            <w:r w:rsidR="00670B95">
              <w:rPr>
                <w:rFonts w:cs="Arial"/>
                <w:szCs w:val="22"/>
              </w:rPr>
              <w:t xml:space="preserve"> set work goals, track progress and identify training and support needed to improve their skills and job performance</w:t>
            </w:r>
          </w:p>
        </w:tc>
      </w:tr>
      <w:tr w:rsidR="00C964C4" w14:paraId="4DCA446E"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7DFEB434" w14:textId="17E08C70" w:rsidR="00F5322B" w:rsidRDefault="00F5322B" w:rsidP="00F81571">
            <w:pPr>
              <w:rPr>
                <w:rFonts w:cs="Arial"/>
                <w:b w:val="0"/>
                <w:bCs w:val="0"/>
                <w:szCs w:val="22"/>
              </w:rPr>
            </w:pPr>
            <w:r>
              <w:rPr>
                <w:rFonts w:cs="Arial"/>
                <w:b w:val="0"/>
                <w:bCs w:val="0"/>
                <w:szCs w:val="22"/>
              </w:rPr>
              <w:lastRenderedPageBreak/>
              <w:t>Performance measures</w:t>
            </w:r>
          </w:p>
        </w:tc>
        <w:tc>
          <w:tcPr>
            <w:tcW w:w="7579" w:type="dxa"/>
            <w:tcBorders>
              <w:left w:val="single" w:sz="4" w:space="0" w:color="auto"/>
              <w:right w:val="single" w:sz="4" w:space="0" w:color="auto"/>
            </w:tcBorders>
            <w:vAlign w:val="center"/>
          </w:tcPr>
          <w:p w14:paraId="2F543D8E" w14:textId="1BB120C6" w:rsidR="00F5322B" w:rsidRDefault="003A4C82"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Standards or benchmarks</w:t>
            </w:r>
            <w:r w:rsidR="004C7970">
              <w:rPr>
                <w:rFonts w:cs="Arial"/>
                <w:szCs w:val="22"/>
              </w:rPr>
              <w:t xml:space="preserve"> used to </w:t>
            </w:r>
            <w:r w:rsidR="007541A6">
              <w:rPr>
                <w:rFonts w:cs="Arial"/>
                <w:szCs w:val="22"/>
              </w:rPr>
              <w:t xml:space="preserve">evaluate the performance of </w:t>
            </w:r>
            <w:r w:rsidR="004C7970">
              <w:rPr>
                <w:rFonts w:cs="Arial"/>
                <w:szCs w:val="22"/>
              </w:rPr>
              <w:t>individuals, te</w:t>
            </w:r>
            <w:r w:rsidR="004F35A6">
              <w:rPr>
                <w:rFonts w:cs="Arial"/>
                <w:szCs w:val="22"/>
              </w:rPr>
              <w:t xml:space="preserve">ams or the organisation </w:t>
            </w:r>
            <w:r w:rsidR="007541A6">
              <w:rPr>
                <w:rFonts w:cs="Arial"/>
                <w:szCs w:val="22"/>
              </w:rPr>
              <w:t xml:space="preserve">in </w:t>
            </w:r>
            <w:r w:rsidR="004F35A6">
              <w:rPr>
                <w:rFonts w:cs="Arial"/>
                <w:szCs w:val="22"/>
              </w:rPr>
              <w:t xml:space="preserve">achieving </w:t>
            </w:r>
            <w:r w:rsidR="007541A6">
              <w:rPr>
                <w:rFonts w:cs="Arial"/>
                <w:szCs w:val="22"/>
              </w:rPr>
              <w:t>objectives</w:t>
            </w:r>
            <w:r w:rsidR="004F35A6">
              <w:rPr>
                <w:rFonts w:cs="Arial"/>
                <w:szCs w:val="22"/>
              </w:rPr>
              <w:t xml:space="preserve">, meeting </w:t>
            </w:r>
            <w:r w:rsidR="00C80D78">
              <w:rPr>
                <w:rFonts w:cs="Arial"/>
                <w:szCs w:val="22"/>
              </w:rPr>
              <w:t xml:space="preserve">expectations </w:t>
            </w:r>
            <w:r w:rsidR="004F35A6">
              <w:rPr>
                <w:rFonts w:cs="Arial"/>
                <w:szCs w:val="22"/>
              </w:rPr>
              <w:t>or delivering services</w:t>
            </w:r>
            <w:r w:rsidR="00C80D78">
              <w:rPr>
                <w:rFonts w:cs="Arial"/>
                <w:szCs w:val="22"/>
              </w:rPr>
              <w:t xml:space="preserve"> effectively</w:t>
            </w:r>
          </w:p>
        </w:tc>
      </w:tr>
      <w:tr w:rsidR="007971A4" w14:paraId="037C016B"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6A1DC077" w14:textId="6D84DC9E" w:rsidR="00164636" w:rsidRPr="00D86494" w:rsidRDefault="00F81571" w:rsidP="00164636">
            <w:pPr>
              <w:rPr>
                <w:rFonts w:cs="Arial"/>
                <w:b w:val="0"/>
                <w:szCs w:val="22"/>
              </w:rPr>
            </w:pPr>
            <w:r>
              <w:rPr>
                <w:rFonts w:cs="Arial"/>
                <w:b w:val="0"/>
                <w:bCs w:val="0"/>
                <w:szCs w:val="22"/>
              </w:rPr>
              <w:t>Procurement</w:t>
            </w:r>
          </w:p>
        </w:tc>
        <w:tc>
          <w:tcPr>
            <w:tcW w:w="7579" w:type="dxa"/>
            <w:tcBorders>
              <w:left w:val="single" w:sz="4" w:space="0" w:color="auto"/>
              <w:right w:val="single" w:sz="4" w:space="0" w:color="auto"/>
            </w:tcBorders>
            <w:vAlign w:val="center"/>
          </w:tcPr>
          <w:p w14:paraId="126D931D" w14:textId="754316C8" w:rsidR="00164636" w:rsidRPr="00D86494" w:rsidRDefault="00222D5C" w:rsidP="00164636">
            <w:pPr>
              <w:cnfStyle w:val="000000100000" w:firstRow="0" w:lastRow="0" w:firstColumn="0" w:lastColumn="0" w:oddVBand="0" w:evenVBand="0" w:oddHBand="1" w:evenHBand="0" w:firstRowFirstColumn="0" w:firstRowLastColumn="0" w:lastRowFirstColumn="0" w:lastRowLastColumn="0"/>
              <w:rPr>
                <w:rFonts w:cs="Arial"/>
                <w:szCs w:val="22"/>
              </w:rPr>
            </w:pPr>
            <w:r w:rsidRPr="00222D5C">
              <w:rPr>
                <w:rFonts w:cs="Arial"/>
                <w:szCs w:val="22"/>
              </w:rPr>
              <w:t xml:space="preserve">The process of obtaining goods, services or </w:t>
            </w:r>
            <w:r w:rsidR="00D41897">
              <w:rPr>
                <w:rFonts w:cs="Arial"/>
                <w:szCs w:val="22"/>
              </w:rPr>
              <w:t xml:space="preserve">building work </w:t>
            </w:r>
            <w:r w:rsidR="00DD73FC">
              <w:rPr>
                <w:rFonts w:cs="Arial"/>
                <w:szCs w:val="22"/>
              </w:rPr>
              <w:t>through contracts or tenders</w:t>
            </w:r>
          </w:p>
        </w:tc>
      </w:tr>
      <w:tr w:rsidR="00C964C4" w14:paraId="74BD48D9"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0ABD727C" w14:textId="5E6D06D4" w:rsidR="00303DB1" w:rsidRDefault="00303DB1" w:rsidP="00F81571">
            <w:pPr>
              <w:rPr>
                <w:rFonts w:cs="Arial"/>
                <w:b w:val="0"/>
                <w:bCs w:val="0"/>
                <w:szCs w:val="22"/>
              </w:rPr>
            </w:pPr>
            <w:r>
              <w:rPr>
                <w:rFonts w:cs="Arial"/>
                <w:b w:val="0"/>
                <w:bCs w:val="0"/>
                <w:szCs w:val="22"/>
              </w:rPr>
              <w:t>R</w:t>
            </w:r>
            <w:r w:rsidR="00046D66">
              <w:rPr>
                <w:rFonts w:cs="Arial"/>
                <w:b w:val="0"/>
                <w:bCs w:val="0"/>
                <w:szCs w:val="22"/>
              </w:rPr>
              <w:t>e</w:t>
            </w:r>
            <w:r>
              <w:rPr>
                <w:rFonts w:cs="Arial"/>
                <w:b w:val="0"/>
                <w:bCs w:val="0"/>
                <w:szCs w:val="22"/>
              </w:rPr>
              <w:t>gulation</w:t>
            </w:r>
          </w:p>
        </w:tc>
        <w:tc>
          <w:tcPr>
            <w:tcW w:w="7579" w:type="dxa"/>
            <w:tcBorders>
              <w:left w:val="single" w:sz="4" w:space="0" w:color="auto"/>
              <w:right w:val="single" w:sz="4" w:space="0" w:color="auto"/>
            </w:tcBorders>
            <w:vAlign w:val="center"/>
          </w:tcPr>
          <w:p w14:paraId="20DDB6DF" w14:textId="29CDE21B" w:rsidR="00303DB1" w:rsidRPr="00222D5C" w:rsidRDefault="00A448D2"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A set of rules created</w:t>
            </w:r>
            <w:r w:rsidR="00AD161A">
              <w:rPr>
                <w:rFonts w:cs="Arial"/>
                <w:szCs w:val="22"/>
              </w:rPr>
              <w:t xml:space="preserve"> and enforced to control, guide or set standards for behaviour and practices in the building and construction industry</w:t>
            </w:r>
          </w:p>
        </w:tc>
      </w:tr>
      <w:tr w:rsidR="007971A4" w14:paraId="375332D8"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308CD4A1" w14:textId="0BE15378" w:rsidR="00EC34E7" w:rsidRDefault="00EC34E7" w:rsidP="00F81571">
            <w:pPr>
              <w:rPr>
                <w:rFonts w:cs="Arial"/>
                <w:b w:val="0"/>
                <w:bCs w:val="0"/>
                <w:szCs w:val="22"/>
              </w:rPr>
            </w:pPr>
            <w:r>
              <w:rPr>
                <w:rFonts w:cs="Arial"/>
                <w:b w:val="0"/>
                <w:bCs w:val="0"/>
                <w:szCs w:val="22"/>
              </w:rPr>
              <w:t>Regulator</w:t>
            </w:r>
          </w:p>
        </w:tc>
        <w:tc>
          <w:tcPr>
            <w:tcW w:w="7579" w:type="dxa"/>
            <w:tcBorders>
              <w:left w:val="single" w:sz="4" w:space="0" w:color="auto"/>
              <w:right w:val="single" w:sz="4" w:space="0" w:color="auto"/>
            </w:tcBorders>
            <w:vAlign w:val="center"/>
          </w:tcPr>
          <w:p w14:paraId="25C5FBA2" w14:textId="5A67EB91" w:rsidR="00EC34E7" w:rsidRPr="00222D5C" w:rsidRDefault="00FB6ADB"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An authority responsible for creating, enforcing and overseeing rules and standards in the industry</w:t>
            </w:r>
            <w:r w:rsidR="001665CB">
              <w:rPr>
                <w:rFonts w:cs="Arial"/>
                <w:szCs w:val="22"/>
              </w:rPr>
              <w:t xml:space="preserve"> to ensure safety</w:t>
            </w:r>
            <w:r w:rsidR="00B10B16">
              <w:rPr>
                <w:rFonts w:cs="Arial"/>
                <w:szCs w:val="22"/>
              </w:rPr>
              <w:t>, quality</w:t>
            </w:r>
            <w:r w:rsidR="001665CB">
              <w:rPr>
                <w:rFonts w:cs="Arial"/>
                <w:szCs w:val="22"/>
              </w:rPr>
              <w:t xml:space="preserve"> and compliance</w:t>
            </w:r>
          </w:p>
        </w:tc>
      </w:tr>
      <w:tr w:rsidR="00C964C4" w14:paraId="599B6025"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0ABE2174" w14:textId="0D3DB548" w:rsidR="00F5322B" w:rsidRDefault="00F5322B" w:rsidP="00F81571">
            <w:pPr>
              <w:rPr>
                <w:rFonts w:cs="Arial"/>
                <w:b w:val="0"/>
                <w:bCs w:val="0"/>
                <w:szCs w:val="22"/>
              </w:rPr>
            </w:pPr>
            <w:r>
              <w:rPr>
                <w:rFonts w:cs="Arial"/>
                <w:b w:val="0"/>
                <w:bCs w:val="0"/>
                <w:szCs w:val="22"/>
              </w:rPr>
              <w:t>Regulatory academy</w:t>
            </w:r>
          </w:p>
        </w:tc>
        <w:tc>
          <w:tcPr>
            <w:tcW w:w="7579" w:type="dxa"/>
            <w:tcBorders>
              <w:left w:val="single" w:sz="4" w:space="0" w:color="auto"/>
              <w:right w:val="single" w:sz="4" w:space="0" w:color="auto"/>
            </w:tcBorders>
            <w:vAlign w:val="center"/>
          </w:tcPr>
          <w:p w14:paraId="3B1617C9" w14:textId="5FC4F7A2" w:rsidR="00F5322B" w:rsidRPr="00222D5C" w:rsidRDefault="003E4607"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A</w:t>
            </w:r>
            <w:r w:rsidR="00F51365">
              <w:rPr>
                <w:rFonts w:cs="Arial"/>
                <w:szCs w:val="22"/>
              </w:rPr>
              <w:t xml:space="preserve">n initiative to educate and train </w:t>
            </w:r>
            <w:r w:rsidR="003C543B">
              <w:rPr>
                <w:rFonts w:cs="Arial"/>
                <w:szCs w:val="22"/>
              </w:rPr>
              <w:t>employees</w:t>
            </w:r>
            <w:r w:rsidR="009E5944">
              <w:rPr>
                <w:rFonts w:cs="Arial"/>
                <w:szCs w:val="22"/>
              </w:rPr>
              <w:t xml:space="preserve"> </w:t>
            </w:r>
            <w:r w:rsidR="003762D5">
              <w:rPr>
                <w:rFonts w:cs="Arial"/>
                <w:szCs w:val="22"/>
              </w:rPr>
              <w:t>about regulatory requirements, compliance and best practices</w:t>
            </w:r>
          </w:p>
        </w:tc>
      </w:tr>
      <w:tr w:rsidR="007971A4" w14:paraId="1CC17124"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31188B4C" w14:textId="51BDCA73" w:rsidR="00164636" w:rsidRPr="00D86494" w:rsidRDefault="00F81571" w:rsidP="00164636">
            <w:pPr>
              <w:rPr>
                <w:rFonts w:cs="Arial"/>
                <w:b w:val="0"/>
                <w:szCs w:val="22"/>
              </w:rPr>
            </w:pPr>
            <w:r>
              <w:rPr>
                <w:rFonts w:cs="Arial"/>
                <w:b w:val="0"/>
                <w:bCs w:val="0"/>
                <w:szCs w:val="22"/>
              </w:rPr>
              <w:t>Regulatory</w:t>
            </w:r>
            <w:r w:rsidR="00046D66">
              <w:rPr>
                <w:rFonts w:cs="Arial"/>
                <w:b w:val="0"/>
                <w:bCs w:val="0"/>
                <w:szCs w:val="22"/>
              </w:rPr>
              <w:t xml:space="preserve"> standards</w:t>
            </w:r>
          </w:p>
        </w:tc>
        <w:tc>
          <w:tcPr>
            <w:tcW w:w="7579" w:type="dxa"/>
            <w:tcBorders>
              <w:left w:val="single" w:sz="4" w:space="0" w:color="auto"/>
              <w:right w:val="single" w:sz="4" w:space="0" w:color="auto"/>
            </w:tcBorders>
            <w:vAlign w:val="center"/>
          </w:tcPr>
          <w:p w14:paraId="15A4BFE6" w14:textId="225CF984" w:rsidR="00164636" w:rsidRPr="00D86494" w:rsidRDefault="00284D95" w:rsidP="00164636">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Relating to </w:t>
            </w:r>
            <w:r w:rsidR="001F6A36">
              <w:rPr>
                <w:rFonts w:cs="Arial"/>
                <w:szCs w:val="22"/>
              </w:rPr>
              <w:t>the</w:t>
            </w:r>
            <w:r>
              <w:rPr>
                <w:rFonts w:cs="Arial"/>
                <w:szCs w:val="22"/>
              </w:rPr>
              <w:t xml:space="preserve"> rules, standards and laws</w:t>
            </w:r>
            <w:r w:rsidR="00FA4B2B">
              <w:rPr>
                <w:rFonts w:cs="Arial"/>
                <w:szCs w:val="22"/>
              </w:rPr>
              <w:t xml:space="preserve"> that oversee the building and construction industry</w:t>
            </w:r>
          </w:p>
        </w:tc>
      </w:tr>
      <w:tr w:rsidR="00C964C4" w14:paraId="1C092D21" w14:textId="77777777" w:rsidTr="00E272E6">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2FD28AC1" w14:textId="04E377E6" w:rsidR="00B21C4C" w:rsidRDefault="00B21C4C" w:rsidP="00F81571">
            <w:pPr>
              <w:rPr>
                <w:rFonts w:cs="Arial"/>
                <w:b w:val="0"/>
                <w:bCs w:val="0"/>
                <w:szCs w:val="22"/>
              </w:rPr>
            </w:pPr>
            <w:r>
              <w:rPr>
                <w:rFonts w:cs="Arial"/>
                <w:b w:val="0"/>
                <w:bCs w:val="0"/>
                <w:szCs w:val="22"/>
              </w:rPr>
              <w:t>Risk</w:t>
            </w:r>
          </w:p>
        </w:tc>
        <w:tc>
          <w:tcPr>
            <w:tcW w:w="7579" w:type="dxa"/>
            <w:tcBorders>
              <w:left w:val="single" w:sz="4" w:space="0" w:color="auto"/>
              <w:right w:val="single" w:sz="4" w:space="0" w:color="auto"/>
            </w:tcBorders>
            <w:vAlign w:val="center"/>
          </w:tcPr>
          <w:p w14:paraId="3B21D585" w14:textId="63DCF380" w:rsidR="00B21C4C" w:rsidRDefault="00B642BD"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T</w:t>
            </w:r>
            <w:r w:rsidRPr="00B642BD">
              <w:rPr>
                <w:rFonts w:cs="Arial"/>
                <w:szCs w:val="22"/>
              </w:rPr>
              <w:t xml:space="preserve">he possibility that an event or action could negatively </w:t>
            </w:r>
            <w:r w:rsidR="00991F79">
              <w:rPr>
                <w:rFonts w:cs="Arial"/>
                <w:szCs w:val="22"/>
              </w:rPr>
              <w:t>impact</w:t>
            </w:r>
            <w:r w:rsidRPr="00B642BD">
              <w:rPr>
                <w:rFonts w:cs="Arial"/>
                <w:szCs w:val="22"/>
              </w:rPr>
              <w:t xml:space="preserve"> the achievement of the organisation’s objectives, operation</w:t>
            </w:r>
            <w:r w:rsidR="00D25C9F">
              <w:rPr>
                <w:rFonts w:cs="Arial"/>
                <w:szCs w:val="22"/>
              </w:rPr>
              <w:t xml:space="preserve"> outcome</w:t>
            </w:r>
            <w:r w:rsidRPr="00B642BD">
              <w:rPr>
                <w:rFonts w:cs="Arial"/>
                <w:szCs w:val="22"/>
              </w:rPr>
              <w:t xml:space="preserve"> or regulatory responsibilities</w:t>
            </w:r>
          </w:p>
        </w:tc>
      </w:tr>
      <w:tr w:rsidR="007971A4" w14:paraId="3AA5B3AC"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vAlign w:val="center"/>
          </w:tcPr>
          <w:p w14:paraId="1A739B5F" w14:textId="2E770C21" w:rsidR="00F5322B" w:rsidRDefault="00F5322B" w:rsidP="00F81571">
            <w:pPr>
              <w:rPr>
                <w:rFonts w:cs="Arial"/>
                <w:b w:val="0"/>
                <w:bCs w:val="0"/>
                <w:szCs w:val="22"/>
              </w:rPr>
            </w:pPr>
            <w:r>
              <w:rPr>
                <w:rFonts w:cs="Arial"/>
                <w:b w:val="0"/>
                <w:bCs w:val="0"/>
                <w:szCs w:val="22"/>
              </w:rPr>
              <w:t>Risk management</w:t>
            </w:r>
          </w:p>
        </w:tc>
        <w:tc>
          <w:tcPr>
            <w:tcW w:w="7579" w:type="dxa"/>
            <w:tcBorders>
              <w:left w:val="single" w:sz="4" w:space="0" w:color="auto"/>
              <w:right w:val="single" w:sz="4" w:space="0" w:color="auto"/>
            </w:tcBorders>
            <w:vAlign w:val="center"/>
          </w:tcPr>
          <w:p w14:paraId="601C5996" w14:textId="2E765855" w:rsidR="00F5322B" w:rsidRDefault="00D37A79"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A process </w:t>
            </w:r>
            <w:r w:rsidR="00A169C2">
              <w:rPr>
                <w:rFonts w:cs="Arial"/>
                <w:szCs w:val="22"/>
              </w:rPr>
              <w:t xml:space="preserve">to take steps to minimise or control potential risks that could affect people, projects or an </w:t>
            </w:r>
            <w:r w:rsidR="00324797">
              <w:rPr>
                <w:rFonts w:cs="Arial"/>
                <w:szCs w:val="22"/>
              </w:rPr>
              <w:t>organisations operation</w:t>
            </w:r>
          </w:p>
        </w:tc>
      </w:tr>
      <w:tr w:rsidR="00FC79B6" w14:paraId="205C8E1B" w14:textId="77777777" w:rsidTr="00703961">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tcPr>
          <w:p w14:paraId="1C22BFCB" w14:textId="25AB7606" w:rsidR="00616EDB" w:rsidRDefault="00616EDB" w:rsidP="00F81571">
            <w:pPr>
              <w:rPr>
                <w:rFonts w:cs="Arial"/>
                <w:b w:val="0"/>
                <w:bCs w:val="0"/>
                <w:szCs w:val="22"/>
              </w:rPr>
            </w:pPr>
            <w:r>
              <w:rPr>
                <w:rFonts w:cs="Arial"/>
                <w:b w:val="0"/>
                <w:bCs w:val="0"/>
                <w:szCs w:val="22"/>
              </w:rPr>
              <w:t>Sector</w:t>
            </w:r>
          </w:p>
        </w:tc>
        <w:tc>
          <w:tcPr>
            <w:tcW w:w="7579" w:type="dxa"/>
            <w:tcBorders>
              <w:left w:val="single" w:sz="4" w:space="0" w:color="auto"/>
              <w:right w:val="single" w:sz="4" w:space="0" w:color="auto"/>
            </w:tcBorders>
          </w:tcPr>
          <w:p w14:paraId="7C248704" w14:textId="0D277EC3" w:rsidR="00616EDB" w:rsidRDefault="00F9381D"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A division of the building and </w:t>
            </w:r>
            <w:r w:rsidR="00856CF2">
              <w:rPr>
                <w:rFonts w:cs="Arial"/>
                <w:szCs w:val="22"/>
              </w:rPr>
              <w:t>construction</w:t>
            </w:r>
            <w:r>
              <w:rPr>
                <w:rFonts w:cs="Arial"/>
                <w:szCs w:val="22"/>
              </w:rPr>
              <w:t xml:space="preserve"> industry</w:t>
            </w:r>
            <w:r w:rsidR="00FA3F2B">
              <w:rPr>
                <w:rFonts w:cs="Arial"/>
                <w:szCs w:val="22"/>
              </w:rPr>
              <w:t xml:space="preserve"> categorised </w:t>
            </w:r>
            <w:r w:rsidR="00406137">
              <w:rPr>
                <w:rFonts w:cs="Arial"/>
                <w:szCs w:val="22"/>
              </w:rPr>
              <w:t>as</w:t>
            </w:r>
            <w:r w:rsidR="00856CF2">
              <w:rPr>
                <w:rFonts w:cs="Arial"/>
                <w:szCs w:val="22"/>
              </w:rPr>
              <w:t xml:space="preserve"> residential, commercial or civil construction</w:t>
            </w:r>
          </w:p>
        </w:tc>
      </w:tr>
      <w:tr w:rsidR="00DF7444" w14:paraId="06371EDB"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tcPr>
          <w:p w14:paraId="4ECCB6C9" w14:textId="1F718B40" w:rsidR="00164636" w:rsidRPr="00D86494" w:rsidRDefault="00F81571" w:rsidP="00164636">
            <w:pPr>
              <w:rPr>
                <w:rFonts w:cs="Arial"/>
                <w:b w:val="0"/>
                <w:szCs w:val="22"/>
              </w:rPr>
            </w:pPr>
            <w:r>
              <w:rPr>
                <w:rFonts w:cs="Arial"/>
                <w:b w:val="0"/>
                <w:bCs w:val="0"/>
                <w:szCs w:val="22"/>
              </w:rPr>
              <w:t>Service</w:t>
            </w:r>
          </w:p>
        </w:tc>
        <w:tc>
          <w:tcPr>
            <w:tcW w:w="7579" w:type="dxa"/>
            <w:tcBorders>
              <w:left w:val="single" w:sz="4" w:space="0" w:color="auto"/>
              <w:right w:val="single" w:sz="4" w:space="0" w:color="auto"/>
            </w:tcBorders>
          </w:tcPr>
          <w:p w14:paraId="1E8D09AC" w14:textId="3F36B610" w:rsidR="00164636" w:rsidRPr="00D86494" w:rsidRDefault="00593A0B" w:rsidP="00164636">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Assistance</w:t>
            </w:r>
            <w:r w:rsidR="00C6609B">
              <w:rPr>
                <w:rFonts w:cs="Arial"/>
                <w:szCs w:val="22"/>
              </w:rPr>
              <w:t xml:space="preserve">, support or work </w:t>
            </w:r>
            <w:r>
              <w:rPr>
                <w:rFonts w:cs="Arial"/>
                <w:szCs w:val="22"/>
              </w:rPr>
              <w:t>to help people and businesses in the building and construction industry</w:t>
            </w:r>
          </w:p>
        </w:tc>
      </w:tr>
      <w:tr w:rsidR="00FC79B6" w14:paraId="1D5F6730" w14:textId="77777777" w:rsidTr="00703961">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tcPr>
          <w:p w14:paraId="49F5A97A" w14:textId="7312A66A" w:rsidR="008E2211" w:rsidRDefault="008E2211" w:rsidP="00F81571">
            <w:pPr>
              <w:rPr>
                <w:rFonts w:cs="Arial"/>
                <w:b w:val="0"/>
                <w:bCs w:val="0"/>
                <w:szCs w:val="22"/>
              </w:rPr>
            </w:pPr>
            <w:r>
              <w:rPr>
                <w:rFonts w:cs="Arial"/>
                <w:b w:val="0"/>
                <w:bCs w:val="0"/>
                <w:szCs w:val="22"/>
              </w:rPr>
              <w:t>Staff</w:t>
            </w:r>
          </w:p>
        </w:tc>
        <w:tc>
          <w:tcPr>
            <w:tcW w:w="7579" w:type="dxa"/>
            <w:tcBorders>
              <w:left w:val="single" w:sz="4" w:space="0" w:color="auto"/>
              <w:right w:val="single" w:sz="4" w:space="0" w:color="auto"/>
            </w:tcBorders>
          </w:tcPr>
          <w:p w14:paraId="70739671" w14:textId="30F358A2" w:rsidR="008E2211" w:rsidRPr="00D12D9B" w:rsidRDefault="00C561E4"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A</w:t>
            </w:r>
            <w:r w:rsidR="003614A1">
              <w:rPr>
                <w:rFonts w:cs="Arial"/>
                <w:szCs w:val="22"/>
              </w:rPr>
              <w:t xml:space="preserve"> group of </w:t>
            </w:r>
            <w:r w:rsidR="00961D1D">
              <w:rPr>
                <w:rFonts w:cs="Arial"/>
                <w:szCs w:val="22"/>
              </w:rPr>
              <w:t>employed individuals</w:t>
            </w:r>
            <w:r w:rsidR="005A342B">
              <w:rPr>
                <w:rFonts w:cs="Arial"/>
                <w:szCs w:val="22"/>
              </w:rPr>
              <w:t xml:space="preserve"> </w:t>
            </w:r>
            <w:r w:rsidR="008046EF">
              <w:rPr>
                <w:rFonts w:cs="Arial"/>
                <w:szCs w:val="22"/>
              </w:rPr>
              <w:t xml:space="preserve">working at the QBCC </w:t>
            </w:r>
            <w:r w:rsidR="005A342B">
              <w:rPr>
                <w:rFonts w:cs="Arial"/>
                <w:szCs w:val="22"/>
              </w:rPr>
              <w:t>to perform a range of functions</w:t>
            </w:r>
            <w:r w:rsidR="00217521">
              <w:rPr>
                <w:rFonts w:cs="Arial"/>
                <w:szCs w:val="22"/>
              </w:rPr>
              <w:t xml:space="preserve">, contributing to </w:t>
            </w:r>
            <w:r w:rsidR="003F416F">
              <w:rPr>
                <w:rFonts w:cs="Arial"/>
                <w:szCs w:val="22"/>
              </w:rPr>
              <w:t>the strategic and operational objectives</w:t>
            </w:r>
          </w:p>
        </w:tc>
      </w:tr>
      <w:tr w:rsidR="00DF7444" w14:paraId="21F8BA31"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tcPr>
          <w:p w14:paraId="72B860B0" w14:textId="72B9ADC6" w:rsidR="00822B38" w:rsidRDefault="00822B38" w:rsidP="00F81571">
            <w:pPr>
              <w:rPr>
                <w:rFonts w:cs="Arial"/>
                <w:b w:val="0"/>
                <w:bCs w:val="0"/>
                <w:szCs w:val="22"/>
              </w:rPr>
            </w:pPr>
            <w:r>
              <w:rPr>
                <w:rFonts w:cs="Arial"/>
                <w:b w:val="0"/>
                <w:bCs w:val="0"/>
                <w:szCs w:val="22"/>
              </w:rPr>
              <w:t>Stakeholder</w:t>
            </w:r>
          </w:p>
        </w:tc>
        <w:tc>
          <w:tcPr>
            <w:tcW w:w="7579" w:type="dxa"/>
            <w:tcBorders>
              <w:left w:val="single" w:sz="4" w:space="0" w:color="auto"/>
              <w:right w:val="single" w:sz="4" w:space="0" w:color="auto"/>
            </w:tcBorders>
          </w:tcPr>
          <w:p w14:paraId="26623E32" w14:textId="029C0A02" w:rsidR="00822B38" w:rsidRDefault="002711A1" w:rsidP="00F81571">
            <w:pPr>
              <w:cnfStyle w:val="000000100000" w:firstRow="0" w:lastRow="0" w:firstColumn="0" w:lastColumn="0" w:oddVBand="0" w:evenVBand="0" w:oddHBand="1" w:evenHBand="0" w:firstRowFirstColumn="0" w:firstRowLastColumn="0" w:lastRowFirstColumn="0" w:lastRowLastColumn="0"/>
              <w:rPr>
                <w:rFonts w:cs="Arial"/>
                <w:szCs w:val="22"/>
              </w:rPr>
            </w:pPr>
            <w:r w:rsidRPr="002711A1">
              <w:rPr>
                <w:rFonts w:cs="Arial"/>
                <w:szCs w:val="22"/>
              </w:rPr>
              <w:t>Any individual, group or organisation with an interest or involvement in the building and construction industry</w:t>
            </w:r>
          </w:p>
        </w:tc>
      </w:tr>
      <w:tr w:rsidR="00FC79B6" w14:paraId="53EC8A80" w14:textId="77777777" w:rsidTr="00703961">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tcPr>
          <w:p w14:paraId="5C34E88B" w14:textId="61F7C6A7" w:rsidR="00164636" w:rsidRPr="00D86494" w:rsidRDefault="00F81571" w:rsidP="00164636">
            <w:pPr>
              <w:rPr>
                <w:rFonts w:cs="Arial"/>
                <w:b w:val="0"/>
                <w:szCs w:val="22"/>
              </w:rPr>
            </w:pPr>
            <w:r>
              <w:rPr>
                <w:rFonts w:cs="Arial"/>
                <w:b w:val="0"/>
                <w:bCs w:val="0"/>
                <w:szCs w:val="22"/>
              </w:rPr>
              <w:t>Strategic plan</w:t>
            </w:r>
          </w:p>
        </w:tc>
        <w:tc>
          <w:tcPr>
            <w:tcW w:w="7579" w:type="dxa"/>
            <w:tcBorders>
              <w:left w:val="single" w:sz="4" w:space="0" w:color="auto"/>
              <w:right w:val="single" w:sz="4" w:space="0" w:color="auto"/>
            </w:tcBorders>
          </w:tcPr>
          <w:p w14:paraId="74CA0EFC" w14:textId="3738A952" w:rsidR="00164636" w:rsidRPr="00D86494" w:rsidRDefault="00F2676F" w:rsidP="00164636">
            <w:pPr>
              <w:cnfStyle w:val="000000000000" w:firstRow="0" w:lastRow="0" w:firstColumn="0" w:lastColumn="0" w:oddVBand="0" w:evenVBand="0" w:oddHBand="0" w:evenHBand="0" w:firstRowFirstColumn="0" w:firstRowLastColumn="0" w:lastRowFirstColumn="0" w:lastRowLastColumn="0"/>
              <w:rPr>
                <w:rFonts w:cs="Arial"/>
                <w:szCs w:val="22"/>
              </w:rPr>
            </w:pPr>
            <w:r w:rsidRPr="00F2676F">
              <w:rPr>
                <w:rFonts w:cs="Arial"/>
                <w:szCs w:val="22"/>
              </w:rPr>
              <w:t xml:space="preserve">A document that sets out </w:t>
            </w:r>
            <w:r w:rsidR="006340E3">
              <w:rPr>
                <w:rFonts w:cs="Arial"/>
                <w:szCs w:val="22"/>
              </w:rPr>
              <w:t>the objectives</w:t>
            </w:r>
            <w:r w:rsidR="00580561">
              <w:rPr>
                <w:rFonts w:cs="Arial"/>
                <w:szCs w:val="22"/>
              </w:rPr>
              <w:t xml:space="preserve"> of an organisation</w:t>
            </w:r>
          </w:p>
        </w:tc>
      </w:tr>
      <w:tr w:rsidR="00DF7444" w14:paraId="7BBA2213"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tcPr>
          <w:p w14:paraId="62ABC0D4" w14:textId="798CDB8B" w:rsidR="00164636" w:rsidRPr="00D86494" w:rsidRDefault="00F81571" w:rsidP="00164636">
            <w:pPr>
              <w:rPr>
                <w:rFonts w:cs="Arial"/>
                <w:b w:val="0"/>
                <w:szCs w:val="22"/>
              </w:rPr>
            </w:pPr>
            <w:r>
              <w:rPr>
                <w:rFonts w:cs="Arial"/>
                <w:b w:val="0"/>
                <w:bCs w:val="0"/>
                <w:szCs w:val="22"/>
              </w:rPr>
              <w:t>Subcontractor</w:t>
            </w:r>
          </w:p>
        </w:tc>
        <w:tc>
          <w:tcPr>
            <w:tcW w:w="7579" w:type="dxa"/>
            <w:tcBorders>
              <w:left w:val="single" w:sz="4" w:space="0" w:color="auto"/>
              <w:right w:val="single" w:sz="4" w:space="0" w:color="auto"/>
            </w:tcBorders>
          </w:tcPr>
          <w:p w14:paraId="72116B11" w14:textId="13C48A48" w:rsidR="00164636" w:rsidRPr="00D86494" w:rsidRDefault="005C373F" w:rsidP="00164636">
            <w:pPr>
              <w:cnfStyle w:val="000000100000" w:firstRow="0" w:lastRow="0" w:firstColumn="0" w:lastColumn="0" w:oddVBand="0" w:evenVBand="0" w:oddHBand="1" w:evenHBand="0" w:firstRowFirstColumn="0" w:firstRowLastColumn="0" w:lastRowFirstColumn="0" w:lastRowLastColumn="0"/>
              <w:rPr>
                <w:rFonts w:cs="Arial"/>
                <w:szCs w:val="22"/>
              </w:rPr>
            </w:pPr>
            <w:r w:rsidRPr="005C373F">
              <w:rPr>
                <w:rFonts w:cs="Arial"/>
                <w:szCs w:val="22"/>
              </w:rPr>
              <w:t>An individual</w:t>
            </w:r>
            <w:r w:rsidR="00465872" w:rsidRPr="00465872">
              <w:rPr>
                <w:rFonts w:cs="Arial"/>
                <w:szCs w:val="22"/>
              </w:rPr>
              <w:t xml:space="preserve"> or company </w:t>
            </w:r>
            <w:r w:rsidRPr="005C373F">
              <w:rPr>
                <w:rFonts w:cs="Arial"/>
                <w:szCs w:val="22"/>
              </w:rPr>
              <w:t>engaged</w:t>
            </w:r>
            <w:r w:rsidR="00465872" w:rsidRPr="00465872">
              <w:rPr>
                <w:rFonts w:cs="Arial"/>
                <w:szCs w:val="22"/>
              </w:rPr>
              <w:t xml:space="preserve"> by a main contractor to </w:t>
            </w:r>
            <w:r w:rsidRPr="005C373F">
              <w:rPr>
                <w:rFonts w:cs="Arial"/>
                <w:szCs w:val="22"/>
              </w:rPr>
              <w:t xml:space="preserve">perform </w:t>
            </w:r>
            <w:r w:rsidR="002C560B">
              <w:rPr>
                <w:rFonts w:cs="Arial"/>
                <w:szCs w:val="22"/>
              </w:rPr>
              <w:t xml:space="preserve">part of </w:t>
            </w:r>
            <w:r w:rsidR="00465872" w:rsidRPr="00465872">
              <w:rPr>
                <w:rFonts w:cs="Arial"/>
                <w:szCs w:val="22"/>
              </w:rPr>
              <w:t xml:space="preserve">the </w:t>
            </w:r>
            <w:r w:rsidR="002C560B">
              <w:rPr>
                <w:rFonts w:cs="Arial"/>
                <w:szCs w:val="22"/>
              </w:rPr>
              <w:t xml:space="preserve">building </w:t>
            </w:r>
            <w:r w:rsidR="00465872" w:rsidRPr="00465872">
              <w:rPr>
                <w:rFonts w:cs="Arial"/>
                <w:szCs w:val="22"/>
              </w:rPr>
              <w:t xml:space="preserve">work or </w:t>
            </w:r>
            <w:r w:rsidR="009C26B5">
              <w:rPr>
                <w:rFonts w:cs="Arial"/>
                <w:szCs w:val="22"/>
              </w:rPr>
              <w:t>provide specialised</w:t>
            </w:r>
            <w:r w:rsidR="00465872" w:rsidRPr="00465872">
              <w:rPr>
                <w:rFonts w:cs="Arial"/>
                <w:szCs w:val="22"/>
              </w:rPr>
              <w:t xml:space="preserve"> services </w:t>
            </w:r>
            <w:r w:rsidR="009C26B5">
              <w:rPr>
                <w:rFonts w:cs="Arial"/>
                <w:szCs w:val="22"/>
              </w:rPr>
              <w:t>on a</w:t>
            </w:r>
            <w:r w:rsidR="00465872" w:rsidRPr="00465872">
              <w:rPr>
                <w:rFonts w:cs="Arial"/>
                <w:szCs w:val="22"/>
              </w:rPr>
              <w:t xml:space="preserve"> project</w:t>
            </w:r>
          </w:p>
        </w:tc>
      </w:tr>
      <w:tr w:rsidR="00FC79B6" w14:paraId="38C313EE" w14:textId="77777777" w:rsidTr="00703961">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right w:val="single" w:sz="4" w:space="0" w:color="auto"/>
            </w:tcBorders>
          </w:tcPr>
          <w:p w14:paraId="3947AB55" w14:textId="092FF12B" w:rsidR="00F5322B" w:rsidRDefault="00F5322B" w:rsidP="00F81571">
            <w:pPr>
              <w:rPr>
                <w:rFonts w:cs="Arial"/>
                <w:b w:val="0"/>
                <w:bCs w:val="0"/>
                <w:szCs w:val="22"/>
              </w:rPr>
            </w:pPr>
            <w:r>
              <w:rPr>
                <w:rFonts w:cs="Arial"/>
                <w:b w:val="0"/>
                <w:bCs w:val="0"/>
                <w:szCs w:val="22"/>
              </w:rPr>
              <w:t>Sustainability</w:t>
            </w:r>
          </w:p>
        </w:tc>
        <w:tc>
          <w:tcPr>
            <w:tcW w:w="7579" w:type="dxa"/>
            <w:tcBorders>
              <w:left w:val="single" w:sz="4" w:space="0" w:color="auto"/>
              <w:right w:val="single" w:sz="4" w:space="0" w:color="auto"/>
            </w:tcBorders>
          </w:tcPr>
          <w:p w14:paraId="0D84BFE9" w14:textId="75F9AE51" w:rsidR="00F5322B" w:rsidRPr="005C373F" w:rsidRDefault="00D1544F" w:rsidP="00F81571">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Building and construction activities </w:t>
            </w:r>
            <w:r w:rsidR="00091A3A">
              <w:rPr>
                <w:rFonts w:cs="Arial"/>
                <w:szCs w:val="22"/>
              </w:rPr>
              <w:t>that</w:t>
            </w:r>
            <w:r>
              <w:rPr>
                <w:rFonts w:cs="Arial"/>
                <w:szCs w:val="22"/>
              </w:rPr>
              <w:t xml:space="preserve"> are environmentally responsible, resource-efficient and support long-term social and </w:t>
            </w:r>
            <w:r w:rsidR="00DF1D08">
              <w:rPr>
                <w:rFonts w:cs="Arial"/>
                <w:szCs w:val="22"/>
              </w:rPr>
              <w:t>economic wellbeing</w:t>
            </w:r>
          </w:p>
        </w:tc>
      </w:tr>
      <w:tr w:rsidR="00DF7444" w14:paraId="772663A8" w14:textId="77777777" w:rsidTr="00E27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left w:val="single" w:sz="4" w:space="0" w:color="auto"/>
              <w:bottom w:val="single" w:sz="4" w:space="0" w:color="auto"/>
              <w:right w:val="single" w:sz="4" w:space="0" w:color="auto"/>
            </w:tcBorders>
          </w:tcPr>
          <w:p w14:paraId="3B8B6469" w14:textId="68EB1E3E" w:rsidR="003A5FCC" w:rsidRDefault="003A5FCC" w:rsidP="00F81571">
            <w:pPr>
              <w:rPr>
                <w:rFonts w:cs="Arial"/>
                <w:b w:val="0"/>
                <w:bCs w:val="0"/>
                <w:szCs w:val="22"/>
              </w:rPr>
            </w:pPr>
            <w:r>
              <w:rPr>
                <w:rFonts w:cs="Arial"/>
                <w:b w:val="0"/>
                <w:bCs w:val="0"/>
                <w:szCs w:val="22"/>
              </w:rPr>
              <w:t>Trust account</w:t>
            </w:r>
          </w:p>
        </w:tc>
        <w:tc>
          <w:tcPr>
            <w:tcW w:w="7579" w:type="dxa"/>
            <w:tcBorders>
              <w:left w:val="single" w:sz="4" w:space="0" w:color="auto"/>
              <w:bottom w:val="single" w:sz="4" w:space="0" w:color="auto"/>
              <w:right w:val="single" w:sz="4" w:space="0" w:color="auto"/>
            </w:tcBorders>
          </w:tcPr>
          <w:p w14:paraId="6D97E483" w14:textId="06A1422E" w:rsidR="003A5FCC" w:rsidRDefault="004D5DD6" w:rsidP="00F81571">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w:t>
            </w:r>
            <w:r w:rsidRPr="004D5DD6">
              <w:rPr>
                <w:rFonts w:cs="Arial"/>
                <w:szCs w:val="22"/>
              </w:rPr>
              <w:t xml:space="preserve"> special bank account that licensed contractors must use to hold money on behalf of clients, subcontractors or other parties for building projects</w:t>
            </w:r>
          </w:p>
        </w:tc>
      </w:tr>
    </w:tbl>
    <w:p w14:paraId="0F261612" w14:textId="77777777" w:rsidR="00DC47F4" w:rsidRDefault="00DC47F4" w:rsidP="00730524"/>
    <w:p w14:paraId="26535A9A" w14:textId="77777777" w:rsidR="00DC47F4" w:rsidRDefault="00DC47F4">
      <w:pPr>
        <w:rPr>
          <w:rFonts w:eastAsiaTheme="majorEastAsia" w:cstheme="majorBidi"/>
          <w:sz w:val="48"/>
          <w:szCs w:val="32"/>
        </w:rPr>
      </w:pPr>
      <w:r>
        <w:br w:type="page"/>
      </w:r>
    </w:p>
    <w:p w14:paraId="7BCB1D00" w14:textId="432966A3" w:rsidR="00144AF3" w:rsidRPr="004A2C19" w:rsidRDefault="000A45D8" w:rsidP="00E81ED2">
      <w:pPr>
        <w:pStyle w:val="Heading1"/>
        <w:spacing w:before="120" w:after="120"/>
      </w:pPr>
      <w:bookmarkStart w:id="315" w:name="_Toc206493036"/>
      <w:r w:rsidRPr="00B35692">
        <w:lastRenderedPageBreak/>
        <w:t xml:space="preserve">Appendix </w:t>
      </w:r>
      <w:r w:rsidR="004A4768">
        <w:t>C</w:t>
      </w:r>
      <w:r w:rsidRPr="00B35692">
        <w:t xml:space="preserve">: </w:t>
      </w:r>
      <w:r w:rsidR="00045F78">
        <w:t>Acronyms</w:t>
      </w:r>
      <w:bookmarkEnd w:id="315"/>
    </w:p>
    <w:tbl>
      <w:tblPr>
        <w:tblStyle w:val="PlainTable4"/>
        <w:tblW w:w="10065" w:type="dxa"/>
        <w:tblLook w:val="04A0" w:firstRow="1" w:lastRow="0" w:firstColumn="1" w:lastColumn="0" w:noHBand="0" w:noVBand="1"/>
      </w:tblPr>
      <w:tblGrid>
        <w:gridCol w:w="2405"/>
        <w:gridCol w:w="7660"/>
      </w:tblGrid>
      <w:tr w:rsidR="00C106AF" w:rsidRPr="001D754C" w14:paraId="4805A3E3" w14:textId="77777777" w:rsidTr="00796A7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2D598FB" w14:textId="77777777" w:rsidR="00C106AF" w:rsidRPr="00C106AF" w:rsidRDefault="00C106AF">
            <w:pPr>
              <w:rPr>
                <w:rFonts w:eastAsia="Times New Roman" w:cs="Arial"/>
                <w:color w:val="000000"/>
                <w:szCs w:val="22"/>
                <w:lang w:eastAsia="en-AU"/>
              </w:rPr>
            </w:pPr>
            <w:r w:rsidRPr="00C106AF">
              <w:rPr>
                <w:rFonts w:eastAsia="Times New Roman" w:cs="Arial"/>
                <w:color w:val="000000"/>
                <w:szCs w:val="22"/>
                <w:lang w:eastAsia="en-AU"/>
              </w:rPr>
              <w:t>Acronym</w:t>
            </w:r>
          </w:p>
        </w:tc>
        <w:tc>
          <w:tcPr>
            <w:tcW w:w="76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75A8DFA" w14:textId="77777777" w:rsidR="00C106AF" w:rsidRPr="001D754C" w:rsidRDefault="00C106AF">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1D754C">
              <w:rPr>
                <w:rFonts w:eastAsia="Times New Roman" w:cs="Arial"/>
                <w:color w:val="000000"/>
                <w:szCs w:val="22"/>
                <w:lang w:eastAsia="en-AU"/>
              </w:rPr>
              <w:t xml:space="preserve">Full </w:t>
            </w:r>
            <w:r w:rsidRPr="008A05E7">
              <w:rPr>
                <w:rFonts w:eastAsia="Times New Roman" w:cs="Arial"/>
                <w:color w:val="000000"/>
                <w:szCs w:val="22"/>
                <w:lang w:eastAsia="en-AU"/>
              </w:rPr>
              <w:t>title</w:t>
            </w:r>
          </w:p>
        </w:tc>
      </w:tr>
      <w:tr w:rsidR="00E16CD9" w:rsidRPr="00E7681B" w14:paraId="6BD3C94C"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62DC8798"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AICD</w:t>
            </w:r>
          </w:p>
        </w:tc>
        <w:tc>
          <w:tcPr>
            <w:tcW w:w="7660" w:type="dxa"/>
            <w:tcBorders>
              <w:left w:val="single" w:sz="4" w:space="0" w:color="auto"/>
              <w:right w:val="single" w:sz="4" w:space="0" w:color="auto"/>
            </w:tcBorders>
            <w:noWrap/>
            <w:hideMark/>
          </w:tcPr>
          <w:p w14:paraId="414AC0D0"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Australian Institute of Company Directors</w:t>
            </w:r>
          </w:p>
        </w:tc>
      </w:tr>
      <w:tr w:rsidR="008B7673" w:rsidRPr="00E7681B" w14:paraId="73E0B612"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1A3D7BC2" w14:textId="087E9019"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BIF</w:t>
            </w:r>
            <w:r w:rsidR="00D01C3A">
              <w:rPr>
                <w:rFonts w:eastAsia="Times New Roman" w:cs="Arial"/>
                <w:b w:val="0"/>
                <w:color w:val="000000"/>
                <w:szCs w:val="22"/>
                <w:lang w:eastAsia="en-AU"/>
              </w:rPr>
              <w:t xml:space="preserve"> Act</w:t>
            </w:r>
          </w:p>
        </w:tc>
        <w:tc>
          <w:tcPr>
            <w:tcW w:w="7660" w:type="dxa"/>
            <w:tcBorders>
              <w:left w:val="single" w:sz="4" w:space="0" w:color="auto"/>
              <w:right w:val="single" w:sz="4" w:space="0" w:color="auto"/>
            </w:tcBorders>
            <w:noWrap/>
            <w:hideMark/>
          </w:tcPr>
          <w:p w14:paraId="43C190E7" w14:textId="6571400B"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Cs w:val="22"/>
                <w:lang w:eastAsia="en-AU"/>
              </w:rPr>
            </w:pPr>
            <w:r w:rsidRPr="00E7681B">
              <w:rPr>
                <w:rFonts w:eastAsia="Times New Roman" w:cs="Arial"/>
                <w:i/>
                <w:iCs/>
                <w:color w:val="000000"/>
                <w:szCs w:val="22"/>
                <w:lang w:eastAsia="en-AU"/>
              </w:rPr>
              <w:t>Building Industry Fairness</w:t>
            </w:r>
            <w:r w:rsidR="00D01C3A" w:rsidRPr="00D01C3A">
              <w:rPr>
                <w:rFonts w:eastAsia="Times New Roman" w:cs="Arial"/>
                <w:i/>
                <w:iCs/>
                <w:color w:val="000000"/>
                <w:szCs w:val="22"/>
                <w:lang w:eastAsia="en-AU"/>
              </w:rPr>
              <w:t xml:space="preserve"> (Security of Payment) Act 2017</w:t>
            </w:r>
          </w:p>
        </w:tc>
      </w:tr>
      <w:tr w:rsidR="004307ED" w:rsidRPr="00E7681B" w14:paraId="68328247"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0EB5CDAC"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Building Act</w:t>
            </w:r>
          </w:p>
        </w:tc>
        <w:tc>
          <w:tcPr>
            <w:tcW w:w="7660" w:type="dxa"/>
            <w:tcBorders>
              <w:left w:val="single" w:sz="4" w:space="0" w:color="auto"/>
              <w:right w:val="single" w:sz="4" w:space="0" w:color="auto"/>
            </w:tcBorders>
            <w:noWrap/>
            <w:hideMark/>
          </w:tcPr>
          <w:p w14:paraId="6FA00025"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Cs w:val="22"/>
                <w:lang w:eastAsia="en-AU"/>
              </w:rPr>
            </w:pPr>
            <w:r w:rsidRPr="00E7681B">
              <w:rPr>
                <w:rFonts w:eastAsia="Times New Roman" w:cs="Arial"/>
                <w:i/>
                <w:iCs/>
                <w:color w:val="000000"/>
                <w:szCs w:val="22"/>
                <w:lang w:eastAsia="en-AU"/>
              </w:rPr>
              <w:t>Building Act 1975</w:t>
            </w:r>
          </w:p>
        </w:tc>
      </w:tr>
      <w:tr w:rsidR="008B7673" w:rsidRPr="00E7681B" w14:paraId="3FC809BF"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tcPr>
          <w:p w14:paraId="77E7C03E" w14:textId="7ECAB440" w:rsidR="005E0509" w:rsidRPr="00670271" w:rsidRDefault="000103CA">
            <w:pPr>
              <w:rPr>
                <w:rFonts w:eastAsia="Times New Roman" w:cs="Arial"/>
                <w:b w:val="0"/>
                <w:color w:val="000000"/>
                <w:szCs w:val="22"/>
                <w:lang w:eastAsia="en-AU"/>
              </w:rPr>
            </w:pPr>
            <w:r w:rsidRPr="000103CA">
              <w:rPr>
                <w:rFonts w:eastAsia="Times New Roman" w:cs="Arial"/>
                <w:b w:val="0"/>
                <w:color w:val="000000"/>
                <w:szCs w:val="22"/>
                <w:lang w:eastAsia="en-AU"/>
              </w:rPr>
              <w:t>Building Reg Reno</w:t>
            </w:r>
          </w:p>
        </w:tc>
        <w:tc>
          <w:tcPr>
            <w:tcW w:w="7660" w:type="dxa"/>
            <w:tcBorders>
              <w:left w:val="single" w:sz="4" w:space="0" w:color="auto"/>
              <w:right w:val="single" w:sz="4" w:space="0" w:color="auto"/>
            </w:tcBorders>
            <w:noWrap/>
          </w:tcPr>
          <w:p w14:paraId="10C71046" w14:textId="4B4A142A" w:rsidR="005E0509" w:rsidRPr="000103CA" w:rsidRDefault="000103C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0103CA">
              <w:rPr>
                <w:rFonts w:eastAsia="Times New Roman" w:cs="Arial"/>
                <w:color w:val="000000"/>
                <w:szCs w:val="22"/>
                <w:lang w:eastAsia="en-AU"/>
              </w:rPr>
              <w:t>Building Regulation Renovation</w:t>
            </w:r>
          </w:p>
        </w:tc>
      </w:tr>
      <w:tr w:rsidR="008B7673" w:rsidRPr="00E7681B" w14:paraId="3186D980"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tcPr>
          <w:p w14:paraId="79E29B62" w14:textId="7E0DB961" w:rsidR="00401FCE" w:rsidRPr="00670271" w:rsidRDefault="00401FCE">
            <w:pPr>
              <w:rPr>
                <w:rFonts w:eastAsia="Times New Roman" w:cs="Arial"/>
                <w:b w:val="0"/>
                <w:color w:val="000000"/>
                <w:szCs w:val="22"/>
                <w:lang w:eastAsia="en-AU"/>
              </w:rPr>
            </w:pPr>
            <w:r>
              <w:rPr>
                <w:rFonts w:eastAsia="Times New Roman" w:cs="Arial"/>
                <w:b w:val="0"/>
                <w:color w:val="000000"/>
                <w:szCs w:val="22"/>
                <w:lang w:eastAsia="en-AU"/>
              </w:rPr>
              <w:t>CEO</w:t>
            </w:r>
          </w:p>
        </w:tc>
        <w:tc>
          <w:tcPr>
            <w:tcW w:w="7660" w:type="dxa"/>
            <w:tcBorders>
              <w:left w:val="single" w:sz="4" w:space="0" w:color="auto"/>
              <w:right w:val="single" w:sz="4" w:space="0" w:color="auto"/>
            </w:tcBorders>
            <w:noWrap/>
          </w:tcPr>
          <w:p w14:paraId="056FEA94" w14:textId="42C070F4" w:rsidR="00401FCE" w:rsidRPr="00E7681B" w:rsidRDefault="00401FC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Pr>
                <w:rFonts w:eastAsia="Times New Roman" w:cs="Arial"/>
                <w:color w:val="000000"/>
                <w:szCs w:val="22"/>
                <w:lang w:eastAsia="en-AU"/>
              </w:rPr>
              <w:t>Chief Executive Officer</w:t>
            </w:r>
          </w:p>
        </w:tc>
      </w:tr>
      <w:tr w:rsidR="00B167FF" w:rsidRPr="00E7681B" w14:paraId="1BABC1FD"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29BE7D31"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Code of Conduct</w:t>
            </w:r>
          </w:p>
        </w:tc>
        <w:tc>
          <w:tcPr>
            <w:tcW w:w="7660" w:type="dxa"/>
            <w:tcBorders>
              <w:left w:val="single" w:sz="4" w:space="0" w:color="auto"/>
              <w:right w:val="single" w:sz="4" w:space="0" w:color="auto"/>
            </w:tcBorders>
            <w:noWrap/>
            <w:hideMark/>
          </w:tcPr>
          <w:p w14:paraId="0BD5946D" w14:textId="77777777"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Code of Conduct for the Queensland Public Service</w:t>
            </w:r>
          </w:p>
        </w:tc>
      </w:tr>
      <w:tr w:rsidR="008B7673" w:rsidRPr="00E7681B" w14:paraId="1B49B6F7"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273DB6B7"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CPD</w:t>
            </w:r>
          </w:p>
        </w:tc>
        <w:tc>
          <w:tcPr>
            <w:tcW w:w="7660" w:type="dxa"/>
            <w:tcBorders>
              <w:left w:val="single" w:sz="4" w:space="0" w:color="auto"/>
              <w:right w:val="single" w:sz="4" w:space="0" w:color="auto"/>
            </w:tcBorders>
            <w:noWrap/>
            <w:hideMark/>
          </w:tcPr>
          <w:p w14:paraId="05975FFA"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Continuing Professional Development</w:t>
            </w:r>
          </w:p>
        </w:tc>
      </w:tr>
      <w:tr w:rsidR="00B167FF" w:rsidRPr="00E7681B" w14:paraId="7D196863"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75FCDD98"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CX Strategy</w:t>
            </w:r>
          </w:p>
        </w:tc>
        <w:tc>
          <w:tcPr>
            <w:tcW w:w="7660" w:type="dxa"/>
            <w:tcBorders>
              <w:left w:val="single" w:sz="4" w:space="0" w:color="auto"/>
              <w:right w:val="single" w:sz="4" w:space="0" w:color="auto"/>
            </w:tcBorders>
            <w:noWrap/>
            <w:hideMark/>
          </w:tcPr>
          <w:p w14:paraId="00CE1572" w14:textId="77777777"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Customer Experience Strategy 2024–2027</w:t>
            </w:r>
          </w:p>
        </w:tc>
      </w:tr>
      <w:tr w:rsidR="008B7673" w:rsidRPr="001D754C" w14:paraId="5916D515"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52C6A416"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DAC</w:t>
            </w:r>
          </w:p>
        </w:tc>
        <w:tc>
          <w:tcPr>
            <w:tcW w:w="7660" w:type="dxa"/>
            <w:tcBorders>
              <w:left w:val="single" w:sz="4" w:space="0" w:color="auto"/>
              <w:right w:val="single" w:sz="4" w:space="0" w:color="auto"/>
            </w:tcBorders>
            <w:noWrap/>
            <w:hideMark/>
          </w:tcPr>
          <w:p w14:paraId="2991CA9E" w14:textId="77777777" w:rsidR="00CB22D3" w:rsidRPr="001D754C" w:rsidRDefault="00CB22D3">
            <w:pPr>
              <w:cnfStyle w:val="000000100000" w:firstRow="0" w:lastRow="0" w:firstColumn="0" w:lastColumn="0" w:oddVBand="0" w:evenVBand="0" w:oddHBand="1" w:evenHBand="0" w:firstRowFirstColumn="0" w:firstRowLastColumn="0" w:lastRowFirstColumn="0" w:lastRowLastColumn="0"/>
            </w:pPr>
            <w:r w:rsidRPr="001D754C">
              <w:t>Digital Advisory Committee</w:t>
            </w:r>
          </w:p>
        </w:tc>
      </w:tr>
      <w:tr w:rsidR="004307ED" w:rsidRPr="00E7681B" w14:paraId="23367373"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3ED26E18"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DEIB</w:t>
            </w:r>
          </w:p>
        </w:tc>
        <w:tc>
          <w:tcPr>
            <w:tcW w:w="7660" w:type="dxa"/>
            <w:tcBorders>
              <w:left w:val="single" w:sz="4" w:space="0" w:color="auto"/>
              <w:right w:val="single" w:sz="4" w:space="0" w:color="auto"/>
            </w:tcBorders>
            <w:noWrap/>
            <w:hideMark/>
          </w:tcPr>
          <w:p w14:paraId="29D67440" w14:textId="770DB01B"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 xml:space="preserve">Diversity, </w:t>
            </w:r>
            <w:r w:rsidR="00B9196D">
              <w:rPr>
                <w:rFonts w:eastAsia="Times New Roman" w:cs="Arial"/>
                <w:color w:val="000000"/>
                <w:szCs w:val="22"/>
                <w:lang w:eastAsia="en-AU"/>
              </w:rPr>
              <w:t>e</w:t>
            </w:r>
            <w:r w:rsidRPr="00E7681B">
              <w:rPr>
                <w:rFonts w:eastAsia="Times New Roman" w:cs="Arial"/>
                <w:color w:val="000000"/>
                <w:szCs w:val="22"/>
                <w:lang w:eastAsia="en-AU"/>
              </w:rPr>
              <w:t xml:space="preserve">quity, </w:t>
            </w:r>
            <w:r w:rsidR="00B9196D">
              <w:rPr>
                <w:rFonts w:eastAsia="Times New Roman" w:cs="Arial"/>
                <w:color w:val="000000"/>
                <w:szCs w:val="22"/>
                <w:lang w:eastAsia="en-AU"/>
              </w:rPr>
              <w:t>i</w:t>
            </w:r>
            <w:r w:rsidRPr="00E7681B">
              <w:rPr>
                <w:rFonts w:eastAsia="Times New Roman" w:cs="Arial"/>
                <w:color w:val="000000"/>
                <w:szCs w:val="22"/>
                <w:lang w:eastAsia="en-AU"/>
              </w:rPr>
              <w:t xml:space="preserve">nclusion and </w:t>
            </w:r>
            <w:r w:rsidR="00B9196D">
              <w:rPr>
                <w:rFonts w:eastAsia="Times New Roman" w:cs="Arial"/>
                <w:color w:val="000000"/>
                <w:szCs w:val="22"/>
                <w:lang w:eastAsia="en-AU"/>
              </w:rPr>
              <w:t>b</w:t>
            </w:r>
            <w:r w:rsidRPr="00E7681B">
              <w:rPr>
                <w:rFonts w:eastAsia="Times New Roman" w:cs="Arial"/>
                <w:color w:val="000000"/>
                <w:szCs w:val="22"/>
                <w:lang w:eastAsia="en-AU"/>
              </w:rPr>
              <w:t>elonging</w:t>
            </w:r>
          </w:p>
        </w:tc>
      </w:tr>
      <w:tr w:rsidR="008B7673" w:rsidRPr="00E7681B" w14:paraId="57D47202"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7AF7BF17"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DHPW</w:t>
            </w:r>
          </w:p>
        </w:tc>
        <w:tc>
          <w:tcPr>
            <w:tcW w:w="7660" w:type="dxa"/>
            <w:tcBorders>
              <w:left w:val="single" w:sz="4" w:space="0" w:color="auto"/>
              <w:right w:val="single" w:sz="4" w:space="0" w:color="auto"/>
            </w:tcBorders>
            <w:noWrap/>
            <w:hideMark/>
          </w:tcPr>
          <w:p w14:paraId="0D6ADE07"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Department of Housing and Public Works</w:t>
            </w:r>
          </w:p>
        </w:tc>
      </w:tr>
      <w:tr w:rsidR="004307ED" w:rsidRPr="00E7681B" w14:paraId="5365C51E"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tcPr>
          <w:p w14:paraId="7C6475C1" w14:textId="2A886554" w:rsidR="00E11C9B" w:rsidRPr="00670271" w:rsidRDefault="00E11C9B">
            <w:pPr>
              <w:rPr>
                <w:rFonts w:eastAsia="Times New Roman" w:cs="Arial"/>
                <w:b w:val="0"/>
                <w:color w:val="000000"/>
                <w:szCs w:val="22"/>
                <w:lang w:eastAsia="en-AU"/>
              </w:rPr>
            </w:pPr>
            <w:r>
              <w:rPr>
                <w:rFonts w:eastAsia="Times New Roman" w:cs="Arial"/>
                <w:b w:val="0"/>
                <w:color w:val="000000"/>
                <w:szCs w:val="22"/>
                <w:lang w:eastAsia="en-AU"/>
              </w:rPr>
              <w:t>DTR</w:t>
            </w:r>
          </w:p>
        </w:tc>
        <w:tc>
          <w:tcPr>
            <w:tcW w:w="7660" w:type="dxa"/>
            <w:tcBorders>
              <w:left w:val="single" w:sz="4" w:space="0" w:color="auto"/>
              <w:right w:val="single" w:sz="4" w:space="0" w:color="auto"/>
            </w:tcBorders>
            <w:noWrap/>
          </w:tcPr>
          <w:p w14:paraId="35067290" w14:textId="6329F38B" w:rsidR="00E11C9B" w:rsidRPr="00E7681B" w:rsidRDefault="00E11C9B">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Pr>
                <w:rFonts w:eastAsia="Times New Roman" w:cs="Arial"/>
                <w:color w:val="000000"/>
                <w:szCs w:val="22"/>
                <w:lang w:eastAsia="en-AU"/>
              </w:rPr>
              <w:t xml:space="preserve">Directions to </w:t>
            </w:r>
            <w:r w:rsidR="00B9196D">
              <w:rPr>
                <w:rFonts w:eastAsia="Times New Roman" w:cs="Arial"/>
                <w:color w:val="000000"/>
                <w:szCs w:val="22"/>
                <w:lang w:eastAsia="en-AU"/>
              </w:rPr>
              <w:t>r</w:t>
            </w:r>
            <w:r>
              <w:rPr>
                <w:rFonts w:eastAsia="Times New Roman" w:cs="Arial"/>
                <w:color w:val="000000"/>
                <w:szCs w:val="22"/>
                <w:lang w:eastAsia="en-AU"/>
              </w:rPr>
              <w:t>ectify</w:t>
            </w:r>
          </w:p>
        </w:tc>
      </w:tr>
      <w:tr w:rsidR="008B7673" w:rsidRPr="00E7681B" w14:paraId="3C062773"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296E36D2"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EDW</w:t>
            </w:r>
          </w:p>
        </w:tc>
        <w:tc>
          <w:tcPr>
            <w:tcW w:w="7660" w:type="dxa"/>
            <w:tcBorders>
              <w:left w:val="single" w:sz="4" w:space="0" w:color="auto"/>
              <w:right w:val="single" w:sz="4" w:space="0" w:color="auto"/>
            </w:tcBorders>
            <w:noWrap/>
            <w:hideMark/>
          </w:tcPr>
          <w:p w14:paraId="0439E4AB" w14:textId="1907A454"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 xml:space="preserve">Enterprise </w:t>
            </w:r>
            <w:r w:rsidR="00B9196D">
              <w:rPr>
                <w:rFonts w:eastAsia="Times New Roman" w:cs="Arial"/>
                <w:color w:val="000000"/>
                <w:szCs w:val="22"/>
                <w:lang w:eastAsia="en-AU"/>
              </w:rPr>
              <w:t>d</w:t>
            </w:r>
            <w:r w:rsidRPr="00E7681B">
              <w:rPr>
                <w:rFonts w:eastAsia="Times New Roman" w:cs="Arial"/>
                <w:color w:val="000000"/>
                <w:szCs w:val="22"/>
                <w:lang w:eastAsia="en-AU"/>
              </w:rPr>
              <w:t xml:space="preserve">ata </w:t>
            </w:r>
            <w:r w:rsidR="00B9196D">
              <w:rPr>
                <w:rFonts w:eastAsia="Times New Roman" w:cs="Arial"/>
                <w:color w:val="000000"/>
                <w:szCs w:val="22"/>
                <w:lang w:eastAsia="en-AU"/>
              </w:rPr>
              <w:t>w</w:t>
            </w:r>
            <w:r w:rsidRPr="00E7681B">
              <w:rPr>
                <w:rFonts w:eastAsia="Times New Roman" w:cs="Arial"/>
                <w:color w:val="000000"/>
                <w:szCs w:val="22"/>
                <w:lang w:eastAsia="en-AU"/>
              </w:rPr>
              <w:t>arehouse</w:t>
            </w:r>
          </w:p>
        </w:tc>
      </w:tr>
      <w:tr w:rsidR="004307ED" w:rsidRPr="001D754C" w14:paraId="19BDE930"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53242A83"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EGP</w:t>
            </w:r>
          </w:p>
        </w:tc>
        <w:tc>
          <w:tcPr>
            <w:tcW w:w="7660" w:type="dxa"/>
            <w:tcBorders>
              <w:left w:val="single" w:sz="4" w:space="0" w:color="auto"/>
              <w:right w:val="single" w:sz="4" w:space="0" w:color="auto"/>
            </w:tcBorders>
            <w:noWrap/>
            <w:hideMark/>
          </w:tcPr>
          <w:p w14:paraId="2D7FC539" w14:textId="77777777" w:rsidR="00CB22D3" w:rsidRPr="001D754C" w:rsidRDefault="00CB22D3">
            <w:pPr>
              <w:cnfStyle w:val="000000000000" w:firstRow="0" w:lastRow="0" w:firstColumn="0" w:lastColumn="0" w:oddVBand="0" w:evenVBand="0" w:oddHBand="0" w:evenHBand="0" w:firstRowFirstColumn="0" w:firstRowLastColumn="0" w:lastRowFirstColumn="0" w:lastRowLastColumn="0"/>
            </w:pPr>
            <w:r w:rsidRPr="001D754C">
              <w:t>Ex Gratia Payment Decisions Committee</w:t>
            </w:r>
          </w:p>
        </w:tc>
      </w:tr>
      <w:tr w:rsidR="008B7673" w:rsidRPr="001D754C" w14:paraId="543DE96E"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640A4A1C"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FAR</w:t>
            </w:r>
          </w:p>
        </w:tc>
        <w:tc>
          <w:tcPr>
            <w:tcW w:w="7660" w:type="dxa"/>
            <w:tcBorders>
              <w:left w:val="single" w:sz="4" w:space="0" w:color="auto"/>
              <w:right w:val="single" w:sz="4" w:space="0" w:color="auto"/>
            </w:tcBorders>
            <w:noWrap/>
            <w:hideMark/>
          </w:tcPr>
          <w:p w14:paraId="79C9F80C" w14:textId="35FB690A" w:rsidR="00CB22D3" w:rsidRPr="001D754C" w:rsidRDefault="00CB22D3">
            <w:pPr>
              <w:cnfStyle w:val="000000100000" w:firstRow="0" w:lastRow="0" w:firstColumn="0" w:lastColumn="0" w:oddVBand="0" w:evenVBand="0" w:oddHBand="1" w:evenHBand="0" w:firstRowFirstColumn="0" w:firstRowLastColumn="0" w:lastRowFirstColumn="0" w:lastRowLastColumn="0"/>
            </w:pPr>
            <w:r w:rsidRPr="001D754C">
              <w:t>Finance, Audit and Risk Committee</w:t>
            </w:r>
          </w:p>
        </w:tc>
      </w:tr>
      <w:tr w:rsidR="008047B4" w:rsidRPr="001D754C" w14:paraId="4A60B802"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tcPr>
          <w:p w14:paraId="4E3ED5FE" w14:textId="442B4F3A" w:rsidR="008047B4" w:rsidRPr="009D528A" w:rsidRDefault="008047B4">
            <w:pPr>
              <w:rPr>
                <w:rFonts w:eastAsia="Times New Roman" w:cs="Arial"/>
                <w:b w:val="0"/>
                <w:color w:val="000000"/>
                <w:szCs w:val="22"/>
                <w:lang w:eastAsia="en-AU"/>
              </w:rPr>
            </w:pPr>
            <w:r w:rsidRPr="009D528A">
              <w:rPr>
                <w:rFonts w:eastAsia="Times New Roman" w:cs="Arial"/>
                <w:b w:val="0"/>
                <w:color w:val="000000"/>
                <w:szCs w:val="22"/>
                <w:lang w:eastAsia="en-AU"/>
              </w:rPr>
              <w:t>Form 4/4A</w:t>
            </w:r>
          </w:p>
        </w:tc>
        <w:tc>
          <w:tcPr>
            <w:tcW w:w="7660" w:type="dxa"/>
            <w:tcBorders>
              <w:left w:val="single" w:sz="4" w:space="0" w:color="auto"/>
              <w:right w:val="single" w:sz="4" w:space="0" w:color="auto"/>
            </w:tcBorders>
            <w:noWrap/>
          </w:tcPr>
          <w:p w14:paraId="5BA45514" w14:textId="05E8A0C3" w:rsidR="008047B4" w:rsidRPr="001D754C" w:rsidRDefault="008047B4">
            <w:pPr>
              <w:cnfStyle w:val="000000000000" w:firstRow="0" w:lastRow="0" w:firstColumn="0" w:lastColumn="0" w:oddVBand="0" w:evenVBand="0" w:oddHBand="0" w:evenHBand="0" w:firstRowFirstColumn="0" w:firstRowLastColumn="0" w:lastRowFirstColumn="0" w:lastRowLastColumn="0"/>
            </w:pPr>
            <w:r>
              <w:rPr>
                <w:rFonts w:eastAsia="Arial" w:cs="Arial"/>
              </w:rPr>
              <w:t>Notifiable Work Notification</w:t>
            </w:r>
          </w:p>
        </w:tc>
      </w:tr>
      <w:tr w:rsidR="004307ED" w:rsidRPr="00E7681B" w14:paraId="4F038F98"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66311193"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FWA</w:t>
            </w:r>
          </w:p>
        </w:tc>
        <w:tc>
          <w:tcPr>
            <w:tcW w:w="7660" w:type="dxa"/>
            <w:tcBorders>
              <w:left w:val="single" w:sz="4" w:space="0" w:color="auto"/>
              <w:right w:val="single" w:sz="4" w:space="0" w:color="auto"/>
            </w:tcBorders>
            <w:noWrap/>
            <w:hideMark/>
          </w:tcPr>
          <w:p w14:paraId="037C34D5" w14:textId="5D79D1DB" w:rsidR="00CB22D3" w:rsidRPr="00E7681B" w:rsidRDefault="00C071F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Pr>
                <w:rFonts w:eastAsia="Times New Roman" w:cs="Arial"/>
                <w:color w:val="000000"/>
                <w:szCs w:val="22"/>
                <w:lang w:eastAsia="en-AU"/>
              </w:rPr>
              <w:t>F</w:t>
            </w:r>
            <w:r w:rsidR="00CB22D3" w:rsidRPr="00E7681B">
              <w:rPr>
                <w:rFonts w:eastAsia="Times New Roman" w:cs="Arial"/>
                <w:color w:val="000000"/>
                <w:szCs w:val="22"/>
                <w:lang w:eastAsia="en-AU"/>
              </w:rPr>
              <w:t xml:space="preserve">lexible </w:t>
            </w:r>
            <w:r w:rsidR="00191DA2">
              <w:rPr>
                <w:rFonts w:eastAsia="Times New Roman" w:cs="Arial"/>
                <w:color w:val="000000"/>
                <w:szCs w:val="22"/>
                <w:lang w:eastAsia="en-AU"/>
              </w:rPr>
              <w:t>w</w:t>
            </w:r>
            <w:r w:rsidR="00CB22D3" w:rsidRPr="00E7681B">
              <w:rPr>
                <w:rFonts w:eastAsia="Times New Roman" w:cs="Arial"/>
                <w:color w:val="000000"/>
                <w:szCs w:val="22"/>
                <w:lang w:eastAsia="en-AU"/>
              </w:rPr>
              <w:t xml:space="preserve">ork </w:t>
            </w:r>
            <w:r w:rsidR="00191DA2">
              <w:rPr>
                <w:rFonts w:eastAsia="Times New Roman" w:cs="Arial"/>
                <w:color w:val="000000"/>
                <w:szCs w:val="22"/>
                <w:lang w:eastAsia="en-AU"/>
              </w:rPr>
              <w:t>a</w:t>
            </w:r>
            <w:r w:rsidR="00CB22D3" w:rsidRPr="00E7681B">
              <w:rPr>
                <w:rFonts w:eastAsia="Times New Roman" w:cs="Arial"/>
                <w:color w:val="000000"/>
                <w:szCs w:val="22"/>
                <w:lang w:eastAsia="en-AU"/>
              </w:rPr>
              <w:t>rrangements</w:t>
            </w:r>
          </w:p>
        </w:tc>
      </w:tr>
      <w:tr w:rsidR="008B7673" w:rsidRPr="001D754C" w14:paraId="6EA82458"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56A8873E"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IAC</w:t>
            </w:r>
          </w:p>
        </w:tc>
        <w:tc>
          <w:tcPr>
            <w:tcW w:w="7660" w:type="dxa"/>
            <w:tcBorders>
              <w:left w:val="single" w:sz="4" w:space="0" w:color="auto"/>
              <w:right w:val="single" w:sz="4" w:space="0" w:color="auto"/>
            </w:tcBorders>
            <w:noWrap/>
            <w:hideMark/>
          </w:tcPr>
          <w:p w14:paraId="1A594B3D" w14:textId="77777777" w:rsidR="00CB22D3" w:rsidRPr="001D754C" w:rsidRDefault="00CB22D3">
            <w:pPr>
              <w:cnfStyle w:val="000000000000" w:firstRow="0" w:lastRow="0" w:firstColumn="0" w:lastColumn="0" w:oddVBand="0" w:evenVBand="0" w:oddHBand="0" w:evenHBand="0" w:firstRowFirstColumn="0" w:firstRowLastColumn="0" w:lastRowFirstColumn="0" w:lastRowLastColumn="0"/>
            </w:pPr>
            <w:r w:rsidRPr="001D754C">
              <w:t>Industry Advisory Committee</w:t>
            </w:r>
          </w:p>
        </w:tc>
      </w:tr>
      <w:tr w:rsidR="004307ED" w:rsidRPr="001D754C" w14:paraId="35C9C1AB"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31CABD31" w14:textId="1476FF1F" w:rsidR="00CB22D3" w:rsidRPr="00670271" w:rsidRDefault="00CB22D3">
            <w:pPr>
              <w:rPr>
                <w:rFonts w:eastAsia="Times New Roman" w:cs="Arial"/>
                <w:b w:val="0"/>
                <w:color w:val="000000"/>
                <w:szCs w:val="22"/>
                <w:lang w:eastAsia="en-AU"/>
              </w:rPr>
            </w:pPr>
            <w:r w:rsidRPr="00975F2E">
              <w:rPr>
                <w:rFonts w:eastAsia="Times New Roman" w:cs="Arial"/>
                <w:b w:val="0"/>
                <w:color w:val="000000"/>
                <w:szCs w:val="22"/>
                <w:lang w:eastAsia="en-AU"/>
              </w:rPr>
              <w:t>INS</w:t>
            </w:r>
            <w:r w:rsidR="004B4473" w:rsidRPr="00975F2E">
              <w:rPr>
                <w:rFonts w:eastAsia="Times New Roman" w:cs="Arial"/>
                <w:b w:val="0"/>
                <w:color w:val="000000"/>
                <w:szCs w:val="22"/>
                <w:lang w:eastAsia="en-AU"/>
              </w:rPr>
              <w:t>C</w:t>
            </w:r>
          </w:p>
        </w:tc>
        <w:tc>
          <w:tcPr>
            <w:tcW w:w="7660" w:type="dxa"/>
            <w:tcBorders>
              <w:left w:val="single" w:sz="4" w:space="0" w:color="auto"/>
              <w:right w:val="single" w:sz="4" w:space="0" w:color="auto"/>
            </w:tcBorders>
            <w:noWrap/>
            <w:hideMark/>
          </w:tcPr>
          <w:p w14:paraId="49C8C210" w14:textId="77777777" w:rsidR="00CB22D3" w:rsidRPr="001D754C" w:rsidRDefault="00CB22D3">
            <w:pPr>
              <w:cnfStyle w:val="000000100000" w:firstRow="0" w:lastRow="0" w:firstColumn="0" w:lastColumn="0" w:oddVBand="0" w:evenVBand="0" w:oddHBand="1" w:evenHBand="0" w:firstRowFirstColumn="0" w:firstRowLastColumn="0" w:lastRowFirstColumn="0" w:lastRowLastColumn="0"/>
            </w:pPr>
            <w:r w:rsidRPr="001D754C">
              <w:t>Insurance Committee</w:t>
            </w:r>
          </w:p>
        </w:tc>
      </w:tr>
      <w:tr w:rsidR="008B7673" w:rsidRPr="00E7681B" w14:paraId="35B2D98F"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18179F81"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IP Act</w:t>
            </w:r>
          </w:p>
        </w:tc>
        <w:tc>
          <w:tcPr>
            <w:tcW w:w="7660" w:type="dxa"/>
            <w:tcBorders>
              <w:left w:val="single" w:sz="4" w:space="0" w:color="auto"/>
              <w:right w:val="single" w:sz="4" w:space="0" w:color="auto"/>
            </w:tcBorders>
            <w:noWrap/>
            <w:hideMark/>
          </w:tcPr>
          <w:p w14:paraId="5D4EDE4B" w14:textId="77777777"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Cs w:val="22"/>
                <w:lang w:eastAsia="en-AU"/>
              </w:rPr>
            </w:pPr>
            <w:r w:rsidRPr="00E7681B">
              <w:rPr>
                <w:rFonts w:eastAsia="Times New Roman" w:cs="Arial"/>
                <w:i/>
                <w:iCs/>
                <w:color w:val="000000"/>
                <w:szCs w:val="22"/>
                <w:lang w:eastAsia="en-AU"/>
              </w:rPr>
              <w:t>Information Privacy Act 2009</w:t>
            </w:r>
          </w:p>
        </w:tc>
      </w:tr>
      <w:tr w:rsidR="004307ED" w:rsidRPr="00E7681B" w14:paraId="3233CB15"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48F887EE"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ISC</w:t>
            </w:r>
          </w:p>
        </w:tc>
        <w:tc>
          <w:tcPr>
            <w:tcW w:w="7660" w:type="dxa"/>
            <w:tcBorders>
              <w:left w:val="single" w:sz="4" w:space="0" w:color="auto"/>
              <w:right w:val="single" w:sz="4" w:space="0" w:color="auto"/>
            </w:tcBorders>
            <w:noWrap/>
            <w:hideMark/>
          </w:tcPr>
          <w:p w14:paraId="0183A3E9"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Implementation Steering Committee</w:t>
            </w:r>
          </w:p>
        </w:tc>
      </w:tr>
      <w:tr w:rsidR="008B7673" w:rsidRPr="00E7681B" w14:paraId="729861C5"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39CC88BE"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LMS</w:t>
            </w:r>
          </w:p>
        </w:tc>
        <w:tc>
          <w:tcPr>
            <w:tcW w:w="7660" w:type="dxa"/>
            <w:tcBorders>
              <w:left w:val="single" w:sz="4" w:space="0" w:color="auto"/>
              <w:right w:val="single" w:sz="4" w:space="0" w:color="auto"/>
            </w:tcBorders>
            <w:noWrap/>
            <w:hideMark/>
          </w:tcPr>
          <w:p w14:paraId="76A6A86D" w14:textId="05E1C8E7"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 xml:space="preserve">Learning </w:t>
            </w:r>
            <w:r w:rsidR="00191DA2">
              <w:rPr>
                <w:rFonts w:eastAsia="Times New Roman" w:cs="Arial"/>
                <w:color w:val="000000"/>
                <w:szCs w:val="22"/>
                <w:lang w:eastAsia="en-AU"/>
              </w:rPr>
              <w:t>m</w:t>
            </w:r>
            <w:r w:rsidRPr="00E7681B">
              <w:rPr>
                <w:rFonts w:eastAsia="Times New Roman" w:cs="Arial"/>
                <w:color w:val="000000"/>
                <w:szCs w:val="22"/>
                <w:lang w:eastAsia="en-AU"/>
              </w:rPr>
              <w:t xml:space="preserve">anagement </w:t>
            </w:r>
            <w:r w:rsidR="00191DA2">
              <w:rPr>
                <w:rFonts w:eastAsia="Times New Roman" w:cs="Arial"/>
                <w:color w:val="000000"/>
                <w:szCs w:val="22"/>
                <w:lang w:eastAsia="en-AU"/>
              </w:rPr>
              <w:t>s</w:t>
            </w:r>
            <w:r w:rsidRPr="00E7681B">
              <w:rPr>
                <w:rFonts w:eastAsia="Times New Roman" w:cs="Arial"/>
                <w:color w:val="000000"/>
                <w:szCs w:val="22"/>
                <w:lang w:eastAsia="en-AU"/>
              </w:rPr>
              <w:t>ystem</w:t>
            </w:r>
          </w:p>
        </w:tc>
      </w:tr>
      <w:tr w:rsidR="004307ED" w:rsidRPr="00E7681B" w14:paraId="3735B339"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5AEBAC4A"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MCPS</w:t>
            </w:r>
          </w:p>
        </w:tc>
        <w:tc>
          <w:tcPr>
            <w:tcW w:w="7660" w:type="dxa"/>
            <w:tcBorders>
              <w:left w:val="single" w:sz="4" w:space="0" w:color="auto"/>
              <w:right w:val="single" w:sz="4" w:space="0" w:color="auto"/>
            </w:tcBorders>
            <w:noWrap/>
            <w:hideMark/>
          </w:tcPr>
          <w:p w14:paraId="1E3D781D"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Mediation and Conciliation Pilot Service</w:t>
            </w:r>
          </w:p>
        </w:tc>
      </w:tr>
      <w:tr w:rsidR="008B7673" w:rsidRPr="00E7681B" w14:paraId="425860D2"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22295E83"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MFR</w:t>
            </w:r>
          </w:p>
        </w:tc>
        <w:tc>
          <w:tcPr>
            <w:tcW w:w="7660" w:type="dxa"/>
            <w:tcBorders>
              <w:left w:val="single" w:sz="4" w:space="0" w:color="auto"/>
              <w:right w:val="single" w:sz="4" w:space="0" w:color="auto"/>
            </w:tcBorders>
            <w:noWrap/>
            <w:hideMark/>
          </w:tcPr>
          <w:p w14:paraId="281B8209" w14:textId="073DB502"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 xml:space="preserve">Minimum </w:t>
            </w:r>
            <w:r w:rsidR="00EB5F1E">
              <w:rPr>
                <w:rFonts w:eastAsia="Times New Roman" w:cs="Arial"/>
                <w:color w:val="000000"/>
                <w:szCs w:val="22"/>
                <w:lang w:eastAsia="en-AU"/>
              </w:rPr>
              <w:t>f</w:t>
            </w:r>
            <w:r w:rsidRPr="00E7681B">
              <w:rPr>
                <w:rFonts w:eastAsia="Times New Roman" w:cs="Arial"/>
                <w:color w:val="000000"/>
                <w:szCs w:val="22"/>
                <w:lang w:eastAsia="en-AU"/>
              </w:rPr>
              <w:t xml:space="preserve">inancial </w:t>
            </w:r>
            <w:r w:rsidR="00EB5F1E">
              <w:rPr>
                <w:rFonts w:eastAsia="Times New Roman" w:cs="Arial"/>
                <w:color w:val="000000"/>
                <w:szCs w:val="22"/>
                <w:lang w:eastAsia="en-AU"/>
              </w:rPr>
              <w:t>r</w:t>
            </w:r>
            <w:r w:rsidRPr="00E7681B">
              <w:rPr>
                <w:rFonts w:eastAsia="Times New Roman" w:cs="Arial"/>
                <w:color w:val="000000"/>
                <w:szCs w:val="22"/>
                <w:lang w:eastAsia="en-AU"/>
              </w:rPr>
              <w:t>equirements</w:t>
            </w:r>
          </w:p>
        </w:tc>
      </w:tr>
      <w:tr w:rsidR="004307ED" w:rsidRPr="00E7681B" w14:paraId="6311DDC9"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08D7BD0F"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NAWIC</w:t>
            </w:r>
          </w:p>
        </w:tc>
        <w:tc>
          <w:tcPr>
            <w:tcW w:w="7660" w:type="dxa"/>
            <w:tcBorders>
              <w:left w:val="single" w:sz="4" w:space="0" w:color="auto"/>
              <w:right w:val="single" w:sz="4" w:space="0" w:color="auto"/>
            </w:tcBorders>
            <w:noWrap/>
            <w:hideMark/>
          </w:tcPr>
          <w:p w14:paraId="577C9FF8"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National Association of Women in Construction</w:t>
            </w:r>
          </w:p>
        </w:tc>
      </w:tr>
      <w:tr w:rsidR="008B7673" w:rsidRPr="00E7681B" w14:paraId="41D9641D"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3F76490D"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NCBP</w:t>
            </w:r>
          </w:p>
        </w:tc>
        <w:tc>
          <w:tcPr>
            <w:tcW w:w="7660" w:type="dxa"/>
            <w:tcBorders>
              <w:left w:val="single" w:sz="4" w:space="0" w:color="auto"/>
              <w:right w:val="single" w:sz="4" w:space="0" w:color="auto"/>
            </w:tcBorders>
            <w:noWrap/>
            <w:hideMark/>
          </w:tcPr>
          <w:p w14:paraId="37DD5A2E" w14:textId="0F2FD5F3"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Non-</w:t>
            </w:r>
            <w:r w:rsidR="00EB5F1E">
              <w:rPr>
                <w:rFonts w:eastAsia="Times New Roman" w:cs="Arial"/>
                <w:color w:val="000000"/>
                <w:szCs w:val="22"/>
                <w:lang w:eastAsia="en-AU"/>
              </w:rPr>
              <w:t>c</w:t>
            </w:r>
            <w:r w:rsidRPr="00E7681B">
              <w:rPr>
                <w:rFonts w:eastAsia="Times New Roman" w:cs="Arial"/>
                <w:color w:val="000000"/>
                <w:szCs w:val="22"/>
                <w:lang w:eastAsia="en-AU"/>
              </w:rPr>
              <w:t xml:space="preserve">onforming </w:t>
            </w:r>
            <w:r w:rsidR="00EB5F1E">
              <w:rPr>
                <w:rFonts w:eastAsia="Times New Roman" w:cs="Arial"/>
                <w:color w:val="000000"/>
                <w:szCs w:val="22"/>
                <w:lang w:eastAsia="en-AU"/>
              </w:rPr>
              <w:t>b</w:t>
            </w:r>
            <w:r w:rsidRPr="00E7681B">
              <w:rPr>
                <w:rFonts w:eastAsia="Times New Roman" w:cs="Arial"/>
                <w:color w:val="000000"/>
                <w:szCs w:val="22"/>
                <w:lang w:eastAsia="en-AU"/>
              </w:rPr>
              <w:t xml:space="preserve">uilding </w:t>
            </w:r>
            <w:r w:rsidR="00EB5F1E">
              <w:rPr>
                <w:rFonts w:eastAsia="Times New Roman" w:cs="Arial"/>
                <w:color w:val="000000"/>
                <w:szCs w:val="22"/>
                <w:lang w:eastAsia="en-AU"/>
              </w:rPr>
              <w:t>p</w:t>
            </w:r>
            <w:r w:rsidRPr="00E7681B">
              <w:rPr>
                <w:rFonts w:eastAsia="Times New Roman" w:cs="Arial"/>
                <w:color w:val="000000"/>
                <w:szCs w:val="22"/>
                <w:lang w:eastAsia="en-AU"/>
              </w:rPr>
              <w:t>roduct</w:t>
            </w:r>
          </w:p>
        </w:tc>
      </w:tr>
      <w:tr w:rsidR="00B167FF" w:rsidRPr="001D754C" w14:paraId="4B4DFC60"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22F6458F"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NWP</w:t>
            </w:r>
          </w:p>
        </w:tc>
        <w:tc>
          <w:tcPr>
            <w:tcW w:w="7660" w:type="dxa"/>
            <w:tcBorders>
              <w:left w:val="single" w:sz="4" w:space="0" w:color="auto"/>
              <w:right w:val="single" w:sz="4" w:space="0" w:color="auto"/>
            </w:tcBorders>
            <w:noWrap/>
            <w:hideMark/>
          </w:tcPr>
          <w:p w14:paraId="5CD75112" w14:textId="77777777" w:rsidR="00CB22D3" w:rsidRPr="001D754C" w:rsidRDefault="00CB22D3">
            <w:pPr>
              <w:cnfStyle w:val="000000100000" w:firstRow="0" w:lastRow="0" w:firstColumn="0" w:lastColumn="0" w:oddVBand="0" w:evenVBand="0" w:oddHBand="1" w:evenHBand="0" w:firstRowFirstColumn="0" w:firstRowLastColumn="0" w:lastRowFirstColumn="0" w:lastRowLastColumn="0"/>
            </w:pPr>
            <w:r w:rsidRPr="001D754C">
              <w:t>Notifiable Work Panel</w:t>
            </w:r>
          </w:p>
        </w:tc>
      </w:tr>
      <w:tr w:rsidR="008B7673" w:rsidRPr="001D754C" w14:paraId="7EE3385C"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tcPr>
          <w:p w14:paraId="0B7091C4" w14:textId="2CD442ED" w:rsidR="00C071F8" w:rsidRPr="00C071F8" w:rsidRDefault="00C071F8">
            <w:pPr>
              <w:rPr>
                <w:rFonts w:eastAsia="Times New Roman" w:cs="Arial"/>
                <w:b w:val="0"/>
                <w:bCs w:val="0"/>
                <w:color w:val="000000"/>
                <w:szCs w:val="22"/>
                <w:lang w:eastAsia="en-AU"/>
              </w:rPr>
            </w:pPr>
            <w:r w:rsidRPr="00C071F8">
              <w:rPr>
                <w:rFonts w:eastAsia="Times New Roman" w:cs="Arial"/>
                <w:b w:val="0"/>
                <w:bCs w:val="0"/>
                <w:color w:val="000000"/>
                <w:szCs w:val="22"/>
                <w:lang w:eastAsia="en-AU"/>
              </w:rPr>
              <w:t>OCM</w:t>
            </w:r>
          </w:p>
        </w:tc>
        <w:tc>
          <w:tcPr>
            <w:tcW w:w="7660" w:type="dxa"/>
            <w:tcBorders>
              <w:left w:val="single" w:sz="4" w:space="0" w:color="auto"/>
              <w:right w:val="single" w:sz="4" w:space="0" w:color="auto"/>
            </w:tcBorders>
            <w:noWrap/>
          </w:tcPr>
          <w:p w14:paraId="7894C8AB" w14:textId="1422A796" w:rsidR="00C071F8" w:rsidRPr="001D754C" w:rsidRDefault="00C071F8">
            <w:pPr>
              <w:cnfStyle w:val="000000000000" w:firstRow="0" w:lastRow="0" w:firstColumn="0" w:lastColumn="0" w:oddVBand="0" w:evenVBand="0" w:oddHBand="0" w:evenHBand="0" w:firstRowFirstColumn="0" w:firstRowLastColumn="0" w:lastRowFirstColumn="0" w:lastRowLastColumn="0"/>
            </w:pPr>
            <w:r>
              <w:t>O’Connor Marsden and Associates</w:t>
            </w:r>
          </w:p>
        </w:tc>
      </w:tr>
      <w:tr w:rsidR="00CB22D3" w:rsidRPr="001D754C" w14:paraId="77B2390B"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781494A5"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PCP</w:t>
            </w:r>
          </w:p>
        </w:tc>
        <w:tc>
          <w:tcPr>
            <w:tcW w:w="7660" w:type="dxa"/>
            <w:tcBorders>
              <w:left w:val="single" w:sz="4" w:space="0" w:color="auto"/>
              <w:right w:val="single" w:sz="4" w:space="0" w:color="auto"/>
            </w:tcBorders>
            <w:noWrap/>
            <w:hideMark/>
          </w:tcPr>
          <w:p w14:paraId="48978410" w14:textId="77777777" w:rsidR="00CB22D3" w:rsidRPr="001D754C" w:rsidRDefault="00CB22D3">
            <w:pPr>
              <w:cnfStyle w:val="000000100000" w:firstRow="0" w:lastRow="0" w:firstColumn="0" w:lastColumn="0" w:oddVBand="0" w:evenVBand="0" w:oddHBand="1" w:evenHBand="0" w:firstRowFirstColumn="0" w:firstRowLastColumn="0" w:lastRowFirstColumn="0" w:lastRowLastColumn="0"/>
            </w:pPr>
            <w:r w:rsidRPr="001D754C">
              <w:t>People, Culture and Performance Committee</w:t>
            </w:r>
          </w:p>
        </w:tc>
      </w:tr>
      <w:tr w:rsidR="008B7673" w:rsidRPr="00E7681B" w14:paraId="39240434"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0B435608"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PD Act</w:t>
            </w:r>
          </w:p>
        </w:tc>
        <w:tc>
          <w:tcPr>
            <w:tcW w:w="7660" w:type="dxa"/>
            <w:tcBorders>
              <w:left w:val="single" w:sz="4" w:space="0" w:color="auto"/>
              <w:right w:val="single" w:sz="4" w:space="0" w:color="auto"/>
            </w:tcBorders>
            <w:noWrap/>
            <w:hideMark/>
          </w:tcPr>
          <w:p w14:paraId="31482E46" w14:textId="77777777"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Cs w:val="22"/>
                <w:lang w:eastAsia="en-AU"/>
              </w:rPr>
            </w:pPr>
            <w:r w:rsidRPr="00E7681B">
              <w:rPr>
                <w:rFonts w:eastAsia="Times New Roman" w:cs="Arial"/>
                <w:i/>
                <w:iCs/>
                <w:color w:val="000000"/>
                <w:szCs w:val="22"/>
                <w:lang w:eastAsia="en-AU"/>
              </w:rPr>
              <w:t>Plumbing and Drainage Act 2018</w:t>
            </w:r>
          </w:p>
        </w:tc>
      </w:tr>
      <w:tr w:rsidR="00CB22D3" w:rsidRPr="00E7681B" w14:paraId="3B0C7D6A"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35C21163"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PDP</w:t>
            </w:r>
          </w:p>
        </w:tc>
        <w:tc>
          <w:tcPr>
            <w:tcW w:w="7660" w:type="dxa"/>
            <w:tcBorders>
              <w:left w:val="single" w:sz="4" w:space="0" w:color="auto"/>
              <w:right w:val="single" w:sz="4" w:space="0" w:color="auto"/>
            </w:tcBorders>
            <w:noWrap/>
            <w:hideMark/>
          </w:tcPr>
          <w:p w14:paraId="7121DC47" w14:textId="05A0304A"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Performance Development Plan</w:t>
            </w:r>
          </w:p>
        </w:tc>
      </w:tr>
      <w:tr w:rsidR="008B7673" w:rsidRPr="001D754C" w14:paraId="2D70FB30"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69341B74"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PSI</w:t>
            </w:r>
          </w:p>
        </w:tc>
        <w:tc>
          <w:tcPr>
            <w:tcW w:w="7660" w:type="dxa"/>
            <w:tcBorders>
              <w:left w:val="single" w:sz="4" w:space="0" w:color="auto"/>
              <w:right w:val="single" w:sz="4" w:space="0" w:color="auto"/>
            </w:tcBorders>
            <w:noWrap/>
            <w:hideMark/>
          </w:tcPr>
          <w:p w14:paraId="0F0E2A14" w14:textId="2C98167A" w:rsidR="00CB22D3" w:rsidRPr="001D754C"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1D754C">
              <w:rPr>
                <w:rFonts w:eastAsia="Times New Roman" w:cs="Arial"/>
                <w:color w:val="000000"/>
                <w:szCs w:val="22"/>
                <w:lang w:eastAsia="en-AU"/>
              </w:rPr>
              <w:t xml:space="preserve">Pool </w:t>
            </w:r>
            <w:r w:rsidR="00AF0AE4">
              <w:rPr>
                <w:rFonts w:eastAsia="Times New Roman" w:cs="Arial"/>
                <w:color w:val="000000"/>
                <w:szCs w:val="22"/>
                <w:lang w:eastAsia="en-AU"/>
              </w:rPr>
              <w:t>s</w:t>
            </w:r>
            <w:r w:rsidRPr="001D754C">
              <w:rPr>
                <w:rFonts w:eastAsia="Times New Roman" w:cs="Arial"/>
                <w:color w:val="000000"/>
                <w:szCs w:val="22"/>
                <w:lang w:eastAsia="en-AU"/>
              </w:rPr>
              <w:t xml:space="preserve">afety </w:t>
            </w:r>
            <w:r w:rsidR="00AF0AE4">
              <w:rPr>
                <w:rFonts w:eastAsia="Times New Roman" w:cs="Arial"/>
                <w:color w:val="000000"/>
                <w:szCs w:val="22"/>
                <w:lang w:eastAsia="en-AU"/>
              </w:rPr>
              <w:t>i</w:t>
            </w:r>
            <w:r w:rsidRPr="001D754C">
              <w:rPr>
                <w:rFonts w:eastAsia="Times New Roman" w:cs="Arial"/>
                <w:color w:val="000000"/>
                <w:szCs w:val="22"/>
                <w:lang w:eastAsia="en-AU"/>
              </w:rPr>
              <w:t>nspector</w:t>
            </w:r>
          </w:p>
        </w:tc>
      </w:tr>
      <w:tr w:rsidR="00CB22D3" w:rsidRPr="00E7681B" w14:paraId="34D364C0"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62612392"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QAO</w:t>
            </w:r>
          </w:p>
        </w:tc>
        <w:tc>
          <w:tcPr>
            <w:tcW w:w="7660" w:type="dxa"/>
            <w:tcBorders>
              <w:left w:val="single" w:sz="4" w:space="0" w:color="auto"/>
              <w:right w:val="single" w:sz="4" w:space="0" w:color="auto"/>
            </w:tcBorders>
            <w:noWrap/>
            <w:hideMark/>
          </w:tcPr>
          <w:p w14:paraId="439E8EA7"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Queensland Audit Office</w:t>
            </w:r>
          </w:p>
        </w:tc>
      </w:tr>
      <w:tr w:rsidR="008B7673" w:rsidRPr="00E7681B" w14:paraId="4A63DC15"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2CCCE98D" w14:textId="649708FD"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QBC</w:t>
            </w:r>
          </w:p>
        </w:tc>
        <w:tc>
          <w:tcPr>
            <w:tcW w:w="7660" w:type="dxa"/>
            <w:tcBorders>
              <w:left w:val="single" w:sz="4" w:space="0" w:color="auto"/>
              <w:right w:val="single" w:sz="4" w:space="0" w:color="auto"/>
            </w:tcBorders>
            <w:noWrap/>
            <w:hideMark/>
          </w:tcPr>
          <w:p w14:paraId="4C288ADB" w14:textId="3B657AC1"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Queensland Building and Construction</w:t>
            </w:r>
          </w:p>
        </w:tc>
      </w:tr>
      <w:tr w:rsidR="00CB22D3" w:rsidRPr="00E7681B" w14:paraId="5C175668"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73FEFA60"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QBCC</w:t>
            </w:r>
          </w:p>
        </w:tc>
        <w:tc>
          <w:tcPr>
            <w:tcW w:w="7660" w:type="dxa"/>
            <w:tcBorders>
              <w:left w:val="single" w:sz="4" w:space="0" w:color="auto"/>
              <w:right w:val="single" w:sz="4" w:space="0" w:color="auto"/>
            </w:tcBorders>
            <w:noWrap/>
            <w:hideMark/>
          </w:tcPr>
          <w:p w14:paraId="17D83288"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Queensland Building and Construction Commission</w:t>
            </w:r>
          </w:p>
        </w:tc>
      </w:tr>
      <w:tr w:rsidR="008B7673" w:rsidRPr="00E7681B" w14:paraId="43A265AF"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065ACD2B"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QBCC Act</w:t>
            </w:r>
          </w:p>
        </w:tc>
        <w:tc>
          <w:tcPr>
            <w:tcW w:w="7660" w:type="dxa"/>
            <w:tcBorders>
              <w:left w:val="single" w:sz="4" w:space="0" w:color="auto"/>
              <w:right w:val="single" w:sz="4" w:space="0" w:color="auto"/>
            </w:tcBorders>
            <w:noWrap/>
            <w:hideMark/>
          </w:tcPr>
          <w:p w14:paraId="647DA7FC" w14:textId="77777777"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Cs w:val="22"/>
                <w:lang w:eastAsia="en-AU"/>
              </w:rPr>
            </w:pPr>
            <w:r w:rsidRPr="00E7681B">
              <w:rPr>
                <w:rFonts w:eastAsia="Times New Roman" w:cs="Arial"/>
                <w:i/>
                <w:iCs/>
                <w:color w:val="000000"/>
                <w:szCs w:val="22"/>
                <w:lang w:eastAsia="en-AU"/>
              </w:rPr>
              <w:t>Queensland Building and Construction Commission Act 1991</w:t>
            </w:r>
          </w:p>
        </w:tc>
      </w:tr>
      <w:tr w:rsidR="00796A7F" w:rsidRPr="00E7681B" w14:paraId="56B1B20B"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vAlign w:val="center"/>
          </w:tcPr>
          <w:p w14:paraId="63EE82F3" w14:textId="7EE9A88A" w:rsidR="00796A7F" w:rsidRPr="00670271" w:rsidRDefault="00796A7F" w:rsidP="00796A7F">
            <w:pPr>
              <w:rPr>
                <w:rFonts w:eastAsia="Times New Roman" w:cs="Arial"/>
                <w:b w:val="0"/>
                <w:color w:val="000000"/>
                <w:szCs w:val="22"/>
                <w:lang w:eastAsia="en-AU"/>
              </w:rPr>
            </w:pPr>
            <w:r>
              <w:rPr>
                <w:rFonts w:eastAsia="Times New Roman" w:cs="Arial"/>
                <w:b w:val="0"/>
                <w:color w:val="000000"/>
                <w:szCs w:val="22"/>
                <w:lang w:eastAsia="en-AU"/>
              </w:rPr>
              <w:t>QBCC Annual Report</w:t>
            </w:r>
          </w:p>
        </w:tc>
        <w:tc>
          <w:tcPr>
            <w:tcW w:w="7660" w:type="dxa"/>
            <w:tcBorders>
              <w:left w:val="single" w:sz="4" w:space="0" w:color="auto"/>
              <w:right w:val="single" w:sz="4" w:space="0" w:color="auto"/>
            </w:tcBorders>
            <w:noWrap/>
            <w:vAlign w:val="center"/>
          </w:tcPr>
          <w:p w14:paraId="502280BD" w14:textId="40705ACB" w:rsidR="00796A7F" w:rsidRPr="00E7681B" w:rsidRDefault="00796A7F" w:rsidP="00796A7F">
            <w:pP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Cs w:val="22"/>
                <w:lang w:eastAsia="en-AU"/>
              </w:rPr>
            </w:pPr>
            <w:r w:rsidRPr="00B8424B">
              <w:rPr>
                <w:rFonts w:eastAsia="Times New Roman" w:cs="Arial"/>
                <w:color w:val="000000"/>
                <w:szCs w:val="22"/>
                <w:lang w:eastAsia="en-AU"/>
              </w:rPr>
              <w:t>Queensland Building and Construction Commission Annual Report 2024–</w:t>
            </w:r>
            <w:r>
              <w:rPr>
                <w:rFonts w:eastAsia="Times New Roman" w:cs="Arial"/>
                <w:color w:val="000000"/>
                <w:szCs w:val="22"/>
                <w:lang w:eastAsia="en-AU"/>
              </w:rPr>
              <w:t>25</w:t>
            </w:r>
          </w:p>
        </w:tc>
      </w:tr>
      <w:tr w:rsidR="00CB22D3" w:rsidRPr="00E7681B" w14:paraId="480D7CD1"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4823BD12"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QCAT</w:t>
            </w:r>
          </w:p>
        </w:tc>
        <w:tc>
          <w:tcPr>
            <w:tcW w:w="7660" w:type="dxa"/>
            <w:tcBorders>
              <w:left w:val="single" w:sz="4" w:space="0" w:color="auto"/>
              <w:right w:val="single" w:sz="4" w:space="0" w:color="auto"/>
            </w:tcBorders>
            <w:noWrap/>
            <w:hideMark/>
          </w:tcPr>
          <w:p w14:paraId="1E1934DB" w14:textId="77777777"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Queensland Civil and Administrative Tribunal</w:t>
            </w:r>
          </w:p>
        </w:tc>
      </w:tr>
      <w:tr w:rsidR="008B7673" w:rsidRPr="00E7681B" w14:paraId="1D9D064F"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487A2DCD"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QGEA</w:t>
            </w:r>
          </w:p>
        </w:tc>
        <w:tc>
          <w:tcPr>
            <w:tcW w:w="7660" w:type="dxa"/>
            <w:tcBorders>
              <w:left w:val="single" w:sz="4" w:space="0" w:color="auto"/>
              <w:right w:val="single" w:sz="4" w:space="0" w:color="auto"/>
            </w:tcBorders>
            <w:noWrap/>
            <w:hideMark/>
          </w:tcPr>
          <w:p w14:paraId="123BDD14"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Queensland Government Enterprise Architecture</w:t>
            </w:r>
          </w:p>
        </w:tc>
      </w:tr>
      <w:tr w:rsidR="00CB22D3" w:rsidRPr="00E7681B" w14:paraId="458CC2E7"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2C07C776"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QHWS</w:t>
            </w:r>
          </w:p>
        </w:tc>
        <w:tc>
          <w:tcPr>
            <w:tcW w:w="7660" w:type="dxa"/>
            <w:tcBorders>
              <w:left w:val="single" w:sz="4" w:space="0" w:color="auto"/>
              <w:right w:val="single" w:sz="4" w:space="0" w:color="auto"/>
            </w:tcBorders>
            <w:noWrap/>
            <w:hideMark/>
          </w:tcPr>
          <w:p w14:paraId="417BCDA3" w14:textId="77777777"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Queensland Home Warranty Scheme</w:t>
            </w:r>
          </w:p>
        </w:tc>
      </w:tr>
      <w:tr w:rsidR="008B7673" w:rsidRPr="00E7681B" w14:paraId="18D5D395"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441DE5D8"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RAF</w:t>
            </w:r>
          </w:p>
        </w:tc>
        <w:tc>
          <w:tcPr>
            <w:tcW w:w="7660" w:type="dxa"/>
            <w:tcBorders>
              <w:left w:val="single" w:sz="4" w:space="0" w:color="auto"/>
              <w:right w:val="single" w:sz="4" w:space="0" w:color="auto"/>
            </w:tcBorders>
            <w:noWrap/>
            <w:hideMark/>
          </w:tcPr>
          <w:p w14:paraId="4A0765B6"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Regulatory Assurance Framework</w:t>
            </w:r>
          </w:p>
        </w:tc>
      </w:tr>
      <w:tr w:rsidR="00CB22D3" w:rsidRPr="00E7681B" w14:paraId="06F7AF7C"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5E22B426"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Registry</w:t>
            </w:r>
          </w:p>
        </w:tc>
        <w:tc>
          <w:tcPr>
            <w:tcW w:w="7660" w:type="dxa"/>
            <w:tcBorders>
              <w:left w:val="single" w:sz="4" w:space="0" w:color="auto"/>
              <w:right w:val="single" w:sz="4" w:space="0" w:color="auto"/>
            </w:tcBorders>
            <w:noWrap/>
            <w:hideMark/>
          </w:tcPr>
          <w:p w14:paraId="7465F868" w14:textId="77777777"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Adjudication Registry</w:t>
            </w:r>
          </w:p>
        </w:tc>
      </w:tr>
      <w:tr w:rsidR="00AB6180" w:rsidRPr="00E7681B" w14:paraId="3A1ADB16"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tcPr>
          <w:p w14:paraId="72DF2ACC" w14:textId="22D328B8" w:rsidR="00AB6180" w:rsidRDefault="00AB6180">
            <w:pPr>
              <w:rPr>
                <w:rFonts w:eastAsia="Times New Roman" w:cs="Arial"/>
                <w:b w:val="0"/>
                <w:color w:val="000000"/>
                <w:szCs w:val="22"/>
                <w:lang w:eastAsia="en-AU"/>
              </w:rPr>
            </w:pPr>
            <w:r>
              <w:rPr>
                <w:rFonts w:eastAsia="Times New Roman" w:cs="Arial"/>
                <w:b w:val="0"/>
                <w:color w:val="000000"/>
                <w:szCs w:val="22"/>
                <w:lang w:eastAsia="en-AU"/>
              </w:rPr>
              <w:t>RTI Act</w:t>
            </w:r>
          </w:p>
        </w:tc>
        <w:tc>
          <w:tcPr>
            <w:tcW w:w="7660" w:type="dxa"/>
            <w:tcBorders>
              <w:left w:val="single" w:sz="4" w:space="0" w:color="auto"/>
              <w:right w:val="single" w:sz="4" w:space="0" w:color="auto"/>
            </w:tcBorders>
            <w:noWrap/>
          </w:tcPr>
          <w:p w14:paraId="7679CF83" w14:textId="2120EF5D" w:rsidR="00AB6180" w:rsidRDefault="00AB618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C52F4E">
              <w:rPr>
                <w:rFonts w:cs="Arial"/>
                <w:i/>
                <w:szCs w:val="22"/>
              </w:rPr>
              <w:t>Right to Information Act 2009</w:t>
            </w:r>
          </w:p>
        </w:tc>
      </w:tr>
      <w:tr w:rsidR="008B7673" w:rsidRPr="00E7681B" w14:paraId="34C38426"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5CE6E104"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RTO</w:t>
            </w:r>
          </w:p>
        </w:tc>
        <w:tc>
          <w:tcPr>
            <w:tcW w:w="7660" w:type="dxa"/>
            <w:tcBorders>
              <w:left w:val="single" w:sz="4" w:space="0" w:color="auto"/>
              <w:right w:val="single" w:sz="4" w:space="0" w:color="auto"/>
            </w:tcBorders>
            <w:noWrap/>
            <w:hideMark/>
          </w:tcPr>
          <w:p w14:paraId="20533FCE" w14:textId="1E5F5EF6"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 xml:space="preserve">Registered </w:t>
            </w:r>
            <w:r w:rsidR="00F2325B">
              <w:rPr>
                <w:rFonts w:eastAsia="Times New Roman" w:cs="Arial"/>
                <w:color w:val="000000"/>
                <w:szCs w:val="22"/>
                <w:lang w:eastAsia="en-AU"/>
              </w:rPr>
              <w:t>t</w:t>
            </w:r>
            <w:r w:rsidRPr="00E7681B">
              <w:rPr>
                <w:rFonts w:eastAsia="Times New Roman" w:cs="Arial"/>
                <w:color w:val="000000"/>
                <w:szCs w:val="22"/>
                <w:lang w:eastAsia="en-AU"/>
              </w:rPr>
              <w:t xml:space="preserve">raining </w:t>
            </w:r>
            <w:r w:rsidR="00557640">
              <w:rPr>
                <w:rFonts w:eastAsia="Times New Roman" w:cs="Arial"/>
                <w:color w:val="000000"/>
                <w:szCs w:val="22"/>
                <w:lang w:eastAsia="en-AU"/>
              </w:rPr>
              <w:t>o</w:t>
            </w:r>
            <w:r w:rsidRPr="00E7681B">
              <w:rPr>
                <w:rFonts w:eastAsia="Times New Roman" w:cs="Arial"/>
                <w:color w:val="000000"/>
                <w:szCs w:val="22"/>
                <w:lang w:eastAsia="en-AU"/>
              </w:rPr>
              <w:t>rganisation</w:t>
            </w:r>
          </w:p>
        </w:tc>
      </w:tr>
      <w:tr w:rsidR="00CB22D3" w:rsidRPr="00E7681B" w14:paraId="0F9B0E50"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4BB17621"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SARAS</w:t>
            </w:r>
          </w:p>
        </w:tc>
        <w:tc>
          <w:tcPr>
            <w:tcW w:w="7660" w:type="dxa"/>
            <w:tcBorders>
              <w:left w:val="single" w:sz="4" w:space="0" w:color="auto"/>
              <w:right w:val="single" w:sz="4" w:space="0" w:color="auto"/>
            </w:tcBorders>
            <w:noWrap/>
            <w:hideMark/>
          </w:tcPr>
          <w:p w14:paraId="720D9F09"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Study and Research Assistance Scheme</w:t>
            </w:r>
          </w:p>
        </w:tc>
      </w:tr>
      <w:tr w:rsidR="00B361C9" w:rsidRPr="00E7681B" w14:paraId="043C66B1"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tcPr>
          <w:p w14:paraId="6A013822" w14:textId="51C23F31" w:rsidR="00B361C9" w:rsidRPr="00796A7F" w:rsidRDefault="00B361C9">
            <w:pPr>
              <w:rPr>
                <w:rFonts w:eastAsia="Times New Roman" w:cs="Arial"/>
                <w:b w:val="0"/>
                <w:color w:val="000000"/>
                <w:szCs w:val="22"/>
                <w:lang w:eastAsia="en-AU"/>
              </w:rPr>
            </w:pPr>
            <w:r w:rsidRPr="009D528A">
              <w:rPr>
                <w:rFonts w:eastAsia="Times New Roman" w:cs="Arial"/>
                <w:b w:val="0"/>
                <w:color w:val="000000"/>
                <w:szCs w:val="22"/>
                <w:lang w:eastAsia="en-AU"/>
              </w:rPr>
              <w:lastRenderedPageBreak/>
              <w:t>SC</w:t>
            </w:r>
          </w:p>
        </w:tc>
        <w:tc>
          <w:tcPr>
            <w:tcW w:w="7660" w:type="dxa"/>
            <w:tcBorders>
              <w:left w:val="single" w:sz="4" w:space="0" w:color="auto"/>
              <w:right w:val="single" w:sz="4" w:space="0" w:color="auto"/>
            </w:tcBorders>
            <w:noWrap/>
          </w:tcPr>
          <w:p w14:paraId="4BD34CF6" w14:textId="5D8E8A70" w:rsidR="00B361C9" w:rsidRPr="00E7681B" w:rsidRDefault="00B361C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B361C9">
              <w:rPr>
                <w:rFonts w:eastAsia="Times New Roman" w:cs="Arial"/>
                <w:color w:val="000000"/>
                <w:szCs w:val="22"/>
                <w:lang w:eastAsia="en-AU"/>
              </w:rPr>
              <w:t>Self</w:t>
            </w:r>
            <w:r w:rsidR="009D528A" w:rsidRPr="00B361C9">
              <w:rPr>
                <w:rFonts w:eastAsia="Times New Roman" w:cs="Arial"/>
                <w:color w:val="000000"/>
                <w:szCs w:val="22"/>
                <w:lang w:eastAsia="en-AU"/>
              </w:rPr>
              <w:t>-</w:t>
            </w:r>
            <w:r w:rsidRPr="00B361C9">
              <w:rPr>
                <w:rFonts w:eastAsia="Times New Roman" w:cs="Arial"/>
                <w:color w:val="000000"/>
                <w:szCs w:val="22"/>
                <w:lang w:eastAsia="en-AU"/>
              </w:rPr>
              <w:t>Certifying Category</w:t>
            </w:r>
          </w:p>
        </w:tc>
      </w:tr>
      <w:tr w:rsidR="008B7673" w:rsidRPr="00E7681B" w14:paraId="6363EF6C"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4A80D839"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SDS</w:t>
            </w:r>
          </w:p>
        </w:tc>
        <w:tc>
          <w:tcPr>
            <w:tcW w:w="7660" w:type="dxa"/>
            <w:tcBorders>
              <w:left w:val="single" w:sz="4" w:space="0" w:color="auto"/>
              <w:right w:val="single" w:sz="4" w:space="0" w:color="auto"/>
            </w:tcBorders>
            <w:noWrap/>
            <w:hideMark/>
          </w:tcPr>
          <w:p w14:paraId="4BF3CF49"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Service Delivery Statements</w:t>
            </w:r>
          </w:p>
        </w:tc>
      </w:tr>
      <w:tr w:rsidR="00B43246" w:rsidRPr="00E7681B" w14:paraId="726E5A65"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tcPr>
          <w:p w14:paraId="650C609C" w14:textId="10C752F0" w:rsidR="00B43246" w:rsidRPr="00670271" w:rsidRDefault="00B43246">
            <w:pPr>
              <w:rPr>
                <w:rFonts w:eastAsia="Times New Roman" w:cs="Arial"/>
                <w:b w:val="0"/>
                <w:color w:val="000000"/>
                <w:szCs w:val="22"/>
                <w:lang w:eastAsia="en-AU"/>
              </w:rPr>
            </w:pPr>
            <w:r>
              <w:rPr>
                <w:rFonts w:eastAsia="Times New Roman" w:cs="Arial"/>
                <w:b w:val="0"/>
                <w:color w:val="000000"/>
                <w:szCs w:val="22"/>
                <w:lang w:eastAsia="en-AU"/>
              </w:rPr>
              <w:t>SLT</w:t>
            </w:r>
          </w:p>
        </w:tc>
        <w:tc>
          <w:tcPr>
            <w:tcW w:w="7660" w:type="dxa"/>
            <w:tcBorders>
              <w:left w:val="single" w:sz="4" w:space="0" w:color="auto"/>
              <w:right w:val="single" w:sz="4" w:space="0" w:color="auto"/>
            </w:tcBorders>
            <w:noWrap/>
          </w:tcPr>
          <w:p w14:paraId="26E320CF" w14:textId="7D93C1C3" w:rsidR="00B43246" w:rsidRPr="00E7681B" w:rsidRDefault="00B43246">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Pr>
                <w:rFonts w:eastAsia="Times New Roman" w:cs="Arial"/>
                <w:color w:val="000000"/>
                <w:szCs w:val="22"/>
                <w:lang w:eastAsia="en-AU"/>
              </w:rPr>
              <w:t>Senior Leadership Team</w:t>
            </w:r>
          </w:p>
        </w:tc>
      </w:tr>
      <w:tr w:rsidR="008B7673" w:rsidRPr="00E7681B" w14:paraId="2272C8AF"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0BE4DC27"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SME</w:t>
            </w:r>
          </w:p>
        </w:tc>
        <w:tc>
          <w:tcPr>
            <w:tcW w:w="7660" w:type="dxa"/>
            <w:tcBorders>
              <w:left w:val="single" w:sz="4" w:space="0" w:color="auto"/>
              <w:right w:val="single" w:sz="4" w:space="0" w:color="auto"/>
            </w:tcBorders>
            <w:noWrap/>
            <w:hideMark/>
          </w:tcPr>
          <w:p w14:paraId="65DE7671" w14:textId="3B176B2B"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 xml:space="preserve">Subject </w:t>
            </w:r>
            <w:r w:rsidR="00557640">
              <w:rPr>
                <w:rFonts w:eastAsia="Times New Roman" w:cs="Arial"/>
                <w:color w:val="000000"/>
                <w:szCs w:val="22"/>
                <w:lang w:eastAsia="en-AU"/>
              </w:rPr>
              <w:t>m</w:t>
            </w:r>
            <w:r w:rsidRPr="00E7681B">
              <w:rPr>
                <w:rFonts w:eastAsia="Times New Roman" w:cs="Arial"/>
                <w:color w:val="000000"/>
                <w:szCs w:val="22"/>
                <w:lang w:eastAsia="en-AU"/>
              </w:rPr>
              <w:t xml:space="preserve">atter </w:t>
            </w:r>
            <w:r w:rsidR="00557640">
              <w:rPr>
                <w:rFonts w:eastAsia="Times New Roman" w:cs="Arial"/>
                <w:color w:val="000000"/>
                <w:szCs w:val="22"/>
                <w:lang w:eastAsia="en-AU"/>
              </w:rPr>
              <w:t>e</w:t>
            </w:r>
            <w:r w:rsidRPr="00E7681B">
              <w:rPr>
                <w:rFonts w:eastAsia="Times New Roman" w:cs="Arial"/>
                <w:color w:val="000000"/>
                <w:szCs w:val="22"/>
                <w:lang w:eastAsia="en-AU"/>
              </w:rPr>
              <w:t>xpert</w:t>
            </w:r>
          </w:p>
        </w:tc>
      </w:tr>
      <w:tr w:rsidR="00CB22D3" w:rsidRPr="00E7681B" w14:paraId="5A366C6A"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4175DE6E"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STC</w:t>
            </w:r>
          </w:p>
        </w:tc>
        <w:tc>
          <w:tcPr>
            <w:tcW w:w="7660" w:type="dxa"/>
            <w:tcBorders>
              <w:left w:val="single" w:sz="4" w:space="0" w:color="auto"/>
              <w:right w:val="single" w:sz="4" w:space="0" w:color="auto"/>
            </w:tcBorders>
            <w:noWrap/>
            <w:hideMark/>
          </w:tcPr>
          <w:p w14:paraId="61E2F0A2" w14:textId="77777777"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Service Trades Council</w:t>
            </w:r>
          </w:p>
        </w:tc>
      </w:tr>
      <w:tr w:rsidR="008B7673" w:rsidRPr="001D754C" w14:paraId="1A760229"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74E9F81F"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STLAP</w:t>
            </w:r>
          </w:p>
        </w:tc>
        <w:tc>
          <w:tcPr>
            <w:tcW w:w="7660" w:type="dxa"/>
            <w:tcBorders>
              <w:left w:val="single" w:sz="4" w:space="0" w:color="auto"/>
              <w:right w:val="single" w:sz="4" w:space="0" w:color="auto"/>
            </w:tcBorders>
            <w:noWrap/>
            <w:hideMark/>
          </w:tcPr>
          <w:p w14:paraId="4EE0A064" w14:textId="77777777" w:rsidR="00CB22D3" w:rsidRPr="001D754C" w:rsidRDefault="00CB22D3">
            <w:pPr>
              <w:cnfStyle w:val="000000100000" w:firstRow="0" w:lastRow="0" w:firstColumn="0" w:lastColumn="0" w:oddVBand="0" w:evenVBand="0" w:oddHBand="1" w:evenHBand="0" w:firstRowFirstColumn="0" w:firstRowLastColumn="0" w:lastRowFirstColumn="0" w:lastRowLastColumn="0"/>
            </w:pPr>
            <w:r w:rsidRPr="001D754C">
              <w:t>Service Trades Licensing Advisory Panel</w:t>
            </w:r>
          </w:p>
        </w:tc>
      </w:tr>
      <w:tr w:rsidR="00CB22D3" w:rsidRPr="00E7681B" w14:paraId="7BEFC2E1"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3C3D8C9A" w14:textId="77777777" w:rsidR="00CB22D3" w:rsidRPr="00670271" w:rsidRDefault="00CB22D3">
            <w:pPr>
              <w:rPr>
                <w:rFonts w:eastAsia="Times New Roman" w:cs="Arial"/>
                <w:b w:val="0"/>
                <w:color w:val="000000"/>
                <w:szCs w:val="22"/>
                <w:lang w:eastAsia="en-AU"/>
              </w:rPr>
            </w:pPr>
            <w:r w:rsidRPr="00670271">
              <w:rPr>
                <w:rFonts w:eastAsia="Times New Roman" w:cs="Arial"/>
                <w:b w:val="0"/>
                <w:color w:val="000000"/>
                <w:szCs w:val="22"/>
                <w:lang w:eastAsia="en-AU"/>
              </w:rPr>
              <w:t>Strategic Plan</w:t>
            </w:r>
          </w:p>
        </w:tc>
        <w:tc>
          <w:tcPr>
            <w:tcW w:w="7660" w:type="dxa"/>
            <w:tcBorders>
              <w:left w:val="single" w:sz="4" w:space="0" w:color="auto"/>
              <w:right w:val="single" w:sz="4" w:space="0" w:color="auto"/>
            </w:tcBorders>
            <w:noWrap/>
            <w:hideMark/>
          </w:tcPr>
          <w:p w14:paraId="2047C225" w14:textId="50236F32" w:rsidR="00CB22D3" w:rsidRPr="00E7681B" w:rsidRDefault="00CB22D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Strategic Plan 2023–27</w:t>
            </w:r>
            <w:r w:rsidR="009A7441">
              <w:rPr>
                <w:rFonts w:eastAsia="Times New Roman" w:cs="Arial"/>
                <w:color w:val="000000"/>
                <w:szCs w:val="22"/>
                <w:lang w:eastAsia="en-AU"/>
              </w:rPr>
              <w:t xml:space="preserve">, </w:t>
            </w:r>
            <w:r w:rsidR="00E16663" w:rsidRPr="00E16663">
              <w:rPr>
                <w:rFonts w:eastAsia="Times New Roman" w:cs="Arial"/>
                <w:color w:val="000000"/>
                <w:szCs w:val="22"/>
                <w:lang w:eastAsia="en-AU"/>
              </w:rPr>
              <w:t>revised for 2024–25</w:t>
            </w:r>
          </w:p>
        </w:tc>
      </w:tr>
      <w:tr w:rsidR="008B7673" w:rsidRPr="00E7681B" w14:paraId="7A5D9562" w14:textId="77777777" w:rsidTr="00796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noWrap/>
            <w:hideMark/>
          </w:tcPr>
          <w:p w14:paraId="654E97C4" w14:textId="77777777" w:rsidR="00CB22D3" w:rsidRPr="00670271" w:rsidRDefault="00CB22D3">
            <w:pPr>
              <w:rPr>
                <w:rFonts w:eastAsia="Times New Roman" w:cs="Arial"/>
                <w:b w:val="0"/>
                <w:color w:val="000000"/>
                <w:szCs w:val="22"/>
                <w:lang w:eastAsia="en-AU"/>
              </w:rPr>
            </w:pPr>
            <w:proofErr w:type="spellStart"/>
            <w:r w:rsidRPr="00670271">
              <w:rPr>
                <w:rFonts w:eastAsia="Times New Roman" w:cs="Arial"/>
                <w:b w:val="0"/>
                <w:color w:val="000000"/>
                <w:szCs w:val="22"/>
                <w:lang w:eastAsia="en-AU"/>
              </w:rPr>
              <w:t>WfQ</w:t>
            </w:r>
            <w:proofErr w:type="spellEnd"/>
          </w:p>
        </w:tc>
        <w:tc>
          <w:tcPr>
            <w:tcW w:w="7660" w:type="dxa"/>
            <w:tcBorders>
              <w:left w:val="single" w:sz="4" w:space="0" w:color="auto"/>
              <w:right w:val="single" w:sz="4" w:space="0" w:color="auto"/>
            </w:tcBorders>
            <w:noWrap/>
            <w:hideMark/>
          </w:tcPr>
          <w:p w14:paraId="13212A39" w14:textId="77777777" w:rsidR="00CB22D3" w:rsidRPr="00E7681B" w:rsidRDefault="00CB22D3">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Working for Queensland</w:t>
            </w:r>
          </w:p>
        </w:tc>
      </w:tr>
      <w:tr w:rsidR="004307ED" w:rsidRPr="00E7681B" w14:paraId="3D635032" w14:textId="77777777" w:rsidTr="00796A7F">
        <w:trPr>
          <w:trHeight w:val="29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bottom w:val="single" w:sz="4" w:space="0" w:color="auto"/>
              <w:right w:val="single" w:sz="4" w:space="0" w:color="auto"/>
            </w:tcBorders>
            <w:noWrap/>
            <w:hideMark/>
          </w:tcPr>
          <w:p w14:paraId="6CB43D41" w14:textId="78C56A63" w:rsidR="00EF49D6" w:rsidRPr="00670271" w:rsidRDefault="00EF49D6" w:rsidP="00EF49D6">
            <w:pPr>
              <w:rPr>
                <w:rFonts w:eastAsia="Times New Roman" w:cs="Arial"/>
                <w:b w:val="0"/>
                <w:color w:val="000000"/>
                <w:szCs w:val="22"/>
                <w:lang w:eastAsia="en-AU"/>
              </w:rPr>
            </w:pPr>
            <w:r w:rsidRPr="00670271">
              <w:rPr>
                <w:rFonts w:eastAsia="Times New Roman" w:cs="Arial"/>
                <w:b w:val="0"/>
                <w:color w:val="000000"/>
                <w:szCs w:val="22"/>
                <w:lang w:eastAsia="en-AU"/>
              </w:rPr>
              <w:t>WHS</w:t>
            </w:r>
          </w:p>
        </w:tc>
        <w:tc>
          <w:tcPr>
            <w:tcW w:w="7660" w:type="dxa"/>
            <w:tcBorders>
              <w:left w:val="single" w:sz="4" w:space="0" w:color="auto"/>
              <w:bottom w:val="single" w:sz="4" w:space="0" w:color="auto"/>
              <w:right w:val="single" w:sz="4" w:space="0" w:color="auto"/>
            </w:tcBorders>
            <w:noWrap/>
            <w:hideMark/>
          </w:tcPr>
          <w:p w14:paraId="599ED522" w14:textId="086C5B2A" w:rsidR="00EF49D6" w:rsidRPr="00E7681B" w:rsidRDefault="00EF49D6" w:rsidP="00EF49D6">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E7681B">
              <w:rPr>
                <w:rFonts w:eastAsia="Times New Roman" w:cs="Arial"/>
                <w:color w:val="000000"/>
                <w:szCs w:val="22"/>
                <w:lang w:eastAsia="en-AU"/>
              </w:rPr>
              <w:t>Work Health and Safety</w:t>
            </w:r>
          </w:p>
        </w:tc>
      </w:tr>
    </w:tbl>
    <w:p w14:paraId="63276327" w14:textId="5F4437ED" w:rsidR="00144AF3" w:rsidRPr="004A2C19" w:rsidRDefault="00144AF3" w:rsidP="00144AF3">
      <w:pPr>
        <w:rPr>
          <w:rFonts w:cs="Arial"/>
        </w:rPr>
      </w:pPr>
    </w:p>
    <w:p w14:paraId="08090B6F" w14:textId="03C121F9" w:rsidR="00E16F11" w:rsidRPr="004A2C19" w:rsidRDefault="00E16F11" w:rsidP="008555D8">
      <w:pPr>
        <w:rPr>
          <w:rFonts w:cs="Arial"/>
          <w:szCs w:val="20"/>
        </w:rPr>
      </w:pPr>
    </w:p>
    <w:p w14:paraId="2174DD64" w14:textId="2EDB0EF2" w:rsidR="00BD3D3E" w:rsidRPr="004A2C19" w:rsidRDefault="00BD3D3E">
      <w:pPr>
        <w:rPr>
          <w:rFonts w:cs="Arial"/>
          <w:szCs w:val="20"/>
        </w:rPr>
      </w:pPr>
    </w:p>
    <w:p w14:paraId="7779D578" w14:textId="4CBF9A94" w:rsidR="00EA7284" w:rsidRPr="004A2C19" w:rsidRDefault="00EA7284" w:rsidP="0082698C">
      <w:pPr>
        <w:ind w:left="-142"/>
        <w:rPr>
          <w:rFonts w:cs="Arial"/>
          <w:szCs w:val="20"/>
        </w:rPr>
      </w:pPr>
    </w:p>
    <w:p w14:paraId="0468AB99" w14:textId="3B463458" w:rsidR="00EA7284" w:rsidRPr="004A2C19" w:rsidRDefault="00EA7284" w:rsidP="0082698C">
      <w:pPr>
        <w:ind w:left="-142"/>
        <w:rPr>
          <w:rFonts w:cs="Arial"/>
          <w:szCs w:val="20"/>
        </w:rPr>
      </w:pPr>
    </w:p>
    <w:p w14:paraId="14959721" w14:textId="77777777" w:rsidR="00EA7284" w:rsidRPr="004A2C19" w:rsidRDefault="00EA7284" w:rsidP="0082698C">
      <w:pPr>
        <w:ind w:left="-142"/>
        <w:rPr>
          <w:rFonts w:cs="Arial"/>
          <w:szCs w:val="20"/>
        </w:rPr>
      </w:pPr>
    </w:p>
    <w:p w14:paraId="543BACA6" w14:textId="26EB170B" w:rsidR="00EA7284" w:rsidRPr="004A2C19" w:rsidRDefault="00EA7284" w:rsidP="00BD3D3E">
      <w:pPr>
        <w:ind w:left="-709"/>
        <w:rPr>
          <w:rFonts w:cs="Arial"/>
          <w:szCs w:val="20"/>
        </w:rPr>
      </w:pPr>
    </w:p>
    <w:p w14:paraId="17444F17" w14:textId="77777777" w:rsidR="00EA7284" w:rsidRPr="004A2C19" w:rsidRDefault="00EA7284" w:rsidP="0082698C">
      <w:pPr>
        <w:ind w:left="-142"/>
        <w:rPr>
          <w:rFonts w:cs="Arial"/>
          <w:szCs w:val="20"/>
        </w:rPr>
      </w:pPr>
    </w:p>
    <w:p w14:paraId="797A552D" w14:textId="0516C44D" w:rsidR="00EA7284" w:rsidRPr="004A2C19" w:rsidRDefault="00EA7284" w:rsidP="0082698C">
      <w:pPr>
        <w:ind w:left="-142"/>
        <w:rPr>
          <w:rFonts w:cs="Arial"/>
          <w:szCs w:val="20"/>
        </w:rPr>
      </w:pPr>
    </w:p>
    <w:p w14:paraId="209A180B" w14:textId="42126E17" w:rsidR="00260C74" w:rsidRPr="004A2C19" w:rsidRDefault="00260C74" w:rsidP="0082698C">
      <w:pPr>
        <w:ind w:left="-142"/>
        <w:rPr>
          <w:rFonts w:cs="Arial"/>
          <w:szCs w:val="20"/>
        </w:rPr>
      </w:pPr>
    </w:p>
    <w:p w14:paraId="52992746" w14:textId="12EB1D6C" w:rsidR="00260C74" w:rsidRPr="004A2C19" w:rsidRDefault="00260C74" w:rsidP="0082698C">
      <w:pPr>
        <w:ind w:left="-142"/>
        <w:rPr>
          <w:rFonts w:cs="Arial"/>
          <w:szCs w:val="20"/>
        </w:rPr>
      </w:pPr>
    </w:p>
    <w:p w14:paraId="58849AFE" w14:textId="4DEA722A" w:rsidR="00260C74" w:rsidRPr="004A2C19" w:rsidRDefault="00260C74" w:rsidP="0082698C">
      <w:pPr>
        <w:ind w:left="-142"/>
        <w:rPr>
          <w:rFonts w:cs="Arial"/>
          <w:szCs w:val="20"/>
        </w:rPr>
      </w:pPr>
    </w:p>
    <w:p w14:paraId="723AF80F" w14:textId="3D829BD6" w:rsidR="00260C74" w:rsidRPr="004A2C19" w:rsidRDefault="00260C74" w:rsidP="0082698C">
      <w:pPr>
        <w:ind w:left="-142"/>
        <w:rPr>
          <w:rFonts w:cs="Arial"/>
          <w:szCs w:val="20"/>
        </w:rPr>
      </w:pPr>
    </w:p>
    <w:p w14:paraId="5D92BC17" w14:textId="77777777" w:rsidR="00260C74" w:rsidRPr="004A2C19" w:rsidRDefault="00260C74" w:rsidP="0082698C">
      <w:pPr>
        <w:ind w:left="-142"/>
        <w:rPr>
          <w:rFonts w:cs="Arial"/>
          <w:szCs w:val="20"/>
        </w:rPr>
      </w:pPr>
    </w:p>
    <w:p w14:paraId="6146A0CF" w14:textId="77777777" w:rsidR="00260C74" w:rsidRPr="004A2C19" w:rsidRDefault="00260C74" w:rsidP="0082698C">
      <w:pPr>
        <w:ind w:left="-142"/>
        <w:rPr>
          <w:rFonts w:cs="Arial"/>
          <w:szCs w:val="20"/>
        </w:rPr>
      </w:pPr>
    </w:p>
    <w:p w14:paraId="6D9418F6" w14:textId="77777777" w:rsidR="00260C74" w:rsidRPr="004A2C19" w:rsidRDefault="00260C74" w:rsidP="0082698C">
      <w:pPr>
        <w:ind w:left="-142"/>
        <w:rPr>
          <w:rFonts w:cs="Arial"/>
          <w:szCs w:val="20"/>
        </w:rPr>
      </w:pPr>
    </w:p>
    <w:p w14:paraId="658E878E" w14:textId="3214820E" w:rsidR="00260C74" w:rsidRPr="004A2C19" w:rsidRDefault="00260C74" w:rsidP="0082698C">
      <w:pPr>
        <w:ind w:left="-142"/>
        <w:rPr>
          <w:rFonts w:cs="Arial"/>
          <w:szCs w:val="20"/>
        </w:rPr>
      </w:pPr>
    </w:p>
    <w:p w14:paraId="0D09F596" w14:textId="74608B0D" w:rsidR="005B6D89" w:rsidRDefault="005B6D89">
      <w:pPr>
        <w:rPr>
          <w:rFonts w:cs="Arial"/>
          <w:szCs w:val="20"/>
        </w:rPr>
      </w:pPr>
    </w:p>
    <w:p w14:paraId="187627EF" w14:textId="77777777" w:rsidR="00CE25A9" w:rsidRDefault="00CE25A9">
      <w:pPr>
        <w:rPr>
          <w:rFonts w:cs="Arial"/>
          <w:szCs w:val="20"/>
        </w:rPr>
      </w:pPr>
    </w:p>
    <w:p w14:paraId="6CD6C9EA" w14:textId="77777777" w:rsidR="00CE25A9" w:rsidRDefault="00CE25A9">
      <w:pPr>
        <w:rPr>
          <w:rFonts w:cs="Arial"/>
          <w:szCs w:val="20"/>
        </w:rPr>
      </w:pPr>
    </w:p>
    <w:p w14:paraId="1BCC4AC9" w14:textId="77777777" w:rsidR="00CE25A9" w:rsidRDefault="00CE25A9">
      <w:pPr>
        <w:rPr>
          <w:rFonts w:cs="Arial"/>
          <w:szCs w:val="20"/>
        </w:rPr>
      </w:pPr>
    </w:p>
    <w:p w14:paraId="303E652E" w14:textId="77777777" w:rsidR="00CE25A9" w:rsidRDefault="00CE25A9">
      <w:pPr>
        <w:rPr>
          <w:rFonts w:cs="Arial"/>
          <w:szCs w:val="20"/>
        </w:rPr>
      </w:pPr>
    </w:p>
    <w:p w14:paraId="2CB41E86" w14:textId="77777777" w:rsidR="00CE25A9" w:rsidRDefault="00CE25A9">
      <w:pPr>
        <w:rPr>
          <w:rFonts w:cs="Arial"/>
          <w:szCs w:val="20"/>
        </w:rPr>
      </w:pPr>
    </w:p>
    <w:p w14:paraId="4E366CE9" w14:textId="77777777" w:rsidR="00CE25A9" w:rsidRDefault="00CE25A9">
      <w:pPr>
        <w:rPr>
          <w:rFonts w:cs="Arial"/>
          <w:szCs w:val="20"/>
        </w:rPr>
      </w:pPr>
    </w:p>
    <w:p w14:paraId="3F55AC35" w14:textId="77777777" w:rsidR="00CE25A9" w:rsidRDefault="00CE25A9">
      <w:pPr>
        <w:rPr>
          <w:rFonts w:cs="Arial"/>
          <w:szCs w:val="20"/>
        </w:rPr>
      </w:pPr>
    </w:p>
    <w:p w14:paraId="55CF5797" w14:textId="77777777" w:rsidR="00CE25A9" w:rsidRDefault="00CE25A9">
      <w:pPr>
        <w:rPr>
          <w:rFonts w:cs="Arial"/>
          <w:szCs w:val="20"/>
        </w:rPr>
      </w:pPr>
    </w:p>
    <w:p w14:paraId="161C0BA0" w14:textId="77777777" w:rsidR="00CE25A9" w:rsidRDefault="00CE25A9">
      <w:pPr>
        <w:rPr>
          <w:rFonts w:cs="Arial"/>
          <w:szCs w:val="20"/>
        </w:rPr>
      </w:pPr>
    </w:p>
    <w:p w14:paraId="2F64F4D1" w14:textId="77777777" w:rsidR="00CE25A9" w:rsidRDefault="00CE25A9">
      <w:pPr>
        <w:rPr>
          <w:rFonts w:cs="Arial"/>
          <w:szCs w:val="20"/>
        </w:rPr>
      </w:pPr>
    </w:p>
    <w:p w14:paraId="4F47EEAE" w14:textId="77777777" w:rsidR="00CE25A9" w:rsidRDefault="00CE25A9">
      <w:pPr>
        <w:rPr>
          <w:rFonts w:cs="Arial"/>
          <w:szCs w:val="20"/>
        </w:rPr>
      </w:pPr>
    </w:p>
    <w:p w14:paraId="2EB2B750" w14:textId="77777777" w:rsidR="00CE25A9" w:rsidRDefault="00CE25A9">
      <w:pPr>
        <w:rPr>
          <w:rFonts w:cs="Arial"/>
          <w:szCs w:val="20"/>
        </w:rPr>
      </w:pPr>
    </w:p>
    <w:p w14:paraId="477FBB6D" w14:textId="77777777" w:rsidR="00CE25A9" w:rsidRDefault="00CE25A9">
      <w:pPr>
        <w:rPr>
          <w:rFonts w:cs="Arial"/>
          <w:szCs w:val="20"/>
        </w:rPr>
      </w:pPr>
    </w:p>
    <w:p w14:paraId="3F2A1EF0" w14:textId="77777777" w:rsidR="00CE25A9" w:rsidRDefault="00CE25A9">
      <w:pPr>
        <w:rPr>
          <w:rFonts w:cs="Arial"/>
          <w:szCs w:val="20"/>
        </w:rPr>
      </w:pPr>
    </w:p>
    <w:p w14:paraId="4BEAC605" w14:textId="77777777" w:rsidR="00CE25A9" w:rsidRDefault="00CE25A9">
      <w:pPr>
        <w:rPr>
          <w:rFonts w:cs="Arial"/>
          <w:szCs w:val="20"/>
        </w:rPr>
      </w:pPr>
    </w:p>
    <w:p w14:paraId="1B2542AA" w14:textId="77777777" w:rsidR="00CE25A9" w:rsidRDefault="00CE25A9">
      <w:pPr>
        <w:rPr>
          <w:rFonts w:cs="Arial"/>
          <w:szCs w:val="20"/>
        </w:rPr>
      </w:pPr>
    </w:p>
    <w:p w14:paraId="100DC269" w14:textId="77777777" w:rsidR="005B6D89" w:rsidRDefault="005B6D89">
      <w:pPr>
        <w:rPr>
          <w:rFonts w:cs="Arial"/>
          <w:szCs w:val="20"/>
        </w:rPr>
      </w:pPr>
    </w:p>
    <w:p w14:paraId="57EBE37F" w14:textId="77777777" w:rsidR="005B6D89" w:rsidRDefault="005B6D89">
      <w:pPr>
        <w:rPr>
          <w:rFonts w:cs="Arial"/>
          <w:szCs w:val="20"/>
        </w:rPr>
      </w:pPr>
    </w:p>
    <w:p w14:paraId="1CB08B94" w14:textId="77777777" w:rsidR="00D24C2C" w:rsidRDefault="00D24C2C">
      <w:pPr>
        <w:rPr>
          <w:rFonts w:cs="Arial"/>
          <w:szCs w:val="20"/>
        </w:rPr>
      </w:pPr>
    </w:p>
    <w:p w14:paraId="5FA8F0FB" w14:textId="77777777" w:rsidR="00D24C2C" w:rsidRDefault="00D24C2C">
      <w:pPr>
        <w:rPr>
          <w:rFonts w:cs="Arial"/>
          <w:szCs w:val="20"/>
        </w:rPr>
      </w:pPr>
    </w:p>
    <w:p w14:paraId="336FB910" w14:textId="77777777" w:rsidR="00D24C2C" w:rsidRDefault="00D24C2C">
      <w:pPr>
        <w:rPr>
          <w:rFonts w:cs="Arial"/>
          <w:szCs w:val="20"/>
        </w:rPr>
      </w:pPr>
    </w:p>
    <w:p w14:paraId="6808F678" w14:textId="3279076D" w:rsidR="00D24C2C" w:rsidRDefault="00D24C2C">
      <w:pPr>
        <w:rPr>
          <w:rFonts w:cs="Arial"/>
          <w:szCs w:val="20"/>
        </w:rPr>
      </w:pPr>
    </w:p>
    <w:p w14:paraId="0BC8C8E4" w14:textId="77777777" w:rsidR="00D24C2C" w:rsidRDefault="00D24C2C">
      <w:pPr>
        <w:rPr>
          <w:rFonts w:cs="Arial"/>
          <w:szCs w:val="20"/>
        </w:rPr>
      </w:pPr>
    </w:p>
    <w:p w14:paraId="57017E8E" w14:textId="77777777" w:rsidR="00D24C2C" w:rsidRDefault="00D24C2C">
      <w:pPr>
        <w:rPr>
          <w:rFonts w:cs="Arial"/>
          <w:szCs w:val="20"/>
        </w:rPr>
      </w:pPr>
    </w:p>
    <w:p w14:paraId="4BEBF9D9" w14:textId="77777777" w:rsidR="00D24C2C" w:rsidRDefault="00D24C2C">
      <w:pPr>
        <w:rPr>
          <w:rFonts w:cs="Arial"/>
          <w:szCs w:val="20"/>
        </w:rPr>
      </w:pPr>
    </w:p>
    <w:p w14:paraId="4C5983F7" w14:textId="77777777" w:rsidR="00D24C2C" w:rsidRDefault="00D24C2C">
      <w:pPr>
        <w:rPr>
          <w:rFonts w:cs="Arial"/>
          <w:szCs w:val="20"/>
        </w:rPr>
      </w:pPr>
    </w:p>
    <w:p w14:paraId="194C1929" w14:textId="77777777" w:rsidR="00D24C2C" w:rsidRDefault="00D24C2C">
      <w:pPr>
        <w:rPr>
          <w:rFonts w:cs="Arial"/>
          <w:szCs w:val="20"/>
        </w:rPr>
      </w:pPr>
    </w:p>
    <w:p w14:paraId="59EC93D5" w14:textId="6D610751" w:rsidR="00D24C2C" w:rsidRDefault="00CC2276">
      <w:pPr>
        <w:rPr>
          <w:rFonts w:cs="Arial"/>
          <w:szCs w:val="20"/>
        </w:rPr>
      </w:pPr>
      <w:r w:rsidRPr="00A57D9E">
        <w:rPr>
          <w:rFonts w:cs="Arial"/>
          <w:noProof/>
          <w:szCs w:val="20"/>
          <w:lang w:eastAsia="en-GB"/>
        </w:rPr>
        <w:lastRenderedPageBreak/>
        <w:drawing>
          <wp:anchor distT="0" distB="0" distL="114300" distR="114300" simplePos="0" relativeHeight="251658243" behindDoc="0" locked="0" layoutInCell="1" allowOverlap="1" wp14:anchorId="0D0CB27F" wp14:editId="3E62A6D6">
            <wp:simplePos x="0" y="0"/>
            <wp:positionH relativeFrom="page">
              <wp:align>right</wp:align>
            </wp:positionH>
            <wp:positionV relativeFrom="paragraph">
              <wp:posOffset>-1071245</wp:posOffset>
            </wp:positionV>
            <wp:extent cx="7642225" cy="11550015"/>
            <wp:effectExtent l="0" t="0" r="0" b="0"/>
            <wp:wrapNone/>
            <wp:docPr id="8" name="Picture 8" descr="A grey rectangular object with a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y rectangular object with a white logo"/>
                    <pic:cNvPicPr/>
                  </pic:nvPicPr>
                  <pic:blipFill>
                    <a:blip r:embed="rId18">
                      <a:extLst>
                        <a:ext uri="{28A0092B-C50C-407E-A947-70E740481C1C}">
                          <a14:useLocalDpi xmlns:a14="http://schemas.microsoft.com/office/drawing/2010/main" val="0"/>
                        </a:ext>
                      </a:extLst>
                    </a:blip>
                    <a:stretch>
                      <a:fillRect/>
                    </a:stretch>
                  </pic:blipFill>
                  <pic:spPr>
                    <a:xfrm>
                      <a:off x="0" y="0"/>
                      <a:ext cx="7642225" cy="11550015"/>
                    </a:xfrm>
                    <a:prstGeom prst="rect">
                      <a:avLst/>
                    </a:prstGeom>
                  </pic:spPr>
                </pic:pic>
              </a:graphicData>
            </a:graphic>
            <wp14:sizeRelH relativeFrom="page">
              <wp14:pctWidth>0</wp14:pctWidth>
            </wp14:sizeRelH>
            <wp14:sizeRelV relativeFrom="page">
              <wp14:pctHeight>0</wp14:pctHeight>
            </wp14:sizeRelV>
          </wp:anchor>
        </w:drawing>
      </w:r>
    </w:p>
    <w:p w14:paraId="6AE38CDF" w14:textId="7FBF6A61" w:rsidR="00D24C2C" w:rsidRDefault="00D24C2C">
      <w:pPr>
        <w:rPr>
          <w:rFonts w:cs="Arial"/>
          <w:szCs w:val="20"/>
        </w:rPr>
      </w:pPr>
    </w:p>
    <w:p w14:paraId="5FC560D2" w14:textId="77777777" w:rsidR="00D24C2C" w:rsidRDefault="00D24C2C">
      <w:pPr>
        <w:rPr>
          <w:rFonts w:cs="Arial"/>
          <w:szCs w:val="20"/>
        </w:rPr>
      </w:pPr>
    </w:p>
    <w:p w14:paraId="251D9479" w14:textId="77777777" w:rsidR="00D24C2C" w:rsidRDefault="00D24C2C">
      <w:pPr>
        <w:rPr>
          <w:rFonts w:cs="Arial"/>
          <w:szCs w:val="20"/>
        </w:rPr>
      </w:pPr>
    </w:p>
    <w:p w14:paraId="0B755A12" w14:textId="77777777" w:rsidR="00D24C2C" w:rsidRDefault="00D24C2C">
      <w:pPr>
        <w:rPr>
          <w:rFonts w:cs="Arial"/>
          <w:szCs w:val="20"/>
        </w:rPr>
      </w:pPr>
    </w:p>
    <w:p w14:paraId="2E94BF60" w14:textId="5C67060E" w:rsidR="00D24C2C" w:rsidRDefault="00D24C2C">
      <w:pPr>
        <w:rPr>
          <w:rFonts w:cs="Arial"/>
          <w:szCs w:val="20"/>
        </w:rPr>
      </w:pPr>
    </w:p>
    <w:p w14:paraId="78B49B47" w14:textId="77777777" w:rsidR="00D24C2C" w:rsidRDefault="00D24C2C">
      <w:pPr>
        <w:rPr>
          <w:rFonts w:cs="Arial"/>
          <w:szCs w:val="20"/>
        </w:rPr>
      </w:pPr>
    </w:p>
    <w:p w14:paraId="6625DC1F" w14:textId="7B3533DB" w:rsidR="00D24C2C" w:rsidRDefault="00D24C2C">
      <w:pPr>
        <w:rPr>
          <w:rFonts w:cs="Arial"/>
          <w:szCs w:val="20"/>
        </w:rPr>
      </w:pPr>
    </w:p>
    <w:p w14:paraId="58D071CD" w14:textId="7838D1C5" w:rsidR="00D24C2C" w:rsidRDefault="00D24C2C">
      <w:pPr>
        <w:rPr>
          <w:rFonts w:cs="Arial"/>
          <w:szCs w:val="20"/>
        </w:rPr>
      </w:pPr>
    </w:p>
    <w:p w14:paraId="3A712425" w14:textId="77777777" w:rsidR="00D24C2C" w:rsidRDefault="00D24C2C">
      <w:pPr>
        <w:rPr>
          <w:rFonts w:cs="Arial"/>
          <w:szCs w:val="20"/>
        </w:rPr>
      </w:pPr>
    </w:p>
    <w:p w14:paraId="27F34BE6" w14:textId="71B7B241" w:rsidR="0096110F" w:rsidRPr="004A2C19" w:rsidRDefault="0096110F">
      <w:pPr>
        <w:rPr>
          <w:rFonts w:cs="Arial"/>
          <w:szCs w:val="20"/>
        </w:rPr>
      </w:pPr>
    </w:p>
    <w:sectPr w:rsidR="0096110F" w:rsidRPr="004A2C19" w:rsidSect="00B93DDD">
      <w:headerReference w:type="even" r:id="rId19"/>
      <w:headerReference w:type="default" r:id="rId20"/>
      <w:footerReference w:type="even" r:id="rId21"/>
      <w:footerReference w:type="default" r:id="rId22"/>
      <w:headerReference w:type="first" r:id="rId23"/>
      <w:footerReference w:type="first" r:id="rId24"/>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EA82C" w14:textId="77777777" w:rsidR="00116F08" w:rsidRDefault="00116F08" w:rsidP="007D3474">
      <w:r>
        <w:separator/>
      </w:r>
    </w:p>
  </w:endnote>
  <w:endnote w:type="continuationSeparator" w:id="0">
    <w:p w14:paraId="6BE2D31A" w14:textId="77777777" w:rsidR="00116F08" w:rsidRDefault="00116F08" w:rsidP="007D3474">
      <w:r>
        <w:continuationSeparator/>
      </w:r>
    </w:p>
  </w:endnote>
  <w:endnote w:type="continuationNotice" w:id="1">
    <w:p w14:paraId="0A3C8D05" w14:textId="77777777" w:rsidR="00116F08" w:rsidRDefault="00116F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panose1 w:val="00000000000000000000"/>
    <w:charset w:val="00"/>
    <w:family w:val="modern"/>
    <w:notTrueType/>
    <w:pitch w:val="variable"/>
    <w:sig w:usb0="A00002FF" w:usb1="4000005B"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altName w:val="Calibri"/>
    <w:charset w:val="00"/>
    <w:family w:val="auto"/>
    <w:pitch w:val="variable"/>
    <w:sig w:usb0="60000287" w:usb1="00000001" w:usb2="00000000" w:usb3="00000000" w:csb0="0000019F" w:csb1="00000000"/>
  </w:font>
  <w:font w:name="Gotham Light">
    <w:panose1 w:val="00000000000000000000"/>
    <w:charset w:val="00"/>
    <w:family w:val="modern"/>
    <w:notTrueType/>
    <w:pitch w:val="variable"/>
    <w:sig w:usb0="A00002FF" w:usb1="4000005B" w:usb2="00000000" w:usb3="00000000" w:csb0="0000009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7002D" w14:textId="0264A517" w:rsidR="00095F30" w:rsidRDefault="00095F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04BE" w14:textId="47AFA9F1" w:rsidR="00A45148" w:rsidRPr="009D63B2" w:rsidRDefault="00A45148" w:rsidP="005F7BD0">
    <w:pPr>
      <w:ind w:left="-142"/>
      <w:jc w:val="right"/>
      <w:rPr>
        <w:rFonts w:cs="Arial"/>
        <w:color w:val="020A0A" w:themeColor="text1"/>
        <w:sz w:val="14"/>
        <w:szCs w:val="14"/>
      </w:rPr>
    </w:pPr>
    <w:r w:rsidRPr="00A57D9E">
      <w:rPr>
        <w:rFonts w:cs="Arial"/>
        <w:color w:val="020A0A" w:themeColor="text1"/>
        <w:sz w:val="14"/>
        <w:szCs w:val="14"/>
      </w:rPr>
      <w:t xml:space="preserve">Page </w:t>
    </w:r>
    <w:r w:rsidRPr="009D63B2">
      <w:rPr>
        <w:rFonts w:cs="Arial"/>
        <w:color w:val="020A0A" w:themeColor="text1"/>
        <w:sz w:val="14"/>
        <w:szCs w:val="14"/>
      </w:rPr>
      <w:fldChar w:fldCharType="begin"/>
    </w:r>
    <w:r w:rsidRPr="00A57D9E">
      <w:rPr>
        <w:rFonts w:cs="Arial"/>
        <w:color w:val="020A0A" w:themeColor="text1"/>
        <w:sz w:val="14"/>
        <w:szCs w:val="14"/>
      </w:rPr>
      <w:instrText xml:space="preserve"> PAGE </w:instrText>
    </w:r>
    <w:r w:rsidRPr="009D63B2">
      <w:rPr>
        <w:rFonts w:cs="Arial"/>
        <w:color w:val="020A0A" w:themeColor="text1"/>
        <w:sz w:val="14"/>
        <w:szCs w:val="14"/>
      </w:rPr>
      <w:fldChar w:fldCharType="separate"/>
    </w:r>
    <w:r w:rsidR="008D406B" w:rsidRPr="00A57D9E">
      <w:rPr>
        <w:rFonts w:cs="Arial"/>
        <w:color w:val="020A0A" w:themeColor="text1"/>
        <w:sz w:val="14"/>
        <w:szCs w:val="14"/>
      </w:rPr>
      <w:t>2</w:t>
    </w:r>
    <w:r w:rsidRPr="009D63B2">
      <w:rPr>
        <w:rFonts w:cs="Arial"/>
        <w:color w:val="020A0A" w:themeColor="text1"/>
        <w:sz w:val="14"/>
        <w:szCs w:val="14"/>
      </w:rPr>
      <w:fldChar w:fldCharType="end"/>
    </w:r>
    <w:r w:rsidRPr="00A57D9E">
      <w:rPr>
        <w:rFonts w:cs="Arial"/>
        <w:color w:val="020A0A" w:themeColor="text1"/>
        <w:sz w:val="14"/>
        <w:szCs w:val="14"/>
      </w:rPr>
      <w:t xml:space="preserve"> of </w:t>
    </w:r>
    <w:r w:rsidRPr="009D63B2">
      <w:rPr>
        <w:rFonts w:cs="Arial"/>
        <w:color w:val="020A0A" w:themeColor="text1"/>
        <w:sz w:val="14"/>
        <w:szCs w:val="14"/>
      </w:rPr>
      <w:fldChar w:fldCharType="begin"/>
    </w:r>
    <w:r w:rsidRPr="00A57D9E">
      <w:rPr>
        <w:rFonts w:cs="Arial"/>
        <w:color w:val="020A0A" w:themeColor="text1"/>
        <w:sz w:val="14"/>
        <w:szCs w:val="14"/>
      </w:rPr>
      <w:instrText xml:space="preserve"> NUMPAGES </w:instrText>
    </w:r>
    <w:r w:rsidRPr="009D63B2">
      <w:rPr>
        <w:rFonts w:cs="Arial"/>
        <w:color w:val="020A0A" w:themeColor="text1"/>
        <w:sz w:val="14"/>
        <w:szCs w:val="14"/>
      </w:rPr>
      <w:fldChar w:fldCharType="separate"/>
    </w:r>
    <w:r w:rsidR="008D406B" w:rsidRPr="00A57D9E">
      <w:rPr>
        <w:rFonts w:cs="Arial"/>
        <w:color w:val="020A0A" w:themeColor="text1"/>
        <w:sz w:val="14"/>
        <w:szCs w:val="14"/>
      </w:rPr>
      <w:t>4</w:t>
    </w:r>
    <w:r w:rsidRPr="009D63B2">
      <w:rPr>
        <w:rFonts w:cs="Arial"/>
        <w:color w:val="020A0A" w:themeColor="text1"/>
        <w:sz w:val="14"/>
        <w:szCs w:val="14"/>
      </w:rPr>
      <w:fldChar w:fldCharType="end"/>
    </w:r>
    <w:r w:rsidRPr="009D63B2">
      <w:rPr>
        <w:rFonts w:cs="Arial"/>
        <w:color w:val="020A0A" w:themeColor="text1"/>
        <w:sz w:val="14"/>
        <w:szCs w:val="14"/>
      </w:rPr>
      <w:t xml:space="preserve"> </w:t>
    </w:r>
  </w:p>
  <w:p w14:paraId="567E5308" w14:textId="742D15FF" w:rsidR="00A45148" w:rsidRPr="00A57D9E" w:rsidRDefault="00A45148" w:rsidP="007D3474">
    <w:pPr>
      <w:pStyle w:val="BasicParagraph"/>
      <w:tabs>
        <w:tab w:val="left" w:pos="3260"/>
        <w:tab w:val="left" w:pos="4420"/>
        <w:tab w:val="left" w:pos="6100"/>
      </w:tabs>
      <w:rPr>
        <w:rFonts w:ascii="Arial" w:hAnsi="Arial" w:cs="Arial"/>
        <w:color w:val="575A5D"/>
        <w:sz w:val="14"/>
        <w:szCs w:val="14"/>
        <w:lang w:val="en-AU"/>
      </w:rPr>
    </w:pPr>
    <w:r w:rsidRPr="00A57D9E">
      <w:rPr>
        <w:rFonts w:ascii="Arial" w:hAnsi="Arial" w:cs="Arial"/>
        <w:noProof/>
        <w:color w:val="575A5D"/>
        <w:sz w:val="14"/>
        <w:szCs w:val="14"/>
        <w:lang w:val="en-AU" w:eastAsia="en-GB"/>
      </w:rPr>
      <w:drawing>
        <wp:anchor distT="0" distB="0" distL="114300" distR="114300" simplePos="0" relativeHeight="251658241" behindDoc="1" locked="0" layoutInCell="1" allowOverlap="1" wp14:anchorId="61C87A30" wp14:editId="28860449">
          <wp:simplePos x="0" y="0"/>
          <wp:positionH relativeFrom="column">
            <wp:posOffset>-457200</wp:posOffset>
          </wp:positionH>
          <wp:positionV relativeFrom="paragraph">
            <wp:posOffset>319405</wp:posOffset>
          </wp:positionV>
          <wp:extent cx="7559675" cy="12193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CC Letterhead footer colour bar.png"/>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559675" cy="1219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r w:rsidR="00D874E1" w:rsidRPr="00A57D9E">
      <w:rPr>
        <w:rFonts w:ascii="Arial" w:hAnsi="Arial" w:cs="Arial"/>
        <w:color w:val="575A5D"/>
        <w:sz w:val="14"/>
        <w:szCs w:val="14"/>
        <w:lang w:val="en-AU" w:eastAsia="en-GB"/>
      </w:rPr>
      <w:t>Annual Report 2024</w:t>
    </w:r>
    <w:r w:rsidR="00701094" w:rsidRPr="00A57D9E">
      <w:rPr>
        <w:rFonts w:ascii="Arial" w:hAnsi="Arial" w:cs="Arial"/>
        <w:color w:val="575A5D"/>
        <w:sz w:val="14"/>
        <w:szCs w:val="14"/>
        <w:lang w:val="en-AU" w:eastAsia="en-GB"/>
      </w:rPr>
      <w:t>–</w:t>
    </w:r>
    <w:r w:rsidR="00577119">
      <w:rPr>
        <w:rFonts w:ascii="Arial" w:hAnsi="Arial" w:cs="Arial"/>
        <w:color w:val="575A5D"/>
        <w:sz w:val="14"/>
        <w:szCs w:val="14"/>
        <w:lang w:val="en-AU" w:eastAsia="en-GB"/>
      </w:rPr>
      <w:t>20</w:t>
    </w:r>
    <w:r w:rsidR="00701094" w:rsidRPr="00A57D9E">
      <w:rPr>
        <w:rFonts w:ascii="Arial" w:hAnsi="Arial" w:cs="Arial"/>
        <w:color w:val="575A5D"/>
        <w:sz w:val="14"/>
        <w:szCs w:val="14"/>
        <w:lang w:val="en-AU" w:eastAsia="en-GB"/>
      </w:rPr>
      <w:t>25</w:t>
    </w:r>
    <w:r w:rsidR="00854F4F" w:rsidRPr="00A57D9E">
      <w:rPr>
        <w:rFonts w:ascii="Arial" w:hAnsi="Arial" w:cs="Arial"/>
        <w:color w:val="575A5D"/>
        <w:sz w:val="14"/>
        <w:szCs w:val="14"/>
        <w:lang w:val="en-AU"/>
      </w:rPr>
      <w:t xml:space="preserve"> </w:t>
    </w:r>
    <w:r w:rsidR="00577119">
      <w:rPr>
        <w:rFonts w:ascii="Arial" w:hAnsi="Arial" w:cs="Arial"/>
        <w:color w:val="575A5D"/>
        <w:sz w:val="14"/>
        <w:szCs w:val="14"/>
        <w:lang w:val="en-AU"/>
      </w:rPr>
      <w:t>–</w:t>
    </w:r>
    <w:r w:rsidR="005B6C37" w:rsidRPr="00A57D9E">
      <w:rPr>
        <w:rFonts w:ascii="Arial" w:hAnsi="Arial" w:cs="Arial"/>
        <w:color w:val="575A5D"/>
        <w:sz w:val="14"/>
        <w:szCs w:val="14"/>
        <w:lang w:val="en-AU"/>
      </w:rPr>
      <w:t xml:space="preserve"> Queensland Building and Construction Commission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6FAA0" w14:textId="77777777" w:rsidR="00CC44DF" w:rsidRDefault="00CC4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C257C" w14:textId="77777777" w:rsidR="00116F08" w:rsidRDefault="00116F08" w:rsidP="007D3474">
      <w:r>
        <w:separator/>
      </w:r>
    </w:p>
  </w:footnote>
  <w:footnote w:type="continuationSeparator" w:id="0">
    <w:p w14:paraId="505FD0DC" w14:textId="77777777" w:rsidR="00116F08" w:rsidRDefault="00116F08" w:rsidP="007D3474">
      <w:r>
        <w:continuationSeparator/>
      </w:r>
    </w:p>
  </w:footnote>
  <w:footnote w:type="continuationNotice" w:id="1">
    <w:p w14:paraId="50460003" w14:textId="77777777" w:rsidR="00116F08" w:rsidRDefault="00116F08"/>
  </w:footnote>
  <w:footnote w:id="2">
    <w:p w14:paraId="5317E0FC" w14:textId="554929EA" w:rsidR="00432F58" w:rsidRDefault="00432F58">
      <w:pPr>
        <w:pStyle w:val="FootnoteText"/>
      </w:pPr>
      <w:r>
        <w:rPr>
          <w:rStyle w:val="FootnoteReference"/>
        </w:rPr>
        <w:footnoteRef/>
      </w:r>
      <w:r>
        <w:t xml:space="preserve"> </w:t>
      </w:r>
      <w:r w:rsidRPr="00432F58">
        <w:rPr>
          <w:rFonts w:cs="Arial"/>
          <w:sz w:val="16"/>
          <w:szCs w:val="14"/>
        </w:rPr>
        <w:t>www.qbcc.qld.gov.au/about-us/our-corporate-publications/strategic-plan</w:t>
      </w:r>
    </w:p>
  </w:footnote>
  <w:footnote w:id="3">
    <w:p w14:paraId="2F567038" w14:textId="31385178" w:rsidR="00432F58" w:rsidRDefault="00432F58">
      <w:pPr>
        <w:pStyle w:val="FootnoteText"/>
      </w:pPr>
      <w:r>
        <w:rPr>
          <w:rStyle w:val="FootnoteReference"/>
        </w:rPr>
        <w:footnoteRef/>
      </w:r>
      <w:r>
        <w:t xml:space="preserve"> </w:t>
      </w:r>
      <w:r w:rsidRPr="00432F58">
        <w:rPr>
          <w:rFonts w:cs="Arial"/>
          <w:sz w:val="16"/>
          <w:szCs w:val="14"/>
        </w:rPr>
        <w:t>www.qld.gov.au/about/how-government-works/our-priorities/governments-objectives-for-the-community</w:t>
      </w:r>
    </w:p>
  </w:footnote>
  <w:footnote w:id="4">
    <w:p w14:paraId="2E3667C8" w14:textId="78BA807D" w:rsidR="005A1649" w:rsidRDefault="005A1649">
      <w:pPr>
        <w:pStyle w:val="FootnoteText"/>
      </w:pPr>
      <w:r>
        <w:rPr>
          <w:rStyle w:val="FootnoteReference"/>
        </w:rPr>
        <w:footnoteRef/>
      </w:r>
      <w:r w:rsidR="20BE9D8C">
        <w:t xml:space="preserve"> </w:t>
      </w:r>
      <w:r w:rsidR="20BE9D8C" w:rsidRPr="000559BE">
        <w:rPr>
          <w:sz w:val="16"/>
          <w:szCs w:val="16"/>
        </w:rPr>
        <w:t>https://my.qbcc.qld.gov.au/myQBCC/s/excluded-individual-register</w:t>
      </w:r>
    </w:p>
  </w:footnote>
  <w:footnote w:id="5">
    <w:p w14:paraId="0A9AE269" w14:textId="77777777" w:rsidR="006B0B33" w:rsidRPr="006E217B" w:rsidRDefault="006B0B33" w:rsidP="006B0B33">
      <w:pPr>
        <w:pStyle w:val="FootnoteText"/>
        <w:rPr>
          <w:sz w:val="16"/>
          <w:szCs w:val="16"/>
        </w:rPr>
      </w:pPr>
      <w:r w:rsidRPr="006E217B">
        <w:rPr>
          <w:rStyle w:val="FootnoteReference"/>
          <w:sz w:val="16"/>
          <w:szCs w:val="16"/>
        </w:rPr>
        <w:footnoteRef/>
      </w:r>
      <w:r w:rsidRPr="006E217B">
        <w:rPr>
          <w:sz w:val="16"/>
          <w:szCs w:val="16"/>
        </w:rPr>
        <w:t xml:space="preserve"> www.qbcc.qld.gov.au/complaints-disputes/review-qbcc-decision/what-can-be-reviewed</w:t>
      </w:r>
    </w:p>
  </w:footnote>
  <w:footnote w:id="6">
    <w:p w14:paraId="5D23E0B2" w14:textId="59E7AD03" w:rsidR="008A17E9" w:rsidRDefault="008A17E9">
      <w:pPr>
        <w:pStyle w:val="FootnoteText"/>
      </w:pPr>
      <w:r>
        <w:rPr>
          <w:rStyle w:val="FootnoteReference"/>
        </w:rPr>
        <w:footnoteRef/>
      </w:r>
      <w:r>
        <w:t xml:space="preserve"> </w:t>
      </w:r>
      <w:r w:rsidRPr="000559BE">
        <w:rPr>
          <w:sz w:val="16"/>
          <w:szCs w:val="16"/>
        </w:rPr>
        <w:t>www.qbcc.qld.gov.au/sites/default/files/2021-10/publication-adjudicator-cpd-policy.pdf</w:t>
      </w:r>
    </w:p>
  </w:footnote>
  <w:footnote w:id="7">
    <w:p w14:paraId="40459F15" w14:textId="79F915F7" w:rsidR="00C33663" w:rsidRDefault="00C33663">
      <w:pPr>
        <w:pStyle w:val="FootnoteText"/>
      </w:pPr>
      <w:r>
        <w:rPr>
          <w:rStyle w:val="FootnoteReference"/>
        </w:rPr>
        <w:footnoteRef/>
      </w:r>
      <w:r w:rsidR="00696CE8">
        <w:t xml:space="preserve"> </w:t>
      </w:r>
      <w:r w:rsidRPr="000C675D">
        <w:rPr>
          <w:rFonts w:cs="Arial"/>
          <w:sz w:val="16"/>
          <w:szCs w:val="16"/>
        </w:rPr>
        <w:t xml:space="preserve">A difference of more than </w:t>
      </w:r>
      <w:r w:rsidR="005C61E0">
        <w:rPr>
          <w:rFonts w:cs="Arial"/>
          <w:sz w:val="16"/>
          <w:szCs w:val="16"/>
        </w:rPr>
        <w:t>five</w:t>
      </w:r>
      <w:r>
        <w:rPr>
          <w:rFonts w:cs="Arial"/>
          <w:sz w:val="16"/>
          <w:szCs w:val="16"/>
        </w:rPr>
        <w:t xml:space="preserve"> per cent</w:t>
      </w:r>
      <w:r w:rsidRPr="000C675D">
        <w:rPr>
          <w:rFonts w:cs="Arial"/>
          <w:sz w:val="16"/>
          <w:szCs w:val="16"/>
        </w:rPr>
        <w:t xml:space="preserve"> between the estimated actual and actual</w:t>
      </w:r>
    </w:p>
  </w:footnote>
  <w:footnote w:id="8">
    <w:p w14:paraId="5533BF0D" w14:textId="63CCAE99" w:rsidR="00A2334A" w:rsidRDefault="00A2334A">
      <w:pPr>
        <w:pStyle w:val="FootnoteText"/>
      </w:pPr>
      <w:r>
        <w:rPr>
          <w:rStyle w:val="FootnoteReference"/>
        </w:rPr>
        <w:footnoteRef/>
      </w:r>
      <w:r>
        <w:t xml:space="preserve"> </w:t>
      </w:r>
      <w:r w:rsidR="007A1527" w:rsidRPr="00A57D9E">
        <w:rPr>
          <w:sz w:val="16"/>
          <w:szCs w:val="16"/>
        </w:rPr>
        <w:t xml:space="preserve">A difference of more than </w:t>
      </w:r>
      <w:r w:rsidR="005C61E0">
        <w:rPr>
          <w:sz w:val="16"/>
          <w:szCs w:val="16"/>
        </w:rPr>
        <w:t>five</w:t>
      </w:r>
      <w:r w:rsidR="007A1527" w:rsidRPr="00A57D9E">
        <w:rPr>
          <w:sz w:val="16"/>
          <w:szCs w:val="16"/>
        </w:rPr>
        <w:t xml:space="preserve"> per cent between the target and actual</w:t>
      </w:r>
    </w:p>
  </w:footnote>
  <w:footnote w:id="9">
    <w:p w14:paraId="00DE2CE2" w14:textId="3E5305D0" w:rsidR="003252D0" w:rsidRDefault="003252D0">
      <w:pPr>
        <w:pStyle w:val="FootnoteText"/>
      </w:pPr>
      <w:r>
        <w:rPr>
          <w:rStyle w:val="FootnoteReference"/>
        </w:rPr>
        <w:footnoteRef/>
      </w:r>
      <w:r>
        <w:t xml:space="preserve"> </w:t>
      </w:r>
      <w:r>
        <w:rPr>
          <w:rFonts w:cs="Arial"/>
          <w:sz w:val="16"/>
          <w:szCs w:val="16"/>
        </w:rPr>
        <w:t xml:space="preserve">Have not met the target by more than </w:t>
      </w:r>
      <w:r w:rsidR="005C61E0">
        <w:rPr>
          <w:rFonts w:cs="Arial"/>
          <w:sz w:val="16"/>
          <w:szCs w:val="16"/>
        </w:rPr>
        <w:t>five</w:t>
      </w:r>
      <w:r>
        <w:rPr>
          <w:rFonts w:cs="Arial"/>
          <w:sz w:val="16"/>
          <w:szCs w:val="16"/>
        </w:rPr>
        <w:t xml:space="preserve"> per cent variance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FD1AA" w14:textId="77777777" w:rsidR="00095F30" w:rsidRDefault="00095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C0E94" w14:textId="580F7643" w:rsidR="00A45148" w:rsidRDefault="00B93DDD">
    <w:pPr>
      <w:pStyle w:val="Header"/>
    </w:pPr>
    <w:r w:rsidRPr="00A57D9E">
      <w:rPr>
        <w:noProof/>
        <w:lang w:eastAsia="en-GB"/>
      </w:rPr>
      <w:drawing>
        <wp:anchor distT="0" distB="0" distL="114300" distR="114300" simplePos="0" relativeHeight="251658240" behindDoc="1" locked="0" layoutInCell="1" allowOverlap="1" wp14:anchorId="6A9358DB" wp14:editId="33FCA6A5">
          <wp:simplePos x="0" y="0"/>
          <wp:positionH relativeFrom="column">
            <wp:posOffset>-457196</wp:posOffset>
          </wp:positionH>
          <wp:positionV relativeFrom="paragraph">
            <wp:posOffset>53975</wp:posOffset>
          </wp:positionV>
          <wp:extent cx="7595992" cy="12251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CC Letterhead header logo.png"/>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595992" cy="1225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07863CCF" w14:textId="68F288E0" w:rsidR="00A45148" w:rsidRDefault="00A45148">
    <w:pPr>
      <w:pStyle w:val="Header"/>
    </w:pPr>
  </w:p>
  <w:p w14:paraId="43D79516" w14:textId="77777777" w:rsidR="00A45148" w:rsidRDefault="00A45148">
    <w:pPr>
      <w:pStyle w:val="Header"/>
    </w:pPr>
  </w:p>
  <w:p w14:paraId="407F3633" w14:textId="77777777" w:rsidR="00A45148" w:rsidRDefault="00A451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C0CD" w14:textId="6A1E0B5D" w:rsidR="00095F30" w:rsidRDefault="00095F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DC2A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B5A2F"/>
    <w:multiLevelType w:val="hybridMultilevel"/>
    <w:tmpl w:val="11763DE6"/>
    <w:lvl w:ilvl="0" w:tplc="2CA8AE44">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DC309CD4">
      <w:numFmt w:val="bullet"/>
      <w:lvlText w:val="•"/>
      <w:lvlJc w:val="left"/>
      <w:pPr>
        <w:ind w:left="749" w:hanging="252"/>
      </w:pPr>
      <w:rPr>
        <w:rFonts w:hint="default"/>
        <w:lang w:val="en-US" w:eastAsia="en-US" w:bidi="ar-SA"/>
      </w:rPr>
    </w:lvl>
    <w:lvl w:ilvl="2" w:tplc="17708BA0">
      <w:numFmt w:val="bullet"/>
      <w:lvlText w:val="•"/>
      <w:lvlJc w:val="left"/>
      <w:pPr>
        <w:ind w:left="1139" w:hanging="252"/>
      </w:pPr>
      <w:rPr>
        <w:rFonts w:hint="default"/>
        <w:lang w:val="en-US" w:eastAsia="en-US" w:bidi="ar-SA"/>
      </w:rPr>
    </w:lvl>
    <w:lvl w:ilvl="3" w:tplc="F0F80D9C">
      <w:numFmt w:val="bullet"/>
      <w:lvlText w:val="•"/>
      <w:lvlJc w:val="left"/>
      <w:pPr>
        <w:ind w:left="1528" w:hanging="252"/>
      </w:pPr>
      <w:rPr>
        <w:rFonts w:hint="default"/>
        <w:lang w:val="en-US" w:eastAsia="en-US" w:bidi="ar-SA"/>
      </w:rPr>
    </w:lvl>
    <w:lvl w:ilvl="4" w:tplc="66182FE4">
      <w:numFmt w:val="bullet"/>
      <w:lvlText w:val="•"/>
      <w:lvlJc w:val="left"/>
      <w:pPr>
        <w:ind w:left="1918" w:hanging="252"/>
      </w:pPr>
      <w:rPr>
        <w:rFonts w:hint="default"/>
        <w:lang w:val="en-US" w:eastAsia="en-US" w:bidi="ar-SA"/>
      </w:rPr>
    </w:lvl>
    <w:lvl w:ilvl="5" w:tplc="C66E0972">
      <w:numFmt w:val="bullet"/>
      <w:lvlText w:val="•"/>
      <w:lvlJc w:val="left"/>
      <w:pPr>
        <w:ind w:left="2307" w:hanging="252"/>
      </w:pPr>
      <w:rPr>
        <w:rFonts w:hint="default"/>
        <w:lang w:val="en-US" w:eastAsia="en-US" w:bidi="ar-SA"/>
      </w:rPr>
    </w:lvl>
    <w:lvl w:ilvl="6" w:tplc="DBD07E0E">
      <w:numFmt w:val="bullet"/>
      <w:lvlText w:val="•"/>
      <w:lvlJc w:val="left"/>
      <w:pPr>
        <w:ind w:left="2697" w:hanging="252"/>
      </w:pPr>
      <w:rPr>
        <w:rFonts w:hint="default"/>
        <w:lang w:val="en-US" w:eastAsia="en-US" w:bidi="ar-SA"/>
      </w:rPr>
    </w:lvl>
    <w:lvl w:ilvl="7" w:tplc="7818AFB6">
      <w:numFmt w:val="bullet"/>
      <w:lvlText w:val="•"/>
      <w:lvlJc w:val="left"/>
      <w:pPr>
        <w:ind w:left="3086" w:hanging="252"/>
      </w:pPr>
      <w:rPr>
        <w:rFonts w:hint="default"/>
        <w:lang w:val="en-US" w:eastAsia="en-US" w:bidi="ar-SA"/>
      </w:rPr>
    </w:lvl>
    <w:lvl w:ilvl="8" w:tplc="78803C84">
      <w:numFmt w:val="bullet"/>
      <w:lvlText w:val="•"/>
      <w:lvlJc w:val="left"/>
      <w:pPr>
        <w:ind w:left="3476" w:hanging="252"/>
      </w:pPr>
      <w:rPr>
        <w:rFonts w:hint="default"/>
        <w:lang w:val="en-US" w:eastAsia="en-US" w:bidi="ar-SA"/>
      </w:rPr>
    </w:lvl>
  </w:abstractNum>
  <w:abstractNum w:abstractNumId="2" w15:restartNumberingAfterBreak="0">
    <w:nsid w:val="006427FD"/>
    <w:multiLevelType w:val="hybridMultilevel"/>
    <w:tmpl w:val="71CE7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FE2F33"/>
    <w:multiLevelType w:val="hybridMultilevel"/>
    <w:tmpl w:val="F8B00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A5182B"/>
    <w:multiLevelType w:val="hybridMultilevel"/>
    <w:tmpl w:val="CA7ED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E1356"/>
    <w:multiLevelType w:val="hybridMultilevel"/>
    <w:tmpl w:val="E6887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C70B69"/>
    <w:multiLevelType w:val="hybridMultilevel"/>
    <w:tmpl w:val="8A0C6E06"/>
    <w:lvl w:ilvl="0" w:tplc="66E49456">
      <w:start w:val="1"/>
      <w:numFmt w:val="bullet"/>
      <w:lvlText w:val=""/>
      <w:lvlJc w:val="left"/>
      <w:pPr>
        <w:ind w:left="720" w:hanging="360"/>
      </w:pPr>
      <w:rPr>
        <w:rFonts w:ascii="Symbol" w:hAnsi="Symbol" w:hint="default"/>
      </w:rPr>
    </w:lvl>
    <w:lvl w:ilvl="1" w:tplc="0CAEF0AC">
      <w:start w:val="1"/>
      <w:numFmt w:val="bullet"/>
      <w:lvlText w:val="o"/>
      <w:lvlJc w:val="left"/>
      <w:pPr>
        <w:ind w:left="1440" w:hanging="360"/>
      </w:pPr>
      <w:rPr>
        <w:rFonts w:ascii="Courier New" w:hAnsi="Courier New" w:hint="default"/>
      </w:rPr>
    </w:lvl>
    <w:lvl w:ilvl="2" w:tplc="8B7A390E">
      <w:start w:val="1"/>
      <w:numFmt w:val="bullet"/>
      <w:lvlText w:val=""/>
      <w:lvlJc w:val="left"/>
      <w:pPr>
        <w:ind w:left="2160" w:hanging="360"/>
      </w:pPr>
      <w:rPr>
        <w:rFonts w:ascii="Wingdings" w:hAnsi="Wingdings" w:hint="default"/>
      </w:rPr>
    </w:lvl>
    <w:lvl w:ilvl="3" w:tplc="60CCF57A">
      <w:start w:val="1"/>
      <w:numFmt w:val="bullet"/>
      <w:lvlText w:val=""/>
      <w:lvlJc w:val="left"/>
      <w:pPr>
        <w:ind w:left="2880" w:hanging="360"/>
      </w:pPr>
      <w:rPr>
        <w:rFonts w:ascii="Symbol" w:hAnsi="Symbol" w:hint="default"/>
      </w:rPr>
    </w:lvl>
    <w:lvl w:ilvl="4" w:tplc="F66AF0C2">
      <w:start w:val="1"/>
      <w:numFmt w:val="bullet"/>
      <w:lvlText w:val="o"/>
      <w:lvlJc w:val="left"/>
      <w:pPr>
        <w:ind w:left="3600" w:hanging="360"/>
      </w:pPr>
      <w:rPr>
        <w:rFonts w:ascii="Courier New" w:hAnsi="Courier New" w:hint="default"/>
      </w:rPr>
    </w:lvl>
    <w:lvl w:ilvl="5" w:tplc="F3BAC888">
      <w:start w:val="1"/>
      <w:numFmt w:val="bullet"/>
      <w:lvlText w:val=""/>
      <w:lvlJc w:val="left"/>
      <w:pPr>
        <w:ind w:left="4320" w:hanging="360"/>
      </w:pPr>
      <w:rPr>
        <w:rFonts w:ascii="Wingdings" w:hAnsi="Wingdings" w:hint="default"/>
      </w:rPr>
    </w:lvl>
    <w:lvl w:ilvl="6" w:tplc="A4F82CEA">
      <w:start w:val="1"/>
      <w:numFmt w:val="bullet"/>
      <w:lvlText w:val=""/>
      <w:lvlJc w:val="left"/>
      <w:pPr>
        <w:ind w:left="5040" w:hanging="360"/>
      </w:pPr>
      <w:rPr>
        <w:rFonts w:ascii="Symbol" w:hAnsi="Symbol" w:hint="default"/>
      </w:rPr>
    </w:lvl>
    <w:lvl w:ilvl="7" w:tplc="83388380">
      <w:start w:val="1"/>
      <w:numFmt w:val="bullet"/>
      <w:lvlText w:val="o"/>
      <w:lvlJc w:val="left"/>
      <w:pPr>
        <w:ind w:left="5760" w:hanging="360"/>
      </w:pPr>
      <w:rPr>
        <w:rFonts w:ascii="Courier New" w:hAnsi="Courier New" w:hint="default"/>
      </w:rPr>
    </w:lvl>
    <w:lvl w:ilvl="8" w:tplc="4844E5D4">
      <w:start w:val="1"/>
      <w:numFmt w:val="bullet"/>
      <w:lvlText w:val=""/>
      <w:lvlJc w:val="left"/>
      <w:pPr>
        <w:ind w:left="6480" w:hanging="360"/>
      </w:pPr>
      <w:rPr>
        <w:rFonts w:ascii="Wingdings" w:hAnsi="Wingdings" w:hint="default"/>
      </w:rPr>
    </w:lvl>
  </w:abstractNum>
  <w:abstractNum w:abstractNumId="7" w15:restartNumberingAfterBreak="0">
    <w:nsid w:val="04F67F4A"/>
    <w:multiLevelType w:val="hybridMultilevel"/>
    <w:tmpl w:val="1E7E17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68135DA"/>
    <w:multiLevelType w:val="hybridMultilevel"/>
    <w:tmpl w:val="5DA4D0AA"/>
    <w:lvl w:ilvl="0" w:tplc="98D6DB16">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59F2F182">
      <w:numFmt w:val="bullet"/>
      <w:lvlText w:val="•"/>
      <w:lvlJc w:val="left"/>
      <w:pPr>
        <w:ind w:left="749" w:hanging="252"/>
      </w:pPr>
      <w:rPr>
        <w:rFonts w:hint="default"/>
        <w:lang w:val="en-US" w:eastAsia="en-US" w:bidi="ar-SA"/>
      </w:rPr>
    </w:lvl>
    <w:lvl w:ilvl="2" w:tplc="AC188DE2">
      <w:numFmt w:val="bullet"/>
      <w:lvlText w:val="•"/>
      <w:lvlJc w:val="left"/>
      <w:pPr>
        <w:ind w:left="1139" w:hanging="252"/>
      </w:pPr>
      <w:rPr>
        <w:rFonts w:hint="default"/>
        <w:lang w:val="en-US" w:eastAsia="en-US" w:bidi="ar-SA"/>
      </w:rPr>
    </w:lvl>
    <w:lvl w:ilvl="3" w:tplc="BFEEBD66">
      <w:numFmt w:val="bullet"/>
      <w:lvlText w:val="•"/>
      <w:lvlJc w:val="left"/>
      <w:pPr>
        <w:ind w:left="1528" w:hanging="252"/>
      </w:pPr>
      <w:rPr>
        <w:rFonts w:hint="default"/>
        <w:lang w:val="en-US" w:eastAsia="en-US" w:bidi="ar-SA"/>
      </w:rPr>
    </w:lvl>
    <w:lvl w:ilvl="4" w:tplc="622467EC">
      <w:numFmt w:val="bullet"/>
      <w:lvlText w:val="•"/>
      <w:lvlJc w:val="left"/>
      <w:pPr>
        <w:ind w:left="1918" w:hanging="252"/>
      </w:pPr>
      <w:rPr>
        <w:rFonts w:hint="default"/>
        <w:lang w:val="en-US" w:eastAsia="en-US" w:bidi="ar-SA"/>
      </w:rPr>
    </w:lvl>
    <w:lvl w:ilvl="5" w:tplc="4C409224">
      <w:numFmt w:val="bullet"/>
      <w:lvlText w:val="•"/>
      <w:lvlJc w:val="left"/>
      <w:pPr>
        <w:ind w:left="2307" w:hanging="252"/>
      </w:pPr>
      <w:rPr>
        <w:rFonts w:hint="default"/>
        <w:lang w:val="en-US" w:eastAsia="en-US" w:bidi="ar-SA"/>
      </w:rPr>
    </w:lvl>
    <w:lvl w:ilvl="6" w:tplc="13168D10">
      <w:numFmt w:val="bullet"/>
      <w:lvlText w:val="•"/>
      <w:lvlJc w:val="left"/>
      <w:pPr>
        <w:ind w:left="2697" w:hanging="252"/>
      </w:pPr>
      <w:rPr>
        <w:rFonts w:hint="default"/>
        <w:lang w:val="en-US" w:eastAsia="en-US" w:bidi="ar-SA"/>
      </w:rPr>
    </w:lvl>
    <w:lvl w:ilvl="7" w:tplc="182A4260">
      <w:numFmt w:val="bullet"/>
      <w:lvlText w:val="•"/>
      <w:lvlJc w:val="left"/>
      <w:pPr>
        <w:ind w:left="3086" w:hanging="252"/>
      </w:pPr>
      <w:rPr>
        <w:rFonts w:hint="default"/>
        <w:lang w:val="en-US" w:eastAsia="en-US" w:bidi="ar-SA"/>
      </w:rPr>
    </w:lvl>
    <w:lvl w:ilvl="8" w:tplc="EC865750">
      <w:numFmt w:val="bullet"/>
      <w:lvlText w:val="•"/>
      <w:lvlJc w:val="left"/>
      <w:pPr>
        <w:ind w:left="3476" w:hanging="252"/>
      </w:pPr>
      <w:rPr>
        <w:rFonts w:hint="default"/>
        <w:lang w:val="en-US" w:eastAsia="en-US" w:bidi="ar-SA"/>
      </w:rPr>
    </w:lvl>
  </w:abstractNum>
  <w:abstractNum w:abstractNumId="9" w15:restartNumberingAfterBreak="0">
    <w:nsid w:val="06B33B41"/>
    <w:multiLevelType w:val="hybridMultilevel"/>
    <w:tmpl w:val="CBCE13E6"/>
    <w:lvl w:ilvl="0" w:tplc="C428CDF0">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1242C6CE">
      <w:numFmt w:val="bullet"/>
      <w:lvlText w:val="•"/>
      <w:lvlJc w:val="left"/>
      <w:pPr>
        <w:ind w:left="749" w:hanging="252"/>
      </w:pPr>
      <w:rPr>
        <w:rFonts w:hint="default"/>
        <w:lang w:val="en-US" w:eastAsia="en-US" w:bidi="ar-SA"/>
      </w:rPr>
    </w:lvl>
    <w:lvl w:ilvl="2" w:tplc="72466EC6">
      <w:numFmt w:val="bullet"/>
      <w:lvlText w:val="•"/>
      <w:lvlJc w:val="left"/>
      <w:pPr>
        <w:ind w:left="1139" w:hanging="252"/>
      </w:pPr>
      <w:rPr>
        <w:rFonts w:hint="default"/>
        <w:lang w:val="en-US" w:eastAsia="en-US" w:bidi="ar-SA"/>
      </w:rPr>
    </w:lvl>
    <w:lvl w:ilvl="3" w:tplc="3800BA7E">
      <w:numFmt w:val="bullet"/>
      <w:lvlText w:val="•"/>
      <w:lvlJc w:val="left"/>
      <w:pPr>
        <w:ind w:left="1528" w:hanging="252"/>
      </w:pPr>
      <w:rPr>
        <w:rFonts w:hint="default"/>
        <w:lang w:val="en-US" w:eastAsia="en-US" w:bidi="ar-SA"/>
      </w:rPr>
    </w:lvl>
    <w:lvl w:ilvl="4" w:tplc="EC0E7FB0">
      <w:numFmt w:val="bullet"/>
      <w:lvlText w:val="•"/>
      <w:lvlJc w:val="left"/>
      <w:pPr>
        <w:ind w:left="1918" w:hanging="252"/>
      </w:pPr>
      <w:rPr>
        <w:rFonts w:hint="default"/>
        <w:lang w:val="en-US" w:eastAsia="en-US" w:bidi="ar-SA"/>
      </w:rPr>
    </w:lvl>
    <w:lvl w:ilvl="5" w:tplc="15EC6CF4">
      <w:numFmt w:val="bullet"/>
      <w:lvlText w:val="•"/>
      <w:lvlJc w:val="left"/>
      <w:pPr>
        <w:ind w:left="2307" w:hanging="252"/>
      </w:pPr>
      <w:rPr>
        <w:rFonts w:hint="default"/>
        <w:lang w:val="en-US" w:eastAsia="en-US" w:bidi="ar-SA"/>
      </w:rPr>
    </w:lvl>
    <w:lvl w:ilvl="6" w:tplc="3BACAF4E">
      <w:numFmt w:val="bullet"/>
      <w:lvlText w:val="•"/>
      <w:lvlJc w:val="left"/>
      <w:pPr>
        <w:ind w:left="2697" w:hanging="252"/>
      </w:pPr>
      <w:rPr>
        <w:rFonts w:hint="default"/>
        <w:lang w:val="en-US" w:eastAsia="en-US" w:bidi="ar-SA"/>
      </w:rPr>
    </w:lvl>
    <w:lvl w:ilvl="7" w:tplc="DA36FD06">
      <w:numFmt w:val="bullet"/>
      <w:lvlText w:val="•"/>
      <w:lvlJc w:val="left"/>
      <w:pPr>
        <w:ind w:left="3086" w:hanging="252"/>
      </w:pPr>
      <w:rPr>
        <w:rFonts w:hint="default"/>
        <w:lang w:val="en-US" w:eastAsia="en-US" w:bidi="ar-SA"/>
      </w:rPr>
    </w:lvl>
    <w:lvl w:ilvl="8" w:tplc="5CBC30B8">
      <w:numFmt w:val="bullet"/>
      <w:lvlText w:val="•"/>
      <w:lvlJc w:val="left"/>
      <w:pPr>
        <w:ind w:left="3476" w:hanging="252"/>
      </w:pPr>
      <w:rPr>
        <w:rFonts w:hint="default"/>
        <w:lang w:val="en-US" w:eastAsia="en-US" w:bidi="ar-SA"/>
      </w:rPr>
    </w:lvl>
  </w:abstractNum>
  <w:abstractNum w:abstractNumId="10" w15:restartNumberingAfterBreak="0">
    <w:nsid w:val="06EA0148"/>
    <w:multiLevelType w:val="hybridMultilevel"/>
    <w:tmpl w:val="B606A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0136CD"/>
    <w:multiLevelType w:val="hybridMultilevel"/>
    <w:tmpl w:val="9F68033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9A2549"/>
    <w:multiLevelType w:val="hybridMultilevel"/>
    <w:tmpl w:val="4798D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4E0917"/>
    <w:multiLevelType w:val="hybridMultilevel"/>
    <w:tmpl w:val="E876B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083304"/>
    <w:multiLevelType w:val="hybridMultilevel"/>
    <w:tmpl w:val="C688C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3458BA"/>
    <w:multiLevelType w:val="hybridMultilevel"/>
    <w:tmpl w:val="4EBCF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72304F"/>
    <w:multiLevelType w:val="hybridMultilevel"/>
    <w:tmpl w:val="074A0FFA"/>
    <w:lvl w:ilvl="0" w:tplc="3DFC6418">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5D2CBE64">
      <w:numFmt w:val="bullet"/>
      <w:lvlText w:val="•"/>
      <w:lvlJc w:val="left"/>
      <w:pPr>
        <w:ind w:left="749" w:hanging="252"/>
      </w:pPr>
      <w:rPr>
        <w:rFonts w:hint="default"/>
        <w:lang w:val="en-US" w:eastAsia="en-US" w:bidi="ar-SA"/>
      </w:rPr>
    </w:lvl>
    <w:lvl w:ilvl="2" w:tplc="99D2BB68">
      <w:numFmt w:val="bullet"/>
      <w:lvlText w:val="•"/>
      <w:lvlJc w:val="left"/>
      <w:pPr>
        <w:ind w:left="1139" w:hanging="252"/>
      </w:pPr>
      <w:rPr>
        <w:rFonts w:hint="default"/>
        <w:lang w:val="en-US" w:eastAsia="en-US" w:bidi="ar-SA"/>
      </w:rPr>
    </w:lvl>
    <w:lvl w:ilvl="3" w:tplc="26B2EFDC">
      <w:numFmt w:val="bullet"/>
      <w:lvlText w:val="•"/>
      <w:lvlJc w:val="left"/>
      <w:pPr>
        <w:ind w:left="1528" w:hanging="252"/>
      </w:pPr>
      <w:rPr>
        <w:rFonts w:hint="default"/>
        <w:lang w:val="en-US" w:eastAsia="en-US" w:bidi="ar-SA"/>
      </w:rPr>
    </w:lvl>
    <w:lvl w:ilvl="4" w:tplc="4A86755E">
      <w:numFmt w:val="bullet"/>
      <w:lvlText w:val="•"/>
      <w:lvlJc w:val="left"/>
      <w:pPr>
        <w:ind w:left="1918" w:hanging="252"/>
      </w:pPr>
      <w:rPr>
        <w:rFonts w:hint="default"/>
        <w:lang w:val="en-US" w:eastAsia="en-US" w:bidi="ar-SA"/>
      </w:rPr>
    </w:lvl>
    <w:lvl w:ilvl="5" w:tplc="1F0EA934">
      <w:numFmt w:val="bullet"/>
      <w:lvlText w:val="•"/>
      <w:lvlJc w:val="left"/>
      <w:pPr>
        <w:ind w:left="2307" w:hanging="252"/>
      </w:pPr>
      <w:rPr>
        <w:rFonts w:hint="default"/>
        <w:lang w:val="en-US" w:eastAsia="en-US" w:bidi="ar-SA"/>
      </w:rPr>
    </w:lvl>
    <w:lvl w:ilvl="6" w:tplc="DEAAD1D4">
      <w:numFmt w:val="bullet"/>
      <w:lvlText w:val="•"/>
      <w:lvlJc w:val="left"/>
      <w:pPr>
        <w:ind w:left="2697" w:hanging="252"/>
      </w:pPr>
      <w:rPr>
        <w:rFonts w:hint="default"/>
        <w:lang w:val="en-US" w:eastAsia="en-US" w:bidi="ar-SA"/>
      </w:rPr>
    </w:lvl>
    <w:lvl w:ilvl="7" w:tplc="4620A1F2">
      <w:numFmt w:val="bullet"/>
      <w:lvlText w:val="•"/>
      <w:lvlJc w:val="left"/>
      <w:pPr>
        <w:ind w:left="3086" w:hanging="252"/>
      </w:pPr>
      <w:rPr>
        <w:rFonts w:hint="default"/>
        <w:lang w:val="en-US" w:eastAsia="en-US" w:bidi="ar-SA"/>
      </w:rPr>
    </w:lvl>
    <w:lvl w:ilvl="8" w:tplc="5D2849C0">
      <w:numFmt w:val="bullet"/>
      <w:lvlText w:val="•"/>
      <w:lvlJc w:val="left"/>
      <w:pPr>
        <w:ind w:left="3476" w:hanging="252"/>
      </w:pPr>
      <w:rPr>
        <w:rFonts w:hint="default"/>
        <w:lang w:val="en-US" w:eastAsia="en-US" w:bidi="ar-SA"/>
      </w:rPr>
    </w:lvl>
  </w:abstractNum>
  <w:abstractNum w:abstractNumId="17" w15:restartNumberingAfterBreak="0">
    <w:nsid w:val="0D9427BB"/>
    <w:multiLevelType w:val="hybridMultilevel"/>
    <w:tmpl w:val="EB107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7C7798"/>
    <w:multiLevelType w:val="hybridMultilevel"/>
    <w:tmpl w:val="9402B410"/>
    <w:lvl w:ilvl="0" w:tplc="476C879C">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00DC3802">
      <w:numFmt w:val="bullet"/>
      <w:lvlText w:val="•"/>
      <w:lvlJc w:val="left"/>
      <w:pPr>
        <w:ind w:left="749" w:hanging="252"/>
      </w:pPr>
      <w:rPr>
        <w:rFonts w:hint="default"/>
        <w:lang w:val="en-US" w:eastAsia="en-US" w:bidi="ar-SA"/>
      </w:rPr>
    </w:lvl>
    <w:lvl w:ilvl="2" w:tplc="0E8E9D72">
      <w:numFmt w:val="bullet"/>
      <w:lvlText w:val="•"/>
      <w:lvlJc w:val="left"/>
      <w:pPr>
        <w:ind w:left="1139" w:hanging="252"/>
      </w:pPr>
      <w:rPr>
        <w:rFonts w:hint="default"/>
        <w:lang w:val="en-US" w:eastAsia="en-US" w:bidi="ar-SA"/>
      </w:rPr>
    </w:lvl>
    <w:lvl w:ilvl="3" w:tplc="8DEAD5B6">
      <w:numFmt w:val="bullet"/>
      <w:lvlText w:val="•"/>
      <w:lvlJc w:val="left"/>
      <w:pPr>
        <w:ind w:left="1528" w:hanging="252"/>
      </w:pPr>
      <w:rPr>
        <w:rFonts w:hint="default"/>
        <w:lang w:val="en-US" w:eastAsia="en-US" w:bidi="ar-SA"/>
      </w:rPr>
    </w:lvl>
    <w:lvl w:ilvl="4" w:tplc="6276DF9C">
      <w:numFmt w:val="bullet"/>
      <w:lvlText w:val="•"/>
      <w:lvlJc w:val="left"/>
      <w:pPr>
        <w:ind w:left="1918" w:hanging="252"/>
      </w:pPr>
      <w:rPr>
        <w:rFonts w:hint="default"/>
        <w:lang w:val="en-US" w:eastAsia="en-US" w:bidi="ar-SA"/>
      </w:rPr>
    </w:lvl>
    <w:lvl w:ilvl="5" w:tplc="ED50A608">
      <w:numFmt w:val="bullet"/>
      <w:lvlText w:val="•"/>
      <w:lvlJc w:val="left"/>
      <w:pPr>
        <w:ind w:left="2307" w:hanging="252"/>
      </w:pPr>
      <w:rPr>
        <w:rFonts w:hint="default"/>
        <w:lang w:val="en-US" w:eastAsia="en-US" w:bidi="ar-SA"/>
      </w:rPr>
    </w:lvl>
    <w:lvl w:ilvl="6" w:tplc="0F245B62">
      <w:numFmt w:val="bullet"/>
      <w:lvlText w:val="•"/>
      <w:lvlJc w:val="left"/>
      <w:pPr>
        <w:ind w:left="2697" w:hanging="252"/>
      </w:pPr>
      <w:rPr>
        <w:rFonts w:hint="default"/>
        <w:lang w:val="en-US" w:eastAsia="en-US" w:bidi="ar-SA"/>
      </w:rPr>
    </w:lvl>
    <w:lvl w:ilvl="7" w:tplc="3B823BE4">
      <w:numFmt w:val="bullet"/>
      <w:lvlText w:val="•"/>
      <w:lvlJc w:val="left"/>
      <w:pPr>
        <w:ind w:left="3086" w:hanging="252"/>
      </w:pPr>
      <w:rPr>
        <w:rFonts w:hint="default"/>
        <w:lang w:val="en-US" w:eastAsia="en-US" w:bidi="ar-SA"/>
      </w:rPr>
    </w:lvl>
    <w:lvl w:ilvl="8" w:tplc="2044497A">
      <w:numFmt w:val="bullet"/>
      <w:lvlText w:val="•"/>
      <w:lvlJc w:val="left"/>
      <w:pPr>
        <w:ind w:left="3476" w:hanging="252"/>
      </w:pPr>
      <w:rPr>
        <w:rFonts w:hint="default"/>
        <w:lang w:val="en-US" w:eastAsia="en-US" w:bidi="ar-SA"/>
      </w:rPr>
    </w:lvl>
  </w:abstractNum>
  <w:abstractNum w:abstractNumId="19" w15:restartNumberingAfterBreak="0">
    <w:nsid w:val="121D0E76"/>
    <w:multiLevelType w:val="hybridMultilevel"/>
    <w:tmpl w:val="D688C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5C54A1"/>
    <w:multiLevelType w:val="hybridMultilevel"/>
    <w:tmpl w:val="FA46F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D137CF"/>
    <w:multiLevelType w:val="hybridMultilevel"/>
    <w:tmpl w:val="807A6C58"/>
    <w:lvl w:ilvl="0" w:tplc="CD720840">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0128A6F8">
      <w:numFmt w:val="bullet"/>
      <w:lvlText w:val="•"/>
      <w:lvlJc w:val="left"/>
      <w:pPr>
        <w:ind w:left="749" w:hanging="252"/>
      </w:pPr>
      <w:rPr>
        <w:rFonts w:hint="default"/>
        <w:lang w:val="en-US" w:eastAsia="en-US" w:bidi="ar-SA"/>
      </w:rPr>
    </w:lvl>
    <w:lvl w:ilvl="2" w:tplc="085C058C">
      <w:numFmt w:val="bullet"/>
      <w:lvlText w:val="•"/>
      <w:lvlJc w:val="left"/>
      <w:pPr>
        <w:ind w:left="1139" w:hanging="252"/>
      </w:pPr>
      <w:rPr>
        <w:rFonts w:hint="default"/>
        <w:lang w:val="en-US" w:eastAsia="en-US" w:bidi="ar-SA"/>
      </w:rPr>
    </w:lvl>
    <w:lvl w:ilvl="3" w:tplc="2048F13E">
      <w:numFmt w:val="bullet"/>
      <w:lvlText w:val="•"/>
      <w:lvlJc w:val="left"/>
      <w:pPr>
        <w:ind w:left="1528" w:hanging="252"/>
      </w:pPr>
      <w:rPr>
        <w:rFonts w:hint="default"/>
        <w:lang w:val="en-US" w:eastAsia="en-US" w:bidi="ar-SA"/>
      </w:rPr>
    </w:lvl>
    <w:lvl w:ilvl="4" w:tplc="7D1AF022">
      <w:numFmt w:val="bullet"/>
      <w:lvlText w:val="•"/>
      <w:lvlJc w:val="left"/>
      <w:pPr>
        <w:ind w:left="1918" w:hanging="252"/>
      </w:pPr>
      <w:rPr>
        <w:rFonts w:hint="default"/>
        <w:lang w:val="en-US" w:eastAsia="en-US" w:bidi="ar-SA"/>
      </w:rPr>
    </w:lvl>
    <w:lvl w:ilvl="5" w:tplc="F880FDEC">
      <w:numFmt w:val="bullet"/>
      <w:lvlText w:val="•"/>
      <w:lvlJc w:val="left"/>
      <w:pPr>
        <w:ind w:left="2307" w:hanging="252"/>
      </w:pPr>
      <w:rPr>
        <w:rFonts w:hint="default"/>
        <w:lang w:val="en-US" w:eastAsia="en-US" w:bidi="ar-SA"/>
      </w:rPr>
    </w:lvl>
    <w:lvl w:ilvl="6" w:tplc="E2E60DFC">
      <w:numFmt w:val="bullet"/>
      <w:lvlText w:val="•"/>
      <w:lvlJc w:val="left"/>
      <w:pPr>
        <w:ind w:left="2697" w:hanging="252"/>
      </w:pPr>
      <w:rPr>
        <w:rFonts w:hint="default"/>
        <w:lang w:val="en-US" w:eastAsia="en-US" w:bidi="ar-SA"/>
      </w:rPr>
    </w:lvl>
    <w:lvl w:ilvl="7" w:tplc="BC7C627C">
      <w:numFmt w:val="bullet"/>
      <w:lvlText w:val="•"/>
      <w:lvlJc w:val="left"/>
      <w:pPr>
        <w:ind w:left="3086" w:hanging="252"/>
      </w:pPr>
      <w:rPr>
        <w:rFonts w:hint="default"/>
        <w:lang w:val="en-US" w:eastAsia="en-US" w:bidi="ar-SA"/>
      </w:rPr>
    </w:lvl>
    <w:lvl w:ilvl="8" w:tplc="83109608">
      <w:numFmt w:val="bullet"/>
      <w:lvlText w:val="•"/>
      <w:lvlJc w:val="left"/>
      <w:pPr>
        <w:ind w:left="3476" w:hanging="252"/>
      </w:pPr>
      <w:rPr>
        <w:rFonts w:hint="default"/>
        <w:lang w:val="en-US" w:eastAsia="en-US" w:bidi="ar-SA"/>
      </w:rPr>
    </w:lvl>
  </w:abstractNum>
  <w:abstractNum w:abstractNumId="22" w15:restartNumberingAfterBreak="0">
    <w:nsid w:val="155F2429"/>
    <w:multiLevelType w:val="hybridMultilevel"/>
    <w:tmpl w:val="BDFCF1D2"/>
    <w:lvl w:ilvl="0" w:tplc="8F2AC070">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19402272">
      <w:numFmt w:val="bullet"/>
      <w:lvlText w:val="•"/>
      <w:lvlJc w:val="left"/>
      <w:pPr>
        <w:ind w:left="749" w:hanging="252"/>
      </w:pPr>
      <w:rPr>
        <w:rFonts w:hint="default"/>
        <w:lang w:val="en-US" w:eastAsia="en-US" w:bidi="ar-SA"/>
      </w:rPr>
    </w:lvl>
    <w:lvl w:ilvl="2" w:tplc="CB949168">
      <w:numFmt w:val="bullet"/>
      <w:lvlText w:val="•"/>
      <w:lvlJc w:val="left"/>
      <w:pPr>
        <w:ind w:left="1139" w:hanging="252"/>
      </w:pPr>
      <w:rPr>
        <w:rFonts w:hint="default"/>
        <w:lang w:val="en-US" w:eastAsia="en-US" w:bidi="ar-SA"/>
      </w:rPr>
    </w:lvl>
    <w:lvl w:ilvl="3" w:tplc="E84421D6">
      <w:numFmt w:val="bullet"/>
      <w:lvlText w:val="•"/>
      <w:lvlJc w:val="left"/>
      <w:pPr>
        <w:ind w:left="1528" w:hanging="252"/>
      </w:pPr>
      <w:rPr>
        <w:rFonts w:hint="default"/>
        <w:lang w:val="en-US" w:eastAsia="en-US" w:bidi="ar-SA"/>
      </w:rPr>
    </w:lvl>
    <w:lvl w:ilvl="4" w:tplc="758C0EFA">
      <w:numFmt w:val="bullet"/>
      <w:lvlText w:val="•"/>
      <w:lvlJc w:val="left"/>
      <w:pPr>
        <w:ind w:left="1918" w:hanging="252"/>
      </w:pPr>
      <w:rPr>
        <w:rFonts w:hint="default"/>
        <w:lang w:val="en-US" w:eastAsia="en-US" w:bidi="ar-SA"/>
      </w:rPr>
    </w:lvl>
    <w:lvl w:ilvl="5" w:tplc="E2CC5AB0">
      <w:numFmt w:val="bullet"/>
      <w:lvlText w:val="•"/>
      <w:lvlJc w:val="left"/>
      <w:pPr>
        <w:ind w:left="2307" w:hanging="252"/>
      </w:pPr>
      <w:rPr>
        <w:rFonts w:hint="default"/>
        <w:lang w:val="en-US" w:eastAsia="en-US" w:bidi="ar-SA"/>
      </w:rPr>
    </w:lvl>
    <w:lvl w:ilvl="6" w:tplc="AEF8D756">
      <w:numFmt w:val="bullet"/>
      <w:lvlText w:val="•"/>
      <w:lvlJc w:val="left"/>
      <w:pPr>
        <w:ind w:left="2697" w:hanging="252"/>
      </w:pPr>
      <w:rPr>
        <w:rFonts w:hint="default"/>
        <w:lang w:val="en-US" w:eastAsia="en-US" w:bidi="ar-SA"/>
      </w:rPr>
    </w:lvl>
    <w:lvl w:ilvl="7" w:tplc="8D44E3F6">
      <w:numFmt w:val="bullet"/>
      <w:lvlText w:val="•"/>
      <w:lvlJc w:val="left"/>
      <w:pPr>
        <w:ind w:left="3086" w:hanging="252"/>
      </w:pPr>
      <w:rPr>
        <w:rFonts w:hint="default"/>
        <w:lang w:val="en-US" w:eastAsia="en-US" w:bidi="ar-SA"/>
      </w:rPr>
    </w:lvl>
    <w:lvl w:ilvl="8" w:tplc="0178BCEE">
      <w:numFmt w:val="bullet"/>
      <w:lvlText w:val="•"/>
      <w:lvlJc w:val="left"/>
      <w:pPr>
        <w:ind w:left="3476" w:hanging="252"/>
      </w:pPr>
      <w:rPr>
        <w:rFonts w:hint="default"/>
        <w:lang w:val="en-US" w:eastAsia="en-US" w:bidi="ar-SA"/>
      </w:rPr>
    </w:lvl>
  </w:abstractNum>
  <w:abstractNum w:abstractNumId="23" w15:restartNumberingAfterBreak="0">
    <w:nsid w:val="17276227"/>
    <w:multiLevelType w:val="hybridMultilevel"/>
    <w:tmpl w:val="66F2B8EE"/>
    <w:lvl w:ilvl="0" w:tplc="029ED648">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316671A6">
      <w:numFmt w:val="bullet"/>
      <w:lvlText w:val="•"/>
      <w:lvlJc w:val="left"/>
      <w:pPr>
        <w:ind w:left="749" w:hanging="252"/>
      </w:pPr>
      <w:rPr>
        <w:rFonts w:hint="default"/>
        <w:lang w:val="en-US" w:eastAsia="en-US" w:bidi="ar-SA"/>
      </w:rPr>
    </w:lvl>
    <w:lvl w:ilvl="2" w:tplc="5AAE3A0E">
      <w:numFmt w:val="bullet"/>
      <w:lvlText w:val="•"/>
      <w:lvlJc w:val="left"/>
      <w:pPr>
        <w:ind w:left="1139" w:hanging="252"/>
      </w:pPr>
      <w:rPr>
        <w:rFonts w:hint="default"/>
        <w:lang w:val="en-US" w:eastAsia="en-US" w:bidi="ar-SA"/>
      </w:rPr>
    </w:lvl>
    <w:lvl w:ilvl="3" w:tplc="A6F6A0BE">
      <w:numFmt w:val="bullet"/>
      <w:lvlText w:val="•"/>
      <w:lvlJc w:val="left"/>
      <w:pPr>
        <w:ind w:left="1528" w:hanging="252"/>
      </w:pPr>
      <w:rPr>
        <w:rFonts w:hint="default"/>
        <w:lang w:val="en-US" w:eastAsia="en-US" w:bidi="ar-SA"/>
      </w:rPr>
    </w:lvl>
    <w:lvl w:ilvl="4" w:tplc="2B34D61A">
      <w:numFmt w:val="bullet"/>
      <w:lvlText w:val="•"/>
      <w:lvlJc w:val="left"/>
      <w:pPr>
        <w:ind w:left="1918" w:hanging="252"/>
      </w:pPr>
      <w:rPr>
        <w:rFonts w:hint="default"/>
        <w:lang w:val="en-US" w:eastAsia="en-US" w:bidi="ar-SA"/>
      </w:rPr>
    </w:lvl>
    <w:lvl w:ilvl="5" w:tplc="48008EC8">
      <w:numFmt w:val="bullet"/>
      <w:lvlText w:val="•"/>
      <w:lvlJc w:val="left"/>
      <w:pPr>
        <w:ind w:left="2307" w:hanging="252"/>
      </w:pPr>
      <w:rPr>
        <w:rFonts w:hint="default"/>
        <w:lang w:val="en-US" w:eastAsia="en-US" w:bidi="ar-SA"/>
      </w:rPr>
    </w:lvl>
    <w:lvl w:ilvl="6" w:tplc="FFE6A578">
      <w:numFmt w:val="bullet"/>
      <w:lvlText w:val="•"/>
      <w:lvlJc w:val="left"/>
      <w:pPr>
        <w:ind w:left="2697" w:hanging="252"/>
      </w:pPr>
      <w:rPr>
        <w:rFonts w:hint="default"/>
        <w:lang w:val="en-US" w:eastAsia="en-US" w:bidi="ar-SA"/>
      </w:rPr>
    </w:lvl>
    <w:lvl w:ilvl="7" w:tplc="72E4FD16">
      <w:numFmt w:val="bullet"/>
      <w:lvlText w:val="•"/>
      <w:lvlJc w:val="left"/>
      <w:pPr>
        <w:ind w:left="3086" w:hanging="252"/>
      </w:pPr>
      <w:rPr>
        <w:rFonts w:hint="default"/>
        <w:lang w:val="en-US" w:eastAsia="en-US" w:bidi="ar-SA"/>
      </w:rPr>
    </w:lvl>
    <w:lvl w:ilvl="8" w:tplc="FC46CC10">
      <w:numFmt w:val="bullet"/>
      <w:lvlText w:val="•"/>
      <w:lvlJc w:val="left"/>
      <w:pPr>
        <w:ind w:left="3476" w:hanging="252"/>
      </w:pPr>
      <w:rPr>
        <w:rFonts w:hint="default"/>
        <w:lang w:val="en-US" w:eastAsia="en-US" w:bidi="ar-SA"/>
      </w:rPr>
    </w:lvl>
  </w:abstractNum>
  <w:abstractNum w:abstractNumId="24" w15:restartNumberingAfterBreak="0">
    <w:nsid w:val="17804088"/>
    <w:multiLevelType w:val="hybridMultilevel"/>
    <w:tmpl w:val="E2580B0E"/>
    <w:lvl w:ilvl="0" w:tplc="5BF646AC">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86DE6922">
      <w:numFmt w:val="bullet"/>
      <w:lvlText w:val="•"/>
      <w:lvlJc w:val="left"/>
      <w:pPr>
        <w:ind w:left="749" w:hanging="252"/>
      </w:pPr>
      <w:rPr>
        <w:rFonts w:hint="default"/>
        <w:lang w:val="en-US" w:eastAsia="en-US" w:bidi="ar-SA"/>
      </w:rPr>
    </w:lvl>
    <w:lvl w:ilvl="2" w:tplc="D80E2AB6">
      <w:numFmt w:val="bullet"/>
      <w:lvlText w:val="•"/>
      <w:lvlJc w:val="left"/>
      <w:pPr>
        <w:ind w:left="1139" w:hanging="252"/>
      </w:pPr>
      <w:rPr>
        <w:rFonts w:hint="default"/>
        <w:lang w:val="en-US" w:eastAsia="en-US" w:bidi="ar-SA"/>
      </w:rPr>
    </w:lvl>
    <w:lvl w:ilvl="3" w:tplc="F6640512">
      <w:numFmt w:val="bullet"/>
      <w:lvlText w:val="•"/>
      <w:lvlJc w:val="left"/>
      <w:pPr>
        <w:ind w:left="1528" w:hanging="252"/>
      </w:pPr>
      <w:rPr>
        <w:rFonts w:hint="default"/>
        <w:lang w:val="en-US" w:eastAsia="en-US" w:bidi="ar-SA"/>
      </w:rPr>
    </w:lvl>
    <w:lvl w:ilvl="4" w:tplc="E654D720">
      <w:numFmt w:val="bullet"/>
      <w:lvlText w:val="•"/>
      <w:lvlJc w:val="left"/>
      <w:pPr>
        <w:ind w:left="1918" w:hanging="252"/>
      </w:pPr>
      <w:rPr>
        <w:rFonts w:hint="default"/>
        <w:lang w:val="en-US" w:eastAsia="en-US" w:bidi="ar-SA"/>
      </w:rPr>
    </w:lvl>
    <w:lvl w:ilvl="5" w:tplc="728CF7C8">
      <w:numFmt w:val="bullet"/>
      <w:lvlText w:val="•"/>
      <w:lvlJc w:val="left"/>
      <w:pPr>
        <w:ind w:left="2307" w:hanging="252"/>
      </w:pPr>
      <w:rPr>
        <w:rFonts w:hint="default"/>
        <w:lang w:val="en-US" w:eastAsia="en-US" w:bidi="ar-SA"/>
      </w:rPr>
    </w:lvl>
    <w:lvl w:ilvl="6" w:tplc="6D70D904">
      <w:numFmt w:val="bullet"/>
      <w:lvlText w:val="•"/>
      <w:lvlJc w:val="left"/>
      <w:pPr>
        <w:ind w:left="2697" w:hanging="252"/>
      </w:pPr>
      <w:rPr>
        <w:rFonts w:hint="default"/>
        <w:lang w:val="en-US" w:eastAsia="en-US" w:bidi="ar-SA"/>
      </w:rPr>
    </w:lvl>
    <w:lvl w:ilvl="7" w:tplc="E7401A5C">
      <w:numFmt w:val="bullet"/>
      <w:lvlText w:val="•"/>
      <w:lvlJc w:val="left"/>
      <w:pPr>
        <w:ind w:left="3086" w:hanging="252"/>
      </w:pPr>
      <w:rPr>
        <w:rFonts w:hint="default"/>
        <w:lang w:val="en-US" w:eastAsia="en-US" w:bidi="ar-SA"/>
      </w:rPr>
    </w:lvl>
    <w:lvl w:ilvl="8" w:tplc="A81EF85A">
      <w:numFmt w:val="bullet"/>
      <w:lvlText w:val="•"/>
      <w:lvlJc w:val="left"/>
      <w:pPr>
        <w:ind w:left="3476" w:hanging="252"/>
      </w:pPr>
      <w:rPr>
        <w:rFonts w:hint="default"/>
        <w:lang w:val="en-US" w:eastAsia="en-US" w:bidi="ar-SA"/>
      </w:rPr>
    </w:lvl>
  </w:abstractNum>
  <w:abstractNum w:abstractNumId="25" w15:restartNumberingAfterBreak="0">
    <w:nsid w:val="184F3F67"/>
    <w:multiLevelType w:val="hybridMultilevel"/>
    <w:tmpl w:val="03C2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4D5A9B"/>
    <w:multiLevelType w:val="hybridMultilevel"/>
    <w:tmpl w:val="A62A2C0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DCE2DBF"/>
    <w:multiLevelType w:val="hybridMultilevel"/>
    <w:tmpl w:val="562E8FA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10A3A1E"/>
    <w:multiLevelType w:val="hybridMultilevel"/>
    <w:tmpl w:val="9508DD8A"/>
    <w:lvl w:ilvl="0" w:tplc="75C20DD0">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43F6AAF6">
      <w:numFmt w:val="bullet"/>
      <w:lvlText w:val="•"/>
      <w:lvlJc w:val="left"/>
      <w:pPr>
        <w:ind w:left="749" w:hanging="252"/>
      </w:pPr>
      <w:rPr>
        <w:rFonts w:hint="default"/>
        <w:lang w:val="en-US" w:eastAsia="en-US" w:bidi="ar-SA"/>
      </w:rPr>
    </w:lvl>
    <w:lvl w:ilvl="2" w:tplc="2FAC222E">
      <w:numFmt w:val="bullet"/>
      <w:lvlText w:val="•"/>
      <w:lvlJc w:val="left"/>
      <w:pPr>
        <w:ind w:left="1139" w:hanging="252"/>
      </w:pPr>
      <w:rPr>
        <w:rFonts w:hint="default"/>
        <w:lang w:val="en-US" w:eastAsia="en-US" w:bidi="ar-SA"/>
      </w:rPr>
    </w:lvl>
    <w:lvl w:ilvl="3" w:tplc="8646A2D4">
      <w:numFmt w:val="bullet"/>
      <w:lvlText w:val="•"/>
      <w:lvlJc w:val="left"/>
      <w:pPr>
        <w:ind w:left="1528" w:hanging="252"/>
      </w:pPr>
      <w:rPr>
        <w:rFonts w:hint="default"/>
        <w:lang w:val="en-US" w:eastAsia="en-US" w:bidi="ar-SA"/>
      </w:rPr>
    </w:lvl>
    <w:lvl w:ilvl="4" w:tplc="08785A0A">
      <w:numFmt w:val="bullet"/>
      <w:lvlText w:val="•"/>
      <w:lvlJc w:val="left"/>
      <w:pPr>
        <w:ind w:left="1918" w:hanging="252"/>
      </w:pPr>
      <w:rPr>
        <w:rFonts w:hint="default"/>
        <w:lang w:val="en-US" w:eastAsia="en-US" w:bidi="ar-SA"/>
      </w:rPr>
    </w:lvl>
    <w:lvl w:ilvl="5" w:tplc="BA0E5176">
      <w:numFmt w:val="bullet"/>
      <w:lvlText w:val="•"/>
      <w:lvlJc w:val="left"/>
      <w:pPr>
        <w:ind w:left="2307" w:hanging="252"/>
      </w:pPr>
      <w:rPr>
        <w:rFonts w:hint="default"/>
        <w:lang w:val="en-US" w:eastAsia="en-US" w:bidi="ar-SA"/>
      </w:rPr>
    </w:lvl>
    <w:lvl w:ilvl="6" w:tplc="96F853B8">
      <w:numFmt w:val="bullet"/>
      <w:lvlText w:val="•"/>
      <w:lvlJc w:val="left"/>
      <w:pPr>
        <w:ind w:left="2697" w:hanging="252"/>
      </w:pPr>
      <w:rPr>
        <w:rFonts w:hint="default"/>
        <w:lang w:val="en-US" w:eastAsia="en-US" w:bidi="ar-SA"/>
      </w:rPr>
    </w:lvl>
    <w:lvl w:ilvl="7" w:tplc="0B10B62A">
      <w:numFmt w:val="bullet"/>
      <w:lvlText w:val="•"/>
      <w:lvlJc w:val="left"/>
      <w:pPr>
        <w:ind w:left="3086" w:hanging="252"/>
      </w:pPr>
      <w:rPr>
        <w:rFonts w:hint="default"/>
        <w:lang w:val="en-US" w:eastAsia="en-US" w:bidi="ar-SA"/>
      </w:rPr>
    </w:lvl>
    <w:lvl w:ilvl="8" w:tplc="FB080D4C">
      <w:numFmt w:val="bullet"/>
      <w:lvlText w:val="•"/>
      <w:lvlJc w:val="left"/>
      <w:pPr>
        <w:ind w:left="3476" w:hanging="252"/>
      </w:pPr>
      <w:rPr>
        <w:rFonts w:hint="default"/>
        <w:lang w:val="en-US" w:eastAsia="en-US" w:bidi="ar-SA"/>
      </w:rPr>
    </w:lvl>
  </w:abstractNum>
  <w:abstractNum w:abstractNumId="29" w15:restartNumberingAfterBreak="0">
    <w:nsid w:val="212952D8"/>
    <w:multiLevelType w:val="hybridMultilevel"/>
    <w:tmpl w:val="E594DC50"/>
    <w:lvl w:ilvl="0" w:tplc="7E0065CC">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E2F0CD10">
      <w:numFmt w:val="bullet"/>
      <w:lvlText w:val="•"/>
      <w:lvlJc w:val="left"/>
      <w:pPr>
        <w:ind w:left="749" w:hanging="252"/>
      </w:pPr>
      <w:rPr>
        <w:rFonts w:hint="default"/>
        <w:lang w:val="en-US" w:eastAsia="en-US" w:bidi="ar-SA"/>
      </w:rPr>
    </w:lvl>
    <w:lvl w:ilvl="2" w:tplc="54E2F4BC">
      <w:numFmt w:val="bullet"/>
      <w:lvlText w:val="•"/>
      <w:lvlJc w:val="left"/>
      <w:pPr>
        <w:ind w:left="1139" w:hanging="252"/>
      </w:pPr>
      <w:rPr>
        <w:rFonts w:hint="default"/>
        <w:lang w:val="en-US" w:eastAsia="en-US" w:bidi="ar-SA"/>
      </w:rPr>
    </w:lvl>
    <w:lvl w:ilvl="3" w:tplc="92E85BB8">
      <w:numFmt w:val="bullet"/>
      <w:lvlText w:val="•"/>
      <w:lvlJc w:val="left"/>
      <w:pPr>
        <w:ind w:left="1528" w:hanging="252"/>
      </w:pPr>
      <w:rPr>
        <w:rFonts w:hint="default"/>
        <w:lang w:val="en-US" w:eastAsia="en-US" w:bidi="ar-SA"/>
      </w:rPr>
    </w:lvl>
    <w:lvl w:ilvl="4" w:tplc="2E12D9FE">
      <w:numFmt w:val="bullet"/>
      <w:lvlText w:val="•"/>
      <w:lvlJc w:val="left"/>
      <w:pPr>
        <w:ind w:left="1918" w:hanging="252"/>
      </w:pPr>
      <w:rPr>
        <w:rFonts w:hint="default"/>
        <w:lang w:val="en-US" w:eastAsia="en-US" w:bidi="ar-SA"/>
      </w:rPr>
    </w:lvl>
    <w:lvl w:ilvl="5" w:tplc="90C44BC4">
      <w:numFmt w:val="bullet"/>
      <w:lvlText w:val="•"/>
      <w:lvlJc w:val="left"/>
      <w:pPr>
        <w:ind w:left="2307" w:hanging="252"/>
      </w:pPr>
      <w:rPr>
        <w:rFonts w:hint="default"/>
        <w:lang w:val="en-US" w:eastAsia="en-US" w:bidi="ar-SA"/>
      </w:rPr>
    </w:lvl>
    <w:lvl w:ilvl="6" w:tplc="179CFED2">
      <w:numFmt w:val="bullet"/>
      <w:lvlText w:val="•"/>
      <w:lvlJc w:val="left"/>
      <w:pPr>
        <w:ind w:left="2697" w:hanging="252"/>
      </w:pPr>
      <w:rPr>
        <w:rFonts w:hint="default"/>
        <w:lang w:val="en-US" w:eastAsia="en-US" w:bidi="ar-SA"/>
      </w:rPr>
    </w:lvl>
    <w:lvl w:ilvl="7" w:tplc="8D685240">
      <w:numFmt w:val="bullet"/>
      <w:lvlText w:val="•"/>
      <w:lvlJc w:val="left"/>
      <w:pPr>
        <w:ind w:left="3086" w:hanging="252"/>
      </w:pPr>
      <w:rPr>
        <w:rFonts w:hint="default"/>
        <w:lang w:val="en-US" w:eastAsia="en-US" w:bidi="ar-SA"/>
      </w:rPr>
    </w:lvl>
    <w:lvl w:ilvl="8" w:tplc="B6463BD4">
      <w:numFmt w:val="bullet"/>
      <w:lvlText w:val="•"/>
      <w:lvlJc w:val="left"/>
      <w:pPr>
        <w:ind w:left="3476" w:hanging="252"/>
      </w:pPr>
      <w:rPr>
        <w:rFonts w:hint="default"/>
        <w:lang w:val="en-US" w:eastAsia="en-US" w:bidi="ar-SA"/>
      </w:rPr>
    </w:lvl>
  </w:abstractNum>
  <w:abstractNum w:abstractNumId="30" w15:restartNumberingAfterBreak="0">
    <w:nsid w:val="21FE51D4"/>
    <w:multiLevelType w:val="hybridMultilevel"/>
    <w:tmpl w:val="391AED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3510510"/>
    <w:multiLevelType w:val="hybridMultilevel"/>
    <w:tmpl w:val="AD90E06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2" w15:restartNumberingAfterBreak="0">
    <w:nsid w:val="235F7B50"/>
    <w:multiLevelType w:val="hybridMultilevel"/>
    <w:tmpl w:val="FFFFFFFF"/>
    <w:lvl w:ilvl="0" w:tplc="365E2410">
      <w:start w:val="1"/>
      <w:numFmt w:val="bullet"/>
      <w:lvlText w:val=""/>
      <w:lvlJc w:val="left"/>
      <w:pPr>
        <w:ind w:left="-1800" w:hanging="360"/>
      </w:pPr>
      <w:rPr>
        <w:rFonts w:ascii="Symbol" w:hAnsi="Symbol" w:hint="default"/>
      </w:rPr>
    </w:lvl>
    <w:lvl w:ilvl="1" w:tplc="FD9CCC76">
      <w:start w:val="1"/>
      <w:numFmt w:val="bullet"/>
      <w:lvlText w:val="o"/>
      <w:lvlJc w:val="left"/>
      <w:pPr>
        <w:ind w:left="-1080" w:hanging="360"/>
      </w:pPr>
      <w:rPr>
        <w:rFonts w:ascii="Courier New" w:hAnsi="Courier New" w:hint="default"/>
      </w:rPr>
    </w:lvl>
    <w:lvl w:ilvl="2" w:tplc="4CDC0650">
      <w:start w:val="1"/>
      <w:numFmt w:val="bullet"/>
      <w:lvlText w:val=""/>
      <w:lvlJc w:val="left"/>
      <w:pPr>
        <w:ind w:left="-360" w:hanging="360"/>
      </w:pPr>
      <w:rPr>
        <w:rFonts w:ascii="Wingdings" w:hAnsi="Wingdings" w:hint="default"/>
      </w:rPr>
    </w:lvl>
    <w:lvl w:ilvl="3" w:tplc="95F2FE54">
      <w:start w:val="1"/>
      <w:numFmt w:val="bullet"/>
      <w:lvlText w:val=""/>
      <w:lvlJc w:val="left"/>
      <w:pPr>
        <w:ind w:left="360" w:hanging="360"/>
      </w:pPr>
      <w:rPr>
        <w:rFonts w:ascii="Symbol" w:hAnsi="Symbol" w:hint="default"/>
      </w:rPr>
    </w:lvl>
    <w:lvl w:ilvl="4" w:tplc="6380B442">
      <w:start w:val="1"/>
      <w:numFmt w:val="bullet"/>
      <w:lvlText w:val="o"/>
      <w:lvlJc w:val="left"/>
      <w:pPr>
        <w:ind w:left="1080" w:hanging="360"/>
      </w:pPr>
      <w:rPr>
        <w:rFonts w:ascii="Courier New" w:hAnsi="Courier New" w:hint="default"/>
      </w:rPr>
    </w:lvl>
    <w:lvl w:ilvl="5" w:tplc="DF08F8EC">
      <w:start w:val="1"/>
      <w:numFmt w:val="bullet"/>
      <w:lvlText w:val=""/>
      <w:lvlJc w:val="left"/>
      <w:pPr>
        <w:ind w:left="1800" w:hanging="360"/>
      </w:pPr>
      <w:rPr>
        <w:rFonts w:ascii="Wingdings" w:hAnsi="Wingdings" w:hint="default"/>
      </w:rPr>
    </w:lvl>
    <w:lvl w:ilvl="6" w:tplc="1C4C16B4">
      <w:start w:val="1"/>
      <w:numFmt w:val="bullet"/>
      <w:lvlText w:val=""/>
      <w:lvlJc w:val="left"/>
      <w:pPr>
        <w:ind w:left="2520" w:hanging="360"/>
      </w:pPr>
      <w:rPr>
        <w:rFonts w:ascii="Symbol" w:hAnsi="Symbol" w:hint="default"/>
      </w:rPr>
    </w:lvl>
    <w:lvl w:ilvl="7" w:tplc="47781A3C">
      <w:start w:val="1"/>
      <w:numFmt w:val="bullet"/>
      <w:lvlText w:val="o"/>
      <w:lvlJc w:val="left"/>
      <w:pPr>
        <w:ind w:left="3240" w:hanging="360"/>
      </w:pPr>
      <w:rPr>
        <w:rFonts w:ascii="Courier New" w:hAnsi="Courier New" w:hint="default"/>
      </w:rPr>
    </w:lvl>
    <w:lvl w:ilvl="8" w:tplc="C3BA5C2E">
      <w:start w:val="1"/>
      <w:numFmt w:val="bullet"/>
      <w:lvlText w:val=""/>
      <w:lvlJc w:val="left"/>
      <w:pPr>
        <w:ind w:left="3960" w:hanging="360"/>
      </w:pPr>
      <w:rPr>
        <w:rFonts w:ascii="Wingdings" w:hAnsi="Wingdings" w:hint="default"/>
      </w:rPr>
    </w:lvl>
  </w:abstractNum>
  <w:abstractNum w:abstractNumId="33" w15:restartNumberingAfterBreak="0">
    <w:nsid w:val="29F725EA"/>
    <w:multiLevelType w:val="hybridMultilevel"/>
    <w:tmpl w:val="7AD8169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AD746C1"/>
    <w:multiLevelType w:val="hybridMultilevel"/>
    <w:tmpl w:val="5EF69B66"/>
    <w:lvl w:ilvl="0" w:tplc="13423752">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A81477BC">
      <w:numFmt w:val="bullet"/>
      <w:lvlText w:val="•"/>
      <w:lvlJc w:val="left"/>
      <w:pPr>
        <w:ind w:left="749" w:hanging="252"/>
      </w:pPr>
      <w:rPr>
        <w:rFonts w:hint="default"/>
        <w:lang w:val="en-US" w:eastAsia="en-US" w:bidi="ar-SA"/>
      </w:rPr>
    </w:lvl>
    <w:lvl w:ilvl="2" w:tplc="C520F712">
      <w:numFmt w:val="bullet"/>
      <w:lvlText w:val="•"/>
      <w:lvlJc w:val="left"/>
      <w:pPr>
        <w:ind w:left="1139" w:hanging="252"/>
      </w:pPr>
      <w:rPr>
        <w:rFonts w:hint="default"/>
        <w:lang w:val="en-US" w:eastAsia="en-US" w:bidi="ar-SA"/>
      </w:rPr>
    </w:lvl>
    <w:lvl w:ilvl="3" w:tplc="2D4AF906">
      <w:numFmt w:val="bullet"/>
      <w:lvlText w:val="•"/>
      <w:lvlJc w:val="left"/>
      <w:pPr>
        <w:ind w:left="1528" w:hanging="252"/>
      </w:pPr>
      <w:rPr>
        <w:rFonts w:hint="default"/>
        <w:lang w:val="en-US" w:eastAsia="en-US" w:bidi="ar-SA"/>
      </w:rPr>
    </w:lvl>
    <w:lvl w:ilvl="4" w:tplc="F5A45100">
      <w:numFmt w:val="bullet"/>
      <w:lvlText w:val="•"/>
      <w:lvlJc w:val="left"/>
      <w:pPr>
        <w:ind w:left="1918" w:hanging="252"/>
      </w:pPr>
      <w:rPr>
        <w:rFonts w:hint="default"/>
        <w:lang w:val="en-US" w:eastAsia="en-US" w:bidi="ar-SA"/>
      </w:rPr>
    </w:lvl>
    <w:lvl w:ilvl="5" w:tplc="F606D71E">
      <w:numFmt w:val="bullet"/>
      <w:lvlText w:val="•"/>
      <w:lvlJc w:val="left"/>
      <w:pPr>
        <w:ind w:left="2307" w:hanging="252"/>
      </w:pPr>
      <w:rPr>
        <w:rFonts w:hint="default"/>
        <w:lang w:val="en-US" w:eastAsia="en-US" w:bidi="ar-SA"/>
      </w:rPr>
    </w:lvl>
    <w:lvl w:ilvl="6" w:tplc="5ADC355C">
      <w:numFmt w:val="bullet"/>
      <w:lvlText w:val="•"/>
      <w:lvlJc w:val="left"/>
      <w:pPr>
        <w:ind w:left="2697" w:hanging="252"/>
      </w:pPr>
      <w:rPr>
        <w:rFonts w:hint="default"/>
        <w:lang w:val="en-US" w:eastAsia="en-US" w:bidi="ar-SA"/>
      </w:rPr>
    </w:lvl>
    <w:lvl w:ilvl="7" w:tplc="5B94BC4E">
      <w:numFmt w:val="bullet"/>
      <w:lvlText w:val="•"/>
      <w:lvlJc w:val="left"/>
      <w:pPr>
        <w:ind w:left="3086" w:hanging="252"/>
      </w:pPr>
      <w:rPr>
        <w:rFonts w:hint="default"/>
        <w:lang w:val="en-US" w:eastAsia="en-US" w:bidi="ar-SA"/>
      </w:rPr>
    </w:lvl>
    <w:lvl w:ilvl="8" w:tplc="A2BEFAB2">
      <w:numFmt w:val="bullet"/>
      <w:lvlText w:val="•"/>
      <w:lvlJc w:val="left"/>
      <w:pPr>
        <w:ind w:left="3476" w:hanging="252"/>
      </w:pPr>
      <w:rPr>
        <w:rFonts w:hint="default"/>
        <w:lang w:val="en-US" w:eastAsia="en-US" w:bidi="ar-SA"/>
      </w:rPr>
    </w:lvl>
  </w:abstractNum>
  <w:abstractNum w:abstractNumId="35" w15:restartNumberingAfterBreak="0">
    <w:nsid w:val="2B075524"/>
    <w:multiLevelType w:val="hybridMultilevel"/>
    <w:tmpl w:val="24FEA9C8"/>
    <w:lvl w:ilvl="0" w:tplc="0C686B92">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4FDCF9A8">
      <w:numFmt w:val="bullet"/>
      <w:lvlText w:val="•"/>
      <w:lvlJc w:val="left"/>
      <w:pPr>
        <w:ind w:left="749" w:hanging="252"/>
      </w:pPr>
      <w:rPr>
        <w:rFonts w:hint="default"/>
        <w:lang w:val="en-US" w:eastAsia="en-US" w:bidi="ar-SA"/>
      </w:rPr>
    </w:lvl>
    <w:lvl w:ilvl="2" w:tplc="2CC882A0">
      <w:numFmt w:val="bullet"/>
      <w:lvlText w:val="•"/>
      <w:lvlJc w:val="left"/>
      <w:pPr>
        <w:ind w:left="1139" w:hanging="252"/>
      </w:pPr>
      <w:rPr>
        <w:rFonts w:hint="default"/>
        <w:lang w:val="en-US" w:eastAsia="en-US" w:bidi="ar-SA"/>
      </w:rPr>
    </w:lvl>
    <w:lvl w:ilvl="3" w:tplc="9872E788">
      <w:numFmt w:val="bullet"/>
      <w:lvlText w:val="•"/>
      <w:lvlJc w:val="left"/>
      <w:pPr>
        <w:ind w:left="1528" w:hanging="252"/>
      </w:pPr>
      <w:rPr>
        <w:rFonts w:hint="default"/>
        <w:lang w:val="en-US" w:eastAsia="en-US" w:bidi="ar-SA"/>
      </w:rPr>
    </w:lvl>
    <w:lvl w:ilvl="4" w:tplc="CF300974">
      <w:numFmt w:val="bullet"/>
      <w:lvlText w:val="•"/>
      <w:lvlJc w:val="left"/>
      <w:pPr>
        <w:ind w:left="1918" w:hanging="252"/>
      </w:pPr>
      <w:rPr>
        <w:rFonts w:hint="default"/>
        <w:lang w:val="en-US" w:eastAsia="en-US" w:bidi="ar-SA"/>
      </w:rPr>
    </w:lvl>
    <w:lvl w:ilvl="5" w:tplc="1E5ACDEE">
      <w:numFmt w:val="bullet"/>
      <w:lvlText w:val="•"/>
      <w:lvlJc w:val="left"/>
      <w:pPr>
        <w:ind w:left="2307" w:hanging="252"/>
      </w:pPr>
      <w:rPr>
        <w:rFonts w:hint="default"/>
        <w:lang w:val="en-US" w:eastAsia="en-US" w:bidi="ar-SA"/>
      </w:rPr>
    </w:lvl>
    <w:lvl w:ilvl="6" w:tplc="ADC292B4">
      <w:numFmt w:val="bullet"/>
      <w:lvlText w:val="•"/>
      <w:lvlJc w:val="left"/>
      <w:pPr>
        <w:ind w:left="2697" w:hanging="252"/>
      </w:pPr>
      <w:rPr>
        <w:rFonts w:hint="default"/>
        <w:lang w:val="en-US" w:eastAsia="en-US" w:bidi="ar-SA"/>
      </w:rPr>
    </w:lvl>
    <w:lvl w:ilvl="7" w:tplc="7DE2B000">
      <w:numFmt w:val="bullet"/>
      <w:lvlText w:val="•"/>
      <w:lvlJc w:val="left"/>
      <w:pPr>
        <w:ind w:left="3086" w:hanging="252"/>
      </w:pPr>
      <w:rPr>
        <w:rFonts w:hint="default"/>
        <w:lang w:val="en-US" w:eastAsia="en-US" w:bidi="ar-SA"/>
      </w:rPr>
    </w:lvl>
    <w:lvl w:ilvl="8" w:tplc="5E44C0CC">
      <w:numFmt w:val="bullet"/>
      <w:lvlText w:val="•"/>
      <w:lvlJc w:val="left"/>
      <w:pPr>
        <w:ind w:left="3476" w:hanging="252"/>
      </w:pPr>
      <w:rPr>
        <w:rFonts w:hint="default"/>
        <w:lang w:val="en-US" w:eastAsia="en-US" w:bidi="ar-SA"/>
      </w:rPr>
    </w:lvl>
  </w:abstractNum>
  <w:abstractNum w:abstractNumId="36" w15:restartNumberingAfterBreak="0">
    <w:nsid w:val="2CCC5964"/>
    <w:multiLevelType w:val="hybridMultilevel"/>
    <w:tmpl w:val="15BAF05E"/>
    <w:lvl w:ilvl="0" w:tplc="D44619E6">
      <w:start w:val="1"/>
      <w:numFmt w:val="bullet"/>
      <w:lvlText w:val=""/>
      <w:lvlJc w:val="left"/>
      <w:pPr>
        <w:ind w:left="720" w:hanging="360"/>
      </w:pPr>
      <w:rPr>
        <w:rFonts w:ascii="Symbol" w:hAnsi="Symbol"/>
      </w:rPr>
    </w:lvl>
    <w:lvl w:ilvl="1" w:tplc="04B632F2">
      <w:start w:val="1"/>
      <w:numFmt w:val="bullet"/>
      <w:lvlText w:val=""/>
      <w:lvlJc w:val="left"/>
      <w:pPr>
        <w:ind w:left="720" w:hanging="360"/>
      </w:pPr>
      <w:rPr>
        <w:rFonts w:ascii="Symbol" w:hAnsi="Symbol"/>
      </w:rPr>
    </w:lvl>
    <w:lvl w:ilvl="2" w:tplc="FFCA83EC">
      <w:start w:val="1"/>
      <w:numFmt w:val="bullet"/>
      <w:lvlText w:val=""/>
      <w:lvlJc w:val="left"/>
      <w:pPr>
        <w:ind w:left="720" w:hanging="360"/>
      </w:pPr>
      <w:rPr>
        <w:rFonts w:ascii="Symbol" w:hAnsi="Symbol"/>
      </w:rPr>
    </w:lvl>
    <w:lvl w:ilvl="3" w:tplc="8CF052C4">
      <w:start w:val="1"/>
      <w:numFmt w:val="bullet"/>
      <w:lvlText w:val=""/>
      <w:lvlJc w:val="left"/>
      <w:pPr>
        <w:ind w:left="720" w:hanging="360"/>
      </w:pPr>
      <w:rPr>
        <w:rFonts w:ascii="Symbol" w:hAnsi="Symbol"/>
      </w:rPr>
    </w:lvl>
    <w:lvl w:ilvl="4" w:tplc="9026905C">
      <w:start w:val="1"/>
      <w:numFmt w:val="bullet"/>
      <w:lvlText w:val=""/>
      <w:lvlJc w:val="left"/>
      <w:pPr>
        <w:ind w:left="720" w:hanging="360"/>
      </w:pPr>
      <w:rPr>
        <w:rFonts w:ascii="Symbol" w:hAnsi="Symbol"/>
      </w:rPr>
    </w:lvl>
    <w:lvl w:ilvl="5" w:tplc="BEC86F86">
      <w:start w:val="1"/>
      <w:numFmt w:val="bullet"/>
      <w:lvlText w:val=""/>
      <w:lvlJc w:val="left"/>
      <w:pPr>
        <w:ind w:left="720" w:hanging="360"/>
      </w:pPr>
      <w:rPr>
        <w:rFonts w:ascii="Symbol" w:hAnsi="Symbol"/>
      </w:rPr>
    </w:lvl>
    <w:lvl w:ilvl="6" w:tplc="E22C48F2">
      <w:start w:val="1"/>
      <w:numFmt w:val="bullet"/>
      <w:lvlText w:val=""/>
      <w:lvlJc w:val="left"/>
      <w:pPr>
        <w:ind w:left="720" w:hanging="360"/>
      </w:pPr>
      <w:rPr>
        <w:rFonts w:ascii="Symbol" w:hAnsi="Symbol"/>
      </w:rPr>
    </w:lvl>
    <w:lvl w:ilvl="7" w:tplc="BAA25F0C">
      <w:start w:val="1"/>
      <w:numFmt w:val="bullet"/>
      <w:lvlText w:val=""/>
      <w:lvlJc w:val="left"/>
      <w:pPr>
        <w:ind w:left="720" w:hanging="360"/>
      </w:pPr>
      <w:rPr>
        <w:rFonts w:ascii="Symbol" w:hAnsi="Symbol"/>
      </w:rPr>
    </w:lvl>
    <w:lvl w:ilvl="8" w:tplc="E1808284">
      <w:start w:val="1"/>
      <w:numFmt w:val="bullet"/>
      <w:lvlText w:val=""/>
      <w:lvlJc w:val="left"/>
      <w:pPr>
        <w:ind w:left="720" w:hanging="360"/>
      </w:pPr>
      <w:rPr>
        <w:rFonts w:ascii="Symbol" w:hAnsi="Symbol"/>
      </w:rPr>
    </w:lvl>
  </w:abstractNum>
  <w:abstractNum w:abstractNumId="37" w15:restartNumberingAfterBreak="0">
    <w:nsid w:val="2E2C07FF"/>
    <w:multiLevelType w:val="hybridMultilevel"/>
    <w:tmpl w:val="8BEC67FA"/>
    <w:lvl w:ilvl="0" w:tplc="0C090001">
      <w:start w:val="1"/>
      <w:numFmt w:val="bullet"/>
      <w:lvlText w:val=""/>
      <w:lvlJc w:val="left"/>
      <w:pPr>
        <w:ind w:left="720" w:hanging="360"/>
      </w:pPr>
      <w:rPr>
        <w:rFonts w:ascii="Symbol" w:hAnsi="Symbol" w:hint="default"/>
      </w:rPr>
    </w:lvl>
    <w:lvl w:ilvl="1" w:tplc="46A0F79C">
      <w:numFmt w:val="bullet"/>
      <w:lvlText w:val="-"/>
      <w:lvlJc w:val="left"/>
      <w:pPr>
        <w:ind w:left="1800" w:hanging="72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E3437B5"/>
    <w:multiLevelType w:val="hybridMultilevel"/>
    <w:tmpl w:val="CDAE117A"/>
    <w:lvl w:ilvl="0" w:tplc="FB08E96E">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B80422FC">
      <w:numFmt w:val="bullet"/>
      <w:lvlText w:val="•"/>
      <w:lvlJc w:val="left"/>
      <w:pPr>
        <w:ind w:left="749" w:hanging="252"/>
      </w:pPr>
      <w:rPr>
        <w:rFonts w:hint="default"/>
        <w:lang w:val="en-US" w:eastAsia="en-US" w:bidi="ar-SA"/>
      </w:rPr>
    </w:lvl>
    <w:lvl w:ilvl="2" w:tplc="65A6FDB4">
      <w:numFmt w:val="bullet"/>
      <w:lvlText w:val="•"/>
      <w:lvlJc w:val="left"/>
      <w:pPr>
        <w:ind w:left="1139" w:hanging="252"/>
      </w:pPr>
      <w:rPr>
        <w:rFonts w:hint="default"/>
        <w:lang w:val="en-US" w:eastAsia="en-US" w:bidi="ar-SA"/>
      </w:rPr>
    </w:lvl>
    <w:lvl w:ilvl="3" w:tplc="A45A9748">
      <w:numFmt w:val="bullet"/>
      <w:lvlText w:val="•"/>
      <w:lvlJc w:val="left"/>
      <w:pPr>
        <w:ind w:left="1528" w:hanging="252"/>
      </w:pPr>
      <w:rPr>
        <w:rFonts w:hint="default"/>
        <w:lang w:val="en-US" w:eastAsia="en-US" w:bidi="ar-SA"/>
      </w:rPr>
    </w:lvl>
    <w:lvl w:ilvl="4" w:tplc="2100738E">
      <w:numFmt w:val="bullet"/>
      <w:lvlText w:val="•"/>
      <w:lvlJc w:val="left"/>
      <w:pPr>
        <w:ind w:left="1918" w:hanging="252"/>
      </w:pPr>
      <w:rPr>
        <w:rFonts w:hint="default"/>
        <w:lang w:val="en-US" w:eastAsia="en-US" w:bidi="ar-SA"/>
      </w:rPr>
    </w:lvl>
    <w:lvl w:ilvl="5" w:tplc="842E7FD2">
      <w:numFmt w:val="bullet"/>
      <w:lvlText w:val="•"/>
      <w:lvlJc w:val="left"/>
      <w:pPr>
        <w:ind w:left="2307" w:hanging="252"/>
      </w:pPr>
      <w:rPr>
        <w:rFonts w:hint="default"/>
        <w:lang w:val="en-US" w:eastAsia="en-US" w:bidi="ar-SA"/>
      </w:rPr>
    </w:lvl>
    <w:lvl w:ilvl="6" w:tplc="33B86CFE">
      <w:numFmt w:val="bullet"/>
      <w:lvlText w:val="•"/>
      <w:lvlJc w:val="left"/>
      <w:pPr>
        <w:ind w:left="2697" w:hanging="252"/>
      </w:pPr>
      <w:rPr>
        <w:rFonts w:hint="default"/>
        <w:lang w:val="en-US" w:eastAsia="en-US" w:bidi="ar-SA"/>
      </w:rPr>
    </w:lvl>
    <w:lvl w:ilvl="7" w:tplc="B8A2BFB6">
      <w:numFmt w:val="bullet"/>
      <w:lvlText w:val="•"/>
      <w:lvlJc w:val="left"/>
      <w:pPr>
        <w:ind w:left="3086" w:hanging="252"/>
      </w:pPr>
      <w:rPr>
        <w:rFonts w:hint="default"/>
        <w:lang w:val="en-US" w:eastAsia="en-US" w:bidi="ar-SA"/>
      </w:rPr>
    </w:lvl>
    <w:lvl w:ilvl="8" w:tplc="2FAC6234">
      <w:numFmt w:val="bullet"/>
      <w:lvlText w:val="•"/>
      <w:lvlJc w:val="left"/>
      <w:pPr>
        <w:ind w:left="3476" w:hanging="252"/>
      </w:pPr>
      <w:rPr>
        <w:rFonts w:hint="default"/>
        <w:lang w:val="en-US" w:eastAsia="en-US" w:bidi="ar-SA"/>
      </w:rPr>
    </w:lvl>
  </w:abstractNum>
  <w:abstractNum w:abstractNumId="39" w15:restartNumberingAfterBreak="0">
    <w:nsid w:val="30434751"/>
    <w:multiLevelType w:val="hybridMultilevel"/>
    <w:tmpl w:val="838E886C"/>
    <w:lvl w:ilvl="0" w:tplc="06042924">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BC80EE32">
      <w:numFmt w:val="bullet"/>
      <w:lvlText w:val="•"/>
      <w:lvlJc w:val="left"/>
      <w:pPr>
        <w:ind w:left="749" w:hanging="252"/>
      </w:pPr>
      <w:rPr>
        <w:rFonts w:hint="default"/>
        <w:lang w:val="en-US" w:eastAsia="en-US" w:bidi="ar-SA"/>
      </w:rPr>
    </w:lvl>
    <w:lvl w:ilvl="2" w:tplc="BC94EF1A">
      <w:numFmt w:val="bullet"/>
      <w:lvlText w:val="•"/>
      <w:lvlJc w:val="left"/>
      <w:pPr>
        <w:ind w:left="1139" w:hanging="252"/>
      </w:pPr>
      <w:rPr>
        <w:rFonts w:hint="default"/>
        <w:lang w:val="en-US" w:eastAsia="en-US" w:bidi="ar-SA"/>
      </w:rPr>
    </w:lvl>
    <w:lvl w:ilvl="3" w:tplc="6B365AEE">
      <w:numFmt w:val="bullet"/>
      <w:lvlText w:val="•"/>
      <w:lvlJc w:val="left"/>
      <w:pPr>
        <w:ind w:left="1528" w:hanging="252"/>
      </w:pPr>
      <w:rPr>
        <w:rFonts w:hint="default"/>
        <w:lang w:val="en-US" w:eastAsia="en-US" w:bidi="ar-SA"/>
      </w:rPr>
    </w:lvl>
    <w:lvl w:ilvl="4" w:tplc="B846D868">
      <w:numFmt w:val="bullet"/>
      <w:lvlText w:val="•"/>
      <w:lvlJc w:val="left"/>
      <w:pPr>
        <w:ind w:left="1918" w:hanging="252"/>
      </w:pPr>
      <w:rPr>
        <w:rFonts w:hint="default"/>
        <w:lang w:val="en-US" w:eastAsia="en-US" w:bidi="ar-SA"/>
      </w:rPr>
    </w:lvl>
    <w:lvl w:ilvl="5" w:tplc="C0DA01C8">
      <w:numFmt w:val="bullet"/>
      <w:lvlText w:val="•"/>
      <w:lvlJc w:val="left"/>
      <w:pPr>
        <w:ind w:left="2307" w:hanging="252"/>
      </w:pPr>
      <w:rPr>
        <w:rFonts w:hint="default"/>
        <w:lang w:val="en-US" w:eastAsia="en-US" w:bidi="ar-SA"/>
      </w:rPr>
    </w:lvl>
    <w:lvl w:ilvl="6" w:tplc="A27CF66A">
      <w:numFmt w:val="bullet"/>
      <w:lvlText w:val="•"/>
      <w:lvlJc w:val="left"/>
      <w:pPr>
        <w:ind w:left="2697" w:hanging="252"/>
      </w:pPr>
      <w:rPr>
        <w:rFonts w:hint="default"/>
        <w:lang w:val="en-US" w:eastAsia="en-US" w:bidi="ar-SA"/>
      </w:rPr>
    </w:lvl>
    <w:lvl w:ilvl="7" w:tplc="E8DCC55C">
      <w:numFmt w:val="bullet"/>
      <w:lvlText w:val="•"/>
      <w:lvlJc w:val="left"/>
      <w:pPr>
        <w:ind w:left="3086" w:hanging="252"/>
      </w:pPr>
      <w:rPr>
        <w:rFonts w:hint="default"/>
        <w:lang w:val="en-US" w:eastAsia="en-US" w:bidi="ar-SA"/>
      </w:rPr>
    </w:lvl>
    <w:lvl w:ilvl="8" w:tplc="E6AA8630">
      <w:numFmt w:val="bullet"/>
      <w:lvlText w:val="•"/>
      <w:lvlJc w:val="left"/>
      <w:pPr>
        <w:ind w:left="3476" w:hanging="252"/>
      </w:pPr>
      <w:rPr>
        <w:rFonts w:hint="default"/>
        <w:lang w:val="en-US" w:eastAsia="en-US" w:bidi="ar-SA"/>
      </w:rPr>
    </w:lvl>
  </w:abstractNum>
  <w:abstractNum w:abstractNumId="40" w15:restartNumberingAfterBreak="0">
    <w:nsid w:val="31D879C0"/>
    <w:multiLevelType w:val="hybridMultilevel"/>
    <w:tmpl w:val="1388A2A8"/>
    <w:lvl w:ilvl="0" w:tplc="BA8038C0">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9CF4BCD8">
      <w:numFmt w:val="bullet"/>
      <w:lvlText w:val="•"/>
      <w:lvlJc w:val="left"/>
      <w:pPr>
        <w:ind w:left="749" w:hanging="252"/>
      </w:pPr>
      <w:rPr>
        <w:rFonts w:hint="default"/>
        <w:lang w:val="en-US" w:eastAsia="en-US" w:bidi="ar-SA"/>
      </w:rPr>
    </w:lvl>
    <w:lvl w:ilvl="2" w:tplc="4E7A13B4">
      <w:numFmt w:val="bullet"/>
      <w:lvlText w:val="•"/>
      <w:lvlJc w:val="left"/>
      <w:pPr>
        <w:ind w:left="1139" w:hanging="252"/>
      </w:pPr>
      <w:rPr>
        <w:rFonts w:hint="default"/>
        <w:lang w:val="en-US" w:eastAsia="en-US" w:bidi="ar-SA"/>
      </w:rPr>
    </w:lvl>
    <w:lvl w:ilvl="3" w:tplc="2A9AE04E">
      <w:numFmt w:val="bullet"/>
      <w:lvlText w:val="•"/>
      <w:lvlJc w:val="left"/>
      <w:pPr>
        <w:ind w:left="1528" w:hanging="252"/>
      </w:pPr>
      <w:rPr>
        <w:rFonts w:hint="default"/>
        <w:lang w:val="en-US" w:eastAsia="en-US" w:bidi="ar-SA"/>
      </w:rPr>
    </w:lvl>
    <w:lvl w:ilvl="4" w:tplc="9D288E60">
      <w:numFmt w:val="bullet"/>
      <w:lvlText w:val="•"/>
      <w:lvlJc w:val="left"/>
      <w:pPr>
        <w:ind w:left="1918" w:hanging="252"/>
      </w:pPr>
      <w:rPr>
        <w:rFonts w:hint="default"/>
        <w:lang w:val="en-US" w:eastAsia="en-US" w:bidi="ar-SA"/>
      </w:rPr>
    </w:lvl>
    <w:lvl w:ilvl="5" w:tplc="8528F9AA">
      <w:numFmt w:val="bullet"/>
      <w:lvlText w:val="•"/>
      <w:lvlJc w:val="left"/>
      <w:pPr>
        <w:ind w:left="2307" w:hanging="252"/>
      </w:pPr>
      <w:rPr>
        <w:rFonts w:hint="default"/>
        <w:lang w:val="en-US" w:eastAsia="en-US" w:bidi="ar-SA"/>
      </w:rPr>
    </w:lvl>
    <w:lvl w:ilvl="6" w:tplc="7EDE8262">
      <w:numFmt w:val="bullet"/>
      <w:lvlText w:val="•"/>
      <w:lvlJc w:val="left"/>
      <w:pPr>
        <w:ind w:left="2697" w:hanging="252"/>
      </w:pPr>
      <w:rPr>
        <w:rFonts w:hint="default"/>
        <w:lang w:val="en-US" w:eastAsia="en-US" w:bidi="ar-SA"/>
      </w:rPr>
    </w:lvl>
    <w:lvl w:ilvl="7" w:tplc="84EA7498">
      <w:numFmt w:val="bullet"/>
      <w:lvlText w:val="•"/>
      <w:lvlJc w:val="left"/>
      <w:pPr>
        <w:ind w:left="3086" w:hanging="252"/>
      </w:pPr>
      <w:rPr>
        <w:rFonts w:hint="default"/>
        <w:lang w:val="en-US" w:eastAsia="en-US" w:bidi="ar-SA"/>
      </w:rPr>
    </w:lvl>
    <w:lvl w:ilvl="8" w:tplc="7B7CC3DE">
      <w:numFmt w:val="bullet"/>
      <w:lvlText w:val="•"/>
      <w:lvlJc w:val="left"/>
      <w:pPr>
        <w:ind w:left="3476" w:hanging="252"/>
      </w:pPr>
      <w:rPr>
        <w:rFonts w:hint="default"/>
        <w:lang w:val="en-US" w:eastAsia="en-US" w:bidi="ar-SA"/>
      </w:rPr>
    </w:lvl>
  </w:abstractNum>
  <w:abstractNum w:abstractNumId="41" w15:restartNumberingAfterBreak="0">
    <w:nsid w:val="37F20B66"/>
    <w:multiLevelType w:val="hybridMultilevel"/>
    <w:tmpl w:val="740089F8"/>
    <w:lvl w:ilvl="0" w:tplc="BF304F40">
      <w:start w:val="1"/>
      <w:numFmt w:val="bullet"/>
      <w:lvlText w:val=""/>
      <w:lvlJc w:val="left"/>
      <w:pPr>
        <w:tabs>
          <w:tab w:val="num" w:pos="720"/>
        </w:tabs>
        <w:ind w:left="720" w:hanging="360"/>
      </w:pPr>
      <w:rPr>
        <w:rFonts w:ascii="Symbol" w:hAnsi="Symbol" w:hint="default"/>
      </w:rPr>
    </w:lvl>
    <w:lvl w:ilvl="1" w:tplc="41BAC810" w:tentative="1">
      <w:start w:val="1"/>
      <w:numFmt w:val="bullet"/>
      <w:lvlText w:val="•"/>
      <w:lvlJc w:val="left"/>
      <w:pPr>
        <w:tabs>
          <w:tab w:val="num" w:pos="1440"/>
        </w:tabs>
        <w:ind w:left="1440" w:hanging="360"/>
      </w:pPr>
      <w:rPr>
        <w:rFonts w:ascii="Arial" w:hAnsi="Arial" w:hint="default"/>
      </w:rPr>
    </w:lvl>
    <w:lvl w:ilvl="2" w:tplc="89BEDEE4" w:tentative="1">
      <w:start w:val="1"/>
      <w:numFmt w:val="bullet"/>
      <w:lvlText w:val="•"/>
      <w:lvlJc w:val="left"/>
      <w:pPr>
        <w:tabs>
          <w:tab w:val="num" w:pos="2160"/>
        </w:tabs>
        <w:ind w:left="2160" w:hanging="360"/>
      </w:pPr>
      <w:rPr>
        <w:rFonts w:ascii="Arial" w:hAnsi="Arial" w:hint="default"/>
      </w:rPr>
    </w:lvl>
    <w:lvl w:ilvl="3" w:tplc="7B24B73C" w:tentative="1">
      <w:start w:val="1"/>
      <w:numFmt w:val="bullet"/>
      <w:lvlText w:val="•"/>
      <w:lvlJc w:val="left"/>
      <w:pPr>
        <w:tabs>
          <w:tab w:val="num" w:pos="2880"/>
        </w:tabs>
        <w:ind w:left="2880" w:hanging="360"/>
      </w:pPr>
      <w:rPr>
        <w:rFonts w:ascii="Arial" w:hAnsi="Arial" w:hint="default"/>
      </w:rPr>
    </w:lvl>
    <w:lvl w:ilvl="4" w:tplc="FA0AE7EC" w:tentative="1">
      <w:start w:val="1"/>
      <w:numFmt w:val="bullet"/>
      <w:lvlText w:val="•"/>
      <w:lvlJc w:val="left"/>
      <w:pPr>
        <w:tabs>
          <w:tab w:val="num" w:pos="3600"/>
        </w:tabs>
        <w:ind w:left="3600" w:hanging="360"/>
      </w:pPr>
      <w:rPr>
        <w:rFonts w:ascii="Arial" w:hAnsi="Arial" w:hint="default"/>
      </w:rPr>
    </w:lvl>
    <w:lvl w:ilvl="5" w:tplc="C7CA4E16" w:tentative="1">
      <w:start w:val="1"/>
      <w:numFmt w:val="bullet"/>
      <w:lvlText w:val="•"/>
      <w:lvlJc w:val="left"/>
      <w:pPr>
        <w:tabs>
          <w:tab w:val="num" w:pos="4320"/>
        </w:tabs>
        <w:ind w:left="4320" w:hanging="360"/>
      </w:pPr>
      <w:rPr>
        <w:rFonts w:ascii="Arial" w:hAnsi="Arial" w:hint="default"/>
      </w:rPr>
    </w:lvl>
    <w:lvl w:ilvl="6" w:tplc="22629364" w:tentative="1">
      <w:start w:val="1"/>
      <w:numFmt w:val="bullet"/>
      <w:lvlText w:val="•"/>
      <w:lvlJc w:val="left"/>
      <w:pPr>
        <w:tabs>
          <w:tab w:val="num" w:pos="5040"/>
        </w:tabs>
        <w:ind w:left="5040" w:hanging="360"/>
      </w:pPr>
      <w:rPr>
        <w:rFonts w:ascii="Arial" w:hAnsi="Arial" w:hint="default"/>
      </w:rPr>
    </w:lvl>
    <w:lvl w:ilvl="7" w:tplc="EF042E9C" w:tentative="1">
      <w:start w:val="1"/>
      <w:numFmt w:val="bullet"/>
      <w:lvlText w:val="•"/>
      <w:lvlJc w:val="left"/>
      <w:pPr>
        <w:tabs>
          <w:tab w:val="num" w:pos="5760"/>
        </w:tabs>
        <w:ind w:left="5760" w:hanging="360"/>
      </w:pPr>
      <w:rPr>
        <w:rFonts w:ascii="Arial" w:hAnsi="Arial" w:hint="default"/>
      </w:rPr>
    </w:lvl>
    <w:lvl w:ilvl="8" w:tplc="8ACC3AC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9EB35CB"/>
    <w:multiLevelType w:val="hybridMultilevel"/>
    <w:tmpl w:val="77EABA2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CDD2A57"/>
    <w:multiLevelType w:val="hybridMultilevel"/>
    <w:tmpl w:val="F134E098"/>
    <w:lvl w:ilvl="0" w:tplc="BFAEEBBA">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E07EDA52">
      <w:numFmt w:val="bullet"/>
      <w:lvlText w:val="•"/>
      <w:lvlJc w:val="left"/>
      <w:pPr>
        <w:ind w:left="749" w:hanging="252"/>
      </w:pPr>
      <w:rPr>
        <w:rFonts w:hint="default"/>
        <w:lang w:val="en-US" w:eastAsia="en-US" w:bidi="ar-SA"/>
      </w:rPr>
    </w:lvl>
    <w:lvl w:ilvl="2" w:tplc="29C03910">
      <w:numFmt w:val="bullet"/>
      <w:lvlText w:val="•"/>
      <w:lvlJc w:val="left"/>
      <w:pPr>
        <w:ind w:left="1139" w:hanging="252"/>
      </w:pPr>
      <w:rPr>
        <w:rFonts w:hint="default"/>
        <w:lang w:val="en-US" w:eastAsia="en-US" w:bidi="ar-SA"/>
      </w:rPr>
    </w:lvl>
    <w:lvl w:ilvl="3" w:tplc="704225B8">
      <w:numFmt w:val="bullet"/>
      <w:lvlText w:val="•"/>
      <w:lvlJc w:val="left"/>
      <w:pPr>
        <w:ind w:left="1528" w:hanging="252"/>
      </w:pPr>
      <w:rPr>
        <w:rFonts w:hint="default"/>
        <w:lang w:val="en-US" w:eastAsia="en-US" w:bidi="ar-SA"/>
      </w:rPr>
    </w:lvl>
    <w:lvl w:ilvl="4" w:tplc="855CAFBE">
      <w:numFmt w:val="bullet"/>
      <w:lvlText w:val="•"/>
      <w:lvlJc w:val="left"/>
      <w:pPr>
        <w:ind w:left="1918" w:hanging="252"/>
      </w:pPr>
      <w:rPr>
        <w:rFonts w:hint="default"/>
        <w:lang w:val="en-US" w:eastAsia="en-US" w:bidi="ar-SA"/>
      </w:rPr>
    </w:lvl>
    <w:lvl w:ilvl="5" w:tplc="A6DA7590">
      <w:numFmt w:val="bullet"/>
      <w:lvlText w:val="•"/>
      <w:lvlJc w:val="left"/>
      <w:pPr>
        <w:ind w:left="2307" w:hanging="252"/>
      </w:pPr>
      <w:rPr>
        <w:rFonts w:hint="default"/>
        <w:lang w:val="en-US" w:eastAsia="en-US" w:bidi="ar-SA"/>
      </w:rPr>
    </w:lvl>
    <w:lvl w:ilvl="6" w:tplc="B6C66746">
      <w:numFmt w:val="bullet"/>
      <w:lvlText w:val="•"/>
      <w:lvlJc w:val="left"/>
      <w:pPr>
        <w:ind w:left="2697" w:hanging="252"/>
      </w:pPr>
      <w:rPr>
        <w:rFonts w:hint="default"/>
        <w:lang w:val="en-US" w:eastAsia="en-US" w:bidi="ar-SA"/>
      </w:rPr>
    </w:lvl>
    <w:lvl w:ilvl="7" w:tplc="6E22A7B8">
      <w:numFmt w:val="bullet"/>
      <w:lvlText w:val="•"/>
      <w:lvlJc w:val="left"/>
      <w:pPr>
        <w:ind w:left="3086" w:hanging="252"/>
      </w:pPr>
      <w:rPr>
        <w:rFonts w:hint="default"/>
        <w:lang w:val="en-US" w:eastAsia="en-US" w:bidi="ar-SA"/>
      </w:rPr>
    </w:lvl>
    <w:lvl w:ilvl="8" w:tplc="DAA0B346">
      <w:numFmt w:val="bullet"/>
      <w:lvlText w:val="•"/>
      <w:lvlJc w:val="left"/>
      <w:pPr>
        <w:ind w:left="3476" w:hanging="252"/>
      </w:pPr>
      <w:rPr>
        <w:rFonts w:hint="default"/>
        <w:lang w:val="en-US" w:eastAsia="en-US" w:bidi="ar-SA"/>
      </w:rPr>
    </w:lvl>
  </w:abstractNum>
  <w:abstractNum w:abstractNumId="44" w15:restartNumberingAfterBreak="0">
    <w:nsid w:val="3CE14383"/>
    <w:multiLevelType w:val="hybridMultilevel"/>
    <w:tmpl w:val="96E6A0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15:restartNumberingAfterBreak="0">
    <w:nsid w:val="3E6A395D"/>
    <w:multiLevelType w:val="hybridMultilevel"/>
    <w:tmpl w:val="AEEC2EC0"/>
    <w:lvl w:ilvl="0" w:tplc="C6CCF646">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7396E0B8">
      <w:numFmt w:val="bullet"/>
      <w:lvlText w:val="•"/>
      <w:lvlJc w:val="left"/>
      <w:pPr>
        <w:ind w:left="749" w:hanging="252"/>
      </w:pPr>
      <w:rPr>
        <w:rFonts w:hint="default"/>
        <w:lang w:val="en-US" w:eastAsia="en-US" w:bidi="ar-SA"/>
      </w:rPr>
    </w:lvl>
    <w:lvl w:ilvl="2" w:tplc="9E661CFC">
      <w:numFmt w:val="bullet"/>
      <w:lvlText w:val="•"/>
      <w:lvlJc w:val="left"/>
      <w:pPr>
        <w:ind w:left="1139" w:hanging="252"/>
      </w:pPr>
      <w:rPr>
        <w:rFonts w:hint="default"/>
        <w:lang w:val="en-US" w:eastAsia="en-US" w:bidi="ar-SA"/>
      </w:rPr>
    </w:lvl>
    <w:lvl w:ilvl="3" w:tplc="2EBA1440">
      <w:numFmt w:val="bullet"/>
      <w:lvlText w:val="•"/>
      <w:lvlJc w:val="left"/>
      <w:pPr>
        <w:ind w:left="1528" w:hanging="252"/>
      </w:pPr>
      <w:rPr>
        <w:rFonts w:hint="default"/>
        <w:lang w:val="en-US" w:eastAsia="en-US" w:bidi="ar-SA"/>
      </w:rPr>
    </w:lvl>
    <w:lvl w:ilvl="4" w:tplc="379A6BDA">
      <w:numFmt w:val="bullet"/>
      <w:lvlText w:val="•"/>
      <w:lvlJc w:val="left"/>
      <w:pPr>
        <w:ind w:left="1918" w:hanging="252"/>
      </w:pPr>
      <w:rPr>
        <w:rFonts w:hint="default"/>
        <w:lang w:val="en-US" w:eastAsia="en-US" w:bidi="ar-SA"/>
      </w:rPr>
    </w:lvl>
    <w:lvl w:ilvl="5" w:tplc="17E4EBC4">
      <w:numFmt w:val="bullet"/>
      <w:lvlText w:val="•"/>
      <w:lvlJc w:val="left"/>
      <w:pPr>
        <w:ind w:left="2307" w:hanging="252"/>
      </w:pPr>
      <w:rPr>
        <w:rFonts w:hint="default"/>
        <w:lang w:val="en-US" w:eastAsia="en-US" w:bidi="ar-SA"/>
      </w:rPr>
    </w:lvl>
    <w:lvl w:ilvl="6" w:tplc="583439E8">
      <w:numFmt w:val="bullet"/>
      <w:lvlText w:val="•"/>
      <w:lvlJc w:val="left"/>
      <w:pPr>
        <w:ind w:left="2697" w:hanging="252"/>
      </w:pPr>
      <w:rPr>
        <w:rFonts w:hint="default"/>
        <w:lang w:val="en-US" w:eastAsia="en-US" w:bidi="ar-SA"/>
      </w:rPr>
    </w:lvl>
    <w:lvl w:ilvl="7" w:tplc="0D64215C">
      <w:numFmt w:val="bullet"/>
      <w:lvlText w:val="•"/>
      <w:lvlJc w:val="left"/>
      <w:pPr>
        <w:ind w:left="3086" w:hanging="252"/>
      </w:pPr>
      <w:rPr>
        <w:rFonts w:hint="default"/>
        <w:lang w:val="en-US" w:eastAsia="en-US" w:bidi="ar-SA"/>
      </w:rPr>
    </w:lvl>
    <w:lvl w:ilvl="8" w:tplc="2C528E72">
      <w:numFmt w:val="bullet"/>
      <w:lvlText w:val="•"/>
      <w:lvlJc w:val="left"/>
      <w:pPr>
        <w:ind w:left="3476" w:hanging="252"/>
      </w:pPr>
      <w:rPr>
        <w:rFonts w:hint="default"/>
        <w:lang w:val="en-US" w:eastAsia="en-US" w:bidi="ar-SA"/>
      </w:rPr>
    </w:lvl>
  </w:abstractNum>
  <w:abstractNum w:abstractNumId="46" w15:restartNumberingAfterBreak="0">
    <w:nsid w:val="3F54403F"/>
    <w:multiLevelType w:val="hybridMultilevel"/>
    <w:tmpl w:val="96EC5C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F611DAA"/>
    <w:multiLevelType w:val="hybridMultilevel"/>
    <w:tmpl w:val="6058A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FD179CD"/>
    <w:multiLevelType w:val="hybridMultilevel"/>
    <w:tmpl w:val="DE3C6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0EF4064"/>
    <w:multiLevelType w:val="hybridMultilevel"/>
    <w:tmpl w:val="F60A8380"/>
    <w:lvl w:ilvl="0" w:tplc="2AF68246">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1D3269F2">
      <w:numFmt w:val="bullet"/>
      <w:lvlText w:val="•"/>
      <w:lvlJc w:val="left"/>
      <w:pPr>
        <w:ind w:left="749" w:hanging="252"/>
      </w:pPr>
      <w:rPr>
        <w:rFonts w:hint="default"/>
        <w:lang w:val="en-US" w:eastAsia="en-US" w:bidi="ar-SA"/>
      </w:rPr>
    </w:lvl>
    <w:lvl w:ilvl="2" w:tplc="F05A3E28">
      <w:numFmt w:val="bullet"/>
      <w:lvlText w:val="•"/>
      <w:lvlJc w:val="left"/>
      <w:pPr>
        <w:ind w:left="1139" w:hanging="252"/>
      </w:pPr>
      <w:rPr>
        <w:rFonts w:hint="default"/>
        <w:lang w:val="en-US" w:eastAsia="en-US" w:bidi="ar-SA"/>
      </w:rPr>
    </w:lvl>
    <w:lvl w:ilvl="3" w:tplc="F1E470D0">
      <w:numFmt w:val="bullet"/>
      <w:lvlText w:val="•"/>
      <w:lvlJc w:val="left"/>
      <w:pPr>
        <w:ind w:left="1528" w:hanging="252"/>
      </w:pPr>
      <w:rPr>
        <w:rFonts w:hint="default"/>
        <w:lang w:val="en-US" w:eastAsia="en-US" w:bidi="ar-SA"/>
      </w:rPr>
    </w:lvl>
    <w:lvl w:ilvl="4" w:tplc="47A601F8">
      <w:numFmt w:val="bullet"/>
      <w:lvlText w:val="•"/>
      <w:lvlJc w:val="left"/>
      <w:pPr>
        <w:ind w:left="1918" w:hanging="252"/>
      </w:pPr>
      <w:rPr>
        <w:rFonts w:hint="default"/>
        <w:lang w:val="en-US" w:eastAsia="en-US" w:bidi="ar-SA"/>
      </w:rPr>
    </w:lvl>
    <w:lvl w:ilvl="5" w:tplc="F6EEB0E8">
      <w:numFmt w:val="bullet"/>
      <w:lvlText w:val="•"/>
      <w:lvlJc w:val="left"/>
      <w:pPr>
        <w:ind w:left="2307" w:hanging="252"/>
      </w:pPr>
      <w:rPr>
        <w:rFonts w:hint="default"/>
        <w:lang w:val="en-US" w:eastAsia="en-US" w:bidi="ar-SA"/>
      </w:rPr>
    </w:lvl>
    <w:lvl w:ilvl="6" w:tplc="454E365A">
      <w:numFmt w:val="bullet"/>
      <w:lvlText w:val="•"/>
      <w:lvlJc w:val="left"/>
      <w:pPr>
        <w:ind w:left="2697" w:hanging="252"/>
      </w:pPr>
      <w:rPr>
        <w:rFonts w:hint="default"/>
        <w:lang w:val="en-US" w:eastAsia="en-US" w:bidi="ar-SA"/>
      </w:rPr>
    </w:lvl>
    <w:lvl w:ilvl="7" w:tplc="8F3ECB4A">
      <w:numFmt w:val="bullet"/>
      <w:lvlText w:val="•"/>
      <w:lvlJc w:val="left"/>
      <w:pPr>
        <w:ind w:left="3086" w:hanging="252"/>
      </w:pPr>
      <w:rPr>
        <w:rFonts w:hint="default"/>
        <w:lang w:val="en-US" w:eastAsia="en-US" w:bidi="ar-SA"/>
      </w:rPr>
    </w:lvl>
    <w:lvl w:ilvl="8" w:tplc="6CA8F8DC">
      <w:numFmt w:val="bullet"/>
      <w:lvlText w:val="•"/>
      <w:lvlJc w:val="left"/>
      <w:pPr>
        <w:ind w:left="3476" w:hanging="252"/>
      </w:pPr>
      <w:rPr>
        <w:rFonts w:hint="default"/>
        <w:lang w:val="en-US" w:eastAsia="en-US" w:bidi="ar-SA"/>
      </w:rPr>
    </w:lvl>
  </w:abstractNum>
  <w:abstractNum w:abstractNumId="50" w15:restartNumberingAfterBreak="0">
    <w:nsid w:val="416571E9"/>
    <w:multiLevelType w:val="hybridMultilevel"/>
    <w:tmpl w:val="A65A5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2032E87"/>
    <w:multiLevelType w:val="hybridMultilevel"/>
    <w:tmpl w:val="5778EFDA"/>
    <w:lvl w:ilvl="0" w:tplc="01C65370">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6F520572">
      <w:numFmt w:val="bullet"/>
      <w:lvlText w:val="•"/>
      <w:lvlJc w:val="left"/>
      <w:pPr>
        <w:ind w:left="749" w:hanging="252"/>
      </w:pPr>
      <w:rPr>
        <w:rFonts w:hint="default"/>
        <w:lang w:val="en-US" w:eastAsia="en-US" w:bidi="ar-SA"/>
      </w:rPr>
    </w:lvl>
    <w:lvl w:ilvl="2" w:tplc="2278BBB4">
      <w:numFmt w:val="bullet"/>
      <w:lvlText w:val="•"/>
      <w:lvlJc w:val="left"/>
      <w:pPr>
        <w:ind w:left="1139" w:hanging="252"/>
      </w:pPr>
      <w:rPr>
        <w:rFonts w:hint="default"/>
        <w:lang w:val="en-US" w:eastAsia="en-US" w:bidi="ar-SA"/>
      </w:rPr>
    </w:lvl>
    <w:lvl w:ilvl="3" w:tplc="7A80215E">
      <w:numFmt w:val="bullet"/>
      <w:lvlText w:val="•"/>
      <w:lvlJc w:val="left"/>
      <w:pPr>
        <w:ind w:left="1528" w:hanging="252"/>
      </w:pPr>
      <w:rPr>
        <w:rFonts w:hint="default"/>
        <w:lang w:val="en-US" w:eastAsia="en-US" w:bidi="ar-SA"/>
      </w:rPr>
    </w:lvl>
    <w:lvl w:ilvl="4" w:tplc="6906A6A0">
      <w:numFmt w:val="bullet"/>
      <w:lvlText w:val="•"/>
      <w:lvlJc w:val="left"/>
      <w:pPr>
        <w:ind w:left="1918" w:hanging="252"/>
      </w:pPr>
      <w:rPr>
        <w:rFonts w:hint="default"/>
        <w:lang w:val="en-US" w:eastAsia="en-US" w:bidi="ar-SA"/>
      </w:rPr>
    </w:lvl>
    <w:lvl w:ilvl="5" w:tplc="B4B2B242">
      <w:numFmt w:val="bullet"/>
      <w:lvlText w:val="•"/>
      <w:lvlJc w:val="left"/>
      <w:pPr>
        <w:ind w:left="2307" w:hanging="252"/>
      </w:pPr>
      <w:rPr>
        <w:rFonts w:hint="default"/>
        <w:lang w:val="en-US" w:eastAsia="en-US" w:bidi="ar-SA"/>
      </w:rPr>
    </w:lvl>
    <w:lvl w:ilvl="6" w:tplc="28385D2C">
      <w:numFmt w:val="bullet"/>
      <w:lvlText w:val="•"/>
      <w:lvlJc w:val="left"/>
      <w:pPr>
        <w:ind w:left="2697" w:hanging="252"/>
      </w:pPr>
      <w:rPr>
        <w:rFonts w:hint="default"/>
        <w:lang w:val="en-US" w:eastAsia="en-US" w:bidi="ar-SA"/>
      </w:rPr>
    </w:lvl>
    <w:lvl w:ilvl="7" w:tplc="E28CCFF0">
      <w:numFmt w:val="bullet"/>
      <w:lvlText w:val="•"/>
      <w:lvlJc w:val="left"/>
      <w:pPr>
        <w:ind w:left="3086" w:hanging="252"/>
      </w:pPr>
      <w:rPr>
        <w:rFonts w:hint="default"/>
        <w:lang w:val="en-US" w:eastAsia="en-US" w:bidi="ar-SA"/>
      </w:rPr>
    </w:lvl>
    <w:lvl w:ilvl="8" w:tplc="D206ED86">
      <w:numFmt w:val="bullet"/>
      <w:lvlText w:val="•"/>
      <w:lvlJc w:val="left"/>
      <w:pPr>
        <w:ind w:left="3476" w:hanging="252"/>
      </w:pPr>
      <w:rPr>
        <w:rFonts w:hint="default"/>
        <w:lang w:val="en-US" w:eastAsia="en-US" w:bidi="ar-SA"/>
      </w:rPr>
    </w:lvl>
  </w:abstractNum>
  <w:abstractNum w:abstractNumId="52" w15:restartNumberingAfterBreak="0">
    <w:nsid w:val="447A2D6F"/>
    <w:multiLevelType w:val="hybridMultilevel"/>
    <w:tmpl w:val="4E348BD4"/>
    <w:lvl w:ilvl="0" w:tplc="A72CAE3E">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14C2B88A">
      <w:numFmt w:val="bullet"/>
      <w:lvlText w:val="•"/>
      <w:lvlJc w:val="left"/>
      <w:pPr>
        <w:ind w:left="749" w:hanging="252"/>
      </w:pPr>
      <w:rPr>
        <w:rFonts w:hint="default"/>
        <w:lang w:val="en-US" w:eastAsia="en-US" w:bidi="ar-SA"/>
      </w:rPr>
    </w:lvl>
    <w:lvl w:ilvl="2" w:tplc="2DE03DB0">
      <w:numFmt w:val="bullet"/>
      <w:lvlText w:val="•"/>
      <w:lvlJc w:val="left"/>
      <w:pPr>
        <w:ind w:left="1139" w:hanging="252"/>
      </w:pPr>
      <w:rPr>
        <w:rFonts w:hint="default"/>
        <w:lang w:val="en-US" w:eastAsia="en-US" w:bidi="ar-SA"/>
      </w:rPr>
    </w:lvl>
    <w:lvl w:ilvl="3" w:tplc="F8CAE55A">
      <w:numFmt w:val="bullet"/>
      <w:lvlText w:val="•"/>
      <w:lvlJc w:val="left"/>
      <w:pPr>
        <w:ind w:left="1528" w:hanging="252"/>
      </w:pPr>
      <w:rPr>
        <w:rFonts w:hint="default"/>
        <w:lang w:val="en-US" w:eastAsia="en-US" w:bidi="ar-SA"/>
      </w:rPr>
    </w:lvl>
    <w:lvl w:ilvl="4" w:tplc="3752C9D8">
      <w:numFmt w:val="bullet"/>
      <w:lvlText w:val="•"/>
      <w:lvlJc w:val="left"/>
      <w:pPr>
        <w:ind w:left="1918" w:hanging="252"/>
      </w:pPr>
      <w:rPr>
        <w:rFonts w:hint="default"/>
        <w:lang w:val="en-US" w:eastAsia="en-US" w:bidi="ar-SA"/>
      </w:rPr>
    </w:lvl>
    <w:lvl w:ilvl="5" w:tplc="1D9A0B5C">
      <w:numFmt w:val="bullet"/>
      <w:lvlText w:val="•"/>
      <w:lvlJc w:val="left"/>
      <w:pPr>
        <w:ind w:left="2307" w:hanging="252"/>
      </w:pPr>
      <w:rPr>
        <w:rFonts w:hint="default"/>
        <w:lang w:val="en-US" w:eastAsia="en-US" w:bidi="ar-SA"/>
      </w:rPr>
    </w:lvl>
    <w:lvl w:ilvl="6" w:tplc="30685052">
      <w:numFmt w:val="bullet"/>
      <w:lvlText w:val="•"/>
      <w:lvlJc w:val="left"/>
      <w:pPr>
        <w:ind w:left="2697" w:hanging="252"/>
      </w:pPr>
      <w:rPr>
        <w:rFonts w:hint="default"/>
        <w:lang w:val="en-US" w:eastAsia="en-US" w:bidi="ar-SA"/>
      </w:rPr>
    </w:lvl>
    <w:lvl w:ilvl="7" w:tplc="E048B4B0">
      <w:numFmt w:val="bullet"/>
      <w:lvlText w:val="•"/>
      <w:lvlJc w:val="left"/>
      <w:pPr>
        <w:ind w:left="3086" w:hanging="252"/>
      </w:pPr>
      <w:rPr>
        <w:rFonts w:hint="default"/>
        <w:lang w:val="en-US" w:eastAsia="en-US" w:bidi="ar-SA"/>
      </w:rPr>
    </w:lvl>
    <w:lvl w:ilvl="8" w:tplc="615A2616">
      <w:numFmt w:val="bullet"/>
      <w:lvlText w:val="•"/>
      <w:lvlJc w:val="left"/>
      <w:pPr>
        <w:ind w:left="3476" w:hanging="252"/>
      </w:pPr>
      <w:rPr>
        <w:rFonts w:hint="default"/>
        <w:lang w:val="en-US" w:eastAsia="en-US" w:bidi="ar-SA"/>
      </w:rPr>
    </w:lvl>
  </w:abstractNum>
  <w:abstractNum w:abstractNumId="53" w15:restartNumberingAfterBreak="0">
    <w:nsid w:val="458C5EC8"/>
    <w:multiLevelType w:val="hybridMultilevel"/>
    <w:tmpl w:val="DD1040FC"/>
    <w:lvl w:ilvl="0" w:tplc="7F3A48F4">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3A66D912">
      <w:numFmt w:val="bullet"/>
      <w:lvlText w:val="•"/>
      <w:lvlJc w:val="left"/>
      <w:pPr>
        <w:ind w:left="749" w:hanging="252"/>
      </w:pPr>
      <w:rPr>
        <w:rFonts w:hint="default"/>
        <w:lang w:val="en-US" w:eastAsia="en-US" w:bidi="ar-SA"/>
      </w:rPr>
    </w:lvl>
    <w:lvl w:ilvl="2" w:tplc="408CAAF6">
      <w:numFmt w:val="bullet"/>
      <w:lvlText w:val="•"/>
      <w:lvlJc w:val="left"/>
      <w:pPr>
        <w:ind w:left="1139" w:hanging="252"/>
      </w:pPr>
      <w:rPr>
        <w:rFonts w:hint="default"/>
        <w:lang w:val="en-US" w:eastAsia="en-US" w:bidi="ar-SA"/>
      </w:rPr>
    </w:lvl>
    <w:lvl w:ilvl="3" w:tplc="4AE810B0">
      <w:numFmt w:val="bullet"/>
      <w:lvlText w:val="•"/>
      <w:lvlJc w:val="left"/>
      <w:pPr>
        <w:ind w:left="1528" w:hanging="252"/>
      </w:pPr>
      <w:rPr>
        <w:rFonts w:hint="default"/>
        <w:lang w:val="en-US" w:eastAsia="en-US" w:bidi="ar-SA"/>
      </w:rPr>
    </w:lvl>
    <w:lvl w:ilvl="4" w:tplc="84B20772">
      <w:numFmt w:val="bullet"/>
      <w:lvlText w:val="•"/>
      <w:lvlJc w:val="left"/>
      <w:pPr>
        <w:ind w:left="1918" w:hanging="252"/>
      </w:pPr>
      <w:rPr>
        <w:rFonts w:hint="default"/>
        <w:lang w:val="en-US" w:eastAsia="en-US" w:bidi="ar-SA"/>
      </w:rPr>
    </w:lvl>
    <w:lvl w:ilvl="5" w:tplc="038EDB7A">
      <w:numFmt w:val="bullet"/>
      <w:lvlText w:val="•"/>
      <w:lvlJc w:val="left"/>
      <w:pPr>
        <w:ind w:left="2307" w:hanging="252"/>
      </w:pPr>
      <w:rPr>
        <w:rFonts w:hint="default"/>
        <w:lang w:val="en-US" w:eastAsia="en-US" w:bidi="ar-SA"/>
      </w:rPr>
    </w:lvl>
    <w:lvl w:ilvl="6" w:tplc="6FCC60BC">
      <w:numFmt w:val="bullet"/>
      <w:lvlText w:val="•"/>
      <w:lvlJc w:val="left"/>
      <w:pPr>
        <w:ind w:left="2697" w:hanging="252"/>
      </w:pPr>
      <w:rPr>
        <w:rFonts w:hint="default"/>
        <w:lang w:val="en-US" w:eastAsia="en-US" w:bidi="ar-SA"/>
      </w:rPr>
    </w:lvl>
    <w:lvl w:ilvl="7" w:tplc="7E5029B4">
      <w:numFmt w:val="bullet"/>
      <w:lvlText w:val="•"/>
      <w:lvlJc w:val="left"/>
      <w:pPr>
        <w:ind w:left="3086" w:hanging="252"/>
      </w:pPr>
      <w:rPr>
        <w:rFonts w:hint="default"/>
        <w:lang w:val="en-US" w:eastAsia="en-US" w:bidi="ar-SA"/>
      </w:rPr>
    </w:lvl>
    <w:lvl w:ilvl="8" w:tplc="39EA4214">
      <w:numFmt w:val="bullet"/>
      <w:lvlText w:val="•"/>
      <w:lvlJc w:val="left"/>
      <w:pPr>
        <w:ind w:left="3476" w:hanging="252"/>
      </w:pPr>
      <w:rPr>
        <w:rFonts w:hint="default"/>
        <w:lang w:val="en-US" w:eastAsia="en-US" w:bidi="ar-SA"/>
      </w:rPr>
    </w:lvl>
  </w:abstractNum>
  <w:abstractNum w:abstractNumId="54" w15:restartNumberingAfterBreak="0">
    <w:nsid w:val="45EF20EF"/>
    <w:multiLevelType w:val="hybridMultilevel"/>
    <w:tmpl w:val="F168DE9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62B204D"/>
    <w:multiLevelType w:val="hybridMultilevel"/>
    <w:tmpl w:val="C99CF886"/>
    <w:lvl w:ilvl="0" w:tplc="BF304F4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6B00100"/>
    <w:multiLevelType w:val="hybridMultilevel"/>
    <w:tmpl w:val="10BC5D66"/>
    <w:lvl w:ilvl="0" w:tplc="7B06059A">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60B2E3A0">
      <w:numFmt w:val="bullet"/>
      <w:lvlText w:val="•"/>
      <w:lvlJc w:val="left"/>
      <w:pPr>
        <w:ind w:left="749" w:hanging="252"/>
      </w:pPr>
      <w:rPr>
        <w:rFonts w:hint="default"/>
        <w:lang w:val="en-US" w:eastAsia="en-US" w:bidi="ar-SA"/>
      </w:rPr>
    </w:lvl>
    <w:lvl w:ilvl="2" w:tplc="F3F6EF4E">
      <w:numFmt w:val="bullet"/>
      <w:lvlText w:val="•"/>
      <w:lvlJc w:val="left"/>
      <w:pPr>
        <w:ind w:left="1139" w:hanging="252"/>
      </w:pPr>
      <w:rPr>
        <w:rFonts w:hint="default"/>
        <w:lang w:val="en-US" w:eastAsia="en-US" w:bidi="ar-SA"/>
      </w:rPr>
    </w:lvl>
    <w:lvl w:ilvl="3" w:tplc="1C52E1BC">
      <w:numFmt w:val="bullet"/>
      <w:lvlText w:val="•"/>
      <w:lvlJc w:val="left"/>
      <w:pPr>
        <w:ind w:left="1528" w:hanging="252"/>
      </w:pPr>
      <w:rPr>
        <w:rFonts w:hint="default"/>
        <w:lang w:val="en-US" w:eastAsia="en-US" w:bidi="ar-SA"/>
      </w:rPr>
    </w:lvl>
    <w:lvl w:ilvl="4" w:tplc="7DB059B8">
      <w:numFmt w:val="bullet"/>
      <w:lvlText w:val="•"/>
      <w:lvlJc w:val="left"/>
      <w:pPr>
        <w:ind w:left="1918" w:hanging="252"/>
      </w:pPr>
      <w:rPr>
        <w:rFonts w:hint="default"/>
        <w:lang w:val="en-US" w:eastAsia="en-US" w:bidi="ar-SA"/>
      </w:rPr>
    </w:lvl>
    <w:lvl w:ilvl="5" w:tplc="3D703D06">
      <w:numFmt w:val="bullet"/>
      <w:lvlText w:val="•"/>
      <w:lvlJc w:val="left"/>
      <w:pPr>
        <w:ind w:left="2307" w:hanging="252"/>
      </w:pPr>
      <w:rPr>
        <w:rFonts w:hint="default"/>
        <w:lang w:val="en-US" w:eastAsia="en-US" w:bidi="ar-SA"/>
      </w:rPr>
    </w:lvl>
    <w:lvl w:ilvl="6" w:tplc="5A3AC9FC">
      <w:numFmt w:val="bullet"/>
      <w:lvlText w:val="•"/>
      <w:lvlJc w:val="left"/>
      <w:pPr>
        <w:ind w:left="2697" w:hanging="252"/>
      </w:pPr>
      <w:rPr>
        <w:rFonts w:hint="default"/>
        <w:lang w:val="en-US" w:eastAsia="en-US" w:bidi="ar-SA"/>
      </w:rPr>
    </w:lvl>
    <w:lvl w:ilvl="7" w:tplc="7170330E">
      <w:numFmt w:val="bullet"/>
      <w:lvlText w:val="•"/>
      <w:lvlJc w:val="left"/>
      <w:pPr>
        <w:ind w:left="3086" w:hanging="252"/>
      </w:pPr>
      <w:rPr>
        <w:rFonts w:hint="default"/>
        <w:lang w:val="en-US" w:eastAsia="en-US" w:bidi="ar-SA"/>
      </w:rPr>
    </w:lvl>
    <w:lvl w:ilvl="8" w:tplc="13F876CC">
      <w:numFmt w:val="bullet"/>
      <w:lvlText w:val="•"/>
      <w:lvlJc w:val="left"/>
      <w:pPr>
        <w:ind w:left="3476" w:hanging="252"/>
      </w:pPr>
      <w:rPr>
        <w:rFonts w:hint="default"/>
        <w:lang w:val="en-US" w:eastAsia="en-US" w:bidi="ar-SA"/>
      </w:rPr>
    </w:lvl>
  </w:abstractNum>
  <w:abstractNum w:abstractNumId="57" w15:restartNumberingAfterBreak="0">
    <w:nsid w:val="474B3F53"/>
    <w:multiLevelType w:val="hybridMultilevel"/>
    <w:tmpl w:val="0346D3F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84541A5"/>
    <w:multiLevelType w:val="hybridMultilevel"/>
    <w:tmpl w:val="324E3722"/>
    <w:lvl w:ilvl="0" w:tplc="5DBA2F60">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BC6E5AF8">
      <w:numFmt w:val="bullet"/>
      <w:lvlText w:val="•"/>
      <w:lvlJc w:val="left"/>
      <w:pPr>
        <w:ind w:left="749" w:hanging="252"/>
      </w:pPr>
      <w:rPr>
        <w:rFonts w:hint="default"/>
        <w:lang w:val="en-US" w:eastAsia="en-US" w:bidi="ar-SA"/>
      </w:rPr>
    </w:lvl>
    <w:lvl w:ilvl="2" w:tplc="480699DC">
      <w:numFmt w:val="bullet"/>
      <w:lvlText w:val="•"/>
      <w:lvlJc w:val="left"/>
      <w:pPr>
        <w:ind w:left="1139" w:hanging="252"/>
      </w:pPr>
      <w:rPr>
        <w:rFonts w:hint="default"/>
        <w:lang w:val="en-US" w:eastAsia="en-US" w:bidi="ar-SA"/>
      </w:rPr>
    </w:lvl>
    <w:lvl w:ilvl="3" w:tplc="32A41DD0">
      <w:numFmt w:val="bullet"/>
      <w:lvlText w:val="•"/>
      <w:lvlJc w:val="left"/>
      <w:pPr>
        <w:ind w:left="1528" w:hanging="252"/>
      </w:pPr>
      <w:rPr>
        <w:rFonts w:hint="default"/>
        <w:lang w:val="en-US" w:eastAsia="en-US" w:bidi="ar-SA"/>
      </w:rPr>
    </w:lvl>
    <w:lvl w:ilvl="4" w:tplc="36FEFF74">
      <w:numFmt w:val="bullet"/>
      <w:lvlText w:val="•"/>
      <w:lvlJc w:val="left"/>
      <w:pPr>
        <w:ind w:left="1918" w:hanging="252"/>
      </w:pPr>
      <w:rPr>
        <w:rFonts w:hint="default"/>
        <w:lang w:val="en-US" w:eastAsia="en-US" w:bidi="ar-SA"/>
      </w:rPr>
    </w:lvl>
    <w:lvl w:ilvl="5" w:tplc="A6FA6584">
      <w:numFmt w:val="bullet"/>
      <w:lvlText w:val="•"/>
      <w:lvlJc w:val="left"/>
      <w:pPr>
        <w:ind w:left="2307" w:hanging="252"/>
      </w:pPr>
      <w:rPr>
        <w:rFonts w:hint="default"/>
        <w:lang w:val="en-US" w:eastAsia="en-US" w:bidi="ar-SA"/>
      </w:rPr>
    </w:lvl>
    <w:lvl w:ilvl="6" w:tplc="F16A236A">
      <w:numFmt w:val="bullet"/>
      <w:lvlText w:val="•"/>
      <w:lvlJc w:val="left"/>
      <w:pPr>
        <w:ind w:left="2697" w:hanging="252"/>
      </w:pPr>
      <w:rPr>
        <w:rFonts w:hint="default"/>
        <w:lang w:val="en-US" w:eastAsia="en-US" w:bidi="ar-SA"/>
      </w:rPr>
    </w:lvl>
    <w:lvl w:ilvl="7" w:tplc="0D42E812">
      <w:numFmt w:val="bullet"/>
      <w:lvlText w:val="•"/>
      <w:lvlJc w:val="left"/>
      <w:pPr>
        <w:ind w:left="3086" w:hanging="252"/>
      </w:pPr>
      <w:rPr>
        <w:rFonts w:hint="default"/>
        <w:lang w:val="en-US" w:eastAsia="en-US" w:bidi="ar-SA"/>
      </w:rPr>
    </w:lvl>
    <w:lvl w:ilvl="8" w:tplc="A86E0A22">
      <w:numFmt w:val="bullet"/>
      <w:lvlText w:val="•"/>
      <w:lvlJc w:val="left"/>
      <w:pPr>
        <w:ind w:left="3476" w:hanging="252"/>
      </w:pPr>
      <w:rPr>
        <w:rFonts w:hint="default"/>
        <w:lang w:val="en-US" w:eastAsia="en-US" w:bidi="ar-SA"/>
      </w:rPr>
    </w:lvl>
  </w:abstractNum>
  <w:abstractNum w:abstractNumId="59" w15:restartNumberingAfterBreak="0">
    <w:nsid w:val="4AD468AB"/>
    <w:multiLevelType w:val="hybridMultilevel"/>
    <w:tmpl w:val="6BEE1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B4963A6"/>
    <w:multiLevelType w:val="hybridMultilevel"/>
    <w:tmpl w:val="50E4A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00479D9"/>
    <w:multiLevelType w:val="hybridMultilevel"/>
    <w:tmpl w:val="810E7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0A21051"/>
    <w:multiLevelType w:val="hybridMultilevel"/>
    <w:tmpl w:val="5ACEE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1B12712"/>
    <w:multiLevelType w:val="hybridMultilevel"/>
    <w:tmpl w:val="53485BA0"/>
    <w:lvl w:ilvl="0" w:tplc="6E24F7A6">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67720004">
      <w:numFmt w:val="bullet"/>
      <w:lvlText w:val="•"/>
      <w:lvlJc w:val="left"/>
      <w:pPr>
        <w:ind w:left="749" w:hanging="252"/>
      </w:pPr>
      <w:rPr>
        <w:rFonts w:hint="default"/>
        <w:lang w:val="en-US" w:eastAsia="en-US" w:bidi="ar-SA"/>
      </w:rPr>
    </w:lvl>
    <w:lvl w:ilvl="2" w:tplc="E0665798">
      <w:numFmt w:val="bullet"/>
      <w:lvlText w:val="•"/>
      <w:lvlJc w:val="left"/>
      <w:pPr>
        <w:ind w:left="1139" w:hanging="252"/>
      </w:pPr>
      <w:rPr>
        <w:rFonts w:hint="default"/>
        <w:lang w:val="en-US" w:eastAsia="en-US" w:bidi="ar-SA"/>
      </w:rPr>
    </w:lvl>
    <w:lvl w:ilvl="3" w:tplc="D45A3348">
      <w:numFmt w:val="bullet"/>
      <w:lvlText w:val="•"/>
      <w:lvlJc w:val="left"/>
      <w:pPr>
        <w:ind w:left="1528" w:hanging="252"/>
      </w:pPr>
      <w:rPr>
        <w:rFonts w:hint="default"/>
        <w:lang w:val="en-US" w:eastAsia="en-US" w:bidi="ar-SA"/>
      </w:rPr>
    </w:lvl>
    <w:lvl w:ilvl="4" w:tplc="D514F48E">
      <w:numFmt w:val="bullet"/>
      <w:lvlText w:val="•"/>
      <w:lvlJc w:val="left"/>
      <w:pPr>
        <w:ind w:left="1918" w:hanging="252"/>
      </w:pPr>
      <w:rPr>
        <w:rFonts w:hint="default"/>
        <w:lang w:val="en-US" w:eastAsia="en-US" w:bidi="ar-SA"/>
      </w:rPr>
    </w:lvl>
    <w:lvl w:ilvl="5" w:tplc="899C992E">
      <w:numFmt w:val="bullet"/>
      <w:lvlText w:val="•"/>
      <w:lvlJc w:val="left"/>
      <w:pPr>
        <w:ind w:left="2307" w:hanging="252"/>
      </w:pPr>
      <w:rPr>
        <w:rFonts w:hint="default"/>
        <w:lang w:val="en-US" w:eastAsia="en-US" w:bidi="ar-SA"/>
      </w:rPr>
    </w:lvl>
    <w:lvl w:ilvl="6" w:tplc="12EEA8B2">
      <w:numFmt w:val="bullet"/>
      <w:lvlText w:val="•"/>
      <w:lvlJc w:val="left"/>
      <w:pPr>
        <w:ind w:left="2697" w:hanging="252"/>
      </w:pPr>
      <w:rPr>
        <w:rFonts w:hint="default"/>
        <w:lang w:val="en-US" w:eastAsia="en-US" w:bidi="ar-SA"/>
      </w:rPr>
    </w:lvl>
    <w:lvl w:ilvl="7" w:tplc="2EDAD018">
      <w:numFmt w:val="bullet"/>
      <w:lvlText w:val="•"/>
      <w:lvlJc w:val="left"/>
      <w:pPr>
        <w:ind w:left="3086" w:hanging="252"/>
      </w:pPr>
      <w:rPr>
        <w:rFonts w:hint="default"/>
        <w:lang w:val="en-US" w:eastAsia="en-US" w:bidi="ar-SA"/>
      </w:rPr>
    </w:lvl>
    <w:lvl w:ilvl="8" w:tplc="CB0E7CD0">
      <w:numFmt w:val="bullet"/>
      <w:lvlText w:val="•"/>
      <w:lvlJc w:val="left"/>
      <w:pPr>
        <w:ind w:left="3476" w:hanging="252"/>
      </w:pPr>
      <w:rPr>
        <w:rFonts w:hint="default"/>
        <w:lang w:val="en-US" w:eastAsia="en-US" w:bidi="ar-SA"/>
      </w:rPr>
    </w:lvl>
  </w:abstractNum>
  <w:abstractNum w:abstractNumId="64" w15:restartNumberingAfterBreak="0">
    <w:nsid w:val="52240784"/>
    <w:multiLevelType w:val="hybridMultilevel"/>
    <w:tmpl w:val="F144798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5" w15:restartNumberingAfterBreak="0">
    <w:nsid w:val="54092334"/>
    <w:multiLevelType w:val="hybridMultilevel"/>
    <w:tmpl w:val="089A7B50"/>
    <w:lvl w:ilvl="0" w:tplc="16CAACE0">
      <w:start w:val="1"/>
      <w:numFmt w:val="bullet"/>
      <w:lvlText w:val=""/>
      <w:lvlJc w:val="left"/>
      <w:pPr>
        <w:ind w:left="720" w:hanging="360"/>
      </w:pPr>
      <w:rPr>
        <w:rFonts w:ascii="Symbol" w:hAnsi="Symbol" w:hint="default"/>
      </w:rPr>
    </w:lvl>
    <w:lvl w:ilvl="1" w:tplc="88B28AB4">
      <w:start w:val="1"/>
      <w:numFmt w:val="bullet"/>
      <w:lvlText w:val="o"/>
      <w:lvlJc w:val="left"/>
      <w:pPr>
        <w:ind w:left="1440" w:hanging="360"/>
      </w:pPr>
      <w:rPr>
        <w:rFonts w:ascii="Courier New" w:hAnsi="Courier New" w:hint="default"/>
      </w:rPr>
    </w:lvl>
    <w:lvl w:ilvl="2" w:tplc="B984746C">
      <w:start w:val="1"/>
      <w:numFmt w:val="bullet"/>
      <w:lvlText w:val=""/>
      <w:lvlJc w:val="left"/>
      <w:pPr>
        <w:ind w:left="2160" w:hanging="360"/>
      </w:pPr>
      <w:rPr>
        <w:rFonts w:ascii="Wingdings" w:hAnsi="Wingdings" w:hint="default"/>
      </w:rPr>
    </w:lvl>
    <w:lvl w:ilvl="3" w:tplc="C3FEA4D0">
      <w:start w:val="1"/>
      <w:numFmt w:val="bullet"/>
      <w:lvlText w:val=""/>
      <w:lvlJc w:val="left"/>
      <w:pPr>
        <w:ind w:left="2880" w:hanging="360"/>
      </w:pPr>
      <w:rPr>
        <w:rFonts w:ascii="Symbol" w:hAnsi="Symbol" w:hint="default"/>
      </w:rPr>
    </w:lvl>
    <w:lvl w:ilvl="4" w:tplc="328475DA">
      <w:start w:val="1"/>
      <w:numFmt w:val="bullet"/>
      <w:lvlText w:val="o"/>
      <w:lvlJc w:val="left"/>
      <w:pPr>
        <w:ind w:left="3600" w:hanging="360"/>
      </w:pPr>
      <w:rPr>
        <w:rFonts w:ascii="Courier New" w:hAnsi="Courier New" w:hint="default"/>
      </w:rPr>
    </w:lvl>
    <w:lvl w:ilvl="5" w:tplc="A25E797E">
      <w:start w:val="1"/>
      <w:numFmt w:val="bullet"/>
      <w:lvlText w:val=""/>
      <w:lvlJc w:val="left"/>
      <w:pPr>
        <w:ind w:left="4320" w:hanging="360"/>
      </w:pPr>
      <w:rPr>
        <w:rFonts w:ascii="Wingdings" w:hAnsi="Wingdings" w:hint="default"/>
      </w:rPr>
    </w:lvl>
    <w:lvl w:ilvl="6" w:tplc="74A43486">
      <w:start w:val="1"/>
      <w:numFmt w:val="bullet"/>
      <w:lvlText w:val=""/>
      <w:lvlJc w:val="left"/>
      <w:pPr>
        <w:ind w:left="5040" w:hanging="360"/>
      </w:pPr>
      <w:rPr>
        <w:rFonts w:ascii="Symbol" w:hAnsi="Symbol" w:hint="default"/>
      </w:rPr>
    </w:lvl>
    <w:lvl w:ilvl="7" w:tplc="5CC20B1E">
      <w:start w:val="1"/>
      <w:numFmt w:val="bullet"/>
      <w:lvlText w:val="o"/>
      <w:lvlJc w:val="left"/>
      <w:pPr>
        <w:ind w:left="5760" w:hanging="360"/>
      </w:pPr>
      <w:rPr>
        <w:rFonts w:ascii="Courier New" w:hAnsi="Courier New" w:hint="default"/>
      </w:rPr>
    </w:lvl>
    <w:lvl w:ilvl="8" w:tplc="C2164E3E">
      <w:start w:val="1"/>
      <w:numFmt w:val="bullet"/>
      <w:lvlText w:val=""/>
      <w:lvlJc w:val="left"/>
      <w:pPr>
        <w:ind w:left="6480" w:hanging="360"/>
      </w:pPr>
      <w:rPr>
        <w:rFonts w:ascii="Wingdings" w:hAnsi="Wingdings" w:hint="default"/>
      </w:rPr>
    </w:lvl>
  </w:abstractNum>
  <w:abstractNum w:abstractNumId="66" w15:restartNumberingAfterBreak="0">
    <w:nsid w:val="54200E68"/>
    <w:multiLevelType w:val="hybridMultilevel"/>
    <w:tmpl w:val="AF70E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4D8381E"/>
    <w:multiLevelType w:val="multilevel"/>
    <w:tmpl w:val="6504D3AA"/>
    <w:lvl w:ilvl="0">
      <w:start w:val="1"/>
      <w:numFmt w:val="bullet"/>
      <w:pStyle w:val="PulloutBullet"/>
      <w:lvlText w:val=""/>
      <w:lvlJc w:val="left"/>
      <w:pPr>
        <w:tabs>
          <w:tab w:val="num" w:pos="170"/>
        </w:tabs>
        <w:ind w:left="170" w:hanging="170"/>
      </w:pPr>
      <w:rPr>
        <w:rFonts w:ascii="Symbol" w:hAnsi="Symbol" w:hint="default"/>
        <w:color w:val="F5A800" w:themeColor="accent6"/>
        <w:sz w:val="16"/>
      </w:rPr>
    </w:lvl>
    <w:lvl w:ilvl="1">
      <w:start w:val="1"/>
      <w:numFmt w:val="bullet"/>
      <w:pStyle w:val="PulloutBullet2"/>
      <w:lvlText w:val=""/>
      <w:lvlJc w:val="left"/>
      <w:pPr>
        <w:tabs>
          <w:tab w:val="num" w:pos="340"/>
        </w:tabs>
        <w:ind w:left="340" w:hanging="170"/>
      </w:pPr>
      <w:rPr>
        <w:rFonts w:ascii="Symbol" w:hAnsi="Symbol" w:hint="default"/>
        <w:color w:val="0090BA" w:themeColor="accent1"/>
        <w:sz w:val="14"/>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8" w15:restartNumberingAfterBreak="0">
    <w:nsid w:val="54DD5C81"/>
    <w:multiLevelType w:val="hybridMultilevel"/>
    <w:tmpl w:val="F05A55D8"/>
    <w:lvl w:ilvl="0" w:tplc="97FC4470">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DFF2ECA2">
      <w:numFmt w:val="bullet"/>
      <w:lvlText w:val="•"/>
      <w:lvlJc w:val="left"/>
      <w:pPr>
        <w:ind w:left="749" w:hanging="252"/>
      </w:pPr>
      <w:rPr>
        <w:rFonts w:hint="default"/>
        <w:lang w:val="en-US" w:eastAsia="en-US" w:bidi="ar-SA"/>
      </w:rPr>
    </w:lvl>
    <w:lvl w:ilvl="2" w:tplc="8D42B684">
      <w:numFmt w:val="bullet"/>
      <w:lvlText w:val="•"/>
      <w:lvlJc w:val="left"/>
      <w:pPr>
        <w:ind w:left="1139" w:hanging="252"/>
      </w:pPr>
      <w:rPr>
        <w:rFonts w:hint="default"/>
        <w:lang w:val="en-US" w:eastAsia="en-US" w:bidi="ar-SA"/>
      </w:rPr>
    </w:lvl>
    <w:lvl w:ilvl="3" w:tplc="751ACDBC">
      <w:numFmt w:val="bullet"/>
      <w:lvlText w:val="•"/>
      <w:lvlJc w:val="left"/>
      <w:pPr>
        <w:ind w:left="1528" w:hanging="252"/>
      </w:pPr>
      <w:rPr>
        <w:rFonts w:hint="default"/>
        <w:lang w:val="en-US" w:eastAsia="en-US" w:bidi="ar-SA"/>
      </w:rPr>
    </w:lvl>
    <w:lvl w:ilvl="4" w:tplc="60A05CE4">
      <w:numFmt w:val="bullet"/>
      <w:lvlText w:val="•"/>
      <w:lvlJc w:val="left"/>
      <w:pPr>
        <w:ind w:left="1918" w:hanging="252"/>
      </w:pPr>
      <w:rPr>
        <w:rFonts w:hint="default"/>
        <w:lang w:val="en-US" w:eastAsia="en-US" w:bidi="ar-SA"/>
      </w:rPr>
    </w:lvl>
    <w:lvl w:ilvl="5" w:tplc="E8EEB1F2">
      <w:numFmt w:val="bullet"/>
      <w:lvlText w:val="•"/>
      <w:lvlJc w:val="left"/>
      <w:pPr>
        <w:ind w:left="2307" w:hanging="252"/>
      </w:pPr>
      <w:rPr>
        <w:rFonts w:hint="default"/>
        <w:lang w:val="en-US" w:eastAsia="en-US" w:bidi="ar-SA"/>
      </w:rPr>
    </w:lvl>
    <w:lvl w:ilvl="6" w:tplc="218C6394">
      <w:numFmt w:val="bullet"/>
      <w:lvlText w:val="•"/>
      <w:lvlJc w:val="left"/>
      <w:pPr>
        <w:ind w:left="2697" w:hanging="252"/>
      </w:pPr>
      <w:rPr>
        <w:rFonts w:hint="default"/>
        <w:lang w:val="en-US" w:eastAsia="en-US" w:bidi="ar-SA"/>
      </w:rPr>
    </w:lvl>
    <w:lvl w:ilvl="7" w:tplc="99FE5332">
      <w:numFmt w:val="bullet"/>
      <w:lvlText w:val="•"/>
      <w:lvlJc w:val="left"/>
      <w:pPr>
        <w:ind w:left="3086" w:hanging="252"/>
      </w:pPr>
      <w:rPr>
        <w:rFonts w:hint="default"/>
        <w:lang w:val="en-US" w:eastAsia="en-US" w:bidi="ar-SA"/>
      </w:rPr>
    </w:lvl>
    <w:lvl w:ilvl="8" w:tplc="1E6A0922">
      <w:numFmt w:val="bullet"/>
      <w:lvlText w:val="•"/>
      <w:lvlJc w:val="left"/>
      <w:pPr>
        <w:ind w:left="3476" w:hanging="252"/>
      </w:pPr>
      <w:rPr>
        <w:rFonts w:hint="default"/>
        <w:lang w:val="en-US" w:eastAsia="en-US" w:bidi="ar-SA"/>
      </w:rPr>
    </w:lvl>
  </w:abstractNum>
  <w:abstractNum w:abstractNumId="69" w15:restartNumberingAfterBreak="0">
    <w:nsid w:val="570936BF"/>
    <w:multiLevelType w:val="hybridMultilevel"/>
    <w:tmpl w:val="E5FC8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7186F56"/>
    <w:multiLevelType w:val="hybridMultilevel"/>
    <w:tmpl w:val="F17A8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7C31C90"/>
    <w:multiLevelType w:val="hybridMultilevel"/>
    <w:tmpl w:val="AB54638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8341AC2"/>
    <w:multiLevelType w:val="hybridMultilevel"/>
    <w:tmpl w:val="A82AF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90A01A8"/>
    <w:multiLevelType w:val="hybridMultilevel"/>
    <w:tmpl w:val="F1FE5F20"/>
    <w:lvl w:ilvl="0" w:tplc="B840F028">
      <w:start w:val="1"/>
      <w:numFmt w:val="bullet"/>
      <w:lvlText w:val=""/>
      <w:lvlJc w:val="left"/>
      <w:pPr>
        <w:ind w:left="720" w:hanging="360"/>
      </w:pPr>
      <w:rPr>
        <w:rFonts w:ascii="Symbol" w:hAnsi="Symbol" w:hint="default"/>
      </w:rPr>
    </w:lvl>
    <w:lvl w:ilvl="1" w:tplc="B0A65C88">
      <w:start w:val="1"/>
      <w:numFmt w:val="bullet"/>
      <w:lvlText w:val="o"/>
      <w:lvlJc w:val="left"/>
      <w:pPr>
        <w:ind w:left="1440" w:hanging="360"/>
      </w:pPr>
      <w:rPr>
        <w:rFonts w:ascii="Courier New" w:hAnsi="Courier New" w:hint="default"/>
      </w:rPr>
    </w:lvl>
    <w:lvl w:ilvl="2" w:tplc="2932CA90">
      <w:start w:val="1"/>
      <w:numFmt w:val="bullet"/>
      <w:lvlText w:val=""/>
      <w:lvlJc w:val="left"/>
      <w:pPr>
        <w:ind w:left="2160" w:hanging="360"/>
      </w:pPr>
      <w:rPr>
        <w:rFonts w:ascii="Wingdings" w:hAnsi="Wingdings" w:hint="default"/>
      </w:rPr>
    </w:lvl>
    <w:lvl w:ilvl="3" w:tplc="86BE8758">
      <w:start w:val="1"/>
      <w:numFmt w:val="bullet"/>
      <w:lvlText w:val=""/>
      <w:lvlJc w:val="left"/>
      <w:pPr>
        <w:ind w:left="2880" w:hanging="360"/>
      </w:pPr>
      <w:rPr>
        <w:rFonts w:ascii="Symbol" w:hAnsi="Symbol" w:hint="default"/>
      </w:rPr>
    </w:lvl>
    <w:lvl w:ilvl="4" w:tplc="D71C0C7E">
      <w:start w:val="1"/>
      <w:numFmt w:val="bullet"/>
      <w:lvlText w:val="o"/>
      <w:lvlJc w:val="left"/>
      <w:pPr>
        <w:ind w:left="3600" w:hanging="360"/>
      </w:pPr>
      <w:rPr>
        <w:rFonts w:ascii="Courier New" w:hAnsi="Courier New" w:hint="default"/>
      </w:rPr>
    </w:lvl>
    <w:lvl w:ilvl="5" w:tplc="A7BED226">
      <w:start w:val="1"/>
      <w:numFmt w:val="bullet"/>
      <w:lvlText w:val=""/>
      <w:lvlJc w:val="left"/>
      <w:pPr>
        <w:ind w:left="4320" w:hanging="360"/>
      </w:pPr>
      <w:rPr>
        <w:rFonts w:ascii="Wingdings" w:hAnsi="Wingdings" w:hint="default"/>
      </w:rPr>
    </w:lvl>
    <w:lvl w:ilvl="6" w:tplc="80EA1366">
      <w:start w:val="1"/>
      <w:numFmt w:val="bullet"/>
      <w:lvlText w:val=""/>
      <w:lvlJc w:val="left"/>
      <w:pPr>
        <w:ind w:left="5040" w:hanging="360"/>
      </w:pPr>
      <w:rPr>
        <w:rFonts w:ascii="Symbol" w:hAnsi="Symbol" w:hint="default"/>
      </w:rPr>
    </w:lvl>
    <w:lvl w:ilvl="7" w:tplc="987A2A62">
      <w:start w:val="1"/>
      <w:numFmt w:val="bullet"/>
      <w:lvlText w:val="o"/>
      <w:lvlJc w:val="left"/>
      <w:pPr>
        <w:ind w:left="5760" w:hanging="360"/>
      </w:pPr>
      <w:rPr>
        <w:rFonts w:ascii="Courier New" w:hAnsi="Courier New" w:hint="default"/>
      </w:rPr>
    </w:lvl>
    <w:lvl w:ilvl="8" w:tplc="43F6C2F8">
      <w:start w:val="1"/>
      <w:numFmt w:val="bullet"/>
      <w:lvlText w:val=""/>
      <w:lvlJc w:val="left"/>
      <w:pPr>
        <w:ind w:left="6480" w:hanging="360"/>
      </w:pPr>
      <w:rPr>
        <w:rFonts w:ascii="Wingdings" w:hAnsi="Wingdings" w:hint="default"/>
      </w:rPr>
    </w:lvl>
  </w:abstractNum>
  <w:abstractNum w:abstractNumId="74" w15:restartNumberingAfterBreak="0">
    <w:nsid w:val="5B0E6B65"/>
    <w:multiLevelType w:val="hybridMultilevel"/>
    <w:tmpl w:val="98A81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CE6258F"/>
    <w:multiLevelType w:val="hybridMultilevel"/>
    <w:tmpl w:val="AC304BCA"/>
    <w:lvl w:ilvl="0" w:tplc="0C090001">
      <w:start w:val="1"/>
      <w:numFmt w:val="bullet"/>
      <w:lvlText w:val=""/>
      <w:lvlJc w:val="left"/>
      <w:pPr>
        <w:ind w:left="720" w:hanging="360"/>
      </w:pPr>
      <w:rPr>
        <w:rFonts w:ascii="Symbol" w:hAnsi="Symbol" w:hint="default"/>
      </w:rPr>
    </w:lvl>
    <w:lvl w:ilvl="1" w:tplc="09869B8A">
      <w:numFmt w:val="bullet"/>
      <w:lvlText w:val="•"/>
      <w:lvlJc w:val="left"/>
      <w:pPr>
        <w:ind w:left="1800" w:hanging="720"/>
      </w:pPr>
      <w:rPr>
        <w:rFonts w:ascii="Arial" w:eastAsia="MS Mincho"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DC2BA63"/>
    <w:multiLevelType w:val="hybridMultilevel"/>
    <w:tmpl w:val="E0941B60"/>
    <w:lvl w:ilvl="0" w:tplc="8E328DC2">
      <w:start w:val="1"/>
      <w:numFmt w:val="bullet"/>
      <w:lvlText w:val=""/>
      <w:lvlJc w:val="left"/>
      <w:pPr>
        <w:ind w:left="720" w:hanging="360"/>
      </w:pPr>
      <w:rPr>
        <w:rFonts w:ascii="Symbol" w:hAnsi="Symbol" w:hint="default"/>
      </w:rPr>
    </w:lvl>
    <w:lvl w:ilvl="1" w:tplc="D03E649A">
      <w:start w:val="1"/>
      <w:numFmt w:val="bullet"/>
      <w:lvlText w:val="o"/>
      <w:lvlJc w:val="left"/>
      <w:pPr>
        <w:ind w:left="1440" w:hanging="360"/>
      </w:pPr>
      <w:rPr>
        <w:rFonts w:ascii="Courier New" w:hAnsi="Courier New" w:hint="default"/>
      </w:rPr>
    </w:lvl>
    <w:lvl w:ilvl="2" w:tplc="E5267240">
      <w:start w:val="1"/>
      <w:numFmt w:val="bullet"/>
      <w:lvlText w:val=""/>
      <w:lvlJc w:val="left"/>
      <w:pPr>
        <w:ind w:left="2160" w:hanging="360"/>
      </w:pPr>
      <w:rPr>
        <w:rFonts w:ascii="Wingdings" w:hAnsi="Wingdings" w:hint="default"/>
      </w:rPr>
    </w:lvl>
    <w:lvl w:ilvl="3" w:tplc="9C948150">
      <w:start w:val="1"/>
      <w:numFmt w:val="bullet"/>
      <w:lvlText w:val=""/>
      <w:lvlJc w:val="left"/>
      <w:pPr>
        <w:ind w:left="2880" w:hanging="360"/>
      </w:pPr>
      <w:rPr>
        <w:rFonts w:ascii="Symbol" w:hAnsi="Symbol" w:hint="default"/>
      </w:rPr>
    </w:lvl>
    <w:lvl w:ilvl="4" w:tplc="50902FA8">
      <w:start w:val="1"/>
      <w:numFmt w:val="bullet"/>
      <w:lvlText w:val="o"/>
      <w:lvlJc w:val="left"/>
      <w:pPr>
        <w:ind w:left="3600" w:hanging="360"/>
      </w:pPr>
      <w:rPr>
        <w:rFonts w:ascii="Courier New" w:hAnsi="Courier New" w:hint="default"/>
      </w:rPr>
    </w:lvl>
    <w:lvl w:ilvl="5" w:tplc="A18ABB7C">
      <w:start w:val="1"/>
      <w:numFmt w:val="bullet"/>
      <w:lvlText w:val=""/>
      <w:lvlJc w:val="left"/>
      <w:pPr>
        <w:ind w:left="4320" w:hanging="360"/>
      </w:pPr>
      <w:rPr>
        <w:rFonts w:ascii="Wingdings" w:hAnsi="Wingdings" w:hint="default"/>
      </w:rPr>
    </w:lvl>
    <w:lvl w:ilvl="6" w:tplc="033A42E8">
      <w:start w:val="1"/>
      <w:numFmt w:val="bullet"/>
      <w:lvlText w:val=""/>
      <w:lvlJc w:val="left"/>
      <w:pPr>
        <w:ind w:left="5040" w:hanging="360"/>
      </w:pPr>
      <w:rPr>
        <w:rFonts w:ascii="Symbol" w:hAnsi="Symbol" w:hint="default"/>
      </w:rPr>
    </w:lvl>
    <w:lvl w:ilvl="7" w:tplc="36142FAC">
      <w:start w:val="1"/>
      <w:numFmt w:val="bullet"/>
      <w:lvlText w:val="o"/>
      <w:lvlJc w:val="left"/>
      <w:pPr>
        <w:ind w:left="5760" w:hanging="360"/>
      </w:pPr>
      <w:rPr>
        <w:rFonts w:ascii="Courier New" w:hAnsi="Courier New" w:hint="default"/>
      </w:rPr>
    </w:lvl>
    <w:lvl w:ilvl="8" w:tplc="1DE8D744">
      <w:start w:val="1"/>
      <w:numFmt w:val="bullet"/>
      <w:lvlText w:val=""/>
      <w:lvlJc w:val="left"/>
      <w:pPr>
        <w:ind w:left="6480" w:hanging="360"/>
      </w:pPr>
      <w:rPr>
        <w:rFonts w:ascii="Wingdings" w:hAnsi="Wingdings" w:hint="default"/>
      </w:rPr>
    </w:lvl>
  </w:abstractNum>
  <w:abstractNum w:abstractNumId="77" w15:restartNumberingAfterBreak="0">
    <w:nsid w:val="60B13663"/>
    <w:multiLevelType w:val="hybridMultilevel"/>
    <w:tmpl w:val="E688799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3EE5D91"/>
    <w:multiLevelType w:val="hybridMultilevel"/>
    <w:tmpl w:val="80DAA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5251935"/>
    <w:multiLevelType w:val="hybridMultilevel"/>
    <w:tmpl w:val="93943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7E179C1"/>
    <w:multiLevelType w:val="hybridMultilevel"/>
    <w:tmpl w:val="78302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8F24748"/>
    <w:multiLevelType w:val="hybridMultilevel"/>
    <w:tmpl w:val="FF087570"/>
    <w:lvl w:ilvl="0" w:tplc="0C090001">
      <w:start w:val="1"/>
      <w:numFmt w:val="bullet"/>
      <w:lvlText w:val=""/>
      <w:lvlJc w:val="left"/>
      <w:pPr>
        <w:ind w:left="774" w:hanging="360"/>
      </w:pPr>
      <w:rPr>
        <w:rFonts w:ascii="Symbol" w:hAnsi="Symbol" w:hint="default"/>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82" w15:restartNumberingAfterBreak="0">
    <w:nsid w:val="69901804"/>
    <w:multiLevelType w:val="hybridMultilevel"/>
    <w:tmpl w:val="19702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BE32B13"/>
    <w:multiLevelType w:val="hybridMultilevel"/>
    <w:tmpl w:val="60029C88"/>
    <w:lvl w:ilvl="0" w:tplc="96F00440">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64744F2A">
      <w:numFmt w:val="bullet"/>
      <w:lvlText w:val="•"/>
      <w:lvlJc w:val="left"/>
      <w:pPr>
        <w:ind w:left="749" w:hanging="252"/>
      </w:pPr>
      <w:rPr>
        <w:rFonts w:hint="default"/>
        <w:lang w:val="en-US" w:eastAsia="en-US" w:bidi="ar-SA"/>
      </w:rPr>
    </w:lvl>
    <w:lvl w:ilvl="2" w:tplc="805A5E2E">
      <w:numFmt w:val="bullet"/>
      <w:lvlText w:val="•"/>
      <w:lvlJc w:val="left"/>
      <w:pPr>
        <w:ind w:left="1139" w:hanging="252"/>
      </w:pPr>
      <w:rPr>
        <w:rFonts w:hint="default"/>
        <w:lang w:val="en-US" w:eastAsia="en-US" w:bidi="ar-SA"/>
      </w:rPr>
    </w:lvl>
    <w:lvl w:ilvl="3" w:tplc="7AC42910">
      <w:numFmt w:val="bullet"/>
      <w:lvlText w:val="•"/>
      <w:lvlJc w:val="left"/>
      <w:pPr>
        <w:ind w:left="1528" w:hanging="252"/>
      </w:pPr>
      <w:rPr>
        <w:rFonts w:hint="default"/>
        <w:lang w:val="en-US" w:eastAsia="en-US" w:bidi="ar-SA"/>
      </w:rPr>
    </w:lvl>
    <w:lvl w:ilvl="4" w:tplc="99DE640C">
      <w:numFmt w:val="bullet"/>
      <w:lvlText w:val="•"/>
      <w:lvlJc w:val="left"/>
      <w:pPr>
        <w:ind w:left="1918" w:hanging="252"/>
      </w:pPr>
      <w:rPr>
        <w:rFonts w:hint="default"/>
        <w:lang w:val="en-US" w:eastAsia="en-US" w:bidi="ar-SA"/>
      </w:rPr>
    </w:lvl>
    <w:lvl w:ilvl="5" w:tplc="B74ED044">
      <w:numFmt w:val="bullet"/>
      <w:lvlText w:val="•"/>
      <w:lvlJc w:val="left"/>
      <w:pPr>
        <w:ind w:left="2307" w:hanging="252"/>
      </w:pPr>
      <w:rPr>
        <w:rFonts w:hint="default"/>
        <w:lang w:val="en-US" w:eastAsia="en-US" w:bidi="ar-SA"/>
      </w:rPr>
    </w:lvl>
    <w:lvl w:ilvl="6" w:tplc="8168E45C">
      <w:numFmt w:val="bullet"/>
      <w:lvlText w:val="•"/>
      <w:lvlJc w:val="left"/>
      <w:pPr>
        <w:ind w:left="2697" w:hanging="252"/>
      </w:pPr>
      <w:rPr>
        <w:rFonts w:hint="default"/>
        <w:lang w:val="en-US" w:eastAsia="en-US" w:bidi="ar-SA"/>
      </w:rPr>
    </w:lvl>
    <w:lvl w:ilvl="7" w:tplc="34B8CD78">
      <w:numFmt w:val="bullet"/>
      <w:lvlText w:val="•"/>
      <w:lvlJc w:val="left"/>
      <w:pPr>
        <w:ind w:left="3086" w:hanging="252"/>
      </w:pPr>
      <w:rPr>
        <w:rFonts w:hint="default"/>
        <w:lang w:val="en-US" w:eastAsia="en-US" w:bidi="ar-SA"/>
      </w:rPr>
    </w:lvl>
    <w:lvl w:ilvl="8" w:tplc="1606376E">
      <w:numFmt w:val="bullet"/>
      <w:lvlText w:val="•"/>
      <w:lvlJc w:val="left"/>
      <w:pPr>
        <w:ind w:left="3476" w:hanging="252"/>
      </w:pPr>
      <w:rPr>
        <w:rFonts w:hint="default"/>
        <w:lang w:val="en-US" w:eastAsia="en-US" w:bidi="ar-SA"/>
      </w:rPr>
    </w:lvl>
  </w:abstractNum>
  <w:abstractNum w:abstractNumId="84" w15:restartNumberingAfterBreak="0">
    <w:nsid w:val="6C0E35BB"/>
    <w:multiLevelType w:val="hybridMultilevel"/>
    <w:tmpl w:val="0ABAC628"/>
    <w:lvl w:ilvl="0" w:tplc="6B5040C6">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3F2C0132">
      <w:numFmt w:val="bullet"/>
      <w:lvlText w:val="•"/>
      <w:lvlJc w:val="left"/>
      <w:pPr>
        <w:ind w:left="749" w:hanging="252"/>
      </w:pPr>
      <w:rPr>
        <w:rFonts w:hint="default"/>
        <w:lang w:val="en-US" w:eastAsia="en-US" w:bidi="ar-SA"/>
      </w:rPr>
    </w:lvl>
    <w:lvl w:ilvl="2" w:tplc="2BFA87D4">
      <w:numFmt w:val="bullet"/>
      <w:lvlText w:val="•"/>
      <w:lvlJc w:val="left"/>
      <w:pPr>
        <w:ind w:left="1139" w:hanging="252"/>
      </w:pPr>
      <w:rPr>
        <w:rFonts w:hint="default"/>
        <w:lang w:val="en-US" w:eastAsia="en-US" w:bidi="ar-SA"/>
      </w:rPr>
    </w:lvl>
    <w:lvl w:ilvl="3" w:tplc="6CB281F6">
      <w:numFmt w:val="bullet"/>
      <w:lvlText w:val="•"/>
      <w:lvlJc w:val="left"/>
      <w:pPr>
        <w:ind w:left="1528" w:hanging="252"/>
      </w:pPr>
      <w:rPr>
        <w:rFonts w:hint="default"/>
        <w:lang w:val="en-US" w:eastAsia="en-US" w:bidi="ar-SA"/>
      </w:rPr>
    </w:lvl>
    <w:lvl w:ilvl="4" w:tplc="59FEBA2C">
      <w:numFmt w:val="bullet"/>
      <w:lvlText w:val="•"/>
      <w:lvlJc w:val="left"/>
      <w:pPr>
        <w:ind w:left="1918" w:hanging="252"/>
      </w:pPr>
      <w:rPr>
        <w:rFonts w:hint="default"/>
        <w:lang w:val="en-US" w:eastAsia="en-US" w:bidi="ar-SA"/>
      </w:rPr>
    </w:lvl>
    <w:lvl w:ilvl="5" w:tplc="B866D404">
      <w:numFmt w:val="bullet"/>
      <w:lvlText w:val="•"/>
      <w:lvlJc w:val="left"/>
      <w:pPr>
        <w:ind w:left="2307" w:hanging="252"/>
      </w:pPr>
      <w:rPr>
        <w:rFonts w:hint="default"/>
        <w:lang w:val="en-US" w:eastAsia="en-US" w:bidi="ar-SA"/>
      </w:rPr>
    </w:lvl>
    <w:lvl w:ilvl="6" w:tplc="2C029CD0">
      <w:numFmt w:val="bullet"/>
      <w:lvlText w:val="•"/>
      <w:lvlJc w:val="left"/>
      <w:pPr>
        <w:ind w:left="2697" w:hanging="252"/>
      </w:pPr>
      <w:rPr>
        <w:rFonts w:hint="default"/>
        <w:lang w:val="en-US" w:eastAsia="en-US" w:bidi="ar-SA"/>
      </w:rPr>
    </w:lvl>
    <w:lvl w:ilvl="7" w:tplc="58065CC8">
      <w:numFmt w:val="bullet"/>
      <w:lvlText w:val="•"/>
      <w:lvlJc w:val="left"/>
      <w:pPr>
        <w:ind w:left="3086" w:hanging="252"/>
      </w:pPr>
      <w:rPr>
        <w:rFonts w:hint="default"/>
        <w:lang w:val="en-US" w:eastAsia="en-US" w:bidi="ar-SA"/>
      </w:rPr>
    </w:lvl>
    <w:lvl w:ilvl="8" w:tplc="BDECC008">
      <w:numFmt w:val="bullet"/>
      <w:lvlText w:val="•"/>
      <w:lvlJc w:val="left"/>
      <w:pPr>
        <w:ind w:left="3476" w:hanging="252"/>
      </w:pPr>
      <w:rPr>
        <w:rFonts w:hint="default"/>
        <w:lang w:val="en-US" w:eastAsia="en-US" w:bidi="ar-SA"/>
      </w:rPr>
    </w:lvl>
  </w:abstractNum>
  <w:abstractNum w:abstractNumId="85" w15:restartNumberingAfterBreak="0">
    <w:nsid w:val="6EA92148"/>
    <w:multiLevelType w:val="hybridMultilevel"/>
    <w:tmpl w:val="F99A2022"/>
    <w:lvl w:ilvl="0" w:tplc="2FDECCE4">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C48CE232">
      <w:numFmt w:val="bullet"/>
      <w:lvlText w:val="•"/>
      <w:lvlJc w:val="left"/>
      <w:pPr>
        <w:ind w:left="749" w:hanging="252"/>
      </w:pPr>
      <w:rPr>
        <w:rFonts w:hint="default"/>
        <w:lang w:val="en-US" w:eastAsia="en-US" w:bidi="ar-SA"/>
      </w:rPr>
    </w:lvl>
    <w:lvl w:ilvl="2" w:tplc="5BECD094">
      <w:numFmt w:val="bullet"/>
      <w:lvlText w:val="•"/>
      <w:lvlJc w:val="left"/>
      <w:pPr>
        <w:ind w:left="1139" w:hanging="252"/>
      </w:pPr>
      <w:rPr>
        <w:rFonts w:hint="default"/>
        <w:lang w:val="en-US" w:eastAsia="en-US" w:bidi="ar-SA"/>
      </w:rPr>
    </w:lvl>
    <w:lvl w:ilvl="3" w:tplc="34146374">
      <w:numFmt w:val="bullet"/>
      <w:lvlText w:val="•"/>
      <w:lvlJc w:val="left"/>
      <w:pPr>
        <w:ind w:left="1528" w:hanging="252"/>
      </w:pPr>
      <w:rPr>
        <w:rFonts w:hint="default"/>
        <w:lang w:val="en-US" w:eastAsia="en-US" w:bidi="ar-SA"/>
      </w:rPr>
    </w:lvl>
    <w:lvl w:ilvl="4" w:tplc="E4D434AE">
      <w:numFmt w:val="bullet"/>
      <w:lvlText w:val="•"/>
      <w:lvlJc w:val="left"/>
      <w:pPr>
        <w:ind w:left="1918" w:hanging="252"/>
      </w:pPr>
      <w:rPr>
        <w:rFonts w:hint="default"/>
        <w:lang w:val="en-US" w:eastAsia="en-US" w:bidi="ar-SA"/>
      </w:rPr>
    </w:lvl>
    <w:lvl w:ilvl="5" w:tplc="743A5DEE">
      <w:numFmt w:val="bullet"/>
      <w:lvlText w:val="•"/>
      <w:lvlJc w:val="left"/>
      <w:pPr>
        <w:ind w:left="2307" w:hanging="252"/>
      </w:pPr>
      <w:rPr>
        <w:rFonts w:hint="default"/>
        <w:lang w:val="en-US" w:eastAsia="en-US" w:bidi="ar-SA"/>
      </w:rPr>
    </w:lvl>
    <w:lvl w:ilvl="6" w:tplc="C79A0F4E">
      <w:numFmt w:val="bullet"/>
      <w:lvlText w:val="•"/>
      <w:lvlJc w:val="left"/>
      <w:pPr>
        <w:ind w:left="2697" w:hanging="252"/>
      </w:pPr>
      <w:rPr>
        <w:rFonts w:hint="default"/>
        <w:lang w:val="en-US" w:eastAsia="en-US" w:bidi="ar-SA"/>
      </w:rPr>
    </w:lvl>
    <w:lvl w:ilvl="7" w:tplc="8C1CA3F4">
      <w:numFmt w:val="bullet"/>
      <w:lvlText w:val="•"/>
      <w:lvlJc w:val="left"/>
      <w:pPr>
        <w:ind w:left="3086" w:hanging="252"/>
      </w:pPr>
      <w:rPr>
        <w:rFonts w:hint="default"/>
        <w:lang w:val="en-US" w:eastAsia="en-US" w:bidi="ar-SA"/>
      </w:rPr>
    </w:lvl>
    <w:lvl w:ilvl="8" w:tplc="2FFA009A">
      <w:numFmt w:val="bullet"/>
      <w:lvlText w:val="•"/>
      <w:lvlJc w:val="left"/>
      <w:pPr>
        <w:ind w:left="3476" w:hanging="252"/>
      </w:pPr>
      <w:rPr>
        <w:rFonts w:hint="default"/>
        <w:lang w:val="en-US" w:eastAsia="en-US" w:bidi="ar-SA"/>
      </w:rPr>
    </w:lvl>
  </w:abstractNum>
  <w:abstractNum w:abstractNumId="86" w15:restartNumberingAfterBreak="0">
    <w:nsid w:val="6F6831D2"/>
    <w:multiLevelType w:val="hybridMultilevel"/>
    <w:tmpl w:val="FAAC2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1D8454F"/>
    <w:multiLevelType w:val="hybridMultilevel"/>
    <w:tmpl w:val="6B7CF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8CB5299"/>
    <w:multiLevelType w:val="multilevel"/>
    <w:tmpl w:val="A1CC97BA"/>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89" w15:restartNumberingAfterBreak="0">
    <w:nsid w:val="79174538"/>
    <w:multiLevelType w:val="hybridMultilevel"/>
    <w:tmpl w:val="786A0E0E"/>
    <w:lvl w:ilvl="0" w:tplc="782800E2">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5EAC8A9A">
      <w:numFmt w:val="bullet"/>
      <w:lvlText w:val="•"/>
      <w:lvlJc w:val="left"/>
      <w:pPr>
        <w:ind w:left="749" w:hanging="252"/>
      </w:pPr>
      <w:rPr>
        <w:rFonts w:hint="default"/>
        <w:lang w:val="en-US" w:eastAsia="en-US" w:bidi="ar-SA"/>
      </w:rPr>
    </w:lvl>
    <w:lvl w:ilvl="2" w:tplc="BF525690">
      <w:numFmt w:val="bullet"/>
      <w:lvlText w:val="•"/>
      <w:lvlJc w:val="left"/>
      <w:pPr>
        <w:ind w:left="1139" w:hanging="252"/>
      </w:pPr>
      <w:rPr>
        <w:rFonts w:hint="default"/>
        <w:lang w:val="en-US" w:eastAsia="en-US" w:bidi="ar-SA"/>
      </w:rPr>
    </w:lvl>
    <w:lvl w:ilvl="3" w:tplc="3D4AD2F0">
      <w:numFmt w:val="bullet"/>
      <w:lvlText w:val="•"/>
      <w:lvlJc w:val="left"/>
      <w:pPr>
        <w:ind w:left="1528" w:hanging="252"/>
      </w:pPr>
      <w:rPr>
        <w:rFonts w:hint="default"/>
        <w:lang w:val="en-US" w:eastAsia="en-US" w:bidi="ar-SA"/>
      </w:rPr>
    </w:lvl>
    <w:lvl w:ilvl="4" w:tplc="C2E20C66">
      <w:numFmt w:val="bullet"/>
      <w:lvlText w:val="•"/>
      <w:lvlJc w:val="left"/>
      <w:pPr>
        <w:ind w:left="1918" w:hanging="252"/>
      </w:pPr>
      <w:rPr>
        <w:rFonts w:hint="default"/>
        <w:lang w:val="en-US" w:eastAsia="en-US" w:bidi="ar-SA"/>
      </w:rPr>
    </w:lvl>
    <w:lvl w:ilvl="5" w:tplc="1804B6D6">
      <w:numFmt w:val="bullet"/>
      <w:lvlText w:val="•"/>
      <w:lvlJc w:val="left"/>
      <w:pPr>
        <w:ind w:left="2307" w:hanging="252"/>
      </w:pPr>
      <w:rPr>
        <w:rFonts w:hint="default"/>
        <w:lang w:val="en-US" w:eastAsia="en-US" w:bidi="ar-SA"/>
      </w:rPr>
    </w:lvl>
    <w:lvl w:ilvl="6" w:tplc="DC6A6BEE">
      <w:numFmt w:val="bullet"/>
      <w:lvlText w:val="•"/>
      <w:lvlJc w:val="left"/>
      <w:pPr>
        <w:ind w:left="2697" w:hanging="252"/>
      </w:pPr>
      <w:rPr>
        <w:rFonts w:hint="default"/>
        <w:lang w:val="en-US" w:eastAsia="en-US" w:bidi="ar-SA"/>
      </w:rPr>
    </w:lvl>
    <w:lvl w:ilvl="7" w:tplc="148A3E58">
      <w:numFmt w:val="bullet"/>
      <w:lvlText w:val="•"/>
      <w:lvlJc w:val="left"/>
      <w:pPr>
        <w:ind w:left="3086" w:hanging="252"/>
      </w:pPr>
      <w:rPr>
        <w:rFonts w:hint="default"/>
        <w:lang w:val="en-US" w:eastAsia="en-US" w:bidi="ar-SA"/>
      </w:rPr>
    </w:lvl>
    <w:lvl w:ilvl="8" w:tplc="0FB2987A">
      <w:numFmt w:val="bullet"/>
      <w:lvlText w:val="•"/>
      <w:lvlJc w:val="left"/>
      <w:pPr>
        <w:ind w:left="3476" w:hanging="252"/>
      </w:pPr>
      <w:rPr>
        <w:rFonts w:hint="default"/>
        <w:lang w:val="en-US" w:eastAsia="en-US" w:bidi="ar-SA"/>
      </w:rPr>
    </w:lvl>
  </w:abstractNum>
  <w:abstractNum w:abstractNumId="90" w15:restartNumberingAfterBreak="0">
    <w:nsid w:val="7A0865FF"/>
    <w:multiLevelType w:val="hybridMultilevel"/>
    <w:tmpl w:val="247CFDBC"/>
    <w:lvl w:ilvl="0" w:tplc="BF304F4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CF3B8EA"/>
    <w:multiLevelType w:val="hybridMultilevel"/>
    <w:tmpl w:val="B83C8E9E"/>
    <w:lvl w:ilvl="0" w:tplc="DBE44028">
      <w:start w:val="1"/>
      <w:numFmt w:val="bullet"/>
      <w:lvlText w:val=""/>
      <w:lvlJc w:val="left"/>
      <w:pPr>
        <w:ind w:left="720" w:hanging="360"/>
      </w:pPr>
      <w:rPr>
        <w:rFonts w:ascii="Symbol" w:hAnsi="Symbol" w:hint="default"/>
      </w:rPr>
    </w:lvl>
    <w:lvl w:ilvl="1" w:tplc="D460E6E2">
      <w:start w:val="1"/>
      <w:numFmt w:val="bullet"/>
      <w:lvlText w:val="o"/>
      <w:lvlJc w:val="left"/>
      <w:pPr>
        <w:ind w:left="1440" w:hanging="360"/>
      </w:pPr>
      <w:rPr>
        <w:rFonts w:ascii="Courier New" w:hAnsi="Courier New" w:hint="default"/>
      </w:rPr>
    </w:lvl>
    <w:lvl w:ilvl="2" w:tplc="F8B4C43E">
      <w:start w:val="1"/>
      <w:numFmt w:val="bullet"/>
      <w:lvlText w:val=""/>
      <w:lvlJc w:val="left"/>
      <w:pPr>
        <w:ind w:left="2160" w:hanging="360"/>
      </w:pPr>
      <w:rPr>
        <w:rFonts w:ascii="Wingdings" w:hAnsi="Wingdings" w:hint="default"/>
      </w:rPr>
    </w:lvl>
    <w:lvl w:ilvl="3" w:tplc="2E585060">
      <w:start w:val="1"/>
      <w:numFmt w:val="bullet"/>
      <w:lvlText w:val=""/>
      <w:lvlJc w:val="left"/>
      <w:pPr>
        <w:ind w:left="2880" w:hanging="360"/>
      </w:pPr>
      <w:rPr>
        <w:rFonts w:ascii="Symbol" w:hAnsi="Symbol" w:hint="default"/>
      </w:rPr>
    </w:lvl>
    <w:lvl w:ilvl="4" w:tplc="C9E6FC30">
      <w:start w:val="1"/>
      <w:numFmt w:val="bullet"/>
      <w:lvlText w:val="o"/>
      <w:lvlJc w:val="left"/>
      <w:pPr>
        <w:ind w:left="3600" w:hanging="360"/>
      </w:pPr>
      <w:rPr>
        <w:rFonts w:ascii="Courier New" w:hAnsi="Courier New" w:hint="default"/>
      </w:rPr>
    </w:lvl>
    <w:lvl w:ilvl="5" w:tplc="5C36E514">
      <w:start w:val="1"/>
      <w:numFmt w:val="bullet"/>
      <w:lvlText w:val=""/>
      <w:lvlJc w:val="left"/>
      <w:pPr>
        <w:ind w:left="4320" w:hanging="360"/>
      </w:pPr>
      <w:rPr>
        <w:rFonts w:ascii="Wingdings" w:hAnsi="Wingdings" w:hint="default"/>
      </w:rPr>
    </w:lvl>
    <w:lvl w:ilvl="6" w:tplc="C67293D8">
      <w:start w:val="1"/>
      <w:numFmt w:val="bullet"/>
      <w:lvlText w:val=""/>
      <w:lvlJc w:val="left"/>
      <w:pPr>
        <w:ind w:left="5040" w:hanging="360"/>
      </w:pPr>
      <w:rPr>
        <w:rFonts w:ascii="Symbol" w:hAnsi="Symbol" w:hint="default"/>
      </w:rPr>
    </w:lvl>
    <w:lvl w:ilvl="7" w:tplc="41D85D9E">
      <w:start w:val="1"/>
      <w:numFmt w:val="bullet"/>
      <w:lvlText w:val="o"/>
      <w:lvlJc w:val="left"/>
      <w:pPr>
        <w:ind w:left="5760" w:hanging="360"/>
      </w:pPr>
      <w:rPr>
        <w:rFonts w:ascii="Courier New" w:hAnsi="Courier New" w:hint="default"/>
      </w:rPr>
    </w:lvl>
    <w:lvl w:ilvl="8" w:tplc="CCA67D6E">
      <w:start w:val="1"/>
      <w:numFmt w:val="bullet"/>
      <w:lvlText w:val=""/>
      <w:lvlJc w:val="left"/>
      <w:pPr>
        <w:ind w:left="6480" w:hanging="360"/>
      </w:pPr>
      <w:rPr>
        <w:rFonts w:ascii="Wingdings" w:hAnsi="Wingdings" w:hint="default"/>
      </w:rPr>
    </w:lvl>
  </w:abstractNum>
  <w:abstractNum w:abstractNumId="92" w15:restartNumberingAfterBreak="0">
    <w:nsid w:val="7D0F1BB2"/>
    <w:multiLevelType w:val="hybridMultilevel"/>
    <w:tmpl w:val="FFFFFFFF"/>
    <w:lvl w:ilvl="0" w:tplc="0C3E2190">
      <w:start w:val="1"/>
      <w:numFmt w:val="bullet"/>
      <w:lvlText w:val=""/>
      <w:lvlJc w:val="left"/>
      <w:pPr>
        <w:ind w:left="720" w:hanging="360"/>
      </w:pPr>
      <w:rPr>
        <w:rFonts w:ascii="Symbol" w:hAnsi="Symbol" w:hint="default"/>
      </w:rPr>
    </w:lvl>
    <w:lvl w:ilvl="1" w:tplc="0A166B76">
      <w:start w:val="1"/>
      <w:numFmt w:val="bullet"/>
      <w:lvlText w:val="o"/>
      <w:lvlJc w:val="left"/>
      <w:pPr>
        <w:ind w:left="1440" w:hanging="360"/>
      </w:pPr>
      <w:rPr>
        <w:rFonts w:ascii="Courier New" w:hAnsi="Courier New" w:hint="default"/>
      </w:rPr>
    </w:lvl>
    <w:lvl w:ilvl="2" w:tplc="0FCA236A">
      <w:start w:val="1"/>
      <w:numFmt w:val="bullet"/>
      <w:lvlText w:val=""/>
      <w:lvlJc w:val="left"/>
      <w:pPr>
        <w:ind w:left="2160" w:hanging="360"/>
      </w:pPr>
      <w:rPr>
        <w:rFonts w:ascii="Wingdings" w:hAnsi="Wingdings" w:hint="default"/>
      </w:rPr>
    </w:lvl>
    <w:lvl w:ilvl="3" w:tplc="1D4A0F4C">
      <w:start w:val="1"/>
      <w:numFmt w:val="bullet"/>
      <w:lvlText w:val=""/>
      <w:lvlJc w:val="left"/>
      <w:pPr>
        <w:ind w:left="2880" w:hanging="360"/>
      </w:pPr>
      <w:rPr>
        <w:rFonts w:ascii="Symbol" w:hAnsi="Symbol" w:hint="default"/>
      </w:rPr>
    </w:lvl>
    <w:lvl w:ilvl="4" w:tplc="5000686E">
      <w:start w:val="1"/>
      <w:numFmt w:val="bullet"/>
      <w:lvlText w:val="o"/>
      <w:lvlJc w:val="left"/>
      <w:pPr>
        <w:ind w:left="3600" w:hanging="360"/>
      </w:pPr>
      <w:rPr>
        <w:rFonts w:ascii="Courier New" w:hAnsi="Courier New" w:hint="default"/>
      </w:rPr>
    </w:lvl>
    <w:lvl w:ilvl="5" w:tplc="B1220310">
      <w:start w:val="1"/>
      <w:numFmt w:val="bullet"/>
      <w:lvlText w:val=""/>
      <w:lvlJc w:val="left"/>
      <w:pPr>
        <w:ind w:left="4320" w:hanging="360"/>
      </w:pPr>
      <w:rPr>
        <w:rFonts w:ascii="Wingdings" w:hAnsi="Wingdings" w:hint="default"/>
      </w:rPr>
    </w:lvl>
    <w:lvl w:ilvl="6" w:tplc="CEFE95AE">
      <w:start w:val="1"/>
      <w:numFmt w:val="bullet"/>
      <w:lvlText w:val=""/>
      <w:lvlJc w:val="left"/>
      <w:pPr>
        <w:ind w:left="5040" w:hanging="360"/>
      </w:pPr>
      <w:rPr>
        <w:rFonts w:ascii="Symbol" w:hAnsi="Symbol" w:hint="default"/>
      </w:rPr>
    </w:lvl>
    <w:lvl w:ilvl="7" w:tplc="B978A7B8">
      <w:start w:val="1"/>
      <w:numFmt w:val="bullet"/>
      <w:lvlText w:val="o"/>
      <w:lvlJc w:val="left"/>
      <w:pPr>
        <w:ind w:left="5760" w:hanging="360"/>
      </w:pPr>
      <w:rPr>
        <w:rFonts w:ascii="Courier New" w:hAnsi="Courier New" w:hint="default"/>
      </w:rPr>
    </w:lvl>
    <w:lvl w:ilvl="8" w:tplc="DCB23BE2">
      <w:start w:val="1"/>
      <w:numFmt w:val="bullet"/>
      <w:lvlText w:val=""/>
      <w:lvlJc w:val="left"/>
      <w:pPr>
        <w:ind w:left="6480" w:hanging="360"/>
      </w:pPr>
      <w:rPr>
        <w:rFonts w:ascii="Wingdings" w:hAnsi="Wingdings" w:hint="default"/>
      </w:rPr>
    </w:lvl>
  </w:abstractNum>
  <w:abstractNum w:abstractNumId="93" w15:restartNumberingAfterBreak="0">
    <w:nsid w:val="7D5319D4"/>
    <w:multiLevelType w:val="hybridMultilevel"/>
    <w:tmpl w:val="07B87840"/>
    <w:lvl w:ilvl="0" w:tplc="D4BA68DA">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E614428E">
      <w:numFmt w:val="bullet"/>
      <w:lvlText w:val="•"/>
      <w:lvlJc w:val="left"/>
      <w:pPr>
        <w:ind w:left="749" w:hanging="252"/>
      </w:pPr>
      <w:rPr>
        <w:rFonts w:hint="default"/>
        <w:lang w:val="en-US" w:eastAsia="en-US" w:bidi="ar-SA"/>
      </w:rPr>
    </w:lvl>
    <w:lvl w:ilvl="2" w:tplc="C506EA42">
      <w:numFmt w:val="bullet"/>
      <w:lvlText w:val="•"/>
      <w:lvlJc w:val="left"/>
      <w:pPr>
        <w:ind w:left="1139" w:hanging="252"/>
      </w:pPr>
      <w:rPr>
        <w:rFonts w:hint="default"/>
        <w:lang w:val="en-US" w:eastAsia="en-US" w:bidi="ar-SA"/>
      </w:rPr>
    </w:lvl>
    <w:lvl w:ilvl="3" w:tplc="97DA0D9E">
      <w:numFmt w:val="bullet"/>
      <w:lvlText w:val="•"/>
      <w:lvlJc w:val="left"/>
      <w:pPr>
        <w:ind w:left="1528" w:hanging="252"/>
      </w:pPr>
      <w:rPr>
        <w:rFonts w:hint="default"/>
        <w:lang w:val="en-US" w:eastAsia="en-US" w:bidi="ar-SA"/>
      </w:rPr>
    </w:lvl>
    <w:lvl w:ilvl="4" w:tplc="C9C2972E">
      <w:numFmt w:val="bullet"/>
      <w:lvlText w:val="•"/>
      <w:lvlJc w:val="left"/>
      <w:pPr>
        <w:ind w:left="1918" w:hanging="252"/>
      </w:pPr>
      <w:rPr>
        <w:rFonts w:hint="default"/>
        <w:lang w:val="en-US" w:eastAsia="en-US" w:bidi="ar-SA"/>
      </w:rPr>
    </w:lvl>
    <w:lvl w:ilvl="5" w:tplc="4D5C486C">
      <w:numFmt w:val="bullet"/>
      <w:lvlText w:val="•"/>
      <w:lvlJc w:val="left"/>
      <w:pPr>
        <w:ind w:left="2307" w:hanging="252"/>
      </w:pPr>
      <w:rPr>
        <w:rFonts w:hint="default"/>
        <w:lang w:val="en-US" w:eastAsia="en-US" w:bidi="ar-SA"/>
      </w:rPr>
    </w:lvl>
    <w:lvl w:ilvl="6" w:tplc="D536FACE">
      <w:numFmt w:val="bullet"/>
      <w:lvlText w:val="•"/>
      <w:lvlJc w:val="left"/>
      <w:pPr>
        <w:ind w:left="2697" w:hanging="252"/>
      </w:pPr>
      <w:rPr>
        <w:rFonts w:hint="default"/>
        <w:lang w:val="en-US" w:eastAsia="en-US" w:bidi="ar-SA"/>
      </w:rPr>
    </w:lvl>
    <w:lvl w:ilvl="7" w:tplc="3CCE17A0">
      <w:numFmt w:val="bullet"/>
      <w:lvlText w:val="•"/>
      <w:lvlJc w:val="left"/>
      <w:pPr>
        <w:ind w:left="3086" w:hanging="252"/>
      </w:pPr>
      <w:rPr>
        <w:rFonts w:hint="default"/>
        <w:lang w:val="en-US" w:eastAsia="en-US" w:bidi="ar-SA"/>
      </w:rPr>
    </w:lvl>
    <w:lvl w:ilvl="8" w:tplc="926847BC">
      <w:numFmt w:val="bullet"/>
      <w:lvlText w:val="•"/>
      <w:lvlJc w:val="left"/>
      <w:pPr>
        <w:ind w:left="3476" w:hanging="252"/>
      </w:pPr>
      <w:rPr>
        <w:rFonts w:hint="default"/>
        <w:lang w:val="en-US" w:eastAsia="en-US" w:bidi="ar-SA"/>
      </w:rPr>
    </w:lvl>
  </w:abstractNum>
  <w:abstractNum w:abstractNumId="94" w15:restartNumberingAfterBreak="0">
    <w:nsid w:val="7E706925"/>
    <w:multiLevelType w:val="multilevel"/>
    <w:tmpl w:val="F50EAC84"/>
    <w:lvl w:ilvl="0">
      <w:start w:val="1"/>
      <w:numFmt w:val="bullet"/>
      <w:pStyle w:val="EstimatesBullet1"/>
      <w:lvlText w:val=""/>
      <w:lvlJc w:val="left"/>
      <w:pPr>
        <w:tabs>
          <w:tab w:val="num" w:pos="284"/>
        </w:tabs>
        <w:ind w:left="284" w:hanging="284"/>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7F5E010F"/>
    <w:multiLevelType w:val="hybridMultilevel"/>
    <w:tmpl w:val="751C1ACA"/>
    <w:lvl w:ilvl="0" w:tplc="289AFFA4">
      <w:numFmt w:val="bullet"/>
      <w:lvlText w:val=""/>
      <w:lvlJc w:val="left"/>
      <w:pPr>
        <w:ind w:left="355" w:hanging="252"/>
      </w:pPr>
      <w:rPr>
        <w:rFonts w:ascii="Symbol" w:eastAsia="Symbol" w:hAnsi="Symbol" w:cs="Symbol" w:hint="default"/>
        <w:b w:val="0"/>
        <w:bCs w:val="0"/>
        <w:i w:val="0"/>
        <w:iCs w:val="0"/>
        <w:spacing w:val="0"/>
        <w:w w:val="100"/>
        <w:sz w:val="16"/>
        <w:szCs w:val="16"/>
        <w:lang w:val="en-US" w:eastAsia="en-US" w:bidi="ar-SA"/>
      </w:rPr>
    </w:lvl>
    <w:lvl w:ilvl="1" w:tplc="E7D800B8">
      <w:numFmt w:val="bullet"/>
      <w:lvlText w:val="•"/>
      <w:lvlJc w:val="left"/>
      <w:pPr>
        <w:ind w:left="749" w:hanging="252"/>
      </w:pPr>
      <w:rPr>
        <w:rFonts w:hint="default"/>
        <w:lang w:val="en-US" w:eastAsia="en-US" w:bidi="ar-SA"/>
      </w:rPr>
    </w:lvl>
    <w:lvl w:ilvl="2" w:tplc="03BEE1E2">
      <w:numFmt w:val="bullet"/>
      <w:lvlText w:val="•"/>
      <w:lvlJc w:val="left"/>
      <w:pPr>
        <w:ind w:left="1139" w:hanging="252"/>
      </w:pPr>
      <w:rPr>
        <w:rFonts w:hint="default"/>
        <w:lang w:val="en-US" w:eastAsia="en-US" w:bidi="ar-SA"/>
      </w:rPr>
    </w:lvl>
    <w:lvl w:ilvl="3" w:tplc="293EA6FE">
      <w:numFmt w:val="bullet"/>
      <w:lvlText w:val="•"/>
      <w:lvlJc w:val="left"/>
      <w:pPr>
        <w:ind w:left="1528" w:hanging="252"/>
      </w:pPr>
      <w:rPr>
        <w:rFonts w:hint="default"/>
        <w:lang w:val="en-US" w:eastAsia="en-US" w:bidi="ar-SA"/>
      </w:rPr>
    </w:lvl>
    <w:lvl w:ilvl="4" w:tplc="F09C1DDC">
      <w:numFmt w:val="bullet"/>
      <w:lvlText w:val="•"/>
      <w:lvlJc w:val="left"/>
      <w:pPr>
        <w:ind w:left="1918" w:hanging="252"/>
      </w:pPr>
      <w:rPr>
        <w:rFonts w:hint="default"/>
        <w:lang w:val="en-US" w:eastAsia="en-US" w:bidi="ar-SA"/>
      </w:rPr>
    </w:lvl>
    <w:lvl w:ilvl="5" w:tplc="C4AEE7A4">
      <w:numFmt w:val="bullet"/>
      <w:lvlText w:val="•"/>
      <w:lvlJc w:val="left"/>
      <w:pPr>
        <w:ind w:left="2307" w:hanging="252"/>
      </w:pPr>
      <w:rPr>
        <w:rFonts w:hint="default"/>
        <w:lang w:val="en-US" w:eastAsia="en-US" w:bidi="ar-SA"/>
      </w:rPr>
    </w:lvl>
    <w:lvl w:ilvl="6" w:tplc="22789CB6">
      <w:numFmt w:val="bullet"/>
      <w:lvlText w:val="•"/>
      <w:lvlJc w:val="left"/>
      <w:pPr>
        <w:ind w:left="2697" w:hanging="252"/>
      </w:pPr>
      <w:rPr>
        <w:rFonts w:hint="default"/>
        <w:lang w:val="en-US" w:eastAsia="en-US" w:bidi="ar-SA"/>
      </w:rPr>
    </w:lvl>
    <w:lvl w:ilvl="7" w:tplc="66FC2CB6">
      <w:numFmt w:val="bullet"/>
      <w:lvlText w:val="•"/>
      <w:lvlJc w:val="left"/>
      <w:pPr>
        <w:ind w:left="3086" w:hanging="252"/>
      </w:pPr>
      <w:rPr>
        <w:rFonts w:hint="default"/>
        <w:lang w:val="en-US" w:eastAsia="en-US" w:bidi="ar-SA"/>
      </w:rPr>
    </w:lvl>
    <w:lvl w:ilvl="8" w:tplc="8BFCDC18">
      <w:numFmt w:val="bullet"/>
      <w:lvlText w:val="•"/>
      <w:lvlJc w:val="left"/>
      <w:pPr>
        <w:ind w:left="3476" w:hanging="252"/>
      </w:pPr>
      <w:rPr>
        <w:rFonts w:hint="default"/>
        <w:lang w:val="en-US" w:eastAsia="en-US" w:bidi="ar-SA"/>
      </w:rPr>
    </w:lvl>
  </w:abstractNum>
  <w:abstractNum w:abstractNumId="96" w15:restartNumberingAfterBreak="0">
    <w:nsid w:val="7FF41700"/>
    <w:multiLevelType w:val="hybridMultilevel"/>
    <w:tmpl w:val="4202B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08520141">
    <w:abstractNumId w:val="73"/>
  </w:num>
  <w:num w:numId="2" w16cid:durableId="1744137808">
    <w:abstractNumId w:val="67"/>
  </w:num>
  <w:num w:numId="3" w16cid:durableId="1806073169">
    <w:abstractNumId w:val="48"/>
  </w:num>
  <w:num w:numId="4" w16cid:durableId="1044325998">
    <w:abstractNumId w:val="2"/>
  </w:num>
  <w:num w:numId="5" w16cid:durableId="1842426085">
    <w:abstractNumId w:val="59"/>
  </w:num>
  <w:num w:numId="6" w16cid:durableId="208886642">
    <w:abstractNumId w:val="94"/>
  </w:num>
  <w:num w:numId="7" w16cid:durableId="1153837402">
    <w:abstractNumId w:val="79"/>
  </w:num>
  <w:num w:numId="8" w16cid:durableId="338317667">
    <w:abstractNumId w:val="70"/>
  </w:num>
  <w:num w:numId="9" w16cid:durableId="1131260">
    <w:abstractNumId w:val="75"/>
  </w:num>
  <w:num w:numId="10" w16cid:durableId="312950645">
    <w:abstractNumId w:val="80"/>
  </w:num>
  <w:num w:numId="11" w16cid:durableId="2085490599">
    <w:abstractNumId w:val="54"/>
  </w:num>
  <w:num w:numId="12" w16cid:durableId="2089421077">
    <w:abstractNumId w:val="14"/>
  </w:num>
  <w:num w:numId="13" w16cid:durableId="283973936">
    <w:abstractNumId w:val="17"/>
  </w:num>
  <w:num w:numId="14" w16cid:durableId="395395500">
    <w:abstractNumId w:val="3"/>
  </w:num>
  <w:num w:numId="15" w16cid:durableId="1155562430">
    <w:abstractNumId w:val="0"/>
  </w:num>
  <w:num w:numId="16" w16cid:durableId="1978754764">
    <w:abstractNumId w:val="87"/>
  </w:num>
  <w:num w:numId="17" w16cid:durableId="1126656686">
    <w:abstractNumId w:val="82"/>
  </w:num>
  <w:num w:numId="18" w16cid:durableId="2034915857">
    <w:abstractNumId w:val="7"/>
  </w:num>
  <w:num w:numId="19" w16cid:durableId="2107537041">
    <w:abstractNumId w:val="72"/>
  </w:num>
  <w:num w:numId="20" w16cid:durableId="1155342976">
    <w:abstractNumId w:val="60"/>
  </w:num>
  <w:num w:numId="21" w16cid:durableId="357047179">
    <w:abstractNumId w:val="41"/>
  </w:num>
  <w:num w:numId="22" w16cid:durableId="300036660">
    <w:abstractNumId w:val="37"/>
  </w:num>
  <w:num w:numId="23" w16cid:durableId="1291743235">
    <w:abstractNumId w:val="90"/>
  </w:num>
  <w:num w:numId="24" w16cid:durableId="413475643">
    <w:abstractNumId w:val="55"/>
  </w:num>
  <w:num w:numId="25" w16cid:durableId="1812596861">
    <w:abstractNumId w:val="78"/>
  </w:num>
  <w:num w:numId="26" w16cid:durableId="2080445630">
    <w:abstractNumId w:val="76"/>
  </w:num>
  <w:num w:numId="27" w16cid:durableId="914361501">
    <w:abstractNumId w:val="25"/>
  </w:num>
  <w:num w:numId="28" w16cid:durableId="34618808">
    <w:abstractNumId w:val="13"/>
  </w:num>
  <w:num w:numId="29" w16cid:durableId="1856338008">
    <w:abstractNumId w:val="91"/>
  </w:num>
  <w:num w:numId="30" w16cid:durableId="1722751644">
    <w:abstractNumId w:val="5"/>
  </w:num>
  <w:num w:numId="31" w16cid:durableId="1270814785">
    <w:abstractNumId w:val="92"/>
  </w:num>
  <w:num w:numId="32" w16cid:durableId="1028288987">
    <w:abstractNumId w:val="47"/>
  </w:num>
  <w:num w:numId="33" w16cid:durableId="376321067">
    <w:abstractNumId w:val="12"/>
  </w:num>
  <w:num w:numId="34" w16cid:durableId="1896038400">
    <w:abstractNumId w:val="10"/>
  </w:num>
  <w:num w:numId="35" w16cid:durableId="1548375773">
    <w:abstractNumId w:val="20"/>
  </w:num>
  <w:num w:numId="36" w16cid:durableId="447815916">
    <w:abstractNumId w:val="31"/>
  </w:num>
  <w:num w:numId="37" w16cid:durableId="1230731091">
    <w:abstractNumId w:val="96"/>
  </w:num>
  <w:num w:numId="38" w16cid:durableId="1743411437">
    <w:abstractNumId w:val="50"/>
  </w:num>
  <w:num w:numId="39" w16cid:durableId="1133331615">
    <w:abstractNumId w:val="32"/>
  </w:num>
  <w:num w:numId="40" w16cid:durableId="875233471">
    <w:abstractNumId w:val="74"/>
  </w:num>
  <w:num w:numId="41" w16cid:durableId="898125287">
    <w:abstractNumId w:val="62"/>
  </w:num>
  <w:num w:numId="42" w16cid:durableId="1483037237">
    <w:abstractNumId w:val="65"/>
  </w:num>
  <w:num w:numId="43" w16cid:durableId="1830445115">
    <w:abstractNumId w:val="6"/>
  </w:num>
  <w:num w:numId="44" w16cid:durableId="1860848179">
    <w:abstractNumId w:val="64"/>
  </w:num>
  <w:num w:numId="45" w16cid:durableId="158346808">
    <w:abstractNumId w:val="69"/>
  </w:num>
  <w:num w:numId="46" w16cid:durableId="1444418796">
    <w:abstractNumId w:val="61"/>
  </w:num>
  <w:num w:numId="47" w16cid:durableId="388965030">
    <w:abstractNumId w:val="86"/>
  </w:num>
  <w:num w:numId="48" w16cid:durableId="1656959295">
    <w:abstractNumId w:val="15"/>
  </w:num>
  <w:num w:numId="49" w16cid:durableId="1652976303">
    <w:abstractNumId w:val="19"/>
  </w:num>
  <w:num w:numId="50" w16cid:durableId="1934774525">
    <w:abstractNumId w:val="88"/>
  </w:num>
  <w:num w:numId="51" w16cid:durableId="1688216495">
    <w:abstractNumId w:val="42"/>
  </w:num>
  <w:num w:numId="52" w16cid:durableId="989137979">
    <w:abstractNumId w:val="77"/>
  </w:num>
  <w:num w:numId="53" w16cid:durableId="1223558193">
    <w:abstractNumId w:val="81"/>
  </w:num>
  <w:num w:numId="54" w16cid:durableId="1720130603">
    <w:abstractNumId w:val="46"/>
  </w:num>
  <w:num w:numId="55" w16cid:durableId="1104308616">
    <w:abstractNumId w:val="26"/>
  </w:num>
  <w:num w:numId="56" w16cid:durableId="922223306">
    <w:abstractNumId w:val="33"/>
  </w:num>
  <w:num w:numId="57" w16cid:durableId="2130932035">
    <w:abstractNumId w:val="71"/>
  </w:num>
  <w:num w:numId="58" w16cid:durableId="1016006043">
    <w:abstractNumId w:val="27"/>
  </w:num>
  <w:num w:numId="59" w16cid:durableId="179927753">
    <w:abstractNumId w:val="11"/>
  </w:num>
  <w:num w:numId="60" w16cid:durableId="194001874">
    <w:abstractNumId w:val="30"/>
  </w:num>
  <w:num w:numId="61" w16cid:durableId="658003646">
    <w:abstractNumId w:val="57"/>
  </w:num>
  <w:num w:numId="62" w16cid:durableId="1292907091">
    <w:abstractNumId w:val="22"/>
  </w:num>
  <w:num w:numId="63" w16cid:durableId="1050225415">
    <w:abstractNumId w:val="49"/>
  </w:num>
  <w:num w:numId="64" w16cid:durableId="1430662707">
    <w:abstractNumId w:val="34"/>
  </w:num>
  <w:num w:numId="65" w16cid:durableId="1140149134">
    <w:abstractNumId w:val="28"/>
  </w:num>
  <w:num w:numId="66" w16cid:durableId="1243030034">
    <w:abstractNumId w:val="68"/>
  </w:num>
  <w:num w:numId="67" w16cid:durableId="807473405">
    <w:abstractNumId w:val="8"/>
  </w:num>
  <w:num w:numId="68" w16cid:durableId="22363011">
    <w:abstractNumId w:val="24"/>
  </w:num>
  <w:num w:numId="69" w16cid:durableId="566038023">
    <w:abstractNumId w:val="85"/>
  </w:num>
  <w:num w:numId="70" w16cid:durableId="236088929">
    <w:abstractNumId w:val="83"/>
  </w:num>
  <w:num w:numId="71" w16cid:durableId="1084186627">
    <w:abstractNumId w:val="9"/>
  </w:num>
  <w:num w:numId="72" w16cid:durableId="518129095">
    <w:abstractNumId w:val="58"/>
  </w:num>
  <w:num w:numId="73" w16cid:durableId="1714498494">
    <w:abstractNumId w:val="21"/>
  </w:num>
  <w:num w:numId="74" w16cid:durableId="324817439">
    <w:abstractNumId w:val="56"/>
  </w:num>
  <w:num w:numId="75" w16cid:durableId="2074429695">
    <w:abstractNumId w:val="89"/>
  </w:num>
  <w:num w:numId="76" w16cid:durableId="132797867">
    <w:abstractNumId w:val="1"/>
  </w:num>
  <w:num w:numId="77" w16cid:durableId="2103212491">
    <w:abstractNumId w:val="29"/>
  </w:num>
  <w:num w:numId="78" w16cid:durableId="1799256786">
    <w:abstractNumId w:val="18"/>
  </w:num>
  <w:num w:numId="79" w16cid:durableId="916599034">
    <w:abstractNumId w:val="51"/>
  </w:num>
  <w:num w:numId="80" w16cid:durableId="69545943">
    <w:abstractNumId w:val="39"/>
  </w:num>
  <w:num w:numId="81" w16cid:durableId="1540362460">
    <w:abstractNumId w:val="16"/>
  </w:num>
  <w:num w:numId="82" w16cid:durableId="1008286877">
    <w:abstractNumId w:val="43"/>
  </w:num>
  <w:num w:numId="83" w16cid:durableId="383598594">
    <w:abstractNumId w:val="93"/>
  </w:num>
  <w:num w:numId="84" w16cid:durableId="394164090">
    <w:abstractNumId w:val="35"/>
  </w:num>
  <w:num w:numId="85" w16cid:durableId="1991472901">
    <w:abstractNumId w:val="45"/>
  </w:num>
  <w:num w:numId="86" w16cid:durableId="665787443">
    <w:abstractNumId w:val="84"/>
  </w:num>
  <w:num w:numId="87" w16cid:durableId="199128447">
    <w:abstractNumId w:val="63"/>
  </w:num>
  <w:num w:numId="88" w16cid:durableId="1968925168">
    <w:abstractNumId w:val="95"/>
  </w:num>
  <w:num w:numId="89" w16cid:durableId="886063899">
    <w:abstractNumId w:val="52"/>
  </w:num>
  <w:num w:numId="90" w16cid:durableId="132255407">
    <w:abstractNumId w:val="53"/>
  </w:num>
  <w:num w:numId="91" w16cid:durableId="1939100090">
    <w:abstractNumId w:val="38"/>
  </w:num>
  <w:num w:numId="92" w16cid:durableId="366177636">
    <w:abstractNumId w:val="40"/>
  </w:num>
  <w:num w:numId="93" w16cid:durableId="2103254348">
    <w:abstractNumId w:val="23"/>
  </w:num>
  <w:num w:numId="94" w16cid:durableId="1262952444">
    <w:abstractNumId w:val="36"/>
  </w:num>
  <w:num w:numId="95" w16cid:durableId="1608197949">
    <w:abstractNumId w:val="4"/>
  </w:num>
  <w:num w:numId="96" w16cid:durableId="403341165">
    <w:abstractNumId w:val="44"/>
  </w:num>
  <w:num w:numId="97" w16cid:durableId="1520848936">
    <w:abstractNumId w:val="6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474"/>
    <w:rsid w:val="00000007"/>
    <w:rsid w:val="000001C1"/>
    <w:rsid w:val="000001D6"/>
    <w:rsid w:val="000001DE"/>
    <w:rsid w:val="000001EA"/>
    <w:rsid w:val="000001F2"/>
    <w:rsid w:val="00000204"/>
    <w:rsid w:val="00000286"/>
    <w:rsid w:val="0000028D"/>
    <w:rsid w:val="000002EE"/>
    <w:rsid w:val="000002F2"/>
    <w:rsid w:val="00000301"/>
    <w:rsid w:val="00000331"/>
    <w:rsid w:val="000003A1"/>
    <w:rsid w:val="000003CF"/>
    <w:rsid w:val="000003E3"/>
    <w:rsid w:val="000003ED"/>
    <w:rsid w:val="00000403"/>
    <w:rsid w:val="00000413"/>
    <w:rsid w:val="0000041E"/>
    <w:rsid w:val="0000044B"/>
    <w:rsid w:val="0000048C"/>
    <w:rsid w:val="0000049D"/>
    <w:rsid w:val="000004B1"/>
    <w:rsid w:val="000004DB"/>
    <w:rsid w:val="000004F8"/>
    <w:rsid w:val="000004F9"/>
    <w:rsid w:val="00000534"/>
    <w:rsid w:val="0000055D"/>
    <w:rsid w:val="0000059C"/>
    <w:rsid w:val="000005BD"/>
    <w:rsid w:val="00000625"/>
    <w:rsid w:val="0000062D"/>
    <w:rsid w:val="00000667"/>
    <w:rsid w:val="0000067F"/>
    <w:rsid w:val="0000069A"/>
    <w:rsid w:val="00000705"/>
    <w:rsid w:val="0000072F"/>
    <w:rsid w:val="000007CF"/>
    <w:rsid w:val="000007D6"/>
    <w:rsid w:val="00000858"/>
    <w:rsid w:val="00000872"/>
    <w:rsid w:val="00000880"/>
    <w:rsid w:val="000008EC"/>
    <w:rsid w:val="0000093A"/>
    <w:rsid w:val="0000093B"/>
    <w:rsid w:val="00000955"/>
    <w:rsid w:val="0000095F"/>
    <w:rsid w:val="00000994"/>
    <w:rsid w:val="000009DF"/>
    <w:rsid w:val="00000A47"/>
    <w:rsid w:val="00000A83"/>
    <w:rsid w:val="00000A9F"/>
    <w:rsid w:val="00000AAF"/>
    <w:rsid w:val="00000AB1"/>
    <w:rsid w:val="00000AF5"/>
    <w:rsid w:val="00000AFE"/>
    <w:rsid w:val="00000B0D"/>
    <w:rsid w:val="00000BA7"/>
    <w:rsid w:val="00000BAA"/>
    <w:rsid w:val="00000C02"/>
    <w:rsid w:val="00000C86"/>
    <w:rsid w:val="00000CBD"/>
    <w:rsid w:val="00000CED"/>
    <w:rsid w:val="00000D1A"/>
    <w:rsid w:val="00000D5C"/>
    <w:rsid w:val="00000DCD"/>
    <w:rsid w:val="00000DD8"/>
    <w:rsid w:val="00000E09"/>
    <w:rsid w:val="00000E45"/>
    <w:rsid w:val="00000E7A"/>
    <w:rsid w:val="00000EEF"/>
    <w:rsid w:val="00000EF8"/>
    <w:rsid w:val="00000F45"/>
    <w:rsid w:val="00000F4D"/>
    <w:rsid w:val="00000F7A"/>
    <w:rsid w:val="0000103D"/>
    <w:rsid w:val="00001046"/>
    <w:rsid w:val="00001097"/>
    <w:rsid w:val="000010CC"/>
    <w:rsid w:val="000010D6"/>
    <w:rsid w:val="000011B0"/>
    <w:rsid w:val="000011D8"/>
    <w:rsid w:val="000011FC"/>
    <w:rsid w:val="000011FF"/>
    <w:rsid w:val="00001236"/>
    <w:rsid w:val="00001268"/>
    <w:rsid w:val="000012B0"/>
    <w:rsid w:val="000012C8"/>
    <w:rsid w:val="000012D4"/>
    <w:rsid w:val="000012E3"/>
    <w:rsid w:val="00001347"/>
    <w:rsid w:val="000013FD"/>
    <w:rsid w:val="00001407"/>
    <w:rsid w:val="0000142C"/>
    <w:rsid w:val="00001461"/>
    <w:rsid w:val="0000146B"/>
    <w:rsid w:val="000014D9"/>
    <w:rsid w:val="000014DE"/>
    <w:rsid w:val="00001521"/>
    <w:rsid w:val="0000152A"/>
    <w:rsid w:val="00001534"/>
    <w:rsid w:val="000015AF"/>
    <w:rsid w:val="000015C8"/>
    <w:rsid w:val="00001661"/>
    <w:rsid w:val="00001691"/>
    <w:rsid w:val="0000172D"/>
    <w:rsid w:val="0000175E"/>
    <w:rsid w:val="00001777"/>
    <w:rsid w:val="000017BC"/>
    <w:rsid w:val="000017FE"/>
    <w:rsid w:val="000018C4"/>
    <w:rsid w:val="000018D7"/>
    <w:rsid w:val="000018DA"/>
    <w:rsid w:val="000019B2"/>
    <w:rsid w:val="000019B8"/>
    <w:rsid w:val="000019E2"/>
    <w:rsid w:val="00001A24"/>
    <w:rsid w:val="00001A43"/>
    <w:rsid w:val="00001A81"/>
    <w:rsid w:val="00001A94"/>
    <w:rsid w:val="00001A9F"/>
    <w:rsid w:val="00001AA8"/>
    <w:rsid w:val="00001AAD"/>
    <w:rsid w:val="00001AC6"/>
    <w:rsid w:val="00001AD8"/>
    <w:rsid w:val="00001AE4"/>
    <w:rsid w:val="00001AED"/>
    <w:rsid w:val="00001B6E"/>
    <w:rsid w:val="00001B73"/>
    <w:rsid w:val="00001BA6"/>
    <w:rsid w:val="00001C27"/>
    <w:rsid w:val="00001C5D"/>
    <w:rsid w:val="00001CBC"/>
    <w:rsid w:val="00001D22"/>
    <w:rsid w:val="00001D46"/>
    <w:rsid w:val="00001D5E"/>
    <w:rsid w:val="00001D96"/>
    <w:rsid w:val="00001DCA"/>
    <w:rsid w:val="00001E70"/>
    <w:rsid w:val="00001E84"/>
    <w:rsid w:val="00001F50"/>
    <w:rsid w:val="00001F75"/>
    <w:rsid w:val="00001F82"/>
    <w:rsid w:val="00001FF1"/>
    <w:rsid w:val="00002099"/>
    <w:rsid w:val="000020C6"/>
    <w:rsid w:val="000020D7"/>
    <w:rsid w:val="000020D9"/>
    <w:rsid w:val="00002101"/>
    <w:rsid w:val="00002157"/>
    <w:rsid w:val="00002171"/>
    <w:rsid w:val="00002175"/>
    <w:rsid w:val="00002181"/>
    <w:rsid w:val="000021BB"/>
    <w:rsid w:val="000021CB"/>
    <w:rsid w:val="000021E9"/>
    <w:rsid w:val="00002218"/>
    <w:rsid w:val="0000223B"/>
    <w:rsid w:val="000022A8"/>
    <w:rsid w:val="000022C0"/>
    <w:rsid w:val="000022E0"/>
    <w:rsid w:val="00002326"/>
    <w:rsid w:val="00002343"/>
    <w:rsid w:val="00002417"/>
    <w:rsid w:val="00002449"/>
    <w:rsid w:val="0000249E"/>
    <w:rsid w:val="000024E0"/>
    <w:rsid w:val="0000253E"/>
    <w:rsid w:val="0000256A"/>
    <w:rsid w:val="00002587"/>
    <w:rsid w:val="00002594"/>
    <w:rsid w:val="0000262D"/>
    <w:rsid w:val="00002679"/>
    <w:rsid w:val="00002688"/>
    <w:rsid w:val="0000269C"/>
    <w:rsid w:val="0000269E"/>
    <w:rsid w:val="000026EB"/>
    <w:rsid w:val="00002727"/>
    <w:rsid w:val="00002777"/>
    <w:rsid w:val="0000278F"/>
    <w:rsid w:val="00002795"/>
    <w:rsid w:val="000027DC"/>
    <w:rsid w:val="000027E0"/>
    <w:rsid w:val="00002827"/>
    <w:rsid w:val="00002838"/>
    <w:rsid w:val="00002847"/>
    <w:rsid w:val="00002849"/>
    <w:rsid w:val="000028C9"/>
    <w:rsid w:val="0000291B"/>
    <w:rsid w:val="000029A9"/>
    <w:rsid w:val="000029AE"/>
    <w:rsid w:val="00002A6B"/>
    <w:rsid w:val="00002A9C"/>
    <w:rsid w:val="00002AB7"/>
    <w:rsid w:val="00002AD0"/>
    <w:rsid w:val="00002AE1"/>
    <w:rsid w:val="00002B1D"/>
    <w:rsid w:val="00002B24"/>
    <w:rsid w:val="00002B47"/>
    <w:rsid w:val="00002C64"/>
    <w:rsid w:val="00002CB4"/>
    <w:rsid w:val="00002CF3"/>
    <w:rsid w:val="00002D1E"/>
    <w:rsid w:val="00002D28"/>
    <w:rsid w:val="00002D2B"/>
    <w:rsid w:val="00002D5C"/>
    <w:rsid w:val="00002D79"/>
    <w:rsid w:val="00002D96"/>
    <w:rsid w:val="00002DE2"/>
    <w:rsid w:val="00002E75"/>
    <w:rsid w:val="00002E8E"/>
    <w:rsid w:val="00002EE8"/>
    <w:rsid w:val="00002EFE"/>
    <w:rsid w:val="00002F05"/>
    <w:rsid w:val="00002F1B"/>
    <w:rsid w:val="00002F32"/>
    <w:rsid w:val="00002FAF"/>
    <w:rsid w:val="00002FE3"/>
    <w:rsid w:val="00003028"/>
    <w:rsid w:val="0000303A"/>
    <w:rsid w:val="00003043"/>
    <w:rsid w:val="00003050"/>
    <w:rsid w:val="00003054"/>
    <w:rsid w:val="00003079"/>
    <w:rsid w:val="00003093"/>
    <w:rsid w:val="00003094"/>
    <w:rsid w:val="000030BC"/>
    <w:rsid w:val="00003109"/>
    <w:rsid w:val="00003134"/>
    <w:rsid w:val="00003172"/>
    <w:rsid w:val="00003206"/>
    <w:rsid w:val="00003228"/>
    <w:rsid w:val="000032D8"/>
    <w:rsid w:val="0000333A"/>
    <w:rsid w:val="00003403"/>
    <w:rsid w:val="00003409"/>
    <w:rsid w:val="0000341E"/>
    <w:rsid w:val="00003470"/>
    <w:rsid w:val="00003495"/>
    <w:rsid w:val="000034A4"/>
    <w:rsid w:val="000034F0"/>
    <w:rsid w:val="00003526"/>
    <w:rsid w:val="000035BA"/>
    <w:rsid w:val="000035D4"/>
    <w:rsid w:val="0000363E"/>
    <w:rsid w:val="0000366F"/>
    <w:rsid w:val="00003680"/>
    <w:rsid w:val="000036C5"/>
    <w:rsid w:val="000036DA"/>
    <w:rsid w:val="000036EB"/>
    <w:rsid w:val="0000374C"/>
    <w:rsid w:val="000037BC"/>
    <w:rsid w:val="000037CA"/>
    <w:rsid w:val="00003825"/>
    <w:rsid w:val="00003834"/>
    <w:rsid w:val="000038CD"/>
    <w:rsid w:val="00003940"/>
    <w:rsid w:val="00003999"/>
    <w:rsid w:val="000039B0"/>
    <w:rsid w:val="000039BE"/>
    <w:rsid w:val="00003A28"/>
    <w:rsid w:val="00003AE7"/>
    <w:rsid w:val="00003AF5"/>
    <w:rsid w:val="00003AF9"/>
    <w:rsid w:val="00003B17"/>
    <w:rsid w:val="00003B24"/>
    <w:rsid w:val="00003BDB"/>
    <w:rsid w:val="00003BE9"/>
    <w:rsid w:val="00003C47"/>
    <w:rsid w:val="00003C54"/>
    <w:rsid w:val="00003C7B"/>
    <w:rsid w:val="00003C87"/>
    <w:rsid w:val="00003C9B"/>
    <w:rsid w:val="00003C9D"/>
    <w:rsid w:val="00003CAE"/>
    <w:rsid w:val="00003CDA"/>
    <w:rsid w:val="00003D4C"/>
    <w:rsid w:val="00003E76"/>
    <w:rsid w:val="00003EC6"/>
    <w:rsid w:val="00003F27"/>
    <w:rsid w:val="00003F5A"/>
    <w:rsid w:val="00003FD6"/>
    <w:rsid w:val="00003FE6"/>
    <w:rsid w:val="00004050"/>
    <w:rsid w:val="0000406A"/>
    <w:rsid w:val="00004074"/>
    <w:rsid w:val="000040C7"/>
    <w:rsid w:val="000040F8"/>
    <w:rsid w:val="00004103"/>
    <w:rsid w:val="00004124"/>
    <w:rsid w:val="00004176"/>
    <w:rsid w:val="00004248"/>
    <w:rsid w:val="000042CE"/>
    <w:rsid w:val="000042EF"/>
    <w:rsid w:val="00004321"/>
    <w:rsid w:val="0000434F"/>
    <w:rsid w:val="00004372"/>
    <w:rsid w:val="00004375"/>
    <w:rsid w:val="0000439F"/>
    <w:rsid w:val="000043E6"/>
    <w:rsid w:val="00004443"/>
    <w:rsid w:val="0000445A"/>
    <w:rsid w:val="00004470"/>
    <w:rsid w:val="000044C0"/>
    <w:rsid w:val="000044FD"/>
    <w:rsid w:val="0000452A"/>
    <w:rsid w:val="00004562"/>
    <w:rsid w:val="00004564"/>
    <w:rsid w:val="000045BB"/>
    <w:rsid w:val="000045C1"/>
    <w:rsid w:val="000045DA"/>
    <w:rsid w:val="000045EF"/>
    <w:rsid w:val="0000463B"/>
    <w:rsid w:val="00004683"/>
    <w:rsid w:val="000046CB"/>
    <w:rsid w:val="00004704"/>
    <w:rsid w:val="00004795"/>
    <w:rsid w:val="000047CD"/>
    <w:rsid w:val="000047DF"/>
    <w:rsid w:val="000047E2"/>
    <w:rsid w:val="00004807"/>
    <w:rsid w:val="00004820"/>
    <w:rsid w:val="0000487A"/>
    <w:rsid w:val="00004898"/>
    <w:rsid w:val="0000490B"/>
    <w:rsid w:val="00004943"/>
    <w:rsid w:val="00004991"/>
    <w:rsid w:val="00004997"/>
    <w:rsid w:val="000049C9"/>
    <w:rsid w:val="000049E7"/>
    <w:rsid w:val="000049E9"/>
    <w:rsid w:val="00004A02"/>
    <w:rsid w:val="00004AB7"/>
    <w:rsid w:val="00004B00"/>
    <w:rsid w:val="00004B1D"/>
    <w:rsid w:val="00004B6C"/>
    <w:rsid w:val="00004BC1"/>
    <w:rsid w:val="00004BE2"/>
    <w:rsid w:val="00004C12"/>
    <w:rsid w:val="00004C1A"/>
    <w:rsid w:val="00004C44"/>
    <w:rsid w:val="00004C58"/>
    <w:rsid w:val="00004C8D"/>
    <w:rsid w:val="00004C93"/>
    <w:rsid w:val="00004CAD"/>
    <w:rsid w:val="00004CDF"/>
    <w:rsid w:val="00004CF6"/>
    <w:rsid w:val="00004DA7"/>
    <w:rsid w:val="00004DAF"/>
    <w:rsid w:val="00004DE8"/>
    <w:rsid w:val="00004E77"/>
    <w:rsid w:val="00004E95"/>
    <w:rsid w:val="00004EA4"/>
    <w:rsid w:val="00004EB8"/>
    <w:rsid w:val="00004ED5"/>
    <w:rsid w:val="00004EE3"/>
    <w:rsid w:val="00005048"/>
    <w:rsid w:val="0000504C"/>
    <w:rsid w:val="00005052"/>
    <w:rsid w:val="00005072"/>
    <w:rsid w:val="000050A5"/>
    <w:rsid w:val="000050D8"/>
    <w:rsid w:val="00005111"/>
    <w:rsid w:val="0000511A"/>
    <w:rsid w:val="000051B2"/>
    <w:rsid w:val="00005221"/>
    <w:rsid w:val="0000525D"/>
    <w:rsid w:val="000052AA"/>
    <w:rsid w:val="000052B3"/>
    <w:rsid w:val="000052D1"/>
    <w:rsid w:val="000052D5"/>
    <w:rsid w:val="000052F9"/>
    <w:rsid w:val="00005360"/>
    <w:rsid w:val="000053B4"/>
    <w:rsid w:val="000053D7"/>
    <w:rsid w:val="0000542D"/>
    <w:rsid w:val="000054A8"/>
    <w:rsid w:val="000054C5"/>
    <w:rsid w:val="00005585"/>
    <w:rsid w:val="000055B1"/>
    <w:rsid w:val="000055B3"/>
    <w:rsid w:val="00005629"/>
    <w:rsid w:val="0000562F"/>
    <w:rsid w:val="000056A4"/>
    <w:rsid w:val="000056C4"/>
    <w:rsid w:val="000056D0"/>
    <w:rsid w:val="00005739"/>
    <w:rsid w:val="00005743"/>
    <w:rsid w:val="00005875"/>
    <w:rsid w:val="00005923"/>
    <w:rsid w:val="0000599D"/>
    <w:rsid w:val="000059EB"/>
    <w:rsid w:val="000059EC"/>
    <w:rsid w:val="00005A0A"/>
    <w:rsid w:val="00005A1B"/>
    <w:rsid w:val="00005A49"/>
    <w:rsid w:val="00005A79"/>
    <w:rsid w:val="00005BA6"/>
    <w:rsid w:val="00005BD2"/>
    <w:rsid w:val="00005C40"/>
    <w:rsid w:val="00005CB0"/>
    <w:rsid w:val="00005D0D"/>
    <w:rsid w:val="00005D34"/>
    <w:rsid w:val="00005D35"/>
    <w:rsid w:val="00005DF2"/>
    <w:rsid w:val="00005E1B"/>
    <w:rsid w:val="00005E28"/>
    <w:rsid w:val="00005EA5"/>
    <w:rsid w:val="00005EE5"/>
    <w:rsid w:val="00005EEA"/>
    <w:rsid w:val="00005F04"/>
    <w:rsid w:val="00005FBD"/>
    <w:rsid w:val="00005FE8"/>
    <w:rsid w:val="00006037"/>
    <w:rsid w:val="00006061"/>
    <w:rsid w:val="0000608B"/>
    <w:rsid w:val="000060C8"/>
    <w:rsid w:val="000060E8"/>
    <w:rsid w:val="000061F3"/>
    <w:rsid w:val="0000621E"/>
    <w:rsid w:val="0000624B"/>
    <w:rsid w:val="0000624C"/>
    <w:rsid w:val="000062C3"/>
    <w:rsid w:val="000062F4"/>
    <w:rsid w:val="0000630F"/>
    <w:rsid w:val="00006310"/>
    <w:rsid w:val="00006319"/>
    <w:rsid w:val="0000635B"/>
    <w:rsid w:val="0000636E"/>
    <w:rsid w:val="00006384"/>
    <w:rsid w:val="00006413"/>
    <w:rsid w:val="00006433"/>
    <w:rsid w:val="00006435"/>
    <w:rsid w:val="0000643A"/>
    <w:rsid w:val="00006481"/>
    <w:rsid w:val="000064F2"/>
    <w:rsid w:val="00006528"/>
    <w:rsid w:val="0000653B"/>
    <w:rsid w:val="0000654B"/>
    <w:rsid w:val="000065B2"/>
    <w:rsid w:val="000065B3"/>
    <w:rsid w:val="0000660B"/>
    <w:rsid w:val="0000665E"/>
    <w:rsid w:val="00006664"/>
    <w:rsid w:val="0000667F"/>
    <w:rsid w:val="0000668D"/>
    <w:rsid w:val="000066B7"/>
    <w:rsid w:val="00006703"/>
    <w:rsid w:val="00006714"/>
    <w:rsid w:val="0000671C"/>
    <w:rsid w:val="0000678E"/>
    <w:rsid w:val="000067D9"/>
    <w:rsid w:val="00006855"/>
    <w:rsid w:val="000068CF"/>
    <w:rsid w:val="00006913"/>
    <w:rsid w:val="00006955"/>
    <w:rsid w:val="00006992"/>
    <w:rsid w:val="00006A38"/>
    <w:rsid w:val="00006A67"/>
    <w:rsid w:val="00006B36"/>
    <w:rsid w:val="00006B7D"/>
    <w:rsid w:val="00006C9C"/>
    <w:rsid w:val="00006CC8"/>
    <w:rsid w:val="00006DA1"/>
    <w:rsid w:val="00006E0D"/>
    <w:rsid w:val="00006E49"/>
    <w:rsid w:val="00006EB5"/>
    <w:rsid w:val="00006EF2"/>
    <w:rsid w:val="00006F68"/>
    <w:rsid w:val="00006FE7"/>
    <w:rsid w:val="00006FF7"/>
    <w:rsid w:val="0000702E"/>
    <w:rsid w:val="00007048"/>
    <w:rsid w:val="0000708B"/>
    <w:rsid w:val="000070DE"/>
    <w:rsid w:val="000070E0"/>
    <w:rsid w:val="00007103"/>
    <w:rsid w:val="0000711F"/>
    <w:rsid w:val="00007138"/>
    <w:rsid w:val="00007175"/>
    <w:rsid w:val="000071C8"/>
    <w:rsid w:val="000071D8"/>
    <w:rsid w:val="00007201"/>
    <w:rsid w:val="00007209"/>
    <w:rsid w:val="00007238"/>
    <w:rsid w:val="0000725E"/>
    <w:rsid w:val="000072A1"/>
    <w:rsid w:val="000072ED"/>
    <w:rsid w:val="00007321"/>
    <w:rsid w:val="000073CE"/>
    <w:rsid w:val="000073E2"/>
    <w:rsid w:val="00007495"/>
    <w:rsid w:val="000074A6"/>
    <w:rsid w:val="000074B9"/>
    <w:rsid w:val="000074F1"/>
    <w:rsid w:val="0000752F"/>
    <w:rsid w:val="0000754D"/>
    <w:rsid w:val="000075C0"/>
    <w:rsid w:val="000075D2"/>
    <w:rsid w:val="000075D6"/>
    <w:rsid w:val="00007672"/>
    <w:rsid w:val="00007694"/>
    <w:rsid w:val="0000773C"/>
    <w:rsid w:val="00007758"/>
    <w:rsid w:val="0000778C"/>
    <w:rsid w:val="00007872"/>
    <w:rsid w:val="00007876"/>
    <w:rsid w:val="000078A9"/>
    <w:rsid w:val="000078F6"/>
    <w:rsid w:val="00007900"/>
    <w:rsid w:val="00007934"/>
    <w:rsid w:val="00007999"/>
    <w:rsid w:val="000079BA"/>
    <w:rsid w:val="000079E3"/>
    <w:rsid w:val="00007A1B"/>
    <w:rsid w:val="00007A4C"/>
    <w:rsid w:val="00007A63"/>
    <w:rsid w:val="00007A8E"/>
    <w:rsid w:val="00007AED"/>
    <w:rsid w:val="00007AFD"/>
    <w:rsid w:val="00007B37"/>
    <w:rsid w:val="00007B5B"/>
    <w:rsid w:val="00007B9B"/>
    <w:rsid w:val="00007BA1"/>
    <w:rsid w:val="00007BCA"/>
    <w:rsid w:val="00007BE2"/>
    <w:rsid w:val="00007BE8"/>
    <w:rsid w:val="00007BFF"/>
    <w:rsid w:val="00007C07"/>
    <w:rsid w:val="00007C8E"/>
    <w:rsid w:val="00007C90"/>
    <w:rsid w:val="00007CC7"/>
    <w:rsid w:val="00007CD7"/>
    <w:rsid w:val="00007CE5"/>
    <w:rsid w:val="00007D4F"/>
    <w:rsid w:val="00007D9D"/>
    <w:rsid w:val="00007DC2"/>
    <w:rsid w:val="00007DD2"/>
    <w:rsid w:val="00007DE0"/>
    <w:rsid w:val="00007DEB"/>
    <w:rsid w:val="00007E5E"/>
    <w:rsid w:val="00007E76"/>
    <w:rsid w:val="00007EDA"/>
    <w:rsid w:val="00007F04"/>
    <w:rsid w:val="00007F15"/>
    <w:rsid w:val="00007F1D"/>
    <w:rsid w:val="00007F93"/>
    <w:rsid w:val="00007FA6"/>
    <w:rsid w:val="00007FF6"/>
    <w:rsid w:val="000094F1"/>
    <w:rsid w:val="0001006E"/>
    <w:rsid w:val="00010079"/>
    <w:rsid w:val="00010092"/>
    <w:rsid w:val="000100C6"/>
    <w:rsid w:val="000100C8"/>
    <w:rsid w:val="000100D0"/>
    <w:rsid w:val="0001012B"/>
    <w:rsid w:val="00010136"/>
    <w:rsid w:val="0001030A"/>
    <w:rsid w:val="00010331"/>
    <w:rsid w:val="0001036E"/>
    <w:rsid w:val="000103CA"/>
    <w:rsid w:val="000103E9"/>
    <w:rsid w:val="0001041A"/>
    <w:rsid w:val="00010461"/>
    <w:rsid w:val="00010499"/>
    <w:rsid w:val="000104B8"/>
    <w:rsid w:val="000104BE"/>
    <w:rsid w:val="000104D4"/>
    <w:rsid w:val="000104F1"/>
    <w:rsid w:val="00010501"/>
    <w:rsid w:val="0001054A"/>
    <w:rsid w:val="00010589"/>
    <w:rsid w:val="0001058F"/>
    <w:rsid w:val="00010654"/>
    <w:rsid w:val="00010659"/>
    <w:rsid w:val="00010683"/>
    <w:rsid w:val="0001068C"/>
    <w:rsid w:val="000106BD"/>
    <w:rsid w:val="00010748"/>
    <w:rsid w:val="0001074F"/>
    <w:rsid w:val="0001078E"/>
    <w:rsid w:val="000107AE"/>
    <w:rsid w:val="00010840"/>
    <w:rsid w:val="000108CF"/>
    <w:rsid w:val="0001093B"/>
    <w:rsid w:val="000109E2"/>
    <w:rsid w:val="000109F5"/>
    <w:rsid w:val="00010A2B"/>
    <w:rsid w:val="00010A3C"/>
    <w:rsid w:val="00010A80"/>
    <w:rsid w:val="00010AF1"/>
    <w:rsid w:val="00010AF3"/>
    <w:rsid w:val="00010B47"/>
    <w:rsid w:val="00010B48"/>
    <w:rsid w:val="00010B5F"/>
    <w:rsid w:val="00010B6F"/>
    <w:rsid w:val="00010B7E"/>
    <w:rsid w:val="00010BA7"/>
    <w:rsid w:val="00010BDC"/>
    <w:rsid w:val="00010BF4"/>
    <w:rsid w:val="00010BF6"/>
    <w:rsid w:val="00010D66"/>
    <w:rsid w:val="00010D6F"/>
    <w:rsid w:val="00010DD7"/>
    <w:rsid w:val="00010DFC"/>
    <w:rsid w:val="00010E60"/>
    <w:rsid w:val="00010EBE"/>
    <w:rsid w:val="00010EFF"/>
    <w:rsid w:val="00010F44"/>
    <w:rsid w:val="00010F4C"/>
    <w:rsid w:val="00010F8E"/>
    <w:rsid w:val="00010F9F"/>
    <w:rsid w:val="00011014"/>
    <w:rsid w:val="000110A1"/>
    <w:rsid w:val="000110C6"/>
    <w:rsid w:val="000110D3"/>
    <w:rsid w:val="0001113A"/>
    <w:rsid w:val="00011151"/>
    <w:rsid w:val="00011158"/>
    <w:rsid w:val="00011166"/>
    <w:rsid w:val="0001117F"/>
    <w:rsid w:val="000111A5"/>
    <w:rsid w:val="000111F5"/>
    <w:rsid w:val="0001120B"/>
    <w:rsid w:val="0001123C"/>
    <w:rsid w:val="00011251"/>
    <w:rsid w:val="0001125F"/>
    <w:rsid w:val="00011347"/>
    <w:rsid w:val="000113EA"/>
    <w:rsid w:val="00011406"/>
    <w:rsid w:val="0001141D"/>
    <w:rsid w:val="00011476"/>
    <w:rsid w:val="00011482"/>
    <w:rsid w:val="000114A2"/>
    <w:rsid w:val="000114D9"/>
    <w:rsid w:val="000114F8"/>
    <w:rsid w:val="00011515"/>
    <w:rsid w:val="00011527"/>
    <w:rsid w:val="00011550"/>
    <w:rsid w:val="00011579"/>
    <w:rsid w:val="0001158C"/>
    <w:rsid w:val="00011601"/>
    <w:rsid w:val="00011646"/>
    <w:rsid w:val="00011688"/>
    <w:rsid w:val="000116CF"/>
    <w:rsid w:val="000116E0"/>
    <w:rsid w:val="00011710"/>
    <w:rsid w:val="00011786"/>
    <w:rsid w:val="00011796"/>
    <w:rsid w:val="000117A2"/>
    <w:rsid w:val="000117A4"/>
    <w:rsid w:val="000117C7"/>
    <w:rsid w:val="000117C9"/>
    <w:rsid w:val="00011815"/>
    <w:rsid w:val="00011874"/>
    <w:rsid w:val="00011961"/>
    <w:rsid w:val="00011983"/>
    <w:rsid w:val="000119D0"/>
    <w:rsid w:val="00011A35"/>
    <w:rsid w:val="00011A41"/>
    <w:rsid w:val="00011A77"/>
    <w:rsid w:val="00011AC2"/>
    <w:rsid w:val="00011AE9"/>
    <w:rsid w:val="00011B2E"/>
    <w:rsid w:val="00011B32"/>
    <w:rsid w:val="00011B3B"/>
    <w:rsid w:val="00011B41"/>
    <w:rsid w:val="00011B56"/>
    <w:rsid w:val="00011B63"/>
    <w:rsid w:val="00011B92"/>
    <w:rsid w:val="00011BA7"/>
    <w:rsid w:val="00011C18"/>
    <w:rsid w:val="00011C3A"/>
    <w:rsid w:val="00011C4F"/>
    <w:rsid w:val="00011C72"/>
    <w:rsid w:val="00011C9E"/>
    <w:rsid w:val="00011CEB"/>
    <w:rsid w:val="00011D80"/>
    <w:rsid w:val="00011DA3"/>
    <w:rsid w:val="00011DF7"/>
    <w:rsid w:val="00011E44"/>
    <w:rsid w:val="00011E8B"/>
    <w:rsid w:val="00011F30"/>
    <w:rsid w:val="00011FBB"/>
    <w:rsid w:val="00011FC8"/>
    <w:rsid w:val="00012008"/>
    <w:rsid w:val="00012155"/>
    <w:rsid w:val="000121D0"/>
    <w:rsid w:val="0001228A"/>
    <w:rsid w:val="000122CE"/>
    <w:rsid w:val="00012331"/>
    <w:rsid w:val="0001233A"/>
    <w:rsid w:val="0001233C"/>
    <w:rsid w:val="0001239C"/>
    <w:rsid w:val="0001245A"/>
    <w:rsid w:val="00012472"/>
    <w:rsid w:val="00012486"/>
    <w:rsid w:val="0001250D"/>
    <w:rsid w:val="0001257F"/>
    <w:rsid w:val="000125AD"/>
    <w:rsid w:val="000125BF"/>
    <w:rsid w:val="000125DC"/>
    <w:rsid w:val="000125E4"/>
    <w:rsid w:val="00012653"/>
    <w:rsid w:val="00012675"/>
    <w:rsid w:val="000126C4"/>
    <w:rsid w:val="00012786"/>
    <w:rsid w:val="00012789"/>
    <w:rsid w:val="00012830"/>
    <w:rsid w:val="00012883"/>
    <w:rsid w:val="0001289B"/>
    <w:rsid w:val="00012905"/>
    <w:rsid w:val="0001290D"/>
    <w:rsid w:val="0001291C"/>
    <w:rsid w:val="00012925"/>
    <w:rsid w:val="0001292C"/>
    <w:rsid w:val="00012997"/>
    <w:rsid w:val="00012A18"/>
    <w:rsid w:val="00012A47"/>
    <w:rsid w:val="00012AE5"/>
    <w:rsid w:val="00012AF9"/>
    <w:rsid w:val="00012B2D"/>
    <w:rsid w:val="00012B83"/>
    <w:rsid w:val="00012B8E"/>
    <w:rsid w:val="00012BA8"/>
    <w:rsid w:val="00012BBA"/>
    <w:rsid w:val="00012C05"/>
    <w:rsid w:val="00012C2E"/>
    <w:rsid w:val="00012C5D"/>
    <w:rsid w:val="00012C97"/>
    <w:rsid w:val="00012CA6"/>
    <w:rsid w:val="00012DFC"/>
    <w:rsid w:val="00012E22"/>
    <w:rsid w:val="00012E48"/>
    <w:rsid w:val="00012ECF"/>
    <w:rsid w:val="00012F12"/>
    <w:rsid w:val="00012F86"/>
    <w:rsid w:val="00012F9A"/>
    <w:rsid w:val="00012FC1"/>
    <w:rsid w:val="00012FC6"/>
    <w:rsid w:val="0001302F"/>
    <w:rsid w:val="0001308D"/>
    <w:rsid w:val="00013095"/>
    <w:rsid w:val="000130DC"/>
    <w:rsid w:val="00013143"/>
    <w:rsid w:val="00013150"/>
    <w:rsid w:val="00013157"/>
    <w:rsid w:val="000131D3"/>
    <w:rsid w:val="000131E3"/>
    <w:rsid w:val="000131EA"/>
    <w:rsid w:val="0001321F"/>
    <w:rsid w:val="0001327A"/>
    <w:rsid w:val="000132E3"/>
    <w:rsid w:val="000132FD"/>
    <w:rsid w:val="00013301"/>
    <w:rsid w:val="00013328"/>
    <w:rsid w:val="000133DB"/>
    <w:rsid w:val="000133E0"/>
    <w:rsid w:val="00013460"/>
    <w:rsid w:val="00013468"/>
    <w:rsid w:val="00013490"/>
    <w:rsid w:val="00013495"/>
    <w:rsid w:val="000135E0"/>
    <w:rsid w:val="000135F2"/>
    <w:rsid w:val="00013614"/>
    <w:rsid w:val="00013650"/>
    <w:rsid w:val="0001369B"/>
    <w:rsid w:val="000137E2"/>
    <w:rsid w:val="000137E9"/>
    <w:rsid w:val="00013828"/>
    <w:rsid w:val="00013862"/>
    <w:rsid w:val="00013880"/>
    <w:rsid w:val="000138A4"/>
    <w:rsid w:val="000138F5"/>
    <w:rsid w:val="000138FE"/>
    <w:rsid w:val="00013921"/>
    <w:rsid w:val="0001394D"/>
    <w:rsid w:val="000139C5"/>
    <w:rsid w:val="000139CE"/>
    <w:rsid w:val="000139E5"/>
    <w:rsid w:val="000139EC"/>
    <w:rsid w:val="00013A74"/>
    <w:rsid w:val="00013A7F"/>
    <w:rsid w:val="00013AAF"/>
    <w:rsid w:val="00013AD7"/>
    <w:rsid w:val="00013AF9"/>
    <w:rsid w:val="00013B53"/>
    <w:rsid w:val="00013B69"/>
    <w:rsid w:val="00013BA4"/>
    <w:rsid w:val="00013BA8"/>
    <w:rsid w:val="00013C19"/>
    <w:rsid w:val="00013C3D"/>
    <w:rsid w:val="00013D01"/>
    <w:rsid w:val="00013D2C"/>
    <w:rsid w:val="00013D3B"/>
    <w:rsid w:val="00013D7A"/>
    <w:rsid w:val="00013D95"/>
    <w:rsid w:val="00013DDA"/>
    <w:rsid w:val="00013DDE"/>
    <w:rsid w:val="00013E12"/>
    <w:rsid w:val="00013E56"/>
    <w:rsid w:val="00013E6A"/>
    <w:rsid w:val="00013EB9"/>
    <w:rsid w:val="00013F0A"/>
    <w:rsid w:val="00013F71"/>
    <w:rsid w:val="00013F7D"/>
    <w:rsid w:val="00014003"/>
    <w:rsid w:val="0001407F"/>
    <w:rsid w:val="0001409A"/>
    <w:rsid w:val="000140A3"/>
    <w:rsid w:val="0001411B"/>
    <w:rsid w:val="00014183"/>
    <w:rsid w:val="000141B2"/>
    <w:rsid w:val="000141C7"/>
    <w:rsid w:val="000141E8"/>
    <w:rsid w:val="00014216"/>
    <w:rsid w:val="00014245"/>
    <w:rsid w:val="000142AB"/>
    <w:rsid w:val="000142AD"/>
    <w:rsid w:val="000142E3"/>
    <w:rsid w:val="000142ED"/>
    <w:rsid w:val="0001431C"/>
    <w:rsid w:val="000143B4"/>
    <w:rsid w:val="0001441D"/>
    <w:rsid w:val="0001443C"/>
    <w:rsid w:val="0001444A"/>
    <w:rsid w:val="0001448F"/>
    <w:rsid w:val="000144A3"/>
    <w:rsid w:val="000144D6"/>
    <w:rsid w:val="0001452F"/>
    <w:rsid w:val="00014550"/>
    <w:rsid w:val="0001457D"/>
    <w:rsid w:val="00014583"/>
    <w:rsid w:val="000145DC"/>
    <w:rsid w:val="000145FE"/>
    <w:rsid w:val="000146AA"/>
    <w:rsid w:val="00014722"/>
    <w:rsid w:val="000147F4"/>
    <w:rsid w:val="00014838"/>
    <w:rsid w:val="00014839"/>
    <w:rsid w:val="00014868"/>
    <w:rsid w:val="000148B6"/>
    <w:rsid w:val="000148C9"/>
    <w:rsid w:val="000148DE"/>
    <w:rsid w:val="000148E7"/>
    <w:rsid w:val="00014961"/>
    <w:rsid w:val="000149DC"/>
    <w:rsid w:val="00014A1D"/>
    <w:rsid w:val="00014A65"/>
    <w:rsid w:val="00014A66"/>
    <w:rsid w:val="00014A74"/>
    <w:rsid w:val="00014AEF"/>
    <w:rsid w:val="00014B7C"/>
    <w:rsid w:val="00014BC4"/>
    <w:rsid w:val="00014C4B"/>
    <w:rsid w:val="00014C51"/>
    <w:rsid w:val="00014C87"/>
    <w:rsid w:val="00014C90"/>
    <w:rsid w:val="00014CB7"/>
    <w:rsid w:val="00014CF1"/>
    <w:rsid w:val="00014DD4"/>
    <w:rsid w:val="00014DFB"/>
    <w:rsid w:val="00014E05"/>
    <w:rsid w:val="00014E94"/>
    <w:rsid w:val="00014E99"/>
    <w:rsid w:val="00014E9A"/>
    <w:rsid w:val="00014ED3"/>
    <w:rsid w:val="00014ED8"/>
    <w:rsid w:val="00014F14"/>
    <w:rsid w:val="00014FFB"/>
    <w:rsid w:val="0001503C"/>
    <w:rsid w:val="0001509E"/>
    <w:rsid w:val="000150F8"/>
    <w:rsid w:val="000151EF"/>
    <w:rsid w:val="00015262"/>
    <w:rsid w:val="000152EA"/>
    <w:rsid w:val="000152F1"/>
    <w:rsid w:val="0001534C"/>
    <w:rsid w:val="00015360"/>
    <w:rsid w:val="000153CF"/>
    <w:rsid w:val="00015426"/>
    <w:rsid w:val="00015448"/>
    <w:rsid w:val="000154D5"/>
    <w:rsid w:val="00015527"/>
    <w:rsid w:val="00015586"/>
    <w:rsid w:val="000155D1"/>
    <w:rsid w:val="000156B9"/>
    <w:rsid w:val="000156BB"/>
    <w:rsid w:val="00015724"/>
    <w:rsid w:val="000157BC"/>
    <w:rsid w:val="000157D5"/>
    <w:rsid w:val="00015882"/>
    <w:rsid w:val="0001588B"/>
    <w:rsid w:val="00015890"/>
    <w:rsid w:val="000158AD"/>
    <w:rsid w:val="00015905"/>
    <w:rsid w:val="00015917"/>
    <w:rsid w:val="00015930"/>
    <w:rsid w:val="00015994"/>
    <w:rsid w:val="000159D7"/>
    <w:rsid w:val="00015AAD"/>
    <w:rsid w:val="00015B33"/>
    <w:rsid w:val="00015B98"/>
    <w:rsid w:val="00015BD9"/>
    <w:rsid w:val="00015BDC"/>
    <w:rsid w:val="00015C19"/>
    <w:rsid w:val="00015C2F"/>
    <w:rsid w:val="00015C71"/>
    <w:rsid w:val="00015CC5"/>
    <w:rsid w:val="00015CCA"/>
    <w:rsid w:val="00015CE2"/>
    <w:rsid w:val="00015CED"/>
    <w:rsid w:val="00015D07"/>
    <w:rsid w:val="00015D23"/>
    <w:rsid w:val="00015D57"/>
    <w:rsid w:val="00015DB0"/>
    <w:rsid w:val="00015DB3"/>
    <w:rsid w:val="00015E0E"/>
    <w:rsid w:val="00015E36"/>
    <w:rsid w:val="00015E7C"/>
    <w:rsid w:val="00015E9C"/>
    <w:rsid w:val="00015EDD"/>
    <w:rsid w:val="00015F46"/>
    <w:rsid w:val="00015FDD"/>
    <w:rsid w:val="00015FFC"/>
    <w:rsid w:val="00015FFF"/>
    <w:rsid w:val="00016006"/>
    <w:rsid w:val="0001601F"/>
    <w:rsid w:val="00016043"/>
    <w:rsid w:val="00016090"/>
    <w:rsid w:val="0001609C"/>
    <w:rsid w:val="000160B2"/>
    <w:rsid w:val="00016164"/>
    <w:rsid w:val="00016174"/>
    <w:rsid w:val="000161E7"/>
    <w:rsid w:val="00016265"/>
    <w:rsid w:val="00016275"/>
    <w:rsid w:val="00016278"/>
    <w:rsid w:val="000162B7"/>
    <w:rsid w:val="0001632E"/>
    <w:rsid w:val="00016357"/>
    <w:rsid w:val="00016397"/>
    <w:rsid w:val="000163D3"/>
    <w:rsid w:val="0001640A"/>
    <w:rsid w:val="000164B2"/>
    <w:rsid w:val="000164C7"/>
    <w:rsid w:val="000164F0"/>
    <w:rsid w:val="00016541"/>
    <w:rsid w:val="000165C0"/>
    <w:rsid w:val="00016617"/>
    <w:rsid w:val="0001664D"/>
    <w:rsid w:val="0001668D"/>
    <w:rsid w:val="0001668F"/>
    <w:rsid w:val="00016696"/>
    <w:rsid w:val="0001669E"/>
    <w:rsid w:val="0001670B"/>
    <w:rsid w:val="00016731"/>
    <w:rsid w:val="0001676B"/>
    <w:rsid w:val="0001676F"/>
    <w:rsid w:val="00016780"/>
    <w:rsid w:val="000167A9"/>
    <w:rsid w:val="00016836"/>
    <w:rsid w:val="000168B0"/>
    <w:rsid w:val="000168DC"/>
    <w:rsid w:val="000168E1"/>
    <w:rsid w:val="000168F4"/>
    <w:rsid w:val="000168F6"/>
    <w:rsid w:val="0001690A"/>
    <w:rsid w:val="0001697E"/>
    <w:rsid w:val="000169D9"/>
    <w:rsid w:val="00016A39"/>
    <w:rsid w:val="00016A5C"/>
    <w:rsid w:val="00016A7B"/>
    <w:rsid w:val="00016A7C"/>
    <w:rsid w:val="00016A9B"/>
    <w:rsid w:val="00016AE4"/>
    <w:rsid w:val="00016B7C"/>
    <w:rsid w:val="00016CC8"/>
    <w:rsid w:val="00016CD8"/>
    <w:rsid w:val="00016CF3"/>
    <w:rsid w:val="00016D8E"/>
    <w:rsid w:val="00016DA0"/>
    <w:rsid w:val="00016DCA"/>
    <w:rsid w:val="00016DFF"/>
    <w:rsid w:val="00016E41"/>
    <w:rsid w:val="00016E8B"/>
    <w:rsid w:val="00016EE4"/>
    <w:rsid w:val="00016EFE"/>
    <w:rsid w:val="00016F8B"/>
    <w:rsid w:val="00016FD6"/>
    <w:rsid w:val="00017042"/>
    <w:rsid w:val="00017069"/>
    <w:rsid w:val="000170AA"/>
    <w:rsid w:val="0001713A"/>
    <w:rsid w:val="00017196"/>
    <w:rsid w:val="00017199"/>
    <w:rsid w:val="000171DA"/>
    <w:rsid w:val="00017240"/>
    <w:rsid w:val="00017279"/>
    <w:rsid w:val="00017285"/>
    <w:rsid w:val="0001729D"/>
    <w:rsid w:val="000172A1"/>
    <w:rsid w:val="000172CF"/>
    <w:rsid w:val="00017330"/>
    <w:rsid w:val="000173BA"/>
    <w:rsid w:val="00017453"/>
    <w:rsid w:val="00017482"/>
    <w:rsid w:val="000174DE"/>
    <w:rsid w:val="000174E8"/>
    <w:rsid w:val="0001758F"/>
    <w:rsid w:val="000175D5"/>
    <w:rsid w:val="00017652"/>
    <w:rsid w:val="000176D4"/>
    <w:rsid w:val="000176DA"/>
    <w:rsid w:val="00017720"/>
    <w:rsid w:val="000177AC"/>
    <w:rsid w:val="00017817"/>
    <w:rsid w:val="00017822"/>
    <w:rsid w:val="00017843"/>
    <w:rsid w:val="00017858"/>
    <w:rsid w:val="0001788E"/>
    <w:rsid w:val="0001789D"/>
    <w:rsid w:val="000178E9"/>
    <w:rsid w:val="000178EA"/>
    <w:rsid w:val="0001792B"/>
    <w:rsid w:val="00017939"/>
    <w:rsid w:val="00017973"/>
    <w:rsid w:val="0001797E"/>
    <w:rsid w:val="000179A5"/>
    <w:rsid w:val="00017AB7"/>
    <w:rsid w:val="00017ACB"/>
    <w:rsid w:val="00017AEA"/>
    <w:rsid w:val="00017B32"/>
    <w:rsid w:val="00017B4D"/>
    <w:rsid w:val="00017B65"/>
    <w:rsid w:val="00017B79"/>
    <w:rsid w:val="00017BDC"/>
    <w:rsid w:val="00017BE7"/>
    <w:rsid w:val="00017C5F"/>
    <w:rsid w:val="00017CBB"/>
    <w:rsid w:val="00017CD5"/>
    <w:rsid w:val="00017D38"/>
    <w:rsid w:val="00017D60"/>
    <w:rsid w:val="00017D93"/>
    <w:rsid w:val="00017D9A"/>
    <w:rsid w:val="00017E39"/>
    <w:rsid w:val="00017E6C"/>
    <w:rsid w:val="00017E76"/>
    <w:rsid w:val="00017EA7"/>
    <w:rsid w:val="00017EEC"/>
    <w:rsid w:val="00017F13"/>
    <w:rsid w:val="00017F73"/>
    <w:rsid w:val="00017FA3"/>
    <w:rsid w:val="00017FCF"/>
    <w:rsid w:val="00017FD8"/>
    <w:rsid w:val="00017FDF"/>
    <w:rsid w:val="0002001C"/>
    <w:rsid w:val="0002003A"/>
    <w:rsid w:val="00020066"/>
    <w:rsid w:val="00020119"/>
    <w:rsid w:val="00020131"/>
    <w:rsid w:val="0002016D"/>
    <w:rsid w:val="0002016E"/>
    <w:rsid w:val="000201B1"/>
    <w:rsid w:val="000201BD"/>
    <w:rsid w:val="000201F3"/>
    <w:rsid w:val="000202CE"/>
    <w:rsid w:val="0002034E"/>
    <w:rsid w:val="00020352"/>
    <w:rsid w:val="00020375"/>
    <w:rsid w:val="0002038D"/>
    <w:rsid w:val="000203E1"/>
    <w:rsid w:val="0002040B"/>
    <w:rsid w:val="0002040E"/>
    <w:rsid w:val="00020424"/>
    <w:rsid w:val="0002043E"/>
    <w:rsid w:val="00020456"/>
    <w:rsid w:val="000204E0"/>
    <w:rsid w:val="000204FB"/>
    <w:rsid w:val="00020526"/>
    <w:rsid w:val="0002058C"/>
    <w:rsid w:val="000205B7"/>
    <w:rsid w:val="000205DD"/>
    <w:rsid w:val="00020669"/>
    <w:rsid w:val="000206AC"/>
    <w:rsid w:val="000206AF"/>
    <w:rsid w:val="000206ED"/>
    <w:rsid w:val="00020819"/>
    <w:rsid w:val="000208AA"/>
    <w:rsid w:val="00020934"/>
    <w:rsid w:val="00020940"/>
    <w:rsid w:val="0002098B"/>
    <w:rsid w:val="00020A0C"/>
    <w:rsid w:val="00020A2A"/>
    <w:rsid w:val="00020A6E"/>
    <w:rsid w:val="00020A91"/>
    <w:rsid w:val="00020AB2"/>
    <w:rsid w:val="00020ACA"/>
    <w:rsid w:val="00020AE9"/>
    <w:rsid w:val="00020B1A"/>
    <w:rsid w:val="00020BF6"/>
    <w:rsid w:val="00020C45"/>
    <w:rsid w:val="00020C91"/>
    <w:rsid w:val="00020D26"/>
    <w:rsid w:val="00020D39"/>
    <w:rsid w:val="00020D5E"/>
    <w:rsid w:val="00020DC3"/>
    <w:rsid w:val="00020DFB"/>
    <w:rsid w:val="00020E34"/>
    <w:rsid w:val="00020E7C"/>
    <w:rsid w:val="00020EA0"/>
    <w:rsid w:val="00020EA9"/>
    <w:rsid w:val="00020F54"/>
    <w:rsid w:val="00020FBF"/>
    <w:rsid w:val="00021027"/>
    <w:rsid w:val="00021067"/>
    <w:rsid w:val="00021073"/>
    <w:rsid w:val="000210B0"/>
    <w:rsid w:val="00021158"/>
    <w:rsid w:val="000211F9"/>
    <w:rsid w:val="0002122A"/>
    <w:rsid w:val="0002124B"/>
    <w:rsid w:val="0002125A"/>
    <w:rsid w:val="00021299"/>
    <w:rsid w:val="000212B0"/>
    <w:rsid w:val="000212F9"/>
    <w:rsid w:val="00021312"/>
    <w:rsid w:val="0002135B"/>
    <w:rsid w:val="000213BF"/>
    <w:rsid w:val="000213F1"/>
    <w:rsid w:val="0002142B"/>
    <w:rsid w:val="00021458"/>
    <w:rsid w:val="000214BE"/>
    <w:rsid w:val="0002150B"/>
    <w:rsid w:val="000215AB"/>
    <w:rsid w:val="000215CE"/>
    <w:rsid w:val="000215D3"/>
    <w:rsid w:val="0002165D"/>
    <w:rsid w:val="00021674"/>
    <w:rsid w:val="000216AB"/>
    <w:rsid w:val="000216C4"/>
    <w:rsid w:val="00021701"/>
    <w:rsid w:val="0002171A"/>
    <w:rsid w:val="0002177E"/>
    <w:rsid w:val="000217D1"/>
    <w:rsid w:val="000217FF"/>
    <w:rsid w:val="00021874"/>
    <w:rsid w:val="000218B2"/>
    <w:rsid w:val="00021928"/>
    <w:rsid w:val="0002192B"/>
    <w:rsid w:val="00021938"/>
    <w:rsid w:val="00021946"/>
    <w:rsid w:val="000219EA"/>
    <w:rsid w:val="00021A0D"/>
    <w:rsid w:val="00021A34"/>
    <w:rsid w:val="00021A42"/>
    <w:rsid w:val="00021AC2"/>
    <w:rsid w:val="00021AD0"/>
    <w:rsid w:val="00021B0F"/>
    <w:rsid w:val="00021BE2"/>
    <w:rsid w:val="00021BE4"/>
    <w:rsid w:val="00021C09"/>
    <w:rsid w:val="00021CA3"/>
    <w:rsid w:val="00021CCC"/>
    <w:rsid w:val="00021D1C"/>
    <w:rsid w:val="00021D72"/>
    <w:rsid w:val="00021DEF"/>
    <w:rsid w:val="00021DF2"/>
    <w:rsid w:val="00021E31"/>
    <w:rsid w:val="00021EA6"/>
    <w:rsid w:val="00021EFF"/>
    <w:rsid w:val="00021F28"/>
    <w:rsid w:val="00021F46"/>
    <w:rsid w:val="00021F7C"/>
    <w:rsid w:val="00021F8C"/>
    <w:rsid w:val="00021FCF"/>
    <w:rsid w:val="00021FE0"/>
    <w:rsid w:val="00021FE4"/>
    <w:rsid w:val="0002211A"/>
    <w:rsid w:val="00022120"/>
    <w:rsid w:val="0002213F"/>
    <w:rsid w:val="000221CA"/>
    <w:rsid w:val="000221D5"/>
    <w:rsid w:val="000221DF"/>
    <w:rsid w:val="000221E4"/>
    <w:rsid w:val="000221E7"/>
    <w:rsid w:val="000221F9"/>
    <w:rsid w:val="00022235"/>
    <w:rsid w:val="000222E3"/>
    <w:rsid w:val="00022316"/>
    <w:rsid w:val="00022360"/>
    <w:rsid w:val="00022414"/>
    <w:rsid w:val="000224DF"/>
    <w:rsid w:val="000224F5"/>
    <w:rsid w:val="0002253C"/>
    <w:rsid w:val="00022543"/>
    <w:rsid w:val="00022582"/>
    <w:rsid w:val="000225B0"/>
    <w:rsid w:val="0002265D"/>
    <w:rsid w:val="00022666"/>
    <w:rsid w:val="0002267A"/>
    <w:rsid w:val="00022743"/>
    <w:rsid w:val="0002274C"/>
    <w:rsid w:val="0002279A"/>
    <w:rsid w:val="000227B0"/>
    <w:rsid w:val="00022800"/>
    <w:rsid w:val="00022837"/>
    <w:rsid w:val="00022894"/>
    <w:rsid w:val="000228DC"/>
    <w:rsid w:val="00022975"/>
    <w:rsid w:val="000229BE"/>
    <w:rsid w:val="00022A3B"/>
    <w:rsid w:val="00022A7A"/>
    <w:rsid w:val="00022B4A"/>
    <w:rsid w:val="00022B65"/>
    <w:rsid w:val="00022B67"/>
    <w:rsid w:val="00022B94"/>
    <w:rsid w:val="00022C26"/>
    <w:rsid w:val="00022C2F"/>
    <w:rsid w:val="00022CC4"/>
    <w:rsid w:val="00022CF3"/>
    <w:rsid w:val="00022D07"/>
    <w:rsid w:val="00022D6B"/>
    <w:rsid w:val="00022D77"/>
    <w:rsid w:val="00022D81"/>
    <w:rsid w:val="00022DDB"/>
    <w:rsid w:val="00022DEB"/>
    <w:rsid w:val="00022DF8"/>
    <w:rsid w:val="00022E54"/>
    <w:rsid w:val="00022E5F"/>
    <w:rsid w:val="00022F77"/>
    <w:rsid w:val="00022F78"/>
    <w:rsid w:val="00022F9A"/>
    <w:rsid w:val="00022FFC"/>
    <w:rsid w:val="0002300E"/>
    <w:rsid w:val="00023054"/>
    <w:rsid w:val="00023055"/>
    <w:rsid w:val="00023090"/>
    <w:rsid w:val="000230B4"/>
    <w:rsid w:val="00023287"/>
    <w:rsid w:val="00023297"/>
    <w:rsid w:val="000232B1"/>
    <w:rsid w:val="00023348"/>
    <w:rsid w:val="00023351"/>
    <w:rsid w:val="00023369"/>
    <w:rsid w:val="0002339B"/>
    <w:rsid w:val="000233AE"/>
    <w:rsid w:val="00023409"/>
    <w:rsid w:val="00023417"/>
    <w:rsid w:val="00023432"/>
    <w:rsid w:val="00023436"/>
    <w:rsid w:val="00023448"/>
    <w:rsid w:val="00023469"/>
    <w:rsid w:val="00023497"/>
    <w:rsid w:val="000234F0"/>
    <w:rsid w:val="000235A7"/>
    <w:rsid w:val="000235F7"/>
    <w:rsid w:val="00023696"/>
    <w:rsid w:val="0002369E"/>
    <w:rsid w:val="000236E0"/>
    <w:rsid w:val="000236EF"/>
    <w:rsid w:val="000236FD"/>
    <w:rsid w:val="00023727"/>
    <w:rsid w:val="0002372B"/>
    <w:rsid w:val="00023759"/>
    <w:rsid w:val="00023792"/>
    <w:rsid w:val="000237FE"/>
    <w:rsid w:val="00023815"/>
    <w:rsid w:val="00023819"/>
    <w:rsid w:val="00023832"/>
    <w:rsid w:val="000238AE"/>
    <w:rsid w:val="000238F5"/>
    <w:rsid w:val="0002397C"/>
    <w:rsid w:val="000239FB"/>
    <w:rsid w:val="00023A11"/>
    <w:rsid w:val="00023A23"/>
    <w:rsid w:val="00023A2D"/>
    <w:rsid w:val="00023B45"/>
    <w:rsid w:val="00023BCF"/>
    <w:rsid w:val="00023BD9"/>
    <w:rsid w:val="00023BEC"/>
    <w:rsid w:val="00023C7D"/>
    <w:rsid w:val="00023C9A"/>
    <w:rsid w:val="00023CB5"/>
    <w:rsid w:val="00023CEF"/>
    <w:rsid w:val="00023CFD"/>
    <w:rsid w:val="00023D43"/>
    <w:rsid w:val="00023D52"/>
    <w:rsid w:val="00023D83"/>
    <w:rsid w:val="00023DA6"/>
    <w:rsid w:val="00023DD7"/>
    <w:rsid w:val="00023E11"/>
    <w:rsid w:val="00023E54"/>
    <w:rsid w:val="00023E5A"/>
    <w:rsid w:val="00023E7C"/>
    <w:rsid w:val="00023EA2"/>
    <w:rsid w:val="00023EBB"/>
    <w:rsid w:val="00023F56"/>
    <w:rsid w:val="00023F82"/>
    <w:rsid w:val="00023F8E"/>
    <w:rsid w:val="00023F8F"/>
    <w:rsid w:val="00023F9E"/>
    <w:rsid w:val="0002401F"/>
    <w:rsid w:val="00024049"/>
    <w:rsid w:val="000240BF"/>
    <w:rsid w:val="00024277"/>
    <w:rsid w:val="00024298"/>
    <w:rsid w:val="000243D0"/>
    <w:rsid w:val="000243D2"/>
    <w:rsid w:val="000243E1"/>
    <w:rsid w:val="000243F0"/>
    <w:rsid w:val="000243FA"/>
    <w:rsid w:val="000244D1"/>
    <w:rsid w:val="000244ED"/>
    <w:rsid w:val="00024581"/>
    <w:rsid w:val="0002458C"/>
    <w:rsid w:val="0002459C"/>
    <w:rsid w:val="000245F3"/>
    <w:rsid w:val="00024610"/>
    <w:rsid w:val="00024617"/>
    <w:rsid w:val="0002462D"/>
    <w:rsid w:val="00024673"/>
    <w:rsid w:val="0002468E"/>
    <w:rsid w:val="00024693"/>
    <w:rsid w:val="00024702"/>
    <w:rsid w:val="000247D8"/>
    <w:rsid w:val="00024802"/>
    <w:rsid w:val="00024823"/>
    <w:rsid w:val="00024849"/>
    <w:rsid w:val="00024888"/>
    <w:rsid w:val="00024890"/>
    <w:rsid w:val="00024898"/>
    <w:rsid w:val="000248B9"/>
    <w:rsid w:val="000248DE"/>
    <w:rsid w:val="000248F9"/>
    <w:rsid w:val="000248FE"/>
    <w:rsid w:val="00024952"/>
    <w:rsid w:val="0002499F"/>
    <w:rsid w:val="000249BA"/>
    <w:rsid w:val="000249F9"/>
    <w:rsid w:val="00024A28"/>
    <w:rsid w:val="00024A35"/>
    <w:rsid w:val="00024AB5"/>
    <w:rsid w:val="00024AF8"/>
    <w:rsid w:val="00024B0F"/>
    <w:rsid w:val="00024B14"/>
    <w:rsid w:val="00024B3C"/>
    <w:rsid w:val="00024C45"/>
    <w:rsid w:val="00024C46"/>
    <w:rsid w:val="00024C54"/>
    <w:rsid w:val="00024C57"/>
    <w:rsid w:val="00024CEE"/>
    <w:rsid w:val="00024CF9"/>
    <w:rsid w:val="00024E9C"/>
    <w:rsid w:val="00024EC3"/>
    <w:rsid w:val="00024EE0"/>
    <w:rsid w:val="00024F6E"/>
    <w:rsid w:val="00024FC5"/>
    <w:rsid w:val="00024FD2"/>
    <w:rsid w:val="00024FD4"/>
    <w:rsid w:val="00024FF6"/>
    <w:rsid w:val="0002507C"/>
    <w:rsid w:val="000250CF"/>
    <w:rsid w:val="00025110"/>
    <w:rsid w:val="00025118"/>
    <w:rsid w:val="00025124"/>
    <w:rsid w:val="000251A5"/>
    <w:rsid w:val="000251A9"/>
    <w:rsid w:val="00025247"/>
    <w:rsid w:val="0002524E"/>
    <w:rsid w:val="0002525F"/>
    <w:rsid w:val="00025276"/>
    <w:rsid w:val="0002528A"/>
    <w:rsid w:val="000252BC"/>
    <w:rsid w:val="000252E7"/>
    <w:rsid w:val="0002533F"/>
    <w:rsid w:val="00025389"/>
    <w:rsid w:val="000253A6"/>
    <w:rsid w:val="000253A7"/>
    <w:rsid w:val="00025413"/>
    <w:rsid w:val="00025433"/>
    <w:rsid w:val="0002543C"/>
    <w:rsid w:val="00025464"/>
    <w:rsid w:val="00025469"/>
    <w:rsid w:val="000254A1"/>
    <w:rsid w:val="000254B1"/>
    <w:rsid w:val="000254EC"/>
    <w:rsid w:val="00025514"/>
    <w:rsid w:val="0002558E"/>
    <w:rsid w:val="000255A2"/>
    <w:rsid w:val="000255BE"/>
    <w:rsid w:val="00025602"/>
    <w:rsid w:val="0002561A"/>
    <w:rsid w:val="00025692"/>
    <w:rsid w:val="0002569B"/>
    <w:rsid w:val="000256CC"/>
    <w:rsid w:val="000256D5"/>
    <w:rsid w:val="000256F0"/>
    <w:rsid w:val="00025721"/>
    <w:rsid w:val="00025753"/>
    <w:rsid w:val="00025794"/>
    <w:rsid w:val="00025799"/>
    <w:rsid w:val="00025814"/>
    <w:rsid w:val="0002584F"/>
    <w:rsid w:val="0002588C"/>
    <w:rsid w:val="000259D7"/>
    <w:rsid w:val="00025AF8"/>
    <w:rsid w:val="00025B35"/>
    <w:rsid w:val="00025B40"/>
    <w:rsid w:val="00025B9C"/>
    <w:rsid w:val="00025BE3"/>
    <w:rsid w:val="00025C28"/>
    <w:rsid w:val="00025C3A"/>
    <w:rsid w:val="00025C3C"/>
    <w:rsid w:val="00025C42"/>
    <w:rsid w:val="00025CD7"/>
    <w:rsid w:val="00025D06"/>
    <w:rsid w:val="00025D0A"/>
    <w:rsid w:val="00025D2D"/>
    <w:rsid w:val="00025D30"/>
    <w:rsid w:val="00025D43"/>
    <w:rsid w:val="00025DDB"/>
    <w:rsid w:val="00025DF5"/>
    <w:rsid w:val="00025E19"/>
    <w:rsid w:val="00025E1A"/>
    <w:rsid w:val="00025E1E"/>
    <w:rsid w:val="00025E25"/>
    <w:rsid w:val="00025E6E"/>
    <w:rsid w:val="00025EB0"/>
    <w:rsid w:val="00025ED5"/>
    <w:rsid w:val="00025EDF"/>
    <w:rsid w:val="00025EF1"/>
    <w:rsid w:val="00025F7C"/>
    <w:rsid w:val="00025FFC"/>
    <w:rsid w:val="00026014"/>
    <w:rsid w:val="00026025"/>
    <w:rsid w:val="0002603E"/>
    <w:rsid w:val="00026080"/>
    <w:rsid w:val="00026092"/>
    <w:rsid w:val="0002609D"/>
    <w:rsid w:val="000260B1"/>
    <w:rsid w:val="0002614B"/>
    <w:rsid w:val="00026239"/>
    <w:rsid w:val="00026275"/>
    <w:rsid w:val="00026291"/>
    <w:rsid w:val="000262FE"/>
    <w:rsid w:val="00026350"/>
    <w:rsid w:val="0002639C"/>
    <w:rsid w:val="000263E4"/>
    <w:rsid w:val="000263F5"/>
    <w:rsid w:val="0002643C"/>
    <w:rsid w:val="00026478"/>
    <w:rsid w:val="00026574"/>
    <w:rsid w:val="000265BB"/>
    <w:rsid w:val="000265DE"/>
    <w:rsid w:val="00026621"/>
    <w:rsid w:val="000266EB"/>
    <w:rsid w:val="00026715"/>
    <w:rsid w:val="000267C7"/>
    <w:rsid w:val="000267CE"/>
    <w:rsid w:val="00026826"/>
    <w:rsid w:val="00026837"/>
    <w:rsid w:val="0002684E"/>
    <w:rsid w:val="0002685E"/>
    <w:rsid w:val="000268D4"/>
    <w:rsid w:val="00026937"/>
    <w:rsid w:val="000269EA"/>
    <w:rsid w:val="00026A4D"/>
    <w:rsid w:val="00026ABC"/>
    <w:rsid w:val="00026ACB"/>
    <w:rsid w:val="00026AEE"/>
    <w:rsid w:val="00026B2F"/>
    <w:rsid w:val="00026B36"/>
    <w:rsid w:val="00026B45"/>
    <w:rsid w:val="00026B8B"/>
    <w:rsid w:val="00026BB2"/>
    <w:rsid w:val="00026BBB"/>
    <w:rsid w:val="00026C2E"/>
    <w:rsid w:val="00026C39"/>
    <w:rsid w:val="00026C70"/>
    <w:rsid w:val="00026CD3"/>
    <w:rsid w:val="00026CE2"/>
    <w:rsid w:val="00026D23"/>
    <w:rsid w:val="00026D2F"/>
    <w:rsid w:val="00026D6C"/>
    <w:rsid w:val="00026DFA"/>
    <w:rsid w:val="00026E26"/>
    <w:rsid w:val="00026E51"/>
    <w:rsid w:val="00026E5C"/>
    <w:rsid w:val="00026E85"/>
    <w:rsid w:val="00026ECE"/>
    <w:rsid w:val="00026F06"/>
    <w:rsid w:val="00026F3B"/>
    <w:rsid w:val="00026F42"/>
    <w:rsid w:val="00026FE0"/>
    <w:rsid w:val="00026FFE"/>
    <w:rsid w:val="0002700E"/>
    <w:rsid w:val="00027013"/>
    <w:rsid w:val="0002703A"/>
    <w:rsid w:val="000270CF"/>
    <w:rsid w:val="000270D5"/>
    <w:rsid w:val="00027124"/>
    <w:rsid w:val="000271AC"/>
    <w:rsid w:val="000271DF"/>
    <w:rsid w:val="000271F6"/>
    <w:rsid w:val="00027237"/>
    <w:rsid w:val="00027267"/>
    <w:rsid w:val="000272B1"/>
    <w:rsid w:val="0002732D"/>
    <w:rsid w:val="00027349"/>
    <w:rsid w:val="000273C1"/>
    <w:rsid w:val="00027454"/>
    <w:rsid w:val="00027531"/>
    <w:rsid w:val="00027553"/>
    <w:rsid w:val="00027554"/>
    <w:rsid w:val="000275EE"/>
    <w:rsid w:val="00027616"/>
    <w:rsid w:val="0002766B"/>
    <w:rsid w:val="000276B8"/>
    <w:rsid w:val="00027724"/>
    <w:rsid w:val="00027766"/>
    <w:rsid w:val="00027786"/>
    <w:rsid w:val="00027793"/>
    <w:rsid w:val="000277B4"/>
    <w:rsid w:val="000277E5"/>
    <w:rsid w:val="00027828"/>
    <w:rsid w:val="00027873"/>
    <w:rsid w:val="0002788A"/>
    <w:rsid w:val="00027891"/>
    <w:rsid w:val="0002789A"/>
    <w:rsid w:val="000279A7"/>
    <w:rsid w:val="00027A4E"/>
    <w:rsid w:val="00027A6B"/>
    <w:rsid w:val="00027A6C"/>
    <w:rsid w:val="00027A71"/>
    <w:rsid w:val="00027A74"/>
    <w:rsid w:val="00027AED"/>
    <w:rsid w:val="00027B3E"/>
    <w:rsid w:val="00027B51"/>
    <w:rsid w:val="00027B88"/>
    <w:rsid w:val="00027B9D"/>
    <w:rsid w:val="00027BBF"/>
    <w:rsid w:val="00027C90"/>
    <w:rsid w:val="00027CA2"/>
    <w:rsid w:val="00027D04"/>
    <w:rsid w:val="00027D31"/>
    <w:rsid w:val="00027F4A"/>
    <w:rsid w:val="00027F67"/>
    <w:rsid w:val="00027FDD"/>
    <w:rsid w:val="00030048"/>
    <w:rsid w:val="0003006B"/>
    <w:rsid w:val="00030090"/>
    <w:rsid w:val="00030099"/>
    <w:rsid w:val="00030127"/>
    <w:rsid w:val="00030143"/>
    <w:rsid w:val="00030182"/>
    <w:rsid w:val="0003018D"/>
    <w:rsid w:val="00030191"/>
    <w:rsid w:val="00030230"/>
    <w:rsid w:val="00030265"/>
    <w:rsid w:val="00030268"/>
    <w:rsid w:val="00030269"/>
    <w:rsid w:val="00030280"/>
    <w:rsid w:val="000302B8"/>
    <w:rsid w:val="000302C2"/>
    <w:rsid w:val="000302C8"/>
    <w:rsid w:val="00030337"/>
    <w:rsid w:val="0003035B"/>
    <w:rsid w:val="00030399"/>
    <w:rsid w:val="000303B3"/>
    <w:rsid w:val="00030437"/>
    <w:rsid w:val="000304AC"/>
    <w:rsid w:val="000304B2"/>
    <w:rsid w:val="000304B6"/>
    <w:rsid w:val="00030515"/>
    <w:rsid w:val="0003051A"/>
    <w:rsid w:val="0003061E"/>
    <w:rsid w:val="000306AE"/>
    <w:rsid w:val="000307CC"/>
    <w:rsid w:val="00030830"/>
    <w:rsid w:val="00030879"/>
    <w:rsid w:val="00030895"/>
    <w:rsid w:val="000308D6"/>
    <w:rsid w:val="000308E6"/>
    <w:rsid w:val="00030916"/>
    <w:rsid w:val="00030922"/>
    <w:rsid w:val="00030930"/>
    <w:rsid w:val="0003094E"/>
    <w:rsid w:val="00030992"/>
    <w:rsid w:val="000309D2"/>
    <w:rsid w:val="000309E7"/>
    <w:rsid w:val="00030AA2"/>
    <w:rsid w:val="00030ABC"/>
    <w:rsid w:val="00030ADD"/>
    <w:rsid w:val="00030AF6"/>
    <w:rsid w:val="00030B21"/>
    <w:rsid w:val="00030B9B"/>
    <w:rsid w:val="00030BBC"/>
    <w:rsid w:val="00030C29"/>
    <w:rsid w:val="00030C36"/>
    <w:rsid w:val="00030C64"/>
    <w:rsid w:val="00030C79"/>
    <w:rsid w:val="00030C8B"/>
    <w:rsid w:val="00030CEB"/>
    <w:rsid w:val="00030D1A"/>
    <w:rsid w:val="00030DBE"/>
    <w:rsid w:val="00030DCE"/>
    <w:rsid w:val="00030E0F"/>
    <w:rsid w:val="00030E58"/>
    <w:rsid w:val="00030E74"/>
    <w:rsid w:val="00030F44"/>
    <w:rsid w:val="00030F66"/>
    <w:rsid w:val="00030F94"/>
    <w:rsid w:val="00030FE1"/>
    <w:rsid w:val="00031012"/>
    <w:rsid w:val="0003107F"/>
    <w:rsid w:val="00031136"/>
    <w:rsid w:val="000311B7"/>
    <w:rsid w:val="0003122E"/>
    <w:rsid w:val="0003125A"/>
    <w:rsid w:val="000313BE"/>
    <w:rsid w:val="000313C3"/>
    <w:rsid w:val="000313F4"/>
    <w:rsid w:val="00031407"/>
    <w:rsid w:val="00031417"/>
    <w:rsid w:val="00031484"/>
    <w:rsid w:val="000314BA"/>
    <w:rsid w:val="000314FB"/>
    <w:rsid w:val="00031514"/>
    <w:rsid w:val="00031534"/>
    <w:rsid w:val="0003153C"/>
    <w:rsid w:val="000315D9"/>
    <w:rsid w:val="000315F7"/>
    <w:rsid w:val="00031602"/>
    <w:rsid w:val="00031609"/>
    <w:rsid w:val="00031617"/>
    <w:rsid w:val="00031635"/>
    <w:rsid w:val="0003163E"/>
    <w:rsid w:val="000316AC"/>
    <w:rsid w:val="000316F1"/>
    <w:rsid w:val="00031712"/>
    <w:rsid w:val="00031762"/>
    <w:rsid w:val="00031789"/>
    <w:rsid w:val="0003187D"/>
    <w:rsid w:val="0003188B"/>
    <w:rsid w:val="0003188C"/>
    <w:rsid w:val="00031977"/>
    <w:rsid w:val="00031996"/>
    <w:rsid w:val="00031A2C"/>
    <w:rsid w:val="00031A5F"/>
    <w:rsid w:val="00031AD4"/>
    <w:rsid w:val="00031B10"/>
    <w:rsid w:val="00031B59"/>
    <w:rsid w:val="00031B64"/>
    <w:rsid w:val="00031BA2"/>
    <w:rsid w:val="00031BAB"/>
    <w:rsid w:val="00031BC0"/>
    <w:rsid w:val="00031BF1"/>
    <w:rsid w:val="00031C25"/>
    <w:rsid w:val="00031C71"/>
    <w:rsid w:val="00031C9E"/>
    <w:rsid w:val="00031D49"/>
    <w:rsid w:val="00031DE4"/>
    <w:rsid w:val="00031DEC"/>
    <w:rsid w:val="00031DFC"/>
    <w:rsid w:val="00031E4B"/>
    <w:rsid w:val="00031E4E"/>
    <w:rsid w:val="00031F51"/>
    <w:rsid w:val="00031F5E"/>
    <w:rsid w:val="00031FC7"/>
    <w:rsid w:val="00031FC8"/>
    <w:rsid w:val="00031FF9"/>
    <w:rsid w:val="00032022"/>
    <w:rsid w:val="000320E5"/>
    <w:rsid w:val="00032124"/>
    <w:rsid w:val="0003217E"/>
    <w:rsid w:val="00032181"/>
    <w:rsid w:val="000321F8"/>
    <w:rsid w:val="0003232A"/>
    <w:rsid w:val="00032339"/>
    <w:rsid w:val="00032354"/>
    <w:rsid w:val="000323CB"/>
    <w:rsid w:val="000323EF"/>
    <w:rsid w:val="0003242F"/>
    <w:rsid w:val="00032495"/>
    <w:rsid w:val="00032511"/>
    <w:rsid w:val="00032548"/>
    <w:rsid w:val="000325E4"/>
    <w:rsid w:val="0003261D"/>
    <w:rsid w:val="00032638"/>
    <w:rsid w:val="00032652"/>
    <w:rsid w:val="000326B4"/>
    <w:rsid w:val="000326E9"/>
    <w:rsid w:val="00032766"/>
    <w:rsid w:val="0003276E"/>
    <w:rsid w:val="00032781"/>
    <w:rsid w:val="000328A9"/>
    <w:rsid w:val="000328D1"/>
    <w:rsid w:val="000328DC"/>
    <w:rsid w:val="000328EE"/>
    <w:rsid w:val="000328F7"/>
    <w:rsid w:val="00032925"/>
    <w:rsid w:val="00032926"/>
    <w:rsid w:val="00032A05"/>
    <w:rsid w:val="00032A21"/>
    <w:rsid w:val="00032A34"/>
    <w:rsid w:val="00032A3C"/>
    <w:rsid w:val="00032A67"/>
    <w:rsid w:val="00032A89"/>
    <w:rsid w:val="00032A8E"/>
    <w:rsid w:val="00032AF7"/>
    <w:rsid w:val="00032B20"/>
    <w:rsid w:val="00032B30"/>
    <w:rsid w:val="00032B38"/>
    <w:rsid w:val="00032BA6"/>
    <w:rsid w:val="00032BD3"/>
    <w:rsid w:val="00032BD9"/>
    <w:rsid w:val="00032C29"/>
    <w:rsid w:val="00032C39"/>
    <w:rsid w:val="00032C63"/>
    <w:rsid w:val="00032C7D"/>
    <w:rsid w:val="00032CAA"/>
    <w:rsid w:val="00032CD2"/>
    <w:rsid w:val="00032CD7"/>
    <w:rsid w:val="00032CDD"/>
    <w:rsid w:val="00032CE4"/>
    <w:rsid w:val="00032D09"/>
    <w:rsid w:val="00032D13"/>
    <w:rsid w:val="00032E19"/>
    <w:rsid w:val="00032E22"/>
    <w:rsid w:val="00032E4B"/>
    <w:rsid w:val="00032E9A"/>
    <w:rsid w:val="00032EAA"/>
    <w:rsid w:val="00032EB1"/>
    <w:rsid w:val="00032FD9"/>
    <w:rsid w:val="00032FDE"/>
    <w:rsid w:val="00032FEC"/>
    <w:rsid w:val="00033012"/>
    <w:rsid w:val="00033026"/>
    <w:rsid w:val="00033052"/>
    <w:rsid w:val="0003308E"/>
    <w:rsid w:val="000330CB"/>
    <w:rsid w:val="000330D4"/>
    <w:rsid w:val="00033173"/>
    <w:rsid w:val="000331B0"/>
    <w:rsid w:val="000331C4"/>
    <w:rsid w:val="000331D1"/>
    <w:rsid w:val="0003320E"/>
    <w:rsid w:val="00033217"/>
    <w:rsid w:val="00033243"/>
    <w:rsid w:val="00033269"/>
    <w:rsid w:val="0003327F"/>
    <w:rsid w:val="00033293"/>
    <w:rsid w:val="000332C7"/>
    <w:rsid w:val="000332C9"/>
    <w:rsid w:val="000332D6"/>
    <w:rsid w:val="000332DA"/>
    <w:rsid w:val="000332F8"/>
    <w:rsid w:val="000333CA"/>
    <w:rsid w:val="0003340A"/>
    <w:rsid w:val="0003343A"/>
    <w:rsid w:val="00033505"/>
    <w:rsid w:val="0003350B"/>
    <w:rsid w:val="0003350D"/>
    <w:rsid w:val="00033579"/>
    <w:rsid w:val="0003357E"/>
    <w:rsid w:val="000335B3"/>
    <w:rsid w:val="000335E2"/>
    <w:rsid w:val="00033621"/>
    <w:rsid w:val="000336AF"/>
    <w:rsid w:val="00033715"/>
    <w:rsid w:val="00033728"/>
    <w:rsid w:val="000337B2"/>
    <w:rsid w:val="0003387B"/>
    <w:rsid w:val="00033886"/>
    <w:rsid w:val="00033897"/>
    <w:rsid w:val="00033921"/>
    <w:rsid w:val="00033960"/>
    <w:rsid w:val="0003396D"/>
    <w:rsid w:val="00033996"/>
    <w:rsid w:val="00033997"/>
    <w:rsid w:val="00033A34"/>
    <w:rsid w:val="00033A4E"/>
    <w:rsid w:val="00033A74"/>
    <w:rsid w:val="00033A7E"/>
    <w:rsid w:val="00033AD6"/>
    <w:rsid w:val="00033B00"/>
    <w:rsid w:val="00033B27"/>
    <w:rsid w:val="00033B8D"/>
    <w:rsid w:val="00033BA1"/>
    <w:rsid w:val="00033BA2"/>
    <w:rsid w:val="00033C46"/>
    <w:rsid w:val="00033C5D"/>
    <w:rsid w:val="00033C77"/>
    <w:rsid w:val="00033C9E"/>
    <w:rsid w:val="00033CEB"/>
    <w:rsid w:val="00033D08"/>
    <w:rsid w:val="00033D71"/>
    <w:rsid w:val="00033DC4"/>
    <w:rsid w:val="00033E30"/>
    <w:rsid w:val="00033F01"/>
    <w:rsid w:val="00033F27"/>
    <w:rsid w:val="00033F32"/>
    <w:rsid w:val="00033F48"/>
    <w:rsid w:val="00033F6C"/>
    <w:rsid w:val="00033F78"/>
    <w:rsid w:val="00033F7F"/>
    <w:rsid w:val="00033F85"/>
    <w:rsid w:val="00033FA5"/>
    <w:rsid w:val="00033FE7"/>
    <w:rsid w:val="00033FED"/>
    <w:rsid w:val="00034097"/>
    <w:rsid w:val="000340B1"/>
    <w:rsid w:val="000340C0"/>
    <w:rsid w:val="00034122"/>
    <w:rsid w:val="00034134"/>
    <w:rsid w:val="0003417D"/>
    <w:rsid w:val="000341D6"/>
    <w:rsid w:val="000341D9"/>
    <w:rsid w:val="000341E4"/>
    <w:rsid w:val="00034260"/>
    <w:rsid w:val="000342E8"/>
    <w:rsid w:val="00034329"/>
    <w:rsid w:val="00034374"/>
    <w:rsid w:val="000343ED"/>
    <w:rsid w:val="00034418"/>
    <w:rsid w:val="0003441C"/>
    <w:rsid w:val="00034420"/>
    <w:rsid w:val="00034426"/>
    <w:rsid w:val="00034430"/>
    <w:rsid w:val="000344B1"/>
    <w:rsid w:val="000344C3"/>
    <w:rsid w:val="0003451F"/>
    <w:rsid w:val="0003452E"/>
    <w:rsid w:val="00034539"/>
    <w:rsid w:val="00034627"/>
    <w:rsid w:val="00034639"/>
    <w:rsid w:val="00034643"/>
    <w:rsid w:val="0003467A"/>
    <w:rsid w:val="00034682"/>
    <w:rsid w:val="0003469F"/>
    <w:rsid w:val="000347E0"/>
    <w:rsid w:val="0003482F"/>
    <w:rsid w:val="0003485E"/>
    <w:rsid w:val="000348C3"/>
    <w:rsid w:val="000348D1"/>
    <w:rsid w:val="000349C0"/>
    <w:rsid w:val="00034A91"/>
    <w:rsid w:val="00034B8C"/>
    <w:rsid w:val="00034BA7"/>
    <w:rsid w:val="00034BFC"/>
    <w:rsid w:val="00034C30"/>
    <w:rsid w:val="00034C9D"/>
    <w:rsid w:val="00034CF2"/>
    <w:rsid w:val="00034D61"/>
    <w:rsid w:val="00034D6F"/>
    <w:rsid w:val="00034D77"/>
    <w:rsid w:val="00034DE3"/>
    <w:rsid w:val="00034E5E"/>
    <w:rsid w:val="00034F2A"/>
    <w:rsid w:val="00034F32"/>
    <w:rsid w:val="00034F68"/>
    <w:rsid w:val="00035005"/>
    <w:rsid w:val="00035014"/>
    <w:rsid w:val="00035041"/>
    <w:rsid w:val="00035120"/>
    <w:rsid w:val="0003512D"/>
    <w:rsid w:val="0003513B"/>
    <w:rsid w:val="00035170"/>
    <w:rsid w:val="000351A8"/>
    <w:rsid w:val="000351C5"/>
    <w:rsid w:val="000351C8"/>
    <w:rsid w:val="000351D3"/>
    <w:rsid w:val="000351E6"/>
    <w:rsid w:val="00035223"/>
    <w:rsid w:val="00035268"/>
    <w:rsid w:val="000352A2"/>
    <w:rsid w:val="0003530E"/>
    <w:rsid w:val="000353D2"/>
    <w:rsid w:val="00035469"/>
    <w:rsid w:val="000354B1"/>
    <w:rsid w:val="000354DF"/>
    <w:rsid w:val="00035538"/>
    <w:rsid w:val="00035577"/>
    <w:rsid w:val="0003557B"/>
    <w:rsid w:val="000355E9"/>
    <w:rsid w:val="0003562B"/>
    <w:rsid w:val="00035650"/>
    <w:rsid w:val="00035681"/>
    <w:rsid w:val="000356C3"/>
    <w:rsid w:val="000356CE"/>
    <w:rsid w:val="000356EA"/>
    <w:rsid w:val="00035791"/>
    <w:rsid w:val="00035804"/>
    <w:rsid w:val="00035815"/>
    <w:rsid w:val="00035822"/>
    <w:rsid w:val="000358B5"/>
    <w:rsid w:val="000358FA"/>
    <w:rsid w:val="00035930"/>
    <w:rsid w:val="00035954"/>
    <w:rsid w:val="0003595A"/>
    <w:rsid w:val="00035A7D"/>
    <w:rsid w:val="00035AB7"/>
    <w:rsid w:val="00035B3A"/>
    <w:rsid w:val="00035B3E"/>
    <w:rsid w:val="00035B8C"/>
    <w:rsid w:val="00035BDA"/>
    <w:rsid w:val="00035C34"/>
    <w:rsid w:val="00035CA0"/>
    <w:rsid w:val="00035CD7"/>
    <w:rsid w:val="00035D3E"/>
    <w:rsid w:val="00035DDA"/>
    <w:rsid w:val="00035DF4"/>
    <w:rsid w:val="00035E0C"/>
    <w:rsid w:val="00035E4F"/>
    <w:rsid w:val="00035E92"/>
    <w:rsid w:val="00035EEC"/>
    <w:rsid w:val="00035F10"/>
    <w:rsid w:val="00035F5A"/>
    <w:rsid w:val="00035F7F"/>
    <w:rsid w:val="00035F80"/>
    <w:rsid w:val="00035F87"/>
    <w:rsid w:val="00035F8F"/>
    <w:rsid w:val="00035FC6"/>
    <w:rsid w:val="00035FD4"/>
    <w:rsid w:val="00035FF5"/>
    <w:rsid w:val="00036047"/>
    <w:rsid w:val="00036059"/>
    <w:rsid w:val="000360ED"/>
    <w:rsid w:val="000360FA"/>
    <w:rsid w:val="00036109"/>
    <w:rsid w:val="00036155"/>
    <w:rsid w:val="00036158"/>
    <w:rsid w:val="00036180"/>
    <w:rsid w:val="00036229"/>
    <w:rsid w:val="00036350"/>
    <w:rsid w:val="00036355"/>
    <w:rsid w:val="00036407"/>
    <w:rsid w:val="00036409"/>
    <w:rsid w:val="0003648B"/>
    <w:rsid w:val="00036491"/>
    <w:rsid w:val="000364FF"/>
    <w:rsid w:val="0003653A"/>
    <w:rsid w:val="00036566"/>
    <w:rsid w:val="00036591"/>
    <w:rsid w:val="000365CD"/>
    <w:rsid w:val="000365E8"/>
    <w:rsid w:val="000365EB"/>
    <w:rsid w:val="0003667A"/>
    <w:rsid w:val="000366C2"/>
    <w:rsid w:val="00036708"/>
    <w:rsid w:val="0003673D"/>
    <w:rsid w:val="0003673E"/>
    <w:rsid w:val="00036793"/>
    <w:rsid w:val="000367C7"/>
    <w:rsid w:val="000367F0"/>
    <w:rsid w:val="00036804"/>
    <w:rsid w:val="00036815"/>
    <w:rsid w:val="0003681B"/>
    <w:rsid w:val="0003681F"/>
    <w:rsid w:val="00036848"/>
    <w:rsid w:val="0003688D"/>
    <w:rsid w:val="000368B9"/>
    <w:rsid w:val="00036944"/>
    <w:rsid w:val="0003694C"/>
    <w:rsid w:val="00036990"/>
    <w:rsid w:val="00036A16"/>
    <w:rsid w:val="00036A1C"/>
    <w:rsid w:val="00036A32"/>
    <w:rsid w:val="00036A76"/>
    <w:rsid w:val="00036A86"/>
    <w:rsid w:val="00036A90"/>
    <w:rsid w:val="00036A9A"/>
    <w:rsid w:val="00036AA4"/>
    <w:rsid w:val="00036AAC"/>
    <w:rsid w:val="00036AF8"/>
    <w:rsid w:val="00036BF7"/>
    <w:rsid w:val="00036C55"/>
    <w:rsid w:val="00036CB1"/>
    <w:rsid w:val="00036D38"/>
    <w:rsid w:val="00036D69"/>
    <w:rsid w:val="00036DA9"/>
    <w:rsid w:val="00036DB9"/>
    <w:rsid w:val="00036DF7"/>
    <w:rsid w:val="00036E5C"/>
    <w:rsid w:val="00036E8B"/>
    <w:rsid w:val="00036E92"/>
    <w:rsid w:val="00036ECD"/>
    <w:rsid w:val="00036EE6"/>
    <w:rsid w:val="00036EF8"/>
    <w:rsid w:val="00036F28"/>
    <w:rsid w:val="00036F76"/>
    <w:rsid w:val="00036F88"/>
    <w:rsid w:val="00036FB7"/>
    <w:rsid w:val="00036FE9"/>
    <w:rsid w:val="00036FF4"/>
    <w:rsid w:val="0003700F"/>
    <w:rsid w:val="00037014"/>
    <w:rsid w:val="00037015"/>
    <w:rsid w:val="0003702C"/>
    <w:rsid w:val="00037068"/>
    <w:rsid w:val="00037096"/>
    <w:rsid w:val="0003711A"/>
    <w:rsid w:val="0003712C"/>
    <w:rsid w:val="00037153"/>
    <w:rsid w:val="00037165"/>
    <w:rsid w:val="0003716C"/>
    <w:rsid w:val="0003721D"/>
    <w:rsid w:val="0003724C"/>
    <w:rsid w:val="000372A9"/>
    <w:rsid w:val="00037314"/>
    <w:rsid w:val="00037389"/>
    <w:rsid w:val="000373E8"/>
    <w:rsid w:val="0003740A"/>
    <w:rsid w:val="00037461"/>
    <w:rsid w:val="0003749C"/>
    <w:rsid w:val="000374A9"/>
    <w:rsid w:val="000374C8"/>
    <w:rsid w:val="000374CD"/>
    <w:rsid w:val="000374E5"/>
    <w:rsid w:val="000374E9"/>
    <w:rsid w:val="00037581"/>
    <w:rsid w:val="00037597"/>
    <w:rsid w:val="000375FE"/>
    <w:rsid w:val="0003767C"/>
    <w:rsid w:val="000376B7"/>
    <w:rsid w:val="000376EB"/>
    <w:rsid w:val="00037722"/>
    <w:rsid w:val="00037752"/>
    <w:rsid w:val="000377E6"/>
    <w:rsid w:val="00037899"/>
    <w:rsid w:val="000378B0"/>
    <w:rsid w:val="0003795A"/>
    <w:rsid w:val="000379BD"/>
    <w:rsid w:val="000379CA"/>
    <w:rsid w:val="000379CD"/>
    <w:rsid w:val="00037A62"/>
    <w:rsid w:val="00037A88"/>
    <w:rsid w:val="00037A98"/>
    <w:rsid w:val="00037AD2"/>
    <w:rsid w:val="00037AFF"/>
    <w:rsid w:val="00037B2C"/>
    <w:rsid w:val="00037B31"/>
    <w:rsid w:val="00037B37"/>
    <w:rsid w:val="00037B53"/>
    <w:rsid w:val="00037BCC"/>
    <w:rsid w:val="00037BD7"/>
    <w:rsid w:val="00037BEC"/>
    <w:rsid w:val="00037BFE"/>
    <w:rsid w:val="00037C00"/>
    <w:rsid w:val="00037CD8"/>
    <w:rsid w:val="00037CDB"/>
    <w:rsid w:val="00037D45"/>
    <w:rsid w:val="00037D5F"/>
    <w:rsid w:val="00037DD0"/>
    <w:rsid w:val="00037DDF"/>
    <w:rsid w:val="00037DE4"/>
    <w:rsid w:val="00037F11"/>
    <w:rsid w:val="00037F25"/>
    <w:rsid w:val="00037F41"/>
    <w:rsid w:val="00037F88"/>
    <w:rsid w:val="00037FDB"/>
    <w:rsid w:val="00040015"/>
    <w:rsid w:val="0004001A"/>
    <w:rsid w:val="0004005E"/>
    <w:rsid w:val="000400FC"/>
    <w:rsid w:val="00040119"/>
    <w:rsid w:val="0004011F"/>
    <w:rsid w:val="000401B4"/>
    <w:rsid w:val="00040240"/>
    <w:rsid w:val="00040269"/>
    <w:rsid w:val="000402AB"/>
    <w:rsid w:val="000402F3"/>
    <w:rsid w:val="000402FE"/>
    <w:rsid w:val="000403BF"/>
    <w:rsid w:val="000403FA"/>
    <w:rsid w:val="0004047C"/>
    <w:rsid w:val="000404C3"/>
    <w:rsid w:val="000404F6"/>
    <w:rsid w:val="000404F9"/>
    <w:rsid w:val="00040544"/>
    <w:rsid w:val="00040554"/>
    <w:rsid w:val="00040574"/>
    <w:rsid w:val="00040596"/>
    <w:rsid w:val="000405B7"/>
    <w:rsid w:val="00040668"/>
    <w:rsid w:val="0004067B"/>
    <w:rsid w:val="00040685"/>
    <w:rsid w:val="000406CA"/>
    <w:rsid w:val="0004073F"/>
    <w:rsid w:val="00040795"/>
    <w:rsid w:val="000407A5"/>
    <w:rsid w:val="00040821"/>
    <w:rsid w:val="0004082A"/>
    <w:rsid w:val="0004085B"/>
    <w:rsid w:val="000408C4"/>
    <w:rsid w:val="00040905"/>
    <w:rsid w:val="0004091A"/>
    <w:rsid w:val="0004092D"/>
    <w:rsid w:val="000409CE"/>
    <w:rsid w:val="000409DF"/>
    <w:rsid w:val="00040A08"/>
    <w:rsid w:val="00040A0D"/>
    <w:rsid w:val="00040A12"/>
    <w:rsid w:val="00040AB3"/>
    <w:rsid w:val="00040B03"/>
    <w:rsid w:val="00040B10"/>
    <w:rsid w:val="00040B23"/>
    <w:rsid w:val="00040B47"/>
    <w:rsid w:val="00040BA0"/>
    <w:rsid w:val="00040BC6"/>
    <w:rsid w:val="00040BE4"/>
    <w:rsid w:val="00040C32"/>
    <w:rsid w:val="00040CB6"/>
    <w:rsid w:val="00040CD1"/>
    <w:rsid w:val="00040D3E"/>
    <w:rsid w:val="00040D54"/>
    <w:rsid w:val="00040D96"/>
    <w:rsid w:val="00040E4B"/>
    <w:rsid w:val="00040E8B"/>
    <w:rsid w:val="00040EFC"/>
    <w:rsid w:val="00040EFE"/>
    <w:rsid w:val="00040EFF"/>
    <w:rsid w:val="00040F1E"/>
    <w:rsid w:val="00040F43"/>
    <w:rsid w:val="00040F86"/>
    <w:rsid w:val="00040FB7"/>
    <w:rsid w:val="0004106C"/>
    <w:rsid w:val="000410B0"/>
    <w:rsid w:val="000410C3"/>
    <w:rsid w:val="0004113D"/>
    <w:rsid w:val="0004118D"/>
    <w:rsid w:val="00041198"/>
    <w:rsid w:val="000411B9"/>
    <w:rsid w:val="000411C4"/>
    <w:rsid w:val="0004122C"/>
    <w:rsid w:val="0004124F"/>
    <w:rsid w:val="00041281"/>
    <w:rsid w:val="000412CE"/>
    <w:rsid w:val="000412FA"/>
    <w:rsid w:val="00041337"/>
    <w:rsid w:val="00041356"/>
    <w:rsid w:val="0004140A"/>
    <w:rsid w:val="0004147D"/>
    <w:rsid w:val="0004147F"/>
    <w:rsid w:val="000414C2"/>
    <w:rsid w:val="000414C6"/>
    <w:rsid w:val="00041550"/>
    <w:rsid w:val="00041555"/>
    <w:rsid w:val="00041568"/>
    <w:rsid w:val="000415BF"/>
    <w:rsid w:val="000415F7"/>
    <w:rsid w:val="0004161E"/>
    <w:rsid w:val="00041688"/>
    <w:rsid w:val="00041724"/>
    <w:rsid w:val="0004173F"/>
    <w:rsid w:val="0004179F"/>
    <w:rsid w:val="00041847"/>
    <w:rsid w:val="00041855"/>
    <w:rsid w:val="00041873"/>
    <w:rsid w:val="00041996"/>
    <w:rsid w:val="000419D1"/>
    <w:rsid w:val="000419DD"/>
    <w:rsid w:val="00041A05"/>
    <w:rsid w:val="00041A13"/>
    <w:rsid w:val="00041B51"/>
    <w:rsid w:val="00041B52"/>
    <w:rsid w:val="00041B7A"/>
    <w:rsid w:val="00041BB2"/>
    <w:rsid w:val="00041C24"/>
    <w:rsid w:val="00041C51"/>
    <w:rsid w:val="00041C73"/>
    <w:rsid w:val="00041C7F"/>
    <w:rsid w:val="00041CC6"/>
    <w:rsid w:val="00041CEC"/>
    <w:rsid w:val="00041CFF"/>
    <w:rsid w:val="00041D36"/>
    <w:rsid w:val="00041DA9"/>
    <w:rsid w:val="00041DB8"/>
    <w:rsid w:val="00041E0F"/>
    <w:rsid w:val="00041E26"/>
    <w:rsid w:val="00041E27"/>
    <w:rsid w:val="00041E2B"/>
    <w:rsid w:val="00041F1C"/>
    <w:rsid w:val="0004211A"/>
    <w:rsid w:val="00042155"/>
    <w:rsid w:val="00042158"/>
    <w:rsid w:val="000421FC"/>
    <w:rsid w:val="00042223"/>
    <w:rsid w:val="0004225F"/>
    <w:rsid w:val="00042340"/>
    <w:rsid w:val="000423A1"/>
    <w:rsid w:val="00042484"/>
    <w:rsid w:val="000424A6"/>
    <w:rsid w:val="0004253A"/>
    <w:rsid w:val="00042583"/>
    <w:rsid w:val="00042599"/>
    <w:rsid w:val="0004263A"/>
    <w:rsid w:val="00042654"/>
    <w:rsid w:val="00042658"/>
    <w:rsid w:val="000426A4"/>
    <w:rsid w:val="000426A5"/>
    <w:rsid w:val="00042764"/>
    <w:rsid w:val="000427FA"/>
    <w:rsid w:val="00042824"/>
    <w:rsid w:val="0004285E"/>
    <w:rsid w:val="000428A5"/>
    <w:rsid w:val="000428C4"/>
    <w:rsid w:val="0004290D"/>
    <w:rsid w:val="000429CF"/>
    <w:rsid w:val="00042A03"/>
    <w:rsid w:val="00042A0E"/>
    <w:rsid w:val="00042A7E"/>
    <w:rsid w:val="00042AA0"/>
    <w:rsid w:val="00042ACA"/>
    <w:rsid w:val="00042AE2"/>
    <w:rsid w:val="00042B13"/>
    <w:rsid w:val="00042BC2"/>
    <w:rsid w:val="00042C11"/>
    <w:rsid w:val="00042C67"/>
    <w:rsid w:val="00042C83"/>
    <w:rsid w:val="00042CEE"/>
    <w:rsid w:val="00042D08"/>
    <w:rsid w:val="00042D56"/>
    <w:rsid w:val="00042E67"/>
    <w:rsid w:val="00042E92"/>
    <w:rsid w:val="00042EB1"/>
    <w:rsid w:val="00042EE4"/>
    <w:rsid w:val="00042FAB"/>
    <w:rsid w:val="00042FC7"/>
    <w:rsid w:val="00042FFC"/>
    <w:rsid w:val="00043010"/>
    <w:rsid w:val="00043029"/>
    <w:rsid w:val="00043066"/>
    <w:rsid w:val="00043087"/>
    <w:rsid w:val="000430D7"/>
    <w:rsid w:val="000430EA"/>
    <w:rsid w:val="0004310C"/>
    <w:rsid w:val="00043156"/>
    <w:rsid w:val="0004318E"/>
    <w:rsid w:val="000431AC"/>
    <w:rsid w:val="000431C8"/>
    <w:rsid w:val="00043240"/>
    <w:rsid w:val="00043265"/>
    <w:rsid w:val="000432E4"/>
    <w:rsid w:val="0004336B"/>
    <w:rsid w:val="0004336C"/>
    <w:rsid w:val="0004337A"/>
    <w:rsid w:val="000433B0"/>
    <w:rsid w:val="000433C0"/>
    <w:rsid w:val="0004341F"/>
    <w:rsid w:val="000434EA"/>
    <w:rsid w:val="000434F7"/>
    <w:rsid w:val="00043508"/>
    <w:rsid w:val="00043520"/>
    <w:rsid w:val="000435A9"/>
    <w:rsid w:val="000435C3"/>
    <w:rsid w:val="00043627"/>
    <w:rsid w:val="000436CE"/>
    <w:rsid w:val="000436CF"/>
    <w:rsid w:val="0004370B"/>
    <w:rsid w:val="000437BC"/>
    <w:rsid w:val="000437EC"/>
    <w:rsid w:val="00043931"/>
    <w:rsid w:val="00043951"/>
    <w:rsid w:val="0004396E"/>
    <w:rsid w:val="0004399C"/>
    <w:rsid w:val="000439B3"/>
    <w:rsid w:val="000439BE"/>
    <w:rsid w:val="000439D0"/>
    <w:rsid w:val="000439E8"/>
    <w:rsid w:val="00043A1E"/>
    <w:rsid w:val="00043A3F"/>
    <w:rsid w:val="00043ABB"/>
    <w:rsid w:val="00043AFB"/>
    <w:rsid w:val="00043BBD"/>
    <w:rsid w:val="00043C64"/>
    <w:rsid w:val="00043C8E"/>
    <w:rsid w:val="00043CC2"/>
    <w:rsid w:val="00043D21"/>
    <w:rsid w:val="00043D2D"/>
    <w:rsid w:val="00043D40"/>
    <w:rsid w:val="00043D62"/>
    <w:rsid w:val="00043D9D"/>
    <w:rsid w:val="00043DDF"/>
    <w:rsid w:val="00043E02"/>
    <w:rsid w:val="00043E40"/>
    <w:rsid w:val="00043E4B"/>
    <w:rsid w:val="00043F23"/>
    <w:rsid w:val="00043F72"/>
    <w:rsid w:val="00043F94"/>
    <w:rsid w:val="00043FB8"/>
    <w:rsid w:val="000440AA"/>
    <w:rsid w:val="000440C8"/>
    <w:rsid w:val="000440D5"/>
    <w:rsid w:val="00044180"/>
    <w:rsid w:val="000441A3"/>
    <w:rsid w:val="0004421A"/>
    <w:rsid w:val="00044241"/>
    <w:rsid w:val="000442BF"/>
    <w:rsid w:val="00044355"/>
    <w:rsid w:val="0004436B"/>
    <w:rsid w:val="000443E3"/>
    <w:rsid w:val="00044402"/>
    <w:rsid w:val="0004442F"/>
    <w:rsid w:val="00044469"/>
    <w:rsid w:val="00044473"/>
    <w:rsid w:val="00044477"/>
    <w:rsid w:val="0004447C"/>
    <w:rsid w:val="000444E0"/>
    <w:rsid w:val="00044523"/>
    <w:rsid w:val="00044552"/>
    <w:rsid w:val="00044570"/>
    <w:rsid w:val="00044572"/>
    <w:rsid w:val="0004459A"/>
    <w:rsid w:val="000445B0"/>
    <w:rsid w:val="000445B4"/>
    <w:rsid w:val="000445C4"/>
    <w:rsid w:val="000445CE"/>
    <w:rsid w:val="00044650"/>
    <w:rsid w:val="00044713"/>
    <w:rsid w:val="00044719"/>
    <w:rsid w:val="00044731"/>
    <w:rsid w:val="00044743"/>
    <w:rsid w:val="0004474A"/>
    <w:rsid w:val="000447A4"/>
    <w:rsid w:val="00044824"/>
    <w:rsid w:val="000448B3"/>
    <w:rsid w:val="000448F0"/>
    <w:rsid w:val="00044925"/>
    <w:rsid w:val="00044956"/>
    <w:rsid w:val="00044A14"/>
    <w:rsid w:val="00044A24"/>
    <w:rsid w:val="00044A28"/>
    <w:rsid w:val="00044A32"/>
    <w:rsid w:val="00044A45"/>
    <w:rsid w:val="00044AA5"/>
    <w:rsid w:val="00044AC1"/>
    <w:rsid w:val="00044AEB"/>
    <w:rsid w:val="00044B31"/>
    <w:rsid w:val="00044BEE"/>
    <w:rsid w:val="00044C44"/>
    <w:rsid w:val="00044C98"/>
    <w:rsid w:val="00044CB4"/>
    <w:rsid w:val="00044D05"/>
    <w:rsid w:val="00044D19"/>
    <w:rsid w:val="00044D71"/>
    <w:rsid w:val="00044D90"/>
    <w:rsid w:val="00044DF3"/>
    <w:rsid w:val="00044E20"/>
    <w:rsid w:val="00044E41"/>
    <w:rsid w:val="00044E46"/>
    <w:rsid w:val="00044E73"/>
    <w:rsid w:val="00044E7E"/>
    <w:rsid w:val="00044ED1"/>
    <w:rsid w:val="00044EE0"/>
    <w:rsid w:val="00044F24"/>
    <w:rsid w:val="00044F2F"/>
    <w:rsid w:val="00044F8B"/>
    <w:rsid w:val="00044FBE"/>
    <w:rsid w:val="00044FCB"/>
    <w:rsid w:val="000450ED"/>
    <w:rsid w:val="00045102"/>
    <w:rsid w:val="000451E4"/>
    <w:rsid w:val="00045218"/>
    <w:rsid w:val="00045295"/>
    <w:rsid w:val="000452C3"/>
    <w:rsid w:val="0004535D"/>
    <w:rsid w:val="00045371"/>
    <w:rsid w:val="00045396"/>
    <w:rsid w:val="00045433"/>
    <w:rsid w:val="0004543E"/>
    <w:rsid w:val="00045452"/>
    <w:rsid w:val="000454AA"/>
    <w:rsid w:val="000454BF"/>
    <w:rsid w:val="000454C0"/>
    <w:rsid w:val="000454CA"/>
    <w:rsid w:val="00045509"/>
    <w:rsid w:val="00045525"/>
    <w:rsid w:val="0004552F"/>
    <w:rsid w:val="00045543"/>
    <w:rsid w:val="0004554B"/>
    <w:rsid w:val="0004557E"/>
    <w:rsid w:val="000455E2"/>
    <w:rsid w:val="00045653"/>
    <w:rsid w:val="00045659"/>
    <w:rsid w:val="000456A1"/>
    <w:rsid w:val="000456AD"/>
    <w:rsid w:val="000456BE"/>
    <w:rsid w:val="000456E6"/>
    <w:rsid w:val="000456F3"/>
    <w:rsid w:val="00045725"/>
    <w:rsid w:val="00045771"/>
    <w:rsid w:val="0004579A"/>
    <w:rsid w:val="000457E9"/>
    <w:rsid w:val="00045833"/>
    <w:rsid w:val="0004588B"/>
    <w:rsid w:val="00045912"/>
    <w:rsid w:val="00045913"/>
    <w:rsid w:val="0004593F"/>
    <w:rsid w:val="0004597A"/>
    <w:rsid w:val="0004597C"/>
    <w:rsid w:val="00045992"/>
    <w:rsid w:val="000459F9"/>
    <w:rsid w:val="00045A08"/>
    <w:rsid w:val="00045A44"/>
    <w:rsid w:val="00045A7B"/>
    <w:rsid w:val="00045A92"/>
    <w:rsid w:val="00045AF9"/>
    <w:rsid w:val="00045B1D"/>
    <w:rsid w:val="00045B2E"/>
    <w:rsid w:val="00045B52"/>
    <w:rsid w:val="00045C1D"/>
    <w:rsid w:val="00045C2A"/>
    <w:rsid w:val="00045C7C"/>
    <w:rsid w:val="00045CEC"/>
    <w:rsid w:val="00045D00"/>
    <w:rsid w:val="00045D80"/>
    <w:rsid w:val="00045DBC"/>
    <w:rsid w:val="00045DC8"/>
    <w:rsid w:val="00045DEE"/>
    <w:rsid w:val="00045E6C"/>
    <w:rsid w:val="00045EC2"/>
    <w:rsid w:val="00045F78"/>
    <w:rsid w:val="00045F7A"/>
    <w:rsid w:val="00045F81"/>
    <w:rsid w:val="00045FD4"/>
    <w:rsid w:val="0004600C"/>
    <w:rsid w:val="0004605D"/>
    <w:rsid w:val="00046074"/>
    <w:rsid w:val="00046096"/>
    <w:rsid w:val="0004610D"/>
    <w:rsid w:val="00046149"/>
    <w:rsid w:val="00046166"/>
    <w:rsid w:val="00046224"/>
    <w:rsid w:val="00046262"/>
    <w:rsid w:val="00046323"/>
    <w:rsid w:val="0004635E"/>
    <w:rsid w:val="00046473"/>
    <w:rsid w:val="00046483"/>
    <w:rsid w:val="0004649D"/>
    <w:rsid w:val="000464C6"/>
    <w:rsid w:val="000464D8"/>
    <w:rsid w:val="0004650A"/>
    <w:rsid w:val="00046513"/>
    <w:rsid w:val="00046545"/>
    <w:rsid w:val="000465BB"/>
    <w:rsid w:val="000465BE"/>
    <w:rsid w:val="00046759"/>
    <w:rsid w:val="0004677D"/>
    <w:rsid w:val="0004678E"/>
    <w:rsid w:val="00046796"/>
    <w:rsid w:val="000467CA"/>
    <w:rsid w:val="0004688D"/>
    <w:rsid w:val="00046899"/>
    <w:rsid w:val="00046907"/>
    <w:rsid w:val="0004691F"/>
    <w:rsid w:val="00046988"/>
    <w:rsid w:val="00046994"/>
    <w:rsid w:val="0004699A"/>
    <w:rsid w:val="000469A3"/>
    <w:rsid w:val="000469BF"/>
    <w:rsid w:val="000469FD"/>
    <w:rsid w:val="00046A2A"/>
    <w:rsid w:val="00046A40"/>
    <w:rsid w:val="00046A4E"/>
    <w:rsid w:val="00046A7A"/>
    <w:rsid w:val="00046A8C"/>
    <w:rsid w:val="00046ACA"/>
    <w:rsid w:val="00046B07"/>
    <w:rsid w:val="00046B22"/>
    <w:rsid w:val="00046BE8"/>
    <w:rsid w:val="00046C09"/>
    <w:rsid w:val="00046C0B"/>
    <w:rsid w:val="00046C2B"/>
    <w:rsid w:val="00046CCE"/>
    <w:rsid w:val="00046D10"/>
    <w:rsid w:val="00046D66"/>
    <w:rsid w:val="00046DA8"/>
    <w:rsid w:val="00046DCD"/>
    <w:rsid w:val="00046E30"/>
    <w:rsid w:val="00046E54"/>
    <w:rsid w:val="00046E5D"/>
    <w:rsid w:val="00046EA3"/>
    <w:rsid w:val="00046ECF"/>
    <w:rsid w:val="00046EE4"/>
    <w:rsid w:val="00046F38"/>
    <w:rsid w:val="00046F4D"/>
    <w:rsid w:val="00047009"/>
    <w:rsid w:val="00047047"/>
    <w:rsid w:val="0004704C"/>
    <w:rsid w:val="000470EA"/>
    <w:rsid w:val="00047112"/>
    <w:rsid w:val="00047167"/>
    <w:rsid w:val="0004717A"/>
    <w:rsid w:val="00047201"/>
    <w:rsid w:val="0004725B"/>
    <w:rsid w:val="0004728D"/>
    <w:rsid w:val="00047294"/>
    <w:rsid w:val="0004729A"/>
    <w:rsid w:val="000472A0"/>
    <w:rsid w:val="000472B4"/>
    <w:rsid w:val="0004733C"/>
    <w:rsid w:val="0004737A"/>
    <w:rsid w:val="00047384"/>
    <w:rsid w:val="000473B7"/>
    <w:rsid w:val="000473B9"/>
    <w:rsid w:val="000473CC"/>
    <w:rsid w:val="000473D5"/>
    <w:rsid w:val="00047406"/>
    <w:rsid w:val="00047454"/>
    <w:rsid w:val="0004748A"/>
    <w:rsid w:val="000474DC"/>
    <w:rsid w:val="0004753D"/>
    <w:rsid w:val="0004754F"/>
    <w:rsid w:val="00047552"/>
    <w:rsid w:val="0004755A"/>
    <w:rsid w:val="000475E7"/>
    <w:rsid w:val="000475FE"/>
    <w:rsid w:val="0004761F"/>
    <w:rsid w:val="000476DB"/>
    <w:rsid w:val="0004770E"/>
    <w:rsid w:val="0004771D"/>
    <w:rsid w:val="00047746"/>
    <w:rsid w:val="0004774E"/>
    <w:rsid w:val="0004781A"/>
    <w:rsid w:val="00047925"/>
    <w:rsid w:val="000479DE"/>
    <w:rsid w:val="00047B03"/>
    <w:rsid w:val="00047B73"/>
    <w:rsid w:val="00047B86"/>
    <w:rsid w:val="00047C35"/>
    <w:rsid w:val="00047C78"/>
    <w:rsid w:val="00047C99"/>
    <w:rsid w:val="00047CBF"/>
    <w:rsid w:val="00047CC9"/>
    <w:rsid w:val="00047CD3"/>
    <w:rsid w:val="00047D2C"/>
    <w:rsid w:val="00047D39"/>
    <w:rsid w:val="00047D57"/>
    <w:rsid w:val="00047D61"/>
    <w:rsid w:val="00047D9B"/>
    <w:rsid w:val="00047DC7"/>
    <w:rsid w:val="00047DD4"/>
    <w:rsid w:val="00047DFD"/>
    <w:rsid w:val="00047E1B"/>
    <w:rsid w:val="00047ECC"/>
    <w:rsid w:val="00047ED5"/>
    <w:rsid w:val="00047F4D"/>
    <w:rsid w:val="00047F70"/>
    <w:rsid w:val="00047F8A"/>
    <w:rsid w:val="00047F95"/>
    <w:rsid w:val="00047FAE"/>
    <w:rsid w:val="0004C1AB"/>
    <w:rsid w:val="00050246"/>
    <w:rsid w:val="0005028A"/>
    <w:rsid w:val="00050350"/>
    <w:rsid w:val="000503AF"/>
    <w:rsid w:val="000503D3"/>
    <w:rsid w:val="00050400"/>
    <w:rsid w:val="0005041B"/>
    <w:rsid w:val="00050431"/>
    <w:rsid w:val="00050445"/>
    <w:rsid w:val="0005047A"/>
    <w:rsid w:val="0005057F"/>
    <w:rsid w:val="00050580"/>
    <w:rsid w:val="00050668"/>
    <w:rsid w:val="000507DB"/>
    <w:rsid w:val="000507EF"/>
    <w:rsid w:val="00050818"/>
    <w:rsid w:val="0005083B"/>
    <w:rsid w:val="0005085E"/>
    <w:rsid w:val="00050877"/>
    <w:rsid w:val="00050885"/>
    <w:rsid w:val="000508D9"/>
    <w:rsid w:val="0005094F"/>
    <w:rsid w:val="00050963"/>
    <w:rsid w:val="00050966"/>
    <w:rsid w:val="00050994"/>
    <w:rsid w:val="00050A1D"/>
    <w:rsid w:val="00050AEF"/>
    <w:rsid w:val="00050B45"/>
    <w:rsid w:val="00050B90"/>
    <w:rsid w:val="00050BEC"/>
    <w:rsid w:val="00050BF4"/>
    <w:rsid w:val="00050C1E"/>
    <w:rsid w:val="00050C3C"/>
    <w:rsid w:val="00050C6F"/>
    <w:rsid w:val="00050C79"/>
    <w:rsid w:val="00050D0B"/>
    <w:rsid w:val="00050D7B"/>
    <w:rsid w:val="00050D7F"/>
    <w:rsid w:val="00050DAE"/>
    <w:rsid w:val="00050E09"/>
    <w:rsid w:val="00050E51"/>
    <w:rsid w:val="00050E95"/>
    <w:rsid w:val="00050EC4"/>
    <w:rsid w:val="00050ECF"/>
    <w:rsid w:val="00050F00"/>
    <w:rsid w:val="00050F05"/>
    <w:rsid w:val="00050F90"/>
    <w:rsid w:val="00050FC6"/>
    <w:rsid w:val="00051008"/>
    <w:rsid w:val="0005103A"/>
    <w:rsid w:val="0005104F"/>
    <w:rsid w:val="0005105B"/>
    <w:rsid w:val="0005107C"/>
    <w:rsid w:val="0005109A"/>
    <w:rsid w:val="00051121"/>
    <w:rsid w:val="00051134"/>
    <w:rsid w:val="00051146"/>
    <w:rsid w:val="0005117F"/>
    <w:rsid w:val="00051239"/>
    <w:rsid w:val="000512BE"/>
    <w:rsid w:val="00051342"/>
    <w:rsid w:val="00051397"/>
    <w:rsid w:val="000513A1"/>
    <w:rsid w:val="000513B7"/>
    <w:rsid w:val="000513E6"/>
    <w:rsid w:val="0005141F"/>
    <w:rsid w:val="00051463"/>
    <w:rsid w:val="0005148A"/>
    <w:rsid w:val="00051497"/>
    <w:rsid w:val="000514FC"/>
    <w:rsid w:val="00051611"/>
    <w:rsid w:val="00051622"/>
    <w:rsid w:val="000516C3"/>
    <w:rsid w:val="000516C6"/>
    <w:rsid w:val="000516FA"/>
    <w:rsid w:val="0005172A"/>
    <w:rsid w:val="0005173F"/>
    <w:rsid w:val="0005174E"/>
    <w:rsid w:val="00051762"/>
    <w:rsid w:val="0005176D"/>
    <w:rsid w:val="00051876"/>
    <w:rsid w:val="00051892"/>
    <w:rsid w:val="00051918"/>
    <w:rsid w:val="00051923"/>
    <w:rsid w:val="00051A41"/>
    <w:rsid w:val="00051A68"/>
    <w:rsid w:val="00051A92"/>
    <w:rsid w:val="00051B39"/>
    <w:rsid w:val="00051B96"/>
    <w:rsid w:val="00051BD4"/>
    <w:rsid w:val="00051C44"/>
    <w:rsid w:val="00051C86"/>
    <w:rsid w:val="00051CB9"/>
    <w:rsid w:val="00051CF4"/>
    <w:rsid w:val="00051CFD"/>
    <w:rsid w:val="00051D21"/>
    <w:rsid w:val="00051D52"/>
    <w:rsid w:val="00051D72"/>
    <w:rsid w:val="00051E2B"/>
    <w:rsid w:val="00051E3D"/>
    <w:rsid w:val="00051E5E"/>
    <w:rsid w:val="00051F4F"/>
    <w:rsid w:val="00051F63"/>
    <w:rsid w:val="00051FE7"/>
    <w:rsid w:val="00051FEB"/>
    <w:rsid w:val="0005208A"/>
    <w:rsid w:val="000520BC"/>
    <w:rsid w:val="000520F3"/>
    <w:rsid w:val="00052147"/>
    <w:rsid w:val="0005215A"/>
    <w:rsid w:val="000521B6"/>
    <w:rsid w:val="000521FC"/>
    <w:rsid w:val="000521FF"/>
    <w:rsid w:val="00052204"/>
    <w:rsid w:val="00052289"/>
    <w:rsid w:val="00052302"/>
    <w:rsid w:val="00052306"/>
    <w:rsid w:val="00052324"/>
    <w:rsid w:val="00052332"/>
    <w:rsid w:val="000523ED"/>
    <w:rsid w:val="00052402"/>
    <w:rsid w:val="0005249A"/>
    <w:rsid w:val="000524CC"/>
    <w:rsid w:val="000524E2"/>
    <w:rsid w:val="000524E7"/>
    <w:rsid w:val="000524FB"/>
    <w:rsid w:val="00052516"/>
    <w:rsid w:val="00052564"/>
    <w:rsid w:val="0005256A"/>
    <w:rsid w:val="0005259C"/>
    <w:rsid w:val="000525B6"/>
    <w:rsid w:val="00052635"/>
    <w:rsid w:val="00052678"/>
    <w:rsid w:val="00052708"/>
    <w:rsid w:val="0005274E"/>
    <w:rsid w:val="0005277B"/>
    <w:rsid w:val="000527E0"/>
    <w:rsid w:val="000527F8"/>
    <w:rsid w:val="00052884"/>
    <w:rsid w:val="000528CB"/>
    <w:rsid w:val="0005298D"/>
    <w:rsid w:val="00052A1F"/>
    <w:rsid w:val="00052A2C"/>
    <w:rsid w:val="00052A82"/>
    <w:rsid w:val="00052ADA"/>
    <w:rsid w:val="00052AF0"/>
    <w:rsid w:val="00052B1E"/>
    <w:rsid w:val="00052BED"/>
    <w:rsid w:val="00052C0C"/>
    <w:rsid w:val="00052C24"/>
    <w:rsid w:val="00052C31"/>
    <w:rsid w:val="00052D47"/>
    <w:rsid w:val="00052DA3"/>
    <w:rsid w:val="00052DBB"/>
    <w:rsid w:val="00052E31"/>
    <w:rsid w:val="00052E4B"/>
    <w:rsid w:val="00052ECC"/>
    <w:rsid w:val="00052EE0"/>
    <w:rsid w:val="00052F0E"/>
    <w:rsid w:val="00052F1D"/>
    <w:rsid w:val="00052F35"/>
    <w:rsid w:val="00052FC8"/>
    <w:rsid w:val="00053035"/>
    <w:rsid w:val="00053037"/>
    <w:rsid w:val="00053062"/>
    <w:rsid w:val="00053087"/>
    <w:rsid w:val="0005308D"/>
    <w:rsid w:val="00053094"/>
    <w:rsid w:val="0005309E"/>
    <w:rsid w:val="000530E1"/>
    <w:rsid w:val="00053271"/>
    <w:rsid w:val="00053293"/>
    <w:rsid w:val="0005329B"/>
    <w:rsid w:val="000533A0"/>
    <w:rsid w:val="000533B4"/>
    <w:rsid w:val="000533BC"/>
    <w:rsid w:val="000533D4"/>
    <w:rsid w:val="000533D6"/>
    <w:rsid w:val="00053413"/>
    <w:rsid w:val="0005341F"/>
    <w:rsid w:val="00053437"/>
    <w:rsid w:val="000534D0"/>
    <w:rsid w:val="000534F1"/>
    <w:rsid w:val="0005353E"/>
    <w:rsid w:val="00053598"/>
    <w:rsid w:val="00053599"/>
    <w:rsid w:val="00053682"/>
    <w:rsid w:val="000536C2"/>
    <w:rsid w:val="000536CB"/>
    <w:rsid w:val="000536F2"/>
    <w:rsid w:val="00053708"/>
    <w:rsid w:val="00053734"/>
    <w:rsid w:val="0005386D"/>
    <w:rsid w:val="00053894"/>
    <w:rsid w:val="00053897"/>
    <w:rsid w:val="000538B8"/>
    <w:rsid w:val="000538C4"/>
    <w:rsid w:val="000538F4"/>
    <w:rsid w:val="0005390B"/>
    <w:rsid w:val="00053911"/>
    <w:rsid w:val="0005391E"/>
    <w:rsid w:val="0005394A"/>
    <w:rsid w:val="00053956"/>
    <w:rsid w:val="0005397E"/>
    <w:rsid w:val="000539B5"/>
    <w:rsid w:val="000539B8"/>
    <w:rsid w:val="00053A10"/>
    <w:rsid w:val="00053A5D"/>
    <w:rsid w:val="00053A64"/>
    <w:rsid w:val="00053A83"/>
    <w:rsid w:val="00053AB8"/>
    <w:rsid w:val="00053B29"/>
    <w:rsid w:val="00053B95"/>
    <w:rsid w:val="00053C7C"/>
    <w:rsid w:val="00053C92"/>
    <w:rsid w:val="00053C98"/>
    <w:rsid w:val="00053CEB"/>
    <w:rsid w:val="00053CEF"/>
    <w:rsid w:val="00053CF6"/>
    <w:rsid w:val="00053D13"/>
    <w:rsid w:val="00053D80"/>
    <w:rsid w:val="00053DA3"/>
    <w:rsid w:val="00053E2B"/>
    <w:rsid w:val="00053E3C"/>
    <w:rsid w:val="00053E9E"/>
    <w:rsid w:val="00053F2A"/>
    <w:rsid w:val="00053F4D"/>
    <w:rsid w:val="00053F95"/>
    <w:rsid w:val="00053F9A"/>
    <w:rsid w:val="00053FE6"/>
    <w:rsid w:val="00053FF2"/>
    <w:rsid w:val="00053FFB"/>
    <w:rsid w:val="0005401C"/>
    <w:rsid w:val="0005402A"/>
    <w:rsid w:val="00054057"/>
    <w:rsid w:val="0005405F"/>
    <w:rsid w:val="000540BB"/>
    <w:rsid w:val="0005414F"/>
    <w:rsid w:val="000541A0"/>
    <w:rsid w:val="000541BF"/>
    <w:rsid w:val="000542E9"/>
    <w:rsid w:val="0005433B"/>
    <w:rsid w:val="00054380"/>
    <w:rsid w:val="00054386"/>
    <w:rsid w:val="0005440E"/>
    <w:rsid w:val="0005444A"/>
    <w:rsid w:val="000544D1"/>
    <w:rsid w:val="0005450D"/>
    <w:rsid w:val="00054563"/>
    <w:rsid w:val="000545AD"/>
    <w:rsid w:val="000545B5"/>
    <w:rsid w:val="000545C0"/>
    <w:rsid w:val="000545FB"/>
    <w:rsid w:val="00054605"/>
    <w:rsid w:val="00054618"/>
    <w:rsid w:val="0005463D"/>
    <w:rsid w:val="00054653"/>
    <w:rsid w:val="0005466E"/>
    <w:rsid w:val="000546B0"/>
    <w:rsid w:val="00054730"/>
    <w:rsid w:val="00054738"/>
    <w:rsid w:val="000547E6"/>
    <w:rsid w:val="00054824"/>
    <w:rsid w:val="0005482F"/>
    <w:rsid w:val="00054875"/>
    <w:rsid w:val="000548F2"/>
    <w:rsid w:val="00054958"/>
    <w:rsid w:val="00054969"/>
    <w:rsid w:val="000549A4"/>
    <w:rsid w:val="000549C8"/>
    <w:rsid w:val="00054A22"/>
    <w:rsid w:val="00054A7A"/>
    <w:rsid w:val="00054A8E"/>
    <w:rsid w:val="00054AAA"/>
    <w:rsid w:val="00054B2B"/>
    <w:rsid w:val="00054BCF"/>
    <w:rsid w:val="00054BD4"/>
    <w:rsid w:val="00054C07"/>
    <w:rsid w:val="00054C7C"/>
    <w:rsid w:val="00054CA3"/>
    <w:rsid w:val="00054CB5"/>
    <w:rsid w:val="00054CF2"/>
    <w:rsid w:val="00054D5F"/>
    <w:rsid w:val="00054DAC"/>
    <w:rsid w:val="00054DC8"/>
    <w:rsid w:val="00054DD8"/>
    <w:rsid w:val="00054DE9"/>
    <w:rsid w:val="00054DF8"/>
    <w:rsid w:val="00054DFC"/>
    <w:rsid w:val="00054E33"/>
    <w:rsid w:val="00054E39"/>
    <w:rsid w:val="00054E48"/>
    <w:rsid w:val="00054E66"/>
    <w:rsid w:val="00054E9D"/>
    <w:rsid w:val="00054EC8"/>
    <w:rsid w:val="00054ED3"/>
    <w:rsid w:val="00054EF8"/>
    <w:rsid w:val="00054F03"/>
    <w:rsid w:val="00054F12"/>
    <w:rsid w:val="00054F65"/>
    <w:rsid w:val="00054F66"/>
    <w:rsid w:val="00054F6F"/>
    <w:rsid w:val="00055037"/>
    <w:rsid w:val="0005509C"/>
    <w:rsid w:val="000550A2"/>
    <w:rsid w:val="000550AE"/>
    <w:rsid w:val="00055151"/>
    <w:rsid w:val="00055177"/>
    <w:rsid w:val="000551C9"/>
    <w:rsid w:val="00055216"/>
    <w:rsid w:val="00055247"/>
    <w:rsid w:val="00055266"/>
    <w:rsid w:val="0005526C"/>
    <w:rsid w:val="0005526D"/>
    <w:rsid w:val="00055270"/>
    <w:rsid w:val="00055279"/>
    <w:rsid w:val="00055296"/>
    <w:rsid w:val="000552AB"/>
    <w:rsid w:val="000552BC"/>
    <w:rsid w:val="000552DB"/>
    <w:rsid w:val="000552F5"/>
    <w:rsid w:val="0005548E"/>
    <w:rsid w:val="0005549C"/>
    <w:rsid w:val="00055510"/>
    <w:rsid w:val="0005552A"/>
    <w:rsid w:val="00055567"/>
    <w:rsid w:val="000555E7"/>
    <w:rsid w:val="000555F7"/>
    <w:rsid w:val="00055689"/>
    <w:rsid w:val="0005568B"/>
    <w:rsid w:val="00055760"/>
    <w:rsid w:val="000557A9"/>
    <w:rsid w:val="00055846"/>
    <w:rsid w:val="0005585C"/>
    <w:rsid w:val="00055887"/>
    <w:rsid w:val="000558AF"/>
    <w:rsid w:val="000558E4"/>
    <w:rsid w:val="0005592F"/>
    <w:rsid w:val="00055957"/>
    <w:rsid w:val="00055995"/>
    <w:rsid w:val="000559B9"/>
    <w:rsid w:val="000559BE"/>
    <w:rsid w:val="000559D8"/>
    <w:rsid w:val="000559ED"/>
    <w:rsid w:val="000559EE"/>
    <w:rsid w:val="00055A8E"/>
    <w:rsid w:val="00055AF8"/>
    <w:rsid w:val="00055B25"/>
    <w:rsid w:val="00055BB9"/>
    <w:rsid w:val="00055BC7"/>
    <w:rsid w:val="00055BCD"/>
    <w:rsid w:val="00055BDF"/>
    <w:rsid w:val="00055C26"/>
    <w:rsid w:val="00055C52"/>
    <w:rsid w:val="00055CA1"/>
    <w:rsid w:val="00055CA3"/>
    <w:rsid w:val="00055CA5"/>
    <w:rsid w:val="00055CF8"/>
    <w:rsid w:val="00055D09"/>
    <w:rsid w:val="00055D33"/>
    <w:rsid w:val="00055D35"/>
    <w:rsid w:val="00055D64"/>
    <w:rsid w:val="00055D67"/>
    <w:rsid w:val="00055DA9"/>
    <w:rsid w:val="00055DC9"/>
    <w:rsid w:val="00055DE6"/>
    <w:rsid w:val="00055E01"/>
    <w:rsid w:val="00055E29"/>
    <w:rsid w:val="00055E73"/>
    <w:rsid w:val="00055FD4"/>
    <w:rsid w:val="00056047"/>
    <w:rsid w:val="000560C5"/>
    <w:rsid w:val="00056124"/>
    <w:rsid w:val="0005613C"/>
    <w:rsid w:val="000561A5"/>
    <w:rsid w:val="000561C2"/>
    <w:rsid w:val="0005623C"/>
    <w:rsid w:val="00056285"/>
    <w:rsid w:val="000562C3"/>
    <w:rsid w:val="0005631A"/>
    <w:rsid w:val="0005632A"/>
    <w:rsid w:val="00056336"/>
    <w:rsid w:val="0005635B"/>
    <w:rsid w:val="0005636A"/>
    <w:rsid w:val="00056385"/>
    <w:rsid w:val="00056398"/>
    <w:rsid w:val="000563E7"/>
    <w:rsid w:val="0005643A"/>
    <w:rsid w:val="00056450"/>
    <w:rsid w:val="0005649F"/>
    <w:rsid w:val="000564B0"/>
    <w:rsid w:val="0005657D"/>
    <w:rsid w:val="0005658E"/>
    <w:rsid w:val="000565DF"/>
    <w:rsid w:val="00056656"/>
    <w:rsid w:val="0005665A"/>
    <w:rsid w:val="0005665B"/>
    <w:rsid w:val="000566F9"/>
    <w:rsid w:val="0005677D"/>
    <w:rsid w:val="0005687C"/>
    <w:rsid w:val="000568C0"/>
    <w:rsid w:val="00056943"/>
    <w:rsid w:val="0005696B"/>
    <w:rsid w:val="000569CD"/>
    <w:rsid w:val="000569FE"/>
    <w:rsid w:val="00056A35"/>
    <w:rsid w:val="00056A36"/>
    <w:rsid w:val="00056A37"/>
    <w:rsid w:val="00056A77"/>
    <w:rsid w:val="00056AD2"/>
    <w:rsid w:val="00056B10"/>
    <w:rsid w:val="00056BAF"/>
    <w:rsid w:val="00056BB5"/>
    <w:rsid w:val="00056C29"/>
    <w:rsid w:val="00056C45"/>
    <w:rsid w:val="00056C99"/>
    <w:rsid w:val="00056CB1"/>
    <w:rsid w:val="00056D0C"/>
    <w:rsid w:val="00056D29"/>
    <w:rsid w:val="00056D55"/>
    <w:rsid w:val="00056DAF"/>
    <w:rsid w:val="00056DF8"/>
    <w:rsid w:val="00056E09"/>
    <w:rsid w:val="00056E68"/>
    <w:rsid w:val="00056EA5"/>
    <w:rsid w:val="00056ED3"/>
    <w:rsid w:val="00056F43"/>
    <w:rsid w:val="00056F4C"/>
    <w:rsid w:val="00056F4E"/>
    <w:rsid w:val="00056F65"/>
    <w:rsid w:val="00056FC9"/>
    <w:rsid w:val="00056FD7"/>
    <w:rsid w:val="00056FE1"/>
    <w:rsid w:val="000570B2"/>
    <w:rsid w:val="00057126"/>
    <w:rsid w:val="0005716B"/>
    <w:rsid w:val="000571B6"/>
    <w:rsid w:val="00057200"/>
    <w:rsid w:val="00057255"/>
    <w:rsid w:val="000572F6"/>
    <w:rsid w:val="00057339"/>
    <w:rsid w:val="00057342"/>
    <w:rsid w:val="00057356"/>
    <w:rsid w:val="00057375"/>
    <w:rsid w:val="00057386"/>
    <w:rsid w:val="000573CD"/>
    <w:rsid w:val="000573FD"/>
    <w:rsid w:val="000574ED"/>
    <w:rsid w:val="0005750E"/>
    <w:rsid w:val="00057535"/>
    <w:rsid w:val="0005755F"/>
    <w:rsid w:val="00057595"/>
    <w:rsid w:val="00057611"/>
    <w:rsid w:val="0005767A"/>
    <w:rsid w:val="00057682"/>
    <w:rsid w:val="00057795"/>
    <w:rsid w:val="000577B3"/>
    <w:rsid w:val="000577B6"/>
    <w:rsid w:val="000577F4"/>
    <w:rsid w:val="00057860"/>
    <w:rsid w:val="00057881"/>
    <w:rsid w:val="000578BC"/>
    <w:rsid w:val="000578DE"/>
    <w:rsid w:val="00057919"/>
    <w:rsid w:val="00057960"/>
    <w:rsid w:val="00057983"/>
    <w:rsid w:val="000579B1"/>
    <w:rsid w:val="000579B8"/>
    <w:rsid w:val="000579C8"/>
    <w:rsid w:val="000579EB"/>
    <w:rsid w:val="00057A61"/>
    <w:rsid w:val="00057A8E"/>
    <w:rsid w:val="00057AB3"/>
    <w:rsid w:val="00057AF8"/>
    <w:rsid w:val="00057B2E"/>
    <w:rsid w:val="00057B93"/>
    <w:rsid w:val="00057BB4"/>
    <w:rsid w:val="00057C1F"/>
    <w:rsid w:val="00057C7A"/>
    <w:rsid w:val="00057C90"/>
    <w:rsid w:val="00057C9E"/>
    <w:rsid w:val="00057CCC"/>
    <w:rsid w:val="00057CE1"/>
    <w:rsid w:val="00057CE9"/>
    <w:rsid w:val="00057D77"/>
    <w:rsid w:val="00057DF2"/>
    <w:rsid w:val="00057E06"/>
    <w:rsid w:val="00057E0D"/>
    <w:rsid w:val="00057E4B"/>
    <w:rsid w:val="00057E4C"/>
    <w:rsid w:val="00057E4F"/>
    <w:rsid w:val="00057E8D"/>
    <w:rsid w:val="00057E94"/>
    <w:rsid w:val="00057EA3"/>
    <w:rsid w:val="00057EDB"/>
    <w:rsid w:val="00057F43"/>
    <w:rsid w:val="00057F79"/>
    <w:rsid w:val="00057FE6"/>
    <w:rsid w:val="00057FFE"/>
    <w:rsid w:val="00060030"/>
    <w:rsid w:val="000600C6"/>
    <w:rsid w:val="000600DC"/>
    <w:rsid w:val="0006010F"/>
    <w:rsid w:val="0006012B"/>
    <w:rsid w:val="00060136"/>
    <w:rsid w:val="00060185"/>
    <w:rsid w:val="0006018D"/>
    <w:rsid w:val="000601A9"/>
    <w:rsid w:val="00060269"/>
    <w:rsid w:val="000602A2"/>
    <w:rsid w:val="000602B1"/>
    <w:rsid w:val="0006030A"/>
    <w:rsid w:val="0006030C"/>
    <w:rsid w:val="0006031B"/>
    <w:rsid w:val="0006034B"/>
    <w:rsid w:val="00060376"/>
    <w:rsid w:val="0006038E"/>
    <w:rsid w:val="000603E6"/>
    <w:rsid w:val="0006041B"/>
    <w:rsid w:val="00060436"/>
    <w:rsid w:val="00060494"/>
    <w:rsid w:val="000604D7"/>
    <w:rsid w:val="00060557"/>
    <w:rsid w:val="00060586"/>
    <w:rsid w:val="0006058D"/>
    <w:rsid w:val="000605A5"/>
    <w:rsid w:val="0006060E"/>
    <w:rsid w:val="00060625"/>
    <w:rsid w:val="00060654"/>
    <w:rsid w:val="0006069D"/>
    <w:rsid w:val="000606C7"/>
    <w:rsid w:val="000606EE"/>
    <w:rsid w:val="0006074D"/>
    <w:rsid w:val="00060754"/>
    <w:rsid w:val="0006076E"/>
    <w:rsid w:val="000607EE"/>
    <w:rsid w:val="0006085A"/>
    <w:rsid w:val="0006085C"/>
    <w:rsid w:val="000608D1"/>
    <w:rsid w:val="00060902"/>
    <w:rsid w:val="000609A7"/>
    <w:rsid w:val="000609C4"/>
    <w:rsid w:val="000609CB"/>
    <w:rsid w:val="000609D1"/>
    <w:rsid w:val="00060A02"/>
    <w:rsid w:val="00060A07"/>
    <w:rsid w:val="00060A22"/>
    <w:rsid w:val="00060A40"/>
    <w:rsid w:val="00060AB8"/>
    <w:rsid w:val="00060AEE"/>
    <w:rsid w:val="00060B02"/>
    <w:rsid w:val="00060B22"/>
    <w:rsid w:val="00060B3F"/>
    <w:rsid w:val="00060B85"/>
    <w:rsid w:val="00060BD9"/>
    <w:rsid w:val="00060BED"/>
    <w:rsid w:val="00060C5F"/>
    <w:rsid w:val="00060CB8"/>
    <w:rsid w:val="00060CCE"/>
    <w:rsid w:val="00060CE3"/>
    <w:rsid w:val="00060CFE"/>
    <w:rsid w:val="00060D23"/>
    <w:rsid w:val="00060D37"/>
    <w:rsid w:val="00060DDA"/>
    <w:rsid w:val="00060DDF"/>
    <w:rsid w:val="00060DF8"/>
    <w:rsid w:val="00060DFB"/>
    <w:rsid w:val="00060E29"/>
    <w:rsid w:val="00060E92"/>
    <w:rsid w:val="00060EF7"/>
    <w:rsid w:val="00060F3B"/>
    <w:rsid w:val="00060FBC"/>
    <w:rsid w:val="00060FE5"/>
    <w:rsid w:val="0006103A"/>
    <w:rsid w:val="0006103F"/>
    <w:rsid w:val="00061073"/>
    <w:rsid w:val="00061114"/>
    <w:rsid w:val="00061189"/>
    <w:rsid w:val="000611B3"/>
    <w:rsid w:val="000611D1"/>
    <w:rsid w:val="0006122A"/>
    <w:rsid w:val="00061287"/>
    <w:rsid w:val="000612A8"/>
    <w:rsid w:val="000612B0"/>
    <w:rsid w:val="000612B7"/>
    <w:rsid w:val="0006130F"/>
    <w:rsid w:val="0006136B"/>
    <w:rsid w:val="00061419"/>
    <w:rsid w:val="00061436"/>
    <w:rsid w:val="0006146E"/>
    <w:rsid w:val="00061479"/>
    <w:rsid w:val="0006155F"/>
    <w:rsid w:val="00061604"/>
    <w:rsid w:val="00061620"/>
    <w:rsid w:val="0006167F"/>
    <w:rsid w:val="00061882"/>
    <w:rsid w:val="00061886"/>
    <w:rsid w:val="0006188A"/>
    <w:rsid w:val="00061893"/>
    <w:rsid w:val="000618B3"/>
    <w:rsid w:val="000618DF"/>
    <w:rsid w:val="000618F7"/>
    <w:rsid w:val="0006192C"/>
    <w:rsid w:val="0006197C"/>
    <w:rsid w:val="0006199E"/>
    <w:rsid w:val="000619B2"/>
    <w:rsid w:val="00061A0A"/>
    <w:rsid w:val="00061A99"/>
    <w:rsid w:val="00061AE8"/>
    <w:rsid w:val="00061AF7"/>
    <w:rsid w:val="00061B7B"/>
    <w:rsid w:val="00061BF7"/>
    <w:rsid w:val="00061BF9"/>
    <w:rsid w:val="00061C56"/>
    <w:rsid w:val="00061C7A"/>
    <w:rsid w:val="00061CB1"/>
    <w:rsid w:val="00061CB3"/>
    <w:rsid w:val="00061CE3"/>
    <w:rsid w:val="00061CF2"/>
    <w:rsid w:val="00061D02"/>
    <w:rsid w:val="00061D24"/>
    <w:rsid w:val="00061D25"/>
    <w:rsid w:val="00061D6C"/>
    <w:rsid w:val="00061D96"/>
    <w:rsid w:val="00061D9C"/>
    <w:rsid w:val="00061E46"/>
    <w:rsid w:val="00061E48"/>
    <w:rsid w:val="00061EBC"/>
    <w:rsid w:val="00061EF3"/>
    <w:rsid w:val="00061EF5"/>
    <w:rsid w:val="00061F48"/>
    <w:rsid w:val="00061F60"/>
    <w:rsid w:val="00061F97"/>
    <w:rsid w:val="00062022"/>
    <w:rsid w:val="0006203C"/>
    <w:rsid w:val="00062098"/>
    <w:rsid w:val="000620A7"/>
    <w:rsid w:val="000620B9"/>
    <w:rsid w:val="000620D5"/>
    <w:rsid w:val="000620EA"/>
    <w:rsid w:val="000620FA"/>
    <w:rsid w:val="00062106"/>
    <w:rsid w:val="000621AB"/>
    <w:rsid w:val="000621C1"/>
    <w:rsid w:val="0006222A"/>
    <w:rsid w:val="00062328"/>
    <w:rsid w:val="0006242E"/>
    <w:rsid w:val="00062455"/>
    <w:rsid w:val="00062473"/>
    <w:rsid w:val="00062485"/>
    <w:rsid w:val="000624BB"/>
    <w:rsid w:val="000624BC"/>
    <w:rsid w:val="000624DA"/>
    <w:rsid w:val="000624E7"/>
    <w:rsid w:val="000624EC"/>
    <w:rsid w:val="000625A7"/>
    <w:rsid w:val="000625E2"/>
    <w:rsid w:val="00062616"/>
    <w:rsid w:val="0006267C"/>
    <w:rsid w:val="0006269C"/>
    <w:rsid w:val="000626B1"/>
    <w:rsid w:val="00062731"/>
    <w:rsid w:val="000627D8"/>
    <w:rsid w:val="000627F4"/>
    <w:rsid w:val="00062812"/>
    <w:rsid w:val="0006286B"/>
    <w:rsid w:val="0006288B"/>
    <w:rsid w:val="000628D6"/>
    <w:rsid w:val="0006291D"/>
    <w:rsid w:val="0006293F"/>
    <w:rsid w:val="0006294C"/>
    <w:rsid w:val="00062994"/>
    <w:rsid w:val="000629CF"/>
    <w:rsid w:val="00062A40"/>
    <w:rsid w:val="00062A64"/>
    <w:rsid w:val="00062A88"/>
    <w:rsid w:val="00062A89"/>
    <w:rsid w:val="00062A90"/>
    <w:rsid w:val="00062AA2"/>
    <w:rsid w:val="00062AA5"/>
    <w:rsid w:val="00062B0C"/>
    <w:rsid w:val="00062B74"/>
    <w:rsid w:val="00062BAB"/>
    <w:rsid w:val="00062BDE"/>
    <w:rsid w:val="00062C3D"/>
    <w:rsid w:val="00062CBD"/>
    <w:rsid w:val="00062D3E"/>
    <w:rsid w:val="00062D6F"/>
    <w:rsid w:val="00062D9C"/>
    <w:rsid w:val="00062E1D"/>
    <w:rsid w:val="00062E53"/>
    <w:rsid w:val="00062E7F"/>
    <w:rsid w:val="00062EA1"/>
    <w:rsid w:val="00062F20"/>
    <w:rsid w:val="00062F70"/>
    <w:rsid w:val="00062F7D"/>
    <w:rsid w:val="00063005"/>
    <w:rsid w:val="00063054"/>
    <w:rsid w:val="0006315F"/>
    <w:rsid w:val="0006316D"/>
    <w:rsid w:val="0006317A"/>
    <w:rsid w:val="0006318B"/>
    <w:rsid w:val="0006318E"/>
    <w:rsid w:val="00063204"/>
    <w:rsid w:val="00063214"/>
    <w:rsid w:val="00063245"/>
    <w:rsid w:val="00063247"/>
    <w:rsid w:val="000632BE"/>
    <w:rsid w:val="000632DD"/>
    <w:rsid w:val="00063338"/>
    <w:rsid w:val="00063340"/>
    <w:rsid w:val="00063365"/>
    <w:rsid w:val="0006337D"/>
    <w:rsid w:val="00063387"/>
    <w:rsid w:val="0006338B"/>
    <w:rsid w:val="00063400"/>
    <w:rsid w:val="000634E4"/>
    <w:rsid w:val="000634EA"/>
    <w:rsid w:val="00063555"/>
    <w:rsid w:val="00063595"/>
    <w:rsid w:val="000635EA"/>
    <w:rsid w:val="00063604"/>
    <w:rsid w:val="0006367D"/>
    <w:rsid w:val="000636D2"/>
    <w:rsid w:val="000637A6"/>
    <w:rsid w:val="000637B0"/>
    <w:rsid w:val="000637EB"/>
    <w:rsid w:val="0006381F"/>
    <w:rsid w:val="00063849"/>
    <w:rsid w:val="00063885"/>
    <w:rsid w:val="00063988"/>
    <w:rsid w:val="0006398F"/>
    <w:rsid w:val="000639CB"/>
    <w:rsid w:val="00063A94"/>
    <w:rsid w:val="00063AEC"/>
    <w:rsid w:val="00063AF5"/>
    <w:rsid w:val="00063C16"/>
    <w:rsid w:val="00063C4B"/>
    <w:rsid w:val="00063C64"/>
    <w:rsid w:val="00063CD5"/>
    <w:rsid w:val="00063D6B"/>
    <w:rsid w:val="00063DBB"/>
    <w:rsid w:val="00063DEF"/>
    <w:rsid w:val="00063E1A"/>
    <w:rsid w:val="00063E71"/>
    <w:rsid w:val="00063EF0"/>
    <w:rsid w:val="00063EFD"/>
    <w:rsid w:val="00063F29"/>
    <w:rsid w:val="00063F47"/>
    <w:rsid w:val="00063F51"/>
    <w:rsid w:val="00063F98"/>
    <w:rsid w:val="00063FD9"/>
    <w:rsid w:val="00064004"/>
    <w:rsid w:val="00064026"/>
    <w:rsid w:val="00064049"/>
    <w:rsid w:val="000640C7"/>
    <w:rsid w:val="000640DA"/>
    <w:rsid w:val="00064118"/>
    <w:rsid w:val="00064174"/>
    <w:rsid w:val="0006417A"/>
    <w:rsid w:val="00064190"/>
    <w:rsid w:val="000641B6"/>
    <w:rsid w:val="00064208"/>
    <w:rsid w:val="00064229"/>
    <w:rsid w:val="0006426F"/>
    <w:rsid w:val="00064312"/>
    <w:rsid w:val="00064362"/>
    <w:rsid w:val="0006438C"/>
    <w:rsid w:val="0006439B"/>
    <w:rsid w:val="000643A0"/>
    <w:rsid w:val="000643DF"/>
    <w:rsid w:val="000643FB"/>
    <w:rsid w:val="00064449"/>
    <w:rsid w:val="00064468"/>
    <w:rsid w:val="000644A3"/>
    <w:rsid w:val="00064570"/>
    <w:rsid w:val="000645A2"/>
    <w:rsid w:val="000645DE"/>
    <w:rsid w:val="000646DE"/>
    <w:rsid w:val="00064726"/>
    <w:rsid w:val="000648DE"/>
    <w:rsid w:val="0006492C"/>
    <w:rsid w:val="00064947"/>
    <w:rsid w:val="00064983"/>
    <w:rsid w:val="000649E7"/>
    <w:rsid w:val="00064A04"/>
    <w:rsid w:val="00064A3D"/>
    <w:rsid w:val="00064A52"/>
    <w:rsid w:val="00064A74"/>
    <w:rsid w:val="00064AA4"/>
    <w:rsid w:val="00064AB8"/>
    <w:rsid w:val="00064AD4"/>
    <w:rsid w:val="00064ADC"/>
    <w:rsid w:val="00064B5C"/>
    <w:rsid w:val="00064B6E"/>
    <w:rsid w:val="00064B81"/>
    <w:rsid w:val="00064BAE"/>
    <w:rsid w:val="00064BD7"/>
    <w:rsid w:val="00064BE9"/>
    <w:rsid w:val="00064C08"/>
    <w:rsid w:val="00064C1E"/>
    <w:rsid w:val="00064C4B"/>
    <w:rsid w:val="00064C6F"/>
    <w:rsid w:val="00064CAA"/>
    <w:rsid w:val="00064CB5"/>
    <w:rsid w:val="00064CD5"/>
    <w:rsid w:val="00064D15"/>
    <w:rsid w:val="00064D87"/>
    <w:rsid w:val="00064DEB"/>
    <w:rsid w:val="00064E02"/>
    <w:rsid w:val="00064E50"/>
    <w:rsid w:val="00064E52"/>
    <w:rsid w:val="00064EAD"/>
    <w:rsid w:val="00064ED1"/>
    <w:rsid w:val="00064F06"/>
    <w:rsid w:val="00064F86"/>
    <w:rsid w:val="00064F8E"/>
    <w:rsid w:val="00064FC0"/>
    <w:rsid w:val="00064FCC"/>
    <w:rsid w:val="00064FF5"/>
    <w:rsid w:val="00065024"/>
    <w:rsid w:val="00065032"/>
    <w:rsid w:val="00065035"/>
    <w:rsid w:val="00065053"/>
    <w:rsid w:val="00065124"/>
    <w:rsid w:val="00065140"/>
    <w:rsid w:val="00065149"/>
    <w:rsid w:val="00065179"/>
    <w:rsid w:val="00065229"/>
    <w:rsid w:val="00065233"/>
    <w:rsid w:val="00065235"/>
    <w:rsid w:val="00065244"/>
    <w:rsid w:val="000652BA"/>
    <w:rsid w:val="000652EF"/>
    <w:rsid w:val="0006533B"/>
    <w:rsid w:val="0006533F"/>
    <w:rsid w:val="00065378"/>
    <w:rsid w:val="00065386"/>
    <w:rsid w:val="00065426"/>
    <w:rsid w:val="0006547D"/>
    <w:rsid w:val="000654B1"/>
    <w:rsid w:val="0006554B"/>
    <w:rsid w:val="0006555A"/>
    <w:rsid w:val="0006558B"/>
    <w:rsid w:val="00065644"/>
    <w:rsid w:val="0006565D"/>
    <w:rsid w:val="00065667"/>
    <w:rsid w:val="00065669"/>
    <w:rsid w:val="00065683"/>
    <w:rsid w:val="00065696"/>
    <w:rsid w:val="00065727"/>
    <w:rsid w:val="00065750"/>
    <w:rsid w:val="000657D1"/>
    <w:rsid w:val="000657D4"/>
    <w:rsid w:val="00065814"/>
    <w:rsid w:val="0006585F"/>
    <w:rsid w:val="00065861"/>
    <w:rsid w:val="00065886"/>
    <w:rsid w:val="0006589C"/>
    <w:rsid w:val="0006589F"/>
    <w:rsid w:val="00065977"/>
    <w:rsid w:val="000659DC"/>
    <w:rsid w:val="00065A1F"/>
    <w:rsid w:val="00065A22"/>
    <w:rsid w:val="00065A88"/>
    <w:rsid w:val="00065AC9"/>
    <w:rsid w:val="00065ACE"/>
    <w:rsid w:val="00065AF0"/>
    <w:rsid w:val="00065B02"/>
    <w:rsid w:val="00065B38"/>
    <w:rsid w:val="00065C56"/>
    <w:rsid w:val="00065C90"/>
    <w:rsid w:val="00065CB0"/>
    <w:rsid w:val="00065D46"/>
    <w:rsid w:val="00065D8E"/>
    <w:rsid w:val="00065DFE"/>
    <w:rsid w:val="00065E0A"/>
    <w:rsid w:val="00065E10"/>
    <w:rsid w:val="00065E2F"/>
    <w:rsid w:val="00065E31"/>
    <w:rsid w:val="00065E78"/>
    <w:rsid w:val="00065E8A"/>
    <w:rsid w:val="00065ECE"/>
    <w:rsid w:val="00065F14"/>
    <w:rsid w:val="00065F48"/>
    <w:rsid w:val="00065F73"/>
    <w:rsid w:val="00065F84"/>
    <w:rsid w:val="00065FD8"/>
    <w:rsid w:val="00066066"/>
    <w:rsid w:val="000660F1"/>
    <w:rsid w:val="0006611F"/>
    <w:rsid w:val="00066135"/>
    <w:rsid w:val="000661E3"/>
    <w:rsid w:val="000661FB"/>
    <w:rsid w:val="00066214"/>
    <w:rsid w:val="00066248"/>
    <w:rsid w:val="00066296"/>
    <w:rsid w:val="0006629A"/>
    <w:rsid w:val="000662BE"/>
    <w:rsid w:val="000662E6"/>
    <w:rsid w:val="000662F2"/>
    <w:rsid w:val="0006630A"/>
    <w:rsid w:val="0006634E"/>
    <w:rsid w:val="00066365"/>
    <w:rsid w:val="00066378"/>
    <w:rsid w:val="00066392"/>
    <w:rsid w:val="000663EE"/>
    <w:rsid w:val="000663F0"/>
    <w:rsid w:val="00066431"/>
    <w:rsid w:val="00066484"/>
    <w:rsid w:val="000664D5"/>
    <w:rsid w:val="00066511"/>
    <w:rsid w:val="0006655E"/>
    <w:rsid w:val="0006657D"/>
    <w:rsid w:val="000665F9"/>
    <w:rsid w:val="00066641"/>
    <w:rsid w:val="000666A2"/>
    <w:rsid w:val="0006671A"/>
    <w:rsid w:val="00066722"/>
    <w:rsid w:val="00066741"/>
    <w:rsid w:val="00066754"/>
    <w:rsid w:val="000667AC"/>
    <w:rsid w:val="0006686D"/>
    <w:rsid w:val="0006688D"/>
    <w:rsid w:val="000668E2"/>
    <w:rsid w:val="0006696C"/>
    <w:rsid w:val="0006698E"/>
    <w:rsid w:val="00066992"/>
    <w:rsid w:val="000669C5"/>
    <w:rsid w:val="000669EE"/>
    <w:rsid w:val="00066A50"/>
    <w:rsid w:val="00066A5D"/>
    <w:rsid w:val="00066A6A"/>
    <w:rsid w:val="00066AAF"/>
    <w:rsid w:val="00066B16"/>
    <w:rsid w:val="00066B17"/>
    <w:rsid w:val="00066BB3"/>
    <w:rsid w:val="00066BE7"/>
    <w:rsid w:val="00066C07"/>
    <w:rsid w:val="00066C1A"/>
    <w:rsid w:val="00066C1F"/>
    <w:rsid w:val="00066C21"/>
    <w:rsid w:val="00066C48"/>
    <w:rsid w:val="00066C9B"/>
    <w:rsid w:val="00066D5E"/>
    <w:rsid w:val="00066D95"/>
    <w:rsid w:val="00066E2D"/>
    <w:rsid w:val="00066EB5"/>
    <w:rsid w:val="00066EEC"/>
    <w:rsid w:val="00066F47"/>
    <w:rsid w:val="00066FA5"/>
    <w:rsid w:val="00067038"/>
    <w:rsid w:val="0006707D"/>
    <w:rsid w:val="00067092"/>
    <w:rsid w:val="000670AC"/>
    <w:rsid w:val="000670D7"/>
    <w:rsid w:val="0006710E"/>
    <w:rsid w:val="00067158"/>
    <w:rsid w:val="00067183"/>
    <w:rsid w:val="000671AA"/>
    <w:rsid w:val="000671B3"/>
    <w:rsid w:val="000671F1"/>
    <w:rsid w:val="0006724B"/>
    <w:rsid w:val="0006725F"/>
    <w:rsid w:val="0006727A"/>
    <w:rsid w:val="0006727C"/>
    <w:rsid w:val="00067299"/>
    <w:rsid w:val="000672E8"/>
    <w:rsid w:val="000673B2"/>
    <w:rsid w:val="000673B4"/>
    <w:rsid w:val="000673CE"/>
    <w:rsid w:val="000673FD"/>
    <w:rsid w:val="00067485"/>
    <w:rsid w:val="000674F2"/>
    <w:rsid w:val="0006751B"/>
    <w:rsid w:val="0006751C"/>
    <w:rsid w:val="0006757F"/>
    <w:rsid w:val="000675C7"/>
    <w:rsid w:val="00067609"/>
    <w:rsid w:val="00067650"/>
    <w:rsid w:val="0006766D"/>
    <w:rsid w:val="000676BB"/>
    <w:rsid w:val="000676DD"/>
    <w:rsid w:val="0006771D"/>
    <w:rsid w:val="0006772E"/>
    <w:rsid w:val="00067765"/>
    <w:rsid w:val="00067771"/>
    <w:rsid w:val="000677B2"/>
    <w:rsid w:val="000677BB"/>
    <w:rsid w:val="000677C8"/>
    <w:rsid w:val="000677D0"/>
    <w:rsid w:val="0006786E"/>
    <w:rsid w:val="00067873"/>
    <w:rsid w:val="00067880"/>
    <w:rsid w:val="00067889"/>
    <w:rsid w:val="000678CD"/>
    <w:rsid w:val="000679FA"/>
    <w:rsid w:val="00067A0E"/>
    <w:rsid w:val="00067A4E"/>
    <w:rsid w:val="00067B0B"/>
    <w:rsid w:val="00067B54"/>
    <w:rsid w:val="00067B80"/>
    <w:rsid w:val="00067B8F"/>
    <w:rsid w:val="00067C1C"/>
    <w:rsid w:val="00067C41"/>
    <w:rsid w:val="00067C5A"/>
    <w:rsid w:val="00067C5F"/>
    <w:rsid w:val="00067C67"/>
    <w:rsid w:val="00067C6E"/>
    <w:rsid w:val="00067C8C"/>
    <w:rsid w:val="00067C9D"/>
    <w:rsid w:val="00067D00"/>
    <w:rsid w:val="00067D49"/>
    <w:rsid w:val="00067D4A"/>
    <w:rsid w:val="00067D6B"/>
    <w:rsid w:val="00067DA1"/>
    <w:rsid w:val="00067E13"/>
    <w:rsid w:val="00067E27"/>
    <w:rsid w:val="00067E39"/>
    <w:rsid w:val="00067E5A"/>
    <w:rsid w:val="00067EF0"/>
    <w:rsid w:val="00067EFB"/>
    <w:rsid w:val="00067F14"/>
    <w:rsid w:val="00067F53"/>
    <w:rsid w:val="00067FAD"/>
    <w:rsid w:val="00067FB2"/>
    <w:rsid w:val="00070024"/>
    <w:rsid w:val="000700AF"/>
    <w:rsid w:val="000700D2"/>
    <w:rsid w:val="00070101"/>
    <w:rsid w:val="00070124"/>
    <w:rsid w:val="0007014B"/>
    <w:rsid w:val="00070197"/>
    <w:rsid w:val="000701A0"/>
    <w:rsid w:val="0007020B"/>
    <w:rsid w:val="00070223"/>
    <w:rsid w:val="0007023F"/>
    <w:rsid w:val="00070277"/>
    <w:rsid w:val="0007029E"/>
    <w:rsid w:val="000702B2"/>
    <w:rsid w:val="000702F2"/>
    <w:rsid w:val="00070321"/>
    <w:rsid w:val="00070369"/>
    <w:rsid w:val="00070406"/>
    <w:rsid w:val="00070413"/>
    <w:rsid w:val="0007044C"/>
    <w:rsid w:val="00070489"/>
    <w:rsid w:val="000704A3"/>
    <w:rsid w:val="000704CF"/>
    <w:rsid w:val="00070520"/>
    <w:rsid w:val="00070530"/>
    <w:rsid w:val="00070571"/>
    <w:rsid w:val="000705B6"/>
    <w:rsid w:val="000705E2"/>
    <w:rsid w:val="000705F4"/>
    <w:rsid w:val="0007062C"/>
    <w:rsid w:val="00070639"/>
    <w:rsid w:val="0007066B"/>
    <w:rsid w:val="00070678"/>
    <w:rsid w:val="0007068F"/>
    <w:rsid w:val="000706A3"/>
    <w:rsid w:val="0007074F"/>
    <w:rsid w:val="000707AA"/>
    <w:rsid w:val="000707B8"/>
    <w:rsid w:val="000707E4"/>
    <w:rsid w:val="0007081B"/>
    <w:rsid w:val="00070827"/>
    <w:rsid w:val="0007082A"/>
    <w:rsid w:val="0007083C"/>
    <w:rsid w:val="0007085A"/>
    <w:rsid w:val="00070861"/>
    <w:rsid w:val="0007086F"/>
    <w:rsid w:val="00070874"/>
    <w:rsid w:val="000708A1"/>
    <w:rsid w:val="000708F2"/>
    <w:rsid w:val="00070956"/>
    <w:rsid w:val="000709C8"/>
    <w:rsid w:val="00070A61"/>
    <w:rsid w:val="00070A85"/>
    <w:rsid w:val="00070ABE"/>
    <w:rsid w:val="00070B26"/>
    <w:rsid w:val="00070BC4"/>
    <w:rsid w:val="00070BC5"/>
    <w:rsid w:val="00070C33"/>
    <w:rsid w:val="00070C99"/>
    <w:rsid w:val="00070CC1"/>
    <w:rsid w:val="00070CE4"/>
    <w:rsid w:val="00070CEA"/>
    <w:rsid w:val="00070CF8"/>
    <w:rsid w:val="00070CF9"/>
    <w:rsid w:val="00070D56"/>
    <w:rsid w:val="00070DB1"/>
    <w:rsid w:val="00070DB9"/>
    <w:rsid w:val="00070DE8"/>
    <w:rsid w:val="00070DFB"/>
    <w:rsid w:val="00070E25"/>
    <w:rsid w:val="00070E2A"/>
    <w:rsid w:val="00070E6C"/>
    <w:rsid w:val="00070E77"/>
    <w:rsid w:val="00070F47"/>
    <w:rsid w:val="00070F70"/>
    <w:rsid w:val="00070FB7"/>
    <w:rsid w:val="00070FB9"/>
    <w:rsid w:val="00070FF7"/>
    <w:rsid w:val="00071008"/>
    <w:rsid w:val="00071023"/>
    <w:rsid w:val="0007118D"/>
    <w:rsid w:val="00071197"/>
    <w:rsid w:val="000711CF"/>
    <w:rsid w:val="000711EF"/>
    <w:rsid w:val="00071227"/>
    <w:rsid w:val="00071293"/>
    <w:rsid w:val="000713CB"/>
    <w:rsid w:val="000713F8"/>
    <w:rsid w:val="00071404"/>
    <w:rsid w:val="0007145A"/>
    <w:rsid w:val="0007154B"/>
    <w:rsid w:val="0007155F"/>
    <w:rsid w:val="00071593"/>
    <w:rsid w:val="000715B5"/>
    <w:rsid w:val="000715F0"/>
    <w:rsid w:val="0007167D"/>
    <w:rsid w:val="000716CB"/>
    <w:rsid w:val="00071713"/>
    <w:rsid w:val="00071725"/>
    <w:rsid w:val="0007178B"/>
    <w:rsid w:val="0007179E"/>
    <w:rsid w:val="000717EC"/>
    <w:rsid w:val="000718AF"/>
    <w:rsid w:val="00071903"/>
    <w:rsid w:val="0007194A"/>
    <w:rsid w:val="00071956"/>
    <w:rsid w:val="000719D9"/>
    <w:rsid w:val="00071A47"/>
    <w:rsid w:val="00071AF3"/>
    <w:rsid w:val="00071B65"/>
    <w:rsid w:val="00071B83"/>
    <w:rsid w:val="00071BA3"/>
    <w:rsid w:val="00071BD8"/>
    <w:rsid w:val="00071BEF"/>
    <w:rsid w:val="00071C44"/>
    <w:rsid w:val="00071C98"/>
    <w:rsid w:val="00071D7B"/>
    <w:rsid w:val="00071D9A"/>
    <w:rsid w:val="00071DD3"/>
    <w:rsid w:val="00071E2A"/>
    <w:rsid w:val="00071E87"/>
    <w:rsid w:val="00071E9E"/>
    <w:rsid w:val="00071F60"/>
    <w:rsid w:val="00071F78"/>
    <w:rsid w:val="00072067"/>
    <w:rsid w:val="000720E1"/>
    <w:rsid w:val="0007210F"/>
    <w:rsid w:val="0007212F"/>
    <w:rsid w:val="00072170"/>
    <w:rsid w:val="00072199"/>
    <w:rsid w:val="000721EF"/>
    <w:rsid w:val="0007225A"/>
    <w:rsid w:val="000722C5"/>
    <w:rsid w:val="00072336"/>
    <w:rsid w:val="0007236D"/>
    <w:rsid w:val="00072379"/>
    <w:rsid w:val="000723D0"/>
    <w:rsid w:val="00072436"/>
    <w:rsid w:val="00072443"/>
    <w:rsid w:val="00072453"/>
    <w:rsid w:val="00072472"/>
    <w:rsid w:val="00072535"/>
    <w:rsid w:val="00072557"/>
    <w:rsid w:val="0007259A"/>
    <w:rsid w:val="000725E2"/>
    <w:rsid w:val="000725EF"/>
    <w:rsid w:val="00072619"/>
    <w:rsid w:val="00072624"/>
    <w:rsid w:val="00072663"/>
    <w:rsid w:val="0007266A"/>
    <w:rsid w:val="00072673"/>
    <w:rsid w:val="000726A1"/>
    <w:rsid w:val="000726A8"/>
    <w:rsid w:val="000726B8"/>
    <w:rsid w:val="00072874"/>
    <w:rsid w:val="00072889"/>
    <w:rsid w:val="00072A00"/>
    <w:rsid w:val="00072A38"/>
    <w:rsid w:val="00072ABC"/>
    <w:rsid w:val="00072B05"/>
    <w:rsid w:val="00072B20"/>
    <w:rsid w:val="00072B26"/>
    <w:rsid w:val="00072B4C"/>
    <w:rsid w:val="00072B50"/>
    <w:rsid w:val="00072B55"/>
    <w:rsid w:val="00072B67"/>
    <w:rsid w:val="00072B86"/>
    <w:rsid w:val="00072BC2"/>
    <w:rsid w:val="00072C5A"/>
    <w:rsid w:val="00072CB4"/>
    <w:rsid w:val="00072D38"/>
    <w:rsid w:val="00072D41"/>
    <w:rsid w:val="00072D5A"/>
    <w:rsid w:val="00072DBB"/>
    <w:rsid w:val="00072DC0"/>
    <w:rsid w:val="00072E88"/>
    <w:rsid w:val="00072E91"/>
    <w:rsid w:val="00072EBE"/>
    <w:rsid w:val="00072EEB"/>
    <w:rsid w:val="00072F5A"/>
    <w:rsid w:val="00072FFD"/>
    <w:rsid w:val="00073068"/>
    <w:rsid w:val="000730BF"/>
    <w:rsid w:val="000730C1"/>
    <w:rsid w:val="00073142"/>
    <w:rsid w:val="00073170"/>
    <w:rsid w:val="00073172"/>
    <w:rsid w:val="0007318A"/>
    <w:rsid w:val="000731C1"/>
    <w:rsid w:val="00073216"/>
    <w:rsid w:val="00073220"/>
    <w:rsid w:val="00073221"/>
    <w:rsid w:val="00073237"/>
    <w:rsid w:val="0007323E"/>
    <w:rsid w:val="00073282"/>
    <w:rsid w:val="0007329F"/>
    <w:rsid w:val="000732A7"/>
    <w:rsid w:val="000732BC"/>
    <w:rsid w:val="00073304"/>
    <w:rsid w:val="00073388"/>
    <w:rsid w:val="0007339F"/>
    <w:rsid w:val="000733BF"/>
    <w:rsid w:val="000733D3"/>
    <w:rsid w:val="0007340D"/>
    <w:rsid w:val="00073430"/>
    <w:rsid w:val="000734C3"/>
    <w:rsid w:val="0007350E"/>
    <w:rsid w:val="00073541"/>
    <w:rsid w:val="00073574"/>
    <w:rsid w:val="000735E0"/>
    <w:rsid w:val="00073602"/>
    <w:rsid w:val="00073663"/>
    <w:rsid w:val="0007366E"/>
    <w:rsid w:val="0007369D"/>
    <w:rsid w:val="000736B5"/>
    <w:rsid w:val="000736BB"/>
    <w:rsid w:val="0007372D"/>
    <w:rsid w:val="00073735"/>
    <w:rsid w:val="00073768"/>
    <w:rsid w:val="000737F3"/>
    <w:rsid w:val="00073887"/>
    <w:rsid w:val="000738AE"/>
    <w:rsid w:val="000738E6"/>
    <w:rsid w:val="0007393B"/>
    <w:rsid w:val="00073960"/>
    <w:rsid w:val="000739C1"/>
    <w:rsid w:val="000739FC"/>
    <w:rsid w:val="00073A55"/>
    <w:rsid w:val="00073A63"/>
    <w:rsid w:val="00073AD7"/>
    <w:rsid w:val="00073B31"/>
    <w:rsid w:val="00073B52"/>
    <w:rsid w:val="00073B62"/>
    <w:rsid w:val="00073C0C"/>
    <w:rsid w:val="00073C23"/>
    <w:rsid w:val="00073C30"/>
    <w:rsid w:val="00073C85"/>
    <w:rsid w:val="00073CB9"/>
    <w:rsid w:val="00073D43"/>
    <w:rsid w:val="00073D5A"/>
    <w:rsid w:val="00073D69"/>
    <w:rsid w:val="00073D90"/>
    <w:rsid w:val="00073DD3"/>
    <w:rsid w:val="00073DEC"/>
    <w:rsid w:val="00073E2C"/>
    <w:rsid w:val="00073E36"/>
    <w:rsid w:val="00073E54"/>
    <w:rsid w:val="00073EEE"/>
    <w:rsid w:val="00073F6A"/>
    <w:rsid w:val="00073F7D"/>
    <w:rsid w:val="00073F8C"/>
    <w:rsid w:val="00074038"/>
    <w:rsid w:val="00074081"/>
    <w:rsid w:val="000740A3"/>
    <w:rsid w:val="000740E9"/>
    <w:rsid w:val="00074134"/>
    <w:rsid w:val="00074162"/>
    <w:rsid w:val="000741B4"/>
    <w:rsid w:val="000741C1"/>
    <w:rsid w:val="00074211"/>
    <w:rsid w:val="0007425C"/>
    <w:rsid w:val="000742B1"/>
    <w:rsid w:val="000742B7"/>
    <w:rsid w:val="0007431C"/>
    <w:rsid w:val="00074320"/>
    <w:rsid w:val="0007435C"/>
    <w:rsid w:val="00074397"/>
    <w:rsid w:val="000743D0"/>
    <w:rsid w:val="00074406"/>
    <w:rsid w:val="00074452"/>
    <w:rsid w:val="00074561"/>
    <w:rsid w:val="000745AA"/>
    <w:rsid w:val="000745B2"/>
    <w:rsid w:val="000745B7"/>
    <w:rsid w:val="000745DC"/>
    <w:rsid w:val="000746C2"/>
    <w:rsid w:val="00074728"/>
    <w:rsid w:val="00074750"/>
    <w:rsid w:val="00074783"/>
    <w:rsid w:val="000747BE"/>
    <w:rsid w:val="000747C0"/>
    <w:rsid w:val="000747D3"/>
    <w:rsid w:val="0007482B"/>
    <w:rsid w:val="00074891"/>
    <w:rsid w:val="000748B2"/>
    <w:rsid w:val="000748B7"/>
    <w:rsid w:val="000748BE"/>
    <w:rsid w:val="000748D0"/>
    <w:rsid w:val="000748F6"/>
    <w:rsid w:val="0007490B"/>
    <w:rsid w:val="0007492A"/>
    <w:rsid w:val="0007492D"/>
    <w:rsid w:val="00074942"/>
    <w:rsid w:val="00074A85"/>
    <w:rsid w:val="00074B09"/>
    <w:rsid w:val="00074B1F"/>
    <w:rsid w:val="00074B36"/>
    <w:rsid w:val="00074B7B"/>
    <w:rsid w:val="00074B9C"/>
    <w:rsid w:val="00074C12"/>
    <w:rsid w:val="00074C15"/>
    <w:rsid w:val="00074C23"/>
    <w:rsid w:val="00074C61"/>
    <w:rsid w:val="00074C9A"/>
    <w:rsid w:val="00074CA6"/>
    <w:rsid w:val="00074CF7"/>
    <w:rsid w:val="00074D68"/>
    <w:rsid w:val="00074DD0"/>
    <w:rsid w:val="00074DEC"/>
    <w:rsid w:val="00074E66"/>
    <w:rsid w:val="00074E73"/>
    <w:rsid w:val="00074E7C"/>
    <w:rsid w:val="00074EE6"/>
    <w:rsid w:val="00074EF5"/>
    <w:rsid w:val="00074F2A"/>
    <w:rsid w:val="00074FD4"/>
    <w:rsid w:val="000750D4"/>
    <w:rsid w:val="000750F0"/>
    <w:rsid w:val="000750FA"/>
    <w:rsid w:val="00075105"/>
    <w:rsid w:val="000751DF"/>
    <w:rsid w:val="000751E2"/>
    <w:rsid w:val="00075259"/>
    <w:rsid w:val="0007529F"/>
    <w:rsid w:val="000752CB"/>
    <w:rsid w:val="00075394"/>
    <w:rsid w:val="0007542F"/>
    <w:rsid w:val="00075479"/>
    <w:rsid w:val="000754A8"/>
    <w:rsid w:val="000754B0"/>
    <w:rsid w:val="000754D7"/>
    <w:rsid w:val="000754FC"/>
    <w:rsid w:val="0007552C"/>
    <w:rsid w:val="0007557B"/>
    <w:rsid w:val="0007557D"/>
    <w:rsid w:val="00075622"/>
    <w:rsid w:val="00075628"/>
    <w:rsid w:val="0007562E"/>
    <w:rsid w:val="000756B0"/>
    <w:rsid w:val="00075706"/>
    <w:rsid w:val="00075750"/>
    <w:rsid w:val="00075780"/>
    <w:rsid w:val="000757B5"/>
    <w:rsid w:val="00075810"/>
    <w:rsid w:val="00075833"/>
    <w:rsid w:val="00075867"/>
    <w:rsid w:val="00075896"/>
    <w:rsid w:val="000758BE"/>
    <w:rsid w:val="00075956"/>
    <w:rsid w:val="0007595D"/>
    <w:rsid w:val="000759B5"/>
    <w:rsid w:val="000759CE"/>
    <w:rsid w:val="000759DA"/>
    <w:rsid w:val="00075B0B"/>
    <w:rsid w:val="00075B9E"/>
    <w:rsid w:val="00075BA9"/>
    <w:rsid w:val="00075BBA"/>
    <w:rsid w:val="00075BBC"/>
    <w:rsid w:val="00075CDB"/>
    <w:rsid w:val="00075CE4"/>
    <w:rsid w:val="00075CF0"/>
    <w:rsid w:val="00075DAA"/>
    <w:rsid w:val="00075DC8"/>
    <w:rsid w:val="00075DD8"/>
    <w:rsid w:val="00075E0E"/>
    <w:rsid w:val="00075E7E"/>
    <w:rsid w:val="00075EE8"/>
    <w:rsid w:val="00075F8B"/>
    <w:rsid w:val="00075FFF"/>
    <w:rsid w:val="00076074"/>
    <w:rsid w:val="0007608D"/>
    <w:rsid w:val="000760B4"/>
    <w:rsid w:val="000760C8"/>
    <w:rsid w:val="000760D8"/>
    <w:rsid w:val="000760FE"/>
    <w:rsid w:val="00076122"/>
    <w:rsid w:val="000761A2"/>
    <w:rsid w:val="000761CB"/>
    <w:rsid w:val="00076240"/>
    <w:rsid w:val="00076263"/>
    <w:rsid w:val="00076278"/>
    <w:rsid w:val="00076282"/>
    <w:rsid w:val="000762E1"/>
    <w:rsid w:val="000762F7"/>
    <w:rsid w:val="00076329"/>
    <w:rsid w:val="0007636E"/>
    <w:rsid w:val="00076387"/>
    <w:rsid w:val="000763CB"/>
    <w:rsid w:val="000763CC"/>
    <w:rsid w:val="000763D2"/>
    <w:rsid w:val="00076401"/>
    <w:rsid w:val="00076407"/>
    <w:rsid w:val="0007641B"/>
    <w:rsid w:val="00076499"/>
    <w:rsid w:val="000764AC"/>
    <w:rsid w:val="000764C5"/>
    <w:rsid w:val="000764E8"/>
    <w:rsid w:val="000764EC"/>
    <w:rsid w:val="00076574"/>
    <w:rsid w:val="0007660B"/>
    <w:rsid w:val="00076648"/>
    <w:rsid w:val="00076677"/>
    <w:rsid w:val="000766A0"/>
    <w:rsid w:val="000766E1"/>
    <w:rsid w:val="0007670C"/>
    <w:rsid w:val="0007678B"/>
    <w:rsid w:val="0007678D"/>
    <w:rsid w:val="000767E3"/>
    <w:rsid w:val="0007686C"/>
    <w:rsid w:val="00076881"/>
    <w:rsid w:val="00076910"/>
    <w:rsid w:val="00076925"/>
    <w:rsid w:val="00076960"/>
    <w:rsid w:val="00076963"/>
    <w:rsid w:val="000769D2"/>
    <w:rsid w:val="00076AA2"/>
    <w:rsid w:val="00076AE6"/>
    <w:rsid w:val="00076AF1"/>
    <w:rsid w:val="00076AFD"/>
    <w:rsid w:val="00076B24"/>
    <w:rsid w:val="00076B93"/>
    <w:rsid w:val="00076BBD"/>
    <w:rsid w:val="00076BFC"/>
    <w:rsid w:val="00076C3C"/>
    <w:rsid w:val="00076D56"/>
    <w:rsid w:val="00076DA0"/>
    <w:rsid w:val="00076DCF"/>
    <w:rsid w:val="00076E17"/>
    <w:rsid w:val="00076E20"/>
    <w:rsid w:val="00076E40"/>
    <w:rsid w:val="00076E8F"/>
    <w:rsid w:val="00076EBF"/>
    <w:rsid w:val="00076F01"/>
    <w:rsid w:val="00076F2C"/>
    <w:rsid w:val="00076F9B"/>
    <w:rsid w:val="00077024"/>
    <w:rsid w:val="00077028"/>
    <w:rsid w:val="00077049"/>
    <w:rsid w:val="000770BB"/>
    <w:rsid w:val="00077121"/>
    <w:rsid w:val="00077123"/>
    <w:rsid w:val="00077179"/>
    <w:rsid w:val="0007719B"/>
    <w:rsid w:val="000771AC"/>
    <w:rsid w:val="000771B4"/>
    <w:rsid w:val="0007723B"/>
    <w:rsid w:val="00077294"/>
    <w:rsid w:val="000772BC"/>
    <w:rsid w:val="000772D2"/>
    <w:rsid w:val="000772E3"/>
    <w:rsid w:val="0007732C"/>
    <w:rsid w:val="0007734C"/>
    <w:rsid w:val="00077386"/>
    <w:rsid w:val="000773A5"/>
    <w:rsid w:val="0007747A"/>
    <w:rsid w:val="0007758B"/>
    <w:rsid w:val="000775D0"/>
    <w:rsid w:val="000775D2"/>
    <w:rsid w:val="00077657"/>
    <w:rsid w:val="000776C1"/>
    <w:rsid w:val="000776EA"/>
    <w:rsid w:val="00077707"/>
    <w:rsid w:val="00077734"/>
    <w:rsid w:val="0007774A"/>
    <w:rsid w:val="0007774C"/>
    <w:rsid w:val="00077786"/>
    <w:rsid w:val="000777F7"/>
    <w:rsid w:val="00077816"/>
    <w:rsid w:val="00077895"/>
    <w:rsid w:val="000778C8"/>
    <w:rsid w:val="00077900"/>
    <w:rsid w:val="00077955"/>
    <w:rsid w:val="000779FD"/>
    <w:rsid w:val="00077A01"/>
    <w:rsid w:val="00077A3A"/>
    <w:rsid w:val="00077AB3"/>
    <w:rsid w:val="00077B17"/>
    <w:rsid w:val="00077B1B"/>
    <w:rsid w:val="00077B58"/>
    <w:rsid w:val="00077C0B"/>
    <w:rsid w:val="00077C41"/>
    <w:rsid w:val="00077C8B"/>
    <w:rsid w:val="00077CC5"/>
    <w:rsid w:val="00077CEB"/>
    <w:rsid w:val="00077D08"/>
    <w:rsid w:val="00077D3D"/>
    <w:rsid w:val="00077D8E"/>
    <w:rsid w:val="00077DA5"/>
    <w:rsid w:val="00077DD4"/>
    <w:rsid w:val="00077E28"/>
    <w:rsid w:val="00077E3B"/>
    <w:rsid w:val="00077E63"/>
    <w:rsid w:val="00077E97"/>
    <w:rsid w:val="00077F4D"/>
    <w:rsid w:val="0008003D"/>
    <w:rsid w:val="00080047"/>
    <w:rsid w:val="00080090"/>
    <w:rsid w:val="000800DF"/>
    <w:rsid w:val="00080134"/>
    <w:rsid w:val="0008013E"/>
    <w:rsid w:val="00080151"/>
    <w:rsid w:val="00080172"/>
    <w:rsid w:val="000801AB"/>
    <w:rsid w:val="000801B0"/>
    <w:rsid w:val="000801C5"/>
    <w:rsid w:val="000801F1"/>
    <w:rsid w:val="0008020F"/>
    <w:rsid w:val="0008025F"/>
    <w:rsid w:val="000802DC"/>
    <w:rsid w:val="00080335"/>
    <w:rsid w:val="0008038A"/>
    <w:rsid w:val="00080396"/>
    <w:rsid w:val="00080431"/>
    <w:rsid w:val="000804BB"/>
    <w:rsid w:val="000804BD"/>
    <w:rsid w:val="000804E1"/>
    <w:rsid w:val="00080523"/>
    <w:rsid w:val="00080541"/>
    <w:rsid w:val="00080543"/>
    <w:rsid w:val="0008057B"/>
    <w:rsid w:val="000805D2"/>
    <w:rsid w:val="000805F1"/>
    <w:rsid w:val="00080609"/>
    <w:rsid w:val="00080638"/>
    <w:rsid w:val="0008063D"/>
    <w:rsid w:val="0008066A"/>
    <w:rsid w:val="000806AE"/>
    <w:rsid w:val="000806AF"/>
    <w:rsid w:val="000806F2"/>
    <w:rsid w:val="000807AF"/>
    <w:rsid w:val="000807CE"/>
    <w:rsid w:val="000807ED"/>
    <w:rsid w:val="00080805"/>
    <w:rsid w:val="000808DA"/>
    <w:rsid w:val="00080930"/>
    <w:rsid w:val="0008099D"/>
    <w:rsid w:val="000809B1"/>
    <w:rsid w:val="000809DE"/>
    <w:rsid w:val="00080A67"/>
    <w:rsid w:val="00080AD8"/>
    <w:rsid w:val="00080AFC"/>
    <w:rsid w:val="00080B0E"/>
    <w:rsid w:val="00080BA3"/>
    <w:rsid w:val="00080BD1"/>
    <w:rsid w:val="00080BEB"/>
    <w:rsid w:val="00080C05"/>
    <w:rsid w:val="00080C61"/>
    <w:rsid w:val="00080C7D"/>
    <w:rsid w:val="00080CA1"/>
    <w:rsid w:val="00080CEB"/>
    <w:rsid w:val="00080D1A"/>
    <w:rsid w:val="00080D4A"/>
    <w:rsid w:val="00080D50"/>
    <w:rsid w:val="00080D5E"/>
    <w:rsid w:val="00080D8C"/>
    <w:rsid w:val="00080DE9"/>
    <w:rsid w:val="00080E0F"/>
    <w:rsid w:val="00080E22"/>
    <w:rsid w:val="00080E47"/>
    <w:rsid w:val="00080E5E"/>
    <w:rsid w:val="00080E7A"/>
    <w:rsid w:val="00080F00"/>
    <w:rsid w:val="00080FC3"/>
    <w:rsid w:val="0008103B"/>
    <w:rsid w:val="00081127"/>
    <w:rsid w:val="0008119F"/>
    <w:rsid w:val="000811CF"/>
    <w:rsid w:val="000811D9"/>
    <w:rsid w:val="000811EA"/>
    <w:rsid w:val="00081206"/>
    <w:rsid w:val="0008129B"/>
    <w:rsid w:val="000812F5"/>
    <w:rsid w:val="0008135C"/>
    <w:rsid w:val="000813A7"/>
    <w:rsid w:val="000813B8"/>
    <w:rsid w:val="000813FF"/>
    <w:rsid w:val="0008146A"/>
    <w:rsid w:val="000814EF"/>
    <w:rsid w:val="0008150C"/>
    <w:rsid w:val="0008150E"/>
    <w:rsid w:val="00081556"/>
    <w:rsid w:val="00081621"/>
    <w:rsid w:val="000816BC"/>
    <w:rsid w:val="000816C0"/>
    <w:rsid w:val="000816C1"/>
    <w:rsid w:val="000816C4"/>
    <w:rsid w:val="000816E5"/>
    <w:rsid w:val="000816EE"/>
    <w:rsid w:val="0008170D"/>
    <w:rsid w:val="000817F2"/>
    <w:rsid w:val="00081816"/>
    <w:rsid w:val="0008185C"/>
    <w:rsid w:val="00081878"/>
    <w:rsid w:val="0008188F"/>
    <w:rsid w:val="000818C0"/>
    <w:rsid w:val="00081964"/>
    <w:rsid w:val="000819FC"/>
    <w:rsid w:val="00081A5B"/>
    <w:rsid w:val="00081AFF"/>
    <w:rsid w:val="00081B13"/>
    <w:rsid w:val="00081B8A"/>
    <w:rsid w:val="00081BAA"/>
    <w:rsid w:val="00081BB1"/>
    <w:rsid w:val="00081C87"/>
    <w:rsid w:val="00081C8E"/>
    <w:rsid w:val="00081CB1"/>
    <w:rsid w:val="00081CEB"/>
    <w:rsid w:val="00081D22"/>
    <w:rsid w:val="00081D5B"/>
    <w:rsid w:val="00081D88"/>
    <w:rsid w:val="00081D8A"/>
    <w:rsid w:val="00081DAA"/>
    <w:rsid w:val="00081DC6"/>
    <w:rsid w:val="00081E0C"/>
    <w:rsid w:val="00081E0D"/>
    <w:rsid w:val="00081E2B"/>
    <w:rsid w:val="00081E59"/>
    <w:rsid w:val="00081E95"/>
    <w:rsid w:val="00081EED"/>
    <w:rsid w:val="00081F3F"/>
    <w:rsid w:val="00081F78"/>
    <w:rsid w:val="0008200B"/>
    <w:rsid w:val="00082023"/>
    <w:rsid w:val="0008202F"/>
    <w:rsid w:val="000820A9"/>
    <w:rsid w:val="000820CB"/>
    <w:rsid w:val="000820DE"/>
    <w:rsid w:val="000820E1"/>
    <w:rsid w:val="000820EA"/>
    <w:rsid w:val="0008211F"/>
    <w:rsid w:val="0008215D"/>
    <w:rsid w:val="00082167"/>
    <w:rsid w:val="000821CE"/>
    <w:rsid w:val="0008228C"/>
    <w:rsid w:val="0008229D"/>
    <w:rsid w:val="00082333"/>
    <w:rsid w:val="0008234A"/>
    <w:rsid w:val="000823C2"/>
    <w:rsid w:val="000823C8"/>
    <w:rsid w:val="00082422"/>
    <w:rsid w:val="0008243D"/>
    <w:rsid w:val="00082491"/>
    <w:rsid w:val="00082499"/>
    <w:rsid w:val="000824CD"/>
    <w:rsid w:val="0008253D"/>
    <w:rsid w:val="000825BA"/>
    <w:rsid w:val="000825F6"/>
    <w:rsid w:val="00082641"/>
    <w:rsid w:val="0008264B"/>
    <w:rsid w:val="0008268C"/>
    <w:rsid w:val="000826F5"/>
    <w:rsid w:val="00082709"/>
    <w:rsid w:val="00082720"/>
    <w:rsid w:val="000828BB"/>
    <w:rsid w:val="000828D2"/>
    <w:rsid w:val="000829A8"/>
    <w:rsid w:val="000829FF"/>
    <w:rsid w:val="00082A03"/>
    <w:rsid w:val="00082A08"/>
    <w:rsid w:val="00082A0F"/>
    <w:rsid w:val="00082A84"/>
    <w:rsid w:val="00082AA0"/>
    <w:rsid w:val="00082AB9"/>
    <w:rsid w:val="00082AD7"/>
    <w:rsid w:val="00082BC8"/>
    <w:rsid w:val="00082BD5"/>
    <w:rsid w:val="00082C64"/>
    <w:rsid w:val="00082C74"/>
    <w:rsid w:val="00082CB2"/>
    <w:rsid w:val="00082CB7"/>
    <w:rsid w:val="00082CDA"/>
    <w:rsid w:val="00082CF9"/>
    <w:rsid w:val="00082D9B"/>
    <w:rsid w:val="00082DD6"/>
    <w:rsid w:val="00082DDE"/>
    <w:rsid w:val="00082DF3"/>
    <w:rsid w:val="00082E19"/>
    <w:rsid w:val="00082E25"/>
    <w:rsid w:val="00082E55"/>
    <w:rsid w:val="00082E67"/>
    <w:rsid w:val="00082EA9"/>
    <w:rsid w:val="00082EBC"/>
    <w:rsid w:val="00082EEB"/>
    <w:rsid w:val="00082F34"/>
    <w:rsid w:val="00082F4F"/>
    <w:rsid w:val="00082F55"/>
    <w:rsid w:val="00082F64"/>
    <w:rsid w:val="00082F93"/>
    <w:rsid w:val="00082FB9"/>
    <w:rsid w:val="00083000"/>
    <w:rsid w:val="0008306B"/>
    <w:rsid w:val="000830B6"/>
    <w:rsid w:val="000830CA"/>
    <w:rsid w:val="000830D1"/>
    <w:rsid w:val="0008319D"/>
    <w:rsid w:val="000831F5"/>
    <w:rsid w:val="0008324E"/>
    <w:rsid w:val="00083263"/>
    <w:rsid w:val="00083280"/>
    <w:rsid w:val="00083304"/>
    <w:rsid w:val="00083312"/>
    <w:rsid w:val="00083334"/>
    <w:rsid w:val="00083356"/>
    <w:rsid w:val="0008335B"/>
    <w:rsid w:val="0008335D"/>
    <w:rsid w:val="000833A5"/>
    <w:rsid w:val="00083485"/>
    <w:rsid w:val="000834AC"/>
    <w:rsid w:val="000834CC"/>
    <w:rsid w:val="000834E4"/>
    <w:rsid w:val="00083502"/>
    <w:rsid w:val="00083537"/>
    <w:rsid w:val="00083555"/>
    <w:rsid w:val="00083572"/>
    <w:rsid w:val="00083603"/>
    <w:rsid w:val="0008362A"/>
    <w:rsid w:val="0008363A"/>
    <w:rsid w:val="00083655"/>
    <w:rsid w:val="00083672"/>
    <w:rsid w:val="000836EA"/>
    <w:rsid w:val="00083719"/>
    <w:rsid w:val="000837B1"/>
    <w:rsid w:val="00083806"/>
    <w:rsid w:val="00083839"/>
    <w:rsid w:val="00083844"/>
    <w:rsid w:val="000838A5"/>
    <w:rsid w:val="00083904"/>
    <w:rsid w:val="00083912"/>
    <w:rsid w:val="00083976"/>
    <w:rsid w:val="0008398B"/>
    <w:rsid w:val="0008398C"/>
    <w:rsid w:val="000839BC"/>
    <w:rsid w:val="00083A03"/>
    <w:rsid w:val="00083A1E"/>
    <w:rsid w:val="00083A28"/>
    <w:rsid w:val="00083A99"/>
    <w:rsid w:val="00083A9E"/>
    <w:rsid w:val="00083ABB"/>
    <w:rsid w:val="00083B11"/>
    <w:rsid w:val="00083B53"/>
    <w:rsid w:val="00083B8A"/>
    <w:rsid w:val="00083BD4"/>
    <w:rsid w:val="00083C51"/>
    <w:rsid w:val="00083C6F"/>
    <w:rsid w:val="00083C93"/>
    <w:rsid w:val="00083CCA"/>
    <w:rsid w:val="00083D0A"/>
    <w:rsid w:val="00083D1E"/>
    <w:rsid w:val="00083D37"/>
    <w:rsid w:val="00083D51"/>
    <w:rsid w:val="00083D6E"/>
    <w:rsid w:val="00083E59"/>
    <w:rsid w:val="00083E95"/>
    <w:rsid w:val="00083E9D"/>
    <w:rsid w:val="00083F09"/>
    <w:rsid w:val="00083FF4"/>
    <w:rsid w:val="00084018"/>
    <w:rsid w:val="00084081"/>
    <w:rsid w:val="00084090"/>
    <w:rsid w:val="00084174"/>
    <w:rsid w:val="00084183"/>
    <w:rsid w:val="000841AC"/>
    <w:rsid w:val="000841FA"/>
    <w:rsid w:val="00084283"/>
    <w:rsid w:val="0008429E"/>
    <w:rsid w:val="000842E1"/>
    <w:rsid w:val="000842F3"/>
    <w:rsid w:val="000842F6"/>
    <w:rsid w:val="00084333"/>
    <w:rsid w:val="00084341"/>
    <w:rsid w:val="00084370"/>
    <w:rsid w:val="00084384"/>
    <w:rsid w:val="000843C3"/>
    <w:rsid w:val="0008443B"/>
    <w:rsid w:val="000844A1"/>
    <w:rsid w:val="000844B0"/>
    <w:rsid w:val="00084512"/>
    <w:rsid w:val="00084538"/>
    <w:rsid w:val="0008459C"/>
    <w:rsid w:val="000845DF"/>
    <w:rsid w:val="00084651"/>
    <w:rsid w:val="00084657"/>
    <w:rsid w:val="00084672"/>
    <w:rsid w:val="000846C7"/>
    <w:rsid w:val="000847D2"/>
    <w:rsid w:val="0008487F"/>
    <w:rsid w:val="00084902"/>
    <w:rsid w:val="00084923"/>
    <w:rsid w:val="0008493D"/>
    <w:rsid w:val="0008498B"/>
    <w:rsid w:val="00084A0C"/>
    <w:rsid w:val="00084A1E"/>
    <w:rsid w:val="00084A25"/>
    <w:rsid w:val="00084A4F"/>
    <w:rsid w:val="00084AA2"/>
    <w:rsid w:val="00084ACC"/>
    <w:rsid w:val="00084AFE"/>
    <w:rsid w:val="00084B53"/>
    <w:rsid w:val="00084B5C"/>
    <w:rsid w:val="00084BB5"/>
    <w:rsid w:val="00084BC3"/>
    <w:rsid w:val="00084BD6"/>
    <w:rsid w:val="00084C35"/>
    <w:rsid w:val="00084C38"/>
    <w:rsid w:val="00084C76"/>
    <w:rsid w:val="00084D0D"/>
    <w:rsid w:val="00084D5E"/>
    <w:rsid w:val="00084D98"/>
    <w:rsid w:val="00084DB3"/>
    <w:rsid w:val="00084E4F"/>
    <w:rsid w:val="00084E7B"/>
    <w:rsid w:val="00084EB3"/>
    <w:rsid w:val="00084EE9"/>
    <w:rsid w:val="00084F11"/>
    <w:rsid w:val="00084FA4"/>
    <w:rsid w:val="00084FE0"/>
    <w:rsid w:val="00084FEB"/>
    <w:rsid w:val="00085008"/>
    <w:rsid w:val="00085083"/>
    <w:rsid w:val="000850AF"/>
    <w:rsid w:val="000850FE"/>
    <w:rsid w:val="00085101"/>
    <w:rsid w:val="00085109"/>
    <w:rsid w:val="00085127"/>
    <w:rsid w:val="0008517F"/>
    <w:rsid w:val="000851B1"/>
    <w:rsid w:val="000851C0"/>
    <w:rsid w:val="000851F1"/>
    <w:rsid w:val="00085248"/>
    <w:rsid w:val="0008525A"/>
    <w:rsid w:val="0008525B"/>
    <w:rsid w:val="00085290"/>
    <w:rsid w:val="0008538D"/>
    <w:rsid w:val="00085476"/>
    <w:rsid w:val="00085480"/>
    <w:rsid w:val="00085490"/>
    <w:rsid w:val="00085497"/>
    <w:rsid w:val="000854A4"/>
    <w:rsid w:val="0008551F"/>
    <w:rsid w:val="00085558"/>
    <w:rsid w:val="00085580"/>
    <w:rsid w:val="000855BB"/>
    <w:rsid w:val="00085648"/>
    <w:rsid w:val="00085692"/>
    <w:rsid w:val="000856DC"/>
    <w:rsid w:val="000856FC"/>
    <w:rsid w:val="0008570D"/>
    <w:rsid w:val="0008573A"/>
    <w:rsid w:val="000857BF"/>
    <w:rsid w:val="000857C3"/>
    <w:rsid w:val="000857DD"/>
    <w:rsid w:val="0008580B"/>
    <w:rsid w:val="0008581F"/>
    <w:rsid w:val="0008586F"/>
    <w:rsid w:val="00085935"/>
    <w:rsid w:val="00085988"/>
    <w:rsid w:val="000859CF"/>
    <w:rsid w:val="00085A00"/>
    <w:rsid w:val="00085A4E"/>
    <w:rsid w:val="00085A70"/>
    <w:rsid w:val="00085A8B"/>
    <w:rsid w:val="00085A97"/>
    <w:rsid w:val="00085ABB"/>
    <w:rsid w:val="00085AC1"/>
    <w:rsid w:val="00085B28"/>
    <w:rsid w:val="00085BDE"/>
    <w:rsid w:val="00085C17"/>
    <w:rsid w:val="00085C32"/>
    <w:rsid w:val="00085C67"/>
    <w:rsid w:val="00085C7B"/>
    <w:rsid w:val="00085C80"/>
    <w:rsid w:val="00085C97"/>
    <w:rsid w:val="00085CF3"/>
    <w:rsid w:val="00085D48"/>
    <w:rsid w:val="00085D60"/>
    <w:rsid w:val="00085DB2"/>
    <w:rsid w:val="00085DD2"/>
    <w:rsid w:val="00085DEF"/>
    <w:rsid w:val="00085DFB"/>
    <w:rsid w:val="00085E54"/>
    <w:rsid w:val="00085E9D"/>
    <w:rsid w:val="00085ECC"/>
    <w:rsid w:val="00085EEF"/>
    <w:rsid w:val="00085F64"/>
    <w:rsid w:val="00085FDB"/>
    <w:rsid w:val="0008609D"/>
    <w:rsid w:val="000860D4"/>
    <w:rsid w:val="000860E1"/>
    <w:rsid w:val="000860E5"/>
    <w:rsid w:val="0008616C"/>
    <w:rsid w:val="000861EE"/>
    <w:rsid w:val="00086244"/>
    <w:rsid w:val="000862DE"/>
    <w:rsid w:val="000862F5"/>
    <w:rsid w:val="0008630B"/>
    <w:rsid w:val="00086390"/>
    <w:rsid w:val="0008639B"/>
    <w:rsid w:val="000863FD"/>
    <w:rsid w:val="00086414"/>
    <w:rsid w:val="00086459"/>
    <w:rsid w:val="00086545"/>
    <w:rsid w:val="00086583"/>
    <w:rsid w:val="000865E8"/>
    <w:rsid w:val="000865EA"/>
    <w:rsid w:val="0008660C"/>
    <w:rsid w:val="0008661E"/>
    <w:rsid w:val="00086635"/>
    <w:rsid w:val="00086643"/>
    <w:rsid w:val="0008672A"/>
    <w:rsid w:val="0008676D"/>
    <w:rsid w:val="0008677C"/>
    <w:rsid w:val="000867B3"/>
    <w:rsid w:val="000867EC"/>
    <w:rsid w:val="00086842"/>
    <w:rsid w:val="00086878"/>
    <w:rsid w:val="0008687F"/>
    <w:rsid w:val="00086887"/>
    <w:rsid w:val="000868C0"/>
    <w:rsid w:val="0008696D"/>
    <w:rsid w:val="00086985"/>
    <w:rsid w:val="000869C9"/>
    <w:rsid w:val="00086A08"/>
    <w:rsid w:val="00086A28"/>
    <w:rsid w:val="00086A54"/>
    <w:rsid w:val="00086A60"/>
    <w:rsid w:val="00086A6B"/>
    <w:rsid w:val="00086AA9"/>
    <w:rsid w:val="00086AEE"/>
    <w:rsid w:val="00086B1E"/>
    <w:rsid w:val="00086B2B"/>
    <w:rsid w:val="00086B48"/>
    <w:rsid w:val="00086B4B"/>
    <w:rsid w:val="00086B6C"/>
    <w:rsid w:val="00086B7B"/>
    <w:rsid w:val="00086B8C"/>
    <w:rsid w:val="00086B93"/>
    <w:rsid w:val="00086BAA"/>
    <w:rsid w:val="00086C51"/>
    <w:rsid w:val="00086C57"/>
    <w:rsid w:val="00086C77"/>
    <w:rsid w:val="00086CC9"/>
    <w:rsid w:val="00086CE9"/>
    <w:rsid w:val="00086CFF"/>
    <w:rsid w:val="00086D18"/>
    <w:rsid w:val="00086E7C"/>
    <w:rsid w:val="00086EC7"/>
    <w:rsid w:val="00086EE2"/>
    <w:rsid w:val="00086F63"/>
    <w:rsid w:val="00086F83"/>
    <w:rsid w:val="00086FC3"/>
    <w:rsid w:val="00086FC9"/>
    <w:rsid w:val="00086FD2"/>
    <w:rsid w:val="00086FF3"/>
    <w:rsid w:val="0008700A"/>
    <w:rsid w:val="0008709E"/>
    <w:rsid w:val="00087168"/>
    <w:rsid w:val="0008717D"/>
    <w:rsid w:val="00087185"/>
    <w:rsid w:val="000871C7"/>
    <w:rsid w:val="000871C8"/>
    <w:rsid w:val="0008725B"/>
    <w:rsid w:val="0008726A"/>
    <w:rsid w:val="00087317"/>
    <w:rsid w:val="00087367"/>
    <w:rsid w:val="00087398"/>
    <w:rsid w:val="000873E6"/>
    <w:rsid w:val="000873F2"/>
    <w:rsid w:val="00087438"/>
    <w:rsid w:val="0008748E"/>
    <w:rsid w:val="000874A2"/>
    <w:rsid w:val="000874F1"/>
    <w:rsid w:val="0008752B"/>
    <w:rsid w:val="00087542"/>
    <w:rsid w:val="00087655"/>
    <w:rsid w:val="000876C5"/>
    <w:rsid w:val="00087743"/>
    <w:rsid w:val="0008776A"/>
    <w:rsid w:val="0008779A"/>
    <w:rsid w:val="000877CC"/>
    <w:rsid w:val="000877EF"/>
    <w:rsid w:val="0008780A"/>
    <w:rsid w:val="0008781F"/>
    <w:rsid w:val="00087826"/>
    <w:rsid w:val="00087835"/>
    <w:rsid w:val="00087897"/>
    <w:rsid w:val="000878E0"/>
    <w:rsid w:val="000878E1"/>
    <w:rsid w:val="0008790B"/>
    <w:rsid w:val="0008791D"/>
    <w:rsid w:val="00087925"/>
    <w:rsid w:val="00087951"/>
    <w:rsid w:val="00087997"/>
    <w:rsid w:val="00087A0A"/>
    <w:rsid w:val="00087AFF"/>
    <w:rsid w:val="00087B24"/>
    <w:rsid w:val="00087B63"/>
    <w:rsid w:val="00087BAD"/>
    <w:rsid w:val="00087BDB"/>
    <w:rsid w:val="00087BE9"/>
    <w:rsid w:val="00087BFA"/>
    <w:rsid w:val="00087C0E"/>
    <w:rsid w:val="00087CF6"/>
    <w:rsid w:val="00087D07"/>
    <w:rsid w:val="00087E8F"/>
    <w:rsid w:val="00087F30"/>
    <w:rsid w:val="00087F31"/>
    <w:rsid w:val="00087FBA"/>
    <w:rsid w:val="0009000C"/>
    <w:rsid w:val="00090015"/>
    <w:rsid w:val="0009003F"/>
    <w:rsid w:val="00090077"/>
    <w:rsid w:val="000900BD"/>
    <w:rsid w:val="00090178"/>
    <w:rsid w:val="00090195"/>
    <w:rsid w:val="000901A7"/>
    <w:rsid w:val="000901CD"/>
    <w:rsid w:val="000901D4"/>
    <w:rsid w:val="000901D6"/>
    <w:rsid w:val="0009027F"/>
    <w:rsid w:val="00090304"/>
    <w:rsid w:val="00090366"/>
    <w:rsid w:val="000903CD"/>
    <w:rsid w:val="0009042C"/>
    <w:rsid w:val="000904AD"/>
    <w:rsid w:val="00090540"/>
    <w:rsid w:val="00090551"/>
    <w:rsid w:val="0009059F"/>
    <w:rsid w:val="00090606"/>
    <w:rsid w:val="00090640"/>
    <w:rsid w:val="00090667"/>
    <w:rsid w:val="0009067D"/>
    <w:rsid w:val="0009074F"/>
    <w:rsid w:val="000907D0"/>
    <w:rsid w:val="0009082D"/>
    <w:rsid w:val="0009088C"/>
    <w:rsid w:val="00090894"/>
    <w:rsid w:val="000908B5"/>
    <w:rsid w:val="00090923"/>
    <w:rsid w:val="00090942"/>
    <w:rsid w:val="000909AF"/>
    <w:rsid w:val="000909BD"/>
    <w:rsid w:val="000909DD"/>
    <w:rsid w:val="00090A32"/>
    <w:rsid w:val="00090AA5"/>
    <w:rsid w:val="00090B20"/>
    <w:rsid w:val="00090B50"/>
    <w:rsid w:val="00090B98"/>
    <w:rsid w:val="00090B9A"/>
    <w:rsid w:val="00090BCD"/>
    <w:rsid w:val="00090C05"/>
    <w:rsid w:val="00090C5C"/>
    <w:rsid w:val="00090CEA"/>
    <w:rsid w:val="00090CEB"/>
    <w:rsid w:val="00090D0E"/>
    <w:rsid w:val="00090D59"/>
    <w:rsid w:val="00090DC5"/>
    <w:rsid w:val="00090DF2"/>
    <w:rsid w:val="00090DF7"/>
    <w:rsid w:val="00090E06"/>
    <w:rsid w:val="00090E40"/>
    <w:rsid w:val="00090E6C"/>
    <w:rsid w:val="00090EC2"/>
    <w:rsid w:val="00090F12"/>
    <w:rsid w:val="00090F20"/>
    <w:rsid w:val="00090F48"/>
    <w:rsid w:val="00090FC4"/>
    <w:rsid w:val="00091044"/>
    <w:rsid w:val="0009104E"/>
    <w:rsid w:val="00091085"/>
    <w:rsid w:val="000910C5"/>
    <w:rsid w:val="00091109"/>
    <w:rsid w:val="00091134"/>
    <w:rsid w:val="00091167"/>
    <w:rsid w:val="0009116C"/>
    <w:rsid w:val="0009117B"/>
    <w:rsid w:val="0009118E"/>
    <w:rsid w:val="00091192"/>
    <w:rsid w:val="000911A0"/>
    <w:rsid w:val="000911AA"/>
    <w:rsid w:val="000911D2"/>
    <w:rsid w:val="000911E5"/>
    <w:rsid w:val="000911F4"/>
    <w:rsid w:val="0009122C"/>
    <w:rsid w:val="00091232"/>
    <w:rsid w:val="0009125E"/>
    <w:rsid w:val="0009137F"/>
    <w:rsid w:val="0009139A"/>
    <w:rsid w:val="000913BC"/>
    <w:rsid w:val="000913C6"/>
    <w:rsid w:val="000913E6"/>
    <w:rsid w:val="00091419"/>
    <w:rsid w:val="000914D6"/>
    <w:rsid w:val="00091514"/>
    <w:rsid w:val="0009155A"/>
    <w:rsid w:val="00091585"/>
    <w:rsid w:val="00091590"/>
    <w:rsid w:val="000915AA"/>
    <w:rsid w:val="000915C8"/>
    <w:rsid w:val="000915CB"/>
    <w:rsid w:val="000915DC"/>
    <w:rsid w:val="0009160F"/>
    <w:rsid w:val="00091649"/>
    <w:rsid w:val="0009168B"/>
    <w:rsid w:val="000916B9"/>
    <w:rsid w:val="000916C3"/>
    <w:rsid w:val="0009172B"/>
    <w:rsid w:val="00091746"/>
    <w:rsid w:val="00091784"/>
    <w:rsid w:val="0009178C"/>
    <w:rsid w:val="0009179C"/>
    <w:rsid w:val="000917D0"/>
    <w:rsid w:val="000918A6"/>
    <w:rsid w:val="00091900"/>
    <w:rsid w:val="00091948"/>
    <w:rsid w:val="00091958"/>
    <w:rsid w:val="0009197B"/>
    <w:rsid w:val="000919C3"/>
    <w:rsid w:val="00091A3A"/>
    <w:rsid w:val="00091A8E"/>
    <w:rsid w:val="00091AC0"/>
    <w:rsid w:val="00091AFF"/>
    <w:rsid w:val="00091B27"/>
    <w:rsid w:val="00091B51"/>
    <w:rsid w:val="00091B89"/>
    <w:rsid w:val="00091BC6"/>
    <w:rsid w:val="00091C07"/>
    <w:rsid w:val="00091C6C"/>
    <w:rsid w:val="00091CA4"/>
    <w:rsid w:val="00091CAB"/>
    <w:rsid w:val="00091CC6"/>
    <w:rsid w:val="00091CD0"/>
    <w:rsid w:val="00091CDF"/>
    <w:rsid w:val="00091D0E"/>
    <w:rsid w:val="00091D43"/>
    <w:rsid w:val="00091D81"/>
    <w:rsid w:val="00091DC2"/>
    <w:rsid w:val="00091DE3"/>
    <w:rsid w:val="00091E5A"/>
    <w:rsid w:val="00091E6A"/>
    <w:rsid w:val="00091FC8"/>
    <w:rsid w:val="00092009"/>
    <w:rsid w:val="00092011"/>
    <w:rsid w:val="000920EE"/>
    <w:rsid w:val="000920F8"/>
    <w:rsid w:val="0009210B"/>
    <w:rsid w:val="0009211C"/>
    <w:rsid w:val="00092147"/>
    <w:rsid w:val="0009214E"/>
    <w:rsid w:val="00092154"/>
    <w:rsid w:val="00092159"/>
    <w:rsid w:val="00092191"/>
    <w:rsid w:val="0009219E"/>
    <w:rsid w:val="000921A7"/>
    <w:rsid w:val="000922E4"/>
    <w:rsid w:val="000922FE"/>
    <w:rsid w:val="00092309"/>
    <w:rsid w:val="0009230D"/>
    <w:rsid w:val="0009234A"/>
    <w:rsid w:val="00092362"/>
    <w:rsid w:val="0009236C"/>
    <w:rsid w:val="00092370"/>
    <w:rsid w:val="00092428"/>
    <w:rsid w:val="00092442"/>
    <w:rsid w:val="00092479"/>
    <w:rsid w:val="0009247F"/>
    <w:rsid w:val="00092489"/>
    <w:rsid w:val="0009248A"/>
    <w:rsid w:val="0009249A"/>
    <w:rsid w:val="000924A0"/>
    <w:rsid w:val="00092518"/>
    <w:rsid w:val="0009257D"/>
    <w:rsid w:val="000925CC"/>
    <w:rsid w:val="00092615"/>
    <w:rsid w:val="0009278C"/>
    <w:rsid w:val="0009279A"/>
    <w:rsid w:val="000927F4"/>
    <w:rsid w:val="0009286A"/>
    <w:rsid w:val="000928B6"/>
    <w:rsid w:val="000928E3"/>
    <w:rsid w:val="0009293B"/>
    <w:rsid w:val="000929B2"/>
    <w:rsid w:val="000929BA"/>
    <w:rsid w:val="00092A50"/>
    <w:rsid w:val="00092B5C"/>
    <w:rsid w:val="00092B60"/>
    <w:rsid w:val="00092B95"/>
    <w:rsid w:val="00092BB8"/>
    <w:rsid w:val="00092BE3"/>
    <w:rsid w:val="00092BF8"/>
    <w:rsid w:val="00092C53"/>
    <w:rsid w:val="00092C6F"/>
    <w:rsid w:val="00092C76"/>
    <w:rsid w:val="00092CAD"/>
    <w:rsid w:val="00092CAF"/>
    <w:rsid w:val="00092CE5"/>
    <w:rsid w:val="00092D23"/>
    <w:rsid w:val="00092D47"/>
    <w:rsid w:val="00092D8E"/>
    <w:rsid w:val="00092DA9"/>
    <w:rsid w:val="00092DD1"/>
    <w:rsid w:val="00092DFE"/>
    <w:rsid w:val="00092E88"/>
    <w:rsid w:val="00092EEA"/>
    <w:rsid w:val="00092F0D"/>
    <w:rsid w:val="00092F2B"/>
    <w:rsid w:val="00092F63"/>
    <w:rsid w:val="00093038"/>
    <w:rsid w:val="00093078"/>
    <w:rsid w:val="000930B0"/>
    <w:rsid w:val="000930B4"/>
    <w:rsid w:val="000930D2"/>
    <w:rsid w:val="000930EA"/>
    <w:rsid w:val="000930F4"/>
    <w:rsid w:val="00093126"/>
    <w:rsid w:val="0009314C"/>
    <w:rsid w:val="000931A9"/>
    <w:rsid w:val="000931AA"/>
    <w:rsid w:val="000931CD"/>
    <w:rsid w:val="000931EF"/>
    <w:rsid w:val="0009320A"/>
    <w:rsid w:val="0009328D"/>
    <w:rsid w:val="000932B9"/>
    <w:rsid w:val="000932F6"/>
    <w:rsid w:val="0009330A"/>
    <w:rsid w:val="00093349"/>
    <w:rsid w:val="0009335E"/>
    <w:rsid w:val="0009336C"/>
    <w:rsid w:val="00093398"/>
    <w:rsid w:val="000933A7"/>
    <w:rsid w:val="000933C7"/>
    <w:rsid w:val="000933E0"/>
    <w:rsid w:val="0009346A"/>
    <w:rsid w:val="000934CF"/>
    <w:rsid w:val="000934DE"/>
    <w:rsid w:val="000934FF"/>
    <w:rsid w:val="0009355B"/>
    <w:rsid w:val="000935B9"/>
    <w:rsid w:val="000935DD"/>
    <w:rsid w:val="00093612"/>
    <w:rsid w:val="00093619"/>
    <w:rsid w:val="00093655"/>
    <w:rsid w:val="00093679"/>
    <w:rsid w:val="000936BA"/>
    <w:rsid w:val="00093768"/>
    <w:rsid w:val="0009376B"/>
    <w:rsid w:val="000937AB"/>
    <w:rsid w:val="000937AF"/>
    <w:rsid w:val="0009380B"/>
    <w:rsid w:val="00093818"/>
    <w:rsid w:val="00093825"/>
    <w:rsid w:val="0009389C"/>
    <w:rsid w:val="00093920"/>
    <w:rsid w:val="00093939"/>
    <w:rsid w:val="00093A65"/>
    <w:rsid w:val="00093AAB"/>
    <w:rsid w:val="00093AE8"/>
    <w:rsid w:val="00093C5B"/>
    <w:rsid w:val="00093C8C"/>
    <w:rsid w:val="00093CB4"/>
    <w:rsid w:val="00093CC9"/>
    <w:rsid w:val="00093D28"/>
    <w:rsid w:val="00093DD7"/>
    <w:rsid w:val="00093E14"/>
    <w:rsid w:val="00093E35"/>
    <w:rsid w:val="00093E64"/>
    <w:rsid w:val="00093E8B"/>
    <w:rsid w:val="00093EE9"/>
    <w:rsid w:val="00093F30"/>
    <w:rsid w:val="00093FB0"/>
    <w:rsid w:val="00093FB6"/>
    <w:rsid w:val="00093FC3"/>
    <w:rsid w:val="0009401E"/>
    <w:rsid w:val="00094020"/>
    <w:rsid w:val="00094036"/>
    <w:rsid w:val="00094058"/>
    <w:rsid w:val="00094080"/>
    <w:rsid w:val="000940D3"/>
    <w:rsid w:val="000940D5"/>
    <w:rsid w:val="000940E0"/>
    <w:rsid w:val="0009416C"/>
    <w:rsid w:val="00094187"/>
    <w:rsid w:val="0009419E"/>
    <w:rsid w:val="000941A9"/>
    <w:rsid w:val="000941E1"/>
    <w:rsid w:val="0009422A"/>
    <w:rsid w:val="00094253"/>
    <w:rsid w:val="000942AE"/>
    <w:rsid w:val="000942BE"/>
    <w:rsid w:val="000942FB"/>
    <w:rsid w:val="00094313"/>
    <w:rsid w:val="000943AD"/>
    <w:rsid w:val="000943EA"/>
    <w:rsid w:val="00094484"/>
    <w:rsid w:val="00094522"/>
    <w:rsid w:val="0009459A"/>
    <w:rsid w:val="0009464B"/>
    <w:rsid w:val="00094652"/>
    <w:rsid w:val="000946EC"/>
    <w:rsid w:val="000946FB"/>
    <w:rsid w:val="0009471B"/>
    <w:rsid w:val="00094759"/>
    <w:rsid w:val="0009477B"/>
    <w:rsid w:val="000947A0"/>
    <w:rsid w:val="000947BD"/>
    <w:rsid w:val="000947CC"/>
    <w:rsid w:val="0009484B"/>
    <w:rsid w:val="00094857"/>
    <w:rsid w:val="0009494E"/>
    <w:rsid w:val="0009496D"/>
    <w:rsid w:val="000949E0"/>
    <w:rsid w:val="00094A6A"/>
    <w:rsid w:val="00094ACC"/>
    <w:rsid w:val="00094AEB"/>
    <w:rsid w:val="00094B2B"/>
    <w:rsid w:val="00094BBD"/>
    <w:rsid w:val="00094BE2"/>
    <w:rsid w:val="00094C13"/>
    <w:rsid w:val="00094C27"/>
    <w:rsid w:val="00094CB5"/>
    <w:rsid w:val="00094CB6"/>
    <w:rsid w:val="00094CF5"/>
    <w:rsid w:val="00094D1A"/>
    <w:rsid w:val="00094D30"/>
    <w:rsid w:val="00094D4D"/>
    <w:rsid w:val="00094D5A"/>
    <w:rsid w:val="00094D6B"/>
    <w:rsid w:val="00094D6C"/>
    <w:rsid w:val="00094D7C"/>
    <w:rsid w:val="00094DA8"/>
    <w:rsid w:val="00094DB2"/>
    <w:rsid w:val="00094DD8"/>
    <w:rsid w:val="00094E2B"/>
    <w:rsid w:val="00094E6D"/>
    <w:rsid w:val="00094EA8"/>
    <w:rsid w:val="00094EF9"/>
    <w:rsid w:val="00094F26"/>
    <w:rsid w:val="00094F7B"/>
    <w:rsid w:val="00094FA6"/>
    <w:rsid w:val="00094FA7"/>
    <w:rsid w:val="00094FA8"/>
    <w:rsid w:val="00094FCA"/>
    <w:rsid w:val="00094FCD"/>
    <w:rsid w:val="00095084"/>
    <w:rsid w:val="000950D7"/>
    <w:rsid w:val="000950EE"/>
    <w:rsid w:val="00095100"/>
    <w:rsid w:val="0009528F"/>
    <w:rsid w:val="000952AE"/>
    <w:rsid w:val="000952D5"/>
    <w:rsid w:val="00095374"/>
    <w:rsid w:val="00095481"/>
    <w:rsid w:val="000954BA"/>
    <w:rsid w:val="000954CD"/>
    <w:rsid w:val="000954F6"/>
    <w:rsid w:val="00095504"/>
    <w:rsid w:val="0009556E"/>
    <w:rsid w:val="0009557B"/>
    <w:rsid w:val="000955AA"/>
    <w:rsid w:val="000955C0"/>
    <w:rsid w:val="000955DB"/>
    <w:rsid w:val="000955E1"/>
    <w:rsid w:val="000956B7"/>
    <w:rsid w:val="000956D3"/>
    <w:rsid w:val="000956EA"/>
    <w:rsid w:val="0009575D"/>
    <w:rsid w:val="0009576B"/>
    <w:rsid w:val="000957A8"/>
    <w:rsid w:val="000957B2"/>
    <w:rsid w:val="00095830"/>
    <w:rsid w:val="00095849"/>
    <w:rsid w:val="00095884"/>
    <w:rsid w:val="00095886"/>
    <w:rsid w:val="0009588A"/>
    <w:rsid w:val="00095946"/>
    <w:rsid w:val="00095A96"/>
    <w:rsid w:val="00095AD6"/>
    <w:rsid w:val="00095AD9"/>
    <w:rsid w:val="00095B60"/>
    <w:rsid w:val="00095B6A"/>
    <w:rsid w:val="00095B71"/>
    <w:rsid w:val="00095B85"/>
    <w:rsid w:val="00095B90"/>
    <w:rsid w:val="00095BA8"/>
    <w:rsid w:val="00095BC3"/>
    <w:rsid w:val="00095BD9"/>
    <w:rsid w:val="00095C40"/>
    <w:rsid w:val="00095C80"/>
    <w:rsid w:val="00095D29"/>
    <w:rsid w:val="00095D42"/>
    <w:rsid w:val="00095D95"/>
    <w:rsid w:val="00095D9A"/>
    <w:rsid w:val="00095E12"/>
    <w:rsid w:val="00095E34"/>
    <w:rsid w:val="00095E86"/>
    <w:rsid w:val="00095F30"/>
    <w:rsid w:val="00095F6C"/>
    <w:rsid w:val="00095F85"/>
    <w:rsid w:val="00095F95"/>
    <w:rsid w:val="00095F9C"/>
    <w:rsid w:val="00096015"/>
    <w:rsid w:val="00096049"/>
    <w:rsid w:val="000960BF"/>
    <w:rsid w:val="000960FE"/>
    <w:rsid w:val="00096144"/>
    <w:rsid w:val="00096157"/>
    <w:rsid w:val="00096161"/>
    <w:rsid w:val="00096170"/>
    <w:rsid w:val="000961D1"/>
    <w:rsid w:val="000961EA"/>
    <w:rsid w:val="000961F5"/>
    <w:rsid w:val="00096207"/>
    <w:rsid w:val="00096242"/>
    <w:rsid w:val="00096245"/>
    <w:rsid w:val="000962CB"/>
    <w:rsid w:val="000962E2"/>
    <w:rsid w:val="000962F5"/>
    <w:rsid w:val="00096316"/>
    <w:rsid w:val="00096339"/>
    <w:rsid w:val="000963DA"/>
    <w:rsid w:val="000963E0"/>
    <w:rsid w:val="000963E5"/>
    <w:rsid w:val="00096405"/>
    <w:rsid w:val="00096431"/>
    <w:rsid w:val="00096469"/>
    <w:rsid w:val="0009648D"/>
    <w:rsid w:val="0009654A"/>
    <w:rsid w:val="00096559"/>
    <w:rsid w:val="00096571"/>
    <w:rsid w:val="00096590"/>
    <w:rsid w:val="000965D0"/>
    <w:rsid w:val="00096623"/>
    <w:rsid w:val="00096654"/>
    <w:rsid w:val="0009668E"/>
    <w:rsid w:val="000966A5"/>
    <w:rsid w:val="000966FD"/>
    <w:rsid w:val="00096741"/>
    <w:rsid w:val="0009674A"/>
    <w:rsid w:val="0009677E"/>
    <w:rsid w:val="0009678E"/>
    <w:rsid w:val="00096801"/>
    <w:rsid w:val="00096805"/>
    <w:rsid w:val="00096834"/>
    <w:rsid w:val="000968BA"/>
    <w:rsid w:val="000968FE"/>
    <w:rsid w:val="0009692E"/>
    <w:rsid w:val="00096956"/>
    <w:rsid w:val="00096983"/>
    <w:rsid w:val="00096986"/>
    <w:rsid w:val="0009699F"/>
    <w:rsid w:val="000969BB"/>
    <w:rsid w:val="000969F7"/>
    <w:rsid w:val="00096A7D"/>
    <w:rsid w:val="00096ACF"/>
    <w:rsid w:val="00096B03"/>
    <w:rsid w:val="00096B2A"/>
    <w:rsid w:val="00096B35"/>
    <w:rsid w:val="00096BA7"/>
    <w:rsid w:val="00096BA8"/>
    <w:rsid w:val="00096BC7"/>
    <w:rsid w:val="00096BEB"/>
    <w:rsid w:val="00096BED"/>
    <w:rsid w:val="00096C4C"/>
    <w:rsid w:val="00096C63"/>
    <w:rsid w:val="00096CAE"/>
    <w:rsid w:val="00096CB8"/>
    <w:rsid w:val="00096D29"/>
    <w:rsid w:val="00096D46"/>
    <w:rsid w:val="00096D80"/>
    <w:rsid w:val="00096DBA"/>
    <w:rsid w:val="00096DFC"/>
    <w:rsid w:val="00096E08"/>
    <w:rsid w:val="00096E13"/>
    <w:rsid w:val="00096E5F"/>
    <w:rsid w:val="00096EA2"/>
    <w:rsid w:val="00096EE7"/>
    <w:rsid w:val="00096F15"/>
    <w:rsid w:val="00096F3F"/>
    <w:rsid w:val="00096FD8"/>
    <w:rsid w:val="00097002"/>
    <w:rsid w:val="0009700D"/>
    <w:rsid w:val="00097026"/>
    <w:rsid w:val="00097085"/>
    <w:rsid w:val="00097121"/>
    <w:rsid w:val="00097170"/>
    <w:rsid w:val="000971C8"/>
    <w:rsid w:val="00097228"/>
    <w:rsid w:val="000972C0"/>
    <w:rsid w:val="00097300"/>
    <w:rsid w:val="0009730F"/>
    <w:rsid w:val="0009735A"/>
    <w:rsid w:val="00097391"/>
    <w:rsid w:val="000973EC"/>
    <w:rsid w:val="0009745E"/>
    <w:rsid w:val="00097472"/>
    <w:rsid w:val="000974C2"/>
    <w:rsid w:val="000974F4"/>
    <w:rsid w:val="00097503"/>
    <w:rsid w:val="0009757B"/>
    <w:rsid w:val="00097610"/>
    <w:rsid w:val="00097695"/>
    <w:rsid w:val="000976DB"/>
    <w:rsid w:val="0009773D"/>
    <w:rsid w:val="00097741"/>
    <w:rsid w:val="0009775A"/>
    <w:rsid w:val="00097775"/>
    <w:rsid w:val="0009778F"/>
    <w:rsid w:val="000977A7"/>
    <w:rsid w:val="000977E4"/>
    <w:rsid w:val="00097810"/>
    <w:rsid w:val="000978CB"/>
    <w:rsid w:val="000978F5"/>
    <w:rsid w:val="00097934"/>
    <w:rsid w:val="00097951"/>
    <w:rsid w:val="000979CE"/>
    <w:rsid w:val="00097A0B"/>
    <w:rsid w:val="00097A35"/>
    <w:rsid w:val="00097A3C"/>
    <w:rsid w:val="00097A6F"/>
    <w:rsid w:val="00097B9C"/>
    <w:rsid w:val="00097C38"/>
    <w:rsid w:val="00097C83"/>
    <w:rsid w:val="00097C8E"/>
    <w:rsid w:val="00097CB2"/>
    <w:rsid w:val="00097D1B"/>
    <w:rsid w:val="00097D5C"/>
    <w:rsid w:val="00097DDA"/>
    <w:rsid w:val="00097DFC"/>
    <w:rsid w:val="00097E3D"/>
    <w:rsid w:val="00097E6F"/>
    <w:rsid w:val="00097EA6"/>
    <w:rsid w:val="00097EB2"/>
    <w:rsid w:val="00097F58"/>
    <w:rsid w:val="00097FD1"/>
    <w:rsid w:val="00097FE5"/>
    <w:rsid w:val="000A0063"/>
    <w:rsid w:val="000A007B"/>
    <w:rsid w:val="000A0166"/>
    <w:rsid w:val="000A0195"/>
    <w:rsid w:val="000A019F"/>
    <w:rsid w:val="000A01AB"/>
    <w:rsid w:val="000A01C6"/>
    <w:rsid w:val="000A023F"/>
    <w:rsid w:val="000A0271"/>
    <w:rsid w:val="000A027F"/>
    <w:rsid w:val="000A0327"/>
    <w:rsid w:val="000A035E"/>
    <w:rsid w:val="000A0367"/>
    <w:rsid w:val="000A03A1"/>
    <w:rsid w:val="000A0432"/>
    <w:rsid w:val="000A0485"/>
    <w:rsid w:val="000A04AF"/>
    <w:rsid w:val="000A04CA"/>
    <w:rsid w:val="000A04DE"/>
    <w:rsid w:val="000A051F"/>
    <w:rsid w:val="000A0520"/>
    <w:rsid w:val="000A05B1"/>
    <w:rsid w:val="000A05D8"/>
    <w:rsid w:val="000A05DB"/>
    <w:rsid w:val="000A0615"/>
    <w:rsid w:val="000A0625"/>
    <w:rsid w:val="000A063B"/>
    <w:rsid w:val="000A0645"/>
    <w:rsid w:val="000A0690"/>
    <w:rsid w:val="000A06AB"/>
    <w:rsid w:val="000A06DC"/>
    <w:rsid w:val="000A07C2"/>
    <w:rsid w:val="000A07CC"/>
    <w:rsid w:val="000A081B"/>
    <w:rsid w:val="000A086D"/>
    <w:rsid w:val="000A08E5"/>
    <w:rsid w:val="000A08ED"/>
    <w:rsid w:val="000A08FA"/>
    <w:rsid w:val="000A094A"/>
    <w:rsid w:val="000A09F4"/>
    <w:rsid w:val="000A09F7"/>
    <w:rsid w:val="000A0A40"/>
    <w:rsid w:val="000A0A93"/>
    <w:rsid w:val="000A0A9B"/>
    <w:rsid w:val="000A0AAE"/>
    <w:rsid w:val="000A0B1C"/>
    <w:rsid w:val="000A0BEC"/>
    <w:rsid w:val="000A0BFA"/>
    <w:rsid w:val="000A0C75"/>
    <w:rsid w:val="000A0C93"/>
    <w:rsid w:val="000A0CAA"/>
    <w:rsid w:val="000A0D68"/>
    <w:rsid w:val="000A0DD9"/>
    <w:rsid w:val="000A0E55"/>
    <w:rsid w:val="000A0E6C"/>
    <w:rsid w:val="000A0ECD"/>
    <w:rsid w:val="000A0EDC"/>
    <w:rsid w:val="000A1044"/>
    <w:rsid w:val="000A1078"/>
    <w:rsid w:val="000A109C"/>
    <w:rsid w:val="000A1102"/>
    <w:rsid w:val="000A1134"/>
    <w:rsid w:val="000A115C"/>
    <w:rsid w:val="000A1171"/>
    <w:rsid w:val="000A117E"/>
    <w:rsid w:val="000A1191"/>
    <w:rsid w:val="000A11C4"/>
    <w:rsid w:val="000A11F0"/>
    <w:rsid w:val="000A123C"/>
    <w:rsid w:val="000A124B"/>
    <w:rsid w:val="000A1260"/>
    <w:rsid w:val="000A1295"/>
    <w:rsid w:val="000A1323"/>
    <w:rsid w:val="000A1325"/>
    <w:rsid w:val="000A1343"/>
    <w:rsid w:val="000A1344"/>
    <w:rsid w:val="000A14B7"/>
    <w:rsid w:val="000A1501"/>
    <w:rsid w:val="000A1503"/>
    <w:rsid w:val="000A1517"/>
    <w:rsid w:val="000A1547"/>
    <w:rsid w:val="000A1586"/>
    <w:rsid w:val="000A1602"/>
    <w:rsid w:val="000A1636"/>
    <w:rsid w:val="000A1650"/>
    <w:rsid w:val="000A1658"/>
    <w:rsid w:val="000A16AC"/>
    <w:rsid w:val="000A16B7"/>
    <w:rsid w:val="000A16D0"/>
    <w:rsid w:val="000A1755"/>
    <w:rsid w:val="000A17C8"/>
    <w:rsid w:val="000A17CB"/>
    <w:rsid w:val="000A17D9"/>
    <w:rsid w:val="000A17DF"/>
    <w:rsid w:val="000A17E9"/>
    <w:rsid w:val="000A17F4"/>
    <w:rsid w:val="000A182C"/>
    <w:rsid w:val="000A183A"/>
    <w:rsid w:val="000A1978"/>
    <w:rsid w:val="000A19A5"/>
    <w:rsid w:val="000A19DC"/>
    <w:rsid w:val="000A19EF"/>
    <w:rsid w:val="000A1AAA"/>
    <w:rsid w:val="000A1B41"/>
    <w:rsid w:val="000A1BAE"/>
    <w:rsid w:val="000A1C74"/>
    <w:rsid w:val="000A1CF3"/>
    <w:rsid w:val="000A1D35"/>
    <w:rsid w:val="000A1D69"/>
    <w:rsid w:val="000A1D71"/>
    <w:rsid w:val="000A1D76"/>
    <w:rsid w:val="000A1EAD"/>
    <w:rsid w:val="000A1F0C"/>
    <w:rsid w:val="000A1F27"/>
    <w:rsid w:val="000A1F36"/>
    <w:rsid w:val="000A1F52"/>
    <w:rsid w:val="000A1F70"/>
    <w:rsid w:val="000A1F7A"/>
    <w:rsid w:val="000A2022"/>
    <w:rsid w:val="000A2069"/>
    <w:rsid w:val="000A2073"/>
    <w:rsid w:val="000A209F"/>
    <w:rsid w:val="000A20CC"/>
    <w:rsid w:val="000A2120"/>
    <w:rsid w:val="000A212F"/>
    <w:rsid w:val="000A21D6"/>
    <w:rsid w:val="000A22D0"/>
    <w:rsid w:val="000A23B6"/>
    <w:rsid w:val="000A23CD"/>
    <w:rsid w:val="000A245C"/>
    <w:rsid w:val="000A246F"/>
    <w:rsid w:val="000A24AA"/>
    <w:rsid w:val="000A24B9"/>
    <w:rsid w:val="000A24C3"/>
    <w:rsid w:val="000A2503"/>
    <w:rsid w:val="000A252B"/>
    <w:rsid w:val="000A2584"/>
    <w:rsid w:val="000A2586"/>
    <w:rsid w:val="000A25AA"/>
    <w:rsid w:val="000A25FD"/>
    <w:rsid w:val="000A2614"/>
    <w:rsid w:val="000A2637"/>
    <w:rsid w:val="000A269D"/>
    <w:rsid w:val="000A26A6"/>
    <w:rsid w:val="000A26AE"/>
    <w:rsid w:val="000A26B3"/>
    <w:rsid w:val="000A272B"/>
    <w:rsid w:val="000A277B"/>
    <w:rsid w:val="000A27C6"/>
    <w:rsid w:val="000A283A"/>
    <w:rsid w:val="000A28B4"/>
    <w:rsid w:val="000A28CC"/>
    <w:rsid w:val="000A28E4"/>
    <w:rsid w:val="000A2997"/>
    <w:rsid w:val="000A29E3"/>
    <w:rsid w:val="000A29E4"/>
    <w:rsid w:val="000A2A26"/>
    <w:rsid w:val="000A2A3F"/>
    <w:rsid w:val="000A2AAB"/>
    <w:rsid w:val="000A2ABE"/>
    <w:rsid w:val="000A2B26"/>
    <w:rsid w:val="000A2B6C"/>
    <w:rsid w:val="000A2B75"/>
    <w:rsid w:val="000A2BFC"/>
    <w:rsid w:val="000A2C01"/>
    <w:rsid w:val="000A2C46"/>
    <w:rsid w:val="000A2CD0"/>
    <w:rsid w:val="000A2D29"/>
    <w:rsid w:val="000A2D93"/>
    <w:rsid w:val="000A2DA1"/>
    <w:rsid w:val="000A2DA8"/>
    <w:rsid w:val="000A2DBC"/>
    <w:rsid w:val="000A2DCE"/>
    <w:rsid w:val="000A2F56"/>
    <w:rsid w:val="000A2FE2"/>
    <w:rsid w:val="000A2FFD"/>
    <w:rsid w:val="000A3031"/>
    <w:rsid w:val="000A30A1"/>
    <w:rsid w:val="000A30B8"/>
    <w:rsid w:val="000A3165"/>
    <w:rsid w:val="000A31BB"/>
    <w:rsid w:val="000A322C"/>
    <w:rsid w:val="000A3284"/>
    <w:rsid w:val="000A32BE"/>
    <w:rsid w:val="000A3321"/>
    <w:rsid w:val="000A33B3"/>
    <w:rsid w:val="000A3410"/>
    <w:rsid w:val="000A34A1"/>
    <w:rsid w:val="000A351D"/>
    <w:rsid w:val="000A3546"/>
    <w:rsid w:val="000A354D"/>
    <w:rsid w:val="000A3563"/>
    <w:rsid w:val="000A3654"/>
    <w:rsid w:val="000A3696"/>
    <w:rsid w:val="000A36FF"/>
    <w:rsid w:val="000A373A"/>
    <w:rsid w:val="000A3760"/>
    <w:rsid w:val="000A3768"/>
    <w:rsid w:val="000A3781"/>
    <w:rsid w:val="000A3819"/>
    <w:rsid w:val="000A3820"/>
    <w:rsid w:val="000A3887"/>
    <w:rsid w:val="000A38B5"/>
    <w:rsid w:val="000A38B6"/>
    <w:rsid w:val="000A390D"/>
    <w:rsid w:val="000A3919"/>
    <w:rsid w:val="000A3945"/>
    <w:rsid w:val="000A39D8"/>
    <w:rsid w:val="000A39E7"/>
    <w:rsid w:val="000A3A8F"/>
    <w:rsid w:val="000A3B02"/>
    <w:rsid w:val="000A3B64"/>
    <w:rsid w:val="000A3BA4"/>
    <w:rsid w:val="000A3BD6"/>
    <w:rsid w:val="000A3BF2"/>
    <w:rsid w:val="000A3BF8"/>
    <w:rsid w:val="000A3C1C"/>
    <w:rsid w:val="000A3CA7"/>
    <w:rsid w:val="000A3CCD"/>
    <w:rsid w:val="000A3CF0"/>
    <w:rsid w:val="000A3D1B"/>
    <w:rsid w:val="000A3D3B"/>
    <w:rsid w:val="000A3DC9"/>
    <w:rsid w:val="000A3DED"/>
    <w:rsid w:val="000A3E12"/>
    <w:rsid w:val="000A3E6A"/>
    <w:rsid w:val="000A3EFD"/>
    <w:rsid w:val="000A3F02"/>
    <w:rsid w:val="000A3F09"/>
    <w:rsid w:val="000A3F21"/>
    <w:rsid w:val="000A3F2F"/>
    <w:rsid w:val="000A3F4C"/>
    <w:rsid w:val="000A3F72"/>
    <w:rsid w:val="000A3FA8"/>
    <w:rsid w:val="000A3FC4"/>
    <w:rsid w:val="000A3FEC"/>
    <w:rsid w:val="000A4017"/>
    <w:rsid w:val="000A40C0"/>
    <w:rsid w:val="000A40DE"/>
    <w:rsid w:val="000A412B"/>
    <w:rsid w:val="000A4158"/>
    <w:rsid w:val="000A41D8"/>
    <w:rsid w:val="000A4216"/>
    <w:rsid w:val="000A4265"/>
    <w:rsid w:val="000A428C"/>
    <w:rsid w:val="000A42F1"/>
    <w:rsid w:val="000A42F2"/>
    <w:rsid w:val="000A4316"/>
    <w:rsid w:val="000A4325"/>
    <w:rsid w:val="000A4328"/>
    <w:rsid w:val="000A4409"/>
    <w:rsid w:val="000A4486"/>
    <w:rsid w:val="000A44BD"/>
    <w:rsid w:val="000A4571"/>
    <w:rsid w:val="000A458A"/>
    <w:rsid w:val="000A45D2"/>
    <w:rsid w:val="000A45D8"/>
    <w:rsid w:val="000A45EA"/>
    <w:rsid w:val="000A45ED"/>
    <w:rsid w:val="000A45F0"/>
    <w:rsid w:val="000A45FF"/>
    <w:rsid w:val="000A4614"/>
    <w:rsid w:val="000A46B3"/>
    <w:rsid w:val="000A46FA"/>
    <w:rsid w:val="000A4720"/>
    <w:rsid w:val="000A47A9"/>
    <w:rsid w:val="000A47C4"/>
    <w:rsid w:val="000A4892"/>
    <w:rsid w:val="000A48B4"/>
    <w:rsid w:val="000A48DD"/>
    <w:rsid w:val="000A48E5"/>
    <w:rsid w:val="000A48E8"/>
    <w:rsid w:val="000A48F9"/>
    <w:rsid w:val="000A49A1"/>
    <w:rsid w:val="000A49EC"/>
    <w:rsid w:val="000A4A3C"/>
    <w:rsid w:val="000A4A59"/>
    <w:rsid w:val="000A4A85"/>
    <w:rsid w:val="000A4AE5"/>
    <w:rsid w:val="000A4BCA"/>
    <w:rsid w:val="000A4C07"/>
    <w:rsid w:val="000A4C1E"/>
    <w:rsid w:val="000A4C6F"/>
    <w:rsid w:val="000A4C7C"/>
    <w:rsid w:val="000A4CC3"/>
    <w:rsid w:val="000A4D2D"/>
    <w:rsid w:val="000A4D88"/>
    <w:rsid w:val="000A4D98"/>
    <w:rsid w:val="000A4DA7"/>
    <w:rsid w:val="000A4E01"/>
    <w:rsid w:val="000A4E06"/>
    <w:rsid w:val="000A4E08"/>
    <w:rsid w:val="000A4E1C"/>
    <w:rsid w:val="000A4E39"/>
    <w:rsid w:val="000A4E9E"/>
    <w:rsid w:val="000A4EA6"/>
    <w:rsid w:val="000A4EE5"/>
    <w:rsid w:val="000A4EF4"/>
    <w:rsid w:val="000A4FCD"/>
    <w:rsid w:val="000A504F"/>
    <w:rsid w:val="000A5072"/>
    <w:rsid w:val="000A50BE"/>
    <w:rsid w:val="000A50DD"/>
    <w:rsid w:val="000A5127"/>
    <w:rsid w:val="000A5177"/>
    <w:rsid w:val="000A517C"/>
    <w:rsid w:val="000A51A8"/>
    <w:rsid w:val="000A51D3"/>
    <w:rsid w:val="000A520C"/>
    <w:rsid w:val="000A529C"/>
    <w:rsid w:val="000A52A8"/>
    <w:rsid w:val="000A52B0"/>
    <w:rsid w:val="000A52BB"/>
    <w:rsid w:val="000A52BD"/>
    <w:rsid w:val="000A52BF"/>
    <w:rsid w:val="000A5379"/>
    <w:rsid w:val="000A53A6"/>
    <w:rsid w:val="000A548A"/>
    <w:rsid w:val="000A558B"/>
    <w:rsid w:val="000A55D5"/>
    <w:rsid w:val="000A561B"/>
    <w:rsid w:val="000A5699"/>
    <w:rsid w:val="000A56A9"/>
    <w:rsid w:val="000A56B0"/>
    <w:rsid w:val="000A5711"/>
    <w:rsid w:val="000A5731"/>
    <w:rsid w:val="000A575C"/>
    <w:rsid w:val="000A57AE"/>
    <w:rsid w:val="000A57D8"/>
    <w:rsid w:val="000A5815"/>
    <w:rsid w:val="000A584B"/>
    <w:rsid w:val="000A5891"/>
    <w:rsid w:val="000A591F"/>
    <w:rsid w:val="000A5922"/>
    <w:rsid w:val="000A5984"/>
    <w:rsid w:val="000A59A7"/>
    <w:rsid w:val="000A59E6"/>
    <w:rsid w:val="000A5A33"/>
    <w:rsid w:val="000A5A49"/>
    <w:rsid w:val="000A5AB7"/>
    <w:rsid w:val="000A5B58"/>
    <w:rsid w:val="000A5B70"/>
    <w:rsid w:val="000A5B76"/>
    <w:rsid w:val="000A5B7C"/>
    <w:rsid w:val="000A5BE5"/>
    <w:rsid w:val="000A5C00"/>
    <w:rsid w:val="000A5C24"/>
    <w:rsid w:val="000A5C3B"/>
    <w:rsid w:val="000A5C44"/>
    <w:rsid w:val="000A5C9A"/>
    <w:rsid w:val="000A5CB7"/>
    <w:rsid w:val="000A5CE9"/>
    <w:rsid w:val="000A5D08"/>
    <w:rsid w:val="000A5D28"/>
    <w:rsid w:val="000A5D59"/>
    <w:rsid w:val="000A5D6B"/>
    <w:rsid w:val="000A5D92"/>
    <w:rsid w:val="000A5DA1"/>
    <w:rsid w:val="000A5DC0"/>
    <w:rsid w:val="000A5DF0"/>
    <w:rsid w:val="000A5E00"/>
    <w:rsid w:val="000A5E28"/>
    <w:rsid w:val="000A5E32"/>
    <w:rsid w:val="000A5E40"/>
    <w:rsid w:val="000A5E98"/>
    <w:rsid w:val="000A5EE4"/>
    <w:rsid w:val="000A5F20"/>
    <w:rsid w:val="000A5F36"/>
    <w:rsid w:val="000A5F56"/>
    <w:rsid w:val="000A5FAB"/>
    <w:rsid w:val="000A5FB2"/>
    <w:rsid w:val="000A5FE1"/>
    <w:rsid w:val="000A5FE8"/>
    <w:rsid w:val="000A600A"/>
    <w:rsid w:val="000A603D"/>
    <w:rsid w:val="000A6054"/>
    <w:rsid w:val="000A605C"/>
    <w:rsid w:val="000A6068"/>
    <w:rsid w:val="000A6069"/>
    <w:rsid w:val="000A6076"/>
    <w:rsid w:val="000A60A5"/>
    <w:rsid w:val="000A60C4"/>
    <w:rsid w:val="000A6163"/>
    <w:rsid w:val="000A61F5"/>
    <w:rsid w:val="000A6256"/>
    <w:rsid w:val="000A6263"/>
    <w:rsid w:val="000A6267"/>
    <w:rsid w:val="000A62E3"/>
    <w:rsid w:val="000A634B"/>
    <w:rsid w:val="000A6353"/>
    <w:rsid w:val="000A639B"/>
    <w:rsid w:val="000A640B"/>
    <w:rsid w:val="000A6473"/>
    <w:rsid w:val="000A647A"/>
    <w:rsid w:val="000A6496"/>
    <w:rsid w:val="000A64DE"/>
    <w:rsid w:val="000A651B"/>
    <w:rsid w:val="000A659A"/>
    <w:rsid w:val="000A659E"/>
    <w:rsid w:val="000A6608"/>
    <w:rsid w:val="000A6615"/>
    <w:rsid w:val="000A6627"/>
    <w:rsid w:val="000A663A"/>
    <w:rsid w:val="000A6679"/>
    <w:rsid w:val="000A66A9"/>
    <w:rsid w:val="000A66C3"/>
    <w:rsid w:val="000A6714"/>
    <w:rsid w:val="000A6765"/>
    <w:rsid w:val="000A67BD"/>
    <w:rsid w:val="000A67C3"/>
    <w:rsid w:val="000A67DF"/>
    <w:rsid w:val="000A6844"/>
    <w:rsid w:val="000A6881"/>
    <w:rsid w:val="000A68BC"/>
    <w:rsid w:val="000A68C9"/>
    <w:rsid w:val="000A691E"/>
    <w:rsid w:val="000A696A"/>
    <w:rsid w:val="000A6976"/>
    <w:rsid w:val="000A69E1"/>
    <w:rsid w:val="000A6A4A"/>
    <w:rsid w:val="000A6ACD"/>
    <w:rsid w:val="000A6ADA"/>
    <w:rsid w:val="000A6AEC"/>
    <w:rsid w:val="000A6B85"/>
    <w:rsid w:val="000A6BD1"/>
    <w:rsid w:val="000A6C43"/>
    <w:rsid w:val="000A6C80"/>
    <w:rsid w:val="000A6C99"/>
    <w:rsid w:val="000A6D17"/>
    <w:rsid w:val="000A6D1E"/>
    <w:rsid w:val="000A6D83"/>
    <w:rsid w:val="000A6DBF"/>
    <w:rsid w:val="000A6DCB"/>
    <w:rsid w:val="000A6EA1"/>
    <w:rsid w:val="000A6ED2"/>
    <w:rsid w:val="000A6F1F"/>
    <w:rsid w:val="000A6F3B"/>
    <w:rsid w:val="000A6F42"/>
    <w:rsid w:val="000A6FFD"/>
    <w:rsid w:val="000A702F"/>
    <w:rsid w:val="000A7036"/>
    <w:rsid w:val="000A707B"/>
    <w:rsid w:val="000A70CE"/>
    <w:rsid w:val="000A713F"/>
    <w:rsid w:val="000A7178"/>
    <w:rsid w:val="000A71F1"/>
    <w:rsid w:val="000A71F8"/>
    <w:rsid w:val="000A729D"/>
    <w:rsid w:val="000A72CC"/>
    <w:rsid w:val="000A72F6"/>
    <w:rsid w:val="000A732C"/>
    <w:rsid w:val="000A732F"/>
    <w:rsid w:val="000A7331"/>
    <w:rsid w:val="000A7363"/>
    <w:rsid w:val="000A7378"/>
    <w:rsid w:val="000A7396"/>
    <w:rsid w:val="000A739C"/>
    <w:rsid w:val="000A73DF"/>
    <w:rsid w:val="000A7404"/>
    <w:rsid w:val="000A7405"/>
    <w:rsid w:val="000A743B"/>
    <w:rsid w:val="000A7455"/>
    <w:rsid w:val="000A7493"/>
    <w:rsid w:val="000A74CD"/>
    <w:rsid w:val="000A74E8"/>
    <w:rsid w:val="000A7521"/>
    <w:rsid w:val="000A754C"/>
    <w:rsid w:val="000A756A"/>
    <w:rsid w:val="000A757D"/>
    <w:rsid w:val="000A75A1"/>
    <w:rsid w:val="000A75DE"/>
    <w:rsid w:val="000A75E3"/>
    <w:rsid w:val="000A75EA"/>
    <w:rsid w:val="000A7635"/>
    <w:rsid w:val="000A76DB"/>
    <w:rsid w:val="000A7723"/>
    <w:rsid w:val="000A7765"/>
    <w:rsid w:val="000A779F"/>
    <w:rsid w:val="000A77B9"/>
    <w:rsid w:val="000A77FC"/>
    <w:rsid w:val="000A7808"/>
    <w:rsid w:val="000A78D6"/>
    <w:rsid w:val="000A7947"/>
    <w:rsid w:val="000A7954"/>
    <w:rsid w:val="000A79D5"/>
    <w:rsid w:val="000A7A53"/>
    <w:rsid w:val="000A7A74"/>
    <w:rsid w:val="000A7A9D"/>
    <w:rsid w:val="000A7AAB"/>
    <w:rsid w:val="000A7B27"/>
    <w:rsid w:val="000A7BB3"/>
    <w:rsid w:val="000A7BE4"/>
    <w:rsid w:val="000A7C36"/>
    <w:rsid w:val="000A7C6D"/>
    <w:rsid w:val="000A7C89"/>
    <w:rsid w:val="000A7C95"/>
    <w:rsid w:val="000A7CF0"/>
    <w:rsid w:val="000A7D9C"/>
    <w:rsid w:val="000A7DDA"/>
    <w:rsid w:val="000A7E00"/>
    <w:rsid w:val="000A7F20"/>
    <w:rsid w:val="000A7F58"/>
    <w:rsid w:val="000A7FA7"/>
    <w:rsid w:val="000A7FAD"/>
    <w:rsid w:val="000B005F"/>
    <w:rsid w:val="000B009B"/>
    <w:rsid w:val="000B00D1"/>
    <w:rsid w:val="000B01A4"/>
    <w:rsid w:val="000B021A"/>
    <w:rsid w:val="000B0223"/>
    <w:rsid w:val="000B02DC"/>
    <w:rsid w:val="000B02F6"/>
    <w:rsid w:val="000B036B"/>
    <w:rsid w:val="000B0419"/>
    <w:rsid w:val="000B0440"/>
    <w:rsid w:val="000B044A"/>
    <w:rsid w:val="000B04AF"/>
    <w:rsid w:val="000B04CA"/>
    <w:rsid w:val="000B04D5"/>
    <w:rsid w:val="000B051A"/>
    <w:rsid w:val="000B05AF"/>
    <w:rsid w:val="000B0616"/>
    <w:rsid w:val="000B06DC"/>
    <w:rsid w:val="000B0721"/>
    <w:rsid w:val="000B0759"/>
    <w:rsid w:val="000B078F"/>
    <w:rsid w:val="000B0812"/>
    <w:rsid w:val="000B0813"/>
    <w:rsid w:val="000B0816"/>
    <w:rsid w:val="000B088D"/>
    <w:rsid w:val="000B08DF"/>
    <w:rsid w:val="000B0925"/>
    <w:rsid w:val="000B095F"/>
    <w:rsid w:val="000B09F7"/>
    <w:rsid w:val="000B0A72"/>
    <w:rsid w:val="000B0AFC"/>
    <w:rsid w:val="000B0B36"/>
    <w:rsid w:val="000B0B7A"/>
    <w:rsid w:val="000B0B84"/>
    <w:rsid w:val="000B0C1C"/>
    <w:rsid w:val="000B0C4A"/>
    <w:rsid w:val="000B0C4F"/>
    <w:rsid w:val="000B0CD1"/>
    <w:rsid w:val="000B0CD5"/>
    <w:rsid w:val="000B0D1E"/>
    <w:rsid w:val="000B0D22"/>
    <w:rsid w:val="000B0D3E"/>
    <w:rsid w:val="000B0D88"/>
    <w:rsid w:val="000B0D8F"/>
    <w:rsid w:val="000B0E20"/>
    <w:rsid w:val="000B0E80"/>
    <w:rsid w:val="000B0EF4"/>
    <w:rsid w:val="000B0F11"/>
    <w:rsid w:val="000B0F70"/>
    <w:rsid w:val="000B0F95"/>
    <w:rsid w:val="000B0F96"/>
    <w:rsid w:val="000B0F9C"/>
    <w:rsid w:val="000B0FB0"/>
    <w:rsid w:val="000B1005"/>
    <w:rsid w:val="000B101E"/>
    <w:rsid w:val="000B108B"/>
    <w:rsid w:val="000B1095"/>
    <w:rsid w:val="000B10D5"/>
    <w:rsid w:val="000B10E7"/>
    <w:rsid w:val="000B1155"/>
    <w:rsid w:val="000B1201"/>
    <w:rsid w:val="000B124A"/>
    <w:rsid w:val="000B12C2"/>
    <w:rsid w:val="000B136B"/>
    <w:rsid w:val="000B139D"/>
    <w:rsid w:val="000B1469"/>
    <w:rsid w:val="000B14CF"/>
    <w:rsid w:val="000B14EC"/>
    <w:rsid w:val="000B1509"/>
    <w:rsid w:val="000B1564"/>
    <w:rsid w:val="000B15C4"/>
    <w:rsid w:val="000B1622"/>
    <w:rsid w:val="000B1668"/>
    <w:rsid w:val="000B16CA"/>
    <w:rsid w:val="000B1719"/>
    <w:rsid w:val="000B1750"/>
    <w:rsid w:val="000B1796"/>
    <w:rsid w:val="000B17DA"/>
    <w:rsid w:val="000B17E9"/>
    <w:rsid w:val="000B1805"/>
    <w:rsid w:val="000B1859"/>
    <w:rsid w:val="000B186D"/>
    <w:rsid w:val="000B1890"/>
    <w:rsid w:val="000B18BC"/>
    <w:rsid w:val="000B18C8"/>
    <w:rsid w:val="000B18CA"/>
    <w:rsid w:val="000B18F3"/>
    <w:rsid w:val="000B1910"/>
    <w:rsid w:val="000B1915"/>
    <w:rsid w:val="000B1959"/>
    <w:rsid w:val="000B1A92"/>
    <w:rsid w:val="000B1AB7"/>
    <w:rsid w:val="000B1AFA"/>
    <w:rsid w:val="000B1B39"/>
    <w:rsid w:val="000B1B69"/>
    <w:rsid w:val="000B1B92"/>
    <w:rsid w:val="000B1C18"/>
    <w:rsid w:val="000B1C23"/>
    <w:rsid w:val="000B1C31"/>
    <w:rsid w:val="000B1C8A"/>
    <w:rsid w:val="000B1C8E"/>
    <w:rsid w:val="000B1CB0"/>
    <w:rsid w:val="000B1CBC"/>
    <w:rsid w:val="000B1CC8"/>
    <w:rsid w:val="000B1D5E"/>
    <w:rsid w:val="000B1E80"/>
    <w:rsid w:val="000B1EC6"/>
    <w:rsid w:val="000B1F70"/>
    <w:rsid w:val="000B1F7D"/>
    <w:rsid w:val="000B2024"/>
    <w:rsid w:val="000B2085"/>
    <w:rsid w:val="000B208D"/>
    <w:rsid w:val="000B20B8"/>
    <w:rsid w:val="000B20ED"/>
    <w:rsid w:val="000B20FB"/>
    <w:rsid w:val="000B211A"/>
    <w:rsid w:val="000B2135"/>
    <w:rsid w:val="000B218F"/>
    <w:rsid w:val="000B21A2"/>
    <w:rsid w:val="000B2223"/>
    <w:rsid w:val="000B224B"/>
    <w:rsid w:val="000B2253"/>
    <w:rsid w:val="000B2266"/>
    <w:rsid w:val="000B22A2"/>
    <w:rsid w:val="000B22B5"/>
    <w:rsid w:val="000B23B7"/>
    <w:rsid w:val="000B2402"/>
    <w:rsid w:val="000B2440"/>
    <w:rsid w:val="000B246C"/>
    <w:rsid w:val="000B24A6"/>
    <w:rsid w:val="000B24B1"/>
    <w:rsid w:val="000B24BE"/>
    <w:rsid w:val="000B2525"/>
    <w:rsid w:val="000B256E"/>
    <w:rsid w:val="000B25C2"/>
    <w:rsid w:val="000B264C"/>
    <w:rsid w:val="000B2669"/>
    <w:rsid w:val="000B26C0"/>
    <w:rsid w:val="000B26D6"/>
    <w:rsid w:val="000B26E6"/>
    <w:rsid w:val="000B2752"/>
    <w:rsid w:val="000B277A"/>
    <w:rsid w:val="000B278D"/>
    <w:rsid w:val="000B27BE"/>
    <w:rsid w:val="000B27F1"/>
    <w:rsid w:val="000B27F2"/>
    <w:rsid w:val="000B2901"/>
    <w:rsid w:val="000B2940"/>
    <w:rsid w:val="000B2950"/>
    <w:rsid w:val="000B2984"/>
    <w:rsid w:val="000B298E"/>
    <w:rsid w:val="000B2991"/>
    <w:rsid w:val="000B29B7"/>
    <w:rsid w:val="000B29DA"/>
    <w:rsid w:val="000B2A13"/>
    <w:rsid w:val="000B2A35"/>
    <w:rsid w:val="000B2A7F"/>
    <w:rsid w:val="000B2AA4"/>
    <w:rsid w:val="000B2B2E"/>
    <w:rsid w:val="000B2B4C"/>
    <w:rsid w:val="000B2BE3"/>
    <w:rsid w:val="000B2C17"/>
    <w:rsid w:val="000B2C21"/>
    <w:rsid w:val="000B2C9E"/>
    <w:rsid w:val="000B2CB2"/>
    <w:rsid w:val="000B2CD2"/>
    <w:rsid w:val="000B2CDD"/>
    <w:rsid w:val="000B2CE5"/>
    <w:rsid w:val="000B2CF3"/>
    <w:rsid w:val="000B2D22"/>
    <w:rsid w:val="000B2D80"/>
    <w:rsid w:val="000B2D8F"/>
    <w:rsid w:val="000B2DBC"/>
    <w:rsid w:val="000B2E26"/>
    <w:rsid w:val="000B2E6C"/>
    <w:rsid w:val="000B2EA2"/>
    <w:rsid w:val="000B2F5E"/>
    <w:rsid w:val="000B2FF5"/>
    <w:rsid w:val="000B3032"/>
    <w:rsid w:val="000B307D"/>
    <w:rsid w:val="000B3082"/>
    <w:rsid w:val="000B30A6"/>
    <w:rsid w:val="000B30CA"/>
    <w:rsid w:val="000B30F5"/>
    <w:rsid w:val="000B30F7"/>
    <w:rsid w:val="000B311B"/>
    <w:rsid w:val="000B3121"/>
    <w:rsid w:val="000B3151"/>
    <w:rsid w:val="000B31CE"/>
    <w:rsid w:val="000B31E2"/>
    <w:rsid w:val="000B31F9"/>
    <w:rsid w:val="000B3211"/>
    <w:rsid w:val="000B3215"/>
    <w:rsid w:val="000B3333"/>
    <w:rsid w:val="000B333B"/>
    <w:rsid w:val="000B3385"/>
    <w:rsid w:val="000B3390"/>
    <w:rsid w:val="000B33D9"/>
    <w:rsid w:val="000B33F8"/>
    <w:rsid w:val="000B3407"/>
    <w:rsid w:val="000B3420"/>
    <w:rsid w:val="000B3467"/>
    <w:rsid w:val="000B34BE"/>
    <w:rsid w:val="000B3519"/>
    <w:rsid w:val="000B3554"/>
    <w:rsid w:val="000B355E"/>
    <w:rsid w:val="000B3566"/>
    <w:rsid w:val="000B35E2"/>
    <w:rsid w:val="000B3681"/>
    <w:rsid w:val="000B36BC"/>
    <w:rsid w:val="000B36DD"/>
    <w:rsid w:val="000B36E0"/>
    <w:rsid w:val="000B36EF"/>
    <w:rsid w:val="000B3739"/>
    <w:rsid w:val="000B382C"/>
    <w:rsid w:val="000B38D1"/>
    <w:rsid w:val="000B3919"/>
    <w:rsid w:val="000B394F"/>
    <w:rsid w:val="000B3964"/>
    <w:rsid w:val="000B3975"/>
    <w:rsid w:val="000B39D3"/>
    <w:rsid w:val="000B3A8C"/>
    <w:rsid w:val="000B3AFE"/>
    <w:rsid w:val="000B3B61"/>
    <w:rsid w:val="000B3B6C"/>
    <w:rsid w:val="000B3BE0"/>
    <w:rsid w:val="000B3BEC"/>
    <w:rsid w:val="000B3BF2"/>
    <w:rsid w:val="000B3C4B"/>
    <w:rsid w:val="000B3CBB"/>
    <w:rsid w:val="000B3D00"/>
    <w:rsid w:val="000B3D21"/>
    <w:rsid w:val="000B3D51"/>
    <w:rsid w:val="000B3D77"/>
    <w:rsid w:val="000B3D81"/>
    <w:rsid w:val="000B3E75"/>
    <w:rsid w:val="000B3EB6"/>
    <w:rsid w:val="000B3EBE"/>
    <w:rsid w:val="000B3EEE"/>
    <w:rsid w:val="000B3EEF"/>
    <w:rsid w:val="000B3EFD"/>
    <w:rsid w:val="000B3F43"/>
    <w:rsid w:val="000B3F89"/>
    <w:rsid w:val="000B401E"/>
    <w:rsid w:val="000B4114"/>
    <w:rsid w:val="000B4122"/>
    <w:rsid w:val="000B41A0"/>
    <w:rsid w:val="000B41C6"/>
    <w:rsid w:val="000B41DC"/>
    <w:rsid w:val="000B41FE"/>
    <w:rsid w:val="000B425B"/>
    <w:rsid w:val="000B42BE"/>
    <w:rsid w:val="000B42CD"/>
    <w:rsid w:val="000B42D5"/>
    <w:rsid w:val="000B42F8"/>
    <w:rsid w:val="000B4310"/>
    <w:rsid w:val="000B4342"/>
    <w:rsid w:val="000B434D"/>
    <w:rsid w:val="000B4366"/>
    <w:rsid w:val="000B43AE"/>
    <w:rsid w:val="000B4458"/>
    <w:rsid w:val="000B447C"/>
    <w:rsid w:val="000B449A"/>
    <w:rsid w:val="000B44B3"/>
    <w:rsid w:val="000B44EC"/>
    <w:rsid w:val="000B44EE"/>
    <w:rsid w:val="000B4508"/>
    <w:rsid w:val="000B453D"/>
    <w:rsid w:val="000B4557"/>
    <w:rsid w:val="000B455B"/>
    <w:rsid w:val="000B457E"/>
    <w:rsid w:val="000B45EF"/>
    <w:rsid w:val="000B4659"/>
    <w:rsid w:val="000B4664"/>
    <w:rsid w:val="000B4680"/>
    <w:rsid w:val="000B469F"/>
    <w:rsid w:val="000B46B1"/>
    <w:rsid w:val="000B4729"/>
    <w:rsid w:val="000B476A"/>
    <w:rsid w:val="000B47FE"/>
    <w:rsid w:val="000B48BF"/>
    <w:rsid w:val="000B4983"/>
    <w:rsid w:val="000B49EC"/>
    <w:rsid w:val="000B4A0A"/>
    <w:rsid w:val="000B4A59"/>
    <w:rsid w:val="000B4A5D"/>
    <w:rsid w:val="000B4AF8"/>
    <w:rsid w:val="000B4B0C"/>
    <w:rsid w:val="000B4B58"/>
    <w:rsid w:val="000B4B92"/>
    <w:rsid w:val="000B4BEC"/>
    <w:rsid w:val="000B4C23"/>
    <w:rsid w:val="000B4C2D"/>
    <w:rsid w:val="000B4C96"/>
    <w:rsid w:val="000B4CAD"/>
    <w:rsid w:val="000B4D21"/>
    <w:rsid w:val="000B4D35"/>
    <w:rsid w:val="000B4DA0"/>
    <w:rsid w:val="000B4DCF"/>
    <w:rsid w:val="000B4DDD"/>
    <w:rsid w:val="000B4EB0"/>
    <w:rsid w:val="000B4EE6"/>
    <w:rsid w:val="000B4F1F"/>
    <w:rsid w:val="000B4FB0"/>
    <w:rsid w:val="000B4FD6"/>
    <w:rsid w:val="000B5041"/>
    <w:rsid w:val="000B5058"/>
    <w:rsid w:val="000B505F"/>
    <w:rsid w:val="000B50C8"/>
    <w:rsid w:val="000B513E"/>
    <w:rsid w:val="000B5168"/>
    <w:rsid w:val="000B5187"/>
    <w:rsid w:val="000B51BA"/>
    <w:rsid w:val="000B51EE"/>
    <w:rsid w:val="000B51FB"/>
    <w:rsid w:val="000B521A"/>
    <w:rsid w:val="000B5388"/>
    <w:rsid w:val="000B53BB"/>
    <w:rsid w:val="000B53FE"/>
    <w:rsid w:val="000B53FF"/>
    <w:rsid w:val="000B5406"/>
    <w:rsid w:val="000B5471"/>
    <w:rsid w:val="000B54E2"/>
    <w:rsid w:val="000B5533"/>
    <w:rsid w:val="000B5554"/>
    <w:rsid w:val="000B5618"/>
    <w:rsid w:val="000B5630"/>
    <w:rsid w:val="000B5646"/>
    <w:rsid w:val="000B565F"/>
    <w:rsid w:val="000B567F"/>
    <w:rsid w:val="000B56A5"/>
    <w:rsid w:val="000B56FC"/>
    <w:rsid w:val="000B5709"/>
    <w:rsid w:val="000B571B"/>
    <w:rsid w:val="000B572D"/>
    <w:rsid w:val="000B573B"/>
    <w:rsid w:val="000B574A"/>
    <w:rsid w:val="000B575D"/>
    <w:rsid w:val="000B57F5"/>
    <w:rsid w:val="000B585B"/>
    <w:rsid w:val="000B5864"/>
    <w:rsid w:val="000B5871"/>
    <w:rsid w:val="000B5896"/>
    <w:rsid w:val="000B5902"/>
    <w:rsid w:val="000B593B"/>
    <w:rsid w:val="000B59C9"/>
    <w:rsid w:val="000B5A69"/>
    <w:rsid w:val="000B5B16"/>
    <w:rsid w:val="000B5B23"/>
    <w:rsid w:val="000B5B32"/>
    <w:rsid w:val="000B5B47"/>
    <w:rsid w:val="000B5B94"/>
    <w:rsid w:val="000B5C56"/>
    <w:rsid w:val="000B5C8D"/>
    <w:rsid w:val="000B5C9B"/>
    <w:rsid w:val="000B5D20"/>
    <w:rsid w:val="000B5D33"/>
    <w:rsid w:val="000B5D61"/>
    <w:rsid w:val="000B5DCC"/>
    <w:rsid w:val="000B5DFC"/>
    <w:rsid w:val="000B5E06"/>
    <w:rsid w:val="000B5E65"/>
    <w:rsid w:val="000B5E92"/>
    <w:rsid w:val="000B5E9C"/>
    <w:rsid w:val="000B5F02"/>
    <w:rsid w:val="000B5F42"/>
    <w:rsid w:val="000B5F68"/>
    <w:rsid w:val="000B5F6F"/>
    <w:rsid w:val="000B5FD7"/>
    <w:rsid w:val="000B603C"/>
    <w:rsid w:val="000B606D"/>
    <w:rsid w:val="000B606E"/>
    <w:rsid w:val="000B60A9"/>
    <w:rsid w:val="000B60AD"/>
    <w:rsid w:val="000B60DB"/>
    <w:rsid w:val="000B6197"/>
    <w:rsid w:val="000B61C0"/>
    <w:rsid w:val="000B61D7"/>
    <w:rsid w:val="000B621B"/>
    <w:rsid w:val="000B6311"/>
    <w:rsid w:val="000B6317"/>
    <w:rsid w:val="000B6376"/>
    <w:rsid w:val="000B639C"/>
    <w:rsid w:val="000B6400"/>
    <w:rsid w:val="000B6410"/>
    <w:rsid w:val="000B646D"/>
    <w:rsid w:val="000B64FA"/>
    <w:rsid w:val="000B6610"/>
    <w:rsid w:val="000B6641"/>
    <w:rsid w:val="000B6658"/>
    <w:rsid w:val="000B66B5"/>
    <w:rsid w:val="000B672B"/>
    <w:rsid w:val="000B6787"/>
    <w:rsid w:val="000B680A"/>
    <w:rsid w:val="000B6851"/>
    <w:rsid w:val="000B688F"/>
    <w:rsid w:val="000B68C3"/>
    <w:rsid w:val="000B68C6"/>
    <w:rsid w:val="000B68FF"/>
    <w:rsid w:val="000B691F"/>
    <w:rsid w:val="000B6962"/>
    <w:rsid w:val="000B6A03"/>
    <w:rsid w:val="000B6A0D"/>
    <w:rsid w:val="000B6A1D"/>
    <w:rsid w:val="000B6A38"/>
    <w:rsid w:val="000B6B20"/>
    <w:rsid w:val="000B6B25"/>
    <w:rsid w:val="000B6B4F"/>
    <w:rsid w:val="000B6B8D"/>
    <w:rsid w:val="000B6BCD"/>
    <w:rsid w:val="000B6C82"/>
    <w:rsid w:val="000B6CD3"/>
    <w:rsid w:val="000B6CD7"/>
    <w:rsid w:val="000B6D2A"/>
    <w:rsid w:val="000B6D68"/>
    <w:rsid w:val="000B6DAE"/>
    <w:rsid w:val="000B6DB4"/>
    <w:rsid w:val="000B6E32"/>
    <w:rsid w:val="000B6E7B"/>
    <w:rsid w:val="000B6E94"/>
    <w:rsid w:val="000B6E95"/>
    <w:rsid w:val="000B6EA3"/>
    <w:rsid w:val="000B6EAA"/>
    <w:rsid w:val="000B6EB9"/>
    <w:rsid w:val="000B6ED6"/>
    <w:rsid w:val="000B70BC"/>
    <w:rsid w:val="000B70CA"/>
    <w:rsid w:val="000B7128"/>
    <w:rsid w:val="000B7133"/>
    <w:rsid w:val="000B7136"/>
    <w:rsid w:val="000B713D"/>
    <w:rsid w:val="000B714D"/>
    <w:rsid w:val="000B71F2"/>
    <w:rsid w:val="000B720D"/>
    <w:rsid w:val="000B72BA"/>
    <w:rsid w:val="000B7331"/>
    <w:rsid w:val="000B7356"/>
    <w:rsid w:val="000B73C2"/>
    <w:rsid w:val="000B73D0"/>
    <w:rsid w:val="000B7406"/>
    <w:rsid w:val="000B7423"/>
    <w:rsid w:val="000B7425"/>
    <w:rsid w:val="000B744F"/>
    <w:rsid w:val="000B747F"/>
    <w:rsid w:val="000B74AD"/>
    <w:rsid w:val="000B74EA"/>
    <w:rsid w:val="000B7541"/>
    <w:rsid w:val="000B7586"/>
    <w:rsid w:val="000B7597"/>
    <w:rsid w:val="000B75A1"/>
    <w:rsid w:val="000B75A3"/>
    <w:rsid w:val="000B7608"/>
    <w:rsid w:val="000B7678"/>
    <w:rsid w:val="000B7698"/>
    <w:rsid w:val="000B76C4"/>
    <w:rsid w:val="000B76E0"/>
    <w:rsid w:val="000B7769"/>
    <w:rsid w:val="000B784E"/>
    <w:rsid w:val="000B7863"/>
    <w:rsid w:val="000B7866"/>
    <w:rsid w:val="000B7868"/>
    <w:rsid w:val="000B786E"/>
    <w:rsid w:val="000B7874"/>
    <w:rsid w:val="000B78C6"/>
    <w:rsid w:val="000B78CA"/>
    <w:rsid w:val="000B78CD"/>
    <w:rsid w:val="000B78E5"/>
    <w:rsid w:val="000B796C"/>
    <w:rsid w:val="000B799D"/>
    <w:rsid w:val="000B799E"/>
    <w:rsid w:val="000B79CE"/>
    <w:rsid w:val="000B7A78"/>
    <w:rsid w:val="000B7AAC"/>
    <w:rsid w:val="000B7B22"/>
    <w:rsid w:val="000B7B25"/>
    <w:rsid w:val="000B7B93"/>
    <w:rsid w:val="000B7BE1"/>
    <w:rsid w:val="000B7BF3"/>
    <w:rsid w:val="000B7CBB"/>
    <w:rsid w:val="000B7D05"/>
    <w:rsid w:val="000B7D2E"/>
    <w:rsid w:val="000B7D57"/>
    <w:rsid w:val="000B7DD6"/>
    <w:rsid w:val="000B7E61"/>
    <w:rsid w:val="000B7EBB"/>
    <w:rsid w:val="000B7EC0"/>
    <w:rsid w:val="000B7F4D"/>
    <w:rsid w:val="000B7F66"/>
    <w:rsid w:val="000B7F91"/>
    <w:rsid w:val="000B7FDC"/>
    <w:rsid w:val="000B7FDD"/>
    <w:rsid w:val="000C009B"/>
    <w:rsid w:val="000C00A2"/>
    <w:rsid w:val="000C00BE"/>
    <w:rsid w:val="000C00D3"/>
    <w:rsid w:val="000C00E1"/>
    <w:rsid w:val="000C0167"/>
    <w:rsid w:val="000C019C"/>
    <w:rsid w:val="000C01B5"/>
    <w:rsid w:val="000C01B6"/>
    <w:rsid w:val="000C01E2"/>
    <w:rsid w:val="000C023A"/>
    <w:rsid w:val="000C0245"/>
    <w:rsid w:val="000C024C"/>
    <w:rsid w:val="000C027F"/>
    <w:rsid w:val="000C02DE"/>
    <w:rsid w:val="000C02F2"/>
    <w:rsid w:val="000C031E"/>
    <w:rsid w:val="000C0369"/>
    <w:rsid w:val="000C0373"/>
    <w:rsid w:val="000C03CF"/>
    <w:rsid w:val="000C03E4"/>
    <w:rsid w:val="000C0444"/>
    <w:rsid w:val="000C0450"/>
    <w:rsid w:val="000C0496"/>
    <w:rsid w:val="000C04B8"/>
    <w:rsid w:val="000C04CF"/>
    <w:rsid w:val="000C04D3"/>
    <w:rsid w:val="000C04EC"/>
    <w:rsid w:val="000C0542"/>
    <w:rsid w:val="000C0595"/>
    <w:rsid w:val="000C05AD"/>
    <w:rsid w:val="000C05D8"/>
    <w:rsid w:val="000C05E0"/>
    <w:rsid w:val="000C0645"/>
    <w:rsid w:val="000C0690"/>
    <w:rsid w:val="000C06AA"/>
    <w:rsid w:val="000C0703"/>
    <w:rsid w:val="000C0710"/>
    <w:rsid w:val="000C0722"/>
    <w:rsid w:val="000C0790"/>
    <w:rsid w:val="000C0799"/>
    <w:rsid w:val="000C079F"/>
    <w:rsid w:val="000C07A3"/>
    <w:rsid w:val="000C07A9"/>
    <w:rsid w:val="000C07B2"/>
    <w:rsid w:val="000C07C7"/>
    <w:rsid w:val="000C0830"/>
    <w:rsid w:val="000C085D"/>
    <w:rsid w:val="000C08D6"/>
    <w:rsid w:val="000C0930"/>
    <w:rsid w:val="000C0953"/>
    <w:rsid w:val="000C09D4"/>
    <w:rsid w:val="000C0A91"/>
    <w:rsid w:val="000C0AB1"/>
    <w:rsid w:val="000C0ABB"/>
    <w:rsid w:val="000C0ADC"/>
    <w:rsid w:val="000C0B01"/>
    <w:rsid w:val="000C0CA9"/>
    <w:rsid w:val="000C0D31"/>
    <w:rsid w:val="000C0DDC"/>
    <w:rsid w:val="000C0DEC"/>
    <w:rsid w:val="000C0E24"/>
    <w:rsid w:val="000C0F0F"/>
    <w:rsid w:val="000C0F5E"/>
    <w:rsid w:val="000C0F88"/>
    <w:rsid w:val="000C0F94"/>
    <w:rsid w:val="000C0FCF"/>
    <w:rsid w:val="000C0FEA"/>
    <w:rsid w:val="000C1057"/>
    <w:rsid w:val="000C10AD"/>
    <w:rsid w:val="000C10C2"/>
    <w:rsid w:val="000C1181"/>
    <w:rsid w:val="000C11F3"/>
    <w:rsid w:val="000C11FA"/>
    <w:rsid w:val="000C121B"/>
    <w:rsid w:val="000C125E"/>
    <w:rsid w:val="000C126D"/>
    <w:rsid w:val="000C12A5"/>
    <w:rsid w:val="000C12BF"/>
    <w:rsid w:val="000C12C2"/>
    <w:rsid w:val="000C12CE"/>
    <w:rsid w:val="000C1346"/>
    <w:rsid w:val="000C138D"/>
    <w:rsid w:val="000C13A1"/>
    <w:rsid w:val="000C13B3"/>
    <w:rsid w:val="000C13D0"/>
    <w:rsid w:val="000C13E2"/>
    <w:rsid w:val="000C13F9"/>
    <w:rsid w:val="000C140F"/>
    <w:rsid w:val="000C1425"/>
    <w:rsid w:val="000C147E"/>
    <w:rsid w:val="000C14D8"/>
    <w:rsid w:val="000C1554"/>
    <w:rsid w:val="000C15BE"/>
    <w:rsid w:val="000C1603"/>
    <w:rsid w:val="000C1622"/>
    <w:rsid w:val="000C1642"/>
    <w:rsid w:val="000C16B7"/>
    <w:rsid w:val="000C16F9"/>
    <w:rsid w:val="000C177F"/>
    <w:rsid w:val="000C1782"/>
    <w:rsid w:val="000C17E3"/>
    <w:rsid w:val="000C17ED"/>
    <w:rsid w:val="000C1831"/>
    <w:rsid w:val="000C183A"/>
    <w:rsid w:val="000C18DF"/>
    <w:rsid w:val="000C191C"/>
    <w:rsid w:val="000C1944"/>
    <w:rsid w:val="000C1952"/>
    <w:rsid w:val="000C1985"/>
    <w:rsid w:val="000C1988"/>
    <w:rsid w:val="000C19A2"/>
    <w:rsid w:val="000C19D4"/>
    <w:rsid w:val="000C19E5"/>
    <w:rsid w:val="000C1A00"/>
    <w:rsid w:val="000C1A05"/>
    <w:rsid w:val="000C1A08"/>
    <w:rsid w:val="000C1A4F"/>
    <w:rsid w:val="000C1A69"/>
    <w:rsid w:val="000C1AC2"/>
    <w:rsid w:val="000C1AFB"/>
    <w:rsid w:val="000C1B75"/>
    <w:rsid w:val="000C1B80"/>
    <w:rsid w:val="000C1BC9"/>
    <w:rsid w:val="000C1BF2"/>
    <w:rsid w:val="000C1C22"/>
    <w:rsid w:val="000C1CB3"/>
    <w:rsid w:val="000C1CD3"/>
    <w:rsid w:val="000C1D74"/>
    <w:rsid w:val="000C1DA0"/>
    <w:rsid w:val="000C1E25"/>
    <w:rsid w:val="000C1E55"/>
    <w:rsid w:val="000C1E5F"/>
    <w:rsid w:val="000C1E7D"/>
    <w:rsid w:val="000C1ED9"/>
    <w:rsid w:val="000C1EE2"/>
    <w:rsid w:val="000C1F1A"/>
    <w:rsid w:val="000C1F5A"/>
    <w:rsid w:val="000C1F78"/>
    <w:rsid w:val="000C1F96"/>
    <w:rsid w:val="000C203E"/>
    <w:rsid w:val="000C205F"/>
    <w:rsid w:val="000C20BF"/>
    <w:rsid w:val="000C20F7"/>
    <w:rsid w:val="000C2106"/>
    <w:rsid w:val="000C214B"/>
    <w:rsid w:val="000C215F"/>
    <w:rsid w:val="000C2161"/>
    <w:rsid w:val="000C2182"/>
    <w:rsid w:val="000C2183"/>
    <w:rsid w:val="000C222D"/>
    <w:rsid w:val="000C2261"/>
    <w:rsid w:val="000C2287"/>
    <w:rsid w:val="000C2297"/>
    <w:rsid w:val="000C23A7"/>
    <w:rsid w:val="000C23C5"/>
    <w:rsid w:val="000C23D0"/>
    <w:rsid w:val="000C241F"/>
    <w:rsid w:val="000C2469"/>
    <w:rsid w:val="000C254D"/>
    <w:rsid w:val="000C2550"/>
    <w:rsid w:val="000C2559"/>
    <w:rsid w:val="000C2579"/>
    <w:rsid w:val="000C25FF"/>
    <w:rsid w:val="000C2614"/>
    <w:rsid w:val="000C2625"/>
    <w:rsid w:val="000C26B3"/>
    <w:rsid w:val="000C26CC"/>
    <w:rsid w:val="000C2712"/>
    <w:rsid w:val="000C2756"/>
    <w:rsid w:val="000C2762"/>
    <w:rsid w:val="000C2771"/>
    <w:rsid w:val="000C277D"/>
    <w:rsid w:val="000C27A5"/>
    <w:rsid w:val="000C2837"/>
    <w:rsid w:val="000C2898"/>
    <w:rsid w:val="000C28C7"/>
    <w:rsid w:val="000C291F"/>
    <w:rsid w:val="000C2940"/>
    <w:rsid w:val="000C2976"/>
    <w:rsid w:val="000C2A7A"/>
    <w:rsid w:val="000C2A89"/>
    <w:rsid w:val="000C2B14"/>
    <w:rsid w:val="000C2B3F"/>
    <w:rsid w:val="000C2B41"/>
    <w:rsid w:val="000C2B4B"/>
    <w:rsid w:val="000C2BB2"/>
    <w:rsid w:val="000C2BC0"/>
    <w:rsid w:val="000C2BC4"/>
    <w:rsid w:val="000C2C00"/>
    <w:rsid w:val="000C2C56"/>
    <w:rsid w:val="000C2C85"/>
    <w:rsid w:val="000C2CE5"/>
    <w:rsid w:val="000C2CF5"/>
    <w:rsid w:val="000C2D0C"/>
    <w:rsid w:val="000C2D24"/>
    <w:rsid w:val="000C2DAF"/>
    <w:rsid w:val="000C2DBD"/>
    <w:rsid w:val="000C2DC7"/>
    <w:rsid w:val="000C2DD0"/>
    <w:rsid w:val="000C2E09"/>
    <w:rsid w:val="000C2F75"/>
    <w:rsid w:val="000C2F8E"/>
    <w:rsid w:val="000C3007"/>
    <w:rsid w:val="000C302A"/>
    <w:rsid w:val="000C30CC"/>
    <w:rsid w:val="000C312D"/>
    <w:rsid w:val="000C3179"/>
    <w:rsid w:val="000C31A0"/>
    <w:rsid w:val="000C31AC"/>
    <w:rsid w:val="000C320F"/>
    <w:rsid w:val="000C3217"/>
    <w:rsid w:val="000C3224"/>
    <w:rsid w:val="000C3274"/>
    <w:rsid w:val="000C32B6"/>
    <w:rsid w:val="000C32E7"/>
    <w:rsid w:val="000C333D"/>
    <w:rsid w:val="000C334F"/>
    <w:rsid w:val="000C3374"/>
    <w:rsid w:val="000C3398"/>
    <w:rsid w:val="000C3407"/>
    <w:rsid w:val="000C340E"/>
    <w:rsid w:val="000C344E"/>
    <w:rsid w:val="000C3498"/>
    <w:rsid w:val="000C3499"/>
    <w:rsid w:val="000C34A1"/>
    <w:rsid w:val="000C3502"/>
    <w:rsid w:val="000C355D"/>
    <w:rsid w:val="000C356B"/>
    <w:rsid w:val="000C35D2"/>
    <w:rsid w:val="000C35EC"/>
    <w:rsid w:val="000C363B"/>
    <w:rsid w:val="000C3657"/>
    <w:rsid w:val="000C36D8"/>
    <w:rsid w:val="000C372E"/>
    <w:rsid w:val="000C37AF"/>
    <w:rsid w:val="000C37C0"/>
    <w:rsid w:val="000C3803"/>
    <w:rsid w:val="000C38B3"/>
    <w:rsid w:val="000C38DE"/>
    <w:rsid w:val="000C3919"/>
    <w:rsid w:val="000C3954"/>
    <w:rsid w:val="000C397C"/>
    <w:rsid w:val="000C397D"/>
    <w:rsid w:val="000C3985"/>
    <w:rsid w:val="000C398A"/>
    <w:rsid w:val="000C3A47"/>
    <w:rsid w:val="000C3AAF"/>
    <w:rsid w:val="000C3AB5"/>
    <w:rsid w:val="000C3AFF"/>
    <w:rsid w:val="000C3B3C"/>
    <w:rsid w:val="000C3B52"/>
    <w:rsid w:val="000C3BA8"/>
    <w:rsid w:val="000C3BDE"/>
    <w:rsid w:val="000C3BFB"/>
    <w:rsid w:val="000C3C0D"/>
    <w:rsid w:val="000C3C2D"/>
    <w:rsid w:val="000C3C41"/>
    <w:rsid w:val="000C3E31"/>
    <w:rsid w:val="000C3E72"/>
    <w:rsid w:val="000C3E92"/>
    <w:rsid w:val="000C3EE1"/>
    <w:rsid w:val="000C3EEF"/>
    <w:rsid w:val="000C3F35"/>
    <w:rsid w:val="000C3F59"/>
    <w:rsid w:val="000C3F89"/>
    <w:rsid w:val="000C3FDF"/>
    <w:rsid w:val="000C400F"/>
    <w:rsid w:val="000C4029"/>
    <w:rsid w:val="000C403E"/>
    <w:rsid w:val="000C4073"/>
    <w:rsid w:val="000C40EF"/>
    <w:rsid w:val="000C40FD"/>
    <w:rsid w:val="000C410D"/>
    <w:rsid w:val="000C413A"/>
    <w:rsid w:val="000C4157"/>
    <w:rsid w:val="000C41C1"/>
    <w:rsid w:val="000C41CD"/>
    <w:rsid w:val="000C41E5"/>
    <w:rsid w:val="000C4307"/>
    <w:rsid w:val="000C4315"/>
    <w:rsid w:val="000C438B"/>
    <w:rsid w:val="000C4392"/>
    <w:rsid w:val="000C43A2"/>
    <w:rsid w:val="000C43AB"/>
    <w:rsid w:val="000C43C4"/>
    <w:rsid w:val="000C440B"/>
    <w:rsid w:val="000C4473"/>
    <w:rsid w:val="000C4478"/>
    <w:rsid w:val="000C454A"/>
    <w:rsid w:val="000C4573"/>
    <w:rsid w:val="000C45D1"/>
    <w:rsid w:val="000C45DA"/>
    <w:rsid w:val="000C45F5"/>
    <w:rsid w:val="000C45FF"/>
    <w:rsid w:val="000C460E"/>
    <w:rsid w:val="000C4623"/>
    <w:rsid w:val="000C4628"/>
    <w:rsid w:val="000C4640"/>
    <w:rsid w:val="000C46AE"/>
    <w:rsid w:val="000C4706"/>
    <w:rsid w:val="000C4788"/>
    <w:rsid w:val="000C47BF"/>
    <w:rsid w:val="000C47DB"/>
    <w:rsid w:val="000C488D"/>
    <w:rsid w:val="000C489E"/>
    <w:rsid w:val="000C48A8"/>
    <w:rsid w:val="000C48B3"/>
    <w:rsid w:val="000C4925"/>
    <w:rsid w:val="000C493E"/>
    <w:rsid w:val="000C4963"/>
    <w:rsid w:val="000C4981"/>
    <w:rsid w:val="000C49BB"/>
    <w:rsid w:val="000C4AAD"/>
    <w:rsid w:val="000C4AC2"/>
    <w:rsid w:val="000C4AEF"/>
    <w:rsid w:val="000C4B86"/>
    <w:rsid w:val="000C4B93"/>
    <w:rsid w:val="000C4BC4"/>
    <w:rsid w:val="000C4BFA"/>
    <w:rsid w:val="000C4BFE"/>
    <w:rsid w:val="000C4C44"/>
    <w:rsid w:val="000C4C50"/>
    <w:rsid w:val="000C4C53"/>
    <w:rsid w:val="000C4D0E"/>
    <w:rsid w:val="000C4D94"/>
    <w:rsid w:val="000C4E1A"/>
    <w:rsid w:val="000C4ECD"/>
    <w:rsid w:val="000C4EF2"/>
    <w:rsid w:val="000C4F10"/>
    <w:rsid w:val="000C4F75"/>
    <w:rsid w:val="000C4F90"/>
    <w:rsid w:val="000C4FCE"/>
    <w:rsid w:val="000C4FE7"/>
    <w:rsid w:val="000C4FEA"/>
    <w:rsid w:val="000C506F"/>
    <w:rsid w:val="000C5085"/>
    <w:rsid w:val="000C5086"/>
    <w:rsid w:val="000C508C"/>
    <w:rsid w:val="000C50F9"/>
    <w:rsid w:val="000C513B"/>
    <w:rsid w:val="000C5144"/>
    <w:rsid w:val="000C5170"/>
    <w:rsid w:val="000C51A6"/>
    <w:rsid w:val="000C51CB"/>
    <w:rsid w:val="000C51ED"/>
    <w:rsid w:val="000C5227"/>
    <w:rsid w:val="000C5241"/>
    <w:rsid w:val="000C5259"/>
    <w:rsid w:val="000C531D"/>
    <w:rsid w:val="000C537E"/>
    <w:rsid w:val="000C53AB"/>
    <w:rsid w:val="000C53B1"/>
    <w:rsid w:val="000C53B2"/>
    <w:rsid w:val="000C5432"/>
    <w:rsid w:val="000C5443"/>
    <w:rsid w:val="000C544C"/>
    <w:rsid w:val="000C546D"/>
    <w:rsid w:val="000C5499"/>
    <w:rsid w:val="000C5519"/>
    <w:rsid w:val="000C5555"/>
    <w:rsid w:val="000C557D"/>
    <w:rsid w:val="000C55D5"/>
    <w:rsid w:val="000C55E1"/>
    <w:rsid w:val="000C55F7"/>
    <w:rsid w:val="000C561D"/>
    <w:rsid w:val="000C5653"/>
    <w:rsid w:val="000C56C4"/>
    <w:rsid w:val="000C56F1"/>
    <w:rsid w:val="000C56F6"/>
    <w:rsid w:val="000C56FC"/>
    <w:rsid w:val="000C5755"/>
    <w:rsid w:val="000C577A"/>
    <w:rsid w:val="000C5789"/>
    <w:rsid w:val="000C57AC"/>
    <w:rsid w:val="000C5840"/>
    <w:rsid w:val="000C5897"/>
    <w:rsid w:val="000C58C9"/>
    <w:rsid w:val="000C5905"/>
    <w:rsid w:val="000C595F"/>
    <w:rsid w:val="000C596B"/>
    <w:rsid w:val="000C599B"/>
    <w:rsid w:val="000C59F0"/>
    <w:rsid w:val="000C5A0E"/>
    <w:rsid w:val="000C5A93"/>
    <w:rsid w:val="000C5B7E"/>
    <w:rsid w:val="000C5BDB"/>
    <w:rsid w:val="000C5C02"/>
    <w:rsid w:val="000C5CEA"/>
    <w:rsid w:val="000C5D21"/>
    <w:rsid w:val="000C5D52"/>
    <w:rsid w:val="000C5D7F"/>
    <w:rsid w:val="000C5DFB"/>
    <w:rsid w:val="000C5E08"/>
    <w:rsid w:val="000C5E2A"/>
    <w:rsid w:val="000C5E72"/>
    <w:rsid w:val="000C5E90"/>
    <w:rsid w:val="000C5E98"/>
    <w:rsid w:val="000C5EE3"/>
    <w:rsid w:val="000C5EE9"/>
    <w:rsid w:val="000C5F2D"/>
    <w:rsid w:val="000C5F87"/>
    <w:rsid w:val="000C5FAD"/>
    <w:rsid w:val="000C5FBF"/>
    <w:rsid w:val="000C5FC4"/>
    <w:rsid w:val="000C6036"/>
    <w:rsid w:val="000C60CD"/>
    <w:rsid w:val="000C610D"/>
    <w:rsid w:val="000C617D"/>
    <w:rsid w:val="000C6185"/>
    <w:rsid w:val="000C61AD"/>
    <w:rsid w:val="000C6260"/>
    <w:rsid w:val="000C62BC"/>
    <w:rsid w:val="000C63AA"/>
    <w:rsid w:val="000C63AF"/>
    <w:rsid w:val="000C63E0"/>
    <w:rsid w:val="000C64D7"/>
    <w:rsid w:val="000C6527"/>
    <w:rsid w:val="000C653B"/>
    <w:rsid w:val="000C654B"/>
    <w:rsid w:val="000C6569"/>
    <w:rsid w:val="000C6597"/>
    <w:rsid w:val="000C65B4"/>
    <w:rsid w:val="000C65D5"/>
    <w:rsid w:val="000C65D6"/>
    <w:rsid w:val="000C65DC"/>
    <w:rsid w:val="000C66AA"/>
    <w:rsid w:val="000C66AB"/>
    <w:rsid w:val="000C66D7"/>
    <w:rsid w:val="000C66E5"/>
    <w:rsid w:val="000C66EC"/>
    <w:rsid w:val="000C6724"/>
    <w:rsid w:val="000C675D"/>
    <w:rsid w:val="000C67B0"/>
    <w:rsid w:val="000C67CF"/>
    <w:rsid w:val="000C6830"/>
    <w:rsid w:val="000C6945"/>
    <w:rsid w:val="000C695A"/>
    <w:rsid w:val="000C695D"/>
    <w:rsid w:val="000C6989"/>
    <w:rsid w:val="000C69A5"/>
    <w:rsid w:val="000C69A7"/>
    <w:rsid w:val="000C69FC"/>
    <w:rsid w:val="000C6A69"/>
    <w:rsid w:val="000C6A84"/>
    <w:rsid w:val="000C6A91"/>
    <w:rsid w:val="000C6AB2"/>
    <w:rsid w:val="000C6AB3"/>
    <w:rsid w:val="000C6AC0"/>
    <w:rsid w:val="000C6AFB"/>
    <w:rsid w:val="000C6BAE"/>
    <w:rsid w:val="000C6BF2"/>
    <w:rsid w:val="000C6C2A"/>
    <w:rsid w:val="000C6CE4"/>
    <w:rsid w:val="000C6D00"/>
    <w:rsid w:val="000C6D16"/>
    <w:rsid w:val="000C6D81"/>
    <w:rsid w:val="000C6D82"/>
    <w:rsid w:val="000C6D8B"/>
    <w:rsid w:val="000C6DB8"/>
    <w:rsid w:val="000C6EC8"/>
    <w:rsid w:val="000C6EF7"/>
    <w:rsid w:val="000C6F00"/>
    <w:rsid w:val="000C6F5E"/>
    <w:rsid w:val="000C6F88"/>
    <w:rsid w:val="000C6F92"/>
    <w:rsid w:val="000C6FAB"/>
    <w:rsid w:val="000C700A"/>
    <w:rsid w:val="000C70EA"/>
    <w:rsid w:val="000C7103"/>
    <w:rsid w:val="000C713B"/>
    <w:rsid w:val="000C7207"/>
    <w:rsid w:val="000C7272"/>
    <w:rsid w:val="000C72A9"/>
    <w:rsid w:val="000C7308"/>
    <w:rsid w:val="000C730B"/>
    <w:rsid w:val="000C73E4"/>
    <w:rsid w:val="000C741F"/>
    <w:rsid w:val="000C7440"/>
    <w:rsid w:val="000C749B"/>
    <w:rsid w:val="000C7511"/>
    <w:rsid w:val="000C751B"/>
    <w:rsid w:val="000C7530"/>
    <w:rsid w:val="000C759F"/>
    <w:rsid w:val="000C75D3"/>
    <w:rsid w:val="000C75D4"/>
    <w:rsid w:val="000C7661"/>
    <w:rsid w:val="000C766B"/>
    <w:rsid w:val="000C766D"/>
    <w:rsid w:val="000C76E3"/>
    <w:rsid w:val="000C76E5"/>
    <w:rsid w:val="000C771C"/>
    <w:rsid w:val="000C7721"/>
    <w:rsid w:val="000C778A"/>
    <w:rsid w:val="000C77C0"/>
    <w:rsid w:val="000C77CE"/>
    <w:rsid w:val="000C789D"/>
    <w:rsid w:val="000C78B0"/>
    <w:rsid w:val="000C78B8"/>
    <w:rsid w:val="000C78C2"/>
    <w:rsid w:val="000C78F3"/>
    <w:rsid w:val="000C790F"/>
    <w:rsid w:val="000C797F"/>
    <w:rsid w:val="000C7A26"/>
    <w:rsid w:val="000C7A2B"/>
    <w:rsid w:val="000C7A92"/>
    <w:rsid w:val="000C7A95"/>
    <w:rsid w:val="000C7AF4"/>
    <w:rsid w:val="000C7B37"/>
    <w:rsid w:val="000C7B67"/>
    <w:rsid w:val="000C7BB0"/>
    <w:rsid w:val="000C7BD3"/>
    <w:rsid w:val="000C7BF8"/>
    <w:rsid w:val="000C7BFE"/>
    <w:rsid w:val="000C7C3C"/>
    <w:rsid w:val="000C7C3F"/>
    <w:rsid w:val="000C7C53"/>
    <w:rsid w:val="000C7C98"/>
    <w:rsid w:val="000C7CD5"/>
    <w:rsid w:val="000C7D0F"/>
    <w:rsid w:val="000C7DE8"/>
    <w:rsid w:val="000C7E0C"/>
    <w:rsid w:val="000C7E46"/>
    <w:rsid w:val="000C7EC6"/>
    <w:rsid w:val="000C7EE2"/>
    <w:rsid w:val="000C7F16"/>
    <w:rsid w:val="000C7F2F"/>
    <w:rsid w:val="000C7F7D"/>
    <w:rsid w:val="000C7F8F"/>
    <w:rsid w:val="000C7FA6"/>
    <w:rsid w:val="000C7FE2"/>
    <w:rsid w:val="000D0036"/>
    <w:rsid w:val="000D0041"/>
    <w:rsid w:val="000D009A"/>
    <w:rsid w:val="000D00B7"/>
    <w:rsid w:val="000D00F6"/>
    <w:rsid w:val="000D0150"/>
    <w:rsid w:val="000D01B9"/>
    <w:rsid w:val="000D01E0"/>
    <w:rsid w:val="000D0210"/>
    <w:rsid w:val="000D023D"/>
    <w:rsid w:val="000D027C"/>
    <w:rsid w:val="000D0281"/>
    <w:rsid w:val="000D0285"/>
    <w:rsid w:val="000D02DF"/>
    <w:rsid w:val="000D03EA"/>
    <w:rsid w:val="000D0433"/>
    <w:rsid w:val="000D0446"/>
    <w:rsid w:val="000D04B3"/>
    <w:rsid w:val="000D04C6"/>
    <w:rsid w:val="000D058F"/>
    <w:rsid w:val="000D0596"/>
    <w:rsid w:val="000D0614"/>
    <w:rsid w:val="000D066C"/>
    <w:rsid w:val="000D067E"/>
    <w:rsid w:val="000D0699"/>
    <w:rsid w:val="000D06B2"/>
    <w:rsid w:val="000D06CB"/>
    <w:rsid w:val="000D0720"/>
    <w:rsid w:val="000D073A"/>
    <w:rsid w:val="000D077F"/>
    <w:rsid w:val="000D080B"/>
    <w:rsid w:val="000D087B"/>
    <w:rsid w:val="000D0891"/>
    <w:rsid w:val="000D092B"/>
    <w:rsid w:val="000D09E5"/>
    <w:rsid w:val="000D0A03"/>
    <w:rsid w:val="000D0AB0"/>
    <w:rsid w:val="000D0AFC"/>
    <w:rsid w:val="000D0B56"/>
    <w:rsid w:val="000D0B79"/>
    <w:rsid w:val="000D0BB6"/>
    <w:rsid w:val="000D0BC1"/>
    <w:rsid w:val="000D0BE3"/>
    <w:rsid w:val="000D0C41"/>
    <w:rsid w:val="000D0C59"/>
    <w:rsid w:val="000D0C9B"/>
    <w:rsid w:val="000D0D4F"/>
    <w:rsid w:val="000D0D71"/>
    <w:rsid w:val="000D0D9C"/>
    <w:rsid w:val="000D0DA4"/>
    <w:rsid w:val="000D0E5B"/>
    <w:rsid w:val="000D0E69"/>
    <w:rsid w:val="000D0EE4"/>
    <w:rsid w:val="000D0EE9"/>
    <w:rsid w:val="000D0F1F"/>
    <w:rsid w:val="000D0F40"/>
    <w:rsid w:val="000D0F44"/>
    <w:rsid w:val="000D0F55"/>
    <w:rsid w:val="000D0F6D"/>
    <w:rsid w:val="000D0FA1"/>
    <w:rsid w:val="000D0FC9"/>
    <w:rsid w:val="000D103B"/>
    <w:rsid w:val="000D1093"/>
    <w:rsid w:val="000D1111"/>
    <w:rsid w:val="000D114F"/>
    <w:rsid w:val="000D1150"/>
    <w:rsid w:val="000D115F"/>
    <w:rsid w:val="000D116B"/>
    <w:rsid w:val="000D11F8"/>
    <w:rsid w:val="000D122A"/>
    <w:rsid w:val="000D126D"/>
    <w:rsid w:val="000D12CA"/>
    <w:rsid w:val="000D12F9"/>
    <w:rsid w:val="000D131C"/>
    <w:rsid w:val="000D1376"/>
    <w:rsid w:val="000D1397"/>
    <w:rsid w:val="000D1415"/>
    <w:rsid w:val="000D149E"/>
    <w:rsid w:val="000D15D7"/>
    <w:rsid w:val="000D15E9"/>
    <w:rsid w:val="000D1606"/>
    <w:rsid w:val="000D1677"/>
    <w:rsid w:val="000D16A8"/>
    <w:rsid w:val="000D16AF"/>
    <w:rsid w:val="000D16C1"/>
    <w:rsid w:val="000D16C6"/>
    <w:rsid w:val="000D1712"/>
    <w:rsid w:val="000D1729"/>
    <w:rsid w:val="000D17F0"/>
    <w:rsid w:val="000D1839"/>
    <w:rsid w:val="000D1842"/>
    <w:rsid w:val="000D18C7"/>
    <w:rsid w:val="000D18D5"/>
    <w:rsid w:val="000D1977"/>
    <w:rsid w:val="000D198A"/>
    <w:rsid w:val="000D19A0"/>
    <w:rsid w:val="000D1A6D"/>
    <w:rsid w:val="000D1A8F"/>
    <w:rsid w:val="000D1AC4"/>
    <w:rsid w:val="000D1ACB"/>
    <w:rsid w:val="000D1AD5"/>
    <w:rsid w:val="000D1B1D"/>
    <w:rsid w:val="000D1B29"/>
    <w:rsid w:val="000D1BCD"/>
    <w:rsid w:val="000D1BE4"/>
    <w:rsid w:val="000D1C34"/>
    <w:rsid w:val="000D1C7D"/>
    <w:rsid w:val="000D1D7B"/>
    <w:rsid w:val="000D1D81"/>
    <w:rsid w:val="000D1D92"/>
    <w:rsid w:val="000D1DBE"/>
    <w:rsid w:val="000D1DBF"/>
    <w:rsid w:val="000D1DC9"/>
    <w:rsid w:val="000D1E46"/>
    <w:rsid w:val="000D1E64"/>
    <w:rsid w:val="000D1ED0"/>
    <w:rsid w:val="000D1ED1"/>
    <w:rsid w:val="000D1FE0"/>
    <w:rsid w:val="000D214C"/>
    <w:rsid w:val="000D2155"/>
    <w:rsid w:val="000D2176"/>
    <w:rsid w:val="000D21BA"/>
    <w:rsid w:val="000D21FA"/>
    <w:rsid w:val="000D223C"/>
    <w:rsid w:val="000D2272"/>
    <w:rsid w:val="000D22C4"/>
    <w:rsid w:val="000D22F4"/>
    <w:rsid w:val="000D2362"/>
    <w:rsid w:val="000D2374"/>
    <w:rsid w:val="000D2390"/>
    <w:rsid w:val="000D23D6"/>
    <w:rsid w:val="000D23E0"/>
    <w:rsid w:val="000D2424"/>
    <w:rsid w:val="000D2453"/>
    <w:rsid w:val="000D248B"/>
    <w:rsid w:val="000D2492"/>
    <w:rsid w:val="000D249F"/>
    <w:rsid w:val="000D24D5"/>
    <w:rsid w:val="000D24FB"/>
    <w:rsid w:val="000D2565"/>
    <w:rsid w:val="000D2595"/>
    <w:rsid w:val="000D25C7"/>
    <w:rsid w:val="000D25F6"/>
    <w:rsid w:val="000D2614"/>
    <w:rsid w:val="000D261A"/>
    <w:rsid w:val="000D265D"/>
    <w:rsid w:val="000D2687"/>
    <w:rsid w:val="000D268A"/>
    <w:rsid w:val="000D26E0"/>
    <w:rsid w:val="000D2719"/>
    <w:rsid w:val="000D271D"/>
    <w:rsid w:val="000D2722"/>
    <w:rsid w:val="000D2725"/>
    <w:rsid w:val="000D2765"/>
    <w:rsid w:val="000D279A"/>
    <w:rsid w:val="000D27A2"/>
    <w:rsid w:val="000D27E4"/>
    <w:rsid w:val="000D27EE"/>
    <w:rsid w:val="000D2880"/>
    <w:rsid w:val="000D2889"/>
    <w:rsid w:val="000D28D6"/>
    <w:rsid w:val="000D28FB"/>
    <w:rsid w:val="000D2907"/>
    <w:rsid w:val="000D296A"/>
    <w:rsid w:val="000D29A6"/>
    <w:rsid w:val="000D29BA"/>
    <w:rsid w:val="000D29EF"/>
    <w:rsid w:val="000D29F3"/>
    <w:rsid w:val="000D2A1F"/>
    <w:rsid w:val="000D2A95"/>
    <w:rsid w:val="000D2AE6"/>
    <w:rsid w:val="000D2BB6"/>
    <w:rsid w:val="000D2BCC"/>
    <w:rsid w:val="000D2C61"/>
    <w:rsid w:val="000D2CA9"/>
    <w:rsid w:val="000D2CB6"/>
    <w:rsid w:val="000D2D2F"/>
    <w:rsid w:val="000D2D85"/>
    <w:rsid w:val="000D2D9C"/>
    <w:rsid w:val="000D2E20"/>
    <w:rsid w:val="000D2E8E"/>
    <w:rsid w:val="000D2EC0"/>
    <w:rsid w:val="000D2EF4"/>
    <w:rsid w:val="000D2F21"/>
    <w:rsid w:val="000D2FB9"/>
    <w:rsid w:val="000D2FD0"/>
    <w:rsid w:val="000D2FFE"/>
    <w:rsid w:val="000D301E"/>
    <w:rsid w:val="000D30E0"/>
    <w:rsid w:val="000D30E1"/>
    <w:rsid w:val="000D30E7"/>
    <w:rsid w:val="000D3114"/>
    <w:rsid w:val="000D3133"/>
    <w:rsid w:val="000D313D"/>
    <w:rsid w:val="000D31A4"/>
    <w:rsid w:val="000D3200"/>
    <w:rsid w:val="000D323A"/>
    <w:rsid w:val="000D3252"/>
    <w:rsid w:val="000D32BD"/>
    <w:rsid w:val="000D32BE"/>
    <w:rsid w:val="000D3301"/>
    <w:rsid w:val="000D3374"/>
    <w:rsid w:val="000D337E"/>
    <w:rsid w:val="000D33E8"/>
    <w:rsid w:val="000D344B"/>
    <w:rsid w:val="000D3467"/>
    <w:rsid w:val="000D3489"/>
    <w:rsid w:val="000D34C7"/>
    <w:rsid w:val="000D3512"/>
    <w:rsid w:val="000D35C2"/>
    <w:rsid w:val="000D35D1"/>
    <w:rsid w:val="000D35EA"/>
    <w:rsid w:val="000D3604"/>
    <w:rsid w:val="000D3610"/>
    <w:rsid w:val="000D3627"/>
    <w:rsid w:val="000D3652"/>
    <w:rsid w:val="000D36AD"/>
    <w:rsid w:val="000D3819"/>
    <w:rsid w:val="000D3837"/>
    <w:rsid w:val="000D3940"/>
    <w:rsid w:val="000D394E"/>
    <w:rsid w:val="000D3A23"/>
    <w:rsid w:val="000D3A38"/>
    <w:rsid w:val="000D3A42"/>
    <w:rsid w:val="000D3A55"/>
    <w:rsid w:val="000D3AA4"/>
    <w:rsid w:val="000D3AE2"/>
    <w:rsid w:val="000D3B2A"/>
    <w:rsid w:val="000D3BC8"/>
    <w:rsid w:val="000D3D11"/>
    <w:rsid w:val="000D3D40"/>
    <w:rsid w:val="000D3D50"/>
    <w:rsid w:val="000D3DE3"/>
    <w:rsid w:val="000D3E2C"/>
    <w:rsid w:val="000D3E2E"/>
    <w:rsid w:val="000D3E34"/>
    <w:rsid w:val="000D3E47"/>
    <w:rsid w:val="000D3E6F"/>
    <w:rsid w:val="000D3EFE"/>
    <w:rsid w:val="000D3F34"/>
    <w:rsid w:val="000D3F76"/>
    <w:rsid w:val="000D403E"/>
    <w:rsid w:val="000D4043"/>
    <w:rsid w:val="000D40A4"/>
    <w:rsid w:val="000D411F"/>
    <w:rsid w:val="000D413E"/>
    <w:rsid w:val="000D415D"/>
    <w:rsid w:val="000D4197"/>
    <w:rsid w:val="000D41A8"/>
    <w:rsid w:val="000D41D9"/>
    <w:rsid w:val="000D41E4"/>
    <w:rsid w:val="000D422D"/>
    <w:rsid w:val="000D4279"/>
    <w:rsid w:val="000D429A"/>
    <w:rsid w:val="000D4327"/>
    <w:rsid w:val="000D43ED"/>
    <w:rsid w:val="000D4494"/>
    <w:rsid w:val="000D44F1"/>
    <w:rsid w:val="000D44F7"/>
    <w:rsid w:val="000D44FF"/>
    <w:rsid w:val="000D455D"/>
    <w:rsid w:val="000D4568"/>
    <w:rsid w:val="000D4581"/>
    <w:rsid w:val="000D45C3"/>
    <w:rsid w:val="000D4641"/>
    <w:rsid w:val="000D4648"/>
    <w:rsid w:val="000D464C"/>
    <w:rsid w:val="000D46B6"/>
    <w:rsid w:val="000D46EC"/>
    <w:rsid w:val="000D46F7"/>
    <w:rsid w:val="000D4719"/>
    <w:rsid w:val="000D472D"/>
    <w:rsid w:val="000D473D"/>
    <w:rsid w:val="000D47E4"/>
    <w:rsid w:val="000D488A"/>
    <w:rsid w:val="000D48F8"/>
    <w:rsid w:val="000D48FE"/>
    <w:rsid w:val="000D490F"/>
    <w:rsid w:val="000D4927"/>
    <w:rsid w:val="000D492A"/>
    <w:rsid w:val="000D496E"/>
    <w:rsid w:val="000D4979"/>
    <w:rsid w:val="000D49E6"/>
    <w:rsid w:val="000D49EC"/>
    <w:rsid w:val="000D4A04"/>
    <w:rsid w:val="000D4A2E"/>
    <w:rsid w:val="000D4A3F"/>
    <w:rsid w:val="000D4A90"/>
    <w:rsid w:val="000D4A95"/>
    <w:rsid w:val="000D4AB7"/>
    <w:rsid w:val="000D4B3C"/>
    <w:rsid w:val="000D4B7A"/>
    <w:rsid w:val="000D4BE9"/>
    <w:rsid w:val="000D4BFB"/>
    <w:rsid w:val="000D4C30"/>
    <w:rsid w:val="000D4C82"/>
    <w:rsid w:val="000D4C99"/>
    <w:rsid w:val="000D4CBF"/>
    <w:rsid w:val="000D4D30"/>
    <w:rsid w:val="000D4D41"/>
    <w:rsid w:val="000D4D60"/>
    <w:rsid w:val="000D4D62"/>
    <w:rsid w:val="000D4D80"/>
    <w:rsid w:val="000D4D9E"/>
    <w:rsid w:val="000D4DF2"/>
    <w:rsid w:val="000D4E2A"/>
    <w:rsid w:val="000D4E7F"/>
    <w:rsid w:val="000D4ECA"/>
    <w:rsid w:val="000D4EDA"/>
    <w:rsid w:val="000D4EDF"/>
    <w:rsid w:val="000D4EEF"/>
    <w:rsid w:val="000D4F9A"/>
    <w:rsid w:val="000D4FB6"/>
    <w:rsid w:val="000D50AA"/>
    <w:rsid w:val="000D50AE"/>
    <w:rsid w:val="000D50BB"/>
    <w:rsid w:val="000D50F6"/>
    <w:rsid w:val="000D5138"/>
    <w:rsid w:val="000D51CD"/>
    <w:rsid w:val="000D52AE"/>
    <w:rsid w:val="000D52C9"/>
    <w:rsid w:val="000D52D6"/>
    <w:rsid w:val="000D52F8"/>
    <w:rsid w:val="000D530E"/>
    <w:rsid w:val="000D5366"/>
    <w:rsid w:val="000D537B"/>
    <w:rsid w:val="000D5381"/>
    <w:rsid w:val="000D53DD"/>
    <w:rsid w:val="000D53F9"/>
    <w:rsid w:val="000D5413"/>
    <w:rsid w:val="000D5427"/>
    <w:rsid w:val="000D542F"/>
    <w:rsid w:val="000D5436"/>
    <w:rsid w:val="000D5438"/>
    <w:rsid w:val="000D54E3"/>
    <w:rsid w:val="000D5506"/>
    <w:rsid w:val="000D5562"/>
    <w:rsid w:val="000D55BD"/>
    <w:rsid w:val="000D55E5"/>
    <w:rsid w:val="000D55F2"/>
    <w:rsid w:val="000D56B7"/>
    <w:rsid w:val="000D56BC"/>
    <w:rsid w:val="000D56EE"/>
    <w:rsid w:val="000D5767"/>
    <w:rsid w:val="000D577F"/>
    <w:rsid w:val="000D5792"/>
    <w:rsid w:val="000D57CE"/>
    <w:rsid w:val="000D57DE"/>
    <w:rsid w:val="000D57E9"/>
    <w:rsid w:val="000D57F3"/>
    <w:rsid w:val="000D5813"/>
    <w:rsid w:val="000D5818"/>
    <w:rsid w:val="000D5828"/>
    <w:rsid w:val="000D5830"/>
    <w:rsid w:val="000D5870"/>
    <w:rsid w:val="000D591D"/>
    <w:rsid w:val="000D5A41"/>
    <w:rsid w:val="000D5A76"/>
    <w:rsid w:val="000D5B27"/>
    <w:rsid w:val="000D5B43"/>
    <w:rsid w:val="000D5B5C"/>
    <w:rsid w:val="000D5B96"/>
    <w:rsid w:val="000D5BF3"/>
    <w:rsid w:val="000D5BF4"/>
    <w:rsid w:val="000D5C09"/>
    <w:rsid w:val="000D5C68"/>
    <w:rsid w:val="000D5CC0"/>
    <w:rsid w:val="000D5D05"/>
    <w:rsid w:val="000D5D5D"/>
    <w:rsid w:val="000D5D5F"/>
    <w:rsid w:val="000D5D9E"/>
    <w:rsid w:val="000D5DC6"/>
    <w:rsid w:val="000D5DC9"/>
    <w:rsid w:val="000D5DDB"/>
    <w:rsid w:val="000D5DFA"/>
    <w:rsid w:val="000D5F38"/>
    <w:rsid w:val="000D5F79"/>
    <w:rsid w:val="000D5FA3"/>
    <w:rsid w:val="000D5FB0"/>
    <w:rsid w:val="000D6041"/>
    <w:rsid w:val="000D6077"/>
    <w:rsid w:val="000D608D"/>
    <w:rsid w:val="000D60E5"/>
    <w:rsid w:val="000D6114"/>
    <w:rsid w:val="000D6137"/>
    <w:rsid w:val="000D6143"/>
    <w:rsid w:val="000D61DF"/>
    <w:rsid w:val="000D61ED"/>
    <w:rsid w:val="000D621C"/>
    <w:rsid w:val="000D62AC"/>
    <w:rsid w:val="000D6309"/>
    <w:rsid w:val="000D634F"/>
    <w:rsid w:val="000D6369"/>
    <w:rsid w:val="000D63ED"/>
    <w:rsid w:val="000D6401"/>
    <w:rsid w:val="000D6449"/>
    <w:rsid w:val="000D6470"/>
    <w:rsid w:val="000D6494"/>
    <w:rsid w:val="000D6498"/>
    <w:rsid w:val="000D64A8"/>
    <w:rsid w:val="000D64AF"/>
    <w:rsid w:val="000D64B7"/>
    <w:rsid w:val="000D65DB"/>
    <w:rsid w:val="000D6626"/>
    <w:rsid w:val="000D666B"/>
    <w:rsid w:val="000D6700"/>
    <w:rsid w:val="000D672E"/>
    <w:rsid w:val="000D6748"/>
    <w:rsid w:val="000D681A"/>
    <w:rsid w:val="000D682D"/>
    <w:rsid w:val="000D68E2"/>
    <w:rsid w:val="000D6928"/>
    <w:rsid w:val="000D6958"/>
    <w:rsid w:val="000D6A1B"/>
    <w:rsid w:val="000D6A42"/>
    <w:rsid w:val="000D6A5D"/>
    <w:rsid w:val="000D6A5E"/>
    <w:rsid w:val="000D6A7B"/>
    <w:rsid w:val="000D6A7C"/>
    <w:rsid w:val="000D6ADE"/>
    <w:rsid w:val="000D6AE6"/>
    <w:rsid w:val="000D6AFA"/>
    <w:rsid w:val="000D6B39"/>
    <w:rsid w:val="000D6B41"/>
    <w:rsid w:val="000D6B5D"/>
    <w:rsid w:val="000D6B66"/>
    <w:rsid w:val="000D6B69"/>
    <w:rsid w:val="000D6B78"/>
    <w:rsid w:val="000D6B7D"/>
    <w:rsid w:val="000D6BD6"/>
    <w:rsid w:val="000D6C03"/>
    <w:rsid w:val="000D6CA7"/>
    <w:rsid w:val="000D6CD9"/>
    <w:rsid w:val="000D6D22"/>
    <w:rsid w:val="000D6D36"/>
    <w:rsid w:val="000D6D5E"/>
    <w:rsid w:val="000D6DF6"/>
    <w:rsid w:val="000D6E53"/>
    <w:rsid w:val="000D6E54"/>
    <w:rsid w:val="000D6EB5"/>
    <w:rsid w:val="000D6EE1"/>
    <w:rsid w:val="000D6F03"/>
    <w:rsid w:val="000D6F2B"/>
    <w:rsid w:val="000D6F45"/>
    <w:rsid w:val="000D6F9F"/>
    <w:rsid w:val="000D703E"/>
    <w:rsid w:val="000D705B"/>
    <w:rsid w:val="000D7165"/>
    <w:rsid w:val="000D71A4"/>
    <w:rsid w:val="000D71D5"/>
    <w:rsid w:val="000D71E9"/>
    <w:rsid w:val="000D7228"/>
    <w:rsid w:val="000D722A"/>
    <w:rsid w:val="000D7245"/>
    <w:rsid w:val="000D7250"/>
    <w:rsid w:val="000D727B"/>
    <w:rsid w:val="000D7296"/>
    <w:rsid w:val="000D72C6"/>
    <w:rsid w:val="000D72E7"/>
    <w:rsid w:val="000D7324"/>
    <w:rsid w:val="000D7371"/>
    <w:rsid w:val="000D73A7"/>
    <w:rsid w:val="000D73C1"/>
    <w:rsid w:val="000D73EC"/>
    <w:rsid w:val="000D73ED"/>
    <w:rsid w:val="000D7461"/>
    <w:rsid w:val="000D7479"/>
    <w:rsid w:val="000D7490"/>
    <w:rsid w:val="000D7503"/>
    <w:rsid w:val="000D7507"/>
    <w:rsid w:val="000D750B"/>
    <w:rsid w:val="000D7520"/>
    <w:rsid w:val="000D75B0"/>
    <w:rsid w:val="000D75DE"/>
    <w:rsid w:val="000D7617"/>
    <w:rsid w:val="000D7620"/>
    <w:rsid w:val="000D7639"/>
    <w:rsid w:val="000D7685"/>
    <w:rsid w:val="000D768D"/>
    <w:rsid w:val="000D76F1"/>
    <w:rsid w:val="000D7718"/>
    <w:rsid w:val="000D7793"/>
    <w:rsid w:val="000D77DA"/>
    <w:rsid w:val="000D77ED"/>
    <w:rsid w:val="000D77FD"/>
    <w:rsid w:val="000D7839"/>
    <w:rsid w:val="000D785E"/>
    <w:rsid w:val="000D7866"/>
    <w:rsid w:val="000D78CE"/>
    <w:rsid w:val="000D78F8"/>
    <w:rsid w:val="000D790F"/>
    <w:rsid w:val="000D792F"/>
    <w:rsid w:val="000D7937"/>
    <w:rsid w:val="000D794B"/>
    <w:rsid w:val="000D79D6"/>
    <w:rsid w:val="000D7A00"/>
    <w:rsid w:val="000D7A3F"/>
    <w:rsid w:val="000D7AA8"/>
    <w:rsid w:val="000D7B00"/>
    <w:rsid w:val="000D7B02"/>
    <w:rsid w:val="000D7B22"/>
    <w:rsid w:val="000D7B83"/>
    <w:rsid w:val="000D7BD8"/>
    <w:rsid w:val="000D7BD9"/>
    <w:rsid w:val="000D7BFC"/>
    <w:rsid w:val="000D7C41"/>
    <w:rsid w:val="000D7C92"/>
    <w:rsid w:val="000D7CA6"/>
    <w:rsid w:val="000D7D28"/>
    <w:rsid w:val="000D7D87"/>
    <w:rsid w:val="000D7D8D"/>
    <w:rsid w:val="000D7E0A"/>
    <w:rsid w:val="000D7E0D"/>
    <w:rsid w:val="000D7E84"/>
    <w:rsid w:val="000D7E99"/>
    <w:rsid w:val="000D7EA6"/>
    <w:rsid w:val="000D7EEB"/>
    <w:rsid w:val="000D7F4D"/>
    <w:rsid w:val="000D7F85"/>
    <w:rsid w:val="000D7FAC"/>
    <w:rsid w:val="000D7FFE"/>
    <w:rsid w:val="000E001B"/>
    <w:rsid w:val="000E007D"/>
    <w:rsid w:val="000E00AE"/>
    <w:rsid w:val="000E00C7"/>
    <w:rsid w:val="000E00F6"/>
    <w:rsid w:val="000E0114"/>
    <w:rsid w:val="000E0161"/>
    <w:rsid w:val="000E0174"/>
    <w:rsid w:val="000E01E8"/>
    <w:rsid w:val="000E0288"/>
    <w:rsid w:val="000E02F4"/>
    <w:rsid w:val="000E032D"/>
    <w:rsid w:val="000E0349"/>
    <w:rsid w:val="000E0358"/>
    <w:rsid w:val="000E0376"/>
    <w:rsid w:val="000E047A"/>
    <w:rsid w:val="000E04D4"/>
    <w:rsid w:val="000E051F"/>
    <w:rsid w:val="000E0570"/>
    <w:rsid w:val="000E05AF"/>
    <w:rsid w:val="000E05B5"/>
    <w:rsid w:val="000E05C9"/>
    <w:rsid w:val="000E06A8"/>
    <w:rsid w:val="000E06D9"/>
    <w:rsid w:val="000E0705"/>
    <w:rsid w:val="000E0751"/>
    <w:rsid w:val="000E07FC"/>
    <w:rsid w:val="000E081F"/>
    <w:rsid w:val="000E0850"/>
    <w:rsid w:val="000E0853"/>
    <w:rsid w:val="000E0855"/>
    <w:rsid w:val="000E0863"/>
    <w:rsid w:val="000E0885"/>
    <w:rsid w:val="000E0916"/>
    <w:rsid w:val="000E094A"/>
    <w:rsid w:val="000E09A6"/>
    <w:rsid w:val="000E09A7"/>
    <w:rsid w:val="000E09F2"/>
    <w:rsid w:val="000E0A42"/>
    <w:rsid w:val="000E0A62"/>
    <w:rsid w:val="000E0AF8"/>
    <w:rsid w:val="000E0B02"/>
    <w:rsid w:val="000E0B0A"/>
    <w:rsid w:val="000E0B1A"/>
    <w:rsid w:val="000E0B8F"/>
    <w:rsid w:val="000E0C07"/>
    <w:rsid w:val="000E0C1B"/>
    <w:rsid w:val="000E0CE4"/>
    <w:rsid w:val="000E0E10"/>
    <w:rsid w:val="000E0E75"/>
    <w:rsid w:val="000E0EF2"/>
    <w:rsid w:val="000E0F64"/>
    <w:rsid w:val="000E0F6B"/>
    <w:rsid w:val="000E0F9B"/>
    <w:rsid w:val="000E0FDF"/>
    <w:rsid w:val="000E10CC"/>
    <w:rsid w:val="000E10FA"/>
    <w:rsid w:val="000E114D"/>
    <w:rsid w:val="000E118C"/>
    <w:rsid w:val="000E11DF"/>
    <w:rsid w:val="000E1266"/>
    <w:rsid w:val="000E127F"/>
    <w:rsid w:val="000E12D1"/>
    <w:rsid w:val="000E136C"/>
    <w:rsid w:val="000E1380"/>
    <w:rsid w:val="000E13CE"/>
    <w:rsid w:val="000E13EC"/>
    <w:rsid w:val="000E13EF"/>
    <w:rsid w:val="000E142D"/>
    <w:rsid w:val="000E143E"/>
    <w:rsid w:val="000E14B8"/>
    <w:rsid w:val="000E14C8"/>
    <w:rsid w:val="000E14F1"/>
    <w:rsid w:val="000E14FC"/>
    <w:rsid w:val="000E14FE"/>
    <w:rsid w:val="000E1560"/>
    <w:rsid w:val="000E15DE"/>
    <w:rsid w:val="000E160B"/>
    <w:rsid w:val="000E1639"/>
    <w:rsid w:val="000E16A7"/>
    <w:rsid w:val="000E16C9"/>
    <w:rsid w:val="000E16CF"/>
    <w:rsid w:val="000E16DA"/>
    <w:rsid w:val="000E16F0"/>
    <w:rsid w:val="000E1755"/>
    <w:rsid w:val="000E17B3"/>
    <w:rsid w:val="000E17FE"/>
    <w:rsid w:val="000E180B"/>
    <w:rsid w:val="000E18D4"/>
    <w:rsid w:val="000E18D6"/>
    <w:rsid w:val="000E18DF"/>
    <w:rsid w:val="000E193B"/>
    <w:rsid w:val="000E195F"/>
    <w:rsid w:val="000E1983"/>
    <w:rsid w:val="000E1985"/>
    <w:rsid w:val="000E1996"/>
    <w:rsid w:val="000E19BC"/>
    <w:rsid w:val="000E19C6"/>
    <w:rsid w:val="000E19F1"/>
    <w:rsid w:val="000E19FB"/>
    <w:rsid w:val="000E1A05"/>
    <w:rsid w:val="000E1A3E"/>
    <w:rsid w:val="000E1A44"/>
    <w:rsid w:val="000E1A53"/>
    <w:rsid w:val="000E1AAE"/>
    <w:rsid w:val="000E1AEB"/>
    <w:rsid w:val="000E1AED"/>
    <w:rsid w:val="000E1B19"/>
    <w:rsid w:val="000E1B3E"/>
    <w:rsid w:val="000E1BCD"/>
    <w:rsid w:val="000E1BEF"/>
    <w:rsid w:val="000E1BFD"/>
    <w:rsid w:val="000E1C2C"/>
    <w:rsid w:val="000E1C7C"/>
    <w:rsid w:val="000E1C9D"/>
    <w:rsid w:val="000E1CCD"/>
    <w:rsid w:val="000E1D22"/>
    <w:rsid w:val="000E1D45"/>
    <w:rsid w:val="000E1D81"/>
    <w:rsid w:val="000E1DAC"/>
    <w:rsid w:val="000E1E10"/>
    <w:rsid w:val="000E1E76"/>
    <w:rsid w:val="000E1E9A"/>
    <w:rsid w:val="000E1F2E"/>
    <w:rsid w:val="000E1FF6"/>
    <w:rsid w:val="000E202F"/>
    <w:rsid w:val="000E2038"/>
    <w:rsid w:val="000E207C"/>
    <w:rsid w:val="000E2083"/>
    <w:rsid w:val="000E2117"/>
    <w:rsid w:val="000E2242"/>
    <w:rsid w:val="000E2249"/>
    <w:rsid w:val="000E2289"/>
    <w:rsid w:val="000E22A2"/>
    <w:rsid w:val="000E22D6"/>
    <w:rsid w:val="000E22FB"/>
    <w:rsid w:val="000E2320"/>
    <w:rsid w:val="000E2351"/>
    <w:rsid w:val="000E237D"/>
    <w:rsid w:val="000E23A3"/>
    <w:rsid w:val="000E23C8"/>
    <w:rsid w:val="000E245B"/>
    <w:rsid w:val="000E2480"/>
    <w:rsid w:val="000E24AB"/>
    <w:rsid w:val="000E24C2"/>
    <w:rsid w:val="000E24D4"/>
    <w:rsid w:val="000E24E7"/>
    <w:rsid w:val="000E254A"/>
    <w:rsid w:val="000E2575"/>
    <w:rsid w:val="000E257A"/>
    <w:rsid w:val="000E260C"/>
    <w:rsid w:val="000E2612"/>
    <w:rsid w:val="000E2616"/>
    <w:rsid w:val="000E261E"/>
    <w:rsid w:val="000E2631"/>
    <w:rsid w:val="000E266C"/>
    <w:rsid w:val="000E2764"/>
    <w:rsid w:val="000E27B4"/>
    <w:rsid w:val="000E27C9"/>
    <w:rsid w:val="000E2848"/>
    <w:rsid w:val="000E2862"/>
    <w:rsid w:val="000E2863"/>
    <w:rsid w:val="000E28B5"/>
    <w:rsid w:val="000E28E6"/>
    <w:rsid w:val="000E296F"/>
    <w:rsid w:val="000E29C0"/>
    <w:rsid w:val="000E29F4"/>
    <w:rsid w:val="000E2ACB"/>
    <w:rsid w:val="000E2B4E"/>
    <w:rsid w:val="000E2B65"/>
    <w:rsid w:val="000E2B88"/>
    <w:rsid w:val="000E2B8D"/>
    <w:rsid w:val="000E2B98"/>
    <w:rsid w:val="000E2B9C"/>
    <w:rsid w:val="000E2BD4"/>
    <w:rsid w:val="000E2BEF"/>
    <w:rsid w:val="000E2C15"/>
    <w:rsid w:val="000E2C8B"/>
    <w:rsid w:val="000E2CD8"/>
    <w:rsid w:val="000E2D4C"/>
    <w:rsid w:val="000E2D96"/>
    <w:rsid w:val="000E2DCF"/>
    <w:rsid w:val="000E2EFC"/>
    <w:rsid w:val="000E2F11"/>
    <w:rsid w:val="000E2F62"/>
    <w:rsid w:val="000E2F7E"/>
    <w:rsid w:val="000E2F86"/>
    <w:rsid w:val="000E2FF8"/>
    <w:rsid w:val="000E3082"/>
    <w:rsid w:val="000E30D6"/>
    <w:rsid w:val="000E3183"/>
    <w:rsid w:val="000E318A"/>
    <w:rsid w:val="000E3287"/>
    <w:rsid w:val="000E32D3"/>
    <w:rsid w:val="000E32E6"/>
    <w:rsid w:val="000E3301"/>
    <w:rsid w:val="000E3328"/>
    <w:rsid w:val="000E3346"/>
    <w:rsid w:val="000E3348"/>
    <w:rsid w:val="000E3386"/>
    <w:rsid w:val="000E33E1"/>
    <w:rsid w:val="000E3409"/>
    <w:rsid w:val="000E340B"/>
    <w:rsid w:val="000E342F"/>
    <w:rsid w:val="000E3435"/>
    <w:rsid w:val="000E3465"/>
    <w:rsid w:val="000E34AA"/>
    <w:rsid w:val="000E34EF"/>
    <w:rsid w:val="000E350A"/>
    <w:rsid w:val="000E351F"/>
    <w:rsid w:val="000E357D"/>
    <w:rsid w:val="000E35AE"/>
    <w:rsid w:val="000E35C1"/>
    <w:rsid w:val="000E360A"/>
    <w:rsid w:val="000E3621"/>
    <w:rsid w:val="000E366C"/>
    <w:rsid w:val="000E3739"/>
    <w:rsid w:val="000E378F"/>
    <w:rsid w:val="000E37D8"/>
    <w:rsid w:val="000E37FC"/>
    <w:rsid w:val="000E385E"/>
    <w:rsid w:val="000E38AB"/>
    <w:rsid w:val="000E38CB"/>
    <w:rsid w:val="000E38CC"/>
    <w:rsid w:val="000E38E8"/>
    <w:rsid w:val="000E3941"/>
    <w:rsid w:val="000E395E"/>
    <w:rsid w:val="000E3A33"/>
    <w:rsid w:val="000E3A7C"/>
    <w:rsid w:val="000E3A92"/>
    <w:rsid w:val="000E3AD3"/>
    <w:rsid w:val="000E3AF3"/>
    <w:rsid w:val="000E3B1B"/>
    <w:rsid w:val="000E3B49"/>
    <w:rsid w:val="000E3B55"/>
    <w:rsid w:val="000E3B99"/>
    <w:rsid w:val="000E3BAF"/>
    <w:rsid w:val="000E3BFE"/>
    <w:rsid w:val="000E3C36"/>
    <w:rsid w:val="000E3CA4"/>
    <w:rsid w:val="000E3CBB"/>
    <w:rsid w:val="000E3CBC"/>
    <w:rsid w:val="000E3D41"/>
    <w:rsid w:val="000E3DB0"/>
    <w:rsid w:val="000E3DCE"/>
    <w:rsid w:val="000E3E2A"/>
    <w:rsid w:val="000E3EB9"/>
    <w:rsid w:val="000E3ED2"/>
    <w:rsid w:val="000E3F33"/>
    <w:rsid w:val="000E3F9F"/>
    <w:rsid w:val="000E400C"/>
    <w:rsid w:val="000E400E"/>
    <w:rsid w:val="000E40A1"/>
    <w:rsid w:val="000E40E1"/>
    <w:rsid w:val="000E4102"/>
    <w:rsid w:val="000E418C"/>
    <w:rsid w:val="000E41C8"/>
    <w:rsid w:val="000E41E7"/>
    <w:rsid w:val="000E41EE"/>
    <w:rsid w:val="000E421B"/>
    <w:rsid w:val="000E4228"/>
    <w:rsid w:val="000E4232"/>
    <w:rsid w:val="000E4244"/>
    <w:rsid w:val="000E42B8"/>
    <w:rsid w:val="000E42BD"/>
    <w:rsid w:val="000E42E2"/>
    <w:rsid w:val="000E435D"/>
    <w:rsid w:val="000E436B"/>
    <w:rsid w:val="000E4394"/>
    <w:rsid w:val="000E4408"/>
    <w:rsid w:val="000E450A"/>
    <w:rsid w:val="000E451B"/>
    <w:rsid w:val="000E451F"/>
    <w:rsid w:val="000E4604"/>
    <w:rsid w:val="000E460C"/>
    <w:rsid w:val="000E465A"/>
    <w:rsid w:val="000E467A"/>
    <w:rsid w:val="000E47A4"/>
    <w:rsid w:val="000E4803"/>
    <w:rsid w:val="000E4840"/>
    <w:rsid w:val="000E485E"/>
    <w:rsid w:val="000E491B"/>
    <w:rsid w:val="000E496E"/>
    <w:rsid w:val="000E498F"/>
    <w:rsid w:val="000E49B1"/>
    <w:rsid w:val="000E4A17"/>
    <w:rsid w:val="000E4A2E"/>
    <w:rsid w:val="000E4A47"/>
    <w:rsid w:val="000E4A6B"/>
    <w:rsid w:val="000E4A76"/>
    <w:rsid w:val="000E4AC1"/>
    <w:rsid w:val="000E4B24"/>
    <w:rsid w:val="000E4B2B"/>
    <w:rsid w:val="000E4B7D"/>
    <w:rsid w:val="000E4BAE"/>
    <w:rsid w:val="000E4BD9"/>
    <w:rsid w:val="000E4C1A"/>
    <w:rsid w:val="000E4C1F"/>
    <w:rsid w:val="000E4D6E"/>
    <w:rsid w:val="000E4D7F"/>
    <w:rsid w:val="000E4DF3"/>
    <w:rsid w:val="000E4E00"/>
    <w:rsid w:val="000E4E06"/>
    <w:rsid w:val="000E4EA0"/>
    <w:rsid w:val="000E4EBB"/>
    <w:rsid w:val="000E4EDC"/>
    <w:rsid w:val="000E4F14"/>
    <w:rsid w:val="000E4F4F"/>
    <w:rsid w:val="000E5010"/>
    <w:rsid w:val="000E501C"/>
    <w:rsid w:val="000E5067"/>
    <w:rsid w:val="000E50A1"/>
    <w:rsid w:val="000E50B2"/>
    <w:rsid w:val="000E50E2"/>
    <w:rsid w:val="000E513E"/>
    <w:rsid w:val="000E5144"/>
    <w:rsid w:val="000E516D"/>
    <w:rsid w:val="000E5177"/>
    <w:rsid w:val="000E5192"/>
    <w:rsid w:val="000E5196"/>
    <w:rsid w:val="000E51DA"/>
    <w:rsid w:val="000E522E"/>
    <w:rsid w:val="000E52B6"/>
    <w:rsid w:val="000E52C1"/>
    <w:rsid w:val="000E52C8"/>
    <w:rsid w:val="000E5305"/>
    <w:rsid w:val="000E5391"/>
    <w:rsid w:val="000E53EE"/>
    <w:rsid w:val="000E53F4"/>
    <w:rsid w:val="000E540D"/>
    <w:rsid w:val="000E5478"/>
    <w:rsid w:val="000E5484"/>
    <w:rsid w:val="000E54AB"/>
    <w:rsid w:val="000E54C0"/>
    <w:rsid w:val="000E54D0"/>
    <w:rsid w:val="000E54D3"/>
    <w:rsid w:val="000E54D5"/>
    <w:rsid w:val="000E554B"/>
    <w:rsid w:val="000E5569"/>
    <w:rsid w:val="000E55C0"/>
    <w:rsid w:val="000E5612"/>
    <w:rsid w:val="000E5629"/>
    <w:rsid w:val="000E5666"/>
    <w:rsid w:val="000E5683"/>
    <w:rsid w:val="000E5692"/>
    <w:rsid w:val="000E56BD"/>
    <w:rsid w:val="000E56D4"/>
    <w:rsid w:val="000E5706"/>
    <w:rsid w:val="000E574B"/>
    <w:rsid w:val="000E5758"/>
    <w:rsid w:val="000E5781"/>
    <w:rsid w:val="000E57BE"/>
    <w:rsid w:val="000E57FC"/>
    <w:rsid w:val="000E5805"/>
    <w:rsid w:val="000E581F"/>
    <w:rsid w:val="000E5824"/>
    <w:rsid w:val="000E5855"/>
    <w:rsid w:val="000E589B"/>
    <w:rsid w:val="000E58C9"/>
    <w:rsid w:val="000E58ED"/>
    <w:rsid w:val="000E58FB"/>
    <w:rsid w:val="000E5919"/>
    <w:rsid w:val="000E5927"/>
    <w:rsid w:val="000E5959"/>
    <w:rsid w:val="000E595E"/>
    <w:rsid w:val="000E5970"/>
    <w:rsid w:val="000E59B1"/>
    <w:rsid w:val="000E59D9"/>
    <w:rsid w:val="000E59F1"/>
    <w:rsid w:val="000E5A1E"/>
    <w:rsid w:val="000E5AB5"/>
    <w:rsid w:val="000E5AF3"/>
    <w:rsid w:val="000E5B2F"/>
    <w:rsid w:val="000E5B34"/>
    <w:rsid w:val="000E5B37"/>
    <w:rsid w:val="000E5B4E"/>
    <w:rsid w:val="000E5B55"/>
    <w:rsid w:val="000E5B6D"/>
    <w:rsid w:val="000E5B77"/>
    <w:rsid w:val="000E5B82"/>
    <w:rsid w:val="000E5C5A"/>
    <w:rsid w:val="000E5CF5"/>
    <w:rsid w:val="000E5D69"/>
    <w:rsid w:val="000E5DBC"/>
    <w:rsid w:val="000E5DC0"/>
    <w:rsid w:val="000E5DFD"/>
    <w:rsid w:val="000E5E2E"/>
    <w:rsid w:val="000E5E4F"/>
    <w:rsid w:val="000E5E8C"/>
    <w:rsid w:val="000E5EFE"/>
    <w:rsid w:val="000E5F3B"/>
    <w:rsid w:val="000E5FF9"/>
    <w:rsid w:val="000E5FFC"/>
    <w:rsid w:val="000E60AF"/>
    <w:rsid w:val="000E60BE"/>
    <w:rsid w:val="000E60CC"/>
    <w:rsid w:val="000E60EB"/>
    <w:rsid w:val="000E619C"/>
    <w:rsid w:val="000E61DC"/>
    <w:rsid w:val="000E62C1"/>
    <w:rsid w:val="000E62C2"/>
    <w:rsid w:val="000E631E"/>
    <w:rsid w:val="000E633E"/>
    <w:rsid w:val="000E6347"/>
    <w:rsid w:val="000E63C7"/>
    <w:rsid w:val="000E63FB"/>
    <w:rsid w:val="000E6445"/>
    <w:rsid w:val="000E64AA"/>
    <w:rsid w:val="000E64FE"/>
    <w:rsid w:val="000E650D"/>
    <w:rsid w:val="000E6522"/>
    <w:rsid w:val="000E654B"/>
    <w:rsid w:val="000E6553"/>
    <w:rsid w:val="000E65B0"/>
    <w:rsid w:val="000E65C2"/>
    <w:rsid w:val="000E65DE"/>
    <w:rsid w:val="000E6613"/>
    <w:rsid w:val="000E68A4"/>
    <w:rsid w:val="000E68A7"/>
    <w:rsid w:val="000E6923"/>
    <w:rsid w:val="000E6937"/>
    <w:rsid w:val="000E6948"/>
    <w:rsid w:val="000E6A0F"/>
    <w:rsid w:val="000E6A15"/>
    <w:rsid w:val="000E6A3C"/>
    <w:rsid w:val="000E6A4A"/>
    <w:rsid w:val="000E6AC0"/>
    <w:rsid w:val="000E6AC1"/>
    <w:rsid w:val="000E6B88"/>
    <w:rsid w:val="000E6B95"/>
    <w:rsid w:val="000E6BE1"/>
    <w:rsid w:val="000E6BEC"/>
    <w:rsid w:val="000E6C13"/>
    <w:rsid w:val="000E6C1A"/>
    <w:rsid w:val="000E6C68"/>
    <w:rsid w:val="000E6C9D"/>
    <w:rsid w:val="000E6D04"/>
    <w:rsid w:val="000E6D4A"/>
    <w:rsid w:val="000E6D67"/>
    <w:rsid w:val="000E6D70"/>
    <w:rsid w:val="000E6EA1"/>
    <w:rsid w:val="000E6ED7"/>
    <w:rsid w:val="000E6F4D"/>
    <w:rsid w:val="000E6F90"/>
    <w:rsid w:val="000E702A"/>
    <w:rsid w:val="000E7048"/>
    <w:rsid w:val="000E7057"/>
    <w:rsid w:val="000E70BE"/>
    <w:rsid w:val="000E7133"/>
    <w:rsid w:val="000E713D"/>
    <w:rsid w:val="000E719C"/>
    <w:rsid w:val="000E7212"/>
    <w:rsid w:val="000E7224"/>
    <w:rsid w:val="000E7225"/>
    <w:rsid w:val="000E72DB"/>
    <w:rsid w:val="000E72E3"/>
    <w:rsid w:val="000E741E"/>
    <w:rsid w:val="000E745E"/>
    <w:rsid w:val="000E74B9"/>
    <w:rsid w:val="000E74F6"/>
    <w:rsid w:val="000E75FA"/>
    <w:rsid w:val="000E767C"/>
    <w:rsid w:val="000E76FD"/>
    <w:rsid w:val="000E7708"/>
    <w:rsid w:val="000E772D"/>
    <w:rsid w:val="000E7734"/>
    <w:rsid w:val="000E773B"/>
    <w:rsid w:val="000E77CE"/>
    <w:rsid w:val="000E7801"/>
    <w:rsid w:val="000E7802"/>
    <w:rsid w:val="000E7887"/>
    <w:rsid w:val="000E78AE"/>
    <w:rsid w:val="000E78C8"/>
    <w:rsid w:val="000E78F7"/>
    <w:rsid w:val="000E790D"/>
    <w:rsid w:val="000E7931"/>
    <w:rsid w:val="000E7933"/>
    <w:rsid w:val="000E7966"/>
    <w:rsid w:val="000E7969"/>
    <w:rsid w:val="000E7986"/>
    <w:rsid w:val="000E79B6"/>
    <w:rsid w:val="000E7A71"/>
    <w:rsid w:val="000E7A9E"/>
    <w:rsid w:val="000E7B0B"/>
    <w:rsid w:val="000E7B4A"/>
    <w:rsid w:val="000E7C02"/>
    <w:rsid w:val="000E7C0B"/>
    <w:rsid w:val="000E7C3B"/>
    <w:rsid w:val="000E7CA6"/>
    <w:rsid w:val="000E7CE6"/>
    <w:rsid w:val="000E7D17"/>
    <w:rsid w:val="000E7D2C"/>
    <w:rsid w:val="000E7D3F"/>
    <w:rsid w:val="000E7DB7"/>
    <w:rsid w:val="000E7E40"/>
    <w:rsid w:val="000E7E5B"/>
    <w:rsid w:val="000E7F1C"/>
    <w:rsid w:val="000E7F99"/>
    <w:rsid w:val="000F0041"/>
    <w:rsid w:val="000F0052"/>
    <w:rsid w:val="000F0091"/>
    <w:rsid w:val="000F00C4"/>
    <w:rsid w:val="000F00C9"/>
    <w:rsid w:val="000F00E8"/>
    <w:rsid w:val="000F00EB"/>
    <w:rsid w:val="000F0121"/>
    <w:rsid w:val="000F0126"/>
    <w:rsid w:val="000F0138"/>
    <w:rsid w:val="000F0164"/>
    <w:rsid w:val="000F0180"/>
    <w:rsid w:val="000F01BD"/>
    <w:rsid w:val="000F01C9"/>
    <w:rsid w:val="000F026A"/>
    <w:rsid w:val="000F032D"/>
    <w:rsid w:val="000F032F"/>
    <w:rsid w:val="000F033D"/>
    <w:rsid w:val="000F0390"/>
    <w:rsid w:val="000F0404"/>
    <w:rsid w:val="000F044C"/>
    <w:rsid w:val="000F046A"/>
    <w:rsid w:val="000F052B"/>
    <w:rsid w:val="000F0548"/>
    <w:rsid w:val="000F05A9"/>
    <w:rsid w:val="000F0604"/>
    <w:rsid w:val="000F068A"/>
    <w:rsid w:val="000F06FC"/>
    <w:rsid w:val="000F07EE"/>
    <w:rsid w:val="000F0817"/>
    <w:rsid w:val="000F0898"/>
    <w:rsid w:val="000F0928"/>
    <w:rsid w:val="000F0934"/>
    <w:rsid w:val="000F093B"/>
    <w:rsid w:val="000F0982"/>
    <w:rsid w:val="000F0995"/>
    <w:rsid w:val="000F09F9"/>
    <w:rsid w:val="000F0A2D"/>
    <w:rsid w:val="000F0A2F"/>
    <w:rsid w:val="000F0A5A"/>
    <w:rsid w:val="000F0AA0"/>
    <w:rsid w:val="000F0AD5"/>
    <w:rsid w:val="000F0AD7"/>
    <w:rsid w:val="000F0BE6"/>
    <w:rsid w:val="000F0C0D"/>
    <w:rsid w:val="000F0C5A"/>
    <w:rsid w:val="000F0C6A"/>
    <w:rsid w:val="000F0D1B"/>
    <w:rsid w:val="000F0D87"/>
    <w:rsid w:val="000F0E84"/>
    <w:rsid w:val="000F0E8F"/>
    <w:rsid w:val="000F0F2D"/>
    <w:rsid w:val="000F0F2F"/>
    <w:rsid w:val="000F0F33"/>
    <w:rsid w:val="000F0F57"/>
    <w:rsid w:val="000F0F9E"/>
    <w:rsid w:val="000F104B"/>
    <w:rsid w:val="000F1056"/>
    <w:rsid w:val="000F10FB"/>
    <w:rsid w:val="000F1130"/>
    <w:rsid w:val="000F113C"/>
    <w:rsid w:val="000F116A"/>
    <w:rsid w:val="000F1184"/>
    <w:rsid w:val="000F1197"/>
    <w:rsid w:val="000F11AF"/>
    <w:rsid w:val="000F1203"/>
    <w:rsid w:val="000F1239"/>
    <w:rsid w:val="000F1262"/>
    <w:rsid w:val="000F126C"/>
    <w:rsid w:val="000F12DB"/>
    <w:rsid w:val="000F1371"/>
    <w:rsid w:val="000F1374"/>
    <w:rsid w:val="000F1379"/>
    <w:rsid w:val="000F138F"/>
    <w:rsid w:val="000F13A6"/>
    <w:rsid w:val="000F142D"/>
    <w:rsid w:val="000F14B5"/>
    <w:rsid w:val="000F14FC"/>
    <w:rsid w:val="000F1542"/>
    <w:rsid w:val="000F15A8"/>
    <w:rsid w:val="000F1624"/>
    <w:rsid w:val="000F1657"/>
    <w:rsid w:val="000F1666"/>
    <w:rsid w:val="000F1687"/>
    <w:rsid w:val="000F16F5"/>
    <w:rsid w:val="000F1715"/>
    <w:rsid w:val="000F1765"/>
    <w:rsid w:val="000F179B"/>
    <w:rsid w:val="000F17A4"/>
    <w:rsid w:val="000F17CF"/>
    <w:rsid w:val="000F17EC"/>
    <w:rsid w:val="000F1824"/>
    <w:rsid w:val="000F1842"/>
    <w:rsid w:val="000F1865"/>
    <w:rsid w:val="000F18BC"/>
    <w:rsid w:val="000F1917"/>
    <w:rsid w:val="000F193F"/>
    <w:rsid w:val="000F1977"/>
    <w:rsid w:val="000F19BD"/>
    <w:rsid w:val="000F1A4C"/>
    <w:rsid w:val="000F1AA1"/>
    <w:rsid w:val="000F1B15"/>
    <w:rsid w:val="000F1B23"/>
    <w:rsid w:val="000F1B53"/>
    <w:rsid w:val="000F1BB9"/>
    <w:rsid w:val="000F1BE9"/>
    <w:rsid w:val="000F1C11"/>
    <w:rsid w:val="000F1C33"/>
    <w:rsid w:val="000F1CC7"/>
    <w:rsid w:val="000F1CCE"/>
    <w:rsid w:val="000F1D4B"/>
    <w:rsid w:val="000F1D5E"/>
    <w:rsid w:val="000F1D61"/>
    <w:rsid w:val="000F1DAD"/>
    <w:rsid w:val="000F1E54"/>
    <w:rsid w:val="000F1E63"/>
    <w:rsid w:val="000F1F08"/>
    <w:rsid w:val="000F1F36"/>
    <w:rsid w:val="000F1F4B"/>
    <w:rsid w:val="000F1F53"/>
    <w:rsid w:val="000F1F95"/>
    <w:rsid w:val="000F1FC7"/>
    <w:rsid w:val="000F1FF4"/>
    <w:rsid w:val="000F201E"/>
    <w:rsid w:val="000F2130"/>
    <w:rsid w:val="000F2146"/>
    <w:rsid w:val="000F2158"/>
    <w:rsid w:val="000F2188"/>
    <w:rsid w:val="000F218D"/>
    <w:rsid w:val="000F2237"/>
    <w:rsid w:val="000F225B"/>
    <w:rsid w:val="000F229B"/>
    <w:rsid w:val="000F22A3"/>
    <w:rsid w:val="000F22BB"/>
    <w:rsid w:val="000F2392"/>
    <w:rsid w:val="000F239C"/>
    <w:rsid w:val="000F2445"/>
    <w:rsid w:val="000F2497"/>
    <w:rsid w:val="000F24C9"/>
    <w:rsid w:val="000F2517"/>
    <w:rsid w:val="000F25B8"/>
    <w:rsid w:val="000F25D2"/>
    <w:rsid w:val="000F2630"/>
    <w:rsid w:val="000F2658"/>
    <w:rsid w:val="000F26D3"/>
    <w:rsid w:val="000F27C5"/>
    <w:rsid w:val="000F27CB"/>
    <w:rsid w:val="000F27E3"/>
    <w:rsid w:val="000F2864"/>
    <w:rsid w:val="000F28EB"/>
    <w:rsid w:val="000F28F4"/>
    <w:rsid w:val="000F28FA"/>
    <w:rsid w:val="000F2918"/>
    <w:rsid w:val="000F2931"/>
    <w:rsid w:val="000F2993"/>
    <w:rsid w:val="000F29CB"/>
    <w:rsid w:val="000F2A5A"/>
    <w:rsid w:val="000F2A9D"/>
    <w:rsid w:val="000F2AA7"/>
    <w:rsid w:val="000F2AFF"/>
    <w:rsid w:val="000F2B1D"/>
    <w:rsid w:val="000F2B87"/>
    <w:rsid w:val="000F2BBB"/>
    <w:rsid w:val="000F2C55"/>
    <w:rsid w:val="000F2CE0"/>
    <w:rsid w:val="000F2D07"/>
    <w:rsid w:val="000F2D0D"/>
    <w:rsid w:val="000F2D14"/>
    <w:rsid w:val="000F2D4A"/>
    <w:rsid w:val="000F2D86"/>
    <w:rsid w:val="000F2E13"/>
    <w:rsid w:val="000F2E38"/>
    <w:rsid w:val="000F2E78"/>
    <w:rsid w:val="000F2EED"/>
    <w:rsid w:val="000F2F63"/>
    <w:rsid w:val="000F2FC5"/>
    <w:rsid w:val="000F3019"/>
    <w:rsid w:val="000F3030"/>
    <w:rsid w:val="000F3049"/>
    <w:rsid w:val="000F304A"/>
    <w:rsid w:val="000F30F5"/>
    <w:rsid w:val="000F3109"/>
    <w:rsid w:val="000F3126"/>
    <w:rsid w:val="000F3132"/>
    <w:rsid w:val="000F3176"/>
    <w:rsid w:val="000F31CE"/>
    <w:rsid w:val="000F3215"/>
    <w:rsid w:val="000F3279"/>
    <w:rsid w:val="000F3286"/>
    <w:rsid w:val="000F32D1"/>
    <w:rsid w:val="000F331A"/>
    <w:rsid w:val="000F3334"/>
    <w:rsid w:val="000F3347"/>
    <w:rsid w:val="000F3358"/>
    <w:rsid w:val="000F335B"/>
    <w:rsid w:val="000F3416"/>
    <w:rsid w:val="000F3493"/>
    <w:rsid w:val="000F34DD"/>
    <w:rsid w:val="000F3553"/>
    <w:rsid w:val="000F3570"/>
    <w:rsid w:val="000F35C5"/>
    <w:rsid w:val="000F361E"/>
    <w:rsid w:val="000F36A1"/>
    <w:rsid w:val="000F36D3"/>
    <w:rsid w:val="000F3713"/>
    <w:rsid w:val="000F3748"/>
    <w:rsid w:val="000F374A"/>
    <w:rsid w:val="000F375A"/>
    <w:rsid w:val="000F3769"/>
    <w:rsid w:val="000F3805"/>
    <w:rsid w:val="000F380A"/>
    <w:rsid w:val="000F381E"/>
    <w:rsid w:val="000F3880"/>
    <w:rsid w:val="000F38F3"/>
    <w:rsid w:val="000F39AD"/>
    <w:rsid w:val="000F3A23"/>
    <w:rsid w:val="000F3A2D"/>
    <w:rsid w:val="000F3A59"/>
    <w:rsid w:val="000F3AD3"/>
    <w:rsid w:val="000F3B0D"/>
    <w:rsid w:val="000F3B32"/>
    <w:rsid w:val="000F3B3F"/>
    <w:rsid w:val="000F3B80"/>
    <w:rsid w:val="000F3B9A"/>
    <w:rsid w:val="000F3BBD"/>
    <w:rsid w:val="000F3BC4"/>
    <w:rsid w:val="000F3C33"/>
    <w:rsid w:val="000F3C80"/>
    <w:rsid w:val="000F3C90"/>
    <w:rsid w:val="000F3CC8"/>
    <w:rsid w:val="000F3D0C"/>
    <w:rsid w:val="000F3D68"/>
    <w:rsid w:val="000F3DA8"/>
    <w:rsid w:val="000F3DD2"/>
    <w:rsid w:val="000F3DFE"/>
    <w:rsid w:val="000F3E15"/>
    <w:rsid w:val="000F3E2C"/>
    <w:rsid w:val="000F3E57"/>
    <w:rsid w:val="000F3E74"/>
    <w:rsid w:val="000F3F06"/>
    <w:rsid w:val="000F3F0C"/>
    <w:rsid w:val="000F3F8C"/>
    <w:rsid w:val="000F3FA0"/>
    <w:rsid w:val="000F3FF0"/>
    <w:rsid w:val="000F3FF8"/>
    <w:rsid w:val="000F401C"/>
    <w:rsid w:val="000F4031"/>
    <w:rsid w:val="000F4124"/>
    <w:rsid w:val="000F416A"/>
    <w:rsid w:val="000F419A"/>
    <w:rsid w:val="000F41EC"/>
    <w:rsid w:val="000F41EF"/>
    <w:rsid w:val="000F41F2"/>
    <w:rsid w:val="000F4217"/>
    <w:rsid w:val="000F4234"/>
    <w:rsid w:val="000F4277"/>
    <w:rsid w:val="000F4341"/>
    <w:rsid w:val="000F43AB"/>
    <w:rsid w:val="000F43DA"/>
    <w:rsid w:val="000F43EB"/>
    <w:rsid w:val="000F4407"/>
    <w:rsid w:val="000F4418"/>
    <w:rsid w:val="000F4430"/>
    <w:rsid w:val="000F4435"/>
    <w:rsid w:val="000F44B4"/>
    <w:rsid w:val="000F44BF"/>
    <w:rsid w:val="000F45F2"/>
    <w:rsid w:val="000F4640"/>
    <w:rsid w:val="000F4668"/>
    <w:rsid w:val="000F469E"/>
    <w:rsid w:val="000F46BE"/>
    <w:rsid w:val="000F46CE"/>
    <w:rsid w:val="000F46D4"/>
    <w:rsid w:val="000F472A"/>
    <w:rsid w:val="000F475D"/>
    <w:rsid w:val="000F47D3"/>
    <w:rsid w:val="000F47EA"/>
    <w:rsid w:val="000F48AA"/>
    <w:rsid w:val="000F48E0"/>
    <w:rsid w:val="000F4907"/>
    <w:rsid w:val="000F4963"/>
    <w:rsid w:val="000F4966"/>
    <w:rsid w:val="000F4984"/>
    <w:rsid w:val="000F4A0C"/>
    <w:rsid w:val="000F4A13"/>
    <w:rsid w:val="000F4A57"/>
    <w:rsid w:val="000F4A59"/>
    <w:rsid w:val="000F4A8E"/>
    <w:rsid w:val="000F4A97"/>
    <w:rsid w:val="000F4AAF"/>
    <w:rsid w:val="000F4B13"/>
    <w:rsid w:val="000F4B38"/>
    <w:rsid w:val="000F4BB3"/>
    <w:rsid w:val="000F4C40"/>
    <w:rsid w:val="000F4C8E"/>
    <w:rsid w:val="000F4CEF"/>
    <w:rsid w:val="000F4CF1"/>
    <w:rsid w:val="000F4D2D"/>
    <w:rsid w:val="000F4D68"/>
    <w:rsid w:val="000F4D8F"/>
    <w:rsid w:val="000F4DAD"/>
    <w:rsid w:val="000F4DE9"/>
    <w:rsid w:val="000F4DFB"/>
    <w:rsid w:val="000F4E1D"/>
    <w:rsid w:val="000F4E69"/>
    <w:rsid w:val="000F4F02"/>
    <w:rsid w:val="000F4F25"/>
    <w:rsid w:val="000F4F3F"/>
    <w:rsid w:val="000F4F5E"/>
    <w:rsid w:val="000F4F75"/>
    <w:rsid w:val="000F4F9E"/>
    <w:rsid w:val="000F4FB1"/>
    <w:rsid w:val="000F506A"/>
    <w:rsid w:val="000F506D"/>
    <w:rsid w:val="000F50C1"/>
    <w:rsid w:val="000F5105"/>
    <w:rsid w:val="000F510E"/>
    <w:rsid w:val="000F5126"/>
    <w:rsid w:val="000F515E"/>
    <w:rsid w:val="000F515F"/>
    <w:rsid w:val="000F517A"/>
    <w:rsid w:val="000F5189"/>
    <w:rsid w:val="000F5199"/>
    <w:rsid w:val="000F51CA"/>
    <w:rsid w:val="000F51F1"/>
    <w:rsid w:val="000F5224"/>
    <w:rsid w:val="000F5258"/>
    <w:rsid w:val="000F52C3"/>
    <w:rsid w:val="000F52E7"/>
    <w:rsid w:val="000F534D"/>
    <w:rsid w:val="000F537F"/>
    <w:rsid w:val="000F541F"/>
    <w:rsid w:val="000F5429"/>
    <w:rsid w:val="000F545F"/>
    <w:rsid w:val="000F5556"/>
    <w:rsid w:val="000F55B1"/>
    <w:rsid w:val="000F55EC"/>
    <w:rsid w:val="000F55F2"/>
    <w:rsid w:val="000F55FB"/>
    <w:rsid w:val="000F5664"/>
    <w:rsid w:val="000F567A"/>
    <w:rsid w:val="000F56BC"/>
    <w:rsid w:val="000F5713"/>
    <w:rsid w:val="000F57A3"/>
    <w:rsid w:val="000F5960"/>
    <w:rsid w:val="000F59E4"/>
    <w:rsid w:val="000F59E6"/>
    <w:rsid w:val="000F5A0C"/>
    <w:rsid w:val="000F5A20"/>
    <w:rsid w:val="000F5A23"/>
    <w:rsid w:val="000F5A2A"/>
    <w:rsid w:val="000F5A4B"/>
    <w:rsid w:val="000F5AB7"/>
    <w:rsid w:val="000F5B14"/>
    <w:rsid w:val="000F5B2E"/>
    <w:rsid w:val="000F5B3D"/>
    <w:rsid w:val="000F5B59"/>
    <w:rsid w:val="000F5BDA"/>
    <w:rsid w:val="000F5BF2"/>
    <w:rsid w:val="000F5C15"/>
    <w:rsid w:val="000F5C34"/>
    <w:rsid w:val="000F5CC6"/>
    <w:rsid w:val="000F5CC9"/>
    <w:rsid w:val="000F5D27"/>
    <w:rsid w:val="000F5D3F"/>
    <w:rsid w:val="000F5D41"/>
    <w:rsid w:val="000F5D57"/>
    <w:rsid w:val="000F5D7B"/>
    <w:rsid w:val="000F5DAF"/>
    <w:rsid w:val="000F5E0E"/>
    <w:rsid w:val="000F5E2A"/>
    <w:rsid w:val="000F5E2C"/>
    <w:rsid w:val="000F5E99"/>
    <w:rsid w:val="000F5EA3"/>
    <w:rsid w:val="000F5F01"/>
    <w:rsid w:val="000F5F70"/>
    <w:rsid w:val="000F5FC4"/>
    <w:rsid w:val="000F5FD4"/>
    <w:rsid w:val="000F5FFA"/>
    <w:rsid w:val="000F602B"/>
    <w:rsid w:val="000F6074"/>
    <w:rsid w:val="000F60B0"/>
    <w:rsid w:val="000F6154"/>
    <w:rsid w:val="000F6167"/>
    <w:rsid w:val="000F619F"/>
    <w:rsid w:val="000F61EC"/>
    <w:rsid w:val="000F620B"/>
    <w:rsid w:val="000F6223"/>
    <w:rsid w:val="000F6229"/>
    <w:rsid w:val="000F6278"/>
    <w:rsid w:val="000F6283"/>
    <w:rsid w:val="000F62B8"/>
    <w:rsid w:val="000F62BA"/>
    <w:rsid w:val="000F62F1"/>
    <w:rsid w:val="000F6314"/>
    <w:rsid w:val="000F6316"/>
    <w:rsid w:val="000F638A"/>
    <w:rsid w:val="000F63BB"/>
    <w:rsid w:val="000F63E3"/>
    <w:rsid w:val="000F64A5"/>
    <w:rsid w:val="000F64C9"/>
    <w:rsid w:val="000F64DB"/>
    <w:rsid w:val="000F6566"/>
    <w:rsid w:val="000F656E"/>
    <w:rsid w:val="000F6628"/>
    <w:rsid w:val="000F6636"/>
    <w:rsid w:val="000F6653"/>
    <w:rsid w:val="000F6687"/>
    <w:rsid w:val="000F66ED"/>
    <w:rsid w:val="000F670A"/>
    <w:rsid w:val="000F67A0"/>
    <w:rsid w:val="000F6809"/>
    <w:rsid w:val="000F680A"/>
    <w:rsid w:val="000F6833"/>
    <w:rsid w:val="000F68BC"/>
    <w:rsid w:val="000F68E6"/>
    <w:rsid w:val="000F6932"/>
    <w:rsid w:val="000F696A"/>
    <w:rsid w:val="000F6979"/>
    <w:rsid w:val="000F697F"/>
    <w:rsid w:val="000F69E4"/>
    <w:rsid w:val="000F69EA"/>
    <w:rsid w:val="000F6A5C"/>
    <w:rsid w:val="000F6ADF"/>
    <w:rsid w:val="000F6B4A"/>
    <w:rsid w:val="000F6B83"/>
    <w:rsid w:val="000F6BBF"/>
    <w:rsid w:val="000F6C0E"/>
    <w:rsid w:val="000F6C29"/>
    <w:rsid w:val="000F6C5F"/>
    <w:rsid w:val="000F6DE4"/>
    <w:rsid w:val="000F6E5E"/>
    <w:rsid w:val="000F6E6F"/>
    <w:rsid w:val="000F6EAD"/>
    <w:rsid w:val="000F6EB4"/>
    <w:rsid w:val="000F6EC4"/>
    <w:rsid w:val="000F6EC8"/>
    <w:rsid w:val="000F6F07"/>
    <w:rsid w:val="000F6F5E"/>
    <w:rsid w:val="000F6FC3"/>
    <w:rsid w:val="000F6FDA"/>
    <w:rsid w:val="000F7007"/>
    <w:rsid w:val="000F703D"/>
    <w:rsid w:val="000F7095"/>
    <w:rsid w:val="000F70D6"/>
    <w:rsid w:val="000F7192"/>
    <w:rsid w:val="000F72BA"/>
    <w:rsid w:val="000F72F0"/>
    <w:rsid w:val="000F732E"/>
    <w:rsid w:val="000F7339"/>
    <w:rsid w:val="000F735C"/>
    <w:rsid w:val="000F7377"/>
    <w:rsid w:val="000F73F1"/>
    <w:rsid w:val="000F7490"/>
    <w:rsid w:val="000F7493"/>
    <w:rsid w:val="000F74CE"/>
    <w:rsid w:val="000F7572"/>
    <w:rsid w:val="000F7573"/>
    <w:rsid w:val="000F7602"/>
    <w:rsid w:val="000F7666"/>
    <w:rsid w:val="000F766E"/>
    <w:rsid w:val="000F7675"/>
    <w:rsid w:val="000F7678"/>
    <w:rsid w:val="000F76A6"/>
    <w:rsid w:val="000F7715"/>
    <w:rsid w:val="000F7728"/>
    <w:rsid w:val="000F7772"/>
    <w:rsid w:val="000F7848"/>
    <w:rsid w:val="000F78A2"/>
    <w:rsid w:val="000F78B7"/>
    <w:rsid w:val="000F78D2"/>
    <w:rsid w:val="000F7912"/>
    <w:rsid w:val="000F793D"/>
    <w:rsid w:val="000F7957"/>
    <w:rsid w:val="000F7996"/>
    <w:rsid w:val="000F7A03"/>
    <w:rsid w:val="000F7A13"/>
    <w:rsid w:val="000F7A54"/>
    <w:rsid w:val="000F7A68"/>
    <w:rsid w:val="000F7A6B"/>
    <w:rsid w:val="000F7A72"/>
    <w:rsid w:val="000F7A82"/>
    <w:rsid w:val="000F7A96"/>
    <w:rsid w:val="000F7AA7"/>
    <w:rsid w:val="000F7ACF"/>
    <w:rsid w:val="000F7B18"/>
    <w:rsid w:val="000F7B1A"/>
    <w:rsid w:val="000F7B69"/>
    <w:rsid w:val="000F7BDB"/>
    <w:rsid w:val="000F7BE5"/>
    <w:rsid w:val="000F7C46"/>
    <w:rsid w:val="000F7C5F"/>
    <w:rsid w:val="000F7CE6"/>
    <w:rsid w:val="000F7DD9"/>
    <w:rsid w:val="000F7E5F"/>
    <w:rsid w:val="000F7E77"/>
    <w:rsid w:val="000F7E80"/>
    <w:rsid w:val="000F7EA5"/>
    <w:rsid w:val="000F7EC2"/>
    <w:rsid w:val="000F7ECD"/>
    <w:rsid w:val="000F7F39"/>
    <w:rsid w:val="000F7F7D"/>
    <w:rsid w:val="000F7F8C"/>
    <w:rsid w:val="000F7FC0"/>
    <w:rsid w:val="000F7FC1"/>
    <w:rsid w:val="000F7FC5"/>
    <w:rsid w:val="000F7FCC"/>
    <w:rsid w:val="00100139"/>
    <w:rsid w:val="0010014B"/>
    <w:rsid w:val="00100188"/>
    <w:rsid w:val="001001B1"/>
    <w:rsid w:val="001001C7"/>
    <w:rsid w:val="001001E3"/>
    <w:rsid w:val="0010020B"/>
    <w:rsid w:val="00100220"/>
    <w:rsid w:val="0010025F"/>
    <w:rsid w:val="00100304"/>
    <w:rsid w:val="00100383"/>
    <w:rsid w:val="001003B6"/>
    <w:rsid w:val="001003DC"/>
    <w:rsid w:val="00100472"/>
    <w:rsid w:val="00100489"/>
    <w:rsid w:val="001004B3"/>
    <w:rsid w:val="001004B6"/>
    <w:rsid w:val="001004BC"/>
    <w:rsid w:val="001005B3"/>
    <w:rsid w:val="001005C7"/>
    <w:rsid w:val="001005E7"/>
    <w:rsid w:val="001005F9"/>
    <w:rsid w:val="0010065D"/>
    <w:rsid w:val="00100687"/>
    <w:rsid w:val="0010068C"/>
    <w:rsid w:val="00100710"/>
    <w:rsid w:val="00100736"/>
    <w:rsid w:val="00100746"/>
    <w:rsid w:val="001007DA"/>
    <w:rsid w:val="001007EF"/>
    <w:rsid w:val="00100807"/>
    <w:rsid w:val="00100823"/>
    <w:rsid w:val="0010085E"/>
    <w:rsid w:val="001008B5"/>
    <w:rsid w:val="001008BE"/>
    <w:rsid w:val="001008DA"/>
    <w:rsid w:val="00100977"/>
    <w:rsid w:val="0010099B"/>
    <w:rsid w:val="00100A07"/>
    <w:rsid w:val="00100A26"/>
    <w:rsid w:val="00100A38"/>
    <w:rsid w:val="00100AEC"/>
    <w:rsid w:val="00100B0C"/>
    <w:rsid w:val="00100B3B"/>
    <w:rsid w:val="00100B59"/>
    <w:rsid w:val="00100B62"/>
    <w:rsid w:val="00100B7B"/>
    <w:rsid w:val="00100BB2"/>
    <w:rsid w:val="00100BC7"/>
    <w:rsid w:val="00100BD7"/>
    <w:rsid w:val="00100BFB"/>
    <w:rsid w:val="00100C03"/>
    <w:rsid w:val="00100C2A"/>
    <w:rsid w:val="00100C3F"/>
    <w:rsid w:val="00100CAC"/>
    <w:rsid w:val="00100CE4"/>
    <w:rsid w:val="00100CE6"/>
    <w:rsid w:val="00100D44"/>
    <w:rsid w:val="00100D4A"/>
    <w:rsid w:val="00100D6A"/>
    <w:rsid w:val="00100D85"/>
    <w:rsid w:val="00100D88"/>
    <w:rsid w:val="00100D96"/>
    <w:rsid w:val="00100DBE"/>
    <w:rsid w:val="00100DC0"/>
    <w:rsid w:val="00100DC7"/>
    <w:rsid w:val="00100DF2"/>
    <w:rsid w:val="00100E05"/>
    <w:rsid w:val="00100E08"/>
    <w:rsid w:val="00100E0A"/>
    <w:rsid w:val="00100E96"/>
    <w:rsid w:val="00100E98"/>
    <w:rsid w:val="00100EC0"/>
    <w:rsid w:val="00100F2C"/>
    <w:rsid w:val="00100F32"/>
    <w:rsid w:val="0010108E"/>
    <w:rsid w:val="001010EE"/>
    <w:rsid w:val="00101167"/>
    <w:rsid w:val="00101174"/>
    <w:rsid w:val="00101182"/>
    <w:rsid w:val="0010118F"/>
    <w:rsid w:val="001011B5"/>
    <w:rsid w:val="001011C4"/>
    <w:rsid w:val="001011CB"/>
    <w:rsid w:val="00101241"/>
    <w:rsid w:val="001012AD"/>
    <w:rsid w:val="00101314"/>
    <w:rsid w:val="0010131F"/>
    <w:rsid w:val="00101337"/>
    <w:rsid w:val="0010137D"/>
    <w:rsid w:val="001013D7"/>
    <w:rsid w:val="001013F5"/>
    <w:rsid w:val="00101463"/>
    <w:rsid w:val="00101492"/>
    <w:rsid w:val="00101497"/>
    <w:rsid w:val="001014A0"/>
    <w:rsid w:val="0010158F"/>
    <w:rsid w:val="00101613"/>
    <w:rsid w:val="0010166F"/>
    <w:rsid w:val="001016A4"/>
    <w:rsid w:val="001016F5"/>
    <w:rsid w:val="00101744"/>
    <w:rsid w:val="0010174E"/>
    <w:rsid w:val="001017B2"/>
    <w:rsid w:val="0010181E"/>
    <w:rsid w:val="001018A0"/>
    <w:rsid w:val="00101959"/>
    <w:rsid w:val="00101986"/>
    <w:rsid w:val="00101A46"/>
    <w:rsid w:val="00101A64"/>
    <w:rsid w:val="00101A80"/>
    <w:rsid w:val="00101A9D"/>
    <w:rsid w:val="00101B25"/>
    <w:rsid w:val="00101B75"/>
    <w:rsid w:val="00101C24"/>
    <w:rsid w:val="00101C29"/>
    <w:rsid w:val="00101C54"/>
    <w:rsid w:val="00101CCB"/>
    <w:rsid w:val="00101E38"/>
    <w:rsid w:val="00101E95"/>
    <w:rsid w:val="00101EB7"/>
    <w:rsid w:val="00101F50"/>
    <w:rsid w:val="00101F69"/>
    <w:rsid w:val="00102072"/>
    <w:rsid w:val="001020D9"/>
    <w:rsid w:val="001020ED"/>
    <w:rsid w:val="00102163"/>
    <w:rsid w:val="0010219C"/>
    <w:rsid w:val="00102226"/>
    <w:rsid w:val="0010227F"/>
    <w:rsid w:val="001022B5"/>
    <w:rsid w:val="001022EB"/>
    <w:rsid w:val="00102338"/>
    <w:rsid w:val="00102339"/>
    <w:rsid w:val="00102341"/>
    <w:rsid w:val="00102343"/>
    <w:rsid w:val="0010234B"/>
    <w:rsid w:val="00102376"/>
    <w:rsid w:val="001023B2"/>
    <w:rsid w:val="00102431"/>
    <w:rsid w:val="00102441"/>
    <w:rsid w:val="00102442"/>
    <w:rsid w:val="001024A4"/>
    <w:rsid w:val="001024B6"/>
    <w:rsid w:val="001024F1"/>
    <w:rsid w:val="00102501"/>
    <w:rsid w:val="0010253F"/>
    <w:rsid w:val="0010266B"/>
    <w:rsid w:val="0010267B"/>
    <w:rsid w:val="001026CB"/>
    <w:rsid w:val="00102741"/>
    <w:rsid w:val="00102748"/>
    <w:rsid w:val="0010276C"/>
    <w:rsid w:val="0010277E"/>
    <w:rsid w:val="0010278F"/>
    <w:rsid w:val="00102790"/>
    <w:rsid w:val="00102811"/>
    <w:rsid w:val="00102819"/>
    <w:rsid w:val="0010283F"/>
    <w:rsid w:val="00102889"/>
    <w:rsid w:val="00102890"/>
    <w:rsid w:val="001028D1"/>
    <w:rsid w:val="0010297D"/>
    <w:rsid w:val="00102A1A"/>
    <w:rsid w:val="00102A90"/>
    <w:rsid w:val="00102A9E"/>
    <w:rsid w:val="00102ACE"/>
    <w:rsid w:val="00102ADA"/>
    <w:rsid w:val="00102AE8"/>
    <w:rsid w:val="00102AF8"/>
    <w:rsid w:val="00102AFD"/>
    <w:rsid w:val="00102B0D"/>
    <w:rsid w:val="00102B9D"/>
    <w:rsid w:val="00102C27"/>
    <w:rsid w:val="00102C58"/>
    <w:rsid w:val="00102CC3"/>
    <w:rsid w:val="00102CE5"/>
    <w:rsid w:val="00102D30"/>
    <w:rsid w:val="00102D4B"/>
    <w:rsid w:val="00102D72"/>
    <w:rsid w:val="00102D7A"/>
    <w:rsid w:val="00102DB2"/>
    <w:rsid w:val="00102DD6"/>
    <w:rsid w:val="00102DE4"/>
    <w:rsid w:val="00102E39"/>
    <w:rsid w:val="00102E5E"/>
    <w:rsid w:val="00102E95"/>
    <w:rsid w:val="00102E9B"/>
    <w:rsid w:val="00102EA3"/>
    <w:rsid w:val="00102EC4"/>
    <w:rsid w:val="00102ED8"/>
    <w:rsid w:val="00102F3A"/>
    <w:rsid w:val="0010305F"/>
    <w:rsid w:val="00103110"/>
    <w:rsid w:val="0010315C"/>
    <w:rsid w:val="0010318A"/>
    <w:rsid w:val="00103190"/>
    <w:rsid w:val="001031DB"/>
    <w:rsid w:val="001031FC"/>
    <w:rsid w:val="00103236"/>
    <w:rsid w:val="00103244"/>
    <w:rsid w:val="00103270"/>
    <w:rsid w:val="00103298"/>
    <w:rsid w:val="001032BF"/>
    <w:rsid w:val="001032DC"/>
    <w:rsid w:val="00103306"/>
    <w:rsid w:val="001033B2"/>
    <w:rsid w:val="001033B5"/>
    <w:rsid w:val="001033D1"/>
    <w:rsid w:val="00103417"/>
    <w:rsid w:val="00103426"/>
    <w:rsid w:val="001034D0"/>
    <w:rsid w:val="001034F2"/>
    <w:rsid w:val="0010354F"/>
    <w:rsid w:val="00103672"/>
    <w:rsid w:val="001036E0"/>
    <w:rsid w:val="00103713"/>
    <w:rsid w:val="00103725"/>
    <w:rsid w:val="0010372A"/>
    <w:rsid w:val="0010372B"/>
    <w:rsid w:val="0010378F"/>
    <w:rsid w:val="001037E7"/>
    <w:rsid w:val="001037ED"/>
    <w:rsid w:val="0010380F"/>
    <w:rsid w:val="00103842"/>
    <w:rsid w:val="00103884"/>
    <w:rsid w:val="001038C5"/>
    <w:rsid w:val="001038E1"/>
    <w:rsid w:val="001038EE"/>
    <w:rsid w:val="00103962"/>
    <w:rsid w:val="0010397B"/>
    <w:rsid w:val="00103A03"/>
    <w:rsid w:val="00103A24"/>
    <w:rsid w:val="00103AC6"/>
    <w:rsid w:val="00103B56"/>
    <w:rsid w:val="00103BFF"/>
    <w:rsid w:val="00103C7A"/>
    <w:rsid w:val="00103CFF"/>
    <w:rsid w:val="00103D16"/>
    <w:rsid w:val="00103D1B"/>
    <w:rsid w:val="00103DBC"/>
    <w:rsid w:val="00103DDA"/>
    <w:rsid w:val="00103E7E"/>
    <w:rsid w:val="00103EA7"/>
    <w:rsid w:val="00103ED6"/>
    <w:rsid w:val="00103ED9"/>
    <w:rsid w:val="00103EEF"/>
    <w:rsid w:val="00103F64"/>
    <w:rsid w:val="00103FB1"/>
    <w:rsid w:val="00103FCC"/>
    <w:rsid w:val="0010404B"/>
    <w:rsid w:val="001040D3"/>
    <w:rsid w:val="001040E1"/>
    <w:rsid w:val="00104105"/>
    <w:rsid w:val="0010410E"/>
    <w:rsid w:val="0010412B"/>
    <w:rsid w:val="00104158"/>
    <w:rsid w:val="00104173"/>
    <w:rsid w:val="0010419C"/>
    <w:rsid w:val="001041A3"/>
    <w:rsid w:val="00104219"/>
    <w:rsid w:val="0010422C"/>
    <w:rsid w:val="0010425C"/>
    <w:rsid w:val="00104278"/>
    <w:rsid w:val="001042AE"/>
    <w:rsid w:val="001042DE"/>
    <w:rsid w:val="001042EF"/>
    <w:rsid w:val="0010438F"/>
    <w:rsid w:val="0010442C"/>
    <w:rsid w:val="00104440"/>
    <w:rsid w:val="00104458"/>
    <w:rsid w:val="0010450C"/>
    <w:rsid w:val="00104535"/>
    <w:rsid w:val="00104585"/>
    <w:rsid w:val="001045EE"/>
    <w:rsid w:val="00104607"/>
    <w:rsid w:val="0010462E"/>
    <w:rsid w:val="00104659"/>
    <w:rsid w:val="00104660"/>
    <w:rsid w:val="00104667"/>
    <w:rsid w:val="001046EE"/>
    <w:rsid w:val="001046F4"/>
    <w:rsid w:val="00104707"/>
    <w:rsid w:val="0010471D"/>
    <w:rsid w:val="0010479C"/>
    <w:rsid w:val="0010481F"/>
    <w:rsid w:val="001048B3"/>
    <w:rsid w:val="001048BF"/>
    <w:rsid w:val="00104968"/>
    <w:rsid w:val="001049C3"/>
    <w:rsid w:val="00104AA0"/>
    <w:rsid w:val="00104AF7"/>
    <w:rsid w:val="00104AF8"/>
    <w:rsid w:val="00104B0D"/>
    <w:rsid w:val="00104B62"/>
    <w:rsid w:val="00104B69"/>
    <w:rsid w:val="00104BAC"/>
    <w:rsid w:val="00104BEF"/>
    <w:rsid w:val="00104C43"/>
    <w:rsid w:val="00104C47"/>
    <w:rsid w:val="00104C48"/>
    <w:rsid w:val="00104C6D"/>
    <w:rsid w:val="00104C85"/>
    <w:rsid w:val="00104CD9"/>
    <w:rsid w:val="00104CED"/>
    <w:rsid w:val="00104DCC"/>
    <w:rsid w:val="00104E1B"/>
    <w:rsid w:val="00104E1C"/>
    <w:rsid w:val="00104E6A"/>
    <w:rsid w:val="00104E7B"/>
    <w:rsid w:val="00104F5C"/>
    <w:rsid w:val="00104FCE"/>
    <w:rsid w:val="00104FF0"/>
    <w:rsid w:val="0010501D"/>
    <w:rsid w:val="00105082"/>
    <w:rsid w:val="001050D3"/>
    <w:rsid w:val="001050E8"/>
    <w:rsid w:val="001050EF"/>
    <w:rsid w:val="0010510B"/>
    <w:rsid w:val="00105114"/>
    <w:rsid w:val="001051AC"/>
    <w:rsid w:val="001051BE"/>
    <w:rsid w:val="001051EB"/>
    <w:rsid w:val="001051F1"/>
    <w:rsid w:val="001051FE"/>
    <w:rsid w:val="00105262"/>
    <w:rsid w:val="00105263"/>
    <w:rsid w:val="00105264"/>
    <w:rsid w:val="001052CB"/>
    <w:rsid w:val="001052F4"/>
    <w:rsid w:val="001052F7"/>
    <w:rsid w:val="00105388"/>
    <w:rsid w:val="001053B8"/>
    <w:rsid w:val="001053DA"/>
    <w:rsid w:val="001053F5"/>
    <w:rsid w:val="001053F9"/>
    <w:rsid w:val="0010546F"/>
    <w:rsid w:val="001054A2"/>
    <w:rsid w:val="001054BF"/>
    <w:rsid w:val="001054DF"/>
    <w:rsid w:val="001054EC"/>
    <w:rsid w:val="001054F3"/>
    <w:rsid w:val="0010553A"/>
    <w:rsid w:val="00105594"/>
    <w:rsid w:val="00105621"/>
    <w:rsid w:val="00105664"/>
    <w:rsid w:val="0010566A"/>
    <w:rsid w:val="0010567D"/>
    <w:rsid w:val="0010571F"/>
    <w:rsid w:val="00105735"/>
    <w:rsid w:val="00105794"/>
    <w:rsid w:val="001057CD"/>
    <w:rsid w:val="001057D7"/>
    <w:rsid w:val="001057E5"/>
    <w:rsid w:val="001057F3"/>
    <w:rsid w:val="00105805"/>
    <w:rsid w:val="0010584A"/>
    <w:rsid w:val="00105872"/>
    <w:rsid w:val="00105874"/>
    <w:rsid w:val="00105889"/>
    <w:rsid w:val="001058A8"/>
    <w:rsid w:val="001058AC"/>
    <w:rsid w:val="001058B3"/>
    <w:rsid w:val="00105937"/>
    <w:rsid w:val="00105991"/>
    <w:rsid w:val="0010599F"/>
    <w:rsid w:val="001059A2"/>
    <w:rsid w:val="001059B4"/>
    <w:rsid w:val="001059B5"/>
    <w:rsid w:val="001059BA"/>
    <w:rsid w:val="001059D6"/>
    <w:rsid w:val="001059F6"/>
    <w:rsid w:val="00105B28"/>
    <w:rsid w:val="00105B2D"/>
    <w:rsid w:val="00105B3E"/>
    <w:rsid w:val="00105B4B"/>
    <w:rsid w:val="00105BC3"/>
    <w:rsid w:val="00105C1C"/>
    <w:rsid w:val="00105C80"/>
    <w:rsid w:val="00105D27"/>
    <w:rsid w:val="00105DAB"/>
    <w:rsid w:val="00105DE8"/>
    <w:rsid w:val="00105E23"/>
    <w:rsid w:val="00105E2F"/>
    <w:rsid w:val="00105E3B"/>
    <w:rsid w:val="00105EA3"/>
    <w:rsid w:val="00105ED8"/>
    <w:rsid w:val="00105F32"/>
    <w:rsid w:val="00105F65"/>
    <w:rsid w:val="00105F6E"/>
    <w:rsid w:val="00105F71"/>
    <w:rsid w:val="00105F78"/>
    <w:rsid w:val="00106063"/>
    <w:rsid w:val="00106082"/>
    <w:rsid w:val="00106164"/>
    <w:rsid w:val="00106193"/>
    <w:rsid w:val="001061DE"/>
    <w:rsid w:val="00106208"/>
    <w:rsid w:val="0010621C"/>
    <w:rsid w:val="00106272"/>
    <w:rsid w:val="001062A2"/>
    <w:rsid w:val="001063EE"/>
    <w:rsid w:val="00106408"/>
    <w:rsid w:val="00106462"/>
    <w:rsid w:val="001064A5"/>
    <w:rsid w:val="001064C6"/>
    <w:rsid w:val="001064D0"/>
    <w:rsid w:val="001064FA"/>
    <w:rsid w:val="00106505"/>
    <w:rsid w:val="0010652E"/>
    <w:rsid w:val="00106530"/>
    <w:rsid w:val="001065E9"/>
    <w:rsid w:val="001066BE"/>
    <w:rsid w:val="001066C7"/>
    <w:rsid w:val="001066F8"/>
    <w:rsid w:val="00106712"/>
    <w:rsid w:val="0010674C"/>
    <w:rsid w:val="001067AC"/>
    <w:rsid w:val="0010685E"/>
    <w:rsid w:val="001068BD"/>
    <w:rsid w:val="001068BF"/>
    <w:rsid w:val="001068D4"/>
    <w:rsid w:val="001068EC"/>
    <w:rsid w:val="00106901"/>
    <w:rsid w:val="0010693C"/>
    <w:rsid w:val="0010696E"/>
    <w:rsid w:val="001069B3"/>
    <w:rsid w:val="00106AD0"/>
    <w:rsid w:val="00106B07"/>
    <w:rsid w:val="00106B3D"/>
    <w:rsid w:val="00106B6C"/>
    <w:rsid w:val="00106B9E"/>
    <w:rsid w:val="00106C1E"/>
    <w:rsid w:val="00106C30"/>
    <w:rsid w:val="00106C34"/>
    <w:rsid w:val="00106C48"/>
    <w:rsid w:val="00106C60"/>
    <w:rsid w:val="00106C73"/>
    <w:rsid w:val="00106CAB"/>
    <w:rsid w:val="00106CB8"/>
    <w:rsid w:val="00106CCB"/>
    <w:rsid w:val="00106CD8"/>
    <w:rsid w:val="00106CF3"/>
    <w:rsid w:val="00106D2E"/>
    <w:rsid w:val="00106D49"/>
    <w:rsid w:val="00106DD9"/>
    <w:rsid w:val="00106E36"/>
    <w:rsid w:val="00106EB2"/>
    <w:rsid w:val="00106ECE"/>
    <w:rsid w:val="00106ED1"/>
    <w:rsid w:val="00106F53"/>
    <w:rsid w:val="00106FCF"/>
    <w:rsid w:val="00107033"/>
    <w:rsid w:val="0010703E"/>
    <w:rsid w:val="00107199"/>
    <w:rsid w:val="001071A4"/>
    <w:rsid w:val="001071A9"/>
    <w:rsid w:val="00107217"/>
    <w:rsid w:val="00107255"/>
    <w:rsid w:val="00107302"/>
    <w:rsid w:val="00107395"/>
    <w:rsid w:val="001073AC"/>
    <w:rsid w:val="001073C9"/>
    <w:rsid w:val="001073F7"/>
    <w:rsid w:val="001073F8"/>
    <w:rsid w:val="00107409"/>
    <w:rsid w:val="0010747C"/>
    <w:rsid w:val="001074AA"/>
    <w:rsid w:val="00107502"/>
    <w:rsid w:val="00107544"/>
    <w:rsid w:val="001075CC"/>
    <w:rsid w:val="00107627"/>
    <w:rsid w:val="0010763B"/>
    <w:rsid w:val="0010773D"/>
    <w:rsid w:val="00107745"/>
    <w:rsid w:val="00107794"/>
    <w:rsid w:val="00107799"/>
    <w:rsid w:val="001077B8"/>
    <w:rsid w:val="00107805"/>
    <w:rsid w:val="00107844"/>
    <w:rsid w:val="0010784F"/>
    <w:rsid w:val="001078B3"/>
    <w:rsid w:val="001078BD"/>
    <w:rsid w:val="0010792B"/>
    <w:rsid w:val="0010798D"/>
    <w:rsid w:val="00107A2A"/>
    <w:rsid w:val="00107A49"/>
    <w:rsid w:val="00107A61"/>
    <w:rsid w:val="00107ABD"/>
    <w:rsid w:val="00107AC5"/>
    <w:rsid w:val="00107AF7"/>
    <w:rsid w:val="00107B0A"/>
    <w:rsid w:val="00107B32"/>
    <w:rsid w:val="00107B61"/>
    <w:rsid w:val="00107B62"/>
    <w:rsid w:val="00107C5A"/>
    <w:rsid w:val="00107D68"/>
    <w:rsid w:val="00107DBB"/>
    <w:rsid w:val="00107E00"/>
    <w:rsid w:val="00107E73"/>
    <w:rsid w:val="00107EEA"/>
    <w:rsid w:val="00107F71"/>
    <w:rsid w:val="00107F74"/>
    <w:rsid w:val="00107FB8"/>
    <w:rsid w:val="001100E5"/>
    <w:rsid w:val="0011015D"/>
    <w:rsid w:val="0011023E"/>
    <w:rsid w:val="00110244"/>
    <w:rsid w:val="00110288"/>
    <w:rsid w:val="001102E6"/>
    <w:rsid w:val="001102F1"/>
    <w:rsid w:val="0011032E"/>
    <w:rsid w:val="0011034B"/>
    <w:rsid w:val="0011038E"/>
    <w:rsid w:val="00110422"/>
    <w:rsid w:val="00110432"/>
    <w:rsid w:val="00110437"/>
    <w:rsid w:val="00110482"/>
    <w:rsid w:val="0011056A"/>
    <w:rsid w:val="00110602"/>
    <w:rsid w:val="001106CB"/>
    <w:rsid w:val="001106E7"/>
    <w:rsid w:val="001106F2"/>
    <w:rsid w:val="001106FE"/>
    <w:rsid w:val="00110720"/>
    <w:rsid w:val="001107C6"/>
    <w:rsid w:val="00110804"/>
    <w:rsid w:val="00110805"/>
    <w:rsid w:val="0011080F"/>
    <w:rsid w:val="00110866"/>
    <w:rsid w:val="001108BA"/>
    <w:rsid w:val="001108BB"/>
    <w:rsid w:val="001108DC"/>
    <w:rsid w:val="0011091E"/>
    <w:rsid w:val="0011097F"/>
    <w:rsid w:val="00110A6F"/>
    <w:rsid w:val="00110B41"/>
    <w:rsid w:val="00110B96"/>
    <w:rsid w:val="00110BB6"/>
    <w:rsid w:val="00110BCE"/>
    <w:rsid w:val="00110C5B"/>
    <w:rsid w:val="00110C62"/>
    <w:rsid w:val="00110CB4"/>
    <w:rsid w:val="00110CC1"/>
    <w:rsid w:val="00110CD1"/>
    <w:rsid w:val="00110D07"/>
    <w:rsid w:val="00110E96"/>
    <w:rsid w:val="00110ED6"/>
    <w:rsid w:val="00110EE2"/>
    <w:rsid w:val="00110F32"/>
    <w:rsid w:val="00110F39"/>
    <w:rsid w:val="00110F76"/>
    <w:rsid w:val="00110F8B"/>
    <w:rsid w:val="00110FC6"/>
    <w:rsid w:val="00110FF2"/>
    <w:rsid w:val="00110FFF"/>
    <w:rsid w:val="00111045"/>
    <w:rsid w:val="001110D9"/>
    <w:rsid w:val="0011119B"/>
    <w:rsid w:val="001111CF"/>
    <w:rsid w:val="00111244"/>
    <w:rsid w:val="001112C6"/>
    <w:rsid w:val="00111302"/>
    <w:rsid w:val="0011136A"/>
    <w:rsid w:val="00111437"/>
    <w:rsid w:val="0011143C"/>
    <w:rsid w:val="0011149C"/>
    <w:rsid w:val="001114AB"/>
    <w:rsid w:val="001114D5"/>
    <w:rsid w:val="00111583"/>
    <w:rsid w:val="001115EB"/>
    <w:rsid w:val="0011167F"/>
    <w:rsid w:val="001116A0"/>
    <w:rsid w:val="00111787"/>
    <w:rsid w:val="0011179D"/>
    <w:rsid w:val="001117BD"/>
    <w:rsid w:val="001117C1"/>
    <w:rsid w:val="00111852"/>
    <w:rsid w:val="0011189A"/>
    <w:rsid w:val="001118D2"/>
    <w:rsid w:val="0011190E"/>
    <w:rsid w:val="00111957"/>
    <w:rsid w:val="0011195F"/>
    <w:rsid w:val="00111965"/>
    <w:rsid w:val="00111966"/>
    <w:rsid w:val="00111A36"/>
    <w:rsid w:val="00111A6F"/>
    <w:rsid w:val="00111AD5"/>
    <w:rsid w:val="00111AFE"/>
    <w:rsid w:val="00111B4A"/>
    <w:rsid w:val="00111BA6"/>
    <w:rsid w:val="00111C33"/>
    <w:rsid w:val="00111C9A"/>
    <w:rsid w:val="00111CBC"/>
    <w:rsid w:val="00111D8D"/>
    <w:rsid w:val="00111DD0"/>
    <w:rsid w:val="00111DF1"/>
    <w:rsid w:val="00111E38"/>
    <w:rsid w:val="00111ED9"/>
    <w:rsid w:val="00111EFB"/>
    <w:rsid w:val="00111F10"/>
    <w:rsid w:val="00111FA9"/>
    <w:rsid w:val="00111FF4"/>
    <w:rsid w:val="00112011"/>
    <w:rsid w:val="0011203C"/>
    <w:rsid w:val="001120C1"/>
    <w:rsid w:val="001120D4"/>
    <w:rsid w:val="00112210"/>
    <w:rsid w:val="0011221C"/>
    <w:rsid w:val="001122BF"/>
    <w:rsid w:val="001122C8"/>
    <w:rsid w:val="00112313"/>
    <w:rsid w:val="00112355"/>
    <w:rsid w:val="0011238A"/>
    <w:rsid w:val="001123DE"/>
    <w:rsid w:val="001123E5"/>
    <w:rsid w:val="001124FB"/>
    <w:rsid w:val="00112502"/>
    <w:rsid w:val="0011252B"/>
    <w:rsid w:val="00112567"/>
    <w:rsid w:val="00112571"/>
    <w:rsid w:val="00112686"/>
    <w:rsid w:val="001126B0"/>
    <w:rsid w:val="001126D4"/>
    <w:rsid w:val="001126E1"/>
    <w:rsid w:val="00112747"/>
    <w:rsid w:val="00112770"/>
    <w:rsid w:val="0011281D"/>
    <w:rsid w:val="0011282B"/>
    <w:rsid w:val="00112869"/>
    <w:rsid w:val="001128B2"/>
    <w:rsid w:val="00112970"/>
    <w:rsid w:val="00112976"/>
    <w:rsid w:val="00112A08"/>
    <w:rsid w:val="00112A43"/>
    <w:rsid w:val="00112A4D"/>
    <w:rsid w:val="00112A83"/>
    <w:rsid w:val="00112B79"/>
    <w:rsid w:val="00112B8D"/>
    <w:rsid w:val="00112BB0"/>
    <w:rsid w:val="00112BB9"/>
    <w:rsid w:val="00112C27"/>
    <w:rsid w:val="00112C63"/>
    <w:rsid w:val="00112CE2"/>
    <w:rsid w:val="00112DC7"/>
    <w:rsid w:val="00112DD1"/>
    <w:rsid w:val="00112E0E"/>
    <w:rsid w:val="00112E34"/>
    <w:rsid w:val="00112EC0"/>
    <w:rsid w:val="00112F2B"/>
    <w:rsid w:val="00112F54"/>
    <w:rsid w:val="00112F9F"/>
    <w:rsid w:val="00112FEF"/>
    <w:rsid w:val="0011301B"/>
    <w:rsid w:val="001130AA"/>
    <w:rsid w:val="001130AD"/>
    <w:rsid w:val="001130E2"/>
    <w:rsid w:val="001131BB"/>
    <w:rsid w:val="00113289"/>
    <w:rsid w:val="00113299"/>
    <w:rsid w:val="001132E2"/>
    <w:rsid w:val="001133A2"/>
    <w:rsid w:val="001133FA"/>
    <w:rsid w:val="00113416"/>
    <w:rsid w:val="0011344C"/>
    <w:rsid w:val="001134FE"/>
    <w:rsid w:val="0011351A"/>
    <w:rsid w:val="00113524"/>
    <w:rsid w:val="00113530"/>
    <w:rsid w:val="00113537"/>
    <w:rsid w:val="00113586"/>
    <w:rsid w:val="0011360F"/>
    <w:rsid w:val="0011362A"/>
    <w:rsid w:val="0011367D"/>
    <w:rsid w:val="001136ED"/>
    <w:rsid w:val="00113797"/>
    <w:rsid w:val="0011380F"/>
    <w:rsid w:val="001138BD"/>
    <w:rsid w:val="001138C8"/>
    <w:rsid w:val="001138EB"/>
    <w:rsid w:val="001139C3"/>
    <w:rsid w:val="001139F1"/>
    <w:rsid w:val="00113A2A"/>
    <w:rsid w:val="00113A6B"/>
    <w:rsid w:val="00113A75"/>
    <w:rsid w:val="00113ABD"/>
    <w:rsid w:val="00113ADA"/>
    <w:rsid w:val="00113AE9"/>
    <w:rsid w:val="00113AFA"/>
    <w:rsid w:val="00113B0E"/>
    <w:rsid w:val="00113B43"/>
    <w:rsid w:val="00113B49"/>
    <w:rsid w:val="00113B5C"/>
    <w:rsid w:val="00113B89"/>
    <w:rsid w:val="00113BFF"/>
    <w:rsid w:val="00113C1F"/>
    <w:rsid w:val="00113C74"/>
    <w:rsid w:val="00113C8E"/>
    <w:rsid w:val="00113CE0"/>
    <w:rsid w:val="00113CF9"/>
    <w:rsid w:val="00113D07"/>
    <w:rsid w:val="00113D25"/>
    <w:rsid w:val="00113D6B"/>
    <w:rsid w:val="00113EB8"/>
    <w:rsid w:val="00113EE7"/>
    <w:rsid w:val="00113EED"/>
    <w:rsid w:val="00113F56"/>
    <w:rsid w:val="00113F6D"/>
    <w:rsid w:val="00113F99"/>
    <w:rsid w:val="00113FCF"/>
    <w:rsid w:val="00114006"/>
    <w:rsid w:val="00114050"/>
    <w:rsid w:val="00114121"/>
    <w:rsid w:val="0011413D"/>
    <w:rsid w:val="001141A3"/>
    <w:rsid w:val="001141DD"/>
    <w:rsid w:val="00114218"/>
    <w:rsid w:val="0011424C"/>
    <w:rsid w:val="001142AB"/>
    <w:rsid w:val="001142F1"/>
    <w:rsid w:val="0011434A"/>
    <w:rsid w:val="00114362"/>
    <w:rsid w:val="0011436F"/>
    <w:rsid w:val="001143AF"/>
    <w:rsid w:val="001143B7"/>
    <w:rsid w:val="001143F1"/>
    <w:rsid w:val="001143FF"/>
    <w:rsid w:val="0011440C"/>
    <w:rsid w:val="00114440"/>
    <w:rsid w:val="00114459"/>
    <w:rsid w:val="0011445A"/>
    <w:rsid w:val="0011445E"/>
    <w:rsid w:val="00114499"/>
    <w:rsid w:val="001144A2"/>
    <w:rsid w:val="001144C9"/>
    <w:rsid w:val="00114514"/>
    <w:rsid w:val="0011455A"/>
    <w:rsid w:val="0011457F"/>
    <w:rsid w:val="00114586"/>
    <w:rsid w:val="0011459C"/>
    <w:rsid w:val="00114616"/>
    <w:rsid w:val="00114658"/>
    <w:rsid w:val="0011465E"/>
    <w:rsid w:val="00114674"/>
    <w:rsid w:val="001146AC"/>
    <w:rsid w:val="0011470E"/>
    <w:rsid w:val="00114735"/>
    <w:rsid w:val="0011475F"/>
    <w:rsid w:val="00114762"/>
    <w:rsid w:val="00114780"/>
    <w:rsid w:val="001147F2"/>
    <w:rsid w:val="001147F9"/>
    <w:rsid w:val="0011480B"/>
    <w:rsid w:val="00114849"/>
    <w:rsid w:val="00114850"/>
    <w:rsid w:val="001148D3"/>
    <w:rsid w:val="00114900"/>
    <w:rsid w:val="00114959"/>
    <w:rsid w:val="0011498C"/>
    <w:rsid w:val="001149D0"/>
    <w:rsid w:val="001149F5"/>
    <w:rsid w:val="00114AD1"/>
    <w:rsid w:val="00114B26"/>
    <w:rsid w:val="00114BA6"/>
    <w:rsid w:val="00114C2E"/>
    <w:rsid w:val="00114C8B"/>
    <w:rsid w:val="00114C9A"/>
    <w:rsid w:val="00114CAB"/>
    <w:rsid w:val="00114CD2"/>
    <w:rsid w:val="00114D51"/>
    <w:rsid w:val="00114DFF"/>
    <w:rsid w:val="00114E86"/>
    <w:rsid w:val="00114F00"/>
    <w:rsid w:val="00114F25"/>
    <w:rsid w:val="00114F27"/>
    <w:rsid w:val="00114F75"/>
    <w:rsid w:val="00114F81"/>
    <w:rsid w:val="00114FDF"/>
    <w:rsid w:val="0011502D"/>
    <w:rsid w:val="00115048"/>
    <w:rsid w:val="0011505A"/>
    <w:rsid w:val="001150BB"/>
    <w:rsid w:val="00115122"/>
    <w:rsid w:val="0011517F"/>
    <w:rsid w:val="0011518D"/>
    <w:rsid w:val="0011520C"/>
    <w:rsid w:val="00115285"/>
    <w:rsid w:val="0011530B"/>
    <w:rsid w:val="0011535B"/>
    <w:rsid w:val="0011535D"/>
    <w:rsid w:val="001153CC"/>
    <w:rsid w:val="00115405"/>
    <w:rsid w:val="001154A0"/>
    <w:rsid w:val="001154BE"/>
    <w:rsid w:val="001154F9"/>
    <w:rsid w:val="0011554D"/>
    <w:rsid w:val="00115580"/>
    <w:rsid w:val="0011558E"/>
    <w:rsid w:val="001155CF"/>
    <w:rsid w:val="0011561F"/>
    <w:rsid w:val="00115682"/>
    <w:rsid w:val="0011568D"/>
    <w:rsid w:val="001156ED"/>
    <w:rsid w:val="001156F5"/>
    <w:rsid w:val="0011572C"/>
    <w:rsid w:val="00115789"/>
    <w:rsid w:val="001157A5"/>
    <w:rsid w:val="00115875"/>
    <w:rsid w:val="00115895"/>
    <w:rsid w:val="001158B6"/>
    <w:rsid w:val="00115990"/>
    <w:rsid w:val="001159BC"/>
    <w:rsid w:val="001159C5"/>
    <w:rsid w:val="001159FD"/>
    <w:rsid w:val="00115A6D"/>
    <w:rsid w:val="00115AB1"/>
    <w:rsid w:val="00115B07"/>
    <w:rsid w:val="00115B0D"/>
    <w:rsid w:val="00115B1E"/>
    <w:rsid w:val="00115B5E"/>
    <w:rsid w:val="00115BC1"/>
    <w:rsid w:val="00115C49"/>
    <w:rsid w:val="00115C4F"/>
    <w:rsid w:val="00115C7C"/>
    <w:rsid w:val="00115C81"/>
    <w:rsid w:val="00115CCA"/>
    <w:rsid w:val="00115CE7"/>
    <w:rsid w:val="00115D05"/>
    <w:rsid w:val="00115DC2"/>
    <w:rsid w:val="00115DE4"/>
    <w:rsid w:val="00115DEF"/>
    <w:rsid w:val="00115E8C"/>
    <w:rsid w:val="00115E92"/>
    <w:rsid w:val="00115EB9"/>
    <w:rsid w:val="00115F1E"/>
    <w:rsid w:val="00115F5E"/>
    <w:rsid w:val="0011600F"/>
    <w:rsid w:val="00116056"/>
    <w:rsid w:val="00116098"/>
    <w:rsid w:val="001160BE"/>
    <w:rsid w:val="001160D1"/>
    <w:rsid w:val="00116129"/>
    <w:rsid w:val="001161C3"/>
    <w:rsid w:val="00116230"/>
    <w:rsid w:val="00116270"/>
    <w:rsid w:val="00116289"/>
    <w:rsid w:val="0011628C"/>
    <w:rsid w:val="001162CF"/>
    <w:rsid w:val="0011643F"/>
    <w:rsid w:val="0011651B"/>
    <w:rsid w:val="00116530"/>
    <w:rsid w:val="001165B7"/>
    <w:rsid w:val="00116618"/>
    <w:rsid w:val="00116692"/>
    <w:rsid w:val="00116694"/>
    <w:rsid w:val="001166A2"/>
    <w:rsid w:val="001166B4"/>
    <w:rsid w:val="0011672E"/>
    <w:rsid w:val="00116757"/>
    <w:rsid w:val="001167A2"/>
    <w:rsid w:val="0011682D"/>
    <w:rsid w:val="00116881"/>
    <w:rsid w:val="001168A7"/>
    <w:rsid w:val="001168DE"/>
    <w:rsid w:val="001168FD"/>
    <w:rsid w:val="0011696B"/>
    <w:rsid w:val="00116992"/>
    <w:rsid w:val="0011699E"/>
    <w:rsid w:val="001169E8"/>
    <w:rsid w:val="00116AC9"/>
    <w:rsid w:val="00116B14"/>
    <w:rsid w:val="00116B67"/>
    <w:rsid w:val="00116BCE"/>
    <w:rsid w:val="00116BF6"/>
    <w:rsid w:val="00116BFF"/>
    <w:rsid w:val="00116CB6"/>
    <w:rsid w:val="00116D4F"/>
    <w:rsid w:val="00116DAD"/>
    <w:rsid w:val="00116DC2"/>
    <w:rsid w:val="00116E14"/>
    <w:rsid w:val="00116E1B"/>
    <w:rsid w:val="00116E22"/>
    <w:rsid w:val="00116E2C"/>
    <w:rsid w:val="00116E36"/>
    <w:rsid w:val="00116E4A"/>
    <w:rsid w:val="00116F08"/>
    <w:rsid w:val="00116F3A"/>
    <w:rsid w:val="00116F5F"/>
    <w:rsid w:val="00116FC1"/>
    <w:rsid w:val="00117005"/>
    <w:rsid w:val="001170EF"/>
    <w:rsid w:val="001170FB"/>
    <w:rsid w:val="00117165"/>
    <w:rsid w:val="00117175"/>
    <w:rsid w:val="0011717B"/>
    <w:rsid w:val="001171CE"/>
    <w:rsid w:val="00117239"/>
    <w:rsid w:val="00117246"/>
    <w:rsid w:val="001172B0"/>
    <w:rsid w:val="001172CB"/>
    <w:rsid w:val="0011733D"/>
    <w:rsid w:val="00117365"/>
    <w:rsid w:val="0011736C"/>
    <w:rsid w:val="0011739F"/>
    <w:rsid w:val="001173B0"/>
    <w:rsid w:val="00117406"/>
    <w:rsid w:val="00117412"/>
    <w:rsid w:val="0011742B"/>
    <w:rsid w:val="0011749D"/>
    <w:rsid w:val="001174A0"/>
    <w:rsid w:val="001174E6"/>
    <w:rsid w:val="00117521"/>
    <w:rsid w:val="0011753F"/>
    <w:rsid w:val="001175F2"/>
    <w:rsid w:val="0011761B"/>
    <w:rsid w:val="00117638"/>
    <w:rsid w:val="00117663"/>
    <w:rsid w:val="0011766B"/>
    <w:rsid w:val="00117697"/>
    <w:rsid w:val="001176A2"/>
    <w:rsid w:val="001176A5"/>
    <w:rsid w:val="001176E7"/>
    <w:rsid w:val="001176EB"/>
    <w:rsid w:val="0011772F"/>
    <w:rsid w:val="00117780"/>
    <w:rsid w:val="00117794"/>
    <w:rsid w:val="001177B6"/>
    <w:rsid w:val="001177F3"/>
    <w:rsid w:val="00117862"/>
    <w:rsid w:val="00117880"/>
    <w:rsid w:val="001178DE"/>
    <w:rsid w:val="001178FD"/>
    <w:rsid w:val="00117944"/>
    <w:rsid w:val="00117A04"/>
    <w:rsid w:val="00117A4F"/>
    <w:rsid w:val="00117AAA"/>
    <w:rsid w:val="00117B24"/>
    <w:rsid w:val="00117B5C"/>
    <w:rsid w:val="00117B75"/>
    <w:rsid w:val="00117B9D"/>
    <w:rsid w:val="00117BBC"/>
    <w:rsid w:val="00117BC8"/>
    <w:rsid w:val="00117C5E"/>
    <w:rsid w:val="00117C82"/>
    <w:rsid w:val="00117CAE"/>
    <w:rsid w:val="00117D06"/>
    <w:rsid w:val="00117D3C"/>
    <w:rsid w:val="00117D4D"/>
    <w:rsid w:val="00117DB3"/>
    <w:rsid w:val="00117DE5"/>
    <w:rsid w:val="00117E34"/>
    <w:rsid w:val="00117E38"/>
    <w:rsid w:val="00117E61"/>
    <w:rsid w:val="00117E8D"/>
    <w:rsid w:val="00117F0F"/>
    <w:rsid w:val="00117F1A"/>
    <w:rsid w:val="00117F22"/>
    <w:rsid w:val="00117FCC"/>
    <w:rsid w:val="00120011"/>
    <w:rsid w:val="00120017"/>
    <w:rsid w:val="00120050"/>
    <w:rsid w:val="00120089"/>
    <w:rsid w:val="001200EB"/>
    <w:rsid w:val="00120135"/>
    <w:rsid w:val="0012019D"/>
    <w:rsid w:val="001201B8"/>
    <w:rsid w:val="00120223"/>
    <w:rsid w:val="00120258"/>
    <w:rsid w:val="0012026A"/>
    <w:rsid w:val="001202C1"/>
    <w:rsid w:val="00120306"/>
    <w:rsid w:val="001203B5"/>
    <w:rsid w:val="001203C5"/>
    <w:rsid w:val="00120439"/>
    <w:rsid w:val="00120443"/>
    <w:rsid w:val="0012049D"/>
    <w:rsid w:val="001204BE"/>
    <w:rsid w:val="001204C5"/>
    <w:rsid w:val="001204E5"/>
    <w:rsid w:val="001204F7"/>
    <w:rsid w:val="001205F2"/>
    <w:rsid w:val="001205FA"/>
    <w:rsid w:val="001206BA"/>
    <w:rsid w:val="0012075A"/>
    <w:rsid w:val="0012078F"/>
    <w:rsid w:val="001207BC"/>
    <w:rsid w:val="001207CB"/>
    <w:rsid w:val="0012085A"/>
    <w:rsid w:val="00120889"/>
    <w:rsid w:val="00120926"/>
    <w:rsid w:val="00120997"/>
    <w:rsid w:val="001209A7"/>
    <w:rsid w:val="001209C7"/>
    <w:rsid w:val="00120A27"/>
    <w:rsid w:val="00120A35"/>
    <w:rsid w:val="00120A3D"/>
    <w:rsid w:val="00120A62"/>
    <w:rsid w:val="00120B1A"/>
    <w:rsid w:val="00120B2A"/>
    <w:rsid w:val="00120B4A"/>
    <w:rsid w:val="00120BB5"/>
    <w:rsid w:val="00120BF0"/>
    <w:rsid w:val="00120C3F"/>
    <w:rsid w:val="00120C4C"/>
    <w:rsid w:val="00120C93"/>
    <w:rsid w:val="00120D0B"/>
    <w:rsid w:val="00120D4E"/>
    <w:rsid w:val="00120DA3"/>
    <w:rsid w:val="00120DA4"/>
    <w:rsid w:val="00120DE2"/>
    <w:rsid w:val="00120DF6"/>
    <w:rsid w:val="00120E39"/>
    <w:rsid w:val="00120E5C"/>
    <w:rsid w:val="00120E94"/>
    <w:rsid w:val="00120ECE"/>
    <w:rsid w:val="00120EF0"/>
    <w:rsid w:val="00120F19"/>
    <w:rsid w:val="00120F39"/>
    <w:rsid w:val="00120F4B"/>
    <w:rsid w:val="00120F5A"/>
    <w:rsid w:val="0012100A"/>
    <w:rsid w:val="00121021"/>
    <w:rsid w:val="00121099"/>
    <w:rsid w:val="001210AE"/>
    <w:rsid w:val="001210D6"/>
    <w:rsid w:val="001210FF"/>
    <w:rsid w:val="00121128"/>
    <w:rsid w:val="00121135"/>
    <w:rsid w:val="0012120B"/>
    <w:rsid w:val="00121274"/>
    <w:rsid w:val="0012129D"/>
    <w:rsid w:val="001212B1"/>
    <w:rsid w:val="001212C9"/>
    <w:rsid w:val="001212F5"/>
    <w:rsid w:val="001212FA"/>
    <w:rsid w:val="0012147B"/>
    <w:rsid w:val="001214B4"/>
    <w:rsid w:val="00121548"/>
    <w:rsid w:val="001215FB"/>
    <w:rsid w:val="00121607"/>
    <w:rsid w:val="0012162C"/>
    <w:rsid w:val="00121665"/>
    <w:rsid w:val="001216BE"/>
    <w:rsid w:val="001216DD"/>
    <w:rsid w:val="00121708"/>
    <w:rsid w:val="00121721"/>
    <w:rsid w:val="00121728"/>
    <w:rsid w:val="00121733"/>
    <w:rsid w:val="0012174B"/>
    <w:rsid w:val="00121753"/>
    <w:rsid w:val="0012175F"/>
    <w:rsid w:val="0012178C"/>
    <w:rsid w:val="001217C3"/>
    <w:rsid w:val="001217EF"/>
    <w:rsid w:val="00121825"/>
    <w:rsid w:val="00121835"/>
    <w:rsid w:val="00121855"/>
    <w:rsid w:val="0012190E"/>
    <w:rsid w:val="00121974"/>
    <w:rsid w:val="001219C6"/>
    <w:rsid w:val="00121A0C"/>
    <w:rsid w:val="00121A33"/>
    <w:rsid w:val="00121AB0"/>
    <w:rsid w:val="00121AD9"/>
    <w:rsid w:val="00121B2F"/>
    <w:rsid w:val="00121B8A"/>
    <w:rsid w:val="00121BD4"/>
    <w:rsid w:val="00121BE8"/>
    <w:rsid w:val="00121BE9"/>
    <w:rsid w:val="00121C03"/>
    <w:rsid w:val="00121C5C"/>
    <w:rsid w:val="00121CAD"/>
    <w:rsid w:val="00121D5F"/>
    <w:rsid w:val="00121DA3"/>
    <w:rsid w:val="00121DBD"/>
    <w:rsid w:val="00121DCE"/>
    <w:rsid w:val="00121DE1"/>
    <w:rsid w:val="00121E1C"/>
    <w:rsid w:val="00121E34"/>
    <w:rsid w:val="00121EA2"/>
    <w:rsid w:val="00121EFC"/>
    <w:rsid w:val="00121F2F"/>
    <w:rsid w:val="00121F4D"/>
    <w:rsid w:val="00121F56"/>
    <w:rsid w:val="00121F59"/>
    <w:rsid w:val="00121F6A"/>
    <w:rsid w:val="00121F87"/>
    <w:rsid w:val="00121FA7"/>
    <w:rsid w:val="00121FB1"/>
    <w:rsid w:val="00121FF4"/>
    <w:rsid w:val="00121FFB"/>
    <w:rsid w:val="0012200A"/>
    <w:rsid w:val="00122021"/>
    <w:rsid w:val="0012204C"/>
    <w:rsid w:val="00122057"/>
    <w:rsid w:val="00122062"/>
    <w:rsid w:val="00122080"/>
    <w:rsid w:val="0012213D"/>
    <w:rsid w:val="00122145"/>
    <w:rsid w:val="0012214A"/>
    <w:rsid w:val="0012221C"/>
    <w:rsid w:val="00122225"/>
    <w:rsid w:val="0012226F"/>
    <w:rsid w:val="001222BA"/>
    <w:rsid w:val="00122301"/>
    <w:rsid w:val="0012234D"/>
    <w:rsid w:val="00122355"/>
    <w:rsid w:val="001223A1"/>
    <w:rsid w:val="001223B1"/>
    <w:rsid w:val="001223B7"/>
    <w:rsid w:val="001223C3"/>
    <w:rsid w:val="001223CF"/>
    <w:rsid w:val="00122435"/>
    <w:rsid w:val="0012243B"/>
    <w:rsid w:val="00122456"/>
    <w:rsid w:val="00122494"/>
    <w:rsid w:val="001224ED"/>
    <w:rsid w:val="00122548"/>
    <w:rsid w:val="001225F7"/>
    <w:rsid w:val="001226ED"/>
    <w:rsid w:val="0012271C"/>
    <w:rsid w:val="00122770"/>
    <w:rsid w:val="00122794"/>
    <w:rsid w:val="00122796"/>
    <w:rsid w:val="001227AD"/>
    <w:rsid w:val="001227EC"/>
    <w:rsid w:val="0012282B"/>
    <w:rsid w:val="00122844"/>
    <w:rsid w:val="00122847"/>
    <w:rsid w:val="0012286B"/>
    <w:rsid w:val="0012288D"/>
    <w:rsid w:val="00122978"/>
    <w:rsid w:val="0012298C"/>
    <w:rsid w:val="00122AF6"/>
    <w:rsid w:val="00122BB4"/>
    <w:rsid w:val="00122C19"/>
    <w:rsid w:val="00122C20"/>
    <w:rsid w:val="00122C2E"/>
    <w:rsid w:val="00122CF8"/>
    <w:rsid w:val="00122D2C"/>
    <w:rsid w:val="00122D70"/>
    <w:rsid w:val="00122D77"/>
    <w:rsid w:val="00122DAA"/>
    <w:rsid w:val="00122DEC"/>
    <w:rsid w:val="00122E1B"/>
    <w:rsid w:val="00122E27"/>
    <w:rsid w:val="00122E47"/>
    <w:rsid w:val="00122E66"/>
    <w:rsid w:val="00122E97"/>
    <w:rsid w:val="00122EBB"/>
    <w:rsid w:val="00122F39"/>
    <w:rsid w:val="00122FAA"/>
    <w:rsid w:val="00122FCD"/>
    <w:rsid w:val="00123018"/>
    <w:rsid w:val="0012306B"/>
    <w:rsid w:val="00123094"/>
    <w:rsid w:val="0012315D"/>
    <w:rsid w:val="00123160"/>
    <w:rsid w:val="0012317D"/>
    <w:rsid w:val="001231C9"/>
    <w:rsid w:val="001231F9"/>
    <w:rsid w:val="001232B4"/>
    <w:rsid w:val="001232E4"/>
    <w:rsid w:val="001232E8"/>
    <w:rsid w:val="00123307"/>
    <w:rsid w:val="00123348"/>
    <w:rsid w:val="00123351"/>
    <w:rsid w:val="00123371"/>
    <w:rsid w:val="00123397"/>
    <w:rsid w:val="001233E8"/>
    <w:rsid w:val="00123415"/>
    <w:rsid w:val="0012345B"/>
    <w:rsid w:val="00123593"/>
    <w:rsid w:val="001235A5"/>
    <w:rsid w:val="001235EA"/>
    <w:rsid w:val="00123605"/>
    <w:rsid w:val="0012360E"/>
    <w:rsid w:val="0012364B"/>
    <w:rsid w:val="0012369B"/>
    <w:rsid w:val="0012370C"/>
    <w:rsid w:val="001237E9"/>
    <w:rsid w:val="0012381B"/>
    <w:rsid w:val="0012383B"/>
    <w:rsid w:val="0012386D"/>
    <w:rsid w:val="001238B6"/>
    <w:rsid w:val="00123915"/>
    <w:rsid w:val="00123986"/>
    <w:rsid w:val="0012399E"/>
    <w:rsid w:val="001239CE"/>
    <w:rsid w:val="00123A32"/>
    <w:rsid w:val="00123A41"/>
    <w:rsid w:val="00123A61"/>
    <w:rsid w:val="00123AC3"/>
    <w:rsid w:val="00123B17"/>
    <w:rsid w:val="00123B26"/>
    <w:rsid w:val="00123B59"/>
    <w:rsid w:val="00123B73"/>
    <w:rsid w:val="00123BA6"/>
    <w:rsid w:val="00123BCA"/>
    <w:rsid w:val="00123BDD"/>
    <w:rsid w:val="00123BEA"/>
    <w:rsid w:val="00123BEF"/>
    <w:rsid w:val="00123C03"/>
    <w:rsid w:val="00123C2E"/>
    <w:rsid w:val="00123C53"/>
    <w:rsid w:val="00123C82"/>
    <w:rsid w:val="00123C8F"/>
    <w:rsid w:val="00123CA0"/>
    <w:rsid w:val="00123CFA"/>
    <w:rsid w:val="00123D5E"/>
    <w:rsid w:val="00123D95"/>
    <w:rsid w:val="00123DF5"/>
    <w:rsid w:val="00123E0F"/>
    <w:rsid w:val="00123E29"/>
    <w:rsid w:val="00123E62"/>
    <w:rsid w:val="00123EE8"/>
    <w:rsid w:val="00123F87"/>
    <w:rsid w:val="00123FE8"/>
    <w:rsid w:val="00124007"/>
    <w:rsid w:val="00124020"/>
    <w:rsid w:val="00124060"/>
    <w:rsid w:val="00124143"/>
    <w:rsid w:val="00124152"/>
    <w:rsid w:val="00124187"/>
    <w:rsid w:val="00124214"/>
    <w:rsid w:val="00124221"/>
    <w:rsid w:val="00124227"/>
    <w:rsid w:val="0012429B"/>
    <w:rsid w:val="001242E2"/>
    <w:rsid w:val="001242EA"/>
    <w:rsid w:val="00124310"/>
    <w:rsid w:val="0012433A"/>
    <w:rsid w:val="00124372"/>
    <w:rsid w:val="001243C0"/>
    <w:rsid w:val="001243DE"/>
    <w:rsid w:val="00124422"/>
    <w:rsid w:val="00124423"/>
    <w:rsid w:val="00124440"/>
    <w:rsid w:val="001244A9"/>
    <w:rsid w:val="001244DA"/>
    <w:rsid w:val="0012456E"/>
    <w:rsid w:val="00124601"/>
    <w:rsid w:val="0012463E"/>
    <w:rsid w:val="0012468E"/>
    <w:rsid w:val="001246CB"/>
    <w:rsid w:val="001246DB"/>
    <w:rsid w:val="001246E2"/>
    <w:rsid w:val="001246EF"/>
    <w:rsid w:val="00124701"/>
    <w:rsid w:val="00124797"/>
    <w:rsid w:val="001247B3"/>
    <w:rsid w:val="00124810"/>
    <w:rsid w:val="00124878"/>
    <w:rsid w:val="00124888"/>
    <w:rsid w:val="001248C1"/>
    <w:rsid w:val="0012497B"/>
    <w:rsid w:val="00124999"/>
    <w:rsid w:val="00124A47"/>
    <w:rsid w:val="00124A5F"/>
    <w:rsid w:val="00124AAA"/>
    <w:rsid w:val="00124AAC"/>
    <w:rsid w:val="00124AEC"/>
    <w:rsid w:val="00124B03"/>
    <w:rsid w:val="00124B93"/>
    <w:rsid w:val="00124BAB"/>
    <w:rsid w:val="00124BD9"/>
    <w:rsid w:val="00124BFB"/>
    <w:rsid w:val="00124C22"/>
    <w:rsid w:val="00124C3F"/>
    <w:rsid w:val="00124C55"/>
    <w:rsid w:val="00124C6B"/>
    <w:rsid w:val="00124C72"/>
    <w:rsid w:val="00124C78"/>
    <w:rsid w:val="00124D0F"/>
    <w:rsid w:val="00124D22"/>
    <w:rsid w:val="00124D33"/>
    <w:rsid w:val="00124D44"/>
    <w:rsid w:val="00124D5D"/>
    <w:rsid w:val="00124D93"/>
    <w:rsid w:val="00124E16"/>
    <w:rsid w:val="00124E51"/>
    <w:rsid w:val="00124E70"/>
    <w:rsid w:val="00124F23"/>
    <w:rsid w:val="00124F25"/>
    <w:rsid w:val="00124FF8"/>
    <w:rsid w:val="00125046"/>
    <w:rsid w:val="001250B9"/>
    <w:rsid w:val="001250CA"/>
    <w:rsid w:val="0012515D"/>
    <w:rsid w:val="00125172"/>
    <w:rsid w:val="001251EE"/>
    <w:rsid w:val="00125216"/>
    <w:rsid w:val="0012528C"/>
    <w:rsid w:val="001252CA"/>
    <w:rsid w:val="00125331"/>
    <w:rsid w:val="001253B5"/>
    <w:rsid w:val="001253BC"/>
    <w:rsid w:val="0012541C"/>
    <w:rsid w:val="00125450"/>
    <w:rsid w:val="001254B0"/>
    <w:rsid w:val="001254B4"/>
    <w:rsid w:val="00125597"/>
    <w:rsid w:val="001255B5"/>
    <w:rsid w:val="00125602"/>
    <w:rsid w:val="00125618"/>
    <w:rsid w:val="00125662"/>
    <w:rsid w:val="0012567D"/>
    <w:rsid w:val="0012569E"/>
    <w:rsid w:val="001256B8"/>
    <w:rsid w:val="001256CB"/>
    <w:rsid w:val="001256E2"/>
    <w:rsid w:val="00125721"/>
    <w:rsid w:val="001257A3"/>
    <w:rsid w:val="00125895"/>
    <w:rsid w:val="001258F9"/>
    <w:rsid w:val="00125920"/>
    <w:rsid w:val="00125943"/>
    <w:rsid w:val="00125964"/>
    <w:rsid w:val="0012596D"/>
    <w:rsid w:val="001259FC"/>
    <w:rsid w:val="00125A05"/>
    <w:rsid w:val="00125A37"/>
    <w:rsid w:val="00125A3D"/>
    <w:rsid w:val="00125AD9"/>
    <w:rsid w:val="00125B01"/>
    <w:rsid w:val="00125B17"/>
    <w:rsid w:val="00125B20"/>
    <w:rsid w:val="00125B3D"/>
    <w:rsid w:val="00125B89"/>
    <w:rsid w:val="00125BC7"/>
    <w:rsid w:val="00125BFA"/>
    <w:rsid w:val="00125C4D"/>
    <w:rsid w:val="00125C7E"/>
    <w:rsid w:val="00125C96"/>
    <w:rsid w:val="00125D0D"/>
    <w:rsid w:val="00125D0F"/>
    <w:rsid w:val="00125D25"/>
    <w:rsid w:val="00125D70"/>
    <w:rsid w:val="00125D8D"/>
    <w:rsid w:val="00125D9B"/>
    <w:rsid w:val="00125E09"/>
    <w:rsid w:val="00125E33"/>
    <w:rsid w:val="00125E38"/>
    <w:rsid w:val="00125EEF"/>
    <w:rsid w:val="00125F20"/>
    <w:rsid w:val="00125F33"/>
    <w:rsid w:val="00125FB9"/>
    <w:rsid w:val="00125FF7"/>
    <w:rsid w:val="00126003"/>
    <w:rsid w:val="001260AC"/>
    <w:rsid w:val="001260F9"/>
    <w:rsid w:val="0012615C"/>
    <w:rsid w:val="00126218"/>
    <w:rsid w:val="0012621A"/>
    <w:rsid w:val="00126268"/>
    <w:rsid w:val="0012626B"/>
    <w:rsid w:val="00126289"/>
    <w:rsid w:val="0012632F"/>
    <w:rsid w:val="001263BE"/>
    <w:rsid w:val="0012650D"/>
    <w:rsid w:val="0012657A"/>
    <w:rsid w:val="001265BF"/>
    <w:rsid w:val="001265CF"/>
    <w:rsid w:val="001265E0"/>
    <w:rsid w:val="001265E5"/>
    <w:rsid w:val="001265EA"/>
    <w:rsid w:val="001265F7"/>
    <w:rsid w:val="0012660D"/>
    <w:rsid w:val="00126648"/>
    <w:rsid w:val="0012665D"/>
    <w:rsid w:val="0012665E"/>
    <w:rsid w:val="00126667"/>
    <w:rsid w:val="0012666E"/>
    <w:rsid w:val="0012669C"/>
    <w:rsid w:val="001266AC"/>
    <w:rsid w:val="0012672C"/>
    <w:rsid w:val="00126737"/>
    <w:rsid w:val="00126753"/>
    <w:rsid w:val="0012678E"/>
    <w:rsid w:val="001267EF"/>
    <w:rsid w:val="0012698A"/>
    <w:rsid w:val="001269D3"/>
    <w:rsid w:val="001269F8"/>
    <w:rsid w:val="00126A49"/>
    <w:rsid w:val="00126AD9"/>
    <w:rsid w:val="00126B28"/>
    <w:rsid w:val="00126B84"/>
    <w:rsid w:val="00126B9F"/>
    <w:rsid w:val="00126BB6"/>
    <w:rsid w:val="00126C1C"/>
    <w:rsid w:val="00126C25"/>
    <w:rsid w:val="00126CC5"/>
    <w:rsid w:val="00126CCB"/>
    <w:rsid w:val="00126CF0"/>
    <w:rsid w:val="00126CF1"/>
    <w:rsid w:val="00126D73"/>
    <w:rsid w:val="00126D81"/>
    <w:rsid w:val="00126DEA"/>
    <w:rsid w:val="00126E3C"/>
    <w:rsid w:val="00126E92"/>
    <w:rsid w:val="00126E97"/>
    <w:rsid w:val="00126F14"/>
    <w:rsid w:val="00126F25"/>
    <w:rsid w:val="00126F5D"/>
    <w:rsid w:val="00126F79"/>
    <w:rsid w:val="00126FA7"/>
    <w:rsid w:val="00127010"/>
    <w:rsid w:val="00127026"/>
    <w:rsid w:val="001270F8"/>
    <w:rsid w:val="00127158"/>
    <w:rsid w:val="001271E4"/>
    <w:rsid w:val="00127246"/>
    <w:rsid w:val="00127253"/>
    <w:rsid w:val="001272BC"/>
    <w:rsid w:val="001272E5"/>
    <w:rsid w:val="001273AF"/>
    <w:rsid w:val="001273BB"/>
    <w:rsid w:val="001273CC"/>
    <w:rsid w:val="001273D8"/>
    <w:rsid w:val="001273FF"/>
    <w:rsid w:val="001274FE"/>
    <w:rsid w:val="0012750B"/>
    <w:rsid w:val="0012753E"/>
    <w:rsid w:val="00127563"/>
    <w:rsid w:val="00127577"/>
    <w:rsid w:val="00127596"/>
    <w:rsid w:val="001275C8"/>
    <w:rsid w:val="00127649"/>
    <w:rsid w:val="0012765B"/>
    <w:rsid w:val="001276C6"/>
    <w:rsid w:val="001276D0"/>
    <w:rsid w:val="001276E1"/>
    <w:rsid w:val="001276EB"/>
    <w:rsid w:val="001276F6"/>
    <w:rsid w:val="00127729"/>
    <w:rsid w:val="0012772E"/>
    <w:rsid w:val="0012776E"/>
    <w:rsid w:val="00127785"/>
    <w:rsid w:val="001277AF"/>
    <w:rsid w:val="001277E4"/>
    <w:rsid w:val="001278C5"/>
    <w:rsid w:val="001278DA"/>
    <w:rsid w:val="001278E3"/>
    <w:rsid w:val="0012790C"/>
    <w:rsid w:val="00127953"/>
    <w:rsid w:val="00127981"/>
    <w:rsid w:val="00127985"/>
    <w:rsid w:val="001279AF"/>
    <w:rsid w:val="001279C5"/>
    <w:rsid w:val="001279C8"/>
    <w:rsid w:val="001279EA"/>
    <w:rsid w:val="00127AC9"/>
    <w:rsid w:val="00127B18"/>
    <w:rsid w:val="00127B68"/>
    <w:rsid w:val="00127B88"/>
    <w:rsid w:val="00127B9E"/>
    <w:rsid w:val="00127BA6"/>
    <w:rsid w:val="00127BC5"/>
    <w:rsid w:val="00127BD9"/>
    <w:rsid w:val="00127C1B"/>
    <w:rsid w:val="00127C58"/>
    <w:rsid w:val="00127C71"/>
    <w:rsid w:val="00127D1F"/>
    <w:rsid w:val="00127D53"/>
    <w:rsid w:val="00127D8C"/>
    <w:rsid w:val="00127DDB"/>
    <w:rsid w:val="00127E93"/>
    <w:rsid w:val="00127E98"/>
    <w:rsid w:val="00127EB6"/>
    <w:rsid w:val="00127F06"/>
    <w:rsid w:val="00127F25"/>
    <w:rsid w:val="00127F77"/>
    <w:rsid w:val="00127F93"/>
    <w:rsid w:val="00127F95"/>
    <w:rsid w:val="00127FA8"/>
    <w:rsid w:val="00127FDE"/>
    <w:rsid w:val="0013001E"/>
    <w:rsid w:val="00130070"/>
    <w:rsid w:val="001300A1"/>
    <w:rsid w:val="001300A5"/>
    <w:rsid w:val="001300AA"/>
    <w:rsid w:val="001300B1"/>
    <w:rsid w:val="001300D7"/>
    <w:rsid w:val="00130110"/>
    <w:rsid w:val="00130125"/>
    <w:rsid w:val="00130158"/>
    <w:rsid w:val="00130173"/>
    <w:rsid w:val="00130188"/>
    <w:rsid w:val="001301A8"/>
    <w:rsid w:val="001301D5"/>
    <w:rsid w:val="001301FD"/>
    <w:rsid w:val="0013023B"/>
    <w:rsid w:val="00130244"/>
    <w:rsid w:val="00130256"/>
    <w:rsid w:val="00130260"/>
    <w:rsid w:val="00130288"/>
    <w:rsid w:val="00130291"/>
    <w:rsid w:val="001302D9"/>
    <w:rsid w:val="0013030E"/>
    <w:rsid w:val="0013037F"/>
    <w:rsid w:val="00130381"/>
    <w:rsid w:val="00130390"/>
    <w:rsid w:val="001303A7"/>
    <w:rsid w:val="001303B8"/>
    <w:rsid w:val="001303E2"/>
    <w:rsid w:val="00130424"/>
    <w:rsid w:val="00130459"/>
    <w:rsid w:val="00130460"/>
    <w:rsid w:val="00130538"/>
    <w:rsid w:val="00130555"/>
    <w:rsid w:val="00130575"/>
    <w:rsid w:val="001305A1"/>
    <w:rsid w:val="001305C8"/>
    <w:rsid w:val="001305D7"/>
    <w:rsid w:val="00130637"/>
    <w:rsid w:val="0013066E"/>
    <w:rsid w:val="00130710"/>
    <w:rsid w:val="001307C7"/>
    <w:rsid w:val="001307DE"/>
    <w:rsid w:val="00130811"/>
    <w:rsid w:val="00130824"/>
    <w:rsid w:val="00130827"/>
    <w:rsid w:val="00130828"/>
    <w:rsid w:val="00130871"/>
    <w:rsid w:val="001308C4"/>
    <w:rsid w:val="001308CC"/>
    <w:rsid w:val="001308D7"/>
    <w:rsid w:val="001308D9"/>
    <w:rsid w:val="00130915"/>
    <w:rsid w:val="0013091B"/>
    <w:rsid w:val="00130922"/>
    <w:rsid w:val="00130925"/>
    <w:rsid w:val="00130936"/>
    <w:rsid w:val="0013097C"/>
    <w:rsid w:val="001309B5"/>
    <w:rsid w:val="001309BF"/>
    <w:rsid w:val="00130A82"/>
    <w:rsid w:val="00130A8D"/>
    <w:rsid w:val="00130AC5"/>
    <w:rsid w:val="00130AC6"/>
    <w:rsid w:val="00130AE7"/>
    <w:rsid w:val="00130B0D"/>
    <w:rsid w:val="00130B19"/>
    <w:rsid w:val="00130B3C"/>
    <w:rsid w:val="00130B70"/>
    <w:rsid w:val="00130CDF"/>
    <w:rsid w:val="00130D31"/>
    <w:rsid w:val="00130DDF"/>
    <w:rsid w:val="00130DE9"/>
    <w:rsid w:val="00130E77"/>
    <w:rsid w:val="00130F43"/>
    <w:rsid w:val="00130F6F"/>
    <w:rsid w:val="00130FB0"/>
    <w:rsid w:val="00131018"/>
    <w:rsid w:val="0013101B"/>
    <w:rsid w:val="00131040"/>
    <w:rsid w:val="001310BB"/>
    <w:rsid w:val="001310DD"/>
    <w:rsid w:val="0013110E"/>
    <w:rsid w:val="00131166"/>
    <w:rsid w:val="001311E4"/>
    <w:rsid w:val="001311FB"/>
    <w:rsid w:val="0013121D"/>
    <w:rsid w:val="0013123F"/>
    <w:rsid w:val="0013124B"/>
    <w:rsid w:val="0013125F"/>
    <w:rsid w:val="0013128E"/>
    <w:rsid w:val="001312F8"/>
    <w:rsid w:val="00131312"/>
    <w:rsid w:val="00131322"/>
    <w:rsid w:val="00131333"/>
    <w:rsid w:val="00131339"/>
    <w:rsid w:val="0013133B"/>
    <w:rsid w:val="00131385"/>
    <w:rsid w:val="001313BF"/>
    <w:rsid w:val="001313CE"/>
    <w:rsid w:val="001313D1"/>
    <w:rsid w:val="001313DC"/>
    <w:rsid w:val="00131478"/>
    <w:rsid w:val="001314A8"/>
    <w:rsid w:val="001314BC"/>
    <w:rsid w:val="001314CB"/>
    <w:rsid w:val="00131501"/>
    <w:rsid w:val="0013152F"/>
    <w:rsid w:val="00131545"/>
    <w:rsid w:val="0013159F"/>
    <w:rsid w:val="001315BD"/>
    <w:rsid w:val="001315DE"/>
    <w:rsid w:val="001315F1"/>
    <w:rsid w:val="00131728"/>
    <w:rsid w:val="00131740"/>
    <w:rsid w:val="001317B2"/>
    <w:rsid w:val="001317CA"/>
    <w:rsid w:val="001317F5"/>
    <w:rsid w:val="0013180B"/>
    <w:rsid w:val="0013180C"/>
    <w:rsid w:val="00131881"/>
    <w:rsid w:val="001318BB"/>
    <w:rsid w:val="00131922"/>
    <w:rsid w:val="0013193F"/>
    <w:rsid w:val="00131993"/>
    <w:rsid w:val="001319BF"/>
    <w:rsid w:val="001319F2"/>
    <w:rsid w:val="00131A45"/>
    <w:rsid w:val="00131A48"/>
    <w:rsid w:val="00131A88"/>
    <w:rsid w:val="00131B90"/>
    <w:rsid w:val="00131B9E"/>
    <w:rsid w:val="00131C85"/>
    <w:rsid w:val="00131CB0"/>
    <w:rsid w:val="00131CB1"/>
    <w:rsid w:val="00131CFD"/>
    <w:rsid w:val="00131D01"/>
    <w:rsid w:val="00131D13"/>
    <w:rsid w:val="00131D3B"/>
    <w:rsid w:val="00131D50"/>
    <w:rsid w:val="00131D9D"/>
    <w:rsid w:val="00131DA1"/>
    <w:rsid w:val="00131DC8"/>
    <w:rsid w:val="00131EB7"/>
    <w:rsid w:val="00131ECF"/>
    <w:rsid w:val="00131EEB"/>
    <w:rsid w:val="00131EF0"/>
    <w:rsid w:val="00131F01"/>
    <w:rsid w:val="00131F19"/>
    <w:rsid w:val="00131F31"/>
    <w:rsid w:val="00131F5A"/>
    <w:rsid w:val="00131F5D"/>
    <w:rsid w:val="00131F9F"/>
    <w:rsid w:val="00131FCB"/>
    <w:rsid w:val="00131FE6"/>
    <w:rsid w:val="00131FFB"/>
    <w:rsid w:val="0013202D"/>
    <w:rsid w:val="00132052"/>
    <w:rsid w:val="00132055"/>
    <w:rsid w:val="001320C0"/>
    <w:rsid w:val="001320DA"/>
    <w:rsid w:val="001320F7"/>
    <w:rsid w:val="0013215A"/>
    <w:rsid w:val="00132177"/>
    <w:rsid w:val="001321A6"/>
    <w:rsid w:val="0013222D"/>
    <w:rsid w:val="00132271"/>
    <w:rsid w:val="001323BC"/>
    <w:rsid w:val="001323C7"/>
    <w:rsid w:val="00132425"/>
    <w:rsid w:val="00132453"/>
    <w:rsid w:val="00132462"/>
    <w:rsid w:val="001325CE"/>
    <w:rsid w:val="001325DB"/>
    <w:rsid w:val="001325E1"/>
    <w:rsid w:val="00132694"/>
    <w:rsid w:val="001326A6"/>
    <w:rsid w:val="001326BD"/>
    <w:rsid w:val="00132709"/>
    <w:rsid w:val="0013273D"/>
    <w:rsid w:val="00132743"/>
    <w:rsid w:val="00132773"/>
    <w:rsid w:val="001327A0"/>
    <w:rsid w:val="001327E0"/>
    <w:rsid w:val="0013280B"/>
    <w:rsid w:val="0013283D"/>
    <w:rsid w:val="00132882"/>
    <w:rsid w:val="00132884"/>
    <w:rsid w:val="0013291D"/>
    <w:rsid w:val="0013296F"/>
    <w:rsid w:val="001329C2"/>
    <w:rsid w:val="001329F6"/>
    <w:rsid w:val="00132AFC"/>
    <w:rsid w:val="00132B3C"/>
    <w:rsid w:val="00132B6C"/>
    <w:rsid w:val="00132BA8"/>
    <w:rsid w:val="00132BBD"/>
    <w:rsid w:val="00132BDE"/>
    <w:rsid w:val="00132C52"/>
    <w:rsid w:val="00132C5C"/>
    <w:rsid w:val="00132C8A"/>
    <w:rsid w:val="00132D00"/>
    <w:rsid w:val="00132D24"/>
    <w:rsid w:val="00132D7C"/>
    <w:rsid w:val="00132DE8"/>
    <w:rsid w:val="00132DFA"/>
    <w:rsid w:val="00132ED2"/>
    <w:rsid w:val="00132F0F"/>
    <w:rsid w:val="00132F70"/>
    <w:rsid w:val="00132FB4"/>
    <w:rsid w:val="00132FBC"/>
    <w:rsid w:val="00132FE1"/>
    <w:rsid w:val="00132FEC"/>
    <w:rsid w:val="00133003"/>
    <w:rsid w:val="00133015"/>
    <w:rsid w:val="0013301C"/>
    <w:rsid w:val="00133027"/>
    <w:rsid w:val="00133040"/>
    <w:rsid w:val="0013304F"/>
    <w:rsid w:val="00133082"/>
    <w:rsid w:val="001330F2"/>
    <w:rsid w:val="00133110"/>
    <w:rsid w:val="0013320D"/>
    <w:rsid w:val="00133235"/>
    <w:rsid w:val="0013329F"/>
    <w:rsid w:val="001332E8"/>
    <w:rsid w:val="00133334"/>
    <w:rsid w:val="0013336E"/>
    <w:rsid w:val="001333D0"/>
    <w:rsid w:val="00133470"/>
    <w:rsid w:val="00133471"/>
    <w:rsid w:val="001334AE"/>
    <w:rsid w:val="001334D4"/>
    <w:rsid w:val="001334E6"/>
    <w:rsid w:val="001334F0"/>
    <w:rsid w:val="00133574"/>
    <w:rsid w:val="00133692"/>
    <w:rsid w:val="001336C9"/>
    <w:rsid w:val="00133732"/>
    <w:rsid w:val="0013374D"/>
    <w:rsid w:val="001337CF"/>
    <w:rsid w:val="001337D7"/>
    <w:rsid w:val="001337E1"/>
    <w:rsid w:val="001337F0"/>
    <w:rsid w:val="00133874"/>
    <w:rsid w:val="0013387B"/>
    <w:rsid w:val="001338A5"/>
    <w:rsid w:val="001338EC"/>
    <w:rsid w:val="00133A7F"/>
    <w:rsid w:val="00133B4A"/>
    <w:rsid w:val="00133C61"/>
    <w:rsid w:val="00133C76"/>
    <w:rsid w:val="00133CE0"/>
    <w:rsid w:val="00133D0E"/>
    <w:rsid w:val="00133D14"/>
    <w:rsid w:val="00133DEB"/>
    <w:rsid w:val="00133E01"/>
    <w:rsid w:val="00133ED9"/>
    <w:rsid w:val="00133F07"/>
    <w:rsid w:val="00133F50"/>
    <w:rsid w:val="00133F51"/>
    <w:rsid w:val="00133F7D"/>
    <w:rsid w:val="00133F88"/>
    <w:rsid w:val="00133FB9"/>
    <w:rsid w:val="00134012"/>
    <w:rsid w:val="00134051"/>
    <w:rsid w:val="001340D9"/>
    <w:rsid w:val="0013413F"/>
    <w:rsid w:val="00134174"/>
    <w:rsid w:val="00134219"/>
    <w:rsid w:val="0013423C"/>
    <w:rsid w:val="0013423D"/>
    <w:rsid w:val="0013427A"/>
    <w:rsid w:val="00134283"/>
    <w:rsid w:val="00134290"/>
    <w:rsid w:val="0013429B"/>
    <w:rsid w:val="001342BE"/>
    <w:rsid w:val="001342F9"/>
    <w:rsid w:val="00134318"/>
    <w:rsid w:val="0013432B"/>
    <w:rsid w:val="00134353"/>
    <w:rsid w:val="001343AF"/>
    <w:rsid w:val="001343F8"/>
    <w:rsid w:val="0013440A"/>
    <w:rsid w:val="00134513"/>
    <w:rsid w:val="001345C7"/>
    <w:rsid w:val="001345D4"/>
    <w:rsid w:val="0013468A"/>
    <w:rsid w:val="001347E9"/>
    <w:rsid w:val="0013484E"/>
    <w:rsid w:val="0013484F"/>
    <w:rsid w:val="00134870"/>
    <w:rsid w:val="00134888"/>
    <w:rsid w:val="0013488A"/>
    <w:rsid w:val="0013488C"/>
    <w:rsid w:val="001348B8"/>
    <w:rsid w:val="0013491A"/>
    <w:rsid w:val="0013495B"/>
    <w:rsid w:val="00134966"/>
    <w:rsid w:val="0013496D"/>
    <w:rsid w:val="001349E4"/>
    <w:rsid w:val="001349F5"/>
    <w:rsid w:val="00134A05"/>
    <w:rsid w:val="00134A22"/>
    <w:rsid w:val="00134A9C"/>
    <w:rsid w:val="00134ADE"/>
    <w:rsid w:val="00134B19"/>
    <w:rsid w:val="00134B71"/>
    <w:rsid w:val="00134B75"/>
    <w:rsid w:val="00134BA9"/>
    <w:rsid w:val="00134BF2"/>
    <w:rsid w:val="00134C1D"/>
    <w:rsid w:val="00134C47"/>
    <w:rsid w:val="00134C4A"/>
    <w:rsid w:val="00134C88"/>
    <w:rsid w:val="00134C95"/>
    <w:rsid w:val="00134D0E"/>
    <w:rsid w:val="00134D25"/>
    <w:rsid w:val="00134D2E"/>
    <w:rsid w:val="00134D74"/>
    <w:rsid w:val="00134DC0"/>
    <w:rsid w:val="00134DE5"/>
    <w:rsid w:val="00134E0D"/>
    <w:rsid w:val="00134E44"/>
    <w:rsid w:val="00134ECD"/>
    <w:rsid w:val="00134ECE"/>
    <w:rsid w:val="00134EFD"/>
    <w:rsid w:val="00134F61"/>
    <w:rsid w:val="00134FC9"/>
    <w:rsid w:val="00134FCD"/>
    <w:rsid w:val="00135073"/>
    <w:rsid w:val="001350CF"/>
    <w:rsid w:val="00135112"/>
    <w:rsid w:val="0013517B"/>
    <w:rsid w:val="00135232"/>
    <w:rsid w:val="00135235"/>
    <w:rsid w:val="00135296"/>
    <w:rsid w:val="001352BC"/>
    <w:rsid w:val="0013538D"/>
    <w:rsid w:val="001353C6"/>
    <w:rsid w:val="001353D2"/>
    <w:rsid w:val="00135423"/>
    <w:rsid w:val="00135435"/>
    <w:rsid w:val="0013555E"/>
    <w:rsid w:val="001355B7"/>
    <w:rsid w:val="001355F4"/>
    <w:rsid w:val="0013566B"/>
    <w:rsid w:val="00135670"/>
    <w:rsid w:val="00135689"/>
    <w:rsid w:val="001356A8"/>
    <w:rsid w:val="00135704"/>
    <w:rsid w:val="0013574C"/>
    <w:rsid w:val="0013574F"/>
    <w:rsid w:val="0013577D"/>
    <w:rsid w:val="001357CD"/>
    <w:rsid w:val="001357E5"/>
    <w:rsid w:val="00135852"/>
    <w:rsid w:val="0013586D"/>
    <w:rsid w:val="001358B0"/>
    <w:rsid w:val="001358C5"/>
    <w:rsid w:val="00135913"/>
    <w:rsid w:val="0013596D"/>
    <w:rsid w:val="00135981"/>
    <w:rsid w:val="00135998"/>
    <w:rsid w:val="001359C6"/>
    <w:rsid w:val="00135A2E"/>
    <w:rsid w:val="00135A5A"/>
    <w:rsid w:val="00135A69"/>
    <w:rsid w:val="00135ABC"/>
    <w:rsid w:val="00135ACD"/>
    <w:rsid w:val="00135AEF"/>
    <w:rsid w:val="00135B80"/>
    <w:rsid w:val="00135B97"/>
    <w:rsid w:val="00135B9F"/>
    <w:rsid w:val="00135BD1"/>
    <w:rsid w:val="00135BDA"/>
    <w:rsid w:val="00135BF6"/>
    <w:rsid w:val="00135BF7"/>
    <w:rsid w:val="00135CBB"/>
    <w:rsid w:val="00135CCB"/>
    <w:rsid w:val="00135CDB"/>
    <w:rsid w:val="00135D20"/>
    <w:rsid w:val="00135D80"/>
    <w:rsid w:val="00135DE9"/>
    <w:rsid w:val="00135E04"/>
    <w:rsid w:val="00135E65"/>
    <w:rsid w:val="00135E81"/>
    <w:rsid w:val="00135EDD"/>
    <w:rsid w:val="00135FAB"/>
    <w:rsid w:val="00135FD1"/>
    <w:rsid w:val="00135FED"/>
    <w:rsid w:val="00136008"/>
    <w:rsid w:val="00136021"/>
    <w:rsid w:val="00136035"/>
    <w:rsid w:val="00136062"/>
    <w:rsid w:val="0013607E"/>
    <w:rsid w:val="001360F9"/>
    <w:rsid w:val="00136118"/>
    <w:rsid w:val="001361C6"/>
    <w:rsid w:val="001361DB"/>
    <w:rsid w:val="001361DF"/>
    <w:rsid w:val="00136206"/>
    <w:rsid w:val="00136271"/>
    <w:rsid w:val="0013628E"/>
    <w:rsid w:val="001362E8"/>
    <w:rsid w:val="0013631F"/>
    <w:rsid w:val="0013640E"/>
    <w:rsid w:val="0013643D"/>
    <w:rsid w:val="0013646A"/>
    <w:rsid w:val="001364B8"/>
    <w:rsid w:val="00136589"/>
    <w:rsid w:val="001365BB"/>
    <w:rsid w:val="001365CA"/>
    <w:rsid w:val="001365FE"/>
    <w:rsid w:val="0013660E"/>
    <w:rsid w:val="00136635"/>
    <w:rsid w:val="0013667D"/>
    <w:rsid w:val="001366B3"/>
    <w:rsid w:val="001366F0"/>
    <w:rsid w:val="001366FF"/>
    <w:rsid w:val="00136760"/>
    <w:rsid w:val="001367CD"/>
    <w:rsid w:val="001368CE"/>
    <w:rsid w:val="001368D9"/>
    <w:rsid w:val="00136908"/>
    <w:rsid w:val="0013691F"/>
    <w:rsid w:val="0013692D"/>
    <w:rsid w:val="00136931"/>
    <w:rsid w:val="0013693E"/>
    <w:rsid w:val="0013697F"/>
    <w:rsid w:val="0013699D"/>
    <w:rsid w:val="001369E4"/>
    <w:rsid w:val="001369EF"/>
    <w:rsid w:val="00136A46"/>
    <w:rsid w:val="00136AAB"/>
    <w:rsid w:val="00136AC7"/>
    <w:rsid w:val="00136BC4"/>
    <w:rsid w:val="00136BE8"/>
    <w:rsid w:val="00136C06"/>
    <w:rsid w:val="00136D2A"/>
    <w:rsid w:val="00136D34"/>
    <w:rsid w:val="00136D40"/>
    <w:rsid w:val="00136D7D"/>
    <w:rsid w:val="00136DA0"/>
    <w:rsid w:val="00136E37"/>
    <w:rsid w:val="00136E65"/>
    <w:rsid w:val="00136EF4"/>
    <w:rsid w:val="00136F21"/>
    <w:rsid w:val="00136F77"/>
    <w:rsid w:val="00136FA3"/>
    <w:rsid w:val="00136FD1"/>
    <w:rsid w:val="00136FD5"/>
    <w:rsid w:val="00136FED"/>
    <w:rsid w:val="00136FF8"/>
    <w:rsid w:val="00136FFF"/>
    <w:rsid w:val="0013703D"/>
    <w:rsid w:val="00137046"/>
    <w:rsid w:val="00137049"/>
    <w:rsid w:val="00137081"/>
    <w:rsid w:val="001370CC"/>
    <w:rsid w:val="001370FE"/>
    <w:rsid w:val="0013711F"/>
    <w:rsid w:val="00137121"/>
    <w:rsid w:val="00137151"/>
    <w:rsid w:val="00137173"/>
    <w:rsid w:val="001371B0"/>
    <w:rsid w:val="001371D4"/>
    <w:rsid w:val="00137226"/>
    <w:rsid w:val="00137279"/>
    <w:rsid w:val="001372BE"/>
    <w:rsid w:val="001372EE"/>
    <w:rsid w:val="00137306"/>
    <w:rsid w:val="00137354"/>
    <w:rsid w:val="0013735E"/>
    <w:rsid w:val="00137371"/>
    <w:rsid w:val="00137389"/>
    <w:rsid w:val="001373FE"/>
    <w:rsid w:val="00137442"/>
    <w:rsid w:val="00137464"/>
    <w:rsid w:val="00137490"/>
    <w:rsid w:val="0013749B"/>
    <w:rsid w:val="0013749F"/>
    <w:rsid w:val="001374C3"/>
    <w:rsid w:val="00137507"/>
    <w:rsid w:val="00137535"/>
    <w:rsid w:val="00137574"/>
    <w:rsid w:val="001375AA"/>
    <w:rsid w:val="001375B8"/>
    <w:rsid w:val="001375F2"/>
    <w:rsid w:val="00137641"/>
    <w:rsid w:val="00137667"/>
    <w:rsid w:val="00137683"/>
    <w:rsid w:val="00137709"/>
    <w:rsid w:val="00137713"/>
    <w:rsid w:val="00137759"/>
    <w:rsid w:val="0013776F"/>
    <w:rsid w:val="001377DD"/>
    <w:rsid w:val="0013784A"/>
    <w:rsid w:val="0013786C"/>
    <w:rsid w:val="001378B7"/>
    <w:rsid w:val="001378EB"/>
    <w:rsid w:val="001378F9"/>
    <w:rsid w:val="00137949"/>
    <w:rsid w:val="001379F7"/>
    <w:rsid w:val="00137B1C"/>
    <w:rsid w:val="00137B4A"/>
    <w:rsid w:val="00137B87"/>
    <w:rsid w:val="00137B9E"/>
    <w:rsid w:val="00137BB9"/>
    <w:rsid w:val="00137BCA"/>
    <w:rsid w:val="00137BD9"/>
    <w:rsid w:val="00137BEE"/>
    <w:rsid w:val="00137C13"/>
    <w:rsid w:val="00137C67"/>
    <w:rsid w:val="00137C88"/>
    <w:rsid w:val="00137CC0"/>
    <w:rsid w:val="00137CF1"/>
    <w:rsid w:val="00137CF3"/>
    <w:rsid w:val="00137D6A"/>
    <w:rsid w:val="00137D74"/>
    <w:rsid w:val="00137E06"/>
    <w:rsid w:val="00137E9F"/>
    <w:rsid w:val="00137ED1"/>
    <w:rsid w:val="00137EE4"/>
    <w:rsid w:val="00137F29"/>
    <w:rsid w:val="00137F7B"/>
    <w:rsid w:val="00137FC7"/>
    <w:rsid w:val="00137FDB"/>
    <w:rsid w:val="00137FE4"/>
    <w:rsid w:val="00137FEE"/>
    <w:rsid w:val="0014007A"/>
    <w:rsid w:val="0014009B"/>
    <w:rsid w:val="001400BF"/>
    <w:rsid w:val="001400C2"/>
    <w:rsid w:val="00140154"/>
    <w:rsid w:val="00140185"/>
    <w:rsid w:val="001401C6"/>
    <w:rsid w:val="0014021A"/>
    <w:rsid w:val="0014022A"/>
    <w:rsid w:val="00140354"/>
    <w:rsid w:val="001403BD"/>
    <w:rsid w:val="001403C3"/>
    <w:rsid w:val="001403D9"/>
    <w:rsid w:val="0014040B"/>
    <w:rsid w:val="00140459"/>
    <w:rsid w:val="001404C2"/>
    <w:rsid w:val="00140507"/>
    <w:rsid w:val="001405A1"/>
    <w:rsid w:val="001405F7"/>
    <w:rsid w:val="00140635"/>
    <w:rsid w:val="00140665"/>
    <w:rsid w:val="0014067C"/>
    <w:rsid w:val="0014068F"/>
    <w:rsid w:val="001406C7"/>
    <w:rsid w:val="0014070F"/>
    <w:rsid w:val="0014073B"/>
    <w:rsid w:val="00140758"/>
    <w:rsid w:val="001407C4"/>
    <w:rsid w:val="0014082C"/>
    <w:rsid w:val="00140850"/>
    <w:rsid w:val="00140885"/>
    <w:rsid w:val="00140889"/>
    <w:rsid w:val="001408B9"/>
    <w:rsid w:val="001408FD"/>
    <w:rsid w:val="00140923"/>
    <w:rsid w:val="00140983"/>
    <w:rsid w:val="001409A5"/>
    <w:rsid w:val="001409CF"/>
    <w:rsid w:val="00140B04"/>
    <w:rsid w:val="00140B40"/>
    <w:rsid w:val="00140BD2"/>
    <w:rsid w:val="00140C04"/>
    <w:rsid w:val="00140C3C"/>
    <w:rsid w:val="00140C3E"/>
    <w:rsid w:val="00140C7C"/>
    <w:rsid w:val="00140CBC"/>
    <w:rsid w:val="00140CDA"/>
    <w:rsid w:val="00140CED"/>
    <w:rsid w:val="00140D7C"/>
    <w:rsid w:val="00140D7D"/>
    <w:rsid w:val="00140D7F"/>
    <w:rsid w:val="00140D80"/>
    <w:rsid w:val="00140E58"/>
    <w:rsid w:val="00140ED5"/>
    <w:rsid w:val="00140EFF"/>
    <w:rsid w:val="00140F17"/>
    <w:rsid w:val="00140F3A"/>
    <w:rsid w:val="00140FDB"/>
    <w:rsid w:val="00140FE7"/>
    <w:rsid w:val="00141042"/>
    <w:rsid w:val="0014106F"/>
    <w:rsid w:val="00141090"/>
    <w:rsid w:val="001410C5"/>
    <w:rsid w:val="0014113A"/>
    <w:rsid w:val="00141178"/>
    <w:rsid w:val="001411A5"/>
    <w:rsid w:val="001411D5"/>
    <w:rsid w:val="00141212"/>
    <w:rsid w:val="00141216"/>
    <w:rsid w:val="00141247"/>
    <w:rsid w:val="0014125C"/>
    <w:rsid w:val="0014128E"/>
    <w:rsid w:val="001412C1"/>
    <w:rsid w:val="001412CE"/>
    <w:rsid w:val="00141320"/>
    <w:rsid w:val="00141350"/>
    <w:rsid w:val="00141353"/>
    <w:rsid w:val="00141392"/>
    <w:rsid w:val="001413CF"/>
    <w:rsid w:val="0014140B"/>
    <w:rsid w:val="00141429"/>
    <w:rsid w:val="0014143A"/>
    <w:rsid w:val="001414A8"/>
    <w:rsid w:val="0014157F"/>
    <w:rsid w:val="001415A2"/>
    <w:rsid w:val="001415AE"/>
    <w:rsid w:val="001415C4"/>
    <w:rsid w:val="001415FF"/>
    <w:rsid w:val="00141622"/>
    <w:rsid w:val="00141676"/>
    <w:rsid w:val="001416A7"/>
    <w:rsid w:val="001416F0"/>
    <w:rsid w:val="0014172C"/>
    <w:rsid w:val="00141748"/>
    <w:rsid w:val="00141756"/>
    <w:rsid w:val="00141772"/>
    <w:rsid w:val="00141773"/>
    <w:rsid w:val="001417BA"/>
    <w:rsid w:val="001417BD"/>
    <w:rsid w:val="001417C8"/>
    <w:rsid w:val="001417C9"/>
    <w:rsid w:val="00141817"/>
    <w:rsid w:val="00141827"/>
    <w:rsid w:val="0014183C"/>
    <w:rsid w:val="00141843"/>
    <w:rsid w:val="0014184C"/>
    <w:rsid w:val="0014186B"/>
    <w:rsid w:val="00141898"/>
    <w:rsid w:val="0014193D"/>
    <w:rsid w:val="00141973"/>
    <w:rsid w:val="00141988"/>
    <w:rsid w:val="00141995"/>
    <w:rsid w:val="001419A4"/>
    <w:rsid w:val="00141A2E"/>
    <w:rsid w:val="00141A7C"/>
    <w:rsid w:val="00141AB7"/>
    <w:rsid w:val="00141AC8"/>
    <w:rsid w:val="00141B02"/>
    <w:rsid w:val="00141B14"/>
    <w:rsid w:val="00141B50"/>
    <w:rsid w:val="00141BAB"/>
    <w:rsid w:val="00141BB6"/>
    <w:rsid w:val="00141C07"/>
    <w:rsid w:val="00141C4C"/>
    <w:rsid w:val="00141C69"/>
    <w:rsid w:val="00141C98"/>
    <w:rsid w:val="00141CF4"/>
    <w:rsid w:val="00141CF5"/>
    <w:rsid w:val="00141D18"/>
    <w:rsid w:val="00141D35"/>
    <w:rsid w:val="00141D5C"/>
    <w:rsid w:val="00141D7E"/>
    <w:rsid w:val="00141DA6"/>
    <w:rsid w:val="00141DCB"/>
    <w:rsid w:val="00141E10"/>
    <w:rsid w:val="00141E6E"/>
    <w:rsid w:val="00141F31"/>
    <w:rsid w:val="00141F3F"/>
    <w:rsid w:val="00141F86"/>
    <w:rsid w:val="00141FC9"/>
    <w:rsid w:val="00142011"/>
    <w:rsid w:val="00142076"/>
    <w:rsid w:val="00142096"/>
    <w:rsid w:val="00142118"/>
    <w:rsid w:val="0014212C"/>
    <w:rsid w:val="00142154"/>
    <w:rsid w:val="0014217D"/>
    <w:rsid w:val="001421B8"/>
    <w:rsid w:val="001421E1"/>
    <w:rsid w:val="00142270"/>
    <w:rsid w:val="0014227F"/>
    <w:rsid w:val="001422FE"/>
    <w:rsid w:val="00142339"/>
    <w:rsid w:val="001423D1"/>
    <w:rsid w:val="001423FA"/>
    <w:rsid w:val="00142469"/>
    <w:rsid w:val="001424C0"/>
    <w:rsid w:val="00142541"/>
    <w:rsid w:val="00142568"/>
    <w:rsid w:val="00142570"/>
    <w:rsid w:val="00142575"/>
    <w:rsid w:val="0014257C"/>
    <w:rsid w:val="0014259B"/>
    <w:rsid w:val="0014259C"/>
    <w:rsid w:val="001425BB"/>
    <w:rsid w:val="00142668"/>
    <w:rsid w:val="001426B0"/>
    <w:rsid w:val="001426D3"/>
    <w:rsid w:val="001426F2"/>
    <w:rsid w:val="00142703"/>
    <w:rsid w:val="00142720"/>
    <w:rsid w:val="0014272D"/>
    <w:rsid w:val="0014277C"/>
    <w:rsid w:val="001427D0"/>
    <w:rsid w:val="0014282B"/>
    <w:rsid w:val="00142843"/>
    <w:rsid w:val="0014286A"/>
    <w:rsid w:val="00142880"/>
    <w:rsid w:val="00142891"/>
    <w:rsid w:val="0014294D"/>
    <w:rsid w:val="00142970"/>
    <w:rsid w:val="001429A1"/>
    <w:rsid w:val="001429AC"/>
    <w:rsid w:val="001429F8"/>
    <w:rsid w:val="00142A4F"/>
    <w:rsid w:val="00142A86"/>
    <w:rsid w:val="00142A92"/>
    <w:rsid w:val="00142A9C"/>
    <w:rsid w:val="00142AC4"/>
    <w:rsid w:val="00142ADC"/>
    <w:rsid w:val="00142AFA"/>
    <w:rsid w:val="00142B1D"/>
    <w:rsid w:val="00142B84"/>
    <w:rsid w:val="00142BE2"/>
    <w:rsid w:val="00142C3B"/>
    <w:rsid w:val="00142C4B"/>
    <w:rsid w:val="00142C57"/>
    <w:rsid w:val="00142C87"/>
    <w:rsid w:val="00142C97"/>
    <w:rsid w:val="00142CB7"/>
    <w:rsid w:val="00142D23"/>
    <w:rsid w:val="00142D3F"/>
    <w:rsid w:val="00142D9F"/>
    <w:rsid w:val="00142E4B"/>
    <w:rsid w:val="00142E8F"/>
    <w:rsid w:val="00142F7B"/>
    <w:rsid w:val="001430D8"/>
    <w:rsid w:val="001430FE"/>
    <w:rsid w:val="00143135"/>
    <w:rsid w:val="00143137"/>
    <w:rsid w:val="0014314A"/>
    <w:rsid w:val="00143259"/>
    <w:rsid w:val="0014328E"/>
    <w:rsid w:val="00143290"/>
    <w:rsid w:val="00143294"/>
    <w:rsid w:val="001432A6"/>
    <w:rsid w:val="00143300"/>
    <w:rsid w:val="00143307"/>
    <w:rsid w:val="00143363"/>
    <w:rsid w:val="0014337C"/>
    <w:rsid w:val="001433A4"/>
    <w:rsid w:val="001434B6"/>
    <w:rsid w:val="001434B9"/>
    <w:rsid w:val="001434D7"/>
    <w:rsid w:val="00143563"/>
    <w:rsid w:val="001435B1"/>
    <w:rsid w:val="00143602"/>
    <w:rsid w:val="0014361F"/>
    <w:rsid w:val="00143664"/>
    <w:rsid w:val="00143695"/>
    <w:rsid w:val="001436A4"/>
    <w:rsid w:val="001436D7"/>
    <w:rsid w:val="0014370B"/>
    <w:rsid w:val="00143739"/>
    <w:rsid w:val="001437E4"/>
    <w:rsid w:val="001437F9"/>
    <w:rsid w:val="00143808"/>
    <w:rsid w:val="00143837"/>
    <w:rsid w:val="0014389C"/>
    <w:rsid w:val="001438A5"/>
    <w:rsid w:val="001438C0"/>
    <w:rsid w:val="001438C3"/>
    <w:rsid w:val="001438D8"/>
    <w:rsid w:val="00143962"/>
    <w:rsid w:val="0014396D"/>
    <w:rsid w:val="00143988"/>
    <w:rsid w:val="00143A1A"/>
    <w:rsid w:val="00143A5C"/>
    <w:rsid w:val="00143A8A"/>
    <w:rsid w:val="00143ABB"/>
    <w:rsid w:val="00143B1C"/>
    <w:rsid w:val="00143B48"/>
    <w:rsid w:val="00143B71"/>
    <w:rsid w:val="00143BB7"/>
    <w:rsid w:val="00143BF0"/>
    <w:rsid w:val="00143C02"/>
    <w:rsid w:val="00143C03"/>
    <w:rsid w:val="00143C2C"/>
    <w:rsid w:val="00143C8C"/>
    <w:rsid w:val="00143CCB"/>
    <w:rsid w:val="00143D0D"/>
    <w:rsid w:val="00143D11"/>
    <w:rsid w:val="00143D44"/>
    <w:rsid w:val="00143D5E"/>
    <w:rsid w:val="00143D84"/>
    <w:rsid w:val="00143D85"/>
    <w:rsid w:val="00143DCB"/>
    <w:rsid w:val="00143DDA"/>
    <w:rsid w:val="00143E31"/>
    <w:rsid w:val="00143E79"/>
    <w:rsid w:val="00143EB3"/>
    <w:rsid w:val="00143EBD"/>
    <w:rsid w:val="00143FAA"/>
    <w:rsid w:val="00143FB1"/>
    <w:rsid w:val="00143FBA"/>
    <w:rsid w:val="0014400E"/>
    <w:rsid w:val="0014404F"/>
    <w:rsid w:val="0014405A"/>
    <w:rsid w:val="001440F2"/>
    <w:rsid w:val="0014413D"/>
    <w:rsid w:val="001441F8"/>
    <w:rsid w:val="0014425A"/>
    <w:rsid w:val="00144271"/>
    <w:rsid w:val="001442B7"/>
    <w:rsid w:val="001442E5"/>
    <w:rsid w:val="0014433C"/>
    <w:rsid w:val="00144368"/>
    <w:rsid w:val="00144386"/>
    <w:rsid w:val="001443AB"/>
    <w:rsid w:val="001443DE"/>
    <w:rsid w:val="00144408"/>
    <w:rsid w:val="001444B6"/>
    <w:rsid w:val="001444BB"/>
    <w:rsid w:val="001444F5"/>
    <w:rsid w:val="00144503"/>
    <w:rsid w:val="00144574"/>
    <w:rsid w:val="0014458F"/>
    <w:rsid w:val="00144616"/>
    <w:rsid w:val="001446C5"/>
    <w:rsid w:val="001446F3"/>
    <w:rsid w:val="00144711"/>
    <w:rsid w:val="00144724"/>
    <w:rsid w:val="0014472E"/>
    <w:rsid w:val="0014473F"/>
    <w:rsid w:val="0014474D"/>
    <w:rsid w:val="00144762"/>
    <w:rsid w:val="0014477C"/>
    <w:rsid w:val="00144786"/>
    <w:rsid w:val="001447B3"/>
    <w:rsid w:val="001447EE"/>
    <w:rsid w:val="001447F2"/>
    <w:rsid w:val="00144861"/>
    <w:rsid w:val="00144873"/>
    <w:rsid w:val="0014489D"/>
    <w:rsid w:val="001448F6"/>
    <w:rsid w:val="00144986"/>
    <w:rsid w:val="001449A5"/>
    <w:rsid w:val="001449B3"/>
    <w:rsid w:val="001449EA"/>
    <w:rsid w:val="00144A2B"/>
    <w:rsid w:val="00144A8C"/>
    <w:rsid w:val="00144AF3"/>
    <w:rsid w:val="00144B49"/>
    <w:rsid w:val="00144BBD"/>
    <w:rsid w:val="00144C25"/>
    <w:rsid w:val="00144C98"/>
    <w:rsid w:val="00144CA7"/>
    <w:rsid w:val="00144D1B"/>
    <w:rsid w:val="00144D20"/>
    <w:rsid w:val="00144D2E"/>
    <w:rsid w:val="00144D7D"/>
    <w:rsid w:val="00144DA2"/>
    <w:rsid w:val="00144FAE"/>
    <w:rsid w:val="00144FD2"/>
    <w:rsid w:val="0014502D"/>
    <w:rsid w:val="00145089"/>
    <w:rsid w:val="0014509C"/>
    <w:rsid w:val="001450D2"/>
    <w:rsid w:val="00145105"/>
    <w:rsid w:val="0014513C"/>
    <w:rsid w:val="001451A4"/>
    <w:rsid w:val="001451DB"/>
    <w:rsid w:val="0014522B"/>
    <w:rsid w:val="00145231"/>
    <w:rsid w:val="00145242"/>
    <w:rsid w:val="00145265"/>
    <w:rsid w:val="00145277"/>
    <w:rsid w:val="001452A4"/>
    <w:rsid w:val="00145349"/>
    <w:rsid w:val="001453A0"/>
    <w:rsid w:val="001453B1"/>
    <w:rsid w:val="00145429"/>
    <w:rsid w:val="00145485"/>
    <w:rsid w:val="00145496"/>
    <w:rsid w:val="001454BB"/>
    <w:rsid w:val="001454C2"/>
    <w:rsid w:val="001454E5"/>
    <w:rsid w:val="001454F0"/>
    <w:rsid w:val="0014550F"/>
    <w:rsid w:val="001455A5"/>
    <w:rsid w:val="00145629"/>
    <w:rsid w:val="00145684"/>
    <w:rsid w:val="00145727"/>
    <w:rsid w:val="0014573A"/>
    <w:rsid w:val="00145741"/>
    <w:rsid w:val="00145746"/>
    <w:rsid w:val="0014575E"/>
    <w:rsid w:val="001457C5"/>
    <w:rsid w:val="00145807"/>
    <w:rsid w:val="0014580D"/>
    <w:rsid w:val="0014581D"/>
    <w:rsid w:val="00145826"/>
    <w:rsid w:val="0014585B"/>
    <w:rsid w:val="001458BF"/>
    <w:rsid w:val="001458D0"/>
    <w:rsid w:val="001458DA"/>
    <w:rsid w:val="0014599A"/>
    <w:rsid w:val="00145A38"/>
    <w:rsid w:val="00145A65"/>
    <w:rsid w:val="00145A76"/>
    <w:rsid w:val="00145AAF"/>
    <w:rsid w:val="00145AED"/>
    <w:rsid w:val="00145AEE"/>
    <w:rsid w:val="00145AF7"/>
    <w:rsid w:val="00145B0C"/>
    <w:rsid w:val="00145BB3"/>
    <w:rsid w:val="00145C2E"/>
    <w:rsid w:val="00145C5D"/>
    <w:rsid w:val="00145CA3"/>
    <w:rsid w:val="00145CCF"/>
    <w:rsid w:val="00145D51"/>
    <w:rsid w:val="00145DCC"/>
    <w:rsid w:val="00145E2F"/>
    <w:rsid w:val="00145E56"/>
    <w:rsid w:val="00145EA8"/>
    <w:rsid w:val="00145F02"/>
    <w:rsid w:val="00145F16"/>
    <w:rsid w:val="00145F61"/>
    <w:rsid w:val="00145F6F"/>
    <w:rsid w:val="00145F91"/>
    <w:rsid w:val="00145FB3"/>
    <w:rsid w:val="00145FBF"/>
    <w:rsid w:val="00145FC9"/>
    <w:rsid w:val="00145FDC"/>
    <w:rsid w:val="00146092"/>
    <w:rsid w:val="001460C9"/>
    <w:rsid w:val="001460D8"/>
    <w:rsid w:val="00146110"/>
    <w:rsid w:val="0014612A"/>
    <w:rsid w:val="0014616D"/>
    <w:rsid w:val="00146179"/>
    <w:rsid w:val="00146231"/>
    <w:rsid w:val="0014627C"/>
    <w:rsid w:val="001462E6"/>
    <w:rsid w:val="0014634C"/>
    <w:rsid w:val="0014639B"/>
    <w:rsid w:val="001463F4"/>
    <w:rsid w:val="0014641E"/>
    <w:rsid w:val="0014646C"/>
    <w:rsid w:val="0014659F"/>
    <w:rsid w:val="001465CE"/>
    <w:rsid w:val="001465EF"/>
    <w:rsid w:val="00146686"/>
    <w:rsid w:val="00146689"/>
    <w:rsid w:val="001466DE"/>
    <w:rsid w:val="00146730"/>
    <w:rsid w:val="0014677A"/>
    <w:rsid w:val="00146780"/>
    <w:rsid w:val="001467DC"/>
    <w:rsid w:val="001468B2"/>
    <w:rsid w:val="001468C4"/>
    <w:rsid w:val="001468D2"/>
    <w:rsid w:val="00146963"/>
    <w:rsid w:val="00146984"/>
    <w:rsid w:val="001469CA"/>
    <w:rsid w:val="001469CD"/>
    <w:rsid w:val="001469DA"/>
    <w:rsid w:val="00146A5B"/>
    <w:rsid w:val="00146B11"/>
    <w:rsid w:val="00146BA1"/>
    <w:rsid w:val="00146BEC"/>
    <w:rsid w:val="00146C25"/>
    <w:rsid w:val="00146C6B"/>
    <w:rsid w:val="00146C9E"/>
    <w:rsid w:val="00146CA8"/>
    <w:rsid w:val="00146CF3"/>
    <w:rsid w:val="00146D85"/>
    <w:rsid w:val="00146D99"/>
    <w:rsid w:val="00146DBC"/>
    <w:rsid w:val="00146DCC"/>
    <w:rsid w:val="00146DF1"/>
    <w:rsid w:val="00146E10"/>
    <w:rsid w:val="00146E14"/>
    <w:rsid w:val="00146E32"/>
    <w:rsid w:val="00146E5D"/>
    <w:rsid w:val="00146E6A"/>
    <w:rsid w:val="00146EDE"/>
    <w:rsid w:val="00146EFB"/>
    <w:rsid w:val="00146F02"/>
    <w:rsid w:val="00146FC3"/>
    <w:rsid w:val="00147032"/>
    <w:rsid w:val="00147078"/>
    <w:rsid w:val="001470B9"/>
    <w:rsid w:val="0014715D"/>
    <w:rsid w:val="00147188"/>
    <w:rsid w:val="001471D3"/>
    <w:rsid w:val="00147240"/>
    <w:rsid w:val="001472D8"/>
    <w:rsid w:val="00147335"/>
    <w:rsid w:val="001473D6"/>
    <w:rsid w:val="001473E2"/>
    <w:rsid w:val="00147442"/>
    <w:rsid w:val="00147459"/>
    <w:rsid w:val="001474B9"/>
    <w:rsid w:val="00147559"/>
    <w:rsid w:val="001475D5"/>
    <w:rsid w:val="001475E9"/>
    <w:rsid w:val="00147613"/>
    <w:rsid w:val="0014769F"/>
    <w:rsid w:val="001476E6"/>
    <w:rsid w:val="001476F3"/>
    <w:rsid w:val="00147759"/>
    <w:rsid w:val="0014776F"/>
    <w:rsid w:val="00147786"/>
    <w:rsid w:val="001477BC"/>
    <w:rsid w:val="001477D2"/>
    <w:rsid w:val="00147845"/>
    <w:rsid w:val="00147874"/>
    <w:rsid w:val="001478B7"/>
    <w:rsid w:val="0014794A"/>
    <w:rsid w:val="0014794C"/>
    <w:rsid w:val="0014796E"/>
    <w:rsid w:val="00147985"/>
    <w:rsid w:val="0014798D"/>
    <w:rsid w:val="00147991"/>
    <w:rsid w:val="001479CD"/>
    <w:rsid w:val="001479EA"/>
    <w:rsid w:val="00147A26"/>
    <w:rsid w:val="00147A34"/>
    <w:rsid w:val="00147A5D"/>
    <w:rsid w:val="00147AA0"/>
    <w:rsid w:val="00147ACB"/>
    <w:rsid w:val="00147ADC"/>
    <w:rsid w:val="00147B65"/>
    <w:rsid w:val="00147B94"/>
    <w:rsid w:val="00147BFD"/>
    <w:rsid w:val="00147C45"/>
    <w:rsid w:val="00147D89"/>
    <w:rsid w:val="00147DAA"/>
    <w:rsid w:val="00147E07"/>
    <w:rsid w:val="00147E1D"/>
    <w:rsid w:val="00147E54"/>
    <w:rsid w:val="00147E58"/>
    <w:rsid w:val="00147E68"/>
    <w:rsid w:val="00147E9D"/>
    <w:rsid w:val="00147F0B"/>
    <w:rsid w:val="00147FA0"/>
    <w:rsid w:val="00147FAD"/>
    <w:rsid w:val="00147FC3"/>
    <w:rsid w:val="00147FCF"/>
    <w:rsid w:val="00150045"/>
    <w:rsid w:val="00150054"/>
    <w:rsid w:val="00150055"/>
    <w:rsid w:val="0015006C"/>
    <w:rsid w:val="001500BF"/>
    <w:rsid w:val="00150136"/>
    <w:rsid w:val="00150193"/>
    <w:rsid w:val="0015026A"/>
    <w:rsid w:val="00150275"/>
    <w:rsid w:val="0015027B"/>
    <w:rsid w:val="00150281"/>
    <w:rsid w:val="001502DF"/>
    <w:rsid w:val="0015030B"/>
    <w:rsid w:val="0015030D"/>
    <w:rsid w:val="00150319"/>
    <w:rsid w:val="0015035C"/>
    <w:rsid w:val="00150381"/>
    <w:rsid w:val="00150383"/>
    <w:rsid w:val="00150397"/>
    <w:rsid w:val="0015039B"/>
    <w:rsid w:val="001503C1"/>
    <w:rsid w:val="001503C2"/>
    <w:rsid w:val="00150432"/>
    <w:rsid w:val="00150440"/>
    <w:rsid w:val="0015044C"/>
    <w:rsid w:val="0015047C"/>
    <w:rsid w:val="00150502"/>
    <w:rsid w:val="00150546"/>
    <w:rsid w:val="0015060F"/>
    <w:rsid w:val="00150627"/>
    <w:rsid w:val="001506DC"/>
    <w:rsid w:val="001506EF"/>
    <w:rsid w:val="0015078E"/>
    <w:rsid w:val="00150793"/>
    <w:rsid w:val="001507E8"/>
    <w:rsid w:val="00150813"/>
    <w:rsid w:val="00150847"/>
    <w:rsid w:val="0015084B"/>
    <w:rsid w:val="001508C3"/>
    <w:rsid w:val="001508DD"/>
    <w:rsid w:val="00150960"/>
    <w:rsid w:val="00150999"/>
    <w:rsid w:val="001509AC"/>
    <w:rsid w:val="001509B1"/>
    <w:rsid w:val="001509EA"/>
    <w:rsid w:val="00150A18"/>
    <w:rsid w:val="00150AB0"/>
    <w:rsid w:val="00150AB5"/>
    <w:rsid w:val="00150B09"/>
    <w:rsid w:val="00150B25"/>
    <w:rsid w:val="00150BBC"/>
    <w:rsid w:val="00150C2C"/>
    <w:rsid w:val="00150C32"/>
    <w:rsid w:val="00150C68"/>
    <w:rsid w:val="00150D2D"/>
    <w:rsid w:val="00150E05"/>
    <w:rsid w:val="00150E0D"/>
    <w:rsid w:val="00150E1C"/>
    <w:rsid w:val="00150E4A"/>
    <w:rsid w:val="00150E76"/>
    <w:rsid w:val="00150EDF"/>
    <w:rsid w:val="00150F56"/>
    <w:rsid w:val="00150F8A"/>
    <w:rsid w:val="00151023"/>
    <w:rsid w:val="00151067"/>
    <w:rsid w:val="00151099"/>
    <w:rsid w:val="00151146"/>
    <w:rsid w:val="0015114C"/>
    <w:rsid w:val="0015115D"/>
    <w:rsid w:val="00151168"/>
    <w:rsid w:val="0015116D"/>
    <w:rsid w:val="00151196"/>
    <w:rsid w:val="001511A4"/>
    <w:rsid w:val="001511C2"/>
    <w:rsid w:val="001511E4"/>
    <w:rsid w:val="0015123D"/>
    <w:rsid w:val="00151284"/>
    <w:rsid w:val="001512AA"/>
    <w:rsid w:val="00151324"/>
    <w:rsid w:val="0015137B"/>
    <w:rsid w:val="00151412"/>
    <w:rsid w:val="00151493"/>
    <w:rsid w:val="0015149E"/>
    <w:rsid w:val="001514C5"/>
    <w:rsid w:val="001514DA"/>
    <w:rsid w:val="0015151F"/>
    <w:rsid w:val="00151576"/>
    <w:rsid w:val="001515A9"/>
    <w:rsid w:val="00151664"/>
    <w:rsid w:val="0015169A"/>
    <w:rsid w:val="001516C1"/>
    <w:rsid w:val="001516C5"/>
    <w:rsid w:val="0015170C"/>
    <w:rsid w:val="0015171D"/>
    <w:rsid w:val="00151743"/>
    <w:rsid w:val="00151820"/>
    <w:rsid w:val="0015187C"/>
    <w:rsid w:val="00151889"/>
    <w:rsid w:val="001518EF"/>
    <w:rsid w:val="00151900"/>
    <w:rsid w:val="0015191D"/>
    <w:rsid w:val="00151938"/>
    <w:rsid w:val="00151941"/>
    <w:rsid w:val="00151978"/>
    <w:rsid w:val="00151989"/>
    <w:rsid w:val="001519A9"/>
    <w:rsid w:val="001519E2"/>
    <w:rsid w:val="00151A1C"/>
    <w:rsid w:val="00151A27"/>
    <w:rsid w:val="00151ABD"/>
    <w:rsid w:val="00151AC3"/>
    <w:rsid w:val="00151AE3"/>
    <w:rsid w:val="00151B12"/>
    <w:rsid w:val="00151B19"/>
    <w:rsid w:val="00151B59"/>
    <w:rsid w:val="00151B9B"/>
    <w:rsid w:val="00151C4F"/>
    <w:rsid w:val="00151C83"/>
    <w:rsid w:val="00151D09"/>
    <w:rsid w:val="00151D2D"/>
    <w:rsid w:val="00151D3D"/>
    <w:rsid w:val="00151D58"/>
    <w:rsid w:val="00151DAE"/>
    <w:rsid w:val="00151DE2"/>
    <w:rsid w:val="00151E2E"/>
    <w:rsid w:val="00151EC0"/>
    <w:rsid w:val="00151F62"/>
    <w:rsid w:val="00151F7F"/>
    <w:rsid w:val="00151FB7"/>
    <w:rsid w:val="00151FF1"/>
    <w:rsid w:val="00152073"/>
    <w:rsid w:val="001520E0"/>
    <w:rsid w:val="001520F7"/>
    <w:rsid w:val="001521BE"/>
    <w:rsid w:val="00152286"/>
    <w:rsid w:val="001522AA"/>
    <w:rsid w:val="001522C2"/>
    <w:rsid w:val="001522FA"/>
    <w:rsid w:val="00152370"/>
    <w:rsid w:val="00152396"/>
    <w:rsid w:val="001523D3"/>
    <w:rsid w:val="00152400"/>
    <w:rsid w:val="001524BD"/>
    <w:rsid w:val="001524D6"/>
    <w:rsid w:val="001524FB"/>
    <w:rsid w:val="00152549"/>
    <w:rsid w:val="00152585"/>
    <w:rsid w:val="001525D3"/>
    <w:rsid w:val="0015261C"/>
    <w:rsid w:val="00152655"/>
    <w:rsid w:val="0015268B"/>
    <w:rsid w:val="001526DB"/>
    <w:rsid w:val="001527F8"/>
    <w:rsid w:val="00152802"/>
    <w:rsid w:val="00152894"/>
    <w:rsid w:val="0015298C"/>
    <w:rsid w:val="001529A4"/>
    <w:rsid w:val="001529E2"/>
    <w:rsid w:val="00152A40"/>
    <w:rsid w:val="00152A76"/>
    <w:rsid w:val="00152ADB"/>
    <w:rsid w:val="00152B06"/>
    <w:rsid w:val="00152B69"/>
    <w:rsid w:val="00152B94"/>
    <w:rsid w:val="00152BA7"/>
    <w:rsid w:val="00152BE7"/>
    <w:rsid w:val="00152C0D"/>
    <w:rsid w:val="00152C24"/>
    <w:rsid w:val="00152C43"/>
    <w:rsid w:val="00152C5C"/>
    <w:rsid w:val="00152C69"/>
    <w:rsid w:val="00152C73"/>
    <w:rsid w:val="00152D1F"/>
    <w:rsid w:val="00152D29"/>
    <w:rsid w:val="00152D96"/>
    <w:rsid w:val="00152E14"/>
    <w:rsid w:val="00152EDA"/>
    <w:rsid w:val="00152EFC"/>
    <w:rsid w:val="00152F2D"/>
    <w:rsid w:val="00152F5C"/>
    <w:rsid w:val="00152FEE"/>
    <w:rsid w:val="00153036"/>
    <w:rsid w:val="00153092"/>
    <w:rsid w:val="00153096"/>
    <w:rsid w:val="001530E4"/>
    <w:rsid w:val="001530E8"/>
    <w:rsid w:val="0015312E"/>
    <w:rsid w:val="0015313E"/>
    <w:rsid w:val="001531E5"/>
    <w:rsid w:val="001531F5"/>
    <w:rsid w:val="001532C9"/>
    <w:rsid w:val="001532DB"/>
    <w:rsid w:val="00153325"/>
    <w:rsid w:val="0015336B"/>
    <w:rsid w:val="00153389"/>
    <w:rsid w:val="0015338E"/>
    <w:rsid w:val="001533BA"/>
    <w:rsid w:val="001533C2"/>
    <w:rsid w:val="00153463"/>
    <w:rsid w:val="00153471"/>
    <w:rsid w:val="00153516"/>
    <w:rsid w:val="00153560"/>
    <w:rsid w:val="001535F2"/>
    <w:rsid w:val="001535FD"/>
    <w:rsid w:val="00153602"/>
    <w:rsid w:val="0015360D"/>
    <w:rsid w:val="00153630"/>
    <w:rsid w:val="0015368A"/>
    <w:rsid w:val="00153695"/>
    <w:rsid w:val="001536C8"/>
    <w:rsid w:val="00153717"/>
    <w:rsid w:val="0015372B"/>
    <w:rsid w:val="0015375C"/>
    <w:rsid w:val="0015388D"/>
    <w:rsid w:val="001538E1"/>
    <w:rsid w:val="00153903"/>
    <w:rsid w:val="0015390E"/>
    <w:rsid w:val="00153923"/>
    <w:rsid w:val="00153988"/>
    <w:rsid w:val="0015398A"/>
    <w:rsid w:val="00153A2F"/>
    <w:rsid w:val="00153A49"/>
    <w:rsid w:val="00153A52"/>
    <w:rsid w:val="00153A5A"/>
    <w:rsid w:val="00153A5D"/>
    <w:rsid w:val="00153A90"/>
    <w:rsid w:val="00153AC6"/>
    <w:rsid w:val="00153AD1"/>
    <w:rsid w:val="00153AE0"/>
    <w:rsid w:val="00153AE3"/>
    <w:rsid w:val="00153AE7"/>
    <w:rsid w:val="00153B13"/>
    <w:rsid w:val="00153B46"/>
    <w:rsid w:val="00153B5C"/>
    <w:rsid w:val="00153B9C"/>
    <w:rsid w:val="00153BAE"/>
    <w:rsid w:val="00153BF2"/>
    <w:rsid w:val="00153C61"/>
    <w:rsid w:val="00153D06"/>
    <w:rsid w:val="00153D56"/>
    <w:rsid w:val="00153D7B"/>
    <w:rsid w:val="00153DC3"/>
    <w:rsid w:val="00153E06"/>
    <w:rsid w:val="00153E57"/>
    <w:rsid w:val="00153E58"/>
    <w:rsid w:val="00153E98"/>
    <w:rsid w:val="00153EF1"/>
    <w:rsid w:val="00153F68"/>
    <w:rsid w:val="00153FCB"/>
    <w:rsid w:val="00153FE2"/>
    <w:rsid w:val="001540AD"/>
    <w:rsid w:val="001540D6"/>
    <w:rsid w:val="00154103"/>
    <w:rsid w:val="00154150"/>
    <w:rsid w:val="0015415C"/>
    <w:rsid w:val="001541A9"/>
    <w:rsid w:val="00154221"/>
    <w:rsid w:val="00154230"/>
    <w:rsid w:val="00154280"/>
    <w:rsid w:val="001542E3"/>
    <w:rsid w:val="00154336"/>
    <w:rsid w:val="00154375"/>
    <w:rsid w:val="0015437D"/>
    <w:rsid w:val="001543AA"/>
    <w:rsid w:val="001543AB"/>
    <w:rsid w:val="001543DF"/>
    <w:rsid w:val="001543F5"/>
    <w:rsid w:val="00154453"/>
    <w:rsid w:val="001544BE"/>
    <w:rsid w:val="001544C7"/>
    <w:rsid w:val="001544D6"/>
    <w:rsid w:val="00154547"/>
    <w:rsid w:val="00154582"/>
    <w:rsid w:val="00154628"/>
    <w:rsid w:val="00154630"/>
    <w:rsid w:val="00154635"/>
    <w:rsid w:val="00154701"/>
    <w:rsid w:val="00154705"/>
    <w:rsid w:val="00154775"/>
    <w:rsid w:val="0015477B"/>
    <w:rsid w:val="001547C8"/>
    <w:rsid w:val="00154848"/>
    <w:rsid w:val="0015487C"/>
    <w:rsid w:val="0015489A"/>
    <w:rsid w:val="001548BD"/>
    <w:rsid w:val="00154907"/>
    <w:rsid w:val="0015492B"/>
    <w:rsid w:val="00154966"/>
    <w:rsid w:val="00154A61"/>
    <w:rsid w:val="00154B41"/>
    <w:rsid w:val="00154B56"/>
    <w:rsid w:val="00154B88"/>
    <w:rsid w:val="00154BDF"/>
    <w:rsid w:val="00154C47"/>
    <w:rsid w:val="00154C84"/>
    <w:rsid w:val="00154C9A"/>
    <w:rsid w:val="00154D1E"/>
    <w:rsid w:val="00154DAF"/>
    <w:rsid w:val="00154E0F"/>
    <w:rsid w:val="00154E1A"/>
    <w:rsid w:val="00154E29"/>
    <w:rsid w:val="00154FA4"/>
    <w:rsid w:val="00154FB4"/>
    <w:rsid w:val="001550CD"/>
    <w:rsid w:val="001551C3"/>
    <w:rsid w:val="001551EC"/>
    <w:rsid w:val="00155215"/>
    <w:rsid w:val="0015526B"/>
    <w:rsid w:val="00155294"/>
    <w:rsid w:val="00155322"/>
    <w:rsid w:val="00155329"/>
    <w:rsid w:val="00155338"/>
    <w:rsid w:val="0015534A"/>
    <w:rsid w:val="00155387"/>
    <w:rsid w:val="0015539A"/>
    <w:rsid w:val="001553A4"/>
    <w:rsid w:val="001553AF"/>
    <w:rsid w:val="001553C7"/>
    <w:rsid w:val="001553DD"/>
    <w:rsid w:val="001553E2"/>
    <w:rsid w:val="001553FA"/>
    <w:rsid w:val="00155416"/>
    <w:rsid w:val="00155420"/>
    <w:rsid w:val="00155449"/>
    <w:rsid w:val="0015544F"/>
    <w:rsid w:val="00155465"/>
    <w:rsid w:val="001554AE"/>
    <w:rsid w:val="00155516"/>
    <w:rsid w:val="001555E8"/>
    <w:rsid w:val="001555E9"/>
    <w:rsid w:val="001555EA"/>
    <w:rsid w:val="00155707"/>
    <w:rsid w:val="0015572D"/>
    <w:rsid w:val="0015572E"/>
    <w:rsid w:val="00155739"/>
    <w:rsid w:val="001558B3"/>
    <w:rsid w:val="00155964"/>
    <w:rsid w:val="001559F4"/>
    <w:rsid w:val="00155A51"/>
    <w:rsid w:val="00155ABC"/>
    <w:rsid w:val="00155AC3"/>
    <w:rsid w:val="00155B09"/>
    <w:rsid w:val="00155B90"/>
    <w:rsid w:val="00155BEA"/>
    <w:rsid w:val="00155C66"/>
    <w:rsid w:val="00155C9D"/>
    <w:rsid w:val="00155CA4"/>
    <w:rsid w:val="00155CC6"/>
    <w:rsid w:val="00155CCC"/>
    <w:rsid w:val="00155CE9"/>
    <w:rsid w:val="00155D06"/>
    <w:rsid w:val="00155D17"/>
    <w:rsid w:val="00155D2B"/>
    <w:rsid w:val="00155D7B"/>
    <w:rsid w:val="00155D92"/>
    <w:rsid w:val="00155E79"/>
    <w:rsid w:val="00155ED5"/>
    <w:rsid w:val="00155EEC"/>
    <w:rsid w:val="00155F24"/>
    <w:rsid w:val="00155F58"/>
    <w:rsid w:val="00155FC7"/>
    <w:rsid w:val="00155FF9"/>
    <w:rsid w:val="00155FFB"/>
    <w:rsid w:val="0015606D"/>
    <w:rsid w:val="0015609A"/>
    <w:rsid w:val="001560A8"/>
    <w:rsid w:val="001560B8"/>
    <w:rsid w:val="001560D9"/>
    <w:rsid w:val="001560F7"/>
    <w:rsid w:val="00156113"/>
    <w:rsid w:val="0015615D"/>
    <w:rsid w:val="00156185"/>
    <w:rsid w:val="00156192"/>
    <w:rsid w:val="001561F4"/>
    <w:rsid w:val="00156236"/>
    <w:rsid w:val="00156251"/>
    <w:rsid w:val="00156272"/>
    <w:rsid w:val="00156284"/>
    <w:rsid w:val="001562FC"/>
    <w:rsid w:val="00156306"/>
    <w:rsid w:val="00156313"/>
    <w:rsid w:val="00156348"/>
    <w:rsid w:val="0015640C"/>
    <w:rsid w:val="00156473"/>
    <w:rsid w:val="001564C6"/>
    <w:rsid w:val="00156522"/>
    <w:rsid w:val="0015657D"/>
    <w:rsid w:val="001565B5"/>
    <w:rsid w:val="00156605"/>
    <w:rsid w:val="00156631"/>
    <w:rsid w:val="0015664A"/>
    <w:rsid w:val="00156659"/>
    <w:rsid w:val="001566A2"/>
    <w:rsid w:val="001566B6"/>
    <w:rsid w:val="0015672F"/>
    <w:rsid w:val="0015674E"/>
    <w:rsid w:val="001567B3"/>
    <w:rsid w:val="00156876"/>
    <w:rsid w:val="00156892"/>
    <w:rsid w:val="00156986"/>
    <w:rsid w:val="001569C0"/>
    <w:rsid w:val="001569F5"/>
    <w:rsid w:val="00156A46"/>
    <w:rsid w:val="00156A7E"/>
    <w:rsid w:val="00156ABA"/>
    <w:rsid w:val="00156AE9"/>
    <w:rsid w:val="00156B0A"/>
    <w:rsid w:val="00156B27"/>
    <w:rsid w:val="00156BBD"/>
    <w:rsid w:val="00156C0B"/>
    <w:rsid w:val="00156C17"/>
    <w:rsid w:val="00156C3C"/>
    <w:rsid w:val="00156C9B"/>
    <w:rsid w:val="00156CB0"/>
    <w:rsid w:val="00156D2C"/>
    <w:rsid w:val="00156DAC"/>
    <w:rsid w:val="00156DCE"/>
    <w:rsid w:val="00156DFD"/>
    <w:rsid w:val="00156E58"/>
    <w:rsid w:val="00156E73"/>
    <w:rsid w:val="00156EF2"/>
    <w:rsid w:val="00156F1E"/>
    <w:rsid w:val="00156F2A"/>
    <w:rsid w:val="00156F3B"/>
    <w:rsid w:val="00156F45"/>
    <w:rsid w:val="00156F7F"/>
    <w:rsid w:val="00156FC8"/>
    <w:rsid w:val="00156FD6"/>
    <w:rsid w:val="00156FE2"/>
    <w:rsid w:val="00157029"/>
    <w:rsid w:val="00157067"/>
    <w:rsid w:val="0015706C"/>
    <w:rsid w:val="00157073"/>
    <w:rsid w:val="0015708F"/>
    <w:rsid w:val="001570E7"/>
    <w:rsid w:val="0015710B"/>
    <w:rsid w:val="001571DA"/>
    <w:rsid w:val="001571FF"/>
    <w:rsid w:val="00157208"/>
    <w:rsid w:val="00157210"/>
    <w:rsid w:val="00157259"/>
    <w:rsid w:val="00157308"/>
    <w:rsid w:val="0015731D"/>
    <w:rsid w:val="00157330"/>
    <w:rsid w:val="0015733C"/>
    <w:rsid w:val="00157390"/>
    <w:rsid w:val="00157395"/>
    <w:rsid w:val="0015739A"/>
    <w:rsid w:val="001573A7"/>
    <w:rsid w:val="001573B4"/>
    <w:rsid w:val="001573D9"/>
    <w:rsid w:val="001573F7"/>
    <w:rsid w:val="00157418"/>
    <w:rsid w:val="00157476"/>
    <w:rsid w:val="00157483"/>
    <w:rsid w:val="001574A1"/>
    <w:rsid w:val="00157585"/>
    <w:rsid w:val="00157653"/>
    <w:rsid w:val="00157672"/>
    <w:rsid w:val="001577A4"/>
    <w:rsid w:val="001577E5"/>
    <w:rsid w:val="001577EF"/>
    <w:rsid w:val="0015784E"/>
    <w:rsid w:val="0015785D"/>
    <w:rsid w:val="001578D1"/>
    <w:rsid w:val="001578E7"/>
    <w:rsid w:val="001578FB"/>
    <w:rsid w:val="00157952"/>
    <w:rsid w:val="0015795E"/>
    <w:rsid w:val="0015799E"/>
    <w:rsid w:val="001579D1"/>
    <w:rsid w:val="00157A04"/>
    <w:rsid w:val="00157A87"/>
    <w:rsid w:val="00157A9B"/>
    <w:rsid w:val="00157ABF"/>
    <w:rsid w:val="00157AF0"/>
    <w:rsid w:val="00157BC5"/>
    <w:rsid w:val="00157BCF"/>
    <w:rsid w:val="00157C43"/>
    <w:rsid w:val="00157C7B"/>
    <w:rsid w:val="00157CC3"/>
    <w:rsid w:val="00157D88"/>
    <w:rsid w:val="00157DC9"/>
    <w:rsid w:val="00157DF5"/>
    <w:rsid w:val="00157E50"/>
    <w:rsid w:val="00157E7B"/>
    <w:rsid w:val="00157EB5"/>
    <w:rsid w:val="00157F13"/>
    <w:rsid w:val="00157F2C"/>
    <w:rsid w:val="00157FA0"/>
    <w:rsid w:val="00160063"/>
    <w:rsid w:val="00160091"/>
    <w:rsid w:val="0016009D"/>
    <w:rsid w:val="001600AC"/>
    <w:rsid w:val="00160111"/>
    <w:rsid w:val="0016012F"/>
    <w:rsid w:val="00160144"/>
    <w:rsid w:val="00160202"/>
    <w:rsid w:val="0016029A"/>
    <w:rsid w:val="001602D5"/>
    <w:rsid w:val="0016030C"/>
    <w:rsid w:val="00160354"/>
    <w:rsid w:val="001603CC"/>
    <w:rsid w:val="001604A3"/>
    <w:rsid w:val="00160511"/>
    <w:rsid w:val="0016051E"/>
    <w:rsid w:val="00160526"/>
    <w:rsid w:val="00160573"/>
    <w:rsid w:val="001605D0"/>
    <w:rsid w:val="001605ED"/>
    <w:rsid w:val="0016067F"/>
    <w:rsid w:val="00160697"/>
    <w:rsid w:val="00160702"/>
    <w:rsid w:val="00160736"/>
    <w:rsid w:val="0016076D"/>
    <w:rsid w:val="0016077F"/>
    <w:rsid w:val="00160786"/>
    <w:rsid w:val="001607B3"/>
    <w:rsid w:val="00160899"/>
    <w:rsid w:val="0016089F"/>
    <w:rsid w:val="0016090F"/>
    <w:rsid w:val="00160912"/>
    <w:rsid w:val="00160921"/>
    <w:rsid w:val="00160940"/>
    <w:rsid w:val="0016096A"/>
    <w:rsid w:val="0016096F"/>
    <w:rsid w:val="0016099B"/>
    <w:rsid w:val="001609E9"/>
    <w:rsid w:val="001609EE"/>
    <w:rsid w:val="00160A04"/>
    <w:rsid w:val="00160A67"/>
    <w:rsid w:val="00160B04"/>
    <w:rsid w:val="00160B05"/>
    <w:rsid w:val="00160B3A"/>
    <w:rsid w:val="00160BA0"/>
    <w:rsid w:val="00160BA3"/>
    <w:rsid w:val="00160BA9"/>
    <w:rsid w:val="00160BC9"/>
    <w:rsid w:val="00160C42"/>
    <w:rsid w:val="00160C45"/>
    <w:rsid w:val="00160CA9"/>
    <w:rsid w:val="00160CD9"/>
    <w:rsid w:val="00160D11"/>
    <w:rsid w:val="00160D3F"/>
    <w:rsid w:val="00160D8F"/>
    <w:rsid w:val="00160DAD"/>
    <w:rsid w:val="00160E3D"/>
    <w:rsid w:val="00160EB4"/>
    <w:rsid w:val="00160F2B"/>
    <w:rsid w:val="00160F37"/>
    <w:rsid w:val="00160F40"/>
    <w:rsid w:val="00160FC6"/>
    <w:rsid w:val="00161028"/>
    <w:rsid w:val="0016106C"/>
    <w:rsid w:val="00161085"/>
    <w:rsid w:val="0016108B"/>
    <w:rsid w:val="001610D4"/>
    <w:rsid w:val="001610F0"/>
    <w:rsid w:val="00161155"/>
    <w:rsid w:val="0016116F"/>
    <w:rsid w:val="001611AA"/>
    <w:rsid w:val="001611CC"/>
    <w:rsid w:val="00161228"/>
    <w:rsid w:val="001612BD"/>
    <w:rsid w:val="00161312"/>
    <w:rsid w:val="00161355"/>
    <w:rsid w:val="0016136E"/>
    <w:rsid w:val="0016139C"/>
    <w:rsid w:val="001613BF"/>
    <w:rsid w:val="001613E2"/>
    <w:rsid w:val="001613E8"/>
    <w:rsid w:val="001613F1"/>
    <w:rsid w:val="001613F4"/>
    <w:rsid w:val="001613FD"/>
    <w:rsid w:val="00161451"/>
    <w:rsid w:val="00161509"/>
    <w:rsid w:val="0016159E"/>
    <w:rsid w:val="001615C0"/>
    <w:rsid w:val="001615F8"/>
    <w:rsid w:val="00161614"/>
    <w:rsid w:val="00161670"/>
    <w:rsid w:val="00161681"/>
    <w:rsid w:val="001616FA"/>
    <w:rsid w:val="001617A5"/>
    <w:rsid w:val="00161825"/>
    <w:rsid w:val="001618C1"/>
    <w:rsid w:val="001618FA"/>
    <w:rsid w:val="00161958"/>
    <w:rsid w:val="00161972"/>
    <w:rsid w:val="001619B8"/>
    <w:rsid w:val="001619C4"/>
    <w:rsid w:val="001619C9"/>
    <w:rsid w:val="001619D2"/>
    <w:rsid w:val="001619F2"/>
    <w:rsid w:val="00161A6C"/>
    <w:rsid w:val="00161B13"/>
    <w:rsid w:val="00161B17"/>
    <w:rsid w:val="00161B2B"/>
    <w:rsid w:val="00161BAF"/>
    <w:rsid w:val="00161C01"/>
    <w:rsid w:val="00161C21"/>
    <w:rsid w:val="00161C22"/>
    <w:rsid w:val="00161C23"/>
    <w:rsid w:val="00161CB1"/>
    <w:rsid w:val="00161CCC"/>
    <w:rsid w:val="00161D2D"/>
    <w:rsid w:val="00161ECA"/>
    <w:rsid w:val="00161ED5"/>
    <w:rsid w:val="00161EE9"/>
    <w:rsid w:val="00161F2C"/>
    <w:rsid w:val="00162022"/>
    <w:rsid w:val="001620B5"/>
    <w:rsid w:val="0016212E"/>
    <w:rsid w:val="00162133"/>
    <w:rsid w:val="00162165"/>
    <w:rsid w:val="001621E4"/>
    <w:rsid w:val="00162242"/>
    <w:rsid w:val="00162244"/>
    <w:rsid w:val="0016225B"/>
    <w:rsid w:val="0016225D"/>
    <w:rsid w:val="001622D7"/>
    <w:rsid w:val="00162303"/>
    <w:rsid w:val="00162380"/>
    <w:rsid w:val="0016239A"/>
    <w:rsid w:val="001623D3"/>
    <w:rsid w:val="00162431"/>
    <w:rsid w:val="00162462"/>
    <w:rsid w:val="00162479"/>
    <w:rsid w:val="001624F0"/>
    <w:rsid w:val="0016253C"/>
    <w:rsid w:val="00162556"/>
    <w:rsid w:val="00162601"/>
    <w:rsid w:val="00162613"/>
    <w:rsid w:val="0016263C"/>
    <w:rsid w:val="0016263E"/>
    <w:rsid w:val="0016266C"/>
    <w:rsid w:val="001626B9"/>
    <w:rsid w:val="001626D7"/>
    <w:rsid w:val="00162701"/>
    <w:rsid w:val="0016273E"/>
    <w:rsid w:val="00162754"/>
    <w:rsid w:val="0016275D"/>
    <w:rsid w:val="00162760"/>
    <w:rsid w:val="00162768"/>
    <w:rsid w:val="00162780"/>
    <w:rsid w:val="001627AF"/>
    <w:rsid w:val="00162842"/>
    <w:rsid w:val="001628A3"/>
    <w:rsid w:val="001628D4"/>
    <w:rsid w:val="001628D5"/>
    <w:rsid w:val="00162925"/>
    <w:rsid w:val="00162992"/>
    <w:rsid w:val="00162993"/>
    <w:rsid w:val="001629B8"/>
    <w:rsid w:val="001629DB"/>
    <w:rsid w:val="00162A1A"/>
    <w:rsid w:val="00162A34"/>
    <w:rsid w:val="00162A64"/>
    <w:rsid w:val="00162AEB"/>
    <w:rsid w:val="00162C15"/>
    <w:rsid w:val="00162C21"/>
    <w:rsid w:val="00162C33"/>
    <w:rsid w:val="00162C8B"/>
    <w:rsid w:val="00162CD6"/>
    <w:rsid w:val="00162D2A"/>
    <w:rsid w:val="00162E1A"/>
    <w:rsid w:val="00162E3C"/>
    <w:rsid w:val="00162E55"/>
    <w:rsid w:val="00162E59"/>
    <w:rsid w:val="00162E75"/>
    <w:rsid w:val="00162EB9"/>
    <w:rsid w:val="00162ECC"/>
    <w:rsid w:val="00162EF7"/>
    <w:rsid w:val="00162FC4"/>
    <w:rsid w:val="00162FD3"/>
    <w:rsid w:val="0016302D"/>
    <w:rsid w:val="00163043"/>
    <w:rsid w:val="0016307F"/>
    <w:rsid w:val="001630BD"/>
    <w:rsid w:val="00163137"/>
    <w:rsid w:val="00163147"/>
    <w:rsid w:val="00163149"/>
    <w:rsid w:val="00163158"/>
    <w:rsid w:val="00163194"/>
    <w:rsid w:val="001631CC"/>
    <w:rsid w:val="001631FE"/>
    <w:rsid w:val="001632D0"/>
    <w:rsid w:val="00163370"/>
    <w:rsid w:val="001633AF"/>
    <w:rsid w:val="001633EC"/>
    <w:rsid w:val="0016342D"/>
    <w:rsid w:val="00163454"/>
    <w:rsid w:val="0016345D"/>
    <w:rsid w:val="0016345F"/>
    <w:rsid w:val="00163460"/>
    <w:rsid w:val="00163467"/>
    <w:rsid w:val="001634A5"/>
    <w:rsid w:val="001634B0"/>
    <w:rsid w:val="001634DD"/>
    <w:rsid w:val="001634F6"/>
    <w:rsid w:val="00163554"/>
    <w:rsid w:val="0016359E"/>
    <w:rsid w:val="001635A1"/>
    <w:rsid w:val="001635C2"/>
    <w:rsid w:val="00163643"/>
    <w:rsid w:val="0016366C"/>
    <w:rsid w:val="0016366D"/>
    <w:rsid w:val="0016368E"/>
    <w:rsid w:val="00163705"/>
    <w:rsid w:val="00163709"/>
    <w:rsid w:val="00163749"/>
    <w:rsid w:val="001637AC"/>
    <w:rsid w:val="001637D8"/>
    <w:rsid w:val="001637E6"/>
    <w:rsid w:val="00163814"/>
    <w:rsid w:val="0016383C"/>
    <w:rsid w:val="00163860"/>
    <w:rsid w:val="001638F9"/>
    <w:rsid w:val="00163919"/>
    <w:rsid w:val="0016398D"/>
    <w:rsid w:val="001639A9"/>
    <w:rsid w:val="001639AB"/>
    <w:rsid w:val="001639F9"/>
    <w:rsid w:val="00163A44"/>
    <w:rsid w:val="00163A56"/>
    <w:rsid w:val="00163A75"/>
    <w:rsid w:val="00163AA4"/>
    <w:rsid w:val="00163B0E"/>
    <w:rsid w:val="00163B1B"/>
    <w:rsid w:val="00163B30"/>
    <w:rsid w:val="00163BF7"/>
    <w:rsid w:val="00163C40"/>
    <w:rsid w:val="00163C62"/>
    <w:rsid w:val="00163CED"/>
    <w:rsid w:val="00163CFF"/>
    <w:rsid w:val="00163D4F"/>
    <w:rsid w:val="00163D67"/>
    <w:rsid w:val="00163E0E"/>
    <w:rsid w:val="00163E10"/>
    <w:rsid w:val="00163E81"/>
    <w:rsid w:val="00163E94"/>
    <w:rsid w:val="00163EF6"/>
    <w:rsid w:val="00163EFE"/>
    <w:rsid w:val="00163F3E"/>
    <w:rsid w:val="00163F53"/>
    <w:rsid w:val="00163F89"/>
    <w:rsid w:val="00163FFA"/>
    <w:rsid w:val="00164043"/>
    <w:rsid w:val="00164091"/>
    <w:rsid w:val="001640F8"/>
    <w:rsid w:val="00164145"/>
    <w:rsid w:val="0016419B"/>
    <w:rsid w:val="001641ED"/>
    <w:rsid w:val="0016425F"/>
    <w:rsid w:val="00164275"/>
    <w:rsid w:val="001642A6"/>
    <w:rsid w:val="001642C8"/>
    <w:rsid w:val="001642F4"/>
    <w:rsid w:val="00164309"/>
    <w:rsid w:val="0016435C"/>
    <w:rsid w:val="00164372"/>
    <w:rsid w:val="001643D4"/>
    <w:rsid w:val="0016445F"/>
    <w:rsid w:val="001644C3"/>
    <w:rsid w:val="001644FD"/>
    <w:rsid w:val="00164500"/>
    <w:rsid w:val="00164519"/>
    <w:rsid w:val="00164553"/>
    <w:rsid w:val="00164607"/>
    <w:rsid w:val="00164636"/>
    <w:rsid w:val="00164664"/>
    <w:rsid w:val="00164680"/>
    <w:rsid w:val="001646A8"/>
    <w:rsid w:val="00164835"/>
    <w:rsid w:val="0016483D"/>
    <w:rsid w:val="00164881"/>
    <w:rsid w:val="0016492E"/>
    <w:rsid w:val="00164966"/>
    <w:rsid w:val="001649AE"/>
    <w:rsid w:val="001649B9"/>
    <w:rsid w:val="001649D5"/>
    <w:rsid w:val="001649FC"/>
    <w:rsid w:val="00164A72"/>
    <w:rsid w:val="00164AA7"/>
    <w:rsid w:val="00164AC1"/>
    <w:rsid w:val="00164AC8"/>
    <w:rsid w:val="00164B03"/>
    <w:rsid w:val="00164BAC"/>
    <w:rsid w:val="00164BE7"/>
    <w:rsid w:val="00164C01"/>
    <w:rsid w:val="00164C8F"/>
    <w:rsid w:val="00164CA0"/>
    <w:rsid w:val="00164CB2"/>
    <w:rsid w:val="00164DF0"/>
    <w:rsid w:val="00164E04"/>
    <w:rsid w:val="00164E11"/>
    <w:rsid w:val="00164E24"/>
    <w:rsid w:val="00164E36"/>
    <w:rsid w:val="00164E44"/>
    <w:rsid w:val="00164E48"/>
    <w:rsid w:val="00164E49"/>
    <w:rsid w:val="00164E64"/>
    <w:rsid w:val="00164EB2"/>
    <w:rsid w:val="00164EE1"/>
    <w:rsid w:val="00164EFC"/>
    <w:rsid w:val="00164EFD"/>
    <w:rsid w:val="00164F2E"/>
    <w:rsid w:val="00164F32"/>
    <w:rsid w:val="00165018"/>
    <w:rsid w:val="0016502D"/>
    <w:rsid w:val="00165058"/>
    <w:rsid w:val="0016505E"/>
    <w:rsid w:val="001650ED"/>
    <w:rsid w:val="0016513D"/>
    <w:rsid w:val="001651A2"/>
    <w:rsid w:val="001651B2"/>
    <w:rsid w:val="001651D5"/>
    <w:rsid w:val="0016525A"/>
    <w:rsid w:val="001652B2"/>
    <w:rsid w:val="0016530A"/>
    <w:rsid w:val="001653CE"/>
    <w:rsid w:val="001653D6"/>
    <w:rsid w:val="001653FA"/>
    <w:rsid w:val="00165415"/>
    <w:rsid w:val="00165421"/>
    <w:rsid w:val="0016544E"/>
    <w:rsid w:val="00165457"/>
    <w:rsid w:val="0016545D"/>
    <w:rsid w:val="0016546C"/>
    <w:rsid w:val="001654CF"/>
    <w:rsid w:val="0016550A"/>
    <w:rsid w:val="00165548"/>
    <w:rsid w:val="00165561"/>
    <w:rsid w:val="00165571"/>
    <w:rsid w:val="0016557E"/>
    <w:rsid w:val="00165583"/>
    <w:rsid w:val="0016558B"/>
    <w:rsid w:val="001655C2"/>
    <w:rsid w:val="001655EF"/>
    <w:rsid w:val="00165646"/>
    <w:rsid w:val="00165650"/>
    <w:rsid w:val="001656E0"/>
    <w:rsid w:val="0016571D"/>
    <w:rsid w:val="00165756"/>
    <w:rsid w:val="00165786"/>
    <w:rsid w:val="00165797"/>
    <w:rsid w:val="0016579C"/>
    <w:rsid w:val="001657E1"/>
    <w:rsid w:val="001657FC"/>
    <w:rsid w:val="00165881"/>
    <w:rsid w:val="001658A4"/>
    <w:rsid w:val="001658A5"/>
    <w:rsid w:val="001658BE"/>
    <w:rsid w:val="001658F5"/>
    <w:rsid w:val="00165906"/>
    <w:rsid w:val="00165914"/>
    <w:rsid w:val="00165949"/>
    <w:rsid w:val="00165962"/>
    <w:rsid w:val="0016596D"/>
    <w:rsid w:val="001659B5"/>
    <w:rsid w:val="001659F3"/>
    <w:rsid w:val="00165A65"/>
    <w:rsid w:val="00165A7E"/>
    <w:rsid w:val="00165ADA"/>
    <w:rsid w:val="00165B38"/>
    <w:rsid w:val="00165B3F"/>
    <w:rsid w:val="00165BD8"/>
    <w:rsid w:val="00165BFF"/>
    <w:rsid w:val="00165C09"/>
    <w:rsid w:val="00165C66"/>
    <w:rsid w:val="00165C70"/>
    <w:rsid w:val="00165C7E"/>
    <w:rsid w:val="00165CB3"/>
    <w:rsid w:val="00165D53"/>
    <w:rsid w:val="00165D76"/>
    <w:rsid w:val="00165EE5"/>
    <w:rsid w:val="00165F3A"/>
    <w:rsid w:val="00165FC1"/>
    <w:rsid w:val="00165FDB"/>
    <w:rsid w:val="00165FF1"/>
    <w:rsid w:val="0016605E"/>
    <w:rsid w:val="00166062"/>
    <w:rsid w:val="001660CA"/>
    <w:rsid w:val="0016615D"/>
    <w:rsid w:val="00166181"/>
    <w:rsid w:val="001661C1"/>
    <w:rsid w:val="001661D4"/>
    <w:rsid w:val="00166221"/>
    <w:rsid w:val="0016624F"/>
    <w:rsid w:val="001662FB"/>
    <w:rsid w:val="0016633C"/>
    <w:rsid w:val="00166340"/>
    <w:rsid w:val="00166342"/>
    <w:rsid w:val="001663A1"/>
    <w:rsid w:val="0016643F"/>
    <w:rsid w:val="0016644F"/>
    <w:rsid w:val="00166480"/>
    <w:rsid w:val="001664B6"/>
    <w:rsid w:val="001664D4"/>
    <w:rsid w:val="001664DC"/>
    <w:rsid w:val="001664E3"/>
    <w:rsid w:val="001664FC"/>
    <w:rsid w:val="0016650A"/>
    <w:rsid w:val="00166546"/>
    <w:rsid w:val="001665CB"/>
    <w:rsid w:val="001665ED"/>
    <w:rsid w:val="001666E1"/>
    <w:rsid w:val="0016674D"/>
    <w:rsid w:val="00166768"/>
    <w:rsid w:val="00166782"/>
    <w:rsid w:val="001667A8"/>
    <w:rsid w:val="001667C6"/>
    <w:rsid w:val="00166840"/>
    <w:rsid w:val="0016689E"/>
    <w:rsid w:val="001668BE"/>
    <w:rsid w:val="0016694D"/>
    <w:rsid w:val="00166959"/>
    <w:rsid w:val="00166977"/>
    <w:rsid w:val="001669EF"/>
    <w:rsid w:val="001669FB"/>
    <w:rsid w:val="00166A74"/>
    <w:rsid w:val="00166AAA"/>
    <w:rsid w:val="00166ACC"/>
    <w:rsid w:val="00166AD5"/>
    <w:rsid w:val="00166B36"/>
    <w:rsid w:val="00166C15"/>
    <w:rsid w:val="00166C8D"/>
    <w:rsid w:val="00166D2F"/>
    <w:rsid w:val="00166D3B"/>
    <w:rsid w:val="00166D3D"/>
    <w:rsid w:val="00166D3E"/>
    <w:rsid w:val="00166D60"/>
    <w:rsid w:val="00166D91"/>
    <w:rsid w:val="00166DCB"/>
    <w:rsid w:val="00166DE3"/>
    <w:rsid w:val="00166E08"/>
    <w:rsid w:val="00166E19"/>
    <w:rsid w:val="00166E2B"/>
    <w:rsid w:val="00166E35"/>
    <w:rsid w:val="00166E44"/>
    <w:rsid w:val="00166EFD"/>
    <w:rsid w:val="00166F68"/>
    <w:rsid w:val="00166F70"/>
    <w:rsid w:val="00166F7E"/>
    <w:rsid w:val="00166FB2"/>
    <w:rsid w:val="00166FD9"/>
    <w:rsid w:val="00167101"/>
    <w:rsid w:val="00167182"/>
    <w:rsid w:val="001671FA"/>
    <w:rsid w:val="001671FF"/>
    <w:rsid w:val="00167214"/>
    <w:rsid w:val="00167258"/>
    <w:rsid w:val="00167288"/>
    <w:rsid w:val="001672A3"/>
    <w:rsid w:val="0016735E"/>
    <w:rsid w:val="001673B0"/>
    <w:rsid w:val="001674EE"/>
    <w:rsid w:val="00167530"/>
    <w:rsid w:val="00167579"/>
    <w:rsid w:val="00167584"/>
    <w:rsid w:val="001675A7"/>
    <w:rsid w:val="0016764A"/>
    <w:rsid w:val="0016775E"/>
    <w:rsid w:val="001677EB"/>
    <w:rsid w:val="0016783D"/>
    <w:rsid w:val="00167840"/>
    <w:rsid w:val="0016784F"/>
    <w:rsid w:val="001678CC"/>
    <w:rsid w:val="001678FC"/>
    <w:rsid w:val="0016793A"/>
    <w:rsid w:val="0016796D"/>
    <w:rsid w:val="001679CA"/>
    <w:rsid w:val="001679E2"/>
    <w:rsid w:val="00167A0D"/>
    <w:rsid w:val="00167A15"/>
    <w:rsid w:val="00167A2A"/>
    <w:rsid w:val="00167A34"/>
    <w:rsid w:val="00167AB2"/>
    <w:rsid w:val="00167AE4"/>
    <w:rsid w:val="00167AF0"/>
    <w:rsid w:val="00167B19"/>
    <w:rsid w:val="00167B33"/>
    <w:rsid w:val="00167B4D"/>
    <w:rsid w:val="00167BA1"/>
    <w:rsid w:val="00167C0C"/>
    <w:rsid w:val="00167C38"/>
    <w:rsid w:val="00167C49"/>
    <w:rsid w:val="00167C66"/>
    <w:rsid w:val="00167CB3"/>
    <w:rsid w:val="00167CCE"/>
    <w:rsid w:val="00167CFC"/>
    <w:rsid w:val="00167D40"/>
    <w:rsid w:val="00167D4A"/>
    <w:rsid w:val="00167D75"/>
    <w:rsid w:val="00167D90"/>
    <w:rsid w:val="00167DC8"/>
    <w:rsid w:val="00167DF9"/>
    <w:rsid w:val="00167E08"/>
    <w:rsid w:val="00167E8F"/>
    <w:rsid w:val="00167EFB"/>
    <w:rsid w:val="00167F29"/>
    <w:rsid w:val="00167F34"/>
    <w:rsid w:val="0017009E"/>
    <w:rsid w:val="001700B6"/>
    <w:rsid w:val="00170104"/>
    <w:rsid w:val="001701CB"/>
    <w:rsid w:val="001701F6"/>
    <w:rsid w:val="00170232"/>
    <w:rsid w:val="0017028C"/>
    <w:rsid w:val="00170399"/>
    <w:rsid w:val="001703C2"/>
    <w:rsid w:val="001703C3"/>
    <w:rsid w:val="001703EF"/>
    <w:rsid w:val="0017041F"/>
    <w:rsid w:val="00170450"/>
    <w:rsid w:val="0017045A"/>
    <w:rsid w:val="00170496"/>
    <w:rsid w:val="001705B7"/>
    <w:rsid w:val="001705C5"/>
    <w:rsid w:val="0017060D"/>
    <w:rsid w:val="00170634"/>
    <w:rsid w:val="00170779"/>
    <w:rsid w:val="00170851"/>
    <w:rsid w:val="00170898"/>
    <w:rsid w:val="00170910"/>
    <w:rsid w:val="0017097F"/>
    <w:rsid w:val="00170A48"/>
    <w:rsid w:val="00170A6B"/>
    <w:rsid w:val="00170AA6"/>
    <w:rsid w:val="00170AC7"/>
    <w:rsid w:val="00170B2F"/>
    <w:rsid w:val="00170B5E"/>
    <w:rsid w:val="00170B68"/>
    <w:rsid w:val="00170BAC"/>
    <w:rsid w:val="00170BBA"/>
    <w:rsid w:val="00170BFB"/>
    <w:rsid w:val="00170C03"/>
    <w:rsid w:val="00170C30"/>
    <w:rsid w:val="00170C42"/>
    <w:rsid w:val="00170C6F"/>
    <w:rsid w:val="00170CA5"/>
    <w:rsid w:val="00170CCF"/>
    <w:rsid w:val="00170CD6"/>
    <w:rsid w:val="00170D27"/>
    <w:rsid w:val="00170D3A"/>
    <w:rsid w:val="00170D46"/>
    <w:rsid w:val="00170E02"/>
    <w:rsid w:val="00170E92"/>
    <w:rsid w:val="00170F19"/>
    <w:rsid w:val="00170F5C"/>
    <w:rsid w:val="00170F67"/>
    <w:rsid w:val="00170FC2"/>
    <w:rsid w:val="00170FC5"/>
    <w:rsid w:val="00170FCD"/>
    <w:rsid w:val="00171011"/>
    <w:rsid w:val="00171037"/>
    <w:rsid w:val="00171068"/>
    <w:rsid w:val="0017108D"/>
    <w:rsid w:val="001710E8"/>
    <w:rsid w:val="001710FF"/>
    <w:rsid w:val="0017111B"/>
    <w:rsid w:val="00171125"/>
    <w:rsid w:val="0017113A"/>
    <w:rsid w:val="00171173"/>
    <w:rsid w:val="00171187"/>
    <w:rsid w:val="00171218"/>
    <w:rsid w:val="0017123B"/>
    <w:rsid w:val="0017124F"/>
    <w:rsid w:val="0017125E"/>
    <w:rsid w:val="00171295"/>
    <w:rsid w:val="001712DC"/>
    <w:rsid w:val="00171304"/>
    <w:rsid w:val="00171320"/>
    <w:rsid w:val="001713A3"/>
    <w:rsid w:val="001713F0"/>
    <w:rsid w:val="00171410"/>
    <w:rsid w:val="00171465"/>
    <w:rsid w:val="0017147B"/>
    <w:rsid w:val="0017149B"/>
    <w:rsid w:val="001714F7"/>
    <w:rsid w:val="0017153A"/>
    <w:rsid w:val="001715E8"/>
    <w:rsid w:val="00171687"/>
    <w:rsid w:val="0017168C"/>
    <w:rsid w:val="001716AE"/>
    <w:rsid w:val="00171727"/>
    <w:rsid w:val="00171775"/>
    <w:rsid w:val="0017177B"/>
    <w:rsid w:val="0017178A"/>
    <w:rsid w:val="001717CE"/>
    <w:rsid w:val="00171802"/>
    <w:rsid w:val="00171807"/>
    <w:rsid w:val="00171818"/>
    <w:rsid w:val="0017184D"/>
    <w:rsid w:val="00171890"/>
    <w:rsid w:val="00171891"/>
    <w:rsid w:val="00171895"/>
    <w:rsid w:val="001718F4"/>
    <w:rsid w:val="001718F9"/>
    <w:rsid w:val="00171905"/>
    <w:rsid w:val="001719C3"/>
    <w:rsid w:val="001719E3"/>
    <w:rsid w:val="00171A20"/>
    <w:rsid w:val="00171B0A"/>
    <w:rsid w:val="00171B2C"/>
    <w:rsid w:val="00171B2D"/>
    <w:rsid w:val="00171B6A"/>
    <w:rsid w:val="00171B7B"/>
    <w:rsid w:val="00171BE1"/>
    <w:rsid w:val="00171C1E"/>
    <w:rsid w:val="00171C3F"/>
    <w:rsid w:val="00171D1B"/>
    <w:rsid w:val="00171D33"/>
    <w:rsid w:val="00171D4D"/>
    <w:rsid w:val="00171D64"/>
    <w:rsid w:val="00171D92"/>
    <w:rsid w:val="00171DD5"/>
    <w:rsid w:val="00171DDA"/>
    <w:rsid w:val="00171E3C"/>
    <w:rsid w:val="00171E57"/>
    <w:rsid w:val="00171ED1"/>
    <w:rsid w:val="00171F8B"/>
    <w:rsid w:val="00171F94"/>
    <w:rsid w:val="00171F99"/>
    <w:rsid w:val="00171FC4"/>
    <w:rsid w:val="00171FFD"/>
    <w:rsid w:val="001720E2"/>
    <w:rsid w:val="00172121"/>
    <w:rsid w:val="00172132"/>
    <w:rsid w:val="0017214C"/>
    <w:rsid w:val="00172173"/>
    <w:rsid w:val="001721BF"/>
    <w:rsid w:val="001721D6"/>
    <w:rsid w:val="0017228E"/>
    <w:rsid w:val="001722B1"/>
    <w:rsid w:val="001722FF"/>
    <w:rsid w:val="00172301"/>
    <w:rsid w:val="00172373"/>
    <w:rsid w:val="0017237E"/>
    <w:rsid w:val="0017239D"/>
    <w:rsid w:val="0017241F"/>
    <w:rsid w:val="00172420"/>
    <w:rsid w:val="00172430"/>
    <w:rsid w:val="0017244D"/>
    <w:rsid w:val="0017244E"/>
    <w:rsid w:val="001724C4"/>
    <w:rsid w:val="001724D5"/>
    <w:rsid w:val="001724FC"/>
    <w:rsid w:val="00172510"/>
    <w:rsid w:val="001725CE"/>
    <w:rsid w:val="001725EE"/>
    <w:rsid w:val="00172649"/>
    <w:rsid w:val="00172660"/>
    <w:rsid w:val="001726A2"/>
    <w:rsid w:val="001726A7"/>
    <w:rsid w:val="001726BB"/>
    <w:rsid w:val="001726EA"/>
    <w:rsid w:val="00172710"/>
    <w:rsid w:val="0017271A"/>
    <w:rsid w:val="00172746"/>
    <w:rsid w:val="0017274C"/>
    <w:rsid w:val="00172790"/>
    <w:rsid w:val="001727EE"/>
    <w:rsid w:val="00172847"/>
    <w:rsid w:val="00172861"/>
    <w:rsid w:val="001728CC"/>
    <w:rsid w:val="001728DA"/>
    <w:rsid w:val="00172963"/>
    <w:rsid w:val="001729A5"/>
    <w:rsid w:val="001729C0"/>
    <w:rsid w:val="001729E4"/>
    <w:rsid w:val="00172A23"/>
    <w:rsid w:val="00172A3C"/>
    <w:rsid w:val="00172A75"/>
    <w:rsid w:val="00172ABF"/>
    <w:rsid w:val="00172B35"/>
    <w:rsid w:val="00172B68"/>
    <w:rsid w:val="00172B71"/>
    <w:rsid w:val="00172B91"/>
    <w:rsid w:val="00172CAD"/>
    <w:rsid w:val="00172CAE"/>
    <w:rsid w:val="00172CC1"/>
    <w:rsid w:val="00172CD8"/>
    <w:rsid w:val="00172D52"/>
    <w:rsid w:val="00172DC2"/>
    <w:rsid w:val="00172DCD"/>
    <w:rsid w:val="00172E9A"/>
    <w:rsid w:val="00172F0A"/>
    <w:rsid w:val="00172F3F"/>
    <w:rsid w:val="00172F85"/>
    <w:rsid w:val="00172FFE"/>
    <w:rsid w:val="00173006"/>
    <w:rsid w:val="00173045"/>
    <w:rsid w:val="0017304E"/>
    <w:rsid w:val="00173068"/>
    <w:rsid w:val="00173070"/>
    <w:rsid w:val="001730BE"/>
    <w:rsid w:val="001730CC"/>
    <w:rsid w:val="00173158"/>
    <w:rsid w:val="00173182"/>
    <w:rsid w:val="001731BA"/>
    <w:rsid w:val="001731BC"/>
    <w:rsid w:val="001731CF"/>
    <w:rsid w:val="001731D3"/>
    <w:rsid w:val="0017326C"/>
    <w:rsid w:val="001732CC"/>
    <w:rsid w:val="001732E7"/>
    <w:rsid w:val="001732F4"/>
    <w:rsid w:val="001732F9"/>
    <w:rsid w:val="0017333E"/>
    <w:rsid w:val="0017335D"/>
    <w:rsid w:val="001733BA"/>
    <w:rsid w:val="001733FA"/>
    <w:rsid w:val="00173419"/>
    <w:rsid w:val="0017341D"/>
    <w:rsid w:val="00173483"/>
    <w:rsid w:val="001735DC"/>
    <w:rsid w:val="00173601"/>
    <w:rsid w:val="00173616"/>
    <w:rsid w:val="00173629"/>
    <w:rsid w:val="0017368F"/>
    <w:rsid w:val="001736AA"/>
    <w:rsid w:val="00173716"/>
    <w:rsid w:val="00173722"/>
    <w:rsid w:val="0017373C"/>
    <w:rsid w:val="00173764"/>
    <w:rsid w:val="0017376B"/>
    <w:rsid w:val="001737A0"/>
    <w:rsid w:val="001737C7"/>
    <w:rsid w:val="001737DF"/>
    <w:rsid w:val="0017386E"/>
    <w:rsid w:val="0017392F"/>
    <w:rsid w:val="00173933"/>
    <w:rsid w:val="0017393E"/>
    <w:rsid w:val="0017395A"/>
    <w:rsid w:val="00173994"/>
    <w:rsid w:val="00173995"/>
    <w:rsid w:val="00173A67"/>
    <w:rsid w:val="00173AB0"/>
    <w:rsid w:val="00173B2D"/>
    <w:rsid w:val="00173B34"/>
    <w:rsid w:val="00173B6F"/>
    <w:rsid w:val="00173CFC"/>
    <w:rsid w:val="00173D24"/>
    <w:rsid w:val="00173D95"/>
    <w:rsid w:val="00173DBA"/>
    <w:rsid w:val="00173E14"/>
    <w:rsid w:val="00173EB7"/>
    <w:rsid w:val="00173ECA"/>
    <w:rsid w:val="00173F0F"/>
    <w:rsid w:val="00173FFF"/>
    <w:rsid w:val="00174021"/>
    <w:rsid w:val="00174047"/>
    <w:rsid w:val="00174055"/>
    <w:rsid w:val="001740FD"/>
    <w:rsid w:val="00174122"/>
    <w:rsid w:val="0017414E"/>
    <w:rsid w:val="001741F1"/>
    <w:rsid w:val="001741F9"/>
    <w:rsid w:val="00174216"/>
    <w:rsid w:val="0017424D"/>
    <w:rsid w:val="00174259"/>
    <w:rsid w:val="001742BE"/>
    <w:rsid w:val="0017430A"/>
    <w:rsid w:val="00174393"/>
    <w:rsid w:val="001743A2"/>
    <w:rsid w:val="0017444A"/>
    <w:rsid w:val="0017444B"/>
    <w:rsid w:val="001744E1"/>
    <w:rsid w:val="00174569"/>
    <w:rsid w:val="001745B1"/>
    <w:rsid w:val="00174693"/>
    <w:rsid w:val="001746B8"/>
    <w:rsid w:val="001746BD"/>
    <w:rsid w:val="001746C4"/>
    <w:rsid w:val="0017478F"/>
    <w:rsid w:val="001747AF"/>
    <w:rsid w:val="001747BA"/>
    <w:rsid w:val="001747F2"/>
    <w:rsid w:val="0017481A"/>
    <w:rsid w:val="00174837"/>
    <w:rsid w:val="00174838"/>
    <w:rsid w:val="001748B8"/>
    <w:rsid w:val="001748D0"/>
    <w:rsid w:val="0017493D"/>
    <w:rsid w:val="00174951"/>
    <w:rsid w:val="00174955"/>
    <w:rsid w:val="0017496F"/>
    <w:rsid w:val="00174983"/>
    <w:rsid w:val="001749C1"/>
    <w:rsid w:val="001749CD"/>
    <w:rsid w:val="00174B14"/>
    <w:rsid w:val="00174B57"/>
    <w:rsid w:val="00174B74"/>
    <w:rsid w:val="00174C3E"/>
    <w:rsid w:val="00174C47"/>
    <w:rsid w:val="00174C59"/>
    <w:rsid w:val="00174CE8"/>
    <w:rsid w:val="00174D30"/>
    <w:rsid w:val="00174D3B"/>
    <w:rsid w:val="00174D90"/>
    <w:rsid w:val="00174DA8"/>
    <w:rsid w:val="00174DDA"/>
    <w:rsid w:val="00174DFD"/>
    <w:rsid w:val="00174E30"/>
    <w:rsid w:val="00174E85"/>
    <w:rsid w:val="00174E89"/>
    <w:rsid w:val="00174EF0"/>
    <w:rsid w:val="00174F62"/>
    <w:rsid w:val="00174FA7"/>
    <w:rsid w:val="00174FCC"/>
    <w:rsid w:val="00174FD1"/>
    <w:rsid w:val="00174FDC"/>
    <w:rsid w:val="00174FFF"/>
    <w:rsid w:val="00175009"/>
    <w:rsid w:val="00175029"/>
    <w:rsid w:val="00175035"/>
    <w:rsid w:val="00175041"/>
    <w:rsid w:val="00175052"/>
    <w:rsid w:val="0017509E"/>
    <w:rsid w:val="001750E2"/>
    <w:rsid w:val="00175101"/>
    <w:rsid w:val="00175124"/>
    <w:rsid w:val="001752EF"/>
    <w:rsid w:val="00175314"/>
    <w:rsid w:val="00175376"/>
    <w:rsid w:val="001753B8"/>
    <w:rsid w:val="001754E4"/>
    <w:rsid w:val="001754F2"/>
    <w:rsid w:val="0017553E"/>
    <w:rsid w:val="00175544"/>
    <w:rsid w:val="00175566"/>
    <w:rsid w:val="001755C6"/>
    <w:rsid w:val="001755EA"/>
    <w:rsid w:val="00175610"/>
    <w:rsid w:val="0017562C"/>
    <w:rsid w:val="00175652"/>
    <w:rsid w:val="0017568A"/>
    <w:rsid w:val="0017569B"/>
    <w:rsid w:val="001756EC"/>
    <w:rsid w:val="001757DD"/>
    <w:rsid w:val="001757E8"/>
    <w:rsid w:val="001757F2"/>
    <w:rsid w:val="00175803"/>
    <w:rsid w:val="00175819"/>
    <w:rsid w:val="0017583A"/>
    <w:rsid w:val="001758AF"/>
    <w:rsid w:val="001758C6"/>
    <w:rsid w:val="001758F7"/>
    <w:rsid w:val="00175945"/>
    <w:rsid w:val="0017598A"/>
    <w:rsid w:val="001759C5"/>
    <w:rsid w:val="001759D7"/>
    <w:rsid w:val="00175C0D"/>
    <w:rsid w:val="00175C13"/>
    <w:rsid w:val="00175C6F"/>
    <w:rsid w:val="00175C75"/>
    <w:rsid w:val="00175CC5"/>
    <w:rsid w:val="00175D0F"/>
    <w:rsid w:val="00175D6E"/>
    <w:rsid w:val="00175DC4"/>
    <w:rsid w:val="00175E1F"/>
    <w:rsid w:val="00175E21"/>
    <w:rsid w:val="00175E48"/>
    <w:rsid w:val="00175E6B"/>
    <w:rsid w:val="00175EAC"/>
    <w:rsid w:val="00175EC7"/>
    <w:rsid w:val="00175F6C"/>
    <w:rsid w:val="00175F74"/>
    <w:rsid w:val="00175F92"/>
    <w:rsid w:val="00175FB4"/>
    <w:rsid w:val="00175FBE"/>
    <w:rsid w:val="00175FF1"/>
    <w:rsid w:val="0017601E"/>
    <w:rsid w:val="00176071"/>
    <w:rsid w:val="0017607B"/>
    <w:rsid w:val="001760AF"/>
    <w:rsid w:val="001760BA"/>
    <w:rsid w:val="001760E5"/>
    <w:rsid w:val="0017612C"/>
    <w:rsid w:val="00176176"/>
    <w:rsid w:val="001761A2"/>
    <w:rsid w:val="001761BA"/>
    <w:rsid w:val="001761D4"/>
    <w:rsid w:val="00176223"/>
    <w:rsid w:val="0017625F"/>
    <w:rsid w:val="00176261"/>
    <w:rsid w:val="00176330"/>
    <w:rsid w:val="00176392"/>
    <w:rsid w:val="001763A9"/>
    <w:rsid w:val="001763D7"/>
    <w:rsid w:val="001763DA"/>
    <w:rsid w:val="00176477"/>
    <w:rsid w:val="001764B6"/>
    <w:rsid w:val="00176510"/>
    <w:rsid w:val="00176533"/>
    <w:rsid w:val="001765F2"/>
    <w:rsid w:val="0017660E"/>
    <w:rsid w:val="00176641"/>
    <w:rsid w:val="0017665A"/>
    <w:rsid w:val="001766B7"/>
    <w:rsid w:val="00176738"/>
    <w:rsid w:val="00176741"/>
    <w:rsid w:val="001767BB"/>
    <w:rsid w:val="00176829"/>
    <w:rsid w:val="001768AF"/>
    <w:rsid w:val="001768B1"/>
    <w:rsid w:val="00176997"/>
    <w:rsid w:val="0017699C"/>
    <w:rsid w:val="001769B4"/>
    <w:rsid w:val="001769F1"/>
    <w:rsid w:val="00176A6C"/>
    <w:rsid w:val="00176AFD"/>
    <w:rsid w:val="00176B14"/>
    <w:rsid w:val="00176BE6"/>
    <w:rsid w:val="00176BE7"/>
    <w:rsid w:val="00176C03"/>
    <w:rsid w:val="00176C0E"/>
    <w:rsid w:val="00176C1E"/>
    <w:rsid w:val="00176C64"/>
    <w:rsid w:val="00176C75"/>
    <w:rsid w:val="00176CF7"/>
    <w:rsid w:val="00176D22"/>
    <w:rsid w:val="00176D49"/>
    <w:rsid w:val="00176D88"/>
    <w:rsid w:val="00176DD9"/>
    <w:rsid w:val="00176DEB"/>
    <w:rsid w:val="00176E19"/>
    <w:rsid w:val="00176E27"/>
    <w:rsid w:val="00176E40"/>
    <w:rsid w:val="00176E4A"/>
    <w:rsid w:val="00176EDC"/>
    <w:rsid w:val="00176F36"/>
    <w:rsid w:val="00176F7F"/>
    <w:rsid w:val="00176FC7"/>
    <w:rsid w:val="00176FD3"/>
    <w:rsid w:val="00177037"/>
    <w:rsid w:val="0017709C"/>
    <w:rsid w:val="001770A0"/>
    <w:rsid w:val="001770B1"/>
    <w:rsid w:val="0017710E"/>
    <w:rsid w:val="00177186"/>
    <w:rsid w:val="0017724C"/>
    <w:rsid w:val="00177270"/>
    <w:rsid w:val="0017727A"/>
    <w:rsid w:val="00177290"/>
    <w:rsid w:val="00177293"/>
    <w:rsid w:val="00177301"/>
    <w:rsid w:val="00177302"/>
    <w:rsid w:val="0017733F"/>
    <w:rsid w:val="0017735C"/>
    <w:rsid w:val="001773A8"/>
    <w:rsid w:val="001773F4"/>
    <w:rsid w:val="001773FA"/>
    <w:rsid w:val="0017741E"/>
    <w:rsid w:val="0017744E"/>
    <w:rsid w:val="00177487"/>
    <w:rsid w:val="001774DB"/>
    <w:rsid w:val="0017750F"/>
    <w:rsid w:val="00177577"/>
    <w:rsid w:val="00177582"/>
    <w:rsid w:val="00177664"/>
    <w:rsid w:val="00177698"/>
    <w:rsid w:val="001776F5"/>
    <w:rsid w:val="001776F7"/>
    <w:rsid w:val="001776F8"/>
    <w:rsid w:val="0017772D"/>
    <w:rsid w:val="0017777A"/>
    <w:rsid w:val="00177787"/>
    <w:rsid w:val="001777CD"/>
    <w:rsid w:val="0017781F"/>
    <w:rsid w:val="0017783A"/>
    <w:rsid w:val="00177851"/>
    <w:rsid w:val="001778EE"/>
    <w:rsid w:val="00177903"/>
    <w:rsid w:val="00177910"/>
    <w:rsid w:val="0017791E"/>
    <w:rsid w:val="001779A6"/>
    <w:rsid w:val="00177A10"/>
    <w:rsid w:val="00177A64"/>
    <w:rsid w:val="00177AC5"/>
    <w:rsid w:val="00177AF6"/>
    <w:rsid w:val="00177B0A"/>
    <w:rsid w:val="00177B10"/>
    <w:rsid w:val="00177B36"/>
    <w:rsid w:val="00177B38"/>
    <w:rsid w:val="00177B5C"/>
    <w:rsid w:val="00177B91"/>
    <w:rsid w:val="00177BAB"/>
    <w:rsid w:val="00177BB5"/>
    <w:rsid w:val="00177BDB"/>
    <w:rsid w:val="00177C15"/>
    <w:rsid w:val="00177C16"/>
    <w:rsid w:val="00177C3E"/>
    <w:rsid w:val="00177C53"/>
    <w:rsid w:val="00177CBF"/>
    <w:rsid w:val="00177D0B"/>
    <w:rsid w:val="00177D64"/>
    <w:rsid w:val="00177DFD"/>
    <w:rsid w:val="00177E38"/>
    <w:rsid w:val="00177E5D"/>
    <w:rsid w:val="00177E6D"/>
    <w:rsid w:val="00177E6E"/>
    <w:rsid w:val="00177EBC"/>
    <w:rsid w:val="00177EC8"/>
    <w:rsid w:val="00177EFD"/>
    <w:rsid w:val="00177F35"/>
    <w:rsid w:val="00177FD6"/>
    <w:rsid w:val="00177FEB"/>
    <w:rsid w:val="00177FFA"/>
    <w:rsid w:val="00180098"/>
    <w:rsid w:val="0018009F"/>
    <w:rsid w:val="001800AC"/>
    <w:rsid w:val="00180123"/>
    <w:rsid w:val="0018013F"/>
    <w:rsid w:val="00180170"/>
    <w:rsid w:val="0018017D"/>
    <w:rsid w:val="001801EE"/>
    <w:rsid w:val="00180260"/>
    <w:rsid w:val="001802A4"/>
    <w:rsid w:val="00180389"/>
    <w:rsid w:val="001803FA"/>
    <w:rsid w:val="00180416"/>
    <w:rsid w:val="00180431"/>
    <w:rsid w:val="00180458"/>
    <w:rsid w:val="00180482"/>
    <w:rsid w:val="00180486"/>
    <w:rsid w:val="0018059E"/>
    <w:rsid w:val="001805E3"/>
    <w:rsid w:val="00180614"/>
    <w:rsid w:val="00180618"/>
    <w:rsid w:val="00180631"/>
    <w:rsid w:val="00180635"/>
    <w:rsid w:val="00180678"/>
    <w:rsid w:val="0018067E"/>
    <w:rsid w:val="0018069B"/>
    <w:rsid w:val="00180720"/>
    <w:rsid w:val="001807E5"/>
    <w:rsid w:val="001807F6"/>
    <w:rsid w:val="00180819"/>
    <w:rsid w:val="00180862"/>
    <w:rsid w:val="00180895"/>
    <w:rsid w:val="001808B0"/>
    <w:rsid w:val="00180909"/>
    <w:rsid w:val="00180942"/>
    <w:rsid w:val="00180946"/>
    <w:rsid w:val="0018094F"/>
    <w:rsid w:val="00180962"/>
    <w:rsid w:val="00180967"/>
    <w:rsid w:val="001809A3"/>
    <w:rsid w:val="001809BC"/>
    <w:rsid w:val="00180AAB"/>
    <w:rsid w:val="00180AB3"/>
    <w:rsid w:val="00180ACA"/>
    <w:rsid w:val="00180AD7"/>
    <w:rsid w:val="00180B40"/>
    <w:rsid w:val="00180B9C"/>
    <w:rsid w:val="00180C01"/>
    <w:rsid w:val="00180C13"/>
    <w:rsid w:val="00180C9D"/>
    <w:rsid w:val="00180CBD"/>
    <w:rsid w:val="00180D11"/>
    <w:rsid w:val="00180D12"/>
    <w:rsid w:val="00180D24"/>
    <w:rsid w:val="00180D32"/>
    <w:rsid w:val="00180D85"/>
    <w:rsid w:val="00180DD0"/>
    <w:rsid w:val="00180E0B"/>
    <w:rsid w:val="00180E23"/>
    <w:rsid w:val="00180EBB"/>
    <w:rsid w:val="00180F4B"/>
    <w:rsid w:val="00180F74"/>
    <w:rsid w:val="00180FA5"/>
    <w:rsid w:val="00180FF3"/>
    <w:rsid w:val="0018119A"/>
    <w:rsid w:val="00181218"/>
    <w:rsid w:val="00181233"/>
    <w:rsid w:val="00181258"/>
    <w:rsid w:val="00181285"/>
    <w:rsid w:val="001812E0"/>
    <w:rsid w:val="0018134F"/>
    <w:rsid w:val="00181350"/>
    <w:rsid w:val="0018137A"/>
    <w:rsid w:val="001813AC"/>
    <w:rsid w:val="001813D8"/>
    <w:rsid w:val="00181404"/>
    <w:rsid w:val="0018144F"/>
    <w:rsid w:val="00181487"/>
    <w:rsid w:val="001814F0"/>
    <w:rsid w:val="00181540"/>
    <w:rsid w:val="00181548"/>
    <w:rsid w:val="00181549"/>
    <w:rsid w:val="0018154E"/>
    <w:rsid w:val="00181571"/>
    <w:rsid w:val="0018157C"/>
    <w:rsid w:val="0018160F"/>
    <w:rsid w:val="00181632"/>
    <w:rsid w:val="00181658"/>
    <w:rsid w:val="00181671"/>
    <w:rsid w:val="001816AA"/>
    <w:rsid w:val="001816C8"/>
    <w:rsid w:val="001816D3"/>
    <w:rsid w:val="00181721"/>
    <w:rsid w:val="0018172F"/>
    <w:rsid w:val="00181734"/>
    <w:rsid w:val="0018178E"/>
    <w:rsid w:val="001817DC"/>
    <w:rsid w:val="001817F8"/>
    <w:rsid w:val="0018181C"/>
    <w:rsid w:val="00181828"/>
    <w:rsid w:val="00181864"/>
    <w:rsid w:val="0018189A"/>
    <w:rsid w:val="00181971"/>
    <w:rsid w:val="00181977"/>
    <w:rsid w:val="0018199C"/>
    <w:rsid w:val="001819DC"/>
    <w:rsid w:val="001819FB"/>
    <w:rsid w:val="00181AB0"/>
    <w:rsid w:val="00181B74"/>
    <w:rsid w:val="00181B95"/>
    <w:rsid w:val="00181C74"/>
    <w:rsid w:val="00181D1E"/>
    <w:rsid w:val="00181DB6"/>
    <w:rsid w:val="00181E19"/>
    <w:rsid w:val="00181F4C"/>
    <w:rsid w:val="00181F5B"/>
    <w:rsid w:val="00181F67"/>
    <w:rsid w:val="00181F6B"/>
    <w:rsid w:val="00181FB9"/>
    <w:rsid w:val="00181FD1"/>
    <w:rsid w:val="00181FE3"/>
    <w:rsid w:val="00182052"/>
    <w:rsid w:val="00182060"/>
    <w:rsid w:val="0018207E"/>
    <w:rsid w:val="001820E2"/>
    <w:rsid w:val="001820F4"/>
    <w:rsid w:val="00182137"/>
    <w:rsid w:val="001821A6"/>
    <w:rsid w:val="00182210"/>
    <w:rsid w:val="0018221F"/>
    <w:rsid w:val="00182296"/>
    <w:rsid w:val="001822F0"/>
    <w:rsid w:val="001822FB"/>
    <w:rsid w:val="001823C5"/>
    <w:rsid w:val="00182402"/>
    <w:rsid w:val="0018242D"/>
    <w:rsid w:val="0018245F"/>
    <w:rsid w:val="0018249B"/>
    <w:rsid w:val="001824A1"/>
    <w:rsid w:val="001824C2"/>
    <w:rsid w:val="001824DC"/>
    <w:rsid w:val="00182500"/>
    <w:rsid w:val="0018252B"/>
    <w:rsid w:val="0018254C"/>
    <w:rsid w:val="00182553"/>
    <w:rsid w:val="00182570"/>
    <w:rsid w:val="00182575"/>
    <w:rsid w:val="001825B4"/>
    <w:rsid w:val="001825F2"/>
    <w:rsid w:val="00182603"/>
    <w:rsid w:val="00182644"/>
    <w:rsid w:val="001826A5"/>
    <w:rsid w:val="001826C9"/>
    <w:rsid w:val="001826D3"/>
    <w:rsid w:val="0018270A"/>
    <w:rsid w:val="00182785"/>
    <w:rsid w:val="00182786"/>
    <w:rsid w:val="001828A8"/>
    <w:rsid w:val="001828B1"/>
    <w:rsid w:val="001828EC"/>
    <w:rsid w:val="00182903"/>
    <w:rsid w:val="0018290B"/>
    <w:rsid w:val="0018292C"/>
    <w:rsid w:val="00182936"/>
    <w:rsid w:val="00182973"/>
    <w:rsid w:val="0018298B"/>
    <w:rsid w:val="001829AF"/>
    <w:rsid w:val="001829C6"/>
    <w:rsid w:val="00182AC0"/>
    <w:rsid w:val="00182ADA"/>
    <w:rsid w:val="00182B1F"/>
    <w:rsid w:val="00182B48"/>
    <w:rsid w:val="00182BA1"/>
    <w:rsid w:val="00182BB0"/>
    <w:rsid w:val="00182C3E"/>
    <w:rsid w:val="00182CA7"/>
    <w:rsid w:val="00182D14"/>
    <w:rsid w:val="00182D4D"/>
    <w:rsid w:val="00182D68"/>
    <w:rsid w:val="00182DFD"/>
    <w:rsid w:val="00182E67"/>
    <w:rsid w:val="00182E6B"/>
    <w:rsid w:val="00182E76"/>
    <w:rsid w:val="00182E90"/>
    <w:rsid w:val="00182ECF"/>
    <w:rsid w:val="00182ED3"/>
    <w:rsid w:val="00182ED8"/>
    <w:rsid w:val="00182F17"/>
    <w:rsid w:val="00182F5B"/>
    <w:rsid w:val="00182FA6"/>
    <w:rsid w:val="00182FAA"/>
    <w:rsid w:val="00182FDA"/>
    <w:rsid w:val="00183011"/>
    <w:rsid w:val="0018303D"/>
    <w:rsid w:val="00183049"/>
    <w:rsid w:val="00183081"/>
    <w:rsid w:val="0018314E"/>
    <w:rsid w:val="00183195"/>
    <w:rsid w:val="001831C1"/>
    <w:rsid w:val="001831C7"/>
    <w:rsid w:val="001831D7"/>
    <w:rsid w:val="001831E5"/>
    <w:rsid w:val="001831EC"/>
    <w:rsid w:val="001831F3"/>
    <w:rsid w:val="0018320C"/>
    <w:rsid w:val="00183245"/>
    <w:rsid w:val="001832C4"/>
    <w:rsid w:val="001832F2"/>
    <w:rsid w:val="00183303"/>
    <w:rsid w:val="00183305"/>
    <w:rsid w:val="0018335A"/>
    <w:rsid w:val="001833DD"/>
    <w:rsid w:val="0018346C"/>
    <w:rsid w:val="001834BF"/>
    <w:rsid w:val="001834DB"/>
    <w:rsid w:val="00183535"/>
    <w:rsid w:val="00183542"/>
    <w:rsid w:val="00183557"/>
    <w:rsid w:val="00183580"/>
    <w:rsid w:val="00183585"/>
    <w:rsid w:val="00183586"/>
    <w:rsid w:val="0018359D"/>
    <w:rsid w:val="001835A5"/>
    <w:rsid w:val="001835C5"/>
    <w:rsid w:val="001835D4"/>
    <w:rsid w:val="001836E0"/>
    <w:rsid w:val="001836ED"/>
    <w:rsid w:val="00183707"/>
    <w:rsid w:val="0018375C"/>
    <w:rsid w:val="00183789"/>
    <w:rsid w:val="001837E2"/>
    <w:rsid w:val="001838A9"/>
    <w:rsid w:val="00183945"/>
    <w:rsid w:val="0018397C"/>
    <w:rsid w:val="001839BC"/>
    <w:rsid w:val="001839D2"/>
    <w:rsid w:val="001839F7"/>
    <w:rsid w:val="00183A0D"/>
    <w:rsid w:val="00183AA5"/>
    <w:rsid w:val="00183B0C"/>
    <w:rsid w:val="00183B27"/>
    <w:rsid w:val="00183B4E"/>
    <w:rsid w:val="00183B9D"/>
    <w:rsid w:val="00183C25"/>
    <w:rsid w:val="00183C4E"/>
    <w:rsid w:val="00183CDE"/>
    <w:rsid w:val="00183CE3"/>
    <w:rsid w:val="00183CFD"/>
    <w:rsid w:val="00183D47"/>
    <w:rsid w:val="00183D9E"/>
    <w:rsid w:val="00183DB2"/>
    <w:rsid w:val="00183E2C"/>
    <w:rsid w:val="00183E39"/>
    <w:rsid w:val="00183EC2"/>
    <w:rsid w:val="00183EE2"/>
    <w:rsid w:val="00183EED"/>
    <w:rsid w:val="00183F1F"/>
    <w:rsid w:val="00183F27"/>
    <w:rsid w:val="00183F30"/>
    <w:rsid w:val="00183F3C"/>
    <w:rsid w:val="00183FB7"/>
    <w:rsid w:val="00183FD8"/>
    <w:rsid w:val="00184036"/>
    <w:rsid w:val="0018403E"/>
    <w:rsid w:val="0018405E"/>
    <w:rsid w:val="00184072"/>
    <w:rsid w:val="00184076"/>
    <w:rsid w:val="001840A7"/>
    <w:rsid w:val="001840BF"/>
    <w:rsid w:val="00184180"/>
    <w:rsid w:val="001841DF"/>
    <w:rsid w:val="00184249"/>
    <w:rsid w:val="0018425F"/>
    <w:rsid w:val="00184288"/>
    <w:rsid w:val="00184293"/>
    <w:rsid w:val="0018429C"/>
    <w:rsid w:val="001842DE"/>
    <w:rsid w:val="001842FB"/>
    <w:rsid w:val="001843C4"/>
    <w:rsid w:val="0018442C"/>
    <w:rsid w:val="0018448E"/>
    <w:rsid w:val="001844A6"/>
    <w:rsid w:val="001844A9"/>
    <w:rsid w:val="001844B3"/>
    <w:rsid w:val="001844B6"/>
    <w:rsid w:val="001844C1"/>
    <w:rsid w:val="001844FF"/>
    <w:rsid w:val="00184507"/>
    <w:rsid w:val="001845CF"/>
    <w:rsid w:val="0018460A"/>
    <w:rsid w:val="0018464F"/>
    <w:rsid w:val="00184671"/>
    <w:rsid w:val="0018468E"/>
    <w:rsid w:val="001846F6"/>
    <w:rsid w:val="00184765"/>
    <w:rsid w:val="001847D2"/>
    <w:rsid w:val="00184822"/>
    <w:rsid w:val="0018483A"/>
    <w:rsid w:val="0018487C"/>
    <w:rsid w:val="001848BC"/>
    <w:rsid w:val="001848FA"/>
    <w:rsid w:val="00184953"/>
    <w:rsid w:val="00184962"/>
    <w:rsid w:val="001849D4"/>
    <w:rsid w:val="00184A2B"/>
    <w:rsid w:val="00184A33"/>
    <w:rsid w:val="00184A4C"/>
    <w:rsid w:val="00184AA0"/>
    <w:rsid w:val="00184AC8"/>
    <w:rsid w:val="00184B04"/>
    <w:rsid w:val="00184B05"/>
    <w:rsid w:val="00184BB5"/>
    <w:rsid w:val="00184BE4"/>
    <w:rsid w:val="00184BEE"/>
    <w:rsid w:val="00184C26"/>
    <w:rsid w:val="00184C47"/>
    <w:rsid w:val="00184C7E"/>
    <w:rsid w:val="00184C7F"/>
    <w:rsid w:val="00184D33"/>
    <w:rsid w:val="00184D42"/>
    <w:rsid w:val="00184D44"/>
    <w:rsid w:val="00184E88"/>
    <w:rsid w:val="00184FD2"/>
    <w:rsid w:val="00184FE8"/>
    <w:rsid w:val="00184FFD"/>
    <w:rsid w:val="0018502C"/>
    <w:rsid w:val="00185050"/>
    <w:rsid w:val="0018508C"/>
    <w:rsid w:val="001851B6"/>
    <w:rsid w:val="001851C0"/>
    <w:rsid w:val="00185288"/>
    <w:rsid w:val="001852A0"/>
    <w:rsid w:val="00185349"/>
    <w:rsid w:val="0018535F"/>
    <w:rsid w:val="00185397"/>
    <w:rsid w:val="001853A8"/>
    <w:rsid w:val="0018547C"/>
    <w:rsid w:val="0018549C"/>
    <w:rsid w:val="0018554F"/>
    <w:rsid w:val="0018556D"/>
    <w:rsid w:val="001855C2"/>
    <w:rsid w:val="001855D0"/>
    <w:rsid w:val="00185619"/>
    <w:rsid w:val="0018562A"/>
    <w:rsid w:val="00185670"/>
    <w:rsid w:val="001856C3"/>
    <w:rsid w:val="00185733"/>
    <w:rsid w:val="00185738"/>
    <w:rsid w:val="0018574F"/>
    <w:rsid w:val="0018577A"/>
    <w:rsid w:val="0018585F"/>
    <w:rsid w:val="001858B8"/>
    <w:rsid w:val="001858F9"/>
    <w:rsid w:val="00185962"/>
    <w:rsid w:val="001859A1"/>
    <w:rsid w:val="00185A3C"/>
    <w:rsid w:val="00185A40"/>
    <w:rsid w:val="00185A6A"/>
    <w:rsid w:val="00185AD8"/>
    <w:rsid w:val="00185B08"/>
    <w:rsid w:val="00185B2B"/>
    <w:rsid w:val="00185B56"/>
    <w:rsid w:val="00185B69"/>
    <w:rsid w:val="00185B6E"/>
    <w:rsid w:val="00185BBF"/>
    <w:rsid w:val="00185C4A"/>
    <w:rsid w:val="00185CAF"/>
    <w:rsid w:val="00185CBD"/>
    <w:rsid w:val="00185CC5"/>
    <w:rsid w:val="00185CD8"/>
    <w:rsid w:val="00185CFB"/>
    <w:rsid w:val="00185D1E"/>
    <w:rsid w:val="00185D20"/>
    <w:rsid w:val="00185D3E"/>
    <w:rsid w:val="00185D9F"/>
    <w:rsid w:val="00185DBF"/>
    <w:rsid w:val="00185DCF"/>
    <w:rsid w:val="00185DE0"/>
    <w:rsid w:val="00185DE6"/>
    <w:rsid w:val="00185E11"/>
    <w:rsid w:val="00185E92"/>
    <w:rsid w:val="00185EB4"/>
    <w:rsid w:val="00185EC5"/>
    <w:rsid w:val="00185F45"/>
    <w:rsid w:val="00185FA1"/>
    <w:rsid w:val="00185FB7"/>
    <w:rsid w:val="00185FCE"/>
    <w:rsid w:val="00185FCF"/>
    <w:rsid w:val="00185FE7"/>
    <w:rsid w:val="00186011"/>
    <w:rsid w:val="00186016"/>
    <w:rsid w:val="00186150"/>
    <w:rsid w:val="0018615F"/>
    <w:rsid w:val="0018618A"/>
    <w:rsid w:val="00186215"/>
    <w:rsid w:val="0018622C"/>
    <w:rsid w:val="00186362"/>
    <w:rsid w:val="00186376"/>
    <w:rsid w:val="00186395"/>
    <w:rsid w:val="001863A1"/>
    <w:rsid w:val="00186452"/>
    <w:rsid w:val="0018649A"/>
    <w:rsid w:val="001864C6"/>
    <w:rsid w:val="00186539"/>
    <w:rsid w:val="00186575"/>
    <w:rsid w:val="00186586"/>
    <w:rsid w:val="0018659C"/>
    <w:rsid w:val="001865D3"/>
    <w:rsid w:val="001865DE"/>
    <w:rsid w:val="001866D6"/>
    <w:rsid w:val="001866FA"/>
    <w:rsid w:val="00186702"/>
    <w:rsid w:val="0018670E"/>
    <w:rsid w:val="0018677D"/>
    <w:rsid w:val="00186787"/>
    <w:rsid w:val="00186839"/>
    <w:rsid w:val="00186861"/>
    <w:rsid w:val="001868A7"/>
    <w:rsid w:val="001868CE"/>
    <w:rsid w:val="00186912"/>
    <w:rsid w:val="00186A07"/>
    <w:rsid w:val="00186A16"/>
    <w:rsid w:val="00186A35"/>
    <w:rsid w:val="00186A87"/>
    <w:rsid w:val="00186A97"/>
    <w:rsid w:val="00186AB2"/>
    <w:rsid w:val="00186AF1"/>
    <w:rsid w:val="00186AFD"/>
    <w:rsid w:val="00186B72"/>
    <w:rsid w:val="00186B84"/>
    <w:rsid w:val="00186BD2"/>
    <w:rsid w:val="00186C01"/>
    <w:rsid w:val="00186C29"/>
    <w:rsid w:val="00186C3C"/>
    <w:rsid w:val="00186D09"/>
    <w:rsid w:val="00186D78"/>
    <w:rsid w:val="00186DBB"/>
    <w:rsid w:val="00186DBF"/>
    <w:rsid w:val="00186DC7"/>
    <w:rsid w:val="00186E04"/>
    <w:rsid w:val="00186E6A"/>
    <w:rsid w:val="00186E7F"/>
    <w:rsid w:val="00186E8E"/>
    <w:rsid w:val="00186E9E"/>
    <w:rsid w:val="00186EA8"/>
    <w:rsid w:val="00186ED5"/>
    <w:rsid w:val="00186EDA"/>
    <w:rsid w:val="00186EF7"/>
    <w:rsid w:val="00186F37"/>
    <w:rsid w:val="00186F43"/>
    <w:rsid w:val="00186F50"/>
    <w:rsid w:val="00186FAF"/>
    <w:rsid w:val="00186FB0"/>
    <w:rsid w:val="0018703A"/>
    <w:rsid w:val="00187088"/>
    <w:rsid w:val="00187094"/>
    <w:rsid w:val="001870CE"/>
    <w:rsid w:val="00187103"/>
    <w:rsid w:val="00187198"/>
    <w:rsid w:val="00187245"/>
    <w:rsid w:val="00187255"/>
    <w:rsid w:val="0018725A"/>
    <w:rsid w:val="00187281"/>
    <w:rsid w:val="00187286"/>
    <w:rsid w:val="0018728F"/>
    <w:rsid w:val="001872C9"/>
    <w:rsid w:val="0018732E"/>
    <w:rsid w:val="001873E9"/>
    <w:rsid w:val="00187416"/>
    <w:rsid w:val="0018741C"/>
    <w:rsid w:val="00187439"/>
    <w:rsid w:val="0018743F"/>
    <w:rsid w:val="00187474"/>
    <w:rsid w:val="00187555"/>
    <w:rsid w:val="0018759A"/>
    <w:rsid w:val="001875BC"/>
    <w:rsid w:val="0018762B"/>
    <w:rsid w:val="00187660"/>
    <w:rsid w:val="00187682"/>
    <w:rsid w:val="00187735"/>
    <w:rsid w:val="0018777A"/>
    <w:rsid w:val="00187786"/>
    <w:rsid w:val="001877D9"/>
    <w:rsid w:val="001877F0"/>
    <w:rsid w:val="00187800"/>
    <w:rsid w:val="00187805"/>
    <w:rsid w:val="0018783E"/>
    <w:rsid w:val="0018783F"/>
    <w:rsid w:val="00187906"/>
    <w:rsid w:val="0018793F"/>
    <w:rsid w:val="0018795A"/>
    <w:rsid w:val="00187963"/>
    <w:rsid w:val="00187986"/>
    <w:rsid w:val="001879BA"/>
    <w:rsid w:val="001879BB"/>
    <w:rsid w:val="001879E0"/>
    <w:rsid w:val="001879F2"/>
    <w:rsid w:val="00187A4C"/>
    <w:rsid w:val="00187B0D"/>
    <w:rsid w:val="00187B11"/>
    <w:rsid w:val="00187B35"/>
    <w:rsid w:val="00187B89"/>
    <w:rsid w:val="00187BBC"/>
    <w:rsid w:val="00187BF0"/>
    <w:rsid w:val="00187C2A"/>
    <w:rsid w:val="00187C4A"/>
    <w:rsid w:val="00187C89"/>
    <w:rsid w:val="00187CDF"/>
    <w:rsid w:val="00187CF3"/>
    <w:rsid w:val="00187CF8"/>
    <w:rsid w:val="00187D1F"/>
    <w:rsid w:val="00187D39"/>
    <w:rsid w:val="00187D69"/>
    <w:rsid w:val="00187DB9"/>
    <w:rsid w:val="00187DE2"/>
    <w:rsid w:val="00187DF0"/>
    <w:rsid w:val="00187EAC"/>
    <w:rsid w:val="00187EAD"/>
    <w:rsid w:val="00187EB4"/>
    <w:rsid w:val="00187ED2"/>
    <w:rsid w:val="00187FC9"/>
    <w:rsid w:val="00187FD3"/>
    <w:rsid w:val="0019005F"/>
    <w:rsid w:val="0019010B"/>
    <w:rsid w:val="00190163"/>
    <w:rsid w:val="00190193"/>
    <w:rsid w:val="0019021F"/>
    <w:rsid w:val="001902E8"/>
    <w:rsid w:val="00190381"/>
    <w:rsid w:val="00190387"/>
    <w:rsid w:val="0019039A"/>
    <w:rsid w:val="001903FD"/>
    <w:rsid w:val="00190413"/>
    <w:rsid w:val="0019047B"/>
    <w:rsid w:val="001904A4"/>
    <w:rsid w:val="001904F8"/>
    <w:rsid w:val="00190578"/>
    <w:rsid w:val="00190585"/>
    <w:rsid w:val="001905D8"/>
    <w:rsid w:val="001905F1"/>
    <w:rsid w:val="00190609"/>
    <w:rsid w:val="0019062D"/>
    <w:rsid w:val="00190636"/>
    <w:rsid w:val="00190662"/>
    <w:rsid w:val="00190674"/>
    <w:rsid w:val="0019068D"/>
    <w:rsid w:val="0019070C"/>
    <w:rsid w:val="0019071D"/>
    <w:rsid w:val="00190721"/>
    <w:rsid w:val="001907C4"/>
    <w:rsid w:val="001908B5"/>
    <w:rsid w:val="001908BA"/>
    <w:rsid w:val="0019091D"/>
    <w:rsid w:val="00190951"/>
    <w:rsid w:val="00190957"/>
    <w:rsid w:val="0019095B"/>
    <w:rsid w:val="0019098E"/>
    <w:rsid w:val="001909BA"/>
    <w:rsid w:val="00190A49"/>
    <w:rsid w:val="00190A54"/>
    <w:rsid w:val="00190A98"/>
    <w:rsid w:val="00190AA0"/>
    <w:rsid w:val="00190AA9"/>
    <w:rsid w:val="00190AC6"/>
    <w:rsid w:val="00190B0A"/>
    <w:rsid w:val="00190B2D"/>
    <w:rsid w:val="00190BA6"/>
    <w:rsid w:val="00190C46"/>
    <w:rsid w:val="00190C96"/>
    <w:rsid w:val="00190CEA"/>
    <w:rsid w:val="00190D6F"/>
    <w:rsid w:val="00190DA3"/>
    <w:rsid w:val="00190DB2"/>
    <w:rsid w:val="00190E36"/>
    <w:rsid w:val="00190E39"/>
    <w:rsid w:val="00190EAA"/>
    <w:rsid w:val="00190F61"/>
    <w:rsid w:val="00190FEC"/>
    <w:rsid w:val="00190FF4"/>
    <w:rsid w:val="00190FFE"/>
    <w:rsid w:val="00191025"/>
    <w:rsid w:val="0019102C"/>
    <w:rsid w:val="00191044"/>
    <w:rsid w:val="00191061"/>
    <w:rsid w:val="00191079"/>
    <w:rsid w:val="001910B9"/>
    <w:rsid w:val="001910F0"/>
    <w:rsid w:val="001910FA"/>
    <w:rsid w:val="001911E0"/>
    <w:rsid w:val="001911E9"/>
    <w:rsid w:val="001911F1"/>
    <w:rsid w:val="00191209"/>
    <w:rsid w:val="0019130A"/>
    <w:rsid w:val="00191310"/>
    <w:rsid w:val="00191326"/>
    <w:rsid w:val="0019139A"/>
    <w:rsid w:val="001913B4"/>
    <w:rsid w:val="001913E6"/>
    <w:rsid w:val="001913F7"/>
    <w:rsid w:val="00191403"/>
    <w:rsid w:val="00191420"/>
    <w:rsid w:val="00191435"/>
    <w:rsid w:val="00191470"/>
    <w:rsid w:val="001914E9"/>
    <w:rsid w:val="0019153E"/>
    <w:rsid w:val="00191549"/>
    <w:rsid w:val="00191553"/>
    <w:rsid w:val="0019158A"/>
    <w:rsid w:val="001915AD"/>
    <w:rsid w:val="001915B6"/>
    <w:rsid w:val="001915CF"/>
    <w:rsid w:val="001916EF"/>
    <w:rsid w:val="00191732"/>
    <w:rsid w:val="00191764"/>
    <w:rsid w:val="00191838"/>
    <w:rsid w:val="00191856"/>
    <w:rsid w:val="0019186A"/>
    <w:rsid w:val="001918A2"/>
    <w:rsid w:val="001918E5"/>
    <w:rsid w:val="001918FF"/>
    <w:rsid w:val="00191908"/>
    <w:rsid w:val="0019190E"/>
    <w:rsid w:val="00191918"/>
    <w:rsid w:val="00191944"/>
    <w:rsid w:val="0019197F"/>
    <w:rsid w:val="0019198C"/>
    <w:rsid w:val="00191993"/>
    <w:rsid w:val="001919B9"/>
    <w:rsid w:val="001919EB"/>
    <w:rsid w:val="001919EC"/>
    <w:rsid w:val="00191A3A"/>
    <w:rsid w:val="00191A41"/>
    <w:rsid w:val="00191A47"/>
    <w:rsid w:val="00191A48"/>
    <w:rsid w:val="00191A70"/>
    <w:rsid w:val="00191AA3"/>
    <w:rsid w:val="00191AD3"/>
    <w:rsid w:val="00191ADE"/>
    <w:rsid w:val="00191AF4"/>
    <w:rsid w:val="00191B0A"/>
    <w:rsid w:val="00191B4F"/>
    <w:rsid w:val="00191B54"/>
    <w:rsid w:val="00191B7D"/>
    <w:rsid w:val="00191C69"/>
    <w:rsid w:val="00191C87"/>
    <w:rsid w:val="00191C9B"/>
    <w:rsid w:val="00191D90"/>
    <w:rsid w:val="00191D95"/>
    <w:rsid w:val="00191DA2"/>
    <w:rsid w:val="00191DA9"/>
    <w:rsid w:val="00191E10"/>
    <w:rsid w:val="00191E2F"/>
    <w:rsid w:val="00191E79"/>
    <w:rsid w:val="00191E82"/>
    <w:rsid w:val="00191E83"/>
    <w:rsid w:val="00191ED9"/>
    <w:rsid w:val="00191F73"/>
    <w:rsid w:val="00191FD0"/>
    <w:rsid w:val="00191FF0"/>
    <w:rsid w:val="00191FF3"/>
    <w:rsid w:val="00192006"/>
    <w:rsid w:val="0019200C"/>
    <w:rsid w:val="0019200F"/>
    <w:rsid w:val="00192059"/>
    <w:rsid w:val="00192109"/>
    <w:rsid w:val="00192137"/>
    <w:rsid w:val="00192182"/>
    <w:rsid w:val="0019219F"/>
    <w:rsid w:val="0019221F"/>
    <w:rsid w:val="0019222A"/>
    <w:rsid w:val="00192274"/>
    <w:rsid w:val="00192277"/>
    <w:rsid w:val="00192286"/>
    <w:rsid w:val="001922A0"/>
    <w:rsid w:val="001922A4"/>
    <w:rsid w:val="001922BD"/>
    <w:rsid w:val="001922DA"/>
    <w:rsid w:val="00192320"/>
    <w:rsid w:val="00192333"/>
    <w:rsid w:val="001923FE"/>
    <w:rsid w:val="00192474"/>
    <w:rsid w:val="0019247B"/>
    <w:rsid w:val="0019251C"/>
    <w:rsid w:val="00192531"/>
    <w:rsid w:val="00192575"/>
    <w:rsid w:val="0019257B"/>
    <w:rsid w:val="001925D0"/>
    <w:rsid w:val="00192604"/>
    <w:rsid w:val="0019261F"/>
    <w:rsid w:val="0019262E"/>
    <w:rsid w:val="00192642"/>
    <w:rsid w:val="00192697"/>
    <w:rsid w:val="001926B1"/>
    <w:rsid w:val="001926B6"/>
    <w:rsid w:val="001926C8"/>
    <w:rsid w:val="001927A0"/>
    <w:rsid w:val="001927F0"/>
    <w:rsid w:val="0019281D"/>
    <w:rsid w:val="001928A8"/>
    <w:rsid w:val="001928DB"/>
    <w:rsid w:val="0019291F"/>
    <w:rsid w:val="00192924"/>
    <w:rsid w:val="00192939"/>
    <w:rsid w:val="00192991"/>
    <w:rsid w:val="00192A3E"/>
    <w:rsid w:val="00192A5A"/>
    <w:rsid w:val="00192A92"/>
    <w:rsid w:val="00192B29"/>
    <w:rsid w:val="00192B5C"/>
    <w:rsid w:val="00192BD7"/>
    <w:rsid w:val="00192C03"/>
    <w:rsid w:val="00192C2B"/>
    <w:rsid w:val="00192C2F"/>
    <w:rsid w:val="00192C3B"/>
    <w:rsid w:val="00192C72"/>
    <w:rsid w:val="00192CFE"/>
    <w:rsid w:val="00192D78"/>
    <w:rsid w:val="00192D79"/>
    <w:rsid w:val="00192DD6"/>
    <w:rsid w:val="00192DEA"/>
    <w:rsid w:val="00192DF0"/>
    <w:rsid w:val="00192EC0"/>
    <w:rsid w:val="00192ECE"/>
    <w:rsid w:val="00192ED7"/>
    <w:rsid w:val="00192EEE"/>
    <w:rsid w:val="00192F6D"/>
    <w:rsid w:val="00192FA4"/>
    <w:rsid w:val="00192FFA"/>
    <w:rsid w:val="0019306E"/>
    <w:rsid w:val="0019307E"/>
    <w:rsid w:val="0019308C"/>
    <w:rsid w:val="001930C3"/>
    <w:rsid w:val="0019311D"/>
    <w:rsid w:val="00193143"/>
    <w:rsid w:val="00193289"/>
    <w:rsid w:val="001932C1"/>
    <w:rsid w:val="0019332B"/>
    <w:rsid w:val="00193337"/>
    <w:rsid w:val="0019335F"/>
    <w:rsid w:val="0019337D"/>
    <w:rsid w:val="001933BA"/>
    <w:rsid w:val="001933C8"/>
    <w:rsid w:val="0019346E"/>
    <w:rsid w:val="0019347D"/>
    <w:rsid w:val="0019347F"/>
    <w:rsid w:val="00193480"/>
    <w:rsid w:val="001934B7"/>
    <w:rsid w:val="0019352E"/>
    <w:rsid w:val="00193540"/>
    <w:rsid w:val="001935BF"/>
    <w:rsid w:val="00193653"/>
    <w:rsid w:val="001936F2"/>
    <w:rsid w:val="00193703"/>
    <w:rsid w:val="00193791"/>
    <w:rsid w:val="00193794"/>
    <w:rsid w:val="001937A0"/>
    <w:rsid w:val="001937D7"/>
    <w:rsid w:val="001937FC"/>
    <w:rsid w:val="0019380B"/>
    <w:rsid w:val="0019384C"/>
    <w:rsid w:val="0019384F"/>
    <w:rsid w:val="001938B8"/>
    <w:rsid w:val="0019392A"/>
    <w:rsid w:val="00193965"/>
    <w:rsid w:val="001939B1"/>
    <w:rsid w:val="00193A88"/>
    <w:rsid w:val="00193B00"/>
    <w:rsid w:val="00193B2B"/>
    <w:rsid w:val="00193C2B"/>
    <w:rsid w:val="00193C3B"/>
    <w:rsid w:val="00193C54"/>
    <w:rsid w:val="00193C6D"/>
    <w:rsid w:val="00193C79"/>
    <w:rsid w:val="00193CE7"/>
    <w:rsid w:val="00193CF2"/>
    <w:rsid w:val="00193D00"/>
    <w:rsid w:val="00193D22"/>
    <w:rsid w:val="00193D24"/>
    <w:rsid w:val="00193D27"/>
    <w:rsid w:val="00193D67"/>
    <w:rsid w:val="00193D8D"/>
    <w:rsid w:val="00193E13"/>
    <w:rsid w:val="00193E45"/>
    <w:rsid w:val="00193E63"/>
    <w:rsid w:val="00193E64"/>
    <w:rsid w:val="00193E66"/>
    <w:rsid w:val="00193E76"/>
    <w:rsid w:val="00193E78"/>
    <w:rsid w:val="00193E9E"/>
    <w:rsid w:val="00193F0B"/>
    <w:rsid w:val="00193F29"/>
    <w:rsid w:val="00193F69"/>
    <w:rsid w:val="00193F85"/>
    <w:rsid w:val="00193FAD"/>
    <w:rsid w:val="0019401C"/>
    <w:rsid w:val="00194039"/>
    <w:rsid w:val="00194055"/>
    <w:rsid w:val="001940BA"/>
    <w:rsid w:val="001940E4"/>
    <w:rsid w:val="001940EA"/>
    <w:rsid w:val="00194141"/>
    <w:rsid w:val="001941CF"/>
    <w:rsid w:val="001941E5"/>
    <w:rsid w:val="00194234"/>
    <w:rsid w:val="00194254"/>
    <w:rsid w:val="00194259"/>
    <w:rsid w:val="00194281"/>
    <w:rsid w:val="001942A8"/>
    <w:rsid w:val="001942AA"/>
    <w:rsid w:val="001942AC"/>
    <w:rsid w:val="001942B6"/>
    <w:rsid w:val="00194384"/>
    <w:rsid w:val="00194409"/>
    <w:rsid w:val="00194424"/>
    <w:rsid w:val="0019445B"/>
    <w:rsid w:val="0019449F"/>
    <w:rsid w:val="001944A4"/>
    <w:rsid w:val="001944E2"/>
    <w:rsid w:val="001944ED"/>
    <w:rsid w:val="0019450E"/>
    <w:rsid w:val="0019452E"/>
    <w:rsid w:val="0019456F"/>
    <w:rsid w:val="001945DC"/>
    <w:rsid w:val="00194623"/>
    <w:rsid w:val="00194639"/>
    <w:rsid w:val="00194651"/>
    <w:rsid w:val="00194668"/>
    <w:rsid w:val="00194759"/>
    <w:rsid w:val="001947E1"/>
    <w:rsid w:val="001947F3"/>
    <w:rsid w:val="0019480C"/>
    <w:rsid w:val="0019484D"/>
    <w:rsid w:val="0019485F"/>
    <w:rsid w:val="00194865"/>
    <w:rsid w:val="00194889"/>
    <w:rsid w:val="00194890"/>
    <w:rsid w:val="001948CA"/>
    <w:rsid w:val="001948DE"/>
    <w:rsid w:val="001948FE"/>
    <w:rsid w:val="0019492A"/>
    <w:rsid w:val="00194954"/>
    <w:rsid w:val="0019496A"/>
    <w:rsid w:val="001949CB"/>
    <w:rsid w:val="001949CF"/>
    <w:rsid w:val="001949F8"/>
    <w:rsid w:val="00194A1E"/>
    <w:rsid w:val="00194A6F"/>
    <w:rsid w:val="00194AB5"/>
    <w:rsid w:val="00194B4A"/>
    <w:rsid w:val="00194B60"/>
    <w:rsid w:val="00194B67"/>
    <w:rsid w:val="00194BBF"/>
    <w:rsid w:val="00194C74"/>
    <w:rsid w:val="00194C76"/>
    <w:rsid w:val="00194C9D"/>
    <w:rsid w:val="00194CA4"/>
    <w:rsid w:val="00194D0E"/>
    <w:rsid w:val="00194D26"/>
    <w:rsid w:val="00194D82"/>
    <w:rsid w:val="00194DF9"/>
    <w:rsid w:val="00194EB5"/>
    <w:rsid w:val="00194EFA"/>
    <w:rsid w:val="00194F15"/>
    <w:rsid w:val="00194FBD"/>
    <w:rsid w:val="00194FDC"/>
    <w:rsid w:val="00195006"/>
    <w:rsid w:val="00195037"/>
    <w:rsid w:val="00195088"/>
    <w:rsid w:val="0019509E"/>
    <w:rsid w:val="001950A2"/>
    <w:rsid w:val="001950EE"/>
    <w:rsid w:val="001950FB"/>
    <w:rsid w:val="0019511F"/>
    <w:rsid w:val="00195193"/>
    <w:rsid w:val="0019519F"/>
    <w:rsid w:val="001951DB"/>
    <w:rsid w:val="00195230"/>
    <w:rsid w:val="00195278"/>
    <w:rsid w:val="00195286"/>
    <w:rsid w:val="0019529B"/>
    <w:rsid w:val="001952E4"/>
    <w:rsid w:val="0019530C"/>
    <w:rsid w:val="0019533B"/>
    <w:rsid w:val="00195345"/>
    <w:rsid w:val="00195380"/>
    <w:rsid w:val="00195393"/>
    <w:rsid w:val="0019539C"/>
    <w:rsid w:val="0019539F"/>
    <w:rsid w:val="001953A0"/>
    <w:rsid w:val="0019540C"/>
    <w:rsid w:val="001954A9"/>
    <w:rsid w:val="001954F6"/>
    <w:rsid w:val="00195504"/>
    <w:rsid w:val="0019556E"/>
    <w:rsid w:val="001955D6"/>
    <w:rsid w:val="001955FE"/>
    <w:rsid w:val="00195639"/>
    <w:rsid w:val="0019566D"/>
    <w:rsid w:val="00195673"/>
    <w:rsid w:val="001956EA"/>
    <w:rsid w:val="001956F9"/>
    <w:rsid w:val="0019570C"/>
    <w:rsid w:val="0019571D"/>
    <w:rsid w:val="00195736"/>
    <w:rsid w:val="00195765"/>
    <w:rsid w:val="00195767"/>
    <w:rsid w:val="00195779"/>
    <w:rsid w:val="001957A1"/>
    <w:rsid w:val="00195808"/>
    <w:rsid w:val="0019585E"/>
    <w:rsid w:val="001958A0"/>
    <w:rsid w:val="001958B2"/>
    <w:rsid w:val="001958DF"/>
    <w:rsid w:val="001958EC"/>
    <w:rsid w:val="00195932"/>
    <w:rsid w:val="00195994"/>
    <w:rsid w:val="00195AA1"/>
    <w:rsid w:val="00195AA4"/>
    <w:rsid w:val="00195ABA"/>
    <w:rsid w:val="00195BA9"/>
    <w:rsid w:val="00195BAD"/>
    <w:rsid w:val="00195BB7"/>
    <w:rsid w:val="00195BBE"/>
    <w:rsid w:val="00195C00"/>
    <w:rsid w:val="00195C21"/>
    <w:rsid w:val="00195C74"/>
    <w:rsid w:val="00195C9A"/>
    <w:rsid w:val="00195CDE"/>
    <w:rsid w:val="00195D09"/>
    <w:rsid w:val="00195D5E"/>
    <w:rsid w:val="00195DD9"/>
    <w:rsid w:val="00195DDD"/>
    <w:rsid w:val="00195E4F"/>
    <w:rsid w:val="00195E61"/>
    <w:rsid w:val="00195E68"/>
    <w:rsid w:val="00195E75"/>
    <w:rsid w:val="00195E7A"/>
    <w:rsid w:val="00195E86"/>
    <w:rsid w:val="00195EAC"/>
    <w:rsid w:val="00195EC9"/>
    <w:rsid w:val="00195ED1"/>
    <w:rsid w:val="00195F11"/>
    <w:rsid w:val="00195FCF"/>
    <w:rsid w:val="0019604B"/>
    <w:rsid w:val="00196056"/>
    <w:rsid w:val="0019606C"/>
    <w:rsid w:val="001960AB"/>
    <w:rsid w:val="001960EF"/>
    <w:rsid w:val="001960FA"/>
    <w:rsid w:val="00196132"/>
    <w:rsid w:val="0019615A"/>
    <w:rsid w:val="001961B4"/>
    <w:rsid w:val="001961B8"/>
    <w:rsid w:val="001961E8"/>
    <w:rsid w:val="00196222"/>
    <w:rsid w:val="00196225"/>
    <w:rsid w:val="0019622D"/>
    <w:rsid w:val="00196248"/>
    <w:rsid w:val="00196249"/>
    <w:rsid w:val="00196281"/>
    <w:rsid w:val="001962E3"/>
    <w:rsid w:val="001962E7"/>
    <w:rsid w:val="001962FD"/>
    <w:rsid w:val="0019630F"/>
    <w:rsid w:val="00196325"/>
    <w:rsid w:val="00196347"/>
    <w:rsid w:val="00196358"/>
    <w:rsid w:val="0019635B"/>
    <w:rsid w:val="0019637C"/>
    <w:rsid w:val="00196397"/>
    <w:rsid w:val="001963D8"/>
    <w:rsid w:val="001963E6"/>
    <w:rsid w:val="001964B4"/>
    <w:rsid w:val="001964BF"/>
    <w:rsid w:val="001964EE"/>
    <w:rsid w:val="00196511"/>
    <w:rsid w:val="0019651B"/>
    <w:rsid w:val="001965FF"/>
    <w:rsid w:val="0019665D"/>
    <w:rsid w:val="00196695"/>
    <w:rsid w:val="001966AA"/>
    <w:rsid w:val="001966C6"/>
    <w:rsid w:val="001966D9"/>
    <w:rsid w:val="00196727"/>
    <w:rsid w:val="00196749"/>
    <w:rsid w:val="001967E9"/>
    <w:rsid w:val="001967FE"/>
    <w:rsid w:val="0019686B"/>
    <w:rsid w:val="001968AA"/>
    <w:rsid w:val="001969A9"/>
    <w:rsid w:val="001969BB"/>
    <w:rsid w:val="001969D7"/>
    <w:rsid w:val="001969FC"/>
    <w:rsid w:val="00196A1B"/>
    <w:rsid w:val="00196A71"/>
    <w:rsid w:val="00196A7D"/>
    <w:rsid w:val="00196A80"/>
    <w:rsid w:val="00196A91"/>
    <w:rsid w:val="00196B22"/>
    <w:rsid w:val="00196B23"/>
    <w:rsid w:val="00196B73"/>
    <w:rsid w:val="00196B95"/>
    <w:rsid w:val="00196BEF"/>
    <w:rsid w:val="00196C2A"/>
    <w:rsid w:val="00196C3F"/>
    <w:rsid w:val="00196CAA"/>
    <w:rsid w:val="00196CC4"/>
    <w:rsid w:val="00196CE9"/>
    <w:rsid w:val="00196D23"/>
    <w:rsid w:val="00196D27"/>
    <w:rsid w:val="00196D9C"/>
    <w:rsid w:val="00196DC4"/>
    <w:rsid w:val="00196DF2"/>
    <w:rsid w:val="00196E52"/>
    <w:rsid w:val="00196E5F"/>
    <w:rsid w:val="00196E90"/>
    <w:rsid w:val="00196EBB"/>
    <w:rsid w:val="00196EC2"/>
    <w:rsid w:val="00196F1E"/>
    <w:rsid w:val="00197009"/>
    <w:rsid w:val="00197013"/>
    <w:rsid w:val="0019705B"/>
    <w:rsid w:val="001970F9"/>
    <w:rsid w:val="00197130"/>
    <w:rsid w:val="00197160"/>
    <w:rsid w:val="001971AD"/>
    <w:rsid w:val="001971B7"/>
    <w:rsid w:val="001971E4"/>
    <w:rsid w:val="00197214"/>
    <w:rsid w:val="00197242"/>
    <w:rsid w:val="0019728F"/>
    <w:rsid w:val="001972A0"/>
    <w:rsid w:val="00197356"/>
    <w:rsid w:val="00197367"/>
    <w:rsid w:val="00197379"/>
    <w:rsid w:val="001973C2"/>
    <w:rsid w:val="001973EE"/>
    <w:rsid w:val="00197417"/>
    <w:rsid w:val="00197462"/>
    <w:rsid w:val="0019747E"/>
    <w:rsid w:val="00197483"/>
    <w:rsid w:val="001974D3"/>
    <w:rsid w:val="001974DB"/>
    <w:rsid w:val="001974E1"/>
    <w:rsid w:val="0019754D"/>
    <w:rsid w:val="00197573"/>
    <w:rsid w:val="001975F6"/>
    <w:rsid w:val="00197626"/>
    <w:rsid w:val="00197670"/>
    <w:rsid w:val="00197680"/>
    <w:rsid w:val="0019769D"/>
    <w:rsid w:val="0019778F"/>
    <w:rsid w:val="001977F7"/>
    <w:rsid w:val="0019784F"/>
    <w:rsid w:val="00197863"/>
    <w:rsid w:val="00197900"/>
    <w:rsid w:val="0019795A"/>
    <w:rsid w:val="001979CB"/>
    <w:rsid w:val="001979F9"/>
    <w:rsid w:val="00197A13"/>
    <w:rsid w:val="00197A2C"/>
    <w:rsid w:val="00197A65"/>
    <w:rsid w:val="00197AAC"/>
    <w:rsid w:val="00197ACA"/>
    <w:rsid w:val="00197AEF"/>
    <w:rsid w:val="00197B32"/>
    <w:rsid w:val="00197B50"/>
    <w:rsid w:val="00197BFD"/>
    <w:rsid w:val="00197BFF"/>
    <w:rsid w:val="00197C33"/>
    <w:rsid w:val="00197C97"/>
    <w:rsid w:val="00197CB2"/>
    <w:rsid w:val="00197CBE"/>
    <w:rsid w:val="00197CC1"/>
    <w:rsid w:val="00197CEB"/>
    <w:rsid w:val="00197D24"/>
    <w:rsid w:val="00197D30"/>
    <w:rsid w:val="00197D61"/>
    <w:rsid w:val="00197D9D"/>
    <w:rsid w:val="00197DA9"/>
    <w:rsid w:val="00197E78"/>
    <w:rsid w:val="00197E7F"/>
    <w:rsid w:val="00197E89"/>
    <w:rsid w:val="00197E8E"/>
    <w:rsid w:val="00197E9C"/>
    <w:rsid w:val="00197EA3"/>
    <w:rsid w:val="00197F3F"/>
    <w:rsid w:val="00197F6E"/>
    <w:rsid w:val="00197FD5"/>
    <w:rsid w:val="00197FE3"/>
    <w:rsid w:val="001A0015"/>
    <w:rsid w:val="001A0071"/>
    <w:rsid w:val="001A00C3"/>
    <w:rsid w:val="001A00D0"/>
    <w:rsid w:val="001A00ED"/>
    <w:rsid w:val="001A012B"/>
    <w:rsid w:val="001A0157"/>
    <w:rsid w:val="001A0168"/>
    <w:rsid w:val="001A017D"/>
    <w:rsid w:val="001A017E"/>
    <w:rsid w:val="001A02B2"/>
    <w:rsid w:val="001A035A"/>
    <w:rsid w:val="001A03C2"/>
    <w:rsid w:val="001A03D0"/>
    <w:rsid w:val="001A03D9"/>
    <w:rsid w:val="001A03DD"/>
    <w:rsid w:val="001A03EC"/>
    <w:rsid w:val="001A03ED"/>
    <w:rsid w:val="001A03F2"/>
    <w:rsid w:val="001A03FA"/>
    <w:rsid w:val="001A0410"/>
    <w:rsid w:val="001A0422"/>
    <w:rsid w:val="001A043F"/>
    <w:rsid w:val="001A0487"/>
    <w:rsid w:val="001A048E"/>
    <w:rsid w:val="001A050D"/>
    <w:rsid w:val="001A0524"/>
    <w:rsid w:val="001A054F"/>
    <w:rsid w:val="001A056C"/>
    <w:rsid w:val="001A0589"/>
    <w:rsid w:val="001A05F3"/>
    <w:rsid w:val="001A065D"/>
    <w:rsid w:val="001A0691"/>
    <w:rsid w:val="001A06A2"/>
    <w:rsid w:val="001A06AC"/>
    <w:rsid w:val="001A06BD"/>
    <w:rsid w:val="001A06D5"/>
    <w:rsid w:val="001A071E"/>
    <w:rsid w:val="001A0756"/>
    <w:rsid w:val="001A077C"/>
    <w:rsid w:val="001A07B6"/>
    <w:rsid w:val="001A07C5"/>
    <w:rsid w:val="001A084A"/>
    <w:rsid w:val="001A08A2"/>
    <w:rsid w:val="001A08D6"/>
    <w:rsid w:val="001A0903"/>
    <w:rsid w:val="001A0958"/>
    <w:rsid w:val="001A095B"/>
    <w:rsid w:val="001A097E"/>
    <w:rsid w:val="001A09BF"/>
    <w:rsid w:val="001A09DD"/>
    <w:rsid w:val="001A0A28"/>
    <w:rsid w:val="001A0A70"/>
    <w:rsid w:val="001A0A9A"/>
    <w:rsid w:val="001A0AFC"/>
    <w:rsid w:val="001A0B01"/>
    <w:rsid w:val="001A0B58"/>
    <w:rsid w:val="001A0BC4"/>
    <w:rsid w:val="001A0C0D"/>
    <w:rsid w:val="001A0C36"/>
    <w:rsid w:val="001A0C66"/>
    <w:rsid w:val="001A0CBA"/>
    <w:rsid w:val="001A0CF2"/>
    <w:rsid w:val="001A0D0C"/>
    <w:rsid w:val="001A0D97"/>
    <w:rsid w:val="001A0DA3"/>
    <w:rsid w:val="001A0DEF"/>
    <w:rsid w:val="001A0E0A"/>
    <w:rsid w:val="001A0E36"/>
    <w:rsid w:val="001A0E8A"/>
    <w:rsid w:val="001A0E90"/>
    <w:rsid w:val="001A0E92"/>
    <w:rsid w:val="001A0E9F"/>
    <w:rsid w:val="001A0EC0"/>
    <w:rsid w:val="001A0F01"/>
    <w:rsid w:val="001A0F23"/>
    <w:rsid w:val="001A1026"/>
    <w:rsid w:val="001A1045"/>
    <w:rsid w:val="001A1047"/>
    <w:rsid w:val="001A1053"/>
    <w:rsid w:val="001A10AA"/>
    <w:rsid w:val="001A10D5"/>
    <w:rsid w:val="001A1111"/>
    <w:rsid w:val="001A113C"/>
    <w:rsid w:val="001A116D"/>
    <w:rsid w:val="001A1197"/>
    <w:rsid w:val="001A119F"/>
    <w:rsid w:val="001A11CC"/>
    <w:rsid w:val="001A11FB"/>
    <w:rsid w:val="001A1243"/>
    <w:rsid w:val="001A12A3"/>
    <w:rsid w:val="001A12C5"/>
    <w:rsid w:val="001A12CA"/>
    <w:rsid w:val="001A12FB"/>
    <w:rsid w:val="001A1302"/>
    <w:rsid w:val="001A1303"/>
    <w:rsid w:val="001A1377"/>
    <w:rsid w:val="001A1378"/>
    <w:rsid w:val="001A139E"/>
    <w:rsid w:val="001A143C"/>
    <w:rsid w:val="001A144D"/>
    <w:rsid w:val="001A1451"/>
    <w:rsid w:val="001A145B"/>
    <w:rsid w:val="001A14C5"/>
    <w:rsid w:val="001A14F1"/>
    <w:rsid w:val="001A154C"/>
    <w:rsid w:val="001A1619"/>
    <w:rsid w:val="001A162A"/>
    <w:rsid w:val="001A16C1"/>
    <w:rsid w:val="001A16D0"/>
    <w:rsid w:val="001A17B2"/>
    <w:rsid w:val="001A17F5"/>
    <w:rsid w:val="001A1806"/>
    <w:rsid w:val="001A1807"/>
    <w:rsid w:val="001A1855"/>
    <w:rsid w:val="001A18A9"/>
    <w:rsid w:val="001A18AD"/>
    <w:rsid w:val="001A18D2"/>
    <w:rsid w:val="001A190A"/>
    <w:rsid w:val="001A191E"/>
    <w:rsid w:val="001A1925"/>
    <w:rsid w:val="001A19DB"/>
    <w:rsid w:val="001A19DC"/>
    <w:rsid w:val="001A19F7"/>
    <w:rsid w:val="001A1A16"/>
    <w:rsid w:val="001A1A21"/>
    <w:rsid w:val="001A1A57"/>
    <w:rsid w:val="001A1A8F"/>
    <w:rsid w:val="001A1AAA"/>
    <w:rsid w:val="001A1B7C"/>
    <w:rsid w:val="001A1B97"/>
    <w:rsid w:val="001A1BD5"/>
    <w:rsid w:val="001A1C00"/>
    <w:rsid w:val="001A1C21"/>
    <w:rsid w:val="001A1C2A"/>
    <w:rsid w:val="001A1C68"/>
    <w:rsid w:val="001A1C97"/>
    <w:rsid w:val="001A1CEF"/>
    <w:rsid w:val="001A1D3C"/>
    <w:rsid w:val="001A1EE0"/>
    <w:rsid w:val="001A1F19"/>
    <w:rsid w:val="001A1FA5"/>
    <w:rsid w:val="001A1FBE"/>
    <w:rsid w:val="001A2024"/>
    <w:rsid w:val="001A2122"/>
    <w:rsid w:val="001A2159"/>
    <w:rsid w:val="001A216D"/>
    <w:rsid w:val="001A219E"/>
    <w:rsid w:val="001A21BE"/>
    <w:rsid w:val="001A21EC"/>
    <w:rsid w:val="001A222C"/>
    <w:rsid w:val="001A22AC"/>
    <w:rsid w:val="001A22C0"/>
    <w:rsid w:val="001A22C1"/>
    <w:rsid w:val="001A231B"/>
    <w:rsid w:val="001A23E1"/>
    <w:rsid w:val="001A2426"/>
    <w:rsid w:val="001A2431"/>
    <w:rsid w:val="001A2470"/>
    <w:rsid w:val="001A24B7"/>
    <w:rsid w:val="001A24BD"/>
    <w:rsid w:val="001A251A"/>
    <w:rsid w:val="001A2526"/>
    <w:rsid w:val="001A252A"/>
    <w:rsid w:val="001A257A"/>
    <w:rsid w:val="001A258F"/>
    <w:rsid w:val="001A25B2"/>
    <w:rsid w:val="001A26A6"/>
    <w:rsid w:val="001A26F9"/>
    <w:rsid w:val="001A27DA"/>
    <w:rsid w:val="001A2888"/>
    <w:rsid w:val="001A2889"/>
    <w:rsid w:val="001A2974"/>
    <w:rsid w:val="001A29A2"/>
    <w:rsid w:val="001A29CA"/>
    <w:rsid w:val="001A29F9"/>
    <w:rsid w:val="001A2A4D"/>
    <w:rsid w:val="001A2A85"/>
    <w:rsid w:val="001A2A87"/>
    <w:rsid w:val="001A2B63"/>
    <w:rsid w:val="001A2B66"/>
    <w:rsid w:val="001A2BB4"/>
    <w:rsid w:val="001A2C42"/>
    <w:rsid w:val="001A2C90"/>
    <w:rsid w:val="001A2CFF"/>
    <w:rsid w:val="001A2D79"/>
    <w:rsid w:val="001A2D8D"/>
    <w:rsid w:val="001A2DED"/>
    <w:rsid w:val="001A2E12"/>
    <w:rsid w:val="001A2E9B"/>
    <w:rsid w:val="001A2EBE"/>
    <w:rsid w:val="001A2EDD"/>
    <w:rsid w:val="001A2EEA"/>
    <w:rsid w:val="001A2F05"/>
    <w:rsid w:val="001A2F68"/>
    <w:rsid w:val="001A2F72"/>
    <w:rsid w:val="001A2F89"/>
    <w:rsid w:val="001A2F99"/>
    <w:rsid w:val="001A2F9E"/>
    <w:rsid w:val="001A2FC9"/>
    <w:rsid w:val="001A2FE9"/>
    <w:rsid w:val="001A2FFF"/>
    <w:rsid w:val="001A3042"/>
    <w:rsid w:val="001A3088"/>
    <w:rsid w:val="001A311C"/>
    <w:rsid w:val="001A313A"/>
    <w:rsid w:val="001A31B0"/>
    <w:rsid w:val="001A3250"/>
    <w:rsid w:val="001A3251"/>
    <w:rsid w:val="001A32CC"/>
    <w:rsid w:val="001A32DA"/>
    <w:rsid w:val="001A336A"/>
    <w:rsid w:val="001A33A4"/>
    <w:rsid w:val="001A33CC"/>
    <w:rsid w:val="001A33CD"/>
    <w:rsid w:val="001A33DF"/>
    <w:rsid w:val="001A340A"/>
    <w:rsid w:val="001A3415"/>
    <w:rsid w:val="001A3432"/>
    <w:rsid w:val="001A343C"/>
    <w:rsid w:val="001A3490"/>
    <w:rsid w:val="001A34B5"/>
    <w:rsid w:val="001A35C3"/>
    <w:rsid w:val="001A360C"/>
    <w:rsid w:val="001A367B"/>
    <w:rsid w:val="001A368D"/>
    <w:rsid w:val="001A36A9"/>
    <w:rsid w:val="001A36BD"/>
    <w:rsid w:val="001A3716"/>
    <w:rsid w:val="001A3753"/>
    <w:rsid w:val="001A3756"/>
    <w:rsid w:val="001A37BE"/>
    <w:rsid w:val="001A37C6"/>
    <w:rsid w:val="001A37DA"/>
    <w:rsid w:val="001A37E3"/>
    <w:rsid w:val="001A3829"/>
    <w:rsid w:val="001A3857"/>
    <w:rsid w:val="001A385B"/>
    <w:rsid w:val="001A38BE"/>
    <w:rsid w:val="001A38C4"/>
    <w:rsid w:val="001A38EC"/>
    <w:rsid w:val="001A3912"/>
    <w:rsid w:val="001A3945"/>
    <w:rsid w:val="001A3960"/>
    <w:rsid w:val="001A3975"/>
    <w:rsid w:val="001A399F"/>
    <w:rsid w:val="001A3A28"/>
    <w:rsid w:val="001A3A2A"/>
    <w:rsid w:val="001A3A3A"/>
    <w:rsid w:val="001A3A46"/>
    <w:rsid w:val="001A3A71"/>
    <w:rsid w:val="001A3AAE"/>
    <w:rsid w:val="001A3AB7"/>
    <w:rsid w:val="001A3B2A"/>
    <w:rsid w:val="001A3BA0"/>
    <w:rsid w:val="001A3BA7"/>
    <w:rsid w:val="001A3BBF"/>
    <w:rsid w:val="001A3BCB"/>
    <w:rsid w:val="001A3C92"/>
    <w:rsid w:val="001A3D00"/>
    <w:rsid w:val="001A3D0A"/>
    <w:rsid w:val="001A3D8B"/>
    <w:rsid w:val="001A3DB1"/>
    <w:rsid w:val="001A3DFF"/>
    <w:rsid w:val="001A3E02"/>
    <w:rsid w:val="001A3E75"/>
    <w:rsid w:val="001A3EB5"/>
    <w:rsid w:val="001A3EBC"/>
    <w:rsid w:val="001A3F34"/>
    <w:rsid w:val="001A3F45"/>
    <w:rsid w:val="001A3F46"/>
    <w:rsid w:val="001A3FCE"/>
    <w:rsid w:val="001A3FF3"/>
    <w:rsid w:val="001A4023"/>
    <w:rsid w:val="001A4060"/>
    <w:rsid w:val="001A4064"/>
    <w:rsid w:val="001A407E"/>
    <w:rsid w:val="001A40A5"/>
    <w:rsid w:val="001A40E7"/>
    <w:rsid w:val="001A4154"/>
    <w:rsid w:val="001A41DA"/>
    <w:rsid w:val="001A4219"/>
    <w:rsid w:val="001A4243"/>
    <w:rsid w:val="001A42A7"/>
    <w:rsid w:val="001A42BB"/>
    <w:rsid w:val="001A42C7"/>
    <w:rsid w:val="001A42E9"/>
    <w:rsid w:val="001A42EF"/>
    <w:rsid w:val="001A42F0"/>
    <w:rsid w:val="001A4303"/>
    <w:rsid w:val="001A4316"/>
    <w:rsid w:val="001A4322"/>
    <w:rsid w:val="001A4361"/>
    <w:rsid w:val="001A4364"/>
    <w:rsid w:val="001A436A"/>
    <w:rsid w:val="001A43C4"/>
    <w:rsid w:val="001A43FB"/>
    <w:rsid w:val="001A44EB"/>
    <w:rsid w:val="001A451F"/>
    <w:rsid w:val="001A4527"/>
    <w:rsid w:val="001A453B"/>
    <w:rsid w:val="001A459F"/>
    <w:rsid w:val="001A4666"/>
    <w:rsid w:val="001A4687"/>
    <w:rsid w:val="001A46F5"/>
    <w:rsid w:val="001A473A"/>
    <w:rsid w:val="001A474B"/>
    <w:rsid w:val="001A4797"/>
    <w:rsid w:val="001A47A4"/>
    <w:rsid w:val="001A47F0"/>
    <w:rsid w:val="001A4805"/>
    <w:rsid w:val="001A4841"/>
    <w:rsid w:val="001A48BE"/>
    <w:rsid w:val="001A4941"/>
    <w:rsid w:val="001A49A9"/>
    <w:rsid w:val="001A49C9"/>
    <w:rsid w:val="001A49D5"/>
    <w:rsid w:val="001A4A1C"/>
    <w:rsid w:val="001A4A26"/>
    <w:rsid w:val="001A4A74"/>
    <w:rsid w:val="001A4AA3"/>
    <w:rsid w:val="001A4B04"/>
    <w:rsid w:val="001A4B0A"/>
    <w:rsid w:val="001A4B12"/>
    <w:rsid w:val="001A4B33"/>
    <w:rsid w:val="001A4B81"/>
    <w:rsid w:val="001A4BAB"/>
    <w:rsid w:val="001A4BAD"/>
    <w:rsid w:val="001A4BC6"/>
    <w:rsid w:val="001A4D0F"/>
    <w:rsid w:val="001A4D43"/>
    <w:rsid w:val="001A4E88"/>
    <w:rsid w:val="001A4EB6"/>
    <w:rsid w:val="001A4ECD"/>
    <w:rsid w:val="001A4EFD"/>
    <w:rsid w:val="001A4FEC"/>
    <w:rsid w:val="001A504D"/>
    <w:rsid w:val="001A5055"/>
    <w:rsid w:val="001A505F"/>
    <w:rsid w:val="001A508E"/>
    <w:rsid w:val="001A509A"/>
    <w:rsid w:val="001A50A7"/>
    <w:rsid w:val="001A50F8"/>
    <w:rsid w:val="001A5134"/>
    <w:rsid w:val="001A5148"/>
    <w:rsid w:val="001A5176"/>
    <w:rsid w:val="001A51E8"/>
    <w:rsid w:val="001A5217"/>
    <w:rsid w:val="001A52A0"/>
    <w:rsid w:val="001A52CD"/>
    <w:rsid w:val="001A52E6"/>
    <w:rsid w:val="001A52FF"/>
    <w:rsid w:val="001A530E"/>
    <w:rsid w:val="001A5384"/>
    <w:rsid w:val="001A53B8"/>
    <w:rsid w:val="001A53DD"/>
    <w:rsid w:val="001A540B"/>
    <w:rsid w:val="001A54A4"/>
    <w:rsid w:val="001A556B"/>
    <w:rsid w:val="001A556F"/>
    <w:rsid w:val="001A558B"/>
    <w:rsid w:val="001A55EF"/>
    <w:rsid w:val="001A5669"/>
    <w:rsid w:val="001A56B0"/>
    <w:rsid w:val="001A5712"/>
    <w:rsid w:val="001A571C"/>
    <w:rsid w:val="001A5730"/>
    <w:rsid w:val="001A5761"/>
    <w:rsid w:val="001A576A"/>
    <w:rsid w:val="001A5770"/>
    <w:rsid w:val="001A5778"/>
    <w:rsid w:val="001A57A0"/>
    <w:rsid w:val="001A57B4"/>
    <w:rsid w:val="001A581A"/>
    <w:rsid w:val="001A581F"/>
    <w:rsid w:val="001A5820"/>
    <w:rsid w:val="001A5827"/>
    <w:rsid w:val="001A5846"/>
    <w:rsid w:val="001A584A"/>
    <w:rsid w:val="001A58EE"/>
    <w:rsid w:val="001A58F0"/>
    <w:rsid w:val="001A58F6"/>
    <w:rsid w:val="001A593E"/>
    <w:rsid w:val="001A59F1"/>
    <w:rsid w:val="001A5A34"/>
    <w:rsid w:val="001A5A4A"/>
    <w:rsid w:val="001A5A62"/>
    <w:rsid w:val="001A5A6F"/>
    <w:rsid w:val="001A5B5F"/>
    <w:rsid w:val="001A5B95"/>
    <w:rsid w:val="001A5BDF"/>
    <w:rsid w:val="001A5CAC"/>
    <w:rsid w:val="001A5CD6"/>
    <w:rsid w:val="001A5D01"/>
    <w:rsid w:val="001A5D60"/>
    <w:rsid w:val="001A5E9A"/>
    <w:rsid w:val="001A5EFA"/>
    <w:rsid w:val="001A5F5E"/>
    <w:rsid w:val="001A5F9C"/>
    <w:rsid w:val="001A5FB6"/>
    <w:rsid w:val="001A5FD7"/>
    <w:rsid w:val="001A5FDB"/>
    <w:rsid w:val="001A6090"/>
    <w:rsid w:val="001A60D9"/>
    <w:rsid w:val="001A611B"/>
    <w:rsid w:val="001A6123"/>
    <w:rsid w:val="001A6124"/>
    <w:rsid w:val="001A6159"/>
    <w:rsid w:val="001A61F0"/>
    <w:rsid w:val="001A620F"/>
    <w:rsid w:val="001A625B"/>
    <w:rsid w:val="001A6271"/>
    <w:rsid w:val="001A62B5"/>
    <w:rsid w:val="001A62E4"/>
    <w:rsid w:val="001A636F"/>
    <w:rsid w:val="001A63A4"/>
    <w:rsid w:val="001A63EF"/>
    <w:rsid w:val="001A640A"/>
    <w:rsid w:val="001A6425"/>
    <w:rsid w:val="001A644F"/>
    <w:rsid w:val="001A64DD"/>
    <w:rsid w:val="001A64E7"/>
    <w:rsid w:val="001A6527"/>
    <w:rsid w:val="001A656F"/>
    <w:rsid w:val="001A65E0"/>
    <w:rsid w:val="001A65F2"/>
    <w:rsid w:val="001A6678"/>
    <w:rsid w:val="001A6698"/>
    <w:rsid w:val="001A66AC"/>
    <w:rsid w:val="001A66F0"/>
    <w:rsid w:val="001A6722"/>
    <w:rsid w:val="001A6732"/>
    <w:rsid w:val="001A6736"/>
    <w:rsid w:val="001A6781"/>
    <w:rsid w:val="001A6810"/>
    <w:rsid w:val="001A6817"/>
    <w:rsid w:val="001A6821"/>
    <w:rsid w:val="001A682B"/>
    <w:rsid w:val="001A6899"/>
    <w:rsid w:val="001A68A1"/>
    <w:rsid w:val="001A68A9"/>
    <w:rsid w:val="001A68BC"/>
    <w:rsid w:val="001A68C0"/>
    <w:rsid w:val="001A68E2"/>
    <w:rsid w:val="001A693C"/>
    <w:rsid w:val="001A69B3"/>
    <w:rsid w:val="001A69C9"/>
    <w:rsid w:val="001A6A04"/>
    <w:rsid w:val="001A6A15"/>
    <w:rsid w:val="001A6A36"/>
    <w:rsid w:val="001A6AAB"/>
    <w:rsid w:val="001A6ACA"/>
    <w:rsid w:val="001A6AD7"/>
    <w:rsid w:val="001A6B0D"/>
    <w:rsid w:val="001A6B55"/>
    <w:rsid w:val="001A6C01"/>
    <w:rsid w:val="001A6C0E"/>
    <w:rsid w:val="001A6C3D"/>
    <w:rsid w:val="001A6C54"/>
    <w:rsid w:val="001A6C64"/>
    <w:rsid w:val="001A6C75"/>
    <w:rsid w:val="001A6CAE"/>
    <w:rsid w:val="001A6CD2"/>
    <w:rsid w:val="001A6CE8"/>
    <w:rsid w:val="001A6CF7"/>
    <w:rsid w:val="001A6D9A"/>
    <w:rsid w:val="001A6DDE"/>
    <w:rsid w:val="001A6DEE"/>
    <w:rsid w:val="001A6E3D"/>
    <w:rsid w:val="001A6E50"/>
    <w:rsid w:val="001A6EAB"/>
    <w:rsid w:val="001A6EC2"/>
    <w:rsid w:val="001A6ED4"/>
    <w:rsid w:val="001A6F33"/>
    <w:rsid w:val="001A6F3B"/>
    <w:rsid w:val="001A6F54"/>
    <w:rsid w:val="001A6FCE"/>
    <w:rsid w:val="001A6FD2"/>
    <w:rsid w:val="001A7058"/>
    <w:rsid w:val="001A7068"/>
    <w:rsid w:val="001A7098"/>
    <w:rsid w:val="001A70D0"/>
    <w:rsid w:val="001A7114"/>
    <w:rsid w:val="001A715C"/>
    <w:rsid w:val="001A71A4"/>
    <w:rsid w:val="001A71FB"/>
    <w:rsid w:val="001A7213"/>
    <w:rsid w:val="001A723E"/>
    <w:rsid w:val="001A7267"/>
    <w:rsid w:val="001A727E"/>
    <w:rsid w:val="001A72B3"/>
    <w:rsid w:val="001A72C6"/>
    <w:rsid w:val="001A72D1"/>
    <w:rsid w:val="001A7322"/>
    <w:rsid w:val="001A7398"/>
    <w:rsid w:val="001A73F4"/>
    <w:rsid w:val="001A73FA"/>
    <w:rsid w:val="001A73FD"/>
    <w:rsid w:val="001A7416"/>
    <w:rsid w:val="001A742D"/>
    <w:rsid w:val="001A7462"/>
    <w:rsid w:val="001A749F"/>
    <w:rsid w:val="001A74BD"/>
    <w:rsid w:val="001A74C8"/>
    <w:rsid w:val="001A74FA"/>
    <w:rsid w:val="001A7560"/>
    <w:rsid w:val="001A7565"/>
    <w:rsid w:val="001A7585"/>
    <w:rsid w:val="001A75C3"/>
    <w:rsid w:val="001A75FD"/>
    <w:rsid w:val="001A761E"/>
    <w:rsid w:val="001A7620"/>
    <w:rsid w:val="001A76CB"/>
    <w:rsid w:val="001A76DE"/>
    <w:rsid w:val="001A76E2"/>
    <w:rsid w:val="001A76E7"/>
    <w:rsid w:val="001A7717"/>
    <w:rsid w:val="001A7747"/>
    <w:rsid w:val="001A774D"/>
    <w:rsid w:val="001A77B6"/>
    <w:rsid w:val="001A77DE"/>
    <w:rsid w:val="001A77EB"/>
    <w:rsid w:val="001A7827"/>
    <w:rsid w:val="001A7837"/>
    <w:rsid w:val="001A78CB"/>
    <w:rsid w:val="001A78F4"/>
    <w:rsid w:val="001A791A"/>
    <w:rsid w:val="001A799E"/>
    <w:rsid w:val="001A79C8"/>
    <w:rsid w:val="001A79E8"/>
    <w:rsid w:val="001A7A0C"/>
    <w:rsid w:val="001A7A99"/>
    <w:rsid w:val="001A7A9C"/>
    <w:rsid w:val="001A7AB3"/>
    <w:rsid w:val="001A7AD1"/>
    <w:rsid w:val="001A7AEB"/>
    <w:rsid w:val="001A7B56"/>
    <w:rsid w:val="001A7B74"/>
    <w:rsid w:val="001A7B91"/>
    <w:rsid w:val="001A7BDB"/>
    <w:rsid w:val="001A7BE5"/>
    <w:rsid w:val="001A7BEE"/>
    <w:rsid w:val="001A7C6F"/>
    <w:rsid w:val="001A7C7B"/>
    <w:rsid w:val="001A7CF4"/>
    <w:rsid w:val="001A7DA4"/>
    <w:rsid w:val="001A7DED"/>
    <w:rsid w:val="001A7E32"/>
    <w:rsid w:val="001A7E51"/>
    <w:rsid w:val="001A7E5C"/>
    <w:rsid w:val="001A7EFB"/>
    <w:rsid w:val="001A7F53"/>
    <w:rsid w:val="001A7F7D"/>
    <w:rsid w:val="001A7FAF"/>
    <w:rsid w:val="001B0009"/>
    <w:rsid w:val="001B0063"/>
    <w:rsid w:val="001B0064"/>
    <w:rsid w:val="001B008E"/>
    <w:rsid w:val="001B00A8"/>
    <w:rsid w:val="001B00FF"/>
    <w:rsid w:val="001B014D"/>
    <w:rsid w:val="001B0180"/>
    <w:rsid w:val="001B0185"/>
    <w:rsid w:val="001B0194"/>
    <w:rsid w:val="001B01C4"/>
    <w:rsid w:val="001B01D4"/>
    <w:rsid w:val="001B0218"/>
    <w:rsid w:val="001B0224"/>
    <w:rsid w:val="001B023C"/>
    <w:rsid w:val="001B026C"/>
    <w:rsid w:val="001B02A0"/>
    <w:rsid w:val="001B02CF"/>
    <w:rsid w:val="001B0360"/>
    <w:rsid w:val="001B03D7"/>
    <w:rsid w:val="001B0422"/>
    <w:rsid w:val="001B046E"/>
    <w:rsid w:val="001B0482"/>
    <w:rsid w:val="001B0487"/>
    <w:rsid w:val="001B0495"/>
    <w:rsid w:val="001B04AB"/>
    <w:rsid w:val="001B04C8"/>
    <w:rsid w:val="001B04FC"/>
    <w:rsid w:val="001B0571"/>
    <w:rsid w:val="001B0673"/>
    <w:rsid w:val="001B06AB"/>
    <w:rsid w:val="001B06B3"/>
    <w:rsid w:val="001B071C"/>
    <w:rsid w:val="001B0750"/>
    <w:rsid w:val="001B0777"/>
    <w:rsid w:val="001B0815"/>
    <w:rsid w:val="001B08FD"/>
    <w:rsid w:val="001B0955"/>
    <w:rsid w:val="001B0A17"/>
    <w:rsid w:val="001B0A67"/>
    <w:rsid w:val="001B0A99"/>
    <w:rsid w:val="001B0ACC"/>
    <w:rsid w:val="001B0B4E"/>
    <w:rsid w:val="001B0B93"/>
    <w:rsid w:val="001B0BB0"/>
    <w:rsid w:val="001B0C15"/>
    <w:rsid w:val="001B0C37"/>
    <w:rsid w:val="001B0C5E"/>
    <w:rsid w:val="001B0C70"/>
    <w:rsid w:val="001B0C71"/>
    <w:rsid w:val="001B0C94"/>
    <w:rsid w:val="001B0C99"/>
    <w:rsid w:val="001B0D39"/>
    <w:rsid w:val="001B0D4A"/>
    <w:rsid w:val="001B0E2C"/>
    <w:rsid w:val="001B0E4A"/>
    <w:rsid w:val="001B0E66"/>
    <w:rsid w:val="001B0E6A"/>
    <w:rsid w:val="001B0E81"/>
    <w:rsid w:val="001B0E8F"/>
    <w:rsid w:val="001B0E92"/>
    <w:rsid w:val="001B0E97"/>
    <w:rsid w:val="001B0EDF"/>
    <w:rsid w:val="001B0F57"/>
    <w:rsid w:val="001B0F9D"/>
    <w:rsid w:val="001B101E"/>
    <w:rsid w:val="001B1054"/>
    <w:rsid w:val="001B1078"/>
    <w:rsid w:val="001B10D8"/>
    <w:rsid w:val="001B10E2"/>
    <w:rsid w:val="001B117D"/>
    <w:rsid w:val="001B1192"/>
    <w:rsid w:val="001B11A4"/>
    <w:rsid w:val="001B11D3"/>
    <w:rsid w:val="001B1200"/>
    <w:rsid w:val="001B122D"/>
    <w:rsid w:val="001B124A"/>
    <w:rsid w:val="001B138B"/>
    <w:rsid w:val="001B1467"/>
    <w:rsid w:val="001B146B"/>
    <w:rsid w:val="001B148A"/>
    <w:rsid w:val="001B14BE"/>
    <w:rsid w:val="001B14E6"/>
    <w:rsid w:val="001B14F3"/>
    <w:rsid w:val="001B14FF"/>
    <w:rsid w:val="001B1574"/>
    <w:rsid w:val="001B1593"/>
    <w:rsid w:val="001B15DB"/>
    <w:rsid w:val="001B1616"/>
    <w:rsid w:val="001B1670"/>
    <w:rsid w:val="001B1683"/>
    <w:rsid w:val="001B1689"/>
    <w:rsid w:val="001B1729"/>
    <w:rsid w:val="001B173C"/>
    <w:rsid w:val="001B1752"/>
    <w:rsid w:val="001B178A"/>
    <w:rsid w:val="001B1796"/>
    <w:rsid w:val="001B17E1"/>
    <w:rsid w:val="001B18CD"/>
    <w:rsid w:val="001B19CE"/>
    <w:rsid w:val="001B1A17"/>
    <w:rsid w:val="001B1A27"/>
    <w:rsid w:val="001B1A2D"/>
    <w:rsid w:val="001B1A59"/>
    <w:rsid w:val="001B1A8D"/>
    <w:rsid w:val="001B1AD9"/>
    <w:rsid w:val="001B1B09"/>
    <w:rsid w:val="001B1BA6"/>
    <w:rsid w:val="001B1C78"/>
    <w:rsid w:val="001B1CD3"/>
    <w:rsid w:val="001B1CF0"/>
    <w:rsid w:val="001B1D07"/>
    <w:rsid w:val="001B1E13"/>
    <w:rsid w:val="001B1E7B"/>
    <w:rsid w:val="001B1E9F"/>
    <w:rsid w:val="001B1F1E"/>
    <w:rsid w:val="001B205A"/>
    <w:rsid w:val="001B20D3"/>
    <w:rsid w:val="001B20E8"/>
    <w:rsid w:val="001B20F4"/>
    <w:rsid w:val="001B21AA"/>
    <w:rsid w:val="001B2208"/>
    <w:rsid w:val="001B2226"/>
    <w:rsid w:val="001B2244"/>
    <w:rsid w:val="001B2249"/>
    <w:rsid w:val="001B22DF"/>
    <w:rsid w:val="001B22FE"/>
    <w:rsid w:val="001B238D"/>
    <w:rsid w:val="001B238E"/>
    <w:rsid w:val="001B23CD"/>
    <w:rsid w:val="001B23EA"/>
    <w:rsid w:val="001B23EF"/>
    <w:rsid w:val="001B245A"/>
    <w:rsid w:val="001B24C4"/>
    <w:rsid w:val="001B24F1"/>
    <w:rsid w:val="001B2543"/>
    <w:rsid w:val="001B25EA"/>
    <w:rsid w:val="001B263D"/>
    <w:rsid w:val="001B2708"/>
    <w:rsid w:val="001B271E"/>
    <w:rsid w:val="001B27AF"/>
    <w:rsid w:val="001B282D"/>
    <w:rsid w:val="001B285A"/>
    <w:rsid w:val="001B2914"/>
    <w:rsid w:val="001B2948"/>
    <w:rsid w:val="001B2963"/>
    <w:rsid w:val="001B2979"/>
    <w:rsid w:val="001B29D1"/>
    <w:rsid w:val="001B29D8"/>
    <w:rsid w:val="001B2A45"/>
    <w:rsid w:val="001B2A50"/>
    <w:rsid w:val="001B2AB3"/>
    <w:rsid w:val="001B2AD3"/>
    <w:rsid w:val="001B2AE1"/>
    <w:rsid w:val="001B2B5C"/>
    <w:rsid w:val="001B2B79"/>
    <w:rsid w:val="001B2BAA"/>
    <w:rsid w:val="001B2BB8"/>
    <w:rsid w:val="001B2C32"/>
    <w:rsid w:val="001B2CA0"/>
    <w:rsid w:val="001B2CA3"/>
    <w:rsid w:val="001B2D97"/>
    <w:rsid w:val="001B2DB6"/>
    <w:rsid w:val="001B2DDC"/>
    <w:rsid w:val="001B2DDF"/>
    <w:rsid w:val="001B2DE5"/>
    <w:rsid w:val="001B2E1A"/>
    <w:rsid w:val="001B2E98"/>
    <w:rsid w:val="001B2ED6"/>
    <w:rsid w:val="001B2F71"/>
    <w:rsid w:val="001B2FB2"/>
    <w:rsid w:val="001B3035"/>
    <w:rsid w:val="001B30BC"/>
    <w:rsid w:val="001B310B"/>
    <w:rsid w:val="001B319A"/>
    <w:rsid w:val="001B31D9"/>
    <w:rsid w:val="001B31E7"/>
    <w:rsid w:val="001B323F"/>
    <w:rsid w:val="001B3267"/>
    <w:rsid w:val="001B32F4"/>
    <w:rsid w:val="001B332E"/>
    <w:rsid w:val="001B3370"/>
    <w:rsid w:val="001B3391"/>
    <w:rsid w:val="001B339E"/>
    <w:rsid w:val="001B33C5"/>
    <w:rsid w:val="001B33E4"/>
    <w:rsid w:val="001B3454"/>
    <w:rsid w:val="001B345B"/>
    <w:rsid w:val="001B348F"/>
    <w:rsid w:val="001B34D5"/>
    <w:rsid w:val="001B3585"/>
    <w:rsid w:val="001B3604"/>
    <w:rsid w:val="001B3613"/>
    <w:rsid w:val="001B367B"/>
    <w:rsid w:val="001B36A5"/>
    <w:rsid w:val="001B36B0"/>
    <w:rsid w:val="001B3704"/>
    <w:rsid w:val="001B3718"/>
    <w:rsid w:val="001B3722"/>
    <w:rsid w:val="001B374E"/>
    <w:rsid w:val="001B3783"/>
    <w:rsid w:val="001B37BA"/>
    <w:rsid w:val="001B37E2"/>
    <w:rsid w:val="001B37FC"/>
    <w:rsid w:val="001B3954"/>
    <w:rsid w:val="001B3993"/>
    <w:rsid w:val="001B39FA"/>
    <w:rsid w:val="001B3A2D"/>
    <w:rsid w:val="001B3A71"/>
    <w:rsid w:val="001B3AA6"/>
    <w:rsid w:val="001B3AEE"/>
    <w:rsid w:val="001B3B14"/>
    <w:rsid w:val="001B3B5C"/>
    <w:rsid w:val="001B3BBB"/>
    <w:rsid w:val="001B3BF6"/>
    <w:rsid w:val="001B3BF9"/>
    <w:rsid w:val="001B3BFF"/>
    <w:rsid w:val="001B3C0C"/>
    <w:rsid w:val="001B3C39"/>
    <w:rsid w:val="001B3C56"/>
    <w:rsid w:val="001B3C59"/>
    <w:rsid w:val="001B3C5B"/>
    <w:rsid w:val="001B3C60"/>
    <w:rsid w:val="001B3CEC"/>
    <w:rsid w:val="001B3CF0"/>
    <w:rsid w:val="001B3CF5"/>
    <w:rsid w:val="001B3D4D"/>
    <w:rsid w:val="001B3D62"/>
    <w:rsid w:val="001B3D91"/>
    <w:rsid w:val="001B3E50"/>
    <w:rsid w:val="001B3E6C"/>
    <w:rsid w:val="001B3F06"/>
    <w:rsid w:val="001B3F1E"/>
    <w:rsid w:val="001B3FE0"/>
    <w:rsid w:val="001B4053"/>
    <w:rsid w:val="001B40D7"/>
    <w:rsid w:val="001B40E6"/>
    <w:rsid w:val="001B40EA"/>
    <w:rsid w:val="001B411A"/>
    <w:rsid w:val="001B4135"/>
    <w:rsid w:val="001B4173"/>
    <w:rsid w:val="001B419B"/>
    <w:rsid w:val="001B41CE"/>
    <w:rsid w:val="001B41E6"/>
    <w:rsid w:val="001B4202"/>
    <w:rsid w:val="001B4213"/>
    <w:rsid w:val="001B421C"/>
    <w:rsid w:val="001B4239"/>
    <w:rsid w:val="001B4244"/>
    <w:rsid w:val="001B42D3"/>
    <w:rsid w:val="001B42EE"/>
    <w:rsid w:val="001B4316"/>
    <w:rsid w:val="001B43B1"/>
    <w:rsid w:val="001B4403"/>
    <w:rsid w:val="001B443C"/>
    <w:rsid w:val="001B4452"/>
    <w:rsid w:val="001B44BF"/>
    <w:rsid w:val="001B454B"/>
    <w:rsid w:val="001B458E"/>
    <w:rsid w:val="001B45C4"/>
    <w:rsid w:val="001B45FA"/>
    <w:rsid w:val="001B4646"/>
    <w:rsid w:val="001B4664"/>
    <w:rsid w:val="001B4688"/>
    <w:rsid w:val="001B4690"/>
    <w:rsid w:val="001B469E"/>
    <w:rsid w:val="001B46A5"/>
    <w:rsid w:val="001B46BA"/>
    <w:rsid w:val="001B46DA"/>
    <w:rsid w:val="001B46E3"/>
    <w:rsid w:val="001B46EB"/>
    <w:rsid w:val="001B46FD"/>
    <w:rsid w:val="001B4746"/>
    <w:rsid w:val="001B4762"/>
    <w:rsid w:val="001B4776"/>
    <w:rsid w:val="001B482D"/>
    <w:rsid w:val="001B4837"/>
    <w:rsid w:val="001B486A"/>
    <w:rsid w:val="001B4897"/>
    <w:rsid w:val="001B48EC"/>
    <w:rsid w:val="001B48F3"/>
    <w:rsid w:val="001B4901"/>
    <w:rsid w:val="001B4980"/>
    <w:rsid w:val="001B49EA"/>
    <w:rsid w:val="001B4A19"/>
    <w:rsid w:val="001B4A68"/>
    <w:rsid w:val="001B4B56"/>
    <w:rsid w:val="001B4B84"/>
    <w:rsid w:val="001B4BB9"/>
    <w:rsid w:val="001B4BFE"/>
    <w:rsid w:val="001B4CAD"/>
    <w:rsid w:val="001B4CC9"/>
    <w:rsid w:val="001B4CE8"/>
    <w:rsid w:val="001B4D30"/>
    <w:rsid w:val="001B4D37"/>
    <w:rsid w:val="001B4D9E"/>
    <w:rsid w:val="001B4DAD"/>
    <w:rsid w:val="001B4DB5"/>
    <w:rsid w:val="001B4DC6"/>
    <w:rsid w:val="001B4E03"/>
    <w:rsid w:val="001B4E2C"/>
    <w:rsid w:val="001B4E8F"/>
    <w:rsid w:val="001B4EA0"/>
    <w:rsid w:val="001B4ED9"/>
    <w:rsid w:val="001B4F20"/>
    <w:rsid w:val="001B4F2D"/>
    <w:rsid w:val="001B4FA1"/>
    <w:rsid w:val="001B4FB1"/>
    <w:rsid w:val="001B5007"/>
    <w:rsid w:val="001B500A"/>
    <w:rsid w:val="001B5016"/>
    <w:rsid w:val="001B5053"/>
    <w:rsid w:val="001B5061"/>
    <w:rsid w:val="001B5068"/>
    <w:rsid w:val="001B5081"/>
    <w:rsid w:val="001B50EC"/>
    <w:rsid w:val="001B5119"/>
    <w:rsid w:val="001B519A"/>
    <w:rsid w:val="001B51D9"/>
    <w:rsid w:val="001B5268"/>
    <w:rsid w:val="001B5315"/>
    <w:rsid w:val="001B535C"/>
    <w:rsid w:val="001B5363"/>
    <w:rsid w:val="001B53DA"/>
    <w:rsid w:val="001B53DC"/>
    <w:rsid w:val="001B53F6"/>
    <w:rsid w:val="001B545F"/>
    <w:rsid w:val="001B5482"/>
    <w:rsid w:val="001B54D0"/>
    <w:rsid w:val="001B54E1"/>
    <w:rsid w:val="001B54FA"/>
    <w:rsid w:val="001B550B"/>
    <w:rsid w:val="001B5533"/>
    <w:rsid w:val="001B5597"/>
    <w:rsid w:val="001B55A3"/>
    <w:rsid w:val="001B55DC"/>
    <w:rsid w:val="001B55DE"/>
    <w:rsid w:val="001B5674"/>
    <w:rsid w:val="001B56B6"/>
    <w:rsid w:val="001B57A8"/>
    <w:rsid w:val="001B5875"/>
    <w:rsid w:val="001B5941"/>
    <w:rsid w:val="001B5954"/>
    <w:rsid w:val="001B59A7"/>
    <w:rsid w:val="001B5A39"/>
    <w:rsid w:val="001B5ADF"/>
    <w:rsid w:val="001B5B33"/>
    <w:rsid w:val="001B5B7C"/>
    <w:rsid w:val="001B5B8A"/>
    <w:rsid w:val="001B5BAF"/>
    <w:rsid w:val="001B5C36"/>
    <w:rsid w:val="001B5C60"/>
    <w:rsid w:val="001B5CF7"/>
    <w:rsid w:val="001B5D2F"/>
    <w:rsid w:val="001B5D9C"/>
    <w:rsid w:val="001B5DC4"/>
    <w:rsid w:val="001B5E48"/>
    <w:rsid w:val="001B5E95"/>
    <w:rsid w:val="001B5EA4"/>
    <w:rsid w:val="001B5F33"/>
    <w:rsid w:val="001B5F5D"/>
    <w:rsid w:val="001B5F96"/>
    <w:rsid w:val="001B5FE4"/>
    <w:rsid w:val="001B5FEA"/>
    <w:rsid w:val="001B6011"/>
    <w:rsid w:val="001B603F"/>
    <w:rsid w:val="001B604A"/>
    <w:rsid w:val="001B605B"/>
    <w:rsid w:val="001B6192"/>
    <w:rsid w:val="001B61AE"/>
    <w:rsid w:val="001B61C1"/>
    <w:rsid w:val="001B61EF"/>
    <w:rsid w:val="001B6216"/>
    <w:rsid w:val="001B6218"/>
    <w:rsid w:val="001B621A"/>
    <w:rsid w:val="001B62F5"/>
    <w:rsid w:val="001B6355"/>
    <w:rsid w:val="001B6378"/>
    <w:rsid w:val="001B63BA"/>
    <w:rsid w:val="001B63C9"/>
    <w:rsid w:val="001B63F4"/>
    <w:rsid w:val="001B643D"/>
    <w:rsid w:val="001B64E0"/>
    <w:rsid w:val="001B6528"/>
    <w:rsid w:val="001B656F"/>
    <w:rsid w:val="001B6642"/>
    <w:rsid w:val="001B6662"/>
    <w:rsid w:val="001B668B"/>
    <w:rsid w:val="001B670A"/>
    <w:rsid w:val="001B6752"/>
    <w:rsid w:val="001B67AF"/>
    <w:rsid w:val="001B685E"/>
    <w:rsid w:val="001B68C5"/>
    <w:rsid w:val="001B68D3"/>
    <w:rsid w:val="001B68D8"/>
    <w:rsid w:val="001B6967"/>
    <w:rsid w:val="001B69BF"/>
    <w:rsid w:val="001B69E0"/>
    <w:rsid w:val="001B6A08"/>
    <w:rsid w:val="001B6A49"/>
    <w:rsid w:val="001B6AC7"/>
    <w:rsid w:val="001B6AFF"/>
    <w:rsid w:val="001B6B6E"/>
    <w:rsid w:val="001B6BA8"/>
    <w:rsid w:val="001B6BC7"/>
    <w:rsid w:val="001B6C5A"/>
    <w:rsid w:val="001B6C62"/>
    <w:rsid w:val="001B6CC5"/>
    <w:rsid w:val="001B6CD8"/>
    <w:rsid w:val="001B6D2F"/>
    <w:rsid w:val="001B6DCE"/>
    <w:rsid w:val="001B6E7A"/>
    <w:rsid w:val="001B6EAC"/>
    <w:rsid w:val="001B6EAE"/>
    <w:rsid w:val="001B6EDE"/>
    <w:rsid w:val="001B6EEA"/>
    <w:rsid w:val="001B6F21"/>
    <w:rsid w:val="001B6F27"/>
    <w:rsid w:val="001B6F90"/>
    <w:rsid w:val="001B6FC3"/>
    <w:rsid w:val="001B6FDC"/>
    <w:rsid w:val="001B6FDF"/>
    <w:rsid w:val="001B707A"/>
    <w:rsid w:val="001B707B"/>
    <w:rsid w:val="001B707C"/>
    <w:rsid w:val="001B7095"/>
    <w:rsid w:val="001B7127"/>
    <w:rsid w:val="001B7244"/>
    <w:rsid w:val="001B726C"/>
    <w:rsid w:val="001B7274"/>
    <w:rsid w:val="001B7283"/>
    <w:rsid w:val="001B732D"/>
    <w:rsid w:val="001B7343"/>
    <w:rsid w:val="001B73C9"/>
    <w:rsid w:val="001B742E"/>
    <w:rsid w:val="001B74CC"/>
    <w:rsid w:val="001B7518"/>
    <w:rsid w:val="001B75AA"/>
    <w:rsid w:val="001B75E5"/>
    <w:rsid w:val="001B7617"/>
    <w:rsid w:val="001B762D"/>
    <w:rsid w:val="001B763A"/>
    <w:rsid w:val="001B7648"/>
    <w:rsid w:val="001B764F"/>
    <w:rsid w:val="001B7677"/>
    <w:rsid w:val="001B7693"/>
    <w:rsid w:val="001B76CB"/>
    <w:rsid w:val="001B773C"/>
    <w:rsid w:val="001B7768"/>
    <w:rsid w:val="001B77B5"/>
    <w:rsid w:val="001B77ED"/>
    <w:rsid w:val="001B77F5"/>
    <w:rsid w:val="001B7830"/>
    <w:rsid w:val="001B7879"/>
    <w:rsid w:val="001B7889"/>
    <w:rsid w:val="001B7893"/>
    <w:rsid w:val="001B78CF"/>
    <w:rsid w:val="001B78FF"/>
    <w:rsid w:val="001B7907"/>
    <w:rsid w:val="001B7912"/>
    <w:rsid w:val="001B7913"/>
    <w:rsid w:val="001B7921"/>
    <w:rsid w:val="001B7933"/>
    <w:rsid w:val="001B795D"/>
    <w:rsid w:val="001B7AFA"/>
    <w:rsid w:val="001B7B16"/>
    <w:rsid w:val="001B7B31"/>
    <w:rsid w:val="001B7B8A"/>
    <w:rsid w:val="001B7B92"/>
    <w:rsid w:val="001B7C86"/>
    <w:rsid w:val="001B7C89"/>
    <w:rsid w:val="001B7C8E"/>
    <w:rsid w:val="001B7CA2"/>
    <w:rsid w:val="001B7CE3"/>
    <w:rsid w:val="001B7CF4"/>
    <w:rsid w:val="001B7D5F"/>
    <w:rsid w:val="001B7D82"/>
    <w:rsid w:val="001B7DD8"/>
    <w:rsid w:val="001B7DE0"/>
    <w:rsid w:val="001B7DF7"/>
    <w:rsid w:val="001B7E25"/>
    <w:rsid w:val="001B7E37"/>
    <w:rsid w:val="001B7EB3"/>
    <w:rsid w:val="001B7EB6"/>
    <w:rsid w:val="001B7EEE"/>
    <w:rsid w:val="001B7F12"/>
    <w:rsid w:val="001B7F19"/>
    <w:rsid w:val="001B7F38"/>
    <w:rsid w:val="001B7F6B"/>
    <w:rsid w:val="001B7F86"/>
    <w:rsid w:val="001B7FA1"/>
    <w:rsid w:val="001C0019"/>
    <w:rsid w:val="001C0030"/>
    <w:rsid w:val="001C008E"/>
    <w:rsid w:val="001C00CF"/>
    <w:rsid w:val="001C01D7"/>
    <w:rsid w:val="001C01F1"/>
    <w:rsid w:val="001C01F4"/>
    <w:rsid w:val="001C02B1"/>
    <w:rsid w:val="001C02CD"/>
    <w:rsid w:val="001C02D4"/>
    <w:rsid w:val="001C02E1"/>
    <w:rsid w:val="001C0306"/>
    <w:rsid w:val="001C03A7"/>
    <w:rsid w:val="001C03CA"/>
    <w:rsid w:val="001C045C"/>
    <w:rsid w:val="001C04B1"/>
    <w:rsid w:val="001C0511"/>
    <w:rsid w:val="001C0515"/>
    <w:rsid w:val="001C0525"/>
    <w:rsid w:val="001C052E"/>
    <w:rsid w:val="001C0542"/>
    <w:rsid w:val="001C05A1"/>
    <w:rsid w:val="001C05B1"/>
    <w:rsid w:val="001C05BB"/>
    <w:rsid w:val="001C05D6"/>
    <w:rsid w:val="001C0617"/>
    <w:rsid w:val="001C0622"/>
    <w:rsid w:val="001C0626"/>
    <w:rsid w:val="001C06B5"/>
    <w:rsid w:val="001C0700"/>
    <w:rsid w:val="001C072C"/>
    <w:rsid w:val="001C0731"/>
    <w:rsid w:val="001C0742"/>
    <w:rsid w:val="001C07B3"/>
    <w:rsid w:val="001C080B"/>
    <w:rsid w:val="001C0840"/>
    <w:rsid w:val="001C08EF"/>
    <w:rsid w:val="001C08F2"/>
    <w:rsid w:val="001C08F4"/>
    <w:rsid w:val="001C093B"/>
    <w:rsid w:val="001C096C"/>
    <w:rsid w:val="001C097E"/>
    <w:rsid w:val="001C0987"/>
    <w:rsid w:val="001C0A19"/>
    <w:rsid w:val="001C0A25"/>
    <w:rsid w:val="001C0A6C"/>
    <w:rsid w:val="001C0AA7"/>
    <w:rsid w:val="001C0B50"/>
    <w:rsid w:val="001C0BB4"/>
    <w:rsid w:val="001C0BE1"/>
    <w:rsid w:val="001C0BED"/>
    <w:rsid w:val="001C0C74"/>
    <w:rsid w:val="001C0C8F"/>
    <w:rsid w:val="001C0D50"/>
    <w:rsid w:val="001C0D7F"/>
    <w:rsid w:val="001C0D9E"/>
    <w:rsid w:val="001C0DB4"/>
    <w:rsid w:val="001C0DD3"/>
    <w:rsid w:val="001C0E36"/>
    <w:rsid w:val="001C0E4A"/>
    <w:rsid w:val="001C0E56"/>
    <w:rsid w:val="001C0E9F"/>
    <w:rsid w:val="001C0FD7"/>
    <w:rsid w:val="001C102F"/>
    <w:rsid w:val="001C109B"/>
    <w:rsid w:val="001C1147"/>
    <w:rsid w:val="001C1164"/>
    <w:rsid w:val="001C119E"/>
    <w:rsid w:val="001C11A8"/>
    <w:rsid w:val="001C11D1"/>
    <w:rsid w:val="001C1222"/>
    <w:rsid w:val="001C1290"/>
    <w:rsid w:val="001C12CD"/>
    <w:rsid w:val="001C12D8"/>
    <w:rsid w:val="001C141E"/>
    <w:rsid w:val="001C1430"/>
    <w:rsid w:val="001C1485"/>
    <w:rsid w:val="001C14C6"/>
    <w:rsid w:val="001C14D8"/>
    <w:rsid w:val="001C14F5"/>
    <w:rsid w:val="001C1514"/>
    <w:rsid w:val="001C1575"/>
    <w:rsid w:val="001C15BD"/>
    <w:rsid w:val="001C15FA"/>
    <w:rsid w:val="001C1600"/>
    <w:rsid w:val="001C165B"/>
    <w:rsid w:val="001C1667"/>
    <w:rsid w:val="001C16AB"/>
    <w:rsid w:val="001C16D7"/>
    <w:rsid w:val="001C16E4"/>
    <w:rsid w:val="001C16F0"/>
    <w:rsid w:val="001C1701"/>
    <w:rsid w:val="001C177C"/>
    <w:rsid w:val="001C182E"/>
    <w:rsid w:val="001C183C"/>
    <w:rsid w:val="001C1846"/>
    <w:rsid w:val="001C18FC"/>
    <w:rsid w:val="001C192A"/>
    <w:rsid w:val="001C193A"/>
    <w:rsid w:val="001C1A0B"/>
    <w:rsid w:val="001C1B0C"/>
    <w:rsid w:val="001C1B26"/>
    <w:rsid w:val="001C1B36"/>
    <w:rsid w:val="001C1B71"/>
    <w:rsid w:val="001C1B9A"/>
    <w:rsid w:val="001C1BCE"/>
    <w:rsid w:val="001C1C10"/>
    <w:rsid w:val="001C1C3F"/>
    <w:rsid w:val="001C1C51"/>
    <w:rsid w:val="001C1C75"/>
    <w:rsid w:val="001C1CD3"/>
    <w:rsid w:val="001C1D0B"/>
    <w:rsid w:val="001C1D18"/>
    <w:rsid w:val="001C1D24"/>
    <w:rsid w:val="001C1D2B"/>
    <w:rsid w:val="001C1DB8"/>
    <w:rsid w:val="001C1E76"/>
    <w:rsid w:val="001C1ED2"/>
    <w:rsid w:val="001C1F4E"/>
    <w:rsid w:val="001C1F51"/>
    <w:rsid w:val="001C1F61"/>
    <w:rsid w:val="001C1F6F"/>
    <w:rsid w:val="001C1F8E"/>
    <w:rsid w:val="001C201C"/>
    <w:rsid w:val="001C2061"/>
    <w:rsid w:val="001C2068"/>
    <w:rsid w:val="001C207C"/>
    <w:rsid w:val="001C20A2"/>
    <w:rsid w:val="001C20B0"/>
    <w:rsid w:val="001C20B4"/>
    <w:rsid w:val="001C2101"/>
    <w:rsid w:val="001C2107"/>
    <w:rsid w:val="001C220D"/>
    <w:rsid w:val="001C2230"/>
    <w:rsid w:val="001C223B"/>
    <w:rsid w:val="001C225C"/>
    <w:rsid w:val="001C2263"/>
    <w:rsid w:val="001C22C6"/>
    <w:rsid w:val="001C22E4"/>
    <w:rsid w:val="001C233D"/>
    <w:rsid w:val="001C2388"/>
    <w:rsid w:val="001C23AB"/>
    <w:rsid w:val="001C23FB"/>
    <w:rsid w:val="001C2404"/>
    <w:rsid w:val="001C2467"/>
    <w:rsid w:val="001C2499"/>
    <w:rsid w:val="001C251B"/>
    <w:rsid w:val="001C25B3"/>
    <w:rsid w:val="001C269C"/>
    <w:rsid w:val="001C26B3"/>
    <w:rsid w:val="001C2702"/>
    <w:rsid w:val="001C273F"/>
    <w:rsid w:val="001C27A3"/>
    <w:rsid w:val="001C27B0"/>
    <w:rsid w:val="001C27D1"/>
    <w:rsid w:val="001C27D7"/>
    <w:rsid w:val="001C27E2"/>
    <w:rsid w:val="001C282D"/>
    <w:rsid w:val="001C2850"/>
    <w:rsid w:val="001C2872"/>
    <w:rsid w:val="001C28BA"/>
    <w:rsid w:val="001C29EF"/>
    <w:rsid w:val="001C2A65"/>
    <w:rsid w:val="001C2A76"/>
    <w:rsid w:val="001C2B61"/>
    <w:rsid w:val="001C2BC9"/>
    <w:rsid w:val="001C2C0C"/>
    <w:rsid w:val="001C2C16"/>
    <w:rsid w:val="001C2CF4"/>
    <w:rsid w:val="001C2CFC"/>
    <w:rsid w:val="001C2D3D"/>
    <w:rsid w:val="001C2D42"/>
    <w:rsid w:val="001C2D7E"/>
    <w:rsid w:val="001C2EC1"/>
    <w:rsid w:val="001C2ECB"/>
    <w:rsid w:val="001C2F46"/>
    <w:rsid w:val="001C3017"/>
    <w:rsid w:val="001C301D"/>
    <w:rsid w:val="001C3061"/>
    <w:rsid w:val="001C306F"/>
    <w:rsid w:val="001C3086"/>
    <w:rsid w:val="001C30C8"/>
    <w:rsid w:val="001C310A"/>
    <w:rsid w:val="001C3142"/>
    <w:rsid w:val="001C31D0"/>
    <w:rsid w:val="001C31D3"/>
    <w:rsid w:val="001C3204"/>
    <w:rsid w:val="001C3209"/>
    <w:rsid w:val="001C3251"/>
    <w:rsid w:val="001C32D3"/>
    <w:rsid w:val="001C32E3"/>
    <w:rsid w:val="001C32FC"/>
    <w:rsid w:val="001C3324"/>
    <w:rsid w:val="001C3358"/>
    <w:rsid w:val="001C33F0"/>
    <w:rsid w:val="001C3507"/>
    <w:rsid w:val="001C350A"/>
    <w:rsid w:val="001C350F"/>
    <w:rsid w:val="001C3557"/>
    <w:rsid w:val="001C359E"/>
    <w:rsid w:val="001C35B1"/>
    <w:rsid w:val="001C35C9"/>
    <w:rsid w:val="001C35D1"/>
    <w:rsid w:val="001C35F5"/>
    <w:rsid w:val="001C3604"/>
    <w:rsid w:val="001C3623"/>
    <w:rsid w:val="001C3624"/>
    <w:rsid w:val="001C3666"/>
    <w:rsid w:val="001C3693"/>
    <w:rsid w:val="001C36A0"/>
    <w:rsid w:val="001C3781"/>
    <w:rsid w:val="001C381C"/>
    <w:rsid w:val="001C3849"/>
    <w:rsid w:val="001C391F"/>
    <w:rsid w:val="001C3972"/>
    <w:rsid w:val="001C3A1C"/>
    <w:rsid w:val="001C3AB6"/>
    <w:rsid w:val="001C3AF3"/>
    <w:rsid w:val="001C3B3E"/>
    <w:rsid w:val="001C3B53"/>
    <w:rsid w:val="001C3BC0"/>
    <w:rsid w:val="001C3BD5"/>
    <w:rsid w:val="001C3C6C"/>
    <w:rsid w:val="001C3D10"/>
    <w:rsid w:val="001C3D12"/>
    <w:rsid w:val="001C3D20"/>
    <w:rsid w:val="001C3D45"/>
    <w:rsid w:val="001C3D46"/>
    <w:rsid w:val="001C3DDD"/>
    <w:rsid w:val="001C3E39"/>
    <w:rsid w:val="001C3E7F"/>
    <w:rsid w:val="001C3EC5"/>
    <w:rsid w:val="001C3EF5"/>
    <w:rsid w:val="001C3EF6"/>
    <w:rsid w:val="001C3F47"/>
    <w:rsid w:val="001C3F60"/>
    <w:rsid w:val="001C3F86"/>
    <w:rsid w:val="001C3FAD"/>
    <w:rsid w:val="001C405E"/>
    <w:rsid w:val="001C4071"/>
    <w:rsid w:val="001C418C"/>
    <w:rsid w:val="001C41A1"/>
    <w:rsid w:val="001C4213"/>
    <w:rsid w:val="001C423E"/>
    <w:rsid w:val="001C4270"/>
    <w:rsid w:val="001C42A2"/>
    <w:rsid w:val="001C42B8"/>
    <w:rsid w:val="001C42C2"/>
    <w:rsid w:val="001C42ED"/>
    <w:rsid w:val="001C4305"/>
    <w:rsid w:val="001C4309"/>
    <w:rsid w:val="001C4312"/>
    <w:rsid w:val="001C433C"/>
    <w:rsid w:val="001C4378"/>
    <w:rsid w:val="001C43CC"/>
    <w:rsid w:val="001C4452"/>
    <w:rsid w:val="001C4454"/>
    <w:rsid w:val="001C4466"/>
    <w:rsid w:val="001C447C"/>
    <w:rsid w:val="001C4494"/>
    <w:rsid w:val="001C44CD"/>
    <w:rsid w:val="001C44E7"/>
    <w:rsid w:val="001C4564"/>
    <w:rsid w:val="001C456D"/>
    <w:rsid w:val="001C456E"/>
    <w:rsid w:val="001C4578"/>
    <w:rsid w:val="001C45DB"/>
    <w:rsid w:val="001C45FC"/>
    <w:rsid w:val="001C468A"/>
    <w:rsid w:val="001C4739"/>
    <w:rsid w:val="001C4758"/>
    <w:rsid w:val="001C47A5"/>
    <w:rsid w:val="001C47AF"/>
    <w:rsid w:val="001C47B4"/>
    <w:rsid w:val="001C47C4"/>
    <w:rsid w:val="001C47F4"/>
    <w:rsid w:val="001C4834"/>
    <w:rsid w:val="001C483D"/>
    <w:rsid w:val="001C4895"/>
    <w:rsid w:val="001C4933"/>
    <w:rsid w:val="001C494D"/>
    <w:rsid w:val="001C497A"/>
    <w:rsid w:val="001C497E"/>
    <w:rsid w:val="001C4A05"/>
    <w:rsid w:val="001C4A4C"/>
    <w:rsid w:val="001C4A6A"/>
    <w:rsid w:val="001C4AFA"/>
    <w:rsid w:val="001C4B2E"/>
    <w:rsid w:val="001C4B50"/>
    <w:rsid w:val="001C4B51"/>
    <w:rsid w:val="001C4B5A"/>
    <w:rsid w:val="001C4BA8"/>
    <w:rsid w:val="001C4BFB"/>
    <w:rsid w:val="001C4C4D"/>
    <w:rsid w:val="001C4C61"/>
    <w:rsid w:val="001C4C62"/>
    <w:rsid w:val="001C4C67"/>
    <w:rsid w:val="001C4C83"/>
    <w:rsid w:val="001C4C97"/>
    <w:rsid w:val="001C4CAD"/>
    <w:rsid w:val="001C4DD6"/>
    <w:rsid w:val="001C4E36"/>
    <w:rsid w:val="001C4F04"/>
    <w:rsid w:val="001C4F55"/>
    <w:rsid w:val="001C4FC3"/>
    <w:rsid w:val="001C502A"/>
    <w:rsid w:val="001C508C"/>
    <w:rsid w:val="001C50A7"/>
    <w:rsid w:val="001C50E9"/>
    <w:rsid w:val="001C511B"/>
    <w:rsid w:val="001C51A4"/>
    <w:rsid w:val="001C51B8"/>
    <w:rsid w:val="001C523A"/>
    <w:rsid w:val="001C525D"/>
    <w:rsid w:val="001C52AE"/>
    <w:rsid w:val="001C52CD"/>
    <w:rsid w:val="001C52CE"/>
    <w:rsid w:val="001C5341"/>
    <w:rsid w:val="001C53E5"/>
    <w:rsid w:val="001C5441"/>
    <w:rsid w:val="001C54C8"/>
    <w:rsid w:val="001C5694"/>
    <w:rsid w:val="001C56B7"/>
    <w:rsid w:val="001C5715"/>
    <w:rsid w:val="001C5737"/>
    <w:rsid w:val="001C575A"/>
    <w:rsid w:val="001C5760"/>
    <w:rsid w:val="001C57E6"/>
    <w:rsid w:val="001C581A"/>
    <w:rsid w:val="001C58F8"/>
    <w:rsid w:val="001C5926"/>
    <w:rsid w:val="001C597A"/>
    <w:rsid w:val="001C5A24"/>
    <w:rsid w:val="001C5A63"/>
    <w:rsid w:val="001C5A65"/>
    <w:rsid w:val="001C5BAD"/>
    <w:rsid w:val="001C5BCB"/>
    <w:rsid w:val="001C5C21"/>
    <w:rsid w:val="001C5C55"/>
    <w:rsid w:val="001C5C79"/>
    <w:rsid w:val="001C5C9A"/>
    <w:rsid w:val="001C5CA8"/>
    <w:rsid w:val="001C5CDB"/>
    <w:rsid w:val="001C5CF3"/>
    <w:rsid w:val="001C5D2D"/>
    <w:rsid w:val="001C5D4D"/>
    <w:rsid w:val="001C5D73"/>
    <w:rsid w:val="001C5D78"/>
    <w:rsid w:val="001C5DDF"/>
    <w:rsid w:val="001C5EF2"/>
    <w:rsid w:val="001C5F88"/>
    <w:rsid w:val="001C5FDF"/>
    <w:rsid w:val="001C5FFC"/>
    <w:rsid w:val="001C601C"/>
    <w:rsid w:val="001C6082"/>
    <w:rsid w:val="001C60D5"/>
    <w:rsid w:val="001C6109"/>
    <w:rsid w:val="001C610E"/>
    <w:rsid w:val="001C611E"/>
    <w:rsid w:val="001C612C"/>
    <w:rsid w:val="001C6135"/>
    <w:rsid w:val="001C61E7"/>
    <w:rsid w:val="001C61ED"/>
    <w:rsid w:val="001C62B8"/>
    <w:rsid w:val="001C6357"/>
    <w:rsid w:val="001C6362"/>
    <w:rsid w:val="001C6384"/>
    <w:rsid w:val="001C63EF"/>
    <w:rsid w:val="001C6415"/>
    <w:rsid w:val="001C6447"/>
    <w:rsid w:val="001C6493"/>
    <w:rsid w:val="001C64B3"/>
    <w:rsid w:val="001C650F"/>
    <w:rsid w:val="001C6540"/>
    <w:rsid w:val="001C65D3"/>
    <w:rsid w:val="001C65D5"/>
    <w:rsid w:val="001C65D8"/>
    <w:rsid w:val="001C65E1"/>
    <w:rsid w:val="001C65FA"/>
    <w:rsid w:val="001C660A"/>
    <w:rsid w:val="001C6615"/>
    <w:rsid w:val="001C664E"/>
    <w:rsid w:val="001C667A"/>
    <w:rsid w:val="001C66CB"/>
    <w:rsid w:val="001C66EB"/>
    <w:rsid w:val="001C66FA"/>
    <w:rsid w:val="001C679F"/>
    <w:rsid w:val="001C67A6"/>
    <w:rsid w:val="001C67FA"/>
    <w:rsid w:val="001C6861"/>
    <w:rsid w:val="001C687B"/>
    <w:rsid w:val="001C68C0"/>
    <w:rsid w:val="001C695A"/>
    <w:rsid w:val="001C69E6"/>
    <w:rsid w:val="001C6A45"/>
    <w:rsid w:val="001C6A9A"/>
    <w:rsid w:val="001C6AAB"/>
    <w:rsid w:val="001C6AF7"/>
    <w:rsid w:val="001C6B1F"/>
    <w:rsid w:val="001C6B3C"/>
    <w:rsid w:val="001C6B86"/>
    <w:rsid w:val="001C6B95"/>
    <w:rsid w:val="001C6BED"/>
    <w:rsid w:val="001C6BF5"/>
    <w:rsid w:val="001C6C36"/>
    <w:rsid w:val="001C6C92"/>
    <w:rsid w:val="001C6C97"/>
    <w:rsid w:val="001C6CA0"/>
    <w:rsid w:val="001C6D31"/>
    <w:rsid w:val="001C6DD2"/>
    <w:rsid w:val="001C6DD3"/>
    <w:rsid w:val="001C6E88"/>
    <w:rsid w:val="001C6E96"/>
    <w:rsid w:val="001C6EEA"/>
    <w:rsid w:val="001C700A"/>
    <w:rsid w:val="001C7056"/>
    <w:rsid w:val="001C70C2"/>
    <w:rsid w:val="001C714B"/>
    <w:rsid w:val="001C716B"/>
    <w:rsid w:val="001C717C"/>
    <w:rsid w:val="001C7260"/>
    <w:rsid w:val="001C7288"/>
    <w:rsid w:val="001C728A"/>
    <w:rsid w:val="001C729C"/>
    <w:rsid w:val="001C72C1"/>
    <w:rsid w:val="001C734E"/>
    <w:rsid w:val="001C739E"/>
    <w:rsid w:val="001C73D4"/>
    <w:rsid w:val="001C73E5"/>
    <w:rsid w:val="001C74CE"/>
    <w:rsid w:val="001C74EC"/>
    <w:rsid w:val="001C74EF"/>
    <w:rsid w:val="001C74F8"/>
    <w:rsid w:val="001C7554"/>
    <w:rsid w:val="001C75A3"/>
    <w:rsid w:val="001C761D"/>
    <w:rsid w:val="001C76A5"/>
    <w:rsid w:val="001C76E8"/>
    <w:rsid w:val="001C77C1"/>
    <w:rsid w:val="001C77CC"/>
    <w:rsid w:val="001C77F1"/>
    <w:rsid w:val="001C7823"/>
    <w:rsid w:val="001C7887"/>
    <w:rsid w:val="001C7897"/>
    <w:rsid w:val="001C78CD"/>
    <w:rsid w:val="001C78DE"/>
    <w:rsid w:val="001C791D"/>
    <w:rsid w:val="001C7946"/>
    <w:rsid w:val="001C794B"/>
    <w:rsid w:val="001C795A"/>
    <w:rsid w:val="001C7980"/>
    <w:rsid w:val="001C79E8"/>
    <w:rsid w:val="001C7A08"/>
    <w:rsid w:val="001C7CBF"/>
    <w:rsid w:val="001C7CC3"/>
    <w:rsid w:val="001C7CF8"/>
    <w:rsid w:val="001C7D0E"/>
    <w:rsid w:val="001C7D2C"/>
    <w:rsid w:val="001C7D51"/>
    <w:rsid w:val="001C7D5D"/>
    <w:rsid w:val="001C7D5F"/>
    <w:rsid w:val="001C7D71"/>
    <w:rsid w:val="001C7DE5"/>
    <w:rsid w:val="001C7DEC"/>
    <w:rsid w:val="001C7DFF"/>
    <w:rsid w:val="001C7E60"/>
    <w:rsid w:val="001C7F03"/>
    <w:rsid w:val="001C7F53"/>
    <w:rsid w:val="001C7FA5"/>
    <w:rsid w:val="001C7FCD"/>
    <w:rsid w:val="001C7FD1"/>
    <w:rsid w:val="001D0094"/>
    <w:rsid w:val="001D00A9"/>
    <w:rsid w:val="001D00EE"/>
    <w:rsid w:val="001D0101"/>
    <w:rsid w:val="001D012F"/>
    <w:rsid w:val="001D018B"/>
    <w:rsid w:val="001D01C6"/>
    <w:rsid w:val="001D01D6"/>
    <w:rsid w:val="001D01DC"/>
    <w:rsid w:val="001D01F8"/>
    <w:rsid w:val="001D0208"/>
    <w:rsid w:val="001D0221"/>
    <w:rsid w:val="001D022A"/>
    <w:rsid w:val="001D0300"/>
    <w:rsid w:val="001D0320"/>
    <w:rsid w:val="001D036D"/>
    <w:rsid w:val="001D03A1"/>
    <w:rsid w:val="001D0444"/>
    <w:rsid w:val="001D044E"/>
    <w:rsid w:val="001D04AA"/>
    <w:rsid w:val="001D04EA"/>
    <w:rsid w:val="001D051F"/>
    <w:rsid w:val="001D054E"/>
    <w:rsid w:val="001D0599"/>
    <w:rsid w:val="001D059E"/>
    <w:rsid w:val="001D0603"/>
    <w:rsid w:val="001D0631"/>
    <w:rsid w:val="001D0636"/>
    <w:rsid w:val="001D0682"/>
    <w:rsid w:val="001D079B"/>
    <w:rsid w:val="001D084F"/>
    <w:rsid w:val="001D0878"/>
    <w:rsid w:val="001D0882"/>
    <w:rsid w:val="001D0895"/>
    <w:rsid w:val="001D089F"/>
    <w:rsid w:val="001D08AC"/>
    <w:rsid w:val="001D08BF"/>
    <w:rsid w:val="001D0910"/>
    <w:rsid w:val="001D098E"/>
    <w:rsid w:val="001D09A2"/>
    <w:rsid w:val="001D09EC"/>
    <w:rsid w:val="001D0A04"/>
    <w:rsid w:val="001D0A66"/>
    <w:rsid w:val="001D0A9E"/>
    <w:rsid w:val="001D0AFD"/>
    <w:rsid w:val="001D0B28"/>
    <w:rsid w:val="001D0B36"/>
    <w:rsid w:val="001D0B64"/>
    <w:rsid w:val="001D0B72"/>
    <w:rsid w:val="001D0BE4"/>
    <w:rsid w:val="001D0C3E"/>
    <w:rsid w:val="001D0C43"/>
    <w:rsid w:val="001D0C62"/>
    <w:rsid w:val="001D0C98"/>
    <w:rsid w:val="001D0D96"/>
    <w:rsid w:val="001D0DB1"/>
    <w:rsid w:val="001D0DCD"/>
    <w:rsid w:val="001D0DF0"/>
    <w:rsid w:val="001D0E0A"/>
    <w:rsid w:val="001D0E0C"/>
    <w:rsid w:val="001D0E40"/>
    <w:rsid w:val="001D0E4C"/>
    <w:rsid w:val="001D0E53"/>
    <w:rsid w:val="001D0E6B"/>
    <w:rsid w:val="001D0E86"/>
    <w:rsid w:val="001D0ECF"/>
    <w:rsid w:val="001D0EE5"/>
    <w:rsid w:val="001D0F3B"/>
    <w:rsid w:val="001D0F6C"/>
    <w:rsid w:val="001D0FE8"/>
    <w:rsid w:val="001D0FF8"/>
    <w:rsid w:val="001D1006"/>
    <w:rsid w:val="001D107D"/>
    <w:rsid w:val="001D10DA"/>
    <w:rsid w:val="001D11A5"/>
    <w:rsid w:val="001D11D4"/>
    <w:rsid w:val="001D11D8"/>
    <w:rsid w:val="001D1221"/>
    <w:rsid w:val="001D1227"/>
    <w:rsid w:val="001D1231"/>
    <w:rsid w:val="001D1252"/>
    <w:rsid w:val="001D1307"/>
    <w:rsid w:val="001D1330"/>
    <w:rsid w:val="001D133F"/>
    <w:rsid w:val="001D1399"/>
    <w:rsid w:val="001D139C"/>
    <w:rsid w:val="001D13AE"/>
    <w:rsid w:val="001D13F6"/>
    <w:rsid w:val="001D140E"/>
    <w:rsid w:val="001D1417"/>
    <w:rsid w:val="001D1431"/>
    <w:rsid w:val="001D1498"/>
    <w:rsid w:val="001D151B"/>
    <w:rsid w:val="001D1532"/>
    <w:rsid w:val="001D164D"/>
    <w:rsid w:val="001D1694"/>
    <w:rsid w:val="001D16CA"/>
    <w:rsid w:val="001D16DA"/>
    <w:rsid w:val="001D1734"/>
    <w:rsid w:val="001D1740"/>
    <w:rsid w:val="001D17AD"/>
    <w:rsid w:val="001D17D1"/>
    <w:rsid w:val="001D1849"/>
    <w:rsid w:val="001D18B3"/>
    <w:rsid w:val="001D1944"/>
    <w:rsid w:val="001D194E"/>
    <w:rsid w:val="001D1977"/>
    <w:rsid w:val="001D1997"/>
    <w:rsid w:val="001D1A13"/>
    <w:rsid w:val="001D1A66"/>
    <w:rsid w:val="001D1B09"/>
    <w:rsid w:val="001D1B0D"/>
    <w:rsid w:val="001D1B43"/>
    <w:rsid w:val="001D1BA3"/>
    <w:rsid w:val="001D1BB5"/>
    <w:rsid w:val="001D1C91"/>
    <w:rsid w:val="001D1DD8"/>
    <w:rsid w:val="001D1E1C"/>
    <w:rsid w:val="001D1E46"/>
    <w:rsid w:val="001D1EB2"/>
    <w:rsid w:val="001D1EE8"/>
    <w:rsid w:val="001D1F71"/>
    <w:rsid w:val="001D1F8C"/>
    <w:rsid w:val="001D1FC9"/>
    <w:rsid w:val="001D1FE8"/>
    <w:rsid w:val="001D1FF1"/>
    <w:rsid w:val="001D206C"/>
    <w:rsid w:val="001D208B"/>
    <w:rsid w:val="001D2096"/>
    <w:rsid w:val="001D2177"/>
    <w:rsid w:val="001D2236"/>
    <w:rsid w:val="001D225A"/>
    <w:rsid w:val="001D22AA"/>
    <w:rsid w:val="001D22B3"/>
    <w:rsid w:val="001D2387"/>
    <w:rsid w:val="001D241F"/>
    <w:rsid w:val="001D249E"/>
    <w:rsid w:val="001D24A2"/>
    <w:rsid w:val="001D24A4"/>
    <w:rsid w:val="001D24C7"/>
    <w:rsid w:val="001D24E0"/>
    <w:rsid w:val="001D2500"/>
    <w:rsid w:val="001D2560"/>
    <w:rsid w:val="001D2573"/>
    <w:rsid w:val="001D25B5"/>
    <w:rsid w:val="001D25DA"/>
    <w:rsid w:val="001D2630"/>
    <w:rsid w:val="001D263C"/>
    <w:rsid w:val="001D2647"/>
    <w:rsid w:val="001D2667"/>
    <w:rsid w:val="001D267F"/>
    <w:rsid w:val="001D26B2"/>
    <w:rsid w:val="001D26EA"/>
    <w:rsid w:val="001D26F6"/>
    <w:rsid w:val="001D2709"/>
    <w:rsid w:val="001D2861"/>
    <w:rsid w:val="001D2890"/>
    <w:rsid w:val="001D28F1"/>
    <w:rsid w:val="001D2939"/>
    <w:rsid w:val="001D2961"/>
    <w:rsid w:val="001D29A1"/>
    <w:rsid w:val="001D29B8"/>
    <w:rsid w:val="001D2A0D"/>
    <w:rsid w:val="001D2AC6"/>
    <w:rsid w:val="001D2B1A"/>
    <w:rsid w:val="001D2BEB"/>
    <w:rsid w:val="001D2CA1"/>
    <w:rsid w:val="001D2CEB"/>
    <w:rsid w:val="001D2D2D"/>
    <w:rsid w:val="001D2D3E"/>
    <w:rsid w:val="001D2D5A"/>
    <w:rsid w:val="001D2D68"/>
    <w:rsid w:val="001D2D87"/>
    <w:rsid w:val="001D2DBD"/>
    <w:rsid w:val="001D2DE4"/>
    <w:rsid w:val="001D2E22"/>
    <w:rsid w:val="001D2E29"/>
    <w:rsid w:val="001D2E73"/>
    <w:rsid w:val="001D2E75"/>
    <w:rsid w:val="001D2E90"/>
    <w:rsid w:val="001D2E94"/>
    <w:rsid w:val="001D2EB1"/>
    <w:rsid w:val="001D2F02"/>
    <w:rsid w:val="001D2F1B"/>
    <w:rsid w:val="001D2F37"/>
    <w:rsid w:val="001D2FE7"/>
    <w:rsid w:val="001D3061"/>
    <w:rsid w:val="001D3080"/>
    <w:rsid w:val="001D3091"/>
    <w:rsid w:val="001D309B"/>
    <w:rsid w:val="001D30C1"/>
    <w:rsid w:val="001D30F0"/>
    <w:rsid w:val="001D3128"/>
    <w:rsid w:val="001D31E6"/>
    <w:rsid w:val="001D3201"/>
    <w:rsid w:val="001D323F"/>
    <w:rsid w:val="001D3257"/>
    <w:rsid w:val="001D3259"/>
    <w:rsid w:val="001D3271"/>
    <w:rsid w:val="001D32AC"/>
    <w:rsid w:val="001D32DA"/>
    <w:rsid w:val="001D3369"/>
    <w:rsid w:val="001D3396"/>
    <w:rsid w:val="001D33AA"/>
    <w:rsid w:val="001D3455"/>
    <w:rsid w:val="001D34C2"/>
    <w:rsid w:val="001D34D5"/>
    <w:rsid w:val="001D34D6"/>
    <w:rsid w:val="001D350E"/>
    <w:rsid w:val="001D3593"/>
    <w:rsid w:val="001D35F4"/>
    <w:rsid w:val="001D360A"/>
    <w:rsid w:val="001D3619"/>
    <w:rsid w:val="001D3643"/>
    <w:rsid w:val="001D3681"/>
    <w:rsid w:val="001D3763"/>
    <w:rsid w:val="001D377D"/>
    <w:rsid w:val="001D3783"/>
    <w:rsid w:val="001D381C"/>
    <w:rsid w:val="001D382F"/>
    <w:rsid w:val="001D3876"/>
    <w:rsid w:val="001D3878"/>
    <w:rsid w:val="001D3903"/>
    <w:rsid w:val="001D3917"/>
    <w:rsid w:val="001D3928"/>
    <w:rsid w:val="001D3958"/>
    <w:rsid w:val="001D395B"/>
    <w:rsid w:val="001D398B"/>
    <w:rsid w:val="001D39B7"/>
    <w:rsid w:val="001D3A24"/>
    <w:rsid w:val="001D3A32"/>
    <w:rsid w:val="001D3ACE"/>
    <w:rsid w:val="001D3B13"/>
    <w:rsid w:val="001D3B4F"/>
    <w:rsid w:val="001D3C5C"/>
    <w:rsid w:val="001D3C7E"/>
    <w:rsid w:val="001D3CBA"/>
    <w:rsid w:val="001D3CFD"/>
    <w:rsid w:val="001D3D25"/>
    <w:rsid w:val="001D3D82"/>
    <w:rsid w:val="001D3DBD"/>
    <w:rsid w:val="001D3DC2"/>
    <w:rsid w:val="001D3DDA"/>
    <w:rsid w:val="001D3DF7"/>
    <w:rsid w:val="001D3E2D"/>
    <w:rsid w:val="001D3E3F"/>
    <w:rsid w:val="001D3E56"/>
    <w:rsid w:val="001D3ED1"/>
    <w:rsid w:val="001D3EF4"/>
    <w:rsid w:val="001D3F1B"/>
    <w:rsid w:val="001D3F2C"/>
    <w:rsid w:val="001D3F46"/>
    <w:rsid w:val="001D3F5E"/>
    <w:rsid w:val="001D3F9D"/>
    <w:rsid w:val="001D3FA3"/>
    <w:rsid w:val="001D3FA7"/>
    <w:rsid w:val="001D3FC1"/>
    <w:rsid w:val="001D4004"/>
    <w:rsid w:val="001D4043"/>
    <w:rsid w:val="001D4071"/>
    <w:rsid w:val="001D4133"/>
    <w:rsid w:val="001D4148"/>
    <w:rsid w:val="001D414B"/>
    <w:rsid w:val="001D417F"/>
    <w:rsid w:val="001D41BD"/>
    <w:rsid w:val="001D41BF"/>
    <w:rsid w:val="001D41CD"/>
    <w:rsid w:val="001D4244"/>
    <w:rsid w:val="001D4270"/>
    <w:rsid w:val="001D4272"/>
    <w:rsid w:val="001D4392"/>
    <w:rsid w:val="001D4421"/>
    <w:rsid w:val="001D450F"/>
    <w:rsid w:val="001D4581"/>
    <w:rsid w:val="001D466F"/>
    <w:rsid w:val="001D4686"/>
    <w:rsid w:val="001D46F7"/>
    <w:rsid w:val="001D4771"/>
    <w:rsid w:val="001D47EB"/>
    <w:rsid w:val="001D47F8"/>
    <w:rsid w:val="001D4843"/>
    <w:rsid w:val="001D4881"/>
    <w:rsid w:val="001D4889"/>
    <w:rsid w:val="001D48B0"/>
    <w:rsid w:val="001D48D2"/>
    <w:rsid w:val="001D48F3"/>
    <w:rsid w:val="001D4919"/>
    <w:rsid w:val="001D4971"/>
    <w:rsid w:val="001D4A5D"/>
    <w:rsid w:val="001D4A81"/>
    <w:rsid w:val="001D4AAB"/>
    <w:rsid w:val="001D4AEE"/>
    <w:rsid w:val="001D4B07"/>
    <w:rsid w:val="001D4B2B"/>
    <w:rsid w:val="001D4B51"/>
    <w:rsid w:val="001D4C36"/>
    <w:rsid w:val="001D4C83"/>
    <w:rsid w:val="001D4CC7"/>
    <w:rsid w:val="001D4DF5"/>
    <w:rsid w:val="001D4E0C"/>
    <w:rsid w:val="001D4E35"/>
    <w:rsid w:val="001D4E40"/>
    <w:rsid w:val="001D4E6A"/>
    <w:rsid w:val="001D4E96"/>
    <w:rsid w:val="001D4FA3"/>
    <w:rsid w:val="001D4FB1"/>
    <w:rsid w:val="001D4FDB"/>
    <w:rsid w:val="001D502A"/>
    <w:rsid w:val="001D50E1"/>
    <w:rsid w:val="001D5150"/>
    <w:rsid w:val="001D515E"/>
    <w:rsid w:val="001D51DF"/>
    <w:rsid w:val="001D52EF"/>
    <w:rsid w:val="001D5333"/>
    <w:rsid w:val="001D53A9"/>
    <w:rsid w:val="001D53EC"/>
    <w:rsid w:val="001D5415"/>
    <w:rsid w:val="001D545D"/>
    <w:rsid w:val="001D5477"/>
    <w:rsid w:val="001D547A"/>
    <w:rsid w:val="001D54E4"/>
    <w:rsid w:val="001D54E5"/>
    <w:rsid w:val="001D5531"/>
    <w:rsid w:val="001D558A"/>
    <w:rsid w:val="001D55A7"/>
    <w:rsid w:val="001D55BD"/>
    <w:rsid w:val="001D55E1"/>
    <w:rsid w:val="001D565E"/>
    <w:rsid w:val="001D5693"/>
    <w:rsid w:val="001D56A8"/>
    <w:rsid w:val="001D56DC"/>
    <w:rsid w:val="001D56E9"/>
    <w:rsid w:val="001D572D"/>
    <w:rsid w:val="001D574B"/>
    <w:rsid w:val="001D577C"/>
    <w:rsid w:val="001D5788"/>
    <w:rsid w:val="001D5796"/>
    <w:rsid w:val="001D5818"/>
    <w:rsid w:val="001D5834"/>
    <w:rsid w:val="001D58A6"/>
    <w:rsid w:val="001D58B5"/>
    <w:rsid w:val="001D58E3"/>
    <w:rsid w:val="001D5983"/>
    <w:rsid w:val="001D5ACD"/>
    <w:rsid w:val="001D5ACF"/>
    <w:rsid w:val="001D5AFD"/>
    <w:rsid w:val="001D5BDF"/>
    <w:rsid w:val="001D5BF2"/>
    <w:rsid w:val="001D5C2A"/>
    <w:rsid w:val="001D5C6F"/>
    <w:rsid w:val="001D5CBF"/>
    <w:rsid w:val="001D5D4E"/>
    <w:rsid w:val="001D5D68"/>
    <w:rsid w:val="001D5D9E"/>
    <w:rsid w:val="001D5DDA"/>
    <w:rsid w:val="001D5DFE"/>
    <w:rsid w:val="001D5E06"/>
    <w:rsid w:val="001D5E70"/>
    <w:rsid w:val="001D5EA3"/>
    <w:rsid w:val="001D5EAE"/>
    <w:rsid w:val="001D5F56"/>
    <w:rsid w:val="001D5F5C"/>
    <w:rsid w:val="001D5F9B"/>
    <w:rsid w:val="001D5F9C"/>
    <w:rsid w:val="001D5FB2"/>
    <w:rsid w:val="001D5FCF"/>
    <w:rsid w:val="001D6005"/>
    <w:rsid w:val="001D6014"/>
    <w:rsid w:val="001D6019"/>
    <w:rsid w:val="001D601F"/>
    <w:rsid w:val="001D6049"/>
    <w:rsid w:val="001D6085"/>
    <w:rsid w:val="001D609A"/>
    <w:rsid w:val="001D611A"/>
    <w:rsid w:val="001D6177"/>
    <w:rsid w:val="001D6209"/>
    <w:rsid w:val="001D6242"/>
    <w:rsid w:val="001D6257"/>
    <w:rsid w:val="001D6274"/>
    <w:rsid w:val="001D62D8"/>
    <w:rsid w:val="001D62E5"/>
    <w:rsid w:val="001D62F7"/>
    <w:rsid w:val="001D630D"/>
    <w:rsid w:val="001D6386"/>
    <w:rsid w:val="001D6436"/>
    <w:rsid w:val="001D6479"/>
    <w:rsid w:val="001D64FF"/>
    <w:rsid w:val="001D6516"/>
    <w:rsid w:val="001D65B3"/>
    <w:rsid w:val="001D65BA"/>
    <w:rsid w:val="001D65F5"/>
    <w:rsid w:val="001D6608"/>
    <w:rsid w:val="001D6657"/>
    <w:rsid w:val="001D668A"/>
    <w:rsid w:val="001D66B0"/>
    <w:rsid w:val="001D66EB"/>
    <w:rsid w:val="001D678A"/>
    <w:rsid w:val="001D67DB"/>
    <w:rsid w:val="001D67E5"/>
    <w:rsid w:val="001D67EE"/>
    <w:rsid w:val="001D684B"/>
    <w:rsid w:val="001D68DF"/>
    <w:rsid w:val="001D692E"/>
    <w:rsid w:val="001D6953"/>
    <w:rsid w:val="001D69C4"/>
    <w:rsid w:val="001D69C7"/>
    <w:rsid w:val="001D6A53"/>
    <w:rsid w:val="001D6A76"/>
    <w:rsid w:val="001D6AE4"/>
    <w:rsid w:val="001D6AF9"/>
    <w:rsid w:val="001D6B25"/>
    <w:rsid w:val="001D6B62"/>
    <w:rsid w:val="001D6BE4"/>
    <w:rsid w:val="001D6BEE"/>
    <w:rsid w:val="001D6BFA"/>
    <w:rsid w:val="001D6C6F"/>
    <w:rsid w:val="001D6C7A"/>
    <w:rsid w:val="001D6D06"/>
    <w:rsid w:val="001D6D88"/>
    <w:rsid w:val="001D6E2F"/>
    <w:rsid w:val="001D6E54"/>
    <w:rsid w:val="001D6EAB"/>
    <w:rsid w:val="001D6F11"/>
    <w:rsid w:val="001D6F1F"/>
    <w:rsid w:val="001D6F9E"/>
    <w:rsid w:val="001D6FE5"/>
    <w:rsid w:val="001D7005"/>
    <w:rsid w:val="001D7039"/>
    <w:rsid w:val="001D705B"/>
    <w:rsid w:val="001D70BA"/>
    <w:rsid w:val="001D7167"/>
    <w:rsid w:val="001D71AE"/>
    <w:rsid w:val="001D71CD"/>
    <w:rsid w:val="001D7242"/>
    <w:rsid w:val="001D726F"/>
    <w:rsid w:val="001D7315"/>
    <w:rsid w:val="001D7348"/>
    <w:rsid w:val="001D73CB"/>
    <w:rsid w:val="001D73EB"/>
    <w:rsid w:val="001D73FF"/>
    <w:rsid w:val="001D7402"/>
    <w:rsid w:val="001D7418"/>
    <w:rsid w:val="001D744D"/>
    <w:rsid w:val="001D746A"/>
    <w:rsid w:val="001D7537"/>
    <w:rsid w:val="001D7543"/>
    <w:rsid w:val="001D7555"/>
    <w:rsid w:val="001D7583"/>
    <w:rsid w:val="001D7587"/>
    <w:rsid w:val="001D758A"/>
    <w:rsid w:val="001D75C0"/>
    <w:rsid w:val="001D75E6"/>
    <w:rsid w:val="001D75F1"/>
    <w:rsid w:val="001D7615"/>
    <w:rsid w:val="001D762F"/>
    <w:rsid w:val="001D7659"/>
    <w:rsid w:val="001D767B"/>
    <w:rsid w:val="001D76DC"/>
    <w:rsid w:val="001D76F0"/>
    <w:rsid w:val="001D7718"/>
    <w:rsid w:val="001D771D"/>
    <w:rsid w:val="001D775C"/>
    <w:rsid w:val="001D7781"/>
    <w:rsid w:val="001D7786"/>
    <w:rsid w:val="001D779E"/>
    <w:rsid w:val="001D77A2"/>
    <w:rsid w:val="001D77AE"/>
    <w:rsid w:val="001D77E4"/>
    <w:rsid w:val="001D785A"/>
    <w:rsid w:val="001D787D"/>
    <w:rsid w:val="001D78DF"/>
    <w:rsid w:val="001D790C"/>
    <w:rsid w:val="001D7927"/>
    <w:rsid w:val="001D7935"/>
    <w:rsid w:val="001D799A"/>
    <w:rsid w:val="001D79C1"/>
    <w:rsid w:val="001D7A5E"/>
    <w:rsid w:val="001D7A8C"/>
    <w:rsid w:val="001D7AC4"/>
    <w:rsid w:val="001D7B30"/>
    <w:rsid w:val="001D7B5F"/>
    <w:rsid w:val="001D7BAD"/>
    <w:rsid w:val="001D7BC6"/>
    <w:rsid w:val="001D7BC9"/>
    <w:rsid w:val="001D7BF0"/>
    <w:rsid w:val="001D7C2E"/>
    <w:rsid w:val="001D7C3D"/>
    <w:rsid w:val="001D7CCF"/>
    <w:rsid w:val="001D7D04"/>
    <w:rsid w:val="001D7D11"/>
    <w:rsid w:val="001D7D18"/>
    <w:rsid w:val="001D7D32"/>
    <w:rsid w:val="001D7D35"/>
    <w:rsid w:val="001D7D70"/>
    <w:rsid w:val="001D7D83"/>
    <w:rsid w:val="001D7D91"/>
    <w:rsid w:val="001D7DB9"/>
    <w:rsid w:val="001D7DDB"/>
    <w:rsid w:val="001D7DE1"/>
    <w:rsid w:val="001D7E4B"/>
    <w:rsid w:val="001D7E4F"/>
    <w:rsid w:val="001D7E9D"/>
    <w:rsid w:val="001D7EE1"/>
    <w:rsid w:val="001D7F11"/>
    <w:rsid w:val="001D7F68"/>
    <w:rsid w:val="001D7F70"/>
    <w:rsid w:val="001D7FB8"/>
    <w:rsid w:val="001E0003"/>
    <w:rsid w:val="001E0090"/>
    <w:rsid w:val="001E00A9"/>
    <w:rsid w:val="001E014A"/>
    <w:rsid w:val="001E0169"/>
    <w:rsid w:val="001E0177"/>
    <w:rsid w:val="001E0178"/>
    <w:rsid w:val="001E01AA"/>
    <w:rsid w:val="001E01E8"/>
    <w:rsid w:val="001E0222"/>
    <w:rsid w:val="001E0227"/>
    <w:rsid w:val="001E025A"/>
    <w:rsid w:val="001E02D6"/>
    <w:rsid w:val="001E0313"/>
    <w:rsid w:val="001E0318"/>
    <w:rsid w:val="001E0346"/>
    <w:rsid w:val="001E03AD"/>
    <w:rsid w:val="001E03DB"/>
    <w:rsid w:val="001E03F7"/>
    <w:rsid w:val="001E0412"/>
    <w:rsid w:val="001E041E"/>
    <w:rsid w:val="001E044D"/>
    <w:rsid w:val="001E04D0"/>
    <w:rsid w:val="001E04F8"/>
    <w:rsid w:val="001E051A"/>
    <w:rsid w:val="001E0560"/>
    <w:rsid w:val="001E05E3"/>
    <w:rsid w:val="001E069B"/>
    <w:rsid w:val="001E06B2"/>
    <w:rsid w:val="001E0765"/>
    <w:rsid w:val="001E07C6"/>
    <w:rsid w:val="001E07CD"/>
    <w:rsid w:val="001E0831"/>
    <w:rsid w:val="001E0835"/>
    <w:rsid w:val="001E08D6"/>
    <w:rsid w:val="001E08DA"/>
    <w:rsid w:val="001E092D"/>
    <w:rsid w:val="001E0984"/>
    <w:rsid w:val="001E0A0C"/>
    <w:rsid w:val="001E0B7A"/>
    <w:rsid w:val="001E0B8C"/>
    <w:rsid w:val="001E0B97"/>
    <w:rsid w:val="001E0C50"/>
    <w:rsid w:val="001E0C63"/>
    <w:rsid w:val="001E0C9B"/>
    <w:rsid w:val="001E0CD9"/>
    <w:rsid w:val="001E0D36"/>
    <w:rsid w:val="001E0D60"/>
    <w:rsid w:val="001E0D87"/>
    <w:rsid w:val="001E0DA9"/>
    <w:rsid w:val="001E0DC7"/>
    <w:rsid w:val="001E0DCD"/>
    <w:rsid w:val="001E0E85"/>
    <w:rsid w:val="001E0ECE"/>
    <w:rsid w:val="001E0EE1"/>
    <w:rsid w:val="001E0F52"/>
    <w:rsid w:val="001E0F5C"/>
    <w:rsid w:val="001E0F9B"/>
    <w:rsid w:val="001E0FB0"/>
    <w:rsid w:val="001E0FF8"/>
    <w:rsid w:val="001E1035"/>
    <w:rsid w:val="001E1117"/>
    <w:rsid w:val="001E1218"/>
    <w:rsid w:val="001E121B"/>
    <w:rsid w:val="001E129E"/>
    <w:rsid w:val="001E12B8"/>
    <w:rsid w:val="001E12CF"/>
    <w:rsid w:val="001E12ED"/>
    <w:rsid w:val="001E1306"/>
    <w:rsid w:val="001E1383"/>
    <w:rsid w:val="001E13C3"/>
    <w:rsid w:val="001E14AF"/>
    <w:rsid w:val="001E157F"/>
    <w:rsid w:val="001E15F6"/>
    <w:rsid w:val="001E163E"/>
    <w:rsid w:val="001E1662"/>
    <w:rsid w:val="001E16CD"/>
    <w:rsid w:val="001E16D6"/>
    <w:rsid w:val="001E16DB"/>
    <w:rsid w:val="001E16E8"/>
    <w:rsid w:val="001E177D"/>
    <w:rsid w:val="001E17BD"/>
    <w:rsid w:val="001E17C3"/>
    <w:rsid w:val="001E1813"/>
    <w:rsid w:val="001E19D8"/>
    <w:rsid w:val="001E19E3"/>
    <w:rsid w:val="001E1A3B"/>
    <w:rsid w:val="001E1AB4"/>
    <w:rsid w:val="001E1AE2"/>
    <w:rsid w:val="001E1AF2"/>
    <w:rsid w:val="001E1B26"/>
    <w:rsid w:val="001E1B59"/>
    <w:rsid w:val="001E1BD6"/>
    <w:rsid w:val="001E1C2B"/>
    <w:rsid w:val="001E1C99"/>
    <w:rsid w:val="001E1CAE"/>
    <w:rsid w:val="001E1CC4"/>
    <w:rsid w:val="001E1CDD"/>
    <w:rsid w:val="001E1CEA"/>
    <w:rsid w:val="001E1D2B"/>
    <w:rsid w:val="001E1D60"/>
    <w:rsid w:val="001E1D7A"/>
    <w:rsid w:val="001E1D8A"/>
    <w:rsid w:val="001E1DAC"/>
    <w:rsid w:val="001E1DF1"/>
    <w:rsid w:val="001E1DFB"/>
    <w:rsid w:val="001E1E26"/>
    <w:rsid w:val="001E1E53"/>
    <w:rsid w:val="001E1E7F"/>
    <w:rsid w:val="001E1E91"/>
    <w:rsid w:val="001E1F35"/>
    <w:rsid w:val="001E1FBA"/>
    <w:rsid w:val="001E2047"/>
    <w:rsid w:val="001E2062"/>
    <w:rsid w:val="001E2074"/>
    <w:rsid w:val="001E20A8"/>
    <w:rsid w:val="001E212C"/>
    <w:rsid w:val="001E21DE"/>
    <w:rsid w:val="001E21DF"/>
    <w:rsid w:val="001E21F1"/>
    <w:rsid w:val="001E22B8"/>
    <w:rsid w:val="001E22C4"/>
    <w:rsid w:val="001E22D1"/>
    <w:rsid w:val="001E22FF"/>
    <w:rsid w:val="001E2350"/>
    <w:rsid w:val="001E2353"/>
    <w:rsid w:val="001E236C"/>
    <w:rsid w:val="001E23D5"/>
    <w:rsid w:val="001E245B"/>
    <w:rsid w:val="001E2509"/>
    <w:rsid w:val="001E2510"/>
    <w:rsid w:val="001E2528"/>
    <w:rsid w:val="001E2542"/>
    <w:rsid w:val="001E256D"/>
    <w:rsid w:val="001E258E"/>
    <w:rsid w:val="001E25C8"/>
    <w:rsid w:val="001E25DB"/>
    <w:rsid w:val="001E2631"/>
    <w:rsid w:val="001E2675"/>
    <w:rsid w:val="001E26D6"/>
    <w:rsid w:val="001E2714"/>
    <w:rsid w:val="001E2715"/>
    <w:rsid w:val="001E277F"/>
    <w:rsid w:val="001E27E5"/>
    <w:rsid w:val="001E27F4"/>
    <w:rsid w:val="001E28CA"/>
    <w:rsid w:val="001E28E0"/>
    <w:rsid w:val="001E2917"/>
    <w:rsid w:val="001E2927"/>
    <w:rsid w:val="001E2935"/>
    <w:rsid w:val="001E298E"/>
    <w:rsid w:val="001E29FA"/>
    <w:rsid w:val="001E2A00"/>
    <w:rsid w:val="001E2A0E"/>
    <w:rsid w:val="001E2AF0"/>
    <w:rsid w:val="001E2B00"/>
    <w:rsid w:val="001E2B59"/>
    <w:rsid w:val="001E2B90"/>
    <w:rsid w:val="001E2BF8"/>
    <w:rsid w:val="001E2C13"/>
    <w:rsid w:val="001E2C30"/>
    <w:rsid w:val="001E2CD7"/>
    <w:rsid w:val="001E2CE6"/>
    <w:rsid w:val="001E2D47"/>
    <w:rsid w:val="001E2D71"/>
    <w:rsid w:val="001E2DB2"/>
    <w:rsid w:val="001E2DD9"/>
    <w:rsid w:val="001E2DEF"/>
    <w:rsid w:val="001E2E0C"/>
    <w:rsid w:val="001E2E1D"/>
    <w:rsid w:val="001E2E99"/>
    <w:rsid w:val="001E2ED6"/>
    <w:rsid w:val="001E2EE3"/>
    <w:rsid w:val="001E2EED"/>
    <w:rsid w:val="001E2F22"/>
    <w:rsid w:val="001E2F33"/>
    <w:rsid w:val="001E2F43"/>
    <w:rsid w:val="001E2F62"/>
    <w:rsid w:val="001E2F70"/>
    <w:rsid w:val="001E2FC5"/>
    <w:rsid w:val="001E2FCB"/>
    <w:rsid w:val="001E3005"/>
    <w:rsid w:val="001E3012"/>
    <w:rsid w:val="001E3018"/>
    <w:rsid w:val="001E304A"/>
    <w:rsid w:val="001E3050"/>
    <w:rsid w:val="001E30D7"/>
    <w:rsid w:val="001E30E6"/>
    <w:rsid w:val="001E3178"/>
    <w:rsid w:val="001E317D"/>
    <w:rsid w:val="001E31A6"/>
    <w:rsid w:val="001E328B"/>
    <w:rsid w:val="001E335A"/>
    <w:rsid w:val="001E339D"/>
    <w:rsid w:val="001E34B4"/>
    <w:rsid w:val="001E3509"/>
    <w:rsid w:val="001E3527"/>
    <w:rsid w:val="001E352D"/>
    <w:rsid w:val="001E355B"/>
    <w:rsid w:val="001E3574"/>
    <w:rsid w:val="001E35A8"/>
    <w:rsid w:val="001E3603"/>
    <w:rsid w:val="001E3606"/>
    <w:rsid w:val="001E3616"/>
    <w:rsid w:val="001E3679"/>
    <w:rsid w:val="001E368F"/>
    <w:rsid w:val="001E3699"/>
    <w:rsid w:val="001E3761"/>
    <w:rsid w:val="001E3766"/>
    <w:rsid w:val="001E3891"/>
    <w:rsid w:val="001E3906"/>
    <w:rsid w:val="001E394B"/>
    <w:rsid w:val="001E397F"/>
    <w:rsid w:val="001E39B7"/>
    <w:rsid w:val="001E3A09"/>
    <w:rsid w:val="001E3A36"/>
    <w:rsid w:val="001E3A43"/>
    <w:rsid w:val="001E3A4C"/>
    <w:rsid w:val="001E3A53"/>
    <w:rsid w:val="001E3A78"/>
    <w:rsid w:val="001E3A8C"/>
    <w:rsid w:val="001E3AFE"/>
    <w:rsid w:val="001E3B45"/>
    <w:rsid w:val="001E3B72"/>
    <w:rsid w:val="001E3B80"/>
    <w:rsid w:val="001E3BDF"/>
    <w:rsid w:val="001E3C21"/>
    <w:rsid w:val="001E3C86"/>
    <w:rsid w:val="001E3D15"/>
    <w:rsid w:val="001E3D32"/>
    <w:rsid w:val="001E3D4F"/>
    <w:rsid w:val="001E3D59"/>
    <w:rsid w:val="001E3DB0"/>
    <w:rsid w:val="001E3DB2"/>
    <w:rsid w:val="001E3E31"/>
    <w:rsid w:val="001E3E57"/>
    <w:rsid w:val="001E3E6A"/>
    <w:rsid w:val="001E3F08"/>
    <w:rsid w:val="001E3F8C"/>
    <w:rsid w:val="001E3FB8"/>
    <w:rsid w:val="001E407D"/>
    <w:rsid w:val="001E4092"/>
    <w:rsid w:val="001E40F6"/>
    <w:rsid w:val="001E4100"/>
    <w:rsid w:val="001E4122"/>
    <w:rsid w:val="001E4123"/>
    <w:rsid w:val="001E415D"/>
    <w:rsid w:val="001E4182"/>
    <w:rsid w:val="001E41C2"/>
    <w:rsid w:val="001E41CB"/>
    <w:rsid w:val="001E41CC"/>
    <w:rsid w:val="001E4220"/>
    <w:rsid w:val="001E42EE"/>
    <w:rsid w:val="001E4327"/>
    <w:rsid w:val="001E4344"/>
    <w:rsid w:val="001E435C"/>
    <w:rsid w:val="001E43E5"/>
    <w:rsid w:val="001E440D"/>
    <w:rsid w:val="001E441A"/>
    <w:rsid w:val="001E444E"/>
    <w:rsid w:val="001E448E"/>
    <w:rsid w:val="001E44A4"/>
    <w:rsid w:val="001E44C6"/>
    <w:rsid w:val="001E44E4"/>
    <w:rsid w:val="001E45E8"/>
    <w:rsid w:val="001E45F0"/>
    <w:rsid w:val="001E462B"/>
    <w:rsid w:val="001E468D"/>
    <w:rsid w:val="001E46E5"/>
    <w:rsid w:val="001E46F8"/>
    <w:rsid w:val="001E4734"/>
    <w:rsid w:val="001E4736"/>
    <w:rsid w:val="001E4737"/>
    <w:rsid w:val="001E4761"/>
    <w:rsid w:val="001E4775"/>
    <w:rsid w:val="001E478C"/>
    <w:rsid w:val="001E479C"/>
    <w:rsid w:val="001E47B8"/>
    <w:rsid w:val="001E47BA"/>
    <w:rsid w:val="001E47CE"/>
    <w:rsid w:val="001E47E4"/>
    <w:rsid w:val="001E4838"/>
    <w:rsid w:val="001E488D"/>
    <w:rsid w:val="001E48D3"/>
    <w:rsid w:val="001E48F9"/>
    <w:rsid w:val="001E4916"/>
    <w:rsid w:val="001E49AD"/>
    <w:rsid w:val="001E49C7"/>
    <w:rsid w:val="001E49DF"/>
    <w:rsid w:val="001E49EA"/>
    <w:rsid w:val="001E4A1C"/>
    <w:rsid w:val="001E4A54"/>
    <w:rsid w:val="001E4A61"/>
    <w:rsid w:val="001E4AED"/>
    <w:rsid w:val="001E4B8A"/>
    <w:rsid w:val="001E4B8B"/>
    <w:rsid w:val="001E4BA2"/>
    <w:rsid w:val="001E4BA4"/>
    <w:rsid w:val="001E4BF0"/>
    <w:rsid w:val="001E4BFE"/>
    <w:rsid w:val="001E4C28"/>
    <w:rsid w:val="001E4C48"/>
    <w:rsid w:val="001E4C95"/>
    <w:rsid w:val="001E4CF9"/>
    <w:rsid w:val="001E4D18"/>
    <w:rsid w:val="001E4D77"/>
    <w:rsid w:val="001E4E87"/>
    <w:rsid w:val="001E4F03"/>
    <w:rsid w:val="001E4F09"/>
    <w:rsid w:val="001E4F53"/>
    <w:rsid w:val="001E4F73"/>
    <w:rsid w:val="001E4FEA"/>
    <w:rsid w:val="001E500B"/>
    <w:rsid w:val="001E50DA"/>
    <w:rsid w:val="001E510F"/>
    <w:rsid w:val="001E5151"/>
    <w:rsid w:val="001E51E1"/>
    <w:rsid w:val="001E5305"/>
    <w:rsid w:val="001E53A7"/>
    <w:rsid w:val="001E53E5"/>
    <w:rsid w:val="001E541C"/>
    <w:rsid w:val="001E542E"/>
    <w:rsid w:val="001E543A"/>
    <w:rsid w:val="001E54AB"/>
    <w:rsid w:val="001E5569"/>
    <w:rsid w:val="001E557E"/>
    <w:rsid w:val="001E55B5"/>
    <w:rsid w:val="001E55B8"/>
    <w:rsid w:val="001E55BE"/>
    <w:rsid w:val="001E5621"/>
    <w:rsid w:val="001E57BB"/>
    <w:rsid w:val="001E57CF"/>
    <w:rsid w:val="001E585D"/>
    <w:rsid w:val="001E5899"/>
    <w:rsid w:val="001E58B8"/>
    <w:rsid w:val="001E58D3"/>
    <w:rsid w:val="001E59B1"/>
    <w:rsid w:val="001E59C6"/>
    <w:rsid w:val="001E5A8D"/>
    <w:rsid w:val="001E5AAB"/>
    <w:rsid w:val="001E5BD8"/>
    <w:rsid w:val="001E5BF0"/>
    <w:rsid w:val="001E5C72"/>
    <w:rsid w:val="001E5D71"/>
    <w:rsid w:val="001E5D97"/>
    <w:rsid w:val="001E5E10"/>
    <w:rsid w:val="001E5E47"/>
    <w:rsid w:val="001E5EAD"/>
    <w:rsid w:val="001E5EC2"/>
    <w:rsid w:val="001E5EF9"/>
    <w:rsid w:val="001E5F0A"/>
    <w:rsid w:val="001E5F22"/>
    <w:rsid w:val="001E5F8E"/>
    <w:rsid w:val="001E5FB2"/>
    <w:rsid w:val="001E5FC1"/>
    <w:rsid w:val="001E6014"/>
    <w:rsid w:val="001E6070"/>
    <w:rsid w:val="001E607F"/>
    <w:rsid w:val="001E60D7"/>
    <w:rsid w:val="001E60EA"/>
    <w:rsid w:val="001E6100"/>
    <w:rsid w:val="001E612C"/>
    <w:rsid w:val="001E6191"/>
    <w:rsid w:val="001E61C3"/>
    <w:rsid w:val="001E61EA"/>
    <w:rsid w:val="001E6201"/>
    <w:rsid w:val="001E62A0"/>
    <w:rsid w:val="001E62AC"/>
    <w:rsid w:val="001E62C8"/>
    <w:rsid w:val="001E62F9"/>
    <w:rsid w:val="001E6361"/>
    <w:rsid w:val="001E6386"/>
    <w:rsid w:val="001E63AE"/>
    <w:rsid w:val="001E63DB"/>
    <w:rsid w:val="001E6431"/>
    <w:rsid w:val="001E64D0"/>
    <w:rsid w:val="001E64DA"/>
    <w:rsid w:val="001E64FD"/>
    <w:rsid w:val="001E6555"/>
    <w:rsid w:val="001E6570"/>
    <w:rsid w:val="001E659E"/>
    <w:rsid w:val="001E6607"/>
    <w:rsid w:val="001E6619"/>
    <w:rsid w:val="001E6630"/>
    <w:rsid w:val="001E6646"/>
    <w:rsid w:val="001E66A1"/>
    <w:rsid w:val="001E66D0"/>
    <w:rsid w:val="001E66DC"/>
    <w:rsid w:val="001E6713"/>
    <w:rsid w:val="001E6741"/>
    <w:rsid w:val="001E6777"/>
    <w:rsid w:val="001E679F"/>
    <w:rsid w:val="001E67B3"/>
    <w:rsid w:val="001E67C9"/>
    <w:rsid w:val="001E6825"/>
    <w:rsid w:val="001E6839"/>
    <w:rsid w:val="001E685C"/>
    <w:rsid w:val="001E68FA"/>
    <w:rsid w:val="001E6903"/>
    <w:rsid w:val="001E6918"/>
    <w:rsid w:val="001E694A"/>
    <w:rsid w:val="001E697D"/>
    <w:rsid w:val="001E6AE0"/>
    <w:rsid w:val="001E6AF4"/>
    <w:rsid w:val="001E6B14"/>
    <w:rsid w:val="001E6B47"/>
    <w:rsid w:val="001E6B4E"/>
    <w:rsid w:val="001E6B83"/>
    <w:rsid w:val="001E6B85"/>
    <w:rsid w:val="001E6B87"/>
    <w:rsid w:val="001E6BA8"/>
    <w:rsid w:val="001E6BB1"/>
    <w:rsid w:val="001E6BE7"/>
    <w:rsid w:val="001E6BEB"/>
    <w:rsid w:val="001E6C21"/>
    <w:rsid w:val="001E6C4E"/>
    <w:rsid w:val="001E6C67"/>
    <w:rsid w:val="001E6C96"/>
    <w:rsid w:val="001E6CD0"/>
    <w:rsid w:val="001E6CDC"/>
    <w:rsid w:val="001E6CE0"/>
    <w:rsid w:val="001E6D12"/>
    <w:rsid w:val="001E6D57"/>
    <w:rsid w:val="001E6D97"/>
    <w:rsid w:val="001E6DA4"/>
    <w:rsid w:val="001E6E2B"/>
    <w:rsid w:val="001E6E73"/>
    <w:rsid w:val="001E6E8A"/>
    <w:rsid w:val="001E6F19"/>
    <w:rsid w:val="001E6F4C"/>
    <w:rsid w:val="001E6F58"/>
    <w:rsid w:val="001E6F7F"/>
    <w:rsid w:val="001E6FA6"/>
    <w:rsid w:val="001E7034"/>
    <w:rsid w:val="001E7035"/>
    <w:rsid w:val="001E7052"/>
    <w:rsid w:val="001E70A8"/>
    <w:rsid w:val="001E70F5"/>
    <w:rsid w:val="001E7148"/>
    <w:rsid w:val="001E7161"/>
    <w:rsid w:val="001E7197"/>
    <w:rsid w:val="001E7214"/>
    <w:rsid w:val="001E722B"/>
    <w:rsid w:val="001E7278"/>
    <w:rsid w:val="001E7297"/>
    <w:rsid w:val="001E72C4"/>
    <w:rsid w:val="001E73AF"/>
    <w:rsid w:val="001E7406"/>
    <w:rsid w:val="001E7488"/>
    <w:rsid w:val="001E75FE"/>
    <w:rsid w:val="001E76D5"/>
    <w:rsid w:val="001E76D6"/>
    <w:rsid w:val="001E76E8"/>
    <w:rsid w:val="001E7778"/>
    <w:rsid w:val="001E7781"/>
    <w:rsid w:val="001E779F"/>
    <w:rsid w:val="001E77AF"/>
    <w:rsid w:val="001E7829"/>
    <w:rsid w:val="001E785B"/>
    <w:rsid w:val="001E791F"/>
    <w:rsid w:val="001E793F"/>
    <w:rsid w:val="001E7949"/>
    <w:rsid w:val="001E79E7"/>
    <w:rsid w:val="001E7A1C"/>
    <w:rsid w:val="001E7A32"/>
    <w:rsid w:val="001E7A90"/>
    <w:rsid w:val="001E7A91"/>
    <w:rsid w:val="001E7A92"/>
    <w:rsid w:val="001E7AF3"/>
    <w:rsid w:val="001E7B0D"/>
    <w:rsid w:val="001E7B45"/>
    <w:rsid w:val="001E7B75"/>
    <w:rsid w:val="001E7B83"/>
    <w:rsid w:val="001E7BF6"/>
    <w:rsid w:val="001E7C50"/>
    <w:rsid w:val="001E7C8A"/>
    <w:rsid w:val="001E7C9D"/>
    <w:rsid w:val="001E7DF3"/>
    <w:rsid w:val="001E7E23"/>
    <w:rsid w:val="001E7E85"/>
    <w:rsid w:val="001E7EB4"/>
    <w:rsid w:val="001E7ECC"/>
    <w:rsid w:val="001E7F27"/>
    <w:rsid w:val="001E7F2C"/>
    <w:rsid w:val="001E7F75"/>
    <w:rsid w:val="001E7F91"/>
    <w:rsid w:val="001E7FB0"/>
    <w:rsid w:val="001E7FB3"/>
    <w:rsid w:val="001E7FF3"/>
    <w:rsid w:val="001E7FF4"/>
    <w:rsid w:val="001F0047"/>
    <w:rsid w:val="001F0086"/>
    <w:rsid w:val="001F009F"/>
    <w:rsid w:val="001F00FE"/>
    <w:rsid w:val="001F012B"/>
    <w:rsid w:val="001F0163"/>
    <w:rsid w:val="001F0191"/>
    <w:rsid w:val="001F019D"/>
    <w:rsid w:val="001F01F4"/>
    <w:rsid w:val="001F0209"/>
    <w:rsid w:val="001F025E"/>
    <w:rsid w:val="001F0310"/>
    <w:rsid w:val="001F0415"/>
    <w:rsid w:val="001F04CA"/>
    <w:rsid w:val="001F050D"/>
    <w:rsid w:val="001F056F"/>
    <w:rsid w:val="001F0571"/>
    <w:rsid w:val="001F058C"/>
    <w:rsid w:val="001F05BA"/>
    <w:rsid w:val="001F05C9"/>
    <w:rsid w:val="001F0682"/>
    <w:rsid w:val="001F0689"/>
    <w:rsid w:val="001F0699"/>
    <w:rsid w:val="001F06ED"/>
    <w:rsid w:val="001F0714"/>
    <w:rsid w:val="001F085C"/>
    <w:rsid w:val="001F0891"/>
    <w:rsid w:val="001F09C8"/>
    <w:rsid w:val="001F0A01"/>
    <w:rsid w:val="001F0A19"/>
    <w:rsid w:val="001F0A1D"/>
    <w:rsid w:val="001F0A8C"/>
    <w:rsid w:val="001F0B2D"/>
    <w:rsid w:val="001F0B85"/>
    <w:rsid w:val="001F0C14"/>
    <w:rsid w:val="001F0C27"/>
    <w:rsid w:val="001F0CBA"/>
    <w:rsid w:val="001F0CBB"/>
    <w:rsid w:val="001F0D02"/>
    <w:rsid w:val="001F0D76"/>
    <w:rsid w:val="001F0DAE"/>
    <w:rsid w:val="001F0DD3"/>
    <w:rsid w:val="001F0E40"/>
    <w:rsid w:val="001F0E44"/>
    <w:rsid w:val="001F0E53"/>
    <w:rsid w:val="001F0E79"/>
    <w:rsid w:val="001F0FA1"/>
    <w:rsid w:val="001F0FB9"/>
    <w:rsid w:val="001F0FC3"/>
    <w:rsid w:val="001F0FC8"/>
    <w:rsid w:val="001F0FEF"/>
    <w:rsid w:val="001F0FFC"/>
    <w:rsid w:val="001F1036"/>
    <w:rsid w:val="001F105F"/>
    <w:rsid w:val="001F108A"/>
    <w:rsid w:val="001F1092"/>
    <w:rsid w:val="001F10BD"/>
    <w:rsid w:val="001F10EC"/>
    <w:rsid w:val="001F11AB"/>
    <w:rsid w:val="001F122C"/>
    <w:rsid w:val="001F128C"/>
    <w:rsid w:val="001F12DB"/>
    <w:rsid w:val="001F12E1"/>
    <w:rsid w:val="001F12FA"/>
    <w:rsid w:val="001F1358"/>
    <w:rsid w:val="001F137C"/>
    <w:rsid w:val="001F13AE"/>
    <w:rsid w:val="001F13C4"/>
    <w:rsid w:val="001F140F"/>
    <w:rsid w:val="001F14BB"/>
    <w:rsid w:val="001F14E3"/>
    <w:rsid w:val="001F14EB"/>
    <w:rsid w:val="001F1535"/>
    <w:rsid w:val="001F15E7"/>
    <w:rsid w:val="001F15EB"/>
    <w:rsid w:val="001F1672"/>
    <w:rsid w:val="001F16AF"/>
    <w:rsid w:val="001F170F"/>
    <w:rsid w:val="001F174D"/>
    <w:rsid w:val="001F17A4"/>
    <w:rsid w:val="001F17B0"/>
    <w:rsid w:val="001F17F0"/>
    <w:rsid w:val="001F180A"/>
    <w:rsid w:val="001F188A"/>
    <w:rsid w:val="001F1893"/>
    <w:rsid w:val="001F1906"/>
    <w:rsid w:val="001F1922"/>
    <w:rsid w:val="001F1926"/>
    <w:rsid w:val="001F1968"/>
    <w:rsid w:val="001F197E"/>
    <w:rsid w:val="001F19E2"/>
    <w:rsid w:val="001F1A56"/>
    <w:rsid w:val="001F1A6A"/>
    <w:rsid w:val="001F1A6F"/>
    <w:rsid w:val="001F1A7A"/>
    <w:rsid w:val="001F1A7F"/>
    <w:rsid w:val="001F1B4F"/>
    <w:rsid w:val="001F1B78"/>
    <w:rsid w:val="001F1BD0"/>
    <w:rsid w:val="001F1BD1"/>
    <w:rsid w:val="001F1BEA"/>
    <w:rsid w:val="001F1C2F"/>
    <w:rsid w:val="001F1C3C"/>
    <w:rsid w:val="001F1C5D"/>
    <w:rsid w:val="001F1C68"/>
    <w:rsid w:val="001F1C6E"/>
    <w:rsid w:val="001F1C84"/>
    <w:rsid w:val="001F1C95"/>
    <w:rsid w:val="001F1C9C"/>
    <w:rsid w:val="001F1CD0"/>
    <w:rsid w:val="001F1CD6"/>
    <w:rsid w:val="001F1CE0"/>
    <w:rsid w:val="001F1D0C"/>
    <w:rsid w:val="001F1D1E"/>
    <w:rsid w:val="001F1D48"/>
    <w:rsid w:val="001F1D4C"/>
    <w:rsid w:val="001F1D54"/>
    <w:rsid w:val="001F1D62"/>
    <w:rsid w:val="001F1DC8"/>
    <w:rsid w:val="001F1E38"/>
    <w:rsid w:val="001F1E8D"/>
    <w:rsid w:val="001F1EFF"/>
    <w:rsid w:val="001F1F19"/>
    <w:rsid w:val="001F1F51"/>
    <w:rsid w:val="001F1F79"/>
    <w:rsid w:val="001F1F7F"/>
    <w:rsid w:val="001F1FF7"/>
    <w:rsid w:val="001F2009"/>
    <w:rsid w:val="001F2038"/>
    <w:rsid w:val="001F2044"/>
    <w:rsid w:val="001F20D9"/>
    <w:rsid w:val="001F2109"/>
    <w:rsid w:val="001F2142"/>
    <w:rsid w:val="001F2179"/>
    <w:rsid w:val="001F21B0"/>
    <w:rsid w:val="001F21CD"/>
    <w:rsid w:val="001F21EF"/>
    <w:rsid w:val="001F225B"/>
    <w:rsid w:val="001F227C"/>
    <w:rsid w:val="001F233F"/>
    <w:rsid w:val="001F2359"/>
    <w:rsid w:val="001F2368"/>
    <w:rsid w:val="001F237D"/>
    <w:rsid w:val="001F2389"/>
    <w:rsid w:val="001F238F"/>
    <w:rsid w:val="001F23E2"/>
    <w:rsid w:val="001F23E4"/>
    <w:rsid w:val="001F2411"/>
    <w:rsid w:val="001F24B1"/>
    <w:rsid w:val="001F24BF"/>
    <w:rsid w:val="001F24CF"/>
    <w:rsid w:val="001F24EE"/>
    <w:rsid w:val="001F2566"/>
    <w:rsid w:val="001F259E"/>
    <w:rsid w:val="001F25C5"/>
    <w:rsid w:val="001F260D"/>
    <w:rsid w:val="001F2643"/>
    <w:rsid w:val="001F2651"/>
    <w:rsid w:val="001F26C0"/>
    <w:rsid w:val="001F2735"/>
    <w:rsid w:val="001F2769"/>
    <w:rsid w:val="001F2822"/>
    <w:rsid w:val="001F2900"/>
    <w:rsid w:val="001F2952"/>
    <w:rsid w:val="001F2970"/>
    <w:rsid w:val="001F2A02"/>
    <w:rsid w:val="001F2A43"/>
    <w:rsid w:val="001F2A6B"/>
    <w:rsid w:val="001F2ABD"/>
    <w:rsid w:val="001F2AFD"/>
    <w:rsid w:val="001F2BA9"/>
    <w:rsid w:val="001F2BB5"/>
    <w:rsid w:val="001F2BE0"/>
    <w:rsid w:val="001F2C20"/>
    <w:rsid w:val="001F2C73"/>
    <w:rsid w:val="001F2C75"/>
    <w:rsid w:val="001F2C92"/>
    <w:rsid w:val="001F2CCC"/>
    <w:rsid w:val="001F2D40"/>
    <w:rsid w:val="001F2D4C"/>
    <w:rsid w:val="001F2D7F"/>
    <w:rsid w:val="001F2DAF"/>
    <w:rsid w:val="001F2DCA"/>
    <w:rsid w:val="001F2E40"/>
    <w:rsid w:val="001F2EB2"/>
    <w:rsid w:val="001F2EB8"/>
    <w:rsid w:val="001F2EFF"/>
    <w:rsid w:val="001F2F74"/>
    <w:rsid w:val="001F3011"/>
    <w:rsid w:val="001F3094"/>
    <w:rsid w:val="001F3173"/>
    <w:rsid w:val="001F322D"/>
    <w:rsid w:val="001F3287"/>
    <w:rsid w:val="001F3298"/>
    <w:rsid w:val="001F32A3"/>
    <w:rsid w:val="001F32C7"/>
    <w:rsid w:val="001F32DB"/>
    <w:rsid w:val="001F32FA"/>
    <w:rsid w:val="001F3322"/>
    <w:rsid w:val="001F332D"/>
    <w:rsid w:val="001F33AE"/>
    <w:rsid w:val="001F33CC"/>
    <w:rsid w:val="001F3417"/>
    <w:rsid w:val="001F3460"/>
    <w:rsid w:val="001F347D"/>
    <w:rsid w:val="001F347F"/>
    <w:rsid w:val="001F34C5"/>
    <w:rsid w:val="001F34F0"/>
    <w:rsid w:val="001F354E"/>
    <w:rsid w:val="001F359A"/>
    <w:rsid w:val="001F359F"/>
    <w:rsid w:val="001F35D4"/>
    <w:rsid w:val="001F3623"/>
    <w:rsid w:val="001F3651"/>
    <w:rsid w:val="001F367E"/>
    <w:rsid w:val="001F373A"/>
    <w:rsid w:val="001F37A9"/>
    <w:rsid w:val="001F37DF"/>
    <w:rsid w:val="001F37F9"/>
    <w:rsid w:val="001F384F"/>
    <w:rsid w:val="001F3887"/>
    <w:rsid w:val="001F3891"/>
    <w:rsid w:val="001F38D0"/>
    <w:rsid w:val="001F38F4"/>
    <w:rsid w:val="001F3914"/>
    <w:rsid w:val="001F3916"/>
    <w:rsid w:val="001F3919"/>
    <w:rsid w:val="001F39BD"/>
    <w:rsid w:val="001F39C6"/>
    <w:rsid w:val="001F39CC"/>
    <w:rsid w:val="001F39FB"/>
    <w:rsid w:val="001F3A18"/>
    <w:rsid w:val="001F3AC8"/>
    <w:rsid w:val="001F3AEB"/>
    <w:rsid w:val="001F3B4A"/>
    <w:rsid w:val="001F3B88"/>
    <w:rsid w:val="001F3BA1"/>
    <w:rsid w:val="001F3BB3"/>
    <w:rsid w:val="001F3BDB"/>
    <w:rsid w:val="001F3CA4"/>
    <w:rsid w:val="001F3CA8"/>
    <w:rsid w:val="001F3CBA"/>
    <w:rsid w:val="001F3CF0"/>
    <w:rsid w:val="001F3D22"/>
    <w:rsid w:val="001F3D37"/>
    <w:rsid w:val="001F3E2D"/>
    <w:rsid w:val="001F3E56"/>
    <w:rsid w:val="001F3ED4"/>
    <w:rsid w:val="001F3EE9"/>
    <w:rsid w:val="001F3F2D"/>
    <w:rsid w:val="001F3F32"/>
    <w:rsid w:val="001F3FD6"/>
    <w:rsid w:val="001F3FE1"/>
    <w:rsid w:val="001F3FEA"/>
    <w:rsid w:val="001F4023"/>
    <w:rsid w:val="001F4057"/>
    <w:rsid w:val="001F40A7"/>
    <w:rsid w:val="001F40D7"/>
    <w:rsid w:val="001F40E0"/>
    <w:rsid w:val="001F40F6"/>
    <w:rsid w:val="001F413D"/>
    <w:rsid w:val="001F4153"/>
    <w:rsid w:val="001F41A1"/>
    <w:rsid w:val="001F41AC"/>
    <w:rsid w:val="001F41CD"/>
    <w:rsid w:val="001F41D0"/>
    <w:rsid w:val="001F41DD"/>
    <w:rsid w:val="001F4233"/>
    <w:rsid w:val="001F4246"/>
    <w:rsid w:val="001F4248"/>
    <w:rsid w:val="001F428A"/>
    <w:rsid w:val="001F4325"/>
    <w:rsid w:val="001F432F"/>
    <w:rsid w:val="001F4391"/>
    <w:rsid w:val="001F43AD"/>
    <w:rsid w:val="001F442F"/>
    <w:rsid w:val="001F4434"/>
    <w:rsid w:val="001F4456"/>
    <w:rsid w:val="001F4474"/>
    <w:rsid w:val="001F4481"/>
    <w:rsid w:val="001F4497"/>
    <w:rsid w:val="001F44A0"/>
    <w:rsid w:val="001F44AA"/>
    <w:rsid w:val="001F44C0"/>
    <w:rsid w:val="001F4513"/>
    <w:rsid w:val="001F452F"/>
    <w:rsid w:val="001F45AD"/>
    <w:rsid w:val="001F45E1"/>
    <w:rsid w:val="001F4653"/>
    <w:rsid w:val="001F465E"/>
    <w:rsid w:val="001F4668"/>
    <w:rsid w:val="001F4676"/>
    <w:rsid w:val="001F469B"/>
    <w:rsid w:val="001F46A2"/>
    <w:rsid w:val="001F46FB"/>
    <w:rsid w:val="001F473E"/>
    <w:rsid w:val="001F476B"/>
    <w:rsid w:val="001F4790"/>
    <w:rsid w:val="001F47B4"/>
    <w:rsid w:val="001F47C7"/>
    <w:rsid w:val="001F47E6"/>
    <w:rsid w:val="001F47F2"/>
    <w:rsid w:val="001F485D"/>
    <w:rsid w:val="001F4860"/>
    <w:rsid w:val="001F487B"/>
    <w:rsid w:val="001F487C"/>
    <w:rsid w:val="001F489D"/>
    <w:rsid w:val="001F494A"/>
    <w:rsid w:val="001F4958"/>
    <w:rsid w:val="001F4959"/>
    <w:rsid w:val="001F497B"/>
    <w:rsid w:val="001F4999"/>
    <w:rsid w:val="001F4A10"/>
    <w:rsid w:val="001F4A23"/>
    <w:rsid w:val="001F4A59"/>
    <w:rsid w:val="001F4AA5"/>
    <w:rsid w:val="001F4ABC"/>
    <w:rsid w:val="001F4AD1"/>
    <w:rsid w:val="001F4AEE"/>
    <w:rsid w:val="001F4B12"/>
    <w:rsid w:val="001F4B4E"/>
    <w:rsid w:val="001F4B5F"/>
    <w:rsid w:val="001F4B8C"/>
    <w:rsid w:val="001F4BAC"/>
    <w:rsid w:val="001F4C28"/>
    <w:rsid w:val="001F4C68"/>
    <w:rsid w:val="001F4C7E"/>
    <w:rsid w:val="001F4C94"/>
    <w:rsid w:val="001F4CD6"/>
    <w:rsid w:val="001F4D0C"/>
    <w:rsid w:val="001F4D1F"/>
    <w:rsid w:val="001F4D39"/>
    <w:rsid w:val="001F4D4D"/>
    <w:rsid w:val="001F4DFD"/>
    <w:rsid w:val="001F4E09"/>
    <w:rsid w:val="001F4E9C"/>
    <w:rsid w:val="001F4EA4"/>
    <w:rsid w:val="001F4EFD"/>
    <w:rsid w:val="001F4F0D"/>
    <w:rsid w:val="001F4FA7"/>
    <w:rsid w:val="001F4FB9"/>
    <w:rsid w:val="001F5000"/>
    <w:rsid w:val="001F5006"/>
    <w:rsid w:val="001F5093"/>
    <w:rsid w:val="001F50DD"/>
    <w:rsid w:val="001F5119"/>
    <w:rsid w:val="001F514E"/>
    <w:rsid w:val="001F5181"/>
    <w:rsid w:val="001F51AB"/>
    <w:rsid w:val="001F51C6"/>
    <w:rsid w:val="001F521F"/>
    <w:rsid w:val="001F522E"/>
    <w:rsid w:val="001F5261"/>
    <w:rsid w:val="001F52D4"/>
    <w:rsid w:val="001F530E"/>
    <w:rsid w:val="001F5393"/>
    <w:rsid w:val="001F53B5"/>
    <w:rsid w:val="001F541E"/>
    <w:rsid w:val="001F543B"/>
    <w:rsid w:val="001F5491"/>
    <w:rsid w:val="001F54B5"/>
    <w:rsid w:val="001F54C0"/>
    <w:rsid w:val="001F54C4"/>
    <w:rsid w:val="001F54F9"/>
    <w:rsid w:val="001F5533"/>
    <w:rsid w:val="001F5538"/>
    <w:rsid w:val="001F5550"/>
    <w:rsid w:val="001F5565"/>
    <w:rsid w:val="001F5571"/>
    <w:rsid w:val="001F558D"/>
    <w:rsid w:val="001F55A2"/>
    <w:rsid w:val="001F55A6"/>
    <w:rsid w:val="001F55E7"/>
    <w:rsid w:val="001F5606"/>
    <w:rsid w:val="001F566E"/>
    <w:rsid w:val="001F5684"/>
    <w:rsid w:val="001F56EA"/>
    <w:rsid w:val="001F56F4"/>
    <w:rsid w:val="001F56F9"/>
    <w:rsid w:val="001F575D"/>
    <w:rsid w:val="001F57AD"/>
    <w:rsid w:val="001F5803"/>
    <w:rsid w:val="001F5866"/>
    <w:rsid w:val="001F58D4"/>
    <w:rsid w:val="001F5996"/>
    <w:rsid w:val="001F59B2"/>
    <w:rsid w:val="001F59BC"/>
    <w:rsid w:val="001F5A7D"/>
    <w:rsid w:val="001F5A95"/>
    <w:rsid w:val="001F5B2E"/>
    <w:rsid w:val="001F5B3B"/>
    <w:rsid w:val="001F5B67"/>
    <w:rsid w:val="001F5B83"/>
    <w:rsid w:val="001F5BA3"/>
    <w:rsid w:val="001F5BA6"/>
    <w:rsid w:val="001F5BAD"/>
    <w:rsid w:val="001F5C1F"/>
    <w:rsid w:val="001F5C59"/>
    <w:rsid w:val="001F5C97"/>
    <w:rsid w:val="001F5CEE"/>
    <w:rsid w:val="001F5D09"/>
    <w:rsid w:val="001F5D88"/>
    <w:rsid w:val="001F5E22"/>
    <w:rsid w:val="001F5E88"/>
    <w:rsid w:val="001F5E8B"/>
    <w:rsid w:val="001F5EF0"/>
    <w:rsid w:val="001F5F0E"/>
    <w:rsid w:val="001F5FBF"/>
    <w:rsid w:val="001F5FC7"/>
    <w:rsid w:val="001F6031"/>
    <w:rsid w:val="001F609E"/>
    <w:rsid w:val="001F60F1"/>
    <w:rsid w:val="001F6111"/>
    <w:rsid w:val="001F6141"/>
    <w:rsid w:val="001F61E4"/>
    <w:rsid w:val="001F622A"/>
    <w:rsid w:val="001F62B0"/>
    <w:rsid w:val="001F62B1"/>
    <w:rsid w:val="001F6316"/>
    <w:rsid w:val="001F6347"/>
    <w:rsid w:val="001F634D"/>
    <w:rsid w:val="001F635D"/>
    <w:rsid w:val="001F63E1"/>
    <w:rsid w:val="001F6446"/>
    <w:rsid w:val="001F6455"/>
    <w:rsid w:val="001F6474"/>
    <w:rsid w:val="001F6485"/>
    <w:rsid w:val="001F64D3"/>
    <w:rsid w:val="001F64EE"/>
    <w:rsid w:val="001F6598"/>
    <w:rsid w:val="001F65DB"/>
    <w:rsid w:val="001F65E8"/>
    <w:rsid w:val="001F6601"/>
    <w:rsid w:val="001F661F"/>
    <w:rsid w:val="001F6685"/>
    <w:rsid w:val="001F66D3"/>
    <w:rsid w:val="001F66F7"/>
    <w:rsid w:val="001F66FA"/>
    <w:rsid w:val="001F6726"/>
    <w:rsid w:val="001F672C"/>
    <w:rsid w:val="001F673A"/>
    <w:rsid w:val="001F6746"/>
    <w:rsid w:val="001F67B6"/>
    <w:rsid w:val="001F67E8"/>
    <w:rsid w:val="001F684F"/>
    <w:rsid w:val="001F6855"/>
    <w:rsid w:val="001F6872"/>
    <w:rsid w:val="001F6876"/>
    <w:rsid w:val="001F687E"/>
    <w:rsid w:val="001F68B8"/>
    <w:rsid w:val="001F68C9"/>
    <w:rsid w:val="001F6936"/>
    <w:rsid w:val="001F69CD"/>
    <w:rsid w:val="001F69CF"/>
    <w:rsid w:val="001F6A1D"/>
    <w:rsid w:val="001F6A36"/>
    <w:rsid w:val="001F6AAE"/>
    <w:rsid w:val="001F6ABA"/>
    <w:rsid w:val="001F6ACE"/>
    <w:rsid w:val="001F6B17"/>
    <w:rsid w:val="001F6B6C"/>
    <w:rsid w:val="001F6B7B"/>
    <w:rsid w:val="001F6B7C"/>
    <w:rsid w:val="001F6BD0"/>
    <w:rsid w:val="001F6BDD"/>
    <w:rsid w:val="001F6C0B"/>
    <w:rsid w:val="001F6C7E"/>
    <w:rsid w:val="001F6C85"/>
    <w:rsid w:val="001F6C92"/>
    <w:rsid w:val="001F6CA5"/>
    <w:rsid w:val="001F6D78"/>
    <w:rsid w:val="001F6E14"/>
    <w:rsid w:val="001F6E5C"/>
    <w:rsid w:val="001F6E73"/>
    <w:rsid w:val="001F6EAC"/>
    <w:rsid w:val="001F6EE8"/>
    <w:rsid w:val="001F6F51"/>
    <w:rsid w:val="001F6F63"/>
    <w:rsid w:val="001F6FDB"/>
    <w:rsid w:val="001F6FE0"/>
    <w:rsid w:val="001F7090"/>
    <w:rsid w:val="001F70B1"/>
    <w:rsid w:val="001F70BC"/>
    <w:rsid w:val="001F70E7"/>
    <w:rsid w:val="001F7101"/>
    <w:rsid w:val="001F7113"/>
    <w:rsid w:val="001F7142"/>
    <w:rsid w:val="001F7154"/>
    <w:rsid w:val="001F7157"/>
    <w:rsid w:val="001F715B"/>
    <w:rsid w:val="001F7163"/>
    <w:rsid w:val="001F718C"/>
    <w:rsid w:val="001F7225"/>
    <w:rsid w:val="001F722C"/>
    <w:rsid w:val="001F724D"/>
    <w:rsid w:val="001F72D5"/>
    <w:rsid w:val="001F732A"/>
    <w:rsid w:val="001F7343"/>
    <w:rsid w:val="001F7372"/>
    <w:rsid w:val="001F73C9"/>
    <w:rsid w:val="001F73E6"/>
    <w:rsid w:val="001F742E"/>
    <w:rsid w:val="001F7461"/>
    <w:rsid w:val="001F7465"/>
    <w:rsid w:val="001F74E9"/>
    <w:rsid w:val="001F74F2"/>
    <w:rsid w:val="001F752E"/>
    <w:rsid w:val="001F7585"/>
    <w:rsid w:val="001F75AD"/>
    <w:rsid w:val="001F75BF"/>
    <w:rsid w:val="001F75D1"/>
    <w:rsid w:val="001F75D6"/>
    <w:rsid w:val="001F75F4"/>
    <w:rsid w:val="001F76C9"/>
    <w:rsid w:val="001F772C"/>
    <w:rsid w:val="001F779F"/>
    <w:rsid w:val="001F77FA"/>
    <w:rsid w:val="001F788C"/>
    <w:rsid w:val="001F78EE"/>
    <w:rsid w:val="001F78F8"/>
    <w:rsid w:val="001F790F"/>
    <w:rsid w:val="001F7948"/>
    <w:rsid w:val="001F7979"/>
    <w:rsid w:val="001F799A"/>
    <w:rsid w:val="001F79A1"/>
    <w:rsid w:val="001F79E5"/>
    <w:rsid w:val="001F7A01"/>
    <w:rsid w:val="001F7A65"/>
    <w:rsid w:val="001F7A70"/>
    <w:rsid w:val="001F7A83"/>
    <w:rsid w:val="001F7A8E"/>
    <w:rsid w:val="001F7AC1"/>
    <w:rsid w:val="001F7AD5"/>
    <w:rsid w:val="001F7B16"/>
    <w:rsid w:val="001F7B72"/>
    <w:rsid w:val="001F7C1C"/>
    <w:rsid w:val="001F7C46"/>
    <w:rsid w:val="001F7D12"/>
    <w:rsid w:val="001F7D24"/>
    <w:rsid w:val="001F7D2C"/>
    <w:rsid w:val="001F7E19"/>
    <w:rsid w:val="001F7E3C"/>
    <w:rsid w:val="001F7E4A"/>
    <w:rsid w:val="001F7E4B"/>
    <w:rsid w:val="001F7EB7"/>
    <w:rsid w:val="001F7EDC"/>
    <w:rsid w:val="001F7EF1"/>
    <w:rsid w:val="001F7F33"/>
    <w:rsid w:val="001F7F38"/>
    <w:rsid w:val="001F7F4B"/>
    <w:rsid w:val="001F7F5C"/>
    <w:rsid w:val="001F8558"/>
    <w:rsid w:val="00200008"/>
    <w:rsid w:val="0020000D"/>
    <w:rsid w:val="00200037"/>
    <w:rsid w:val="00200042"/>
    <w:rsid w:val="00200049"/>
    <w:rsid w:val="00200121"/>
    <w:rsid w:val="0020014C"/>
    <w:rsid w:val="00200156"/>
    <w:rsid w:val="00200172"/>
    <w:rsid w:val="002001A9"/>
    <w:rsid w:val="002001C9"/>
    <w:rsid w:val="00200222"/>
    <w:rsid w:val="00200281"/>
    <w:rsid w:val="00200289"/>
    <w:rsid w:val="00200293"/>
    <w:rsid w:val="002002D0"/>
    <w:rsid w:val="00200348"/>
    <w:rsid w:val="002003D0"/>
    <w:rsid w:val="002003F5"/>
    <w:rsid w:val="00200402"/>
    <w:rsid w:val="00200443"/>
    <w:rsid w:val="00200452"/>
    <w:rsid w:val="00200497"/>
    <w:rsid w:val="002004C8"/>
    <w:rsid w:val="002004E5"/>
    <w:rsid w:val="002004FE"/>
    <w:rsid w:val="0020057D"/>
    <w:rsid w:val="002005C6"/>
    <w:rsid w:val="002005CF"/>
    <w:rsid w:val="002005F3"/>
    <w:rsid w:val="0020067A"/>
    <w:rsid w:val="0020070C"/>
    <w:rsid w:val="00200723"/>
    <w:rsid w:val="00200731"/>
    <w:rsid w:val="00200736"/>
    <w:rsid w:val="0020074A"/>
    <w:rsid w:val="00200751"/>
    <w:rsid w:val="00200798"/>
    <w:rsid w:val="002007A7"/>
    <w:rsid w:val="002007BD"/>
    <w:rsid w:val="002007EE"/>
    <w:rsid w:val="00200811"/>
    <w:rsid w:val="0020082B"/>
    <w:rsid w:val="0020087E"/>
    <w:rsid w:val="002008C4"/>
    <w:rsid w:val="0020090C"/>
    <w:rsid w:val="002009C9"/>
    <w:rsid w:val="002009DC"/>
    <w:rsid w:val="00200A36"/>
    <w:rsid w:val="00200AF6"/>
    <w:rsid w:val="00200B0D"/>
    <w:rsid w:val="00200B1D"/>
    <w:rsid w:val="00200B38"/>
    <w:rsid w:val="00200B39"/>
    <w:rsid w:val="00200B90"/>
    <w:rsid w:val="00200C4C"/>
    <w:rsid w:val="00200C88"/>
    <w:rsid w:val="00200CBC"/>
    <w:rsid w:val="00200CDE"/>
    <w:rsid w:val="00200CE7"/>
    <w:rsid w:val="00200D21"/>
    <w:rsid w:val="00200D52"/>
    <w:rsid w:val="00200DAB"/>
    <w:rsid w:val="00200DD8"/>
    <w:rsid w:val="00200DED"/>
    <w:rsid w:val="00200E3F"/>
    <w:rsid w:val="00200E64"/>
    <w:rsid w:val="00200F04"/>
    <w:rsid w:val="00200F07"/>
    <w:rsid w:val="00200F22"/>
    <w:rsid w:val="00200F91"/>
    <w:rsid w:val="00200FFE"/>
    <w:rsid w:val="0020101D"/>
    <w:rsid w:val="002010A8"/>
    <w:rsid w:val="00201175"/>
    <w:rsid w:val="00201203"/>
    <w:rsid w:val="002012A2"/>
    <w:rsid w:val="002012CC"/>
    <w:rsid w:val="00201328"/>
    <w:rsid w:val="0020136B"/>
    <w:rsid w:val="00201379"/>
    <w:rsid w:val="00201478"/>
    <w:rsid w:val="0020149E"/>
    <w:rsid w:val="002014CB"/>
    <w:rsid w:val="00201526"/>
    <w:rsid w:val="00201551"/>
    <w:rsid w:val="00201572"/>
    <w:rsid w:val="0020157A"/>
    <w:rsid w:val="002015FE"/>
    <w:rsid w:val="0020160B"/>
    <w:rsid w:val="0020160F"/>
    <w:rsid w:val="00201627"/>
    <w:rsid w:val="00201725"/>
    <w:rsid w:val="002017CF"/>
    <w:rsid w:val="002017D5"/>
    <w:rsid w:val="002018CF"/>
    <w:rsid w:val="002018DF"/>
    <w:rsid w:val="002018E0"/>
    <w:rsid w:val="00201934"/>
    <w:rsid w:val="0020194B"/>
    <w:rsid w:val="0020198E"/>
    <w:rsid w:val="002019AF"/>
    <w:rsid w:val="00201A48"/>
    <w:rsid w:val="00201AC9"/>
    <w:rsid w:val="00201AFA"/>
    <w:rsid w:val="00201BEA"/>
    <w:rsid w:val="00201C12"/>
    <w:rsid w:val="00201CBD"/>
    <w:rsid w:val="00201D0E"/>
    <w:rsid w:val="00201D26"/>
    <w:rsid w:val="00201D8F"/>
    <w:rsid w:val="00201E6B"/>
    <w:rsid w:val="00201EB3"/>
    <w:rsid w:val="00201EF9"/>
    <w:rsid w:val="00201EFB"/>
    <w:rsid w:val="00201F29"/>
    <w:rsid w:val="00201F2C"/>
    <w:rsid w:val="00201F43"/>
    <w:rsid w:val="00201FA0"/>
    <w:rsid w:val="00201FD9"/>
    <w:rsid w:val="00202023"/>
    <w:rsid w:val="00202027"/>
    <w:rsid w:val="0020204B"/>
    <w:rsid w:val="00202079"/>
    <w:rsid w:val="0020207B"/>
    <w:rsid w:val="00202087"/>
    <w:rsid w:val="0020208D"/>
    <w:rsid w:val="00202091"/>
    <w:rsid w:val="00202147"/>
    <w:rsid w:val="002021A0"/>
    <w:rsid w:val="0020223E"/>
    <w:rsid w:val="0020225B"/>
    <w:rsid w:val="00202262"/>
    <w:rsid w:val="002022F8"/>
    <w:rsid w:val="0020230F"/>
    <w:rsid w:val="0020235D"/>
    <w:rsid w:val="00202384"/>
    <w:rsid w:val="0020238A"/>
    <w:rsid w:val="002023A0"/>
    <w:rsid w:val="002023A7"/>
    <w:rsid w:val="002023A9"/>
    <w:rsid w:val="002023B3"/>
    <w:rsid w:val="002023F0"/>
    <w:rsid w:val="00202458"/>
    <w:rsid w:val="00202585"/>
    <w:rsid w:val="002025C8"/>
    <w:rsid w:val="00202650"/>
    <w:rsid w:val="00202659"/>
    <w:rsid w:val="0020265B"/>
    <w:rsid w:val="00202755"/>
    <w:rsid w:val="0020277B"/>
    <w:rsid w:val="002027E4"/>
    <w:rsid w:val="00202871"/>
    <w:rsid w:val="002028EF"/>
    <w:rsid w:val="0020290B"/>
    <w:rsid w:val="0020290E"/>
    <w:rsid w:val="00202943"/>
    <w:rsid w:val="00202953"/>
    <w:rsid w:val="002029A3"/>
    <w:rsid w:val="002029C7"/>
    <w:rsid w:val="002029E7"/>
    <w:rsid w:val="002029F4"/>
    <w:rsid w:val="002029FB"/>
    <w:rsid w:val="00202A85"/>
    <w:rsid w:val="00202A9C"/>
    <w:rsid w:val="00202AFC"/>
    <w:rsid w:val="00202B2D"/>
    <w:rsid w:val="00202B63"/>
    <w:rsid w:val="00202B7C"/>
    <w:rsid w:val="00202BE7"/>
    <w:rsid w:val="00202C09"/>
    <w:rsid w:val="00202C43"/>
    <w:rsid w:val="00202C88"/>
    <w:rsid w:val="00202D0C"/>
    <w:rsid w:val="00202D65"/>
    <w:rsid w:val="00202DA7"/>
    <w:rsid w:val="00202DC2"/>
    <w:rsid w:val="00202E2E"/>
    <w:rsid w:val="00202E6E"/>
    <w:rsid w:val="00202E6F"/>
    <w:rsid w:val="00202ED1"/>
    <w:rsid w:val="00202EFE"/>
    <w:rsid w:val="00202F36"/>
    <w:rsid w:val="00202F5A"/>
    <w:rsid w:val="00202FDF"/>
    <w:rsid w:val="00202FFB"/>
    <w:rsid w:val="00203058"/>
    <w:rsid w:val="00203131"/>
    <w:rsid w:val="00203163"/>
    <w:rsid w:val="0020316D"/>
    <w:rsid w:val="002031AF"/>
    <w:rsid w:val="00203225"/>
    <w:rsid w:val="0020323E"/>
    <w:rsid w:val="0020335D"/>
    <w:rsid w:val="002033CE"/>
    <w:rsid w:val="002033F1"/>
    <w:rsid w:val="002033FC"/>
    <w:rsid w:val="00203470"/>
    <w:rsid w:val="002034B9"/>
    <w:rsid w:val="002034D3"/>
    <w:rsid w:val="00203508"/>
    <w:rsid w:val="0020352D"/>
    <w:rsid w:val="0020353A"/>
    <w:rsid w:val="0020354B"/>
    <w:rsid w:val="002035B5"/>
    <w:rsid w:val="002035CD"/>
    <w:rsid w:val="0020361C"/>
    <w:rsid w:val="00203628"/>
    <w:rsid w:val="0020365C"/>
    <w:rsid w:val="002036F2"/>
    <w:rsid w:val="00203727"/>
    <w:rsid w:val="00203740"/>
    <w:rsid w:val="0020377B"/>
    <w:rsid w:val="00203797"/>
    <w:rsid w:val="00203799"/>
    <w:rsid w:val="00203802"/>
    <w:rsid w:val="00203836"/>
    <w:rsid w:val="00203849"/>
    <w:rsid w:val="0020384B"/>
    <w:rsid w:val="0020389B"/>
    <w:rsid w:val="002038C8"/>
    <w:rsid w:val="00203977"/>
    <w:rsid w:val="00203A4D"/>
    <w:rsid w:val="00203A81"/>
    <w:rsid w:val="00203B5C"/>
    <w:rsid w:val="00203B5F"/>
    <w:rsid w:val="00203B89"/>
    <w:rsid w:val="00203BA1"/>
    <w:rsid w:val="00203BD0"/>
    <w:rsid w:val="00203BD3"/>
    <w:rsid w:val="00203BD9"/>
    <w:rsid w:val="00203C9C"/>
    <w:rsid w:val="00203CF2"/>
    <w:rsid w:val="00203CFA"/>
    <w:rsid w:val="00203D06"/>
    <w:rsid w:val="00203D22"/>
    <w:rsid w:val="00203D3C"/>
    <w:rsid w:val="00203D89"/>
    <w:rsid w:val="00203DBB"/>
    <w:rsid w:val="00203DD1"/>
    <w:rsid w:val="00203DE9"/>
    <w:rsid w:val="00203DEE"/>
    <w:rsid w:val="00203E59"/>
    <w:rsid w:val="00203EA0"/>
    <w:rsid w:val="002040DF"/>
    <w:rsid w:val="002040F6"/>
    <w:rsid w:val="00204128"/>
    <w:rsid w:val="0020412B"/>
    <w:rsid w:val="0020413A"/>
    <w:rsid w:val="00204163"/>
    <w:rsid w:val="002041B6"/>
    <w:rsid w:val="002041B7"/>
    <w:rsid w:val="002041FD"/>
    <w:rsid w:val="0020420B"/>
    <w:rsid w:val="0020420C"/>
    <w:rsid w:val="0020423E"/>
    <w:rsid w:val="002042B1"/>
    <w:rsid w:val="002042FC"/>
    <w:rsid w:val="00204307"/>
    <w:rsid w:val="00204379"/>
    <w:rsid w:val="00204398"/>
    <w:rsid w:val="00204514"/>
    <w:rsid w:val="002045A0"/>
    <w:rsid w:val="002045FA"/>
    <w:rsid w:val="0020462E"/>
    <w:rsid w:val="0020468F"/>
    <w:rsid w:val="002046BB"/>
    <w:rsid w:val="0020474B"/>
    <w:rsid w:val="002047AE"/>
    <w:rsid w:val="002047FD"/>
    <w:rsid w:val="0020485B"/>
    <w:rsid w:val="00204895"/>
    <w:rsid w:val="00204936"/>
    <w:rsid w:val="002049C6"/>
    <w:rsid w:val="002049E8"/>
    <w:rsid w:val="00204A08"/>
    <w:rsid w:val="00204A1D"/>
    <w:rsid w:val="00204A28"/>
    <w:rsid w:val="00204A48"/>
    <w:rsid w:val="00204A5F"/>
    <w:rsid w:val="00204A9C"/>
    <w:rsid w:val="00204AF7"/>
    <w:rsid w:val="00204AF8"/>
    <w:rsid w:val="00204B20"/>
    <w:rsid w:val="00204B2C"/>
    <w:rsid w:val="00204B57"/>
    <w:rsid w:val="00204BAE"/>
    <w:rsid w:val="00204C02"/>
    <w:rsid w:val="00204C30"/>
    <w:rsid w:val="00204CBF"/>
    <w:rsid w:val="00204D0D"/>
    <w:rsid w:val="00204D1F"/>
    <w:rsid w:val="00204D5F"/>
    <w:rsid w:val="00204D93"/>
    <w:rsid w:val="00204DA8"/>
    <w:rsid w:val="00204DB8"/>
    <w:rsid w:val="00204DBD"/>
    <w:rsid w:val="00204DFF"/>
    <w:rsid w:val="00204E1B"/>
    <w:rsid w:val="00204E1F"/>
    <w:rsid w:val="00204EF0"/>
    <w:rsid w:val="00204F06"/>
    <w:rsid w:val="00204F55"/>
    <w:rsid w:val="00204F57"/>
    <w:rsid w:val="00204FD0"/>
    <w:rsid w:val="00204FE9"/>
    <w:rsid w:val="00205004"/>
    <w:rsid w:val="0020508D"/>
    <w:rsid w:val="0020511A"/>
    <w:rsid w:val="0020511C"/>
    <w:rsid w:val="00205169"/>
    <w:rsid w:val="00205176"/>
    <w:rsid w:val="0020518D"/>
    <w:rsid w:val="002051CD"/>
    <w:rsid w:val="002051E2"/>
    <w:rsid w:val="0020521F"/>
    <w:rsid w:val="00205240"/>
    <w:rsid w:val="00205251"/>
    <w:rsid w:val="00205287"/>
    <w:rsid w:val="002052F0"/>
    <w:rsid w:val="00205307"/>
    <w:rsid w:val="00205317"/>
    <w:rsid w:val="00205329"/>
    <w:rsid w:val="00205333"/>
    <w:rsid w:val="0020539E"/>
    <w:rsid w:val="002053DB"/>
    <w:rsid w:val="00205471"/>
    <w:rsid w:val="0020549F"/>
    <w:rsid w:val="002054D9"/>
    <w:rsid w:val="00205519"/>
    <w:rsid w:val="002055F2"/>
    <w:rsid w:val="0020569D"/>
    <w:rsid w:val="002056AF"/>
    <w:rsid w:val="002056CB"/>
    <w:rsid w:val="002056DC"/>
    <w:rsid w:val="00205703"/>
    <w:rsid w:val="00205761"/>
    <w:rsid w:val="00205796"/>
    <w:rsid w:val="002057DF"/>
    <w:rsid w:val="002057E2"/>
    <w:rsid w:val="00205817"/>
    <w:rsid w:val="00205820"/>
    <w:rsid w:val="00205827"/>
    <w:rsid w:val="002058AE"/>
    <w:rsid w:val="00205938"/>
    <w:rsid w:val="0020599C"/>
    <w:rsid w:val="002059D2"/>
    <w:rsid w:val="002059EE"/>
    <w:rsid w:val="00205A10"/>
    <w:rsid w:val="00205A38"/>
    <w:rsid w:val="00205A5B"/>
    <w:rsid w:val="00205A62"/>
    <w:rsid w:val="00205A75"/>
    <w:rsid w:val="00205AAE"/>
    <w:rsid w:val="00205AB2"/>
    <w:rsid w:val="00205ACF"/>
    <w:rsid w:val="00205AD7"/>
    <w:rsid w:val="00205AE3"/>
    <w:rsid w:val="00205B5A"/>
    <w:rsid w:val="00205BC9"/>
    <w:rsid w:val="00205BF3"/>
    <w:rsid w:val="00205C2C"/>
    <w:rsid w:val="00205C3B"/>
    <w:rsid w:val="00205C4F"/>
    <w:rsid w:val="00205D43"/>
    <w:rsid w:val="00205D47"/>
    <w:rsid w:val="00205D52"/>
    <w:rsid w:val="00205D77"/>
    <w:rsid w:val="00205DDD"/>
    <w:rsid w:val="00205DF9"/>
    <w:rsid w:val="00205E15"/>
    <w:rsid w:val="00205E16"/>
    <w:rsid w:val="00205E17"/>
    <w:rsid w:val="00205E30"/>
    <w:rsid w:val="00205E72"/>
    <w:rsid w:val="00205EE8"/>
    <w:rsid w:val="00205F07"/>
    <w:rsid w:val="00205F6F"/>
    <w:rsid w:val="00205F72"/>
    <w:rsid w:val="00205F91"/>
    <w:rsid w:val="00206010"/>
    <w:rsid w:val="0020601D"/>
    <w:rsid w:val="00206056"/>
    <w:rsid w:val="002060B5"/>
    <w:rsid w:val="002060FB"/>
    <w:rsid w:val="0020613B"/>
    <w:rsid w:val="0020618D"/>
    <w:rsid w:val="002061B5"/>
    <w:rsid w:val="002061BB"/>
    <w:rsid w:val="002061BE"/>
    <w:rsid w:val="002061C3"/>
    <w:rsid w:val="002062A8"/>
    <w:rsid w:val="00206312"/>
    <w:rsid w:val="00206362"/>
    <w:rsid w:val="002063D0"/>
    <w:rsid w:val="00206461"/>
    <w:rsid w:val="002064C6"/>
    <w:rsid w:val="002064CE"/>
    <w:rsid w:val="002064EF"/>
    <w:rsid w:val="0020653B"/>
    <w:rsid w:val="0020653F"/>
    <w:rsid w:val="002065A8"/>
    <w:rsid w:val="002065C9"/>
    <w:rsid w:val="002065ED"/>
    <w:rsid w:val="00206641"/>
    <w:rsid w:val="00206691"/>
    <w:rsid w:val="002066DD"/>
    <w:rsid w:val="002066E4"/>
    <w:rsid w:val="002066FF"/>
    <w:rsid w:val="002067B3"/>
    <w:rsid w:val="00206841"/>
    <w:rsid w:val="00206847"/>
    <w:rsid w:val="0020685C"/>
    <w:rsid w:val="0020688D"/>
    <w:rsid w:val="00206897"/>
    <w:rsid w:val="00206943"/>
    <w:rsid w:val="00206959"/>
    <w:rsid w:val="00206997"/>
    <w:rsid w:val="002069EB"/>
    <w:rsid w:val="00206A61"/>
    <w:rsid w:val="00206AE1"/>
    <w:rsid w:val="00206B0E"/>
    <w:rsid w:val="00206B61"/>
    <w:rsid w:val="00206B7A"/>
    <w:rsid w:val="00206BAA"/>
    <w:rsid w:val="00206BBC"/>
    <w:rsid w:val="00206BC4"/>
    <w:rsid w:val="00206BD5"/>
    <w:rsid w:val="00206BDC"/>
    <w:rsid w:val="00206C33"/>
    <w:rsid w:val="00206C66"/>
    <w:rsid w:val="00206C87"/>
    <w:rsid w:val="00206C8F"/>
    <w:rsid w:val="00206D17"/>
    <w:rsid w:val="00206D5C"/>
    <w:rsid w:val="00206D7C"/>
    <w:rsid w:val="00206D92"/>
    <w:rsid w:val="00206DAD"/>
    <w:rsid w:val="00206DCD"/>
    <w:rsid w:val="00206DFF"/>
    <w:rsid w:val="00206E5B"/>
    <w:rsid w:val="00206E96"/>
    <w:rsid w:val="00206EA1"/>
    <w:rsid w:val="00206EBD"/>
    <w:rsid w:val="00206EF0"/>
    <w:rsid w:val="00206EF5"/>
    <w:rsid w:val="00206EFE"/>
    <w:rsid w:val="00206F00"/>
    <w:rsid w:val="00206F1C"/>
    <w:rsid w:val="00206F39"/>
    <w:rsid w:val="00206F58"/>
    <w:rsid w:val="00206F63"/>
    <w:rsid w:val="00206F67"/>
    <w:rsid w:val="00206F81"/>
    <w:rsid w:val="00206FA4"/>
    <w:rsid w:val="00206FCB"/>
    <w:rsid w:val="00206FF1"/>
    <w:rsid w:val="00206FFA"/>
    <w:rsid w:val="00207004"/>
    <w:rsid w:val="0020703A"/>
    <w:rsid w:val="00207063"/>
    <w:rsid w:val="002070B2"/>
    <w:rsid w:val="002070E7"/>
    <w:rsid w:val="002070E8"/>
    <w:rsid w:val="00207109"/>
    <w:rsid w:val="0020717B"/>
    <w:rsid w:val="002071CA"/>
    <w:rsid w:val="002071EC"/>
    <w:rsid w:val="00207204"/>
    <w:rsid w:val="0020724D"/>
    <w:rsid w:val="00207289"/>
    <w:rsid w:val="002072E1"/>
    <w:rsid w:val="00207353"/>
    <w:rsid w:val="00207379"/>
    <w:rsid w:val="00207388"/>
    <w:rsid w:val="00207414"/>
    <w:rsid w:val="00207425"/>
    <w:rsid w:val="002074C4"/>
    <w:rsid w:val="002074D2"/>
    <w:rsid w:val="002074D3"/>
    <w:rsid w:val="002074EC"/>
    <w:rsid w:val="002074FA"/>
    <w:rsid w:val="0020751E"/>
    <w:rsid w:val="00207523"/>
    <w:rsid w:val="0020754E"/>
    <w:rsid w:val="002075A9"/>
    <w:rsid w:val="002075CC"/>
    <w:rsid w:val="002075D2"/>
    <w:rsid w:val="002075DF"/>
    <w:rsid w:val="002075E1"/>
    <w:rsid w:val="0020762E"/>
    <w:rsid w:val="002076B3"/>
    <w:rsid w:val="002076CC"/>
    <w:rsid w:val="002076F8"/>
    <w:rsid w:val="0020771D"/>
    <w:rsid w:val="00207765"/>
    <w:rsid w:val="00207777"/>
    <w:rsid w:val="00207787"/>
    <w:rsid w:val="002078A7"/>
    <w:rsid w:val="002078EB"/>
    <w:rsid w:val="0020792D"/>
    <w:rsid w:val="00207988"/>
    <w:rsid w:val="002079F5"/>
    <w:rsid w:val="00207AAC"/>
    <w:rsid w:val="00207AD3"/>
    <w:rsid w:val="00207ADD"/>
    <w:rsid w:val="00207B03"/>
    <w:rsid w:val="00207B11"/>
    <w:rsid w:val="00207B14"/>
    <w:rsid w:val="00207B4C"/>
    <w:rsid w:val="00207B6B"/>
    <w:rsid w:val="00207BB4"/>
    <w:rsid w:val="00207BCA"/>
    <w:rsid w:val="00207BD5"/>
    <w:rsid w:val="00207BEE"/>
    <w:rsid w:val="00207C13"/>
    <w:rsid w:val="00207CE7"/>
    <w:rsid w:val="00207CF0"/>
    <w:rsid w:val="00207D17"/>
    <w:rsid w:val="00207D27"/>
    <w:rsid w:val="00207D46"/>
    <w:rsid w:val="00207D47"/>
    <w:rsid w:val="00207DF5"/>
    <w:rsid w:val="00207E06"/>
    <w:rsid w:val="00207E17"/>
    <w:rsid w:val="00207F53"/>
    <w:rsid w:val="00207F8A"/>
    <w:rsid w:val="00207F95"/>
    <w:rsid w:val="00207FF1"/>
    <w:rsid w:val="0021000E"/>
    <w:rsid w:val="00210089"/>
    <w:rsid w:val="0021016D"/>
    <w:rsid w:val="0021017D"/>
    <w:rsid w:val="0021018D"/>
    <w:rsid w:val="0021019F"/>
    <w:rsid w:val="002101B8"/>
    <w:rsid w:val="00210237"/>
    <w:rsid w:val="0021026D"/>
    <w:rsid w:val="0021027C"/>
    <w:rsid w:val="002102A5"/>
    <w:rsid w:val="002102A9"/>
    <w:rsid w:val="00210365"/>
    <w:rsid w:val="00210377"/>
    <w:rsid w:val="002104F5"/>
    <w:rsid w:val="00210537"/>
    <w:rsid w:val="002105F9"/>
    <w:rsid w:val="0021061E"/>
    <w:rsid w:val="00210623"/>
    <w:rsid w:val="00210624"/>
    <w:rsid w:val="00210637"/>
    <w:rsid w:val="00210676"/>
    <w:rsid w:val="00210708"/>
    <w:rsid w:val="0021075B"/>
    <w:rsid w:val="002107A8"/>
    <w:rsid w:val="00210800"/>
    <w:rsid w:val="0021084D"/>
    <w:rsid w:val="00210851"/>
    <w:rsid w:val="00210869"/>
    <w:rsid w:val="002108AF"/>
    <w:rsid w:val="00210921"/>
    <w:rsid w:val="0021097A"/>
    <w:rsid w:val="00210990"/>
    <w:rsid w:val="002109BE"/>
    <w:rsid w:val="002109FD"/>
    <w:rsid w:val="00210A61"/>
    <w:rsid w:val="00210A81"/>
    <w:rsid w:val="00210A85"/>
    <w:rsid w:val="00210AFE"/>
    <w:rsid w:val="00210B5E"/>
    <w:rsid w:val="00210B95"/>
    <w:rsid w:val="00210BDB"/>
    <w:rsid w:val="00210BF4"/>
    <w:rsid w:val="00210C09"/>
    <w:rsid w:val="00210CF6"/>
    <w:rsid w:val="00210D0D"/>
    <w:rsid w:val="00210D25"/>
    <w:rsid w:val="00210D3B"/>
    <w:rsid w:val="00210D4E"/>
    <w:rsid w:val="00210DAA"/>
    <w:rsid w:val="00210DC9"/>
    <w:rsid w:val="00210DD1"/>
    <w:rsid w:val="00210EB8"/>
    <w:rsid w:val="00210F17"/>
    <w:rsid w:val="00210F48"/>
    <w:rsid w:val="00210F51"/>
    <w:rsid w:val="00210F73"/>
    <w:rsid w:val="00210FA2"/>
    <w:rsid w:val="00210FAA"/>
    <w:rsid w:val="00210FC6"/>
    <w:rsid w:val="00210FE5"/>
    <w:rsid w:val="00211012"/>
    <w:rsid w:val="0021103A"/>
    <w:rsid w:val="0021106A"/>
    <w:rsid w:val="0021110B"/>
    <w:rsid w:val="0021114A"/>
    <w:rsid w:val="0021114E"/>
    <w:rsid w:val="00211171"/>
    <w:rsid w:val="00211187"/>
    <w:rsid w:val="002111BD"/>
    <w:rsid w:val="002111E8"/>
    <w:rsid w:val="00211203"/>
    <w:rsid w:val="0021125A"/>
    <w:rsid w:val="00211261"/>
    <w:rsid w:val="00211302"/>
    <w:rsid w:val="00211309"/>
    <w:rsid w:val="0021132C"/>
    <w:rsid w:val="00211338"/>
    <w:rsid w:val="00211344"/>
    <w:rsid w:val="00211356"/>
    <w:rsid w:val="00211458"/>
    <w:rsid w:val="002114A5"/>
    <w:rsid w:val="002114DE"/>
    <w:rsid w:val="002114EB"/>
    <w:rsid w:val="002114EC"/>
    <w:rsid w:val="00211550"/>
    <w:rsid w:val="00211553"/>
    <w:rsid w:val="002115EC"/>
    <w:rsid w:val="0021161A"/>
    <w:rsid w:val="0021162C"/>
    <w:rsid w:val="002116CA"/>
    <w:rsid w:val="0021171F"/>
    <w:rsid w:val="0021179F"/>
    <w:rsid w:val="002117AB"/>
    <w:rsid w:val="002117C3"/>
    <w:rsid w:val="00211865"/>
    <w:rsid w:val="00211874"/>
    <w:rsid w:val="0021189B"/>
    <w:rsid w:val="00211926"/>
    <w:rsid w:val="00211945"/>
    <w:rsid w:val="0021194B"/>
    <w:rsid w:val="00211976"/>
    <w:rsid w:val="00211982"/>
    <w:rsid w:val="00211986"/>
    <w:rsid w:val="002119E2"/>
    <w:rsid w:val="00211A19"/>
    <w:rsid w:val="00211A50"/>
    <w:rsid w:val="00211A87"/>
    <w:rsid w:val="00211B28"/>
    <w:rsid w:val="00211B3F"/>
    <w:rsid w:val="00211BE6"/>
    <w:rsid w:val="00211C0C"/>
    <w:rsid w:val="00211C50"/>
    <w:rsid w:val="00211C5A"/>
    <w:rsid w:val="00211C5B"/>
    <w:rsid w:val="00211C6C"/>
    <w:rsid w:val="00211C96"/>
    <w:rsid w:val="00211CEA"/>
    <w:rsid w:val="00211DA1"/>
    <w:rsid w:val="00211DA7"/>
    <w:rsid w:val="00211E20"/>
    <w:rsid w:val="00211E57"/>
    <w:rsid w:val="00211EC3"/>
    <w:rsid w:val="00211EE4"/>
    <w:rsid w:val="00211F39"/>
    <w:rsid w:val="00211F51"/>
    <w:rsid w:val="00211F59"/>
    <w:rsid w:val="00211F6A"/>
    <w:rsid w:val="00211FA9"/>
    <w:rsid w:val="00211FF7"/>
    <w:rsid w:val="00212078"/>
    <w:rsid w:val="002120A2"/>
    <w:rsid w:val="002120B4"/>
    <w:rsid w:val="002120C1"/>
    <w:rsid w:val="002120DF"/>
    <w:rsid w:val="002120FE"/>
    <w:rsid w:val="00212159"/>
    <w:rsid w:val="002121D7"/>
    <w:rsid w:val="002121ED"/>
    <w:rsid w:val="002121F0"/>
    <w:rsid w:val="00212202"/>
    <w:rsid w:val="00212229"/>
    <w:rsid w:val="00212242"/>
    <w:rsid w:val="00212253"/>
    <w:rsid w:val="00212278"/>
    <w:rsid w:val="002122A6"/>
    <w:rsid w:val="002122B1"/>
    <w:rsid w:val="002122C6"/>
    <w:rsid w:val="002122EB"/>
    <w:rsid w:val="00212399"/>
    <w:rsid w:val="00212403"/>
    <w:rsid w:val="00212454"/>
    <w:rsid w:val="0021246C"/>
    <w:rsid w:val="0021248B"/>
    <w:rsid w:val="0021249B"/>
    <w:rsid w:val="002124CA"/>
    <w:rsid w:val="002124E4"/>
    <w:rsid w:val="0021252D"/>
    <w:rsid w:val="00212539"/>
    <w:rsid w:val="0021254C"/>
    <w:rsid w:val="002125D3"/>
    <w:rsid w:val="002125F8"/>
    <w:rsid w:val="0021263B"/>
    <w:rsid w:val="0021266C"/>
    <w:rsid w:val="0021267F"/>
    <w:rsid w:val="00212705"/>
    <w:rsid w:val="002127C0"/>
    <w:rsid w:val="002127CA"/>
    <w:rsid w:val="002127E9"/>
    <w:rsid w:val="0021281F"/>
    <w:rsid w:val="00212882"/>
    <w:rsid w:val="002128C1"/>
    <w:rsid w:val="002128C4"/>
    <w:rsid w:val="002128D6"/>
    <w:rsid w:val="0021293F"/>
    <w:rsid w:val="00212953"/>
    <w:rsid w:val="002129C9"/>
    <w:rsid w:val="002129CD"/>
    <w:rsid w:val="002129ED"/>
    <w:rsid w:val="002129FD"/>
    <w:rsid w:val="00212A14"/>
    <w:rsid w:val="00212AB9"/>
    <w:rsid w:val="00212AF3"/>
    <w:rsid w:val="00212B1E"/>
    <w:rsid w:val="00212B6C"/>
    <w:rsid w:val="00212C20"/>
    <w:rsid w:val="00212C5B"/>
    <w:rsid w:val="00212CB9"/>
    <w:rsid w:val="00212CD8"/>
    <w:rsid w:val="00212DFD"/>
    <w:rsid w:val="00212E0E"/>
    <w:rsid w:val="00212E48"/>
    <w:rsid w:val="00212E84"/>
    <w:rsid w:val="00212F45"/>
    <w:rsid w:val="00212F61"/>
    <w:rsid w:val="00212F94"/>
    <w:rsid w:val="00212FC2"/>
    <w:rsid w:val="0021300C"/>
    <w:rsid w:val="002130C6"/>
    <w:rsid w:val="002130E6"/>
    <w:rsid w:val="0021316B"/>
    <w:rsid w:val="002131CA"/>
    <w:rsid w:val="002131CD"/>
    <w:rsid w:val="002131D6"/>
    <w:rsid w:val="002131FD"/>
    <w:rsid w:val="0021321E"/>
    <w:rsid w:val="0021325A"/>
    <w:rsid w:val="00213260"/>
    <w:rsid w:val="002132E8"/>
    <w:rsid w:val="00213379"/>
    <w:rsid w:val="002133AB"/>
    <w:rsid w:val="002133E8"/>
    <w:rsid w:val="00213418"/>
    <w:rsid w:val="002134B5"/>
    <w:rsid w:val="002134D9"/>
    <w:rsid w:val="0021356A"/>
    <w:rsid w:val="0021356E"/>
    <w:rsid w:val="00213576"/>
    <w:rsid w:val="0021361C"/>
    <w:rsid w:val="00213685"/>
    <w:rsid w:val="002136C6"/>
    <w:rsid w:val="00213700"/>
    <w:rsid w:val="0021373F"/>
    <w:rsid w:val="0021375A"/>
    <w:rsid w:val="00213768"/>
    <w:rsid w:val="002137AD"/>
    <w:rsid w:val="002137DD"/>
    <w:rsid w:val="002137E4"/>
    <w:rsid w:val="0021388A"/>
    <w:rsid w:val="002138A9"/>
    <w:rsid w:val="002138B9"/>
    <w:rsid w:val="002138E5"/>
    <w:rsid w:val="0021390A"/>
    <w:rsid w:val="0021390B"/>
    <w:rsid w:val="0021392A"/>
    <w:rsid w:val="0021392F"/>
    <w:rsid w:val="002139CD"/>
    <w:rsid w:val="00213A23"/>
    <w:rsid w:val="00213A7B"/>
    <w:rsid w:val="00213A87"/>
    <w:rsid w:val="00213B02"/>
    <w:rsid w:val="00213BB3"/>
    <w:rsid w:val="00213BCF"/>
    <w:rsid w:val="00213BEF"/>
    <w:rsid w:val="00213BF4"/>
    <w:rsid w:val="00213BF6"/>
    <w:rsid w:val="00213C12"/>
    <w:rsid w:val="00213C38"/>
    <w:rsid w:val="00213C5E"/>
    <w:rsid w:val="00213D09"/>
    <w:rsid w:val="00213D2E"/>
    <w:rsid w:val="00213DAB"/>
    <w:rsid w:val="00213DE2"/>
    <w:rsid w:val="00213E0F"/>
    <w:rsid w:val="00213E1B"/>
    <w:rsid w:val="00213E1D"/>
    <w:rsid w:val="00213E40"/>
    <w:rsid w:val="00213F77"/>
    <w:rsid w:val="00213FBE"/>
    <w:rsid w:val="00213FD8"/>
    <w:rsid w:val="00213FF6"/>
    <w:rsid w:val="00214003"/>
    <w:rsid w:val="0021407B"/>
    <w:rsid w:val="00214091"/>
    <w:rsid w:val="002140BE"/>
    <w:rsid w:val="00214110"/>
    <w:rsid w:val="00214170"/>
    <w:rsid w:val="00214191"/>
    <w:rsid w:val="002142D9"/>
    <w:rsid w:val="0021430C"/>
    <w:rsid w:val="00214319"/>
    <w:rsid w:val="00214327"/>
    <w:rsid w:val="00214356"/>
    <w:rsid w:val="0021437A"/>
    <w:rsid w:val="00214396"/>
    <w:rsid w:val="0021449D"/>
    <w:rsid w:val="002144A6"/>
    <w:rsid w:val="002144E5"/>
    <w:rsid w:val="002145B2"/>
    <w:rsid w:val="00214602"/>
    <w:rsid w:val="0021461F"/>
    <w:rsid w:val="00214621"/>
    <w:rsid w:val="0021464C"/>
    <w:rsid w:val="00214681"/>
    <w:rsid w:val="00214692"/>
    <w:rsid w:val="002146A6"/>
    <w:rsid w:val="002146B2"/>
    <w:rsid w:val="002146DD"/>
    <w:rsid w:val="002146EA"/>
    <w:rsid w:val="00214715"/>
    <w:rsid w:val="00214767"/>
    <w:rsid w:val="00214770"/>
    <w:rsid w:val="0021481C"/>
    <w:rsid w:val="00214831"/>
    <w:rsid w:val="0021489C"/>
    <w:rsid w:val="002148A0"/>
    <w:rsid w:val="00214942"/>
    <w:rsid w:val="002149A4"/>
    <w:rsid w:val="00214A02"/>
    <w:rsid w:val="00214A5D"/>
    <w:rsid w:val="00214A82"/>
    <w:rsid w:val="00214A8D"/>
    <w:rsid w:val="00214ACC"/>
    <w:rsid w:val="00214ADE"/>
    <w:rsid w:val="00214B21"/>
    <w:rsid w:val="00214B32"/>
    <w:rsid w:val="00214B34"/>
    <w:rsid w:val="00214B43"/>
    <w:rsid w:val="00214BE4"/>
    <w:rsid w:val="00214BEE"/>
    <w:rsid w:val="00214C31"/>
    <w:rsid w:val="00214CA3"/>
    <w:rsid w:val="00214CD2"/>
    <w:rsid w:val="00214CE5"/>
    <w:rsid w:val="00214D16"/>
    <w:rsid w:val="00214D2C"/>
    <w:rsid w:val="00214D4C"/>
    <w:rsid w:val="00214D87"/>
    <w:rsid w:val="00214D90"/>
    <w:rsid w:val="00214E07"/>
    <w:rsid w:val="00214E46"/>
    <w:rsid w:val="00214E5E"/>
    <w:rsid w:val="00214F7B"/>
    <w:rsid w:val="00214F8B"/>
    <w:rsid w:val="00214FA7"/>
    <w:rsid w:val="00214FBA"/>
    <w:rsid w:val="00214FF1"/>
    <w:rsid w:val="00215000"/>
    <w:rsid w:val="0021503A"/>
    <w:rsid w:val="00215078"/>
    <w:rsid w:val="00215125"/>
    <w:rsid w:val="00215168"/>
    <w:rsid w:val="00215186"/>
    <w:rsid w:val="00215189"/>
    <w:rsid w:val="002151B8"/>
    <w:rsid w:val="002151D7"/>
    <w:rsid w:val="00215218"/>
    <w:rsid w:val="002152A3"/>
    <w:rsid w:val="002152AE"/>
    <w:rsid w:val="002152E6"/>
    <w:rsid w:val="0021534E"/>
    <w:rsid w:val="00215353"/>
    <w:rsid w:val="002153E1"/>
    <w:rsid w:val="002153E7"/>
    <w:rsid w:val="00215410"/>
    <w:rsid w:val="00215419"/>
    <w:rsid w:val="00215429"/>
    <w:rsid w:val="00215452"/>
    <w:rsid w:val="002154BE"/>
    <w:rsid w:val="002154C3"/>
    <w:rsid w:val="00215582"/>
    <w:rsid w:val="00215584"/>
    <w:rsid w:val="002155B5"/>
    <w:rsid w:val="002155E1"/>
    <w:rsid w:val="002155E3"/>
    <w:rsid w:val="002155F0"/>
    <w:rsid w:val="002155F3"/>
    <w:rsid w:val="0021563A"/>
    <w:rsid w:val="0021565E"/>
    <w:rsid w:val="0021567E"/>
    <w:rsid w:val="00215728"/>
    <w:rsid w:val="00215733"/>
    <w:rsid w:val="0021577E"/>
    <w:rsid w:val="00215796"/>
    <w:rsid w:val="0021579D"/>
    <w:rsid w:val="002157A8"/>
    <w:rsid w:val="002157BF"/>
    <w:rsid w:val="002157E2"/>
    <w:rsid w:val="00215842"/>
    <w:rsid w:val="0021585A"/>
    <w:rsid w:val="0021585F"/>
    <w:rsid w:val="002158AE"/>
    <w:rsid w:val="0021590E"/>
    <w:rsid w:val="00215941"/>
    <w:rsid w:val="00215953"/>
    <w:rsid w:val="002159A4"/>
    <w:rsid w:val="002159E5"/>
    <w:rsid w:val="00215A1A"/>
    <w:rsid w:val="00215A76"/>
    <w:rsid w:val="00215B01"/>
    <w:rsid w:val="00215BCE"/>
    <w:rsid w:val="00215BDC"/>
    <w:rsid w:val="00215BDE"/>
    <w:rsid w:val="00215BE0"/>
    <w:rsid w:val="00215C2D"/>
    <w:rsid w:val="00215C93"/>
    <w:rsid w:val="00215C9F"/>
    <w:rsid w:val="00215CA4"/>
    <w:rsid w:val="00215CC9"/>
    <w:rsid w:val="00215CE4"/>
    <w:rsid w:val="00215D27"/>
    <w:rsid w:val="00215D4F"/>
    <w:rsid w:val="00215E1F"/>
    <w:rsid w:val="00215E27"/>
    <w:rsid w:val="00215E38"/>
    <w:rsid w:val="00215E3B"/>
    <w:rsid w:val="00215EA3"/>
    <w:rsid w:val="00215EEF"/>
    <w:rsid w:val="00215EF9"/>
    <w:rsid w:val="00215F06"/>
    <w:rsid w:val="00215F41"/>
    <w:rsid w:val="00215F6C"/>
    <w:rsid w:val="00215F8B"/>
    <w:rsid w:val="00215FCF"/>
    <w:rsid w:val="0021602C"/>
    <w:rsid w:val="0021606F"/>
    <w:rsid w:val="002160A1"/>
    <w:rsid w:val="002160A3"/>
    <w:rsid w:val="002160D3"/>
    <w:rsid w:val="00216126"/>
    <w:rsid w:val="00216141"/>
    <w:rsid w:val="00216154"/>
    <w:rsid w:val="0021618F"/>
    <w:rsid w:val="00216194"/>
    <w:rsid w:val="002161ED"/>
    <w:rsid w:val="0021620B"/>
    <w:rsid w:val="002162A4"/>
    <w:rsid w:val="002162FF"/>
    <w:rsid w:val="0021633B"/>
    <w:rsid w:val="00216350"/>
    <w:rsid w:val="00216380"/>
    <w:rsid w:val="002163D7"/>
    <w:rsid w:val="002163ED"/>
    <w:rsid w:val="00216489"/>
    <w:rsid w:val="0021649B"/>
    <w:rsid w:val="002164D5"/>
    <w:rsid w:val="00216504"/>
    <w:rsid w:val="0021653E"/>
    <w:rsid w:val="0021654B"/>
    <w:rsid w:val="00216550"/>
    <w:rsid w:val="002165A5"/>
    <w:rsid w:val="002165F0"/>
    <w:rsid w:val="00216609"/>
    <w:rsid w:val="0021671C"/>
    <w:rsid w:val="00216779"/>
    <w:rsid w:val="00216796"/>
    <w:rsid w:val="002167CB"/>
    <w:rsid w:val="00216864"/>
    <w:rsid w:val="002168A2"/>
    <w:rsid w:val="0021699C"/>
    <w:rsid w:val="002169BB"/>
    <w:rsid w:val="002169C5"/>
    <w:rsid w:val="002169E0"/>
    <w:rsid w:val="00216A35"/>
    <w:rsid w:val="00216A57"/>
    <w:rsid w:val="00216BCC"/>
    <w:rsid w:val="00216C91"/>
    <w:rsid w:val="00216CA6"/>
    <w:rsid w:val="00216D66"/>
    <w:rsid w:val="00216DB0"/>
    <w:rsid w:val="00216DF2"/>
    <w:rsid w:val="00216E55"/>
    <w:rsid w:val="00216E6A"/>
    <w:rsid w:val="00216EA8"/>
    <w:rsid w:val="00216EDE"/>
    <w:rsid w:val="00216EEC"/>
    <w:rsid w:val="00216FCF"/>
    <w:rsid w:val="00216FD5"/>
    <w:rsid w:val="00216FDB"/>
    <w:rsid w:val="0021703B"/>
    <w:rsid w:val="002170F7"/>
    <w:rsid w:val="002170FB"/>
    <w:rsid w:val="0021711B"/>
    <w:rsid w:val="0021715C"/>
    <w:rsid w:val="00217198"/>
    <w:rsid w:val="002171AA"/>
    <w:rsid w:val="0021729A"/>
    <w:rsid w:val="002172B1"/>
    <w:rsid w:val="002172C5"/>
    <w:rsid w:val="002172F0"/>
    <w:rsid w:val="00217319"/>
    <w:rsid w:val="00217360"/>
    <w:rsid w:val="00217383"/>
    <w:rsid w:val="002173B6"/>
    <w:rsid w:val="002173BC"/>
    <w:rsid w:val="002173E8"/>
    <w:rsid w:val="0021742E"/>
    <w:rsid w:val="00217484"/>
    <w:rsid w:val="002174AE"/>
    <w:rsid w:val="002174AF"/>
    <w:rsid w:val="002174C5"/>
    <w:rsid w:val="00217521"/>
    <w:rsid w:val="00217563"/>
    <w:rsid w:val="00217579"/>
    <w:rsid w:val="002175A3"/>
    <w:rsid w:val="002175B7"/>
    <w:rsid w:val="00217622"/>
    <w:rsid w:val="0021765C"/>
    <w:rsid w:val="0021767B"/>
    <w:rsid w:val="00217684"/>
    <w:rsid w:val="002176E0"/>
    <w:rsid w:val="002176F2"/>
    <w:rsid w:val="002176FC"/>
    <w:rsid w:val="0021775A"/>
    <w:rsid w:val="002177A5"/>
    <w:rsid w:val="002177B0"/>
    <w:rsid w:val="002177EF"/>
    <w:rsid w:val="00217809"/>
    <w:rsid w:val="0021786D"/>
    <w:rsid w:val="00217871"/>
    <w:rsid w:val="002178C1"/>
    <w:rsid w:val="0021790C"/>
    <w:rsid w:val="0021794B"/>
    <w:rsid w:val="002179D7"/>
    <w:rsid w:val="00217A10"/>
    <w:rsid w:val="00217A42"/>
    <w:rsid w:val="00217A62"/>
    <w:rsid w:val="00217A93"/>
    <w:rsid w:val="00217AC1"/>
    <w:rsid w:val="00217B1F"/>
    <w:rsid w:val="00217B52"/>
    <w:rsid w:val="00217B94"/>
    <w:rsid w:val="00217BB6"/>
    <w:rsid w:val="00217BB8"/>
    <w:rsid w:val="00217BCD"/>
    <w:rsid w:val="00217C63"/>
    <w:rsid w:val="00217C84"/>
    <w:rsid w:val="00217CB9"/>
    <w:rsid w:val="00217D6C"/>
    <w:rsid w:val="00217D99"/>
    <w:rsid w:val="00217DF1"/>
    <w:rsid w:val="00217DF5"/>
    <w:rsid w:val="00217E9D"/>
    <w:rsid w:val="00217F13"/>
    <w:rsid w:val="00217F1C"/>
    <w:rsid w:val="00217FB5"/>
    <w:rsid w:val="00217FC6"/>
    <w:rsid w:val="0022002C"/>
    <w:rsid w:val="00220061"/>
    <w:rsid w:val="00220096"/>
    <w:rsid w:val="0022012C"/>
    <w:rsid w:val="00220157"/>
    <w:rsid w:val="00220168"/>
    <w:rsid w:val="00220188"/>
    <w:rsid w:val="002201D2"/>
    <w:rsid w:val="002201E0"/>
    <w:rsid w:val="00220225"/>
    <w:rsid w:val="00220253"/>
    <w:rsid w:val="00220257"/>
    <w:rsid w:val="002202DA"/>
    <w:rsid w:val="002202DE"/>
    <w:rsid w:val="002202E1"/>
    <w:rsid w:val="0022030B"/>
    <w:rsid w:val="00220367"/>
    <w:rsid w:val="002203AE"/>
    <w:rsid w:val="002203BC"/>
    <w:rsid w:val="002203CC"/>
    <w:rsid w:val="00220412"/>
    <w:rsid w:val="0022042F"/>
    <w:rsid w:val="00220447"/>
    <w:rsid w:val="00220520"/>
    <w:rsid w:val="00220524"/>
    <w:rsid w:val="00220538"/>
    <w:rsid w:val="002205D7"/>
    <w:rsid w:val="002205E3"/>
    <w:rsid w:val="002206E3"/>
    <w:rsid w:val="002206F0"/>
    <w:rsid w:val="0022074B"/>
    <w:rsid w:val="00220765"/>
    <w:rsid w:val="00220768"/>
    <w:rsid w:val="002207CB"/>
    <w:rsid w:val="002207DC"/>
    <w:rsid w:val="002207EE"/>
    <w:rsid w:val="002207F7"/>
    <w:rsid w:val="00220810"/>
    <w:rsid w:val="00220826"/>
    <w:rsid w:val="00220A09"/>
    <w:rsid w:val="00220AB4"/>
    <w:rsid w:val="00220AC3"/>
    <w:rsid w:val="00220AC5"/>
    <w:rsid w:val="00220B1A"/>
    <w:rsid w:val="00220B29"/>
    <w:rsid w:val="00220BC1"/>
    <w:rsid w:val="00220C51"/>
    <w:rsid w:val="00220C6B"/>
    <w:rsid w:val="00220C6E"/>
    <w:rsid w:val="00220C81"/>
    <w:rsid w:val="00220CAE"/>
    <w:rsid w:val="00220CB1"/>
    <w:rsid w:val="00220CE9"/>
    <w:rsid w:val="00220DA2"/>
    <w:rsid w:val="00220DFC"/>
    <w:rsid w:val="00220E3C"/>
    <w:rsid w:val="00220EDA"/>
    <w:rsid w:val="00220F2B"/>
    <w:rsid w:val="00220F66"/>
    <w:rsid w:val="00220F6A"/>
    <w:rsid w:val="00220F6F"/>
    <w:rsid w:val="00220F92"/>
    <w:rsid w:val="00220F96"/>
    <w:rsid w:val="00221026"/>
    <w:rsid w:val="0022104C"/>
    <w:rsid w:val="00221150"/>
    <w:rsid w:val="00221152"/>
    <w:rsid w:val="0022119D"/>
    <w:rsid w:val="002211B8"/>
    <w:rsid w:val="002211D3"/>
    <w:rsid w:val="00221224"/>
    <w:rsid w:val="0022126D"/>
    <w:rsid w:val="0022126E"/>
    <w:rsid w:val="0022130F"/>
    <w:rsid w:val="00221332"/>
    <w:rsid w:val="00221340"/>
    <w:rsid w:val="0022134C"/>
    <w:rsid w:val="0022135C"/>
    <w:rsid w:val="00221361"/>
    <w:rsid w:val="002213A0"/>
    <w:rsid w:val="002213F7"/>
    <w:rsid w:val="00221456"/>
    <w:rsid w:val="002214C8"/>
    <w:rsid w:val="002214CF"/>
    <w:rsid w:val="002214FD"/>
    <w:rsid w:val="002214FF"/>
    <w:rsid w:val="00221503"/>
    <w:rsid w:val="00221507"/>
    <w:rsid w:val="0022155E"/>
    <w:rsid w:val="002215BB"/>
    <w:rsid w:val="002215BF"/>
    <w:rsid w:val="002215E0"/>
    <w:rsid w:val="002215F3"/>
    <w:rsid w:val="002215F6"/>
    <w:rsid w:val="0022160F"/>
    <w:rsid w:val="0022161F"/>
    <w:rsid w:val="00221622"/>
    <w:rsid w:val="00221655"/>
    <w:rsid w:val="00221674"/>
    <w:rsid w:val="002216C4"/>
    <w:rsid w:val="002216D9"/>
    <w:rsid w:val="002216E3"/>
    <w:rsid w:val="00221701"/>
    <w:rsid w:val="00221751"/>
    <w:rsid w:val="00221769"/>
    <w:rsid w:val="002217AD"/>
    <w:rsid w:val="002217AF"/>
    <w:rsid w:val="002217B1"/>
    <w:rsid w:val="002217E7"/>
    <w:rsid w:val="002217E8"/>
    <w:rsid w:val="00221869"/>
    <w:rsid w:val="002218D6"/>
    <w:rsid w:val="00221993"/>
    <w:rsid w:val="002219EA"/>
    <w:rsid w:val="002219FF"/>
    <w:rsid w:val="00221A16"/>
    <w:rsid w:val="00221A61"/>
    <w:rsid w:val="00221AC5"/>
    <w:rsid w:val="00221B0D"/>
    <w:rsid w:val="00221B5C"/>
    <w:rsid w:val="00221B8E"/>
    <w:rsid w:val="00221B93"/>
    <w:rsid w:val="00221CD7"/>
    <w:rsid w:val="00221D32"/>
    <w:rsid w:val="00221D7C"/>
    <w:rsid w:val="00221DC1"/>
    <w:rsid w:val="00221DE1"/>
    <w:rsid w:val="00221EDA"/>
    <w:rsid w:val="00221EDF"/>
    <w:rsid w:val="00221FCA"/>
    <w:rsid w:val="00221FEE"/>
    <w:rsid w:val="00222003"/>
    <w:rsid w:val="0022200B"/>
    <w:rsid w:val="00222026"/>
    <w:rsid w:val="0022206F"/>
    <w:rsid w:val="002220AA"/>
    <w:rsid w:val="00222132"/>
    <w:rsid w:val="002221F4"/>
    <w:rsid w:val="0022225E"/>
    <w:rsid w:val="00222264"/>
    <w:rsid w:val="00222314"/>
    <w:rsid w:val="00222338"/>
    <w:rsid w:val="00222350"/>
    <w:rsid w:val="00222369"/>
    <w:rsid w:val="002223B2"/>
    <w:rsid w:val="002223FF"/>
    <w:rsid w:val="002224CF"/>
    <w:rsid w:val="002224E1"/>
    <w:rsid w:val="0022250F"/>
    <w:rsid w:val="00222553"/>
    <w:rsid w:val="0022258D"/>
    <w:rsid w:val="002225CA"/>
    <w:rsid w:val="002225CC"/>
    <w:rsid w:val="002225D9"/>
    <w:rsid w:val="0022260F"/>
    <w:rsid w:val="0022263F"/>
    <w:rsid w:val="00222678"/>
    <w:rsid w:val="002226DB"/>
    <w:rsid w:val="002226E6"/>
    <w:rsid w:val="00222702"/>
    <w:rsid w:val="002227C7"/>
    <w:rsid w:val="002227CA"/>
    <w:rsid w:val="002227DB"/>
    <w:rsid w:val="002227DD"/>
    <w:rsid w:val="0022285B"/>
    <w:rsid w:val="0022286A"/>
    <w:rsid w:val="002228A9"/>
    <w:rsid w:val="00222940"/>
    <w:rsid w:val="00222964"/>
    <w:rsid w:val="002229E0"/>
    <w:rsid w:val="002229E3"/>
    <w:rsid w:val="002229F9"/>
    <w:rsid w:val="00222A16"/>
    <w:rsid w:val="00222A8C"/>
    <w:rsid w:val="00222B01"/>
    <w:rsid w:val="00222B1C"/>
    <w:rsid w:val="00222B56"/>
    <w:rsid w:val="00222B72"/>
    <w:rsid w:val="00222BFB"/>
    <w:rsid w:val="00222C25"/>
    <w:rsid w:val="00222CC3"/>
    <w:rsid w:val="00222D36"/>
    <w:rsid w:val="00222D5C"/>
    <w:rsid w:val="00222DCD"/>
    <w:rsid w:val="00222E3A"/>
    <w:rsid w:val="00222E75"/>
    <w:rsid w:val="00222E87"/>
    <w:rsid w:val="00222EBA"/>
    <w:rsid w:val="00222F4A"/>
    <w:rsid w:val="00222F91"/>
    <w:rsid w:val="00222FAA"/>
    <w:rsid w:val="00222FCF"/>
    <w:rsid w:val="00222FFE"/>
    <w:rsid w:val="00223052"/>
    <w:rsid w:val="002230B2"/>
    <w:rsid w:val="002230FE"/>
    <w:rsid w:val="00223101"/>
    <w:rsid w:val="0022310E"/>
    <w:rsid w:val="00223135"/>
    <w:rsid w:val="002232B6"/>
    <w:rsid w:val="002232D0"/>
    <w:rsid w:val="002232EA"/>
    <w:rsid w:val="0022330E"/>
    <w:rsid w:val="00223351"/>
    <w:rsid w:val="002233F1"/>
    <w:rsid w:val="002234E6"/>
    <w:rsid w:val="00223546"/>
    <w:rsid w:val="00223591"/>
    <w:rsid w:val="002235B0"/>
    <w:rsid w:val="002235B9"/>
    <w:rsid w:val="002235F9"/>
    <w:rsid w:val="0022361E"/>
    <w:rsid w:val="0022362E"/>
    <w:rsid w:val="00223648"/>
    <w:rsid w:val="0022365D"/>
    <w:rsid w:val="0022370E"/>
    <w:rsid w:val="0022373D"/>
    <w:rsid w:val="0022374A"/>
    <w:rsid w:val="002237B8"/>
    <w:rsid w:val="002237C2"/>
    <w:rsid w:val="00223801"/>
    <w:rsid w:val="0022384B"/>
    <w:rsid w:val="0022387F"/>
    <w:rsid w:val="00223884"/>
    <w:rsid w:val="002238B5"/>
    <w:rsid w:val="0022390A"/>
    <w:rsid w:val="0022392D"/>
    <w:rsid w:val="00223996"/>
    <w:rsid w:val="002239AB"/>
    <w:rsid w:val="002239C7"/>
    <w:rsid w:val="002239F6"/>
    <w:rsid w:val="00223A79"/>
    <w:rsid w:val="00223ACB"/>
    <w:rsid w:val="00223B97"/>
    <w:rsid w:val="00223C4A"/>
    <w:rsid w:val="00223C4B"/>
    <w:rsid w:val="00223C7A"/>
    <w:rsid w:val="00223CD5"/>
    <w:rsid w:val="00223CD6"/>
    <w:rsid w:val="00223D4A"/>
    <w:rsid w:val="00223DA8"/>
    <w:rsid w:val="00223DEE"/>
    <w:rsid w:val="00223E3F"/>
    <w:rsid w:val="00223E51"/>
    <w:rsid w:val="00223EB3"/>
    <w:rsid w:val="00223EDE"/>
    <w:rsid w:val="00223F10"/>
    <w:rsid w:val="00223F31"/>
    <w:rsid w:val="00223F40"/>
    <w:rsid w:val="00223F74"/>
    <w:rsid w:val="00223FBD"/>
    <w:rsid w:val="00223FDC"/>
    <w:rsid w:val="00224031"/>
    <w:rsid w:val="0022407B"/>
    <w:rsid w:val="002240CB"/>
    <w:rsid w:val="0022411B"/>
    <w:rsid w:val="0022413B"/>
    <w:rsid w:val="00224167"/>
    <w:rsid w:val="0022416B"/>
    <w:rsid w:val="0022418B"/>
    <w:rsid w:val="002241EA"/>
    <w:rsid w:val="002241EB"/>
    <w:rsid w:val="002242E1"/>
    <w:rsid w:val="002242F4"/>
    <w:rsid w:val="00224319"/>
    <w:rsid w:val="00224320"/>
    <w:rsid w:val="002243C8"/>
    <w:rsid w:val="002243CD"/>
    <w:rsid w:val="002243DE"/>
    <w:rsid w:val="002243ED"/>
    <w:rsid w:val="0022440C"/>
    <w:rsid w:val="00224412"/>
    <w:rsid w:val="0022441F"/>
    <w:rsid w:val="002244DC"/>
    <w:rsid w:val="00224543"/>
    <w:rsid w:val="002245B3"/>
    <w:rsid w:val="002245CD"/>
    <w:rsid w:val="00224645"/>
    <w:rsid w:val="00224704"/>
    <w:rsid w:val="0022474C"/>
    <w:rsid w:val="002247C5"/>
    <w:rsid w:val="002247F1"/>
    <w:rsid w:val="00224809"/>
    <w:rsid w:val="00224837"/>
    <w:rsid w:val="0022484C"/>
    <w:rsid w:val="0022485E"/>
    <w:rsid w:val="002248B1"/>
    <w:rsid w:val="002248DD"/>
    <w:rsid w:val="002248E6"/>
    <w:rsid w:val="00224916"/>
    <w:rsid w:val="0022492D"/>
    <w:rsid w:val="00224972"/>
    <w:rsid w:val="0022498B"/>
    <w:rsid w:val="002249A5"/>
    <w:rsid w:val="002249E0"/>
    <w:rsid w:val="002249E4"/>
    <w:rsid w:val="00224A3C"/>
    <w:rsid w:val="00224AB8"/>
    <w:rsid w:val="00224ACC"/>
    <w:rsid w:val="00224AF0"/>
    <w:rsid w:val="00224BDA"/>
    <w:rsid w:val="00224BE1"/>
    <w:rsid w:val="00224BED"/>
    <w:rsid w:val="00224C3D"/>
    <w:rsid w:val="00224C41"/>
    <w:rsid w:val="00224C49"/>
    <w:rsid w:val="00224C72"/>
    <w:rsid w:val="00224C9C"/>
    <w:rsid w:val="00224CA0"/>
    <w:rsid w:val="00224CFC"/>
    <w:rsid w:val="00224D13"/>
    <w:rsid w:val="00224D1E"/>
    <w:rsid w:val="00224D26"/>
    <w:rsid w:val="00224DE5"/>
    <w:rsid w:val="00224E0A"/>
    <w:rsid w:val="00224E35"/>
    <w:rsid w:val="00224E3C"/>
    <w:rsid w:val="00224E72"/>
    <w:rsid w:val="00224ED0"/>
    <w:rsid w:val="00224F38"/>
    <w:rsid w:val="00224F7D"/>
    <w:rsid w:val="00224FB1"/>
    <w:rsid w:val="00224FF0"/>
    <w:rsid w:val="00225038"/>
    <w:rsid w:val="0022503C"/>
    <w:rsid w:val="002250C7"/>
    <w:rsid w:val="002250D5"/>
    <w:rsid w:val="00225106"/>
    <w:rsid w:val="00225126"/>
    <w:rsid w:val="00225132"/>
    <w:rsid w:val="00225228"/>
    <w:rsid w:val="0022522F"/>
    <w:rsid w:val="0022529A"/>
    <w:rsid w:val="002252C5"/>
    <w:rsid w:val="002252CE"/>
    <w:rsid w:val="00225305"/>
    <w:rsid w:val="0022532B"/>
    <w:rsid w:val="002253B1"/>
    <w:rsid w:val="00225407"/>
    <w:rsid w:val="0022541B"/>
    <w:rsid w:val="0022541E"/>
    <w:rsid w:val="00225424"/>
    <w:rsid w:val="00225456"/>
    <w:rsid w:val="002254D5"/>
    <w:rsid w:val="00225536"/>
    <w:rsid w:val="0022555B"/>
    <w:rsid w:val="00225586"/>
    <w:rsid w:val="002255E3"/>
    <w:rsid w:val="002255F6"/>
    <w:rsid w:val="0022560C"/>
    <w:rsid w:val="00225656"/>
    <w:rsid w:val="002256A7"/>
    <w:rsid w:val="002256FA"/>
    <w:rsid w:val="0022573A"/>
    <w:rsid w:val="002257A5"/>
    <w:rsid w:val="002257BF"/>
    <w:rsid w:val="00225816"/>
    <w:rsid w:val="0022581C"/>
    <w:rsid w:val="00225860"/>
    <w:rsid w:val="00225866"/>
    <w:rsid w:val="00225902"/>
    <w:rsid w:val="00225966"/>
    <w:rsid w:val="00225988"/>
    <w:rsid w:val="00225A01"/>
    <w:rsid w:val="00225AB5"/>
    <w:rsid w:val="00225B21"/>
    <w:rsid w:val="00225B4E"/>
    <w:rsid w:val="00225B6C"/>
    <w:rsid w:val="00225B9A"/>
    <w:rsid w:val="00225B9C"/>
    <w:rsid w:val="00225BAE"/>
    <w:rsid w:val="00225BC8"/>
    <w:rsid w:val="00225BC9"/>
    <w:rsid w:val="00225BE4"/>
    <w:rsid w:val="00225C74"/>
    <w:rsid w:val="00225C7E"/>
    <w:rsid w:val="00225C8C"/>
    <w:rsid w:val="00225C95"/>
    <w:rsid w:val="00225CEA"/>
    <w:rsid w:val="00225CEF"/>
    <w:rsid w:val="00225D00"/>
    <w:rsid w:val="00225DAC"/>
    <w:rsid w:val="00225DC8"/>
    <w:rsid w:val="00225E03"/>
    <w:rsid w:val="00225E0B"/>
    <w:rsid w:val="00225E26"/>
    <w:rsid w:val="00225E92"/>
    <w:rsid w:val="00225F20"/>
    <w:rsid w:val="00225F5F"/>
    <w:rsid w:val="00225F8E"/>
    <w:rsid w:val="00225FAA"/>
    <w:rsid w:val="00225FAC"/>
    <w:rsid w:val="00226080"/>
    <w:rsid w:val="002260A7"/>
    <w:rsid w:val="002260AB"/>
    <w:rsid w:val="0022610D"/>
    <w:rsid w:val="00226125"/>
    <w:rsid w:val="00226127"/>
    <w:rsid w:val="00226194"/>
    <w:rsid w:val="002262CD"/>
    <w:rsid w:val="00226317"/>
    <w:rsid w:val="0022632E"/>
    <w:rsid w:val="0022634B"/>
    <w:rsid w:val="00226389"/>
    <w:rsid w:val="0022638E"/>
    <w:rsid w:val="002263BD"/>
    <w:rsid w:val="00226405"/>
    <w:rsid w:val="0022640E"/>
    <w:rsid w:val="00226440"/>
    <w:rsid w:val="00226471"/>
    <w:rsid w:val="002264A0"/>
    <w:rsid w:val="002264AD"/>
    <w:rsid w:val="002264E0"/>
    <w:rsid w:val="002265F4"/>
    <w:rsid w:val="00226617"/>
    <w:rsid w:val="00226660"/>
    <w:rsid w:val="00226667"/>
    <w:rsid w:val="0022666D"/>
    <w:rsid w:val="0022668B"/>
    <w:rsid w:val="002266FC"/>
    <w:rsid w:val="0022670A"/>
    <w:rsid w:val="00226758"/>
    <w:rsid w:val="00226774"/>
    <w:rsid w:val="00226775"/>
    <w:rsid w:val="002267BA"/>
    <w:rsid w:val="002267D8"/>
    <w:rsid w:val="00226830"/>
    <w:rsid w:val="00226840"/>
    <w:rsid w:val="0022686E"/>
    <w:rsid w:val="00226884"/>
    <w:rsid w:val="00226915"/>
    <w:rsid w:val="002269C1"/>
    <w:rsid w:val="002269DC"/>
    <w:rsid w:val="00226A49"/>
    <w:rsid w:val="00226A5D"/>
    <w:rsid w:val="00226A7E"/>
    <w:rsid w:val="00226B37"/>
    <w:rsid w:val="00226B3D"/>
    <w:rsid w:val="00226BB7"/>
    <w:rsid w:val="00226C60"/>
    <w:rsid w:val="00226C83"/>
    <w:rsid w:val="00226C9F"/>
    <w:rsid w:val="00226D38"/>
    <w:rsid w:val="00226D8B"/>
    <w:rsid w:val="00226DD9"/>
    <w:rsid w:val="00226E31"/>
    <w:rsid w:val="00226EDB"/>
    <w:rsid w:val="00226F03"/>
    <w:rsid w:val="00226FA1"/>
    <w:rsid w:val="00226FA8"/>
    <w:rsid w:val="00226FAC"/>
    <w:rsid w:val="00226FE6"/>
    <w:rsid w:val="00226FED"/>
    <w:rsid w:val="00226FF0"/>
    <w:rsid w:val="00227059"/>
    <w:rsid w:val="0022706B"/>
    <w:rsid w:val="00227093"/>
    <w:rsid w:val="002270EC"/>
    <w:rsid w:val="0022712F"/>
    <w:rsid w:val="00227177"/>
    <w:rsid w:val="00227213"/>
    <w:rsid w:val="0022722B"/>
    <w:rsid w:val="00227278"/>
    <w:rsid w:val="002272A1"/>
    <w:rsid w:val="002272D2"/>
    <w:rsid w:val="0022732C"/>
    <w:rsid w:val="0022732D"/>
    <w:rsid w:val="00227345"/>
    <w:rsid w:val="002273C1"/>
    <w:rsid w:val="00227460"/>
    <w:rsid w:val="002274CA"/>
    <w:rsid w:val="00227502"/>
    <w:rsid w:val="0022756C"/>
    <w:rsid w:val="0022756F"/>
    <w:rsid w:val="0022760C"/>
    <w:rsid w:val="00227612"/>
    <w:rsid w:val="0022769E"/>
    <w:rsid w:val="002276D7"/>
    <w:rsid w:val="002276D8"/>
    <w:rsid w:val="0022770B"/>
    <w:rsid w:val="00227716"/>
    <w:rsid w:val="0022778E"/>
    <w:rsid w:val="00227797"/>
    <w:rsid w:val="002277A1"/>
    <w:rsid w:val="00227872"/>
    <w:rsid w:val="002278B4"/>
    <w:rsid w:val="002278E0"/>
    <w:rsid w:val="00227945"/>
    <w:rsid w:val="002279B4"/>
    <w:rsid w:val="002279C3"/>
    <w:rsid w:val="002279F8"/>
    <w:rsid w:val="00227A58"/>
    <w:rsid w:val="00227B29"/>
    <w:rsid w:val="00227BBD"/>
    <w:rsid w:val="00227BC7"/>
    <w:rsid w:val="00227C40"/>
    <w:rsid w:val="00227C55"/>
    <w:rsid w:val="00227C66"/>
    <w:rsid w:val="00227C69"/>
    <w:rsid w:val="00227CC5"/>
    <w:rsid w:val="00227D1B"/>
    <w:rsid w:val="00227D3B"/>
    <w:rsid w:val="00227D72"/>
    <w:rsid w:val="00227DC6"/>
    <w:rsid w:val="00227DDF"/>
    <w:rsid w:val="00227E67"/>
    <w:rsid w:val="00227E71"/>
    <w:rsid w:val="00227E7A"/>
    <w:rsid w:val="00227E8A"/>
    <w:rsid w:val="00227E95"/>
    <w:rsid w:val="00227ED2"/>
    <w:rsid w:val="00227EDA"/>
    <w:rsid w:val="00227EDD"/>
    <w:rsid w:val="00227EDE"/>
    <w:rsid w:val="00227EEE"/>
    <w:rsid w:val="00227F17"/>
    <w:rsid w:val="00227F48"/>
    <w:rsid w:val="00227F6C"/>
    <w:rsid w:val="00227F89"/>
    <w:rsid w:val="00227F9E"/>
    <w:rsid w:val="00227FC0"/>
    <w:rsid w:val="00227FE2"/>
    <w:rsid w:val="00227FEE"/>
    <w:rsid w:val="0023001B"/>
    <w:rsid w:val="0023002B"/>
    <w:rsid w:val="002300AC"/>
    <w:rsid w:val="002300E3"/>
    <w:rsid w:val="002300F6"/>
    <w:rsid w:val="00230148"/>
    <w:rsid w:val="002301B0"/>
    <w:rsid w:val="002301D7"/>
    <w:rsid w:val="002301E5"/>
    <w:rsid w:val="00230214"/>
    <w:rsid w:val="0023022A"/>
    <w:rsid w:val="00230251"/>
    <w:rsid w:val="00230270"/>
    <w:rsid w:val="0023028B"/>
    <w:rsid w:val="002302C3"/>
    <w:rsid w:val="0023033C"/>
    <w:rsid w:val="00230347"/>
    <w:rsid w:val="0023038B"/>
    <w:rsid w:val="002303AC"/>
    <w:rsid w:val="002303E2"/>
    <w:rsid w:val="00230428"/>
    <w:rsid w:val="002304A2"/>
    <w:rsid w:val="002305B1"/>
    <w:rsid w:val="002305DB"/>
    <w:rsid w:val="0023062F"/>
    <w:rsid w:val="0023064A"/>
    <w:rsid w:val="0023064B"/>
    <w:rsid w:val="00230680"/>
    <w:rsid w:val="0023071B"/>
    <w:rsid w:val="002307A8"/>
    <w:rsid w:val="002307C1"/>
    <w:rsid w:val="00230813"/>
    <w:rsid w:val="0023081D"/>
    <w:rsid w:val="00230824"/>
    <w:rsid w:val="0023084C"/>
    <w:rsid w:val="00230883"/>
    <w:rsid w:val="002308B1"/>
    <w:rsid w:val="002308EE"/>
    <w:rsid w:val="00230927"/>
    <w:rsid w:val="00230984"/>
    <w:rsid w:val="00230991"/>
    <w:rsid w:val="002309A4"/>
    <w:rsid w:val="002309C4"/>
    <w:rsid w:val="002309FC"/>
    <w:rsid w:val="00230A40"/>
    <w:rsid w:val="00230A7A"/>
    <w:rsid w:val="00230A81"/>
    <w:rsid w:val="00230A89"/>
    <w:rsid w:val="00230A9C"/>
    <w:rsid w:val="00230BB2"/>
    <w:rsid w:val="00230BC3"/>
    <w:rsid w:val="00230BF7"/>
    <w:rsid w:val="00230C0A"/>
    <w:rsid w:val="00230C14"/>
    <w:rsid w:val="00230C3B"/>
    <w:rsid w:val="00230C61"/>
    <w:rsid w:val="00230C66"/>
    <w:rsid w:val="00230C9B"/>
    <w:rsid w:val="00230C9D"/>
    <w:rsid w:val="00230CA2"/>
    <w:rsid w:val="00230D07"/>
    <w:rsid w:val="00230DC7"/>
    <w:rsid w:val="00230E17"/>
    <w:rsid w:val="00230E60"/>
    <w:rsid w:val="00230E90"/>
    <w:rsid w:val="00230E92"/>
    <w:rsid w:val="0023107B"/>
    <w:rsid w:val="002310CC"/>
    <w:rsid w:val="002310CD"/>
    <w:rsid w:val="002310D7"/>
    <w:rsid w:val="002310D8"/>
    <w:rsid w:val="002310E9"/>
    <w:rsid w:val="0023110F"/>
    <w:rsid w:val="00231179"/>
    <w:rsid w:val="002311A5"/>
    <w:rsid w:val="002312B1"/>
    <w:rsid w:val="00231324"/>
    <w:rsid w:val="0023137C"/>
    <w:rsid w:val="002313DA"/>
    <w:rsid w:val="002313DB"/>
    <w:rsid w:val="00231407"/>
    <w:rsid w:val="0023146C"/>
    <w:rsid w:val="002314A9"/>
    <w:rsid w:val="002314E4"/>
    <w:rsid w:val="00231538"/>
    <w:rsid w:val="0023154A"/>
    <w:rsid w:val="002315A7"/>
    <w:rsid w:val="002315DF"/>
    <w:rsid w:val="002315FA"/>
    <w:rsid w:val="0023162A"/>
    <w:rsid w:val="0023163B"/>
    <w:rsid w:val="00231675"/>
    <w:rsid w:val="0023168A"/>
    <w:rsid w:val="00231694"/>
    <w:rsid w:val="002316EF"/>
    <w:rsid w:val="00231748"/>
    <w:rsid w:val="0023175A"/>
    <w:rsid w:val="0023175F"/>
    <w:rsid w:val="00231769"/>
    <w:rsid w:val="002317A4"/>
    <w:rsid w:val="002317BB"/>
    <w:rsid w:val="002317C1"/>
    <w:rsid w:val="00231811"/>
    <w:rsid w:val="00231847"/>
    <w:rsid w:val="00231865"/>
    <w:rsid w:val="002318DF"/>
    <w:rsid w:val="00231966"/>
    <w:rsid w:val="00231AA7"/>
    <w:rsid w:val="00231AEB"/>
    <w:rsid w:val="00231B4E"/>
    <w:rsid w:val="00231B96"/>
    <w:rsid w:val="00231BC3"/>
    <w:rsid w:val="00231BDF"/>
    <w:rsid w:val="00231C3C"/>
    <w:rsid w:val="00231C55"/>
    <w:rsid w:val="00231C79"/>
    <w:rsid w:val="00231CD2"/>
    <w:rsid w:val="00231D54"/>
    <w:rsid w:val="00231D9E"/>
    <w:rsid w:val="00231DD7"/>
    <w:rsid w:val="00231DDD"/>
    <w:rsid w:val="00231DE0"/>
    <w:rsid w:val="00231DFB"/>
    <w:rsid w:val="00231E02"/>
    <w:rsid w:val="00231E0B"/>
    <w:rsid w:val="00231E2F"/>
    <w:rsid w:val="00231E44"/>
    <w:rsid w:val="00231E64"/>
    <w:rsid w:val="00231E7D"/>
    <w:rsid w:val="00231E87"/>
    <w:rsid w:val="00231EC5"/>
    <w:rsid w:val="00231F9E"/>
    <w:rsid w:val="00231FBE"/>
    <w:rsid w:val="00231FC2"/>
    <w:rsid w:val="00232043"/>
    <w:rsid w:val="002320BC"/>
    <w:rsid w:val="002320C6"/>
    <w:rsid w:val="002320E7"/>
    <w:rsid w:val="00232106"/>
    <w:rsid w:val="00232172"/>
    <w:rsid w:val="00232187"/>
    <w:rsid w:val="0023220F"/>
    <w:rsid w:val="0023221C"/>
    <w:rsid w:val="002322C0"/>
    <w:rsid w:val="00232330"/>
    <w:rsid w:val="0023234D"/>
    <w:rsid w:val="00232350"/>
    <w:rsid w:val="002323F3"/>
    <w:rsid w:val="00232429"/>
    <w:rsid w:val="00232452"/>
    <w:rsid w:val="002324CB"/>
    <w:rsid w:val="002324FA"/>
    <w:rsid w:val="00232521"/>
    <w:rsid w:val="00232539"/>
    <w:rsid w:val="00232574"/>
    <w:rsid w:val="0023257D"/>
    <w:rsid w:val="002325DA"/>
    <w:rsid w:val="0023261F"/>
    <w:rsid w:val="0023262B"/>
    <w:rsid w:val="0023263D"/>
    <w:rsid w:val="0023264C"/>
    <w:rsid w:val="00232667"/>
    <w:rsid w:val="0023267D"/>
    <w:rsid w:val="002326B2"/>
    <w:rsid w:val="002326B3"/>
    <w:rsid w:val="002326F2"/>
    <w:rsid w:val="002326FA"/>
    <w:rsid w:val="0023274C"/>
    <w:rsid w:val="0023287E"/>
    <w:rsid w:val="00232887"/>
    <w:rsid w:val="0023289B"/>
    <w:rsid w:val="002328A6"/>
    <w:rsid w:val="00232943"/>
    <w:rsid w:val="002329AE"/>
    <w:rsid w:val="00232A2C"/>
    <w:rsid w:val="00232A67"/>
    <w:rsid w:val="00232A86"/>
    <w:rsid w:val="00232AAC"/>
    <w:rsid w:val="00232AC5"/>
    <w:rsid w:val="00232AC7"/>
    <w:rsid w:val="00232ADD"/>
    <w:rsid w:val="00232AF2"/>
    <w:rsid w:val="00232B8E"/>
    <w:rsid w:val="00232BF2"/>
    <w:rsid w:val="00232C2D"/>
    <w:rsid w:val="00232C54"/>
    <w:rsid w:val="00232C8C"/>
    <w:rsid w:val="00232CB6"/>
    <w:rsid w:val="00232CE3"/>
    <w:rsid w:val="00232D0D"/>
    <w:rsid w:val="00232D42"/>
    <w:rsid w:val="00232D51"/>
    <w:rsid w:val="00232D58"/>
    <w:rsid w:val="00232DA3"/>
    <w:rsid w:val="00232E08"/>
    <w:rsid w:val="00232E42"/>
    <w:rsid w:val="00232EC1"/>
    <w:rsid w:val="00232EC5"/>
    <w:rsid w:val="00232F14"/>
    <w:rsid w:val="00232F39"/>
    <w:rsid w:val="00232F6A"/>
    <w:rsid w:val="00232F72"/>
    <w:rsid w:val="00232F8F"/>
    <w:rsid w:val="00232F9F"/>
    <w:rsid w:val="00232FC6"/>
    <w:rsid w:val="0023304E"/>
    <w:rsid w:val="00233071"/>
    <w:rsid w:val="00233094"/>
    <w:rsid w:val="002330CA"/>
    <w:rsid w:val="002330D5"/>
    <w:rsid w:val="0023311A"/>
    <w:rsid w:val="0023314C"/>
    <w:rsid w:val="0023314E"/>
    <w:rsid w:val="0023315E"/>
    <w:rsid w:val="002331A6"/>
    <w:rsid w:val="002331DB"/>
    <w:rsid w:val="002331E7"/>
    <w:rsid w:val="00233217"/>
    <w:rsid w:val="002332D7"/>
    <w:rsid w:val="00233383"/>
    <w:rsid w:val="002333CD"/>
    <w:rsid w:val="00233401"/>
    <w:rsid w:val="00233405"/>
    <w:rsid w:val="002334A9"/>
    <w:rsid w:val="002334BA"/>
    <w:rsid w:val="002334E4"/>
    <w:rsid w:val="002334EF"/>
    <w:rsid w:val="002334F2"/>
    <w:rsid w:val="002335D2"/>
    <w:rsid w:val="002335E6"/>
    <w:rsid w:val="0023361A"/>
    <w:rsid w:val="00233687"/>
    <w:rsid w:val="00233692"/>
    <w:rsid w:val="0023369C"/>
    <w:rsid w:val="002336CD"/>
    <w:rsid w:val="00233709"/>
    <w:rsid w:val="002337AF"/>
    <w:rsid w:val="002337B9"/>
    <w:rsid w:val="002337D3"/>
    <w:rsid w:val="0023386F"/>
    <w:rsid w:val="0023388B"/>
    <w:rsid w:val="0023389E"/>
    <w:rsid w:val="0023389F"/>
    <w:rsid w:val="002338EB"/>
    <w:rsid w:val="00233965"/>
    <w:rsid w:val="00233971"/>
    <w:rsid w:val="00233984"/>
    <w:rsid w:val="002339A8"/>
    <w:rsid w:val="002339C6"/>
    <w:rsid w:val="00233A02"/>
    <w:rsid w:val="00233A12"/>
    <w:rsid w:val="00233ABD"/>
    <w:rsid w:val="00233B2D"/>
    <w:rsid w:val="00233B45"/>
    <w:rsid w:val="00233C21"/>
    <w:rsid w:val="00233C3C"/>
    <w:rsid w:val="00233C84"/>
    <w:rsid w:val="00233CD3"/>
    <w:rsid w:val="00233CFF"/>
    <w:rsid w:val="00233D42"/>
    <w:rsid w:val="00233D56"/>
    <w:rsid w:val="00233D7D"/>
    <w:rsid w:val="00233E07"/>
    <w:rsid w:val="00233E1A"/>
    <w:rsid w:val="00233E58"/>
    <w:rsid w:val="00233E7C"/>
    <w:rsid w:val="00233E8F"/>
    <w:rsid w:val="00233ECA"/>
    <w:rsid w:val="00233F6A"/>
    <w:rsid w:val="00233F73"/>
    <w:rsid w:val="00233FB0"/>
    <w:rsid w:val="00233FFA"/>
    <w:rsid w:val="00234025"/>
    <w:rsid w:val="002340A0"/>
    <w:rsid w:val="00234104"/>
    <w:rsid w:val="00234159"/>
    <w:rsid w:val="00234162"/>
    <w:rsid w:val="00234172"/>
    <w:rsid w:val="002341E3"/>
    <w:rsid w:val="002341F9"/>
    <w:rsid w:val="00234206"/>
    <w:rsid w:val="0023422B"/>
    <w:rsid w:val="00234238"/>
    <w:rsid w:val="00234273"/>
    <w:rsid w:val="002342BD"/>
    <w:rsid w:val="002342FD"/>
    <w:rsid w:val="00234338"/>
    <w:rsid w:val="00234384"/>
    <w:rsid w:val="0023438A"/>
    <w:rsid w:val="002343C0"/>
    <w:rsid w:val="002343C9"/>
    <w:rsid w:val="002343CD"/>
    <w:rsid w:val="0023440A"/>
    <w:rsid w:val="0023443C"/>
    <w:rsid w:val="0023448D"/>
    <w:rsid w:val="002344A3"/>
    <w:rsid w:val="002344B4"/>
    <w:rsid w:val="0023453E"/>
    <w:rsid w:val="0023456B"/>
    <w:rsid w:val="00234579"/>
    <w:rsid w:val="0023457F"/>
    <w:rsid w:val="002345E8"/>
    <w:rsid w:val="002345FA"/>
    <w:rsid w:val="00234601"/>
    <w:rsid w:val="0023461E"/>
    <w:rsid w:val="00234680"/>
    <w:rsid w:val="002346BA"/>
    <w:rsid w:val="0023473B"/>
    <w:rsid w:val="00234753"/>
    <w:rsid w:val="00234792"/>
    <w:rsid w:val="002347C5"/>
    <w:rsid w:val="0023487E"/>
    <w:rsid w:val="00234890"/>
    <w:rsid w:val="002348A8"/>
    <w:rsid w:val="002348AB"/>
    <w:rsid w:val="002348D0"/>
    <w:rsid w:val="002348E2"/>
    <w:rsid w:val="0023492F"/>
    <w:rsid w:val="00234989"/>
    <w:rsid w:val="002349F2"/>
    <w:rsid w:val="002349F9"/>
    <w:rsid w:val="002349FB"/>
    <w:rsid w:val="00234A1A"/>
    <w:rsid w:val="00234A91"/>
    <w:rsid w:val="00234AC8"/>
    <w:rsid w:val="00234B11"/>
    <w:rsid w:val="00234B41"/>
    <w:rsid w:val="00234B63"/>
    <w:rsid w:val="00234B6D"/>
    <w:rsid w:val="00234B8A"/>
    <w:rsid w:val="00234BDF"/>
    <w:rsid w:val="00234BE0"/>
    <w:rsid w:val="00234C0C"/>
    <w:rsid w:val="00234C29"/>
    <w:rsid w:val="00234C2F"/>
    <w:rsid w:val="00234C7B"/>
    <w:rsid w:val="00234CCA"/>
    <w:rsid w:val="00234CD5"/>
    <w:rsid w:val="00234D44"/>
    <w:rsid w:val="00234D57"/>
    <w:rsid w:val="00234DC6"/>
    <w:rsid w:val="00234DE8"/>
    <w:rsid w:val="00234DE9"/>
    <w:rsid w:val="00234E2A"/>
    <w:rsid w:val="00234E48"/>
    <w:rsid w:val="00234E61"/>
    <w:rsid w:val="00234E6B"/>
    <w:rsid w:val="00234E73"/>
    <w:rsid w:val="00234E7D"/>
    <w:rsid w:val="00234EBB"/>
    <w:rsid w:val="00234ED2"/>
    <w:rsid w:val="00234F1A"/>
    <w:rsid w:val="00234F7E"/>
    <w:rsid w:val="00234FDC"/>
    <w:rsid w:val="00235062"/>
    <w:rsid w:val="002350AE"/>
    <w:rsid w:val="002350BC"/>
    <w:rsid w:val="00235118"/>
    <w:rsid w:val="00235190"/>
    <w:rsid w:val="002351FA"/>
    <w:rsid w:val="0023520D"/>
    <w:rsid w:val="0023522D"/>
    <w:rsid w:val="002352CF"/>
    <w:rsid w:val="00235314"/>
    <w:rsid w:val="00235332"/>
    <w:rsid w:val="00235344"/>
    <w:rsid w:val="0023535F"/>
    <w:rsid w:val="0023538D"/>
    <w:rsid w:val="002353AB"/>
    <w:rsid w:val="0023542C"/>
    <w:rsid w:val="00235460"/>
    <w:rsid w:val="002354AD"/>
    <w:rsid w:val="002354B9"/>
    <w:rsid w:val="002354CE"/>
    <w:rsid w:val="002354EF"/>
    <w:rsid w:val="00235534"/>
    <w:rsid w:val="00235569"/>
    <w:rsid w:val="00235609"/>
    <w:rsid w:val="00235655"/>
    <w:rsid w:val="0023567C"/>
    <w:rsid w:val="00235685"/>
    <w:rsid w:val="00235699"/>
    <w:rsid w:val="002356AE"/>
    <w:rsid w:val="002356D8"/>
    <w:rsid w:val="00235771"/>
    <w:rsid w:val="002357BF"/>
    <w:rsid w:val="002357D9"/>
    <w:rsid w:val="002357E1"/>
    <w:rsid w:val="00235818"/>
    <w:rsid w:val="00235819"/>
    <w:rsid w:val="00235898"/>
    <w:rsid w:val="0023589B"/>
    <w:rsid w:val="002358D3"/>
    <w:rsid w:val="0023590E"/>
    <w:rsid w:val="002359B0"/>
    <w:rsid w:val="002359C1"/>
    <w:rsid w:val="00235A6A"/>
    <w:rsid w:val="00235A85"/>
    <w:rsid w:val="00235A97"/>
    <w:rsid w:val="00235A9F"/>
    <w:rsid w:val="00235AE7"/>
    <w:rsid w:val="00235AEF"/>
    <w:rsid w:val="00235AF8"/>
    <w:rsid w:val="00235B31"/>
    <w:rsid w:val="00235B32"/>
    <w:rsid w:val="00235B77"/>
    <w:rsid w:val="00235B7A"/>
    <w:rsid w:val="00235BB9"/>
    <w:rsid w:val="00235BD6"/>
    <w:rsid w:val="00235BF5"/>
    <w:rsid w:val="00235C2E"/>
    <w:rsid w:val="00235C39"/>
    <w:rsid w:val="00235C65"/>
    <w:rsid w:val="00235C83"/>
    <w:rsid w:val="00235CA4"/>
    <w:rsid w:val="00235CD2"/>
    <w:rsid w:val="00235CF4"/>
    <w:rsid w:val="00235D12"/>
    <w:rsid w:val="00235D49"/>
    <w:rsid w:val="00235DCF"/>
    <w:rsid w:val="00235DE7"/>
    <w:rsid w:val="00235E75"/>
    <w:rsid w:val="00235EF7"/>
    <w:rsid w:val="00235EFC"/>
    <w:rsid w:val="00235FC7"/>
    <w:rsid w:val="00235FEE"/>
    <w:rsid w:val="002360B8"/>
    <w:rsid w:val="002360DE"/>
    <w:rsid w:val="00236116"/>
    <w:rsid w:val="0023619F"/>
    <w:rsid w:val="002361B6"/>
    <w:rsid w:val="002361DA"/>
    <w:rsid w:val="00236250"/>
    <w:rsid w:val="002362E3"/>
    <w:rsid w:val="0023631A"/>
    <w:rsid w:val="00236351"/>
    <w:rsid w:val="002363AD"/>
    <w:rsid w:val="002363F5"/>
    <w:rsid w:val="00236411"/>
    <w:rsid w:val="0023643E"/>
    <w:rsid w:val="0023644B"/>
    <w:rsid w:val="0023649C"/>
    <w:rsid w:val="002364CD"/>
    <w:rsid w:val="002364EA"/>
    <w:rsid w:val="0023651E"/>
    <w:rsid w:val="00236598"/>
    <w:rsid w:val="002365ED"/>
    <w:rsid w:val="002365FA"/>
    <w:rsid w:val="0023666B"/>
    <w:rsid w:val="00236681"/>
    <w:rsid w:val="002366E2"/>
    <w:rsid w:val="0023670B"/>
    <w:rsid w:val="00236753"/>
    <w:rsid w:val="002367E4"/>
    <w:rsid w:val="0023680D"/>
    <w:rsid w:val="0023683B"/>
    <w:rsid w:val="002368B3"/>
    <w:rsid w:val="002368D0"/>
    <w:rsid w:val="002368EA"/>
    <w:rsid w:val="002368F1"/>
    <w:rsid w:val="002368FE"/>
    <w:rsid w:val="002369D3"/>
    <w:rsid w:val="00236A51"/>
    <w:rsid w:val="00236AD3"/>
    <w:rsid w:val="00236B8F"/>
    <w:rsid w:val="00236C29"/>
    <w:rsid w:val="00236C2B"/>
    <w:rsid w:val="00236D02"/>
    <w:rsid w:val="00236D30"/>
    <w:rsid w:val="00236D44"/>
    <w:rsid w:val="00236D62"/>
    <w:rsid w:val="00236DB9"/>
    <w:rsid w:val="00236DE2"/>
    <w:rsid w:val="00236DFD"/>
    <w:rsid w:val="00236E98"/>
    <w:rsid w:val="00236EA9"/>
    <w:rsid w:val="00236EBB"/>
    <w:rsid w:val="00236EF9"/>
    <w:rsid w:val="00236F5F"/>
    <w:rsid w:val="00236F8D"/>
    <w:rsid w:val="00236F92"/>
    <w:rsid w:val="00236FD2"/>
    <w:rsid w:val="00236FDB"/>
    <w:rsid w:val="00237036"/>
    <w:rsid w:val="00237056"/>
    <w:rsid w:val="0023705C"/>
    <w:rsid w:val="00237076"/>
    <w:rsid w:val="0023707B"/>
    <w:rsid w:val="002370BC"/>
    <w:rsid w:val="002370E0"/>
    <w:rsid w:val="002370E8"/>
    <w:rsid w:val="00237119"/>
    <w:rsid w:val="0023712D"/>
    <w:rsid w:val="00237153"/>
    <w:rsid w:val="002371DD"/>
    <w:rsid w:val="0023722E"/>
    <w:rsid w:val="002372B2"/>
    <w:rsid w:val="002372E5"/>
    <w:rsid w:val="002372E7"/>
    <w:rsid w:val="0023731D"/>
    <w:rsid w:val="0023737C"/>
    <w:rsid w:val="00237392"/>
    <w:rsid w:val="0023739B"/>
    <w:rsid w:val="002373C5"/>
    <w:rsid w:val="00237411"/>
    <w:rsid w:val="002374AD"/>
    <w:rsid w:val="002374DF"/>
    <w:rsid w:val="00237515"/>
    <w:rsid w:val="0023754D"/>
    <w:rsid w:val="0023757A"/>
    <w:rsid w:val="0023757F"/>
    <w:rsid w:val="002375B5"/>
    <w:rsid w:val="002375F5"/>
    <w:rsid w:val="00237601"/>
    <w:rsid w:val="0023763E"/>
    <w:rsid w:val="00237682"/>
    <w:rsid w:val="0023769E"/>
    <w:rsid w:val="002376CA"/>
    <w:rsid w:val="00237756"/>
    <w:rsid w:val="0023775C"/>
    <w:rsid w:val="0023778F"/>
    <w:rsid w:val="00237798"/>
    <w:rsid w:val="002377A2"/>
    <w:rsid w:val="00237832"/>
    <w:rsid w:val="0023783F"/>
    <w:rsid w:val="00237884"/>
    <w:rsid w:val="002378CB"/>
    <w:rsid w:val="002378D2"/>
    <w:rsid w:val="00237924"/>
    <w:rsid w:val="002379CE"/>
    <w:rsid w:val="00237A48"/>
    <w:rsid w:val="00237A4E"/>
    <w:rsid w:val="00237A61"/>
    <w:rsid w:val="00237A7B"/>
    <w:rsid w:val="00237AA7"/>
    <w:rsid w:val="00237B2C"/>
    <w:rsid w:val="00237B4B"/>
    <w:rsid w:val="00237BA6"/>
    <w:rsid w:val="00237BB1"/>
    <w:rsid w:val="00237BE0"/>
    <w:rsid w:val="00237C12"/>
    <w:rsid w:val="00237C3E"/>
    <w:rsid w:val="00237CA9"/>
    <w:rsid w:val="00237CDE"/>
    <w:rsid w:val="00237CEF"/>
    <w:rsid w:val="00237D41"/>
    <w:rsid w:val="00237D73"/>
    <w:rsid w:val="00237D96"/>
    <w:rsid w:val="00237DB3"/>
    <w:rsid w:val="00237DB9"/>
    <w:rsid w:val="00237DFF"/>
    <w:rsid w:val="00237E10"/>
    <w:rsid w:val="00237E2C"/>
    <w:rsid w:val="00237E2E"/>
    <w:rsid w:val="00237E4C"/>
    <w:rsid w:val="00237EA7"/>
    <w:rsid w:val="00237EBD"/>
    <w:rsid w:val="00237EC5"/>
    <w:rsid w:val="00237EE4"/>
    <w:rsid w:val="00237EFA"/>
    <w:rsid w:val="00237EFE"/>
    <w:rsid w:val="00237F02"/>
    <w:rsid w:val="00237F7A"/>
    <w:rsid w:val="00237F9D"/>
    <w:rsid w:val="00237FD4"/>
    <w:rsid w:val="00237FDD"/>
    <w:rsid w:val="00237FE8"/>
    <w:rsid w:val="00237FEE"/>
    <w:rsid w:val="00237FF4"/>
    <w:rsid w:val="0024001A"/>
    <w:rsid w:val="0024001F"/>
    <w:rsid w:val="00240035"/>
    <w:rsid w:val="002400C8"/>
    <w:rsid w:val="0024017F"/>
    <w:rsid w:val="002401AC"/>
    <w:rsid w:val="002401BC"/>
    <w:rsid w:val="002401D2"/>
    <w:rsid w:val="00240273"/>
    <w:rsid w:val="002402B1"/>
    <w:rsid w:val="0024033F"/>
    <w:rsid w:val="0024041B"/>
    <w:rsid w:val="00240448"/>
    <w:rsid w:val="0024046C"/>
    <w:rsid w:val="00240482"/>
    <w:rsid w:val="00240491"/>
    <w:rsid w:val="002404CE"/>
    <w:rsid w:val="002404F7"/>
    <w:rsid w:val="00240520"/>
    <w:rsid w:val="002405E8"/>
    <w:rsid w:val="0024060C"/>
    <w:rsid w:val="0024060D"/>
    <w:rsid w:val="00240623"/>
    <w:rsid w:val="00240672"/>
    <w:rsid w:val="0024069D"/>
    <w:rsid w:val="0024076F"/>
    <w:rsid w:val="002407B8"/>
    <w:rsid w:val="002407C2"/>
    <w:rsid w:val="002407F0"/>
    <w:rsid w:val="002407FF"/>
    <w:rsid w:val="00240808"/>
    <w:rsid w:val="00240883"/>
    <w:rsid w:val="002408A9"/>
    <w:rsid w:val="002408B1"/>
    <w:rsid w:val="002408D3"/>
    <w:rsid w:val="00240935"/>
    <w:rsid w:val="0024094C"/>
    <w:rsid w:val="00240997"/>
    <w:rsid w:val="002409ED"/>
    <w:rsid w:val="002409F4"/>
    <w:rsid w:val="00240A2D"/>
    <w:rsid w:val="00240A4D"/>
    <w:rsid w:val="00240A55"/>
    <w:rsid w:val="00240A63"/>
    <w:rsid w:val="00240A69"/>
    <w:rsid w:val="00240ABF"/>
    <w:rsid w:val="00240AD7"/>
    <w:rsid w:val="00240B26"/>
    <w:rsid w:val="00240B2E"/>
    <w:rsid w:val="00240B9E"/>
    <w:rsid w:val="00240C00"/>
    <w:rsid w:val="00240D27"/>
    <w:rsid w:val="00240D2F"/>
    <w:rsid w:val="00240D3B"/>
    <w:rsid w:val="00240DE6"/>
    <w:rsid w:val="00240E49"/>
    <w:rsid w:val="00240E91"/>
    <w:rsid w:val="00240EB3"/>
    <w:rsid w:val="00240F1A"/>
    <w:rsid w:val="00240F4F"/>
    <w:rsid w:val="00240F9E"/>
    <w:rsid w:val="00240FB6"/>
    <w:rsid w:val="00240FC9"/>
    <w:rsid w:val="00241041"/>
    <w:rsid w:val="00241052"/>
    <w:rsid w:val="00241073"/>
    <w:rsid w:val="00241076"/>
    <w:rsid w:val="002410C4"/>
    <w:rsid w:val="002410C9"/>
    <w:rsid w:val="002410E3"/>
    <w:rsid w:val="00241151"/>
    <w:rsid w:val="00241155"/>
    <w:rsid w:val="00241175"/>
    <w:rsid w:val="002411B9"/>
    <w:rsid w:val="0024123C"/>
    <w:rsid w:val="0024124A"/>
    <w:rsid w:val="002412AC"/>
    <w:rsid w:val="00241311"/>
    <w:rsid w:val="0024132B"/>
    <w:rsid w:val="00241356"/>
    <w:rsid w:val="00241369"/>
    <w:rsid w:val="0024139D"/>
    <w:rsid w:val="002413C4"/>
    <w:rsid w:val="002413E1"/>
    <w:rsid w:val="0024148C"/>
    <w:rsid w:val="002414AB"/>
    <w:rsid w:val="002414B7"/>
    <w:rsid w:val="002414FC"/>
    <w:rsid w:val="002414FF"/>
    <w:rsid w:val="002415B6"/>
    <w:rsid w:val="00241602"/>
    <w:rsid w:val="00241639"/>
    <w:rsid w:val="002416C9"/>
    <w:rsid w:val="002416DC"/>
    <w:rsid w:val="00241743"/>
    <w:rsid w:val="0024174E"/>
    <w:rsid w:val="002417E8"/>
    <w:rsid w:val="002417F2"/>
    <w:rsid w:val="0024181A"/>
    <w:rsid w:val="0024182C"/>
    <w:rsid w:val="0024183C"/>
    <w:rsid w:val="00241858"/>
    <w:rsid w:val="00241882"/>
    <w:rsid w:val="00241910"/>
    <w:rsid w:val="00241916"/>
    <w:rsid w:val="0024199C"/>
    <w:rsid w:val="002419BE"/>
    <w:rsid w:val="002419FF"/>
    <w:rsid w:val="00241A91"/>
    <w:rsid w:val="00241AA3"/>
    <w:rsid w:val="00241AE7"/>
    <w:rsid w:val="00241B60"/>
    <w:rsid w:val="00241BD9"/>
    <w:rsid w:val="00241C2F"/>
    <w:rsid w:val="00241C48"/>
    <w:rsid w:val="00241C51"/>
    <w:rsid w:val="00241C85"/>
    <w:rsid w:val="00241C92"/>
    <w:rsid w:val="00241CAD"/>
    <w:rsid w:val="00241CBD"/>
    <w:rsid w:val="00241CCE"/>
    <w:rsid w:val="00241D28"/>
    <w:rsid w:val="00241D6B"/>
    <w:rsid w:val="00241D70"/>
    <w:rsid w:val="00241D7A"/>
    <w:rsid w:val="00241DB6"/>
    <w:rsid w:val="00241DC5"/>
    <w:rsid w:val="00241DDD"/>
    <w:rsid w:val="00241E12"/>
    <w:rsid w:val="00241E1B"/>
    <w:rsid w:val="00241F24"/>
    <w:rsid w:val="00241F7B"/>
    <w:rsid w:val="00241F89"/>
    <w:rsid w:val="00241FEF"/>
    <w:rsid w:val="0024205F"/>
    <w:rsid w:val="0024208D"/>
    <w:rsid w:val="002420E2"/>
    <w:rsid w:val="00242123"/>
    <w:rsid w:val="0024212A"/>
    <w:rsid w:val="00242185"/>
    <w:rsid w:val="002421EC"/>
    <w:rsid w:val="002421EE"/>
    <w:rsid w:val="002421F3"/>
    <w:rsid w:val="002421F5"/>
    <w:rsid w:val="00242225"/>
    <w:rsid w:val="00242259"/>
    <w:rsid w:val="0024225B"/>
    <w:rsid w:val="00242261"/>
    <w:rsid w:val="00242285"/>
    <w:rsid w:val="00242291"/>
    <w:rsid w:val="00242295"/>
    <w:rsid w:val="00242299"/>
    <w:rsid w:val="002422A4"/>
    <w:rsid w:val="002422AF"/>
    <w:rsid w:val="002422F9"/>
    <w:rsid w:val="0024233D"/>
    <w:rsid w:val="00242358"/>
    <w:rsid w:val="002423BB"/>
    <w:rsid w:val="00242442"/>
    <w:rsid w:val="00242541"/>
    <w:rsid w:val="00242544"/>
    <w:rsid w:val="0024255C"/>
    <w:rsid w:val="002425DD"/>
    <w:rsid w:val="0024260C"/>
    <w:rsid w:val="00242626"/>
    <w:rsid w:val="002426DE"/>
    <w:rsid w:val="00242721"/>
    <w:rsid w:val="0024273A"/>
    <w:rsid w:val="0024278B"/>
    <w:rsid w:val="00242798"/>
    <w:rsid w:val="002427BC"/>
    <w:rsid w:val="0024280C"/>
    <w:rsid w:val="0024283E"/>
    <w:rsid w:val="0024284D"/>
    <w:rsid w:val="00242883"/>
    <w:rsid w:val="002428F2"/>
    <w:rsid w:val="00242906"/>
    <w:rsid w:val="00242907"/>
    <w:rsid w:val="0024290B"/>
    <w:rsid w:val="0024297D"/>
    <w:rsid w:val="002429B7"/>
    <w:rsid w:val="002429CF"/>
    <w:rsid w:val="00242B0A"/>
    <w:rsid w:val="00242B32"/>
    <w:rsid w:val="00242B8F"/>
    <w:rsid w:val="00242C04"/>
    <w:rsid w:val="00242C14"/>
    <w:rsid w:val="00242C17"/>
    <w:rsid w:val="00242C23"/>
    <w:rsid w:val="00242C2F"/>
    <w:rsid w:val="00242C5D"/>
    <w:rsid w:val="00242CDC"/>
    <w:rsid w:val="00242CF9"/>
    <w:rsid w:val="00242CFA"/>
    <w:rsid w:val="00242D1E"/>
    <w:rsid w:val="00242D25"/>
    <w:rsid w:val="00242D3D"/>
    <w:rsid w:val="00242D5F"/>
    <w:rsid w:val="00242DF0"/>
    <w:rsid w:val="00242E60"/>
    <w:rsid w:val="00242E7D"/>
    <w:rsid w:val="00242E8E"/>
    <w:rsid w:val="00242EA2"/>
    <w:rsid w:val="00242EBB"/>
    <w:rsid w:val="00242EE1"/>
    <w:rsid w:val="00242EF0"/>
    <w:rsid w:val="00242F25"/>
    <w:rsid w:val="00242F3C"/>
    <w:rsid w:val="00242F54"/>
    <w:rsid w:val="00242F5C"/>
    <w:rsid w:val="00242F7E"/>
    <w:rsid w:val="00242FD4"/>
    <w:rsid w:val="00243019"/>
    <w:rsid w:val="00243032"/>
    <w:rsid w:val="00243047"/>
    <w:rsid w:val="00243078"/>
    <w:rsid w:val="0024323F"/>
    <w:rsid w:val="00243249"/>
    <w:rsid w:val="0024328C"/>
    <w:rsid w:val="0024329C"/>
    <w:rsid w:val="00243337"/>
    <w:rsid w:val="00243354"/>
    <w:rsid w:val="00243360"/>
    <w:rsid w:val="00243367"/>
    <w:rsid w:val="0024338C"/>
    <w:rsid w:val="00243417"/>
    <w:rsid w:val="00243491"/>
    <w:rsid w:val="00243500"/>
    <w:rsid w:val="00243565"/>
    <w:rsid w:val="00243582"/>
    <w:rsid w:val="00243616"/>
    <w:rsid w:val="00243692"/>
    <w:rsid w:val="002436F8"/>
    <w:rsid w:val="002437F0"/>
    <w:rsid w:val="00243895"/>
    <w:rsid w:val="002438B3"/>
    <w:rsid w:val="002438EB"/>
    <w:rsid w:val="002438F6"/>
    <w:rsid w:val="00243924"/>
    <w:rsid w:val="00243931"/>
    <w:rsid w:val="00243952"/>
    <w:rsid w:val="00243978"/>
    <w:rsid w:val="0024399C"/>
    <w:rsid w:val="00243A04"/>
    <w:rsid w:val="00243A27"/>
    <w:rsid w:val="00243A50"/>
    <w:rsid w:val="00243A81"/>
    <w:rsid w:val="00243A94"/>
    <w:rsid w:val="00243B40"/>
    <w:rsid w:val="00243BF0"/>
    <w:rsid w:val="00243CCD"/>
    <w:rsid w:val="00243D20"/>
    <w:rsid w:val="00243E15"/>
    <w:rsid w:val="00243E17"/>
    <w:rsid w:val="00243E20"/>
    <w:rsid w:val="00243E56"/>
    <w:rsid w:val="00243EA7"/>
    <w:rsid w:val="00243EF0"/>
    <w:rsid w:val="00243F3F"/>
    <w:rsid w:val="00243F97"/>
    <w:rsid w:val="00243FDE"/>
    <w:rsid w:val="00243FF0"/>
    <w:rsid w:val="002440B0"/>
    <w:rsid w:val="002440BE"/>
    <w:rsid w:val="002440D6"/>
    <w:rsid w:val="002440D8"/>
    <w:rsid w:val="00244183"/>
    <w:rsid w:val="00244197"/>
    <w:rsid w:val="002441A2"/>
    <w:rsid w:val="002441D1"/>
    <w:rsid w:val="00244219"/>
    <w:rsid w:val="00244298"/>
    <w:rsid w:val="0024429E"/>
    <w:rsid w:val="002442B7"/>
    <w:rsid w:val="00244309"/>
    <w:rsid w:val="00244366"/>
    <w:rsid w:val="0024438E"/>
    <w:rsid w:val="002443BB"/>
    <w:rsid w:val="002443C2"/>
    <w:rsid w:val="00244409"/>
    <w:rsid w:val="0024444E"/>
    <w:rsid w:val="00244466"/>
    <w:rsid w:val="00244484"/>
    <w:rsid w:val="002444B0"/>
    <w:rsid w:val="002444BF"/>
    <w:rsid w:val="002444F5"/>
    <w:rsid w:val="00244546"/>
    <w:rsid w:val="00244556"/>
    <w:rsid w:val="00244563"/>
    <w:rsid w:val="0024456B"/>
    <w:rsid w:val="00244577"/>
    <w:rsid w:val="002445F2"/>
    <w:rsid w:val="002446E3"/>
    <w:rsid w:val="00244704"/>
    <w:rsid w:val="00244777"/>
    <w:rsid w:val="00244798"/>
    <w:rsid w:val="002447C1"/>
    <w:rsid w:val="00244823"/>
    <w:rsid w:val="0024483E"/>
    <w:rsid w:val="00244853"/>
    <w:rsid w:val="00244872"/>
    <w:rsid w:val="00244898"/>
    <w:rsid w:val="002448B7"/>
    <w:rsid w:val="00244920"/>
    <w:rsid w:val="0024492B"/>
    <w:rsid w:val="00244945"/>
    <w:rsid w:val="00244952"/>
    <w:rsid w:val="002449BA"/>
    <w:rsid w:val="00244A7E"/>
    <w:rsid w:val="00244AA6"/>
    <w:rsid w:val="00244B05"/>
    <w:rsid w:val="00244B50"/>
    <w:rsid w:val="00244B60"/>
    <w:rsid w:val="00244BB0"/>
    <w:rsid w:val="00244BBF"/>
    <w:rsid w:val="00244D96"/>
    <w:rsid w:val="00244DEC"/>
    <w:rsid w:val="00244DF4"/>
    <w:rsid w:val="00244E0C"/>
    <w:rsid w:val="00244EA1"/>
    <w:rsid w:val="00244F43"/>
    <w:rsid w:val="00244FBA"/>
    <w:rsid w:val="0024500B"/>
    <w:rsid w:val="00245037"/>
    <w:rsid w:val="0024507B"/>
    <w:rsid w:val="002450FB"/>
    <w:rsid w:val="0024517D"/>
    <w:rsid w:val="00245190"/>
    <w:rsid w:val="002451E3"/>
    <w:rsid w:val="0024525A"/>
    <w:rsid w:val="002452AE"/>
    <w:rsid w:val="00245323"/>
    <w:rsid w:val="0024532A"/>
    <w:rsid w:val="00245340"/>
    <w:rsid w:val="00245379"/>
    <w:rsid w:val="002453FE"/>
    <w:rsid w:val="0024546A"/>
    <w:rsid w:val="002454C0"/>
    <w:rsid w:val="002454F6"/>
    <w:rsid w:val="0024550B"/>
    <w:rsid w:val="00245607"/>
    <w:rsid w:val="00245621"/>
    <w:rsid w:val="0024562E"/>
    <w:rsid w:val="00245683"/>
    <w:rsid w:val="002456BE"/>
    <w:rsid w:val="002456F0"/>
    <w:rsid w:val="002458D0"/>
    <w:rsid w:val="00245939"/>
    <w:rsid w:val="0024593B"/>
    <w:rsid w:val="0024593F"/>
    <w:rsid w:val="002459DC"/>
    <w:rsid w:val="002459F8"/>
    <w:rsid w:val="00245A21"/>
    <w:rsid w:val="00245A2A"/>
    <w:rsid w:val="00245A33"/>
    <w:rsid w:val="00245A34"/>
    <w:rsid w:val="00245A72"/>
    <w:rsid w:val="00245AA2"/>
    <w:rsid w:val="00245AFD"/>
    <w:rsid w:val="00245B04"/>
    <w:rsid w:val="00245B15"/>
    <w:rsid w:val="00245B25"/>
    <w:rsid w:val="00245B2A"/>
    <w:rsid w:val="00245BC4"/>
    <w:rsid w:val="00245C5A"/>
    <w:rsid w:val="00245C5E"/>
    <w:rsid w:val="00245C7D"/>
    <w:rsid w:val="00245CBD"/>
    <w:rsid w:val="00245CD7"/>
    <w:rsid w:val="00245D25"/>
    <w:rsid w:val="00245D9C"/>
    <w:rsid w:val="00245DA7"/>
    <w:rsid w:val="00245DAE"/>
    <w:rsid w:val="00245E0A"/>
    <w:rsid w:val="00245E33"/>
    <w:rsid w:val="00245E3B"/>
    <w:rsid w:val="00245E3C"/>
    <w:rsid w:val="00245E4B"/>
    <w:rsid w:val="00245EB7"/>
    <w:rsid w:val="00245F45"/>
    <w:rsid w:val="00245F63"/>
    <w:rsid w:val="00245F8A"/>
    <w:rsid w:val="00245FDB"/>
    <w:rsid w:val="00245FDD"/>
    <w:rsid w:val="002460B3"/>
    <w:rsid w:val="0024610C"/>
    <w:rsid w:val="0024619C"/>
    <w:rsid w:val="00246215"/>
    <w:rsid w:val="002462A7"/>
    <w:rsid w:val="002462B4"/>
    <w:rsid w:val="002462C7"/>
    <w:rsid w:val="00246356"/>
    <w:rsid w:val="00246376"/>
    <w:rsid w:val="0024637C"/>
    <w:rsid w:val="002463B4"/>
    <w:rsid w:val="002463EB"/>
    <w:rsid w:val="00246449"/>
    <w:rsid w:val="00246484"/>
    <w:rsid w:val="002464D8"/>
    <w:rsid w:val="002464FC"/>
    <w:rsid w:val="00246543"/>
    <w:rsid w:val="002465E5"/>
    <w:rsid w:val="00246796"/>
    <w:rsid w:val="00246830"/>
    <w:rsid w:val="002468B6"/>
    <w:rsid w:val="002468CC"/>
    <w:rsid w:val="00246928"/>
    <w:rsid w:val="00246934"/>
    <w:rsid w:val="0024693E"/>
    <w:rsid w:val="0024695B"/>
    <w:rsid w:val="00246963"/>
    <w:rsid w:val="00246988"/>
    <w:rsid w:val="002469EE"/>
    <w:rsid w:val="00246ABD"/>
    <w:rsid w:val="00246AD7"/>
    <w:rsid w:val="00246AE2"/>
    <w:rsid w:val="00246AF5"/>
    <w:rsid w:val="00246B17"/>
    <w:rsid w:val="00246B5C"/>
    <w:rsid w:val="00246B7C"/>
    <w:rsid w:val="00246BC5"/>
    <w:rsid w:val="00246C2F"/>
    <w:rsid w:val="00246C69"/>
    <w:rsid w:val="00246C6C"/>
    <w:rsid w:val="00246CEA"/>
    <w:rsid w:val="00246D38"/>
    <w:rsid w:val="00246DA4"/>
    <w:rsid w:val="00246DB2"/>
    <w:rsid w:val="00246DE4"/>
    <w:rsid w:val="00246E0E"/>
    <w:rsid w:val="00246ED7"/>
    <w:rsid w:val="00246F89"/>
    <w:rsid w:val="00246F8E"/>
    <w:rsid w:val="00247126"/>
    <w:rsid w:val="00247197"/>
    <w:rsid w:val="002471AB"/>
    <w:rsid w:val="002471BA"/>
    <w:rsid w:val="002471E0"/>
    <w:rsid w:val="00247231"/>
    <w:rsid w:val="00247237"/>
    <w:rsid w:val="00247260"/>
    <w:rsid w:val="0024729B"/>
    <w:rsid w:val="002472A1"/>
    <w:rsid w:val="002472B2"/>
    <w:rsid w:val="0024730D"/>
    <w:rsid w:val="0024734D"/>
    <w:rsid w:val="00247377"/>
    <w:rsid w:val="002473D4"/>
    <w:rsid w:val="002474B8"/>
    <w:rsid w:val="002474C2"/>
    <w:rsid w:val="00247586"/>
    <w:rsid w:val="002475A5"/>
    <w:rsid w:val="0024763A"/>
    <w:rsid w:val="002476BB"/>
    <w:rsid w:val="002476D2"/>
    <w:rsid w:val="002476D9"/>
    <w:rsid w:val="002476F4"/>
    <w:rsid w:val="00247750"/>
    <w:rsid w:val="00247766"/>
    <w:rsid w:val="0024778E"/>
    <w:rsid w:val="0024784C"/>
    <w:rsid w:val="0024785B"/>
    <w:rsid w:val="0024787A"/>
    <w:rsid w:val="0024788D"/>
    <w:rsid w:val="00247956"/>
    <w:rsid w:val="00247962"/>
    <w:rsid w:val="002479C5"/>
    <w:rsid w:val="002479E0"/>
    <w:rsid w:val="002479E8"/>
    <w:rsid w:val="002479F4"/>
    <w:rsid w:val="00247A14"/>
    <w:rsid w:val="00247A1D"/>
    <w:rsid w:val="00247A46"/>
    <w:rsid w:val="00247A80"/>
    <w:rsid w:val="00247AB5"/>
    <w:rsid w:val="00247ABD"/>
    <w:rsid w:val="00247AD5"/>
    <w:rsid w:val="00247AFC"/>
    <w:rsid w:val="00247B02"/>
    <w:rsid w:val="00247B70"/>
    <w:rsid w:val="00247BF0"/>
    <w:rsid w:val="00247C07"/>
    <w:rsid w:val="00247C1F"/>
    <w:rsid w:val="00247C35"/>
    <w:rsid w:val="00247C67"/>
    <w:rsid w:val="00247CA0"/>
    <w:rsid w:val="00247D08"/>
    <w:rsid w:val="00247D32"/>
    <w:rsid w:val="00247D94"/>
    <w:rsid w:val="00247E22"/>
    <w:rsid w:val="00247EB4"/>
    <w:rsid w:val="00247EC1"/>
    <w:rsid w:val="00247EDE"/>
    <w:rsid w:val="00247F14"/>
    <w:rsid w:val="00247F4B"/>
    <w:rsid w:val="00247F61"/>
    <w:rsid w:val="00247F73"/>
    <w:rsid w:val="00247FB4"/>
    <w:rsid w:val="0025000A"/>
    <w:rsid w:val="00250099"/>
    <w:rsid w:val="0025009E"/>
    <w:rsid w:val="00250169"/>
    <w:rsid w:val="0025016C"/>
    <w:rsid w:val="002501A1"/>
    <w:rsid w:val="002501A9"/>
    <w:rsid w:val="002501B4"/>
    <w:rsid w:val="00250230"/>
    <w:rsid w:val="00250243"/>
    <w:rsid w:val="0025024D"/>
    <w:rsid w:val="0025024E"/>
    <w:rsid w:val="0025032A"/>
    <w:rsid w:val="00250363"/>
    <w:rsid w:val="00250368"/>
    <w:rsid w:val="0025036B"/>
    <w:rsid w:val="002503D9"/>
    <w:rsid w:val="00250445"/>
    <w:rsid w:val="00250469"/>
    <w:rsid w:val="002504B7"/>
    <w:rsid w:val="0025050D"/>
    <w:rsid w:val="00250510"/>
    <w:rsid w:val="00250577"/>
    <w:rsid w:val="002505A2"/>
    <w:rsid w:val="00250609"/>
    <w:rsid w:val="0025062E"/>
    <w:rsid w:val="00250642"/>
    <w:rsid w:val="0025066B"/>
    <w:rsid w:val="002506EE"/>
    <w:rsid w:val="00250774"/>
    <w:rsid w:val="002507DC"/>
    <w:rsid w:val="002507F5"/>
    <w:rsid w:val="002508B1"/>
    <w:rsid w:val="002508ED"/>
    <w:rsid w:val="00250922"/>
    <w:rsid w:val="0025092F"/>
    <w:rsid w:val="002509B8"/>
    <w:rsid w:val="002509D2"/>
    <w:rsid w:val="00250A1B"/>
    <w:rsid w:val="00250A49"/>
    <w:rsid w:val="00250A59"/>
    <w:rsid w:val="00250ADD"/>
    <w:rsid w:val="00250AF5"/>
    <w:rsid w:val="00250B1C"/>
    <w:rsid w:val="00250B21"/>
    <w:rsid w:val="00250B46"/>
    <w:rsid w:val="00250B54"/>
    <w:rsid w:val="00250BB3"/>
    <w:rsid w:val="00250BC1"/>
    <w:rsid w:val="00250CF3"/>
    <w:rsid w:val="00250D23"/>
    <w:rsid w:val="00250D69"/>
    <w:rsid w:val="00250DF4"/>
    <w:rsid w:val="00250E85"/>
    <w:rsid w:val="00250E8C"/>
    <w:rsid w:val="00250E97"/>
    <w:rsid w:val="00250EBE"/>
    <w:rsid w:val="00250F15"/>
    <w:rsid w:val="00250F5C"/>
    <w:rsid w:val="00250FE5"/>
    <w:rsid w:val="00250FF1"/>
    <w:rsid w:val="00250FFB"/>
    <w:rsid w:val="00251000"/>
    <w:rsid w:val="0025103A"/>
    <w:rsid w:val="0025106C"/>
    <w:rsid w:val="002510A2"/>
    <w:rsid w:val="0025111B"/>
    <w:rsid w:val="00251136"/>
    <w:rsid w:val="00251140"/>
    <w:rsid w:val="0025114B"/>
    <w:rsid w:val="00251153"/>
    <w:rsid w:val="002511AD"/>
    <w:rsid w:val="0025121E"/>
    <w:rsid w:val="002512AC"/>
    <w:rsid w:val="00251352"/>
    <w:rsid w:val="002513B7"/>
    <w:rsid w:val="002513F5"/>
    <w:rsid w:val="00251416"/>
    <w:rsid w:val="0025149A"/>
    <w:rsid w:val="002514CB"/>
    <w:rsid w:val="002514E0"/>
    <w:rsid w:val="00251588"/>
    <w:rsid w:val="002515EA"/>
    <w:rsid w:val="0025175F"/>
    <w:rsid w:val="002517DD"/>
    <w:rsid w:val="002517F6"/>
    <w:rsid w:val="0025183C"/>
    <w:rsid w:val="00251870"/>
    <w:rsid w:val="002518C9"/>
    <w:rsid w:val="002518CA"/>
    <w:rsid w:val="00251919"/>
    <w:rsid w:val="00251967"/>
    <w:rsid w:val="00251993"/>
    <w:rsid w:val="00251998"/>
    <w:rsid w:val="002519E8"/>
    <w:rsid w:val="00251A32"/>
    <w:rsid w:val="00251A75"/>
    <w:rsid w:val="00251A86"/>
    <w:rsid w:val="00251A8A"/>
    <w:rsid w:val="00251AF3"/>
    <w:rsid w:val="00251B21"/>
    <w:rsid w:val="00251B77"/>
    <w:rsid w:val="00251B87"/>
    <w:rsid w:val="00251BE7"/>
    <w:rsid w:val="00251BEA"/>
    <w:rsid w:val="00251BEF"/>
    <w:rsid w:val="00251C09"/>
    <w:rsid w:val="00251C1D"/>
    <w:rsid w:val="00251CA0"/>
    <w:rsid w:val="00251CE4"/>
    <w:rsid w:val="00251CFE"/>
    <w:rsid w:val="00251CFF"/>
    <w:rsid w:val="00251D26"/>
    <w:rsid w:val="00251D46"/>
    <w:rsid w:val="00251D62"/>
    <w:rsid w:val="00251D94"/>
    <w:rsid w:val="00251DF2"/>
    <w:rsid w:val="00251E4B"/>
    <w:rsid w:val="00251EE4"/>
    <w:rsid w:val="00251F85"/>
    <w:rsid w:val="00251FA4"/>
    <w:rsid w:val="00251FC7"/>
    <w:rsid w:val="00251FE8"/>
    <w:rsid w:val="00252006"/>
    <w:rsid w:val="00252015"/>
    <w:rsid w:val="0025203B"/>
    <w:rsid w:val="0025206A"/>
    <w:rsid w:val="00252101"/>
    <w:rsid w:val="0025216B"/>
    <w:rsid w:val="002521D7"/>
    <w:rsid w:val="002521DA"/>
    <w:rsid w:val="002521F3"/>
    <w:rsid w:val="00252203"/>
    <w:rsid w:val="00252253"/>
    <w:rsid w:val="0025226A"/>
    <w:rsid w:val="0025229E"/>
    <w:rsid w:val="002522AE"/>
    <w:rsid w:val="002522BB"/>
    <w:rsid w:val="002522CD"/>
    <w:rsid w:val="002522FF"/>
    <w:rsid w:val="0025232B"/>
    <w:rsid w:val="0025233F"/>
    <w:rsid w:val="0025234F"/>
    <w:rsid w:val="0025236D"/>
    <w:rsid w:val="002523F4"/>
    <w:rsid w:val="00252404"/>
    <w:rsid w:val="00252452"/>
    <w:rsid w:val="00252471"/>
    <w:rsid w:val="00252478"/>
    <w:rsid w:val="002524F4"/>
    <w:rsid w:val="00252501"/>
    <w:rsid w:val="00252523"/>
    <w:rsid w:val="0025252E"/>
    <w:rsid w:val="00252539"/>
    <w:rsid w:val="002525B5"/>
    <w:rsid w:val="002525B8"/>
    <w:rsid w:val="00252630"/>
    <w:rsid w:val="002526B7"/>
    <w:rsid w:val="002526D5"/>
    <w:rsid w:val="002526F5"/>
    <w:rsid w:val="00252714"/>
    <w:rsid w:val="00252723"/>
    <w:rsid w:val="00252733"/>
    <w:rsid w:val="00252740"/>
    <w:rsid w:val="00252756"/>
    <w:rsid w:val="00252769"/>
    <w:rsid w:val="0025278E"/>
    <w:rsid w:val="002527F6"/>
    <w:rsid w:val="002527FD"/>
    <w:rsid w:val="002528B5"/>
    <w:rsid w:val="00252906"/>
    <w:rsid w:val="00252955"/>
    <w:rsid w:val="00252A7A"/>
    <w:rsid w:val="00252AA4"/>
    <w:rsid w:val="00252AF9"/>
    <w:rsid w:val="00252B14"/>
    <w:rsid w:val="00252B26"/>
    <w:rsid w:val="00252B2E"/>
    <w:rsid w:val="00252B31"/>
    <w:rsid w:val="00252B56"/>
    <w:rsid w:val="00252BB7"/>
    <w:rsid w:val="00252BF2"/>
    <w:rsid w:val="00252C78"/>
    <w:rsid w:val="00252CA7"/>
    <w:rsid w:val="00252CCD"/>
    <w:rsid w:val="00252CF1"/>
    <w:rsid w:val="00252CF7"/>
    <w:rsid w:val="00252DAA"/>
    <w:rsid w:val="00252DC3"/>
    <w:rsid w:val="00252E3F"/>
    <w:rsid w:val="00252E89"/>
    <w:rsid w:val="00252ECB"/>
    <w:rsid w:val="00252EEE"/>
    <w:rsid w:val="00252F0B"/>
    <w:rsid w:val="00252F2E"/>
    <w:rsid w:val="00252F35"/>
    <w:rsid w:val="00252F40"/>
    <w:rsid w:val="00252F7E"/>
    <w:rsid w:val="00252F92"/>
    <w:rsid w:val="00252FE3"/>
    <w:rsid w:val="00253002"/>
    <w:rsid w:val="0025301A"/>
    <w:rsid w:val="0025303E"/>
    <w:rsid w:val="00253040"/>
    <w:rsid w:val="0025304E"/>
    <w:rsid w:val="002530DD"/>
    <w:rsid w:val="00253156"/>
    <w:rsid w:val="00253172"/>
    <w:rsid w:val="0025317B"/>
    <w:rsid w:val="0025323E"/>
    <w:rsid w:val="00253285"/>
    <w:rsid w:val="002532A9"/>
    <w:rsid w:val="002532C8"/>
    <w:rsid w:val="0025334E"/>
    <w:rsid w:val="002533EB"/>
    <w:rsid w:val="00253465"/>
    <w:rsid w:val="002534DD"/>
    <w:rsid w:val="002534E0"/>
    <w:rsid w:val="0025352E"/>
    <w:rsid w:val="00253569"/>
    <w:rsid w:val="0025356B"/>
    <w:rsid w:val="002535A5"/>
    <w:rsid w:val="002535AD"/>
    <w:rsid w:val="002535B4"/>
    <w:rsid w:val="002535D2"/>
    <w:rsid w:val="002535EF"/>
    <w:rsid w:val="00253634"/>
    <w:rsid w:val="00253651"/>
    <w:rsid w:val="00253682"/>
    <w:rsid w:val="00253697"/>
    <w:rsid w:val="0025370F"/>
    <w:rsid w:val="00253764"/>
    <w:rsid w:val="00253765"/>
    <w:rsid w:val="002537BA"/>
    <w:rsid w:val="002537D5"/>
    <w:rsid w:val="0025383F"/>
    <w:rsid w:val="002538A0"/>
    <w:rsid w:val="002538AD"/>
    <w:rsid w:val="002538BF"/>
    <w:rsid w:val="002538CA"/>
    <w:rsid w:val="002538DB"/>
    <w:rsid w:val="0025390A"/>
    <w:rsid w:val="00253984"/>
    <w:rsid w:val="002539B0"/>
    <w:rsid w:val="002539D4"/>
    <w:rsid w:val="00253A1A"/>
    <w:rsid w:val="00253B63"/>
    <w:rsid w:val="00253BAE"/>
    <w:rsid w:val="00253BD6"/>
    <w:rsid w:val="00253C4C"/>
    <w:rsid w:val="00253D10"/>
    <w:rsid w:val="00253D78"/>
    <w:rsid w:val="00253DC0"/>
    <w:rsid w:val="00253E29"/>
    <w:rsid w:val="00253E2C"/>
    <w:rsid w:val="00253F20"/>
    <w:rsid w:val="00253FAB"/>
    <w:rsid w:val="00253FD9"/>
    <w:rsid w:val="00254001"/>
    <w:rsid w:val="0025405B"/>
    <w:rsid w:val="002540A8"/>
    <w:rsid w:val="002540AE"/>
    <w:rsid w:val="00254113"/>
    <w:rsid w:val="00254114"/>
    <w:rsid w:val="00254119"/>
    <w:rsid w:val="00254187"/>
    <w:rsid w:val="002541A9"/>
    <w:rsid w:val="00254332"/>
    <w:rsid w:val="00254348"/>
    <w:rsid w:val="0025434F"/>
    <w:rsid w:val="0025442A"/>
    <w:rsid w:val="00254443"/>
    <w:rsid w:val="00254470"/>
    <w:rsid w:val="002544D0"/>
    <w:rsid w:val="002544F7"/>
    <w:rsid w:val="002544FA"/>
    <w:rsid w:val="002544FE"/>
    <w:rsid w:val="0025450B"/>
    <w:rsid w:val="00254562"/>
    <w:rsid w:val="002545B3"/>
    <w:rsid w:val="002545E4"/>
    <w:rsid w:val="00254627"/>
    <w:rsid w:val="00254683"/>
    <w:rsid w:val="002546DD"/>
    <w:rsid w:val="002546F4"/>
    <w:rsid w:val="002546FC"/>
    <w:rsid w:val="0025473B"/>
    <w:rsid w:val="002548C7"/>
    <w:rsid w:val="002548FA"/>
    <w:rsid w:val="002548FF"/>
    <w:rsid w:val="0025490E"/>
    <w:rsid w:val="00254967"/>
    <w:rsid w:val="00254970"/>
    <w:rsid w:val="00254984"/>
    <w:rsid w:val="002549E0"/>
    <w:rsid w:val="00254A52"/>
    <w:rsid w:val="00254A98"/>
    <w:rsid w:val="00254AB3"/>
    <w:rsid w:val="00254AE0"/>
    <w:rsid w:val="00254AEA"/>
    <w:rsid w:val="00254AF3"/>
    <w:rsid w:val="00254B25"/>
    <w:rsid w:val="00254BC8"/>
    <w:rsid w:val="00254BDA"/>
    <w:rsid w:val="00254C4B"/>
    <w:rsid w:val="00254D1B"/>
    <w:rsid w:val="00254DC1"/>
    <w:rsid w:val="00254DEC"/>
    <w:rsid w:val="00254E18"/>
    <w:rsid w:val="00254E38"/>
    <w:rsid w:val="00254E48"/>
    <w:rsid w:val="00254E73"/>
    <w:rsid w:val="00254EAF"/>
    <w:rsid w:val="00254EB0"/>
    <w:rsid w:val="00254F07"/>
    <w:rsid w:val="00254F7C"/>
    <w:rsid w:val="00255006"/>
    <w:rsid w:val="00255021"/>
    <w:rsid w:val="00255025"/>
    <w:rsid w:val="0025505A"/>
    <w:rsid w:val="0025505C"/>
    <w:rsid w:val="00255065"/>
    <w:rsid w:val="002550F3"/>
    <w:rsid w:val="00255126"/>
    <w:rsid w:val="0025526A"/>
    <w:rsid w:val="0025526F"/>
    <w:rsid w:val="00255292"/>
    <w:rsid w:val="002552F7"/>
    <w:rsid w:val="002552FD"/>
    <w:rsid w:val="00255303"/>
    <w:rsid w:val="00255311"/>
    <w:rsid w:val="00255356"/>
    <w:rsid w:val="0025535C"/>
    <w:rsid w:val="002553F5"/>
    <w:rsid w:val="00255403"/>
    <w:rsid w:val="00255424"/>
    <w:rsid w:val="0025543F"/>
    <w:rsid w:val="002554E0"/>
    <w:rsid w:val="002554F3"/>
    <w:rsid w:val="00255599"/>
    <w:rsid w:val="0025559B"/>
    <w:rsid w:val="00255631"/>
    <w:rsid w:val="0025563D"/>
    <w:rsid w:val="00255659"/>
    <w:rsid w:val="0025567A"/>
    <w:rsid w:val="00255690"/>
    <w:rsid w:val="002556F0"/>
    <w:rsid w:val="00255729"/>
    <w:rsid w:val="00255744"/>
    <w:rsid w:val="00255757"/>
    <w:rsid w:val="0025576A"/>
    <w:rsid w:val="002557EB"/>
    <w:rsid w:val="002557F2"/>
    <w:rsid w:val="00255829"/>
    <w:rsid w:val="00255840"/>
    <w:rsid w:val="0025588D"/>
    <w:rsid w:val="00255894"/>
    <w:rsid w:val="002558A4"/>
    <w:rsid w:val="002558DC"/>
    <w:rsid w:val="002558E8"/>
    <w:rsid w:val="002558EA"/>
    <w:rsid w:val="002558FA"/>
    <w:rsid w:val="00255917"/>
    <w:rsid w:val="0025593B"/>
    <w:rsid w:val="00255942"/>
    <w:rsid w:val="0025594F"/>
    <w:rsid w:val="00255951"/>
    <w:rsid w:val="00255971"/>
    <w:rsid w:val="0025598D"/>
    <w:rsid w:val="002559BD"/>
    <w:rsid w:val="002559C9"/>
    <w:rsid w:val="002559EE"/>
    <w:rsid w:val="002559FB"/>
    <w:rsid w:val="00255A06"/>
    <w:rsid w:val="00255B74"/>
    <w:rsid w:val="00255BA8"/>
    <w:rsid w:val="00255C17"/>
    <w:rsid w:val="00255C3F"/>
    <w:rsid w:val="00255CC8"/>
    <w:rsid w:val="00255D27"/>
    <w:rsid w:val="00255DA5"/>
    <w:rsid w:val="00255DC8"/>
    <w:rsid w:val="00255E0F"/>
    <w:rsid w:val="00255E31"/>
    <w:rsid w:val="00255E46"/>
    <w:rsid w:val="00255F3A"/>
    <w:rsid w:val="00255F60"/>
    <w:rsid w:val="00255F74"/>
    <w:rsid w:val="00255F9B"/>
    <w:rsid w:val="00255FF0"/>
    <w:rsid w:val="0025600E"/>
    <w:rsid w:val="00256144"/>
    <w:rsid w:val="0025617E"/>
    <w:rsid w:val="00256184"/>
    <w:rsid w:val="002561DE"/>
    <w:rsid w:val="00256256"/>
    <w:rsid w:val="0025627A"/>
    <w:rsid w:val="002562BF"/>
    <w:rsid w:val="002562C1"/>
    <w:rsid w:val="002562C5"/>
    <w:rsid w:val="00256321"/>
    <w:rsid w:val="00256383"/>
    <w:rsid w:val="0025638E"/>
    <w:rsid w:val="00256411"/>
    <w:rsid w:val="00256416"/>
    <w:rsid w:val="00256449"/>
    <w:rsid w:val="002564B3"/>
    <w:rsid w:val="002564F8"/>
    <w:rsid w:val="0025650F"/>
    <w:rsid w:val="00256596"/>
    <w:rsid w:val="002565AE"/>
    <w:rsid w:val="002565E4"/>
    <w:rsid w:val="0025669F"/>
    <w:rsid w:val="002566A7"/>
    <w:rsid w:val="002566DF"/>
    <w:rsid w:val="0025670D"/>
    <w:rsid w:val="00256751"/>
    <w:rsid w:val="002567A6"/>
    <w:rsid w:val="002567D1"/>
    <w:rsid w:val="00256815"/>
    <w:rsid w:val="00256849"/>
    <w:rsid w:val="0025689E"/>
    <w:rsid w:val="002568AE"/>
    <w:rsid w:val="002568D1"/>
    <w:rsid w:val="002568DF"/>
    <w:rsid w:val="0025699D"/>
    <w:rsid w:val="002569DB"/>
    <w:rsid w:val="00256A0A"/>
    <w:rsid w:val="00256A11"/>
    <w:rsid w:val="00256A24"/>
    <w:rsid w:val="00256A6D"/>
    <w:rsid w:val="00256AB5"/>
    <w:rsid w:val="00256B13"/>
    <w:rsid w:val="00256B37"/>
    <w:rsid w:val="00256BA6"/>
    <w:rsid w:val="00256C57"/>
    <w:rsid w:val="00256C8A"/>
    <w:rsid w:val="00256CEF"/>
    <w:rsid w:val="00256D13"/>
    <w:rsid w:val="00256D79"/>
    <w:rsid w:val="00256D80"/>
    <w:rsid w:val="00256D8A"/>
    <w:rsid w:val="00256DA1"/>
    <w:rsid w:val="00256DCE"/>
    <w:rsid w:val="00256EA6"/>
    <w:rsid w:val="00256EDD"/>
    <w:rsid w:val="00256EF3"/>
    <w:rsid w:val="00256F00"/>
    <w:rsid w:val="00256F60"/>
    <w:rsid w:val="00256FCD"/>
    <w:rsid w:val="00256FFE"/>
    <w:rsid w:val="00257017"/>
    <w:rsid w:val="0025702A"/>
    <w:rsid w:val="0025708E"/>
    <w:rsid w:val="00257095"/>
    <w:rsid w:val="002570A9"/>
    <w:rsid w:val="002570C5"/>
    <w:rsid w:val="002570D1"/>
    <w:rsid w:val="00257107"/>
    <w:rsid w:val="00257183"/>
    <w:rsid w:val="002571A6"/>
    <w:rsid w:val="002571B1"/>
    <w:rsid w:val="00257201"/>
    <w:rsid w:val="00257215"/>
    <w:rsid w:val="00257287"/>
    <w:rsid w:val="002572D7"/>
    <w:rsid w:val="002572F2"/>
    <w:rsid w:val="0025735B"/>
    <w:rsid w:val="0025738A"/>
    <w:rsid w:val="002573A7"/>
    <w:rsid w:val="00257410"/>
    <w:rsid w:val="00257459"/>
    <w:rsid w:val="00257499"/>
    <w:rsid w:val="002574BD"/>
    <w:rsid w:val="002574D0"/>
    <w:rsid w:val="00257510"/>
    <w:rsid w:val="00257523"/>
    <w:rsid w:val="0025753D"/>
    <w:rsid w:val="0025757D"/>
    <w:rsid w:val="00257592"/>
    <w:rsid w:val="0025768B"/>
    <w:rsid w:val="002576F2"/>
    <w:rsid w:val="002577E8"/>
    <w:rsid w:val="0025782C"/>
    <w:rsid w:val="0025783E"/>
    <w:rsid w:val="002578FA"/>
    <w:rsid w:val="0025790B"/>
    <w:rsid w:val="00257912"/>
    <w:rsid w:val="0025791B"/>
    <w:rsid w:val="00257941"/>
    <w:rsid w:val="0025795A"/>
    <w:rsid w:val="002579B8"/>
    <w:rsid w:val="002579BB"/>
    <w:rsid w:val="002579F6"/>
    <w:rsid w:val="00257A0B"/>
    <w:rsid w:val="00257AA0"/>
    <w:rsid w:val="00257AA2"/>
    <w:rsid w:val="00257B2C"/>
    <w:rsid w:val="00257B3F"/>
    <w:rsid w:val="00257B93"/>
    <w:rsid w:val="00257BBF"/>
    <w:rsid w:val="00257BF1"/>
    <w:rsid w:val="00257C2B"/>
    <w:rsid w:val="00257CC0"/>
    <w:rsid w:val="00257CFF"/>
    <w:rsid w:val="00257D42"/>
    <w:rsid w:val="00257D54"/>
    <w:rsid w:val="00257E1A"/>
    <w:rsid w:val="00257E23"/>
    <w:rsid w:val="00257E34"/>
    <w:rsid w:val="00257EA4"/>
    <w:rsid w:val="00257EA9"/>
    <w:rsid w:val="00257EBB"/>
    <w:rsid w:val="00257EDC"/>
    <w:rsid w:val="00257F28"/>
    <w:rsid w:val="00257F6A"/>
    <w:rsid w:val="00257F75"/>
    <w:rsid w:val="00257FFA"/>
    <w:rsid w:val="0025CB8E"/>
    <w:rsid w:val="00260023"/>
    <w:rsid w:val="00260072"/>
    <w:rsid w:val="002600F9"/>
    <w:rsid w:val="00260128"/>
    <w:rsid w:val="0026015F"/>
    <w:rsid w:val="00260197"/>
    <w:rsid w:val="002601AE"/>
    <w:rsid w:val="002601C7"/>
    <w:rsid w:val="002601FC"/>
    <w:rsid w:val="0026024A"/>
    <w:rsid w:val="00260252"/>
    <w:rsid w:val="00260365"/>
    <w:rsid w:val="0026039A"/>
    <w:rsid w:val="002603E4"/>
    <w:rsid w:val="00260417"/>
    <w:rsid w:val="0026047B"/>
    <w:rsid w:val="002604BD"/>
    <w:rsid w:val="0026053D"/>
    <w:rsid w:val="00260542"/>
    <w:rsid w:val="00260582"/>
    <w:rsid w:val="00260583"/>
    <w:rsid w:val="002605A0"/>
    <w:rsid w:val="00260604"/>
    <w:rsid w:val="00260612"/>
    <w:rsid w:val="0026062C"/>
    <w:rsid w:val="00260631"/>
    <w:rsid w:val="00260645"/>
    <w:rsid w:val="00260687"/>
    <w:rsid w:val="002606A1"/>
    <w:rsid w:val="002606B2"/>
    <w:rsid w:val="002606D3"/>
    <w:rsid w:val="002606ED"/>
    <w:rsid w:val="00260740"/>
    <w:rsid w:val="002607BE"/>
    <w:rsid w:val="00260810"/>
    <w:rsid w:val="00260822"/>
    <w:rsid w:val="0026087A"/>
    <w:rsid w:val="002608DB"/>
    <w:rsid w:val="00260958"/>
    <w:rsid w:val="00260969"/>
    <w:rsid w:val="002609AF"/>
    <w:rsid w:val="002609B4"/>
    <w:rsid w:val="002609D4"/>
    <w:rsid w:val="002609EE"/>
    <w:rsid w:val="002609F2"/>
    <w:rsid w:val="00260AD3"/>
    <w:rsid w:val="00260AE8"/>
    <w:rsid w:val="00260B14"/>
    <w:rsid w:val="00260B54"/>
    <w:rsid w:val="00260BED"/>
    <w:rsid w:val="00260BF4"/>
    <w:rsid w:val="00260C38"/>
    <w:rsid w:val="00260C51"/>
    <w:rsid w:val="00260C70"/>
    <w:rsid w:val="00260C74"/>
    <w:rsid w:val="00260CA6"/>
    <w:rsid w:val="00260CD5"/>
    <w:rsid w:val="00260D1E"/>
    <w:rsid w:val="00260D4F"/>
    <w:rsid w:val="00260D5B"/>
    <w:rsid w:val="00260DA9"/>
    <w:rsid w:val="00260DB8"/>
    <w:rsid w:val="00260E47"/>
    <w:rsid w:val="00260E8C"/>
    <w:rsid w:val="00260E99"/>
    <w:rsid w:val="00260EC3"/>
    <w:rsid w:val="00260F03"/>
    <w:rsid w:val="00260F4B"/>
    <w:rsid w:val="00260F56"/>
    <w:rsid w:val="00260FA0"/>
    <w:rsid w:val="00260FE4"/>
    <w:rsid w:val="00260FEC"/>
    <w:rsid w:val="00261046"/>
    <w:rsid w:val="00261054"/>
    <w:rsid w:val="002610C3"/>
    <w:rsid w:val="002610D9"/>
    <w:rsid w:val="002611A4"/>
    <w:rsid w:val="002611AF"/>
    <w:rsid w:val="00261264"/>
    <w:rsid w:val="0026130C"/>
    <w:rsid w:val="002613AA"/>
    <w:rsid w:val="0026146A"/>
    <w:rsid w:val="00261483"/>
    <w:rsid w:val="00261494"/>
    <w:rsid w:val="00261495"/>
    <w:rsid w:val="002614CC"/>
    <w:rsid w:val="00261506"/>
    <w:rsid w:val="00261508"/>
    <w:rsid w:val="00261519"/>
    <w:rsid w:val="002615AD"/>
    <w:rsid w:val="002615BF"/>
    <w:rsid w:val="002615EF"/>
    <w:rsid w:val="0026162C"/>
    <w:rsid w:val="00261660"/>
    <w:rsid w:val="002616B3"/>
    <w:rsid w:val="002616D6"/>
    <w:rsid w:val="002616F3"/>
    <w:rsid w:val="00261705"/>
    <w:rsid w:val="0026174E"/>
    <w:rsid w:val="002617AE"/>
    <w:rsid w:val="002617B3"/>
    <w:rsid w:val="002617D3"/>
    <w:rsid w:val="00261816"/>
    <w:rsid w:val="00261843"/>
    <w:rsid w:val="0026189C"/>
    <w:rsid w:val="002618B1"/>
    <w:rsid w:val="002618B6"/>
    <w:rsid w:val="0026192F"/>
    <w:rsid w:val="002619B2"/>
    <w:rsid w:val="002619E2"/>
    <w:rsid w:val="00261A70"/>
    <w:rsid w:val="00261A92"/>
    <w:rsid w:val="00261AF3"/>
    <w:rsid w:val="00261B1B"/>
    <w:rsid w:val="00261B2D"/>
    <w:rsid w:val="00261B5C"/>
    <w:rsid w:val="00261C04"/>
    <w:rsid w:val="00261C3C"/>
    <w:rsid w:val="00261C65"/>
    <w:rsid w:val="00261CB1"/>
    <w:rsid w:val="00261D17"/>
    <w:rsid w:val="00261D92"/>
    <w:rsid w:val="00261DA4"/>
    <w:rsid w:val="00261DB7"/>
    <w:rsid w:val="00261DDF"/>
    <w:rsid w:val="00261E08"/>
    <w:rsid w:val="00261E9E"/>
    <w:rsid w:val="00261EA7"/>
    <w:rsid w:val="00261FAC"/>
    <w:rsid w:val="00261FAD"/>
    <w:rsid w:val="00261FE9"/>
    <w:rsid w:val="0026204D"/>
    <w:rsid w:val="00262074"/>
    <w:rsid w:val="002620C7"/>
    <w:rsid w:val="002620D0"/>
    <w:rsid w:val="002620F3"/>
    <w:rsid w:val="00262194"/>
    <w:rsid w:val="002621D3"/>
    <w:rsid w:val="0026221A"/>
    <w:rsid w:val="00262258"/>
    <w:rsid w:val="0026225B"/>
    <w:rsid w:val="0026225F"/>
    <w:rsid w:val="00262270"/>
    <w:rsid w:val="0026229F"/>
    <w:rsid w:val="002622F1"/>
    <w:rsid w:val="002622FF"/>
    <w:rsid w:val="0026235C"/>
    <w:rsid w:val="00262375"/>
    <w:rsid w:val="00262376"/>
    <w:rsid w:val="002623DC"/>
    <w:rsid w:val="002623E2"/>
    <w:rsid w:val="002623F2"/>
    <w:rsid w:val="002623F9"/>
    <w:rsid w:val="00262411"/>
    <w:rsid w:val="00262416"/>
    <w:rsid w:val="00262439"/>
    <w:rsid w:val="0026244C"/>
    <w:rsid w:val="0026245C"/>
    <w:rsid w:val="00262485"/>
    <w:rsid w:val="002624B8"/>
    <w:rsid w:val="00262501"/>
    <w:rsid w:val="00262535"/>
    <w:rsid w:val="00262556"/>
    <w:rsid w:val="00262571"/>
    <w:rsid w:val="002625C1"/>
    <w:rsid w:val="00262600"/>
    <w:rsid w:val="0026261E"/>
    <w:rsid w:val="00262659"/>
    <w:rsid w:val="002626B8"/>
    <w:rsid w:val="00262719"/>
    <w:rsid w:val="002627D7"/>
    <w:rsid w:val="002627EC"/>
    <w:rsid w:val="002627FC"/>
    <w:rsid w:val="0026281B"/>
    <w:rsid w:val="00262909"/>
    <w:rsid w:val="0026292D"/>
    <w:rsid w:val="00262968"/>
    <w:rsid w:val="00262ABD"/>
    <w:rsid w:val="00262B11"/>
    <w:rsid w:val="00262B8A"/>
    <w:rsid w:val="00262BD5"/>
    <w:rsid w:val="00262CEA"/>
    <w:rsid w:val="00262CED"/>
    <w:rsid w:val="00262D0E"/>
    <w:rsid w:val="00262D42"/>
    <w:rsid w:val="00262D6B"/>
    <w:rsid w:val="00262E05"/>
    <w:rsid w:val="00262E0D"/>
    <w:rsid w:val="00262E2B"/>
    <w:rsid w:val="00262EA5"/>
    <w:rsid w:val="00262F70"/>
    <w:rsid w:val="00262FAD"/>
    <w:rsid w:val="00262FCF"/>
    <w:rsid w:val="00263002"/>
    <w:rsid w:val="00263072"/>
    <w:rsid w:val="00263079"/>
    <w:rsid w:val="002630C3"/>
    <w:rsid w:val="0026311C"/>
    <w:rsid w:val="00263126"/>
    <w:rsid w:val="00263188"/>
    <w:rsid w:val="002631CC"/>
    <w:rsid w:val="002631E2"/>
    <w:rsid w:val="002632AB"/>
    <w:rsid w:val="00263307"/>
    <w:rsid w:val="00263341"/>
    <w:rsid w:val="00263349"/>
    <w:rsid w:val="00263396"/>
    <w:rsid w:val="002633DA"/>
    <w:rsid w:val="002633E3"/>
    <w:rsid w:val="00263402"/>
    <w:rsid w:val="00263443"/>
    <w:rsid w:val="00263499"/>
    <w:rsid w:val="002634CD"/>
    <w:rsid w:val="0026350B"/>
    <w:rsid w:val="00263566"/>
    <w:rsid w:val="00263577"/>
    <w:rsid w:val="0026361E"/>
    <w:rsid w:val="00263649"/>
    <w:rsid w:val="00263656"/>
    <w:rsid w:val="00263666"/>
    <w:rsid w:val="002636A6"/>
    <w:rsid w:val="002636C0"/>
    <w:rsid w:val="00263702"/>
    <w:rsid w:val="0026370B"/>
    <w:rsid w:val="0026371C"/>
    <w:rsid w:val="00263765"/>
    <w:rsid w:val="002637C2"/>
    <w:rsid w:val="002637E3"/>
    <w:rsid w:val="00263823"/>
    <w:rsid w:val="00263876"/>
    <w:rsid w:val="00263886"/>
    <w:rsid w:val="002638BA"/>
    <w:rsid w:val="00263903"/>
    <w:rsid w:val="00263906"/>
    <w:rsid w:val="0026391A"/>
    <w:rsid w:val="0026393E"/>
    <w:rsid w:val="002639A5"/>
    <w:rsid w:val="00263A09"/>
    <w:rsid w:val="00263A22"/>
    <w:rsid w:val="00263A27"/>
    <w:rsid w:val="00263A5F"/>
    <w:rsid w:val="00263A64"/>
    <w:rsid w:val="00263A75"/>
    <w:rsid w:val="00263AA3"/>
    <w:rsid w:val="00263ADE"/>
    <w:rsid w:val="00263ADF"/>
    <w:rsid w:val="00263B27"/>
    <w:rsid w:val="00263B53"/>
    <w:rsid w:val="00263B57"/>
    <w:rsid w:val="00263BDC"/>
    <w:rsid w:val="00263BF8"/>
    <w:rsid w:val="00263C0A"/>
    <w:rsid w:val="00263C3C"/>
    <w:rsid w:val="00263C75"/>
    <w:rsid w:val="00263CEC"/>
    <w:rsid w:val="00263D61"/>
    <w:rsid w:val="00263D73"/>
    <w:rsid w:val="00263D86"/>
    <w:rsid w:val="00263DA8"/>
    <w:rsid w:val="00263DB4"/>
    <w:rsid w:val="00263DCD"/>
    <w:rsid w:val="00263DF1"/>
    <w:rsid w:val="00263EE2"/>
    <w:rsid w:val="00263EEB"/>
    <w:rsid w:val="00263F4F"/>
    <w:rsid w:val="00263FAD"/>
    <w:rsid w:val="00263FB3"/>
    <w:rsid w:val="00264025"/>
    <w:rsid w:val="002640AD"/>
    <w:rsid w:val="002640AE"/>
    <w:rsid w:val="002640B6"/>
    <w:rsid w:val="002640D2"/>
    <w:rsid w:val="002640EB"/>
    <w:rsid w:val="002641A4"/>
    <w:rsid w:val="002641E7"/>
    <w:rsid w:val="0026423E"/>
    <w:rsid w:val="00264256"/>
    <w:rsid w:val="0026425A"/>
    <w:rsid w:val="00264282"/>
    <w:rsid w:val="00264296"/>
    <w:rsid w:val="00264341"/>
    <w:rsid w:val="0026437B"/>
    <w:rsid w:val="0026437D"/>
    <w:rsid w:val="00264393"/>
    <w:rsid w:val="002643A5"/>
    <w:rsid w:val="002643DD"/>
    <w:rsid w:val="00264454"/>
    <w:rsid w:val="00264500"/>
    <w:rsid w:val="00264579"/>
    <w:rsid w:val="002645C5"/>
    <w:rsid w:val="002645FC"/>
    <w:rsid w:val="0026461A"/>
    <w:rsid w:val="0026463D"/>
    <w:rsid w:val="0026464C"/>
    <w:rsid w:val="00264659"/>
    <w:rsid w:val="00264683"/>
    <w:rsid w:val="002646F7"/>
    <w:rsid w:val="00264701"/>
    <w:rsid w:val="002647B2"/>
    <w:rsid w:val="00264829"/>
    <w:rsid w:val="00264836"/>
    <w:rsid w:val="00264874"/>
    <w:rsid w:val="00264888"/>
    <w:rsid w:val="002648AB"/>
    <w:rsid w:val="002648EC"/>
    <w:rsid w:val="00264995"/>
    <w:rsid w:val="00264A01"/>
    <w:rsid w:val="00264A2D"/>
    <w:rsid w:val="00264A2E"/>
    <w:rsid w:val="00264A58"/>
    <w:rsid w:val="00264A60"/>
    <w:rsid w:val="00264A82"/>
    <w:rsid w:val="00264AA3"/>
    <w:rsid w:val="00264AB0"/>
    <w:rsid w:val="00264B00"/>
    <w:rsid w:val="00264B42"/>
    <w:rsid w:val="00264B47"/>
    <w:rsid w:val="00264B5B"/>
    <w:rsid w:val="00264BF4"/>
    <w:rsid w:val="00264C0A"/>
    <w:rsid w:val="00264C57"/>
    <w:rsid w:val="00264CB2"/>
    <w:rsid w:val="00264D06"/>
    <w:rsid w:val="00264D63"/>
    <w:rsid w:val="00264D71"/>
    <w:rsid w:val="00264DEE"/>
    <w:rsid w:val="00264DF4"/>
    <w:rsid w:val="00264DF7"/>
    <w:rsid w:val="00264E99"/>
    <w:rsid w:val="00264E9C"/>
    <w:rsid w:val="00264EA1"/>
    <w:rsid w:val="00264F25"/>
    <w:rsid w:val="00264F74"/>
    <w:rsid w:val="00264F81"/>
    <w:rsid w:val="00264FA2"/>
    <w:rsid w:val="00264FD7"/>
    <w:rsid w:val="00264FE8"/>
    <w:rsid w:val="00264FF4"/>
    <w:rsid w:val="00265005"/>
    <w:rsid w:val="0026500F"/>
    <w:rsid w:val="00265035"/>
    <w:rsid w:val="002650F7"/>
    <w:rsid w:val="00265162"/>
    <w:rsid w:val="0026521D"/>
    <w:rsid w:val="002652E6"/>
    <w:rsid w:val="002653A4"/>
    <w:rsid w:val="00265407"/>
    <w:rsid w:val="00265420"/>
    <w:rsid w:val="00265434"/>
    <w:rsid w:val="00265471"/>
    <w:rsid w:val="0026547F"/>
    <w:rsid w:val="00265503"/>
    <w:rsid w:val="00265536"/>
    <w:rsid w:val="00265573"/>
    <w:rsid w:val="00265628"/>
    <w:rsid w:val="00265659"/>
    <w:rsid w:val="00265699"/>
    <w:rsid w:val="002656F1"/>
    <w:rsid w:val="002656F9"/>
    <w:rsid w:val="00265729"/>
    <w:rsid w:val="00265800"/>
    <w:rsid w:val="00265801"/>
    <w:rsid w:val="0026580E"/>
    <w:rsid w:val="00265890"/>
    <w:rsid w:val="002658AC"/>
    <w:rsid w:val="002658DF"/>
    <w:rsid w:val="002658F2"/>
    <w:rsid w:val="002659A0"/>
    <w:rsid w:val="002659F0"/>
    <w:rsid w:val="00265A23"/>
    <w:rsid w:val="00265A50"/>
    <w:rsid w:val="00265A77"/>
    <w:rsid w:val="00265A81"/>
    <w:rsid w:val="00265AA9"/>
    <w:rsid w:val="00265ABA"/>
    <w:rsid w:val="00265ABE"/>
    <w:rsid w:val="00265B06"/>
    <w:rsid w:val="00265B5B"/>
    <w:rsid w:val="00265BCF"/>
    <w:rsid w:val="00265BD9"/>
    <w:rsid w:val="00265C42"/>
    <w:rsid w:val="00265C59"/>
    <w:rsid w:val="00265C9D"/>
    <w:rsid w:val="00265CCF"/>
    <w:rsid w:val="00265CD7"/>
    <w:rsid w:val="00265D88"/>
    <w:rsid w:val="00265DB9"/>
    <w:rsid w:val="00265DE3"/>
    <w:rsid w:val="00265EB8"/>
    <w:rsid w:val="00265F0F"/>
    <w:rsid w:val="00265F3D"/>
    <w:rsid w:val="00265F57"/>
    <w:rsid w:val="00265F62"/>
    <w:rsid w:val="00265FF6"/>
    <w:rsid w:val="0026609E"/>
    <w:rsid w:val="002660F3"/>
    <w:rsid w:val="00266272"/>
    <w:rsid w:val="0026629A"/>
    <w:rsid w:val="002662C2"/>
    <w:rsid w:val="00266309"/>
    <w:rsid w:val="00266378"/>
    <w:rsid w:val="002663E6"/>
    <w:rsid w:val="00266428"/>
    <w:rsid w:val="00266429"/>
    <w:rsid w:val="0026649D"/>
    <w:rsid w:val="0026652E"/>
    <w:rsid w:val="002665A7"/>
    <w:rsid w:val="00266693"/>
    <w:rsid w:val="0026669D"/>
    <w:rsid w:val="002666EA"/>
    <w:rsid w:val="0026670C"/>
    <w:rsid w:val="002667D2"/>
    <w:rsid w:val="0026685E"/>
    <w:rsid w:val="00266865"/>
    <w:rsid w:val="00266921"/>
    <w:rsid w:val="00266A31"/>
    <w:rsid w:val="00266A3B"/>
    <w:rsid w:val="00266A5E"/>
    <w:rsid w:val="00266AE0"/>
    <w:rsid w:val="00266AFC"/>
    <w:rsid w:val="00266B15"/>
    <w:rsid w:val="00266B3D"/>
    <w:rsid w:val="00266B58"/>
    <w:rsid w:val="00266BFA"/>
    <w:rsid w:val="00266BFC"/>
    <w:rsid w:val="00266C86"/>
    <w:rsid w:val="00266C8C"/>
    <w:rsid w:val="00266CA9"/>
    <w:rsid w:val="00266CAD"/>
    <w:rsid w:val="00266D0D"/>
    <w:rsid w:val="00266D28"/>
    <w:rsid w:val="00266D37"/>
    <w:rsid w:val="00266D75"/>
    <w:rsid w:val="00266DDA"/>
    <w:rsid w:val="00266DFC"/>
    <w:rsid w:val="00266E21"/>
    <w:rsid w:val="00266E8E"/>
    <w:rsid w:val="00266E9B"/>
    <w:rsid w:val="00266EAE"/>
    <w:rsid w:val="00266EE2"/>
    <w:rsid w:val="00266EF1"/>
    <w:rsid w:val="00266F0F"/>
    <w:rsid w:val="00266F48"/>
    <w:rsid w:val="00266FF6"/>
    <w:rsid w:val="00267007"/>
    <w:rsid w:val="00267011"/>
    <w:rsid w:val="002670AF"/>
    <w:rsid w:val="002670DD"/>
    <w:rsid w:val="002670E1"/>
    <w:rsid w:val="0026712D"/>
    <w:rsid w:val="0026713A"/>
    <w:rsid w:val="00267163"/>
    <w:rsid w:val="0026717B"/>
    <w:rsid w:val="00267239"/>
    <w:rsid w:val="00267240"/>
    <w:rsid w:val="00267278"/>
    <w:rsid w:val="002672F0"/>
    <w:rsid w:val="00267312"/>
    <w:rsid w:val="00267347"/>
    <w:rsid w:val="00267388"/>
    <w:rsid w:val="002673CD"/>
    <w:rsid w:val="00267402"/>
    <w:rsid w:val="0026746E"/>
    <w:rsid w:val="002674B6"/>
    <w:rsid w:val="002674E7"/>
    <w:rsid w:val="00267507"/>
    <w:rsid w:val="0026754E"/>
    <w:rsid w:val="00267585"/>
    <w:rsid w:val="002675C8"/>
    <w:rsid w:val="002675D5"/>
    <w:rsid w:val="00267618"/>
    <w:rsid w:val="0026771E"/>
    <w:rsid w:val="00267746"/>
    <w:rsid w:val="0026778D"/>
    <w:rsid w:val="002677BF"/>
    <w:rsid w:val="002677F0"/>
    <w:rsid w:val="00267825"/>
    <w:rsid w:val="002678A6"/>
    <w:rsid w:val="002679C2"/>
    <w:rsid w:val="002679D6"/>
    <w:rsid w:val="002679E3"/>
    <w:rsid w:val="002679EE"/>
    <w:rsid w:val="00267A7D"/>
    <w:rsid w:val="00267A8C"/>
    <w:rsid w:val="00267AD9"/>
    <w:rsid w:val="00267B22"/>
    <w:rsid w:val="00267B3F"/>
    <w:rsid w:val="00267B47"/>
    <w:rsid w:val="00267B63"/>
    <w:rsid w:val="00267B69"/>
    <w:rsid w:val="00267B70"/>
    <w:rsid w:val="00267B8D"/>
    <w:rsid w:val="00267BE0"/>
    <w:rsid w:val="00267C18"/>
    <w:rsid w:val="00267C97"/>
    <w:rsid w:val="00267CE7"/>
    <w:rsid w:val="00267D07"/>
    <w:rsid w:val="00267D24"/>
    <w:rsid w:val="00267D28"/>
    <w:rsid w:val="00267D36"/>
    <w:rsid w:val="00267D63"/>
    <w:rsid w:val="00267D83"/>
    <w:rsid w:val="00267DB6"/>
    <w:rsid w:val="00267DD7"/>
    <w:rsid w:val="00267DE2"/>
    <w:rsid w:val="00267E13"/>
    <w:rsid w:val="00267E3A"/>
    <w:rsid w:val="00267E6D"/>
    <w:rsid w:val="00267E72"/>
    <w:rsid w:val="00267E95"/>
    <w:rsid w:val="00267F03"/>
    <w:rsid w:val="00267F20"/>
    <w:rsid w:val="00267F5E"/>
    <w:rsid w:val="00267F67"/>
    <w:rsid w:val="00267F73"/>
    <w:rsid w:val="00270007"/>
    <w:rsid w:val="00270041"/>
    <w:rsid w:val="00270054"/>
    <w:rsid w:val="00270064"/>
    <w:rsid w:val="0027015C"/>
    <w:rsid w:val="00270189"/>
    <w:rsid w:val="0027018A"/>
    <w:rsid w:val="00270264"/>
    <w:rsid w:val="002702A6"/>
    <w:rsid w:val="002702A7"/>
    <w:rsid w:val="002702E9"/>
    <w:rsid w:val="0027034F"/>
    <w:rsid w:val="00270383"/>
    <w:rsid w:val="00270391"/>
    <w:rsid w:val="002703CF"/>
    <w:rsid w:val="002703DE"/>
    <w:rsid w:val="002703FC"/>
    <w:rsid w:val="00270422"/>
    <w:rsid w:val="00270505"/>
    <w:rsid w:val="002705FB"/>
    <w:rsid w:val="0027062A"/>
    <w:rsid w:val="0027062E"/>
    <w:rsid w:val="0027064E"/>
    <w:rsid w:val="00270660"/>
    <w:rsid w:val="00270662"/>
    <w:rsid w:val="0027067F"/>
    <w:rsid w:val="0027069D"/>
    <w:rsid w:val="002706BC"/>
    <w:rsid w:val="002706EA"/>
    <w:rsid w:val="002706ED"/>
    <w:rsid w:val="00270718"/>
    <w:rsid w:val="00270776"/>
    <w:rsid w:val="0027079B"/>
    <w:rsid w:val="002707DC"/>
    <w:rsid w:val="00270832"/>
    <w:rsid w:val="00270852"/>
    <w:rsid w:val="00270869"/>
    <w:rsid w:val="0027086C"/>
    <w:rsid w:val="00270875"/>
    <w:rsid w:val="002708FA"/>
    <w:rsid w:val="00270920"/>
    <w:rsid w:val="002709C1"/>
    <w:rsid w:val="002709E0"/>
    <w:rsid w:val="002709ED"/>
    <w:rsid w:val="00270A1A"/>
    <w:rsid w:val="00270A84"/>
    <w:rsid w:val="00270AA4"/>
    <w:rsid w:val="00270B09"/>
    <w:rsid w:val="00270B81"/>
    <w:rsid w:val="00270B87"/>
    <w:rsid w:val="00270BA9"/>
    <w:rsid w:val="00270C0D"/>
    <w:rsid w:val="00270C70"/>
    <w:rsid w:val="00270CE2"/>
    <w:rsid w:val="00270E18"/>
    <w:rsid w:val="00270E72"/>
    <w:rsid w:val="00270E85"/>
    <w:rsid w:val="00270F67"/>
    <w:rsid w:val="00270F81"/>
    <w:rsid w:val="00271091"/>
    <w:rsid w:val="00271107"/>
    <w:rsid w:val="00271181"/>
    <w:rsid w:val="0027118A"/>
    <w:rsid w:val="002711A1"/>
    <w:rsid w:val="00271272"/>
    <w:rsid w:val="00271288"/>
    <w:rsid w:val="00271289"/>
    <w:rsid w:val="002712C3"/>
    <w:rsid w:val="00271347"/>
    <w:rsid w:val="00271358"/>
    <w:rsid w:val="0027136A"/>
    <w:rsid w:val="0027138F"/>
    <w:rsid w:val="0027141F"/>
    <w:rsid w:val="0027145C"/>
    <w:rsid w:val="002714AC"/>
    <w:rsid w:val="00271501"/>
    <w:rsid w:val="0027151F"/>
    <w:rsid w:val="002715D8"/>
    <w:rsid w:val="00271662"/>
    <w:rsid w:val="00271786"/>
    <w:rsid w:val="002717C1"/>
    <w:rsid w:val="002717C5"/>
    <w:rsid w:val="00271848"/>
    <w:rsid w:val="0027195C"/>
    <w:rsid w:val="0027198E"/>
    <w:rsid w:val="002719AE"/>
    <w:rsid w:val="00271A1D"/>
    <w:rsid w:val="00271A29"/>
    <w:rsid w:val="00271A38"/>
    <w:rsid w:val="00271B63"/>
    <w:rsid w:val="00271BA6"/>
    <w:rsid w:val="00271BAB"/>
    <w:rsid w:val="00271C3B"/>
    <w:rsid w:val="00271D47"/>
    <w:rsid w:val="00271D99"/>
    <w:rsid w:val="00271DA9"/>
    <w:rsid w:val="00271E41"/>
    <w:rsid w:val="00271E47"/>
    <w:rsid w:val="00271E51"/>
    <w:rsid w:val="00271E64"/>
    <w:rsid w:val="00271E75"/>
    <w:rsid w:val="00271F70"/>
    <w:rsid w:val="00271F8B"/>
    <w:rsid w:val="00271FA0"/>
    <w:rsid w:val="00271FF7"/>
    <w:rsid w:val="00272016"/>
    <w:rsid w:val="00272066"/>
    <w:rsid w:val="002720EA"/>
    <w:rsid w:val="002720F8"/>
    <w:rsid w:val="0027213A"/>
    <w:rsid w:val="002721CE"/>
    <w:rsid w:val="002721DB"/>
    <w:rsid w:val="00272295"/>
    <w:rsid w:val="0027232A"/>
    <w:rsid w:val="0027232E"/>
    <w:rsid w:val="0027235C"/>
    <w:rsid w:val="00272362"/>
    <w:rsid w:val="0027246C"/>
    <w:rsid w:val="00272487"/>
    <w:rsid w:val="002724A0"/>
    <w:rsid w:val="00272513"/>
    <w:rsid w:val="00272553"/>
    <w:rsid w:val="00272560"/>
    <w:rsid w:val="0027256A"/>
    <w:rsid w:val="00272570"/>
    <w:rsid w:val="00272583"/>
    <w:rsid w:val="002725C9"/>
    <w:rsid w:val="00272646"/>
    <w:rsid w:val="0027266F"/>
    <w:rsid w:val="002726C3"/>
    <w:rsid w:val="00272706"/>
    <w:rsid w:val="0027270B"/>
    <w:rsid w:val="0027273E"/>
    <w:rsid w:val="0027278D"/>
    <w:rsid w:val="0027278F"/>
    <w:rsid w:val="002727E8"/>
    <w:rsid w:val="00272818"/>
    <w:rsid w:val="00272834"/>
    <w:rsid w:val="00272864"/>
    <w:rsid w:val="00272890"/>
    <w:rsid w:val="002728B7"/>
    <w:rsid w:val="002728E5"/>
    <w:rsid w:val="00272963"/>
    <w:rsid w:val="00272971"/>
    <w:rsid w:val="002729A3"/>
    <w:rsid w:val="00272A08"/>
    <w:rsid w:val="00272A2F"/>
    <w:rsid w:val="00272A45"/>
    <w:rsid w:val="00272A78"/>
    <w:rsid w:val="00272B35"/>
    <w:rsid w:val="00272B78"/>
    <w:rsid w:val="00272BAD"/>
    <w:rsid w:val="00272BE2"/>
    <w:rsid w:val="00272C48"/>
    <w:rsid w:val="00272C5A"/>
    <w:rsid w:val="00272C61"/>
    <w:rsid w:val="00272C69"/>
    <w:rsid w:val="00272C6F"/>
    <w:rsid w:val="00272D06"/>
    <w:rsid w:val="00272D07"/>
    <w:rsid w:val="00272D09"/>
    <w:rsid w:val="00272D15"/>
    <w:rsid w:val="00272D2D"/>
    <w:rsid w:val="00272E89"/>
    <w:rsid w:val="00272EC7"/>
    <w:rsid w:val="00272ED5"/>
    <w:rsid w:val="00272F25"/>
    <w:rsid w:val="00272F5B"/>
    <w:rsid w:val="00272FB7"/>
    <w:rsid w:val="00273092"/>
    <w:rsid w:val="002730C9"/>
    <w:rsid w:val="002730D7"/>
    <w:rsid w:val="00273161"/>
    <w:rsid w:val="002731B5"/>
    <w:rsid w:val="00273230"/>
    <w:rsid w:val="00273234"/>
    <w:rsid w:val="0027324D"/>
    <w:rsid w:val="00273263"/>
    <w:rsid w:val="002732AC"/>
    <w:rsid w:val="002732BB"/>
    <w:rsid w:val="002732C3"/>
    <w:rsid w:val="00273336"/>
    <w:rsid w:val="002733C6"/>
    <w:rsid w:val="0027343F"/>
    <w:rsid w:val="00273489"/>
    <w:rsid w:val="002734B5"/>
    <w:rsid w:val="002734B8"/>
    <w:rsid w:val="002734BE"/>
    <w:rsid w:val="002734CC"/>
    <w:rsid w:val="002734F8"/>
    <w:rsid w:val="00273516"/>
    <w:rsid w:val="0027353D"/>
    <w:rsid w:val="002735C4"/>
    <w:rsid w:val="002735F3"/>
    <w:rsid w:val="00273640"/>
    <w:rsid w:val="0027368E"/>
    <w:rsid w:val="00273712"/>
    <w:rsid w:val="00273736"/>
    <w:rsid w:val="00273798"/>
    <w:rsid w:val="0027379C"/>
    <w:rsid w:val="002737A5"/>
    <w:rsid w:val="002737DD"/>
    <w:rsid w:val="00273805"/>
    <w:rsid w:val="00273834"/>
    <w:rsid w:val="0027385C"/>
    <w:rsid w:val="002738A3"/>
    <w:rsid w:val="00273943"/>
    <w:rsid w:val="00273967"/>
    <w:rsid w:val="00273991"/>
    <w:rsid w:val="002739D5"/>
    <w:rsid w:val="00273A29"/>
    <w:rsid w:val="00273A81"/>
    <w:rsid w:val="00273A9A"/>
    <w:rsid w:val="00273B2E"/>
    <w:rsid w:val="00273B5D"/>
    <w:rsid w:val="00273B67"/>
    <w:rsid w:val="00273B8B"/>
    <w:rsid w:val="00273BCE"/>
    <w:rsid w:val="00273C07"/>
    <w:rsid w:val="00273C5A"/>
    <w:rsid w:val="00273CA6"/>
    <w:rsid w:val="00273D45"/>
    <w:rsid w:val="00273D77"/>
    <w:rsid w:val="00273DB3"/>
    <w:rsid w:val="00273DD3"/>
    <w:rsid w:val="00273DF3"/>
    <w:rsid w:val="00273E0F"/>
    <w:rsid w:val="00273E12"/>
    <w:rsid w:val="00273E43"/>
    <w:rsid w:val="00273E50"/>
    <w:rsid w:val="00273E68"/>
    <w:rsid w:val="00273ECC"/>
    <w:rsid w:val="00273EE8"/>
    <w:rsid w:val="00273F2C"/>
    <w:rsid w:val="00273F66"/>
    <w:rsid w:val="00273FBA"/>
    <w:rsid w:val="0027401A"/>
    <w:rsid w:val="0027402B"/>
    <w:rsid w:val="0027403E"/>
    <w:rsid w:val="002740E4"/>
    <w:rsid w:val="00274147"/>
    <w:rsid w:val="002741A2"/>
    <w:rsid w:val="002741AE"/>
    <w:rsid w:val="002741DF"/>
    <w:rsid w:val="002741E8"/>
    <w:rsid w:val="0027422F"/>
    <w:rsid w:val="00274257"/>
    <w:rsid w:val="002742A7"/>
    <w:rsid w:val="002742B4"/>
    <w:rsid w:val="00274341"/>
    <w:rsid w:val="0027434C"/>
    <w:rsid w:val="00274354"/>
    <w:rsid w:val="0027435B"/>
    <w:rsid w:val="00274364"/>
    <w:rsid w:val="00274378"/>
    <w:rsid w:val="0027439D"/>
    <w:rsid w:val="002743F9"/>
    <w:rsid w:val="00274436"/>
    <w:rsid w:val="00274465"/>
    <w:rsid w:val="0027446A"/>
    <w:rsid w:val="00274472"/>
    <w:rsid w:val="00274520"/>
    <w:rsid w:val="0027454B"/>
    <w:rsid w:val="00274591"/>
    <w:rsid w:val="00274683"/>
    <w:rsid w:val="002746A3"/>
    <w:rsid w:val="002746C6"/>
    <w:rsid w:val="002746ED"/>
    <w:rsid w:val="002747EA"/>
    <w:rsid w:val="00274804"/>
    <w:rsid w:val="00274809"/>
    <w:rsid w:val="0027484B"/>
    <w:rsid w:val="002748C1"/>
    <w:rsid w:val="00274906"/>
    <w:rsid w:val="0027493F"/>
    <w:rsid w:val="00274969"/>
    <w:rsid w:val="00274982"/>
    <w:rsid w:val="002749B9"/>
    <w:rsid w:val="00274A08"/>
    <w:rsid w:val="00274A3B"/>
    <w:rsid w:val="00274A4D"/>
    <w:rsid w:val="00274A65"/>
    <w:rsid w:val="00274AB7"/>
    <w:rsid w:val="00274AC8"/>
    <w:rsid w:val="00274AD3"/>
    <w:rsid w:val="00274ADA"/>
    <w:rsid w:val="00274B19"/>
    <w:rsid w:val="00274B57"/>
    <w:rsid w:val="00274BC9"/>
    <w:rsid w:val="00274C30"/>
    <w:rsid w:val="00274C8A"/>
    <w:rsid w:val="00274C96"/>
    <w:rsid w:val="00274CBA"/>
    <w:rsid w:val="00274CE5"/>
    <w:rsid w:val="00274D98"/>
    <w:rsid w:val="00274EB2"/>
    <w:rsid w:val="00274EBF"/>
    <w:rsid w:val="00274F07"/>
    <w:rsid w:val="00274F22"/>
    <w:rsid w:val="00274F55"/>
    <w:rsid w:val="0027501D"/>
    <w:rsid w:val="0027501E"/>
    <w:rsid w:val="00275079"/>
    <w:rsid w:val="0027507A"/>
    <w:rsid w:val="0027508C"/>
    <w:rsid w:val="0027509E"/>
    <w:rsid w:val="00275126"/>
    <w:rsid w:val="0027512B"/>
    <w:rsid w:val="0027512E"/>
    <w:rsid w:val="00275197"/>
    <w:rsid w:val="00275217"/>
    <w:rsid w:val="00275232"/>
    <w:rsid w:val="0027523D"/>
    <w:rsid w:val="00275251"/>
    <w:rsid w:val="002752A9"/>
    <w:rsid w:val="002752CE"/>
    <w:rsid w:val="00275300"/>
    <w:rsid w:val="002753FC"/>
    <w:rsid w:val="0027554B"/>
    <w:rsid w:val="00275553"/>
    <w:rsid w:val="0027556F"/>
    <w:rsid w:val="002755C0"/>
    <w:rsid w:val="002755E0"/>
    <w:rsid w:val="002755E3"/>
    <w:rsid w:val="00275601"/>
    <w:rsid w:val="0027563A"/>
    <w:rsid w:val="0027567C"/>
    <w:rsid w:val="002756EF"/>
    <w:rsid w:val="0027574E"/>
    <w:rsid w:val="00275773"/>
    <w:rsid w:val="002758A0"/>
    <w:rsid w:val="002758BA"/>
    <w:rsid w:val="002758CD"/>
    <w:rsid w:val="00275985"/>
    <w:rsid w:val="002759E8"/>
    <w:rsid w:val="00275A0E"/>
    <w:rsid w:val="00275A1A"/>
    <w:rsid w:val="00275AD6"/>
    <w:rsid w:val="00275AEC"/>
    <w:rsid w:val="00275B92"/>
    <w:rsid w:val="00275BF7"/>
    <w:rsid w:val="00275C26"/>
    <w:rsid w:val="00275C43"/>
    <w:rsid w:val="00275C94"/>
    <w:rsid w:val="00275C9B"/>
    <w:rsid w:val="00275C9E"/>
    <w:rsid w:val="00275CBC"/>
    <w:rsid w:val="00275D34"/>
    <w:rsid w:val="00275D38"/>
    <w:rsid w:val="00275D3E"/>
    <w:rsid w:val="00275D49"/>
    <w:rsid w:val="00275D9A"/>
    <w:rsid w:val="00275DFB"/>
    <w:rsid w:val="00275EA0"/>
    <w:rsid w:val="00275ED6"/>
    <w:rsid w:val="00275EDD"/>
    <w:rsid w:val="00275F98"/>
    <w:rsid w:val="00275FCD"/>
    <w:rsid w:val="0027603D"/>
    <w:rsid w:val="00276068"/>
    <w:rsid w:val="002760FB"/>
    <w:rsid w:val="0027613B"/>
    <w:rsid w:val="00276178"/>
    <w:rsid w:val="00276235"/>
    <w:rsid w:val="0027624C"/>
    <w:rsid w:val="0027624F"/>
    <w:rsid w:val="002762D6"/>
    <w:rsid w:val="00276346"/>
    <w:rsid w:val="00276363"/>
    <w:rsid w:val="00276422"/>
    <w:rsid w:val="0027649D"/>
    <w:rsid w:val="002764A7"/>
    <w:rsid w:val="002764EC"/>
    <w:rsid w:val="0027651C"/>
    <w:rsid w:val="00276524"/>
    <w:rsid w:val="00276557"/>
    <w:rsid w:val="00276586"/>
    <w:rsid w:val="0027659F"/>
    <w:rsid w:val="002765BE"/>
    <w:rsid w:val="002765C7"/>
    <w:rsid w:val="002765F7"/>
    <w:rsid w:val="002765FC"/>
    <w:rsid w:val="0027661E"/>
    <w:rsid w:val="00276621"/>
    <w:rsid w:val="00276639"/>
    <w:rsid w:val="0027666A"/>
    <w:rsid w:val="00276678"/>
    <w:rsid w:val="002766B0"/>
    <w:rsid w:val="002766E9"/>
    <w:rsid w:val="002766EE"/>
    <w:rsid w:val="002766F1"/>
    <w:rsid w:val="002766FC"/>
    <w:rsid w:val="00276705"/>
    <w:rsid w:val="0027670E"/>
    <w:rsid w:val="00276761"/>
    <w:rsid w:val="002767BF"/>
    <w:rsid w:val="002767C0"/>
    <w:rsid w:val="002767D7"/>
    <w:rsid w:val="00276833"/>
    <w:rsid w:val="00276887"/>
    <w:rsid w:val="00276895"/>
    <w:rsid w:val="00276929"/>
    <w:rsid w:val="00276950"/>
    <w:rsid w:val="002769B2"/>
    <w:rsid w:val="002769C2"/>
    <w:rsid w:val="00276A32"/>
    <w:rsid w:val="00276A38"/>
    <w:rsid w:val="00276A6F"/>
    <w:rsid w:val="00276A7F"/>
    <w:rsid w:val="00276AA4"/>
    <w:rsid w:val="00276AEA"/>
    <w:rsid w:val="00276B5A"/>
    <w:rsid w:val="00276B74"/>
    <w:rsid w:val="00276BD7"/>
    <w:rsid w:val="00276C13"/>
    <w:rsid w:val="00276C20"/>
    <w:rsid w:val="00276C35"/>
    <w:rsid w:val="00276C43"/>
    <w:rsid w:val="00276C4D"/>
    <w:rsid w:val="00276C4F"/>
    <w:rsid w:val="00276C5C"/>
    <w:rsid w:val="00276C77"/>
    <w:rsid w:val="00276C8E"/>
    <w:rsid w:val="00276CC4"/>
    <w:rsid w:val="00276D00"/>
    <w:rsid w:val="00276E33"/>
    <w:rsid w:val="00276E89"/>
    <w:rsid w:val="00276E9C"/>
    <w:rsid w:val="00276EDA"/>
    <w:rsid w:val="00276EE6"/>
    <w:rsid w:val="00276EEF"/>
    <w:rsid w:val="00276EF0"/>
    <w:rsid w:val="00276EF1"/>
    <w:rsid w:val="00276F85"/>
    <w:rsid w:val="00276F9A"/>
    <w:rsid w:val="002770A8"/>
    <w:rsid w:val="002770D2"/>
    <w:rsid w:val="002771B0"/>
    <w:rsid w:val="002771C7"/>
    <w:rsid w:val="002771EC"/>
    <w:rsid w:val="002771EE"/>
    <w:rsid w:val="002771FC"/>
    <w:rsid w:val="00277200"/>
    <w:rsid w:val="0027725D"/>
    <w:rsid w:val="0027726A"/>
    <w:rsid w:val="0027726D"/>
    <w:rsid w:val="002772CA"/>
    <w:rsid w:val="002772EF"/>
    <w:rsid w:val="00277336"/>
    <w:rsid w:val="00277397"/>
    <w:rsid w:val="0027740D"/>
    <w:rsid w:val="00277434"/>
    <w:rsid w:val="00277457"/>
    <w:rsid w:val="00277463"/>
    <w:rsid w:val="0027746D"/>
    <w:rsid w:val="002774FB"/>
    <w:rsid w:val="002774FF"/>
    <w:rsid w:val="0027758E"/>
    <w:rsid w:val="002775A1"/>
    <w:rsid w:val="00277634"/>
    <w:rsid w:val="0027765F"/>
    <w:rsid w:val="00277680"/>
    <w:rsid w:val="002776F8"/>
    <w:rsid w:val="002777AB"/>
    <w:rsid w:val="002777C4"/>
    <w:rsid w:val="002777E6"/>
    <w:rsid w:val="00277820"/>
    <w:rsid w:val="00277840"/>
    <w:rsid w:val="00277876"/>
    <w:rsid w:val="002778D4"/>
    <w:rsid w:val="002778D6"/>
    <w:rsid w:val="002778FC"/>
    <w:rsid w:val="00277929"/>
    <w:rsid w:val="002779FB"/>
    <w:rsid w:val="00277ABA"/>
    <w:rsid w:val="00277AF4"/>
    <w:rsid w:val="00277B26"/>
    <w:rsid w:val="00277B4A"/>
    <w:rsid w:val="00277B7C"/>
    <w:rsid w:val="00277BCD"/>
    <w:rsid w:val="00277C42"/>
    <w:rsid w:val="00277C58"/>
    <w:rsid w:val="00277C8A"/>
    <w:rsid w:val="00277C8F"/>
    <w:rsid w:val="00277CB1"/>
    <w:rsid w:val="00277CB5"/>
    <w:rsid w:val="00277CF2"/>
    <w:rsid w:val="00277D1B"/>
    <w:rsid w:val="00277D50"/>
    <w:rsid w:val="00277DC3"/>
    <w:rsid w:val="00277DDF"/>
    <w:rsid w:val="00277DF0"/>
    <w:rsid w:val="00277E40"/>
    <w:rsid w:val="00277E63"/>
    <w:rsid w:val="00277EDB"/>
    <w:rsid w:val="00277FD7"/>
    <w:rsid w:val="00280028"/>
    <w:rsid w:val="00280041"/>
    <w:rsid w:val="00280050"/>
    <w:rsid w:val="002800C5"/>
    <w:rsid w:val="002800C8"/>
    <w:rsid w:val="002800F5"/>
    <w:rsid w:val="00280153"/>
    <w:rsid w:val="0028018D"/>
    <w:rsid w:val="002801D9"/>
    <w:rsid w:val="0028026A"/>
    <w:rsid w:val="002802A4"/>
    <w:rsid w:val="002802B9"/>
    <w:rsid w:val="002802F8"/>
    <w:rsid w:val="002802FC"/>
    <w:rsid w:val="00280340"/>
    <w:rsid w:val="00280350"/>
    <w:rsid w:val="0028035C"/>
    <w:rsid w:val="00280418"/>
    <w:rsid w:val="0028043A"/>
    <w:rsid w:val="002804BB"/>
    <w:rsid w:val="002804CA"/>
    <w:rsid w:val="002804D9"/>
    <w:rsid w:val="002804DC"/>
    <w:rsid w:val="00280576"/>
    <w:rsid w:val="002805A1"/>
    <w:rsid w:val="002805F4"/>
    <w:rsid w:val="00280726"/>
    <w:rsid w:val="00280761"/>
    <w:rsid w:val="00280777"/>
    <w:rsid w:val="00280795"/>
    <w:rsid w:val="00280818"/>
    <w:rsid w:val="00280828"/>
    <w:rsid w:val="00280832"/>
    <w:rsid w:val="0028084F"/>
    <w:rsid w:val="00280853"/>
    <w:rsid w:val="00280894"/>
    <w:rsid w:val="00280933"/>
    <w:rsid w:val="00280953"/>
    <w:rsid w:val="00280958"/>
    <w:rsid w:val="002809C7"/>
    <w:rsid w:val="002809D6"/>
    <w:rsid w:val="00280A8C"/>
    <w:rsid w:val="00280B22"/>
    <w:rsid w:val="00280BA6"/>
    <w:rsid w:val="00280BB9"/>
    <w:rsid w:val="00280C78"/>
    <w:rsid w:val="00280C8D"/>
    <w:rsid w:val="00280CCA"/>
    <w:rsid w:val="00280D89"/>
    <w:rsid w:val="00280D8D"/>
    <w:rsid w:val="00280DDC"/>
    <w:rsid w:val="00280E06"/>
    <w:rsid w:val="00280EBB"/>
    <w:rsid w:val="00280EC4"/>
    <w:rsid w:val="00280F33"/>
    <w:rsid w:val="00280F91"/>
    <w:rsid w:val="00280F9E"/>
    <w:rsid w:val="00280FC9"/>
    <w:rsid w:val="00280FDB"/>
    <w:rsid w:val="00281062"/>
    <w:rsid w:val="0028106F"/>
    <w:rsid w:val="002810A6"/>
    <w:rsid w:val="002810B1"/>
    <w:rsid w:val="002810BE"/>
    <w:rsid w:val="002810D3"/>
    <w:rsid w:val="002810F6"/>
    <w:rsid w:val="002810FD"/>
    <w:rsid w:val="002811AC"/>
    <w:rsid w:val="002811B5"/>
    <w:rsid w:val="00281254"/>
    <w:rsid w:val="00281269"/>
    <w:rsid w:val="0028129D"/>
    <w:rsid w:val="00281305"/>
    <w:rsid w:val="00281365"/>
    <w:rsid w:val="002813AC"/>
    <w:rsid w:val="00281441"/>
    <w:rsid w:val="00281503"/>
    <w:rsid w:val="00281507"/>
    <w:rsid w:val="00281553"/>
    <w:rsid w:val="00281558"/>
    <w:rsid w:val="0028155E"/>
    <w:rsid w:val="00281575"/>
    <w:rsid w:val="00281580"/>
    <w:rsid w:val="002815C8"/>
    <w:rsid w:val="002815CE"/>
    <w:rsid w:val="002815DF"/>
    <w:rsid w:val="002815E8"/>
    <w:rsid w:val="002815F6"/>
    <w:rsid w:val="002815F8"/>
    <w:rsid w:val="00281685"/>
    <w:rsid w:val="0028168E"/>
    <w:rsid w:val="002816AD"/>
    <w:rsid w:val="002816B9"/>
    <w:rsid w:val="002816BD"/>
    <w:rsid w:val="002816E2"/>
    <w:rsid w:val="002816F7"/>
    <w:rsid w:val="00281721"/>
    <w:rsid w:val="00281729"/>
    <w:rsid w:val="0028177F"/>
    <w:rsid w:val="002817C2"/>
    <w:rsid w:val="002817F3"/>
    <w:rsid w:val="0028189E"/>
    <w:rsid w:val="0028191E"/>
    <w:rsid w:val="0028199B"/>
    <w:rsid w:val="002819B5"/>
    <w:rsid w:val="002819B7"/>
    <w:rsid w:val="002819D8"/>
    <w:rsid w:val="002819E4"/>
    <w:rsid w:val="002819E6"/>
    <w:rsid w:val="002819EE"/>
    <w:rsid w:val="002819F1"/>
    <w:rsid w:val="00281A2C"/>
    <w:rsid w:val="00281A50"/>
    <w:rsid w:val="00281AB1"/>
    <w:rsid w:val="00281B58"/>
    <w:rsid w:val="00281B70"/>
    <w:rsid w:val="00281B75"/>
    <w:rsid w:val="00281C11"/>
    <w:rsid w:val="00281C13"/>
    <w:rsid w:val="00281C36"/>
    <w:rsid w:val="00281C3D"/>
    <w:rsid w:val="00281C7F"/>
    <w:rsid w:val="00281CF8"/>
    <w:rsid w:val="00281D07"/>
    <w:rsid w:val="00281D1F"/>
    <w:rsid w:val="00281D54"/>
    <w:rsid w:val="00281D8B"/>
    <w:rsid w:val="00281D8F"/>
    <w:rsid w:val="00281E2E"/>
    <w:rsid w:val="00281E37"/>
    <w:rsid w:val="00281EAE"/>
    <w:rsid w:val="00281F1A"/>
    <w:rsid w:val="00281FD8"/>
    <w:rsid w:val="00281FFD"/>
    <w:rsid w:val="0028201A"/>
    <w:rsid w:val="00282059"/>
    <w:rsid w:val="002820DA"/>
    <w:rsid w:val="0028211C"/>
    <w:rsid w:val="00282133"/>
    <w:rsid w:val="0028216D"/>
    <w:rsid w:val="00282170"/>
    <w:rsid w:val="002821B8"/>
    <w:rsid w:val="002821BC"/>
    <w:rsid w:val="002821DD"/>
    <w:rsid w:val="00282259"/>
    <w:rsid w:val="00282309"/>
    <w:rsid w:val="00282330"/>
    <w:rsid w:val="0028233B"/>
    <w:rsid w:val="002823F5"/>
    <w:rsid w:val="002824A0"/>
    <w:rsid w:val="002824D2"/>
    <w:rsid w:val="002824FE"/>
    <w:rsid w:val="0028253F"/>
    <w:rsid w:val="0028256F"/>
    <w:rsid w:val="002825AC"/>
    <w:rsid w:val="002825C5"/>
    <w:rsid w:val="0028260A"/>
    <w:rsid w:val="00282666"/>
    <w:rsid w:val="00282669"/>
    <w:rsid w:val="002826D7"/>
    <w:rsid w:val="00282729"/>
    <w:rsid w:val="002827D0"/>
    <w:rsid w:val="00282838"/>
    <w:rsid w:val="0028283A"/>
    <w:rsid w:val="0028283B"/>
    <w:rsid w:val="0028288B"/>
    <w:rsid w:val="002828D7"/>
    <w:rsid w:val="002828DA"/>
    <w:rsid w:val="0028291F"/>
    <w:rsid w:val="0028294F"/>
    <w:rsid w:val="00282974"/>
    <w:rsid w:val="002829DE"/>
    <w:rsid w:val="00282A33"/>
    <w:rsid w:val="00282A46"/>
    <w:rsid w:val="00282A62"/>
    <w:rsid w:val="00282AAE"/>
    <w:rsid w:val="00282ABD"/>
    <w:rsid w:val="00282B0A"/>
    <w:rsid w:val="00282B0D"/>
    <w:rsid w:val="00282B37"/>
    <w:rsid w:val="00282B3B"/>
    <w:rsid w:val="00282B48"/>
    <w:rsid w:val="00282B53"/>
    <w:rsid w:val="00282B84"/>
    <w:rsid w:val="00282B8C"/>
    <w:rsid w:val="00282BA5"/>
    <w:rsid w:val="00282D18"/>
    <w:rsid w:val="00282D38"/>
    <w:rsid w:val="00282D57"/>
    <w:rsid w:val="00282D5A"/>
    <w:rsid w:val="00282D95"/>
    <w:rsid w:val="00282E5F"/>
    <w:rsid w:val="00282ED3"/>
    <w:rsid w:val="00282F01"/>
    <w:rsid w:val="00282F50"/>
    <w:rsid w:val="00282F7C"/>
    <w:rsid w:val="00282F92"/>
    <w:rsid w:val="00282FA7"/>
    <w:rsid w:val="00282FC0"/>
    <w:rsid w:val="00282FF6"/>
    <w:rsid w:val="0028300B"/>
    <w:rsid w:val="00283042"/>
    <w:rsid w:val="002830DA"/>
    <w:rsid w:val="00283152"/>
    <w:rsid w:val="0028319E"/>
    <w:rsid w:val="002831D2"/>
    <w:rsid w:val="002831DE"/>
    <w:rsid w:val="00283251"/>
    <w:rsid w:val="002832BA"/>
    <w:rsid w:val="002832C2"/>
    <w:rsid w:val="0028338A"/>
    <w:rsid w:val="00283392"/>
    <w:rsid w:val="00283485"/>
    <w:rsid w:val="00283488"/>
    <w:rsid w:val="00283494"/>
    <w:rsid w:val="002834AC"/>
    <w:rsid w:val="002834E0"/>
    <w:rsid w:val="00283532"/>
    <w:rsid w:val="00283564"/>
    <w:rsid w:val="002835A8"/>
    <w:rsid w:val="002835B8"/>
    <w:rsid w:val="002835EC"/>
    <w:rsid w:val="0028365D"/>
    <w:rsid w:val="0028368B"/>
    <w:rsid w:val="002836B5"/>
    <w:rsid w:val="002836CC"/>
    <w:rsid w:val="002836CE"/>
    <w:rsid w:val="0028379E"/>
    <w:rsid w:val="002837AC"/>
    <w:rsid w:val="002837C1"/>
    <w:rsid w:val="00283809"/>
    <w:rsid w:val="00283858"/>
    <w:rsid w:val="0028388E"/>
    <w:rsid w:val="002838C2"/>
    <w:rsid w:val="00283924"/>
    <w:rsid w:val="0028394A"/>
    <w:rsid w:val="0028398B"/>
    <w:rsid w:val="002839E1"/>
    <w:rsid w:val="00283A03"/>
    <w:rsid w:val="00283A2A"/>
    <w:rsid w:val="00283AB4"/>
    <w:rsid w:val="00283ABF"/>
    <w:rsid w:val="00283B38"/>
    <w:rsid w:val="00283B86"/>
    <w:rsid w:val="00283BC1"/>
    <w:rsid w:val="00283C28"/>
    <w:rsid w:val="00283C2F"/>
    <w:rsid w:val="00283C63"/>
    <w:rsid w:val="00283C6E"/>
    <w:rsid w:val="00283C8A"/>
    <w:rsid w:val="00283C8E"/>
    <w:rsid w:val="00283CD6"/>
    <w:rsid w:val="00283D12"/>
    <w:rsid w:val="00283D18"/>
    <w:rsid w:val="00283D24"/>
    <w:rsid w:val="00283D3D"/>
    <w:rsid w:val="00283DC9"/>
    <w:rsid w:val="00283DCE"/>
    <w:rsid w:val="00283DD8"/>
    <w:rsid w:val="00283DE4"/>
    <w:rsid w:val="00283E18"/>
    <w:rsid w:val="00283E25"/>
    <w:rsid w:val="00283E74"/>
    <w:rsid w:val="00283E88"/>
    <w:rsid w:val="00283EB8"/>
    <w:rsid w:val="00283EB9"/>
    <w:rsid w:val="00283EBD"/>
    <w:rsid w:val="00283EC5"/>
    <w:rsid w:val="00283F13"/>
    <w:rsid w:val="00283F1A"/>
    <w:rsid w:val="00283F51"/>
    <w:rsid w:val="00283F93"/>
    <w:rsid w:val="00283FCD"/>
    <w:rsid w:val="00284041"/>
    <w:rsid w:val="0028404A"/>
    <w:rsid w:val="0028406D"/>
    <w:rsid w:val="00284073"/>
    <w:rsid w:val="002840B0"/>
    <w:rsid w:val="002840C3"/>
    <w:rsid w:val="002840D9"/>
    <w:rsid w:val="002841A3"/>
    <w:rsid w:val="002841AA"/>
    <w:rsid w:val="002842DA"/>
    <w:rsid w:val="002842F3"/>
    <w:rsid w:val="00284330"/>
    <w:rsid w:val="00284331"/>
    <w:rsid w:val="0028443E"/>
    <w:rsid w:val="00284447"/>
    <w:rsid w:val="002844A1"/>
    <w:rsid w:val="00284535"/>
    <w:rsid w:val="0028458B"/>
    <w:rsid w:val="0028458C"/>
    <w:rsid w:val="002845C6"/>
    <w:rsid w:val="002845DD"/>
    <w:rsid w:val="002846AC"/>
    <w:rsid w:val="002846BE"/>
    <w:rsid w:val="00284726"/>
    <w:rsid w:val="002847A2"/>
    <w:rsid w:val="002847D9"/>
    <w:rsid w:val="002848DF"/>
    <w:rsid w:val="00284920"/>
    <w:rsid w:val="00284970"/>
    <w:rsid w:val="0028498F"/>
    <w:rsid w:val="00284998"/>
    <w:rsid w:val="00284A24"/>
    <w:rsid w:val="00284A57"/>
    <w:rsid w:val="00284A93"/>
    <w:rsid w:val="00284A9F"/>
    <w:rsid w:val="00284B0C"/>
    <w:rsid w:val="00284B65"/>
    <w:rsid w:val="00284B68"/>
    <w:rsid w:val="00284B94"/>
    <w:rsid w:val="00284BE5"/>
    <w:rsid w:val="00284C2E"/>
    <w:rsid w:val="00284CB2"/>
    <w:rsid w:val="00284D83"/>
    <w:rsid w:val="00284D89"/>
    <w:rsid w:val="00284D8D"/>
    <w:rsid w:val="00284D95"/>
    <w:rsid w:val="00284DAD"/>
    <w:rsid w:val="00284DBB"/>
    <w:rsid w:val="00284E0B"/>
    <w:rsid w:val="00284E5E"/>
    <w:rsid w:val="00284EBE"/>
    <w:rsid w:val="00284EC6"/>
    <w:rsid w:val="00284F62"/>
    <w:rsid w:val="00284F74"/>
    <w:rsid w:val="00285038"/>
    <w:rsid w:val="00285065"/>
    <w:rsid w:val="00285074"/>
    <w:rsid w:val="002850D9"/>
    <w:rsid w:val="002850EF"/>
    <w:rsid w:val="002850FD"/>
    <w:rsid w:val="00285112"/>
    <w:rsid w:val="0028512F"/>
    <w:rsid w:val="0028514C"/>
    <w:rsid w:val="00285171"/>
    <w:rsid w:val="00285215"/>
    <w:rsid w:val="002852E9"/>
    <w:rsid w:val="00285317"/>
    <w:rsid w:val="002853B2"/>
    <w:rsid w:val="002853CA"/>
    <w:rsid w:val="002853D4"/>
    <w:rsid w:val="002853E3"/>
    <w:rsid w:val="00285400"/>
    <w:rsid w:val="0028540F"/>
    <w:rsid w:val="00285416"/>
    <w:rsid w:val="0028547A"/>
    <w:rsid w:val="002854B4"/>
    <w:rsid w:val="002854B7"/>
    <w:rsid w:val="00285504"/>
    <w:rsid w:val="0028550A"/>
    <w:rsid w:val="0028561A"/>
    <w:rsid w:val="00285629"/>
    <w:rsid w:val="00285676"/>
    <w:rsid w:val="002856DA"/>
    <w:rsid w:val="002856EE"/>
    <w:rsid w:val="00285706"/>
    <w:rsid w:val="00285772"/>
    <w:rsid w:val="002857AA"/>
    <w:rsid w:val="002857ED"/>
    <w:rsid w:val="002857F2"/>
    <w:rsid w:val="0028581E"/>
    <w:rsid w:val="0028582D"/>
    <w:rsid w:val="002858B5"/>
    <w:rsid w:val="002858F6"/>
    <w:rsid w:val="002858F7"/>
    <w:rsid w:val="00285913"/>
    <w:rsid w:val="0028595B"/>
    <w:rsid w:val="00285AB1"/>
    <w:rsid w:val="00285AF9"/>
    <w:rsid w:val="00285B61"/>
    <w:rsid w:val="00285B6D"/>
    <w:rsid w:val="00285BDE"/>
    <w:rsid w:val="00285C3C"/>
    <w:rsid w:val="00285C50"/>
    <w:rsid w:val="00285C6B"/>
    <w:rsid w:val="00285C9B"/>
    <w:rsid w:val="00285CF5"/>
    <w:rsid w:val="00285D1A"/>
    <w:rsid w:val="00285D66"/>
    <w:rsid w:val="00285DAF"/>
    <w:rsid w:val="00285E21"/>
    <w:rsid w:val="00285E31"/>
    <w:rsid w:val="00285EA4"/>
    <w:rsid w:val="00285F28"/>
    <w:rsid w:val="00285F85"/>
    <w:rsid w:val="00285FE7"/>
    <w:rsid w:val="002860CA"/>
    <w:rsid w:val="002860CB"/>
    <w:rsid w:val="002860E5"/>
    <w:rsid w:val="0028612E"/>
    <w:rsid w:val="00286196"/>
    <w:rsid w:val="002861E2"/>
    <w:rsid w:val="002861F8"/>
    <w:rsid w:val="0028620E"/>
    <w:rsid w:val="0028622F"/>
    <w:rsid w:val="0028628C"/>
    <w:rsid w:val="00286336"/>
    <w:rsid w:val="00286372"/>
    <w:rsid w:val="00286418"/>
    <w:rsid w:val="00286438"/>
    <w:rsid w:val="0028643D"/>
    <w:rsid w:val="002864B1"/>
    <w:rsid w:val="002864BA"/>
    <w:rsid w:val="002864F2"/>
    <w:rsid w:val="00286542"/>
    <w:rsid w:val="00286581"/>
    <w:rsid w:val="002865BE"/>
    <w:rsid w:val="0028662D"/>
    <w:rsid w:val="00286644"/>
    <w:rsid w:val="00286647"/>
    <w:rsid w:val="00286661"/>
    <w:rsid w:val="00286670"/>
    <w:rsid w:val="002866FD"/>
    <w:rsid w:val="00286710"/>
    <w:rsid w:val="0028671C"/>
    <w:rsid w:val="00286758"/>
    <w:rsid w:val="0028675E"/>
    <w:rsid w:val="00286792"/>
    <w:rsid w:val="0028679D"/>
    <w:rsid w:val="002867C0"/>
    <w:rsid w:val="002867C2"/>
    <w:rsid w:val="002867E0"/>
    <w:rsid w:val="002867E8"/>
    <w:rsid w:val="002867F5"/>
    <w:rsid w:val="00286881"/>
    <w:rsid w:val="002868A2"/>
    <w:rsid w:val="002868C5"/>
    <w:rsid w:val="002868CB"/>
    <w:rsid w:val="0028691F"/>
    <w:rsid w:val="0028695D"/>
    <w:rsid w:val="00286991"/>
    <w:rsid w:val="002869E1"/>
    <w:rsid w:val="00286A15"/>
    <w:rsid w:val="00286A61"/>
    <w:rsid w:val="00286A96"/>
    <w:rsid w:val="00286AE6"/>
    <w:rsid w:val="00286B1B"/>
    <w:rsid w:val="00286BB8"/>
    <w:rsid w:val="00286BD6"/>
    <w:rsid w:val="00286BF9"/>
    <w:rsid w:val="00286C61"/>
    <w:rsid w:val="00286C8F"/>
    <w:rsid w:val="00286D23"/>
    <w:rsid w:val="00286D6A"/>
    <w:rsid w:val="00286DD5"/>
    <w:rsid w:val="00286DF6"/>
    <w:rsid w:val="00286E27"/>
    <w:rsid w:val="00286E2D"/>
    <w:rsid w:val="00286E48"/>
    <w:rsid w:val="00286EDF"/>
    <w:rsid w:val="00286F76"/>
    <w:rsid w:val="00286F7E"/>
    <w:rsid w:val="00286FCB"/>
    <w:rsid w:val="0028711A"/>
    <w:rsid w:val="0028712B"/>
    <w:rsid w:val="00287141"/>
    <w:rsid w:val="00287198"/>
    <w:rsid w:val="00287199"/>
    <w:rsid w:val="002871CA"/>
    <w:rsid w:val="00287208"/>
    <w:rsid w:val="00287322"/>
    <w:rsid w:val="0028738C"/>
    <w:rsid w:val="002873B2"/>
    <w:rsid w:val="0028742E"/>
    <w:rsid w:val="0028745C"/>
    <w:rsid w:val="00287491"/>
    <w:rsid w:val="002874B0"/>
    <w:rsid w:val="00287501"/>
    <w:rsid w:val="00287503"/>
    <w:rsid w:val="00287539"/>
    <w:rsid w:val="0028754F"/>
    <w:rsid w:val="0028755B"/>
    <w:rsid w:val="00287597"/>
    <w:rsid w:val="00287599"/>
    <w:rsid w:val="0028764A"/>
    <w:rsid w:val="0028766C"/>
    <w:rsid w:val="00287694"/>
    <w:rsid w:val="002876A3"/>
    <w:rsid w:val="002876AC"/>
    <w:rsid w:val="002877AB"/>
    <w:rsid w:val="002877E6"/>
    <w:rsid w:val="00287820"/>
    <w:rsid w:val="002878CD"/>
    <w:rsid w:val="002878D0"/>
    <w:rsid w:val="002878D2"/>
    <w:rsid w:val="002878FA"/>
    <w:rsid w:val="0028791D"/>
    <w:rsid w:val="00287962"/>
    <w:rsid w:val="002879AA"/>
    <w:rsid w:val="00287A76"/>
    <w:rsid w:val="00287A7D"/>
    <w:rsid w:val="00287AA7"/>
    <w:rsid w:val="00287BA7"/>
    <w:rsid w:val="00287BAE"/>
    <w:rsid w:val="00287C37"/>
    <w:rsid w:val="00287C7A"/>
    <w:rsid w:val="00287C96"/>
    <w:rsid w:val="00287CCD"/>
    <w:rsid w:val="00287CCE"/>
    <w:rsid w:val="00287D78"/>
    <w:rsid w:val="00287DBA"/>
    <w:rsid w:val="00287DDF"/>
    <w:rsid w:val="00287DFA"/>
    <w:rsid w:val="00287E43"/>
    <w:rsid w:val="00287E4D"/>
    <w:rsid w:val="00287E5C"/>
    <w:rsid w:val="00287E78"/>
    <w:rsid w:val="00287E98"/>
    <w:rsid w:val="00287EAD"/>
    <w:rsid w:val="00287ECC"/>
    <w:rsid w:val="00287ED6"/>
    <w:rsid w:val="00287EEB"/>
    <w:rsid w:val="00287F05"/>
    <w:rsid w:val="00287F67"/>
    <w:rsid w:val="00287F9E"/>
    <w:rsid w:val="00290016"/>
    <w:rsid w:val="002900D3"/>
    <w:rsid w:val="002900D4"/>
    <w:rsid w:val="00290159"/>
    <w:rsid w:val="00290194"/>
    <w:rsid w:val="00290210"/>
    <w:rsid w:val="0029027B"/>
    <w:rsid w:val="00290285"/>
    <w:rsid w:val="002902FC"/>
    <w:rsid w:val="00290321"/>
    <w:rsid w:val="00290343"/>
    <w:rsid w:val="00290358"/>
    <w:rsid w:val="00290378"/>
    <w:rsid w:val="002903D7"/>
    <w:rsid w:val="002903EB"/>
    <w:rsid w:val="0029041A"/>
    <w:rsid w:val="0029041E"/>
    <w:rsid w:val="00290434"/>
    <w:rsid w:val="00290473"/>
    <w:rsid w:val="00290475"/>
    <w:rsid w:val="002904CE"/>
    <w:rsid w:val="002904DB"/>
    <w:rsid w:val="002904DE"/>
    <w:rsid w:val="002904F1"/>
    <w:rsid w:val="00290514"/>
    <w:rsid w:val="00290522"/>
    <w:rsid w:val="00290531"/>
    <w:rsid w:val="002905C1"/>
    <w:rsid w:val="002906A6"/>
    <w:rsid w:val="0029074D"/>
    <w:rsid w:val="002907AE"/>
    <w:rsid w:val="002907DF"/>
    <w:rsid w:val="00290802"/>
    <w:rsid w:val="00290809"/>
    <w:rsid w:val="0029088A"/>
    <w:rsid w:val="0029089A"/>
    <w:rsid w:val="00290901"/>
    <w:rsid w:val="0029095F"/>
    <w:rsid w:val="002909FD"/>
    <w:rsid w:val="00290A05"/>
    <w:rsid w:val="00290A1E"/>
    <w:rsid w:val="00290A27"/>
    <w:rsid w:val="00290A2E"/>
    <w:rsid w:val="00290AC6"/>
    <w:rsid w:val="00290B3E"/>
    <w:rsid w:val="00290BA9"/>
    <w:rsid w:val="00290BAE"/>
    <w:rsid w:val="00290C45"/>
    <w:rsid w:val="00290C5B"/>
    <w:rsid w:val="00290C83"/>
    <w:rsid w:val="00290CE9"/>
    <w:rsid w:val="00290D05"/>
    <w:rsid w:val="00290D51"/>
    <w:rsid w:val="00290D5C"/>
    <w:rsid w:val="00290D91"/>
    <w:rsid w:val="00290DD7"/>
    <w:rsid w:val="00290E2F"/>
    <w:rsid w:val="00290E32"/>
    <w:rsid w:val="00290E6F"/>
    <w:rsid w:val="00290E7F"/>
    <w:rsid w:val="00290E9F"/>
    <w:rsid w:val="00290ED5"/>
    <w:rsid w:val="00290EF8"/>
    <w:rsid w:val="00290F30"/>
    <w:rsid w:val="00290F69"/>
    <w:rsid w:val="00290FAF"/>
    <w:rsid w:val="00290FE3"/>
    <w:rsid w:val="002910EC"/>
    <w:rsid w:val="00291113"/>
    <w:rsid w:val="0029121A"/>
    <w:rsid w:val="00291225"/>
    <w:rsid w:val="00291279"/>
    <w:rsid w:val="0029129A"/>
    <w:rsid w:val="002912A4"/>
    <w:rsid w:val="002912B2"/>
    <w:rsid w:val="002912B3"/>
    <w:rsid w:val="00291322"/>
    <w:rsid w:val="00291355"/>
    <w:rsid w:val="00291374"/>
    <w:rsid w:val="002913C2"/>
    <w:rsid w:val="002913C4"/>
    <w:rsid w:val="002913DB"/>
    <w:rsid w:val="00291555"/>
    <w:rsid w:val="00291595"/>
    <w:rsid w:val="002915C1"/>
    <w:rsid w:val="00291604"/>
    <w:rsid w:val="00291671"/>
    <w:rsid w:val="0029169D"/>
    <w:rsid w:val="002916BF"/>
    <w:rsid w:val="002916CE"/>
    <w:rsid w:val="002916CF"/>
    <w:rsid w:val="00291711"/>
    <w:rsid w:val="0029178A"/>
    <w:rsid w:val="002917CC"/>
    <w:rsid w:val="0029183D"/>
    <w:rsid w:val="00291849"/>
    <w:rsid w:val="00291852"/>
    <w:rsid w:val="00291854"/>
    <w:rsid w:val="0029186D"/>
    <w:rsid w:val="002918AF"/>
    <w:rsid w:val="002918B0"/>
    <w:rsid w:val="002918F9"/>
    <w:rsid w:val="00291915"/>
    <w:rsid w:val="0029193F"/>
    <w:rsid w:val="00291975"/>
    <w:rsid w:val="00291A22"/>
    <w:rsid w:val="00291A7A"/>
    <w:rsid w:val="00291ABE"/>
    <w:rsid w:val="00291AF1"/>
    <w:rsid w:val="00291B83"/>
    <w:rsid w:val="00291BBD"/>
    <w:rsid w:val="00291C10"/>
    <w:rsid w:val="00291C17"/>
    <w:rsid w:val="00291C47"/>
    <w:rsid w:val="00291C75"/>
    <w:rsid w:val="00291C82"/>
    <w:rsid w:val="00291D09"/>
    <w:rsid w:val="00291DD1"/>
    <w:rsid w:val="00291DFA"/>
    <w:rsid w:val="00291E07"/>
    <w:rsid w:val="00291E5F"/>
    <w:rsid w:val="00291E60"/>
    <w:rsid w:val="00291E6A"/>
    <w:rsid w:val="00291E8C"/>
    <w:rsid w:val="00291ED1"/>
    <w:rsid w:val="00291EDC"/>
    <w:rsid w:val="00291F04"/>
    <w:rsid w:val="00291F27"/>
    <w:rsid w:val="00291F96"/>
    <w:rsid w:val="00291F9C"/>
    <w:rsid w:val="00291FA5"/>
    <w:rsid w:val="00291FA6"/>
    <w:rsid w:val="00292014"/>
    <w:rsid w:val="00292046"/>
    <w:rsid w:val="0029209D"/>
    <w:rsid w:val="002920AA"/>
    <w:rsid w:val="00292176"/>
    <w:rsid w:val="0029217A"/>
    <w:rsid w:val="00292217"/>
    <w:rsid w:val="002922AC"/>
    <w:rsid w:val="00292316"/>
    <w:rsid w:val="002923C8"/>
    <w:rsid w:val="00292403"/>
    <w:rsid w:val="00292428"/>
    <w:rsid w:val="0029242A"/>
    <w:rsid w:val="00292435"/>
    <w:rsid w:val="00292489"/>
    <w:rsid w:val="00292493"/>
    <w:rsid w:val="0029253A"/>
    <w:rsid w:val="00292562"/>
    <w:rsid w:val="002925C1"/>
    <w:rsid w:val="00292682"/>
    <w:rsid w:val="00292691"/>
    <w:rsid w:val="002926B0"/>
    <w:rsid w:val="002927AC"/>
    <w:rsid w:val="002927BD"/>
    <w:rsid w:val="00292803"/>
    <w:rsid w:val="00292809"/>
    <w:rsid w:val="00292851"/>
    <w:rsid w:val="00292887"/>
    <w:rsid w:val="00292892"/>
    <w:rsid w:val="002928A1"/>
    <w:rsid w:val="002928CA"/>
    <w:rsid w:val="002928F4"/>
    <w:rsid w:val="0029290C"/>
    <w:rsid w:val="00292958"/>
    <w:rsid w:val="002929DE"/>
    <w:rsid w:val="002929ED"/>
    <w:rsid w:val="002929F2"/>
    <w:rsid w:val="00292A9F"/>
    <w:rsid w:val="00292AA5"/>
    <w:rsid w:val="00292AC2"/>
    <w:rsid w:val="00292B0B"/>
    <w:rsid w:val="00292B4C"/>
    <w:rsid w:val="00292B6A"/>
    <w:rsid w:val="00292BB8"/>
    <w:rsid w:val="00292C77"/>
    <w:rsid w:val="00292CB5"/>
    <w:rsid w:val="00292CD3"/>
    <w:rsid w:val="00292CDB"/>
    <w:rsid w:val="00292CF4"/>
    <w:rsid w:val="00292CFE"/>
    <w:rsid w:val="00292D0B"/>
    <w:rsid w:val="00292D35"/>
    <w:rsid w:val="00292D5B"/>
    <w:rsid w:val="00292D78"/>
    <w:rsid w:val="00292DCE"/>
    <w:rsid w:val="00292DE6"/>
    <w:rsid w:val="00292E0D"/>
    <w:rsid w:val="00292E13"/>
    <w:rsid w:val="00292E25"/>
    <w:rsid w:val="00292F5D"/>
    <w:rsid w:val="00292F8A"/>
    <w:rsid w:val="00292FBB"/>
    <w:rsid w:val="00292FDA"/>
    <w:rsid w:val="00292FE3"/>
    <w:rsid w:val="00293103"/>
    <w:rsid w:val="00293138"/>
    <w:rsid w:val="00293163"/>
    <w:rsid w:val="002931BF"/>
    <w:rsid w:val="002931D2"/>
    <w:rsid w:val="0029328D"/>
    <w:rsid w:val="00293296"/>
    <w:rsid w:val="002932AA"/>
    <w:rsid w:val="002932F9"/>
    <w:rsid w:val="00293399"/>
    <w:rsid w:val="002933FF"/>
    <w:rsid w:val="00293419"/>
    <w:rsid w:val="0029346A"/>
    <w:rsid w:val="00293478"/>
    <w:rsid w:val="0029347F"/>
    <w:rsid w:val="00293513"/>
    <w:rsid w:val="0029351A"/>
    <w:rsid w:val="00293677"/>
    <w:rsid w:val="002936A5"/>
    <w:rsid w:val="00293706"/>
    <w:rsid w:val="0029377D"/>
    <w:rsid w:val="0029383C"/>
    <w:rsid w:val="00293874"/>
    <w:rsid w:val="002938B2"/>
    <w:rsid w:val="002938FA"/>
    <w:rsid w:val="00293944"/>
    <w:rsid w:val="002939D0"/>
    <w:rsid w:val="00293A46"/>
    <w:rsid w:val="00293A65"/>
    <w:rsid w:val="00293AA3"/>
    <w:rsid w:val="00293AD6"/>
    <w:rsid w:val="00293AEB"/>
    <w:rsid w:val="00293AF8"/>
    <w:rsid w:val="00293B61"/>
    <w:rsid w:val="00293B7E"/>
    <w:rsid w:val="00293B92"/>
    <w:rsid w:val="00293B9C"/>
    <w:rsid w:val="00293B9D"/>
    <w:rsid w:val="00293BAE"/>
    <w:rsid w:val="00293BC6"/>
    <w:rsid w:val="00293C65"/>
    <w:rsid w:val="00293CFB"/>
    <w:rsid w:val="00293D78"/>
    <w:rsid w:val="00293D8B"/>
    <w:rsid w:val="00293DB9"/>
    <w:rsid w:val="00293DD3"/>
    <w:rsid w:val="00293E44"/>
    <w:rsid w:val="00293E63"/>
    <w:rsid w:val="00293E9C"/>
    <w:rsid w:val="00293ED3"/>
    <w:rsid w:val="00293EDC"/>
    <w:rsid w:val="00293F7E"/>
    <w:rsid w:val="00294032"/>
    <w:rsid w:val="00294049"/>
    <w:rsid w:val="00294063"/>
    <w:rsid w:val="0029406C"/>
    <w:rsid w:val="002940F5"/>
    <w:rsid w:val="0029414A"/>
    <w:rsid w:val="0029415C"/>
    <w:rsid w:val="00294168"/>
    <w:rsid w:val="00294192"/>
    <w:rsid w:val="0029419F"/>
    <w:rsid w:val="002941D8"/>
    <w:rsid w:val="00294289"/>
    <w:rsid w:val="002942AB"/>
    <w:rsid w:val="002942F5"/>
    <w:rsid w:val="0029430D"/>
    <w:rsid w:val="0029430F"/>
    <w:rsid w:val="0029432F"/>
    <w:rsid w:val="00294338"/>
    <w:rsid w:val="00294358"/>
    <w:rsid w:val="0029446E"/>
    <w:rsid w:val="00294477"/>
    <w:rsid w:val="002944F4"/>
    <w:rsid w:val="0029450D"/>
    <w:rsid w:val="0029458B"/>
    <w:rsid w:val="002945CC"/>
    <w:rsid w:val="002945F8"/>
    <w:rsid w:val="00294690"/>
    <w:rsid w:val="002946B1"/>
    <w:rsid w:val="0029482D"/>
    <w:rsid w:val="00294881"/>
    <w:rsid w:val="00294886"/>
    <w:rsid w:val="002948C2"/>
    <w:rsid w:val="00294914"/>
    <w:rsid w:val="00294948"/>
    <w:rsid w:val="00294A3F"/>
    <w:rsid w:val="00294A6E"/>
    <w:rsid w:val="00294AFF"/>
    <w:rsid w:val="00294B14"/>
    <w:rsid w:val="00294B19"/>
    <w:rsid w:val="00294B44"/>
    <w:rsid w:val="00294BC1"/>
    <w:rsid w:val="00294C1B"/>
    <w:rsid w:val="00294C58"/>
    <w:rsid w:val="00294C5A"/>
    <w:rsid w:val="00294C7A"/>
    <w:rsid w:val="00294C7B"/>
    <w:rsid w:val="00294CD8"/>
    <w:rsid w:val="00294D07"/>
    <w:rsid w:val="00294D4F"/>
    <w:rsid w:val="00294DA0"/>
    <w:rsid w:val="00294DA2"/>
    <w:rsid w:val="00294DDF"/>
    <w:rsid w:val="00294DFB"/>
    <w:rsid w:val="00294DFF"/>
    <w:rsid w:val="00294E1B"/>
    <w:rsid w:val="00294E2D"/>
    <w:rsid w:val="00294E6E"/>
    <w:rsid w:val="00294EAA"/>
    <w:rsid w:val="00294ED1"/>
    <w:rsid w:val="00294F35"/>
    <w:rsid w:val="00294F6C"/>
    <w:rsid w:val="00295063"/>
    <w:rsid w:val="00295076"/>
    <w:rsid w:val="00295091"/>
    <w:rsid w:val="002950C8"/>
    <w:rsid w:val="002950DA"/>
    <w:rsid w:val="002950FA"/>
    <w:rsid w:val="00295170"/>
    <w:rsid w:val="00295181"/>
    <w:rsid w:val="00295191"/>
    <w:rsid w:val="00295208"/>
    <w:rsid w:val="0029525B"/>
    <w:rsid w:val="00295264"/>
    <w:rsid w:val="00295279"/>
    <w:rsid w:val="002952DA"/>
    <w:rsid w:val="002952F1"/>
    <w:rsid w:val="00295309"/>
    <w:rsid w:val="00295345"/>
    <w:rsid w:val="0029534D"/>
    <w:rsid w:val="0029539C"/>
    <w:rsid w:val="002953BA"/>
    <w:rsid w:val="002953C3"/>
    <w:rsid w:val="002953C6"/>
    <w:rsid w:val="002953F8"/>
    <w:rsid w:val="00295409"/>
    <w:rsid w:val="00295450"/>
    <w:rsid w:val="00295494"/>
    <w:rsid w:val="002954CD"/>
    <w:rsid w:val="002954E8"/>
    <w:rsid w:val="00295598"/>
    <w:rsid w:val="002955B3"/>
    <w:rsid w:val="002955B7"/>
    <w:rsid w:val="0029561C"/>
    <w:rsid w:val="0029562A"/>
    <w:rsid w:val="00295647"/>
    <w:rsid w:val="00295659"/>
    <w:rsid w:val="002956A7"/>
    <w:rsid w:val="002956E5"/>
    <w:rsid w:val="002956E8"/>
    <w:rsid w:val="0029579B"/>
    <w:rsid w:val="002957E4"/>
    <w:rsid w:val="0029582A"/>
    <w:rsid w:val="00295842"/>
    <w:rsid w:val="00295847"/>
    <w:rsid w:val="00295857"/>
    <w:rsid w:val="0029586C"/>
    <w:rsid w:val="00295871"/>
    <w:rsid w:val="002958BD"/>
    <w:rsid w:val="002958CB"/>
    <w:rsid w:val="0029596D"/>
    <w:rsid w:val="00295B47"/>
    <w:rsid w:val="00295B8D"/>
    <w:rsid w:val="00295B9F"/>
    <w:rsid w:val="00295BC3"/>
    <w:rsid w:val="00295BEE"/>
    <w:rsid w:val="00295BF6"/>
    <w:rsid w:val="00295BFC"/>
    <w:rsid w:val="00295C9F"/>
    <w:rsid w:val="00295D34"/>
    <w:rsid w:val="00295D80"/>
    <w:rsid w:val="00295DBD"/>
    <w:rsid w:val="00295E2F"/>
    <w:rsid w:val="00295E39"/>
    <w:rsid w:val="00295E80"/>
    <w:rsid w:val="00295E8A"/>
    <w:rsid w:val="00295F09"/>
    <w:rsid w:val="00295F18"/>
    <w:rsid w:val="00295F52"/>
    <w:rsid w:val="00295F7A"/>
    <w:rsid w:val="0029600A"/>
    <w:rsid w:val="00296050"/>
    <w:rsid w:val="00296051"/>
    <w:rsid w:val="0029609D"/>
    <w:rsid w:val="00296155"/>
    <w:rsid w:val="00296172"/>
    <w:rsid w:val="002961DE"/>
    <w:rsid w:val="0029622F"/>
    <w:rsid w:val="00296247"/>
    <w:rsid w:val="002962C0"/>
    <w:rsid w:val="00296341"/>
    <w:rsid w:val="0029634A"/>
    <w:rsid w:val="0029635D"/>
    <w:rsid w:val="002963A3"/>
    <w:rsid w:val="002964A0"/>
    <w:rsid w:val="002964C6"/>
    <w:rsid w:val="002964C7"/>
    <w:rsid w:val="002964D7"/>
    <w:rsid w:val="00296522"/>
    <w:rsid w:val="0029652A"/>
    <w:rsid w:val="002965CC"/>
    <w:rsid w:val="002965CE"/>
    <w:rsid w:val="0029660E"/>
    <w:rsid w:val="0029661B"/>
    <w:rsid w:val="00296626"/>
    <w:rsid w:val="002966D2"/>
    <w:rsid w:val="0029671A"/>
    <w:rsid w:val="00296774"/>
    <w:rsid w:val="0029682C"/>
    <w:rsid w:val="00296832"/>
    <w:rsid w:val="00296833"/>
    <w:rsid w:val="002968AB"/>
    <w:rsid w:val="002968F3"/>
    <w:rsid w:val="0029690A"/>
    <w:rsid w:val="00296962"/>
    <w:rsid w:val="0029696A"/>
    <w:rsid w:val="002969CB"/>
    <w:rsid w:val="002969EB"/>
    <w:rsid w:val="00296A8E"/>
    <w:rsid w:val="00296AEB"/>
    <w:rsid w:val="00296AFD"/>
    <w:rsid w:val="00296B17"/>
    <w:rsid w:val="00296B63"/>
    <w:rsid w:val="00296BAC"/>
    <w:rsid w:val="00296BD4"/>
    <w:rsid w:val="00296C14"/>
    <w:rsid w:val="00296CAE"/>
    <w:rsid w:val="00296CDB"/>
    <w:rsid w:val="00296D37"/>
    <w:rsid w:val="00296D4B"/>
    <w:rsid w:val="00296DEC"/>
    <w:rsid w:val="00296E1D"/>
    <w:rsid w:val="00296E5A"/>
    <w:rsid w:val="00296E5F"/>
    <w:rsid w:val="00296E6B"/>
    <w:rsid w:val="00296F6F"/>
    <w:rsid w:val="00296FA4"/>
    <w:rsid w:val="00296FB6"/>
    <w:rsid w:val="00296FC5"/>
    <w:rsid w:val="00296FCB"/>
    <w:rsid w:val="00296FFF"/>
    <w:rsid w:val="00297013"/>
    <w:rsid w:val="0029709B"/>
    <w:rsid w:val="00297220"/>
    <w:rsid w:val="00297265"/>
    <w:rsid w:val="00297299"/>
    <w:rsid w:val="002972AA"/>
    <w:rsid w:val="002972F0"/>
    <w:rsid w:val="002972F4"/>
    <w:rsid w:val="00297316"/>
    <w:rsid w:val="0029731F"/>
    <w:rsid w:val="00297331"/>
    <w:rsid w:val="00297367"/>
    <w:rsid w:val="0029736E"/>
    <w:rsid w:val="002973C4"/>
    <w:rsid w:val="00297456"/>
    <w:rsid w:val="00297583"/>
    <w:rsid w:val="00297595"/>
    <w:rsid w:val="002975A4"/>
    <w:rsid w:val="0029769D"/>
    <w:rsid w:val="002976D7"/>
    <w:rsid w:val="00297777"/>
    <w:rsid w:val="002977DD"/>
    <w:rsid w:val="002977F0"/>
    <w:rsid w:val="002977F6"/>
    <w:rsid w:val="002977FF"/>
    <w:rsid w:val="0029780E"/>
    <w:rsid w:val="0029784D"/>
    <w:rsid w:val="00297869"/>
    <w:rsid w:val="0029787F"/>
    <w:rsid w:val="00297887"/>
    <w:rsid w:val="002978EE"/>
    <w:rsid w:val="00297904"/>
    <w:rsid w:val="0029795E"/>
    <w:rsid w:val="0029796A"/>
    <w:rsid w:val="00297A02"/>
    <w:rsid w:val="00297A20"/>
    <w:rsid w:val="00297AFE"/>
    <w:rsid w:val="00297B62"/>
    <w:rsid w:val="00297C31"/>
    <w:rsid w:val="00297C6F"/>
    <w:rsid w:val="00297C74"/>
    <w:rsid w:val="00297CAD"/>
    <w:rsid w:val="00297CC1"/>
    <w:rsid w:val="00297D98"/>
    <w:rsid w:val="00297E61"/>
    <w:rsid w:val="00297ED4"/>
    <w:rsid w:val="00297EDD"/>
    <w:rsid w:val="00297EF4"/>
    <w:rsid w:val="00297EFD"/>
    <w:rsid w:val="00297F87"/>
    <w:rsid w:val="00297FBE"/>
    <w:rsid w:val="002A000D"/>
    <w:rsid w:val="002A0027"/>
    <w:rsid w:val="002A00AD"/>
    <w:rsid w:val="002A00E1"/>
    <w:rsid w:val="002A00F9"/>
    <w:rsid w:val="002A0117"/>
    <w:rsid w:val="002A0161"/>
    <w:rsid w:val="002A01B6"/>
    <w:rsid w:val="002A01CD"/>
    <w:rsid w:val="002A01EC"/>
    <w:rsid w:val="002A01FA"/>
    <w:rsid w:val="002A024B"/>
    <w:rsid w:val="002A028E"/>
    <w:rsid w:val="002A02CF"/>
    <w:rsid w:val="002A0304"/>
    <w:rsid w:val="002A033F"/>
    <w:rsid w:val="002A0355"/>
    <w:rsid w:val="002A03D9"/>
    <w:rsid w:val="002A0424"/>
    <w:rsid w:val="002A045F"/>
    <w:rsid w:val="002A049C"/>
    <w:rsid w:val="002A04A0"/>
    <w:rsid w:val="002A04A6"/>
    <w:rsid w:val="002A053C"/>
    <w:rsid w:val="002A054E"/>
    <w:rsid w:val="002A0611"/>
    <w:rsid w:val="002A062E"/>
    <w:rsid w:val="002A067A"/>
    <w:rsid w:val="002A06C3"/>
    <w:rsid w:val="002A0764"/>
    <w:rsid w:val="002A07C6"/>
    <w:rsid w:val="002A07DD"/>
    <w:rsid w:val="002A07E8"/>
    <w:rsid w:val="002A0848"/>
    <w:rsid w:val="002A0870"/>
    <w:rsid w:val="002A0898"/>
    <w:rsid w:val="002A0905"/>
    <w:rsid w:val="002A093C"/>
    <w:rsid w:val="002A09C3"/>
    <w:rsid w:val="002A0A93"/>
    <w:rsid w:val="002A0AE9"/>
    <w:rsid w:val="002A0BA8"/>
    <w:rsid w:val="002A0BED"/>
    <w:rsid w:val="002A0C12"/>
    <w:rsid w:val="002A0C15"/>
    <w:rsid w:val="002A0C39"/>
    <w:rsid w:val="002A0C7F"/>
    <w:rsid w:val="002A0CA1"/>
    <w:rsid w:val="002A0CD0"/>
    <w:rsid w:val="002A0D02"/>
    <w:rsid w:val="002A0D0C"/>
    <w:rsid w:val="002A0D22"/>
    <w:rsid w:val="002A0D3E"/>
    <w:rsid w:val="002A0D92"/>
    <w:rsid w:val="002A0DB3"/>
    <w:rsid w:val="002A0E02"/>
    <w:rsid w:val="002A0E60"/>
    <w:rsid w:val="002A0E72"/>
    <w:rsid w:val="002A0EBD"/>
    <w:rsid w:val="002A0ECA"/>
    <w:rsid w:val="002A0ED3"/>
    <w:rsid w:val="002A0F73"/>
    <w:rsid w:val="002A0F9D"/>
    <w:rsid w:val="002A0FA9"/>
    <w:rsid w:val="002A100D"/>
    <w:rsid w:val="002A100E"/>
    <w:rsid w:val="002A1017"/>
    <w:rsid w:val="002A102D"/>
    <w:rsid w:val="002A103D"/>
    <w:rsid w:val="002A1063"/>
    <w:rsid w:val="002A109E"/>
    <w:rsid w:val="002A1116"/>
    <w:rsid w:val="002A1117"/>
    <w:rsid w:val="002A11A6"/>
    <w:rsid w:val="002A121E"/>
    <w:rsid w:val="002A1229"/>
    <w:rsid w:val="002A1287"/>
    <w:rsid w:val="002A128D"/>
    <w:rsid w:val="002A12CE"/>
    <w:rsid w:val="002A12F0"/>
    <w:rsid w:val="002A1326"/>
    <w:rsid w:val="002A13F2"/>
    <w:rsid w:val="002A1455"/>
    <w:rsid w:val="002A14FB"/>
    <w:rsid w:val="002A1540"/>
    <w:rsid w:val="002A1542"/>
    <w:rsid w:val="002A1549"/>
    <w:rsid w:val="002A154F"/>
    <w:rsid w:val="002A1569"/>
    <w:rsid w:val="002A15C4"/>
    <w:rsid w:val="002A15DE"/>
    <w:rsid w:val="002A1605"/>
    <w:rsid w:val="002A160D"/>
    <w:rsid w:val="002A1672"/>
    <w:rsid w:val="002A1805"/>
    <w:rsid w:val="002A1823"/>
    <w:rsid w:val="002A1837"/>
    <w:rsid w:val="002A1886"/>
    <w:rsid w:val="002A18B2"/>
    <w:rsid w:val="002A18F8"/>
    <w:rsid w:val="002A191B"/>
    <w:rsid w:val="002A1945"/>
    <w:rsid w:val="002A1951"/>
    <w:rsid w:val="002A19A1"/>
    <w:rsid w:val="002A19E1"/>
    <w:rsid w:val="002A19F4"/>
    <w:rsid w:val="002A1AE5"/>
    <w:rsid w:val="002A1B01"/>
    <w:rsid w:val="002A1B44"/>
    <w:rsid w:val="002A1D21"/>
    <w:rsid w:val="002A1D67"/>
    <w:rsid w:val="002A1DF8"/>
    <w:rsid w:val="002A1E37"/>
    <w:rsid w:val="002A1E72"/>
    <w:rsid w:val="002A1F13"/>
    <w:rsid w:val="002A1F1F"/>
    <w:rsid w:val="002A1F64"/>
    <w:rsid w:val="002A1FB5"/>
    <w:rsid w:val="002A1FD5"/>
    <w:rsid w:val="002A1FE6"/>
    <w:rsid w:val="002A2006"/>
    <w:rsid w:val="002A201A"/>
    <w:rsid w:val="002A201B"/>
    <w:rsid w:val="002A2065"/>
    <w:rsid w:val="002A2071"/>
    <w:rsid w:val="002A208B"/>
    <w:rsid w:val="002A20CA"/>
    <w:rsid w:val="002A210F"/>
    <w:rsid w:val="002A2190"/>
    <w:rsid w:val="002A221D"/>
    <w:rsid w:val="002A2223"/>
    <w:rsid w:val="002A226A"/>
    <w:rsid w:val="002A2272"/>
    <w:rsid w:val="002A2320"/>
    <w:rsid w:val="002A2354"/>
    <w:rsid w:val="002A2358"/>
    <w:rsid w:val="002A2362"/>
    <w:rsid w:val="002A237B"/>
    <w:rsid w:val="002A239F"/>
    <w:rsid w:val="002A23B1"/>
    <w:rsid w:val="002A23BC"/>
    <w:rsid w:val="002A2444"/>
    <w:rsid w:val="002A2448"/>
    <w:rsid w:val="002A24FA"/>
    <w:rsid w:val="002A2527"/>
    <w:rsid w:val="002A2535"/>
    <w:rsid w:val="002A2549"/>
    <w:rsid w:val="002A256C"/>
    <w:rsid w:val="002A25AA"/>
    <w:rsid w:val="002A25C6"/>
    <w:rsid w:val="002A25E3"/>
    <w:rsid w:val="002A25F4"/>
    <w:rsid w:val="002A261A"/>
    <w:rsid w:val="002A26C2"/>
    <w:rsid w:val="002A26DD"/>
    <w:rsid w:val="002A2709"/>
    <w:rsid w:val="002A2778"/>
    <w:rsid w:val="002A27C0"/>
    <w:rsid w:val="002A27F4"/>
    <w:rsid w:val="002A280B"/>
    <w:rsid w:val="002A2810"/>
    <w:rsid w:val="002A281C"/>
    <w:rsid w:val="002A2821"/>
    <w:rsid w:val="002A2832"/>
    <w:rsid w:val="002A2872"/>
    <w:rsid w:val="002A28D1"/>
    <w:rsid w:val="002A28D5"/>
    <w:rsid w:val="002A297B"/>
    <w:rsid w:val="002A2999"/>
    <w:rsid w:val="002A299A"/>
    <w:rsid w:val="002A2ABA"/>
    <w:rsid w:val="002A2AF1"/>
    <w:rsid w:val="002A2B64"/>
    <w:rsid w:val="002A2C5B"/>
    <w:rsid w:val="002A2CB4"/>
    <w:rsid w:val="002A2CCD"/>
    <w:rsid w:val="002A2CD9"/>
    <w:rsid w:val="002A2CEA"/>
    <w:rsid w:val="002A2D11"/>
    <w:rsid w:val="002A2D25"/>
    <w:rsid w:val="002A2D4D"/>
    <w:rsid w:val="002A2D4F"/>
    <w:rsid w:val="002A2DB4"/>
    <w:rsid w:val="002A2E0D"/>
    <w:rsid w:val="002A2E30"/>
    <w:rsid w:val="002A2E50"/>
    <w:rsid w:val="002A2E92"/>
    <w:rsid w:val="002A2ED9"/>
    <w:rsid w:val="002A2F28"/>
    <w:rsid w:val="002A2F4E"/>
    <w:rsid w:val="002A2FC4"/>
    <w:rsid w:val="002A2FC8"/>
    <w:rsid w:val="002A306E"/>
    <w:rsid w:val="002A30EC"/>
    <w:rsid w:val="002A3177"/>
    <w:rsid w:val="002A3179"/>
    <w:rsid w:val="002A31C3"/>
    <w:rsid w:val="002A31CF"/>
    <w:rsid w:val="002A3253"/>
    <w:rsid w:val="002A3298"/>
    <w:rsid w:val="002A3308"/>
    <w:rsid w:val="002A333C"/>
    <w:rsid w:val="002A3357"/>
    <w:rsid w:val="002A3379"/>
    <w:rsid w:val="002A3381"/>
    <w:rsid w:val="002A3399"/>
    <w:rsid w:val="002A33CB"/>
    <w:rsid w:val="002A33E9"/>
    <w:rsid w:val="002A3439"/>
    <w:rsid w:val="002A3462"/>
    <w:rsid w:val="002A347E"/>
    <w:rsid w:val="002A3498"/>
    <w:rsid w:val="002A34E1"/>
    <w:rsid w:val="002A3518"/>
    <w:rsid w:val="002A35CC"/>
    <w:rsid w:val="002A35D0"/>
    <w:rsid w:val="002A35ED"/>
    <w:rsid w:val="002A362F"/>
    <w:rsid w:val="002A3683"/>
    <w:rsid w:val="002A36C4"/>
    <w:rsid w:val="002A36FA"/>
    <w:rsid w:val="002A3724"/>
    <w:rsid w:val="002A3733"/>
    <w:rsid w:val="002A373E"/>
    <w:rsid w:val="002A3756"/>
    <w:rsid w:val="002A3770"/>
    <w:rsid w:val="002A3794"/>
    <w:rsid w:val="002A37A0"/>
    <w:rsid w:val="002A3809"/>
    <w:rsid w:val="002A3853"/>
    <w:rsid w:val="002A3887"/>
    <w:rsid w:val="002A38D2"/>
    <w:rsid w:val="002A38F1"/>
    <w:rsid w:val="002A38FE"/>
    <w:rsid w:val="002A390E"/>
    <w:rsid w:val="002A3923"/>
    <w:rsid w:val="002A39A9"/>
    <w:rsid w:val="002A39D6"/>
    <w:rsid w:val="002A3A22"/>
    <w:rsid w:val="002A3A4F"/>
    <w:rsid w:val="002A3A64"/>
    <w:rsid w:val="002A3AB9"/>
    <w:rsid w:val="002A3AD9"/>
    <w:rsid w:val="002A3B20"/>
    <w:rsid w:val="002A3B6D"/>
    <w:rsid w:val="002A3C12"/>
    <w:rsid w:val="002A3C30"/>
    <w:rsid w:val="002A3C31"/>
    <w:rsid w:val="002A3CB0"/>
    <w:rsid w:val="002A3DB9"/>
    <w:rsid w:val="002A3E12"/>
    <w:rsid w:val="002A3E35"/>
    <w:rsid w:val="002A3E36"/>
    <w:rsid w:val="002A3E5F"/>
    <w:rsid w:val="002A3E95"/>
    <w:rsid w:val="002A3F11"/>
    <w:rsid w:val="002A3F2B"/>
    <w:rsid w:val="002A3F76"/>
    <w:rsid w:val="002A3F77"/>
    <w:rsid w:val="002A3FE7"/>
    <w:rsid w:val="002A4038"/>
    <w:rsid w:val="002A4045"/>
    <w:rsid w:val="002A4046"/>
    <w:rsid w:val="002A4070"/>
    <w:rsid w:val="002A407D"/>
    <w:rsid w:val="002A4089"/>
    <w:rsid w:val="002A410B"/>
    <w:rsid w:val="002A4142"/>
    <w:rsid w:val="002A41AC"/>
    <w:rsid w:val="002A41C6"/>
    <w:rsid w:val="002A41F1"/>
    <w:rsid w:val="002A4220"/>
    <w:rsid w:val="002A4246"/>
    <w:rsid w:val="002A4302"/>
    <w:rsid w:val="002A4312"/>
    <w:rsid w:val="002A4331"/>
    <w:rsid w:val="002A4336"/>
    <w:rsid w:val="002A4368"/>
    <w:rsid w:val="002A43D7"/>
    <w:rsid w:val="002A43FB"/>
    <w:rsid w:val="002A440C"/>
    <w:rsid w:val="002A444E"/>
    <w:rsid w:val="002A445C"/>
    <w:rsid w:val="002A44B0"/>
    <w:rsid w:val="002A44E3"/>
    <w:rsid w:val="002A44FB"/>
    <w:rsid w:val="002A4507"/>
    <w:rsid w:val="002A454A"/>
    <w:rsid w:val="002A455D"/>
    <w:rsid w:val="002A455E"/>
    <w:rsid w:val="002A458C"/>
    <w:rsid w:val="002A45D8"/>
    <w:rsid w:val="002A45F8"/>
    <w:rsid w:val="002A4633"/>
    <w:rsid w:val="002A4677"/>
    <w:rsid w:val="002A468A"/>
    <w:rsid w:val="002A46D3"/>
    <w:rsid w:val="002A46E1"/>
    <w:rsid w:val="002A46EB"/>
    <w:rsid w:val="002A4703"/>
    <w:rsid w:val="002A4719"/>
    <w:rsid w:val="002A475E"/>
    <w:rsid w:val="002A4782"/>
    <w:rsid w:val="002A479D"/>
    <w:rsid w:val="002A47E7"/>
    <w:rsid w:val="002A4803"/>
    <w:rsid w:val="002A488C"/>
    <w:rsid w:val="002A48FD"/>
    <w:rsid w:val="002A4930"/>
    <w:rsid w:val="002A49E7"/>
    <w:rsid w:val="002A4A0A"/>
    <w:rsid w:val="002A4A3F"/>
    <w:rsid w:val="002A4AC5"/>
    <w:rsid w:val="002A4AFE"/>
    <w:rsid w:val="002A4BCD"/>
    <w:rsid w:val="002A4C17"/>
    <w:rsid w:val="002A4C1E"/>
    <w:rsid w:val="002A4C27"/>
    <w:rsid w:val="002A4C3F"/>
    <w:rsid w:val="002A4C6C"/>
    <w:rsid w:val="002A4CB0"/>
    <w:rsid w:val="002A4CB7"/>
    <w:rsid w:val="002A4CC4"/>
    <w:rsid w:val="002A4CE4"/>
    <w:rsid w:val="002A4CEF"/>
    <w:rsid w:val="002A4CFA"/>
    <w:rsid w:val="002A4D11"/>
    <w:rsid w:val="002A4DA4"/>
    <w:rsid w:val="002A4DAD"/>
    <w:rsid w:val="002A4DB0"/>
    <w:rsid w:val="002A4DB1"/>
    <w:rsid w:val="002A4E26"/>
    <w:rsid w:val="002A4EBC"/>
    <w:rsid w:val="002A4ECB"/>
    <w:rsid w:val="002A4F35"/>
    <w:rsid w:val="002A4F7F"/>
    <w:rsid w:val="002A4FC3"/>
    <w:rsid w:val="002A5026"/>
    <w:rsid w:val="002A5039"/>
    <w:rsid w:val="002A504E"/>
    <w:rsid w:val="002A5102"/>
    <w:rsid w:val="002A5146"/>
    <w:rsid w:val="002A5179"/>
    <w:rsid w:val="002A524B"/>
    <w:rsid w:val="002A52E2"/>
    <w:rsid w:val="002A52EF"/>
    <w:rsid w:val="002A5324"/>
    <w:rsid w:val="002A5341"/>
    <w:rsid w:val="002A5350"/>
    <w:rsid w:val="002A53CD"/>
    <w:rsid w:val="002A5401"/>
    <w:rsid w:val="002A5402"/>
    <w:rsid w:val="002A543C"/>
    <w:rsid w:val="002A545F"/>
    <w:rsid w:val="002A5528"/>
    <w:rsid w:val="002A552F"/>
    <w:rsid w:val="002A5548"/>
    <w:rsid w:val="002A55F0"/>
    <w:rsid w:val="002A563A"/>
    <w:rsid w:val="002A5665"/>
    <w:rsid w:val="002A5695"/>
    <w:rsid w:val="002A56EC"/>
    <w:rsid w:val="002A574C"/>
    <w:rsid w:val="002A5754"/>
    <w:rsid w:val="002A577A"/>
    <w:rsid w:val="002A57CD"/>
    <w:rsid w:val="002A584C"/>
    <w:rsid w:val="002A586B"/>
    <w:rsid w:val="002A58A6"/>
    <w:rsid w:val="002A58CC"/>
    <w:rsid w:val="002A58FB"/>
    <w:rsid w:val="002A5979"/>
    <w:rsid w:val="002A597E"/>
    <w:rsid w:val="002A5992"/>
    <w:rsid w:val="002A5A9D"/>
    <w:rsid w:val="002A5ABB"/>
    <w:rsid w:val="002A5AC6"/>
    <w:rsid w:val="002A5BB1"/>
    <w:rsid w:val="002A5BBD"/>
    <w:rsid w:val="002A5C5D"/>
    <w:rsid w:val="002A5CB4"/>
    <w:rsid w:val="002A5CE9"/>
    <w:rsid w:val="002A5D04"/>
    <w:rsid w:val="002A5D17"/>
    <w:rsid w:val="002A5D36"/>
    <w:rsid w:val="002A5E87"/>
    <w:rsid w:val="002A5F27"/>
    <w:rsid w:val="002A5F66"/>
    <w:rsid w:val="002A5F6F"/>
    <w:rsid w:val="002A5F8E"/>
    <w:rsid w:val="002A5F90"/>
    <w:rsid w:val="002A6072"/>
    <w:rsid w:val="002A60AF"/>
    <w:rsid w:val="002A60C3"/>
    <w:rsid w:val="002A6121"/>
    <w:rsid w:val="002A619B"/>
    <w:rsid w:val="002A6203"/>
    <w:rsid w:val="002A620A"/>
    <w:rsid w:val="002A6230"/>
    <w:rsid w:val="002A6234"/>
    <w:rsid w:val="002A628E"/>
    <w:rsid w:val="002A62A5"/>
    <w:rsid w:val="002A633D"/>
    <w:rsid w:val="002A6342"/>
    <w:rsid w:val="002A6366"/>
    <w:rsid w:val="002A6368"/>
    <w:rsid w:val="002A6382"/>
    <w:rsid w:val="002A63B0"/>
    <w:rsid w:val="002A63DF"/>
    <w:rsid w:val="002A63E0"/>
    <w:rsid w:val="002A6455"/>
    <w:rsid w:val="002A646F"/>
    <w:rsid w:val="002A647D"/>
    <w:rsid w:val="002A64CD"/>
    <w:rsid w:val="002A64D3"/>
    <w:rsid w:val="002A658A"/>
    <w:rsid w:val="002A6591"/>
    <w:rsid w:val="002A65BA"/>
    <w:rsid w:val="002A65F4"/>
    <w:rsid w:val="002A662A"/>
    <w:rsid w:val="002A665B"/>
    <w:rsid w:val="002A6665"/>
    <w:rsid w:val="002A6689"/>
    <w:rsid w:val="002A66A2"/>
    <w:rsid w:val="002A66CE"/>
    <w:rsid w:val="002A6741"/>
    <w:rsid w:val="002A6767"/>
    <w:rsid w:val="002A676F"/>
    <w:rsid w:val="002A67C5"/>
    <w:rsid w:val="002A67D7"/>
    <w:rsid w:val="002A67F4"/>
    <w:rsid w:val="002A68FC"/>
    <w:rsid w:val="002A690C"/>
    <w:rsid w:val="002A6913"/>
    <w:rsid w:val="002A6925"/>
    <w:rsid w:val="002A69B7"/>
    <w:rsid w:val="002A69B9"/>
    <w:rsid w:val="002A69F9"/>
    <w:rsid w:val="002A6A19"/>
    <w:rsid w:val="002A6A6A"/>
    <w:rsid w:val="002A6AD4"/>
    <w:rsid w:val="002A6B2D"/>
    <w:rsid w:val="002A6B70"/>
    <w:rsid w:val="002A6B80"/>
    <w:rsid w:val="002A6BBA"/>
    <w:rsid w:val="002A6C4B"/>
    <w:rsid w:val="002A6C8B"/>
    <w:rsid w:val="002A6C95"/>
    <w:rsid w:val="002A6D0E"/>
    <w:rsid w:val="002A6D2A"/>
    <w:rsid w:val="002A6D78"/>
    <w:rsid w:val="002A6D79"/>
    <w:rsid w:val="002A6DA6"/>
    <w:rsid w:val="002A6E08"/>
    <w:rsid w:val="002A6E48"/>
    <w:rsid w:val="002A6E4E"/>
    <w:rsid w:val="002A6F1F"/>
    <w:rsid w:val="002A6F4E"/>
    <w:rsid w:val="002A6F87"/>
    <w:rsid w:val="002A6F8F"/>
    <w:rsid w:val="002A6FE5"/>
    <w:rsid w:val="002A7141"/>
    <w:rsid w:val="002A719A"/>
    <w:rsid w:val="002A71C2"/>
    <w:rsid w:val="002A71FE"/>
    <w:rsid w:val="002A724F"/>
    <w:rsid w:val="002A7260"/>
    <w:rsid w:val="002A7264"/>
    <w:rsid w:val="002A72D2"/>
    <w:rsid w:val="002A72EB"/>
    <w:rsid w:val="002A72EE"/>
    <w:rsid w:val="002A732F"/>
    <w:rsid w:val="002A73B8"/>
    <w:rsid w:val="002A7413"/>
    <w:rsid w:val="002A7417"/>
    <w:rsid w:val="002A7422"/>
    <w:rsid w:val="002A7427"/>
    <w:rsid w:val="002A7433"/>
    <w:rsid w:val="002A7454"/>
    <w:rsid w:val="002A74F1"/>
    <w:rsid w:val="002A75D1"/>
    <w:rsid w:val="002A75E0"/>
    <w:rsid w:val="002A7606"/>
    <w:rsid w:val="002A760B"/>
    <w:rsid w:val="002A763D"/>
    <w:rsid w:val="002A764A"/>
    <w:rsid w:val="002A765D"/>
    <w:rsid w:val="002A768D"/>
    <w:rsid w:val="002A76CE"/>
    <w:rsid w:val="002A76D7"/>
    <w:rsid w:val="002A76FC"/>
    <w:rsid w:val="002A770A"/>
    <w:rsid w:val="002A7731"/>
    <w:rsid w:val="002A7753"/>
    <w:rsid w:val="002A7762"/>
    <w:rsid w:val="002A777E"/>
    <w:rsid w:val="002A778D"/>
    <w:rsid w:val="002A778E"/>
    <w:rsid w:val="002A77D1"/>
    <w:rsid w:val="002A781F"/>
    <w:rsid w:val="002A7883"/>
    <w:rsid w:val="002A78E6"/>
    <w:rsid w:val="002A7915"/>
    <w:rsid w:val="002A7925"/>
    <w:rsid w:val="002A794A"/>
    <w:rsid w:val="002A797C"/>
    <w:rsid w:val="002A7A01"/>
    <w:rsid w:val="002A7A12"/>
    <w:rsid w:val="002A7A3F"/>
    <w:rsid w:val="002A7AE6"/>
    <w:rsid w:val="002A7BAB"/>
    <w:rsid w:val="002A7BB8"/>
    <w:rsid w:val="002A7BD0"/>
    <w:rsid w:val="002A7C06"/>
    <w:rsid w:val="002A7C10"/>
    <w:rsid w:val="002A7C2F"/>
    <w:rsid w:val="002A7C5C"/>
    <w:rsid w:val="002A7CBB"/>
    <w:rsid w:val="002A7CC5"/>
    <w:rsid w:val="002A7CCC"/>
    <w:rsid w:val="002A7CF6"/>
    <w:rsid w:val="002A7D0F"/>
    <w:rsid w:val="002A7D1A"/>
    <w:rsid w:val="002A7D1D"/>
    <w:rsid w:val="002A7DA1"/>
    <w:rsid w:val="002A7DCE"/>
    <w:rsid w:val="002A7E27"/>
    <w:rsid w:val="002A7E93"/>
    <w:rsid w:val="002A7F22"/>
    <w:rsid w:val="002A7F2E"/>
    <w:rsid w:val="002A7F6C"/>
    <w:rsid w:val="002A7F9A"/>
    <w:rsid w:val="002A7FB9"/>
    <w:rsid w:val="002A7FF5"/>
    <w:rsid w:val="002B000D"/>
    <w:rsid w:val="002B0032"/>
    <w:rsid w:val="002B003D"/>
    <w:rsid w:val="002B00D3"/>
    <w:rsid w:val="002B00E3"/>
    <w:rsid w:val="002B00E6"/>
    <w:rsid w:val="002B0141"/>
    <w:rsid w:val="002B0142"/>
    <w:rsid w:val="002B014F"/>
    <w:rsid w:val="002B01EA"/>
    <w:rsid w:val="002B020B"/>
    <w:rsid w:val="002B0243"/>
    <w:rsid w:val="002B0261"/>
    <w:rsid w:val="002B026A"/>
    <w:rsid w:val="002B0294"/>
    <w:rsid w:val="002B02E3"/>
    <w:rsid w:val="002B02EF"/>
    <w:rsid w:val="002B02F7"/>
    <w:rsid w:val="002B0347"/>
    <w:rsid w:val="002B037C"/>
    <w:rsid w:val="002B038C"/>
    <w:rsid w:val="002B0396"/>
    <w:rsid w:val="002B03AD"/>
    <w:rsid w:val="002B03D0"/>
    <w:rsid w:val="002B03D4"/>
    <w:rsid w:val="002B0435"/>
    <w:rsid w:val="002B045F"/>
    <w:rsid w:val="002B046C"/>
    <w:rsid w:val="002B047A"/>
    <w:rsid w:val="002B048C"/>
    <w:rsid w:val="002B04A8"/>
    <w:rsid w:val="002B050E"/>
    <w:rsid w:val="002B0560"/>
    <w:rsid w:val="002B059D"/>
    <w:rsid w:val="002B05F4"/>
    <w:rsid w:val="002B062B"/>
    <w:rsid w:val="002B0645"/>
    <w:rsid w:val="002B0670"/>
    <w:rsid w:val="002B06B8"/>
    <w:rsid w:val="002B0713"/>
    <w:rsid w:val="002B072D"/>
    <w:rsid w:val="002B0741"/>
    <w:rsid w:val="002B076F"/>
    <w:rsid w:val="002B0794"/>
    <w:rsid w:val="002B07C2"/>
    <w:rsid w:val="002B07FE"/>
    <w:rsid w:val="002B0806"/>
    <w:rsid w:val="002B08A5"/>
    <w:rsid w:val="002B08F5"/>
    <w:rsid w:val="002B096D"/>
    <w:rsid w:val="002B0983"/>
    <w:rsid w:val="002B09B2"/>
    <w:rsid w:val="002B0A05"/>
    <w:rsid w:val="002B0AB5"/>
    <w:rsid w:val="002B0AC9"/>
    <w:rsid w:val="002B0AF3"/>
    <w:rsid w:val="002B0B7B"/>
    <w:rsid w:val="002B0B8B"/>
    <w:rsid w:val="002B0B8C"/>
    <w:rsid w:val="002B0B9B"/>
    <w:rsid w:val="002B0BAD"/>
    <w:rsid w:val="002B0BB4"/>
    <w:rsid w:val="002B0BF1"/>
    <w:rsid w:val="002B0C43"/>
    <w:rsid w:val="002B0CB0"/>
    <w:rsid w:val="002B0CED"/>
    <w:rsid w:val="002B0D18"/>
    <w:rsid w:val="002B0D45"/>
    <w:rsid w:val="002B0D81"/>
    <w:rsid w:val="002B0D83"/>
    <w:rsid w:val="002B0DB6"/>
    <w:rsid w:val="002B0DE4"/>
    <w:rsid w:val="002B0E96"/>
    <w:rsid w:val="002B0EBE"/>
    <w:rsid w:val="002B0EE6"/>
    <w:rsid w:val="002B0F73"/>
    <w:rsid w:val="002B0FB0"/>
    <w:rsid w:val="002B0FBC"/>
    <w:rsid w:val="002B0FE5"/>
    <w:rsid w:val="002B0FEC"/>
    <w:rsid w:val="002B0FF5"/>
    <w:rsid w:val="002B1015"/>
    <w:rsid w:val="002B1033"/>
    <w:rsid w:val="002B106A"/>
    <w:rsid w:val="002B1080"/>
    <w:rsid w:val="002B10CA"/>
    <w:rsid w:val="002B10E0"/>
    <w:rsid w:val="002B115A"/>
    <w:rsid w:val="002B117B"/>
    <w:rsid w:val="002B118C"/>
    <w:rsid w:val="002B1197"/>
    <w:rsid w:val="002B11A1"/>
    <w:rsid w:val="002B11D7"/>
    <w:rsid w:val="002B1235"/>
    <w:rsid w:val="002B1272"/>
    <w:rsid w:val="002B1291"/>
    <w:rsid w:val="002B12F6"/>
    <w:rsid w:val="002B1373"/>
    <w:rsid w:val="002B1392"/>
    <w:rsid w:val="002B142E"/>
    <w:rsid w:val="002B142F"/>
    <w:rsid w:val="002B1462"/>
    <w:rsid w:val="002B1496"/>
    <w:rsid w:val="002B14E7"/>
    <w:rsid w:val="002B1509"/>
    <w:rsid w:val="002B1529"/>
    <w:rsid w:val="002B156D"/>
    <w:rsid w:val="002B156F"/>
    <w:rsid w:val="002B1639"/>
    <w:rsid w:val="002B165D"/>
    <w:rsid w:val="002B166C"/>
    <w:rsid w:val="002B16BE"/>
    <w:rsid w:val="002B1726"/>
    <w:rsid w:val="002B17BF"/>
    <w:rsid w:val="002B17DA"/>
    <w:rsid w:val="002B17E8"/>
    <w:rsid w:val="002B1817"/>
    <w:rsid w:val="002B1823"/>
    <w:rsid w:val="002B183F"/>
    <w:rsid w:val="002B186B"/>
    <w:rsid w:val="002B189B"/>
    <w:rsid w:val="002B18A1"/>
    <w:rsid w:val="002B18FE"/>
    <w:rsid w:val="002B1914"/>
    <w:rsid w:val="002B1936"/>
    <w:rsid w:val="002B197E"/>
    <w:rsid w:val="002B1A5E"/>
    <w:rsid w:val="002B1A62"/>
    <w:rsid w:val="002B1A79"/>
    <w:rsid w:val="002B1AB6"/>
    <w:rsid w:val="002B1AF4"/>
    <w:rsid w:val="002B1BA5"/>
    <w:rsid w:val="002B1BBB"/>
    <w:rsid w:val="002B1BDD"/>
    <w:rsid w:val="002B1BE4"/>
    <w:rsid w:val="002B1C12"/>
    <w:rsid w:val="002B1C49"/>
    <w:rsid w:val="002B1CDC"/>
    <w:rsid w:val="002B1D08"/>
    <w:rsid w:val="002B1D3C"/>
    <w:rsid w:val="002B1D44"/>
    <w:rsid w:val="002B1D48"/>
    <w:rsid w:val="002B1DA8"/>
    <w:rsid w:val="002B1DA9"/>
    <w:rsid w:val="002B1EA5"/>
    <w:rsid w:val="002B1F40"/>
    <w:rsid w:val="002B1F9A"/>
    <w:rsid w:val="002B1FB5"/>
    <w:rsid w:val="002B1FC8"/>
    <w:rsid w:val="002B2008"/>
    <w:rsid w:val="002B200D"/>
    <w:rsid w:val="002B2051"/>
    <w:rsid w:val="002B2052"/>
    <w:rsid w:val="002B2067"/>
    <w:rsid w:val="002B2068"/>
    <w:rsid w:val="002B20D6"/>
    <w:rsid w:val="002B2143"/>
    <w:rsid w:val="002B2150"/>
    <w:rsid w:val="002B216D"/>
    <w:rsid w:val="002B2178"/>
    <w:rsid w:val="002B21F4"/>
    <w:rsid w:val="002B222F"/>
    <w:rsid w:val="002B228A"/>
    <w:rsid w:val="002B229B"/>
    <w:rsid w:val="002B22D7"/>
    <w:rsid w:val="002B22E2"/>
    <w:rsid w:val="002B22E3"/>
    <w:rsid w:val="002B235A"/>
    <w:rsid w:val="002B23BF"/>
    <w:rsid w:val="002B23D2"/>
    <w:rsid w:val="002B2421"/>
    <w:rsid w:val="002B244E"/>
    <w:rsid w:val="002B244F"/>
    <w:rsid w:val="002B245D"/>
    <w:rsid w:val="002B2491"/>
    <w:rsid w:val="002B24BD"/>
    <w:rsid w:val="002B24E8"/>
    <w:rsid w:val="002B24EF"/>
    <w:rsid w:val="002B25D6"/>
    <w:rsid w:val="002B265C"/>
    <w:rsid w:val="002B267A"/>
    <w:rsid w:val="002B2681"/>
    <w:rsid w:val="002B26B0"/>
    <w:rsid w:val="002B26BF"/>
    <w:rsid w:val="002B27C0"/>
    <w:rsid w:val="002B27C2"/>
    <w:rsid w:val="002B27FC"/>
    <w:rsid w:val="002B286B"/>
    <w:rsid w:val="002B2880"/>
    <w:rsid w:val="002B28C8"/>
    <w:rsid w:val="002B28D6"/>
    <w:rsid w:val="002B2936"/>
    <w:rsid w:val="002B2990"/>
    <w:rsid w:val="002B29B2"/>
    <w:rsid w:val="002B29CD"/>
    <w:rsid w:val="002B29D6"/>
    <w:rsid w:val="002B29EC"/>
    <w:rsid w:val="002B2A03"/>
    <w:rsid w:val="002B2A20"/>
    <w:rsid w:val="002B2A33"/>
    <w:rsid w:val="002B2A35"/>
    <w:rsid w:val="002B2A89"/>
    <w:rsid w:val="002B2AA7"/>
    <w:rsid w:val="002B2AAB"/>
    <w:rsid w:val="002B2AB0"/>
    <w:rsid w:val="002B2ABB"/>
    <w:rsid w:val="002B2B28"/>
    <w:rsid w:val="002B2B30"/>
    <w:rsid w:val="002B2B77"/>
    <w:rsid w:val="002B2BB4"/>
    <w:rsid w:val="002B2BBD"/>
    <w:rsid w:val="002B2C0D"/>
    <w:rsid w:val="002B2D0D"/>
    <w:rsid w:val="002B2D35"/>
    <w:rsid w:val="002B2D75"/>
    <w:rsid w:val="002B2D94"/>
    <w:rsid w:val="002B2DBC"/>
    <w:rsid w:val="002B2DE1"/>
    <w:rsid w:val="002B2EFD"/>
    <w:rsid w:val="002B2F02"/>
    <w:rsid w:val="002B2F3E"/>
    <w:rsid w:val="002B2FB9"/>
    <w:rsid w:val="002B2FF6"/>
    <w:rsid w:val="002B3088"/>
    <w:rsid w:val="002B30CE"/>
    <w:rsid w:val="002B3100"/>
    <w:rsid w:val="002B31D1"/>
    <w:rsid w:val="002B31F6"/>
    <w:rsid w:val="002B31FA"/>
    <w:rsid w:val="002B3208"/>
    <w:rsid w:val="002B3259"/>
    <w:rsid w:val="002B3267"/>
    <w:rsid w:val="002B3295"/>
    <w:rsid w:val="002B331F"/>
    <w:rsid w:val="002B3327"/>
    <w:rsid w:val="002B3369"/>
    <w:rsid w:val="002B33C0"/>
    <w:rsid w:val="002B3501"/>
    <w:rsid w:val="002B359B"/>
    <w:rsid w:val="002B359C"/>
    <w:rsid w:val="002B35E6"/>
    <w:rsid w:val="002B35F6"/>
    <w:rsid w:val="002B360A"/>
    <w:rsid w:val="002B36A0"/>
    <w:rsid w:val="002B36BC"/>
    <w:rsid w:val="002B3770"/>
    <w:rsid w:val="002B378B"/>
    <w:rsid w:val="002B378D"/>
    <w:rsid w:val="002B3797"/>
    <w:rsid w:val="002B3826"/>
    <w:rsid w:val="002B3836"/>
    <w:rsid w:val="002B383C"/>
    <w:rsid w:val="002B3868"/>
    <w:rsid w:val="002B3887"/>
    <w:rsid w:val="002B38A3"/>
    <w:rsid w:val="002B390B"/>
    <w:rsid w:val="002B3964"/>
    <w:rsid w:val="002B39B0"/>
    <w:rsid w:val="002B39E9"/>
    <w:rsid w:val="002B3A39"/>
    <w:rsid w:val="002B3A3B"/>
    <w:rsid w:val="002B3A52"/>
    <w:rsid w:val="002B3A77"/>
    <w:rsid w:val="002B3A9E"/>
    <w:rsid w:val="002B3AAB"/>
    <w:rsid w:val="002B3AFF"/>
    <w:rsid w:val="002B3B18"/>
    <w:rsid w:val="002B3B38"/>
    <w:rsid w:val="002B3B39"/>
    <w:rsid w:val="002B3B50"/>
    <w:rsid w:val="002B3BC8"/>
    <w:rsid w:val="002B3BD9"/>
    <w:rsid w:val="002B3BFE"/>
    <w:rsid w:val="002B3C06"/>
    <w:rsid w:val="002B3C28"/>
    <w:rsid w:val="002B3C2C"/>
    <w:rsid w:val="002B3C61"/>
    <w:rsid w:val="002B3C7D"/>
    <w:rsid w:val="002B3C8C"/>
    <w:rsid w:val="002B3CA4"/>
    <w:rsid w:val="002B3CAE"/>
    <w:rsid w:val="002B3CB8"/>
    <w:rsid w:val="002B3D28"/>
    <w:rsid w:val="002B3D86"/>
    <w:rsid w:val="002B3D8C"/>
    <w:rsid w:val="002B3E3A"/>
    <w:rsid w:val="002B3E9B"/>
    <w:rsid w:val="002B3EAC"/>
    <w:rsid w:val="002B3F1E"/>
    <w:rsid w:val="002B3FF5"/>
    <w:rsid w:val="002B4011"/>
    <w:rsid w:val="002B4061"/>
    <w:rsid w:val="002B4078"/>
    <w:rsid w:val="002B411E"/>
    <w:rsid w:val="002B41B7"/>
    <w:rsid w:val="002B41D8"/>
    <w:rsid w:val="002B435B"/>
    <w:rsid w:val="002B436E"/>
    <w:rsid w:val="002B4399"/>
    <w:rsid w:val="002B43C2"/>
    <w:rsid w:val="002B43C4"/>
    <w:rsid w:val="002B43EE"/>
    <w:rsid w:val="002B4400"/>
    <w:rsid w:val="002B44D1"/>
    <w:rsid w:val="002B44EC"/>
    <w:rsid w:val="002B44F1"/>
    <w:rsid w:val="002B453A"/>
    <w:rsid w:val="002B4557"/>
    <w:rsid w:val="002B456C"/>
    <w:rsid w:val="002B4570"/>
    <w:rsid w:val="002B4579"/>
    <w:rsid w:val="002B4580"/>
    <w:rsid w:val="002B45AA"/>
    <w:rsid w:val="002B4625"/>
    <w:rsid w:val="002B462A"/>
    <w:rsid w:val="002B46AC"/>
    <w:rsid w:val="002B47AE"/>
    <w:rsid w:val="002B47ED"/>
    <w:rsid w:val="002B480D"/>
    <w:rsid w:val="002B483E"/>
    <w:rsid w:val="002B48B3"/>
    <w:rsid w:val="002B48B8"/>
    <w:rsid w:val="002B48DD"/>
    <w:rsid w:val="002B490C"/>
    <w:rsid w:val="002B4924"/>
    <w:rsid w:val="002B49B2"/>
    <w:rsid w:val="002B4A0C"/>
    <w:rsid w:val="002B4A1B"/>
    <w:rsid w:val="002B4A39"/>
    <w:rsid w:val="002B4AB9"/>
    <w:rsid w:val="002B4AD2"/>
    <w:rsid w:val="002B4ADB"/>
    <w:rsid w:val="002B4B08"/>
    <w:rsid w:val="002B4B6D"/>
    <w:rsid w:val="002B4B7E"/>
    <w:rsid w:val="002B4C44"/>
    <w:rsid w:val="002B4C8C"/>
    <w:rsid w:val="002B4CC0"/>
    <w:rsid w:val="002B4CC1"/>
    <w:rsid w:val="002B4CCD"/>
    <w:rsid w:val="002B4CD1"/>
    <w:rsid w:val="002B4D41"/>
    <w:rsid w:val="002B4D5E"/>
    <w:rsid w:val="002B4D62"/>
    <w:rsid w:val="002B4D78"/>
    <w:rsid w:val="002B4D84"/>
    <w:rsid w:val="002B4D9D"/>
    <w:rsid w:val="002B4D9E"/>
    <w:rsid w:val="002B4E13"/>
    <w:rsid w:val="002B4E72"/>
    <w:rsid w:val="002B4EFB"/>
    <w:rsid w:val="002B4F1E"/>
    <w:rsid w:val="002B4F6A"/>
    <w:rsid w:val="002B4F9F"/>
    <w:rsid w:val="002B4FB5"/>
    <w:rsid w:val="002B4FBA"/>
    <w:rsid w:val="002B50E1"/>
    <w:rsid w:val="002B5185"/>
    <w:rsid w:val="002B5208"/>
    <w:rsid w:val="002B522A"/>
    <w:rsid w:val="002B525B"/>
    <w:rsid w:val="002B5314"/>
    <w:rsid w:val="002B534C"/>
    <w:rsid w:val="002B5357"/>
    <w:rsid w:val="002B5404"/>
    <w:rsid w:val="002B5432"/>
    <w:rsid w:val="002B5486"/>
    <w:rsid w:val="002B54BF"/>
    <w:rsid w:val="002B54D2"/>
    <w:rsid w:val="002B5501"/>
    <w:rsid w:val="002B5528"/>
    <w:rsid w:val="002B554C"/>
    <w:rsid w:val="002B5570"/>
    <w:rsid w:val="002B55AC"/>
    <w:rsid w:val="002B562F"/>
    <w:rsid w:val="002B5634"/>
    <w:rsid w:val="002B56D4"/>
    <w:rsid w:val="002B572A"/>
    <w:rsid w:val="002B5796"/>
    <w:rsid w:val="002B57AC"/>
    <w:rsid w:val="002B57C6"/>
    <w:rsid w:val="002B57D0"/>
    <w:rsid w:val="002B57E7"/>
    <w:rsid w:val="002B5829"/>
    <w:rsid w:val="002B584C"/>
    <w:rsid w:val="002B5858"/>
    <w:rsid w:val="002B5964"/>
    <w:rsid w:val="002B59A0"/>
    <w:rsid w:val="002B59DF"/>
    <w:rsid w:val="002B5A55"/>
    <w:rsid w:val="002B5AC2"/>
    <w:rsid w:val="002B5ADF"/>
    <w:rsid w:val="002B5B28"/>
    <w:rsid w:val="002B5B63"/>
    <w:rsid w:val="002B5BFB"/>
    <w:rsid w:val="002B5C02"/>
    <w:rsid w:val="002B5C54"/>
    <w:rsid w:val="002B5D5C"/>
    <w:rsid w:val="002B5DAE"/>
    <w:rsid w:val="002B5DB1"/>
    <w:rsid w:val="002B5DFE"/>
    <w:rsid w:val="002B5E17"/>
    <w:rsid w:val="002B5E4A"/>
    <w:rsid w:val="002B5E56"/>
    <w:rsid w:val="002B5E93"/>
    <w:rsid w:val="002B5EAB"/>
    <w:rsid w:val="002B5EF0"/>
    <w:rsid w:val="002B5EF5"/>
    <w:rsid w:val="002B5EF7"/>
    <w:rsid w:val="002B5F16"/>
    <w:rsid w:val="002B5F2D"/>
    <w:rsid w:val="002B5F3A"/>
    <w:rsid w:val="002B5F50"/>
    <w:rsid w:val="002B5FF7"/>
    <w:rsid w:val="002B6004"/>
    <w:rsid w:val="002B6018"/>
    <w:rsid w:val="002B6035"/>
    <w:rsid w:val="002B60B4"/>
    <w:rsid w:val="002B60C3"/>
    <w:rsid w:val="002B612C"/>
    <w:rsid w:val="002B613F"/>
    <w:rsid w:val="002B620B"/>
    <w:rsid w:val="002B6267"/>
    <w:rsid w:val="002B62A5"/>
    <w:rsid w:val="002B6325"/>
    <w:rsid w:val="002B63A6"/>
    <w:rsid w:val="002B63F4"/>
    <w:rsid w:val="002B64C7"/>
    <w:rsid w:val="002B64E0"/>
    <w:rsid w:val="002B657B"/>
    <w:rsid w:val="002B65B9"/>
    <w:rsid w:val="002B65EF"/>
    <w:rsid w:val="002B669A"/>
    <w:rsid w:val="002B66AB"/>
    <w:rsid w:val="002B66D8"/>
    <w:rsid w:val="002B66D9"/>
    <w:rsid w:val="002B6708"/>
    <w:rsid w:val="002B6710"/>
    <w:rsid w:val="002B6786"/>
    <w:rsid w:val="002B6789"/>
    <w:rsid w:val="002B6790"/>
    <w:rsid w:val="002B6797"/>
    <w:rsid w:val="002B68C5"/>
    <w:rsid w:val="002B68EF"/>
    <w:rsid w:val="002B692E"/>
    <w:rsid w:val="002B6937"/>
    <w:rsid w:val="002B69C8"/>
    <w:rsid w:val="002B6A7E"/>
    <w:rsid w:val="002B6AFA"/>
    <w:rsid w:val="002B6B34"/>
    <w:rsid w:val="002B6B4C"/>
    <w:rsid w:val="002B6B9E"/>
    <w:rsid w:val="002B6C09"/>
    <w:rsid w:val="002B6C0A"/>
    <w:rsid w:val="002B6C26"/>
    <w:rsid w:val="002B6D01"/>
    <w:rsid w:val="002B6D2A"/>
    <w:rsid w:val="002B6D2D"/>
    <w:rsid w:val="002B6D45"/>
    <w:rsid w:val="002B6D4A"/>
    <w:rsid w:val="002B6DAD"/>
    <w:rsid w:val="002B6E28"/>
    <w:rsid w:val="002B6E35"/>
    <w:rsid w:val="002B6E92"/>
    <w:rsid w:val="002B6EDB"/>
    <w:rsid w:val="002B6EDF"/>
    <w:rsid w:val="002B6EEF"/>
    <w:rsid w:val="002B6FCB"/>
    <w:rsid w:val="002B705A"/>
    <w:rsid w:val="002B7116"/>
    <w:rsid w:val="002B7138"/>
    <w:rsid w:val="002B714C"/>
    <w:rsid w:val="002B716A"/>
    <w:rsid w:val="002B723C"/>
    <w:rsid w:val="002B7246"/>
    <w:rsid w:val="002B72BF"/>
    <w:rsid w:val="002B731D"/>
    <w:rsid w:val="002B732A"/>
    <w:rsid w:val="002B735C"/>
    <w:rsid w:val="002B73B5"/>
    <w:rsid w:val="002B73E9"/>
    <w:rsid w:val="002B7421"/>
    <w:rsid w:val="002B7449"/>
    <w:rsid w:val="002B744B"/>
    <w:rsid w:val="002B7463"/>
    <w:rsid w:val="002B746A"/>
    <w:rsid w:val="002B749F"/>
    <w:rsid w:val="002B74B5"/>
    <w:rsid w:val="002B74C5"/>
    <w:rsid w:val="002B74E4"/>
    <w:rsid w:val="002B74F1"/>
    <w:rsid w:val="002B7501"/>
    <w:rsid w:val="002B7534"/>
    <w:rsid w:val="002B75C5"/>
    <w:rsid w:val="002B75EC"/>
    <w:rsid w:val="002B7603"/>
    <w:rsid w:val="002B767C"/>
    <w:rsid w:val="002B76F2"/>
    <w:rsid w:val="002B771D"/>
    <w:rsid w:val="002B7788"/>
    <w:rsid w:val="002B779E"/>
    <w:rsid w:val="002B77A6"/>
    <w:rsid w:val="002B77A9"/>
    <w:rsid w:val="002B77E1"/>
    <w:rsid w:val="002B7827"/>
    <w:rsid w:val="002B782B"/>
    <w:rsid w:val="002B7842"/>
    <w:rsid w:val="002B7846"/>
    <w:rsid w:val="002B7883"/>
    <w:rsid w:val="002B788B"/>
    <w:rsid w:val="002B78D0"/>
    <w:rsid w:val="002B7A10"/>
    <w:rsid w:val="002B7A29"/>
    <w:rsid w:val="002B7A5E"/>
    <w:rsid w:val="002B7A7D"/>
    <w:rsid w:val="002B7B2B"/>
    <w:rsid w:val="002B7B7B"/>
    <w:rsid w:val="002B7BB4"/>
    <w:rsid w:val="002B7C98"/>
    <w:rsid w:val="002B7D9C"/>
    <w:rsid w:val="002B7DC7"/>
    <w:rsid w:val="002B7E24"/>
    <w:rsid w:val="002B7E62"/>
    <w:rsid w:val="002B7E9A"/>
    <w:rsid w:val="002B7EB9"/>
    <w:rsid w:val="002B7EE0"/>
    <w:rsid w:val="002B7EE1"/>
    <w:rsid w:val="002C001C"/>
    <w:rsid w:val="002C008E"/>
    <w:rsid w:val="002C0096"/>
    <w:rsid w:val="002C00B4"/>
    <w:rsid w:val="002C00B7"/>
    <w:rsid w:val="002C0144"/>
    <w:rsid w:val="002C016C"/>
    <w:rsid w:val="002C01FB"/>
    <w:rsid w:val="002C01FD"/>
    <w:rsid w:val="002C0201"/>
    <w:rsid w:val="002C025E"/>
    <w:rsid w:val="002C02D3"/>
    <w:rsid w:val="002C032B"/>
    <w:rsid w:val="002C0350"/>
    <w:rsid w:val="002C035A"/>
    <w:rsid w:val="002C0386"/>
    <w:rsid w:val="002C0450"/>
    <w:rsid w:val="002C04CF"/>
    <w:rsid w:val="002C04DF"/>
    <w:rsid w:val="002C04EB"/>
    <w:rsid w:val="002C04F6"/>
    <w:rsid w:val="002C051A"/>
    <w:rsid w:val="002C056A"/>
    <w:rsid w:val="002C058E"/>
    <w:rsid w:val="002C0599"/>
    <w:rsid w:val="002C0643"/>
    <w:rsid w:val="002C0646"/>
    <w:rsid w:val="002C0698"/>
    <w:rsid w:val="002C070D"/>
    <w:rsid w:val="002C072E"/>
    <w:rsid w:val="002C0790"/>
    <w:rsid w:val="002C07D8"/>
    <w:rsid w:val="002C0810"/>
    <w:rsid w:val="002C0840"/>
    <w:rsid w:val="002C087D"/>
    <w:rsid w:val="002C08CB"/>
    <w:rsid w:val="002C08D1"/>
    <w:rsid w:val="002C090F"/>
    <w:rsid w:val="002C09BB"/>
    <w:rsid w:val="002C0A01"/>
    <w:rsid w:val="002C0A09"/>
    <w:rsid w:val="002C0A0E"/>
    <w:rsid w:val="002C0A34"/>
    <w:rsid w:val="002C0A39"/>
    <w:rsid w:val="002C0A88"/>
    <w:rsid w:val="002C0AAB"/>
    <w:rsid w:val="002C0ACF"/>
    <w:rsid w:val="002C0BF3"/>
    <w:rsid w:val="002C0CBA"/>
    <w:rsid w:val="002C0CBB"/>
    <w:rsid w:val="002C0CE4"/>
    <w:rsid w:val="002C0CEF"/>
    <w:rsid w:val="002C0CF7"/>
    <w:rsid w:val="002C0D2C"/>
    <w:rsid w:val="002C0DDA"/>
    <w:rsid w:val="002C0E37"/>
    <w:rsid w:val="002C0E47"/>
    <w:rsid w:val="002C0E71"/>
    <w:rsid w:val="002C0E80"/>
    <w:rsid w:val="002C0E9C"/>
    <w:rsid w:val="002C0EE9"/>
    <w:rsid w:val="002C0F53"/>
    <w:rsid w:val="002C0F58"/>
    <w:rsid w:val="002C0F92"/>
    <w:rsid w:val="002C0FA4"/>
    <w:rsid w:val="002C0FA9"/>
    <w:rsid w:val="002C0FDC"/>
    <w:rsid w:val="002C0FFB"/>
    <w:rsid w:val="002C1054"/>
    <w:rsid w:val="002C1103"/>
    <w:rsid w:val="002C112F"/>
    <w:rsid w:val="002C1135"/>
    <w:rsid w:val="002C11D1"/>
    <w:rsid w:val="002C11D4"/>
    <w:rsid w:val="002C11DC"/>
    <w:rsid w:val="002C11E1"/>
    <w:rsid w:val="002C12A8"/>
    <w:rsid w:val="002C12AD"/>
    <w:rsid w:val="002C12D5"/>
    <w:rsid w:val="002C1308"/>
    <w:rsid w:val="002C131F"/>
    <w:rsid w:val="002C1357"/>
    <w:rsid w:val="002C13BA"/>
    <w:rsid w:val="002C13E8"/>
    <w:rsid w:val="002C13EF"/>
    <w:rsid w:val="002C1442"/>
    <w:rsid w:val="002C1479"/>
    <w:rsid w:val="002C14AA"/>
    <w:rsid w:val="002C14AD"/>
    <w:rsid w:val="002C14C3"/>
    <w:rsid w:val="002C14D3"/>
    <w:rsid w:val="002C14E8"/>
    <w:rsid w:val="002C150D"/>
    <w:rsid w:val="002C1568"/>
    <w:rsid w:val="002C15B4"/>
    <w:rsid w:val="002C1611"/>
    <w:rsid w:val="002C162A"/>
    <w:rsid w:val="002C165F"/>
    <w:rsid w:val="002C16DF"/>
    <w:rsid w:val="002C170F"/>
    <w:rsid w:val="002C1740"/>
    <w:rsid w:val="002C177D"/>
    <w:rsid w:val="002C17F3"/>
    <w:rsid w:val="002C17F5"/>
    <w:rsid w:val="002C1829"/>
    <w:rsid w:val="002C18D9"/>
    <w:rsid w:val="002C19CF"/>
    <w:rsid w:val="002C19EF"/>
    <w:rsid w:val="002C1A18"/>
    <w:rsid w:val="002C1B5E"/>
    <w:rsid w:val="002C1BB9"/>
    <w:rsid w:val="002C1C16"/>
    <w:rsid w:val="002C1C4E"/>
    <w:rsid w:val="002C1C5B"/>
    <w:rsid w:val="002C1C6F"/>
    <w:rsid w:val="002C1C8C"/>
    <w:rsid w:val="002C1CAA"/>
    <w:rsid w:val="002C1CE0"/>
    <w:rsid w:val="002C1CE2"/>
    <w:rsid w:val="002C1CE8"/>
    <w:rsid w:val="002C1D1C"/>
    <w:rsid w:val="002C1D43"/>
    <w:rsid w:val="002C1D4B"/>
    <w:rsid w:val="002C1D96"/>
    <w:rsid w:val="002C1E0C"/>
    <w:rsid w:val="002C1E39"/>
    <w:rsid w:val="002C1E3B"/>
    <w:rsid w:val="002C1E50"/>
    <w:rsid w:val="002C1EE6"/>
    <w:rsid w:val="002C1F54"/>
    <w:rsid w:val="002C1F56"/>
    <w:rsid w:val="002C1F8B"/>
    <w:rsid w:val="002C1FA6"/>
    <w:rsid w:val="002C202E"/>
    <w:rsid w:val="002C2056"/>
    <w:rsid w:val="002C20C7"/>
    <w:rsid w:val="002C20F2"/>
    <w:rsid w:val="002C20F5"/>
    <w:rsid w:val="002C2120"/>
    <w:rsid w:val="002C219D"/>
    <w:rsid w:val="002C21B2"/>
    <w:rsid w:val="002C220D"/>
    <w:rsid w:val="002C22BC"/>
    <w:rsid w:val="002C22ED"/>
    <w:rsid w:val="002C233D"/>
    <w:rsid w:val="002C23D6"/>
    <w:rsid w:val="002C23F5"/>
    <w:rsid w:val="002C2418"/>
    <w:rsid w:val="002C249F"/>
    <w:rsid w:val="002C24A4"/>
    <w:rsid w:val="002C24E1"/>
    <w:rsid w:val="002C25A0"/>
    <w:rsid w:val="002C25FB"/>
    <w:rsid w:val="002C2699"/>
    <w:rsid w:val="002C26EB"/>
    <w:rsid w:val="002C26FE"/>
    <w:rsid w:val="002C2738"/>
    <w:rsid w:val="002C278C"/>
    <w:rsid w:val="002C27AE"/>
    <w:rsid w:val="002C27D1"/>
    <w:rsid w:val="002C280C"/>
    <w:rsid w:val="002C2839"/>
    <w:rsid w:val="002C283B"/>
    <w:rsid w:val="002C2848"/>
    <w:rsid w:val="002C2877"/>
    <w:rsid w:val="002C28A6"/>
    <w:rsid w:val="002C28BA"/>
    <w:rsid w:val="002C28FF"/>
    <w:rsid w:val="002C293B"/>
    <w:rsid w:val="002C298B"/>
    <w:rsid w:val="002C29C8"/>
    <w:rsid w:val="002C29DC"/>
    <w:rsid w:val="002C2A27"/>
    <w:rsid w:val="002C2A3F"/>
    <w:rsid w:val="002C2A9C"/>
    <w:rsid w:val="002C2AEF"/>
    <w:rsid w:val="002C2B09"/>
    <w:rsid w:val="002C2B43"/>
    <w:rsid w:val="002C2B6C"/>
    <w:rsid w:val="002C2B85"/>
    <w:rsid w:val="002C2BC4"/>
    <w:rsid w:val="002C2C0C"/>
    <w:rsid w:val="002C2C5C"/>
    <w:rsid w:val="002C2C96"/>
    <w:rsid w:val="002C2CC7"/>
    <w:rsid w:val="002C2CD5"/>
    <w:rsid w:val="002C2D21"/>
    <w:rsid w:val="002C2D2F"/>
    <w:rsid w:val="002C2D48"/>
    <w:rsid w:val="002C2D5A"/>
    <w:rsid w:val="002C2DD5"/>
    <w:rsid w:val="002C2DE6"/>
    <w:rsid w:val="002C2DF4"/>
    <w:rsid w:val="002C2E49"/>
    <w:rsid w:val="002C2E4D"/>
    <w:rsid w:val="002C2EC4"/>
    <w:rsid w:val="002C2F27"/>
    <w:rsid w:val="002C2F4A"/>
    <w:rsid w:val="002C2F8C"/>
    <w:rsid w:val="002C2F9D"/>
    <w:rsid w:val="002C2FCB"/>
    <w:rsid w:val="002C2FD2"/>
    <w:rsid w:val="002C30FD"/>
    <w:rsid w:val="002C3110"/>
    <w:rsid w:val="002C31C2"/>
    <w:rsid w:val="002C3223"/>
    <w:rsid w:val="002C32A7"/>
    <w:rsid w:val="002C32B4"/>
    <w:rsid w:val="002C32C2"/>
    <w:rsid w:val="002C32CF"/>
    <w:rsid w:val="002C32F9"/>
    <w:rsid w:val="002C3337"/>
    <w:rsid w:val="002C3348"/>
    <w:rsid w:val="002C33F6"/>
    <w:rsid w:val="002C3678"/>
    <w:rsid w:val="002C3687"/>
    <w:rsid w:val="002C37CE"/>
    <w:rsid w:val="002C37FE"/>
    <w:rsid w:val="002C38B7"/>
    <w:rsid w:val="002C38E8"/>
    <w:rsid w:val="002C3940"/>
    <w:rsid w:val="002C39DE"/>
    <w:rsid w:val="002C39E4"/>
    <w:rsid w:val="002C3A7B"/>
    <w:rsid w:val="002C3A82"/>
    <w:rsid w:val="002C3AD5"/>
    <w:rsid w:val="002C3AE1"/>
    <w:rsid w:val="002C3AED"/>
    <w:rsid w:val="002C3AFC"/>
    <w:rsid w:val="002C3BE6"/>
    <w:rsid w:val="002C3C46"/>
    <w:rsid w:val="002C3C53"/>
    <w:rsid w:val="002C3CCA"/>
    <w:rsid w:val="002C3D2E"/>
    <w:rsid w:val="002C3D43"/>
    <w:rsid w:val="002C3D7D"/>
    <w:rsid w:val="002C3DA0"/>
    <w:rsid w:val="002C3DC8"/>
    <w:rsid w:val="002C3DC9"/>
    <w:rsid w:val="002C3DD2"/>
    <w:rsid w:val="002C3DF4"/>
    <w:rsid w:val="002C3E2B"/>
    <w:rsid w:val="002C3E3A"/>
    <w:rsid w:val="002C3E43"/>
    <w:rsid w:val="002C3E4D"/>
    <w:rsid w:val="002C3E84"/>
    <w:rsid w:val="002C3E85"/>
    <w:rsid w:val="002C3EA9"/>
    <w:rsid w:val="002C3EB6"/>
    <w:rsid w:val="002C3F4F"/>
    <w:rsid w:val="002C3FF6"/>
    <w:rsid w:val="002C4070"/>
    <w:rsid w:val="002C40CA"/>
    <w:rsid w:val="002C4111"/>
    <w:rsid w:val="002C4116"/>
    <w:rsid w:val="002C41AE"/>
    <w:rsid w:val="002C41CE"/>
    <w:rsid w:val="002C4207"/>
    <w:rsid w:val="002C4256"/>
    <w:rsid w:val="002C4369"/>
    <w:rsid w:val="002C4381"/>
    <w:rsid w:val="002C4398"/>
    <w:rsid w:val="002C43A3"/>
    <w:rsid w:val="002C4408"/>
    <w:rsid w:val="002C4410"/>
    <w:rsid w:val="002C441F"/>
    <w:rsid w:val="002C44DD"/>
    <w:rsid w:val="002C4596"/>
    <w:rsid w:val="002C4638"/>
    <w:rsid w:val="002C46DC"/>
    <w:rsid w:val="002C471B"/>
    <w:rsid w:val="002C4843"/>
    <w:rsid w:val="002C484A"/>
    <w:rsid w:val="002C486E"/>
    <w:rsid w:val="002C4892"/>
    <w:rsid w:val="002C48C3"/>
    <w:rsid w:val="002C48FF"/>
    <w:rsid w:val="002C4900"/>
    <w:rsid w:val="002C490D"/>
    <w:rsid w:val="002C492C"/>
    <w:rsid w:val="002C4962"/>
    <w:rsid w:val="002C4972"/>
    <w:rsid w:val="002C498F"/>
    <w:rsid w:val="002C49B0"/>
    <w:rsid w:val="002C4A8D"/>
    <w:rsid w:val="002C4ACD"/>
    <w:rsid w:val="002C4B0C"/>
    <w:rsid w:val="002C4B54"/>
    <w:rsid w:val="002C4B65"/>
    <w:rsid w:val="002C4BA9"/>
    <w:rsid w:val="002C4BD2"/>
    <w:rsid w:val="002C4BFA"/>
    <w:rsid w:val="002C4C8B"/>
    <w:rsid w:val="002C4CA8"/>
    <w:rsid w:val="002C4CD9"/>
    <w:rsid w:val="002C4CE3"/>
    <w:rsid w:val="002C4D72"/>
    <w:rsid w:val="002C4DA6"/>
    <w:rsid w:val="002C4DB3"/>
    <w:rsid w:val="002C4DFC"/>
    <w:rsid w:val="002C4E04"/>
    <w:rsid w:val="002C4ED5"/>
    <w:rsid w:val="002C4EE1"/>
    <w:rsid w:val="002C4F35"/>
    <w:rsid w:val="002C4F70"/>
    <w:rsid w:val="002C4FA3"/>
    <w:rsid w:val="002C4FE7"/>
    <w:rsid w:val="002C5071"/>
    <w:rsid w:val="002C5080"/>
    <w:rsid w:val="002C5088"/>
    <w:rsid w:val="002C50B0"/>
    <w:rsid w:val="002C50D4"/>
    <w:rsid w:val="002C515D"/>
    <w:rsid w:val="002C516F"/>
    <w:rsid w:val="002C517C"/>
    <w:rsid w:val="002C51D4"/>
    <w:rsid w:val="002C5205"/>
    <w:rsid w:val="002C5284"/>
    <w:rsid w:val="002C532B"/>
    <w:rsid w:val="002C5390"/>
    <w:rsid w:val="002C53CB"/>
    <w:rsid w:val="002C53E5"/>
    <w:rsid w:val="002C53E7"/>
    <w:rsid w:val="002C5409"/>
    <w:rsid w:val="002C540A"/>
    <w:rsid w:val="002C544B"/>
    <w:rsid w:val="002C5471"/>
    <w:rsid w:val="002C54B3"/>
    <w:rsid w:val="002C54C0"/>
    <w:rsid w:val="002C5547"/>
    <w:rsid w:val="002C55F2"/>
    <w:rsid w:val="002C55F7"/>
    <w:rsid w:val="002C560B"/>
    <w:rsid w:val="002C5628"/>
    <w:rsid w:val="002C5666"/>
    <w:rsid w:val="002C5674"/>
    <w:rsid w:val="002C574E"/>
    <w:rsid w:val="002C5844"/>
    <w:rsid w:val="002C585F"/>
    <w:rsid w:val="002C5865"/>
    <w:rsid w:val="002C5873"/>
    <w:rsid w:val="002C58AF"/>
    <w:rsid w:val="002C58D7"/>
    <w:rsid w:val="002C58E3"/>
    <w:rsid w:val="002C5919"/>
    <w:rsid w:val="002C591D"/>
    <w:rsid w:val="002C5951"/>
    <w:rsid w:val="002C5957"/>
    <w:rsid w:val="002C5971"/>
    <w:rsid w:val="002C5994"/>
    <w:rsid w:val="002C59CA"/>
    <w:rsid w:val="002C5A01"/>
    <w:rsid w:val="002C5A70"/>
    <w:rsid w:val="002C5ABC"/>
    <w:rsid w:val="002C5AF1"/>
    <w:rsid w:val="002C5B29"/>
    <w:rsid w:val="002C5B4C"/>
    <w:rsid w:val="002C5BBE"/>
    <w:rsid w:val="002C5BC2"/>
    <w:rsid w:val="002C5BC8"/>
    <w:rsid w:val="002C5BD6"/>
    <w:rsid w:val="002C5BFC"/>
    <w:rsid w:val="002C5C5F"/>
    <w:rsid w:val="002C5CBE"/>
    <w:rsid w:val="002C5CFB"/>
    <w:rsid w:val="002C5D35"/>
    <w:rsid w:val="002C5D53"/>
    <w:rsid w:val="002C5D85"/>
    <w:rsid w:val="002C5D9F"/>
    <w:rsid w:val="002C5DD0"/>
    <w:rsid w:val="002C5E34"/>
    <w:rsid w:val="002C5E8F"/>
    <w:rsid w:val="002C5E95"/>
    <w:rsid w:val="002C5EE4"/>
    <w:rsid w:val="002C5F14"/>
    <w:rsid w:val="002C5F70"/>
    <w:rsid w:val="002C5F83"/>
    <w:rsid w:val="002C5FFF"/>
    <w:rsid w:val="002C605E"/>
    <w:rsid w:val="002C607D"/>
    <w:rsid w:val="002C609F"/>
    <w:rsid w:val="002C6231"/>
    <w:rsid w:val="002C62C6"/>
    <w:rsid w:val="002C6337"/>
    <w:rsid w:val="002C6380"/>
    <w:rsid w:val="002C63C8"/>
    <w:rsid w:val="002C63E1"/>
    <w:rsid w:val="002C646C"/>
    <w:rsid w:val="002C6483"/>
    <w:rsid w:val="002C64A4"/>
    <w:rsid w:val="002C6514"/>
    <w:rsid w:val="002C651A"/>
    <w:rsid w:val="002C651B"/>
    <w:rsid w:val="002C6554"/>
    <w:rsid w:val="002C6573"/>
    <w:rsid w:val="002C6585"/>
    <w:rsid w:val="002C6623"/>
    <w:rsid w:val="002C664A"/>
    <w:rsid w:val="002C6657"/>
    <w:rsid w:val="002C6662"/>
    <w:rsid w:val="002C6690"/>
    <w:rsid w:val="002C66AE"/>
    <w:rsid w:val="002C66B5"/>
    <w:rsid w:val="002C6763"/>
    <w:rsid w:val="002C6766"/>
    <w:rsid w:val="002C67A9"/>
    <w:rsid w:val="002C67F2"/>
    <w:rsid w:val="002C6800"/>
    <w:rsid w:val="002C6812"/>
    <w:rsid w:val="002C6856"/>
    <w:rsid w:val="002C68B5"/>
    <w:rsid w:val="002C68BF"/>
    <w:rsid w:val="002C690A"/>
    <w:rsid w:val="002C694B"/>
    <w:rsid w:val="002C6965"/>
    <w:rsid w:val="002C6989"/>
    <w:rsid w:val="002C69AB"/>
    <w:rsid w:val="002C69BA"/>
    <w:rsid w:val="002C6AC1"/>
    <w:rsid w:val="002C6B0A"/>
    <w:rsid w:val="002C6B2D"/>
    <w:rsid w:val="002C6B3C"/>
    <w:rsid w:val="002C6BC5"/>
    <w:rsid w:val="002C6BD0"/>
    <w:rsid w:val="002C6BD6"/>
    <w:rsid w:val="002C6BE2"/>
    <w:rsid w:val="002C6BFF"/>
    <w:rsid w:val="002C6CA7"/>
    <w:rsid w:val="002C6CDF"/>
    <w:rsid w:val="002C6CE7"/>
    <w:rsid w:val="002C6D41"/>
    <w:rsid w:val="002C6D53"/>
    <w:rsid w:val="002C6D7D"/>
    <w:rsid w:val="002C6DC4"/>
    <w:rsid w:val="002C6E09"/>
    <w:rsid w:val="002C6E44"/>
    <w:rsid w:val="002C6E52"/>
    <w:rsid w:val="002C6E81"/>
    <w:rsid w:val="002C6EC8"/>
    <w:rsid w:val="002C6EEB"/>
    <w:rsid w:val="002C6F6E"/>
    <w:rsid w:val="002C6FB0"/>
    <w:rsid w:val="002C701B"/>
    <w:rsid w:val="002C7035"/>
    <w:rsid w:val="002C707C"/>
    <w:rsid w:val="002C70CC"/>
    <w:rsid w:val="002C70EF"/>
    <w:rsid w:val="002C713C"/>
    <w:rsid w:val="002C713D"/>
    <w:rsid w:val="002C7149"/>
    <w:rsid w:val="002C719D"/>
    <w:rsid w:val="002C7282"/>
    <w:rsid w:val="002C7298"/>
    <w:rsid w:val="002C72AC"/>
    <w:rsid w:val="002C72E7"/>
    <w:rsid w:val="002C7336"/>
    <w:rsid w:val="002C733D"/>
    <w:rsid w:val="002C73A0"/>
    <w:rsid w:val="002C73A9"/>
    <w:rsid w:val="002C73DE"/>
    <w:rsid w:val="002C7427"/>
    <w:rsid w:val="002C7491"/>
    <w:rsid w:val="002C752F"/>
    <w:rsid w:val="002C754F"/>
    <w:rsid w:val="002C756B"/>
    <w:rsid w:val="002C75A1"/>
    <w:rsid w:val="002C761F"/>
    <w:rsid w:val="002C767B"/>
    <w:rsid w:val="002C768C"/>
    <w:rsid w:val="002C76AD"/>
    <w:rsid w:val="002C7705"/>
    <w:rsid w:val="002C7724"/>
    <w:rsid w:val="002C775B"/>
    <w:rsid w:val="002C7789"/>
    <w:rsid w:val="002C779A"/>
    <w:rsid w:val="002C77B0"/>
    <w:rsid w:val="002C7835"/>
    <w:rsid w:val="002C786E"/>
    <w:rsid w:val="002C78F6"/>
    <w:rsid w:val="002C7930"/>
    <w:rsid w:val="002C7976"/>
    <w:rsid w:val="002C79FE"/>
    <w:rsid w:val="002C7AB4"/>
    <w:rsid w:val="002C7ABE"/>
    <w:rsid w:val="002C7AD1"/>
    <w:rsid w:val="002C7ADE"/>
    <w:rsid w:val="002C7B32"/>
    <w:rsid w:val="002C7B3F"/>
    <w:rsid w:val="002C7B4B"/>
    <w:rsid w:val="002C7B64"/>
    <w:rsid w:val="002C7B9D"/>
    <w:rsid w:val="002C7BA1"/>
    <w:rsid w:val="002C7BB8"/>
    <w:rsid w:val="002C7BCA"/>
    <w:rsid w:val="002C7BD6"/>
    <w:rsid w:val="002C7BF9"/>
    <w:rsid w:val="002C7CAF"/>
    <w:rsid w:val="002C7CF9"/>
    <w:rsid w:val="002C7CFF"/>
    <w:rsid w:val="002C7D07"/>
    <w:rsid w:val="002C7D70"/>
    <w:rsid w:val="002C7DE7"/>
    <w:rsid w:val="002C7E02"/>
    <w:rsid w:val="002C7E13"/>
    <w:rsid w:val="002C7E4F"/>
    <w:rsid w:val="002C7EFD"/>
    <w:rsid w:val="002C7F4A"/>
    <w:rsid w:val="002C7FA5"/>
    <w:rsid w:val="002C7FC8"/>
    <w:rsid w:val="002C7FD2"/>
    <w:rsid w:val="002D0004"/>
    <w:rsid w:val="002D0034"/>
    <w:rsid w:val="002D003F"/>
    <w:rsid w:val="002D004C"/>
    <w:rsid w:val="002D008A"/>
    <w:rsid w:val="002D02CC"/>
    <w:rsid w:val="002D02EC"/>
    <w:rsid w:val="002D02ED"/>
    <w:rsid w:val="002D02EF"/>
    <w:rsid w:val="002D032B"/>
    <w:rsid w:val="002D03A5"/>
    <w:rsid w:val="002D03D6"/>
    <w:rsid w:val="002D03FB"/>
    <w:rsid w:val="002D0400"/>
    <w:rsid w:val="002D0413"/>
    <w:rsid w:val="002D0448"/>
    <w:rsid w:val="002D0478"/>
    <w:rsid w:val="002D047B"/>
    <w:rsid w:val="002D0480"/>
    <w:rsid w:val="002D04AD"/>
    <w:rsid w:val="002D04C3"/>
    <w:rsid w:val="002D0566"/>
    <w:rsid w:val="002D057A"/>
    <w:rsid w:val="002D067D"/>
    <w:rsid w:val="002D074E"/>
    <w:rsid w:val="002D084B"/>
    <w:rsid w:val="002D0875"/>
    <w:rsid w:val="002D089D"/>
    <w:rsid w:val="002D08E5"/>
    <w:rsid w:val="002D08E8"/>
    <w:rsid w:val="002D098F"/>
    <w:rsid w:val="002D09D7"/>
    <w:rsid w:val="002D09FA"/>
    <w:rsid w:val="002D0A1B"/>
    <w:rsid w:val="002D0A5A"/>
    <w:rsid w:val="002D0A83"/>
    <w:rsid w:val="002D0AE8"/>
    <w:rsid w:val="002D0AFD"/>
    <w:rsid w:val="002D0B7A"/>
    <w:rsid w:val="002D0BC9"/>
    <w:rsid w:val="002D0C1C"/>
    <w:rsid w:val="002D0D10"/>
    <w:rsid w:val="002D0DB7"/>
    <w:rsid w:val="002D0DD9"/>
    <w:rsid w:val="002D0DDB"/>
    <w:rsid w:val="002D0E00"/>
    <w:rsid w:val="002D0EBF"/>
    <w:rsid w:val="002D0EC3"/>
    <w:rsid w:val="002D0EC9"/>
    <w:rsid w:val="002D0EFC"/>
    <w:rsid w:val="002D0F3D"/>
    <w:rsid w:val="002D0FC1"/>
    <w:rsid w:val="002D1023"/>
    <w:rsid w:val="002D1044"/>
    <w:rsid w:val="002D10D9"/>
    <w:rsid w:val="002D11C7"/>
    <w:rsid w:val="002D1215"/>
    <w:rsid w:val="002D1235"/>
    <w:rsid w:val="002D123D"/>
    <w:rsid w:val="002D133E"/>
    <w:rsid w:val="002D138F"/>
    <w:rsid w:val="002D13E9"/>
    <w:rsid w:val="002D1492"/>
    <w:rsid w:val="002D14B3"/>
    <w:rsid w:val="002D14D1"/>
    <w:rsid w:val="002D157B"/>
    <w:rsid w:val="002D15A2"/>
    <w:rsid w:val="002D15A7"/>
    <w:rsid w:val="002D15AB"/>
    <w:rsid w:val="002D160D"/>
    <w:rsid w:val="002D164F"/>
    <w:rsid w:val="002D16F4"/>
    <w:rsid w:val="002D1728"/>
    <w:rsid w:val="002D1765"/>
    <w:rsid w:val="002D1778"/>
    <w:rsid w:val="002D17E6"/>
    <w:rsid w:val="002D1858"/>
    <w:rsid w:val="002D189F"/>
    <w:rsid w:val="002D18C0"/>
    <w:rsid w:val="002D18FA"/>
    <w:rsid w:val="002D1954"/>
    <w:rsid w:val="002D1955"/>
    <w:rsid w:val="002D199D"/>
    <w:rsid w:val="002D19B8"/>
    <w:rsid w:val="002D1A54"/>
    <w:rsid w:val="002D1A5E"/>
    <w:rsid w:val="002D1A6C"/>
    <w:rsid w:val="002D1AE6"/>
    <w:rsid w:val="002D1B22"/>
    <w:rsid w:val="002D1B8D"/>
    <w:rsid w:val="002D1BBE"/>
    <w:rsid w:val="002D1C0C"/>
    <w:rsid w:val="002D1C11"/>
    <w:rsid w:val="002D1C9A"/>
    <w:rsid w:val="002D1C9F"/>
    <w:rsid w:val="002D1CE1"/>
    <w:rsid w:val="002D1D9E"/>
    <w:rsid w:val="002D1DD5"/>
    <w:rsid w:val="002D1E47"/>
    <w:rsid w:val="002D1EB5"/>
    <w:rsid w:val="002D1F16"/>
    <w:rsid w:val="002D1F20"/>
    <w:rsid w:val="002D1F91"/>
    <w:rsid w:val="002D1FB0"/>
    <w:rsid w:val="002D202C"/>
    <w:rsid w:val="002D2033"/>
    <w:rsid w:val="002D2035"/>
    <w:rsid w:val="002D2051"/>
    <w:rsid w:val="002D2058"/>
    <w:rsid w:val="002D20CB"/>
    <w:rsid w:val="002D20FC"/>
    <w:rsid w:val="002D211D"/>
    <w:rsid w:val="002D2139"/>
    <w:rsid w:val="002D214E"/>
    <w:rsid w:val="002D2197"/>
    <w:rsid w:val="002D21EB"/>
    <w:rsid w:val="002D22C4"/>
    <w:rsid w:val="002D23B5"/>
    <w:rsid w:val="002D23FD"/>
    <w:rsid w:val="002D2400"/>
    <w:rsid w:val="002D24AA"/>
    <w:rsid w:val="002D24F3"/>
    <w:rsid w:val="002D2544"/>
    <w:rsid w:val="002D2580"/>
    <w:rsid w:val="002D25C6"/>
    <w:rsid w:val="002D25E7"/>
    <w:rsid w:val="002D2664"/>
    <w:rsid w:val="002D267D"/>
    <w:rsid w:val="002D26BE"/>
    <w:rsid w:val="002D2763"/>
    <w:rsid w:val="002D2765"/>
    <w:rsid w:val="002D2782"/>
    <w:rsid w:val="002D27EB"/>
    <w:rsid w:val="002D2886"/>
    <w:rsid w:val="002D291F"/>
    <w:rsid w:val="002D2987"/>
    <w:rsid w:val="002D298B"/>
    <w:rsid w:val="002D2AA3"/>
    <w:rsid w:val="002D2AA5"/>
    <w:rsid w:val="002D2AFB"/>
    <w:rsid w:val="002D2BA3"/>
    <w:rsid w:val="002D2C4D"/>
    <w:rsid w:val="002D2C6E"/>
    <w:rsid w:val="002D2CE4"/>
    <w:rsid w:val="002D2D7A"/>
    <w:rsid w:val="002D2D86"/>
    <w:rsid w:val="002D2D8D"/>
    <w:rsid w:val="002D2E27"/>
    <w:rsid w:val="002D2E97"/>
    <w:rsid w:val="002D2EA2"/>
    <w:rsid w:val="002D2EAF"/>
    <w:rsid w:val="002D2EE4"/>
    <w:rsid w:val="002D2F18"/>
    <w:rsid w:val="002D2F43"/>
    <w:rsid w:val="002D2F79"/>
    <w:rsid w:val="002D300C"/>
    <w:rsid w:val="002D308A"/>
    <w:rsid w:val="002D308B"/>
    <w:rsid w:val="002D30A5"/>
    <w:rsid w:val="002D30F8"/>
    <w:rsid w:val="002D30FA"/>
    <w:rsid w:val="002D311B"/>
    <w:rsid w:val="002D3122"/>
    <w:rsid w:val="002D3123"/>
    <w:rsid w:val="002D313F"/>
    <w:rsid w:val="002D3148"/>
    <w:rsid w:val="002D315D"/>
    <w:rsid w:val="002D3180"/>
    <w:rsid w:val="002D31F4"/>
    <w:rsid w:val="002D3202"/>
    <w:rsid w:val="002D3208"/>
    <w:rsid w:val="002D3242"/>
    <w:rsid w:val="002D32DB"/>
    <w:rsid w:val="002D32FC"/>
    <w:rsid w:val="002D332C"/>
    <w:rsid w:val="002D33D9"/>
    <w:rsid w:val="002D3444"/>
    <w:rsid w:val="002D349C"/>
    <w:rsid w:val="002D34B1"/>
    <w:rsid w:val="002D34BE"/>
    <w:rsid w:val="002D34FA"/>
    <w:rsid w:val="002D34FF"/>
    <w:rsid w:val="002D352F"/>
    <w:rsid w:val="002D3538"/>
    <w:rsid w:val="002D3542"/>
    <w:rsid w:val="002D35C5"/>
    <w:rsid w:val="002D3646"/>
    <w:rsid w:val="002D366F"/>
    <w:rsid w:val="002D3688"/>
    <w:rsid w:val="002D36A6"/>
    <w:rsid w:val="002D373C"/>
    <w:rsid w:val="002D374C"/>
    <w:rsid w:val="002D37B3"/>
    <w:rsid w:val="002D37C3"/>
    <w:rsid w:val="002D37C6"/>
    <w:rsid w:val="002D37D4"/>
    <w:rsid w:val="002D3830"/>
    <w:rsid w:val="002D3847"/>
    <w:rsid w:val="002D3872"/>
    <w:rsid w:val="002D3889"/>
    <w:rsid w:val="002D38CA"/>
    <w:rsid w:val="002D3901"/>
    <w:rsid w:val="002D39BB"/>
    <w:rsid w:val="002D39DD"/>
    <w:rsid w:val="002D39EE"/>
    <w:rsid w:val="002D39F8"/>
    <w:rsid w:val="002D3A24"/>
    <w:rsid w:val="002D3AB0"/>
    <w:rsid w:val="002D3AC9"/>
    <w:rsid w:val="002D3ADE"/>
    <w:rsid w:val="002D3B99"/>
    <w:rsid w:val="002D3BA0"/>
    <w:rsid w:val="002D3BFF"/>
    <w:rsid w:val="002D3C32"/>
    <w:rsid w:val="002D3C79"/>
    <w:rsid w:val="002D3CCF"/>
    <w:rsid w:val="002D3CFD"/>
    <w:rsid w:val="002D3D50"/>
    <w:rsid w:val="002D3DBA"/>
    <w:rsid w:val="002D3DCE"/>
    <w:rsid w:val="002D3DD4"/>
    <w:rsid w:val="002D3DE5"/>
    <w:rsid w:val="002D3EEA"/>
    <w:rsid w:val="002D3FB0"/>
    <w:rsid w:val="002D4026"/>
    <w:rsid w:val="002D4155"/>
    <w:rsid w:val="002D41D5"/>
    <w:rsid w:val="002D41E7"/>
    <w:rsid w:val="002D4249"/>
    <w:rsid w:val="002D426D"/>
    <w:rsid w:val="002D427B"/>
    <w:rsid w:val="002D429E"/>
    <w:rsid w:val="002D42DE"/>
    <w:rsid w:val="002D42E6"/>
    <w:rsid w:val="002D4354"/>
    <w:rsid w:val="002D437B"/>
    <w:rsid w:val="002D439F"/>
    <w:rsid w:val="002D43C7"/>
    <w:rsid w:val="002D443C"/>
    <w:rsid w:val="002D4469"/>
    <w:rsid w:val="002D4563"/>
    <w:rsid w:val="002D45BF"/>
    <w:rsid w:val="002D45EA"/>
    <w:rsid w:val="002D4622"/>
    <w:rsid w:val="002D463A"/>
    <w:rsid w:val="002D464A"/>
    <w:rsid w:val="002D46B2"/>
    <w:rsid w:val="002D46CF"/>
    <w:rsid w:val="002D46DD"/>
    <w:rsid w:val="002D4716"/>
    <w:rsid w:val="002D4779"/>
    <w:rsid w:val="002D477C"/>
    <w:rsid w:val="002D47EE"/>
    <w:rsid w:val="002D4879"/>
    <w:rsid w:val="002D48D1"/>
    <w:rsid w:val="002D4977"/>
    <w:rsid w:val="002D497D"/>
    <w:rsid w:val="002D4A34"/>
    <w:rsid w:val="002D4A39"/>
    <w:rsid w:val="002D4A43"/>
    <w:rsid w:val="002D4A97"/>
    <w:rsid w:val="002D4A99"/>
    <w:rsid w:val="002D4AA9"/>
    <w:rsid w:val="002D4AE4"/>
    <w:rsid w:val="002D4B39"/>
    <w:rsid w:val="002D4B76"/>
    <w:rsid w:val="002D4B7E"/>
    <w:rsid w:val="002D4C40"/>
    <w:rsid w:val="002D4C84"/>
    <w:rsid w:val="002D4D0C"/>
    <w:rsid w:val="002D4DAB"/>
    <w:rsid w:val="002D4DAE"/>
    <w:rsid w:val="002D4DE4"/>
    <w:rsid w:val="002D4DF5"/>
    <w:rsid w:val="002D4DFE"/>
    <w:rsid w:val="002D4E09"/>
    <w:rsid w:val="002D4EA9"/>
    <w:rsid w:val="002D4EC8"/>
    <w:rsid w:val="002D4F97"/>
    <w:rsid w:val="002D4FFC"/>
    <w:rsid w:val="002D500B"/>
    <w:rsid w:val="002D500F"/>
    <w:rsid w:val="002D5064"/>
    <w:rsid w:val="002D50B7"/>
    <w:rsid w:val="002D50F5"/>
    <w:rsid w:val="002D5185"/>
    <w:rsid w:val="002D51BA"/>
    <w:rsid w:val="002D51C3"/>
    <w:rsid w:val="002D5214"/>
    <w:rsid w:val="002D522B"/>
    <w:rsid w:val="002D526E"/>
    <w:rsid w:val="002D5275"/>
    <w:rsid w:val="002D52D3"/>
    <w:rsid w:val="002D5365"/>
    <w:rsid w:val="002D539E"/>
    <w:rsid w:val="002D539F"/>
    <w:rsid w:val="002D5422"/>
    <w:rsid w:val="002D54D7"/>
    <w:rsid w:val="002D54F2"/>
    <w:rsid w:val="002D54F6"/>
    <w:rsid w:val="002D5531"/>
    <w:rsid w:val="002D5566"/>
    <w:rsid w:val="002D5579"/>
    <w:rsid w:val="002D5639"/>
    <w:rsid w:val="002D5717"/>
    <w:rsid w:val="002D5744"/>
    <w:rsid w:val="002D578B"/>
    <w:rsid w:val="002D57CD"/>
    <w:rsid w:val="002D57E5"/>
    <w:rsid w:val="002D5801"/>
    <w:rsid w:val="002D582B"/>
    <w:rsid w:val="002D5855"/>
    <w:rsid w:val="002D585C"/>
    <w:rsid w:val="002D5891"/>
    <w:rsid w:val="002D58BF"/>
    <w:rsid w:val="002D597B"/>
    <w:rsid w:val="002D598B"/>
    <w:rsid w:val="002D59DC"/>
    <w:rsid w:val="002D59E9"/>
    <w:rsid w:val="002D5A05"/>
    <w:rsid w:val="002D5A9E"/>
    <w:rsid w:val="002D5B11"/>
    <w:rsid w:val="002D5B15"/>
    <w:rsid w:val="002D5B16"/>
    <w:rsid w:val="002D5B38"/>
    <w:rsid w:val="002D5B61"/>
    <w:rsid w:val="002D5C27"/>
    <w:rsid w:val="002D5C45"/>
    <w:rsid w:val="002D5C6A"/>
    <w:rsid w:val="002D5C83"/>
    <w:rsid w:val="002D5CD1"/>
    <w:rsid w:val="002D5CE7"/>
    <w:rsid w:val="002D5D51"/>
    <w:rsid w:val="002D5D7A"/>
    <w:rsid w:val="002D5D89"/>
    <w:rsid w:val="002D5DC2"/>
    <w:rsid w:val="002D5DDD"/>
    <w:rsid w:val="002D5E31"/>
    <w:rsid w:val="002D5E46"/>
    <w:rsid w:val="002D5E67"/>
    <w:rsid w:val="002D5EA9"/>
    <w:rsid w:val="002D5ED6"/>
    <w:rsid w:val="002D5EEF"/>
    <w:rsid w:val="002D5F34"/>
    <w:rsid w:val="002D5FE7"/>
    <w:rsid w:val="002D5FFF"/>
    <w:rsid w:val="002D6040"/>
    <w:rsid w:val="002D60D7"/>
    <w:rsid w:val="002D60ED"/>
    <w:rsid w:val="002D61EE"/>
    <w:rsid w:val="002D6203"/>
    <w:rsid w:val="002D6238"/>
    <w:rsid w:val="002D62B9"/>
    <w:rsid w:val="002D62C3"/>
    <w:rsid w:val="002D62CA"/>
    <w:rsid w:val="002D6391"/>
    <w:rsid w:val="002D63E6"/>
    <w:rsid w:val="002D640D"/>
    <w:rsid w:val="002D64C7"/>
    <w:rsid w:val="002D660D"/>
    <w:rsid w:val="002D662E"/>
    <w:rsid w:val="002D6635"/>
    <w:rsid w:val="002D6731"/>
    <w:rsid w:val="002D6770"/>
    <w:rsid w:val="002D677E"/>
    <w:rsid w:val="002D678A"/>
    <w:rsid w:val="002D67AA"/>
    <w:rsid w:val="002D67CB"/>
    <w:rsid w:val="002D67E1"/>
    <w:rsid w:val="002D67F6"/>
    <w:rsid w:val="002D6832"/>
    <w:rsid w:val="002D685F"/>
    <w:rsid w:val="002D6863"/>
    <w:rsid w:val="002D68A5"/>
    <w:rsid w:val="002D68B3"/>
    <w:rsid w:val="002D68B7"/>
    <w:rsid w:val="002D6941"/>
    <w:rsid w:val="002D696C"/>
    <w:rsid w:val="002D6982"/>
    <w:rsid w:val="002D69A8"/>
    <w:rsid w:val="002D69C3"/>
    <w:rsid w:val="002D6A44"/>
    <w:rsid w:val="002D6A55"/>
    <w:rsid w:val="002D6A75"/>
    <w:rsid w:val="002D6A78"/>
    <w:rsid w:val="002D6AD3"/>
    <w:rsid w:val="002D6B29"/>
    <w:rsid w:val="002D6B8A"/>
    <w:rsid w:val="002D6BC2"/>
    <w:rsid w:val="002D6C39"/>
    <w:rsid w:val="002D6C6B"/>
    <w:rsid w:val="002D6CCE"/>
    <w:rsid w:val="002D6D09"/>
    <w:rsid w:val="002D6DB4"/>
    <w:rsid w:val="002D6DC0"/>
    <w:rsid w:val="002D6F04"/>
    <w:rsid w:val="002D6F47"/>
    <w:rsid w:val="002D6F65"/>
    <w:rsid w:val="002D6F9B"/>
    <w:rsid w:val="002D701D"/>
    <w:rsid w:val="002D70AD"/>
    <w:rsid w:val="002D70E0"/>
    <w:rsid w:val="002D70E2"/>
    <w:rsid w:val="002D711B"/>
    <w:rsid w:val="002D7191"/>
    <w:rsid w:val="002D71DF"/>
    <w:rsid w:val="002D71F6"/>
    <w:rsid w:val="002D7212"/>
    <w:rsid w:val="002D722B"/>
    <w:rsid w:val="002D723B"/>
    <w:rsid w:val="002D72AA"/>
    <w:rsid w:val="002D72BD"/>
    <w:rsid w:val="002D72C5"/>
    <w:rsid w:val="002D72EB"/>
    <w:rsid w:val="002D7344"/>
    <w:rsid w:val="002D73BC"/>
    <w:rsid w:val="002D73CB"/>
    <w:rsid w:val="002D73CF"/>
    <w:rsid w:val="002D7407"/>
    <w:rsid w:val="002D7425"/>
    <w:rsid w:val="002D743E"/>
    <w:rsid w:val="002D7476"/>
    <w:rsid w:val="002D74BD"/>
    <w:rsid w:val="002D755E"/>
    <w:rsid w:val="002D756E"/>
    <w:rsid w:val="002D7590"/>
    <w:rsid w:val="002D75B4"/>
    <w:rsid w:val="002D762B"/>
    <w:rsid w:val="002D7672"/>
    <w:rsid w:val="002D7708"/>
    <w:rsid w:val="002D770B"/>
    <w:rsid w:val="002D7727"/>
    <w:rsid w:val="002D7747"/>
    <w:rsid w:val="002D776B"/>
    <w:rsid w:val="002D7786"/>
    <w:rsid w:val="002D7797"/>
    <w:rsid w:val="002D77BA"/>
    <w:rsid w:val="002D77CE"/>
    <w:rsid w:val="002D77D3"/>
    <w:rsid w:val="002D77E7"/>
    <w:rsid w:val="002D77EE"/>
    <w:rsid w:val="002D77EF"/>
    <w:rsid w:val="002D788D"/>
    <w:rsid w:val="002D7903"/>
    <w:rsid w:val="002D7904"/>
    <w:rsid w:val="002D7967"/>
    <w:rsid w:val="002D7974"/>
    <w:rsid w:val="002D797D"/>
    <w:rsid w:val="002D797F"/>
    <w:rsid w:val="002D7986"/>
    <w:rsid w:val="002D79D8"/>
    <w:rsid w:val="002D79F1"/>
    <w:rsid w:val="002D79F5"/>
    <w:rsid w:val="002D7A21"/>
    <w:rsid w:val="002D7A4B"/>
    <w:rsid w:val="002D7A52"/>
    <w:rsid w:val="002D7AA6"/>
    <w:rsid w:val="002D7AED"/>
    <w:rsid w:val="002D7B16"/>
    <w:rsid w:val="002D7B79"/>
    <w:rsid w:val="002D7B8A"/>
    <w:rsid w:val="002D7BD2"/>
    <w:rsid w:val="002D7C04"/>
    <w:rsid w:val="002D7C20"/>
    <w:rsid w:val="002D7C24"/>
    <w:rsid w:val="002D7C4D"/>
    <w:rsid w:val="002D7C60"/>
    <w:rsid w:val="002D7CF8"/>
    <w:rsid w:val="002D7CFA"/>
    <w:rsid w:val="002D7D36"/>
    <w:rsid w:val="002D7E27"/>
    <w:rsid w:val="002D7E7B"/>
    <w:rsid w:val="002D7E9A"/>
    <w:rsid w:val="002D7EE8"/>
    <w:rsid w:val="002D7FAD"/>
    <w:rsid w:val="002D7FC8"/>
    <w:rsid w:val="002D7FC9"/>
    <w:rsid w:val="002D7FE3"/>
    <w:rsid w:val="002E0009"/>
    <w:rsid w:val="002E005A"/>
    <w:rsid w:val="002E00B8"/>
    <w:rsid w:val="002E0138"/>
    <w:rsid w:val="002E013D"/>
    <w:rsid w:val="002E0152"/>
    <w:rsid w:val="002E0182"/>
    <w:rsid w:val="002E01D3"/>
    <w:rsid w:val="002E01D6"/>
    <w:rsid w:val="002E01E4"/>
    <w:rsid w:val="002E01E7"/>
    <w:rsid w:val="002E01EC"/>
    <w:rsid w:val="002E023C"/>
    <w:rsid w:val="002E02BC"/>
    <w:rsid w:val="002E02C3"/>
    <w:rsid w:val="002E02DE"/>
    <w:rsid w:val="002E0367"/>
    <w:rsid w:val="002E03B5"/>
    <w:rsid w:val="002E042F"/>
    <w:rsid w:val="002E044A"/>
    <w:rsid w:val="002E0474"/>
    <w:rsid w:val="002E0497"/>
    <w:rsid w:val="002E0596"/>
    <w:rsid w:val="002E05C2"/>
    <w:rsid w:val="002E05CC"/>
    <w:rsid w:val="002E05F0"/>
    <w:rsid w:val="002E0605"/>
    <w:rsid w:val="002E062B"/>
    <w:rsid w:val="002E0645"/>
    <w:rsid w:val="002E0678"/>
    <w:rsid w:val="002E0828"/>
    <w:rsid w:val="002E0842"/>
    <w:rsid w:val="002E08B0"/>
    <w:rsid w:val="002E092D"/>
    <w:rsid w:val="002E09A4"/>
    <w:rsid w:val="002E09C5"/>
    <w:rsid w:val="002E09CB"/>
    <w:rsid w:val="002E0A21"/>
    <w:rsid w:val="002E0A4E"/>
    <w:rsid w:val="002E0A83"/>
    <w:rsid w:val="002E0A94"/>
    <w:rsid w:val="002E0AC6"/>
    <w:rsid w:val="002E0BAA"/>
    <w:rsid w:val="002E0BF0"/>
    <w:rsid w:val="002E0C45"/>
    <w:rsid w:val="002E0C4D"/>
    <w:rsid w:val="002E0C61"/>
    <w:rsid w:val="002E0C6E"/>
    <w:rsid w:val="002E0C7D"/>
    <w:rsid w:val="002E0CBA"/>
    <w:rsid w:val="002E0CD3"/>
    <w:rsid w:val="002E0DB1"/>
    <w:rsid w:val="002E0E4E"/>
    <w:rsid w:val="002E0E5B"/>
    <w:rsid w:val="002E0E6B"/>
    <w:rsid w:val="002E0E8E"/>
    <w:rsid w:val="002E0E97"/>
    <w:rsid w:val="002E0EA0"/>
    <w:rsid w:val="002E0ED7"/>
    <w:rsid w:val="002E0EFA"/>
    <w:rsid w:val="002E0EFB"/>
    <w:rsid w:val="002E0F12"/>
    <w:rsid w:val="002E0FE3"/>
    <w:rsid w:val="002E0FEB"/>
    <w:rsid w:val="002E100E"/>
    <w:rsid w:val="002E1032"/>
    <w:rsid w:val="002E106C"/>
    <w:rsid w:val="002E1100"/>
    <w:rsid w:val="002E1105"/>
    <w:rsid w:val="002E118D"/>
    <w:rsid w:val="002E1193"/>
    <w:rsid w:val="002E11A4"/>
    <w:rsid w:val="002E124F"/>
    <w:rsid w:val="002E1261"/>
    <w:rsid w:val="002E1274"/>
    <w:rsid w:val="002E1292"/>
    <w:rsid w:val="002E1330"/>
    <w:rsid w:val="002E134F"/>
    <w:rsid w:val="002E1392"/>
    <w:rsid w:val="002E13A8"/>
    <w:rsid w:val="002E13BE"/>
    <w:rsid w:val="002E1449"/>
    <w:rsid w:val="002E14C2"/>
    <w:rsid w:val="002E150D"/>
    <w:rsid w:val="002E1542"/>
    <w:rsid w:val="002E156E"/>
    <w:rsid w:val="002E1577"/>
    <w:rsid w:val="002E1594"/>
    <w:rsid w:val="002E15D2"/>
    <w:rsid w:val="002E15F4"/>
    <w:rsid w:val="002E1609"/>
    <w:rsid w:val="002E1694"/>
    <w:rsid w:val="002E16CE"/>
    <w:rsid w:val="002E16D5"/>
    <w:rsid w:val="002E1755"/>
    <w:rsid w:val="002E17B3"/>
    <w:rsid w:val="002E17BE"/>
    <w:rsid w:val="002E186E"/>
    <w:rsid w:val="002E1896"/>
    <w:rsid w:val="002E18DC"/>
    <w:rsid w:val="002E18F1"/>
    <w:rsid w:val="002E191B"/>
    <w:rsid w:val="002E1966"/>
    <w:rsid w:val="002E196D"/>
    <w:rsid w:val="002E199F"/>
    <w:rsid w:val="002E1A6C"/>
    <w:rsid w:val="002E1AA8"/>
    <w:rsid w:val="002E1AD4"/>
    <w:rsid w:val="002E1AE0"/>
    <w:rsid w:val="002E1AE2"/>
    <w:rsid w:val="002E1B1B"/>
    <w:rsid w:val="002E1B94"/>
    <w:rsid w:val="002E1BBA"/>
    <w:rsid w:val="002E1C0C"/>
    <w:rsid w:val="002E1C34"/>
    <w:rsid w:val="002E1C94"/>
    <w:rsid w:val="002E1CC1"/>
    <w:rsid w:val="002E1CD4"/>
    <w:rsid w:val="002E1D18"/>
    <w:rsid w:val="002E1D4E"/>
    <w:rsid w:val="002E1D93"/>
    <w:rsid w:val="002E1DCA"/>
    <w:rsid w:val="002E1DDB"/>
    <w:rsid w:val="002E1DE0"/>
    <w:rsid w:val="002E1E12"/>
    <w:rsid w:val="002E1E3B"/>
    <w:rsid w:val="002E1E49"/>
    <w:rsid w:val="002E1E65"/>
    <w:rsid w:val="002E1EA3"/>
    <w:rsid w:val="002E1EF4"/>
    <w:rsid w:val="002E1EF5"/>
    <w:rsid w:val="002E1F1A"/>
    <w:rsid w:val="002E1FE6"/>
    <w:rsid w:val="002E2070"/>
    <w:rsid w:val="002E2078"/>
    <w:rsid w:val="002E218C"/>
    <w:rsid w:val="002E21DA"/>
    <w:rsid w:val="002E2247"/>
    <w:rsid w:val="002E2249"/>
    <w:rsid w:val="002E224D"/>
    <w:rsid w:val="002E2250"/>
    <w:rsid w:val="002E2265"/>
    <w:rsid w:val="002E2272"/>
    <w:rsid w:val="002E22D4"/>
    <w:rsid w:val="002E22D7"/>
    <w:rsid w:val="002E2377"/>
    <w:rsid w:val="002E237D"/>
    <w:rsid w:val="002E23A2"/>
    <w:rsid w:val="002E23A6"/>
    <w:rsid w:val="002E23CD"/>
    <w:rsid w:val="002E23E9"/>
    <w:rsid w:val="002E2456"/>
    <w:rsid w:val="002E245A"/>
    <w:rsid w:val="002E24B0"/>
    <w:rsid w:val="002E24C8"/>
    <w:rsid w:val="002E24D0"/>
    <w:rsid w:val="002E24D2"/>
    <w:rsid w:val="002E253F"/>
    <w:rsid w:val="002E254B"/>
    <w:rsid w:val="002E26A5"/>
    <w:rsid w:val="002E26C9"/>
    <w:rsid w:val="002E26E1"/>
    <w:rsid w:val="002E26ED"/>
    <w:rsid w:val="002E276E"/>
    <w:rsid w:val="002E2794"/>
    <w:rsid w:val="002E27DC"/>
    <w:rsid w:val="002E2818"/>
    <w:rsid w:val="002E2826"/>
    <w:rsid w:val="002E2827"/>
    <w:rsid w:val="002E2830"/>
    <w:rsid w:val="002E2855"/>
    <w:rsid w:val="002E2863"/>
    <w:rsid w:val="002E288C"/>
    <w:rsid w:val="002E2897"/>
    <w:rsid w:val="002E28D6"/>
    <w:rsid w:val="002E2900"/>
    <w:rsid w:val="002E2905"/>
    <w:rsid w:val="002E294A"/>
    <w:rsid w:val="002E2965"/>
    <w:rsid w:val="002E296B"/>
    <w:rsid w:val="002E2A2C"/>
    <w:rsid w:val="002E2B50"/>
    <w:rsid w:val="002E2B5D"/>
    <w:rsid w:val="002E2B74"/>
    <w:rsid w:val="002E2B97"/>
    <w:rsid w:val="002E2C04"/>
    <w:rsid w:val="002E2C3F"/>
    <w:rsid w:val="002E2C84"/>
    <w:rsid w:val="002E2C9C"/>
    <w:rsid w:val="002E2D46"/>
    <w:rsid w:val="002E2D48"/>
    <w:rsid w:val="002E2D84"/>
    <w:rsid w:val="002E2DBE"/>
    <w:rsid w:val="002E2DC2"/>
    <w:rsid w:val="002E2E2F"/>
    <w:rsid w:val="002E2E34"/>
    <w:rsid w:val="002E2E44"/>
    <w:rsid w:val="002E2E85"/>
    <w:rsid w:val="002E2F27"/>
    <w:rsid w:val="002E2F2B"/>
    <w:rsid w:val="002E2F2E"/>
    <w:rsid w:val="002E2F5D"/>
    <w:rsid w:val="002E2F79"/>
    <w:rsid w:val="002E2F7F"/>
    <w:rsid w:val="002E2F84"/>
    <w:rsid w:val="002E2FE4"/>
    <w:rsid w:val="002E2FF1"/>
    <w:rsid w:val="002E3039"/>
    <w:rsid w:val="002E3098"/>
    <w:rsid w:val="002E30DB"/>
    <w:rsid w:val="002E3153"/>
    <w:rsid w:val="002E3185"/>
    <w:rsid w:val="002E31BC"/>
    <w:rsid w:val="002E31CC"/>
    <w:rsid w:val="002E3203"/>
    <w:rsid w:val="002E3228"/>
    <w:rsid w:val="002E3300"/>
    <w:rsid w:val="002E3346"/>
    <w:rsid w:val="002E3399"/>
    <w:rsid w:val="002E33A9"/>
    <w:rsid w:val="002E33BA"/>
    <w:rsid w:val="002E3464"/>
    <w:rsid w:val="002E3478"/>
    <w:rsid w:val="002E34B1"/>
    <w:rsid w:val="002E356E"/>
    <w:rsid w:val="002E3576"/>
    <w:rsid w:val="002E3668"/>
    <w:rsid w:val="002E3690"/>
    <w:rsid w:val="002E36C3"/>
    <w:rsid w:val="002E371B"/>
    <w:rsid w:val="002E372D"/>
    <w:rsid w:val="002E3734"/>
    <w:rsid w:val="002E373D"/>
    <w:rsid w:val="002E3752"/>
    <w:rsid w:val="002E3891"/>
    <w:rsid w:val="002E38A0"/>
    <w:rsid w:val="002E38C4"/>
    <w:rsid w:val="002E38C8"/>
    <w:rsid w:val="002E38F3"/>
    <w:rsid w:val="002E3908"/>
    <w:rsid w:val="002E39EE"/>
    <w:rsid w:val="002E3A30"/>
    <w:rsid w:val="002E3A73"/>
    <w:rsid w:val="002E3AA0"/>
    <w:rsid w:val="002E3AE0"/>
    <w:rsid w:val="002E3AE4"/>
    <w:rsid w:val="002E3B47"/>
    <w:rsid w:val="002E3B4E"/>
    <w:rsid w:val="002E3B8B"/>
    <w:rsid w:val="002E3CA6"/>
    <w:rsid w:val="002E3CD5"/>
    <w:rsid w:val="002E3D16"/>
    <w:rsid w:val="002E3D1A"/>
    <w:rsid w:val="002E3DBB"/>
    <w:rsid w:val="002E3E3A"/>
    <w:rsid w:val="002E3E8B"/>
    <w:rsid w:val="002E3EC2"/>
    <w:rsid w:val="002E3F1C"/>
    <w:rsid w:val="002E3F3B"/>
    <w:rsid w:val="002E3F47"/>
    <w:rsid w:val="002E3FD6"/>
    <w:rsid w:val="002E4070"/>
    <w:rsid w:val="002E40BA"/>
    <w:rsid w:val="002E410F"/>
    <w:rsid w:val="002E4145"/>
    <w:rsid w:val="002E4162"/>
    <w:rsid w:val="002E4189"/>
    <w:rsid w:val="002E4263"/>
    <w:rsid w:val="002E42AB"/>
    <w:rsid w:val="002E42CF"/>
    <w:rsid w:val="002E4322"/>
    <w:rsid w:val="002E432C"/>
    <w:rsid w:val="002E4339"/>
    <w:rsid w:val="002E4358"/>
    <w:rsid w:val="002E43FF"/>
    <w:rsid w:val="002E4458"/>
    <w:rsid w:val="002E4495"/>
    <w:rsid w:val="002E44E8"/>
    <w:rsid w:val="002E44F0"/>
    <w:rsid w:val="002E4517"/>
    <w:rsid w:val="002E454C"/>
    <w:rsid w:val="002E4568"/>
    <w:rsid w:val="002E46B4"/>
    <w:rsid w:val="002E46D3"/>
    <w:rsid w:val="002E46E2"/>
    <w:rsid w:val="002E471D"/>
    <w:rsid w:val="002E473E"/>
    <w:rsid w:val="002E4798"/>
    <w:rsid w:val="002E47C8"/>
    <w:rsid w:val="002E4850"/>
    <w:rsid w:val="002E48E3"/>
    <w:rsid w:val="002E48FD"/>
    <w:rsid w:val="002E48FE"/>
    <w:rsid w:val="002E4946"/>
    <w:rsid w:val="002E4958"/>
    <w:rsid w:val="002E4992"/>
    <w:rsid w:val="002E4995"/>
    <w:rsid w:val="002E49BD"/>
    <w:rsid w:val="002E4A2F"/>
    <w:rsid w:val="002E4A3A"/>
    <w:rsid w:val="002E4AEF"/>
    <w:rsid w:val="002E4B43"/>
    <w:rsid w:val="002E4BA8"/>
    <w:rsid w:val="002E4C0D"/>
    <w:rsid w:val="002E4C10"/>
    <w:rsid w:val="002E4C38"/>
    <w:rsid w:val="002E4C3C"/>
    <w:rsid w:val="002E4C4F"/>
    <w:rsid w:val="002E4CC2"/>
    <w:rsid w:val="002E4CF8"/>
    <w:rsid w:val="002E4CFD"/>
    <w:rsid w:val="002E4D07"/>
    <w:rsid w:val="002E4D76"/>
    <w:rsid w:val="002E4D99"/>
    <w:rsid w:val="002E4DAE"/>
    <w:rsid w:val="002E4DC3"/>
    <w:rsid w:val="002E4DCB"/>
    <w:rsid w:val="002E4DD6"/>
    <w:rsid w:val="002E4E1F"/>
    <w:rsid w:val="002E4E77"/>
    <w:rsid w:val="002E4E7C"/>
    <w:rsid w:val="002E4EB4"/>
    <w:rsid w:val="002E4EBD"/>
    <w:rsid w:val="002E4F32"/>
    <w:rsid w:val="002E4F8C"/>
    <w:rsid w:val="002E4FC6"/>
    <w:rsid w:val="002E4FF2"/>
    <w:rsid w:val="002E5047"/>
    <w:rsid w:val="002E504A"/>
    <w:rsid w:val="002E5083"/>
    <w:rsid w:val="002E5097"/>
    <w:rsid w:val="002E5111"/>
    <w:rsid w:val="002E511A"/>
    <w:rsid w:val="002E5153"/>
    <w:rsid w:val="002E515A"/>
    <w:rsid w:val="002E51C3"/>
    <w:rsid w:val="002E5260"/>
    <w:rsid w:val="002E5288"/>
    <w:rsid w:val="002E5298"/>
    <w:rsid w:val="002E535C"/>
    <w:rsid w:val="002E5390"/>
    <w:rsid w:val="002E53D9"/>
    <w:rsid w:val="002E53FA"/>
    <w:rsid w:val="002E544E"/>
    <w:rsid w:val="002E546B"/>
    <w:rsid w:val="002E5477"/>
    <w:rsid w:val="002E5497"/>
    <w:rsid w:val="002E54CD"/>
    <w:rsid w:val="002E5590"/>
    <w:rsid w:val="002E55A4"/>
    <w:rsid w:val="002E55B7"/>
    <w:rsid w:val="002E55D9"/>
    <w:rsid w:val="002E561F"/>
    <w:rsid w:val="002E56D7"/>
    <w:rsid w:val="002E56E1"/>
    <w:rsid w:val="002E56FA"/>
    <w:rsid w:val="002E570E"/>
    <w:rsid w:val="002E5744"/>
    <w:rsid w:val="002E574C"/>
    <w:rsid w:val="002E580C"/>
    <w:rsid w:val="002E5837"/>
    <w:rsid w:val="002E58A2"/>
    <w:rsid w:val="002E58A4"/>
    <w:rsid w:val="002E5902"/>
    <w:rsid w:val="002E59BE"/>
    <w:rsid w:val="002E5A12"/>
    <w:rsid w:val="002E5A1D"/>
    <w:rsid w:val="002E5A2F"/>
    <w:rsid w:val="002E5A6D"/>
    <w:rsid w:val="002E5A73"/>
    <w:rsid w:val="002E5AC2"/>
    <w:rsid w:val="002E5AEF"/>
    <w:rsid w:val="002E5B15"/>
    <w:rsid w:val="002E5B3F"/>
    <w:rsid w:val="002E5B40"/>
    <w:rsid w:val="002E5B43"/>
    <w:rsid w:val="002E5BC8"/>
    <w:rsid w:val="002E5BCF"/>
    <w:rsid w:val="002E5BD8"/>
    <w:rsid w:val="002E5C53"/>
    <w:rsid w:val="002E5CFE"/>
    <w:rsid w:val="002E5D15"/>
    <w:rsid w:val="002E5D16"/>
    <w:rsid w:val="002E5D29"/>
    <w:rsid w:val="002E5D36"/>
    <w:rsid w:val="002E5D5C"/>
    <w:rsid w:val="002E5D6A"/>
    <w:rsid w:val="002E5E01"/>
    <w:rsid w:val="002E5E0B"/>
    <w:rsid w:val="002E5E13"/>
    <w:rsid w:val="002E5E3F"/>
    <w:rsid w:val="002E5E52"/>
    <w:rsid w:val="002E5EA8"/>
    <w:rsid w:val="002E5EE9"/>
    <w:rsid w:val="002E5EEF"/>
    <w:rsid w:val="002E5F64"/>
    <w:rsid w:val="002E5F94"/>
    <w:rsid w:val="002E5FE0"/>
    <w:rsid w:val="002E5FE1"/>
    <w:rsid w:val="002E6035"/>
    <w:rsid w:val="002E6059"/>
    <w:rsid w:val="002E605E"/>
    <w:rsid w:val="002E60ED"/>
    <w:rsid w:val="002E6132"/>
    <w:rsid w:val="002E6139"/>
    <w:rsid w:val="002E614A"/>
    <w:rsid w:val="002E6158"/>
    <w:rsid w:val="002E6183"/>
    <w:rsid w:val="002E6185"/>
    <w:rsid w:val="002E61C6"/>
    <w:rsid w:val="002E61F0"/>
    <w:rsid w:val="002E6303"/>
    <w:rsid w:val="002E632D"/>
    <w:rsid w:val="002E6334"/>
    <w:rsid w:val="002E63E8"/>
    <w:rsid w:val="002E640D"/>
    <w:rsid w:val="002E6448"/>
    <w:rsid w:val="002E645E"/>
    <w:rsid w:val="002E6484"/>
    <w:rsid w:val="002E65F5"/>
    <w:rsid w:val="002E6612"/>
    <w:rsid w:val="002E6685"/>
    <w:rsid w:val="002E6689"/>
    <w:rsid w:val="002E66C8"/>
    <w:rsid w:val="002E670E"/>
    <w:rsid w:val="002E6740"/>
    <w:rsid w:val="002E67DC"/>
    <w:rsid w:val="002E67E7"/>
    <w:rsid w:val="002E67FF"/>
    <w:rsid w:val="002E6809"/>
    <w:rsid w:val="002E6857"/>
    <w:rsid w:val="002E6885"/>
    <w:rsid w:val="002E68C1"/>
    <w:rsid w:val="002E692F"/>
    <w:rsid w:val="002E6981"/>
    <w:rsid w:val="002E69C7"/>
    <w:rsid w:val="002E69D1"/>
    <w:rsid w:val="002E69E5"/>
    <w:rsid w:val="002E6A47"/>
    <w:rsid w:val="002E6A92"/>
    <w:rsid w:val="002E6B3D"/>
    <w:rsid w:val="002E6B6B"/>
    <w:rsid w:val="002E6BBD"/>
    <w:rsid w:val="002E6BE9"/>
    <w:rsid w:val="002E6BF7"/>
    <w:rsid w:val="002E6C0E"/>
    <w:rsid w:val="002E6C29"/>
    <w:rsid w:val="002E6C4A"/>
    <w:rsid w:val="002E6CC0"/>
    <w:rsid w:val="002E6D4B"/>
    <w:rsid w:val="002E6DEF"/>
    <w:rsid w:val="002E6E7C"/>
    <w:rsid w:val="002E6EF3"/>
    <w:rsid w:val="002E6EFC"/>
    <w:rsid w:val="002E6F10"/>
    <w:rsid w:val="002E6F7A"/>
    <w:rsid w:val="002E6FAB"/>
    <w:rsid w:val="002E6FB2"/>
    <w:rsid w:val="002E6FD5"/>
    <w:rsid w:val="002E6FE7"/>
    <w:rsid w:val="002E6FE8"/>
    <w:rsid w:val="002E7018"/>
    <w:rsid w:val="002E701E"/>
    <w:rsid w:val="002E7047"/>
    <w:rsid w:val="002E7065"/>
    <w:rsid w:val="002E70A7"/>
    <w:rsid w:val="002E70DC"/>
    <w:rsid w:val="002E70F0"/>
    <w:rsid w:val="002E70FB"/>
    <w:rsid w:val="002E71A3"/>
    <w:rsid w:val="002E71CF"/>
    <w:rsid w:val="002E7208"/>
    <w:rsid w:val="002E724B"/>
    <w:rsid w:val="002E725E"/>
    <w:rsid w:val="002E72F6"/>
    <w:rsid w:val="002E731C"/>
    <w:rsid w:val="002E7393"/>
    <w:rsid w:val="002E73B3"/>
    <w:rsid w:val="002E73CB"/>
    <w:rsid w:val="002E73F4"/>
    <w:rsid w:val="002E7420"/>
    <w:rsid w:val="002E7422"/>
    <w:rsid w:val="002E7462"/>
    <w:rsid w:val="002E74AE"/>
    <w:rsid w:val="002E74C8"/>
    <w:rsid w:val="002E74D8"/>
    <w:rsid w:val="002E74E0"/>
    <w:rsid w:val="002E74FB"/>
    <w:rsid w:val="002E7544"/>
    <w:rsid w:val="002E7573"/>
    <w:rsid w:val="002E7583"/>
    <w:rsid w:val="002E75E0"/>
    <w:rsid w:val="002E7640"/>
    <w:rsid w:val="002E7668"/>
    <w:rsid w:val="002E76E2"/>
    <w:rsid w:val="002E76EB"/>
    <w:rsid w:val="002E76EF"/>
    <w:rsid w:val="002E770A"/>
    <w:rsid w:val="002E7777"/>
    <w:rsid w:val="002E77DD"/>
    <w:rsid w:val="002E7826"/>
    <w:rsid w:val="002E7846"/>
    <w:rsid w:val="002E785C"/>
    <w:rsid w:val="002E7905"/>
    <w:rsid w:val="002E791C"/>
    <w:rsid w:val="002E7956"/>
    <w:rsid w:val="002E7A20"/>
    <w:rsid w:val="002E7A26"/>
    <w:rsid w:val="002E7A4B"/>
    <w:rsid w:val="002E7A4F"/>
    <w:rsid w:val="002E7A64"/>
    <w:rsid w:val="002E7AC1"/>
    <w:rsid w:val="002E7ACA"/>
    <w:rsid w:val="002E7AE0"/>
    <w:rsid w:val="002E7B15"/>
    <w:rsid w:val="002E7B7C"/>
    <w:rsid w:val="002E7B9A"/>
    <w:rsid w:val="002E7C5E"/>
    <w:rsid w:val="002E7CC1"/>
    <w:rsid w:val="002E7CCB"/>
    <w:rsid w:val="002E7D21"/>
    <w:rsid w:val="002E7D52"/>
    <w:rsid w:val="002E7D9A"/>
    <w:rsid w:val="002E7DB5"/>
    <w:rsid w:val="002E7DF4"/>
    <w:rsid w:val="002E7E17"/>
    <w:rsid w:val="002E7EBC"/>
    <w:rsid w:val="002E7F25"/>
    <w:rsid w:val="002E7F34"/>
    <w:rsid w:val="002E7F9F"/>
    <w:rsid w:val="002E7FBB"/>
    <w:rsid w:val="002E7FFA"/>
    <w:rsid w:val="002F0004"/>
    <w:rsid w:val="002F0012"/>
    <w:rsid w:val="002F0056"/>
    <w:rsid w:val="002F0081"/>
    <w:rsid w:val="002F01DB"/>
    <w:rsid w:val="002F01E0"/>
    <w:rsid w:val="002F01EB"/>
    <w:rsid w:val="002F0266"/>
    <w:rsid w:val="002F02B5"/>
    <w:rsid w:val="002F02DF"/>
    <w:rsid w:val="002F03BE"/>
    <w:rsid w:val="002F03C7"/>
    <w:rsid w:val="002F03CC"/>
    <w:rsid w:val="002F03F1"/>
    <w:rsid w:val="002F0427"/>
    <w:rsid w:val="002F0430"/>
    <w:rsid w:val="002F0444"/>
    <w:rsid w:val="002F0465"/>
    <w:rsid w:val="002F046A"/>
    <w:rsid w:val="002F0498"/>
    <w:rsid w:val="002F04DC"/>
    <w:rsid w:val="002F04DD"/>
    <w:rsid w:val="002F052B"/>
    <w:rsid w:val="002F05B4"/>
    <w:rsid w:val="002F05B7"/>
    <w:rsid w:val="002F067F"/>
    <w:rsid w:val="002F06FC"/>
    <w:rsid w:val="002F0775"/>
    <w:rsid w:val="002F0778"/>
    <w:rsid w:val="002F077E"/>
    <w:rsid w:val="002F0850"/>
    <w:rsid w:val="002F08C3"/>
    <w:rsid w:val="002F0988"/>
    <w:rsid w:val="002F09AF"/>
    <w:rsid w:val="002F0A57"/>
    <w:rsid w:val="002F0AF6"/>
    <w:rsid w:val="002F0AFC"/>
    <w:rsid w:val="002F0B14"/>
    <w:rsid w:val="002F0B24"/>
    <w:rsid w:val="002F0B45"/>
    <w:rsid w:val="002F0B50"/>
    <w:rsid w:val="002F0B6A"/>
    <w:rsid w:val="002F0B9B"/>
    <w:rsid w:val="002F0BBC"/>
    <w:rsid w:val="002F0BC6"/>
    <w:rsid w:val="002F0C01"/>
    <w:rsid w:val="002F0C1C"/>
    <w:rsid w:val="002F0C1E"/>
    <w:rsid w:val="002F0C62"/>
    <w:rsid w:val="002F0C83"/>
    <w:rsid w:val="002F0C95"/>
    <w:rsid w:val="002F0CAE"/>
    <w:rsid w:val="002F0D21"/>
    <w:rsid w:val="002F0D63"/>
    <w:rsid w:val="002F0D76"/>
    <w:rsid w:val="002F0D81"/>
    <w:rsid w:val="002F0DFF"/>
    <w:rsid w:val="002F0E0D"/>
    <w:rsid w:val="002F0E14"/>
    <w:rsid w:val="002F0E71"/>
    <w:rsid w:val="002F0E81"/>
    <w:rsid w:val="002F0E8D"/>
    <w:rsid w:val="002F0ECD"/>
    <w:rsid w:val="002F0F92"/>
    <w:rsid w:val="002F0F93"/>
    <w:rsid w:val="002F1071"/>
    <w:rsid w:val="002F11DC"/>
    <w:rsid w:val="002F120D"/>
    <w:rsid w:val="002F1241"/>
    <w:rsid w:val="002F1250"/>
    <w:rsid w:val="002F1348"/>
    <w:rsid w:val="002F1433"/>
    <w:rsid w:val="002F1451"/>
    <w:rsid w:val="002F14B5"/>
    <w:rsid w:val="002F14E1"/>
    <w:rsid w:val="002F14FB"/>
    <w:rsid w:val="002F1525"/>
    <w:rsid w:val="002F15AE"/>
    <w:rsid w:val="002F15BE"/>
    <w:rsid w:val="002F160B"/>
    <w:rsid w:val="002F1636"/>
    <w:rsid w:val="002F163C"/>
    <w:rsid w:val="002F16C5"/>
    <w:rsid w:val="002F16DB"/>
    <w:rsid w:val="002F178E"/>
    <w:rsid w:val="002F1830"/>
    <w:rsid w:val="002F185B"/>
    <w:rsid w:val="002F1881"/>
    <w:rsid w:val="002F18FC"/>
    <w:rsid w:val="002F193B"/>
    <w:rsid w:val="002F1945"/>
    <w:rsid w:val="002F199E"/>
    <w:rsid w:val="002F19ED"/>
    <w:rsid w:val="002F19F4"/>
    <w:rsid w:val="002F19FB"/>
    <w:rsid w:val="002F1A77"/>
    <w:rsid w:val="002F1A8A"/>
    <w:rsid w:val="002F1B06"/>
    <w:rsid w:val="002F1B17"/>
    <w:rsid w:val="002F1BA0"/>
    <w:rsid w:val="002F1BEA"/>
    <w:rsid w:val="002F1C22"/>
    <w:rsid w:val="002F1C76"/>
    <w:rsid w:val="002F1D40"/>
    <w:rsid w:val="002F1D55"/>
    <w:rsid w:val="002F1D77"/>
    <w:rsid w:val="002F1D87"/>
    <w:rsid w:val="002F1E35"/>
    <w:rsid w:val="002F1E4C"/>
    <w:rsid w:val="002F1E67"/>
    <w:rsid w:val="002F1E72"/>
    <w:rsid w:val="002F1E7A"/>
    <w:rsid w:val="002F1EA4"/>
    <w:rsid w:val="002F1EA6"/>
    <w:rsid w:val="002F1EE9"/>
    <w:rsid w:val="002F1F46"/>
    <w:rsid w:val="002F1F9E"/>
    <w:rsid w:val="002F1FBA"/>
    <w:rsid w:val="002F1FD5"/>
    <w:rsid w:val="002F202C"/>
    <w:rsid w:val="002F20AC"/>
    <w:rsid w:val="002F20CB"/>
    <w:rsid w:val="002F20E5"/>
    <w:rsid w:val="002F2133"/>
    <w:rsid w:val="002F2179"/>
    <w:rsid w:val="002F2187"/>
    <w:rsid w:val="002F219D"/>
    <w:rsid w:val="002F21BC"/>
    <w:rsid w:val="002F21DE"/>
    <w:rsid w:val="002F228E"/>
    <w:rsid w:val="002F22A9"/>
    <w:rsid w:val="002F22B0"/>
    <w:rsid w:val="002F22FB"/>
    <w:rsid w:val="002F231C"/>
    <w:rsid w:val="002F2369"/>
    <w:rsid w:val="002F249C"/>
    <w:rsid w:val="002F24E4"/>
    <w:rsid w:val="002F2547"/>
    <w:rsid w:val="002F2559"/>
    <w:rsid w:val="002F259E"/>
    <w:rsid w:val="002F25B5"/>
    <w:rsid w:val="002F2648"/>
    <w:rsid w:val="002F2661"/>
    <w:rsid w:val="002F2667"/>
    <w:rsid w:val="002F26ED"/>
    <w:rsid w:val="002F2761"/>
    <w:rsid w:val="002F27BE"/>
    <w:rsid w:val="002F27E8"/>
    <w:rsid w:val="002F27F3"/>
    <w:rsid w:val="002F27F7"/>
    <w:rsid w:val="002F28DE"/>
    <w:rsid w:val="002F28F1"/>
    <w:rsid w:val="002F293D"/>
    <w:rsid w:val="002F2972"/>
    <w:rsid w:val="002F298E"/>
    <w:rsid w:val="002F299C"/>
    <w:rsid w:val="002F29EC"/>
    <w:rsid w:val="002F2A25"/>
    <w:rsid w:val="002F2A5B"/>
    <w:rsid w:val="002F2A7B"/>
    <w:rsid w:val="002F2ADD"/>
    <w:rsid w:val="002F2B05"/>
    <w:rsid w:val="002F2C77"/>
    <w:rsid w:val="002F2CF4"/>
    <w:rsid w:val="002F2D7D"/>
    <w:rsid w:val="002F2D90"/>
    <w:rsid w:val="002F2D9F"/>
    <w:rsid w:val="002F2DA1"/>
    <w:rsid w:val="002F2DF4"/>
    <w:rsid w:val="002F2E23"/>
    <w:rsid w:val="002F2E31"/>
    <w:rsid w:val="002F2E6D"/>
    <w:rsid w:val="002F2E8E"/>
    <w:rsid w:val="002F2E93"/>
    <w:rsid w:val="002F2EAD"/>
    <w:rsid w:val="002F2EC2"/>
    <w:rsid w:val="002F2F74"/>
    <w:rsid w:val="002F2F8A"/>
    <w:rsid w:val="002F2FB3"/>
    <w:rsid w:val="002F3041"/>
    <w:rsid w:val="002F3043"/>
    <w:rsid w:val="002F3051"/>
    <w:rsid w:val="002F3053"/>
    <w:rsid w:val="002F310A"/>
    <w:rsid w:val="002F3123"/>
    <w:rsid w:val="002F3167"/>
    <w:rsid w:val="002F3185"/>
    <w:rsid w:val="002F31F1"/>
    <w:rsid w:val="002F3206"/>
    <w:rsid w:val="002F3207"/>
    <w:rsid w:val="002F3209"/>
    <w:rsid w:val="002F3262"/>
    <w:rsid w:val="002F3266"/>
    <w:rsid w:val="002F32D4"/>
    <w:rsid w:val="002F3338"/>
    <w:rsid w:val="002F334B"/>
    <w:rsid w:val="002F337B"/>
    <w:rsid w:val="002F3415"/>
    <w:rsid w:val="002F3417"/>
    <w:rsid w:val="002F3420"/>
    <w:rsid w:val="002F342F"/>
    <w:rsid w:val="002F34BC"/>
    <w:rsid w:val="002F34D4"/>
    <w:rsid w:val="002F34E2"/>
    <w:rsid w:val="002F351A"/>
    <w:rsid w:val="002F3563"/>
    <w:rsid w:val="002F358F"/>
    <w:rsid w:val="002F35A5"/>
    <w:rsid w:val="002F35E5"/>
    <w:rsid w:val="002F366C"/>
    <w:rsid w:val="002F3671"/>
    <w:rsid w:val="002F3686"/>
    <w:rsid w:val="002F3711"/>
    <w:rsid w:val="002F3716"/>
    <w:rsid w:val="002F374C"/>
    <w:rsid w:val="002F3750"/>
    <w:rsid w:val="002F381B"/>
    <w:rsid w:val="002F3877"/>
    <w:rsid w:val="002F388B"/>
    <w:rsid w:val="002F38B0"/>
    <w:rsid w:val="002F393B"/>
    <w:rsid w:val="002F3982"/>
    <w:rsid w:val="002F399E"/>
    <w:rsid w:val="002F39F8"/>
    <w:rsid w:val="002F3A61"/>
    <w:rsid w:val="002F3AB1"/>
    <w:rsid w:val="002F3AB4"/>
    <w:rsid w:val="002F3AD2"/>
    <w:rsid w:val="002F3B0A"/>
    <w:rsid w:val="002F3B53"/>
    <w:rsid w:val="002F3B75"/>
    <w:rsid w:val="002F3B8E"/>
    <w:rsid w:val="002F3BA2"/>
    <w:rsid w:val="002F3C21"/>
    <w:rsid w:val="002F3C9A"/>
    <w:rsid w:val="002F3CAE"/>
    <w:rsid w:val="002F3CEF"/>
    <w:rsid w:val="002F3D33"/>
    <w:rsid w:val="002F3D59"/>
    <w:rsid w:val="002F3D94"/>
    <w:rsid w:val="002F3DA6"/>
    <w:rsid w:val="002F3DEA"/>
    <w:rsid w:val="002F3DFE"/>
    <w:rsid w:val="002F3E04"/>
    <w:rsid w:val="002F3E08"/>
    <w:rsid w:val="002F3E75"/>
    <w:rsid w:val="002F3EA0"/>
    <w:rsid w:val="002F3EA4"/>
    <w:rsid w:val="002F3EB1"/>
    <w:rsid w:val="002F3F0C"/>
    <w:rsid w:val="002F3F15"/>
    <w:rsid w:val="002F3F30"/>
    <w:rsid w:val="002F3F54"/>
    <w:rsid w:val="002F3FDF"/>
    <w:rsid w:val="002F4017"/>
    <w:rsid w:val="002F40B3"/>
    <w:rsid w:val="002F411A"/>
    <w:rsid w:val="002F4128"/>
    <w:rsid w:val="002F4147"/>
    <w:rsid w:val="002F4149"/>
    <w:rsid w:val="002F4164"/>
    <w:rsid w:val="002F417B"/>
    <w:rsid w:val="002F41EE"/>
    <w:rsid w:val="002F4203"/>
    <w:rsid w:val="002F4209"/>
    <w:rsid w:val="002F424F"/>
    <w:rsid w:val="002F4258"/>
    <w:rsid w:val="002F42BD"/>
    <w:rsid w:val="002F42D8"/>
    <w:rsid w:val="002F42DA"/>
    <w:rsid w:val="002F436F"/>
    <w:rsid w:val="002F43AE"/>
    <w:rsid w:val="002F43B9"/>
    <w:rsid w:val="002F43F5"/>
    <w:rsid w:val="002F4461"/>
    <w:rsid w:val="002F446C"/>
    <w:rsid w:val="002F4476"/>
    <w:rsid w:val="002F4503"/>
    <w:rsid w:val="002F4521"/>
    <w:rsid w:val="002F45CC"/>
    <w:rsid w:val="002F45E4"/>
    <w:rsid w:val="002F4609"/>
    <w:rsid w:val="002F4617"/>
    <w:rsid w:val="002F462B"/>
    <w:rsid w:val="002F463D"/>
    <w:rsid w:val="002F463E"/>
    <w:rsid w:val="002F466C"/>
    <w:rsid w:val="002F46A1"/>
    <w:rsid w:val="002F47AA"/>
    <w:rsid w:val="002F481D"/>
    <w:rsid w:val="002F481E"/>
    <w:rsid w:val="002F4878"/>
    <w:rsid w:val="002F4890"/>
    <w:rsid w:val="002F494D"/>
    <w:rsid w:val="002F496A"/>
    <w:rsid w:val="002F499A"/>
    <w:rsid w:val="002F4A2D"/>
    <w:rsid w:val="002F4A5A"/>
    <w:rsid w:val="002F4A9B"/>
    <w:rsid w:val="002F4ACA"/>
    <w:rsid w:val="002F4B07"/>
    <w:rsid w:val="002F4B13"/>
    <w:rsid w:val="002F4B6E"/>
    <w:rsid w:val="002F4B8F"/>
    <w:rsid w:val="002F4B9B"/>
    <w:rsid w:val="002F4BA7"/>
    <w:rsid w:val="002F4C10"/>
    <w:rsid w:val="002F4CA3"/>
    <w:rsid w:val="002F4CA4"/>
    <w:rsid w:val="002F4D04"/>
    <w:rsid w:val="002F4D33"/>
    <w:rsid w:val="002F4D5E"/>
    <w:rsid w:val="002F4D99"/>
    <w:rsid w:val="002F4D9D"/>
    <w:rsid w:val="002F4DD3"/>
    <w:rsid w:val="002F4E45"/>
    <w:rsid w:val="002F4E66"/>
    <w:rsid w:val="002F4EC0"/>
    <w:rsid w:val="002F4FBD"/>
    <w:rsid w:val="002F4FED"/>
    <w:rsid w:val="002F5060"/>
    <w:rsid w:val="002F50FE"/>
    <w:rsid w:val="002F5129"/>
    <w:rsid w:val="002F512A"/>
    <w:rsid w:val="002F5169"/>
    <w:rsid w:val="002F517E"/>
    <w:rsid w:val="002F518B"/>
    <w:rsid w:val="002F519B"/>
    <w:rsid w:val="002F51A1"/>
    <w:rsid w:val="002F51FD"/>
    <w:rsid w:val="002F52A6"/>
    <w:rsid w:val="002F52EE"/>
    <w:rsid w:val="002F5330"/>
    <w:rsid w:val="002F53B2"/>
    <w:rsid w:val="002F542B"/>
    <w:rsid w:val="002F548C"/>
    <w:rsid w:val="002F5491"/>
    <w:rsid w:val="002F54A5"/>
    <w:rsid w:val="002F54AC"/>
    <w:rsid w:val="002F54B2"/>
    <w:rsid w:val="002F5573"/>
    <w:rsid w:val="002F5585"/>
    <w:rsid w:val="002F55F6"/>
    <w:rsid w:val="002F562E"/>
    <w:rsid w:val="002F5644"/>
    <w:rsid w:val="002F5666"/>
    <w:rsid w:val="002F5713"/>
    <w:rsid w:val="002F5783"/>
    <w:rsid w:val="002F57A4"/>
    <w:rsid w:val="002F57AC"/>
    <w:rsid w:val="002F57B7"/>
    <w:rsid w:val="002F580B"/>
    <w:rsid w:val="002F58DB"/>
    <w:rsid w:val="002F5938"/>
    <w:rsid w:val="002F597A"/>
    <w:rsid w:val="002F59AD"/>
    <w:rsid w:val="002F59D0"/>
    <w:rsid w:val="002F5A02"/>
    <w:rsid w:val="002F5A57"/>
    <w:rsid w:val="002F5A82"/>
    <w:rsid w:val="002F5B08"/>
    <w:rsid w:val="002F5B4D"/>
    <w:rsid w:val="002F5B59"/>
    <w:rsid w:val="002F5BF5"/>
    <w:rsid w:val="002F5C57"/>
    <w:rsid w:val="002F5C58"/>
    <w:rsid w:val="002F5C96"/>
    <w:rsid w:val="002F5CC2"/>
    <w:rsid w:val="002F5CDA"/>
    <w:rsid w:val="002F5D9C"/>
    <w:rsid w:val="002F5DA8"/>
    <w:rsid w:val="002F5E55"/>
    <w:rsid w:val="002F5E5A"/>
    <w:rsid w:val="002F5E8F"/>
    <w:rsid w:val="002F5ECB"/>
    <w:rsid w:val="002F5F42"/>
    <w:rsid w:val="002F5F82"/>
    <w:rsid w:val="002F5F97"/>
    <w:rsid w:val="002F5FFA"/>
    <w:rsid w:val="002F6010"/>
    <w:rsid w:val="002F6040"/>
    <w:rsid w:val="002F604F"/>
    <w:rsid w:val="002F60A2"/>
    <w:rsid w:val="002F6137"/>
    <w:rsid w:val="002F6152"/>
    <w:rsid w:val="002F6169"/>
    <w:rsid w:val="002F61A7"/>
    <w:rsid w:val="002F61F2"/>
    <w:rsid w:val="002F6212"/>
    <w:rsid w:val="002F6215"/>
    <w:rsid w:val="002F6238"/>
    <w:rsid w:val="002F628E"/>
    <w:rsid w:val="002F632E"/>
    <w:rsid w:val="002F63FF"/>
    <w:rsid w:val="002F6411"/>
    <w:rsid w:val="002F6510"/>
    <w:rsid w:val="002F651F"/>
    <w:rsid w:val="002F6522"/>
    <w:rsid w:val="002F6525"/>
    <w:rsid w:val="002F65AB"/>
    <w:rsid w:val="002F65B2"/>
    <w:rsid w:val="002F65E5"/>
    <w:rsid w:val="002F65E6"/>
    <w:rsid w:val="002F663A"/>
    <w:rsid w:val="002F6643"/>
    <w:rsid w:val="002F6658"/>
    <w:rsid w:val="002F6660"/>
    <w:rsid w:val="002F66E3"/>
    <w:rsid w:val="002F678C"/>
    <w:rsid w:val="002F67CE"/>
    <w:rsid w:val="002F67E0"/>
    <w:rsid w:val="002F67F8"/>
    <w:rsid w:val="002F6868"/>
    <w:rsid w:val="002F68D9"/>
    <w:rsid w:val="002F68F7"/>
    <w:rsid w:val="002F693E"/>
    <w:rsid w:val="002F695F"/>
    <w:rsid w:val="002F6977"/>
    <w:rsid w:val="002F69C4"/>
    <w:rsid w:val="002F6A13"/>
    <w:rsid w:val="002F6A3D"/>
    <w:rsid w:val="002F6AA6"/>
    <w:rsid w:val="002F6B12"/>
    <w:rsid w:val="002F6B29"/>
    <w:rsid w:val="002F6B5E"/>
    <w:rsid w:val="002F6BA9"/>
    <w:rsid w:val="002F6BAF"/>
    <w:rsid w:val="002F6BB3"/>
    <w:rsid w:val="002F6C03"/>
    <w:rsid w:val="002F6C35"/>
    <w:rsid w:val="002F6C44"/>
    <w:rsid w:val="002F6C5E"/>
    <w:rsid w:val="002F6C86"/>
    <w:rsid w:val="002F6D0C"/>
    <w:rsid w:val="002F6D10"/>
    <w:rsid w:val="002F6D3F"/>
    <w:rsid w:val="002F6E47"/>
    <w:rsid w:val="002F6EAF"/>
    <w:rsid w:val="002F6EBA"/>
    <w:rsid w:val="002F6F0B"/>
    <w:rsid w:val="002F6F66"/>
    <w:rsid w:val="002F6F84"/>
    <w:rsid w:val="002F6FD1"/>
    <w:rsid w:val="002F7054"/>
    <w:rsid w:val="002F705C"/>
    <w:rsid w:val="002F706D"/>
    <w:rsid w:val="002F70E1"/>
    <w:rsid w:val="002F711D"/>
    <w:rsid w:val="002F716B"/>
    <w:rsid w:val="002F721F"/>
    <w:rsid w:val="002F7239"/>
    <w:rsid w:val="002F7263"/>
    <w:rsid w:val="002F7338"/>
    <w:rsid w:val="002F734B"/>
    <w:rsid w:val="002F736E"/>
    <w:rsid w:val="002F73D8"/>
    <w:rsid w:val="002F73E3"/>
    <w:rsid w:val="002F73E4"/>
    <w:rsid w:val="002F73FA"/>
    <w:rsid w:val="002F73FB"/>
    <w:rsid w:val="002F7432"/>
    <w:rsid w:val="002F7478"/>
    <w:rsid w:val="002F74B7"/>
    <w:rsid w:val="002F750E"/>
    <w:rsid w:val="002F7565"/>
    <w:rsid w:val="002F756F"/>
    <w:rsid w:val="002F7584"/>
    <w:rsid w:val="002F7650"/>
    <w:rsid w:val="002F7655"/>
    <w:rsid w:val="002F767A"/>
    <w:rsid w:val="002F7686"/>
    <w:rsid w:val="002F76A1"/>
    <w:rsid w:val="002F76D5"/>
    <w:rsid w:val="002F7702"/>
    <w:rsid w:val="002F7708"/>
    <w:rsid w:val="002F772E"/>
    <w:rsid w:val="002F780A"/>
    <w:rsid w:val="002F7840"/>
    <w:rsid w:val="002F7864"/>
    <w:rsid w:val="002F7878"/>
    <w:rsid w:val="002F7888"/>
    <w:rsid w:val="002F78A1"/>
    <w:rsid w:val="002F78DC"/>
    <w:rsid w:val="002F7908"/>
    <w:rsid w:val="002F792A"/>
    <w:rsid w:val="002F792F"/>
    <w:rsid w:val="002F7930"/>
    <w:rsid w:val="002F7934"/>
    <w:rsid w:val="002F799C"/>
    <w:rsid w:val="002F7A0F"/>
    <w:rsid w:val="002F7A17"/>
    <w:rsid w:val="002F7AF4"/>
    <w:rsid w:val="002F7B04"/>
    <w:rsid w:val="002F7B57"/>
    <w:rsid w:val="002F7BD9"/>
    <w:rsid w:val="002F7C58"/>
    <w:rsid w:val="002F7CA3"/>
    <w:rsid w:val="002F7CD6"/>
    <w:rsid w:val="002F7CEE"/>
    <w:rsid w:val="002F7D50"/>
    <w:rsid w:val="002F7D51"/>
    <w:rsid w:val="002F7DB9"/>
    <w:rsid w:val="002F7E1C"/>
    <w:rsid w:val="002F7E1F"/>
    <w:rsid w:val="002F7E26"/>
    <w:rsid w:val="002F7E5A"/>
    <w:rsid w:val="002F7EE5"/>
    <w:rsid w:val="002F7EF2"/>
    <w:rsid w:val="002F7F32"/>
    <w:rsid w:val="002F7F50"/>
    <w:rsid w:val="002F7F58"/>
    <w:rsid w:val="002F7FAA"/>
    <w:rsid w:val="002F7FB9"/>
    <w:rsid w:val="00300003"/>
    <w:rsid w:val="0030001B"/>
    <w:rsid w:val="00300026"/>
    <w:rsid w:val="00300075"/>
    <w:rsid w:val="003000A4"/>
    <w:rsid w:val="003000C1"/>
    <w:rsid w:val="00300159"/>
    <w:rsid w:val="00300163"/>
    <w:rsid w:val="003001D4"/>
    <w:rsid w:val="003001E8"/>
    <w:rsid w:val="00300215"/>
    <w:rsid w:val="0030021F"/>
    <w:rsid w:val="00300220"/>
    <w:rsid w:val="00300266"/>
    <w:rsid w:val="003002B8"/>
    <w:rsid w:val="00300326"/>
    <w:rsid w:val="003003EB"/>
    <w:rsid w:val="0030044C"/>
    <w:rsid w:val="00300487"/>
    <w:rsid w:val="003004AE"/>
    <w:rsid w:val="003004C8"/>
    <w:rsid w:val="003004F8"/>
    <w:rsid w:val="00300506"/>
    <w:rsid w:val="00300509"/>
    <w:rsid w:val="00300559"/>
    <w:rsid w:val="0030056B"/>
    <w:rsid w:val="00300583"/>
    <w:rsid w:val="00300587"/>
    <w:rsid w:val="00300591"/>
    <w:rsid w:val="003005AD"/>
    <w:rsid w:val="00300643"/>
    <w:rsid w:val="003006B6"/>
    <w:rsid w:val="003006D9"/>
    <w:rsid w:val="003006DB"/>
    <w:rsid w:val="003006FE"/>
    <w:rsid w:val="0030073B"/>
    <w:rsid w:val="0030074F"/>
    <w:rsid w:val="00300771"/>
    <w:rsid w:val="00300785"/>
    <w:rsid w:val="0030078C"/>
    <w:rsid w:val="003007E3"/>
    <w:rsid w:val="003007E9"/>
    <w:rsid w:val="00300833"/>
    <w:rsid w:val="00300848"/>
    <w:rsid w:val="0030087A"/>
    <w:rsid w:val="003008D4"/>
    <w:rsid w:val="00300919"/>
    <w:rsid w:val="0030091F"/>
    <w:rsid w:val="00300982"/>
    <w:rsid w:val="00300984"/>
    <w:rsid w:val="003009D0"/>
    <w:rsid w:val="00300A08"/>
    <w:rsid w:val="00300A1B"/>
    <w:rsid w:val="00300A57"/>
    <w:rsid w:val="00300A6B"/>
    <w:rsid w:val="00300A77"/>
    <w:rsid w:val="00300A96"/>
    <w:rsid w:val="00300A9D"/>
    <w:rsid w:val="00300AB4"/>
    <w:rsid w:val="00300AF9"/>
    <w:rsid w:val="00300B58"/>
    <w:rsid w:val="00300B79"/>
    <w:rsid w:val="00300BB5"/>
    <w:rsid w:val="00300BC0"/>
    <w:rsid w:val="00300BD6"/>
    <w:rsid w:val="00300C3C"/>
    <w:rsid w:val="00300C56"/>
    <w:rsid w:val="00300C81"/>
    <w:rsid w:val="00300D29"/>
    <w:rsid w:val="00300DBD"/>
    <w:rsid w:val="00300E4C"/>
    <w:rsid w:val="00300ECB"/>
    <w:rsid w:val="00300ECF"/>
    <w:rsid w:val="0030103A"/>
    <w:rsid w:val="003010AD"/>
    <w:rsid w:val="003010B5"/>
    <w:rsid w:val="003010E3"/>
    <w:rsid w:val="003010EE"/>
    <w:rsid w:val="00301103"/>
    <w:rsid w:val="00301123"/>
    <w:rsid w:val="00301128"/>
    <w:rsid w:val="00301131"/>
    <w:rsid w:val="00301148"/>
    <w:rsid w:val="00301164"/>
    <w:rsid w:val="00301197"/>
    <w:rsid w:val="003012CE"/>
    <w:rsid w:val="003012E5"/>
    <w:rsid w:val="0030138A"/>
    <w:rsid w:val="00301399"/>
    <w:rsid w:val="0030144E"/>
    <w:rsid w:val="003014FD"/>
    <w:rsid w:val="00301569"/>
    <w:rsid w:val="00301575"/>
    <w:rsid w:val="003015A0"/>
    <w:rsid w:val="003015CD"/>
    <w:rsid w:val="003015D1"/>
    <w:rsid w:val="003015D8"/>
    <w:rsid w:val="003015F9"/>
    <w:rsid w:val="0030161B"/>
    <w:rsid w:val="00301648"/>
    <w:rsid w:val="00301662"/>
    <w:rsid w:val="003016AA"/>
    <w:rsid w:val="003016AE"/>
    <w:rsid w:val="003016B4"/>
    <w:rsid w:val="003016D0"/>
    <w:rsid w:val="003016DF"/>
    <w:rsid w:val="00301772"/>
    <w:rsid w:val="0030178A"/>
    <w:rsid w:val="003017E1"/>
    <w:rsid w:val="00301800"/>
    <w:rsid w:val="00301821"/>
    <w:rsid w:val="0030183A"/>
    <w:rsid w:val="0030186F"/>
    <w:rsid w:val="00301919"/>
    <w:rsid w:val="00301923"/>
    <w:rsid w:val="0030192D"/>
    <w:rsid w:val="00301A15"/>
    <w:rsid w:val="00301ACF"/>
    <w:rsid w:val="00301BA7"/>
    <w:rsid w:val="00301BEA"/>
    <w:rsid w:val="00301C1E"/>
    <w:rsid w:val="00301C7E"/>
    <w:rsid w:val="00301C88"/>
    <w:rsid w:val="00301CF7"/>
    <w:rsid w:val="00301D8B"/>
    <w:rsid w:val="00301DA3"/>
    <w:rsid w:val="00301DBE"/>
    <w:rsid w:val="00301E02"/>
    <w:rsid w:val="00301E33"/>
    <w:rsid w:val="00301E3F"/>
    <w:rsid w:val="00301EA3"/>
    <w:rsid w:val="00301ED5"/>
    <w:rsid w:val="00301F0E"/>
    <w:rsid w:val="00301F1F"/>
    <w:rsid w:val="00301F23"/>
    <w:rsid w:val="00301F40"/>
    <w:rsid w:val="00301F55"/>
    <w:rsid w:val="00301F77"/>
    <w:rsid w:val="00301F9B"/>
    <w:rsid w:val="00301FE8"/>
    <w:rsid w:val="00302001"/>
    <w:rsid w:val="00302027"/>
    <w:rsid w:val="003021A3"/>
    <w:rsid w:val="003021DC"/>
    <w:rsid w:val="003021EB"/>
    <w:rsid w:val="0030220A"/>
    <w:rsid w:val="00302272"/>
    <w:rsid w:val="00302361"/>
    <w:rsid w:val="00302403"/>
    <w:rsid w:val="00302438"/>
    <w:rsid w:val="00302473"/>
    <w:rsid w:val="0030248D"/>
    <w:rsid w:val="003024BB"/>
    <w:rsid w:val="003024C9"/>
    <w:rsid w:val="003024E5"/>
    <w:rsid w:val="003024EE"/>
    <w:rsid w:val="00302537"/>
    <w:rsid w:val="00302583"/>
    <w:rsid w:val="00302591"/>
    <w:rsid w:val="0030259F"/>
    <w:rsid w:val="003025AD"/>
    <w:rsid w:val="003025B0"/>
    <w:rsid w:val="00302650"/>
    <w:rsid w:val="0030268D"/>
    <w:rsid w:val="003026A4"/>
    <w:rsid w:val="003026CD"/>
    <w:rsid w:val="003026DB"/>
    <w:rsid w:val="003026E6"/>
    <w:rsid w:val="00302712"/>
    <w:rsid w:val="00302724"/>
    <w:rsid w:val="0030272E"/>
    <w:rsid w:val="00302749"/>
    <w:rsid w:val="003027F7"/>
    <w:rsid w:val="00302824"/>
    <w:rsid w:val="00302874"/>
    <w:rsid w:val="00302897"/>
    <w:rsid w:val="0030289C"/>
    <w:rsid w:val="003028AA"/>
    <w:rsid w:val="0030290F"/>
    <w:rsid w:val="00302954"/>
    <w:rsid w:val="003029A5"/>
    <w:rsid w:val="003029FD"/>
    <w:rsid w:val="00302A28"/>
    <w:rsid w:val="00302A8A"/>
    <w:rsid w:val="00302AAD"/>
    <w:rsid w:val="00302AB1"/>
    <w:rsid w:val="00302AC1"/>
    <w:rsid w:val="00302B20"/>
    <w:rsid w:val="00302B36"/>
    <w:rsid w:val="00302B60"/>
    <w:rsid w:val="00302BBF"/>
    <w:rsid w:val="00302C3C"/>
    <w:rsid w:val="00302C4B"/>
    <w:rsid w:val="00302C6D"/>
    <w:rsid w:val="00302C73"/>
    <w:rsid w:val="00302C7A"/>
    <w:rsid w:val="00302D0E"/>
    <w:rsid w:val="00302D7A"/>
    <w:rsid w:val="00302D9A"/>
    <w:rsid w:val="00302DA2"/>
    <w:rsid w:val="00302DC3"/>
    <w:rsid w:val="00302DDD"/>
    <w:rsid w:val="00302DF4"/>
    <w:rsid w:val="00302E33"/>
    <w:rsid w:val="00302E5B"/>
    <w:rsid w:val="00302E65"/>
    <w:rsid w:val="00302E89"/>
    <w:rsid w:val="00302EA2"/>
    <w:rsid w:val="00302EB2"/>
    <w:rsid w:val="00302F3D"/>
    <w:rsid w:val="003030B0"/>
    <w:rsid w:val="00303113"/>
    <w:rsid w:val="00303116"/>
    <w:rsid w:val="00303231"/>
    <w:rsid w:val="00303249"/>
    <w:rsid w:val="00303258"/>
    <w:rsid w:val="003032EA"/>
    <w:rsid w:val="00303328"/>
    <w:rsid w:val="00303334"/>
    <w:rsid w:val="0030338C"/>
    <w:rsid w:val="003033A1"/>
    <w:rsid w:val="003033C7"/>
    <w:rsid w:val="003033F0"/>
    <w:rsid w:val="0030344A"/>
    <w:rsid w:val="00303476"/>
    <w:rsid w:val="00303480"/>
    <w:rsid w:val="003034EE"/>
    <w:rsid w:val="003034FA"/>
    <w:rsid w:val="00303501"/>
    <w:rsid w:val="0030353E"/>
    <w:rsid w:val="00303558"/>
    <w:rsid w:val="00303568"/>
    <w:rsid w:val="00303577"/>
    <w:rsid w:val="0030357F"/>
    <w:rsid w:val="00303581"/>
    <w:rsid w:val="0030359C"/>
    <w:rsid w:val="003035DF"/>
    <w:rsid w:val="00303601"/>
    <w:rsid w:val="00303623"/>
    <w:rsid w:val="00303625"/>
    <w:rsid w:val="00303669"/>
    <w:rsid w:val="003036A4"/>
    <w:rsid w:val="003036EF"/>
    <w:rsid w:val="003036F9"/>
    <w:rsid w:val="00303710"/>
    <w:rsid w:val="00303745"/>
    <w:rsid w:val="0030378B"/>
    <w:rsid w:val="003037D1"/>
    <w:rsid w:val="003037D2"/>
    <w:rsid w:val="00303867"/>
    <w:rsid w:val="0030388E"/>
    <w:rsid w:val="00303898"/>
    <w:rsid w:val="003038AB"/>
    <w:rsid w:val="003038F2"/>
    <w:rsid w:val="003038F7"/>
    <w:rsid w:val="003038F8"/>
    <w:rsid w:val="0030395F"/>
    <w:rsid w:val="00303A9D"/>
    <w:rsid w:val="00303AD4"/>
    <w:rsid w:val="00303B07"/>
    <w:rsid w:val="00303B34"/>
    <w:rsid w:val="00303B52"/>
    <w:rsid w:val="00303B7B"/>
    <w:rsid w:val="00303BD6"/>
    <w:rsid w:val="00303BFB"/>
    <w:rsid w:val="00303BFC"/>
    <w:rsid w:val="00303C72"/>
    <w:rsid w:val="00303CA5"/>
    <w:rsid w:val="00303CB9"/>
    <w:rsid w:val="00303CED"/>
    <w:rsid w:val="00303D3D"/>
    <w:rsid w:val="00303DB1"/>
    <w:rsid w:val="00303DDC"/>
    <w:rsid w:val="00303DF6"/>
    <w:rsid w:val="00303E6B"/>
    <w:rsid w:val="00303E90"/>
    <w:rsid w:val="00303EA2"/>
    <w:rsid w:val="00303EBD"/>
    <w:rsid w:val="00303ED5"/>
    <w:rsid w:val="00303EF8"/>
    <w:rsid w:val="00303F4B"/>
    <w:rsid w:val="00303F67"/>
    <w:rsid w:val="00303F6F"/>
    <w:rsid w:val="00303F80"/>
    <w:rsid w:val="00303FE9"/>
    <w:rsid w:val="00304040"/>
    <w:rsid w:val="003040A5"/>
    <w:rsid w:val="003040DD"/>
    <w:rsid w:val="00304110"/>
    <w:rsid w:val="00304149"/>
    <w:rsid w:val="00304157"/>
    <w:rsid w:val="00304187"/>
    <w:rsid w:val="003041C1"/>
    <w:rsid w:val="003041C6"/>
    <w:rsid w:val="003041D0"/>
    <w:rsid w:val="003041F2"/>
    <w:rsid w:val="00304204"/>
    <w:rsid w:val="0030420D"/>
    <w:rsid w:val="0030424B"/>
    <w:rsid w:val="003042BA"/>
    <w:rsid w:val="003042D7"/>
    <w:rsid w:val="00304311"/>
    <w:rsid w:val="00304312"/>
    <w:rsid w:val="00304326"/>
    <w:rsid w:val="0030432F"/>
    <w:rsid w:val="00304337"/>
    <w:rsid w:val="0030434A"/>
    <w:rsid w:val="0030435F"/>
    <w:rsid w:val="00304365"/>
    <w:rsid w:val="00304384"/>
    <w:rsid w:val="003043A3"/>
    <w:rsid w:val="003043CC"/>
    <w:rsid w:val="003043DC"/>
    <w:rsid w:val="003043EF"/>
    <w:rsid w:val="00304443"/>
    <w:rsid w:val="00304483"/>
    <w:rsid w:val="003044B3"/>
    <w:rsid w:val="003044DE"/>
    <w:rsid w:val="00304583"/>
    <w:rsid w:val="0030459A"/>
    <w:rsid w:val="003045B9"/>
    <w:rsid w:val="003045CF"/>
    <w:rsid w:val="003045D8"/>
    <w:rsid w:val="003046B6"/>
    <w:rsid w:val="003046EB"/>
    <w:rsid w:val="003046FB"/>
    <w:rsid w:val="0030474C"/>
    <w:rsid w:val="00304751"/>
    <w:rsid w:val="00304760"/>
    <w:rsid w:val="003047A4"/>
    <w:rsid w:val="003047CA"/>
    <w:rsid w:val="00304897"/>
    <w:rsid w:val="003048B5"/>
    <w:rsid w:val="0030491E"/>
    <w:rsid w:val="00304942"/>
    <w:rsid w:val="0030496B"/>
    <w:rsid w:val="003049DC"/>
    <w:rsid w:val="003049FB"/>
    <w:rsid w:val="00304A0C"/>
    <w:rsid w:val="00304A55"/>
    <w:rsid w:val="00304A7D"/>
    <w:rsid w:val="00304A91"/>
    <w:rsid w:val="00304AA6"/>
    <w:rsid w:val="00304B10"/>
    <w:rsid w:val="00304B2C"/>
    <w:rsid w:val="00304B7B"/>
    <w:rsid w:val="00304B91"/>
    <w:rsid w:val="00304BA3"/>
    <w:rsid w:val="00304BA9"/>
    <w:rsid w:val="00304C1E"/>
    <w:rsid w:val="00304C51"/>
    <w:rsid w:val="00304C93"/>
    <w:rsid w:val="00304CA9"/>
    <w:rsid w:val="00304CB8"/>
    <w:rsid w:val="00304CE4"/>
    <w:rsid w:val="00304D13"/>
    <w:rsid w:val="00304DA1"/>
    <w:rsid w:val="00304DA7"/>
    <w:rsid w:val="00304DD0"/>
    <w:rsid w:val="00304E39"/>
    <w:rsid w:val="00304EB7"/>
    <w:rsid w:val="00304F01"/>
    <w:rsid w:val="00304F4A"/>
    <w:rsid w:val="00304F76"/>
    <w:rsid w:val="00304FCC"/>
    <w:rsid w:val="0030504D"/>
    <w:rsid w:val="0030505D"/>
    <w:rsid w:val="00305072"/>
    <w:rsid w:val="003050CB"/>
    <w:rsid w:val="003050F8"/>
    <w:rsid w:val="0030515E"/>
    <w:rsid w:val="0030527F"/>
    <w:rsid w:val="00305280"/>
    <w:rsid w:val="00305283"/>
    <w:rsid w:val="00305398"/>
    <w:rsid w:val="003053A6"/>
    <w:rsid w:val="0030544E"/>
    <w:rsid w:val="0030545B"/>
    <w:rsid w:val="00305475"/>
    <w:rsid w:val="00305487"/>
    <w:rsid w:val="00305516"/>
    <w:rsid w:val="0030551E"/>
    <w:rsid w:val="0030557F"/>
    <w:rsid w:val="0030558F"/>
    <w:rsid w:val="003055D0"/>
    <w:rsid w:val="00305639"/>
    <w:rsid w:val="0030566D"/>
    <w:rsid w:val="0030567A"/>
    <w:rsid w:val="0030567B"/>
    <w:rsid w:val="003056CC"/>
    <w:rsid w:val="003056F7"/>
    <w:rsid w:val="003057A7"/>
    <w:rsid w:val="003057C3"/>
    <w:rsid w:val="003057CC"/>
    <w:rsid w:val="003057F8"/>
    <w:rsid w:val="0030581D"/>
    <w:rsid w:val="00305821"/>
    <w:rsid w:val="0030582D"/>
    <w:rsid w:val="00305863"/>
    <w:rsid w:val="003058D1"/>
    <w:rsid w:val="00305910"/>
    <w:rsid w:val="00305959"/>
    <w:rsid w:val="00305A7E"/>
    <w:rsid w:val="00305AC4"/>
    <w:rsid w:val="00305ACF"/>
    <w:rsid w:val="00305B95"/>
    <w:rsid w:val="00305B98"/>
    <w:rsid w:val="00305BC7"/>
    <w:rsid w:val="00305BF5"/>
    <w:rsid w:val="00305BF8"/>
    <w:rsid w:val="00305C01"/>
    <w:rsid w:val="00305C08"/>
    <w:rsid w:val="00305C0B"/>
    <w:rsid w:val="00305C15"/>
    <w:rsid w:val="00305C3B"/>
    <w:rsid w:val="00305CA5"/>
    <w:rsid w:val="00305D17"/>
    <w:rsid w:val="00305D53"/>
    <w:rsid w:val="00305DE8"/>
    <w:rsid w:val="00305DF4"/>
    <w:rsid w:val="00305E74"/>
    <w:rsid w:val="00305EDA"/>
    <w:rsid w:val="00305F02"/>
    <w:rsid w:val="00305F60"/>
    <w:rsid w:val="00305F77"/>
    <w:rsid w:val="00305F9C"/>
    <w:rsid w:val="00306042"/>
    <w:rsid w:val="0030604A"/>
    <w:rsid w:val="0030604D"/>
    <w:rsid w:val="00306050"/>
    <w:rsid w:val="003060C1"/>
    <w:rsid w:val="0030610E"/>
    <w:rsid w:val="003061F9"/>
    <w:rsid w:val="00306224"/>
    <w:rsid w:val="00306232"/>
    <w:rsid w:val="00306244"/>
    <w:rsid w:val="00306289"/>
    <w:rsid w:val="003062C3"/>
    <w:rsid w:val="003062DC"/>
    <w:rsid w:val="003062F9"/>
    <w:rsid w:val="0030632C"/>
    <w:rsid w:val="0030638A"/>
    <w:rsid w:val="0030639B"/>
    <w:rsid w:val="003063C9"/>
    <w:rsid w:val="003063EC"/>
    <w:rsid w:val="003063F6"/>
    <w:rsid w:val="00306407"/>
    <w:rsid w:val="00306458"/>
    <w:rsid w:val="0030647D"/>
    <w:rsid w:val="003064A9"/>
    <w:rsid w:val="003064EE"/>
    <w:rsid w:val="00306573"/>
    <w:rsid w:val="00306577"/>
    <w:rsid w:val="0030657F"/>
    <w:rsid w:val="00306587"/>
    <w:rsid w:val="003065A2"/>
    <w:rsid w:val="003065B9"/>
    <w:rsid w:val="003065C6"/>
    <w:rsid w:val="003065CC"/>
    <w:rsid w:val="0030661F"/>
    <w:rsid w:val="00306646"/>
    <w:rsid w:val="003066FB"/>
    <w:rsid w:val="00306715"/>
    <w:rsid w:val="0030673D"/>
    <w:rsid w:val="0030675A"/>
    <w:rsid w:val="00306789"/>
    <w:rsid w:val="003067B2"/>
    <w:rsid w:val="003067E4"/>
    <w:rsid w:val="0030683C"/>
    <w:rsid w:val="00306883"/>
    <w:rsid w:val="00306884"/>
    <w:rsid w:val="00306888"/>
    <w:rsid w:val="00306914"/>
    <w:rsid w:val="00306996"/>
    <w:rsid w:val="003069B0"/>
    <w:rsid w:val="003069C1"/>
    <w:rsid w:val="003069C5"/>
    <w:rsid w:val="003069FF"/>
    <w:rsid w:val="00306AAF"/>
    <w:rsid w:val="00306BA5"/>
    <w:rsid w:val="00306BAB"/>
    <w:rsid w:val="00306BAD"/>
    <w:rsid w:val="00306C46"/>
    <w:rsid w:val="00306C76"/>
    <w:rsid w:val="00306C91"/>
    <w:rsid w:val="00306CA4"/>
    <w:rsid w:val="00306CCD"/>
    <w:rsid w:val="00306D3B"/>
    <w:rsid w:val="00306D65"/>
    <w:rsid w:val="00306DDC"/>
    <w:rsid w:val="00306DEF"/>
    <w:rsid w:val="00306E54"/>
    <w:rsid w:val="00306E7A"/>
    <w:rsid w:val="00306EA9"/>
    <w:rsid w:val="00306EB5"/>
    <w:rsid w:val="00306F22"/>
    <w:rsid w:val="00306FA4"/>
    <w:rsid w:val="00306FDC"/>
    <w:rsid w:val="003070BD"/>
    <w:rsid w:val="003070D8"/>
    <w:rsid w:val="003070E0"/>
    <w:rsid w:val="003070E8"/>
    <w:rsid w:val="00307199"/>
    <w:rsid w:val="003071DD"/>
    <w:rsid w:val="00307216"/>
    <w:rsid w:val="0030728F"/>
    <w:rsid w:val="003072CA"/>
    <w:rsid w:val="00307328"/>
    <w:rsid w:val="0030736C"/>
    <w:rsid w:val="003073A9"/>
    <w:rsid w:val="003074AB"/>
    <w:rsid w:val="00307548"/>
    <w:rsid w:val="00307571"/>
    <w:rsid w:val="00307574"/>
    <w:rsid w:val="00307609"/>
    <w:rsid w:val="0030760F"/>
    <w:rsid w:val="00307696"/>
    <w:rsid w:val="0030769E"/>
    <w:rsid w:val="003076EF"/>
    <w:rsid w:val="00307738"/>
    <w:rsid w:val="0030774A"/>
    <w:rsid w:val="0030774E"/>
    <w:rsid w:val="00307779"/>
    <w:rsid w:val="003077F9"/>
    <w:rsid w:val="00307822"/>
    <w:rsid w:val="00307881"/>
    <w:rsid w:val="003078F3"/>
    <w:rsid w:val="00307944"/>
    <w:rsid w:val="003079B8"/>
    <w:rsid w:val="003079F9"/>
    <w:rsid w:val="00307A53"/>
    <w:rsid w:val="00307AAB"/>
    <w:rsid w:val="00307AB2"/>
    <w:rsid w:val="00307AC9"/>
    <w:rsid w:val="00307B27"/>
    <w:rsid w:val="00307B8B"/>
    <w:rsid w:val="00307BCF"/>
    <w:rsid w:val="00307C0A"/>
    <w:rsid w:val="00307CBA"/>
    <w:rsid w:val="00307D1E"/>
    <w:rsid w:val="00307D48"/>
    <w:rsid w:val="00307D6F"/>
    <w:rsid w:val="00307D91"/>
    <w:rsid w:val="00307DE2"/>
    <w:rsid w:val="00307E19"/>
    <w:rsid w:val="00307EA1"/>
    <w:rsid w:val="00307EB6"/>
    <w:rsid w:val="00307F6A"/>
    <w:rsid w:val="0030C432"/>
    <w:rsid w:val="0030D2C5"/>
    <w:rsid w:val="0030E021"/>
    <w:rsid w:val="00310090"/>
    <w:rsid w:val="00310092"/>
    <w:rsid w:val="00310099"/>
    <w:rsid w:val="003100B1"/>
    <w:rsid w:val="00310129"/>
    <w:rsid w:val="0031012D"/>
    <w:rsid w:val="00310142"/>
    <w:rsid w:val="00310156"/>
    <w:rsid w:val="0031019E"/>
    <w:rsid w:val="003101D6"/>
    <w:rsid w:val="003101F4"/>
    <w:rsid w:val="003101FD"/>
    <w:rsid w:val="0031020B"/>
    <w:rsid w:val="0031020C"/>
    <w:rsid w:val="00310249"/>
    <w:rsid w:val="0031026B"/>
    <w:rsid w:val="0031028C"/>
    <w:rsid w:val="003102AC"/>
    <w:rsid w:val="003102CB"/>
    <w:rsid w:val="0031030D"/>
    <w:rsid w:val="0031030E"/>
    <w:rsid w:val="0031032C"/>
    <w:rsid w:val="00310343"/>
    <w:rsid w:val="003103B6"/>
    <w:rsid w:val="00310450"/>
    <w:rsid w:val="00310470"/>
    <w:rsid w:val="00310474"/>
    <w:rsid w:val="00310488"/>
    <w:rsid w:val="00310495"/>
    <w:rsid w:val="003104B4"/>
    <w:rsid w:val="003104BA"/>
    <w:rsid w:val="00310523"/>
    <w:rsid w:val="0031059E"/>
    <w:rsid w:val="003105D2"/>
    <w:rsid w:val="003105E5"/>
    <w:rsid w:val="0031062F"/>
    <w:rsid w:val="0031064A"/>
    <w:rsid w:val="003106AB"/>
    <w:rsid w:val="003106B8"/>
    <w:rsid w:val="0031073C"/>
    <w:rsid w:val="00310741"/>
    <w:rsid w:val="003107AF"/>
    <w:rsid w:val="003107B0"/>
    <w:rsid w:val="00310823"/>
    <w:rsid w:val="0031083A"/>
    <w:rsid w:val="0031087A"/>
    <w:rsid w:val="0031088D"/>
    <w:rsid w:val="003108AE"/>
    <w:rsid w:val="003108BE"/>
    <w:rsid w:val="003108CF"/>
    <w:rsid w:val="00310935"/>
    <w:rsid w:val="00310949"/>
    <w:rsid w:val="003109BA"/>
    <w:rsid w:val="003109F0"/>
    <w:rsid w:val="003109FC"/>
    <w:rsid w:val="00310A28"/>
    <w:rsid w:val="00310A33"/>
    <w:rsid w:val="00310A90"/>
    <w:rsid w:val="00310A9F"/>
    <w:rsid w:val="00310AD3"/>
    <w:rsid w:val="00310ADF"/>
    <w:rsid w:val="00310B47"/>
    <w:rsid w:val="00310C41"/>
    <w:rsid w:val="00310C67"/>
    <w:rsid w:val="00310CA4"/>
    <w:rsid w:val="00310CE9"/>
    <w:rsid w:val="00310CF2"/>
    <w:rsid w:val="00310D3B"/>
    <w:rsid w:val="00310DB2"/>
    <w:rsid w:val="00310DBE"/>
    <w:rsid w:val="00310E9F"/>
    <w:rsid w:val="00310EC6"/>
    <w:rsid w:val="00310EFF"/>
    <w:rsid w:val="00310F4A"/>
    <w:rsid w:val="00310F9C"/>
    <w:rsid w:val="00310FE3"/>
    <w:rsid w:val="00311028"/>
    <w:rsid w:val="00311089"/>
    <w:rsid w:val="00311118"/>
    <w:rsid w:val="0031115E"/>
    <w:rsid w:val="00311175"/>
    <w:rsid w:val="0031118E"/>
    <w:rsid w:val="003111CD"/>
    <w:rsid w:val="003111DE"/>
    <w:rsid w:val="00311224"/>
    <w:rsid w:val="0031123F"/>
    <w:rsid w:val="00311241"/>
    <w:rsid w:val="0031125F"/>
    <w:rsid w:val="003112A9"/>
    <w:rsid w:val="00311301"/>
    <w:rsid w:val="00311311"/>
    <w:rsid w:val="00311352"/>
    <w:rsid w:val="003113BD"/>
    <w:rsid w:val="0031142A"/>
    <w:rsid w:val="00311473"/>
    <w:rsid w:val="00311486"/>
    <w:rsid w:val="00311497"/>
    <w:rsid w:val="003114C9"/>
    <w:rsid w:val="003114EC"/>
    <w:rsid w:val="0031150C"/>
    <w:rsid w:val="00311512"/>
    <w:rsid w:val="003115BE"/>
    <w:rsid w:val="003115DF"/>
    <w:rsid w:val="0031160E"/>
    <w:rsid w:val="0031163D"/>
    <w:rsid w:val="00311649"/>
    <w:rsid w:val="0031176B"/>
    <w:rsid w:val="00311781"/>
    <w:rsid w:val="00311792"/>
    <w:rsid w:val="00311829"/>
    <w:rsid w:val="003118CF"/>
    <w:rsid w:val="0031192A"/>
    <w:rsid w:val="003119B6"/>
    <w:rsid w:val="003119E7"/>
    <w:rsid w:val="00311A53"/>
    <w:rsid w:val="00311A84"/>
    <w:rsid w:val="00311A86"/>
    <w:rsid w:val="00311A8D"/>
    <w:rsid w:val="00311AB2"/>
    <w:rsid w:val="00311AD5"/>
    <w:rsid w:val="00311AD9"/>
    <w:rsid w:val="00311ADB"/>
    <w:rsid w:val="00311AF7"/>
    <w:rsid w:val="00311B06"/>
    <w:rsid w:val="00311B11"/>
    <w:rsid w:val="00311B3A"/>
    <w:rsid w:val="00311BBE"/>
    <w:rsid w:val="00311C1B"/>
    <w:rsid w:val="00311C3B"/>
    <w:rsid w:val="00311C68"/>
    <w:rsid w:val="00311CAA"/>
    <w:rsid w:val="00311CD2"/>
    <w:rsid w:val="00311D2D"/>
    <w:rsid w:val="00311D5D"/>
    <w:rsid w:val="00311D69"/>
    <w:rsid w:val="00311DB5"/>
    <w:rsid w:val="00311DBB"/>
    <w:rsid w:val="00311DD2"/>
    <w:rsid w:val="00311E80"/>
    <w:rsid w:val="00311F04"/>
    <w:rsid w:val="00311F25"/>
    <w:rsid w:val="00311F84"/>
    <w:rsid w:val="00311F88"/>
    <w:rsid w:val="00311FA1"/>
    <w:rsid w:val="00311FE4"/>
    <w:rsid w:val="00311FF0"/>
    <w:rsid w:val="00311FF3"/>
    <w:rsid w:val="0031205E"/>
    <w:rsid w:val="00312065"/>
    <w:rsid w:val="00312084"/>
    <w:rsid w:val="00312090"/>
    <w:rsid w:val="003120D0"/>
    <w:rsid w:val="003120D5"/>
    <w:rsid w:val="00312114"/>
    <w:rsid w:val="00312130"/>
    <w:rsid w:val="00312194"/>
    <w:rsid w:val="0031219F"/>
    <w:rsid w:val="0031220A"/>
    <w:rsid w:val="00312212"/>
    <w:rsid w:val="0031222D"/>
    <w:rsid w:val="003122CA"/>
    <w:rsid w:val="00312304"/>
    <w:rsid w:val="0031232A"/>
    <w:rsid w:val="00312350"/>
    <w:rsid w:val="003123CA"/>
    <w:rsid w:val="003123FB"/>
    <w:rsid w:val="0031240E"/>
    <w:rsid w:val="0031241E"/>
    <w:rsid w:val="00312436"/>
    <w:rsid w:val="00312438"/>
    <w:rsid w:val="0031245C"/>
    <w:rsid w:val="0031246A"/>
    <w:rsid w:val="00312474"/>
    <w:rsid w:val="0031247E"/>
    <w:rsid w:val="00312489"/>
    <w:rsid w:val="00312500"/>
    <w:rsid w:val="00312552"/>
    <w:rsid w:val="00312567"/>
    <w:rsid w:val="00312576"/>
    <w:rsid w:val="00312582"/>
    <w:rsid w:val="00312604"/>
    <w:rsid w:val="0031262A"/>
    <w:rsid w:val="00312642"/>
    <w:rsid w:val="00312644"/>
    <w:rsid w:val="00312664"/>
    <w:rsid w:val="0031268B"/>
    <w:rsid w:val="003126B7"/>
    <w:rsid w:val="003126C2"/>
    <w:rsid w:val="00312713"/>
    <w:rsid w:val="00312719"/>
    <w:rsid w:val="0031271F"/>
    <w:rsid w:val="00312720"/>
    <w:rsid w:val="00312739"/>
    <w:rsid w:val="0031273C"/>
    <w:rsid w:val="0031274C"/>
    <w:rsid w:val="00312780"/>
    <w:rsid w:val="003127CB"/>
    <w:rsid w:val="003127F4"/>
    <w:rsid w:val="00312857"/>
    <w:rsid w:val="003128E5"/>
    <w:rsid w:val="00312907"/>
    <w:rsid w:val="0031290C"/>
    <w:rsid w:val="00312936"/>
    <w:rsid w:val="00312984"/>
    <w:rsid w:val="003129E5"/>
    <w:rsid w:val="00312A7C"/>
    <w:rsid w:val="00312A7F"/>
    <w:rsid w:val="00312AA5"/>
    <w:rsid w:val="00312AB8"/>
    <w:rsid w:val="00312AD5"/>
    <w:rsid w:val="00312ADF"/>
    <w:rsid w:val="00312B13"/>
    <w:rsid w:val="00312B47"/>
    <w:rsid w:val="00312B82"/>
    <w:rsid w:val="00312BF1"/>
    <w:rsid w:val="00312C6B"/>
    <w:rsid w:val="00312CB1"/>
    <w:rsid w:val="00312D16"/>
    <w:rsid w:val="00312D27"/>
    <w:rsid w:val="00312D4C"/>
    <w:rsid w:val="00312DD9"/>
    <w:rsid w:val="00312E47"/>
    <w:rsid w:val="00312E63"/>
    <w:rsid w:val="00312E67"/>
    <w:rsid w:val="00312E77"/>
    <w:rsid w:val="00312EA3"/>
    <w:rsid w:val="00312EE7"/>
    <w:rsid w:val="00312F7A"/>
    <w:rsid w:val="00312F86"/>
    <w:rsid w:val="00312FE8"/>
    <w:rsid w:val="00312FEB"/>
    <w:rsid w:val="00313016"/>
    <w:rsid w:val="003130A7"/>
    <w:rsid w:val="003130EF"/>
    <w:rsid w:val="00313101"/>
    <w:rsid w:val="0031317B"/>
    <w:rsid w:val="0031319C"/>
    <w:rsid w:val="003131F3"/>
    <w:rsid w:val="0031330E"/>
    <w:rsid w:val="00313326"/>
    <w:rsid w:val="00313371"/>
    <w:rsid w:val="00313387"/>
    <w:rsid w:val="003133C3"/>
    <w:rsid w:val="00313400"/>
    <w:rsid w:val="0031340D"/>
    <w:rsid w:val="00313424"/>
    <w:rsid w:val="003134BC"/>
    <w:rsid w:val="00313530"/>
    <w:rsid w:val="0031355C"/>
    <w:rsid w:val="00313611"/>
    <w:rsid w:val="00313649"/>
    <w:rsid w:val="00313666"/>
    <w:rsid w:val="003136D9"/>
    <w:rsid w:val="00313710"/>
    <w:rsid w:val="00313711"/>
    <w:rsid w:val="00313751"/>
    <w:rsid w:val="00313781"/>
    <w:rsid w:val="003137A9"/>
    <w:rsid w:val="00313807"/>
    <w:rsid w:val="00313819"/>
    <w:rsid w:val="0031382B"/>
    <w:rsid w:val="00313842"/>
    <w:rsid w:val="003138DC"/>
    <w:rsid w:val="00313997"/>
    <w:rsid w:val="00313998"/>
    <w:rsid w:val="003139DA"/>
    <w:rsid w:val="00313A39"/>
    <w:rsid w:val="00313ABA"/>
    <w:rsid w:val="00313AD9"/>
    <w:rsid w:val="00313B22"/>
    <w:rsid w:val="00313B48"/>
    <w:rsid w:val="00313B90"/>
    <w:rsid w:val="00313B97"/>
    <w:rsid w:val="00313C12"/>
    <w:rsid w:val="00313C40"/>
    <w:rsid w:val="00313C47"/>
    <w:rsid w:val="00313C5C"/>
    <w:rsid w:val="00313D1D"/>
    <w:rsid w:val="00313D9B"/>
    <w:rsid w:val="00313DFE"/>
    <w:rsid w:val="00313E23"/>
    <w:rsid w:val="00313E41"/>
    <w:rsid w:val="00313E8B"/>
    <w:rsid w:val="00313EC7"/>
    <w:rsid w:val="00313ED4"/>
    <w:rsid w:val="00313F35"/>
    <w:rsid w:val="0031400B"/>
    <w:rsid w:val="00314063"/>
    <w:rsid w:val="003140B8"/>
    <w:rsid w:val="003140CF"/>
    <w:rsid w:val="00314101"/>
    <w:rsid w:val="00314114"/>
    <w:rsid w:val="0031411F"/>
    <w:rsid w:val="0031415E"/>
    <w:rsid w:val="00314180"/>
    <w:rsid w:val="003141C9"/>
    <w:rsid w:val="0031421D"/>
    <w:rsid w:val="003142EF"/>
    <w:rsid w:val="00314327"/>
    <w:rsid w:val="0031435E"/>
    <w:rsid w:val="003143AF"/>
    <w:rsid w:val="003143F8"/>
    <w:rsid w:val="0031442F"/>
    <w:rsid w:val="00314444"/>
    <w:rsid w:val="0031449C"/>
    <w:rsid w:val="003144A6"/>
    <w:rsid w:val="003144B6"/>
    <w:rsid w:val="003144EF"/>
    <w:rsid w:val="0031457E"/>
    <w:rsid w:val="003145A7"/>
    <w:rsid w:val="003145B2"/>
    <w:rsid w:val="003145BF"/>
    <w:rsid w:val="003145C6"/>
    <w:rsid w:val="003145EE"/>
    <w:rsid w:val="0031463D"/>
    <w:rsid w:val="00314641"/>
    <w:rsid w:val="00314656"/>
    <w:rsid w:val="00314662"/>
    <w:rsid w:val="00314695"/>
    <w:rsid w:val="003146A0"/>
    <w:rsid w:val="00314728"/>
    <w:rsid w:val="00314730"/>
    <w:rsid w:val="0031475C"/>
    <w:rsid w:val="0031475D"/>
    <w:rsid w:val="00314773"/>
    <w:rsid w:val="0031478E"/>
    <w:rsid w:val="00314837"/>
    <w:rsid w:val="003148B6"/>
    <w:rsid w:val="0031498D"/>
    <w:rsid w:val="003149B8"/>
    <w:rsid w:val="003149EB"/>
    <w:rsid w:val="00314A40"/>
    <w:rsid w:val="00314AC0"/>
    <w:rsid w:val="00314B30"/>
    <w:rsid w:val="00314C05"/>
    <w:rsid w:val="00314C52"/>
    <w:rsid w:val="00314C54"/>
    <w:rsid w:val="00314C5E"/>
    <w:rsid w:val="00314C89"/>
    <w:rsid w:val="00314CF2"/>
    <w:rsid w:val="00314CF3"/>
    <w:rsid w:val="00314D22"/>
    <w:rsid w:val="00314D89"/>
    <w:rsid w:val="00314D97"/>
    <w:rsid w:val="00314E2F"/>
    <w:rsid w:val="00314E6A"/>
    <w:rsid w:val="00314E79"/>
    <w:rsid w:val="00314E92"/>
    <w:rsid w:val="00314EF4"/>
    <w:rsid w:val="00314F0E"/>
    <w:rsid w:val="00314F21"/>
    <w:rsid w:val="00314F95"/>
    <w:rsid w:val="00314FED"/>
    <w:rsid w:val="00314FF4"/>
    <w:rsid w:val="0031501C"/>
    <w:rsid w:val="00315028"/>
    <w:rsid w:val="00315082"/>
    <w:rsid w:val="0031508F"/>
    <w:rsid w:val="003150E8"/>
    <w:rsid w:val="00315195"/>
    <w:rsid w:val="003151A9"/>
    <w:rsid w:val="00315222"/>
    <w:rsid w:val="003152AA"/>
    <w:rsid w:val="0031534A"/>
    <w:rsid w:val="0031535F"/>
    <w:rsid w:val="003153D2"/>
    <w:rsid w:val="00315404"/>
    <w:rsid w:val="00315408"/>
    <w:rsid w:val="00315449"/>
    <w:rsid w:val="0031546A"/>
    <w:rsid w:val="00315482"/>
    <w:rsid w:val="00315512"/>
    <w:rsid w:val="0031563F"/>
    <w:rsid w:val="0031577F"/>
    <w:rsid w:val="00315784"/>
    <w:rsid w:val="00315838"/>
    <w:rsid w:val="00315897"/>
    <w:rsid w:val="0031592E"/>
    <w:rsid w:val="00315934"/>
    <w:rsid w:val="00315955"/>
    <w:rsid w:val="003159EA"/>
    <w:rsid w:val="00315A64"/>
    <w:rsid w:val="00315A76"/>
    <w:rsid w:val="00315A8C"/>
    <w:rsid w:val="00315ACF"/>
    <w:rsid w:val="00315B1C"/>
    <w:rsid w:val="00315B85"/>
    <w:rsid w:val="00315C59"/>
    <w:rsid w:val="00315D01"/>
    <w:rsid w:val="00315D21"/>
    <w:rsid w:val="00315D22"/>
    <w:rsid w:val="00315D4D"/>
    <w:rsid w:val="00315D5C"/>
    <w:rsid w:val="00315D62"/>
    <w:rsid w:val="00315D99"/>
    <w:rsid w:val="00315DA2"/>
    <w:rsid w:val="00315E4B"/>
    <w:rsid w:val="00315F16"/>
    <w:rsid w:val="00315F35"/>
    <w:rsid w:val="00315F3E"/>
    <w:rsid w:val="00315F5C"/>
    <w:rsid w:val="00315F7C"/>
    <w:rsid w:val="00315FB0"/>
    <w:rsid w:val="0031600B"/>
    <w:rsid w:val="00316013"/>
    <w:rsid w:val="00316039"/>
    <w:rsid w:val="00316095"/>
    <w:rsid w:val="003160FD"/>
    <w:rsid w:val="00316148"/>
    <w:rsid w:val="0031617C"/>
    <w:rsid w:val="003161CE"/>
    <w:rsid w:val="0031621C"/>
    <w:rsid w:val="0031624A"/>
    <w:rsid w:val="0031624E"/>
    <w:rsid w:val="00316250"/>
    <w:rsid w:val="00316259"/>
    <w:rsid w:val="003162C1"/>
    <w:rsid w:val="003162DB"/>
    <w:rsid w:val="003162DC"/>
    <w:rsid w:val="003162E2"/>
    <w:rsid w:val="00316310"/>
    <w:rsid w:val="00316316"/>
    <w:rsid w:val="00316318"/>
    <w:rsid w:val="00316319"/>
    <w:rsid w:val="0031632C"/>
    <w:rsid w:val="00316353"/>
    <w:rsid w:val="0031637A"/>
    <w:rsid w:val="0031637D"/>
    <w:rsid w:val="00316387"/>
    <w:rsid w:val="0031639D"/>
    <w:rsid w:val="003163E2"/>
    <w:rsid w:val="00316491"/>
    <w:rsid w:val="003164E4"/>
    <w:rsid w:val="003164E8"/>
    <w:rsid w:val="0031650F"/>
    <w:rsid w:val="00316573"/>
    <w:rsid w:val="00316579"/>
    <w:rsid w:val="0031659A"/>
    <w:rsid w:val="00316609"/>
    <w:rsid w:val="0031662F"/>
    <w:rsid w:val="0031664C"/>
    <w:rsid w:val="00316670"/>
    <w:rsid w:val="0031667C"/>
    <w:rsid w:val="0031668D"/>
    <w:rsid w:val="00316693"/>
    <w:rsid w:val="003166CC"/>
    <w:rsid w:val="003166DC"/>
    <w:rsid w:val="003166FD"/>
    <w:rsid w:val="00316721"/>
    <w:rsid w:val="0031673B"/>
    <w:rsid w:val="00316755"/>
    <w:rsid w:val="0031679C"/>
    <w:rsid w:val="003167D7"/>
    <w:rsid w:val="00316866"/>
    <w:rsid w:val="00316874"/>
    <w:rsid w:val="003168A9"/>
    <w:rsid w:val="003168FB"/>
    <w:rsid w:val="00316934"/>
    <w:rsid w:val="003169D1"/>
    <w:rsid w:val="003169D6"/>
    <w:rsid w:val="00316A3F"/>
    <w:rsid w:val="00316A42"/>
    <w:rsid w:val="00316A55"/>
    <w:rsid w:val="00316A7F"/>
    <w:rsid w:val="00316A8A"/>
    <w:rsid w:val="00316A8D"/>
    <w:rsid w:val="00316A93"/>
    <w:rsid w:val="00316B27"/>
    <w:rsid w:val="00316B40"/>
    <w:rsid w:val="00316C0C"/>
    <w:rsid w:val="00316C15"/>
    <w:rsid w:val="00316C19"/>
    <w:rsid w:val="00316C46"/>
    <w:rsid w:val="00316CC1"/>
    <w:rsid w:val="00316D77"/>
    <w:rsid w:val="00316EA9"/>
    <w:rsid w:val="00316ED6"/>
    <w:rsid w:val="00316F22"/>
    <w:rsid w:val="00316F2B"/>
    <w:rsid w:val="00316F54"/>
    <w:rsid w:val="00316FDE"/>
    <w:rsid w:val="00317063"/>
    <w:rsid w:val="00317068"/>
    <w:rsid w:val="0031706F"/>
    <w:rsid w:val="003170E7"/>
    <w:rsid w:val="003170F4"/>
    <w:rsid w:val="00317193"/>
    <w:rsid w:val="003171AC"/>
    <w:rsid w:val="003171C9"/>
    <w:rsid w:val="00317212"/>
    <w:rsid w:val="00317349"/>
    <w:rsid w:val="0031736A"/>
    <w:rsid w:val="00317379"/>
    <w:rsid w:val="00317393"/>
    <w:rsid w:val="0031739E"/>
    <w:rsid w:val="0031739F"/>
    <w:rsid w:val="003173FC"/>
    <w:rsid w:val="00317416"/>
    <w:rsid w:val="0031744F"/>
    <w:rsid w:val="0031746D"/>
    <w:rsid w:val="00317486"/>
    <w:rsid w:val="003174D3"/>
    <w:rsid w:val="003174E1"/>
    <w:rsid w:val="0031752F"/>
    <w:rsid w:val="0031755F"/>
    <w:rsid w:val="00317613"/>
    <w:rsid w:val="00317643"/>
    <w:rsid w:val="0031772C"/>
    <w:rsid w:val="00317763"/>
    <w:rsid w:val="003177C5"/>
    <w:rsid w:val="00317851"/>
    <w:rsid w:val="003178D2"/>
    <w:rsid w:val="0031790A"/>
    <w:rsid w:val="0031790B"/>
    <w:rsid w:val="003179AF"/>
    <w:rsid w:val="003179DC"/>
    <w:rsid w:val="003179FA"/>
    <w:rsid w:val="00317A22"/>
    <w:rsid w:val="00317A27"/>
    <w:rsid w:val="00317A95"/>
    <w:rsid w:val="00317ADC"/>
    <w:rsid w:val="00317AF5"/>
    <w:rsid w:val="00317AFA"/>
    <w:rsid w:val="00317B04"/>
    <w:rsid w:val="00317B48"/>
    <w:rsid w:val="00317B5F"/>
    <w:rsid w:val="00317B66"/>
    <w:rsid w:val="00317B6E"/>
    <w:rsid w:val="00317BBA"/>
    <w:rsid w:val="00317C56"/>
    <w:rsid w:val="00317C83"/>
    <w:rsid w:val="00317CB5"/>
    <w:rsid w:val="00317CD1"/>
    <w:rsid w:val="00317D0A"/>
    <w:rsid w:val="00317D26"/>
    <w:rsid w:val="00317D43"/>
    <w:rsid w:val="00317D77"/>
    <w:rsid w:val="00317DA9"/>
    <w:rsid w:val="00317DF7"/>
    <w:rsid w:val="00317E02"/>
    <w:rsid w:val="00317E99"/>
    <w:rsid w:val="00320033"/>
    <w:rsid w:val="00320054"/>
    <w:rsid w:val="0032009B"/>
    <w:rsid w:val="0032009D"/>
    <w:rsid w:val="003200D8"/>
    <w:rsid w:val="003200E1"/>
    <w:rsid w:val="00320110"/>
    <w:rsid w:val="0032012B"/>
    <w:rsid w:val="00320144"/>
    <w:rsid w:val="0032018B"/>
    <w:rsid w:val="003201A5"/>
    <w:rsid w:val="003202A0"/>
    <w:rsid w:val="003202EE"/>
    <w:rsid w:val="00320384"/>
    <w:rsid w:val="0032038C"/>
    <w:rsid w:val="003203E7"/>
    <w:rsid w:val="003203F7"/>
    <w:rsid w:val="00320400"/>
    <w:rsid w:val="00320436"/>
    <w:rsid w:val="00320466"/>
    <w:rsid w:val="00320484"/>
    <w:rsid w:val="003204A9"/>
    <w:rsid w:val="003204B4"/>
    <w:rsid w:val="003204E0"/>
    <w:rsid w:val="003204F2"/>
    <w:rsid w:val="0032054F"/>
    <w:rsid w:val="0032058C"/>
    <w:rsid w:val="00320596"/>
    <w:rsid w:val="003205DD"/>
    <w:rsid w:val="0032060F"/>
    <w:rsid w:val="00320618"/>
    <w:rsid w:val="0032062D"/>
    <w:rsid w:val="00320658"/>
    <w:rsid w:val="0032067D"/>
    <w:rsid w:val="00320689"/>
    <w:rsid w:val="0032069E"/>
    <w:rsid w:val="003206E3"/>
    <w:rsid w:val="003206F7"/>
    <w:rsid w:val="00320713"/>
    <w:rsid w:val="00320753"/>
    <w:rsid w:val="00320763"/>
    <w:rsid w:val="003207BA"/>
    <w:rsid w:val="003207E9"/>
    <w:rsid w:val="00320868"/>
    <w:rsid w:val="0032086F"/>
    <w:rsid w:val="00320883"/>
    <w:rsid w:val="0032088E"/>
    <w:rsid w:val="003208B6"/>
    <w:rsid w:val="0032090A"/>
    <w:rsid w:val="00320918"/>
    <w:rsid w:val="0032091C"/>
    <w:rsid w:val="00320957"/>
    <w:rsid w:val="003209E7"/>
    <w:rsid w:val="00320A31"/>
    <w:rsid w:val="00320A81"/>
    <w:rsid w:val="00320A9D"/>
    <w:rsid w:val="00320ABB"/>
    <w:rsid w:val="00320B09"/>
    <w:rsid w:val="00320B82"/>
    <w:rsid w:val="00320B90"/>
    <w:rsid w:val="00320C67"/>
    <w:rsid w:val="00320C73"/>
    <w:rsid w:val="00320C96"/>
    <w:rsid w:val="00320CD2"/>
    <w:rsid w:val="00320D23"/>
    <w:rsid w:val="00320D32"/>
    <w:rsid w:val="00320DBA"/>
    <w:rsid w:val="00320DBD"/>
    <w:rsid w:val="00320E57"/>
    <w:rsid w:val="00320EBA"/>
    <w:rsid w:val="00320EDA"/>
    <w:rsid w:val="00320EDB"/>
    <w:rsid w:val="00320F11"/>
    <w:rsid w:val="00320F48"/>
    <w:rsid w:val="00320F4B"/>
    <w:rsid w:val="00320F64"/>
    <w:rsid w:val="00320F9F"/>
    <w:rsid w:val="00320FD2"/>
    <w:rsid w:val="00321023"/>
    <w:rsid w:val="00321051"/>
    <w:rsid w:val="00321057"/>
    <w:rsid w:val="00321094"/>
    <w:rsid w:val="003210A1"/>
    <w:rsid w:val="003210A3"/>
    <w:rsid w:val="003210CD"/>
    <w:rsid w:val="003210F9"/>
    <w:rsid w:val="00321129"/>
    <w:rsid w:val="00321169"/>
    <w:rsid w:val="00321176"/>
    <w:rsid w:val="00321208"/>
    <w:rsid w:val="0032124B"/>
    <w:rsid w:val="0032127D"/>
    <w:rsid w:val="0032128D"/>
    <w:rsid w:val="00321296"/>
    <w:rsid w:val="003212AB"/>
    <w:rsid w:val="0032137A"/>
    <w:rsid w:val="0032139A"/>
    <w:rsid w:val="003213ED"/>
    <w:rsid w:val="00321439"/>
    <w:rsid w:val="0032146B"/>
    <w:rsid w:val="0032146D"/>
    <w:rsid w:val="00321484"/>
    <w:rsid w:val="00321497"/>
    <w:rsid w:val="00321499"/>
    <w:rsid w:val="003214B2"/>
    <w:rsid w:val="003214E4"/>
    <w:rsid w:val="00321505"/>
    <w:rsid w:val="00321636"/>
    <w:rsid w:val="0032163A"/>
    <w:rsid w:val="00321649"/>
    <w:rsid w:val="0032164C"/>
    <w:rsid w:val="003216EA"/>
    <w:rsid w:val="00321740"/>
    <w:rsid w:val="0032176C"/>
    <w:rsid w:val="00321785"/>
    <w:rsid w:val="00321788"/>
    <w:rsid w:val="003217F2"/>
    <w:rsid w:val="00321898"/>
    <w:rsid w:val="003218AD"/>
    <w:rsid w:val="003218DC"/>
    <w:rsid w:val="00321977"/>
    <w:rsid w:val="0032198F"/>
    <w:rsid w:val="0032199D"/>
    <w:rsid w:val="003219C5"/>
    <w:rsid w:val="00321A2A"/>
    <w:rsid w:val="00321A2D"/>
    <w:rsid w:val="00321ADA"/>
    <w:rsid w:val="00321AEE"/>
    <w:rsid w:val="00321B67"/>
    <w:rsid w:val="00321B9C"/>
    <w:rsid w:val="00321C65"/>
    <w:rsid w:val="00321C90"/>
    <w:rsid w:val="00321CB1"/>
    <w:rsid w:val="00321CD8"/>
    <w:rsid w:val="00321D5A"/>
    <w:rsid w:val="00321DB3"/>
    <w:rsid w:val="00321DC5"/>
    <w:rsid w:val="00321DEA"/>
    <w:rsid w:val="00321E2B"/>
    <w:rsid w:val="00321E73"/>
    <w:rsid w:val="00321ECA"/>
    <w:rsid w:val="00321F28"/>
    <w:rsid w:val="00321F4F"/>
    <w:rsid w:val="00321F51"/>
    <w:rsid w:val="00321F5A"/>
    <w:rsid w:val="00321F74"/>
    <w:rsid w:val="00321F83"/>
    <w:rsid w:val="00321F85"/>
    <w:rsid w:val="00321F92"/>
    <w:rsid w:val="00321FD9"/>
    <w:rsid w:val="00321FFF"/>
    <w:rsid w:val="00322002"/>
    <w:rsid w:val="00322015"/>
    <w:rsid w:val="0032205F"/>
    <w:rsid w:val="00322092"/>
    <w:rsid w:val="003220AB"/>
    <w:rsid w:val="003220B5"/>
    <w:rsid w:val="0032212F"/>
    <w:rsid w:val="0032214D"/>
    <w:rsid w:val="00322160"/>
    <w:rsid w:val="00322198"/>
    <w:rsid w:val="003221B9"/>
    <w:rsid w:val="003221CE"/>
    <w:rsid w:val="00322208"/>
    <w:rsid w:val="0032220A"/>
    <w:rsid w:val="0032229E"/>
    <w:rsid w:val="00322350"/>
    <w:rsid w:val="003223AC"/>
    <w:rsid w:val="003223BC"/>
    <w:rsid w:val="0032241C"/>
    <w:rsid w:val="00322460"/>
    <w:rsid w:val="00322483"/>
    <w:rsid w:val="00322484"/>
    <w:rsid w:val="0032249D"/>
    <w:rsid w:val="00322518"/>
    <w:rsid w:val="0032254E"/>
    <w:rsid w:val="003225A2"/>
    <w:rsid w:val="00322635"/>
    <w:rsid w:val="00322643"/>
    <w:rsid w:val="0032264D"/>
    <w:rsid w:val="00322668"/>
    <w:rsid w:val="003226A1"/>
    <w:rsid w:val="003226E2"/>
    <w:rsid w:val="00322708"/>
    <w:rsid w:val="00322720"/>
    <w:rsid w:val="00322723"/>
    <w:rsid w:val="0032273F"/>
    <w:rsid w:val="00322758"/>
    <w:rsid w:val="0032276A"/>
    <w:rsid w:val="003227DB"/>
    <w:rsid w:val="003227EA"/>
    <w:rsid w:val="003227F1"/>
    <w:rsid w:val="0032287C"/>
    <w:rsid w:val="003228C6"/>
    <w:rsid w:val="00322901"/>
    <w:rsid w:val="00322908"/>
    <w:rsid w:val="0032293C"/>
    <w:rsid w:val="00322943"/>
    <w:rsid w:val="003229D3"/>
    <w:rsid w:val="00322A8A"/>
    <w:rsid w:val="00322A97"/>
    <w:rsid w:val="00322ABA"/>
    <w:rsid w:val="00322ACE"/>
    <w:rsid w:val="00322AEF"/>
    <w:rsid w:val="00322B01"/>
    <w:rsid w:val="00322B4C"/>
    <w:rsid w:val="00322BC0"/>
    <w:rsid w:val="00322BF7"/>
    <w:rsid w:val="00322C0A"/>
    <w:rsid w:val="00322C27"/>
    <w:rsid w:val="00322C6F"/>
    <w:rsid w:val="00322CB5"/>
    <w:rsid w:val="00322CF3"/>
    <w:rsid w:val="00322D27"/>
    <w:rsid w:val="00322D4C"/>
    <w:rsid w:val="00322DEC"/>
    <w:rsid w:val="00322DEF"/>
    <w:rsid w:val="00322E3B"/>
    <w:rsid w:val="00322E53"/>
    <w:rsid w:val="00322ED7"/>
    <w:rsid w:val="00322F32"/>
    <w:rsid w:val="00322F3B"/>
    <w:rsid w:val="00322F3C"/>
    <w:rsid w:val="00322FA5"/>
    <w:rsid w:val="00322FE6"/>
    <w:rsid w:val="00323003"/>
    <w:rsid w:val="00323065"/>
    <w:rsid w:val="003230C0"/>
    <w:rsid w:val="003230EA"/>
    <w:rsid w:val="003230F2"/>
    <w:rsid w:val="00323146"/>
    <w:rsid w:val="00323152"/>
    <w:rsid w:val="003231B1"/>
    <w:rsid w:val="0032321C"/>
    <w:rsid w:val="00323246"/>
    <w:rsid w:val="00323287"/>
    <w:rsid w:val="003232AA"/>
    <w:rsid w:val="00323373"/>
    <w:rsid w:val="00323395"/>
    <w:rsid w:val="00323399"/>
    <w:rsid w:val="003233B0"/>
    <w:rsid w:val="003233D6"/>
    <w:rsid w:val="0032340A"/>
    <w:rsid w:val="00323414"/>
    <w:rsid w:val="0032341F"/>
    <w:rsid w:val="00323448"/>
    <w:rsid w:val="00323486"/>
    <w:rsid w:val="00323497"/>
    <w:rsid w:val="003234A9"/>
    <w:rsid w:val="003234BC"/>
    <w:rsid w:val="003234CA"/>
    <w:rsid w:val="003234D3"/>
    <w:rsid w:val="003234F7"/>
    <w:rsid w:val="0032350A"/>
    <w:rsid w:val="003235B9"/>
    <w:rsid w:val="003235D6"/>
    <w:rsid w:val="00323633"/>
    <w:rsid w:val="003236C6"/>
    <w:rsid w:val="00323701"/>
    <w:rsid w:val="00323705"/>
    <w:rsid w:val="00323745"/>
    <w:rsid w:val="0032380D"/>
    <w:rsid w:val="0032386B"/>
    <w:rsid w:val="0032386D"/>
    <w:rsid w:val="003238AA"/>
    <w:rsid w:val="0032390E"/>
    <w:rsid w:val="00323910"/>
    <w:rsid w:val="00323936"/>
    <w:rsid w:val="00323944"/>
    <w:rsid w:val="00323951"/>
    <w:rsid w:val="00323995"/>
    <w:rsid w:val="0032399F"/>
    <w:rsid w:val="003239ED"/>
    <w:rsid w:val="003239FE"/>
    <w:rsid w:val="00323A4B"/>
    <w:rsid w:val="00323B26"/>
    <w:rsid w:val="00323B77"/>
    <w:rsid w:val="00323BBB"/>
    <w:rsid w:val="00323C0F"/>
    <w:rsid w:val="00323C8B"/>
    <w:rsid w:val="00323C96"/>
    <w:rsid w:val="00323C9A"/>
    <w:rsid w:val="00323CB0"/>
    <w:rsid w:val="00323CFE"/>
    <w:rsid w:val="00323D3E"/>
    <w:rsid w:val="00323E12"/>
    <w:rsid w:val="00323E70"/>
    <w:rsid w:val="00323E7B"/>
    <w:rsid w:val="00323E80"/>
    <w:rsid w:val="00323E8A"/>
    <w:rsid w:val="00323F05"/>
    <w:rsid w:val="00323F21"/>
    <w:rsid w:val="00323F45"/>
    <w:rsid w:val="00323F9B"/>
    <w:rsid w:val="00323FDF"/>
    <w:rsid w:val="0032403D"/>
    <w:rsid w:val="00324086"/>
    <w:rsid w:val="003240BE"/>
    <w:rsid w:val="003240E0"/>
    <w:rsid w:val="003241A9"/>
    <w:rsid w:val="00324258"/>
    <w:rsid w:val="0032425A"/>
    <w:rsid w:val="00324284"/>
    <w:rsid w:val="003242BD"/>
    <w:rsid w:val="003242CA"/>
    <w:rsid w:val="003242CB"/>
    <w:rsid w:val="00324313"/>
    <w:rsid w:val="00324353"/>
    <w:rsid w:val="003243C2"/>
    <w:rsid w:val="003243E5"/>
    <w:rsid w:val="00324443"/>
    <w:rsid w:val="0032444C"/>
    <w:rsid w:val="00324465"/>
    <w:rsid w:val="003244B8"/>
    <w:rsid w:val="003244C8"/>
    <w:rsid w:val="0032452F"/>
    <w:rsid w:val="003245A1"/>
    <w:rsid w:val="003245B1"/>
    <w:rsid w:val="00324613"/>
    <w:rsid w:val="00324694"/>
    <w:rsid w:val="003246A7"/>
    <w:rsid w:val="003246F6"/>
    <w:rsid w:val="0032473E"/>
    <w:rsid w:val="00324794"/>
    <w:rsid w:val="00324797"/>
    <w:rsid w:val="00324802"/>
    <w:rsid w:val="0032482A"/>
    <w:rsid w:val="0032485D"/>
    <w:rsid w:val="0032489B"/>
    <w:rsid w:val="003248A7"/>
    <w:rsid w:val="00324903"/>
    <w:rsid w:val="0032498D"/>
    <w:rsid w:val="00324A09"/>
    <w:rsid w:val="00324AC8"/>
    <w:rsid w:val="00324AC9"/>
    <w:rsid w:val="00324B11"/>
    <w:rsid w:val="00324B6D"/>
    <w:rsid w:val="00324B6F"/>
    <w:rsid w:val="00324B97"/>
    <w:rsid w:val="00324BA2"/>
    <w:rsid w:val="00324BFC"/>
    <w:rsid w:val="00324C06"/>
    <w:rsid w:val="00324C1B"/>
    <w:rsid w:val="00324C33"/>
    <w:rsid w:val="00324C34"/>
    <w:rsid w:val="00324C58"/>
    <w:rsid w:val="00324C84"/>
    <w:rsid w:val="00324C9A"/>
    <w:rsid w:val="00324CE0"/>
    <w:rsid w:val="00324CF4"/>
    <w:rsid w:val="00324DA6"/>
    <w:rsid w:val="00324DDD"/>
    <w:rsid w:val="00324E14"/>
    <w:rsid w:val="00324EB2"/>
    <w:rsid w:val="00324ED3"/>
    <w:rsid w:val="00324F23"/>
    <w:rsid w:val="00324F3A"/>
    <w:rsid w:val="00324F4C"/>
    <w:rsid w:val="00324F5B"/>
    <w:rsid w:val="00324F62"/>
    <w:rsid w:val="00324F6A"/>
    <w:rsid w:val="00324F8C"/>
    <w:rsid w:val="00324FB0"/>
    <w:rsid w:val="00324FB4"/>
    <w:rsid w:val="00324FFB"/>
    <w:rsid w:val="00325095"/>
    <w:rsid w:val="00325137"/>
    <w:rsid w:val="0032515C"/>
    <w:rsid w:val="0032517E"/>
    <w:rsid w:val="003251A0"/>
    <w:rsid w:val="0032522A"/>
    <w:rsid w:val="00325242"/>
    <w:rsid w:val="003252A7"/>
    <w:rsid w:val="003252A8"/>
    <w:rsid w:val="003252AE"/>
    <w:rsid w:val="003252D0"/>
    <w:rsid w:val="00325322"/>
    <w:rsid w:val="00325378"/>
    <w:rsid w:val="00325387"/>
    <w:rsid w:val="00325394"/>
    <w:rsid w:val="003253A3"/>
    <w:rsid w:val="003253C2"/>
    <w:rsid w:val="00325418"/>
    <w:rsid w:val="003254F2"/>
    <w:rsid w:val="00325503"/>
    <w:rsid w:val="00325580"/>
    <w:rsid w:val="0032558C"/>
    <w:rsid w:val="0032559C"/>
    <w:rsid w:val="003255A8"/>
    <w:rsid w:val="003255B2"/>
    <w:rsid w:val="0032563B"/>
    <w:rsid w:val="003256C7"/>
    <w:rsid w:val="003257AB"/>
    <w:rsid w:val="003257B3"/>
    <w:rsid w:val="0032589A"/>
    <w:rsid w:val="00325911"/>
    <w:rsid w:val="00325916"/>
    <w:rsid w:val="00325926"/>
    <w:rsid w:val="003259BD"/>
    <w:rsid w:val="003259D2"/>
    <w:rsid w:val="00325A25"/>
    <w:rsid w:val="00325A40"/>
    <w:rsid w:val="00325AAF"/>
    <w:rsid w:val="00325ABA"/>
    <w:rsid w:val="00325B02"/>
    <w:rsid w:val="00325B6F"/>
    <w:rsid w:val="00325B73"/>
    <w:rsid w:val="00325B8A"/>
    <w:rsid w:val="00325B97"/>
    <w:rsid w:val="00325BAC"/>
    <w:rsid w:val="00325BD2"/>
    <w:rsid w:val="00325BEC"/>
    <w:rsid w:val="00325C86"/>
    <w:rsid w:val="00325CC1"/>
    <w:rsid w:val="00325CEE"/>
    <w:rsid w:val="00325D11"/>
    <w:rsid w:val="00325D48"/>
    <w:rsid w:val="00325D82"/>
    <w:rsid w:val="00325D8E"/>
    <w:rsid w:val="00325D90"/>
    <w:rsid w:val="00325D93"/>
    <w:rsid w:val="00325E62"/>
    <w:rsid w:val="00325EA0"/>
    <w:rsid w:val="00325F0B"/>
    <w:rsid w:val="00325F20"/>
    <w:rsid w:val="00325F65"/>
    <w:rsid w:val="00325F93"/>
    <w:rsid w:val="00326018"/>
    <w:rsid w:val="00326077"/>
    <w:rsid w:val="0032607D"/>
    <w:rsid w:val="003260C0"/>
    <w:rsid w:val="0032618D"/>
    <w:rsid w:val="00326192"/>
    <w:rsid w:val="003261A7"/>
    <w:rsid w:val="00326203"/>
    <w:rsid w:val="003262C1"/>
    <w:rsid w:val="00326358"/>
    <w:rsid w:val="0032637E"/>
    <w:rsid w:val="00326397"/>
    <w:rsid w:val="003263A6"/>
    <w:rsid w:val="0032643D"/>
    <w:rsid w:val="00326469"/>
    <w:rsid w:val="0032646C"/>
    <w:rsid w:val="00326514"/>
    <w:rsid w:val="00326542"/>
    <w:rsid w:val="003265CB"/>
    <w:rsid w:val="00326638"/>
    <w:rsid w:val="0032665A"/>
    <w:rsid w:val="0032668B"/>
    <w:rsid w:val="003266AB"/>
    <w:rsid w:val="003266D9"/>
    <w:rsid w:val="00326706"/>
    <w:rsid w:val="00326715"/>
    <w:rsid w:val="00326758"/>
    <w:rsid w:val="00326775"/>
    <w:rsid w:val="003267A8"/>
    <w:rsid w:val="003267CD"/>
    <w:rsid w:val="0032680B"/>
    <w:rsid w:val="0032680E"/>
    <w:rsid w:val="0032684E"/>
    <w:rsid w:val="003268CD"/>
    <w:rsid w:val="003268F1"/>
    <w:rsid w:val="00326971"/>
    <w:rsid w:val="00326972"/>
    <w:rsid w:val="003269BA"/>
    <w:rsid w:val="003269BB"/>
    <w:rsid w:val="003269E6"/>
    <w:rsid w:val="00326A19"/>
    <w:rsid w:val="00326A51"/>
    <w:rsid w:val="00326A62"/>
    <w:rsid w:val="00326ABC"/>
    <w:rsid w:val="00326AD0"/>
    <w:rsid w:val="00326B3A"/>
    <w:rsid w:val="00326B48"/>
    <w:rsid w:val="00326B7A"/>
    <w:rsid w:val="00326BEC"/>
    <w:rsid w:val="00326C0A"/>
    <w:rsid w:val="00326C2F"/>
    <w:rsid w:val="00326C67"/>
    <w:rsid w:val="00326C89"/>
    <w:rsid w:val="00326D6B"/>
    <w:rsid w:val="00326DA4"/>
    <w:rsid w:val="00326DCB"/>
    <w:rsid w:val="00326DDF"/>
    <w:rsid w:val="00326DF7"/>
    <w:rsid w:val="00326DFA"/>
    <w:rsid w:val="00326E25"/>
    <w:rsid w:val="00326E52"/>
    <w:rsid w:val="00326E9B"/>
    <w:rsid w:val="00326EC5"/>
    <w:rsid w:val="00326EF4"/>
    <w:rsid w:val="00326F0B"/>
    <w:rsid w:val="00326F6F"/>
    <w:rsid w:val="00326FB6"/>
    <w:rsid w:val="0032705B"/>
    <w:rsid w:val="003270AE"/>
    <w:rsid w:val="00327128"/>
    <w:rsid w:val="0032716F"/>
    <w:rsid w:val="0032723C"/>
    <w:rsid w:val="0032728A"/>
    <w:rsid w:val="0032747A"/>
    <w:rsid w:val="00327633"/>
    <w:rsid w:val="00327649"/>
    <w:rsid w:val="00327650"/>
    <w:rsid w:val="0032767D"/>
    <w:rsid w:val="003276DE"/>
    <w:rsid w:val="0032776C"/>
    <w:rsid w:val="0032776E"/>
    <w:rsid w:val="003277F9"/>
    <w:rsid w:val="0032780D"/>
    <w:rsid w:val="00327852"/>
    <w:rsid w:val="0032794F"/>
    <w:rsid w:val="0032795A"/>
    <w:rsid w:val="0032797F"/>
    <w:rsid w:val="003279AE"/>
    <w:rsid w:val="003279EB"/>
    <w:rsid w:val="00327A1A"/>
    <w:rsid w:val="00327A64"/>
    <w:rsid w:val="00327AAC"/>
    <w:rsid w:val="00327AD6"/>
    <w:rsid w:val="00327B21"/>
    <w:rsid w:val="00327B33"/>
    <w:rsid w:val="00327BE2"/>
    <w:rsid w:val="00327BF0"/>
    <w:rsid w:val="00327C17"/>
    <w:rsid w:val="00327C21"/>
    <w:rsid w:val="00327C97"/>
    <w:rsid w:val="00327CBF"/>
    <w:rsid w:val="00327CFA"/>
    <w:rsid w:val="00327D18"/>
    <w:rsid w:val="00327D26"/>
    <w:rsid w:val="00327D41"/>
    <w:rsid w:val="00327D88"/>
    <w:rsid w:val="00327DAF"/>
    <w:rsid w:val="00327DC0"/>
    <w:rsid w:val="00327DCE"/>
    <w:rsid w:val="00327DDB"/>
    <w:rsid w:val="00327DF3"/>
    <w:rsid w:val="00327E38"/>
    <w:rsid w:val="00327F20"/>
    <w:rsid w:val="00327F32"/>
    <w:rsid w:val="00327F93"/>
    <w:rsid w:val="00327FC2"/>
    <w:rsid w:val="00330089"/>
    <w:rsid w:val="003300FF"/>
    <w:rsid w:val="00330161"/>
    <w:rsid w:val="00330181"/>
    <w:rsid w:val="00330193"/>
    <w:rsid w:val="003301A6"/>
    <w:rsid w:val="003301C9"/>
    <w:rsid w:val="0033020A"/>
    <w:rsid w:val="00330273"/>
    <w:rsid w:val="00330282"/>
    <w:rsid w:val="00330283"/>
    <w:rsid w:val="003302E7"/>
    <w:rsid w:val="0033031F"/>
    <w:rsid w:val="00330331"/>
    <w:rsid w:val="00330333"/>
    <w:rsid w:val="00330335"/>
    <w:rsid w:val="00330355"/>
    <w:rsid w:val="003303BA"/>
    <w:rsid w:val="0033041B"/>
    <w:rsid w:val="00330439"/>
    <w:rsid w:val="0033044E"/>
    <w:rsid w:val="00330463"/>
    <w:rsid w:val="0033048D"/>
    <w:rsid w:val="0033049F"/>
    <w:rsid w:val="0033051E"/>
    <w:rsid w:val="0033065D"/>
    <w:rsid w:val="00330667"/>
    <w:rsid w:val="00330674"/>
    <w:rsid w:val="003306B7"/>
    <w:rsid w:val="003306C3"/>
    <w:rsid w:val="003306C5"/>
    <w:rsid w:val="003306D7"/>
    <w:rsid w:val="00330746"/>
    <w:rsid w:val="0033075B"/>
    <w:rsid w:val="0033077F"/>
    <w:rsid w:val="00330850"/>
    <w:rsid w:val="00330859"/>
    <w:rsid w:val="00330876"/>
    <w:rsid w:val="003308A8"/>
    <w:rsid w:val="003308EF"/>
    <w:rsid w:val="0033094E"/>
    <w:rsid w:val="00330981"/>
    <w:rsid w:val="003309BD"/>
    <w:rsid w:val="00330A03"/>
    <w:rsid w:val="00330A0D"/>
    <w:rsid w:val="00330A43"/>
    <w:rsid w:val="00330A79"/>
    <w:rsid w:val="00330AC3"/>
    <w:rsid w:val="00330B70"/>
    <w:rsid w:val="00330B8E"/>
    <w:rsid w:val="00330BD3"/>
    <w:rsid w:val="00330C03"/>
    <w:rsid w:val="00330C07"/>
    <w:rsid w:val="00330C85"/>
    <w:rsid w:val="00330CA1"/>
    <w:rsid w:val="00330D14"/>
    <w:rsid w:val="00330DBD"/>
    <w:rsid w:val="00330DC9"/>
    <w:rsid w:val="00330E03"/>
    <w:rsid w:val="00330E16"/>
    <w:rsid w:val="00330E3D"/>
    <w:rsid w:val="00330E44"/>
    <w:rsid w:val="00330ED9"/>
    <w:rsid w:val="00330EE2"/>
    <w:rsid w:val="00330F30"/>
    <w:rsid w:val="00330F50"/>
    <w:rsid w:val="00330FD2"/>
    <w:rsid w:val="0033103D"/>
    <w:rsid w:val="0033103E"/>
    <w:rsid w:val="00331076"/>
    <w:rsid w:val="00331093"/>
    <w:rsid w:val="003310C8"/>
    <w:rsid w:val="003310D0"/>
    <w:rsid w:val="00331118"/>
    <w:rsid w:val="003311A0"/>
    <w:rsid w:val="003311DC"/>
    <w:rsid w:val="003311FD"/>
    <w:rsid w:val="0033120E"/>
    <w:rsid w:val="00331235"/>
    <w:rsid w:val="00331336"/>
    <w:rsid w:val="00331342"/>
    <w:rsid w:val="00331383"/>
    <w:rsid w:val="00331438"/>
    <w:rsid w:val="00331449"/>
    <w:rsid w:val="0033149C"/>
    <w:rsid w:val="003314DB"/>
    <w:rsid w:val="00331570"/>
    <w:rsid w:val="003315BC"/>
    <w:rsid w:val="003315E3"/>
    <w:rsid w:val="00331607"/>
    <w:rsid w:val="0033160C"/>
    <w:rsid w:val="00331618"/>
    <w:rsid w:val="00331728"/>
    <w:rsid w:val="0033174D"/>
    <w:rsid w:val="00331750"/>
    <w:rsid w:val="00331763"/>
    <w:rsid w:val="00331780"/>
    <w:rsid w:val="0033179A"/>
    <w:rsid w:val="0033179B"/>
    <w:rsid w:val="003317EF"/>
    <w:rsid w:val="00331816"/>
    <w:rsid w:val="00331830"/>
    <w:rsid w:val="00331839"/>
    <w:rsid w:val="0033186B"/>
    <w:rsid w:val="0033186F"/>
    <w:rsid w:val="003318B7"/>
    <w:rsid w:val="003318CF"/>
    <w:rsid w:val="0033192A"/>
    <w:rsid w:val="00331953"/>
    <w:rsid w:val="00331A8D"/>
    <w:rsid w:val="00331A92"/>
    <w:rsid w:val="00331AA3"/>
    <w:rsid w:val="00331AC6"/>
    <w:rsid w:val="00331AD7"/>
    <w:rsid w:val="00331AF8"/>
    <w:rsid w:val="00331B24"/>
    <w:rsid w:val="00331B37"/>
    <w:rsid w:val="00331B84"/>
    <w:rsid w:val="00331B93"/>
    <w:rsid w:val="00331C5E"/>
    <w:rsid w:val="00331C60"/>
    <w:rsid w:val="00331D44"/>
    <w:rsid w:val="00331D75"/>
    <w:rsid w:val="00331DC3"/>
    <w:rsid w:val="00331DCB"/>
    <w:rsid w:val="00331E0E"/>
    <w:rsid w:val="00331E8D"/>
    <w:rsid w:val="00331ED5"/>
    <w:rsid w:val="00331ED9"/>
    <w:rsid w:val="00331F33"/>
    <w:rsid w:val="00331F5C"/>
    <w:rsid w:val="00331FDC"/>
    <w:rsid w:val="0033200D"/>
    <w:rsid w:val="0033202D"/>
    <w:rsid w:val="0033208C"/>
    <w:rsid w:val="0033209F"/>
    <w:rsid w:val="0033210F"/>
    <w:rsid w:val="00332175"/>
    <w:rsid w:val="00332192"/>
    <w:rsid w:val="00332198"/>
    <w:rsid w:val="003321E2"/>
    <w:rsid w:val="003321EC"/>
    <w:rsid w:val="003321F1"/>
    <w:rsid w:val="0033220F"/>
    <w:rsid w:val="00332242"/>
    <w:rsid w:val="0033226E"/>
    <w:rsid w:val="00332320"/>
    <w:rsid w:val="003323BA"/>
    <w:rsid w:val="003323C4"/>
    <w:rsid w:val="003323FD"/>
    <w:rsid w:val="00332425"/>
    <w:rsid w:val="0033244E"/>
    <w:rsid w:val="00332452"/>
    <w:rsid w:val="0033245D"/>
    <w:rsid w:val="003324DC"/>
    <w:rsid w:val="00332579"/>
    <w:rsid w:val="0033259A"/>
    <w:rsid w:val="00332601"/>
    <w:rsid w:val="0033262F"/>
    <w:rsid w:val="00332691"/>
    <w:rsid w:val="003326DE"/>
    <w:rsid w:val="003326E1"/>
    <w:rsid w:val="003326E6"/>
    <w:rsid w:val="00332748"/>
    <w:rsid w:val="00332762"/>
    <w:rsid w:val="0033276C"/>
    <w:rsid w:val="003327B0"/>
    <w:rsid w:val="003327BD"/>
    <w:rsid w:val="0033287C"/>
    <w:rsid w:val="0033288A"/>
    <w:rsid w:val="0033288E"/>
    <w:rsid w:val="003328FD"/>
    <w:rsid w:val="00332910"/>
    <w:rsid w:val="00332929"/>
    <w:rsid w:val="003329EE"/>
    <w:rsid w:val="003329F0"/>
    <w:rsid w:val="00332A6B"/>
    <w:rsid w:val="00332B2B"/>
    <w:rsid w:val="00332B6F"/>
    <w:rsid w:val="00332BC2"/>
    <w:rsid w:val="00332C7A"/>
    <w:rsid w:val="00332C84"/>
    <w:rsid w:val="00332D30"/>
    <w:rsid w:val="00332D38"/>
    <w:rsid w:val="00332D58"/>
    <w:rsid w:val="00332D63"/>
    <w:rsid w:val="00332DAF"/>
    <w:rsid w:val="00332DD9"/>
    <w:rsid w:val="00332DE5"/>
    <w:rsid w:val="00332DF9"/>
    <w:rsid w:val="00332E11"/>
    <w:rsid w:val="00332E12"/>
    <w:rsid w:val="00332E30"/>
    <w:rsid w:val="00332E47"/>
    <w:rsid w:val="00332E6C"/>
    <w:rsid w:val="00332EA6"/>
    <w:rsid w:val="00332EBF"/>
    <w:rsid w:val="00332F6F"/>
    <w:rsid w:val="00333039"/>
    <w:rsid w:val="0033304D"/>
    <w:rsid w:val="003330A8"/>
    <w:rsid w:val="00333159"/>
    <w:rsid w:val="00333201"/>
    <w:rsid w:val="00333287"/>
    <w:rsid w:val="003332BC"/>
    <w:rsid w:val="003332FE"/>
    <w:rsid w:val="0033333E"/>
    <w:rsid w:val="00333358"/>
    <w:rsid w:val="00333385"/>
    <w:rsid w:val="003333C0"/>
    <w:rsid w:val="0033341C"/>
    <w:rsid w:val="00333423"/>
    <w:rsid w:val="0033346D"/>
    <w:rsid w:val="003334C8"/>
    <w:rsid w:val="003334E7"/>
    <w:rsid w:val="00333513"/>
    <w:rsid w:val="003335C3"/>
    <w:rsid w:val="003335E4"/>
    <w:rsid w:val="00333623"/>
    <w:rsid w:val="003336C7"/>
    <w:rsid w:val="003336D4"/>
    <w:rsid w:val="00333798"/>
    <w:rsid w:val="003337E2"/>
    <w:rsid w:val="00333822"/>
    <w:rsid w:val="00333842"/>
    <w:rsid w:val="00333855"/>
    <w:rsid w:val="003338C7"/>
    <w:rsid w:val="0033393E"/>
    <w:rsid w:val="0033395C"/>
    <w:rsid w:val="0033398B"/>
    <w:rsid w:val="00333A45"/>
    <w:rsid w:val="00333AC9"/>
    <w:rsid w:val="00333B17"/>
    <w:rsid w:val="00333B20"/>
    <w:rsid w:val="00333B75"/>
    <w:rsid w:val="00333B8F"/>
    <w:rsid w:val="00333BA9"/>
    <w:rsid w:val="00333BCF"/>
    <w:rsid w:val="00333C59"/>
    <w:rsid w:val="00333C73"/>
    <w:rsid w:val="00333CCD"/>
    <w:rsid w:val="00333D0C"/>
    <w:rsid w:val="00333D9A"/>
    <w:rsid w:val="00333E37"/>
    <w:rsid w:val="00333E72"/>
    <w:rsid w:val="00333E8A"/>
    <w:rsid w:val="00333EB4"/>
    <w:rsid w:val="00333EBA"/>
    <w:rsid w:val="00333EE3"/>
    <w:rsid w:val="00333F5F"/>
    <w:rsid w:val="00333F6A"/>
    <w:rsid w:val="00333F91"/>
    <w:rsid w:val="00333FBF"/>
    <w:rsid w:val="00333FEA"/>
    <w:rsid w:val="0033400F"/>
    <w:rsid w:val="00334041"/>
    <w:rsid w:val="00334078"/>
    <w:rsid w:val="00334226"/>
    <w:rsid w:val="00334271"/>
    <w:rsid w:val="0033433C"/>
    <w:rsid w:val="0033434A"/>
    <w:rsid w:val="003343A2"/>
    <w:rsid w:val="003343A4"/>
    <w:rsid w:val="00334434"/>
    <w:rsid w:val="00334462"/>
    <w:rsid w:val="003344A5"/>
    <w:rsid w:val="003344AC"/>
    <w:rsid w:val="003344D0"/>
    <w:rsid w:val="003344E8"/>
    <w:rsid w:val="003344FA"/>
    <w:rsid w:val="0033453F"/>
    <w:rsid w:val="00334584"/>
    <w:rsid w:val="00334589"/>
    <w:rsid w:val="003345AD"/>
    <w:rsid w:val="003345B2"/>
    <w:rsid w:val="003345DF"/>
    <w:rsid w:val="003345E7"/>
    <w:rsid w:val="003345FA"/>
    <w:rsid w:val="0033465C"/>
    <w:rsid w:val="0033467E"/>
    <w:rsid w:val="0033469B"/>
    <w:rsid w:val="003346A6"/>
    <w:rsid w:val="0033473C"/>
    <w:rsid w:val="003347D7"/>
    <w:rsid w:val="003347F1"/>
    <w:rsid w:val="0033482A"/>
    <w:rsid w:val="0033487D"/>
    <w:rsid w:val="003348CC"/>
    <w:rsid w:val="003348DC"/>
    <w:rsid w:val="00334941"/>
    <w:rsid w:val="00334946"/>
    <w:rsid w:val="0033498C"/>
    <w:rsid w:val="0033499E"/>
    <w:rsid w:val="003349A8"/>
    <w:rsid w:val="003349F1"/>
    <w:rsid w:val="00334AD5"/>
    <w:rsid w:val="00334AF9"/>
    <w:rsid w:val="00334B0D"/>
    <w:rsid w:val="00334BA5"/>
    <w:rsid w:val="00334BC5"/>
    <w:rsid w:val="00334C92"/>
    <w:rsid w:val="00334CA1"/>
    <w:rsid w:val="00334CF6"/>
    <w:rsid w:val="00334D05"/>
    <w:rsid w:val="00334D8C"/>
    <w:rsid w:val="00334DDA"/>
    <w:rsid w:val="00334DFD"/>
    <w:rsid w:val="00334E5D"/>
    <w:rsid w:val="00334E6F"/>
    <w:rsid w:val="00334F3D"/>
    <w:rsid w:val="00334F4C"/>
    <w:rsid w:val="00334FD7"/>
    <w:rsid w:val="00334FE5"/>
    <w:rsid w:val="00334FF9"/>
    <w:rsid w:val="0033501A"/>
    <w:rsid w:val="00335065"/>
    <w:rsid w:val="00335069"/>
    <w:rsid w:val="00335070"/>
    <w:rsid w:val="0033509E"/>
    <w:rsid w:val="003350A4"/>
    <w:rsid w:val="00335138"/>
    <w:rsid w:val="00335198"/>
    <w:rsid w:val="0033520B"/>
    <w:rsid w:val="00335220"/>
    <w:rsid w:val="0033526A"/>
    <w:rsid w:val="003352C1"/>
    <w:rsid w:val="003352C8"/>
    <w:rsid w:val="00335315"/>
    <w:rsid w:val="00335355"/>
    <w:rsid w:val="0033536C"/>
    <w:rsid w:val="00335372"/>
    <w:rsid w:val="003353F9"/>
    <w:rsid w:val="00335420"/>
    <w:rsid w:val="00335429"/>
    <w:rsid w:val="00335471"/>
    <w:rsid w:val="0033547B"/>
    <w:rsid w:val="0033548D"/>
    <w:rsid w:val="003354AA"/>
    <w:rsid w:val="003354B8"/>
    <w:rsid w:val="003354F9"/>
    <w:rsid w:val="00335545"/>
    <w:rsid w:val="00335583"/>
    <w:rsid w:val="003355A9"/>
    <w:rsid w:val="00335697"/>
    <w:rsid w:val="0033571F"/>
    <w:rsid w:val="003357B3"/>
    <w:rsid w:val="003357B6"/>
    <w:rsid w:val="0033581B"/>
    <w:rsid w:val="00335831"/>
    <w:rsid w:val="0033588C"/>
    <w:rsid w:val="003358E1"/>
    <w:rsid w:val="00335938"/>
    <w:rsid w:val="0033598E"/>
    <w:rsid w:val="00335995"/>
    <w:rsid w:val="00335A5A"/>
    <w:rsid w:val="00335ABF"/>
    <w:rsid w:val="00335AC9"/>
    <w:rsid w:val="00335B6D"/>
    <w:rsid w:val="00335B9E"/>
    <w:rsid w:val="00335BAA"/>
    <w:rsid w:val="00335C1E"/>
    <w:rsid w:val="00335DEB"/>
    <w:rsid w:val="00335DF5"/>
    <w:rsid w:val="00335E17"/>
    <w:rsid w:val="00335E3C"/>
    <w:rsid w:val="00335E58"/>
    <w:rsid w:val="00335E7F"/>
    <w:rsid w:val="00335E85"/>
    <w:rsid w:val="00335F13"/>
    <w:rsid w:val="00335F1E"/>
    <w:rsid w:val="00335F3E"/>
    <w:rsid w:val="00335F74"/>
    <w:rsid w:val="00335FE6"/>
    <w:rsid w:val="00335FE8"/>
    <w:rsid w:val="00336005"/>
    <w:rsid w:val="00336034"/>
    <w:rsid w:val="0033609F"/>
    <w:rsid w:val="00336135"/>
    <w:rsid w:val="00336147"/>
    <w:rsid w:val="00336181"/>
    <w:rsid w:val="003361A8"/>
    <w:rsid w:val="003361C0"/>
    <w:rsid w:val="003361E5"/>
    <w:rsid w:val="003361F6"/>
    <w:rsid w:val="00336207"/>
    <w:rsid w:val="00336248"/>
    <w:rsid w:val="0033625E"/>
    <w:rsid w:val="0033625F"/>
    <w:rsid w:val="003362CD"/>
    <w:rsid w:val="003362DC"/>
    <w:rsid w:val="0033631C"/>
    <w:rsid w:val="00336352"/>
    <w:rsid w:val="003363A3"/>
    <w:rsid w:val="003363DF"/>
    <w:rsid w:val="00336404"/>
    <w:rsid w:val="00336407"/>
    <w:rsid w:val="00336426"/>
    <w:rsid w:val="00336440"/>
    <w:rsid w:val="00336484"/>
    <w:rsid w:val="0033649D"/>
    <w:rsid w:val="003364E9"/>
    <w:rsid w:val="00336533"/>
    <w:rsid w:val="00336534"/>
    <w:rsid w:val="00336565"/>
    <w:rsid w:val="0033656D"/>
    <w:rsid w:val="00336603"/>
    <w:rsid w:val="003366CB"/>
    <w:rsid w:val="003366D5"/>
    <w:rsid w:val="003366FB"/>
    <w:rsid w:val="00336709"/>
    <w:rsid w:val="00336755"/>
    <w:rsid w:val="00336876"/>
    <w:rsid w:val="003368AA"/>
    <w:rsid w:val="003368B7"/>
    <w:rsid w:val="0033690D"/>
    <w:rsid w:val="0033696A"/>
    <w:rsid w:val="003369E5"/>
    <w:rsid w:val="00336A0C"/>
    <w:rsid w:val="00336A49"/>
    <w:rsid w:val="00336B26"/>
    <w:rsid w:val="00336B3D"/>
    <w:rsid w:val="00336B52"/>
    <w:rsid w:val="00336B6A"/>
    <w:rsid w:val="00336BA8"/>
    <w:rsid w:val="00336BEE"/>
    <w:rsid w:val="00336C22"/>
    <w:rsid w:val="00336C5E"/>
    <w:rsid w:val="00336C93"/>
    <w:rsid w:val="00336CEF"/>
    <w:rsid w:val="00336D4C"/>
    <w:rsid w:val="00336DF9"/>
    <w:rsid w:val="00336E66"/>
    <w:rsid w:val="00336EAA"/>
    <w:rsid w:val="00336EB0"/>
    <w:rsid w:val="00336EF3"/>
    <w:rsid w:val="00336F4D"/>
    <w:rsid w:val="00337047"/>
    <w:rsid w:val="00337048"/>
    <w:rsid w:val="0033704C"/>
    <w:rsid w:val="0033708A"/>
    <w:rsid w:val="00337093"/>
    <w:rsid w:val="003370E8"/>
    <w:rsid w:val="00337100"/>
    <w:rsid w:val="00337105"/>
    <w:rsid w:val="00337192"/>
    <w:rsid w:val="003371C8"/>
    <w:rsid w:val="003371EA"/>
    <w:rsid w:val="00337205"/>
    <w:rsid w:val="003372A1"/>
    <w:rsid w:val="003372B7"/>
    <w:rsid w:val="003372C0"/>
    <w:rsid w:val="00337351"/>
    <w:rsid w:val="0033735E"/>
    <w:rsid w:val="003373D4"/>
    <w:rsid w:val="00337448"/>
    <w:rsid w:val="00337463"/>
    <w:rsid w:val="003374ED"/>
    <w:rsid w:val="0033758B"/>
    <w:rsid w:val="003375BC"/>
    <w:rsid w:val="0033766E"/>
    <w:rsid w:val="003376D3"/>
    <w:rsid w:val="00337708"/>
    <w:rsid w:val="00337712"/>
    <w:rsid w:val="0033778F"/>
    <w:rsid w:val="00337846"/>
    <w:rsid w:val="00337861"/>
    <w:rsid w:val="00337884"/>
    <w:rsid w:val="003378DF"/>
    <w:rsid w:val="0033791F"/>
    <w:rsid w:val="00337A07"/>
    <w:rsid w:val="00337AA2"/>
    <w:rsid w:val="00337AC5"/>
    <w:rsid w:val="00337B25"/>
    <w:rsid w:val="00337B27"/>
    <w:rsid w:val="00337B3D"/>
    <w:rsid w:val="00337B4D"/>
    <w:rsid w:val="00337B8E"/>
    <w:rsid w:val="00337B92"/>
    <w:rsid w:val="00337C5C"/>
    <w:rsid w:val="00337D30"/>
    <w:rsid w:val="00337D6F"/>
    <w:rsid w:val="00337D81"/>
    <w:rsid w:val="00337DEF"/>
    <w:rsid w:val="00337E01"/>
    <w:rsid w:val="00337E61"/>
    <w:rsid w:val="00337E69"/>
    <w:rsid w:val="00337E70"/>
    <w:rsid w:val="00337EA9"/>
    <w:rsid w:val="00337F32"/>
    <w:rsid w:val="00337F3E"/>
    <w:rsid w:val="00337F63"/>
    <w:rsid w:val="00337F78"/>
    <w:rsid w:val="00337FA0"/>
    <w:rsid w:val="00337FB0"/>
    <w:rsid w:val="00340059"/>
    <w:rsid w:val="0034005C"/>
    <w:rsid w:val="0034009E"/>
    <w:rsid w:val="00340116"/>
    <w:rsid w:val="0034012D"/>
    <w:rsid w:val="00340155"/>
    <w:rsid w:val="00340199"/>
    <w:rsid w:val="003401AE"/>
    <w:rsid w:val="003401C3"/>
    <w:rsid w:val="003401EE"/>
    <w:rsid w:val="0034022F"/>
    <w:rsid w:val="0034023F"/>
    <w:rsid w:val="00340263"/>
    <w:rsid w:val="0034027B"/>
    <w:rsid w:val="00340284"/>
    <w:rsid w:val="003402F0"/>
    <w:rsid w:val="00340313"/>
    <w:rsid w:val="0034031B"/>
    <w:rsid w:val="00340339"/>
    <w:rsid w:val="0034037A"/>
    <w:rsid w:val="0034038F"/>
    <w:rsid w:val="003403A3"/>
    <w:rsid w:val="003403B1"/>
    <w:rsid w:val="003403B3"/>
    <w:rsid w:val="003403B8"/>
    <w:rsid w:val="003403F2"/>
    <w:rsid w:val="00340425"/>
    <w:rsid w:val="0034043C"/>
    <w:rsid w:val="00340445"/>
    <w:rsid w:val="00340486"/>
    <w:rsid w:val="0034049C"/>
    <w:rsid w:val="003404C3"/>
    <w:rsid w:val="00340566"/>
    <w:rsid w:val="00340597"/>
    <w:rsid w:val="003405C3"/>
    <w:rsid w:val="003405DE"/>
    <w:rsid w:val="003405EC"/>
    <w:rsid w:val="00340605"/>
    <w:rsid w:val="0034061A"/>
    <w:rsid w:val="00340631"/>
    <w:rsid w:val="00340636"/>
    <w:rsid w:val="00340641"/>
    <w:rsid w:val="00340692"/>
    <w:rsid w:val="003406C7"/>
    <w:rsid w:val="00340741"/>
    <w:rsid w:val="00340750"/>
    <w:rsid w:val="00340772"/>
    <w:rsid w:val="00340778"/>
    <w:rsid w:val="0034077F"/>
    <w:rsid w:val="00340788"/>
    <w:rsid w:val="003407A9"/>
    <w:rsid w:val="003407CF"/>
    <w:rsid w:val="003407D1"/>
    <w:rsid w:val="00340818"/>
    <w:rsid w:val="00340820"/>
    <w:rsid w:val="00340881"/>
    <w:rsid w:val="0034088C"/>
    <w:rsid w:val="00340918"/>
    <w:rsid w:val="00340942"/>
    <w:rsid w:val="00340948"/>
    <w:rsid w:val="00340A4F"/>
    <w:rsid w:val="00340A66"/>
    <w:rsid w:val="00340A9E"/>
    <w:rsid w:val="00340AB4"/>
    <w:rsid w:val="00340ABC"/>
    <w:rsid w:val="00340ACD"/>
    <w:rsid w:val="00340B0A"/>
    <w:rsid w:val="00340B13"/>
    <w:rsid w:val="00340B9B"/>
    <w:rsid w:val="00340BFD"/>
    <w:rsid w:val="00340E53"/>
    <w:rsid w:val="00340E6F"/>
    <w:rsid w:val="00340E90"/>
    <w:rsid w:val="00340EAA"/>
    <w:rsid w:val="00340EF9"/>
    <w:rsid w:val="00340F57"/>
    <w:rsid w:val="00340F7C"/>
    <w:rsid w:val="00340F80"/>
    <w:rsid w:val="00340F97"/>
    <w:rsid w:val="00340FAC"/>
    <w:rsid w:val="00340FD8"/>
    <w:rsid w:val="00341023"/>
    <w:rsid w:val="00341061"/>
    <w:rsid w:val="003410E1"/>
    <w:rsid w:val="003410E4"/>
    <w:rsid w:val="00341169"/>
    <w:rsid w:val="00341178"/>
    <w:rsid w:val="0034118E"/>
    <w:rsid w:val="0034120C"/>
    <w:rsid w:val="0034121D"/>
    <w:rsid w:val="00341248"/>
    <w:rsid w:val="0034125E"/>
    <w:rsid w:val="00341268"/>
    <w:rsid w:val="0034126A"/>
    <w:rsid w:val="003412FC"/>
    <w:rsid w:val="0034130B"/>
    <w:rsid w:val="00341386"/>
    <w:rsid w:val="00341389"/>
    <w:rsid w:val="003414B6"/>
    <w:rsid w:val="003414E6"/>
    <w:rsid w:val="00341547"/>
    <w:rsid w:val="0034155D"/>
    <w:rsid w:val="003415D5"/>
    <w:rsid w:val="003415FC"/>
    <w:rsid w:val="0034160E"/>
    <w:rsid w:val="00341672"/>
    <w:rsid w:val="003416C3"/>
    <w:rsid w:val="003416CB"/>
    <w:rsid w:val="003416DC"/>
    <w:rsid w:val="0034173B"/>
    <w:rsid w:val="003417A7"/>
    <w:rsid w:val="00341806"/>
    <w:rsid w:val="00341828"/>
    <w:rsid w:val="003418FD"/>
    <w:rsid w:val="00341934"/>
    <w:rsid w:val="00341978"/>
    <w:rsid w:val="003419ED"/>
    <w:rsid w:val="00341A13"/>
    <w:rsid w:val="00341A40"/>
    <w:rsid w:val="00341A80"/>
    <w:rsid w:val="00341A84"/>
    <w:rsid w:val="00341AA2"/>
    <w:rsid w:val="00341B2A"/>
    <w:rsid w:val="00341BE4"/>
    <w:rsid w:val="00341BF0"/>
    <w:rsid w:val="00341BFC"/>
    <w:rsid w:val="00341C32"/>
    <w:rsid w:val="00341C40"/>
    <w:rsid w:val="00341CA6"/>
    <w:rsid w:val="00341CE3"/>
    <w:rsid w:val="00341D28"/>
    <w:rsid w:val="00341DB8"/>
    <w:rsid w:val="00341E4A"/>
    <w:rsid w:val="00341EBC"/>
    <w:rsid w:val="00341EBE"/>
    <w:rsid w:val="00341ECC"/>
    <w:rsid w:val="00341EF6"/>
    <w:rsid w:val="00341EFB"/>
    <w:rsid w:val="00341F3A"/>
    <w:rsid w:val="00341FDB"/>
    <w:rsid w:val="00341FEC"/>
    <w:rsid w:val="0034202C"/>
    <w:rsid w:val="0034209D"/>
    <w:rsid w:val="003420BA"/>
    <w:rsid w:val="003420BB"/>
    <w:rsid w:val="00342106"/>
    <w:rsid w:val="0034210B"/>
    <w:rsid w:val="00342163"/>
    <w:rsid w:val="00342202"/>
    <w:rsid w:val="00342205"/>
    <w:rsid w:val="0034220F"/>
    <w:rsid w:val="00342228"/>
    <w:rsid w:val="00342262"/>
    <w:rsid w:val="003422C1"/>
    <w:rsid w:val="003422D1"/>
    <w:rsid w:val="00342313"/>
    <w:rsid w:val="00342342"/>
    <w:rsid w:val="00342368"/>
    <w:rsid w:val="00342383"/>
    <w:rsid w:val="00342436"/>
    <w:rsid w:val="00342471"/>
    <w:rsid w:val="003424CA"/>
    <w:rsid w:val="003424D1"/>
    <w:rsid w:val="003425F8"/>
    <w:rsid w:val="00342601"/>
    <w:rsid w:val="00342625"/>
    <w:rsid w:val="00342638"/>
    <w:rsid w:val="0034266E"/>
    <w:rsid w:val="00342698"/>
    <w:rsid w:val="003426BF"/>
    <w:rsid w:val="003426C3"/>
    <w:rsid w:val="00342728"/>
    <w:rsid w:val="00342770"/>
    <w:rsid w:val="0034277B"/>
    <w:rsid w:val="003427BF"/>
    <w:rsid w:val="00342809"/>
    <w:rsid w:val="0034280B"/>
    <w:rsid w:val="00342843"/>
    <w:rsid w:val="0034287C"/>
    <w:rsid w:val="003428E8"/>
    <w:rsid w:val="003428F0"/>
    <w:rsid w:val="0034292E"/>
    <w:rsid w:val="003429BC"/>
    <w:rsid w:val="00342A3D"/>
    <w:rsid w:val="00342A40"/>
    <w:rsid w:val="00342A66"/>
    <w:rsid w:val="00342AA6"/>
    <w:rsid w:val="00342B0A"/>
    <w:rsid w:val="00342B17"/>
    <w:rsid w:val="00342B4C"/>
    <w:rsid w:val="00342B77"/>
    <w:rsid w:val="00342B7E"/>
    <w:rsid w:val="00342BCE"/>
    <w:rsid w:val="00342C04"/>
    <w:rsid w:val="00342C0E"/>
    <w:rsid w:val="00342C4A"/>
    <w:rsid w:val="00342C6F"/>
    <w:rsid w:val="00342C80"/>
    <w:rsid w:val="00342CE9"/>
    <w:rsid w:val="00342D45"/>
    <w:rsid w:val="00342D64"/>
    <w:rsid w:val="00342D67"/>
    <w:rsid w:val="00342DD6"/>
    <w:rsid w:val="00342DE6"/>
    <w:rsid w:val="00342E34"/>
    <w:rsid w:val="00342EBA"/>
    <w:rsid w:val="00342EDF"/>
    <w:rsid w:val="00342F63"/>
    <w:rsid w:val="00342FEF"/>
    <w:rsid w:val="00343021"/>
    <w:rsid w:val="0034302A"/>
    <w:rsid w:val="0034303E"/>
    <w:rsid w:val="00343051"/>
    <w:rsid w:val="0034306F"/>
    <w:rsid w:val="00343138"/>
    <w:rsid w:val="00343192"/>
    <w:rsid w:val="003431C1"/>
    <w:rsid w:val="003431E3"/>
    <w:rsid w:val="00343233"/>
    <w:rsid w:val="0034327C"/>
    <w:rsid w:val="00343323"/>
    <w:rsid w:val="0034334C"/>
    <w:rsid w:val="003433E8"/>
    <w:rsid w:val="0034344C"/>
    <w:rsid w:val="00343454"/>
    <w:rsid w:val="003434ED"/>
    <w:rsid w:val="003435CC"/>
    <w:rsid w:val="003435EE"/>
    <w:rsid w:val="00343608"/>
    <w:rsid w:val="00343633"/>
    <w:rsid w:val="0034367F"/>
    <w:rsid w:val="00343689"/>
    <w:rsid w:val="003436A5"/>
    <w:rsid w:val="0034371A"/>
    <w:rsid w:val="00343720"/>
    <w:rsid w:val="00343796"/>
    <w:rsid w:val="00343845"/>
    <w:rsid w:val="0034384D"/>
    <w:rsid w:val="0034386B"/>
    <w:rsid w:val="003438D5"/>
    <w:rsid w:val="00343984"/>
    <w:rsid w:val="00343A18"/>
    <w:rsid w:val="00343A27"/>
    <w:rsid w:val="00343A74"/>
    <w:rsid w:val="00343AA5"/>
    <w:rsid w:val="00343AB3"/>
    <w:rsid w:val="00343AE0"/>
    <w:rsid w:val="00343B17"/>
    <w:rsid w:val="00343B1D"/>
    <w:rsid w:val="00343B45"/>
    <w:rsid w:val="00343BAC"/>
    <w:rsid w:val="00343BE3"/>
    <w:rsid w:val="00343C08"/>
    <w:rsid w:val="00343C53"/>
    <w:rsid w:val="00343CD5"/>
    <w:rsid w:val="00343D35"/>
    <w:rsid w:val="00343D47"/>
    <w:rsid w:val="00343D5C"/>
    <w:rsid w:val="00343D8B"/>
    <w:rsid w:val="00343D8C"/>
    <w:rsid w:val="00343DD0"/>
    <w:rsid w:val="00343DD4"/>
    <w:rsid w:val="00343E0F"/>
    <w:rsid w:val="00343E45"/>
    <w:rsid w:val="00343E91"/>
    <w:rsid w:val="00343EA3"/>
    <w:rsid w:val="00343EA4"/>
    <w:rsid w:val="00343F4D"/>
    <w:rsid w:val="00343FF7"/>
    <w:rsid w:val="0034400A"/>
    <w:rsid w:val="0034400C"/>
    <w:rsid w:val="00344010"/>
    <w:rsid w:val="00344037"/>
    <w:rsid w:val="00344059"/>
    <w:rsid w:val="003440B9"/>
    <w:rsid w:val="0034418D"/>
    <w:rsid w:val="003441C4"/>
    <w:rsid w:val="003441F3"/>
    <w:rsid w:val="003441F6"/>
    <w:rsid w:val="00344220"/>
    <w:rsid w:val="00344236"/>
    <w:rsid w:val="0034423A"/>
    <w:rsid w:val="00344251"/>
    <w:rsid w:val="003442B7"/>
    <w:rsid w:val="003442CA"/>
    <w:rsid w:val="003442F5"/>
    <w:rsid w:val="00344337"/>
    <w:rsid w:val="00344341"/>
    <w:rsid w:val="00344387"/>
    <w:rsid w:val="003443BB"/>
    <w:rsid w:val="003443E9"/>
    <w:rsid w:val="00344416"/>
    <w:rsid w:val="00344434"/>
    <w:rsid w:val="00344445"/>
    <w:rsid w:val="00344547"/>
    <w:rsid w:val="00344558"/>
    <w:rsid w:val="00344585"/>
    <w:rsid w:val="003445E2"/>
    <w:rsid w:val="003445E3"/>
    <w:rsid w:val="0034464A"/>
    <w:rsid w:val="00344655"/>
    <w:rsid w:val="00344701"/>
    <w:rsid w:val="00344779"/>
    <w:rsid w:val="00344782"/>
    <w:rsid w:val="003447C4"/>
    <w:rsid w:val="0034483B"/>
    <w:rsid w:val="0034484F"/>
    <w:rsid w:val="00344873"/>
    <w:rsid w:val="00344939"/>
    <w:rsid w:val="0034494C"/>
    <w:rsid w:val="00344A02"/>
    <w:rsid w:val="00344A0F"/>
    <w:rsid w:val="00344ACC"/>
    <w:rsid w:val="00344AD4"/>
    <w:rsid w:val="00344B37"/>
    <w:rsid w:val="00344B4B"/>
    <w:rsid w:val="00344BB2"/>
    <w:rsid w:val="00344C02"/>
    <w:rsid w:val="00344C8A"/>
    <w:rsid w:val="00344C92"/>
    <w:rsid w:val="00344CA7"/>
    <w:rsid w:val="00344CA8"/>
    <w:rsid w:val="00344CFB"/>
    <w:rsid w:val="00344D21"/>
    <w:rsid w:val="00344D5B"/>
    <w:rsid w:val="00344D83"/>
    <w:rsid w:val="00344DDF"/>
    <w:rsid w:val="00344E08"/>
    <w:rsid w:val="00344E38"/>
    <w:rsid w:val="00344EEF"/>
    <w:rsid w:val="00344F17"/>
    <w:rsid w:val="00344F3D"/>
    <w:rsid w:val="00344F52"/>
    <w:rsid w:val="00344F86"/>
    <w:rsid w:val="00344F9F"/>
    <w:rsid w:val="00345011"/>
    <w:rsid w:val="00345020"/>
    <w:rsid w:val="0034503A"/>
    <w:rsid w:val="003450AE"/>
    <w:rsid w:val="003450EE"/>
    <w:rsid w:val="003450F2"/>
    <w:rsid w:val="00345144"/>
    <w:rsid w:val="0034515D"/>
    <w:rsid w:val="003451D4"/>
    <w:rsid w:val="003451EF"/>
    <w:rsid w:val="003451F3"/>
    <w:rsid w:val="00345285"/>
    <w:rsid w:val="003452FE"/>
    <w:rsid w:val="00345366"/>
    <w:rsid w:val="003453AA"/>
    <w:rsid w:val="003453AB"/>
    <w:rsid w:val="003453B0"/>
    <w:rsid w:val="003453DE"/>
    <w:rsid w:val="003453E0"/>
    <w:rsid w:val="003453E3"/>
    <w:rsid w:val="003453E7"/>
    <w:rsid w:val="003453EA"/>
    <w:rsid w:val="00345415"/>
    <w:rsid w:val="00345416"/>
    <w:rsid w:val="00345443"/>
    <w:rsid w:val="00345457"/>
    <w:rsid w:val="0034545E"/>
    <w:rsid w:val="003454DE"/>
    <w:rsid w:val="003454E5"/>
    <w:rsid w:val="0034554D"/>
    <w:rsid w:val="003455A3"/>
    <w:rsid w:val="003455FC"/>
    <w:rsid w:val="0034563B"/>
    <w:rsid w:val="00345661"/>
    <w:rsid w:val="0034566D"/>
    <w:rsid w:val="00345687"/>
    <w:rsid w:val="003456C6"/>
    <w:rsid w:val="0034571C"/>
    <w:rsid w:val="00345741"/>
    <w:rsid w:val="00345758"/>
    <w:rsid w:val="00345824"/>
    <w:rsid w:val="00345846"/>
    <w:rsid w:val="0034585D"/>
    <w:rsid w:val="00345864"/>
    <w:rsid w:val="003458E5"/>
    <w:rsid w:val="00345902"/>
    <w:rsid w:val="0034590B"/>
    <w:rsid w:val="0034590C"/>
    <w:rsid w:val="00345910"/>
    <w:rsid w:val="0034593A"/>
    <w:rsid w:val="003459CF"/>
    <w:rsid w:val="00345A39"/>
    <w:rsid w:val="00345A44"/>
    <w:rsid w:val="00345AC3"/>
    <w:rsid w:val="00345AE2"/>
    <w:rsid w:val="00345B19"/>
    <w:rsid w:val="00345C02"/>
    <w:rsid w:val="00345C3C"/>
    <w:rsid w:val="00345CA0"/>
    <w:rsid w:val="00345CA4"/>
    <w:rsid w:val="00345D5A"/>
    <w:rsid w:val="00345D6E"/>
    <w:rsid w:val="00345D8D"/>
    <w:rsid w:val="00345E50"/>
    <w:rsid w:val="00345EAE"/>
    <w:rsid w:val="00345EEC"/>
    <w:rsid w:val="00345EFF"/>
    <w:rsid w:val="00345F2D"/>
    <w:rsid w:val="00345F2F"/>
    <w:rsid w:val="00345F31"/>
    <w:rsid w:val="00345F6F"/>
    <w:rsid w:val="00345F90"/>
    <w:rsid w:val="00345FA6"/>
    <w:rsid w:val="00345FFA"/>
    <w:rsid w:val="0034602A"/>
    <w:rsid w:val="0034608F"/>
    <w:rsid w:val="003460E8"/>
    <w:rsid w:val="003460F3"/>
    <w:rsid w:val="0034619C"/>
    <w:rsid w:val="003461DA"/>
    <w:rsid w:val="003461FD"/>
    <w:rsid w:val="00346257"/>
    <w:rsid w:val="0034636C"/>
    <w:rsid w:val="003463A1"/>
    <w:rsid w:val="003463A3"/>
    <w:rsid w:val="003463AD"/>
    <w:rsid w:val="003463D4"/>
    <w:rsid w:val="003463D9"/>
    <w:rsid w:val="003463DB"/>
    <w:rsid w:val="0034643C"/>
    <w:rsid w:val="0034646C"/>
    <w:rsid w:val="00346475"/>
    <w:rsid w:val="00346478"/>
    <w:rsid w:val="00346489"/>
    <w:rsid w:val="003464F3"/>
    <w:rsid w:val="00346569"/>
    <w:rsid w:val="00346577"/>
    <w:rsid w:val="003465EB"/>
    <w:rsid w:val="0034662D"/>
    <w:rsid w:val="00346638"/>
    <w:rsid w:val="0034664F"/>
    <w:rsid w:val="00346653"/>
    <w:rsid w:val="00346659"/>
    <w:rsid w:val="003466F0"/>
    <w:rsid w:val="003466F9"/>
    <w:rsid w:val="00346749"/>
    <w:rsid w:val="003467DE"/>
    <w:rsid w:val="003467E4"/>
    <w:rsid w:val="0034683D"/>
    <w:rsid w:val="00346896"/>
    <w:rsid w:val="0034697C"/>
    <w:rsid w:val="003469FC"/>
    <w:rsid w:val="003469FD"/>
    <w:rsid w:val="00346A00"/>
    <w:rsid w:val="00346A0E"/>
    <w:rsid w:val="00346A15"/>
    <w:rsid w:val="00346A1A"/>
    <w:rsid w:val="00346A2B"/>
    <w:rsid w:val="00346A8E"/>
    <w:rsid w:val="00346AA0"/>
    <w:rsid w:val="00346B0F"/>
    <w:rsid w:val="00346B1F"/>
    <w:rsid w:val="00346B80"/>
    <w:rsid w:val="00346B91"/>
    <w:rsid w:val="00346BCE"/>
    <w:rsid w:val="00346C13"/>
    <w:rsid w:val="00346C17"/>
    <w:rsid w:val="00346C44"/>
    <w:rsid w:val="00346C57"/>
    <w:rsid w:val="00346CBB"/>
    <w:rsid w:val="00346D0E"/>
    <w:rsid w:val="00346D1F"/>
    <w:rsid w:val="00346DE7"/>
    <w:rsid w:val="00346E29"/>
    <w:rsid w:val="00346E7C"/>
    <w:rsid w:val="00346E83"/>
    <w:rsid w:val="00346EA6"/>
    <w:rsid w:val="00346F48"/>
    <w:rsid w:val="00346F82"/>
    <w:rsid w:val="00346F91"/>
    <w:rsid w:val="00346FC6"/>
    <w:rsid w:val="00346FD0"/>
    <w:rsid w:val="00347014"/>
    <w:rsid w:val="00347032"/>
    <w:rsid w:val="00347093"/>
    <w:rsid w:val="003470ED"/>
    <w:rsid w:val="00347112"/>
    <w:rsid w:val="00347154"/>
    <w:rsid w:val="00347187"/>
    <w:rsid w:val="003471F4"/>
    <w:rsid w:val="00347200"/>
    <w:rsid w:val="00347222"/>
    <w:rsid w:val="00347252"/>
    <w:rsid w:val="0034725D"/>
    <w:rsid w:val="003472CC"/>
    <w:rsid w:val="00347310"/>
    <w:rsid w:val="00347372"/>
    <w:rsid w:val="0034738B"/>
    <w:rsid w:val="00347407"/>
    <w:rsid w:val="00347474"/>
    <w:rsid w:val="00347517"/>
    <w:rsid w:val="0034756E"/>
    <w:rsid w:val="00347579"/>
    <w:rsid w:val="00347598"/>
    <w:rsid w:val="00347619"/>
    <w:rsid w:val="00347624"/>
    <w:rsid w:val="003476DA"/>
    <w:rsid w:val="0034771B"/>
    <w:rsid w:val="003477A7"/>
    <w:rsid w:val="003477EF"/>
    <w:rsid w:val="00347896"/>
    <w:rsid w:val="003478A4"/>
    <w:rsid w:val="003478AF"/>
    <w:rsid w:val="003478B0"/>
    <w:rsid w:val="00347940"/>
    <w:rsid w:val="00347959"/>
    <w:rsid w:val="00347963"/>
    <w:rsid w:val="003479E4"/>
    <w:rsid w:val="003479EA"/>
    <w:rsid w:val="003479F6"/>
    <w:rsid w:val="00347A4C"/>
    <w:rsid w:val="00347A7B"/>
    <w:rsid w:val="00347ABC"/>
    <w:rsid w:val="00347AC9"/>
    <w:rsid w:val="00347B28"/>
    <w:rsid w:val="00347B51"/>
    <w:rsid w:val="00347B7C"/>
    <w:rsid w:val="00347BA8"/>
    <w:rsid w:val="00347BF1"/>
    <w:rsid w:val="00347C2A"/>
    <w:rsid w:val="00347C7B"/>
    <w:rsid w:val="00347C9D"/>
    <w:rsid w:val="00347D1D"/>
    <w:rsid w:val="00347D5F"/>
    <w:rsid w:val="00347D7F"/>
    <w:rsid w:val="00347D89"/>
    <w:rsid w:val="00347E92"/>
    <w:rsid w:val="00347E93"/>
    <w:rsid w:val="00347E94"/>
    <w:rsid w:val="00347F29"/>
    <w:rsid w:val="00347F6B"/>
    <w:rsid w:val="00347F75"/>
    <w:rsid w:val="00347F83"/>
    <w:rsid w:val="00347FA2"/>
    <w:rsid w:val="00347FD6"/>
    <w:rsid w:val="00347FFD"/>
    <w:rsid w:val="0035003B"/>
    <w:rsid w:val="00350043"/>
    <w:rsid w:val="00350074"/>
    <w:rsid w:val="0035009E"/>
    <w:rsid w:val="003500F0"/>
    <w:rsid w:val="00350123"/>
    <w:rsid w:val="0035013A"/>
    <w:rsid w:val="0035015C"/>
    <w:rsid w:val="0035015E"/>
    <w:rsid w:val="003501D2"/>
    <w:rsid w:val="00350239"/>
    <w:rsid w:val="00350243"/>
    <w:rsid w:val="00350257"/>
    <w:rsid w:val="00350277"/>
    <w:rsid w:val="00350308"/>
    <w:rsid w:val="00350382"/>
    <w:rsid w:val="00350385"/>
    <w:rsid w:val="003503CD"/>
    <w:rsid w:val="0035046F"/>
    <w:rsid w:val="003504A6"/>
    <w:rsid w:val="003504A9"/>
    <w:rsid w:val="003504B6"/>
    <w:rsid w:val="003504B9"/>
    <w:rsid w:val="003504E6"/>
    <w:rsid w:val="0035052E"/>
    <w:rsid w:val="00350539"/>
    <w:rsid w:val="003505D9"/>
    <w:rsid w:val="003505E3"/>
    <w:rsid w:val="00350653"/>
    <w:rsid w:val="003506B7"/>
    <w:rsid w:val="00350722"/>
    <w:rsid w:val="0035072B"/>
    <w:rsid w:val="003507D6"/>
    <w:rsid w:val="00350804"/>
    <w:rsid w:val="0035083D"/>
    <w:rsid w:val="0035085B"/>
    <w:rsid w:val="0035088E"/>
    <w:rsid w:val="00350931"/>
    <w:rsid w:val="00350962"/>
    <w:rsid w:val="003509A9"/>
    <w:rsid w:val="003509C0"/>
    <w:rsid w:val="003509C8"/>
    <w:rsid w:val="003509E2"/>
    <w:rsid w:val="00350A08"/>
    <w:rsid w:val="00350A16"/>
    <w:rsid w:val="00350A38"/>
    <w:rsid w:val="00350A51"/>
    <w:rsid w:val="00350B3A"/>
    <w:rsid w:val="00350B74"/>
    <w:rsid w:val="00350B95"/>
    <w:rsid w:val="00350B97"/>
    <w:rsid w:val="00350BF3"/>
    <w:rsid w:val="00350BFB"/>
    <w:rsid w:val="00350CAC"/>
    <w:rsid w:val="00350D28"/>
    <w:rsid w:val="00350D7A"/>
    <w:rsid w:val="00350DA5"/>
    <w:rsid w:val="00350E62"/>
    <w:rsid w:val="00350E82"/>
    <w:rsid w:val="00350E9C"/>
    <w:rsid w:val="00350EB7"/>
    <w:rsid w:val="00350EB9"/>
    <w:rsid w:val="00350EE8"/>
    <w:rsid w:val="00350EFD"/>
    <w:rsid w:val="00350F2E"/>
    <w:rsid w:val="00350F39"/>
    <w:rsid w:val="00350F55"/>
    <w:rsid w:val="00350F57"/>
    <w:rsid w:val="00350F8A"/>
    <w:rsid w:val="00350FC7"/>
    <w:rsid w:val="0035105A"/>
    <w:rsid w:val="00351080"/>
    <w:rsid w:val="003510C9"/>
    <w:rsid w:val="003510E0"/>
    <w:rsid w:val="003510F9"/>
    <w:rsid w:val="00351146"/>
    <w:rsid w:val="0035127F"/>
    <w:rsid w:val="003512E2"/>
    <w:rsid w:val="00351379"/>
    <w:rsid w:val="003513FC"/>
    <w:rsid w:val="00351435"/>
    <w:rsid w:val="0035143D"/>
    <w:rsid w:val="003514E0"/>
    <w:rsid w:val="0035150B"/>
    <w:rsid w:val="00351556"/>
    <w:rsid w:val="0035155A"/>
    <w:rsid w:val="0035159D"/>
    <w:rsid w:val="003516AE"/>
    <w:rsid w:val="003516E1"/>
    <w:rsid w:val="0035171D"/>
    <w:rsid w:val="003517DE"/>
    <w:rsid w:val="003517DF"/>
    <w:rsid w:val="0035182F"/>
    <w:rsid w:val="0035185C"/>
    <w:rsid w:val="00351864"/>
    <w:rsid w:val="0035196A"/>
    <w:rsid w:val="0035197A"/>
    <w:rsid w:val="00351A95"/>
    <w:rsid w:val="00351B1D"/>
    <w:rsid w:val="00351B6F"/>
    <w:rsid w:val="00351BEE"/>
    <w:rsid w:val="00351BFA"/>
    <w:rsid w:val="00351C4D"/>
    <w:rsid w:val="00351CD2"/>
    <w:rsid w:val="00351DB0"/>
    <w:rsid w:val="00351DC5"/>
    <w:rsid w:val="00351E07"/>
    <w:rsid w:val="00351E36"/>
    <w:rsid w:val="00351E3B"/>
    <w:rsid w:val="00351EA4"/>
    <w:rsid w:val="00351F1C"/>
    <w:rsid w:val="00351F23"/>
    <w:rsid w:val="00351FBE"/>
    <w:rsid w:val="00352037"/>
    <w:rsid w:val="0035205F"/>
    <w:rsid w:val="00352075"/>
    <w:rsid w:val="00352094"/>
    <w:rsid w:val="003520A2"/>
    <w:rsid w:val="003520D1"/>
    <w:rsid w:val="0035211E"/>
    <w:rsid w:val="00352124"/>
    <w:rsid w:val="0035218C"/>
    <w:rsid w:val="003521B3"/>
    <w:rsid w:val="003521DD"/>
    <w:rsid w:val="00352238"/>
    <w:rsid w:val="0035223B"/>
    <w:rsid w:val="00352243"/>
    <w:rsid w:val="0035224B"/>
    <w:rsid w:val="0035228A"/>
    <w:rsid w:val="003522E1"/>
    <w:rsid w:val="00352302"/>
    <w:rsid w:val="00352323"/>
    <w:rsid w:val="003523D4"/>
    <w:rsid w:val="00352429"/>
    <w:rsid w:val="00352440"/>
    <w:rsid w:val="00352458"/>
    <w:rsid w:val="00352475"/>
    <w:rsid w:val="003524C7"/>
    <w:rsid w:val="003524F1"/>
    <w:rsid w:val="0035253E"/>
    <w:rsid w:val="0035255E"/>
    <w:rsid w:val="00352569"/>
    <w:rsid w:val="003525CD"/>
    <w:rsid w:val="003525E1"/>
    <w:rsid w:val="003525F4"/>
    <w:rsid w:val="00352629"/>
    <w:rsid w:val="003526E9"/>
    <w:rsid w:val="003526FC"/>
    <w:rsid w:val="0035279F"/>
    <w:rsid w:val="003527A4"/>
    <w:rsid w:val="003527B9"/>
    <w:rsid w:val="003527E8"/>
    <w:rsid w:val="00352854"/>
    <w:rsid w:val="00352866"/>
    <w:rsid w:val="003528C3"/>
    <w:rsid w:val="003528CF"/>
    <w:rsid w:val="003528D4"/>
    <w:rsid w:val="00352917"/>
    <w:rsid w:val="00352947"/>
    <w:rsid w:val="0035296F"/>
    <w:rsid w:val="0035298B"/>
    <w:rsid w:val="003529AB"/>
    <w:rsid w:val="003529DC"/>
    <w:rsid w:val="003529E5"/>
    <w:rsid w:val="00352A54"/>
    <w:rsid w:val="00352A62"/>
    <w:rsid w:val="00352A87"/>
    <w:rsid w:val="00352A89"/>
    <w:rsid w:val="00352B30"/>
    <w:rsid w:val="00352BC5"/>
    <w:rsid w:val="00352BF5"/>
    <w:rsid w:val="00352C14"/>
    <w:rsid w:val="00352C77"/>
    <w:rsid w:val="00352C99"/>
    <w:rsid w:val="00352CC1"/>
    <w:rsid w:val="00352CC7"/>
    <w:rsid w:val="00352D7B"/>
    <w:rsid w:val="00352D8C"/>
    <w:rsid w:val="00352E2B"/>
    <w:rsid w:val="00352E7D"/>
    <w:rsid w:val="00352EA4"/>
    <w:rsid w:val="00352F08"/>
    <w:rsid w:val="00352F1F"/>
    <w:rsid w:val="00352F37"/>
    <w:rsid w:val="00352F73"/>
    <w:rsid w:val="00352F9D"/>
    <w:rsid w:val="0035309F"/>
    <w:rsid w:val="003530A1"/>
    <w:rsid w:val="00353126"/>
    <w:rsid w:val="0035312E"/>
    <w:rsid w:val="003531D0"/>
    <w:rsid w:val="0035323A"/>
    <w:rsid w:val="0035325B"/>
    <w:rsid w:val="0035326F"/>
    <w:rsid w:val="0035327E"/>
    <w:rsid w:val="0035328A"/>
    <w:rsid w:val="00353309"/>
    <w:rsid w:val="00353313"/>
    <w:rsid w:val="00353316"/>
    <w:rsid w:val="0035340C"/>
    <w:rsid w:val="00353427"/>
    <w:rsid w:val="00353435"/>
    <w:rsid w:val="003534C2"/>
    <w:rsid w:val="003534F3"/>
    <w:rsid w:val="00353513"/>
    <w:rsid w:val="00353541"/>
    <w:rsid w:val="00353645"/>
    <w:rsid w:val="0035368A"/>
    <w:rsid w:val="00353749"/>
    <w:rsid w:val="0035374B"/>
    <w:rsid w:val="00353793"/>
    <w:rsid w:val="003537AD"/>
    <w:rsid w:val="003537B8"/>
    <w:rsid w:val="00353817"/>
    <w:rsid w:val="0035381E"/>
    <w:rsid w:val="00353833"/>
    <w:rsid w:val="00353835"/>
    <w:rsid w:val="0035384C"/>
    <w:rsid w:val="0035384D"/>
    <w:rsid w:val="00353941"/>
    <w:rsid w:val="00353A8D"/>
    <w:rsid w:val="00353B06"/>
    <w:rsid w:val="00353B1A"/>
    <w:rsid w:val="00353B4E"/>
    <w:rsid w:val="00353B75"/>
    <w:rsid w:val="00353B99"/>
    <w:rsid w:val="00353BA5"/>
    <w:rsid w:val="00353BE6"/>
    <w:rsid w:val="00353CB8"/>
    <w:rsid w:val="00353D0E"/>
    <w:rsid w:val="00353D4E"/>
    <w:rsid w:val="00353D61"/>
    <w:rsid w:val="00353DB4"/>
    <w:rsid w:val="00353DF3"/>
    <w:rsid w:val="00353E21"/>
    <w:rsid w:val="00353E50"/>
    <w:rsid w:val="00353E82"/>
    <w:rsid w:val="00353F7C"/>
    <w:rsid w:val="0035402F"/>
    <w:rsid w:val="00354099"/>
    <w:rsid w:val="003540D4"/>
    <w:rsid w:val="00354118"/>
    <w:rsid w:val="003541C2"/>
    <w:rsid w:val="0035424D"/>
    <w:rsid w:val="00354278"/>
    <w:rsid w:val="003542EA"/>
    <w:rsid w:val="003542FE"/>
    <w:rsid w:val="00354349"/>
    <w:rsid w:val="00354356"/>
    <w:rsid w:val="00354426"/>
    <w:rsid w:val="00354479"/>
    <w:rsid w:val="0035448B"/>
    <w:rsid w:val="003544EA"/>
    <w:rsid w:val="003544FF"/>
    <w:rsid w:val="0035454A"/>
    <w:rsid w:val="0035459F"/>
    <w:rsid w:val="00354664"/>
    <w:rsid w:val="00354693"/>
    <w:rsid w:val="00354764"/>
    <w:rsid w:val="0035477B"/>
    <w:rsid w:val="003547DB"/>
    <w:rsid w:val="0035486D"/>
    <w:rsid w:val="00354875"/>
    <w:rsid w:val="003548D8"/>
    <w:rsid w:val="0035490B"/>
    <w:rsid w:val="00354929"/>
    <w:rsid w:val="0035493F"/>
    <w:rsid w:val="00354976"/>
    <w:rsid w:val="003549A7"/>
    <w:rsid w:val="00354A42"/>
    <w:rsid w:val="00354A5C"/>
    <w:rsid w:val="00354ABB"/>
    <w:rsid w:val="00354B3D"/>
    <w:rsid w:val="00354B7E"/>
    <w:rsid w:val="00354B9B"/>
    <w:rsid w:val="00354C13"/>
    <w:rsid w:val="00354C9B"/>
    <w:rsid w:val="00354CFD"/>
    <w:rsid w:val="00354D81"/>
    <w:rsid w:val="00354E24"/>
    <w:rsid w:val="00354E45"/>
    <w:rsid w:val="00354EB3"/>
    <w:rsid w:val="00354F01"/>
    <w:rsid w:val="00354F37"/>
    <w:rsid w:val="00354F6A"/>
    <w:rsid w:val="00354F71"/>
    <w:rsid w:val="00354FB8"/>
    <w:rsid w:val="00354FC7"/>
    <w:rsid w:val="00354FE9"/>
    <w:rsid w:val="0035505C"/>
    <w:rsid w:val="00355098"/>
    <w:rsid w:val="003550F5"/>
    <w:rsid w:val="003550F8"/>
    <w:rsid w:val="003550FA"/>
    <w:rsid w:val="00355112"/>
    <w:rsid w:val="00355164"/>
    <w:rsid w:val="0035517C"/>
    <w:rsid w:val="00355190"/>
    <w:rsid w:val="003551AD"/>
    <w:rsid w:val="003551F1"/>
    <w:rsid w:val="00355262"/>
    <w:rsid w:val="00355267"/>
    <w:rsid w:val="00355278"/>
    <w:rsid w:val="0035529B"/>
    <w:rsid w:val="003552EC"/>
    <w:rsid w:val="003552FA"/>
    <w:rsid w:val="003552FE"/>
    <w:rsid w:val="0035537A"/>
    <w:rsid w:val="0035537C"/>
    <w:rsid w:val="0035539A"/>
    <w:rsid w:val="003553AE"/>
    <w:rsid w:val="003553B9"/>
    <w:rsid w:val="00355479"/>
    <w:rsid w:val="003554C8"/>
    <w:rsid w:val="003554E6"/>
    <w:rsid w:val="0035556F"/>
    <w:rsid w:val="00355639"/>
    <w:rsid w:val="0035563A"/>
    <w:rsid w:val="00355648"/>
    <w:rsid w:val="00355653"/>
    <w:rsid w:val="00355665"/>
    <w:rsid w:val="003556A4"/>
    <w:rsid w:val="003556A5"/>
    <w:rsid w:val="003556E6"/>
    <w:rsid w:val="00355720"/>
    <w:rsid w:val="00355751"/>
    <w:rsid w:val="003557F8"/>
    <w:rsid w:val="00355821"/>
    <w:rsid w:val="00355A89"/>
    <w:rsid w:val="00355AC8"/>
    <w:rsid w:val="00355B7B"/>
    <w:rsid w:val="00355B93"/>
    <w:rsid w:val="00355BAF"/>
    <w:rsid w:val="00355C08"/>
    <w:rsid w:val="00355C4F"/>
    <w:rsid w:val="00355CAF"/>
    <w:rsid w:val="00355CCD"/>
    <w:rsid w:val="00355D04"/>
    <w:rsid w:val="00355D19"/>
    <w:rsid w:val="00355DC5"/>
    <w:rsid w:val="00355DD0"/>
    <w:rsid w:val="00355DF5"/>
    <w:rsid w:val="00355E6F"/>
    <w:rsid w:val="00355E98"/>
    <w:rsid w:val="00355EEC"/>
    <w:rsid w:val="00355F68"/>
    <w:rsid w:val="00355F86"/>
    <w:rsid w:val="00355FEB"/>
    <w:rsid w:val="00356009"/>
    <w:rsid w:val="0035604A"/>
    <w:rsid w:val="0035607D"/>
    <w:rsid w:val="00356096"/>
    <w:rsid w:val="003560AC"/>
    <w:rsid w:val="003560B3"/>
    <w:rsid w:val="003560B9"/>
    <w:rsid w:val="0035613C"/>
    <w:rsid w:val="003561AD"/>
    <w:rsid w:val="003561BE"/>
    <w:rsid w:val="003561D1"/>
    <w:rsid w:val="003561E1"/>
    <w:rsid w:val="00356253"/>
    <w:rsid w:val="00356288"/>
    <w:rsid w:val="00356297"/>
    <w:rsid w:val="003562E7"/>
    <w:rsid w:val="003562F5"/>
    <w:rsid w:val="0035631D"/>
    <w:rsid w:val="00356366"/>
    <w:rsid w:val="003563AD"/>
    <w:rsid w:val="003563FF"/>
    <w:rsid w:val="00356444"/>
    <w:rsid w:val="00356453"/>
    <w:rsid w:val="00356464"/>
    <w:rsid w:val="003564B0"/>
    <w:rsid w:val="0035652D"/>
    <w:rsid w:val="0035654C"/>
    <w:rsid w:val="00356551"/>
    <w:rsid w:val="00356591"/>
    <w:rsid w:val="00356594"/>
    <w:rsid w:val="003565EF"/>
    <w:rsid w:val="0035662A"/>
    <w:rsid w:val="00356698"/>
    <w:rsid w:val="003566A4"/>
    <w:rsid w:val="003566D8"/>
    <w:rsid w:val="003566F5"/>
    <w:rsid w:val="003566FE"/>
    <w:rsid w:val="0035671A"/>
    <w:rsid w:val="003567C1"/>
    <w:rsid w:val="0035684B"/>
    <w:rsid w:val="0035692B"/>
    <w:rsid w:val="00356941"/>
    <w:rsid w:val="003569DD"/>
    <w:rsid w:val="003569F4"/>
    <w:rsid w:val="00356A28"/>
    <w:rsid w:val="00356A46"/>
    <w:rsid w:val="00356A69"/>
    <w:rsid w:val="00356A94"/>
    <w:rsid w:val="00356AAC"/>
    <w:rsid w:val="00356BA5"/>
    <w:rsid w:val="00356BE7"/>
    <w:rsid w:val="00356C47"/>
    <w:rsid w:val="00356C92"/>
    <w:rsid w:val="00356CAA"/>
    <w:rsid w:val="00356CE8"/>
    <w:rsid w:val="00356D28"/>
    <w:rsid w:val="00356D80"/>
    <w:rsid w:val="00356DC2"/>
    <w:rsid w:val="00356E2B"/>
    <w:rsid w:val="00356E84"/>
    <w:rsid w:val="00356E90"/>
    <w:rsid w:val="00356E92"/>
    <w:rsid w:val="00356EBF"/>
    <w:rsid w:val="00356EC7"/>
    <w:rsid w:val="00356F04"/>
    <w:rsid w:val="00356F08"/>
    <w:rsid w:val="00356F20"/>
    <w:rsid w:val="00356F80"/>
    <w:rsid w:val="00356F8C"/>
    <w:rsid w:val="00356FA1"/>
    <w:rsid w:val="00356FAA"/>
    <w:rsid w:val="00356FF8"/>
    <w:rsid w:val="00357011"/>
    <w:rsid w:val="003570D0"/>
    <w:rsid w:val="0035710C"/>
    <w:rsid w:val="00357196"/>
    <w:rsid w:val="003571D1"/>
    <w:rsid w:val="003571EE"/>
    <w:rsid w:val="003571F0"/>
    <w:rsid w:val="003571FB"/>
    <w:rsid w:val="00357263"/>
    <w:rsid w:val="00357288"/>
    <w:rsid w:val="00357293"/>
    <w:rsid w:val="00357326"/>
    <w:rsid w:val="00357348"/>
    <w:rsid w:val="003573E8"/>
    <w:rsid w:val="00357467"/>
    <w:rsid w:val="003574B3"/>
    <w:rsid w:val="003574F3"/>
    <w:rsid w:val="00357523"/>
    <w:rsid w:val="00357533"/>
    <w:rsid w:val="0035753E"/>
    <w:rsid w:val="003575ED"/>
    <w:rsid w:val="003575F8"/>
    <w:rsid w:val="00357656"/>
    <w:rsid w:val="00357657"/>
    <w:rsid w:val="003576F0"/>
    <w:rsid w:val="003576FF"/>
    <w:rsid w:val="00357736"/>
    <w:rsid w:val="00357738"/>
    <w:rsid w:val="0035774C"/>
    <w:rsid w:val="00357758"/>
    <w:rsid w:val="003577FF"/>
    <w:rsid w:val="0035783B"/>
    <w:rsid w:val="0035786D"/>
    <w:rsid w:val="003578A5"/>
    <w:rsid w:val="003578ED"/>
    <w:rsid w:val="00357910"/>
    <w:rsid w:val="0035791E"/>
    <w:rsid w:val="00357979"/>
    <w:rsid w:val="00357AC1"/>
    <w:rsid w:val="00357AE2"/>
    <w:rsid w:val="00357B5C"/>
    <w:rsid w:val="00357B9D"/>
    <w:rsid w:val="00357C4E"/>
    <w:rsid w:val="00357CDA"/>
    <w:rsid w:val="00357DA4"/>
    <w:rsid w:val="00357E2F"/>
    <w:rsid w:val="00357E6C"/>
    <w:rsid w:val="00357E75"/>
    <w:rsid w:val="00357EAD"/>
    <w:rsid w:val="00357EBE"/>
    <w:rsid w:val="00357EC8"/>
    <w:rsid w:val="00357F4B"/>
    <w:rsid w:val="00357FF2"/>
    <w:rsid w:val="00360007"/>
    <w:rsid w:val="00360049"/>
    <w:rsid w:val="00360073"/>
    <w:rsid w:val="003600BA"/>
    <w:rsid w:val="00360171"/>
    <w:rsid w:val="00360176"/>
    <w:rsid w:val="003601A0"/>
    <w:rsid w:val="00360231"/>
    <w:rsid w:val="0036023A"/>
    <w:rsid w:val="00360290"/>
    <w:rsid w:val="00360291"/>
    <w:rsid w:val="0036029E"/>
    <w:rsid w:val="003602B2"/>
    <w:rsid w:val="00360310"/>
    <w:rsid w:val="0036031A"/>
    <w:rsid w:val="0036034E"/>
    <w:rsid w:val="003603F8"/>
    <w:rsid w:val="003603F9"/>
    <w:rsid w:val="00360408"/>
    <w:rsid w:val="0036040B"/>
    <w:rsid w:val="0036043A"/>
    <w:rsid w:val="00360457"/>
    <w:rsid w:val="0036047C"/>
    <w:rsid w:val="00360482"/>
    <w:rsid w:val="00360494"/>
    <w:rsid w:val="0036049B"/>
    <w:rsid w:val="003604A2"/>
    <w:rsid w:val="003604CE"/>
    <w:rsid w:val="003604FA"/>
    <w:rsid w:val="00360560"/>
    <w:rsid w:val="00360579"/>
    <w:rsid w:val="00360590"/>
    <w:rsid w:val="0036059E"/>
    <w:rsid w:val="003605A2"/>
    <w:rsid w:val="003605BD"/>
    <w:rsid w:val="003605C5"/>
    <w:rsid w:val="003605E9"/>
    <w:rsid w:val="00360655"/>
    <w:rsid w:val="00360671"/>
    <w:rsid w:val="0036068F"/>
    <w:rsid w:val="003606A2"/>
    <w:rsid w:val="003606F6"/>
    <w:rsid w:val="00360757"/>
    <w:rsid w:val="0036075F"/>
    <w:rsid w:val="00360782"/>
    <w:rsid w:val="0036078D"/>
    <w:rsid w:val="0036084C"/>
    <w:rsid w:val="00360872"/>
    <w:rsid w:val="00360895"/>
    <w:rsid w:val="003608BB"/>
    <w:rsid w:val="003608CE"/>
    <w:rsid w:val="0036091D"/>
    <w:rsid w:val="00360961"/>
    <w:rsid w:val="00360A28"/>
    <w:rsid w:val="00360A4D"/>
    <w:rsid w:val="00360A5B"/>
    <w:rsid w:val="00360AA4"/>
    <w:rsid w:val="00360B17"/>
    <w:rsid w:val="00360B23"/>
    <w:rsid w:val="00360B5E"/>
    <w:rsid w:val="00360B8B"/>
    <w:rsid w:val="00360BEE"/>
    <w:rsid w:val="00360BF7"/>
    <w:rsid w:val="00360C3C"/>
    <w:rsid w:val="00360CA5"/>
    <w:rsid w:val="00360CBE"/>
    <w:rsid w:val="00360CCE"/>
    <w:rsid w:val="00360D35"/>
    <w:rsid w:val="00360E30"/>
    <w:rsid w:val="00360E52"/>
    <w:rsid w:val="00360E61"/>
    <w:rsid w:val="00360E83"/>
    <w:rsid w:val="00360EE6"/>
    <w:rsid w:val="00360F03"/>
    <w:rsid w:val="00360F04"/>
    <w:rsid w:val="00360F41"/>
    <w:rsid w:val="00360F47"/>
    <w:rsid w:val="00360F82"/>
    <w:rsid w:val="00360FCA"/>
    <w:rsid w:val="00360FDB"/>
    <w:rsid w:val="00360FF2"/>
    <w:rsid w:val="0036107E"/>
    <w:rsid w:val="003610A8"/>
    <w:rsid w:val="003610C1"/>
    <w:rsid w:val="003610F6"/>
    <w:rsid w:val="00361122"/>
    <w:rsid w:val="0036113C"/>
    <w:rsid w:val="00361148"/>
    <w:rsid w:val="00361281"/>
    <w:rsid w:val="0036129C"/>
    <w:rsid w:val="003612AE"/>
    <w:rsid w:val="003612E8"/>
    <w:rsid w:val="0036131F"/>
    <w:rsid w:val="00361368"/>
    <w:rsid w:val="00361376"/>
    <w:rsid w:val="0036138C"/>
    <w:rsid w:val="003613F0"/>
    <w:rsid w:val="003614A1"/>
    <w:rsid w:val="003614F0"/>
    <w:rsid w:val="00361549"/>
    <w:rsid w:val="00361585"/>
    <w:rsid w:val="00361587"/>
    <w:rsid w:val="003615A3"/>
    <w:rsid w:val="003615D6"/>
    <w:rsid w:val="003615DA"/>
    <w:rsid w:val="003615F7"/>
    <w:rsid w:val="0036161B"/>
    <w:rsid w:val="00361626"/>
    <w:rsid w:val="00361641"/>
    <w:rsid w:val="003616A8"/>
    <w:rsid w:val="003616AC"/>
    <w:rsid w:val="003616CB"/>
    <w:rsid w:val="003616F7"/>
    <w:rsid w:val="00361714"/>
    <w:rsid w:val="00361721"/>
    <w:rsid w:val="00361768"/>
    <w:rsid w:val="003617FA"/>
    <w:rsid w:val="00361853"/>
    <w:rsid w:val="003618BE"/>
    <w:rsid w:val="003618FB"/>
    <w:rsid w:val="003619A6"/>
    <w:rsid w:val="003619B9"/>
    <w:rsid w:val="00361A55"/>
    <w:rsid w:val="00361A7C"/>
    <w:rsid w:val="00361AC7"/>
    <w:rsid w:val="00361ADF"/>
    <w:rsid w:val="00361B1A"/>
    <w:rsid w:val="00361B3B"/>
    <w:rsid w:val="00361B44"/>
    <w:rsid w:val="00361B74"/>
    <w:rsid w:val="00361C74"/>
    <w:rsid w:val="00361C88"/>
    <w:rsid w:val="00361D2D"/>
    <w:rsid w:val="00361D61"/>
    <w:rsid w:val="00361D6A"/>
    <w:rsid w:val="00361D9A"/>
    <w:rsid w:val="00361DBE"/>
    <w:rsid w:val="00361E69"/>
    <w:rsid w:val="00361EA6"/>
    <w:rsid w:val="00361EE4"/>
    <w:rsid w:val="00362009"/>
    <w:rsid w:val="0036204B"/>
    <w:rsid w:val="00362091"/>
    <w:rsid w:val="00362130"/>
    <w:rsid w:val="00362363"/>
    <w:rsid w:val="003623B1"/>
    <w:rsid w:val="003623E9"/>
    <w:rsid w:val="00362459"/>
    <w:rsid w:val="00362504"/>
    <w:rsid w:val="00362508"/>
    <w:rsid w:val="00362531"/>
    <w:rsid w:val="00362576"/>
    <w:rsid w:val="003625D9"/>
    <w:rsid w:val="003625E0"/>
    <w:rsid w:val="003625F7"/>
    <w:rsid w:val="00362600"/>
    <w:rsid w:val="00362630"/>
    <w:rsid w:val="0036264B"/>
    <w:rsid w:val="003626AA"/>
    <w:rsid w:val="00362784"/>
    <w:rsid w:val="003627E2"/>
    <w:rsid w:val="0036281C"/>
    <w:rsid w:val="00362859"/>
    <w:rsid w:val="003628E1"/>
    <w:rsid w:val="003629FF"/>
    <w:rsid w:val="00362A06"/>
    <w:rsid w:val="00362A18"/>
    <w:rsid w:val="00362A23"/>
    <w:rsid w:val="00362A53"/>
    <w:rsid w:val="00362A8A"/>
    <w:rsid w:val="00362A8C"/>
    <w:rsid w:val="00362A97"/>
    <w:rsid w:val="00362AA1"/>
    <w:rsid w:val="00362AD4"/>
    <w:rsid w:val="00362AEA"/>
    <w:rsid w:val="00362B28"/>
    <w:rsid w:val="00362B30"/>
    <w:rsid w:val="00362B76"/>
    <w:rsid w:val="00362B85"/>
    <w:rsid w:val="00362B8D"/>
    <w:rsid w:val="00362BB8"/>
    <w:rsid w:val="00362BC0"/>
    <w:rsid w:val="00362BDF"/>
    <w:rsid w:val="00362BF7"/>
    <w:rsid w:val="00362C02"/>
    <w:rsid w:val="00362C4C"/>
    <w:rsid w:val="00362C8D"/>
    <w:rsid w:val="00362C95"/>
    <w:rsid w:val="00362CA7"/>
    <w:rsid w:val="00362CBB"/>
    <w:rsid w:val="00362CF8"/>
    <w:rsid w:val="00362D07"/>
    <w:rsid w:val="00362D0E"/>
    <w:rsid w:val="00362D5D"/>
    <w:rsid w:val="00362D8D"/>
    <w:rsid w:val="00362E1D"/>
    <w:rsid w:val="00362E37"/>
    <w:rsid w:val="00362E4E"/>
    <w:rsid w:val="00362E62"/>
    <w:rsid w:val="00362E97"/>
    <w:rsid w:val="00362EC7"/>
    <w:rsid w:val="00362F13"/>
    <w:rsid w:val="00362F15"/>
    <w:rsid w:val="00362F44"/>
    <w:rsid w:val="00362F4E"/>
    <w:rsid w:val="00362F83"/>
    <w:rsid w:val="00362FA4"/>
    <w:rsid w:val="00362FBE"/>
    <w:rsid w:val="00362FC1"/>
    <w:rsid w:val="00362FE3"/>
    <w:rsid w:val="00362FEA"/>
    <w:rsid w:val="00363018"/>
    <w:rsid w:val="0036304B"/>
    <w:rsid w:val="00363069"/>
    <w:rsid w:val="00363078"/>
    <w:rsid w:val="00363097"/>
    <w:rsid w:val="003630ED"/>
    <w:rsid w:val="00363111"/>
    <w:rsid w:val="0036311A"/>
    <w:rsid w:val="003631B1"/>
    <w:rsid w:val="003631B5"/>
    <w:rsid w:val="003631F7"/>
    <w:rsid w:val="00363206"/>
    <w:rsid w:val="00363207"/>
    <w:rsid w:val="0036330C"/>
    <w:rsid w:val="003633B4"/>
    <w:rsid w:val="003633E3"/>
    <w:rsid w:val="003633FC"/>
    <w:rsid w:val="0036340B"/>
    <w:rsid w:val="00363450"/>
    <w:rsid w:val="0036347C"/>
    <w:rsid w:val="003634A9"/>
    <w:rsid w:val="003634D7"/>
    <w:rsid w:val="003634E6"/>
    <w:rsid w:val="003634E8"/>
    <w:rsid w:val="0036358F"/>
    <w:rsid w:val="003635D2"/>
    <w:rsid w:val="003635D9"/>
    <w:rsid w:val="00363644"/>
    <w:rsid w:val="0036366F"/>
    <w:rsid w:val="0036371D"/>
    <w:rsid w:val="00363725"/>
    <w:rsid w:val="00363751"/>
    <w:rsid w:val="0036378E"/>
    <w:rsid w:val="00363871"/>
    <w:rsid w:val="003638A2"/>
    <w:rsid w:val="003638AE"/>
    <w:rsid w:val="003638CA"/>
    <w:rsid w:val="003638E4"/>
    <w:rsid w:val="003638E8"/>
    <w:rsid w:val="00363931"/>
    <w:rsid w:val="00363934"/>
    <w:rsid w:val="00363986"/>
    <w:rsid w:val="003639CF"/>
    <w:rsid w:val="00363A41"/>
    <w:rsid w:val="00363A4A"/>
    <w:rsid w:val="00363A4C"/>
    <w:rsid w:val="00363AAE"/>
    <w:rsid w:val="00363ABA"/>
    <w:rsid w:val="00363ABE"/>
    <w:rsid w:val="00363AD0"/>
    <w:rsid w:val="00363AEC"/>
    <w:rsid w:val="00363AFE"/>
    <w:rsid w:val="00363B1B"/>
    <w:rsid w:val="00363B25"/>
    <w:rsid w:val="00363B42"/>
    <w:rsid w:val="00363B91"/>
    <w:rsid w:val="00363BA4"/>
    <w:rsid w:val="00363BB9"/>
    <w:rsid w:val="00363C00"/>
    <w:rsid w:val="00363CE4"/>
    <w:rsid w:val="00363CEA"/>
    <w:rsid w:val="00363CFC"/>
    <w:rsid w:val="00363DD5"/>
    <w:rsid w:val="00363DD8"/>
    <w:rsid w:val="00363DE3"/>
    <w:rsid w:val="00363DEB"/>
    <w:rsid w:val="00363E57"/>
    <w:rsid w:val="00363EA8"/>
    <w:rsid w:val="00363F10"/>
    <w:rsid w:val="00363F1B"/>
    <w:rsid w:val="00363F5C"/>
    <w:rsid w:val="00364028"/>
    <w:rsid w:val="00364046"/>
    <w:rsid w:val="0036405D"/>
    <w:rsid w:val="00364063"/>
    <w:rsid w:val="00364080"/>
    <w:rsid w:val="003640B9"/>
    <w:rsid w:val="003640BD"/>
    <w:rsid w:val="0036410F"/>
    <w:rsid w:val="0036424F"/>
    <w:rsid w:val="00364307"/>
    <w:rsid w:val="0036431B"/>
    <w:rsid w:val="00364372"/>
    <w:rsid w:val="0036437D"/>
    <w:rsid w:val="003643B7"/>
    <w:rsid w:val="003643CE"/>
    <w:rsid w:val="003643FF"/>
    <w:rsid w:val="00364424"/>
    <w:rsid w:val="00364428"/>
    <w:rsid w:val="003644CD"/>
    <w:rsid w:val="003644CF"/>
    <w:rsid w:val="003645EE"/>
    <w:rsid w:val="00364642"/>
    <w:rsid w:val="00364660"/>
    <w:rsid w:val="003646AC"/>
    <w:rsid w:val="003646BC"/>
    <w:rsid w:val="003646F2"/>
    <w:rsid w:val="003646FD"/>
    <w:rsid w:val="0036472A"/>
    <w:rsid w:val="00364747"/>
    <w:rsid w:val="00364789"/>
    <w:rsid w:val="003647B9"/>
    <w:rsid w:val="003647D0"/>
    <w:rsid w:val="00364863"/>
    <w:rsid w:val="00364877"/>
    <w:rsid w:val="003648F3"/>
    <w:rsid w:val="00364908"/>
    <w:rsid w:val="0036493C"/>
    <w:rsid w:val="00364964"/>
    <w:rsid w:val="0036498C"/>
    <w:rsid w:val="003649A8"/>
    <w:rsid w:val="003649CD"/>
    <w:rsid w:val="00364A14"/>
    <w:rsid w:val="00364A23"/>
    <w:rsid w:val="00364A7F"/>
    <w:rsid w:val="00364AD2"/>
    <w:rsid w:val="00364ADA"/>
    <w:rsid w:val="00364B08"/>
    <w:rsid w:val="00364B0D"/>
    <w:rsid w:val="00364B55"/>
    <w:rsid w:val="00364B65"/>
    <w:rsid w:val="00364B69"/>
    <w:rsid w:val="00364B81"/>
    <w:rsid w:val="00364B8B"/>
    <w:rsid w:val="00364BCF"/>
    <w:rsid w:val="00364C50"/>
    <w:rsid w:val="00364C85"/>
    <w:rsid w:val="00364C91"/>
    <w:rsid w:val="00364CCA"/>
    <w:rsid w:val="00364D04"/>
    <w:rsid w:val="00364D0D"/>
    <w:rsid w:val="00364D3A"/>
    <w:rsid w:val="00364D76"/>
    <w:rsid w:val="00364D89"/>
    <w:rsid w:val="00364DD6"/>
    <w:rsid w:val="00364DF5"/>
    <w:rsid w:val="00364E24"/>
    <w:rsid w:val="00364E28"/>
    <w:rsid w:val="00364E33"/>
    <w:rsid w:val="00364E43"/>
    <w:rsid w:val="00364E4F"/>
    <w:rsid w:val="00364E97"/>
    <w:rsid w:val="00364EAB"/>
    <w:rsid w:val="00364EC4"/>
    <w:rsid w:val="00364ED0"/>
    <w:rsid w:val="00364ED6"/>
    <w:rsid w:val="00364EF6"/>
    <w:rsid w:val="00364FEB"/>
    <w:rsid w:val="00365006"/>
    <w:rsid w:val="00365029"/>
    <w:rsid w:val="00365113"/>
    <w:rsid w:val="00365170"/>
    <w:rsid w:val="00365172"/>
    <w:rsid w:val="00365180"/>
    <w:rsid w:val="003651AA"/>
    <w:rsid w:val="003651AD"/>
    <w:rsid w:val="003651BA"/>
    <w:rsid w:val="00365244"/>
    <w:rsid w:val="0036529D"/>
    <w:rsid w:val="003652F9"/>
    <w:rsid w:val="003653B4"/>
    <w:rsid w:val="00365412"/>
    <w:rsid w:val="00365460"/>
    <w:rsid w:val="0036549D"/>
    <w:rsid w:val="003654DB"/>
    <w:rsid w:val="003654FB"/>
    <w:rsid w:val="00365500"/>
    <w:rsid w:val="00365558"/>
    <w:rsid w:val="00365574"/>
    <w:rsid w:val="003655D6"/>
    <w:rsid w:val="00365608"/>
    <w:rsid w:val="0036566E"/>
    <w:rsid w:val="00365677"/>
    <w:rsid w:val="00365680"/>
    <w:rsid w:val="003656D1"/>
    <w:rsid w:val="003656D3"/>
    <w:rsid w:val="003656D6"/>
    <w:rsid w:val="003656E9"/>
    <w:rsid w:val="00365712"/>
    <w:rsid w:val="003657C3"/>
    <w:rsid w:val="003657D3"/>
    <w:rsid w:val="003657EE"/>
    <w:rsid w:val="0036585A"/>
    <w:rsid w:val="003658D9"/>
    <w:rsid w:val="0036595E"/>
    <w:rsid w:val="0036596F"/>
    <w:rsid w:val="00365987"/>
    <w:rsid w:val="003659F2"/>
    <w:rsid w:val="00365A34"/>
    <w:rsid w:val="00365A48"/>
    <w:rsid w:val="00365AB1"/>
    <w:rsid w:val="00365AB9"/>
    <w:rsid w:val="00365B4D"/>
    <w:rsid w:val="00365BCD"/>
    <w:rsid w:val="00365C43"/>
    <w:rsid w:val="00365C74"/>
    <w:rsid w:val="00365CF6"/>
    <w:rsid w:val="00365D64"/>
    <w:rsid w:val="00365D6F"/>
    <w:rsid w:val="00365D84"/>
    <w:rsid w:val="00365DDA"/>
    <w:rsid w:val="00365DFD"/>
    <w:rsid w:val="00365E78"/>
    <w:rsid w:val="00365E9D"/>
    <w:rsid w:val="00365EDB"/>
    <w:rsid w:val="00365EDE"/>
    <w:rsid w:val="00365F5F"/>
    <w:rsid w:val="00365F61"/>
    <w:rsid w:val="00365F6B"/>
    <w:rsid w:val="00365FF8"/>
    <w:rsid w:val="0036601A"/>
    <w:rsid w:val="0036606B"/>
    <w:rsid w:val="00366121"/>
    <w:rsid w:val="003661A5"/>
    <w:rsid w:val="003661D6"/>
    <w:rsid w:val="003661F5"/>
    <w:rsid w:val="00366208"/>
    <w:rsid w:val="00366218"/>
    <w:rsid w:val="00366240"/>
    <w:rsid w:val="00366242"/>
    <w:rsid w:val="00366296"/>
    <w:rsid w:val="0036629F"/>
    <w:rsid w:val="003662A2"/>
    <w:rsid w:val="003662A4"/>
    <w:rsid w:val="003662AF"/>
    <w:rsid w:val="0036634E"/>
    <w:rsid w:val="0036635E"/>
    <w:rsid w:val="00366397"/>
    <w:rsid w:val="003663BD"/>
    <w:rsid w:val="003663CC"/>
    <w:rsid w:val="003663CE"/>
    <w:rsid w:val="00366413"/>
    <w:rsid w:val="003664CE"/>
    <w:rsid w:val="003664E7"/>
    <w:rsid w:val="003664F7"/>
    <w:rsid w:val="00366510"/>
    <w:rsid w:val="00366559"/>
    <w:rsid w:val="0036655A"/>
    <w:rsid w:val="00366571"/>
    <w:rsid w:val="003665C0"/>
    <w:rsid w:val="003665CA"/>
    <w:rsid w:val="003665DE"/>
    <w:rsid w:val="00366612"/>
    <w:rsid w:val="00366613"/>
    <w:rsid w:val="00366647"/>
    <w:rsid w:val="003666A1"/>
    <w:rsid w:val="003666E1"/>
    <w:rsid w:val="00366736"/>
    <w:rsid w:val="003667CA"/>
    <w:rsid w:val="003667DD"/>
    <w:rsid w:val="0036688E"/>
    <w:rsid w:val="003668B1"/>
    <w:rsid w:val="003668CF"/>
    <w:rsid w:val="003668DC"/>
    <w:rsid w:val="003668F4"/>
    <w:rsid w:val="0036694F"/>
    <w:rsid w:val="00366952"/>
    <w:rsid w:val="0036696C"/>
    <w:rsid w:val="0036696F"/>
    <w:rsid w:val="00366989"/>
    <w:rsid w:val="0036699A"/>
    <w:rsid w:val="00366A17"/>
    <w:rsid w:val="00366A7D"/>
    <w:rsid w:val="00366A8D"/>
    <w:rsid w:val="00366A97"/>
    <w:rsid w:val="00366A9A"/>
    <w:rsid w:val="00366BBA"/>
    <w:rsid w:val="00366BD4"/>
    <w:rsid w:val="00366BD6"/>
    <w:rsid w:val="00366BE7"/>
    <w:rsid w:val="00366C2A"/>
    <w:rsid w:val="00366C4B"/>
    <w:rsid w:val="00366C76"/>
    <w:rsid w:val="00366D05"/>
    <w:rsid w:val="00366D62"/>
    <w:rsid w:val="00366D7B"/>
    <w:rsid w:val="00366DA1"/>
    <w:rsid w:val="00366DEF"/>
    <w:rsid w:val="00366DF1"/>
    <w:rsid w:val="00366DFB"/>
    <w:rsid w:val="00366E50"/>
    <w:rsid w:val="00366EAE"/>
    <w:rsid w:val="00366F0B"/>
    <w:rsid w:val="00366F62"/>
    <w:rsid w:val="00366F70"/>
    <w:rsid w:val="00366F7C"/>
    <w:rsid w:val="00366FD8"/>
    <w:rsid w:val="00367017"/>
    <w:rsid w:val="0036704B"/>
    <w:rsid w:val="003670D5"/>
    <w:rsid w:val="003670DF"/>
    <w:rsid w:val="00367104"/>
    <w:rsid w:val="0036714C"/>
    <w:rsid w:val="0036716B"/>
    <w:rsid w:val="003671B8"/>
    <w:rsid w:val="003672A9"/>
    <w:rsid w:val="00367304"/>
    <w:rsid w:val="00367327"/>
    <w:rsid w:val="0036732E"/>
    <w:rsid w:val="0036732F"/>
    <w:rsid w:val="0036733A"/>
    <w:rsid w:val="00367397"/>
    <w:rsid w:val="003673BE"/>
    <w:rsid w:val="003673F3"/>
    <w:rsid w:val="003674AA"/>
    <w:rsid w:val="003674B9"/>
    <w:rsid w:val="00367504"/>
    <w:rsid w:val="00367573"/>
    <w:rsid w:val="003675AD"/>
    <w:rsid w:val="003675D6"/>
    <w:rsid w:val="003675DF"/>
    <w:rsid w:val="0036765E"/>
    <w:rsid w:val="003676D8"/>
    <w:rsid w:val="003676FD"/>
    <w:rsid w:val="0036773D"/>
    <w:rsid w:val="00367753"/>
    <w:rsid w:val="00367755"/>
    <w:rsid w:val="00367784"/>
    <w:rsid w:val="00367798"/>
    <w:rsid w:val="003677D0"/>
    <w:rsid w:val="0036786E"/>
    <w:rsid w:val="003678ED"/>
    <w:rsid w:val="0036791D"/>
    <w:rsid w:val="00367932"/>
    <w:rsid w:val="00367972"/>
    <w:rsid w:val="003679BA"/>
    <w:rsid w:val="003679C7"/>
    <w:rsid w:val="003679E2"/>
    <w:rsid w:val="003679E7"/>
    <w:rsid w:val="003679EB"/>
    <w:rsid w:val="003679FE"/>
    <w:rsid w:val="00367A13"/>
    <w:rsid w:val="00367A40"/>
    <w:rsid w:val="00367AAD"/>
    <w:rsid w:val="00367AC5"/>
    <w:rsid w:val="00367AE4"/>
    <w:rsid w:val="00367B10"/>
    <w:rsid w:val="00367B2D"/>
    <w:rsid w:val="00367B37"/>
    <w:rsid w:val="00367B3A"/>
    <w:rsid w:val="00367B9B"/>
    <w:rsid w:val="00367BCA"/>
    <w:rsid w:val="00367C57"/>
    <w:rsid w:val="00367C71"/>
    <w:rsid w:val="00367CAC"/>
    <w:rsid w:val="00367CB9"/>
    <w:rsid w:val="00367D90"/>
    <w:rsid w:val="00367D92"/>
    <w:rsid w:val="00367D9F"/>
    <w:rsid w:val="00367DAC"/>
    <w:rsid w:val="00367DC2"/>
    <w:rsid w:val="00367E24"/>
    <w:rsid w:val="00367E96"/>
    <w:rsid w:val="00367F9C"/>
    <w:rsid w:val="00370014"/>
    <w:rsid w:val="00370085"/>
    <w:rsid w:val="003700EC"/>
    <w:rsid w:val="0037010F"/>
    <w:rsid w:val="00370128"/>
    <w:rsid w:val="0037013B"/>
    <w:rsid w:val="00370164"/>
    <w:rsid w:val="003701E3"/>
    <w:rsid w:val="00370263"/>
    <w:rsid w:val="00370274"/>
    <w:rsid w:val="003702E7"/>
    <w:rsid w:val="00370317"/>
    <w:rsid w:val="0037034B"/>
    <w:rsid w:val="003703C5"/>
    <w:rsid w:val="003703FB"/>
    <w:rsid w:val="00370407"/>
    <w:rsid w:val="00370455"/>
    <w:rsid w:val="00370459"/>
    <w:rsid w:val="00370467"/>
    <w:rsid w:val="003704BD"/>
    <w:rsid w:val="003704C0"/>
    <w:rsid w:val="0037051A"/>
    <w:rsid w:val="00370523"/>
    <w:rsid w:val="00370558"/>
    <w:rsid w:val="003705A0"/>
    <w:rsid w:val="003705FD"/>
    <w:rsid w:val="00370669"/>
    <w:rsid w:val="0037067E"/>
    <w:rsid w:val="00370681"/>
    <w:rsid w:val="003706BD"/>
    <w:rsid w:val="003707D5"/>
    <w:rsid w:val="00370804"/>
    <w:rsid w:val="00370824"/>
    <w:rsid w:val="0037082B"/>
    <w:rsid w:val="003708D0"/>
    <w:rsid w:val="00370973"/>
    <w:rsid w:val="00370985"/>
    <w:rsid w:val="0037099E"/>
    <w:rsid w:val="003709BE"/>
    <w:rsid w:val="003709CA"/>
    <w:rsid w:val="003709FE"/>
    <w:rsid w:val="00370B98"/>
    <w:rsid w:val="00370B9C"/>
    <w:rsid w:val="00370BF4"/>
    <w:rsid w:val="00370BFD"/>
    <w:rsid w:val="00370C11"/>
    <w:rsid w:val="00370C5C"/>
    <w:rsid w:val="00370C94"/>
    <w:rsid w:val="00370D0E"/>
    <w:rsid w:val="00370D1B"/>
    <w:rsid w:val="00370DB3"/>
    <w:rsid w:val="00370DBC"/>
    <w:rsid w:val="00370E83"/>
    <w:rsid w:val="00370E98"/>
    <w:rsid w:val="00370ED5"/>
    <w:rsid w:val="00370F19"/>
    <w:rsid w:val="00370FAC"/>
    <w:rsid w:val="00371039"/>
    <w:rsid w:val="00371067"/>
    <w:rsid w:val="0037108D"/>
    <w:rsid w:val="003710C1"/>
    <w:rsid w:val="003710EF"/>
    <w:rsid w:val="00371193"/>
    <w:rsid w:val="00371195"/>
    <w:rsid w:val="003711E5"/>
    <w:rsid w:val="00371207"/>
    <w:rsid w:val="00371271"/>
    <w:rsid w:val="003712ED"/>
    <w:rsid w:val="00371301"/>
    <w:rsid w:val="00371333"/>
    <w:rsid w:val="00371429"/>
    <w:rsid w:val="0037145A"/>
    <w:rsid w:val="0037147B"/>
    <w:rsid w:val="00371509"/>
    <w:rsid w:val="00371596"/>
    <w:rsid w:val="0037162A"/>
    <w:rsid w:val="0037163A"/>
    <w:rsid w:val="0037167C"/>
    <w:rsid w:val="003716BD"/>
    <w:rsid w:val="00371709"/>
    <w:rsid w:val="00371721"/>
    <w:rsid w:val="00371728"/>
    <w:rsid w:val="00371749"/>
    <w:rsid w:val="00371763"/>
    <w:rsid w:val="003717A2"/>
    <w:rsid w:val="00371857"/>
    <w:rsid w:val="003718C4"/>
    <w:rsid w:val="0037196C"/>
    <w:rsid w:val="00371971"/>
    <w:rsid w:val="00371A34"/>
    <w:rsid w:val="00371AD9"/>
    <w:rsid w:val="00371B04"/>
    <w:rsid w:val="00371B99"/>
    <w:rsid w:val="00371BD5"/>
    <w:rsid w:val="00371BF4"/>
    <w:rsid w:val="00371C38"/>
    <w:rsid w:val="00371C61"/>
    <w:rsid w:val="00371D39"/>
    <w:rsid w:val="00371DA4"/>
    <w:rsid w:val="00371DEE"/>
    <w:rsid w:val="00371E42"/>
    <w:rsid w:val="00371E44"/>
    <w:rsid w:val="00371E7B"/>
    <w:rsid w:val="00371EC3"/>
    <w:rsid w:val="00371EE7"/>
    <w:rsid w:val="00371F69"/>
    <w:rsid w:val="00371FCA"/>
    <w:rsid w:val="00372021"/>
    <w:rsid w:val="0037202B"/>
    <w:rsid w:val="0037203C"/>
    <w:rsid w:val="003720D6"/>
    <w:rsid w:val="0037212E"/>
    <w:rsid w:val="003721B7"/>
    <w:rsid w:val="003721D9"/>
    <w:rsid w:val="003721FD"/>
    <w:rsid w:val="00372221"/>
    <w:rsid w:val="00372289"/>
    <w:rsid w:val="003722B1"/>
    <w:rsid w:val="003722CA"/>
    <w:rsid w:val="00372323"/>
    <w:rsid w:val="0037234E"/>
    <w:rsid w:val="00372364"/>
    <w:rsid w:val="00372371"/>
    <w:rsid w:val="00372380"/>
    <w:rsid w:val="003723E5"/>
    <w:rsid w:val="003723FB"/>
    <w:rsid w:val="00372412"/>
    <w:rsid w:val="0037241E"/>
    <w:rsid w:val="00372443"/>
    <w:rsid w:val="0037249F"/>
    <w:rsid w:val="003724B9"/>
    <w:rsid w:val="003724C8"/>
    <w:rsid w:val="003724D5"/>
    <w:rsid w:val="003724DF"/>
    <w:rsid w:val="003724F1"/>
    <w:rsid w:val="00372532"/>
    <w:rsid w:val="00372533"/>
    <w:rsid w:val="0037255C"/>
    <w:rsid w:val="00372568"/>
    <w:rsid w:val="003725C3"/>
    <w:rsid w:val="003725D1"/>
    <w:rsid w:val="003725E3"/>
    <w:rsid w:val="0037263E"/>
    <w:rsid w:val="0037265E"/>
    <w:rsid w:val="0037268F"/>
    <w:rsid w:val="00372701"/>
    <w:rsid w:val="00372794"/>
    <w:rsid w:val="003727D4"/>
    <w:rsid w:val="0037283C"/>
    <w:rsid w:val="003728A2"/>
    <w:rsid w:val="003728A8"/>
    <w:rsid w:val="003728D8"/>
    <w:rsid w:val="0037293F"/>
    <w:rsid w:val="003729DB"/>
    <w:rsid w:val="00372A15"/>
    <w:rsid w:val="00372A6F"/>
    <w:rsid w:val="00372B44"/>
    <w:rsid w:val="00372B49"/>
    <w:rsid w:val="00372B72"/>
    <w:rsid w:val="00372B92"/>
    <w:rsid w:val="00372BB3"/>
    <w:rsid w:val="00372C02"/>
    <w:rsid w:val="00372C66"/>
    <w:rsid w:val="00372C6D"/>
    <w:rsid w:val="00372CAA"/>
    <w:rsid w:val="00372CE4"/>
    <w:rsid w:val="00372D95"/>
    <w:rsid w:val="00372E00"/>
    <w:rsid w:val="00372E76"/>
    <w:rsid w:val="00372E82"/>
    <w:rsid w:val="00372EB2"/>
    <w:rsid w:val="00372ED2"/>
    <w:rsid w:val="00372F3C"/>
    <w:rsid w:val="00372F56"/>
    <w:rsid w:val="00372F6B"/>
    <w:rsid w:val="00372F76"/>
    <w:rsid w:val="00372F77"/>
    <w:rsid w:val="0037307F"/>
    <w:rsid w:val="003730F8"/>
    <w:rsid w:val="00373128"/>
    <w:rsid w:val="0037313C"/>
    <w:rsid w:val="00373192"/>
    <w:rsid w:val="0037319A"/>
    <w:rsid w:val="003731A3"/>
    <w:rsid w:val="003731B0"/>
    <w:rsid w:val="00373260"/>
    <w:rsid w:val="003732AC"/>
    <w:rsid w:val="003732B5"/>
    <w:rsid w:val="00373301"/>
    <w:rsid w:val="00373306"/>
    <w:rsid w:val="00373347"/>
    <w:rsid w:val="0037337F"/>
    <w:rsid w:val="003733C0"/>
    <w:rsid w:val="003733FE"/>
    <w:rsid w:val="00373441"/>
    <w:rsid w:val="003734C2"/>
    <w:rsid w:val="003734DB"/>
    <w:rsid w:val="00373581"/>
    <w:rsid w:val="0037359E"/>
    <w:rsid w:val="003735D6"/>
    <w:rsid w:val="0037362D"/>
    <w:rsid w:val="00373634"/>
    <w:rsid w:val="003736DA"/>
    <w:rsid w:val="0037377E"/>
    <w:rsid w:val="003737B5"/>
    <w:rsid w:val="003737C9"/>
    <w:rsid w:val="003737E2"/>
    <w:rsid w:val="00373804"/>
    <w:rsid w:val="0037387C"/>
    <w:rsid w:val="00373899"/>
    <w:rsid w:val="003738AD"/>
    <w:rsid w:val="003738BA"/>
    <w:rsid w:val="00373971"/>
    <w:rsid w:val="003739A4"/>
    <w:rsid w:val="003739AC"/>
    <w:rsid w:val="003739F0"/>
    <w:rsid w:val="00373A47"/>
    <w:rsid w:val="00373A92"/>
    <w:rsid w:val="00373AA5"/>
    <w:rsid w:val="00373ABC"/>
    <w:rsid w:val="00373B0F"/>
    <w:rsid w:val="00373B10"/>
    <w:rsid w:val="00373B16"/>
    <w:rsid w:val="00373B19"/>
    <w:rsid w:val="00373B38"/>
    <w:rsid w:val="00373B3C"/>
    <w:rsid w:val="00373B51"/>
    <w:rsid w:val="00373B57"/>
    <w:rsid w:val="00373B62"/>
    <w:rsid w:val="00373BCA"/>
    <w:rsid w:val="00373BFC"/>
    <w:rsid w:val="00373C0B"/>
    <w:rsid w:val="00373C38"/>
    <w:rsid w:val="00373C5D"/>
    <w:rsid w:val="00373CAE"/>
    <w:rsid w:val="00373CFB"/>
    <w:rsid w:val="00373D08"/>
    <w:rsid w:val="00373D20"/>
    <w:rsid w:val="00373D41"/>
    <w:rsid w:val="00373D64"/>
    <w:rsid w:val="00373D89"/>
    <w:rsid w:val="00373DC1"/>
    <w:rsid w:val="00373DCA"/>
    <w:rsid w:val="00373DDA"/>
    <w:rsid w:val="00373DE8"/>
    <w:rsid w:val="00373DEB"/>
    <w:rsid w:val="00373DFE"/>
    <w:rsid w:val="00373E32"/>
    <w:rsid w:val="00373F34"/>
    <w:rsid w:val="00373F4E"/>
    <w:rsid w:val="00373FC0"/>
    <w:rsid w:val="00374011"/>
    <w:rsid w:val="0037402D"/>
    <w:rsid w:val="0037403B"/>
    <w:rsid w:val="003740B9"/>
    <w:rsid w:val="003740DE"/>
    <w:rsid w:val="0037410D"/>
    <w:rsid w:val="003741C2"/>
    <w:rsid w:val="003741D0"/>
    <w:rsid w:val="0037420A"/>
    <w:rsid w:val="00374215"/>
    <w:rsid w:val="00374257"/>
    <w:rsid w:val="00374302"/>
    <w:rsid w:val="00374360"/>
    <w:rsid w:val="003743D1"/>
    <w:rsid w:val="00374443"/>
    <w:rsid w:val="0037447B"/>
    <w:rsid w:val="003744EA"/>
    <w:rsid w:val="00374532"/>
    <w:rsid w:val="00374538"/>
    <w:rsid w:val="0037453F"/>
    <w:rsid w:val="0037454B"/>
    <w:rsid w:val="0037457E"/>
    <w:rsid w:val="0037458D"/>
    <w:rsid w:val="003745A5"/>
    <w:rsid w:val="003745BE"/>
    <w:rsid w:val="003745E0"/>
    <w:rsid w:val="00374614"/>
    <w:rsid w:val="0037468F"/>
    <w:rsid w:val="003746A3"/>
    <w:rsid w:val="003746A7"/>
    <w:rsid w:val="003746A8"/>
    <w:rsid w:val="003746C8"/>
    <w:rsid w:val="003747B9"/>
    <w:rsid w:val="003747D7"/>
    <w:rsid w:val="003747DC"/>
    <w:rsid w:val="003747EA"/>
    <w:rsid w:val="003747F0"/>
    <w:rsid w:val="00374808"/>
    <w:rsid w:val="0037480D"/>
    <w:rsid w:val="0037483B"/>
    <w:rsid w:val="00374889"/>
    <w:rsid w:val="003748B6"/>
    <w:rsid w:val="003748C6"/>
    <w:rsid w:val="0037497E"/>
    <w:rsid w:val="003749BF"/>
    <w:rsid w:val="003749DA"/>
    <w:rsid w:val="003749E4"/>
    <w:rsid w:val="00374A16"/>
    <w:rsid w:val="00374A3A"/>
    <w:rsid w:val="00374A64"/>
    <w:rsid w:val="00374A6F"/>
    <w:rsid w:val="00374A8C"/>
    <w:rsid w:val="00374AB1"/>
    <w:rsid w:val="00374B3D"/>
    <w:rsid w:val="00374B94"/>
    <w:rsid w:val="00374BB7"/>
    <w:rsid w:val="00374BE5"/>
    <w:rsid w:val="00374C09"/>
    <w:rsid w:val="00374C0A"/>
    <w:rsid w:val="00374C6F"/>
    <w:rsid w:val="00374CD0"/>
    <w:rsid w:val="00374D22"/>
    <w:rsid w:val="00374D4B"/>
    <w:rsid w:val="00374E07"/>
    <w:rsid w:val="00374E5E"/>
    <w:rsid w:val="00374EB3"/>
    <w:rsid w:val="00374EDC"/>
    <w:rsid w:val="00374F22"/>
    <w:rsid w:val="00374F4F"/>
    <w:rsid w:val="00374F61"/>
    <w:rsid w:val="00374F68"/>
    <w:rsid w:val="00374F9B"/>
    <w:rsid w:val="00374FCA"/>
    <w:rsid w:val="00374FFD"/>
    <w:rsid w:val="00375106"/>
    <w:rsid w:val="0037514A"/>
    <w:rsid w:val="0037517A"/>
    <w:rsid w:val="00375199"/>
    <w:rsid w:val="003751D1"/>
    <w:rsid w:val="003751FA"/>
    <w:rsid w:val="00375215"/>
    <w:rsid w:val="00375242"/>
    <w:rsid w:val="0037525F"/>
    <w:rsid w:val="00375290"/>
    <w:rsid w:val="003752BB"/>
    <w:rsid w:val="00375350"/>
    <w:rsid w:val="0037539D"/>
    <w:rsid w:val="003753ED"/>
    <w:rsid w:val="00375414"/>
    <w:rsid w:val="00375424"/>
    <w:rsid w:val="0037545C"/>
    <w:rsid w:val="003754A9"/>
    <w:rsid w:val="003754B1"/>
    <w:rsid w:val="003754CA"/>
    <w:rsid w:val="003754E7"/>
    <w:rsid w:val="0037551C"/>
    <w:rsid w:val="00375576"/>
    <w:rsid w:val="003755FF"/>
    <w:rsid w:val="0037567A"/>
    <w:rsid w:val="00375694"/>
    <w:rsid w:val="00375697"/>
    <w:rsid w:val="00375724"/>
    <w:rsid w:val="00375747"/>
    <w:rsid w:val="00375764"/>
    <w:rsid w:val="00375779"/>
    <w:rsid w:val="00375781"/>
    <w:rsid w:val="003757BF"/>
    <w:rsid w:val="003757C3"/>
    <w:rsid w:val="00375817"/>
    <w:rsid w:val="00375826"/>
    <w:rsid w:val="00375836"/>
    <w:rsid w:val="00375838"/>
    <w:rsid w:val="0037583E"/>
    <w:rsid w:val="00375840"/>
    <w:rsid w:val="00375863"/>
    <w:rsid w:val="0037586B"/>
    <w:rsid w:val="003758F0"/>
    <w:rsid w:val="00375902"/>
    <w:rsid w:val="00375931"/>
    <w:rsid w:val="00375946"/>
    <w:rsid w:val="0037594D"/>
    <w:rsid w:val="00375A57"/>
    <w:rsid w:val="00375A9F"/>
    <w:rsid w:val="00375AE9"/>
    <w:rsid w:val="00375B10"/>
    <w:rsid w:val="00375B5A"/>
    <w:rsid w:val="00375BD9"/>
    <w:rsid w:val="00375BF0"/>
    <w:rsid w:val="00375C24"/>
    <w:rsid w:val="00375C37"/>
    <w:rsid w:val="00375C41"/>
    <w:rsid w:val="00375C64"/>
    <w:rsid w:val="00375C6E"/>
    <w:rsid w:val="00375C8C"/>
    <w:rsid w:val="00375C90"/>
    <w:rsid w:val="00375C9C"/>
    <w:rsid w:val="00375CA9"/>
    <w:rsid w:val="00375D31"/>
    <w:rsid w:val="00375D7B"/>
    <w:rsid w:val="00375DEE"/>
    <w:rsid w:val="00375E1A"/>
    <w:rsid w:val="00375E53"/>
    <w:rsid w:val="00375E56"/>
    <w:rsid w:val="00375ED8"/>
    <w:rsid w:val="00375F13"/>
    <w:rsid w:val="00375F3E"/>
    <w:rsid w:val="00375F43"/>
    <w:rsid w:val="00375F4E"/>
    <w:rsid w:val="00375F6C"/>
    <w:rsid w:val="00375F98"/>
    <w:rsid w:val="00375FA0"/>
    <w:rsid w:val="0037600B"/>
    <w:rsid w:val="00376045"/>
    <w:rsid w:val="00376053"/>
    <w:rsid w:val="00376075"/>
    <w:rsid w:val="003760B6"/>
    <w:rsid w:val="00376113"/>
    <w:rsid w:val="0037615D"/>
    <w:rsid w:val="0037616B"/>
    <w:rsid w:val="0037616E"/>
    <w:rsid w:val="00376181"/>
    <w:rsid w:val="0037618D"/>
    <w:rsid w:val="003761A0"/>
    <w:rsid w:val="003761BF"/>
    <w:rsid w:val="003761EF"/>
    <w:rsid w:val="003761FB"/>
    <w:rsid w:val="00376205"/>
    <w:rsid w:val="00376207"/>
    <w:rsid w:val="00376209"/>
    <w:rsid w:val="00376285"/>
    <w:rsid w:val="0037629D"/>
    <w:rsid w:val="003762A3"/>
    <w:rsid w:val="003762A8"/>
    <w:rsid w:val="003762D5"/>
    <w:rsid w:val="00376318"/>
    <w:rsid w:val="0037632A"/>
    <w:rsid w:val="00376385"/>
    <w:rsid w:val="0037641A"/>
    <w:rsid w:val="003764BD"/>
    <w:rsid w:val="003764DC"/>
    <w:rsid w:val="00376510"/>
    <w:rsid w:val="00376513"/>
    <w:rsid w:val="00376541"/>
    <w:rsid w:val="003765C1"/>
    <w:rsid w:val="003765FB"/>
    <w:rsid w:val="00376680"/>
    <w:rsid w:val="003766E9"/>
    <w:rsid w:val="003766EB"/>
    <w:rsid w:val="003766FB"/>
    <w:rsid w:val="00376701"/>
    <w:rsid w:val="00376722"/>
    <w:rsid w:val="00376750"/>
    <w:rsid w:val="00376785"/>
    <w:rsid w:val="0037679D"/>
    <w:rsid w:val="0037683F"/>
    <w:rsid w:val="003768CB"/>
    <w:rsid w:val="00376A11"/>
    <w:rsid w:val="00376A36"/>
    <w:rsid w:val="00376AB7"/>
    <w:rsid w:val="00376B14"/>
    <w:rsid w:val="00376B1D"/>
    <w:rsid w:val="00376B58"/>
    <w:rsid w:val="00376B8D"/>
    <w:rsid w:val="00376B9C"/>
    <w:rsid w:val="00376BE1"/>
    <w:rsid w:val="00376C28"/>
    <w:rsid w:val="00376C2D"/>
    <w:rsid w:val="00376C90"/>
    <w:rsid w:val="00376D09"/>
    <w:rsid w:val="00376D82"/>
    <w:rsid w:val="00376DB6"/>
    <w:rsid w:val="00376DF9"/>
    <w:rsid w:val="00376E04"/>
    <w:rsid w:val="00376EB7"/>
    <w:rsid w:val="00376EBE"/>
    <w:rsid w:val="00376ECB"/>
    <w:rsid w:val="00376EE1"/>
    <w:rsid w:val="00376F7B"/>
    <w:rsid w:val="00377003"/>
    <w:rsid w:val="00377016"/>
    <w:rsid w:val="0037701C"/>
    <w:rsid w:val="0037708E"/>
    <w:rsid w:val="00377090"/>
    <w:rsid w:val="003770E0"/>
    <w:rsid w:val="00377197"/>
    <w:rsid w:val="003771A6"/>
    <w:rsid w:val="00377202"/>
    <w:rsid w:val="0037724F"/>
    <w:rsid w:val="0037727F"/>
    <w:rsid w:val="00377318"/>
    <w:rsid w:val="0037735C"/>
    <w:rsid w:val="00377373"/>
    <w:rsid w:val="0037737A"/>
    <w:rsid w:val="003773A2"/>
    <w:rsid w:val="003773DC"/>
    <w:rsid w:val="0037741E"/>
    <w:rsid w:val="00377434"/>
    <w:rsid w:val="0037744C"/>
    <w:rsid w:val="00377491"/>
    <w:rsid w:val="0037749D"/>
    <w:rsid w:val="003774AC"/>
    <w:rsid w:val="00377518"/>
    <w:rsid w:val="00377532"/>
    <w:rsid w:val="0037756E"/>
    <w:rsid w:val="003775A6"/>
    <w:rsid w:val="003775B0"/>
    <w:rsid w:val="00377624"/>
    <w:rsid w:val="00377663"/>
    <w:rsid w:val="0037769D"/>
    <w:rsid w:val="003776A0"/>
    <w:rsid w:val="003776FA"/>
    <w:rsid w:val="00377703"/>
    <w:rsid w:val="00377746"/>
    <w:rsid w:val="003777BC"/>
    <w:rsid w:val="003777CD"/>
    <w:rsid w:val="0037780B"/>
    <w:rsid w:val="00377869"/>
    <w:rsid w:val="003778A2"/>
    <w:rsid w:val="00377970"/>
    <w:rsid w:val="0037799B"/>
    <w:rsid w:val="003779F5"/>
    <w:rsid w:val="00377A56"/>
    <w:rsid w:val="00377A70"/>
    <w:rsid w:val="00377AAC"/>
    <w:rsid w:val="00377B15"/>
    <w:rsid w:val="00377B1C"/>
    <w:rsid w:val="00377C1F"/>
    <w:rsid w:val="00377C29"/>
    <w:rsid w:val="00377C6C"/>
    <w:rsid w:val="00377C6F"/>
    <w:rsid w:val="00377C76"/>
    <w:rsid w:val="00377C7B"/>
    <w:rsid w:val="00377CA8"/>
    <w:rsid w:val="00377CE5"/>
    <w:rsid w:val="00377CEB"/>
    <w:rsid w:val="00377D1E"/>
    <w:rsid w:val="00377D42"/>
    <w:rsid w:val="00377D6D"/>
    <w:rsid w:val="00377D8C"/>
    <w:rsid w:val="00377D94"/>
    <w:rsid w:val="00377DE9"/>
    <w:rsid w:val="00377E39"/>
    <w:rsid w:val="00377E43"/>
    <w:rsid w:val="00377EFB"/>
    <w:rsid w:val="00377F00"/>
    <w:rsid w:val="00377F16"/>
    <w:rsid w:val="00377F28"/>
    <w:rsid w:val="00377F85"/>
    <w:rsid w:val="00377FA2"/>
    <w:rsid w:val="00377FB0"/>
    <w:rsid w:val="00380057"/>
    <w:rsid w:val="00380098"/>
    <w:rsid w:val="003800B9"/>
    <w:rsid w:val="003800CB"/>
    <w:rsid w:val="003800E2"/>
    <w:rsid w:val="0038010A"/>
    <w:rsid w:val="0038012A"/>
    <w:rsid w:val="0038014C"/>
    <w:rsid w:val="0038015B"/>
    <w:rsid w:val="00380191"/>
    <w:rsid w:val="003801B5"/>
    <w:rsid w:val="003801FD"/>
    <w:rsid w:val="00380202"/>
    <w:rsid w:val="00380233"/>
    <w:rsid w:val="00380235"/>
    <w:rsid w:val="00380248"/>
    <w:rsid w:val="00380250"/>
    <w:rsid w:val="00380277"/>
    <w:rsid w:val="0038029E"/>
    <w:rsid w:val="003802C6"/>
    <w:rsid w:val="003802DF"/>
    <w:rsid w:val="00380350"/>
    <w:rsid w:val="0038036D"/>
    <w:rsid w:val="0038037A"/>
    <w:rsid w:val="003803AD"/>
    <w:rsid w:val="003803AF"/>
    <w:rsid w:val="003803BB"/>
    <w:rsid w:val="0038040D"/>
    <w:rsid w:val="0038043E"/>
    <w:rsid w:val="00380509"/>
    <w:rsid w:val="00380530"/>
    <w:rsid w:val="00380559"/>
    <w:rsid w:val="0038059E"/>
    <w:rsid w:val="003805DF"/>
    <w:rsid w:val="003805E4"/>
    <w:rsid w:val="003805FE"/>
    <w:rsid w:val="00380630"/>
    <w:rsid w:val="0038063B"/>
    <w:rsid w:val="00380656"/>
    <w:rsid w:val="0038067C"/>
    <w:rsid w:val="00380710"/>
    <w:rsid w:val="00380715"/>
    <w:rsid w:val="00380737"/>
    <w:rsid w:val="0038076B"/>
    <w:rsid w:val="00380772"/>
    <w:rsid w:val="003807B5"/>
    <w:rsid w:val="003807EC"/>
    <w:rsid w:val="00380834"/>
    <w:rsid w:val="00380848"/>
    <w:rsid w:val="00380864"/>
    <w:rsid w:val="00380885"/>
    <w:rsid w:val="003808BE"/>
    <w:rsid w:val="00380958"/>
    <w:rsid w:val="003809CD"/>
    <w:rsid w:val="00380A10"/>
    <w:rsid w:val="00380A12"/>
    <w:rsid w:val="00380A1F"/>
    <w:rsid w:val="00380A24"/>
    <w:rsid w:val="00380A42"/>
    <w:rsid w:val="00380A67"/>
    <w:rsid w:val="00380A76"/>
    <w:rsid w:val="00380AE4"/>
    <w:rsid w:val="00380B0C"/>
    <w:rsid w:val="00380B0E"/>
    <w:rsid w:val="00380B1B"/>
    <w:rsid w:val="00380B6D"/>
    <w:rsid w:val="00380C22"/>
    <w:rsid w:val="00380C2B"/>
    <w:rsid w:val="00380C68"/>
    <w:rsid w:val="00380C8B"/>
    <w:rsid w:val="00380CB1"/>
    <w:rsid w:val="00380CD2"/>
    <w:rsid w:val="00380CE4"/>
    <w:rsid w:val="00380D03"/>
    <w:rsid w:val="00380D2A"/>
    <w:rsid w:val="00380D4A"/>
    <w:rsid w:val="00380D67"/>
    <w:rsid w:val="00380DEB"/>
    <w:rsid w:val="00380E40"/>
    <w:rsid w:val="00380E67"/>
    <w:rsid w:val="00380E91"/>
    <w:rsid w:val="00380EA0"/>
    <w:rsid w:val="00380EB0"/>
    <w:rsid w:val="00380EDA"/>
    <w:rsid w:val="00380EE4"/>
    <w:rsid w:val="00380F19"/>
    <w:rsid w:val="00380F1B"/>
    <w:rsid w:val="00380F53"/>
    <w:rsid w:val="00380FCA"/>
    <w:rsid w:val="00380FD1"/>
    <w:rsid w:val="0038100F"/>
    <w:rsid w:val="00381063"/>
    <w:rsid w:val="0038107D"/>
    <w:rsid w:val="00381099"/>
    <w:rsid w:val="003810F1"/>
    <w:rsid w:val="003811A3"/>
    <w:rsid w:val="003811AA"/>
    <w:rsid w:val="003811CE"/>
    <w:rsid w:val="00381212"/>
    <w:rsid w:val="0038128D"/>
    <w:rsid w:val="003812C6"/>
    <w:rsid w:val="003812D8"/>
    <w:rsid w:val="00381315"/>
    <w:rsid w:val="00381399"/>
    <w:rsid w:val="003813D9"/>
    <w:rsid w:val="003813E5"/>
    <w:rsid w:val="00381437"/>
    <w:rsid w:val="00381443"/>
    <w:rsid w:val="00381465"/>
    <w:rsid w:val="0038147C"/>
    <w:rsid w:val="003814D3"/>
    <w:rsid w:val="00381516"/>
    <w:rsid w:val="0038156C"/>
    <w:rsid w:val="0038159A"/>
    <w:rsid w:val="00381621"/>
    <w:rsid w:val="00381640"/>
    <w:rsid w:val="00381709"/>
    <w:rsid w:val="0038172E"/>
    <w:rsid w:val="0038173D"/>
    <w:rsid w:val="00381764"/>
    <w:rsid w:val="0038176D"/>
    <w:rsid w:val="0038179B"/>
    <w:rsid w:val="0038179F"/>
    <w:rsid w:val="003817E0"/>
    <w:rsid w:val="0038180C"/>
    <w:rsid w:val="0038183F"/>
    <w:rsid w:val="003818FF"/>
    <w:rsid w:val="00381906"/>
    <w:rsid w:val="003819BF"/>
    <w:rsid w:val="00381A46"/>
    <w:rsid w:val="00381A4B"/>
    <w:rsid w:val="00381A72"/>
    <w:rsid w:val="00381AA5"/>
    <w:rsid w:val="00381ABF"/>
    <w:rsid w:val="00381ADA"/>
    <w:rsid w:val="00381B33"/>
    <w:rsid w:val="00381B3F"/>
    <w:rsid w:val="00381B9D"/>
    <w:rsid w:val="00381BD0"/>
    <w:rsid w:val="00381BD4"/>
    <w:rsid w:val="00381C23"/>
    <w:rsid w:val="00381CB7"/>
    <w:rsid w:val="00381CC8"/>
    <w:rsid w:val="00381CE3"/>
    <w:rsid w:val="00381CFC"/>
    <w:rsid w:val="00381DCC"/>
    <w:rsid w:val="00381DE3"/>
    <w:rsid w:val="00381E74"/>
    <w:rsid w:val="00381EA2"/>
    <w:rsid w:val="00381EBE"/>
    <w:rsid w:val="00381ED2"/>
    <w:rsid w:val="00381F43"/>
    <w:rsid w:val="00381FB5"/>
    <w:rsid w:val="00381FCD"/>
    <w:rsid w:val="00381FDE"/>
    <w:rsid w:val="00382026"/>
    <w:rsid w:val="003820A9"/>
    <w:rsid w:val="00382139"/>
    <w:rsid w:val="0038217C"/>
    <w:rsid w:val="0038218D"/>
    <w:rsid w:val="003822A5"/>
    <w:rsid w:val="003822D0"/>
    <w:rsid w:val="003822E2"/>
    <w:rsid w:val="00382303"/>
    <w:rsid w:val="0038230C"/>
    <w:rsid w:val="0038234F"/>
    <w:rsid w:val="003823E3"/>
    <w:rsid w:val="00382409"/>
    <w:rsid w:val="003824E6"/>
    <w:rsid w:val="0038253C"/>
    <w:rsid w:val="00382561"/>
    <w:rsid w:val="00382570"/>
    <w:rsid w:val="00382592"/>
    <w:rsid w:val="0038259B"/>
    <w:rsid w:val="0038260D"/>
    <w:rsid w:val="0038262F"/>
    <w:rsid w:val="00382643"/>
    <w:rsid w:val="00382654"/>
    <w:rsid w:val="00382693"/>
    <w:rsid w:val="00382708"/>
    <w:rsid w:val="00382720"/>
    <w:rsid w:val="00382722"/>
    <w:rsid w:val="00382739"/>
    <w:rsid w:val="0038280C"/>
    <w:rsid w:val="00382817"/>
    <w:rsid w:val="003828CB"/>
    <w:rsid w:val="003828E5"/>
    <w:rsid w:val="003828F4"/>
    <w:rsid w:val="00382902"/>
    <w:rsid w:val="00382915"/>
    <w:rsid w:val="00382999"/>
    <w:rsid w:val="00382A1C"/>
    <w:rsid w:val="00382A32"/>
    <w:rsid w:val="00382A4D"/>
    <w:rsid w:val="00382AC8"/>
    <w:rsid w:val="00382B10"/>
    <w:rsid w:val="00382B9C"/>
    <w:rsid w:val="00382BA2"/>
    <w:rsid w:val="00382BBF"/>
    <w:rsid w:val="00382BEB"/>
    <w:rsid w:val="00382BEF"/>
    <w:rsid w:val="00382C1E"/>
    <w:rsid w:val="00382C29"/>
    <w:rsid w:val="00382C39"/>
    <w:rsid w:val="00382C68"/>
    <w:rsid w:val="00382C8E"/>
    <w:rsid w:val="00382CB1"/>
    <w:rsid w:val="00382CBD"/>
    <w:rsid w:val="00382DA0"/>
    <w:rsid w:val="00382DA9"/>
    <w:rsid w:val="00382DEA"/>
    <w:rsid w:val="00382F51"/>
    <w:rsid w:val="00382F8B"/>
    <w:rsid w:val="00382FF4"/>
    <w:rsid w:val="00383006"/>
    <w:rsid w:val="0038304A"/>
    <w:rsid w:val="003830B1"/>
    <w:rsid w:val="003830D4"/>
    <w:rsid w:val="0038311C"/>
    <w:rsid w:val="0038312E"/>
    <w:rsid w:val="0038317D"/>
    <w:rsid w:val="00383201"/>
    <w:rsid w:val="0038328E"/>
    <w:rsid w:val="003832BF"/>
    <w:rsid w:val="003832F8"/>
    <w:rsid w:val="00383309"/>
    <w:rsid w:val="0038336C"/>
    <w:rsid w:val="00383371"/>
    <w:rsid w:val="00383375"/>
    <w:rsid w:val="0038337A"/>
    <w:rsid w:val="0038339C"/>
    <w:rsid w:val="003833E4"/>
    <w:rsid w:val="0038346B"/>
    <w:rsid w:val="00383485"/>
    <w:rsid w:val="003834A4"/>
    <w:rsid w:val="003834BF"/>
    <w:rsid w:val="003834EC"/>
    <w:rsid w:val="00383560"/>
    <w:rsid w:val="003835B2"/>
    <w:rsid w:val="003835BD"/>
    <w:rsid w:val="003835C4"/>
    <w:rsid w:val="003835E8"/>
    <w:rsid w:val="00383649"/>
    <w:rsid w:val="00383687"/>
    <w:rsid w:val="003836C2"/>
    <w:rsid w:val="003836F2"/>
    <w:rsid w:val="0038374C"/>
    <w:rsid w:val="003837D0"/>
    <w:rsid w:val="00383833"/>
    <w:rsid w:val="0038387F"/>
    <w:rsid w:val="003838A6"/>
    <w:rsid w:val="00383915"/>
    <w:rsid w:val="00383916"/>
    <w:rsid w:val="00383948"/>
    <w:rsid w:val="0038396C"/>
    <w:rsid w:val="003839F3"/>
    <w:rsid w:val="00383AA7"/>
    <w:rsid w:val="00383AAA"/>
    <w:rsid w:val="00383AC5"/>
    <w:rsid w:val="00383B08"/>
    <w:rsid w:val="00383B17"/>
    <w:rsid w:val="00383B28"/>
    <w:rsid w:val="00383B59"/>
    <w:rsid w:val="00383B7A"/>
    <w:rsid w:val="00383B8F"/>
    <w:rsid w:val="00383BA1"/>
    <w:rsid w:val="00383BB3"/>
    <w:rsid w:val="00383BBD"/>
    <w:rsid w:val="00383BEC"/>
    <w:rsid w:val="00383BEF"/>
    <w:rsid w:val="00383C33"/>
    <w:rsid w:val="00383C38"/>
    <w:rsid w:val="00383C47"/>
    <w:rsid w:val="00383C94"/>
    <w:rsid w:val="00383D11"/>
    <w:rsid w:val="00383D44"/>
    <w:rsid w:val="00383D47"/>
    <w:rsid w:val="00383DCE"/>
    <w:rsid w:val="00383E6E"/>
    <w:rsid w:val="00383E8C"/>
    <w:rsid w:val="00383E8D"/>
    <w:rsid w:val="00383F31"/>
    <w:rsid w:val="00383F8A"/>
    <w:rsid w:val="00384076"/>
    <w:rsid w:val="003840DE"/>
    <w:rsid w:val="003840EC"/>
    <w:rsid w:val="00384141"/>
    <w:rsid w:val="00384151"/>
    <w:rsid w:val="0038419D"/>
    <w:rsid w:val="003841E7"/>
    <w:rsid w:val="003841EA"/>
    <w:rsid w:val="003842D9"/>
    <w:rsid w:val="003842DD"/>
    <w:rsid w:val="003842FC"/>
    <w:rsid w:val="0038438D"/>
    <w:rsid w:val="00384397"/>
    <w:rsid w:val="003843A5"/>
    <w:rsid w:val="0038447A"/>
    <w:rsid w:val="003844CA"/>
    <w:rsid w:val="003844CB"/>
    <w:rsid w:val="003844E4"/>
    <w:rsid w:val="003844FD"/>
    <w:rsid w:val="003845A7"/>
    <w:rsid w:val="003845B0"/>
    <w:rsid w:val="003845F9"/>
    <w:rsid w:val="00384623"/>
    <w:rsid w:val="00384673"/>
    <w:rsid w:val="00384682"/>
    <w:rsid w:val="00384709"/>
    <w:rsid w:val="00384726"/>
    <w:rsid w:val="00384763"/>
    <w:rsid w:val="00384795"/>
    <w:rsid w:val="00384806"/>
    <w:rsid w:val="0038480E"/>
    <w:rsid w:val="00384837"/>
    <w:rsid w:val="003848B2"/>
    <w:rsid w:val="003848B4"/>
    <w:rsid w:val="003848D0"/>
    <w:rsid w:val="003848DC"/>
    <w:rsid w:val="00384907"/>
    <w:rsid w:val="00384960"/>
    <w:rsid w:val="0038496C"/>
    <w:rsid w:val="003849A3"/>
    <w:rsid w:val="003849A6"/>
    <w:rsid w:val="003849AB"/>
    <w:rsid w:val="003849E0"/>
    <w:rsid w:val="003849F2"/>
    <w:rsid w:val="003849F5"/>
    <w:rsid w:val="00384A04"/>
    <w:rsid w:val="00384A43"/>
    <w:rsid w:val="00384A67"/>
    <w:rsid w:val="00384AEC"/>
    <w:rsid w:val="00384B45"/>
    <w:rsid w:val="00384B63"/>
    <w:rsid w:val="00384B9B"/>
    <w:rsid w:val="00384BAE"/>
    <w:rsid w:val="00384BE6"/>
    <w:rsid w:val="00384C31"/>
    <w:rsid w:val="00384C92"/>
    <w:rsid w:val="00384CB2"/>
    <w:rsid w:val="00384CC6"/>
    <w:rsid w:val="00384CC7"/>
    <w:rsid w:val="00384D67"/>
    <w:rsid w:val="00384DD6"/>
    <w:rsid w:val="00384DD9"/>
    <w:rsid w:val="00384E5D"/>
    <w:rsid w:val="00384E8C"/>
    <w:rsid w:val="00384F00"/>
    <w:rsid w:val="00384F0C"/>
    <w:rsid w:val="00384F18"/>
    <w:rsid w:val="00384F19"/>
    <w:rsid w:val="00384F3F"/>
    <w:rsid w:val="00384FA1"/>
    <w:rsid w:val="00384FC4"/>
    <w:rsid w:val="00384FC7"/>
    <w:rsid w:val="00384FC9"/>
    <w:rsid w:val="0038500F"/>
    <w:rsid w:val="0038504C"/>
    <w:rsid w:val="00385070"/>
    <w:rsid w:val="0038511E"/>
    <w:rsid w:val="0038513E"/>
    <w:rsid w:val="003851AF"/>
    <w:rsid w:val="003851D4"/>
    <w:rsid w:val="00385231"/>
    <w:rsid w:val="0038524B"/>
    <w:rsid w:val="003852F6"/>
    <w:rsid w:val="00385355"/>
    <w:rsid w:val="003853CB"/>
    <w:rsid w:val="003853E3"/>
    <w:rsid w:val="003853F0"/>
    <w:rsid w:val="00385407"/>
    <w:rsid w:val="0038543A"/>
    <w:rsid w:val="00385470"/>
    <w:rsid w:val="0038550E"/>
    <w:rsid w:val="00385520"/>
    <w:rsid w:val="00385526"/>
    <w:rsid w:val="0038554C"/>
    <w:rsid w:val="0038554F"/>
    <w:rsid w:val="0038555F"/>
    <w:rsid w:val="00385573"/>
    <w:rsid w:val="003855D2"/>
    <w:rsid w:val="00385618"/>
    <w:rsid w:val="003856C9"/>
    <w:rsid w:val="0038575D"/>
    <w:rsid w:val="0038576A"/>
    <w:rsid w:val="003857A8"/>
    <w:rsid w:val="003857AD"/>
    <w:rsid w:val="003857AF"/>
    <w:rsid w:val="003857EE"/>
    <w:rsid w:val="00385826"/>
    <w:rsid w:val="00385834"/>
    <w:rsid w:val="003858C5"/>
    <w:rsid w:val="00385973"/>
    <w:rsid w:val="003859AB"/>
    <w:rsid w:val="003859AD"/>
    <w:rsid w:val="003859EC"/>
    <w:rsid w:val="00385A19"/>
    <w:rsid w:val="00385A25"/>
    <w:rsid w:val="00385AF0"/>
    <w:rsid w:val="00385AF6"/>
    <w:rsid w:val="00385B4E"/>
    <w:rsid w:val="00385B73"/>
    <w:rsid w:val="00385BA3"/>
    <w:rsid w:val="00385BD2"/>
    <w:rsid w:val="00385BD6"/>
    <w:rsid w:val="00385C09"/>
    <w:rsid w:val="00385C2D"/>
    <w:rsid w:val="00385C46"/>
    <w:rsid w:val="00385C51"/>
    <w:rsid w:val="00385C7F"/>
    <w:rsid w:val="00385C9E"/>
    <w:rsid w:val="00385D51"/>
    <w:rsid w:val="00385D62"/>
    <w:rsid w:val="00385DAD"/>
    <w:rsid w:val="00385E23"/>
    <w:rsid w:val="00385E52"/>
    <w:rsid w:val="00385EA3"/>
    <w:rsid w:val="00385EB3"/>
    <w:rsid w:val="00385F53"/>
    <w:rsid w:val="00385FDC"/>
    <w:rsid w:val="00385FE8"/>
    <w:rsid w:val="00386092"/>
    <w:rsid w:val="003860B4"/>
    <w:rsid w:val="0038611A"/>
    <w:rsid w:val="00386129"/>
    <w:rsid w:val="00386199"/>
    <w:rsid w:val="003861A4"/>
    <w:rsid w:val="00386270"/>
    <w:rsid w:val="00386285"/>
    <w:rsid w:val="003863B7"/>
    <w:rsid w:val="00386412"/>
    <w:rsid w:val="0038641D"/>
    <w:rsid w:val="003865E1"/>
    <w:rsid w:val="00386671"/>
    <w:rsid w:val="00386674"/>
    <w:rsid w:val="0038668D"/>
    <w:rsid w:val="003866AF"/>
    <w:rsid w:val="003866D1"/>
    <w:rsid w:val="00386731"/>
    <w:rsid w:val="00386747"/>
    <w:rsid w:val="0038674B"/>
    <w:rsid w:val="0038676E"/>
    <w:rsid w:val="00386775"/>
    <w:rsid w:val="0038679A"/>
    <w:rsid w:val="003867A4"/>
    <w:rsid w:val="003868C4"/>
    <w:rsid w:val="003868DE"/>
    <w:rsid w:val="00386927"/>
    <w:rsid w:val="00386959"/>
    <w:rsid w:val="00386A52"/>
    <w:rsid w:val="00386A80"/>
    <w:rsid w:val="00386A95"/>
    <w:rsid w:val="00386AB9"/>
    <w:rsid w:val="00386AFA"/>
    <w:rsid w:val="00386B2B"/>
    <w:rsid w:val="00386B64"/>
    <w:rsid w:val="00386B70"/>
    <w:rsid w:val="00386B81"/>
    <w:rsid w:val="00386BB7"/>
    <w:rsid w:val="00386BBE"/>
    <w:rsid w:val="00386BCE"/>
    <w:rsid w:val="00386C72"/>
    <w:rsid w:val="00386C97"/>
    <w:rsid w:val="00386D1C"/>
    <w:rsid w:val="00386D24"/>
    <w:rsid w:val="00386D6C"/>
    <w:rsid w:val="00386DD0"/>
    <w:rsid w:val="00386DEA"/>
    <w:rsid w:val="00386E36"/>
    <w:rsid w:val="00386E9E"/>
    <w:rsid w:val="00386ED0"/>
    <w:rsid w:val="00386F57"/>
    <w:rsid w:val="00386FE2"/>
    <w:rsid w:val="00386FE3"/>
    <w:rsid w:val="00386FFB"/>
    <w:rsid w:val="0038707A"/>
    <w:rsid w:val="003870B9"/>
    <w:rsid w:val="003870E6"/>
    <w:rsid w:val="003870FA"/>
    <w:rsid w:val="0038712C"/>
    <w:rsid w:val="00387136"/>
    <w:rsid w:val="0038713F"/>
    <w:rsid w:val="003871A1"/>
    <w:rsid w:val="003871FB"/>
    <w:rsid w:val="003871FD"/>
    <w:rsid w:val="00387221"/>
    <w:rsid w:val="0038723C"/>
    <w:rsid w:val="003872C4"/>
    <w:rsid w:val="003872C6"/>
    <w:rsid w:val="003872D5"/>
    <w:rsid w:val="003872FF"/>
    <w:rsid w:val="00387367"/>
    <w:rsid w:val="0038737A"/>
    <w:rsid w:val="00387390"/>
    <w:rsid w:val="00387397"/>
    <w:rsid w:val="0038739F"/>
    <w:rsid w:val="003873C5"/>
    <w:rsid w:val="003873D8"/>
    <w:rsid w:val="003873F5"/>
    <w:rsid w:val="00387405"/>
    <w:rsid w:val="0038740D"/>
    <w:rsid w:val="0038744C"/>
    <w:rsid w:val="0038744F"/>
    <w:rsid w:val="0038746C"/>
    <w:rsid w:val="0038748C"/>
    <w:rsid w:val="00387582"/>
    <w:rsid w:val="003875B0"/>
    <w:rsid w:val="00387621"/>
    <w:rsid w:val="003876B0"/>
    <w:rsid w:val="00387741"/>
    <w:rsid w:val="00387761"/>
    <w:rsid w:val="00387783"/>
    <w:rsid w:val="00387803"/>
    <w:rsid w:val="0038780F"/>
    <w:rsid w:val="00387831"/>
    <w:rsid w:val="00387854"/>
    <w:rsid w:val="003878B3"/>
    <w:rsid w:val="003878BE"/>
    <w:rsid w:val="00387931"/>
    <w:rsid w:val="003879D5"/>
    <w:rsid w:val="00387A00"/>
    <w:rsid w:val="00387A2A"/>
    <w:rsid w:val="00387A32"/>
    <w:rsid w:val="00387AB7"/>
    <w:rsid w:val="00387ACC"/>
    <w:rsid w:val="00387AF4"/>
    <w:rsid w:val="00387B07"/>
    <w:rsid w:val="00387B93"/>
    <w:rsid w:val="00387C09"/>
    <w:rsid w:val="00387C10"/>
    <w:rsid w:val="00387C30"/>
    <w:rsid w:val="00387C44"/>
    <w:rsid w:val="00387C7B"/>
    <w:rsid w:val="00387C7D"/>
    <w:rsid w:val="00387C7E"/>
    <w:rsid w:val="00387C83"/>
    <w:rsid w:val="00387C9E"/>
    <w:rsid w:val="00387CE8"/>
    <w:rsid w:val="00387CF7"/>
    <w:rsid w:val="00387D2A"/>
    <w:rsid w:val="00387D75"/>
    <w:rsid w:val="00387DC9"/>
    <w:rsid w:val="00387DD4"/>
    <w:rsid w:val="00387DDF"/>
    <w:rsid w:val="00387DE9"/>
    <w:rsid w:val="00387DFF"/>
    <w:rsid w:val="00387E4A"/>
    <w:rsid w:val="00387EA6"/>
    <w:rsid w:val="00387FD9"/>
    <w:rsid w:val="00387FE2"/>
    <w:rsid w:val="00390001"/>
    <w:rsid w:val="0039002F"/>
    <w:rsid w:val="00390038"/>
    <w:rsid w:val="0039006B"/>
    <w:rsid w:val="003900B2"/>
    <w:rsid w:val="0039012E"/>
    <w:rsid w:val="00390144"/>
    <w:rsid w:val="00390222"/>
    <w:rsid w:val="0039024F"/>
    <w:rsid w:val="00390360"/>
    <w:rsid w:val="00390364"/>
    <w:rsid w:val="00390390"/>
    <w:rsid w:val="0039039B"/>
    <w:rsid w:val="003904BE"/>
    <w:rsid w:val="003904F3"/>
    <w:rsid w:val="0039050F"/>
    <w:rsid w:val="00390550"/>
    <w:rsid w:val="00390559"/>
    <w:rsid w:val="0039065D"/>
    <w:rsid w:val="00390670"/>
    <w:rsid w:val="00390678"/>
    <w:rsid w:val="00390690"/>
    <w:rsid w:val="00390763"/>
    <w:rsid w:val="0039076F"/>
    <w:rsid w:val="003907DE"/>
    <w:rsid w:val="00390807"/>
    <w:rsid w:val="00390871"/>
    <w:rsid w:val="003908AC"/>
    <w:rsid w:val="003908D2"/>
    <w:rsid w:val="00390914"/>
    <w:rsid w:val="0039094C"/>
    <w:rsid w:val="00390962"/>
    <w:rsid w:val="00390996"/>
    <w:rsid w:val="00390A08"/>
    <w:rsid w:val="00390A53"/>
    <w:rsid w:val="00390A9A"/>
    <w:rsid w:val="00390B06"/>
    <w:rsid w:val="00390B20"/>
    <w:rsid w:val="00390BA5"/>
    <w:rsid w:val="00390BE2"/>
    <w:rsid w:val="00390CD9"/>
    <w:rsid w:val="00390D20"/>
    <w:rsid w:val="00390D40"/>
    <w:rsid w:val="00390DD8"/>
    <w:rsid w:val="00390DEE"/>
    <w:rsid w:val="00390ED7"/>
    <w:rsid w:val="00390F1D"/>
    <w:rsid w:val="00390F9B"/>
    <w:rsid w:val="00390FC7"/>
    <w:rsid w:val="00391067"/>
    <w:rsid w:val="00391075"/>
    <w:rsid w:val="00391078"/>
    <w:rsid w:val="003910A8"/>
    <w:rsid w:val="003910E8"/>
    <w:rsid w:val="00391118"/>
    <w:rsid w:val="0039111D"/>
    <w:rsid w:val="0039115D"/>
    <w:rsid w:val="0039116E"/>
    <w:rsid w:val="00391179"/>
    <w:rsid w:val="00391230"/>
    <w:rsid w:val="00391233"/>
    <w:rsid w:val="003912E6"/>
    <w:rsid w:val="00391330"/>
    <w:rsid w:val="003913AF"/>
    <w:rsid w:val="003913BA"/>
    <w:rsid w:val="0039143E"/>
    <w:rsid w:val="00391451"/>
    <w:rsid w:val="0039147E"/>
    <w:rsid w:val="003914BB"/>
    <w:rsid w:val="003914C5"/>
    <w:rsid w:val="003914F2"/>
    <w:rsid w:val="00391506"/>
    <w:rsid w:val="00391513"/>
    <w:rsid w:val="00391555"/>
    <w:rsid w:val="00391605"/>
    <w:rsid w:val="0039162B"/>
    <w:rsid w:val="00391652"/>
    <w:rsid w:val="003916BA"/>
    <w:rsid w:val="003916CC"/>
    <w:rsid w:val="0039173B"/>
    <w:rsid w:val="0039175A"/>
    <w:rsid w:val="003917D7"/>
    <w:rsid w:val="003917F7"/>
    <w:rsid w:val="0039181B"/>
    <w:rsid w:val="00391842"/>
    <w:rsid w:val="0039184F"/>
    <w:rsid w:val="00391878"/>
    <w:rsid w:val="0039187C"/>
    <w:rsid w:val="003918D3"/>
    <w:rsid w:val="003918D5"/>
    <w:rsid w:val="00391912"/>
    <w:rsid w:val="0039196C"/>
    <w:rsid w:val="003919B7"/>
    <w:rsid w:val="003919BD"/>
    <w:rsid w:val="003919C5"/>
    <w:rsid w:val="00391A1B"/>
    <w:rsid w:val="00391A1E"/>
    <w:rsid w:val="00391A55"/>
    <w:rsid w:val="00391B18"/>
    <w:rsid w:val="00391BA5"/>
    <w:rsid w:val="00391C09"/>
    <w:rsid w:val="00391C26"/>
    <w:rsid w:val="00391C88"/>
    <w:rsid w:val="00391C89"/>
    <w:rsid w:val="00391CE8"/>
    <w:rsid w:val="00391D6F"/>
    <w:rsid w:val="00391D93"/>
    <w:rsid w:val="00391EAC"/>
    <w:rsid w:val="00391EF9"/>
    <w:rsid w:val="00391F33"/>
    <w:rsid w:val="00391F53"/>
    <w:rsid w:val="00391F5B"/>
    <w:rsid w:val="00391F85"/>
    <w:rsid w:val="00391FD8"/>
    <w:rsid w:val="00392017"/>
    <w:rsid w:val="00392019"/>
    <w:rsid w:val="0039202C"/>
    <w:rsid w:val="003920E9"/>
    <w:rsid w:val="0039210C"/>
    <w:rsid w:val="00392121"/>
    <w:rsid w:val="0039213E"/>
    <w:rsid w:val="00392178"/>
    <w:rsid w:val="0039219A"/>
    <w:rsid w:val="003921BC"/>
    <w:rsid w:val="003921F0"/>
    <w:rsid w:val="003921F7"/>
    <w:rsid w:val="003921FE"/>
    <w:rsid w:val="0039222E"/>
    <w:rsid w:val="0039229C"/>
    <w:rsid w:val="003922CC"/>
    <w:rsid w:val="0039238D"/>
    <w:rsid w:val="003923F3"/>
    <w:rsid w:val="00392415"/>
    <w:rsid w:val="00392536"/>
    <w:rsid w:val="003925A6"/>
    <w:rsid w:val="003925B6"/>
    <w:rsid w:val="003925EA"/>
    <w:rsid w:val="003925FA"/>
    <w:rsid w:val="0039260F"/>
    <w:rsid w:val="00392630"/>
    <w:rsid w:val="0039263B"/>
    <w:rsid w:val="003926E2"/>
    <w:rsid w:val="003926E6"/>
    <w:rsid w:val="0039273B"/>
    <w:rsid w:val="0039273E"/>
    <w:rsid w:val="00392743"/>
    <w:rsid w:val="0039274F"/>
    <w:rsid w:val="00392772"/>
    <w:rsid w:val="00392789"/>
    <w:rsid w:val="00392794"/>
    <w:rsid w:val="003927BF"/>
    <w:rsid w:val="003927F7"/>
    <w:rsid w:val="003927FD"/>
    <w:rsid w:val="00392814"/>
    <w:rsid w:val="003928B2"/>
    <w:rsid w:val="00392916"/>
    <w:rsid w:val="00392925"/>
    <w:rsid w:val="00392975"/>
    <w:rsid w:val="0039299C"/>
    <w:rsid w:val="003929A9"/>
    <w:rsid w:val="00392AA6"/>
    <w:rsid w:val="00392AAE"/>
    <w:rsid w:val="00392AD4"/>
    <w:rsid w:val="00392AE2"/>
    <w:rsid w:val="00392BE0"/>
    <w:rsid w:val="00392BF8"/>
    <w:rsid w:val="00392C16"/>
    <w:rsid w:val="00392C22"/>
    <w:rsid w:val="00392C3E"/>
    <w:rsid w:val="00392CCA"/>
    <w:rsid w:val="00392D1D"/>
    <w:rsid w:val="00392D59"/>
    <w:rsid w:val="00392D86"/>
    <w:rsid w:val="00392D88"/>
    <w:rsid w:val="00392DCC"/>
    <w:rsid w:val="00392E23"/>
    <w:rsid w:val="00392ED6"/>
    <w:rsid w:val="00392F15"/>
    <w:rsid w:val="00392F44"/>
    <w:rsid w:val="00392F80"/>
    <w:rsid w:val="00392F9B"/>
    <w:rsid w:val="00392FAE"/>
    <w:rsid w:val="00392FF7"/>
    <w:rsid w:val="003930D7"/>
    <w:rsid w:val="003931E6"/>
    <w:rsid w:val="00393277"/>
    <w:rsid w:val="0039329D"/>
    <w:rsid w:val="003932F5"/>
    <w:rsid w:val="00393326"/>
    <w:rsid w:val="00393337"/>
    <w:rsid w:val="0039339A"/>
    <w:rsid w:val="003933EB"/>
    <w:rsid w:val="003934E3"/>
    <w:rsid w:val="003934FD"/>
    <w:rsid w:val="00393511"/>
    <w:rsid w:val="003935B6"/>
    <w:rsid w:val="00393608"/>
    <w:rsid w:val="0039363F"/>
    <w:rsid w:val="003936B5"/>
    <w:rsid w:val="003936D2"/>
    <w:rsid w:val="00393736"/>
    <w:rsid w:val="00393781"/>
    <w:rsid w:val="00393797"/>
    <w:rsid w:val="003937A7"/>
    <w:rsid w:val="003937AE"/>
    <w:rsid w:val="003937E2"/>
    <w:rsid w:val="00393802"/>
    <w:rsid w:val="0039382B"/>
    <w:rsid w:val="003938A6"/>
    <w:rsid w:val="00393923"/>
    <w:rsid w:val="00393933"/>
    <w:rsid w:val="00393952"/>
    <w:rsid w:val="0039395E"/>
    <w:rsid w:val="0039398E"/>
    <w:rsid w:val="0039399A"/>
    <w:rsid w:val="0039399F"/>
    <w:rsid w:val="003939E0"/>
    <w:rsid w:val="00393ABD"/>
    <w:rsid w:val="00393B30"/>
    <w:rsid w:val="00393B69"/>
    <w:rsid w:val="00393BB2"/>
    <w:rsid w:val="00393BC1"/>
    <w:rsid w:val="00393BFE"/>
    <w:rsid w:val="00393C53"/>
    <w:rsid w:val="00393C62"/>
    <w:rsid w:val="00393C6F"/>
    <w:rsid w:val="00393C75"/>
    <w:rsid w:val="00393CAB"/>
    <w:rsid w:val="00393D11"/>
    <w:rsid w:val="00393D4D"/>
    <w:rsid w:val="00393D51"/>
    <w:rsid w:val="00393DB0"/>
    <w:rsid w:val="00393DCD"/>
    <w:rsid w:val="00393DDA"/>
    <w:rsid w:val="00393DFA"/>
    <w:rsid w:val="00393E33"/>
    <w:rsid w:val="00393E36"/>
    <w:rsid w:val="00393E55"/>
    <w:rsid w:val="00393E80"/>
    <w:rsid w:val="00393E85"/>
    <w:rsid w:val="00393EB3"/>
    <w:rsid w:val="00393F29"/>
    <w:rsid w:val="00393F2F"/>
    <w:rsid w:val="00393F4F"/>
    <w:rsid w:val="00393F73"/>
    <w:rsid w:val="0039401A"/>
    <w:rsid w:val="00394056"/>
    <w:rsid w:val="00394123"/>
    <w:rsid w:val="0039415E"/>
    <w:rsid w:val="0039418B"/>
    <w:rsid w:val="003941D6"/>
    <w:rsid w:val="00394212"/>
    <w:rsid w:val="0039424A"/>
    <w:rsid w:val="003942CC"/>
    <w:rsid w:val="0039439E"/>
    <w:rsid w:val="003943A4"/>
    <w:rsid w:val="0039441D"/>
    <w:rsid w:val="00394444"/>
    <w:rsid w:val="0039449B"/>
    <w:rsid w:val="003944B0"/>
    <w:rsid w:val="00394579"/>
    <w:rsid w:val="0039460C"/>
    <w:rsid w:val="003946A5"/>
    <w:rsid w:val="003946B0"/>
    <w:rsid w:val="003946BF"/>
    <w:rsid w:val="003946CF"/>
    <w:rsid w:val="003946D4"/>
    <w:rsid w:val="003946D6"/>
    <w:rsid w:val="00394710"/>
    <w:rsid w:val="003947B6"/>
    <w:rsid w:val="00394868"/>
    <w:rsid w:val="0039488E"/>
    <w:rsid w:val="00394895"/>
    <w:rsid w:val="003948AF"/>
    <w:rsid w:val="003948C1"/>
    <w:rsid w:val="003948FE"/>
    <w:rsid w:val="0039493D"/>
    <w:rsid w:val="00394944"/>
    <w:rsid w:val="00394984"/>
    <w:rsid w:val="00394A17"/>
    <w:rsid w:val="00394A4F"/>
    <w:rsid w:val="00394A53"/>
    <w:rsid w:val="00394A54"/>
    <w:rsid w:val="00394B0B"/>
    <w:rsid w:val="00394B20"/>
    <w:rsid w:val="00394B3F"/>
    <w:rsid w:val="00394C60"/>
    <w:rsid w:val="00394C9C"/>
    <w:rsid w:val="00394CDB"/>
    <w:rsid w:val="00394CF7"/>
    <w:rsid w:val="00394D4A"/>
    <w:rsid w:val="00394D70"/>
    <w:rsid w:val="00394D81"/>
    <w:rsid w:val="00394E45"/>
    <w:rsid w:val="00394E50"/>
    <w:rsid w:val="00394E60"/>
    <w:rsid w:val="00394EC4"/>
    <w:rsid w:val="00394F78"/>
    <w:rsid w:val="00394FF1"/>
    <w:rsid w:val="00395040"/>
    <w:rsid w:val="003950A0"/>
    <w:rsid w:val="00395181"/>
    <w:rsid w:val="003951CA"/>
    <w:rsid w:val="00395231"/>
    <w:rsid w:val="00395274"/>
    <w:rsid w:val="0039529B"/>
    <w:rsid w:val="003952D2"/>
    <w:rsid w:val="00395338"/>
    <w:rsid w:val="00395353"/>
    <w:rsid w:val="003953FE"/>
    <w:rsid w:val="00395416"/>
    <w:rsid w:val="00395444"/>
    <w:rsid w:val="00395510"/>
    <w:rsid w:val="00395536"/>
    <w:rsid w:val="0039554C"/>
    <w:rsid w:val="003955AA"/>
    <w:rsid w:val="00395630"/>
    <w:rsid w:val="0039566E"/>
    <w:rsid w:val="0039569B"/>
    <w:rsid w:val="003956A3"/>
    <w:rsid w:val="003956C4"/>
    <w:rsid w:val="003956E9"/>
    <w:rsid w:val="00395712"/>
    <w:rsid w:val="003957B4"/>
    <w:rsid w:val="003957C9"/>
    <w:rsid w:val="003957D9"/>
    <w:rsid w:val="003957E3"/>
    <w:rsid w:val="003957E9"/>
    <w:rsid w:val="003957FB"/>
    <w:rsid w:val="00395807"/>
    <w:rsid w:val="00395837"/>
    <w:rsid w:val="00395840"/>
    <w:rsid w:val="003958B1"/>
    <w:rsid w:val="00395918"/>
    <w:rsid w:val="00395926"/>
    <w:rsid w:val="00395952"/>
    <w:rsid w:val="00395979"/>
    <w:rsid w:val="003959AC"/>
    <w:rsid w:val="003959BB"/>
    <w:rsid w:val="003959F6"/>
    <w:rsid w:val="00395A66"/>
    <w:rsid w:val="00395A8D"/>
    <w:rsid w:val="00395AAE"/>
    <w:rsid w:val="00395AFF"/>
    <w:rsid w:val="00395B27"/>
    <w:rsid w:val="00395B3D"/>
    <w:rsid w:val="00395B4B"/>
    <w:rsid w:val="00395BA2"/>
    <w:rsid w:val="00395C5C"/>
    <w:rsid w:val="00395C80"/>
    <w:rsid w:val="00395C82"/>
    <w:rsid w:val="00395CB4"/>
    <w:rsid w:val="00395EE4"/>
    <w:rsid w:val="00395EEE"/>
    <w:rsid w:val="00395F73"/>
    <w:rsid w:val="00395FA2"/>
    <w:rsid w:val="00395FAF"/>
    <w:rsid w:val="00395FB4"/>
    <w:rsid w:val="00395FED"/>
    <w:rsid w:val="00396088"/>
    <w:rsid w:val="0039610B"/>
    <w:rsid w:val="00396115"/>
    <w:rsid w:val="0039623E"/>
    <w:rsid w:val="00396283"/>
    <w:rsid w:val="003962C9"/>
    <w:rsid w:val="00396312"/>
    <w:rsid w:val="00396358"/>
    <w:rsid w:val="003963D2"/>
    <w:rsid w:val="003963EA"/>
    <w:rsid w:val="00396404"/>
    <w:rsid w:val="0039645E"/>
    <w:rsid w:val="0039647A"/>
    <w:rsid w:val="003964BE"/>
    <w:rsid w:val="003965A2"/>
    <w:rsid w:val="003965E9"/>
    <w:rsid w:val="003965EA"/>
    <w:rsid w:val="0039660E"/>
    <w:rsid w:val="00396627"/>
    <w:rsid w:val="00396643"/>
    <w:rsid w:val="00396749"/>
    <w:rsid w:val="00396756"/>
    <w:rsid w:val="003967B8"/>
    <w:rsid w:val="003967DC"/>
    <w:rsid w:val="0039685A"/>
    <w:rsid w:val="003968B5"/>
    <w:rsid w:val="003968C5"/>
    <w:rsid w:val="00396949"/>
    <w:rsid w:val="003969F4"/>
    <w:rsid w:val="003969F8"/>
    <w:rsid w:val="00396A15"/>
    <w:rsid w:val="00396ADD"/>
    <w:rsid w:val="00396AE5"/>
    <w:rsid w:val="00396AF1"/>
    <w:rsid w:val="00396AF9"/>
    <w:rsid w:val="00396B20"/>
    <w:rsid w:val="00396B2B"/>
    <w:rsid w:val="00396B60"/>
    <w:rsid w:val="00396C1F"/>
    <w:rsid w:val="00396C8D"/>
    <w:rsid w:val="00396D84"/>
    <w:rsid w:val="00396D98"/>
    <w:rsid w:val="00396D9E"/>
    <w:rsid w:val="00396E33"/>
    <w:rsid w:val="00396F39"/>
    <w:rsid w:val="00397095"/>
    <w:rsid w:val="003970ED"/>
    <w:rsid w:val="00397111"/>
    <w:rsid w:val="0039712C"/>
    <w:rsid w:val="00397183"/>
    <w:rsid w:val="00397188"/>
    <w:rsid w:val="0039719B"/>
    <w:rsid w:val="003971C3"/>
    <w:rsid w:val="00397226"/>
    <w:rsid w:val="0039729A"/>
    <w:rsid w:val="0039733F"/>
    <w:rsid w:val="0039735D"/>
    <w:rsid w:val="00397363"/>
    <w:rsid w:val="00397364"/>
    <w:rsid w:val="00397389"/>
    <w:rsid w:val="0039744A"/>
    <w:rsid w:val="003974C1"/>
    <w:rsid w:val="0039753F"/>
    <w:rsid w:val="00397551"/>
    <w:rsid w:val="003975D8"/>
    <w:rsid w:val="003975DF"/>
    <w:rsid w:val="00397639"/>
    <w:rsid w:val="0039763E"/>
    <w:rsid w:val="00397640"/>
    <w:rsid w:val="0039767C"/>
    <w:rsid w:val="003976BF"/>
    <w:rsid w:val="003976CF"/>
    <w:rsid w:val="003976F2"/>
    <w:rsid w:val="00397726"/>
    <w:rsid w:val="0039773A"/>
    <w:rsid w:val="0039773F"/>
    <w:rsid w:val="0039775F"/>
    <w:rsid w:val="00397797"/>
    <w:rsid w:val="003977D6"/>
    <w:rsid w:val="00397853"/>
    <w:rsid w:val="00397891"/>
    <w:rsid w:val="0039795B"/>
    <w:rsid w:val="0039796E"/>
    <w:rsid w:val="00397973"/>
    <w:rsid w:val="00397A20"/>
    <w:rsid w:val="00397A33"/>
    <w:rsid w:val="00397A35"/>
    <w:rsid w:val="00397A4F"/>
    <w:rsid w:val="00397A51"/>
    <w:rsid w:val="00397A90"/>
    <w:rsid w:val="00397A9C"/>
    <w:rsid w:val="00397AB1"/>
    <w:rsid w:val="00397AD2"/>
    <w:rsid w:val="00397B45"/>
    <w:rsid w:val="00397B4A"/>
    <w:rsid w:val="00397B62"/>
    <w:rsid w:val="00397B74"/>
    <w:rsid w:val="00397C4A"/>
    <w:rsid w:val="00397C55"/>
    <w:rsid w:val="00397C79"/>
    <w:rsid w:val="00397C97"/>
    <w:rsid w:val="00397CFE"/>
    <w:rsid w:val="00397D13"/>
    <w:rsid w:val="00397D5B"/>
    <w:rsid w:val="00397D90"/>
    <w:rsid w:val="00397DBE"/>
    <w:rsid w:val="00397E2C"/>
    <w:rsid w:val="00397EC0"/>
    <w:rsid w:val="00397F40"/>
    <w:rsid w:val="00397F53"/>
    <w:rsid w:val="00397F97"/>
    <w:rsid w:val="00397FC8"/>
    <w:rsid w:val="003A0009"/>
    <w:rsid w:val="003A002D"/>
    <w:rsid w:val="003A005D"/>
    <w:rsid w:val="003A0063"/>
    <w:rsid w:val="003A00EF"/>
    <w:rsid w:val="003A0138"/>
    <w:rsid w:val="003A016D"/>
    <w:rsid w:val="003A0197"/>
    <w:rsid w:val="003A01A8"/>
    <w:rsid w:val="003A01D1"/>
    <w:rsid w:val="003A0223"/>
    <w:rsid w:val="003A023A"/>
    <w:rsid w:val="003A024A"/>
    <w:rsid w:val="003A0274"/>
    <w:rsid w:val="003A029C"/>
    <w:rsid w:val="003A02A1"/>
    <w:rsid w:val="003A030B"/>
    <w:rsid w:val="003A0310"/>
    <w:rsid w:val="003A0346"/>
    <w:rsid w:val="003A0373"/>
    <w:rsid w:val="003A03AB"/>
    <w:rsid w:val="003A03C6"/>
    <w:rsid w:val="003A03D3"/>
    <w:rsid w:val="003A0400"/>
    <w:rsid w:val="003A046E"/>
    <w:rsid w:val="003A0572"/>
    <w:rsid w:val="003A05C1"/>
    <w:rsid w:val="003A05ED"/>
    <w:rsid w:val="003A060C"/>
    <w:rsid w:val="003A0617"/>
    <w:rsid w:val="003A06A0"/>
    <w:rsid w:val="003A06E9"/>
    <w:rsid w:val="003A0734"/>
    <w:rsid w:val="003A0737"/>
    <w:rsid w:val="003A0756"/>
    <w:rsid w:val="003A07A5"/>
    <w:rsid w:val="003A07AC"/>
    <w:rsid w:val="003A07DE"/>
    <w:rsid w:val="003A082C"/>
    <w:rsid w:val="003A083A"/>
    <w:rsid w:val="003A087D"/>
    <w:rsid w:val="003A087F"/>
    <w:rsid w:val="003A0940"/>
    <w:rsid w:val="003A096C"/>
    <w:rsid w:val="003A0A54"/>
    <w:rsid w:val="003A0A7D"/>
    <w:rsid w:val="003A0A86"/>
    <w:rsid w:val="003A0A9B"/>
    <w:rsid w:val="003A0B20"/>
    <w:rsid w:val="003A0BCB"/>
    <w:rsid w:val="003A0C15"/>
    <w:rsid w:val="003A0C1B"/>
    <w:rsid w:val="003A0C47"/>
    <w:rsid w:val="003A0CC9"/>
    <w:rsid w:val="003A0D22"/>
    <w:rsid w:val="003A0D32"/>
    <w:rsid w:val="003A0DFC"/>
    <w:rsid w:val="003A0E0C"/>
    <w:rsid w:val="003A0E9B"/>
    <w:rsid w:val="003A0ECF"/>
    <w:rsid w:val="003A0F25"/>
    <w:rsid w:val="003A1001"/>
    <w:rsid w:val="003A106D"/>
    <w:rsid w:val="003A10B9"/>
    <w:rsid w:val="003A1110"/>
    <w:rsid w:val="003A120A"/>
    <w:rsid w:val="003A1213"/>
    <w:rsid w:val="003A1275"/>
    <w:rsid w:val="003A1333"/>
    <w:rsid w:val="003A1368"/>
    <w:rsid w:val="003A1442"/>
    <w:rsid w:val="003A1485"/>
    <w:rsid w:val="003A1530"/>
    <w:rsid w:val="003A15DE"/>
    <w:rsid w:val="003A15F6"/>
    <w:rsid w:val="003A165D"/>
    <w:rsid w:val="003A1663"/>
    <w:rsid w:val="003A16BC"/>
    <w:rsid w:val="003A16CB"/>
    <w:rsid w:val="003A173E"/>
    <w:rsid w:val="003A1757"/>
    <w:rsid w:val="003A1758"/>
    <w:rsid w:val="003A17A5"/>
    <w:rsid w:val="003A17AB"/>
    <w:rsid w:val="003A183A"/>
    <w:rsid w:val="003A18C4"/>
    <w:rsid w:val="003A18E5"/>
    <w:rsid w:val="003A1943"/>
    <w:rsid w:val="003A199F"/>
    <w:rsid w:val="003A1A26"/>
    <w:rsid w:val="003A1A80"/>
    <w:rsid w:val="003A1AA5"/>
    <w:rsid w:val="003A1ADE"/>
    <w:rsid w:val="003A1B32"/>
    <w:rsid w:val="003A1B6E"/>
    <w:rsid w:val="003A1B94"/>
    <w:rsid w:val="003A1B99"/>
    <w:rsid w:val="003A1BDE"/>
    <w:rsid w:val="003A1C03"/>
    <w:rsid w:val="003A1C15"/>
    <w:rsid w:val="003A1C2D"/>
    <w:rsid w:val="003A1CC2"/>
    <w:rsid w:val="003A1DD7"/>
    <w:rsid w:val="003A1E2A"/>
    <w:rsid w:val="003A1E49"/>
    <w:rsid w:val="003A1E54"/>
    <w:rsid w:val="003A1E6B"/>
    <w:rsid w:val="003A1E8A"/>
    <w:rsid w:val="003A1EC8"/>
    <w:rsid w:val="003A1F87"/>
    <w:rsid w:val="003A1F99"/>
    <w:rsid w:val="003A200B"/>
    <w:rsid w:val="003A201C"/>
    <w:rsid w:val="003A2084"/>
    <w:rsid w:val="003A20BA"/>
    <w:rsid w:val="003A20D6"/>
    <w:rsid w:val="003A2106"/>
    <w:rsid w:val="003A2112"/>
    <w:rsid w:val="003A2117"/>
    <w:rsid w:val="003A212D"/>
    <w:rsid w:val="003A214E"/>
    <w:rsid w:val="003A216E"/>
    <w:rsid w:val="003A2184"/>
    <w:rsid w:val="003A21AA"/>
    <w:rsid w:val="003A21C3"/>
    <w:rsid w:val="003A21CE"/>
    <w:rsid w:val="003A21FA"/>
    <w:rsid w:val="003A2225"/>
    <w:rsid w:val="003A222C"/>
    <w:rsid w:val="003A2268"/>
    <w:rsid w:val="003A2284"/>
    <w:rsid w:val="003A2292"/>
    <w:rsid w:val="003A22B1"/>
    <w:rsid w:val="003A230E"/>
    <w:rsid w:val="003A2328"/>
    <w:rsid w:val="003A238A"/>
    <w:rsid w:val="003A23BA"/>
    <w:rsid w:val="003A23C6"/>
    <w:rsid w:val="003A242D"/>
    <w:rsid w:val="003A24E3"/>
    <w:rsid w:val="003A255E"/>
    <w:rsid w:val="003A256D"/>
    <w:rsid w:val="003A258B"/>
    <w:rsid w:val="003A25CB"/>
    <w:rsid w:val="003A25D1"/>
    <w:rsid w:val="003A2603"/>
    <w:rsid w:val="003A2609"/>
    <w:rsid w:val="003A261E"/>
    <w:rsid w:val="003A264A"/>
    <w:rsid w:val="003A26D6"/>
    <w:rsid w:val="003A26F5"/>
    <w:rsid w:val="003A2714"/>
    <w:rsid w:val="003A2744"/>
    <w:rsid w:val="003A276C"/>
    <w:rsid w:val="003A277C"/>
    <w:rsid w:val="003A27A8"/>
    <w:rsid w:val="003A27AB"/>
    <w:rsid w:val="003A27D4"/>
    <w:rsid w:val="003A27F3"/>
    <w:rsid w:val="003A2825"/>
    <w:rsid w:val="003A282D"/>
    <w:rsid w:val="003A282F"/>
    <w:rsid w:val="003A284A"/>
    <w:rsid w:val="003A2881"/>
    <w:rsid w:val="003A2965"/>
    <w:rsid w:val="003A299A"/>
    <w:rsid w:val="003A29D7"/>
    <w:rsid w:val="003A29E0"/>
    <w:rsid w:val="003A29ED"/>
    <w:rsid w:val="003A29F2"/>
    <w:rsid w:val="003A2A35"/>
    <w:rsid w:val="003A2A66"/>
    <w:rsid w:val="003A2AF0"/>
    <w:rsid w:val="003A2B24"/>
    <w:rsid w:val="003A2B36"/>
    <w:rsid w:val="003A2B39"/>
    <w:rsid w:val="003A2C2D"/>
    <w:rsid w:val="003A2D1E"/>
    <w:rsid w:val="003A2D9F"/>
    <w:rsid w:val="003A2DAB"/>
    <w:rsid w:val="003A2DCA"/>
    <w:rsid w:val="003A2DD1"/>
    <w:rsid w:val="003A2DFE"/>
    <w:rsid w:val="003A2E28"/>
    <w:rsid w:val="003A2E8F"/>
    <w:rsid w:val="003A2ED9"/>
    <w:rsid w:val="003A2EDE"/>
    <w:rsid w:val="003A2EF3"/>
    <w:rsid w:val="003A2F09"/>
    <w:rsid w:val="003A2F6A"/>
    <w:rsid w:val="003A2F9A"/>
    <w:rsid w:val="003A2FA5"/>
    <w:rsid w:val="003A3014"/>
    <w:rsid w:val="003A301D"/>
    <w:rsid w:val="003A307E"/>
    <w:rsid w:val="003A311E"/>
    <w:rsid w:val="003A316E"/>
    <w:rsid w:val="003A318A"/>
    <w:rsid w:val="003A319A"/>
    <w:rsid w:val="003A31FD"/>
    <w:rsid w:val="003A3316"/>
    <w:rsid w:val="003A33F8"/>
    <w:rsid w:val="003A3419"/>
    <w:rsid w:val="003A3451"/>
    <w:rsid w:val="003A3470"/>
    <w:rsid w:val="003A34B1"/>
    <w:rsid w:val="003A34F1"/>
    <w:rsid w:val="003A34F4"/>
    <w:rsid w:val="003A34F6"/>
    <w:rsid w:val="003A3592"/>
    <w:rsid w:val="003A35A5"/>
    <w:rsid w:val="003A35AC"/>
    <w:rsid w:val="003A3602"/>
    <w:rsid w:val="003A3646"/>
    <w:rsid w:val="003A365C"/>
    <w:rsid w:val="003A3681"/>
    <w:rsid w:val="003A36BE"/>
    <w:rsid w:val="003A36E0"/>
    <w:rsid w:val="003A3732"/>
    <w:rsid w:val="003A3746"/>
    <w:rsid w:val="003A3752"/>
    <w:rsid w:val="003A3762"/>
    <w:rsid w:val="003A377A"/>
    <w:rsid w:val="003A37AD"/>
    <w:rsid w:val="003A37CB"/>
    <w:rsid w:val="003A3881"/>
    <w:rsid w:val="003A38C6"/>
    <w:rsid w:val="003A38DD"/>
    <w:rsid w:val="003A390D"/>
    <w:rsid w:val="003A3911"/>
    <w:rsid w:val="003A399F"/>
    <w:rsid w:val="003A39A9"/>
    <w:rsid w:val="003A39C8"/>
    <w:rsid w:val="003A39F1"/>
    <w:rsid w:val="003A3A25"/>
    <w:rsid w:val="003A3A47"/>
    <w:rsid w:val="003A3A5B"/>
    <w:rsid w:val="003A3A7A"/>
    <w:rsid w:val="003A3A8B"/>
    <w:rsid w:val="003A3AD0"/>
    <w:rsid w:val="003A3AEB"/>
    <w:rsid w:val="003A3B15"/>
    <w:rsid w:val="003A3B3A"/>
    <w:rsid w:val="003A3B8C"/>
    <w:rsid w:val="003A3BA4"/>
    <w:rsid w:val="003A3C1C"/>
    <w:rsid w:val="003A3C24"/>
    <w:rsid w:val="003A3C60"/>
    <w:rsid w:val="003A3C87"/>
    <w:rsid w:val="003A3C9C"/>
    <w:rsid w:val="003A3CA5"/>
    <w:rsid w:val="003A3CAD"/>
    <w:rsid w:val="003A3CC4"/>
    <w:rsid w:val="003A3D0B"/>
    <w:rsid w:val="003A3D2B"/>
    <w:rsid w:val="003A3DB2"/>
    <w:rsid w:val="003A3DB3"/>
    <w:rsid w:val="003A3DBE"/>
    <w:rsid w:val="003A3DC6"/>
    <w:rsid w:val="003A3E01"/>
    <w:rsid w:val="003A3E04"/>
    <w:rsid w:val="003A3E55"/>
    <w:rsid w:val="003A3E6C"/>
    <w:rsid w:val="003A3E86"/>
    <w:rsid w:val="003A3EBC"/>
    <w:rsid w:val="003A3F14"/>
    <w:rsid w:val="003A3F61"/>
    <w:rsid w:val="003A3F9D"/>
    <w:rsid w:val="003A3FB0"/>
    <w:rsid w:val="003A3FDF"/>
    <w:rsid w:val="003A4030"/>
    <w:rsid w:val="003A4041"/>
    <w:rsid w:val="003A40E0"/>
    <w:rsid w:val="003A40EA"/>
    <w:rsid w:val="003A4156"/>
    <w:rsid w:val="003A4158"/>
    <w:rsid w:val="003A419D"/>
    <w:rsid w:val="003A41DB"/>
    <w:rsid w:val="003A420F"/>
    <w:rsid w:val="003A4250"/>
    <w:rsid w:val="003A42A0"/>
    <w:rsid w:val="003A42D1"/>
    <w:rsid w:val="003A4313"/>
    <w:rsid w:val="003A4362"/>
    <w:rsid w:val="003A4369"/>
    <w:rsid w:val="003A4371"/>
    <w:rsid w:val="003A4372"/>
    <w:rsid w:val="003A4385"/>
    <w:rsid w:val="003A4474"/>
    <w:rsid w:val="003A4475"/>
    <w:rsid w:val="003A44D5"/>
    <w:rsid w:val="003A44DA"/>
    <w:rsid w:val="003A457D"/>
    <w:rsid w:val="003A4598"/>
    <w:rsid w:val="003A45FB"/>
    <w:rsid w:val="003A4637"/>
    <w:rsid w:val="003A4659"/>
    <w:rsid w:val="003A46B2"/>
    <w:rsid w:val="003A46DC"/>
    <w:rsid w:val="003A46FE"/>
    <w:rsid w:val="003A470C"/>
    <w:rsid w:val="003A472E"/>
    <w:rsid w:val="003A4773"/>
    <w:rsid w:val="003A47E1"/>
    <w:rsid w:val="003A47FE"/>
    <w:rsid w:val="003A480D"/>
    <w:rsid w:val="003A4853"/>
    <w:rsid w:val="003A487F"/>
    <w:rsid w:val="003A4926"/>
    <w:rsid w:val="003A498C"/>
    <w:rsid w:val="003A4994"/>
    <w:rsid w:val="003A4999"/>
    <w:rsid w:val="003A49B7"/>
    <w:rsid w:val="003A4A79"/>
    <w:rsid w:val="003A4AEA"/>
    <w:rsid w:val="003A4AFB"/>
    <w:rsid w:val="003A4B26"/>
    <w:rsid w:val="003A4BD3"/>
    <w:rsid w:val="003A4BF8"/>
    <w:rsid w:val="003A4C0F"/>
    <w:rsid w:val="003A4C3A"/>
    <w:rsid w:val="003A4C81"/>
    <w:rsid w:val="003A4C82"/>
    <w:rsid w:val="003A4CAE"/>
    <w:rsid w:val="003A4CC7"/>
    <w:rsid w:val="003A4CCA"/>
    <w:rsid w:val="003A4D2B"/>
    <w:rsid w:val="003A4D4A"/>
    <w:rsid w:val="003A4DA2"/>
    <w:rsid w:val="003A4DF7"/>
    <w:rsid w:val="003A4E42"/>
    <w:rsid w:val="003A4E5B"/>
    <w:rsid w:val="003A4E7D"/>
    <w:rsid w:val="003A4EB0"/>
    <w:rsid w:val="003A4EF0"/>
    <w:rsid w:val="003A4EF4"/>
    <w:rsid w:val="003A4F0D"/>
    <w:rsid w:val="003A4F11"/>
    <w:rsid w:val="003A4F51"/>
    <w:rsid w:val="003A4F59"/>
    <w:rsid w:val="003A4FB5"/>
    <w:rsid w:val="003A5007"/>
    <w:rsid w:val="003A502C"/>
    <w:rsid w:val="003A503E"/>
    <w:rsid w:val="003A504B"/>
    <w:rsid w:val="003A50D1"/>
    <w:rsid w:val="003A516C"/>
    <w:rsid w:val="003A517E"/>
    <w:rsid w:val="003A51D6"/>
    <w:rsid w:val="003A5237"/>
    <w:rsid w:val="003A5251"/>
    <w:rsid w:val="003A5256"/>
    <w:rsid w:val="003A5285"/>
    <w:rsid w:val="003A52A2"/>
    <w:rsid w:val="003A532D"/>
    <w:rsid w:val="003A53CF"/>
    <w:rsid w:val="003A53D2"/>
    <w:rsid w:val="003A53F9"/>
    <w:rsid w:val="003A542D"/>
    <w:rsid w:val="003A5445"/>
    <w:rsid w:val="003A544B"/>
    <w:rsid w:val="003A54A4"/>
    <w:rsid w:val="003A54AD"/>
    <w:rsid w:val="003A54B3"/>
    <w:rsid w:val="003A5536"/>
    <w:rsid w:val="003A5537"/>
    <w:rsid w:val="003A5557"/>
    <w:rsid w:val="003A556A"/>
    <w:rsid w:val="003A5583"/>
    <w:rsid w:val="003A5599"/>
    <w:rsid w:val="003A55B2"/>
    <w:rsid w:val="003A55DE"/>
    <w:rsid w:val="003A55E5"/>
    <w:rsid w:val="003A55E7"/>
    <w:rsid w:val="003A55FA"/>
    <w:rsid w:val="003A562C"/>
    <w:rsid w:val="003A5660"/>
    <w:rsid w:val="003A569E"/>
    <w:rsid w:val="003A56A0"/>
    <w:rsid w:val="003A5753"/>
    <w:rsid w:val="003A578D"/>
    <w:rsid w:val="003A5791"/>
    <w:rsid w:val="003A57A9"/>
    <w:rsid w:val="003A57D1"/>
    <w:rsid w:val="003A57EC"/>
    <w:rsid w:val="003A57FD"/>
    <w:rsid w:val="003A580A"/>
    <w:rsid w:val="003A582B"/>
    <w:rsid w:val="003A583A"/>
    <w:rsid w:val="003A584D"/>
    <w:rsid w:val="003A5858"/>
    <w:rsid w:val="003A589A"/>
    <w:rsid w:val="003A58A7"/>
    <w:rsid w:val="003A590B"/>
    <w:rsid w:val="003A5967"/>
    <w:rsid w:val="003A59E4"/>
    <w:rsid w:val="003A5A48"/>
    <w:rsid w:val="003A5A4A"/>
    <w:rsid w:val="003A5A66"/>
    <w:rsid w:val="003A5AC9"/>
    <w:rsid w:val="003A5ACE"/>
    <w:rsid w:val="003A5B34"/>
    <w:rsid w:val="003A5B35"/>
    <w:rsid w:val="003A5BA3"/>
    <w:rsid w:val="003A5BEA"/>
    <w:rsid w:val="003A5C53"/>
    <w:rsid w:val="003A5C58"/>
    <w:rsid w:val="003A5C76"/>
    <w:rsid w:val="003A5C92"/>
    <w:rsid w:val="003A5CE3"/>
    <w:rsid w:val="003A5D5B"/>
    <w:rsid w:val="003A5E10"/>
    <w:rsid w:val="003A5E57"/>
    <w:rsid w:val="003A5E8E"/>
    <w:rsid w:val="003A5E9D"/>
    <w:rsid w:val="003A5EAA"/>
    <w:rsid w:val="003A5ED2"/>
    <w:rsid w:val="003A5EEE"/>
    <w:rsid w:val="003A5F1E"/>
    <w:rsid w:val="003A5F2B"/>
    <w:rsid w:val="003A5FCA"/>
    <w:rsid w:val="003A5FCC"/>
    <w:rsid w:val="003A6009"/>
    <w:rsid w:val="003A6055"/>
    <w:rsid w:val="003A60BC"/>
    <w:rsid w:val="003A60BE"/>
    <w:rsid w:val="003A612E"/>
    <w:rsid w:val="003A613E"/>
    <w:rsid w:val="003A62B8"/>
    <w:rsid w:val="003A62CB"/>
    <w:rsid w:val="003A6335"/>
    <w:rsid w:val="003A63A7"/>
    <w:rsid w:val="003A63EC"/>
    <w:rsid w:val="003A63F4"/>
    <w:rsid w:val="003A63F8"/>
    <w:rsid w:val="003A6438"/>
    <w:rsid w:val="003A6451"/>
    <w:rsid w:val="003A645C"/>
    <w:rsid w:val="003A64A5"/>
    <w:rsid w:val="003A64F9"/>
    <w:rsid w:val="003A6514"/>
    <w:rsid w:val="003A65AB"/>
    <w:rsid w:val="003A65BA"/>
    <w:rsid w:val="003A6618"/>
    <w:rsid w:val="003A664F"/>
    <w:rsid w:val="003A6676"/>
    <w:rsid w:val="003A66F3"/>
    <w:rsid w:val="003A6733"/>
    <w:rsid w:val="003A6746"/>
    <w:rsid w:val="003A6778"/>
    <w:rsid w:val="003A6780"/>
    <w:rsid w:val="003A6795"/>
    <w:rsid w:val="003A67FF"/>
    <w:rsid w:val="003A681F"/>
    <w:rsid w:val="003A682F"/>
    <w:rsid w:val="003A684A"/>
    <w:rsid w:val="003A68F4"/>
    <w:rsid w:val="003A6901"/>
    <w:rsid w:val="003A6936"/>
    <w:rsid w:val="003A6938"/>
    <w:rsid w:val="003A6959"/>
    <w:rsid w:val="003A697E"/>
    <w:rsid w:val="003A69A9"/>
    <w:rsid w:val="003A69FC"/>
    <w:rsid w:val="003A6A6C"/>
    <w:rsid w:val="003A6A76"/>
    <w:rsid w:val="003A6A84"/>
    <w:rsid w:val="003A6A9E"/>
    <w:rsid w:val="003A6AC2"/>
    <w:rsid w:val="003A6B0F"/>
    <w:rsid w:val="003A6BB5"/>
    <w:rsid w:val="003A6C31"/>
    <w:rsid w:val="003A6C41"/>
    <w:rsid w:val="003A6C47"/>
    <w:rsid w:val="003A6C5B"/>
    <w:rsid w:val="003A6C74"/>
    <w:rsid w:val="003A6C8A"/>
    <w:rsid w:val="003A6C94"/>
    <w:rsid w:val="003A6CFD"/>
    <w:rsid w:val="003A6D1C"/>
    <w:rsid w:val="003A6DA6"/>
    <w:rsid w:val="003A6DC5"/>
    <w:rsid w:val="003A6DCB"/>
    <w:rsid w:val="003A6E18"/>
    <w:rsid w:val="003A6E2F"/>
    <w:rsid w:val="003A6E6C"/>
    <w:rsid w:val="003A6E90"/>
    <w:rsid w:val="003A6EB1"/>
    <w:rsid w:val="003A6F32"/>
    <w:rsid w:val="003A6F4E"/>
    <w:rsid w:val="003A6F55"/>
    <w:rsid w:val="003A6F94"/>
    <w:rsid w:val="003A6FB7"/>
    <w:rsid w:val="003A6FBF"/>
    <w:rsid w:val="003A6FF2"/>
    <w:rsid w:val="003A701B"/>
    <w:rsid w:val="003A7025"/>
    <w:rsid w:val="003A705C"/>
    <w:rsid w:val="003A70BA"/>
    <w:rsid w:val="003A70BD"/>
    <w:rsid w:val="003A717F"/>
    <w:rsid w:val="003A7220"/>
    <w:rsid w:val="003A7283"/>
    <w:rsid w:val="003A728E"/>
    <w:rsid w:val="003A7339"/>
    <w:rsid w:val="003A73BB"/>
    <w:rsid w:val="003A7419"/>
    <w:rsid w:val="003A741A"/>
    <w:rsid w:val="003A7442"/>
    <w:rsid w:val="003A7476"/>
    <w:rsid w:val="003A749F"/>
    <w:rsid w:val="003A74BC"/>
    <w:rsid w:val="003A74C1"/>
    <w:rsid w:val="003A74DD"/>
    <w:rsid w:val="003A7523"/>
    <w:rsid w:val="003A7533"/>
    <w:rsid w:val="003A7552"/>
    <w:rsid w:val="003A758E"/>
    <w:rsid w:val="003A7594"/>
    <w:rsid w:val="003A7655"/>
    <w:rsid w:val="003A776E"/>
    <w:rsid w:val="003A77BD"/>
    <w:rsid w:val="003A77DA"/>
    <w:rsid w:val="003A77DB"/>
    <w:rsid w:val="003A7807"/>
    <w:rsid w:val="003A7831"/>
    <w:rsid w:val="003A7856"/>
    <w:rsid w:val="003A78BD"/>
    <w:rsid w:val="003A78E9"/>
    <w:rsid w:val="003A78F1"/>
    <w:rsid w:val="003A78FF"/>
    <w:rsid w:val="003A7911"/>
    <w:rsid w:val="003A7960"/>
    <w:rsid w:val="003A79B0"/>
    <w:rsid w:val="003A7A31"/>
    <w:rsid w:val="003A7AA1"/>
    <w:rsid w:val="003A7AAA"/>
    <w:rsid w:val="003A7AD1"/>
    <w:rsid w:val="003A7AFA"/>
    <w:rsid w:val="003A7B0D"/>
    <w:rsid w:val="003A7B15"/>
    <w:rsid w:val="003A7B63"/>
    <w:rsid w:val="003A7BB2"/>
    <w:rsid w:val="003A7BDF"/>
    <w:rsid w:val="003A7BFA"/>
    <w:rsid w:val="003A7C5C"/>
    <w:rsid w:val="003A7C62"/>
    <w:rsid w:val="003A7C8E"/>
    <w:rsid w:val="003A7CC6"/>
    <w:rsid w:val="003A7CCD"/>
    <w:rsid w:val="003A7D04"/>
    <w:rsid w:val="003A7D09"/>
    <w:rsid w:val="003A7D0A"/>
    <w:rsid w:val="003A7D66"/>
    <w:rsid w:val="003A7D84"/>
    <w:rsid w:val="003A7D91"/>
    <w:rsid w:val="003A7E59"/>
    <w:rsid w:val="003A7E5B"/>
    <w:rsid w:val="003A7E63"/>
    <w:rsid w:val="003A7EA7"/>
    <w:rsid w:val="003A7EE0"/>
    <w:rsid w:val="003A7EF2"/>
    <w:rsid w:val="003A7F41"/>
    <w:rsid w:val="003A7F66"/>
    <w:rsid w:val="003B0033"/>
    <w:rsid w:val="003B0068"/>
    <w:rsid w:val="003B0071"/>
    <w:rsid w:val="003B00A2"/>
    <w:rsid w:val="003B00C9"/>
    <w:rsid w:val="003B00E4"/>
    <w:rsid w:val="003B00FA"/>
    <w:rsid w:val="003B012E"/>
    <w:rsid w:val="003B0135"/>
    <w:rsid w:val="003B01AA"/>
    <w:rsid w:val="003B0204"/>
    <w:rsid w:val="003B020A"/>
    <w:rsid w:val="003B022B"/>
    <w:rsid w:val="003B0245"/>
    <w:rsid w:val="003B0271"/>
    <w:rsid w:val="003B0287"/>
    <w:rsid w:val="003B0288"/>
    <w:rsid w:val="003B02C2"/>
    <w:rsid w:val="003B02DC"/>
    <w:rsid w:val="003B0302"/>
    <w:rsid w:val="003B0310"/>
    <w:rsid w:val="003B0311"/>
    <w:rsid w:val="003B0348"/>
    <w:rsid w:val="003B0383"/>
    <w:rsid w:val="003B04C0"/>
    <w:rsid w:val="003B04DE"/>
    <w:rsid w:val="003B04F4"/>
    <w:rsid w:val="003B0536"/>
    <w:rsid w:val="003B0539"/>
    <w:rsid w:val="003B05A8"/>
    <w:rsid w:val="003B05C7"/>
    <w:rsid w:val="003B05DC"/>
    <w:rsid w:val="003B0611"/>
    <w:rsid w:val="003B061D"/>
    <w:rsid w:val="003B06C9"/>
    <w:rsid w:val="003B0717"/>
    <w:rsid w:val="003B071B"/>
    <w:rsid w:val="003B074F"/>
    <w:rsid w:val="003B0850"/>
    <w:rsid w:val="003B0874"/>
    <w:rsid w:val="003B08B1"/>
    <w:rsid w:val="003B08B6"/>
    <w:rsid w:val="003B09B3"/>
    <w:rsid w:val="003B0A6D"/>
    <w:rsid w:val="003B0AAC"/>
    <w:rsid w:val="003B0ABA"/>
    <w:rsid w:val="003B0AD3"/>
    <w:rsid w:val="003B0AF0"/>
    <w:rsid w:val="003B0B28"/>
    <w:rsid w:val="003B0B8D"/>
    <w:rsid w:val="003B0B98"/>
    <w:rsid w:val="003B0BB5"/>
    <w:rsid w:val="003B0BE3"/>
    <w:rsid w:val="003B0BF6"/>
    <w:rsid w:val="003B0BFA"/>
    <w:rsid w:val="003B0C22"/>
    <w:rsid w:val="003B0C97"/>
    <w:rsid w:val="003B0CB6"/>
    <w:rsid w:val="003B0D1F"/>
    <w:rsid w:val="003B0D27"/>
    <w:rsid w:val="003B0D7B"/>
    <w:rsid w:val="003B0DFE"/>
    <w:rsid w:val="003B0E8C"/>
    <w:rsid w:val="003B0E9B"/>
    <w:rsid w:val="003B0EB9"/>
    <w:rsid w:val="003B0EDE"/>
    <w:rsid w:val="003B0F2B"/>
    <w:rsid w:val="003B0F4A"/>
    <w:rsid w:val="003B0F74"/>
    <w:rsid w:val="003B0FB9"/>
    <w:rsid w:val="003B103D"/>
    <w:rsid w:val="003B1048"/>
    <w:rsid w:val="003B1078"/>
    <w:rsid w:val="003B10F9"/>
    <w:rsid w:val="003B1118"/>
    <w:rsid w:val="003B1119"/>
    <w:rsid w:val="003B111E"/>
    <w:rsid w:val="003B117A"/>
    <w:rsid w:val="003B118B"/>
    <w:rsid w:val="003B1199"/>
    <w:rsid w:val="003B11D3"/>
    <w:rsid w:val="003B1245"/>
    <w:rsid w:val="003B124F"/>
    <w:rsid w:val="003B125D"/>
    <w:rsid w:val="003B1266"/>
    <w:rsid w:val="003B1270"/>
    <w:rsid w:val="003B12D1"/>
    <w:rsid w:val="003B12F1"/>
    <w:rsid w:val="003B131B"/>
    <w:rsid w:val="003B134E"/>
    <w:rsid w:val="003B14A8"/>
    <w:rsid w:val="003B150E"/>
    <w:rsid w:val="003B1540"/>
    <w:rsid w:val="003B1542"/>
    <w:rsid w:val="003B157C"/>
    <w:rsid w:val="003B157F"/>
    <w:rsid w:val="003B1580"/>
    <w:rsid w:val="003B1595"/>
    <w:rsid w:val="003B15F9"/>
    <w:rsid w:val="003B1609"/>
    <w:rsid w:val="003B177C"/>
    <w:rsid w:val="003B1785"/>
    <w:rsid w:val="003B1791"/>
    <w:rsid w:val="003B17C4"/>
    <w:rsid w:val="003B17DF"/>
    <w:rsid w:val="003B183F"/>
    <w:rsid w:val="003B18F3"/>
    <w:rsid w:val="003B190C"/>
    <w:rsid w:val="003B1961"/>
    <w:rsid w:val="003B19C6"/>
    <w:rsid w:val="003B19D8"/>
    <w:rsid w:val="003B1A54"/>
    <w:rsid w:val="003B1B90"/>
    <w:rsid w:val="003B1BB9"/>
    <w:rsid w:val="003B1C11"/>
    <w:rsid w:val="003B1C26"/>
    <w:rsid w:val="003B1C43"/>
    <w:rsid w:val="003B1C74"/>
    <w:rsid w:val="003B1C84"/>
    <w:rsid w:val="003B1C91"/>
    <w:rsid w:val="003B1CFF"/>
    <w:rsid w:val="003B1DC8"/>
    <w:rsid w:val="003B1E03"/>
    <w:rsid w:val="003B1E44"/>
    <w:rsid w:val="003B1E97"/>
    <w:rsid w:val="003B1EAE"/>
    <w:rsid w:val="003B1EEA"/>
    <w:rsid w:val="003B1F3B"/>
    <w:rsid w:val="003B1F3F"/>
    <w:rsid w:val="003B1F70"/>
    <w:rsid w:val="003B1FE2"/>
    <w:rsid w:val="003B2026"/>
    <w:rsid w:val="003B2113"/>
    <w:rsid w:val="003B217B"/>
    <w:rsid w:val="003B21FD"/>
    <w:rsid w:val="003B2236"/>
    <w:rsid w:val="003B2256"/>
    <w:rsid w:val="003B2269"/>
    <w:rsid w:val="003B2270"/>
    <w:rsid w:val="003B228F"/>
    <w:rsid w:val="003B22DD"/>
    <w:rsid w:val="003B2342"/>
    <w:rsid w:val="003B237A"/>
    <w:rsid w:val="003B2383"/>
    <w:rsid w:val="003B2387"/>
    <w:rsid w:val="003B23B9"/>
    <w:rsid w:val="003B23F8"/>
    <w:rsid w:val="003B2415"/>
    <w:rsid w:val="003B2459"/>
    <w:rsid w:val="003B248D"/>
    <w:rsid w:val="003B24AD"/>
    <w:rsid w:val="003B24E6"/>
    <w:rsid w:val="003B2503"/>
    <w:rsid w:val="003B2562"/>
    <w:rsid w:val="003B2589"/>
    <w:rsid w:val="003B2590"/>
    <w:rsid w:val="003B25B6"/>
    <w:rsid w:val="003B25D5"/>
    <w:rsid w:val="003B2602"/>
    <w:rsid w:val="003B2629"/>
    <w:rsid w:val="003B2638"/>
    <w:rsid w:val="003B26CB"/>
    <w:rsid w:val="003B26F8"/>
    <w:rsid w:val="003B2708"/>
    <w:rsid w:val="003B276F"/>
    <w:rsid w:val="003B2807"/>
    <w:rsid w:val="003B28DF"/>
    <w:rsid w:val="003B2928"/>
    <w:rsid w:val="003B2979"/>
    <w:rsid w:val="003B298A"/>
    <w:rsid w:val="003B29F6"/>
    <w:rsid w:val="003B2B91"/>
    <w:rsid w:val="003B2C46"/>
    <w:rsid w:val="003B2C88"/>
    <w:rsid w:val="003B2CB8"/>
    <w:rsid w:val="003B2D91"/>
    <w:rsid w:val="003B2DD0"/>
    <w:rsid w:val="003B2E22"/>
    <w:rsid w:val="003B2E3C"/>
    <w:rsid w:val="003B2E5E"/>
    <w:rsid w:val="003B2EA5"/>
    <w:rsid w:val="003B2F43"/>
    <w:rsid w:val="003B2F7B"/>
    <w:rsid w:val="003B2F93"/>
    <w:rsid w:val="003B2F94"/>
    <w:rsid w:val="003B2FC2"/>
    <w:rsid w:val="003B3099"/>
    <w:rsid w:val="003B309B"/>
    <w:rsid w:val="003B30CA"/>
    <w:rsid w:val="003B3107"/>
    <w:rsid w:val="003B31A7"/>
    <w:rsid w:val="003B3271"/>
    <w:rsid w:val="003B327E"/>
    <w:rsid w:val="003B32B1"/>
    <w:rsid w:val="003B3323"/>
    <w:rsid w:val="003B3374"/>
    <w:rsid w:val="003B337F"/>
    <w:rsid w:val="003B3391"/>
    <w:rsid w:val="003B3458"/>
    <w:rsid w:val="003B3539"/>
    <w:rsid w:val="003B355D"/>
    <w:rsid w:val="003B35B3"/>
    <w:rsid w:val="003B35D5"/>
    <w:rsid w:val="003B3600"/>
    <w:rsid w:val="003B3655"/>
    <w:rsid w:val="003B3689"/>
    <w:rsid w:val="003B36B5"/>
    <w:rsid w:val="003B3712"/>
    <w:rsid w:val="003B3724"/>
    <w:rsid w:val="003B3757"/>
    <w:rsid w:val="003B3764"/>
    <w:rsid w:val="003B379D"/>
    <w:rsid w:val="003B37A1"/>
    <w:rsid w:val="003B37CC"/>
    <w:rsid w:val="003B380A"/>
    <w:rsid w:val="003B3871"/>
    <w:rsid w:val="003B387E"/>
    <w:rsid w:val="003B38AA"/>
    <w:rsid w:val="003B38BD"/>
    <w:rsid w:val="003B38D4"/>
    <w:rsid w:val="003B38E2"/>
    <w:rsid w:val="003B3920"/>
    <w:rsid w:val="003B3968"/>
    <w:rsid w:val="003B39A7"/>
    <w:rsid w:val="003B39AA"/>
    <w:rsid w:val="003B39EA"/>
    <w:rsid w:val="003B3A24"/>
    <w:rsid w:val="003B3A64"/>
    <w:rsid w:val="003B3A7D"/>
    <w:rsid w:val="003B3A8C"/>
    <w:rsid w:val="003B3AAF"/>
    <w:rsid w:val="003B3AB2"/>
    <w:rsid w:val="003B3B9E"/>
    <w:rsid w:val="003B3C6D"/>
    <w:rsid w:val="003B3C95"/>
    <w:rsid w:val="003B3D04"/>
    <w:rsid w:val="003B3D30"/>
    <w:rsid w:val="003B3D70"/>
    <w:rsid w:val="003B3D7E"/>
    <w:rsid w:val="003B3DE6"/>
    <w:rsid w:val="003B3E9F"/>
    <w:rsid w:val="003B3EC5"/>
    <w:rsid w:val="003B3EE1"/>
    <w:rsid w:val="003B3F7B"/>
    <w:rsid w:val="003B3F85"/>
    <w:rsid w:val="003B3F91"/>
    <w:rsid w:val="003B3FBC"/>
    <w:rsid w:val="003B3FC4"/>
    <w:rsid w:val="003B4023"/>
    <w:rsid w:val="003B4056"/>
    <w:rsid w:val="003B4058"/>
    <w:rsid w:val="003B4079"/>
    <w:rsid w:val="003B413B"/>
    <w:rsid w:val="003B4189"/>
    <w:rsid w:val="003B41A3"/>
    <w:rsid w:val="003B41BA"/>
    <w:rsid w:val="003B41C0"/>
    <w:rsid w:val="003B4246"/>
    <w:rsid w:val="003B425B"/>
    <w:rsid w:val="003B427A"/>
    <w:rsid w:val="003B42E0"/>
    <w:rsid w:val="003B4316"/>
    <w:rsid w:val="003B4335"/>
    <w:rsid w:val="003B43A0"/>
    <w:rsid w:val="003B4436"/>
    <w:rsid w:val="003B444A"/>
    <w:rsid w:val="003B4508"/>
    <w:rsid w:val="003B453C"/>
    <w:rsid w:val="003B45D3"/>
    <w:rsid w:val="003B4632"/>
    <w:rsid w:val="003B4689"/>
    <w:rsid w:val="003B46E8"/>
    <w:rsid w:val="003B4715"/>
    <w:rsid w:val="003B4723"/>
    <w:rsid w:val="003B4843"/>
    <w:rsid w:val="003B489D"/>
    <w:rsid w:val="003B4923"/>
    <w:rsid w:val="003B4946"/>
    <w:rsid w:val="003B4958"/>
    <w:rsid w:val="003B499A"/>
    <w:rsid w:val="003B49CA"/>
    <w:rsid w:val="003B4A18"/>
    <w:rsid w:val="003B4A37"/>
    <w:rsid w:val="003B4A49"/>
    <w:rsid w:val="003B4A79"/>
    <w:rsid w:val="003B4A88"/>
    <w:rsid w:val="003B4B00"/>
    <w:rsid w:val="003B4B2F"/>
    <w:rsid w:val="003B4B30"/>
    <w:rsid w:val="003B4BA3"/>
    <w:rsid w:val="003B4BCD"/>
    <w:rsid w:val="003B4BF3"/>
    <w:rsid w:val="003B4C50"/>
    <w:rsid w:val="003B4CA1"/>
    <w:rsid w:val="003B4D38"/>
    <w:rsid w:val="003B4DE7"/>
    <w:rsid w:val="003B4EBF"/>
    <w:rsid w:val="003B4F48"/>
    <w:rsid w:val="003B4F49"/>
    <w:rsid w:val="003B4F54"/>
    <w:rsid w:val="003B4F97"/>
    <w:rsid w:val="003B4FB2"/>
    <w:rsid w:val="003B5024"/>
    <w:rsid w:val="003B5038"/>
    <w:rsid w:val="003B505E"/>
    <w:rsid w:val="003B5060"/>
    <w:rsid w:val="003B50AB"/>
    <w:rsid w:val="003B50B4"/>
    <w:rsid w:val="003B5175"/>
    <w:rsid w:val="003B5192"/>
    <w:rsid w:val="003B522E"/>
    <w:rsid w:val="003B5268"/>
    <w:rsid w:val="003B52A3"/>
    <w:rsid w:val="003B52CB"/>
    <w:rsid w:val="003B530D"/>
    <w:rsid w:val="003B5342"/>
    <w:rsid w:val="003B5388"/>
    <w:rsid w:val="003B53F3"/>
    <w:rsid w:val="003B5446"/>
    <w:rsid w:val="003B5477"/>
    <w:rsid w:val="003B548B"/>
    <w:rsid w:val="003B54BC"/>
    <w:rsid w:val="003B551D"/>
    <w:rsid w:val="003B55E0"/>
    <w:rsid w:val="003B5610"/>
    <w:rsid w:val="003B562F"/>
    <w:rsid w:val="003B5635"/>
    <w:rsid w:val="003B5636"/>
    <w:rsid w:val="003B563F"/>
    <w:rsid w:val="003B5644"/>
    <w:rsid w:val="003B5658"/>
    <w:rsid w:val="003B565D"/>
    <w:rsid w:val="003B5666"/>
    <w:rsid w:val="003B5669"/>
    <w:rsid w:val="003B5686"/>
    <w:rsid w:val="003B56BF"/>
    <w:rsid w:val="003B5774"/>
    <w:rsid w:val="003B577C"/>
    <w:rsid w:val="003B57A0"/>
    <w:rsid w:val="003B583B"/>
    <w:rsid w:val="003B587A"/>
    <w:rsid w:val="003B588F"/>
    <w:rsid w:val="003B58A0"/>
    <w:rsid w:val="003B595C"/>
    <w:rsid w:val="003B5974"/>
    <w:rsid w:val="003B598A"/>
    <w:rsid w:val="003B599E"/>
    <w:rsid w:val="003B59A0"/>
    <w:rsid w:val="003B59AA"/>
    <w:rsid w:val="003B5A6A"/>
    <w:rsid w:val="003B5A88"/>
    <w:rsid w:val="003B5A9C"/>
    <w:rsid w:val="003B5AF6"/>
    <w:rsid w:val="003B5B82"/>
    <w:rsid w:val="003B5BF6"/>
    <w:rsid w:val="003B5D52"/>
    <w:rsid w:val="003B5DEB"/>
    <w:rsid w:val="003B5E7F"/>
    <w:rsid w:val="003B5ECF"/>
    <w:rsid w:val="003B5F1E"/>
    <w:rsid w:val="003B5F1F"/>
    <w:rsid w:val="003B5F7D"/>
    <w:rsid w:val="003B6083"/>
    <w:rsid w:val="003B60EC"/>
    <w:rsid w:val="003B60F4"/>
    <w:rsid w:val="003B60FB"/>
    <w:rsid w:val="003B618C"/>
    <w:rsid w:val="003B61BA"/>
    <w:rsid w:val="003B61F7"/>
    <w:rsid w:val="003B622F"/>
    <w:rsid w:val="003B6283"/>
    <w:rsid w:val="003B6381"/>
    <w:rsid w:val="003B641E"/>
    <w:rsid w:val="003B642D"/>
    <w:rsid w:val="003B644F"/>
    <w:rsid w:val="003B64DB"/>
    <w:rsid w:val="003B65C0"/>
    <w:rsid w:val="003B660E"/>
    <w:rsid w:val="003B6663"/>
    <w:rsid w:val="003B6679"/>
    <w:rsid w:val="003B6690"/>
    <w:rsid w:val="003B66C8"/>
    <w:rsid w:val="003B67CC"/>
    <w:rsid w:val="003B685E"/>
    <w:rsid w:val="003B690E"/>
    <w:rsid w:val="003B6913"/>
    <w:rsid w:val="003B693A"/>
    <w:rsid w:val="003B6941"/>
    <w:rsid w:val="003B694D"/>
    <w:rsid w:val="003B696C"/>
    <w:rsid w:val="003B697A"/>
    <w:rsid w:val="003B69AA"/>
    <w:rsid w:val="003B69CB"/>
    <w:rsid w:val="003B6A5B"/>
    <w:rsid w:val="003B6AAD"/>
    <w:rsid w:val="003B6AB8"/>
    <w:rsid w:val="003B6AC6"/>
    <w:rsid w:val="003B6AD3"/>
    <w:rsid w:val="003B6AE1"/>
    <w:rsid w:val="003B6AEB"/>
    <w:rsid w:val="003B6B10"/>
    <w:rsid w:val="003B6B4C"/>
    <w:rsid w:val="003B6B51"/>
    <w:rsid w:val="003B6BBF"/>
    <w:rsid w:val="003B6BCD"/>
    <w:rsid w:val="003B6BE3"/>
    <w:rsid w:val="003B6C11"/>
    <w:rsid w:val="003B6C15"/>
    <w:rsid w:val="003B6C65"/>
    <w:rsid w:val="003B6CDB"/>
    <w:rsid w:val="003B6CFC"/>
    <w:rsid w:val="003B6D25"/>
    <w:rsid w:val="003B6D54"/>
    <w:rsid w:val="003B6DA8"/>
    <w:rsid w:val="003B6E5D"/>
    <w:rsid w:val="003B6E6A"/>
    <w:rsid w:val="003B6E6F"/>
    <w:rsid w:val="003B6E7C"/>
    <w:rsid w:val="003B6F48"/>
    <w:rsid w:val="003B6F6C"/>
    <w:rsid w:val="003B6FA4"/>
    <w:rsid w:val="003B6FB2"/>
    <w:rsid w:val="003B7045"/>
    <w:rsid w:val="003B70C3"/>
    <w:rsid w:val="003B7159"/>
    <w:rsid w:val="003B71AA"/>
    <w:rsid w:val="003B71DB"/>
    <w:rsid w:val="003B723E"/>
    <w:rsid w:val="003B7288"/>
    <w:rsid w:val="003B729A"/>
    <w:rsid w:val="003B72B8"/>
    <w:rsid w:val="003B7304"/>
    <w:rsid w:val="003B73A3"/>
    <w:rsid w:val="003B73B4"/>
    <w:rsid w:val="003B73FE"/>
    <w:rsid w:val="003B7471"/>
    <w:rsid w:val="003B74BA"/>
    <w:rsid w:val="003B74D9"/>
    <w:rsid w:val="003B74F5"/>
    <w:rsid w:val="003B7556"/>
    <w:rsid w:val="003B75CA"/>
    <w:rsid w:val="003B75D6"/>
    <w:rsid w:val="003B75F2"/>
    <w:rsid w:val="003B7617"/>
    <w:rsid w:val="003B7624"/>
    <w:rsid w:val="003B76C2"/>
    <w:rsid w:val="003B76C6"/>
    <w:rsid w:val="003B7734"/>
    <w:rsid w:val="003B773D"/>
    <w:rsid w:val="003B7767"/>
    <w:rsid w:val="003B784B"/>
    <w:rsid w:val="003B78C5"/>
    <w:rsid w:val="003B78E4"/>
    <w:rsid w:val="003B78E6"/>
    <w:rsid w:val="003B7908"/>
    <w:rsid w:val="003B7971"/>
    <w:rsid w:val="003B799F"/>
    <w:rsid w:val="003B79E9"/>
    <w:rsid w:val="003B7A91"/>
    <w:rsid w:val="003B7AB8"/>
    <w:rsid w:val="003B7AFC"/>
    <w:rsid w:val="003B7B09"/>
    <w:rsid w:val="003B7B52"/>
    <w:rsid w:val="003B7B93"/>
    <w:rsid w:val="003B7C8A"/>
    <w:rsid w:val="003B7CB3"/>
    <w:rsid w:val="003B7D10"/>
    <w:rsid w:val="003B7D1E"/>
    <w:rsid w:val="003B7D97"/>
    <w:rsid w:val="003B7DEF"/>
    <w:rsid w:val="003B7E00"/>
    <w:rsid w:val="003B7E14"/>
    <w:rsid w:val="003B7E3E"/>
    <w:rsid w:val="003B7E69"/>
    <w:rsid w:val="003B7E7C"/>
    <w:rsid w:val="003B7E81"/>
    <w:rsid w:val="003B7E83"/>
    <w:rsid w:val="003B7E8C"/>
    <w:rsid w:val="003B7E8D"/>
    <w:rsid w:val="003B7EFB"/>
    <w:rsid w:val="003B7F47"/>
    <w:rsid w:val="003B7F4B"/>
    <w:rsid w:val="003B7F9C"/>
    <w:rsid w:val="003C0024"/>
    <w:rsid w:val="003C002B"/>
    <w:rsid w:val="003C0035"/>
    <w:rsid w:val="003C003B"/>
    <w:rsid w:val="003C0080"/>
    <w:rsid w:val="003C00BB"/>
    <w:rsid w:val="003C00C3"/>
    <w:rsid w:val="003C00EB"/>
    <w:rsid w:val="003C010E"/>
    <w:rsid w:val="003C011B"/>
    <w:rsid w:val="003C014A"/>
    <w:rsid w:val="003C018C"/>
    <w:rsid w:val="003C018D"/>
    <w:rsid w:val="003C019F"/>
    <w:rsid w:val="003C01D7"/>
    <w:rsid w:val="003C021D"/>
    <w:rsid w:val="003C022D"/>
    <w:rsid w:val="003C0254"/>
    <w:rsid w:val="003C0266"/>
    <w:rsid w:val="003C0271"/>
    <w:rsid w:val="003C02DE"/>
    <w:rsid w:val="003C02E6"/>
    <w:rsid w:val="003C02F0"/>
    <w:rsid w:val="003C03A2"/>
    <w:rsid w:val="003C0452"/>
    <w:rsid w:val="003C04D8"/>
    <w:rsid w:val="003C04FA"/>
    <w:rsid w:val="003C0512"/>
    <w:rsid w:val="003C0529"/>
    <w:rsid w:val="003C056F"/>
    <w:rsid w:val="003C059A"/>
    <w:rsid w:val="003C05B4"/>
    <w:rsid w:val="003C05CF"/>
    <w:rsid w:val="003C0600"/>
    <w:rsid w:val="003C061F"/>
    <w:rsid w:val="003C0623"/>
    <w:rsid w:val="003C0653"/>
    <w:rsid w:val="003C066F"/>
    <w:rsid w:val="003C06CA"/>
    <w:rsid w:val="003C06DC"/>
    <w:rsid w:val="003C082E"/>
    <w:rsid w:val="003C0863"/>
    <w:rsid w:val="003C0903"/>
    <w:rsid w:val="003C092F"/>
    <w:rsid w:val="003C094A"/>
    <w:rsid w:val="003C0A1F"/>
    <w:rsid w:val="003C0A68"/>
    <w:rsid w:val="003C0A6C"/>
    <w:rsid w:val="003C0A90"/>
    <w:rsid w:val="003C0A92"/>
    <w:rsid w:val="003C0ACF"/>
    <w:rsid w:val="003C0B12"/>
    <w:rsid w:val="003C0B2E"/>
    <w:rsid w:val="003C0B5A"/>
    <w:rsid w:val="003C0C0F"/>
    <w:rsid w:val="003C0C9A"/>
    <w:rsid w:val="003C0CD6"/>
    <w:rsid w:val="003C0D1D"/>
    <w:rsid w:val="003C0D1F"/>
    <w:rsid w:val="003C0D3C"/>
    <w:rsid w:val="003C0D57"/>
    <w:rsid w:val="003C0D6A"/>
    <w:rsid w:val="003C0D94"/>
    <w:rsid w:val="003C0DA1"/>
    <w:rsid w:val="003C0DB0"/>
    <w:rsid w:val="003C0DB5"/>
    <w:rsid w:val="003C0E7E"/>
    <w:rsid w:val="003C0F2E"/>
    <w:rsid w:val="003C0F32"/>
    <w:rsid w:val="003C0F6D"/>
    <w:rsid w:val="003C0F8E"/>
    <w:rsid w:val="003C0FCB"/>
    <w:rsid w:val="003C0FDD"/>
    <w:rsid w:val="003C0FEE"/>
    <w:rsid w:val="003C1011"/>
    <w:rsid w:val="003C1014"/>
    <w:rsid w:val="003C102D"/>
    <w:rsid w:val="003C1061"/>
    <w:rsid w:val="003C10A1"/>
    <w:rsid w:val="003C10EA"/>
    <w:rsid w:val="003C114B"/>
    <w:rsid w:val="003C117C"/>
    <w:rsid w:val="003C1187"/>
    <w:rsid w:val="003C11A1"/>
    <w:rsid w:val="003C11CD"/>
    <w:rsid w:val="003C11DB"/>
    <w:rsid w:val="003C11F8"/>
    <w:rsid w:val="003C1227"/>
    <w:rsid w:val="003C1275"/>
    <w:rsid w:val="003C12BA"/>
    <w:rsid w:val="003C12BC"/>
    <w:rsid w:val="003C12E0"/>
    <w:rsid w:val="003C1337"/>
    <w:rsid w:val="003C138F"/>
    <w:rsid w:val="003C1392"/>
    <w:rsid w:val="003C13A8"/>
    <w:rsid w:val="003C13CA"/>
    <w:rsid w:val="003C1421"/>
    <w:rsid w:val="003C1424"/>
    <w:rsid w:val="003C143C"/>
    <w:rsid w:val="003C1460"/>
    <w:rsid w:val="003C1469"/>
    <w:rsid w:val="003C14B5"/>
    <w:rsid w:val="003C14B7"/>
    <w:rsid w:val="003C14C0"/>
    <w:rsid w:val="003C14CA"/>
    <w:rsid w:val="003C14D7"/>
    <w:rsid w:val="003C151B"/>
    <w:rsid w:val="003C152E"/>
    <w:rsid w:val="003C1592"/>
    <w:rsid w:val="003C15A7"/>
    <w:rsid w:val="003C15C0"/>
    <w:rsid w:val="003C15F3"/>
    <w:rsid w:val="003C1608"/>
    <w:rsid w:val="003C160C"/>
    <w:rsid w:val="003C1653"/>
    <w:rsid w:val="003C167C"/>
    <w:rsid w:val="003C16AE"/>
    <w:rsid w:val="003C16FE"/>
    <w:rsid w:val="003C171E"/>
    <w:rsid w:val="003C173D"/>
    <w:rsid w:val="003C177A"/>
    <w:rsid w:val="003C1788"/>
    <w:rsid w:val="003C17C0"/>
    <w:rsid w:val="003C17C4"/>
    <w:rsid w:val="003C1809"/>
    <w:rsid w:val="003C193D"/>
    <w:rsid w:val="003C1951"/>
    <w:rsid w:val="003C19DD"/>
    <w:rsid w:val="003C1A1F"/>
    <w:rsid w:val="003C1A3D"/>
    <w:rsid w:val="003C1A3F"/>
    <w:rsid w:val="003C1A4C"/>
    <w:rsid w:val="003C1AA6"/>
    <w:rsid w:val="003C1AE1"/>
    <w:rsid w:val="003C1AF1"/>
    <w:rsid w:val="003C1BDC"/>
    <w:rsid w:val="003C1BE7"/>
    <w:rsid w:val="003C1C40"/>
    <w:rsid w:val="003C1C54"/>
    <w:rsid w:val="003C1C99"/>
    <w:rsid w:val="003C1CE4"/>
    <w:rsid w:val="003C1CF4"/>
    <w:rsid w:val="003C1D28"/>
    <w:rsid w:val="003C1D2C"/>
    <w:rsid w:val="003C1E0A"/>
    <w:rsid w:val="003C1ECD"/>
    <w:rsid w:val="003C1EF6"/>
    <w:rsid w:val="003C1EFC"/>
    <w:rsid w:val="003C1F95"/>
    <w:rsid w:val="003C1F97"/>
    <w:rsid w:val="003C1FD2"/>
    <w:rsid w:val="003C1FF1"/>
    <w:rsid w:val="003C2009"/>
    <w:rsid w:val="003C2022"/>
    <w:rsid w:val="003C202B"/>
    <w:rsid w:val="003C2043"/>
    <w:rsid w:val="003C2078"/>
    <w:rsid w:val="003C2082"/>
    <w:rsid w:val="003C2087"/>
    <w:rsid w:val="003C210B"/>
    <w:rsid w:val="003C2116"/>
    <w:rsid w:val="003C21C2"/>
    <w:rsid w:val="003C2212"/>
    <w:rsid w:val="003C228B"/>
    <w:rsid w:val="003C22D8"/>
    <w:rsid w:val="003C234A"/>
    <w:rsid w:val="003C237B"/>
    <w:rsid w:val="003C23C7"/>
    <w:rsid w:val="003C2409"/>
    <w:rsid w:val="003C24B4"/>
    <w:rsid w:val="003C24E0"/>
    <w:rsid w:val="003C24EF"/>
    <w:rsid w:val="003C24F8"/>
    <w:rsid w:val="003C2599"/>
    <w:rsid w:val="003C25BD"/>
    <w:rsid w:val="003C25CA"/>
    <w:rsid w:val="003C25D7"/>
    <w:rsid w:val="003C25FF"/>
    <w:rsid w:val="003C2609"/>
    <w:rsid w:val="003C267B"/>
    <w:rsid w:val="003C26B7"/>
    <w:rsid w:val="003C26D2"/>
    <w:rsid w:val="003C26DB"/>
    <w:rsid w:val="003C2761"/>
    <w:rsid w:val="003C2795"/>
    <w:rsid w:val="003C27B6"/>
    <w:rsid w:val="003C27D1"/>
    <w:rsid w:val="003C2816"/>
    <w:rsid w:val="003C284A"/>
    <w:rsid w:val="003C286D"/>
    <w:rsid w:val="003C28A3"/>
    <w:rsid w:val="003C28B5"/>
    <w:rsid w:val="003C28E2"/>
    <w:rsid w:val="003C2930"/>
    <w:rsid w:val="003C296F"/>
    <w:rsid w:val="003C2997"/>
    <w:rsid w:val="003C2A07"/>
    <w:rsid w:val="003C2A4D"/>
    <w:rsid w:val="003C2A67"/>
    <w:rsid w:val="003C2AA8"/>
    <w:rsid w:val="003C2AE0"/>
    <w:rsid w:val="003C2AEC"/>
    <w:rsid w:val="003C2B0B"/>
    <w:rsid w:val="003C2B49"/>
    <w:rsid w:val="003C2B56"/>
    <w:rsid w:val="003C2B9B"/>
    <w:rsid w:val="003C2BD9"/>
    <w:rsid w:val="003C2BFF"/>
    <w:rsid w:val="003C2C14"/>
    <w:rsid w:val="003C2C23"/>
    <w:rsid w:val="003C2C40"/>
    <w:rsid w:val="003C2C7E"/>
    <w:rsid w:val="003C2C90"/>
    <w:rsid w:val="003C2CA0"/>
    <w:rsid w:val="003C2CFA"/>
    <w:rsid w:val="003C2D20"/>
    <w:rsid w:val="003C2D22"/>
    <w:rsid w:val="003C2D2F"/>
    <w:rsid w:val="003C2DA2"/>
    <w:rsid w:val="003C2DBD"/>
    <w:rsid w:val="003C2E12"/>
    <w:rsid w:val="003C2E2D"/>
    <w:rsid w:val="003C2F16"/>
    <w:rsid w:val="003C2F29"/>
    <w:rsid w:val="003C2F78"/>
    <w:rsid w:val="003C2F81"/>
    <w:rsid w:val="003C2F87"/>
    <w:rsid w:val="003C2FBA"/>
    <w:rsid w:val="003C2FD9"/>
    <w:rsid w:val="003C3006"/>
    <w:rsid w:val="003C3031"/>
    <w:rsid w:val="003C3062"/>
    <w:rsid w:val="003C3070"/>
    <w:rsid w:val="003C30F9"/>
    <w:rsid w:val="003C3110"/>
    <w:rsid w:val="003C3126"/>
    <w:rsid w:val="003C3184"/>
    <w:rsid w:val="003C31D3"/>
    <w:rsid w:val="003C324E"/>
    <w:rsid w:val="003C327F"/>
    <w:rsid w:val="003C334E"/>
    <w:rsid w:val="003C3369"/>
    <w:rsid w:val="003C3384"/>
    <w:rsid w:val="003C339D"/>
    <w:rsid w:val="003C33B1"/>
    <w:rsid w:val="003C33BD"/>
    <w:rsid w:val="003C340F"/>
    <w:rsid w:val="003C3432"/>
    <w:rsid w:val="003C3449"/>
    <w:rsid w:val="003C3476"/>
    <w:rsid w:val="003C3480"/>
    <w:rsid w:val="003C34A3"/>
    <w:rsid w:val="003C34AA"/>
    <w:rsid w:val="003C34C6"/>
    <w:rsid w:val="003C34EA"/>
    <w:rsid w:val="003C354B"/>
    <w:rsid w:val="003C3568"/>
    <w:rsid w:val="003C358A"/>
    <w:rsid w:val="003C35C8"/>
    <w:rsid w:val="003C362F"/>
    <w:rsid w:val="003C36BB"/>
    <w:rsid w:val="003C36D0"/>
    <w:rsid w:val="003C36EE"/>
    <w:rsid w:val="003C3772"/>
    <w:rsid w:val="003C379E"/>
    <w:rsid w:val="003C37CA"/>
    <w:rsid w:val="003C3836"/>
    <w:rsid w:val="003C387C"/>
    <w:rsid w:val="003C3893"/>
    <w:rsid w:val="003C38CB"/>
    <w:rsid w:val="003C38DD"/>
    <w:rsid w:val="003C394F"/>
    <w:rsid w:val="003C3976"/>
    <w:rsid w:val="003C39C0"/>
    <w:rsid w:val="003C39C7"/>
    <w:rsid w:val="003C39E7"/>
    <w:rsid w:val="003C3A21"/>
    <w:rsid w:val="003C3A26"/>
    <w:rsid w:val="003C3A69"/>
    <w:rsid w:val="003C3AF7"/>
    <w:rsid w:val="003C3B69"/>
    <w:rsid w:val="003C3D28"/>
    <w:rsid w:val="003C3D4F"/>
    <w:rsid w:val="003C3D62"/>
    <w:rsid w:val="003C3D7C"/>
    <w:rsid w:val="003C3DAA"/>
    <w:rsid w:val="003C3DB8"/>
    <w:rsid w:val="003C3DDC"/>
    <w:rsid w:val="003C3DE4"/>
    <w:rsid w:val="003C3E18"/>
    <w:rsid w:val="003C3E54"/>
    <w:rsid w:val="003C3EB3"/>
    <w:rsid w:val="003C3F36"/>
    <w:rsid w:val="003C3F51"/>
    <w:rsid w:val="003C3FB5"/>
    <w:rsid w:val="003C3FD6"/>
    <w:rsid w:val="003C401D"/>
    <w:rsid w:val="003C407F"/>
    <w:rsid w:val="003C4125"/>
    <w:rsid w:val="003C4151"/>
    <w:rsid w:val="003C41E1"/>
    <w:rsid w:val="003C41E7"/>
    <w:rsid w:val="003C421D"/>
    <w:rsid w:val="003C4231"/>
    <w:rsid w:val="003C4243"/>
    <w:rsid w:val="003C428F"/>
    <w:rsid w:val="003C42B1"/>
    <w:rsid w:val="003C4316"/>
    <w:rsid w:val="003C43D9"/>
    <w:rsid w:val="003C4461"/>
    <w:rsid w:val="003C44B1"/>
    <w:rsid w:val="003C44C2"/>
    <w:rsid w:val="003C4510"/>
    <w:rsid w:val="003C452C"/>
    <w:rsid w:val="003C453D"/>
    <w:rsid w:val="003C4566"/>
    <w:rsid w:val="003C468C"/>
    <w:rsid w:val="003C46B9"/>
    <w:rsid w:val="003C46BE"/>
    <w:rsid w:val="003C46E2"/>
    <w:rsid w:val="003C4736"/>
    <w:rsid w:val="003C4762"/>
    <w:rsid w:val="003C4777"/>
    <w:rsid w:val="003C47A4"/>
    <w:rsid w:val="003C47C7"/>
    <w:rsid w:val="003C4834"/>
    <w:rsid w:val="003C484F"/>
    <w:rsid w:val="003C4886"/>
    <w:rsid w:val="003C48AD"/>
    <w:rsid w:val="003C491F"/>
    <w:rsid w:val="003C4958"/>
    <w:rsid w:val="003C499B"/>
    <w:rsid w:val="003C49A0"/>
    <w:rsid w:val="003C49D3"/>
    <w:rsid w:val="003C4A16"/>
    <w:rsid w:val="003C4A1E"/>
    <w:rsid w:val="003C4A24"/>
    <w:rsid w:val="003C4A68"/>
    <w:rsid w:val="003C4A72"/>
    <w:rsid w:val="003C4B03"/>
    <w:rsid w:val="003C4B16"/>
    <w:rsid w:val="003C4B61"/>
    <w:rsid w:val="003C4B75"/>
    <w:rsid w:val="003C4B96"/>
    <w:rsid w:val="003C4C0B"/>
    <w:rsid w:val="003C4C44"/>
    <w:rsid w:val="003C4C5A"/>
    <w:rsid w:val="003C4D25"/>
    <w:rsid w:val="003C4D94"/>
    <w:rsid w:val="003C4DB9"/>
    <w:rsid w:val="003C4DC1"/>
    <w:rsid w:val="003C4E13"/>
    <w:rsid w:val="003C4E19"/>
    <w:rsid w:val="003C4E34"/>
    <w:rsid w:val="003C4E38"/>
    <w:rsid w:val="003C4E72"/>
    <w:rsid w:val="003C4EA4"/>
    <w:rsid w:val="003C4EEA"/>
    <w:rsid w:val="003C4F3E"/>
    <w:rsid w:val="003C4FD5"/>
    <w:rsid w:val="003C501C"/>
    <w:rsid w:val="003C5028"/>
    <w:rsid w:val="003C5038"/>
    <w:rsid w:val="003C5044"/>
    <w:rsid w:val="003C5055"/>
    <w:rsid w:val="003C5070"/>
    <w:rsid w:val="003C5081"/>
    <w:rsid w:val="003C50DD"/>
    <w:rsid w:val="003C5100"/>
    <w:rsid w:val="003C511B"/>
    <w:rsid w:val="003C5156"/>
    <w:rsid w:val="003C51C0"/>
    <w:rsid w:val="003C51EB"/>
    <w:rsid w:val="003C5265"/>
    <w:rsid w:val="003C5269"/>
    <w:rsid w:val="003C52A4"/>
    <w:rsid w:val="003C52AD"/>
    <w:rsid w:val="003C52D4"/>
    <w:rsid w:val="003C52E5"/>
    <w:rsid w:val="003C5306"/>
    <w:rsid w:val="003C531A"/>
    <w:rsid w:val="003C532C"/>
    <w:rsid w:val="003C5378"/>
    <w:rsid w:val="003C53B1"/>
    <w:rsid w:val="003C543B"/>
    <w:rsid w:val="003C5452"/>
    <w:rsid w:val="003C54F0"/>
    <w:rsid w:val="003C5563"/>
    <w:rsid w:val="003C5656"/>
    <w:rsid w:val="003C566F"/>
    <w:rsid w:val="003C5697"/>
    <w:rsid w:val="003C56A6"/>
    <w:rsid w:val="003C56AB"/>
    <w:rsid w:val="003C56AE"/>
    <w:rsid w:val="003C56D2"/>
    <w:rsid w:val="003C56E1"/>
    <w:rsid w:val="003C56FC"/>
    <w:rsid w:val="003C575A"/>
    <w:rsid w:val="003C578D"/>
    <w:rsid w:val="003C57DD"/>
    <w:rsid w:val="003C589D"/>
    <w:rsid w:val="003C58A8"/>
    <w:rsid w:val="003C58D9"/>
    <w:rsid w:val="003C58F0"/>
    <w:rsid w:val="003C590B"/>
    <w:rsid w:val="003C591C"/>
    <w:rsid w:val="003C5939"/>
    <w:rsid w:val="003C5961"/>
    <w:rsid w:val="003C596E"/>
    <w:rsid w:val="003C5974"/>
    <w:rsid w:val="003C5993"/>
    <w:rsid w:val="003C5A08"/>
    <w:rsid w:val="003C5A36"/>
    <w:rsid w:val="003C5ACF"/>
    <w:rsid w:val="003C5B39"/>
    <w:rsid w:val="003C5B75"/>
    <w:rsid w:val="003C5BAF"/>
    <w:rsid w:val="003C5BD5"/>
    <w:rsid w:val="003C5C05"/>
    <w:rsid w:val="003C5C1C"/>
    <w:rsid w:val="003C5C5C"/>
    <w:rsid w:val="003C5C83"/>
    <w:rsid w:val="003C5C93"/>
    <w:rsid w:val="003C5CE9"/>
    <w:rsid w:val="003C5DF8"/>
    <w:rsid w:val="003C5E1E"/>
    <w:rsid w:val="003C5E81"/>
    <w:rsid w:val="003C5E96"/>
    <w:rsid w:val="003C5EC0"/>
    <w:rsid w:val="003C5ECC"/>
    <w:rsid w:val="003C5ED7"/>
    <w:rsid w:val="003C5F1A"/>
    <w:rsid w:val="003C5F42"/>
    <w:rsid w:val="003C5F5F"/>
    <w:rsid w:val="003C5FA0"/>
    <w:rsid w:val="003C5FDA"/>
    <w:rsid w:val="003C5FDE"/>
    <w:rsid w:val="003C602D"/>
    <w:rsid w:val="003C6041"/>
    <w:rsid w:val="003C607F"/>
    <w:rsid w:val="003C60A0"/>
    <w:rsid w:val="003C60FF"/>
    <w:rsid w:val="003C6145"/>
    <w:rsid w:val="003C619C"/>
    <w:rsid w:val="003C61D8"/>
    <w:rsid w:val="003C620D"/>
    <w:rsid w:val="003C62A6"/>
    <w:rsid w:val="003C62A7"/>
    <w:rsid w:val="003C62CF"/>
    <w:rsid w:val="003C6318"/>
    <w:rsid w:val="003C632B"/>
    <w:rsid w:val="003C632F"/>
    <w:rsid w:val="003C63AC"/>
    <w:rsid w:val="003C6449"/>
    <w:rsid w:val="003C6500"/>
    <w:rsid w:val="003C6534"/>
    <w:rsid w:val="003C6568"/>
    <w:rsid w:val="003C657C"/>
    <w:rsid w:val="003C660A"/>
    <w:rsid w:val="003C66A5"/>
    <w:rsid w:val="003C6714"/>
    <w:rsid w:val="003C671A"/>
    <w:rsid w:val="003C682B"/>
    <w:rsid w:val="003C6831"/>
    <w:rsid w:val="003C6869"/>
    <w:rsid w:val="003C687A"/>
    <w:rsid w:val="003C691A"/>
    <w:rsid w:val="003C6924"/>
    <w:rsid w:val="003C695D"/>
    <w:rsid w:val="003C69FD"/>
    <w:rsid w:val="003C6A43"/>
    <w:rsid w:val="003C6A81"/>
    <w:rsid w:val="003C6A89"/>
    <w:rsid w:val="003C6ADE"/>
    <w:rsid w:val="003C6BB4"/>
    <w:rsid w:val="003C6BF3"/>
    <w:rsid w:val="003C6C2E"/>
    <w:rsid w:val="003C6C52"/>
    <w:rsid w:val="003C6C55"/>
    <w:rsid w:val="003C6CB1"/>
    <w:rsid w:val="003C6CC6"/>
    <w:rsid w:val="003C6CCA"/>
    <w:rsid w:val="003C6CE2"/>
    <w:rsid w:val="003C6CEA"/>
    <w:rsid w:val="003C6D2C"/>
    <w:rsid w:val="003C6D8F"/>
    <w:rsid w:val="003C6E37"/>
    <w:rsid w:val="003C6ED3"/>
    <w:rsid w:val="003C6EDF"/>
    <w:rsid w:val="003C6EFC"/>
    <w:rsid w:val="003C6F0E"/>
    <w:rsid w:val="003C6F3A"/>
    <w:rsid w:val="003C6FE2"/>
    <w:rsid w:val="003C7002"/>
    <w:rsid w:val="003C7021"/>
    <w:rsid w:val="003C7028"/>
    <w:rsid w:val="003C7043"/>
    <w:rsid w:val="003C704B"/>
    <w:rsid w:val="003C70C8"/>
    <w:rsid w:val="003C70FA"/>
    <w:rsid w:val="003C7115"/>
    <w:rsid w:val="003C7142"/>
    <w:rsid w:val="003C725C"/>
    <w:rsid w:val="003C72AB"/>
    <w:rsid w:val="003C72C7"/>
    <w:rsid w:val="003C7325"/>
    <w:rsid w:val="003C7337"/>
    <w:rsid w:val="003C736D"/>
    <w:rsid w:val="003C73E3"/>
    <w:rsid w:val="003C7445"/>
    <w:rsid w:val="003C7446"/>
    <w:rsid w:val="003C7518"/>
    <w:rsid w:val="003C751A"/>
    <w:rsid w:val="003C7547"/>
    <w:rsid w:val="003C760E"/>
    <w:rsid w:val="003C7686"/>
    <w:rsid w:val="003C7766"/>
    <w:rsid w:val="003C7785"/>
    <w:rsid w:val="003C7796"/>
    <w:rsid w:val="003C7797"/>
    <w:rsid w:val="003C77DB"/>
    <w:rsid w:val="003C781C"/>
    <w:rsid w:val="003C7852"/>
    <w:rsid w:val="003C785F"/>
    <w:rsid w:val="003C78D9"/>
    <w:rsid w:val="003C7907"/>
    <w:rsid w:val="003C7961"/>
    <w:rsid w:val="003C798D"/>
    <w:rsid w:val="003C799D"/>
    <w:rsid w:val="003C7A05"/>
    <w:rsid w:val="003C7A33"/>
    <w:rsid w:val="003C7B27"/>
    <w:rsid w:val="003C7B79"/>
    <w:rsid w:val="003C7B87"/>
    <w:rsid w:val="003C7B91"/>
    <w:rsid w:val="003C7BD0"/>
    <w:rsid w:val="003C7BD7"/>
    <w:rsid w:val="003C7BE8"/>
    <w:rsid w:val="003C7C02"/>
    <w:rsid w:val="003C7D24"/>
    <w:rsid w:val="003C7D34"/>
    <w:rsid w:val="003C7D61"/>
    <w:rsid w:val="003C7D89"/>
    <w:rsid w:val="003C7DC6"/>
    <w:rsid w:val="003C7E1C"/>
    <w:rsid w:val="003C7E24"/>
    <w:rsid w:val="003C7E4C"/>
    <w:rsid w:val="003C7E9F"/>
    <w:rsid w:val="003C7F32"/>
    <w:rsid w:val="003C7F4D"/>
    <w:rsid w:val="003C7FE0"/>
    <w:rsid w:val="003C7FFB"/>
    <w:rsid w:val="003D001E"/>
    <w:rsid w:val="003D003F"/>
    <w:rsid w:val="003D0057"/>
    <w:rsid w:val="003D0065"/>
    <w:rsid w:val="003D00ED"/>
    <w:rsid w:val="003D0108"/>
    <w:rsid w:val="003D010D"/>
    <w:rsid w:val="003D0159"/>
    <w:rsid w:val="003D0161"/>
    <w:rsid w:val="003D01A2"/>
    <w:rsid w:val="003D0246"/>
    <w:rsid w:val="003D027E"/>
    <w:rsid w:val="003D02C6"/>
    <w:rsid w:val="003D0330"/>
    <w:rsid w:val="003D0334"/>
    <w:rsid w:val="003D046A"/>
    <w:rsid w:val="003D04BD"/>
    <w:rsid w:val="003D0533"/>
    <w:rsid w:val="003D0587"/>
    <w:rsid w:val="003D061F"/>
    <w:rsid w:val="003D0641"/>
    <w:rsid w:val="003D06F5"/>
    <w:rsid w:val="003D06FE"/>
    <w:rsid w:val="003D070A"/>
    <w:rsid w:val="003D0712"/>
    <w:rsid w:val="003D075B"/>
    <w:rsid w:val="003D0947"/>
    <w:rsid w:val="003D0998"/>
    <w:rsid w:val="003D099C"/>
    <w:rsid w:val="003D09B9"/>
    <w:rsid w:val="003D09D3"/>
    <w:rsid w:val="003D0A74"/>
    <w:rsid w:val="003D0A97"/>
    <w:rsid w:val="003D0B51"/>
    <w:rsid w:val="003D0BB0"/>
    <w:rsid w:val="003D0BF0"/>
    <w:rsid w:val="003D0C20"/>
    <w:rsid w:val="003D0C53"/>
    <w:rsid w:val="003D0C82"/>
    <w:rsid w:val="003D0D04"/>
    <w:rsid w:val="003D0D4C"/>
    <w:rsid w:val="003D0D5C"/>
    <w:rsid w:val="003D0E2A"/>
    <w:rsid w:val="003D0E5A"/>
    <w:rsid w:val="003D0E5D"/>
    <w:rsid w:val="003D0E6C"/>
    <w:rsid w:val="003D0E85"/>
    <w:rsid w:val="003D0EC3"/>
    <w:rsid w:val="003D0F3B"/>
    <w:rsid w:val="003D0FB5"/>
    <w:rsid w:val="003D0FD4"/>
    <w:rsid w:val="003D0FE9"/>
    <w:rsid w:val="003D1095"/>
    <w:rsid w:val="003D10EA"/>
    <w:rsid w:val="003D1125"/>
    <w:rsid w:val="003D11A9"/>
    <w:rsid w:val="003D11F3"/>
    <w:rsid w:val="003D1209"/>
    <w:rsid w:val="003D1272"/>
    <w:rsid w:val="003D12FA"/>
    <w:rsid w:val="003D1313"/>
    <w:rsid w:val="003D1315"/>
    <w:rsid w:val="003D134E"/>
    <w:rsid w:val="003D137E"/>
    <w:rsid w:val="003D13C3"/>
    <w:rsid w:val="003D13EC"/>
    <w:rsid w:val="003D1433"/>
    <w:rsid w:val="003D14AB"/>
    <w:rsid w:val="003D14DF"/>
    <w:rsid w:val="003D14EE"/>
    <w:rsid w:val="003D15C3"/>
    <w:rsid w:val="003D1616"/>
    <w:rsid w:val="003D1668"/>
    <w:rsid w:val="003D16B3"/>
    <w:rsid w:val="003D16D7"/>
    <w:rsid w:val="003D171F"/>
    <w:rsid w:val="003D1738"/>
    <w:rsid w:val="003D1778"/>
    <w:rsid w:val="003D178F"/>
    <w:rsid w:val="003D17E4"/>
    <w:rsid w:val="003D17FD"/>
    <w:rsid w:val="003D1830"/>
    <w:rsid w:val="003D183B"/>
    <w:rsid w:val="003D1879"/>
    <w:rsid w:val="003D1889"/>
    <w:rsid w:val="003D18D1"/>
    <w:rsid w:val="003D18D8"/>
    <w:rsid w:val="003D18DE"/>
    <w:rsid w:val="003D18FF"/>
    <w:rsid w:val="003D190F"/>
    <w:rsid w:val="003D1967"/>
    <w:rsid w:val="003D1986"/>
    <w:rsid w:val="003D199C"/>
    <w:rsid w:val="003D19A7"/>
    <w:rsid w:val="003D19BB"/>
    <w:rsid w:val="003D19DE"/>
    <w:rsid w:val="003D19FE"/>
    <w:rsid w:val="003D1A20"/>
    <w:rsid w:val="003D1A59"/>
    <w:rsid w:val="003D1A63"/>
    <w:rsid w:val="003D1A70"/>
    <w:rsid w:val="003D1A85"/>
    <w:rsid w:val="003D1A9D"/>
    <w:rsid w:val="003D1AC3"/>
    <w:rsid w:val="003D1ADC"/>
    <w:rsid w:val="003D1B11"/>
    <w:rsid w:val="003D1B57"/>
    <w:rsid w:val="003D1C10"/>
    <w:rsid w:val="003D1C22"/>
    <w:rsid w:val="003D1C87"/>
    <w:rsid w:val="003D1CCF"/>
    <w:rsid w:val="003D1CD5"/>
    <w:rsid w:val="003D1D3E"/>
    <w:rsid w:val="003D1D6F"/>
    <w:rsid w:val="003D1E50"/>
    <w:rsid w:val="003D1E68"/>
    <w:rsid w:val="003D1EF8"/>
    <w:rsid w:val="003D1FB3"/>
    <w:rsid w:val="003D1FC6"/>
    <w:rsid w:val="003D2029"/>
    <w:rsid w:val="003D2148"/>
    <w:rsid w:val="003D2156"/>
    <w:rsid w:val="003D2189"/>
    <w:rsid w:val="003D21A8"/>
    <w:rsid w:val="003D2221"/>
    <w:rsid w:val="003D224F"/>
    <w:rsid w:val="003D225A"/>
    <w:rsid w:val="003D22BC"/>
    <w:rsid w:val="003D22FA"/>
    <w:rsid w:val="003D23A4"/>
    <w:rsid w:val="003D23B7"/>
    <w:rsid w:val="003D23BE"/>
    <w:rsid w:val="003D2442"/>
    <w:rsid w:val="003D24EC"/>
    <w:rsid w:val="003D24EE"/>
    <w:rsid w:val="003D24F1"/>
    <w:rsid w:val="003D24F8"/>
    <w:rsid w:val="003D24FA"/>
    <w:rsid w:val="003D24FD"/>
    <w:rsid w:val="003D250A"/>
    <w:rsid w:val="003D254C"/>
    <w:rsid w:val="003D25AA"/>
    <w:rsid w:val="003D25D2"/>
    <w:rsid w:val="003D25EC"/>
    <w:rsid w:val="003D2676"/>
    <w:rsid w:val="003D2687"/>
    <w:rsid w:val="003D2734"/>
    <w:rsid w:val="003D2750"/>
    <w:rsid w:val="003D278B"/>
    <w:rsid w:val="003D2799"/>
    <w:rsid w:val="003D27BA"/>
    <w:rsid w:val="003D281C"/>
    <w:rsid w:val="003D283C"/>
    <w:rsid w:val="003D2879"/>
    <w:rsid w:val="003D2912"/>
    <w:rsid w:val="003D2917"/>
    <w:rsid w:val="003D291E"/>
    <w:rsid w:val="003D295C"/>
    <w:rsid w:val="003D29EA"/>
    <w:rsid w:val="003D2A33"/>
    <w:rsid w:val="003D2A3D"/>
    <w:rsid w:val="003D2A4F"/>
    <w:rsid w:val="003D2ABC"/>
    <w:rsid w:val="003D2ADD"/>
    <w:rsid w:val="003D2B00"/>
    <w:rsid w:val="003D2C3A"/>
    <w:rsid w:val="003D2C45"/>
    <w:rsid w:val="003D2C9C"/>
    <w:rsid w:val="003D2D05"/>
    <w:rsid w:val="003D2D3F"/>
    <w:rsid w:val="003D2D44"/>
    <w:rsid w:val="003D2D85"/>
    <w:rsid w:val="003D2E10"/>
    <w:rsid w:val="003D2E35"/>
    <w:rsid w:val="003D2E6B"/>
    <w:rsid w:val="003D2EB0"/>
    <w:rsid w:val="003D30A7"/>
    <w:rsid w:val="003D30E1"/>
    <w:rsid w:val="003D30F1"/>
    <w:rsid w:val="003D3119"/>
    <w:rsid w:val="003D315B"/>
    <w:rsid w:val="003D318B"/>
    <w:rsid w:val="003D319F"/>
    <w:rsid w:val="003D3208"/>
    <w:rsid w:val="003D3263"/>
    <w:rsid w:val="003D3264"/>
    <w:rsid w:val="003D3283"/>
    <w:rsid w:val="003D32D7"/>
    <w:rsid w:val="003D32F7"/>
    <w:rsid w:val="003D32FD"/>
    <w:rsid w:val="003D3312"/>
    <w:rsid w:val="003D3324"/>
    <w:rsid w:val="003D334B"/>
    <w:rsid w:val="003D3354"/>
    <w:rsid w:val="003D3373"/>
    <w:rsid w:val="003D3382"/>
    <w:rsid w:val="003D339A"/>
    <w:rsid w:val="003D33C4"/>
    <w:rsid w:val="003D3429"/>
    <w:rsid w:val="003D34D1"/>
    <w:rsid w:val="003D34D6"/>
    <w:rsid w:val="003D3520"/>
    <w:rsid w:val="003D355A"/>
    <w:rsid w:val="003D364B"/>
    <w:rsid w:val="003D364E"/>
    <w:rsid w:val="003D3653"/>
    <w:rsid w:val="003D3673"/>
    <w:rsid w:val="003D36A9"/>
    <w:rsid w:val="003D36EB"/>
    <w:rsid w:val="003D3742"/>
    <w:rsid w:val="003D3798"/>
    <w:rsid w:val="003D37BF"/>
    <w:rsid w:val="003D383C"/>
    <w:rsid w:val="003D38CC"/>
    <w:rsid w:val="003D38DB"/>
    <w:rsid w:val="003D39AC"/>
    <w:rsid w:val="003D3A03"/>
    <w:rsid w:val="003D3A1E"/>
    <w:rsid w:val="003D3A65"/>
    <w:rsid w:val="003D3AA1"/>
    <w:rsid w:val="003D3AE0"/>
    <w:rsid w:val="003D3AEE"/>
    <w:rsid w:val="003D3B25"/>
    <w:rsid w:val="003D3B8E"/>
    <w:rsid w:val="003D3BA7"/>
    <w:rsid w:val="003D3BAB"/>
    <w:rsid w:val="003D3BB0"/>
    <w:rsid w:val="003D3C07"/>
    <w:rsid w:val="003D3C4E"/>
    <w:rsid w:val="003D3C73"/>
    <w:rsid w:val="003D3CB8"/>
    <w:rsid w:val="003D3CD1"/>
    <w:rsid w:val="003D3CEA"/>
    <w:rsid w:val="003D3D34"/>
    <w:rsid w:val="003D3E61"/>
    <w:rsid w:val="003D3E8E"/>
    <w:rsid w:val="003D3EFD"/>
    <w:rsid w:val="003D3F0F"/>
    <w:rsid w:val="003D3F92"/>
    <w:rsid w:val="003D4027"/>
    <w:rsid w:val="003D403E"/>
    <w:rsid w:val="003D407B"/>
    <w:rsid w:val="003D4089"/>
    <w:rsid w:val="003D4110"/>
    <w:rsid w:val="003D4125"/>
    <w:rsid w:val="003D41EC"/>
    <w:rsid w:val="003D4203"/>
    <w:rsid w:val="003D4217"/>
    <w:rsid w:val="003D424B"/>
    <w:rsid w:val="003D4250"/>
    <w:rsid w:val="003D427C"/>
    <w:rsid w:val="003D4296"/>
    <w:rsid w:val="003D42BB"/>
    <w:rsid w:val="003D42E9"/>
    <w:rsid w:val="003D4312"/>
    <w:rsid w:val="003D4400"/>
    <w:rsid w:val="003D448C"/>
    <w:rsid w:val="003D44E3"/>
    <w:rsid w:val="003D4535"/>
    <w:rsid w:val="003D4622"/>
    <w:rsid w:val="003D465D"/>
    <w:rsid w:val="003D4705"/>
    <w:rsid w:val="003D4756"/>
    <w:rsid w:val="003D47A6"/>
    <w:rsid w:val="003D47AF"/>
    <w:rsid w:val="003D47BC"/>
    <w:rsid w:val="003D47C5"/>
    <w:rsid w:val="003D486C"/>
    <w:rsid w:val="003D4876"/>
    <w:rsid w:val="003D48B7"/>
    <w:rsid w:val="003D48D6"/>
    <w:rsid w:val="003D49A6"/>
    <w:rsid w:val="003D49F9"/>
    <w:rsid w:val="003D4A79"/>
    <w:rsid w:val="003D4AA2"/>
    <w:rsid w:val="003D4ACF"/>
    <w:rsid w:val="003D4ADC"/>
    <w:rsid w:val="003D4B41"/>
    <w:rsid w:val="003D4B69"/>
    <w:rsid w:val="003D4B97"/>
    <w:rsid w:val="003D4BAA"/>
    <w:rsid w:val="003D4BCA"/>
    <w:rsid w:val="003D4BEB"/>
    <w:rsid w:val="003D4C9C"/>
    <w:rsid w:val="003D4CB9"/>
    <w:rsid w:val="003D4D26"/>
    <w:rsid w:val="003D4D51"/>
    <w:rsid w:val="003D4DA3"/>
    <w:rsid w:val="003D4E50"/>
    <w:rsid w:val="003D4E9D"/>
    <w:rsid w:val="003D4E9F"/>
    <w:rsid w:val="003D4EEA"/>
    <w:rsid w:val="003D4F1B"/>
    <w:rsid w:val="003D4F2C"/>
    <w:rsid w:val="003D4F42"/>
    <w:rsid w:val="003D4F56"/>
    <w:rsid w:val="003D4F6B"/>
    <w:rsid w:val="003D501A"/>
    <w:rsid w:val="003D501C"/>
    <w:rsid w:val="003D50A1"/>
    <w:rsid w:val="003D50A2"/>
    <w:rsid w:val="003D50DC"/>
    <w:rsid w:val="003D50EE"/>
    <w:rsid w:val="003D511B"/>
    <w:rsid w:val="003D5146"/>
    <w:rsid w:val="003D518A"/>
    <w:rsid w:val="003D5195"/>
    <w:rsid w:val="003D5196"/>
    <w:rsid w:val="003D521C"/>
    <w:rsid w:val="003D525B"/>
    <w:rsid w:val="003D5264"/>
    <w:rsid w:val="003D526B"/>
    <w:rsid w:val="003D5373"/>
    <w:rsid w:val="003D5429"/>
    <w:rsid w:val="003D542A"/>
    <w:rsid w:val="003D544C"/>
    <w:rsid w:val="003D5488"/>
    <w:rsid w:val="003D54A5"/>
    <w:rsid w:val="003D54B1"/>
    <w:rsid w:val="003D5519"/>
    <w:rsid w:val="003D5535"/>
    <w:rsid w:val="003D5557"/>
    <w:rsid w:val="003D55AB"/>
    <w:rsid w:val="003D55C5"/>
    <w:rsid w:val="003D55D5"/>
    <w:rsid w:val="003D55DB"/>
    <w:rsid w:val="003D55EE"/>
    <w:rsid w:val="003D5615"/>
    <w:rsid w:val="003D561D"/>
    <w:rsid w:val="003D5625"/>
    <w:rsid w:val="003D562A"/>
    <w:rsid w:val="003D564C"/>
    <w:rsid w:val="003D56ED"/>
    <w:rsid w:val="003D56FF"/>
    <w:rsid w:val="003D5707"/>
    <w:rsid w:val="003D5741"/>
    <w:rsid w:val="003D5767"/>
    <w:rsid w:val="003D5850"/>
    <w:rsid w:val="003D585A"/>
    <w:rsid w:val="003D5879"/>
    <w:rsid w:val="003D588F"/>
    <w:rsid w:val="003D5895"/>
    <w:rsid w:val="003D58B7"/>
    <w:rsid w:val="003D5990"/>
    <w:rsid w:val="003D599C"/>
    <w:rsid w:val="003D59F5"/>
    <w:rsid w:val="003D5A21"/>
    <w:rsid w:val="003D5A40"/>
    <w:rsid w:val="003D5A54"/>
    <w:rsid w:val="003D5AA5"/>
    <w:rsid w:val="003D5AA7"/>
    <w:rsid w:val="003D5ABB"/>
    <w:rsid w:val="003D5B14"/>
    <w:rsid w:val="003D5B36"/>
    <w:rsid w:val="003D5B71"/>
    <w:rsid w:val="003D5B72"/>
    <w:rsid w:val="003D5B83"/>
    <w:rsid w:val="003D5C03"/>
    <w:rsid w:val="003D5C31"/>
    <w:rsid w:val="003D5C52"/>
    <w:rsid w:val="003D5C74"/>
    <w:rsid w:val="003D5C8E"/>
    <w:rsid w:val="003D5CA6"/>
    <w:rsid w:val="003D5D4D"/>
    <w:rsid w:val="003D5DC8"/>
    <w:rsid w:val="003D5DDF"/>
    <w:rsid w:val="003D5E07"/>
    <w:rsid w:val="003D5E74"/>
    <w:rsid w:val="003D5F68"/>
    <w:rsid w:val="003D5F6B"/>
    <w:rsid w:val="003D602C"/>
    <w:rsid w:val="003D602D"/>
    <w:rsid w:val="003D6038"/>
    <w:rsid w:val="003D6039"/>
    <w:rsid w:val="003D60A2"/>
    <w:rsid w:val="003D60AE"/>
    <w:rsid w:val="003D60B3"/>
    <w:rsid w:val="003D60C9"/>
    <w:rsid w:val="003D610D"/>
    <w:rsid w:val="003D6160"/>
    <w:rsid w:val="003D6171"/>
    <w:rsid w:val="003D6190"/>
    <w:rsid w:val="003D619B"/>
    <w:rsid w:val="003D61A2"/>
    <w:rsid w:val="003D6209"/>
    <w:rsid w:val="003D6234"/>
    <w:rsid w:val="003D62C9"/>
    <w:rsid w:val="003D62EC"/>
    <w:rsid w:val="003D6319"/>
    <w:rsid w:val="003D6340"/>
    <w:rsid w:val="003D635B"/>
    <w:rsid w:val="003D6360"/>
    <w:rsid w:val="003D6365"/>
    <w:rsid w:val="003D63C0"/>
    <w:rsid w:val="003D6434"/>
    <w:rsid w:val="003D645C"/>
    <w:rsid w:val="003D647D"/>
    <w:rsid w:val="003D64A3"/>
    <w:rsid w:val="003D64E0"/>
    <w:rsid w:val="003D64EA"/>
    <w:rsid w:val="003D64ED"/>
    <w:rsid w:val="003D6500"/>
    <w:rsid w:val="003D6514"/>
    <w:rsid w:val="003D6568"/>
    <w:rsid w:val="003D6575"/>
    <w:rsid w:val="003D658B"/>
    <w:rsid w:val="003D6591"/>
    <w:rsid w:val="003D65AC"/>
    <w:rsid w:val="003D662E"/>
    <w:rsid w:val="003D665D"/>
    <w:rsid w:val="003D6672"/>
    <w:rsid w:val="003D66BB"/>
    <w:rsid w:val="003D66DD"/>
    <w:rsid w:val="003D671B"/>
    <w:rsid w:val="003D6790"/>
    <w:rsid w:val="003D67B0"/>
    <w:rsid w:val="003D6830"/>
    <w:rsid w:val="003D6835"/>
    <w:rsid w:val="003D6881"/>
    <w:rsid w:val="003D6885"/>
    <w:rsid w:val="003D68A2"/>
    <w:rsid w:val="003D68AE"/>
    <w:rsid w:val="003D6908"/>
    <w:rsid w:val="003D690E"/>
    <w:rsid w:val="003D6930"/>
    <w:rsid w:val="003D699F"/>
    <w:rsid w:val="003D69F6"/>
    <w:rsid w:val="003D69FD"/>
    <w:rsid w:val="003D6AF8"/>
    <w:rsid w:val="003D6AFD"/>
    <w:rsid w:val="003D6B88"/>
    <w:rsid w:val="003D6B89"/>
    <w:rsid w:val="003D6BAA"/>
    <w:rsid w:val="003D6BB6"/>
    <w:rsid w:val="003D6C98"/>
    <w:rsid w:val="003D6CCC"/>
    <w:rsid w:val="003D6CE1"/>
    <w:rsid w:val="003D6D14"/>
    <w:rsid w:val="003D6D73"/>
    <w:rsid w:val="003D6DC0"/>
    <w:rsid w:val="003D6DE8"/>
    <w:rsid w:val="003D6E20"/>
    <w:rsid w:val="003D6E39"/>
    <w:rsid w:val="003D6E72"/>
    <w:rsid w:val="003D6E9A"/>
    <w:rsid w:val="003D6ECD"/>
    <w:rsid w:val="003D6F1C"/>
    <w:rsid w:val="003D6F56"/>
    <w:rsid w:val="003D6F7A"/>
    <w:rsid w:val="003D6FAF"/>
    <w:rsid w:val="003D6FDE"/>
    <w:rsid w:val="003D7031"/>
    <w:rsid w:val="003D70A6"/>
    <w:rsid w:val="003D70CF"/>
    <w:rsid w:val="003D7116"/>
    <w:rsid w:val="003D713C"/>
    <w:rsid w:val="003D7170"/>
    <w:rsid w:val="003D7176"/>
    <w:rsid w:val="003D7184"/>
    <w:rsid w:val="003D7186"/>
    <w:rsid w:val="003D71F8"/>
    <w:rsid w:val="003D7275"/>
    <w:rsid w:val="003D72F2"/>
    <w:rsid w:val="003D72F7"/>
    <w:rsid w:val="003D7365"/>
    <w:rsid w:val="003D7370"/>
    <w:rsid w:val="003D73E5"/>
    <w:rsid w:val="003D741C"/>
    <w:rsid w:val="003D74BB"/>
    <w:rsid w:val="003D7503"/>
    <w:rsid w:val="003D7518"/>
    <w:rsid w:val="003D7569"/>
    <w:rsid w:val="003D7575"/>
    <w:rsid w:val="003D75A6"/>
    <w:rsid w:val="003D7696"/>
    <w:rsid w:val="003D769C"/>
    <w:rsid w:val="003D76C0"/>
    <w:rsid w:val="003D771B"/>
    <w:rsid w:val="003D7722"/>
    <w:rsid w:val="003D775F"/>
    <w:rsid w:val="003D7795"/>
    <w:rsid w:val="003D779E"/>
    <w:rsid w:val="003D77A9"/>
    <w:rsid w:val="003D77C6"/>
    <w:rsid w:val="003D7832"/>
    <w:rsid w:val="003D788E"/>
    <w:rsid w:val="003D78D4"/>
    <w:rsid w:val="003D79BF"/>
    <w:rsid w:val="003D79ED"/>
    <w:rsid w:val="003D7A39"/>
    <w:rsid w:val="003D7A50"/>
    <w:rsid w:val="003D7AAC"/>
    <w:rsid w:val="003D7ABC"/>
    <w:rsid w:val="003D7B27"/>
    <w:rsid w:val="003D7B9E"/>
    <w:rsid w:val="003D7BB5"/>
    <w:rsid w:val="003D7BBA"/>
    <w:rsid w:val="003D7BCC"/>
    <w:rsid w:val="003D7BDF"/>
    <w:rsid w:val="003D7C45"/>
    <w:rsid w:val="003D7C58"/>
    <w:rsid w:val="003D7CB8"/>
    <w:rsid w:val="003D7CC5"/>
    <w:rsid w:val="003D7CDB"/>
    <w:rsid w:val="003D7DC5"/>
    <w:rsid w:val="003D7DE9"/>
    <w:rsid w:val="003D7EA2"/>
    <w:rsid w:val="003D7EB2"/>
    <w:rsid w:val="003D7ED0"/>
    <w:rsid w:val="003D7ED2"/>
    <w:rsid w:val="003D7F36"/>
    <w:rsid w:val="003D7F60"/>
    <w:rsid w:val="003DA57F"/>
    <w:rsid w:val="003E0000"/>
    <w:rsid w:val="003E007C"/>
    <w:rsid w:val="003E01CB"/>
    <w:rsid w:val="003E024C"/>
    <w:rsid w:val="003E0277"/>
    <w:rsid w:val="003E0326"/>
    <w:rsid w:val="003E0352"/>
    <w:rsid w:val="003E0441"/>
    <w:rsid w:val="003E0480"/>
    <w:rsid w:val="003E0536"/>
    <w:rsid w:val="003E0553"/>
    <w:rsid w:val="003E0590"/>
    <w:rsid w:val="003E05FA"/>
    <w:rsid w:val="003E05FB"/>
    <w:rsid w:val="003E0636"/>
    <w:rsid w:val="003E063B"/>
    <w:rsid w:val="003E0673"/>
    <w:rsid w:val="003E0689"/>
    <w:rsid w:val="003E077C"/>
    <w:rsid w:val="003E0809"/>
    <w:rsid w:val="003E083A"/>
    <w:rsid w:val="003E0847"/>
    <w:rsid w:val="003E087F"/>
    <w:rsid w:val="003E08B2"/>
    <w:rsid w:val="003E090E"/>
    <w:rsid w:val="003E09A4"/>
    <w:rsid w:val="003E09C0"/>
    <w:rsid w:val="003E09F9"/>
    <w:rsid w:val="003E0A86"/>
    <w:rsid w:val="003E0AAB"/>
    <w:rsid w:val="003E0B0D"/>
    <w:rsid w:val="003E0B16"/>
    <w:rsid w:val="003E0B29"/>
    <w:rsid w:val="003E0B6F"/>
    <w:rsid w:val="003E0B95"/>
    <w:rsid w:val="003E0C3C"/>
    <w:rsid w:val="003E0C63"/>
    <w:rsid w:val="003E0C6A"/>
    <w:rsid w:val="003E0CEE"/>
    <w:rsid w:val="003E0D3F"/>
    <w:rsid w:val="003E0DA8"/>
    <w:rsid w:val="003E0DB8"/>
    <w:rsid w:val="003E0DF4"/>
    <w:rsid w:val="003E0E02"/>
    <w:rsid w:val="003E0EEE"/>
    <w:rsid w:val="003E0EFE"/>
    <w:rsid w:val="003E0FC8"/>
    <w:rsid w:val="003E0FE9"/>
    <w:rsid w:val="003E1046"/>
    <w:rsid w:val="003E1072"/>
    <w:rsid w:val="003E10B4"/>
    <w:rsid w:val="003E119C"/>
    <w:rsid w:val="003E11B8"/>
    <w:rsid w:val="003E11BD"/>
    <w:rsid w:val="003E1228"/>
    <w:rsid w:val="003E1242"/>
    <w:rsid w:val="003E12EB"/>
    <w:rsid w:val="003E1309"/>
    <w:rsid w:val="003E1327"/>
    <w:rsid w:val="003E137F"/>
    <w:rsid w:val="003E13B7"/>
    <w:rsid w:val="003E13DA"/>
    <w:rsid w:val="003E13E4"/>
    <w:rsid w:val="003E13F8"/>
    <w:rsid w:val="003E14A7"/>
    <w:rsid w:val="003E150D"/>
    <w:rsid w:val="003E1524"/>
    <w:rsid w:val="003E154F"/>
    <w:rsid w:val="003E1550"/>
    <w:rsid w:val="003E159C"/>
    <w:rsid w:val="003E15B5"/>
    <w:rsid w:val="003E15FB"/>
    <w:rsid w:val="003E1687"/>
    <w:rsid w:val="003E1771"/>
    <w:rsid w:val="003E17B0"/>
    <w:rsid w:val="003E17CD"/>
    <w:rsid w:val="003E17EC"/>
    <w:rsid w:val="003E17FE"/>
    <w:rsid w:val="003E1840"/>
    <w:rsid w:val="003E18F7"/>
    <w:rsid w:val="003E193D"/>
    <w:rsid w:val="003E193E"/>
    <w:rsid w:val="003E194C"/>
    <w:rsid w:val="003E194D"/>
    <w:rsid w:val="003E195E"/>
    <w:rsid w:val="003E19B1"/>
    <w:rsid w:val="003E19C8"/>
    <w:rsid w:val="003E1A06"/>
    <w:rsid w:val="003E1A13"/>
    <w:rsid w:val="003E1A2B"/>
    <w:rsid w:val="003E1A50"/>
    <w:rsid w:val="003E1A5B"/>
    <w:rsid w:val="003E1A7E"/>
    <w:rsid w:val="003E1A99"/>
    <w:rsid w:val="003E1AD9"/>
    <w:rsid w:val="003E1BA9"/>
    <w:rsid w:val="003E1BF2"/>
    <w:rsid w:val="003E1C27"/>
    <w:rsid w:val="003E1C6F"/>
    <w:rsid w:val="003E1C7F"/>
    <w:rsid w:val="003E1CBF"/>
    <w:rsid w:val="003E1CD8"/>
    <w:rsid w:val="003E1CF4"/>
    <w:rsid w:val="003E1CFD"/>
    <w:rsid w:val="003E1D18"/>
    <w:rsid w:val="003E1D35"/>
    <w:rsid w:val="003E1D52"/>
    <w:rsid w:val="003E1DA8"/>
    <w:rsid w:val="003E1DBE"/>
    <w:rsid w:val="003E1DCF"/>
    <w:rsid w:val="003E1E57"/>
    <w:rsid w:val="003E1E6B"/>
    <w:rsid w:val="003E1E73"/>
    <w:rsid w:val="003E1EC3"/>
    <w:rsid w:val="003E1EE4"/>
    <w:rsid w:val="003E1F04"/>
    <w:rsid w:val="003E1F0D"/>
    <w:rsid w:val="003E1F40"/>
    <w:rsid w:val="003E1F53"/>
    <w:rsid w:val="003E1F67"/>
    <w:rsid w:val="003E1F72"/>
    <w:rsid w:val="003E1F9C"/>
    <w:rsid w:val="003E1FDD"/>
    <w:rsid w:val="003E200E"/>
    <w:rsid w:val="003E2025"/>
    <w:rsid w:val="003E20E8"/>
    <w:rsid w:val="003E219C"/>
    <w:rsid w:val="003E21AA"/>
    <w:rsid w:val="003E21AB"/>
    <w:rsid w:val="003E223B"/>
    <w:rsid w:val="003E2251"/>
    <w:rsid w:val="003E2256"/>
    <w:rsid w:val="003E2277"/>
    <w:rsid w:val="003E228A"/>
    <w:rsid w:val="003E232D"/>
    <w:rsid w:val="003E2394"/>
    <w:rsid w:val="003E239A"/>
    <w:rsid w:val="003E23D9"/>
    <w:rsid w:val="003E2426"/>
    <w:rsid w:val="003E2471"/>
    <w:rsid w:val="003E2481"/>
    <w:rsid w:val="003E249A"/>
    <w:rsid w:val="003E24B3"/>
    <w:rsid w:val="003E24D9"/>
    <w:rsid w:val="003E24FF"/>
    <w:rsid w:val="003E251D"/>
    <w:rsid w:val="003E2527"/>
    <w:rsid w:val="003E259B"/>
    <w:rsid w:val="003E25D2"/>
    <w:rsid w:val="003E25EA"/>
    <w:rsid w:val="003E2607"/>
    <w:rsid w:val="003E2695"/>
    <w:rsid w:val="003E273B"/>
    <w:rsid w:val="003E275D"/>
    <w:rsid w:val="003E27B4"/>
    <w:rsid w:val="003E27E9"/>
    <w:rsid w:val="003E27EC"/>
    <w:rsid w:val="003E2813"/>
    <w:rsid w:val="003E2882"/>
    <w:rsid w:val="003E2901"/>
    <w:rsid w:val="003E293D"/>
    <w:rsid w:val="003E297F"/>
    <w:rsid w:val="003E29AE"/>
    <w:rsid w:val="003E29DD"/>
    <w:rsid w:val="003E2A67"/>
    <w:rsid w:val="003E2B0D"/>
    <w:rsid w:val="003E2B73"/>
    <w:rsid w:val="003E2C1D"/>
    <w:rsid w:val="003E2C92"/>
    <w:rsid w:val="003E2C94"/>
    <w:rsid w:val="003E2C9F"/>
    <w:rsid w:val="003E2CB8"/>
    <w:rsid w:val="003E2D02"/>
    <w:rsid w:val="003E2D2F"/>
    <w:rsid w:val="003E2D3E"/>
    <w:rsid w:val="003E2D70"/>
    <w:rsid w:val="003E2DA4"/>
    <w:rsid w:val="003E2DAC"/>
    <w:rsid w:val="003E2DBB"/>
    <w:rsid w:val="003E2DC3"/>
    <w:rsid w:val="003E2DE5"/>
    <w:rsid w:val="003E2E30"/>
    <w:rsid w:val="003E2E59"/>
    <w:rsid w:val="003E2EBE"/>
    <w:rsid w:val="003E2F19"/>
    <w:rsid w:val="003E2F81"/>
    <w:rsid w:val="003E2FCD"/>
    <w:rsid w:val="003E2FE0"/>
    <w:rsid w:val="003E301C"/>
    <w:rsid w:val="003E3068"/>
    <w:rsid w:val="003E3079"/>
    <w:rsid w:val="003E30AB"/>
    <w:rsid w:val="003E30D3"/>
    <w:rsid w:val="003E30F9"/>
    <w:rsid w:val="003E3194"/>
    <w:rsid w:val="003E31BC"/>
    <w:rsid w:val="003E31DC"/>
    <w:rsid w:val="003E31EA"/>
    <w:rsid w:val="003E31EF"/>
    <w:rsid w:val="003E3219"/>
    <w:rsid w:val="003E323B"/>
    <w:rsid w:val="003E32E6"/>
    <w:rsid w:val="003E32F4"/>
    <w:rsid w:val="003E332F"/>
    <w:rsid w:val="003E335E"/>
    <w:rsid w:val="003E33C9"/>
    <w:rsid w:val="003E33DB"/>
    <w:rsid w:val="003E33FC"/>
    <w:rsid w:val="003E3435"/>
    <w:rsid w:val="003E3451"/>
    <w:rsid w:val="003E345C"/>
    <w:rsid w:val="003E34A7"/>
    <w:rsid w:val="003E34AA"/>
    <w:rsid w:val="003E34D2"/>
    <w:rsid w:val="003E34E0"/>
    <w:rsid w:val="003E34EB"/>
    <w:rsid w:val="003E34F8"/>
    <w:rsid w:val="003E35BA"/>
    <w:rsid w:val="003E35C2"/>
    <w:rsid w:val="003E35FA"/>
    <w:rsid w:val="003E3602"/>
    <w:rsid w:val="003E3670"/>
    <w:rsid w:val="003E3682"/>
    <w:rsid w:val="003E36BD"/>
    <w:rsid w:val="003E36C3"/>
    <w:rsid w:val="003E36C9"/>
    <w:rsid w:val="003E36D4"/>
    <w:rsid w:val="003E370D"/>
    <w:rsid w:val="003E388B"/>
    <w:rsid w:val="003E38D1"/>
    <w:rsid w:val="003E3915"/>
    <w:rsid w:val="003E394B"/>
    <w:rsid w:val="003E394F"/>
    <w:rsid w:val="003E39E4"/>
    <w:rsid w:val="003E3A43"/>
    <w:rsid w:val="003E3A66"/>
    <w:rsid w:val="003E3A73"/>
    <w:rsid w:val="003E3A99"/>
    <w:rsid w:val="003E3AC0"/>
    <w:rsid w:val="003E3B04"/>
    <w:rsid w:val="003E3B0B"/>
    <w:rsid w:val="003E3B17"/>
    <w:rsid w:val="003E3B28"/>
    <w:rsid w:val="003E3B45"/>
    <w:rsid w:val="003E3B4D"/>
    <w:rsid w:val="003E3B93"/>
    <w:rsid w:val="003E3C10"/>
    <w:rsid w:val="003E3C40"/>
    <w:rsid w:val="003E3CA4"/>
    <w:rsid w:val="003E3CC4"/>
    <w:rsid w:val="003E3D16"/>
    <w:rsid w:val="003E3D18"/>
    <w:rsid w:val="003E3D33"/>
    <w:rsid w:val="003E3D34"/>
    <w:rsid w:val="003E3D3B"/>
    <w:rsid w:val="003E3D40"/>
    <w:rsid w:val="003E3D6F"/>
    <w:rsid w:val="003E3D99"/>
    <w:rsid w:val="003E3DE6"/>
    <w:rsid w:val="003E3E68"/>
    <w:rsid w:val="003E3EAF"/>
    <w:rsid w:val="003E3FD5"/>
    <w:rsid w:val="003E3FDF"/>
    <w:rsid w:val="003E4002"/>
    <w:rsid w:val="003E402B"/>
    <w:rsid w:val="003E40C0"/>
    <w:rsid w:val="003E4117"/>
    <w:rsid w:val="003E41E3"/>
    <w:rsid w:val="003E428D"/>
    <w:rsid w:val="003E433F"/>
    <w:rsid w:val="003E434D"/>
    <w:rsid w:val="003E4369"/>
    <w:rsid w:val="003E4424"/>
    <w:rsid w:val="003E4428"/>
    <w:rsid w:val="003E444A"/>
    <w:rsid w:val="003E4456"/>
    <w:rsid w:val="003E44DF"/>
    <w:rsid w:val="003E4529"/>
    <w:rsid w:val="003E4542"/>
    <w:rsid w:val="003E4562"/>
    <w:rsid w:val="003E45FA"/>
    <w:rsid w:val="003E4607"/>
    <w:rsid w:val="003E4661"/>
    <w:rsid w:val="003E466B"/>
    <w:rsid w:val="003E46E2"/>
    <w:rsid w:val="003E4735"/>
    <w:rsid w:val="003E4785"/>
    <w:rsid w:val="003E4837"/>
    <w:rsid w:val="003E485A"/>
    <w:rsid w:val="003E4938"/>
    <w:rsid w:val="003E4A08"/>
    <w:rsid w:val="003E4A1B"/>
    <w:rsid w:val="003E4A69"/>
    <w:rsid w:val="003E4AC3"/>
    <w:rsid w:val="003E4B19"/>
    <w:rsid w:val="003E4BE5"/>
    <w:rsid w:val="003E4C5E"/>
    <w:rsid w:val="003E4C7F"/>
    <w:rsid w:val="003E4D03"/>
    <w:rsid w:val="003E4D04"/>
    <w:rsid w:val="003E4D74"/>
    <w:rsid w:val="003E4DD1"/>
    <w:rsid w:val="003E4E0C"/>
    <w:rsid w:val="003E4EAD"/>
    <w:rsid w:val="003E4EF8"/>
    <w:rsid w:val="003E4F0E"/>
    <w:rsid w:val="003E4F40"/>
    <w:rsid w:val="003E4F48"/>
    <w:rsid w:val="003E4F6F"/>
    <w:rsid w:val="003E4F71"/>
    <w:rsid w:val="003E4F91"/>
    <w:rsid w:val="003E4F9E"/>
    <w:rsid w:val="003E4FB6"/>
    <w:rsid w:val="003E5063"/>
    <w:rsid w:val="003E506A"/>
    <w:rsid w:val="003E5080"/>
    <w:rsid w:val="003E50BC"/>
    <w:rsid w:val="003E5140"/>
    <w:rsid w:val="003E5157"/>
    <w:rsid w:val="003E51D0"/>
    <w:rsid w:val="003E51D4"/>
    <w:rsid w:val="003E5201"/>
    <w:rsid w:val="003E5253"/>
    <w:rsid w:val="003E52A3"/>
    <w:rsid w:val="003E5387"/>
    <w:rsid w:val="003E5429"/>
    <w:rsid w:val="003E54A5"/>
    <w:rsid w:val="003E54F2"/>
    <w:rsid w:val="003E5574"/>
    <w:rsid w:val="003E5598"/>
    <w:rsid w:val="003E55B0"/>
    <w:rsid w:val="003E55ED"/>
    <w:rsid w:val="003E5680"/>
    <w:rsid w:val="003E5773"/>
    <w:rsid w:val="003E5784"/>
    <w:rsid w:val="003E5828"/>
    <w:rsid w:val="003E584F"/>
    <w:rsid w:val="003E586C"/>
    <w:rsid w:val="003E587A"/>
    <w:rsid w:val="003E58CA"/>
    <w:rsid w:val="003E5978"/>
    <w:rsid w:val="003E599A"/>
    <w:rsid w:val="003E599E"/>
    <w:rsid w:val="003E59CD"/>
    <w:rsid w:val="003E59D5"/>
    <w:rsid w:val="003E5A57"/>
    <w:rsid w:val="003E5AFE"/>
    <w:rsid w:val="003E5B25"/>
    <w:rsid w:val="003E5B29"/>
    <w:rsid w:val="003E5B4C"/>
    <w:rsid w:val="003E5B5C"/>
    <w:rsid w:val="003E5BA5"/>
    <w:rsid w:val="003E5BD5"/>
    <w:rsid w:val="003E5C27"/>
    <w:rsid w:val="003E5C2E"/>
    <w:rsid w:val="003E5C55"/>
    <w:rsid w:val="003E5C74"/>
    <w:rsid w:val="003E5C7D"/>
    <w:rsid w:val="003E5CF0"/>
    <w:rsid w:val="003E5D20"/>
    <w:rsid w:val="003E5D26"/>
    <w:rsid w:val="003E5D2C"/>
    <w:rsid w:val="003E5D9D"/>
    <w:rsid w:val="003E5DEB"/>
    <w:rsid w:val="003E5E03"/>
    <w:rsid w:val="003E5EA6"/>
    <w:rsid w:val="003E5EB8"/>
    <w:rsid w:val="003E5EB9"/>
    <w:rsid w:val="003E5EE1"/>
    <w:rsid w:val="003E5F48"/>
    <w:rsid w:val="003E5F5B"/>
    <w:rsid w:val="003E5F8E"/>
    <w:rsid w:val="003E605A"/>
    <w:rsid w:val="003E6064"/>
    <w:rsid w:val="003E60E4"/>
    <w:rsid w:val="003E6114"/>
    <w:rsid w:val="003E625E"/>
    <w:rsid w:val="003E62DB"/>
    <w:rsid w:val="003E634A"/>
    <w:rsid w:val="003E6393"/>
    <w:rsid w:val="003E63C1"/>
    <w:rsid w:val="003E63D9"/>
    <w:rsid w:val="003E63F6"/>
    <w:rsid w:val="003E6416"/>
    <w:rsid w:val="003E6418"/>
    <w:rsid w:val="003E6481"/>
    <w:rsid w:val="003E64C0"/>
    <w:rsid w:val="003E6500"/>
    <w:rsid w:val="003E6594"/>
    <w:rsid w:val="003E659E"/>
    <w:rsid w:val="003E65F6"/>
    <w:rsid w:val="003E667D"/>
    <w:rsid w:val="003E66D4"/>
    <w:rsid w:val="003E66F5"/>
    <w:rsid w:val="003E6743"/>
    <w:rsid w:val="003E67E4"/>
    <w:rsid w:val="003E67F8"/>
    <w:rsid w:val="003E683F"/>
    <w:rsid w:val="003E685F"/>
    <w:rsid w:val="003E68C5"/>
    <w:rsid w:val="003E68ED"/>
    <w:rsid w:val="003E6909"/>
    <w:rsid w:val="003E6911"/>
    <w:rsid w:val="003E6923"/>
    <w:rsid w:val="003E6992"/>
    <w:rsid w:val="003E69C6"/>
    <w:rsid w:val="003E69F6"/>
    <w:rsid w:val="003E6A9E"/>
    <w:rsid w:val="003E6AA3"/>
    <w:rsid w:val="003E6ABA"/>
    <w:rsid w:val="003E6ABD"/>
    <w:rsid w:val="003E6ADD"/>
    <w:rsid w:val="003E6B17"/>
    <w:rsid w:val="003E6B59"/>
    <w:rsid w:val="003E6BC5"/>
    <w:rsid w:val="003E6BCB"/>
    <w:rsid w:val="003E6BCD"/>
    <w:rsid w:val="003E6BD2"/>
    <w:rsid w:val="003E6C2A"/>
    <w:rsid w:val="003E6CCD"/>
    <w:rsid w:val="003E6D4A"/>
    <w:rsid w:val="003E6D67"/>
    <w:rsid w:val="003E6D9D"/>
    <w:rsid w:val="003E6DFD"/>
    <w:rsid w:val="003E6E28"/>
    <w:rsid w:val="003E6E37"/>
    <w:rsid w:val="003E6E4D"/>
    <w:rsid w:val="003E6EBC"/>
    <w:rsid w:val="003E6EDB"/>
    <w:rsid w:val="003E6F5B"/>
    <w:rsid w:val="003E6FD2"/>
    <w:rsid w:val="003E6FE3"/>
    <w:rsid w:val="003E7047"/>
    <w:rsid w:val="003E7051"/>
    <w:rsid w:val="003E70BC"/>
    <w:rsid w:val="003E7173"/>
    <w:rsid w:val="003E7277"/>
    <w:rsid w:val="003E7318"/>
    <w:rsid w:val="003E73AE"/>
    <w:rsid w:val="003E7417"/>
    <w:rsid w:val="003E7418"/>
    <w:rsid w:val="003E7428"/>
    <w:rsid w:val="003E7431"/>
    <w:rsid w:val="003E7441"/>
    <w:rsid w:val="003E7481"/>
    <w:rsid w:val="003E749E"/>
    <w:rsid w:val="003E74B5"/>
    <w:rsid w:val="003E74E8"/>
    <w:rsid w:val="003E74FC"/>
    <w:rsid w:val="003E750D"/>
    <w:rsid w:val="003E75C7"/>
    <w:rsid w:val="003E7664"/>
    <w:rsid w:val="003E76E5"/>
    <w:rsid w:val="003E76F3"/>
    <w:rsid w:val="003E770E"/>
    <w:rsid w:val="003E7724"/>
    <w:rsid w:val="003E7790"/>
    <w:rsid w:val="003E77AC"/>
    <w:rsid w:val="003E7821"/>
    <w:rsid w:val="003E782F"/>
    <w:rsid w:val="003E7856"/>
    <w:rsid w:val="003E7863"/>
    <w:rsid w:val="003E79DC"/>
    <w:rsid w:val="003E7A13"/>
    <w:rsid w:val="003E7A71"/>
    <w:rsid w:val="003E7AE3"/>
    <w:rsid w:val="003E7B08"/>
    <w:rsid w:val="003E7BCE"/>
    <w:rsid w:val="003E7C0B"/>
    <w:rsid w:val="003E7C14"/>
    <w:rsid w:val="003E7C24"/>
    <w:rsid w:val="003E7C3E"/>
    <w:rsid w:val="003E7C65"/>
    <w:rsid w:val="003E7CA5"/>
    <w:rsid w:val="003E7CEB"/>
    <w:rsid w:val="003E7D01"/>
    <w:rsid w:val="003E7D43"/>
    <w:rsid w:val="003E7D46"/>
    <w:rsid w:val="003E7D4D"/>
    <w:rsid w:val="003E7DD0"/>
    <w:rsid w:val="003E7DD6"/>
    <w:rsid w:val="003E7E68"/>
    <w:rsid w:val="003E7E6B"/>
    <w:rsid w:val="003E7E90"/>
    <w:rsid w:val="003E7EE3"/>
    <w:rsid w:val="003E7F77"/>
    <w:rsid w:val="003E7F95"/>
    <w:rsid w:val="003E7FB3"/>
    <w:rsid w:val="003E7FDE"/>
    <w:rsid w:val="003F0058"/>
    <w:rsid w:val="003F00D7"/>
    <w:rsid w:val="003F010F"/>
    <w:rsid w:val="003F0110"/>
    <w:rsid w:val="003F019F"/>
    <w:rsid w:val="003F01B5"/>
    <w:rsid w:val="003F020A"/>
    <w:rsid w:val="003F0219"/>
    <w:rsid w:val="003F0245"/>
    <w:rsid w:val="003F025E"/>
    <w:rsid w:val="003F026B"/>
    <w:rsid w:val="003F029A"/>
    <w:rsid w:val="003F02DF"/>
    <w:rsid w:val="003F033A"/>
    <w:rsid w:val="003F0395"/>
    <w:rsid w:val="003F0468"/>
    <w:rsid w:val="003F04FB"/>
    <w:rsid w:val="003F051D"/>
    <w:rsid w:val="003F0550"/>
    <w:rsid w:val="003F0568"/>
    <w:rsid w:val="003F0574"/>
    <w:rsid w:val="003F05CC"/>
    <w:rsid w:val="003F05FD"/>
    <w:rsid w:val="003F064E"/>
    <w:rsid w:val="003F0668"/>
    <w:rsid w:val="003F06A6"/>
    <w:rsid w:val="003F0706"/>
    <w:rsid w:val="003F07AE"/>
    <w:rsid w:val="003F0810"/>
    <w:rsid w:val="003F082F"/>
    <w:rsid w:val="003F08D4"/>
    <w:rsid w:val="003F08EC"/>
    <w:rsid w:val="003F08EE"/>
    <w:rsid w:val="003F0911"/>
    <w:rsid w:val="003F0984"/>
    <w:rsid w:val="003F098A"/>
    <w:rsid w:val="003F09C0"/>
    <w:rsid w:val="003F09C5"/>
    <w:rsid w:val="003F09C8"/>
    <w:rsid w:val="003F0A17"/>
    <w:rsid w:val="003F0A19"/>
    <w:rsid w:val="003F0A22"/>
    <w:rsid w:val="003F0A90"/>
    <w:rsid w:val="003F0B10"/>
    <w:rsid w:val="003F0B5B"/>
    <w:rsid w:val="003F0B93"/>
    <w:rsid w:val="003F0B9E"/>
    <w:rsid w:val="003F0BB6"/>
    <w:rsid w:val="003F0BC5"/>
    <w:rsid w:val="003F0BCF"/>
    <w:rsid w:val="003F0BED"/>
    <w:rsid w:val="003F0C26"/>
    <w:rsid w:val="003F0C4E"/>
    <w:rsid w:val="003F0C81"/>
    <w:rsid w:val="003F0CB6"/>
    <w:rsid w:val="003F0CFD"/>
    <w:rsid w:val="003F0D20"/>
    <w:rsid w:val="003F0D6A"/>
    <w:rsid w:val="003F0D97"/>
    <w:rsid w:val="003F0E50"/>
    <w:rsid w:val="003F0EBE"/>
    <w:rsid w:val="003F0EEA"/>
    <w:rsid w:val="003F0F06"/>
    <w:rsid w:val="003F0F6F"/>
    <w:rsid w:val="003F0F84"/>
    <w:rsid w:val="003F0F90"/>
    <w:rsid w:val="003F0FC8"/>
    <w:rsid w:val="003F0FD1"/>
    <w:rsid w:val="003F1031"/>
    <w:rsid w:val="003F1095"/>
    <w:rsid w:val="003F1101"/>
    <w:rsid w:val="003F110A"/>
    <w:rsid w:val="003F113A"/>
    <w:rsid w:val="003F11E3"/>
    <w:rsid w:val="003F11F5"/>
    <w:rsid w:val="003F1247"/>
    <w:rsid w:val="003F12BF"/>
    <w:rsid w:val="003F12C8"/>
    <w:rsid w:val="003F1380"/>
    <w:rsid w:val="003F13AD"/>
    <w:rsid w:val="003F13EB"/>
    <w:rsid w:val="003F143D"/>
    <w:rsid w:val="003F143F"/>
    <w:rsid w:val="003F146C"/>
    <w:rsid w:val="003F149B"/>
    <w:rsid w:val="003F149D"/>
    <w:rsid w:val="003F14CE"/>
    <w:rsid w:val="003F14D9"/>
    <w:rsid w:val="003F1576"/>
    <w:rsid w:val="003F158E"/>
    <w:rsid w:val="003F1590"/>
    <w:rsid w:val="003F15A2"/>
    <w:rsid w:val="003F15DC"/>
    <w:rsid w:val="003F165F"/>
    <w:rsid w:val="003F1667"/>
    <w:rsid w:val="003F16B0"/>
    <w:rsid w:val="003F17CB"/>
    <w:rsid w:val="003F17DD"/>
    <w:rsid w:val="003F180C"/>
    <w:rsid w:val="003F1864"/>
    <w:rsid w:val="003F18CB"/>
    <w:rsid w:val="003F18D4"/>
    <w:rsid w:val="003F1900"/>
    <w:rsid w:val="003F192B"/>
    <w:rsid w:val="003F192C"/>
    <w:rsid w:val="003F198A"/>
    <w:rsid w:val="003F1A06"/>
    <w:rsid w:val="003F1A32"/>
    <w:rsid w:val="003F1A6B"/>
    <w:rsid w:val="003F1A98"/>
    <w:rsid w:val="003F1AA0"/>
    <w:rsid w:val="003F1AE2"/>
    <w:rsid w:val="003F1BB8"/>
    <w:rsid w:val="003F1BDD"/>
    <w:rsid w:val="003F1C0F"/>
    <w:rsid w:val="003F1C81"/>
    <w:rsid w:val="003F1CDD"/>
    <w:rsid w:val="003F1CF3"/>
    <w:rsid w:val="003F1D10"/>
    <w:rsid w:val="003F1D18"/>
    <w:rsid w:val="003F1D66"/>
    <w:rsid w:val="003F1D6C"/>
    <w:rsid w:val="003F1D7E"/>
    <w:rsid w:val="003F1D81"/>
    <w:rsid w:val="003F1DA3"/>
    <w:rsid w:val="003F1DB8"/>
    <w:rsid w:val="003F1DC2"/>
    <w:rsid w:val="003F1DED"/>
    <w:rsid w:val="003F1E29"/>
    <w:rsid w:val="003F1E44"/>
    <w:rsid w:val="003F1E48"/>
    <w:rsid w:val="003F1E84"/>
    <w:rsid w:val="003F1EA3"/>
    <w:rsid w:val="003F1EFB"/>
    <w:rsid w:val="003F1F25"/>
    <w:rsid w:val="003F1FC4"/>
    <w:rsid w:val="003F200E"/>
    <w:rsid w:val="003F20A2"/>
    <w:rsid w:val="003F20F2"/>
    <w:rsid w:val="003F2108"/>
    <w:rsid w:val="003F210C"/>
    <w:rsid w:val="003F2146"/>
    <w:rsid w:val="003F21A7"/>
    <w:rsid w:val="003F21C7"/>
    <w:rsid w:val="003F21E5"/>
    <w:rsid w:val="003F220C"/>
    <w:rsid w:val="003F2222"/>
    <w:rsid w:val="003F22B1"/>
    <w:rsid w:val="003F22C2"/>
    <w:rsid w:val="003F234E"/>
    <w:rsid w:val="003F23A9"/>
    <w:rsid w:val="003F23B4"/>
    <w:rsid w:val="003F2424"/>
    <w:rsid w:val="003F244E"/>
    <w:rsid w:val="003F246D"/>
    <w:rsid w:val="003F2597"/>
    <w:rsid w:val="003F25B2"/>
    <w:rsid w:val="003F25BD"/>
    <w:rsid w:val="003F2605"/>
    <w:rsid w:val="003F263A"/>
    <w:rsid w:val="003F2664"/>
    <w:rsid w:val="003F2682"/>
    <w:rsid w:val="003F26DA"/>
    <w:rsid w:val="003F26F1"/>
    <w:rsid w:val="003F270B"/>
    <w:rsid w:val="003F2732"/>
    <w:rsid w:val="003F2765"/>
    <w:rsid w:val="003F27A3"/>
    <w:rsid w:val="003F281A"/>
    <w:rsid w:val="003F2842"/>
    <w:rsid w:val="003F2843"/>
    <w:rsid w:val="003F285C"/>
    <w:rsid w:val="003F2873"/>
    <w:rsid w:val="003F287B"/>
    <w:rsid w:val="003F2880"/>
    <w:rsid w:val="003F2921"/>
    <w:rsid w:val="003F2938"/>
    <w:rsid w:val="003F2946"/>
    <w:rsid w:val="003F29A5"/>
    <w:rsid w:val="003F2A18"/>
    <w:rsid w:val="003F2A2E"/>
    <w:rsid w:val="003F2A30"/>
    <w:rsid w:val="003F2ADF"/>
    <w:rsid w:val="003F2B0D"/>
    <w:rsid w:val="003F2B6F"/>
    <w:rsid w:val="003F2B9D"/>
    <w:rsid w:val="003F2C0A"/>
    <w:rsid w:val="003F2C1C"/>
    <w:rsid w:val="003F2C2B"/>
    <w:rsid w:val="003F2C38"/>
    <w:rsid w:val="003F2C60"/>
    <w:rsid w:val="003F2C8B"/>
    <w:rsid w:val="003F2E1C"/>
    <w:rsid w:val="003F2E3B"/>
    <w:rsid w:val="003F2E86"/>
    <w:rsid w:val="003F2EDE"/>
    <w:rsid w:val="003F2EE6"/>
    <w:rsid w:val="003F2EEA"/>
    <w:rsid w:val="003F2F23"/>
    <w:rsid w:val="003F2F26"/>
    <w:rsid w:val="003F2F3F"/>
    <w:rsid w:val="003F2FF8"/>
    <w:rsid w:val="003F300C"/>
    <w:rsid w:val="003F3011"/>
    <w:rsid w:val="003F302E"/>
    <w:rsid w:val="003F308F"/>
    <w:rsid w:val="003F30A1"/>
    <w:rsid w:val="003F30E2"/>
    <w:rsid w:val="003F311D"/>
    <w:rsid w:val="003F3134"/>
    <w:rsid w:val="003F31F1"/>
    <w:rsid w:val="003F3212"/>
    <w:rsid w:val="003F327B"/>
    <w:rsid w:val="003F32E7"/>
    <w:rsid w:val="003F3319"/>
    <w:rsid w:val="003F3345"/>
    <w:rsid w:val="003F336B"/>
    <w:rsid w:val="003F3385"/>
    <w:rsid w:val="003F3393"/>
    <w:rsid w:val="003F3401"/>
    <w:rsid w:val="003F3407"/>
    <w:rsid w:val="003F342E"/>
    <w:rsid w:val="003F3511"/>
    <w:rsid w:val="003F3580"/>
    <w:rsid w:val="003F358F"/>
    <w:rsid w:val="003F35A3"/>
    <w:rsid w:val="003F35AD"/>
    <w:rsid w:val="003F362D"/>
    <w:rsid w:val="003F3641"/>
    <w:rsid w:val="003F365A"/>
    <w:rsid w:val="003F3692"/>
    <w:rsid w:val="003F36A0"/>
    <w:rsid w:val="003F36BF"/>
    <w:rsid w:val="003F36CF"/>
    <w:rsid w:val="003F36F7"/>
    <w:rsid w:val="003F3737"/>
    <w:rsid w:val="003F3746"/>
    <w:rsid w:val="003F3788"/>
    <w:rsid w:val="003F37C2"/>
    <w:rsid w:val="003F3837"/>
    <w:rsid w:val="003F3841"/>
    <w:rsid w:val="003F385A"/>
    <w:rsid w:val="003F387E"/>
    <w:rsid w:val="003F38B7"/>
    <w:rsid w:val="003F38B9"/>
    <w:rsid w:val="003F392D"/>
    <w:rsid w:val="003F3950"/>
    <w:rsid w:val="003F396C"/>
    <w:rsid w:val="003F39BF"/>
    <w:rsid w:val="003F39F1"/>
    <w:rsid w:val="003F3A1D"/>
    <w:rsid w:val="003F3A40"/>
    <w:rsid w:val="003F3A74"/>
    <w:rsid w:val="003F3AAF"/>
    <w:rsid w:val="003F3AB6"/>
    <w:rsid w:val="003F3B10"/>
    <w:rsid w:val="003F3B7F"/>
    <w:rsid w:val="003F3B99"/>
    <w:rsid w:val="003F3BBD"/>
    <w:rsid w:val="003F3C3A"/>
    <w:rsid w:val="003F3C81"/>
    <w:rsid w:val="003F3CEE"/>
    <w:rsid w:val="003F3D0F"/>
    <w:rsid w:val="003F3D4E"/>
    <w:rsid w:val="003F3DD0"/>
    <w:rsid w:val="003F3DFF"/>
    <w:rsid w:val="003F3E23"/>
    <w:rsid w:val="003F3E6D"/>
    <w:rsid w:val="003F3EB1"/>
    <w:rsid w:val="003F3ECF"/>
    <w:rsid w:val="003F3F6E"/>
    <w:rsid w:val="003F3F77"/>
    <w:rsid w:val="003F3FCC"/>
    <w:rsid w:val="003F3FE5"/>
    <w:rsid w:val="003F4099"/>
    <w:rsid w:val="003F409E"/>
    <w:rsid w:val="003F40E0"/>
    <w:rsid w:val="003F40E5"/>
    <w:rsid w:val="003F416F"/>
    <w:rsid w:val="003F417B"/>
    <w:rsid w:val="003F42E2"/>
    <w:rsid w:val="003F42F5"/>
    <w:rsid w:val="003F4300"/>
    <w:rsid w:val="003F4307"/>
    <w:rsid w:val="003F43A9"/>
    <w:rsid w:val="003F43B9"/>
    <w:rsid w:val="003F444A"/>
    <w:rsid w:val="003F4450"/>
    <w:rsid w:val="003F44A0"/>
    <w:rsid w:val="003F44B2"/>
    <w:rsid w:val="003F4507"/>
    <w:rsid w:val="003F4512"/>
    <w:rsid w:val="003F454C"/>
    <w:rsid w:val="003F45E2"/>
    <w:rsid w:val="003F45E9"/>
    <w:rsid w:val="003F45F4"/>
    <w:rsid w:val="003F465D"/>
    <w:rsid w:val="003F4746"/>
    <w:rsid w:val="003F475F"/>
    <w:rsid w:val="003F4783"/>
    <w:rsid w:val="003F4792"/>
    <w:rsid w:val="003F47AC"/>
    <w:rsid w:val="003F47B6"/>
    <w:rsid w:val="003F47F3"/>
    <w:rsid w:val="003F47F4"/>
    <w:rsid w:val="003F481C"/>
    <w:rsid w:val="003F48B1"/>
    <w:rsid w:val="003F48D5"/>
    <w:rsid w:val="003F495A"/>
    <w:rsid w:val="003F499C"/>
    <w:rsid w:val="003F4A32"/>
    <w:rsid w:val="003F4A5A"/>
    <w:rsid w:val="003F4A6F"/>
    <w:rsid w:val="003F4A8F"/>
    <w:rsid w:val="003F4A90"/>
    <w:rsid w:val="003F4AAC"/>
    <w:rsid w:val="003F4ABC"/>
    <w:rsid w:val="003F4ADB"/>
    <w:rsid w:val="003F4B22"/>
    <w:rsid w:val="003F4BC3"/>
    <w:rsid w:val="003F4BC8"/>
    <w:rsid w:val="003F4BD7"/>
    <w:rsid w:val="003F4BE4"/>
    <w:rsid w:val="003F4C4F"/>
    <w:rsid w:val="003F4C7B"/>
    <w:rsid w:val="003F4C9F"/>
    <w:rsid w:val="003F4CBC"/>
    <w:rsid w:val="003F4D9E"/>
    <w:rsid w:val="003F4DB1"/>
    <w:rsid w:val="003F4DF1"/>
    <w:rsid w:val="003F4DF8"/>
    <w:rsid w:val="003F4E30"/>
    <w:rsid w:val="003F4EB5"/>
    <w:rsid w:val="003F4F8F"/>
    <w:rsid w:val="003F4FAE"/>
    <w:rsid w:val="003F4FF6"/>
    <w:rsid w:val="003F500B"/>
    <w:rsid w:val="003F502A"/>
    <w:rsid w:val="003F5077"/>
    <w:rsid w:val="003F50B9"/>
    <w:rsid w:val="003F50E9"/>
    <w:rsid w:val="003F50FF"/>
    <w:rsid w:val="003F512E"/>
    <w:rsid w:val="003F514E"/>
    <w:rsid w:val="003F51F2"/>
    <w:rsid w:val="003F5248"/>
    <w:rsid w:val="003F5276"/>
    <w:rsid w:val="003F52DA"/>
    <w:rsid w:val="003F5387"/>
    <w:rsid w:val="003F543F"/>
    <w:rsid w:val="003F544A"/>
    <w:rsid w:val="003F54DE"/>
    <w:rsid w:val="003F54F3"/>
    <w:rsid w:val="003F5506"/>
    <w:rsid w:val="003F5524"/>
    <w:rsid w:val="003F5546"/>
    <w:rsid w:val="003F5596"/>
    <w:rsid w:val="003F55E7"/>
    <w:rsid w:val="003F56FC"/>
    <w:rsid w:val="003F5701"/>
    <w:rsid w:val="003F5709"/>
    <w:rsid w:val="003F5755"/>
    <w:rsid w:val="003F5776"/>
    <w:rsid w:val="003F579C"/>
    <w:rsid w:val="003F57BB"/>
    <w:rsid w:val="003F57DF"/>
    <w:rsid w:val="003F5878"/>
    <w:rsid w:val="003F5911"/>
    <w:rsid w:val="003F5954"/>
    <w:rsid w:val="003F59E3"/>
    <w:rsid w:val="003F59F9"/>
    <w:rsid w:val="003F5A35"/>
    <w:rsid w:val="003F5A5F"/>
    <w:rsid w:val="003F5B13"/>
    <w:rsid w:val="003F5B1C"/>
    <w:rsid w:val="003F5B1F"/>
    <w:rsid w:val="003F5B40"/>
    <w:rsid w:val="003F5B57"/>
    <w:rsid w:val="003F5B5C"/>
    <w:rsid w:val="003F5B6E"/>
    <w:rsid w:val="003F5B8D"/>
    <w:rsid w:val="003F5BE6"/>
    <w:rsid w:val="003F5C3A"/>
    <w:rsid w:val="003F5C7B"/>
    <w:rsid w:val="003F5C89"/>
    <w:rsid w:val="003F5C90"/>
    <w:rsid w:val="003F5CB1"/>
    <w:rsid w:val="003F5CD3"/>
    <w:rsid w:val="003F5D64"/>
    <w:rsid w:val="003F5D97"/>
    <w:rsid w:val="003F5DBE"/>
    <w:rsid w:val="003F5E42"/>
    <w:rsid w:val="003F5EA6"/>
    <w:rsid w:val="003F5F19"/>
    <w:rsid w:val="003F5F25"/>
    <w:rsid w:val="003F5F3D"/>
    <w:rsid w:val="003F5F9F"/>
    <w:rsid w:val="003F600C"/>
    <w:rsid w:val="003F6087"/>
    <w:rsid w:val="003F6096"/>
    <w:rsid w:val="003F6098"/>
    <w:rsid w:val="003F611B"/>
    <w:rsid w:val="003F611E"/>
    <w:rsid w:val="003F61B0"/>
    <w:rsid w:val="003F62DD"/>
    <w:rsid w:val="003F6395"/>
    <w:rsid w:val="003F63FB"/>
    <w:rsid w:val="003F6423"/>
    <w:rsid w:val="003F6478"/>
    <w:rsid w:val="003F6524"/>
    <w:rsid w:val="003F65C0"/>
    <w:rsid w:val="003F65EC"/>
    <w:rsid w:val="003F6646"/>
    <w:rsid w:val="003F66A3"/>
    <w:rsid w:val="003F66EC"/>
    <w:rsid w:val="003F66F4"/>
    <w:rsid w:val="003F670D"/>
    <w:rsid w:val="003F67B4"/>
    <w:rsid w:val="003F67CC"/>
    <w:rsid w:val="003F6831"/>
    <w:rsid w:val="003F6843"/>
    <w:rsid w:val="003F68C6"/>
    <w:rsid w:val="003F697C"/>
    <w:rsid w:val="003F69BA"/>
    <w:rsid w:val="003F69E0"/>
    <w:rsid w:val="003F69FE"/>
    <w:rsid w:val="003F6A59"/>
    <w:rsid w:val="003F6A94"/>
    <w:rsid w:val="003F6A95"/>
    <w:rsid w:val="003F6AB3"/>
    <w:rsid w:val="003F6ABC"/>
    <w:rsid w:val="003F6ACD"/>
    <w:rsid w:val="003F6B06"/>
    <w:rsid w:val="003F6B88"/>
    <w:rsid w:val="003F6BBC"/>
    <w:rsid w:val="003F6C89"/>
    <w:rsid w:val="003F6CC9"/>
    <w:rsid w:val="003F6D1D"/>
    <w:rsid w:val="003F6D8F"/>
    <w:rsid w:val="003F6DA4"/>
    <w:rsid w:val="003F6DAB"/>
    <w:rsid w:val="003F6DD9"/>
    <w:rsid w:val="003F6E3B"/>
    <w:rsid w:val="003F6E59"/>
    <w:rsid w:val="003F6EC3"/>
    <w:rsid w:val="003F6EE3"/>
    <w:rsid w:val="003F6F8B"/>
    <w:rsid w:val="003F7004"/>
    <w:rsid w:val="003F702B"/>
    <w:rsid w:val="003F7046"/>
    <w:rsid w:val="003F7057"/>
    <w:rsid w:val="003F7059"/>
    <w:rsid w:val="003F70D5"/>
    <w:rsid w:val="003F70E4"/>
    <w:rsid w:val="003F7103"/>
    <w:rsid w:val="003F7109"/>
    <w:rsid w:val="003F7139"/>
    <w:rsid w:val="003F71CC"/>
    <w:rsid w:val="003F7228"/>
    <w:rsid w:val="003F722F"/>
    <w:rsid w:val="003F7265"/>
    <w:rsid w:val="003F72BF"/>
    <w:rsid w:val="003F7317"/>
    <w:rsid w:val="003F731B"/>
    <w:rsid w:val="003F737E"/>
    <w:rsid w:val="003F73B8"/>
    <w:rsid w:val="003F73BA"/>
    <w:rsid w:val="003F7436"/>
    <w:rsid w:val="003F7447"/>
    <w:rsid w:val="003F74D8"/>
    <w:rsid w:val="003F7581"/>
    <w:rsid w:val="003F7596"/>
    <w:rsid w:val="003F766A"/>
    <w:rsid w:val="003F7673"/>
    <w:rsid w:val="003F7683"/>
    <w:rsid w:val="003F76A5"/>
    <w:rsid w:val="003F76EC"/>
    <w:rsid w:val="003F772E"/>
    <w:rsid w:val="003F77B3"/>
    <w:rsid w:val="003F7868"/>
    <w:rsid w:val="003F7880"/>
    <w:rsid w:val="003F7905"/>
    <w:rsid w:val="003F7919"/>
    <w:rsid w:val="003F7931"/>
    <w:rsid w:val="003F7942"/>
    <w:rsid w:val="003F796D"/>
    <w:rsid w:val="003F79A7"/>
    <w:rsid w:val="003F7A18"/>
    <w:rsid w:val="003F7A30"/>
    <w:rsid w:val="003F7A4B"/>
    <w:rsid w:val="003F7B89"/>
    <w:rsid w:val="003F7BAD"/>
    <w:rsid w:val="003F7BC0"/>
    <w:rsid w:val="003F7BD1"/>
    <w:rsid w:val="003F7C53"/>
    <w:rsid w:val="003F7C70"/>
    <w:rsid w:val="003F7CB0"/>
    <w:rsid w:val="003F7CE7"/>
    <w:rsid w:val="003F7DC1"/>
    <w:rsid w:val="003F7DE4"/>
    <w:rsid w:val="003F7E09"/>
    <w:rsid w:val="003F7ED5"/>
    <w:rsid w:val="003F7FBE"/>
    <w:rsid w:val="003F7FD3"/>
    <w:rsid w:val="003F7FD7"/>
    <w:rsid w:val="00400057"/>
    <w:rsid w:val="00400091"/>
    <w:rsid w:val="004000C7"/>
    <w:rsid w:val="0040015E"/>
    <w:rsid w:val="00400168"/>
    <w:rsid w:val="004001FB"/>
    <w:rsid w:val="00400256"/>
    <w:rsid w:val="00400299"/>
    <w:rsid w:val="004002D7"/>
    <w:rsid w:val="00400340"/>
    <w:rsid w:val="00400369"/>
    <w:rsid w:val="004003A3"/>
    <w:rsid w:val="004003C1"/>
    <w:rsid w:val="004003CC"/>
    <w:rsid w:val="004003F4"/>
    <w:rsid w:val="004004DC"/>
    <w:rsid w:val="004004EB"/>
    <w:rsid w:val="004004FC"/>
    <w:rsid w:val="00400521"/>
    <w:rsid w:val="00400525"/>
    <w:rsid w:val="0040052C"/>
    <w:rsid w:val="00400577"/>
    <w:rsid w:val="00400593"/>
    <w:rsid w:val="004005F4"/>
    <w:rsid w:val="00400600"/>
    <w:rsid w:val="00400613"/>
    <w:rsid w:val="00400678"/>
    <w:rsid w:val="004006A8"/>
    <w:rsid w:val="004006E6"/>
    <w:rsid w:val="00400714"/>
    <w:rsid w:val="004007D8"/>
    <w:rsid w:val="0040083E"/>
    <w:rsid w:val="004008B8"/>
    <w:rsid w:val="004008C3"/>
    <w:rsid w:val="004008F8"/>
    <w:rsid w:val="00400901"/>
    <w:rsid w:val="00400905"/>
    <w:rsid w:val="004009D9"/>
    <w:rsid w:val="00400A23"/>
    <w:rsid w:val="00400A3A"/>
    <w:rsid w:val="00400A82"/>
    <w:rsid w:val="00400B05"/>
    <w:rsid w:val="00400B4A"/>
    <w:rsid w:val="00400B83"/>
    <w:rsid w:val="00400C3B"/>
    <w:rsid w:val="00400C96"/>
    <w:rsid w:val="00400CA1"/>
    <w:rsid w:val="00400D29"/>
    <w:rsid w:val="00400DB2"/>
    <w:rsid w:val="00400DCB"/>
    <w:rsid w:val="00400DEA"/>
    <w:rsid w:val="00400DFA"/>
    <w:rsid w:val="00400E12"/>
    <w:rsid w:val="00400E58"/>
    <w:rsid w:val="00400EEC"/>
    <w:rsid w:val="00400F71"/>
    <w:rsid w:val="00400F8B"/>
    <w:rsid w:val="00400FD3"/>
    <w:rsid w:val="00401006"/>
    <w:rsid w:val="00401078"/>
    <w:rsid w:val="0040113D"/>
    <w:rsid w:val="00401156"/>
    <w:rsid w:val="00401190"/>
    <w:rsid w:val="00401212"/>
    <w:rsid w:val="0040124B"/>
    <w:rsid w:val="004012B0"/>
    <w:rsid w:val="00401366"/>
    <w:rsid w:val="0040136D"/>
    <w:rsid w:val="004013A4"/>
    <w:rsid w:val="004013D5"/>
    <w:rsid w:val="004013E1"/>
    <w:rsid w:val="0040148C"/>
    <w:rsid w:val="004014CD"/>
    <w:rsid w:val="004014E9"/>
    <w:rsid w:val="0040152D"/>
    <w:rsid w:val="00401538"/>
    <w:rsid w:val="0040157F"/>
    <w:rsid w:val="004015BF"/>
    <w:rsid w:val="004015EF"/>
    <w:rsid w:val="004016BA"/>
    <w:rsid w:val="004016CD"/>
    <w:rsid w:val="00401728"/>
    <w:rsid w:val="0040172E"/>
    <w:rsid w:val="00401748"/>
    <w:rsid w:val="00401796"/>
    <w:rsid w:val="004017D0"/>
    <w:rsid w:val="004017E1"/>
    <w:rsid w:val="004017FB"/>
    <w:rsid w:val="004018A5"/>
    <w:rsid w:val="004018EC"/>
    <w:rsid w:val="0040192E"/>
    <w:rsid w:val="004019D5"/>
    <w:rsid w:val="00401A80"/>
    <w:rsid w:val="00401A85"/>
    <w:rsid w:val="00401ACC"/>
    <w:rsid w:val="00401B11"/>
    <w:rsid w:val="00401B3F"/>
    <w:rsid w:val="00401B96"/>
    <w:rsid w:val="00401BB3"/>
    <w:rsid w:val="00401BBA"/>
    <w:rsid w:val="00401BC4"/>
    <w:rsid w:val="00401BCE"/>
    <w:rsid w:val="00401BF7"/>
    <w:rsid w:val="00401CAE"/>
    <w:rsid w:val="00401CEB"/>
    <w:rsid w:val="00401D01"/>
    <w:rsid w:val="00401D1F"/>
    <w:rsid w:val="00401D51"/>
    <w:rsid w:val="00401D60"/>
    <w:rsid w:val="00401DEA"/>
    <w:rsid w:val="00401E37"/>
    <w:rsid w:val="00401E42"/>
    <w:rsid w:val="00401E7E"/>
    <w:rsid w:val="00401ED8"/>
    <w:rsid w:val="00401F1F"/>
    <w:rsid w:val="00401F20"/>
    <w:rsid w:val="00401F88"/>
    <w:rsid w:val="00401FCE"/>
    <w:rsid w:val="00401FFB"/>
    <w:rsid w:val="00402011"/>
    <w:rsid w:val="0040203C"/>
    <w:rsid w:val="00402073"/>
    <w:rsid w:val="0040208E"/>
    <w:rsid w:val="00402091"/>
    <w:rsid w:val="004020A4"/>
    <w:rsid w:val="004020FB"/>
    <w:rsid w:val="00402160"/>
    <w:rsid w:val="0040216D"/>
    <w:rsid w:val="0040216F"/>
    <w:rsid w:val="004021F6"/>
    <w:rsid w:val="00402286"/>
    <w:rsid w:val="004022AF"/>
    <w:rsid w:val="004022C1"/>
    <w:rsid w:val="0040230F"/>
    <w:rsid w:val="00402358"/>
    <w:rsid w:val="004023A8"/>
    <w:rsid w:val="004023AA"/>
    <w:rsid w:val="00402434"/>
    <w:rsid w:val="0040246F"/>
    <w:rsid w:val="00402487"/>
    <w:rsid w:val="004024A0"/>
    <w:rsid w:val="004024C1"/>
    <w:rsid w:val="004024D4"/>
    <w:rsid w:val="00402510"/>
    <w:rsid w:val="00402521"/>
    <w:rsid w:val="00402570"/>
    <w:rsid w:val="0040258D"/>
    <w:rsid w:val="004025CA"/>
    <w:rsid w:val="004026BA"/>
    <w:rsid w:val="00402708"/>
    <w:rsid w:val="0040273C"/>
    <w:rsid w:val="004027A9"/>
    <w:rsid w:val="00402834"/>
    <w:rsid w:val="00402835"/>
    <w:rsid w:val="0040283E"/>
    <w:rsid w:val="004029D5"/>
    <w:rsid w:val="00402A06"/>
    <w:rsid w:val="00402A14"/>
    <w:rsid w:val="00402A81"/>
    <w:rsid w:val="00402AAB"/>
    <w:rsid w:val="00402AAC"/>
    <w:rsid w:val="00402B2B"/>
    <w:rsid w:val="00402B3C"/>
    <w:rsid w:val="00402BDE"/>
    <w:rsid w:val="00402BFD"/>
    <w:rsid w:val="00402C0D"/>
    <w:rsid w:val="00402CA6"/>
    <w:rsid w:val="00402CB3"/>
    <w:rsid w:val="00402CDB"/>
    <w:rsid w:val="00402DAB"/>
    <w:rsid w:val="00402DAE"/>
    <w:rsid w:val="00402DB5"/>
    <w:rsid w:val="00402DEC"/>
    <w:rsid w:val="00402EA6"/>
    <w:rsid w:val="00402F05"/>
    <w:rsid w:val="00402F2A"/>
    <w:rsid w:val="00402F42"/>
    <w:rsid w:val="00402F6C"/>
    <w:rsid w:val="00402F82"/>
    <w:rsid w:val="00402FB6"/>
    <w:rsid w:val="00402FD9"/>
    <w:rsid w:val="00402FF4"/>
    <w:rsid w:val="00403013"/>
    <w:rsid w:val="00403095"/>
    <w:rsid w:val="004030A4"/>
    <w:rsid w:val="004030C4"/>
    <w:rsid w:val="004030DC"/>
    <w:rsid w:val="004030E3"/>
    <w:rsid w:val="004030FD"/>
    <w:rsid w:val="004031CA"/>
    <w:rsid w:val="004031ED"/>
    <w:rsid w:val="004031EE"/>
    <w:rsid w:val="0040320A"/>
    <w:rsid w:val="00403246"/>
    <w:rsid w:val="00403274"/>
    <w:rsid w:val="00403294"/>
    <w:rsid w:val="004032D9"/>
    <w:rsid w:val="00403318"/>
    <w:rsid w:val="004033D8"/>
    <w:rsid w:val="00403409"/>
    <w:rsid w:val="00403487"/>
    <w:rsid w:val="00403494"/>
    <w:rsid w:val="004034BD"/>
    <w:rsid w:val="004034C9"/>
    <w:rsid w:val="00403600"/>
    <w:rsid w:val="00403649"/>
    <w:rsid w:val="0040368B"/>
    <w:rsid w:val="004036BE"/>
    <w:rsid w:val="004036F3"/>
    <w:rsid w:val="004036F8"/>
    <w:rsid w:val="00403701"/>
    <w:rsid w:val="00403751"/>
    <w:rsid w:val="00403755"/>
    <w:rsid w:val="00403773"/>
    <w:rsid w:val="004037E1"/>
    <w:rsid w:val="0040388A"/>
    <w:rsid w:val="00403890"/>
    <w:rsid w:val="0040389C"/>
    <w:rsid w:val="00403946"/>
    <w:rsid w:val="00403978"/>
    <w:rsid w:val="00403990"/>
    <w:rsid w:val="004039B4"/>
    <w:rsid w:val="00403A36"/>
    <w:rsid w:val="00403AC2"/>
    <w:rsid w:val="00403ACC"/>
    <w:rsid w:val="00403AE6"/>
    <w:rsid w:val="00403B04"/>
    <w:rsid w:val="00403B20"/>
    <w:rsid w:val="00403B34"/>
    <w:rsid w:val="00403B3D"/>
    <w:rsid w:val="00403BBD"/>
    <w:rsid w:val="00403BDE"/>
    <w:rsid w:val="00403C65"/>
    <w:rsid w:val="00403CC1"/>
    <w:rsid w:val="00403CCA"/>
    <w:rsid w:val="00403D23"/>
    <w:rsid w:val="00403D42"/>
    <w:rsid w:val="00403D8D"/>
    <w:rsid w:val="00403E11"/>
    <w:rsid w:val="00403E35"/>
    <w:rsid w:val="00403E7B"/>
    <w:rsid w:val="00403E92"/>
    <w:rsid w:val="00403EB4"/>
    <w:rsid w:val="00403EDE"/>
    <w:rsid w:val="00403F68"/>
    <w:rsid w:val="00403FBA"/>
    <w:rsid w:val="00404001"/>
    <w:rsid w:val="00404011"/>
    <w:rsid w:val="004040EF"/>
    <w:rsid w:val="00404107"/>
    <w:rsid w:val="00404156"/>
    <w:rsid w:val="00404176"/>
    <w:rsid w:val="004041CB"/>
    <w:rsid w:val="0040420F"/>
    <w:rsid w:val="00404256"/>
    <w:rsid w:val="004042E8"/>
    <w:rsid w:val="00404359"/>
    <w:rsid w:val="00404395"/>
    <w:rsid w:val="00404396"/>
    <w:rsid w:val="004043F3"/>
    <w:rsid w:val="004043F4"/>
    <w:rsid w:val="00404429"/>
    <w:rsid w:val="00404610"/>
    <w:rsid w:val="0040467D"/>
    <w:rsid w:val="004046B0"/>
    <w:rsid w:val="004046E3"/>
    <w:rsid w:val="004046E4"/>
    <w:rsid w:val="004046F2"/>
    <w:rsid w:val="004046F5"/>
    <w:rsid w:val="00404708"/>
    <w:rsid w:val="0040478E"/>
    <w:rsid w:val="00404794"/>
    <w:rsid w:val="004047B0"/>
    <w:rsid w:val="004047E7"/>
    <w:rsid w:val="004047EA"/>
    <w:rsid w:val="00404866"/>
    <w:rsid w:val="004048A9"/>
    <w:rsid w:val="004048BA"/>
    <w:rsid w:val="004048CA"/>
    <w:rsid w:val="00404972"/>
    <w:rsid w:val="0040497B"/>
    <w:rsid w:val="004049B2"/>
    <w:rsid w:val="00404A00"/>
    <w:rsid w:val="00404A17"/>
    <w:rsid w:val="00404A2E"/>
    <w:rsid w:val="00404A55"/>
    <w:rsid w:val="00404A77"/>
    <w:rsid w:val="00404ABF"/>
    <w:rsid w:val="00404AF6"/>
    <w:rsid w:val="00404B53"/>
    <w:rsid w:val="00404B5E"/>
    <w:rsid w:val="00404BE0"/>
    <w:rsid w:val="00404C3D"/>
    <w:rsid w:val="00404C64"/>
    <w:rsid w:val="00404CB1"/>
    <w:rsid w:val="00404D0E"/>
    <w:rsid w:val="00404D17"/>
    <w:rsid w:val="00404D50"/>
    <w:rsid w:val="00404D94"/>
    <w:rsid w:val="00404DA7"/>
    <w:rsid w:val="00404DEE"/>
    <w:rsid w:val="00404E3A"/>
    <w:rsid w:val="00404E8F"/>
    <w:rsid w:val="00404EE5"/>
    <w:rsid w:val="00404F24"/>
    <w:rsid w:val="00404F66"/>
    <w:rsid w:val="00404F94"/>
    <w:rsid w:val="00404F9D"/>
    <w:rsid w:val="00404FB4"/>
    <w:rsid w:val="00404FC6"/>
    <w:rsid w:val="00404FD4"/>
    <w:rsid w:val="00405019"/>
    <w:rsid w:val="00405101"/>
    <w:rsid w:val="00405114"/>
    <w:rsid w:val="00405173"/>
    <w:rsid w:val="004051C8"/>
    <w:rsid w:val="004051CC"/>
    <w:rsid w:val="004051ED"/>
    <w:rsid w:val="004051F1"/>
    <w:rsid w:val="00405275"/>
    <w:rsid w:val="0040533F"/>
    <w:rsid w:val="0040537B"/>
    <w:rsid w:val="00405394"/>
    <w:rsid w:val="004053BC"/>
    <w:rsid w:val="004053DD"/>
    <w:rsid w:val="004053FF"/>
    <w:rsid w:val="00405428"/>
    <w:rsid w:val="0040549D"/>
    <w:rsid w:val="004054DD"/>
    <w:rsid w:val="00405510"/>
    <w:rsid w:val="00405559"/>
    <w:rsid w:val="0040555C"/>
    <w:rsid w:val="004055F8"/>
    <w:rsid w:val="004056B3"/>
    <w:rsid w:val="004056B7"/>
    <w:rsid w:val="00405725"/>
    <w:rsid w:val="00405762"/>
    <w:rsid w:val="00405798"/>
    <w:rsid w:val="004057F5"/>
    <w:rsid w:val="0040581F"/>
    <w:rsid w:val="0040584F"/>
    <w:rsid w:val="004058A7"/>
    <w:rsid w:val="004058E6"/>
    <w:rsid w:val="00405942"/>
    <w:rsid w:val="00405957"/>
    <w:rsid w:val="00405988"/>
    <w:rsid w:val="004059C0"/>
    <w:rsid w:val="004059F7"/>
    <w:rsid w:val="004059FE"/>
    <w:rsid w:val="00405A00"/>
    <w:rsid w:val="00405A4D"/>
    <w:rsid w:val="00405AC1"/>
    <w:rsid w:val="00405ADC"/>
    <w:rsid w:val="00405B16"/>
    <w:rsid w:val="00405B39"/>
    <w:rsid w:val="00405BC6"/>
    <w:rsid w:val="00405BDD"/>
    <w:rsid w:val="00405BDE"/>
    <w:rsid w:val="00405BEE"/>
    <w:rsid w:val="00405C2C"/>
    <w:rsid w:val="00405C44"/>
    <w:rsid w:val="00405CE8"/>
    <w:rsid w:val="00405D12"/>
    <w:rsid w:val="00405D3F"/>
    <w:rsid w:val="00405D48"/>
    <w:rsid w:val="00405D60"/>
    <w:rsid w:val="00405DC1"/>
    <w:rsid w:val="00405E4D"/>
    <w:rsid w:val="00405FFF"/>
    <w:rsid w:val="0040604E"/>
    <w:rsid w:val="00406073"/>
    <w:rsid w:val="00406137"/>
    <w:rsid w:val="00406149"/>
    <w:rsid w:val="0040615C"/>
    <w:rsid w:val="00406168"/>
    <w:rsid w:val="00406180"/>
    <w:rsid w:val="004061EE"/>
    <w:rsid w:val="0040622C"/>
    <w:rsid w:val="0040636F"/>
    <w:rsid w:val="004063BB"/>
    <w:rsid w:val="004063E7"/>
    <w:rsid w:val="004064A9"/>
    <w:rsid w:val="004064AA"/>
    <w:rsid w:val="004064DD"/>
    <w:rsid w:val="00406537"/>
    <w:rsid w:val="00406599"/>
    <w:rsid w:val="004066BF"/>
    <w:rsid w:val="004066C9"/>
    <w:rsid w:val="004066E8"/>
    <w:rsid w:val="00406715"/>
    <w:rsid w:val="0040677B"/>
    <w:rsid w:val="004067C1"/>
    <w:rsid w:val="004067C2"/>
    <w:rsid w:val="00406835"/>
    <w:rsid w:val="00406867"/>
    <w:rsid w:val="004068BF"/>
    <w:rsid w:val="004068C3"/>
    <w:rsid w:val="004068EE"/>
    <w:rsid w:val="00406969"/>
    <w:rsid w:val="004069C2"/>
    <w:rsid w:val="004069FC"/>
    <w:rsid w:val="00406A26"/>
    <w:rsid w:val="00406A6B"/>
    <w:rsid w:val="00406AFB"/>
    <w:rsid w:val="00406B12"/>
    <w:rsid w:val="00406B16"/>
    <w:rsid w:val="00406B3C"/>
    <w:rsid w:val="00406B71"/>
    <w:rsid w:val="00406BA4"/>
    <w:rsid w:val="00406BB4"/>
    <w:rsid w:val="00406BCD"/>
    <w:rsid w:val="00406C2A"/>
    <w:rsid w:val="00406C7F"/>
    <w:rsid w:val="00406C94"/>
    <w:rsid w:val="00406CAF"/>
    <w:rsid w:val="00406CCB"/>
    <w:rsid w:val="00406CF0"/>
    <w:rsid w:val="00406D02"/>
    <w:rsid w:val="00406D1F"/>
    <w:rsid w:val="00406D6F"/>
    <w:rsid w:val="00406DBF"/>
    <w:rsid w:val="00406DCD"/>
    <w:rsid w:val="00406E0C"/>
    <w:rsid w:val="00406E50"/>
    <w:rsid w:val="00406E85"/>
    <w:rsid w:val="00406EDF"/>
    <w:rsid w:val="00406F14"/>
    <w:rsid w:val="00406F19"/>
    <w:rsid w:val="00406FA8"/>
    <w:rsid w:val="00406FD7"/>
    <w:rsid w:val="00407017"/>
    <w:rsid w:val="00407042"/>
    <w:rsid w:val="004070AB"/>
    <w:rsid w:val="0040711E"/>
    <w:rsid w:val="00407140"/>
    <w:rsid w:val="0040715E"/>
    <w:rsid w:val="00407247"/>
    <w:rsid w:val="0040727C"/>
    <w:rsid w:val="0040728A"/>
    <w:rsid w:val="0040730B"/>
    <w:rsid w:val="00407444"/>
    <w:rsid w:val="0040745B"/>
    <w:rsid w:val="00407481"/>
    <w:rsid w:val="00407493"/>
    <w:rsid w:val="004074B1"/>
    <w:rsid w:val="00407511"/>
    <w:rsid w:val="00407534"/>
    <w:rsid w:val="004075B3"/>
    <w:rsid w:val="004075D4"/>
    <w:rsid w:val="004075E0"/>
    <w:rsid w:val="004075F0"/>
    <w:rsid w:val="0040763B"/>
    <w:rsid w:val="00407686"/>
    <w:rsid w:val="004076A1"/>
    <w:rsid w:val="004076A5"/>
    <w:rsid w:val="004076E2"/>
    <w:rsid w:val="0040770C"/>
    <w:rsid w:val="0040771D"/>
    <w:rsid w:val="00407756"/>
    <w:rsid w:val="00407772"/>
    <w:rsid w:val="004077AE"/>
    <w:rsid w:val="004077F4"/>
    <w:rsid w:val="00407834"/>
    <w:rsid w:val="00407837"/>
    <w:rsid w:val="0040789F"/>
    <w:rsid w:val="004078BD"/>
    <w:rsid w:val="004078D4"/>
    <w:rsid w:val="0040790D"/>
    <w:rsid w:val="00407991"/>
    <w:rsid w:val="004079CF"/>
    <w:rsid w:val="00407A20"/>
    <w:rsid w:val="00407A40"/>
    <w:rsid w:val="00407AF9"/>
    <w:rsid w:val="00407B09"/>
    <w:rsid w:val="00407B75"/>
    <w:rsid w:val="00407B9B"/>
    <w:rsid w:val="00407BA2"/>
    <w:rsid w:val="00407BAE"/>
    <w:rsid w:val="00407C09"/>
    <w:rsid w:val="00407C10"/>
    <w:rsid w:val="00407C5D"/>
    <w:rsid w:val="00407C72"/>
    <w:rsid w:val="00407D68"/>
    <w:rsid w:val="00407D7A"/>
    <w:rsid w:val="00407DDC"/>
    <w:rsid w:val="00407E35"/>
    <w:rsid w:val="00407E50"/>
    <w:rsid w:val="00407E57"/>
    <w:rsid w:val="00407E5A"/>
    <w:rsid w:val="00407E68"/>
    <w:rsid w:val="00407F2F"/>
    <w:rsid w:val="00407F47"/>
    <w:rsid w:val="00407FEA"/>
    <w:rsid w:val="00410017"/>
    <w:rsid w:val="00410073"/>
    <w:rsid w:val="00410091"/>
    <w:rsid w:val="004100EA"/>
    <w:rsid w:val="0041019E"/>
    <w:rsid w:val="004101DC"/>
    <w:rsid w:val="004101E7"/>
    <w:rsid w:val="00410239"/>
    <w:rsid w:val="00410242"/>
    <w:rsid w:val="004102D0"/>
    <w:rsid w:val="004102F5"/>
    <w:rsid w:val="0041037E"/>
    <w:rsid w:val="00410387"/>
    <w:rsid w:val="0041043B"/>
    <w:rsid w:val="0041045B"/>
    <w:rsid w:val="00410468"/>
    <w:rsid w:val="004104C7"/>
    <w:rsid w:val="004104D0"/>
    <w:rsid w:val="004104DD"/>
    <w:rsid w:val="00410500"/>
    <w:rsid w:val="0041056A"/>
    <w:rsid w:val="00410599"/>
    <w:rsid w:val="004105B1"/>
    <w:rsid w:val="004105B8"/>
    <w:rsid w:val="004105C0"/>
    <w:rsid w:val="004105CE"/>
    <w:rsid w:val="00410674"/>
    <w:rsid w:val="00410778"/>
    <w:rsid w:val="00410784"/>
    <w:rsid w:val="004107AA"/>
    <w:rsid w:val="004107C7"/>
    <w:rsid w:val="004107F5"/>
    <w:rsid w:val="0041084B"/>
    <w:rsid w:val="004108A5"/>
    <w:rsid w:val="0041091A"/>
    <w:rsid w:val="00410952"/>
    <w:rsid w:val="00410964"/>
    <w:rsid w:val="004109D7"/>
    <w:rsid w:val="00410A1D"/>
    <w:rsid w:val="00410A4A"/>
    <w:rsid w:val="00410A83"/>
    <w:rsid w:val="00410A9F"/>
    <w:rsid w:val="00410ADD"/>
    <w:rsid w:val="00410B1C"/>
    <w:rsid w:val="00410BF1"/>
    <w:rsid w:val="00410C46"/>
    <w:rsid w:val="00410C82"/>
    <w:rsid w:val="00410CA6"/>
    <w:rsid w:val="00410DC6"/>
    <w:rsid w:val="00410DC7"/>
    <w:rsid w:val="00410DDB"/>
    <w:rsid w:val="00410E44"/>
    <w:rsid w:val="00410E79"/>
    <w:rsid w:val="00410E85"/>
    <w:rsid w:val="00410EDD"/>
    <w:rsid w:val="00410EE5"/>
    <w:rsid w:val="00410F04"/>
    <w:rsid w:val="00410F0A"/>
    <w:rsid w:val="00410F10"/>
    <w:rsid w:val="00410F17"/>
    <w:rsid w:val="0041100C"/>
    <w:rsid w:val="00411068"/>
    <w:rsid w:val="004110BC"/>
    <w:rsid w:val="004110D5"/>
    <w:rsid w:val="004110DE"/>
    <w:rsid w:val="00411125"/>
    <w:rsid w:val="00411143"/>
    <w:rsid w:val="0041118B"/>
    <w:rsid w:val="0041119E"/>
    <w:rsid w:val="004111F7"/>
    <w:rsid w:val="0041124D"/>
    <w:rsid w:val="0041124E"/>
    <w:rsid w:val="0041125F"/>
    <w:rsid w:val="004112F4"/>
    <w:rsid w:val="004112FF"/>
    <w:rsid w:val="004113FC"/>
    <w:rsid w:val="0041144B"/>
    <w:rsid w:val="00411468"/>
    <w:rsid w:val="0041151D"/>
    <w:rsid w:val="004115CA"/>
    <w:rsid w:val="004115F1"/>
    <w:rsid w:val="004115FA"/>
    <w:rsid w:val="0041161E"/>
    <w:rsid w:val="004116B8"/>
    <w:rsid w:val="00411732"/>
    <w:rsid w:val="0041174F"/>
    <w:rsid w:val="004117A0"/>
    <w:rsid w:val="004117B2"/>
    <w:rsid w:val="004117D9"/>
    <w:rsid w:val="00411837"/>
    <w:rsid w:val="00411888"/>
    <w:rsid w:val="004118CF"/>
    <w:rsid w:val="00411966"/>
    <w:rsid w:val="004119C4"/>
    <w:rsid w:val="00411B4C"/>
    <w:rsid w:val="00411B74"/>
    <w:rsid w:val="00411B78"/>
    <w:rsid w:val="00411BA5"/>
    <w:rsid w:val="00411C2F"/>
    <w:rsid w:val="00411C67"/>
    <w:rsid w:val="00411C74"/>
    <w:rsid w:val="00411CA4"/>
    <w:rsid w:val="00411CD1"/>
    <w:rsid w:val="00411CD2"/>
    <w:rsid w:val="00411CE9"/>
    <w:rsid w:val="00411D71"/>
    <w:rsid w:val="00411D99"/>
    <w:rsid w:val="00411DAC"/>
    <w:rsid w:val="00411DD5"/>
    <w:rsid w:val="00411E6D"/>
    <w:rsid w:val="00411EA6"/>
    <w:rsid w:val="00411ED6"/>
    <w:rsid w:val="00411F96"/>
    <w:rsid w:val="00411FB8"/>
    <w:rsid w:val="00411FC6"/>
    <w:rsid w:val="0041200F"/>
    <w:rsid w:val="0041209B"/>
    <w:rsid w:val="00412110"/>
    <w:rsid w:val="004121BC"/>
    <w:rsid w:val="004121C1"/>
    <w:rsid w:val="004121DF"/>
    <w:rsid w:val="004121E5"/>
    <w:rsid w:val="0041225E"/>
    <w:rsid w:val="0041227C"/>
    <w:rsid w:val="004122B2"/>
    <w:rsid w:val="004122EB"/>
    <w:rsid w:val="00412364"/>
    <w:rsid w:val="004123BB"/>
    <w:rsid w:val="00412447"/>
    <w:rsid w:val="0041249E"/>
    <w:rsid w:val="004124AF"/>
    <w:rsid w:val="004124E0"/>
    <w:rsid w:val="00412521"/>
    <w:rsid w:val="00412532"/>
    <w:rsid w:val="00412657"/>
    <w:rsid w:val="00412669"/>
    <w:rsid w:val="0041269D"/>
    <w:rsid w:val="004126DF"/>
    <w:rsid w:val="0041272D"/>
    <w:rsid w:val="0041276C"/>
    <w:rsid w:val="0041280F"/>
    <w:rsid w:val="00412896"/>
    <w:rsid w:val="00412907"/>
    <w:rsid w:val="0041291C"/>
    <w:rsid w:val="00412961"/>
    <w:rsid w:val="004129C4"/>
    <w:rsid w:val="004129F7"/>
    <w:rsid w:val="00412A2D"/>
    <w:rsid w:val="00412A4E"/>
    <w:rsid w:val="00412AD9"/>
    <w:rsid w:val="00412AE7"/>
    <w:rsid w:val="00412B2B"/>
    <w:rsid w:val="00412C22"/>
    <w:rsid w:val="00412C92"/>
    <w:rsid w:val="00412CB4"/>
    <w:rsid w:val="00412CC0"/>
    <w:rsid w:val="00412CCD"/>
    <w:rsid w:val="00412CE6"/>
    <w:rsid w:val="00412D00"/>
    <w:rsid w:val="00412D2F"/>
    <w:rsid w:val="00412D93"/>
    <w:rsid w:val="00412D99"/>
    <w:rsid w:val="00412DCE"/>
    <w:rsid w:val="00412DD1"/>
    <w:rsid w:val="00412DE9"/>
    <w:rsid w:val="00412E8A"/>
    <w:rsid w:val="00412F22"/>
    <w:rsid w:val="00412F5A"/>
    <w:rsid w:val="00412F5E"/>
    <w:rsid w:val="00412FD4"/>
    <w:rsid w:val="00413001"/>
    <w:rsid w:val="0041300F"/>
    <w:rsid w:val="00413037"/>
    <w:rsid w:val="00413049"/>
    <w:rsid w:val="00413083"/>
    <w:rsid w:val="00413127"/>
    <w:rsid w:val="0041315C"/>
    <w:rsid w:val="0041318D"/>
    <w:rsid w:val="0041322E"/>
    <w:rsid w:val="0041325A"/>
    <w:rsid w:val="0041326C"/>
    <w:rsid w:val="004132DC"/>
    <w:rsid w:val="0041339F"/>
    <w:rsid w:val="004133F1"/>
    <w:rsid w:val="00413422"/>
    <w:rsid w:val="00413469"/>
    <w:rsid w:val="004134A1"/>
    <w:rsid w:val="004134F0"/>
    <w:rsid w:val="00413502"/>
    <w:rsid w:val="00413542"/>
    <w:rsid w:val="00413576"/>
    <w:rsid w:val="004135C2"/>
    <w:rsid w:val="004135F3"/>
    <w:rsid w:val="00413602"/>
    <w:rsid w:val="00413682"/>
    <w:rsid w:val="004136D9"/>
    <w:rsid w:val="004136EB"/>
    <w:rsid w:val="004136F5"/>
    <w:rsid w:val="00413738"/>
    <w:rsid w:val="00413789"/>
    <w:rsid w:val="004137A6"/>
    <w:rsid w:val="004137A8"/>
    <w:rsid w:val="004137CC"/>
    <w:rsid w:val="004137CE"/>
    <w:rsid w:val="00413852"/>
    <w:rsid w:val="00413859"/>
    <w:rsid w:val="0041385B"/>
    <w:rsid w:val="0041386A"/>
    <w:rsid w:val="004138D0"/>
    <w:rsid w:val="004138F9"/>
    <w:rsid w:val="00413906"/>
    <w:rsid w:val="0041391C"/>
    <w:rsid w:val="004139AF"/>
    <w:rsid w:val="00413A03"/>
    <w:rsid w:val="00413A06"/>
    <w:rsid w:val="00413B38"/>
    <w:rsid w:val="00413B86"/>
    <w:rsid w:val="00413BBD"/>
    <w:rsid w:val="00413BD5"/>
    <w:rsid w:val="00413C4D"/>
    <w:rsid w:val="00413C64"/>
    <w:rsid w:val="00413CA3"/>
    <w:rsid w:val="00413CA4"/>
    <w:rsid w:val="00413CD3"/>
    <w:rsid w:val="00413D15"/>
    <w:rsid w:val="00413D1A"/>
    <w:rsid w:val="00413D42"/>
    <w:rsid w:val="00413D43"/>
    <w:rsid w:val="00413D77"/>
    <w:rsid w:val="00413DA0"/>
    <w:rsid w:val="00413DA4"/>
    <w:rsid w:val="00413DEC"/>
    <w:rsid w:val="00413E04"/>
    <w:rsid w:val="00413E35"/>
    <w:rsid w:val="00413EBC"/>
    <w:rsid w:val="00413EDE"/>
    <w:rsid w:val="00413EE4"/>
    <w:rsid w:val="00413EE6"/>
    <w:rsid w:val="00413F7C"/>
    <w:rsid w:val="00413FA6"/>
    <w:rsid w:val="00413FF0"/>
    <w:rsid w:val="00414005"/>
    <w:rsid w:val="0041401A"/>
    <w:rsid w:val="00414068"/>
    <w:rsid w:val="004140C6"/>
    <w:rsid w:val="004140D0"/>
    <w:rsid w:val="00414125"/>
    <w:rsid w:val="00414145"/>
    <w:rsid w:val="0041416A"/>
    <w:rsid w:val="00414188"/>
    <w:rsid w:val="0041418B"/>
    <w:rsid w:val="004141C6"/>
    <w:rsid w:val="004141E4"/>
    <w:rsid w:val="00414299"/>
    <w:rsid w:val="004142B6"/>
    <w:rsid w:val="0041436C"/>
    <w:rsid w:val="004143BB"/>
    <w:rsid w:val="00414409"/>
    <w:rsid w:val="00414428"/>
    <w:rsid w:val="00414443"/>
    <w:rsid w:val="004144A0"/>
    <w:rsid w:val="004144BB"/>
    <w:rsid w:val="00414548"/>
    <w:rsid w:val="00414559"/>
    <w:rsid w:val="004145B0"/>
    <w:rsid w:val="00414625"/>
    <w:rsid w:val="00414681"/>
    <w:rsid w:val="00414718"/>
    <w:rsid w:val="00414730"/>
    <w:rsid w:val="00414758"/>
    <w:rsid w:val="004147BA"/>
    <w:rsid w:val="004147C0"/>
    <w:rsid w:val="004147CB"/>
    <w:rsid w:val="004147DE"/>
    <w:rsid w:val="0041488A"/>
    <w:rsid w:val="004148BF"/>
    <w:rsid w:val="004148E2"/>
    <w:rsid w:val="004148FE"/>
    <w:rsid w:val="00414917"/>
    <w:rsid w:val="00414A96"/>
    <w:rsid w:val="00414AB6"/>
    <w:rsid w:val="00414AC5"/>
    <w:rsid w:val="00414AC9"/>
    <w:rsid w:val="00414ADE"/>
    <w:rsid w:val="00414B7A"/>
    <w:rsid w:val="00414B90"/>
    <w:rsid w:val="00414B93"/>
    <w:rsid w:val="00414BE6"/>
    <w:rsid w:val="00414BED"/>
    <w:rsid w:val="00414C0F"/>
    <w:rsid w:val="00414C6D"/>
    <w:rsid w:val="00414D29"/>
    <w:rsid w:val="00414DB4"/>
    <w:rsid w:val="00414E00"/>
    <w:rsid w:val="00414E20"/>
    <w:rsid w:val="00414E4C"/>
    <w:rsid w:val="00414F37"/>
    <w:rsid w:val="00414F40"/>
    <w:rsid w:val="00414F63"/>
    <w:rsid w:val="00414F78"/>
    <w:rsid w:val="00414F94"/>
    <w:rsid w:val="00414FCD"/>
    <w:rsid w:val="00415002"/>
    <w:rsid w:val="0041500A"/>
    <w:rsid w:val="0041501B"/>
    <w:rsid w:val="0041503C"/>
    <w:rsid w:val="00415128"/>
    <w:rsid w:val="0041514C"/>
    <w:rsid w:val="00415161"/>
    <w:rsid w:val="00415180"/>
    <w:rsid w:val="0041519C"/>
    <w:rsid w:val="004151F6"/>
    <w:rsid w:val="00415206"/>
    <w:rsid w:val="00415286"/>
    <w:rsid w:val="004152E4"/>
    <w:rsid w:val="00415307"/>
    <w:rsid w:val="0041531C"/>
    <w:rsid w:val="00415348"/>
    <w:rsid w:val="0041534A"/>
    <w:rsid w:val="00415387"/>
    <w:rsid w:val="00415389"/>
    <w:rsid w:val="004153CA"/>
    <w:rsid w:val="0041540D"/>
    <w:rsid w:val="0041541D"/>
    <w:rsid w:val="0041543D"/>
    <w:rsid w:val="0041549B"/>
    <w:rsid w:val="004154A0"/>
    <w:rsid w:val="004154DC"/>
    <w:rsid w:val="004154EC"/>
    <w:rsid w:val="004154EF"/>
    <w:rsid w:val="004154F2"/>
    <w:rsid w:val="00415560"/>
    <w:rsid w:val="004155BD"/>
    <w:rsid w:val="004155EE"/>
    <w:rsid w:val="004155F8"/>
    <w:rsid w:val="00415666"/>
    <w:rsid w:val="00415688"/>
    <w:rsid w:val="004156E5"/>
    <w:rsid w:val="00415715"/>
    <w:rsid w:val="0041574C"/>
    <w:rsid w:val="00415768"/>
    <w:rsid w:val="004157D3"/>
    <w:rsid w:val="0041581B"/>
    <w:rsid w:val="00415878"/>
    <w:rsid w:val="0041592F"/>
    <w:rsid w:val="004159CB"/>
    <w:rsid w:val="004159ED"/>
    <w:rsid w:val="00415AAA"/>
    <w:rsid w:val="00415AF4"/>
    <w:rsid w:val="00415AF7"/>
    <w:rsid w:val="00415B09"/>
    <w:rsid w:val="00415B29"/>
    <w:rsid w:val="00415B61"/>
    <w:rsid w:val="00415B64"/>
    <w:rsid w:val="00415B96"/>
    <w:rsid w:val="00415BBF"/>
    <w:rsid w:val="00415BE3"/>
    <w:rsid w:val="00415BE6"/>
    <w:rsid w:val="00415C12"/>
    <w:rsid w:val="00415C44"/>
    <w:rsid w:val="00415C56"/>
    <w:rsid w:val="00415C98"/>
    <w:rsid w:val="00415CC6"/>
    <w:rsid w:val="00415CF3"/>
    <w:rsid w:val="00415CF7"/>
    <w:rsid w:val="00415D07"/>
    <w:rsid w:val="00415D35"/>
    <w:rsid w:val="00415D4A"/>
    <w:rsid w:val="00415DB0"/>
    <w:rsid w:val="00415E6E"/>
    <w:rsid w:val="00415EC9"/>
    <w:rsid w:val="00415EDD"/>
    <w:rsid w:val="00415F55"/>
    <w:rsid w:val="00415F63"/>
    <w:rsid w:val="00415F95"/>
    <w:rsid w:val="00415FA1"/>
    <w:rsid w:val="00415FDE"/>
    <w:rsid w:val="0041600A"/>
    <w:rsid w:val="00416031"/>
    <w:rsid w:val="00416076"/>
    <w:rsid w:val="00416099"/>
    <w:rsid w:val="004160A6"/>
    <w:rsid w:val="0041614B"/>
    <w:rsid w:val="004161CA"/>
    <w:rsid w:val="004161EB"/>
    <w:rsid w:val="00416221"/>
    <w:rsid w:val="0041622D"/>
    <w:rsid w:val="0041622E"/>
    <w:rsid w:val="00416254"/>
    <w:rsid w:val="0041625A"/>
    <w:rsid w:val="004162CF"/>
    <w:rsid w:val="00416387"/>
    <w:rsid w:val="00416391"/>
    <w:rsid w:val="004163AB"/>
    <w:rsid w:val="004163BB"/>
    <w:rsid w:val="004163FA"/>
    <w:rsid w:val="00416457"/>
    <w:rsid w:val="0041648B"/>
    <w:rsid w:val="004164A1"/>
    <w:rsid w:val="004164DF"/>
    <w:rsid w:val="0041650B"/>
    <w:rsid w:val="00416555"/>
    <w:rsid w:val="004165A7"/>
    <w:rsid w:val="004165D2"/>
    <w:rsid w:val="004165DC"/>
    <w:rsid w:val="00416674"/>
    <w:rsid w:val="004167A0"/>
    <w:rsid w:val="00416822"/>
    <w:rsid w:val="0041687F"/>
    <w:rsid w:val="004168EE"/>
    <w:rsid w:val="00416993"/>
    <w:rsid w:val="00416A2F"/>
    <w:rsid w:val="00416A3A"/>
    <w:rsid w:val="00416B28"/>
    <w:rsid w:val="00416B50"/>
    <w:rsid w:val="00416B76"/>
    <w:rsid w:val="00416B8A"/>
    <w:rsid w:val="00416BCF"/>
    <w:rsid w:val="00416C09"/>
    <w:rsid w:val="00416C16"/>
    <w:rsid w:val="00416C2C"/>
    <w:rsid w:val="00416C65"/>
    <w:rsid w:val="00416C74"/>
    <w:rsid w:val="00416C7D"/>
    <w:rsid w:val="00416CEC"/>
    <w:rsid w:val="00416DC1"/>
    <w:rsid w:val="00416E77"/>
    <w:rsid w:val="00416EB0"/>
    <w:rsid w:val="00416EB3"/>
    <w:rsid w:val="00416EBF"/>
    <w:rsid w:val="00416ED1"/>
    <w:rsid w:val="00416EF6"/>
    <w:rsid w:val="00416EFF"/>
    <w:rsid w:val="00416F63"/>
    <w:rsid w:val="00416FB1"/>
    <w:rsid w:val="00417017"/>
    <w:rsid w:val="0041701E"/>
    <w:rsid w:val="004170C5"/>
    <w:rsid w:val="00417111"/>
    <w:rsid w:val="00417151"/>
    <w:rsid w:val="00417198"/>
    <w:rsid w:val="004171F2"/>
    <w:rsid w:val="00417204"/>
    <w:rsid w:val="00417210"/>
    <w:rsid w:val="00417236"/>
    <w:rsid w:val="00417275"/>
    <w:rsid w:val="004172C0"/>
    <w:rsid w:val="004172C3"/>
    <w:rsid w:val="004172C5"/>
    <w:rsid w:val="0041730A"/>
    <w:rsid w:val="0041731C"/>
    <w:rsid w:val="0041737F"/>
    <w:rsid w:val="00417390"/>
    <w:rsid w:val="004173B0"/>
    <w:rsid w:val="0041740A"/>
    <w:rsid w:val="00417413"/>
    <w:rsid w:val="0041742B"/>
    <w:rsid w:val="004174B0"/>
    <w:rsid w:val="004174B7"/>
    <w:rsid w:val="00417614"/>
    <w:rsid w:val="0041763D"/>
    <w:rsid w:val="00417679"/>
    <w:rsid w:val="0041767A"/>
    <w:rsid w:val="0041767F"/>
    <w:rsid w:val="00417686"/>
    <w:rsid w:val="00417687"/>
    <w:rsid w:val="00417691"/>
    <w:rsid w:val="00417697"/>
    <w:rsid w:val="0041769C"/>
    <w:rsid w:val="0041774D"/>
    <w:rsid w:val="00417796"/>
    <w:rsid w:val="00417827"/>
    <w:rsid w:val="00417834"/>
    <w:rsid w:val="004178B6"/>
    <w:rsid w:val="004178F8"/>
    <w:rsid w:val="004178F9"/>
    <w:rsid w:val="0041791D"/>
    <w:rsid w:val="0041792F"/>
    <w:rsid w:val="00417938"/>
    <w:rsid w:val="0041798D"/>
    <w:rsid w:val="004179C9"/>
    <w:rsid w:val="00417A18"/>
    <w:rsid w:val="00417A2C"/>
    <w:rsid w:val="00417A74"/>
    <w:rsid w:val="00417A7B"/>
    <w:rsid w:val="00417B3C"/>
    <w:rsid w:val="00417B80"/>
    <w:rsid w:val="00417BB1"/>
    <w:rsid w:val="00417BB2"/>
    <w:rsid w:val="00417BE5"/>
    <w:rsid w:val="00417CDE"/>
    <w:rsid w:val="00417D3B"/>
    <w:rsid w:val="00417D7C"/>
    <w:rsid w:val="00417D7E"/>
    <w:rsid w:val="00417D93"/>
    <w:rsid w:val="00417DFF"/>
    <w:rsid w:val="00417E01"/>
    <w:rsid w:val="00417E0F"/>
    <w:rsid w:val="00417E27"/>
    <w:rsid w:val="00417E37"/>
    <w:rsid w:val="00417E47"/>
    <w:rsid w:val="00417E50"/>
    <w:rsid w:val="00417E62"/>
    <w:rsid w:val="00417EB8"/>
    <w:rsid w:val="00417EE4"/>
    <w:rsid w:val="00417F69"/>
    <w:rsid w:val="00417F80"/>
    <w:rsid w:val="00417FA6"/>
    <w:rsid w:val="00417FE4"/>
    <w:rsid w:val="00417FEB"/>
    <w:rsid w:val="00420094"/>
    <w:rsid w:val="004200F7"/>
    <w:rsid w:val="00420115"/>
    <w:rsid w:val="00420214"/>
    <w:rsid w:val="0042024B"/>
    <w:rsid w:val="004202C1"/>
    <w:rsid w:val="00420302"/>
    <w:rsid w:val="00420304"/>
    <w:rsid w:val="00420343"/>
    <w:rsid w:val="00420359"/>
    <w:rsid w:val="00420374"/>
    <w:rsid w:val="00420383"/>
    <w:rsid w:val="004203C6"/>
    <w:rsid w:val="004203E0"/>
    <w:rsid w:val="004203E7"/>
    <w:rsid w:val="004203FD"/>
    <w:rsid w:val="00420440"/>
    <w:rsid w:val="004204B0"/>
    <w:rsid w:val="004204C0"/>
    <w:rsid w:val="004204CE"/>
    <w:rsid w:val="0042054B"/>
    <w:rsid w:val="00420556"/>
    <w:rsid w:val="00420575"/>
    <w:rsid w:val="00420595"/>
    <w:rsid w:val="0042059B"/>
    <w:rsid w:val="004205A1"/>
    <w:rsid w:val="004205B5"/>
    <w:rsid w:val="004206CF"/>
    <w:rsid w:val="004206F6"/>
    <w:rsid w:val="00420778"/>
    <w:rsid w:val="0042077E"/>
    <w:rsid w:val="004207AE"/>
    <w:rsid w:val="004207B4"/>
    <w:rsid w:val="004207CE"/>
    <w:rsid w:val="004207FE"/>
    <w:rsid w:val="00420889"/>
    <w:rsid w:val="0042088F"/>
    <w:rsid w:val="00420890"/>
    <w:rsid w:val="004208C9"/>
    <w:rsid w:val="004208CF"/>
    <w:rsid w:val="004208FF"/>
    <w:rsid w:val="00420930"/>
    <w:rsid w:val="0042096A"/>
    <w:rsid w:val="00420992"/>
    <w:rsid w:val="004209D1"/>
    <w:rsid w:val="00420A18"/>
    <w:rsid w:val="00420A37"/>
    <w:rsid w:val="00420A3F"/>
    <w:rsid w:val="00420AA2"/>
    <w:rsid w:val="00420AB4"/>
    <w:rsid w:val="00420AD3"/>
    <w:rsid w:val="00420B3D"/>
    <w:rsid w:val="00420B94"/>
    <w:rsid w:val="00420BE2"/>
    <w:rsid w:val="00420BEA"/>
    <w:rsid w:val="00420BF5"/>
    <w:rsid w:val="00420BF8"/>
    <w:rsid w:val="00420C2F"/>
    <w:rsid w:val="00420C8B"/>
    <w:rsid w:val="00420CDA"/>
    <w:rsid w:val="00420D3C"/>
    <w:rsid w:val="00420D96"/>
    <w:rsid w:val="00420DD8"/>
    <w:rsid w:val="00420E11"/>
    <w:rsid w:val="00420F22"/>
    <w:rsid w:val="00420F46"/>
    <w:rsid w:val="00420F8D"/>
    <w:rsid w:val="00421002"/>
    <w:rsid w:val="0042106B"/>
    <w:rsid w:val="004210A3"/>
    <w:rsid w:val="00421115"/>
    <w:rsid w:val="0042114E"/>
    <w:rsid w:val="00421176"/>
    <w:rsid w:val="004211BC"/>
    <w:rsid w:val="004211BD"/>
    <w:rsid w:val="004211E2"/>
    <w:rsid w:val="00421220"/>
    <w:rsid w:val="00421264"/>
    <w:rsid w:val="00421282"/>
    <w:rsid w:val="0042138F"/>
    <w:rsid w:val="004213A0"/>
    <w:rsid w:val="004213BD"/>
    <w:rsid w:val="004213DB"/>
    <w:rsid w:val="00421410"/>
    <w:rsid w:val="00421424"/>
    <w:rsid w:val="004214ED"/>
    <w:rsid w:val="00421525"/>
    <w:rsid w:val="00421567"/>
    <w:rsid w:val="00421573"/>
    <w:rsid w:val="00421588"/>
    <w:rsid w:val="004215B5"/>
    <w:rsid w:val="004215C2"/>
    <w:rsid w:val="004216A7"/>
    <w:rsid w:val="00421737"/>
    <w:rsid w:val="00421762"/>
    <w:rsid w:val="004217AD"/>
    <w:rsid w:val="004217AF"/>
    <w:rsid w:val="00421809"/>
    <w:rsid w:val="0042180A"/>
    <w:rsid w:val="0042180D"/>
    <w:rsid w:val="0042186F"/>
    <w:rsid w:val="004218B1"/>
    <w:rsid w:val="004218B8"/>
    <w:rsid w:val="004218E1"/>
    <w:rsid w:val="00421909"/>
    <w:rsid w:val="00421913"/>
    <w:rsid w:val="00421920"/>
    <w:rsid w:val="0042193A"/>
    <w:rsid w:val="0042193C"/>
    <w:rsid w:val="00421A0D"/>
    <w:rsid w:val="00421A81"/>
    <w:rsid w:val="00421B40"/>
    <w:rsid w:val="00421BBF"/>
    <w:rsid w:val="00421C2B"/>
    <w:rsid w:val="00421CB7"/>
    <w:rsid w:val="00421D27"/>
    <w:rsid w:val="00421D47"/>
    <w:rsid w:val="00421D68"/>
    <w:rsid w:val="00421E45"/>
    <w:rsid w:val="00421F0D"/>
    <w:rsid w:val="00421F2B"/>
    <w:rsid w:val="00421FA7"/>
    <w:rsid w:val="00422001"/>
    <w:rsid w:val="00422096"/>
    <w:rsid w:val="004220EF"/>
    <w:rsid w:val="0042210A"/>
    <w:rsid w:val="00422141"/>
    <w:rsid w:val="00422150"/>
    <w:rsid w:val="00422253"/>
    <w:rsid w:val="0042231D"/>
    <w:rsid w:val="0042238E"/>
    <w:rsid w:val="00422396"/>
    <w:rsid w:val="004223A7"/>
    <w:rsid w:val="004223AC"/>
    <w:rsid w:val="004223FD"/>
    <w:rsid w:val="00422425"/>
    <w:rsid w:val="0042243C"/>
    <w:rsid w:val="0042246D"/>
    <w:rsid w:val="004224AD"/>
    <w:rsid w:val="004224CD"/>
    <w:rsid w:val="004224D8"/>
    <w:rsid w:val="004224EF"/>
    <w:rsid w:val="004224F9"/>
    <w:rsid w:val="0042251A"/>
    <w:rsid w:val="00422525"/>
    <w:rsid w:val="00422547"/>
    <w:rsid w:val="00422551"/>
    <w:rsid w:val="0042256C"/>
    <w:rsid w:val="00422584"/>
    <w:rsid w:val="004225BE"/>
    <w:rsid w:val="004225C3"/>
    <w:rsid w:val="004225FA"/>
    <w:rsid w:val="00422681"/>
    <w:rsid w:val="004226B5"/>
    <w:rsid w:val="004226BC"/>
    <w:rsid w:val="004227A0"/>
    <w:rsid w:val="00422839"/>
    <w:rsid w:val="00422870"/>
    <w:rsid w:val="004228AD"/>
    <w:rsid w:val="004228C3"/>
    <w:rsid w:val="004228D4"/>
    <w:rsid w:val="00422918"/>
    <w:rsid w:val="00422932"/>
    <w:rsid w:val="004229C9"/>
    <w:rsid w:val="00422A11"/>
    <w:rsid w:val="00422A2F"/>
    <w:rsid w:val="00422AB7"/>
    <w:rsid w:val="00422B53"/>
    <w:rsid w:val="00422BA7"/>
    <w:rsid w:val="00422BA9"/>
    <w:rsid w:val="00422BC1"/>
    <w:rsid w:val="00422BC4"/>
    <w:rsid w:val="00422BD7"/>
    <w:rsid w:val="00422BE6"/>
    <w:rsid w:val="00422C29"/>
    <w:rsid w:val="00422D14"/>
    <w:rsid w:val="00422D8B"/>
    <w:rsid w:val="00422DEB"/>
    <w:rsid w:val="00422E2B"/>
    <w:rsid w:val="00422EC7"/>
    <w:rsid w:val="00422F0E"/>
    <w:rsid w:val="00422F42"/>
    <w:rsid w:val="00422FB2"/>
    <w:rsid w:val="00422FE5"/>
    <w:rsid w:val="00423000"/>
    <w:rsid w:val="0042304D"/>
    <w:rsid w:val="004230CC"/>
    <w:rsid w:val="00423163"/>
    <w:rsid w:val="004231BA"/>
    <w:rsid w:val="004231BF"/>
    <w:rsid w:val="004231D2"/>
    <w:rsid w:val="00423207"/>
    <w:rsid w:val="00423241"/>
    <w:rsid w:val="00423244"/>
    <w:rsid w:val="00423251"/>
    <w:rsid w:val="00423300"/>
    <w:rsid w:val="00423312"/>
    <w:rsid w:val="00423322"/>
    <w:rsid w:val="0042332D"/>
    <w:rsid w:val="00423397"/>
    <w:rsid w:val="004233E2"/>
    <w:rsid w:val="00423408"/>
    <w:rsid w:val="00423463"/>
    <w:rsid w:val="00423519"/>
    <w:rsid w:val="00423520"/>
    <w:rsid w:val="00423525"/>
    <w:rsid w:val="00423537"/>
    <w:rsid w:val="004235C6"/>
    <w:rsid w:val="004235E9"/>
    <w:rsid w:val="00423620"/>
    <w:rsid w:val="00423646"/>
    <w:rsid w:val="00423648"/>
    <w:rsid w:val="0042370C"/>
    <w:rsid w:val="0042370F"/>
    <w:rsid w:val="00423714"/>
    <w:rsid w:val="0042376C"/>
    <w:rsid w:val="004237F3"/>
    <w:rsid w:val="00423800"/>
    <w:rsid w:val="00423848"/>
    <w:rsid w:val="00423863"/>
    <w:rsid w:val="00423872"/>
    <w:rsid w:val="00423895"/>
    <w:rsid w:val="004238A0"/>
    <w:rsid w:val="004238B2"/>
    <w:rsid w:val="004238D5"/>
    <w:rsid w:val="00423915"/>
    <w:rsid w:val="0042391B"/>
    <w:rsid w:val="0042395F"/>
    <w:rsid w:val="0042396E"/>
    <w:rsid w:val="004239F5"/>
    <w:rsid w:val="00423A48"/>
    <w:rsid w:val="00423AA0"/>
    <w:rsid w:val="00423ADE"/>
    <w:rsid w:val="00423B01"/>
    <w:rsid w:val="00423B78"/>
    <w:rsid w:val="00423B89"/>
    <w:rsid w:val="00423BEB"/>
    <w:rsid w:val="00423C05"/>
    <w:rsid w:val="00423C10"/>
    <w:rsid w:val="00423C8A"/>
    <w:rsid w:val="00423CA0"/>
    <w:rsid w:val="00423CB3"/>
    <w:rsid w:val="00423CB8"/>
    <w:rsid w:val="00423CC5"/>
    <w:rsid w:val="00423CD0"/>
    <w:rsid w:val="00423D7A"/>
    <w:rsid w:val="00423D98"/>
    <w:rsid w:val="00423DC0"/>
    <w:rsid w:val="00423E20"/>
    <w:rsid w:val="00423E4F"/>
    <w:rsid w:val="00423F04"/>
    <w:rsid w:val="00423F59"/>
    <w:rsid w:val="00423FBC"/>
    <w:rsid w:val="00423FD9"/>
    <w:rsid w:val="00423FDB"/>
    <w:rsid w:val="0042405E"/>
    <w:rsid w:val="00424092"/>
    <w:rsid w:val="004240E8"/>
    <w:rsid w:val="0042410C"/>
    <w:rsid w:val="0042416C"/>
    <w:rsid w:val="004241C4"/>
    <w:rsid w:val="00424292"/>
    <w:rsid w:val="004242A1"/>
    <w:rsid w:val="0042430B"/>
    <w:rsid w:val="00424372"/>
    <w:rsid w:val="00424388"/>
    <w:rsid w:val="004243AE"/>
    <w:rsid w:val="004243D3"/>
    <w:rsid w:val="0042442D"/>
    <w:rsid w:val="00424430"/>
    <w:rsid w:val="00424471"/>
    <w:rsid w:val="00424479"/>
    <w:rsid w:val="004244C3"/>
    <w:rsid w:val="00424562"/>
    <w:rsid w:val="0042456A"/>
    <w:rsid w:val="00424626"/>
    <w:rsid w:val="00424632"/>
    <w:rsid w:val="00424660"/>
    <w:rsid w:val="004246C1"/>
    <w:rsid w:val="0042470A"/>
    <w:rsid w:val="00424726"/>
    <w:rsid w:val="00424759"/>
    <w:rsid w:val="00424797"/>
    <w:rsid w:val="00424799"/>
    <w:rsid w:val="004247A8"/>
    <w:rsid w:val="004247BE"/>
    <w:rsid w:val="0042480F"/>
    <w:rsid w:val="00424839"/>
    <w:rsid w:val="0042486B"/>
    <w:rsid w:val="0042487A"/>
    <w:rsid w:val="004248A7"/>
    <w:rsid w:val="004248BF"/>
    <w:rsid w:val="004248DA"/>
    <w:rsid w:val="00424914"/>
    <w:rsid w:val="00424927"/>
    <w:rsid w:val="00424946"/>
    <w:rsid w:val="00424948"/>
    <w:rsid w:val="00424978"/>
    <w:rsid w:val="004249BA"/>
    <w:rsid w:val="004249D1"/>
    <w:rsid w:val="004249F9"/>
    <w:rsid w:val="00424A07"/>
    <w:rsid w:val="00424A32"/>
    <w:rsid w:val="00424A6A"/>
    <w:rsid w:val="00424A7B"/>
    <w:rsid w:val="00424B24"/>
    <w:rsid w:val="00424BA2"/>
    <w:rsid w:val="00424BBE"/>
    <w:rsid w:val="00424C07"/>
    <w:rsid w:val="00424C0F"/>
    <w:rsid w:val="00424C29"/>
    <w:rsid w:val="00424C44"/>
    <w:rsid w:val="00424C71"/>
    <w:rsid w:val="00424C74"/>
    <w:rsid w:val="00424CA0"/>
    <w:rsid w:val="00424CE2"/>
    <w:rsid w:val="00424CEA"/>
    <w:rsid w:val="00424D03"/>
    <w:rsid w:val="00424D20"/>
    <w:rsid w:val="00424D2A"/>
    <w:rsid w:val="00424D3F"/>
    <w:rsid w:val="00424DBF"/>
    <w:rsid w:val="00424F45"/>
    <w:rsid w:val="00424F46"/>
    <w:rsid w:val="00424F71"/>
    <w:rsid w:val="00424FAA"/>
    <w:rsid w:val="00424FE6"/>
    <w:rsid w:val="0042501E"/>
    <w:rsid w:val="0042504C"/>
    <w:rsid w:val="00425085"/>
    <w:rsid w:val="00425098"/>
    <w:rsid w:val="0042524A"/>
    <w:rsid w:val="004252BA"/>
    <w:rsid w:val="00425316"/>
    <w:rsid w:val="0042531F"/>
    <w:rsid w:val="00425328"/>
    <w:rsid w:val="0042532A"/>
    <w:rsid w:val="0042534F"/>
    <w:rsid w:val="00425409"/>
    <w:rsid w:val="00425455"/>
    <w:rsid w:val="00425456"/>
    <w:rsid w:val="0042548C"/>
    <w:rsid w:val="00425495"/>
    <w:rsid w:val="004254D9"/>
    <w:rsid w:val="004254F1"/>
    <w:rsid w:val="00425544"/>
    <w:rsid w:val="00425602"/>
    <w:rsid w:val="00425631"/>
    <w:rsid w:val="00425668"/>
    <w:rsid w:val="004256C7"/>
    <w:rsid w:val="004257B7"/>
    <w:rsid w:val="004257B8"/>
    <w:rsid w:val="00425827"/>
    <w:rsid w:val="0042582E"/>
    <w:rsid w:val="00425867"/>
    <w:rsid w:val="0042586A"/>
    <w:rsid w:val="004258A2"/>
    <w:rsid w:val="0042592F"/>
    <w:rsid w:val="00425969"/>
    <w:rsid w:val="004259C4"/>
    <w:rsid w:val="00425A1C"/>
    <w:rsid w:val="00425A1D"/>
    <w:rsid w:val="00425A28"/>
    <w:rsid w:val="00425A76"/>
    <w:rsid w:val="00425AA4"/>
    <w:rsid w:val="00425AB6"/>
    <w:rsid w:val="00425ACC"/>
    <w:rsid w:val="00425ADD"/>
    <w:rsid w:val="00425B2C"/>
    <w:rsid w:val="00425B2F"/>
    <w:rsid w:val="00425B32"/>
    <w:rsid w:val="00425B61"/>
    <w:rsid w:val="00425B62"/>
    <w:rsid w:val="00425B8A"/>
    <w:rsid w:val="00425C5E"/>
    <w:rsid w:val="00425CBB"/>
    <w:rsid w:val="00425CC0"/>
    <w:rsid w:val="00425CDA"/>
    <w:rsid w:val="00425CFB"/>
    <w:rsid w:val="00425D64"/>
    <w:rsid w:val="00425D84"/>
    <w:rsid w:val="00425DD1"/>
    <w:rsid w:val="00425EAD"/>
    <w:rsid w:val="00425F00"/>
    <w:rsid w:val="00425F5F"/>
    <w:rsid w:val="00426013"/>
    <w:rsid w:val="0042608C"/>
    <w:rsid w:val="004260BC"/>
    <w:rsid w:val="004260E4"/>
    <w:rsid w:val="00426120"/>
    <w:rsid w:val="00426180"/>
    <w:rsid w:val="004261BA"/>
    <w:rsid w:val="004261BD"/>
    <w:rsid w:val="004261F0"/>
    <w:rsid w:val="00426208"/>
    <w:rsid w:val="00426248"/>
    <w:rsid w:val="00426254"/>
    <w:rsid w:val="0042625A"/>
    <w:rsid w:val="004262B9"/>
    <w:rsid w:val="004262E2"/>
    <w:rsid w:val="004262E8"/>
    <w:rsid w:val="004263B9"/>
    <w:rsid w:val="004263EC"/>
    <w:rsid w:val="0042644F"/>
    <w:rsid w:val="00426457"/>
    <w:rsid w:val="0042649E"/>
    <w:rsid w:val="004264B9"/>
    <w:rsid w:val="004264CB"/>
    <w:rsid w:val="00426557"/>
    <w:rsid w:val="00426562"/>
    <w:rsid w:val="004265D6"/>
    <w:rsid w:val="0042660D"/>
    <w:rsid w:val="00426613"/>
    <w:rsid w:val="00426634"/>
    <w:rsid w:val="00426654"/>
    <w:rsid w:val="00426705"/>
    <w:rsid w:val="0042670C"/>
    <w:rsid w:val="00426731"/>
    <w:rsid w:val="00426796"/>
    <w:rsid w:val="00426853"/>
    <w:rsid w:val="00426859"/>
    <w:rsid w:val="00426879"/>
    <w:rsid w:val="0042689D"/>
    <w:rsid w:val="004268A7"/>
    <w:rsid w:val="004268D8"/>
    <w:rsid w:val="0042694D"/>
    <w:rsid w:val="0042696E"/>
    <w:rsid w:val="00426970"/>
    <w:rsid w:val="004269A3"/>
    <w:rsid w:val="004269BA"/>
    <w:rsid w:val="00426A3C"/>
    <w:rsid w:val="00426A65"/>
    <w:rsid w:val="00426A9B"/>
    <w:rsid w:val="00426A9F"/>
    <w:rsid w:val="00426AA5"/>
    <w:rsid w:val="00426AAF"/>
    <w:rsid w:val="00426B1F"/>
    <w:rsid w:val="00426B50"/>
    <w:rsid w:val="00426B6C"/>
    <w:rsid w:val="00426B95"/>
    <w:rsid w:val="00426B97"/>
    <w:rsid w:val="00426BA3"/>
    <w:rsid w:val="00426BB6"/>
    <w:rsid w:val="00426BDB"/>
    <w:rsid w:val="00426C18"/>
    <w:rsid w:val="00426C8D"/>
    <w:rsid w:val="00426CBC"/>
    <w:rsid w:val="00426D18"/>
    <w:rsid w:val="00426D1A"/>
    <w:rsid w:val="00426D1B"/>
    <w:rsid w:val="00426D41"/>
    <w:rsid w:val="00426D69"/>
    <w:rsid w:val="00426D79"/>
    <w:rsid w:val="00426D7E"/>
    <w:rsid w:val="00426E18"/>
    <w:rsid w:val="00426EDD"/>
    <w:rsid w:val="00426F38"/>
    <w:rsid w:val="00426F71"/>
    <w:rsid w:val="00426F89"/>
    <w:rsid w:val="00426FE0"/>
    <w:rsid w:val="00426FFF"/>
    <w:rsid w:val="00427057"/>
    <w:rsid w:val="004270F4"/>
    <w:rsid w:val="00427113"/>
    <w:rsid w:val="00427118"/>
    <w:rsid w:val="00427248"/>
    <w:rsid w:val="004272C0"/>
    <w:rsid w:val="004272DE"/>
    <w:rsid w:val="004272F6"/>
    <w:rsid w:val="0042732B"/>
    <w:rsid w:val="00427386"/>
    <w:rsid w:val="0042739F"/>
    <w:rsid w:val="004273A9"/>
    <w:rsid w:val="004273AD"/>
    <w:rsid w:val="004273AE"/>
    <w:rsid w:val="004273C1"/>
    <w:rsid w:val="004273E7"/>
    <w:rsid w:val="00427403"/>
    <w:rsid w:val="00427414"/>
    <w:rsid w:val="0042747E"/>
    <w:rsid w:val="00427487"/>
    <w:rsid w:val="004274B7"/>
    <w:rsid w:val="004274BD"/>
    <w:rsid w:val="004274F0"/>
    <w:rsid w:val="00427524"/>
    <w:rsid w:val="0042754A"/>
    <w:rsid w:val="00427578"/>
    <w:rsid w:val="0042758B"/>
    <w:rsid w:val="004275E9"/>
    <w:rsid w:val="004275F1"/>
    <w:rsid w:val="00427619"/>
    <w:rsid w:val="0042761A"/>
    <w:rsid w:val="00427637"/>
    <w:rsid w:val="0042764D"/>
    <w:rsid w:val="0042766F"/>
    <w:rsid w:val="004276B5"/>
    <w:rsid w:val="004276F5"/>
    <w:rsid w:val="004276F6"/>
    <w:rsid w:val="00427705"/>
    <w:rsid w:val="00427706"/>
    <w:rsid w:val="0042772D"/>
    <w:rsid w:val="004277DE"/>
    <w:rsid w:val="004277F4"/>
    <w:rsid w:val="004277FC"/>
    <w:rsid w:val="00427848"/>
    <w:rsid w:val="0042784A"/>
    <w:rsid w:val="00427879"/>
    <w:rsid w:val="004278BE"/>
    <w:rsid w:val="004278E2"/>
    <w:rsid w:val="00427943"/>
    <w:rsid w:val="00427983"/>
    <w:rsid w:val="004279AB"/>
    <w:rsid w:val="00427AC2"/>
    <w:rsid w:val="00427AF8"/>
    <w:rsid w:val="00427B68"/>
    <w:rsid w:val="00427BB8"/>
    <w:rsid w:val="00427BD6"/>
    <w:rsid w:val="00427BF9"/>
    <w:rsid w:val="00427C38"/>
    <w:rsid w:val="00427C40"/>
    <w:rsid w:val="00427C56"/>
    <w:rsid w:val="00427C85"/>
    <w:rsid w:val="00427CCC"/>
    <w:rsid w:val="00427CD2"/>
    <w:rsid w:val="00427D23"/>
    <w:rsid w:val="00427D90"/>
    <w:rsid w:val="00427DA4"/>
    <w:rsid w:val="00427DC1"/>
    <w:rsid w:val="00427DF7"/>
    <w:rsid w:val="00427E6E"/>
    <w:rsid w:val="00427EFF"/>
    <w:rsid w:val="00427F01"/>
    <w:rsid w:val="00427F64"/>
    <w:rsid w:val="00427FC3"/>
    <w:rsid w:val="00427FD3"/>
    <w:rsid w:val="00430006"/>
    <w:rsid w:val="0043001E"/>
    <w:rsid w:val="004300BD"/>
    <w:rsid w:val="004300C7"/>
    <w:rsid w:val="004300CB"/>
    <w:rsid w:val="004300CC"/>
    <w:rsid w:val="004300FD"/>
    <w:rsid w:val="0043015F"/>
    <w:rsid w:val="00430194"/>
    <w:rsid w:val="004301FC"/>
    <w:rsid w:val="00430257"/>
    <w:rsid w:val="00430283"/>
    <w:rsid w:val="004302D1"/>
    <w:rsid w:val="0043035D"/>
    <w:rsid w:val="004303D9"/>
    <w:rsid w:val="0043046D"/>
    <w:rsid w:val="004304B5"/>
    <w:rsid w:val="004304B7"/>
    <w:rsid w:val="004304E0"/>
    <w:rsid w:val="0043051C"/>
    <w:rsid w:val="00430541"/>
    <w:rsid w:val="0043055E"/>
    <w:rsid w:val="00430564"/>
    <w:rsid w:val="00430579"/>
    <w:rsid w:val="0043059C"/>
    <w:rsid w:val="004305AF"/>
    <w:rsid w:val="004305B4"/>
    <w:rsid w:val="004305B9"/>
    <w:rsid w:val="004305E9"/>
    <w:rsid w:val="0043062B"/>
    <w:rsid w:val="00430636"/>
    <w:rsid w:val="00430650"/>
    <w:rsid w:val="00430665"/>
    <w:rsid w:val="004306CA"/>
    <w:rsid w:val="004306D9"/>
    <w:rsid w:val="004306E4"/>
    <w:rsid w:val="004307B3"/>
    <w:rsid w:val="004307ED"/>
    <w:rsid w:val="004307FD"/>
    <w:rsid w:val="00430837"/>
    <w:rsid w:val="00430843"/>
    <w:rsid w:val="0043084A"/>
    <w:rsid w:val="0043088B"/>
    <w:rsid w:val="0043089D"/>
    <w:rsid w:val="00430922"/>
    <w:rsid w:val="0043092D"/>
    <w:rsid w:val="00430960"/>
    <w:rsid w:val="00430968"/>
    <w:rsid w:val="004309FC"/>
    <w:rsid w:val="00430A0E"/>
    <w:rsid w:val="00430A1F"/>
    <w:rsid w:val="00430A60"/>
    <w:rsid w:val="00430AE3"/>
    <w:rsid w:val="00430AEE"/>
    <w:rsid w:val="00430B15"/>
    <w:rsid w:val="00430B21"/>
    <w:rsid w:val="00430B44"/>
    <w:rsid w:val="00430BCD"/>
    <w:rsid w:val="00430C0C"/>
    <w:rsid w:val="00430C29"/>
    <w:rsid w:val="00430C33"/>
    <w:rsid w:val="00430C72"/>
    <w:rsid w:val="00430CAB"/>
    <w:rsid w:val="00430D1B"/>
    <w:rsid w:val="00430D2C"/>
    <w:rsid w:val="00430E35"/>
    <w:rsid w:val="00430E40"/>
    <w:rsid w:val="00430ECB"/>
    <w:rsid w:val="00430EE0"/>
    <w:rsid w:val="00431055"/>
    <w:rsid w:val="0043109C"/>
    <w:rsid w:val="004310AF"/>
    <w:rsid w:val="0043111C"/>
    <w:rsid w:val="00431151"/>
    <w:rsid w:val="004311A7"/>
    <w:rsid w:val="004311F2"/>
    <w:rsid w:val="00431226"/>
    <w:rsid w:val="00431254"/>
    <w:rsid w:val="0043126F"/>
    <w:rsid w:val="004312BE"/>
    <w:rsid w:val="004312D9"/>
    <w:rsid w:val="00431305"/>
    <w:rsid w:val="00431320"/>
    <w:rsid w:val="00431324"/>
    <w:rsid w:val="00431355"/>
    <w:rsid w:val="0043137C"/>
    <w:rsid w:val="00431381"/>
    <w:rsid w:val="0043139E"/>
    <w:rsid w:val="004313A1"/>
    <w:rsid w:val="004313DA"/>
    <w:rsid w:val="00431469"/>
    <w:rsid w:val="0043146F"/>
    <w:rsid w:val="004314AA"/>
    <w:rsid w:val="00431541"/>
    <w:rsid w:val="00431549"/>
    <w:rsid w:val="004315A3"/>
    <w:rsid w:val="00431604"/>
    <w:rsid w:val="0043160B"/>
    <w:rsid w:val="00431643"/>
    <w:rsid w:val="00431665"/>
    <w:rsid w:val="004316AF"/>
    <w:rsid w:val="004316C5"/>
    <w:rsid w:val="00431731"/>
    <w:rsid w:val="0043173F"/>
    <w:rsid w:val="004317A2"/>
    <w:rsid w:val="004317FF"/>
    <w:rsid w:val="00431819"/>
    <w:rsid w:val="00431834"/>
    <w:rsid w:val="004318B7"/>
    <w:rsid w:val="004318CF"/>
    <w:rsid w:val="0043190F"/>
    <w:rsid w:val="004319A9"/>
    <w:rsid w:val="00431A2E"/>
    <w:rsid w:val="00431A9D"/>
    <w:rsid w:val="00431AE6"/>
    <w:rsid w:val="00431AFD"/>
    <w:rsid w:val="00431B08"/>
    <w:rsid w:val="00431B0D"/>
    <w:rsid w:val="00431B57"/>
    <w:rsid w:val="00431C31"/>
    <w:rsid w:val="00431C58"/>
    <w:rsid w:val="00431C6D"/>
    <w:rsid w:val="00431CD3"/>
    <w:rsid w:val="00431D13"/>
    <w:rsid w:val="00431D3B"/>
    <w:rsid w:val="00431D45"/>
    <w:rsid w:val="00431D58"/>
    <w:rsid w:val="00431D62"/>
    <w:rsid w:val="00431E05"/>
    <w:rsid w:val="00431E16"/>
    <w:rsid w:val="00431E69"/>
    <w:rsid w:val="00431E9F"/>
    <w:rsid w:val="00431EB0"/>
    <w:rsid w:val="00431F1B"/>
    <w:rsid w:val="00431F4B"/>
    <w:rsid w:val="00431F6E"/>
    <w:rsid w:val="00431F85"/>
    <w:rsid w:val="00431F8A"/>
    <w:rsid w:val="00431FBB"/>
    <w:rsid w:val="0043208C"/>
    <w:rsid w:val="004320BD"/>
    <w:rsid w:val="00432124"/>
    <w:rsid w:val="0043213D"/>
    <w:rsid w:val="00432159"/>
    <w:rsid w:val="0043217B"/>
    <w:rsid w:val="0043222C"/>
    <w:rsid w:val="0043222D"/>
    <w:rsid w:val="004322CB"/>
    <w:rsid w:val="004322EB"/>
    <w:rsid w:val="004322EE"/>
    <w:rsid w:val="0043231A"/>
    <w:rsid w:val="0043232E"/>
    <w:rsid w:val="0043237E"/>
    <w:rsid w:val="004323D5"/>
    <w:rsid w:val="004323D6"/>
    <w:rsid w:val="004323E0"/>
    <w:rsid w:val="004323E5"/>
    <w:rsid w:val="00432444"/>
    <w:rsid w:val="0043247A"/>
    <w:rsid w:val="00432481"/>
    <w:rsid w:val="00432521"/>
    <w:rsid w:val="0043258A"/>
    <w:rsid w:val="004325BD"/>
    <w:rsid w:val="004325F2"/>
    <w:rsid w:val="0043265F"/>
    <w:rsid w:val="00432676"/>
    <w:rsid w:val="00432684"/>
    <w:rsid w:val="0043270B"/>
    <w:rsid w:val="0043271C"/>
    <w:rsid w:val="00432853"/>
    <w:rsid w:val="00432854"/>
    <w:rsid w:val="00432863"/>
    <w:rsid w:val="00432903"/>
    <w:rsid w:val="0043295C"/>
    <w:rsid w:val="00432968"/>
    <w:rsid w:val="0043298B"/>
    <w:rsid w:val="004329B9"/>
    <w:rsid w:val="00432A4E"/>
    <w:rsid w:val="00432A6A"/>
    <w:rsid w:val="00432AFB"/>
    <w:rsid w:val="00432B0D"/>
    <w:rsid w:val="00432B35"/>
    <w:rsid w:val="00432B74"/>
    <w:rsid w:val="00432B94"/>
    <w:rsid w:val="00432BA8"/>
    <w:rsid w:val="00432BEF"/>
    <w:rsid w:val="00432C21"/>
    <w:rsid w:val="00432C37"/>
    <w:rsid w:val="00432C3A"/>
    <w:rsid w:val="00432CBA"/>
    <w:rsid w:val="00432D45"/>
    <w:rsid w:val="00432D7B"/>
    <w:rsid w:val="00432DC2"/>
    <w:rsid w:val="00432DF9"/>
    <w:rsid w:val="00432E28"/>
    <w:rsid w:val="00432E40"/>
    <w:rsid w:val="00432E68"/>
    <w:rsid w:val="00432E70"/>
    <w:rsid w:val="00432EB3"/>
    <w:rsid w:val="00432EBD"/>
    <w:rsid w:val="00432ED3"/>
    <w:rsid w:val="00432F56"/>
    <w:rsid w:val="00432F58"/>
    <w:rsid w:val="00432FC2"/>
    <w:rsid w:val="00432FDB"/>
    <w:rsid w:val="00433007"/>
    <w:rsid w:val="0043302E"/>
    <w:rsid w:val="00433050"/>
    <w:rsid w:val="004330A3"/>
    <w:rsid w:val="004330B0"/>
    <w:rsid w:val="004330B9"/>
    <w:rsid w:val="004330C6"/>
    <w:rsid w:val="004330E6"/>
    <w:rsid w:val="00433120"/>
    <w:rsid w:val="00433188"/>
    <w:rsid w:val="00433429"/>
    <w:rsid w:val="0043342E"/>
    <w:rsid w:val="0043347B"/>
    <w:rsid w:val="004334E1"/>
    <w:rsid w:val="0043354A"/>
    <w:rsid w:val="00433589"/>
    <w:rsid w:val="0043358B"/>
    <w:rsid w:val="004335C6"/>
    <w:rsid w:val="004335E7"/>
    <w:rsid w:val="00433600"/>
    <w:rsid w:val="0043361F"/>
    <w:rsid w:val="00433638"/>
    <w:rsid w:val="004336A0"/>
    <w:rsid w:val="004336B7"/>
    <w:rsid w:val="004336D0"/>
    <w:rsid w:val="0043371F"/>
    <w:rsid w:val="00433777"/>
    <w:rsid w:val="004337BA"/>
    <w:rsid w:val="004337CA"/>
    <w:rsid w:val="004337D4"/>
    <w:rsid w:val="00433812"/>
    <w:rsid w:val="00433827"/>
    <w:rsid w:val="00433856"/>
    <w:rsid w:val="00433890"/>
    <w:rsid w:val="004338A8"/>
    <w:rsid w:val="004338B9"/>
    <w:rsid w:val="004338EF"/>
    <w:rsid w:val="00433919"/>
    <w:rsid w:val="00433925"/>
    <w:rsid w:val="0043398D"/>
    <w:rsid w:val="00433A1E"/>
    <w:rsid w:val="00433A94"/>
    <w:rsid w:val="00433A98"/>
    <w:rsid w:val="00433B41"/>
    <w:rsid w:val="00433B50"/>
    <w:rsid w:val="00433B58"/>
    <w:rsid w:val="00433B70"/>
    <w:rsid w:val="00433BB8"/>
    <w:rsid w:val="00433BC1"/>
    <w:rsid w:val="00433C76"/>
    <w:rsid w:val="00433CA2"/>
    <w:rsid w:val="00433D79"/>
    <w:rsid w:val="00433E3F"/>
    <w:rsid w:val="00433EB9"/>
    <w:rsid w:val="00433ED9"/>
    <w:rsid w:val="00433F09"/>
    <w:rsid w:val="00433FEA"/>
    <w:rsid w:val="004340C8"/>
    <w:rsid w:val="0043410E"/>
    <w:rsid w:val="00434120"/>
    <w:rsid w:val="00434155"/>
    <w:rsid w:val="00434189"/>
    <w:rsid w:val="004341A3"/>
    <w:rsid w:val="004341C4"/>
    <w:rsid w:val="004341FB"/>
    <w:rsid w:val="004341FF"/>
    <w:rsid w:val="00434290"/>
    <w:rsid w:val="0043438D"/>
    <w:rsid w:val="004343AE"/>
    <w:rsid w:val="004343D2"/>
    <w:rsid w:val="00434427"/>
    <w:rsid w:val="0043446E"/>
    <w:rsid w:val="00434475"/>
    <w:rsid w:val="00434500"/>
    <w:rsid w:val="00434538"/>
    <w:rsid w:val="0043455C"/>
    <w:rsid w:val="004345A2"/>
    <w:rsid w:val="004345A5"/>
    <w:rsid w:val="004345D9"/>
    <w:rsid w:val="00434637"/>
    <w:rsid w:val="00434640"/>
    <w:rsid w:val="00434656"/>
    <w:rsid w:val="00434763"/>
    <w:rsid w:val="0043476C"/>
    <w:rsid w:val="0043476E"/>
    <w:rsid w:val="0043476F"/>
    <w:rsid w:val="004348A9"/>
    <w:rsid w:val="004348B4"/>
    <w:rsid w:val="004348B5"/>
    <w:rsid w:val="00434973"/>
    <w:rsid w:val="004349A5"/>
    <w:rsid w:val="004349E1"/>
    <w:rsid w:val="004349F9"/>
    <w:rsid w:val="00434A22"/>
    <w:rsid w:val="00434A7E"/>
    <w:rsid w:val="00434AA9"/>
    <w:rsid w:val="00434AD6"/>
    <w:rsid w:val="00434AE9"/>
    <w:rsid w:val="00434B52"/>
    <w:rsid w:val="00434BBF"/>
    <w:rsid w:val="00434C1D"/>
    <w:rsid w:val="00434C23"/>
    <w:rsid w:val="00434C2A"/>
    <w:rsid w:val="00434CA3"/>
    <w:rsid w:val="00434D0B"/>
    <w:rsid w:val="00434D1F"/>
    <w:rsid w:val="00434D39"/>
    <w:rsid w:val="00434D55"/>
    <w:rsid w:val="00434DAE"/>
    <w:rsid w:val="00434DBD"/>
    <w:rsid w:val="00434DC7"/>
    <w:rsid w:val="00434DDB"/>
    <w:rsid w:val="00434E57"/>
    <w:rsid w:val="00434E9C"/>
    <w:rsid w:val="00434EA3"/>
    <w:rsid w:val="00434EB4"/>
    <w:rsid w:val="00434EC5"/>
    <w:rsid w:val="00434F09"/>
    <w:rsid w:val="00434F35"/>
    <w:rsid w:val="00434F7C"/>
    <w:rsid w:val="00434FD4"/>
    <w:rsid w:val="0043507A"/>
    <w:rsid w:val="004350CB"/>
    <w:rsid w:val="004350D1"/>
    <w:rsid w:val="004350E1"/>
    <w:rsid w:val="00435102"/>
    <w:rsid w:val="00435121"/>
    <w:rsid w:val="00435122"/>
    <w:rsid w:val="00435149"/>
    <w:rsid w:val="0043515D"/>
    <w:rsid w:val="004351D6"/>
    <w:rsid w:val="004351DA"/>
    <w:rsid w:val="004351F5"/>
    <w:rsid w:val="00435212"/>
    <w:rsid w:val="004352D7"/>
    <w:rsid w:val="004352DB"/>
    <w:rsid w:val="004352EE"/>
    <w:rsid w:val="004352F0"/>
    <w:rsid w:val="00435366"/>
    <w:rsid w:val="0043536F"/>
    <w:rsid w:val="00435371"/>
    <w:rsid w:val="004353AE"/>
    <w:rsid w:val="004353B0"/>
    <w:rsid w:val="004354EA"/>
    <w:rsid w:val="00435503"/>
    <w:rsid w:val="00435528"/>
    <w:rsid w:val="00435546"/>
    <w:rsid w:val="0043558C"/>
    <w:rsid w:val="004355AE"/>
    <w:rsid w:val="0043565F"/>
    <w:rsid w:val="00435669"/>
    <w:rsid w:val="0043571B"/>
    <w:rsid w:val="00435779"/>
    <w:rsid w:val="004357E1"/>
    <w:rsid w:val="00435836"/>
    <w:rsid w:val="0043585E"/>
    <w:rsid w:val="004358C3"/>
    <w:rsid w:val="0043593F"/>
    <w:rsid w:val="0043597C"/>
    <w:rsid w:val="00435998"/>
    <w:rsid w:val="004359A6"/>
    <w:rsid w:val="004359F8"/>
    <w:rsid w:val="00435A53"/>
    <w:rsid w:val="00435A74"/>
    <w:rsid w:val="00435A99"/>
    <w:rsid w:val="00435ACF"/>
    <w:rsid w:val="00435B10"/>
    <w:rsid w:val="00435B48"/>
    <w:rsid w:val="00435B7F"/>
    <w:rsid w:val="00435B86"/>
    <w:rsid w:val="00435B9F"/>
    <w:rsid w:val="00435C23"/>
    <w:rsid w:val="00435C79"/>
    <w:rsid w:val="00435C8C"/>
    <w:rsid w:val="00435C92"/>
    <w:rsid w:val="00435CC8"/>
    <w:rsid w:val="00435CCE"/>
    <w:rsid w:val="00435CDA"/>
    <w:rsid w:val="00435D12"/>
    <w:rsid w:val="00435E1F"/>
    <w:rsid w:val="00435E4A"/>
    <w:rsid w:val="00435ED9"/>
    <w:rsid w:val="00435FA5"/>
    <w:rsid w:val="00435FC4"/>
    <w:rsid w:val="00435FF0"/>
    <w:rsid w:val="00436030"/>
    <w:rsid w:val="00436034"/>
    <w:rsid w:val="0043604F"/>
    <w:rsid w:val="0043605B"/>
    <w:rsid w:val="00436060"/>
    <w:rsid w:val="004360BF"/>
    <w:rsid w:val="004360ED"/>
    <w:rsid w:val="004360F3"/>
    <w:rsid w:val="004360FD"/>
    <w:rsid w:val="004361AB"/>
    <w:rsid w:val="004362AA"/>
    <w:rsid w:val="004362BD"/>
    <w:rsid w:val="00436398"/>
    <w:rsid w:val="004363DD"/>
    <w:rsid w:val="00436418"/>
    <w:rsid w:val="00436494"/>
    <w:rsid w:val="00436502"/>
    <w:rsid w:val="00436538"/>
    <w:rsid w:val="004365B1"/>
    <w:rsid w:val="004365CD"/>
    <w:rsid w:val="004365D4"/>
    <w:rsid w:val="00436640"/>
    <w:rsid w:val="004366B7"/>
    <w:rsid w:val="004366EC"/>
    <w:rsid w:val="004366F1"/>
    <w:rsid w:val="0043676B"/>
    <w:rsid w:val="0043676D"/>
    <w:rsid w:val="00436814"/>
    <w:rsid w:val="00436868"/>
    <w:rsid w:val="004368D3"/>
    <w:rsid w:val="004368E2"/>
    <w:rsid w:val="00436968"/>
    <w:rsid w:val="00436971"/>
    <w:rsid w:val="004369A3"/>
    <w:rsid w:val="004369CB"/>
    <w:rsid w:val="004369D0"/>
    <w:rsid w:val="004369DC"/>
    <w:rsid w:val="00436A4A"/>
    <w:rsid w:val="00436A8F"/>
    <w:rsid w:val="00436AA6"/>
    <w:rsid w:val="00436B08"/>
    <w:rsid w:val="00436B26"/>
    <w:rsid w:val="00436B6A"/>
    <w:rsid w:val="00436BD1"/>
    <w:rsid w:val="00436C23"/>
    <w:rsid w:val="00436C51"/>
    <w:rsid w:val="00436CA2"/>
    <w:rsid w:val="00436CB8"/>
    <w:rsid w:val="00436D29"/>
    <w:rsid w:val="00436D67"/>
    <w:rsid w:val="00436DD4"/>
    <w:rsid w:val="00436DE8"/>
    <w:rsid w:val="00436E0F"/>
    <w:rsid w:val="00436E2B"/>
    <w:rsid w:val="00436F25"/>
    <w:rsid w:val="00436F94"/>
    <w:rsid w:val="00436FF4"/>
    <w:rsid w:val="00437042"/>
    <w:rsid w:val="004370D4"/>
    <w:rsid w:val="004370F3"/>
    <w:rsid w:val="00437117"/>
    <w:rsid w:val="0043714F"/>
    <w:rsid w:val="00437198"/>
    <w:rsid w:val="004371B5"/>
    <w:rsid w:val="004371E9"/>
    <w:rsid w:val="0043720A"/>
    <w:rsid w:val="00437238"/>
    <w:rsid w:val="0043724E"/>
    <w:rsid w:val="00437250"/>
    <w:rsid w:val="00437252"/>
    <w:rsid w:val="0043726C"/>
    <w:rsid w:val="0043731A"/>
    <w:rsid w:val="00437376"/>
    <w:rsid w:val="00437397"/>
    <w:rsid w:val="004373B6"/>
    <w:rsid w:val="00437401"/>
    <w:rsid w:val="00437419"/>
    <w:rsid w:val="0043742E"/>
    <w:rsid w:val="0043744F"/>
    <w:rsid w:val="00437471"/>
    <w:rsid w:val="0043747A"/>
    <w:rsid w:val="00437498"/>
    <w:rsid w:val="004374D8"/>
    <w:rsid w:val="004374E1"/>
    <w:rsid w:val="004374F1"/>
    <w:rsid w:val="0043750A"/>
    <w:rsid w:val="00437585"/>
    <w:rsid w:val="004375B9"/>
    <w:rsid w:val="00437629"/>
    <w:rsid w:val="0043769B"/>
    <w:rsid w:val="004376CC"/>
    <w:rsid w:val="004376D9"/>
    <w:rsid w:val="004376EE"/>
    <w:rsid w:val="004376FE"/>
    <w:rsid w:val="0043770D"/>
    <w:rsid w:val="00437748"/>
    <w:rsid w:val="004377E4"/>
    <w:rsid w:val="00437828"/>
    <w:rsid w:val="00437839"/>
    <w:rsid w:val="0043784F"/>
    <w:rsid w:val="00437868"/>
    <w:rsid w:val="004378B8"/>
    <w:rsid w:val="00437920"/>
    <w:rsid w:val="00437939"/>
    <w:rsid w:val="0043795D"/>
    <w:rsid w:val="00437992"/>
    <w:rsid w:val="00437A74"/>
    <w:rsid w:val="00437A8B"/>
    <w:rsid w:val="00437A95"/>
    <w:rsid w:val="00437AAB"/>
    <w:rsid w:val="00437AB8"/>
    <w:rsid w:val="00437ABC"/>
    <w:rsid w:val="00437AD1"/>
    <w:rsid w:val="00437B66"/>
    <w:rsid w:val="00437B74"/>
    <w:rsid w:val="00437B8A"/>
    <w:rsid w:val="00437B90"/>
    <w:rsid w:val="00437B9E"/>
    <w:rsid w:val="00437BCB"/>
    <w:rsid w:val="00437BD2"/>
    <w:rsid w:val="00437C63"/>
    <w:rsid w:val="00437C72"/>
    <w:rsid w:val="00437C7B"/>
    <w:rsid w:val="00437C94"/>
    <w:rsid w:val="00437CCD"/>
    <w:rsid w:val="00437D02"/>
    <w:rsid w:val="00437D10"/>
    <w:rsid w:val="00437D24"/>
    <w:rsid w:val="00437D96"/>
    <w:rsid w:val="00437DF4"/>
    <w:rsid w:val="00437EBF"/>
    <w:rsid w:val="00437ED5"/>
    <w:rsid w:val="00437EE7"/>
    <w:rsid w:val="00437F11"/>
    <w:rsid w:val="00437F28"/>
    <w:rsid w:val="00437F2B"/>
    <w:rsid w:val="00437F57"/>
    <w:rsid w:val="00437F90"/>
    <w:rsid w:val="00437FE8"/>
    <w:rsid w:val="0043A642"/>
    <w:rsid w:val="00440004"/>
    <w:rsid w:val="0044007D"/>
    <w:rsid w:val="00440082"/>
    <w:rsid w:val="004400B0"/>
    <w:rsid w:val="004400F8"/>
    <w:rsid w:val="0044010C"/>
    <w:rsid w:val="00440175"/>
    <w:rsid w:val="004401B1"/>
    <w:rsid w:val="004401C5"/>
    <w:rsid w:val="004401D9"/>
    <w:rsid w:val="004401E8"/>
    <w:rsid w:val="00440225"/>
    <w:rsid w:val="0044025A"/>
    <w:rsid w:val="00440293"/>
    <w:rsid w:val="004402E2"/>
    <w:rsid w:val="004402F3"/>
    <w:rsid w:val="00440333"/>
    <w:rsid w:val="0044034D"/>
    <w:rsid w:val="00440360"/>
    <w:rsid w:val="00440372"/>
    <w:rsid w:val="0044038D"/>
    <w:rsid w:val="004403C0"/>
    <w:rsid w:val="004403C4"/>
    <w:rsid w:val="004403CD"/>
    <w:rsid w:val="004403EC"/>
    <w:rsid w:val="004404EB"/>
    <w:rsid w:val="004404F4"/>
    <w:rsid w:val="0044050F"/>
    <w:rsid w:val="0044056E"/>
    <w:rsid w:val="0044063C"/>
    <w:rsid w:val="00440655"/>
    <w:rsid w:val="0044067A"/>
    <w:rsid w:val="004406A5"/>
    <w:rsid w:val="004406E2"/>
    <w:rsid w:val="00440732"/>
    <w:rsid w:val="0044076C"/>
    <w:rsid w:val="004407E8"/>
    <w:rsid w:val="00440801"/>
    <w:rsid w:val="00440840"/>
    <w:rsid w:val="00440879"/>
    <w:rsid w:val="0044087A"/>
    <w:rsid w:val="0044089D"/>
    <w:rsid w:val="00440904"/>
    <w:rsid w:val="00440911"/>
    <w:rsid w:val="0044092C"/>
    <w:rsid w:val="00440993"/>
    <w:rsid w:val="00440A06"/>
    <w:rsid w:val="00440A1B"/>
    <w:rsid w:val="00440A74"/>
    <w:rsid w:val="00440AE7"/>
    <w:rsid w:val="00440B01"/>
    <w:rsid w:val="00440B07"/>
    <w:rsid w:val="00440B93"/>
    <w:rsid w:val="00440B96"/>
    <w:rsid w:val="00440BD5"/>
    <w:rsid w:val="00440C12"/>
    <w:rsid w:val="00440C41"/>
    <w:rsid w:val="00440C62"/>
    <w:rsid w:val="00440C7C"/>
    <w:rsid w:val="00440DC4"/>
    <w:rsid w:val="00440DFF"/>
    <w:rsid w:val="00440E17"/>
    <w:rsid w:val="00440E5F"/>
    <w:rsid w:val="00440E73"/>
    <w:rsid w:val="00440E99"/>
    <w:rsid w:val="00440ECB"/>
    <w:rsid w:val="00440ED9"/>
    <w:rsid w:val="00440EEC"/>
    <w:rsid w:val="00440F0F"/>
    <w:rsid w:val="00440FC5"/>
    <w:rsid w:val="00441093"/>
    <w:rsid w:val="00441098"/>
    <w:rsid w:val="004410AB"/>
    <w:rsid w:val="00441112"/>
    <w:rsid w:val="0044116F"/>
    <w:rsid w:val="00441191"/>
    <w:rsid w:val="004411BC"/>
    <w:rsid w:val="004411C3"/>
    <w:rsid w:val="004411DD"/>
    <w:rsid w:val="004411E1"/>
    <w:rsid w:val="0044121C"/>
    <w:rsid w:val="00441230"/>
    <w:rsid w:val="00441269"/>
    <w:rsid w:val="0044127C"/>
    <w:rsid w:val="004412AA"/>
    <w:rsid w:val="004412FA"/>
    <w:rsid w:val="0044131F"/>
    <w:rsid w:val="004413A9"/>
    <w:rsid w:val="004413AF"/>
    <w:rsid w:val="00441400"/>
    <w:rsid w:val="004414F2"/>
    <w:rsid w:val="00441584"/>
    <w:rsid w:val="00441691"/>
    <w:rsid w:val="004416F6"/>
    <w:rsid w:val="004416FA"/>
    <w:rsid w:val="004417B9"/>
    <w:rsid w:val="004417EC"/>
    <w:rsid w:val="00441833"/>
    <w:rsid w:val="004418D3"/>
    <w:rsid w:val="00441A26"/>
    <w:rsid w:val="00441A5D"/>
    <w:rsid w:val="00441A7A"/>
    <w:rsid w:val="00441AC7"/>
    <w:rsid w:val="00441AE1"/>
    <w:rsid w:val="00441AF1"/>
    <w:rsid w:val="00441B15"/>
    <w:rsid w:val="00441B69"/>
    <w:rsid w:val="00441B6B"/>
    <w:rsid w:val="00441B9F"/>
    <w:rsid w:val="00441BB7"/>
    <w:rsid w:val="00441BCE"/>
    <w:rsid w:val="00441BDF"/>
    <w:rsid w:val="00441BF1"/>
    <w:rsid w:val="00441C10"/>
    <w:rsid w:val="00441C3E"/>
    <w:rsid w:val="00441C7B"/>
    <w:rsid w:val="00441C82"/>
    <w:rsid w:val="00441D3F"/>
    <w:rsid w:val="00441DDA"/>
    <w:rsid w:val="00441DDD"/>
    <w:rsid w:val="00441E9F"/>
    <w:rsid w:val="00441F1F"/>
    <w:rsid w:val="00441F5A"/>
    <w:rsid w:val="00441FB2"/>
    <w:rsid w:val="00441FDF"/>
    <w:rsid w:val="00441FFA"/>
    <w:rsid w:val="00442011"/>
    <w:rsid w:val="00442087"/>
    <w:rsid w:val="00442094"/>
    <w:rsid w:val="0044209B"/>
    <w:rsid w:val="004420A0"/>
    <w:rsid w:val="00442158"/>
    <w:rsid w:val="00442176"/>
    <w:rsid w:val="0044219D"/>
    <w:rsid w:val="0044231E"/>
    <w:rsid w:val="00442368"/>
    <w:rsid w:val="0044236E"/>
    <w:rsid w:val="00442375"/>
    <w:rsid w:val="0044237C"/>
    <w:rsid w:val="004423C7"/>
    <w:rsid w:val="004423D5"/>
    <w:rsid w:val="004423E3"/>
    <w:rsid w:val="00442429"/>
    <w:rsid w:val="0044243C"/>
    <w:rsid w:val="00442446"/>
    <w:rsid w:val="00442488"/>
    <w:rsid w:val="0044248D"/>
    <w:rsid w:val="004424BB"/>
    <w:rsid w:val="004424E0"/>
    <w:rsid w:val="00442518"/>
    <w:rsid w:val="0044252B"/>
    <w:rsid w:val="00442534"/>
    <w:rsid w:val="004425EE"/>
    <w:rsid w:val="00442610"/>
    <w:rsid w:val="00442612"/>
    <w:rsid w:val="0044262A"/>
    <w:rsid w:val="00442640"/>
    <w:rsid w:val="00442653"/>
    <w:rsid w:val="0044267B"/>
    <w:rsid w:val="004426E1"/>
    <w:rsid w:val="004426F9"/>
    <w:rsid w:val="004427A0"/>
    <w:rsid w:val="004427D7"/>
    <w:rsid w:val="004427F9"/>
    <w:rsid w:val="00442891"/>
    <w:rsid w:val="00442894"/>
    <w:rsid w:val="004428A9"/>
    <w:rsid w:val="004428F0"/>
    <w:rsid w:val="00442909"/>
    <w:rsid w:val="00442963"/>
    <w:rsid w:val="00442977"/>
    <w:rsid w:val="004429AA"/>
    <w:rsid w:val="004429BF"/>
    <w:rsid w:val="00442A3B"/>
    <w:rsid w:val="00442A44"/>
    <w:rsid w:val="00442A4F"/>
    <w:rsid w:val="00442AB9"/>
    <w:rsid w:val="00442AC3"/>
    <w:rsid w:val="00442B39"/>
    <w:rsid w:val="00442B7E"/>
    <w:rsid w:val="00442B99"/>
    <w:rsid w:val="00442BA8"/>
    <w:rsid w:val="00442BB1"/>
    <w:rsid w:val="00442BB8"/>
    <w:rsid w:val="00442BC7"/>
    <w:rsid w:val="00442C1C"/>
    <w:rsid w:val="00442C2E"/>
    <w:rsid w:val="00442C6B"/>
    <w:rsid w:val="00442C9C"/>
    <w:rsid w:val="00442CB1"/>
    <w:rsid w:val="00442D23"/>
    <w:rsid w:val="00442E14"/>
    <w:rsid w:val="00442E63"/>
    <w:rsid w:val="00442E85"/>
    <w:rsid w:val="00442E90"/>
    <w:rsid w:val="00442EEB"/>
    <w:rsid w:val="00442F4B"/>
    <w:rsid w:val="00442F90"/>
    <w:rsid w:val="00442F99"/>
    <w:rsid w:val="00442FBC"/>
    <w:rsid w:val="00443012"/>
    <w:rsid w:val="0044304C"/>
    <w:rsid w:val="004430C3"/>
    <w:rsid w:val="004430CE"/>
    <w:rsid w:val="004430F2"/>
    <w:rsid w:val="0044312E"/>
    <w:rsid w:val="00443138"/>
    <w:rsid w:val="0044317F"/>
    <w:rsid w:val="004431B2"/>
    <w:rsid w:val="00443202"/>
    <w:rsid w:val="0044320E"/>
    <w:rsid w:val="0044324C"/>
    <w:rsid w:val="004432BA"/>
    <w:rsid w:val="004432C3"/>
    <w:rsid w:val="004432C5"/>
    <w:rsid w:val="004432FF"/>
    <w:rsid w:val="0044331D"/>
    <w:rsid w:val="00443327"/>
    <w:rsid w:val="0044335D"/>
    <w:rsid w:val="004433EA"/>
    <w:rsid w:val="004433FA"/>
    <w:rsid w:val="0044340A"/>
    <w:rsid w:val="0044342D"/>
    <w:rsid w:val="00443439"/>
    <w:rsid w:val="00443453"/>
    <w:rsid w:val="00443461"/>
    <w:rsid w:val="0044346A"/>
    <w:rsid w:val="004434CF"/>
    <w:rsid w:val="004434F4"/>
    <w:rsid w:val="00443542"/>
    <w:rsid w:val="0044357B"/>
    <w:rsid w:val="004435A2"/>
    <w:rsid w:val="004435C2"/>
    <w:rsid w:val="0044360E"/>
    <w:rsid w:val="00443756"/>
    <w:rsid w:val="004437B7"/>
    <w:rsid w:val="004437B8"/>
    <w:rsid w:val="004437E8"/>
    <w:rsid w:val="004437FD"/>
    <w:rsid w:val="00443988"/>
    <w:rsid w:val="00443997"/>
    <w:rsid w:val="004439C1"/>
    <w:rsid w:val="004439C8"/>
    <w:rsid w:val="004439D5"/>
    <w:rsid w:val="00443A32"/>
    <w:rsid w:val="00443A67"/>
    <w:rsid w:val="00443AB6"/>
    <w:rsid w:val="00443AC0"/>
    <w:rsid w:val="00443AE7"/>
    <w:rsid w:val="00443AF9"/>
    <w:rsid w:val="00443B03"/>
    <w:rsid w:val="00443BA5"/>
    <w:rsid w:val="00443C04"/>
    <w:rsid w:val="00443C0B"/>
    <w:rsid w:val="00443CAB"/>
    <w:rsid w:val="00443D23"/>
    <w:rsid w:val="00443D33"/>
    <w:rsid w:val="00443D80"/>
    <w:rsid w:val="00443DAF"/>
    <w:rsid w:val="00443DBF"/>
    <w:rsid w:val="00443DF0"/>
    <w:rsid w:val="00443E7C"/>
    <w:rsid w:val="00443F27"/>
    <w:rsid w:val="00443F35"/>
    <w:rsid w:val="00443F61"/>
    <w:rsid w:val="00443FCC"/>
    <w:rsid w:val="00443FD0"/>
    <w:rsid w:val="0044402A"/>
    <w:rsid w:val="00444035"/>
    <w:rsid w:val="00444049"/>
    <w:rsid w:val="004440FB"/>
    <w:rsid w:val="00444131"/>
    <w:rsid w:val="00444214"/>
    <w:rsid w:val="0044425E"/>
    <w:rsid w:val="00444272"/>
    <w:rsid w:val="00444283"/>
    <w:rsid w:val="0044429B"/>
    <w:rsid w:val="004442A1"/>
    <w:rsid w:val="0044435D"/>
    <w:rsid w:val="00444381"/>
    <w:rsid w:val="00444459"/>
    <w:rsid w:val="0044449A"/>
    <w:rsid w:val="004444F8"/>
    <w:rsid w:val="0044450A"/>
    <w:rsid w:val="00444521"/>
    <w:rsid w:val="00444569"/>
    <w:rsid w:val="0044456C"/>
    <w:rsid w:val="004445B3"/>
    <w:rsid w:val="00444638"/>
    <w:rsid w:val="004446B4"/>
    <w:rsid w:val="004446B6"/>
    <w:rsid w:val="004446C5"/>
    <w:rsid w:val="004446DC"/>
    <w:rsid w:val="004446E9"/>
    <w:rsid w:val="004446F0"/>
    <w:rsid w:val="0044471C"/>
    <w:rsid w:val="0044478A"/>
    <w:rsid w:val="0044481A"/>
    <w:rsid w:val="0044487B"/>
    <w:rsid w:val="004448BF"/>
    <w:rsid w:val="0044494A"/>
    <w:rsid w:val="0044496B"/>
    <w:rsid w:val="0044497A"/>
    <w:rsid w:val="004449AA"/>
    <w:rsid w:val="004449DE"/>
    <w:rsid w:val="00444A14"/>
    <w:rsid w:val="00444A2C"/>
    <w:rsid w:val="00444A36"/>
    <w:rsid w:val="00444B3B"/>
    <w:rsid w:val="00444B47"/>
    <w:rsid w:val="00444B60"/>
    <w:rsid w:val="00444B81"/>
    <w:rsid w:val="00444B8B"/>
    <w:rsid w:val="00444BBF"/>
    <w:rsid w:val="00444BCC"/>
    <w:rsid w:val="00444BD8"/>
    <w:rsid w:val="00444C33"/>
    <w:rsid w:val="00444C80"/>
    <w:rsid w:val="00444CB6"/>
    <w:rsid w:val="00444CBF"/>
    <w:rsid w:val="00444D6B"/>
    <w:rsid w:val="00444D87"/>
    <w:rsid w:val="00444DAF"/>
    <w:rsid w:val="00444DB3"/>
    <w:rsid w:val="00444DE6"/>
    <w:rsid w:val="00444DEA"/>
    <w:rsid w:val="00444DEE"/>
    <w:rsid w:val="00444DF5"/>
    <w:rsid w:val="00444E2D"/>
    <w:rsid w:val="00444E5A"/>
    <w:rsid w:val="00444E70"/>
    <w:rsid w:val="00444E73"/>
    <w:rsid w:val="00444E7F"/>
    <w:rsid w:val="00444E97"/>
    <w:rsid w:val="00444F23"/>
    <w:rsid w:val="00444F31"/>
    <w:rsid w:val="00444FC4"/>
    <w:rsid w:val="00444FC8"/>
    <w:rsid w:val="0044504F"/>
    <w:rsid w:val="00445076"/>
    <w:rsid w:val="0044511F"/>
    <w:rsid w:val="00445122"/>
    <w:rsid w:val="004451D8"/>
    <w:rsid w:val="004451DE"/>
    <w:rsid w:val="00445205"/>
    <w:rsid w:val="00445219"/>
    <w:rsid w:val="0044526B"/>
    <w:rsid w:val="00445291"/>
    <w:rsid w:val="00445293"/>
    <w:rsid w:val="004452A4"/>
    <w:rsid w:val="004452C5"/>
    <w:rsid w:val="004452D2"/>
    <w:rsid w:val="004452E3"/>
    <w:rsid w:val="00445358"/>
    <w:rsid w:val="0044538E"/>
    <w:rsid w:val="00445408"/>
    <w:rsid w:val="00445434"/>
    <w:rsid w:val="00445439"/>
    <w:rsid w:val="00445449"/>
    <w:rsid w:val="0044544D"/>
    <w:rsid w:val="00445453"/>
    <w:rsid w:val="0044546E"/>
    <w:rsid w:val="0044547F"/>
    <w:rsid w:val="004454A5"/>
    <w:rsid w:val="00445548"/>
    <w:rsid w:val="0044558A"/>
    <w:rsid w:val="004456FC"/>
    <w:rsid w:val="00445709"/>
    <w:rsid w:val="0044576A"/>
    <w:rsid w:val="00445784"/>
    <w:rsid w:val="00445794"/>
    <w:rsid w:val="004457E7"/>
    <w:rsid w:val="0044580D"/>
    <w:rsid w:val="00445939"/>
    <w:rsid w:val="0044597D"/>
    <w:rsid w:val="004459AA"/>
    <w:rsid w:val="004459B6"/>
    <w:rsid w:val="004459B9"/>
    <w:rsid w:val="00445A3F"/>
    <w:rsid w:val="00445ACA"/>
    <w:rsid w:val="00445B18"/>
    <w:rsid w:val="00445B4B"/>
    <w:rsid w:val="00445B79"/>
    <w:rsid w:val="00445B88"/>
    <w:rsid w:val="00445BC8"/>
    <w:rsid w:val="00445C16"/>
    <w:rsid w:val="00445C31"/>
    <w:rsid w:val="00445C33"/>
    <w:rsid w:val="00445C3A"/>
    <w:rsid w:val="00445D22"/>
    <w:rsid w:val="00445D86"/>
    <w:rsid w:val="00445DEB"/>
    <w:rsid w:val="00445E72"/>
    <w:rsid w:val="00445E78"/>
    <w:rsid w:val="00445EE3"/>
    <w:rsid w:val="00445FA3"/>
    <w:rsid w:val="00445FC3"/>
    <w:rsid w:val="00445FE5"/>
    <w:rsid w:val="00445FE6"/>
    <w:rsid w:val="00445FE9"/>
    <w:rsid w:val="0044601B"/>
    <w:rsid w:val="0044601F"/>
    <w:rsid w:val="0044602B"/>
    <w:rsid w:val="00446073"/>
    <w:rsid w:val="004460D1"/>
    <w:rsid w:val="00446111"/>
    <w:rsid w:val="00446214"/>
    <w:rsid w:val="00446270"/>
    <w:rsid w:val="004462B1"/>
    <w:rsid w:val="0044634C"/>
    <w:rsid w:val="0044646A"/>
    <w:rsid w:val="004464A8"/>
    <w:rsid w:val="0044651C"/>
    <w:rsid w:val="0044656F"/>
    <w:rsid w:val="004465F6"/>
    <w:rsid w:val="00446627"/>
    <w:rsid w:val="0044662B"/>
    <w:rsid w:val="00446641"/>
    <w:rsid w:val="004466E0"/>
    <w:rsid w:val="0044670C"/>
    <w:rsid w:val="00446718"/>
    <w:rsid w:val="00446730"/>
    <w:rsid w:val="00446731"/>
    <w:rsid w:val="004467C1"/>
    <w:rsid w:val="00446807"/>
    <w:rsid w:val="00446846"/>
    <w:rsid w:val="00446850"/>
    <w:rsid w:val="0044689D"/>
    <w:rsid w:val="004468B8"/>
    <w:rsid w:val="004468DA"/>
    <w:rsid w:val="004468FE"/>
    <w:rsid w:val="00446A11"/>
    <w:rsid w:val="00446A32"/>
    <w:rsid w:val="00446AF9"/>
    <w:rsid w:val="00446BEC"/>
    <w:rsid w:val="00446C2F"/>
    <w:rsid w:val="00446C9F"/>
    <w:rsid w:val="00446D3C"/>
    <w:rsid w:val="00446D48"/>
    <w:rsid w:val="00446DFA"/>
    <w:rsid w:val="00446DFD"/>
    <w:rsid w:val="00446E0C"/>
    <w:rsid w:val="00446E3C"/>
    <w:rsid w:val="00446E57"/>
    <w:rsid w:val="00446E5C"/>
    <w:rsid w:val="00446E67"/>
    <w:rsid w:val="00446E6A"/>
    <w:rsid w:val="00446EA9"/>
    <w:rsid w:val="00446EE6"/>
    <w:rsid w:val="00446EF1"/>
    <w:rsid w:val="00446F31"/>
    <w:rsid w:val="00446F68"/>
    <w:rsid w:val="00446FB2"/>
    <w:rsid w:val="00446FE3"/>
    <w:rsid w:val="00447060"/>
    <w:rsid w:val="00447073"/>
    <w:rsid w:val="00447183"/>
    <w:rsid w:val="00447186"/>
    <w:rsid w:val="004471A1"/>
    <w:rsid w:val="004471C5"/>
    <w:rsid w:val="00447202"/>
    <w:rsid w:val="0044724D"/>
    <w:rsid w:val="0044729E"/>
    <w:rsid w:val="00447331"/>
    <w:rsid w:val="0044733B"/>
    <w:rsid w:val="00447376"/>
    <w:rsid w:val="004473C7"/>
    <w:rsid w:val="0044740B"/>
    <w:rsid w:val="0044741E"/>
    <w:rsid w:val="0044743B"/>
    <w:rsid w:val="00447479"/>
    <w:rsid w:val="0044749E"/>
    <w:rsid w:val="004474CC"/>
    <w:rsid w:val="004474F1"/>
    <w:rsid w:val="00447502"/>
    <w:rsid w:val="0044752A"/>
    <w:rsid w:val="00447583"/>
    <w:rsid w:val="004475CD"/>
    <w:rsid w:val="004475D2"/>
    <w:rsid w:val="00447646"/>
    <w:rsid w:val="004476A2"/>
    <w:rsid w:val="00447748"/>
    <w:rsid w:val="0044774B"/>
    <w:rsid w:val="00447763"/>
    <w:rsid w:val="00447964"/>
    <w:rsid w:val="0044799A"/>
    <w:rsid w:val="004479BD"/>
    <w:rsid w:val="004479E9"/>
    <w:rsid w:val="00447A05"/>
    <w:rsid w:val="00447A33"/>
    <w:rsid w:val="00447AA6"/>
    <w:rsid w:val="00447AC2"/>
    <w:rsid w:val="00447B1B"/>
    <w:rsid w:val="00447B29"/>
    <w:rsid w:val="00447C37"/>
    <w:rsid w:val="00447CC1"/>
    <w:rsid w:val="00447CDD"/>
    <w:rsid w:val="00447CE2"/>
    <w:rsid w:val="00447CEE"/>
    <w:rsid w:val="00447CF4"/>
    <w:rsid w:val="00447D1C"/>
    <w:rsid w:val="00447D28"/>
    <w:rsid w:val="00447D2B"/>
    <w:rsid w:val="00447D37"/>
    <w:rsid w:val="00447D87"/>
    <w:rsid w:val="00447DA2"/>
    <w:rsid w:val="00447DA6"/>
    <w:rsid w:val="00447DAD"/>
    <w:rsid w:val="00447DD1"/>
    <w:rsid w:val="00447DE0"/>
    <w:rsid w:val="00447E5A"/>
    <w:rsid w:val="00447E6B"/>
    <w:rsid w:val="00447EDE"/>
    <w:rsid w:val="00447EDF"/>
    <w:rsid w:val="00447EF2"/>
    <w:rsid w:val="00447F65"/>
    <w:rsid w:val="00447F79"/>
    <w:rsid w:val="00447FD5"/>
    <w:rsid w:val="00447FD8"/>
    <w:rsid w:val="00450001"/>
    <w:rsid w:val="004500E4"/>
    <w:rsid w:val="00450165"/>
    <w:rsid w:val="00450179"/>
    <w:rsid w:val="004501C9"/>
    <w:rsid w:val="004501E0"/>
    <w:rsid w:val="00450216"/>
    <w:rsid w:val="0045023C"/>
    <w:rsid w:val="00450253"/>
    <w:rsid w:val="004502E3"/>
    <w:rsid w:val="00450380"/>
    <w:rsid w:val="004503A8"/>
    <w:rsid w:val="004503C8"/>
    <w:rsid w:val="004503EE"/>
    <w:rsid w:val="0045042F"/>
    <w:rsid w:val="00450488"/>
    <w:rsid w:val="004504CC"/>
    <w:rsid w:val="00450526"/>
    <w:rsid w:val="00450535"/>
    <w:rsid w:val="00450562"/>
    <w:rsid w:val="004505E9"/>
    <w:rsid w:val="0045064D"/>
    <w:rsid w:val="00450685"/>
    <w:rsid w:val="00450688"/>
    <w:rsid w:val="0045068A"/>
    <w:rsid w:val="004506A6"/>
    <w:rsid w:val="004506B3"/>
    <w:rsid w:val="0045079E"/>
    <w:rsid w:val="004507AA"/>
    <w:rsid w:val="00450864"/>
    <w:rsid w:val="00450899"/>
    <w:rsid w:val="004508B0"/>
    <w:rsid w:val="004508BA"/>
    <w:rsid w:val="0045098F"/>
    <w:rsid w:val="004509C1"/>
    <w:rsid w:val="00450A0C"/>
    <w:rsid w:val="00450A12"/>
    <w:rsid w:val="00450A41"/>
    <w:rsid w:val="00450AA2"/>
    <w:rsid w:val="00450B3B"/>
    <w:rsid w:val="00450B49"/>
    <w:rsid w:val="00450B50"/>
    <w:rsid w:val="00450C08"/>
    <w:rsid w:val="00450C26"/>
    <w:rsid w:val="00450CAB"/>
    <w:rsid w:val="00450CC0"/>
    <w:rsid w:val="00450DCB"/>
    <w:rsid w:val="00450DD3"/>
    <w:rsid w:val="00450DE3"/>
    <w:rsid w:val="00450DEA"/>
    <w:rsid w:val="00450DEC"/>
    <w:rsid w:val="00450E0B"/>
    <w:rsid w:val="00450E12"/>
    <w:rsid w:val="00450E3D"/>
    <w:rsid w:val="00450E84"/>
    <w:rsid w:val="00450EB3"/>
    <w:rsid w:val="00450EEF"/>
    <w:rsid w:val="00450F26"/>
    <w:rsid w:val="00450F2E"/>
    <w:rsid w:val="00450F7B"/>
    <w:rsid w:val="00450F85"/>
    <w:rsid w:val="00450FA7"/>
    <w:rsid w:val="00451050"/>
    <w:rsid w:val="0045111D"/>
    <w:rsid w:val="00451170"/>
    <w:rsid w:val="00451184"/>
    <w:rsid w:val="004511AE"/>
    <w:rsid w:val="004511D5"/>
    <w:rsid w:val="004511E3"/>
    <w:rsid w:val="004511E7"/>
    <w:rsid w:val="00451240"/>
    <w:rsid w:val="00451244"/>
    <w:rsid w:val="004512A8"/>
    <w:rsid w:val="004512FA"/>
    <w:rsid w:val="0045135E"/>
    <w:rsid w:val="0045137E"/>
    <w:rsid w:val="00451381"/>
    <w:rsid w:val="004513E1"/>
    <w:rsid w:val="004513E7"/>
    <w:rsid w:val="00451412"/>
    <w:rsid w:val="00451424"/>
    <w:rsid w:val="00451434"/>
    <w:rsid w:val="00451441"/>
    <w:rsid w:val="00451452"/>
    <w:rsid w:val="0045150C"/>
    <w:rsid w:val="0045157C"/>
    <w:rsid w:val="00451594"/>
    <w:rsid w:val="004515A7"/>
    <w:rsid w:val="004515D5"/>
    <w:rsid w:val="00451691"/>
    <w:rsid w:val="00451701"/>
    <w:rsid w:val="00451773"/>
    <w:rsid w:val="004517A0"/>
    <w:rsid w:val="004517C8"/>
    <w:rsid w:val="00451905"/>
    <w:rsid w:val="0045191A"/>
    <w:rsid w:val="0045191D"/>
    <w:rsid w:val="0045192B"/>
    <w:rsid w:val="0045196C"/>
    <w:rsid w:val="0045198C"/>
    <w:rsid w:val="00451A08"/>
    <w:rsid w:val="00451A10"/>
    <w:rsid w:val="00451A29"/>
    <w:rsid w:val="00451A39"/>
    <w:rsid w:val="00451A73"/>
    <w:rsid w:val="00451B10"/>
    <w:rsid w:val="00451BC9"/>
    <w:rsid w:val="00451BCA"/>
    <w:rsid w:val="00451C01"/>
    <w:rsid w:val="00451C77"/>
    <w:rsid w:val="00451CA3"/>
    <w:rsid w:val="00451CA7"/>
    <w:rsid w:val="00451CB2"/>
    <w:rsid w:val="00451CC1"/>
    <w:rsid w:val="00451CDF"/>
    <w:rsid w:val="00451D33"/>
    <w:rsid w:val="00451DC5"/>
    <w:rsid w:val="00451E19"/>
    <w:rsid w:val="00451E60"/>
    <w:rsid w:val="00451F14"/>
    <w:rsid w:val="00451F7A"/>
    <w:rsid w:val="00451FBF"/>
    <w:rsid w:val="00451FEC"/>
    <w:rsid w:val="00451FF0"/>
    <w:rsid w:val="00452004"/>
    <w:rsid w:val="00452021"/>
    <w:rsid w:val="00452058"/>
    <w:rsid w:val="00452068"/>
    <w:rsid w:val="004520D5"/>
    <w:rsid w:val="00452106"/>
    <w:rsid w:val="00452135"/>
    <w:rsid w:val="0045214D"/>
    <w:rsid w:val="00452163"/>
    <w:rsid w:val="00452184"/>
    <w:rsid w:val="004521BD"/>
    <w:rsid w:val="004521D9"/>
    <w:rsid w:val="004521EC"/>
    <w:rsid w:val="0045225B"/>
    <w:rsid w:val="00452383"/>
    <w:rsid w:val="0045239B"/>
    <w:rsid w:val="004523A9"/>
    <w:rsid w:val="004523B1"/>
    <w:rsid w:val="0045243F"/>
    <w:rsid w:val="0045246B"/>
    <w:rsid w:val="004524E4"/>
    <w:rsid w:val="004524F1"/>
    <w:rsid w:val="004524F2"/>
    <w:rsid w:val="004524FE"/>
    <w:rsid w:val="00452591"/>
    <w:rsid w:val="004525A0"/>
    <w:rsid w:val="00452604"/>
    <w:rsid w:val="0045260C"/>
    <w:rsid w:val="00452670"/>
    <w:rsid w:val="00452673"/>
    <w:rsid w:val="00452697"/>
    <w:rsid w:val="004526B8"/>
    <w:rsid w:val="004526DC"/>
    <w:rsid w:val="004526E2"/>
    <w:rsid w:val="0045272F"/>
    <w:rsid w:val="00452789"/>
    <w:rsid w:val="004527A1"/>
    <w:rsid w:val="00452870"/>
    <w:rsid w:val="004528E9"/>
    <w:rsid w:val="0045290A"/>
    <w:rsid w:val="00452930"/>
    <w:rsid w:val="0045293D"/>
    <w:rsid w:val="00452982"/>
    <w:rsid w:val="00452999"/>
    <w:rsid w:val="004529B7"/>
    <w:rsid w:val="004529DE"/>
    <w:rsid w:val="004529E4"/>
    <w:rsid w:val="00452A15"/>
    <w:rsid w:val="00452BA8"/>
    <w:rsid w:val="00452BE1"/>
    <w:rsid w:val="00452C0A"/>
    <w:rsid w:val="00452C2A"/>
    <w:rsid w:val="00452CDB"/>
    <w:rsid w:val="00452D04"/>
    <w:rsid w:val="00452D0A"/>
    <w:rsid w:val="00452D8D"/>
    <w:rsid w:val="00452DA0"/>
    <w:rsid w:val="00452DAA"/>
    <w:rsid w:val="00452DC2"/>
    <w:rsid w:val="00452DC8"/>
    <w:rsid w:val="00452E41"/>
    <w:rsid w:val="00452E9E"/>
    <w:rsid w:val="00452ECF"/>
    <w:rsid w:val="00452ED4"/>
    <w:rsid w:val="00452F81"/>
    <w:rsid w:val="00452F8E"/>
    <w:rsid w:val="00452FA1"/>
    <w:rsid w:val="00452FB1"/>
    <w:rsid w:val="00453026"/>
    <w:rsid w:val="004530BC"/>
    <w:rsid w:val="004530E8"/>
    <w:rsid w:val="004530FC"/>
    <w:rsid w:val="0045321B"/>
    <w:rsid w:val="00453230"/>
    <w:rsid w:val="0045323B"/>
    <w:rsid w:val="0045324F"/>
    <w:rsid w:val="00453264"/>
    <w:rsid w:val="00453287"/>
    <w:rsid w:val="00453293"/>
    <w:rsid w:val="00453337"/>
    <w:rsid w:val="0045333B"/>
    <w:rsid w:val="00453371"/>
    <w:rsid w:val="004533A8"/>
    <w:rsid w:val="004533B5"/>
    <w:rsid w:val="004533E3"/>
    <w:rsid w:val="00453419"/>
    <w:rsid w:val="0045345C"/>
    <w:rsid w:val="004534B0"/>
    <w:rsid w:val="0045350A"/>
    <w:rsid w:val="00453516"/>
    <w:rsid w:val="0045354F"/>
    <w:rsid w:val="00453552"/>
    <w:rsid w:val="00453568"/>
    <w:rsid w:val="004535B4"/>
    <w:rsid w:val="0045362D"/>
    <w:rsid w:val="00453658"/>
    <w:rsid w:val="00453698"/>
    <w:rsid w:val="00453767"/>
    <w:rsid w:val="004537E1"/>
    <w:rsid w:val="00453836"/>
    <w:rsid w:val="0045384F"/>
    <w:rsid w:val="00453859"/>
    <w:rsid w:val="004538F0"/>
    <w:rsid w:val="0045391E"/>
    <w:rsid w:val="0045394E"/>
    <w:rsid w:val="00453973"/>
    <w:rsid w:val="00453987"/>
    <w:rsid w:val="004539B0"/>
    <w:rsid w:val="004539C4"/>
    <w:rsid w:val="00453A16"/>
    <w:rsid w:val="00453A1E"/>
    <w:rsid w:val="00453A79"/>
    <w:rsid w:val="00453B1B"/>
    <w:rsid w:val="00453B41"/>
    <w:rsid w:val="00453B43"/>
    <w:rsid w:val="00453B5E"/>
    <w:rsid w:val="00453C29"/>
    <w:rsid w:val="00453C51"/>
    <w:rsid w:val="00453CA9"/>
    <w:rsid w:val="00453D2C"/>
    <w:rsid w:val="00453D44"/>
    <w:rsid w:val="00453DA8"/>
    <w:rsid w:val="00453E05"/>
    <w:rsid w:val="00453E5D"/>
    <w:rsid w:val="00453E6B"/>
    <w:rsid w:val="00453E6F"/>
    <w:rsid w:val="00453E76"/>
    <w:rsid w:val="00453E82"/>
    <w:rsid w:val="00453EB7"/>
    <w:rsid w:val="00453EBF"/>
    <w:rsid w:val="00453F06"/>
    <w:rsid w:val="00453F0F"/>
    <w:rsid w:val="00453F25"/>
    <w:rsid w:val="00453F6D"/>
    <w:rsid w:val="00453F81"/>
    <w:rsid w:val="00453FCE"/>
    <w:rsid w:val="00453FEC"/>
    <w:rsid w:val="00454008"/>
    <w:rsid w:val="00454061"/>
    <w:rsid w:val="00454185"/>
    <w:rsid w:val="004541A1"/>
    <w:rsid w:val="004541A2"/>
    <w:rsid w:val="004541F4"/>
    <w:rsid w:val="00454267"/>
    <w:rsid w:val="00454379"/>
    <w:rsid w:val="004543BB"/>
    <w:rsid w:val="00454463"/>
    <w:rsid w:val="004544B6"/>
    <w:rsid w:val="004544CC"/>
    <w:rsid w:val="0045454B"/>
    <w:rsid w:val="00454587"/>
    <w:rsid w:val="004545AD"/>
    <w:rsid w:val="00454643"/>
    <w:rsid w:val="00454674"/>
    <w:rsid w:val="0045469F"/>
    <w:rsid w:val="004546B3"/>
    <w:rsid w:val="004546B6"/>
    <w:rsid w:val="004546D6"/>
    <w:rsid w:val="00454716"/>
    <w:rsid w:val="004547C4"/>
    <w:rsid w:val="004547D4"/>
    <w:rsid w:val="00454868"/>
    <w:rsid w:val="00454903"/>
    <w:rsid w:val="0045498D"/>
    <w:rsid w:val="004549FD"/>
    <w:rsid w:val="00454A5A"/>
    <w:rsid w:val="00454ACD"/>
    <w:rsid w:val="00454B6B"/>
    <w:rsid w:val="00454BE3"/>
    <w:rsid w:val="00454C00"/>
    <w:rsid w:val="00454C4A"/>
    <w:rsid w:val="00454C63"/>
    <w:rsid w:val="00454C69"/>
    <w:rsid w:val="00454C92"/>
    <w:rsid w:val="00454CB6"/>
    <w:rsid w:val="00454CC6"/>
    <w:rsid w:val="00454D1B"/>
    <w:rsid w:val="00454DE7"/>
    <w:rsid w:val="00454E89"/>
    <w:rsid w:val="00454EEF"/>
    <w:rsid w:val="00454F4A"/>
    <w:rsid w:val="00454F86"/>
    <w:rsid w:val="00454F9D"/>
    <w:rsid w:val="00454FFF"/>
    <w:rsid w:val="00455012"/>
    <w:rsid w:val="0045503C"/>
    <w:rsid w:val="00455045"/>
    <w:rsid w:val="00455046"/>
    <w:rsid w:val="0045505B"/>
    <w:rsid w:val="00455111"/>
    <w:rsid w:val="0045512A"/>
    <w:rsid w:val="004551AD"/>
    <w:rsid w:val="00455211"/>
    <w:rsid w:val="00455245"/>
    <w:rsid w:val="004552BB"/>
    <w:rsid w:val="00455331"/>
    <w:rsid w:val="0045539D"/>
    <w:rsid w:val="00455464"/>
    <w:rsid w:val="00455471"/>
    <w:rsid w:val="00455472"/>
    <w:rsid w:val="0045549A"/>
    <w:rsid w:val="004554E7"/>
    <w:rsid w:val="004554F8"/>
    <w:rsid w:val="0045556A"/>
    <w:rsid w:val="00455578"/>
    <w:rsid w:val="004555A9"/>
    <w:rsid w:val="004556AB"/>
    <w:rsid w:val="004556B9"/>
    <w:rsid w:val="004556D8"/>
    <w:rsid w:val="004556FA"/>
    <w:rsid w:val="00455750"/>
    <w:rsid w:val="0045578C"/>
    <w:rsid w:val="004557D1"/>
    <w:rsid w:val="004557DA"/>
    <w:rsid w:val="0045589B"/>
    <w:rsid w:val="004558DC"/>
    <w:rsid w:val="00455912"/>
    <w:rsid w:val="00455918"/>
    <w:rsid w:val="0045598D"/>
    <w:rsid w:val="004559E0"/>
    <w:rsid w:val="004559FE"/>
    <w:rsid w:val="00455B34"/>
    <w:rsid w:val="00455B36"/>
    <w:rsid w:val="00455C51"/>
    <w:rsid w:val="00455C73"/>
    <w:rsid w:val="00455CAB"/>
    <w:rsid w:val="00455D14"/>
    <w:rsid w:val="00455D2F"/>
    <w:rsid w:val="00455D5C"/>
    <w:rsid w:val="00455DE0"/>
    <w:rsid w:val="00455DEB"/>
    <w:rsid w:val="00455E2F"/>
    <w:rsid w:val="00455E4D"/>
    <w:rsid w:val="00455E7D"/>
    <w:rsid w:val="00455EB8"/>
    <w:rsid w:val="00455F05"/>
    <w:rsid w:val="00455F18"/>
    <w:rsid w:val="00455F29"/>
    <w:rsid w:val="00455F4D"/>
    <w:rsid w:val="00455F8A"/>
    <w:rsid w:val="00455FE2"/>
    <w:rsid w:val="00456011"/>
    <w:rsid w:val="00456022"/>
    <w:rsid w:val="00456087"/>
    <w:rsid w:val="0045608A"/>
    <w:rsid w:val="004560A2"/>
    <w:rsid w:val="004560AA"/>
    <w:rsid w:val="004560E7"/>
    <w:rsid w:val="00456104"/>
    <w:rsid w:val="0045611A"/>
    <w:rsid w:val="00456150"/>
    <w:rsid w:val="004561B6"/>
    <w:rsid w:val="004561F3"/>
    <w:rsid w:val="0045621C"/>
    <w:rsid w:val="00456234"/>
    <w:rsid w:val="0045623F"/>
    <w:rsid w:val="00456279"/>
    <w:rsid w:val="0045627D"/>
    <w:rsid w:val="00456298"/>
    <w:rsid w:val="004562DD"/>
    <w:rsid w:val="004562F3"/>
    <w:rsid w:val="004562F8"/>
    <w:rsid w:val="0045630C"/>
    <w:rsid w:val="0045634C"/>
    <w:rsid w:val="00456390"/>
    <w:rsid w:val="004563F8"/>
    <w:rsid w:val="00456410"/>
    <w:rsid w:val="0045642E"/>
    <w:rsid w:val="00456498"/>
    <w:rsid w:val="004564D7"/>
    <w:rsid w:val="0045654C"/>
    <w:rsid w:val="004565B0"/>
    <w:rsid w:val="0045662F"/>
    <w:rsid w:val="00456647"/>
    <w:rsid w:val="00456687"/>
    <w:rsid w:val="004566B7"/>
    <w:rsid w:val="004566D5"/>
    <w:rsid w:val="00456709"/>
    <w:rsid w:val="0045671A"/>
    <w:rsid w:val="00456757"/>
    <w:rsid w:val="0045676C"/>
    <w:rsid w:val="004567A1"/>
    <w:rsid w:val="00456858"/>
    <w:rsid w:val="004568A7"/>
    <w:rsid w:val="004568B0"/>
    <w:rsid w:val="004568F6"/>
    <w:rsid w:val="00456914"/>
    <w:rsid w:val="00456957"/>
    <w:rsid w:val="0045695A"/>
    <w:rsid w:val="004569B4"/>
    <w:rsid w:val="004569C1"/>
    <w:rsid w:val="00456A28"/>
    <w:rsid w:val="00456A4B"/>
    <w:rsid w:val="00456A56"/>
    <w:rsid w:val="00456A94"/>
    <w:rsid w:val="00456ACE"/>
    <w:rsid w:val="00456AE1"/>
    <w:rsid w:val="00456AE9"/>
    <w:rsid w:val="00456B1E"/>
    <w:rsid w:val="00456B63"/>
    <w:rsid w:val="00456BB0"/>
    <w:rsid w:val="00456C2D"/>
    <w:rsid w:val="00456C81"/>
    <w:rsid w:val="00456CC2"/>
    <w:rsid w:val="00456D7D"/>
    <w:rsid w:val="00456D8E"/>
    <w:rsid w:val="00456E27"/>
    <w:rsid w:val="00456E34"/>
    <w:rsid w:val="00456F3B"/>
    <w:rsid w:val="00456FBD"/>
    <w:rsid w:val="004570D6"/>
    <w:rsid w:val="004570EC"/>
    <w:rsid w:val="004570F2"/>
    <w:rsid w:val="0045715F"/>
    <w:rsid w:val="00457191"/>
    <w:rsid w:val="004571D0"/>
    <w:rsid w:val="00457214"/>
    <w:rsid w:val="004572F1"/>
    <w:rsid w:val="0045739A"/>
    <w:rsid w:val="004573B3"/>
    <w:rsid w:val="004573E6"/>
    <w:rsid w:val="00457424"/>
    <w:rsid w:val="00457454"/>
    <w:rsid w:val="00457482"/>
    <w:rsid w:val="004574B4"/>
    <w:rsid w:val="00457510"/>
    <w:rsid w:val="0045751D"/>
    <w:rsid w:val="0045751F"/>
    <w:rsid w:val="004575E7"/>
    <w:rsid w:val="004575FA"/>
    <w:rsid w:val="00457640"/>
    <w:rsid w:val="00457659"/>
    <w:rsid w:val="004576E0"/>
    <w:rsid w:val="004576EA"/>
    <w:rsid w:val="004576F4"/>
    <w:rsid w:val="00457781"/>
    <w:rsid w:val="004577B1"/>
    <w:rsid w:val="004577BD"/>
    <w:rsid w:val="004577D3"/>
    <w:rsid w:val="00457829"/>
    <w:rsid w:val="0045785E"/>
    <w:rsid w:val="004578CA"/>
    <w:rsid w:val="004578DC"/>
    <w:rsid w:val="00457971"/>
    <w:rsid w:val="004579C8"/>
    <w:rsid w:val="00457A44"/>
    <w:rsid w:val="00457A58"/>
    <w:rsid w:val="00457A6B"/>
    <w:rsid w:val="00457AB7"/>
    <w:rsid w:val="00457AE5"/>
    <w:rsid w:val="00457B22"/>
    <w:rsid w:val="00457B41"/>
    <w:rsid w:val="00457B7D"/>
    <w:rsid w:val="00457BED"/>
    <w:rsid w:val="00457C37"/>
    <w:rsid w:val="00457CBB"/>
    <w:rsid w:val="00457D39"/>
    <w:rsid w:val="00457D93"/>
    <w:rsid w:val="00457DAF"/>
    <w:rsid w:val="00457DCD"/>
    <w:rsid w:val="00457E90"/>
    <w:rsid w:val="00457EAE"/>
    <w:rsid w:val="00457EAF"/>
    <w:rsid w:val="00457EB1"/>
    <w:rsid w:val="00457EC6"/>
    <w:rsid w:val="00457EEB"/>
    <w:rsid w:val="00457F03"/>
    <w:rsid w:val="00460084"/>
    <w:rsid w:val="00460179"/>
    <w:rsid w:val="004601C7"/>
    <w:rsid w:val="00460267"/>
    <w:rsid w:val="004602ED"/>
    <w:rsid w:val="004602FA"/>
    <w:rsid w:val="00460331"/>
    <w:rsid w:val="00460344"/>
    <w:rsid w:val="00460378"/>
    <w:rsid w:val="00460393"/>
    <w:rsid w:val="004603A5"/>
    <w:rsid w:val="004603ED"/>
    <w:rsid w:val="004604D6"/>
    <w:rsid w:val="004604D7"/>
    <w:rsid w:val="00460505"/>
    <w:rsid w:val="00460517"/>
    <w:rsid w:val="00460577"/>
    <w:rsid w:val="004605C0"/>
    <w:rsid w:val="00460617"/>
    <w:rsid w:val="0046063F"/>
    <w:rsid w:val="00460642"/>
    <w:rsid w:val="0046068F"/>
    <w:rsid w:val="00460690"/>
    <w:rsid w:val="004606FC"/>
    <w:rsid w:val="00460749"/>
    <w:rsid w:val="0046074C"/>
    <w:rsid w:val="00460799"/>
    <w:rsid w:val="004607AF"/>
    <w:rsid w:val="004607DA"/>
    <w:rsid w:val="004607DD"/>
    <w:rsid w:val="0046086A"/>
    <w:rsid w:val="0046087F"/>
    <w:rsid w:val="004608DB"/>
    <w:rsid w:val="0046095C"/>
    <w:rsid w:val="0046099C"/>
    <w:rsid w:val="004609B3"/>
    <w:rsid w:val="004609BD"/>
    <w:rsid w:val="004609E4"/>
    <w:rsid w:val="00460A1C"/>
    <w:rsid w:val="00460B1D"/>
    <w:rsid w:val="00460B37"/>
    <w:rsid w:val="00460B78"/>
    <w:rsid w:val="00460BBD"/>
    <w:rsid w:val="00460C8D"/>
    <w:rsid w:val="00460C90"/>
    <w:rsid w:val="00460C97"/>
    <w:rsid w:val="00460CE9"/>
    <w:rsid w:val="00460D01"/>
    <w:rsid w:val="00460D07"/>
    <w:rsid w:val="00460D3A"/>
    <w:rsid w:val="00460D3D"/>
    <w:rsid w:val="00460D99"/>
    <w:rsid w:val="00460DAB"/>
    <w:rsid w:val="00460EA6"/>
    <w:rsid w:val="00460F63"/>
    <w:rsid w:val="00460FE9"/>
    <w:rsid w:val="00461031"/>
    <w:rsid w:val="0046104C"/>
    <w:rsid w:val="00461059"/>
    <w:rsid w:val="004610C3"/>
    <w:rsid w:val="0046111B"/>
    <w:rsid w:val="004611A5"/>
    <w:rsid w:val="004611A6"/>
    <w:rsid w:val="004611F7"/>
    <w:rsid w:val="0046124E"/>
    <w:rsid w:val="0046128D"/>
    <w:rsid w:val="00461293"/>
    <w:rsid w:val="00461311"/>
    <w:rsid w:val="00461350"/>
    <w:rsid w:val="0046135E"/>
    <w:rsid w:val="00461388"/>
    <w:rsid w:val="00461397"/>
    <w:rsid w:val="004613D2"/>
    <w:rsid w:val="00461428"/>
    <w:rsid w:val="004614D7"/>
    <w:rsid w:val="004614E5"/>
    <w:rsid w:val="00461513"/>
    <w:rsid w:val="0046152F"/>
    <w:rsid w:val="0046157C"/>
    <w:rsid w:val="004615CD"/>
    <w:rsid w:val="004616B4"/>
    <w:rsid w:val="004616F0"/>
    <w:rsid w:val="00461729"/>
    <w:rsid w:val="00461734"/>
    <w:rsid w:val="0046173F"/>
    <w:rsid w:val="00461792"/>
    <w:rsid w:val="004617D9"/>
    <w:rsid w:val="0046185E"/>
    <w:rsid w:val="004618A0"/>
    <w:rsid w:val="004618CB"/>
    <w:rsid w:val="00461914"/>
    <w:rsid w:val="00461980"/>
    <w:rsid w:val="00461988"/>
    <w:rsid w:val="004619B3"/>
    <w:rsid w:val="004619CD"/>
    <w:rsid w:val="00461A27"/>
    <w:rsid w:val="00461A3D"/>
    <w:rsid w:val="00461A76"/>
    <w:rsid w:val="00461A9A"/>
    <w:rsid w:val="00461AE4"/>
    <w:rsid w:val="00461AF6"/>
    <w:rsid w:val="00461B0E"/>
    <w:rsid w:val="00461B28"/>
    <w:rsid w:val="00461BDF"/>
    <w:rsid w:val="00461C04"/>
    <w:rsid w:val="00461C1F"/>
    <w:rsid w:val="00461C4B"/>
    <w:rsid w:val="00461C51"/>
    <w:rsid w:val="00461C59"/>
    <w:rsid w:val="00461C67"/>
    <w:rsid w:val="00461C98"/>
    <w:rsid w:val="00461CC9"/>
    <w:rsid w:val="00461CE0"/>
    <w:rsid w:val="00461D4A"/>
    <w:rsid w:val="00461DE9"/>
    <w:rsid w:val="00461DF3"/>
    <w:rsid w:val="00461E0F"/>
    <w:rsid w:val="00461E2A"/>
    <w:rsid w:val="00461F64"/>
    <w:rsid w:val="00461F71"/>
    <w:rsid w:val="00461FD5"/>
    <w:rsid w:val="004620A1"/>
    <w:rsid w:val="004620B8"/>
    <w:rsid w:val="004620CA"/>
    <w:rsid w:val="004620E2"/>
    <w:rsid w:val="004620FF"/>
    <w:rsid w:val="00462185"/>
    <w:rsid w:val="00462193"/>
    <w:rsid w:val="004621B4"/>
    <w:rsid w:val="004621B5"/>
    <w:rsid w:val="004621BD"/>
    <w:rsid w:val="004621EE"/>
    <w:rsid w:val="004621F8"/>
    <w:rsid w:val="00462272"/>
    <w:rsid w:val="004622BA"/>
    <w:rsid w:val="004622F0"/>
    <w:rsid w:val="00462341"/>
    <w:rsid w:val="004623CF"/>
    <w:rsid w:val="004623F7"/>
    <w:rsid w:val="00462401"/>
    <w:rsid w:val="00462417"/>
    <w:rsid w:val="0046246F"/>
    <w:rsid w:val="00462471"/>
    <w:rsid w:val="00462511"/>
    <w:rsid w:val="00462533"/>
    <w:rsid w:val="00462587"/>
    <w:rsid w:val="004625F2"/>
    <w:rsid w:val="004626B3"/>
    <w:rsid w:val="004626C7"/>
    <w:rsid w:val="004626D8"/>
    <w:rsid w:val="004626F5"/>
    <w:rsid w:val="00462734"/>
    <w:rsid w:val="00462776"/>
    <w:rsid w:val="004627BE"/>
    <w:rsid w:val="004627F3"/>
    <w:rsid w:val="00462822"/>
    <w:rsid w:val="0046295B"/>
    <w:rsid w:val="00462988"/>
    <w:rsid w:val="00462A78"/>
    <w:rsid w:val="00462A79"/>
    <w:rsid w:val="00462AA6"/>
    <w:rsid w:val="00462AAD"/>
    <w:rsid w:val="00462AB1"/>
    <w:rsid w:val="00462B7B"/>
    <w:rsid w:val="00462BF3"/>
    <w:rsid w:val="00462C07"/>
    <w:rsid w:val="00462C16"/>
    <w:rsid w:val="00462C29"/>
    <w:rsid w:val="00462C79"/>
    <w:rsid w:val="00462CC0"/>
    <w:rsid w:val="00462D5E"/>
    <w:rsid w:val="00462E05"/>
    <w:rsid w:val="00462E1D"/>
    <w:rsid w:val="00462E4D"/>
    <w:rsid w:val="00462E9C"/>
    <w:rsid w:val="00462ED4"/>
    <w:rsid w:val="00462EDA"/>
    <w:rsid w:val="00462EF0"/>
    <w:rsid w:val="00462F03"/>
    <w:rsid w:val="00462F0A"/>
    <w:rsid w:val="00462F3E"/>
    <w:rsid w:val="00462F50"/>
    <w:rsid w:val="00462F59"/>
    <w:rsid w:val="00462F61"/>
    <w:rsid w:val="00462FCB"/>
    <w:rsid w:val="00463006"/>
    <w:rsid w:val="00463010"/>
    <w:rsid w:val="00463011"/>
    <w:rsid w:val="00463012"/>
    <w:rsid w:val="00463075"/>
    <w:rsid w:val="0046312A"/>
    <w:rsid w:val="00463179"/>
    <w:rsid w:val="004631D6"/>
    <w:rsid w:val="004631E7"/>
    <w:rsid w:val="004631FF"/>
    <w:rsid w:val="0046326E"/>
    <w:rsid w:val="0046335C"/>
    <w:rsid w:val="00463363"/>
    <w:rsid w:val="00463383"/>
    <w:rsid w:val="00463393"/>
    <w:rsid w:val="00463557"/>
    <w:rsid w:val="00463593"/>
    <w:rsid w:val="004635F8"/>
    <w:rsid w:val="004635F9"/>
    <w:rsid w:val="00463610"/>
    <w:rsid w:val="004636BD"/>
    <w:rsid w:val="0046371B"/>
    <w:rsid w:val="00463730"/>
    <w:rsid w:val="0046373A"/>
    <w:rsid w:val="00463763"/>
    <w:rsid w:val="00463765"/>
    <w:rsid w:val="00463790"/>
    <w:rsid w:val="0046379A"/>
    <w:rsid w:val="004637AB"/>
    <w:rsid w:val="004637C7"/>
    <w:rsid w:val="00463831"/>
    <w:rsid w:val="00463839"/>
    <w:rsid w:val="0046383F"/>
    <w:rsid w:val="00463873"/>
    <w:rsid w:val="00463876"/>
    <w:rsid w:val="004638FE"/>
    <w:rsid w:val="00463934"/>
    <w:rsid w:val="004639C0"/>
    <w:rsid w:val="004639C8"/>
    <w:rsid w:val="00463A1F"/>
    <w:rsid w:val="00463A78"/>
    <w:rsid w:val="00463AB3"/>
    <w:rsid w:val="00463ABE"/>
    <w:rsid w:val="00463AC6"/>
    <w:rsid w:val="00463AE1"/>
    <w:rsid w:val="00463AF3"/>
    <w:rsid w:val="00463B13"/>
    <w:rsid w:val="00463B34"/>
    <w:rsid w:val="00463B9C"/>
    <w:rsid w:val="00463BC8"/>
    <w:rsid w:val="00463BEA"/>
    <w:rsid w:val="00463C26"/>
    <w:rsid w:val="00463C9C"/>
    <w:rsid w:val="00463CDB"/>
    <w:rsid w:val="00463DB8"/>
    <w:rsid w:val="00463DDF"/>
    <w:rsid w:val="00463DE4"/>
    <w:rsid w:val="00463EAB"/>
    <w:rsid w:val="00463EC5"/>
    <w:rsid w:val="00463F34"/>
    <w:rsid w:val="00463F56"/>
    <w:rsid w:val="00463F76"/>
    <w:rsid w:val="00463F87"/>
    <w:rsid w:val="0046404E"/>
    <w:rsid w:val="004640ED"/>
    <w:rsid w:val="00464108"/>
    <w:rsid w:val="00464184"/>
    <w:rsid w:val="004641A8"/>
    <w:rsid w:val="004641B6"/>
    <w:rsid w:val="004641E3"/>
    <w:rsid w:val="0046426F"/>
    <w:rsid w:val="004642FB"/>
    <w:rsid w:val="00464319"/>
    <w:rsid w:val="00464324"/>
    <w:rsid w:val="00464354"/>
    <w:rsid w:val="0046439A"/>
    <w:rsid w:val="004643CD"/>
    <w:rsid w:val="004643FC"/>
    <w:rsid w:val="004643FE"/>
    <w:rsid w:val="00464450"/>
    <w:rsid w:val="00464463"/>
    <w:rsid w:val="0046446C"/>
    <w:rsid w:val="004644AE"/>
    <w:rsid w:val="0046456B"/>
    <w:rsid w:val="004645BC"/>
    <w:rsid w:val="00464619"/>
    <w:rsid w:val="0046462E"/>
    <w:rsid w:val="00464641"/>
    <w:rsid w:val="00464650"/>
    <w:rsid w:val="00464662"/>
    <w:rsid w:val="004646E2"/>
    <w:rsid w:val="0046470A"/>
    <w:rsid w:val="00464714"/>
    <w:rsid w:val="0046473A"/>
    <w:rsid w:val="00464835"/>
    <w:rsid w:val="004648C9"/>
    <w:rsid w:val="00464916"/>
    <w:rsid w:val="0046492D"/>
    <w:rsid w:val="00464940"/>
    <w:rsid w:val="00464981"/>
    <w:rsid w:val="004649CB"/>
    <w:rsid w:val="004649E1"/>
    <w:rsid w:val="00464A26"/>
    <w:rsid w:val="00464A5E"/>
    <w:rsid w:val="00464AAD"/>
    <w:rsid w:val="00464B1F"/>
    <w:rsid w:val="00464B65"/>
    <w:rsid w:val="00464B74"/>
    <w:rsid w:val="00464B93"/>
    <w:rsid w:val="00464BC7"/>
    <w:rsid w:val="00464C1C"/>
    <w:rsid w:val="00464C34"/>
    <w:rsid w:val="00464CFB"/>
    <w:rsid w:val="00464D20"/>
    <w:rsid w:val="00464D6E"/>
    <w:rsid w:val="00464E05"/>
    <w:rsid w:val="00464E8F"/>
    <w:rsid w:val="00464EA9"/>
    <w:rsid w:val="00464F13"/>
    <w:rsid w:val="00464F22"/>
    <w:rsid w:val="00465004"/>
    <w:rsid w:val="00465014"/>
    <w:rsid w:val="00465022"/>
    <w:rsid w:val="00465028"/>
    <w:rsid w:val="0046507F"/>
    <w:rsid w:val="00465092"/>
    <w:rsid w:val="004650CF"/>
    <w:rsid w:val="00465118"/>
    <w:rsid w:val="0046511B"/>
    <w:rsid w:val="0046512E"/>
    <w:rsid w:val="00465174"/>
    <w:rsid w:val="004651DB"/>
    <w:rsid w:val="004651E8"/>
    <w:rsid w:val="00465247"/>
    <w:rsid w:val="004652D9"/>
    <w:rsid w:val="004652E6"/>
    <w:rsid w:val="004652EB"/>
    <w:rsid w:val="00465342"/>
    <w:rsid w:val="0046536E"/>
    <w:rsid w:val="0046539E"/>
    <w:rsid w:val="0046545A"/>
    <w:rsid w:val="004654BF"/>
    <w:rsid w:val="004654E3"/>
    <w:rsid w:val="004654EE"/>
    <w:rsid w:val="0046557E"/>
    <w:rsid w:val="00465590"/>
    <w:rsid w:val="0046559B"/>
    <w:rsid w:val="004655D9"/>
    <w:rsid w:val="004655E5"/>
    <w:rsid w:val="004655EB"/>
    <w:rsid w:val="004655EF"/>
    <w:rsid w:val="004655F0"/>
    <w:rsid w:val="00465651"/>
    <w:rsid w:val="00465657"/>
    <w:rsid w:val="00465712"/>
    <w:rsid w:val="00465731"/>
    <w:rsid w:val="004657A2"/>
    <w:rsid w:val="004657AB"/>
    <w:rsid w:val="004657E1"/>
    <w:rsid w:val="004657FE"/>
    <w:rsid w:val="00465872"/>
    <w:rsid w:val="00465896"/>
    <w:rsid w:val="004658A1"/>
    <w:rsid w:val="004658B6"/>
    <w:rsid w:val="004658BF"/>
    <w:rsid w:val="004658ED"/>
    <w:rsid w:val="004658F5"/>
    <w:rsid w:val="00465979"/>
    <w:rsid w:val="004659A0"/>
    <w:rsid w:val="004659FA"/>
    <w:rsid w:val="00465AA7"/>
    <w:rsid w:val="00465ADA"/>
    <w:rsid w:val="00465B05"/>
    <w:rsid w:val="00465B3E"/>
    <w:rsid w:val="00465B59"/>
    <w:rsid w:val="00465B77"/>
    <w:rsid w:val="00465BA4"/>
    <w:rsid w:val="00465BC5"/>
    <w:rsid w:val="00465BFA"/>
    <w:rsid w:val="00465C06"/>
    <w:rsid w:val="00465C2C"/>
    <w:rsid w:val="00465C4A"/>
    <w:rsid w:val="00465C5A"/>
    <w:rsid w:val="00465C5D"/>
    <w:rsid w:val="00465C8D"/>
    <w:rsid w:val="00465C93"/>
    <w:rsid w:val="00465CB2"/>
    <w:rsid w:val="00465CEA"/>
    <w:rsid w:val="00465CF0"/>
    <w:rsid w:val="00465D7A"/>
    <w:rsid w:val="00465DB9"/>
    <w:rsid w:val="00465E45"/>
    <w:rsid w:val="00465E61"/>
    <w:rsid w:val="00465F71"/>
    <w:rsid w:val="00465F7B"/>
    <w:rsid w:val="00465F8F"/>
    <w:rsid w:val="00465FFD"/>
    <w:rsid w:val="00466003"/>
    <w:rsid w:val="0046601F"/>
    <w:rsid w:val="0046603E"/>
    <w:rsid w:val="0046609B"/>
    <w:rsid w:val="004660AA"/>
    <w:rsid w:val="004660F4"/>
    <w:rsid w:val="0046613B"/>
    <w:rsid w:val="0046614C"/>
    <w:rsid w:val="004661BA"/>
    <w:rsid w:val="004661EE"/>
    <w:rsid w:val="004661F9"/>
    <w:rsid w:val="004661FA"/>
    <w:rsid w:val="00466244"/>
    <w:rsid w:val="004662A5"/>
    <w:rsid w:val="004662B6"/>
    <w:rsid w:val="004662C2"/>
    <w:rsid w:val="004662CA"/>
    <w:rsid w:val="004662F7"/>
    <w:rsid w:val="00466335"/>
    <w:rsid w:val="00466337"/>
    <w:rsid w:val="0046633A"/>
    <w:rsid w:val="0046633C"/>
    <w:rsid w:val="00466363"/>
    <w:rsid w:val="00466374"/>
    <w:rsid w:val="00466385"/>
    <w:rsid w:val="004663A8"/>
    <w:rsid w:val="004663B6"/>
    <w:rsid w:val="004663E3"/>
    <w:rsid w:val="00466401"/>
    <w:rsid w:val="0046646D"/>
    <w:rsid w:val="004664A3"/>
    <w:rsid w:val="004664C6"/>
    <w:rsid w:val="0046652C"/>
    <w:rsid w:val="00466563"/>
    <w:rsid w:val="004665E6"/>
    <w:rsid w:val="0046661A"/>
    <w:rsid w:val="0046663A"/>
    <w:rsid w:val="004666A0"/>
    <w:rsid w:val="00466758"/>
    <w:rsid w:val="00466792"/>
    <w:rsid w:val="004667AB"/>
    <w:rsid w:val="004667AC"/>
    <w:rsid w:val="004667D6"/>
    <w:rsid w:val="004667F4"/>
    <w:rsid w:val="0046683F"/>
    <w:rsid w:val="004668BD"/>
    <w:rsid w:val="004668FB"/>
    <w:rsid w:val="0046690B"/>
    <w:rsid w:val="00466910"/>
    <w:rsid w:val="00466956"/>
    <w:rsid w:val="004669C4"/>
    <w:rsid w:val="004669E7"/>
    <w:rsid w:val="004669F3"/>
    <w:rsid w:val="004669F6"/>
    <w:rsid w:val="00466A0A"/>
    <w:rsid w:val="00466AD5"/>
    <w:rsid w:val="00466B08"/>
    <w:rsid w:val="00466B52"/>
    <w:rsid w:val="00466B58"/>
    <w:rsid w:val="00466BE8"/>
    <w:rsid w:val="00466C5E"/>
    <w:rsid w:val="00466C6A"/>
    <w:rsid w:val="00466CAD"/>
    <w:rsid w:val="00466CDB"/>
    <w:rsid w:val="00466D03"/>
    <w:rsid w:val="00466D36"/>
    <w:rsid w:val="00466D39"/>
    <w:rsid w:val="00466D42"/>
    <w:rsid w:val="00466D55"/>
    <w:rsid w:val="00466D77"/>
    <w:rsid w:val="00466D95"/>
    <w:rsid w:val="00466E31"/>
    <w:rsid w:val="00466E60"/>
    <w:rsid w:val="00466E61"/>
    <w:rsid w:val="00466E6B"/>
    <w:rsid w:val="00466ECC"/>
    <w:rsid w:val="00466ED9"/>
    <w:rsid w:val="00466EEB"/>
    <w:rsid w:val="00466F4E"/>
    <w:rsid w:val="00466F70"/>
    <w:rsid w:val="00466F8C"/>
    <w:rsid w:val="00466FCB"/>
    <w:rsid w:val="00466FD6"/>
    <w:rsid w:val="00466FE5"/>
    <w:rsid w:val="00467010"/>
    <w:rsid w:val="00467046"/>
    <w:rsid w:val="0046707A"/>
    <w:rsid w:val="004670C5"/>
    <w:rsid w:val="004670D4"/>
    <w:rsid w:val="004670F3"/>
    <w:rsid w:val="004670FE"/>
    <w:rsid w:val="004671E3"/>
    <w:rsid w:val="004672BD"/>
    <w:rsid w:val="004672CD"/>
    <w:rsid w:val="004672E2"/>
    <w:rsid w:val="00467465"/>
    <w:rsid w:val="00467537"/>
    <w:rsid w:val="00467566"/>
    <w:rsid w:val="00467577"/>
    <w:rsid w:val="004676B2"/>
    <w:rsid w:val="0046770E"/>
    <w:rsid w:val="0046776B"/>
    <w:rsid w:val="0046777F"/>
    <w:rsid w:val="004677A7"/>
    <w:rsid w:val="0046782E"/>
    <w:rsid w:val="004678F0"/>
    <w:rsid w:val="00467912"/>
    <w:rsid w:val="0046792A"/>
    <w:rsid w:val="0046797C"/>
    <w:rsid w:val="00467A0B"/>
    <w:rsid w:val="00467A6B"/>
    <w:rsid w:val="00467A85"/>
    <w:rsid w:val="00467A91"/>
    <w:rsid w:val="00467AE7"/>
    <w:rsid w:val="00467B54"/>
    <w:rsid w:val="00467B6F"/>
    <w:rsid w:val="00467C2A"/>
    <w:rsid w:val="00467C6E"/>
    <w:rsid w:val="00467CC6"/>
    <w:rsid w:val="00467D2A"/>
    <w:rsid w:val="00467EF7"/>
    <w:rsid w:val="00467F04"/>
    <w:rsid w:val="00467F16"/>
    <w:rsid w:val="00467F60"/>
    <w:rsid w:val="00467FD3"/>
    <w:rsid w:val="00467FE2"/>
    <w:rsid w:val="00470014"/>
    <w:rsid w:val="004700EA"/>
    <w:rsid w:val="00470125"/>
    <w:rsid w:val="00470150"/>
    <w:rsid w:val="004701C4"/>
    <w:rsid w:val="0047020C"/>
    <w:rsid w:val="00470331"/>
    <w:rsid w:val="0047033E"/>
    <w:rsid w:val="00470385"/>
    <w:rsid w:val="0047040E"/>
    <w:rsid w:val="00470413"/>
    <w:rsid w:val="0047041D"/>
    <w:rsid w:val="00470443"/>
    <w:rsid w:val="0047044A"/>
    <w:rsid w:val="004704A3"/>
    <w:rsid w:val="004704B5"/>
    <w:rsid w:val="0047051A"/>
    <w:rsid w:val="0047059C"/>
    <w:rsid w:val="004705EC"/>
    <w:rsid w:val="0047063B"/>
    <w:rsid w:val="0047063C"/>
    <w:rsid w:val="004706BA"/>
    <w:rsid w:val="004706F8"/>
    <w:rsid w:val="00470715"/>
    <w:rsid w:val="00470818"/>
    <w:rsid w:val="00470832"/>
    <w:rsid w:val="0047084B"/>
    <w:rsid w:val="00470891"/>
    <w:rsid w:val="004708E9"/>
    <w:rsid w:val="00470911"/>
    <w:rsid w:val="00470928"/>
    <w:rsid w:val="00470979"/>
    <w:rsid w:val="004709A5"/>
    <w:rsid w:val="004709AE"/>
    <w:rsid w:val="00470A40"/>
    <w:rsid w:val="00470A81"/>
    <w:rsid w:val="00470A9D"/>
    <w:rsid w:val="00470AE8"/>
    <w:rsid w:val="00470AF5"/>
    <w:rsid w:val="00470AF9"/>
    <w:rsid w:val="00470B3F"/>
    <w:rsid w:val="00470BA2"/>
    <w:rsid w:val="00470BDE"/>
    <w:rsid w:val="00470C13"/>
    <w:rsid w:val="00470C62"/>
    <w:rsid w:val="00470CAF"/>
    <w:rsid w:val="00470CD4"/>
    <w:rsid w:val="00470D4F"/>
    <w:rsid w:val="00470D56"/>
    <w:rsid w:val="00470D92"/>
    <w:rsid w:val="00470DA8"/>
    <w:rsid w:val="00470DCE"/>
    <w:rsid w:val="00470E21"/>
    <w:rsid w:val="00470E48"/>
    <w:rsid w:val="00470E5D"/>
    <w:rsid w:val="00470E9F"/>
    <w:rsid w:val="00470ED3"/>
    <w:rsid w:val="00470F01"/>
    <w:rsid w:val="00470F1B"/>
    <w:rsid w:val="00470F31"/>
    <w:rsid w:val="00470F33"/>
    <w:rsid w:val="00470F42"/>
    <w:rsid w:val="00470FAB"/>
    <w:rsid w:val="00471063"/>
    <w:rsid w:val="00471127"/>
    <w:rsid w:val="00471153"/>
    <w:rsid w:val="0047116E"/>
    <w:rsid w:val="004711C1"/>
    <w:rsid w:val="004711DB"/>
    <w:rsid w:val="004711FA"/>
    <w:rsid w:val="004711FC"/>
    <w:rsid w:val="004711FE"/>
    <w:rsid w:val="0047120B"/>
    <w:rsid w:val="00471252"/>
    <w:rsid w:val="00471277"/>
    <w:rsid w:val="0047127D"/>
    <w:rsid w:val="004712D2"/>
    <w:rsid w:val="004712EE"/>
    <w:rsid w:val="0047138A"/>
    <w:rsid w:val="004713A7"/>
    <w:rsid w:val="004713D1"/>
    <w:rsid w:val="004713E1"/>
    <w:rsid w:val="0047141A"/>
    <w:rsid w:val="00471462"/>
    <w:rsid w:val="0047146B"/>
    <w:rsid w:val="00471490"/>
    <w:rsid w:val="004714EE"/>
    <w:rsid w:val="00471528"/>
    <w:rsid w:val="00471545"/>
    <w:rsid w:val="0047154E"/>
    <w:rsid w:val="00471582"/>
    <w:rsid w:val="004715BD"/>
    <w:rsid w:val="004715E3"/>
    <w:rsid w:val="004715ED"/>
    <w:rsid w:val="004715F6"/>
    <w:rsid w:val="0047165D"/>
    <w:rsid w:val="00471663"/>
    <w:rsid w:val="0047167D"/>
    <w:rsid w:val="00471758"/>
    <w:rsid w:val="0047179B"/>
    <w:rsid w:val="00471808"/>
    <w:rsid w:val="00471859"/>
    <w:rsid w:val="00471876"/>
    <w:rsid w:val="0047187D"/>
    <w:rsid w:val="004718A4"/>
    <w:rsid w:val="004718AF"/>
    <w:rsid w:val="004718D0"/>
    <w:rsid w:val="004718E0"/>
    <w:rsid w:val="004718E6"/>
    <w:rsid w:val="0047195E"/>
    <w:rsid w:val="00471970"/>
    <w:rsid w:val="004719C9"/>
    <w:rsid w:val="004719ED"/>
    <w:rsid w:val="00471A38"/>
    <w:rsid w:val="00471A53"/>
    <w:rsid w:val="00471C2B"/>
    <w:rsid w:val="00471D00"/>
    <w:rsid w:val="00471D41"/>
    <w:rsid w:val="00471D50"/>
    <w:rsid w:val="00471D52"/>
    <w:rsid w:val="00471DBB"/>
    <w:rsid w:val="00471DCF"/>
    <w:rsid w:val="00471DE0"/>
    <w:rsid w:val="00471E12"/>
    <w:rsid w:val="00471E76"/>
    <w:rsid w:val="00471F27"/>
    <w:rsid w:val="00471F5C"/>
    <w:rsid w:val="00471F76"/>
    <w:rsid w:val="00471F96"/>
    <w:rsid w:val="00471FAE"/>
    <w:rsid w:val="00471FD5"/>
    <w:rsid w:val="00471FDC"/>
    <w:rsid w:val="0047200D"/>
    <w:rsid w:val="0047203E"/>
    <w:rsid w:val="0047204F"/>
    <w:rsid w:val="004720A8"/>
    <w:rsid w:val="00472117"/>
    <w:rsid w:val="00472118"/>
    <w:rsid w:val="00472122"/>
    <w:rsid w:val="00472136"/>
    <w:rsid w:val="00472206"/>
    <w:rsid w:val="00472251"/>
    <w:rsid w:val="00472291"/>
    <w:rsid w:val="00472368"/>
    <w:rsid w:val="0047239C"/>
    <w:rsid w:val="004723B0"/>
    <w:rsid w:val="004723BE"/>
    <w:rsid w:val="0047244C"/>
    <w:rsid w:val="00472472"/>
    <w:rsid w:val="00472485"/>
    <w:rsid w:val="00472490"/>
    <w:rsid w:val="004724E1"/>
    <w:rsid w:val="0047252B"/>
    <w:rsid w:val="00472534"/>
    <w:rsid w:val="0047258D"/>
    <w:rsid w:val="004725A4"/>
    <w:rsid w:val="004725C3"/>
    <w:rsid w:val="0047261C"/>
    <w:rsid w:val="00472672"/>
    <w:rsid w:val="004726BE"/>
    <w:rsid w:val="004726C8"/>
    <w:rsid w:val="004726F4"/>
    <w:rsid w:val="00472707"/>
    <w:rsid w:val="0047270B"/>
    <w:rsid w:val="00472746"/>
    <w:rsid w:val="00472798"/>
    <w:rsid w:val="004727BB"/>
    <w:rsid w:val="004727FD"/>
    <w:rsid w:val="00472832"/>
    <w:rsid w:val="0047289F"/>
    <w:rsid w:val="004728A2"/>
    <w:rsid w:val="004728A7"/>
    <w:rsid w:val="0047290F"/>
    <w:rsid w:val="00472937"/>
    <w:rsid w:val="00472941"/>
    <w:rsid w:val="00472967"/>
    <w:rsid w:val="00472A14"/>
    <w:rsid w:val="00472A15"/>
    <w:rsid w:val="00472A46"/>
    <w:rsid w:val="00472A5D"/>
    <w:rsid w:val="00472A64"/>
    <w:rsid w:val="00472A9D"/>
    <w:rsid w:val="00472B62"/>
    <w:rsid w:val="00472B6C"/>
    <w:rsid w:val="00472BFF"/>
    <w:rsid w:val="00472CA6"/>
    <w:rsid w:val="00472D16"/>
    <w:rsid w:val="00472D86"/>
    <w:rsid w:val="00472DD7"/>
    <w:rsid w:val="00472DDE"/>
    <w:rsid w:val="00472DDF"/>
    <w:rsid w:val="00472E0A"/>
    <w:rsid w:val="00472E33"/>
    <w:rsid w:val="00472E43"/>
    <w:rsid w:val="00472E64"/>
    <w:rsid w:val="00472E86"/>
    <w:rsid w:val="00472EC3"/>
    <w:rsid w:val="00472F1B"/>
    <w:rsid w:val="00472F65"/>
    <w:rsid w:val="00472F8C"/>
    <w:rsid w:val="0047300F"/>
    <w:rsid w:val="00473056"/>
    <w:rsid w:val="0047308D"/>
    <w:rsid w:val="0047309C"/>
    <w:rsid w:val="004730C3"/>
    <w:rsid w:val="004730E3"/>
    <w:rsid w:val="00473105"/>
    <w:rsid w:val="00473176"/>
    <w:rsid w:val="00473190"/>
    <w:rsid w:val="00473193"/>
    <w:rsid w:val="004731EF"/>
    <w:rsid w:val="00473227"/>
    <w:rsid w:val="0047323D"/>
    <w:rsid w:val="004732B9"/>
    <w:rsid w:val="00473300"/>
    <w:rsid w:val="00473310"/>
    <w:rsid w:val="00473333"/>
    <w:rsid w:val="0047335E"/>
    <w:rsid w:val="0047336B"/>
    <w:rsid w:val="004733BC"/>
    <w:rsid w:val="004733F5"/>
    <w:rsid w:val="004733FE"/>
    <w:rsid w:val="0047340A"/>
    <w:rsid w:val="00473410"/>
    <w:rsid w:val="00473412"/>
    <w:rsid w:val="0047341D"/>
    <w:rsid w:val="00473537"/>
    <w:rsid w:val="0047357F"/>
    <w:rsid w:val="00473594"/>
    <w:rsid w:val="004735A7"/>
    <w:rsid w:val="004735CB"/>
    <w:rsid w:val="00473677"/>
    <w:rsid w:val="0047369A"/>
    <w:rsid w:val="0047370B"/>
    <w:rsid w:val="00473867"/>
    <w:rsid w:val="004738F4"/>
    <w:rsid w:val="00473907"/>
    <w:rsid w:val="00473947"/>
    <w:rsid w:val="0047398B"/>
    <w:rsid w:val="00473A3A"/>
    <w:rsid w:val="00473A3D"/>
    <w:rsid w:val="00473ACC"/>
    <w:rsid w:val="00473AE6"/>
    <w:rsid w:val="00473B36"/>
    <w:rsid w:val="00473B4C"/>
    <w:rsid w:val="00473BAB"/>
    <w:rsid w:val="00473BD8"/>
    <w:rsid w:val="00473C60"/>
    <w:rsid w:val="00473C78"/>
    <w:rsid w:val="00473C8E"/>
    <w:rsid w:val="00473CB8"/>
    <w:rsid w:val="00473CCE"/>
    <w:rsid w:val="00473D35"/>
    <w:rsid w:val="00473D82"/>
    <w:rsid w:val="00473E6C"/>
    <w:rsid w:val="00473E7C"/>
    <w:rsid w:val="00473E95"/>
    <w:rsid w:val="00473EB7"/>
    <w:rsid w:val="00473EF6"/>
    <w:rsid w:val="00473F13"/>
    <w:rsid w:val="00473F48"/>
    <w:rsid w:val="00473F87"/>
    <w:rsid w:val="00473F93"/>
    <w:rsid w:val="00473FD8"/>
    <w:rsid w:val="00473FED"/>
    <w:rsid w:val="00474006"/>
    <w:rsid w:val="00474029"/>
    <w:rsid w:val="00474060"/>
    <w:rsid w:val="00474094"/>
    <w:rsid w:val="004740DC"/>
    <w:rsid w:val="004740E2"/>
    <w:rsid w:val="004740FC"/>
    <w:rsid w:val="00474135"/>
    <w:rsid w:val="0047415E"/>
    <w:rsid w:val="00474175"/>
    <w:rsid w:val="00474204"/>
    <w:rsid w:val="00474219"/>
    <w:rsid w:val="004742B3"/>
    <w:rsid w:val="004742EF"/>
    <w:rsid w:val="00474343"/>
    <w:rsid w:val="0047435D"/>
    <w:rsid w:val="004743E5"/>
    <w:rsid w:val="004743F2"/>
    <w:rsid w:val="004743F4"/>
    <w:rsid w:val="00474425"/>
    <w:rsid w:val="00474448"/>
    <w:rsid w:val="0047447B"/>
    <w:rsid w:val="004744B6"/>
    <w:rsid w:val="004744BD"/>
    <w:rsid w:val="004744CD"/>
    <w:rsid w:val="0047451E"/>
    <w:rsid w:val="0047454A"/>
    <w:rsid w:val="0047454E"/>
    <w:rsid w:val="00474599"/>
    <w:rsid w:val="00474660"/>
    <w:rsid w:val="004746D5"/>
    <w:rsid w:val="0047470A"/>
    <w:rsid w:val="00474716"/>
    <w:rsid w:val="0047474C"/>
    <w:rsid w:val="00474768"/>
    <w:rsid w:val="004747C0"/>
    <w:rsid w:val="004747D5"/>
    <w:rsid w:val="0047484D"/>
    <w:rsid w:val="00474893"/>
    <w:rsid w:val="004748CE"/>
    <w:rsid w:val="004748E4"/>
    <w:rsid w:val="00474969"/>
    <w:rsid w:val="004749F3"/>
    <w:rsid w:val="00474A01"/>
    <w:rsid w:val="00474A34"/>
    <w:rsid w:val="00474AA7"/>
    <w:rsid w:val="00474AC8"/>
    <w:rsid w:val="00474B40"/>
    <w:rsid w:val="00474B57"/>
    <w:rsid w:val="00474C30"/>
    <w:rsid w:val="00474C37"/>
    <w:rsid w:val="00474C69"/>
    <w:rsid w:val="00474C97"/>
    <w:rsid w:val="00474C99"/>
    <w:rsid w:val="00474CAC"/>
    <w:rsid w:val="00474D41"/>
    <w:rsid w:val="00474D42"/>
    <w:rsid w:val="00474D49"/>
    <w:rsid w:val="00474D68"/>
    <w:rsid w:val="00474DA3"/>
    <w:rsid w:val="00474DB4"/>
    <w:rsid w:val="00474DCD"/>
    <w:rsid w:val="00474DD5"/>
    <w:rsid w:val="00474E6D"/>
    <w:rsid w:val="00474EA5"/>
    <w:rsid w:val="00474ED7"/>
    <w:rsid w:val="00474EE3"/>
    <w:rsid w:val="00474F19"/>
    <w:rsid w:val="00474F33"/>
    <w:rsid w:val="00474F57"/>
    <w:rsid w:val="00474F5C"/>
    <w:rsid w:val="00474FA1"/>
    <w:rsid w:val="00474FA3"/>
    <w:rsid w:val="00474FAB"/>
    <w:rsid w:val="0047500D"/>
    <w:rsid w:val="00475032"/>
    <w:rsid w:val="004750CA"/>
    <w:rsid w:val="0047513D"/>
    <w:rsid w:val="0047516D"/>
    <w:rsid w:val="00475196"/>
    <w:rsid w:val="00475235"/>
    <w:rsid w:val="0047524E"/>
    <w:rsid w:val="0047527B"/>
    <w:rsid w:val="00475339"/>
    <w:rsid w:val="0047536A"/>
    <w:rsid w:val="00475390"/>
    <w:rsid w:val="004753AD"/>
    <w:rsid w:val="004753E1"/>
    <w:rsid w:val="0047540F"/>
    <w:rsid w:val="00475446"/>
    <w:rsid w:val="00475472"/>
    <w:rsid w:val="0047550D"/>
    <w:rsid w:val="00475520"/>
    <w:rsid w:val="0047553B"/>
    <w:rsid w:val="00475554"/>
    <w:rsid w:val="00475568"/>
    <w:rsid w:val="004755AC"/>
    <w:rsid w:val="004755CD"/>
    <w:rsid w:val="004755D6"/>
    <w:rsid w:val="004756A1"/>
    <w:rsid w:val="004756BA"/>
    <w:rsid w:val="0047570E"/>
    <w:rsid w:val="0047573A"/>
    <w:rsid w:val="004757A7"/>
    <w:rsid w:val="004757FC"/>
    <w:rsid w:val="00475800"/>
    <w:rsid w:val="0047580F"/>
    <w:rsid w:val="00475857"/>
    <w:rsid w:val="0047589D"/>
    <w:rsid w:val="004758B0"/>
    <w:rsid w:val="004758C1"/>
    <w:rsid w:val="004758EC"/>
    <w:rsid w:val="00475A09"/>
    <w:rsid w:val="00475A47"/>
    <w:rsid w:val="00475ABD"/>
    <w:rsid w:val="00475AC0"/>
    <w:rsid w:val="00475AC7"/>
    <w:rsid w:val="00475AE2"/>
    <w:rsid w:val="00475AEE"/>
    <w:rsid w:val="00475AEF"/>
    <w:rsid w:val="00475BE9"/>
    <w:rsid w:val="00475C2D"/>
    <w:rsid w:val="00475C82"/>
    <w:rsid w:val="00475C9D"/>
    <w:rsid w:val="00475CBC"/>
    <w:rsid w:val="00475CDB"/>
    <w:rsid w:val="00475D09"/>
    <w:rsid w:val="00475D2F"/>
    <w:rsid w:val="00475D50"/>
    <w:rsid w:val="00475D52"/>
    <w:rsid w:val="00475D5F"/>
    <w:rsid w:val="00475D81"/>
    <w:rsid w:val="00475D8B"/>
    <w:rsid w:val="00475D8F"/>
    <w:rsid w:val="00475DCA"/>
    <w:rsid w:val="00475EC3"/>
    <w:rsid w:val="00475EEF"/>
    <w:rsid w:val="00475F24"/>
    <w:rsid w:val="00475FB7"/>
    <w:rsid w:val="00475FC6"/>
    <w:rsid w:val="00476032"/>
    <w:rsid w:val="00476071"/>
    <w:rsid w:val="00476084"/>
    <w:rsid w:val="0047611B"/>
    <w:rsid w:val="0047612D"/>
    <w:rsid w:val="004761A0"/>
    <w:rsid w:val="004761AB"/>
    <w:rsid w:val="0047622C"/>
    <w:rsid w:val="0047626A"/>
    <w:rsid w:val="0047626C"/>
    <w:rsid w:val="0047626E"/>
    <w:rsid w:val="00476285"/>
    <w:rsid w:val="004762A8"/>
    <w:rsid w:val="004762D2"/>
    <w:rsid w:val="00476381"/>
    <w:rsid w:val="0047639D"/>
    <w:rsid w:val="004763A7"/>
    <w:rsid w:val="00476439"/>
    <w:rsid w:val="00476442"/>
    <w:rsid w:val="0047645B"/>
    <w:rsid w:val="00476524"/>
    <w:rsid w:val="0047652E"/>
    <w:rsid w:val="0047655C"/>
    <w:rsid w:val="00476568"/>
    <w:rsid w:val="004765E9"/>
    <w:rsid w:val="00476664"/>
    <w:rsid w:val="0047669A"/>
    <w:rsid w:val="004766D1"/>
    <w:rsid w:val="004766E9"/>
    <w:rsid w:val="0047677A"/>
    <w:rsid w:val="00476790"/>
    <w:rsid w:val="004767AE"/>
    <w:rsid w:val="004767B9"/>
    <w:rsid w:val="00476811"/>
    <w:rsid w:val="00476818"/>
    <w:rsid w:val="00476833"/>
    <w:rsid w:val="00476889"/>
    <w:rsid w:val="004768B5"/>
    <w:rsid w:val="004768C7"/>
    <w:rsid w:val="004768FC"/>
    <w:rsid w:val="00476933"/>
    <w:rsid w:val="00476999"/>
    <w:rsid w:val="004769BE"/>
    <w:rsid w:val="004769D3"/>
    <w:rsid w:val="004769FF"/>
    <w:rsid w:val="00476A00"/>
    <w:rsid w:val="00476A07"/>
    <w:rsid w:val="00476A1B"/>
    <w:rsid w:val="00476AB9"/>
    <w:rsid w:val="00476AC9"/>
    <w:rsid w:val="00476B10"/>
    <w:rsid w:val="00476B2C"/>
    <w:rsid w:val="00476B33"/>
    <w:rsid w:val="00476B6B"/>
    <w:rsid w:val="00476B76"/>
    <w:rsid w:val="00476BA8"/>
    <w:rsid w:val="00476BCD"/>
    <w:rsid w:val="00476BE8"/>
    <w:rsid w:val="00476C3E"/>
    <w:rsid w:val="00476D8F"/>
    <w:rsid w:val="00476D92"/>
    <w:rsid w:val="00476DA1"/>
    <w:rsid w:val="00476E15"/>
    <w:rsid w:val="00476E8A"/>
    <w:rsid w:val="00476EB1"/>
    <w:rsid w:val="00476EBE"/>
    <w:rsid w:val="00476EC7"/>
    <w:rsid w:val="00476F73"/>
    <w:rsid w:val="004770A0"/>
    <w:rsid w:val="004770A2"/>
    <w:rsid w:val="004770B0"/>
    <w:rsid w:val="004770B8"/>
    <w:rsid w:val="0047710E"/>
    <w:rsid w:val="0047711F"/>
    <w:rsid w:val="00477176"/>
    <w:rsid w:val="00477180"/>
    <w:rsid w:val="00477239"/>
    <w:rsid w:val="0047727D"/>
    <w:rsid w:val="004772D2"/>
    <w:rsid w:val="004772F6"/>
    <w:rsid w:val="00477322"/>
    <w:rsid w:val="0047735A"/>
    <w:rsid w:val="00477402"/>
    <w:rsid w:val="00477429"/>
    <w:rsid w:val="004774BC"/>
    <w:rsid w:val="004774F1"/>
    <w:rsid w:val="0047756D"/>
    <w:rsid w:val="0047759B"/>
    <w:rsid w:val="004775B9"/>
    <w:rsid w:val="004775CF"/>
    <w:rsid w:val="004775DF"/>
    <w:rsid w:val="004775E6"/>
    <w:rsid w:val="004775FC"/>
    <w:rsid w:val="00477616"/>
    <w:rsid w:val="00477635"/>
    <w:rsid w:val="004776AC"/>
    <w:rsid w:val="004776BD"/>
    <w:rsid w:val="004776DB"/>
    <w:rsid w:val="00477701"/>
    <w:rsid w:val="00477729"/>
    <w:rsid w:val="004777B6"/>
    <w:rsid w:val="004777D4"/>
    <w:rsid w:val="004777D8"/>
    <w:rsid w:val="0047786D"/>
    <w:rsid w:val="004778F4"/>
    <w:rsid w:val="00477934"/>
    <w:rsid w:val="00477A6A"/>
    <w:rsid w:val="00477AD1"/>
    <w:rsid w:val="00477B0F"/>
    <w:rsid w:val="00477B2E"/>
    <w:rsid w:val="00477B5C"/>
    <w:rsid w:val="00477B76"/>
    <w:rsid w:val="00477C3A"/>
    <w:rsid w:val="00477C93"/>
    <w:rsid w:val="00477C9A"/>
    <w:rsid w:val="00477C9E"/>
    <w:rsid w:val="00477CE0"/>
    <w:rsid w:val="00477CFF"/>
    <w:rsid w:val="00477D3F"/>
    <w:rsid w:val="00477D48"/>
    <w:rsid w:val="00477D72"/>
    <w:rsid w:val="00477D95"/>
    <w:rsid w:val="00477E32"/>
    <w:rsid w:val="00477E7A"/>
    <w:rsid w:val="00477EE2"/>
    <w:rsid w:val="00477F1B"/>
    <w:rsid w:val="00477F71"/>
    <w:rsid w:val="00477F79"/>
    <w:rsid w:val="00480009"/>
    <w:rsid w:val="0048000A"/>
    <w:rsid w:val="00480025"/>
    <w:rsid w:val="00480042"/>
    <w:rsid w:val="00480045"/>
    <w:rsid w:val="004800A7"/>
    <w:rsid w:val="0048013C"/>
    <w:rsid w:val="0048017F"/>
    <w:rsid w:val="00480187"/>
    <w:rsid w:val="00480226"/>
    <w:rsid w:val="004802A9"/>
    <w:rsid w:val="004802E9"/>
    <w:rsid w:val="00480306"/>
    <w:rsid w:val="0048031A"/>
    <w:rsid w:val="0048035E"/>
    <w:rsid w:val="004803E3"/>
    <w:rsid w:val="004804E6"/>
    <w:rsid w:val="0048053E"/>
    <w:rsid w:val="00480552"/>
    <w:rsid w:val="004805BB"/>
    <w:rsid w:val="004805E4"/>
    <w:rsid w:val="00480625"/>
    <w:rsid w:val="0048069F"/>
    <w:rsid w:val="004806F7"/>
    <w:rsid w:val="004806F8"/>
    <w:rsid w:val="00480729"/>
    <w:rsid w:val="0048073E"/>
    <w:rsid w:val="004807D8"/>
    <w:rsid w:val="004808EB"/>
    <w:rsid w:val="0048094F"/>
    <w:rsid w:val="004809B5"/>
    <w:rsid w:val="004809C2"/>
    <w:rsid w:val="004809D1"/>
    <w:rsid w:val="00480A04"/>
    <w:rsid w:val="00480A66"/>
    <w:rsid w:val="00480A8D"/>
    <w:rsid w:val="00480AB8"/>
    <w:rsid w:val="00480BD3"/>
    <w:rsid w:val="00480BEA"/>
    <w:rsid w:val="00480C03"/>
    <w:rsid w:val="00480C39"/>
    <w:rsid w:val="00480C74"/>
    <w:rsid w:val="00480C80"/>
    <w:rsid w:val="00480CC6"/>
    <w:rsid w:val="00480CE4"/>
    <w:rsid w:val="00480CF7"/>
    <w:rsid w:val="00480D30"/>
    <w:rsid w:val="00480D5A"/>
    <w:rsid w:val="00480D9D"/>
    <w:rsid w:val="00480DB1"/>
    <w:rsid w:val="00480E32"/>
    <w:rsid w:val="00480F07"/>
    <w:rsid w:val="00480F5A"/>
    <w:rsid w:val="0048105A"/>
    <w:rsid w:val="00481061"/>
    <w:rsid w:val="00481097"/>
    <w:rsid w:val="004810A8"/>
    <w:rsid w:val="00481131"/>
    <w:rsid w:val="00481176"/>
    <w:rsid w:val="004811A7"/>
    <w:rsid w:val="004811F9"/>
    <w:rsid w:val="00481210"/>
    <w:rsid w:val="00481253"/>
    <w:rsid w:val="0048126E"/>
    <w:rsid w:val="00481273"/>
    <w:rsid w:val="0048128C"/>
    <w:rsid w:val="004812D8"/>
    <w:rsid w:val="0048130C"/>
    <w:rsid w:val="00481356"/>
    <w:rsid w:val="004813E0"/>
    <w:rsid w:val="004813F7"/>
    <w:rsid w:val="00481407"/>
    <w:rsid w:val="0048142D"/>
    <w:rsid w:val="00481438"/>
    <w:rsid w:val="004814B8"/>
    <w:rsid w:val="004814CF"/>
    <w:rsid w:val="004814D3"/>
    <w:rsid w:val="004814F8"/>
    <w:rsid w:val="004815DA"/>
    <w:rsid w:val="004815E4"/>
    <w:rsid w:val="0048163F"/>
    <w:rsid w:val="00481676"/>
    <w:rsid w:val="00481728"/>
    <w:rsid w:val="0048174F"/>
    <w:rsid w:val="00481770"/>
    <w:rsid w:val="004817A3"/>
    <w:rsid w:val="004817A6"/>
    <w:rsid w:val="004817D7"/>
    <w:rsid w:val="004817F0"/>
    <w:rsid w:val="00481843"/>
    <w:rsid w:val="00481871"/>
    <w:rsid w:val="004818AF"/>
    <w:rsid w:val="004818F9"/>
    <w:rsid w:val="0048197D"/>
    <w:rsid w:val="0048199E"/>
    <w:rsid w:val="004819DD"/>
    <w:rsid w:val="004819FD"/>
    <w:rsid w:val="00481A21"/>
    <w:rsid w:val="00481AEC"/>
    <w:rsid w:val="00481B0D"/>
    <w:rsid w:val="00481B33"/>
    <w:rsid w:val="00481B57"/>
    <w:rsid w:val="00481B5E"/>
    <w:rsid w:val="00481B98"/>
    <w:rsid w:val="00481BC6"/>
    <w:rsid w:val="00481BEC"/>
    <w:rsid w:val="00481C01"/>
    <w:rsid w:val="00481C30"/>
    <w:rsid w:val="00481C41"/>
    <w:rsid w:val="00481C95"/>
    <w:rsid w:val="00481CAF"/>
    <w:rsid w:val="00481CCC"/>
    <w:rsid w:val="00481D0A"/>
    <w:rsid w:val="00481D28"/>
    <w:rsid w:val="00481DA4"/>
    <w:rsid w:val="00481DA6"/>
    <w:rsid w:val="00481E4B"/>
    <w:rsid w:val="00481EE2"/>
    <w:rsid w:val="00481F05"/>
    <w:rsid w:val="00481F1B"/>
    <w:rsid w:val="00481F56"/>
    <w:rsid w:val="00481FC1"/>
    <w:rsid w:val="00481FC6"/>
    <w:rsid w:val="00482006"/>
    <w:rsid w:val="004820B8"/>
    <w:rsid w:val="004820BD"/>
    <w:rsid w:val="004820D2"/>
    <w:rsid w:val="00482113"/>
    <w:rsid w:val="004821A5"/>
    <w:rsid w:val="004821D0"/>
    <w:rsid w:val="004821F0"/>
    <w:rsid w:val="00482250"/>
    <w:rsid w:val="00482288"/>
    <w:rsid w:val="00482353"/>
    <w:rsid w:val="004823CF"/>
    <w:rsid w:val="00482457"/>
    <w:rsid w:val="00482526"/>
    <w:rsid w:val="00482527"/>
    <w:rsid w:val="00482538"/>
    <w:rsid w:val="004825AC"/>
    <w:rsid w:val="0048263F"/>
    <w:rsid w:val="00482654"/>
    <w:rsid w:val="00482697"/>
    <w:rsid w:val="0048269B"/>
    <w:rsid w:val="0048276E"/>
    <w:rsid w:val="00482787"/>
    <w:rsid w:val="0048279C"/>
    <w:rsid w:val="004827A0"/>
    <w:rsid w:val="004827F6"/>
    <w:rsid w:val="00482854"/>
    <w:rsid w:val="004828FE"/>
    <w:rsid w:val="00482901"/>
    <w:rsid w:val="0048290D"/>
    <w:rsid w:val="00482944"/>
    <w:rsid w:val="004829D6"/>
    <w:rsid w:val="00482A5A"/>
    <w:rsid w:val="00482A75"/>
    <w:rsid w:val="00482A77"/>
    <w:rsid w:val="00482A78"/>
    <w:rsid w:val="00482A79"/>
    <w:rsid w:val="00482AD5"/>
    <w:rsid w:val="00482B84"/>
    <w:rsid w:val="00482B8E"/>
    <w:rsid w:val="00482BAC"/>
    <w:rsid w:val="00482BD1"/>
    <w:rsid w:val="00482BE8"/>
    <w:rsid w:val="00482C1F"/>
    <w:rsid w:val="00482C8E"/>
    <w:rsid w:val="00482C9C"/>
    <w:rsid w:val="00482D59"/>
    <w:rsid w:val="00482D6C"/>
    <w:rsid w:val="00482DB4"/>
    <w:rsid w:val="00482DEE"/>
    <w:rsid w:val="00482E26"/>
    <w:rsid w:val="00482E50"/>
    <w:rsid w:val="00482E69"/>
    <w:rsid w:val="00482ED1"/>
    <w:rsid w:val="00482F32"/>
    <w:rsid w:val="00482F70"/>
    <w:rsid w:val="00482F79"/>
    <w:rsid w:val="004830C3"/>
    <w:rsid w:val="004830CA"/>
    <w:rsid w:val="004830ED"/>
    <w:rsid w:val="004831F3"/>
    <w:rsid w:val="00483217"/>
    <w:rsid w:val="00483282"/>
    <w:rsid w:val="004832EE"/>
    <w:rsid w:val="00483313"/>
    <w:rsid w:val="00483340"/>
    <w:rsid w:val="004833A0"/>
    <w:rsid w:val="004833E8"/>
    <w:rsid w:val="004833EB"/>
    <w:rsid w:val="004833F7"/>
    <w:rsid w:val="004833F9"/>
    <w:rsid w:val="00483440"/>
    <w:rsid w:val="00483548"/>
    <w:rsid w:val="00483559"/>
    <w:rsid w:val="004835EE"/>
    <w:rsid w:val="00483681"/>
    <w:rsid w:val="004836B9"/>
    <w:rsid w:val="004836EC"/>
    <w:rsid w:val="004836ED"/>
    <w:rsid w:val="00483744"/>
    <w:rsid w:val="00483762"/>
    <w:rsid w:val="004837F3"/>
    <w:rsid w:val="0048380B"/>
    <w:rsid w:val="00483838"/>
    <w:rsid w:val="0048388C"/>
    <w:rsid w:val="0048391B"/>
    <w:rsid w:val="00483969"/>
    <w:rsid w:val="004839C7"/>
    <w:rsid w:val="004839E3"/>
    <w:rsid w:val="004839F1"/>
    <w:rsid w:val="00483A68"/>
    <w:rsid w:val="00483AA5"/>
    <w:rsid w:val="00483ABA"/>
    <w:rsid w:val="00483B06"/>
    <w:rsid w:val="00483B1B"/>
    <w:rsid w:val="00483B3E"/>
    <w:rsid w:val="00483B49"/>
    <w:rsid w:val="00483B56"/>
    <w:rsid w:val="00483C2D"/>
    <w:rsid w:val="00483CAB"/>
    <w:rsid w:val="00483D2A"/>
    <w:rsid w:val="00483D6C"/>
    <w:rsid w:val="00483D84"/>
    <w:rsid w:val="00483DB8"/>
    <w:rsid w:val="00483DF4"/>
    <w:rsid w:val="00483E56"/>
    <w:rsid w:val="00483EBB"/>
    <w:rsid w:val="00483EC3"/>
    <w:rsid w:val="00483ECF"/>
    <w:rsid w:val="00483F76"/>
    <w:rsid w:val="00483FC4"/>
    <w:rsid w:val="00483FEE"/>
    <w:rsid w:val="00484038"/>
    <w:rsid w:val="0048405B"/>
    <w:rsid w:val="00484062"/>
    <w:rsid w:val="00484063"/>
    <w:rsid w:val="004840B7"/>
    <w:rsid w:val="00484123"/>
    <w:rsid w:val="0048412E"/>
    <w:rsid w:val="00484191"/>
    <w:rsid w:val="00484253"/>
    <w:rsid w:val="004842B8"/>
    <w:rsid w:val="004842F7"/>
    <w:rsid w:val="00484303"/>
    <w:rsid w:val="00484329"/>
    <w:rsid w:val="004843CC"/>
    <w:rsid w:val="00484431"/>
    <w:rsid w:val="0048443A"/>
    <w:rsid w:val="004844A8"/>
    <w:rsid w:val="004844D0"/>
    <w:rsid w:val="0048455B"/>
    <w:rsid w:val="004845A1"/>
    <w:rsid w:val="004845B0"/>
    <w:rsid w:val="00484618"/>
    <w:rsid w:val="00484629"/>
    <w:rsid w:val="0048463C"/>
    <w:rsid w:val="00484653"/>
    <w:rsid w:val="00484655"/>
    <w:rsid w:val="0048470D"/>
    <w:rsid w:val="004849DB"/>
    <w:rsid w:val="00484A1A"/>
    <w:rsid w:val="00484A1E"/>
    <w:rsid w:val="00484A85"/>
    <w:rsid w:val="00484A9E"/>
    <w:rsid w:val="00484AD8"/>
    <w:rsid w:val="00484AE4"/>
    <w:rsid w:val="00484AFB"/>
    <w:rsid w:val="00484B0A"/>
    <w:rsid w:val="00484B0B"/>
    <w:rsid w:val="00484B17"/>
    <w:rsid w:val="00484B32"/>
    <w:rsid w:val="00484B78"/>
    <w:rsid w:val="00484BAC"/>
    <w:rsid w:val="00484BAD"/>
    <w:rsid w:val="00484BB0"/>
    <w:rsid w:val="00484BB5"/>
    <w:rsid w:val="00484BC5"/>
    <w:rsid w:val="00484C28"/>
    <w:rsid w:val="00484D2D"/>
    <w:rsid w:val="00484DB0"/>
    <w:rsid w:val="00484DB2"/>
    <w:rsid w:val="00484E05"/>
    <w:rsid w:val="00484ED5"/>
    <w:rsid w:val="00484F15"/>
    <w:rsid w:val="00484F3B"/>
    <w:rsid w:val="00484F5F"/>
    <w:rsid w:val="00484FDE"/>
    <w:rsid w:val="00484FE6"/>
    <w:rsid w:val="00485068"/>
    <w:rsid w:val="00485069"/>
    <w:rsid w:val="00485150"/>
    <w:rsid w:val="004851BD"/>
    <w:rsid w:val="004851FA"/>
    <w:rsid w:val="00485213"/>
    <w:rsid w:val="00485278"/>
    <w:rsid w:val="0048534D"/>
    <w:rsid w:val="0048539F"/>
    <w:rsid w:val="0048542B"/>
    <w:rsid w:val="0048543C"/>
    <w:rsid w:val="00485488"/>
    <w:rsid w:val="00485550"/>
    <w:rsid w:val="0048555B"/>
    <w:rsid w:val="00485622"/>
    <w:rsid w:val="00485645"/>
    <w:rsid w:val="0048565D"/>
    <w:rsid w:val="0048575B"/>
    <w:rsid w:val="0048577A"/>
    <w:rsid w:val="0048578F"/>
    <w:rsid w:val="004857D3"/>
    <w:rsid w:val="004857DF"/>
    <w:rsid w:val="0048580A"/>
    <w:rsid w:val="00485850"/>
    <w:rsid w:val="00485864"/>
    <w:rsid w:val="00485876"/>
    <w:rsid w:val="0048587E"/>
    <w:rsid w:val="0048590C"/>
    <w:rsid w:val="00485937"/>
    <w:rsid w:val="00485965"/>
    <w:rsid w:val="0048598A"/>
    <w:rsid w:val="004859B0"/>
    <w:rsid w:val="004859D8"/>
    <w:rsid w:val="004859D9"/>
    <w:rsid w:val="004859EE"/>
    <w:rsid w:val="004859F4"/>
    <w:rsid w:val="00485A1C"/>
    <w:rsid w:val="00485A37"/>
    <w:rsid w:val="00485A63"/>
    <w:rsid w:val="00485B27"/>
    <w:rsid w:val="00485BBD"/>
    <w:rsid w:val="00485C01"/>
    <w:rsid w:val="00485C9D"/>
    <w:rsid w:val="00485D3A"/>
    <w:rsid w:val="00485D84"/>
    <w:rsid w:val="00485DDD"/>
    <w:rsid w:val="00485E00"/>
    <w:rsid w:val="00485E2C"/>
    <w:rsid w:val="00485E9E"/>
    <w:rsid w:val="00485EAF"/>
    <w:rsid w:val="00485EC3"/>
    <w:rsid w:val="00485F1C"/>
    <w:rsid w:val="0048603D"/>
    <w:rsid w:val="00486075"/>
    <w:rsid w:val="00486082"/>
    <w:rsid w:val="004860A6"/>
    <w:rsid w:val="004860EE"/>
    <w:rsid w:val="0048611A"/>
    <w:rsid w:val="00486147"/>
    <w:rsid w:val="0048619C"/>
    <w:rsid w:val="004861B3"/>
    <w:rsid w:val="004861BE"/>
    <w:rsid w:val="004861CA"/>
    <w:rsid w:val="0048620C"/>
    <w:rsid w:val="0048624A"/>
    <w:rsid w:val="004862B2"/>
    <w:rsid w:val="00486315"/>
    <w:rsid w:val="00486330"/>
    <w:rsid w:val="0048635A"/>
    <w:rsid w:val="004863DC"/>
    <w:rsid w:val="004864AF"/>
    <w:rsid w:val="004864B4"/>
    <w:rsid w:val="0048650A"/>
    <w:rsid w:val="00486650"/>
    <w:rsid w:val="00486673"/>
    <w:rsid w:val="004866BF"/>
    <w:rsid w:val="00486859"/>
    <w:rsid w:val="0048687F"/>
    <w:rsid w:val="0048688C"/>
    <w:rsid w:val="004868A7"/>
    <w:rsid w:val="004868AE"/>
    <w:rsid w:val="004868C2"/>
    <w:rsid w:val="00486923"/>
    <w:rsid w:val="0048692C"/>
    <w:rsid w:val="004869DF"/>
    <w:rsid w:val="00486A46"/>
    <w:rsid w:val="00486AFC"/>
    <w:rsid w:val="00486B01"/>
    <w:rsid w:val="00486B5F"/>
    <w:rsid w:val="00486BFB"/>
    <w:rsid w:val="00486BFD"/>
    <w:rsid w:val="00486C6D"/>
    <w:rsid w:val="00486CD6"/>
    <w:rsid w:val="00486CF6"/>
    <w:rsid w:val="00486D0F"/>
    <w:rsid w:val="00486D3C"/>
    <w:rsid w:val="00486D66"/>
    <w:rsid w:val="00486D68"/>
    <w:rsid w:val="00486D79"/>
    <w:rsid w:val="00486DAF"/>
    <w:rsid w:val="00486DC1"/>
    <w:rsid w:val="00486DC2"/>
    <w:rsid w:val="00486DE6"/>
    <w:rsid w:val="00486E13"/>
    <w:rsid w:val="00486E3C"/>
    <w:rsid w:val="00486E9D"/>
    <w:rsid w:val="00486F6D"/>
    <w:rsid w:val="00486F92"/>
    <w:rsid w:val="00486FB2"/>
    <w:rsid w:val="00486FB9"/>
    <w:rsid w:val="00486FC1"/>
    <w:rsid w:val="0048705F"/>
    <w:rsid w:val="00487062"/>
    <w:rsid w:val="00487083"/>
    <w:rsid w:val="004870BB"/>
    <w:rsid w:val="004870C6"/>
    <w:rsid w:val="0048710D"/>
    <w:rsid w:val="00487127"/>
    <w:rsid w:val="004871AE"/>
    <w:rsid w:val="004871C3"/>
    <w:rsid w:val="004871CD"/>
    <w:rsid w:val="0048722F"/>
    <w:rsid w:val="00487318"/>
    <w:rsid w:val="00487364"/>
    <w:rsid w:val="004873A0"/>
    <w:rsid w:val="004873EC"/>
    <w:rsid w:val="00487404"/>
    <w:rsid w:val="0048741C"/>
    <w:rsid w:val="00487424"/>
    <w:rsid w:val="0048745E"/>
    <w:rsid w:val="0048749C"/>
    <w:rsid w:val="004874AB"/>
    <w:rsid w:val="004874C4"/>
    <w:rsid w:val="004874C7"/>
    <w:rsid w:val="004874C9"/>
    <w:rsid w:val="004874E6"/>
    <w:rsid w:val="00487506"/>
    <w:rsid w:val="0048755E"/>
    <w:rsid w:val="0048757E"/>
    <w:rsid w:val="004875EF"/>
    <w:rsid w:val="00487687"/>
    <w:rsid w:val="00487722"/>
    <w:rsid w:val="00487732"/>
    <w:rsid w:val="0048776D"/>
    <w:rsid w:val="00487785"/>
    <w:rsid w:val="004877C2"/>
    <w:rsid w:val="004877CF"/>
    <w:rsid w:val="00487814"/>
    <w:rsid w:val="0048784F"/>
    <w:rsid w:val="00487879"/>
    <w:rsid w:val="004878B0"/>
    <w:rsid w:val="00487926"/>
    <w:rsid w:val="004879D5"/>
    <w:rsid w:val="00487A18"/>
    <w:rsid w:val="00487A90"/>
    <w:rsid w:val="00487AB6"/>
    <w:rsid w:val="00487ABE"/>
    <w:rsid w:val="00487AEC"/>
    <w:rsid w:val="00487B6A"/>
    <w:rsid w:val="00487BC6"/>
    <w:rsid w:val="00487BFE"/>
    <w:rsid w:val="00487C06"/>
    <w:rsid w:val="00487C1A"/>
    <w:rsid w:val="00487CF7"/>
    <w:rsid w:val="00487D1F"/>
    <w:rsid w:val="00487D44"/>
    <w:rsid w:val="00487DF8"/>
    <w:rsid w:val="00487E48"/>
    <w:rsid w:val="00487EA9"/>
    <w:rsid w:val="00487EAB"/>
    <w:rsid w:val="00487EB7"/>
    <w:rsid w:val="00487F1A"/>
    <w:rsid w:val="00490017"/>
    <w:rsid w:val="00490052"/>
    <w:rsid w:val="004900B4"/>
    <w:rsid w:val="00490125"/>
    <w:rsid w:val="00490142"/>
    <w:rsid w:val="0049016C"/>
    <w:rsid w:val="004901A2"/>
    <w:rsid w:val="004901B9"/>
    <w:rsid w:val="004901BB"/>
    <w:rsid w:val="004901F6"/>
    <w:rsid w:val="00490275"/>
    <w:rsid w:val="004902BD"/>
    <w:rsid w:val="00490307"/>
    <w:rsid w:val="00490316"/>
    <w:rsid w:val="00490319"/>
    <w:rsid w:val="00490351"/>
    <w:rsid w:val="0049039E"/>
    <w:rsid w:val="004903A8"/>
    <w:rsid w:val="004903D4"/>
    <w:rsid w:val="00490410"/>
    <w:rsid w:val="004904A6"/>
    <w:rsid w:val="004904EB"/>
    <w:rsid w:val="004904F6"/>
    <w:rsid w:val="0049057D"/>
    <w:rsid w:val="0049057E"/>
    <w:rsid w:val="00490594"/>
    <w:rsid w:val="00490626"/>
    <w:rsid w:val="0049067E"/>
    <w:rsid w:val="00490687"/>
    <w:rsid w:val="00490738"/>
    <w:rsid w:val="00490779"/>
    <w:rsid w:val="00490789"/>
    <w:rsid w:val="004907ED"/>
    <w:rsid w:val="004908C1"/>
    <w:rsid w:val="0049092A"/>
    <w:rsid w:val="00490943"/>
    <w:rsid w:val="00490946"/>
    <w:rsid w:val="0049097F"/>
    <w:rsid w:val="0049098E"/>
    <w:rsid w:val="00490996"/>
    <w:rsid w:val="00490998"/>
    <w:rsid w:val="004909C3"/>
    <w:rsid w:val="00490A11"/>
    <w:rsid w:val="00490A25"/>
    <w:rsid w:val="00490ABE"/>
    <w:rsid w:val="00490ACB"/>
    <w:rsid w:val="00490B14"/>
    <w:rsid w:val="00490B71"/>
    <w:rsid w:val="00490B79"/>
    <w:rsid w:val="00490C03"/>
    <w:rsid w:val="00490C26"/>
    <w:rsid w:val="00490C2C"/>
    <w:rsid w:val="00490C31"/>
    <w:rsid w:val="00490C36"/>
    <w:rsid w:val="00490C6C"/>
    <w:rsid w:val="00490CA1"/>
    <w:rsid w:val="00490CC2"/>
    <w:rsid w:val="00490CCB"/>
    <w:rsid w:val="00490CE8"/>
    <w:rsid w:val="00490D17"/>
    <w:rsid w:val="00490D55"/>
    <w:rsid w:val="00490D7C"/>
    <w:rsid w:val="00490E02"/>
    <w:rsid w:val="00490E54"/>
    <w:rsid w:val="00490EAC"/>
    <w:rsid w:val="00490EEE"/>
    <w:rsid w:val="00490F4C"/>
    <w:rsid w:val="00490F6A"/>
    <w:rsid w:val="00490F7A"/>
    <w:rsid w:val="00491005"/>
    <w:rsid w:val="0049100C"/>
    <w:rsid w:val="00491059"/>
    <w:rsid w:val="0049108A"/>
    <w:rsid w:val="00491113"/>
    <w:rsid w:val="00491157"/>
    <w:rsid w:val="00491177"/>
    <w:rsid w:val="00491197"/>
    <w:rsid w:val="004911BB"/>
    <w:rsid w:val="004911D9"/>
    <w:rsid w:val="004911E2"/>
    <w:rsid w:val="004911F1"/>
    <w:rsid w:val="0049123B"/>
    <w:rsid w:val="00491253"/>
    <w:rsid w:val="0049127F"/>
    <w:rsid w:val="004912B8"/>
    <w:rsid w:val="004913B4"/>
    <w:rsid w:val="004913DC"/>
    <w:rsid w:val="004913EB"/>
    <w:rsid w:val="00491443"/>
    <w:rsid w:val="00491535"/>
    <w:rsid w:val="00491556"/>
    <w:rsid w:val="00491578"/>
    <w:rsid w:val="004915B7"/>
    <w:rsid w:val="004915BB"/>
    <w:rsid w:val="004915EB"/>
    <w:rsid w:val="0049167B"/>
    <w:rsid w:val="004916B5"/>
    <w:rsid w:val="004916C0"/>
    <w:rsid w:val="004916E8"/>
    <w:rsid w:val="0049174D"/>
    <w:rsid w:val="004917A1"/>
    <w:rsid w:val="004917A3"/>
    <w:rsid w:val="004917DF"/>
    <w:rsid w:val="00491829"/>
    <w:rsid w:val="00491896"/>
    <w:rsid w:val="004918C5"/>
    <w:rsid w:val="004918D0"/>
    <w:rsid w:val="00491A2B"/>
    <w:rsid w:val="00491AA0"/>
    <w:rsid w:val="00491AE9"/>
    <w:rsid w:val="00491AF6"/>
    <w:rsid w:val="00491BA4"/>
    <w:rsid w:val="00491BBC"/>
    <w:rsid w:val="00491BDA"/>
    <w:rsid w:val="00491BF7"/>
    <w:rsid w:val="00491C56"/>
    <w:rsid w:val="00491CF2"/>
    <w:rsid w:val="00491D40"/>
    <w:rsid w:val="00491D55"/>
    <w:rsid w:val="00491D57"/>
    <w:rsid w:val="00491E17"/>
    <w:rsid w:val="00491E2D"/>
    <w:rsid w:val="00491EAC"/>
    <w:rsid w:val="00491EE4"/>
    <w:rsid w:val="00491EFB"/>
    <w:rsid w:val="00491F1A"/>
    <w:rsid w:val="00491F35"/>
    <w:rsid w:val="00491F3F"/>
    <w:rsid w:val="00491F90"/>
    <w:rsid w:val="00491FA6"/>
    <w:rsid w:val="00491FC7"/>
    <w:rsid w:val="00491FF1"/>
    <w:rsid w:val="00491FFB"/>
    <w:rsid w:val="00492022"/>
    <w:rsid w:val="00492024"/>
    <w:rsid w:val="00492054"/>
    <w:rsid w:val="00492057"/>
    <w:rsid w:val="00492094"/>
    <w:rsid w:val="004920CE"/>
    <w:rsid w:val="004920F4"/>
    <w:rsid w:val="004920F7"/>
    <w:rsid w:val="0049210E"/>
    <w:rsid w:val="00492121"/>
    <w:rsid w:val="00492198"/>
    <w:rsid w:val="004921DA"/>
    <w:rsid w:val="0049224A"/>
    <w:rsid w:val="0049229A"/>
    <w:rsid w:val="004922E4"/>
    <w:rsid w:val="004922FC"/>
    <w:rsid w:val="00492355"/>
    <w:rsid w:val="0049235F"/>
    <w:rsid w:val="00492364"/>
    <w:rsid w:val="0049238A"/>
    <w:rsid w:val="004923AA"/>
    <w:rsid w:val="004923D7"/>
    <w:rsid w:val="00492433"/>
    <w:rsid w:val="00492445"/>
    <w:rsid w:val="00492494"/>
    <w:rsid w:val="004924A6"/>
    <w:rsid w:val="004924DE"/>
    <w:rsid w:val="00492509"/>
    <w:rsid w:val="00492511"/>
    <w:rsid w:val="0049256D"/>
    <w:rsid w:val="0049258A"/>
    <w:rsid w:val="004925A9"/>
    <w:rsid w:val="004925F2"/>
    <w:rsid w:val="00492699"/>
    <w:rsid w:val="004926A0"/>
    <w:rsid w:val="004926EB"/>
    <w:rsid w:val="00492728"/>
    <w:rsid w:val="0049274B"/>
    <w:rsid w:val="00492779"/>
    <w:rsid w:val="00492812"/>
    <w:rsid w:val="00492821"/>
    <w:rsid w:val="00492840"/>
    <w:rsid w:val="00492937"/>
    <w:rsid w:val="00492963"/>
    <w:rsid w:val="004929D0"/>
    <w:rsid w:val="004929DB"/>
    <w:rsid w:val="00492A0E"/>
    <w:rsid w:val="00492A1C"/>
    <w:rsid w:val="00492A4D"/>
    <w:rsid w:val="00492B47"/>
    <w:rsid w:val="00492B62"/>
    <w:rsid w:val="00492C45"/>
    <w:rsid w:val="00492C64"/>
    <w:rsid w:val="00492C96"/>
    <w:rsid w:val="00492CF1"/>
    <w:rsid w:val="00492D38"/>
    <w:rsid w:val="00492D46"/>
    <w:rsid w:val="00492E59"/>
    <w:rsid w:val="00492E99"/>
    <w:rsid w:val="00492E9E"/>
    <w:rsid w:val="00492EE1"/>
    <w:rsid w:val="00492EEE"/>
    <w:rsid w:val="00492EFE"/>
    <w:rsid w:val="00492F0A"/>
    <w:rsid w:val="00492F0F"/>
    <w:rsid w:val="00492F39"/>
    <w:rsid w:val="00492F3A"/>
    <w:rsid w:val="00492FB3"/>
    <w:rsid w:val="00493016"/>
    <w:rsid w:val="00493040"/>
    <w:rsid w:val="0049304F"/>
    <w:rsid w:val="00493050"/>
    <w:rsid w:val="004930B8"/>
    <w:rsid w:val="004930E9"/>
    <w:rsid w:val="004930F6"/>
    <w:rsid w:val="00493117"/>
    <w:rsid w:val="00493128"/>
    <w:rsid w:val="00493145"/>
    <w:rsid w:val="00493169"/>
    <w:rsid w:val="004931DB"/>
    <w:rsid w:val="004931E0"/>
    <w:rsid w:val="004931E3"/>
    <w:rsid w:val="004931FD"/>
    <w:rsid w:val="00493224"/>
    <w:rsid w:val="00493243"/>
    <w:rsid w:val="004932DC"/>
    <w:rsid w:val="00493304"/>
    <w:rsid w:val="0049331C"/>
    <w:rsid w:val="0049333D"/>
    <w:rsid w:val="0049345B"/>
    <w:rsid w:val="004934C4"/>
    <w:rsid w:val="004934EF"/>
    <w:rsid w:val="004934F5"/>
    <w:rsid w:val="00493579"/>
    <w:rsid w:val="0049357E"/>
    <w:rsid w:val="00493635"/>
    <w:rsid w:val="004936B4"/>
    <w:rsid w:val="004936EB"/>
    <w:rsid w:val="00493705"/>
    <w:rsid w:val="00493742"/>
    <w:rsid w:val="00493794"/>
    <w:rsid w:val="004937CE"/>
    <w:rsid w:val="004937F6"/>
    <w:rsid w:val="00493811"/>
    <w:rsid w:val="00493843"/>
    <w:rsid w:val="00493859"/>
    <w:rsid w:val="0049387E"/>
    <w:rsid w:val="00493961"/>
    <w:rsid w:val="004939AB"/>
    <w:rsid w:val="00493A00"/>
    <w:rsid w:val="00493A21"/>
    <w:rsid w:val="00493A67"/>
    <w:rsid w:val="00493AB4"/>
    <w:rsid w:val="00493B0A"/>
    <w:rsid w:val="00493B25"/>
    <w:rsid w:val="00493B9D"/>
    <w:rsid w:val="00493C4F"/>
    <w:rsid w:val="00493CBD"/>
    <w:rsid w:val="00493D0E"/>
    <w:rsid w:val="00493DBC"/>
    <w:rsid w:val="00493E71"/>
    <w:rsid w:val="00493E99"/>
    <w:rsid w:val="00493F20"/>
    <w:rsid w:val="00493FB8"/>
    <w:rsid w:val="00493FC5"/>
    <w:rsid w:val="00493FC8"/>
    <w:rsid w:val="00493FFD"/>
    <w:rsid w:val="00494042"/>
    <w:rsid w:val="0049407B"/>
    <w:rsid w:val="004940A5"/>
    <w:rsid w:val="004940BD"/>
    <w:rsid w:val="0049412D"/>
    <w:rsid w:val="0049414A"/>
    <w:rsid w:val="00494164"/>
    <w:rsid w:val="004941F7"/>
    <w:rsid w:val="0049433C"/>
    <w:rsid w:val="0049435B"/>
    <w:rsid w:val="0049440E"/>
    <w:rsid w:val="0049442D"/>
    <w:rsid w:val="00494442"/>
    <w:rsid w:val="00494474"/>
    <w:rsid w:val="00494482"/>
    <w:rsid w:val="004944A9"/>
    <w:rsid w:val="00494537"/>
    <w:rsid w:val="00494584"/>
    <w:rsid w:val="00494585"/>
    <w:rsid w:val="004945B8"/>
    <w:rsid w:val="00494648"/>
    <w:rsid w:val="004946DE"/>
    <w:rsid w:val="0049478E"/>
    <w:rsid w:val="004947E7"/>
    <w:rsid w:val="0049481C"/>
    <w:rsid w:val="0049488A"/>
    <w:rsid w:val="004948BE"/>
    <w:rsid w:val="004948CE"/>
    <w:rsid w:val="004948D6"/>
    <w:rsid w:val="004948E6"/>
    <w:rsid w:val="004948F1"/>
    <w:rsid w:val="0049490C"/>
    <w:rsid w:val="00494981"/>
    <w:rsid w:val="00494A21"/>
    <w:rsid w:val="00494A32"/>
    <w:rsid w:val="00494A50"/>
    <w:rsid w:val="00494A8D"/>
    <w:rsid w:val="00494AA5"/>
    <w:rsid w:val="00494AAC"/>
    <w:rsid w:val="00494AD5"/>
    <w:rsid w:val="00494B57"/>
    <w:rsid w:val="00494B7D"/>
    <w:rsid w:val="00494B8D"/>
    <w:rsid w:val="00494C54"/>
    <w:rsid w:val="00494C82"/>
    <w:rsid w:val="00494D2C"/>
    <w:rsid w:val="00494D4A"/>
    <w:rsid w:val="00494D7F"/>
    <w:rsid w:val="00494E16"/>
    <w:rsid w:val="00494E2E"/>
    <w:rsid w:val="00494E8C"/>
    <w:rsid w:val="00494EA3"/>
    <w:rsid w:val="00494EB2"/>
    <w:rsid w:val="00494EF3"/>
    <w:rsid w:val="00494F14"/>
    <w:rsid w:val="00494F2F"/>
    <w:rsid w:val="00494F57"/>
    <w:rsid w:val="00494F74"/>
    <w:rsid w:val="0049502B"/>
    <w:rsid w:val="00495050"/>
    <w:rsid w:val="004950C8"/>
    <w:rsid w:val="00495112"/>
    <w:rsid w:val="004951E3"/>
    <w:rsid w:val="0049525A"/>
    <w:rsid w:val="00495260"/>
    <w:rsid w:val="0049526E"/>
    <w:rsid w:val="00495286"/>
    <w:rsid w:val="004952AA"/>
    <w:rsid w:val="004952B7"/>
    <w:rsid w:val="004952E1"/>
    <w:rsid w:val="004952E3"/>
    <w:rsid w:val="00495300"/>
    <w:rsid w:val="00495361"/>
    <w:rsid w:val="004953ED"/>
    <w:rsid w:val="00495430"/>
    <w:rsid w:val="00495466"/>
    <w:rsid w:val="0049556C"/>
    <w:rsid w:val="004955C2"/>
    <w:rsid w:val="004955EB"/>
    <w:rsid w:val="0049566E"/>
    <w:rsid w:val="00495678"/>
    <w:rsid w:val="0049569B"/>
    <w:rsid w:val="004956D4"/>
    <w:rsid w:val="00495736"/>
    <w:rsid w:val="0049573A"/>
    <w:rsid w:val="004957D7"/>
    <w:rsid w:val="00495940"/>
    <w:rsid w:val="0049596B"/>
    <w:rsid w:val="00495974"/>
    <w:rsid w:val="0049598D"/>
    <w:rsid w:val="004959EC"/>
    <w:rsid w:val="00495ACC"/>
    <w:rsid w:val="00495B06"/>
    <w:rsid w:val="00495BA4"/>
    <w:rsid w:val="00495BC3"/>
    <w:rsid w:val="00495C4F"/>
    <w:rsid w:val="00495C87"/>
    <w:rsid w:val="00495C9E"/>
    <w:rsid w:val="00495CF9"/>
    <w:rsid w:val="00495D18"/>
    <w:rsid w:val="00495D3A"/>
    <w:rsid w:val="00495E03"/>
    <w:rsid w:val="00495E7E"/>
    <w:rsid w:val="00495E8D"/>
    <w:rsid w:val="00495EA2"/>
    <w:rsid w:val="00495ED0"/>
    <w:rsid w:val="00495EF8"/>
    <w:rsid w:val="00495FCC"/>
    <w:rsid w:val="00495FD3"/>
    <w:rsid w:val="00495FD6"/>
    <w:rsid w:val="00496053"/>
    <w:rsid w:val="0049606E"/>
    <w:rsid w:val="004960A0"/>
    <w:rsid w:val="004960A2"/>
    <w:rsid w:val="004960B8"/>
    <w:rsid w:val="0049615E"/>
    <w:rsid w:val="00496171"/>
    <w:rsid w:val="00496191"/>
    <w:rsid w:val="004961E4"/>
    <w:rsid w:val="00496224"/>
    <w:rsid w:val="0049622A"/>
    <w:rsid w:val="0049626F"/>
    <w:rsid w:val="004962B7"/>
    <w:rsid w:val="004962BE"/>
    <w:rsid w:val="004962C9"/>
    <w:rsid w:val="0049636E"/>
    <w:rsid w:val="00496386"/>
    <w:rsid w:val="0049638D"/>
    <w:rsid w:val="00496424"/>
    <w:rsid w:val="004964BB"/>
    <w:rsid w:val="004965A3"/>
    <w:rsid w:val="00496605"/>
    <w:rsid w:val="0049660E"/>
    <w:rsid w:val="00496631"/>
    <w:rsid w:val="0049666D"/>
    <w:rsid w:val="00496725"/>
    <w:rsid w:val="00496751"/>
    <w:rsid w:val="00496795"/>
    <w:rsid w:val="004967D3"/>
    <w:rsid w:val="004967E8"/>
    <w:rsid w:val="004967F1"/>
    <w:rsid w:val="0049687A"/>
    <w:rsid w:val="00496990"/>
    <w:rsid w:val="004969AA"/>
    <w:rsid w:val="004969F2"/>
    <w:rsid w:val="00496AC2"/>
    <w:rsid w:val="00496B1E"/>
    <w:rsid w:val="00496B86"/>
    <w:rsid w:val="00496B8E"/>
    <w:rsid w:val="00496B92"/>
    <w:rsid w:val="00496BC8"/>
    <w:rsid w:val="00496C1C"/>
    <w:rsid w:val="00496C50"/>
    <w:rsid w:val="00496C68"/>
    <w:rsid w:val="00496C6E"/>
    <w:rsid w:val="00496CAC"/>
    <w:rsid w:val="00496CDD"/>
    <w:rsid w:val="00496D1F"/>
    <w:rsid w:val="00496D35"/>
    <w:rsid w:val="00496D41"/>
    <w:rsid w:val="00496D43"/>
    <w:rsid w:val="00496E33"/>
    <w:rsid w:val="00496E68"/>
    <w:rsid w:val="00496E6C"/>
    <w:rsid w:val="00496ECE"/>
    <w:rsid w:val="00496EFB"/>
    <w:rsid w:val="00496F19"/>
    <w:rsid w:val="00496FB4"/>
    <w:rsid w:val="00497004"/>
    <w:rsid w:val="00497066"/>
    <w:rsid w:val="00497089"/>
    <w:rsid w:val="004970A9"/>
    <w:rsid w:val="004970C9"/>
    <w:rsid w:val="0049710F"/>
    <w:rsid w:val="00497139"/>
    <w:rsid w:val="0049713F"/>
    <w:rsid w:val="0049716B"/>
    <w:rsid w:val="004971CB"/>
    <w:rsid w:val="004973A2"/>
    <w:rsid w:val="004973D5"/>
    <w:rsid w:val="00497400"/>
    <w:rsid w:val="00497468"/>
    <w:rsid w:val="0049753D"/>
    <w:rsid w:val="004975B1"/>
    <w:rsid w:val="004975B7"/>
    <w:rsid w:val="004975E1"/>
    <w:rsid w:val="00497654"/>
    <w:rsid w:val="004976CE"/>
    <w:rsid w:val="0049770F"/>
    <w:rsid w:val="00497714"/>
    <w:rsid w:val="00497719"/>
    <w:rsid w:val="00497787"/>
    <w:rsid w:val="00497815"/>
    <w:rsid w:val="004978E7"/>
    <w:rsid w:val="00497901"/>
    <w:rsid w:val="004979C0"/>
    <w:rsid w:val="004979E6"/>
    <w:rsid w:val="00497A48"/>
    <w:rsid w:val="00497A6D"/>
    <w:rsid w:val="00497AE1"/>
    <w:rsid w:val="00497AFC"/>
    <w:rsid w:val="00497B18"/>
    <w:rsid w:val="00497BCB"/>
    <w:rsid w:val="00497BCD"/>
    <w:rsid w:val="00497C29"/>
    <w:rsid w:val="00497C54"/>
    <w:rsid w:val="00497D0E"/>
    <w:rsid w:val="00497D40"/>
    <w:rsid w:val="00497D42"/>
    <w:rsid w:val="00497D4D"/>
    <w:rsid w:val="00497D4F"/>
    <w:rsid w:val="00497D5C"/>
    <w:rsid w:val="00497D6D"/>
    <w:rsid w:val="00497E42"/>
    <w:rsid w:val="00497E46"/>
    <w:rsid w:val="00497E4F"/>
    <w:rsid w:val="00497E6B"/>
    <w:rsid w:val="00497EAC"/>
    <w:rsid w:val="00497EDF"/>
    <w:rsid w:val="00497F70"/>
    <w:rsid w:val="00497F97"/>
    <w:rsid w:val="00497FB8"/>
    <w:rsid w:val="00497FCB"/>
    <w:rsid w:val="00497FE7"/>
    <w:rsid w:val="004A00B2"/>
    <w:rsid w:val="004A010E"/>
    <w:rsid w:val="004A0141"/>
    <w:rsid w:val="004A0145"/>
    <w:rsid w:val="004A016B"/>
    <w:rsid w:val="004A01B0"/>
    <w:rsid w:val="004A0255"/>
    <w:rsid w:val="004A02EE"/>
    <w:rsid w:val="004A02FE"/>
    <w:rsid w:val="004A0366"/>
    <w:rsid w:val="004A0375"/>
    <w:rsid w:val="004A03AF"/>
    <w:rsid w:val="004A03BB"/>
    <w:rsid w:val="004A03E2"/>
    <w:rsid w:val="004A03EA"/>
    <w:rsid w:val="004A0410"/>
    <w:rsid w:val="004A0414"/>
    <w:rsid w:val="004A0419"/>
    <w:rsid w:val="004A0425"/>
    <w:rsid w:val="004A0434"/>
    <w:rsid w:val="004A0456"/>
    <w:rsid w:val="004A0479"/>
    <w:rsid w:val="004A04E5"/>
    <w:rsid w:val="004A04F7"/>
    <w:rsid w:val="004A0539"/>
    <w:rsid w:val="004A0541"/>
    <w:rsid w:val="004A0581"/>
    <w:rsid w:val="004A05A5"/>
    <w:rsid w:val="004A05AD"/>
    <w:rsid w:val="004A05E2"/>
    <w:rsid w:val="004A05EA"/>
    <w:rsid w:val="004A061C"/>
    <w:rsid w:val="004A063A"/>
    <w:rsid w:val="004A0671"/>
    <w:rsid w:val="004A06BE"/>
    <w:rsid w:val="004A06D0"/>
    <w:rsid w:val="004A071C"/>
    <w:rsid w:val="004A075B"/>
    <w:rsid w:val="004A089B"/>
    <w:rsid w:val="004A0924"/>
    <w:rsid w:val="004A0925"/>
    <w:rsid w:val="004A093E"/>
    <w:rsid w:val="004A09C7"/>
    <w:rsid w:val="004A0A02"/>
    <w:rsid w:val="004A0A19"/>
    <w:rsid w:val="004A0A81"/>
    <w:rsid w:val="004A0B11"/>
    <w:rsid w:val="004A0B22"/>
    <w:rsid w:val="004A0B2C"/>
    <w:rsid w:val="004A0B30"/>
    <w:rsid w:val="004A0B32"/>
    <w:rsid w:val="004A0B57"/>
    <w:rsid w:val="004A0B5C"/>
    <w:rsid w:val="004A0B76"/>
    <w:rsid w:val="004A0C3F"/>
    <w:rsid w:val="004A0C69"/>
    <w:rsid w:val="004A0C98"/>
    <w:rsid w:val="004A0CAA"/>
    <w:rsid w:val="004A0CC3"/>
    <w:rsid w:val="004A0CE5"/>
    <w:rsid w:val="004A0D02"/>
    <w:rsid w:val="004A0D7E"/>
    <w:rsid w:val="004A0DC0"/>
    <w:rsid w:val="004A0E09"/>
    <w:rsid w:val="004A0E15"/>
    <w:rsid w:val="004A0E27"/>
    <w:rsid w:val="004A0EF9"/>
    <w:rsid w:val="004A0F26"/>
    <w:rsid w:val="004A0F30"/>
    <w:rsid w:val="004A0F3C"/>
    <w:rsid w:val="004A0F64"/>
    <w:rsid w:val="004A0FB2"/>
    <w:rsid w:val="004A1011"/>
    <w:rsid w:val="004A1022"/>
    <w:rsid w:val="004A10F4"/>
    <w:rsid w:val="004A1127"/>
    <w:rsid w:val="004A1132"/>
    <w:rsid w:val="004A11CB"/>
    <w:rsid w:val="004A11ED"/>
    <w:rsid w:val="004A1233"/>
    <w:rsid w:val="004A1263"/>
    <w:rsid w:val="004A12AD"/>
    <w:rsid w:val="004A1307"/>
    <w:rsid w:val="004A1350"/>
    <w:rsid w:val="004A137A"/>
    <w:rsid w:val="004A1426"/>
    <w:rsid w:val="004A1431"/>
    <w:rsid w:val="004A1474"/>
    <w:rsid w:val="004A147B"/>
    <w:rsid w:val="004A14BD"/>
    <w:rsid w:val="004A1533"/>
    <w:rsid w:val="004A1563"/>
    <w:rsid w:val="004A1585"/>
    <w:rsid w:val="004A160C"/>
    <w:rsid w:val="004A1652"/>
    <w:rsid w:val="004A165A"/>
    <w:rsid w:val="004A16A7"/>
    <w:rsid w:val="004A16AC"/>
    <w:rsid w:val="004A1734"/>
    <w:rsid w:val="004A174E"/>
    <w:rsid w:val="004A175D"/>
    <w:rsid w:val="004A1806"/>
    <w:rsid w:val="004A18A1"/>
    <w:rsid w:val="004A18B1"/>
    <w:rsid w:val="004A1965"/>
    <w:rsid w:val="004A198F"/>
    <w:rsid w:val="004A1999"/>
    <w:rsid w:val="004A19B3"/>
    <w:rsid w:val="004A1A85"/>
    <w:rsid w:val="004A1A9C"/>
    <w:rsid w:val="004A1AAE"/>
    <w:rsid w:val="004A1AC9"/>
    <w:rsid w:val="004A1ACB"/>
    <w:rsid w:val="004A1BCF"/>
    <w:rsid w:val="004A1BF2"/>
    <w:rsid w:val="004A1BF3"/>
    <w:rsid w:val="004A1C00"/>
    <w:rsid w:val="004A1C2C"/>
    <w:rsid w:val="004A1C6C"/>
    <w:rsid w:val="004A1C72"/>
    <w:rsid w:val="004A1C77"/>
    <w:rsid w:val="004A1CA1"/>
    <w:rsid w:val="004A1CFC"/>
    <w:rsid w:val="004A1DB2"/>
    <w:rsid w:val="004A1E56"/>
    <w:rsid w:val="004A1E5A"/>
    <w:rsid w:val="004A1EC0"/>
    <w:rsid w:val="004A1EF6"/>
    <w:rsid w:val="004A1F42"/>
    <w:rsid w:val="004A1F45"/>
    <w:rsid w:val="004A1F77"/>
    <w:rsid w:val="004A1FD2"/>
    <w:rsid w:val="004A2016"/>
    <w:rsid w:val="004A207E"/>
    <w:rsid w:val="004A2087"/>
    <w:rsid w:val="004A209F"/>
    <w:rsid w:val="004A2143"/>
    <w:rsid w:val="004A2163"/>
    <w:rsid w:val="004A21AA"/>
    <w:rsid w:val="004A2250"/>
    <w:rsid w:val="004A2285"/>
    <w:rsid w:val="004A22AB"/>
    <w:rsid w:val="004A23A8"/>
    <w:rsid w:val="004A23F2"/>
    <w:rsid w:val="004A240A"/>
    <w:rsid w:val="004A240C"/>
    <w:rsid w:val="004A2437"/>
    <w:rsid w:val="004A2439"/>
    <w:rsid w:val="004A2445"/>
    <w:rsid w:val="004A2493"/>
    <w:rsid w:val="004A24BD"/>
    <w:rsid w:val="004A24F6"/>
    <w:rsid w:val="004A24F7"/>
    <w:rsid w:val="004A256F"/>
    <w:rsid w:val="004A2572"/>
    <w:rsid w:val="004A25E0"/>
    <w:rsid w:val="004A26E8"/>
    <w:rsid w:val="004A2771"/>
    <w:rsid w:val="004A2780"/>
    <w:rsid w:val="004A278D"/>
    <w:rsid w:val="004A27D9"/>
    <w:rsid w:val="004A27F9"/>
    <w:rsid w:val="004A285C"/>
    <w:rsid w:val="004A285F"/>
    <w:rsid w:val="004A289B"/>
    <w:rsid w:val="004A2933"/>
    <w:rsid w:val="004A294C"/>
    <w:rsid w:val="004A29BB"/>
    <w:rsid w:val="004A2A04"/>
    <w:rsid w:val="004A2A54"/>
    <w:rsid w:val="004A2A58"/>
    <w:rsid w:val="004A2AF1"/>
    <w:rsid w:val="004A2AF4"/>
    <w:rsid w:val="004A2B20"/>
    <w:rsid w:val="004A2B88"/>
    <w:rsid w:val="004A2B94"/>
    <w:rsid w:val="004A2B9A"/>
    <w:rsid w:val="004A2BDD"/>
    <w:rsid w:val="004A2C19"/>
    <w:rsid w:val="004A2C28"/>
    <w:rsid w:val="004A2C62"/>
    <w:rsid w:val="004A2C64"/>
    <w:rsid w:val="004A2CD1"/>
    <w:rsid w:val="004A2CE5"/>
    <w:rsid w:val="004A2D2F"/>
    <w:rsid w:val="004A2D39"/>
    <w:rsid w:val="004A2D5B"/>
    <w:rsid w:val="004A2E15"/>
    <w:rsid w:val="004A2E21"/>
    <w:rsid w:val="004A2E25"/>
    <w:rsid w:val="004A2E44"/>
    <w:rsid w:val="004A2E56"/>
    <w:rsid w:val="004A2EBD"/>
    <w:rsid w:val="004A2F22"/>
    <w:rsid w:val="004A2F9E"/>
    <w:rsid w:val="004A2FB6"/>
    <w:rsid w:val="004A2FC4"/>
    <w:rsid w:val="004A3072"/>
    <w:rsid w:val="004A3077"/>
    <w:rsid w:val="004A30A3"/>
    <w:rsid w:val="004A30AD"/>
    <w:rsid w:val="004A30C8"/>
    <w:rsid w:val="004A30C9"/>
    <w:rsid w:val="004A30EC"/>
    <w:rsid w:val="004A310A"/>
    <w:rsid w:val="004A312F"/>
    <w:rsid w:val="004A31C1"/>
    <w:rsid w:val="004A3240"/>
    <w:rsid w:val="004A32A2"/>
    <w:rsid w:val="004A3427"/>
    <w:rsid w:val="004A342C"/>
    <w:rsid w:val="004A3464"/>
    <w:rsid w:val="004A34BB"/>
    <w:rsid w:val="004A34C8"/>
    <w:rsid w:val="004A3526"/>
    <w:rsid w:val="004A353E"/>
    <w:rsid w:val="004A355D"/>
    <w:rsid w:val="004A35F8"/>
    <w:rsid w:val="004A361A"/>
    <w:rsid w:val="004A3626"/>
    <w:rsid w:val="004A36F1"/>
    <w:rsid w:val="004A3723"/>
    <w:rsid w:val="004A3743"/>
    <w:rsid w:val="004A3799"/>
    <w:rsid w:val="004A37BB"/>
    <w:rsid w:val="004A37DD"/>
    <w:rsid w:val="004A3887"/>
    <w:rsid w:val="004A388D"/>
    <w:rsid w:val="004A38A8"/>
    <w:rsid w:val="004A3914"/>
    <w:rsid w:val="004A3915"/>
    <w:rsid w:val="004A395D"/>
    <w:rsid w:val="004A396D"/>
    <w:rsid w:val="004A3991"/>
    <w:rsid w:val="004A39D2"/>
    <w:rsid w:val="004A39FF"/>
    <w:rsid w:val="004A3A82"/>
    <w:rsid w:val="004A3A9E"/>
    <w:rsid w:val="004A3AA2"/>
    <w:rsid w:val="004A3AA7"/>
    <w:rsid w:val="004A3ACE"/>
    <w:rsid w:val="004A3B10"/>
    <w:rsid w:val="004A3B32"/>
    <w:rsid w:val="004A3B40"/>
    <w:rsid w:val="004A3B41"/>
    <w:rsid w:val="004A3B75"/>
    <w:rsid w:val="004A3B79"/>
    <w:rsid w:val="004A3B7F"/>
    <w:rsid w:val="004A3BBC"/>
    <w:rsid w:val="004A3C75"/>
    <w:rsid w:val="004A3CA2"/>
    <w:rsid w:val="004A3CC4"/>
    <w:rsid w:val="004A3CDC"/>
    <w:rsid w:val="004A3D32"/>
    <w:rsid w:val="004A3E04"/>
    <w:rsid w:val="004A3E27"/>
    <w:rsid w:val="004A3E2B"/>
    <w:rsid w:val="004A3E77"/>
    <w:rsid w:val="004A3EEE"/>
    <w:rsid w:val="004A3F04"/>
    <w:rsid w:val="004A3F2D"/>
    <w:rsid w:val="004A3F7B"/>
    <w:rsid w:val="004A3F8A"/>
    <w:rsid w:val="004A3FED"/>
    <w:rsid w:val="004A3FF7"/>
    <w:rsid w:val="004A4018"/>
    <w:rsid w:val="004A403D"/>
    <w:rsid w:val="004A40FE"/>
    <w:rsid w:val="004A4155"/>
    <w:rsid w:val="004A41EF"/>
    <w:rsid w:val="004A4215"/>
    <w:rsid w:val="004A4223"/>
    <w:rsid w:val="004A422F"/>
    <w:rsid w:val="004A4306"/>
    <w:rsid w:val="004A432A"/>
    <w:rsid w:val="004A433B"/>
    <w:rsid w:val="004A4371"/>
    <w:rsid w:val="004A438F"/>
    <w:rsid w:val="004A4398"/>
    <w:rsid w:val="004A43C3"/>
    <w:rsid w:val="004A4429"/>
    <w:rsid w:val="004A4435"/>
    <w:rsid w:val="004A4453"/>
    <w:rsid w:val="004A4473"/>
    <w:rsid w:val="004A448B"/>
    <w:rsid w:val="004A4496"/>
    <w:rsid w:val="004A44B2"/>
    <w:rsid w:val="004A44BA"/>
    <w:rsid w:val="004A4572"/>
    <w:rsid w:val="004A45C2"/>
    <w:rsid w:val="004A45E4"/>
    <w:rsid w:val="004A463C"/>
    <w:rsid w:val="004A46D1"/>
    <w:rsid w:val="004A46E6"/>
    <w:rsid w:val="004A4704"/>
    <w:rsid w:val="004A475C"/>
    <w:rsid w:val="004A4767"/>
    <w:rsid w:val="004A4768"/>
    <w:rsid w:val="004A4814"/>
    <w:rsid w:val="004A4893"/>
    <w:rsid w:val="004A48E0"/>
    <w:rsid w:val="004A48F6"/>
    <w:rsid w:val="004A4928"/>
    <w:rsid w:val="004A4964"/>
    <w:rsid w:val="004A49FF"/>
    <w:rsid w:val="004A4A04"/>
    <w:rsid w:val="004A4A3B"/>
    <w:rsid w:val="004A4AA2"/>
    <w:rsid w:val="004A4AF2"/>
    <w:rsid w:val="004A4B00"/>
    <w:rsid w:val="004A4B31"/>
    <w:rsid w:val="004A4B98"/>
    <w:rsid w:val="004A4BCB"/>
    <w:rsid w:val="004A4C02"/>
    <w:rsid w:val="004A4C0F"/>
    <w:rsid w:val="004A4C30"/>
    <w:rsid w:val="004A4C4B"/>
    <w:rsid w:val="004A4C58"/>
    <w:rsid w:val="004A4CA7"/>
    <w:rsid w:val="004A4D86"/>
    <w:rsid w:val="004A4DDA"/>
    <w:rsid w:val="004A4EC0"/>
    <w:rsid w:val="004A4F06"/>
    <w:rsid w:val="004A4F30"/>
    <w:rsid w:val="004A4F42"/>
    <w:rsid w:val="004A4F46"/>
    <w:rsid w:val="004A4FA5"/>
    <w:rsid w:val="004A4FA8"/>
    <w:rsid w:val="004A4FCE"/>
    <w:rsid w:val="004A501D"/>
    <w:rsid w:val="004A5032"/>
    <w:rsid w:val="004A5050"/>
    <w:rsid w:val="004A5066"/>
    <w:rsid w:val="004A521F"/>
    <w:rsid w:val="004A5228"/>
    <w:rsid w:val="004A5232"/>
    <w:rsid w:val="004A5238"/>
    <w:rsid w:val="004A5243"/>
    <w:rsid w:val="004A5278"/>
    <w:rsid w:val="004A530F"/>
    <w:rsid w:val="004A5335"/>
    <w:rsid w:val="004A53A6"/>
    <w:rsid w:val="004A53BD"/>
    <w:rsid w:val="004A5477"/>
    <w:rsid w:val="004A5490"/>
    <w:rsid w:val="004A553F"/>
    <w:rsid w:val="004A554B"/>
    <w:rsid w:val="004A5551"/>
    <w:rsid w:val="004A55B3"/>
    <w:rsid w:val="004A5631"/>
    <w:rsid w:val="004A5648"/>
    <w:rsid w:val="004A5657"/>
    <w:rsid w:val="004A5659"/>
    <w:rsid w:val="004A567E"/>
    <w:rsid w:val="004A56B0"/>
    <w:rsid w:val="004A56C4"/>
    <w:rsid w:val="004A5733"/>
    <w:rsid w:val="004A573D"/>
    <w:rsid w:val="004A5766"/>
    <w:rsid w:val="004A57C0"/>
    <w:rsid w:val="004A57CA"/>
    <w:rsid w:val="004A57F6"/>
    <w:rsid w:val="004A5810"/>
    <w:rsid w:val="004A582B"/>
    <w:rsid w:val="004A585A"/>
    <w:rsid w:val="004A590A"/>
    <w:rsid w:val="004A595E"/>
    <w:rsid w:val="004A5978"/>
    <w:rsid w:val="004A597A"/>
    <w:rsid w:val="004A5A18"/>
    <w:rsid w:val="004A5A73"/>
    <w:rsid w:val="004A5A87"/>
    <w:rsid w:val="004A5AAE"/>
    <w:rsid w:val="004A5AB3"/>
    <w:rsid w:val="004A5AC8"/>
    <w:rsid w:val="004A5BC0"/>
    <w:rsid w:val="004A5BCC"/>
    <w:rsid w:val="004A5BCD"/>
    <w:rsid w:val="004A5C8D"/>
    <w:rsid w:val="004A5CAC"/>
    <w:rsid w:val="004A5D45"/>
    <w:rsid w:val="004A5D74"/>
    <w:rsid w:val="004A5D80"/>
    <w:rsid w:val="004A5E17"/>
    <w:rsid w:val="004A5E2D"/>
    <w:rsid w:val="004A5E4D"/>
    <w:rsid w:val="004A5EF4"/>
    <w:rsid w:val="004A5F4F"/>
    <w:rsid w:val="004A6032"/>
    <w:rsid w:val="004A6055"/>
    <w:rsid w:val="004A6072"/>
    <w:rsid w:val="004A6077"/>
    <w:rsid w:val="004A60E2"/>
    <w:rsid w:val="004A6192"/>
    <w:rsid w:val="004A61BC"/>
    <w:rsid w:val="004A6201"/>
    <w:rsid w:val="004A628D"/>
    <w:rsid w:val="004A62C6"/>
    <w:rsid w:val="004A62E2"/>
    <w:rsid w:val="004A63B0"/>
    <w:rsid w:val="004A647C"/>
    <w:rsid w:val="004A64FF"/>
    <w:rsid w:val="004A6522"/>
    <w:rsid w:val="004A6538"/>
    <w:rsid w:val="004A6556"/>
    <w:rsid w:val="004A6573"/>
    <w:rsid w:val="004A659C"/>
    <w:rsid w:val="004A65FA"/>
    <w:rsid w:val="004A66B5"/>
    <w:rsid w:val="004A66C1"/>
    <w:rsid w:val="004A66E4"/>
    <w:rsid w:val="004A6713"/>
    <w:rsid w:val="004A677A"/>
    <w:rsid w:val="004A67B9"/>
    <w:rsid w:val="004A67CA"/>
    <w:rsid w:val="004A6824"/>
    <w:rsid w:val="004A6834"/>
    <w:rsid w:val="004A6869"/>
    <w:rsid w:val="004A68CC"/>
    <w:rsid w:val="004A691F"/>
    <w:rsid w:val="004A6966"/>
    <w:rsid w:val="004A6981"/>
    <w:rsid w:val="004A6982"/>
    <w:rsid w:val="004A69A9"/>
    <w:rsid w:val="004A69D5"/>
    <w:rsid w:val="004A6A27"/>
    <w:rsid w:val="004A6A96"/>
    <w:rsid w:val="004A6AA5"/>
    <w:rsid w:val="004A6AAA"/>
    <w:rsid w:val="004A6B2F"/>
    <w:rsid w:val="004A6B30"/>
    <w:rsid w:val="004A6B31"/>
    <w:rsid w:val="004A6B3D"/>
    <w:rsid w:val="004A6B54"/>
    <w:rsid w:val="004A6BEC"/>
    <w:rsid w:val="004A6C27"/>
    <w:rsid w:val="004A6C4B"/>
    <w:rsid w:val="004A6C7D"/>
    <w:rsid w:val="004A6CC1"/>
    <w:rsid w:val="004A6D10"/>
    <w:rsid w:val="004A6D5F"/>
    <w:rsid w:val="004A6D6C"/>
    <w:rsid w:val="004A6D97"/>
    <w:rsid w:val="004A6DD5"/>
    <w:rsid w:val="004A6E2D"/>
    <w:rsid w:val="004A6E5D"/>
    <w:rsid w:val="004A6E62"/>
    <w:rsid w:val="004A6E65"/>
    <w:rsid w:val="004A6E75"/>
    <w:rsid w:val="004A6EE9"/>
    <w:rsid w:val="004A6FC5"/>
    <w:rsid w:val="004A6FF2"/>
    <w:rsid w:val="004A7052"/>
    <w:rsid w:val="004A70AE"/>
    <w:rsid w:val="004A70CD"/>
    <w:rsid w:val="004A70D0"/>
    <w:rsid w:val="004A710D"/>
    <w:rsid w:val="004A713D"/>
    <w:rsid w:val="004A714F"/>
    <w:rsid w:val="004A71A7"/>
    <w:rsid w:val="004A71D0"/>
    <w:rsid w:val="004A7223"/>
    <w:rsid w:val="004A729B"/>
    <w:rsid w:val="004A729F"/>
    <w:rsid w:val="004A72A5"/>
    <w:rsid w:val="004A72AC"/>
    <w:rsid w:val="004A734C"/>
    <w:rsid w:val="004A7385"/>
    <w:rsid w:val="004A73B9"/>
    <w:rsid w:val="004A73BC"/>
    <w:rsid w:val="004A73BD"/>
    <w:rsid w:val="004A73CB"/>
    <w:rsid w:val="004A73D7"/>
    <w:rsid w:val="004A73E6"/>
    <w:rsid w:val="004A745B"/>
    <w:rsid w:val="004A74A1"/>
    <w:rsid w:val="004A74E0"/>
    <w:rsid w:val="004A74E3"/>
    <w:rsid w:val="004A7513"/>
    <w:rsid w:val="004A75A2"/>
    <w:rsid w:val="004A763A"/>
    <w:rsid w:val="004A7685"/>
    <w:rsid w:val="004A769D"/>
    <w:rsid w:val="004A769F"/>
    <w:rsid w:val="004A76BB"/>
    <w:rsid w:val="004A779C"/>
    <w:rsid w:val="004A77CD"/>
    <w:rsid w:val="004A7878"/>
    <w:rsid w:val="004A787D"/>
    <w:rsid w:val="004A78C0"/>
    <w:rsid w:val="004A78F9"/>
    <w:rsid w:val="004A79E9"/>
    <w:rsid w:val="004A7A22"/>
    <w:rsid w:val="004A7A2B"/>
    <w:rsid w:val="004A7A48"/>
    <w:rsid w:val="004A7A54"/>
    <w:rsid w:val="004A7A6B"/>
    <w:rsid w:val="004A7A9B"/>
    <w:rsid w:val="004A7ABC"/>
    <w:rsid w:val="004A7ABE"/>
    <w:rsid w:val="004A7B2D"/>
    <w:rsid w:val="004A7B5E"/>
    <w:rsid w:val="004A7B79"/>
    <w:rsid w:val="004A7BC6"/>
    <w:rsid w:val="004A7BF3"/>
    <w:rsid w:val="004A7C24"/>
    <w:rsid w:val="004A7C29"/>
    <w:rsid w:val="004A7C3B"/>
    <w:rsid w:val="004A7C6F"/>
    <w:rsid w:val="004A7CD7"/>
    <w:rsid w:val="004A7CE9"/>
    <w:rsid w:val="004A7D0E"/>
    <w:rsid w:val="004A7D3E"/>
    <w:rsid w:val="004A7D73"/>
    <w:rsid w:val="004A7DB5"/>
    <w:rsid w:val="004A7E35"/>
    <w:rsid w:val="004A7E63"/>
    <w:rsid w:val="004A7F85"/>
    <w:rsid w:val="004A7FD7"/>
    <w:rsid w:val="004AE42B"/>
    <w:rsid w:val="004B0014"/>
    <w:rsid w:val="004B0034"/>
    <w:rsid w:val="004B004D"/>
    <w:rsid w:val="004B0054"/>
    <w:rsid w:val="004B005E"/>
    <w:rsid w:val="004B00E7"/>
    <w:rsid w:val="004B0110"/>
    <w:rsid w:val="004B01BE"/>
    <w:rsid w:val="004B0218"/>
    <w:rsid w:val="004B023B"/>
    <w:rsid w:val="004B02A2"/>
    <w:rsid w:val="004B02C9"/>
    <w:rsid w:val="004B02DE"/>
    <w:rsid w:val="004B0351"/>
    <w:rsid w:val="004B0360"/>
    <w:rsid w:val="004B0381"/>
    <w:rsid w:val="004B0422"/>
    <w:rsid w:val="004B0439"/>
    <w:rsid w:val="004B043F"/>
    <w:rsid w:val="004B044D"/>
    <w:rsid w:val="004B0459"/>
    <w:rsid w:val="004B045B"/>
    <w:rsid w:val="004B04E8"/>
    <w:rsid w:val="004B04F4"/>
    <w:rsid w:val="004B0549"/>
    <w:rsid w:val="004B059B"/>
    <w:rsid w:val="004B05BD"/>
    <w:rsid w:val="004B05CD"/>
    <w:rsid w:val="004B05DA"/>
    <w:rsid w:val="004B05F8"/>
    <w:rsid w:val="004B060B"/>
    <w:rsid w:val="004B060C"/>
    <w:rsid w:val="004B0612"/>
    <w:rsid w:val="004B0638"/>
    <w:rsid w:val="004B06A5"/>
    <w:rsid w:val="004B06C9"/>
    <w:rsid w:val="004B06E2"/>
    <w:rsid w:val="004B0713"/>
    <w:rsid w:val="004B074C"/>
    <w:rsid w:val="004B07DD"/>
    <w:rsid w:val="004B07EC"/>
    <w:rsid w:val="004B0828"/>
    <w:rsid w:val="004B08A6"/>
    <w:rsid w:val="004B08D3"/>
    <w:rsid w:val="004B08D6"/>
    <w:rsid w:val="004B08DE"/>
    <w:rsid w:val="004B098E"/>
    <w:rsid w:val="004B09CE"/>
    <w:rsid w:val="004B0A04"/>
    <w:rsid w:val="004B0A28"/>
    <w:rsid w:val="004B0A2F"/>
    <w:rsid w:val="004B0A45"/>
    <w:rsid w:val="004B0A78"/>
    <w:rsid w:val="004B0ABD"/>
    <w:rsid w:val="004B0AC3"/>
    <w:rsid w:val="004B0AD8"/>
    <w:rsid w:val="004B0AF6"/>
    <w:rsid w:val="004B0BD7"/>
    <w:rsid w:val="004B0C07"/>
    <w:rsid w:val="004B0C48"/>
    <w:rsid w:val="004B0C99"/>
    <w:rsid w:val="004B0CC3"/>
    <w:rsid w:val="004B0CCA"/>
    <w:rsid w:val="004B0CE2"/>
    <w:rsid w:val="004B0CEF"/>
    <w:rsid w:val="004B0D23"/>
    <w:rsid w:val="004B0D37"/>
    <w:rsid w:val="004B0D55"/>
    <w:rsid w:val="004B0DFE"/>
    <w:rsid w:val="004B0E59"/>
    <w:rsid w:val="004B0E96"/>
    <w:rsid w:val="004B0F1B"/>
    <w:rsid w:val="004B0F1E"/>
    <w:rsid w:val="004B0F42"/>
    <w:rsid w:val="004B0F93"/>
    <w:rsid w:val="004B0FEA"/>
    <w:rsid w:val="004B1009"/>
    <w:rsid w:val="004B10E4"/>
    <w:rsid w:val="004B1175"/>
    <w:rsid w:val="004B1191"/>
    <w:rsid w:val="004B11B3"/>
    <w:rsid w:val="004B1200"/>
    <w:rsid w:val="004B1220"/>
    <w:rsid w:val="004B1278"/>
    <w:rsid w:val="004B12A5"/>
    <w:rsid w:val="004B12BA"/>
    <w:rsid w:val="004B13BE"/>
    <w:rsid w:val="004B13C7"/>
    <w:rsid w:val="004B13C8"/>
    <w:rsid w:val="004B13F5"/>
    <w:rsid w:val="004B1427"/>
    <w:rsid w:val="004B142C"/>
    <w:rsid w:val="004B1450"/>
    <w:rsid w:val="004B1512"/>
    <w:rsid w:val="004B152C"/>
    <w:rsid w:val="004B1591"/>
    <w:rsid w:val="004B15A0"/>
    <w:rsid w:val="004B15B5"/>
    <w:rsid w:val="004B16FD"/>
    <w:rsid w:val="004B17A0"/>
    <w:rsid w:val="004B17D7"/>
    <w:rsid w:val="004B1807"/>
    <w:rsid w:val="004B1845"/>
    <w:rsid w:val="004B18C0"/>
    <w:rsid w:val="004B1A2E"/>
    <w:rsid w:val="004B1AEE"/>
    <w:rsid w:val="004B1B37"/>
    <w:rsid w:val="004B1B63"/>
    <w:rsid w:val="004B1BA7"/>
    <w:rsid w:val="004B1BE2"/>
    <w:rsid w:val="004B1BFB"/>
    <w:rsid w:val="004B1C01"/>
    <w:rsid w:val="004B1C6B"/>
    <w:rsid w:val="004B1C73"/>
    <w:rsid w:val="004B1CB3"/>
    <w:rsid w:val="004B1D3D"/>
    <w:rsid w:val="004B1D77"/>
    <w:rsid w:val="004B1DC5"/>
    <w:rsid w:val="004B1E28"/>
    <w:rsid w:val="004B1E4C"/>
    <w:rsid w:val="004B1ED8"/>
    <w:rsid w:val="004B1F05"/>
    <w:rsid w:val="004B1F11"/>
    <w:rsid w:val="004B1F16"/>
    <w:rsid w:val="004B1F28"/>
    <w:rsid w:val="004B1F46"/>
    <w:rsid w:val="004B1F70"/>
    <w:rsid w:val="004B1F88"/>
    <w:rsid w:val="004B1F93"/>
    <w:rsid w:val="004B1FE1"/>
    <w:rsid w:val="004B201A"/>
    <w:rsid w:val="004B206A"/>
    <w:rsid w:val="004B20C3"/>
    <w:rsid w:val="004B20C5"/>
    <w:rsid w:val="004B2107"/>
    <w:rsid w:val="004B2193"/>
    <w:rsid w:val="004B21DC"/>
    <w:rsid w:val="004B21DF"/>
    <w:rsid w:val="004B2224"/>
    <w:rsid w:val="004B222F"/>
    <w:rsid w:val="004B2269"/>
    <w:rsid w:val="004B226E"/>
    <w:rsid w:val="004B2272"/>
    <w:rsid w:val="004B22A1"/>
    <w:rsid w:val="004B22A9"/>
    <w:rsid w:val="004B2305"/>
    <w:rsid w:val="004B2350"/>
    <w:rsid w:val="004B2391"/>
    <w:rsid w:val="004B23C4"/>
    <w:rsid w:val="004B2434"/>
    <w:rsid w:val="004B2487"/>
    <w:rsid w:val="004B24D5"/>
    <w:rsid w:val="004B24EA"/>
    <w:rsid w:val="004B2598"/>
    <w:rsid w:val="004B25A6"/>
    <w:rsid w:val="004B25EB"/>
    <w:rsid w:val="004B2605"/>
    <w:rsid w:val="004B2645"/>
    <w:rsid w:val="004B267F"/>
    <w:rsid w:val="004B26BC"/>
    <w:rsid w:val="004B26DB"/>
    <w:rsid w:val="004B26E2"/>
    <w:rsid w:val="004B2707"/>
    <w:rsid w:val="004B2765"/>
    <w:rsid w:val="004B281E"/>
    <w:rsid w:val="004B2852"/>
    <w:rsid w:val="004B28A5"/>
    <w:rsid w:val="004B294B"/>
    <w:rsid w:val="004B295A"/>
    <w:rsid w:val="004B2A01"/>
    <w:rsid w:val="004B2A0F"/>
    <w:rsid w:val="004B2AAA"/>
    <w:rsid w:val="004B2ADB"/>
    <w:rsid w:val="004B2ADF"/>
    <w:rsid w:val="004B2BD4"/>
    <w:rsid w:val="004B2C06"/>
    <w:rsid w:val="004B2C39"/>
    <w:rsid w:val="004B2C61"/>
    <w:rsid w:val="004B2C6B"/>
    <w:rsid w:val="004B2C85"/>
    <w:rsid w:val="004B2C97"/>
    <w:rsid w:val="004B2CBF"/>
    <w:rsid w:val="004B2D7D"/>
    <w:rsid w:val="004B2D91"/>
    <w:rsid w:val="004B2E32"/>
    <w:rsid w:val="004B2E49"/>
    <w:rsid w:val="004B2E6A"/>
    <w:rsid w:val="004B2E75"/>
    <w:rsid w:val="004B2F06"/>
    <w:rsid w:val="004B2FC0"/>
    <w:rsid w:val="004B3026"/>
    <w:rsid w:val="004B3034"/>
    <w:rsid w:val="004B30A3"/>
    <w:rsid w:val="004B30F4"/>
    <w:rsid w:val="004B317D"/>
    <w:rsid w:val="004B319F"/>
    <w:rsid w:val="004B31A9"/>
    <w:rsid w:val="004B31CF"/>
    <w:rsid w:val="004B3268"/>
    <w:rsid w:val="004B327B"/>
    <w:rsid w:val="004B327D"/>
    <w:rsid w:val="004B3287"/>
    <w:rsid w:val="004B32AE"/>
    <w:rsid w:val="004B32B8"/>
    <w:rsid w:val="004B3328"/>
    <w:rsid w:val="004B3365"/>
    <w:rsid w:val="004B3387"/>
    <w:rsid w:val="004B339D"/>
    <w:rsid w:val="004B33BC"/>
    <w:rsid w:val="004B33DB"/>
    <w:rsid w:val="004B33E0"/>
    <w:rsid w:val="004B33EF"/>
    <w:rsid w:val="004B340C"/>
    <w:rsid w:val="004B348D"/>
    <w:rsid w:val="004B34B3"/>
    <w:rsid w:val="004B3518"/>
    <w:rsid w:val="004B3557"/>
    <w:rsid w:val="004B3569"/>
    <w:rsid w:val="004B3593"/>
    <w:rsid w:val="004B35B6"/>
    <w:rsid w:val="004B35BC"/>
    <w:rsid w:val="004B35C8"/>
    <w:rsid w:val="004B3610"/>
    <w:rsid w:val="004B3655"/>
    <w:rsid w:val="004B3674"/>
    <w:rsid w:val="004B369F"/>
    <w:rsid w:val="004B36C0"/>
    <w:rsid w:val="004B36D7"/>
    <w:rsid w:val="004B36F3"/>
    <w:rsid w:val="004B371E"/>
    <w:rsid w:val="004B37B6"/>
    <w:rsid w:val="004B3841"/>
    <w:rsid w:val="004B385C"/>
    <w:rsid w:val="004B3891"/>
    <w:rsid w:val="004B3894"/>
    <w:rsid w:val="004B38B6"/>
    <w:rsid w:val="004B3909"/>
    <w:rsid w:val="004B3913"/>
    <w:rsid w:val="004B3926"/>
    <w:rsid w:val="004B392A"/>
    <w:rsid w:val="004B3933"/>
    <w:rsid w:val="004B394C"/>
    <w:rsid w:val="004B394D"/>
    <w:rsid w:val="004B394E"/>
    <w:rsid w:val="004B3993"/>
    <w:rsid w:val="004B39A9"/>
    <w:rsid w:val="004B39D8"/>
    <w:rsid w:val="004B3A30"/>
    <w:rsid w:val="004B3AAE"/>
    <w:rsid w:val="004B3B43"/>
    <w:rsid w:val="004B3B66"/>
    <w:rsid w:val="004B3B7A"/>
    <w:rsid w:val="004B3B81"/>
    <w:rsid w:val="004B3B92"/>
    <w:rsid w:val="004B3BBB"/>
    <w:rsid w:val="004B3BFD"/>
    <w:rsid w:val="004B3C10"/>
    <w:rsid w:val="004B3C27"/>
    <w:rsid w:val="004B3C35"/>
    <w:rsid w:val="004B3C6F"/>
    <w:rsid w:val="004B3C96"/>
    <w:rsid w:val="004B3CDE"/>
    <w:rsid w:val="004B3D46"/>
    <w:rsid w:val="004B3D60"/>
    <w:rsid w:val="004B3D75"/>
    <w:rsid w:val="004B3D81"/>
    <w:rsid w:val="004B3E86"/>
    <w:rsid w:val="004B3F25"/>
    <w:rsid w:val="004B4027"/>
    <w:rsid w:val="004B407B"/>
    <w:rsid w:val="004B4084"/>
    <w:rsid w:val="004B4147"/>
    <w:rsid w:val="004B4194"/>
    <w:rsid w:val="004B41C9"/>
    <w:rsid w:val="004B42E3"/>
    <w:rsid w:val="004B4324"/>
    <w:rsid w:val="004B439B"/>
    <w:rsid w:val="004B443A"/>
    <w:rsid w:val="004B446A"/>
    <w:rsid w:val="004B4473"/>
    <w:rsid w:val="004B450D"/>
    <w:rsid w:val="004B4552"/>
    <w:rsid w:val="004B4557"/>
    <w:rsid w:val="004B4566"/>
    <w:rsid w:val="004B45E5"/>
    <w:rsid w:val="004B45F3"/>
    <w:rsid w:val="004B45FE"/>
    <w:rsid w:val="004B4615"/>
    <w:rsid w:val="004B464D"/>
    <w:rsid w:val="004B4656"/>
    <w:rsid w:val="004B4660"/>
    <w:rsid w:val="004B46CB"/>
    <w:rsid w:val="004B46F2"/>
    <w:rsid w:val="004B4774"/>
    <w:rsid w:val="004B47A4"/>
    <w:rsid w:val="004B47B7"/>
    <w:rsid w:val="004B47C6"/>
    <w:rsid w:val="004B47E3"/>
    <w:rsid w:val="004B47E6"/>
    <w:rsid w:val="004B48AD"/>
    <w:rsid w:val="004B4918"/>
    <w:rsid w:val="004B492D"/>
    <w:rsid w:val="004B49A4"/>
    <w:rsid w:val="004B49E5"/>
    <w:rsid w:val="004B4A41"/>
    <w:rsid w:val="004B4AA5"/>
    <w:rsid w:val="004B4AC0"/>
    <w:rsid w:val="004B4BDB"/>
    <w:rsid w:val="004B4C8D"/>
    <w:rsid w:val="004B4C91"/>
    <w:rsid w:val="004B4C93"/>
    <w:rsid w:val="004B4CA6"/>
    <w:rsid w:val="004B4CAD"/>
    <w:rsid w:val="004B4D34"/>
    <w:rsid w:val="004B4D3D"/>
    <w:rsid w:val="004B4D4A"/>
    <w:rsid w:val="004B4D55"/>
    <w:rsid w:val="004B4E21"/>
    <w:rsid w:val="004B4E2A"/>
    <w:rsid w:val="004B4E7F"/>
    <w:rsid w:val="004B4FA1"/>
    <w:rsid w:val="004B503F"/>
    <w:rsid w:val="004B50E6"/>
    <w:rsid w:val="004B50E7"/>
    <w:rsid w:val="004B5106"/>
    <w:rsid w:val="004B5142"/>
    <w:rsid w:val="004B5149"/>
    <w:rsid w:val="004B5150"/>
    <w:rsid w:val="004B515D"/>
    <w:rsid w:val="004B5175"/>
    <w:rsid w:val="004B522F"/>
    <w:rsid w:val="004B528D"/>
    <w:rsid w:val="004B52A2"/>
    <w:rsid w:val="004B52B4"/>
    <w:rsid w:val="004B52F2"/>
    <w:rsid w:val="004B537B"/>
    <w:rsid w:val="004B53A2"/>
    <w:rsid w:val="004B53D6"/>
    <w:rsid w:val="004B53D7"/>
    <w:rsid w:val="004B5416"/>
    <w:rsid w:val="004B5448"/>
    <w:rsid w:val="004B544E"/>
    <w:rsid w:val="004B546D"/>
    <w:rsid w:val="004B555C"/>
    <w:rsid w:val="004B5570"/>
    <w:rsid w:val="004B55BA"/>
    <w:rsid w:val="004B55CA"/>
    <w:rsid w:val="004B55CD"/>
    <w:rsid w:val="004B5675"/>
    <w:rsid w:val="004B567F"/>
    <w:rsid w:val="004B5689"/>
    <w:rsid w:val="004B5690"/>
    <w:rsid w:val="004B56C1"/>
    <w:rsid w:val="004B56D3"/>
    <w:rsid w:val="004B56D4"/>
    <w:rsid w:val="004B56E2"/>
    <w:rsid w:val="004B56E9"/>
    <w:rsid w:val="004B574B"/>
    <w:rsid w:val="004B5845"/>
    <w:rsid w:val="004B5890"/>
    <w:rsid w:val="004B590E"/>
    <w:rsid w:val="004B596C"/>
    <w:rsid w:val="004B5986"/>
    <w:rsid w:val="004B59CB"/>
    <w:rsid w:val="004B59D5"/>
    <w:rsid w:val="004B59FB"/>
    <w:rsid w:val="004B5A1F"/>
    <w:rsid w:val="004B5A3C"/>
    <w:rsid w:val="004B5A70"/>
    <w:rsid w:val="004B5A74"/>
    <w:rsid w:val="004B5B15"/>
    <w:rsid w:val="004B5B1D"/>
    <w:rsid w:val="004B5B31"/>
    <w:rsid w:val="004B5B45"/>
    <w:rsid w:val="004B5B57"/>
    <w:rsid w:val="004B5B5A"/>
    <w:rsid w:val="004B5B84"/>
    <w:rsid w:val="004B5BD0"/>
    <w:rsid w:val="004B5BF9"/>
    <w:rsid w:val="004B5C1A"/>
    <w:rsid w:val="004B5C33"/>
    <w:rsid w:val="004B5C4E"/>
    <w:rsid w:val="004B5C64"/>
    <w:rsid w:val="004B5CC2"/>
    <w:rsid w:val="004B5D3D"/>
    <w:rsid w:val="004B5D81"/>
    <w:rsid w:val="004B5D91"/>
    <w:rsid w:val="004B5D9F"/>
    <w:rsid w:val="004B5DB6"/>
    <w:rsid w:val="004B5DD1"/>
    <w:rsid w:val="004B5E78"/>
    <w:rsid w:val="004B5EBD"/>
    <w:rsid w:val="004B5EDE"/>
    <w:rsid w:val="004B5F27"/>
    <w:rsid w:val="004B5F85"/>
    <w:rsid w:val="004B5F98"/>
    <w:rsid w:val="004B5F9D"/>
    <w:rsid w:val="004B5FAB"/>
    <w:rsid w:val="004B5FF4"/>
    <w:rsid w:val="004B6032"/>
    <w:rsid w:val="004B6077"/>
    <w:rsid w:val="004B6094"/>
    <w:rsid w:val="004B60C9"/>
    <w:rsid w:val="004B60F2"/>
    <w:rsid w:val="004B6102"/>
    <w:rsid w:val="004B6163"/>
    <w:rsid w:val="004B6165"/>
    <w:rsid w:val="004B61F1"/>
    <w:rsid w:val="004B6230"/>
    <w:rsid w:val="004B6235"/>
    <w:rsid w:val="004B6273"/>
    <w:rsid w:val="004B62C7"/>
    <w:rsid w:val="004B62D2"/>
    <w:rsid w:val="004B62EF"/>
    <w:rsid w:val="004B630F"/>
    <w:rsid w:val="004B637F"/>
    <w:rsid w:val="004B63C5"/>
    <w:rsid w:val="004B642E"/>
    <w:rsid w:val="004B64ED"/>
    <w:rsid w:val="004B6510"/>
    <w:rsid w:val="004B652E"/>
    <w:rsid w:val="004B655B"/>
    <w:rsid w:val="004B65DA"/>
    <w:rsid w:val="004B6630"/>
    <w:rsid w:val="004B663D"/>
    <w:rsid w:val="004B6661"/>
    <w:rsid w:val="004B6662"/>
    <w:rsid w:val="004B668B"/>
    <w:rsid w:val="004B66F5"/>
    <w:rsid w:val="004B670C"/>
    <w:rsid w:val="004B68B0"/>
    <w:rsid w:val="004B68FE"/>
    <w:rsid w:val="004B692E"/>
    <w:rsid w:val="004B6947"/>
    <w:rsid w:val="004B69B5"/>
    <w:rsid w:val="004B69D3"/>
    <w:rsid w:val="004B69EC"/>
    <w:rsid w:val="004B6A20"/>
    <w:rsid w:val="004B6A97"/>
    <w:rsid w:val="004B6B3A"/>
    <w:rsid w:val="004B6B85"/>
    <w:rsid w:val="004B6BCB"/>
    <w:rsid w:val="004B6BF2"/>
    <w:rsid w:val="004B6C66"/>
    <w:rsid w:val="004B6C8B"/>
    <w:rsid w:val="004B6C94"/>
    <w:rsid w:val="004B6C9F"/>
    <w:rsid w:val="004B6DC8"/>
    <w:rsid w:val="004B6E60"/>
    <w:rsid w:val="004B6EB1"/>
    <w:rsid w:val="004B6EC1"/>
    <w:rsid w:val="004B6ED8"/>
    <w:rsid w:val="004B6EF9"/>
    <w:rsid w:val="004B6F7F"/>
    <w:rsid w:val="004B6F9F"/>
    <w:rsid w:val="004B6FBC"/>
    <w:rsid w:val="004B6FFE"/>
    <w:rsid w:val="004B706C"/>
    <w:rsid w:val="004B7106"/>
    <w:rsid w:val="004B7113"/>
    <w:rsid w:val="004B717E"/>
    <w:rsid w:val="004B7193"/>
    <w:rsid w:val="004B71D2"/>
    <w:rsid w:val="004B7275"/>
    <w:rsid w:val="004B7298"/>
    <w:rsid w:val="004B737B"/>
    <w:rsid w:val="004B7381"/>
    <w:rsid w:val="004B73A2"/>
    <w:rsid w:val="004B73E7"/>
    <w:rsid w:val="004B7416"/>
    <w:rsid w:val="004B7457"/>
    <w:rsid w:val="004B7471"/>
    <w:rsid w:val="004B7479"/>
    <w:rsid w:val="004B74B5"/>
    <w:rsid w:val="004B74E8"/>
    <w:rsid w:val="004B7509"/>
    <w:rsid w:val="004B7547"/>
    <w:rsid w:val="004B7571"/>
    <w:rsid w:val="004B7578"/>
    <w:rsid w:val="004B762E"/>
    <w:rsid w:val="004B76A7"/>
    <w:rsid w:val="004B7758"/>
    <w:rsid w:val="004B777D"/>
    <w:rsid w:val="004B7791"/>
    <w:rsid w:val="004B7794"/>
    <w:rsid w:val="004B77B4"/>
    <w:rsid w:val="004B77DC"/>
    <w:rsid w:val="004B77E0"/>
    <w:rsid w:val="004B77F1"/>
    <w:rsid w:val="004B78B8"/>
    <w:rsid w:val="004B7912"/>
    <w:rsid w:val="004B7932"/>
    <w:rsid w:val="004B798C"/>
    <w:rsid w:val="004B79A8"/>
    <w:rsid w:val="004B79D4"/>
    <w:rsid w:val="004B79EE"/>
    <w:rsid w:val="004B7A47"/>
    <w:rsid w:val="004B7A98"/>
    <w:rsid w:val="004B7AA6"/>
    <w:rsid w:val="004B7AB9"/>
    <w:rsid w:val="004B7AE4"/>
    <w:rsid w:val="004B7AF6"/>
    <w:rsid w:val="004B7AF8"/>
    <w:rsid w:val="004B7B25"/>
    <w:rsid w:val="004B7B2E"/>
    <w:rsid w:val="004B7B64"/>
    <w:rsid w:val="004B7BF9"/>
    <w:rsid w:val="004B7C01"/>
    <w:rsid w:val="004B7CA1"/>
    <w:rsid w:val="004B7CD0"/>
    <w:rsid w:val="004B7CE8"/>
    <w:rsid w:val="004B7D2B"/>
    <w:rsid w:val="004B7D6A"/>
    <w:rsid w:val="004B7D80"/>
    <w:rsid w:val="004B7DA5"/>
    <w:rsid w:val="004B7DC3"/>
    <w:rsid w:val="004B7DE3"/>
    <w:rsid w:val="004B7E4A"/>
    <w:rsid w:val="004B7E7E"/>
    <w:rsid w:val="004B7E9A"/>
    <w:rsid w:val="004B7EE7"/>
    <w:rsid w:val="004B7F25"/>
    <w:rsid w:val="004B7F44"/>
    <w:rsid w:val="004C0009"/>
    <w:rsid w:val="004C000B"/>
    <w:rsid w:val="004C00A0"/>
    <w:rsid w:val="004C00BB"/>
    <w:rsid w:val="004C00F5"/>
    <w:rsid w:val="004C01C4"/>
    <w:rsid w:val="004C01C5"/>
    <w:rsid w:val="004C01CC"/>
    <w:rsid w:val="004C01D5"/>
    <w:rsid w:val="004C0254"/>
    <w:rsid w:val="004C026C"/>
    <w:rsid w:val="004C02A9"/>
    <w:rsid w:val="004C03A5"/>
    <w:rsid w:val="004C03D5"/>
    <w:rsid w:val="004C03EB"/>
    <w:rsid w:val="004C048C"/>
    <w:rsid w:val="004C04DE"/>
    <w:rsid w:val="004C050C"/>
    <w:rsid w:val="004C0592"/>
    <w:rsid w:val="004C059E"/>
    <w:rsid w:val="004C05FB"/>
    <w:rsid w:val="004C05FF"/>
    <w:rsid w:val="004C0618"/>
    <w:rsid w:val="004C0650"/>
    <w:rsid w:val="004C06D7"/>
    <w:rsid w:val="004C06D9"/>
    <w:rsid w:val="004C06EA"/>
    <w:rsid w:val="004C0700"/>
    <w:rsid w:val="004C0741"/>
    <w:rsid w:val="004C076D"/>
    <w:rsid w:val="004C0780"/>
    <w:rsid w:val="004C07A4"/>
    <w:rsid w:val="004C081A"/>
    <w:rsid w:val="004C08D5"/>
    <w:rsid w:val="004C0975"/>
    <w:rsid w:val="004C0987"/>
    <w:rsid w:val="004C098E"/>
    <w:rsid w:val="004C09FF"/>
    <w:rsid w:val="004C0A3B"/>
    <w:rsid w:val="004C0A92"/>
    <w:rsid w:val="004C0AEC"/>
    <w:rsid w:val="004C0B8C"/>
    <w:rsid w:val="004C0C08"/>
    <w:rsid w:val="004C0C0D"/>
    <w:rsid w:val="004C0D11"/>
    <w:rsid w:val="004C0DB7"/>
    <w:rsid w:val="004C0E95"/>
    <w:rsid w:val="004C0EF0"/>
    <w:rsid w:val="004C0EF8"/>
    <w:rsid w:val="004C0EFD"/>
    <w:rsid w:val="004C0F6B"/>
    <w:rsid w:val="004C0F74"/>
    <w:rsid w:val="004C0FE6"/>
    <w:rsid w:val="004C1003"/>
    <w:rsid w:val="004C1037"/>
    <w:rsid w:val="004C1069"/>
    <w:rsid w:val="004C1084"/>
    <w:rsid w:val="004C10FE"/>
    <w:rsid w:val="004C1109"/>
    <w:rsid w:val="004C1197"/>
    <w:rsid w:val="004C1223"/>
    <w:rsid w:val="004C127B"/>
    <w:rsid w:val="004C1295"/>
    <w:rsid w:val="004C12F8"/>
    <w:rsid w:val="004C1315"/>
    <w:rsid w:val="004C1384"/>
    <w:rsid w:val="004C13CA"/>
    <w:rsid w:val="004C1422"/>
    <w:rsid w:val="004C1429"/>
    <w:rsid w:val="004C1442"/>
    <w:rsid w:val="004C14AE"/>
    <w:rsid w:val="004C1520"/>
    <w:rsid w:val="004C1529"/>
    <w:rsid w:val="004C1548"/>
    <w:rsid w:val="004C1590"/>
    <w:rsid w:val="004C15B9"/>
    <w:rsid w:val="004C15EF"/>
    <w:rsid w:val="004C164E"/>
    <w:rsid w:val="004C1655"/>
    <w:rsid w:val="004C167D"/>
    <w:rsid w:val="004C172E"/>
    <w:rsid w:val="004C177E"/>
    <w:rsid w:val="004C177F"/>
    <w:rsid w:val="004C1786"/>
    <w:rsid w:val="004C17B2"/>
    <w:rsid w:val="004C1837"/>
    <w:rsid w:val="004C183A"/>
    <w:rsid w:val="004C1857"/>
    <w:rsid w:val="004C186B"/>
    <w:rsid w:val="004C186E"/>
    <w:rsid w:val="004C1882"/>
    <w:rsid w:val="004C1884"/>
    <w:rsid w:val="004C1897"/>
    <w:rsid w:val="004C18C7"/>
    <w:rsid w:val="004C18D6"/>
    <w:rsid w:val="004C18FA"/>
    <w:rsid w:val="004C19E6"/>
    <w:rsid w:val="004C19FE"/>
    <w:rsid w:val="004C1A0D"/>
    <w:rsid w:val="004C1A24"/>
    <w:rsid w:val="004C1A7E"/>
    <w:rsid w:val="004C1A85"/>
    <w:rsid w:val="004C1AC4"/>
    <w:rsid w:val="004C1B2A"/>
    <w:rsid w:val="004C1B2E"/>
    <w:rsid w:val="004C1B6C"/>
    <w:rsid w:val="004C1B94"/>
    <w:rsid w:val="004C1BCB"/>
    <w:rsid w:val="004C1C07"/>
    <w:rsid w:val="004C1C58"/>
    <w:rsid w:val="004C1C64"/>
    <w:rsid w:val="004C1C77"/>
    <w:rsid w:val="004C1C7D"/>
    <w:rsid w:val="004C1CA8"/>
    <w:rsid w:val="004C1CAE"/>
    <w:rsid w:val="004C1D00"/>
    <w:rsid w:val="004C1D12"/>
    <w:rsid w:val="004C1D1D"/>
    <w:rsid w:val="004C1D63"/>
    <w:rsid w:val="004C1DA9"/>
    <w:rsid w:val="004C1DB2"/>
    <w:rsid w:val="004C1E36"/>
    <w:rsid w:val="004C1E58"/>
    <w:rsid w:val="004C1E60"/>
    <w:rsid w:val="004C1E95"/>
    <w:rsid w:val="004C1F47"/>
    <w:rsid w:val="004C1F53"/>
    <w:rsid w:val="004C1F5A"/>
    <w:rsid w:val="004C1F5B"/>
    <w:rsid w:val="004C1F64"/>
    <w:rsid w:val="004C1F88"/>
    <w:rsid w:val="004C1FA1"/>
    <w:rsid w:val="004C1FBC"/>
    <w:rsid w:val="004C1FEA"/>
    <w:rsid w:val="004C204B"/>
    <w:rsid w:val="004C204F"/>
    <w:rsid w:val="004C208D"/>
    <w:rsid w:val="004C20A5"/>
    <w:rsid w:val="004C20C2"/>
    <w:rsid w:val="004C20C4"/>
    <w:rsid w:val="004C2109"/>
    <w:rsid w:val="004C210B"/>
    <w:rsid w:val="004C211F"/>
    <w:rsid w:val="004C22A5"/>
    <w:rsid w:val="004C22EE"/>
    <w:rsid w:val="004C232C"/>
    <w:rsid w:val="004C235C"/>
    <w:rsid w:val="004C23EE"/>
    <w:rsid w:val="004C242B"/>
    <w:rsid w:val="004C24EB"/>
    <w:rsid w:val="004C251D"/>
    <w:rsid w:val="004C252B"/>
    <w:rsid w:val="004C2563"/>
    <w:rsid w:val="004C256B"/>
    <w:rsid w:val="004C25BC"/>
    <w:rsid w:val="004C25C9"/>
    <w:rsid w:val="004C25D6"/>
    <w:rsid w:val="004C25E8"/>
    <w:rsid w:val="004C260C"/>
    <w:rsid w:val="004C2610"/>
    <w:rsid w:val="004C2693"/>
    <w:rsid w:val="004C26C4"/>
    <w:rsid w:val="004C2765"/>
    <w:rsid w:val="004C276E"/>
    <w:rsid w:val="004C2855"/>
    <w:rsid w:val="004C2921"/>
    <w:rsid w:val="004C296A"/>
    <w:rsid w:val="004C29D7"/>
    <w:rsid w:val="004C29FD"/>
    <w:rsid w:val="004C2A05"/>
    <w:rsid w:val="004C2A1B"/>
    <w:rsid w:val="004C2AC5"/>
    <w:rsid w:val="004C2AD9"/>
    <w:rsid w:val="004C2AEC"/>
    <w:rsid w:val="004C2AF1"/>
    <w:rsid w:val="004C2AFF"/>
    <w:rsid w:val="004C2BC7"/>
    <w:rsid w:val="004C2BCE"/>
    <w:rsid w:val="004C2C7B"/>
    <w:rsid w:val="004C2CC3"/>
    <w:rsid w:val="004C2D96"/>
    <w:rsid w:val="004C2DBE"/>
    <w:rsid w:val="004C2E16"/>
    <w:rsid w:val="004C2E42"/>
    <w:rsid w:val="004C2E58"/>
    <w:rsid w:val="004C2E79"/>
    <w:rsid w:val="004C2F01"/>
    <w:rsid w:val="004C2FAB"/>
    <w:rsid w:val="004C3071"/>
    <w:rsid w:val="004C3079"/>
    <w:rsid w:val="004C3092"/>
    <w:rsid w:val="004C30D5"/>
    <w:rsid w:val="004C3135"/>
    <w:rsid w:val="004C3150"/>
    <w:rsid w:val="004C3198"/>
    <w:rsid w:val="004C31E1"/>
    <w:rsid w:val="004C31E8"/>
    <w:rsid w:val="004C3262"/>
    <w:rsid w:val="004C3279"/>
    <w:rsid w:val="004C32C7"/>
    <w:rsid w:val="004C336B"/>
    <w:rsid w:val="004C3395"/>
    <w:rsid w:val="004C33C3"/>
    <w:rsid w:val="004C33DB"/>
    <w:rsid w:val="004C3408"/>
    <w:rsid w:val="004C342D"/>
    <w:rsid w:val="004C3456"/>
    <w:rsid w:val="004C34D1"/>
    <w:rsid w:val="004C3503"/>
    <w:rsid w:val="004C354A"/>
    <w:rsid w:val="004C358B"/>
    <w:rsid w:val="004C3597"/>
    <w:rsid w:val="004C35E3"/>
    <w:rsid w:val="004C3627"/>
    <w:rsid w:val="004C3636"/>
    <w:rsid w:val="004C3650"/>
    <w:rsid w:val="004C3683"/>
    <w:rsid w:val="004C37B3"/>
    <w:rsid w:val="004C380E"/>
    <w:rsid w:val="004C3810"/>
    <w:rsid w:val="004C3858"/>
    <w:rsid w:val="004C38A9"/>
    <w:rsid w:val="004C38B7"/>
    <w:rsid w:val="004C38C5"/>
    <w:rsid w:val="004C38CA"/>
    <w:rsid w:val="004C38F1"/>
    <w:rsid w:val="004C391B"/>
    <w:rsid w:val="004C399F"/>
    <w:rsid w:val="004C3A0C"/>
    <w:rsid w:val="004C3A98"/>
    <w:rsid w:val="004C3B04"/>
    <w:rsid w:val="004C3B29"/>
    <w:rsid w:val="004C3B4A"/>
    <w:rsid w:val="004C3B5D"/>
    <w:rsid w:val="004C3BAC"/>
    <w:rsid w:val="004C3C26"/>
    <w:rsid w:val="004C3C30"/>
    <w:rsid w:val="004C3C82"/>
    <w:rsid w:val="004C3C8C"/>
    <w:rsid w:val="004C3CB8"/>
    <w:rsid w:val="004C3CC6"/>
    <w:rsid w:val="004C3CD0"/>
    <w:rsid w:val="004C3D09"/>
    <w:rsid w:val="004C3D5B"/>
    <w:rsid w:val="004C3DDA"/>
    <w:rsid w:val="004C3DEC"/>
    <w:rsid w:val="004C3DFA"/>
    <w:rsid w:val="004C3E09"/>
    <w:rsid w:val="004C3EC5"/>
    <w:rsid w:val="004C3F33"/>
    <w:rsid w:val="004C3FB9"/>
    <w:rsid w:val="004C3FD2"/>
    <w:rsid w:val="004C40D1"/>
    <w:rsid w:val="004C4102"/>
    <w:rsid w:val="004C413A"/>
    <w:rsid w:val="004C41BF"/>
    <w:rsid w:val="004C422C"/>
    <w:rsid w:val="004C42C7"/>
    <w:rsid w:val="004C42F8"/>
    <w:rsid w:val="004C4309"/>
    <w:rsid w:val="004C432C"/>
    <w:rsid w:val="004C4350"/>
    <w:rsid w:val="004C4398"/>
    <w:rsid w:val="004C43F9"/>
    <w:rsid w:val="004C4400"/>
    <w:rsid w:val="004C444E"/>
    <w:rsid w:val="004C4483"/>
    <w:rsid w:val="004C44B8"/>
    <w:rsid w:val="004C44E2"/>
    <w:rsid w:val="004C450E"/>
    <w:rsid w:val="004C4513"/>
    <w:rsid w:val="004C4519"/>
    <w:rsid w:val="004C4542"/>
    <w:rsid w:val="004C4543"/>
    <w:rsid w:val="004C455D"/>
    <w:rsid w:val="004C4581"/>
    <w:rsid w:val="004C4590"/>
    <w:rsid w:val="004C45A9"/>
    <w:rsid w:val="004C45BC"/>
    <w:rsid w:val="004C45C5"/>
    <w:rsid w:val="004C4615"/>
    <w:rsid w:val="004C464F"/>
    <w:rsid w:val="004C467B"/>
    <w:rsid w:val="004C46AB"/>
    <w:rsid w:val="004C46B1"/>
    <w:rsid w:val="004C4706"/>
    <w:rsid w:val="004C470D"/>
    <w:rsid w:val="004C4727"/>
    <w:rsid w:val="004C474D"/>
    <w:rsid w:val="004C4780"/>
    <w:rsid w:val="004C47A4"/>
    <w:rsid w:val="004C47A9"/>
    <w:rsid w:val="004C4810"/>
    <w:rsid w:val="004C4875"/>
    <w:rsid w:val="004C487F"/>
    <w:rsid w:val="004C489A"/>
    <w:rsid w:val="004C48A2"/>
    <w:rsid w:val="004C4931"/>
    <w:rsid w:val="004C4960"/>
    <w:rsid w:val="004C4984"/>
    <w:rsid w:val="004C49CD"/>
    <w:rsid w:val="004C4A2D"/>
    <w:rsid w:val="004C4A33"/>
    <w:rsid w:val="004C4A68"/>
    <w:rsid w:val="004C4AAD"/>
    <w:rsid w:val="004C4AD1"/>
    <w:rsid w:val="004C4AE6"/>
    <w:rsid w:val="004C4AF0"/>
    <w:rsid w:val="004C4B0E"/>
    <w:rsid w:val="004C4B2A"/>
    <w:rsid w:val="004C4B9F"/>
    <w:rsid w:val="004C4BC6"/>
    <w:rsid w:val="004C4BDB"/>
    <w:rsid w:val="004C4BF5"/>
    <w:rsid w:val="004C4C2A"/>
    <w:rsid w:val="004C4C50"/>
    <w:rsid w:val="004C4C70"/>
    <w:rsid w:val="004C4CC5"/>
    <w:rsid w:val="004C4D4C"/>
    <w:rsid w:val="004C4DB2"/>
    <w:rsid w:val="004C4DDD"/>
    <w:rsid w:val="004C4E50"/>
    <w:rsid w:val="004C4E6E"/>
    <w:rsid w:val="004C4EB9"/>
    <w:rsid w:val="004C4EE1"/>
    <w:rsid w:val="004C4F1A"/>
    <w:rsid w:val="004C4F33"/>
    <w:rsid w:val="004C4F38"/>
    <w:rsid w:val="004C4F48"/>
    <w:rsid w:val="004C4F68"/>
    <w:rsid w:val="004C5051"/>
    <w:rsid w:val="004C5055"/>
    <w:rsid w:val="004C5097"/>
    <w:rsid w:val="004C50E0"/>
    <w:rsid w:val="004C50E6"/>
    <w:rsid w:val="004C51B1"/>
    <w:rsid w:val="004C51DD"/>
    <w:rsid w:val="004C520F"/>
    <w:rsid w:val="004C5258"/>
    <w:rsid w:val="004C5298"/>
    <w:rsid w:val="004C52CA"/>
    <w:rsid w:val="004C532D"/>
    <w:rsid w:val="004C535D"/>
    <w:rsid w:val="004C537A"/>
    <w:rsid w:val="004C53B9"/>
    <w:rsid w:val="004C5404"/>
    <w:rsid w:val="004C54A4"/>
    <w:rsid w:val="004C5530"/>
    <w:rsid w:val="004C5583"/>
    <w:rsid w:val="004C55DE"/>
    <w:rsid w:val="004C55FB"/>
    <w:rsid w:val="004C5617"/>
    <w:rsid w:val="004C561B"/>
    <w:rsid w:val="004C56BF"/>
    <w:rsid w:val="004C573C"/>
    <w:rsid w:val="004C5788"/>
    <w:rsid w:val="004C57CD"/>
    <w:rsid w:val="004C5824"/>
    <w:rsid w:val="004C5840"/>
    <w:rsid w:val="004C5871"/>
    <w:rsid w:val="004C5879"/>
    <w:rsid w:val="004C5937"/>
    <w:rsid w:val="004C594A"/>
    <w:rsid w:val="004C59B6"/>
    <w:rsid w:val="004C59CA"/>
    <w:rsid w:val="004C5A03"/>
    <w:rsid w:val="004C5A04"/>
    <w:rsid w:val="004C5A3D"/>
    <w:rsid w:val="004C5A62"/>
    <w:rsid w:val="004C5AA5"/>
    <w:rsid w:val="004C5ABE"/>
    <w:rsid w:val="004C5ACE"/>
    <w:rsid w:val="004C5AE8"/>
    <w:rsid w:val="004C5B1F"/>
    <w:rsid w:val="004C5B2A"/>
    <w:rsid w:val="004C5B3F"/>
    <w:rsid w:val="004C5B40"/>
    <w:rsid w:val="004C5B48"/>
    <w:rsid w:val="004C5BA1"/>
    <w:rsid w:val="004C5BC4"/>
    <w:rsid w:val="004C5BFD"/>
    <w:rsid w:val="004C5C68"/>
    <w:rsid w:val="004C5C91"/>
    <w:rsid w:val="004C5CB6"/>
    <w:rsid w:val="004C5D02"/>
    <w:rsid w:val="004C5D2D"/>
    <w:rsid w:val="004C5D53"/>
    <w:rsid w:val="004C5D60"/>
    <w:rsid w:val="004C5D81"/>
    <w:rsid w:val="004C5D85"/>
    <w:rsid w:val="004C5DB4"/>
    <w:rsid w:val="004C5DD8"/>
    <w:rsid w:val="004C5E34"/>
    <w:rsid w:val="004C5E71"/>
    <w:rsid w:val="004C5EBF"/>
    <w:rsid w:val="004C5EFB"/>
    <w:rsid w:val="004C5F52"/>
    <w:rsid w:val="004C5F73"/>
    <w:rsid w:val="004C5F90"/>
    <w:rsid w:val="004C5FBE"/>
    <w:rsid w:val="004C5FC5"/>
    <w:rsid w:val="004C5FE8"/>
    <w:rsid w:val="004C602E"/>
    <w:rsid w:val="004C6075"/>
    <w:rsid w:val="004C6094"/>
    <w:rsid w:val="004C60BF"/>
    <w:rsid w:val="004C60D1"/>
    <w:rsid w:val="004C60D8"/>
    <w:rsid w:val="004C60E0"/>
    <w:rsid w:val="004C6152"/>
    <w:rsid w:val="004C61AD"/>
    <w:rsid w:val="004C61EF"/>
    <w:rsid w:val="004C61FF"/>
    <w:rsid w:val="004C6219"/>
    <w:rsid w:val="004C626F"/>
    <w:rsid w:val="004C62AE"/>
    <w:rsid w:val="004C6333"/>
    <w:rsid w:val="004C6334"/>
    <w:rsid w:val="004C63CD"/>
    <w:rsid w:val="004C6417"/>
    <w:rsid w:val="004C643E"/>
    <w:rsid w:val="004C645A"/>
    <w:rsid w:val="004C645E"/>
    <w:rsid w:val="004C6460"/>
    <w:rsid w:val="004C64BA"/>
    <w:rsid w:val="004C64D0"/>
    <w:rsid w:val="004C6537"/>
    <w:rsid w:val="004C65C6"/>
    <w:rsid w:val="004C65DE"/>
    <w:rsid w:val="004C65EA"/>
    <w:rsid w:val="004C664C"/>
    <w:rsid w:val="004C668E"/>
    <w:rsid w:val="004C66D8"/>
    <w:rsid w:val="004C6715"/>
    <w:rsid w:val="004C6744"/>
    <w:rsid w:val="004C678A"/>
    <w:rsid w:val="004C678D"/>
    <w:rsid w:val="004C6799"/>
    <w:rsid w:val="004C67A4"/>
    <w:rsid w:val="004C67E6"/>
    <w:rsid w:val="004C681A"/>
    <w:rsid w:val="004C6858"/>
    <w:rsid w:val="004C692A"/>
    <w:rsid w:val="004C6947"/>
    <w:rsid w:val="004C6973"/>
    <w:rsid w:val="004C69FE"/>
    <w:rsid w:val="004C6A01"/>
    <w:rsid w:val="004C6A27"/>
    <w:rsid w:val="004C6A35"/>
    <w:rsid w:val="004C6A44"/>
    <w:rsid w:val="004C6A69"/>
    <w:rsid w:val="004C6B10"/>
    <w:rsid w:val="004C6B3E"/>
    <w:rsid w:val="004C6B4A"/>
    <w:rsid w:val="004C6B56"/>
    <w:rsid w:val="004C6B90"/>
    <w:rsid w:val="004C6BBA"/>
    <w:rsid w:val="004C6BDA"/>
    <w:rsid w:val="004C6BFD"/>
    <w:rsid w:val="004C6C01"/>
    <w:rsid w:val="004C6C2F"/>
    <w:rsid w:val="004C6CD1"/>
    <w:rsid w:val="004C6D34"/>
    <w:rsid w:val="004C6D4A"/>
    <w:rsid w:val="004C6DC5"/>
    <w:rsid w:val="004C6DCE"/>
    <w:rsid w:val="004C6E3C"/>
    <w:rsid w:val="004C6E6A"/>
    <w:rsid w:val="004C6E93"/>
    <w:rsid w:val="004C6EDC"/>
    <w:rsid w:val="004C6EF2"/>
    <w:rsid w:val="004C6F28"/>
    <w:rsid w:val="004C6F6E"/>
    <w:rsid w:val="004C6F72"/>
    <w:rsid w:val="004C6F8E"/>
    <w:rsid w:val="004C6FA6"/>
    <w:rsid w:val="004C707D"/>
    <w:rsid w:val="004C70CD"/>
    <w:rsid w:val="004C70D4"/>
    <w:rsid w:val="004C711E"/>
    <w:rsid w:val="004C7133"/>
    <w:rsid w:val="004C7137"/>
    <w:rsid w:val="004C7147"/>
    <w:rsid w:val="004C7158"/>
    <w:rsid w:val="004C71C1"/>
    <w:rsid w:val="004C71C9"/>
    <w:rsid w:val="004C71E9"/>
    <w:rsid w:val="004C720C"/>
    <w:rsid w:val="004C732A"/>
    <w:rsid w:val="004C733D"/>
    <w:rsid w:val="004C7358"/>
    <w:rsid w:val="004C73AE"/>
    <w:rsid w:val="004C7419"/>
    <w:rsid w:val="004C7436"/>
    <w:rsid w:val="004C743A"/>
    <w:rsid w:val="004C7442"/>
    <w:rsid w:val="004C7445"/>
    <w:rsid w:val="004C74CD"/>
    <w:rsid w:val="004C74D7"/>
    <w:rsid w:val="004C7555"/>
    <w:rsid w:val="004C7568"/>
    <w:rsid w:val="004C7582"/>
    <w:rsid w:val="004C7587"/>
    <w:rsid w:val="004C758A"/>
    <w:rsid w:val="004C75AC"/>
    <w:rsid w:val="004C75FA"/>
    <w:rsid w:val="004C761A"/>
    <w:rsid w:val="004C7641"/>
    <w:rsid w:val="004C7673"/>
    <w:rsid w:val="004C7719"/>
    <w:rsid w:val="004C771F"/>
    <w:rsid w:val="004C7750"/>
    <w:rsid w:val="004C7760"/>
    <w:rsid w:val="004C7773"/>
    <w:rsid w:val="004C778E"/>
    <w:rsid w:val="004C77DA"/>
    <w:rsid w:val="004C7811"/>
    <w:rsid w:val="004C7819"/>
    <w:rsid w:val="004C7822"/>
    <w:rsid w:val="004C786C"/>
    <w:rsid w:val="004C7871"/>
    <w:rsid w:val="004C78E1"/>
    <w:rsid w:val="004C7970"/>
    <w:rsid w:val="004C7A6F"/>
    <w:rsid w:val="004C7AD9"/>
    <w:rsid w:val="004C7B2F"/>
    <w:rsid w:val="004C7B44"/>
    <w:rsid w:val="004C7B49"/>
    <w:rsid w:val="004C7B61"/>
    <w:rsid w:val="004C7B73"/>
    <w:rsid w:val="004C7C47"/>
    <w:rsid w:val="004C7C5E"/>
    <w:rsid w:val="004C7C9B"/>
    <w:rsid w:val="004C7CBA"/>
    <w:rsid w:val="004C7CF8"/>
    <w:rsid w:val="004C7D0D"/>
    <w:rsid w:val="004C7D81"/>
    <w:rsid w:val="004C7D8D"/>
    <w:rsid w:val="004C7D94"/>
    <w:rsid w:val="004C7DEC"/>
    <w:rsid w:val="004C7DFA"/>
    <w:rsid w:val="004C7EA7"/>
    <w:rsid w:val="004C7EDB"/>
    <w:rsid w:val="004C7EE4"/>
    <w:rsid w:val="004C7F12"/>
    <w:rsid w:val="004C7F47"/>
    <w:rsid w:val="004C7FA9"/>
    <w:rsid w:val="004C7FE5"/>
    <w:rsid w:val="004C7FE8"/>
    <w:rsid w:val="004D0032"/>
    <w:rsid w:val="004D004F"/>
    <w:rsid w:val="004D006B"/>
    <w:rsid w:val="004D0076"/>
    <w:rsid w:val="004D00A0"/>
    <w:rsid w:val="004D00B2"/>
    <w:rsid w:val="004D0110"/>
    <w:rsid w:val="004D011F"/>
    <w:rsid w:val="004D0142"/>
    <w:rsid w:val="004D0173"/>
    <w:rsid w:val="004D017E"/>
    <w:rsid w:val="004D01CC"/>
    <w:rsid w:val="004D01EF"/>
    <w:rsid w:val="004D0210"/>
    <w:rsid w:val="004D0295"/>
    <w:rsid w:val="004D02A0"/>
    <w:rsid w:val="004D02C4"/>
    <w:rsid w:val="004D0309"/>
    <w:rsid w:val="004D0327"/>
    <w:rsid w:val="004D0432"/>
    <w:rsid w:val="004D048C"/>
    <w:rsid w:val="004D04BE"/>
    <w:rsid w:val="004D04F2"/>
    <w:rsid w:val="004D0513"/>
    <w:rsid w:val="004D055C"/>
    <w:rsid w:val="004D0567"/>
    <w:rsid w:val="004D0598"/>
    <w:rsid w:val="004D059D"/>
    <w:rsid w:val="004D05AC"/>
    <w:rsid w:val="004D05D9"/>
    <w:rsid w:val="004D0628"/>
    <w:rsid w:val="004D076C"/>
    <w:rsid w:val="004D07C8"/>
    <w:rsid w:val="004D07E7"/>
    <w:rsid w:val="004D080F"/>
    <w:rsid w:val="004D08FC"/>
    <w:rsid w:val="004D0959"/>
    <w:rsid w:val="004D097E"/>
    <w:rsid w:val="004D0986"/>
    <w:rsid w:val="004D09C0"/>
    <w:rsid w:val="004D09C4"/>
    <w:rsid w:val="004D0A2D"/>
    <w:rsid w:val="004D0B77"/>
    <w:rsid w:val="004D0B79"/>
    <w:rsid w:val="004D0BA5"/>
    <w:rsid w:val="004D0BC3"/>
    <w:rsid w:val="004D0BF9"/>
    <w:rsid w:val="004D0C09"/>
    <w:rsid w:val="004D0C3E"/>
    <w:rsid w:val="004D0CA6"/>
    <w:rsid w:val="004D0CBE"/>
    <w:rsid w:val="004D0CD0"/>
    <w:rsid w:val="004D0D1B"/>
    <w:rsid w:val="004D0D1F"/>
    <w:rsid w:val="004D0D95"/>
    <w:rsid w:val="004D0DA9"/>
    <w:rsid w:val="004D0E39"/>
    <w:rsid w:val="004D0E6A"/>
    <w:rsid w:val="004D0EDB"/>
    <w:rsid w:val="004D0F6A"/>
    <w:rsid w:val="004D0F77"/>
    <w:rsid w:val="004D0FC5"/>
    <w:rsid w:val="004D0FEA"/>
    <w:rsid w:val="004D1038"/>
    <w:rsid w:val="004D1052"/>
    <w:rsid w:val="004D10A5"/>
    <w:rsid w:val="004D10AE"/>
    <w:rsid w:val="004D115C"/>
    <w:rsid w:val="004D1209"/>
    <w:rsid w:val="004D126D"/>
    <w:rsid w:val="004D1282"/>
    <w:rsid w:val="004D1350"/>
    <w:rsid w:val="004D13CC"/>
    <w:rsid w:val="004D13CF"/>
    <w:rsid w:val="004D1467"/>
    <w:rsid w:val="004D14C0"/>
    <w:rsid w:val="004D14D1"/>
    <w:rsid w:val="004D1504"/>
    <w:rsid w:val="004D1564"/>
    <w:rsid w:val="004D156C"/>
    <w:rsid w:val="004D15E7"/>
    <w:rsid w:val="004D1657"/>
    <w:rsid w:val="004D169B"/>
    <w:rsid w:val="004D16AA"/>
    <w:rsid w:val="004D16AC"/>
    <w:rsid w:val="004D1712"/>
    <w:rsid w:val="004D171A"/>
    <w:rsid w:val="004D1732"/>
    <w:rsid w:val="004D175D"/>
    <w:rsid w:val="004D1782"/>
    <w:rsid w:val="004D1795"/>
    <w:rsid w:val="004D179D"/>
    <w:rsid w:val="004D17BB"/>
    <w:rsid w:val="004D17BF"/>
    <w:rsid w:val="004D1833"/>
    <w:rsid w:val="004D1836"/>
    <w:rsid w:val="004D18B4"/>
    <w:rsid w:val="004D18D6"/>
    <w:rsid w:val="004D18E2"/>
    <w:rsid w:val="004D19B8"/>
    <w:rsid w:val="004D19E9"/>
    <w:rsid w:val="004D1A08"/>
    <w:rsid w:val="004D1A0F"/>
    <w:rsid w:val="004D1A22"/>
    <w:rsid w:val="004D1AA2"/>
    <w:rsid w:val="004D1AA4"/>
    <w:rsid w:val="004D1B94"/>
    <w:rsid w:val="004D1BFD"/>
    <w:rsid w:val="004D1C96"/>
    <w:rsid w:val="004D1CA7"/>
    <w:rsid w:val="004D1CD8"/>
    <w:rsid w:val="004D1CF7"/>
    <w:rsid w:val="004D1CFA"/>
    <w:rsid w:val="004D1D45"/>
    <w:rsid w:val="004D1D48"/>
    <w:rsid w:val="004D1D50"/>
    <w:rsid w:val="004D1D68"/>
    <w:rsid w:val="004D1D79"/>
    <w:rsid w:val="004D1DA2"/>
    <w:rsid w:val="004D1DF4"/>
    <w:rsid w:val="004D1E22"/>
    <w:rsid w:val="004D1EDA"/>
    <w:rsid w:val="004D1F42"/>
    <w:rsid w:val="004D1F6F"/>
    <w:rsid w:val="004D1FDA"/>
    <w:rsid w:val="004D2021"/>
    <w:rsid w:val="004D204C"/>
    <w:rsid w:val="004D2076"/>
    <w:rsid w:val="004D20D0"/>
    <w:rsid w:val="004D20D5"/>
    <w:rsid w:val="004D20D6"/>
    <w:rsid w:val="004D20F3"/>
    <w:rsid w:val="004D214F"/>
    <w:rsid w:val="004D21B5"/>
    <w:rsid w:val="004D221E"/>
    <w:rsid w:val="004D2220"/>
    <w:rsid w:val="004D222A"/>
    <w:rsid w:val="004D22A3"/>
    <w:rsid w:val="004D22A5"/>
    <w:rsid w:val="004D22BB"/>
    <w:rsid w:val="004D22C7"/>
    <w:rsid w:val="004D22D1"/>
    <w:rsid w:val="004D22E9"/>
    <w:rsid w:val="004D2366"/>
    <w:rsid w:val="004D23A0"/>
    <w:rsid w:val="004D23CB"/>
    <w:rsid w:val="004D23CC"/>
    <w:rsid w:val="004D2406"/>
    <w:rsid w:val="004D24BE"/>
    <w:rsid w:val="004D255A"/>
    <w:rsid w:val="004D257E"/>
    <w:rsid w:val="004D25B6"/>
    <w:rsid w:val="004D25B7"/>
    <w:rsid w:val="004D25BB"/>
    <w:rsid w:val="004D260F"/>
    <w:rsid w:val="004D26F2"/>
    <w:rsid w:val="004D275D"/>
    <w:rsid w:val="004D2790"/>
    <w:rsid w:val="004D27C4"/>
    <w:rsid w:val="004D284A"/>
    <w:rsid w:val="004D2855"/>
    <w:rsid w:val="004D28C9"/>
    <w:rsid w:val="004D28EC"/>
    <w:rsid w:val="004D28EE"/>
    <w:rsid w:val="004D2972"/>
    <w:rsid w:val="004D2A2A"/>
    <w:rsid w:val="004D2A65"/>
    <w:rsid w:val="004D2A80"/>
    <w:rsid w:val="004D2AA4"/>
    <w:rsid w:val="004D2ADF"/>
    <w:rsid w:val="004D2B0A"/>
    <w:rsid w:val="004D2B8A"/>
    <w:rsid w:val="004D2B94"/>
    <w:rsid w:val="004D2BAE"/>
    <w:rsid w:val="004D2BDC"/>
    <w:rsid w:val="004D2C0D"/>
    <w:rsid w:val="004D2CDF"/>
    <w:rsid w:val="004D2D07"/>
    <w:rsid w:val="004D2D10"/>
    <w:rsid w:val="004D2DAC"/>
    <w:rsid w:val="004D2E05"/>
    <w:rsid w:val="004D2E0B"/>
    <w:rsid w:val="004D2E16"/>
    <w:rsid w:val="004D2E2D"/>
    <w:rsid w:val="004D2E95"/>
    <w:rsid w:val="004D2EDF"/>
    <w:rsid w:val="004D2F02"/>
    <w:rsid w:val="004D2F2B"/>
    <w:rsid w:val="004D2F48"/>
    <w:rsid w:val="004D2F99"/>
    <w:rsid w:val="004D3019"/>
    <w:rsid w:val="004D30D7"/>
    <w:rsid w:val="004D3104"/>
    <w:rsid w:val="004D310C"/>
    <w:rsid w:val="004D3119"/>
    <w:rsid w:val="004D315D"/>
    <w:rsid w:val="004D3192"/>
    <w:rsid w:val="004D321A"/>
    <w:rsid w:val="004D3233"/>
    <w:rsid w:val="004D3268"/>
    <w:rsid w:val="004D32C6"/>
    <w:rsid w:val="004D32D3"/>
    <w:rsid w:val="004D32E6"/>
    <w:rsid w:val="004D3319"/>
    <w:rsid w:val="004D3367"/>
    <w:rsid w:val="004D338B"/>
    <w:rsid w:val="004D338D"/>
    <w:rsid w:val="004D346D"/>
    <w:rsid w:val="004D346E"/>
    <w:rsid w:val="004D3486"/>
    <w:rsid w:val="004D34DE"/>
    <w:rsid w:val="004D351B"/>
    <w:rsid w:val="004D352F"/>
    <w:rsid w:val="004D353B"/>
    <w:rsid w:val="004D3593"/>
    <w:rsid w:val="004D35B2"/>
    <w:rsid w:val="004D35C8"/>
    <w:rsid w:val="004D35D0"/>
    <w:rsid w:val="004D35F2"/>
    <w:rsid w:val="004D361A"/>
    <w:rsid w:val="004D3668"/>
    <w:rsid w:val="004D3682"/>
    <w:rsid w:val="004D3683"/>
    <w:rsid w:val="004D3712"/>
    <w:rsid w:val="004D3716"/>
    <w:rsid w:val="004D3723"/>
    <w:rsid w:val="004D3724"/>
    <w:rsid w:val="004D3758"/>
    <w:rsid w:val="004D3765"/>
    <w:rsid w:val="004D3817"/>
    <w:rsid w:val="004D381B"/>
    <w:rsid w:val="004D3822"/>
    <w:rsid w:val="004D3888"/>
    <w:rsid w:val="004D38B8"/>
    <w:rsid w:val="004D38D4"/>
    <w:rsid w:val="004D38E6"/>
    <w:rsid w:val="004D3958"/>
    <w:rsid w:val="004D397E"/>
    <w:rsid w:val="004D399B"/>
    <w:rsid w:val="004D39A8"/>
    <w:rsid w:val="004D39D8"/>
    <w:rsid w:val="004D39DA"/>
    <w:rsid w:val="004D39DD"/>
    <w:rsid w:val="004D39EB"/>
    <w:rsid w:val="004D3A05"/>
    <w:rsid w:val="004D3A0E"/>
    <w:rsid w:val="004D3A3E"/>
    <w:rsid w:val="004D3A80"/>
    <w:rsid w:val="004D3A88"/>
    <w:rsid w:val="004D3AA2"/>
    <w:rsid w:val="004D3AA6"/>
    <w:rsid w:val="004D3B3F"/>
    <w:rsid w:val="004D3B6C"/>
    <w:rsid w:val="004D3B7A"/>
    <w:rsid w:val="004D3B7F"/>
    <w:rsid w:val="004D3D14"/>
    <w:rsid w:val="004D3D4C"/>
    <w:rsid w:val="004D3D57"/>
    <w:rsid w:val="004D3DC7"/>
    <w:rsid w:val="004D3DFF"/>
    <w:rsid w:val="004D3E33"/>
    <w:rsid w:val="004D3E64"/>
    <w:rsid w:val="004D3E6C"/>
    <w:rsid w:val="004D3E93"/>
    <w:rsid w:val="004D3ED3"/>
    <w:rsid w:val="004D3F78"/>
    <w:rsid w:val="004D3FA4"/>
    <w:rsid w:val="004D3FB8"/>
    <w:rsid w:val="004D406E"/>
    <w:rsid w:val="004D4076"/>
    <w:rsid w:val="004D408B"/>
    <w:rsid w:val="004D40AF"/>
    <w:rsid w:val="004D40BC"/>
    <w:rsid w:val="004D4166"/>
    <w:rsid w:val="004D4184"/>
    <w:rsid w:val="004D41DB"/>
    <w:rsid w:val="004D41E6"/>
    <w:rsid w:val="004D426C"/>
    <w:rsid w:val="004D42B7"/>
    <w:rsid w:val="004D42BA"/>
    <w:rsid w:val="004D437F"/>
    <w:rsid w:val="004D440A"/>
    <w:rsid w:val="004D4419"/>
    <w:rsid w:val="004D446C"/>
    <w:rsid w:val="004D44B3"/>
    <w:rsid w:val="004D44C4"/>
    <w:rsid w:val="004D44D9"/>
    <w:rsid w:val="004D455A"/>
    <w:rsid w:val="004D4657"/>
    <w:rsid w:val="004D4677"/>
    <w:rsid w:val="004D46C7"/>
    <w:rsid w:val="004D46D6"/>
    <w:rsid w:val="004D46E4"/>
    <w:rsid w:val="004D4712"/>
    <w:rsid w:val="004D4725"/>
    <w:rsid w:val="004D47B3"/>
    <w:rsid w:val="004D47E5"/>
    <w:rsid w:val="004D4825"/>
    <w:rsid w:val="004D482E"/>
    <w:rsid w:val="004D486C"/>
    <w:rsid w:val="004D48A8"/>
    <w:rsid w:val="004D4917"/>
    <w:rsid w:val="004D4967"/>
    <w:rsid w:val="004D499B"/>
    <w:rsid w:val="004D49E8"/>
    <w:rsid w:val="004D49F9"/>
    <w:rsid w:val="004D4A64"/>
    <w:rsid w:val="004D4AF8"/>
    <w:rsid w:val="004D4B20"/>
    <w:rsid w:val="004D4B23"/>
    <w:rsid w:val="004D4C3B"/>
    <w:rsid w:val="004D4C8E"/>
    <w:rsid w:val="004D4D35"/>
    <w:rsid w:val="004D4D5C"/>
    <w:rsid w:val="004D4DCF"/>
    <w:rsid w:val="004D4E2B"/>
    <w:rsid w:val="004D4F06"/>
    <w:rsid w:val="004D4F21"/>
    <w:rsid w:val="004D4FB5"/>
    <w:rsid w:val="004D50C1"/>
    <w:rsid w:val="004D50DE"/>
    <w:rsid w:val="004D50EE"/>
    <w:rsid w:val="004D5144"/>
    <w:rsid w:val="004D51BC"/>
    <w:rsid w:val="004D51DA"/>
    <w:rsid w:val="004D5299"/>
    <w:rsid w:val="004D52BA"/>
    <w:rsid w:val="004D52F1"/>
    <w:rsid w:val="004D5452"/>
    <w:rsid w:val="004D5471"/>
    <w:rsid w:val="004D549E"/>
    <w:rsid w:val="004D54A0"/>
    <w:rsid w:val="004D5519"/>
    <w:rsid w:val="004D5536"/>
    <w:rsid w:val="004D554D"/>
    <w:rsid w:val="004D5558"/>
    <w:rsid w:val="004D5576"/>
    <w:rsid w:val="004D5578"/>
    <w:rsid w:val="004D55B7"/>
    <w:rsid w:val="004D55DC"/>
    <w:rsid w:val="004D566B"/>
    <w:rsid w:val="004D5678"/>
    <w:rsid w:val="004D56BF"/>
    <w:rsid w:val="004D56D9"/>
    <w:rsid w:val="004D56DB"/>
    <w:rsid w:val="004D56E7"/>
    <w:rsid w:val="004D571B"/>
    <w:rsid w:val="004D5744"/>
    <w:rsid w:val="004D5783"/>
    <w:rsid w:val="004D585A"/>
    <w:rsid w:val="004D5860"/>
    <w:rsid w:val="004D58B3"/>
    <w:rsid w:val="004D58F5"/>
    <w:rsid w:val="004D5904"/>
    <w:rsid w:val="004D590D"/>
    <w:rsid w:val="004D5912"/>
    <w:rsid w:val="004D5973"/>
    <w:rsid w:val="004D59C3"/>
    <w:rsid w:val="004D59F3"/>
    <w:rsid w:val="004D59F9"/>
    <w:rsid w:val="004D5A8F"/>
    <w:rsid w:val="004D5ACD"/>
    <w:rsid w:val="004D5B3E"/>
    <w:rsid w:val="004D5BC0"/>
    <w:rsid w:val="004D5BED"/>
    <w:rsid w:val="004D5C11"/>
    <w:rsid w:val="004D5C47"/>
    <w:rsid w:val="004D5C77"/>
    <w:rsid w:val="004D5CA9"/>
    <w:rsid w:val="004D5CAA"/>
    <w:rsid w:val="004D5CF3"/>
    <w:rsid w:val="004D5CF4"/>
    <w:rsid w:val="004D5D19"/>
    <w:rsid w:val="004D5D6D"/>
    <w:rsid w:val="004D5D8C"/>
    <w:rsid w:val="004D5D9E"/>
    <w:rsid w:val="004D5DD6"/>
    <w:rsid w:val="004D5DD9"/>
    <w:rsid w:val="004D5DFF"/>
    <w:rsid w:val="004D5E01"/>
    <w:rsid w:val="004D5E8A"/>
    <w:rsid w:val="004D5ED9"/>
    <w:rsid w:val="004D5EE4"/>
    <w:rsid w:val="004D5F11"/>
    <w:rsid w:val="004D5FAB"/>
    <w:rsid w:val="004D5FDD"/>
    <w:rsid w:val="004D5FDE"/>
    <w:rsid w:val="004D606B"/>
    <w:rsid w:val="004D607E"/>
    <w:rsid w:val="004D608E"/>
    <w:rsid w:val="004D60CE"/>
    <w:rsid w:val="004D60D8"/>
    <w:rsid w:val="004D60F5"/>
    <w:rsid w:val="004D61A9"/>
    <w:rsid w:val="004D61EB"/>
    <w:rsid w:val="004D6247"/>
    <w:rsid w:val="004D6295"/>
    <w:rsid w:val="004D6314"/>
    <w:rsid w:val="004D6360"/>
    <w:rsid w:val="004D6387"/>
    <w:rsid w:val="004D6617"/>
    <w:rsid w:val="004D661C"/>
    <w:rsid w:val="004D6708"/>
    <w:rsid w:val="004D671F"/>
    <w:rsid w:val="004D672B"/>
    <w:rsid w:val="004D681E"/>
    <w:rsid w:val="004D692C"/>
    <w:rsid w:val="004D69A5"/>
    <w:rsid w:val="004D69DC"/>
    <w:rsid w:val="004D6A3E"/>
    <w:rsid w:val="004D6A4F"/>
    <w:rsid w:val="004D6A7E"/>
    <w:rsid w:val="004D6A8E"/>
    <w:rsid w:val="004D6A99"/>
    <w:rsid w:val="004D6ABA"/>
    <w:rsid w:val="004D6BF4"/>
    <w:rsid w:val="004D6BFB"/>
    <w:rsid w:val="004D6C00"/>
    <w:rsid w:val="004D6C75"/>
    <w:rsid w:val="004D6CEC"/>
    <w:rsid w:val="004D6D08"/>
    <w:rsid w:val="004D6D8E"/>
    <w:rsid w:val="004D6E41"/>
    <w:rsid w:val="004D6E58"/>
    <w:rsid w:val="004D6E6D"/>
    <w:rsid w:val="004D6E92"/>
    <w:rsid w:val="004D6F0E"/>
    <w:rsid w:val="004D6F62"/>
    <w:rsid w:val="004D6F6D"/>
    <w:rsid w:val="004D6F8E"/>
    <w:rsid w:val="004D7021"/>
    <w:rsid w:val="004D709D"/>
    <w:rsid w:val="004D70B6"/>
    <w:rsid w:val="004D70F0"/>
    <w:rsid w:val="004D711E"/>
    <w:rsid w:val="004D7142"/>
    <w:rsid w:val="004D7178"/>
    <w:rsid w:val="004D718D"/>
    <w:rsid w:val="004D71F6"/>
    <w:rsid w:val="004D7214"/>
    <w:rsid w:val="004D7269"/>
    <w:rsid w:val="004D7308"/>
    <w:rsid w:val="004D7346"/>
    <w:rsid w:val="004D734F"/>
    <w:rsid w:val="004D73A1"/>
    <w:rsid w:val="004D73C4"/>
    <w:rsid w:val="004D73DB"/>
    <w:rsid w:val="004D73F7"/>
    <w:rsid w:val="004D740E"/>
    <w:rsid w:val="004D744B"/>
    <w:rsid w:val="004D74D6"/>
    <w:rsid w:val="004D7551"/>
    <w:rsid w:val="004D756D"/>
    <w:rsid w:val="004D7599"/>
    <w:rsid w:val="004D7682"/>
    <w:rsid w:val="004D768C"/>
    <w:rsid w:val="004D76E5"/>
    <w:rsid w:val="004D76EA"/>
    <w:rsid w:val="004D770B"/>
    <w:rsid w:val="004D77C7"/>
    <w:rsid w:val="004D7828"/>
    <w:rsid w:val="004D78DF"/>
    <w:rsid w:val="004D78FC"/>
    <w:rsid w:val="004D7945"/>
    <w:rsid w:val="004D7999"/>
    <w:rsid w:val="004D7A3A"/>
    <w:rsid w:val="004D7AAC"/>
    <w:rsid w:val="004D7AD6"/>
    <w:rsid w:val="004D7AE3"/>
    <w:rsid w:val="004D7AFE"/>
    <w:rsid w:val="004D7B13"/>
    <w:rsid w:val="004D7B2A"/>
    <w:rsid w:val="004D7BBF"/>
    <w:rsid w:val="004D7C27"/>
    <w:rsid w:val="004D7C4D"/>
    <w:rsid w:val="004D7C6E"/>
    <w:rsid w:val="004D7D6E"/>
    <w:rsid w:val="004D7DBE"/>
    <w:rsid w:val="004D7E2F"/>
    <w:rsid w:val="004D7E36"/>
    <w:rsid w:val="004D7E4B"/>
    <w:rsid w:val="004D7EBE"/>
    <w:rsid w:val="004D7F0B"/>
    <w:rsid w:val="004D7F8B"/>
    <w:rsid w:val="004D7FC7"/>
    <w:rsid w:val="004D7FDA"/>
    <w:rsid w:val="004E0031"/>
    <w:rsid w:val="004E007B"/>
    <w:rsid w:val="004E00AC"/>
    <w:rsid w:val="004E00F2"/>
    <w:rsid w:val="004E0112"/>
    <w:rsid w:val="004E0128"/>
    <w:rsid w:val="004E0157"/>
    <w:rsid w:val="004E0174"/>
    <w:rsid w:val="004E020B"/>
    <w:rsid w:val="004E024B"/>
    <w:rsid w:val="004E0386"/>
    <w:rsid w:val="004E0398"/>
    <w:rsid w:val="004E03BE"/>
    <w:rsid w:val="004E0413"/>
    <w:rsid w:val="004E041D"/>
    <w:rsid w:val="004E0487"/>
    <w:rsid w:val="004E0490"/>
    <w:rsid w:val="004E04A3"/>
    <w:rsid w:val="004E04C2"/>
    <w:rsid w:val="004E0526"/>
    <w:rsid w:val="004E052F"/>
    <w:rsid w:val="004E0605"/>
    <w:rsid w:val="004E061B"/>
    <w:rsid w:val="004E062B"/>
    <w:rsid w:val="004E0691"/>
    <w:rsid w:val="004E06BE"/>
    <w:rsid w:val="004E06E9"/>
    <w:rsid w:val="004E072F"/>
    <w:rsid w:val="004E0749"/>
    <w:rsid w:val="004E078C"/>
    <w:rsid w:val="004E07A6"/>
    <w:rsid w:val="004E083C"/>
    <w:rsid w:val="004E0861"/>
    <w:rsid w:val="004E0876"/>
    <w:rsid w:val="004E08D3"/>
    <w:rsid w:val="004E08E8"/>
    <w:rsid w:val="004E09C5"/>
    <w:rsid w:val="004E0A10"/>
    <w:rsid w:val="004E0A2F"/>
    <w:rsid w:val="004E0A5E"/>
    <w:rsid w:val="004E0A8A"/>
    <w:rsid w:val="004E0AAD"/>
    <w:rsid w:val="004E0ACD"/>
    <w:rsid w:val="004E0B0E"/>
    <w:rsid w:val="004E0B43"/>
    <w:rsid w:val="004E0B97"/>
    <w:rsid w:val="004E0BD0"/>
    <w:rsid w:val="004E0BF4"/>
    <w:rsid w:val="004E0CA1"/>
    <w:rsid w:val="004E0CB8"/>
    <w:rsid w:val="004E0CEC"/>
    <w:rsid w:val="004E0CF5"/>
    <w:rsid w:val="004E0D13"/>
    <w:rsid w:val="004E0D33"/>
    <w:rsid w:val="004E0DB3"/>
    <w:rsid w:val="004E0DE0"/>
    <w:rsid w:val="004E0DE5"/>
    <w:rsid w:val="004E0E0A"/>
    <w:rsid w:val="004E0E3A"/>
    <w:rsid w:val="004E0E51"/>
    <w:rsid w:val="004E0E65"/>
    <w:rsid w:val="004E0E67"/>
    <w:rsid w:val="004E0EE2"/>
    <w:rsid w:val="004E0EF3"/>
    <w:rsid w:val="004E0F12"/>
    <w:rsid w:val="004E0F4C"/>
    <w:rsid w:val="004E0F54"/>
    <w:rsid w:val="004E0F82"/>
    <w:rsid w:val="004E0F91"/>
    <w:rsid w:val="004E0FBD"/>
    <w:rsid w:val="004E103B"/>
    <w:rsid w:val="004E103E"/>
    <w:rsid w:val="004E1060"/>
    <w:rsid w:val="004E108B"/>
    <w:rsid w:val="004E10C9"/>
    <w:rsid w:val="004E10D4"/>
    <w:rsid w:val="004E1130"/>
    <w:rsid w:val="004E1132"/>
    <w:rsid w:val="004E11BB"/>
    <w:rsid w:val="004E11CD"/>
    <w:rsid w:val="004E11E9"/>
    <w:rsid w:val="004E126F"/>
    <w:rsid w:val="004E133C"/>
    <w:rsid w:val="004E150B"/>
    <w:rsid w:val="004E1521"/>
    <w:rsid w:val="004E1543"/>
    <w:rsid w:val="004E1550"/>
    <w:rsid w:val="004E155B"/>
    <w:rsid w:val="004E1562"/>
    <w:rsid w:val="004E158D"/>
    <w:rsid w:val="004E1651"/>
    <w:rsid w:val="004E16C1"/>
    <w:rsid w:val="004E1754"/>
    <w:rsid w:val="004E1756"/>
    <w:rsid w:val="004E17B7"/>
    <w:rsid w:val="004E17CA"/>
    <w:rsid w:val="004E17F2"/>
    <w:rsid w:val="004E1814"/>
    <w:rsid w:val="004E1858"/>
    <w:rsid w:val="004E18A0"/>
    <w:rsid w:val="004E18A8"/>
    <w:rsid w:val="004E18D6"/>
    <w:rsid w:val="004E1916"/>
    <w:rsid w:val="004E1926"/>
    <w:rsid w:val="004E1957"/>
    <w:rsid w:val="004E19CC"/>
    <w:rsid w:val="004E19EA"/>
    <w:rsid w:val="004E19F3"/>
    <w:rsid w:val="004E1A22"/>
    <w:rsid w:val="004E1A45"/>
    <w:rsid w:val="004E1A55"/>
    <w:rsid w:val="004E1BAD"/>
    <w:rsid w:val="004E1C3F"/>
    <w:rsid w:val="004E1C46"/>
    <w:rsid w:val="004E1CBC"/>
    <w:rsid w:val="004E1D5D"/>
    <w:rsid w:val="004E1D6C"/>
    <w:rsid w:val="004E1D92"/>
    <w:rsid w:val="004E1DC5"/>
    <w:rsid w:val="004E1E0A"/>
    <w:rsid w:val="004E1E1A"/>
    <w:rsid w:val="004E1E3B"/>
    <w:rsid w:val="004E1EC2"/>
    <w:rsid w:val="004E1EE0"/>
    <w:rsid w:val="004E1EFC"/>
    <w:rsid w:val="004E1F54"/>
    <w:rsid w:val="004E2067"/>
    <w:rsid w:val="004E2088"/>
    <w:rsid w:val="004E20BA"/>
    <w:rsid w:val="004E20BE"/>
    <w:rsid w:val="004E20DE"/>
    <w:rsid w:val="004E2148"/>
    <w:rsid w:val="004E216E"/>
    <w:rsid w:val="004E2173"/>
    <w:rsid w:val="004E21B6"/>
    <w:rsid w:val="004E2219"/>
    <w:rsid w:val="004E2224"/>
    <w:rsid w:val="004E223C"/>
    <w:rsid w:val="004E2298"/>
    <w:rsid w:val="004E22D1"/>
    <w:rsid w:val="004E22DD"/>
    <w:rsid w:val="004E22EF"/>
    <w:rsid w:val="004E2310"/>
    <w:rsid w:val="004E234C"/>
    <w:rsid w:val="004E237D"/>
    <w:rsid w:val="004E2385"/>
    <w:rsid w:val="004E239B"/>
    <w:rsid w:val="004E23AC"/>
    <w:rsid w:val="004E23F4"/>
    <w:rsid w:val="004E23FD"/>
    <w:rsid w:val="004E241B"/>
    <w:rsid w:val="004E244F"/>
    <w:rsid w:val="004E2454"/>
    <w:rsid w:val="004E24BF"/>
    <w:rsid w:val="004E24D6"/>
    <w:rsid w:val="004E2510"/>
    <w:rsid w:val="004E251A"/>
    <w:rsid w:val="004E2535"/>
    <w:rsid w:val="004E25E1"/>
    <w:rsid w:val="004E2608"/>
    <w:rsid w:val="004E260F"/>
    <w:rsid w:val="004E2626"/>
    <w:rsid w:val="004E2644"/>
    <w:rsid w:val="004E26DC"/>
    <w:rsid w:val="004E26E8"/>
    <w:rsid w:val="004E2711"/>
    <w:rsid w:val="004E2789"/>
    <w:rsid w:val="004E27D0"/>
    <w:rsid w:val="004E2852"/>
    <w:rsid w:val="004E286E"/>
    <w:rsid w:val="004E289B"/>
    <w:rsid w:val="004E289C"/>
    <w:rsid w:val="004E28B0"/>
    <w:rsid w:val="004E2920"/>
    <w:rsid w:val="004E2969"/>
    <w:rsid w:val="004E296C"/>
    <w:rsid w:val="004E2A17"/>
    <w:rsid w:val="004E2AF3"/>
    <w:rsid w:val="004E2B0F"/>
    <w:rsid w:val="004E2B22"/>
    <w:rsid w:val="004E2B4A"/>
    <w:rsid w:val="004E2B5B"/>
    <w:rsid w:val="004E2B97"/>
    <w:rsid w:val="004E2C66"/>
    <w:rsid w:val="004E2CC5"/>
    <w:rsid w:val="004E2D08"/>
    <w:rsid w:val="004E2D70"/>
    <w:rsid w:val="004E2D9D"/>
    <w:rsid w:val="004E2DC2"/>
    <w:rsid w:val="004E2DF1"/>
    <w:rsid w:val="004E2DF8"/>
    <w:rsid w:val="004E2E09"/>
    <w:rsid w:val="004E2E0D"/>
    <w:rsid w:val="004E2E5A"/>
    <w:rsid w:val="004E2E62"/>
    <w:rsid w:val="004E2E94"/>
    <w:rsid w:val="004E2EE0"/>
    <w:rsid w:val="004E2EE8"/>
    <w:rsid w:val="004E2F2C"/>
    <w:rsid w:val="004E2F5E"/>
    <w:rsid w:val="004E2F73"/>
    <w:rsid w:val="004E2F84"/>
    <w:rsid w:val="004E2FCF"/>
    <w:rsid w:val="004E2FDF"/>
    <w:rsid w:val="004E2FED"/>
    <w:rsid w:val="004E3046"/>
    <w:rsid w:val="004E3048"/>
    <w:rsid w:val="004E3052"/>
    <w:rsid w:val="004E3064"/>
    <w:rsid w:val="004E3092"/>
    <w:rsid w:val="004E30CA"/>
    <w:rsid w:val="004E3101"/>
    <w:rsid w:val="004E3170"/>
    <w:rsid w:val="004E31DE"/>
    <w:rsid w:val="004E3285"/>
    <w:rsid w:val="004E32BF"/>
    <w:rsid w:val="004E32CC"/>
    <w:rsid w:val="004E3311"/>
    <w:rsid w:val="004E334A"/>
    <w:rsid w:val="004E3368"/>
    <w:rsid w:val="004E3388"/>
    <w:rsid w:val="004E340C"/>
    <w:rsid w:val="004E3437"/>
    <w:rsid w:val="004E3472"/>
    <w:rsid w:val="004E34BA"/>
    <w:rsid w:val="004E352E"/>
    <w:rsid w:val="004E3591"/>
    <w:rsid w:val="004E35C6"/>
    <w:rsid w:val="004E3606"/>
    <w:rsid w:val="004E3610"/>
    <w:rsid w:val="004E366B"/>
    <w:rsid w:val="004E3673"/>
    <w:rsid w:val="004E36CE"/>
    <w:rsid w:val="004E3735"/>
    <w:rsid w:val="004E3799"/>
    <w:rsid w:val="004E37C8"/>
    <w:rsid w:val="004E37FE"/>
    <w:rsid w:val="004E387F"/>
    <w:rsid w:val="004E38BF"/>
    <w:rsid w:val="004E38C1"/>
    <w:rsid w:val="004E38E5"/>
    <w:rsid w:val="004E3914"/>
    <w:rsid w:val="004E3929"/>
    <w:rsid w:val="004E3982"/>
    <w:rsid w:val="004E3A17"/>
    <w:rsid w:val="004E3A3C"/>
    <w:rsid w:val="004E3A45"/>
    <w:rsid w:val="004E3A7D"/>
    <w:rsid w:val="004E3A9D"/>
    <w:rsid w:val="004E3AB2"/>
    <w:rsid w:val="004E3AE2"/>
    <w:rsid w:val="004E3AE7"/>
    <w:rsid w:val="004E3B1C"/>
    <w:rsid w:val="004E3B25"/>
    <w:rsid w:val="004E3B4C"/>
    <w:rsid w:val="004E3B73"/>
    <w:rsid w:val="004E3B7A"/>
    <w:rsid w:val="004E3B9F"/>
    <w:rsid w:val="004E3BAC"/>
    <w:rsid w:val="004E3BD0"/>
    <w:rsid w:val="004E3BE6"/>
    <w:rsid w:val="004E3C73"/>
    <w:rsid w:val="004E3CC2"/>
    <w:rsid w:val="004E3D1E"/>
    <w:rsid w:val="004E3EE3"/>
    <w:rsid w:val="004E3F34"/>
    <w:rsid w:val="004E3F76"/>
    <w:rsid w:val="004E401C"/>
    <w:rsid w:val="004E4035"/>
    <w:rsid w:val="004E4048"/>
    <w:rsid w:val="004E418D"/>
    <w:rsid w:val="004E4259"/>
    <w:rsid w:val="004E429E"/>
    <w:rsid w:val="004E433D"/>
    <w:rsid w:val="004E4388"/>
    <w:rsid w:val="004E4390"/>
    <w:rsid w:val="004E43C9"/>
    <w:rsid w:val="004E43CF"/>
    <w:rsid w:val="004E43F6"/>
    <w:rsid w:val="004E440B"/>
    <w:rsid w:val="004E4450"/>
    <w:rsid w:val="004E4462"/>
    <w:rsid w:val="004E44BB"/>
    <w:rsid w:val="004E4505"/>
    <w:rsid w:val="004E4604"/>
    <w:rsid w:val="004E461C"/>
    <w:rsid w:val="004E46C7"/>
    <w:rsid w:val="004E473E"/>
    <w:rsid w:val="004E4766"/>
    <w:rsid w:val="004E4767"/>
    <w:rsid w:val="004E476E"/>
    <w:rsid w:val="004E4774"/>
    <w:rsid w:val="004E478F"/>
    <w:rsid w:val="004E4795"/>
    <w:rsid w:val="004E47D4"/>
    <w:rsid w:val="004E4830"/>
    <w:rsid w:val="004E4851"/>
    <w:rsid w:val="004E48C5"/>
    <w:rsid w:val="004E4900"/>
    <w:rsid w:val="004E4952"/>
    <w:rsid w:val="004E49E3"/>
    <w:rsid w:val="004E49F6"/>
    <w:rsid w:val="004E4A00"/>
    <w:rsid w:val="004E4A20"/>
    <w:rsid w:val="004E4A29"/>
    <w:rsid w:val="004E4A3F"/>
    <w:rsid w:val="004E4A53"/>
    <w:rsid w:val="004E4A57"/>
    <w:rsid w:val="004E4A63"/>
    <w:rsid w:val="004E4A79"/>
    <w:rsid w:val="004E4A89"/>
    <w:rsid w:val="004E4AA0"/>
    <w:rsid w:val="004E4AA8"/>
    <w:rsid w:val="004E4AC0"/>
    <w:rsid w:val="004E4AE5"/>
    <w:rsid w:val="004E4B87"/>
    <w:rsid w:val="004E4BAE"/>
    <w:rsid w:val="004E4BC1"/>
    <w:rsid w:val="004E4BEA"/>
    <w:rsid w:val="004E4C36"/>
    <w:rsid w:val="004E4C63"/>
    <w:rsid w:val="004E4CAB"/>
    <w:rsid w:val="004E4D38"/>
    <w:rsid w:val="004E4D93"/>
    <w:rsid w:val="004E4DA0"/>
    <w:rsid w:val="004E4DB6"/>
    <w:rsid w:val="004E4DD4"/>
    <w:rsid w:val="004E4DDF"/>
    <w:rsid w:val="004E4DE7"/>
    <w:rsid w:val="004E4E14"/>
    <w:rsid w:val="004E4E33"/>
    <w:rsid w:val="004E4F05"/>
    <w:rsid w:val="004E4F3C"/>
    <w:rsid w:val="004E4FF4"/>
    <w:rsid w:val="004E5029"/>
    <w:rsid w:val="004E5049"/>
    <w:rsid w:val="004E505D"/>
    <w:rsid w:val="004E505E"/>
    <w:rsid w:val="004E5099"/>
    <w:rsid w:val="004E50FD"/>
    <w:rsid w:val="004E513A"/>
    <w:rsid w:val="004E515E"/>
    <w:rsid w:val="004E518C"/>
    <w:rsid w:val="004E520B"/>
    <w:rsid w:val="004E5214"/>
    <w:rsid w:val="004E5241"/>
    <w:rsid w:val="004E527B"/>
    <w:rsid w:val="004E5293"/>
    <w:rsid w:val="004E52DD"/>
    <w:rsid w:val="004E52EF"/>
    <w:rsid w:val="004E5363"/>
    <w:rsid w:val="004E536A"/>
    <w:rsid w:val="004E536D"/>
    <w:rsid w:val="004E5379"/>
    <w:rsid w:val="004E538B"/>
    <w:rsid w:val="004E538D"/>
    <w:rsid w:val="004E53B4"/>
    <w:rsid w:val="004E53F6"/>
    <w:rsid w:val="004E53F7"/>
    <w:rsid w:val="004E5402"/>
    <w:rsid w:val="004E541B"/>
    <w:rsid w:val="004E548A"/>
    <w:rsid w:val="004E5494"/>
    <w:rsid w:val="004E54A8"/>
    <w:rsid w:val="004E54AF"/>
    <w:rsid w:val="004E5556"/>
    <w:rsid w:val="004E55CF"/>
    <w:rsid w:val="004E5668"/>
    <w:rsid w:val="004E5670"/>
    <w:rsid w:val="004E5687"/>
    <w:rsid w:val="004E5695"/>
    <w:rsid w:val="004E5698"/>
    <w:rsid w:val="004E56A8"/>
    <w:rsid w:val="004E56B4"/>
    <w:rsid w:val="004E56BC"/>
    <w:rsid w:val="004E5707"/>
    <w:rsid w:val="004E5709"/>
    <w:rsid w:val="004E5724"/>
    <w:rsid w:val="004E573A"/>
    <w:rsid w:val="004E5750"/>
    <w:rsid w:val="004E575B"/>
    <w:rsid w:val="004E578F"/>
    <w:rsid w:val="004E5790"/>
    <w:rsid w:val="004E57AB"/>
    <w:rsid w:val="004E57AD"/>
    <w:rsid w:val="004E57BB"/>
    <w:rsid w:val="004E5802"/>
    <w:rsid w:val="004E5804"/>
    <w:rsid w:val="004E584A"/>
    <w:rsid w:val="004E5881"/>
    <w:rsid w:val="004E58B6"/>
    <w:rsid w:val="004E58ED"/>
    <w:rsid w:val="004E5960"/>
    <w:rsid w:val="004E5961"/>
    <w:rsid w:val="004E597C"/>
    <w:rsid w:val="004E59D4"/>
    <w:rsid w:val="004E5A94"/>
    <w:rsid w:val="004E5A9E"/>
    <w:rsid w:val="004E5AA8"/>
    <w:rsid w:val="004E5AE5"/>
    <w:rsid w:val="004E5B3E"/>
    <w:rsid w:val="004E5B64"/>
    <w:rsid w:val="004E5BCE"/>
    <w:rsid w:val="004E5BD4"/>
    <w:rsid w:val="004E5C02"/>
    <w:rsid w:val="004E5C13"/>
    <w:rsid w:val="004E5C35"/>
    <w:rsid w:val="004E5C70"/>
    <w:rsid w:val="004E5C86"/>
    <w:rsid w:val="004E5D1A"/>
    <w:rsid w:val="004E5D68"/>
    <w:rsid w:val="004E5D91"/>
    <w:rsid w:val="004E5D94"/>
    <w:rsid w:val="004E5DE4"/>
    <w:rsid w:val="004E5E54"/>
    <w:rsid w:val="004E5EF1"/>
    <w:rsid w:val="004E5F0C"/>
    <w:rsid w:val="004E5FCE"/>
    <w:rsid w:val="004E6020"/>
    <w:rsid w:val="004E604D"/>
    <w:rsid w:val="004E6071"/>
    <w:rsid w:val="004E60B9"/>
    <w:rsid w:val="004E6109"/>
    <w:rsid w:val="004E6129"/>
    <w:rsid w:val="004E6136"/>
    <w:rsid w:val="004E6138"/>
    <w:rsid w:val="004E624E"/>
    <w:rsid w:val="004E6262"/>
    <w:rsid w:val="004E6287"/>
    <w:rsid w:val="004E6292"/>
    <w:rsid w:val="004E62D0"/>
    <w:rsid w:val="004E63B7"/>
    <w:rsid w:val="004E63E2"/>
    <w:rsid w:val="004E63F8"/>
    <w:rsid w:val="004E64C9"/>
    <w:rsid w:val="004E64CA"/>
    <w:rsid w:val="004E6521"/>
    <w:rsid w:val="004E6572"/>
    <w:rsid w:val="004E65AF"/>
    <w:rsid w:val="004E65FD"/>
    <w:rsid w:val="004E667A"/>
    <w:rsid w:val="004E6685"/>
    <w:rsid w:val="004E6776"/>
    <w:rsid w:val="004E6792"/>
    <w:rsid w:val="004E67AA"/>
    <w:rsid w:val="004E67C4"/>
    <w:rsid w:val="004E67F8"/>
    <w:rsid w:val="004E6801"/>
    <w:rsid w:val="004E6884"/>
    <w:rsid w:val="004E68A2"/>
    <w:rsid w:val="004E68BD"/>
    <w:rsid w:val="004E68FB"/>
    <w:rsid w:val="004E697E"/>
    <w:rsid w:val="004E69B1"/>
    <w:rsid w:val="004E69C6"/>
    <w:rsid w:val="004E69FD"/>
    <w:rsid w:val="004E6A11"/>
    <w:rsid w:val="004E6A1B"/>
    <w:rsid w:val="004E6A84"/>
    <w:rsid w:val="004E6A99"/>
    <w:rsid w:val="004E6AA4"/>
    <w:rsid w:val="004E6AD5"/>
    <w:rsid w:val="004E6ADD"/>
    <w:rsid w:val="004E6B2D"/>
    <w:rsid w:val="004E6B79"/>
    <w:rsid w:val="004E6B92"/>
    <w:rsid w:val="004E6BFD"/>
    <w:rsid w:val="004E6C10"/>
    <w:rsid w:val="004E6C96"/>
    <w:rsid w:val="004E6CCC"/>
    <w:rsid w:val="004E6CEA"/>
    <w:rsid w:val="004E6CF6"/>
    <w:rsid w:val="004E6D16"/>
    <w:rsid w:val="004E6D61"/>
    <w:rsid w:val="004E6D9A"/>
    <w:rsid w:val="004E6DD4"/>
    <w:rsid w:val="004E6E3B"/>
    <w:rsid w:val="004E6E61"/>
    <w:rsid w:val="004E6E6A"/>
    <w:rsid w:val="004E6E6D"/>
    <w:rsid w:val="004E6E7A"/>
    <w:rsid w:val="004E6E9E"/>
    <w:rsid w:val="004E6F2C"/>
    <w:rsid w:val="004E6F44"/>
    <w:rsid w:val="004E6FAB"/>
    <w:rsid w:val="004E6FC6"/>
    <w:rsid w:val="004E6FF1"/>
    <w:rsid w:val="004E7038"/>
    <w:rsid w:val="004E7066"/>
    <w:rsid w:val="004E70E7"/>
    <w:rsid w:val="004E70F0"/>
    <w:rsid w:val="004E70F8"/>
    <w:rsid w:val="004E712A"/>
    <w:rsid w:val="004E71B4"/>
    <w:rsid w:val="004E7275"/>
    <w:rsid w:val="004E7284"/>
    <w:rsid w:val="004E732A"/>
    <w:rsid w:val="004E7349"/>
    <w:rsid w:val="004E735A"/>
    <w:rsid w:val="004E7423"/>
    <w:rsid w:val="004E7426"/>
    <w:rsid w:val="004E7434"/>
    <w:rsid w:val="004E74E2"/>
    <w:rsid w:val="004E74E6"/>
    <w:rsid w:val="004E752A"/>
    <w:rsid w:val="004E7574"/>
    <w:rsid w:val="004E75DD"/>
    <w:rsid w:val="004E7607"/>
    <w:rsid w:val="004E7635"/>
    <w:rsid w:val="004E763B"/>
    <w:rsid w:val="004E7642"/>
    <w:rsid w:val="004E765E"/>
    <w:rsid w:val="004E767D"/>
    <w:rsid w:val="004E769B"/>
    <w:rsid w:val="004E7773"/>
    <w:rsid w:val="004E77CE"/>
    <w:rsid w:val="004E77F0"/>
    <w:rsid w:val="004E780D"/>
    <w:rsid w:val="004E786C"/>
    <w:rsid w:val="004E792B"/>
    <w:rsid w:val="004E797B"/>
    <w:rsid w:val="004E79A5"/>
    <w:rsid w:val="004E7A35"/>
    <w:rsid w:val="004E7A43"/>
    <w:rsid w:val="004E7A91"/>
    <w:rsid w:val="004E7AB5"/>
    <w:rsid w:val="004E7B32"/>
    <w:rsid w:val="004E7B46"/>
    <w:rsid w:val="004E7B5D"/>
    <w:rsid w:val="004E7B6D"/>
    <w:rsid w:val="004E7C2C"/>
    <w:rsid w:val="004E7C71"/>
    <w:rsid w:val="004E7C8B"/>
    <w:rsid w:val="004E7CEE"/>
    <w:rsid w:val="004E7D14"/>
    <w:rsid w:val="004E7E45"/>
    <w:rsid w:val="004E7ED3"/>
    <w:rsid w:val="004E7F23"/>
    <w:rsid w:val="004E7F2C"/>
    <w:rsid w:val="004E7F53"/>
    <w:rsid w:val="004E7F61"/>
    <w:rsid w:val="004E7FA1"/>
    <w:rsid w:val="004E7FC3"/>
    <w:rsid w:val="004E7FD9"/>
    <w:rsid w:val="004F0068"/>
    <w:rsid w:val="004F0069"/>
    <w:rsid w:val="004F00F0"/>
    <w:rsid w:val="004F013A"/>
    <w:rsid w:val="004F01B5"/>
    <w:rsid w:val="004F0207"/>
    <w:rsid w:val="004F023E"/>
    <w:rsid w:val="004F02D4"/>
    <w:rsid w:val="004F02E3"/>
    <w:rsid w:val="004F02EC"/>
    <w:rsid w:val="004F02FB"/>
    <w:rsid w:val="004F0316"/>
    <w:rsid w:val="004F0339"/>
    <w:rsid w:val="004F033A"/>
    <w:rsid w:val="004F034B"/>
    <w:rsid w:val="004F03A8"/>
    <w:rsid w:val="004F03FC"/>
    <w:rsid w:val="004F0416"/>
    <w:rsid w:val="004F043A"/>
    <w:rsid w:val="004F04EF"/>
    <w:rsid w:val="004F0518"/>
    <w:rsid w:val="004F0527"/>
    <w:rsid w:val="004F05D3"/>
    <w:rsid w:val="004F0614"/>
    <w:rsid w:val="004F0661"/>
    <w:rsid w:val="004F0665"/>
    <w:rsid w:val="004F069B"/>
    <w:rsid w:val="004F06F0"/>
    <w:rsid w:val="004F0746"/>
    <w:rsid w:val="004F0764"/>
    <w:rsid w:val="004F091E"/>
    <w:rsid w:val="004F096B"/>
    <w:rsid w:val="004F09ED"/>
    <w:rsid w:val="004F0A31"/>
    <w:rsid w:val="004F0AEF"/>
    <w:rsid w:val="004F0B02"/>
    <w:rsid w:val="004F0B4F"/>
    <w:rsid w:val="004F0B78"/>
    <w:rsid w:val="004F0B7C"/>
    <w:rsid w:val="004F0BC1"/>
    <w:rsid w:val="004F0BD1"/>
    <w:rsid w:val="004F0C39"/>
    <w:rsid w:val="004F0D35"/>
    <w:rsid w:val="004F0D7B"/>
    <w:rsid w:val="004F0D7C"/>
    <w:rsid w:val="004F0D9F"/>
    <w:rsid w:val="004F0DC7"/>
    <w:rsid w:val="004F0EBD"/>
    <w:rsid w:val="004F0ED0"/>
    <w:rsid w:val="004F0EE9"/>
    <w:rsid w:val="004F0F3E"/>
    <w:rsid w:val="004F0F56"/>
    <w:rsid w:val="004F0F6D"/>
    <w:rsid w:val="004F1002"/>
    <w:rsid w:val="004F100C"/>
    <w:rsid w:val="004F1056"/>
    <w:rsid w:val="004F112C"/>
    <w:rsid w:val="004F1134"/>
    <w:rsid w:val="004F117F"/>
    <w:rsid w:val="004F1183"/>
    <w:rsid w:val="004F11CA"/>
    <w:rsid w:val="004F1265"/>
    <w:rsid w:val="004F1273"/>
    <w:rsid w:val="004F12AC"/>
    <w:rsid w:val="004F12AD"/>
    <w:rsid w:val="004F12BB"/>
    <w:rsid w:val="004F1323"/>
    <w:rsid w:val="004F1342"/>
    <w:rsid w:val="004F1351"/>
    <w:rsid w:val="004F13AC"/>
    <w:rsid w:val="004F13D3"/>
    <w:rsid w:val="004F13D5"/>
    <w:rsid w:val="004F1492"/>
    <w:rsid w:val="004F160A"/>
    <w:rsid w:val="004F16C5"/>
    <w:rsid w:val="004F1708"/>
    <w:rsid w:val="004F1722"/>
    <w:rsid w:val="004F1794"/>
    <w:rsid w:val="004F17B4"/>
    <w:rsid w:val="004F17E1"/>
    <w:rsid w:val="004F1804"/>
    <w:rsid w:val="004F181C"/>
    <w:rsid w:val="004F1881"/>
    <w:rsid w:val="004F1887"/>
    <w:rsid w:val="004F1952"/>
    <w:rsid w:val="004F1979"/>
    <w:rsid w:val="004F198D"/>
    <w:rsid w:val="004F19AF"/>
    <w:rsid w:val="004F1A00"/>
    <w:rsid w:val="004F1A46"/>
    <w:rsid w:val="004F1A5E"/>
    <w:rsid w:val="004F1A87"/>
    <w:rsid w:val="004F1B33"/>
    <w:rsid w:val="004F1B85"/>
    <w:rsid w:val="004F1BBC"/>
    <w:rsid w:val="004F1BDF"/>
    <w:rsid w:val="004F1C7F"/>
    <w:rsid w:val="004F1C90"/>
    <w:rsid w:val="004F1CB4"/>
    <w:rsid w:val="004F1D03"/>
    <w:rsid w:val="004F1D04"/>
    <w:rsid w:val="004F1D17"/>
    <w:rsid w:val="004F1D1E"/>
    <w:rsid w:val="004F1D4F"/>
    <w:rsid w:val="004F1E6B"/>
    <w:rsid w:val="004F1F02"/>
    <w:rsid w:val="004F1F34"/>
    <w:rsid w:val="004F1F38"/>
    <w:rsid w:val="004F2033"/>
    <w:rsid w:val="004F2042"/>
    <w:rsid w:val="004F2085"/>
    <w:rsid w:val="004F212E"/>
    <w:rsid w:val="004F2134"/>
    <w:rsid w:val="004F214C"/>
    <w:rsid w:val="004F219E"/>
    <w:rsid w:val="004F21C3"/>
    <w:rsid w:val="004F21F5"/>
    <w:rsid w:val="004F22F2"/>
    <w:rsid w:val="004F22F5"/>
    <w:rsid w:val="004F22FB"/>
    <w:rsid w:val="004F2305"/>
    <w:rsid w:val="004F2317"/>
    <w:rsid w:val="004F238E"/>
    <w:rsid w:val="004F2390"/>
    <w:rsid w:val="004F23A9"/>
    <w:rsid w:val="004F23CE"/>
    <w:rsid w:val="004F23D8"/>
    <w:rsid w:val="004F2410"/>
    <w:rsid w:val="004F2478"/>
    <w:rsid w:val="004F248A"/>
    <w:rsid w:val="004F24A9"/>
    <w:rsid w:val="004F24BD"/>
    <w:rsid w:val="004F24C1"/>
    <w:rsid w:val="004F24CF"/>
    <w:rsid w:val="004F2526"/>
    <w:rsid w:val="004F2533"/>
    <w:rsid w:val="004F2568"/>
    <w:rsid w:val="004F25CB"/>
    <w:rsid w:val="004F2620"/>
    <w:rsid w:val="004F2639"/>
    <w:rsid w:val="004F2663"/>
    <w:rsid w:val="004F271C"/>
    <w:rsid w:val="004F2740"/>
    <w:rsid w:val="004F27D5"/>
    <w:rsid w:val="004F27E9"/>
    <w:rsid w:val="004F27F0"/>
    <w:rsid w:val="004F280A"/>
    <w:rsid w:val="004F2828"/>
    <w:rsid w:val="004F2843"/>
    <w:rsid w:val="004F28A3"/>
    <w:rsid w:val="004F28C9"/>
    <w:rsid w:val="004F2941"/>
    <w:rsid w:val="004F2968"/>
    <w:rsid w:val="004F2974"/>
    <w:rsid w:val="004F298D"/>
    <w:rsid w:val="004F2991"/>
    <w:rsid w:val="004F29DE"/>
    <w:rsid w:val="004F29E0"/>
    <w:rsid w:val="004F2A49"/>
    <w:rsid w:val="004F2A71"/>
    <w:rsid w:val="004F2AF8"/>
    <w:rsid w:val="004F2B3C"/>
    <w:rsid w:val="004F2B47"/>
    <w:rsid w:val="004F2B51"/>
    <w:rsid w:val="004F2B78"/>
    <w:rsid w:val="004F2C15"/>
    <w:rsid w:val="004F2C1C"/>
    <w:rsid w:val="004F2C1D"/>
    <w:rsid w:val="004F2C56"/>
    <w:rsid w:val="004F2C5B"/>
    <w:rsid w:val="004F2C69"/>
    <w:rsid w:val="004F2CB2"/>
    <w:rsid w:val="004F2CBD"/>
    <w:rsid w:val="004F2CC5"/>
    <w:rsid w:val="004F2CCD"/>
    <w:rsid w:val="004F2CE8"/>
    <w:rsid w:val="004F2D0B"/>
    <w:rsid w:val="004F2D1C"/>
    <w:rsid w:val="004F2D8F"/>
    <w:rsid w:val="004F2DA2"/>
    <w:rsid w:val="004F2E37"/>
    <w:rsid w:val="004F2E49"/>
    <w:rsid w:val="004F2E4F"/>
    <w:rsid w:val="004F2E6F"/>
    <w:rsid w:val="004F2EA0"/>
    <w:rsid w:val="004F2EBB"/>
    <w:rsid w:val="004F2EC7"/>
    <w:rsid w:val="004F2EFF"/>
    <w:rsid w:val="004F2F1D"/>
    <w:rsid w:val="004F2FB9"/>
    <w:rsid w:val="004F2FC2"/>
    <w:rsid w:val="004F2FDE"/>
    <w:rsid w:val="004F3038"/>
    <w:rsid w:val="004F3042"/>
    <w:rsid w:val="004F30A1"/>
    <w:rsid w:val="004F30A3"/>
    <w:rsid w:val="004F30BD"/>
    <w:rsid w:val="004F30BF"/>
    <w:rsid w:val="004F30C6"/>
    <w:rsid w:val="004F30DE"/>
    <w:rsid w:val="004F3104"/>
    <w:rsid w:val="004F31D3"/>
    <w:rsid w:val="004F31E5"/>
    <w:rsid w:val="004F3238"/>
    <w:rsid w:val="004F3251"/>
    <w:rsid w:val="004F3275"/>
    <w:rsid w:val="004F32D9"/>
    <w:rsid w:val="004F3356"/>
    <w:rsid w:val="004F33E3"/>
    <w:rsid w:val="004F33EA"/>
    <w:rsid w:val="004F33F1"/>
    <w:rsid w:val="004F3430"/>
    <w:rsid w:val="004F3445"/>
    <w:rsid w:val="004F34C3"/>
    <w:rsid w:val="004F34E5"/>
    <w:rsid w:val="004F3548"/>
    <w:rsid w:val="004F3557"/>
    <w:rsid w:val="004F35A6"/>
    <w:rsid w:val="004F35B9"/>
    <w:rsid w:val="004F35C3"/>
    <w:rsid w:val="004F3623"/>
    <w:rsid w:val="004F363E"/>
    <w:rsid w:val="004F36F1"/>
    <w:rsid w:val="004F3704"/>
    <w:rsid w:val="004F3724"/>
    <w:rsid w:val="004F378F"/>
    <w:rsid w:val="004F37CD"/>
    <w:rsid w:val="004F38C2"/>
    <w:rsid w:val="004F395E"/>
    <w:rsid w:val="004F39B5"/>
    <w:rsid w:val="004F39E3"/>
    <w:rsid w:val="004F3A13"/>
    <w:rsid w:val="004F3A67"/>
    <w:rsid w:val="004F3A94"/>
    <w:rsid w:val="004F3ADA"/>
    <w:rsid w:val="004F3B5C"/>
    <w:rsid w:val="004F3B6D"/>
    <w:rsid w:val="004F3B78"/>
    <w:rsid w:val="004F3BBE"/>
    <w:rsid w:val="004F3BFA"/>
    <w:rsid w:val="004F3C75"/>
    <w:rsid w:val="004F3CAC"/>
    <w:rsid w:val="004F3CCE"/>
    <w:rsid w:val="004F3D27"/>
    <w:rsid w:val="004F3D42"/>
    <w:rsid w:val="004F3D57"/>
    <w:rsid w:val="004F3D5B"/>
    <w:rsid w:val="004F3D5C"/>
    <w:rsid w:val="004F3DAC"/>
    <w:rsid w:val="004F3DDB"/>
    <w:rsid w:val="004F3E35"/>
    <w:rsid w:val="004F3E49"/>
    <w:rsid w:val="004F3F05"/>
    <w:rsid w:val="004F3F14"/>
    <w:rsid w:val="004F3F2B"/>
    <w:rsid w:val="004F3F9B"/>
    <w:rsid w:val="004F3FDE"/>
    <w:rsid w:val="004F4072"/>
    <w:rsid w:val="004F408B"/>
    <w:rsid w:val="004F409B"/>
    <w:rsid w:val="004F40D5"/>
    <w:rsid w:val="004F40DF"/>
    <w:rsid w:val="004F4174"/>
    <w:rsid w:val="004F4193"/>
    <w:rsid w:val="004F41A5"/>
    <w:rsid w:val="004F420B"/>
    <w:rsid w:val="004F43A0"/>
    <w:rsid w:val="004F43B7"/>
    <w:rsid w:val="004F4451"/>
    <w:rsid w:val="004F44C4"/>
    <w:rsid w:val="004F44ED"/>
    <w:rsid w:val="004F44F9"/>
    <w:rsid w:val="004F453D"/>
    <w:rsid w:val="004F454A"/>
    <w:rsid w:val="004F4691"/>
    <w:rsid w:val="004F46A3"/>
    <w:rsid w:val="004F46B2"/>
    <w:rsid w:val="004F46EB"/>
    <w:rsid w:val="004F4774"/>
    <w:rsid w:val="004F4791"/>
    <w:rsid w:val="004F4815"/>
    <w:rsid w:val="004F4831"/>
    <w:rsid w:val="004F4867"/>
    <w:rsid w:val="004F4869"/>
    <w:rsid w:val="004F4892"/>
    <w:rsid w:val="004F48B0"/>
    <w:rsid w:val="004F48CE"/>
    <w:rsid w:val="004F4929"/>
    <w:rsid w:val="004F4951"/>
    <w:rsid w:val="004F499B"/>
    <w:rsid w:val="004F49BD"/>
    <w:rsid w:val="004F49DF"/>
    <w:rsid w:val="004F49E5"/>
    <w:rsid w:val="004F4A26"/>
    <w:rsid w:val="004F4AA1"/>
    <w:rsid w:val="004F4AC2"/>
    <w:rsid w:val="004F4ADB"/>
    <w:rsid w:val="004F4AF5"/>
    <w:rsid w:val="004F4B03"/>
    <w:rsid w:val="004F4B1D"/>
    <w:rsid w:val="004F4B22"/>
    <w:rsid w:val="004F4B40"/>
    <w:rsid w:val="004F4B5F"/>
    <w:rsid w:val="004F4B7C"/>
    <w:rsid w:val="004F4C69"/>
    <w:rsid w:val="004F4C85"/>
    <w:rsid w:val="004F4C94"/>
    <w:rsid w:val="004F4CBC"/>
    <w:rsid w:val="004F4CC5"/>
    <w:rsid w:val="004F4CDB"/>
    <w:rsid w:val="004F4D2F"/>
    <w:rsid w:val="004F4DB4"/>
    <w:rsid w:val="004F4E1E"/>
    <w:rsid w:val="004F4E6F"/>
    <w:rsid w:val="004F4E77"/>
    <w:rsid w:val="004F4EC7"/>
    <w:rsid w:val="004F4EF9"/>
    <w:rsid w:val="004F4F0A"/>
    <w:rsid w:val="004F4F25"/>
    <w:rsid w:val="004F4FA9"/>
    <w:rsid w:val="004F4FC7"/>
    <w:rsid w:val="004F501D"/>
    <w:rsid w:val="004F5050"/>
    <w:rsid w:val="004F5059"/>
    <w:rsid w:val="004F50FD"/>
    <w:rsid w:val="004F5158"/>
    <w:rsid w:val="004F5178"/>
    <w:rsid w:val="004F519F"/>
    <w:rsid w:val="004F51E8"/>
    <w:rsid w:val="004F51F0"/>
    <w:rsid w:val="004F51FE"/>
    <w:rsid w:val="004F5212"/>
    <w:rsid w:val="004F5288"/>
    <w:rsid w:val="004F52CB"/>
    <w:rsid w:val="004F52F4"/>
    <w:rsid w:val="004F5317"/>
    <w:rsid w:val="004F537E"/>
    <w:rsid w:val="004F537F"/>
    <w:rsid w:val="004F5397"/>
    <w:rsid w:val="004F53B7"/>
    <w:rsid w:val="004F53F7"/>
    <w:rsid w:val="004F5489"/>
    <w:rsid w:val="004F54EA"/>
    <w:rsid w:val="004F552F"/>
    <w:rsid w:val="004F55AB"/>
    <w:rsid w:val="004F5665"/>
    <w:rsid w:val="004F5687"/>
    <w:rsid w:val="004F56E5"/>
    <w:rsid w:val="004F57D7"/>
    <w:rsid w:val="004F5800"/>
    <w:rsid w:val="004F5848"/>
    <w:rsid w:val="004F5883"/>
    <w:rsid w:val="004F58DE"/>
    <w:rsid w:val="004F59A5"/>
    <w:rsid w:val="004F59BF"/>
    <w:rsid w:val="004F5A1B"/>
    <w:rsid w:val="004F5A5B"/>
    <w:rsid w:val="004F5A62"/>
    <w:rsid w:val="004F5A7B"/>
    <w:rsid w:val="004F5B14"/>
    <w:rsid w:val="004F5B55"/>
    <w:rsid w:val="004F5BA3"/>
    <w:rsid w:val="004F5BF1"/>
    <w:rsid w:val="004F5BFC"/>
    <w:rsid w:val="004F5CC5"/>
    <w:rsid w:val="004F5CC9"/>
    <w:rsid w:val="004F5CE5"/>
    <w:rsid w:val="004F5CF4"/>
    <w:rsid w:val="004F5D64"/>
    <w:rsid w:val="004F5DC8"/>
    <w:rsid w:val="004F5E4F"/>
    <w:rsid w:val="004F5EA0"/>
    <w:rsid w:val="004F5EB3"/>
    <w:rsid w:val="004F5ED2"/>
    <w:rsid w:val="004F5EE9"/>
    <w:rsid w:val="004F5F0A"/>
    <w:rsid w:val="004F5F90"/>
    <w:rsid w:val="004F5F9C"/>
    <w:rsid w:val="004F5FB7"/>
    <w:rsid w:val="004F5FE0"/>
    <w:rsid w:val="004F600F"/>
    <w:rsid w:val="004F6079"/>
    <w:rsid w:val="004F615A"/>
    <w:rsid w:val="004F61BA"/>
    <w:rsid w:val="004F61D5"/>
    <w:rsid w:val="004F629F"/>
    <w:rsid w:val="004F62DC"/>
    <w:rsid w:val="004F6307"/>
    <w:rsid w:val="004F6312"/>
    <w:rsid w:val="004F6338"/>
    <w:rsid w:val="004F6368"/>
    <w:rsid w:val="004F6428"/>
    <w:rsid w:val="004F64BC"/>
    <w:rsid w:val="004F64C9"/>
    <w:rsid w:val="004F64E0"/>
    <w:rsid w:val="004F64E5"/>
    <w:rsid w:val="004F64F9"/>
    <w:rsid w:val="004F6563"/>
    <w:rsid w:val="004F6630"/>
    <w:rsid w:val="004F663C"/>
    <w:rsid w:val="004F663F"/>
    <w:rsid w:val="004F6706"/>
    <w:rsid w:val="004F6741"/>
    <w:rsid w:val="004F6761"/>
    <w:rsid w:val="004F6780"/>
    <w:rsid w:val="004F67BA"/>
    <w:rsid w:val="004F685B"/>
    <w:rsid w:val="004F6870"/>
    <w:rsid w:val="004F68E7"/>
    <w:rsid w:val="004F6936"/>
    <w:rsid w:val="004F6941"/>
    <w:rsid w:val="004F69B3"/>
    <w:rsid w:val="004F69B4"/>
    <w:rsid w:val="004F6AB2"/>
    <w:rsid w:val="004F6ACE"/>
    <w:rsid w:val="004F6B01"/>
    <w:rsid w:val="004F6B2B"/>
    <w:rsid w:val="004F6B54"/>
    <w:rsid w:val="004F6B5D"/>
    <w:rsid w:val="004F6BA6"/>
    <w:rsid w:val="004F6C5F"/>
    <w:rsid w:val="004F6CAB"/>
    <w:rsid w:val="004F6D06"/>
    <w:rsid w:val="004F6D0F"/>
    <w:rsid w:val="004F6D3C"/>
    <w:rsid w:val="004F6D71"/>
    <w:rsid w:val="004F6DD5"/>
    <w:rsid w:val="004F6EC0"/>
    <w:rsid w:val="004F6EC4"/>
    <w:rsid w:val="004F6EED"/>
    <w:rsid w:val="004F6F4D"/>
    <w:rsid w:val="004F6F64"/>
    <w:rsid w:val="004F6FA2"/>
    <w:rsid w:val="004F7065"/>
    <w:rsid w:val="004F7081"/>
    <w:rsid w:val="004F7083"/>
    <w:rsid w:val="004F70D9"/>
    <w:rsid w:val="004F7104"/>
    <w:rsid w:val="004F710C"/>
    <w:rsid w:val="004F7153"/>
    <w:rsid w:val="004F7160"/>
    <w:rsid w:val="004F7165"/>
    <w:rsid w:val="004F71FC"/>
    <w:rsid w:val="004F7223"/>
    <w:rsid w:val="004F72B2"/>
    <w:rsid w:val="004F72E4"/>
    <w:rsid w:val="004F735C"/>
    <w:rsid w:val="004F7394"/>
    <w:rsid w:val="004F73F0"/>
    <w:rsid w:val="004F745D"/>
    <w:rsid w:val="004F749F"/>
    <w:rsid w:val="004F7509"/>
    <w:rsid w:val="004F7519"/>
    <w:rsid w:val="004F7523"/>
    <w:rsid w:val="004F7574"/>
    <w:rsid w:val="004F75A7"/>
    <w:rsid w:val="004F75EB"/>
    <w:rsid w:val="004F75FF"/>
    <w:rsid w:val="004F763D"/>
    <w:rsid w:val="004F772F"/>
    <w:rsid w:val="004F7732"/>
    <w:rsid w:val="004F77C8"/>
    <w:rsid w:val="004F77E0"/>
    <w:rsid w:val="004F7807"/>
    <w:rsid w:val="004F780A"/>
    <w:rsid w:val="004F7829"/>
    <w:rsid w:val="004F78ED"/>
    <w:rsid w:val="004F7929"/>
    <w:rsid w:val="004F7942"/>
    <w:rsid w:val="004F79BB"/>
    <w:rsid w:val="004F79E7"/>
    <w:rsid w:val="004F7AC5"/>
    <w:rsid w:val="004F7AE3"/>
    <w:rsid w:val="004F7BDA"/>
    <w:rsid w:val="004F7BFE"/>
    <w:rsid w:val="004F7C48"/>
    <w:rsid w:val="004F7C62"/>
    <w:rsid w:val="004F7CA7"/>
    <w:rsid w:val="004F7CBD"/>
    <w:rsid w:val="004F7D18"/>
    <w:rsid w:val="004F7D25"/>
    <w:rsid w:val="004F7D5B"/>
    <w:rsid w:val="004F7D7A"/>
    <w:rsid w:val="004F7E02"/>
    <w:rsid w:val="004F7E23"/>
    <w:rsid w:val="004F7E3F"/>
    <w:rsid w:val="004F7E5C"/>
    <w:rsid w:val="004F7E6B"/>
    <w:rsid w:val="004F7E89"/>
    <w:rsid w:val="004F7E90"/>
    <w:rsid w:val="004F7F5D"/>
    <w:rsid w:val="004F7F60"/>
    <w:rsid w:val="00500023"/>
    <w:rsid w:val="00500025"/>
    <w:rsid w:val="005000D7"/>
    <w:rsid w:val="00500104"/>
    <w:rsid w:val="0050014B"/>
    <w:rsid w:val="00500163"/>
    <w:rsid w:val="00500194"/>
    <w:rsid w:val="005001A8"/>
    <w:rsid w:val="005001B4"/>
    <w:rsid w:val="005001BD"/>
    <w:rsid w:val="005001E2"/>
    <w:rsid w:val="0050025D"/>
    <w:rsid w:val="00500284"/>
    <w:rsid w:val="005002B7"/>
    <w:rsid w:val="005002F1"/>
    <w:rsid w:val="00500301"/>
    <w:rsid w:val="0050030C"/>
    <w:rsid w:val="0050032F"/>
    <w:rsid w:val="0050034E"/>
    <w:rsid w:val="0050036E"/>
    <w:rsid w:val="005003D7"/>
    <w:rsid w:val="00500439"/>
    <w:rsid w:val="00500460"/>
    <w:rsid w:val="00500491"/>
    <w:rsid w:val="00500494"/>
    <w:rsid w:val="005004C1"/>
    <w:rsid w:val="005004F4"/>
    <w:rsid w:val="00500610"/>
    <w:rsid w:val="0050064A"/>
    <w:rsid w:val="00500695"/>
    <w:rsid w:val="005006A2"/>
    <w:rsid w:val="005006C8"/>
    <w:rsid w:val="00500757"/>
    <w:rsid w:val="00500777"/>
    <w:rsid w:val="0050079A"/>
    <w:rsid w:val="005007AA"/>
    <w:rsid w:val="005007BB"/>
    <w:rsid w:val="005007DB"/>
    <w:rsid w:val="005007F6"/>
    <w:rsid w:val="0050082A"/>
    <w:rsid w:val="00500831"/>
    <w:rsid w:val="0050083A"/>
    <w:rsid w:val="0050083E"/>
    <w:rsid w:val="00500856"/>
    <w:rsid w:val="005008FB"/>
    <w:rsid w:val="00500919"/>
    <w:rsid w:val="00500924"/>
    <w:rsid w:val="00500927"/>
    <w:rsid w:val="00500938"/>
    <w:rsid w:val="00500958"/>
    <w:rsid w:val="005009A5"/>
    <w:rsid w:val="005009CB"/>
    <w:rsid w:val="005009E7"/>
    <w:rsid w:val="00500A22"/>
    <w:rsid w:val="00500A8E"/>
    <w:rsid w:val="00500AC9"/>
    <w:rsid w:val="00500AFE"/>
    <w:rsid w:val="00500C19"/>
    <w:rsid w:val="00500C35"/>
    <w:rsid w:val="00500C36"/>
    <w:rsid w:val="00500CA0"/>
    <w:rsid w:val="00500CB5"/>
    <w:rsid w:val="00500CF4"/>
    <w:rsid w:val="00500D04"/>
    <w:rsid w:val="00500DF6"/>
    <w:rsid w:val="00500E0B"/>
    <w:rsid w:val="00500E3C"/>
    <w:rsid w:val="00500ECB"/>
    <w:rsid w:val="00500EE5"/>
    <w:rsid w:val="00500F3B"/>
    <w:rsid w:val="00500FA1"/>
    <w:rsid w:val="00500FBE"/>
    <w:rsid w:val="00500FCE"/>
    <w:rsid w:val="00500FEF"/>
    <w:rsid w:val="00500FFD"/>
    <w:rsid w:val="00501022"/>
    <w:rsid w:val="005010CA"/>
    <w:rsid w:val="005010F2"/>
    <w:rsid w:val="005010FD"/>
    <w:rsid w:val="0050115C"/>
    <w:rsid w:val="00501187"/>
    <w:rsid w:val="005011A5"/>
    <w:rsid w:val="005011E1"/>
    <w:rsid w:val="0050121B"/>
    <w:rsid w:val="00501240"/>
    <w:rsid w:val="00501286"/>
    <w:rsid w:val="005013CE"/>
    <w:rsid w:val="00501417"/>
    <w:rsid w:val="00501439"/>
    <w:rsid w:val="005014CC"/>
    <w:rsid w:val="005014FF"/>
    <w:rsid w:val="0050150C"/>
    <w:rsid w:val="0050153D"/>
    <w:rsid w:val="00501552"/>
    <w:rsid w:val="00501591"/>
    <w:rsid w:val="005015BE"/>
    <w:rsid w:val="00501601"/>
    <w:rsid w:val="00501603"/>
    <w:rsid w:val="00501615"/>
    <w:rsid w:val="00501616"/>
    <w:rsid w:val="0050162A"/>
    <w:rsid w:val="00501699"/>
    <w:rsid w:val="005016EF"/>
    <w:rsid w:val="00501702"/>
    <w:rsid w:val="0050177A"/>
    <w:rsid w:val="005017C9"/>
    <w:rsid w:val="005017D1"/>
    <w:rsid w:val="005017D9"/>
    <w:rsid w:val="00501935"/>
    <w:rsid w:val="00501986"/>
    <w:rsid w:val="005019D8"/>
    <w:rsid w:val="005019EF"/>
    <w:rsid w:val="00501A0A"/>
    <w:rsid w:val="00501A18"/>
    <w:rsid w:val="00501A4D"/>
    <w:rsid w:val="00501A6D"/>
    <w:rsid w:val="00501A7E"/>
    <w:rsid w:val="00501A81"/>
    <w:rsid w:val="00501A8B"/>
    <w:rsid w:val="00501AA5"/>
    <w:rsid w:val="00501AD9"/>
    <w:rsid w:val="00501B49"/>
    <w:rsid w:val="00501B7A"/>
    <w:rsid w:val="00501B7E"/>
    <w:rsid w:val="00501BD2"/>
    <w:rsid w:val="00501BF5"/>
    <w:rsid w:val="00501C3D"/>
    <w:rsid w:val="00501C66"/>
    <w:rsid w:val="00501CA4"/>
    <w:rsid w:val="00501CE4"/>
    <w:rsid w:val="00501D01"/>
    <w:rsid w:val="00501D96"/>
    <w:rsid w:val="00501DEA"/>
    <w:rsid w:val="00501DF5"/>
    <w:rsid w:val="00501E0A"/>
    <w:rsid w:val="00501E6C"/>
    <w:rsid w:val="00501EE3"/>
    <w:rsid w:val="00501F00"/>
    <w:rsid w:val="00501F0E"/>
    <w:rsid w:val="0050200B"/>
    <w:rsid w:val="0050203E"/>
    <w:rsid w:val="0050205D"/>
    <w:rsid w:val="0050205E"/>
    <w:rsid w:val="0050206B"/>
    <w:rsid w:val="005020BA"/>
    <w:rsid w:val="00502101"/>
    <w:rsid w:val="00502122"/>
    <w:rsid w:val="0050213C"/>
    <w:rsid w:val="0050216C"/>
    <w:rsid w:val="0050217D"/>
    <w:rsid w:val="0050219B"/>
    <w:rsid w:val="005021B9"/>
    <w:rsid w:val="005022E4"/>
    <w:rsid w:val="00502316"/>
    <w:rsid w:val="00502323"/>
    <w:rsid w:val="00502369"/>
    <w:rsid w:val="0050236D"/>
    <w:rsid w:val="0050238E"/>
    <w:rsid w:val="005023A1"/>
    <w:rsid w:val="005023EE"/>
    <w:rsid w:val="005023F8"/>
    <w:rsid w:val="005023FB"/>
    <w:rsid w:val="00502418"/>
    <w:rsid w:val="0050248C"/>
    <w:rsid w:val="00502530"/>
    <w:rsid w:val="00502536"/>
    <w:rsid w:val="00502582"/>
    <w:rsid w:val="005025B3"/>
    <w:rsid w:val="005025B6"/>
    <w:rsid w:val="005025C9"/>
    <w:rsid w:val="005025DC"/>
    <w:rsid w:val="0050265A"/>
    <w:rsid w:val="00502671"/>
    <w:rsid w:val="005026CD"/>
    <w:rsid w:val="00502706"/>
    <w:rsid w:val="00502746"/>
    <w:rsid w:val="00502764"/>
    <w:rsid w:val="00502779"/>
    <w:rsid w:val="005027DA"/>
    <w:rsid w:val="0050281B"/>
    <w:rsid w:val="00502829"/>
    <w:rsid w:val="00502866"/>
    <w:rsid w:val="0050286C"/>
    <w:rsid w:val="0050286F"/>
    <w:rsid w:val="00502875"/>
    <w:rsid w:val="0050290E"/>
    <w:rsid w:val="00502939"/>
    <w:rsid w:val="0050293A"/>
    <w:rsid w:val="00502958"/>
    <w:rsid w:val="00502988"/>
    <w:rsid w:val="005029A7"/>
    <w:rsid w:val="00502A01"/>
    <w:rsid w:val="00502A65"/>
    <w:rsid w:val="00502A70"/>
    <w:rsid w:val="00502B16"/>
    <w:rsid w:val="00502BB1"/>
    <w:rsid w:val="00502CC6"/>
    <w:rsid w:val="00502CE2"/>
    <w:rsid w:val="00502D0D"/>
    <w:rsid w:val="00502D84"/>
    <w:rsid w:val="00502D88"/>
    <w:rsid w:val="00502D95"/>
    <w:rsid w:val="00502DBE"/>
    <w:rsid w:val="00502DEF"/>
    <w:rsid w:val="00502E1F"/>
    <w:rsid w:val="00502E30"/>
    <w:rsid w:val="00502E31"/>
    <w:rsid w:val="00502E8B"/>
    <w:rsid w:val="00502E9A"/>
    <w:rsid w:val="00502EE5"/>
    <w:rsid w:val="00502EF2"/>
    <w:rsid w:val="00502F49"/>
    <w:rsid w:val="00502F50"/>
    <w:rsid w:val="00502F9F"/>
    <w:rsid w:val="00502FB1"/>
    <w:rsid w:val="00502FD6"/>
    <w:rsid w:val="00503040"/>
    <w:rsid w:val="00503077"/>
    <w:rsid w:val="00503081"/>
    <w:rsid w:val="005030C2"/>
    <w:rsid w:val="005030C3"/>
    <w:rsid w:val="005030FC"/>
    <w:rsid w:val="0050319E"/>
    <w:rsid w:val="0050323F"/>
    <w:rsid w:val="0050324C"/>
    <w:rsid w:val="00503253"/>
    <w:rsid w:val="00503255"/>
    <w:rsid w:val="00503302"/>
    <w:rsid w:val="00503356"/>
    <w:rsid w:val="0050335C"/>
    <w:rsid w:val="0050338C"/>
    <w:rsid w:val="005033AE"/>
    <w:rsid w:val="005033B4"/>
    <w:rsid w:val="0050345E"/>
    <w:rsid w:val="00503477"/>
    <w:rsid w:val="00503523"/>
    <w:rsid w:val="005035E9"/>
    <w:rsid w:val="00503626"/>
    <w:rsid w:val="005036CE"/>
    <w:rsid w:val="005036D4"/>
    <w:rsid w:val="00503746"/>
    <w:rsid w:val="00503762"/>
    <w:rsid w:val="00503772"/>
    <w:rsid w:val="005037A8"/>
    <w:rsid w:val="005037AB"/>
    <w:rsid w:val="005037DF"/>
    <w:rsid w:val="00503830"/>
    <w:rsid w:val="00503899"/>
    <w:rsid w:val="0050393A"/>
    <w:rsid w:val="0050395B"/>
    <w:rsid w:val="0050397C"/>
    <w:rsid w:val="00503987"/>
    <w:rsid w:val="0050399A"/>
    <w:rsid w:val="005039C9"/>
    <w:rsid w:val="00503A14"/>
    <w:rsid w:val="00503A38"/>
    <w:rsid w:val="00503A93"/>
    <w:rsid w:val="00503AF8"/>
    <w:rsid w:val="00503B03"/>
    <w:rsid w:val="00503B58"/>
    <w:rsid w:val="00503BDC"/>
    <w:rsid w:val="00503BED"/>
    <w:rsid w:val="00503C60"/>
    <w:rsid w:val="00503C68"/>
    <w:rsid w:val="00503C8B"/>
    <w:rsid w:val="00503C8D"/>
    <w:rsid w:val="00503CA3"/>
    <w:rsid w:val="00503CAE"/>
    <w:rsid w:val="00503D08"/>
    <w:rsid w:val="00503D61"/>
    <w:rsid w:val="00503D63"/>
    <w:rsid w:val="00503D9F"/>
    <w:rsid w:val="00503DD6"/>
    <w:rsid w:val="00503E0D"/>
    <w:rsid w:val="00503E3C"/>
    <w:rsid w:val="00503E45"/>
    <w:rsid w:val="00503F48"/>
    <w:rsid w:val="00503F83"/>
    <w:rsid w:val="00503FB4"/>
    <w:rsid w:val="00503FD9"/>
    <w:rsid w:val="00503FFE"/>
    <w:rsid w:val="0050403C"/>
    <w:rsid w:val="0050404E"/>
    <w:rsid w:val="005040C1"/>
    <w:rsid w:val="005040F5"/>
    <w:rsid w:val="00504122"/>
    <w:rsid w:val="0050428E"/>
    <w:rsid w:val="005042E6"/>
    <w:rsid w:val="005042E9"/>
    <w:rsid w:val="00504304"/>
    <w:rsid w:val="00504367"/>
    <w:rsid w:val="0050438D"/>
    <w:rsid w:val="005043B5"/>
    <w:rsid w:val="00504454"/>
    <w:rsid w:val="00504476"/>
    <w:rsid w:val="0050449C"/>
    <w:rsid w:val="0050455F"/>
    <w:rsid w:val="005045D2"/>
    <w:rsid w:val="005045FD"/>
    <w:rsid w:val="00504628"/>
    <w:rsid w:val="00504719"/>
    <w:rsid w:val="00504720"/>
    <w:rsid w:val="00504729"/>
    <w:rsid w:val="00504735"/>
    <w:rsid w:val="00504752"/>
    <w:rsid w:val="005048CE"/>
    <w:rsid w:val="005048E5"/>
    <w:rsid w:val="005048EC"/>
    <w:rsid w:val="00504963"/>
    <w:rsid w:val="00504968"/>
    <w:rsid w:val="00504A1D"/>
    <w:rsid w:val="00504A1F"/>
    <w:rsid w:val="00504B01"/>
    <w:rsid w:val="00504B17"/>
    <w:rsid w:val="00504B58"/>
    <w:rsid w:val="00504B66"/>
    <w:rsid w:val="00504B7F"/>
    <w:rsid w:val="00504BD5"/>
    <w:rsid w:val="00504C07"/>
    <w:rsid w:val="00504C22"/>
    <w:rsid w:val="00504C36"/>
    <w:rsid w:val="00504C89"/>
    <w:rsid w:val="00504D54"/>
    <w:rsid w:val="00504DA9"/>
    <w:rsid w:val="00504DE6"/>
    <w:rsid w:val="00504DED"/>
    <w:rsid w:val="00504E3B"/>
    <w:rsid w:val="00504E6E"/>
    <w:rsid w:val="00504F03"/>
    <w:rsid w:val="00504F9C"/>
    <w:rsid w:val="00504FBF"/>
    <w:rsid w:val="00504FEA"/>
    <w:rsid w:val="00505026"/>
    <w:rsid w:val="00505031"/>
    <w:rsid w:val="00505032"/>
    <w:rsid w:val="0050510B"/>
    <w:rsid w:val="00505167"/>
    <w:rsid w:val="00505182"/>
    <w:rsid w:val="005051E0"/>
    <w:rsid w:val="0050525B"/>
    <w:rsid w:val="0050529E"/>
    <w:rsid w:val="005052EF"/>
    <w:rsid w:val="00505310"/>
    <w:rsid w:val="00505321"/>
    <w:rsid w:val="00505338"/>
    <w:rsid w:val="0050537A"/>
    <w:rsid w:val="005053B6"/>
    <w:rsid w:val="005053DB"/>
    <w:rsid w:val="00505406"/>
    <w:rsid w:val="00505423"/>
    <w:rsid w:val="00505437"/>
    <w:rsid w:val="0050549B"/>
    <w:rsid w:val="005054DD"/>
    <w:rsid w:val="005054E6"/>
    <w:rsid w:val="00505518"/>
    <w:rsid w:val="00505526"/>
    <w:rsid w:val="00505564"/>
    <w:rsid w:val="0050556F"/>
    <w:rsid w:val="005055C5"/>
    <w:rsid w:val="005055D6"/>
    <w:rsid w:val="005055F2"/>
    <w:rsid w:val="00505613"/>
    <w:rsid w:val="005056DC"/>
    <w:rsid w:val="005056E8"/>
    <w:rsid w:val="00505704"/>
    <w:rsid w:val="00505753"/>
    <w:rsid w:val="005057C2"/>
    <w:rsid w:val="005057C9"/>
    <w:rsid w:val="005057CD"/>
    <w:rsid w:val="00505819"/>
    <w:rsid w:val="005058A4"/>
    <w:rsid w:val="005058D6"/>
    <w:rsid w:val="005058DB"/>
    <w:rsid w:val="00505918"/>
    <w:rsid w:val="00505932"/>
    <w:rsid w:val="00505949"/>
    <w:rsid w:val="00505971"/>
    <w:rsid w:val="00505981"/>
    <w:rsid w:val="005059B5"/>
    <w:rsid w:val="00505A09"/>
    <w:rsid w:val="00505A2B"/>
    <w:rsid w:val="00505A38"/>
    <w:rsid w:val="00505A94"/>
    <w:rsid w:val="00505AAC"/>
    <w:rsid w:val="00505B7F"/>
    <w:rsid w:val="00505BB2"/>
    <w:rsid w:val="00505BCF"/>
    <w:rsid w:val="00505BF4"/>
    <w:rsid w:val="00505C04"/>
    <w:rsid w:val="00505C22"/>
    <w:rsid w:val="00505C92"/>
    <w:rsid w:val="00505CB7"/>
    <w:rsid w:val="00505D24"/>
    <w:rsid w:val="00505E46"/>
    <w:rsid w:val="00505E66"/>
    <w:rsid w:val="00505E7D"/>
    <w:rsid w:val="00505E88"/>
    <w:rsid w:val="00505EA2"/>
    <w:rsid w:val="00505EC7"/>
    <w:rsid w:val="00505ECB"/>
    <w:rsid w:val="00505F34"/>
    <w:rsid w:val="00505F3E"/>
    <w:rsid w:val="00505FA7"/>
    <w:rsid w:val="00505FD9"/>
    <w:rsid w:val="00506043"/>
    <w:rsid w:val="00506056"/>
    <w:rsid w:val="0050606D"/>
    <w:rsid w:val="0050607A"/>
    <w:rsid w:val="005060FC"/>
    <w:rsid w:val="00506108"/>
    <w:rsid w:val="0050611A"/>
    <w:rsid w:val="0050613F"/>
    <w:rsid w:val="0050619F"/>
    <w:rsid w:val="005061C5"/>
    <w:rsid w:val="005061F8"/>
    <w:rsid w:val="005061FE"/>
    <w:rsid w:val="005061FF"/>
    <w:rsid w:val="00506241"/>
    <w:rsid w:val="00506261"/>
    <w:rsid w:val="00506272"/>
    <w:rsid w:val="0050628C"/>
    <w:rsid w:val="00506296"/>
    <w:rsid w:val="005062B9"/>
    <w:rsid w:val="005062C1"/>
    <w:rsid w:val="005062D8"/>
    <w:rsid w:val="005062DA"/>
    <w:rsid w:val="005062E8"/>
    <w:rsid w:val="00506305"/>
    <w:rsid w:val="00506370"/>
    <w:rsid w:val="00506415"/>
    <w:rsid w:val="00506485"/>
    <w:rsid w:val="00506547"/>
    <w:rsid w:val="0050659B"/>
    <w:rsid w:val="00506607"/>
    <w:rsid w:val="005066B3"/>
    <w:rsid w:val="005066CA"/>
    <w:rsid w:val="0050678D"/>
    <w:rsid w:val="00506790"/>
    <w:rsid w:val="005067CA"/>
    <w:rsid w:val="0050682C"/>
    <w:rsid w:val="0050683F"/>
    <w:rsid w:val="00506861"/>
    <w:rsid w:val="0050689E"/>
    <w:rsid w:val="005068AD"/>
    <w:rsid w:val="005068EE"/>
    <w:rsid w:val="005068FB"/>
    <w:rsid w:val="00506941"/>
    <w:rsid w:val="00506952"/>
    <w:rsid w:val="00506997"/>
    <w:rsid w:val="005069B7"/>
    <w:rsid w:val="00506A5C"/>
    <w:rsid w:val="00506A63"/>
    <w:rsid w:val="00506A89"/>
    <w:rsid w:val="00506B0B"/>
    <w:rsid w:val="00506B5D"/>
    <w:rsid w:val="00506B74"/>
    <w:rsid w:val="00506B8E"/>
    <w:rsid w:val="00506BD8"/>
    <w:rsid w:val="00506BFB"/>
    <w:rsid w:val="00506C1D"/>
    <w:rsid w:val="00506C62"/>
    <w:rsid w:val="00506C7A"/>
    <w:rsid w:val="00506CA9"/>
    <w:rsid w:val="00506CBD"/>
    <w:rsid w:val="00506D24"/>
    <w:rsid w:val="00506D44"/>
    <w:rsid w:val="00506D5E"/>
    <w:rsid w:val="00506D60"/>
    <w:rsid w:val="00506D77"/>
    <w:rsid w:val="00506DB0"/>
    <w:rsid w:val="00506DD9"/>
    <w:rsid w:val="00506E0C"/>
    <w:rsid w:val="00506E89"/>
    <w:rsid w:val="00506EBB"/>
    <w:rsid w:val="00506EE7"/>
    <w:rsid w:val="00506FBB"/>
    <w:rsid w:val="00506FEC"/>
    <w:rsid w:val="00506FF0"/>
    <w:rsid w:val="00507048"/>
    <w:rsid w:val="0050712D"/>
    <w:rsid w:val="00507137"/>
    <w:rsid w:val="00507169"/>
    <w:rsid w:val="0050718C"/>
    <w:rsid w:val="00507199"/>
    <w:rsid w:val="005071C7"/>
    <w:rsid w:val="005071C8"/>
    <w:rsid w:val="00507200"/>
    <w:rsid w:val="00507256"/>
    <w:rsid w:val="005072A3"/>
    <w:rsid w:val="005072BF"/>
    <w:rsid w:val="005072CB"/>
    <w:rsid w:val="00507379"/>
    <w:rsid w:val="005073BC"/>
    <w:rsid w:val="005073C8"/>
    <w:rsid w:val="005073CA"/>
    <w:rsid w:val="005073EA"/>
    <w:rsid w:val="005073F6"/>
    <w:rsid w:val="00507427"/>
    <w:rsid w:val="00507431"/>
    <w:rsid w:val="00507445"/>
    <w:rsid w:val="0050750F"/>
    <w:rsid w:val="00507518"/>
    <w:rsid w:val="00507523"/>
    <w:rsid w:val="0050756B"/>
    <w:rsid w:val="005075AD"/>
    <w:rsid w:val="005075B8"/>
    <w:rsid w:val="005075D3"/>
    <w:rsid w:val="00507604"/>
    <w:rsid w:val="0050761B"/>
    <w:rsid w:val="00507629"/>
    <w:rsid w:val="0050767D"/>
    <w:rsid w:val="0050768D"/>
    <w:rsid w:val="005076DB"/>
    <w:rsid w:val="00507704"/>
    <w:rsid w:val="00507796"/>
    <w:rsid w:val="005077D7"/>
    <w:rsid w:val="00507816"/>
    <w:rsid w:val="005078E2"/>
    <w:rsid w:val="005078E5"/>
    <w:rsid w:val="0050790E"/>
    <w:rsid w:val="00507926"/>
    <w:rsid w:val="0050792C"/>
    <w:rsid w:val="00507938"/>
    <w:rsid w:val="00507993"/>
    <w:rsid w:val="005079B6"/>
    <w:rsid w:val="00507A2F"/>
    <w:rsid w:val="00507A58"/>
    <w:rsid w:val="00507A6D"/>
    <w:rsid w:val="00507A7C"/>
    <w:rsid w:val="00507ACA"/>
    <w:rsid w:val="00507B02"/>
    <w:rsid w:val="00507B33"/>
    <w:rsid w:val="00507B45"/>
    <w:rsid w:val="00507B4F"/>
    <w:rsid w:val="00507C09"/>
    <w:rsid w:val="00507C3E"/>
    <w:rsid w:val="00507D14"/>
    <w:rsid w:val="00507D3F"/>
    <w:rsid w:val="00507D4F"/>
    <w:rsid w:val="00507D5C"/>
    <w:rsid w:val="00507D76"/>
    <w:rsid w:val="00507DA7"/>
    <w:rsid w:val="00507E05"/>
    <w:rsid w:val="00507E2C"/>
    <w:rsid w:val="00507E5E"/>
    <w:rsid w:val="00507E81"/>
    <w:rsid w:val="00507EDF"/>
    <w:rsid w:val="00507F62"/>
    <w:rsid w:val="00507F66"/>
    <w:rsid w:val="00507FCD"/>
    <w:rsid w:val="00510048"/>
    <w:rsid w:val="00510092"/>
    <w:rsid w:val="00510093"/>
    <w:rsid w:val="005100C1"/>
    <w:rsid w:val="0051016A"/>
    <w:rsid w:val="0051016F"/>
    <w:rsid w:val="00510242"/>
    <w:rsid w:val="00510254"/>
    <w:rsid w:val="005102B6"/>
    <w:rsid w:val="005102C0"/>
    <w:rsid w:val="00510305"/>
    <w:rsid w:val="005103BA"/>
    <w:rsid w:val="005103CC"/>
    <w:rsid w:val="00510444"/>
    <w:rsid w:val="00510455"/>
    <w:rsid w:val="005104A6"/>
    <w:rsid w:val="00510529"/>
    <w:rsid w:val="0051052D"/>
    <w:rsid w:val="005105A8"/>
    <w:rsid w:val="0051060F"/>
    <w:rsid w:val="0051063E"/>
    <w:rsid w:val="005106F3"/>
    <w:rsid w:val="00510702"/>
    <w:rsid w:val="00510703"/>
    <w:rsid w:val="00510751"/>
    <w:rsid w:val="0051076F"/>
    <w:rsid w:val="0051077E"/>
    <w:rsid w:val="00510785"/>
    <w:rsid w:val="005107D9"/>
    <w:rsid w:val="00510804"/>
    <w:rsid w:val="00510853"/>
    <w:rsid w:val="00510882"/>
    <w:rsid w:val="00510899"/>
    <w:rsid w:val="005108C5"/>
    <w:rsid w:val="005108CD"/>
    <w:rsid w:val="005108D4"/>
    <w:rsid w:val="005108DB"/>
    <w:rsid w:val="0051092B"/>
    <w:rsid w:val="0051098F"/>
    <w:rsid w:val="00510A0D"/>
    <w:rsid w:val="00510A2F"/>
    <w:rsid w:val="00510A97"/>
    <w:rsid w:val="00510AAE"/>
    <w:rsid w:val="00510AD7"/>
    <w:rsid w:val="00510AFC"/>
    <w:rsid w:val="00510B07"/>
    <w:rsid w:val="00510B0E"/>
    <w:rsid w:val="00510B31"/>
    <w:rsid w:val="00510B79"/>
    <w:rsid w:val="00510C41"/>
    <w:rsid w:val="00510CD6"/>
    <w:rsid w:val="00510D04"/>
    <w:rsid w:val="00510D13"/>
    <w:rsid w:val="00510D2A"/>
    <w:rsid w:val="00510D35"/>
    <w:rsid w:val="00510D96"/>
    <w:rsid w:val="00510DAC"/>
    <w:rsid w:val="00510DF1"/>
    <w:rsid w:val="00510E6B"/>
    <w:rsid w:val="00510FE3"/>
    <w:rsid w:val="0051109B"/>
    <w:rsid w:val="0051112D"/>
    <w:rsid w:val="0051113F"/>
    <w:rsid w:val="0051119A"/>
    <w:rsid w:val="005111AD"/>
    <w:rsid w:val="005111D4"/>
    <w:rsid w:val="00511208"/>
    <w:rsid w:val="00511214"/>
    <w:rsid w:val="00511235"/>
    <w:rsid w:val="0051123B"/>
    <w:rsid w:val="0051125E"/>
    <w:rsid w:val="00511299"/>
    <w:rsid w:val="0051129A"/>
    <w:rsid w:val="005112AE"/>
    <w:rsid w:val="005112B9"/>
    <w:rsid w:val="005112C3"/>
    <w:rsid w:val="005113C4"/>
    <w:rsid w:val="00511437"/>
    <w:rsid w:val="0051152A"/>
    <w:rsid w:val="0051153C"/>
    <w:rsid w:val="00511571"/>
    <w:rsid w:val="0051159C"/>
    <w:rsid w:val="005115BE"/>
    <w:rsid w:val="005115E4"/>
    <w:rsid w:val="005115FF"/>
    <w:rsid w:val="0051163B"/>
    <w:rsid w:val="00511640"/>
    <w:rsid w:val="00511659"/>
    <w:rsid w:val="0051167F"/>
    <w:rsid w:val="005116D2"/>
    <w:rsid w:val="00511702"/>
    <w:rsid w:val="00511707"/>
    <w:rsid w:val="00511740"/>
    <w:rsid w:val="00511741"/>
    <w:rsid w:val="0051179D"/>
    <w:rsid w:val="005117AA"/>
    <w:rsid w:val="0051189B"/>
    <w:rsid w:val="005119FF"/>
    <w:rsid w:val="00511A09"/>
    <w:rsid w:val="00511A18"/>
    <w:rsid w:val="00511A3F"/>
    <w:rsid w:val="00511A4A"/>
    <w:rsid w:val="00511A8B"/>
    <w:rsid w:val="00511AF7"/>
    <w:rsid w:val="00511B51"/>
    <w:rsid w:val="00511B89"/>
    <w:rsid w:val="00511B8D"/>
    <w:rsid w:val="00511BB7"/>
    <w:rsid w:val="00511CD4"/>
    <w:rsid w:val="00511CDE"/>
    <w:rsid w:val="00511CEF"/>
    <w:rsid w:val="00511D3C"/>
    <w:rsid w:val="00511D70"/>
    <w:rsid w:val="00511E24"/>
    <w:rsid w:val="00511E66"/>
    <w:rsid w:val="00511E87"/>
    <w:rsid w:val="00511EAC"/>
    <w:rsid w:val="00511EF3"/>
    <w:rsid w:val="00511EFF"/>
    <w:rsid w:val="00511F30"/>
    <w:rsid w:val="00511F35"/>
    <w:rsid w:val="00511F3C"/>
    <w:rsid w:val="00511F59"/>
    <w:rsid w:val="00511F6F"/>
    <w:rsid w:val="00511FA2"/>
    <w:rsid w:val="00511FF9"/>
    <w:rsid w:val="00512033"/>
    <w:rsid w:val="0051203E"/>
    <w:rsid w:val="00512067"/>
    <w:rsid w:val="0051207C"/>
    <w:rsid w:val="00512089"/>
    <w:rsid w:val="0051209A"/>
    <w:rsid w:val="005120CC"/>
    <w:rsid w:val="0051211D"/>
    <w:rsid w:val="005121A9"/>
    <w:rsid w:val="0051224F"/>
    <w:rsid w:val="005122A6"/>
    <w:rsid w:val="005122B7"/>
    <w:rsid w:val="005122E4"/>
    <w:rsid w:val="00512327"/>
    <w:rsid w:val="00512340"/>
    <w:rsid w:val="00512362"/>
    <w:rsid w:val="005123A7"/>
    <w:rsid w:val="005123C4"/>
    <w:rsid w:val="005123D3"/>
    <w:rsid w:val="005123D7"/>
    <w:rsid w:val="005123E0"/>
    <w:rsid w:val="0051240F"/>
    <w:rsid w:val="00512419"/>
    <w:rsid w:val="0051249D"/>
    <w:rsid w:val="005124EA"/>
    <w:rsid w:val="00512511"/>
    <w:rsid w:val="005125A1"/>
    <w:rsid w:val="0051262C"/>
    <w:rsid w:val="0051266F"/>
    <w:rsid w:val="005127DE"/>
    <w:rsid w:val="00512842"/>
    <w:rsid w:val="0051284F"/>
    <w:rsid w:val="00512856"/>
    <w:rsid w:val="0051288F"/>
    <w:rsid w:val="005128B0"/>
    <w:rsid w:val="005128F3"/>
    <w:rsid w:val="0051290A"/>
    <w:rsid w:val="0051292E"/>
    <w:rsid w:val="00512945"/>
    <w:rsid w:val="00512969"/>
    <w:rsid w:val="005129A0"/>
    <w:rsid w:val="00512A04"/>
    <w:rsid w:val="00512A52"/>
    <w:rsid w:val="00512A8A"/>
    <w:rsid w:val="00512B12"/>
    <w:rsid w:val="00512B30"/>
    <w:rsid w:val="00512B3E"/>
    <w:rsid w:val="00512B41"/>
    <w:rsid w:val="00512B5A"/>
    <w:rsid w:val="00512B71"/>
    <w:rsid w:val="00512BD8"/>
    <w:rsid w:val="00512CC0"/>
    <w:rsid w:val="00512DAB"/>
    <w:rsid w:val="00512DF6"/>
    <w:rsid w:val="00512DFD"/>
    <w:rsid w:val="00512E01"/>
    <w:rsid w:val="00512E15"/>
    <w:rsid w:val="00512E51"/>
    <w:rsid w:val="00512E9D"/>
    <w:rsid w:val="00512EE8"/>
    <w:rsid w:val="00512FF9"/>
    <w:rsid w:val="0051306A"/>
    <w:rsid w:val="0051306C"/>
    <w:rsid w:val="005130AA"/>
    <w:rsid w:val="00513124"/>
    <w:rsid w:val="00513146"/>
    <w:rsid w:val="0051314E"/>
    <w:rsid w:val="00513194"/>
    <w:rsid w:val="005131A6"/>
    <w:rsid w:val="005131B6"/>
    <w:rsid w:val="005131FD"/>
    <w:rsid w:val="00513200"/>
    <w:rsid w:val="0051322D"/>
    <w:rsid w:val="00513255"/>
    <w:rsid w:val="00513269"/>
    <w:rsid w:val="005132AE"/>
    <w:rsid w:val="005132C4"/>
    <w:rsid w:val="005132E4"/>
    <w:rsid w:val="00513300"/>
    <w:rsid w:val="0051334B"/>
    <w:rsid w:val="005133A9"/>
    <w:rsid w:val="005133AC"/>
    <w:rsid w:val="00513419"/>
    <w:rsid w:val="00513421"/>
    <w:rsid w:val="0051342B"/>
    <w:rsid w:val="0051342D"/>
    <w:rsid w:val="00513457"/>
    <w:rsid w:val="00513467"/>
    <w:rsid w:val="005134BE"/>
    <w:rsid w:val="005134CD"/>
    <w:rsid w:val="005134E4"/>
    <w:rsid w:val="005134EB"/>
    <w:rsid w:val="00513538"/>
    <w:rsid w:val="00513603"/>
    <w:rsid w:val="00513609"/>
    <w:rsid w:val="005136AE"/>
    <w:rsid w:val="0051370E"/>
    <w:rsid w:val="00513734"/>
    <w:rsid w:val="00513771"/>
    <w:rsid w:val="00513789"/>
    <w:rsid w:val="00513849"/>
    <w:rsid w:val="005138CE"/>
    <w:rsid w:val="005138F0"/>
    <w:rsid w:val="00513912"/>
    <w:rsid w:val="00513956"/>
    <w:rsid w:val="005139A5"/>
    <w:rsid w:val="005139BA"/>
    <w:rsid w:val="00513A0C"/>
    <w:rsid w:val="00513AB0"/>
    <w:rsid w:val="00513ACA"/>
    <w:rsid w:val="00513ADD"/>
    <w:rsid w:val="00513ADE"/>
    <w:rsid w:val="00513B66"/>
    <w:rsid w:val="00513C1A"/>
    <w:rsid w:val="00513C9F"/>
    <w:rsid w:val="00513CB4"/>
    <w:rsid w:val="00513CBE"/>
    <w:rsid w:val="00513CD6"/>
    <w:rsid w:val="00513CDE"/>
    <w:rsid w:val="00513CED"/>
    <w:rsid w:val="00513D37"/>
    <w:rsid w:val="00513D77"/>
    <w:rsid w:val="00513D8D"/>
    <w:rsid w:val="00513DA4"/>
    <w:rsid w:val="00513DF3"/>
    <w:rsid w:val="00513E05"/>
    <w:rsid w:val="00513E64"/>
    <w:rsid w:val="00513F27"/>
    <w:rsid w:val="00513F92"/>
    <w:rsid w:val="00513FCF"/>
    <w:rsid w:val="00513FDC"/>
    <w:rsid w:val="00513FDE"/>
    <w:rsid w:val="00513FED"/>
    <w:rsid w:val="00514061"/>
    <w:rsid w:val="00514124"/>
    <w:rsid w:val="00514157"/>
    <w:rsid w:val="00514176"/>
    <w:rsid w:val="00514177"/>
    <w:rsid w:val="00514198"/>
    <w:rsid w:val="005141AA"/>
    <w:rsid w:val="005141CC"/>
    <w:rsid w:val="00514223"/>
    <w:rsid w:val="00514343"/>
    <w:rsid w:val="00514350"/>
    <w:rsid w:val="005143C2"/>
    <w:rsid w:val="005143D0"/>
    <w:rsid w:val="00514468"/>
    <w:rsid w:val="0051451A"/>
    <w:rsid w:val="00514564"/>
    <w:rsid w:val="00514569"/>
    <w:rsid w:val="005145D0"/>
    <w:rsid w:val="0051461D"/>
    <w:rsid w:val="005146D5"/>
    <w:rsid w:val="005146F1"/>
    <w:rsid w:val="00514726"/>
    <w:rsid w:val="00514737"/>
    <w:rsid w:val="005147C2"/>
    <w:rsid w:val="00514815"/>
    <w:rsid w:val="00514886"/>
    <w:rsid w:val="005148A9"/>
    <w:rsid w:val="005148B7"/>
    <w:rsid w:val="005149B9"/>
    <w:rsid w:val="00514AA2"/>
    <w:rsid w:val="00514AE6"/>
    <w:rsid w:val="00514B36"/>
    <w:rsid w:val="00514B70"/>
    <w:rsid w:val="00514BC4"/>
    <w:rsid w:val="00514BE0"/>
    <w:rsid w:val="00514BEA"/>
    <w:rsid w:val="00514BEB"/>
    <w:rsid w:val="00514C45"/>
    <w:rsid w:val="00514C8F"/>
    <w:rsid w:val="00514CB1"/>
    <w:rsid w:val="00514CC9"/>
    <w:rsid w:val="00514DAD"/>
    <w:rsid w:val="00514DB2"/>
    <w:rsid w:val="00514DCD"/>
    <w:rsid w:val="00514E1A"/>
    <w:rsid w:val="00514E3C"/>
    <w:rsid w:val="00514E81"/>
    <w:rsid w:val="00514EA2"/>
    <w:rsid w:val="00514ED4"/>
    <w:rsid w:val="00514ED8"/>
    <w:rsid w:val="00514EED"/>
    <w:rsid w:val="00514EFC"/>
    <w:rsid w:val="00514F0F"/>
    <w:rsid w:val="00514F32"/>
    <w:rsid w:val="00514FDF"/>
    <w:rsid w:val="0051501B"/>
    <w:rsid w:val="0051502C"/>
    <w:rsid w:val="005150B4"/>
    <w:rsid w:val="00515181"/>
    <w:rsid w:val="0051519A"/>
    <w:rsid w:val="005151B0"/>
    <w:rsid w:val="005151C1"/>
    <w:rsid w:val="005151C4"/>
    <w:rsid w:val="005151E7"/>
    <w:rsid w:val="005151FF"/>
    <w:rsid w:val="00515243"/>
    <w:rsid w:val="0051527B"/>
    <w:rsid w:val="005152B5"/>
    <w:rsid w:val="005152C3"/>
    <w:rsid w:val="00515317"/>
    <w:rsid w:val="00515322"/>
    <w:rsid w:val="0051532E"/>
    <w:rsid w:val="0051534F"/>
    <w:rsid w:val="00515359"/>
    <w:rsid w:val="005154B4"/>
    <w:rsid w:val="005154D5"/>
    <w:rsid w:val="005154FB"/>
    <w:rsid w:val="005154FE"/>
    <w:rsid w:val="0051551A"/>
    <w:rsid w:val="00515557"/>
    <w:rsid w:val="00515567"/>
    <w:rsid w:val="00515618"/>
    <w:rsid w:val="0051561A"/>
    <w:rsid w:val="0051564B"/>
    <w:rsid w:val="0051566F"/>
    <w:rsid w:val="00515676"/>
    <w:rsid w:val="0051569E"/>
    <w:rsid w:val="005156D6"/>
    <w:rsid w:val="00515715"/>
    <w:rsid w:val="0051571A"/>
    <w:rsid w:val="00515745"/>
    <w:rsid w:val="005157EC"/>
    <w:rsid w:val="00515832"/>
    <w:rsid w:val="00515844"/>
    <w:rsid w:val="00515866"/>
    <w:rsid w:val="0051586C"/>
    <w:rsid w:val="0051591C"/>
    <w:rsid w:val="005159AD"/>
    <w:rsid w:val="005159DF"/>
    <w:rsid w:val="00515A00"/>
    <w:rsid w:val="00515A02"/>
    <w:rsid w:val="00515A08"/>
    <w:rsid w:val="00515A10"/>
    <w:rsid w:val="00515A40"/>
    <w:rsid w:val="00515AB6"/>
    <w:rsid w:val="00515C12"/>
    <w:rsid w:val="00515C37"/>
    <w:rsid w:val="00515C94"/>
    <w:rsid w:val="00515CDD"/>
    <w:rsid w:val="00515DA4"/>
    <w:rsid w:val="00515DB4"/>
    <w:rsid w:val="00515E3B"/>
    <w:rsid w:val="00515E89"/>
    <w:rsid w:val="00515E8D"/>
    <w:rsid w:val="00515E96"/>
    <w:rsid w:val="00515F8B"/>
    <w:rsid w:val="00515FA7"/>
    <w:rsid w:val="00515FEA"/>
    <w:rsid w:val="0051604B"/>
    <w:rsid w:val="005160C4"/>
    <w:rsid w:val="005160C8"/>
    <w:rsid w:val="005160CF"/>
    <w:rsid w:val="0051611C"/>
    <w:rsid w:val="0051613B"/>
    <w:rsid w:val="0051614D"/>
    <w:rsid w:val="005161B0"/>
    <w:rsid w:val="0051620D"/>
    <w:rsid w:val="00516237"/>
    <w:rsid w:val="00516238"/>
    <w:rsid w:val="00516291"/>
    <w:rsid w:val="0051629D"/>
    <w:rsid w:val="00516305"/>
    <w:rsid w:val="00516391"/>
    <w:rsid w:val="00516393"/>
    <w:rsid w:val="0051652C"/>
    <w:rsid w:val="00516559"/>
    <w:rsid w:val="00516598"/>
    <w:rsid w:val="005165C9"/>
    <w:rsid w:val="0051664E"/>
    <w:rsid w:val="00516663"/>
    <w:rsid w:val="00516670"/>
    <w:rsid w:val="00516762"/>
    <w:rsid w:val="005167C9"/>
    <w:rsid w:val="00516830"/>
    <w:rsid w:val="005168EB"/>
    <w:rsid w:val="00516916"/>
    <w:rsid w:val="00516929"/>
    <w:rsid w:val="005169B2"/>
    <w:rsid w:val="005169E1"/>
    <w:rsid w:val="005169E9"/>
    <w:rsid w:val="00516A6E"/>
    <w:rsid w:val="00516B0E"/>
    <w:rsid w:val="00516B44"/>
    <w:rsid w:val="00516B54"/>
    <w:rsid w:val="00516B77"/>
    <w:rsid w:val="00516BAE"/>
    <w:rsid w:val="00516BF2"/>
    <w:rsid w:val="00516BF4"/>
    <w:rsid w:val="00516C00"/>
    <w:rsid w:val="00516C04"/>
    <w:rsid w:val="00516C1F"/>
    <w:rsid w:val="00516C24"/>
    <w:rsid w:val="00516C4C"/>
    <w:rsid w:val="00516D1A"/>
    <w:rsid w:val="00516D30"/>
    <w:rsid w:val="00516DA2"/>
    <w:rsid w:val="00516DC1"/>
    <w:rsid w:val="00516DD0"/>
    <w:rsid w:val="00516DED"/>
    <w:rsid w:val="00516DF8"/>
    <w:rsid w:val="00516E77"/>
    <w:rsid w:val="00516E8E"/>
    <w:rsid w:val="00516E95"/>
    <w:rsid w:val="00516E96"/>
    <w:rsid w:val="00516E9E"/>
    <w:rsid w:val="00516EE5"/>
    <w:rsid w:val="00516F65"/>
    <w:rsid w:val="00516F6A"/>
    <w:rsid w:val="00516F84"/>
    <w:rsid w:val="00516FF3"/>
    <w:rsid w:val="0051700B"/>
    <w:rsid w:val="00517030"/>
    <w:rsid w:val="0051707D"/>
    <w:rsid w:val="0051709F"/>
    <w:rsid w:val="00517109"/>
    <w:rsid w:val="0051710B"/>
    <w:rsid w:val="0051712E"/>
    <w:rsid w:val="00517144"/>
    <w:rsid w:val="00517163"/>
    <w:rsid w:val="00517214"/>
    <w:rsid w:val="0051726C"/>
    <w:rsid w:val="00517282"/>
    <w:rsid w:val="00517291"/>
    <w:rsid w:val="005172FC"/>
    <w:rsid w:val="00517333"/>
    <w:rsid w:val="00517364"/>
    <w:rsid w:val="0051737B"/>
    <w:rsid w:val="005173BA"/>
    <w:rsid w:val="005174C6"/>
    <w:rsid w:val="0051750F"/>
    <w:rsid w:val="00517547"/>
    <w:rsid w:val="005175CC"/>
    <w:rsid w:val="00517605"/>
    <w:rsid w:val="00517636"/>
    <w:rsid w:val="00517647"/>
    <w:rsid w:val="00517702"/>
    <w:rsid w:val="005177B3"/>
    <w:rsid w:val="005177CF"/>
    <w:rsid w:val="005177D5"/>
    <w:rsid w:val="0051784F"/>
    <w:rsid w:val="005178A7"/>
    <w:rsid w:val="005178B2"/>
    <w:rsid w:val="005178F4"/>
    <w:rsid w:val="00517933"/>
    <w:rsid w:val="0051797B"/>
    <w:rsid w:val="0051798D"/>
    <w:rsid w:val="005179CE"/>
    <w:rsid w:val="005179E6"/>
    <w:rsid w:val="005179F0"/>
    <w:rsid w:val="00517A00"/>
    <w:rsid w:val="00517A3C"/>
    <w:rsid w:val="00517AD3"/>
    <w:rsid w:val="00517B92"/>
    <w:rsid w:val="00517BB6"/>
    <w:rsid w:val="00517BD1"/>
    <w:rsid w:val="00517BFC"/>
    <w:rsid w:val="00517C36"/>
    <w:rsid w:val="00517C71"/>
    <w:rsid w:val="00517CA4"/>
    <w:rsid w:val="00517CFC"/>
    <w:rsid w:val="00517D9E"/>
    <w:rsid w:val="00517DF5"/>
    <w:rsid w:val="00517E3E"/>
    <w:rsid w:val="00517E54"/>
    <w:rsid w:val="00517E90"/>
    <w:rsid w:val="00517E9C"/>
    <w:rsid w:val="00517EDE"/>
    <w:rsid w:val="00517EFD"/>
    <w:rsid w:val="00517F03"/>
    <w:rsid w:val="00517F14"/>
    <w:rsid w:val="00517F1F"/>
    <w:rsid w:val="00517F66"/>
    <w:rsid w:val="00517F9B"/>
    <w:rsid w:val="00517F9D"/>
    <w:rsid w:val="00517FCB"/>
    <w:rsid w:val="00517FD3"/>
    <w:rsid w:val="00517FE7"/>
    <w:rsid w:val="00520065"/>
    <w:rsid w:val="0052008D"/>
    <w:rsid w:val="00520108"/>
    <w:rsid w:val="00520136"/>
    <w:rsid w:val="00520146"/>
    <w:rsid w:val="00520149"/>
    <w:rsid w:val="005201BF"/>
    <w:rsid w:val="005201C3"/>
    <w:rsid w:val="005201D8"/>
    <w:rsid w:val="005201EB"/>
    <w:rsid w:val="005201F0"/>
    <w:rsid w:val="0052029A"/>
    <w:rsid w:val="0052031B"/>
    <w:rsid w:val="00520326"/>
    <w:rsid w:val="00520338"/>
    <w:rsid w:val="00520372"/>
    <w:rsid w:val="00520375"/>
    <w:rsid w:val="0052037C"/>
    <w:rsid w:val="005203D1"/>
    <w:rsid w:val="005203D2"/>
    <w:rsid w:val="00520420"/>
    <w:rsid w:val="00520422"/>
    <w:rsid w:val="0052042E"/>
    <w:rsid w:val="00520451"/>
    <w:rsid w:val="0052046C"/>
    <w:rsid w:val="00520515"/>
    <w:rsid w:val="00520527"/>
    <w:rsid w:val="00520553"/>
    <w:rsid w:val="0052055F"/>
    <w:rsid w:val="0052057D"/>
    <w:rsid w:val="00520590"/>
    <w:rsid w:val="00520592"/>
    <w:rsid w:val="005205C8"/>
    <w:rsid w:val="0052069F"/>
    <w:rsid w:val="005206AC"/>
    <w:rsid w:val="005206B0"/>
    <w:rsid w:val="005206C1"/>
    <w:rsid w:val="005206F9"/>
    <w:rsid w:val="0052073B"/>
    <w:rsid w:val="00520758"/>
    <w:rsid w:val="005207A7"/>
    <w:rsid w:val="005207C5"/>
    <w:rsid w:val="00520862"/>
    <w:rsid w:val="0052086E"/>
    <w:rsid w:val="005208A0"/>
    <w:rsid w:val="005208C3"/>
    <w:rsid w:val="00520904"/>
    <w:rsid w:val="00520909"/>
    <w:rsid w:val="00520970"/>
    <w:rsid w:val="005209C5"/>
    <w:rsid w:val="005209C7"/>
    <w:rsid w:val="00520A78"/>
    <w:rsid w:val="00520A92"/>
    <w:rsid w:val="00520AA8"/>
    <w:rsid w:val="00520AB0"/>
    <w:rsid w:val="00520ACB"/>
    <w:rsid w:val="00520B28"/>
    <w:rsid w:val="00520B6F"/>
    <w:rsid w:val="00520B88"/>
    <w:rsid w:val="00520BAC"/>
    <w:rsid w:val="00520C53"/>
    <w:rsid w:val="00520D25"/>
    <w:rsid w:val="00520D88"/>
    <w:rsid w:val="00520E44"/>
    <w:rsid w:val="00520E51"/>
    <w:rsid w:val="00520E67"/>
    <w:rsid w:val="00520E68"/>
    <w:rsid w:val="00520E91"/>
    <w:rsid w:val="00520E9B"/>
    <w:rsid w:val="00520F52"/>
    <w:rsid w:val="00520F79"/>
    <w:rsid w:val="00520F7F"/>
    <w:rsid w:val="00520F91"/>
    <w:rsid w:val="00520FAE"/>
    <w:rsid w:val="00521066"/>
    <w:rsid w:val="00521084"/>
    <w:rsid w:val="005210C9"/>
    <w:rsid w:val="005210CA"/>
    <w:rsid w:val="00521182"/>
    <w:rsid w:val="00521272"/>
    <w:rsid w:val="005212E9"/>
    <w:rsid w:val="00521301"/>
    <w:rsid w:val="0052131A"/>
    <w:rsid w:val="00521364"/>
    <w:rsid w:val="0052136B"/>
    <w:rsid w:val="005213C6"/>
    <w:rsid w:val="00521447"/>
    <w:rsid w:val="00521480"/>
    <w:rsid w:val="0052150D"/>
    <w:rsid w:val="00521530"/>
    <w:rsid w:val="00521533"/>
    <w:rsid w:val="005215BF"/>
    <w:rsid w:val="005215F3"/>
    <w:rsid w:val="0052166B"/>
    <w:rsid w:val="0052168A"/>
    <w:rsid w:val="005216B5"/>
    <w:rsid w:val="005216DB"/>
    <w:rsid w:val="00521744"/>
    <w:rsid w:val="0052177D"/>
    <w:rsid w:val="0052184B"/>
    <w:rsid w:val="00521944"/>
    <w:rsid w:val="0052196D"/>
    <w:rsid w:val="005219C2"/>
    <w:rsid w:val="005219C7"/>
    <w:rsid w:val="00521A36"/>
    <w:rsid w:val="00521A60"/>
    <w:rsid w:val="00521B0D"/>
    <w:rsid w:val="00521B1D"/>
    <w:rsid w:val="00521BAB"/>
    <w:rsid w:val="00521BB5"/>
    <w:rsid w:val="00521C49"/>
    <w:rsid w:val="00521C91"/>
    <w:rsid w:val="00521CA5"/>
    <w:rsid w:val="00521D16"/>
    <w:rsid w:val="00521D43"/>
    <w:rsid w:val="00521D4D"/>
    <w:rsid w:val="00521D80"/>
    <w:rsid w:val="00521E21"/>
    <w:rsid w:val="00521EF4"/>
    <w:rsid w:val="00521F65"/>
    <w:rsid w:val="00521F8E"/>
    <w:rsid w:val="00521F96"/>
    <w:rsid w:val="00522017"/>
    <w:rsid w:val="0052203D"/>
    <w:rsid w:val="0052206B"/>
    <w:rsid w:val="0052206C"/>
    <w:rsid w:val="00522098"/>
    <w:rsid w:val="00522107"/>
    <w:rsid w:val="005221B6"/>
    <w:rsid w:val="005221B7"/>
    <w:rsid w:val="005222A7"/>
    <w:rsid w:val="005222E9"/>
    <w:rsid w:val="00522311"/>
    <w:rsid w:val="00522318"/>
    <w:rsid w:val="00522321"/>
    <w:rsid w:val="00522331"/>
    <w:rsid w:val="00522335"/>
    <w:rsid w:val="0052235D"/>
    <w:rsid w:val="00522370"/>
    <w:rsid w:val="00522410"/>
    <w:rsid w:val="00522417"/>
    <w:rsid w:val="0052247C"/>
    <w:rsid w:val="00522538"/>
    <w:rsid w:val="0052253A"/>
    <w:rsid w:val="005225AD"/>
    <w:rsid w:val="005225BE"/>
    <w:rsid w:val="0052260C"/>
    <w:rsid w:val="00522637"/>
    <w:rsid w:val="00522678"/>
    <w:rsid w:val="005226B6"/>
    <w:rsid w:val="005226D9"/>
    <w:rsid w:val="005226DD"/>
    <w:rsid w:val="005226E6"/>
    <w:rsid w:val="005226ED"/>
    <w:rsid w:val="005227A8"/>
    <w:rsid w:val="005227C2"/>
    <w:rsid w:val="00522801"/>
    <w:rsid w:val="00522811"/>
    <w:rsid w:val="00522874"/>
    <w:rsid w:val="005228F9"/>
    <w:rsid w:val="00522A3B"/>
    <w:rsid w:val="00522A72"/>
    <w:rsid w:val="00522B14"/>
    <w:rsid w:val="00522CB7"/>
    <w:rsid w:val="00522CCB"/>
    <w:rsid w:val="00522CDC"/>
    <w:rsid w:val="00522D0C"/>
    <w:rsid w:val="00522D13"/>
    <w:rsid w:val="00522D5E"/>
    <w:rsid w:val="00522D9B"/>
    <w:rsid w:val="00522DC0"/>
    <w:rsid w:val="00522DDC"/>
    <w:rsid w:val="00522E09"/>
    <w:rsid w:val="00522E38"/>
    <w:rsid w:val="00522E49"/>
    <w:rsid w:val="00522E59"/>
    <w:rsid w:val="00522E8E"/>
    <w:rsid w:val="00522EB0"/>
    <w:rsid w:val="00522EE6"/>
    <w:rsid w:val="00522EF1"/>
    <w:rsid w:val="00522F2A"/>
    <w:rsid w:val="00522F52"/>
    <w:rsid w:val="00522FA7"/>
    <w:rsid w:val="00523046"/>
    <w:rsid w:val="00523049"/>
    <w:rsid w:val="00523063"/>
    <w:rsid w:val="005230B7"/>
    <w:rsid w:val="005230C9"/>
    <w:rsid w:val="00523113"/>
    <w:rsid w:val="00523140"/>
    <w:rsid w:val="0052316E"/>
    <w:rsid w:val="005231EA"/>
    <w:rsid w:val="00523238"/>
    <w:rsid w:val="00523251"/>
    <w:rsid w:val="005232A3"/>
    <w:rsid w:val="005232B8"/>
    <w:rsid w:val="0052334A"/>
    <w:rsid w:val="0052338A"/>
    <w:rsid w:val="005233A9"/>
    <w:rsid w:val="005233D1"/>
    <w:rsid w:val="005233E6"/>
    <w:rsid w:val="0052344F"/>
    <w:rsid w:val="0052346D"/>
    <w:rsid w:val="0052349C"/>
    <w:rsid w:val="005234A6"/>
    <w:rsid w:val="00523573"/>
    <w:rsid w:val="00523588"/>
    <w:rsid w:val="005235E1"/>
    <w:rsid w:val="00523603"/>
    <w:rsid w:val="00523604"/>
    <w:rsid w:val="0052361B"/>
    <w:rsid w:val="00523629"/>
    <w:rsid w:val="00523662"/>
    <w:rsid w:val="00523682"/>
    <w:rsid w:val="005236B0"/>
    <w:rsid w:val="0052370E"/>
    <w:rsid w:val="0052373A"/>
    <w:rsid w:val="0052374F"/>
    <w:rsid w:val="0052375F"/>
    <w:rsid w:val="0052377E"/>
    <w:rsid w:val="00523792"/>
    <w:rsid w:val="00523854"/>
    <w:rsid w:val="00523925"/>
    <w:rsid w:val="0052392F"/>
    <w:rsid w:val="0052393D"/>
    <w:rsid w:val="0052395A"/>
    <w:rsid w:val="0052396D"/>
    <w:rsid w:val="00523A39"/>
    <w:rsid w:val="00523A3D"/>
    <w:rsid w:val="00523A4F"/>
    <w:rsid w:val="00523A99"/>
    <w:rsid w:val="00523A9B"/>
    <w:rsid w:val="00523AEB"/>
    <w:rsid w:val="00523B4E"/>
    <w:rsid w:val="00523B93"/>
    <w:rsid w:val="00523C6E"/>
    <w:rsid w:val="00523C93"/>
    <w:rsid w:val="00523D37"/>
    <w:rsid w:val="00523DD2"/>
    <w:rsid w:val="00523DDE"/>
    <w:rsid w:val="00523E27"/>
    <w:rsid w:val="00523F21"/>
    <w:rsid w:val="00523F43"/>
    <w:rsid w:val="00523F4A"/>
    <w:rsid w:val="00523F5E"/>
    <w:rsid w:val="00524009"/>
    <w:rsid w:val="00524023"/>
    <w:rsid w:val="0052403B"/>
    <w:rsid w:val="00524094"/>
    <w:rsid w:val="0052409B"/>
    <w:rsid w:val="005240E4"/>
    <w:rsid w:val="00524106"/>
    <w:rsid w:val="00524198"/>
    <w:rsid w:val="005241F0"/>
    <w:rsid w:val="005241F9"/>
    <w:rsid w:val="00524223"/>
    <w:rsid w:val="00524261"/>
    <w:rsid w:val="00524287"/>
    <w:rsid w:val="00524390"/>
    <w:rsid w:val="00524421"/>
    <w:rsid w:val="00524460"/>
    <w:rsid w:val="00524498"/>
    <w:rsid w:val="005244D0"/>
    <w:rsid w:val="00524522"/>
    <w:rsid w:val="0052452F"/>
    <w:rsid w:val="00524561"/>
    <w:rsid w:val="00524596"/>
    <w:rsid w:val="0052459E"/>
    <w:rsid w:val="005245E0"/>
    <w:rsid w:val="00524636"/>
    <w:rsid w:val="00524705"/>
    <w:rsid w:val="0052474D"/>
    <w:rsid w:val="00524782"/>
    <w:rsid w:val="005247A7"/>
    <w:rsid w:val="005247AC"/>
    <w:rsid w:val="005247C2"/>
    <w:rsid w:val="005247F7"/>
    <w:rsid w:val="00524812"/>
    <w:rsid w:val="0052481A"/>
    <w:rsid w:val="00524928"/>
    <w:rsid w:val="0052496D"/>
    <w:rsid w:val="005249A0"/>
    <w:rsid w:val="005249D5"/>
    <w:rsid w:val="005249F9"/>
    <w:rsid w:val="00524A0F"/>
    <w:rsid w:val="00524A1D"/>
    <w:rsid w:val="00524A3C"/>
    <w:rsid w:val="00524A93"/>
    <w:rsid w:val="00524AA1"/>
    <w:rsid w:val="00524B11"/>
    <w:rsid w:val="00524B5C"/>
    <w:rsid w:val="00524C19"/>
    <w:rsid w:val="00524C6C"/>
    <w:rsid w:val="00524C6E"/>
    <w:rsid w:val="00524C76"/>
    <w:rsid w:val="00524CA1"/>
    <w:rsid w:val="00524DC5"/>
    <w:rsid w:val="00524DE0"/>
    <w:rsid w:val="00524DF2"/>
    <w:rsid w:val="00524E1E"/>
    <w:rsid w:val="00524E20"/>
    <w:rsid w:val="00524E24"/>
    <w:rsid w:val="00524E5E"/>
    <w:rsid w:val="00524EAD"/>
    <w:rsid w:val="00524EC1"/>
    <w:rsid w:val="00524EC3"/>
    <w:rsid w:val="00524EF3"/>
    <w:rsid w:val="00524F21"/>
    <w:rsid w:val="00524F88"/>
    <w:rsid w:val="00524FF0"/>
    <w:rsid w:val="00524FF4"/>
    <w:rsid w:val="00524FF8"/>
    <w:rsid w:val="00524FFD"/>
    <w:rsid w:val="00525013"/>
    <w:rsid w:val="00525015"/>
    <w:rsid w:val="00525040"/>
    <w:rsid w:val="00525042"/>
    <w:rsid w:val="00525076"/>
    <w:rsid w:val="0052507A"/>
    <w:rsid w:val="005250CF"/>
    <w:rsid w:val="005250FD"/>
    <w:rsid w:val="00525208"/>
    <w:rsid w:val="0052524C"/>
    <w:rsid w:val="005252AB"/>
    <w:rsid w:val="005252BD"/>
    <w:rsid w:val="005252D2"/>
    <w:rsid w:val="005253BE"/>
    <w:rsid w:val="005253C4"/>
    <w:rsid w:val="005253EA"/>
    <w:rsid w:val="00525400"/>
    <w:rsid w:val="0052543A"/>
    <w:rsid w:val="00525585"/>
    <w:rsid w:val="0052560D"/>
    <w:rsid w:val="00525685"/>
    <w:rsid w:val="005256AF"/>
    <w:rsid w:val="005256BB"/>
    <w:rsid w:val="005256C0"/>
    <w:rsid w:val="005256C9"/>
    <w:rsid w:val="005256D3"/>
    <w:rsid w:val="0052574F"/>
    <w:rsid w:val="00525766"/>
    <w:rsid w:val="0052577A"/>
    <w:rsid w:val="005257AD"/>
    <w:rsid w:val="005257DA"/>
    <w:rsid w:val="00525871"/>
    <w:rsid w:val="0052597C"/>
    <w:rsid w:val="005259B1"/>
    <w:rsid w:val="005259C8"/>
    <w:rsid w:val="00525A17"/>
    <w:rsid w:val="00525A2B"/>
    <w:rsid w:val="00525A45"/>
    <w:rsid w:val="00525A4A"/>
    <w:rsid w:val="00525A5B"/>
    <w:rsid w:val="00525A79"/>
    <w:rsid w:val="00525B42"/>
    <w:rsid w:val="00525B5A"/>
    <w:rsid w:val="00525BBF"/>
    <w:rsid w:val="00525C0C"/>
    <w:rsid w:val="00525C55"/>
    <w:rsid w:val="00525C5B"/>
    <w:rsid w:val="00525CAB"/>
    <w:rsid w:val="00525D19"/>
    <w:rsid w:val="00525DB9"/>
    <w:rsid w:val="00525DF5"/>
    <w:rsid w:val="00525E70"/>
    <w:rsid w:val="00525EDC"/>
    <w:rsid w:val="00525F4A"/>
    <w:rsid w:val="00525F51"/>
    <w:rsid w:val="00525F96"/>
    <w:rsid w:val="00525FB5"/>
    <w:rsid w:val="00525FD2"/>
    <w:rsid w:val="00525FF1"/>
    <w:rsid w:val="00525FFF"/>
    <w:rsid w:val="00526081"/>
    <w:rsid w:val="005260C5"/>
    <w:rsid w:val="00526111"/>
    <w:rsid w:val="00526173"/>
    <w:rsid w:val="005261EF"/>
    <w:rsid w:val="00526217"/>
    <w:rsid w:val="0052622B"/>
    <w:rsid w:val="00526293"/>
    <w:rsid w:val="00526306"/>
    <w:rsid w:val="00526346"/>
    <w:rsid w:val="0052634A"/>
    <w:rsid w:val="005263AB"/>
    <w:rsid w:val="005263CA"/>
    <w:rsid w:val="005263D2"/>
    <w:rsid w:val="00526440"/>
    <w:rsid w:val="00526564"/>
    <w:rsid w:val="0052664B"/>
    <w:rsid w:val="0052664C"/>
    <w:rsid w:val="0052666E"/>
    <w:rsid w:val="00526677"/>
    <w:rsid w:val="00526683"/>
    <w:rsid w:val="0052669B"/>
    <w:rsid w:val="005266A5"/>
    <w:rsid w:val="005266C7"/>
    <w:rsid w:val="005266DD"/>
    <w:rsid w:val="005266FE"/>
    <w:rsid w:val="005267BE"/>
    <w:rsid w:val="005267C5"/>
    <w:rsid w:val="005267E2"/>
    <w:rsid w:val="00526833"/>
    <w:rsid w:val="0052687F"/>
    <w:rsid w:val="00526913"/>
    <w:rsid w:val="0052691A"/>
    <w:rsid w:val="00526955"/>
    <w:rsid w:val="005269CD"/>
    <w:rsid w:val="005269CE"/>
    <w:rsid w:val="005269EB"/>
    <w:rsid w:val="00526A24"/>
    <w:rsid w:val="00526A30"/>
    <w:rsid w:val="00526A5E"/>
    <w:rsid w:val="00526A62"/>
    <w:rsid w:val="00526A66"/>
    <w:rsid w:val="00526AC5"/>
    <w:rsid w:val="00526B28"/>
    <w:rsid w:val="00526B5A"/>
    <w:rsid w:val="00526B6C"/>
    <w:rsid w:val="00526BD1"/>
    <w:rsid w:val="00526C50"/>
    <w:rsid w:val="00526C58"/>
    <w:rsid w:val="00526CEE"/>
    <w:rsid w:val="00526D33"/>
    <w:rsid w:val="00526DAC"/>
    <w:rsid w:val="00526DB5"/>
    <w:rsid w:val="00526EB1"/>
    <w:rsid w:val="00526EE0"/>
    <w:rsid w:val="00526F0D"/>
    <w:rsid w:val="00526F28"/>
    <w:rsid w:val="00526FE0"/>
    <w:rsid w:val="00526FFD"/>
    <w:rsid w:val="00527038"/>
    <w:rsid w:val="005270CA"/>
    <w:rsid w:val="005270F3"/>
    <w:rsid w:val="00527106"/>
    <w:rsid w:val="00527110"/>
    <w:rsid w:val="00527119"/>
    <w:rsid w:val="00527132"/>
    <w:rsid w:val="00527137"/>
    <w:rsid w:val="005271A1"/>
    <w:rsid w:val="005271AE"/>
    <w:rsid w:val="00527204"/>
    <w:rsid w:val="0052727D"/>
    <w:rsid w:val="005272BF"/>
    <w:rsid w:val="005272CD"/>
    <w:rsid w:val="005272E6"/>
    <w:rsid w:val="0052731B"/>
    <w:rsid w:val="005273B9"/>
    <w:rsid w:val="005273D8"/>
    <w:rsid w:val="0052740D"/>
    <w:rsid w:val="0052745B"/>
    <w:rsid w:val="00527478"/>
    <w:rsid w:val="00527497"/>
    <w:rsid w:val="005274A1"/>
    <w:rsid w:val="005274CE"/>
    <w:rsid w:val="005275A9"/>
    <w:rsid w:val="005275B7"/>
    <w:rsid w:val="00527669"/>
    <w:rsid w:val="00527670"/>
    <w:rsid w:val="00527684"/>
    <w:rsid w:val="005276E2"/>
    <w:rsid w:val="005276EC"/>
    <w:rsid w:val="0052773C"/>
    <w:rsid w:val="00527943"/>
    <w:rsid w:val="00527957"/>
    <w:rsid w:val="005279B8"/>
    <w:rsid w:val="00527A0D"/>
    <w:rsid w:val="00527A79"/>
    <w:rsid w:val="00527B7D"/>
    <w:rsid w:val="00527BA2"/>
    <w:rsid w:val="00527CC2"/>
    <w:rsid w:val="00527D4A"/>
    <w:rsid w:val="00527D4E"/>
    <w:rsid w:val="00527D75"/>
    <w:rsid w:val="00527D7D"/>
    <w:rsid w:val="00527DA2"/>
    <w:rsid w:val="00527F09"/>
    <w:rsid w:val="00527F24"/>
    <w:rsid w:val="00527FAD"/>
    <w:rsid w:val="00527FFC"/>
    <w:rsid w:val="0052F0E0"/>
    <w:rsid w:val="00530014"/>
    <w:rsid w:val="0053001A"/>
    <w:rsid w:val="0053010A"/>
    <w:rsid w:val="00530112"/>
    <w:rsid w:val="0053017C"/>
    <w:rsid w:val="00530184"/>
    <w:rsid w:val="005301F7"/>
    <w:rsid w:val="00530201"/>
    <w:rsid w:val="00530215"/>
    <w:rsid w:val="005302CB"/>
    <w:rsid w:val="005302FC"/>
    <w:rsid w:val="00530318"/>
    <w:rsid w:val="0053034B"/>
    <w:rsid w:val="00530388"/>
    <w:rsid w:val="00530420"/>
    <w:rsid w:val="005304CF"/>
    <w:rsid w:val="005304D5"/>
    <w:rsid w:val="0053054C"/>
    <w:rsid w:val="005305BD"/>
    <w:rsid w:val="00530621"/>
    <w:rsid w:val="0053066D"/>
    <w:rsid w:val="005306E3"/>
    <w:rsid w:val="00530793"/>
    <w:rsid w:val="005307BB"/>
    <w:rsid w:val="0053081A"/>
    <w:rsid w:val="00530848"/>
    <w:rsid w:val="00530865"/>
    <w:rsid w:val="005308EF"/>
    <w:rsid w:val="00530923"/>
    <w:rsid w:val="00530943"/>
    <w:rsid w:val="00530953"/>
    <w:rsid w:val="005309D5"/>
    <w:rsid w:val="005309E4"/>
    <w:rsid w:val="00530A4C"/>
    <w:rsid w:val="00530A57"/>
    <w:rsid w:val="00530AF7"/>
    <w:rsid w:val="00530B29"/>
    <w:rsid w:val="00530B5D"/>
    <w:rsid w:val="00530B60"/>
    <w:rsid w:val="00530CAC"/>
    <w:rsid w:val="00530D42"/>
    <w:rsid w:val="00530D47"/>
    <w:rsid w:val="00530D6D"/>
    <w:rsid w:val="00530DED"/>
    <w:rsid w:val="00530DF8"/>
    <w:rsid w:val="00530E04"/>
    <w:rsid w:val="00530E1F"/>
    <w:rsid w:val="00530E4F"/>
    <w:rsid w:val="00530E98"/>
    <w:rsid w:val="00530E9F"/>
    <w:rsid w:val="00530F0C"/>
    <w:rsid w:val="00530F3D"/>
    <w:rsid w:val="00530F53"/>
    <w:rsid w:val="00530FAA"/>
    <w:rsid w:val="00530FAE"/>
    <w:rsid w:val="00531019"/>
    <w:rsid w:val="00531055"/>
    <w:rsid w:val="00531066"/>
    <w:rsid w:val="00531074"/>
    <w:rsid w:val="00531080"/>
    <w:rsid w:val="00531084"/>
    <w:rsid w:val="005310DF"/>
    <w:rsid w:val="005310E6"/>
    <w:rsid w:val="005310EE"/>
    <w:rsid w:val="00531133"/>
    <w:rsid w:val="0053122B"/>
    <w:rsid w:val="0053124E"/>
    <w:rsid w:val="00531258"/>
    <w:rsid w:val="00531272"/>
    <w:rsid w:val="005312A0"/>
    <w:rsid w:val="005312F0"/>
    <w:rsid w:val="005312FD"/>
    <w:rsid w:val="00531302"/>
    <w:rsid w:val="00531330"/>
    <w:rsid w:val="005313A0"/>
    <w:rsid w:val="005313AB"/>
    <w:rsid w:val="00531418"/>
    <w:rsid w:val="0053142A"/>
    <w:rsid w:val="0053145F"/>
    <w:rsid w:val="00531495"/>
    <w:rsid w:val="005314D4"/>
    <w:rsid w:val="005314DF"/>
    <w:rsid w:val="00531544"/>
    <w:rsid w:val="005315E5"/>
    <w:rsid w:val="00531636"/>
    <w:rsid w:val="00531668"/>
    <w:rsid w:val="00531675"/>
    <w:rsid w:val="005316E3"/>
    <w:rsid w:val="00531775"/>
    <w:rsid w:val="00531778"/>
    <w:rsid w:val="00531780"/>
    <w:rsid w:val="0053181F"/>
    <w:rsid w:val="00531821"/>
    <w:rsid w:val="0053184A"/>
    <w:rsid w:val="0053185E"/>
    <w:rsid w:val="00531865"/>
    <w:rsid w:val="0053188A"/>
    <w:rsid w:val="00531927"/>
    <w:rsid w:val="0053195E"/>
    <w:rsid w:val="00531960"/>
    <w:rsid w:val="005319A4"/>
    <w:rsid w:val="005319DC"/>
    <w:rsid w:val="005319E8"/>
    <w:rsid w:val="005319F4"/>
    <w:rsid w:val="00531A2B"/>
    <w:rsid w:val="00531A6C"/>
    <w:rsid w:val="00531A85"/>
    <w:rsid w:val="00531A99"/>
    <w:rsid w:val="00531B1B"/>
    <w:rsid w:val="00531B20"/>
    <w:rsid w:val="00531B30"/>
    <w:rsid w:val="00531B6A"/>
    <w:rsid w:val="00531B83"/>
    <w:rsid w:val="00531BCE"/>
    <w:rsid w:val="00531BEA"/>
    <w:rsid w:val="00531BFF"/>
    <w:rsid w:val="00531C68"/>
    <w:rsid w:val="00531CB5"/>
    <w:rsid w:val="00531D08"/>
    <w:rsid w:val="00531D5C"/>
    <w:rsid w:val="00531D96"/>
    <w:rsid w:val="00531DB4"/>
    <w:rsid w:val="00531DF5"/>
    <w:rsid w:val="00531E06"/>
    <w:rsid w:val="00531E1C"/>
    <w:rsid w:val="00531E1D"/>
    <w:rsid w:val="00531E53"/>
    <w:rsid w:val="00531E59"/>
    <w:rsid w:val="00531FC2"/>
    <w:rsid w:val="00531FD1"/>
    <w:rsid w:val="00531FF0"/>
    <w:rsid w:val="00532049"/>
    <w:rsid w:val="00532071"/>
    <w:rsid w:val="0053207B"/>
    <w:rsid w:val="00532080"/>
    <w:rsid w:val="005320D8"/>
    <w:rsid w:val="005320E2"/>
    <w:rsid w:val="005320E7"/>
    <w:rsid w:val="005320F3"/>
    <w:rsid w:val="00532137"/>
    <w:rsid w:val="0053217C"/>
    <w:rsid w:val="0053217F"/>
    <w:rsid w:val="005321FD"/>
    <w:rsid w:val="0053225B"/>
    <w:rsid w:val="00532355"/>
    <w:rsid w:val="00532393"/>
    <w:rsid w:val="005323A5"/>
    <w:rsid w:val="005323D0"/>
    <w:rsid w:val="005324AB"/>
    <w:rsid w:val="00532583"/>
    <w:rsid w:val="005325A9"/>
    <w:rsid w:val="005325EA"/>
    <w:rsid w:val="00532612"/>
    <w:rsid w:val="0053262D"/>
    <w:rsid w:val="00532693"/>
    <w:rsid w:val="005326BC"/>
    <w:rsid w:val="005326D0"/>
    <w:rsid w:val="005326F6"/>
    <w:rsid w:val="0053271A"/>
    <w:rsid w:val="005327AD"/>
    <w:rsid w:val="005327D9"/>
    <w:rsid w:val="005327E4"/>
    <w:rsid w:val="005327E7"/>
    <w:rsid w:val="00532800"/>
    <w:rsid w:val="00532838"/>
    <w:rsid w:val="00532851"/>
    <w:rsid w:val="00532881"/>
    <w:rsid w:val="0053288C"/>
    <w:rsid w:val="005328D1"/>
    <w:rsid w:val="005328E2"/>
    <w:rsid w:val="0053298A"/>
    <w:rsid w:val="00532AA8"/>
    <w:rsid w:val="00532B37"/>
    <w:rsid w:val="00532B5A"/>
    <w:rsid w:val="00532B76"/>
    <w:rsid w:val="00532BB7"/>
    <w:rsid w:val="00532CC2"/>
    <w:rsid w:val="00532CE9"/>
    <w:rsid w:val="00532CFF"/>
    <w:rsid w:val="00532D16"/>
    <w:rsid w:val="00532D1A"/>
    <w:rsid w:val="00532D65"/>
    <w:rsid w:val="00532D9B"/>
    <w:rsid w:val="00532E57"/>
    <w:rsid w:val="00532E90"/>
    <w:rsid w:val="00532E9B"/>
    <w:rsid w:val="00532EBB"/>
    <w:rsid w:val="00532EF2"/>
    <w:rsid w:val="00532F9E"/>
    <w:rsid w:val="0053301F"/>
    <w:rsid w:val="00533022"/>
    <w:rsid w:val="0053304B"/>
    <w:rsid w:val="0053304D"/>
    <w:rsid w:val="00533068"/>
    <w:rsid w:val="005330A8"/>
    <w:rsid w:val="00533134"/>
    <w:rsid w:val="00533159"/>
    <w:rsid w:val="0053318A"/>
    <w:rsid w:val="005331AD"/>
    <w:rsid w:val="005331B6"/>
    <w:rsid w:val="00533221"/>
    <w:rsid w:val="005332DC"/>
    <w:rsid w:val="0053332A"/>
    <w:rsid w:val="00533355"/>
    <w:rsid w:val="005333D6"/>
    <w:rsid w:val="005333F5"/>
    <w:rsid w:val="0053341E"/>
    <w:rsid w:val="0053346A"/>
    <w:rsid w:val="00533474"/>
    <w:rsid w:val="00533495"/>
    <w:rsid w:val="00533566"/>
    <w:rsid w:val="00533569"/>
    <w:rsid w:val="0053357D"/>
    <w:rsid w:val="00533599"/>
    <w:rsid w:val="005335A7"/>
    <w:rsid w:val="005335AF"/>
    <w:rsid w:val="005335E3"/>
    <w:rsid w:val="00533638"/>
    <w:rsid w:val="005336A3"/>
    <w:rsid w:val="005336A6"/>
    <w:rsid w:val="005336CC"/>
    <w:rsid w:val="005336FA"/>
    <w:rsid w:val="00533768"/>
    <w:rsid w:val="005337A6"/>
    <w:rsid w:val="005337B4"/>
    <w:rsid w:val="005337EE"/>
    <w:rsid w:val="005337FA"/>
    <w:rsid w:val="005337FB"/>
    <w:rsid w:val="0053385F"/>
    <w:rsid w:val="00533876"/>
    <w:rsid w:val="00533896"/>
    <w:rsid w:val="005338B3"/>
    <w:rsid w:val="005339BC"/>
    <w:rsid w:val="00533A4F"/>
    <w:rsid w:val="00533A77"/>
    <w:rsid w:val="00533AA1"/>
    <w:rsid w:val="00533AC3"/>
    <w:rsid w:val="00533AC7"/>
    <w:rsid w:val="00533AE5"/>
    <w:rsid w:val="00533B3C"/>
    <w:rsid w:val="00533B79"/>
    <w:rsid w:val="00533BBD"/>
    <w:rsid w:val="00533C08"/>
    <w:rsid w:val="00533C78"/>
    <w:rsid w:val="00533CAC"/>
    <w:rsid w:val="00533CB7"/>
    <w:rsid w:val="00533CBB"/>
    <w:rsid w:val="00533CF3"/>
    <w:rsid w:val="00533D4F"/>
    <w:rsid w:val="00533D7A"/>
    <w:rsid w:val="00533D92"/>
    <w:rsid w:val="00533DB7"/>
    <w:rsid w:val="00533DB9"/>
    <w:rsid w:val="00533DBD"/>
    <w:rsid w:val="00533DF8"/>
    <w:rsid w:val="00533E54"/>
    <w:rsid w:val="00533E83"/>
    <w:rsid w:val="00533E9A"/>
    <w:rsid w:val="00533EEA"/>
    <w:rsid w:val="00533F02"/>
    <w:rsid w:val="00533F68"/>
    <w:rsid w:val="00533F8D"/>
    <w:rsid w:val="00533F94"/>
    <w:rsid w:val="00534096"/>
    <w:rsid w:val="005340BB"/>
    <w:rsid w:val="00534177"/>
    <w:rsid w:val="005341A2"/>
    <w:rsid w:val="0053422A"/>
    <w:rsid w:val="0053422C"/>
    <w:rsid w:val="00534266"/>
    <w:rsid w:val="005342B4"/>
    <w:rsid w:val="005342EA"/>
    <w:rsid w:val="00534317"/>
    <w:rsid w:val="00534427"/>
    <w:rsid w:val="0053443A"/>
    <w:rsid w:val="00534443"/>
    <w:rsid w:val="0053447C"/>
    <w:rsid w:val="0053448A"/>
    <w:rsid w:val="0053449B"/>
    <w:rsid w:val="005344D1"/>
    <w:rsid w:val="005344F1"/>
    <w:rsid w:val="00534524"/>
    <w:rsid w:val="00534640"/>
    <w:rsid w:val="00534695"/>
    <w:rsid w:val="00534758"/>
    <w:rsid w:val="005347C8"/>
    <w:rsid w:val="005347E9"/>
    <w:rsid w:val="00534889"/>
    <w:rsid w:val="005348AB"/>
    <w:rsid w:val="005348BD"/>
    <w:rsid w:val="005348CE"/>
    <w:rsid w:val="005348DE"/>
    <w:rsid w:val="005348E2"/>
    <w:rsid w:val="005348E6"/>
    <w:rsid w:val="00534904"/>
    <w:rsid w:val="00534942"/>
    <w:rsid w:val="00534976"/>
    <w:rsid w:val="0053499B"/>
    <w:rsid w:val="005349D0"/>
    <w:rsid w:val="005349E8"/>
    <w:rsid w:val="00534A5A"/>
    <w:rsid w:val="00534A8D"/>
    <w:rsid w:val="00534AB1"/>
    <w:rsid w:val="00534AE8"/>
    <w:rsid w:val="00534B26"/>
    <w:rsid w:val="00534B97"/>
    <w:rsid w:val="00534C25"/>
    <w:rsid w:val="00534C32"/>
    <w:rsid w:val="00534CDA"/>
    <w:rsid w:val="00534CE7"/>
    <w:rsid w:val="00534D28"/>
    <w:rsid w:val="00534D2C"/>
    <w:rsid w:val="00534D53"/>
    <w:rsid w:val="00534DAA"/>
    <w:rsid w:val="00534DD0"/>
    <w:rsid w:val="00534E70"/>
    <w:rsid w:val="00534E9C"/>
    <w:rsid w:val="00534EAB"/>
    <w:rsid w:val="00534EE1"/>
    <w:rsid w:val="00534EF4"/>
    <w:rsid w:val="00534F0A"/>
    <w:rsid w:val="00534F57"/>
    <w:rsid w:val="00534FCB"/>
    <w:rsid w:val="00534FDE"/>
    <w:rsid w:val="00535035"/>
    <w:rsid w:val="0053504A"/>
    <w:rsid w:val="0053504F"/>
    <w:rsid w:val="00535063"/>
    <w:rsid w:val="005350A6"/>
    <w:rsid w:val="005350AD"/>
    <w:rsid w:val="0053512A"/>
    <w:rsid w:val="00535150"/>
    <w:rsid w:val="00535180"/>
    <w:rsid w:val="00535190"/>
    <w:rsid w:val="005351AF"/>
    <w:rsid w:val="00535266"/>
    <w:rsid w:val="00535316"/>
    <w:rsid w:val="0053533E"/>
    <w:rsid w:val="0053534E"/>
    <w:rsid w:val="00535393"/>
    <w:rsid w:val="005353E6"/>
    <w:rsid w:val="00535403"/>
    <w:rsid w:val="00535410"/>
    <w:rsid w:val="0053542C"/>
    <w:rsid w:val="005354B3"/>
    <w:rsid w:val="00535528"/>
    <w:rsid w:val="0053553F"/>
    <w:rsid w:val="00535585"/>
    <w:rsid w:val="005355A3"/>
    <w:rsid w:val="005355D6"/>
    <w:rsid w:val="005355FA"/>
    <w:rsid w:val="005356CE"/>
    <w:rsid w:val="00535701"/>
    <w:rsid w:val="0053575A"/>
    <w:rsid w:val="00535771"/>
    <w:rsid w:val="005357CE"/>
    <w:rsid w:val="00535826"/>
    <w:rsid w:val="0053589B"/>
    <w:rsid w:val="0053594F"/>
    <w:rsid w:val="0053596A"/>
    <w:rsid w:val="0053597A"/>
    <w:rsid w:val="0053598C"/>
    <w:rsid w:val="005359AD"/>
    <w:rsid w:val="005359D2"/>
    <w:rsid w:val="005359FA"/>
    <w:rsid w:val="005359FB"/>
    <w:rsid w:val="00535A34"/>
    <w:rsid w:val="00535A69"/>
    <w:rsid w:val="00535A7B"/>
    <w:rsid w:val="00535B15"/>
    <w:rsid w:val="00535B20"/>
    <w:rsid w:val="00535B55"/>
    <w:rsid w:val="00535BE1"/>
    <w:rsid w:val="00535C15"/>
    <w:rsid w:val="00535C9D"/>
    <w:rsid w:val="00535CB6"/>
    <w:rsid w:val="00535D05"/>
    <w:rsid w:val="00535D5B"/>
    <w:rsid w:val="00535DC5"/>
    <w:rsid w:val="00535DD8"/>
    <w:rsid w:val="00535F15"/>
    <w:rsid w:val="00535F17"/>
    <w:rsid w:val="00535F67"/>
    <w:rsid w:val="00535F85"/>
    <w:rsid w:val="00535FC6"/>
    <w:rsid w:val="00535FEE"/>
    <w:rsid w:val="00536011"/>
    <w:rsid w:val="00536015"/>
    <w:rsid w:val="0053607F"/>
    <w:rsid w:val="005360A9"/>
    <w:rsid w:val="005360D1"/>
    <w:rsid w:val="005360DC"/>
    <w:rsid w:val="00536141"/>
    <w:rsid w:val="0053614D"/>
    <w:rsid w:val="0053615F"/>
    <w:rsid w:val="00536194"/>
    <w:rsid w:val="005361DF"/>
    <w:rsid w:val="005361F9"/>
    <w:rsid w:val="0053620E"/>
    <w:rsid w:val="00536277"/>
    <w:rsid w:val="00536296"/>
    <w:rsid w:val="0053630A"/>
    <w:rsid w:val="0053635E"/>
    <w:rsid w:val="005363A0"/>
    <w:rsid w:val="005363CE"/>
    <w:rsid w:val="00536421"/>
    <w:rsid w:val="00536455"/>
    <w:rsid w:val="005364C2"/>
    <w:rsid w:val="005364F4"/>
    <w:rsid w:val="00536514"/>
    <w:rsid w:val="0053652C"/>
    <w:rsid w:val="0053656D"/>
    <w:rsid w:val="0053658A"/>
    <w:rsid w:val="005365F6"/>
    <w:rsid w:val="00536647"/>
    <w:rsid w:val="005366A9"/>
    <w:rsid w:val="005366C9"/>
    <w:rsid w:val="00536717"/>
    <w:rsid w:val="00536750"/>
    <w:rsid w:val="0053677D"/>
    <w:rsid w:val="005367A6"/>
    <w:rsid w:val="005367BA"/>
    <w:rsid w:val="005367DC"/>
    <w:rsid w:val="005368C6"/>
    <w:rsid w:val="0053694D"/>
    <w:rsid w:val="00536953"/>
    <w:rsid w:val="00536961"/>
    <w:rsid w:val="00536991"/>
    <w:rsid w:val="005369CA"/>
    <w:rsid w:val="005369E5"/>
    <w:rsid w:val="00536A38"/>
    <w:rsid w:val="00536A64"/>
    <w:rsid w:val="00536A8D"/>
    <w:rsid w:val="00536ADC"/>
    <w:rsid w:val="00536AFF"/>
    <w:rsid w:val="00536BA2"/>
    <w:rsid w:val="00536BB2"/>
    <w:rsid w:val="00536C4E"/>
    <w:rsid w:val="00536C55"/>
    <w:rsid w:val="00536CC5"/>
    <w:rsid w:val="00536D54"/>
    <w:rsid w:val="00536DAB"/>
    <w:rsid w:val="00536E42"/>
    <w:rsid w:val="00536EDA"/>
    <w:rsid w:val="00536EEF"/>
    <w:rsid w:val="00536F26"/>
    <w:rsid w:val="00536F39"/>
    <w:rsid w:val="00536FF8"/>
    <w:rsid w:val="0053700D"/>
    <w:rsid w:val="0053707F"/>
    <w:rsid w:val="00537110"/>
    <w:rsid w:val="00537125"/>
    <w:rsid w:val="0053716D"/>
    <w:rsid w:val="005371A2"/>
    <w:rsid w:val="005371B6"/>
    <w:rsid w:val="005371BD"/>
    <w:rsid w:val="005371D2"/>
    <w:rsid w:val="00537260"/>
    <w:rsid w:val="00537282"/>
    <w:rsid w:val="005372A6"/>
    <w:rsid w:val="005372B8"/>
    <w:rsid w:val="0053731C"/>
    <w:rsid w:val="00537339"/>
    <w:rsid w:val="0053736C"/>
    <w:rsid w:val="00537379"/>
    <w:rsid w:val="00537387"/>
    <w:rsid w:val="0053738F"/>
    <w:rsid w:val="00537407"/>
    <w:rsid w:val="00537424"/>
    <w:rsid w:val="00537526"/>
    <w:rsid w:val="0053752D"/>
    <w:rsid w:val="00537538"/>
    <w:rsid w:val="00537540"/>
    <w:rsid w:val="005375A5"/>
    <w:rsid w:val="005375D5"/>
    <w:rsid w:val="005375D8"/>
    <w:rsid w:val="005376A9"/>
    <w:rsid w:val="005376C4"/>
    <w:rsid w:val="0053772D"/>
    <w:rsid w:val="00537740"/>
    <w:rsid w:val="0053776C"/>
    <w:rsid w:val="0053777C"/>
    <w:rsid w:val="005377C3"/>
    <w:rsid w:val="005377D7"/>
    <w:rsid w:val="005377E1"/>
    <w:rsid w:val="00537846"/>
    <w:rsid w:val="00537896"/>
    <w:rsid w:val="00537974"/>
    <w:rsid w:val="00537A14"/>
    <w:rsid w:val="00537A71"/>
    <w:rsid w:val="00537A75"/>
    <w:rsid w:val="00537A97"/>
    <w:rsid w:val="00537AB6"/>
    <w:rsid w:val="00537B9D"/>
    <w:rsid w:val="00537C05"/>
    <w:rsid w:val="00537C60"/>
    <w:rsid w:val="00537CB9"/>
    <w:rsid w:val="00537CBF"/>
    <w:rsid w:val="00537CCA"/>
    <w:rsid w:val="00537D0D"/>
    <w:rsid w:val="00537D6F"/>
    <w:rsid w:val="00537D79"/>
    <w:rsid w:val="00537D99"/>
    <w:rsid w:val="00537DAE"/>
    <w:rsid w:val="00537DB1"/>
    <w:rsid w:val="00537DB4"/>
    <w:rsid w:val="00537DF6"/>
    <w:rsid w:val="00537E02"/>
    <w:rsid w:val="00537E13"/>
    <w:rsid w:val="00537E28"/>
    <w:rsid w:val="00537E42"/>
    <w:rsid w:val="00537E4B"/>
    <w:rsid w:val="00537E7A"/>
    <w:rsid w:val="00537E86"/>
    <w:rsid w:val="00537EA6"/>
    <w:rsid w:val="00537F4F"/>
    <w:rsid w:val="00537F85"/>
    <w:rsid w:val="00537FAB"/>
    <w:rsid w:val="00537FD0"/>
    <w:rsid w:val="0054006E"/>
    <w:rsid w:val="005400F2"/>
    <w:rsid w:val="00540144"/>
    <w:rsid w:val="005401A7"/>
    <w:rsid w:val="005401D8"/>
    <w:rsid w:val="00540296"/>
    <w:rsid w:val="005402EA"/>
    <w:rsid w:val="005402FC"/>
    <w:rsid w:val="00540315"/>
    <w:rsid w:val="005403D1"/>
    <w:rsid w:val="005403E3"/>
    <w:rsid w:val="00540437"/>
    <w:rsid w:val="00540457"/>
    <w:rsid w:val="005404BC"/>
    <w:rsid w:val="005404F1"/>
    <w:rsid w:val="005404FA"/>
    <w:rsid w:val="00540507"/>
    <w:rsid w:val="0054053C"/>
    <w:rsid w:val="00540568"/>
    <w:rsid w:val="00540581"/>
    <w:rsid w:val="005405DA"/>
    <w:rsid w:val="005405F0"/>
    <w:rsid w:val="00540652"/>
    <w:rsid w:val="00540685"/>
    <w:rsid w:val="005406A4"/>
    <w:rsid w:val="005406D5"/>
    <w:rsid w:val="00540704"/>
    <w:rsid w:val="0054075A"/>
    <w:rsid w:val="00540761"/>
    <w:rsid w:val="00540798"/>
    <w:rsid w:val="0054079B"/>
    <w:rsid w:val="0054079E"/>
    <w:rsid w:val="005407FA"/>
    <w:rsid w:val="00540809"/>
    <w:rsid w:val="0054080F"/>
    <w:rsid w:val="00540831"/>
    <w:rsid w:val="0054085E"/>
    <w:rsid w:val="00540870"/>
    <w:rsid w:val="005408F8"/>
    <w:rsid w:val="00540904"/>
    <w:rsid w:val="00540965"/>
    <w:rsid w:val="005409B7"/>
    <w:rsid w:val="00540A1D"/>
    <w:rsid w:val="00540A34"/>
    <w:rsid w:val="00540A7A"/>
    <w:rsid w:val="00540A82"/>
    <w:rsid w:val="00540A87"/>
    <w:rsid w:val="00540B1F"/>
    <w:rsid w:val="00540B5A"/>
    <w:rsid w:val="00540B96"/>
    <w:rsid w:val="00540BDA"/>
    <w:rsid w:val="00540C0B"/>
    <w:rsid w:val="00540C42"/>
    <w:rsid w:val="00540CDB"/>
    <w:rsid w:val="00540D2E"/>
    <w:rsid w:val="00540D3E"/>
    <w:rsid w:val="00540D63"/>
    <w:rsid w:val="00540DA7"/>
    <w:rsid w:val="00540E3F"/>
    <w:rsid w:val="00540E82"/>
    <w:rsid w:val="00540E85"/>
    <w:rsid w:val="00540F0E"/>
    <w:rsid w:val="00540FA2"/>
    <w:rsid w:val="00540FE1"/>
    <w:rsid w:val="00541009"/>
    <w:rsid w:val="00541030"/>
    <w:rsid w:val="00541053"/>
    <w:rsid w:val="00541067"/>
    <w:rsid w:val="005410AF"/>
    <w:rsid w:val="005410C5"/>
    <w:rsid w:val="005410F7"/>
    <w:rsid w:val="00541127"/>
    <w:rsid w:val="00541177"/>
    <w:rsid w:val="005411B4"/>
    <w:rsid w:val="005411BB"/>
    <w:rsid w:val="005411DF"/>
    <w:rsid w:val="0054125C"/>
    <w:rsid w:val="00541336"/>
    <w:rsid w:val="005413AF"/>
    <w:rsid w:val="005413B9"/>
    <w:rsid w:val="005413DA"/>
    <w:rsid w:val="00541420"/>
    <w:rsid w:val="0054142C"/>
    <w:rsid w:val="00541448"/>
    <w:rsid w:val="0054145A"/>
    <w:rsid w:val="00541476"/>
    <w:rsid w:val="0054149D"/>
    <w:rsid w:val="005414B2"/>
    <w:rsid w:val="005414EA"/>
    <w:rsid w:val="0054150A"/>
    <w:rsid w:val="00541515"/>
    <w:rsid w:val="005415CB"/>
    <w:rsid w:val="005415D6"/>
    <w:rsid w:val="005415F0"/>
    <w:rsid w:val="005415FE"/>
    <w:rsid w:val="0054161D"/>
    <w:rsid w:val="0054161F"/>
    <w:rsid w:val="00541775"/>
    <w:rsid w:val="00541808"/>
    <w:rsid w:val="00541834"/>
    <w:rsid w:val="0054187C"/>
    <w:rsid w:val="00541900"/>
    <w:rsid w:val="00541918"/>
    <w:rsid w:val="00541931"/>
    <w:rsid w:val="00541948"/>
    <w:rsid w:val="0054194B"/>
    <w:rsid w:val="00541991"/>
    <w:rsid w:val="0054199A"/>
    <w:rsid w:val="005419A2"/>
    <w:rsid w:val="005419F3"/>
    <w:rsid w:val="005419F6"/>
    <w:rsid w:val="00541A05"/>
    <w:rsid w:val="00541ACC"/>
    <w:rsid w:val="00541AE2"/>
    <w:rsid w:val="00541B5C"/>
    <w:rsid w:val="00541B6F"/>
    <w:rsid w:val="00541B88"/>
    <w:rsid w:val="00541B8E"/>
    <w:rsid w:val="00541C00"/>
    <w:rsid w:val="00541C16"/>
    <w:rsid w:val="00541C20"/>
    <w:rsid w:val="00541C65"/>
    <w:rsid w:val="00541CA3"/>
    <w:rsid w:val="00541CE1"/>
    <w:rsid w:val="00541D34"/>
    <w:rsid w:val="00541DA2"/>
    <w:rsid w:val="00541DE3"/>
    <w:rsid w:val="00541E21"/>
    <w:rsid w:val="00541E62"/>
    <w:rsid w:val="00541ED8"/>
    <w:rsid w:val="00541F2A"/>
    <w:rsid w:val="00541F5F"/>
    <w:rsid w:val="00541FA9"/>
    <w:rsid w:val="00541FAA"/>
    <w:rsid w:val="00541FF8"/>
    <w:rsid w:val="00542000"/>
    <w:rsid w:val="00542052"/>
    <w:rsid w:val="00542054"/>
    <w:rsid w:val="0054206F"/>
    <w:rsid w:val="005420D4"/>
    <w:rsid w:val="005420EF"/>
    <w:rsid w:val="005420F7"/>
    <w:rsid w:val="00542109"/>
    <w:rsid w:val="005421E8"/>
    <w:rsid w:val="0054228C"/>
    <w:rsid w:val="005422CB"/>
    <w:rsid w:val="00542328"/>
    <w:rsid w:val="00542352"/>
    <w:rsid w:val="0054235F"/>
    <w:rsid w:val="005423D1"/>
    <w:rsid w:val="0054246E"/>
    <w:rsid w:val="00542494"/>
    <w:rsid w:val="005425AA"/>
    <w:rsid w:val="005425C8"/>
    <w:rsid w:val="00542618"/>
    <w:rsid w:val="00542624"/>
    <w:rsid w:val="0054269D"/>
    <w:rsid w:val="0054278C"/>
    <w:rsid w:val="0054279A"/>
    <w:rsid w:val="00542844"/>
    <w:rsid w:val="00542860"/>
    <w:rsid w:val="00542883"/>
    <w:rsid w:val="0054289F"/>
    <w:rsid w:val="005428A7"/>
    <w:rsid w:val="0054293C"/>
    <w:rsid w:val="0054293E"/>
    <w:rsid w:val="00542989"/>
    <w:rsid w:val="0054299E"/>
    <w:rsid w:val="005429E1"/>
    <w:rsid w:val="005429FE"/>
    <w:rsid w:val="00542A1F"/>
    <w:rsid w:val="00542A8A"/>
    <w:rsid w:val="00542ACE"/>
    <w:rsid w:val="00542B17"/>
    <w:rsid w:val="00542BFC"/>
    <w:rsid w:val="00542C20"/>
    <w:rsid w:val="00542C4F"/>
    <w:rsid w:val="00542C68"/>
    <w:rsid w:val="00542C6D"/>
    <w:rsid w:val="00542C92"/>
    <w:rsid w:val="00542CE1"/>
    <w:rsid w:val="00542D0E"/>
    <w:rsid w:val="00542D1E"/>
    <w:rsid w:val="00542D27"/>
    <w:rsid w:val="00542D50"/>
    <w:rsid w:val="00542D75"/>
    <w:rsid w:val="00542E0C"/>
    <w:rsid w:val="00542E2E"/>
    <w:rsid w:val="00542EBD"/>
    <w:rsid w:val="00542ECB"/>
    <w:rsid w:val="00542ECC"/>
    <w:rsid w:val="00542ED8"/>
    <w:rsid w:val="00542F21"/>
    <w:rsid w:val="00542F3A"/>
    <w:rsid w:val="00542F5B"/>
    <w:rsid w:val="00542FF4"/>
    <w:rsid w:val="0054303A"/>
    <w:rsid w:val="005430C3"/>
    <w:rsid w:val="005430DF"/>
    <w:rsid w:val="00543151"/>
    <w:rsid w:val="005431B3"/>
    <w:rsid w:val="005431F3"/>
    <w:rsid w:val="00543209"/>
    <w:rsid w:val="00543241"/>
    <w:rsid w:val="005432FD"/>
    <w:rsid w:val="00543314"/>
    <w:rsid w:val="00543389"/>
    <w:rsid w:val="005433C9"/>
    <w:rsid w:val="00543400"/>
    <w:rsid w:val="00543441"/>
    <w:rsid w:val="00543464"/>
    <w:rsid w:val="00543487"/>
    <w:rsid w:val="00543512"/>
    <w:rsid w:val="00543629"/>
    <w:rsid w:val="0054362E"/>
    <w:rsid w:val="00543647"/>
    <w:rsid w:val="005436A8"/>
    <w:rsid w:val="005436AD"/>
    <w:rsid w:val="005436C9"/>
    <w:rsid w:val="005436D8"/>
    <w:rsid w:val="00543752"/>
    <w:rsid w:val="00543753"/>
    <w:rsid w:val="0054378D"/>
    <w:rsid w:val="005437C5"/>
    <w:rsid w:val="0054382D"/>
    <w:rsid w:val="00543855"/>
    <w:rsid w:val="0054386F"/>
    <w:rsid w:val="00543925"/>
    <w:rsid w:val="0054397A"/>
    <w:rsid w:val="005439C8"/>
    <w:rsid w:val="00543A8C"/>
    <w:rsid w:val="00543B42"/>
    <w:rsid w:val="00543B55"/>
    <w:rsid w:val="00543BA7"/>
    <w:rsid w:val="00543BB2"/>
    <w:rsid w:val="00543BB9"/>
    <w:rsid w:val="00543C72"/>
    <w:rsid w:val="00543CA6"/>
    <w:rsid w:val="00543CC5"/>
    <w:rsid w:val="00543D02"/>
    <w:rsid w:val="00543DA0"/>
    <w:rsid w:val="00543DFA"/>
    <w:rsid w:val="00543DFE"/>
    <w:rsid w:val="00543E01"/>
    <w:rsid w:val="00543E3E"/>
    <w:rsid w:val="00543E49"/>
    <w:rsid w:val="00543E4E"/>
    <w:rsid w:val="00543E5C"/>
    <w:rsid w:val="00543E73"/>
    <w:rsid w:val="00543E8E"/>
    <w:rsid w:val="00543E9E"/>
    <w:rsid w:val="00543EBF"/>
    <w:rsid w:val="00543F5D"/>
    <w:rsid w:val="00543FD7"/>
    <w:rsid w:val="00543FFD"/>
    <w:rsid w:val="00544000"/>
    <w:rsid w:val="00544054"/>
    <w:rsid w:val="0054405F"/>
    <w:rsid w:val="005440EC"/>
    <w:rsid w:val="005440F4"/>
    <w:rsid w:val="005440F5"/>
    <w:rsid w:val="00544153"/>
    <w:rsid w:val="005441F7"/>
    <w:rsid w:val="00544200"/>
    <w:rsid w:val="0054423E"/>
    <w:rsid w:val="0054423F"/>
    <w:rsid w:val="00544244"/>
    <w:rsid w:val="0054427C"/>
    <w:rsid w:val="00544288"/>
    <w:rsid w:val="005442E5"/>
    <w:rsid w:val="00544351"/>
    <w:rsid w:val="0054440D"/>
    <w:rsid w:val="0054445E"/>
    <w:rsid w:val="00544472"/>
    <w:rsid w:val="0054447F"/>
    <w:rsid w:val="005444DD"/>
    <w:rsid w:val="005444F0"/>
    <w:rsid w:val="0054453B"/>
    <w:rsid w:val="00544557"/>
    <w:rsid w:val="0054455E"/>
    <w:rsid w:val="0054457D"/>
    <w:rsid w:val="005445B2"/>
    <w:rsid w:val="005445D9"/>
    <w:rsid w:val="005445E9"/>
    <w:rsid w:val="005445EF"/>
    <w:rsid w:val="005445FA"/>
    <w:rsid w:val="0054462B"/>
    <w:rsid w:val="00544699"/>
    <w:rsid w:val="005446C6"/>
    <w:rsid w:val="005446FE"/>
    <w:rsid w:val="0054472A"/>
    <w:rsid w:val="00544751"/>
    <w:rsid w:val="005447F8"/>
    <w:rsid w:val="005447FF"/>
    <w:rsid w:val="00544809"/>
    <w:rsid w:val="0054482D"/>
    <w:rsid w:val="00544852"/>
    <w:rsid w:val="00544856"/>
    <w:rsid w:val="00544858"/>
    <w:rsid w:val="0054487B"/>
    <w:rsid w:val="005448FB"/>
    <w:rsid w:val="00544922"/>
    <w:rsid w:val="00544923"/>
    <w:rsid w:val="00544950"/>
    <w:rsid w:val="00544972"/>
    <w:rsid w:val="0054497F"/>
    <w:rsid w:val="00544983"/>
    <w:rsid w:val="00544991"/>
    <w:rsid w:val="00544992"/>
    <w:rsid w:val="005449B5"/>
    <w:rsid w:val="005449D3"/>
    <w:rsid w:val="005449DD"/>
    <w:rsid w:val="005449FE"/>
    <w:rsid w:val="00544A16"/>
    <w:rsid w:val="00544AB2"/>
    <w:rsid w:val="00544B09"/>
    <w:rsid w:val="00544B0E"/>
    <w:rsid w:val="00544B66"/>
    <w:rsid w:val="00544B9C"/>
    <w:rsid w:val="00544C09"/>
    <w:rsid w:val="00544C58"/>
    <w:rsid w:val="00544C91"/>
    <w:rsid w:val="00544D43"/>
    <w:rsid w:val="00544E04"/>
    <w:rsid w:val="00544E0F"/>
    <w:rsid w:val="00544E1D"/>
    <w:rsid w:val="00544E24"/>
    <w:rsid w:val="00544E59"/>
    <w:rsid w:val="00544E60"/>
    <w:rsid w:val="00544E64"/>
    <w:rsid w:val="00544E8D"/>
    <w:rsid w:val="00544EED"/>
    <w:rsid w:val="00544F0C"/>
    <w:rsid w:val="00544F16"/>
    <w:rsid w:val="00544F83"/>
    <w:rsid w:val="00544FAE"/>
    <w:rsid w:val="00544FD2"/>
    <w:rsid w:val="005450A1"/>
    <w:rsid w:val="005450A6"/>
    <w:rsid w:val="005450CE"/>
    <w:rsid w:val="0054511D"/>
    <w:rsid w:val="00545129"/>
    <w:rsid w:val="0054512A"/>
    <w:rsid w:val="0054518F"/>
    <w:rsid w:val="005451C5"/>
    <w:rsid w:val="005451D0"/>
    <w:rsid w:val="0054526F"/>
    <w:rsid w:val="005452E8"/>
    <w:rsid w:val="00545337"/>
    <w:rsid w:val="005453A7"/>
    <w:rsid w:val="005453AF"/>
    <w:rsid w:val="00545432"/>
    <w:rsid w:val="0054543E"/>
    <w:rsid w:val="005454B2"/>
    <w:rsid w:val="005454F8"/>
    <w:rsid w:val="00545537"/>
    <w:rsid w:val="0054553F"/>
    <w:rsid w:val="005455EF"/>
    <w:rsid w:val="00545644"/>
    <w:rsid w:val="00545652"/>
    <w:rsid w:val="005456EE"/>
    <w:rsid w:val="00545704"/>
    <w:rsid w:val="0054571A"/>
    <w:rsid w:val="005457D5"/>
    <w:rsid w:val="005457FB"/>
    <w:rsid w:val="005458D1"/>
    <w:rsid w:val="005458E2"/>
    <w:rsid w:val="005458EB"/>
    <w:rsid w:val="00545A52"/>
    <w:rsid w:val="00545A91"/>
    <w:rsid w:val="00545A94"/>
    <w:rsid w:val="00545AC0"/>
    <w:rsid w:val="00545AD0"/>
    <w:rsid w:val="00545AD8"/>
    <w:rsid w:val="00545B1C"/>
    <w:rsid w:val="00545B65"/>
    <w:rsid w:val="00545B82"/>
    <w:rsid w:val="00545C5A"/>
    <w:rsid w:val="00545CC7"/>
    <w:rsid w:val="00545D9E"/>
    <w:rsid w:val="00545E5C"/>
    <w:rsid w:val="00545E9B"/>
    <w:rsid w:val="00545EBB"/>
    <w:rsid w:val="00545EF7"/>
    <w:rsid w:val="00545F2D"/>
    <w:rsid w:val="00545F9C"/>
    <w:rsid w:val="00545FC4"/>
    <w:rsid w:val="00546011"/>
    <w:rsid w:val="00546042"/>
    <w:rsid w:val="0054607F"/>
    <w:rsid w:val="0054609D"/>
    <w:rsid w:val="0054609F"/>
    <w:rsid w:val="005460F1"/>
    <w:rsid w:val="0054613A"/>
    <w:rsid w:val="0054618A"/>
    <w:rsid w:val="00546194"/>
    <w:rsid w:val="005461AB"/>
    <w:rsid w:val="005461C8"/>
    <w:rsid w:val="0054622D"/>
    <w:rsid w:val="0054624B"/>
    <w:rsid w:val="0054626C"/>
    <w:rsid w:val="005462E8"/>
    <w:rsid w:val="00546303"/>
    <w:rsid w:val="00546378"/>
    <w:rsid w:val="00546387"/>
    <w:rsid w:val="00546461"/>
    <w:rsid w:val="0054651A"/>
    <w:rsid w:val="00546538"/>
    <w:rsid w:val="00546579"/>
    <w:rsid w:val="005465E6"/>
    <w:rsid w:val="00546621"/>
    <w:rsid w:val="00546659"/>
    <w:rsid w:val="00546681"/>
    <w:rsid w:val="0054672A"/>
    <w:rsid w:val="00546815"/>
    <w:rsid w:val="00546840"/>
    <w:rsid w:val="00546880"/>
    <w:rsid w:val="005468C3"/>
    <w:rsid w:val="005468F2"/>
    <w:rsid w:val="00546932"/>
    <w:rsid w:val="005469F7"/>
    <w:rsid w:val="00546A10"/>
    <w:rsid w:val="00546A2B"/>
    <w:rsid w:val="00546A58"/>
    <w:rsid w:val="00546A89"/>
    <w:rsid w:val="00546A8E"/>
    <w:rsid w:val="00546AD7"/>
    <w:rsid w:val="00546AEB"/>
    <w:rsid w:val="00546B1D"/>
    <w:rsid w:val="00546B4D"/>
    <w:rsid w:val="00546C0C"/>
    <w:rsid w:val="00546C13"/>
    <w:rsid w:val="00546C65"/>
    <w:rsid w:val="00546CF1"/>
    <w:rsid w:val="00546D00"/>
    <w:rsid w:val="00546D0E"/>
    <w:rsid w:val="00546D10"/>
    <w:rsid w:val="00546D1F"/>
    <w:rsid w:val="00546D34"/>
    <w:rsid w:val="00546D5A"/>
    <w:rsid w:val="00546D96"/>
    <w:rsid w:val="00546E12"/>
    <w:rsid w:val="00546E30"/>
    <w:rsid w:val="00546FA4"/>
    <w:rsid w:val="00546FB2"/>
    <w:rsid w:val="00546FCC"/>
    <w:rsid w:val="00546FEA"/>
    <w:rsid w:val="00546FF1"/>
    <w:rsid w:val="00547040"/>
    <w:rsid w:val="005470D7"/>
    <w:rsid w:val="0054712F"/>
    <w:rsid w:val="0054719A"/>
    <w:rsid w:val="005471C1"/>
    <w:rsid w:val="005471E5"/>
    <w:rsid w:val="00547217"/>
    <w:rsid w:val="0054721E"/>
    <w:rsid w:val="0054721F"/>
    <w:rsid w:val="005472CE"/>
    <w:rsid w:val="005472EA"/>
    <w:rsid w:val="005472F5"/>
    <w:rsid w:val="00547310"/>
    <w:rsid w:val="00547337"/>
    <w:rsid w:val="0054738D"/>
    <w:rsid w:val="005473B7"/>
    <w:rsid w:val="005473F7"/>
    <w:rsid w:val="005474E0"/>
    <w:rsid w:val="005474FF"/>
    <w:rsid w:val="00547513"/>
    <w:rsid w:val="00547542"/>
    <w:rsid w:val="005475E2"/>
    <w:rsid w:val="0054766C"/>
    <w:rsid w:val="0054768E"/>
    <w:rsid w:val="005476C2"/>
    <w:rsid w:val="00547727"/>
    <w:rsid w:val="0054774C"/>
    <w:rsid w:val="005477A1"/>
    <w:rsid w:val="00547802"/>
    <w:rsid w:val="00547880"/>
    <w:rsid w:val="005478FF"/>
    <w:rsid w:val="00547937"/>
    <w:rsid w:val="00547964"/>
    <w:rsid w:val="00547A46"/>
    <w:rsid w:val="00547A61"/>
    <w:rsid w:val="00547A97"/>
    <w:rsid w:val="00547BBF"/>
    <w:rsid w:val="00547BFC"/>
    <w:rsid w:val="00547C72"/>
    <w:rsid w:val="00547C88"/>
    <w:rsid w:val="00547C97"/>
    <w:rsid w:val="00547CCB"/>
    <w:rsid w:val="00547CFC"/>
    <w:rsid w:val="00547D1D"/>
    <w:rsid w:val="00547D3F"/>
    <w:rsid w:val="00547D92"/>
    <w:rsid w:val="00547E6B"/>
    <w:rsid w:val="00547EF4"/>
    <w:rsid w:val="00547EF8"/>
    <w:rsid w:val="00547F1F"/>
    <w:rsid w:val="00547F2C"/>
    <w:rsid w:val="00547F49"/>
    <w:rsid w:val="00547F7E"/>
    <w:rsid w:val="00550038"/>
    <w:rsid w:val="0055006F"/>
    <w:rsid w:val="005500A3"/>
    <w:rsid w:val="0055011A"/>
    <w:rsid w:val="0055011C"/>
    <w:rsid w:val="005501AD"/>
    <w:rsid w:val="005501F2"/>
    <w:rsid w:val="005502C4"/>
    <w:rsid w:val="005502C9"/>
    <w:rsid w:val="00550320"/>
    <w:rsid w:val="0055032D"/>
    <w:rsid w:val="0055036D"/>
    <w:rsid w:val="00550388"/>
    <w:rsid w:val="005503D2"/>
    <w:rsid w:val="005504BB"/>
    <w:rsid w:val="005504CB"/>
    <w:rsid w:val="005504EE"/>
    <w:rsid w:val="00550509"/>
    <w:rsid w:val="00550517"/>
    <w:rsid w:val="00550532"/>
    <w:rsid w:val="0055053C"/>
    <w:rsid w:val="0055057D"/>
    <w:rsid w:val="00550659"/>
    <w:rsid w:val="005506AF"/>
    <w:rsid w:val="005506C9"/>
    <w:rsid w:val="00550704"/>
    <w:rsid w:val="00550716"/>
    <w:rsid w:val="00550745"/>
    <w:rsid w:val="00550748"/>
    <w:rsid w:val="0055074F"/>
    <w:rsid w:val="00550757"/>
    <w:rsid w:val="00550785"/>
    <w:rsid w:val="00550817"/>
    <w:rsid w:val="00550855"/>
    <w:rsid w:val="0055087E"/>
    <w:rsid w:val="005508C6"/>
    <w:rsid w:val="005508EB"/>
    <w:rsid w:val="005508F7"/>
    <w:rsid w:val="0055090C"/>
    <w:rsid w:val="00550931"/>
    <w:rsid w:val="00550938"/>
    <w:rsid w:val="00550959"/>
    <w:rsid w:val="00550981"/>
    <w:rsid w:val="00550982"/>
    <w:rsid w:val="00550A6A"/>
    <w:rsid w:val="00550A6E"/>
    <w:rsid w:val="00550A7A"/>
    <w:rsid w:val="00550ABC"/>
    <w:rsid w:val="00550AE4"/>
    <w:rsid w:val="00550AEA"/>
    <w:rsid w:val="00550AEF"/>
    <w:rsid w:val="00550AFF"/>
    <w:rsid w:val="00550B65"/>
    <w:rsid w:val="00550B69"/>
    <w:rsid w:val="00550BA3"/>
    <w:rsid w:val="00550BA7"/>
    <w:rsid w:val="00550BE6"/>
    <w:rsid w:val="00550C2F"/>
    <w:rsid w:val="00550D16"/>
    <w:rsid w:val="00550D1E"/>
    <w:rsid w:val="00550D4C"/>
    <w:rsid w:val="00550D96"/>
    <w:rsid w:val="00550DB4"/>
    <w:rsid w:val="00550DC4"/>
    <w:rsid w:val="00550DEC"/>
    <w:rsid w:val="00550E07"/>
    <w:rsid w:val="00550E7F"/>
    <w:rsid w:val="00550F01"/>
    <w:rsid w:val="00550F4E"/>
    <w:rsid w:val="00550F77"/>
    <w:rsid w:val="00550F98"/>
    <w:rsid w:val="00551014"/>
    <w:rsid w:val="00551096"/>
    <w:rsid w:val="005510A9"/>
    <w:rsid w:val="005511AC"/>
    <w:rsid w:val="005511DE"/>
    <w:rsid w:val="005511E5"/>
    <w:rsid w:val="0055127A"/>
    <w:rsid w:val="0055128F"/>
    <w:rsid w:val="005512B2"/>
    <w:rsid w:val="0055131E"/>
    <w:rsid w:val="00551381"/>
    <w:rsid w:val="00551390"/>
    <w:rsid w:val="005513A7"/>
    <w:rsid w:val="005513F9"/>
    <w:rsid w:val="005514BD"/>
    <w:rsid w:val="005514CF"/>
    <w:rsid w:val="0055150A"/>
    <w:rsid w:val="0055152F"/>
    <w:rsid w:val="00551536"/>
    <w:rsid w:val="00551563"/>
    <w:rsid w:val="00551594"/>
    <w:rsid w:val="005515E3"/>
    <w:rsid w:val="005515F5"/>
    <w:rsid w:val="005516B9"/>
    <w:rsid w:val="005516FB"/>
    <w:rsid w:val="0055170B"/>
    <w:rsid w:val="0055178B"/>
    <w:rsid w:val="0055178E"/>
    <w:rsid w:val="00551801"/>
    <w:rsid w:val="0055182A"/>
    <w:rsid w:val="0055183A"/>
    <w:rsid w:val="00551856"/>
    <w:rsid w:val="005518D2"/>
    <w:rsid w:val="005518E0"/>
    <w:rsid w:val="005518FF"/>
    <w:rsid w:val="0055190D"/>
    <w:rsid w:val="0055192D"/>
    <w:rsid w:val="00551956"/>
    <w:rsid w:val="00551A15"/>
    <w:rsid w:val="00551B0B"/>
    <w:rsid w:val="00551B1A"/>
    <w:rsid w:val="00551B23"/>
    <w:rsid w:val="00551BF5"/>
    <w:rsid w:val="00551C2E"/>
    <w:rsid w:val="00551C38"/>
    <w:rsid w:val="00551C60"/>
    <w:rsid w:val="00551D3A"/>
    <w:rsid w:val="00551D9E"/>
    <w:rsid w:val="00551E45"/>
    <w:rsid w:val="00551E51"/>
    <w:rsid w:val="00551E6D"/>
    <w:rsid w:val="00551F38"/>
    <w:rsid w:val="00551F6C"/>
    <w:rsid w:val="00551FD1"/>
    <w:rsid w:val="00551FE9"/>
    <w:rsid w:val="00552038"/>
    <w:rsid w:val="0055204B"/>
    <w:rsid w:val="00552099"/>
    <w:rsid w:val="005520B9"/>
    <w:rsid w:val="005520FA"/>
    <w:rsid w:val="0055210B"/>
    <w:rsid w:val="0055212E"/>
    <w:rsid w:val="00552145"/>
    <w:rsid w:val="00552165"/>
    <w:rsid w:val="005521BD"/>
    <w:rsid w:val="005521E4"/>
    <w:rsid w:val="00552208"/>
    <w:rsid w:val="00552284"/>
    <w:rsid w:val="005522C8"/>
    <w:rsid w:val="005522E1"/>
    <w:rsid w:val="0055230C"/>
    <w:rsid w:val="00552335"/>
    <w:rsid w:val="00552357"/>
    <w:rsid w:val="0055239A"/>
    <w:rsid w:val="005523A8"/>
    <w:rsid w:val="00552405"/>
    <w:rsid w:val="00552437"/>
    <w:rsid w:val="0055244B"/>
    <w:rsid w:val="0055244F"/>
    <w:rsid w:val="005524E4"/>
    <w:rsid w:val="0055250F"/>
    <w:rsid w:val="00552528"/>
    <w:rsid w:val="00552603"/>
    <w:rsid w:val="0055262A"/>
    <w:rsid w:val="00552661"/>
    <w:rsid w:val="00552695"/>
    <w:rsid w:val="005526B6"/>
    <w:rsid w:val="005526E8"/>
    <w:rsid w:val="005527B6"/>
    <w:rsid w:val="005527BB"/>
    <w:rsid w:val="005527E1"/>
    <w:rsid w:val="005527F9"/>
    <w:rsid w:val="00552809"/>
    <w:rsid w:val="00552817"/>
    <w:rsid w:val="0055281B"/>
    <w:rsid w:val="0055289D"/>
    <w:rsid w:val="005528D1"/>
    <w:rsid w:val="005528D8"/>
    <w:rsid w:val="005528DC"/>
    <w:rsid w:val="00552919"/>
    <w:rsid w:val="0055291B"/>
    <w:rsid w:val="00552926"/>
    <w:rsid w:val="0055292D"/>
    <w:rsid w:val="0055293B"/>
    <w:rsid w:val="005529C9"/>
    <w:rsid w:val="00552A26"/>
    <w:rsid w:val="00552A60"/>
    <w:rsid w:val="00552A6A"/>
    <w:rsid w:val="00552A89"/>
    <w:rsid w:val="00552A8A"/>
    <w:rsid w:val="00552A94"/>
    <w:rsid w:val="00552AAF"/>
    <w:rsid w:val="00552B33"/>
    <w:rsid w:val="00552B35"/>
    <w:rsid w:val="00552B3C"/>
    <w:rsid w:val="00552B3D"/>
    <w:rsid w:val="00552B8A"/>
    <w:rsid w:val="00552B9C"/>
    <w:rsid w:val="00552C21"/>
    <w:rsid w:val="00552C39"/>
    <w:rsid w:val="00552CB2"/>
    <w:rsid w:val="00552CF4"/>
    <w:rsid w:val="00552CF8"/>
    <w:rsid w:val="00552D52"/>
    <w:rsid w:val="00552D88"/>
    <w:rsid w:val="00552D92"/>
    <w:rsid w:val="00552D93"/>
    <w:rsid w:val="00552D9C"/>
    <w:rsid w:val="00552DA2"/>
    <w:rsid w:val="00552E2C"/>
    <w:rsid w:val="00552E2E"/>
    <w:rsid w:val="00552E37"/>
    <w:rsid w:val="00552E77"/>
    <w:rsid w:val="00552E7C"/>
    <w:rsid w:val="00552EF8"/>
    <w:rsid w:val="00552F7E"/>
    <w:rsid w:val="00552F89"/>
    <w:rsid w:val="00552FD6"/>
    <w:rsid w:val="00553033"/>
    <w:rsid w:val="005530B2"/>
    <w:rsid w:val="00553139"/>
    <w:rsid w:val="0055315D"/>
    <w:rsid w:val="005531C6"/>
    <w:rsid w:val="005531C9"/>
    <w:rsid w:val="00553203"/>
    <w:rsid w:val="00553248"/>
    <w:rsid w:val="00553249"/>
    <w:rsid w:val="005532BC"/>
    <w:rsid w:val="005532E1"/>
    <w:rsid w:val="00553331"/>
    <w:rsid w:val="005533AD"/>
    <w:rsid w:val="005533C4"/>
    <w:rsid w:val="00553431"/>
    <w:rsid w:val="00553443"/>
    <w:rsid w:val="0055344A"/>
    <w:rsid w:val="00553467"/>
    <w:rsid w:val="005534BA"/>
    <w:rsid w:val="0055353B"/>
    <w:rsid w:val="00553549"/>
    <w:rsid w:val="005535BA"/>
    <w:rsid w:val="005535CD"/>
    <w:rsid w:val="005535D0"/>
    <w:rsid w:val="005535D4"/>
    <w:rsid w:val="0055364B"/>
    <w:rsid w:val="00553657"/>
    <w:rsid w:val="00553662"/>
    <w:rsid w:val="0055366F"/>
    <w:rsid w:val="005536D6"/>
    <w:rsid w:val="005536F1"/>
    <w:rsid w:val="005537A4"/>
    <w:rsid w:val="005537AA"/>
    <w:rsid w:val="005537F5"/>
    <w:rsid w:val="00553800"/>
    <w:rsid w:val="00553822"/>
    <w:rsid w:val="0055382D"/>
    <w:rsid w:val="00553856"/>
    <w:rsid w:val="00553891"/>
    <w:rsid w:val="005539BA"/>
    <w:rsid w:val="00553ACB"/>
    <w:rsid w:val="00553ADA"/>
    <w:rsid w:val="00553B36"/>
    <w:rsid w:val="00553B74"/>
    <w:rsid w:val="00553B81"/>
    <w:rsid w:val="00553BD3"/>
    <w:rsid w:val="00553BFC"/>
    <w:rsid w:val="00553C64"/>
    <w:rsid w:val="00553C78"/>
    <w:rsid w:val="00553C83"/>
    <w:rsid w:val="00553C86"/>
    <w:rsid w:val="00553CC8"/>
    <w:rsid w:val="00553CF3"/>
    <w:rsid w:val="00553D58"/>
    <w:rsid w:val="00553D93"/>
    <w:rsid w:val="00553DA9"/>
    <w:rsid w:val="00553DAB"/>
    <w:rsid w:val="00553E0B"/>
    <w:rsid w:val="00553EC2"/>
    <w:rsid w:val="00553F28"/>
    <w:rsid w:val="00553FA1"/>
    <w:rsid w:val="00553FB5"/>
    <w:rsid w:val="00553FF2"/>
    <w:rsid w:val="00553FFB"/>
    <w:rsid w:val="00554064"/>
    <w:rsid w:val="005540A3"/>
    <w:rsid w:val="00554129"/>
    <w:rsid w:val="00554169"/>
    <w:rsid w:val="00554268"/>
    <w:rsid w:val="005542E1"/>
    <w:rsid w:val="0055433A"/>
    <w:rsid w:val="00554429"/>
    <w:rsid w:val="0055443B"/>
    <w:rsid w:val="005544F5"/>
    <w:rsid w:val="0055450F"/>
    <w:rsid w:val="0055453A"/>
    <w:rsid w:val="0055459F"/>
    <w:rsid w:val="005545C0"/>
    <w:rsid w:val="005545C3"/>
    <w:rsid w:val="005545DA"/>
    <w:rsid w:val="005545DD"/>
    <w:rsid w:val="00554654"/>
    <w:rsid w:val="00554685"/>
    <w:rsid w:val="00554774"/>
    <w:rsid w:val="005547D3"/>
    <w:rsid w:val="005547FC"/>
    <w:rsid w:val="0055487A"/>
    <w:rsid w:val="005548ED"/>
    <w:rsid w:val="005548FF"/>
    <w:rsid w:val="0055491D"/>
    <w:rsid w:val="0055495A"/>
    <w:rsid w:val="00554976"/>
    <w:rsid w:val="005549CC"/>
    <w:rsid w:val="00554A2A"/>
    <w:rsid w:val="00554AB1"/>
    <w:rsid w:val="00554B21"/>
    <w:rsid w:val="00554B4A"/>
    <w:rsid w:val="00554B5F"/>
    <w:rsid w:val="00554B71"/>
    <w:rsid w:val="00554B8C"/>
    <w:rsid w:val="00554BB9"/>
    <w:rsid w:val="00554C63"/>
    <w:rsid w:val="00554CAF"/>
    <w:rsid w:val="00554CB3"/>
    <w:rsid w:val="00554CB4"/>
    <w:rsid w:val="00554CB5"/>
    <w:rsid w:val="00554CBB"/>
    <w:rsid w:val="00554CBE"/>
    <w:rsid w:val="00554CE8"/>
    <w:rsid w:val="00554CF1"/>
    <w:rsid w:val="00554E43"/>
    <w:rsid w:val="00554E6D"/>
    <w:rsid w:val="00554E70"/>
    <w:rsid w:val="00554E94"/>
    <w:rsid w:val="00554F56"/>
    <w:rsid w:val="00554F6C"/>
    <w:rsid w:val="00554F89"/>
    <w:rsid w:val="00554FAB"/>
    <w:rsid w:val="00554FD9"/>
    <w:rsid w:val="00554FE8"/>
    <w:rsid w:val="00555025"/>
    <w:rsid w:val="00555050"/>
    <w:rsid w:val="0055506B"/>
    <w:rsid w:val="0055507D"/>
    <w:rsid w:val="005550B8"/>
    <w:rsid w:val="00555100"/>
    <w:rsid w:val="0055510C"/>
    <w:rsid w:val="00555129"/>
    <w:rsid w:val="005551D8"/>
    <w:rsid w:val="00555207"/>
    <w:rsid w:val="0055520E"/>
    <w:rsid w:val="00555222"/>
    <w:rsid w:val="0055535B"/>
    <w:rsid w:val="00555384"/>
    <w:rsid w:val="005553AF"/>
    <w:rsid w:val="00555465"/>
    <w:rsid w:val="0055549C"/>
    <w:rsid w:val="0055549D"/>
    <w:rsid w:val="005554DD"/>
    <w:rsid w:val="00555553"/>
    <w:rsid w:val="005555B5"/>
    <w:rsid w:val="005555BA"/>
    <w:rsid w:val="00555623"/>
    <w:rsid w:val="0055565A"/>
    <w:rsid w:val="00555667"/>
    <w:rsid w:val="0055567E"/>
    <w:rsid w:val="005556AC"/>
    <w:rsid w:val="0055572B"/>
    <w:rsid w:val="005557AE"/>
    <w:rsid w:val="0055588F"/>
    <w:rsid w:val="005558AE"/>
    <w:rsid w:val="005558B3"/>
    <w:rsid w:val="005558DA"/>
    <w:rsid w:val="00555916"/>
    <w:rsid w:val="0055594A"/>
    <w:rsid w:val="00555984"/>
    <w:rsid w:val="005559C7"/>
    <w:rsid w:val="005559DA"/>
    <w:rsid w:val="005559E1"/>
    <w:rsid w:val="00555A65"/>
    <w:rsid w:val="00555AAC"/>
    <w:rsid w:val="00555ACB"/>
    <w:rsid w:val="00555AEB"/>
    <w:rsid w:val="00555AFF"/>
    <w:rsid w:val="00555BA1"/>
    <w:rsid w:val="00555BD2"/>
    <w:rsid w:val="00555BDC"/>
    <w:rsid w:val="00555CA7"/>
    <w:rsid w:val="00555CCC"/>
    <w:rsid w:val="00555CD9"/>
    <w:rsid w:val="00555CEC"/>
    <w:rsid w:val="00555D42"/>
    <w:rsid w:val="00555D84"/>
    <w:rsid w:val="00555DAA"/>
    <w:rsid w:val="00555E0C"/>
    <w:rsid w:val="00555E10"/>
    <w:rsid w:val="00555E21"/>
    <w:rsid w:val="00555E65"/>
    <w:rsid w:val="00555E7D"/>
    <w:rsid w:val="00555F67"/>
    <w:rsid w:val="00555F91"/>
    <w:rsid w:val="00556005"/>
    <w:rsid w:val="0055600E"/>
    <w:rsid w:val="0055605A"/>
    <w:rsid w:val="00556069"/>
    <w:rsid w:val="0055607B"/>
    <w:rsid w:val="005560D3"/>
    <w:rsid w:val="00556139"/>
    <w:rsid w:val="005561A0"/>
    <w:rsid w:val="005561EF"/>
    <w:rsid w:val="005562C7"/>
    <w:rsid w:val="0055630B"/>
    <w:rsid w:val="0055631B"/>
    <w:rsid w:val="0055631E"/>
    <w:rsid w:val="00556397"/>
    <w:rsid w:val="005563AF"/>
    <w:rsid w:val="005563F2"/>
    <w:rsid w:val="00556533"/>
    <w:rsid w:val="00556598"/>
    <w:rsid w:val="005565AA"/>
    <w:rsid w:val="005565E5"/>
    <w:rsid w:val="0055669B"/>
    <w:rsid w:val="0055669D"/>
    <w:rsid w:val="005566A7"/>
    <w:rsid w:val="005566B9"/>
    <w:rsid w:val="005566D5"/>
    <w:rsid w:val="005566EC"/>
    <w:rsid w:val="00556702"/>
    <w:rsid w:val="00556739"/>
    <w:rsid w:val="005567D7"/>
    <w:rsid w:val="005567FF"/>
    <w:rsid w:val="00556826"/>
    <w:rsid w:val="0055685D"/>
    <w:rsid w:val="005568A8"/>
    <w:rsid w:val="005568AC"/>
    <w:rsid w:val="005568F0"/>
    <w:rsid w:val="00556929"/>
    <w:rsid w:val="0055692D"/>
    <w:rsid w:val="0055693A"/>
    <w:rsid w:val="0055699C"/>
    <w:rsid w:val="005569DF"/>
    <w:rsid w:val="005569EE"/>
    <w:rsid w:val="00556A2A"/>
    <w:rsid w:val="00556A52"/>
    <w:rsid w:val="00556ABB"/>
    <w:rsid w:val="00556AE9"/>
    <w:rsid w:val="00556AF7"/>
    <w:rsid w:val="00556B25"/>
    <w:rsid w:val="00556B48"/>
    <w:rsid w:val="00556B68"/>
    <w:rsid w:val="00556BB0"/>
    <w:rsid w:val="00556BFA"/>
    <w:rsid w:val="00556C2D"/>
    <w:rsid w:val="00556CEA"/>
    <w:rsid w:val="00556CF4"/>
    <w:rsid w:val="00556D49"/>
    <w:rsid w:val="00556EFE"/>
    <w:rsid w:val="00556F18"/>
    <w:rsid w:val="00556F86"/>
    <w:rsid w:val="00556FA8"/>
    <w:rsid w:val="00556FC1"/>
    <w:rsid w:val="00556FFF"/>
    <w:rsid w:val="00557051"/>
    <w:rsid w:val="00557089"/>
    <w:rsid w:val="00557090"/>
    <w:rsid w:val="005570A0"/>
    <w:rsid w:val="005570C3"/>
    <w:rsid w:val="005571C0"/>
    <w:rsid w:val="00557264"/>
    <w:rsid w:val="00557269"/>
    <w:rsid w:val="0055726D"/>
    <w:rsid w:val="005572A4"/>
    <w:rsid w:val="005572EA"/>
    <w:rsid w:val="005572FA"/>
    <w:rsid w:val="00557332"/>
    <w:rsid w:val="0055735A"/>
    <w:rsid w:val="005573A1"/>
    <w:rsid w:val="0055742F"/>
    <w:rsid w:val="005574A1"/>
    <w:rsid w:val="005574B2"/>
    <w:rsid w:val="005574C4"/>
    <w:rsid w:val="005574F8"/>
    <w:rsid w:val="00557526"/>
    <w:rsid w:val="00557537"/>
    <w:rsid w:val="00557581"/>
    <w:rsid w:val="00557584"/>
    <w:rsid w:val="0055759C"/>
    <w:rsid w:val="00557617"/>
    <w:rsid w:val="00557640"/>
    <w:rsid w:val="00557663"/>
    <w:rsid w:val="0055769D"/>
    <w:rsid w:val="005576D5"/>
    <w:rsid w:val="0055770E"/>
    <w:rsid w:val="00557740"/>
    <w:rsid w:val="00557802"/>
    <w:rsid w:val="0055780E"/>
    <w:rsid w:val="00557850"/>
    <w:rsid w:val="00557862"/>
    <w:rsid w:val="00557876"/>
    <w:rsid w:val="005578FA"/>
    <w:rsid w:val="00557961"/>
    <w:rsid w:val="00557967"/>
    <w:rsid w:val="005579E4"/>
    <w:rsid w:val="005579F6"/>
    <w:rsid w:val="00557A04"/>
    <w:rsid w:val="00557A6E"/>
    <w:rsid w:val="00557A9F"/>
    <w:rsid w:val="00557ACF"/>
    <w:rsid w:val="00557AF9"/>
    <w:rsid w:val="00557B3F"/>
    <w:rsid w:val="00557B7A"/>
    <w:rsid w:val="00557BCD"/>
    <w:rsid w:val="00557C01"/>
    <w:rsid w:val="00557C56"/>
    <w:rsid w:val="00557C6F"/>
    <w:rsid w:val="00557C82"/>
    <w:rsid w:val="00557CA1"/>
    <w:rsid w:val="00557CBB"/>
    <w:rsid w:val="00557CE8"/>
    <w:rsid w:val="00557D22"/>
    <w:rsid w:val="00557DAC"/>
    <w:rsid w:val="00557DC3"/>
    <w:rsid w:val="00557DC9"/>
    <w:rsid w:val="00557DE8"/>
    <w:rsid w:val="00557E0C"/>
    <w:rsid w:val="00557E5E"/>
    <w:rsid w:val="00557E70"/>
    <w:rsid w:val="00557E74"/>
    <w:rsid w:val="00557E8F"/>
    <w:rsid w:val="00557ECB"/>
    <w:rsid w:val="00557ED1"/>
    <w:rsid w:val="00557F35"/>
    <w:rsid w:val="00557F7A"/>
    <w:rsid w:val="00557F8C"/>
    <w:rsid w:val="00557F93"/>
    <w:rsid w:val="00557FC3"/>
    <w:rsid w:val="00557FED"/>
    <w:rsid w:val="0055AA53"/>
    <w:rsid w:val="00560015"/>
    <w:rsid w:val="0056003B"/>
    <w:rsid w:val="00560040"/>
    <w:rsid w:val="005600E9"/>
    <w:rsid w:val="00560125"/>
    <w:rsid w:val="0056012C"/>
    <w:rsid w:val="0056013A"/>
    <w:rsid w:val="0056013D"/>
    <w:rsid w:val="0056015E"/>
    <w:rsid w:val="00560161"/>
    <w:rsid w:val="005601A0"/>
    <w:rsid w:val="005601FD"/>
    <w:rsid w:val="0056023C"/>
    <w:rsid w:val="005602D1"/>
    <w:rsid w:val="00560329"/>
    <w:rsid w:val="0056038C"/>
    <w:rsid w:val="005603E6"/>
    <w:rsid w:val="005603FC"/>
    <w:rsid w:val="00560425"/>
    <w:rsid w:val="00560431"/>
    <w:rsid w:val="00560439"/>
    <w:rsid w:val="00560478"/>
    <w:rsid w:val="00560495"/>
    <w:rsid w:val="005604F1"/>
    <w:rsid w:val="00560544"/>
    <w:rsid w:val="0056054D"/>
    <w:rsid w:val="005605A3"/>
    <w:rsid w:val="005605C5"/>
    <w:rsid w:val="00560637"/>
    <w:rsid w:val="0056066F"/>
    <w:rsid w:val="00560779"/>
    <w:rsid w:val="00560785"/>
    <w:rsid w:val="005607A8"/>
    <w:rsid w:val="005607B5"/>
    <w:rsid w:val="005607CD"/>
    <w:rsid w:val="005607D4"/>
    <w:rsid w:val="005607F6"/>
    <w:rsid w:val="00560811"/>
    <w:rsid w:val="005608AE"/>
    <w:rsid w:val="00560909"/>
    <w:rsid w:val="00560920"/>
    <w:rsid w:val="00560936"/>
    <w:rsid w:val="00560946"/>
    <w:rsid w:val="0056098A"/>
    <w:rsid w:val="005609BB"/>
    <w:rsid w:val="005609D2"/>
    <w:rsid w:val="00560A19"/>
    <w:rsid w:val="00560A31"/>
    <w:rsid w:val="00560A44"/>
    <w:rsid w:val="00560A83"/>
    <w:rsid w:val="00560B70"/>
    <w:rsid w:val="00560B7C"/>
    <w:rsid w:val="00560B86"/>
    <w:rsid w:val="00560BA8"/>
    <w:rsid w:val="00560BB8"/>
    <w:rsid w:val="00560C25"/>
    <w:rsid w:val="00560C3F"/>
    <w:rsid w:val="00560C81"/>
    <w:rsid w:val="00560CC2"/>
    <w:rsid w:val="00560D0E"/>
    <w:rsid w:val="00560D53"/>
    <w:rsid w:val="00560D56"/>
    <w:rsid w:val="00560D84"/>
    <w:rsid w:val="00560DA3"/>
    <w:rsid w:val="00560DBE"/>
    <w:rsid w:val="00560DCC"/>
    <w:rsid w:val="00560EAD"/>
    <w:rsid w:val="00560EB8"/>
    <w:rsid w:val="00560EE6"/>
    <w:rsid w:val="00560F52"/>
    <w:rsid w:val="00560F87"/>
    <w:rsid w:val="00560FC7"/>
    <w:rsid w:val="00560FCB"/>
    <w:rsid w:val="00560FF8"/>
    <w:rsid w:val="00560FFB"/>
    <w:rsid w:val="00561033"/>
    <w:rsid w:val="00561083"/>
    <w:rsid w:val="00561091"/>
    <w:rsid w:val="0056109E"/>
    <w:rsid w:val="005610C8"/>
    <w:rsid w:val="00561120"/>
    <w:rsid w:val="0056113E"/>
    <w:rsid w:val="0056115A"/>
    <w:rsid w:val="005611EA"/>
    <w:rsid w:val="00561285"/>
    <w:rsid w:val="0056129B"/>
    <w:rsid w:val="005612A3"/>
    <w:rsid w:val="00561364"/>
    <w:rsid w:val="005613EC"/>
    <w:rsid w:val="00561403"/>
    <w:rsid w:val="00561435"/>
    <w:rsid w:val="0056143D"/>
    <w:rsid w:val="00561498"/>
    <w:rsid w:val="0056149F"/>
    <w:rsid w:val="005614B3"/>
    <w:rsid w:val="005614BC"/>
    <w:rsid w:val="005614DC"/>
    <w:rsid w:val="005614DD"/>
    <w:rsid w:val="0056151A"/>
    <w:rsid w:val="00561521"/>
    <w:rsid w:val="00561562"/>
    <w:rsid w:val="0056156C"/>
    <w:rsid w:val="00561571"/>
    <w:rsid w:val="0056159F"/>
    <w:rsid w:val="005615F5"/>
    <w:rsid w:val="00561690"/>
    <w:rsid w:val="00561693"/>
    <w:rsid w:val="005616E3"/>
    <w:rsid w:val="005616EC"/>
    <w:rsid w:val="0056174E"/>
    <w:rsid w:val="00561770"/>
    <w:rsid w:val="00561773"/>
    <w:rsid w:val="00561793"/>
    <w:rsid w:val="005617AD"/>
    <w:rsid w:val="005617C1"/>
    <w:rsid w:val="00561829"/>
    <w:rsid w:val="0056182A"/>
    <w:rsid w:val="0056183D"/>
    <w:rsid w:val="00561841"/>
    <w:rsid w:val="00561872"/>
    <w:rsid w:val="005618E9"/>
    <w:rsid w:val="0056190A"/>
    <w:rsid w:val="0056196C"/>
    <w:rsid w:val="005619E2"/>
    <w:rsid w:val="00561A26"/>
    <w:rsid w:val="00561A27"/>
    <w:rsid w:val="00561A6D"/>
    <w:rsid w:val="00561AAA"/>
    <w:rsid w:val="00561AF1"/>
    <w:rsid w:val="00561AF4"/>
    <w:rsid w:val="00561AF7"/>
    <w:rsid w:val="00561B30"/>
    <w:rsid w:val="00561B5A"/>
    <w:rsid w:val="00561B9E"/>
    <w:rsid w:val="00561BC0"/>
    <w:rsid w:val="00561BDA"/>
    <w:rsid w:val="00561C2F"/>
    <w:rsid w:val="00561C55"/>
    <w:rsid w:val="00561CD8"/>
    <w:rsid w:val="00561D94"/>
    <w:rsid w:val="00561DC9"/>
    <w:rsid w:val="00561DE1"/>
    <w:rsid w:val="00561E21"/>
    <w:rsid w:val="00561ED9"/>
    <w:rsid w:val="00561F0A"/>
    <w:rsid w:val="00561F93"/>
    <w:rsid w:val="00561F99"/>
    <w:rsid w:val="00561FC5"/>
    <w:rsid w:val="00561FD4"/>
    <w:rsid w:val="00561FDE"/>
    <w:rsid w:val="00562021"/>
    <w:rsid w:val="0056202E"/>
    <w:rsid w:val="005620BF"/>
    <w:rsid w:val="005620E8"/>
    <w:rsid w:val="00562142"/>
    <w:rsid w:val="0056214C"/>
    <w:rsid w:val="00562164"/>
    <w:rsid w:val="00562188"/>
    <w:rsid w:val="0056218A"/>
    <w:rsid w:val="0056219D"/>
    <w:rsid w:val="005621BE"/>
    <w:rsid w:val="005621C4"/>
    <w:rsid w:val="005621F0"/>
    <w:rsid w:val="005621F2"/>
    <w:rsid w:val="005621F3"/>
    <w:rsid w:val="00562247"/>
    <w:rsid w:val="00562274"/>
    <w:rsid w:val="00562345"/>
    <w:rsid w:val="005623AA"/>
    <w:rsid w:val="005623BA"/>
    <w:rsid w:val="0056242C"/>
    <w:rsid w:val="0056243B"/>
    <w:rsid w:val="0056244C"/>
    <w:rsid w:val="00562450"/>
    <w:rsid w:val="00562467"/>
    <w:rsid w:val="005624B0"/>
    <w:rsid w:val="005624B9"/>
    <w:rsid w:val="005624E2"/>
    <w:rsid w:val="005624F8"/>
    <w:rsid w:val="00562524"/>
    <w:rsid w:val="0056259A"/>
    <w:rsid w:val="005625B5"/>
    <w:rsid w:val="005625BF"/>
    <w:rsid w:val="00562604"/>
    <w:rsid w:val="00562638"/>
    <w:rsid w:val="00562689"/>
    <w:rsid w:val="005626A8"/>
    <w:rsid w:val="005626E4"/>
    <w:rsid w:val="005626E5"/>
    <w:rsid w:val="00562723"/>
    <w:rsid w:val="00562743"/>
    <w:rsid w:val="00562747"/>
    <w:rsid w:val="00562750"/>
    <w:rsid w:val="00562753"/>
    <w:rsid w:val="0056276A"/>
    <w:rsid w:val="005627DB"/>
    <w:rsid w:val="005627DF"/>
    <w:rsid w:val="00562811"/>
    <w:rsid w:val="00562813"/>
    <w:rsid w:val="00562881"/>
    <w:rsid w:val="0056290A"/>
    <w:rsid w:val="0056299F"/>
    <w:rsid w:val="005629ED"/>
    <w:rsid w:val="00562A1D"/>
    <w:rsid w:val="00562A20"/>
    <w:rsid w:val="00562A4B"/>
    <w:rsid w:val="00562A56"/>
    <w:rsid w:val="00562A97"/>
    <w:rsid w:val="00562ADB"/>
    <w:rsid w:val="00562B14"/>
    <w:rsid w:val="00562B51"/>
    <w:rsid w:val="00562BC9"/>
    <w:rsid w:val="00562C42"/>
    <w:rsid w:val="00562C9B"/>
    <w:rsid w:val="00562CA6"/>
    <w:rsid w:val="00562CE7"/>
    <w:rsid w:val="00562D5D"/>
    <w:rsid w:val="00562DAD"/>
    <w:rsid w:val="00562DD7"/>
    <w:rsid w:val="00562E15"/>
    <w:rsid w:val="00562E6D"/>
    <w:rsid w:val="00562E86"/>
    <w:rsid w:val="00562EAF"/>
    <w:rsid w:val="00562F17"/>
    <w:rsid w:val="00562F49"/>
    <w:rsid w:val="00562FBD"/>
    <w:rsid w:val="0056300C"/>
    <w:rsid w:val="0056309F"/>
    <w:rsid w:val="0056317A"/>
    <w:rsid w:val="005631B2"/>
    <w:rsid w:val="005631B7"/>
    <w:rsid w:val="0056321F"/>
    <w:rsid w:val="005632A9"/>
    <w:rsid w:val="005632BE"/>
    <w:rsid w:val="0056336A"/>
    <w:rsid w:val="0056339B"/>
    <w:rsid w:val="005633A8"/>
    <w:rsid w:val="005633CE"/>
    <w:rsid w:val="005633DE"/>
    <w:rsid w:val="005633E9"/>
    <w:rsid w:val="0056345F"/>
    <w:rsid w:val="005634AD"/>
    <w:rsid w:val="005634BE"/>
    <w:rsid w:val="00563508"/>
    <w:rsid w:val="0056351D"/>
    <w:rsid w:val="00563534"/>
    <w:rsid w:val="0056363F"/>
    <w:rsid w:val="00563645"/>
    <w:rsid w:val="005636BC"/>
    <w:rsid w:val="005636E5"/>
    <w:rsid w:val="005636EE"/>
    <w:rsid w:val="00563739"/>
    <w:rsid w:val="00563755"/>
    <w:rsid w:val="005637BC"/>
    <w:rsid w:val="00563871"/>
    <w:rsid w:val="00563896"/>
    <w:rsid w:val="005638D4"/>
    <w:rsid w:val="00563989"/>
    <w:rsid w:val="0056399A"/>
    <w:rsid w:val="0056399E"/>
    <w:rsid w:val="00563A06"/>
    <w:rsid w:val="00563A70"/>
    <w:rsid w:val="00563A98"/>
    <w:rsid w:val="00563B0F"/>
    <w:rsid w:val="00563B65"/>
    <w:rsid w:val="00563B82"/>
    <w:rsid w:val="00563B8D"/>
    <w:rsid w:val="00563B8E"/>
    <w:rsid w:val="00563C6B"/>
    <w:rsid w:val="00563CCA"/>
    <w:rsid w:val="00563D0D"/>
    <w:rsid w:val="00563D0F"/>
    <w:rsid w:val="00563DC6"/>
    <w:rsid w:val="00563DD5"/>
    <w:rsid w:val="00563DDF"/>
    <w:rsid w:val="00563E00"/>
    <w:rsid w:val="00563E63"/>
    <w:rsid w:val="00563EB5"/>
    <w:rsid w:val="00563F2A"/>
    <w:rsid w:val="00563F39"/>
    <w:rsid w:val="00563FC9"/>
    <w:rsid w:val="00563FFB"/>
    <w:rsid w:val="00564007"/>
    <w:rsid w:val="0056403C"/>
    <w:rsid w:val="005640A6"/>
    <w:rsid w:val="00564150"/>
    <w:rsid w:val="00564199"/>
    <w:rsid w:val="00564223"/>
    <w:rsid w:val="005642AE"/>
    <w:rsid w:val="00564309"/>
    <w:rsid w:val="005643D0"/>
    <w:rsid w:val="005643D5"/>
    <w:rsid w:val="0056440A"/>
    <w:rsid w:val="0056445A"/>
    <w:rsid w:val="00564462"/>
    <w:rsid w:val="0056446B"/>
    <w:rsid w:val="005644C6"/>
    <w:rsid w:val="00564525"/>
    <w:rsid w:val="005645FC"/>
    <w:rsid w:val="0056460B"/>
    <w:rsid w:val="0056465F"/>
    <w:rsid w:val="005646A6"/>
    <w:rsid w:val="005646BC"/>
    <w:rsid w:val="005646CC"/>
    <w:rsid w:val="005646CF"/>
    <w:rsid w:val="0056479F"/>
    <w:rsid w:val="005647A5"/>
    <w:rsid w:val="005647A7"/>
    <w:rsid w:val="00564816"/>
    <w:rsid w:val="00564864"/>
    <w:rsid w:val="005648A4"/>
    <w:rsid w:val="005648C1"/>
    <w:rsid w:val="005648D0"/>
    <w:rsid w:val="00564932"/>
    <w:rsid w:val="00564961"/>
    <w:rsid w:val="0056497C"/>
    <w:rsid w:val="00564984"/>
    <w:rsid w:val="00564995"/>
    <w:rsid w:val="005649AF"/>
    <w:rsid w:val="00564A05"/>
    <w:rsid w:val="00564A14"/>
    <w:rsid w:val="00564A4F"/>
    <w:rsid w:val="00564A84"/>
    <w:rsid w:val="00564A8C"/>
    <w:rsid w:val="00564AF8"/>
    <w:rsid w:val="00564B08"/>
    <w:rsid w:val="00564B43"/>
    <w:rsid w:val="00564B48"/>
    <w:rsid w:val="00564B78"/>
    <w:rsid w:val="00564B82"/>
    <w:rsid w:val="00564C0D"/>
    <w:rsid w:val="00564C20"/>
    <w:rsid w:val="00564C66"/>
    <w:rsid w:val="00564C85"/>
    <w:rsid w:val="00564D17"/>
    <w:rsid w:val="00564D65"/>
    <w:rsid w:val="00564D67"/>
    <w:rsid w:val="00564D6B"/>
    <w:rsid w:val="00564E65"/>
    <w:rsid w:val="00564EA1"/>
    <w:rsid w:val="00564EB1"/>
    <w:rsid w:val="00564EB4"/>
    <w:rsid w:val="00564EBD"/>
    <w:rsid w:val="00564FD0"/>
    <w:rsid w:val="00564FF3"/>
    <w:rsid w:val="00564FFA"/>
    <w:rsid w:val="00565060"/>
    <w:rsid w:val="005650BB"/>
    <w:rsid w:val="005650DA"/>
    <w:rsid w:val="005650FA"/>
    <w:rsid w:val="00565108"/>
    <w:rsid w:val="00565151"/>
    <w:rsid w:val="005651A2"/>
    <w:rsid w:val="005651B2"/>
    <w:rsid w:val="005651FB"/>
    <w:rsid w:val="00565201"/>
    <w:rsid w:val="0056526E"/>
    <w:rsid w:val="0056530C"/>
    <w:rsid w:val="00565310"/>
    <w:rsid w:val="0056534F"/>
    <w:rsid w:val="00565353"/>
    <w:rsid w:val="00565359"/>
    <w:rsid w:val="00565370"/>
    <w:rsid w:val="00565371"/>
    <w:rsid w:val="00565393"/>
    <w:rsid w:val="005653E5"/>
    <w:rsid w:val="00565415"/>
    <w:rsid w:val="00565474"/>
    <w:rsid w:val="0056550C"/>
    <w:rsid w:val="00565541"/>
    <w:rsid w:val="0056555E"/>
    <w:rsid w:val="0056557A"/>
    <w:rsid w:val="0056560E"/>
    <w:rsid w:val="00565620"/>
    <w:rsid w:val="00565658"/>
    <w:rsid w:val="0056565B"/>
    <w:rsid w:val="005656BB"/>
    <w:rsid w:val="005656EF"/>
    <w:rsid w:val="00565702"/>
    <w:rsid w:val="0056571F"/>
    <w:rsid w:val="0056573F"/>
    <w:rsid w:val="0056574F"/>
    <w:rsid w:val="00565757"/>
    <w:rsid w:val="0056577B"/>
    <w:rsid w:val="005657C6"/>
    <w:rsid w:val="005657CB"/>
    <w:rsid w:val="005657F2"/>
    <w:rsid w:val="00565800"/>
    <w:rsid w:val="00565812"/>
    <w:rsid w:val="00565830"/>
    <w:rsid w:val="00565832"/>
    <w:rsid w:val="0056585B"/>
    <w:rsid w:val="0056586D"/>
    <w:rsid w:val="00565881"/>
    <w:rsid w:val="005659B7"/>
    <w:rsid w:val="005659BD"/>
    <w:rsid w:val="00565A0A"/>
    <w:rsid w:val="00565A0C"/>
    <w:rsid w:val="00565A12"/>
    <w:rsid w:val="00565A2D"/>
    <w:rsid w:val="00565A58"/>
    <w:rsid w:val="00565B14"/>
    <w:rsid w:val="00565BB8"/>
    <w:rsid w:val="00565BD5"/>
    <w:rsid w:val="00565BF1"/>
    <w:rsid w:val="00565C12"/>
    <w:rsid w:val="00565C1D"/>
    <w:rsid w:val="00565C3F"/>
    <w:rsid w:val="00565C7D"/>
    <w:rsid w:val="00565CE1"/>
    <w:rsid w:val="00565D13"/>
    <w:rsid w:val="00565D8E"/>
    <w:rsid w:val="00565DAE"/>
    <w:rsid w:val="00565DC9"/>
    <w:rsid w:val="00565E44"/>
    <w:rsid w:val="00565EF6"/>
    <w:rsid w:val="00565EF8"/>
    <w:rsid w:val="00565FB7"/>
    <w:rsid w:val="00565FFE"/>
    <w:rsid w:val="00566052"/>
    <w:rsid w:val="00566067"/>
    <w:rsid w:val="00566077"/>
    <w:rsid w:val="0056608F"/>
    <w:rsid w:val="005660A7"/>
    <w:rsid w:val="0056611A"/>
    <w:rsid w:val="0056612B"/>
    <w:rsid w:val="005661C0"/>
    <w:rsid w:val="0056629D"/>
    <w:rsid w:val="005662A3"/>
    <w:rsid w:val="005662BD"/>
    <w:rsid w:val="005662D5"/>
    <w:rsid w:val="00566367"/>
    <w:rsid w:val="0056636A"/>
    <w:rsid w:val="005663A5"/>
    <w:rsid w:val="005663AA"/>
    <w:rsid w:val="005663AF"/>
    <w:rsid w:val="005663B3"/>
    <w:rsid w:val="005663BB"/>
    <w:rsid w:val="005663C5"/>
    <w:rsid w:val="005663D9"/>
    <w:rsid w:val="005663ED"/>
    <w:rsid w:val="00566445"/>
    <w:rsid w:val="005664D0"/>
    <w:rsid w:val="00566543"/>
    <w:rsid w:val="0056654F"/>
    <w:rsid w:val="0056657A"/>
    <w:rsid w:val="005665BC"/>
    <w:rsid w:val="005665F7"/>
    <w:rsid w:val="005665FD"/>
    <w:rsid w:val="0056664A"/>
    <w:rsid w:val="00566652"/>
    <w:rsid w:val="005666F9"/>
    <w:rsid w:val="00566759"/>
    <w:rsid w:val="00566782"/>
    <w:rsid w:val="005667A5"/>
    <w:rsid w:val="005667B6"/>
    <w:rsid w:val="0056684D"/>
    <w:rsid w:val="00566980"/>
    <w:rsid w:val="00566999"/>
    <w:rsid w:val="00566A4B"/>
    <w:rsid w:val="00566A58"/>
    <w:rsid w:val="00566A62"/>
    <w:rsid w:val="00566A6E"/>
    <w:rsid w:val="00566A85"/>
    <w:rsid w:val="00566AB6"/>
    <w:rsid w:val="00566B0F"/>
    <w:rsid w:val="00566B4C"/>
    <w:rsid w:val="00566B67"/>
    <w:rsid w:val="00566B75"/>
    <w:rsid w:val="00566B79"/>
    <w:rsid w:val="00566BB2"/>
    <w:rsid w:val="00566C7E"/>
    <w:rsid w:val="00566CB5"/>
    <w:rsid w:val="00566CC0"/>
    <w:rsid w:val="00566CC2"/>
    <w:rsid w:val="00566CD9"/>
    <w:rsid w:val="00566D40"/>
    <w:rsid w:val="00566D72"/>
    <w:rsid w:val="00566D91"/>
    <w:rsid w:val="00566DA0"/>
    <w:rsid w:val="00566DAF"/>
    <w:rsid w:val="00566E67"/>
    <w:rsid w:val="00566E8B"/>
    <w:rsid w:val="00566EA2"/>
    <w:rsid w:val="00566ECE"/>
    <w:rsid w:val="00566FA9"/>
    <w:rsid w:val="00566FE0"/>
    <w:rsid w:val="00567074"/>
    <w:rsid w:val="0056709C"/>
    <w:rsid w:val="005670AB"/>
    <w:rsid w:val="005670C9"/>
    <w:rsid w:val="00567110"/>
    <w:rsid w:val="00567118"/>
    <w:rsid w:val="00567136"/>
    <w:rsid w:val="00567138"/>
    <w:rsid w:val="0056715A"/>
    <w:rsid w:val="0056715F"/>
    <w:rsid w:val="005671E0"/>
    <w:rsid w:val="005671F8"/>
    <w:rsid w:val="005671FD"/>
    <w:rsid w:val="00567212"/>
    <w:rsid w:val="00567303"/>
    <w:rsid w:val="0056738B"/>
    <w:rsid w:val="005673C6"/>
    <w:rsid w:val="00567444"/>
    <w:rsid w:val="0056744C"/>
    <w:rsid w:val="00567455"/>
    <w:rsid w:val="00567464"/>
    <w:rsid w:val="00567476"/>
    <w:rsid w:val="005674BF"/>
    <w:rsid w:val="005675A1"/>
    <w:rsid w:val="005675D8"/>
    <w:rsid w:val="0056762B"/>
    <w:rsid w:val="00567647"/>
    <w:rsid w:val="00567663"/>
    <w:rsid w:val="00567669"/>
    <w:rsid w:val="00567692"/>
    <w:rsid w:val="005676A0"/>
    <w:rsid w:val="005676C8"/>
    <w:rsid w:val="00567754"/>
    <w:rsid w:val="00567759"/>
    <w:rsid w:val="0056775E"/>
    <w:rsid w:val="005677CB"/>
    <w:rsid w:val="00567825"/>
    <w:rsid w:val="005678CF"/>
    <w:rsid w:val="00567945"/>
    <w:rsid w:val="00567959"/>
    <w:rsid w:val="00567980"/>
    <w:rsid w:val="0056798E"/>
    <w:rsid w:val="005679B5"/>
    <w:rsid w:val="005679EF"/>
    <w:rsid w:val="00567A03"/>
    <w:rsid w:val="00567A09"/>
    <w:rsid w:val="00567AA0"/>
    <w:rsid w:val="00567B0F"/>
    <w:rsid w:val="00567B45"/>
    <w:rsid w:val="00567B67"/>
    <w:rsid w:val="00567B6C"/>
    <w:rsid w:val="00567BAF"/>
    <w:rsid w:val="00567BF7"/>
    <w:rsid w:val="00567C3F"/>
    <w:rsid w:val="00567CBC"/>
    <w:rsid w:val="00567CDD"/>
    <w:rsid w:val="00567D41"/>
    <w:rsid w:val="00567D51"/>
    <w:rsid w:val="00567D55"/>
    <w:rsid w:val="00567DB4"/>
    <w:rsid w:val="00567DFB"/>
    <w:rsid w:val="00567E5A"/>
    <w:rsid w:val="00567E66"/>
    <w:rsid w:val="00567E6C"/>
    <w:rsid w:val="00567ECC"/>
    <w:rsid w:val="00567F55"/>
    <w:rsid w:val="00567F90"/>
    <w:rsid w:val="00567FAD"/>
    <w:rsid w:val="00567FE6"/>
    <w:rsid w:val="00567FE8"/>
    <w:rsid w:val="005699C6"/>
    <w:rsid w:val="00570008"/>
    <w:rsid w:val="0057004D"/>
    <w:rsid w:val="0057004E"/>
    <w:rsid w:val="00570053"/>
    <w:rsid w:val="0057006D"/>
    <w:rsid w:val="0057007A"/>
    <w:rsid w:val="00570099"/>
    <w:rsid w:val="005700B0"/>
    <w:rsid w:val="00570115"/>
    <w:rsid w:val="00570174"/>
    <w:rsid w:val="0057017E"/>
    <w:rsid w:val="005701E5"/>
    <w:rsid w:val="00570255"/>
    <w:rsid w:val="0057027A"/>
    <w:rsid w:val="005702AB"/>
    <w:rsid w:val="005702B0"/>
    <w:rsid w:val="005702F5"/>
    <w:rsid w:val="00570323"/>
    <w:rsid w:val="00570364"/>
    <w:rsid w:val="005703B7"/>
    <w:rsid w:val="005703CF"/>
    <w:rsid w:val="005703E6"/>
    <w:rsid w:val="005703F1"/>
    <w:rsid w:val="00570446"/>
    <w:rsid w:val="0057044A"/>
    <w:rsid w:val="00570458"/>
    <w:rsid w:val="0057048B"/>
    <w:rsid w:val="005704AC"/>
    <w:rsid w:val="0057054B"/>
    <w:rsid w:val="00570598"/>
    <w:rsid w:val="005705B5"/>
    <w:rsid w:val="00570643"/>
    <w:rsid w:val="00570675"/>
    <w:rsid w:val="00570718"/>
    <w:rsid w:val="00570737"/>
    <w:rsid w:val="00570762"/>
    <w:rsid w:val="00570774"/>
    <w:rsid w:val="005707A3"/>
    <w:rsid w:val="005707A5"/>
    <w:rsid w:val="005707CD"/>
    <w:rsid w:val="005707CF"/>
    <w:rsid w:val="0057081D"/>
    <w:rsid w:val="00570845"/>
    <w:rsid w:val="005708FD"/>
    <w:rsid w:val="00570954"/>
    <w:rsid w:val="0057096B"/>
    <w:rsid w:val="005709CA"/>
    <w:rsid w:val="005709EC"/>
    <w:rsid w:val="00570A1C"/>
    <w:rsid w:val="00570A3F"/>
    <w:rsid w:val="00570A75"/>
    <w:rsid w:val="00570A80"/>
    <w:rsid w:val="00570AB5"/>
    <w:rsid w:val="00570AD4"/>
    <w:rsid w:val="00570AEC"/>
    <w:rsid w:val="00570B29"/>
    <w:rsid w:val="00570B38"/>
    <w:rsid w:val="00570B8A"/>
    <w:rsid w:val="00570B9D"/>
    <w:rsid w:val="00570BE9"/>
    <w:rsid w:val="00570C37"/>
    <w:rsid w:val="00570C3E"/>
    <w:rsid w:val="00570C91"/>
    <w:rsid w:val="00570CAB"/>
    <w:rsid w:val="00570D2D"/>
    <w:rsid w:val="00570D8A"/>
    <w:rsid w:val="00570D9B"/>
    <w:rsid w:val="00570DA4"/>
    <w:rsid w:val="00570E29"/>
    <w:rsid w:val="00570E52"/>
    <w:rsid w:val="00570EAC"/>
    <w:rsid w:val="00570F77"/>
    <w:rsid w:val="00570F7E"/>
    <w:rsid w:val="00570FBF"/>
    <w:rsid w:val="00570FE3"/>
    <w:rsid w:val="00571037"/>
    <w:rsid w:val="00571042"/>
    <w:rsid w:val="0057109E"/>
    <w:rsid w:val="005710F9"/>
    <w:rsid w:val="00571184"/>
    <w:rsid w:val="005711C2"/>
    <w:rsid w:val="005711C4"/>
    <w:rsid w:val="00571226"/>
    <w:rsid w:val="0057122A"/>
    <w:rsid w:val="0057122C"/>
    <w:rsid w:val="00571243"/>
    <w:rsid w:val="0057128C"/>
    <w:rsid w:val="0057128D"/>
    <w:rsid w:val="005712A9"/>
    <w:rsid w:val="0057136E"/>
    <w:rsid w:val="0057137C"/>
    <w:rsid w:val="0057138E"/>
    <w:rsid w:val="005713A8"/>
    <w:rsid w:val="00571409"/>
    <w:rsid w:val="005714B9"/>
    <w:rsid w:val="005714DD"/>
    <w:rsid w:val="00571570"/>
    <w:rsid w:val="00571581"/>
    <w:rsid w:val="005715BB"/>
    <w:rsid w:val="0057162D"/>
    <w:rsid w:val="0057166A"/>
    <w:rsid w:val="00571679"/>
    <w:rsid w:val="005716A3"/>
    <w:rsid w:val="005716C4"/>
    <w:rsid w:val="005716C8"/>
    <w:rsid w:val="005716FA"/>
    <w:rsid w:val="00571701"/>
    <w:rsid w:val="0057171F"/>
    <w:rsid w:val="00571742"/>
    <w:rsid w:val="00571744"/>
    <w:rsid w:val="005717C6"/>
    <w:rsid w:val="00571871"/>
    <w:rsid w:val="0057188F"/>
    <w:rsid w:val="00571898"/>
    <w:rsid w:val="005718DF"/>
    <w:rsid w:val="005718EE"/>
    <w:rsid w:val="00571958"/>
    <w:rsid w:val="005719A9"/>
    <w:rsid w:val="005719FD"/>
    <w:rsid w:val="00571A01"/>
    <w:rsid w:val="00571A29"/>
    <w:rsid w:val="00571AB1"/>
    <w:rsid w:val="00571B02"/>
    <w:rsid w:val="00571BDE"/>
    <w:rsid w:val="00571BE3"/>
    <w:rsid w:val="00571BF6"/>
    <w:rsid w:val="00571C41"/>
    <w:rsid w:val="00571C65"/>
    <w:rsid w:val="00571DBA"/>
    <w:rsid w:val="00571E7A"/>
    <w:rsid w:val="00571EA0"/>
    <w:rsid w:val="00571ED0"/>
    <w:rsid w:val="00571F15"/>
    <w:rsid w:val="00571F3B"/>
    <w:rsid w:val="00571F55"/>
    <w:rsid w:val="00571F7A"/>
    <w:rsid w:val="00571FBF"/>
    <w:rsid w:val="00572048"/>
    <w:rsid w:val="00572090"/>
    <w:rsid w:val="005720B6"/>
    <w:rsid w:val="005720CF"/>
    <w:rsid w:val="005720F4"/>
    <w:rsid w:val="0057212D"/>
    <w:rsid w:val="00572130"/>
    <w:rsid w:val="005721A8"/>
    <w:rsid w:val="005721E5"/>
    <w:rsid w:val="00572230"/>
    <w:rsid w:val="00572239"/>
    <w:rsid w:val="0057226F"/>
    <w:rsid w:val="00572271"/>
    <w:rsid w:val="00572279"/>
    <w:rsid w:val="005722BB"/>
    <w:rsid w:val="005722CC"/>
    <w:rsid w:val="00572309"/>
    <w:rsid w:val="00572398"/>
    <w:rsid w:val="005723C6"/>
    <w:rsid w:val="005723EE"/>
    <w:rsid w:val="005723FF"/>
    <w:rsid w:val="00572478"/>
    <w:rsid w:val="005724A0"/>
    <w:rsid w:val="005724DC"/>
    <w:rsid w:val="00572522"/>
    <w:rsid w:val="00572546"/>
    <w:rsid w:val="00572567"/>
    <w:rsid w:val="00572588"/>
    <w:rsid w:val="005725AE"/>
    <w:rsid w:val="005725EE"/>
    <w:rsid w:val="00572608"/>
    <w:rsid w:val="00572680"/>
    <w:rsid w:val="0057268D"/>
    <w:rsid w:val="00572725"/>
    <w:rsid w:val="00572729"/>
    <w:rsid w:val="0057272A"/>
    <w:rsid w:val="00572805"/>
    <w:rsid w:val="00572858"/>
    <w:rsid w:val="00572882"/>
    <w:rsid w:val="005728FC"/>
    <w:rsid w:val="00572908"/>
    <w:rsid w:val="00572923"/>
    <w:rsid w:val="00572928"/>
    <w:rsid w:val="0057293E"/>
    <w:rsid w:val="00572A2A"/>
    <w:rsid w:val="00572A50"/>
    <w:rsid w:val="00572A85"/>
    <w:rsid w:val="00572A9A"/>
    <w:rsid w:val="00572B5A"/>
    <w:rsid w:val="00572B90"/>
    <w:rsid w:val="00572BD9"/>
    <w:rsid w:val="00572BE8"/>
    <w:rsid w:val="00572C44"/>
    <w:rsid w:val="00572C4A"/>
    <w:rsid w:val="00572CAF"/>
    <w:rsid w:val="00572CC0"/>
    <w:rsid w:val="00572CED"/>
    <w:rsid w:val="00572D50"/>
    <w:rsid w:val="00572D6A"/>
    <w:rsid w:val="00572DE9"/>
    <w:rsid w:val="00572E0B"/>
    <w:rsid w:val="00572EB9"/>
    <w:rsid w:val="00572EDB"/>
    <w:rsid w:val="00572EF8"/>
    <w:rsid w:val="00572F16"/>
    <w:rsid w:val="00572F3A"/>
    <w:rsid w:val="00572FAB"/>
    <w:rsid w:val="00572FAC"/>
    <w:rsid w:val="00572FD1"/>
    <w:rsid w:val="0057304D"/>
    <w:rsid w:val="0057305A"/>
    <w:rsid w:val="00573068"/>
    <w:rsid w:val="005730BA"/>
    <w:rsid w:val="00573111"/>
    <w:rsid w:val="0057313E"/>
    <w:rsid w:val="00573157"/>
    <w:rsid w:val="005731CE"/>
    <w:rsid w:val="0057322A"/>
    <w:rsid w:val="00573243"/>
    <w:rsid w:val="0057328E"/>
    <w:rsid w:val="005732AB"/>
    <w:rsid w:val="005732B2"/>
    <w:rsid w:val="005732C5"/>
    <w:rsid w:val="00573302"/>
    <w:rsid w:val="005733A0"/>
    <w:rsid w:val="005733F0"/>
    <w:rsid w:val="00573404"/>
    <w:rsid w:val="00573413"/>
    <w:rsid w:val="0057343D"/>
    <w:rsid w:val="00573469"/>
    <w:rsid w:val="0057353B"/>
    <w:rsid w:val="005735E1"/>
    <w:rsid w:val="00573601"/>
    <w:rsid w:val="0057361E"/>
    <w:rsid w:val="00573650"/>
    <w:rsid w:val="00573673"/>
    <w:rsid w:val="00573695"/>
    <w:rsid w:val="005736A9"/>
    <w:rsid w:val="005736C6"/>
    <w:rsid w:val="0057374E"/>
    <w:rsid w:val="0057376D"/>
    <w:rsid w:val="005737A2"/>
    <w:rsid w:val="005737BA"/>
    <w:rsid w:val="00573800"/>
    <w:rsid w:val="0057380C"/>
    <w:rsid w:val="00573875"/>
    <w:rsid w:val="00573878"/>
    <w:rsid w:val="0057388B"/>
    <w:rsid w:val="005738CE"/>
    <w:rsid w:val="0057390A"/>
    <w:rsid w:val="0057392A"/>
    <w:rsid w:val="00573974"/>
    <w:rsid w:val="005739BC"/>
    <w:rsid w:val="005739D6"/>
    <w:rsid w:val="00573A93"/>
    <w:rsid w:val="00573AC8"/>
    <w:rsid w:val="00573AF6"/>
    <w:rsid w:val="00573B2F"/>
    <w:rsid w:val="00573BAB"/>
    <w:rsid w:val="00573C0C"/>
    <w:rsid w:val="00573C23"/>
    <w:rsid w:val="00573C3E"/>
    <w:rsid w:val="00573C7B"/>
    <w:rsid w:val="00573D69"/>
    <w:rsid w:val="00573D99"/>
    <w:rsid w:val="00573DBE"/>
    <w:rsid w:val="00573EF1"/>
    <w:rsid w:val="00573F9E"/>
    <w:rsid w:val="0057404E"/>
    <w:rsid w:val="0057405F"/>
    <w:rsid w:val="0057412B"/>
    <w:rsid w:val="00574142"/>
    <w:rsid w:val="00574159"/>
    <w:rsid w:val="0057415B"/>
    <w:rsid w:val="005741A5"/>
    <w:rsid w:val="005741EE"/>
    <w:rsid w:val="00574305"/>
    <w:rsid w:val="0057430B"/>
    <w:rsid w:val="00574387"/>
    <w:rsid w:val="0057438E"/>
    <w:rsid w:val="005743AB"/>
    <w:rsid w:val="005743ED"/>
    <w:rsid w:val="005743F2"/>
    <w:rsid w:val="00574402"/>
    <w:rsid w:val="00574405"/>
    <w:rsid w:val="00574409"/>
    <w:rsid w:val="00574517"/>
    <w:rsid w:val="0057456C"/>
    <w:rsid w:val="00574594"/>
    <w:rsid w:val="0057463A"/>
    <w:rsid w:val="0057466B"/>
    <w:rsid w:val="00574689"/>
    <w:rsid w:val="005746D8"/>
    <w:rsid w:val="005746DD"/>
    <w:rsid w:val="005746EA"/>
    <w:rsid w:val="00574745"/>
    <w:rsid w:val="00574747"/>
    <w:rsid w:val="005747A6"/>
    <w:rsid w:val="00574813"/>
    <w:rsid w:val="005748A9"/>
    <w:rsid w:val="005748DD"/>
    <w:rsid w:val="00574958"/>
    <w:rsid w:val="0057497E"/>
    <w:rsid w:val="005749AB"/>
    <w:rsid w:val="005749BA"/>
    <w:rsid w:val="005749E3"/>
    <w:rsid w:val="00574A34"/>
    <w:rsid w:val="00574A40"/>
    <w:rsid w:val="00574A47"/>
    <w:rsid w:val="00574A5B"/>
    <w:rsid w:val="00574AD1"/>
    <w:rsid w:val="00574B0E"/>
    <w:rsid w:val="00574B9E"/>
    <w:rsid w:val="00574BAF"/>
    <w:rsid w:val="00574C0D"/>
    <w:rsid w:val="00574C6B"/>
    <w:rsid w:val="00574C84"/>
    <w:rsid w:val="00574C94"/>
    <w:rsid w:val="00574C9A"/>
    <w:rsid w:val="00574CBE"/>
    <w:rsid w:val="00574CC5"/>
    <w:rsid w:val="00574CEC"/>
    <w:rsid w:val="00574CED"/>
    <w:rsid w:val="00574D3A"/>
    <w:rsid w:val="00574D8F"/>
    <w:rsid w:val="00574DA4"/>
    <w:rsid w:val="00574DA9"/>
    <w:rsid w:val="00574DE5"/>
    <w:rsid w:val="00574E37"/>
    <w:rsid w:val="00574EBD"/>
    <w:rsid w:val="00574EC7"/>
    <w:rsid w:val="00574EE9"/>
    <w:rsid w:val="00574EF1"/>
    <w:rsid w:val="00574FD7"/>
    <w:rsid w:val="00574FE0"/>
    <w:rsid w:val="0057501F"/>
    <w:rsid w:val="0057503B"/>
    <w:rsid w:val="0057503C"/>
    <w:rsid w:val="00575071"/>
    <w:rsid w:val="00575072"/>
    <w:rsid w:val="005750B9"/>
    <w:rsid w:val="005750D8"/>
    <w:rsid w:val="0057514F"/>
    <w:rsid w:val="005751FD"/>
    <w:rsid w:val="00575203"/>
    <w:rsid w:val="00575206"/>
    <w:rsid w:val="0057520A"/>
    <w:rsid w:val="0057525B"/>
    <w:rsid w:val="0057526F"/>
    <w:rsid w:val="0057527B"/>
    <w:rsid w:val="005752F4"/>
    <w:rsid w:val="00575302"/>
    <w:rsid w:val="00575315"/>
    <w:rsid w:val="00575357"/>
    <w:rsid w:val="00575419"/>
    <w:rsid w:val="0057544D"/>
    <w:rsid w:val="0057546C"/>
    <w:rsid w:val="0057547A"/>
    <w:rsid w:val="005754B1"/>
    <w:rsid w:val="005755CC"/>
    <w:rsid w:val="005755E5"/>
    <w:rsid w:val="00575632"/>
    <w:rsid w:val="005756F2"/>
    <w:rsid w:val="005756F9"/>
    <w:rsid w:val="00575719"/>
    <w:rsid w:val="0057576D"/>
    <w:rsid w:val="005757AB"/>
    <w:rsid w:val="00575800"/>
    <w:rsid w:val="00575817"/>
    <w:rsid w:val="0057583E"/>
    <w:rsid w:val="00575845"/>
    <w:rsid w:val="00575868"/>
    <w:rsid w:val="00575870"/>
    <w:rsid w:val="0057587D"/>
    <w:rsid w:val="005758C5"/>
    <w:rsid w:val="00575909"/>
    <w:rsid w:val="0057591E"/>
    <w:rsid w:val="00575924"/>
    <w:rsid w:val="00575929"/>
    <w:rsid w:val="0057598F"/>
    <w:rsid w:val="00575994"/>
    <w:rsid w:val="0057599B"/>
    <w:rsid w:val="00575A19"/>
    <w:rsid w:val="00575B99"/>
    <w:rsid w:val="00575C1A"/>
    <w:rsid w:val="00575C2E"/>
    <w:rsid w:val="00575C8E"/>
    <w:rsid w:val="00575CAC"/>
    <w:rsid w:val="00575CBE"/>
    <w:rsid w:val="00575CEF"/>
    <w:rsid w:val="00575D0C"/>
    <w:rsid w:val="00575D85"/>
    <w:rsid w:val="00575D8E"/>
    <w:rsid w:val="00575DAB"/>
    <w:rsid w:val="00575DAC"/>
    <w:rsid w:val="00575DB7"/>
    <w:rsid w:val="00575DEF"/>
    <w:rsid w:val="00575E73"/>
    <w:rsid w:val="00575EC2"/>
    <w:rsid w:val="00575ED9"/>
    <w:rsid w:val="00575EDF"/>
    <w:rsid w:val="00575F3D"/>
    <w:rsid w:val="00575F8A"/>
    <w:rsid w:val="00576006"/>
    <w:rsid w:val="005760B7"/>
    <w:rsid w:val="005760B9"/>
    <w:rsid w:val="005760E5"/>
    <w:rsid w:val="00576107"/>
    <w:rsid w:val="0057612C"/>
    <w:rsid w:val="00576135"/>
    <w:rsid w:val="00576159"/>
    <w:rsid w:val="00576164"/>
    <w:rsid w:val="005761D8"/>
    <w:rsid w:val="005761EF"/>
    <w:rsid w:val="0057620D"/>
    <w:rsid w:val="00576226"/>
    <w:rsid w:val="005762A9"/>
    <w:rsid w:val="005762BE"/>
    <w:rsid w:val="005762F8"/>
    <w:rsid w:val="0057633D"/>
    <w:rsid w:val="00576355"/>
    <w:rsid w:val="0057637A"/>
    <w:rsid w:val="0057637C"/>
    <w:rsid w:val="0057638D"/>
    <w:rsid w:val="00576394"/>
    <w:rsid w:val="005763DF"/>
    <w:rsid w:val="00576406"/>
    <w:rsid w:val="005764BB"/>
    <w:rsid w:val="005764E1"/>
    <w:rsid w:val="00576504"/>
    <w:rsid w:val="0057650D"/>
    <w:rsid w:val="00576516"/>
    <w:rsid w:val="0057655A"/>
    <w:rsid w:val="0057655F"/>
    <w:rsid w:val="00576591"/>
    <w:rsid w:val="005765C4"/>
    <w:rsid w:val="005765EE"/>
    <w:rsid w:val="00576627"/>
    <w:rsid w:val="0057669F"/>
    <w:rsid w:val="005766FA"/>
    <w:rsid w:val="00576751"/>
    <w:rsid w:val="0057675E"/>
    <w:rsid w:val="005767AA"/>
    <w:rsid w:val="00576826"/>
    <w:rsid w:val="00576833"/>
    <w:rsid w:val="005768C4"/>
    <w:rsid w:val="005768CB"/>
    <w:rsid w:val="0057697C"/>
    <w:rsid w:val="005769CA"/>
    <w:rsid w:val="005769F1"/>
    <w:rsid w:val="00576A00"/>
    <w:rsid w:val="00576A26"/>
    <w:rsid w:val="00576A3B"/>
    <w:rsid w:val="00576A43"/>
    <w:rsid w:val="00576A44"/>
    <w:rsid w:val="00576B7C"/>
    <w:rsid w:val="00576B80"/>
    <w:rsid w:val="00576BFB"/>
    <w:rsid w:val="00576C2C"/>
    <w:rsid w:val="00576C2E"/>
    <w:rsid w:val="00576CCB"/>
    <w:rsid w:val="00576D0E"/>
    <w:rsid w:val="00576D20"/>
    <w:rsid w:val="00576D30"/>
    <w:rsid w:val="00576D4F"/>
    <w:rsid w:val="00576D95"/>
    <w:rsid w:val="00576DA7"/>
    <w:rsid w:val="00576DF7"/>
    <w:rsid w:val="00576E02"/>
    <w:rsid w:val="00576E34"/>
    <w:rsid w:val="00576E90"/>
    <w:rsid w:val="00576E9E"/>
    <w:rsid w:val="00576EB9"/>
    <w:rsid w:val="00576EC8"/>
    <w:rsid w:val="00577054"/>
    <w:rsid w:val="005770D6"/>
    <w:rsid w:val="00577106"/>
    <w:rsid w:val="00577119"/>
    <w:rsid w:val="00577123"/>
    <w:rsid w:val="00577151"/>
    <w:rsid w:val="005771B2"/>
    <w:rsid w:val="005771C6"/>
    <w:rsid w:val="005771C9"/>
    <w:rsid w:val="005771CA"/>
    <w:rsid w:val="005771D7"/>
    <w:rsid w:val="005771F5"/>
    <w:rsid w:val="005771F7"/>
    <w:rsid w:val="00577231"/>
    <w:rsid w:val="005772CC"/>
    <w:rsid w:val="00577311"/>
    <w:rsid w:val="00577320"/>
    <w:rsid w:val="0057732C"/>
    <w:rsid w:val="00577336"/>
    <w:rsid w:val="00577344"/>
    <w:rsid w:val="005773B9"/>
    <w:rsid w:val="005773DE"/>
    <w:rsid w:val="00577416"/>
    <w:rsid w:val="00577422"/>
    <w:rsid w:val="00577462"/>
    <w:rsid w:val="00577544"/>
    <w:rsid w:val="005775A7"/>
    <w:rsid w:val="005775C9"/>
    <w:rsid w:val="005775DD"/>
    <w:rsid w:val="005775FF"/>
    <w:rsid w:val="00577648"/>
    <w:rsid w:val="0057764F"/>
    <w:rsid w:val="00577664"/>
    <w:rsid w:val="00577666"/>
    <w:rsid w:val="00577715"/>
    <w:rsid w:val="005777B8"/>
    <w:rsid w:val="005777F7"/>
    <w:rsid w:val="00577836"/>
    <w:rsid w:val="0057785C"/>
    <w:rsid w:val="0057788B"/>
    <w:rsid w:val="005778EC"/>
    <w:rsid w:val="00577900"/>
    <w:rsid w:val="0057799E"/>
    <w:rsid w:val="005779F4"/>
    <w:rsid w:val="00577A1E"/>
    <w:rsid w:val="00577B06"/>
    <w:rsid w:val="00577B85"/>
    <w:rsid w:val="00577BB8"/>
    <w:rsid w:val="00577BE5"/>
    <w:rsid w:val="00577C14"/>
    <w:rsid w:val="00577CA9"/>
    <w:rsid w:val="00577CBF"/>
    <w:rsid w:val="00577CC3"/>
    <w:rsid w:val="00577D41"/>
    <w:rsid w:val="00577D6A"/>
    <w:rsid w:val="00577DA9"/>
    <w:rsid w:val="00577DBD"/>
    <w:rsid w:val="00577DC4"/>
    <w:rsid w:val="00577DD6"/>
    <w:rsid w:val="00577DEF"/>
    <w:rsid w:val="00577DFE"/>
    <w:rsid w:val="00577F95"/>
    <w:rsid w:val="00577FAF"/>
    <w:rsid w:val="00580047"/>
    <w:rsid w:val="00580049"/>
    <w:rsid w:val="005800BB"/>
    <w:rsid w:val="005800F9"/>
    <w:rsid w:val="0058010C"/>
    <w:rsid w:val="005802A4"/>
    <w:rsid w:val="00580340"/>
    <w:rsid w:val="0058035F"/>
    <w:rsid w:val="00580419"/>
    <w:rsid w:val="0058045D"/>
    <w:rsid w:val="00580480"/>
    <w:rsid w:val="00580533"/>
    <w:rsid w:val="00580561"/>
    <w:rsid w:val="00580573"/>
    <w:rsid w:val="005805CC"/>
    <w:rsid w:val="005805DB"/>
    <w:rsid w:val="0058063E"/>
    <w:rsid w:val="00580648"/>
    <w:rsid w:val="005806DD"/>
    <w:rsid w:val="00580732"/>
    <w:rsid w:val="0058073A"/>
    <w:rsid w:val="005807DC"/>
    <w:rsid w:val="0058082E"/>
    <w:rsid w:val="00580856"/>
    <w:rsid w:val="005808B6"/>
    <w:rsid w:val="005808D0"/>
    <w:rsid w:val="005808EA"/>
    <w:rsid w:val="0058090D"/>
    <w:rsid w:val="00580932"/>
    <w:rsid w:val="0058096F"/>
    <w:rsid w:val="00580A5C"/>
    <w:rsid w:val="00580A5D"/>
    <w:rsid w:val="00580B0C"/>
    <w:rsid w:val="00580B1C"/>
    <w:rsid w:val="00580B1D"/>
    <w:rsid w:val="00580B2B"/>
    <w:rsid w:val="00580B65"/>
    <w:rsid w:val="00580B77"/>
    <w:rsid w:val="00580BFE"/>
    <w:rsid w:val="00580C0D"/>
    <w:rsid w:val="00580C0F"/>
    <w:rsid w:val="00580C71"/>
    <w:rsid w:val="00580CB9"/>
    <w:rsid w:val="00580CD7"/>
    <w:rsid w:val="00580D28"/>
    <w:rsid w:val="00580D6F"/>
    <w:rsid w:val="00580E5C"/>
    <w:rsid w:val="00580ED1"/>
    <w:rsid w:val="00580F18"/>
    <w:rsid w:val="00580F20"/>
    <w:rsid w:val="00580F42"/>
    <w:rsid w:val="00580F69"/>
    <w:rsid w:val="00580FAB"/>
    <w:rsid w:val="0058100C"/>
    <w:rsid w:val="0058106F"/>
    <w:rsid w:val="00581093"/>
    <w:rsid w:val="00581131"/>
    <w:rsid w:val="0058117E"/>
    <w:rsid w:val="005811A2"/>
    <w:rsid w:val="005811A3"/>
    <w:rsid w:val="005811BB"/>
    <w:rsid w:val="005811F5"/>
    <w:rsid w:val="005811FF"/>
    <w:rsid w:val="00581261"/>
    <w:rsid w:val="00581281"/>
    <w:rsid w:val="0058135C"/>
    <w:rsid w:val="00581370"/>
    <w:rsid w:val="00581388"/>
    <w:rsid w:val="005813A1"/>
    <w:rsid w:val="005813B1"/>
    <w:rsid w:val="0058141C"/>
    <w:rsid w:val="0058144F"/>
    <w:rsid w:val="0058148B"/>
    <w:rsid w:val="005814DF"/>
    <w:rsid w:val="005814E0"/>
    <w:rsid w:val="005814FB"/>
    <w:rsid w:val="00581518"/>
    <w:rsid w:val="00581519"/>
    <w:rsid w:val="00581524"/>
    <w:rsid w:val="00581569"/>
    <w:rsid w:val="00581598"/>
    <w:rsid w:val="005815EC"/>
    <w:rsid w:val="0058163B"/>
    <w:rsid w:val="00581674"/>
    <w:rsid w:val="00581690"/>
    <w:rsid w:val="005816A3"/>
    <w:rsid w:val="005816E5"/>
    <w:rsid w:val="005816FD"/>
    <w:rsid w:val="00581715"/>
    <w:rsid w:val="00581754"/>
    <w:rsid w:val="00581777"/>
    <w:rsid w:val="00581786"/>
    <w:rsid w:val="00581854"/>
    <w:rsid w:val="0058187C"/>
    <w:rsid w:val="005818F8"/>
    <w:rsid w:val="00581935"/>
    <w:rsid w:val="005819D9"/>
    <w:rsid w:val="00581A16"/>
    <w:rsid w:val="00581A54"/>
    <w:rsid w:val="00581A69"/>
    <w:rsid w:val="00581A94"/>
    <w:rsid w:val="00581A9E"/>
    <w:rsid w:val="00581B2D"/>
    <w:rsid w:val="00581B79"/>
    <w:rsid w:val="00581C22"/>
    <w:rsid w:val="00581C34"/>
    <w:rsid w:val="00581C3D"/>
    <w:rsid w:val="00581C46"/>
    <w:rsid w:val="00581C6F"/>
    <w:rsid w:val="00581C8E"/>
    <w:rsid w:val="00581D0D"/>
    <w:rsid w:val="00581D10"/>
    <w:rsid w:val="00581DAE"/>
    <w:rsid w:val="00581DB6"/>
    <w:rsid w:val="00581DB7"/>
    <w:rsid w:val="00581DCC"/>
    <w:rsid w:val="00581DDC"/>
    <w:rsid w:val="00581DF2"/>
    <w:rsid w:val="00581E24"/>
    <w:rsid w:val="00581E33"/>
    <w:rsid w:val="00581E70"/>
    <w:rsid w:val="00581E82"/>
    <w:rsid w:val="00581F85"/>
    <w:rsid w:val="00581F86"/>
    <w:rsid w:val="00581FB6"/>
    <w:rsid w:val="0058206A"/>
    <w:rsid w:val="005820CA"/>
    <w:rsid w:val="005820EE"/>
    <w:rsid w:val="005820F1"/>
    <w:rsid w:val="005820FB"/>
    <w:rsid w:val="005821D0"/>
    <w:rsid w:val="005821FE"/>
    <w:rsid w:val="00582255"/>
    <w:rsid w:val="0058229A"/>
    <w:rsid w:val="00582329"/>
    <w:rsid w:val="0058233B"/>
    <w:rsid w:val="00582366"/>
    <w:rsid w:val="005823A4"/>
    <w:rsid w:val="005823AD"/>
    <w:rsid w:val="005823AF"/>
    <w:rsid w:val="005823ED"/>
    <w:rsid w:val="005823FA"/>
    <w:rsid w:val="00582404"/>
    <w:rsid w:val="0058241B"/>
    <w:rsid w:val="00582466"/>
    <w:rsid w:val="0058248D"/>
    <w:rsid w:val="005824AC"/>
    <w:rsid w:val="005824D6"/>
    <w:rsid w:val="005824E8"/>
    <w:rsid w:val="005825CE"/>
    <w:rsid w:val="005825D7"/>
    <w:rsid w:val="00582615"/>
    <w:rsid w:val="0058265C"/>
    <w:rsid w:val="00582678"/>
    <w:rsid w:val="005826AC"/>
    <w:rsid w:val="005826D9"/>
    <w:rsid w:val="005826F5"/>
    <w:rsid w:val="005826FC"/>
    <w:rsid w:val="0058272C"/>
    <w:rsid w:val="0058274D"/>
    <w:rsid w:val="00582763"/>
    <w:rsid w:val="00582770"/>
    <w:rsid w:val="005827AE"/>
    <w:rsid w:val="005827BC"/>
    <w:rsid w:val="005827EB"/>
    <w:rsid w:val="0058284C"/>
    <w:rsid w:val="00582871"/>
    <w:rsid w:val="0058288C"/>
    <w:rsid w:val="005828A2"/>
    <w:rsid w:val="005828A7"/>
    <w:rsid w:val="005828B3"/>
    <w:rsid w:val="005828D5"/>
    <w:rsid w:val="005829EB"/>
    <w:rsid w:val="00582A46"/>
    <w:rsid w:val="00582A72"/>
    <w:rsid w:val="00582A91"/>
    <w:rsid w:val="00582ACE"/>
    <w:rsid w:val="00582AD3"/>
    <w:rsid w:val="00582B2A"/>
    <w:rsid w:val="00582BDD"/>
    <w:rsid w:val="00582C02"/>
    <w:rsid w:val="00582C0F"/>
    <w:rsid w:val="00582C55"/>
    <w:rsid w:val="00582CB2"/>
    <w:rsid w:val="00582D0D"/>
    <w:rsid w:val="00582D16"/>
    <w:rsid w:val="00582D5C"/>
    <w:rsid w:val="00582D67"/>
    <w:rsid w:val="00582D95"/>
    <w:rsid w:val="00582D98"/>
    <w:rsid w:val="00582E3A"/>
    <w:rsid w:val="00582E43"/>
    <w:rsid w:val="00582E62"/>
    <w:rsid w:val="00582E8C"/>
    <w:rsid w:val="00582EBF"/>
    <w:rsid w:val="00582ED6"/>
    <w:rsid w:val="00582F0B"/>
    <w:rsid w:val="00582F34"/>
    <w:rsid w:val="00582F38"/>
    <w:rsid w:val="00582F48"/>
    <w:rsid w:val="00582F4B"/>
    <w:rsid w:val="00582FC6"/>
    <w:rsid w:val="00582FE0"/>
    <w:rsid w:val="00582FE4"/>
    <w:rsid w:val="00582FE7"/>
    <w:rsid w:val="0058300D"/>
    <w:rsid w:val="00583040"/>
    <w:rsid w:val="00583079"/>
    <w:rsid w:val="00583083"/>
    <w:rsid w:val="00583087"/>
    <w:rsid w:val="005830F7"/>
    <w:rsid w:val="005830FD"/>
    <w:rsid w:val="00583105"/>
    <w:rsid w:val="005831DA"/>
    <w:rsid w:val="00583216"/>
    <w:rsid w:val="00583271"/>
    <w:rsid w:val="00583291"/>
    <w:rsid w:val="005832B2"/>
    <w:rsid w:val="005832F9"/>
    <w:rsid w:val="0058330D"/>
    <w:rsid w:val="0058332A"/>
    <w:rsid w:val="00583371"/>
    <w:rsid w:val="00583380"/>
    <w:rsid w:val="005833B7"/>
    <w:rsid w:val="00583450"/>
    <w:rsid w:val="00583483"/>
    <w:rsid w:val="005834C4"/>
    <w:rsid w:val="005834DF"/>
    <w:rsid w:val="00583534"/>
    <w:rsid w:val="00583574"/>
    <w:rsid w:val="005835B0"/>
    <w:rsid w:val="005835F5"/>
    <w:rsid w:val="0058360A"/>
    <w:rsid w:val="00583621"/>
    <w:rsid w:val="00583658"/>
    <w:rsid w:val="005836A0"/>
    <w:rsid w:val="005836BD"/>
    <w:rsid w:val="005836CF"/>
    <w:rsid w:val="005836F0"/>
    <w:rsid w:val="005837B9"/>
    <w:rsid w:val="005837F6"/>
    <w:rsid w:val="005837FF"/>
    <w:rsid w:val="00583844"/>
    <w:rsid w:val="00583845"/>
    <w:rsid w:val="0058388F"/>
    <w:rsid w:val="005838BE"/>
    <w:rsid w:val="005838EC"/>
    <w:rsid w:val="005838FC"/>
    <w:rsid w:val="00583988"/>
    <w:rsid w:val="0058399E"/>
    <w:rsid w:val="00583A12"/>
    <w:rsid w:val="00583A64"/>
    <w:rsid w:val="00583B1E"/>
    <w:rsid w:val="00583BD6"/>
    <w:rsid w:val="00583CDE"/>
    <w:rsid w:val="00583D2D"/>
    <w:rsid w:val="00583D7E"/>
    <w:rsid w:val="00583EA8"/>
    <w:rsid w:val="00583EC5"/>
    <w:rsid w:val="00583EF0"/>
    <w:rsid w:val="00583FCF"/>
    <w:rsid w:val="00584009"/>
    <w:rsid w:val="0058405E"/>
    <w:rsid w:val="005840AB"/>
    <w:rsid w:val="005840CA"/>
    <w:rsid w:val="005840EA"/>
    <w:rsid w:val="00584101"/>
    <w:rsid w:val="0058414C"/>
    <w:rsid w:val="00584199"/>
    <w:rsid w:val="005841E2"/>
    <w:rsid w:val="00584203"/>
    <w:rsid w:val="00584231"/>
    <w:rsid w:val="0058424F"/>
    <w:rsid w:val="00584295"/>
    <w:rsid w:val="005842A6"/>
    <w:rsid w:val="005842E0"/>
    <w:rsid w:val="00584339"/>
    <w:rsid w:val="0058438B"/>
    <w:rsid w:val="00584394"/>
    <w:rsid w:val="005843AB"/>
    <w:rsid w:val="005843FB"/>
    <w:rsid w:val="00584419"/>
    <w:rsid w:val="00584440"/>
    <w:rsid w:val="0058454B"/>
    <w:rsid w:val="00584584"/>
    <w:rsid w:val="00584671"/>
    <w:rsid w:val="0058470F"/>
    <w:rsid w:val="005847C5"/>
    <w:rsid w:val="005847EA"/>
    <w:rsid w:val="005848A5"/>
    <w:rsid w:val="005848EA"/>
    <w:rsid w:val="00584962"/>
    <w:rsid w:val="00584996"/>
    <w:rsid w:val="00584A27"/>
    <w:rsid w:val="00584AA5"/>
    <w:rsid w:val="00584AB0"/>
    <w:rsid w:val="00584AF2"/>
    <w:rsid w:val="00584AF8"/>
    <w:rsid w:val="00584B03"/>
    <w:rsid w:val="00584B17"/>
    <w:rsid w:val="00584BB9"/>
    <w:rsid w:val="00584C21"/>
    <w:rsid w:val="00584C25"/>
    <w:rsid w:val="00584CD9"/>
    <w:rsid w:val="00584CDE"/>
    <w:rsid w:val="00584CF7"/>
    <w:rsid w:val="00584D2E"/>
    <w:rsid w:val="00584D5F"/>
    <w:rsid w:val="00584D62"/>
    <w:rsid w:val="00584DE8"/>
    <w:rsid w:val="00584DF3"/>
    <w:rsid w:val="00584E71"/>
    <w:rsid w:val="00584EED"/>
    <w:rsid w:val="00584EF2"/>
    <w:rsid w:val="00584F30"/>
    <w:rsid w:val="00585005"/>
    <w:rsid w:val="00585068"/>
    <w:rsid w:val="0058509F"/>
    <w:rsid w:val="005850AF"/>
    <w:rsid w:val="00585117"/>
    <w:rsid w:val="00585162"/>
    <w:rsid w:val="005851DC"/>
    <w:rsid w:val="005851E9"/>
    <w:rsid w:val="00585235"/>
    <w:rsid w:val="005852CE"/>
    <w:rsid w:val="005852DF"/>
    <w:rsid w:val="00585305"/>
    <w:rsid w:val="0058530D"/>
    <w:rsid w:val="00585313"/>
    <w:rsid w:val="00585344"/>
    <w:rsid w:val="0058544C"/>
    <w:rsid w:val="00585458"/>
    <w:rsid w:val="00585534"/>
    <w:rsid w:val="00585561"/>
    <w:rsid w:val="00585574"/>
    <w:rsid w:val="005855C7"/>
    <w:rsid w:val="005855ED"/>
    <w:rsid w:val="00585686"/>
    <w:rsid w:val="0058568F"/>
    <w:rsid w:val="0058569F"/>
    <w:rsid w:val="005856A8"/>
    <w:rsid w:val="005856D4"/>
    <w:rsid w:val="005856F4"/>
    <w:rsid w:val="00585749"/>
    <w:rsid w:val="00585786"/>
    <w:rsid w:val="005857BF"/>
    <w:rsid w:val="005857C6"/>
    <w:rsid w:val="0058580C"/>
    <w:rsid w:val="005858DB"/>
    <w:rsid w:val="005858ED"/>
    <w:rsid w:val="0058590B"/>
    <w:rsid w:val="005859B4"/>
    <w:rsid w:val="005859F6"/>
    <w:rsid w:val="00585A5E"/>
    <w:rsid w:val="00585A73"/>
    <w:rsid w:val="00585A8D"/>
    <w:rsid w:val="00585A97"/>
    <w:rsid w:val="00585AB5"/>
    <w:rsid w:val="00585AEC"/>
    <w:rsid w:val="00585B19"/>
    <w:rsid w:val="00585B59"/>
    <w:rsid w:val="00585BC2"/>
    <w:rsid w:val="00585C01"/>
    <w:rsid w:val="00585C31"/>
    <w:rsid w:val="00585D17"/>
    <w:rsid w:val="00585D76"/>
    <w:rsid w:val="00585DD3"/>
    <w:rsid w:val="00585DF4"/>
    <w:rsid w:val="00585E50"/>
    <w:rsid w:val="00585E6D"/>
    <w:rsid w:val="00585E88"/>
    <w:rsid w:val="00585E99"/>
    <w:rsid w:val="00585EA9"/>
    <w:rsid w:val="00585EBD"/>
    <w:rsid w:val="00585EE8"/>
    <w:rsid w:val="00585F8C"/>
    <w:rsid w:val="00585FB2"/>
    <w:rsid w:val="00586023"/>
    <w:rsid w:val="00586072"/>
    <w:rsid w:val="0058608B"/>
    <w:rsid w:val="005860D5"/>
    <w:rsid w:val="005860E8"/>
    <w:rsid w:val="0058614B"/>
    <w:rsid w:val="005861DA"/>
    <w:rsid w:val="005861DF"/>
    <w:rsid w:val="005861F4"/>
    <w:rsid w:val="00586227"/>
    <w:rsid w:val="00586237"/>
    <w:rsid w:val="00586260"/>
    <w:rsid w:val="00586291"/>
    <w:rsid w:val="005862AF"/>
    <w:rsid w:val="005862B5"/>
    <w:rsid w:val="005862B8"/>
    <w:rsid w:val="005862BA"/>
    <w:rsid w:val="0058630F"/>
    <w:rsid w:val="0058636D"/>
    <w:rsid w:val="00586438"/>
    <w:rsid w:val="00586455"/>
    <w:rsid w:val="0058645A"/>
    <w:rsid w:val="0058651E"/>
    <w:rsid w:val="00586610"/>
    <w:rsid w:val="00586635"/>
    <w:rsid w:val="00586650"/>
    <w:rsid w:val="005866AC"/>
    <w:rsid w:val="005866AD"/>
    <w:rsid w:val="005866C6"/>
    <w:rsid w:val="005866F8"/>
    <w:rsid w:val="005866FE"/>
    <w:rsid w:val="005867A0"/>
    <w:rsid w:val="00586805"/>
    <w:rsid w:val="00586828"/>
    <w:rsid w:val="0058683B"/>
    <w:rsid w:val="00586868"/>
    <w:rsid w:val="005868C9"/>
    <w:rsid w:val="00586901"/>
    <w:rsid w:val="00586924"/>
    <w:rsid w:val="00586992"/>
    <w:rsid w:val="005869B6"/>
    <w:rsid w:val="00586B1F"/>
    <w:rsid w:val="00586B2C"/>
    <w:rsid w:val="00586B2D"/>
    <w:rsid w:val="00586B4B"/>
    <w:rsid w:val="00586B52"/>
    <w:rsid w:val="00586B64"/>
    <w:rsid w:val="00586B96"/>
    <w:rsid w:val="00586BCE"/>
    <w:rsid w:val="00586BFB"/>
    <w:rsid w:val="00586C2B"/>
    <w:rsid w:val="00586C3F"/>
    <w:rsid w:val="00586C42"/>
    <w:rsid w:val="00586C47"/>
    <w:rsid w:val="00586C4C"/>
    <w:rsid w:val="00586C9C"/>
    <w:rsid w:val="00586CD4"/>
    <w:rsid w:val="00586D43"/>
    <w:rsid w:val="00586DBE"/>
    <w:rsid w:val="00586DEF"/>
    <w:rsid w:val="00586E03"/>
    <w:rsid w:val="00586E15"/>
    <w:rsid w:val="00586E88"/>
    <w:rsid w:val="00586EDD"/>
    <w:rsid w:val="00586EF5"/>
    <w:rsid w:val="00586EFD"/>
    <w:rsid w:val="00586FA6"/>
    <w:rsid w:val="00586FE5"/>
    <w:rsid w:val="00587013"/>
    <w:rsid w:val="00587020"/>
    <w:rsid w:val="0058707F"/>
    <w:rsid w:val="005870A4"/>
    <w:rsid w:val="005870AD"/>
    <w:rsid w:val="00587134"/>
    <w:rsid w:val="00587159"/>
    <w:rsid w:val="00587198"/>
    <w:rsid w:val="005871B3"/>
    <w:rsid w:val="005871C1"/>
    <w:rsid w:val="00587218"/>
    <w:rsid w:val="00587268"/>
    <w:rsid w:val="005872C2"/>
    <w:rsid w:val="005872EA"/>
    <w:rsid w:val="00587316"/>
    <w:rsid w:val="00587330"/>
    <w:rsid w:val="00587345"/>
    <w:rsid w:val="005873C4"/>
    <w:rsid w:val="005873E9"/>
    <w:rsid w:val="005873F1"/>
    <w:rsid w:val="005873F8"/>
    <w:rsid w:val="00587402"/>
    <w:rsid w:val="00587432"/>
    <w:rsid w:val="00587446"/>
    <w:rsid w:val="00587496"/>
    <w:rsid w:val="005874C0"/>
    <w:rsid w:val="00587531"/>
    <w:rsid w:val="0058754C"/>
    <w:rsid w:val="0058758B"/>
    <w:rsid w:val="0058760F"/>
    <w:rsid w:val="00587614"/>
    <w:rsid w:val="0058775A"/>
    <w:rsid w:val="005877AD"/>
    <w:rsid w:val="005877B1"/>
    <w:rsid w:val="00587806"/>
    <w:rsid w:val="00587807"/>
    <w:rsid w:val="00587810"/>
    <w:rsid w:val="0058781A"/>
    <w:rsid w:val="0058785F"/>
    <w:rsid w:val="0058788A"/>
    <w:rsid w:val="005878AA"/>
    <w:rsid w:val="005878BC"/>
    <w:rsid w:val="005878F5"/>
    <w:rsid w:val="005879BC"/>
    <w:rsid w:val="005879E2"/>
    <w:rsid w:val="00587B17"/>
    <w:rsid w:val="00587B21"/>
    <w:rsid w:val="00587BA1"/>
    <w:rsid w:val="00587C3E"/>
    <w:rsid w:val="00587C50"/>
    <w:rsid w:val="00587C86"/>
    <w:rsid w:val="00587CA4"/>
    <w:rsid w:val="00587D21"/>
    <w:rsid w:val="00587D5B"/>
    <w:rsid w:val="00587DC8"/>
    <w:rsid w:val="00587DE1"/>
    <w:rsid w:val="00587E0E"/>
    <w:rsid w:val="00587EB8"/>
    <w:rsid w:val="00587EE1"/>
    <w:rsid w:val="00587F03"/>
    <w:rsid w:val="00587F0B"/>
    <w:rsid w:val="00587F17"/>
    <w:rsid w:val="00587F5B"/>
    <w:rsid w:val="005900C3"/>
    <w:rsid w:val="005900C7"/>
    <w:rsid w:val="005900C8"/>
    <w:rsid w:val="005900DE"/>
    <w:rsid w:val="00590105"/>
    <w:rsid w:val="00590112"/>
    <w:rsid w:val="005901B9"/>
    <w:rsid w:val="005901CE"/>
    <w:rsid w:val="005901D0"/>
    <w:rsid w:val="0059021B"/>
    <w:rsid w:val="00590274"/>
    <w:rsid w:val="00590318"/>
    <w:rsid w:val="005903AC"/>
    <w:rsid w:val="005903F9"/>
    <w:rsid w:val="0059041D"/>
    <w:rsid w:val="00590459"/>
    <w:rsid w:val="00590483"/>
    <w:rsid w:val="0059049D"/>
    <w:rsid w:val="005904C4"/>
    <w:rsid w:val="00590597"/>
    <w:rsid w:val="00590599"/>
    <w:rsid w:val="005905A5"/>
    <w:rsid w:val="005905A6"/>
    <w:rsid w:val="005905AC"/>
    <w:rsid w:val="0059060C"/>
    <w:rsid w:val="0059065E"/>
    <w:rsid w:val="0059068A"/>
    <w:rsid w:val="0059070F"/>
    <w:rsid w:val="0059076D"/>
    <w:rsid w:val="005907BF"/>
    <w:rsid w:val="00590857"/>
    <w:rsid w:val="00590902"/>
    <w:rsid w:val="00590931"/>
    <w:rsid w:val="0059093F"/>
    <w:rsid w:val="00590942"/>
    <w:rsid w:val="005909C3"/>
    <w:rsid w:val="00590A61"/>
    <w:rsid w:val="00590A78"/>
    <w:rsid w:val="00590AF5"/>
    <w:rsid w:val="00590B2E"/>
    <w:rsid w:val="00590B2F"/>
    <w:rsid w:val="00590B6E"/>
    <w:rsid w:val="00590BAE"/>
    <w:rsid w:val="00590BAF"/>
    <w:rsid w:val="00590BEE"/>
    <w:rsid w:val="00590CE1"/>
    <w:rsid w:val="00590D36"/>
    <w:rsid w:val="00590D80"/>
    <w:rsid w:val="00590D94"/>
    <w:rsid w:val="00590D95"/>
    <w:rsid w:val="00590DEA"/>
    <w:rsid w:val="00590E48"/>
    <w:rsid w:val="00590F2A"/>
    <w:rsid w:val="00590F7A"/>
    <w:rsid w:val="00590F7C"/>
    <w:rsid w:val="0059100B"/>
    <w:rsid w:val="0059102D"/>
    <w:rsid w:val="00591040"/>
    <w:rsid w:val="00591078"/>
    <w:rsid w:val="005910A3"/>
    <w:rsid w:val="005910DF"/>
    <w:rsid w:val="00591101"/>
    <w:rsid w:val="00591117"/>
    <w:rsid w:val="00591118"/>
    <w:rsid w:val="005911B1"/>
    <w:rsid w:val="005911E5"/>
    <w:rsid w:val="005912A8"/>
    <w:rsid w:val="005912BB"/>
    <w:rsid w:val="005912E3"/>
    <w:rsid w:val="00591357"/>
    <w:rsid w:val="005913AA"/>
    <w:rsid w:val="00591440"/>
    <w:rsid w:val="00591454"/>
    <w:rsid w:val="005914F8"/>
    <w:rsid w:val="00591579"/>
    <w:rsid w:val="005915BC"/>
    <w:rsid w:val="00591671"/>
    <w:rsid w:val="00591701"/>
    <w:rsid w:val="00591706"/>
    <w:rsid w:val="0059172C"/>
    <w:rsid w:val="0059178D"/>
    <w:rsid w:val="00591791"/>
    <w:rsid w:val="005917F5"/>
    <w:rsid w:val="00591804"/>
    <w:rsid w:val="005918F0"/>
    <w:rsid w:val="0059197E"/>
    <w:rsid w:val="005919F3"/>
    <w:rsid w:val="00591A1C"/>
    <w:rsid w:val="00591AA5"/>
    <w:rsid w:val="00591AFF"/>
    <w:rsid w:val="00591B50"/>
    <w:rsid w:val="00591B64"/>
    <w:rsid w:val="00591B90"/>
    <w:rsid w:val="00591BD1"/>
    <w:rsid w:val="00591C42"/>
    <w:rsid w:val="00591C46"/>
    <w:rsid w:val="00591C4C"/>
    <w:rsid w:val="00591C8C"/>
    <w:rsid w:val="00591CC5"/>
    <w:rsid w:val="00591D33"/>
    <w:rsid w:val="00591D90"/>
    <w:rsid w:val="00591D92"/>
    <w:rsid w:val="00591DC4"/>
    <w:rsid w:val="00591DC6"/>
    <w:rsid w:val="00591DF7"/>
    <w:rsid w:val="00591E81"/>
    <w:rsid w:val="00591EB5"/>
    <w:rsid w:val="00591ECA"/>
    <w:rsid w:val="00591EDF"/>
    <w:rsid w:val="00591F64"/>
    <w:rsid w:val="00591F65"/>
    <w:rsid w:val="00591FB0"/>
    <w:rsid w:val="00591FB6"/>
    <w:rsid w:val="00592003"/>
    <w:rsid w:val="00592032"/>
    <w:rsid w:val="005920C8"/>
    <w:rsid w:val="005920FF"/>
    <w:rsid w:val="00592110"/>
    <w:rsid w:val="0059215C"/>
    <w:rsid w:val="0059217A"/>
    <w:rsid w:val="00592198"/>
    <w:rsid w:val="005921A9"/>
    <w:rsid w:val="005921AD"/>
    <w:rsid w:val="00592241"/>
    <w:rsid w:val="00592270"/>
    <w:rsid w:val="00592277"/>
    <w:rsid w:val="005922A8"/>
    <w:rsid w:val="005922D2"/>
    <w:rsid w:val="005922F5"/>
    <w:rsid w:val="005922F6"/>
    <w:rsid w:val="00592309"/>
    <w:rsid w:val="00592327"/>
    <w:rsid w:val="00592345"/>
    <w:rsid w:val="005923C5"/>
    <w:rsid w:val="00592431"/>
    <w:rsid w:val="00592443"/>
    <w:rsid w:val="0059245A"/>
    <w:rsid w:val="005924D6"/>
    <w:rsid w:val="005924EC"/>
    <w:rsid w:val="00592528"/>
    <w:rsid w:val="00592555"/>
    <w:rsid w:val="00592597"/>
    <w:rsid w:val="005925DB"/>
    <w:rsid w:val="005925E5"/>
    <w:rsid w:val="0059263D"/>
    <w:rsid w:val="00592677"/>
    <w:rsid w:val="00592748"/>
    <w:rsid w:val="00592749"/>
    <w:rsid w:val="00592777"/>
    <w:rsid w:val="005927E1"/>
    <w:rsid w:val="00592816"/>
    <w:rsid w:val="00592861"/>
    <w:rsid w:val="0059286E"/>
    <w:rsid w:val="00592895"/>
    <w:rsid w:val="0059289A"/>
    <w:rsid w:val="005928F0"/>
    <w:rsid w:val="005928F8"/>
    <w:rsid w:val="0059291C"/>
    <w:rsid w:val="00592954"/>
    <w:rsid w:val="005929C3"/>
    <w:rsid w:val="00592A95"/>
    <w:rsid w:val="00592B1E"/>
    <w:rsid w:val="00592B45"/>
    <w:rsid w:val="00592B79"/>
    <w:rsid w:val="00592C45"/>
    <w:rsid w:val="00592CE5"/>
    <w:rsid w:val="00592D66"/>
    <w:rsid w:val="00592D88"/>
    <w:rsid w:val="00592DBD"/>
    <w:rsid w:val="00592DC6"/>
    <w:rsid w:val="00592E01"/>
    <w:rsid w:val="00592E5F"/>
    <w:rsid w:val="00592E63"/>
    <w:rsid w:val="00592E73"/>
    <w:rsid w:val="00592ECA"/>
    <w:rsid w:val="00592F19"/>
    <w:rsid w:val="00592F35"/>
    <w:rsid w:val="00592F3D"/>
    <w:rsid w:val="00592F60"/>
    <w:rsid w:val="00592F84"/>
    <w:rsid w:val="00592F94"/>
    <w:rsid w:val="00593009"/>
    <w:rsid w:val="00593097"/>
    <w:rsid w:val="005930BF"/>
    <w:rsid w:val="00593134"/>
    <w:rsid w:val="005931DF"/>
    <w:rsid w:val="0059320F"/>
    <w:rsid w:val="00593227"/>
    <w:rsid w:val="00593282"/>
    <w:rsid w:val="00593372"/>
    <w:rsid w:val="0059337A"/>
    <w:rsid w:val="0059338E"/>
    <w:rsid w:val="005933CE"/>
    <w:rsid w:val="005933EB"/>
    <w:rsid w:val="00593414"/>
    <w:rsid w:val="0059343F"/>
    <w:rsid w:val="0059347B"/>
    <w:rsid w:val="00593488"/>
    <w:rsid w:val="005934EB"/>
    <w:rsid w:val="005934F1"/>
    <w:rsid w:val="005934FA"/>
    <w:rsid w:val="00593545"/>
    <w:rsid w:val="0059364B"/>
    <w:rsid w:val="00593677"/>
    <w:rsid w:val="005936B2"/>
    <w:rsid w:val="005936CF"/>
    <w:rsid w:val="005936F7"/>
    <w:rsid w:val="005936FA"/>
    <w:rsid w:val="005937AD"/>
    <w:rsid w:val="005937B7"/>
    <w:rsid w:val="005937CC"/>
    <w:rsid w:val="005937DF"/>
    <w:rsid w:val="00593812"/>
    <w:rsid w:val="00593836"/>
    <w:rsid w:val="005938E8"/>
    <w:rsid w:val="005938EA"/>
    <w:rsid w:val="005938EC"/>
    <w:rsid w:val="005939C2"/>
    <w:rsid w:val="005939D5"/>
    <w:rsid w:val="00593A0B"/>
    <w:rsid w:val="00593A15"/>
    <w:rsid w:val="00593B5C"/>
    <w:rsid w:val="00593B8A"/>
    <w:rsid w:val="00593BA1"/>
    <w:rsid w:val="00593BA6"/>
    <w:rsid w:val="00593BE4"/>
    <w:rsid w:val="00593C0C"/>
    <w:rsid w:val="00593C78"/>
    <w:rsid w:val="00593D7A"/>
    <w:rsid w:val="00593DDC"/>
    <w:rsid w:val="00593DE5"/>
    <w:rsid w:val="00593E2D"/>
    <w:rsid w:val="00593E73"/>
    <w:rsid w:val="00593E80"/>
    <w:rsid w:val="00593EB2"/>
    <w:rsid w:val="00593EF2"/>
    <w:rsid w:val="00593EF3"/>
    <w:rsid w:val="00594005"/>
    <w:rsid w:val="0059403C"/>
    <w:rsid w:val="0059404C"/>
    <w:rsid w:val="005940BC"/>
    <w:rsid w:val="005940D3"/>
    <w:rsid w:val="00594135"/>
    <w:rsid w:val="00594146"/>
    <w:rsid w:val="00594172"/>
    <w:rsid w:val="0059417F"/>
    <w:rsid w:val="00594182"/>
    <w:rsid w:val="00594191"/>
    <w:rsid w:val="005941CF"/>
    <w:rsid w:val="005941FB"/>
    <w:rsid w:val="00594201"/>
    <w:rsid w:val="00594253"/>
    <w:rsid w:val="005942C6"/>
    <w:rsid w:val="005942CD"/>
    <w:rsid w:val="005942E9"/>
    <w:rsid w:val="005942EC"/>
    <w:rsid w:val="0059432C"/>
    <w:rsid w:val="00594361"/>
    <w:rsid w:val="005943B3"/>
    <w:rsid w:val="00594464"/>
    <w:rsid w:val="00594519"/>
    <w:rsid w:val="00594539"/>
    <w:rsid w:val="0059456C"/>
    <w:rsid w:val="0059458F"/>
    <w:rsid w:val="005945C2"/>
    <w:rsid w:val="0059463E"/>
    <w:rsid w:val="00594673"/>
    <w:rsid w:val="005946A5"/>
    <w:rsid w:val="005946B5"/>
    <w:rsid w:val="005946C9"/>
    <w:rsid w:val="005946DA"/>
    <w:rsid w:val="005946DF"/>
    <w:rsid w:val="005947B7"/>
    <w:rsid w:val="00594897"/>
    <w:rsid w:val="005949A3"/>
    <w:rsid w:val="005949AD"/>
    <w:rsid w:val="005949C8"/>
    <w:rsid w:val="00594A52"/>
    <w:rsid w:val="00594AAB"/>
    <w:rsid w:val="00594AD8"/>
    <w:rsid w:val="00594AF8"/>
    <w:rsid w:val="00594BD1"/>
    <w:rsid w:val="00594C2E"/>
    <w:rsid w:val="00594CC5"/>
    <w:rsid w:val="00594DD4"/>
    <w:rsid w:val="00594E1B"/>
    <w:rsid w:val="00594E31"/>
    <w:rsid w:val="00594E3C"/>
    <w:rsid w:val="00594E80"/>
    <w:rsid w:val="00594E85"/>
    <w:rsid w:val="00594EB8"/>
    <w:rsid w:val="00594F07"/>
    <w:rsid w:val="00594F16"/>
    <w:rsid w:val="00594F8E"/>
    <w:rsid w:val="0059501F"/>
    <w:rsid w:val="00595060"/>
    <w:rsid w:val="005950F1"/>
    <w:rsid w:val="00595160"/>
    <w:rsid w:val="0059516C"/>
    <w:rsid w:val="005951B5"/>
    <w:rsid w:val="005951D5"/>
    <w:rsid w:val="005952B2"/>
    <w:rsid w:val="00595368"/>
    <w:rsid w:val="005953A3"/>
    <w:rsid w:val="005953E4"/>
    <w:rsid w:val="0059541D"/>
    <w:rsid w:val="00595438"/>
    <w:rsid w:val="0059545A"/>
    <w:rsid w:val="005954B1"/>
    <w:rsid w:val="005954BC"/>
    <w:rsid w:val="005954C3"/>
    <w:rsid w:val="005954ED"/>
    <w:rsid w:val="0059556C"/>
    <w:rsid w:val="005955D0"/>
    <w:rsid w:val="00595603"/>
    <w:rsid w:val="00595621"/>
    <w:rsid w:val="0059562C"/>
    <w:rsid w:val="00595642"/>
    <w:rsid w:val="00595674"/>
    <w:rsid w:val="005956F9"/>
    <w:rsid w:val="005956FC"/>
    <w:rsid w:val="005956FE"/>
    <w:rsid w:val="00595715"/>
    <w:rsid w:val="00595718"/>
    <w:rsid w:val="005957F2"/>
    <w:rsid w:val="005957F9"/>
    <w:rsid w:val="005957FB"/>
    <w:rsid w:val="00595804"/>
    <w:rsid w:val="00595877"/>
    <w:rsid w:val="00595887"/>
    <w:rsid w:val="00595896"/>
    <w:rsid w:val="00595898"/>
    <w:rsid w:val="005959B9"/>
    <w:rsid w:val="005959CF"/>
    <w:rsid w:val="005959EE"/>
    <w:rsid w:val="00595A6B"/>
    <w:rsid w:val="00595B52"/>
    <w:rsid w:val="00595B78"/>
    <w:rsid w:val="00595BBF"/>
    <w:rsid w:val="00595C11"/>
    <w:rsid w:val="00595C18"/>
    <w:rsid w:val="00595C21"/>
    <w:rsid w:val="00595C39"/>
    <w:rsid w:val="00595C41"/>
    <w:rsid w:val="00595C7B"/>
    <w:rsid w:val="00595C86"/>
    <w:rsid w:val="00595D24"/>
    <w:rsid w:val="00595D37"/>
    <w:rsid w:val="00595D44"/>
    <w:rsid w:val="00595D95"/>
    <w:rsid w:val="00595E5B"/>
    <w:rsid w:val="00595E6E"/>
    <w:rsid w:val="00595EA1"/>
    <w:rsid w:val="00595EB7"/>
    <w:rsid w:val="00595EEC"/>
    <w:rsid w:val="00595EF9"/>
    <w:rsid w:val="00595F03"/>
    <w:rsid w:val="00595F9B"/>
    <w:rsid w:val="00595FBB"/>
    <w:rsid w:val="00596095"/>
    <w:rsid w:val="005960AF"/>
    <w:rsid w:val="005960DB"/>
    <w:rsid w:val="005960E4"/>
    <w:rsid w:val="005960EB"/>
    <w:rsid w:val="005960EF"/>
    <w:rsid w:val="005960F4"/>
    <w:rsid w:val="00596117"/>
    <w:rsid w:val="005961AB"/>
    <w:rsid w:val="005961F1"/>
    <w:rsid w:val="00596213"/>
    <w:rsid w:val="0059622A"/>
    <w:rsid w:val="0059628C"/>
    <w:rsid w:val="005962A4"/>
    <w:rsid w:val="005962EC"/>
    <w:rsid w:val="00596356"/>
    <w:rsid w:val="005963DE"/>
    <w:rsid w:val="00596433"/>
    <w:rsid w:val="00596466"/>
    <w:rsid w:val="00596474"/>
    <w:rsid w:val="005964A2"/>
    <w:rsid w:val="005964B4"/>
    <w:rsid w:val="0059650D"/>
    <w:rsid w:val="0059652D"/>
    <w:rsid w:val="0059653D"/>
    <w:rsid w:val="005965CB"/>
    <w:rsid w:val="00596613"/>
    <w:rsid w:val="0059664C"/>
    <w:rsid w:val="005966E0"/>
    <w:rsid w:val="005966E2"/>
    <w:rsid w:val="005966F2"/>
    <w:rsid w:val="00596720"/>
    <w:rsid w:val="00596733"/>
    <w:rsid w:val="0059674A"/>
    <w:rsid w:val="0059675E"/>
    <w:rsid w:val="0059676D"/>
    <w:rsid w:val="00596789"/>
    <w:rsid w:val="005967F3"/>
    <w:rsid w:val="0059691B"/>
    <w:rsid w:val="005969E0"/>
    <w:rsid w:val="00596A2D"/>
    <w:rsid w:val="00596A5C"/>
    <w:rsid w:val="00596A90"/>
    <w:rsid w:val="00596AC4"/>
    <w:rsid w:val="00596B2B"/>
    <w:rsid w:val="00596B82"/>
    <w:rsid w:val="00596BE4"/>
    <w:rsid w:val="00596CC9"/>
    <w:rsid w:val="00596CE6"/>
    <w:rsid w:val="00596D09"/>
    <w:rsid w:val="00596D4B"/>
    <w:rsid w:val="00596D65"/>
    <w:rsid w:val="00596DB0"/>
    <w:rsid w:val="00596DFB"/>
    <w:rsid w:val="00596E0A"/>
    <w:rsid w:val="00596E49"/>
    <w:rsid w:val="00596EA2"/>
    <w:rsid w:val="00596EBB"/>
    <w:rsid w:val="00596ED7"/>
    <w:rsid w:val="00596EFB"/>
    <w:rsid w:val="00596F44"/>
    <w:rsid w:val="00596FC6"/>
    <w:rsid w:val="00596FEF"/>
    <w:rsid w:val="00596FF5"/>
    <w:rsid w:val="0059702B"/>
    <w:rsid w:val="00597035"/>
    <w:rsid w:val="005970DC"/>
    <w:rsid w:val="00597139"/>
    <w:rsid w:val="0059723B"/>
    <w:rsid w:val="00597260"/>
    <w:rsid w:val="0059732A"/>
    <w:rsid w:val="0059737A"/>
    <w:rsid w:val="00597392"/>
    <w:rsid w:val="0059739E"/>
    <w:rsid w:val="00597415"/>
    <w:rsid w:val="0059741C"/>
    <w:rsid w:val="00597437"/>
    <w:rsid w:val="005974AA"/>
    <w:rsid w:val="00597503"/>
    <w:rsid w:val="0059750B"/>
    <w:rsid w:val="0059754E"/>
    <w:rsid w:val="00597636"/>
    <w:rsid w:val="0059766E"/>
    <w:rsid w:val="0059767F"/>
    <w:rsid w:val="005976BB"/>
    <w:rsid w:val="005976E4"/>
    <w:rsid w:val="005976EF"/>
    <w:rsid w:val="00597732"/>
    <w:rsid w:val="005977D1"/>
    <w:rsid w:val="00597807"/>
    <w:rsid w:val="0059781D"/>
    <w:rsid w:val="00597837"/>
    <w:rsid w:val="00597867"/>
    <w:rsid w:val="00597918"/>
    <w:rsid w:val="0059792E"/>
    <w:rsid w:val="00597935"/>
    <w:rsid w:val="005979AF"/>
    <w:rsid w:val="005979B2"/>
    <w:rsid w:val="005979D9"/>
    <w:rsid w:val="00597A08"/>
    <w:rsid w:val="00597A76"/>
    <w:rsid w:val="00597A7B"/>
    <w:rsid w:val="00597A7C"/>
    <w:rsid w:val="00597A84"/>
    <w:rsid w:val="00597B1A"/>
    <w:rsid w:val="00597B35"/>
    <w:rsid w:val="00597B4F"/>
    <w:rsid w:val="00597BA8"/>
    <w:rsid w:val="00597BAF"/>
    <w:rsid w:val="00597BC8"/>
    <w:rsid w:val="00597C52"/>
    <w:rsid w:val="00597C86"/>
    <w:rsid w:val="00597C8B"/>
    <w:rsid w:val="00597CCC"/>
    <w:rsid w:val="00597CE2"/>
    <w:rsid w:val="00597CF0"/>
    <w:rsid w:val="00597D2F"/>
    <w:rsid w:val="00597D35"/>
    <w:rsid w:val="00597D3B"/>
    <w:rsid w:val="00597D51"/>
    <w:rsid w:val="00597DEF"/>
    <w:rsid w:val="00597E65"/>
    <w:rsid w:val="00597E93"/>
    <w:rsid w:val="00597E95"/>
    <w:rsid w:val="00597ECB"/>
    <w:rsid w:val="00597FDE"/>
    <w:rsid w:val="005A0030"/>
    <w:rsid w:val="005A0085"/>
    <w:rsid w:val="005A00D0"/>
    <w:rsid w:val="005A0127"/>
    <w:rsid w:val="005A0147"/>
    <w:rsid w:val="005A0160"/>
    <w:rsid w:val="005A0178"/>
    <w:rsid w:val="005A019D"/>
    <w:rsid w:val="005A01BD"/>
    <w:rsid w:val="005A01E5"/>
    <w:rsid w:val="005A01E8"/>
    <w:rsid w:val="005A01EC"/>
    <w:rsid w:val="005A022C"/>
    <w:rsid w:val="005A0364"/>
    <w:rsid w:val="005A0397"/>
    <w:rsid w:val="005A03B1"/>
    <w:rsid w:val="005A03DE"/>
    <w:rsid w:val="005A0401"/>
    <w:rsid w:val="005A0407"/>
    <w:rsid w:val="005A0433"/>
    <w:rsid w:val="005A047D"/>
    <w:rsid w:val="005A04D3"/>
    <w:rsid w:val="005A0515"/>
    <w:rsid w:val="005A0544"/>
    <w:rsid w:val="005A055C"/>
    <w:rsid w:val="005A0575"/>
    <w:rsid w:val="005A0647"/>
    <w:rsid w:val="005A0745"/>
    <w:rsid w:val="005A0764"/>
    <w:rsid w:val="005A078D"/>
    <w:rsid w:val="005A07E8"/>
    <w:rsid w:val="005A0802"/>
    <w:rsid w:val="005A08BB"/>
    <w:rsid w:val="005A08FC"/>
    <w:rsid w:val="005A0933"/>
    <w:rsid w:val="005A0939"/>
    <w:rsid w:val="005A0960"/>
    <w:rsid w:val="005A096A"/>
    <w:rsid w:val="005A099C"/>
    <w:rsid w:val="005A09B7"/>
    <w:rsid w:val="005A0A5F"/>
    <w:rsid w:val="005A0ACC"/>
    <w:rsid w:val="005A0AF6"/>
    <w:rsid w:val="005A0AFF"/>
    <w:rsid w:val="005A0B49"/>
    <w:rsid w:val="005A0B63"/>
    <w:rsid w:val="005A0BF1"/>
    <w:rsid w:val="005A0C74"/>
    <w:rsid w:val="005A0CCB"/>
    <w:rsid w:val="005A0D0D"/>
    <w:rsid w:val="005A0D32"/>
    <w:rsid w:val="005A0D34"/>
    <w:rsid w:val="005A0D35"/>
    <w:rsid w:val="005A0D51"/>
    <w:rsid w:val="005A0DA6"/>
    <w:rsid w:val="005A0DEA"/>
    <w:rsid w:val="005A0E01"/>
    <w:rsid w:val="005A0E05"/>
    <w:rsid w:val="005A0E63"/>
    <w:rsid w:val="005A0E69"/>
    <w:rsid w:val="005A0E6D"/>
    <w:rsid w:val="005A0E8E"/>
    <w:rsid w:val="005A0EC7"/>
    <w:rsid w:val="005A0EE5"/>
    <w:rsid w:val="005A10A8"/>
    <w:rsid w:val="005A1200"/>
    <w:rsid w:val="005A12CA"/>
    <w:rsid w:val="005A1341"/>
    <w:rsid w:val="005A1368"/>
    <w:rsid w:val="005A1402"/>
    <w:rsid w:val="005A1432"/>
    <w:rsid w:val="005A1439"/>
    <w:rsid w:val="005A14C1"/>
    <w:rsid w:val="005A14CC"/>
    <w:rsid w:val="005A1510"/>
    <w:rsid w:val="005A1590"/>
    <w:rsid w:val="005A15A5"/>
    <w:rsid w:val="005A15BC"/>
    <w:rsid w:val="005A15C4"/>
    <w:rsid w:val="005A15CA"/>
    <w:rsid w:val="005A15D4"/>
    <w:rsid w:val="005A160A"/>
    <w:rsid w:val="005A1649"/>
    <w:rsid w:val="005A164E"/>
    <w:rsid w:val="005A165A"/>
    <w:rsid w:val="005A16C6"/>
    <w:rsid w:val="005A16E3"/>
    <w:rsid w:val="005A1784"/>
    <w:rsid w:val="005A17B0"/>
    <w:rsid w:val="005A1820"/>
    <w:rsid w:val="005A1846"/>
    <w:rsid w:val="005A1896"/>
    <w:rsid w:val="005A18A7"/>
    <w:rsid w:val="005A193E"/>
    <w:rsid w:val="005A1956"/>
    <w:rsid w:val="005A1965"/>
    <w:rsid w:val="005A19CA"/>
    <w:rsid w:val="005A19DD"/>
    <w:rsid w:val="005A1A5F"/>
    <w:rsid w:val="005A1AA6"/>
    <w:rsid w:val="005A1AE1"/>
    <w:rsid w:val="005A1B0C"/>
    <w:rsid w:val="005A1B13"/>
    <w:rsid w:val="005A1B1A"/>
    <w:rsid w:val="005A1B51"/>
    <w:rsid w:val="005A1BEB"/>
    <w:rsid w:val="005A1C3E"/>
    <w:rsid w:val="005A1C65"/>
    <w:rsid w:val="005A1C6F"/>
    <w:rsid w:val="005A1CA2"/>
    <w:rsid w:val="005A1CB4"/>
    <w:rsid w:val="005A1CB7"/>
    <w:rsid w:val="005A1CC2"/>
    <w:rsid w:val="005A1CE4"/>
    <w:rsid w:val="005A1CEA"/>
    <w:rsid w:val="005A1D2C"/>
    <w:rsid w:val="005A1D60"/>
    <w:rsid w:val="005A1D90"/>
    <w:rsid w:val="005A1E17"/>
    <w:rsid w:val="005A1E39"/>
    <w:rsid w:val="005A1E4C"/>
    <w:rsid w:val="005A1EBD"/>
    <w:rsid w:val="005A1EDC"/>
    <w:rsid w:val="005A1EF2"/>
    <w:rsid w:val="005A1F53"/>
    <w:rsid w:val="005A1FAE"/>
    <w:rsid w:val="005A1FC5"/>
    <w:rsid w:val="005A1FD9"/>
    <w:rsid w:val="005A2001"/>
    <w:rsid w:val="005A2007"/>
    <w:rsid w:val="005A2060"/>
    <w:rsid w:val="005A206E"/>
    <w:rsid w:val="005A2086"/>
    <w:rsid w:val="005A20D3"/>
    <w:rsid w:val="005A20E6"/>
    <w:rsid w:val="005A2141"/>
    <w:rsid w:val="005A2179"/>
    <w:rsid w:val="005A2191"/>
    <w:rsid w:val="005A21C3"/>
    <w:rsid w:val="005A21DC"/>
    <w:rsid w:val="005A22A4"/>
    <w:rsid w:val="005A22BF"/>
    <w:rsid w:val="005A2355"/>
    <w:rsid w:val="005A2377"/>
    <w:rsid w:val="005A23C2"/>
    <w:rsid w:val="005A23E5"/>
    <w:rsid w:val="005A23FF"/>
    <w:rsid w:val="005A2419"/>
    <w:rsid w:val="005A2443"/>
    <w:rsid w:val="005A244F"/>
    <w:rsid w:val="005A2513"/>
    <w:rsid w:val="005A257A"/>
    <w:rsid w:val="005A260A"/>
    <w:rsid w:val="005A2656"/>
    <w:rsid w:val="005A2679"/>
    <w:rsid w:val="005A2682"/>
    <w:rsid w:val="005A26B8"/>
    <w:rsid w:val="005A26B9"/>
    <w:rsid w:val="005A26D7"/>
    <w:rsid w:val="005A2746"/>
    <w:rsid w:val="005A274D"/>
    <w:rsid w:val="005A2759"/>
    <w:rsid w:val="005A27A2"/>
    <w:rsid w:val="005A282C"/>
    <w:rsid w:val="005A284C"/>
    <w:rsid w:val="005A2867"/>
    <w:rsid w:val="005A28A8"/>
    <w:rsid w:val="005A28BD"/>
    <w:rsid w:val="005A28DC"/>
    <w:rsid w:val="005A28E9"/>
    <w:rsid w:val="005A292E"/>
    <w:rsid w:val="005A29B2"/>
    <w:rsid w:val="005A29DA"/>
    <w:rsid w:val="005A29E3"/>
    <w:rsid w:val="005A2A59"/>
    <w:rsid w:val="005A2A73"/>
    <w:rsid w:val="005A2A75"/>
    <w:rsid w:val="005A2A9F"/>
    <w:rsid w:val="005A2AB9"/>
    <w:rsid w:val="005A2ABA"/>
    <w:rsid w:val="005A2AD0"/>
    <w:rsid w:val="005A2AEE"/>
    <w:rsid w:val="005A2B51"/>
    <w:rsid w:val="005A2B58"/>
    <w:rsid w:val="005A2B92"/>
    <w:rsid w:val="005A2BED"/>
    <w:rsid w:val="005A2C02"/>
    <w:rsid w:val="005A2C1C"/>
    <w:rsid w:val="005A2C43"/>
    <w:rsid w:val="005A2C8F"/>
    <w:rsid w:val="005A2D0D"/>
    <w:rsid w:val="005A2D83"/>
    <w:rsid w:val="005A2D8D"/>
    <w:rsid w:val="005A2DAA"/>
    <w:rsid w:val="005A2E23"/>
    <w:rsid w:val="005A2F15"/>
    <w:rsid w:val="005A2F2C"/>
    <w:rsid w:val="005A2FB7"/>
    <w:rsid w:val="005A3036"/>
    <w:rsid w:val="005A308C"/>
    <w:rsid w:val="005A3098"/>
    <w:rsid w:val="005A30BD"/>
    <w:rsid w:val="005A30ED"/>
    <w:rsid w:val="005A31B4"/>
    <w:rsid w:val="005A31C4"/>
    <w:rsid w:val="005A31CB"/>
    <w:rsid w:val="005A31F0"/>
    <w:rsid w:val="005A3217"/>
    <w:rsid w:val="005A3255"/>
    <w:rsid w:val="005A3263"/>
    <w:rsid w:val="005A3291"/>
    <w:rsid w:val="005A32A9"/>
    <w:rsid w:val="005A32EA"/>
    <w:rsid w:val="005A3302"/>
    <w:rsid w:val="005A330B"/>
    <w:rsid w:val="005A332C"/>
    <w:rsid w:val="005A3338"/>
    <w:rsid w:val="005A3394"/>
    <w:rsid w:val="005A3398"/>
    <w:rsid w:val="005A33A4"/>
    <w:rsid w:val="005A33B2"/>
    <w:rsid w:val="005A33D1"/>
    <w:rsid w:val="005A33DA"/>
    <w:rsid w:val="005A342A"/>
    <w:rsid w:val="005A342B"/>
    <w:rsid w:val="005A34C4"/>
    <w:rsid w:val="005A3528"/>
    <w:rsid w:val="005A3563"/>
    <w:rsid w:val="005A35B4"/>
    <w:rsid w:val="005A368B"/>
    <w:rsid w:val="005A370C"/>
    <w:rsid w:val="005A3710"/>
    <w:rsid w:val="005A3729"/>
    <w:rsid w:val="005A3773"/>
    <w:rsid w:val="005A377F"/>
    <w:rsid w:val="005A3863"/>
    <w:rsid w:val="005A387A"/>
    <w:rsid w:val="005A3993"/>
    <w:rsid w:val="005A39AA"/>
    <w:rsid w:val="005A39B6"/>
    <w:rsid w:val="005A39D7"/>
    <w:rsid w:val="005A39E6"/>
    <w:rsid w:val="005A3A28"/>
    <w:rsid w:val="005A3A67"/>
    <w:rsid w:val="005A3AAC"/>
    <w:rsid w:val="005A3AD4"/>
    <w:rsid w:val="005A3AEB"/>
    <w:rsid w:val="005A3B79"/>
    <w:rsid w:val="005A3BA1"/>
    <w:rsid w:val="005A3BFC"/>
    <w:rsid w:val="005A3C06"/>
    <w:rsid w:val="005A3C22"/>
    <w:rsid w:val="005A3C77"/>
    <w:rsid w:val="005A3C9E"/>
    <w:rsid w:val="005A3CCA"/>
    <w:rsid w:val="005A3CE4"/>
    <w:rsid w:val="005A3CE5"/>
    <w:rsid w:val="005A3D07"/>
    <w:rsid w:val="005A3D09"/>
    <w:rsid w:val="005A3D11"/>
    <w:rsid w:val="005A3D2B"/>
    <w:rsid w:val="005A3D67"/>
    <w:rsid w:val="005A3D75"/>
    <w:rsid w:val="005A3D98"/>
    <w:rsid w:val="005A3D9A"/>
    <w:rsid w:val="005A3DBA"/>
    <w:rsid w:val="005A3E31"/>
    <w:rsid w:val="005A3E3B"/>
    <w:rsid w:val="005A3E44"/>
    <w:rsid w:val="005A3ECA"/>
    <w:rsid w:val="005A3EDC"/>
    <w:rsid w:val="005A403D"/>
    <w:rsid w:val="005A4054"/>
    <w:rsid w:val="005A405A"/>
    <w:rsid w:val="005A406C"/>
    <w:rsid w:val="005A4071"/>
    <w:rsid w:val="005A41A2"/>
    <w:rsid w:val="005A41CD"/>
    <w:rsid w:val="005A42CC"/>
    <w:rsid w:val="005A42D4"/>
    <w:rsid w:val="005A4303"/>
    <w:rsid w:val="005A4320"/>
    <w:rsid w:val="005A4371"/>
    <w:rsid w:val="005A4377"/>
    <w:rsid w:val="005A4389"/>
    <w:rsid w:val="005A43B8"/>
    <w:rsid w:val="005A4553"/>
    <w:rsid w:val="005A4593"/>
    <w:rsid w:val="005A45C7"/>
    <w:rsid w:val="005A461C"/>
    <w:rsid w:val="005A462E"/>
    <w:rsid w:val="005A4663"/>
    <w:rsid w:val="005A47A9"/>
    <w:rsid w:val="005A47EC"/>
    <w:rsid w:val="005A4844"/>
    <w:rsid w:val="005A48A0"/>
    <w:rsid w:val="005A4967"/>
    <w:rsid w:val="005A4989"/>
    <w:rsid w:val="005A49EF"/>
    <w:rsid w:val="005A4A74"/>
    <w:rsid w:val="005A4A9F"/>
    <w:rsid w:val="005A4AA6"/>
    <w:rsid w:val="005A4ACB"/>
    <w:rsid w:val="005A4AD0"/>
    <w:rsid w:val="005A4AD8"/>
    <w:rsid w:val="005A4B07"/>
    <w:rsid w:val="005A4B5E"/>
    <w:rsid w:val="005A4B90"/>
    <w:rsid w:val="005A4BBF"/>
    <w:rsid w:val="005A4BCA"/>
    <w:rsid w:val="005A4C58"/>
    <w:rsid w:val="005A4C65"/>
    <w:rsid w:val="005A4C6F"/>
    <w:rsid w:val="005A4C8F"/>
    <w:rsid w:val="005A4CDB"/>
    <w:rsid w:val="005A4D0F"/>
    <w:rsid w:val="005A4D53"/>
    <w:rsid w:val="005A4DF7"/>
    <w:rsid w:val="005A4E8E"/>
    <w:rsid w:val="005A4EA6"/>
    <w:rsid w:val="005A4EAC"/>
    <w:rsid w:val="005A4EB1"/>
    <w:rsid w:val="005A4F1E"/>
    <w:rsid w:val="005A4F22"/>
    <w:rsid w:val="005A4F31"/>
    <w:rsid w:val="005A4F37"/>
    <w:rsid w:val="005A4FCA"/>
    <w:rsid w:val="005A50BC"/>
    <w:rsid w:val="005A51DC"/>
    <w:rsid w:val="005A524B"/>
    <w:rsid w:val="005A52A3"/>
    <w:rsid w:val="005A5320"/>
    <w:rsid w:val="005A534F"/>
    <w:rsid w:val="005A5396"/>
    <w:rsid w:val="005A53D6"/>
    <w:rsid w:val="005A541C"/>
    <w:rsid w:val="005A5446"/>
    <w:rsid w:val="005A544E"/>
    <w:rsid w:val="005A54B0"/>
    <w:rsid w:val="005A54C0"/>
    <w:rsid w:val="005A54D7"/>
    <w:rsid w:val="005A54F7"/>
    <w:rsid w:val="005A5534"/>
    <w:rsid w:val="005A553F"/>
    <w:rsid w:val="005A5553"/>
    <w:rsid w:val="005A5558"/>
    <w:rsid w:val="005A558F"/>
    <w:rsid w:val="005A5596"/>
    <w:rsid w:val="005A55AA"/>
    <w:rsid w:val="005A55ED"/>
    <w:rsid w:val="005A55F0"/>
    <w:rsid w:val="005A567C"/>
    <w:rsid w:val="005A56D1"/>
    <w:rsid w:val="005A56D9"/>
    <w:rsid w:val="005A56E6"/>
    <w:rsid w:val="005A56F2"/>
    <w:rsid w:val="005A5714"/>
    <w:rsid w:val="005A57D2"/>
    <w:rsid w:val="005A57DF"/>
    <w:rsid w:val="005A57E8"/>
    <w:rsid w:val="005A57F7"/>
    <w:rsid w:val="005A581E"/>
    <w:rsid w:val="005A5825"/>
    <w:rsid w:val="005A5851"/>
    <w:rsid w:val="005A587A"/>
    <w:rsid w:val="005A5890"/>
    <w:rsid w:val="005A58B5"/>
    <w:rsid w:val="005A5913"/>
    <w:rsid w:val="005A5933"/>
    <w:rsid w:val="005A5965"/>
    <w:rsid w:val="005A5A15"/>
    <w:rsid w:val="005A5A3F"/>
    <w:rsid w:val="005A5A60"/>
    <w:rsid w:val="005A5AB0"/>
    <w:rsid w:val="005A5AE6"/>
    <w:rsid w:val="005A5B59"/>
    <w:rsid w:val="005A5BB5"/>
    <w:rsid w:val="005A5BCE"/>
    <w:rsid w:val="005A5C7E"/>
    <w:rsid w:val="005A5D33"/>
    <w:rsid w:val="005A5DB8"/>
    <w:rsid w:val="005A5E20"/>
    <w:rsid w:val="005A5EA8"/>
    <w:rsid w:val="005A5EB2"/>
    <w:rsid w:val="005A604A"/>
    <w:rsid w:val="005A6081"/>
    <w:rsid w:val="005A60B2"/>
    <w:rsid w:val="005A60DD"/>
    <w:rsid w:val="005A60E9"/>
    <w:rsid w:val="005A611E"/>
    <w:rsid w:val="005A6175"/>
    <w:rsid w:val="005A61A5"/>
    <w:rsid w:val="005A61AF"/>
    <w:rsid w:val="005A61E4"/>
    <w:rsid w:val="005A62B6"/>
    <w:rsid w:val="005A6326"/>
    <w:rsid w:val="005A632D"/>
    <w:rsid w:val="005A63E2"/>
    <w:rsid w:val="005A63E5"/>
    <w:rsid w:val="005A63FE"/>
    <w:rsid w:val="005A6489"/>
    <w:rsid w:val="005A64CB"/>
    <w:rsid w:val="005A6514"/>
    <w:rsid w:val="005A6535"/>
    <w:rsid w:val="005A653A"/>
    <w:rsid w:val="005A6567"/>
    <w:rsid w:val="005A6578"/>
    <w:rsid w:val="005A6636"/>
    <w:rsid w:val="005A66A4"/>
    <w:rsid w:val="005A66B9"/>
    <w:rsid w:val="005A66C8"/>
    <w:rsid w:val="005A66CF"/>
    <w:rsid w:val="005A671F"/>
    <w:rsid w:val="005A6735"/>
    <w:rsid w:val="005A677A"/>
    <w:rsid w:val="005A6874"/>
    <w:rsid w:val="005A68A6"/>
    <w:rsid w:val="005A68AD"/>
    <w:rsid w:val="005A6942"/>
    <w:rsid w:val="005A6953"/>
    <w:rsid w:val="005A697F"/>
    <w:rsid w:val="005A6981"/>
    <w:rsid w:val="005A6992"/>
    <w:rsid w:val="005A69D5"/>
    <w:rsid w:val="005A6A07"/>
    <w:rsid w:val="005A6A1C"/>
    <w:rsid w:val="005A6A40"/>
    <w:rsid w:val="005A6A4B"/>
    <w:rsid w:val="005A6A70"/>
    <w:rsid w:val="005A6AA0"/>
    <w:rsid w:val="005A6AE2"/>
    <w:rsid w:val="005A6B00"/>
    <w:rsid w:val="005A6B14"/>
    <w:rsid w:val="005A6B22"/>
    <w:rsid w:val="005A6C71"/>
    <w:rsid w:val="005A6D02"/>
    <w:rsid w:val="005A6D24"/>
    <w:rsid w:val="005A6D27"/>
    <w:rsid w:val="005A6D9A"/>
    <w:rsid w:val="005A6DA1"/>
    <w:rsid w:val="005A6DD1"/>
    <w:rsid w:val="005A6E13"/>
    <w:rsid w:val="005A6E39"/>
    <w:rsid w:val="005A6E6C"/>
    <w:rsid w:val="005A6E9F"/>
    <w:rsid w:val="005A6EDD"/>
    <w:rsid w:val="005A6F20"/>
    <w:rsid w:val="005A7053"/>
    <w:rsid w:val="005A70DC"/>
    <w:rsid w:val="005A719B"/>
    <w:rsid w:val="005A71A3"/>
    <w:rsid w:val="005A722F"/>
    <w:rsid w:val="005A723B"/>
    <w:rsid w:val="005A724B"/>
    <w:rsid w:val="005A7255"/>
    <w:rsid w:val="005A7263"/>
    <w:rsid w:val="005A729B"/>
    <w:rsid w:val="005A72CE"/>
    <w:rsid w:val="005A72E1"/>
    <w:rsid w:val="005A7321"/>
    <w:rsid w:val="005A732A"/>
    <w:rsid w:val="005A7337"/>
    <w:rsid w:val="005A73E9"/>
    <w:rsid w:val="005A7408"/>
    <w:rsid w:val="005A7432"/>
    <w:rsid w:val="005A7454"/>
    <w:rsid w:val="005A7488"/>
    <w:rsid w:val="005A7514"/>
    <w:rsid w:val="005A755B"/>
    <w:rsid w:val="005A75BE"/>
    <w:rsid w:val="005A75C4"/>
    <w:rsid w:val="005A75DE"/>
    <w:rsid w:val="005A7627"/>
    <w:rsid w:val="005A7642"/>
    <w:rsid w:val="005A7679"/>
    <w:rsid w:val="005A767A"/>
    <w:rsid w:val="005A767F"/>
    <w:rsid w:val="005A7688"/>
    <w:rsid w:val="005A7736"/>
    <w:rsid w:val="005A77BE"/>
    <w:rsid w:val="005A77BF"/>
    <w:rsid w:val="005A77C8"/>
    <w:rsid w:val="005A77E8"/>
    <w:rsid w:val="005A780B"/>
    <w:rsid w:val="005A7810"/>
    <w:rsid w:val="005A782B"/>
    <w:rsid w:val="005A7833"/>
    <w:rsid w:val="005A783F"/>
    <w:rsid w:val="005A787A"/>
    <w:rsid w:val="005A7892"/>
    <w:rsid w:val="005A78A4"/>
    <w:rsid w:val="005A78AC"/>
    <w:rsid w:val="005A78E2"/>
    <w:rsid w:val="005A7902"/>
    <w:rsid w:val="005A7929"/>
    <w:rsid w:val="005A793E"/>
    <w:rsid w:val="005A796B"/>
    <w:rsid w:val="005A7A1C"/>
    <w:rsid w:val="005A7A36"/>
    <w:rsid w:val="005A7A4B"/>
    <w:rsid w:val="005A7B2C"/>
    <w:rsid w:val="005A7B3E"/>
    <w:rsid w:val="005A7B5B"/>
    <w:rsid w:val="005A7BA7"/>
    <w:rsid w:val="005A7C13"/>
    <w:rsid w:val="005A7C4B"/>
    <w:rsid w:val="005A7C5D"/>
    <w:rsid w:val="005A7CEA"/>
    <w:rsid w:val="005A7D59"/>
    <w:rsid w:val="005A7DAB"/>
    <w:rsid w:val="005A7DE5"/>
    <w:rsid w:val="005A7EC2"/>
    <w:rsid w:val="005A7EFC"/>
    <w:rsid w:val="005A7F04"/>
    <w:rsid w:val="005A7F68"/>
    <w:rsid w:val="005A7F8B"/>
    <w:rsid w:val="005A7FBD"/>
    <w:rsid w:val="005A7FD3"/>
    <w:rsid w:val="005A7FE2"/>
    <w:rsid w:val="005B001F"/>
    <w:rsid w:val="005B0030"/>
    <w:rsid w:val="005B0081"/>
    <w:rsid w:val="005B00A8"/>
    <w:rsid w:val="005B00B0"/>
    <w:rsid w:val="005B00F1"/>
    <w:rsid w:val="005B0174"/>
    <w:rsid w:val="005B0245"/>
    <w:rsid w:val="005B02E1"/>
    <w:rsid w:val="005B02F5"/>
    <w:rsid w:val="005B0331"/>
    <w:rsid w:val="005B03FB"/>
    <w:rsid w:val="005B040E"/>
    <w:rsid w:val="005B043F"/>
    <w:rsid w:val="005B046C"/>
    <w:rsid w:val="005B0474"/>
    <w:rsid w:val="005B04E2"/>
    <w:rsid w:val="005B050A"/>
    <w:rsid w:val="005B0516"/>
    <w:rsid w:val="005B0558"/>
    <w:rsid w:val="005B05A6"/>
    <w:rsid w:val="005B0609"/>
    <w:rsid w:val="005B0614"/>
    <w:rsid w:val="005B061C"/>
    <w:rsid w:val="005B0631"/>
    <w:rsid w:val="005B064E"/>
    <w:rsid w:val="005B0690"/>
    <w:rsid w:val="005B06D8"/>
    <w:rsid w:val="005B0763"/>
    <w:rsid w:val="005B07B6"/>
    <w:rsid w:val="005B07F4"/>
    <w:rsid w:val="005B0808"/>
    <w:rsid w:val="005B084B"/>
    <w:rsid w:val="005B0865"/>
    <w:rsid w:val="005B088B"/>
    <w:rsid w:val="005B08C0"/>
    <w:rsid w:val="005B08D9"/>
    <w:rsid w:val="005B08E4"/>
    <w:rsid w:val="005B0918"/>
    <w:rsid w:val="005B0921"/>
    <w:rsid w:val="005B0963"/>
    <w:rsid w:val="005B0987"/>
    <w:rsid w:val="005B09A6"/>
    <w:rsid w:val="005B0A9B"/>
    <w:rsid w:val="005B0AF6"/>
    <w:rsid w:val="005B0B68"/>
    <w:rsid w:val="005B0B7A"/>
    <w:rsid w:val="005B0BB5"/>
    <w:rsid w:val="005B0BE7"/>
    <w:rsid w:val="005B0C28"/>
    <w:rsid w:val="005B0C72"/>
    <w:rsid w:val="005B0CB1"/>
    <w:rsid w:val="005B0CB6"/>
    <w:rsid w:val="005B0D94"/>
    <w:rsid w:val="005B0DAE"/>
    <w:rsid w:val="005B0DB3"/>
    <w:rsid w:val="005B0DEB"/>
    <w:rsid w:val="005B0E17"/>
    <w:rsid w:val="005B0E45"/>
    <w:rsid w:val="005B0E87"/>
    <w:rsid w:val="005B0EBE"/>
    <w:rsid w:val="005B0F71"/>
    <w:rsid w:val="005B0F7B"/>
    <w:rsid w:val="005B1016"/>
    <w:rsid w:val="005B102B"/>
    <w:rsid w:val="005B10FA"/>
    <w:rsid w:val="005B11DE"/>
    <w:rsid w:val="005B11E6"/>
    <w:rsid w:val="005B120E"/>
    <w:rsid w:val="005B1219"/>
    <w:rsid w:val="005B121D"/>
    <w:rsid w:val="005B1237"/>
    <w:rsid w:val="005B1265"/>
    <w:rsid w:val="005B126E"/>
    <w:rsid w:val="005B12F3"/>
    <w:rsid w:val="005B1321"/>
    <w:rsid w:val="005B1326"/>
    <w:rsid w:val="005B133F"/>
    <w:rsid w:val="005B1370"/>
    <w:rsid w:val="005B13F9"/>
    <w:rsid w:val="005B1428"/>
    <w:rsid w:val="005B1435"/>
    <w:rsid w:val="005B1457"/>
    <w:rsid w:val="005B1487"/>
    <w:rsid w:val="005B148F"/>
    <w:rsid w:val="005B1563"/>
    <w:rsid w:val="005B15C0"/>
    <w:rsid w:val="005B1631"/>
    <w:rsid w:val="005B1651"/>
    <w:rsid w:val="005B1673"/>
    <w:rsid w:val="005B1694"/>
    <w:rsid w:val="005B16DD"/>
    <w:rsid w:val="005B176A"/>
    <w:rsid w:val="005B177C"/>
    <w:rsid w:val="005B1798"/>
    <w:rsid w:val="005B1822"/>
    <w:rsid w:val="005B184B"/>
    <w:rsid w:val="005B1926"/>
    <w:rsid w:val="005B192D"/>
    <w:rsid w:val="005B198F"/>
    <w:rsid w:val="005B1AB0"/>
    <w:rsid w:val="005B1B26"/>
    <w:rsid w:val="005B1B43"/>
    <w:rsid w:val="005B1B98"/>
    <w:rsid w:val="005B1BB5"/>
    <w:rsid w:val="005B1C4A"/>
    <w:rsid w:val="005B1C62"/>
    <w:rsid w:val="005B1C71"/>
    <w:rsid w:val="005B1CE9"/>
    <w:rsid w:val="005B1CEB"/>
    <w:rsid w:val="005B1D24"/>
    <w:rsid w:val="005B1D78"/>
    <w:rsid w:val="005B1D7D"/>
    <w:rsid w:val="005B1D9C"/>
    <w:rsid w:val="005B1DA5"/>
    <w:rsid w:val="005B1DE4"/>
    <w:rsid w:val="005B1DF8"/>
    <w:rsid w:val="005B1DFF"/>
    <w:rsid w:val="005B1E49"/>
    <w:rsid w:val="005B1E85"/>
    <w:rsid w:val="005B1E9F"/>
    <w:rsid w:val="005B1EDC"/>
    <w:rsid w:val="005B1F1F"/>
    <w:rsid w:val="005B1F42"/>
    <w:rsid w:val="005B2021"/>
    <w:rsid w:val="005B20C8"/>
    <w:rsid w:val="005B2102"/>
    <w:rsid w:val="005B2167"/>
    <w:rsid w:val="005B227E"/>
    <w:rsid w:val="005B22DB"/>
    <w:rsid w:val="005B22DD"/>
    <w:rsid w:val="005B2318"/>
    <w:rsid w:val="005B2319"/>
    <w:rsid w:val="005B2349"/>
    <w:rsid w:val="005B23B8"/>
    <w:rsid w:val="005B2421"/>
    <w:rsid w:val="005B243C"/>
    <w:rsid w:val="005B2449"/>
    <w:rsid w:val="005B244D"/>
    <w:rsid w:val="005B244F"/>
    <w:rsid w:val="005B24A3"/>
    <w:rsid w:val="005B24FD"/>
    <w:rsid w:val="005B25B2"/>
    <w:rsid w:val="005B2662"/>
    <w:rsid w:val="005B26C3"/>
    <w:rsid w:val="005B2711"/>
    <w:rsid w:val="005B272E"/>
    <w:rsid w:val="005B276F"/>
    <w:rsid w:val="005B2777"/>
    <w:rsid w:val="005B2779"/>
    <w:rsid w:val="005B2785"/>
    <w:rsid w:val="005B279B"/>
    <w:rsid w:val="005B27D7"/>
    <w:rsid w:val="005B27E3"/>
    <w:rsid w:val="005B27E5"/>
    <w:rsid w:val="005B283B"/>
    <w:rsid w:val="005B284C"/>
    <w:rsid w:val="005B2859"/>
    <w:rsid w:val="005B28D1"/>
    <w:rsid w:val="005B28EC"/>
    <w:rsid w:val="005B294A"/>
    <w:rsid w:val="005B2A0B"/>
    <w:rsid w:val="005B2A0E"/>
    <w:rsid w:val="005B2A15"/>
    <w:rsid w:val="005B2A4B"/>
    <w:rsid w:val="005B2A94"/>
    <w:rsid w:val="005B2AA1"/>
    <w:rsid w:val="005B2AA2"/>
    <w:rsid w:val="005B2AB8"/>
    <w:rsid w:val="005B2AFA"/>
    <w:rsid w:val="005B2B01"/>
    <w:rsid w:val="005B2B0B"/>
    <w:rsid w:val="005B2B3B"/>
    <w:rsid w:val="005B2B4B"/>
    <w:rsid w:val="005B2B50"/>
    <w:rsid w:val="005B2BED"/>
    <w:rsid w:val="005B2C16"/>
    <w:rsid w:val="005B2C5E"/>
    <w:rsid w:val="005B2CC9"/>
    <w:rsid w:val="005B2D1C"/>
    <w:rsid w:val="005B2D63"/>
    <w:rsid w:val="005B2D6D"/>
    <w:rsid w:val="005B2D9E"/>
    <w:rsid w:val="005B2E0A"/>
    <w:rsid w:val="005B2E20"/>
    <w:rsid w:val="005B2E8F"/>
    <w:rsid w:val="005B2EC6"/>
    <w:rsid w:val="005B2F2D"/>
    <w:rsid w:val="005B2F63"/>
    <w:rsid w:val="005B2F67"/>
    <w:rsid w:val="005B2FE6"/>
    <w:rsid w:val="005B3008"/>
    <w:rsid w:val="005B3053"/>
    <w:rsid w:val="005B305B"/>
    <w:rsid w:val="005B306E"/>
    <w:rsid w:val="005B3095"/>
    <w:rsid w:val="005B30C3"/>
    <w:rsid w:val="005B30D1"/>
    <w:rsid w:val="005B310C"/>
    <w:rsid w:val="005B3114"/>
    <w:rsid w:val="005B3124"/>
    <w:rsid w:val="005B316F"/>
    <w:rsid w:val="005B31CC"/>
    <w:rsid w:val="005B3227"/>
    <w:rsid w:val="005B323F"/>
    <w:rsid w:val="005B32CC"/>
    <w:rsid w:val="005B32F5"/>
    <w:rsid w:val="005B32FB"/>
    <w:rsid w:val="005B32FF"/>
    <w:rsid w:val="005B332E"/>
    <w:rsid w:val="005B3369"/>
    <w:rsid w:val="005B3393"/>
    <w:rsid w:val="005B33F2"/>
    <w:rsid w:val="005B33F4"/>
    <w:rsid w:val="005B342E"/>
    <w:rsid w:val="005B34A7"/>
    <w:rsid w:val="005B34CE"/>
    <w:rsid w:val="005B34DE"/>
    <w:rsid w:val="005B3541"/>
    <w:rsid w:val="005B354E"/>
    <w:rsid w:val="005B356A"/>
    <w:rsid w:val="005B35A9"/>
    <w:rsid w:val="005B35B0"/>
    <w:rsid w:val="005B35E1"/>
    <w:rsid w:val="005B35E2"/>
    <w:rsid w:val="005B3656"/>
    <w:rsid w:val="005B36AA"/>
    <w:rsid w:val="005B36BE"/>
    <w:rsid w:val="005B36C5"/>
    <w:rsid w:val="005B36F4"/>
    <w:rsid w:val="005B36FC"/>
    <w:rsid w:val="005B374D"/>
    <w:rsid w:val="005B3760"/>
    <w:rsid w:val="005B3765"/>
    <w:rsid w:val="005B3781"/>
    <w:rsid w:val="005B37AE"/>
    <w:rsid w:val="005B37B6"/>
    <w:rsid w:val="005B3808"/>
    <w:rsid w:val="005B3841"/>
    <w:rsid w:val="005B3864"/>
    <w:rsid w:val="005B38F8"/>
    <w:rsid w:val="005B3935"/>
    <w:rsid w:val="005B39A6"/>
    <w:rsid w:val="005B39B0"/>
    <w:rsid w:val="005B39B6"/>
    <w:rsid w:val="005B39CC"/>
    <w:rsid w:val="005B3A30"/>
    <w:rsid w:val="005B3B02"/>
    <w:rsid w:val="005B3B1F"/>
    <w:rsid w:val="005B3B28"/>
    <w:rsid w:val="005B3B45"/>
    <w:rsid w:val="005B3B53"/>
    <w:rsid w:val="005B3B8C"/>
    <w:rsid w:val="005B3BAF"/>
    <w:rsid w:val="005B3BB3"/>
    <w:rsid w:val="005B3BC6"/>
    <w:rsid w:val="005B3BF7"/>
    <w:rsid w:val="005B3CF3"/>
    <w:rsid w:val="005B3D70"/>
    <w:rsid w:val="005B3D8A"/>
    <w:rsid w:val="005B3DF1"/>
    <w:rsid w:val="005B3E58"/>
    <w:rsid w:val="005B3E69"/>
    <w:rsid w:val="005B3E71"/>
    <w:rsid w:val="005B3EA2"/>
    <w:rsid w:val="005B3ED3"/>
    <w:rsid w:val="005B3F16"/>
    <w:rsid w:val="005B3F41"/>
    <w:rsid w:val="005B3F9C"/>
    <w:rsid w:val="005B3FF7"/>
    <w:rsid w:val="005B4047"/>
    <w:rsid w:val="005B40F3"/>
    <w:rsid w:val="005B4147"/>
    <w:rsid w:val="005B41BF"/>
    <w:rsid w:val="005B4202"/>
    <w:rsid w:val="005B4260"/>
    <w:rsid w:val="005B4265"/>
    <w:rsid w:val="005B4268"/>
    <w:rsid w:val="005B42CD"/>
    <w:rsid w:val="005B432D"/>
    <w:rsid w:val="005B434C"/>
    <w:rsid w:val="005B4386"/>
    <w:rsid w:val="005B43AE"/>
    <w:rsid w:val="005B43B3"/>
    <w:rsid w:val="005B43F0"/>
    <w:rsid w:val="005B4403"/>
    <w:rsid w:val="005B4404"/>
    <w:rsid w:val="005B440D"/>
    <w:rsid w:val="005B4410"/>
    <w:rsid w:val="005B4444"/>
    <w:rsid w:val="005B4488"/>
    <w:rsid w:val="005B44BB"/>
    <w:rsid w:val="005B44F8"/>
    <w:rsid w:val="005B4511"/>
    <w:rsid w:val="005B4563"/>
    <w:rsid w:val="005B45FA"/>
    <w:rsid w:val="005B4611"/>
    <w:rsid w:val="005B46A2"/>
    <w:rsid w:val="005B46F9"/>
    <w:rsid w:val="005B472D"/>
    <w:rsid w:val="005B4823"/>
    <w:rsid w:val="005B4858"/>
    <w:rsid w:val="005B49DF"/>
    <w:rsid w:val="005B4A45"/>
    <w:rsid w:val="005B4AB4"/>
    <w:rsid w:val="005B4B33"/>
    <w:rsid w:val="005B4B49"/>
    <w:rsid w:val="005B4BE4"/>
    <w:rsid w:val="005B4C10"/>
    <w:rsid w:val="005B4C1E"/>
    <w:rsid w:val="005B4C2F"/>
    <w:rsid w:val="005B4D6B"/>
    <w:rsid w:val="005B4DB6"/>
    <w:rsid w:val="005B4DBD"/>
    <w:rsid w:val="005B4DD0"/>
    <w:rsid w:val="005B4DFB"/>
    <w:rsid w:val="005B4E75"/>
    <w:rsid w:val="005B4ECC"/>
    <w:rsid w:val="005B4EEC"/>
    <w:rsid w:val="005B4F25"/>
    <w:rsid w:val="005B4F3D"/>
    <w:rsid w:val="005B4F54"/>
    <w:rsid w:val="005B4FA1"/>
    <w:rsid w:val="005B4FE8"/>
    <w:rsid w:val="005B5078"/>
    <w:rsid w:val="005B508B"/>
    <w:rsid w:val="005B508C"/>
    <w:rsid w:val="005B50E2"/>
    <w:rsid w:val="005B50FC"/>
    <w:rsid w:val="005B5111"/>
    <w:rsid w:val="005B5113"/>
    <w:rsid w:val="005B5119"/>
    <w:rsid w:val="005B5122"/>
    <w:rsid w:val="005B5193"/>
    <w:rsid w:val="005B51B4"/>
    <w:rsid w:val="005B5214"/>
    <w:rsid w:val="005B5258"/>
    <w:rsid w:val="005B52D0"/>
    <w:rsid w:val="005B53E1"/>
    <w:rsid w:val="005B53F0"/>
    <w:rsid w:val="005B548D"/>
    <w:rsid w:val="005B54D6"/>
    <w:rsid w:val="005B54E7"/>
    <w:rsid w:val="005B54E9"/>
    <w:rsid w:val="005B550F"/>
    <w:rsid w:val="005B555B"/>
    <w:rsid w:val="005B55E1"/>
    <w:rsid w:val="005B560E"/>
    <w:rsid w:val="005B5650"/>
    <w:rsid w:val="005B56C4"/>
    <w:rsid w:val="005B56EE"/>
    <w:rsid w:val="005B5771"/>
    <w:rsid w:val="005B57F3"/>
    <w:rsid w:val="005B5852"/>
    <w:rsid w:val="005B589F"/>
    <w:rsid w:val="005B58DC"/>
    <w:rsid w:val="005B58E0"/>
    <w:rsid w:val="005B5905"/>
    <w:rsid w:val="005B594B"/>
    <w:rsid w:val="005B597C"/>
    <w:rsid w:val="005B59BE"/>
    <w:rsid w:val="005B59E4"/>
    <w:rsid w:val="005B5A14"/>
    <w:rsid w:val="005B5A5B"/>
    <w:rsid w:val="005B5ADF"/>
    <w:rsid w:val="005B5B52"/>
    <w:rsid w:val="005B5B6A"/>
    <w:rsid w:val="005B5B9B"/>
    <w:rsid w:val="005B5BC6"/>
    <w:rsid w:val="005B5BE1"/>
    <w:rsid w:val="005B5BEA"/>
    <w:rsid w:val="005B5C83"/>
    <w:rsid w:val="005B5CBD"/>
    <w:rsid w:val="005B5CC0"/>
    <w:rsid w:val="005B5CF1"/>
    <w:rsid w:val="005B5D5D"/>
    <w:rsid w:val="005B5DFA"/>
    <w:rsid w:val="005B5E1A"/>
    <w:rsid w:val="005B5E38"/>
    <w:rsid w:val="005B5E4E"/>
    <w:rsid w:val="005B5EBF"/>
    <w:rsid w:val="005B5ED6"/>
    <w:rsid w:val="005B5EE4"/>
    <w:rsid w:val="005B5F04"/>
    <w:rsid w:val="005B5F1F"/>
    <w:rsid w:val="005B5F52"/>
    <w:rsid w:val="005B5F99"/>
    <w:rsid w:val="005B5FFC"/>
    <w:rsid w:val="005B602A"/>
    <w:rsid w:val="005B603A"/>
    <w:rsid w:val="005B6053"/>
    <w:rsid w:val="005B6055"/>
    <w:rsid w:val="005B6061"/>
    <w:rsid w:val="005B61E6"/>
    <w:rsid w:val="005B61FC"/>
    <w:rsid w:val="005B6219"/>
    <w:rsid w:val="005B6252"/>
    <w:rsid w:val="005B6253"/>
    <w:rsid w:val="005B62B4"/>
    <w:rsid w:val="005B6354"/>
    <w:rsid w:val="005B6355"/>
    <w:rsid w:val="005B6396"/>
    <w:rsid w:val="005B63EE"/>
    <w:rsid w:val="005B63FA"/>
    <w:rsid w:val="005B640D"/>
    <w:rsid w:val="005B64CD"/>
    <w:rsid w:val="005B651B"/>
    <w:rsid w:val="005B65C8"/>
    <w:rsid w:val="005B65EE"/>
    <w:rsid w:val="005B6641"/>
    <w:rsid w:val="005B6757"/>
    <w:rsid w:val="005B6766"/>
    <w:rsid w:val="005B6774"/>
    <w:rsid w:val="005B688B"/>
    <w:rsid w:val="005B68CD"/>
    <w:rsid w:val="005B68F0"/>
    <w:rsid w:val="005B6940"/>
    <w:rsid w:val="005B6943"/>
    <w:rsid w:val="005B69CE"/>
    <w:rsid w:val="005B6A2A"/>
    <w:rsid w:val="005B6A58"/>
    <w:rsid w:val="005B6AAD"/>
    <w:rsid w:val="005B6B53"/>
    <w:rsid w:val="005B6B61"/>
    <w:rsid w:val="005B6BD1"/>
    <w:rsid w:val="005B6BEF"/>
    <w:rsid w:val="005B6C37"/>
    <w:rsid w:val="005B6CF6"/>
    <w:rsid w:val="005B6D03"/>
    <w:rsid w:val="005B6D25"/>
    <w:rsid w:val="005B6D5F"/>
    <w:rsid w:val="005B6D89"/>
    <w:rsid w:val="005B6DE4"/>
    <w:rsid w:val="005B6DF8"/>
    <w:rsid w:val="005B6E5A"/>
    <w:rsid w:val="005B6E75"/>
    <w:rsid w:val="005B6E90"/>
    <w:rsid w:val="005B6EC0"/>
    <w:rsid w:val="005B712C"/>
    <w:rsid w:val="005B7131"/>
    <w:rsid w:val="005B71B7"/>
    <w:rsid w:val="005B71BD"/>
    <w:rsid w:val="005B71E1"/>
    <w:rsid w:val="005B728D"/>
    <w:rsid w:val="005B7385"/>
    <w:rsid w:val="005B7392"/>
    <w:rsid w:val="005B73AC"/>
    <w:rsid w:val="005B73DE"/>
    <w:rsid w:val="005B73F5"/>
    <w:rsid w:val="005B7454"/>
    <w:rsid w:val="005B746B"/>
    <w:rsid w:val="005B746D"/>
    <w:rsid w:val="005B7483"/>
    <w:rsid w:val="005B753D"/>
    <w:rsid w:val="005B7549"/>
    <w:rsid w:val="005B758D"/>
    <w:rsid w:val="005B7603"/>
    <w:rsid w:val="005B7607"/>
    <w:rsid w:val="005B7648"/>
    <w:rsid w:val="005B7653"/>
    <w:rsid w:val="005B76A8"/>
    <w:rsid w:val="005B76A9"/>
    <w:rsid w:val="005B7701"/>
    <w:rsid w:val="005B7708"/>
    <w:rsid w:val="005B772E"/>
    <w:rsid w:val="005B775F"/>
    <w:rsid w:val="005B7775"/>
    <w:rsid w:val="005B7794"/>
    <w:rsid w:val="005B77B4"/>
    <w:rsid w:val="005B77D3"/>
    <w:rsid w:val="005B7833"/>
    <w:rsid w:val="005B7839"/>
    <w:rsid w:val="005B7859"/>
    <w:rsid w:val="005B78A8"/>
    <w:rsid w:val="005B796E"/>
    <w:rsid w:val="005B7970"/>
    <w:rsid w:val="005B79C8"/>
    <w:rsid w:val="005B79F9"/>
    <w:rsid w:val="005B7A4A"/>
    <w:rsid w:val="005B7A67"/>
    <w:rsid w:val="005B7A8C"/>
    <w:rsid w:val="005B7AA7"/>
    <w:rsid w:val="005B7B2E"/>
    <w:rsid w:val="005B7BDE"/>
    <w:rsid w:val="005B7C03"/>
    <w:rsid w:val="005B7CB9"/>
    <w:rsid w:val="005B7CDF"/>
    <w:rsid w:val="005B7D1A"/>
    <w:rsid w:val="005B7DA5"/>
    <w:rsid w:val="005B7DF5"/>
    <w:rsid w:val="005B7E15"/>
    <w:rsid w:val="005B7E46"/>
    <w:rsid w:val="005B7E69"/>
    <w:rsid w:val="005B7EB4"/>
    <w:rsid w:val="005B7EC9"/>
    <w:rsid w:val="005B7EEE"/>
    <w:rsid w:val="005B7F25"/>
    <w:rsid w:val="005B7F66"/>
    <w:rsid w:val="005B7F78"/>
    <w:rsid w:val="005B7F8F"/>
    <w:rsid w:val="005B7F9E"/>
    <w:rsid w:val="005C000B"/>
    <w:rsid w:val="005C001F"/>
    <w:rsid w:val="005C002F"/>
    <w:rsid w:val="005C0040"/>
    <w:rsid w:val="005C007E"/>
    <w:rsid w:val="005C00B6"/>
    <w:rsid w:val="005C0182"/>
    <w:rsid w:val="005C0185"/>
    <w:rsid w:val="005C0187"/>
    <w:rsid w:val="005C018F"/>
    <w:rsid w:val="005C01CD"/>
    <w:rsid w:val="005C0280"/>
    <w:rsid w:val="005C0295"/>
    <w:rsid w:val="005C0345"/>
    <w:rsid w:val="005C034F"/>
    <w:rsid w:val="005C0352"/>
    <w:rsid w:val="005C0442"/>
    <w:rsid w:val="005C0485"/>
    <w:rsid w:val="005C0547"/>
    <w:rsid w:val="005C0571"/>
    <w:rsid w:val="005C05EB"/>
    <w:rsid w:val="005C0734"/>
    <w:rsid w:val="005C073B"/>
    <w:rsid w:val="005C0793"/>
    <w:rsid w:val="005C07C4"/>
    <w:rsid w:val="005C07F7"/>
    <w:rsid w:val="005C0810"/>
    <w:rsid w:val="005C0833"/>
    <w:rsid w:val="005C0845"/>
    <w:rsid w:val="005C084B"/>
    <w:rsid w:val="005C08E0"/>
    <w:rsid w:val="005C08F6"/>
    <w:rsid w:val="005C0904"/>
    <w:rsid w:val="005C0911"/>
    <w:rsid w:val="005C097F"/>
    <w:rsid w:val="005C09AE"/>
    <w:rsid w:val="005C0A09"/>
    <w:rsid w:val="005C0A3A"/>
    <w:rsid w:val="005C0B30"/>
    <w:rsid w:val="005C0B6D"/>
    <w:rsid w:val="005C0B96"/>
    <w:rsid w:val="005C0BA9"/>
    <w:rsid w:val="005C0BB4"/>
    <w:rsid w:val="005C0C3C"/>
    <w:rsid w:val="005C0C70"/>
    <w:rsid w:val="005C0C98"/>
    <w:rsid w:val="005C0C99"/>
    <w:rsid w:val="005C0D96"/>
    <w:rsid w:val="005C0DA7"/>
    <w:rsid w:val="005C0EB5"/>
    <w:rsid w:val="005C0F56"/>
    <w:rsid w:val="005C0FEC"/>
    <w:rsid w:val="005C0FEE"/>
    <w:rsid w:val="005C1014"/>
    <w:rsid w:val="005C104C"/>
    <w:rsid w:val="005C1054"/>
    <w:rsid w:val="005C1074"/>
    <w:rsid w:val="005C10A3"/>
    <w:rsid w:val="005C10B8"/>
    <w:rsid w:val="005C10C6"/>
    <w:rsid w:val="005C10D6"/>
    <w:rsid w:val="005C112E"/>
    <w:rsid w:val="005C1175"/>
    <w:rsid w:val="005C119C"/>
    <w:rsid w:val="005C11E9"/>
    <w:rsid w:val="005C1200"/>
    <w:rsid w:val="005C120B"/>
    <w:rsid w:val="005C124C"/>
    <w:rsid w:val="005C128A"/>
    <w:rsid w:val="005C12A1"/>
    <w:rsid w:val="005C1327"/>
    <w:rsid w:val="005C13C0"/>
    <w:rsid w:val="005C13F8"/>
    <w:rsid w:val="005C13FD"/>
    <w:rsid w:val="005C1404"/>
    <w:rsid w:val="005C1419"/>
    <w:rsid w:val="005C1424"/>
    <w:rsid w:val="005C1435"/>
    <w:rsid w:val="005C143B"/>
    <w:rsid w:val="005C1489"/>
    <w:rsid w:val="005C14B6"/>
    <w:rsid w:val="005C1529"/>
    <w:rsid w:val="005C157A"/>
    <w:rsid w:val="005C15D5"/>
    <w:rsid w:val="005C15E6"/>
    <w:rsid w:val="005C1618"/>
    <w:rsid w:val="005C1661"/>
    <w:rsid w:val="005C1680"/>
    <w:rsid w:val="005C16A2"/>
    <w:rsid w:val="005C1755"/>
    <w:rsid w:val="005C1767"/>
    <w:rsid w:val="005C1781"/>
    <w:rsid w:val="005C178B"/>
    <w:rsid w:val="005C1791"/>
    <w:rsid w:val="005C17C0"/>
    <w:rsid w:val="005C183C"/>
    <w:rsid w:val="005C18AA"/>
    <w:rsid w:val="005C1900"/>
    <w:rsid w:val="005C190F"/>
    <w:rsid w:val="005C1918"/>
    <w:rsid w:val="005C196F"/>
    <w:rsid w:val="005C19B3"/>
    <w:rsid w:val="005C19F3"/>
    <w:rsid w:val="005C1A88"/>
    <w:rsid w:val="005C1B46"/>
    <w:rsid w:val="005C1B7A"/>
    <w:rsid w:val="005C1BAB"/>
    <w:rsid w:val="005C1BDB"/>
    <w:rsid w:val="005C1C21"/>
    <w:rsid w:val="005C1CA9"/>
    <w:rsid w:val="005C1CBC"/>
    <w:rsid w:val="005C1CDE"/>
    <w:rsid w:val="005C1CF4"/>
    <w:rsid w:val="005C1D06"/>
    <w:rsid w:val="005C1D27"/>
    <w:rsid w:val="005C1D49"/>
    <w:rsid w:val="005C1D79"/>
    <w:rsid w:val="005C1E24"/>
    <w:rsid w:val="005C1ED9"/>
    <w:rsid w:val="005C1EF5"/>
    <w:rsid w:val="005C1EFD"/>
    <w:rsid w:val="005C1F7A"/>
    <w:rsid w:val="005C2021"/>
    <w:rsid w:val="005C209B"/>
    <w:rsid w:val="005C209D"/>
    <w:rsid w:val="005C20E3"/>
    <w:rsid w:val="005C2134"/>
    <w:rsid w:val="005C2167"/>
    <w:rsid w:val="005C2186"/>
    <w:rsid w:val="005C2226"/>
    <w:rsid w:val="005C2279"/>
    <w:rsid w:val="005C227A"/>
    <w:rsid w:val="005C23BB"/>
    <w:rsid w:val="005C23FF"/>
    <w:rsid w:val="005C2475"/>
    <w:rsid w:val="005C2483"/>
    <w:rsid w:val="005C24DC"/>
    <w:rsid w:val="005C24E2"/>
    <w:rsid w:val="005C253B"/>
    <w:rsid w:val="005C254F"/>
    <w:rsid w:val="005C264D"/>
    <w:rsid w:val="005C2660"/>
    <w:rsid w:val="005C2670"/>
    <w:rsid w:val="005C26EC"/>
    <w:rsid w:val="005C2736"/>
    <w:rsid w:val="005C2762"/>
    <w:rsid w:val="005C27AA"/>
    <w:rsid w:val="005C27E0"/>
    <w:rsid w:val="005C2809"/>
    <w:rsid w:val="005C2821"/>
    <w:rsid w:val="005C2822"/>
    <w:rsid w:val="005C2825"/>
    <w:rsid w:val="005C2827"/>
    <w:rsid w:val="005C288A"/>
    <w:rsid w:val="005C28C5"/>
    <w:rsid w:val="005C28EC"/>
    <w:rsid w:val="005C290B"/>
    <w:rsid w:val="005C292F"/>
    <w:rsid w:val="005C2994"/>
    <w:rsid w:val="005C29A8"/>
    <w:rsid w:val="005C29CF"/>
    <w:rsid w:val="005C29D4"/>
    <w:rsid w:val="005C29EB"/>
    <w:rsid w:val="005C2A08"/>
    <w:rsid w:val="005C2A44"/>
    <w:rsid w:val="005C2A5A"/>
    <w:rsid w:val="005C2A64"/>
    <w:rsid w:val="005C2AB8"/>
    <w:rsid w:val="005C2ADC"/>
    <w:rsid w:val="005C2ADF"/>
    <w:rsid w:val="005C2B12"/>
    <w:rsid w:val="005C2B2E"/>
    <w:rsid w:val="005C2BC1"/>
    <w:rsid w:val="005C2BC9"/>
    <w:rsid w:val="005C2BDE"/>
    <w:rsid w:val="005C2BE1"/>
    <w:rsid w:val="005C2BF5"/>
    <w:rsid w:val="005C2C12"/>
    <w:rsid w:val="005C2C1A"/>
    <w:rsid w:val="005C2C26"/>
    <w:rsid w:val="005C2CAC"/>
    <w:rsid w:val="005C2D08"/>
    <w:rsid w:val="005C2DB3"/>
    <w:rsid w:val="005C2DD0"/>
    <w:rsid w:val="005C2DF9"/>
    <w:rsid w:val="005C2E0E"/>
    <w:rsid w:val="005C2F52"/>
    <w:rsid w:val="005C2F75"/>
    <w:rsid w:val="005C2F77"/>
    <w:rsid w:val="005C2F92"/>
    <w:rsid w:val="005C3010"/>
    <w:rsid w:val="005C3014"/>
    <w:rsid w:val="005C3092"/>
    <w:rsid w:val="005C30D0"/>
    <w:rsid w:val="005C315F"/>
    <w:rsid w:val="005C31DA"/>
    <w:rsid w:val="005C32A7"/>
    <w:rsid w:val="005C3376"/>
    <w:rsid w:val="005C337E"/>
    <w:rsid w:val="005C339A"/>
    <w:rsid w:val="005C33C6"/>
    <w:rsid w:val="005C33E6"/>
    <w:rsid w:val="005C3419"/>
    <w:rsid w:val="005C3429"/>
    <w:rsid w:val="005C34A9"/>
    <w:rsid w:val="005C34D3"/>
    <w:rsid w:val="005C352B"/>
    <w:rsid w:val="005C3565"/>
    <w:rsid w:val="005C35A1"/>
    <w:rsid w:val="005C35A9"/>
    <w:rsid w:val="005C35BF"/>
    <w:rsid w:val="005C366C"/>
    <w:rsid w:val="005C369B"/>
    <w:rsid w:val="005C36DA"/>
    <w:rsid w:val="005C36DB"/>
    <w:rsid w:val="005C3709"/>
    <w:rsid w:val="005C3727"/>
    <w:rsid w:val="005C372B"/>
    <w:rsid w:val="005C3739"/>
    <w:rsid w:val="005C373F"/>
    <w:rsid w:val="005C3781"/>
    <w:rsid w:val="005C3793"/>
    <w:rsid w:val="005C37DC"/>
    <w:rsid w:val="005C37F6"/>
    <w:rsid w:val="005C381E"/>
    <w:rsid w:val="005C3826"/>
    <w:rsid w:val="005C38A3"/>
    <w:rsid w:val="005C38A4"/>
    <w:rsid w:val="005C390E"/>
    <w:rsid w:val="005C395B"/>
    <w:rsid w:val="005C3963"/>
    <w:rsid w:val="005C397B"/>
    <w:rsid w:val="005C3982"/>
    <w:rsid w:val="005C39C7"/>
    <w:rsid w:val="005C39CC"/>
    <w:rsid w:val="005C3A03"/>
    <w:rsid w:val="005C3A30"/>
    <w:rsid w:val="005C3AA9"/>
    <w:rsid w:val="005C3AAF"/>
    <w:rsid w:val="005C3AB8"/>
    <w:rsid w:val="005C3B4E"/>
    <w:rsid w:val="005C3B59"/>
    <w:rsid w:val="005C3BB0"/>
    <w:rsid w:val="005C3BB6"/>
    <w:rsid w:val="005C3BC5"/>
    <w:rsid w:val="005C3BFD"/>
    <w:rsid w:val="005C3C20"/>
    <w:rsid w:val="005C3C5D"/>
    <w:rsid w:val="005C3C6F"/>
    <w:rsid w:val="005C3CA7"/>
    <w:rsid w:val="005C3CF4"/>
    <w:rsid w:val="005C3CFF"/>
    <w:rsid w:val="005C3D41"/>
    <w:rsid w:val="005C3D51"/>
    <w:rsid w:val="005C3D74"/>
    <w:rsid w:val="005C3DB0"/>
    <w:rsid w:val="005C3E1F"/>
    <w:rsid w:val="005C3E27"/>
    <w:rsid w:val="005C3E84"/>
    <w:rsid w:val="005C3EA8"/>
    <w:rsid w:val="005C3EDB"/>
    <w:rsid w:val="005C3F2A"/>
    <w:rsid w:val="005C3F37"/>
    <w:rsid w:val="005C3F43"/>
    <w:rsid w:val="005C3F90"/>
    <w:rsid w:val="005C3F92"/>
    <w:rsid w:val="005C3FA4"/>
    <w:rsid w:val="005C3FB3"/>
    <w:rsid w:val="005C3FBC"/>
    <w:rsid w:val="005C4055"/>
    <w:rsid w:val="005C40C3"/>
    <w:rsid w:val="005C416F"/>
    <w:rsid w:val="005C4170"/>
    <w:rsid w:val="005C41CE"/>
    <w:rsid w:val="005C4247"/>
    <w:rsid w:val="005C4249"/>
    <w:rsid w:val="005C4263"/>
    <w:rsid w:val="005C427A"/>
    <w:rsid w:val="005C428D"/>
    <w:rsid w:val="005C4299"/>
    <w:rsid w:val="005C42DA"/>
    <w:rsid w:val="005C439C"/>
    <w:rsid w:val="005C43C5"/>
    <w:rsid w:val="005C443D"/>
    <w:rsid w:val="005C446A"/>
    <w:rsid w:val="005C4482"/>
    <w:rsid w:val="005C4491"/>
    <w:rsid w:val="005C44AA"/>
    <w:rsid w:val="005C44E2"/>
    <w:rsid w:val="005C44FD"/>
    <w:rsid w:val="005C4556"/>
    <w:rsid w:val="005C4567"/>
    <w:rsid w:val="005C45D8"/>
    <w:rsid w:val="005C45FF"/>
    <w:rsid w:val="005C4660"/>
    <w:rsid w:val="005C469A"/>
    <w:rsid w:val="005C46E4"/>
    <w:rsid w:val="005C47CD"/>
    <w:rsid w:val="005C4830"/>
    <w:rsid w:val="005C48AB"/>
    <w:rsid w:val="005C48FA"/>
    <w:rsid w:val="005C4900"/>
    <w:rsid w:val="005C4922"/>
    <w:rsid w:val="005C4932"/>
    <w:rsid w:val="005C494C"/>
    <w:rsid w:val="005C495D"/>
    <w:rsid w:val="005C496A"/>
    <w:rsid w:val="005C49AB"/>
    <w:rsid w:val="005C49BC"/>
    <w:rsid w:val="005C49D8"/>
    <w:rsid w:val="005C49DC"/>
    <w:rsid w:val="005C4A1A"/>
    <w:rsid w:val="005C4A23"/>
    <w:rsid w:val="005C4A77"/>
    <w:rsid w:val="005C4AC5"/>
    <w:rsid w:val="005C4ADB"/>
    <w:rsid w:val="005C4B18"/>
    <w:rsid w:val="005C4B2F"/>
    <w:rsid w:val="005C4B44"/>
    <w:rsid w:val="005C4B89"/>
    <w:rsid w:val="005C4B99"/>
    <w:rsid w:val="005C4BAB"/>
    <w:rsid w:val="005C4BAD"/>
    <w:rsid w:val="005C4BDD"/>
    <w:rsid w:val="005C4C2F"/>
    <w:rsid w:val="005C4C36"/>
    <w:rsid w:val="005C4C85"/>
    <w:rsid w:val="005C4CA7"/>
    <w:rsid w:val="005C4D2D"/>
    <w:rsid w:val="005C4D4B"/>
    <w:rsid w:val="005C4DB5"/>
    <w:rsid w:val="005C4DCC"/>
    <w:rsid w:val="005C4DD0"/>
    <w:rsid w:val="005C4E3C"/>
    <w:rsid w:val="005C4EAF"/>
    <w:rsid w:val="005C4EB3"/>
    <w:rsid w:val="005C4F37"/>
    <w:rsid w:val="005C4F6F"/>
    <w:rsid w:val="005C4FB9"/>
    <w:rsid w:val="005C504C"/>
    <w:rsid w:val="005C5109"/>
    <w:rsid w:val="005C5153"/>
    <w:rsid w:val="005C5169"/>
    <w:rsid w:val="005C516C"/>
    <w:rsid w:val="005C51A1"/>
    <w:rsid w:val="005C51DD"/>
    <w:rsid w:val="005C5229"/>
    <w:rsid w:val="005C528E"/>
    <w:rsid w:val="005C52AF"/>
    <w:rsid w:val="005C52C1"/>
    <w:rsid w:val="005C52CE"/>
    <w:rsid w:val="005C532C"/>
    <w:rsid w:val="005C5361"/>
    <w:rsid w:val="005C5427"/>
    <w:rsid w:val="005C54BB"/>
    <w:rsid w:val="005C54C1"/>
    <w:rsid w:val="005C5521"/>
    <w:rsid w:val="005C553D"/>
    <w:rsid w:val="005C5554"/>
    <w:rsid w:val="005C5555"/>
    <w:rsid w:val="005C557F"/>
    <w:rsid w:val="005C5580"/>
    <w:rsid w:val="005C5586"/>
    <w:rsid w:val="005C5588"/>
    <w:rsid w:val="005C5665"/>
    <w:rsid w:val="005C56DA"/>
    <w:rsid w:val="005C5748"/>
    <w:rsid w:val="005C576F"/>
    <w:rsid w:val="005C578C"/>
    <w:rsid w:val="005C57A8"/>
    <w:rsid w:val="005C5826"/>
    <w:rsid w:val="005C582B"/>
    <w:rsid w:val="005C586D"/>
    <w:rsid w:val="005C58B9"/>
    <w:rsid w:val="005C590A"/>
    <w:rsid w:val="005C590D"/>
    <w:rsid w:val="005C5914"/>
    <w:rsid w:val="005C5928"/>
    <w:rsid w:val="005C592E"/>
    <w:rsid w:val="005C5936"/>
    <w:rsid w:val="005C5944"/>
    <w:rsid w:val="005C5947"/>
    <w:rsid w:val="005C5996"/>
    <w:rsid w:val="005C59D3"/>
    <w:rsid w:val="005C5A03"/>
    <w:rsid w:val="005C5A40"/>
    <w:rsid w:val="005C5AB5"/>
    <w:rsid w:val="005C5ABA"/>
    <w:rsid w:val="005C5ADB"/>
    <w:rsid w:val="005C5AF5"/>
    <w:rsid w:val="005C5B95"/>
    <w:rsid w:val="005C5C00"/>
    <w:rsid w:val="005C5C04"/>
    <w:rsid w:val="005C5CFC"/>
    <w:rsid w:val="005C5D26"/>
    <w:rsid w:val="005C5D35"/>
    <w:rsid w:val="005C5D4C"/>
    <w:rsid w:val="005C5D59"/>
    <w:rsid w:val="005C5DCB"/>
    <w:rsid w:val="005C5E36"/>
    <w:rsid w:val="005C5E76"/>
    <w:rsid w:val="005C5F81"/>
    <w:rsid w:val="005C5FE9"/>
    <w:rsid w:val="005C5FED"/>
    <w:rsid w:val="005C605B"/>
    <w:rsid w:val="005C6073"/>
    <w:rsid w:val="005C6085"/>
    <w:rsid w:val="005C60C5"/>
    <w:rsid w:val="005C60CC"/>
    <w:rsid w:val="005C6107"/>
    <w:rsid w:val="005C6116"/>
    <w:rsid w:val="005C6128"/>
    <w:rsid w:val="005C612A"/>
    <w:rsid w:val="005C612F"/>
    <w:rsid w:val="005C617F"/>
    <w:rsid w:val="005C61AB"/>
    <w:rsid w:val="005C61AC"/>
    <w:rsid w:val="005C61E0"/>
    <w:rsid w:val="005C6202"/>
    <w:rsid w:val="005C620E"/>
    <w:rsid w:val="005C625A"/>
    <w:rsid w:val="005C626D"/>
    <w:rsid w:val="005C6283"/>
    <w:rsid w:val="005C62E2"/>
    <w:rsid w:val="005C62EA"/>
    <w:rsid w:val="005C631A"/>
    <w:rsid w:val="005C63BB"/>
    <w:rsid w:val="005C63DA"/>
    <w:rsid w:val="005C6403"/>
    <w:rsid w:val="005C643C"/>
    <w:rsid w:val="005C644A"/>
    <w:rsid w:val="005C645A"/>
    <w:rsid w:val="005C646A"/>
    <w:rsid w:val="005C64A9"/>
    <w:rsid w:val="005C6533"/>
    <w:rsid w:val="005C654A"/>
    <w:rsid w:val="005C65BC"/>
    <w:rsid w:val="005C65F8"/>
    <w:rsid w:val="005C6631"/>
    <w:rsid w:val="005C665F"/>
    <w:rsid w:val="005C6674"/>
    <w:rsid w:val="005C66BE"/>
    <w:rsid w:val="005C6762"/>
    <w:rsid w:val="005C679B"/>
    <w:rsid w:val="005C67DC"/>
    <w:rsid w:val="005C6818"/>
    <w:rsid w:val="005C6849"/>
    <w:rsid w:val="005C68CC"/>
    <w:rsid w:val="005C68DD"/>
    <w:rsid w:val="005C694C"/>
    <w:rsid w:val="005C6987"/>
    <w:rsid w:val="005C6A07"/>
    <w:rsid w:val="005C6A6E"/>
    <w:rsid w:val="005C6A8F"/>
    <w:rsid w:val="005C6AFF"/>
    <w:rsid w:val="005C6B21"/>
    <w:rsid w:val="005C6B25"/>
    <w:rsid w:val="005C6B71"/>
    <w:rsid w:val="005C6BA4"/>
    <w:rsid w:val="005C6BB7"/>
    <w:rsid w:val="005C6BC3"/>
    <w:rsid w:val="005C6BE6"/>
    <w:rsid w:val="005C6C28"/>
    <w:rsid w:val="005C6C31"/>
    <w:rsid w:val="005C6C87"/>
    <w:rsid w:val="005C6D34"/>
    <w:rsid w:val="005C6D78"/>
    <w:rsid w:val="005C6DA7"/>
    <w:rsid w:val="005C6E0C"/>
    <w:rsid w:val="005C6E1F"/>
    <w:rsid w:val="005C6E87"/>
    <w:rsid w:val="005C6ED9"/>
    <w:rsid w:val="005C6EF4"/>
    <w:rsid w:val="005C6F31"/>
    <w:rsid w:val="005C6F35"/>
    <w:rsid w:val="005C6FF0"/>
    <w:rsid w:val="005C703F"/>
    <w:rsid w:val="005C708F"/>
    <w:rsid w:val="005C7094"/>
    <w:rsid w:val="005C70AF"/>
    <w:rsid w:val="005C70E1"/>
    <w:rsid w:val="005C70E7"/>
    <w:rsid w:val="005C7123"/>
    <w:rsid w:val="005C71A9"/>
    <w:rsid w:val="005C72C5"/>
    <w:rsid w:val="005C72F3"/>
    <w:rsid w:val="005C731D"/>
    <w:rsid w:val="005C7380"/>
    <w:rsid w:val="005C73A3"/>
    <w:rsid w:val="005C73D5"/>
    <w:rsid w:val="005C73EB"/>
    <w:rsid w:val="005C7405"/>
    <w:rsid w:val="005C740A"/>
    <w:rsid w:val="005C740D"/>
    <w:rsid w:val="005C7427"/>
    <w:rsid w:val="005C742B"/>
    <w:rsid w:val="005C74BB"/>
    <w:rsid w:val="005C7582"/>
    <w:rsid w:val="005C7590"/>
    <w:rsid w:val="005C7604"/>
    <w:rsid w:val="005C7628"/>
    <w:rsid w:val="005C769B"/>
    <w:rsid w:val="005C76B8"/>
    <w:rsid w:val="005C76D3"/>
    <w:rsid w:val="005C76FF"/>
    <w:rsid w:val="005C77C0"/>
    <w:rsid w:val="005C780C"/>
    <w:rsid w:val="005C7855"/>
    <w:rsid w:val="005C78BA"/>
    <w:rsid w:val="005C7921"/>
    <w:rsid w:val="005C792D"/>
    <w:rsid w:val="005C794B"/>
    <w:rsid w:val="005C796E"/>
    <w:rsid w:val="005C797E"/>
    <w:rsid w:val="005C7980"/>
    <w:rsid w:val="005C7981"/>
    <w:rsid w:val="005C79B7"/>
    <w:rsid w:val="005C79BC"/>
    <w:rsid w:val="005C79D2"/>
    <w:rsid w:val="005C7A39"/>
    <w:rsid w:val="005C7A99"/>
    <w:rsid w:val="005C7AFC"/>
    <w:rsid w:val="005C7B79"/>
    <w:rsid w:val="005C7BAA"/>
    <w:rsid w:val="005C7C02"/>
    <w:rsid w:val="005C7C75"/>
    <w:rsid w:val="005C7C8A"/>
    <w:rsid w:val="005C7C8F"/>
    <w:rsid w:val="005C7CE8"/>
    <w:rsid w:val="005C7CF6"/>
    <w:rsid w:val="005C7DB1"/>
    <w:rsid w:val="005C7DC2"/>
    <w:rsid w:val="005C7DDB"/>
    <w:rsid w:val="005C7DEC"/>
    <w:rsid w:val="005C7E32"/>
    <w:rsid w:val="005C7E58"/>
    <w:rsid w:val="005C7EB0"/>
    <w:rsid w:val="005C7EE4"/>
    <w:rsid w:val="005C7F07"/>
    <w:rsid w:val="005C7FE4"/>
    <w:rsid w:val="005D0025"/>
    <w:rsid w:val="005D00BF"/>
    <w:rsid w:val="005D00C8"/>
    <w:rsid w:val="005D00E4"/>
    <w:rsid w:val="005D00E5"/>
    <w:rsid w:val="005D00F8"/>
    <w:rsid w:val="005D0199"/>
    <w:rsid w:val="005D01BE"/>
    <w:rsid w:val="005D01FB"/>
    <w:rsid w:val="005D0259"/>
    <w:rsid w:val="005D02BB"/>
    <w:rsid w:val="005D0303"/>
    <w:rsid w:val="005D034B"/>
    <w:rsid w:val="005D036B"/>
    <w:rsid w:val="005D0371"/>
    <w:rsid w:val="005D0433"/>
    <w:rsid w:val="005D0447"/>
    <w:rsid w:val="005D0469"/>
    <w:rsid w:val="005D0495"/>
    <w:rsid w:val="005D04DB"/>
    <w:rsid w:val="005D04E0"/>
    <w:rsid w:val="005D04FC"/>
    <w:rsid w:val="005D05C1"/>
    <w:rsid w:val="005D05D1"/>
    <w:rsid w:val="005D05D3"/>
    <w:rsid w:val="005D05EB"/>
    <w:rsid w:val="005D062E"/>
    <w:rsid w:val="005D0641"/>
    <w:rsid w:val="005D0673"/>
    <w:rsid w:val="005D067B"/>
    <w:rsid w:val="005D0685"/>
    <w:rsid w:val="005D06F2"/>
    <w:rsid w:val="005D074E"/>
    <w:rsid w:val="005D0768"/>
    <w:rsid w:val="005D0786"/>
    <w:rsid w:val="005D081A"/>
    <w:rsid w:val="005D081F"/>
    <w:rsid w:val="005D08EE"/>
    <w:rsid w:val="005D0910"/>
    <w:rsid w:val="005D09D2"/>
    <w:rsid w:val="005D0A13"/>
    <w:rsid w:val="005D0A81"/>
    <w:rsid w:val="005D0ABB"/>
    <w:rsid w:val="005D0AC8"/>
    <w:rsid w:val="005D0B69"/>
    <w:rsid w:val="005D0B6B"/>
    <w:rsid w:val="005D0B72"/>
    <w:rsid w:val="005D0B8A"/>
    <w:rsid w:val="005D0BBF"/>
    <w:rsid w:val="005D0C74"/>
    <w:rsid w:val="005D0C97"/>
    <w:rsid w:val="005D0C98"/>
    <w:rsid w:val="005D0CDC"/>
    <w:rsid w:val="005D0D31"/>
    <w:rsid w:val="005D0D3C"/>
    <w:rsid w:val="005D0DD1"/>
    <w:rsid w:val="005D0E5B"/>
    <w:rsid w:val="005D0F0D"/>
    <w:rsid w:val="005D0F36"/>
    <w:rsid w:val="005D0F4F"/>
    <w:rsid w:val="005D0F5F"/>
    <w:rsid w:val="005D0F6B"/>
    <w:rsid w:val="005D0F87"/>
    <w:rsid w:val="005D0FAD"/>
    <w:rsid w:val="005D1044"/>
    <w:rsid w:val="005D1047"/>
    <w:rsid w:val="005D1056"/>
    <w:rsid w:val="005D105B"/>
    <w:rsid w:val="005D116F"/>
    <w:rsid w:val="005D1176"/>
    <w:rsid w:val="005D11D6"/>
    <w:rsid w:val="005D124B"/>
    <w:rsid w:val="005D12DB"/>
    <w:rsid w:val="005D1302"/>
    <w:rsid w:val="005D132F"/>
    <w:rsid w:val="005D136E"/>
    <w:rsid w:val="005D138B"/>
    <w:rsid w:val="005D1393"/>
    <w:rsid w:val="005D13A4"/>
    <w:rsid w:val="005D13FA"/>
    <w:rsid w:val="005D1436"/>
    <w:rsid w:val="005D14CC"/>
    <w:rsid w:val="005D1533"/>
    <w:rsid w:val="005D15B7"/>
    <w:rsid w:val="005D1690"/>
    <w:rsid w:val="005D16ED"/>
    <w:rsid w:val="005D1790"/>
    <w:rsid w:val="005D1799"/>
    <w:rsid w:val="005D17EE"/>
    <w:rsid w:val="005D1846"/>
    <w:rsid w:val="005D186F"/>
    <w:rsid w:val="005D1887"/>
    <w:rsid w:val="005D18B9"/>
    <w:rsid w:val="005D18DA"/>
    <w:rsid w:val="005D18F1"/>
    <w:rsid w:val="005D1927"/>
    <w:rsid w:val="005D1931"/>
    <w:rsid w:val="005D19D9"/>
    <w:rsid w:val="005D19FB"/>
    <w:rsid w:val="005D1A07"/>
    <w:rsid w:val="005D1AA6"/>
    <w:rsid w:val="005D1AAA"/>
    <w:rsid w:val="005D1AF3"/>
    <w:rsid w:val="005D1B0B"/>
    <w:rsid w:val="005D1B10"/>
    <w:rsid w:val="005D1B99"/>
    <w:rsid w:val="005D1BA8"/>
    <w:rsid w:val="005D1BAE"/>
    <w:rsid w:val="005D1BB0"/>
    <w:rsid w:val="005D1BD2"/>
    <w:rsid w:val="005D1BD8"/>
    <w:rsid w:val="005D1C09"/>
    <w:rsid w:val="005D1CA7"/>
    <w:rsid w:val="005D1CC6"/>
    <w:rsid w:val="005D1D1E"/>
    <w:rsid w:val="005D1D4D"/>
    <w:rsid w:val="005D1D81"/>
    <w:rsid w:val="005D1DB5"/>
    <w:rsid w:val="005D1DD0"/>
    <w:rsid w:val="005D1DFA"/>
    <w:rsid w:val="005D1E1D"/>
    <w:rsid w:val="005D1ED0"/>
    <w:rsid w:val="005D1EFB"/>
    <w:rsid w:val="005D1F2B"/>
    <w:rsid w:val="005D1F4B"/>
    <w:rsid w:val="005D1F76"/>
    <w:rsid w:val="005D1FA0"/>
    <w:rsid w:val="005D1FA1"/>
    <w:rsid w:val="005D2072"/>
    <w:rsid w:val="005D2085"/>
    <w:rsid w:val="005D20B3"/>
    <w:rsid w:val="005D21D1"/>
    <w:rsid w:val="005D2210"/>
    <w:rsid w:val="005D223A"/>
    <w:rsid w:val="005D2254"/>
    <w:rsid w:val="005D225E"/>
    <w:rsid w:val="005D2282"/>
    <w:rsid w:val="005D22BD"/>
    <w:rsid w:val="005D22F4"/>
    <w:rsid w:val="005D22F5"/>
    <w:rsid w:val="005D22FF"/>
    <w:rsid w:val="005D232F"/>
    <w:rsid w:val="005D233B"/>
    <w:rsid w:val="005D2340"/>
    <w:rsid w:val="005D2375"/>
    <w:rsid w:val="005D237A"/>
    <w:rsid w:val="005D23F5"/>
    <w:rsid w:val="005D241F"/>
    <w:rsid w:val="005D2450"/>
    <w:rsid w:val="005D245C"/>
    <w:rsid w:val="005D249F"/>
    <w:rsid w:val="005D24A9"/>
    <w:rsid w:val="005D2512"/>
    <w:rsid w:val="005D2538"/>
    <w:rsid w:val="005D254F"/>
    <w:rsid w:val="005D2570"/>
    <w:rsid w:val="005D2599"/>
    <w:rsid w:val="005D25EC"/>
    <w:rsid w:val="005D25FA"/>
    <w:rsid w:val="005D2618"/>
    <w:rsid w:val="005D2623"/>
    <w:rsid w:val="005D2693"/>
    <w:rsid w:val="005D26B4"/>
    <w:rsid w:val="005D26C9"/>
    <w:rsid w:val="005D26F0"/>
    <w:rsid w:val="005D275A"/>
    <w:rsid w:val="005D27D0"/>
    <w:rsid w:val="005D27D2"/>
    <w:rsid w:val="005D281F"/>
    <w:rsid w:val="005D286C"/>
    <w:rsid w:val="005D2898"/>
    <w:rsid w:val="005D28A6"/>
    <w:rsid w:val="005D28EE"/>
    <w:rsid w:val="005D293B"/>
    <w:rsid w:val="005D2996"/>
    <w:rsid w:val="005D29E2"/>
    <w:rsid w:val="005D2A87"/>
    <w:rsid w:val="005D2AA8"/>
    <w:rsid w:val="005D2AC3"/>
    <w:rsid w:val="005D2AE5"/>
    <w:rsid w:val="005D2B05"/>
    <w:rsid w:val="005D2B23"/>
    <w:rsid w:val="005D2B61"/>
    <w:rsid w:val="005D2BB9"/>
    <w:rsid w:val="005D2BF6"/>
    <w:rsid w:val="005D2C0E"/>
    <w:rsid w:val="005D2C2C"/>
    <w:rsid w:val="005D2C6A"/>
    <w:rsid w:val="005D2CAA"/>
    <w:rsid w:val="005D2D4F"/>
    <w:rsid w:val="005D2D68"/>
    <w:rsid w:val="005D2D6D"/>
    <w:rsid w:val="005D2D7F"/>
    <w:rsid w:val="005D2DBF"/>
    <w:rsid w:val="005D2DC1"/>
    <w:rsid w:val="005D2E09"/>
    <w:rsid w:val="005D2E18"/>
    <w:rsid w:val="005D2E34"/>
    <w:rsid w:val="005D2E7B"/>
    <w:rsid w:val="005D2E98"/>
    <w:rsid w:val="005D2EB3"/>
    <w:rsid w:val="005D2EC4"/>
    <w:rsid w:val="005D2EC6"/>
    <w:rsid w:val="005D2F4F"/>
    <w:rsid w:val="005D2F5A"/>
    <w:rsid w:val="005D2F80"/>
    <w:rsid w:val="005D2FC6"/>
    <w:rsid w:val="005D305F"/>
    <w:rsid w:val="005D3085"/>
    <w:rsid w:val="005D3096"/>
    <w:rsid w:val="005D30C7"/>
    <w:rsid w:val="005D30CE"/>
    <w:rsid w:val="005D3113"/>
    <w:rsid w:val="005D312A"/>
    <w:rsid w:val="005D3131"/>
    <w:rsid w:val="005D3171"/>
    <w:rsid w:val="005D3185"/>
    <w:rsid w:val="005D3207"/>
    <w:rsid w:val="005D3253"/>
    <w:rsid w:val="005D3266"/>
    <w:rsid w:val="005D3273"/>
    <w:rsid w:val="005D328D"/>
    <w:rsid w:val="005D32E8"/>
    <w:rsid w:val="005D3309"/>
    <w:rsid w:val="005D3352"/>
    <w:rsid w:val="005D3375"/>
    <w:rsid w:val="005D33A3"/>
    <w:rsid w:val="005D33BC"/>
    <w:rsid w:val="005D33C3"/>
    <w:rsid w:val="005D33E7"/>
    <w:rsid w:val="005D3520"/>
    <w:rsid w:val="005D352E"/>
    <w:rsid w:val="005D355F"/>
    <w:rsid w:val="005D359A"/>
    <w:rsid w:val="005D3623"/>
    <w:rsid w:val="005D363D"/>
    <w:rsid w:val="005D365C"/>
    <w:rsid w:val="005D3672"/>
    <w:rsid w:val="005D367A"/>
    <w:rsid w:val="005D36A2"/>
    <w:rsid w:val="005D36F3"/>
    <w:rsid w:val="005D3742"/>
    <w:rsid w:val="005D3749"/>
    <w:rsid w:val="005D3773"/>
    <w:rsid w:val="005D37C7"/>
    <w:rsid w:val="005D37EA"/>
    <w:rsid w:val="005D3877"/>
    <w:rsid w:val="005D390F"/>
    <w:rsid w:val="005D3910"/>
    <w:rsid w:val="005D3931"/>
    <w:rsid w:val="005D399E"/>
    <w:rsid w:val="005D39D4"/>
    <w:rsid w:val="005D39E8"/>
    <w:rsid w:val="005D3A9E"/>
    <w:rsid w:val="005D3BC1"/>
    <w:rsid w:val="005D3C14"/>
    <w:rsid w:val="005D3C38"/>
    <w:rsid w:val="005D3C3C"/>
    <w:rsid w:val="005D3CA0"/>
    <w:rsid w:val="005D3D04"/>
    <w:rsid w:val="005D3D24"/>
    <w:rsid w:val="005D3D36"/>
    <w:rsid w:val="005D3D5C"/>
    <w:rsid w:val="005D3DD6"/>
    <w:rsid w:val="005D3DD7"/>
    <w:rsid w:val="005D3E25"/>
    <w:rsid w:val="005D3E9D"/>
    <w:rsid w:val="005D3F7B"/>
    <w:rsid w:val="005D3FB0"/>
    <w:rsid w:val="005D3FEA"/>
    <w:rsid w:val="005D4062"/>
    <w:rsid w:val="005D4121"/>
    <w:rsid w:val="005D4145"/>
    <w:rsid w:val="005D4187"/>
    <w:rsid w:val="005D419D"/>
    <w:rsid w:val="005D4276"/>
    <w:rsid w:val="005D4289"/>
    <w:rsid w:val="005D42DC"/>
    <w:rsid w:val="005D42DE"/>
    <w:rsid w:val="005D4328"/>
    <w:rsid w:val="005D4399"/>
    <w:rsid w:val="005D43F7"/>
    <w:rsid w:val="005D43FA"/>
    <w:rsid w:val="005D441E"/>
    <w:rsid w:val="005D4473"/>
    <w:rsid w:val="005D44E6"/>
    <w:rsid w:val="005D44F5"/>
    <w:rsid w:val="005D4505"/>
    <w:rsid w:val="005D450E"/>
    <w:rsid w:val="005D45A0"/>
    <w:rsid w:val="005D45BE"/>
    <w:rsid w:val="005D45CB"/>
    <w:rsid w:val="005D45DB"/>
    <w:rsid w:val="005D4633"/>
    <w:rsid w:val="005D463F"/>
    <w:rsid w:val="005D466A"/>
    <w:rsid w:val="005D467C"/>
    <w:rsid w:val="005D46D4"/>
    <w:rsid w:val="005D46E0"/>
    <w:rsid w:val="005D46FA"/>
    <w:rsid w:val="005D46FC"/>
    <w:rsid w:val="005D470B"/>
    <w:rsid w:val="005D472B"/>
    <w:rsid w:val="005D473A"/>
    <w:rsid w:val="005D476B"/>
    <w:rsid w:val="005D4774"/>
    <w:rsid w:val="005D4776"/>
    <w:rsid w:val="005D4778"/>
    <w:rsid w:val="005D4780"/>
    <w:rsid w:val="005D4806"/>
    <w:rsid w:val="005D485A"/>
    <w:rsid w:val="005D487D"/>
    <w:rsid w:val="005D48A8"/>
    <w:rsid w:val="005D48C0"/>
    <w:rsid w:val="005D48C2"/>
    <w:rsid w:val="005D4985"/>
    <w:rsid w:val="005D49C2"/>
    <w:rsid w:val="005D4A1C"/>
    <w:rsid w:val="005D4A5F"/>
    <w:rsid w:val="005D4A75"/>
    <w:rsid w:val="005D4A7A"/>
    <w:rsid w:val="005D4A83"/>
    <w:rsid w:val="005D4AD3"/>
    <w:rsid w:val="005D4B3F"/>
    <w:rsid w:val="005D4B91"/>
    <w:rsid w:val="005D4BAA"/>
    <w:rsid w:val="005D4BC5"/>
    <w:rsid w:val="005D4C0C"/>
    <w:rsid w:val="005D4C2A"/>
    <w:rsid w:val="005D4C5C"/>
    <w:rsid w:val="005D4C64"/>
    <w:rsid w:val="005D4CCD"/>
    <w:rsid w:val="005D4D33"/>
    <w:rsid w:val="005D4D9C"/>
    <w:rsid w:val="005D4DC4"/>
    <w:rsid w:val="005D4E0C"/>
    <w:rsid w:val="005D4E33"/>
    <w:rsid w:val="005D4ED3"/>
    <w:rsid w:val="005D4F7A"/>
    <w:rsid w:val="005D5009"/>
    <w:rsid w:val="005D504B"/>
    <w:rsid w:val="005D506C"/>
    <w:rsid w:val="005D508D"/>
    <w:rsid w:val="005D50CB"/>
    <w:rsid w:val="005D51EB"/>
    <w:rsid w:val="005D520B"/>
    <w:rsid w:val="005D5248"/>
    <w:rsid w:val="005D5277"/>
    <w:rsid w:val="005D5330"/>
    <w:rsid w:val="005D5364"/>
    <w:rsid w:val="005D53E8"/>
    <w:rsid w:val="005D5446"/>
    <w:rsid w:val="005D5508"/>
    <w:rsid w:val="005D5520"/>
    <w:rsid w:val="005D5521"/>
    <w:rsid w:val="005D55ED"/>
    <w:rsid w:val="005D55F3"/>
    <w:rsid w:val="005D5605"/>
    <w:rsid w:val="005D560F"/>
    <w:rsid w:val="005D561C"/>
    <w:rsid w:val="005D568F"/>
    <w:rsid w:val="005D5703"/>
    <w:rsid w:val="005D5728"/>
    <w:rsid w:val="005D57B5"/>
    <w:rsid w:val="005D57C0"/>
    <w:rsid w:val="005D5805"/>
    <w:rsid w:val="005D5844"/>
    <w:rsid w:val="005D5853"/>
    <w:rsid w:val="005D589A"/>
    <w:rsid w:val="005D58F6"/>
    <w:rsid w:val="005D58FE"/>
    <w:rsid w:val="005D5908"/>
    <w:rsid w:val="005D5912"/>
    <w:rsid w:val="005D591A"/>
    <w:rsid w:val="005D5953"/>
    <w:rsid w:val="005D5977"/>
    <w:rsid w:val="005D59DE"/>
    <w:rsid w:val="005D59FF"/>
    <w:rsid w:val="005D5A6C"/>
    <w:rsid w:val="005D5A70"/>
    <w:rsid w:val="005D5ABC"/>
    <w:rsid w:val="005D5B21"/>
    <w:rsid w:val="005D5B50"/>
    <w:rsid w:val="005D5B57"/>
    <w:rsid w:val="005D5B7E"/>
    <w:rsid w:val="005D5BD8"/>
    <w:rsid w:val="005D5C18"/>
    <w:rsid w:val="005D5C4C"/>
    <w:rsid w:val="005D5C6C"/>
    <w:rsid w:val="005D5C7D"/>
    <w:rsid w:val="005D5C82"/>
    <w:rsid w:val="005D5CBF"/>
    <w:rsid w:val="005D5CC5"/>
    <w:rsid w:val="005D5DA0"/>
    <w:rsid w:val="005D5DE0"/>
    <w:rsid w:val="005D5E17"/>
    <w:rsid w:val="005D5E25"/>
    <w:rsid w:val="005D5EC5"/>
    <w:rsid w:val="005D5EFE"/>
    <w:rsid w:val="005D5F11"/>
    <w:rsid w:val="005D5F13"/>
    <w:rsid w:val="005D5F19"/>
    <w:rsid w:val="005D5F83"/>
    <w:rsid w:val="005D5F97"/>
    <w:rsid w:val="005D5FD4"/>
    <w:rsid w:val="005D6077"/>
    <w:rsid w:val="005D6082"/>
    <w:rsid w:val="005D619E"/>
    <w:rsid w:val="005D61C4"/>
    <w:rsid w:val="005D625F"/>
    <w:rsid w:val="005D6265"/>
    <w:rsid w:val="005D628B"/>
    <w:rsid w:val="005D632A"/>
    <w:rsid w:val="005D636E"/>
    <w:rsid w:val="005D63F0"/>
    <w:rsid w:val="005D64F4"/>
    <w:rsid w:val="005D6568"/>
    <w:rsid w:val="005D6607"/>
    <w:rsid w:val="005D663E"/>
    <w:rsid w:val="005D670D"/>
    <w:rsid w:val="005D674E"/>
    <w:rsid w:val="005D67C0"/>
    <w:rsid w:val="005D67E2"/>
    <w:rsid w:val="005D6806"/>
    <w:rsid w:val="005D6812"/>
    <w:rsid w:val="005D6820"/>
    <w:rsid w:val="005D6871"/>
    <w:rsid w:val="005D688B"/>
    <w:rsid w:val="005D68E2"/>
    <w:rsid w:val="005D68F4"/>
    <w:rsid w:val="005D6903"/>
    <w:rsid w:val="005D6927"/>
    <w:rsid w:val="005D6935"/>
    <w:rsid w:val="005D696B"/>
    <w:rsid w:val="005D69BD"/>
    <w:rsid w:val="005D69F1"/>
    <w:rsid w:val="005D6A53"/>
    <w:rsid w:val="005D6ACB"/>
    <w:rsid w:val="005D6AD1"/>
    <w:rsid w:val="005D6AE1"/>
    <w:rsid w:val="005D6AEB"/>
    <w:rsid w:val="005D6B3E"/>
    <w:rsid w:val="005D6B65"/>
    <w:rsid w:val="005D6B8A"/>
    <w:rsid w:val="005D6B94"/>
    <w:rsid w:val="005D6B96"/>
    <w:rsid w:val="005D6C24"/>
    <w:rsid w:val="005D6C27"/>
    <w:rsid w:val="005D6C94"/>
    <w:rsid w:val="005D6D16"/>
    <w:rsid w:val="005D6D1A"/>
    <w:rsid w:val="005D6D3C"/>
    <w:rsid w:val="005D6D85"/>
    <w:rsid w:val="005D6E99"/>
    <w:rsid w:val="005D6EBC"/>
    <w:rsid w:val="005D6EE9"/>
    <w:rsid w:val="005D6EEB"/>
    <w:rsid w:val="005D6F5B"/>
    <w:rsid w:val="005D6F72"/>
    <w:rsid w:val="005D6FD7"/>
    <w:rsid w:val="005D7011"/>
    <w:rsid w:val="005D7039"/>
    <w:rsid w:val="005D7057"/>
    <w:rsid w:val="005D7099"/>
    <w:rsid w:val="005D70AB"/>
    <w:rsid w:val="005D70E2"/>
    <w:rsid w:val="005D70F1"/>
    <w:rsid w:val="005D7114"/>
    <w:rsid w:val="005D71D5"/>
    <w:rsid w:val="005D722B"/>
    <w:rsid w:val="005D723B"/>
    <w:rsid w:val="005D727E"/>
    <w:rsid w:val="005D72C0"/>
    <w:rsid w:val="005D72CD"/>
    <w:rsid w:val="005D72E6"/>
    <w:rsid w:val="005D733F"/>
    <w:rsid w:val="005D7376"/>
    <w:rsid w:val="005D737D"/>
    <w:rsid w:val="005D73BF"/>
    <w:rsid w:val="005D73F4"/>
    <w:rsid w:val="005D740F"/>
    <w:rsid w:val="005D7447"/>
    <w:rsid w:val="005D7466"/>
    <w:rsid w:val="005D74A4"/>
    <w:rsid w:val="005D74F6"/>
    <w:rsid w:val="005D751C"/>
    <w:rsid w:val="005D7574"/>
    <w:rsid w:val="005D75CD"/>
    <w:rsid w:val="005D75DA"/>
    <w:rsid w:val="005D764F"/>
    <w:rsid w:val="005D765D"/>
    <w:rsid w:val="005D7695"/>
    <w:rsid w:val="005D76D9"/>
    <w:rsid w:val="005D779D"/>
    <w:rsid w:val="005D77D9"/>
    <w:rsid w:val="005D77F8"/>
    <w:rsid w:val="005D7866"/>
    <w:rsid w:val="005D78B5"/>
    <w:rsid w:val="005D78DA"/>
    <w:rsid w:val="005D78F0"/>
    <w:rsid w:val="005D794C"/>
    <w:rsid w:val="005D794F"/>
    <w:rsid w:val="005D79EE"/>
    <w:rsid w:val="005D7A10"/>
    <w:rsid w:val="005D7A8E"/>
    <w:rsid w:val="005D7AAC"/>
    <w:rsid w:val="005D7B00"/>
    <w:rsid w:val="005D7B1E"/>
    <w:rsid w:val="005D7BB1"/>
    <w:rsid w:val="005D7BC4"/>
    <w:rsid w:val="005D7C08"/>
    <w:rsid w:val="005D7C12"/>
    <w:rsid w:val="005D7C5B"/>
    <w:rsid w:val="005D7C63"/>
    <w:rsid w:val="005D7CCB"/>
    <w:rsid w:val="005D7CDA"/>
    <w:rsid w:val="005D7D2D"/>
    <w:rsid w:val="005D7D75"/>
    <w:rsid w:val="005D7DBE"/>
    <w:rsid w:val="005D7EB0"/>
    <w:rsid w:val="005D7ED6"/>
    <w:rsid w:val="005D7F05"/>
    <w:rsid w:val="005D7FC0"/>
    <w:rsid w:val="005E0039"/>
    <w:rsid w:val="005E004A"/>
    <w:rsid w:val="005E0083"/>
    <w:rsid w:val="005E00C6"/>
    <w:rsid w:val="005E00CE"/>
    <w:rsid w:val="005E00D1"/>
    <w:rsid w:val="005E00F3"/>
    <w:rsid w:val="005E00F9"/>
    <w:rsid w:val="005E00FA"/>
    <w:rsid w:val="005E0146"/>
    <w:rsid w:val="005E0186"/>
    <w:rsid w:val="005E01DA"/>
    <w:rsid w:val="005E021E"/>
    <w:rsid w:val="005E0253"/>
    <w:rsid w:val="005E0255"/>
    <w:rsid w:val="005E027E"/>
    <w:rsid w:val="005E02BB"/>
    <w:rsid w:val="005E02CF"/>
    <w:rsid w:val="005E02DD"/>
    <w:rsid w:val="005E032E"/>
    <w:rsid w:val="005E0368"/>
    <w:rsid w:val="005E037C"/>
    <w:rsid w:val="005E0398"/>
    <w:rsid w:val="005E039D"/>
    <w:rsid w:val="005E03B4"/>
    <w:rsid w:val="005E03EC"/>
    <w:rsid w:val="005E0415"/>
    <w:rsid w:val="005E0495"/>
    <w:rsid w:val="005E0509"/>
    <w:rsid w:val="005E052A"/>
    <w:rsid w:val="005E05E3"/>
    <w:rsid w:val="005E0623"/>
    <w:rsid w:val="005E068D"/>
    <w:rsid w:val="005E069D"/>
    <w:rsid w:val="005E06D6"/>
    <w:rsid w:val="005E073A"/>
    <w:rsid w:val="005E0765"/>
    <w:rsid w:val="005E0775"/>
    <w:rsid w:val="005E079A"/>
    <w:rsid w:val="005E07B6"/>
    <w:rsid w:val="005E07C6"/>
    <w:rsid w:val="005E0862"/>
    <w:rsid w:val="005E087D"/>
    <w:rsid w:val="005E08F0"/>
    <w:rsid w:val="005E091B"/>
    <w:rsid w:val="005E0935"/>
    <w:rsid w:val="005E093E"/>
    <w:rsid w:val="005E094C"/>
    <w:rsid w:val="005E0983"/>
    <w:rsid w:val="005E0986"/>
    <w:rsid w:val="005E0A60"/>
    <w:rsid w:val="005E0A77"/>
    <w:rsid w:val="005E0AA9"/>
    <w:rsid w:val="005E0AAE"/>
    <w:rsid w:val="005E0B03"/>
    <w:rsid w:val="005E0B56"/>
    <w:rsid w:val="005E0B7C"/>
    <w:rsid w:val="005E0B97"/>
    <w:rsid w:val="005E0B9E"/>
    <w:rsid w:val="005E0BAA"/>
    <w:rsid w:val="005E0C38"/>
    <w:rsid w:val="005E0C8B"/>
    <w:rsid w:val="005E0C9E"/>
    <w:rsid w:val="005E0CFE"/>
    <w:rsid w:val="005E0D23"/>
    <w:rsid w:val="005E0D35"/>
    <w:rsid w:val="005E0D60"/>
    <w:rsid w:val="005E0D6C"/>
    <w:rsid w:val="005E0D7D"/>
    <w:rsid w:val="005E0D83"/>
    <w:rsid w:val="005E0DD7"/>
    <w:rsid w:val="005E0E5E"/>
    <w:rsid w:val="005E0E7D"/>
    <w:rsid w:val="005E0EDF"/>
    <w:rsid w:val="005E0FFD"/>
    <w:rsid w:val="005E1016"/>
    <w:rsid w:val="005E103A"/>
    <w:rsid w:val="005E1042"/>
    <w:rsid w:val="005E1059"/>
    <w:rsid w:val="005E1079"/>
    <w:rsid w:val="005E107E"/>
    <w:rsid w:val="005E109E"/>
    <w:rsid w:val="005E10F4"/>
    <w:rsid w:val="005E112B"/>
    <w:rsid w:val="005E1199"/>
    <w:rsid w:val="005E119B"/>
    <w:rsid w:val="005E11B6"/>
    <w:rsid w:val="005E11FC"/>
    <w:rsid w:val="005E120C"/>
    <w:rsid w:val="005E123D"/>
    <w:rsid w:val="005E124C"/>
    <w:rsid w:val="005E1281"/>
    <w:rsid w:val="005E12A2"/>
    <w:rsid w:val="005E12CF"/>
    <w:rsid w:val="005E1367"/>
    <w:rsid w:val="005E13F7"/>
    <w:rsid w:val="005E140C"/>
    <w:rsid w:val="005E1411"/>
    <w:rsid w:val="005E1546"/>
    <w:rsid w:val="005E1548"/>
    <w:rsid w:val="005E154E"/>
    <w:rsid w:val="005E1554"/>
    <w:rsid w:val="005E163A"/>
    <w:rsid w:val="005E165E"/>
    <w:rsid w:val="005E16AF"/>
    <w:rsid w:val="005E171A"/>
    <w:rsid w:val="005E171D"/>
    <w:rsid w:val="005E1720"/>
    <w:rsid w:val="005E17B5"/>
    <w:rsid w:val="005E1850"/>
    <w:rsid w:val="005E1861"/>
    <w:rsid w:val="005E188F"/>
    <w:rsid w:val="005E190B"/>
    <w:rsid w:val="005E1931"/>
    <w:rsid w:val="005E199E"/>
    <w:rsid w:val="005E1A10"/>
    <w:rsid w:val="005E1A43"/>
    <w:rsid w:val="005E1A91"/>
    <w:rsid w:val="005E1AAF"/>
    <w:rsid w:val="005E1B18"/>
    <w:rsid w:val="005E1B3F"/>
    <w:rsid w:val="005E1B71"/>
    <w:rsid w:val="005E1B79"/>
    <w:rsid w:val="005E1B9D"/>
    <w:rsid w:val="005E1C38"/>
    <w:rsid w:val="005E1CC7"/>
    <w:rsid w:val="005E1CE5"/>
    <w:rsid w:val="005E1CF8"/>
    <w:rsid w:val="005E1D1D"/>
    <w:rsid w:val="005E1D1E"/>
    <w:rsid w:val="005E1D20"/>
    <w:rsid w:val="005E1D4D"/>
    <w:rsid w:val="005E1E19"/>
    <w:rsid w:val="005E1E2F"/>
    <w:rsid w:val="005E1E62"/>
    <w:rsid w:val="005E1E75"/>
    <w:rsid w:val="005E1E8A"/>
    <w:rsid w:val="005E1EDC"/>
    <w:rsid w:val="005E1EF9"/>
    <w:rsid w:val="005E1FC1"/>
    <w:rsid w:val="005E1FC9"/>
    <w:rsid w:val="005E1FF7"/>
    <w:rsid w:val="005E2039"/>
    <w:rsid w:val="005E2056"/>
    <w:rsid w:val="005E205E"/>
    <w:rsid w:val="005E2075"/>
    <w:rsid w:val="005E2095"/>
    <w:rsid w:val="005E2150"/>
    <w:rsid w:val="005E216A"/>
    <w:rsid w:val="005E21CD"/>
    <w:rsid w:val="005E22B1"/>
    <w:rsid w:val="005E22DA"/>
    <w:rsid w:val="005E22DE"/>
    <w:rsid w:val="005E2301"/>
    <w:rsid w:val="005E2324"/>
    <w:rsid w:val="005E2375"/>
    <w:rsid w:val="005E23C6"/>
    <w:rsid w:val="005E23CD"/>
    <w:rsid w:val="005E23DB"/>
    <w:rsid w:val="005E2448"/>
    <w:rsid w:val="005E24A4"/>
    <w:rsid w:val="005E24B3"/>
    <w:rsid w:val="005E2509"/>
    <w:rsid w:val="005E2511"/>
    <w:rsid w:val="005E2512"/>
    <w:rsid w:val="005E2525"/>
    <w:rsid w:val="005E2550"/>
    <w:rsid w:val="005E2572"/>
    <w:rsid w:val="005E25E1"/>
    <w:rsid w:val="005E2633"/>
    <w:rsid w:val="005E266B"/>
    <w:rsid w:val="005E26B8"/>
    <w:rsid w:val="005E270B"/>
    <w:rsid w:val="005E274A"/>
    <w:rsid w:val="005E2760"/>
    <w:rsid w:val="005E2782"/>
    <w:rsid w:val="005E27F8"/>
    <w:rsid w:val="005E2806"/>
    <w:rsid w:val="005E2810"/>
    <w:rsid w:val="005E281F"/>
    <w:rsid w:val="005E2869"/>
    <w:rsid w:val="005E28BB"/>
    <w:rsid w:val="005E28C3"/>
    <w:rsid w:val="005E291E"/>
    <w:rsid w:val="005E295C"/>
    <w:rsid w:val="005E2986"/>
    <w:rsid w:val="005E29A8"/>
    <w:rsid w:val="005E29AF"/>
    <w:rsid w:val="005E29B3"/>
    <w:rsid w:val="005E2AD3"/>
    <w:rsid w:val="005E2AE3"/>
    <w:rsid w:val="005E2B0B"/>
    <w:rsid w:val="005E2B44"/>
    <w:rsid w:val="005E2BF1"/>
    <w:rsid w:val="005E2C2B"/>
    <w:rsid w:val="005E2C2C"/>
    <w:rsid w:val="005E2C65"/>
    <w:rsid w:val="005E2C73"/>
    <w:rsid w:val="005E2CE2"/>
    <w:rsid w:val="005E2D42"/>
    <w:rsid w:val="005E2D46"/>
    <w:rsid w:val="005E2D50"/>
    <w:rsid w:val="005E2DF6"/>
    <w:rsid w:val="005E2E8E"/>
    <w:rsid w:val="005E2E93"/>
    <w:rsid w:val="005E2E9B"/>
    <w:rsid w:val="005E2ECB"/>
    <w:rsid w:val="005E2F68"/>
    <w:rsid w:val="005E2FC2"/>
    <w:rsid w:val="005E3004"/>
    <w:rsid w:val="005E303B"/>
    <w:rsid w:val="005E306A"/>
    <w:rsid w:val="005E3082"/>
    <w:rsid w:val="005E3096"/>
    <w:rsid w:val="005E30AF"/>
    <w:rsid w:val="005E3147"/>
    <w:rsid w:val="005E3172"/>
    <w:rsid w:val="005E3179"/>
    <w:rsid w:val="005E3186"/>
    <w:rsid w:val="005E31DF"/>
    <w:rsid w:val="005E32C3"/>
    <w:rsid w:val="005E335A"/>
    <w:rsid w:val="005E335D"/>
    <w:rsid w:val="005E33BD"/>
    <w:rsid w:val="005E33C1"/>
    <w:rsid w:val="005E33E2"/>
    <w:rsid w:val="005E3401"/>
    <w:rsid w:val="005E343B"/>
    <w:rsid w:val="005E347A"/>
    <w:rsid w:val="005E3482"/>
    <w:rsid w:val="005E34DB"/>
    <w:rsid w:val="005E34E2"/>
    <w:rsid w:val="005E34F0"/>
    <w:rsid w:val="005E34FF"/>
    <w:rsid w:val="005E3517"/>
    <w:rsid w:val="005E3544"/>
    <w:rsid w:val="005E358C"/>
    <w:rsid w:val="005E362E"/>
    <w:rsid w:val="005E3640"/>
    <w:rsid w:val="005E366E"/>
    <w:rsid w:val="005E367F"/>
    <w:rsid w:val="005E36A9"/>
    <w:rsid w:val="005E36EA"/>
    <w:rsid w:val="005E3702"/>
    <w:rsid w:val="005E3705"/>
    <w:rsid w:val="005E3734"/>
    <w:rsid w:val="005E379A"/>
    <w:rsid w:val="005E37F8"/>
    <w:rsid w:val="005E384E"/>
    <w:rsid w:val="005E3853"/>
    <w:rsid w:val="005E386B"/>
    <w:rsid w:val="005E3885"/>
    <w:rsid w:val="005E38B6"/>
    <w:rsid w:val="005E38CE"/>
    <w:rsid w:val="005E38D0"/>
    <w:rsid w:val="005E38DF"/>
    <w:rsid w:val="005E38E9"/>
    <w:rsid w:val="005E394C"/>
    <w:rsid w:val="005E3962"/>
    <w:rsid w:val="005E397A"/>
    <w:rsid w:val="005E39B2"/>
    <w:rsid w:val="005E39C4"/>
    <w:rsid w:val="005E39C9"/>
    <w:rsid w:val="005E3A33"/>
    <w:rsid w:val="005E3A38"/>
    <w:rsid w:val="005E3A80"/>
    <w:rsid w:val="005E3A87"/>
    <w:rsid w:val="005E3B1A"/>
    <w:rsid w:val="005E3B34"/>
    <w:rsid w:val="005E3B4C"/>
    <w:rsid w:val="005E3B5D"/>
    <w:rsid w:val="005E3B93"/>
    <w:rsid w:val="005E3BB8"/>
    <w:rsid w:val="005E3BDD"/>
    <w:rsid w:val="005E3C70"/>
    <w:rsid w:val="005E3C75"/>
    <w:rsid w:val="005E3D15"/>
    <w:rsid w:val="005E3D2A"/>
    <w:rsid w:val="005E3D5F"/>
    <w:rsid w:val="005E3DAE"/>
    <w:rsid w:val="005E3DC1"/>
    <w:rsid w:val="005E3E08"/>
    <w:rsid w:val="005E3E15"/>
    <w:rsid w:val="005E3E56"/>
    <w:rsid w:val="005E3E64"/>
    <w:rsid w:val="005E3ED0"/>
    <w:rsid w:val="005E3F69"/>
    <w:rsid w:val="005E3FF1"/>
    <w:rsid w:val="005E3FF6"/>
    <w:rsid w:val="005E4057"/>
    <w:rsid w:val="005E4078"/>
    <w:rsid w:val="005E40D3"/>
    <w:rsid w:val="005E416E"/>
    <w:rsid w:val="005E41B1"/>
    <w:rsid w:val="005E42F9"/>
    <w:rsid w:val="005E430C"/>
    <w:rsid w:val="005E4388"/>
    <w:rsid w:val="005E438F"/>
    <w:rsid w:val="005E4399"/>
    <w:rsid w:val="005E43CC"/>
    <w:rsid w:val="005E43ED"/>
    <w:rsid w:val="005E4405"/>
    <w:rsid w:val="005E4417"/>
    <w:rsid w:val="005E4496"/>
    <w:rsid w:val="005E44AB"/>
    <w:rsid w:val="005E44C2"/>
    <w:rsid w:val="005E44C6"/>
    <w:rsid w:val="005E44DC"/>
    <w:rsid w:val="005E44EB"/>
    <w:rsid w:val="005E44F5"/>
    <w:rsid w:val="005E4508"/>
    <w:rsid w:val="005E4528"/>
    <w:rsid w:val="005E45CF"/>
    <w:rsid w:val="005E4675"/>
    <w:rsid w:val="005E46C9"/>
    <w:rsid w:val="005E4714"/>
    <w:rsid w:val="005E4780"/>
    <w:rsid w:val="005E47A1"/>
    <w:rsid w:val="005E4812"/>
    <w:rsid w:val="005E483D"/>
    <w:rsid w:val="005E4840"/>
    <w:rsid w:val="005E4850"/>
    <w:rsid w:val="005E4875"/>
    <w:rsid w:val="005E4897"/>
    <w:rsid w:val="005E48BA"/>
    <w:rsid w:val="005E496A"/>
    <w:rsid w:val="005E4970"/>
    <w:rsid w:val="005E499E"/>
    <w:rsid w:val="005E49EB"/>
    <w:rsid w:val="005E49F3"/>
    <w:rsid w:val="005E4B1E"/>
    <w:rsid w:val="005E4B69"/>
    <w:rsid w:val="005E4B9E"/>
    <w:rsid w:val="005E4BB4"/>
    <w:rsid w:val="005E4BEA"/>
    <w:rsid w:val="005E4C08"/>
    <w:rsid w:val="005E4C1A"/>
    <w:rsid w:val="005E4C3F"/>
    <w:rsid w:val="005E4CBE"/>
    <w:rsid w:val="005E4CC2"/>
    <w:rsid w:val="005E4CE9"/>
    <w:rsid w:val="005E4D3F"/>
    <w:rsid w:val="005E4D7E"/>
    <w:rsid w:val="005E4E4C"/>
    <w:rsid w:val="005E4E64"/>
    <w:rsid w:val="005E4E68"/>
    <w:rsid w:val="005E4E84"/>
    <w:rsid w:val="005E4E8C"/>
    <w:rsid w:val="005E4EDE"/>
    <w:rsid w:val="005E4F1C"/>
    <w:rsid w:val="005E4F68"/>
    <w:rsid w:val="005E4F6A"/>
    <w:rsid w:val="005E4F84"/>
    <w:rsid w:val="005E4FBA"/>
    <w:rsid w:val="005E4FDF"/>
    <w:rsid w:val="005E5004"/>
    <w:rsid w:val="005E500F"/>
    <w:rsid w:val="005E5011"/>
    <w:rsid w:val="005E505A"/>
    <w:rsid w:val="005E508D"/>
    <w:rsid w:val="005E518A"/>
    <w:rsid w:val="005E51C9"/>
    <w:rsid w:val="005E51DC"/>
    <w:rsid w:val="005E51E3"/>
    <w:rsid w:val="005E52A1"/>
    <w:rsid w:val="005E52AC"/>
    <w:rsid w:val="005E5349"/>
    <w:rsid w:val="005E53C0"/>
    <w:rsid w:val="005E53CC"/>
    <w:rsid w:val="005E53DC"/>
    <w:rsid w:val="005E540A"/>
    <w:rsid w:val="005E5420"/>
    <w:rsid w:val="005E5454"/>
    <w:rsid w:val="005E5457"/>
    <w:rsid w:val="005E54BA"/>
    <w:rsid w:val="005E54C6"/>
    <w:rsid w:val="005E5557"/>
    <w:rsid w:val="005E5558"/>
    <w:rsid w:val="005E556A"/>
    <w:rsid w:val="005E55F7"/>
    <w:rsid w:val="005E55F9"/>
    <w:rsid w:val="005E5608"/>
    <w:rsid w:val="005E563C"/>
    <w:rsid w:val="005E568C"/>
    <w:rsid w:val="005E568D"/>
    <w:rsid w:val="005E56B5"/>
    <w:rsid w:val="005E56BE"/>
    <w:rsid w:val="005E56D3"/>
    <w:rsid w:val="005E570D"/>
    <w:rsid w:val="005E5711"/>
    <w:rsid w:val="005E58A1"/>
    <w:rsid w:val="005E58D5"/>
    <w:rsid w:val="005E5904"/>
    <w:rsid w:val="005E5917"/>
    <w:rsid w:val="005E5919"/>
    <w:rsid w:val="005E5922"/>
    <w:rsid w:val="005E5969"/>
    <w:rsid w:val="005E59B9"/>
    <w:rsid w:val="005E59D6"/>
    <w:rsid w:val="005E59E5"/>
    <w:rsid w:val="005E5A0C"/>
    <w:rsid w:val="005E5A18"/>
    <w:rsid w:val="005E5A37"/>
    <w:rsid w:val="005E5B23"/>
    <w:rsid w:val="005E5B30"/>
    <w:rsid w:val="005E5B39"/>
    <w:rsid w:val="005E5B3C"/>
    <w:rsid w:val="005E5B91"/>
    <w:rsid w:val="005E5D0A"/>
    <w:rsid w:val="005E5D4B"/>
    <w:rsid w:val="005E5D7D"/>
    <w:rsid w:val="005E5DF6"/>
    <w:rsid w:val="005E5DFD"/>
    <w:rsid w:val="005E5E37"/>
    <w:rsid w:val="005E5E4B"/>
    <w:rsid w:val="005E5E82"/>
    <w:rsid w:val="005E5ECF"/>
    <w:rsid w:val="005E5F30"/>
    <w:rsid w:val="005E6019"/>
    <w:rsid w:val="005E6033"/>
    <w:rsid w:val="005E6046"/>
    <w:rsid w:val="005E60C0"/>
    <w:rsid w:val="005E611D"/>
    <w:rsid w:val="005E6135"/>
    <w:rsid w:val="005E6156"/>
    <w:rsid w:val="005E617E"/>
    <w:rsid w:val="005E61E7"/>
    <w:rsid w:val="005E61EC"/>
    <w:rsid w:val="005E622F"/>
    <w:rsid w:val="005E627B"/>
    <w:rsid w:val="005E62D5"/>
    <w:rsid w:val="005E62F9"/>
    <w:rsid w:val="005E631D"/>
    <w:rsid w:val="005E63D3"/>
    <w:rsid w:val="005E63E0"/>
    <w:rsid w:val="005E643E"/>
    <w:rsid w:val="005E6470"/>
    <w:rsid w:val="005E64B9"/>
    <w:rsid w:val="005E64C2"/>
    <w:rsid w:val="005E64F7"/>
    <w:rsid w:val="005E656B"/>
    <w:rsid w:val="005E656D"/>
    <w:rsid w:val="005E65E5"/>
    <w:rsid w:val="005E6601"/>
    <w:rsid w:val="005E6675"/>
    <w:rsid w:val="005E667A"/>
    <w:rsid w:val="005E6681"/>
    <w:rsid w:val="005E6686"/>
    <w:rsid w:val="005E66BE"/>
    <w:rsid w:val="005E6702"/>
    <w:rsid w:val="005E6715"/>
    <w:rsid w:val="005E6748"/>
    <w:rsid w:val="005E6782"/>
    <w:rsid w:val="005E6788"/>
    <w:rsid w:val="005E67AA"/>
    <w:rsid w:val="005E67B2"/>
    <w:rsid w:val="005E67D4"/>
    <w:rsid w:val="005E67FD"/>
    <w:rsid w:val="005E682D"/>
    <w:rsid w:val="005E6837"/>
    <w:rsid w:val="005E6873"/>
    <w:rsid w:val="005E6895"/>
    <w:rsid w:val="005E68B1"/>
    <w:rsid w:val="005E68D8"/>
    <w:rsid w:val="005E6944"/>
    <w:rsid w:val="005E6959"/>
    <w:rsid w:val="005E6AA4"/>
    <w:rsid w:val="005E6AE9"/>
    <w:rsid w:val="005E6AF7"/>
    <w:rsid w:val="005E6B06"/>
    <w:rsid w:val="005E6B0F"/>
    <w:rsid w:val="005E6B59"/>
    <w:rsid w:val="005E6BDA"/>
    <w:rsid w:val="005E6BE4"/>
    <w:rsid w:val="005E6BEF"/>
    <w:rsid w:val="005E6BFB"/>
    <w:rsid w:val="005E6C23"/>
    <w:rsid w:val="005E6C4C"/>
    <w:rsid w:val="005E6D7D"/>
    <w:rsid w:val="005E6DE7"/>
    <w:rsid w:val="005E6E17"/>
    <w:rsid w:val="005E6E54"/>
    <w:rsid w:val="005E6E5D"/>
    <w:rsid w:val="005E6EFA"/>
    <w:rsid w:val="005E6F2E"/>
    <w:rsid w:val="005E6F85"/>
    <w:rsid w:val="005E6FE6"/>
    <w:rsid w:val="005E7002"/>
    <w:rsid w:val="005E7045"/>
    <w:rsid w:val="005E7066"/>
    <w:rsid w:val="005E7079"/>
    <w:rsid w:val="005E7115"/>
    <w:rsid w:val="005E712E"/>
    <w:rsid w:val="005E7172"/>
    <w:rsid w:val="005E71A1"/>
    <w:rsid w:val="005E71BD"/>
    <w:rsid w:val="005E71C5"/>
    <w:rsid w:val="005E71DB"/>
    <w:rsid w:val="005E7246"/>
    <w:rsid w:val="005E72CF"/>
    <w:rsid w:val="005E7301"/>
    <w:rsid w:val="005E7381"/>
    <w:rsid w:val="005E741C"/>
    <w:rsid w:val="005E743B"/>
    <w:rsid w:val="005E744C"/>
    <w:rsid w:val="005E7481"/>
    <w:rsid w:val="005E7527"/>
    <w:rsid w:val="005E75C7"/>
    <w:rsid w:val="005E75F6"/>
    <w:rsid w:val="005E7654"/>
    <w:rsid w:val="005E7699"/>
    <w:rsid w:val="005E76A4"/>
    <w:rsid w:val="005E7710"/>
    <w:rsid w:val="005E771C"/>
    <w:rsid w:val="005E7735"/>
    <w:rsid w:val="005E7783"/>
    <w:rsid w:val="005E7789"/>
    <w:rsid w:val="005E77B1"/>
    <w:rsid w:val="005E77C7"/>
    <w:rsid w:val="005E77EB"/>
    <w:rsid w:val="005E7870"/>
    <w:rsid w:val="005E78A8"/>
    <w:rsid w:val="005E79BF"/>
    <w:rsid w:val="005E79E3"/>
    <w:rsid w:val="005E79FE"/>
    <w:rsid w:val="005E7A94"/>
    <w:rsid w:val="005E7AA8"/>
    <w:rsid w:val="005E7ADF"/>
    <w:rsid w:val="005E7B02"/>
    <w:rsid w:val="005E7B61"/>
    <w:rsid w:val="005E7BA3"/>
    <w:rsid w:val="005E7C2E"/>
    <w:rsid w:val="005E7C67"/>
    <w:rsid w:val="005E7C76"/>
    <w:rsid w:val="005E7CC8"/>
    <w:rsid w:val="005E7CCE"/>
    <w:rsid w:val="005E7CF8"/>
    <w:rsid w:val="005E7DD9"/>
    <w:rsid w:val="005E7E07"/>
    <w:rsid w:val="005E7EB1"/>
    <w:rsid w:val="005E7EDF"/>
    <w:rsid w:val="005E7F11"/>
    <w:rsid w:val="005E7F15"/>
    <w:rsid w:val="005E7F46"/>
    <w:rsid w:val="005EBF08"/>
    <w:rsid w:val="005F0068"/>
    <w:rsid w:val="005F00AF"/>
    <w:rsid w:val="005F00C6"/>
    <w:rsid w:val="005F00DC"/>
    <w:rsid w:val="005F0127"/>
    <w:rsid w:val="005F012D"/>
    <w:rsid w:val="005F012E"/>
    <w:rsid w:val="005F0168"/>
    <w:rsid w:val="005F0180"/>
    <w:rsid w:val="005F0181"/>
    <w:rsid w:val="005F0200"/>
    <w:rsid w:val="005F0258"/>
    <w:rsid w:val="005F0264"/>
    <w:rsid w:val="005F0296"/>
    <w:rsid w:val="005F02E6"/>
    <w:rsid w:val="005F0307"/>
    <w:rsid w:val="005F0369"/>
    <w:rsid w:val="005F03BD"/>
    <w:rsid w:val="005F042A"/>
    <w:rsid w:val="005F04E3"/>
    <w:rsid w:val="005F050A"/>
    <w:rsid w:val="005F0543"/>
    <w:rsid w:val="005F0772"/>
    <w:rsid w:val="005F0799"/>
    <w:rsid w:val="005F07A3"/>
    <w:rsid w:val="005F07A7"/>
    <w:rsid w:val="005F07CB"/>
    <w:rsid w:val="005F07D9"/>
    <w:rsid w:val="005F07E1"/>
    <w:rsid w:val="005F08E0"/>
    <w:rsid w:val="005F08F2"/>
    <w:rsid w:val="005F0905"/>
    <w:rsid w:val="005F0977"/>
    <w:rsid w:val="005F0980"/>
    <w:rsid w:val="005F09A4"/>
    <w:rsid w:val="005F09D3"/>
    <w:rsid w:val="005F0AD7"/>
    <w:rsid w:val="005F0AFF"/>
    <w:rsid w:val="005F0BBE"/>
    <w:rsid w:val="005F0BE6"/>
    <w:rsid w:val="005F0C08"/>
    <w:rsid w:val="005F0C27"/>
    <w:rsid w:val="005F0C45"/>
    <w:rsid w:val="005F0C7C"/>
    <w:rsid w:val="005F0D23"/>
    <w:rsid w:val="005F0D58"/>
    <w:rsid w:val="005F0DDC"/>
    <w:rsid w:val="005F0DE5"/>
    <w:rsid w:val="005F0E0A"/>
    <w:rsid w:val="005F0E12"/>
    <w:rsid w:val="005F0E1F"/>
    <w:rsid w:val="005F0E5F"/>
    <w:rsid w:val="005F0E91"/>
    <w:rsid w:val="005F0E9B"/>
    <w:rsid w:val="005F0EA4"/>
    <w:rsid w:val="005F0EB9"/>
    <w:rsid w:val="005F0F68"/>
    <w:rsid w:val="005F0FA2"/>
    <w:rsid w:val="005F0FC7"/>
    <w:rsid w:val="005F1027"/>
    <w:rsid w:val="005F1034"/>
    <w:rsid w:val="005F105A"/>
    <w:rsid w:val="005F10CB"/>
    <w:rsid w:val="005F10DD"/>
    <w:rsid w:val="005F1188"/>
    <w:rsid w:val="005F11C4"/>
    <w:rsid w:val="005F11D1"/>
    <w:rsid w:val="005F11F4"/>
    <w:rsid w:val="005F11F7"/>
    <w:rsid w:val="005F123D"/>
    <w:rsid w:val="005F1253"/>
    <w:rsid w:val="005F1263"/>
    <w:rsid w:val="005F1287"/>
    <w:rsid w:val="005F1293"/>
    <w:rsid w:val="005F129F"/>
    <w:rsid w:val="005F1303"/>
    <w:rsid w:val="005F13CA"/>
    <w:rsid w:val="005F1439"/>
    <w:rsid w:val="005F144D"/>
    <w:rsid w:val="005F153E"/>
    <w:rsid w:val="005F1577"/>
    <w:rsid w:val="005F157B"/>
    <w:rsid w:val="005F158C"/>
    <w:rsid w:val="005F15BE"/>
    <w:rsid w:val="005F15E8"/>
    <w:rsid w:val="005F1627"/>
    <w:rsid w:val="005F163F"/>
    <w:rsid w:val="005F16CB"/>
    <w:rsid w:val="005F174C"/>
    <w:rsid w:val="005F1840"/>
    <w:rsid w:val="005F185D"/>
    <w:rsid w:val="005F189E"/>
    <w:rsid w:val="005F18E7"/>
    <w:rsid w:val="005F19A1"/>
    <w:rsid w:val="005F1A13"/>
    <w:rsid w:val="005F1A97"/>
    <w:rsid w:val="005F1AA3"/>
    <w:rsid w:val="005F1B11"/>
    <w:rsid w:val="005F1B53"/>
    <w:rsid w:val="005F1C26"/>
    <w:rsid w:val="005F1C62"/>
    <w:rsid w:val="005F1C92"/>
    <w:rsid w:val="005F1CAE"/>
    <w:rsid w:val="005F1CE0"/>
    <w:rsid w:val="005F1CE5"/>
    <w:rsid w:val="005F1DAB"/>
    <w:rsid w:val="005F1DB4"/>
    <w:rsid w:val="005F1ED5"/>
    <w:rsid w:val="005F1F13"/>
    <w:rsid w:val="005F1F9E"/>
    <w:rsid w:val="005F1FBD"/>
    <w:rsid w:val="005F2049"/>
    <w:rsid w:val="005F20CB"/>
    <w:rsid w:val="005F2143"/>
    <w:rsid w:val="005F2171"/>
    <w:rsid w:val="005F2231"/>
    <w:rsid w:val="005F2270"/>
    <w:rsid w:val="005F22E7"/>
    <w:rsid w:val="005F2303"/>
    <w:rsid w:val="005F230D"/>
    <w:rsid w:val="005F2323"/>
    <w:rsid w:val="005F2335"/>
    <w:rsid w:val="005F233E"/>
    <w:rsid w:val="005F2355"/>
    <w:rsid w:val="005F23B1"/>
    <w:rsid w:val="005F2493"/>
    <w:rsid w:val="005F24A5"/>
    <w:rsid w:val="005F2501"/>
    <w:rsid w:val="005F25FF"/>
    <w:rsid w:val="005F263A"/>
    <w:rsid w:val="005F265B"/>
    <w:rsid w:val="005F269B"/>
    <w:rsid w:val="005F26BB"/>
    <w:rsid w:val="005F2717"/>
    <w:rsid w:val="005F2726"/>
    <w:rsid w:val="005F2767"/>
    <w:rsid w:val="005F27F2"/>
    <w:rsid w:val="005F2800"/>
    <w:rsid w:val="005F2835"/>
    <w:rsid w:val="005F288F"/>
    <w:rsid w:val="005F2892"/>
    <w:rsid w:val="005F28DF"/>
    <w:rsid w:val="005F290C"/>
    <w:rsid w:val="005F2912"/>
    <w:rsid w:val="005F294F"/>
    <w:rsid w:val="005F29C6"/>
    <w:rsid w:val="005F29E7"/>
    <w:rsid w:val="005F29EC"/>
    <w:rsid w:val="005F2A25"/>
    <w:rsid w:val="005F2ACA"/>
    <w:rsid w:val="005F2AE8"/>
    <w:rsid w:val="005F2B72"/>
    <w:rsid w:val="005F2B9A"/>
    <w:rsid w:val="005F2BC8"/>
    <w:rsid w:val="005F2C3B"/>
    <w:rsid w:val="005F2C71"/>
    <w:rsid w:val="005F2C77"/>
    <w:rsid w:val="005F2C97"/>
    <w:rsid w:val="005F2D17"/>
    <w:rsid w:val="005F2D1B"/>
    <w:rsid w:val="005F2D56"/>
    <w:rsid w:val="005F2D6D"/>
    <w:rsid w:val="005F2E19"/>
    <w:rsid w:val="005F2E5A"/>
    <w:rsid w:val="005F2EA8"/>
    <w:rsid w:val="005F2EC7"/>
    <w:rsid w:val="005F2F75"/>
    <w:rsid w:val="005F2F98"/>
    <w:rsid w:val="005F2FAF"/>
    <w:rsid w:val="005F3016"/>
    <w:rsid w:val="005F301C"/>
    <w:rsid w:val="005F307F"/>
    <w:rsid w:val="005F3091"/>
    <w:rsid w:val="005F3099"/>
    <w:rsid w:val="005F30AF"/>
    <w:rsid w:val="005F30DA"/>
    <w:rsid w:val="005F3190"/>
    <w:rsid w:val="005F3191"/>
    <w:rsid w:val="005F319E"/>
    <w:rsid w:val="005F3383"/>
    <w:rsid w:val="005F33B1"/>
    <w:rsid w:val="005F33B7"/>
    <w:rsid w:val="005F33CC"/>
    <w:rsid w:val="005F3428"/>
    <w:rsid w:val="005F343C"/>
    <w:rsid w:val="005F347A"/>
    <w:rsid w:val="005F3491"/>
    <w:rsid w:val="005F34C9"/>
    <w:rsid w:val="005F34EE"/>
    <w:rsid w:val="005F3545"/>
    <w:rsid w:val="005F358D"/>
    <w:rsid w:val="005F3660"/>
    <w:rsid w:val="005F366F"/>
    <w:rsid w:val="005F3685"/>
    <w:rsid w:val="005F3693"/>
    <w:rsid w:val="005F3694"/>
    <w:rsid w:val="005F369A"/>
    <w:rsid w:val="005F36C0"/>
    <w:rsid w:val="005F36F6"/>
    <w:rsid w:val="005F37D2"/>
    <w:rsid w:val="005F37D9"/>
    <w:rsid w:val="005F37ED"/>
    <w:rsid w:val="005F37FD"/>
    <w:rsid w:val="005F3860"/>
    <w:rsid w:val="005F3868"/>
    <w:rsid w:val="005F38DF"/>
    <w:rsid w:val="005F38EB"/>
    <w:rsid w:val="005F39CE"/>
    <w:rsid w:val="005F3A97"/>
    <w:rsid w:val="005F3B0A"/>
    <w:rsid w:val="005F3B1C"/>
    <w:rsid w:val="005F3B8E"/>
    <w:rsid w:val="005F3B94"/>
    <w:rsid w:val="005F3BC6"/>
    <w:rsid w:val="005F3C18"/>
    <w:rsid w:val="005F3C22"/>
    <w:rsid w:val="005F3C40"/>
    <w:rsid w:val="005F3C56"/>
    <w:rsid w:val="005F3C7A"/>
    <w:rsid w:val="005F3C9F"/>
    <w:rsid w:val="005F3CCE"/>
    <w:rsid w:val="005F3CD2"/>
    <w:rsid w:val="005F3CDA"/>
    <w:rsid w:val="005F3CFC"/>
    <w:rsid w:val="005F3D3E"/>
    <w:rsid w:val="005F3D4A"/>
    <w:rsid w:val="005F3D75"/>
    <w:rsid w:val="005F3D79"/>
    <w:rsid w:val="005F3DB8"/>
    <w:rsid w:val="005F3DE2"/>
    <w:rsid w:val="005F3DF6"/>
    <w:rsid w:val="005F3E39"/>
    <w:rsid w:val="005F3E97"/>
    <w:rsid w:val="005F3EB1"/>
    <w:rsid w:val="005F3EE4"/>
    <w:rsid w:val="005F3F57"/>
    <w:rsid w:val="005F3F62"/>
    <w:rsid w:val="005F3FCA"/>
    <w:rsid w:val="005F404B"/>
    <w:rsid w:val="005F406B"/>
    <w:rsid w:val="005F40B3"/>
    <w:rsid w:val="005F40CB"/>
    <w:rsid w:val="005F4192"/>
    <w:rsid w:val="005F41CF"/>
    <w:rsid w:val="005F41DF"/>
    <w:rsid w:val="005F428A"/>
    <w:rsid w:val="005F4323"/>
    <w:rsid w:val="005F4337"/>
    <w:rsid w:val="005F433A"/>
    <w:rsid w:val="005F434B"/>
    <w:rsid w:val="005F4393"/>
    <w:rsid w:val="005F43ED"/>
    <w:rsid w:val="005F442E"/>
    <w:rsid w:val="005F4452"/>
    <w:rsid w:val="005F44D4"/>
    <w:rsid w:val="005F4591"/>
    <w:rsid w:val="005F4603"/>
    <w:rsid w:val="005F462B"/>
    <w:rsid w:val="005F4640"/>
    <w:rsid w:val="005F4656"/>
    <w:rsid w:val="005F465B"/>
    <w:rsid w:val="005F468C"/>
    <w:rsid w:val="005F46A9"/>
    <w:rsid w:val="005F46E8"/>
    <w:rsid w:val="005F4703"/>
    <w:rsid w:val="005F4722"/>
    <w:rsid w:val="005F4759"/>
    <w:rsid w:val="005F47AF"/>
    <w:rsid w:val="005F480D"/>
    <w:rsid w:val="005F48CF"/>
    <w:rsid w:val="005F48D0"/>
    <w:rsid w:val="005F48F4"/>
    <w:rsid w:val="005F4944"/>
    <w:rsid w:val="005F499F"/>
    <w:rsid w:val="005F4A50"/>
    <w:rsid w:val="005F4B57"/>
    <w:rsid w:val="005F4B89"/>
    <w:rsid w:val="005F4BD8"/>
    <w:rsid w:val="005F4BDB"/>
    <w:rsid w:val="005F4BF6"/>
    <w:rsid w:val="005F4C55"/>
    <w:rsid w:val="005F4C6B"/>
    <w:rsid w:val="005F4C91"/>
    <w:rsid w:val="005F4CA8"/>
    <w:rsid w:val="005F4CE7"/>
    <w:rsid w:val="005F4D25"/>
    <w:rsid w:val="005F4D60"/>
    <w:rsid w:val="005F4D99"/>
    <w:rsid w:val="005F4DB6"/>
    <w:rsid w:val="005F4DC0"/>
    <w:rsid w:val="005F4DD5"/>
    <w:rsid w:val="005F4E26"/>
    <w:rsid w:val="005F4E58"/>
    <w:rsid w:val="005F4EB8"/>
    <w:rsid w:val="005F4F10"/>
    <w:rsid w:val="005F4F22"/>
    <w:rsid w:val="005F4F2A"/>
    <w:rsid w:val="005F4F2C"/>
    <w:rsid w:val="005F4F6A"/>
    <w:rsid w:val="005F50CA"/>
    <w:rsid w:val="005F50DB"/>
    <w:rsid w:val="005F50E8"/>
    <w:rsid w:val="005F5117"/>
    <w:rsid w:val="005F511A"/>
    <w:rsid w:val="005F5152"/>
    <w:rsid w:val="005F515E"/>
    <w:rsid w:val="005F5185"/>
    <w:rsid w:val="005F51BE"/>
    <w:rsid w:val="005F51D0"/>
    <w:rsid w:val="005F521A"/>
    <w:rsid w:val="005F5263"/>
    <w:rsid w:val="005F526B"/>
    <w:rsid w:val="005F5270"/>
    <w:rsid w:val="005F5288"/>
    <w:rsid w:val="005F52B0"/>
    <w:rsid w:val="005F52D6"/>
    <w:rsid w:val="005F52D7"/>
    <w:rsid w:val="005F5302"/>
    <w:rsid w:val="005F5439"/>
    <w:rsid w:val="005F5448"/>
    <w:rsid w:val="005F544F"/>
    <w:rsid w:val="005F54BE"/>
    <w:rsid w:val="005F54C0"/>
    <w:rsid w:val="005F5517"/>
    <w:rsid w:val="005F5528"/>
    <w:rsid w:val="005F557E"/>
    <w:rsid w:val="005F558D"/>
    <w:rsid w:val="005F55A5"/>
    <w:rsid w:val="005F55AB"/>
    <w:rsid w:val="005F55AF"/>
    <w:rsid w:val="005F55B7"/>
    <w:rsid w:val="005F55D7"/>
    <w:rsid w:val="005F55E9"/>
    <w:rsid w:val="005F55F6"/>
    <w:rsid w:val="005F5659"/>
    <w:rsid w:val="005F56B1"/>
    <w:rsid w:val="005F56FE"/>
    <w:rsid w:val="005F5715"/>
    <w:rsid w:val="005F5757"/>
    <w:rsid w:val="005F577B"/>
    <w:rsid w:val="005F57DF"/>
    <w:rsid w:val="005F57EB"/>
    <w:rsid w:val="005F5869"/>
    <w:rsid w:val="005F587D"/>
    <w:rsid w:val="005F58A0"/>
    <w:rsid w:val="005F59A2"/>
    <w:rsid w:val="005F59E3"/>
    <w:rsid w:val="005F5ABD"/>
    <w:rsid w:val="005F5AFB"/>
    <w:rsid w:val="005F5B85"/>
    <w:rsid w:val="005F5B97"/>
    <w:rsid w:val="005F5BAD"/>
    <w:rsid w:val="005F5BC2"/>
    <w:rsid w:val="005F5BCB"/>
    <w:rsid w:val="005F5C22"/>
    <w:rsid w:val="005F5C9B"/>
    <w:rsid w:val="005F5CA3"/>
    <w:rsid w:val="005F5CB9"/>
    <w:rsid w:val="005F5CCD"/>
    <w:rsid w:val="005F5CE5"/>
    <w:rsid w:val="005F5D32"/>
    <w:rsid w:val="005F5D5E"/>
    <w:rsid w:val="005F5D63"/>
    <w:rsid w:val="005F5DD2"/>
    <w:rsid w:val="005F5DEB"/>
    <w:rsid w:val="005F5E15"/>
    <w:rsid w:val="005F5EA9"/>
    <w:rsid w:val="005F5ED9"/>
    <w:rsid w:val="005F5F5E"/>
    <w:rsid w:val="005F6033"/>
    <w:rsid w:val="005F6056"/>
    <w:rsid w:val="005F6099"/>
    <w:rsid w:val="005F612C"/>
    <w:rsid w:val="005F6137"/>
    <w:rsid w:val="005F6147"/>
    <w:rsid w:val="005F614E"/>
    <w:rsid w:val="005F617D"/>
    <w:rsid w:val="005F61EE"/>
    <w:rsid w:val="005F61FD"/>
    <w:rsid w:val="005F621F"/>
    <w:rsid w:val="005F62FD"/>
    <w:rsid w:val="005F635F"/>
    <w:rsid w:val="005F6389"/>
    <w:rsid w:val="005F63AA"/>
    <w:rsid w:val="005F63AC"/>
    <w:rsid w:val="005F6441"/>
    <w:rsid w:val="005F64AD"/>
    <w:rsid w:val="005F6544"/>
    <w:rsid w:val="005F6550"/>
    <w:rsid w:val="005F65C6"/>
    <w:rsid w:val="005F661C"/>
    <w:rsid w:val="005F663B"/>
    <w:rsid w:val="005F6648"/>
    <w:rsid w:val="005F6687"/>
    <w:rsid w:val="005F6690"/>
    <w:rsid w:val="005F6693"/>
    <w:rsid w:val="005F66B1"/>
    <w:rsid w:val="005F66C4"/>
    <w:rsid w:val="005F66D7"/>
    <w:rsid w:val="005F670E"/>
    <w:rsid w:val="005F6733"/>
    <w:rsid w:val="005F675F"/>
    <w:rsid w:val="005F68D4"/>
    <w:rsid w:val="005F6933"/>
    <w:rsid w:val="005F6976"/>
    <w:rsid w:val="005F698C"/>
    <w:rsid w:val="005F69AC"/>
    <w:rsid w:val="005F6A07"/>
    <w:rsid w:val="005F6A0F"/>
    <w:rsid w:val="005F6A3B"/>
    <w:rsid w:val="005F6A50"/>
    <w:rsid w:val="005F6A90"/>
    <w:rsid w:val="005F6A94"/>
    <w:rsid w:val="005F6AAB"/>
    <w:rsid w:val="005F6AFD"/>
    <w:rsid w:val="005F6B4F"/>
    <w:rsid w:val="005F6C01"/>
    <w:rsid w:val="005F6C10"/>
    <w:rsid w:val="005F6D75"/>
    <w:rsid w:val="005F6D87"/>
    <w:rsid w:val="005F6D9B"/>
    <w:rsid w:val="005F6DEC"/>
    <w:rsid w:val="005F6E21"/>
    <w:rsid w:val="005F6E58"/>
    <w:rsid w:val="005F6EFA"/>
    <w:rsid w:val="005F6F1F"/>
    <w:rsid w:val="005F6F28"/>
    <w:rsid w:val="005F6F55"/>
    <w:rsid w:val="005F6F75"/>
    <w:rsid w:val="005F6F8B"/>
    <w:rsid w:val="005F6FA5"/>
    <w:rsid w:val="005F6FA6"/>
    <w:rsid w:val="005F700F"/>
    <w:rsid w:val="005F7074"/>
    <w:rsid w:val="005F70C8"/>
    <w:rsid w:val="005F70D6"/>
    <w:rsid w:val="005F70E0"/>
    <w:rsid w:val="005F7100"/>
    <w:rsid w:val="005F722B"/>
    <w:rsid w:val="005F7277"/>
    <w:rsid w:val="005F72C6"/>
    <w:rsid w:val="005F72E6"/>
    <w:rsid w:val="005F72E8"/>
    <w:rsid w:val="005F7346"/>
    <w:rsid w:val="005F7359"/>
    <w:rsid w:val="005F7439"/>
    <w:rsid w:val="005F743D"/>
    <w:rsid w:val="005F74D0"/>
    <w:rsid w:val="005F7515"/>
    <w:rsid w:val="005F756A"/>
    <w:rsid w:val="005F7572"/>
    <w:rsid w:val="005F758B"/>
    <w:rsid w:val="005F75D0"/>
    <w:rsid w:val="005F75D2"/>
    <w:rsid w:val="005F75D4"/>
    <w:rsid w:val="005F7607"/>
    <w:rsid w:val="005F763C"/>
    <w:rsid w:val="005F7685"/>
    <w:rsid w:val="005F772D"/>
    <w:rsid w:val="005F7742"/>
    <w:rsid w:val="005F774E"/>
    <w:rsid w:val="005F7861"/>
    <w:rsid w:val="005F786E"/>
    <w:rsid w:val="005F7883"/>
    <w:rsid w:val="005F78C7"/>
    <w:rsid w:val="005F78DA"/>
    <w:rsid w:val="005F7903"/>
    <w:rsid w:val="005F7933"/>
    <w:rsid w:val="005F794C"/>
    <w:rsid w:val="005F799B"/>
    <w:rsid w:val="005F79BF"/>
    <w:rsid w:val="005F79C0"/>
    <w:rsid w:val="005F79CC"/>
    <w:rsid w:val="005F7A9F"/>
    <w:rsid w:val="005F7B2B"/>
    <w:rsid w:val="005F7B2F"/>
    <w:rsid w:val="005F7B63"/>
    <w:rsid w:val="005F7BC0"/>
    <w:rsid w:val="005F7BD0"/>
    <w:rsid w:val="005F7BF2"/>
    <w:rsid w:val="005F7C24"/>
    <w:rsid w:val="005F7C2A"/>
    <w:rsid w:val="005F7CEE"/>
    <w:rsid w:val="005F7CFA"/>
    <w:rsid w:val="005F7D3C"/>
    <w:rsid w:val="005F7D73"/>
    <w:rsid w:val="005F7E0E"/>
    <w:rsid w:val="005F7E19"/>
    <w:rsid w:val="005F7E50"/>
    <w:rsid w:val="005F7E69"/>
    <w:rsid w:val="005F7E76"/>
    <w:rsid w:val="005F7EAC"/>
    <w:rsid w:val="005F7EAD"/>
    <w:rsid w:val="005F7F93"/>
    <w:rsid w:val="005F7FB1"/>
    <w:rsid w:val="00600008"/>
    <w:rsid w:val="00600023"/>
    <w:rsid w:val="00600049"/>
    <w:rsid w:val="00600133"/>
    <w:rsid w:val="006001C2"/>
    <w:rsid w:val="00600240"/>
    <w:rsid w:val="0060027D"/>
    <w:rsid w:val="0060028F"/>
    <w:rsid w:val="006002A5"/>
    <w:rsid w:val="006002CC"/>
    <w:rsid w:val="006002D0"/>
    <w:rsid w:val="006002F6"/>
    <w:rsid w:val="00600300"/>
    <w:rsid w:val="0060032C"/>
    <w:rsid w:val="00600364"/>
    <w:rsid w:val="0060036E"/>
    <w:rsid w:val="006003B1"/>
    <w:rsid w:val="006003F8"/>
    <w:rsid w:val="00600435"/>
    <w:rsid w:val="006004A1"/>
    <w:rsid w:val="00600539"/>
    <w:rsid w:val="0060056E"/>
    <w:rsid w:val="0060057B"/>
    <w:rsid w:val="0060058D"/>
    <w:rsid w:val="00600648"/>
    <w:rsid w:val="0060065A"/>
    <w:rsid w:val="00600683"/>
    <w:rsid w:val="00600696"/>
    <w:rsid w:val="00600701"/>
    <w:rsid w:val="0060070A"/>
    <w:rsid w:val="00600740"/>
    <w:rsid w:val="0060075B"/>
    <w:rsid w:val="0060082F"/>
    <w:rsid w:val="006008C3"/>
    <w:rsid w:val="00600935"/>
    <w:rsid w:val="006009E2"/>
    <w:rsid w:val="006009F8"/>
    <w:rsid w:val="00600ACD"/>
    <w:rsid w:val="00600B3D"/>
    <w:rsid w:val="00600B6C"/>
    <w:rsid w:val="00600BCD"/>
    <w:rsid w:val="00600BFA"/>
    <w:rsid w:val="00600C55"/>
    <w:rsid w:val="00600C58"/>
    <w:rsid w:val="00600C91"/>
    <w:rsid w:val="00600D07"/>
    <w:rsid w:val="00600DF9"/>
    <w:rsid w:val="00600DFE"/>
    <w:rsid w:val="00600EB1"/>
    <w:rsid w:val="00600EF6"/>
    <w:rsid w:val="00600EF8"/>
    <w:rsid w:val="00600FD4"/>
    <w:rsid w:val="00600FE2"/>
    <w:rsid w:val="00600FE4"/>
    <w:rsid w:val="00600FFB"/>
    <w:rsid w:val="0060103B"/>
    <w:rsid w:val="0060105A"/>
    <w:rsid w:val="0060107E"/>
    <w:rsid w:val="0060108B"/>
    <w:rsid w:val="0060109B"/>
    <w:rsid w:val="006010D7"/>
    <w:rsid w:val="006010FA"/>
    <w:rsid w:val="00601240"/>
    <w:rsid w:val="0060127A"/>
    <w:rsid w:val="006012A9"/>
    <w:rsid w:val="006012BD"/>
    <w:rsid w:val="006012F4"/>
    <w:rsid w:val="0060130D"/>
    <w:rsid w:val="006013AB"/>
    <w:rsid w:val="0060140A"/>
    <w:rsid w:val="00601438"/>
    <w:rsid w:val="00601443"/>
    <w:rsid w:val="0060148A"/>
    <w:rsid w:val="00601509"/>
    <w:rsid w:val="00601583"/>
    <w:rsid w:val="006015CF"/>
    <w:rsid w:val="00601606"/>
    <w:rsid w:val="0060164D"/>
    <w:rsid w:val="00601671"/>
    <w:rsid w:val="006016B8"/>
    <w:rsid w:val="006017A8"/>
    <w:rsid w:val="006017C1"/>
    <w:rsid w:val="006018AA"/>
    <w:rsid w:val="006018AC"/>
    <w:rsid w:val="006018BE"/>
    <w:rsid w:val="006018CD"/>
    <w:rsid w:val="0060191E"/>
    <w:rsid w:val="0060196F"/>
    <w:rsid w:val="006019A9"/>
    <w:rsid w:val="006019C7"/>
    <w:rsid w:val="00601A20"/>
    <w:rsid w:val="00601A4F"/>
    <w:rsid w:val="00601A5A"/>
    <w:rsid w:val="00601A92"/>
    <w:rsid w:val="00601B24"/>
    <w:rsid w:val="00601B30"/>
    <w:rsid w:val="00601B45"/>
    <w:rsid w:val="00601B74"/>
    <w:rsid w:val="00601B7A"/>
    <w:rsid w:val="00601BB7"/>
    <w:rsid w:val="00601C6E"/>
    <w:rsid w:val="00601C6F"/>
    <w:rsid w:val="00601C74"/>
    <w:rsid w:val="00601C94"/>
    <w:rsid w:val="00601CA2"/>
    <w:rsid w:val="00601CCE"/>
    <w:rsid w:val="00601CCF"/>
    <w:rsid w:val="00601CD3"/>
    <w:rsid w:val="00601CDE"/>
    <w:rsid w:val="00601D06"/>
    <w:rsid w:val="00601D0E"/>
    <w:rsid w:val="00601D64"/>
    <w:rsid w:val="00601D94"/>
    <w:rsid w:val="00601DD1"/>
    <w:rsid w:val="00601DDA"/>
    <w:rsid w:val="00601E42"/>
    <w:rsid w:val="00601EB3"/>
    <w:rsid w:val="00601ECE"/>
    <w:rsid w:val="00601EEA"/>
    <w:rsid w:val="00601F3F"/>
    <w:rsid w:val="00602050"/>
    <w:rsid w:val="00602051"/>
    <w:rsid w:val="00602109"/>
    <w:rsid w:val="00602119"/>
    <w:rsid w:val="00602125"/>
    <w:rsid w:val="00602165"/>
    <w:rsid w:val="00602182"/>
    <w:rsid w:val="00602218"/>
    <w:rsid w:val="00602262"/>
    <w:rsid w:val="00602265"/>
    <w:rsid w:val="006022A7"/>
    <w:rsid w:val="006022AB"/>
    <w:rsid w:val="006022B5"/>
    <w:rsid w:val="006022D0"/>
    <w:rsid w:val="0060235E"/>
    <w:rsid w:val="00602397"/>
    <w:rsid w:val="0060241B"/>
    <w:rsid w:val="0060244F"/>
    <w:rsid w:val="00602491"/>
    <w:rsid w:val="0060249F"/>
    <w:rsid w:val="006024A6"/>
    <w:rsid w:val="00602523"/>
    <w:rsid w:val="0060257A"/>
    <w:rsid w:val="006025B9"/>
    <w:rsid w:val="006025EF"/>
    <w:rsid w:val="0060260F"/>
    <w:rsid w:val="0060268B"/>
    <w:rsid w:val="00602698"/>
    <w:rsid w:val="00602699"/>
    <w:rsid w:val="006026A1"/>
    <w:rsid w:val="006026E9"/>
    <w:rsid w:val="006027E1"/>
    <w:rsid w:val="00602879"/>
    <w:rsid w:val="006028AC"/>
    <w:rsid w:val="006028E8"/>
    <w:rsid w:val="00602921"/>
    <w:rsid w:val="006029B3"/>
    <w:rsid w:val="00602A75"/>
    <w:rsid w:val="00602A8E"/>
    <w:rsid w:val="00602A96"/>
    <w:rsid w:val="00602AC3"/>
    <w:rsid w:val="00602ADB"/>
    <w:rsid w:val="00602AE5"/>
    <w:rsid w:val="00602BD1"/>
    <w:rsid w:val="00602BDA"/>
    <w:rsid w:val="00602BF3"/>
    <w:rsid w:val="00602BF6"/>
    <w:rsid w:val="00602BFD"/>
    <w:rsid w:val="00602C15"/>
    <w:rsid w:val="00602C2F"/>
    <w:rsid w:val="00602C9F"/>
    <w:rsid w:val="00602CAD"/>
    <w:rsid w:val="00602CC8"/>
    <w:rsid w:val="00602CE9"/>
    <w:rsid w:val="00602D76"/>
    <w:rsid w:val="00602D7C"/>
    <w:rsid w:val="00602DA8"/>
    <w:rsid w:val="00602DD1"/>
    <w:rsid w:val="00602E12"/>
    <w:rsid w:val="00602E4E"/>
    <w:rsid w:val="00602E75"/>
    <w:rsid w:val="00602EB1"/>
    <w:rsid w:val="00602F6A"/>
    <w:rsid w:val="00602FB1"/>
    <w:rsid w:val="00602FD6"/>
    <w:rsid w:val="00602FDA"/>
    <w:rsid w:val="00603000"/>
    <w:rsid w:val="00603022"/>
    <w:rsid w:val="00603033"/>
    <w:rsid w:val="00603039"/>
    <w:rsid w:val="00603096"/>
    <w:rsid w:val="0060324D"/>
    <w:rsid w:val="006032C7"/>
    <w:rsid w:val="00603309"/>
    <w:rsid w:val="00603409"/>
    <w:rsid w:val="0060346B"/>
    <w:rsid w:val="006034B7"/>
    <w:rsid w:val="006035B1"/>
    <w:rsid w:val="00603638"/>
    <w:rsid w:val="00603680"/>
    <w:rsid w:val="006036C6"/>
    <w:rsid w:val="006036FA"/>
    <w:rsid w:val="00603712"/>
    <w:rsid w:val="00603721"/>
    <w:rsid w:val="00603740"/>
    <w:rsid w:val="006037A6"/>
    <w:rsid w:val="006037AA"/>
    <w:rsid w:val="00603804"/>
    <w:rsid w:val="00603811"/>
    <w:rsid w:val="00603825"/>
    <w:rsid w:val="006038D3"/>
    <w:rsid w:val="0060391A"/>
    <w:rsid w:val="00603923"/>
    <w:rsid w:val="006039E2"/>
    <w:rsid w:val="00603A53"/>
    <w:rsid w:val="00603A66"/>
    <w:rsid w:val="00603BA0"/>
    <w:rsid w:val="00603BC0"/>
    <w:rsid w:val="00603BC2"/>
    <w:rsid w:val="00603C06"/>
    <w:rsid w:val="00603C22"/>
    <w:rsid w:val="00603D10"/>
    <w:rsid w:val="00603DAD"/>
    <w:rsid w:val="00603DF7"/>
    <w:rsid w:val="00603E0C"/>
    <w:rsid w:val="00603E41"/>
    <w:rsid w:val="00603E76"/>
    <w:rsid w:val="00603E8B"/>
    <w:rsid w:val="00603ED4"/>
    <w:rsid w:val="00603FDB"/>
    <w:rsid w:val="00603FFD"/>
    <w:rsid w:val="0060402C"/>
    <w:rsid w:val="0060407C"/>
    <w:rsid w:val="00604191"/>
    <w:rsid w:val="006041A0"/>
    <w:rsid w:val="006041CB"/>
    <w:rsid w:val="006041D0"/>
    <w:rsid w:val="00604259"/>
    <w:rsid w:val="006042C6"/>
    <w:rsid w:val="006042EC"/>
    <w:rsid w:val="006042FC"/>
    <w:rsid w:val="00604300"/>
    <w:rsid w:val="0060430C"/>
    <w:rsid w:val="00604316"/>
    <w:rsid w:val="0060431B"/>
    <w:rsid w:val="00604345"/>
    <w:rsid w:val="0060435B"/>
    <w:rsid w:val="006043A5"/>
    <w:rsid w:val="006043CF"/>
    <w:rsid w:val="006044A0"/>
    <w:rsid w:val="006044CC"/>
    <w:rsid w:val="00604536"/>
    <w:rsid w:val="00604548"/>
    <w:rsid w:val="00604557"/>
    <w:rsid w:val="00604569"/>
    <w:rsid w:val="00604573"/>
    <w:rsid w:val="0060457F"/>
    <w:rsid w:val="006045E2"/>
    <w:rsid w:val="006045E9"/>
    <w:rsid w:val="00604611"/>
    <w:rsid w:val="0060461D"/>
    <w:rsid w:val="0060467D"/>
    <w:rsid w:val="00604688"/>
    <w:rsid w:val="0060475C"/>
    <w:rsid w:val="0060477D"/>
    <w:rsid w:val="0060477F"/>
    <w:rsid w:val="00604843"/>
    <w:rsid w:val="00604854"/>
    <w:rsid w:val="006048AA"/>
    <w:rsid w:val="006048BD"/>
    <w:rsid w:val="006048D2"/>
    <w:rsid w:val="00604908"/>
    <w:rsid w:val="0060490E"/>
    <w:rsid w:val="00604915"/>
    <w:rsid w:val="0060493A"/>
    <w:rsid w:val="00604964"/>
    <w:rsid w:val="0060497E"/>
    <w:rsid w:val="00604996"/>
    <w:rsid w:val="006049B2"/>
    <w:rsid w:val="006049C8"/>
    <w:rsid w:val="00604A03"/>
    <w:rsid w:val="00604A37"/>
    <w:rsid w:val="00604A7B"/>
    <w:rsid w:val="00604AB0"/>
    <w:rsid w:val="00604B84"/>
    <w:rsid w:val="00604BE6"/>
    <w:rsid w:val="00604BE9"/>
    <w:rsid w:val="00604C95"/>
    <w:rsid w:val="00604C9F"/>
    <w:rsid w:val="00604CB2"/>
    <w:rsid w:val="00604CBC"/>
    <w:rsid w:val="00604CE9"/>
    <w:rsid w:val="00604D5B"/>
    <w:rsid w:val="00604D72"/>
    <w:rsid w:val="00604DAC"/>
    <w:rsid w:val="00604DEF"/>
    <w:rsid w:val="00604E1F"/>
    <w:rsid w:val="00604E3C"/>
    <w:rsid w:val="00604E3E"/>
    <w:rsid w:val="00604E8D"/>
    <w:rsid w:val="00604F01"/>
    <w:rsid w:val="00604F22"/>
    <w:rsid w:val="00604F6C"/>
    <w:rsid w:val="00604FD5"/>
    <w:rsid w:val="00604FE8"/>
    <w:rsid w:val="006050C2"/>
    <w:rsid w:val="006050CD"/>
    <w:rsid w:val="006050FC"/>
    <w:rsid w:val="00605101"/>
    <w:rsid w:val="00605185"/>
    <w:rsid w:val="006051A6"/>
    <w:rsid w:val="006051B9"/>
    <w:rsid w:val="00605211"/>
    <w:rsid w:val="0060525F"/>
    <w:rsid w:val="006052C2"/>
    <w:rsid w:val="006052D2"/>
    <w:rsid w:val="006052E1"/>
    <w:rsid w:val="00605350"/>
    <w:rsid w:val="006053C7"/>
    <w:rsid w:val="006053D2"/>
    <w:rsid w:val="006053E5"/>
    <w:rsid w:val="006053F1"/>
    <w:rsid w:val="006053F4"/>
    <w:rsid w:val="00605497"/>
    <w:rsid w:val="006054B8"/>
    <w:rsid w:val="006054F0"/>
    <w:rsid w:val="006054F9"/>
    <w:rsid w:val="00605596"/>
    <w:rsid w:val="0060559A"/>
    <w:rsid w:val="006055DF"/>
    <w:rsid w:val="00605600"/>
    <w:rsid w:val="00605620"/>
    <w:rsid w:val="0060563A"/>
    <w:rsid w:val="0060564A"/>
    <w:rsid w:val="006056D1"/>
    <w:rsid w:val="006056E2"/>
    <w:rsid w:val="006056F4"/>
    <w:rsid w:val="00605767"/>
    <w:rsid w:val="00605792"/>
    <w:rsid w:val="006057E7"/>
    <w:rsid w:val="006057EF"/>
    <w:rsid w:val="00605895"/>
    <w:rsid w:val="006058B7"/>
    <w:rsid w:val="006058F1"/>
    <w:rsid w:val="00605918"/>
    <w:rsid w:val="0060596A"/>
    <w:rsid w:val="0060597D"/>
    <w:rsid w:val="0060599C"/>
    <w:rsid w:val="006059AA"/>
    <w:rsid w:val="006059AB"/>
    <w:rsid w:val="006059CC"/>
    <w:rsid w:val="006059E4"/>
    <w:rsid w:val="006059F9"/>
    <w:rsid w:val="00605A5D"/>
    <w:rsid w:val="00605A7F"/>
    <w:rsid w:val="00605A83"/>
    <w:rsid w:val="00605A94"/>
    <w:rsid w:val="00605ACD"/>
    <w:rsid w:val="00605B06"/>
    <w:rsid w:val="00605B7E"/>
    <w:rsid w:val="00605BA0"/>
    <w:rsid w:val="00605BB1"/>
    <w:rsid w:val="00605C15"/>
    <w:rsid w:val="00605CCD"/>
    <w:rsid w:val="00605CFD"/>
    <w:rsid w:val="00605CFE"/>
    <w:rsid w:val="00605D00"/>
    <w:rsid w:val="00605D12"/>
    <w:rsid w:val="00605D6C"/>
    <w:rsid w:val="00605E12"/>
    <w:rsid w:val="00605E46"/>
    <w:rsid w:val="00605E64"/>
    <w:rsid w:val="00605E6B"/>
    <w:rsid w:val="00605F4B"/>
    <w:rsid w:val="00605F5B"/>
    <w:rsid w:val="00605F80"/>
    <w:rsid w:val="00605FDE"/>
    <w:rsid w:val="0060601C"/>
    <w:rsid w:val="0060605B"/>
    <w:rsid w:val="006060A7"/>
    <w:rsid w:val="006060AE"/>
    <w:rsid w:val="006060E2"/>
    <w:rsid w:val="006060E6"/>
    <w:rsid w:val="006061A6"/>
    <w:rsid w:val="006061A8"/>
    <w:rsid w:val="006061AA"/>
    <w:rsid w:val="006061CF"/>
    <w:rsid w:val="00606202"/>
    <w:rsid w:val="0060620D"/>
    <w:rsid w:val="00606295"/>
    <w:rsid w:val="006062B4"/>
    <w:rsid w:val="006062B8"/>
    <w:rsid w:val="006062C2"/>
    <w:rsid w:val="00606349"/>
    <w:rsid w:val="00606378"/>
    <w:rsid w:val="00606379"/>
    <w:rsid w:val="0060639A"/>
    <w:rsid w:val="006063A4"/>
    <w:rsid w:val="006063AF"/>
    <w:rsid w:val="006063B7"/>
    <w:rsid w:val="006063C0"/>
    <w:rsid w:val="0060640E"/>
    <w:rsid w:val="00606428"/>
    <w:rsid w:val="0060642B"/>
    <w:rsid w:val="00606444"/>
    <w:rsid w:val="00606466"/>
    <w:rsid w:val="00606487"/>
    <w:rsid w:val="006064F0"/>
    <w:rsid w:val="0060663E"/>
    <w:rsid w:val="0060666C"/>
    <w:rsid w:val="00606670"/>
    <w:rsid w:val="00606737"/>
    <w:rsid w:val="0060674E"/>
    <w:rsid w:val="00606774"/>
    <w:rsid w:val="00606793"/>
    <w:rsid w:val="006067D1"/>
    <w:rsid w:val="006067D2"/>
    <w:rsid w:val="006067D9"/>
    <w:rsid w:val="0060681B"/>
    <w:rsid w:val="00606846"/>
    <w:rsid w:val="00606870"/>
    <w:rsid w:val="0060689A"/>
    <w:rsid w:val="0060689E"/>
    <w:rsid w:val="006068BD"/>
    <w:rsid w:val="006068CB"/>
    <w:rsid w:val="006068F0"/>
    <w:rsid w:val="00606900"/>
    <w:rsid w:val="00606910"/>
    <w:rsid w:val="0060693D"/>
    <w:rsid w:val="00606966"/>
    <w:rsid w:val="006069A1"/>
    <w:rsid w:val="006069AD"/>
    <w:rsid w:val="006069F8"/>
    <w:rsid w:val="00606B05"/>
    <w:rsid w:val="00606B73"/>
    <w:rsid w:val="00606B7D"/>
    <w:rsid w:val="00606BBD"/>
    <w:rsid w:val="00606BC6"/>
    <w:rsid w:val="00606BEF"/>
    <w:rsid w:val="00606C05"/>
    <w:rsid w:val="00606C19"/>
    <w:rsid w:val="00606C2C"/>
    <w:rsid w:val="00606CBD"/>
    <w:rsid w:val="00606CF1"/>
    <w:rsid w:val="00606DC4"/>
    <w:rsid w:val="00606E40"/>
    <w:rsid w:val="00606E83"/>
    <w:rsid w:val="00606E95"/>
    <w:rsid w:val="00606EB5"/>
    <w:rsid w:val="00606F09"/>
    <w:rsid w:val="00606F28"/>
    <w:rsid w:val="00606FD3"/>
    <w:rsid w:val="00606FD9"/>
    <w:rsid w:val="00607092"/>
    <w:rsid w:val="0060709D"/>
    <w:rsid w:val="006070AF"/>
    <w:rsid w:val="006070B5"/>
    <w:rsid w:val="006070ED"/>
    <w:rsid w:val="00607144"/>
    <w:rsid w:val="0060717E"/>
    <w:rsid w:val="006071B9"/>
    <w:rsid w:val="00607214"/>
    <w:rsid w:val="00607248"/>
    <w:rsid w:val="00607252"/>
    <w:rsid w:val="0060726E"/>
    <w:rsid w:val="00607298"/>
    <w:rsid w:val="006072B6"/>
    <w:rsid w:val="0060731A"/>
    <w:rsid w:val="00607365"/>
    <w:rsid w:val="0060736B"/>
    <w:rsid w:val="006073EA"/>
    <w:rsid w:val="00607410"/>
    <w:rsid w:val="00607455"/>
    <w:rsid w:val="0060748B"/>
    <w:rsid w:val="0060749A"/>
    <w:rsid w:val="0060749B"/>
    <w:rsid w:val="0060757D"/>
    <w:rsid w:val="006075D8"/>
    <w:rsid w:val="0060761D"/>
    <w:rsid w:val="0060762F"/>
    <w:rsid w:val="00607658"/>
    <w:rsid w:val="00607697"/>
    <w:rsid w:val="006076D0"/>
    <w:rsid w:val="00607739"/>
    <w:rsid w:val="00607795"/>
    <w:rsid w:val="006077B1"/>
    <w:rsid w:val="006077C5"/>
    <w:rsid w:val="006077E6"/>
    <w:rsid w:val="006077FB"/>
    <w:rsid w:val="0060780F"/>
    <w:rsid w:val="0060783A"/>
    <w:rsid w:val="0060783D"/>
    <w:rsid w:val="006078A5"/>
    <w:rsid w:val="006078D9"/>
    <w:rsid w:val="006078F0"/>
    <w:rsid w:val="00607913"/>
    <w:rsid w:val="00607965"/>
    <w:rsid w:val="0060798C"/>
    <w:rsid w:val="0060799C"/>
    <w:rsid w:val="006079EB"/>
    <w:rsid w:val="00607B39"/>
    <w:rsid w:val="00607B4E"/>
    <w:rsid w:val="00607B64"/>
    <w:rsid w:val="00607B6F"/>
    <w:rsid w:val="00607B79"/>
    <w:rsid w:val="00607BDE"/>
    <w:rsid w:val="00607C1F"/>
    <w:rsid w:val="00607C40"/>
    <w:rsid w:val="00607C52"/>
    <w:rsid w:val="00607C91"/>
    <w:rsid w:val="00607C92"/>
    <w:rsid w:val="00607CA9"/>
    <w:rsid w:val="00607CBB"/>
    <w:rsid w:val="00607CC5"/>
    <w:rsid w:val="00607E2C"/>
    <w:rsid w:val="00607E86"/>
    <w:rsid w:val="00607EA4"/>
    <w:rsid w:val="00607ECC"/>
    <w:rsid w:val="00607EFB"/>
    <w:rsid w:val="00607F49"/>
    <w:rsid w:val="00607F85"/>
    <w:rsid w:val="00607FBD"/>
    <w:rsid w:val="0061005A"/>
    <w:rsid w:val="006100C4"/>
    <w:rsid w:val="00610162"/>
    <w:rsid w:val="00610168"/>
    <w:rsid w:val="0061019D"/>
    <w:rsid w:val="006101E7"/>
    <w:rsid w:val="00610228"/>
    <w:rsid w:val="0061023B"/>
    <w:rsid w:val="0061025E"/>
    <w:rsid w:val="006102A7"/>
    <w:rsid w:val="006102F5"/>
    <w:rsid w:val="00610313"/>
    <w:rsid w:val="00610349"/>
    <w:rsid w:val="0061035E"/>
    <w:rsid w:val="00610361"/>
    <w:rsid w:val="0061041E"/>
    <w:rsid w:val="0061045C"/>
    <w:rsid w:val="006104C5"/>
    <w:rsid w:val="006104D6"/>
    <w:rsid w:val="006104DC"/>
    <w:rsid w:val="006104E8"/>
    <w:rsid w:val="006104F3"/>
    <w:rsid w:val="00610501"/>
    <w:rsid w:val="0061050B"/>
    <w:rsid w:val="0061052B"/>
    <w:rsid w:val="00610570"/>
    <w:rsid w:val="006105AD"/>
    <w:rsid w:val="0061060F"/>
    <w:rsid w:val="0061063F"/>
    <w:rsid w:val="0061065B"/>
    <w:rsid w:val="00610697"/>
    <w:rsid w:val="006106DD"/>
    <w:rsid w:val="00610705"/>
    <w:rsid w:val="0061070D"/>
    <w:rsid w:val="0061071E"/>
    <w:rsid w:val="00610755"/>
    <w:rsid w:val="00610803"/>
    <w:rsid w:val="00610810"/>
    <w:rsid w:val="00610867"/>
    <w:rsid w:val="006108CB"/>
    <w:rsid w:val="006108D5"/>
    <w:rsid w:val="00610913"/>
    <w:rsid w:val="0061095C"/>
    <w:rsid w:val="00610A14"/>
    <w:rsid w:val="00610A16"/>
    <w:rsid w:val="00610A47"/>
    <w:rsid w:val="00610A90"/>
    <w:rsid w:val="00610B12"/>
    <w:rsid w:val="00610C74"/>
    <w:rsid w:val="00610C79"/>
    <w:rsid w:val="00610C81"/>
    <w:rsid w:val="00610CA2"/>
    <w:rsid w:val="00610CCB"/>
    <w:rsid w:val="00610CED"/>
    <w:rsid w:val="00610D02"/>
    <w:rsid w:val="00610D85"/>
    <w:rsid w:val="00610DCF"/>
    <w:rsid w:val="00610DE9"/>
    <w:rsid w:val="00610DFC"/>
    <w:rsid w:val="00610E34"/>
    <w:rsid w:val="00610E54"/>
    <w:rsid w:val="00610F38"/>
    <w:rsid w:val="00610F5C"/>
    <w:rsid w:val="00610F6F"/>
    <w:rsid w:val="00610FD3"/>
    <w:rsid w:val="0061102D"/>
    <w:rsid w:val="0061104F"/>
    <w:rsid w:val="0061105E"/>
    <w:rsid w:val="00611099"/>
    <w:rsid w:val="006110C1"/>
    <w:rsid w:val="006110D9"/>
    <w:rsid w:val="0061111F"/>
    <w:rsid w:val="0061112D"/>
    <w:rsid w:val="0061117D"/>
    <w:rsid w:val="00611181"/>
    <w:rsid w:val="0061119C"/>
    <w:rsid w:val="006111A8"/>
    <w:rsid w:val="006111CD"/>
    <w:rsid w:val="006111F4"/>
    <w:rsid w:val="0061122E"/>
    <w:rsid w:val="0061124F"/>
    <w:rsid w:val="0061127F"/>
    <w:rsid w:val="006112AA"/>
    <w:rsid w:val="006113EB"/>
    <w:rsid w:val="00611473"/>
    <w:rsid w:val="006114CB"/>
    <w:rsid w:val="006114DF"/>
    <w:rsid w:val="006114E4"/>
    <w:rsid w:val="00611505"/>
    <w:rsid w:val="0061152A"/>
    <w:rsid w:val="00611544"/>
    <w:rsid w:val="00611548"/>
    <w:rsid w:val="00611573"/>
    <w:rsid w:val="006115CB"/>
    <w:rsid w:val="006115CE"/>
    <w:rsid w:val="006115E9"/>
    <w:rsid w:val="0061162F"/>
    <w:rsid w:val="00611632"/>
    <w:rsid w:val="006116C4"/>
    <w:rsid w:val="006116FC"/>
    <w:rsid w:val="0061170A"/>
    <w:rsid w:val="00611723"/>
    <w:rsid w:val="00611781"/>
    <w:rsid w:val="0061184E"/>
    <w:rsid w:val="0061185A"/>
    <w:rsid w:val="0061187E"/>
    <w:rsid w:val="0061188C"/>
    <w:rsid w:val="006118B9"/>
    <w:rsid w:val="006118DF"/>
    <w:rsid w:val="00611988"/>
    <w:rsid w:val="00611A17"/>
    <w:rsid w:val="00611A21"/>
    <w:rsid w:val="00611A90"/>
    <w:rsid w:val="00611B29"/>
    <w:rsid w:val="00611B50"/>
    <w:rsid w:val="00611B51"/>
    <w:rsid w:val="00611C26"/>
    <w:rsid w:val="00611C2E"/>
    <w:rsid w:val="00611C79"/>
    <w:rsid w:val="00611CAB"/>
    <w:rsid w:val="00611CB9"/>
    <w:rsid w:val="00611D1A"/>
    <w:rsid w:val="00611D3B"/>
    <w:rsid w:val="00611DDC"/>
    <w:rsid w:val="00611DE1"/>
    <w:rsid w:val="00611DF1"/>
    <w:rsid w:val="00611DFD"/>
    <w:rsid w:val="00611E04"/>
    <w:rsid w:val="00611F23"/>
    <w:rsid w:val="00611F65"/>
    <w:rsid w:val="00611F82"/>
    <w:rsid w:val="00611FC8"/>
    <w:rsid w:val="00611FDE"/>
    <w:rsid w:val="00611FE2"/>
    <w:rsid w:val="0061200E"/>
    <w:rsid w:val="006120C8"/>
    <w:rsid w:val="00612173"/>
    <w:rsid w:val="00612200"/>
    <w:rsid w:val="0061220C"/>
    <w:rsid w:val="006122A3"/>
    <w:rsid w:val="006122AA"/>
    <w:rsid w:val="006122EE"/>
    <w:rsid w:val="0061231C"/>
    <w:rsid w:val="00612361"/>
    <w:rsid w:val="00612381"/>
    <w:rsid w:val="006123AA"/>
    <w:rsid w:val="006123EE"/>
    <w:rsid w:val="006123FC"/>
    <w:rsid w:val="00612420"/>
    <w:rsid w:val="0061242A"/>
    <w:rsid w:val="0061248E"/>
    <w:rsid w:val="006124B9"/>
    <w:rsid w:val="0061250C"/>
    <w:rsid w:val="00612517"/>
    <w:rsid w:val="0061253F"/>
    <w:rsid w:val="00612618"/>
    <w:rsid w:val="00612672"/>
    <w:rsid w:val="0061269A"/>
    <w:rsid w:val="006126B9"/>
    <w:rsid w:val="006126C8"/>
    <w:rsid w:val="0061272B"/>
    <w:rsid w:val="0061276F"/>
    <w:rsid w:val="006127A8"/>
    <w:rsid w:val="006127E0"/>
    <w:rsid w:val="006127F9"/>
    <w:rsid w:val="00612808"/>
    <w:rsid w:val="00612849"/>
    <w:rsid w:val="006128F6"/>
    <w:rsid w:val="00612915"/>
    <w:rsid w:val="00612941"/>
    <w:rsid w:val="0061294D"/>
    <w:rsid w:val="00612A56"/>
    <w:rsid w:val="00612A67"/>
    <w:rsid w:val="00612A8A"/>
    <w:rsid w:val="00612A9D"/>
    <w:rsid w:val="00612AD4"/>
    <w:rsid w:val="00612B1F"/>
    <w:rsid w:val="00612BDE"/>
    <w:rsid w:val="00612BF2"/>
    <w:rsid w:val="00612C22"/>
    <w:rsid w:val="00612C30"/>
    <w:rsid w:val="00612C5F"/>
    <w:rsid w:val="00612D1E"/>
    <w:rsid w:val="00612D4F"/>
    <w:rsid w:val="00612DD2"/>
    <w:rsid w:val="00612E30"/>
    <w:rsid w:val="00612E82"/>
    <w:rsid w:val="00612EE1"/>
    <w:rsid w:val="00612FAF"/>
    <w:rsid w:val="00612FF3"/>
    <w:rsid w:val="00612FFD"/>
    <w:rsid w:val="0061307A"/>
    <w:rsid w:val="00613095"/>
    <w:rsid w:val="006130BB"/>
    <w:rsid w:val="0061319A"/>
    <w:rsid w:val="006131B2"/>
    <w:rsid w:val="0061320A"/>
    <w:rsid w:val="00613297"/>
    <w:rsid w:val="006132E5"/>
    <w:rsid w:val="00613314"/>
    <w:rsid w:val="0061331D"/>
    <w:rsid w:val="00613375"/>
    <w:rsid w:val="006133CB"/>
    <w:rsid w:val="00613430"/>
    <w:rsid w:val="00613444"/>
    <w:rsid w:val="0061357B"/>
    <w:rsid w:val="006135AE"/>
    <w:rsid w:val="006135AF"/>
    <w:rsid w:val="006135CF"/>
    <w:rsid w:val="006135D1"/>
    <w:rsid w:val="00613607"/>
    <w:rsid w:val="00613629"/>
    <w:rsid w:val="0061366A"/>
    <w:rsid w:val="00613671"/>
    <w:rsid w:val="006136F7"/>
    <w:rsid w:val="00613701"/>
    <w:rsid w:val="00613709"/>
    <w:rsid w:val="00613746"/>
    <w:rsid w:val="0061374C"/>
    <w:rsid w:val="00613769"/>
    <w:rsid w:val="00613775"/>
    <w:rsid w:val="00613779"/>
    <w:rsid w:val="006137C2"/>
    <w:rsid w:val="006137E6"/>
    <w:rsid w:val="006137F0"/>
    <w:rsid w:val="0061381F"/>
    <w:rsid w:val="00613852"/>
    <w:rsid w:val="00613878"/>
    <w:rsid w:val="0061387F"/>
    <w:rsid w:val="00613897"/>
    <w:rsid w:val="006138F0"/>
    <w:rsid w:val="00613919"/>
    <w:rsid w:val="00613953"/>
    <w:rsid w:val="0061398D"/>
    <w:rsid w:val="006139BC"/>
    <w:rsid w:val="00613A4F"/>
    <w:rsid w:val="00613A7B"/>
    <w:rsid w:val="00613AA4"/>
    <w:rsid w:val="00613B56"/>
    <w:rsid w:val="00613B8E"/>
    <w:rsid w:val="00613BE3"/>
    <w:rsid w:val="00613BE5"/>
    <w:rsid w:val="00613C01"/>
    <w:rsid w:val="00613C05"/>
    <w:rsid w:val="00613C10"/>
    <w:rsid w:val="00613C18"/>
    <w:rsid w:val="00613C86"/>
    <w:rsid w:val="00613D1F"/>
    <w:rsid w:val="00613D38"/>
    <w:rsid w:val="00613D69"/>
    <w:rsid w:val="00613D8D"/>
    <w:rsid w:val="00613DBE"/>
    <w:rsid w:val="00613DE2"/>
    <w:rsid w:val="00613FAE"/>
    <w:rsid w:val="00614018"/>
    <w:rsid w:val="00614032"/>
    <w:rsid w:val="00614040"/>
    <w:rsid w:val="00614043"/>
    <w:rsid w:val="00614067"/>
    <w:rsid w:val="0061408F"/>
    <w:rsid w:val="00614092"/>
    <w:rsid w:val="006140AC"/>
    <w:rsid w:val="006140DF"/>
    <w:rsid w:val="0061413C"/>
    <w:rsid w:val="00614158"/>
    <w:rsid w:val="0061419F"/>
    <w:rsid w:val="006141F3"/>
    <w:rsid w:val="00614258"/>
    <w:rsid w:val="00614268"/>
    <w:rsid w:val="00614284"/>
    <w:rsid w:val="0061428F"/>
    <w:rsid w:val="006142A8"/>
    <w:rsid w:val="006142AF"/>
    <w:rsid w:val="006143B0"/>
    <w:rsid w:val="006143F7"/>
    <w:rsid w:val="0061440C"/>
    <w:rsid w:val="0061444E"/>
    <w:rsid w:val="006144C3"/>
    <w:rsid w:val="00614502"/>
    <w:rsid w:val="0061451A"/>
    <w:rsid w:val="006145B2"/>
    <w:rsid w:val="006145C9"/>
    <w:rsid w:val="006145D5"/>
    <w:rsid w:val="006145E2"/>
    <w:rsid w:val="00614606"/>
    <w:rsid w:val="0061460B"/>
    <w:rsid w:val="0061461C"/>
    <w:rsid w:val="00614620"/>
    <w:rsid w:val="006146B0"/>
    <w:rsid w:val="006146BA"/>
    <w:rsid w:val="006146D2"/>
    <w:rsid w:val="006146DB"/>
    <w:rsid w:val="006146E0"/>
    <w:rsid w:val="006146ED"/>
    <w:rsid w:val="0061470D"/>
    <w:rsid w:val="0061471E"/>
    <w:rsid w:val="0061473B"/>
    <w:rsid w:val="00614754"/>
    <w:rsid w:val="00614761"/>
    <w:rsid w:val="006147D6"/>
    <w:rsid w:val="00614876"/>
    <w:rsid w:val="00614883"/>
    <w:rsid w:val="0061492B"/>
    <w:rsid w:val="0061495E"/>
    <w:rsid w:val="00614981"/>
    <w:rsid w:val="0061499B"/>
    <w:rsid w:val="006149B8"/>
    <w:rsid w:val="006149C9"/>
    <w:rsid w:val="00614A66"/>
    <w:rsid w:val="00614A68"/>
    <w:rsid w:val="00614AE6"/>
    <w:rsid w:val="00614B55"/>
    <w:rsid w:val="00614B9D"/>
    <w:rsid w:val="00614C25"/>
    <w:rsid w:val="00614C70"/>
    <w:rsid w:val="00614CD2"/>
    <w:rsid w:val="00614CD3"/>
    <w:rsid w:val="00614DC0"/>
    <w:rsid w:val="00614E2C"/>
    <w:rsid w:val="00614E3F"/>
    <w:rsid w:val="00614E92"/>
    <w:rsid w:val="00614EA7"/>
    <w:rsid w:val="00614EF1"/>
    <w:rsid w:val="00614F02"/>
    <w:rsid w:val="00614F1E"/>
    <w:rsid w:val="00614F4F"/>
    <w:rsid w:val="00614FB1"/>
    <w:rsid w:val="00614FC5"/>
    <w:rsid w:val="00614FD7"/>
    <w:rsid w:val="00614FF0"/>
    <w:rsid w:val="0061501C"/>
    <w:rsid w:val="006150B3"/>
    <w:rsid w:val="006150C1"/>
    <w:rsid w:val="00615122"/>
    <w:rsid w:val="0061513B"/>
    <w:rsid w:val="0061513C"/>
    <w:rsid w:val="00615141"/>
    <w:rsid w:val="0061523A"/>
    <w:rsid w:val="00615240"/>
    <w:rsid w:val="00615248"/>
    <w:rsid w:val="0061524B"/>
    <w:rsid w:val="0061525E"/>
    <w:rsid w:val="006152B2"/>
    <w:rsid w:val="006152CB"/>
    <w:rsid w:val="00615335"/>
    <w:rsid w:val="00615363"/>
    <w:rsid w:val="00615392"/>
    <w:rsid w:val="0061539C"/>
    <w:rsid w:val="006153BB"/>
    <w:rsid w:val="006153D4"/>
    <w:rsid w:val="006153F0"/>
    <w:rsid w:val="00615497"/>
    <w:rsid w:val="006154D7"/>
    <w:rsid w:val="006154F4"/>
    <w:rsid w:val="006154F7"/>
    <w:rsid w:val="00615536"/>
    <w:rsid w:val="00615597"/>
    <w:rsid w:val="006155B6"/>
    <w:rsid w:val="00615646"/>
    <w:rsid w:val="0061565B"/>
    <w:rsid w:val="00615660"/>
    <w:rsid w:val="00615693"/>
    <w:rsid w:val="006156C7"/>
    <w:rsid w:val="00615757"/>
    <w:rsid w:val="00615789"/>
    <w:rsid w:val="006157BE"/>
    <w:rsid w:val="006157F9"/>
    <w:rsid w:val="00615822"/>
    <w:rsid w:val="0061587C"/>
    <w:rsid w:val="00615887"/>
    <w:rsid w:val="00615893"/>
    <w:rsid w:val="0061589F"/>
    <w:rsid w:val="006158A7"/>
    <w:rsid w:val="006158B0"/>
    <w:rsid w:val="006158D1"/>
    <w:rsid w:val="00615910"/>
    <w:rsid w:val="00615918"/>
    <w:rsid w:val="00615928"/>
    <w:rsid w:val="0061595B"/>
    <w:rsid w:val="00615979"/>
    <w:rsid w:val="00615983"/>
    <w:rsid w:val="00615A19"/>
    <w:rsid w:val="00615A27"/>
    <w:rsid w:val="00615A36"/>
    <w:rsid w:val="00615A6A"/>
    <w:rsid w:val="00615A83"/>
    <w:rsid w:val="00615A88"/>
    <w:rsid w:val="00615B7D"/>
    <w:rsid w:val="00615BDC"/>
    <w:rsid w:val="00615C60"/>
    <w:rsid w:val="00615CA1"/>
    <w:rsid w:val="00615CCD"/>
    <w:rsid w:val="00615D15"/>
    <w:rsid w:val="00615DCE"/>
    <w:rsid w:val="00615DE2"/>
    <w:rsid w:val="00615ECD"/>
    <w:rsid w:val="00615F86"/>
    <w:rsid w:val="00615FDE"/>
    <w:rsid w:val="00616084"/>
    <w:rsid w:val="00616098"/>
    <w:rsid w:val="006160C2"/>
    <w:rsid w:val="006160FF"/>
    <w:rsid w:val="00616112"/>
    <w:rsid w:val="00616127"/>
    <w:rsid w:val="00616132"/>
    <w:rsid w:val="0061614C"/>
    <w:rsid w:val="00616176"/>
    <w:rsid w:val="00616178"/>
    <w:rsid w:val="0061618A"/>
    <w:rsid w:val="00616192"/>
    <w:rsid w:val="006161E5"/>
    <w:rsid w:val="00616218"/>
    <w:rsid w:val="00616237"/>
    <w:rsid w:val="0061624F"/>
    <w:rsid w:val="00616299"/>
    <w:rsid w:val="006162D1"/>
    <w:rsid w:val="00616380"/>
    <w:rsid w:val="00616397"/>
    <w:rsid w:val="006163BF"/>
    <w:rsid w:val="006163FF"/>
    <w:rsid w:val="00616413"/>
    <w:rsid w:val="0061642A"/>
    <w:rsid w:val="0061642F"/>
    <w:rsid w:val="0061644F"/>
    <w:rsid w:val="0061646D"/>
    <w:rsid w:val="006164B9"/>
    <w:rsid w:val="006164D8"/>
    <w:rsid w:val="006164DD"/>
    <w:rsid w:val="00616582"/>
    <w:rsid w:val="006165AE"/>
    <w:rsid w:val="006165C6"/>
    <w:rsid w:val="006165EC"/>
    <w:rsid w:val="00616622"/>
    <w:rsid w:val="00616687"/>
    <w:rsid w:val="006166FC"/>
    <w:rsid w:val="00616704"/>
    <w:rsid w:val="0061671B"/>
    <w:rsid w:val="00616741"/>
    <w:rsid w:val="00616748"/>
    <w:rsid w:val="00616790"/>
    <w:rsid w:val="00616791"/>
    <w:rsid w:val="006167CB"/>
    <w:rsid w:val="006167E7"/>
    <w:rsid w:val="0061682D"/>
    <w:rsid w:val="00616832"/>
    <w:rsid w:val="00616847"/>
    <w:rsid w:val="00616894"/>
    <w:rsid w:val="006168BF"/>
    <w:rsid w:val="006168ED"/>
    <w:rsid w:val="0061695D"/>
    <w:rsid w:val="0061696E"/>
    <w:rsid w:val="006169DF"/>
    <w:rsid w:val="00616A0A"/>
    <w:rsid w:val="00616A38"/>
    <w:rsid w:val="00616A3D"/>
    <w:rsid w:val="00616A54"/>
    <w:rsid w:val="00616A60"/>
    <w:rsid w:val="00616A75"/>
    <w:rsid w:val="00616ACD"/>
    <w:rsid w:val="00616B16"/>
    <w:rsid w:val="00616B98"/>
    <w:rsid w:val="00616BB0"/>
    <w:rsid w:val="00616C30"/>
    <w:rsid w:val="00616C56"/>
    <w:rsid w:val="00616C63"/>
    <w:rsid w:val="00616CBB"/>
    <w:rsid w:val="00616D22"/>
    <w:rsid w:val="00616D4B"/>
    <w:rsid w:val="00616DC4"/>
    <w:rsid w:val="00616E23"/>
    <w:rsid w:val="00616E86"/>
    <w:rsid w:val="00616E9F"/>
    <w:rsid w:val="00616EDB"/>
    <w:rsid w:val="00616F57"/>
    <w:rsid w:val="00617060"/>
    <w:rsid w:val="00617165"/>
    <w:rsid w:val="00617174"/>
    <w:rsid w:val="006171C8"/>
    <w:rsid w:val="006171CF"/>
    <w:rsid w:val="006171EE"/>
    <w:rsid w:val="006171FE"/>
    <w:rsid w:val="00617236"/>
    <w:rsid w:val="00617278"/>
    <w:rsid w:val="0061728A"/>
    <w:rsid w:val="00617299"/>
    <w:rsid w:val="006172CD"/>
    <w:rsid w:val="006172F4"/>
    <w:rsid w:val="0061732A"/>
    <w:rsid w:val="0061733C"/>
    <w:rsid w:val="00617354"/>
    <w:rsid w:val="00617362"/>
    <w:rsid w:val="00617379"/>
    <w:rsid w:val="0061739C"/>
    <w:rsid w:val="006173A5"/>
    <w:rsid w:val="006173B0"/>
    <w:rsid w:val="006173DD"/>
    <w:rsid w:val="006173EA"/>
    <w:rsid w:val="0061741D"/>
    <w:rsid w:val="00617483"/>
    <w:rsid w:val="006174F2"/>
    <w:rsid w:val="0061752E"/>
    <w:rsid w:val="00617580"/>
    <w:rsid w:val="00617581"/>
    <w:rsid w:val="006175D1"/>
    <w:rsid w:val="0061762A"/>
    <w:rsid w:val="006176A5"/>
    <w:rsid w:val="006176B9"/>
    <w:rsid w:val="006176BC"/>
    <w:rsid w:val="006176F2"/>
    <w:rsid w:val="00617707"/>
    <w:rsid w:val="00617747"/>
    <w:rsid w:val="00617754"/>
    <w:rsid w:val="00617774"/>
    <w:rsid w:val="00617779"/>
    <w:rsid w:val="006177CB"/>
    <w:rsid w:val="006177CE"/>
    <w:rsid w:val="006177D8"/>
    <w:rsid w:val="006177EB"/>
    <w:rsid w:val="00617835"/>
    <w:rsid w:val="00617849"/>
    <w:rsid w:val="0061786B"/>
    <w:rsid w:val="0061786C"/>
    <w:rsid w:val="0061786F"/>
    <w:rsid w:val="006178DA"/>
    <w:rsid w:val="006178DD"/>
    <w:rsid w:val="00617922"/>
    <w:rsid w:val="00617958"/>
    <w:rsid w:val="00617A2A"/>
    <w:rsid w:val="00617A57"/>
    <w:rsid w:val="00617A8D"/>
    <w:rsid w:val="00617A94"/>
    <w:rsid w:val="00617AC0"/>
    <w:rsid w:val="00617AFA"/>
    <w:rsid w:val="00617AFF"/>
    <w:rsid w:val="00617B1A"/>
    <w:rsid w:val="00617B56"/>
    <w:rsid w:val="00617B58"/>
    <w:rsid w:val="00617BD8"/>
    <w:rsid w:val="00617BEA"/>
    <w:rsid w:val="00617BF3"/>
    <w:rsid w:val="00617C1D"/>
    <w:rsid w:val="00617C50"/>
    <w:rsid w:val="00617C7D"/>
    <w:rsid w:val="00617CA6"/>
    <w:rsid w:val="00617CB5"/>
    <w:rsid w:val="00617CCE"/>
    <w:rsid w:val="00617DEC"/>
    <w:rsid w:val="00617E12"/>
    <w:rsid w:val="00617E15"/>
    <w:rsid w:val="00617E39"/>
    <w:rsid w:val="00617EAB"/>
    <w:rsid w:val="00617EDE"/>
    <w:rsid w:val="00617F21"/>
    <w:rsid w:val="00617F26"/>
    <w:rsid w:val="00617F70"/>
    <w:rsid w:val="00617FD2"/>
    <w:rsid w:val="00617FFA"/>
    <w:rsid w:val="006200BF"/>
    <w:rsid w:val="0062010D"/>
    <w:rsid w:val="0062010E"/>
    <w:rsid w:val="00620159"/>
    <w:rsid w:val="006201BA"/>
    <w:rsid w:val="006201CC"/>
    <w:rsid w:val="00620203"/>
    <w:rsid w:val="00620223"/>
    <w:rsid w:val="0062022E"/>
    <w:rsid w:val="0062029A"/>
    <w:rsid w:val="006202B6"/>
    <w:rsid w:val="0062032F"/>
    <w:rsid w:val="00620350"/>
    <w:rsid w:val="00620382"/>
    <w:rsid w:val="00620392"/>
    <w:rsid w:val="0062039C"/>
    <w:rsid w:val="006203A7"/>
    <w:rsid w:val="006203AC"/>
    <w:rsid w:val="00620460"/>
    <w:rsid w:val="006204B0"/>
    <w:rsid w:val="006204EF"/>
    <w:rsid w:val="006204FF"/>
    <w:rsid w:val="00620567"/>
    <w:rsid w:val="006205E1"/>
    <w:rsid w:val="00620641"/>
    <w:rsid w:val="00620649"/>
    <w:rsid w:val="00620704"/>
    <w:rsid w:val="0062073B"/>
    <w:rsid w:val="00620748"/>
    <w:rsid w:val="00620861"/>
    <w:rsid w:val="00620864"/>
    <w:rsid w:val="00620899"/>
    <w:rsid w:val="006208A4"/>
    <w:rsid w:val="006208D0"/>
    <w:rsid w:val="006208E8"/>
    <w:rsid w:val="006208ED"/>
    <w:rsid w:val="0062093C"/>
    <w:rsid w:val="00620A0B"/>
    <w:rsid w:val="00620A12"/>
    <w:rsid w:val="00620AC6"/>
    <w:rsid w:val="00620AE4"/>
    <w:rsid w:val="00620B1B"/>
    <w:rsid w:val="00620B20"/>
    <w:rsid w:val="00620B78"/>
    <w:rsid w:val="00620C0A"/>
    <w:rsid w:val="00620C0D"/>
    <w:rsid w:val="00620C5B"/>
    <w:rsid w:val="00620C8F"/>
    <w:rsid w:val="00620D0D"/>
    <w:rsid w:val="00620D3D"/>
    <w:rsid w:val="00620D82"/>
    <w:rsid w:val="00620D83"/>
    <w:rsid w:val="00620DF5"/>
    <w:rsid w:val="00620E45"/>
    <w:rsid w:val="00620E57"/>
    <w:rsid w:val="00620E62"/>
    <w:rsid w:val="00620E6E"/>
    <w:rsid w:val="00620E84"/>
    <w:rsid w:val="00620E9D"/>
    <w:rsid w:val="00620EA8"/>
    <w:rsid w:val="00620ED3"/>
    <w:rsid w:val="00620EE9"/>
    <w:rsid w:val="00620F76"/>
    <w:rsid w:val="00620F96"/>
    <w:rsid w:val="00620F9A"/>
    <w:rsid w:val="00620FEE"/>
    <w:rsid w:val="00621036"/>
    <w:rsid w:val="006210FD"/>
    <w:rsid w:val="00621113"/>
    <w:rsid w:val="0062112E"/>
    <w:rsid w:val="0062115F"/>
    <w:rsid w:val="00621176"/>
    <w:rsid w:val="00621179"/>
    <w:rsid w:val="00621188"/>
    <w:rsid w:val="006211DB"/>
    <w:rsid w:val="0062122A"/>
    <w:rsid w:val="0062122C"/>
    <w:rsid w:val="00621248"/>
    <w:rsid w:val="00621252"/>
    <w:rsid w:val="00621276"/>
    <w:rsid w:val="00621280"/>
    <w:rsid w:val="00621299"/>
    <w:rsid w:val="006212B3"/>
    <w:rsid w:val="006212C5"/>
    <w:rsid w:val="006212E5"/>
    <w:rsid w:val="00621312"/>
    <w:rsid w:val="0062131A"/>
    <w:rsid w:val="006213A3"/>
    <w:rsid w:val="006213FA"/>
    <w:rsid w:val="0062148B"/>
    <w:rsid w:val="0062149D"/>
    <w:rsid w:val="006214EA"/>
    <w:rsid w:val="00621565"/>
    <w:rsid w:val="00621585"/>
    <w:rsid w:val="0062159E"/>
    <w:rsid w:val="006215FD"/>
    <w:rsid w:val="00621619"/>
    <w:rsid w:val="006216CA"/>
    <w:rsid w:val="00621729"/>
    <w:rsid w:val="006217CE"/>
    <w:rsid w:val="006217FF"/>
    <w:rsid w:val="0062186E"/>
    <w:rsid w:val="00621875"/>
    <w:rsid w:val="0062188A"/>
    <w:rsid w:val="006218F6"/>
    <w:rsid w:val="00621932"/>
    <w:rsid w:val="0062194A"/>
    <w:rsid w:val="0062194D"/>
    <w:rsid w:val="00621970"/>
    <w:rsid w:val="00621A0B"/>
    <w:rsid w:val="00621A56"/>
    <w:rsid w:val="00621A75"/>
    <w:rsid w:val="00621A91"/>
    <w:rsid w:val="00621A94"/>
    <w:rsid w:val="00621AEF"/>
    <w:rsid w:val="00621B08"/>
    <w:rsid w:val="00621B4C"/>
    <w:rsid w:val="00621B6A"/>
    <w:rsid w:val="00621B80"/>
    <w:rsid w:val="00621B8E"/>
    <w:rsid w:val="00621BCB"/>
    <w:rsid w:val="00621BD4"/>
    <w:rsid w:val="00621BEB"/>
    <w:rsid w:val="00621C00"/>
    <w:rsid w:val="00621C02"/>
    <w:rsid w:val="00621C8A"/>
    <w:rsid w:val="00621C93"/>
    <w:rsid w:val="00621CAD"/>
    <w:rsid w:val="00621CC7"/>
    <w:rsid w:val="00621CD4"/>
    <w:rsid w:val="00621CEC"/>
    <w:rsid w:val="00621D8C"/>
    <w:rsid w:val="00621D98"/>
    <w:rsid w:val="00621DB7"/>
    <w:rsid w:val="00621DE3"/>
    <w:rsid w:val="00621E30"/>
    <w:rsid w:val="00621E32"/>
    <w:rsid w:val="00621EA2"/>
    <w:rsid w:val="00621F9A"/>
    <w:rsid w:val="00621FDA"/>
    <w:rsid w:val="00621FFB"/>
    <w:rsid w:val="00622047"/>
    <w:rsid w:val="0062205A"/>
    <w:rsid w:val="00622097"/>
    <w:rsid w:val="006220A7"/>
    <w:rsid w:val="006220F4"/>
    <w:rsid w:val="0062212A"/>
    <w:rsid w:val="006221C3"/>
    <w:rsid w:val="00622249"/>
    <w:rsid w:val="006222F4"/>
    <w:rsid w:val="0062230D"/>
    <w:rsid w:val="00622345"/>
    <w:rsid w:val="0062236A"/>
    <w:rsid w:val="0062237E"/>
    <w:rsid w:val="006223A1"/>
    <w:rsid w:val="006223A4"/>
    <w:rsid w:val="00622429"/>
    <w:rsid w:val="0062247F"/>
    <w:rsid w:val="006224E6"/>
    <w:rsid w:val="0062253C"/>
    <w:rsid w:val="00622574"/>
    <w:rsid w:val="00622583"/>
    <w:rsid w:val="00622588"/>
    <w:rsid w:val="00622591"/>
    <w:rsid w:val="006225A5"/>
    <w:rsid w:val="006225B7"/>
    <w:rsid w:val="006225CC"/>
    <w:rsid w:val="006225EC"/>
    <w:rsid w:val="00622607"/>
    <w:rsid w:val="0062261D"/>
    <w:rsid w:val="0062261E"/>
    <w:rsid w:val="0062271C"/>
    <w:rsid w:val="0062271F"/>
    <w:rsid w:val="0062272D"/>
    <w:rsid w:val="00622749"/>
    <w:rsid w:val="00622758"/>
    <w:rsid w:val="00622791"/>
    <w:rsid w:val="006227B3"/>
    <w:rsid w:val="006227D9"/>
    <w:rsid w:val="0062282E"/>
    <w:rsid w:val="0062283E"/>
    <w:rsid w:val="006228EC"/>
    <w:rsid w:val="006228EF"/>
    <w:rsid w:val="006228F1"/>
    <w:rsid w:val="0062291E"/>
    <w:rsid w:val="00622920"/>
    <w:rsid w:val="0062295E"/>
    <w:rsid w:val="00622968"/>
    <w:rsid w:val="0062298B"/>
    <w:rsid w:val="006229DE"/>
    <w:rsid w:val="006229EE"/>
    <w:rsid w:val="006229F4"/>
    <w:rsid w:val="00622A3B"/>
    <w:rsid w:val="00622A89"/>
    <w:rsid w:val="00622AA9"/>
    <w:rsid w:val="00622AC6"/>
    <w:rsid w:val="00622AFD"/>
    <w:rsid w:val="00622B09"/>
    <w:rsid w:val="00622B40"/>
    <w:rsid w:val="00622B41"/>
    <w:rsid w:val="00622BEC"/>
    <w:rsid w:val="00622C38"/>
    <w:rsid w:val="00622C5C"/>
    <w:rsid w:val="00622C70"/>
    <w:rsid w:val="00622C8A"/>
    <w:rsid w:val="00622CAC"/>
    <w:rsid w:val="00622CAE"/>
    <w:rsid w:val="00622CD1"/>
    <w:rsid w:val="00622CEB"/>
    <w:rsid w:val="00622D25"/>
    <w:rsid w:val="00622D58"/>
    <w:rsid w:val="00622D9C"/>
    <w:rsid w:val="00622DEC"/>
    <w:rsid w:val="00622DEE"/>
    <w:rsid w:val="00622DF3"/>
    <w:rsid w:val="00622E2A"/>
    <w:rsid w:val="00622E71"/>
    <w:rsid w:val="00622F1A"/>
    <w:rsid w:val="00622F25"/>
    <w:rsid w:val="00622F35"/>
    <w:rsid w:val="00622F3C"/>
    <w:rsid w:val="00622F74"/>
    <w:rsid w:val="00622F88"/>
    <w:rsid w:val="00623002"/>
    <w:rsid w:val="0062302D"/>
    <w:rsid w:val="00623080"/>
    <w:rsid w:val="00623096"/>
    <w:rsid w:val="0062309D"/>
    <w:rsid w:val="0062311E"/>
    <w:rsid w:val="00623142"/>
    <w:rsid w:val="00623156"/>
    <w:rsid w:val="00623177"/>
    <w:rsid w:val="006231AB"/>
    <w:rsid w:val="0062333C"/>
    <w:rsid w:val="00623343"/>
    <w:rsid w:val="00623345"/>
    <w:rsid w:val="00623354"/>
    <w:rsid w:val="00623362"/>
    <w:rsid w:val="00623374"/>
    <w:rsid w:val="00623388"/>
    <w:rsid w:val="0062339C"/>
    <w:rsid w:val="0062344C"/>
    <w:rsid w:val="0062344E"/>
    <w:rsid w:val="006234E4"/>
    <w:rsid w:val="00623500"/>
    <w:rsid w:val="0062353D"/>
    <w:rsid w:val="0062357B"/>
    <w:rsid w:val="00623590"/>
    <w:rsid w:val="006235F2"/>
    <w:rsid w:val="00623619"/>
    <w:rsid w:val="00623632"/>
    <w:rsid w:val="00623648"/>
    <w:rsid w:val="00623717"/>
    <w:rsid w:val="0062375A"/>
    <w:rsid w:val="00623769"/>
    <w:rsid w:val="006237A4"/>
    <w:rsid w:val="006237CD"/>
    <w:rsid w:val="006237FB"/>
    <w:rsid w:val="0062385B"/>
    <w:rsid w:val="00623863"/>
    <w:rsid w:val="006238AD"/>
    <w:rsid w:val="006238B3"/>
    <w:rsid w:val="006238FA"/>
    <w:rsid w:val="00623918"/>
    <w:rsid w:val="00623920"/>
    <w:rsid w:val="00623935"/>
    <w:rsid w:val="00623969"/>
    <w:rsid w:val="006239BA"/>
    <w:rsid w:val="006239C2"/>
    <w:rsid w:val="00623A00"/>
    <w:rsid w:val="00623A1D"/>
    <w:rsid w:val="00623A2D"/>
    <w:rsid w:val="00623ACA"/>
    <w:rsid w:val="00623ACE"/>
    <w:rsid w:val="00623B02"/>
    <w:rsid w:val="00623B53"/>
    <w:rsid w:val="00623B5D"/>
    <w:rsid w:val="00623BCA"/>
    <w:rsid w:val="00623BFF"/>
    <w:rsid w:val="00623C23"/>
    <w:rsid w:val="00623C47"/>
    <w:rsid w:val="00623CAF"/>
    <w:rsid w:val="00623CCD"/>
    <w:rsid w:val="00623D0B"/>
    <w:rsid w:val="00623D25"/>
    <w:rsid w:val="00623D5A"/>
    <w:rsid w:val="00623DF0"/>
    <w:rsid w:val="00623DF1"/>
    <w:rsid w:val="00623E00"/>
    <w:rsid w:val="00623E49"/>
    <w:rsid w:val="00623FBE"/>
    <w:rsid w:val="00624001"/>
    <w:rsid w:val="00624004"/>
    <w:rsid w:val="0062402D"/>
    <w:rsid w:val="0062407F"/>
    <w:rsid w:val="00624094"/>
    <w:rsid w:val="006240C6"/>
    <w:rsid w:val="006240CB"/>
    <w:rsid w:val="006240DA"/>
    <w:rsid w:val="00624176"/>
    <w:rsid w:val="00624185"/>
    <w:rsid w:val="00624240"/>
    <w:rsid w:val="00624290"/>
    <w:rsid w:val="006242AC"/>
    <w:rsid w:val="006242C0"/>
    <w:rsid w:val="006243A7"/>
    <w:rsid w:val="006243B4"/>
    <w:rsid w:val="006243C5"/>
    <w:rsid w:val="00624404"/>
    <w:rsid w:val="0062442B"/>
    <w:rsid w:val="0062445E"/>
    <w:rsid w:val="006244E4"/>
    <w:rsid w:val="0062454F"/>
    <w:rsid w:val="00624587"/>
    <w:rsid w:val="00624595"/>
    <w:rsid w:val="00624622"/>
    <w:rsid w:val="00624625"/>
    <w:rsid w:val="0062466A"/>
    <w:rsid w:val="006246A3"/>
    <w:rsid w:val="006246D4"/>
    <w:rsid w:val="00624780"/>
    <w:rsid w:val="006247E2"/>
    <w:rsid w:val="0062483E"/>
    <w:rsid w:val="00624842"/>
    <w:rsid w:val="0062485A"/>
    <w:rsid w:val="00624884"/>
    <w:rsid w:val="006248ED"/>
    <w:rsid w:val="006248FA"/>
    <w:rsid w:val="00624905"/>
    <w:rsid w:val="00624970"/>
    <w:rsid w:val="006249DC"/>
    <w:rsid w:val="006249FC"/>
    <w:rsid w:val="006249FE"/>
    <w:rsid w:val="00624A8F"/>
    <w:rsid w:val="00624AA3"/>
    <w:rsid w:val="00624B2B"/>
    <w:rsid w:val="00624B9B"/>
    <w:rsid w:val="00624BB5"/>
    <w:rsid w:val="00624C4C"/>
    <w:rsid w:val="00624C4E"/>
    <w:rsid w:val="00624C69"/>
    <w:rsid w:val="00624C73"/>
    <w:rsid w:val="00624C9D"/>
    <w:rsid w:val="00624CE1"/>
    <w:rsid w:val="00624CF8"/>
    <w:rsid w:val="00624D1F"/>
    <w:rsid w:val="00624D2E"/>
    <w:rsid w:val="00624D75"/>
    <w:rsid w:val="00624D76"/>
    <w:rsid w:val="00624D86"/>
    <w:rsid w:val="00624DC1"/>
    <w:rsid w:val="00624E1B"/>
    <w:rsid w:val="00624E1F"/>
    <w:rsid w:val="00624EA4"/>
    <w:rsid w:val="00624EB1"/>
    <w:rsid w:val="00624EB8"/>
    <w:rsid w:val="00624ECF"/>
    <w:rsid w:val="00624ED9"/>
    <w:rsid w:val="00624F25"/>
    <w:rsid w:val="00624F78"/>
    <w:rsid w:val="00624FAA"/>
    <w:rsid w:val="00624FE3"/>
    <w:rsid w:val="00624FFD"/>
    <w:rsid w:val="0062502E"/>
    <w:rsid w:val="006250D8"/>
    <w:rsid w:val="006250E0"/>
    <w:rsid w:val="00625128"/>
    <w:rsid w:val="0062518F"/>
    <w:rsid w:val="006251EB"/>
    <w:rsid w:val="00625218"/>
    <w:rsid w:val="00625268"/>
    <w:rsid w:val="0062529C"/>
    <w:rsid w:val="006252B9"/>
    <w:rsid w:val="006252E4"/>
    <w:rsid w:val="0062533B"/>
    <w:rsid w:val="00625344"/>
    <w:rsid w:val="006253A8"/>
    <w:rsid w:val="006254FD"/>
    <w:rsid w:val="0062550F"/>
    <w:rsid w:val="0062554E"/>
    <w:rsid w:val="0062557C"/>
    <w:rsid w:val="006255A1"/>
    <w:rsid w:val="006255D0"/>
    <w:rsid w:val="006255F2"/>
    <w:rsid w:val="006256EA"/>
    <w:rsid w:val="006256ED"/>
    <w:rsid w:val="00625711"/>
    <w:rsid w:val="0062573C"/>
    <w:rsid w:val="00625769"/>
    <w:rsid w:val="00625793"/>
    <w:rsid w:val="006257CA"/>
    <w:rsid w:val="00625819"/>
    <w:rsid w:val="0062590F"/>
    <w:rsid w:val="00625931"/>
    <w:rsid w:val="00625986"/>
    <w:rsid w:val="00625990"/>
    <w:rsid w:val="006259B1"/>
    <w:rsid w:val="006259B8"/>
    <w:rsid w:val="006259C1"/>
    <w:rsid w:val="00625A17"/>
    <w:rsid w:val="00625A37"/>
    <w:rsid w:val="00625A60"/>
    <w:rsid w:val="00625B21"/>
    <w:rsid w:val="00625B36"/>
    <w:rsid w:val="00625B57"/>
    <w:rsid w:val="00625B5B"/>
    <w:rsid w:val="00625B73"/>
    <w:rsid w:val="00625B91"/>
    <w:rsid w:val="00625C45"/>
    <w:rsid w:val="00625C4C"/>
    <w:rsid w:val="00625C63"/>
    <w:rsid w:val="00625C80"/>
    <w:rsid w:val="00625CBE"/>
    <w:rsid w:val="00625CF2"/>
    <w:rsid w:val="00625D0C"/>
    <w:rsid w:val="00625D2D"/>
    <w:rsid w:val="00625D33"/>
    <w:rsid w:val="00625DEA"/>
    <w:rsid w:val="00625E44"/>
    <w:rsid w:val="00625EF9"/>
    <w:rsid w:val="00625F74"/>
    <w:rsid w:val="00625F8A"/>
    <w:rsid w:val="00625F94"/>
    <w:rsid w:val="00625FCA"/>
    <w:rsid w:val="00626020"/>
    <w:rsid w:val="0062602B"/>
    <w:rsid w:val="00626063"/>
    <w:rsid w:val="006260CB"/>
    <w:rsid w:val="00626102"/>
    <w:rsid w:val="0062613F"/>
    <w:rsid w:val="00626141"/>
    <w:rsid w:val="0062615B"/>
    <w:rsid w:val="00626189"/>
    <w:rsid w:val="0062619E"/>
    <w:rsid w:val="00626255"/>
    <w:rsid w:val="00626274"/>
    <w:rsid w:val="0062629F"/>
    <w:rsid w:val="006262A3"/>
    <w:rsid w:val="006262E6"/>
    <w:rsid w:val="006263A0"/>
    <w:rsid w:val="006263AE"/>
    <w:rsid w:val="006263C8"/>
    <w:rsid w:val="00626474"/>
    <w:rsid w:val="00626479"/>
    <w:rsid w:val="0062655C"/>
    <w:rsid w:val="006265D7"/>
    <w:rsid w:val="0062664C"/>
    <w:rsid w:val="00626686"/>
    <w:rsid w:val="00626692"/>
    <w:rsid w:val="006266B1"/>
    <w:rsid w:val="006267B8"/>
    <w:rsid w:val="006267DE"/>
    <w:rsid w:val="00626858"/>
    <w:rsid w:val="006268E0"/>
    <w:rsid w:val="0062696A"/>
    <w:rsid w:val="00626978"/>
    <w:rsid w:val="006269B3"/>
    <w:rsid w:val="00626A26"/>
    <w:rsid w:val="00626A29"/>
    <w:rsid w:val="00626A77"/>
    <w:rsid w:val="00626B4A"/>
    <w:rsid w:val="00626B57"/>
    <w:rsid w:val="00626B5D"/>
    <w:rsid w:val="00626B6D"/>
    <w:rsid w:val="00626BAC"/>
    <w:rsid w:val="00626BD9"/>
    <w:rsid w:val="00626C17"/>
    <w:rsid w:val="00626C27"/>
    <w:rsid w:val="00626CA6"/>
    <w:rsid w:val="00626CA9"/>
    <w:rsid w:val="00626CB3"/>
    <w:rsid w:val="00626CB9"/>
    <w:rsid w:val="00626DE6"/>
    <w:rsid w:val="00626E43"/>
    <w:rsid w:val="00626E5E"/>
    <w:rsid w:val="00626EA3"/>
    <w:rsid w:val="00626EAB"/>
    <w:rsid w:val="00626ED5"/>
    <w:rsid w:val="00627049"/>
    <w:rsid w:val="006270A8"/>
    <w:rsid w:val="006270BF"/>
    <w:rsid w:val="006270E7"/>
    <w:rsid w:val="006270EE"/>
    <w:rsid w:val="006270F7"/>
    <w:rsid w:val="00627112"/>
    <w:rsid w:val="0062711D"/>
    <w:rsid w:val="00627189"/>
    <w:rsid w:val="006271D8"/>
    <w:rsid w:val="006271E4"/>
    <w:rsid w:val="006271F3"/>
    <w:rsid w:val="0062721A"/>
    <w:rsid w:val="00627232"/>
    <w:rsid w:val="00627243"/>
    <w:rsid w:val="0062727C"/>
    <w:rsid w:val="0062730F"/>
    <w:rsid w:val="00627316"/>
    <w:rsid w:val="0062732A"/>
    <w:rsid w:val="00627367"/>
    <w:rsid w:val="00627388"/>
    <w:rsid w:val="00627395"/>
    <w:rsid w:val="00627405"/>
    <w:rsid w:val="0062748C"/>
    <w:rsid w:val="00627494"/>
    <w:rsid w:val="006274C7"/>
    <w:rsid w:val="006274D8"/>
    <w:rsid w:val="006274E2"/>
    <w:rsid w:val="0062754C"/>
    <w:rsid w:val="00627567"/>
    <w:rsid w:val="00627570"/>
    <w:rsid w:val="00627584"/>
    <w:rsid w:val="006275B6"/>
    <w:rsid w:val="00627624"/>
    <w:rsid w:val="00627653"/>
    <w:rsid w:val="006276B0"/>
    <w:rsid w:val="0062773D"/>
    <w:rsid w:val="0062776A"/>
    <w:rsid w:val="006277C1"/>
    <w:rsid w:val="00627865"/>
    <w:rsid w:val="0062787B"/>
    <w:rsid w:val="00627894"/>
    <w:rsid w:val="006278C6"/>
    <w:rsid w:val="006278DD"/>
    <w:rsid w:val="00627918"/>
    <w:rsid w:val="0062791A"/>
    <w:rsid w:val="0062795D"/>
    <w:rsid w:val="00627983"/>
    <w:rsid w:val="006279B8"/>
    <w:rsid w:val="00627AAC"/>
    <w:rsid w:val="00627B30"/>
    <w:rsid w:val="00627B66"/>
    <w:rsid w:val="00627B73"/>
    <w:rsid w:val="00627BBC"/>
    <w:rsid w:val="00627BF1"/>
    <w:rsid w:val="00627C32"/>
    <w:rsid w:val="00627C74"/>
    <w:rsid w:val="00627D17"/>
    <w:rsid w:val="00627EA3"/>
    <w:rsid w:val="00627EE2"/>
    <w:rsid w:val="00627F72"/>
    <w:rsid w:val="00627F8F"/>
    <w:rsid w:val="00627FB0"/>
    <w:rsid w:val="0063001C"/>
    <w:rsid w:val="0063004C"/>
    <w:rsid w:val="00630082"/>
    <w:rsid w:val="00630141"/>
    <w:rsid w:val="00630158"/>
    <w:rsid w:val="00630168"/>
    <w:rsid w:val="0063016C"/>
    <w:rsid w:val="0063017C"/>
    <w:rsid w:val="0063018A"/>
    <w:rsid w:val="0063021E"/>
    <w:rsid w:val="0063028D"/>
    <w:rsid w:val="006302B0"/>
    <w:rsid w:val="006302D8"/>
    <w:rsid w:val="006302D9"/>
    <w:rsid w:val="006302E7"/>
    <w:rsid w:val="0063033E"/>
    <w:rsid w:val="00630351"/>
    <w:rsid w:val="0063036A"/>
    <w:rsid w:val="00630376"/>
    <w:rsid w:val="00630392"/>
    <w:rsid w:val="006303A4"/>
    <w:rsid w:val="00630489"/>
    <w:rsid w:val="006304B1"/>
    <w:rsid w:val="006304E2"/>
    <w:rsid w:val="0063053F"/>
    <w:rsid w:val="00630543"/>
    <w:rsid w:val="006305F9"/>
    <w:rsid w:val="006305FC"/>
    <w:rsid w:val="0063063D"/>
    <w:rsid w:val="0063065D"/>
    <w:rsid w:val="00630665"/>
    <w:rsid w:val="0063066D"/>
    <w:rsid w:val="006306B6"/>
    <w:rsid w:val="00630719"/>
    <w:rsid w:val="00630746"/>
    <w:rsid w:val="00630749"/>
    <w:rsid w:val="00630785"/>
    <w:rsid w:val="0063087C"/>
    <w:rsid w:val="00630883"/>
    <w:rsid w:val="00630900"/>
    <w:rsid w:val="00630907"/>
    <w:rsid w:val="00630952"/>
    <w:rsid w:val="00630967"/>
    <w:rsid w:val="00630971"/>
    <w:rsid w:val="006309EB"/>
    <w:rsid w:val="00630A91"/>
    <w:rsid w:val="00630AB2"/>
    <w:rsid w:val="00630ABF"/>
    <w:rsid w:val="00630B1A"/>
    <w:rsid w:val="00630B38"/>
    <w:rsid w:val="00630B6F"/>
    <w:rsid w:val="00630BFF"/>
    <w:rsid w:val="00630C38"/>
    <w:rsid w:val="00630C8B"/>
    <w:rsid w:val="00630CCD"/>
    <w:rsid w:val="00630D6E"/>
    <w:rsid w:val="00630D74"/>
    <w:rsid w:val="00630DD2"/>
    <w:rsid w:val="00630DFE"/>
    <w:rsid w:val="00630E23"/>
    <w:rsid w:val="00630E27"/>
    <w:rsid w:val="00630E37"/>
    <w:rsid w:val="00630E90"/>
    <w:rsid w:val="00630EA0"/>
    <w:rsid w:val="00630EAB"/>
    <w:rsid w:val="00630EBB"/>
    <w:rsid w:val="00630F1E"/>
    <w:rsid w:val="00630F59"/>
    <w:rsid w:val="00631039"/>
    <w:rsid w:val="00631077"/>
    <w:rsid w:val="00631089"/>
    <w:rsid w:val="0063108F"/>
    <w:rsid w:val="0063110A"/>
    <w:rsid w:val="00631169"/>
    <w:rsid w:val="006311AA"/>
    <w:rsid w:val="006311D6"/>
    <w:rsid w:val="0063124C"/>
    <w:rsid w:val="00631250"/>
    <w:rsid w:val="0063129D"/>
    <w:rsid w:val="006312CC"/>
    <w:rsid w:val="00631319"/>
    <w:rsid w:val="00631328"/>
    <w:rsid w:val="0063132D"/>
    <w:rsid w:val="0063133A"/>
    <w:rsid w:val="00631376"/>
    <w:rsid w:val="006313DE"/>
    <w:rsid w:val="00631504"/>
    <w:rsid w:val="00631561"/>
    <w:rsid w:val="00631579"/>
    <w:rsid w:val="006315B0"/>
    <w:rsid w:val="006315B2"/>
    <w:rsid w:val="00631601"/>
    <w:rsid w:val="00631634"/>
    <w:rsid w:val="00631641"/>
    <w:rsid w:val="00631673"/>
    <w:rsid w:val="006317E3"/>
    <w:rsid w:val="00631856"/>
    <w:rsid w:val="00631861"/>
    <w:rsid w:val="00631871"/>
    <w:rsid w:val="006318CC"/>
    <w:rsid w:val="006318F5"/>
    <w:rsid w:val="00631979"/>
    <w:rsid w:val="00631995"/>
    <w:rsid w:val="006319B6"/>
    <w:rsid w:val="006319C9"/>
    <w:rsid w:val="006319D8"/>
    <w:rsid w:val="00631A88"/>
    <w:rsid w:val="00631BAE"/>
    <w:rsid w:val="00631BC1"/>
    <w:rsid w:val="00631C4E"/>
    <w:rsid w:val="00631C54"/>
    <w:rsid w:val="00631C58"/>
    <w:rsid w:val="00631C61"/>
    <w:rsid w:val="00631C81"/>
    <w:rsid w:val="00631CFE"/>
    <w:rsid w:val="00631D08"/>
    <w:rsid w:val="00631D3B"/>
    <w:rsid w:val="00631D48"/>
    <w:rsid w:val="00631DD6"/>
    <w:rsid w:val="00631E0C"/>
    <w:rsid w:val="00631E47"/>
    <w:rsid w:val="00631E60"/>
    <w:rsid w:val="00631ECE"/>
    <w:rsid w:val="00631EF0"/>
    <w:rsid w:val="00631EF4"/>
    <w:rsid w:val="00631F3B"/>
    <w:rsid w:val="00631FDA"/>
    <w:rsid w:val="00631FEA"/>
    <w:rsid w:val="00631FEE"/>
    <w:rsid w:val="00631FEF"/>
    <w:rsid w:val="00631FF8"/>
    <w:rsid w:val="00632059"/>
    <w:rsid w:val="0063205D"/>
    <w:rsid w:val="00632070"/>
    <w:rsid w:val="006320CB"/>
    <w:rsid w:val="00632113"/>
    <w:rsid w:val="00632148"/>
    <w:rsid w:val="00632152"/>
    <w:rsid w:val="006321DF"/>
    <w:rsid w:val="00632214"/>
    <w:rsid w:val="0063224D"/>
    <w:rsid w:val="0063226B"/>
    <w:rsid w:val="006322C9"/>
    <w:rsid w:val="00632351"/>
    <w:rsid w:val="0063238F"/>
    <w:rsid w:val="006323D7"/>
    <w:rsid w:val="006323FE"/>
    <w:rsid w:val="00632478"/>
    <w:rsid w:val="006324D3"/>
    <w:rsid w:val="006324F1"/>
    <w:rsid w:val="00632511"/>
    <w:rsid w:val="0063255C"/>
    <w:rsid w:val="0063256B"/>
    <w:rsid w:val="0063259E"/>
    <w:rsid w:val="00632645"/>
    <w:rsid w:val="0063265F"/>
    <w:rsid w:val="0063269F"/>
    <w:rsid w:val="006326A8"/>
    <w:rsid w:val="00632735"/>
    <w:rsid w:val="00632739"/>
    <w:rsid w:val="00632740"/>
    <w:rsid w:val="00632754"/>
    <w:rsid w:val="006327F0"/>
    <w:rsid w:val="00632801"/>
    <w:rsid w:val="00632857"/>
    <w:rsid w:val="00632865"/>
    <w:rsid w:val="00632897"/>
    <w:rsid w:val="006328AF"/>
    <w:rsid w:val="00632934"/>
    <w:rsid w:val="00632957"/>
    <w:rsid w:val="006329C0"/>
    <w:rsid w:val="00632A33"/>
    <w:rsid w:val="00632A52"/>
    <w:rsid w:val="00632A99"/>
    <w:rsid w:val="00632B15"/>
    <w:rsid w:val="00632B30"/>
    <w:rsid w:val="00632B72"/>
    <w:rsid w:val="00632BA0"/>
    <w:rsid w:val="00632C10"/>
    <w:rsid w:val="00632C19"/>
    <w:rsid w:val="00632CEA"/>
    <w:rsid w:val="00632DC0"/>
    <w:rsid w:val="00632DC3"/>
    <w:rsid w:val="00632DFD"/>
    <w:rsid w:val="00632EB9"/>
    <w:rsid w:val="00632EEE"/>
    <w:rsid w:val="00632F16"/>
    <w:rsid w:val="00632F83"/>
    <w:rsid w:val="00632FBE"/>
    <w:rsid w:val="0063300F"/>
    <w:rsid w:val="00633013"/>
    <w:rsid w:val="00633066"/>
    <w:rsid w:val="00633192"/>
    <w:rsid w:val="006331BF"/>
    <w:rsid w:val="00633229"/>
    <w:rsid w:val="00633278"/>
    <w:rsid w:val="0063329D"/>
    <w:rsid w:val="006332BF"/>
    <w:rsid w:val="006332EE"/>
    <w:rsid w:val="006332F4"/>
    <w:rsid w:val="00633312"/>
    <w:rsid w:val="006333C6"/>
    <w:rsid w:val="006333D3"/>
    <w:rsid w:val="006334F9"/>
    <w:rsid w:val="00633592"/>
    <w:rsid w:val="006335CF"/>
    <w:rsid w:val="006335D9"/>
    <w:rsid w:val="0063365A"/>
    <w:rsid w:val="0063372A"/>
    <w:rsid w:val="00633733"/>
    <w:rsid w:val="006337BA"/>
    <w:rsid w:val="006337E7"/>
    <w:rsid w:val="00633817"/>
    <w:rsid w:val="00633818"/>
    <w:rsid w:val="00633875"/>
    <w:rsid w:val="006338B7"/>
    <w:rsid w:val="006338ED"/>
    <w:rsid w:val="00633902"/>
    <w:rsid w:val="00633992"/>
    <w:rsid w:val="00633996"/>
    <w:rsid w:val="006339A3"/>
    <w:rsid w:val="00633A04"/>
    <w:rsid w:val="00633A19"/>
    <w:rsid w:val="00633A5B"/>
    <w:rsid w:val="00633AC6"/>
    <w:rsid w:val="00633B4C"/>
    <w:rsid w:val="00633C30"/>
    <w:rsid w:val="00633C37"/>
    <w:rsid w:val="00633C3A"/>
    <w:rsid w:val="00633C43"/>
    <w:rsid w:val="00633C5E"/>
    <w:rsid w:val="00633C64"/>
    <w:rsid w:val="00633CAA"/>
    <w:rsid w:val="00633CCE"/>
    <w:rsid w:val="00633D0A"/>
    <w:rsid w:val="00633D73"/>
    <w:rsid w:val="00633D7B"/>
    <w:rsid w:val="00633DE7"/>
    <w:rsid w:val="00633E0A"/>
    <w:rsid w:val="00633E0E"/>
    <w:rsid w:val="00633E38"/>
    <w:rsid w:val="00633E57"/>
    <w:rsid w:val="00633E5A"/>
    <w:rsid w:val="00633EB3"/>
    <w:rsid w:val="00633EC7"/>
    <w:rsid w:val="00633F36"/>
    <w:rsid w:val="00633F3F"/>
    <w:rsid w:val="00633F86"/>
    <w:rsid w:val="00633FC2"/>
    <w:rsid w:val="00633FC8"/>
    <w:rsid w:val="00634048"/>
    <w:rsid w:val="0063407C"/>
    <w:rsid w:val="006340A7"/>
    <w:rsid w:val="006340DC"/>
    <w:rsid w:val="006340E3"/>
    <w:rsid w:val="006341B6"/>
    <w:rsid w:val="006341B8"/>
    <w:rsid w:val="006341F6"/>
    <w:rsid w:val="006342CF"/>
    <w:rsid w:val="006342FF"/>
    <w:rsid w:val="00634323"/>
    <w:rsid w:val="006343DE"/>
    <w:rsid w:val="006343EE"/>
    <w:rsid w:val="00634427"/>
    <w:rsid w:val="0063446C"/>
    <w:rsid w:val="00634490"/>
    <w:rsid w:val="0063449F"/>
    <w:rsid w:val="006344E5"/>
    <w:rsid w:val="006344F3"/>
    <w:rsid w:val="0063452F"/>
    <w:rsid w:val="00634544"/>
    <w:rsid w:val="0063457E"/>
    <w:rsid w:val="0063459B"/>
    <w:rsid w:val="006345A4"/>
    <w:rsid w:val="006345D5"/>
    <w:rsid w:val="006345F9"/>
    <w:rsid w:val="00634615"/>
    <w:rsid w:val="0063463A"/>
    <w:rsid w:val="006346A0"/>
    <w:rsid w:val="006346BD"/>
    <w:rsid w:val="006346F4"/>
    <w:rsid w:val="0063471D"/>
    <w:rsid w:val="00634794"/>
    <w:rsid w:val="00634823"/>
    <w:rsid w:val="0063488B"/>
    <w:rsid w:val="006348FA"/>
    <w:rsid w:val="0063495C"/>
    <w:rsid w:val="00634983"/>
    <w:rsid w:val="00634996"/>
    <w:rsid w:val="006349C1"/>
    <w:rsid w:val="00634AED"/>
    <w:rsid w:val="00634B11"/>
    <w:rsid w:val="00634B18"/>
    <w:rsid w:val="00634B2B"/>
    <w:rsid w:val="00634BBD"/>
    <w:rsid w:val="00634C94"/>
    <w:rsid w:val="00634CE0"/>
    <w:rsid w:val="00634CFD"/>
    <w:rsid w:val="00634D10"/>
    <w:rsid w:val="00634D46"/>
    <w:rsid w:val="00634D93"/>
    <w:rsid w:val="00634DCE"/>
    <w:rsid w:val="00634DEC"/>
    <w:rsid w:val="00634E11"/>
    <w:rsid w:val="00634E1A"/>
    <w:rsid w:val="00634E39"/>
    <w:rsid w:val="00634E44"/>
    <w:rsid w:val="00634EC2"/>
    <w:rsid w:val="00634F3C"/>
    <w:rsid w:val="00634F3D"/>
    <w:rsid w:val="00634F95"/>
    <w:rsid w:val="00634FBD"/>
    <w:rsid w:val="00634FBE"/>
    <w:rsid w:val="00634FCA"/>
    <w:rsid w:val="00634FE8"/>
    <w:rsid w:val="0063501E"/>
    <w:rsid w:val="00635044"/>
    <w:rsid w:val="006350B1"/>
    <w:rsid w:val="006350E6"/>
    <w:rsid w:val="0063518C"/>
    <w:rsid w:val="006351B7"/>
    <w:rsid w:val="0063521C"/>
    <w:rsid w:val="0063522A"/>
    <w:rsid w:val="00635247"/>
    <w:rsid w:val="006352A3"/>
    <w:rsid w:val="006352AE"/>
    <w:rsid w:val="006352B5"/>
    <w:rsid w:val="00635317"/>
    <w:rsid w:val="00635360"/>
    <w:rsid w:val="006353E0"/>
    <w:rsid w:val="00635449"/>
    <w:rsid w:val="0063552C"/>
    <w:rsid w:val="0063556B"/>
    <w:rsid w:val="0063558B"/>
    <w:rsid w:val="006355A3"/>
    <w:rsid w:val="006355B6"/>
    <w:rsid w:val="006355D2"/>
    <w:rsid w:val="0063564B"/>
    <w:rsid w:val="00635659"/>
    <w:rsid w:val="0063568F"/>
    <w:rsid w:val="0063569B"/>
    <w:rsid w:val="006356D6"/>
    <w:rsid w:val="00635709"/>
    <w:rsid w:val="0063571E"/>
    <w:rsid w:val="00635780"/>
    <w:rsid w:val="0063578C"/>
    <w:rsid w:val="006357C1"/>
    <w:rsid w:val="006357F2"/>
    <w:rsid w:val="0063581A"/>
    <w:rsid w:val="006358FA"/>
    <w:rsid w:val="0063592B"/>
    <w:rsid w:val="00635948"/>
    <w:rsid w:val="0063595A"/>
    <w:rsid w:val="00635979"/>
    <w:rsid w:val="006359DB"/>
    <w:rsid w:val="00635A0D"/>
    <w:rsid w:val="00635A5D"/>
    <w:rsid w:val="00635AE9"/>
    <w:rsid w:val="00635B10"/>
    <w:rsid w:val="00635BB7"/>
    <w:rsid w:val="00635C27"/>
    <w:rsid w:val="00635C6B"/>
    <w:rsid w:val="00635CC7"/>
    <w:rsid w:val="00635CD2"/>
    <w:rsid w:val="00635CF7"/>
    <w:rsid w:val="00635E1E"/>
    <w:rsid w:val="00635E7C"/>
    <w:rsid w:val="00635FEC"/>
    <w:rsid w:val="00636068"/>
    <w:rsid w:val="00636091"/>
    <w:rsid w:val="0063609A"/>
    <w:rsid w:val="006360CB"/>
    <w:rsid w:val="006360CC"/>
    <w:rsid w:val="00636138"/>
    <w:rsid w:val="00636152"/>
    <w:rsid w:val="0063618D"/>
    <w:rsid w:val="0063618F"/>
    <w:rsid w:val="0063621C"/>
    <w:rsid w:val="00636253"/>
    <w:rsid w:val="00636257"/>
    <w:rsid w:val="0063626C"/>
    <w:rsid w:val="006362B2"/>
    <w:rsid w:val="00636329"/>
    <w:rsid w:val="00636367"/>
    <w:rsid w:val="006363BB"/>
    <w:rsid w:val="006363D1"/>
    <w:rsid w:val="00636424"/>
    <w:rsid w:val="00636495"/>
    <w:rsid w:val="00636575"/>
    <w:rsid w:val="00636585"/>
    <w:rsid w:val="006365FA"/>
    <w:rsid w:val="0063666C"/>
    <w:rsid w:val="00636690"/>
    <w:rsid w:val="006366EF"/>
    <w:rsid w:val="00636704"/>
    <w:rsid w:val="00636727"/>
    <w:rsid w:val="00636741"/>
    <w:rsid w:val="00636814"/>
    <w:rsid w:val="0063682E"/>
    <w:rsid w:val="00636896"/>
    <w:rsid w:val="006368A3"/>
    <w:rsid w:val="00636913"/>
    <w:rsid w:val="0063691F"/>
    <w:rsid w:val="0063693F"/>
    <w:rsid w:val="00636940"/>
    <w:rsid w:val="0063697D"/>
    <w:rsid w:val="00636AC6"/>
    <w:rsid w:val="00636AEA"/>
    <w:rsid w:val="00636B23"/>
    <w:rsid w:val="00636B47"/>
    <w:rsid w:val="00636B4B"/>
    <w:rsid w:val="00636B70"/>
    <w:rsid w:val="00636BA9"/>
    <w:rsid w:val="00636BB5"/>
    <w:rsid w:val="00636C05"/>
    <w:rsid w:val="00636C07"/>
    <w:rsid w:val="00636C13"/>
    <w:rsid w:val="00636C3D"/>
    <w:rsid w:val="00636C8C"/>
    <w:rsid w:val="00636CCD"/>
    <w:rsid w:val="00636CF0"/>
    <w:rsid w:val="00636D00"/>
    <w:rsid w:val="00636D2E"/>
    <w:rsid w:val="00636D30"/>
    <w:rsid w:val="00636D40"/>
    <w:rsid w:val="00636D53"/>
    <w:rsid w:val="00636DD9"/>
    <w:rsid w:val="00636DE1"/>
    <w:rsid w:val="00636E00"/>
    <w:rsid w:val="00636E17"/>
    <w:rsid w:val="00636E1F"/>
    <w:rsid w:val="00636E4B"/>
    <w:rsid w:val="00636EB4"/>
    <w:rsid w:val="00636ED2"/>
    <w:rsid w:val="00636F00"/>
    <w:rsid w:val="00636F33"/>
    <w:rsid w:val="00636F34"/>
    <w:rsid w:val="00636F40"/>
    <w:rsid w:val="00636FA9"/>
    <w:rsid w:val="00636FE8"/>
    <w:rsid w:val="0063707E"/>
    <w:rsid w:val="006370A7"/>
    <w:rsid w:val="00637159"/>
    <w:rsid w:val="00637183"/>
    <w:rsid w:val="00637196"/>
    <w:rsid w:val="006371DB"/>
    <w:rsid w:val="006371F5"/>
    <w:rsid w:val="006372C4"/>
    <w:rsid w:val="006372DA"/>
    <w:rsid w:val="006372E2"/>
    <w:rsid w:val="00637321"/>
    <w:rsid w:val="00637367"/>
    <w:rsid w:val="00637368"/>
    <w:rsid w:val="00637379"/>
    <w:rsid w:val="00637406"/>
    <w:rsid w:val="0063740F"/>
    <w:rsid w:val="0063741C"/>
    <w:rsid w:val="006374A2"/>
    <w:rsid w:val="006374EC"/>
    <w:rsid w:val="0063754F"/>
    <w:rsid w:val="0063761C"/>
    <w:rsid w:val="006376A3"/>
    <w:rsid w:val="006376F5"/>
    <w:rsid w:val="0063778B"/>
    <w:rsid w:val="006377CC"/>
    <w:rsid w:val="006377D3"/>
    <w:rsid w:val="00637874"/>
    <w:rsid w:val="006378EA"/>
    <w:rsid w:val="0063790A"/>
    <w:rsid w:val="0063793F"/>
    <w:rsid w:val="00637964"/>
    <w:rsid w:val="00637975"/>
    <w:rsid w:val="00637979"/>
    <w:rsid w:val="006379E7"/>
    <w:rsid w:val="006379FE"/>
    <w:rsid w:val="00637A30"/>
    <w:rsid w:val="00637A76"/>
    <w:rsid w:val="00637AF8"/>
    <w:rsid w:val="00637B72"/>
    <w:rsid w:val="00637BFE"/>
    <w:rsid w:val="00637C11"/>
    <w:rsid w:val="00637C70"/>
    <w:rsid w:val="00637C72"/>
    <w:rsid w:val="00637C9F"/>
    <w:rsid w:val="00637CB8"/>
    <w:rsid w:val="00637CCB"/>
    <w:rsid w:val="00637D53"/>
    <w:rsid w:val="00637D66"/>
    <w:rsid w:val="00637D6B"/>
    <w:rsid w:val="00637D91"/>
    <w:rsid w:val="00637E4E"/>
    <w:rsid w:val="00637EF5"/>
    <w:rsid w:val="00637F86"/>
    <w:rsid w:val="00637F9F"/>
    <w:rsid w:val="00640086"/>
    <w:rsid w:val="0064013A"/>
    <w:rsid w:val="00640179"/>
    <w:rsid w:val="006401E8"/>
    <w:rsid w:val="00640202"/>
    <w:rsid w:val="00640209"/>
    <w:rsid w:val="006402C4"/>
    <w:rsid w:val="00640306"/>
    <w:rsid w:val="00640316"/>
    <w:rsid w:val="00640388"/>
    <w:rsid w:val="006403C2"/>
    <w:rsid w:val="006403E0"/>
    <w:rsid w:val="00640400"/>
    <w:rsid w:val="00640439"/>
    <w:rsid w:val="00640478"/>
    <w:rsid w:val="0064048E"/>
    <w:rsid w:val="0064049D"/>
    <w:rsid w:val="006404D5"/>
    <w:rsid w:val="0064052D"/>
    <w:rsid w:val="00640554"/>
    <w:rsid w:val="00640592"/>
    <w:rsid w:val="0064060D"/>
    <w:rsid w:val="0064066A"/>
    <w:rsid w:val="00640671"/>
    <w:rsid w:val="00640675"/>
    <w:rsid w:val="006406E8"/>
    <w:rsid w:val="006406F9"/>
    <w:rsid w:val="006406FC"/>
    <w:rsid w:val="0064079A"/>
    <w:rsid w:val="0064079D"/>
    <w:rsid w:val="006407B0"/>
    <w:rsid w:val="00640847"/>
    <w:rsid w:val="00640874"/>
    <w:rsid w:val="0064091D"/>
    <w:rsid w:val="0064092B"/>
    <w:rsid w:val="006409B6"/>
    <w:rsid w:val="006409D3"/>
    <w:rsid w:val="00640A0C"/>
    <w:rsid w:val="00640A1B"/>
    <w:rsid w:val="00640A61"/>
    <w:rsid w:val="00640A90"/>
    <w:rsid w:val="00640A99"/>
    <w:rsid w:val="00640AA7"/>
    <w:rsid w:val="00640B01"/>
    <w:rsid w:val="00640BBE"/>
    <w:rsid w:val="00640BE7"/>
    <w:rsid w:val="00640C6B"/>
    <w:rsid w:val="00640C7E"/>
    <w:rsid w:val="00640CBC"/>
    <w:rsid w:val="00640CFF"/>
    <w:rsid w:val="00640D1D"/>
    <w:rsid w:val="00640D21"/>
    <w:rsid w:val="00640D55"/>
    <w:rsid w:val="00640DCA"/>
    <w:rsid w:val="00640E09"/>
    <w:rsid w:val="00640E20"/>
    <w:rsid w:val="00640E67"/>
    <w:rsid w:val="00640E7F"/>
    <w:rsid w:val="00640E99"/>
    <w:rsid w:val="00640ED7"/>
    <w:rsid w:val="00640F3A"/>
    <w:rsid w:val="00640F73"/>
    <w:rsid w:val="00640FCF"/>
    <w:rsid w:val="00640FD4"/>
    <w:rsid w:val="00640FEF"/>
    <w:rsid w:val="00641009"/>
    <w:rsid w:val="0064101F"/>
    <w:rsid w:val="00641168"/>
    <w:rsid w:val="006411AF"/>
    <w:rsid w:val="006411F2"/>
    <w:rsid w:val="006411F8"/>
    <w:rsid w:val="00641254"/>
    <w:rsid w:val="00641256"/>
    <w:rsid w:val="006412C8"/>
    <w:rsid w:val="00641306"/>
    <w:rsid w:val="0064135F"/>
    <w:rsid w:val="00641361"/>
    <w:rsid w:val="00641368"/>
    <w:rsid w:val="006413CF"/>
    <w:rsid w:val="00641447"/>
    <w:rsid w:val="0064144C"/>
    <w:rsid w:val="006414B6"/>
    <w:rsid w:val="006414BA"/>
    <w:rsid w:val="00641555"/>
    <w:rsid w:val="00641643"/>
    <w:rsid w:val="00641652"/>
    <w:rsid w:val="00641782"/>
    <w:rsid w:val="00641784"/>
    <w:rsid w:val="00641789"/>
    <w:rsid w:val="0064178F"/>
    <w:rsid w:val="006417E9"/>
    <w:rsid w:val="006417FD"/>
    <w:rsid w:val="0064181C"/>
    <w:rsid w:val="00641842"/>
    <w:rsid w:val="0064186A"/>
    <w:rsid w:val="00641879"/>
    <w:rsid w:val="0064187B"/>
    <w:rsid w:val="006418A5"/>
    <w:rsid w:val="006418B8"/>
    <w:rsid w:val="006418E4"/>
    <w:rsid w:val="006418E8"/>
    <w:rsid w:val="0064191A"/>
    <w:rsid w:val="00641953"/>
    <w:rsid w:val="0064197D"/>
    <w:rsid w:val="0064199A"/>
    <w:rsid w:val="006419DF"/>
    <w:rsid w:val="00641A64"/>
    <w:rsid w:val="00641AA6"/>
    <w:rsid w:val="00641AC4"/>
    <w:rsid w:val="00641AC7"/>
    <w:rsid w:val="00641ACE"/>
    <w:rsid w:val="00641AD6"/>
    <w:rsid w:val="00641B0B"/>
    <w:rsid w:val="00641B25"/>
    <w:rsid w:val="00641B27"/>
    <w:rsid w:val="00641B87"/>
    <w:rsid w:val="00641BA9"/>
    <w:rsid w:val="00641BBA"/>
    <w:rsid w:val="00641BEA"/>
    <w:rsid w:val="00641C28"/>
    <w:rsid w:val="00641C2E"/>
    <w:rsid w:val="00641C35"/>
    <w:rsid w:val="00641C6C"/>
    <w:rsid w:val="00641C80"/>
    <w:rsid w:val="00641CCC"/>
    <w:rsid w:val="00641D21"/>
    <w:rsid w:val="00641D25"/>
    <w:rsid w:val="00641DCB"/>
    <w:rsid w:val="00641DD0"/>
    <w:rsid w:val="00641E09"/>
    <w:rsid w:val="00641EB1"/>
    <w:rsid w:val="00641F00"/>
    <w:rsid w:val="00641F73"/>
    <w:rsid w:val="00641F7D"/>
    <w:rsid w:val="00641FBB"/>
    <w:rsid w:val="00641FCE"/>
    <w:rsid w:val="00641FE3"/>
    <w:rsid w:val="00641FF2"/>
    <w:rsid w:val="0064205D"/>
    <w:rsid w:val="006420D6"/>
    <w:rsid w:val="0064213B"/>
    <w:rsid w:val="0064216B"/>
    <w:rsid w:val="00642191"/>
    <w:rsid w:val="006421A8"/>
    <w:rsid w:val="00642252"/>
    <w:rsid w:val="006422D2"/>
    <w:rsid w:val="0064232C"/>
    <w:rsid w:val="0064237A"/>
    <w:rsid w:val="0064239A"/>
    <w:rsid w:val="006423C1"/>
    <w:rsid w:val="006423DA"/>
    <w:rsid w:val="00642410"/>
    <w:rsid w:val="0064242B"/>
    <w:rsid w:val="00642495"/>
    <w:rsid w:val="006424C8"/>
    <w:rsid w:val="006424D0"/>
    <w:rsid w:val="00642561"/>
    <w:rsid w:val="00642562"/>
    <w:rsid w:val="0064256C"/>
    <w:rsid w:val="00642576"/>
    <w:rsid w:val="006425D6"/>
    <w:rsid w:val="00642625"/>
    <w:rsid w:val="00642629"/>
    <w:rsid w:val="0064266D"/>
    <w:rsid w:val="0064269C"/>
    <w:rsid w:val="006426DE"/>
    <w:rsid w:val="00642785"/>
    <w:rsid w:val="006427EE"/>
    <w:rsid w:val="00642848"/>
    <w:rsid w:val="0064299E"/>
    <w:rsid w:val="00642A1B"/>
    <w:rsid w:val="00642A2F"/>
    <w:rsid w:val="00642A61"/>
    <w:rsid w:val="00642A7A"/>
    <w:rsid w:val="00642AB6"/>
    <w:rsid w:val="00642B03"/>
    <w:rsid w:val="00642B0B"/>
    <w:rsid w:val="00642B11"/>
    <w:rsid w:val="00642B45"/>
    <w:rsid w:val="00642B93"/>
    <w:rsid w:val="00642BB9"/>
    <w:rsid w:val="00642C01"/>
    <w:rsid w:val="00642C96"/>
    <w:rsid w:val="00642CA4"/>
    <w:rsid w:val="00642CB9"/>
    <w:rsid w:val="00642CF3"/>
    <w:rsid w:val="00642D46"/>
    <w:rsid w:val="00642D65"/>
    <w:rsid w:val="00642DF9"/>
    <w:rsid w:val="00642E30"/>
    <w:rsid w:val="00642E7E"/>
    <w:rsid w:val="00642E89"/>
    <w:rsid w:val="00642EA2"/>
    <w:rsid w:val="00642EAB"/>
    <w:rsid w:val="00642EC7"/>
    <w:rsid w:val="00642EFB"/>
    <w:rsid w:val="00642F2B"/>
    <w:rsid w:val="00642F70"/>
    <w:rsid w:val="00642F95"/>
    <w:rsid w:val="00642FAF"/>
    <w:rsid w:val="00642FB5"/>
    <w:rsid w:val="00642FC5"/>
    <w:rsid w:val="00642FFD"/>
    <w:rsid w:val="0064300E"/>
    <w:rsid w:val="00643029"/>
    <w:rsid w:val="006430AC"/>
    <w:rsid w:val="006430AF"/>
    <w:rsid w:val="006430B1"/>
    <w:rsid w:val="00643124"/>
    <w:rsid w:val="00643172"/>
    <w:rsid w:val="0064318C"/>
    <w:rsid w:val="006431EA"/>
    <w:rsid w:val="00643203"/>
    <w:rsid w:val="0064322F"/>
    <w:rsid w:val="00643269"/>
    <w:rsid w:val="006432D8"/>
    <w:rsid w:val="0064337D"/>
    <w:rsid w:val="006433B9"/>
    <w:rsid w:val="00643407"/>
    <w:rsid w:val="00643477"/>
    <w:rsid w:val="006434B6"/>
    <w:rsid w:val="006434D7"/>
    <w:rsid w:val="0064350C"/>
    <w:rsid w:val="00643541"/>
    <w:rsid w:val="00643556"/>
    <w:rsid w:val="00643559"/>
    <w:rsid w:val="0064358A"/>
    <w:rsid w:val="006435B8"/>
    <w:rsid w:val="006435DA"/>
    <w:rsid w:val="0064364C"/>
    <w:rsid w:val="00643666"/>
    <w:rsid w:val="00643667"/>
    <w:rsid w:val="006436E5"/>
    <w:rsid w:val="006436E9"/>
    <w:rsid w:val="0064373D"/>
    <w:rsid w:val="006437DF"/>
    <w:rsid w:val="006437E9"/>
    <w:rsid w:val="00643812"/>
    <w:rsid w:val="00643918"/>
    <w:rsid w:val="0064397D"/>
    <w:rsid w:val="006439B8"/>
    <w:rsid w:val="006439D2"/>
    <w:rsid w:val="00643A06"/>
    <w:rsid w:val="00643A80"/>
    <w:rsid w:val="00643B2E"/>
    <w:rsid w:val="00643B55"/>
    <w:rsid w:val="00643BC6"/>
    <w:rsid w:val="00643BF1"/>
    <w:rsid w:val="00643C8C"/>
    <w:rsid w:val="00643C90"/>
    <w:rsid w:val="00643CA8"/>
    <w:rsid w:val="00643CCC"/>
    <w:rsid w:val="00643D17"/>
    <w:rsid w:val="00643D1F"/>
    <w:rsid w:val="00643D21"/>
    <w:rsid w:val="00643DAE"/>
    <w:rsid w:val="00643DDF"/>
    <w:rsid w:val="00643E28"/>
    <w:rsid w:val="00643E46"/>
    <w:rsid w:val="00643F3A"/>
    <w:rsid w:val="00643F45"/>
    <w:rsid w:val="00643F57"/>
    <w:rsid w:val="00643F65"/>
    <w:rsid w:val="00643F67"/>
    <w:rsid w:val="00643F79"/>
    <w:rsid w:val="00643F81"/>
    <w:rsid w:val="00644022"/>
    <w:rsid w:val="00644142"/>
    <w:rsid w:val="006441C8"/>
    <w:rsid w:val="0064422B"/>
    <w:rsid w:val="0064425B"/>
    <w:rsid w:val="00644265"/>
    <w:rsid w:val="006442C0"/>
    <w:rsid w:val="006442C9"/>
    <w:rsid w:val="006442F6"/>
    <w:rsid w:val="006442F8"/>
    <w:rsid w:val="00644312"/>
    <w:rsid w:val="00644356"/>
    <w:rsid w:val="00644374"/>
    <w:rsid w:val="0064437D"/>
    <w:rsid w:val="0064438C"/>
    <w:rsid w:val="006443C1"/>
    <w:rsid w:val="006443E1"/>
    <w:rsid w:val="0064441D"/>
    <w:rsid w:val="0064444B"/>
    <w:rsid w:val="00644452"/>
    <w:rsid w:val="00644469"/>
    <w:rsid w:val="006444F5"/>
    <w:rsid w:val="0064450A"/>
    <w:rsid w:val="00644542"/>
    <w:rsid w:val="00644548"/>
    <w:rsid w:val="0064459A"/>
    <w:rsid w:val="006445A3"/>
    <w:rsid w:val="006445C4"/>
    <w:rsid w:val="00644603"/>
    <w:rsid w:val="00644614"/>
    <w:rsid w:val="00644650"/>
    <w:rsid w:val="00644655"/>
    <w:rsid w:val="00644664"/>
    <w:rsid w:val="00644696"/>
    <w:rsid w:val="006446A5"/>
    <w:rsid w:val="006446C5"/>
    <w:rsid w:val="006446E1"/>
    <w:rsid w:val="00644710"/>
    <w:rsid w:val="00644716"/>
    <w:rsid w:val="00644739"/>
    <w:rsid w:val="0064475E"/>
    <w:rsid w:val="00644806"/>
    <w:rsid w:val="0064480C"/>
    <w:rsid w:val="00644814"/>
    <w:rsid w:val="006448B1"/>
    <w:rsid w:val="006448EE"/>
    <w:rsid w:val="00644912"/>
    <w:rsid w:val="006449D5"/>
    <w:rsid w:val="00644A5C"/>
    <w:rsid w:val="00644A80"/>
    <w:rsid w:val="00644A9E"/>
    <w:rsid w:val="00644AA7"/>
    <w:rsid w:val="00644ABA"/>
    <w:rsid w:val="00644AD4"/>
    <w:rsid w:val="00644ADE"/>
    <w:rsid w:val="00644B8C"/>
    <w:rsid w:val="00644BD7"/>
    <w:rsid w:val="00644BEE"/>
    <w:rsid w:val="00644C59"/>
    <w:rsid w:val="00644C7A"/>
    <w:rsid w:val="00644C84"/>
    <w:rsid w:val="00644D1B"/>
    <w:rsid w:val="00644D55"/>
    <w:rsid w:val="00644DE0"/>
    <w:rsid w:val="00644EAD"/>
    <w:rsid w:val="00644EC4"/>
    <w:rsid w:val="00644EDB"/>
    <w:rsid w:val="00644EF7"/>
    <w:rsid w:val="00644EFF"/>
    <w:rsid w:val="00644F4C"/>
    <w:rsid w:val="0064507A"/>
    <w:rsid w:val="006450DE"/>
    <w:rsid w:val="00645113"/>
    <w:rsid w:val="006451AB"/>
    <w:rsid w:val="00645298"/>
    <w:rsid w:val="006452A3"/>
    <w:rsid w:val="00645326"/>
    <w:rsid w:val="0064534F"/>
    <w:rsid w:val="0064538F"/>
    <w:rsid w:val="00645420"/>
    <w:rsid w:val="00645473"/>
    <w:rsid w:val="00645478"/>
    <w:rsid w:val="006454FA"/>
    <w:rsid w:val="00645532"/>
    <w:rsid w:val="0064553F"/>
    <w:rsid w:val="00645570"/>
    <w:rsid w:val="00645591"/>
    <w:rsid w:val="006455BE"/>
    <w:rsid w:val="006455F8"/>
    <w:rsid w:val="00645746"/>
    <w:rsid w:val="00645759"/>
    <w:rsid w:val="006457E5"/>
    <w:rsid w:val="00645864"/>
    <w:rsid w:val="00645874"/>
    <w:rsid w:val="006458C0"/>
    <w:rsid w:val="006458CB"/>
    <w:rsid w:val="00645939"/>
    <w:rsid w:val="00645946"/>
    <w:rsid w:val="00645967"/>
    <w:rsid w:val="00645A3D"/>
    <w:rsid w:val="00645A69"/>
    <w:rsid w:val="00645AD3"/>
    <w:rsid w:val="00645AE4"/>
    <w:rsid w:val="00645AFC"/>
    <w:rsid w:val="00645B42"/>
    <w:rsid w:val="00645BDE"/>
    <w:rsid w:val="00645C01"/>
    <w:rsid w:val="00645C2F"/>
    <w:rsid w:val="00645C38"/>
    <w:rsid w:val="00645C5B"/>
    <w:rsid w:val="00645D0B"/>
    <w:rsid w:val="00645D3F"/>
    <w:rsid w:val="00645D79"/>
    <w:rsid w:val="00645D9A"/>
    <w:rsid w:val="00645E58"/>
    <w:rsid w:val="00645E9C"/>
    <w:rsid w:val="00645EF2"/>
    <w:rsid w:val="0064609B"/>
    <w:rsid w:val="006460D7"/>
    <w:rsid w:val="00646103"/>
    <w:rsid w:val="00646157"/>
    <w:rsid w:val="0064617B"/>
    <w:rsid w:val="00646183"/>
    <w:rsid w:val="006461BF"/>
    <w:rsid w:val="006461FA"/>
    <w:rsid w:val="0064621C"/>
    <w:rsid w:val="00646238"/>
    <w:rsid w:val="00646284"/>
    <w:rsid w:val="006462A0"/>
    <w:rsid w:val="006462EE"/>
    <w:rsid w:val="00646376"/>
    <w:rsid w:val="006463AC"/>
    <w:rsid w:val="006463E6"/>
    <w:rsid w:val="006463F5"/>
    <w:rsid w:val="00646499"/>
    <w:rsid w:val="006464BD"/>
    <w:rsid w:val="006464D4"/>
    <w:rsid w:val="006464D7"/>
    <w:rsid w:val="006465D0"/>
    <w:rsid w:val="006465E9"/>
    <w:rsid w:val="00646615"/>
    <w:rsid w:val="00646692"/>
    <w:rsid w:val="006466F1"/>
    <w:rsid w:val="0064674F"/>
    <w:rsid w:val="00646772"/>
    <w:rsid w:val="00646822"/>
    <w:rsid w:val="00646860"/>
    <w:rsid w:val="00646863"/>
    <w:rsid w:val="00646928"/>
    <w:rsid w:val="0064699B"/>
    <w:rsid w:val="006469AB"/>
    <w:rsid w:val="006469B0"/>
    <w:rsid w:val="006469B1"/>
    <w:rsid w:val="00646A47"/>
    <w:rsid w:val="00646B4D"/>
    <w:rsid w:val="00646B94"/>
    <w:rsid w:val="00646BEF"/>
    <w:rsid w:val="00646C00"/>
    <w:rsid w:val="00646C1B"/>
    <w:rsid w:val="00646C7C"/>
    <w:rsid w:val="00646CB4"/>
    <w:rsid w:val="00646CFA"/>
    <w:rsid w:val="00646D09"/>
    <w:rsid w:val="00646D10"/>
    <w:rsid w:val="00646D37"/>
    <w:rsid w:val="00646D5D"/>
    <w:rsid w:val="00646D67"/>
    <w:rsid w:val="00646D93"/>
    <w:rsid w:val="00646D96"/>
    <w:rsid w:val="00646DAE"/>
    <w:rsid w:val="00646E15"/>
    <w:rsid w:val="00646E21"/>
    <w:rsid w:val="00646E4E"/>
    <w:rsid w:val="00646E5F"/>
    <w:rsid w:val="00646E8E"/>
    <w:rsid w:val="00646ED2"/>
    <w:rsid w:val="00646EE1"/>
    <w:rsid w:val="00646F4A"/>
    <w:rsid w:val="00646F73"/>
    <w:rsid w:val="00646F9C"/>
    <w:rsid w:val="00646FBB"/>
    <w:rsid w:val="00646FE7"/>
    <w:rsid w:val="00647053"/>
    <w:rsid w:val="00647073"/>
    <w:rsid w:val="0064707B"/>
    <w:rsid w:val="0064708B"/>
    <w:rsid w:val="0064709C"/>
    <w:rsid w:val="0064716F"/>
    <w:rsid w:val="00647183"/>
    <w:rsid w:val="006471A6"/>
    <w:rsid w:val="006471AE"/>
    <w:rsid w:val="0064721C"/>
    <w:rsid w:val="00647235"/>
    <w:rsid w:val="0064725C"/>
    <w:rsid w:val="00647290"/>
    <w:rsid w:val="00647294"/>
    <w:rsid w:val="006472A3"/>
    <w:rsid w:val="00647309"/>
    <w:rsid w:val="0064730A"/>
    <w:rsid w:val="0064733D"/>
    <w:rsid w:val="00647391"/>
    <w:rsid w:val="006473DE"/>
    <w:rsid w:val="006473FD"/>
    <w:rsid w:val="00647401"/>
    <w:rsid w:val="0064743A"/>
    <w:rsid w:val="00647459"/>
    <w:rsid w:val="0064748F"/>
    <w:rsid w:val="006474D4"/>
    <w:rsid w:val="00647597"/>
    <w:rsid w:val="00647599"/>
    <w:rsid w:val="006475F0"/>
    <w:rsid w:val="0064761D"/>
    <w:rsid w:val="00647667"/>
    <w:rsid w:val="00647669"/>
    <w:rsid w:val="006476B3"/>
    <w:rsid w:val="006476DC"/>
    <w:rsid w:val="00647711"/>
    <w:rsid w:val="00647752"/>
    <w:rsid w:val="00647779"/>
    <w:rsid w:val="006477D9"/>
    <w:rsid w:val="00647806"/>
    <w:rsid w:val="006478A3"/>
    <w:rsid w:val="006478B0"/>
    <w:rsid w:val="006478C9"/>
    <w:rsid w:val="006478D3"/>
    <w:rsid w:val="00647913"/>
    <w:rsid w:val="00647921"/>
    <w:rsid w:val="00647988"/>
    <w:rsid w:val="00647994"/>
    <w:rsid w:val="006479B4"/>
    <w:rsid w:val="006479C6"/>
    <w:rsid w:val="006479E5"/>
    <w:rsid w:val="00647A4A"/>
    <w:rsid w:val="00647ADF"/>
    <w:rsid w:val="00647AE6"/>
    <w:rsid w:val="00647B33"/>
    <w:rsid w:val="00647B44"/>
    <w:rsid w:val="00647B64"/>
    <w:rsid w:val="00647B70"/>
    <w:rsid w:val="00647B94"/>
    <w:rsid w:val="00647BAD"/>
    <w:rsid w:val="00647BDD"/>
    <w:rsid w:val="00647C7D"/>
    <w:rsid w:val="00647C95"/>
    <w:rsid w:val="00647D05"/>
    <w:rsid w:val="00647DBE"/>
    <w:rsid w:val="00647DFE"/>
    <w:rsid w:val="00647E0B"/>
    <w:rsid w:val="00647E43"/>
    <w:rsid w:val="00647E73"/>
    <w:rsid w:val="00647EA4"/>
    <w:rsid w:val="00647EE3"/>
    <w:rsid w:val="00647EE7"/>
    <w:rsid w:val="00647F83"/>
    <w:rsid w:val="00647FD5"/>
    <w:rsid w:val="00647FDD"/>
    <w:rsid w:val="00650021"/>
    <w:rsid w:val="006500C8"/>
    <w:rsid w:val="00650129"/>
    <w:rsid w:val="006501BE"/>
    <w:rsid w:val="006501CE"/>
    <w:rsid w:val="006501EB"/>
    <w:rsid w:val="00650211"/>
    <w:rsid w:val="00650235"/>
    <w:rsid w:val="0065025E"/>
    <w:rsid w:val="0065028C"/>
    <w:rsid w:val="0065029A"/>
    <w:rsid w:val="0065036F"/>
    <w:rsid w:val="006503BE"/>
    <w:rsid w:val="006503DC"/>
    <w:rsid w:val="006503DE"/>
    <w:rsid w:val="00650421"/>
    <w:rsid w:val="00650488"/>
    <w:rsid w:val="006504C5"/>
    <w:rsid w:val="00650526"/>
    <w:rsid w:val="00650527"/>
    <w:rsid w:val="00650583"/>
    <w:rsid w:val="006505F3"/>
    <w:rsid w:val="006505F8"/>
    <w:rsid w:val="00650633"/>
    <w:rsid w:val="006506A0"/>
    <w:rsid w:val="006506E8"/>
    <w:rsid w:val="00650715"/>
    <w:rsid w:val="0065076E"/>
    <w:rsid w:val="006507A4"/>
    <w:rsid w:val="006507DA"/>
    <w:rsid w:val="00650813"/>
    <w:rsid w:val="00650824"/>
    <w:rsid w:val="00650839"/>
    <w:rsid w:val="00650894"/>
    <w:rsid w:val="00650895"/>
    <w:rsid w:val="00650959"/>
    <w:rsid w:val="00650A72"/>
    <w:rsid w:val="00650AE0"/>
    <w:rsid w:val="00650AF4"/>
    <w:rsid w:val="00650B87"/>
    <w:rsid w:val="00650BDF"/>
    <w:rsid w:val="00650C3A"/>
    <w:rsid w:val="00650CC2"/>
    <w:rsid w:val="00650CD1"/>
    <w:rsid w:val="00650CFF"/>
    <w:rsid w:val="00650D2B"/>
    <w:rsid w:val="00650D78"/>
    <w:rsid w:val="00650DA9"/>
    <w:rsid w:val="00650E00"/>
    <w:rsid w:val="00650E54"/>
    <w:rsid w:val="00650E86"/>
    <w:rsid w:val="00650E9E"/>
    <w:rsid w:val="00650F17"/>
    <w:rsid w:val="00650F29"/>
    <w:rsid w:val="00650F68"/>
    <w:rsid w:val="00651007"/>
    <w:rsid w:val="006510CF"/>
    <w:rsid w:val="006510E6"/>
    <w:rsid w:val="00651147"/>
    <w:rsid w:val="00651173"/>
    <w:rsid w:val="006511B8"/>
    <w:rsid w:val="00651207"/>
    <w:rsid w:val="00651236"/>
    <w:rsid w:val="0065125D"/>
    <w:rsid w:val="0065127B"/>
    <w:rsid w:val="0065130B"/>
    <w:rsid w:val="00651312"/>
    <w:rsid w:val="006513B2"/>
    <w:rsid w:val="006513DB"/>
    <w:rsid w:val="006513E6"/>
    <w:rsid w:val="0065148D"/>
    <w:rsid w:val="0065150C"/>
    <w:rsid w:val="00651515"/>
    <w:rsid w:val="0065151A"/>
    <w:rsid w:val="00651555"/>
    <w:rsid w:val="00651612"/>
    <w:rsid w:val="00651616"/>
    <w:rsid w:val="00651630"/>
    <w:rsid w:val="00651670"/>
    <w:rsid w:val="006516B9"/>
    <w:rsid w:val="006516BB"/>
    <w:rsid w:val="006516DC"/>
    <w:rsid w:val="00651719"/>
    <w:rsid w:val="00651730"/>
    <w:rsid w:val="006517C5"/>
    <w:rsid w:val="00651803"/>
    <w:rsid w:val="006518C1"/>
    <w:rsid w:val="006518C9"/>
    <w:rsid w:val="006518E5"/>
    <w:rsid w:val="00651915"/>
    <w:rsid w:val="0065196B"/>
    <w:rsid w:val="00651992"/>
    <w:rsid w:val="00651997"/>
    <w:rsid w:val="006519A8"/>
    <w:rsid w:val="006519E0"/>
    <w:rsid w:val="006519E7"/>
    <w:rsid w:val="006519E9"/>
    <w:rsid w:val="00651A5A"/>
    <w:rsid w:val="00651A63"/>
    <w:rsid w:val="00651B65"/>
    <w:rsid w:val="00651B75"/>
    <w:rsid w:val="00651BEA"/>
    <w:rsid w:val="00651C81"/>
    <w:rsid w:val="00651CBD"/>
    <w:rsid w:val="00651CCC"/>
    <w:rsid w:val="00651D2F"/>
    <w:rsid w:val="00651D3D"/>
    <w:rsid w:val="00651D78"/>
    <w:rsid w:val="00651DB1"/>
    <w:rsid w:val="00651DB8"/>
    <w:rsid w:val="00651DE2"/>
    <w:rsid w:val="00651EC3"/>
    <w:rsid w:val="00651F1B"/>
    <w:rsid w:val="00651F25"/>
    <w:rsid w:val="00651F7F"/>
    <w:rsid w:val="00651F90"/>
    <w:rsid w:val="00651FE7"/>
    <w:rsid w:val="00651FFD"/>
    <w:rsid w:val="00651FFE"/>
    <w:rsid w:val="00652070"/>
    <w:rsid w:val="00652090"/>
    <w:rsid w:val="006520C3"/>
    <w:rsid w:val="006520CD"/>
    <w:rsid w:val="006520D9"/>
    <w:rsid w:val="00652132"/>
    <w:rsid w:val="00652185"/>
    <w:rsid w:val="006521F0"/>
    <w:rsid w:val="00652237"/>
    <w:rsid w:val="006522A7"/>
    <w:rsid w:val="006522BA"/>
    <w:rsid w:val="006522CA"/>
    <w:rsid w:val="006522E4"/>
    <w:rsid w:val="006522FB"/>
    <w:rsid w:val="006522FF"/>
    <w:rsid w:val="00652321"/>
    <w:rsid w:val="00652376"/>
    <w:rsid w:val="006523D7"/>
    <w:rsid w:val="006523E9"/>
    <w:rsid w:val="006523EC"/>
    <w:rsid w:val="0065240F"/>
    <w:rsid w:val="00652454"/>
    <w:rsid w:val="0065245C"/>
    <w:rsid w:val="00652465"/>
    <w:rsid w:val="006524AE"/>
    <w:rsid w:val="006524C8"/>
    <w:rsid w:val="0065251B"/>
    <w:rsid w:val="0065251C"/>
    <w:rsid w:val="00652593"/>
    <w:rsid w:val="006525A8"/>
    <w:rsid w:val="006525BE"/>
    <w:rsid w:val="0065265D"/>
    <w:rsid w:val="00652665"/>
    <w:rsid w:val="00652678"/>
    <w:rsid w:val="006526A1"/>
    <w:rsid w:val="006526BF"/>
    <w:rsid w:val="006526D8"/>
    <w:rsid w:val="00652742"/>
    <w:rsid w:val="0065279B"/>
    <w:rsid w:val="00652800"/>
    <w:rsid w:val="00652853"/>
    <w:rsid w:val="006528A7"/>
    <w:rsid w:val="006528EF"/>
    <w:rsid w:val="006528FF"/>
    <w:rsid w:val="0065294A"/>
    <w:rsid w:val="00652955"/>
    <w:rsid w:val="00652975"/>
    <w:rsid w:val="006529BF"/>
    <w:rsid w:val="006529CE"/>
    <w:rsid w:val="006529D0"/>
    <w:rsid w:val="006529E9"/>
    <w:rsid w:val="006529EE"/>
    <w:rsid w:val="006529FF"/>
    <w:rsid w:val="00652A0D"/>
    <w:rsid w:val="00652A14"/>
    <w:rsid w:val="00652A20"/>
    <w:rsid w:val="00652A60"/>
    <w:rsid w:val="00652A94"/>
    <w:rsid w:val="00652AD9"/>
    <w:rsid w:val="00652B98"/>
    <w:rsid w:val="00652B9A"/>
    <w:rsid w:val="00652B9B"/>
    <w:rsid w:val="00652BDA"/>
    <w:rsid w:val="00652C0B"/>
    <w:rsid w:val="00652C21"/>
    <w:rsid w:val="00652C45"/>
    <w:rsid w:val="00652C48"/>
    <w:rsid w:val="00652CA5"/>
    <w:rsid w:val="00652CC0"/>
    <w:rsid w:val="00652CC9"/>
    <w:rsid w:val="00652CD7"/>
    <w:rsid w:val="00652CFB"/>
    <w:rsid w:val="00652D0D"/>
    <w:rsid w:val="00652D17"/>
    <w:rsid w:val="00652D2A"/>
    <w:rsid w:val="00652D42"/>
    <w:rsid w:val="00652E2F"/>
    <w:rsid w:val="00652E4C"/>
    <w:rsid w:val="00652E71"/>
    <w:rsid w:val="00652E9D"/>
    <w:rsid w:val="00652EB1"/>
    <w:rsid w:val="00652EB6"/>
    <w:rsid w:val="00652F1D"/>
    <w:rsid w:val="00652F3B"/>
    <w:rsid w:val="00652F8B"/>
    <w:rsid w:val="00652FA6"/>
    <w:rsid w:val="00652FB6"/>
    <w:rsid w:val="00652FD7"/>
    <w:rsid w:val="00652FEC"/>
    <w:rsid w:val="00652FF4"/>
    <w:rsid w:val="00653087"/>
    <w:rsid w:val="006530EA"/>
    <w:rsid w:val="006530EF"/>
    <w:rsid w:val="00653102"/>
    <w:rsid w:val="00653145"/>
    <w:rsid w:val="006531B8"/>
    <w:rsid w:val="0065325D"/>
    <w:rsid w:val="0065326B"/>
    <w:rsid w:val="00653294"/>
    <w:rsid w:val="00653295"/>
    <w:rsid w:val="006532A2"/>
    <w:rsid w:val="0065334B"/>
    <w:rsid w:val="0065338E"/>
    <w:rsid w:val="006533C8"/>
    <w:rsid w:val="0065342E"/>
    <w:rsid w:val="00653441"/>
    <w:rsid w:val="00653444"/>
    <w:rsid w:val="006534A9"/>
    <w:rsid w:val="00653505"/>
    <w:rsid w:val="00653517"/>
    <w:rsid w:val="0065354D"/>
    <w:rsid w:val="00653570"/>
    <w:rsid w:val="0065360B"/>
    <w:rsid w:val="00653619"/>
    <w:rsid w:val="00653627"/>
    <w:rsid w:val="00653634"/>
    <w:rsid w:val="006536EE"/>
    <w:rsid w:val="006536FA"/>
    <w:rsid w:val="00653748"/>
    <w:rsid w:val="0065374F"/>
    <w:rsid w:val="0065375A"/>
    <w:rsid w:val="0065378B"/>
    <w:rsid w:val="006537B2"/>
    <w:rsid w:val="006537C4"/>
    <w:rsid w:val="00653850"/>
    <w:rsid w:val="0065389B"/>
    <w:rsid w:val="006538A9"/>
    <w:rsid w:val="006538B4"/>
    <w:rsid w:val="00653905"/>
    <w:rsid w:val="00653907"/>
    <w:rsid w:val="00653921"/>
    <w:rsid w:val="00653990"/>
    <w:rsid w:val="006539AC"/>
    <w:rsid w:val="006539C1"/>
    <w:rsid w:val="00653A07"/>
    <w:rsid w:val="00653A36"/>
    <w:rsid w:val="00653A87"/>
    <w:rsid w:val="00653AA8"/>
    <w:rsid w:val="00653AC4"/>
    <w:rsid w:val="00653AD4"/>
    <w:rsid w:val="00653AE9"/>
    <w:rsid w:val="00653B04"/>
    <w:rsid w:val="00653B46"/>
    <w:rsid w:val="00653B7B"/>
    <w:rsid w:val="00653C56"/>
    <w:rsid w:val="00653CBB"/>
    <w:rsid w:val="00653CF2"/>
    <w:rsid w:val="00653CF8"/>
    <w:rsid w:val="00653CFE"/>
    <w:rsid w:val="00653D23"/>
    <w:rsid w:val="00653DFB"/>
    <w:rsid w:val="00653F94"/>
    <w:rsid w:val="00653F98"/>
    <w:rsid w:val="00653F9D"/>
    <w:rsid w:val="00654009"/>
    <w:rsid w:val="00654042"/>
    <w:rsid w:val="00654080"/>
    <w:rsid w:val="00654144"/>
    <w:rsid w:val="00654148"/>
    <w:rsid w:val="00654160"/>
    <w:rsid w:val="00654199"/>
    <w:rsid w:val="00654270"/>
    <w:rsid w:val="006543C0"/>
    <w:rsid w:val="006543EF"/>
    <w:rsid w:val="006543F0"/>
    <w:rsid w:val="0065441E"/>
    <w:rsid w:val="0065444C"/>
    <w:rsid w:val="00654475"/>
    <w:rsid w:val="0065447C"/>
    <w:rsid w:val="00654487"/>
    <w:rsid w:val="006544C2"/>
    <w:rsid w:val="00654550"/>
    <w:rsid w:val="0065456A"/>
    <w:rsid w:val="006545B5"/>
    <w:rsid w:val="006545B8"/>
    <w:rsid w:val="006545D5"/>
    <w:rsid w:val="006545E5"/>
    <w:rsid w:val="006545FB"/>
    <w:rsid w:val="00654632"/>
    <w:rsid w:val="0065471E"/>
    <w:rsid w:val="00654792"/>
    <w:rsid w:val="006547EE"/>
    <w:rsid w:val="00654830"/>
    <w:rsid w:val="00654860"/>
    <w:rsid w:val="006548B6"/>
    <w:rsid w:val="006548F4"/>
    <w:rsid w:val="00654926"/>
    <w:rsid w:val="00654944"/>
    <w:rsid w:val="00654971"/>
    <w:rsid w:val="00654977"/>
    <w:rsid w:val="006549C0"/>
    <w:rsid w:val="00654A0B"/>
    <w:rsid w:val="00654A21"/>
    <w:rsid w:val="00654A2D"/>
    <w:rsid w:val="00654A3B"/>
    <w:rsid w:val="00654AAD"/>
    <w:rsid w:val="00654B00"/>
    <w:rsid w:val="00654B11"/>
    <w:rsid w:val="00654B14"/>
    <w:rsid w:val="00654B1B"/>
    <w:rsid w:val="00654B1D"/>
    <w:rsid w:val="00654B28"/>
    <w:rsid w:val="00654B34"/>
    <w:rsid w:val="00654BB8"/>
    <w:rsid w:val="00654C3C"/>
    <w:rsid w:val="00654C69"/>
    <w:rsid w:val="00654CCE"/>
    <w:rsid w:val="00654DD8"/>
    <w:rsid w:val="00654E0A"/>
    <w:rsid w:val="00654E10"/>
    <w:rsid w:val="00654E11"/>
    <w:rsid w:val="00654E2A"/>
    <w:rsid w:val="00654E4F"/>
    <w:rsid w:val="00654F12"/>
    <w:rsid w:val="00654F1A"/>
    <w:rsid w:val="00654F54"/>
    <w:rsid w:val="00654F7A"/>
    <w:rsid w:val="00654F87"/>
    <w:rsid w:val="00655022"/>
    <w:rsid w:val="00655084"/>
    <w:rsid w:val="0065508B"/>
    <w:rsid w:val="006550A1"/>
    <w:rsid w:val="006550CD"/>
    <w:rsid w:val="00655149"/>
    <w:rsid w:val="0065514A"/>
    <w:rsid w:val="006551B2"/>
    <w:rsid w:val="006551B9"/>
    <w:rsid w:val="006551F3"/>
    <w:rsid w:val="0065524C"/>
    <w:rsid w:val="00655251"/>
    <w:rsid w:val="00655270"/>
    <w:rsid w:val="006552ED"/>
    <w:rsid w:val="0065531A"/>
    <w:rsid w:val="0065531F"/>
    <w:rsid w:val="00655372"/>
    <w:rsid w:val="006553AD"/>
    <w:rsid w:val="006553DE"/>
    <w:rsid w:val="006553FB"/>
    <w:rsid w:val="0065541C"/>
    <w:rsid w:val="00655422"/>
    <w:rsid w:val="00655454"/>
    <w:rsid w:val="00655480"/>
    <w:rsid w:val="006554A4"/>
    <w:rsid w:val="006554B1"/>
    <w:rsid w:val="006554C1"/>
    <w:rsid w:val="006554CD"/>
    <w:rsid w:val="00655508"/>
    <w:rsid w:val="00655542"/>
    <w:rsid w:val="00655552"/>
    <w:rsid w:val="0065555A"/>
    <w:rsid w:val="00655569"/>
    <w:rsid w:val="0065566A"/>
    <w:rsid w:val="00655686"/>
    <w:rsid w:val="006556BA"/>
    <w:rsid w:val="006556DD"/>
    <w:rsid w:val="006556E9"/>
    <w:rsid w:val="00655715"/>
    <w:rsid w:val="00655759"/>
    <w:rsid w:val="006557EC"/>
    <w:rsid w:val="00655802"/>
    <w:rsid w:val="00655808"/>
    <w:rsid w:val="00655841"/>
    <w:rsid w:val="0065585C"/>
    <w:rsid w:val="00655872"/>
    <w:rsid w:val="006558DE"/>
    <w:rsid w:val="006559F2"/>
    <w:rsid w:val="00655A6D"/>
    <w:rsid w:val="00655ACC"/>
    <w:rsid w:val="00655AD5"/>
    <w:rsid w:val="00655AF1"/>
    <w:rsid w:val="00655B81"/>
    <w:rsid w:val="00655BD7"/>
    <w:rsid w:val="00655C05"/>
    <w:rsid w:val="00655C61"/>
    <w:rsid w:val="00655C62"/>
    <w:rsid w:val="00655C8B"/>
    <w:rsid w:val="00655CC3"/>
    <w:rsid w:val="00655D2B"/>
    <w:rsid w:val="00655D62"/>
    <w:rsid w:val="00655D9E"/>
    <w:rsid w:val="00655DBC"/>
    <w:rsid w:val="00655DC7"/>
    <w:rsid w:val="00655E01"/>
    <w:rsid w:val="00655E22"/>
    <w:rsid w:val="00655F3C"/>
    <w:rsid w:val="00655F54"/>
    <w:rsid w:val="00655F95"/>
    <w:rsid w:val="00655FA7"/>
    <w:rsid w:val="00655FAE"/>
    <w:rsid w:val="00655FC0"/>
    <w:rsid w:val="00655FF5"/>
    <w:rsid w:val="00655FFD"/>
    <w:rsid w:val="0065606B"/>
    <w:rsid w:val="00656095"/>
    <w:rsid w:val="006560BC"/>
    <w:rsid w:val="006560DD"/>
    <w:rsid w:val="006560E5"/>
    <w:rsid w:val="00656102"/>
    <w:rsid w:val="00656159"/>
    <w:rsid w:val="0065619B"/>
    <w:rsid w:val="006561CA"/>
    <w:rsid w:val="00656262"/>
    <w:rsid w:val="00656275"/>
    <w:rsid w:val="0065628E"/>
    <w:rsid w:val="006562A5"/>
    <w:rsid w:val="006562BD"/>
    <w:rsid w:val="006562E2"/>
    <w:rsid w:val="006562E9"/>
    <w:rsid w:val="00656399"/>
    <w:rsid w:val="006563CC"/>
    <w:rsid w:val="00656410"/>
    <w:rsid w:val="00656430"/>
    <w:rsid w:val="00656436"/>
    <w:rsid w:val="006564AE"/>
    <w:rsid w:val="006564D1"/>
    <w:rsid w:val="00656500"/>
    <w:rsid w:val="0065651C"/>
    <w:rsid w:val="00656531"/>
    <w:rsid w:val="00656537"/>
    <w:rsid w:val="0065656E"/>
    <w:rsid w:val="00656574"/>
    <w:rsid w:val="006565B9"/>
    <w:rsid w:val="006565F6"/>
    <w:rsid w:val="006566AA"/>
    <w:rsid w:val="006566CB"/>
    <w:rsid w:val="006566DE"/>
    <w:rsid w:val="00656721"/>
    <w:rsid w:val="00656735"/>
    <w:rsid w:val="0065677A"/>
    <w:rsid w:val="006567D4"/>
    <w:rsid w:val="006567F0"/>
    <w:rsid w:val="0065684F"/>
    <w:rsid w:val="00656853"/>
    <w:rsid w:val="006569A8"/>
    <w:rsid w:val="006569ED"/>
    <w:rsid w:val="00656A05"/>
    <w:rsid w:val="00656A1A"/>
    <w:rsid w:val="00656B0B"/>
    <w:rsid w:val="00656B17"/>
    <w:rsid w:val="00656B3E"/>
    <w:rsid w:val="00656B70"/>
    <w:rsid w:val="00656B8C"/>
    <w:rsid w:val="00656BAC"/>
    <w:rsid w:val="00656BF8"/>
    <w:rsid w:val="00656C36"/>
    <w:rsid w:val="00656D24"/>
    <w:rsid w:val="00656D2B"/>
    <w:rsid w:val="00656DEB"/>
    <w:rsid w:val="00656DFD"/>
    <w:rsid w:val="00656E4D"/>
    <w:rsid w:val="00656EC2"/>
    <w:rsid w:val="00656EEB"/>
    <w:rsid w:val="00656F29"/>
    <w:rsid w:val="00656F3D"/>
    <w:rsid w:val="00656FC0"/>
    <w:rsid w:val="00657008"/>
    <w:rsid w:val="00657030"/>
    <w:rsid w:val="00657117"/>
    <w:rsid w:val="00657118"/>
    <w:rsid w:val="00657141"/>
    <w:rsid w:val="006571A3"/>
    <w:rsid w:val="006571B1"/>
    <w:rsid w:val="006571EB"/>
    <w:rsid w:val="00657202"/>
    <w:rsid w:val="0065722B"/>
    <w:rsid w:val="006572D5"/>
    <w:rsid w:val="006572EC"/>
    <w:rsid w:val="006572FD"/>
    <w:rsid w:val="00657330"/>
    <w:rsid w:val="00657383"/>
    <w:rsid w:val="006574C8"/>
    <w:rsid w:val="0065757E"/>
    <w:rsid w:val="00657586"/>
    <w:rsid w:val="006575C1"/>
    <w:rsid w:val="0065760E"/>
    <w:rsid w:val="00657699"/>
    <w:rsid w:val="00657723"/>
    <w:rsid w:val="00657748"/>
    <w:rsid w:val="006577C3"/>
    <w:rsid w:val="006577D5"/>
    <w:rsid w:val="00657853"/>
    <w:rsid w:val="00657888"/>
    <w:rsid w:val="0065788B"/>
    <w:rsid w:val="006578AC"/>
    <w:rsid w:val="0065794C"/>
    <w:rsid w:val="006579AE"/>
    <w:rsid w:val="00657A30"/>
    <w:rsid w:val="00657A36"/>
    <w:rsid w:val="00657A4B"/>
    <w:rsid w:val="00657A82"/>
    <w:rsid w:val="00657A97"/>
    <w:rsid w:val="00657AB3"/>
    <w:rsid w:val="00657AE9"/>
    <w:rsid w:val="00657B10"/>
    <w:rsid w:val="00657B9E"/>
    <w:rsid w:val="00657C46"/>
    <w:rsid w:val="00657C66"/>
    <w:rsid w:val="00657CE0"/>
    <w:rsid w:val="00657D00"/>
    <w:rsid w:val="00657D2A"/>
    <w:rsid w:val="00657D33"/>
    <w:rsid w:val="00657D64"/>
    <w:rsid w:val="00657E03"/>
    <w:rsid w:val="00657EAF"/>
    <w:rsid w:val="00657F6D"/>
    <w:rsid w:val="00657F9D"/>
    <w:rsid w:val="0066010E"/>
    <w:rsid w:val="00660157"/>
    <w:rsid w:val="00660161"/>
    <w:rsid w:val="0066016A"/>
    <w:rsid w:val="00660206"/>
    <w:rsid w:val="00660210"/>
    <w:rsid w:val="0066021B"/>
    <w:rsid w:val="00660228"/>
    <w:rsid w:val="0066023C"/>
    <w:rsid w:val="00660330"/>
    <w:rsid w:val="00660371"/>
    <w:rsid w:val="006603AC"/>
    <w:rsid w:val="006603C2"/>
    <w:rsid w:val="00660429"/>
    <w:rsid w:val="00660433"/>
    <w:rsid w:val="00660475"/>
    <w:rsid w:val="006604BD"/>
    <w:rsid w:val="006605D5"/>
    <w:rsid w:val="0066064A"/>
    <w:rsid w:val="00660744"/>
    <w:rsid w:val="006607A1"/>
    <w:rsid w:val="006607E2"/>
    <w:rsid w:val="0066083B"/>
    <w:rsid w:val="0066084C"/>
    <w:rsid w:val="00660854"/>
    <w:rsid w:val="006608CF"/>
    <w:rsid w:val="00660902"/>
    <w:rsid w:val="0066094F"/>
    <w:rsid w:val="0066096A"/>
    <w:rsid w:val="006609A0"/>
    <w:rsid w:val="006609AB"/>
    <w:rsid w:val="006609B7"/>
    <w:rsid w:val="006609B9"/>
    <w:rsid w:val="006609C7"/>
    <w:rsid w:val="006609DA"/>
    <w:rsid w:val="006609F2"/>
    <w:rsid w:val="00660A2B"/>
    <w:rsid w:val="00660A31"/>
    <w:rsid w:val="00660A32"/>
    <w:rsid w:val="00660A53"/>
    <w:rsid w:val="00660A66"/>
    <w:rsid w:val="00660AB3"/>
    <w:rsid w:val="00660ACD"/>
    <w:rsid w:val="00660B10"/>
    <w:rsid w:val="00660B6E"/>
    <w:rsid w:val="00660B71"/>
    <w:rsid w:val="00660BF3"/>
    <w:rsid w:val="00660C25"/>
    <w:rsid w:val="00660C6F"/>
    <w:rsid w:val="00660CCB"/>
    <w:rsid w:val="00660D82"/>
    <w:rsid w:val="00660DBE"/>
    <w:rsid w:val="00660EA2"/>
    <w:rsid w:val="00660F1B"/>
    <w:rsid w:val="00660F28"/>
    <w:rsid w:val="00660F4B"/>
    <w:rsid w:val="00660F99"/>
    <w:rsid w:val="00661024"/>
    <w:rsid w:val="00661072"/>
    <w:rsid w:val="0066109D"/>
    <w:rsid w:val="0066112C"/>
    <w:rsid w:val="00661133"/>
    <w:rsid w:val="0066114F"/>
    <w:rsid w:val="00661189"/>
    <w:rsid w:val="00661198"/>
    <w:rsid w:val="0066125A"/>
    <w:rsid w:val="0066129E"/>
    <w:rsid w:val="00661317"/>
    <w:rsid w:val="0066132E"/>
    <w:rsid w:val="006613F9"/>
    <w:rsid w:val="0066145B"/>
    <w:rsid w:val="0066146B"/>
    <w:rsid w:val="0066146D"/>
    <w:rsid w:val="0066147A"/>
    <w:rsid w:val="006614B1"/>
    <w:rsid w:val="00661528"/>
    <w:rsid w:val="0066159A"/>
    <w:rsid w:val="006615A5"/>
    <w:rsid w:val="00661606"/>
    <w:rsid w:val="00661631"/>
    <w:rsid w:val="00661675"/>
    <w:rsid w:val="00661693"/>
    <w:rsid w:val="0066169A"/>
    <w:rsid w:val="006616BA"/>
    <w:rsid w:val="00661702"/>
    <w:rsid w:val="00661771"/>
    <w:rsid w:val="0066179F"/>
    <w:rsid w:val="006617FB"/>
    <w:rsid w:val="0066182D"/>
    <w:rsid w:val="00661857"/>
    <w:rsid w:val="00661870"/>
    <w:rsid w:val="00661882"/>
    <w:rsid w:val="006618F4"/>
    <w:rsid w:val="00661981"/>
    <w:rsid w:val="006619B5"/>
    <w:rsid w:val="006619F2"/>
    <w:rsid w:val="00661ABA"/>
    <w:rsid w:val="00661AC7"/>
    <w:rsid w:val="00661B0A"/>
    <w:rsid w:val="00661B3F"/>
    <w:rsid w:val="00661B4C"/>
    <w:rsid w:val="00661BB7"/>
    <w:rsid w:val="00661BCF"/>
    <w:rsid w:val="00661BDC"/>
    <w:rsid w:val="00661BF1"/>
    <w:rsid w:val="00661C04"/>
    <w:rsid w:val="00661C17"/>
    <w:rsid w:val="00661C1F"/>
    <w:rsid w:val="00661C3F"/>
    <w:rsid w:val="00661C62"/>
    <w:rsid w:val="00661C7F"/>
    <w:rsid w:val="00661CB4"/>
    <w:rsid w:val="00661D4C"/>
    <w:rsid w:val="00661D8E"/>
    <w:rsid w:val="00661DA1"/>
    <w:rsid w:val="00661DB5"/>
    <w:rsid w:val="00661E1C"/>
    <w:rsid w:val="00661E20"/>
    <w:rsid w:val="00661E9A"/>
    <w:rsid w:val="00661EDB"/>
    <w:rsid w:val="00661EE2"/>
    <w:rsid w:val="00661F32"/>
    <w:rsid w:val="00661F67"/>
    <w:rsid w:val="00661F9B"/>
    <w:rsid w:val="00661FB8"/>
    <w:rsid w:val="00661FC9"/>
    <w:rsid w:val="00661FD4"/>
    <w:rsid w:val="00661FF6"/>
    <w:rsid w:val="00662016"/>
    <w:rsid w:val="00662031"/>
    <w:rsid w:val="00662098"/>
    <w:rsid w:val="006620AC"/>
    <w:rsid w:val="006621EC"/>
    <w:rsid w:val="00662223"/>
    <w:rsid w:val="00662240"/>
    <w:rsid w:val="00662296"/>
    <w:rsid w:val="006622B2"/>
    <w:rsid w:val="006622F0"/>
    <w:rsid w:val="00662365"/>
    <w:rsid w:val="0066237E"/>
    <w:rsid w:val="006623B7"/>
    <w:rsid w:val="0066245B"/>
    <w:rsid w:val="00662498"/>
    <w:rsid w:val="006624EB"/>
    <w:rsid w:val="006624FB"/>
    <w:rsid w:val="006625B6"/>
    <w:rsid w:val="00662640"/>
    <w:rsid w:val="00662646"/>
    <w:rsid w:val="00662653"/>
    <w:rsid w:val="0066265C"/>
    <w:rsid w:val="00662699"/>
    <w:rsid w:val="006626B9"/>
    <w:rsid w:val="0066270A"/>
    <w:rsid w:val="006627A6"/>
    <w:rsid w:val="006627D5"/>
    <w:rsid w:val="006628C9"/>
    <w:rsid w:val="006628F7"/>
    <w:rsid w:val="0066292A"/>
    <w:rsid w:val="00662952"/>
    <w:rsid w:val="006629AB"/>
    <w:rsid w:val="006629B0"/>
    <w:rsid w:val="006629D1"/>
    <w:rsid w:val="00662A70"/>
    <w:rsid w:val="00662AB9"/>
    <w:rsid w:val="00662AEC"/>
    <w:rsid w:val="00662B0D"/>
    <w:rsid w:val="00662B82"/>
    <w:rsid w:val="00662B8C"/>
    <w:rsid w:val="00662BD3"/>
    <w:rsid w:val="00662BEA"/>
    <w:rsid w:val="00662CA4"/>
    <w:rsid w:val="00662CEF"/>
    <w:rsid w:val="00662DB4"/>
    <w:rsid w:val="00662E18"/>
    <w:rsid w:val="00662E54"/>
    <w:rsid w:val="00662E60"/>
    <w:rsid w:val="00662E83"/>
    <w:rsid w:val="00662F19"/>
    <w:rsid w:val="00662F2D"/>
    <w:rsid w:val="00662F64"/>
    <w:rsid w:val="00662F93"/>
    <w:rsid w:val="00662FCB"/>
    <w:rsid w:val="00663042"/>
    <w:rsid w:val="006630CA"/>
    <w:rsid w:val="006630D5"/>
    <w:rsid w:val="006630D6"/>
    <w:rsid w:val="006630E7"/>
    <w:rsid w:val="0066317E"/>
    <w:rsid w:val="006631D3"/>
    <w:rsid w:val="006631D8"/>
    <w:rsid w:val="006631F1"/>
    <w:rsid w:val="0066322F"/>
    <w:rsid w:val="00663269"/>
    <w:rsid w:val="00663280"/>
    <w:rsid w:val="00663344"/>
    <w:rsid w:val="0066337F"/>
    <w:rsid w:val="006633D3"/>
    <w:rsid w:val="006633EC"/>
    <w:rsid w:val="00663466"/>
    <w:rsid w:val="0066346F"/>
    <w:rsid w:val="00663489"/>
    <w:rsid w:val="00663554"/>
    <w:rsid w:val="006635AD"/>
    <w:rsid w:val="006635CF"/>
    <w:rsid w:val="006635F3"/>
    <w:rsid w:val="00663610"/>
    <w:rsid w:val="00663646"/>
    <w:rsid w:val="00663669"/>
    <w:rsid w:val="0066367E"/>
    <w:rsid w:val="006636BB"/>
    <w:rsid w:val="006636F0"/>
    <w:rsid w:val="00663726"/>
    <w:rsid w:val="00663766"/>
    <w:rsid w:val="0066377D"/>
    <w:rsid w:val="006637B7"/>
    <w:rsid w:val="006637D6"/>
    <w:rsid w:val="006637DD"/>
    <w:rsid w:val="006638A6"/>
    <w:rsid w:val="006638D1"/>
    <w:rsid w:val="006638DC"/>
    <w:rsid w:val="006638E1"/>
    <w:rsid w:val="0066398F"/>
    <w:rsid w:val="00663998"/>
    <w:rsid w:val="00663A0C"/>
    <w:rsid w:val="00663A0E"/>
    <w:rsid w:val="00663A2D"/>
    <w:rsid w:val="00663A6B"/>
    <w:rsid w:val="00663AA4"/>
    <w:rsid w:val="00663AA8"/>
    <w:rsid w:val="00663ABD"/>
    <w:rsid w:val="00663AC8"/>
    <w:rsid w:val="00663AD6"/>
    <w:rsid w:val="00663B4E"/>
    <w:rsid w:val="00663B61"/>
    <w:rsid w:val="00663BC1"/>
    <w:rsid w:val="00663BD2"/>
    <w:rsid w:val="00663BEE"/>
    <w:rsid w:val="00663BFF"/>
    <w:rsid w:val="00663C66"/>
    <w:rsid w:val="00663CB3"/>
    <w:rsid w:val="00663CC1"/>
    <w:rsid w:val="00663D32"/>
    <w:rsid w:val="00663D43"/>
    <w:rsid w:val="00663D5C"/>
    <w:rsid w:val="00663D6E"/>
    <w:rsid w:val="00663D91"/>
    <w:rsid w:val="00663DAA"/>
    <w:rsid w:val="00663DCF"/>
    <w:rsid w:val="00663E5F"/>
    <w:rsid w:val="00663F1E"/>
    <w:rsid w:val="00663F31"/>
    <w:rsid w:val="00663F3C"/>
    <w:rsid w:val="00663F46"/>
    <w:rsid w:val="00663FAD"/>
    <w:rsid w:val="00663FC4"/>
    <w:rsid w:val="00664060"/>
    <w:rsid w:val="00664092"/>
    <w:rsid w:val="006640A9"/>
    <w:rsid w:val="006640DB"/>
    <w:rsid w:val="0066414E"/>
    <w:rsid w:val="00664154"/>
    <w:rsid w:val="0066416F"/>
    <w:rsid w:val="00664188"/>
    <w:rsid w:val="006641A3"/>
    <w:rsid w:val="0066421D"/>
    <w:rsid w:val="00664228"/>
    <w:rsid w:val="00664273"/>
    <w:rsid w:val="00664289"/>
    <w:rsid w:val="006642CF"/>
    <w:rsid w:val="006642DA"/>
    <w:rsid w:val="00664305"/>
    <w:rsid w:val="00664366"/>
    <w:rsid w:val="00664381"/>
    <w:rsid w:val="006643A7"/>
    <w:rsid w:val="006643B8"/>
    <w:rsid w:val="006643BC"/>
    <w:rsid w:val="00664447"/>
    <w:rsid w:val="0066444D"/>
    <w:rsid w:val="0066445F"/>
    <w:rsid w:val="006644BC"/>
    <w:rsid w:val="006644DB"/>
    <w:rsid w:val="00664514"/>
    <w:rsid w:val="0066452C"/>
    <w:rsid w:val="00664530"/>
    <w:rsid w:val="00664531"/>
    <w:rsid w:val="006645C3"/>
    <w:rsid w:val="006645EB"/>
    <w:rsid w:val="0066463C"/>
    <w:rsid w:val="00664648"/>
    <w:rsid w:val="0066466C"/>
    <w:rsid w:val="006646B7"/>
    <w:rsid w:val="006646E2"/>
    <w:rsid w:val="00664711"/>
    <w:rsid w:val="0066475C"/>
    <w:rsid w:val="00664773"/>
    <w:rsid w:val="0066478E"/>
    <w:rsid w:val="006647BD"/>
    <w:rsid w:val="006647FF"/>
    <w:rsid w:val="00664854"/>
    <w:rsid w:val="0066491F"/>
    <w:rsid w:val="00664929"/>
    <w:rsid w:val="00664979"/>
    <w:rsid w:val="0066498D"/>
    <w:rsid w:val="0066498E"/>
    <w:rsid w:val="006649A7"/>
    <w:rsid w:val="006649D8"/>
    <w:rsid w:val="00664A23"/>
    <w:rsid w:val="00664B1B"/>
    <w:rsid w:val="00664B2E"/>
    <w:rsid w:val="00664B79"/>
    <w:rsid w:val="00664BE9"/>
    <w:rsid w:val="00664C33"/>
    <w:rsid w:val="00664C4D"/>
    <w:rsid w:val="00664C60"/>
    <w:rsid w:val="00664D7F"/>
    <w:rsid w:val="00664DB8"/>
    <w:rsid w:val="00664DC7"/>
    <w:rsid w:val="00664DEC"/>
    <w:rsid w:val="00664DF4"/>
    <w:rsid w:val="00664E0E"/>
    <w:rsid w:val="00664E3F"/>
    <w:rsid w:val="00664E75"/>
    <w:rsid w:val="00664E7C"/>
    <w:rsid w:val="00664E99"/>
    <w:rsid w:val="00664E9E"/>
    <w:rsid w:val="00664EAA"/>
    <w:rsid w:val="00664F22"/>
    <w:rsid w:val="00664F2C"/>
    <w:rsid w:val="00664F6B"/>
    <w:rsid w:val="0066509E"/>
    <w:rsid w:val="006650AB"/>
    <w:rsid w:val="006650AE"/>
    <w:rsid w:val="006650CA"/>
    <w:rsid w:val="006650E2"/>
    <w:rsid w:val="0066512D"/>
    <w:rsid w:val="00665135"/>
    <w:rsid w:val="00665145"/>
    <w:rsid w:val="00665169"/>
    <w:rsid w:val="00665173"/>
    <w:rsid w:val="00665187"/>
    <w:rsid w:val="006651A3"/>
    <w:rsid w:val="006651E4"/>
    <w:rsid w:val="006651FD"/>
    <w:rsid w:val="00665221"/>
    <w:rsid w:val="00665228"/>
    <w:rsid w:val="0066526E"/>
    <w:rsid w:val="006652B4"/>
    <w:rsid w:val="006652E0"/>
    <w:rsid w:val="00665307"/>
    <w:rsid w:val="00665354"/>
    <w:rsid w:val="0066537C"/>
    <w:rsid w:val="00665390"/>
    <w:rsid w:val="006653BA"/>
    <w:rsid w:val="00665421"/>
    <w:rsid w:val="00665425"/>
    <w:rsid w:val="006654A0"/>
    <w:rsid w:val="006654A5"/>
    <w:rsid w:val="006654AB"/>
    <w:rsid w:val="00665551"/>
    <w:rsid w:val="006655EA"/>
    <w:rsid w:val="0066567D"/>
    <w:rsid w:val="006656E2"/>
    <w:rsid w:val="00665735"/>
    <w:rsid w:val="0066574D"/>
    <w:rsid w:val="006657D4"/>
    <w:rsid w:val="006657D9"/>
    <w:rsid w:val="00665849"/>
    <w:rsid w:val="00665886"/>
    <w:rsid w:val="0066591E"/>
    <w:rsid w:val="0066593A"/>
    <w:rsid w:val="00665967"/>
    <w:rsid w:val="0066598D"/>
    <w:rsid w:val="006659A1"/>
    <w:rsid w:val="006659A8"/>
    <w:rsid w:val="006659D3"/>
    <w:rsid w:val="00665A13"/>
    <w:rsid w:val="00665A79"/>
    <w:rsid w:val="00665ADA"/>
    <w:rsid w:val="00665B9C"/>
    <w:rsid w:val="00665B9D"/>
    <w:rsid w:val="00665BA6"/>
    <w:rsid w:val="00665BF8"/>
    <w:rsid w:val="00665C24"/>
    <w:rsid w:val="00665C6F"/>
    <w:rsid w:val="00665C8A"/>
    <w:rsid w:val="00665CBA"/>
    <w:rsid w:val="00665CC4"/>
    <w:rsid w:val="00665CF3"/>
    <w:rsid w:val="00665D1B"/>
    <w:rsid w:val="00665D21"/>
    <w:rsid w:val="00665D2B"/>
    <w:rsid w:val="00665D31"/>
    <w:rsid w:val="00665D87"/>
    <w:rsid w:val="00665DD3"/>
    <w:rsid w:val="00665DFE"/>
    <w:rsid w:val="00665E3D"/>
    <w:rsid w:val="00665E45"/>
    <w:rsid w:val="00665EB2"/>
    <w:rsid w:val="00665EE4"/>
    <w:rsid w:val="00665F39"/>
    <w:rsid w:val="00665F58"/>
    <w:rsid w:val="00665F88"/>
    <w:rsid w:val="00665FB0"/>
    <w:rsid w:val="00665FB7"/>
    <w:rsid w:val="00666038"/>
    <w:rsid w:val="00666057"/>
    <w:rsid w:val="0066606F"/>
    <w:rsid w:val="00666084"/>
    <w:rsid w:val="006660AD"/>
    <w:rsid w:val="006660B8"/>
    <w:rsid w:val="006660B9"/>
    <w:rsid w:val="006660CD"/>
    <w:rsid w:val="006660D9"/>
    <w:rsid w:val="006660E7"/>
    <w:rsid w:val="006660EB"/>
    <w:rsid w:val="00666105"/>
    <w:rsid w:val="0066610A"/>
    <w:rsid w:val="00666117"/>
    <w:rsid w:val="00666162"/>
    <w:rsid w:val="00666174"/>
    <w:rsid w:val="0066618A"/>
    <w:rsid w:val="006661B4"/>
    <w:rsid w:val="006661BB"/>
    <w:rsid w:val="006661CB"/>
    <w:rsid w:val="006662A0"/>
    <w:rsid w:val="006662A3"/>
    <w:rsid w:val="006662D6"/>
    <w:rsid w:val="006662DC"/>
    <w:rsid w:val="006662E2"/>
    <w:rsid w:val="00666362"/>
    <w:rsid w:val="00666369"/>
    <w:rsid w:val="00666373"/>
    <w:rsid w:val="006663B2"/>
    <w:rsid w:val="006663BB"/>
    <w:rsid w:val="006663E3"/>
    <w:rsid w:val="0066642D"/>
    <w:rsid w:val="00666436"/>
    <w:rsid w:val="0066644E"/>
    <w:rsid w:val="0066646D"/>
    <w:rsid w:val="00666495"/>
    <w:rsid w:val="006664A9"/>
    <w:rsid w:val="00666505"/>
    <w:rsid w:val="00666523"/>
    <w:rsid w:val="0066653A"/>
    <w:rsid w:val="00666552"/>
    <w:rsid w:val="0066664A"/>
    <w:rsid w:val="00666695"/>
    <w:rsid w:val="00666699"/>
    <w:rsid w:val="006666B4"/>
    <w:rsid w:val="006666BE"/>
    <w:rsid w:val="00666783"/>
    <w:rsid w:val="006667AC"/>
    <w:rsid w:val="006667D6"/>
    <w:rsid w:val="0066681D"/>
    <w:rsid w:val="0066685C"/>
    <w:rsid w:val="006668A3"/>
    <w:rsid w:val="006668DB"/>
    <w:rsid w:val="006668E1"/>
    <w:rsid w:val="0066690F"/>
    <w:rsid w:val="0066697A"/>
    <w:rsid w:val="006669C7"/>
    <w:rsid w:val="006669D1"/>
    <w:rsid w:val="006669EE"/>
    <w:rsid w:val="006669F5"/>
    <w:rsid w:val="00666A28"/>
    <w:rsid w:val="00666A2E"/>
    <w:rsid w:val="00666B29"/>
    <w:rsid w:val="00666C6B"/>
    <w:rsid w:val="00666C9B"/>
    <w:rsid w:val="00666D01"/>
    <w:rsid w:val="00666D1D"/>
    <w:rsid w:val="00666D57"/>
    <w:rsid w:val="00666DDD"/>
    <w:rsid w:val="00666DF3"/>
    <w:rsid w:val="00666EB6"/>
    <w:rsid w:val="00666EE7"/>
    <w:rsid w:val="00666EF4"/>
    <w:rsid w:val="00666F88"/>
    <w:rsid w:val="00666FBD"/>
    <w:rsid w:val="0066704D"/>
    <w:rsid w:val="00667067"/>
    <w:rsid w:val="00667097"/>
    <w:rsid w:val="006670B3"/>
    <w:rsid w:val="006670F8"/>
    <w:rsid w:val="0066712C"/>
    <w:rsid w:val="00667145"/>
    <w:rsid w:val="00667196"/>
    <w:rsid w:val="006671E0"/>
    <w:rsid w:val="00667294"/>
    <w:rsid w:val="006672D9"/>
    <w:rsid w:val="00667372"/>
    <w:rsid w:val="006673CE"/>
    <w:rsid w:val="006673D3"/>
    <w:rsid w:val="0066741F"/>
    <w:rsid w:val="00667420"/>
    <w:rsid w:val="006674A5"/>
    <w:rsid w:val="006674ED"/>
    <w:rsid w:val="00667512"/>
    <w:rsid w:val="0066754E"/>
    <w:rsid w:val="00667567"/>
    <w:rsid w:val="0066757B"/>
    <w:rsid w:val="006675DA"/>
    <w:rsid w:val="006675F1"/>
    <w:rsid w:val="006676B3"/>
    <w:rsid w:val="006676CC"/>
    <w:rsid w:val="00667706"/>
    <w:rsid w:val="00667787"/>
    <w:rsid w:val="0066779A"/>
    <w:rsid w:val="0066779E"/>
    <w:rsid w:val="006677B2"/>
    <w:rsid w:val="006677D8"/>
    <w:rsid w:val="006677E2"/>
    <w:rsid w:val="0066788E"/>
    <w:rsid w:val="00667899"/>
    <w:rsid w:val="006678AB"/>
    <w:rsid w:val="006678AD"/>
    <w:rsid w:val="006678B5"/>
    <w:rsid w:val="00667921"/>
    <w:rsid w:val="00667964"/>
    <w:rsid w:val="00667992"/>
    <w:rsid w:val="006679DA"/>
    <w:rsid w:val="00667A1D"/>
    <w:rsid w:val="00667A41"/>
    <w:rsid w:val="00667A82"/>
    <w:rsid w:val="00667AA3"/>
    <w:rsid w:val="00667B3B"/>
    <w:rsid w:val="00667B41"/>
    <w:rsid w:val="00667B7A"/>
    <w:rsid w:val="00667B86"/>
    <w:rsid w:val="00667BBA"/>
    <w:rsid w:val="00667BD9"/>
    <w:rsid w:val="00667BDC"/>
    <w:rsid w:val="00667BE8"/>
    <w:rsid w:val="00667BEB"/>
    <w:rsid w:val="00667BF8"/>
    <w:rsid w:val="00667C5A"/>
    <w:rsid w:val="00667C5B"/>
    <w:rsid w:val="00667CE7"/>
    <w:rsid w:val="00667D6C"/>
    <w:rsid w:val="00667DEB"/>
    <w:rsid w:val="00667E10"/>
    <w:rsid w:val="00667E36"/>
    <w:rsid w:val="00667E39"/>
    <w:rsid w:val="00667E5E"/>
    <w:rsid w:val="00667E9E"/>
    <w:rsid w:val="00667EE2"/>
    <w:rsid w:val="00667EE9"/>
    <w:rsid w:val="00667F07"/>
    <w:rsid w:val="00667F25"/>
    <w:rsid w:val="00667F4F"/>
    <w:rsid w:val="00667F74"/>
    <w:rsid w:val="00667F8C"/>
    <w:rsid w:val="00667F94"/>
    <w:rsid w:val="00667FD7"/>
    <w:rsid w:val="00667FE6"/>
    <w:rsid w:val="006691C4"/>
    <w:rsid w:val="00670005"/>
    <w:rsid w:val="00670053"/>
    <w:rsid w:val="0067018F"/>
    <w:rsid w:val="00670224"/>
    <w:rsid w:val="00670236"/>
    <w:rsid w:val="00670252"/>
    <w:rsid w:val="00670271"/>
    <w:rsid w:val="00670328"/>
    <w:rsid w:val="0067034B"/>
    <w:rsid w:val="0067037B"/>
    <w:rsid w:val="0067037E"/>
    <w:rsid w:val="00670412"/>
    <w:rsid w:val="00670458"/>
    <w:rsid w:val="00670487"/>
    <w:rsid w:val="006704A0"/>
    <w:rsid w:val="006704C2"/>
    <w:rsid w:val="0067050E"/>
    <w:rsid w:val="00670523"/>
    <w:rsid w:val="00670587"/>
    <w:rsid w:val="006705FE"/>
    <w:rsid w:val="0067060E"/>
    <w:rsid w:val="00670632"/>
    <w:rsid w:val="0067072A"/>
    <w:rsid w:val="0067075D"/>
    <w:rsid w:val="0067075F"/>
    <w:rsid w:val="006707EF"/>
    <w:rsid w:val="00670809"/>
    <w:rsid w:val="0067080D"/>
    <w:rsid w:val="00670843"/>
    <w:rsid w:val="00670872"/>
    <w:rsid w:val="00670924"/>
    <w:rsid w:val="0067092B"/>
    <w:rsid w:val="0067094E"/>
    <w:rsid w:val="0067097E"/>
    <w:rsid w:val="006709C6"/>
    <w:rsid w:val="006709D7"/>
    <w:rsid w:val="006709E7"/>
    <w:rsid w:val="006709EB"/>
    <w:rsid w:val="00670A16"/>
    <w:rsid w:val="00670A34"/>
    <w:rsid w:val="00670A4B"/>
    <w:rsid w:val="00670ABE"/>
    <w:rsid w:val="00670B4C"/>
    <w:rsid w:val="00670B95"/>
    <w:rsid w:val="00670BEC"/>
    <w:rsid w:val="00670C07"/>
    <w:rsid w:val="00670C83"/>
    <w:rsid w:val="00670C8B"/>
    <w:rsid w:val="00670CAF"/>
    <w:rsid w:val="00670CB5"/>
    <w:rsid w:val="00670CF1"/>
    <w:rsid w:val="00670DC2"/>
    <w:rsid w:val="00670DF5"/>
    <w:rsid w:val="00670E3A"/>
    <w:rsid w:val="00670E62"/>
    <w:rsid w:val="00670EB1"/>
    <w:rsid w:val="00670FAA"/>
    <w:rsid w:val="00670FB0"/>
    <w:rsid w:val="00670FC7"/>
    <w:rsid w:val="00670FEA"/>
    <w:rsid w:val="00671017"/>
    <w:rsid w:val="0067108D"/>
    <w:rsid w:val="006710D0"/>
    <w:rsid w:val="00671120"/>
    <w:rsid w:val="00671154"/>
    <w:rsid w:val="00671157"/>
    <w:rsid w:val="0067119D"/>
    <w:rsid w:val="006711D8"/>
    <w:rsid w:val="006711E2"/>
    <w:rsid w:val="00671275"/>
    <w:rsid w:val="00671285"/>
    <w:rsid w:val="0067128D"/>
    <w:rsid w:val="006712FF"/>
    <w:rsid w:val="00671388"/>
    <w:rsid w:val="006713F2"/>
    <w:rsid w:val="006713FD"/>
    <w:rsid w:val="00671426"/>
    <w:rsid w:val="00671430"/>
    <w:rsid w:val="00671470"/>
    <w:rsid w:val="00671482"/>
    <w:rsid w:val="0067148F"/>
    <w:rsid w:val="0067149E"/>
    <w:rsid w:val="006714CD"/>
    <w:rsid w:val="00671569"/>
    <w:rsid w:val="0067158E"/>
    <w:rsid w:val="006715A1"/>
    <w:rsid w:val="006715B1"/>
    <w:rsid w:val="006715C8"/>
    <w:rsid w:val="0067163D"/>
    <w:rsid w:val="0067164A"/>
    <w:rsid w:val="00671686"/>
    <w:rsid w:val="006716C5"/>
    <w:rsid w:val="006716DE"/>
    <w:rsid w:val="006716F0"/>
    <w:rsid w:val="00671728"/>
    <w:rsid w:val="00671749"/>
    <w:rsid w:val="0067178F"/>
    <w:rsid w:val="006717C5"/>
    <w:rsid w:val="006718A3"/>
    <w:rsid w:val="006718AA"/>
    <w:rsid w:val="006718BA"/>
    <w:rsid w:val="006718EF"/>
    <w:rsid w:val="00671914"/>
    <w:rsid w:val="0067195A"/>
    <w:rsid w:val="006719B7"/>
    <w:rsid w:val="00671A0B"/>
    <w:rsid w:val="00671A43"/>
    <w:rsid w:val="00671A6B"/>
    <w:rsid w:val="00671A6F"/>
    <w:rsid w:val="00671B01"/>
    <w:rsid w:val="00671BDE"/>
    <w:rsid w:val="00671C87"/>
    <w:rsid w:val="00671C98"/>
    <w:rsid w:val="00671C99"/>
    <w:rsid w:val="00671C9A"/>
    <w:rsid w:val="00671C9B"/>
    <w:rsid w:val="00671CE4"/>
    <w:rsid w:val="00671DF9"/>
    <w:rsid w:val="00671E1C"/>
    <w:rsid w:val="00671E29"/>
    <w:rsid w:val="00671E61"/>
    <w:rsid w:val="00671E89"/>
    <w:rsid w:val="00671ECC"/>
    <w:rsid w:val="00671ED6"/>
    <w:rsid w:val="00671EF0"/>
    <w:rsid w:val="00671EF6"/>
    <w:rsid w:val="00671F08"/>
    <w:rsid w:val="00671F3B"/>
    <w:rsid w:val="00671F65"/>
    <w:rsid w:val="00671FA9"/>
    <w:rsid w:val="00672053"/>
    <w:rsid w:val="006720A1"/>
    <w:rsid w:val="006720B3"/>
    <w:rsid w:val="006720CD"/>
    <w:rsid w:val="006720E9"/>
    <w:rsid w:val="006720FA"/>
    <w:rsid w:val="00672149"/>
    <w:rsid w:val="0067215D"/>
    <w:rsid w:val="006721DF"/>
    <w:rsid w:val="006721F9"/>
    <w:rsid w:val="00672277"/>
    <w:rsid w:val="00672285"/>
    <w:rsid w:val="0067228D"/>
    <w:rsid w:val="00672299"/>
    <w:rsid w:val="0067230F"/>
    <w:rsid w:val="00672348"/>
    <w:rsid w:val="006723B0"/>
    <w:rsid w:val="006723C9"/>
    <w:rsid w:val="006723E6"/>
    <w:rsid w:val="00672463"/>
    <w:rsid w:val="006724BA"/>
    <w:rsid w:val="0067256D"/>
    <w:rsid w:val="006725BC"/>
    <w:rsid w:val="0067260D"/>
    <w:rsid w:val="00672668"/>
    <w:rsid w:val="0067268F"/>
    <w:rsid w:val="00672693"/>
    <w:rsid w:val="006726CC"/>
    <w:rsid w:val="006726ED"/>
    <w:rsid w:val="006726EF"/>
    <w:rsid w:val="006726FD"/>
    <w:rsid w:val="00672714"/>
    <w:rsid w:val="00672727"/>
    <w:rsid w:val="0067274A"/>
    <w:rsid w:val="0067274E"/>
    <w:rsid w:val="006727E3"/>
    <w:rsid w:val="00672802"/>
    <w:rsid w:val="0067289A"/>
    <w:rsid w:val="006728A0"/>
    <w:rsid w:val="006728A8"/>
    <w:rsid w:val="006728C4"/>
    <w:rsid w:val="006728DE"/>
    <w:rsid w:val="00672925"/>
    <w:rsid w:val="00672980"/>
    <w:rsid w:val="00672A15"/>
    <w:rsid w:val="00672A42"/>
    <w:rsid w:val="00672A63"/>
    <w:rsid w:val="00672A7E"/>
    <w:rsid w:val="00672AE6"/>
    <w:rsid w:val="00672B9E"/>
    <w:rsid w:val="00672C4D"/>
    <w:rsid w:val="00672C5C"/>
    <w:rsid w:val="00672C68"/>
    <w:rsid w:val="00672C86"/>
    <w:rsid w:val="00672CE6"/>
    <w:rsid w:val="00672CF0"/>
    <w:rsid w:val="00672D8F"/>
    <w:rsid w:val="00672E64"/>
    <w:rsid w:val="00672E68"/>
    <w:rsid w:val="00672F73"/>
    <w:rsid w:val="00672F82"/>
    <w:rsid w:val="00672FDB"/>
    <w:rsid w:val="00672FF8"/>
    <w:rsid w:val="006730C2"/>
    <w:rsid w:val="006730F7"/>
    <w:rsid w:val="006730FA"/>
    <w:rsid w:val="0067317C"/>
    <w:rsid w:val="0067317F"/>
    <w:rsid w:val="006731FB"/>
    <w:rsid w:val="00673235"/>
    <w:rsid w:val="0067323A"/>
    <w:rsid w:val="00673253"/>
    <w:rsid w:val="006732FC"/>
    <w:rsid w:val="00673337"/>
    <w:rsid w:val="0067336D"/>
    <w:rsid w:val="0067339F"/>
    <w:rsid w:val="006733D2"/>
    <w:rsid w:val="00673405"/>
    <w:rsid w:val="00673413"/>
    <w:rsid w:val="0067344F"/>
    <w:rsid w:val="006734B5"/>
    <w:rsid w:val="006734C2"/>
    <w:rsid w:val="006734CE"/>
    <w:rsid w:val="006734F7"/>
    <w:rsid w:val="0067351B"/>
    <w:rsid w:val="00673546"/>
    <w:rsid w:val="0067354C"/>
    <w:rsid w:val="00673587"/>
    <w:rsid w:val="006735D5"/>
    <w:rsid w:val="006736A2"/>
    <w:rsid w:val="006736C0"/>
    <w:rsid w:val="006736CE"/>
    <w:rsid w:val="0067370F"/>
    <w:rsid w:val="00673728"/>
    <w:rsid w:val="00673794"/>
    <w:rsid w:val="00673801"/>
    <w:rsid w:val="00673808"/>
    <w:rsid w:val="0067381A"/>
    <w:rsid w:val="0067382C"/>
    <w:rsid w:val="00673841"/>
    <w:rsid w:val="0067387A"/>
    <w:rsid w:val="00673897"/>
    <w:rsid w:val="006738B6"/>
    <w:rsid w:val="006738B9"/>
    <w:rsid w:val="006738C6"/>
    <w:rsid w:val="006738D4"/>
    <w:rsid w:val="006738FD"/>
    <w:rsid w:val="0067392D"/>
    <w:rsid w:val="0067393A"/>
    <w:rsid w:val="00673970"/>
    <w:rsid w:val="006739D4"/>
    <w:rsid w:val="006739D8"/>
    <w:rsid w:val="00673A76"/>
    <w:rsid w:val="00673A92"/>
    <w:rsid w:val="00673ABA"/>
    <w:rsid w:val="00673ACB"/>
    <w:rsid w:val="00673BB1"/>
    <w:rsid w:val="00673BF7"/>
    <w:rsid w:val="00673C4C"/>
    <w:rsid w:val="00673C67"/>
    <w:rsid w:val="00673C6F"/>
    <w:rsid w:val="00673CA8"/>
    <w:rsid w:val="00673CC0"/>
    <w:rsid w:val="00673CC5"/>
    <w:rsid w:val="00673CE2"/>
    <w:rsid w:val="00673D52"/>
    <w:rsid w:val="00673DAB"/>
    <w:rsid w:val="00673DB5"/>
    <w:rsid w:val="00673DC4"/>
    <w:rsid w:val="00673DC5"/>
    <w:rsid w:val="00673E17"/>
    <w:rsid w:val="00673E6C"/>
    <w:rsid w:val="00673E6E"/>
    <w:rsid w:val="00673EE7"/>
    <w:rsid w:val="00673F01"/>
    <w:rsid w:val="00673F6D"/>
    <w:rsid w:val="00673F78"/>
    <w:rsid w:val="00673F92"/>
    <w:rsid w:val="00674036"/>
    <w:rsid w:val="00674047"/>
    <w:rsid w:val="006740A1"/>
    <w:rsid w:val="0067412F"/>
    <w:rsid w:val="00674146"/>
    <w:rsid w:val="0067417C"/>
    <w:rsid w:val="006741C1"/>
    <w:rsid w:val="006741D7"/>
    <w:rsid w:val="0067429F"/>
    <w:rsid w:val="006742C3"/>
    <w:rsid w:val="00674320"/>
    <w:rsid w:val="0067433A"/>
    <w:rsid w:val="00674372"/>
    <w:rsid w:val="006743B7"/>
    <w:rsid w:val="00674440"/>
    <w:rsid w:val="0067444C"/>
    <w:rsid w:val="00674486"/>
    <w:rsid w:val="006744A4"/>
    <w:rsid w:val="006744AB"/>
    <w:rsid w:val="00674503"/>
    <w:rsid w:val="0067450B"/>
    <w:rsid w:val="00674555"/>
    <w:rsid w:val="0067459D"/>
    <w:rsid w:val="006745AC"/>
    <w:rsid w:val="006745C4"/>
    <w:rsid w:val="00674655"/>
    <w:rsid w:val="00674671"/>
    <w:rsid w:val="006746EB"/>
    <w:rsid w:val="00674711"/>
    <w:rsid w:val="00674724"/>
    <w:rsid w:val="0067472B"/>
    <w:rsid w:val="006747B5"/>
    <w:rsid w:val="006747C4"/>
    <w:rsid w:val="006747C8"/>
    <w:rsid w:val="006747C9"/>
    <w:rsid w:val="0067484F"/>
    <w:rsid w:val="0067485A"/>
    <w:rsid w:val="00674882"/>
    <w:rsid w:val="0067489C"/>
    <w:rsid w:val="006748AE"/>
    <w:rsid w:val="006748DD"/>
    <w:rsid w:val="0067490A"/>
    <w:rsid w:val="00674947"/>
    <w:rsid w:val="00674977"/>
    <w:rsid w:val="0067499C"/>
    <w:rsid w:val="006749B3"/>
    <w:rsid w:val="006749D6"/>
    <w:rsid w:val="006749EE"/>
    <w:rsid w:val="00674A48"/>
    <w:rsid w:val="00674C33"/>
    <w:rsid w:val="00674CA6"/>
    <w:rsid w:val="00674CCE"/>
    <w:rsid w:val="00674D4C"/>
    <w:rsid w:val="00674D77"/>
    <w:rsid w:val="00674D7D"/>
    <w:rsid w:val="00674D9F"/>
    <w:rsid w:val="00674DA7"/>
    <w:rsid w:val="00674DC0"/>
    <w:rsid w:val="00674DF2"/>
    <w:rsid w:val="00674E27"/>
    <w:rsid w:val="00674E47"/>
    <w:rsid w:val="00674E6A"/>
    <w:rsid w:val="00674EB1"/>
    <w:rsid w:val="00674EE9"/>
    <w:rsid w:val="00674F3A"/>
    <w:rsid w:val="00674F4F"/>
    <w:rsid w:val="00674F67"/>
    <w:rsid w:val="00674FF7"/>
    <w:rsid w:val="00675028"/>
    <w:rsid w:val="0067504B"/>
    <w:rsid w:val="0067509A"/>
    <w:rsid w:val="006750AD"/>
    <w:rsid w:val="006750C8"/>
    <w:rsid w:val="006751E8"/>
    <w:rsid w:val="006751F6"/>
    <w:rsid w:val="006752DD"/>
    <w:rsid w:val="00675302"/>
    <w:rsid w:val="0067531E"/>
    <w:rsid w:val="00675348"/>
    <w:rsid w:val="006753AB"/>
    <w:rsid w:val="006753E0"/>
    <w:rsid w:val="0067544E"/>
    <w:rsid w:val="0067544F"/>
    <w:rsid w:val="006754AA"/>
    <w:rsid w:val="00675547"/>
    <w:rsid w:val="00675557"/>
    <w:rsid w:val="00675581"/>
    <w:rsid w:val="00675584"/>
    <w:rsid w:val="00675591"/>
    <w:rsid w:val="006755D3"/>
    <w:rsid w:val="006755EB"/>
    <w:rsid w:val="00675623"/>
    <w:rsid w:val="0067562B"/>
    <w:rsid w:val="00675662"/>
    <w:rsid w:val="00675684"/>
    <w:rsid w:val="006756DB"/>
    <w:rsid w:val="006756FF"/>
    <w:rsid w:val="00675722"/>
    <w:rsid w:val="00675724"/>
    <w:rsid w:val="00675777"/>
    <w:rsid w:val="0067585D"/>
    <w:rsid w:val="0067586D"/>
    <w:rsid w:val="006758EF"/>
    <w:rsid w:val="00675929"/>
    <w:rsid w:val="0067595B"/>
    <w:rsid w:val="006759E8"/>
    <w:rsid w:val="00675A00"/>
    <w:rsid w:val="00675A0D"/>
    <w:rsid w:val="00675A72"/>
    <w:rsid w:val="00675A80"/>
    <w:rsid w:val="00675A93"/>
    <w:rsid w:val="00675AA1"/>
    <w:rsid w:val="00675AC2"/>
    <w:rsid w:val="00675AF7"/>
    <w:rsid w:val="00675B4E"/>
    <w:rsid w:val="00675BB8"/>
    <w:rsid w:val="00675BFC"/>
    <w:rsid w:val="00675C67"/>
    <w:rsid w:val="00675CA7"/>
    <w:rsid w:val="00675CBD"/>
    <w:rsid w:val="00675D91"/>
    <w:rsid w:val="00675DA7"/>
    <w:rsid w:val="00675DBD"/>
    <w:rsid w:val="00675DC0"/>
    <w:rsid w:val="00675DCE"/>
    <w:rsid w:val="00675E07"/>
    <w:rsid w:val="00675E55"/>
    <w:rsid w:val="00675E7E"/>
    <w:rsid w:val="00675E94"/>
    <w:rsid w:val="00675E98"/>
    <w:rsid w:val="00675EC0"/>
    <w:rsid w:val="00675EC1"/>
    <w:rsid w:val="00675EC5"/>
    <w:rsid w:val="00675EDC"/>
    <w:rsid w:val="00675EE8"/>
    <w:rsid w:val="00675F5B"/>
    <w:rsid w:val="00675F93"/>
    <w:rsid w:val="00675FF3"/>
    <w:rsid w:val="00676022"/>
    <w:rsid w:val="00676058"/>
    <w:rsid w:val="00676130"/>
    <w:rsid w:val="00676172"/>
    <w:rsid w:val="00676174"/>
    <w:rsid w:val="0067619E"/>
    <w:rsid w:val="006761B4"/>
    <w:rsid w:val="006761D9"/>
    <w:rsid w:val="00676203"/>
    <w:rsid w:val="0067620F"/>
    <w:rsid w:val="0067629F"/>
    <w:rsid w:val="006762AB"/>
    <w:rsid w:val="006762DD"/>
    <w:rsid w:val="006762E0"/>
    <w:rsid w:val="006762E7"/>
    <w:rsid w:val="006762EA"/>
    <w:rsid w:val="006762F9"/>
    <w:rsid w:val="00676303"/>
    <w:rsid w:val="00676311"/>
    <w:rsid w:val="00676329"/>
    <w:rsid w:val="006763CB"/>
    <w:rsid w:val="006763FE"/>
    <w:rsid w:val="00676402"/>
    <w:rsid w:val="00676496"/>
    <w:rsid w:val="006764E2"/>
    <w:rsid w:val="006764F5"/>
    <w:rsid w:val="006764FC"/>
    <w:rsid w:val="006765B0"/>
    <w:rsid w:val="006765B4"/>
    <w:rsid w:val="0067669E"/>
    <w:rsid w:val="006766B5"/>
    <w:rsid w:val="006766C7"/>
    <w:rsid w:val="006766DD"/>
    <w:rsid w:val="00676730"/>
    <w:rsid w:val="00676736"/>
    <w:rsid w:val="006767BC"/>
    <w:rsid w:val="006767CA"/>
    <w:rsid w:val="006767F5"/>
    <w:rsid w:val="00676806"/>
    <w:rsid w:val="00676817"/>
    <w:rsid w:val="00676820"/>
    <w:rsid w:val="00676865"/>
    <w:rsid w:val="00676870"/>
    <w:rsid w:val="006768C5"/>
    <w:rsid w:val="00676902"/>
    <w:rsid w:val="00676908"/>
    <w:rsid w:val="0067693F"/>
    <w:rsid w:val="006769B3"/>
    <w:rsid w:val="006769EB"/>
    <w:rsid w:val="006769FD"/>
    <w:rsid w:val="00676A06"/>
    <w:rsid w:val="00676A2D"/>
    <w:rsid w:val="00676A4F"/>
    <w:rsid w:val="00676A52"/>
    <w:rsid w:val="00676A82"/>
    <w:rsid w:val="00676A85"/>
    <w:rsid w:val="00676A86"/>
    <w:rsid w:val="00676AC3"/>
    <w:rsid w:val="00676B01"/>
    <w:rsid w:val="00676B48"/>
    <w:rsid w:val="00676C74"/>
    <w:rsid w:val="00676CC8"/>
    <w:rsid w:val="00676D37"/>
    <w:rsid w:val="00676D69"/>
    <w:rsid w:val="00676D8F"/>
    <w:rsid w:val="00676DCB"/>
    <w:rsid w:val="00676E07"/>
    <w:rsid w:val="00676E60"/>
    <w:rsid w:val="00676E81"/>
    <w:rsid w:val="00676EC5"/>
    <w:rsid w:val="00676F56"/>
    <w:rsid w:val="00676F9D"/>
    <w:rsid w:val="00676FC6"/>
    <w:rsid w:val="00676FD9"/>
    <w:rsid w:val="00677119"/>
    <w:rsid w:val="00677182"/>
    <w:rsid w:val="006771AC"/>
    <w:rsid w:val="006771C1"/>
    <w:rsid w:val="006771EA"/>
    <w:rsid w:val="006771FA"/>
    <w:rsid w:val="00677202"/>
    <w:rsid w:val="00677280"/>
    <w:rsid w:val="006772E4"/>
    <w:rsid w:val="006773B2"/>
    <w:rsid w:val="006773B4"/>
    <w:rsid w:val="0067741F"/>
    <w:rsid w:val="0067745B"/>
    <w:rsid w:val="00677464"/>
    <w:rsid w:val="0067746C"/>
    <w:rsid w:val="0067747B"/>
    <w:rsid w:val="0067748D"/>
    <w:rsid w:val="006774A8"/>
    <w:rsid w:val="006774CA"/>
    <w:rsid w:val="0067750B"/>
    <w:rsid w:val="00677580"/>
    <w:rsid w:val="006775E8"/>
    <w:rsid w:val="006775E9"/>
    <w:rsid w:val="0067761E"/>
    <w:rsid w:val="00677668"/>
    <w:rsid w:val="00677675"/>
    <w:rsid w:val="006776B0"/>
    <w:rsid w:val="006776E9"/>
    <w:rsid w:val="00677711"/>
    <w:rsid w:val="00677725"/>
    <w:rsid w:val="006777A1"/>
    <w:rsid w:val="006777DE"/>
    <w:rsid w:val="006777E4"/>
    <w:rsid w:val="006777E9"/>
    <w:rsid w:val="00677842"/>
    <w:rsid w:val="006778E8"/>
    <w:rsid w:val="0067798E"/>
    <w:rsid w:val="00677994"/>
    <w:rsid w:val="006779A1"/>
    <w:rsid w:val="006779B4"/>
    <w:rsid w:val="00677AB1"/>
    <w:rsid w:val="00677AC1"/>
    <w:rsid w:val="00677AC6"/>
    <w:rsid w:val="00677B1A"/>
    <w:rsid w:val="00677BF3"/>
    <w:rsid w:val="00677C31"/>
    <w:rsid w:val="00677D17"/>
    <w:rsid w:val="00677DBD"/>
    <w:rsid w:val="00677DE3"/>
    <w:rsid w:val="00677DFA"/>
    <w:rsid w:val="00677E44"/>
    <w:rsid w:val="00677EA2"/>
    <w:rsid w:val="00677EAC"/>
    <w:rsid w:val="00677F3A"/>
    <w:rsid w:val="00677F3E"/>
    <w:rsid w:val="00677F76"/>
    <w:rsid w:val="00677FB8"/>
    <w:rsid w:val="0068003A"/>
    <w:rsid w:val="006800A0"/>
    <w:rsid w:val="006800C5"/>
    <w:rsid w:val="00680102"/>
    <w:rsid w:val="0068019A"/>
    <w:rsid w:val="006801A5"/>
    <w:rsid w:val="006801D5"/>
    <w:rsid w:val="00680217"/>
    <w:rsid w:val="0068021D"/>
    <w:rsid w:val="0068024F"/>
    <w:rsid w:val="0068026C"/>
    <w:rsid w:val="0068035D"/>
    <w:rsid w:val="00680384"/>
    <w:rsid w:val="00680466"/>
    <w:rsid w:val="00680475"/>
    <w:rsid w:val="00680477"/>
    <w:rsid w:val="00680488"/>
    <w:rsid w:val="006804DE"/>
    <w:rsid w:val="006804E0"/>
    <w:rsid w:val="00680510"/>
    <w:rsid w:val="0068053D"/>
    <w:rsid w:val="00680547"/>
    <w:rsid w:val="00680570"/>
    <w:rsid w:val="006805BF"/>
    <w:rsid w:val="006805CB"/>
    <w:rsid w:val="00680608"/>
    <w:rsid w:val="00680610"/>
    <w:rsid w:val="00680613"/>
    <w:rsid w:val="0068061C"/>
    <w:rsid w:val="006806A0"/>
    <w:rsid w:val="006806D7"/>
    <w:rsid w:val="00680735"/>
    <w:rsid w:val="00680749"/>
    <w:rsid w:val="00680770"/>
    <w:rsid w:val="00680784"/>
    <w:rsid w:val="006807C9"/>
    <w:rsid w:val="0068083B"/>
    <w:rsid w:val="00680858"/>
    <w:rsid w:val="0068087B"/>
    <w:rsid w:val="0068097E"/>
    <w:rsid w:val="00680A42"/>
    <w:rsid w:val="00680A5B"/>
    <w:rsid w:val="00680A6E"/>
    <w:rsid w:val="00680AFA"/>
    <w:rsid w:val="00680B6C"/>
    <w:rsid w:val="00680BA7"/>
    <w:rsid w:val="00680BBB"/>
    <w:rsid w:val="00680BBD"/>
    <w:rsid w:val="00680BEB"/>
    <w:rsid w:val="00680C24"/>
    <w:rsid w:val="00680C4A"/>
    <w:rsid w:val="00680C55"/>
    <w:rsid w:val="00680C6E"/>
    <w:rsid w:val="00680CBA"/>
    <w:rsid w:val="00680CEA"/>
    <w:rsid w:val="00680CF6"/>
    <w:rsid w:val="00680D3E"/>
    <w:rsid w:val="00680DD1"/>
    <w:rsid w:val="00680E11"/>
    <w:rsid w:val="00680E2F"/>
    <w:rsid w:val="00680E3C"/>
    <w:rsid w:val="00680E49"/>
    <w:rsid w:val="00680E9E"/>
    <w:rsid w:val="00680EFB"/>
    <w:rsid w:val="00680F03"/>
    <w:rsid w:val="00680F06"/>
    <w:rsid w:val="00680F42"/>
    <w:rsid w:val="00680FCB"/>
    <w:rsid w:val="00681008"/>
    <w:rsid w:val="0068103A"/>
    <w:rsid w:val="00681131"/>
    <w:rsid w:val="00681159"/>
    <w:rsid w:val="006811A0"/>
    <w:rsid w:val="006811AA"/>
    <w:rsid w:val="006811E9"/>
    <w:rsid w:val="00681202"/>
    <w:rsid w:val="00681266"/>
    <w:rsid w:val="0068127D"/>
    <w:rsid w:val="0068128A"/>
    <w:rsid w:val="0068129F"/>
    <w:rsid w:val="006812A6"/>
    <w:rsid w:val="006812B5"/>
    <w:rsid w:val="0068138C"/>
    <w:rsid w:val="00681399"/>
    <w:rsid w:val="0068149B"/>
    <w:rsid w:val="006814D4"/>
    <w:rsid w:val="00681525"/>
    <w:rsid w:val="00681527"/>
    <w:rsid w:val="00681560"/>
    <w:rsid w:val="00681574"/>
    <w:rsid w:val="0068157C"/>
    <w:rsid w:val="006815F8"/>
    <w:rsid w:val="0068162D"/>
    <w:rsid w:val="00681673"/>
    <w:rsid w:val="00681689"/>
    <w:rsid w:val="00681695"/>
    <w:rsid w:val="00681750"/>
    <w:rsid w:val="00681761"/>
    <w:rsid w:val="006817A4"/>
    <w:rsid w:val="006817D1"/>
    <w:rsid w:val="0068182B"/>
    <w:rsid w:val="00681834"/>
    <w:rsid w:val="00681863"/>
    <w:rsid w:val="00681881"/>
    <w:rsid w:val="00681890"/>
    <w:rsid w:val="006818D2"/>
    <w:rsid w:val="00681923"/>
    <w:rsid w:val="00681963"/>
    <w:rsid w:val="0068197A"/>
    <w:rsid w:val="006819C2"/>
    <w:rsid w:val="006819EA"/>
    <w:rsid w:val="00681A39"/>
    <w:rsid w:val="00681A65"/>
    <w:rsid w:val="00681C05"/>
    <w:rsid w:val="00681C79"/>
    <w:rsid w:val="00681CA3"/>
    <w:rsid w:val="00681CAB"/>
    <w:rsid w:val="00681CD9"/>
    <w:rsid w:val="00681D14"/>
    <w:rsid w:val="00681D3A"/>
    <w:rsid w:val="00681D64"/>
    <w:rsid w:val="00681D6E"/>
    <w:rsid w:val="00681D8F"/>
    <w:rsid w:val="00681D96"/>
    <w:rsid w:val="00681DC8"/>
    <w:rsid w:val="00681DC9"/>
    <w:rsid w:val="00681DD1"/>
    <w:rsid w:val="00681E44"/>
    <w:rsid w:val="00681F23"/>
    <w:rsid w:val="00681F30"/>
    <w:rsid w:val="00681F83"/>
    <w:rsid w:val="00681F8D"/>
    <w:rsid w:val="006820BB"/>
    <w:rsid w:val="0068219C"/>
    <w:rsid w:val="0068221D"/>
    <w:rsid w:val="0068224E"/>
    <w:rsid w:val="00682278"/>
    <w:rsid w:val="006822C4"/>
    <w:rsid w:val="006822FA"/>
    <w:rsid w:val="00682343"/>
    <w:rsid w:val="00682381"/>
    <w:rsid w:val="006823B8"/>
    <w:rsid w:val="006823C9"/>
    <w:rsid w:val="006823DF"/>
    <w:rsid w:val="00682418"/>
    <w:rsid w:val="00682454"/>
    <w:rsid w:val="00682481"/>
    <w:rsid w:val="006824B1"/>
    <w:rsid w:val="006824B5"/>
    <w:rsid w:val="006824B9"/>
    <w:rsid w:val="006824D9"/>
    <w:rsid w:val="0068261F"/>
    <w:rsid w:val="0068263D"/>
    <w:rsid w:val="0068264F"/>
    <w:rsid w:val="006826AE"/>
    <w:rsid w:val="006826E7"/>
    <w:rsid w:val="006826FA"/>
    <w:rsid w:val="0068273E"/>
    <w:rsid w:val="00682774"/>
    <w:rsid w:val="006827CA"/>
    <w:rsid w:val="006827ED"/>
    <w:rsid w:val="00682803"/>
    <w:rsid w:val="0068281F"/>
    <w:rsid w:val="0068282C"/>
    <w:rsid w:val="006828AA"/>
    <w:rsid w:val="006828B2"/>
    <w:rsid w:val="006828EB"/>
    <w:rsid w:val="00682927"/>
    <w:rsid w:val="00682964"/>
    <w:rsid w:val="0068297C"/>
    <w:rsid w:val="0068298B"/>
    <w:rsid w:val="006829CF"/>
    <w:rsid w:val="00682A7A"/>
    <w:rsid w:val="00682AB9"/>
    <w:rsid w:val="00682B19"/>
    <w:rsid w:val="00682B2C"/>
    <w:rsid w:val="00682C16"/>
    <w:rsid w:val="00682D32"/>
    <w:rsid w:val="00682D35"/>
    <w:rsid w:val="00682D9B"/>
    <w:rsid w:val="00682DB7"/>
    <w:rsid w:val="00682DFE"/>
    <w:rsid w:val="00682E14"/>
    <w:rsid w:val="00682E76"/>
    <w:rsid w:val="00682E87"/>
    <w:rsid w:val="00682E98"/>
    <w:rsid w:val="00682ECF"/>
    <w:rsid w:val="00682F0B"/>
    <w:rsid w:val="00682F28"/>
    <w:rsid w:val="00682F70"/>
    <w:rsid w:val="00682F99"/>
    <w:rsid w:val="00682FD7"/>
    <w:rsid w:val="006830A7"/>
    <w:rsid w:val="006830A8"/>
    <w:rsid w:val="006830B0"/>
    <w:rsid w:val="006830C1"/>
    <w:rsid w:val="0068315A"/>
    <w:rsid w:val="00683180"/>
    <w:rsid w:val="006831B5"/>
    <w:rsid w:val="006831DF"/>
    <w:rsid w:val="006831E4"/>
    <w:rsid w:val="0068324F"/>
    <w:rsid w:val="00683282"/>
    <w:rsid w:val="0068329C"/>
    <w:rsid w:val="00683309"/>
    <w:rsid w:val="00683324"/>
    <w:rsid w:val="0068332B"/>
    <w:rsid w:val="00683341"/>
    <w:rsid w:val="006833BB"/>
    <w:rsid w:val="006833BE"/>
    <w:rsid w:val="0068342A"/>
    <w:rsid w:val="00683430"/>
    <w:rsid w:val="0068348F"/>
    <w:rsid w:val="006834A5"/>
    <w:rsid w:val="006834D3"/>
    <w:rsid w:val="006834D9"/>
    <w:rsid w:val="006834EB"/>
    <w:rsid w:val="006835A3"/>
    <w:rsid w:val="006835EF"/>
    <w:rsid w:val="00683602"/>
    <w:rsid w:val="0068360B"/>
    <w:rsid w:val="00683629"/>
    <w:rsid w:val="00683638"/>
    <w:rsid w:val="00683642"/>
    <w:rsid w:val="0068364C"/>
    <w:rsid w:val="006836A2"/>
    <w:rsid w:val="006836A6"/>
    <w:rsid w:val="006836C9"/>
    <w:rsid w:val="00683733"/>
    <w:rsid w:val="0068373B"/>
    <w:rsid w:val="00683779"/>
    <w:rsid w:val="006837BD"/>
    <w:rsid w:val="006837E9"/>
    <w:rsid w:val="0068383C"/>
    <w:rsid w:val="00683895"/>
    <w:rsid w:val="00683912"/>
    <w:rsid w:val="00683925"/>
    <w:rsid w:val="00683993"/>
    <w:rsid w:val="006839E4"/>
    <w:rsid w:val="006839FC"/>
    <w:rsid w:val="00683A0D"/>
    <w:rsid w:val="00683A11"/>
    <w:rsid w:val="00683A31"/>
    <w:rsid w:val="00683A69"/>
    <w:rsid w:val="00683A8E"/>
    <w:rsid w:val="00683A9C"/>
    <w:rsid w:val="00683AB8"/>
    <w:rsid w:val="00683ADF"/>
    <w:rsid w:val="00683AFE"/>
    <w:rsid w:val="00683B50"/>
    <w:rsid w:val="00683B55"/>
    <w:rsid w:val="00683B84"/>
    <w:rsid w:val="00683B98"/>
    <w:rsid w:val="00683BB3"/>
    <w:rsid w:val="00683BCF"/>
    <w:rsid w:val="00683BFC"/>
    <w:rsid w:val="00683C67"/>
    <w:rsid w:val="00683C8E"/>
    <w:rsid w:val="00683C92"/>
    <w:rsid w:val="00683CFD"/>
    <w:rsid w:val="00683D93"/>
    <w:rsid w:val="00683DE4"/>
    <w:rsid w:val="00683E26"/>
    <w:rsid w:val="00683E38"/>
    <w:rsid w:val="00683E71"/>
    <w:rsid w:val="00683E81"/>
    <w:rsid w:val="00683EA9"/>
    <w:rsid w:val="00683ED1"/>
    <w:rsid w:val="00683EF2"/>
    <w:rsid w:val="00683F6B"/>
    <w:rsid w:val="00683FF4"/>
    <w:rsid w:val="00684067"/>
    <w:rsid w:val="0068409C"/>
    <w:rsid w:val="006840A9"/>
    <w:rsid w:val="006840AD"/>
    <w:rsid w:val="00684153"/>
    <w:rsid w:val="00684199"/>
    <w:rsid w:val="006841F1"/>
    <w:rsid w:val="006841FD"/>
    <w:rsid w:val="00684211"/>
    <w:rsid w:val="00684232"/>
    <w:rsid w:val="00684285"/>
    <w:rsid w:val="006842B2"/>
    <w:rsid w:val="006842C4"/>
    <w:rsid w:val="006842FE"/>
    <w:rsid w:val="0068432A"/>
    <w:rsid w:val="00684341"/>
    <w:rsid w:val="00684381"/>
    <w:rsid w:val="00684391"/>
    <w:rsid w:val="00684441"/>
    <w:rsid w:val="00684445"/>
    <w:rsid w:val="00684482"/>
    <w:rsid w:val="00684497"/>
    <w:rsid w:val="006844AC"/>
    <w:rsid w:val="006844E3"/>
    <w:rsid w:val="006844FF"/>
    <w:rsid w:val="0068457A"/>
    <w:rsid w:val="006845DB"/>
    <w:rsid w:val="006845E6"/>
    <w:rsid w:val="0068465D"/>
    <w:rsid w:val="006846DD"/>
    <w:rsid w:val="006846E0"/>
    <w:rsid w:val="006846E3"/>
    <w:rsid w:val="00684714"/>
    <w:rsid w:val="00684772"/>
    <w:rsid w:val="006847AF"/>
    <w:rsid w:val="006847C4"/>
    <w:rsid w:val="0068481C"/>
    <w:rsid w:val="00684897"/>
    <w:rsid w:val="0068496C"/>
    <w:rsid w:val="00684970"/>
    <w:rsid w:val="0068499B"/>
    <w:rsid w:val="006849D6"/>
    <w:rsid w:val="00684A44"/>
    <w:rsid w:val="00684A84"/>
    <w:rsid w:val="00684AFC"/>
    <w:rsid w:val="00684B72"/>
    <w:rsid w:val="00684B78"/>
    <w:rsid w:val="00684BA9"/>
    <w:rsid w:val="00684BFD"/>
    <w:rsid w:val="00684C03"/>
    <w:rsid w:val="00684C53"/>
    <w:rsid w:val="00684C80"/>
    <w:rsid w:val="00684C92"/>
    <w:rsid w:val="00684CDD"/>
    <w:rsid w:val="00684D3B"/>
    <w:rsid w:val="00684D44"/>
    <w:rsid w:val="00684D63"/>
    <w:rsid w:val="00684E0C"/>
    <w:rsid w:val="00684EA0"/>
    <w:rsid w:val="00684EAD"/>
    <w:rsid w:val="00684F57"/>
    <w:rsid w:val="00684FCA"/>
    <w:rsid w:val="00685075"/>
    <w:rsid w:val="00685079"/>
    <w:rsid w:val="0068508E"/>
    <w:rsid w:val="006850C5"/>
    <w:rsid w:val="0068512A"/>
    <w:rsid w:val="00685150"/>
    <w:rsid w:val="00685181"/>
    <w:rsid w:val="00685195"/>
    <w:rsid w:val="006851F6"/>
    <w:rsid w:val="006851FB"/>
    <w:rsid w:val="00685282"/>
    <w:rsid w:val="006852B5"/>
    <w:rsid w:val="00685310"/>
    <w:rsid w:val="00685323"/>
    <w:rsid w:val="00685333"/>
    <w:rsid w:val="0068538B"/>
    <w:rsid w:val="006853DC"/>
    <w:rsid w:val="006853E3"/>
    <w:rsid w:val="006853EC"/>
    <w:rsid w:val="00685428"/>
    <w:rsid w:val="0068543E"/>
    <w:rsid w:val="0068546C"/>
    <w:rsid w:val="006854D1"/>
    <w:rsid w:val="00685507"/>
    <w:rsid w:val="00685514"/>
    <w:rsid w:val="0068557C"/>
    <w:rsid w:val="00685583"/>
    <w:rsid w:val="006855F3"/>
    <w:rsid w:val="00685626"/>
    <w:rsid w:val="0068566B"/>
    <w:rsid w:val="00685698"/>
    <w:rsid w:val="00685700"/>
    <w:rsid w:val="00685725"/>
    <w:rsid w:val="006857CE"/>
    <w:rsid w:val="00685823"/>
    <w:rsid w:val="00685839"/>
    <w:rsid w:val="0068584F"/>
    <w:rsid w:val="0068585D"/>
    <w:rsid w:val="006858DF"/>
    <w:rsid w:val="00685A50"/>
    <w:rsid w:val="00685AA8"/>
    <w:rsid w:val="00685AC2"/>
    <w:rsid w:val="00685B53"/>
    <w:rsid w:val="00685B64"/>
    <w:rsid w:val="00685BC0"/>
    <w:rsid w:val="00685BCF"/>
    <w:rsid w:val="00685C04"/>
    <w:rsid w:val="00685C1D"/>
    <w:rsid w:val="00685C20"/>
    <w:rsid w:val="00685C65"/>
    <w:rsid w:val="00685CEB"/>
    <w:rsid w:val="00685D16"/>
    <w:rsid w:val="00685DAA"/>
    <w:rsid w:val="00685EB4"/>
    <w:rsid w:val="00685F77"/>
    <w:rsid w:val="00685FD2"/>
    <w:rsid w:val="00686005"/>
    <w:rsid w:val="00686008"/>
    <w:rsid w:val="00686065"/>
    <w:rsid w:val="00686151"/>
    <w:rsid w:val="0068617E"/>
    <w:rsid w:val="0068618D"/>
    <w:rsid w:val="0068618E"/>
    <w:rsid w:val="006861C8"/>
    <w:rsid w:val="00686208"/>
    <w:rsid w:val="006862D3"/>
    <w:rsid w:val="006862F0"/>
    <w:rsid w:val="00686341"/>
    <w:rsid w:val="00686363"/>
    <w:rsid w:val="006863BF"/>
    <w:rsid w:val="006863DA"/>
    <w:rsid w:val="006863DF"/>
    <w:rsid w:val="006863FD"/>
    <w:rsid w:val="0068647F"/>
    <w:rsid w:val="006864CD"/>
    <w:rsid w:val="00686542"/>
    <w:rsid w:val="0068660B"/>
    <w:rsid w:val="00686632"/>
    <w:rsid w:val="00686739"/>
    <w:rsid w:val="0068673B"/>
    <w:rsid w:val="0068673D"/>
    <w:rsid w:val="00686740"/>
    <w:rsid w:val="00686785"/>
    <w:rsid w:val="00686809"/>
    <w:rsid w:val="0068681B"/>
    <w:rsid w:val="0068682A"/>
    <w:rsid w:val="0068682D"/>
    <w:rsid w:val="00686855"/>
    <w:rsid w:val="0068688D"/>
    <w:rsid w:val="006868CE"/>
    <w:rsid w:val="006868EA"/>
    <w:rsid w:val="006868F4"/>
    <w:rsid w:val="006868FD"/>
    <w:rsid w:val="0068697D"/>
    <w:rsid w:val="006869C0"/>
    <w:rsid w:val="00686A52"/>
    <w:rsid w:val="00686A71"/>
    <w:rsid w:val="00686A84"/>
    <w:rsid w:val="00686B89"/>
    <w:rsid w:val="00686B8A"/>
    <w:rsid w:val="00686BC9"/>
    <w:rsid w:val="00686BDD"/>
    <w:rsid w:val="00686C14"/>
    <w:rsid w:val="00686C18"/>
    <w:rsid w:val="00686CB6"/>
    <w:rsid w:val="00686CCB"/>
    <w:rsid w:val="00686CF2"/>
    <w:rsid w:val="00686D1A"/>
    <w:rsid w:val="00686D36"/>
    <w:rsid w:val="00686D3F"/>
    <w:rsid w:val="00686D65"/>
    <w:rsid w:val="00686DBE"/>
    <w:rsid w:val="00686DCE"/>
    <w:rsid w:val="00686E13"/>
    <w:rsid w:val="00686E6C"/>
    <w:rsid w:val="00686E81"/>
    <w:rsid w:val="00686EDC"/>
    <w:rsid w:val="00686F16"/>
    <w:rsid w:val="00686F1B"/>
    <w:rsid w:val="00686F42"/>
    <w:rsid w:val="00686F5F"/>
    <w:rsid w:val="00686F80"/>
    <w:rsid w:val="0068702F"/>
    <w:rsid w:val="00687030"/>
    <w:rsid w:val="00687041"/>
    <w:rsid w:val="00687046"/>
    <w:rsid w:val="00687055"/>
    <w:rsid w:val="00687079"/>
    <w:rsid w:val="006870C6"/>
    <w:rsid w:val="006870E6"/>
    <w:rsid w:val="006870F8"/>
    <w:rsid w:val="00687192"/>
    <w:rsid w:val="006871A0"/>
    <w:rsid w:val="006871FC"/>
    <w:rsid w:val="00687269"/>
    <w:rsid w:val="0068727E"/>
    <w:rsid w:val="006872B0"/>
    <w:rsid w:val="006872B5"/>
    <w:rsid w:val="006872E2"/>
    <w:rsid w:val="006872E8"/>
    <w:rsid w:val="00687313"/>
    <w:rsid w:val="00687351"/>
    <w:rsid w:val="00687375"/>
    <w:rsid w:val="00687381"/>
    <w:rsid w:val="006873C6"/>
    <w:rsid w:val="006873DF"/>
    <w:rsid w:val="00687441"/>
    <w:rsid w:val="0068744D"/>
    <w:rsid w:val="00687525"/>
    <w:rsid w:val="00687541"/>
    <w:rsid w:val="0068756E"/>
    <w:rsid w:val="006875B6"/>
    <w:rsid w:val="00687613"/>
    <w:rsid w:val="00687657"/>
    <w:rsid w:val="00687672"/>
    <w:rsid w:val="00687698"/>
    <w:rsid w:val="00687700"/>
    <w:rsid w:val="0068770F"/>
    <w:rsid w:val="0068777A"/>
    <w:rsid w:val="006877E5"/>
    <w:rsid w:val="0068783B"/>
    <w:rsid w:val="0068783D"/>
    <w:rsid w:val="00687842"/>
    <w:rsid w:val="0068785C"/>
    <w:rsid w:val="0068788D"/>
    <w:rsid w:val="006878A8"/>
    <w:rsid w:val="00687A1D"/>
    <w:rsid w:val="00687A40"/>
    <w:rsid w:val="00687A44"/>
    <w:rsid w:val="00687A54"/>
    <w:rsid w:val="00687A66"/>
    <w:rsid w:val="00687AA8"/>
    <w:rsid w:val="00687B59"/>
    <w:rsid w:val="00687B9F"/>
    <w:rsid w:val="00687C7C"/>
    <w:rsid w:val="00687C88"/>
    <w:rsid w:val="00687DD7"/>
    <w:rsid w:val="00687E11"/>
    <w:rsid w:val="00687E16"/>
    <w:rsid w:val="00687E61"/>
    <w:rsid w:val="00687EEC"/>
    <w:rsid w:val="00687F6D"/>
    <w:rsid w:val="00690031"/>
    <w:rsid w:val="00690038"/>
    <w:rsid w:val="0069003B"/>
    <w:rsid w:val="0069004C"/>
    <w:rsid w:val="00690078"/>
    <w:rsid w:val="006900D0"/>
    <w:rsid w:val="00690120"/>
    <w:rsid w:val="00690178"/>
    <w:rsid w:val="0069019F"/>
    <w:rsid w:val="00690207"/>
    <w:rsid w:val="0069027B"/>
    <w:rsid w:val="00690282"/>
    <w:rsid w:val="006902C0"/>
    <w:rsid w:val="006902C6"/>
    <w:rsid w:val="00690311"/>
    <w:rsid w:val="00690319"/>
    <w:rsid w:val="00690368"/>
    <w:rsid w:val="00690370"/>
    <w:rsid w:val="00690371"/>
    <w:rsid w:val="006903BA"/>
    <w:rsid w:val="006903D3"/>
    <w:rsid w:val="00690525"/>
    <w:rsid w:val="0069058F"/>
    <w:rsid w:val="00690620"/>
    <w:rsid w:val="00690649"/>
    <w:rsid w:val="006906FB"/>
    <w:rsid w:val="00690700"/>
    <w:rsid w:val="00690707"/>
    <w:rsid w:val="00690729"/>
    <w:rsid w:val="00690753"/>
    <w:rsid w:val="006907F6"/>
    <w:rsid w:val="0069089C"/>
    <w:rsid w:val="006908E5"/>
    <w:rsid w:val="00690930"/>
    <w:rsid w:val="006909C9"/>
    <w:rsid w:val="00690A07"/>
    <w:rsid w:val="00690A08"/>
    <w:rsid w:val="00690A4A"/>
    <w:rsid w:val="00690A4F"/>
    <w:rsid w:val="00690A7B"/>
    <w:rsid w:val="00690AD1"/>
    <w:rsid w:val="00690B4A"/>
    <w:rsid w:val="00690BF2"/>
    <w:rsid w:val="00690C65"/>
    <w:rsid w:val="00690C79"/>
    <w:rsid w:val="00690C83"/>
    <w:rsid w:val="00690CC4"/>
    <w:rsid w:val="00690D25"/>
    <w:rsid w:val="00690D8F"/>
    <w:rsid w:val="00690D95"/>
    <w:rsid w:val="00690D99"/>
    <w:rsid w:val="00690DA7"/>
    <w:rsid w:val="00690DBC"/>
    <w:rsid w:val="00690DDC"/>
    <w:rsid w:val="00690DEB"/>
    <w:rsid w:val="00690E0D"/>
    <w:rsid w:val="00690E1B"/>
    <w:rsid w:val="00690E2C"/>
    <w:rsid w:val="00690E30"/>
    <w:rsid w:val="00690EE8"/>
    <w:rsid w:val="00690F04"/>
    <w:rsid w:val="00690F3B"/>
    <w:rsid w:val="00690F66"/>
    <w:rsid w:val="00690F67"/>
    <w:rsid w:val="00690F74"/>
    <w:rsid w:val="00690FB2"/>
    <w:rsid w:val="00690FE0"/>
    <w:rsid w:val="0069102A"/>
    <w:rsid w:val="00691067"/>
    <w:rsid w:val="0069106C"/>
    <w:rsid w:val="00691078"/>
    <w:rsid w:val="006910DF"/>
    <w:rsid w:val="006910F9"/>
    <w:rsid w:val="00691116"/>
    <w:rsid w:val="0069114A"/>
    <w:rsid w:val="0069115D"/>
    <w:rsid w:val="0069116E"/>
    <w:rsid w:val="0069118D"/>
    <w:rsid w:val="0069119C"/>
    <w:rsid w:val="006911B3"/>
    <w:rsid w:val="006911B8"/>
    <w:rsid w:val="006911C5"/>
    <w:rsid w:val="006911DB"/>
    <w:rsid w:val="006911E9"/>
    <w:rsid w:val="00691283"/>
    <w:rsid w:val="00691288"/>
    <w:rsid w:val="006912AD"/>
    <w:rsid w:val="006912BC"/>
    <w:rsid w:val="006912E2"/>
    <w:rsid w:val="00691381"/>
    <w:rsid w:val="00691431"/>
    <w:rsid w:val="00691433"/>
    <w:rsid w:val="0069146E"/>
    <w:rsid w:val="006914DD"/>
    <w:rsid w:val="00691585"/>
    <w:rsid w:val="006915E3"/>
    <w:rsid w:val="00691631"/>
    <w:rsid w:val="006916C7"/>
    <w:rsid w:val="0069177C"/>
    <w:rsid w:val="006917F8"/>
    <w:rsid w:val="0069180F"/>
    <w:rsid w:val="00691814"/>
    <w:rsid w:val="00691830"/>
    <w:rsid w:val="0069187C"/>
    <w:rsid w:val="006918CE"/>
    <w:rsid w:val="0069192F"/>
    <w:rsid w:val="0069194E"/>
    <w:rsid w:val="00691964"/>
    <w:rsid w:val="00691994"/>
    <w:rsid w:val="006919A6"/>
    <w:rsid w:val="006919B7"/>
    <w:rsid w:val="00691A3D"/>
    <w:rsid w:val="00691A4E"/>
    <w:rsid w:val="00691A60"/>
    <w:rsid w:val="00691A79"/>
    <w:rsid w:val="00691A8F"/>
    <w:rsid w:val="00691B21"/>
    <w:rsid w:val="00691BC5"/>
    <w:rsid w:val="00691BFB"/>
    <w:rsid w:val="00691C25"/>
    <w:rsid w:val="00691C54"/>
    <w:rsid w:val="00691C60"/>
    <w:rsid w:val="00691C75"/>
    <w:rsid w:val="00691CA1"/>
    <w:rsid w:val="00691CA3"/>
    <w:rsid w:val="00691D5F"/>
    <w:rsid w:val="00691D67"/>
    <w:rsid w:val="00691D7A"/>
    <w:rsid w:val="00691D86"/>
    <w:rsid w:val="00691D90"/>
    <w:rsid w:val="00691E64"/>
    <w:rsid w:val="00691F18"/>
    <w:rsid w:val="00691F57"/>
    <w:rsid w:val="00691F7C"/>
    <w:rsid w:val="00691F84"/>
    <w:rsid w:val="00691F8C"/>
    <w:rsid w:val="00691FA7"/>
    <w:rsid w:val="00691FD4"/>
    <w:rsid w:val="00691FEB"/>
    <w:rsid w:val="0069200D"/>
    <w:rsid w:val="00692011"/>
    <w:rsid w:val="00692063"/>
    <w:rsid w:val="006920F0"/>
    <w:rsid w:val="0069218C"/>
    <w:rsid w:val="0069218D"/>
    <w:rsid w:val="006921B7"/>
    <w:rsid w:val="006921CE"/>
    <w:rsid w:val="0069220A"/>
    <w:rsid w:val="00692213"/>
    <w:rsid w:val="0069224C"/>
    <w:rsid w:val="00692266"/>
    <w:rsid w:val="006922F6"/>
    <w:rsid w:val="00692379"/>
    <w:rsid w:val="00692458"/>
    <w:rsid w:val="006924C2"/>
    <w:rsid w:val="006924FC"/>
    <w:rsid w:val="00692520"/>
    <w:rsid w:val="0069254D"/>
    <w:rsid w:val="00692570"/>
    <w:rsid w:val="00692591"/>
    <w:rsid w:val="006925D3"/>
    <w:rsid w:val="0069262B"/>
    <w:rsid w:val="0069263B"/>
    <w:rsid w:val="0069264A"/>
    <w:rsid w:val="0069264C"/>
    <w:rsid w:val="00692665"/>
    <w:rsid w:val="006926D0"/>
    <w:rsid w:val="00692749"/>
    <w:rsid w:val="00692796"/>
    <w:rsid w:val="006927B2"/>
    <w:rsid w:val="00692802"/>
    <w:rsid w:val="0069282E"/>
    <w:rsid w:val="00692945"/>
    <w:rsid w:val="00692958"/>
    <w:rsid w:val="00692959"/>
    <w:rsid w:val="00692988"/>
    <w:rsid w:val="00692A0D"/>
    <w:rsid w:val="00692A94"/>
    <w:rsid w:val="00692AC5"/>
    <w:rsid w:val="00692AEF"/>
    <w:rsid w:val="00692B16"/>
    <w:rsid w:val="00692B3A"/>
    <w:rsid w:val="00692B93"/>
    <w:rsid w:val="00692BD4"/>
    <w:rsid w:val="00692BD5"/>
    <w:rsid w:val="00692BD6"/>
    <w:rsid w:val="00692BDC"/>
    <w:rsid w:val="00692BE8"/>
    <w:rsid w:val="00692BF7"/>
    <w:rsid w:val="00692C40"/>
    <w:rsid w:val="00692C79"/>
    <w:rsid w:val="00692C7F"/>
    <w:rsid w:val="00692C83"/>
    <w:rsid w:val="00692CD3"/>
    <w:rsid w:val="00692CED"/>
    <w:rsid w:val="00692CF4"/>
    <w:rsid w:val="00692D09"/>
    <w:rsid w:val="00692D15"/>
    <w:rsid w:val="00692D61"/>
    <w:rsid w:val="00692D81"/>
    <w:rsid w:val="00692DAF"/>
    <w:rsid w:val="00692DF2"/>
    <w:rsid w:val="00692E09"/>
    <w:rsid w:val="00692E13"/>
    <w:rsid w:val="00692E2B"/>
    <w:rsid w:val="00692E38"/>
    <w:rsid w:val="00692E8C"/>
    <w:rsid w:val="00692E96"/>
    <w:rsid w:val="00692EA3"/>
    <w:rsid w:val="00692EAB"/>
    <w:rsid w:val="00692EB3"/>
    <w:rsid w:val="00692F77"/>
    <w:rsid w:val="00692FAA"/>
    <w:rsid w:val="00692FD5"/>
    <w:rsid w:val="00692FD6"/>
    <w:rsid w:val="00692FEB"/>
    <w:rsid w:val="00692FF5"/>
    <w:rsid w:val="00693093"/>
    <w:rsid w:val="006930C8"/>
    <w:rsid w:val="006930E0"/>
    <w:rsid w:val="0069312F"/>
    <w:rsid w:val="00693159"/>
    <w:rsid w:val="0069320C"/>
    <w:rsid w:val="00693342"/>
    <w:rsid w:val="0069339D"/>
    <w:rsid w:val="006934FD"/>
    <w:rsid w:val="00693580"/>
    <w:rsid w:val="00693596"/>
    <w:rsid w:val="00693597"/>
    <w:rsid w:val="006935D6"/>
    <w:rsid w:val="00693608"/>
    <w:rsid w:val="00693611"/>
    <w:rsid w:val="00693677"/>
    <w:rsid w:val="00693687"/>
    <w:rsid w:val="006936DC"/>
    <w:rsid w:val="0069371C"/>
    <w:rsid w:val="00693723"/>
    <w:rsid w:val="00693747"/>
    <w:rsid w:val="006937DE"/>
    <w:rsid w:val="00693824"/>
    <w:rsid w:val="0069388F"/>
    <w:rsid w:val="0069389F"/>
    <w:rsid w:val="006938BD"/>
    <w:rsid w:val="006938DB"/>
    <w:rsid w:val="006938F3"/>
    <w:rsid w:val="0069397F"/>
    <w:rsid w:val="0069398D"/>
    <w:rsid w:val="00693A44"/>
    <w:rsid w:val="00693A69"/>
    <w:rsid w:val="00693A7B"/>
    <w:rsid w:val="00693AA5"/>
    <w:rsid w:val="00693AC0"/>
    <w:rsid w:val="00693ACE"/>
    <w:rsid w:val="00693B4B"/>
    <w:rsid w:val="00693B57"/>
    <w:rsid w:val="00693BA6"/>
    <w:rsid w:val="00693C11"/>
    <w:rsid w:val="00693C80"/>
    <w:rsid w:val="00693CFC"/>
    <w:rsid w:val="00693D05"/>
    <w:rsid w:val="00693D1E"/>
    <w:rsid w:val="00693D83"/>
    <w:rsid w:val="00693D9B"/>
    <w:rsid w:val="00693DD0"/>
    <w:rsid w:val="00693E05"/>
    <w:rsid w:val="00693E18"/>
    <w:rsid w:val="00693E4C"/>
    <w:rsid w:val="00693EB4"/>
    <w:rsid w:val="00693F00"/>
    <w:rsid w:val="00693F08"/>
    <w:rsid w:val="00693F99"/>
    <w:rsid w:val="006940C9"/>
    <w:rsid w:val="0069410A"/>
    <w:rsid w:val="0069415B"/>
    <w:rsid w:val="006941E4"/>
    <w:rsid w:val="00694262"/>
    <w:rsid w:val="0069426D"/>
    <w:rsid w:val="0069428E"/>
    <w:rsid w:val="006942BC"/>
    <w:rsid w:val="006942CC"/>
    <w:rsid w:val="006942DD"/>
    <w:rsid w:val="0069437A"/>
    <w:rsid w:val="006943AB"/>
    <w:rsid w:val="00694403"/>
    <w:rsid w:val="00694409"/>
    <w:rsid w:val="00694420"/>
    <w:rsid w:val="00694430"/>
    <w:rsid w:val="0069450C"/>
    <w:rsid w:val="00694556"/>
    <w:rsid w:val="006945E2"/>
    <w:rsid w:val="006945F6"/>
    <w:rsid w:val="00694618"/>
    <w:rsid w:val="0069463D"/>
    <w:rsid w:val="006946B1"/>
    <w:rsid w:val="00694701"/>
    <w:rsid w:val="0069470B"/>
    <w:rsid w:val="00694724"/>
    <w:rsid w:val="00694746"/>
    <w:rsid w:val="00694751"/>
    <w:rsid w:val="0069476C"/>
    <w:rsid w:val="00694778"/>
    <w:rsid w:val="0069478F"/>
    <w:rsid w:val="00694807"/>
    <w:rsid w:val="00694816"/>
    <w:rsid w:val="0069481E"/>
    <w:rsid w:val="0069485C"/>
    <w:rsid w:val="00694865"/>
    <w:rsid w:val="0069488B"/>
    <w:rsid w:val="006948B9"/>
    <w:rsid w:val="006948D4"/>
    <w:rsid w:val="00694914"/>
    <w:rsid w:val="0069493E"/>
    <w:rsid w:val="0069498F"/>
    <w:rsid w:val="00694A07"/>
    <w:rsid w:val="00694A85"/>
    <w:rsid w:val="00694AAD"/>
    <w:rsid w:val="00694B41"/>
    <w:rsid w:val="00694BC2"/>
    <w:rsid w:val="00694C4C"/>
    <w:rsid w:val="00694C54"/>
    <w:rsid w:val="00694CB1"/>
    <w:rsid w:val="00694CC2"/>
    <w:rsid w:val="00694D18"/>
    <w:rsid w:val="00694DEF"/>
    <w:rsid w:val="00694DF5"/>
    <w:rsid w:val="00694E58"/>
    <w:rsid w:val="00694E64"/>
    <w:rsid w:val="00694EA2"/>
    <w:rsid w:val="00694EBC"/>
    <w:rsid w:val="00694ECA"/>
    <w:rsid w:val="00694ECC"/>
    <w:rsid w:val="00694EEC"/>
    <w:rsid w:val="00694F2B"/>
    <w:rsid w:val="00694F46"/>
    <w:rsid w:val="00694F77"/>
    <w:rsid w:val="00695055"/>
    <w:rsid w:val="00695063"/>
    <w:rsid w:val="0069508F"/>
    <w:rsid w:val="00695109"/>
    <w:rsid w:val="0069516C"/>
    <w:rsid w:val="00695183"/>
    <w:rsid w:val="0069518E"/>
    <w:rsid w:val="00695199"/>
    <w:rsid w:val="00695206"/>
    <w:rsid w:val="00695229"/>
    <w:rsid w:val="0069525D"/>
    <w:rsid w:val="00695298"/>
    <w:rsid w:val="006952D5"/>
    <w:rsid w:val="006952F0"/>
    <w:rsid w:val="006952F2"/>
    <w:rsid w:val="00695382"/>
    <w:rsid w:val="00695385"/>
    <w:rsid w:val="0069539E"/>
    <w:rsid w:val="00695430"/>
    <w:rsid w:val="006954AA"/>
    <w:rsid w:val="0069552D"/>
    <w:rsid w:val="00695554"/>
    <w:rsid w:val="00695571"/>
    <w:rsid w:val="006955C0"/>
    <w:rsid w:val="006955F1"/>
    <w:rsid w:val="006956A3"/>
    <w:rsid w:val="006956C4"/>
    <w:rsid w:val="006956D9"/>
    <w:rsid w:val="006956E9"/>
    <w:rsid w:val="006956F6"/>
    <w:rsid w:val="006956F8"/>
    <w:rsid w:val="00695735"/>
    <w:rsid w:val="006957C3"/>
    <w:rsid w:val="006957CC"/>
    <w:rsid w:val="00695823"/>
    <w:rsid w:val="00695854"/>
    <w:rsid w:val="0069587E"/>
    <w:rsid w:val="00695888"/>
    <w:rsid w:val="00695949"/>
    <w:rsid w:val="00695960"/>
    <w:rsid w:val="0069596A"/>
    <w:rsid w:val="00695987"/>
    <w:rsid w:val="00695994"/>
    <w:rsid w:val="006959B5"/>
    <w:rsid w:val="006959F7"/>
    <w:rsid w:val="00695A99"/>
    <w:rsid w:val="00695AB6"/>
    <w:rsid w:val="00695AB9"/>
    <w:rsid w:val="00695AD4"/>
    <w:rsid w:val="00695B18"/>
    <w:rsid w:val="00695B33"/>
    <w:rsid w:val="00695B36"/>
    <w:rsid w:val="00695B68"/>
    <w:rsid w:val="00695B6B"/>
    <w:rsid w:val="00695BA5"/>
    <w:rsid w:val="00695BFB"/>
    <w:rsid w:val="00695C0F"/>
    <w:rsid w:val="00695C21"/>
    <w:rsid w:val="00695C45"/>
    <w:rsid w:val="00695CE0"/>
    <w:rsid w:val="00695CF5"/>
    <w:rsid w:val="00695DBE"/>
    <w:rsid w:val="00695DC6"/>
    <w:rsid w:val="00695DE2"/>
    <w:rsid w:val="00695DFB"/>
    <w:rsid w:val="00695E22"/>
    <w:rsid w:val="00695E40"/>
    <w:rsid w:val="00695E5F"/>
    <w:rsid w:val="00695E73"/>
    <w:rsid w:val="00695F4E"/>
    <w:rsid w:val="00695F86"/>
    <w:rsid w:val="00695F9F"/>
    <w:rsid w:val="00695FA0"/>
    <w:rsid w:val="00695FFD"/>
    <w:rsid w:val="0069606D"/>
    <w:rsid w:val="006960BA"/>
    <w:rsid w:val="006960C2"/>
    <w:rsid w:val="006961BE"/>
    <w:rsid w:val="006961FC"/>
    <w:rsid w:val="00696216"/>
    <w:rsid w:val="00696238"/>
    <w:rsid w:val="00696242"/>
    <w:rsid w:val="0069629A"/>
    <w:rsid w:val="0069629C"/>
    <w:rsid w:val="00696310"/>
    <w:rsid w:val="00696339"/>
    <w:rsid w:val="00696346"/>
    <w:rsid w:val="0069637C"/>
    <w:rsid w:val="006963B1"/>
    <w:rsid w:val="00696434"/>
    <w:rsid w:val="0069645F"/>
    <w:rsid w:val="00696488"/>
    <w:rsid w:val="0069650A"/>
    <w:rsid w:val="0069652C"/>
    <w:rsid w:val="00696547"/>
    <w:rsid w:val="0069654D"/>
    <w:rsid w:val="006965B5"/>
    <w:rsid w:val="006965E9"/>
    <w:rsid w:val="00696680"/>
    <w:rsid w:val="006966ED"/>
    <w:rsid w:val="006966F4"/>
    <w:rsid w:val="0069671D"/>
    <w:rsid w:val="00696763"/>
    <w:rsid w:val="006967D2"/>
    <w:rsid w:val="006967F2"/>
    <w:rsid w:val="00696847"/>
    <w:rsid w:val="00696876"/>
    <w:rsid w:val="006968B4"/>
    <w:rsid w:val="006968EC"/>
    <w:rsid w:val="00696915"/>
    <w:rsid w:val="0069692E"/>
    <w:rsid w:val="0069692F"/>
    <w:rsid w:val="0069694A"/>
    <w:rsid w:val="00696957"/>
    <w:rsid w:val="00696970"/>
    <w:rsid w:val="00696998"/>
    <w:rsid w:val="006969BD"/>
    <w:rsid w:val="00696B13"/>
    <w:rsid w:val="00696B1D"/>
    <w:rsid w:val="00696B3C"/>
    <w:rsid w:val="00696B59"/>
    <w:rsid w:val="00696BBD"/>
    <w:rsid w:val="00696C76"/>
    <w:rsid w:val="00696C92"/>
    <w:rsid w:val="00696CD2"/>
    <w:rsid w:val="00696CE8"/>
    <w:rsid w:val="00696CF3"/>
    <w:rsid w:val="00696D02"/>
    <w:rsid w:val="00696D2C"/>
    <w:rsid w:val="00696D38"/>
    <w:rsid w:val="00696D48"/>
    <w:rsid w:val="00696D53"/>
    <w:rsid w:val="00696D5B"/>
    <w:rsid w:val="00696D69"/>
    <w:rsid w:val="00696D98"/>
    <w:rsid w:val="00696DD5"/>
    <w:rsid w:val="00696DDC"/>
    <w:rsid w:val="00696E07"/>
    <w:rsid w:val="00696E13"/>
    <w:rsid w:val="00696E54"/>
    <w:rsid w:val="00696E63"/>
    <w:rsid w:val="00696E72"/>
    <w:rsid w:val="00696EAA"/>
    <w:rsid w:val="00696ED7"/>
    <w:rsid w:val="00696F9D"/>
    <w:rsid w:val="00696FC7"/>
    <w:rsid w:val="00696FE6"/>
    <w:rsid w:val="0069701B"/>
    <w:rsid w:val="00697030"/>
    <w:rsid w:val="00697041"/>
    <w:rsid w:val="00697044"/>
    <w:rsid w:val="006970AE"/>
    <w:rsid w:val="006970B6"/>
    <w:rsid w:val="006970FF"/>
    <w:rsid w:val="00697142"/>
    <w:rsid w:val="00697162"/>
    <w:rsid w:val="00697178"/>
    <w:rsid w:val="00697188"/>
    <w:rsid w:val="00697201"/>
    <w:rsid w:val="00697235"/>
    <w:rsid w:val="00697319"/>
    <w:rsid w:val="0069731A"/>
    <w:rsid w:val="006973BD"/>
    <w:rsid w:val="00697441"/>
    <w:rsid w:val="00697452"/>
    <w:rsid w:val="0069746E"/>
    <w:rsid w:val="0069755E"/>
    <w:rsid w:val="00697587"/>
    <w:rsid w:val="006975E0"/>
    <w:rsid w:val="006975E2"/>
    <w:rsid w:val="006975E5"/>
    <w:rsid w:val="00697602"/>
    <w:rsid w:val="00697614"/>
    <w:rsid w:val="00697658"/>
    <w:rsid w:val="00697664"/>
    <w:rsid w:val="0069768D"/>
    <w:rsid w:val="006976AC"/>
    <w:rsid w:val="006976B1"/>
    <w:rsid w:val="006976E6"/>
    <w:rsid w:val="006976E9"/>
    <w:rsid w:val="006976FD"/>
    <w:rsid w:val="0069774A"/>
    <w:rsid w:val="00697790"/>
    <w:rsid w:val="006977E3"/>
    <w:rsid w:val="00697822"/>
    <w:rsid w:val="00697852"/>
    <w:rsid w:val="006978B9"/>
    <w:rsid w:val="00697945"/>
    <w:rsid w:val="0069796E"/>
    <w:rsid w:val="006979AD"/>
    <w:rsid w:val="006979B2"/>
    <w:rsid w:val="006979BD"/>
    <w:rsid w:val="006979BF"/>
    <w:rsid w:val="00697B12"/>
    <w:rsid w:val="00697B62"/>
    <w:rsid w:val="00697B7D"/>
    <w:rsid w:val="00697BAC"/>
    <w:rsid w:val="00697BED"/>
    <w:rsid w:val="00697C1E"/>
    <w:rsid w:val="00697C20"/>
    <w:rsid w:val="00697C38"/>
    <w:rsid w:val="00697C81"/>
    <w:rsid w:val="00697CC3"/>
    <w:rsid w:val="00697CE9"/>
    <w:rsid w:val="00697CF0"/>
    <w:rsid w:val="00697CF3"/>
    <w:rsid w:val="00697D2D"/>
    <w:rsid w:val="00697D3E"/>
    <w:rsid w:val="00697D6F"/>
    <w:rsid w:val="00697DB9"/>
    <w:rsid w:val="00697DE8"/>
    <w:rsid w:val="00697DED"/>
    <w:rsid w:val="00697E12"/>
    <w:rsid w:val="00697E74"/>
    <w:rsid w:val="00697E78"/>
    <w:rsid w:val="00697EAC"/>
    <w:rsid w:val="00697EAE"/>
    <w:rsid w:val="00697ED8"/>
    <w:rsid w:val="00697EE1"/>
    <w:rsid w:val="00697F70"/>
    <w:rsid w:val="00697F9B"/>
    <w:rsid w:val="00697FAB"/>
    <w:rsid w:val="00697FEB"/>
    <w:rsid w:val="006A00C2"/>
    <w:rsid w:val="006A00D1"/>
    <w:rsid w:val="006A0119"/>
    <w:rsid w:val="006A0144"/>
    <w:rsid w:val="006A0164"/>
    <w:rsid w:val="006A01A1"/>
    <w:rsid w:val="006A01DF"/>
    <w:rsid w:val="006A01F4"/>
    <w:rsid w:val="006A02B9"/>
    <w:rsid w:val="006A0343"/>
    <w:rsid w:val="006A0354"/>
    <w:rsid w:val="006A038D"/>
    <w:rsid w:val="006A0393"/>
    <w:rsid w:val="006A039B"/>
    <w:rsid w:val="006A03FC"/>
    <w:rsid w:val="006A041B"/>
    <w:rsid w:val="006A0428"/>
    <w:rsid w:val="006A0433"/>
    <w:rsid w:val="006A044D"/>
    <w:rsid w:val="006A0491"/>
    <w:rsid w:val="006A052E"/>
    <w:rsid w:val="006A05DE"/>
    <w:rsid w:val="006A05EC"/>
    <w:rsid w:val="006A05FB"/>
    <w:rsid w:val="006A06B6"/>
    <w:rsid w:val="006A06F0"/>
    <w:rsid w:val="006A076E"/>
    <w:rsid w:val="006A07FA"/>
    <w:rsid w:val="006A082B"/>
    <w:rsid w:val="006A085F"/>
    <w:rsid w:val="006A08DE"/>
    <w:rsid w:val="006A094D"/>
    <w:rsid w:val="006A098E"/>
    <w:rsid w:val="006A0995"/>
    <w:rsid w:val="006A09D5"/>
    <w:rsid w:val="006A0A5D"/>
    <w:rsid w:val="006A0A99"/>
    <w:rsid w:val="006A0AD6"/>
    <w:rsid w:val="006A0AEA"/>
    <w:rsid w:val="006A0B2F"/>
    <w:rsid w:val="006A0B57"/>
    <w:rsid w:val="006A0B6B"/>
    <w:rsid w:val="006A0B9E"/>
    <w:rsid w:val="006A0BAF"/>
    <w:rsid w:val="006A0C48"/>
    <w:rsid w:val="006A0CA4"/>
    <w:rsid w:val="006A0D00"/>
    <w:rsid w:val="006A0D04"/>
    <w:rsid w:val="006A0D18"/>
    <w:rsid w:val="006A0D2B"/>
    <w:rsid w:val="006A0D7E"/>
    <w:rsid w:val="006A0DD5"/>
    <w:rsid w:val="006A0E10"/>
    <w:rsid w:val="006A0E5D"/>
    <w:rsid w:val="006A0EE4"/>
    <w:rsid w:val="006A0EE8"/>
    <w:rsid w:val="006A0F09"/>
    <w:rsid w:val="006A0F24"/>
    <w:rsid w:val="006A0F4C"/>
    <w:rsid w:val="006A0F5F"/>
    <w:rsid w:val="006A0F85"/>
    <w:rsid w:val="006A0FB0"/>
    <w:rsid w:val="006A0FD5"/>
    <w:rsid w:val="006A0FDB"/>
    <w:rsid w:val="006A0FE7"/>
    <w:rsid w:val="006A1002"/>
    <w:rsid w:val="006A10F7"/>
    <w:rsid w:val="006A1153"/>
    <w:rsid w:val="006A1185"/>
    <w:rsid w:val="006A11F6"/>
    <w:rsid w:val="006A11F7"/>
    <w:rsid w:val="006A11FD"/>
    <w:rsid w:val="006A1201"/>
    <w:rsid w:val="006A1230"/>
    <w:rsid w:val="006A1292"/>
    <w:rsid w:val="006A134F"/>
    <w:rsid w:val="006A1361"/>
    <w:rsid w:val="006A13B0"/>
    <w:rsid w:val="006A13C0"/>
    <w:rsid w:val="006A1446"/>
    <w:rsid w:val="006A1451"/>
    <w:rsid w:val="006A1467"/>
    <w:rsid w:val="006A1470"/>
    <w:rsid w:val="006A1479"/>
    <w:rsid w:val="006A1494"/>
    <w:rsid w:val="006A149C"/>
    <w:rsid w:val="006A14C6"/>
    <w:rsid w:val="006A158F"/>
    <w:rsid w:val="006A1595"/>
    <w:rsid w:val="006A15DE"/>
    <w:rsid w:val="006A15F4"/>
    <w:rsid w:val="006A1606"/>
    <w:rsid w:val="006A165E"/>
    <w:rsid w:val="006A16DF"/>
    <w:rsid w:val="006A16E8"/>
    <w:rsid w:val="006A16F1"/>
    <w:rsid w:val="006A1728"/>
    <w:rsid w:val="006A173D"/>
    <w:rsid w:val="006A178E"/>
    <w:rsid w:val="006A17D5"/>
    <w:rsid w:val="006A17FD"/>
    <w:rsid w:val="006A1822"/>
    <w:rsid w:val="006A1872"/>
    <w:rsid w:val="006A18A0"/>
    <w:rsid w:val="006A18E1"/>
    <w:rsid w:val="006A18FF"/>
    <w:rsid w:val="006A193A"/>
    <w:rsid w:val="006A19C6"/>
    <w:rsid w:val="006A19CB"/>
    <w:rsid w:val="006A19EE"/>
    <w:rsid w:val="006A1A21"/>
    <w:rsid w:val="006A1A54"/>
    <w:rsid w:val="006A1A81"/>
    <w:rsid w:val="006A1ACF"/>
    <w:rsid w:val="006A1AEF"/>
    <w:rsid w:val="006A1B43"/>
    <w:rsid w:val="006A1B9D"/>
    <w:rsid w:val="006A1BED"/>
    <w:rsid w:val="006A1C09"/>
    <w:rsid w:val="006A1C1A"/>
    <w:rsid w:val="006A1C49"/>
    <w:rsid w:val="006A1C60"/>
    <w:rsid w:val="006A1C66"/>
    <w:rsid w:val="006A1C84"/>
    <w:rsid w:val="006A1C94"/>
    <w:rsid w:val="006A1D37"/>
    <w:rsid w:val="006A1DB6"/>
    <w:rsid w:val="006A1E14"/>
    <w:rsid w:val="006A1E20"/>
    <w:rsid w:val="006A1E34"/>
    <w:rsid w:val="006A1EF5"/>
    <w:rsid w:val="006A1EFB"/>
    <w:rsid w:val="006A1F15"/>
    <w:rsid w:val="006A1F17"/>
    <w:rsid w:val="006A1F25"/>
    <w:rsid w:val="006A1F48"/>
    <w:rsid w:val="006A1F8A"/>
    <w:rsid w:val="006A1FCC"/>
    <w:rsid w:val="006A2002"/>
    <w:rsid w:val="006A2033"/>
    <w:rsid w:val="006A2074"/>
    <w:rsid w:val="006A20B1"/>
    <w:rsid w:val="006A213D"/>
    <w:rsid w:val="006A214D"/>
    <w:rsid w:val="006A215F"/>
    <w:rsid w:val="006A2189"/>
    <w:rsid w:val="006A2199"/>
    <w:rsid w:val="006A21A2"/>
    <w:rsid w:val="006A21A8"/>
    <w:rsid w:val="006A21AA"/>
    <w:rsid w:val="006A21B9"/>
    <w:rsid w:val="006A21C8"/>
    <w:rsid w:val="006A21FB"/>
    <w:rsid w:val="006A223E"/>
    <w:rsid w:val="006A2247"/>
    <w:rsid w:val="006A2263"/>
    <w:rsid w:val="006A22EC"/>
    <w:rsid w:val="006A231A"/>
    <w:rsid w:val="006A2350"/>
    <w:rsid w:val="006A23AB"/>
    <w:rsid w:val="006A23FF"/>
    <w:rsid w:val="006A241B"/>
    <w:rsid w:val="006A2444"/>
    <w:rsid w:val="006A2476"/>
    <w:rsid w:val="006A247B"/>
    <w:rsid w:val="006A24C3"/>
    <w:rsid w:val="006A2569"/>
    <w:rsid w:val="006A2580"/>
    <w:rsid w:val="006A25CA"/>
    <w:rsid w:val="006A25CB"/>
    <w:rsid w:val="006A2613"/>
    <w:rsid w:val="006A265C"/>
    <w:rsid w:val="006A2678"/>
    <w:rsid w:val="006A26CF"/>
    <w:rsid w:val="006A26E4"/>
    <w:rsid w:val="006A2720"/>
    <w:rsid w:val="006A2783"/>
    <w:rsid w:val="006A27FC"/>
    <w:rsid w:val="006A280A"/>
    <w:rsid w:val="006A2816"/>
    <w:rsid w:val="006A2817"/>
    <w:rsid w:val="006A2864"/>
    <w:rsid w:val="006A2870"/>
    <w:rsid w:val="006A2886"/>
    <w:rsid w:val="006A288E"/>
    <w:rsid w:val="006A289A"/>
    <w:rsid w:val="006A28CB"/>
    <w:rsid w:val="006A28E7"/>
    <w:rsid w:val="006A2909"/>
    <w:rsid w:val="006A2928"/>
    <w:rsid w:val="006A292F"/>
    <w:rsid w:val="006A293B"/>
    <w:rsid w:val="006A2954"/>
    <w:rsid w:val="006A295C"/>
    <w:rsid w:val="006A2967"/>
    <w:rsid w:val="006A29C2"/>
    <w:rsid w:val="006A2A0F"/>
    <w:rsid w:val="006A2A20"/>
    <w:rsid w:val="006A2A5E"/>
    <w:rsid w:val="006A2A7F"/>
    <w:rsid w:val="006A2A80"/>
    <w:rsid w:val="006A2AC6"/>
    <w:rsid w:val="006A2B0B"/>
    <w:rsid w:val="006A2B7E"/>
    <w:rsid w:val="006A2B9C"/>
    <w:rsid w:val="006A2BAC"/>
    <w:rsid w:val="006A2BB3"/>
    <w:rsid w:val="006A2BB8"/>
    <w:rsid w:val="006A2BC6"/>
    <w:rsid w:val="006A2BF1"/>
    <w:rsid w:val="006A2C84"/>
    <w:rsid w:val="006A2C98"/>
    <w:rsid w:val="006A2C99"/>
    <w:rsid w:val="006A2CE2"/>
    <w:rsid w:val="006A2D02"/>
    <w:rsid w:val="006A2D1F"/>
    <w:rsid w:val="006A2D55"/>
    <w:rsid w:val="006A2D85"/>
    <w:rsid w:val="006A2DB0"/>
    <w:rsid w:val="006A2DC5"/>
    <w:rsid w:val="006A2EB8"/>
    <w:rsid w:val="006A2FD2"/>
    <w:rsid w:val="006A2FDF"/>
    <w:rsid w:val="006A302A"/>
    <w:rsid w:val="006A3079"/>
    <w:rsid w:val="006A30CB"/>
    <w:rsid w:val="006A30F6"/>
    <w:rsid w:val="006A3100"/>
    <w:rsid w:val="006A3111"/>
    <w:rsid w:val="006A312D"/>
    <w:rsid w:val="006A3198"/>
    <w:rsid w:val="006A31F8"/>
    <w:rsid w:val="006A3246"/>
    <w:rsid w:val="006A3248"/>
    <w:rsid w:val="006A3262"/>
    <w:rsid w:val="006A328C"/>
    <w:rsid w:val="006A33A3"/>
    <w:rsid w:val="006A3433"/>
    <w:rsid w:val="006A349E"/>
    <w:rsid w:val="006A34A1"/>
    <w:rsid w:val="006A34AB"/>
    <w:rsid w:val="006A352E"/>
    <w:rsid w:val="006A3592"/>
    <w:rsid w:val="006A35D8"/>
    <w:rsid w:val="006A35F4"/>
    <w:rsid w:val="006A364F"/>
    <w:rsid w:val="006A3658"/>
    <w:rsid w:val="006A36F7"/>
    <w:rsid w:val="006A375A"/>
    <w:rsid w:val="006A37D9"/>
    <w:rsid w:val="006A3855"/>
    <w:rsid w:val="006A387E"/>
    <w:rsid w:val="006A3894"/>
    <w:rsid w:val="006A3914"/>
    <w:rsid w:val="006A3943"/>
    <w:rsid w:val="006A3965"/>
    <w:rsid w:val="006A3A08"/>
    <w:rsid w:val="006A3A31"/>
    <w:rsid w:val="006A3AE2"/>
    <w:rsid w:val="006A3AF4"/>
    <w:rsid w:val="006A3AF5"/>
    <w:rsid w:val="006A3B1C"/>
    <w:rsid w:val="006A3B1D"/>
    <w:rsid w:val="006A3B5A"/>
    <w:rsid w:val="006A3B7A"/>
    <w:rsid w:val="006A3C74"/>
    <w:rsid w:val="006A3D21"/>
    <w:rsid w:val="006A3D94"/>
    <w:rsid w:val="006A3E09"/>
    <w:rsid w:val="006A3E4B"/>
    <w:rsid w:val="006A3E59"/>
    <w:rsid w:val="006A3E70"/>
    <w:rsid w:val="006A3EDC"/>
    <w:rsid w:val="006A3EF3"/>
    <w:rsid w:val="006A3F9D"/>
    <w:rsid w:val="006A3FBE"/>
    <w:rsid w:val="006A3FD3"/>
    <w:rsid w:val="006A3FE3"/>
    <w:rsid w:val="006A4007"/>
    <w:rsid w:val="006A402F"/>
    <w:rsid w:val="006A4061"/>
    <w:rsid w:val="006A40B3"/>
    <w:rsid w:val="006A40CA"/>
    <w:rsid w:val="006A4145"/>
    <w:rsid w:val="006A41A3"/>
    <w:rsid w:val="006A41AA"/>
    <w:rsid w:val="006A41B8"/>
    <w:rsid w:val="006A41C7"/>
    <w:rsid w:val="006A41E6"/>
    <w:rsid w:val="006A41FA"/>
    <w:rsid w:val="006A4204"/>
    <w:rsid w:val="006A422A"/>
    <w:rsid w:val="006A4262"/>
    <w:rsid w:val="006A427D"/>
    <w:rsid w:val="006A4284"/>
    <w:rsid w:val="006A4294"/>
    <w:rsid w:val="006A438B"/>
    <w:rsid w:val="006A4399"/>
    <w:rsid w:val="006A43EB"/>
    <w:rsid w:val="006A446C"/>
    <w:rsid w:val="006A4494"/>
    <w:rsid w:val="006A44F6"/>
    <w:rsid w:val="006A4519"/>
    <w:rsid w:val="006A451E"/>
    <w:rsid w:val="006A4530"/>
    <w:rsid w:val="006A4537"/>
    <w:rsid w:val="006A4576"/>
    <w:rsid w:val="006A458E"/>
    <w:rsid w:val="006A45FC"/>
    <w:rsid w:val="006A45FF"/>
    <w:rsid w:val="006A4662"/>
    <w:rsid w:val="006A468D"/>
    <w:rsid w:val="006A4700"/>
    <w:rsid w:val="006A4726"/>
    <w:rsid w:val="006A4768"/>
    <w:rsid w:val="006A476F"/>
    <w:rsid w:val="006A4802"/>
    <w:rsid w:val="006A4805"/>
    <w:rsid w:val="006A4826"/>
    <w:rsid w:val="006A483F"/>
    <w:rsid w:val="006A4887"/>
    <w:rsid w:val="006A48A3"/>
    <w:rsid w:val="006A48FA"/>
    <w:rsid w:val="006A48FF"/>
    <w:rsid w:val="006A496E"/>
    <w:rsid w:val="006A4983"/>
    <w:rsid w:val="006A49CD"/>
    <w:rsid w:val="006A4A16"/>
    <w:rsid w:val="006A4A20"/>
    <w:rsid w:val="006A4A2F"/>
    <w:rsid w:val="006A4A92"/>
    <w:rsid w:val="006A4B26"/>
    <w:rsid w:val="006A4B67"/>
    <w:rsid w:val="006A4C36"/>
    <w:rsid w:val="006A4CBC"/>
    <w:rsid w:val="006A4DDC"/>
    <w:rsid w:val="006A4DE9"/>
    <w:rsid w:val="006A4DF3"/>
    <w:rsid w:val="006A4E89"/>
    <w:rsid w:val="006A4EB4"/>
    <w:rsid w:val="006A4F12"/>
    <w:rsid w:val="006A4FAF"/>
    <w:rsid w:val="006A4FC2"/>
    <w:rsid w:val="006A4FC3"/>
    <w:rsid w:val="006A4FC8"/>
    <w:rsid w:val="006A4FFD"/>
    <w:rsid w:val="006A4FFF"/>
    <w:rsid w:val="006A5014"/>
    <w:rsid w:val="006A5035"/>
    <w:rsid w:val="006A5070"/>
    <w:rsid w:val="006A5089"/>
    <w:rsid w:val="006A50C4"/>
    <w:rsid w:val="006A5174"/>
    <w:rsid w:val="006A5195"/>
    <w:rsid w:val="006A519A"/>
    <w:rsid w:val="006A519B"/>
    <w:rsid w:val="006A51B1"/>
    <w:rsid w:val="006A51D1"/>
    <w:rsid w:val="006A5232"/>
    <w:rsid w:val="006A52DF"/>
    <w:rsid w:val="006A52F2"/>
    <w:rsid w:val="006A5356"/>
    <w:rsid w:val="006A5389"/>
    <w:rsid w:val="006A53B0"/>
    <w:rsid w:val="006A54D6"/>
    <w:rsid w:val="006A54FE"/>
    <w:rsid w:val="006A5532"/>
    <w:rsid w:val="006A553D"/>
    <w:rsid w:val="006A5545"/>
    <w:rsid w:val="006A557E"/>
    <w:rsid w:val="006A55CD"/>
    <w:rsid w:val="006A5643"/>
    <w:rsid w:val="006A5699"/>
    <w:rsid w:val="006A569C"/>
    <w:rsid w:val="006A56B5"/>
    <w:rsid w:val="006A56BE"/>
    <w:rsid w:val="006A56EA"/>
    <w:rsid w:val="006A56FB"/>
    <w:rsid w:val="006A571C"/>
    <w:rsid w:val="006A5769"/>
    <w:rsid w:val="006A57C6"/>
    <w:rsid w:val="006A57E2"/>
    <w:rsid w:val="006A57FE"/>
    <w:rsid w:val="006A5815"/>
    <w:rsid w:val="006A5839"/>
    <w:rsid w:val="006A586A"/>
    <w:rsid w:val="006A589F"/>
    <w:rsid w:val="006A58E8"/>
    <w:rsid w:val="006A5996"/>
    <w:rsid w:val="006A5A43"/>
    <w:rsid w:val="006A5A78"/>
    <w:rsid w:val="006A5B2A"/>
    <w:rsid w:val="006A5BE3"/>
    <w:rsid w:val="006A5C8E"/>
    <w:rsid w:val="006A5CE6"/>
    <w:rsid w:val="006A5D54"/>
    <w:rsid w:val="006A5D6B"/>
    <w:rsid w:val="006A5DB7"/>
    <w:rsid w:val="006A5E53"/>
    <w:rsid w:val="006A5E66"/>
    <w:rsid w:val="006A5E6F"/>
    <w:rsid w:val="006A5E99"/>
    <w:rsid w:val="006A5F0C"/>
    <w:rsid w:val="006A5F20"/>
    <w:rsid w:val="006A5F3D"/>
    <w:rsid w:val="006A5FDB"/>
    <w:rsid w:val="006A6103"/>
    <w:rsid w:val="006A618F"/>
    <w:rsid w:val="006A619C"/>
    <w:rsid w:val="006A61DB"/>
    <w:rsid w:val="006A61F1"/>
    <w:rsid w:val="006A6278"/>
    <w:rsid w:val="006A62C6"/>
    <w:rsid w:val="006A6311"/>
    <w:rsid w:val="006A6364"/>
    <w:rsid w:val="006A63A2"/>
    <w:rsid w:val="006A6418"/>
    <w:rsid w:val="006A643A"/>
    <w:rsid w:val="006A6448"/>
    <w:rsid w:val="006A645E"/>
    <w:rsid w:val="006A646B"/>
    <w:rsid w:val="006A647F"/>
    <w:rsid w:val="006A649F"/>
    <w:rsid w:val="006A64DC"/>
    <w:rsid w:val="006A64E0"/>
    <w:rsid w:val="006A64E9"/>
    <w:rsid w:val="006A64F8"/>
    <w:rsid w:val="006A651B"/>
    <w:rsid w:val="006A6534"/>
    <w:rsid w:val="006A65C2"/>
    <w:rsid w:val="006A65CD"/>
    <w:rsid w:val="006A65D5"/>
    <w:rsid w:val="006A660D"/>
    <w:rsid w:val="006A6621"/>
    <w:rsid w:val="006A6694"/>
    <w:rsid w:val="006A671A"/>
    <w:rsid w:val="006A6746"/>
    <w:rsid w:val="006A679F"/>
    <w:rsid w:val="006A685B"/>
    <w:rsid w:val="006A6875"/>
    <w:rsid w:val="006A68EC"/>
    <w:rsid w:val="006A69F8"/>
    <w:rsid w:val="006A69FD"/>
    <w:rsid w:val="006A6A1C"/>
    <w:rsid w:val="006A6A5E"/>
    <w:rsid w:val="006A6AA4"/>
    <w:rsid w:val="006A6AF4"/>
    <w:rsid w:val="006A6B0C"/>
    <w:rsid w:val="006A6BAA"/>
    <w:rsid w:val="006A6BBA"/>
    <w:rsid w:val="006A6C43"/>
    <w:rsid w:val="006A6CB4"/>
    <w:rsid w:val="006A6D24"/>
    <w:rsid w:val="006A6D47"/>
    <w:rsid w:val="006A6D67"/>
    <w:rsid w:val="006A6D79"/>
    <w:rsid w:val="006A6D8A"/>
    <w:rsid w:val="006A6DAF"/>
    <w:rsid w:val="006A6DEF"/>
    <w:rsid w:val="006A6E00"/>
    <w:rsid w:val="006A6E0E"/>
    <w:rsid w:val="006A6E99"/>
    <w:rsid w:val="006A6EED"/>
    <w:rsid w:val="006A6F19"/>
    <w:rsid w:val="006A6F1F"/>
    <w:rsid w:val="006A6F6D"/>
    <w:rsid w:val="006A6F80"/>
    <w:rsid w:val="006A6F94"/>
    <w:rsid w:val="006A6F96"/>
    <w:rsid w:val="006A6FDA"/>
    <w:rsid w:val="006A6FEF"/>
    <w:rsid w:val="006A7014"/>
    <w:rsid w:val="006A707E"/>
    <w:rsid w:val="006A713A"/>
    <w:rsid w:val="006A72A5"/>
    <w:rsid w:val="006A72C4"/>
    <w:rsid w:val="006A72CC"/>
    <w:rsid w:val="006A7370"/>
    <w:rsid w:val="006A73A5"/>
    <w:rsid w:val="006A73BD"/>
    <w:rsid w:val="006A73C4"/>
    <w:rsid w:val="006A7405"/>
    <w:rsid w:val="006A7419"/>
    <w:rsid w:val="006A7430"/>
    <w:rsid w:val="006A748D"/>
    <w:rsid w:val="006A74A3"/>
    <w:rsid w:val="006A74CA"/>
    <w:rsid w:val="006A7504"/>
    <w:rsid w:val="006A7527"/>
    <w:rsid w:val="006A7534"/>
    <w:rsid w:val="006A7583"/>
    <w:rsid w:val="006A758F"/>
    <w:rsid w:val="006A75CE"/>
    <w:rsid w:val="006A75FF"/>
    <w:rsid w:val="006A7656"/>
    <w:rsid w:val="006A7657"/>
    <w:rsid w:val="006A7684"/>
    <w:rsid w:val="006A768D"/>
    <w:rsid w:val="006A76F9"/>
    <w:rsid w:val="006A770B"/>
    <w:rsid w:val="006A775F"/>
    <w:rsid w:val="006A776B"/>
    <w:rsid w:val="006A777D"/>
    <w:rsid w:val="006A77D5"/>
    <w:rsid w:val="006A7836"/>
    <w:rsid w:val="006A783F"/>
    <w:rsid w:val="006A78C5"/>
    <w:rsid w:val="006A78D1"/>
    <w:rsid w:val="006A7911"/>
    <w:rsid w:val="006A7941"/>
    <w:rsid w:val="006A7964"/>
    <w:rsid w:val="006A7A02"/>
    <w:rsid w:val="006A7A28"/>
    <w:rsid w:val="006A7A30"/>
    <w:rsid w:val="006A7AC0"/>
    <w:rsid w:val="006A7B06"/>
    <w:rsid w:val="006A7B5A"/>
    <w:rsid w:val="006A7BED"/>
    <w:rsid w:val="006A7C0F"/>
    <w:rsid w:val="006A7C31"/>
    <w:rsid w:val="006A7D75"/>
    <w:rsid w:val="006A7DC5"/>
    <w:rsid w:val="006A7DEB"/>
    <w:rsid w:val="006A7E38"/>
    <w:rsid w:val="006A7E90"/>
    <w:rsid w:val="006A7E98"/>
    <w:rsid w:val="006A7EAD"/>
    <w:rsid w:val="006A7F3D"/>
    <w:rsid w:val="006A7F4A"/>
    <w:rsid w:val="006B0004"/>
    <w:rsid w:val="006B000C"/>
    <w:rsid w:val="006B002D"/>
    <w:rsid w:val="006B0044"/>
    <w:rsid w:val="006B0073"/>
    <w:rsid w:val="006B008C"/>
    <w:rsid w:val="006B00B4"/>
    <w:rsid w:val="006B00B8"/>
    <w:rsid w:val="006B00BE"/>
    <w:rsid w:val="006B0107"/>
    <w:rsid w:val="006B010B"/>
    <w:rsid w:val="006B0168"/>
    <w:rsid w:val="006B0175"/>
    <w:rsid w:val="006B01C9"/>
    <w:rsid w:val="006B01CD"/>
    <w:rsid w:val="006B01D6"/>
    <w:rsid w:val="006B01F1"/>
    <w:rsid w:val="006B020B"/>
    <w:rsid w:val="006B024B"/>
    <w:rsid w:val="006B028E"/>
    <w:rsid w:val="006B02A1"/>
    <w:rsid w:val="006B02C3"/>
    <w:rsid w:val="006B032F"/>
    <w:rsid w:val="006B0341"/>
    <w:rsid w:val="006B03EB"/>
    <w:rsid w:val="006B0457"/>
    <w:rsid w:val="006B0474"/>
    <w:rsid w:val="006B04AF"/>
    <w:rsid w:val="006B0548"/>
    <w:rsid w:val="006B0559"/>
    <w:rsid w:val="006B0571"/>
    <w:rsid w:val="006B0591"/>
    <w:rsid w:val="006B05D5"/>
    <w:rsid w:val="006B05DF"/>
    <w:rsid w:val="006B0661"/>
    <w:rsid w:val="006B068B"/>
    <w:rsid w:val="006B06AD"/>
    <w:rsid w:val="006B06F2"/>
    <w:rsid w:val="006B07C0"/>
    <w:rsid w:val="006B07F1"/>
    <w:rsid w:val="006B080D"/>
    <w:rsid w:val="006B0829"/>
    <w:rsid w:val="006B082A"/>
    <w:rsid w:val="006B0869"/>
    <w:rsid w:val="006B087D"/>
    <w:rsid w:val="006B08A8"/>
    <w:rsid w:val="006B092D"/>
    <w:rsid w:val="006B09D2"/>
    <w:rsid w:val="006B09E9"/>
    <w:rsid w:val="006B09FE"/>
    <w:rsid w:val="006B0A1C"/>
    <w:rsid w:val="006B0A37"/>
    <w:rsid w:val="006B0A54"/>
    <w:rsid w:val="006B0A8F"/>
    <w:rsid w:val="006B0A95"/>
    <w:rsid w:val="006B0AC1"/>
    <w:rsid w:val="006B0AF9"/>
    <w:rsid w:val="006B0B0E"/>
    <w:rsid w:val="006B0B19"/>
    <w:rsid w:val="006B0B33"/>
    <w:rsid w:val="006B0BDA"/>
    <w:rsid w:val="006B0C2E"/>
    <w:rsid w:val="006B0C8C"/>
    <w:rsid w:val="006B0C91"/>
    <w:rsid w:val="006B0C9E"/>
    <w:rsid w:val="006B0E1F"/>
    <w:rsid w:val="006B0E27"/>
    <w:rsid w:val="006B0E61"/>
    <w:rsid w:val="006B0E82"/>
    <w:rsid w:val="006B0EBC"/>
    <w:rsid w:val="006B0EDA"/>
    <w:rsid w:val="006B0EE4"/>
    <w:rsid w:val="006B0EF2"/>
    <w:rsid w:val="006B0F4A"/>
    <w:rsid w:val="006B0F69"/>
    <w:rsid w:val="006B0F6F"/>
    <w:rsid w:val="006B0F7A"/>
    <w:rsid w:val="006B0F8C"/>
    <w:rsid w:val="006B0FD6"/>
    <w:rsid w:val="006B0FD9"/>
    <w:rsid w:val="006B0FF8"/>
    <w:rsid w:val="006B102A"/>
    <w:rsid w:val="006B10B0"/>
    <w:rsid w:val="006B10BB"/>
    <w:rsid w:val="006B1101"/>
    <w:rsid w:val="006B1153"/>
    <w:rsid w:val="006B11EB"/>
    <w:rsid w:val="006B1211"/>
    <w:rsid w:val="006B123E"/>
    <w:rsid w:val="006B1259"/>
    <w:rsid w:val="006B125F"/>
    <w:rsid w:val="006B1263"/>
    <w:rsid w:val="006B1265"/>
    <w:rsid w:val="006B129D"/>
    <w:rsid w:val="006B1341"/>
    <w:rsid w:val="006B1367"/>
    <w:rsid w:val="006B139F"/>
    <w:rsid w:val="006B13BE"/>
    <w:rsid w:val="006B13C5"/>
    <w:rsid w:val="006B13F5"/>
    <w:rsid w:val="006B13F7"/>
    <w:rsid w:val="006B1423"/>
    <w:rsid w:val="006B143F"/>
    <w:rsid w:val="006B1465"/>
    <w:rsid w:val="006B1466"/>
    <w:rsid w:val="006B1496"/>
    <w:rsid w:val="006B14A7"/>
    <w:rsid w:val="006B15A3"/>
    <w:rsid w:val="006B15F5"/>
    <w:rsid w:val="006B1625"/>
    <w:rsid w:val="006B162B"/>
    <w:rsid w:val="006B165E"/>
    <w:rsid w:val="006B1669"/>
    <w:rsid w:val="006B16A8"/>
    <w:rsid w:val="006B16B2"/>
    <w:rsid w:val="006B17B4"/>
    <w:rsid w:val="006B188D"/>
    <w:rsid w:val="006B189E"/>
    <w:rsid w:val="006B18B8"/>
    <w:rsid w:val="006B18C0"/>
    <w:rsid w:val="006B18FA"/>
    <w:rsid w:val="006B197F"/>
    <w:rsid w:val="006B19AB"/>
    <w:rsid w:val="006B19B3"/>
    <w:rsid w:val="006B19C4"/>
    <w:rsid w:val="006B19CA"/>
    <w:rsid w:val="006B19D2"/>
    <w:rsid w:val="006B19F4"/>
    <w:rsid w:val="006B1A0C"/>
    <w:rsid w:val="006B1A30"/>
    <w:rsid w:val="006B1A3E"/>
    <w:rsid w:val="006B1ABD"/>
    <w:rsid w:val="006B1B46"/>
    <w:rsid w:val="006B1B52"/>
    <w:rsid w:val="006B1B79"/>
    <w:rsid w:val="006B1B92"/>
    <w:rsid w:val="006B1BF2"/>
    <w:rsid w:val="006B1C62"/>
    <w:rsid w:val="006B1C86"/>
    <w:rsid w:val="006B1C95"/>
    <w:rsid w:val="006B1DB7"/>
    <w:rsid w:val="006B1E88"/>
    <w:rsid w:val="006B1FD6"/>
    <w:rsid w:val="006B204F"/>
    <w:rsid w:val="006B206D"/>
    <w:rsid w:val="006B2123"/>
    <w:rsid w:val="006B217A"/>
    <w:rsid w:val="006B2253"/>
    <w:rsid w:val="006B225F"/>
    <w:rsid w:val="006B2335"/>
    <w:rsid w:val="006B233C"/>
    <w:rsid w:val="006B2356"/>
    <w:rsid w:val="006B235B"/>
    <w:rsid w:val="006B23AE"/>
    <w:rsid w:val="006B23B7"/>
    <w:rsid w:val="006B23D4"/>
    <w:rsid w:val="006B244B"/>
    <w:rsid w:val="006B2454"/>
    <w:rsid w:val="006B24B6"/>
    <w:rsid w:val="006B24BF"/>
    <w:rsid w:val="006B24C2"/>
    <w:rsid w:val="006B2504"/>
    <w:rsid w:val="006B2577"/>
    <w:rsid w:val="006B25D6"/>
    <w:rsid w:val="006B25F0"/>
    <w:rsid w:val="006B2635"/>
    <w:rsid w:val="006B26E7"/>
    <w:rsid w:val="006B2749"/>
    <w:rsid w:val="006B2781"/>
    <w:rsid w:val="006B2788"/>
    <w:rsid w:val="006B2862"/>
    <w:rsid w:val="006B2893"/>
    <w:rsid w:val="006B28C6"/>
    <w:rsid w:val="006B2939"/>
    <w:rsid w:val="006B2969"/>
    <w:rsid w:val="006B29E8"/>
    <w:rsid w:val="006B2AAF"/>
    <w:rsid w:val="006B2B02"/>
    <w:rsid w:val="006B2B2D"/>
    <w:rsid w:val="006B2B7E"/>
    <w:rsid w:val="006B2C31"/>
    <w:rsid w:val="006B2C5D"/>
    <w:rsid w:val="006B2C96"/>
    <w:rsid w:val="006B2CF6"/>
    <w:rsid w:val="006B2CF9"/>
    <w:rsid w:val="006B2D18"/>
    <w:rsid w:val="006B2D1D"/>
    <w:rsid w:val="006B2D2D"/>
    <w:rsid w:val="006B2D30"/>
    <w:rsid w:val="006B2D76"/>
    <w:rsid w:val="006B2DA6"/>
    <w:rsid w:val="006B2DA8"/>
    <w:rsid w:val="006B2DD5"/>
    <w:rsid w:val="006B2E37"/>
    <w:rsid w:val="006B2E3B"/>
    <w:rsid w:val="006B2EA3"/>
    <w:rsid w:val="006B2EF6"/>
    <w:rsid w:val="006B2F48"/>
    <w:rsid w:val="006B2F63"/>
    <w:rsid w:val="006B2F71"/>
    <w:rsid w:val="006B2F9B"/>
    <w:rsid w:val="006B2FDE"/>
    <w:rsid w:val="006B301B"/>
    <w:rsid w:val="006B30C2"/>
    <w:rsid w:val="006B30F2"/>
    <w:rsid w:val="006B3121"/>
    <w:rsid w:val="006B3164"/>
    <w:rsid w:val="006B31A8"/>
    <w:rsid w:val="006B31E7"/>
    <w:rsid w:val="006B3236"/>
    <w:rsid w:val="006B3260"/>
    <w:rsid w:val="006B32AF"/>
    <w:rsid w:val="006B32BB"/>
    <w:rsid w:val="006B32EA"/>
    <w:rsid w:val="006B3307"/>
    <w:rsid w:val="006B332D"/>
    <w:rsid w:val="006B33C1"/>
    <w:rsid w:val="006B340C"/>
    <w:rsid w:val="006B35A2"/>
    <w:rsid w:val="006B35A9"/>
    <w:rsid w:val="006B35F0"/>
    <w:rsid w:val="006B363D"/>
    <w:rsid w:val="006B364A"/>
    <w:rsid w:val="006B3664"/>
    <w:rsid w:val="006B36A7"/>
    <w:rsid w:val="006B36B6"/>
    <w:rsid w:val="006B36C5"/>
    <w:rsid w:val="006B378F"/>
    <w:rsid w:val="006B37AD"/>
    <w:rsid w:val="006B37DC"/>
    <w:rsid w:val="006B37EB"/>
    <w:rsid w:val="006B384F"/>
    <w:rsid w:val="006B386D"/>
    <w:rsid w:val="006B388B"/>
    <w:rsid w:val="006B38EC"/>
    <w:rsid w:val="006B38FC"/>
    <w:rsid w:val="006B391F"/>
    <w:rsid w:val="006B3944"/>
    <w:rsid w:val="006B3957"/>
    <w:rsid w:val="006B3960"/>
    <w:rsid w:val="006B3987"/>
    <w:rsid w:val="006B39F3"/>
    <w:rsid w:val="006B3A02"/>
    <w:rsid w:val="006B3A35"/>
    <w:rsid w:val="006B3AAA"/>
    <w:rsid w:val="006B3B47"/>
    <w:rsid w:val="006B3B4C"/>
    <w:rsid w:val="006B3B65"/>
    <w:rsid w:val="006B3B74"/>
    <w:rsid w:val="006B3BD2"/>
    <w:rsid w:val="006B3BF0"/>
    <w:rsid w:val="006B3C1C"/>
    <w:rsid w:val="006B3C57"/>
    <w:rsid w:val="006B3CDC"/>
    <w:rsid w:val="006B3D88"/>
    <w:rsid w:val="006B3DAB"/>
    <w:rsid w:val="006B3DBF"/>
    <w:rsid w:val="006B3DCA"/>
    <w:rsid w:val="006B3E28"/>
    <w:rsid w:val="006B3E8D"/>
    <w:rsid w:val="006B3E9D"/>
    <w:rsid w:val="006B3ECA"/>
    <w:rsid w:val="006B3EE9"/>
    <w:rsid w:val="006B3EEB"/>
    <w:rsid w:val="006B3EFE"/>
    <w:rsid w:val="006B3F4E"/>
    <w:rsid w:val="006B3F90"/>
    <w:rsid w:val="006B3FF6"/>
    <w:rsid w:val="006B3FFB"/>
    <w:rsid w:val="006B4024"/>
    <w:rsid w:val="006B402E"/>
    <w:rsid w:val="006B4082"/>
    <w:rsid w:val="006B40FA"/>
    <w:rsid w:val="006B411E"/>
    <w:rsid w:val="006B4147"/>
    <w:rsid w:val="006B415C"/>
    <w:rsid w:val="006B4170"/>
    <w:rsid w:val="006B417F"/>
    <w:rsid w:val="006B4184"/>
    <w:rsid w:val="006B418B"/>
    <w:rsid w:val="006B41FE"/>
    <w:rsid w:val="006B4203"/>
    <w:rsid w:val="006B4246"/>
    <w:rsid w:val="006B42AA"/>
    <w:rsid w:val="006B42BC"/>
    <w:rsid w:val="006B42BF"/>
    <w:rsid w:val="006B42DC"/>
    <w:rsid w:val="006B444C"/>
    <w:rsid w:val="006B446F"/>
    <w:rsid w:val="006B448F"/>
    <w:rsid w:val="006B44C3"/>
    <w:rsid w:val="006B44D8"/>
    <w:rsid w:val="006B4577"/>
    <w:rsid w:val="006B462B"/>
    <w:rsid w:val="006B4685"/>
    <w:rsid w:val="006B4698"/>
    <w:rsid w:val="006B46D4"/>
    <w:rsid w:val="006B474D"/>
    <w:rsid w:val="006B476D"/>
    <w:rsid w:val="006B4775"/>
    <w:rsid w:val="006B47C3"/>
    <w:rsid w:val="006B47E2"/>
    <w:rsid w:val="006B484E"/>
    <w:rsid w:val="006B48C3"/>
    <w:rsid w:val="006B48F5"/>
    <w:rsid w:val="006B4917"/>
    <w:rsid w:val="006B4926"/>
    <w:rsid w:val="006B4943"/>
    <w:rsid w:val="006B49FE"/>
    <w:rsid w:val="006B4A17"/>
    <w:rsid w:val="006B4A42"/>
    <w:rsid w:val="006B4B82"/>
    <w:rsid w:val="006B4BA2"/>
    <w:rsid w:val="006B4BFA"/>
    <w:rsid w:val="006B4C02"/>
    <w:rsid w:val="006B4D25"/>
    <w:rsid w:val="006B4DBC"/>
    <w:rsid w:val="006B4ED0"/>
    <w:rsid w:val="006B4F0C"/>
    <w:rsid w:val="006B4F6B"/>
    <w:rsid w:val="006B5031"/>
    <w:rsid w:val="006B504D"/>
    <w:rsid w:val="006B5067"/>
    <w:rsid w:val="006B50F6"/>
    <w:rsid w:val="006B518C"/>
    <w:rsid w:val="006B51E8"/>
    <w:rsid w:val="006B52B5"/>
    <w:rsid w:val="006B52CF"/>
    <w:rsid w:val="006B52FD"/>
    <w:rsid w:val="006B5332"/>
    <w:rsid w:val="006B5347"/>
    <w:rsid w:val="006B535C"/>
    <w:rsid w:val="006B537F"/>
    <w:rsid w:val="006B538E"/>
    <w:rsid w:val="006B5406"/>
    <w:rsid w:val="006B5455"/>
    <w:rsid w:val="006B545E"/>
    <w:rsid w:val="006B5477"/>
    <w:rsid w:val="006B54C3"/>
    <w:rsid w:val="006B54C6"/>
    <w:rsid w:val="006B5568"/>
    <w:rsid w:val="006B559A"/>
    <w:rsid w:val="006B55A6"/>
    <w:rsid w:val="006B5616"/>
    <w:rsid w:val="006B5621"/>
    <w:rsid w:val="006B563A"/>
    <w:rsid w:val="006B56BC"/>
    <w:rsid w:val="006B56C4"/>
    <w:rsid w:val="006B5723"/>
    <w:rsid w:val="006B5759"/>
    <w:rsid w:val="006B5778"/>
    <w:rsid w:val="006B5786"/>
    <w:rsid w:val="006B57B5"/>
    <w:rsid w:val="006B57DF"/>
    <w:rsid w:val="006B583E"/>
    <w:rsid w:val="006B5874"/>
    <w:rsid w:val="006B58AF"/>
    <w:rsid w:val="006B5953"/>
    <w:rsid w:val="006B5956"/>
    <w:rsid w:val="006B59D8"/>
    <w:rsid w:val="006B59ED"/>
    <w:rsid w:val="006B5A37"/>
    <w:rsid w:val="006B5B2A"/>
    <w:rsid w:val="006B5B43"/>
    <w:rsid w:val="006B5BBC"/>
    <w:rsid w:val="006B5BD6"/>
    <w:rsid w:val="006B5BF8"/>
    <w:rsid w:val="006B5C39"/>
    <w:rsid w:val="006B5C72"/>
    <w:rsid w:val="006B5CC6"/>
    <w:rsid w:val="006B5CDA"/>
    <w:rsid w:val="006B5D48"/>
    <w:rsid w:val="006B5D58"/>
    <w:rsid w:val="006B5D97"/>
    <w:rsid w:val="006B5DB6"/>
    <w:rsid w:val="006B5DD0"/>
    <w:rsid w:val="006B5DE7"/>
    <w:rsid w:val="006B5E0F"/>
    <w:rsid w:val="006B5E53"/>
    <w:rsid w:val="006B5EBB"/>
    <w:rsid w:val="006B5F1C"/>
    <w:rsid w:val="006B5F57"/>
    <w:rsid w:val="006B5FBA"/>
    <w:rsid w:val="006B6009"/>
    <w:rsid w:val="006B6013"/>
    <w:rsid w:val="006B6027"/>
    <w:rsid w:val="006B603A"/>
    <w:rsid w:val="006B6058"/>
    <w:rsid w:val="006B6135"/>
    <w:rsid w:val="006B6136"/>
    <w:rsid w:val="006B6178"/>
    <w:rsid w:val="006B61A8"/>
    <w:rsid w:val="006B61AC"/>
    <w:rsid w:val="006B61CE"/>
    <w:rsid w:val="006B61DC"/>
    <w:rsid w:val="006B61F0"/>
    <w:rsid w:val="006B621C"/>
    <w:rsid w:val="006B6260"/>
    <w:rsid w:val="006B62D4"/>
    <w:rsid w:val="006B62E2"/>
    <w:rsid w:val="006B6326"/>
    <w:rsid w:val="006B63BA"/>
    <w:rsid w:val="006B64C0"/>
    <w:rsid w:val="006B64C3"/>
    <w:rsid w:val="006B64EC"/>
    <w:rsid w:val="006B655A"/>
    <w:rsid w:val="006B6680"/>
    <w:rsid w:val="006B6694"/>
    <w:rsid w:val="006B66B8"/>
    <w:rsid w:val="006B670E"/>
    <w:rsid w:val="006B671D"/>
    <w:rsid w:val="006B6739"/>
    <w:rsid w:val="006B6740"/>
    <w:rsid w:val="006B6787"/>
    <w:rsid w:val="006B6836"/>
    <w:rsid w:val="006B683E"/>
    <w:rsid w:val="006B693B"/>
    <w:rsid w:val="006B693E"/>
    <w:rsid w:val="006B6985"/>
    <w:rsid w:val="006B69D1"/>
    <w:rsid w:val="006B69DA"/>
    <w:rsid w:val="006B69EE"/>
    <w:rsid w:val="006B6A0C"/>
    <w:rsid w:val="006B6A41"/>
    <w:rsid w:val="006B6A4D"/>
    <w:rsid w:val="006B6A60"/>
    <w:rsid w:val="006B6AAA"/>
    <w:rsid w:val="006B6B26"/>
    <w:rsid w:val="006B6B40"/>
    <w:rsid w:val="006B6BBB"/>
    <w:rsid w:val="006B6C3A"/>
    <w:rsid w:val="006B6CAB"/>
    <w:rsid w:val="006B6CCF"/>
    <w:rsid w:val="006B6CFB"/>
    <w:rsid w:val="006B6D07"/>
    <w:rsid w:val="006B6D0D"/>
    <w:rsid w:val="006B6D74"/>
    <w:rsid w:val="006B6DEA"/>
    <w:rsid w:val="006B6E0C"/>
    <w:rsid w:val="006B6E1B"/>
    <w:rsid w:val="006B6EC6"/>
    <w:rsid w:val="006B6F05"/>
    <w:rsid w:val="006B6F60"/>
    <w:rsid w:val="006B6FBC"/>
    <w:rsid w:val="006B6FCF"/>
    <w:rsid w:val="006B6FE2"/>
    <w:rsid w:val="006B7066"/>
    <w:rsid w:val="006B708D"/>
    <w:rsid w:val="006B70A6"/>
    <w:rsid w:val="006B70AE"/>
    <w:rsid w:val="006B70E7"/>
    <w:rsid w:val="006B70FB"/>
    <w:rsid w:val="006B7139"/>
    <w:rsid w:val="006B7190"/>
    <w:rsid w:val="006B71CB"/>
    <w:rsid w:val="006B71D0"/>
    <w:rsid w:val="006B71D1"/>
    <w:rsid w:val="006B71D6"/>
    <w:rsid w:val="006B71EC"/>
    <w:rsid w:val="006B7206"/>
    <w:rsid w:val="006B7303"/>
    <w:rsid w:val="006B73A2"/>
    <w:rsid w:val="006B73D2"/>
    <w:rsid w:val="006B73F9"/>
    <w:rsid w:val="006B74FD"/>
    <w:rsid w:val="006B750F"/>
    <w:rsid w:val="006B75C8"/>
    <w:rsid w:val="006B765E"/>
    <w:rsid w:val="006B7678"/>
    <w:rsid w:val="006B76CC"/>
    <w:rsid w:val="006B7722"/>
    <w:rsid w:val="006B7730"/>
    <w:rsid w:val="006B775D"/>
    <w:rsid w:val="006B775F"/>
    <w:rsid w:val="006B778A"/>
    <w:rsid w:val="006B77F8"/>
    <w:rsid w:val="006B783C"/>
    <w:rsid w:val="006B7883"/>
    <w:rsid w:val="006B78B1"/>
    <w:rsid w:val="006B78C5"/>
    <w:rsid w:val="006B7904"/>
    <w:rsid w:val="006B7924"/>
    <w:rsid w:val="006B7936"/>
    <w:rsid w:val="006B7967"/>
    <w:rsid w:val="006B79C4"/>
    <w:rsid w:val="006B7A54"/>
    <w:rsid w:val="006B7A93"/>
    <w:rsid w:val="006B7A9D"/>
    <w:rsid w:val="006B7B3E"/>
    <w:rsid w:val="006B7B68"/>
    <w:rsid w:val="006B7B8A"/>
    <w:rsid w:val="006B7BB5"/>
    <w:rsid w:val="006B7BD3"/>
    <w:rsid w:val="006B7BF2"/>
    <w:rsid w:val="006B7C19"/>
    <w:rsid w:val="006B7C3E"/>
    <w:rsid w:val="006B7CB0"/>
    <w:rsid w:val="006B7CFA"/>
    <w:rsid w:val="006B7D31"/>
    <w:rsid w:val="006B7D7C"/>
    <w:rsid w:val="006B7E02"/>
    <w:rsid w:val="006B7E67"/>
    <w:rsid w:val="006B7EBF"/>
    <w:rsid w:val="006B7F16"/>
    <w:rsid w:val="006B7F4D"/>
    <w:rsid w:val="006B7F79"/>
    <w:rsid w:val="006B7F7C"/>
    <w:rsid w:val="006B7FE9"/>
    <w:rsid w:val="006B7FF7"/>
    <w:rsid w:val="006C0070"/>
    <w:rsid w:val="006C0084"/>
    <w:rsid w:val="006C00A4"/>
    <w:rsid w:val="006C00ED"/>
    <w:rsid w:val="006C01CC"/>
    <w:rsid w:val="006C0237"/>
    <w:rsid w:val="006C0254"/>
    <w:rsid w:val="006C02EF"/>
    <w:rsid w:val="006C0383"/>
    <w:rsid w:val="006C0384"/>
    <w:rsid w:val="006C03BB"/>
    <w:rsid w:val="006C03BE"/>
    <w:rsid w:val="006C03FF"/>
    <w:rsid w:val="006C0408"/>
    <w:rsid w:val="006C0414"/>
    <w:rsid w:val="006C0422"/>
    <w:rsid w:val="006C0454"/>
    <w:rsid w:val="006C04D5"/>
    <w:rsid w:val="006C0547"/>
    <w:rsid w:val="006C0587"/>
    <w:rsid w:val="006C0632"/>
    <w:rsid w:val="006C0656"/>
    <w:rsid w:val="006C06D3"/>
    <w:rsid w:val="006C070F"/>
    <w:rsid w:val="006C0788"/>
    <w:rsid w:val="006C0796"/>
    <w:rsid w:val="006C07A4"/>
    <w:rsid w:val="006C07CA"/>
    <w:rsid w:val="006C083C"/>
    <w:rsid w:val="006C083D"/>
    <w:rsid w:val="006C089F"/>
    <w:rsid w:val="006C08D5"/>
    <w:rsid w:val="006C096D"/>
    <w:rsid w:val="006C09A5"/>
    <w:rsid w:val="006C09B4"/>
    <w:rsid w:val="006C09D4"/>
    <w:rsid w:val="006C0A11"/>
    <w:rsid w:val="006C0AC3"/>
    <w:rsid w:val="006C0AEF"/>
    <w:rsid w:val="006C0AF4"/>
    <w:rsid w:val="006C0AFF"/>
    <w:rsid w:val="006C0BD8"/>
    <w:rsid w:val="006C0C32"/>
    <w:rsid w:val="006C0CF4"/>
    <w:rsid w:val="006C0D6C"/>
    <w:rsid w:val="006C0E5F"/>
    <w:rsid w:val="006C0EA1"/>
    <w:rsid w:val="006C0EEF"/>
    <w:rsid w:val="006C0EF6"/>
    <w:rsid w:val="006C0FB4"/>
    <w:rsid w:val="006C0FC4"/>
    <w:rsid w:val="006C0FCD"/>
    <w:rsid w:val="006C0FD4"/>
    <w:rsid w:val="006C1008"/>
    <w:rsid w:val="006C1035"/>
    <w:rsid w:val="006C104D"/>
    <w:rsid w:val="006C104E"/>
    <w:rsid w:val="006C1086"/>
    <w:rsid w:val="006C10A0"/>
    <w:rsid w:val="006C10FC"/>
    <w:rsid w:val="006C1153"/>
    <w:rsid w:val="006C11C8"/>
    <w:rsid w:val="006C11E0"/>
    <w:rsid w:val="006C1206"/>
    <w:rsid w:val="006C1251"/>
    <w:rsid w:val="006C127E"/>
    <w:rsid w:val="006C12BB"/>
    <w:rsid w:val="006C12BD"/>
    <w:rsid w:val="006C12CE"/>
    <w:rsid w:val="006C12D9"/>
    <w:rsid w:val="006C12E8"/>
    <w:rsid w:val="006C12F2"/>
    <w:rsid w:val="006C1339"/>
    <w:rsid w:val="006C134F"/>
    <w:rsid w:val="006C1398"/>
    <w:rsid w:val="006C149C"/>
    <w:rsid w:val="006C14BA"/>
    <w:rsid w:val="006C14FB"/>
    <w:rsid w:val="006C157C"/>
    <w:rsid w:val="006C1590"/>
    <w:rsid w:val="006C15F7"/>
    <w:rsid w:val="006C165F"/>
    <w:rsid w:val="006C167D"/>
    <w:rsid w:val="006C1680"/>
    <w:rsid w:val="006C1744"/>
    <w:rsid w:val="006C1766"/>
    <w:rsid w:val="006C1792"/>
    <w:rsid w:val="006C1816"/>
    <w:rsid w:val="006C1839"/>
    <w:rsid w:val="006C1881"/>
    <w:rsid w:val="006C18D6"/>
    <w:rsid w:val="006C18DB"/>
    <w:rsid w:val="006C18FE"/>
    <w:rsid w:val="006C1903"/>
    <w:rsid w:val="006C195D"/>
    <w:rsid w:val="006C1984"/>
    <w:rsid w:val="006C19C6"/>
    <w:rsid w:val="006C1A15"/>
    <w:rsid w:val="006C1A23"/>
    <w:rsid w:val="006C1A27"/>
    <w:rsid w:val="006C1A6D"/>
    <w:rsid w:val="006C1A98"/>
    <w:rsid w:val="006C1AB1"/>
    <w:rsid w:val="006C1B3D"/>
    <w:rsid w:val="006C1B55"/>
    <w:rsid w:val="006C1B58"/>
    <w:rsid w:val="006C1B5B"/>
    <w:rsid w:val="006C1B97"/>
    <w:rsid w:val="006C1BE9"/>
    <w:rsid w:val="006C1BF9"/>
    <w:rsid w:val="006C1C16"/>
    <w:rsid w:val="006C1C2F"/>
    <w:rsid w:val="006C1C9B"/>
    <w:rsid w:val="006C1CE6"/>
    <w:rsid w:val="006C1CE7"/>
    <w:rsid w:val="006C1D02"/>
    <w:rsid w:val="006C1D44"/>
    <w:rsid w:val="006C1D49"/>
    <w:rsid w:val="006C1DD9"/>
    <w:rsid w:val="006C1E0B"/>
    <w:rsid w:val="006C1E22"/>
    <w:rsid w:val="006C1E4B"/>
    <w:rsid w:val="006C1E8C"/>
    <w:rsid w:val="006C1E8E"/>
    <w:rsid w:val="006C1E91"/>
    <w:rsid w:val="006C1EF7"/>
    <w:rsid w:val="006C1F03"/>
    <w:rsid w:val="006C1F04"/>
    <w:rsid w:val="006C1F12"/>
    <w:rsid w:val="006C1F40"/>
    <w:rsid w:val="006C1F7F"/>
    <w:rsid w:val="006C208A"/>
    <w:rsid w:val="006C2108"/>
    <w:rsid w:val="006C2129"/>
    <w:rsid w:val="006C216D"/>
    <w:rsid w:val="006C21B2"/>
    <w:rsid w:val="006C224E"/>
    <w:rsid w:val="006C226F"/>
    <w:rsid w:val="006C2289"/>
    <w:rsid w:val="006C22AE"/>
    <w:rsid w:val="006C22B2"/>
    <w:rsid w:val="006C22D4"/>
    <w:rsid w:val="006C2301"/>
    <w:rsid w:val="006C2331"/>
    <w:rsid w:val="006C235C"/>
    <w:rsid w:val="006C238A"/>
    <w:rsid w:val="006C2437"/>
    <w:rsid w:val="006C247A"/>
    <w:rsid w:val="006C249C"/>
    <w:rsid w:val="006C249E"/>
    <w:rsid w:val="006C24AB"/>
    <w:rsid w:val="006C24D4"/>
    <w:rsid w:val="006C24ED"/>
    <w:rsid w:val="006C251D"/>
    <w:rsid w:val="006C264C"/>
    <w:rsid w:val="006C264F"/>
    <w:rsid w:val="006C26D3"/>
    <w:rsid w:val="006C2712"/>
    <w:rsid w:val="006C2770"/>
    <w:rsid w:val="006C27A1"/>
    <w:rsid w:val="006C2848"/>
    <w:rsid w:val="006C2851"/>
    <w:rsid w:val="006C2893"/>
    <w:rsid w:val="006C28F6"/>
    <w:rsid w:val="006C2901"/>
    <w:rsid w:val="006C2960"/>
    <w:rsid w:val="006C2989"/>
    <w:rsid w:val="006C29B6"/>
    <w:rsid w:val="006C2A17"/>
    <w:rsid w:val="006C2A36"/>
    <w:rsid w:val="006C2A3B"/>
    <w:rsid w:val="006C2A53"/>
    <w:rsid w:val="006C2A5C"/>
    <w:rsid w:val="006C2A6A"/>
    <w:rsid w:val="006C2B0C"/>
    <w:rsid w:val="006C2B96"/>
    <w:rsid w:val="006C2BC5"/>
    <w:rsid w:val="006C2BCE"/>
    <w:rsid w:val="006C2C1D"/>
    <w:rsid w:val="006C2C84"/>
    <w:rsid w:val="006C2C98"/>
    <w:rsid w:val="006C2CD6"/>
    <w:rsid w:val="006C2CE7"/>
    <w:rsid w:val="006C2D3C"/>
    <w:rsid w:val="006C2D4B"/>
    <w:rsid w:val="006C2DB5"/>
    <w:rsid w:val="006C2E33"/>
    <w:rsid w:val="006C2E81"/>
    <w:rsid w:val="006C2EB9"/>
    <w:rsid w:val="006C2EC6"/>
    <w:rsid w:val="006C2EE8"/>
    <w:rsid w:val="006C2F31"/>
    <w:rsid w:val="006C2F65"/>
    <w:rsid w:val="006C2F8A"/>
    <w:rsid w:val="006C2FAE"/>
    <w:rsid w:val="006C3002"/>
    <w:rsid w:val="006C3017"/>
    <w:rsid w:val="006C3031"/>
    <w:rsid w:val="006C3093"/>
    <w:rsid w:val="006C3116"/>
    <w:rsid w:val="006C3146"/>
    <w:rsid w:val="006C314B"/>
    <w:rsid w:val="006C3157"/>
    <w:rsid w:val="006C3191"/>
    <w:rsid w:val="006C31FC"/>
    <w:rsid w:val="006C3209"/>
    <w:rsid w:val="006C3217"/>
    <w:rsid w:val="006C32CD"/>
    <w:rsid w:val="006C32DE"/>
    <w:rsid w:val="006C331B"/>
    <w:rsid w:val="006C3371"/>
    <w:rsid w:val="006C33A1"/>
    <w:rsid w:val="006C33CC"/>
    <w:rsid w:val="006C348F"/>
    <w:rsid w:val="006C3558"/>
    <w:rsid w:val="006C356F"/>
    <w:rsid w:val="006C3578"/>
    <w:rsid w:val="006C357C"/>
    <w:rsid w:val="006C3582"/>
    <w:rsid w:val="006C35B0"/>
    <w:rsid w:val="006C35CA"/>
    <w:rsid w:val="006C365B"/>
    <w:rsid w:val="006C36A0"/>
    <w:rsid w:val="006C36AA"/>
    <w:rsid w:val="006C36CE"/>
    <w:rsid w:val="006C37C3"/>
    <w:rsid w:val="006C3807"/>
    <w:rsid w:val="006C3856"/>
    <w:rsid w:val="006C388C"/>
    <w:rsid w:val="006C38C0"/>
    <w:rsid w:val="006C390F"/>
    <w:rsid w:val="006C3916"/>
    <w:rsid w:val="006C3949"/>
    <w:rsid w:val="006C395D"/>
    <w:rsid w:val="006C3977"/>
    <w:rsid w:val="006C397D"/>
    <w:rsid w:val="006C397F"/>
    <w:rsid w:val="006C398C"/>
    <w:rsid w:val="006C39C8"/>
    <w:rsid w:val="006C3A2D"/>
    <w:rsid w:val="006C3A3A"/>
    <w:rsid w:val="006C3A99"/>
    <w:rsid w:val="006C3AD3"/>
    <w:rsid w:val="006C3B54"/>
    <w:rsid w:val="006C3B68"/>
    <w:rsid w:val="006C3BA5"/>
    <w:rsid w:val="006C3BDC"/>
    <w:rsid w:val="006C3C0D"/>
    <w:rsid w:val="006C3C93"/>
    <w:rsid w:val="006C3CB1"/>
    <w:rsid w:val="006C3CCF"/>
    <w:rsid w:val="006C3D64"/>
    <w:rsid w:val="006C3D87"/>
    <w:rsid w:val="006C3D8C"/>
    <w:rsid w:val="006C3DA1"/>
    <w:rsid w:val="006C3DF0"/>
    <w:rsid w:val="006C3E9D"/>
    <w:rsid w:val="006C3F1E"/>
    <w:rsid w:val="006C3F53"/>
    <w:rsid w:val="006C4048"/>
    <w:rsid w:val="006C4082"/>
    <w:rsid w:val="006C40EA"/>
    <w:rsid w:val="006C40EB"/>
    <w:rsid w:val="006C412B"/>
    <w:rsid w:val="006C4191"/>
    <w:rsid w:val="006C41DF"/>
    <w:rsid w:val="006C426C"/>
    <w:rsid w:val="006C42BC"/>
    <w:rsid w:val="006C42C0"/>
    <w:rsid w:val="006C42EF"/>
    <w:rsid w:val="006C435E"/>
    <w:rsid w:val="006C436F"/>
    <w:rsid w:val="006C4394"/>
    <w:rsid w:val="006C43D2"/>
    <w:rsid w:val="006C43DC"/>
    <w:rsid w:val="006C4422"/>
    <w:rsid w:val="006C4424"/>
    <w:rsid w:val="006C4489"/>
    <w:rsid w:val="006C44A5"/>
    <w:rsid w:val="006C44E8"/>
    <w:rsid w:val="006C44FB"/>
    <w:rsid w:val="006C45CF"/>
    <w:rsid w:val="006C4641"/>
    <w:rsid w:val="006C4695"/>
    <w:rsid w:val="006C46A1"/>
    <w:rsid w:val="006C46B0"/>
    <w:rsid w:val="006C46C4"/>
    <w:rsid w:val="006C47A7"/>
    <w:rsid w:val="006C4816"/>
    <w:rsid w:val="006C483A"/>
    <w:rsid w:val="006C487B"/>
    <w:rsid w:val="006C48D9"/>
    <w:rsid w:val="006C48DF"/>
    <w:rsid w:val="006C490D"/>
    <w:rsid w:val="006C4932"/>
    <w:rsid w:val="006C4957"/>
    <w:rsid w:val="006C4967"/>
    <w:rsid w:val="006C4980"/>
    <w:rsid w:val="006C4ACF"/>
    <w:rsid w:val="006C4B55"/>
    <w:rsid w:val="006C4B5A"/>
    <w:rsid w:val="006C4B9B"/>
    <w:rsid w:val="006C4BC1"/>
    <w:rsid w:val="006C4BE3"/>
    <w:rsid w:val="006C4BE4"/>
    <w:rsid w:val="006C4BE7"/>
    <w:rsid w:val="006C4C40"/>
    <w:rsid w:val="006C4C54"/>
    <w:rsid w:val="006C4CF0"/>
    <w:rsid w:val="006C4D1D"/>
    <w:rsid w:val="006C4D8B"/>
    <w:rsid w:val="006C4DCF"/>
    <w:rsid w:val="006C4E03"/>
    <w:rsid w:val="006C4E3D"/>
    <w:rsid w:val="006C4E57"/>
    <w:rsid w:val="006C4E93"/>
    <w:rsid w:val="006C4EA1"/>
    <w:rsid w:val="006C4F36"/>
    <w:rsid w:val="006C4F39"/>
    <w:rsid w:val="006C4FDA"/>
    <w:rsid w:val="006C5078"/>
    <w:rsid w:val="006C5154"/>
    <w:rsid w:val="006C5193"/>
    <w:rsid w:val="006C51CE"/>
    <w:rsid w:val="006C51D7"/>
    <w:rsid w:val="006C51DE"/>
    <w:rsid w:val="006C51F6"/>
    <w:rsid w:val="006C51FF"/>
    <w:rsid w:val="006C5224"/>
    <w:rsid w:val="006C5277"/>
    <w:rsid w:val="006C5288"/>
    <w:rsid w:val="006C529B"/>
    <w:rsid w:val="006C52A2"/>
    <w:rsid w:val="006C52B4"/>
    <w:rsid w:val="006C5311"/>
    <w:rsid w:val="006C5336"/>
    <w:rsid w:val="006C533B"/>
    <w:rsid w:val="006C5341"/>
    <w:rsid w:val="006C534E"/>
    <w:rsid w:val="006C53B4"/>
    <w:rsid w:val="006C53D4"/>
    <w:rsid w:val="006C53E1"/>
    <w:rsid w:val="006C5409"/>
    <w:rsid w:val="006C5428"/>
    <w:rsid w:val="006C542F"/>
    <w:rsid w:val="006C5436"/>
    <w:rsid w:val="006C543D"/>
    <w:rsid w:val="006C5455"/>
    <w:rsid w:val="006C5472"/>
    <w:rsid w:val="006C5493"/>
    <w:rsid w:val="006C54A5"/>
    <w:rsid w:val="006C55F4"/>
    <w:rsid w:val="006C55F8"/>
    <w:rsid w:val="006C5620"/>
    <w:rsid w:val="006C5625"/>
    <w:rsid w:val="006C5629"/>
    <w:rsid w:val="006C5635"/>
    <w:rsid w:val="006C5716"/>
    <w:rsid w:val="006C5721"/>
    <w:rsid w:val="006C572B"/>
    <w:rsid w:val="006C5734"/>
    <w:rsid w:val="006C5777"/>
    <w:rsid w:val="006C57A6"/>
    <w:rsid w:val="006C57B4"/>
    <w:rsid w:val="006C57D3"/>
    <w:rsid w:val="006C5813"/>
    <w:rsid w:val="006C5879"/>
    <w:rsid w:val="006C58CD"/>
    <w:rsid w:val="006C58DF"/>
    <w:rsid w:val="006C590E"/>
    <w:rsid w:val="006C590F"/>
    <w:rsid w:val="006C5933"/>
    <w:rsid w:val="006C59C3"/>
    <w:rsid w:val="006C59D2"/>
    <w:rsid w:val="006C59EB"/>
    <w:rsid w:val="006C59FD"/>
    <w:rsid w:val="006C5A64"/>
    <w:rsid w:val="006C5A94"/>
    <w:rsid w:val="006C5A9A"/>
    <w:rsid w:val="006C5A9E"/>
    <w:rsid w:val="006C5AAF"/>
    <w:rsid w:val="006C5AB4"/>
    <w:rsid w:val="006C5AC0"/>
    <w:rsid w:val="006C5AE1"/>
    <w:rsid w:val="006C5AF3"/>
    <w:rsid w:val="006C5B6C"/>
    <w:rsid w:val="006C5BE5"/>
    <w:rsid w:val="006C5BE9"/>
    <w:rsid w:val="006C5C15"/>
    <w:rsid w:val="006C5CC7"/>
    <w:rsid w:val="006C5CDE"/>
    <w:rsid w:val="006C5CEE"/>
    <w:rsid w:val="006C5D9A"/>
    <w:rsid w:val="006C5DA4"/>
    <w:rsid w:val="006C5DC8"/>
    <w:rsid w:val="006C5E34"/>
    <w:rsid w:val="006C5E7F"/>
    <w:rsid w:val="006C5EC4"/>
    <w:rsid w:val="006C5F71"/>
    <w:rsid w:val="006C5F7E"/>
    <w:rsid w:val="006C5FCA"/>
    <w:rsid w:val="006C5FEE"/>
    <w:rsid w:val="006C6037"/>
    <w:rsid w:val="006C603F"/>
    <w:rsid w:val="006C6086"/>
    <w:rsid w:val="006C60EA"/>
    <w:rsid w:val="006C613A"/>
    <w:rsid w:val="006C6146"/>
    <w:rsid w:val="006C6181"/>
    <w:rsid w:val="006C6198"/>
    <w:rsid w:val="006C61B4"/>
    <w:rsid w:val="006C61BE"/>
    <w:rsid w:val="006C61D7"/>
    <w:rsid w:val="006C6242"/>
    <w:rsid w:val="006C6248"/>
    <w:rsid w:val="006C6261"/>
    <w:rsid w:val="006C62B3"/>
    <w:rsid w:val="006C62E9"/>
    <w:rsid w:val="006C6333"/>
    <w:rsid w:val="006C63A4"/>
    <w:rsid w:val="006C644D"/>
    <w:rsid w:val="006C6466"/>
    <w:rsid w:val="006C64D8"/>
    <w:rsid w:val="006C64DC"/>
    <w:rsid w:val="006C653B"/>
    <w:rsid w:val="006C654B"/>
    <w:rsid w:val="006C6551"/>
    <w:rsid w:val="006C656B"/>
    <w:rsid w:val="006C657C"/>
    <w:rsid w:val="006C6586"/>
    <w:rsid w:val="006C65D1"/>
    <w:rsid w:val="006C6688"/>
    <w:rsid w:val="006C6689"/>
    <w:rsid w:val="006C673D"/>
    <w:rsid w:val="006C682D"/>
    <w:rsid w:val="006C6841"/>
    <w:rsid w:val="006C68A4"/>
    <w:rsid w:val="006C68AA"/>
    <w:rsid w:val="006C6970"/>
    <w:rsid w:val="006C69C7"/>
    <w:rsid w:val="006C69F8"/>
    <w:rsid w:val="006C6A31"/>
    <w:rsid w:val="006C6A77"/>
    <w:rsid w:val="006C6ADA"/>
    <w:rsid w:val="006C6AF1"/>
    <w:rsid w:val="006C6B11"/>
    <w:rsid w:val="006C6BBD"/>
    <w:rsid w:val="006C6BC1"/>
    <w:rsid w:val="006C6BD5"/>
    <w:rsid w:val="006C6BF9"/>
    <w:rsid w:val="006C6C2D"/>
    <w:rsid w:val="006C6C90"/>
    <w:rsid w:val="006C6D14"/>
    <w:rsid w:val="006C6D27"/>
    <w:rsid w:val="006C6D38"/>
    <w:rsid w:val="006C6D49"/>
    <w:rsid w:val="006C6D5F"/>
    <w:rsid w:val="006C6D6F"/>
    <w:rsid w:val="006C6DEA"/>
    <w:rsid w:val="006C6F24"/>
    <w:rsid w:val="006C6F28"/>
    <w:rsid w:val="006C6F48"/>
    <w:rsid w:val="006C6F97"/>
    <w:rsid w:val="006C6FD9"/>
    <w:rsid w:val="006C6FE8"/>
    <w:rsid w:val="006C6FFC"/>
    <w:rsid w:val="006C700F"/>
    <w:rsid w:val="006C7035"/>
    <w:rsid w:val="006C7098"/>
    <w:rsid w:val="006C70A3"/>
    <w:rsid w:val="006C715F"/>
    <w:rsid w:val="006C7173"/>
    <w:rsid w:val="006C71C6"/>
    <w:rsid w:val="006C71E3"/>
    <w:rsid w:val="006C721E"/>
    <w:rsid w:val="006C7347"/>
    <w:rsid w:val="006C734E"/>
    <w:rsid w:val="006C7386"/>
    <w:rsid w:val="006C7389"/>
    <w:rsid w:val="006C7392"/>
    <w:rsid w:val="006C73BD"/>
    <w:rsid w:val="006C73DA"/>
    <w:rsid w:val="006C7432"/>
    <w:rsid w:val="006C74B5"/>
    <w:rsid w:val="006C750A"/>
    <w:rsid w:val="006C751C"/>
    <w:rsid w:val="006C7573"/>
    <w:rsid w:val="006C757D"/>
    <w:rsid w:val="006C75AC"/>
    <w:rsid w:val="006C7605"/>
    <w:rsid w:val="006C7676"/>
    <w:rsid w:val="006C76C2"/>
    <w:rsid w:val="006C76E4"/>
    <w:rsid w:val="006C76FC"/>
    <w:rsid w:val="006C7704"/>
    <w:rsid w:val="006C7767"/>
    <w:rsid w:val="006C77ED"/>
    <w:rsid w:val="006C77F6"/>
    <w:rsid w:val="006C77FE"/>
    <w:rsid w:val="006C78AB"/>
    <w:rsid w:val="006C78BB"/>
    <w:rsid w:val="006C7900"/>
    <w:rsid w:val="006C790E"/>
    <w:rsid w:val="006C79B9"/>
    <w:rsid w:val="006C7A87"/>
    <w:rsid w:val="006C7B42"/>
    <w:rsid w:val="006C7B96"/>
    <w:rsid w:val="006C7BAB"/>
    <w:rsid w:val="006C7BAE"/>
    <w:rsid w:val="006C7BC0"/>
    <w:rsid w:val="006C7BE3"/>
    <w:rsid w:val="006C7C74"/>
    <w:rsid w:val="006C7C7F"/>
    <w:rsid w:val="006C7CBB"/>
    <w:rsid w:val="006C7D2E"/>
    <w:rsid w:val="006C7D5A"/>
    <w:rsid w:val="006C7D83"/>
    <w:rsid w:val="006C7D8E"/>
    <w:rsid w:val="006C7D92"/>
    <w:rsid w:val="006C7D95"/>
    <w:rsid w:val="006C7DA6"/>
    <w:rsid w:val="006C7E50"/>
    <w:rsid w:val="006C7E82"/>
    <w:rsid w:val="006C7E92"/>
    <w:rsid w:val="006C7E9D"/>
    <w:rsid w:val="006C7EB0"/>
    <w:rsid w:val="006C7F02"/>
    <w:rsid w:val="006C7F0C"/>
    <w:rsid w:val="006C7F3A"/>
    <w:rsid w:val="006D001C"/>
    <w:rsid w:val="006D0066"/>
    <w:rsid w:val="006D0082"/>
    <w:rsid w:val="006D008E"/>
    <w:rsid w:val="006D0095"/>
    <w:rsid w:val="006D00A6"/>
    <w:rsid w:val="006D010E"/>
    <w:rsid w:val="006D016C"/>
    <w:rsid w:val="006D0170"/>
    <w:rsid w:val="006D0185"/>
    <w:rsid w:val="006D0188"/>
    <w:rsid w:val="006D018B"/>
    <w:rsid w:val="006D01AD"/>
    <w:rsid w:val="006D01AF"/>
    <w:rsid w:val="006D01C0"/>
    <w:rsid w:val="006D02CD"/>
    <w:rsid w:val="006D038F"/>
    <w:rsid w:val="006D03CF"/>
    <w:rsid w:val="006D03EE"/>
    <w:rsid w:val="006D0435"/>
    <w:rsid w:val="006D0445"/>
    <w:rsid w:val="006D055C"/>
    <w:rsid w:val="006D05F5"/>
    <w:rsid w:val="006D0643"/>
    <w:rsid w:val="006D0655"/>
    <w:rsid w:val="006D06F1"/>
    <w:rsid w:val="006D077A"/>
    <w:rsid w:val="006D07AA"/>
    <w:rsid w:val="006D0811"/>
    <w:rsid w:val="006D0861"/>
    <w:rsid w:val="006D089A"/>
    <w:rsid w:val="006D0949"/>
    <w:rsid w:val="006D0953"/>
    <w:rsid w:val="006D0973"/>
    <w:rsid w:val="006D098A"/>
    <w:rsid w:val="006D09F9"/>
    <w:rsid w:val="006D0A34"/>
    <w:rsid w:val="006D0A6F"/>
    <w:rsid w:val="006D0A88"/>
    <w:rsid w:val="006D0A94"/>
    <w:rsid w:val="006D0A97"/>
    <w:rsid w:val="006D0BB9"/>
    <w:rsid w:val="006D0BE4"/>
    <w:rsid w:val="006D0C08"/>
    <w:rsid w:val="006D0C56"/>
    <w:rsid w:val="006D0C6D"/>
    <w:rsid w:val="006D0C8A"/>
    <w:rsid w:val="006D0CD1"/>
    <w:rsid w:val="006D0D29"/>
    <w:rsid w:val="006D0D8B"/>
    <w:rsid w:val="006D0DA4"/>
    <w:rsid w:val="006D0DCB"/>
    <w:rsid w:val="006D0DCC"/>
    <w:rsid w:val="006D0DDC"/>
    <w:rsid w:val="006D0DE1"/>
    <w:rsid w:val="006D0E5D"/>
    <w:rsid w:val="006D0E77"/>
    <w:rsid w:val="006D0E92"/>
    <w:rsid w:val="006D0EAA"/>
    <w:rsid w:val="006D0EEB"/>
    <w:rsid w:val="006D0F39"/>
    <w:rsid w:val="006D0F9D"/>
    <w:rsid w:val="006D0FAA"/>
    <w:rsid w:val="006D0FB8"/>
    <w:rsid w:val="006D0FBF"/>
    <w:rsid w:val="006D1007"/>
    <w:rsid w:val="006D1030"/>
    <w:rsid w:val="006D110C"/>
    <w:rsid w:val="006D1122"/>
    <w:rsid w:val="006D115D"/>
    <w:rsid w:val="006D11D9"/>
    <w:rsid w:val="006D11F5"/>
    <w:rsid w:val="006D1251"/>
    <w:rsid w:val="006D12B3"/>
    <w:rsid w:val="006D12BC"/>
    <w:rsid w:val="006D12D2"/>
    <w:rsid w:val="006D12EA"/>
    <w:rsid w:val="006D1330"/>
    <w:rsid w:val="006D1379"/>
    <w:rsid w:val="006D142A"/>
    <w:rsid w:val="006D1442"/>
    <w:rsid w:val="006D1496"/>
    <w:rsid w:val="006D149A"/>
    <w:rsid w:val="006D14CC"/>
    <w:rsid w:val="006D15E8"/>
    <w:rsid w:val="006D1604"/>
    <w:rsid w:val="006D1685"/>
    <w:rsid w:val="006D16D0"/>
    <w:rsid w:val="006D1700"/>
    <w:rsid w:val="006D1708"/>
    <w:rsid w:val="006D17B7"/>
    <w:rsid w:val="006D18DA"/>
    <w:rsid w:val="006D1918"/>
    <w:rsid w:val="006D1978"/>
    <w:rsid w:val="006D19AB"/>
    <w:rsid w:val="006D1A05"/>
    <w:rsid w:val="006D1A0B"/>
    <w:rsid w:val="006D1A16"/>
    <w:rsid w:val="006D1A56"/>
    <w:rsid w:val="006D1A5E"/>
    <w:rsid w:val="006D1A7C"/>
    <w:rsid w:val="006D1B1D"/>
    <w:rsid w:val="006D1B38"/>
    <w:rsid w:val="006D1B39"/>
    <w:rsid w:val="006D1B42"/>
    <w:rsid w:val="006D1B6F"/>
    <w:rsid w:val="006D1B76"/>
    <w:rsid w:val="006D1BA1"/>
    <w:rsid w:val="006D1BE8"/>
    <w:rsid w:val="006D1C44"/>
    <w:rsid w:val="006D1C70"/>
    <w:rsid w:val="006D1D13"/>
    <w:rsid w:val="006D1D32"/>
    <w:rsid w:val="006D1D5D"/>
    <w:rsid w:val="006D1D79"/>
    <w:rsid w:val="006D1DA6"/>
    <w:rsid w:val="006D1DEF"/>
    <w:rsid w:val="006D1E1D"/>
    <w:rsid w:val="006D1E4B"/>
    <w:rsid w:val="006D1E8A"/>
    <w:rsid w:val="006D1EC5"/>
    <w:rsid w:val="006D1F12"/>
    <w:rsid w:val="006D1F65"/>
    <w:rsid w:val="006D1F66"/>
    <w:rsid w:val="006D1F9D"/>
    <w:rsid w:val="006D1FC3"/>
    <w:rsid w:val="006D1FF1"/>
    <w:rsid w:val="006D2062"/>
    <w:rsid w:val="006D2066"/>
    <w:rsid w:val="006D20C9"/>
    <w:rsid w:val="006D213F"/>
    <w:rsid w:val="006D214D"/>
    <w:rsid w:val="006D2157"/>
    <w:rsid w:val="006D2159"/>
    <w:rsid w:val="006D215E"/>
    <w:rsid w:val="006D2173"/>
    <w:rsid w:val="006D21EC"/>
    <w:rsid w:val="006D2250"/>
    <w:rsid w:val="006D2278"/>
    <w:rsid w:val="006D22F9"/>
    <w:rsid w:val="006D233A"/>
    <w:rsid w:val="006D2348"/>
    <w:rsid w:val="006D2376"/>
    <w:rsid w:val="006D23BA"/>
    <w:rsid w:val="006D23C9"/>
    <w:rsid w:val="006D23E5"/>
    <w:rsid w:val="006D2426"/>
    <w:rsid w:val="006D24FB"/>
    <w:rsid w:val="006D256E"/>
    <w:rsid w:val="006D2576"/>
    <w:rsid w:val="006D2591"/>
    <w:rsid w:val="006D259A"/>
    <w:rsid w:val="006D25C5"/>
    <w:rsid w:val="006D2673"/>
    <w:rsid w:val="006D2721"/>
    <w:rsid w:val="006D27FB"/>
    <w:rsid w:val="006D2842"/>
    <w:rsid w:val="006D2878"/>
    <w:rsid w:val="006D28DC"/>
    <w:rsid w:val="006D291A"/>
    <w:rsid w:val="006D298F"/>
    <w:rsid w:val="006D29B9"/>
    <w:rsid w:val="006D2A30"/>
    <w:rsid w:val="006D2A34"/>
    <w:rsid w:val="006D2A43"/>
    <w:rsid w:val="006D2A60"/>
    <w:rsid w:val="006D2AFA"/>
    <w:rsid w:val="006D2B13"/>
    <w:rsid w:val="006D2C0F"/>
    <w:rsid w:val="006D2C3F"/>
    <w:rsid w:val="006D2C88"/>
    <w:rsid w:val="006D2C95"/>
    <w:rsid w:val="006D2CA3"/>
    <w:rsid w:val="006D2CBF"/>
    <w:rsid w:val="006D2CD4"/>
    <w:rsid w:val="006D2CEE"/>
    <w:rsid w:val="006D2DE9"/>
    <w:rsid w:val="006D2E00"/>
    <w:rsid w:val="006D2E50"/>
    <w:rsid w:val="006D2EB1"/>
    <w:rsid w:val="006D2EE7"/>
    <w:rsid w:val="006D2EE8"/>
    <w:rsid w:val="006D2EED"/>
    <w:rsid w:val="006D2FD6"/>
    <w:rsid w:val="006D3047"/>
    <w:rsid w:val="006D30E4"/>
    <w:rsid w:val="006D3106"/>
    <w:rsid w:val="006D3129"/>
    <w:rsid w:val="006D312F"/>
    <w:rsid w:val="006D31CE"/>
    <w:rsid w:val="006D325B"/>
    <w:rsid w:val="006D333C"/>
    <w:rsid w:val="006D33A8"/>
    <w:rsid w:val="006D3495"/>
    <w:rsid w:val="006D34BE"/>
    <w:rsid w:val="006D350C"/>
    <w:rsid w:val="006D354D"/>
    <w:rsid w:val="006D35DF"/>
    <w:rsid w:val="006D35E6"/>
    <w:rsid w:val="006D3644"/>
    <w:rsid w:val="006D3656"/>
    <w:rsid w:val="006D3678"/>
    <w:rsid w:val="006D36A6"/>
    <w:rsid w:val="006D36BE"/>
    <w:rsid w:val="006D36D1"/>
    <w:rsid w:val="006D36FC"/>
    <w:rsid w:val="006D36FD"/>
    <w:rsid w:val="006D37A3"/>
    <w:rsid w:val="006D37E4"/>
    <w:rsid w:val="006D37EB"/>
    <w:rsid w:val="006D37F5"/>
    <w:rsid w:val="006D3831"/>
    <w:rsid w:val="006D383D"/>
    <w:rsid w:val="006D3867"/>
    <w:rsid w:val="006D3876"/>
    <w:rsid w:val="006D38A0"/>
    <w:rsid w:val="006D38D0"/>
    <w:rsid w:val="006D3A22"/>
    <w:rsid w:val="006D3A67"/>
    <w:rsid w:val="006D3AA0"/>
    <w:rsid w:val="006D3AE3"/>
    <w:rsid w:val="006D3B0E"/>
    <w:rsid w:val="006D3B26"/>
    <w:rsid w:val="006D3B53"/>
    <w:rsid w:val="006D3BCE"/>
    <w:rsid w:val="006D3C91"/>
    <w:rsid w:val="006D3CBD"/>
    <w:rsid w:val="006D3D52"/>
    <w:rsid w:val="006D3DA4"/>
    <w:rsid w:val="006D3DA5"/>
    <w:rsid w:val="006D3E0B"/>
    <w:rsid w:val="006D3E4F"/>
    <w:rsid w:val="006D3E5C"/>
    <w:rsid w:val="006D3E60"/>
    <w:rsid w:val="006D3E7B"/>
    <w:rsid w:val="006D3F3B"/>
    <w:rsid w:val="006D3F3C"/>
    <w:rsid w:val="006D3FE7"/>
    <w:rsid w:val="006D4065"/>
    <w:rsid w:val="006D4166"/>
    <w:rsid w:val="006D41B6"/>
    <w:rsid w:val="006D41D0"/>
    <w:rsid w:val="006D4232"/>
    <w:rsid w:val="006D4282"/>
    <w:rsid w:val="006D4283"/>
    <w:rsid w:val="006D428A"/>
    <w:rsid w:val="006D4336"/>
    <w:rsid w:val="006D433D"/>
    <w:rsid w:val="006D433E"/>
    <w:rsid w:val="006D4379"/>
    <w:rsid w:val="006D43AC"/>
    <w:rsid w:val="006D4415"/>
    <w:rsid w:val="006D4446"/>
    <w:rsid w:val="006D447C"/>
    <w:rsid w:val="006D44C8"/>
    <w:rsid w:val="006D44FF"/>
    <w:rsid w:val="006D4556"/>
    <w:rsid w:val="006D457D"/>
    <w:rsid w:val="006D4624"/>
    <w:rsid w:val="006D4687"/>
    <w:rsid w:val="006D46B2"/>
    <w:rsid w:val="006D46B4"/>
    <w:rsid w:val="006D46D8"/>
    <w:rsid w:val="006D4737"/>
    <w:rsid w:val="006D4739"/>
    <w:rsid w:val="006D47A3"/>
    <w:rsid w:val="006D47B8"/>
    <w:rsid w:val="006D481E"/>
    <w:rsid w:val="006D4884"/>
    <w:rsid w:val="006D4889"/>
    <w:rsid w:val="006D4907"/>
    <w:rsid w:val="006D49CF"/>
    <w:rsid w:val="006D4A94"/>
    <w:rsid w:val="006D4AEF"/>
    <w:rsid w:val="006D4B5E"/>
    <w:rsid w:val="006D4B8A"/>
    <w:rsid w:val="006D4B93"/>
    <w:rsid w:val="006D4BA4"/>
    <w:rsid w:val="006D4BE6"/>
    <w:rsid w:val="006D4BFC"/>
    <w:rsid w:val="006D4C20"/>
    <w:rsid w:val="006D4C28"/>
    <w:rsid w:val="006D4C34"/>
    <w:rsid w:val="006D4C6B"/>
    <w:rsid w:val="006D4C81"/>
    <w:rsid w:val="006D4D32"/>
    <w:rsid w:val="006D4D43"/>
    <w:rsid w:val="006D4D6B"/>
    <w:rsid w:val="006D4D7B"/>
    <w:rsid w:val="006D4DA7"/>
    <w:rsid w:val="006D4DBC"/>
    <w:rsid w:val="006D4E4F"/>
    <w:rsid w:val="006D4E9F"/>
    <w:rsid w:val="006D4EA8"/>
    <w:rsid w:val="006D4EAD"/>
    <w:rsid w:val="006D4F66"/>
    <w:rsid w:val="006D4FAD"/>
    <w:rsid w:val="006D4FCA"/>
    <w:rsid w:val="006D500D"/>
    <w:rsid w:val="006D506A"/>
    <w:rsid w:val="006D5104"/>
    <w:rsid w:val="006D5184"/>
    <w:rsid w:val="006D5192"/>
    <w:rsid w:val="006D519C"/>
    <w:rsid w:val="006D51A8"/>
    <w:rsid w:val="006D51C1"/>
    <w:rsid w:val="006D5233"/>
    <w:rsid w:val="006D524C"/>
    <w:rsid w:val="006D52BF"/>
    <w:rsid w:val="006D52C4"/>
    <w:rsid w:val="006D5302"/>
    <w:rsid w:val="006D53C0"/>
    <w:rsid w:val="006D53DF"/>
    <w:rsid w:val="006D53F1"/>
    <w:rsid w:val="006D5424"/>
    <w:rsid w:val="006D5518"/>
    <w:rsid w:val="006D551D"/>
    <w:rsid w:val="006D5547"/>
    <w:rsid w:val="006D557B"/>
    <w:rsid w:val="006D55A6"/>
    <w:rsid w:val="006D5628"/>
    <w:rsid w:val="006D5698"/>
    <w:rsid w:val="006D570F"/>
    <w:rsid w:val="006D5724"/>
    <w:rsid w:val="006D57DA"/>
    <w:rsid w:val="006D57FD"/>
    <w:rsid w:val="006D586C"/>
    <w:rsid w:val="006D586D"/>
    <w:rsid w:val="006D589B"/>
    <w:rsid w:val="006D58B7"/>
    <w:rsid w:val="006D58C5"/>
    <w:rsid w:val="006D58CD"/>
    <w:rsid w:val="006D58D7"/>
    <w:rsid w:val="006D5962"/>
    <w:rsid w:val="006D597A"/>
    <w:rsid w:val="006D5989"/>
    <w:rsid w:val="006D59C1"/>
    <w:rsid w:val="006D59E1"/>
    <w:rsid w:val="006D5A38"/>
    <w:rsid w:val="006D5A55"/>
    <w:rsid w:val="006D5A8A"/>
    <w:rsid w:val="006D5AB9"/>
    <w:rsid w:val="006D5B3A"/>
    <w:rsid w:val="006D5B6A"/>
    <w:rsid w:val="006D5B99"/>
    <w:rsid w:val="006D5BA2"/>
    <w:rsid w:val="006D5BC0"/>
    <w:rsid w:val="006D5C6A"/>
    <w:rsid w:val="006D5CB3"/>
    <w:rsid w:val="006D5CBB"/>
    <w:rsid w:val="006D5D41"/>
    <w:rsid w:val="006D5DC7"/>
    <w:rsid w:val="006D5DCB"/>
    <w:rsid w:val="006D5E58"/>
    <w:rsid w:val="006D5E8A"/>
    <w:rsid w:val="006D5E8F"/>
    <w:rsid w:val="006D5F67"/>
    <w:rsid w:val="006D5FE8"/>
    <w:rsid w:val="006D5FFE"/>
    <w:rsid w:val="006D604C"/>
    <w:rsid w:val="006D605C"/>
    <w:rsid w:val="006D60A1"/>
    <w:rsid w:val="006D60A4"/>
    <w:rsid w:val="006D60BD"/>
    <w:rsid w:val="006D60F8"/>
    <w:rsid w:val="006D610F"/>
    <w:rsid w:val="006D6157"/>
    <w:rsid w:val="006D6196"/>
    <w:rsid w:val="006D61D4"/>
    <w:rsid w:val="006D61E9"/>
    <w:rsid w:val="006D6235"/>
    <w:rsid w:val="006D6243"/>
    <w:rsid w:val="006D6271"/>
    <w:rsid w:val="006D628C"/>
    <w:rsid w:val="006D62A5"/>
    <w:rsid w:val="006D6317"/>
    <w:rsid w:val="006D63B7"/>
    <w:rsid w:val="006D63CE"/>
    <w:rsid w:val="006D6418"/>
    <w:rsid w:val="006D6443"/>
    <w:rsid w:val="006D6521"/>
    <w:rsid w:val="006D657D"/>
    <w:rsid w:val="006D659A"/>
    <w:rsid w:val="006D6600"/>
    <w:rsid w:val="006D6611"/>
    <w:rsid w:val="006D664A"/>
    <w:rsid w:val="006D664D"/>
    <w:rsid w:val="006D6653"/>
    <w:rsid w:val="006D666F"/>
    <w:rsid w:val="006D66B3"/>
    <w:rsid w:val="006D66B8"/>
    <w:rsid w:val="006D673E"/>
    <w:rsid w:val="006D6744"/>
    <w:rsid w:val="006D67DB"/>
    <w:rsid w:val="006D67FF"/>
    <w:rsid w:val="006D683C"/>
    <w:rsid w:val="006D691A"/>
    <w:rsid w:val="006D694E"/>
    <w:rsid w:val="006D6972"/>
    <w:rsid w:val="006D6973"/>
    <w:rsid w:val="006D69D3"/>
    <w:rsid w:val="006D69F0"/>
    <w:rsid w:val="006D6A2D"/>
    <w:rsid w:val="006D6A6A"/>
    <w:rsid w:val="006D6AAB"/>
    <w:rsid w:val="006D6ACD"/>
    <w:rsid w:val="006D6AD5"/>
    <w:rsid w:val="006D6B04"/>
    <w:rsid w:val="006D6BE5"/>
    <w:rsid w:val="006D6C0A"/>
    <w:rsid w:val="006D6C27"/>
    <w:rsid w:val="006D6C59"/>
    <w:rsid w:val="006D6C5F"/>
    <w:rsid w:val="006D6C7E"/>
    <w:rsid w:val="006D6C9A"/>
    <w:rsid w:val="006D6CC8"/>
    <w:rsid w:val="006D6D6C"/>
    <w:rsid w:val="006D6D73"/>
    <w:rsid w:val="006D6D9F"/>
    <w:rsid w:val="006D6DC8"/>
    <w:rsid w:val="006D6E12"/>
    <w:rsid w:val="006D6E26"/>
    <w:rsid w:val="006D6E2F"/>
    <w:rsid w:val="006D6E45"/>
    <w:rsid w:val="006D6E63"/>
    <w:rsid w:val="006D6EA2"/>
    <w:rsid w:val="006D6EDE"/>
    <w:rsid w:val="006D6EE2"/>
    <w:rsid w:val="006D6F64"/>
    <w:rsid w:val="006D6F72"/>
    <w:rsid w:val="006D6F80"/>
    <w:rsid w:val="006D6FAB"/>
    <w:rsid w:val="006D6FFE"/>
    <w:rsid w:val="006D705B"/>
    <w:rsid w:val="006D706C"/>
    <w:rsid w:val="006D70A3"/>
    <w:rsid w:val="006D70AB"/>
    <w:rsid w:val="006D7111"/>
    <w:rsid w:val="006D7153"/>
    <w:rsid w:val="006D7173"/>
    <w:rsid w:val="006D71A4"/>
    <w:rsid w:val="006D71C5"/>
    <w:rsid w:val="006D71FD"/>
    <w:rsid w:val="006D7203"/>
    <w:rsid w:val="006D723E"/>
    <w:rsid w:val="006D7243"/>
    <w:rsid w:val="006D7295"/>
    <w:rsid w:val="006D7298"/>
    <w:rsid w:val="006D729E"/>
    <w:rsid w:val="006D72D5"/>
    <w:rsid w:val="006D733F"/>
    <w:rsid w:val="006D734C"/>
    <w:rsid w:val="006D738F"/>
    <w:rsid w:val="006D73EF"/>
    <w:rsid w:val="006D740B"/>
    <w:rsid w:val="006D7426"/>
    <w:rsid w:val="006D7433"/>
    <w:rsid w:val="006D747A"/>
    <w:rsid w:val="006D7515"/>
    <w:rsid w:val="006D751E"/>
    <w:rsid w:val="006D757F"/>
    <w:rsid w:val="006D75B9"/>
    <w:rsid w:val="006D766B"/>
    <w:rsid w:val="006D76A3"/>
    <w:rsid w:val="006D76C1"/>
    <w:rsid w:val="006D76E8"/>
    <w:rsid w:val="006D76EA"/>
    <w:rsid w:val="006D76FE"/>
    <w:rsid w:val="006D7707"/>
    <w:rsid w:val="006D7730"/>
    <w:rsid w:val="006D77B6"/>
    <w:rsid w:val="006D7821"/>
    <w:rsid w:val="006D7859"/>
    <w:rsid w:val="006D78D4"/>
    <w:rsid w:val="006D7920"/>
    <w:rsid w:val="006D7929"/>
    <w:rsid w:val="006D7957"/>
    <w:rsid w:val="006D796C"/>
    <w:rsid w:val="006D79B8"/>
    <w:rsid w:val="006D79DD"/>
    <w:rsid w:val="006D79E6"/>
    <w:rsid w:val="006D7A62"/>
    <w:rsid w:val="006D7A66"/>
    <w:rsid w:val="006D7B55"/>
    <w:rsid w:val="006D7C28"/>
    <w:rsid w:val="006D7C62"/>
    <w:rsid w:val="006D7CBB"/>
    <w:rsid w:val="006D7CC6"/>
    <w:rsid w:val="006D7DA6"/>
    <w:rsid w:val="006D7E3B"/>
    <w:rsid w:val="006D7E69"/>
    <w:rsid w:val="006D7E8C"/>
    <w:rsid w:val="006D7EAE"/>
    <w:rsid w:val="006D7EE8"/>
    <w:rsid w:val="006D7F3B"/>
    <w:rsid w:val="006D7FA9"/>
    <w:rsid w:val="006D7FD1"/>
    <w:rsid w:val="006D7FD8"/>
    <w:rsid w:val="006DD6FE"/>
    <w:rsid w:val="006E003C"/>
    <w:rsid w:val="006E0075"/>
    <w:rsid w:val="006E0096"/>
    <w:rsid w:val="006E00C6"/>
    <w:rsid w:val="006E013E"/>
    <w:rsid w:val="006E0149"/>
    <w:rsid w:val="006E0166"/>
    <w:rsid w:val="006E0170"/>
    <w:rsid w:val="006E01CC"/>
    <w:rsid w:val="006E0210"/>
    <w:rsid w:val="006E02AB"/>
    <w:rsid w:val="006E02D1"/>
    <w:rsid w:val="006E02ED"/>
    <w:rsid w:val="006E0309"/>
    <w:rsid w:val="006E0344"/>
    <w:rsid w:val="006E0350"/>
    <w:rsid w:val="006E0377"/>
    <w:rsid w:val="006E0378"/>
    <w:rsid w:val="006E0390"/>
    <w:rsid w:val="006E0416"/>
    <w:rsid w:val="006E0462"/>
    <w:rsid w:val="006E048F"/>
    <w:rsid w:val="006E04C8"/>
    <w:rsid w:val="006E04D2"/>
    <w:rsid w:val="006E04F6"/>
    <w:rsid w:val="006E059E"/>
    <w:rsid w:val="006E05D4"/>
    <w:rsid w:val="006E05FD"/>
    <w:rsid w:val="006E060D"/>
    <w:rsid w:val="006E0624"/>
    <w:rsid w:val="006E06FF"/>
    <w:rsid w:val="006E0757"/>
    <w:rsid w:val="006E0769"/>
    <w:rsid w:val="006E0773"/>
    <w:rsid w:val="006E079F"/>
    <w:rsid w:val="006E07C0"/>
    <w:rsid w:val="006E07FA"/>
    <w:rsid w:val="006E0804"/>
    <w:rsid w:val="006E0828"/>
    <w:rsid w:val="006E0858"/>
    <w:rsid w:val="006E085F"/>
    <w:rsid w:val="006E089D"/>
    <w:rsid w:val="006E08BC"/>
    <w:rsid w:val="006E08DB"/>
    <w:rsid w:val="006E090E"/>
    <w:rsid w:val="006E0922"/>
    <w:rsid w:val="006E0936"/>
    <w:rsid w:val="006E099F"/>
    <w:rsid w:val="006E0A0E"/>
    <w:rsid w:val="006E0AB8"/>
    <w:rsid w:val="006E0B47"/>
    <w:rsid w:val="006E0B54"/>
    <w:rsid w:val="006E0B74"/>
    <w:rsid w:val="006E0B8A"/>
    <w:rsid w:val="006E0BA9"/>
    <w:rsid w:val="006E0C18"/>
    <w:rsid w:val="006E0C19"/>
    <w:rsid w:val="006E0CC5"/>
    <w:rsid w:val="006E0CFA"/>
    <w:rsid w:val="006E0D16"/>
    <w:rsid w:val="006E0D24"/>
    <w:rsid w:val="006E0D34"/>
    <w:rsid w:val="006E0D75"/>
    <w:rsid w:val="006E0DC2"/>
    <w:rsid w:val="006E0DF9"/>
    <w:rsid w:val="006E0E28"/>
    <w:rsid w:val="006E0E79"/>
    <w:rsid w:val="006E0EEF"/>
    <w:rsid w:val="006E0EF2"/>
    <w:rsid w:val="006E0F19"/>
    <w:rsid w:val="006E0F57"/>
    <w:rsid w:val="006E0FD7"/>
    <w:rsid w:val="006E0FF5"/>
    <w:rsid w:val="006E100C"/>
    <w:rsid w:val="006E103C"/>
    <w:rsid w:val="006E1067"/>
    <w:rsid w:val="006E108C"/>
    <w:rsid w:val="006E10F9"/>
    <w:rsid w:val="006E115E"/>
    <w:rsid w:val="006E1180"/>
    <w:rsid w:val="006E118A"/>
    <w:rsid w:val="006E1193"/>
    <w:rsid w:val="006E11A2"/>
    <w:rsid w:val="006E11AD"/>
    <w:rsid w:val="006E11CB"/>
    <w:rsid w:val="006E11DD"/>
    <w:rsid w:val="006E12B4"/>
    <w:rsid w:val="006E1325"/>
    <w:rsid w:val="006E135B"/>
    <w:rsid w:val="006E136E"/>
    <w:rsid w:val="006E1392"/>
    <w:rsid w:val="006E13A7"/>
    <w:rsid w:val="006E13BB"/>
    <w:rsid w:val="006E13EB"/>
    <w:rsid w:val="006E13F8"/>
    <w:rsid w:val="006E1422"/>
    <w:rsid w:val="006E1425"/>
    <w:rsid w:val="006E14B3"/>
    <w:rsid w:val="006E14DD"/>
    <w:rsid w:val="006E155F"/>
    <w:rsid w:val="006E15A5"/>
    <w:rsid w:val="006E15CD"/>
    <w:rsid w:val="006E15E2"/>
    <w:rsid w:val="006E161A"/>
    <w:rsid w:val="006E161F"/>
    <w:rsid w:val="006E1620"/>
    <w:rsid w:val="006E164C"/>
    <w:rsid w:val="006E1671"/>
    <w:rsid w:val="006E16A3"/>
    <w:rsid w:val="006E16B9"/>
    <w:rsid w:val="006E173E"/>
    <w:rsid w:val="006E178A"/>
    <w:rsid w:val="006E1790"/>
    <w:rsid w:val="006E1793"/>
    <w:rsid w:val="006E1798"/>
    <w:rsid w:val="006E1799"/>
    <w:rsid w:val="006E1873"/>
    <w:rsid w:val="006E18BB"/>
    <w:rsid w:val="006E18F7"/>
    <w:rsid w:val="006E1922"/>
    <w:rsid w:val="006E1984"/>
    <w:rsid w:val="006E198C"/>
    <w:rsid w:val="006E19E5"/>
    <w:rsid w:val="006E1BC8"/>
    <w:rsid w:val="006E1BCD"/>
    <w:rsid w:val="006E1BDF"/>
    <w:rsid w:val="006E1C3B"/>
    <w:rsid w:val="006E1C60"/>
    <w:rsid w:val="006E1C6F"/>
    <w:rsid w:val="006E1D1B"/>
    <w:rsid w:val="006E1D1F"/>
    <w:rsid w:val="006E1D4E"/>
    <w:rsid w:val="006E1D8C"/>
    <w:rsid w:val="006E1E1F"/>
    <w:rsid w:val="006E1EA8"/>
    <w:rsid w:val="006E1EDB"/>
    <w:rsid w:val="006E1F5E"/>
    <w:rsid w:val="006E1F93"/>
    <w:rsid w:val="006E1FA0"/>
    <w:rsid w:val="006E1FD7"/>
    <w:rsid w:val="006E206E"/>
    <w:rsid w:val="006E2074"/>
    <w:rsid w:val="006E2088"/>
    <w:rsid w:val="006E20A6"/>
    <w:rsid w:val="006E20CD"/>
    <w:rsid w:val="006E20ED"/>
    <w:rsid w:val="006E211F"/>
    <w:rsid w:val="006E212C"/>
    <w:rsid w:val="006E2148"/>
    <w:rsid w:val="006E217B"/>
    <w:rsid w:val="006E2195"/>
    <w:rsid w:val="006E21FD"/>
    <w:rsid w:val="006E2219"/>
    <w:rsid w:val="006E225D"/>
    <w:rsid w:val="006E2272"/>
    <w:rsid w:val="006E2296"/>
    <w:rsid w:val="006E22C6"/>
    <w:rsid w:val="006E22F4"/>
    <w:rsid w:val="006E2305"/>
    <w:rsid w:val="006E2307"/>
    <w:rsid w:val="006E231B"/>
    <w:rsid w:val="006E2330"/>
    <w:rsid w:val="006E233A"/>
    <w:rsid w:val="006E237A"/>
    <w:rsid w:val="006E23CD"/>
    <w:rsid w:val="006E23E4"/>
    <w:rsid w:val="006E246E"/>
    <w:rsid w:val="006E249D"/>
    <w:rsid w:val="006E24CA"/>
    <w:rsid w:val="006E2510"/>
    <w:rsid w:val="006E2554"/>
    <w:rsid w:val="006E25FA"/>
    <w:rsid w:val="006E260B"/>
    <w:rsid w:val="006E2612"/>
    <w:rsid w:val="006E273B"/>
    <w:rsid w:val="006E2777"/>
    <w:rsid w:val="006E27D9"/>
    <w:rsid w:val="006E27F8"/>
    <w:rsid w:val="006E27F9"/>
    <w:rsid w:val="006E2886"/>
    <w:rsid w:val="006E28BF"/>
    <w:rsid w:val="006E2989"/>
    <w:rsid w:val="006E299A"/>
    <w:rsid w:val="006E29DD"/>
    <w:rsid w:val="006E2A92"/>
    <w:rsid w:val="006E2AC8"/>
    <w:rsid w:val="006E2AFA"/>
    <w:rsid w:val="006E2B42"/>
    <w:rsid w:val="006E2B9E"/>
    <w:rsid w:val="006E2BAB"/>
    <w:rsid w:val="006E2BE0"/>
    <w:rsid w:val="006E2BFB"/>
    <w:rsid w:val="006E2C70"/>
    <w:rsid w:val="006E2CB0"/>
    <w:rsid w:val="006E2D1B"/>
    <w:rsid w:val="006E2D80"/>
    <w:rsid w:val="006E2DA1"/>
    <w:rsid w:val="006E2E0F"/>
    <w:rsid w:val="006E2E4D"/>
    <w:rsid w:val="006E2E62"/>
    <w:rsid w:val="006E2EAE"/>
    <w:rsid w:val="006E2EBA"/>
    <w:rsid w:val="006E2EBB"/>
    <w:rsid w:val="006E2EC2"/>
    <w:rsid w:val="006E2EE0"/>
    <w:rsid w:val="006E2EE9"/>
    <w:rsid w:val="006E2F01"/>
    <w:rsid w:val="006E2F21"/>
    <w:rsid w:val="006E2F39"/>
    <w:rsid w:val="006E2F3A"/>
    <w:rsid w:val="006E2F6B"/>
    <w:rsid w:val="006E2F70"/>
    <w:rsid w:val="006E2F9E"/>
    <w:rsid w:val="006E2FA0"/>
    <w:rsid w:val="006E2FDC"/>
    <w:rsid w:val="006E2FF4"/>
    <w:rsid w:val="006E3085"/>
    <w:rsid w:val="006E30C0"/>
    <w:rsid w:val="006E30D9"/>
    <w:rsid w:val="006E3126"/>
    <w:rsid w:val="006E3150"/>
    <w:rsid w:val="006E3156"/>
    <w:rsid w:val="006E319B"/>
    <w:rsid w:val="006E31A0"/>
    <w:rsid w:val="006E31D2"/>
    <w:rsid w:val="006E31D8"/>
    <w:rsid w:val="006E3249"/>
    <w:rsid w:val="006E32B5"/>
    <w:rsid w:val="006E32DA"/>
    <w:rsid w:val="006E3318"/>
    <w:rsid w:val="006E3358"/>
    <w:rsid w:val="006E3385"/>
    <w:rsid w:val="006E33A2"/>
    <w:rsid w:val="006E33CD"/>
    <w:rsid w:val="006E33E6"/>
    <w:rsid w:val="006E340B"/>
    <w:rsid w:val="006E349E"/>
    <w:rsid w:val="006E34B4"/>
    <w:rsid w:val="006E350E"/>
    <w:rsid w:val="006E3522"/>
    <w:rsid w:val="006E3577"/>
    <w:rsid w:val="006E362F"/>
    <w:rsid w:val="006E3648"/>
    <w:rsid w:val="006E3682"/>
    <w:rsid w:val="006E36F2"/>
    <w:rsid w:val="006E370A"/>
    <w:rsid w:val="006E370B"/>
    <w:rsid w:val="006E3713"/>
    <w:rsid w:val="006E374C"/>
    <w:rsid w:val="006E3777"/>
    <w:rsid w:val="006E3798"/>
    <w:rsid w:val="006E37D2"/>
    <w:rsid w:val="006E37DA"/>
    <w:rsid w:val="006E37E0"/>
    <w:rsid w:val="006E3800"/>
    <w:rsid w:val="006E3914"/>
    <w:rsid w:val="006E397D"/>
    <w:rsid w:val="006E3993"/>
    <w:rsid w:val="006E39F5"/>
    <w:rsid w:val="006E3A5F"/>
    <w:rsid w:val="006E3A7E"/>
    <w:rsid w:val="006E3ACC"/>
    <w:rsid w:val="006E3AD8"/>
    <w:rsid w:val="006E3B23"/>
    <w:rsid w:val="006E3B38"/>
    <w:rsid w:val="006E3B63"/>
    <w:rsid w:val="006E3B70"/>
    <w:rsid w:val="006E3B87"/>
    <w:rsid w:val="006E3BBC"/>
    <w:rsid w:val="006E3BEA"/>
    <w:rsid w:val="006E3BEF"/>
    <w:rsid w:val="006E3C2F"/>
    <w:rsid w:val="006E3C55"/>
    <w:rsid w:val="006E3C65"/>
    <w:rsid w:val="006E3CA1"/>
    <w:rsid w:val="006E3CB1"/>
    <w:rsid w:val="006E3CD9"/>
    <w:rsid w:val="006E3CE4"/>
    <w:rsid w:val="006E3D26"/>
    <w:rsid w:val="006E3D32"/>
    <w:rsid w:val="006E3D43"/>
    <w:rsid w:val="006E3D66"/>
    <w:rsid w:val="006E3DEF"/>
    <w:rsid w:val="006E3E24"/>
    <w:rsid w:val="006E3E62"/>
    <w:rsid w:val="006E3E6F"/>
    <w:rsid w:val="006E3F6D"/>
    <w:rsid w:val="006E3F80"/>
    <w:rsid w:val="006E3F81"/>
    <w:rsid w:val="006E3FAD"/>
    <w:rsid w:val="006E4038"/>
    <w:rsid w:val="006E404D"/>
    <w:rsid w:val="006E406D"/>
    <w:rsid w:val="006E4104"/>
    <w:rsid w:val="006E4173"/>
    <w:rsid w:val="006E418C"/>
    <w:rsid w:val="006E423D"/>
    <w:rsid w:val="006E4256"/>
    <w:rsid w:val="006E4276"/>
    <w:rsid w:val="006E42B7"/>
    <w:rsid w:val="006E42F0"/>
    <w:rsid w:val="006E4309"/>
    <w:rsid w:val="006E4365"/>
    <w:rsid w:val="006E4371"/>
    <w:rsid w:val="006E43A3"/>
    <w:rsid w:val="006E43DC"/>
    <w:rsid w:val="006E43DD"/>
    <w:rsid w:val="006E4454"/>
    <w:rsid w:val="006E4459"/>
    <w:rsid w:val="006E445B"/>
    <w:rsid w:val="006E448D"/>
    <w:rsid w:val="006E4504"/>
    <w:rsid w:val="006E45B9"/>
    <w:rsid w:val="006E466B"/>
    <w:rsid w:val="006E468C"/>
    <w:rsid w:val="006E46C2"/>
    <w:rsid w:val="006E46C3"/>
    <w:rsid w:val="006E4705"/>
    <w:rsid w:val="006E471B"/>
    <w:rsid w:val="006E4773"/>
    <w:rsid w:val="006E4841"/>
    <w:rsid w:val="006E486B"/>
    <w:rsid w:val="006E4896"/>
    <w:rsid w:val="006E489E"/>
    <w:rsid w:val="006E48C5"/>
    <w:rsid w:val="006E48C9"/>
    <w:rsid w:val="006E48CE"/>
    <w:rsid w:val="006E48E2"/>
    <w:rsid w:val="006E4916"/>
    <w:rsid w:val="006E4A1D"/>
    <w:rsid w:val="006E4A44"/>
    <w:rsid w:val="006E4A59"/>
    <w:rsid w:val="006E4A60"/>
    <w:rsid w:val="006E4A6D"/>
    <w:rsid w:val="006E4A74"/>
    <w:rsid w:val="006E4A80"/>
    <w:rsid w:val="006E4A98"/>
    <w:rsid w:val="006E4AFB"/>
    <w:rsid w:val="006E4B1A"/>
    <w:rsid w:val="006E4B1B"/>
    <w:rsid w:val="006E4B37"/>
    <w:rsid w:val="006E4C02"/>
    <w:rsid w:val="006E4C07"/>
    <w:rsid w:val="006E4C18"/>
    <w:rsid w:val="006E4CBF"/>
    <w:rsid w:val="006E4D74"/>
    <w:rsid w:val="006E4D9C"/>
    <w:rsid w:val="006E4DE4"/>
    <w:rsid w:val="006E4DE9"/>
    <w:rsid w:val="006E4E16"/>
    <w:rsid w:val="006E4E42"/>
    <w:rsid w:val="006E4EC4"/>
    <w:rsid w:val="006E4EE9"/>
    <w:rsid w:val="006E4F02"/>
    <w:rsid w:val="006E4F18"/>
    <w:rsid w:val="006E4F9C"/>
    <w:rsid w:val="006E4FB5"/>
    <w:rsid w:val="006E50F9"/>
    <w:rsid w:val="006E512A"/>
    <w:rsid w:val="006E521F"/>
    <w:rsid w:val="006E5240"/>
    <w:rsid w:val="006E525F"/>
    <w:rsid w:val="006E5297"/>
    <w:rsid w:val="006E52E2"/>
    <w:rsid w:val="006E52EA"/>
    <w:rsid w:val="006E530C"/>
    <w:rsid w:val="006E5312"/>
    <w:rsid w:val="006E5371"/>
    <w:rsid w:val="006E5443"/>
    <w:rsid w:val="006E548F"/>
    <w:rsid w:val="006E54F5"/>
    <w:rsid w:val="006E5538"/>
    <w:rsid w:val="006E554B"/>
    <w:rsid w:val="006E55C5"/>
    <w:rsid w:val="006E55C9"/>
    <w:rsid w:val="006E55D3"/>
    <w:rsid w:val="006E55EB"/>
    <w:rsid w:val="006E5603"/>
    <w:rsid w:val="006E5605"/>
    <w:rsid w:val="006E56F1"/>
    <w:rsid w:val="006E5714"/>
    <w:rsid w:val="006E573D"/>
    <w:rsid w:val="006E576F"/>
    <w:rsid w:val="006E57D7"/>
    <w:rsid w:val="006E5806"/>
    <w:rsid w:val="006E587D"/>
    <w:rsid w:val="006E5897"/>
    <w:rsid w:val="006E58B1"/>
    <w:rsid w:val="006E595A"/>
    <w:rsid w:val="006E59B4"/>
    <w:rsid w:val="006E5A4B"/>
    <w:rsid w:val="006E5A5D"/>
    <w:rsid w:val="006E5A64"/>
    <w:rsid w:val="006E5A77"/>
    <w:rsid w:val="006E5B4B"/>
    <w:rsid w:val="006E5B71"/>
    <w:rsid w:val="006E5C08"/>
    <w:rsid w:val="006E5CCE"/>
    <w:rsid w:val="006E5D32"/>
    <w:rsid w:val="006E5D52"/>
    <w:rsid w:val="006E5D6C"/>
    <w:rsid w:val="006E5DB2"/>
    <w:rsid w:val="006E5DB8"/>
    <w:rsid w:val="006E5DE4"/>
    <w:rsid w:val="006E5E0C"/>
    <w:rsid w:val="006E5E1C"/>
    <w:rsid w:val="006E5E24"/>
    <w:rsid w:val="006E5E34"/>
    <w:rsid w:val="006E5EC7"/>
    <w:rsid w:val="006E5EF6"/>
    <w:rsid w:val="006E5F17"/>
    <w:rsid w:val="006E5F27"/>
    <w:rsid w:val="006E5F91"/>
    <w:rsid w:val="006E5FB6"/>
    <w:rsid w:val="006E5FBB"/>
    <w:rsid w:val="006E5FDE"/>
    <w:rsid w:val="006E6003"/>
    <w:rsid w:val="006E6064"/>
    <w:rsid w:val="006E60D6"/>
    <w:rsid w:val="006E60EF"/>
    <w:rsid w:val="006E6100"/>
    <w:rsid w:val="006E6120"/>
    <w:rsid w:val="006E612D"/>
    <w:rsid w:val="006E6134"/>
    <w:rsid w:val="006E616C"/>
    <w:rsid w:val="006E623A"/>
    <w:rsid w:val="006E623C"/>
    <w:rsid w:val="006E6267"/>
    <w:rsid w:val="006E627F"/>
    <w:rsid w:val="006E6282"/>
    <w:rsid w:val="006E62B7"/>
    <w:rsid w:val="006E62E7"/>
    <w:rsid w:val="006E63A0"/>
    <w:rsid w:val="006E63B5"/>
    <w:rsid w:val="006E63F3"/>
    <w:rsid w:val="006E6424"/>
    <w:rsid w:val="006E64C7"/>
    <w:rsid w:val="006E6551"/>
    <w:rsid w:val="006E65F9"/>
    <w:rsid w:val="006E6621"/>
    <w:rsid w:val="006E6687"/>
    <w:rsid w:val="006E6691"/>
    <w:rsid w:val="006E66A5"/>
    <w:rsid w:val="006E66E0"/>
    <w:rsid w:val="006E66F1"/>
    <w:rsid w:val="006E675C"/>
    <w:rsid w:val="006E6796"/>
    <w:rsid w:val="006E68F1"/>
    <w:rsid w:val="006E690A"/>
    <w:rsid w:val="006E692F"/>
    <w:rsid w:val="006E6948"/>
    <w:rsid w:val="006E69BF"/>
    <w:rsid w:val="006E6B18"/>
    <w:rsid w:val="006E6B27"/>
    <w:rsid w:val="006E6B72"/>
    <w:rsid w:val="006E6B8F"/>
    <w:rsid w:val="006E6C11"/>
    <w:rsid w:val="006E6C2E"/>
    <w:rsid w:val="006E6C3E"/>
    <w:rsid w:val="006E6C45"/>
    <w:rsid w:val="006E6C71"/>
    <w:rsid w:val="006E6CAE"/>
    <w:rsid w:val="006E6CC5"/>
    <w:rsid w:val="006E6CFE"/>
    <w:rsid w:val="006E6D3C"/>
    <w:rsid w:val="006E6D6E"/>
    <w:rsid w:val="006E6DFB"/>
    <w:rsid w:val="006E6E52"/>
    <w:rsid w:val="006E6E93"/>
    <w:rsid w:val="006E6FA7"/>
    <w:rsid w:val="006E6FDC"/>
    <w:rsid w:val="006E702F"/>
    <w:rsid w:val="006E707D"/>
    <w:rsid w:val="006E70C3"/>
    <w:rsid w:val="006E70E9"/>
    <w:rsid w:val="006E7103"/>
    <w:rsid w:val="006E7131"/>
    <w:rsid w:val="006E7141"/>
    <w:rsid w:val="006E714C"/>
    <w:rsid w:val="006E7187"/>
    <w:rsid w:val="006E7191"/>
    <w:rsid w:val="006E71CF"/>
    <w:rsid w:val="006E71F5"/>
    <w:rsid w:val="006E722D"/>
    <w:rsid w:val="006E728B"/>
    <w:rsid w:val="006E72AC"/>
    <w:rsid w:val="006E72C3"/>
    <w:rsid w:val="006E72EA"/>
    <w:rsid w:val="006E7302"/>
    <w:rsid w:val="006E7369"/>
    <w:rsid w:val="006E7389"/>
    <w:rsid w:val="006E7411"/>
    <w:rsid w:val="006E7452"/>
    <w:rsid w:val="006E74F7"/>
    <w:rsid w:val="006E7507"/>
    <w:rsid w:val="006E7545"/>
    <w:rsid w:val="006E756C"/>
    <w:rsid w:val="006E7579"/>
    <w:rsid w:val="006E758A"/>
    <w:rsid w:val="006E7599"/>
    <w:rsid w:val="006E75B4"/>
    <w:rsid w:val="006E75BD"/>
    <w:rsid w:val="006E75D0"/>
    <w:rsid w:val="006E75F4"/>
    <w:rsid w:val="006E7608"/>
    <w:rsid w:val="006E763C"/>
    <w:rsid w:val="006E76F1"/>
    <w:rsid w:val="006E7751"/>
    <w:rsid w:val="006E7779"/>
    <w:rsid w:val="006E777E"/>
    <w:rsid w:val="006E7802"/>
    <w:rsid w:val="006E78A7"/>
    <w:rsid w:val="006E7953"/>
    <w:rsid w:val="006E796A"/>
    <w:rsid w:val="006E79B7"/>
    <w:rsid w:val="006E7A25"/>
    <w:rsid w:val="006E7A64"/>
    <w:rsid w:val="006E7A83"/>
    <w:rsid w:val="006E7A96"/>
    <w:rsid w:val="006E7B3C"/>
    <w:rsid w:val="006E7B6B"/>
    <w:rsid w:val="006E7BB3"/>
    <w:rsid w:val="006E7C0D"/>
    <w:rsid w:val="006E7C33"/>
    <w:rsid w:val="006E7C4D"/>
    <w:rsid w:val="006E7CBC"/>
    <w:rsid w:val="006E7CE0"/>
    <w:rsid w:val="006E7D21"/>
    <w:rsid w:val="006E7D4B"/>
    <w:rsid w:val="006E7D68"/>
    <w:rsid w:val="006E7D72"/>
    <w:rsid w:val="006E7DE4"/>
    <w:rsid w:val="006E7E75"/>
    <w:rsid w:val="006E7E80"/>
    <w:rsid w:val="006E7EA3"/>
    <w:rsid w:val="006E7ED1"/>
    <w:rsid w:val="006E7EEF"/>
    <w:rsid w:val="006E7F0F"/>
    <w:rsid w:val="006E7F12"/>
    <w:rsid w:val="006F0073"/>
    <w:rsid w:val="006F00DA"/>
    <w:rsid w:val="006F01E8"/>
    <w:rsid w:val="006F0246"/>
    <w:rsid w:val="006F0254"/>
    <w:rsid w:val="006F0256"/>
    <w:rsid w:val="006F02C8"/>
    <w:rsid w:val="006F0311"/>
    <w:rsid w:val="006F0336"/>
    <w:rsid w:val="006F0337"/>
    <w:rsid w:val="006F034D"/>
    <w:rsid w:val="006F03CE"/>
    <w:rsid w:val="006F03D0"/>
    <w:rsid w:val="006F03E6"/>
    <w:rsid w:val="006F040C"/>
    <w:rsid w:val="006F0427"/>
    <w:rsid w:val="006F0444"/>
    <w:rsid w:val="006F0450"/>
    <w:rsid w:val="006F0498"/>
    <w:rsid w:val="006F04C2"/>
    <w:rsid w:val="006F04C4"/>
    <w:rsid w:val="006F04CD"/>
    <w:rsid w:val="006F055C"/>
    <w:rsid w:val="006F057C"/>
    <w:rsid w:val="006F0593"/>
    <w:rsid w:val="006F05D2"/>
    <w:rsid w:val="006F0645"/>
    <w:rsid w:val="006F064E"/>
    <w:rsid w:val="006F06F3"/>
    <w:rsid w:val="006F07BD"/>
    <w:rsid w:val="006F084D"/>
    <w:rsid w:val="006F087D"/>
    <w:rsid w:val="006F08A5"/>
    <w:rsid w:val="006F08AE"/>
    <w:rsid w:val="006F08C3"/>
    <w:rsid w:val="006F0902"/>
    <w:rsid w:val="006F090C"/>
    <w:rsid w:val="006F098F"/>
    <w:rsid w:val="006F09E0"/>
    <w:rsid w:val="006F0A14"/>
    <w:rsid w:val="006F0A3E"/>
    <w:rsid w:val="006F0A5F"/>
    <w:rsid w:val="006F0AD3"/>
    <w:rsid w:val="006F0AF9"/>
    <w:rsid w:val="006F0B08"/>
    <w:rsid w:val="006F0B1A"/>
    <w:rsid w:val="006F0B66"/>
    <w:rsid w:val="006F0B8E"/>
    <w:rsid w:val="006F0BAD"/>
    <w:rsid w:val="006F0C31"/>
    <w:rsid w:val="006F0C3F"/>
    <w:rsid w:val="006F0C55"/>
    <w:rsid w:val="006F0C69"/>
    <w:rsid w:val="006F0C74"/>
    <w:rsid w:val="006F0C7A"/>
    <w:rsid w:val="006F0C7C"/>
    <w:rsid w:val="006F0CCA"/>
    <w:rsid w:val="006F0CD7"/>
    <w:rsid w:val="006F0D60"/>
    <w:rsid w:val="006F0D79"/>
    <w:rsid w:val="006F0D9E"/>
    <w:rsid w:val="006F0E20"/>
    <w:rsid w:val="006F0E4D"/>
    <w:rsid w:val="006F0E8A"/>
    <w:rsid w:val="006F0F1C"/>
    <w:rsid w:val="006F1005"/>
    <w:rsid w:val="006F1017"/>
    <w:rsid w:val="006F1051"/>
    <w:rsid w:val="006F108E"/>
    <w:rsid w:val="006F10CA"/>
    <w:rsid w:val="006F10F2"/>
    <w:rsid w:val="006F11B8"/>
    <w:rsid w:val="006F1200"/>
    <w:rsid w:val="006F1281"/>
    <w:rsid w:val="006F1287"/>
    <w:rsid w:val="006F12C8"/>
    <w:rsid w:val="006F12DE"/>
    <w:rsid w:val="006F12EB"/>
    <w:rsid w:val="006F1330"/>
    <w:rsid w:val="006F1335"/>
    <w:rsid w:val="006F135A"/>
    <w:rsid w:val="006F138B"/>
    <w:rsid w:val="006F1429"/>
    <w:rsid w:val="006F146E"/>
    <w:rsid w:val="006F14B0"/>
    <w:rsid w:val="006F14C3"/>
    <w:rsid w:val="006F1512"/>
    <w:rsid w:val="006F1513"/>
    <w:rsid w:val="006F156C"/>
    <w:rsid w:val="006F1611"/>
    <w:rsid w:val="006F1625"/>
    <w:rsid w:val="006F1662"/>
    <w:rsid w:val="006F172A"/>
    <w:rsid w:val="006F1741"/>
    <w:rsid w:val="006F1744"/>
    <w:rsid w:val="006F17EA"/>
    <w:rsid w:val="006F185C"/>
    <w:rsid w:val="006F18A6"/>
    <w:rsid w:val="006F18C0"/>
    <w:rsid w:val="006F18D4"/>
    <w:rsid w:val="006F18E0"/>
    <w:rsid w:val="006F18FE"/>
    <w:rsid w:val="006F195E"/>
    <w:rsid w:val="006F195F"/>
    <w:rsid w:val="006F1983"/>
    <w:rsid w:val="006F19A7"/>
    <w:rsid w:val="006F19FF"/>
    <w:rsid w:val="006F1A02"/>
    <w:rsid w:val="006F1A0E"/>
    <w:rsid w:val="006F1A6C"/>
    <w:rsid w:val="006F1AE0"/>
    <w:rsid w:val="006F1AE7"/>
    <w:rsid w:val="006F1B03"/>
    <w:rsid w:val="006F1B1C"/>
    <w:rsid w:val="006F1B22"/>
    <w:rsid w:val="006F1B77"/>
    <w:rsid w:val="006F1BA8"/>
    <w:rsid w:val="006F1BE7"/>
    <w:rsid w:val="006F1C2D"/>
    <w:rsid w:val="006F1CDC"/>
    <w:rsid w:val="006F1D14"/>
    <w:rsid w:val="006F1D19"/>
    <w:rsid w:val="006F1D21"/>
    <w:rsid w:val="006F1D5A"/>
    <w:rsid w:val="006F1D84"/>
    <w:rsid w:val="006F1E33"/>
    <w:rsid w:val="006F1E73"/>
    <w:rsid w:val="006F1E8C"/>
    <w:rsid w:val="006F1EDC"/>
    <w:rsid w:val="006F1F1A"/>
    <w:rsid w:val="006F1F79"/>
    <w:rsid w:val="006F1F7F"/>
    <w:rsid w:val="006F2025"/>
    <w:rsid w:val="006F2069"/>
    <w:rsid w:val="006F20B2"/>
    <w:rsid w:val="006F20BF"/>
    <w:rsid w:val="006F2117"/>
    <w:rsid w:val="006F212F"/>
    <w:rsid w:val="006F2144"/>
    <w:rsid w:val="006F2192"/>
    <w:rsid w:val="006F219F"/>
    <w:rsid w:val="006F21D1"/>
    <w:rsid w:val="006F2206"/>
    <w:rsid w:val="006F2217"/>
    <w:rsid w:val="006F2254"/>
    <w:rsid w:val="006F22C7"/>
    <w:rsid w:val="006F234F"/>
    <w:rsid w:val="006F236C"/>
    <w:rsid w:val="006F2384"/>
    <w:rsid w:val="006F23A1"/>
    <w:rsid w:val="006F23D3"/>
    <w:rsid w:val="006F2456"/>
    <w:rsid w:val="006F24B7"/>
    <w:rsid w:val="006F24ED"/>
    <w:rsid w:val="006F24F2"/>
    <w:rsid w:val="006F2520"/>
    <w:rsid w:val="006F2531"/>
    <w:rsid w:val="006F2556"/>
    <w:rsid w:val="006F255D"/>
    <w:rsid w:val="006F2563"/>
    <w:rsid w:val="006F257F"/>
    <w:rsid w:val="006F258B"/>
    <w:rsid w:val="006F25A6"/>
    <w:rsid w:val="006F25C3"/>
    <w:rsid w:val="006F261C"/>
    <w:rsid w:val="006F2620"/>
    <w:rsid w:val="006F265B"/>
    <w:rsid w:val="006F26AC"/>
    <w:rsid w:val="006F26FA"/>
    <w:rsid w:val="006F2743"/>
    <w:rsid w:val="006F2764"/>
    <w:rsid w:val="006F27D5"/>
    <w:rsid w:val="006F28AC"/>
    <w:rsid w:val="006F2907"/>
    <w:rsid w:val="006F29BB"/>
    <w:rsid w:val="006F29DD"/>
    <w:rsid w:val="006F2A2A"/>
    <w:rsid w:val="006F2A49"/>
    <w:rsid w:val="006F2ACC"/>
    <w:rsid w:val="006F2AF2"/>
    <w:rsid w:val="006F2AFF"/>
    <w:rsid w:val="006F2B85"/>
    <w:rsid w:val="006F2BE1"/>
    <w:rsid w:val="006F2C02"/>
    <w:rsid w:val="006F2C27"/>
    <w:rsid w:val="006F2CBA"/>
    <w:rsid w:val="006F2D00"/>
    <w:rsid w:val="006F2D11"/>
    <w:rsid w:val="006F2E01"/>
    <w:rsid w:val="006F2E43"/>
    <w:rsid w:val="006F2E79"/>
    <w:rsid w:val="006F2F10"/>
    <w:rsid w:val="006F2F1E"/>
    <w:rsid w:val="006F2FB2"/>
    <w:rsid w:val="006F2FCD"/>
    <w:rsid w:val="006F2FFA"/>
    <w:rsid w:val="006F3000"/>
    <w:rsid w:val="006F30EB"/>
    <w:rsid w:val="006F3107"/>
    <w:rsid w:val="006F315D"/>
    <w:rsid w:val="006F31C3"/>
    <w:rsid w:val="006F31FD"/>
    <w:rsid w:val="006F328F"/>
    <w:rsid w:val="006F3293"/>
    <w:rsid w:val="006F32D9"/>
    <w:rsid w:val="006F32E2"/>
    <w:rsid w:val="006F32EB"/>
    <w:rsid w:val="006F3300"/>
    <w:rsid w:val="006F333D"/>
    <w:rsid w:val="006F3405"/>
    <w:rsid w:val="006F3434"/>
    <w:rsid w:val="006F3494"/>
    <w:rsid w:val="006F349F"/>
    <w:rsid w:val="006F354D"/>
    <w:rsid w:val="006F3566"/>
    <w:rsid w:val="006F35DA"/>
    <w:rsid w:val="006F35E1"/>
    <w:rsid w:val="006F3608"/>
    <w:rsid w:val="006F360B"/>
    <w:rsid w:val="006F365A"/>
    <w:rsid w:val="006F3680"/>
    <w:rsid w:val="006F371A"/>
    <w:rsid w:val="006F3778"/>
    <w:rsid w:val="006F37E3"/>
    <w:rsid w:val="006F3816"/>
    <w:rsid w:val="006F3848"/>
    <w:rsid w:val="006F385A"/>
    <w:rsid w:val="006F3957"/>
    <w:rsid w:val="006F3960"/>
    <w:rsid w:val="006F39AC"/>
    <w:rsid w:val="006F39E4"/>
    <w:rsid w:val="006F3A33"/>
    <w:rsid w:val="006F3A40"/>
    <w:rsid w:val="006F3A43"/>
    <w:rsid w:val="006F3A61"/>
    <w:rsid w:val="006F3A63"/>
    <w:rsid w:val="006F3A9F"/>
    <w:rsid w:val="006F3AE0"/>
    <w:rsid w:val="006F3AF4"/>
    <w:rsid w:val="006F3B42"/>
    <w:rsid w:val="006F3B5D"/>
    <w:rsid w:val="006F3B93"/>
    <w:rsid w:val="006F3DA5"/>
    <w:rsid w:val="006F3DA6"/>
    <w:rsid w:val="006F3DAA"/>
    <w:rsid w:val="006F3DB9"/>
    <w:rsid w:val="006F3E4B"/>
    <w:rsid w:val="006F3E51"/>
    <w:rsid w:val="006F3F2C"/>
    <w:rsid w:val="006F3FAD"/>
    <w:rsid w:val="006F3FE2"/>
    <w:rsid w:val="006F4008"/>
    <w:rsid w:val="006F4092"/>
    <w:rsid w:val="006F4168"/>
    <w:rsid w:val="006F41BF"/>
    <w:rsid w:val="006F420B"/>
    <w:rsid w:val="006F4221"/>
    <w:rsid w:val="006F42FA"/>
    <w:rsid w:val="006F4301"/>
    <w:rsid w:val="006F431F"/>
    <w:rsid w:val="006F4350"/>
    <w:rsid w:val="006F439E"/>
    <w:rsid w:val="006F43D9"/>
    <w:rsid w:val="006F43EB"/>
    <w:rsid w:val="006F43FF"/>
    <w:rsid w:val="006F442F"/>
    <w:rsid w:val="006F449C"/>
    <w:rsid w:val="006F44FA"/>
    <w:rsid w:val="006F456D"/>
    <w:rsid w:val="006F4581"/>
    <w:rsid w:val="006F45BE"/>
    <w:rsid w:val="006F45C2"/>
    <w:rsid w:val="006F45E5"/>
    <w:rsid w:val="006F460E"/>
    <w:rsid w:val="006F4655"/>
    <w:rsid w:val="006F4681"/>
    <w:rsid w:val="006F4688"/>
    <w:rsid w:val="006F468A"/>
    <w:rsid w:val="006F46AB"/>
    <w:rsid w:val="006F46C9"/>
    <w:rsid w:val="006F46D0"/>
    <w:rsid w:val="006F46FB"/>
    <w:rsid w:val="006F4809"/>
    <w:rsid w:val="006F480C"/>
    <w:rsid w:val="006F482D"/>
    <w:rsid w:val="006F4842"/>
    <w:rsid w:val="006F4864"/>
    <w:rsid w:val="006F4885"/>
    <w:rsid w:val="006F4899"/>
    <w:rsid w:val="006F48C5"/>
    <w:rsid w:val="006F48DE"/>
    <w:rsid w:val="006F48FD"/>
    <w:rsid w:val="006F496D"/>
    <w:rsid w:val="006F49C3"/>
    <w:rsid w:val="006F4A4A"/>
    <w:rsid w:val="006F4AA5"/>
    <w:rsid w:val="006F4AB0"/>
    <w:rsid w:val="006F4ADC"/>
    <w:rsid w:val="006F4BBF"/>
    <w:rsid w:val="006F4BE8"/>
    <w:rsid w:val="006F4C5A"/>
    <w:rsid w:val="006F4CC3"/>
    <w:rsid w:val="006F4D14"/>
    <w:rsid w:val="006F4D50"/>
    <w:rsid w:val="006F4D54"/>
    <w:rsid w:val="006F4D6D"/>
    <w:rsid w:val="006F4DD2"/>
    <w:rsid w:val="006F4E2F"/>
    <w:rsid w:val="006F4E37"/>
    <w:rsid w:val="006F4E5B"/>
    <w:rsid w:val="006F4E71"/>
    <w:rsid w:val="006F4EB2"/>
    <w:rsid w:val="006F4F1F"/>
    <w:rsid w:val="006F4F21"/>
    <w:rsid w:val="006F4F6C"/>
    <w:rsid w:val="006F4FCF"/>
    <w:rsid w:val="006F4FF0"/>
    <w:rsid w:val="006F5030"/>
    <w:rsid w:val="006F504A"/>
    <w:rsid w:val="006F50AE"/>
    <w:rsid w:val="006F51D0"/>
    <w:rsid w:val="006F5234"/>
    <w:rsid w:val="006F531D"/>
    <w:rsid w:val="006F5393"/>
    <w:rsid w:val="006F53F1"/>
    <w:rsid w:val="006F5405"/>
    <w:rsid w:val="006F5433"/>
    <w:rsid w:val="006F5438"/>
    <w:rsid w:val="006F543D"/>
    <w:rsid w:val="006F5499"/>
    <w:rsid w:val="006F54A0"/>
    <w:rsid w:val="006F551F"/>
    <w:rsid w:val="006F5522"/>
    <w:rsid w:val="006F5542"/>
    <w:rsid w:val="006F5598"/>
    <w:rsid w:val="006F55AE"/>
    <w:rsid w:val="006F5604"/>
    <w:rsid w:val="006F5659"/>
    <w:rsid w:val="006F5704"/>
    <w:rsid w:val="006F570B"/>
    <w:rsid w:val="006F57DB"/>
    <w:rsid w:val="006F5881"/>
    <w:rsid w:val="006F58B1"/>
    <w:rsid w:val="006F5902"/>
    <w:rsid w:val="006F5994"/>
    <w:rsid w:val="006F5A1A"/>
    <w:rsid w:val="006F5AB5"/>
    <w:rsid w:val="006F5AB7"/>
    <w:rsid w:val="006F5AC6"/>
    <w:rsid w:val="006F5ACA"/>
    <w:rsid w:val="006F5ADA"/>
    <w:rsid w:val="006F5B20"/>
    <w:rsid w:val="006F5B48"/>
    <w:rsid w:val="006F5B4F"/>
    <w:rsid w:val="006F5BBF"/>
    <w:rsid w:val="006F5C52"/>
    <w:rsid w:val="006F5C6D"/>
    <w:rsid w:val="006F5C8C"/>
    <w:rsid w:val="006F5D12"/>
    <w:rsid w:val="006F5D1B"/>
    <w:rsid w:val="006F5D92"/>
    <w:rsid w:val="006F5E06"/>
    <w:rsid w:val="006F5ECE"/>
    <w:rsid w:val="006F5ED9"/>
    <w:rsid w:val="006F5EE8"/>
    <w:rsid w:val="006F5F1D"/>
    <w:rsid w:val="006F5F24"/>
    <w:rsid w:val="006F5F64"/>
    <w:rsid w:val="006F5F8A"/>
    <w:rsid w:val="006F5F93"/>
    <w:rsid w:val="006F5FC6"/>
    <w:rsid w:val="006F602A"/>
    <w:rsid w:val="006F6156"/>
    <w:rsid w:val="006F615E"/>
    <w:rsid w:val="006F6168"/>
    <w:rsid w:val="006F616F"/>
    <w:rsid w:val="006F6205"/>
    <w:rsid w:val="006F6222"/>
    <w:rsid w:val="006F625B"/>
    <w:rsid w:val="006F6280"/>
    <w:rsid w:val="006F629D"/>
    <w:rsid w:val="006F63DE"/>
    <w:rsid w:val="006F64BE"/>
    <w:rsid w:val="006F6555"/>
    <w:rsid w:val="006F65FA"/>
    <w:rsid w:val="006F660B"/>
    <w:rsid w:val="006F6636"/>
    <w:rsid w:val="006F668D"/>
    <w:rsid w:val="006F6748"/>
    <w:rsid w:val="006F6769"/>
    <w:rsid w:val="006F67B2"/>
    <w:rsid w:val="006F67C2"/>
    <w:rsid w:val="006F67DF"/>
    <w:rsid w:val="006F67E3"/>
    <w:rsid w:val="006F67F7"/>
    <w:rsid w:val="006F680B"/>
    <w:rsid w:val="006F681C"/>
    <w:rsid w:val="006F682E"/>
    <w:rsid w:val="006F6848"/>
    <w:rsid w:val="006F6855"/>
    <w:rsid w:val="006F6882"/>
    <w:rsid w:val="006F6889"/>
    <w:rsid w:val="006F68CC"/>
    <w:rsid w:val="006F6944"/>
    <w:rsid w:val="006F6A01"/>
    <w:rsid w:val="006F6A16"/>
    <w:rsid w:val="006F6A3B"/>
    <w:rsid w:val="006F6B7B"/>
    <w:rsid w:val="006F6BEE"/>
    <w:rsid w:val="006F6CA4"/>
    <w:rsid w:val="006F6CD8"/>
    <w:rsid w:val="006F6D5D"/>
    <w:rsid w:val="006F6DB8"/>
    <w:rsid w:val="006F6DFB"/>
    <w:rsid w:val="006F6E0E"/>
    <w:rsid w:val="006F6E1A"/>
    <w:rsid w:val="006F6E3F"/>
    <w:rsid w:val="006F6E47"/>
    <w:rsid w:val="006F6EA9"/>
    <w:rsid w:val="006F6EB9"/>
    <w:rsid w:val="006F6EBF"/>
    <w:rsid w:val="006F6F18"/>
    <w:rsid w:val="006F6F29"/>
    <w:rsid w:val="006F6F35"/>
    <w:rsid w:val="006F6FF5"/>
    <w:rsid w:val="006F6FFF"/>
    <w:rsid w:val="006F7036"/>
    <w:rsid w:val="006F705E"/>
    <w:rsid w:val="006F708B"/>
    <w:rsid w:val="006F70DF"/>
    <w:rsid w:val="006F7130"/>
    <w:rsid w:val="006F7138"/>
    <w:rsid w:val="006F713D"/>
    <w:rsid w:val="006F715C"/>
    <w:rsid w:val="006F71C8"/>
    <w:rsid w:val="006F71EF"/>
    <w:rsid w:val="006F7273"/>
    <w:rsid w:val="006F72F1"/>
    <w:rsid w:val="006F7301"/>
    <w:rsid w:val="006F7322"/>
    <w:rsid w:val="006F7364"/>
    <w:rsid w:val="006F73B5"/>
    <w:rsid w:val="006F73B7"/>
    <w:rsid w:val="006F73BC"/>
    <w:rsid w:val="006F748C"/>
    <w:rsid w:val="006F7502"/>
    <w:rsid w:val="006F7515"/>
    <w:rsid w:val="006F751A"/>
    <w:rsid w:val="006F7545"/>
    <w:rsid w:val="006F75D6"/>
    <w:rsid w:val="006F75D7"/>
    <w:rsid w:val="006F75E6"/>
    <w:rsid w:val="006F7611"/>
    <w:rsid w:val="006F7617"/>
    <w:rsid w:val="006F765A"/>
    <w:rsid w:val="006F7746"/>
    <w:rsid w:val="006F77A6"/>
    <w:rsid w:val="006F77F8"/>
    <w:rsid w:val="006F77FB"/>
    <w:rsid w:val="006F785F"/>
    <w:rsid w:val="006F788C"/>
    <w:rsid w:val="006F794C"/>
    <w:rsid w:val="006F7956"/>
    <w:rsid w:val="006F795E"/>
    <w:rsid w:val="006F7966"/>
    <w:rsid w:val="006F797D"/>
    <w:rsid w:val="006F7980"/>
    <w:rsid w:val="006F7A06"/>
    <w:rsid w:val="006F7A09"/>
    <w:rsid w:val="006F7A0D"/>
    <w:rsid w:val="006F7A31"/>
    <w:rsid w:val="006F7A37"/>
    <w:rsid w:val="006F7A62"/>
    <w:rsid w:val="006F7A77"/>
    <w:rsid w:val="006F7A7F"/>
    <w:rsid w:val="006F7AD7"/>
    <w:rsid w:val="006F7B31"/>
    <w:rsid w:val="006F7B88"/>
    <w:rsid w:val="006F7C36"/>
    <w:rsid w:val="006F7C4C"/>
    <w:rsid w:val="006F7C92"/>
    <w:rsid w:val="006F7C9F"/>
    <w:rsid w:val="006F7CAE"/>
    <w:rsid w:val="006F7CAF"/>
    <w:rsid w:val="006F7D4C"/>
    <w:rsid w:val="006F7D5C"/>
    <w:rsid w:val="006F7D9A"/>
    <w:rsid w:val="006F7DFD"/>
    <w:rsid w:val="006F7E3F"/>
    <w:rsid w:val="006F7E53"/>
    <w:rsid w:val="006F7EF8"/>
    <w:rsid w:val="006F7F39"/>
    <w:rsid w:val="006F7F3F"/>
    <w:rsid w:val="006F7F5F"/>
    <w:rsid w:val="00700002"/>
    <w:rsid w:val="00700083"/>
    <w:rsid w:val="00700101"/>
    <w:rsid w:val="00700155"/>
    <w:rsid w:val="007001C1"/>
    <w:rsid w:val="007001DD"/>
    <w:rsid w:val="007001F8"/>
    <w:rsid w:val="00700213"/>
    <w:rsid w:val="0070024A"/>
    <w:rsid w:val="00700261"/>
    <w:rsid w:val="007002BE"/>
    <w:rsid w:val="00700327"/>
    <w:rsid w:val="00700344"/>
    <w:rsid w:val="00700376"/>
    <w:rsid w:val="007003C4"/>
    <w:rsid w:val="007003D3"/>
    <w:rsid w:val="007003EA"/>
    <w:rsid w:val="00700497"/>
    <w:rsid w:val="0070049C"/>
    <w:rsid w:val="007004E2"/>
    <w:rsid w:val="007004E7"/>
    <w:rsid w:val="007004F0"/>
    <w:rsid w:val="00700511"/>
    <w:rsid w:val="00700543"/>
    <w:rsid w:val="00700548"/>
    <w:rsid w:val="00700585"/>
    <w:rsid w:val="007005BF"/>
    <w:rsid w:val="007005C9"/>
    <w:rsid w:val="00700618"/>
    <w:rsid w:val="00700625"/>
    <w:rsid w:val="00700645"/>
    <w:rsid w:val="00700661"/>
    <w:rsid w:val="007006AD"/>
    <w:rsid w:val="007006AE"/>
    <w:rsid w:val="007006EA"/>
    <w:rsid w:val="007006EF"/>
    <w:rsid w:val="00700705"/>
    <w:rsid w:val="0070072A"/>
    <w:rsid w:val="0070079C"/>
    <w:rsid w:val="007007D1"/>
    <w:rsid w:val="007007F8"/>
    <w:rsid w:val="00700802"/>
    <w:rsid w:val="0070080A"/>
    <w:rsid w:val="0070080B"/>
    <w:rsid w:val="0070084D"/>
    <w:rsid w:val="007008C2"/>
    <w:rsid w:val="007008CA"/>
    <w:rsid w:val="007008D6"/>
    <w:rsid w:val="0070091B"/>
    <w:rsid w:val="00700926"/>
    <w:rsid w:val="00700937"/>
    <w:rsid w:val="00700988"/>
    <w:rsid w:val="007009BB"/>
    <w:rsid w:val="00700A25"/>
    <w:rsid w:val="00700A86"/>
    <w:rsid w:val="00700AC3"/>
    <w:rsid w:val="00700AFE"/>
    <w:rsid w:val="00700B08"/>
    <w:rsid w:val="00700B26"/>
    <w:rsid w:val="00700B37"/>
    <w:rsid w:val="00700B42"/>
    <w:rsid w:val="00700BA9"/>
    <w:rsid w:val="00700BF6"/>
    <w:rsid w:val="00700C24"/>
    <w:rsid w:val="00700CBC"/>
    <w:rsid w:val="00700CBD"/>
    <w:rsid w:val="00700CC4"/>
    <w:rsid w:val="00700DA2"/>
    <w:rsid w:val="00700DDE"/>
    <w:rsid w:val="00700DF3"/>
    <w:rsid w:val="00700E2D"/>
    <w:rsid w:val="00700E49"/>
    <w:rsid w:val="00700F72"/>
    <w:rsid w:val="00700FB6"/>
    <w:rsid w:val="0070101F"/>
    <w:rsid w:val="0070103E"/>
    <w:rsid w:val="00701054"/>
    <w:rsid w:val="00701094"/>
    <w:rsid w:val="007010D6"/>
    <w:rsid w:val="007011C5"/>
    <w:rsid w:val="007011F2"/>
    <w:rsid w:val="007011FB"/>
    <w:rsid w:val="0070121C"/>
    <w:rsid w:val="0070132F"/>
    <w:rsid w:val="00701375"/>
    <w:rsid w:val="007013EB"/>
    <w:rsid w:val="007013F0"/>
    <w:rsid w:val="00701403"/>
    <w:rsid w:val="00701406"/>
    <w:rsid w:val="0070148E"/>
    <w:rsid w:val="00701499"/>
    <w:rsid w:val="007014AC"/>
    <w:rsid w:val="007014C3"/>
    <w:rsid w:val="00701524"/>
    <w:rsid w:val="00701552"/>
    <w:rsid w:val="007015D3"/>
    <w:rsid w:val="00701636"/>
    <w:rsid w:val="00701676"/>
    <w:rsid w:val="007016BC"/>
    <w:rsid w:val="007016EB"/>
    <w:rsid w:val="00701748"/>
    <w:rsid w:val="007017B9"/>
    <w:rsid w:val="007017E9"/>
    <w:rsid w:val="007017F5"/>
    <w:rsid w:val="0070184E"/>
    <w:rsid w:val="0070194A"/>
    <w:rsid w:val="007019C0"/>
    <w:rsid w:val="007019EE"/>
    <w:rsid w:val="00701A8B"/>
    <w:rsid w:val="00701B02"/>
    <w:rsid w:val="00701B06"/>
    <w:rsid w:val="00701B38"/>
    <w:rsid w:val="00701B3E"/>
    <w:rsid w:val="00701B3F"/>
    <w:rsid w:val="00701B47"/>
    <w:rsid w:val="00701B4A"/>
    <w:rsid w:val="00701B6B"/>
    <w:rsid w:val="00701B9E"/>
    <w:rsid w:val="00701C32"/>
    <w:rsid w:val="00701C3F"/>
    <w:rsid w:val="00701C49"/>
    <w:rsid w:val="00701C51"/>
    <w:rsid w:val="00701C79"/>
    <w:rsid w:val="00701C8D"/>
    <w:rsid w:val="00701D0D"/>
    <w:rsid w:val="00701D50"/>
    <w:rsid w:val="00701E0C"/>
    <w:rsid w:val="00701E74"/>
    <w:rsid w:val="00701EA4"/>
    <w:rsid w:val="00701FB5"/>
    <w:rsid w:val="00701FBA"/>
    <w:rsid w:val="00702000"/>
    <w:rsid w:val="00702040"/>
    <w:rsid w:val="0070205A"/>
    <w:rsid w:val="00702062"/>
    <w:rsid w:val="00702065"/>
    <w:rsid w:val="00702114"/>
    <w:rsid w:val="007021F1"/>
    <w:rsid w:val="00702216"/>
    <w:rsid w:val="007023CC"/>
    <w:rsid w:val="007023FF"/>
    <w:rsid w:val="00702453"/>
    <w:rsid w:val="007024FA"/>
    <w:rsid w:val="0070250D"/>
    <w:rsid w:val="0070258F"/>
    <w:rsid w:val="007025AB"/>
    <w:rsid w:val="007025CE"/>
    <w:rsid w:val="007025DE"/>
    <w:rsid w:val="00702608"/>
    <w:rsid w:val="00702661"/>
    <w:rsid w:val="00702663"/>
    <w:rsid w:val="0070269D"/>
    <w:rsid w:val="007026B8"/>
    <w:rsid w:val="007026EF"/>
    <w:rsid w:val="00702718"/>
    <w:rsid w:val="00702747"/>
    <w:rsid w:val="007027DF"/>
    <w:rsid w:val="00702807"/>
    <w:rsid w:val="0070281B"/>
    <w:rsid w:val="0070286D"/>
    <w:rsid w:val="00702875"/>
    <w:rsid w:val="007028EB"/>
    <w:rsid w:val="007028FE"/>
    <w:rsid w:val="00702907"/>
    <w:rsid w:val="00702977"/>
    <w:rsid w:val="007029A9"/>
    <w:rsid w:val="007029BB"/>
    <w:rsid w:val="007029EC"/>
    <w:rsid w:val="00702A10"/>
    <w:rsid w:val="00702A6D"/>
    <w:rsid w:val="00702A7B"/>
    <w:rsid w:val="00702A7C"/>
    <w:rsid w:val="00702A84"/>
    <w:rsid w:val="00702AA9"/>
    <w:rsid w:val="00702AAE"/>
    <w:rsid w:val="00702ACC"/>
    <w:rsid w:val="00702B0E"/>
    <w:rsid w:val="00702B14"/>
    <w:rsid w:val="00702B2D"/>
    <w:rsid w:val="00702B48"/>
    <w:rsid w:val="00702BD3"/>
    <w:rsid w:val="00702C26"/>
    <w:rsid w:val="00702C7E"/>
    <w:rsid w:val="00702CCF"/>
    <w:rsid w:val="00702CFF"/>
    <w:rsid w:val="00702DAA"/>
    <w:rsid w:val="00702DBF"/>
    <w:rsid w:val="00702E77"/>
    <w:rsid w:val="00702E8B"/>
    <w:rsid w:val="007030F9"/>
    <w:rsid w:val="0070310D"/>
    <w:rsid w:val="0070318A"/>
    <w:rsid w:val="00703192"/>
    <w:rsid w:val="0070319C"/>
    <w:rsid w:val="007031B6"/>
    <w:rsid w:val="007031C4"/>
    <w:rsid w:val="007031D9"/>
    <w:rsid w:val="00703290"/>
    <w:rsid w:val="007032DA"/>
    <w:rsid w:val="0070334A"/>
    <w:rsid w:val="00703370"/>
    <w:rsid w:val="00703399"/>
    <w:rsid w:val="007033D8"/>
    <w:rsid w:val="00703510"/>
    <w:rsid w:val="00703518"/>
    <w:rsid w:val="00703541"/>
    <w:rsid w:val="0070355B"/>
    <w:rsid w:val="0070356E"/>
    <w:rsid w:val="007035EC"/>
    <w:rsid w:val="00703606"/>
    <w:rsid w:val="00703610"/>
    <w:rsid w:val="0070362C"/>
    <w:rsid w:val="00703680"/>
    <w:rsid w:val="00703716"/>
    <w:rsid w:val="00703728"/>
    <w:rsid w:val="00703786"/>
    <w:rsid w:val="007037D4"/>
    <w:rsid w:val="00703837"/>
    <w:rsid w:val="007038B0"/>
    <w:rsid w:val="0070391E"/>
    <w:rsid w:val="00703961"/>
    <w:rsid w:val="007039CE"/>
    <w:rsid w:val="00703A11"/>
    <w:rsid w:val="00703ADD"/>
    <w:rsid w:val="00703B23"/>
    <w:rsid w:val="00703B44"/>
    <w:rsid w:val="00703B5F"/>
    <w:rsid w:val="00703B7F"/>
    <w:rsid w:val="00703B85"/>
    <w:rsid w:val="00703B86"/>
    <w:rsid w:val="00703C0C"/>
    <w:rsid w:val="00703C54"/>
    <w:rsid w:val="00703C59"/>
    <w:rsid w:val="00703C70"/>
    <w:rsid w:val="00703D3C"/>
    <w:rsid w:val="00703D5E"/>
    <w:rsid w:val="00703DC9"/>
    <w:rsid w:val="00703DD1"/>
    <w:rsid w:val="00703E37"/>
    <w:rsid w:val="00703E61"/>
    <w:rsid w:val="00703EC5"/>
    <w:rsid w:val="00703ED6"/>
    <w:rsid w:val="00703EDE"/>
    <w:rsid w:val="00703F1C"/>
    <w:rsid w:val="00703F48"/>
    <w:rsid w:val="00703F96"/>
    <w:rsid w:val="00703FCD"/>
    <w:rsid w:val="0070402E"/>
    <w:rsid w:val="0070403A"/>
    <w:rsid w:val="0070405E"/>
    <w:rsid w:val="007040EE"/>
    <w:rsid w:val="00704119"/>
    <w:rsid w:val="00704164"/>
    <w:rsid w:val="0070419B"/>
    <w:rsid w:val="0070425D"/>
    <w:rsid w:val="00704266"/>
    <w:rsid w:val="00704296"/>
    <w:rsid w:val="0070429E"/>
    <w:rsid w:val="007042B7"/>
    <w:rsid w:val="00704313"/>
    <w:rsid w:val="0070432B"/>
    <w:rsid w:val="0070438C"/>
    <w:rsid w:val="007043B8"/>
    <w:rsid w:val="007043FB"/>
    <w:rsid w:val="0070441C"/>
    <w:rsid w:val="0070441F"/>
    <w:rsid w:val="0070445D"/>
    <w:rsid w:val="0070448C"/>
    <w:rsid w:val="007044E2"/>
    <w:rsid w:val="00704505"/>
    <w:rsid w:val="00704575"/>
    <w:rsid w:val="0070459C"/>
    <w:rsid w:val="007045EA"/>
    <w:rsid w:val="00704665"/>
    <w:rsid w:val="0070468A"/>
    <w:rsid w:val="0070468D"/>
    <w:rsid w:val="007046CF"/>
    <w:rsid w:val="007046D0"/>
    <w:rsid w:val="00704751"/>
    <w:rsid w:val="00704769"/>
    <w:rsid w:val="00704793"/>
    <w:rsid w:val="007047BD"/>
    <w:rsid w:val="007047ED"/>
    <w:rsid w:val="00704848"/>
    <w:rsid w:val="007048AA"/>
    <w:rsid w:val="0070493C"/>
    <w:rsid w:val="007049B1"/>
    <w:rsid w:val="007049B6"/>
    <w:rsid w:val="00704A16"/>
    <w:rsid w:val="00704A8C"/>
    <w:rsid w:val="00704AEF"/>
    <w:rsid w:val="00704B0E"/>
    <w:rsid w:val="00704B4E"/>
    <w:rsid w:val="00704B57"/>
    <w:rsid w:val="00704B69"/>
    <w:rsid w:val="00704BCE"/>
    <w:rsid w:val="00704BF9"/>
    <w:rsid w:val="00704CB6"/>
    <w:rsid w:val="00704D05"/>
    <w:rsid w:val="00704D06"/>
    <w:rsid w:val="00704D34"/>
    <w:rsid w:val="00704D3F"/>
    <w:rsid w:val="00704DFB"/>
    <w:rsid w:val="00704E84"/>
    <w:rsid w:val="00704E8E"/>
    <w:rsid w:val="00704EFD"/>
    <w:rsid w:val="00704F1E"/>
    <w:rsid w:val="00704F49"/>
    <w:rsid w:val="00704F65"/>
    <w:rsid w:val="00705061"/>
    <w:rsid w:val="00705086"/>
    <w:rsid w:val="00705087"/>
    <w:rsid w:val="0070508B"/>
    <w:rsid w:val="00705092"/>
    <w:rsid w:val="00705099"/>
    <w:rsid w:val="007051D0"/>
    <w:rsid w:val="00705266"/>
    <w:rsid w:val="00705273"/>
    <w:rsid w:val="00705275"/>
    <w:rsid w:val="00705376"/>
    <w:rsid w:val="0070538C"/>
    <w:rsid w:val="00705394"/>
    <w:rsid w:val="007053AB"/>
    <w:rsid w:val="007053DA"/>
    <w:rsid w:val="0070546E"/>
    <w:rsid w:val="0070547C"/>
    <w:rsid w:val="0070548B"/>
    <w:rsid w:val="00705492"/>
    <w:rsid w:val="00705494"/>
    <w:rsid w:val="007054E2"/>
    <w:rsid w:val="007054E4"/>
    <w:rsid w:val="00705508"/>
    <w:rsid w:val="0070550A"/>
    <w:rsid w:val="0070552E"/>
    <w:rsid w:val="00705564"/>
    <w:rsid w:val="00705595"/>
    <w:rsid w:val="007055BC"/>
    <w:rsid w:val="00705675"/>
    <w:rsid w:val="00705682"/>
    <w:rsid w:val="007056B8"/>
    <w:rsid w:val="007056CA"/>
    <w:rsid w:val="007056D2"/>
    <w:rsid w:val="007056FB"/>
    <w:rsid w:val="00705752"/>
    <w:rsid w:val="00705761"/>
    <w:rsid w:val="00705765"/>
    <w:rsid w:val="0070579E"/>
    <w:rsid w:val="00705811"/>
    <w:rsid w:val="00705935"/>
    <w:rsid w:val="007059CF"/>
    <w:rsid w:val="007059E6"/>
    <w:rsid w:val="00705A4B"/>
    <w:rsid w:val="00705AA9"/>
    <w:rsid w:val="00705B0D"/>
    <w:rsid w:val="00705B86"/>
    <w:rsid w:val="00705BE1"/>
    <w:rsid w:val="00705BF4"/>
    <w:rsid w:val="00705C37"/>
    <w:rsid w:val="00705C66"/>
    <w:rsid w:val="00705D44"/>
    <w:rsid w:val="00705DA1"/>
    <w:rsid w:val="00705DB7"/>
    <w:rsid w:val="00705DBE"/>
    <w:rsid w:val="00705DCE"/>
    <w:rsid w:val="00705DEF"/>
    <w:rsid w:val="00705E00"/>
    <w:rsid w:val="00705E32"/>
    <w:rsid w:val="00705F60"/>
    <w:rsid w:val="00705FF0"/>
    <w:rsid w:val="00706055"/>
    <w:rsid w:val="00706082"/>
    <w:rsid w:val="007060BE"/>
    <w:rsid w:val="007060C1"/>
    <w:rsid w:val="007060EA"/>
    <w:rsid w:val="007060ED"/>
    <w:rsid w:val="0070610E"/>
    <w:rsid w:val="00706169"/>
    <w:rsid w:val="0070616A"/>
    <w:rsid w:val="007061BB"/>
    <w:rsid w:val="00706222"/>
    <w:rsid w:val="0070622C"/>
    <w:rsid w:val="00706234"/>
    <w:rsid w:val="00706253"/>
    <w:rsid w:val="00706259"/>
    <w:rsid w:val="007062D4"/>
    <w:rsid w:val="00706342"/>
    <w:rsid w:val="0070638C"/>
    <w:rsid w:val="007063A5"/>
    <w:rsid w:val="007063C0"/>
    <w:rsid w:val="007063CC"/>
    <w:rsid w:val="00706437"/>
    <w:rsid w:val="0070646E"/>
    <w:rsid w:val="007064C0"/>
    <w:rsid w:val="007064C2"/>
    <w:rsid w:val="007064CA"/>
    <w:rsid w:val="007064E9"/>
    <w:rsid w:val="00706503"/>
    <w:rsid w:val="00706521"/>
    <w:rsid w:val="0070655C"/>
    <w:rsid w:val="007065B3"/>
    <w:rsid w:val="007065C1"/>
    <w:rsid w:val="007065C7"/>
    <w:rsid w:val="007065D2"/>
    <w:rsid w:val="00706606"/>
    <w:rsid w:val="00706608"/>
    <w:rsid w:val="0070663A"/>
    <w:rsid w:val="00706697"/>
    <w:rsid w:val="007066EC"/>
    <w:rsid w:val="007066EE"/>
    <w:rsid w:val="0070670A"/>
    <w:rsid w:val="00706725"/>
    <w:rsid w:val="0070675F"/>
    <w:rsid w:val="007067CB"/>
    <w:rsid w:val="0070682B"/>
    <w:rsid w:val="00706874"/>
    <w:rsid w:val="007068C5"/>
    <w:rsid w:val="007068E0"/>
    <w:rsid w:val="007068E6"/>
    <w:rsid w:val="007068F5"/>
    <w:rsid w:val="00706908"/>
    <w:rsid w:val="0070691D"/>
    <w:rsid w:val="007069D8"/>
    <w:rsid w:val="007069E8"/>
    <w:rsid w:val="00706A85"/>
    <w:rsid w:val="00706ADD"/>
    <w:rsid w:val="00706BA6"/>
    <w:rsid w:val="00706BA7"/>
    <w:rsid w:val="00706BF4"/>
    <w:rsid w:val="00706C14"/>
    <w:rsid w:val="00706C17"/>
    <w:rsid w:val="00706C27"/>
    <w:rsid w:val="00706C43"/>
    <w:rsid w:val="00706C97"/>
    <w:rsid w:val="00706CC6"/>
    <w:rsid w:val="00706DEB"/>
    <w:rsid w:val="00706E59"/>
    <w:rsid w:val="00706EB4"/>
    <w:rsid w:val="00706EE1"/>
    <w:rsid w:val="00706F13"/>
    <w:rsid w:val="00706F67"/>
    <w:rsid w:val="00706F83"/>
    <w:rsid w:val="00706FA3"/>
    <w:rsid w:val="00706FB4"/>
    <w:rsid w:val="00707001"/>
    <w:rsid w:val="00707013"/>
    <w:rsid w:val="00707022"/>
    <w:rsid w:val="00707026"/>
    <w:rsid w:val="0070706D"/>
    <w:rsid w:val="00707131"/>
    <w:rsid w:val="0070713D"/>
    <w:rsid w:val="0070716B"/>
    <w:rsid w:val="0070718D"/>
    <w:rsid w:val="00707191"/>
    <w:rsid w:val="00707193"/>
    <w:rsid w:val="007071B6"/>
    <w:rsid w:val="00707207"/>
    <w:rsid w:val="00707267"/>
    <w:rsid w:val="0070726E"/>
    <w:rsid w:val="0070728F"/>
    <w:rsid w:val="0070729A"/>
    <w:rsid w:val="007072C9"/>
    <w:rsid w:val="00707327"/>
    <w:rsid w:val="00707337"/>
    <w:rsid w:val="007073E3"/>
    <w:rsid w:val="007073FD"/>
    <w:rsid w:val="0070743C"/>
    <w:rsid w:val="00707465"/>
    <w:rsid w:val="00707474"/>
    <w:rsid w:val="007074B1"/>
    <w:rsid w:val="007074C1"/>
    <w:rsid w:val="00707502"/>
    <w:rsid w:val="0070751D"/>
    <w:rsid w:val="00707521"/>
    <w:rsid w:val="00707529"/>
    <w:rsid w:val="00707593"/>
    <w:rsid w:val="007075DE"/>
    <w:rsid w:val="007075F5"/>
    <w:rsid w:val="0070769C"/>
    <w:rsid w:val="007076A1"/>
    <w:rsid w:val="007076D3"/>
    <w:rsid w:val="007076E3"/>
    <w:rsid w:val="00707720"/>
    <w:rsid w:val="007077BF"/>
    <w:rsid w:val="007077C6"/>
    <w:rsid w:val="0070780B"/>
    <w:rsid w:val="00707814"/>
    <w:rsid w:val="00707877"/>
    <w:rsid w:val="007078C1"/>
    <w:rsid w:val="007078E5"/>
    <w:rsid w:val="007078EC"/>
    <w:rsid w:val="007079A6"/>
    <w:rsid w:val="007079DA"/>
    <w:rsid w:val="007079F5"/>
    <w:rsid w:val="00707A04"/>
    <w:rsid w:val="00707A31"/>
    <w:rsid w:val="00707AC7"/>
    <w:rsid w:val="00707AE7"/>
    <w:rsid w:val="00707B30"/>
    <w:rsid w:val="00707B7E"/>
    <w:rsid w:val="00707C5B"/>
    <w:rsid w:val="00707D1B"/>
    <w:rsid w:val="00707D73"/>
    <w:rsid w:val="00707D8E"/>
    <w:rsid w:val="00707D93"/>
    <w:rsid w:val="00707E33"/>
    <w:rsid w:val="00707E3C"/>
    <w:rsid w:val="00707E69"/>
    <w:rsid w:val="00707EB9"/>
    <w:rsid w:val="00707F42"/>
    <w:rsid w:val="00707F43"/>
    <w:rsid w:val="00707F54"/>
    <w:rsid w:val="00707F61"/>
    <w:rsid w:val="00707F82"/>
    <w:rsid w:val="00707FC9"/>
    <w:rsid w:val="0070DACE"/>
    <w:rsid w:val="0071004C"/>
    <w:rsid w:val="00710064"/>
    <w:rsid w:val="007100CB"/>
    <w:rsid w:val="007100F9"/>
    <w:rsid w:val="00710118"/>
    <w:rsid w:val="00710119"/>
    <w:rsid w:val="00710185"/>
    <w:rsid w:val="007101AD"/>
    <w:rsid w:val="00710227"/>
    <w:rsid w:val="00710229"/>
    <w:rsid w:val="00710276"/>
    <w:rsid w:val="007102A7"/>
    <w:rsid w:val="007102B7"/>
    <w:rsid w:val="007102E6"/>
    <w:rsid w:val="00710371"/>
    <w:rsid w:val="00710381"/>
    <w:rsid w:val="007103D1"/>
    <w:rsid w:val="007103FA"/>
    <w:rsid w:val="007103FE"/>
    <w:rsid w:val="007104EC"/>
    <w:rsid w:val="007104F2"/>
    <w:rsid w:val="0071062B"/>
    <w:rsid w:val="0071063E"/>
    <w:rsid w:val="00710680"/>
    <w:rsid w:val="0071069B"/>
    <w:rsid w:val="007106B1"/>
    <w:rsid w:val="007106BF"/>
    <w:rsid w:val="007106F1"/>
    <w:rsid w:val="0071070A"/>
    <w:rsid w:val="0071072F"/>
    <w:rsid w:val="0071084E"/>
    <w:rsid w:val="007108A9"/>
    <w:rsid w:val="00710968"/>
    <w:rsid w:val="007109F3"/>
    <w:rsid w:val="00710A1F"/>
    <w:rsid w:val="00710A53"/>
    <w:rsid w:val="00710A7D"/>
    <w:rsid w:val="00710B05"/>
    <w:rsid w:val="00710B60"/>
    <w:rsid w:val="00710BA4"/>
    <w:rsid w:val="00710BC3"/>
    <w:rsid w:val="00710BCC"/>
    <w:rsid w:val="00710BE7"/>
    <w:rsid w:val="00710BEE"/>
    <w:rsid w:val="00710C50"/>
    <w:rsid w:val="00710C79"/>
    <w:rsid w:val="00710C82"/>
    <w:rsid w:val="00710CE3"/>
    <w:rsid w:val="00710D34"/>
    <w:rsid w:val="00710D8E"/>
    <w:rsid w:val="00710E81"/>
    <w:rsid w:val="00710E9B"/>
    <w:rsid w:val="00710EF4"/>
    <w:rsid w:val="00710F02"/>
    <w:rsid w:val="00710F0C"/>
    <w:rsid w:val="00710F13"/>
    <w:rsid w:val="00710F2A"/>
    <w:rsid w:val="00710F3E"/>
    <w:rsid w:val="00710F72"/>
    <w:rsid w:val="00710F7C"/>
    <w:rsid w:val="00710F8D"/>
    <w:rsid w:val="00711044"/>
    <w:rsid w:val="00711048"/>
    <w:rsid w:val="00711064"/>
    <w:rsid w:val="007110FD"/>
    <w:rsid w:val="00711122"/>
    <w:rsid w:val="00711127"/>
    <w:rsid w:val="0071115F"/>
    <w:rsid w:val="0071117D"/>
    <w:rsid w:val="007111AC"/>
    <w:rsid w:val="007111C7"/>
    <w:rsid w:val="007111D8"/>
    <w:rsid w:val="00711233"/>
    <w:rsid w:val="0071123A"/>
    <w:rsid w:val="00711253"/>
    <w:rsid w:val="00711288"/>
    <w:rsid w:val="0071134D"/>
    <w:rsid w:val="0071135D"/>
    <w:rsid w:val="0071139D"/>
    <w:rsid w:val="007113A1"/>
    <w:rsid w:val="007113FC"/>
    <w:rsid w:val="00711420"/>
    <w:rsid w:val="00711448"/>
    <w:rsid w:val="00711457"/>
    <w:rsid w:val="0071149F"/>
    <w:rsid w:val="007114E0"/>
    <w:rsid w:val="0071150B"/>
    <w:rsid w:val="00711526"/>
    <w:rsid w:val="0071152A"/>
    <w:rsid w:val="0071157D"/>
    <w:rsid w:val="00711627"/>
    <w:rsid w:val="00711660"/>
    <w:rsid w:val="0071169A"/>
    <w:rsid w:val="0071170F"/>
    <w:rsid w:val="00711766"/>
    <w:rsid w:val="00711775"/>
    <w:rsid w:val="007117A1"/>
    <w:rsid w:val="00711855"/>
    <w:rsid w:val="007118BA"/>
    <w:rsid w:val="007119A2"/>
    <w:rsid w:val="00711A91"/>
    <w:rsid w:val="00711AA3"/>
    <w:rsid w:val="00711ACD"/>
    <w:rsid w:val="00711ADD"/>
    <w:rsid w:val="00711B56"/>
    <w:rsid w:val="00711B5F"/>
    <w:rsid w:val="00711B69"/>
    <w:rsid w:val="00711B92"/>
    <w:rsid w:val="00711BE0"/>
    <w:rsid w:val="00711C0D"/>
    <w:rsid w:val="00711CA6"/>
    <w:rsid w:val="00711CDD"/>
    <w:rsid w:val="00711D23"/>
    <w:rsid w:val="00711D45"/>
    <w:rsid w:val="00711D5B"/>
    <w:rsid w:val="00711D70"/>
    <w:rsid w:val="00711DB3"/>
    <w:rsid w:val="00711E15"/>
    <w:rsid w:val="00711E5A"/>
    <w:rsid w:val="00711E6E"/>
    <w:rsid w:val="00712022"/>
    <w:rsid w:val="0071202F"/>
    <w:rsid w:val="00712088"/>
    <w:rsid w:val="007120E6"/>
    <w:rsid w:val="007120ED"/>
    <w:rsid w:val="00712150"/>
    <w:rsid w:val="0071218E"/>
    <w:rsid w:val="0071219B"/>
    <w:rsid w:val="007121C9"/>
    <w:rsid w:val="007122CE"/>
    <w:rsid w:val="007122D5"/>
    <w:rsid w:val="00712361"/>
    <w:rsid w:val="0071236B"/>
    <w:rsid w:val="00712383"/>
    <w:rsid w:val="0071238C"/>
    <w:rsid w:val="007123E0"/>
    <w:rsid w:val="00712411"/>
    <w:rsid w:val="00712422"/>
    <w:rsid w:val="00712572"/>
    <w:rsid w:val="00712595"/>
    <w:rsid w:val="007125B0"/>
    <w:rsid w:val="007125D4"/>
    <w:rsid w:val="007125FC"/>
    <w:rsid w:val="007126FE"/>
    <w:rsid w:val="00712710"/>
    <w:rsid w:val="00712712"/>
    <w:rsid w:val="007127DD"/>
    <w:rsid w:val="0071283F"/>
    <w:rsid w:val="00712896"/>
    <w:rsid w:val="00712950"/>
    <w:rsid w:val="0071295F"/>
    <w:rsid w:val="0071298A"/>
    <w:rsid w:val="0071299D"/>
    <w:rsid w:val="007129BE"/>
    <w:rsid w:val="007129D5"/>
    <w:rsid w:val="00712A30"/>
    <w:rsid w:val="00712A47"/>
    <w:rsid w:val="00712A78"/>
    <w:rsid w:val="00712A9C"/>
    <w:rsid w:val="00712AC6"/>
    <w:rsid w:val="00712AE2"/>
    <w:rsid w:val="00712B2F"/>
    <w:rsid w:val="00712B42"/>
    <w:rsid w:val="00712BA0"/>
    <w:rsid w:val="00712BAB"/>
    <w:rsid w:val="00712BE0"/>
    <w:rsid w:val="00712BFA"/>
    <w:rsid w:val="00712C85"/>
    <w:rsid w:val="00712C96"/>
    <w:rsid w:val="00712CDC"/>
    <w:rsid w:val="00712D19"/>
    <w:rsid w:val="00712D20"/>
    <w:rsid w:val="00712D2A"/>
    <w:rsid w:val="00712D78"/>
    <w:rsid w:val="00712DCF"/>
    <w:rsid w:val="00712E5B"/>
    <w:rsid w:val="00712EA9"/>
    <w:rsid w:val="00712EB4"/>
    <w:rsid w:val="00712F10"/>
    <w:rsid w:val="00712F6F"/>
    <w:rsid w:val="00712F7C"/>
    <w:rsid w:val="00712FCD"/>
    <w:rsid w:val="00713033"/>
    <w:rsid w:val="00713080"/>
    <w:rsid w:val="0071308B"/>
    <w:rsid w:val="007130A9"/>
    <w:rsid w:val="007130F2"/>
    <w:rsid w:val="00713179"/>
    <w:rsid w:val="007131AD"/>
    <w:rsid w:val="00713244"/>
    <w:rsid w:val="0071326E"/>
    <w:rsid w:val="00713294"/>
    <w:rsid w:val="007132AD"/>
    <w:rsid w:val="007132B7"/>
    <w:rsid w:val="007132D2"/>
    <w:rsid w:val="0071330E"/>
    <w:rsid w:val="00713320"/>
    <w:rsid w:val="00713326"/>
    <w:rsid w:val="00713381"/>
    <w:rsid w:val="007133AA"/>
    <w:rsid w:val="007133CC"/>
    <w:rsid w:val="0071342C"/>
    <w:rsid w:val="00713437"/>
    <w:rsid w:val="00713442"/>
    <w:rsid w:val="0071346F"/>
    <w:rsid w:val="00713491"/>
    <w:rsid w:val="007134C2"/>
    <w:rsid w:val="007134CC"/>
    <w:rsid w:val="00713545"/>
    <w:rsid w:val="00713627"/>
    <w:rsid w:val="007136EB"/>
    <w:rsid w:val="00713753"/>
    <w:rsid w:val="00713768"/>
    <w:rsid w:val="0071376A"/>
    <w:rsid w:val="00713779"/>
    <w:rsid w:val="007137C5"/>
    <w:rsid w:val="007137D7"/>
    <w:rsid w:val="0071380E"/>
    <w:rsid w:val="00713870"/>
    <w:rsid w:val="007138AE"/>
    <w:rsid w:val="00713908"/>
    <w:rsid w:val="00713910"/>
    <w:rsid w:val="00713996"/>
    <w:rsid w:val="00713A13"/>
    <w:rsid w:val="00713AC4"/>
    <w:rsid w:val="00713ADB"/>
    <w:rsid w:val="00713B0D"/>
    <w:rsid w:val="00713B0F"/>
    <w:rsid w:val="00713B30"/>
    <w:rsid w:val="00713C4A"/>
    <w:rsid w:val="00713C69"/>
    <w:rsid w:val="00713C6A"/>
    <w:rsid w:val="00713CBD"/>
    <w:rsid w:val="00713D14"/>
    <w:rsid w:val="00713DEC"/>
    <w:rsid w:val="00713E07"/>
    <w:rsid w:val="00713E4F"/>
    <w:rsid w:val="00713E56"/>
    <w:rsid w:val="00713E8C"/>
    <w:rsid w:val="00713E9C"/>
    <w:rsid w:val="00713FE4"/>
    <w:rsid w:val="00714067"/>
    <w:rsid w:val="00714097"/>
    <w:rsid w:val="00714119"/>
    <w:rsid w:val="00714123"/>
    <w:rsid w:val="0071414F"/>
    <w:rsid w:val="0071417F"/>
    <w:rsid w:val="007141AB"/>
    <w:rsid w:val="007141B9"/>
    <w:rsid w:val="007141FD"/>
    <w:rsid w:val="00714230"/>
    <w:rsid w:val="0071424B"/>
    <w:rsid w:val="0071426D"/>
    <w:rsid w:val="00714291"/>
    <w:rsid w:val="00714295"/>
    <w:rsid w:val="007142A9"/>
    <w:rsid w:val="007143C1"/>
    <w:rsid w:val="007143E3"/>
    <w:rsid w:val="007144B3"/>
    <w:rsid w:val="007144B5"/>
    <w:rsid w:val="007144BC"/>
    <w:rsid w:val="0071450A"/>
    <w:rsid w:val="00714542"/>
    <w:rsid w:val="0071454B"/>
    <w:rsid w:val="00714581"/>
    <w:rsid w:val="0071460F"/>
    <w:rsid w:val="00714655"/>
    <w:rsid w:val="007146B8"/>
    <w:rsid w:val="007146EF"/>
    <w:rsid w:val="00714792"/>
    <w:rsid w:val="0071479C"/>
    <w:rsid w:val="007147A1"/>
    <w:rsid w:val="007147D3"/>
    <w:rsid w:val="007147DB"/>
    <w:rsid w:val="007147DC"/>
    <w:rsid w:val="00714834"/>
    <w:rsid w:val="007148BB"/>
    <w:rsid w:val="007148F9"/>
    <w:rsid w:val="0071494B"/>
    <w:rsid w:val="0071495A"/>
    <w:rsid w:val="00714988"/>
    <w:rsid w:val="00714993"/>
    <w:rsid w:val="007149D0"/>
    <w:rsid w:val="007149D1"/>
    <w:rsid w:val="007149FA"/>
    <w:rsid w:val="00714A13"/>
    <w:rsid w:val="00714A26"/>
    <w:rsid w:val="00714A2F"/>
    <w:rsid w:val="00714A80"/>
    <w:rsid w:val="00714ABC"/>
    <w:rsid w:val="00714AC1"/>
    <w:rsid w:val="00714ACA"/>
    <w:rsid w:val="00714B0D"/>
    <w:rsid w:val="00714B9C"/>
    <w:rsid w:val="00714BBD"/>
    <w:rsid w:val="00714C21"/>
    <w:rsid w:val="00714C80"/>
    <w:rsid w:val="00714D00"/>
    <w:rsid w:val="00714D49"/>
    <w:rsid w:val="00714E20"/>
    <w:rsid w:val="00714E28"/>
    <w:rsid w:val="00714EC7"/>
    <w:rsid w:val="00714EDC"/>
    <w:rsid w:val="00714EE7"/>
    <w:rsid w:val="00714F72"/>
    <w:rsid w:val="00714F7D"/>
    <w:rsid w:val="00714FAD"/>
    <w:rsid w:val="00714FDC"/>
    <w:rsid w:val="00714FF2"/>
    <w:rsid w:val="0071506D"/>
    <w:rsid w:val="007150EB"/>
    <w:rsid w:val="0071511B"/>
    <w:rsid w:val="00715148"/>
    <w:rsid w:val="0071515B"/>
    <w:rsid w:val="007151F4"/>
    <w:rsid w:val="00715203"/>
    <w:rsid w:val="0071526E"/>
    <w:rsid w:val="00715271"/>
    <w:rsid w:val="00715276"/>
    <w:rsid w:val="007152AC"/>
    <w:rsid w:val="007152C8"/>
    <w:rsid w:val="00715314"/>
    <w:rsid w:val="0071533A"/>
    <w:rsid w:val="0071539D"/>
    <w:rsid w:val="007153A7"/>
    <w:rsid w:val="007153FE"/>
    <w:rsid w:val="00715428"/>
    <w:rsid w:val="0071542E"/>
    <w:rsid w:val="00715432"/>
    <w:rsid w:val="00715442"/>
    <w:rsid w:val="0071549F"/>
    <w:rsid w:val="007154B2"/>
    <w:rsid w:val="007154FA"/>
    <w:rsid w:val="00715500"/>
    <w:rsid w:val="00715523"/>
    <w:rsid w:val="00715541"/>
    <w:rsid w:val="00715579"/>
    <w:rsid w:val="00715595"/>
    <w:rsid w:val="007155AF"/>
    <w:rsid w:val="007155F2"/>
    <w:rsid w:val="007155F9"/>
    <w:rsid w:val="00715627"/>
    <w:rsid w:val="00715678"/>
    <w:rsid w:val="007156B5"/>
    <w:rsid w:val="007156E9"/>
    <w:rsid w:val="0071571F"/>
    <w:rsid w:val="0071573D"/>
    <w:rsid w:val="0071576C"/>
    <w:rsid w:val="007157B9"/>
    <w:rsid w:val="007157CC"/>
    <w:rsid w:val="007157F1"/>
    <w:rsid w:val="007157F4"/>
    <w:rsid w:val="00715844"/>
    <w:rsid w:val="00715904"/>
    <w:rsid w:val="00715927"/>
    <w:rsid w:val="00715935"/>
    <w:rsid w:val="0071593C"/>
    <w:rsid w:val="0071594E"/>
    <w:rsid w:val="0071595C"/>
    <w:rsid w:val="0071595F"/>
    <w:rsid w:val="007159EE"/>
    <w:rsid w:val="00715A88"/>
    <w:rsid w:val="00715ADD"/>
    <w:rsid w:val="00715B5F"/>
    <w:rsid w:val="00715BE7"/>
    <w:rsid w:val="00715C05"/>
    <w:rsid w:val="00715C0D"/>
    <w:rsid w:val="00715D39"/>
    <w:rsid w:val="00715DBC"/>
    <w:rsid w:val="00715DD1"/>
    <w:rsid w:val="00715E01"/>
    <w:rsid w:val="00715E4E"/>
    <w:rsid w:val="00715E59"/>
    <w:rsid w:val="00715E67"/>
    <w:rsid w:val="00715F7D"/>
    <w:rsid w:val="00715FD2"/>
    <w:rsid w:val="00715FF6"/>
    <w:rsid w:val="00716004"/>
    <w:rsid w:val="00716075"/>
    <w:rsid w:val="00716090"/>
    <w:rsid w:val="00716130"/>
    <w:rsid w:val="00716132"/>
    <w:rsid w:val="00716171"/>
    <w:rsid w:val="0071617F"/>
    <w:rsid w:val="007161BA"/>
    <w:rsid w:val="007161C3"/>
    <w:rsid w:val="007161DF"/>
    <w:rsid w:val="0071624C"/>
    <w:rsid w:val="0071629E"/>
    <w:rsid w:val="007162E2"/>
    <w:rsid w:val="007162FD"/>
    <w:rsid w:val="0071632F"/>
    <w:rsid w:val="00716330"/>
    <w:rsid w:val="0071633A"/>
    <w:rsid w:val="00716356"/>
    <w:rsid w:val="0071637B"/>
    <w:rsid w:val="00716418"/>
    <w:rsid w:val="0071645F"/>
    <w:rsid w:val="00716469"/>
    <w:rsid w:val="007164A5"/>
    <w:rsid w:val="007164B2"/>
    <w:rsid w:val="007164B8"/>
    <w:rsid w:val="00716539"/>
    <w:rsid w:val="0071658F"/>
    <w:rsid w:val="007165AD"/>
    <w:rsid w:val="007165CE"/>
    <w:rsid w:val="007165D3"/>
    <w:rsid w:val="00716646"/>
    <w:rsid w:val="00716654"/>
    <w:rsid w:val="0071666E"/>
    <w:rsid w:val="0071669F"/>
    <w:rsid w:val="007166FD"/>
    <w:rsid w:val="00716735"/>
    <w:rsid w:val="007167AD"/>
    <w:rsid w:val="007167C3"/>
    <w:rsid w:val="007167FC"/>
    <w:rsid w:val="00716868"/>
    <w:rsid w:val="00716895"/>
    <w:rsid w:val="007168EA"/>
    <w:rsid w:val="00716900"/>
    <w:rsid w:val="0071693E"/>
    <w:rsid w:val="0071697A"/>
    <w:rsid w:val="007169A4"/>
    <w:rsid w:val="00716A41"/>
    <w:rsid w:val="00716A54"/>
    <w:rsid w:val="00716AAC"/>
    <w:rsid w:val="00716AFD"/>
    <w:rsid w:val="00716AFE"/>
    <w:rsid w:val="00716B39"/>
    <w:rsid w:val="00716BB1"/>
    <w:rsid w:val="00716C3C"/>
    <w:rsid w:val="00716C48"/>
    <w:rsid w:val="00716C70"/>
    <w:rsid w:val="00716CA0"/>
    <w:rsid w:val="00716CA7"/>
    <w:rsid w:val="00716CC4"/>
    <w:rsid w:val="00716D49"/>
    <w:rsid w:val="00716D4E"/>
    <w:rsid w:val="00716D9C"/>
    <w:rsid w:val="00716DC4"/>
    <w:rsid w:val="00716DC7"/>
    <w:rsid w:val="00716EC9"/>
    <w:rsid w:val="00716ECF"/>
    <w:rsid w:val="00716ED4"/>
    <w:rsid w:val="00716EFF"/>
    <w:rsid w:val="00716F22"/>
    <w:rsid w:val="00716F47"/>
    <w:rsid w:val="00716FAF"/>
    <w:rsid w:val="00716FD0"/>
    <w:rsid w:val="00716FF2"/>
    <w:rsid w:val="00717018"/>
    <w:rsid w:val="00717089"/>
    <w:rsid w:val="007170AE"/>
    <w:rsid w:val="007170E3"/>
    <w:rsid w:val="007170EC"/>
    <w:rsid w:val="007170F0"/>
    <w:rsid w:val="00717136"/>
    <w:rsid w:val="0071715A"/>
    <w:rsid w:val="007171FD"/>
    <w:rsid w:val="007171FE"/>
    <w:rsid w:val="00717212"/>
    <w:rsid w:val="00717233"/>
    <w:rsid w:val="0071728D"/>
    <w:rsid w:val="007172D4"/>
    <w:rsid w:val="007172E5"/>
    <w:rsid w:val="00717309"/>
    <w:rsid w:val="00717318"/>
    <w:rsid w:val="00717388"/>
    <w:rsid w:val="00717399"/>
    <w:rsid w:val="007173CC"/>
    <w:rsid w:val="007173E9"/>
    <w:rsid w:val="007174EF"/>
    <w:rsid w:val="00717549"/>
    <w:rsid w:val="00717558"/>
    <w:rsid w:val="007175FE"/>
    <w:rsid w:val="007175FF"/>
    <w:rsid w:val="00717650"/>
    <w:rsid w:val="00717653"/>
    <w:rsid w:val="0071766D"/>
    <w:rsid w:val="007176C2"/>
    <w:rsid w:val="007176FF"/>
    <w:rsid w:val="007177E9"/>
    <w:rsid w:val="007177F6"/>
    <w:rsid w:val="0071785E"/>
    <w:rsid w:val="00717877"/>
    <w:rsid w:val="0071790E"/>
    <w:rsid w:val="0071794D"/>
    <w:rsid w:val="00717969"/>
    <w:rsid w:val="0071797E"/>
    <w:rsid w:val="0071799B"/>
    <w:rsid w:val="007179B0"/>
    <w:rsid w:val="00717A02"/>
    <w:rsid w:val="00717A07"/>
    <w:rsid w:val="00717A1B"/>
    <w:rsid w:val="00717ABD"/>
    <w:rsid w:val="00717AF1"/>
    <w:rsid w:val="00717B15"/>
    <w:rsid w:val="00717B91"/>
    <w:rsid w:val="00717B95"/>
    <w:rsid w:val="00717C19"/>
    <w:rsid w:val="00717C44"/>
    <w:rsid w:val="00717C77"/>
    <w:rsid w:val="00717C7E"/>
    <w:rsid w:val="00717CF9"/>
    <w:rsid w:val="00717D36"/>
    <w:rsid w:val="00717D8D"/>
    <w:rsid w:val="00717DA8"/>
    <w:rsid w:val="00717E38"/>
    <w:rsid w:val="00717E9D"/>
    <w:rsid w:val="00717EA7"/>
    <w:rsid w:val="00717EB8"/>
    <w:rsid w:val="00717ED5"/>
    <w:rsid w:val="00717EF1"/>
    <w:rsid w:val="00717F31"/>
    <w:rsid w:val="00717F9E"/>
    <w:rsid w:val="00717FB1"/>
    <w:rsid w:val="00720033"/>
    <w:rsid w:val="007200CB"/>
    <w:rsid w:val="007200ED"/>
    <w:rsid w:val="0072010B"/>
    <w:rsid w:val="00720177"/>
    <w:rsid w:val="007201A4"/>
    <w:rsid w:val="007201F8"/>
    <w:rsid w:val="00720280"/>
    <w:rsid w:val="007202B6"/>
    <w:rsid w:val="007202DD"/>
    <w:rsid w:val="0072031D"/>
    <w:rsid w:val="007203E9"/>
    <w:rsid w:val="0072043C"/>
    <w:rsid w:val="00720492"/>
    <w:rsid w:val="007204B5"/>
    <w:rsid w:val="007204F2"/>
    <w:rsid w:val="00720561"/>
    <w:rsid w:val="007205A5"/>
    <w:rsid w:val="007205B1"/>
    <w:rsid w:val="007205D1"/>
    <w:rsid w:val="00720697"/>
    <w:rsid w:val="007206A7"/>
    <w:rsid w:val="007206BB"/>
    <w:rsid w:val="007206D5"/>
    <w:rsid w:val="007206E2"/>
    <w:rsid w:val="007206EC"/>
    <w:rsid w:val="00720743"/>
    <w:rsid w:val="00720750"/>
    <w:rsid w:val="0072078D"/>
    <w:rsid w:val="00720830"/>
    <w:rsid w:val="0072087B"/>
    <w:rsid w:val="007208A1"/>
    <w:rsid w:val="0072094E"/>
    <w:rsid w:val="00720968"/>
    <w:rsid w:val="0072098E"/>
    <w:rsid w:val="00720A6F"/>
    <w:rsid w:val="00720AA5"/>
    <w:rsid w:val="00720AF1"/>
    <w:rsid w:val="00720AF7"/>
    <w:rsid w:val="00720B02"/>
    <w:rsid w:val="00720B51"/>
    <w:rsid w:val="00720B72"/>
    <w:rsid w:val="00720BCF"/>
    <w:rsid w:val="00720C16"/>
    <w:rsid w:val="00720C7A"/>
    <w:rsid w:val="00720C85"/>
    <w:rsid w:val="00720CF5"/>
    <w:rsid w:val="00720D45"/>
    <w:rsid w:val="00720DC1"/>
    <w:rsid w:val="00720DDC"/>
    <w:rsid w:val="00720DF6"/>
    <w:rsid w:val="00720E25"/>
    <w:rsid w:val="00720E73"/>
    <w:rsid w:val="00720E95"/>
    <w:rsid w:val="00720F3B"/>
    <w:rsid w:val="00720F5A"/>
    <w:rsid w:val="00720F8E"/>
    <w:rsid w:val="00720FA4"/>
    <w:rsid w:val="00720FC0"/>
    <w:rsid w:val="007210B2"/>
    <w:rsid w:val="007210BD"/>
    <w:rsid w:val="007210DB"/>
    <w:rsid w:val="00721104"/>
    <w:rsid w:val="0072113B"/>
    <w:rsid w:val="007211DE"/>
    <w:rsid w:val="007211E1"/>
    <w:rsid w:val="0072123A"/>
    <w:rsid w:val="0072127D"/>
    <w:rsid w:val="007212B3"/>
    <w:rsid w:val="00721319"/>
    <w:rsid w:val="00721367"/>
    <w:rsid w:val="0072136E"/>
    <w:rsid w:val="00721384"/>
    <w:rsid w:val="007213DA"/>
    <w:rsid w:val="007213F7"/>
    <w:rsid w:val="00721474"/>
    <w:rsid w:val="007214DE"/>
    <w:rsid w:val="007214EA"/>
    <w:rsid w:val="007214FD"/>
    <w:rsid w:val="0072157A"/>
    <w:rsid w:val="007215AC"/>
    <w:rsid w:val="007215D4"/>
    <w:rsid w:val="00721633"/>
    <w:rsid w:val="0072167E"/>
    <w:rsid w:val="007216A0"/>
    <w:rsid w:val="007216AE"/>
    <w:rsid w:val="007216B8"/>
    <w:rsid w:val="007216D9"/>
    <w:rsid w:val="00721705"/>
    <w:rsid w:val="007217A3"/>
    <w:rsid w:val="007217F1"/>
    <w:rsid w:val="00721864"/>
    <w:rsid w:val="007218A5"/>
    <w:rsid w:val="007218CE"/>
    <w:rsid w:val="00721974"/>
    <w:rsid w:val="0072199B"/>
    <w:rsid w:val="007219DB"/>
    <w:rsid w:val="00721A15"/>
    <w:rsid w:val="00721A92"/>
    <w:rsid w:val="00721AE7"/>
    <w:rsid w:val="00721B0A"/>
    <w:rsid w:val="00721B64"/>
    <w:rsid w:val="00721BA5"/>
    <w:rsid w:val="00721BE1"/>
    <w:rsid w:val="00721BEF"/>
    <w:rsid w:val="00721C39"/>
    <w:rsid w:val="00721C57"/>
    <w:rsid w:val="00721C65"/>
    <w:rsid w:val="00721CDA"/>
    <w:rsid w:val="00721D14"/>
    <w:rsid w:val="00721D7D"/>
    <w:rsid w:val="00721D80"/>
    <w:rsid w:val="00721DE9"/>
    <w:rsid w:val="00721E57"/>
    <w:rsid w:val="00721E74"/>
    <w:rsid w:val="00721EBB"/>
    <w:rsid w:val="00721ED8"/>
    <w:rsid w:val="00721F21"/>
    <w:rsid w:val="00721FCD"/>
    <w:rsid w:val="00721FD9"/>
    <w:rsid w:val="00722044"/>
    <w:rsid w:val="007220BB"/>
    <w:rsid w:val="007220D5"/>
    <w:rsid w:val="007220F3"/>
    <w:rsid w:val="0072213A"/>
    <w:rsid w:val="00722162"/>
    <w:rsid w:val="0072217E"/>
    <w:rsid w:val="007221A6"/>
    <w:rsid w:val="007221B1"/>
    <w:rsid w:val="0072224F"/>
    <w:rsid w:val="00722281"/>
    <w:rsid w:val="00722296"/>
    <w:rsid w:val="007222D5"/>
    <w:rsid w:val="007222F3"/>
    <w:rsid w:val="007222F7"/>
    <w:rsid w:val="0072231D"/>
    <w:rsid w:val="00722339"/>
    <w:rsid w:val="0072233F"/>
    <w:rsid w:val="00722342"/>
    <w:rsid w:val="00722346"/>
    <w:rsid w:val="0072235C"/>
    <w:rsid w:val="0072235D"/>
    <w:rsid w:val="0072237D"/>
    <w:rsid w:val="0072238E"/>
    <w:rsid w:val="007223B8"/>
    <w:rsid w:val="0072244F"/>
    <w:rsid w:val="007224C9"/>
    <w:rsid w:val="00722510"/>
    <w:rsid w:val="007225FD"/>
    <w:rsid w:val="00722621"/>
    <w:rsid w:val="00722644"/>
    <w:rsid w:val="007226AA"/>
    <w:rsid w:val="007226D6"/>
    <w:rsid w:val="0072271C"/>
    <w:rsid w:val="00722729"/>
    <w:rsid w:val="0072278B"/>
    <w:rsid w:val="007227B5"/>
    <w:rsid w:val="007227ED"/>
    <w:rsid w:val="0072285C"/>
    <w:rsid w:val="007228B0"/>
    <w:rsid w:val="007228C8"/>
    <w:rsid w:val="00722900"/>
    <w:rsid w:val="0072294A"/>
    <w:rsid w:val="00722957"/>
    <w:rsid w:val="0072295A"/>
    <w:rsid w:val="00722994"/>
    <w:rsid w:val="007229AF"/>
    <w:rsid w:val="007229FD"/>
    <w:rsid w:val="00722A00"/>
    <w:rsid w:val="00722A05"/>
    <w:rsid w:val="00722A3C"/>
    <w:rsid w:val="00722A97"/>
    <w:rsid w:val="00722B2B"/>
    <w:rsid w:val="00722B56"/>
    <w:rsid w:val="00722B84"/>
    <w:rsid w:val="00722B88"/>
    <w:rsid w:val="00722BD2"/>
    <w:rsid w:val="00722BD6"/>
    <w:rsid w:val="00722BE3"/>
    <w:rsid w:val="00722BFC"/>
    <w:rsid w:val="00722C21"/>
    <w:rsid w:val="00722C72"/>
    <w:rsid w:val="00722CEF"/>
    <w:rsid w:val="00722D2F"/>
    <w:rsid w:val="00722D66"/>
    <w:rsid w:val="00722DB5"/>
    <w:rsid w:val="00722DBF"/>
    <w:rsid w:val="00722DF4"/>
    <w:rsid w:val="00722E64"/>
    <w:rsid w:val="00722E86"/>
    <w:rsid w:val="00722EFE"/>
    <w:rsid w:val="00722F17"/>
    <w:rsid w:val="00723014"/>
    <w:rsid w:val="0072306D"/>
    <w:rsid w:val="007230AF"/>
    <w:rsid w:val="007230D6"/>
    <w:rsid w:val="0072329D"/>
    <w:rsid w:val="007232D5"/>
    <w:rsid w:val="007232DF"/>
    <w:rsid w:val="00723326"/>
    <w:rsid w:val="0072332A"/>
    <w:rsid w:val="00723378"/>
    <w:rsid w:val="00723387"/>
    <w:rsid w:val="007233B2"/>
    <w:rsid w:val="007233C7"/>
    <w:rsid w:val="007233EC"/>
    <w:rsid w:val="0072342D"/>
    <w:rsid w:val="0072344E"/>
    <w:rsid w:val="00723499"/>
    <w:rsid w:val="007234C1"/>
    <w:rsid w:val="007234EA"/>
    <w:rsid w:val="007234F0"/>
    <w:rsid w:val="007234F3"/>
    <w:rsid w:val="00723518"/>
    <w:rsid w:val="00723599"/>
    <w:rsid w:val="007235DA"/>
    <w:rsid w:val="007235DB"/>
    <w:rsid w:val="007235FF"/>
    <w:rsid w:val="00723643"/>
    <w:rsid w:val="007236C1"/>
    <w:rsid w:val="007236E3"/>
    <w:rsid w:val="007236EA"/>
    <w:rsid w:val="00723747"/>
    <w:rsid w:val="00723850"/>
    <w:rsid w:val="00723856"/>
    <w:rsid w:val="00723862"/>
    <w:rsid w:val="00723887"/>
    <w:rsid w:val="007238F9"/>
    <w:rsid w:val="00723982"/>
    <w:rsid w:val="00723992"/>
    <w:rsid w:val="007239B3"/>
    <w:rsid w:val="00723A45"/>
    <w:rsid w:val="00723C3A"/>
    <w:rsid w:val="00723C4B"/>
    <w:rsid w:val="00723D02"/>
    <w:rsid w:val="00723D0F"/>
    <w:rsid w:val="00723D2E"/>
    <w:rsid w:val="00723D45"/>
    <w:rsid w:val="00723D50"/>
    <w:rsid w:val="00723D5F"/>
    <w:rsid w:val="00723D69"/>
    <w:rsid w:val="00723DE0"/>
    <w:rsid w:val="00723DF2"/>
    <w:rsid w:val="00723E38"/>
    <w:rsid w:val="00723E5B"/>
    <w:rsid w:val="00723EAD"/>
    <w:rsid w:val="00723EBA"/>
    <w:rsid w:val="00723EBF"/>
    <w:rsid w:val="00723ED4"/>
    <w:rsid w:val="00723F6A"/>
    <w:rsid w:val="00723FB0"/>
    <w:rsid w:val="00723FFD"/>
    <w:rsid w:val="00724003"/>
    <w:rsid w:val="0072402E"/>
    <w:rsid w:val="00724069"/>
    <w:rsid w:val="007240BC"/>
    <w:rsid w:val="007240EC"/>
    <w:rsid w:val="00724106"/>
    <w:rsid w:val="00724171"/>
    <w:rsid w:val="0072419B"/>
    <w:rsid w:val="007241A4"/>
    <w:rsid w:val="00724219"/>
    <w:rsid w:val="0072425B"/>
    <w:rsid w:val="00724296"/>
    <w:rsid w:val="00724297"/>
    <w:rsid w:val="007242A6"/>
    <w:rsid w:val="007242F3"/>
    <w:rsid w:val="00724302"/>
    <w:rsid w:val="00724375"/>
    <w:rsid w:val="00724386"/>
    <w:rsid w:val="00724463"/>
    <w:rsid w:val="00724499"/>
    <w:rsid w:val="007244CA"/>
    <w:rsid w:val="007244CF"/>
    <w:rsid w:val="0072450F"/>
    <w:rsid w:val="00724578"/>
    <w:rsid w:val="0072462C"/>
    <w:rsid w:val="00724691"/>
    <w:rsid w:val="007246BA"/>
    <w:rsid w:val="007246D6"/>
    <w:rsid w:val="007246DE"/>
    <w:rsid w:val="00724713"/>
    <w:rsid w:val="0072479B"/>
    <w:rsid w:val="007247F6"/>
    <w:rsid w:val="0072482D"/>
    <w:rsid w:val="0072484F"/>
    <w:rsid w:val="0072495B"/>
    <w:rsid w:val="00724979"/>
    <w:rsid w:val="007249DE"/>
    <w:rsid w:val="00724A06"/>
    <w:rsid w:val="00724A55"/>
    <w:rsid w:val="00724A6A"/>
    <w:rsid w:val="00724AF1"/>
    <w:rsid w:val="00724B87"/>
    <w:rsid w:val="00724BAE"/>
    <w:rsid w:val="00724BDF"/>
    <w:rsid w:val="00724C24"/>
    <w:rsid w:val="00724C88"/>
    <w:rsid w:val="00724CA1"/>
    <w:rsid w:val="00724CCB"/>
    <w:rsid w:val="00724CE7"/>
    <w:rsid w:val="00724D27"/>
    <w:rsid w:val="00724D38"/>
    <w:rsid w:val="00724D5A"/>
    <w:rsid w:val="00724D82"/>
    <w:rsid w:val="00724DD8"/>
    <w:rsid w:val="00724DEB"/>
    <w:rsid w:val="00724E0B"/>
    <w:rsid w:val="00724E20"/>
    <w:rsid w:val="00724E36"/>
    <w:rsid w:val="00724E4A"/>
    <w:rsid w:val="00724E6D"/>
    <w:rsid w:val="00724E90"/>
    <w:rsid w:val="00724E9E"/>
    <w:rsid w:val="00724F0D"/>
    <w:rsid w:val="00724F24"/>
    <w:rsid w:val="00724F33"/>
    <w:rsid w:val="00724F4B"/>
    <w:rsid w:val="00724F4C"/>
    <w:rsid w:val="00724FE1"/>
    <w:rsid w:val="0072502A"/>
    <w:rsid w:val="00725042"/>
    <w:rsid w:val="007250C5"/>
    <w:rsid w:val="007250E5"/>
    <w:rsid w:val="00725156"/>
    <w:rsid w:val="007251C4"/>
    <w:rsid w:val="007251E3"/>
    <w:rsid w:val="00725208"/>
    <w:rsid w:val="00725226"/>
    <w:rsid w:val="0072523C"/>
    <w:rsid w:val="00725245"/>
    <w:rsid w:val="0072524E"/>
    <w:rsid w:val="0072525F"/>
    <w:rsid w:val="007252A0"/>
    <w:rsid w:val="007252C3"/>
    <w:rsid w:val="007252FF"/>
    <w:rsid w:val="007253D4"/>
    <w:rsid w:val="00725404"/>
    <w:rsid w:val="00725415"/>
    <w:rsid w:val="00725431"/>
    <w:rsid w:val="0072545C"/>
    <w:rsid w:val="007254C8"/>
    <w:rsid w:val="00725556"/>
    <w:rsid w:val="007255C1"/>
    <w:rsid w:val="007255C5"/>
    <w:rsid w:val="007255E4"/>
    <w:rsid w:val="00725613"/>
    <w:rsid w:val="00725635"/>
    <w:rsid w:val="007256A5"/>
    <w:rsid w:val="007257B0"/>
    <w:rsid w:val="007257CF"/>
    <w:rsid w:val="00725828"/>
    <w:rsid w:val="00725893"/>
    <w:rsid w:val="00725894"/>
    <w:rsid w:val="007258E1"/>
    <w:rsid w:val="00725918"/>
    <w:rsid w:val="00725922"/>
    <w:rsid w:val="007259A4"/>
    <w:rsid w:val="00725ACC"/>
    <w:rsid w:val="00725AF3"/>
    <w:rsid w:val="00725B0F"/>
    <w:rsid w:val="00725B48"/>
    <w:rsid w:val="00725B5D"/>
    <w:rsid w:val="00725B85"/>
    <w:rsid w:val="00725BB0"/>
    <w:rsid w:val="00725BC8"/>
    <w:rsid w:val="00725BE1"/>
    <w:rsid w:val="00725BFF"/>
    <w:rsid w:val="00725C52"/>
    <w:rsid w:val="00725C56"/>
    <w:rsid w:val="00725C60"/>
    <w:rsid w:val="00725C80"/>
    <w:rsid w:val="00725CC8"/>
    <w:rsid w:val="00725D5F"/>
    <w:rsid w:val="00725DA6"/>
    <w:rsid w:val="00725DBC"/>
    <w:rsid w:val="00725DD7"/>
    <w:rsid w:val="00725DDF"/>
    <w:rsid w:val="00725E3A"/>
    <w:rsid w:val="00725E3D"/>
    <w:rsid w:val="00725E62"/>
    <w:rsid w:val="00725E8C"/>
    <w:rsid w:val="00725FD6"/>
    <w:rsid w:val="00726129"/>
    <w:rsid w:val="0072615C"/>
    <w:rsid w:val="0072624D"/>
    <w:rsid w:val="00726289"/>
    <w:rsid w:val="007262E6"/>
    <w:rsid w:val="00726304"/>
    <w:rsid w:val="00726422"/>
    <w:rsid w:val="0072649A"/>
    <w:rsid w:val="007264C8"/>
    <w:rsid w:val="0072658E"/>
    <w:rsid w:val="007265C5"/>
    <w:rsid w:val="0072661E"/>
    <w:rsid w:val="00726627"/>
    <w:rsid w:val="00726698"/>
    <w:rsid w:val="007266E5"/>
    <w:rsid w:val="007266FD"/>
    <w:rsid w:val="00726723"/>
    <w:rsid w:val="00726728"/>
    <w:rsid w:val="0072675E"/>
    <w:rsid w:val="00726765"/>
    <w:rsid w:val="007267BF"/>
    <w:rsid w:val="00726837"/>
    <w:rsid w:val="0072683C"/>
    <w:rsid w:val="0072684C"/>
    <w:rsid w:val="00726921"/>
    <w:rsid w:val="0072692B"/>
    <w:rsid w:val="0072693F"/>
    <w:rsid w:val="00726943"/>
    <w:rsid w:val="00726968"/>
    <w:rsid w:val="007269A1"/>
    <w:rsid w:val="007269AF"/>
    <w:rsid w:val="007269D0"/>
    <w:rsid w:val="00726A38"/>
    <w:rsid w:val="00726A46"/>
    <w:rsid w:val="00726AE0"/>
    <w:rsid w:val="00726AEC"/>
    <w:rsid w:val="00726B99"/>
    <w:rsid w:val="00726C27"/>
    <w:rsid w:val="00726C56"/>
    <w:rsid w:val="00726C77"/>
    <w:rsid w:val="00726CAE"/>
    <w:rsid w:val="00726CC4"/>
    <w:rsid w:val="00726D2F"/>
    <w:rsid w:val="00726D3B"/>
    <w:rsid w:val="00726D4D"/>
    <w:rsid w:val="00726DD3"/>
    <w:rsid w:val="00726EA4"/>
    <w:rsid w:val="00726EF1"/>
    <w:rsid w:val="00726F99"/>
    <w:rsid w:val="00726FDD"/>
    <w:rsid w:val="00727063"/>
    <w:rsid w:val="0072706D"/>
    <w:rsid w:val="007270B8"/>
    <w:rsid w:val="007270CA"/>
    <w:rsid w:val="007270E3"/>
    <w:rsid w:val="00727263"/>
    <w:rsid w:val="0072727A"/>
    <w:rsid w:val="00727298"/>
    <w:rsid w:val="007272A4"/>
    <w:rsid w:val="007272D1"/>
    <w:rsid w:val="007272D6"/>
    <w:rsid w:val="00727328"/>
    <w:rsid w:val="00727357"/>
    <w:rsid w:val="00727361"/>
    <w:rsid w:val="007273B0"/>
    <w:rsid w:val="007273C2"/>
    <w:rsid w:val="007273FA"/>
    <w:rsid w:val="00727421"/>
    <w:rsid w:val="00727435"/>
    <w:rsid w:val="0072744F"/>
    <w:rsid w:val="00727464"/>
    <w:rsid w:val="0072748E"/>
    <w:rsid w:val="007274A2"/>
    <w:rsid w:val="007274A9"/>
    <w:rsid w:val="00727511"/>
    <w:rsid w:val="00727546"/>
    <w:rsid w:val="0072755C"/>
    <w:rsid w:val="007275B2"/>
    <w:rsid w:val="007275B9"/>
    <w:rsid w:val="0072760E"/>
    <w:rsid w:val="00727618"/>
    <w:rsid w:val="0072761E"/>
    <w:rsid w:val="00727661"/>
    <w:rsid w:val="0072769D"/>
    <w:rsid w:val="007276F2"/>
    <w:rsid w:val="0072770D"/>
    <w:rsid w:val="00727724"/>
    <w:rsid w:val="00727727"/>
    <w:rsid w:val="00727760"/>
    <w:rsid w:val="007277B1"/>
    <w:rsid w:val="007277D1"/>
    <w:rsid w:val="007277ED"/>
    <w:rsid w:val="007278BF"/>
    <w:rsid w:val="00727989"/>
    <w:rsid w:val="007279E9"/>
    <w:rsid w:val="00727A08"/>
    <w:rsid w:val="00727A23"/>
    <w:rsid w:val="00727A4A"/>
    <w:rsid w:val="00727A56"/>
    <w:rsid w:val="00727A83"/>
    <w:rsid w:val="00727A94"/>
    <w:rsid w:val="00727AD0"/>
    <w:rsid w:val="00727AE9"/>
    <w:rsid w:val="00727B70"/>
    <w:rsid w:val="00727B75"/>
    <w:rsid w:val="00727B93"/>
    <w:rsid w:val="00727BA7"/>
    <w:rsid w:val="00727BAC"/>
    <w:rsid w:val="00727BB5"/>
    <w:rsid w:val="00727BB7"/>
    <w:rsid w:val="00727BE6"/>
    <w:rsid w:val="00727C04"/>
    <w:rsid w:val="00727CC1"/>
    <w:rsid w:val="00727CEB"/>
    <w:rsid w:val="00727CF5"/>
    <w:rsid w:val="00727D07"/>
    <w:rsid w:val="00727D74"/>
    <w:rsid w:val="00727DAF"/>
    <w:rsid w:val="00727DC7"/>
    <w:rsid w:val="00727E0A"/>
    <w:rsid w:val="00727EB7"/>
    <w:rsid w:val="00727EB8"/>
    <w:rsid w:val="00727F53"/>
    <w:rsid w:val="00727F57"/>
    <w:rsid w:val="00727F77"/>
    <w:rsid w:val="00727FAC"/>
    <w:rsid w:val="00727FE3"/>
    <w:rsid w:val="00730022"/>
    <w:rsid w:val="0073006F"/>
    <w:rsid w:val="00730084"/>
    <w:rsid w:val="007300B9"/>
    <w:rsid w:val="007300DC"/>
    <w:rsid w:val="007300E5"/>
    <w:rsid w:val="00730138"/>
    <w:rsid w:val="007301A1"/>
    <w:rsid w:val="0073024A"/>
    <w:rsid w:val="0073025A"/>
    <w:rsid w:val="007302DC"/>
    <w:rsid w:val="007302DD"/>
    <w:rsid w:val="007302F5"/>
    <w:rsid w:val="0073038F"/>
    <w:rsid w:val="007303BF"/>
    <w:rsid w:val="007303DF"/>
    <w:rsid w:val="007304C7"/>
    <w:rsid w:val="007304CE"/>
    <w:rsid w:val="00730524"/>
    <w:rsid w:val="00730558"/>
    <w:rsid w:val="007305BA"/>
    <w:rsid w:val="00730608"/>
    <w:rsid w:val="007306EA"/>
    <w:rsid w:val="007306EE"/>
    <w:rsid w:val="00730738"/>
    <w:rsid w:val="0073073B"/>
    <w:rsid w:val="00730785"/>
    <w:rsid w:val="007308DE"/>
    <w:rsid w:val="007308FB"/>
    <w:rsid w:val="0073092D"/>
    <w:rsid w:val="007309A0"/>
    <w:rsid w:val="007309B9"/>
    <w:rsid w:val="007309DC"/>
    <w:rsid w:val="00730A2E"/>
    <w:rsid w:val="00730ABD"/>
    <w:rsid w:val="00730B71"/>
    <w:rsid w:val="00730C25"/>
    <w:rsid w:val="00730C73"/>
    <w:rsid w:val="00730C84"/>
    <w:rsid w:val="00730C88"/>
    <w:rsid w:val="00730CCF"/>
    <w:rsid w:val="00730CF2"/>
    <w:rsid w:val="00730CF5"/>
    <w:rsid w:val="00730D09"/>
    <w:rsid w:val="00730D8C"/>
    <w:rsid w:val="00730DB7"/>
    <w:rsid w:val="00730E25"/>
    <w:rsid w:val="00730E80"/>
    <w:rsid w:val="00730EA7"/>
    <w:rsid w:val="00730F99"/>
    <w:rsid w:val="007310A6"/>
    <w:rsid w:val="007310C2"/>
    <w:rsid w:val="00731114"/>
    <w:rsid w:val="0073113A"/>
    <w:rsid w:val="007311F3"/>
    <w:rsid w:val="0073120E"/>
    <w:rsid w:val="0073125D"/>
    <w:rsid w:val="00731295"/>
    <w:rsid w:val="0073137E"/>
    <w:rsid w:val="00731390"/>
    <w:rsid w:val="00731396"/>
    <w:rsid w:val="0073139B"/>
    <w:rsid w:val="007313A4"/>
    <w:rsid w:val="007313AE"/>
    <w:rsid w:val="007313D5"/>
    <w:rsid w:val="007313DE"/>
    <w:rsid w:val="00731426"/>
    <w:rsid w:val="00731435"/>
    <w:rsid w:val="00731478"/>
    <w:rsid w:val="007314A3"/>
    <w:rsid w:val="00731521"/>
    <w:rsid w:val="00731538"/>
    <w:rsid w:val="00731552"/>
    <w:rsid w:val="00731557"/>
    <w:rsid w:val="00731598"/>
    <w:rsid w:val="007315ED"/>
    <w:rsid w:val="007315FC"/>
    <w:rsid w:val="00731600"/>
    <w:rsid w:val="00731618"/>
    <w:rsid w:val="007316FC"/>
    <w:rsid w:val="00731744"/>
    <w:rsid w:val="00731781"/>
    <w:rsid w:val="007317B1"/>
    <w:rsid w:val="007317C7"/>
    <w:rsid w:val="007317CF"/>
    <w:rsid w:val="00731874"/>
    <w:rsid w:val="00731889"/>
    <w:rsid w:val="00731904"/>
    <w:rsid w:val="0073195C"/>
    <w:rsid w:val="0073197C"/>
    <w:rsid w:val="0073198D"/>
    <w:rsid w:val="007319A8"/>
    <w:rsid w:val="00731A33"/>
    <w:rsid w:val="00731A63"/>
    <w:rsid w:val="00731A8A"/>
    <w:rsid w:val="00731AA2"/>
    <w:rsid w:val="00731AC2"/>
    <w:rsid w:val="00731ACC"/>
    <w:rsid w:val="00731AF6"/>
    <w:rsid w:val="00731B08"/>
    <w:rsid w:val="00731B63"/>
    <w:rsid w:val="00731B74"/>
    <w:rsid w:val="00731B8A"/>
    <w:rsid w:val="00731BB2"/>
    <w:rsid w:val="00731C2A"/>
    <w:rsid w:val="00731C58"/>
    <w:rsid w:val="00731C8F"/>
    <w:rsid w:val="00731CF1"/>
    <w:rsid w:val="00731CF5"/>
    <w:rsid w:val="00731D30"/>
    <w:rsid w:val="00731D8D"/>
    <w:rsid w:val="00731D8E"/>
    <w:rsid w:val="00731DA6"/>
    <w:rsid w:val="00731DA8"/>
    <w:rsid w:val="00731DCD"/>
    <w:rsid w:val="00731DE1"/>
    <w:rsid w:val="00731E2C"/>
    <w:rsid w:val="00731E50"/>
    <w:rsid w:val="00731F05"/>
    <w:rsid w:val="00731F07"/>
    <w:rsid w:val="00731F64"/>
    <w:rsid w:val="00731F78"/>
    <w:rsid w:val="00731FD2"/>
    <w:rsid w:val="007320A3"/>
    <w:rsid w:val="007320BD"/>
    <w:rsid w:val="007320E3"/>
    <w:rsid w:val="007320E5"/>
    <w:rsid w:val="0073211A"/>
    <w:rsid w:val="0073218C"/>
    <w:rsid w:val="00732232"/>
    <w:rsid w:val="00732236"/>
    <w:rsid w:val="00732242"/>
    <w:rsid w:val="007322AB"/>
    <w:rsid w:val="007322BB"/>
    <w:rsid w:val="007322CD"/>
    <w:rsid w:val="007322CE"/>
    <w:rsid w:val="007322F1"/>
    <w:rsid w:val="00732302"/>
    <w:rsid w:val="00732348"/>
    <w:rsid w:val="00732461"/>
    <w:rsid w:val="007324B9"/>
    <w:rsid w:val="00732502"/>
    <w:rsid w:val="0073251F"/>
    <w:rsid w:val="00732527"/>
    <w:rsid w:val="00732529"/>
    <w:rsid w:val="0073257D"/>
    <w:rsid w:val="0073257F"/>
    <w:rsid w:val="00732586"/>
    <w:rsid w:val="007325C7"/>
    <w:rsid w:val="0073261F"/>
    <w:rsid w:val="0073267D"/>
    <w:rsid w:val="007326AA"/>
    <w:rsid w:val="007326B6"/>
    <w:rsid w:val="007326D9"/>
    <w:rsid w:val="007326E3"/>
    <w:rsid w:val="0073271B"/>
    <w:rsid w:val="00732771"/>
    <w:rsid w:val="007327A5"/>
    <w:rsid w:val="007327AE"/>
    <w:rsid w:val="007327E9"/>
    <w:rsid w:val="00732811"/>
    <w:rsid w:val="0073293D"/>
    <w:rsid w:val="0073293F"/>
    <w:rsid w:val="00732975"/>
    <w:rsid w:val="0073298D"/>
    <w:rsid w:val="007329CA"/>
    <w:rsid w:val="007329FF"/>
    <w:rsid w:val="00732AB7"/>
    <w:rsid w:val="00732AC1"/>
    <w:rsid w:val="00732B1F"/>
    <w:rsid w:val="00732B23"/>
    <w:rsid w:val="00732B5E"/>
    <w:rsid w:val="00732BFA"/>
    <w:rsid w:val="00732C43"/>
    <w:rsid w:val="00732CCA"/>
    <w:rsid w:val="00732CFD"/>
    <w:rsid w:val="00732CFF"/>
    <w:rsid w:val="00732D01"/>
    <w:rsid w:val="00732D18"/>
    <w:rsid w:val="00732D20"/>
    <w:rsid w:val="00732D4A"/>
    <w:rsid w:val="00732D68"/>
    <w:rsid w:val="00732D7F"/>
    <w:rsid w:val="00732D9C"/>
    <w:rsid w:val="00732DDE"/>
    <w:rsid w:val="00732E16"/>
    <w:rsid w:val="00732E6B"/>
    <w:rsid w:val="00732E71"/>
    <w:rsid w:val="00732FC6"/>
    <w:rsid w:val="00732FD0"/>
    <w:rsid w:val="00732FF9"/>
    <w:rsid w:val="0073300F"/>
    <w:rsid w:val="0073304B"/>
    <w:rsid w:val="00733072"/>
    <w:rsid w:val="00733084"/>
    <w:rsid w:val="00733097"/>
    <w:rsid w:val="007330B6"/>
    <w:rsid w:val="007330B8"/>
    <w:rsid w:val="007330C7"/>
    <w:rsid w:val="007330CA"/>
    <w:rsid w:val="007330E2"/>
    <w:rsid w:val="0073314B"/>
    <w:rsid w:val="007331B7"/>
    <w:rsid w:val="007331EF"/>
    <w:rsid w:val="0073327A"/>
    <w:rsid w:val="00733336"/>
    <w:rsid w:val="007333B2"/>
    <w:rsid w:val="007333CF"/>
    <w:rsid w:val="00733460"/>
    <w:rsid w:val="00733480"/>
    <w:rsid w:val="00733499"/>
    <w:rsid w:val="007334E1"/>
    <w:rsid w:val="00733527"/>
    <w:rsid w:val="00733587"/>
    <w:rsid w:val="007335B1"/>
    <w:rsid w:val="00733626"/>
    <w:rsid w:val="007336BF"/>
    <w:rsid w:val="007336E8"/>
    <w:rsid w:val="00733732"/>
    <w:rsid w:val="00733780"/>
    <w:rsid w:val="0073378E"/>
    <w:rsid w:val="00733826"/>
    <w:rsid w:val="0073383A"/>
    <w:rsid w:val="00733866"/>
    <w:rsid w:val="0073388B"/>
    <w:rsid w:val="0073391A"/>
    <w:rsid w:val="0073391B"/>
    <w:rsid w:val="0073394E"/>
    <w:rsid w:val="0073396F"/>
    <w:rsid w:val="00733AFC"/>
    <w:rsid w:val="00733AFE"/>
    <w:rsid w:val="00733B01"/>
    <w:rsid w:val="00733B3A"/>
    <w:rsid w:val="00733C0C"/>
    <w:rsid w:val="00733C45"/>
    <w:rsid w:val="00733C8A"/>
    <w:rsid w:val="00733CA1"/>
    <w:rsid w:val="00733CE3"/>
    <w:rsid w:val="00733CEC"/>
    <w:rsid w:val="00733D5E"/>
    <w:rsid w:val="00733D81"/>
    <w:rsid w:val="00733E3A"/>
    <w:rsid w:val="00733E57"/>
    <w:rsid w:val="00733F01"/>
    <w:rsid w:val="00733F5C"/>
    <w:rsid w:val="00733F7D"/>
    <w:rsid w:val="00733FBD"/>
    <w:rsid w:val="00733FF5"/>
    <w:rsid w:val="00734014"/>
    <w:rsid w:val="00734022"/>
    <w:rsid w:val="0073408F"/>
    <w:rsid w:val="00734125"/>
    <w:rsid w:val="0073412E"/>
    <w:rsid w:val="007341AC"/>
    <w:rsid w:val="007341E7"/>
    <w:rsid w:val="007342A7"/>
    <w:rsid w:val="007342BA"/>
    <w:rsid w:val="007342DB"/>
    <w:rsid w:val="00734300"/>
    <w:rsid w:val="0073432A"/>
    <w:rsid w:val="00734363"/>
    <w:rsid w:val="0073439F"/>
    <w:rsid w:val="007344C3"/>
    <w:rsid w:val="007344E7"/>
    <w:rsid w:val="0073452F"/>
    <w:rsid w:val="007345AE"/>
    <w:rsid w:val="007345BE"/>
    <w:rsid w:val="007345E7"/>
    <w:rsid w:val="00734614"/>
    <w:rsid w:val="0073461B"/>
    <w:rsid w:val="0073466D"/>
    <w:rsid w:val="007346B1"/>
    <w:rsid w:val="007346E2"/>
    <w:rsid w:val="00734708"/>
    <w:rsid w:val="00734735"/>
    <w:rsid w:val="00734737"/>
    <w:rsid w:val="0073476C"/>
    <w:rsid w:val="00734785"/>
    <w:rsid w:val="00734793"/>
    <w:rsid w:val="007347D0"/>
    <w:rsid w:val="00734840"/>
    <w:rsid w:val="00734843"/>
    <w:rsid w:val="007348E4"/>
    <w:rsid w:val="007348FC"/>
    <w:rsid w:val="0073498B"/>
    <w:rsid w:val="007349DF"/>
    <w:rsid w:val="00734A2E"/>
    <w:rsid w:val="00734B58"/>
    <w:rsid w:val="00734B82"/>
    <w:rsid w:val="00734B85"/>
    <w:rsid w:val="00734B94"/>
    <w:rsid w:val="00734C3D"/>
    <w:rsid w:val="00734CBE"/>
    <w:rsid w:val="00734DA9"/>
    <w:rsid w:val="00734E1D"/>
    <w:rsid w:val="00734E48"/>
    <w:rsid w:val="00734E94"/>
    <w:rsid w:val="00734EB4"/>
    <w:rsid w:val="00734ECD"/>
    <w:rsid w:val="00734F97"/>
    <w:rsid w:val="00734F98"/>
    <w:rsid w:val="00735017"/>
    <w:rsid w:val="00735055"/>
    <w:rsid w:val="007350BF"/>
    <w:rsid w:val="007350FF"/>
    <w:rsid w:val="00735124"/>
    <w:rsid w:val="00735142"/>
    <w:rsid w:val="00735146"/>
    <w:rsid w:val="0073518B"/>
    <w:rsid w:val="0073518F"/>
    <w:rsid w:val="007352D0"/>
    <w:rsid w:val="007352EF"/>
    <w:rsid w:val="00735304"/>
    <w:rsid w:val="0073530F"/>
    <w:rsid w:val="00735315"/>
    <w:rsid w:val="0073533C"/>
    <w:rsid w:val="0073539F"/>
    <w:rsid w:val="007353A0"/>
    <w:rsid w:val="007353CB"/>
    <w:rsid w:val="0073540C"/>
    <w:rsid w:val="00735439"/>
    <w:rsid w:val="0073547F"/>
    <w:rsid w:val="007354A4"/>
    <w:rsid w:val="007354CE"/>
    <w:rsid w:val="00735506"/>
    <w:rsid w:val="00735516"/>
    <w:rsid w:val="0073551E"/>
    <w:rsid w:val="00735629"/>
    <w:rsid w:val="007356C2"/>
    <w:rsid w:val="007356DA"/>
    <w:rsid w:val="007356F0"/>
    <w:rsid w:val="0073577F"/>
    <w:rsid w:val="0073578B"/>
    <w:rsid w:val="00735797"/>
    <w:rsid w:val="007358B9"/>
    <w:rsid w:val="007358BC"/>
    <w:rsid w:val="007358F7"/>
    <w:rsid w:val="00735A19"/>
    <w:rsid w:val="00735A35"/>
    <w:rsid w:val="00735ABB"/>
    <w:rsid w:val="00735AF5"/>
    <w:rsid w:val="00735B2B"/>
    <w:rsid w:val="00735B39"/>
    <w:rsid w:val="00735B4B"/>
    <w:rsid w:val="00735B4C"/>
    <w:rsid w:val="00735B9F"/>
    <w:rsid w:val="00735BA1"/>
    <w:rsid w:val="00735BA8"/>
    <w:rsid w:val="00735BBC"/>
    <w:rsid w:val="00735C50"/>
    <w:rsid w:val="00735C70"/>
    <w:rsid w:val="00735C8A"/>
    <w:rsid w:val="00735D1F"/>
    <w:rsid w:val="00735D3C"/>
    <w:rsid w:val="00735D4D"/>
    <w:rsid w:val="00735D6F"/>
    <w:rsid w:val="00735E16"/>
    <w:rsid w:val="00735E62"/>
    <w:rsid w:val="00735E7E"/>
    <w:rsid w:val="00735E98"/>
    <w:rsid w:val="00735EB1"/>
    <w:rsid w:val="00735F29"/>
    <w:rsid w:val="00735F82"/>
    <w:rsid w:val="00735FA1"/>
    <w:rsid w:val="00735FAF"/>
    <w:rsid w:val="00735FD4"/>
    <w:rsid w:val="00736033"/>
    <w:rsid w:val="00736047"/>
    <w:rsid w:val="0073609D"/>
    <w:rsid w:val="00736111"/>
    <w:rsid w:val="00736114"/>
    <w:rsid w:val="0073611C"/>
    <w:rsid w:val="0073613C"/>
    <w:rsid w:val="00736145"/>
    <w:rsid w:val="00736166"/>
    <w:rsid w:val="0073616A"/>
    <w:rsid w:val="00736271"/>
    <w:rsid w:val="0073631A"/>
    <w:rsid w:val="00736374"/>
    <w:rsid w:val="007363AB"/>
    <w:rsid w:val="007363DD"/>
    <w:rsid w:val="007363DE"/>
    <w:rsid w:val="00736425"/>
    <w:rsid w:val="007364F3"/>
    <w:rsid w:val="00736516"/>
    <w:rsid w:val="0073652B"/>
    <w:rsid w:val="00736561"/>
    <w:rsid w:val="0073657A"/>
    <w:rsid w:val="007365AA"/>
    <w:rsid w:val="007365FF"/>
    <w:rsid w:val="00736695"/>
    <w:rsid w:val="007366EB"/>
    <w:rsid w:val="00736721"/>
    <w:rsid w:val="00736751"/>
    <w:rsid w:val="0073675D"/>
    <w:rsid w:val="00736764"/>
    <w:rsid w:val="0073677E"/>
    <w:rsid w:val="007367AF"/>
    <w:rsid w:val="007368B0"/>
    <w:rsid w:val="007368DA"/>
    <w:rsid w:val="0073690E"/>
    <w:rsid w:val="0073692C"/>
    <w:rsid w:val="0073692E"/>
    <w:rsid w:val="00736958"/>
    <w:rsid w:val="0073695B"/>
    <w:rsid w:val="00736977"/>
    <w:rsid w:val="0073698D"/>
    <w:rsid w:val="007369B4"/>
    <w:rsid w:val="00736A29"/>
    <w:rsid w:val="00736A58"/>
    <w:rsid w:val="00736A6E"/>
    <w:rsid w:val="00736A94"/>
    <w:rsid w:val="00736AFF"/>
    <w:rsid w:val="00736B02"/>
    <w:rsid w:val="00736B18"/>
    <w:rsid w:val="00736B4B"/>
    <w:rsid w:val="00736C6E"/>
    <w:rsid w:val="00736CCA"/>
    <w:rsid w:val="00736CD7"/>
    <w:rsid w:val="00736CFB"/>
    <w:rsid w:val="00736D23"/>
    <w:rsid w:val="00736D77"/>
    <w:rsid w:val="00736DD3"/>
    <w:rsid w:val="00736E4F"/>
    <w:rsid w:val="00736ED9"/>
    <w:rsid w:val="00736F9D"/>
    <w:rsid w:val="00736FBA"/>
    <w:rsid w:val="00736FE2"/>
    <w:rsid w:val="00736FED"/>
    <w:rsid w:val="00736FEE"/>
    <w:rsid w:val="00737046"/>
    <w:rsid w:val="0073704A"/>
    <w:rsid w:val="007370E4"/>
    <w:rsid w:val="00737147"/>
    <w:rsid w:val="0073714E"/>
    <w:rsid w:val="007371DA"/>
    <w:rsid w:val="007371F1"/>
    <w:rsid w:val="0073721A"/>
    <w:rsid w:val="0073722C"/>
    <w:rsid w:val="00737251"/>
    <w:rsid w:val="00737265"/>
    <w:rsid w:val="00737270"/>
    <w:rsid w:val="00737272"/>
    <w:rsid w:val="00737323"/>
    <w:rsid w:val="00737336"/>
    <w:rsid w:val="007373FA"/>
    <w:rsid w:val="00737431"/>
    <w:rsid w:val="0073743B"/>
    <w:rsid w:val="0073746F"/>
    <w:rsid w:val="00737491"/>
    <w:rsid w:val="00737503"/>
    <w:rsid w:val="0073750C"/>
    <w:rsid w:val="0073750D"/>
    <w:rsid w:val="0073751D"/>
    <w:rsid w:val="00737552"/>
    <w:rsid w:val="0073758D"/>
    <w:rsid w:val="007375A6"/>
    <w:rsid w:val="007375F2"/>
    <w:rsid w:val="0073760A"/>
    <w:rsid w:val="00737638"/>
    <w:rsid w:val="007376CD"/>
    <w:rsid w:val="0073770B"/>
    <w:rsid w:val="00737754"/>
    <w:rsid w:val="00737761"/>
    <w:rsid w:val="00737777"/>
    <w:rsid w:val="007377A2"/>
    <w:rsid w:val="007377A3"/>
    <w:rsid w:val="007377BC"/>
    <w:rsid w:val="00737820"/>
    <w:rsid w:val="00737852"/>
    <w:rsid w:val="00737875"/>
    <w:rsid w:val="007378DF"/>
    <w:rsid w:val="00737963"/>
    <w:rsid w:val="0073796B"/>
    <w:rsid w:val="007379C9"/>
    <w:rsid w:val="007379EA"/>
    <w:rsid w:val="00737A02"/>
    <w:rsid w:val="00737A8B"/>
    <w:rsid w:val="00737A8D"/>
    <w:rsid w:val="00737AA2"/>
    <w:rsid w:val="00737AC3"/>
    <w:rsid w:val="00737AD8"/>
    <w:rsid w:val="00737C81"/>
    <w:rsid w:val="00737CBF"/>
    <w:rsid w:val="00737CE9"/>
    <w:rsid w:val="00737DC3"/>
    <w:rsid w:val="00737DEE"/>
    <w:rsid w:val="00737E2D"/>
    <w:rsid w:val="00737E47"/>
    <w:rsid w:val="00737E81"/>
    <w:rsid w:val="00737F54"/>
    <w:rsid w:val="00737F74"/>
    <w:rsid w:val="00737F9C"/>
    <w:rsid w:val="00737FC5"/>
    <w:rsid w:val="00737FD7"/>
    <w:rsid w:val="00737FDE"/>
    <w:rsid w:val="00737FE6"/>
    <w:rsid w:val="00737FFB"/>
    <w:rsid w:val="00740071"/>
    <w:rsid w:val="007400B8"/>
    <w:rsid w:val="007400BA"/>
    <w:rsid w:val="00740138"/>
    <w:rsid w:val="0074013E"/>
    <w:rsid w:val="0074014C"/>
    <w:rsid w:val="0074019A"/>
    <w:rsid w:val="007401A9"/>
    <w:rsid w:val="007401CD"/>
    <w:rsid w:val="007401CE"/>
    <w:rsid w:val="007401FF"/>
    <w:rsid w:val="00740208"/>
    <w:rsid w:val="0074020B"/>
    <w:rsid w:val="0074021F"/>
    <w:rsid w:val="007402D3"/>
    <w:rsid w:val="007402F5"/>
    <w:rsid w:val="0074030B"/>
    <w:rsid w:val="00740326"/>
    <w:rsid w:val="00740372"/>
    <w:rsid w:val="007403D6"/>
    <w:rsid w:val="0074042D"/>
    <w:rsid w:val="007404BB"/>
    <w:rsid w:val="007404FF"/>
    <w:rsid w:val="00740542"/>
    <w:rsid w:val="00740566"/>
    <w:rsid w:val="0074056E"/>
    <w:rsid w:val="00740570"/>
    <w:rsid w:val="0074059A"/>
    <w:rsid w:val="007405B7"/>
    <w:rsid w:val="007405F4"/>
    <w:rsid w:val="00740687"/>
    <w:rsid w:val="007406B8"/>
    <w:rsid w:val="007406C2"/>
    <w:rsid w:val="007406FC"/>
    <w:rsid w:val="00740701"/>
    <w:rsid w:val="00740708"/>
    <w:rsid w:val="00740709"/>
    <w:rsid w:val="0074072E"/>
    <w:rsid w:val="00740732"/>
    <w:rsid w:val="00740762"/>
    <w:rsid w:val="007407F0"/>
    <w:rsid w:val="00740841"/>
    <w:rsid w:val="007408B5"/>
    <w:rsid w:val="007408CB"/>
    <w:rsid w:val="007408DA"/>
    <w:rsid w:val="007408E2"/>
    <w:rsid w:val="007408E9"/>
    <w:rsid w:val="00740904"/>
    <w:rsid w:val="00740910"/>
    <w:rsid w:val="007409BB"/>
    <w:rsid w:val="007409CB"/>
    <w:rsid w:val="00740A68"/>
    <w:rsid w:val="00740A77"/>
    <w:rsid w:val="00740AC1"/>
    <w:rsid w:val="00740ACF"/>
    <w:rsid w:val="00740AEC"/>
    <w:rsid w:val="00740B18"/>
    <w:rsid w:val="00740B3A"/>
    <w:rsid w:val="00740B81"/>
    <w:rsid w:val="00740BC7"/>
    <w:rsid w:val="00740BD2"/>
    <w:rsid w:val="00740C6E"/>
    <w:rsid w:val="00740C78"/>
    <w:rsid w:val="00740CDC"/>
    <w:rsid w:val="00740D19"/>
    <w:rsid w:val="00740D54"/>
    <w:rsid w:val="00740D7C"/>
    <w:rsid w:val="00740DE6"/>
    <w:rsid w:val="00740E1D"/>
    <w:rsid w:val="00740E69"/>
    <w:rsid w:val="00740EB8"/>
    <w:rsid w:val="00740EC0"/>
    <w:rsid w:val="00740FD4"/>
    <w:rsid w:val="00741008"/>
    <w:rsid w:val="0074101C"/>
    <w:rsid w:val="0074105E"/>
    <w:rsid w:val="00741060"/>
    <w:rsid w:val="0074106D"/>
    <w:rsid w:val="0074106E"/>
    <w:rsid w:val="007410C0"/>
    <w:rsid w:val="007410F7"/>
    <w:rsid w:val="0074111E"/>
    <w:rsid w:val="00741179"/>
    <w:rsid w:val="007411A2"/>
    <w:rsid w:val="007411BD"/>
    <w:rsid w:val="007411C5"/>
    <w:rsid w:val="007411DD"/>
    <w:rsid w:val="007411E5"/>
    <w:rsid w:val="007411EE"/>
    <w:rsid w:val="00741215"/>
    <w:rsid w:val="0074122B"/>
    <w:rsid w:val="00741241"/>
    <w:rsid w:val="0074127D"/>
    <w:rsid w:val="007412A4"/>
    <w:rsid w:val="007412FD"/>
    <w:rsid w:val="0074132D"/>
    <w:rsid w:val="0074135D"/>
    <w:rsid w:val="007413B7"/>
    <w:rsid w:val="007413CF"/>
    <w:rsid w:val="0074141A"/>
    <w:rsid w:val="00741441"/>
    <w:rsid w:val="00741480"/>
    <w:rsid w:val="00741536"/>
    <w:rsid w:val="007415A2"/>
    <w:rsid w:val="007415D8"/>
    <w:rsid w:val="007415DD"/>
    <w:rsid w:val="007415F7"/>
    <w:rsid w:val="00741624"/>
    <w:rsid w:val="0074162B"/>
    <w:rsid w:val="0074167B"/>
    <w:rsid w:val="007416CB"/>
    <w:rsid w:val="007416EA"/>
    <w:rsid w:val="007416F3"/>
    <w:rsid w:val="007416FA"/>
    <w:rsid w:val="0074172F"/>
    <w:rsid w:val="0074173B"/>
    <w:rsid w:val="00741794"/>
    <w:rsid w:val="007417A2"/>
    <w:rsid w:val="00741823"/>
    <w:rsid w:val="00741875"/>
    <w:rsid w:val="00741883"/>
    <w:rsid w:val="00741A1B"/>
    <w:rsid w:val="00741A9A"/>
    <w:rsid w:val="00741AE1"/>
    <w:rsid w:val="00741B26"/>
    <w:rsid w:val="00741B47"/>
    <w:rsid w:val="00741B79"/>
    <w:rsid w:val="00741B83"/>
    <w:rsid w:val="00741BD9"/>
    <w:rsid w:val="00741C94"/>
    <w:rsid w:val="00741CA9"/>
    <w:rsid w:val="00741CE6"/>
    <w:rsid w:val="00741D05"/>
    <w:rsid w:val="00741D30"/>
    <w:rsid w:val="00741D3E"/>
    <w:rsid w:val="00741D55"/>
    <w:rsid w:val="00741DD7"/>
    <w:rsid w:val="00741DEE"/>
    <w:rsid w:val="00741E03"/>
    <w:rsid w:val="00741E93"/>
    <w:rsid w:val="00741F11"/>
    <w:rsid w:val="00741F1A"/>
    <w:rsid w:val="00741F5D"/>
    <w:rsid w:val="00741FBD"/>
    <w:rsid w:val="00742003"/>
    <w:rsid w:val="00742042"/>
    <w:rsid w:val="0074206C"/>
    <w:rsid w:val="007420B4"/>
    <w:rsid w:val="007420C8"/>
    <w:rsid w:val="00742113"/>
    <w:rsid w:val="0074219A"/>
    <w:rsid w:val="007421C7"/>
    <w:rsid w:val="00742219"/>
    <w:rsid w:val="007422B9"/>
    <w:rsid w:val="007422F8"/>
    <w:rsid w:val="007422FD"/>
    <w:rsid w:val="00742310"/>
    <w:rsid w:val="0074235D"/>
    <w:rsid w:val="007423D5"/>
    <w:rsid w:val="0074241D"/>
    <w:rsid w:val="0074242C"/>
    <w:rsid w:val="00742486"/>
    <w:rsid w:val="007424AD"/>
    <w:rsid w:val="007424B4"/>
    <w:rsid w:val="00742530"/>
    <w:rsid w:val="00742550"/>
    <w:rsid w:val="00742565"/>
    <w:rsid w:val="00742619"/>
    <w:rsid w:val="00742681"/>
    <w:rsid w:val="00742697"/>
    <w:rsid w:val="007426C9"/>
    <w:rsid w:val="007426E1"/>
    <w:rsid w:val="00742764"/>
    <w:rsid w:val="0074276C"/>
    <w:rsid w:val="0074279D"/>
    <w:rsid w:val="007427A9"/>
    <w:rsid w:val="007427FB"/>
    <w:rsid w:val="0074282A"/>
    <w:rsid w:val="0074284D"/>
    <w:rsid w:val="007428CA"/>
    <w:rsid w:val="00742927"/>
    <w:rsid w:val="00742981"/>
    <w:rsid w:val="0074299B"/>
    <w:rsid w:val="007429A8"/>
    <w:rsid w:val="007429B0"/>
    <w:rsid w:val="00742ABC"/>
    <w:rsid w:val="00742ACF"/>
    <w:rsid w:val="00742AE8"/>
    <w:rsid w:val="00742AF9"/>
    <w:rsid w:val="00742B39"/>
    <w:rsid w:val="00742B7B"/>
    <w:rsid w:val="00742BC1"/>
    <w:rsid w:val="00742BD6"/>
    <w:rsid w:val="00742C06"/>
    <w:rsid w:val="00742C0B"/>
    <w:rsid w:val="00742C28"/>
    <w:rsid w:val="00742C4E"/>
    <w:rsid w:val="00742C59"/>
    <w:rsid w:val="00742C75"/>
    <w:rsid w:val="00742C8A"/>
    <w:rsid w:val="00742CBE"/>
    <w:rsid w:val="00742D0E"/>
    <w:rsid w:val="00742D39"/>
    <w:rsid w:val="00742DB0"/>
    <w:rsid w:val="00742DE9"/>
    <w:rsid w:val="00742DF9"/>
    <w:rsid w:val="00742E01"/>
    <w:rsid w:val="00742E1E"/>
    <w:rsid w:val="00742E56"/>
    <w:rsid w:val="00742EAB"/>
    <w:rsid w:val="00742EB4"/>
    <w:rsid w:val="00742EB5"/>
    <w:rsid w:val="00742F03"/>
    <w:rsid w:val="00742FB9"/>
    <w:rsid w:val="00742FE5"/>
    <w:rsid w:val="007430F4"/>
    <w:rsid w:val="0074314C"/>
    <w:rsid w:val="00743155"/>
    <w:rsid w:val="007431A9"/>
    <w:rsid w:val="007431B2"/>
    <w:rsid w:val="00743232"/>
    <w:rsid w:val="00743237"/>
    <w:rsid w:val="0074329E"/>
    <w:rsid w:val="007432B1"/>
    <w:rsid w:val="007432B9"/>
    <w:rsid w:val="007432E4"/>
    <w:rsid w:val="00743322"/>
    <w:rsid w:val="007433B6"/>
    <w:rsid w:val="007433BF"/>
    <w:rsid w:val="00743463"/>
    <w:rsid w:val="007434BB"/>
    <w:rsid w:val="007434BF"/>
    <w:rsid w:val="00743504"/>
    <w:rsid w:val="00743524"/>
    <w:rsid w:val="0074357B"/>
    <w:rsid w:val="00743593"/>
    <w:rsid w:val="0074363A"/>
    <w:rsid w:val="00743644"/>
    <w:rsid w:val="007436CC"/>
    <w:rsid w:val="00743755"/>
    <w:rsid w:val="00743790"/>
    <w:rsid w:val="00743796"/>
    <w:rsid w:val="007437D8"/>
    <w:rsid w:val="007437F2"/>
    <w:rsid w:val="00743883"/>
    <w:rsid w:val="00743893"/>
    <w:rsid w:val="007438EB"/>
    <w:rsid w:val="00743912"/>
    <w:rsid w:val="00743920"/>
    <w:rsid w:val="0074394E"/>
    <w:rsid w:val="00743954"/>
    <w:rsid w:val="0074397E"/>
    <w:rsid w:val="007439CE"/>
    <w:rsid w:val="007439EA"/>
    <w:rsid w:val="00743A04"/>
    <w:rsid w:val="00743A16"/>
    <w:rsid w:val="00743A32"/>
    <w:rsid w:val="00743A4C"/>
    <w:rsid w:val="00743A6B"/>
    <w:rsid w:val="00743B33"/>
    <w:rsid w:val="00743C1C"/>
    <w:rsid w:val="00743C70"/>
    <w:rsid w:val="00743C75"/>
    <w:rsid w:val="00743CBA"/>
    <w:rsid w:val="00743D8A"/>
    <w:rsid w:val="00743E25"/>
    <w:rsid w:val="00743E3A"/>
    <w:rsid w:val="00743E87"/>
    <w:rsid w:val="00743EE8"/>
    <w:rsid w:val="00743EF3"/>
    <w:rsid w:val="00743F05"/>
    <w:rsid w:val="00743F8B"/>
    <w:rsid w:val="00743FC8"/>
    <w:rsid w:val="00743FF6"/>
    <w:rsid w:val="00744060"/>
    <w:rsid w:val="00744064"/>
    <w:rsid w:val="0074408E"/>
    <w:rsid w:val="007440EC"/>
    <w:rsid w:val="00744147"/>
    <w:rsid w:val="0074418B"/>
    <w:rsid w:val="0074418F"/>
    <w:rsid w:val="0074420D"/>
    <w:rsid w:val="0074424A"/>
    <w:rsid w:val="00744270"/>
    <w:rsid w:val="00744273"/>
    <w:rsid w:val="007442F6"/>
    <w:rsid w:val="0074436B"/>
    <w:rsid w:val="00744376"/>
    <w:rsid w:val="007443B0"/>
    <w:rsid w:val="007443E6"/>
    <w:rsid w:val="00744400"/>
    <w:rsid w:val="0074445B"/>
    <w:rsid w:val="0074445E"/>
    <w:rsid w:val="0074449E"/>
    <w:rsid w:val="00744594"/>
    <w:rsid w:val="00744654"/>
    <w:rsid w:val="007446C4"/>
    <w:rsid w:val="007447C8"/>
    <w:rsid w:val="007447D3"/>
    <w:rsid w:val="007447EE"/>
    <w:rsid w:val="0074482A"/>
    <w:rsid w:val="00744887"/>
    <w:rsid w:val="007448A4"/>
    <w:rsid w:val="0074490E"/>
    <w:rsid w:val="0074493F"/>
    <w:rsid w:val="007449A6"/>
    <w:rsid w:val="007449C0"/>
    <w:rsid w:val="007449D5"/>
    <w:rsid w:val="00744ACF"/>
    <w:rsid w:val="00744ADD"/>
    <w:rsid w:val="00744B02"/>
    <w:rsid w:val="00744B11"/>
    <w:rsid w:val="00744B7A"/>
    <w:rsid w:val="00744BC0"/>
    <w:rsid w:val="00744C04"/>
    <w:rsid w:val="00744C17"/>
    <w:rsid w:val="00744C33"/>
    <w:rsid w:val="00744C45"/>
    <w:rsid w:val="00744C5F"/>
    <w:rsid w:val="00744C7E"/>
    <w:rsid w:val="00744CAC"/>
    <w:rsid w:val="00744CC6"/>
    <w:rsid w:val="00744CE3"/>
    <w:rsid w:val="00744CEF"/>
    <w:rsid w:val="00744D13"/>
    <w:rsid w:val="00744D27"/>
    <w:rsid w:val="00744D72"/>
    <w:rsid w:val="00744DE2"/>
    <w:rsid w:val="00744E09"/>
    <w:rsid w:val="00744E14"/>
    <w:rsid w:val="00744E26"/>
    <w:rsid w:val="00744E73"/>
    <w:rsid w:val="00744E92"/>
    <w:rsid w:val="00744EEC"/>
    <w:rsid w:val="00744F00"/>
    <w:rsid w:val="00744F6C"/>
    <w:rsid w:val="00744FF0"/>
    <w:rsid w:val="00744FFE"/>
    <w:rsid w:val="0074502B"/>
    <w:rsid w:val="0074508D"/>
    <w:rsid w:val="007450FB"/>
    <w:rsid w:val="00745133"/>
    <w:rsid w:val="00745171"/>
    <w:rsid w:val="007451A8"/>
    <w:rsid w:val="007451B5"/>
    <w:rsid w:val="007451F3"/>
    <w:rsid w:val="00745241"/>
    <w:rsid w:val="00745252"/>
    <w:rsid w:val="00745259"/>
    <w:rsid w:val="0074527A"/>
    <w:rsid w:val="0074527B"/>
    <w:rsid w:val="0074527E"/>
    <w:rsid w:val="007452C3"/>
    <w:rsid w:val="007452FC"/>
    <w:rsid w:val="0074530A"/>
    <w:rsid w:val="00745378"/>
    <w:rsid w:val="00745379"/>
    <w:rsid w:val="007453A3"/>
    <w:rsid w:val="007453B0"/>
    <w:rsid w:val="007453EA"/>
    <w:rsid w:val="007453F5"/>
    <w:rsid w:val="007454A9"/>
    <w:rsid w:val="007454B2"/>
    <w:rsid w:val="007454B9"/>
    <w:rsid w:val="0074554A"/>
    <w:rsid w:val="00745565"/>
    <w:rsid w:val="00745591"/>
    <w:rsid w:val="007455B9"/>
    <w:rsid w:val="0074561F"/>
    <w:rsid w:val="0074564A"/>
    <w:rsid w:val="0074564D"/>
    <w:rsid w:val="0074568B"/>
    <w:rsid w:val="00745693"/>
    <w:rsid w:val="00745734"/>
    <w:rsid w:val="00745744"/>
    <w:rsid w:val="00745750"/>
    <w:rsid w:val="00745760"/>
    <w:rsid w:val="007457A2"/>
    <w:rsid w:val="00745811"/>
    <w:rsid w:val="0074581F"/>
    <w:rsid w:val="0074587A"/>
    <w:rsid w:val="007458B7"/>
    <w:rsid w:val="00745952"/>
    <w:rsid w:val="00745957"/>
    <w:rsid w:val="007459CA"/>
    <w:rsid w:val="00745A94"/>
    <w:rsid w:val="00745ACA"/>
    <w:rsid w:val="00745B04"/>
    <w:rsid w:val="00745B84"/>
    <w:rsid w:val="00745BD8"/>
    <w:rsid w:val="00745C06"/>
    <w:rsid w:val="00745C19"/>
    <w:rsid w:val="00745C36"/>
    <w:rsid w:val="00745CEF"/>
    <w:rsid w:val="00745CF5"/>
    <w:rsid w:val="00745D31"/>
    <w:rsid w:val="00745D4F"/>
    <w:rsid w:val="00745DB1"/>
    <w:rsid w:val="00745DEF"/>
    <w:rsid w:val="00745E17"/>
    <w:rsid w:val="00745E2A"/>
    <w:rsid w:val="00745E38"/>
    <w:rsid w:val="00745E69"/>
    <w:rsid w:val="00745E81"/>
    <w:rsid w:val="00745F36"/>
    <w:rsid w:val="00745FA9"/>
    <w:rsid w:val="00745FB7"/>
    <w:rsid w:val="00745FEB"/>
    <w:rsid w:val="00746001"/>
    <w:rsid w:val="00746069"/>
    <w:rsid w:val="007460F6"/>
    <w:rsid w:val="0074613E"/>
    <w:rsid w:val="00746278"/>
    <w:rsid w:val="007462C4"/>
    <w:rsid w:val="007462D3"/>
    <w:rsid w:val="007462F3"/>
    <w:rsid w:val="007463AB"/>
    <w:rsid w:val="007463B2"/>
    <w:rsid w:val="007463B7"/>
    <w:rsid w:val="007463E6"/>
    <w:rsid w:val="007463EF"/>
    <w:rsid w:val="00746403"/>
    <w:rsid w:val="00746414"/>
    <w:rsid w:val="00746449"/>
    <w:rsid w:val="0074648A"/>
    <w:rsid w:val="007464E6"/>
    <w:rsid w:val="007464FE"/>
    <w:rsid w:val="0074650D"/>
    <w:rsid w:val="00746518"/>
    <w:rsid w:val="0074653C"/>
    <w:rsid w:val="00746550"/>
    <w:rsid w:val="007465D8"/>
    <w:rsid w:val="00746627"/>
    <w:rsid w:val="0074664B"/>
    <w:rsid w:val="00746651"/>
    <w:rsid w:val="00746655"/>
    <w:rsid w:val="00746678"/>
    <w:rsid w:val="00746703"/>
    <w:rsid w:val="00746711"/>
    <w:rsid w:val="00746748"/>
    <w:rsid w:val="0074675A"/>
    <w:rsid w:val="00746776"/>
    <w:rsid w:val="00746790"/>
    <w:rsid w:val="007467C3"/>
    <w:rsid w:val="00746829"/>
    <w:rsid w:val="00746888"/>
    <w:rsid w:val="007468ED"/>
    <w:rsid w:val="0074690D"/>
    <w:rsid w:val="00746959"/>
    <w:rsid w:val="00746974"/>
    <w:rsid w:val="00746995"/>
    <w:rsid w:val="00746A47"/>
    <w:rsid w:val="00746A4B"/>
    <w:rsid w:val="00746A5A"/>
    <w:rsid w:val="00746A60"/>
    <w:rsid w:val="00746A6C"/>
    <w:rsid w:val="00746A85"/>
    <w:rsid w:val="00746A92"/>
    <w:rsid w:val="00746B11"/>
    <w:rsid w:val="00746B23"/>
    <w:rsid w:val="00746B57"/>
    <w:rsid w:val="00746B7B"/>
    <w:rsid w:val="00746B8B"/>
    <w:rsid w:val="00746BA0"/>
    <w:rsid w:val="00746BB8"/>
    <w:rsid w:val="00746C4E"/>
    <w:rsid w:val="00746CD9"/>
    <w:rsid w:val="00746D59"/>
    <w:rsid w:val="00746D9A"/>
    <w:rsid w:val="00746DB6"/>
    <w:rsid w:val="00746DE6"/>
    <w:rsid w:val="00746E4E"/>
    <w:rsid w:val="00746E9A"/>
    <w:rsid w:val="00746F00"/>
    <w:rsid w:val="00746FAB"/>
    <w:rsid w:val="00747003"/>
    <w:rsid w:val="00747019"/>
    <w:rsid w:val="007470CD"/>
    <w:rsid w:val="007470DE"/>
    <w:rsid w:val="00747108"/>
    <w:rsid w:val="00747190"/>
    <w:rsid w:val="007471F3"/>
    <w:rsid w:val="007472BE"/>
    <w:rsid w:val="007472CC"/>
    <w:rsid w:val="007472D6"/>
    <w:rsid w:val="00747317"/>
    <w:rsid w:val="00747367"/>
    <w:rsid w:val="00747402"/>
    <w:rsid w:val="0074740F"/>
    <w:rsid w:val="0074746A"/>
    <w:rsid w:val="00747489"/>
    <w:rsid w:val="007474A5"/>
    <w:rsid w:val="00747502"/>
    <w:rsid w:val="0074759E"/>
    <w:rsid w:val="007475E6"/>
    <w:rsid w:val="0074761B"/>
    <w:rsid w:val="00747674"/>
    <w:rsid w:val="0074767E"/>
    <w:rsid w:val="007476C4"/>
    <w:rsid w:val="00747740"/>
    <w:rsid w:val="0074775B"/>
    <w:rsid w:val="00747775"/>
    <w:rsid w:val="007477E4"/>
    <w:rsid w:val="0074785B"/>
    <w:rsid w:val="00747886"/>
    <w:rsid w:val="0074799F"/>
    <w:rsid w:val="007479C9"/>
    <w:rsid w:val="007479CA"/>
    <w:rsid w:val="00747A0A"/>
    <w:rsid w:val="00747A0B"/>
    <w:rsid w:val="00747A4B"/>
    <w:rsid w:val="00747A6B"/>
    <w:rsid w:val="00747AA1"/>
    <w:rsid w:val="00747AC4"/>
    <w:rsid w:val="00747AD7"/>
    <w:rsid w:val="00747B12"/>
    <w:rsid w:val="00747B62"/>
    <w:rsid w:val="00747B71"/>
    <w:rsid w:val="00747B74"/>
    <w:rsid w:val="00747B8E"/>
    <w:rsid w:val="00747C14"/>
    <w:rsid w:val="00747C97"/>
    <w:rsid w:val="00747CEA"/>
    <w:rsid w:val="00747D12"/>
    <w:rsid w:val="00747D43"/>
    <w:rsid w:val="00747E13"/>
    <w:rsid w:val="00747E27"/>
    <w:rsid w:val="00747E2C"/>
    <w:rsid w:val="00747E31"/>
    <w:rsid w:val="00747E4B"/>
    <w:rsid w:val="00747E7B"/>
    <w:rsid w:val="00747EA4"/>
    <w:rsid w:val="00747EB8"/>
    <w:rsid w:val="00747FD2"/>
    <w:rsid w:val="00747FE2"/>
    <w:rsid w:val="00747FE3"/>
    <w:rsid w:val="0075003D"/>
    <w:rsid w:val="00750042"/>
    <w:rsid w:val="00750058"/>
    <w:rsid w:val="00750074"/>
    <w:rsid w:val="00750078"/>
    <w:rsid w:val="007500B5"/>
    <w:rsid w:val="007500D4"/>
    <w:rsid w:val="007500E2"/>
    <w:rsid w:val="0075013C"/>
    <w:rsid w:val="00750169"/>
    <w:rsid w:val="007501F7"/>
    <w:rsid w:val="007502D3"/>
    <w:rsid w:val="007502D8"/>
    <w:rsid w:val="00750358"/>
    <w:rsid w:val="007503CF"/>
    <w:rsid w:val="00750405"/>
    <w:rsid w:val="00750435"/>
    <w:rsid w:val="0075046C"/>
    <w:rsid w:val="00750480"/>
    <w:rsid w:val="007504B4"/>
    <w:rsid w:val="00750533"/>
    <w:rsid w:val="0075055D"/>
    <w:rsid w:val="00750572"/>
    <w:rsid w:val="007505B2"/>
    <w:rsid w:val="007505C5"/>
    <w:rsid w:val="00750672"/>
    <w:rsid w:val="007506E2"/>
    <w:rsid w:val="007506EF"/>
    <w:rsid w:val="0075071A"/>
    <w:rsid w:val="00750721"/>
    <w:rsid w:val="00750736"/>
    <w:rsid w:val="0075076F"/>
    <w:rsid w:val="007507FE"/>
    <w:rsid w:val="0075080B"/>
    <w:rsid w:val="00750841"/>
    <w:rsid w:val="00750872"/>
    <w:rsid w:val="0075087A"/>
    <w:rsid w:val="007508D6"/>
    <w:rsid w:val="00750913"/>
    <w:rsid w:val="0075091F"/>
    <w:rsid w:val="007509AC"/>
    <w:rsid w:val="00750A45"/>
    <w:rsid w:val="00750B5A"/>
    <w:rsid w:val="00750B7B"/>
    <w:rsid w:val="00750BC1"/>
    <w:rsid w:val="00750BED"/>
    <w:rsid w:val="00750BF6"/>
    <w:rsid w:val="00750C19"/>
    <w:rsid w:val="00750C27"/>
    <w:rsid w:val="00750D46"/>
    <w:rsid w:val="00750D57"/>
    <w:rsid w:val="00750D88"/>
    <w:rsid w:val="00750DF1"/>
    <w:rsid w:val="00750E0D"/>
    <w:rsid w:val="00750E22"/>
    <w:rsid w:val="00750E4E"/>
    <w:rsid w:val="00750E89"/>
    <w:rsid w:val="00750EF9"/>
    <w:rsid w:val="00750F68"/>
    <w:rsid w:val="00750F69"/>
    <w:rsid w:val="0075102F"/>
    <w:rsid w:val="00751063"/>
    <w:rsid w:val="007511AD"/>
    <w:rsid w:val="0075125F"/>
    <w:rsid w:val="00751265"/>
    <w:rsid w:val="00751322"/>
    <w:rsid w:val="007513BC"/>
    <w:rsid w:val="007513EC"/>
    <w:rsid w:val="007513FB"/>
    <w:rsid w:val="0075142B"/>
    <w:rsid w:val="00751468"/>
    <w:rsid w:val="0075153F"/>
    <w:rsid w:val="0075154E"/>
    <w:rsid w:val="00751587"/>
    <w:rsid w:val="0075158E"/>
    <w:rsid w:val="00751606"/>
    <w:rsid w:val="00751611"/>
    <w:rsid w:val="00751630"/>
    <w:rsid w:val="0075163D"/>
    <w:rsid w:val="00751649"/>
    <w:rsid w:val="00751664"/>
    <w:rsid w:val="007516D4"/>
    <w:rsid w:val="0075178E"/>
    <w:rsid w:val="007517B2"/>
    <w:rsid w:val="007517D2"/>
    <w:rsid w:val="007518A8"/>
    <w:rsid w:val="007518B9"/>
    <w:rsid w:val="0075193C"/>
    <w:rsid w:val="00751983"/>
    <w:rsid w:val="007519B1"/>
    <w:rsid w:val="007519BA"/>
    <w:rsid w:val="007519BD"/>
    <w:rsid w:val="007519D7"/>
    <w:rsid w:val="007519FA"/>
    <w:rsid w:val="00751A06"/>
    <w:rsid w:val="00751A0F"/>
    <w:rsid w:val="00751A20"/>
    <w:rsid w:val="00751A31"/>
    <w:rsid w:val="00751AE1"/>
    <w:rsid w:val="00751B2A"/>
    <w:rsid w:val="00751BF2"/>
    <w:rsid w:val="00751C0C"/>
    <w:rsid w:val="00751C62"/>
    <w:rsid w:val="00751C91"/>
    <w:rsid w:val="00751CA4"/>
    <w:rsid w:val="00751CBB"/>
    <w:rsid w:val="00751CFD"/>
    <w:rsid w:val="00751D12"/>
    <w:rsid w:val="00751D3E"/>
    <w:rsid w:val="00751D62"/>
    <w:rsid w:val="00751D9A"/>
    <w:rsid w:val="00751E03"/>
    <w:rsid w:val="00751E60"/>
    <w:rsid w:val="00751E9B"/>
    <w:rsid w:val="00751EFC"/>
    <w:rsid w:val="00751F05"/>
    <w:rsid w:val="00751F24"/>
    <w:rsid w:val="00751F5A"/>
    <w:rsid w:val="00751F9A"/>
    <w:rsid w:val="00751FC4"/>
    <w:rsid w:val="00751FE7"/>
    <w:rsid w:val="00751FED"/>
    <w:rsid w:val="00751FFF"/>
    <w:rsid w:val="0075204E"/>
    <w:rsid w:val="007520D0"/>
    <w:rsid w:val="007520E9"/>
    <w:rsid w:val="00752150"/>
    <w:rsid w:val="0075215D"/>
    <w:rsid w:val="0075221B"/>
    <w:rsid w:val="00752256"/>
    <w:rsid w:val="00752306"/>
    <w:rsid w:val="0075230F"/>
    <w:rsid w:val="00752364"/>
    <w:rsid w:val="00752393"/>
    <w:rsid w:val="007523CD"/>
    <w:rsid w:val="007523CE"/>
    <w:rsid w:val="00752488"/>
    <w:rsid w:val="0075248E"/>
    <w:rsid w:val="007524E0"/>
    <w:rsid w:val="00752540"/>
    <w:rsid w:val="00752569"/>
    <w:rsid w:val="0075256A"/>
    <w:rsid w:val="00752577"/>
    <w:rsid w:val="00752589"/>
    <w:rsid w:val="0075259D"/>
    <w:rsid w:val="0075259E"/>
    <w:rsid w:val="007525AD"/>
    <w:rsid w:val="007525D0"/>
    <w:rsid w:val="007525DB"/>
    <w:rsid w:val="007525E9"/>
    <w:rsid w:val="00752620"/>
    <w:rsid w:val="00752672"/>
    <w:rsid w:val="0075269E"/>
    <w:rsid w:val="007526CB"/>
    <w:rsid w:val="007526DD"/>
    <w:rsid w:val="00752700"/>
    <w:rsid w:val="0075270C"/>
    <w:rsid w:val="0075279F"/>
    <w:rsid w:val="007527C1"/>
    <w:rsid w:val="00752801"/>
    <w:rsid w:val="0075280C"/>
    <w:rsid w:val="00752811"/>
    <w:rsid w:val="0075282B"/>
    <w:rsid w:val="007528B6"/>
    <w:rsid w:val="0075290F"/>
    <w:rsid w:val="0075293C"/>
    <w:rsid w:val="00752978"/>
    <w:rsid w:val="007529E3"/>
    <w:rsid w:val="007529E6"/>
    <w:rsid w:val="007529F6"/>
    <w:rsid w:val="007529F8"/>
    <w:rsid w:val="00752A0A"/>
    <w:rsid w:val="00752A0E"/>
    <w:rsid w:val="00752AA6"/>
    <w:rsid w:val="00752AB8"/>
    <w:rsid w:val="00752AF9"/>
    <w:rsid w:val="00752B1E"/>
    <w:rsid w:val="00752B3E"/>
    <w:rsid w:val="00752B66"/>
    <w:rsid w:val="00752B7F"/>
    <w:rsid w:val="00752BFA"/>
    <w:rsid w:val="00752C3F"/>
    <w:rsid w:val="00752C77"/>
    <w:rsid w:val="00752C9C"/>
    <w:rsid w:val="00752CAB"/>
    <w:rsid w:val="00752CD7"/>
    <w:rsid w:val="00752CD9"/>
    <w:rsid w:val="00752D1F"/>
    <w:rsid w:val="00752D3F"/>
    <w:rsid w:val="00752D8C"/>
    <w:rsid w:val="00752D99"/>
    <w:rsid w:val="00752E46"/>
    <w:rsid w:val="00752E74"/>
    <w:rsid w:val="00752E8E"/>
    <w:rsid w:val="00752F38"/>
    <w:rsid w:val="00752F7D"/>
    <w:rsid w:val="00752FAD"/>
    <w:rsid w:val="00752FB4"/>
    <w:rsid w:val="00752FDE"/>
    <w:rsid w:val="00752FE1"/>
    <w:rsid w:val="0075302E"/>
    <w:rsid w:val="00753047"/>
    <w:rsid w:val="00753064"/>
    <w:rsid w:val="00753067"/>
    <w:rsid w:val="0075309C"/>
    <w:rsid w:val="00753105"/>
    <w:rsid w:val="00753152"/>
    <w:rsid w:val="00753165"/>
    <w:rsid w:val="007531BB"/>
    <w:rsid w:val="007531C8"/>
    <w:rsid w:val="007531CB"/>
    <w:rsid w:val="007531FE"/>
    <w:rsid w:val="007531FF"/>
    <w:rsid w:val="00753261"/>
    <w:rsid w:val="007532AD"/>
    <w:rsid w:val="007532D3"/>
    <w:rsid w:val="0075330E"/>
    <w:rsid w:val="00753310"/>
    <w:rsid w:val="00753371"/>
    <w:rsid w:val="00753375"/>
    <w:rsid w:val="0075338D"/>
    <w:rsid w:val="007533A8"/>
    <w:rsid w:val="0075346A"/>
    <w:rsid w:val="0075346D"/>
    <w:rsid w:val="007534B9"/>
    <w:rsid w:val="007535D3"/>
    <w:rsid w:val="007535FE"/>
    <w:rsid w:val="00753606"/>
    <w:rsid w:val="0075366A"/>
    <w:rsid w:val="007536E7"/>
    <w:rsid w:val="007536EA"/>
    <w:rsid w:val="0075373F"/>
    <w:rsid w:val="007537A3"/>
    <w:rsid w:val="007537DF"/>
    <w:rsid w:val="00753899"/>
    <w:rsid w:val="007538E8"/>
    <w:rsid w:val="007539A7"/>
    <w:rsid w:val="007539E8"/>
    <w:rsid w:val="00753A2F"/>
    <w:rsid w:val="00753A5A"/>
    <w:rsid w:val="00753AA0"/>
    <w:rsid w:val="00753AA4"/>
    <w:rsid w:val="00753B35"/>
    <w:rsid w:val="00753B59"/>
    <w:rsid w:val="00753B8C"/>
    <w:rsid w:val="00753BF2"/>
    <w:rsid w:val="00753C5C"/>
    <w:rsid w:val="00753C92"/>
    <w:rsid w:val="00753D89"/>
    <w:rsid w:val="00753D8C"/>
    <w:rsid w:val="00753DC9"/>
    <w:rsid w:val="00753E18"/>
    <w:rsid w:val="00753E5E"/>
    <w:rsid w:val="00753E6C"/>
    <w:rsid w:val="00753EC9"/>
    <w:rsid w:val="00753EFF"/>
    <w:rsid w:val="00753FCF"/>
    <w:rsid w:val="00754035"/>
    <w:rsid w:val="00754086"/>
    <w:rsid w:val="007540F9"/>
    <w:rsid w:val="007540FA"/>
    <w:rsid w:val="00754102"/>
    <w:rsid w:val="00754193"/>
    <w:rsid w:val="0075419B"/>
    <w:rsid w:val="007541A6"/>
    <w:rsid w:val="00754208"/>
    <w:rsid w:val="00754303"/>
    <w:rsid w:val="00754312"/>
    <w:rsid w:val="00754323"/>
    <w:rsid w:val="00754369"/>
    <w:rsid w:val="007543AD"/>
    <w:rsid w:val="007543FF"/>
    <w:rsid w:val="00754445"/>
    <w:rsid w:val="00754470"/>
    <w:rsid w:val="007544FA"/>
    <w:rsid w:val="00754518"/>
    <w:rsid w:val="00754569"/>
    <w:rsid w:val="0075456A"/>
    <w:rsid w:val="007545E6"/>
    <w:rsid w:val="007545FC"/>
    <w:rsid w:val="0075463D"/>
    <w:rsid w:val="0075463E"/>
    <w:rsid w:val="00754653"/>
    <w:rsid w:val="00754662"/>
    <w:rsid w:val="00754664"/>
    <w:rsid w:val="00754696"/>
    <w:rsid w:val="007546BA"/>
    <w:rsid w:val="007546C7"/>
    <w:rsid w:val="00754714"/>
    <w:rsid w:val="0075472F"/>
    <w:rsid w:val="00754750"/>
    <w:rsid w:val="00754760"/>
    <w:rsid w:val="00754768"/>
    <w:rsid w:val="00754777"/>
    <w:rsid w:val="007547BC"/>
    <w:rsid w:val="007547CA"/>
    <w:rsid w:val="007547CC"/>
    <w:rsid w:val="007547E7"/>
    <w:rsid w:val="0075484E"/>
    <w:rsid w:val="0075489B"/>
    <w:rsid w:val="007548AA"/>
    <w:rsid w:val="007548D6"/>
    <w:rsid w:val="00754950"/>
    <w:rsid w:val="00754959"/>
    <w:rsid w:val="00754999"/>
    <w:rsid w:val="007549B7"/>
    <w:rsid w:val="007549F0"/>
    <w:rsid w:val="00754A41"/>
    <w:rsid w:val="00754A92"/>
    <w:rsid w:val="00754AC0"/>
    <w:rsid w:val="00754B43"/>
    <w:rsid w:val="00754BBA"/>
    <w:rsid w:val="00754BD7"/>
    <w:rsid w:val="00754C2C"/>
    <w:rsid w:val="00754CA5"/>
    <w:rsid w:val="00754CC2"/>
    <w:rsid w:val="00754D17"/>
    <w:rsid w:val="00754D8E"/>
    <w:rsid w:val="00754DC0"/>
    <w:rsid w:val="00754DDD"/>
    <w:rsid w:val="00754E35"/>
    <w:rsid w:val="00754E62"/>
    <w:rsid w:val="00754EA6"/>
    <w:rsid w:val="00754F46"/>
    <w:rsid w:val="00754F82"/>
    <w:rsid w:val="00754FBD"/>
    <w:rsid w:val="00754FE5"/>
    <w:rsid w:val="00754FEB"/>
    <w:rsid w:val="00755038"/>
    <w:rsid w:val="007550A4"/>
    <w:rsid w:val="007550BF"/>
    <w:rsid w:val="007550C6"/>
    <w:rsid w:val="007550E8"/>
    <w:rsid w:val="007551AB"/>
    <w:rsid w:val="007551D4"/>
    <w:rsid w:val="00755283"/>
    <w:rsid w:val="00755297"/>
    <w:rsid w:val="0075529F"/>
    <w:rsid w:val="007552B1"/>
    <w:rsid w:val="007552FE"/>
    <w:rsid w:val="00755351"/>
    <w:rsid w:val="00755400"/>
    <w:rsid w:val="00755425"/>
    <w:rsid w:val="00755441"/>
    <w:rsid w:val="00755473"/>
    <w:rsid w:val="007554C9"/>
    <w:rsid w:val="0075553E"/>
    <w:rsid w:val="00755590"/>
    <w:rsid w:val="0075559D"/>
    <w:rsid w:val="007555D3"/>
    <w:rsid w:val="007555D5"/>
    <w:rsid w:val="00755620"/>
    <w:rsid w:val="0075571A"/>
    <w:rsid w:val="00755725"/>
    <w:rsid w:val="0075574C"/>
    <w:rsid w:val="0075574F"/>
    <w:rsid w:val="007557C2"/>
    <w:rsid w:val="007557C5"/>
    <w:rsid w:val="007557EC"/>
    <w:rsid w:val="00755867"/>
    <w:rsid w:val="00755876"/>
    <w:rsid w:val="0075589D"/>
    <w:rsid w:val="007558EE"/>
    <w:rsid w:val="0075590F"/>
    <w:rsid w:val="00755976"/>
    <w:rsid w:val="0075597E"/>
    <w:rsid w:val="00755A0A"/>
    <w:rsid w:val="00755B45"/>
    <w:rsid w:val="00755B76"/>
    <w:rsid w:val="00755B9F"/>
    <w:rsid w:val="00755CC4"/>
    <w:rsid w:val="00755CDE"/>
    <w:rsid w:val="00755D29"/>
    <w:rsid w:val="00755D5D"/>
    <w:rsid w:val="00755D69"/>
    <w:rsid w:val="00755DB9"/>
    <w:rsid w:val="00755E0D"/>
    <w:rsid w:val="00755E65"/>
    <w:rsid w:val="00755EB9"/>
    <w:rsid w:val="00755EBE"/>
    <w:rsid w:val="00755ED5"/>
    <w:rsid w:val="00755ED6"/>
    <w:rsid w:val="00755EDD"/>
    <w:rsid w:val="00755F12"/>
    <w:rsid w:val="00755FC3"/>
    <w:rsid w:val="00755FD6"/>
    <w:rsid w:val="0075601E"/>
    <w:rsid w:val="007560E6"/>
    <w:rsid w:val="0075617E"/>
    <w:rsid w:val="007561F6"/>
    <w:rsid w:val="0075620D"/>
    <w:rsid w:val="00756269"/>
    <w:rsid w:val="007562E5"/>
    <w:rsid w:val="007562FC"/>
    <w:rsid w:val="007563E3"/>
    <w:rsid w:val="0075641C"/>
    <w:rsid w:val="0075644C"/>
    <w:rsid w:val="007564C6"/>
    <w:rsid w:val="007564F4"/>
    <w:rsid w:val="00756539"/>
    <w:rsid w:val="00756549"/>
    <w:rsid w:val="00756568"/>
    <w:rsid w:val="00756570"/>
    <w:rsid w:val="00756574"/>
    <w:rsid w:val="007565ED"/>
    <w:rsid w:val="0075663B"/>
    <w:rsid w:val="0075668B"/>
    <w:rsid w:val="00756696"/>
    <w:rsid w:val="0075669C"/>
    <w:rsid w:val="007566A2"/>
    <w:rsid w:val="007566A7"/>
    <w:rsid w:val="00756740"/>
    <w:rsid w:val="00756782"/>
    <w:rsid w:val="007567CB"/>
    <w:rsid w:val="0075681C"/>
    <w:rsid w:val="00756833"/>
    <w:rsid w:val="0075685D"/>
    <w:rsid w:val="0075685E"/>
    <w:rsid w:val="0075685F"/>
    <w:rsid w:val="00756897"/>
    <w:rsid w:val="0075689A"/>
    <w:rsid w:val="0075689B"/>
    <w:rsid w:val="00756901"/>
    <w:rsid w:val="0075694C"/>
    <w:rsid w:val="0075696E"/>
    <w:rsid w:val="007569CB"/>
    <w:rsid w:val="00756A65"/>
    <w:rsid w:val="00756A86"/>
    <w:rsid w:val="00756A8B"/>
    <w:rsid w:val="00756AB1"/>
    <w:rsid w:val="00756ACB"/>
    <w:rsid w:val="00756AD2"/>
    <w:rsid w:val="00756B0E"/>
    <w:rsid w:val="00756B67"/>
    <w:rsid w:val="00756BB6"/>
    <w:rsid w:val="00756BBE"/>
    <w:rsid w:val="00756C43"/>
    <w:rsid w:val="00756C6D"/>
    <w:rsid w:val="00756D50"/>
    <w:rsid w:val="00756DD6"/>
    <w:rsid w:val="00756E62"/>
    <w:rsid w:val="00756E84"/>
    <w:rsid w:val="00756EA9"/>
    <w:rsid w:val="00756EDA"/>
    <w:rsid w:val="00756EEC"/>
    <w:rsid w:val="00756FB2"/>
    <w:rsid w:val="00756FE1"/>
    <w:rsid w:val="00757008"/>
    <w:rsid w:val="00757044"/>
    <w:rsid w:val="007570C9"/>
    <w:rsid w:val="00757177"/>
    <w:rsid w:val="007571FC"/>
    <w:rsid w:val="0075723F"/>
    <w:rsid w:val="00757280"/>
    <w:rsid w:val="007572E5"/>
    <w:rsid w:val="00757323"/>
    <w:rsid w:val="00757361"/>
    <w:rsid w:val="00757367"/>
    <w:rsid w:val="00757378"/>
    <w:rsid w:val="007573C1"/>
    <w:rsid w:val="00757473"/>
    <w:rsid w:val="00757530"/>
    <w:rsid w:val="00757543"/>
    <w:rsid w:val="00757590"/>
    <w:rsid w:val="0075761F"/>
    <w:rsid w:val="00757653"/>
    <w:rsid w:val="0075769A"/>
    <w:rsid w:val="0075769D"/>
    <w:rsid w:val="007576C7"/>
    <w:rsid w:val="007576DB"/>
    <w:rsid w:val="0075770C"/>
    <w:rsid w:val="0075771E"/>
    <w:rsid w:val="0075774A"/>
    <w:rsid w:val="00757789"/>
    <w:rsid w:val="0075778F"/>
    <w:rsid w:val="007577D7"/>
    <w:rsid w:val="007577DD"/>
    <w:rsid w:val="007577FA"/>
    <w:rsid w:val="0075780D"/>
    <w:rsid w:val="00757829"/>
    <w:rsid w:val="007578A9"/>
    <w:rsid w:val="007578B0"/>
    <w:rsid w:val="007578BD"/>
    <w:rsid w:val="00757900"/>
    <w:rsid w:val="00757929"/>
    <w:rsid w:val="00757933"/>
    <w:rsid w:val="0075794F"/>
    <w:rsid w:val="00757956"/>
    <w:rsid w:val="00757959"/>
    <w:rsid w:val="007579B5"/>
    <w:rsid w:val="007579F8"/>
    <w:rsid w:val="00757ABB"/>
    <w:rsid w:val="00757B89"/>
    <w:rsid w:val="00757B91"/>
    <w:rsid w:val="00757B9B"/>
    <w:rsid w:val="00757BD6"/>
    <w:rsid w:val="00757C14"/>
    <w:rsid w:val="00757C4D"/>
    <w:rsid w:val="00757C53"/>
    <w:rsid w:val="00757CD0"/>
    <w:rsid w:val="00757D86"/>
    <w:rsid w:val="00757DB2"/>
    <w:rsid w:val="00757E0E"/>
    <w:rsid w:val="00757E7C"/>
    <w:rsid w:val="00757E98"/>
    <w:rsid w:val="00757EA4"/>
    <w:rsid w:val="00757EC4"/>
    <w:rsid w:val="00757EC8"/>
    <w:rsid w:val="00757EDA"/>
    <w:rsid w:val="00757F09"/>
    <w:rsid w:val="00757F7D"/>
    <w:rsid w:val="00757F99"/>
    <w:rsid w:val="00760013"/>
    <w:rsid w:val="00760017"/>
    <w:rsid w:val="00760026"/>
    <w:rsid w:val="0076007E"/>
    <w:rsid w:val="007600A5"/>
    <w:rsid w:val="007600F6"/>
    <w:rsid w:val="0076010D"/>
    <w:rsid w:val="0076011D"/>
    <w:rsid w:val="007601BA"/>
    <w:rsid w:val="00760255"/>
    <w:rsid w:val="0076025F"/>
    <w:rsid w:val="00760284"/>
    <w:rsid w:val="007602EB"/>
    <w:rsid w:val="00760344"/>
    <w:rsid w:val="0076036B"/>
    <w:rsid w:val="007603EB"/>
    <w:rsid w:val="007603EF"/>
    <w:rsid w:val="00760454"/>
    <w:rsid w:val="0076049A"/>
    <w:rsid w:val="0076051E"/>
    <w:rsid w:val="007605CC"/>
    <w:rsid w:val="007605F2"/>
    <w:rsid w:val="00760622"/>
    <w:rsid w:val="007606DB"/>
    <w:rsid w:val="00760706"/>
    <w:rsid w:val="0076071C"/>
    <w:rsid w:val="0076072D"/>
    <w:rsid w:val="007607A5"/>
    <w:rsid w:val="007607AF"/>
    <w:rsid w:val="0076081C"/>
    <w:rsid w:val="0076081E"/>
    <w:rsid w:val="0076093E"/>
    <w:rsid w:val="00760950"/>
    <w:rsid w:val="007609BA"/>
    <w:rsid w:val="007609D4"/>
    <w:rsid w:val="007609EF"/>
    <w:rsid w:val="00760A5E"/>
    <w:rsid w:val="00760A67"/>
    <w:rsid w:val="00760AB8"/>
    <w:rsid w:val="00760ADA"/>
    <w:rsid w:val="00760B11"/>
    <w:rsid w:val="00760B66"/>
    <w:rsid w:val="00760B74"/>
    <w:rsid w:val="00760B94"/>
    <w:rsid w:val="00760C6C"/>
    <w:rsid w:val="00760C78"/>
    <w:rsid w:val="00760CC3"/>
    <w:rsid w:val="00760D0C"/>
    <w:rsid w:val="00760D23"/>
    <w:rsid w:val="00760D2D"/>
    <w:rsid w:val="00760DE4"/>
    <w:rsid w:val="00760DEA"/>
    <w:rsid w:val="00760DED"/>
    <w:rsid w:val="00760DF2"/>
    <w:rsid w:val="00760E18"/>
    <w:rsid w:val="00760E3F"/>
    <w:rsid w:val="00760EAB"/>
    <w:rsid w:val="00760ECA"/>
    <w:rsid w:val="00760F0E"/>
    <w:rsid w:val="00760F15"/>
    <w:rsid w:val="00761049"/>
    <w:rsid w:val="0076105C"/>
    <w:rsid w:val="00761065"/>
    <w:rsid w:val="007610B4"/>
    <w:rsid w:val="00761170"/>
    <w:rsid w:val="00761174"/>
    <w:rsid w:val="0076118E"/>
    <w:rsid w:val="00761241"/>
    <w:rsid w:val="0076125E"/>
    <w:rsid w:val="0076126B"/>
    <w:rsid w:val="007612B8"/>
    <w:rsid w:val="007612CA"/>
    <w:rsid w:val="0076136B"/>
    <w:rsid w:val="00761399"/>
    <w:rsid w:val="007613C0"/>
    <w:rsid w:val="007613CC"/>
    <w:rsid w:val="007613F1"/>
    <w:rsid w:val="00761481"/>
    <w:rsid w:val="00761537"/>
    <w:rsid w:val="00761538"/>
    <w:rsid w:val="00761562"/>
    <w:rsid w:val="0076157E"/>
    <w:rsid w:val="00761587"/>
    <w:rsid w:val="0076159A"/>
    <w:rsid w:val="007615DB"/>
    <w:rsid w:val="007615EA"/>
    <w:rsid w:val="00761602"/>
    <w:rsid w:val="0076160E"/>
    <w:rsid w:val="00761664"/>
    <w:rsid w:val="0076167F"/>
    <w:rsid w:val="007616BA"/>
    <w:rsid w:val="007616BB"/>
    <w:rsid w:val="0076176E"/>
    <w:rsid w:val="007617EB"/>
    <w:rsid w:val="007617F1"/>
    <w:rsid w:val="0076182B"/>
    <w:rsid w:val="00761851"/>
    <w:rsid w:val="007618B9"/>
    <w:rsid w:val="007618C5"/>
    <w:rsid w:val="007618D4"/>
    <w:rsid w:val="00761956"/>
    <w:rsid w:val="00761970"/>
    <w:rsid w:val="007619BC"/>
    <w:rsid w:val="007619C4"/>
    <w:rsid w:val="007619DC"/>
    <w:rsid w:val="007619F1"/>
    <w:rsid w:val="00761A1E"/>
    <w:rsid w:val="00761A8D"/>
    <w:rsid w:val="00761ABF"/>
    <w:rsid w:val="00761B23"/>
    <w:rsid w:val="00761B83"/>
    <w:rsid w:val="00761BE6"/>
    <w:rsid w:val="00761C14"/>
    <w:rsid w:val="00761C71"/>
    <w:rsid w:val="00761CC8"/>
    <w:rsid w:val="00761D8F"/>
    <w:rsid w:val="00761DC1"/>
    <w:rsid w:val="00761DE6"/>
    <w:rsid w:val="00761E08"/>
    <w:rsid w:val="00761E15"/>
    <w:rsid w:val="00761E22"/>
    <w:rsid w:val="00761E2A"/>
    <w:rsid w:val="00761E2D"/>
    <w:rsid w:val="00761E56"/>
    <w:rsid w:val="00761E80"/>
    <w:rsid w:val="00761EDA"/>
    <w:rsid w:val="00761EF2"/>
    <w:rsid w:val="00761F6C"/>
    <w:rsid w:val="00761FCA"/>
    <w:rsid w:val="00762088"/>
    <w:rsid w:val="0076208E"/>
    <w:rsid w:val="007620AD"/>
    <w:rsid w:val="00762178"/>
    <w:rsid w:val="00762195"/>
    <w:rsid w:val="007621A6"/>
    <w:rsid w:val="007621F3"/>
    <w:rsid w:val="0076220A"/>
    <w:rsid w:val="0076220B"/>
    <w:rsid w:val="00762295"/>
    <w:rsid w:val="007622BC"/>
    <w:rsid w:val="007622F5"/>
    <w:rsid w:val="00762300"/>
    <w:rsid w:val="0076230D"/>
    <w:rsid w:val="00762336"/>
    <w:rsid w:val="0076235B"/>
    <w:rsid w:val="0076236D"/>
    <w:rsid w:val="007623B8"/>
    <w:rsid w:val="007623EC"/>
    <w:rsid w:val="0076243B"/>
    <w:rsid w:val="00762451"/>
    <w:rsid w:val="0076246C"/>
    <w:rsid w:val="007624B3"/>
    <w:rsid w:val="007624C9"/>
    <w:rsid w:val="007624E1"/>
    <w:rsid w:val="00762509"/>
    <w:rsid w:val="00762538"/>
    <w:rsid w:val="00762541"/>
    <w:rsid w:val="00762563"/>
    <w:rsid w:val="00762575"/>
    <w:rsid w:val="007625C5"/>
    <w:rsid w:val="00762609"/>
    <w:rsid w:val="00762612"/>
    <w:rsid w:val="00762627"/>
    <w:rsid w:val="00762688"/>
    <w:rsid w:val="00762789"/>
    <w:rsid w:val="007628FB"/>
    <w:rsid w:val="0076292B"/>
    <w:rsid w:val="007629A7"/>
    <w:rsid w:val="007629AE"/>
    <w:rsid w:val="007629BD"/>
    <w:rsid w:val="007629FE"/>
    <w:rsid w:val="00762A69"/>
    <w:rsid w:val="00762A93"/>
    <w:rsid w:val="00762AB1"/>
    <w:rsid w:val="00762AEF"/>
    <w:rsid w:val="00762B02"/>
    <w:rsid w:val="00762B1F"/>
    <w:rsid w:val="00762B45"/>
    <w:rsid w:val="00762B50"/>
    <w:rsid w:val="00762B8D"/>
    <w:rsid w:val="00762B94"/>
    <w:rsid w:val="00762B9B"/>
    <w:rsid w:val="00762B9D"/>
    <w:rsid w:val="00762BA6"/>
    <w:rsid w:val="00762BEC"/>
    <w:rsid w:val="00762BF4"/>
    <w:rsid w:val="00762BF8"/>
    <w:rsid w:val="00762C75"/>
    <w:rsid w:val="00762C78"/>
    <w:rsid w:val="00762C88"/>
    <w:rsid w:val="00762C93"/>
    <w:rsid w:val="00762CEC"/>
    <w:rsid w:val="00762CF1"/>
    <w:rsid w:val="00762CF4"/>
    <w:rsid w:val="00762D13"/>
    <w:rsid w:val="00762D24"/>
    <w:rsid w:val="00762D38"/>
    <w:rsid w:val="00762DB2"/>
    <w:rsid w:val="00762E12"/>
    <w:rsid w:val="00762E14"/>
    <w:rsid w:val="00762E2B"/>
    <w:rsid w:val="00762E58"/>
    <w:rsid w:val="00762E6D"/>
    <w:rsid w:val="00762E86"/>
    <w:rsid w:val="00762EA8"/>
    <w:rsid w:val="00762EBB"/>
    <w:rsid w:val="00762EE5"/>
    <w:rsid w:val="00762EF3"/>
    <w:rsid w:val="00762F8B"/>
    <w:rsid w:val="00762FB3"/>
    <w:rsid w:val="00763035"/>
    <w:rsid w:val="007630B6"/>
    <w:rsid w:val="007630DB"/>
    <w:rsid w:val="00763153"/>
    <w:rsid w:val="00763157"/>
    <w:rsid w:val="0076318C"/>
    <w:rsid w:val="007631B3"/>
    <w:rsid w:val="007631DC"/>
    <w:rsid w:val="0076324D"/>
    <w:rsid w:val="0076326F"/>
    <w:rsid w:val="0076328A"/>
    <w:rsid w:val="007632AD"/>
    <w:rsid w:val="007632C7"/>
    <w:rsid w:val="007632E0"/>
    <w:rsid w:val="00763305"/>
    <w:rsid w:val="0076330C"/>
    <w:rsid w:val="00763328"/>
    <w:rsid w:val="00763387"/>
    <w:rsid w:val="007633BA"/>
    <w:rsid w:val="007633BC"/>
    <w:rsid w:val="0076340B"/>
    <w:rsid w:val="00763435"/>
    <w:rsid w:val="00763461"/>
    <w:rsid w:val="00763476"/>
    <w:rsid w:val="00763509"/>
    <w:rsid w:val="007635B0"/>
    <w:rsid w:val="007635F6"/>
    <w:rsid w:val="00763656"/>
    <w:rsid w:val="00763672"/>
    <w:rsid w:val="007636D0"/>
    <w:rsid w:val="007636E3"/>
    <w:rsid w:val="007636FB"/>
    <w:rsid w:val="00763705"/>
    <w:rsid w:val="00763746"/>
    <w:rsid w:val="00763773"/>
    <w:rsid w:val="0076377D"/>
    <w:rsid w:val="00763781"/>
    <w:rsid w:val="007637D0"/>
    <w:rsid w:val="00763863"/>
    <w:rsid w:val="00763877"/>
    <w:rsid w:val="00763893"/>
    <w:rsid w:val="007638E2"/>
    <w:rsid w:val="007639BD"/>
    <w:rsid w:val="007639D1"/>
    <w:rsid w:val="00763A2B"/>
    <w:rsid w:val="00763A71"/>
    <w:rsid w:val="00763AEA"/>
    <w:rsid w:val="00763AF5"/>
    <w:rsid w:val="00763BA6"/>
    <w:rsid w:val="00763C07"/>
    <w:rsid w:val="00763C4C"/>
    <w:rsid w:val="00763C4E"/>
    <w:rsid w:val="00763C72"/>
    <w:rsid w:val="00763C74"/>
    <w:rsid w:val="00763D31"/>
    <w:rsid w:val="00763DAC"/>
    <w:rsid w:val="00763DF0"/>
    <w:rsid w:val="00763E4C"/>
    <w:rsid w:val="00763E4D"/>
    <w:rsid w:val="00763E61"/>
    <w:rsid w:val="00763EB7"/>
    <w:rsid w:val="00763F3C"/>
    <w:rsid w:val="00763F4E"/>
    <w:rsid w:val="00763F97"/>
    <w:rsid w:val="00763FDB"/>
    <w:rsid w:val="0076400E"/>
    <w:rsid w:val="0076403F"/>
    <w:rsid w:val="00764050"/>
    <w:rsid w:val="00764097"/>
    <w:rsid w:val="00764130"/>
    <w:rsid w:val="00764154"/>
    <w:rsid w:val="00764164"/>
    <w:rsid w:val="007641D2"/>
    <w:rsid w:val="0076420E"/>
    <w:rsid w:val="0076437D"/>
    <w:rsid w:val="007643BA"/>
    <w:rsid w:val="007643D8"/>
    <w:rsid w:val="007643EE"/>
    <w:rsid w:val="00764403"/>
    <w:rsid w:val="0076442F"/>
    <w:rsid w:val="00764473"/>
    <w:rsid w:val="00764487"/>
    <w:rsid w:val="007644AA"/>
    <w:rsid w:val="007644B2"/>
    <w:rsid w:val="0076450E"/>
    <w:rsid w:val="00764536"/>
    <w:rsid w:val="00764553"/>
    <w:rsid w:val="007645A7"/>
    <w:rsid w:val="00764644"/>
    <w:rsid w:val="007646E0"/>
    <w:rsid w:val="00764821"/>
    <w:rsid w:val="0076485B"/>
    <w:rsid w:val="007648BF"/>
    <w:rsid w:val="007648C8"/>
    <w:rsid w:val="007648D5"/>
    <w:rsid w:val="007648DF"/>
    <w:rsid w:val="00764905"/>
    <w:rsid w:val="00764910"/>
    <w:rsid w:val="0076491E"/>
    <w:rsid w:val="0076493E"/>
    <w:rsid w:val="0076496C"/>
    <w:rsid w:val="007649C5"/>
    <w:rsid w:val="007649E1"/>
    <w:rsid w:val="00764AA0"/>
    <w:rsid w:val="00764AE6"/>
    <w:rsid w:val="00764B59"/>
    <w:rsid w:val="00764B79"/>
    <w:rsid w:val="00764B87"/>
    <w:rsid w:val="00764B9F"/>
    <w:rsid w:val="00764BF2"/>
    <w:rsid w:val="00764C37"/>
    <w:rsid w:val="00764C3C"/>
    <w:rsid w:val="00764C4A"/>
    <w:rsid w:val="00764CCC"/>
    <w:rsid w:val="00764D31"/>
    <w:rsid w:val="00764D48"/>
    <w:rsid w:val="00764D4C"/>
    <w:rsid w:val="00764D86"/>
    <w:rsid w:val="00764DA0"/>
    <w:rsid w:val="00764DFA"/>
    <w:rsid w:val="00764E27"/>
    <w:rsid w:val="00764E29"/>
    <w:rsid w:val="00764E98"/>
    <w:rsid w:val="00764EA4"/>
    <w:rsid w:val="00764EFE"/>
    <w:rsid w:val="00764F0A"/>
    <w:rsid w:val="00764F1B"/>
    <w:rsid w:val="00764F76"/>
    <w:rsid w:val="00764F8B"/>
    <w:rsid w:val="00764F97"/>
    <w:rsid w:val="00764FB8"/>
    <w:rsid w:val="00764FCE"/>
    <w:rsid w:val="00765000"/>
    <w:rsid w:val="0076500C"/>
    <w:rsid w:val="00765060"/>
    <w:rsid w:val="00765085"/>
    <w:rsid w:val="00765122"/>
    <w:rsid w:val="0076513B"/>
    <w:rsid w:val="0076514E"/>
    <w:rsid w:val="00765172"/>
    <w:rsid w:val="007651F2"/>
    <w:rsid w:val="00765272"/>
    <w:rsid w:val="007652BB"/>
    <w:rsid w:val="007652D4"/>
    <w:rsid w:val="00765398"/>
    <w:rsid w:val="007653AA"/>
    <w:rsid w:val="0076542B"/>
    <w:rsid w:val="00765468"/>
    <w:rsid w:val="0076548A"/>
    <w:rsid w:val="007654AC"/>
    <w:rsid w:val="0076553C"/>
    <w:rsid w:val="007655F5"/>
    <w:rsid w:val="0076560A"/>
    <w:rsid w:val="00765616"/>
    <w:rsid w:val="0076561A"/>
    <w:rsid w:val="00765781"/>
    <w:rsid w:val="007657A5"/>
    <w:rsid w:val="007657CE"/>
    <w:rsid w:val="007657F5"/>
    <w:rsid w:val="0076581E"/>
    <w:rsid w:val="00765866"/>
    <w:rsid w:val="00765886"/>
    <w:rsid w:val="007658AD"/>
    <w:rsid w:val="007658BF"/>
    <w:rsid w:val="00765915"/>
    <w:rsid w:val="00765916"/>
    <w:rsid w:val="00765946"/>
    <w:rsid w:val="00765990"/>
    <w:rsid w:val="00765992"/>
    <w:rsid w:val="007659E2"/>
    <w:rsid w:val="00765A26"/>
    <w:rsid w:val="00765A49"/>
    <w:rsid w:val="00765B5F"/>
    <w:rsid w:val="00765B89"/>
    <w:rsid w:val="00765B90"/>
    <w:rsid w:val="00765C0B"/>
    <w:rsid w:val="00765C41"/>
    <w:rsid w:val="00765C48"/>
    <w:rsid w:val="00765CC0"/>
    <w:rsid w:val="00765D23"/>
    <w:rsid w:val="00765D32"/>
    <w:rsid w:val="00765DE0"/>
    <w:rsid w:val="00765DE3"/>
    <w:rsid w:val="00765E1E"/>
    <w:rsid w:val="00765E57"/>
    <w:rsid w:val="00765E88"/>
    <w:rsid w:val="00765EBF"/>
    <w:rsid w:val="00765EC5"/>
    <w:rsid w:val="00765ECA"/>
    <w:rsid w:val="00765F4F"/>
    <w:rsid w:val="00765FBF"/>
    <w:rsid w:val="00765FDC"/>
    <w:rsid w:val="00765FDD"/>
    <w:rsid w:val="00766004"/>
    <w:rsid w:val="00766011"/>
    <w:rsid w:val="0076607B"/>
    <w:rsid w:val="007660D7"/>
    <w:rsid w:val="00766112"/>
    <w:rsid w:val="0076611A"/>
    <w:rsid w:val="00766167"/>
    <w:rsid w:val="00766173"/>
    <w:rsid w:val="00766201"/>
    <w:rsid w:val="00766220"/>
    <w:rsid w:val="00766223"/>
    <w:rsid w:val="00766235"/>
    <w:rsid w:val="0076628E"/>
    <w:rsid w:val="007662EF"/>
    <w:rsid w:val="00766363"/>
    <w:rsid w:val="00766389"/>
    <w:rsid w:val="007663A7"/>
    <w:rsid w:val="007663E8"/>
    <w:rsid w:val="00766412"/>
    <w:rsid w:val="0076641F"/>
    <w:rsid w:val="0076645D"/>
    <w:rsid w:val="0076648B"/>
    <w:rsid w:val="007664CC"/>
    <w:rsid w:val="007664DA"/>
    <w:rsid w:val="0076650E"/>
    <w:rsid w:val="00766542"/>
    <w:rsid w:val="0076656C"/>
    <w:rsid w:val="00766571"/>
    <w:rsid w:val="007665A7"/>
    <w:rsid w:val="007665CD"/>
    <w:rsid w:val="007665D5"/>
    <w:rsid w:val="007665FD"/>
    <w:rsid w:val="0076667A"/>
    <w:rsid w:val="007666F5"/>
    <w:rsid w:val="00766700"/>
    <w:rsid w:val="00766727"/>
    <w:rsid w:val="00766735"/>
    <w:rsid w:val="00766739"/>
    <w:rsid w:val="00766752"/>
    <w:rsid w:val="00766782"/>
    <w:rsid w:val="007667AC"/>
    <w:rsid w:val="007667AD"/>
    <w:rsid w:val="00766832"/>
    <w:rsid w:val="0076683D"/>
    <w:rsid w:val="0076685C"/>
    <w:rsid w:val="00766865"/>
    <w:rsid w:val="007668F4"/>
    <w:rsid w:val="00766978"/>
    <w:rsid w:val="00766982"/>
    <w:rsid w:val="007669B3"/>
    <w:rsid w:val="00766A32"/>
    <w:rsid w:val="00766A57"/>
    <w:rsid w:val="00766A61"/>
    <w:rsid w:val="00766ADA"/>
    <w:rsid w:val="00766B15"/>
    <w:rsid w:val="00766B70"/>
    <w:rsid w:val="00766B8A"/>
    <w:rsid w:val="00766BDB"/>
    <w:rsid w:val="00766BE5"/>
    <w:rsid w:val="00766BEB"/>
    <w:rsid w:val="00766C1B"/>
    <w:rsid w:val="00766C2C"/>
    <w:rsid w:val="00766C6A"/>
    <w:rsid w:val="00766C83"/>
    <w:rsid w:val="00766D21"/>
    <w:rsid w:val="00766D5C"/>
    <w:rsid w:val="00766D80"/>
    <w:rsid w:val="00766D96"/>
    <w:rsid w:val="00766DAF"/>
    <w:rsid w:val="00766DE0"/>
    <w:rsid w:val="00766E3D"/>
    <w:rsid w:val="00766E43"/>
    <w:rsid w:val="00766EB4"/>
    <w:rsid w:val="00766FA6"/>
    <w:rsid w:val="00766FB5"/>
    <w:rsid w:val="00766FB6"/>
    <w:rsid w:val="00766FD5"/>
    <w:rsid w:val="00766FDA"/>
    <w:rsid w:val="00766FE3"/>
    <w:rsid w:val="00766FF6"/>
    <w:rsid w:val="00767052"/>
    <w:rsid w:val="00767058"/>
    <w:rsid w:val="0076706A"/>
    <w:rsid w:val="0076706F"/>
    <w:rsid w:val="007670C7"/>
    <w:rsid w:val="007670DF"/>
    <w:rsid w:val="007670F7"/>
    <w:rsid w:val="0076713A"/>
    <w:rsid w:val="00767144"/>
    <w:rsid w:val="0076714F"/>
    <w:rsid w:val="00767237"/>
    <w:rsid w:val="00767255"/>
    <w:rsid w:val="00767267"/>
    <w:rsid w:val="00767272"/>
    <w:rsid w:val="0076728C"/>
    <w:rsid w:val="007672A3"/>
    <w:rsid w:val="007672AF"/>
    <w:rsid w:val="007672D0"/>
    <w:rsid w:val="007672D2"/>
    <w:rsid w:val="007672D8"/>
    <w:rsid w:val="007672E9"/>
    <w:rsid w:val="0076731F"/>
    <w:rsid w:val="0076734F"/>
    <w:rsid w:val="0076736D"/>
    <w:rsid w:val="007673E9"/>
    <w:rsid w:val="007673FA"/>
    <w:rsid w:val="00767408"/>
    <w:rsid w:val="00767416"/>
    <w:rsid w:val="0076748F"/>
    <w:rsid w:val="007674FF"/>
    <w:rsid w:val="00767520"/>
    <w:rsid w:val="00767540"/>
    <w:rsid w:val="00767570"/>
    <w:rsid w:val="0076758B"/>
    <w:rsid w:val="007675E2"/>
    <w:rsid w:val="0076766C"/>
    <w:rsid w:val="0076770E"/>
    <w:rsid w:val="00767717"/>
    <w:rsid w:val="00767740"/>
    <w:rsid w:val="007677B1"/>
    <w:rsid w:val="007677D3"/>
    <w:rsid w:val="007677EE"/>
    <w:rsid w:val="00767812"/>
    <w:rsid w:val="0076784E"/>
    <w:rsid w:val="00767852"/>
    <w:rsid w:val="00767855"/>
    <w:rsid w:val="00767889"/>
    <w:rsid w:val="007678D3"/>
    <w:rsid w:val="007678F6"/>
    <w:rsid w:val="00767941"/>
    <w:rsid w:val="007679A8"/>
    <w:rsid w:val="007679E8"/>
    <w:rsid w:val="00767A28"/>
    <w:rsid w:val="00767B09"/>
    <w:rsid w:val="00767B56"/>
    <w:rsid w:val="00767B7C"/>
    <w:rsid w:val="00767C06"/>
    <w:rsid w:val="00767D0D"/>
    <w:rsid w:val="00767D48"/>
    <w:rsid w:val="00767D52"/>
    <w:rsid w:val="00767D94"/>
    <w:rsid w:val="00767DD5"/>
    <w:rsid w:val="00767E11"/>
    <w:rsid w:val="00767E42"/>
    <w:rsid w:val="00767EB9"/>
    <w:rsid w:val="00767F2B"/>
    <w:rsid w:val="00767F4D"/>
    <w:rsid w:val="00767F73"/>
    <w:rsid w:val="00767F9A"/>
    <w:rsid w:val="00767FA9"/>
    <w:rsid w:val="00767FD7"/>
    <w:rsid w:val="00770008"/>
    <w:rsid w:val="00770185"/>
    <w:rsid w:val="007701B6"/>
    <w:rsid w:val="007701D6"/>
    <w:rsid w:val="0077027D"/>
    <w:rsid w:val="007702B9"/>
    <w:rsid w:val="007702C3"/>
    <w:rsid w:val="007702FB"/>
    <w:rsid w:val="0077032A"/>
    <w:rsid w:val="0077032C"/>
    <w:rsid w:val="00770378"/>
    <w:rsid w:val="007703A5"/>
    <w:rsid w:val="007703C2"/>
    <w:rsid w:val="007704C9"/>
    <w:rsid w:val="00770533"/>
    <w:rsid w:val="0077056E"/>
    <w:rsid w:val="00770599"/>
    <w:rsid w:val="007705AA"/>
    <w:rsid w:val="007705BA"/>
    <w:rsid w:val="007705E5"/>
    <w:rsid w:val="00770609"/>
    <w:rsid w:val="007706D7"/>
    <w:rsid w:val="007706F5"/>
    <w:rsid w:val="00770708"/>
    <w:rsid w:val="007707EC"/>
    <w:rsid w:val="007707FA"/>
    <w:rsid w:val="00770880"/>
    <w:rsid w:val="00770922"/>
    <w:rsid w:val="00770954"/>
    <w:rsid w:val="007709C2"/>
    <w:rsid w:val="00770A4B"/>
    <w:rsid w:val="00770A52"/>
    <w:rsid w:val="00770AC4"/>
    <w:rsid w:val="00770AC9"/>
    <w:rsid w:val="00770B27"/>
    <w:rsid w:val="00770B4F"/>
    <w:rsid w:val="00770C05"/>
    <w:rsid w:val="00770C0C"/>
    <w:rsid w:val="00770C3B"/>
    <w:rsid w:val="00770C44"/>
    <w:rsid w:val="00770C81"/>
    <w:rsid w:val="00770C91"/>
    <w:rsid w:val="00770CAF"/>
    <w:rsid w:val="00770CF5"/>
    <w:rsid w:val="00770D15"/>
    <w:rsid w:val="00770D4C"/>
    <w:rsid w:val="00770D52"/>
    <w:rsid w:val="00770D6F"/>
    <w:rsid w:val="00770D85"/>
    <w:rsid w:val="00770D9B"/>
    <w:rsid w:val="00770DD4"/>
    <w:rsid w:val="00770DFD"/>
    <w:rsid w:val="00770DFE"/>
    <w:rsid w:val="00770E24"/>
    <w:rsid w:val="00770E57"/>
    <w:rsid w:val="00770E78"/>
    <w:rsid w:val="00770E99"/>
    <w:rsid w:val="00770EF3"/>
    <w:rsid w:val="00770F49"/>
    <w:rsid w:val="00770F4B"/>
    <w:rsid w:val="00770F95"/>
    <w:rsid w:val="00770FA7"/>
    <w:rsid w:val="00770FB4"/>
    <w:rsid w:val="00770FE0"/>
    <w:rsid w:val="00770FFA"/>
    <w:rsid w:val="0077102C"/>
    <w:rsid w:val="0077108F"/>
    <w:rsid w:val="00771092"/>
    <w:rsid w:val="00771122"/>
    <w:rsid w:val="0077118B"/>
    <w:rsid w:val="007711E9"/>
    <w:rsid w:val="00771252"/>
    <w:rsid w:val="00771350"/>
    <w:rsid w:val="00771380"/>
    <w:rsid w:val="00771391"/>
    <w:rsid w:val="007713C5"/>
    <w:rsid w:val="007713F3"/>
    <w:rsid w:val="0077147F"/>
    <w:rsid w:val="007714F4"/>
    <w:rsid w:val="0077150C"/>
    <w:rsid w:val="00771546"/>
    <w:rsid w:val="0077156B"/>
    <w:rsid w:val="00771576"/>
    <w:rsid w:val="0077157A"/>
    <w:rsid w:val="00771631"/>
    <w:rsid w:val="00771644"/>
    <w:rsid w:val="00771677"/>
    <w:rsid w:val="00771695"/>
    <w:rsid w:val="0077170E"/>
    <w:rsid w:val="00771745"/>
    <w:rsid w:val="00771777"/>
    <w:rsid w:val="007717B1"/>
    <w:rsid w:val="00771812"/>
    <w:rsid w:val="00771917"/>
    <w:rsid w:val="0077194A"/>
    <w:rsid w:val="00771971"/>
    <w:rsid w:val="0077199B"/>
    <w:rsid w:val="007719F2"/>
    <w:rsid w:val="007719FD"/>
    <w:rsid w:val="00771A74"/>
    <w:rsid w:val="00771AF9"/>
    <w:rsid w:val="00771B54"/>
    <w:rsid w:val="00771B75"/>
    <w:rsid w:val="00771B8A"/>
    <w:rsid w:val="00771B92"/>
    <w:rsid w:val="00771BF7"/>
    <w:rsid w:val="00771C59"/>
    <w:rsid w:val="00771C83"/>
    <w:rsid w:val="00771CB5"/>
    <w:rsid w:val="00771D01"/>
    <w:rsid w:val="00771D1F"/>
    <w:rsid w:val="00771D51"/>
    <w:rsid w:val="00771D87"/>
    <w:rsid w:val="00771DAF"/>
    <w:rsid w:val="00771DE2"/>
    <w:rsid w:val="00771E2C"/>
    <w:rsid w:val="00771EEC"/>
    <w:rsid w:val="00771F1B"/>
    <w:rsid w:val="00771F69"/>
    <w:rsid w:val="00771F74"/>
    <w:rsid w:val="00771F9B"/>
    <w:rsid w:val="00771FEA"/>
    <w:rsid w:val="00772042"/>
    <w:rsid w:val="00772096"/>
    <w:rsid w:val="007720A4"/>
    <w:rsid w:val="007720FC"/>
    <w:rsid w:val="00772133"/>
    <w:rsid w:val="0077219B"/>
    <w:rsid w:val="0077224E"/>
    <w:rsid w:val="007722BF"/>
    <w:rsid w:val="00772323"/>
    <w:rsid w:val="00772350"/>
    <w:rsid w:val="00772354"/>
    <w:rsid w:val="0077236C"/>
    <w:rsid w:val="00772370"/>
    <w:rsid w:val="007723D1"/>
    <w:rsid w:val="007723D9"/>
    <w:rsid w:val="007723F8"/>
    <w:rsid w:val="0077247D"/>
    <w:rsid w:val="007724AF"/>
    <w:rsid w:val="007724C6"/>
    <w:rsid w:val="0077251D"/>
    <w:rsid w:val="0077258C"/>
    <w:rsid w:val="007725B4"/>
    <w:rsid w:val="00772605"/>
    <w:rsid w:val="00772665"/>
    <w:rsid w:val="00772693"/>
    <w:rsid w:val="0077272E"/>
    <w:rsid w:val="00772762"/>
    <w:rsid w:val="007727CA"/>
    <w:rsid w:val="007727D6"/>
    <w:rsid w:val="00772821"/>
    <w:rsid w:val="0077286C"/>
    <w:rsid w:val="00772898"/>
    <w:rsid w:val="007728CC"/>
    <w:rsid w:val="007728F7"/>
    <w:rsid w:val="00772900"/>
    <w:rsid w:val="0077290E"/>
    <w:rsid w:val="007729CD"/>
    <w:rsid w:val="00772A02"/>
    <w:rsid w:val="00772ABB"/>
    <w:rsid w:val="00772AC8"/>
    <w:rsid w:val="00772B0B"/>
    <w:rsid w:val="00772B75"/>
    <w:rsid w:val="00772B90"/>
    <w:rsid w:val="00772BC9"/>
    <w:rsid w:val="00772C18"/>
    <w:rsid w:val="00772C64"/>
    <w:rsid w:val="00772C6C"/>
    <w:rsid w:val="00772CDA"/>
    <w:rsid w:val="00772CF1"/>
    <w:rsid w:val="00772CFC"/>
    <w:rsid w:val="00772D29"/>
    <w:rsid w:val="00772D8C"/>
    <w:rsid w:val="00772DF0"/>
    <w:rsid w:val="00772E25"/>
    <w:rsid w:val="00772E62"/>
    <w:rsid w:val="00772E6E"/>
    <w:rsid w:val="00772E73"/>
    <w:rsid w:val="00772EC5"/>
    <w:rsid w:val="00772F21"/>
    <w:rsid w:val="00772F48"/>
    <w:rsid w:val="00772F56"/>
    <w:rsid w:val="00772FC9"/>
    <w:rsid w:val="0077301A"/>
    <w:rsid w:val="00773035"/>
    <w:rsid w:val="007730DF"/>
    <w:rsid w:val="007731AC"/>
    <w:rsid w:val="007731D6"/>
    <w:rsid w:val="0077321F"/>
    <w:rsid w:val="00773245"/>
    <w:rsid w:val="00773250"/>
    <w:rsid w:val="0077326B"/>
    <w:rsid w:val="007732E4"/>
    <w:rsid w:val="007732EC"/>
    <w:rsid w:val="00773355"/>
    <w:rsid w:val="0077337B"/>
    <w:rsid w:val="007733C1"/>
    <w:rsid w:val="007733DA"/>
    <w:rsid w:val="00773442"/>
    <w:rsid w:val="00773459"/>
    <w:rsid w:val="00773495"/>
    <w:rsid w:val="007734E0"/>
    <w:rsid w:val="00773509"/>
    <w:rsid w:val="0077351B"/>
    <w:rsid w:val="007735AB"/>
    <w:rsid w:val="007735D6"/>
    <w:rsid w:val="00773605"/>
    <w:rsid w:val="00773613"/>
    <w:rsid w:val="00773684"/>
    <w:rsid w:val="00773689"/>
    <w:rsid w:val="00773695"/>
    <w:rsid w:val="007736A4"/>
    <w:rsid w:val="007736A7"/>
    <w:rsid w:val="007736D4"/>
    <w:rsid w:val="007736FD"/>
    <w:rsid w:val="00773765"/>
    <w:rsid w:val="007737A7"/>
    <w:rsid w:val="007737F1"/>
    <w:rsid w:val="0077385F"/>
    <w:rsid w:val="007738E2"/>
    <w:rsid w:val="007738EA"/>
    <w:rsid w:val="0077391A"/>
    <w:rsid w:val="0077392E"/>
    <w:rsid w:val="0077394F"/>
    <w:rsid w:val="00773952"/>
    <w:rsid w:val="007739ED"/>
    <w:rsid w:val="00773A68"/>
    <w:rsid w:val="00773A76"/>
    <w:rsid w:val="00773B0E"/>
    <w:rsid w:val="00773B2A"/>
    <w:rsid w:val="00773BAD"/>
    <w:rsid w:val="00773BC8"/>
    <w:rsid w:val="00773BE2"/>
    <w:rsid w:val="00773BE9"/>
    <w:rsid w:val="00773BF6"/>
    <w:rsid w:val="00773C04"/>
    <w:rsid w:val="00773C64"/>
    <w:rsid w:val="00773C7E"/>
    <w:rsid w:val="00773CBD"/>
    <w:rsid w:val="00773CD3"/>
    <w:rsid w:val="00773D46"/>
    <w:rsid w:val="00773DDC"/>
    <w:rsid w:val="00773E02"/>
    <w:rsid w:val="00773E2C"/>
    <w:rsid w:val="00773EA7"/>
    <w:rsid w:val="00773F55"/>
    <w:rsid w:val="00773F98"/>
    <w:rsid w:val="00773FB9"/>
    <w:rsid w:val="00773FFB"/>
    <w:rsid w:val="00774054"/>
    <w:rsid w:val="0077409C"/>
    <w:rsid w:val="007740F9"/>
    <w:rsid w:val="0077411E"/>
    <w:rsid w:val="00774124"/>
    <w:rsid w:val="00774134"/>
    <w:rsid w:val="007741B2"/>
    <w:rsid w:val="00774220"/>
    <w:rsid w:val="007742E5"/>
    <w:rsid w:val="00774316"/>
    <w:rsid w:val="0077433B"/>
    <w:rsid w:val="00774349"/>
    <w:rsid w:val="007743B3"/>
    <w:rsid w:val="007743B8"/>
    <w:rsid w:val="00774424"/>
    <w:rsid w:val="00774474"/>
    <w:rsid w:val="007744A0"/>
    <w:rsid w:val="007744F5"/>
    <w:rsid w:val="007745B2"/>
    <w:rsid w:val="007745BC"/>
    <w:rsid w:val="007745F3"/>
    <w:rsid w:val="007745F8"/>
    <w:rsid w:val="00774670"/>
    <w:rsid w:val="0077467A"/>
    <w:rsid w:val="007746C4"/>
    <w:rsid w:val="00774763"/>
    <w:rsid w:val="0077479C"/>
    <w:rsid w:val="00774802"/>
    <w:rsid w:val="0077480C"/>
    <w:rsid w:val="0077484A"/>
    <w:rsid w:val="00774851"/>
    <w:rsid w:val="00774882"/>
    <w:rsid w:val="0077488D"/>
    <w:rsid w:val="007748D9"/>
    <w:rsid w:val="0077490B"/>
    <w:rsid w:val="0077490D"/>
    <w:rsid w:val="0077491C"/>
    <w:rsid w:val="00774962"/>
    <w:rsid w:val="0077497E"/>
    <w:rsid w:val="007749BC"/>
    <w:rsid w:val="007749BE"/>
    <w:rsid w:val="00774A23"/>
    <w:rsid w:val="00774A3A"/>
    <w:rsid w:val="00774A4F"/>
    <w:rsid w:val="00774A55"/>
    <w:rsid w:val="00774AC9"/>
    <w:rsid w:val="00774B14"/>
    <w:rsid w:val="00774B29"/>
    <w:rsid w:val="00774B6A"/>
    <w:rsid w:val="00774B9C"/>
    <w:rsid w:val="00774BC1"/>
    <w:rsid w:val="00774BED"/>
    <w:rsid w:val="00774DC7"/>
    <w:rsid w:val="00774E1E"/>
    <w:rsid w:val="00774E84"/>
    <w:rsid w:val="00774E93"/>
    <w:rsid w:val="00774ECE"/>
    <w:rsid w:val="00774F51"/>
    <w:rsid w:val="00774F56"/>
    <w:rsid w:val="00774F6F"/>
    <w:rsid w:val="00774F7F"/>
    <w:rsid w:val="00774FC4"/>
    <w:rsid w:val="00774FFB"/>
    <w:rsid w:val="0077501C"/>
    <w:rsid w:val="007750A7"/>
    <w:rsid w:val="00775134"/>
    <w:rsid w:val="00775143"/>
    <w:rsid w:val="00775147"/>
    <w:rsid w:val="00775190"/>
    <w:rsid w:val="00775194"/>
    <w:rsid w:val="007751A5"/>
    <w:rsid w:val="00775221"/>
    <w:rsid w:val="007752D1"/>
    <w:rsid w:val="007752E6"/>
    <w:rsid w:val="007752E9"/>
    <w:rsid w:val="0077535B"/>
    <w:rsid w:val="0077538C"/>
    <w:rsid w:val="007753A5"/>
    <w:rsid w:val="007753B8"/>
    <w:rsid w:val="007753BE"/>
    <w:rsid w:val="007753E4"/>
    <w:rsid w:val="007753F3"/>
    <w:rsid w:val="00775417"/>
    <w:rsid w:val="007754C6"/>
    <w:rsid w:val="007754C7"/>
    <w:rsid w:val="00775529"/>
    <w:rsid w:val="00775560"/>
    <w:rsid w:val="00775563"/>
    <w:rsid w:val="0077557F"/>
    <w:rsid w:val="007755C6"/>
    <w:rsid w:val="007755DD"/>
    <w:rsid w:val="007755EC"/>
    <w:rsid w:val="00775620"/>
    <w:rsid w:val="00775622"/>
    <w:rsid w:val="00775665"/>
    <w:rsid w:val="00775698"/>
    <w:rsid w:val="007756B9"/>
    <w:rsid w:val="007756F6"/>
    <w:rsid w:val="007756FD"/>
    <w:rsid w:val="0077573B"/>
    <w:rsid w:val="0077574E"/>
    <w:rsid w:val="00775821"/>
    <w:rsid w:val="007758C5"/>
    <w:rsid w:val="007758E3"/>
    <w:rsid w:val="007758FB"/>
    <w:rsid w:val="00775902"/>
    <w:rsid w:val="0077591A"/>
    <w:rsid w:val="00775928"/>
    <w:rsid w:val="00775953"/>
    <w:rsid w:val="007759EC"/>
    <w:rsid w:val="007759F4"/>
    <w:rsid w:val="007759FA"/>
    <w:rsid w:val="00775ABD"/>
    <w:rsid w:val="00775AD3"/>
    <w:rsid w:val="00775AE3"/>
    <w:rsid w:val="00775AFD"/>
    <w:rsid w:val="00775B01"/>
    <w:rsid w:val="00775B70"/>
    <w:rsid w:val="00775BBE"/>
    <w:rsid w:val="00775BE0"/>
    <w:rsid w:val="00775BF7"/>
    <w:rsid w:val="00775C90"/>
    <w:rsid w:val="00775CE7"/>
    <w:rsid w:val="00775D28"/>
    <w:rsid w:val="00775D29"/>
    <w:rsid w:val="00775D4D"/>
    <w:rsid w:val="00775D9D"/>
    <w:rsid w:val="00775DB6"/>
    <w:rsid w:val="00775DF2"/>
    <w:rsid w:val="00775E13"/>
    <w:rsid w:val="00775E6F"/>
    <w:rsid w:val="00775E85"/>
    <w:rsid w:val="00775EB9"/>
    <w:rsid w:val="00775F45"/>
    <w:rsid w:val="00775F5D"/>
    <w:rsid w:val="00775FBD"/>
    <w:rsid w:val="00775FFC"/>
    <w:rsid w:val="00776004"/>
    <w:rsid w:val="00776020"/>
    <w:rsid w:val="007760D6"/>
    <w:rsid w:val="00776190"/>
    <w:rsid w:val="007761A9"/>
    <w:rsid w:val="007762DC"/>
    <w:rsid w:val="00776335"/>
    <w:rsid w:val="0077636B"/>
    <w:rsid w:val="00776421"/>
    <w:rsid w:val="00776509"/>
    <w:rsid w:val="0077652B"/>
    <w:rsid w:val="00776532"/>
    <w:rsid w:val="007765C4"/>
    <w:rsid w:val="007765DF"/>
    <w:rsid w:val="00776616"/>
    <w:rsid w:val="0077664F"/>
    <w:rsid w:val="007766C5"/>
    <w:rsid w:val="007766C6"/>
    <w:rsid w:val="007766DE"/>
    <w:rsid w:val="00776716"/>
    <w:rsid w:val="00776750"/>
    <w:rsid w:val="00776761"/>
    <w:rsid w:val="007767E2"/>
    <w:rsid w:val="007767EA"/>
    <w:rsid w:val="00776804"/>
    <w:rsid w:val="0077681C"/>
    <w:rsid w:val="007768A2"/>
    <w:rsid w:val="007768C1"/>
    <w:rsid w:val="00776956"/>
    <w:rsid w:val="007769BC"/>
    <w:rsid w:val="00776A9D"/>
    <w:rsid w:val="00776B0E"/>
    <w:rsid w:val="00776BAF"/>
    <w:rsid w:val="00776BE0"/>
    <w:rsid w:val="00776C17"/>
    <w:rsid w:val="00776CA0"/>
    <w:rsid w:val="00776CE5"/>
    <w:rsid w:val="00776CF4"/>
    <w:rsid w:val="00776D2D"/>
    <w:rsid w:val="00776E02"/>
    <w:rsid w:val="00776E05"/>
    <w:rsid w:val="00776E9D"/>
    <w:rsid w:val="00776F5C"/>
    <w:rsid w:val="00776FC7"/>
    <w:rsid w:val="00777005"/>
    <w:rsid w:val="00777098"/>
    <w:rsid w:val="007770F3"/>
    <w:rsid w:val="0077715E"/>
    <w:rsid w:val="007771A1"/>
    <w:rsid w:val="007771BB"/>
    <w:rsid w:val="007771C1"/>
    <w:rsid w:val="00777290"/>
    <w:rsid w:val="007772A6"/>
    <w:rsid w:val="007772C4"/>
    <w:rsid w:val="00777311"/>
    <w:rsid w:val="0077731F"/>
    <w:rsid w:val="00777338"/>
    <w:rsid w:val="0077734C"/>
    <w:rsid w:val="007773A1"/>
    <w:rsid w:val="007773ED"/>
    <w:rsid w:val="00777446"/>
    <w:rsid w:val="00777455"/>
    <w:rsid w:val="00777491"/>
    <w:rsid w:val="007774E0"/>
    <w:rsid w:val="0077751E"/>
    <w:rsid w:val="0077759E"/>
    <w:rsid w:val="0077760D"/>
    <w:rsid w:val="00777611"/>
    <w:rsid w:val="00777686"/>
    <w:rsid w:val="007776AA"/>
    <w:rsid w:val="0077774E"/>
    <w:rsid w:val="00777784"/>
    <w:rsid w:val="007777B4"/>
    <w:rsid w:val="00777854"/>
    <w:rsid w:val="00777866"/>
    <w:rsid w:val="00777875"/>
    <w:rsid w:val="00777877"/>
    <w:rsid w:val="0077788B"/>
    <w:rsid w:val="00777925"/>
    <w:rsid w:val="00777949"/>
    <w:rsid w:val="0077795B"/>
    <w:rsid w:val="0077798E"/>
    <w:rsid w:val="00777A3A"/>
    <w:rsid w:val="00777A51"/>
    <w:rsid w:val="00777A71"/>
    <w:rsid w:val="00777A92"/>
    <w:rsid w:val="00777AC3"/>
    <w:rsid w:val="00777AFF"/>
    <w:rsid w:val="00777B19"/>
    <w:rsid w:val="00777B8A"/>
    <w:rsid w:val="00777BA1"/>
    <w:rsid w:val="00777BAF"/>
    <w:rsid w:val="00777C03"/>
    <w:rsid w:val="00777C47"/>
    <w:rsid w:val="00777C8A"/>
    <w:rsid w:val="00777D3C"/>
    <w:rsid w:val="00777D46"/>
    <w:rsid w:val="00777DC7"/>
    <w:rsid w:val="00777E53"/>
    <w:rsid w:val="00777EA0"/>
    <w:rsid w:val="00777EF9"/>
    <w:rsid w:val="00777F0D"/>
    <w:rsid w:val="00777F48"/>
    <w:rsid w:val="00777FD8"/>
    <w:rsid w:val="00777FF8"/>
    <w:rsid w:val="00777FFA"/>
    <w:rsid w:val="007792D1"/>
    <w:rsid w:val="00780005"/>
    <w:rsid w:val="0078002F"/>
    <w:rsid w:val="007800BE"/>
    <w:rsid w:val="0078010C"/>
    <w:rsid w:val="007801A2"/>
    <w:rsid w:val="007801C4"/>
    <w:rsid w:val="007801CC"/>
    <w:rsid w:val="007801DD"/>
    <w:rsid w:val="0078021C"/>
    <w:rsid w:val="00780259"/>
    <w:rsid w:val="0078027C"/>
    <w:rsid w:val="007802AA"/>
    <w:rsid w:val="007802D1"/>
    <w:rsid w:val="007802DE"/>
    <w:rsid w:val="007802ED"/>
    <w:rsid w:val="00780313"/>
    <w:rsid w:val="00780325"/>
    <w:rsid w:val="00780359"/>
    <w:rsid w:val="007803AB"/>
    <w:rsid w:val="007803EF"/>
    <w:rsid w:val="00780429"/>
    <w:rsid w:val="00780463"/>
    <w:rsid w:val="00780479"/>
    <w:rsid w:val="0078056E"/>
    <w:rsid w:val="00780629"/>
    <w:rsid w:val="00780677"/>
    <w:rsid w:val="0078067E"/>
    <w:rsid w:val="00780745"/>
    <w:rsid w:val="00780754"/>
    <w:rsid w:val="007807C3"/>
    <w:rsid w:val="00780872"/>
    <w:rsid w:val="0078088B"/>
    <w:rsid w:val="00780896"/>
    <w:rsid w:val="0078092A"/>
    <w:rsid w:val="00780996"/>
    <w:rsid w:val="007809B1"/>
    <w:rsid w:val="00780A29"/>
    <w:rsid w:val="00780AC8"/>
    <w:rsid w:val="00780AD8"/>
    <w:rsid w:val="00780B17"/>
    <w:rsid w:val="00780BBC"/>
    <w:rsid w:val="00780BEC"/>
    <w:rsid w:val="00780BED"/>
    <w:rsid w:val="00780BFF"/>
    <w:rsid w:val="00780C18"/>
    <w:rsid w:val="00780C24"/>
    <w:rsid w:val="00780C3B"/>
    <w:rsid w:val="00780C58"/>
    <w:rsid w:val="00780C59"/>
    <w:rsid w:val="00780C6F"/>
    <w:rsid w:val="00780CBA"/>
    <w:rsid w:val="00780CE0"/>
    <w:rsid w:val="00780CF7"/>
    <w:rsid w:val="00780D3E"/>
    <w:rsid w:val="00780DB4"/>
    <w:rsid w:val="00780DF7"/>
    <w:rsid w:val="00780E60"/>
    <w:rsid w:val="00780F33"/>
    <w:rsid w:val="00780F3F"/>
    <w:rsid w:val="00780F79"/>
    <w:rsid w:val="00780FC3"/>
    <w:rsid w:val="0078103E"/>
    <w:rsid w:val="00781069"/>
    <w:rsid w:val="00781088"/>
    <w:rsid w:val="0078108C"/>
    <w:rsid w:val="0078113B"/>
    <w:rsid w:val="00781155"/>
    <w:rsid w:val="00781183"/>
    <w:rsid w:val="00781247"/>
    <w:rsid w:val="00781369"/>
    <w:rsid w:val="007813B8"/>
    <w:rsid w:val="007813CF"/>
    <w:rsid w:val="00781422"/>
    <w:rsid w:val="00781433"/>
    <w:rsid w:val="00781453"/>
    <w:rsid w:val="007814C7"/>
    <w:rsid w:val="00781507"/>
    <w:rsid w:val="007815F6"/>
    <w:rsid w:val="00781603"/>
    <w:rsid w:val="00781658"/>
    <w:rsid w:val="007816FA"/>
    <w:rsid w:val="0078176F"/>
    <w:rsid w:val="007817B4"/>
    <w:rsid w:val="007817C5"/>
    <w:rsid w:val="0078181A"/>
    <w:rsid w:val="00781926"/>
    <w:rsid w:val="00781989"/>
    <w:rsid w:val="007819CB"/>
    <w:rsid w:val="007819EE"/>
    <w:rsid w:val="007819FE"/>
    <w:rsid w:val="00781A19"/>
    <w:rsid w:val="00781A32"/>
    <w:rsid w:val="00781A57"/>
    <w:rsid w:val="00781A5B"/>
    <w:rsid w:val="00781AB6"/>
    <w:rsid w:val="00781AC6"/>
    <w:rsid w:val="00781B1C"/>
    <w:rsid w:val="00781B5E"/>
    <w:rsid w:val="00781B75"/>
    <w:rsid w:val="00781BA5"/>
    <w:rsid w:val="00781C17"/>
    <w:rsid w:val="00781C2B"/>
    <w:rsid w:val="00781C38"/>
    <w:rsid w:val="00781C68"/>
    <w:rsid w:val="00781CC1"/>
    <w:rsid w:val="00781D2B"/>
    <w:rsid w:val="00781D3F"/>
    <w:rsid w:val="00781DA0"/>
    <w:rsid w:val="00781DDC"/>
    <w:rsid w:val="00781DDF"/>
    <w:rsid w:val="00781E2A"/>
    <w:rsid w:val="00781E7F"/>
    <w:rsid w:val="00781E88"/>
    <w:rsid w:val="00781EA2"/>
    <w:rsid w:val="00781F55"/>
    <w:rsid w:val="00781FC7"/>
    <w:rsid w:val="0078201E"/>
    <w:rsid w:val="00782067"/>
    <w:rsid w:val="007820BF"/>
    <w:rsid w:val="007820C4"/>
    <w:rsid w:val="007820FB"/>
    <w:rsid w:val="0078217C"/>
    <w:rsid w:val="0078219F"/>
    <w:rsid w:val="007821BB"/>
    <w:rsid w:val="007821D7"/>
    <w:rsid w:val="0078220C"/>
    <w:rsid w:val="00782215"/>
    <w:rsid w:val="00782227"/>
    <w:rsid w:val="00782284"/>
    <w:rsid w:val="007822B3"/>
    <w:rsid w:val="007822EF"/>
    <w:rsid w:val="007822F4"/>
    <w:rsid w:val="007823F7"/>
    <w:rsid w:val="00782408"/>
    <w:rsid w:val="0078245A"/>
    <w:rsid w:val="0078246F"/>
    <w:rsid w:val="007824A5"/>
    <w:rsid w:val="007824B5"/>
    <w:rsid w:val="007824E4"/>
    <w:rsid w:val="00782599"/>
    <w:rsid w:val="007825DB"/>
    <w:rsid w:val="0078263C"/>
    <w:rsid w:val="0078268A"/>
    <w:rsid w:val="007826D9"/>
    <w:rsid w:val="007826DA"/>
    <w:rsid w:val="00782749"/>
    <w:rsid w:val="00782781"/>
    <w:rsid w:val="007827C8"/>
    <w:rsid w:val="0078281F"/>
    <w:rsid w:val="00782873"/>
    <w:rsid w:val="00782923"/>
    <w:rsid w:val="00782975"/>
    <w:rsid w:val="00782995"/>
    <w:rsid w:val="007829B5"/>
    <w:rsid w:val="007829D1"/>
    <w:rsid w:val="007829EA"/>
    <w:rsid w:val="00782A8B"/>
    <w:rsid w:val="00782AE2"/>
    <w:rsid w:val="00782AEE"/>
    <w:rsid w:val="00782B16"/>
    <w:rsid w:val="00782C0E"/>
    <w:rsid w:val="00782C9E"/>
    <w:rsid w:val="00782CA4"/>
    <w:rsid w:val="00782D47"/>
    <w:rsid w:val="00782D54"/>
    <w:rsid w:val="00782D6E"/>
    <w:rsid w:val="00782E04"/>
    <w:rsid w:val="00782E63"/>
    <w:rsid w:val="00782ED2"/>
    <w:rsid w:val="00782EED"/>
    <w:rsid w:val="00782F19"/>
    <w:rsid w:val="00782F69"/>
    <w:rsid w:val="00782F95"/>
    <w:rsid w:val="00782F9C"/>
    <w:rsid w:val="00783013"/>
    <w:rsid w:val="00783018"/>
    <w:rsid w:val="00783180"/>
    <w:rsid w:val="00783193"/>
    <w:rsid w:val="007832C0"/>
    <w:rsid w:val="007832F4"/>
    <w:rsid w:val="00783307"/>
    <w:rsid w:val="0078330A"/>
    <w:rsid w:val="00783361"/>
    <w:rsid w:val="00783363"/>
    <w:rsid w:val="00783384"/>
    <w:rsid w:val="00783391"/>
    <w:rsid w:val="007833E1"/>
    <w:rsid w:val="00783408"/>
    <w:rsid w:val="00783490"/>
    <w:rsid w:val="007834CD"/>
    <w:rsid w:val="007834E5"/>
    <w:rsid w:val="00783502"/>
    <w:rsid w:val="0078350E"/>
    <w:rsid w:val="00783538"/>
    <w:rsid w:val="00783572"/>
    <w:rsid w:val="00783585"/>
    <w:rsid w:val="007835CF"/>
    <w:rsid w:val="0078364C"/>
    <w:rsid w:val="00783656"/>
    <w:rsid w:val="00783658"/>
    <w:rsid w:val="007836BD"/>
    <w:rsid w:val="007836C3"/>
    <w:rsid w:val="007836FC"/>
    <w:rsid w:val="00783716"/>
    <w:rsid w:val="00783753"/>
    <w:rsid w:val="00783774"/>
    <w:rsid w:val="0078378A"/>
    <w:rsid w:val="007837DE"/>
    <w:rsid w:val="0078384A"/>
    <w:rsid w:val="007838C8"/>
    <w:rsid w:val="00783901"/>
    <w:rsid w:val="0078392D"/>
    <w:rsid w:val="00783986"/>
    <w:rsid w:val="007839A7"/>
    <w:rsid w:val="007839CF"/>
    <w:rsid w:val="007839DC"/>
    <w:rsid w:val="007839F9"/>
    <w:rsid w:val="00783A02"/>
    <w:rsid w:val="00783A7B"/>
    <w:rsid w:val="00783A7F"/>
    <w:rsid w:val="00783AD1"/>
    <w:rsid w:val="00783B05"/>
    <w:rsid w:val="00783B15"/>
    <w:rsid w:val="00783B8E"/>
    <w:rsid w:val="00783BC8"/>
    <w:rsid w:val="00783C03"/>
    <w:rsid w:val="00783C34"/>
    <w:rsid w:val="00783C3C"/>
    <w:rsid w:val="00783C93"/>
    <w:rsid w:val="00783D2F"/>
    <w:rsid w:val="00783D59"/>
    <w:rsid w:val="00783DC1"/>
    <w:rsid w:val="00783DCD"/>
    <w:rsid w:val="00783DFE"/>
    <w:rsid w:val="00783E14"/>
    <w:rsid w:val="00783E22"/>
    <w:rsid w:val="00783E6E"/>
    <w:rsid w:val="00783E8B"/>
    <w:rsid w:val="00783E9A"/>
    <w:rsid w:val="00783F13"/>
    <w:rsid w:val="00783F29"/>
    <w:rsid w:val="00783F2E"/>
    <w:rsid w:val="00783F64"/>
    <w:rsid w:val="00783F78"/>
    <w:rsid w:val="00783FDD"/>
    <w:rsid w:val="00783FF8"/>
    <w:rsid w:val="00784002"/>
    <w:rsid w:val="00784039"/>
    <w:rsid w:val="00784069"/>
    <w:rsid w:val="007840A3"/>
    <w:rsid w:val="007840CD"/>
    <w:rsid w:val="007840CF"/>
    <w:rsid w:val="00784152"/>
    <w:rsid w:val="00784167"/>
    <w:rsid w:val="00784178"/>
    <w:rsid w:val="00784182"/>
    <w:rsid w:val="00784189"/>
    <w:rsid w:val="00784193"/>
    <w:rsid w:val="007841A3"/>
    <w:rsid w:val="007841D5"/>
    <w:rsid w:val="00784230"/>
    <w:rsid w:val="00784248"/>
    <w:rsid w:val="007842D1"/>
    <w:rsid w:val="00784309"/>
    <w:rsid w:val="0078432D"/>
    <w:rsid w:val="00784334"/>
    <w:rsid w:val="0078435F"/>
    <w:rsid w:val="00784375"/>
    <w:rsid w:val="007843E2"/>
    <w:rsid w:val="007843E5"/>
    <w:rsid w:val="0078440B"/>
    <w:rsid w:val="00784417"/>
    <w:rsid w:val="007844C9"/>
    <w:rsid w:val="007844EF"/>
    <w:rsid w:val="007844F2"/>
    <w:rsid w:val="00784500"/>
    <w:rsid w:val="0078451D"/>
    <w:rsid w:val="00784550"/>
    <w:rsid w:val="00784551"/>
    <w:rsid w:val="00784555"/>
    <w:rsid w:val="0078459A"/>
    <w:rsid w:val="007845AD"/>
    <w:rsid w:val="00784606"/>
    <w:rsid w:val="00784656"/>
    <w:rsid w:val="0078465C"/>
    <w:rsid w:val="00784767"/>
    <w:rsid w:val="00784768"/>
    <w:rsid w:val="007847AC"/>
    <w:rsid w:val="007847B0"/>
    <w:rsid w:val="007847BC"/>
    <w:rsid w:val="007847BF"/>
    <w:rsid w:val="007847D7"/>
    <w:rsid w:val="00784822"/>
    <w:rsid w:val="00784842"/>
    <w:rsid w:val="0078486B"/>
    <w:rsid w:val="00784880"/>
    <w:rsid w:val="007848ED"/>
    <w:rsid w:val="00784961"/>
    <w:rsid w:val="00784986"/>
    <w:rsid w:val="0078498F"/>
    <w:rsid w:val="0078499C"/>
    <w:rsid w:val="007849F1"/>
    <w:rsid w:val="00784A3F"/>
    <w:rsid w:val="00784A93"/>
    <w:rsid w:val="00784AE3"/>
    <w:rsid w:val="00784B01"/>
    <w:rsid w:val="00784B83"/>
    <w:rsid w:val="00784BBE"/>
    <w:rsid w:val="00784C67"/>
    <w:rsid w:val="00784D04"/>
    <w:rsid w:val="00784D2A"/>
    <w:rsid w:val="00784DB2"/>
    <w:rsid w:val="00784DF0"/>
    <w:rsid w:val="00784E30"/>
    <w:rsid w:val="00784EB1"/>
    <w:rsid w:val="00784EB7"/>
    <w:rsid w:val="00784ED6"/>
    <w:rsid w:val="00784FA6"/>
    <w:rsid w:val="00784FBE"/>
    <w:rsid w:val="00784FCE"/>
    <w:rsid w:val="00784FD5"/>
    <w:rsid w:val="00784FD6"/>
    <w:rsid w:val="00784FDA"/>
    <w:rsid w:val="00784FE0"/>
    <w:rsid w:val="00785003"/>
    <w:rsid w:val="00785008"/>
    <w:rsid w:val="00785046"/>
    <w:rsid w:val="00785054"/>
    <w:rsid w:val="007850CF"/>
    <w:rsid w:val="00785103"/>
    <w:rsid w:val="00785124"/>
    <w:rsid w:val="0078514A"/>
    <w:rsid w:val="00785189"/>
    <w:rsid w:val="00785190"/>
    <w:rsid w:val="007851B6"/>
    <w:rsid w:val="00785204"/>
    <w:rsid w:val="00785251"/>
    <w:rsid w:val="00785304"/>
    <w:rsid w:val="007853A7"/>
    <w:rsid w:val="00785456"/>
    <w:rsid w:val="0078545B"/>
    <w:rsid w:val="0078545D"/>
    <w:rsid w:val="007854E4"/>
    <w:rsid w:val="00785545"/>
    <w:rsid w:val="00785555"/>
    <w:rsid w:val="007855D5"/>
    <w:rsid w:val="00785606"/>
    <w:rsid w:val="00785644"/>
    <w:rsid w:val="0078564A"/>
    <w:rsid w:val="00785690"/>
    <w:rsid w:val="0078569A"/>
    <w:rsid w:val="007856AB"/>
    <w:rsid w:val="00785735"/>
    <w:rsid w:val="0078576F"/>
    <w:rsid w:val="00785777"/>
    <w:rsid w:val="007857FE"/>
    <w:rsid w:val="00785865"/>
    <w:rsid w:val="00785919"/>
    <w:rsid w:val="00785931"/>
    <w:rsid w:val="0078598C"/>
    <w:rsid w:val="007859A0"/>
    <w:rsid w:val="007859AB"/>
    <w:rsid w:val="00785A1E"/>
    <w:rsid w:val="00785A70"/>
    <w:rsid w:val="00785B25"/>
    <w:rsid w:val="00785B8C"/>
    <w:rsid w:val="00785BCE"/>
    <w:rsid w:val="00785BE2"/>
    <w:rsid w:val="00785BFD"/>
    <w:rsid w:val="00785C22"/>
    <w:rsid w:val="00785C38"/>
    <w:rsid w:val="00785CAA"/>
    <w:rsid w:val="00785CAC"/>
    <w:rsid w:val="00785D41"/>
    <w:rsid w:val="00785D8E"/>
    <w:rsid w:val="00785E5B"/>
    <w:rsid w:val="00785E9C"/>
    <w:rsid w:val="00785EDE"/>
    <w:rsid w:val="00785F38"/>
    <w:rsid w:val="00785F8D"/>
    <w:rsid w:val="00785FC8"/>
    <w:rsid w:val="00786095"/>
    <w:rsid w:val="0078609D"/>
    <w:rsid w:val="007860E3"/>
    <w:rsid w:val="00786101"/>
    <w:rsid w:val="007861A4"/>
    <w:rsid w:val="007861E3"/>
    <w:rsid w:val="007861EC"/>
    <w:rsid w:val="00786202"/>
    <w:rsid w:val="00786207"/>
    <w:rsid w:val="00786211"/>
    <w:rsid w:val="00786216"/>
    <w:rsid w:val="007862CA"/>
    <w:rsid w:val="00786306"/>
    <w:rsid w:val="00786384"/>
    <w:rsid w:val="007863ED"/>
    <w:rsid w:val="0078642D"/>
    <w:rsid w:val="0078645C"/>
    <w:rsid w:val="007864A8"/>
    <w:rsid w:val="007864D3"/>
    <w:rsid w:val="0078650C"/>
    <w:rsid w:val="00786510"/>
    <w:rsid w:val="0078651B"/>
    <w:rsid w:val="0078652A"/>
    <w:rsid w:val="00786640"/>
    <w:rsid w:val="007866CC"/>
    <w:rsid w:val="007866E5"/>
    <w:rsid w:val="00786797"/>
    <w:rsid w:val="0078685C"/>
    <w:rsid w:val="00786872"/>
    <w:rsid w:val="0078687E"/>
    <w:rsid w:val="007868D6"/>
    <w:rsid w:val="007868ED"/>
    <w:rsid w:val="007868F1"/>
    <w:rsid w:val="00786908"/>
    <w:rsid w:val="00786925"/>
    <w:rsid w:val="00786958"/>
    <w:rsid w:val="00786A7D"/>
    <w:rsid w:val="00786AA7"/>
    <w:rsid w:val="00786AB2"/>
    <w:rsid w:val="00786B0D"/>
    <w:rsid w:val="00786B14"/>
    <w:rsid w:val="00786B73"/>
    <w:rsid w:val="00786C02"/>
    <w:rsid w:val="00786C7D"/>
    <w:rsid w:val="00786C9A"/>
    <w:rsid w:val="00786CA7"/>
    <w:rsid w:val="00786CBE"/>
    <w:rsid w:val="00786D14"/>
    <w:rsid w:val="00786D92"/>
    <w:rsid w:val="00786E08"/>
    <w:rsid w:val="00786E0D"/>
    <w:rsid w:val="00786E18"/>
    <w:rsid w:val="00786E23"/>
    <w:rsid w:val="00786E5D"/>
    <w:rsid w:val="00786EC8"/>
    <w:rsid w:val="00786EFC"/>
    <w:rsid w:val="00786F6B"/>
    <w:rsid w:val="00787027"/>
    <w:rsid w:val="00787081"/>
    <w:rsid w:val="007870C6"/>
    <w:rsid w:val="007870E9"/>
    <w:rsid w:val="007870FB"/>
    <w:rsid w:val="00787130"/>
    <w:rsid w:val="00787171"/>
    <w:rsid w:val="0078717D"/>
    <w:rsid w:val="00787195"/>
    <w:rsid w:val="007871A8"/>
    <w:rsid w:val="007871E4"/>
    <w:rsid w:val="007872DC"/>
    <w:rsid w:val="0078737E"/>
    <w:rsid w:val="00787386"/>
    <w:rsid w:val="0078739B"/>
    <w:rsid w:val="007873A8"/>
    <w:rsid w:val="007873D7"/>
    <w:rsid w:val="00787434"/>
    <w:rsid w:val="0078743B"/>
    <w:rsid w:val="00787448"/>
    <w:rsid w:val="00787469"/>
    <w:rsid w:val="00787483"/>
    <w:rsid w:val="007874BD"/>
    <w:rsid w:val="007874BF"/>
    <w:rsid w:val="007874E8"/>
    <w:rsid w:val="007874EB"/>
    <w:rsid w:val="0078752B"/>
    <w:rsid w:val="00787546"/>
    <w:rsid w:val="00787570"/>
    <w:rsid w:val="00787587"/>
    <w:rsid w:val="007875A5"/>
    <w:rsid w:val="007875BC"/>
    <w:rsid w:val="007875DA"/>
    <w:rsid w:val="007875E9"/>
    <w:rsid w:val="007875FF"/>
    <w:rsid w:val="00787623"/>
    <w:rsid w:val="0078763F"/>
    <w:rsid w:val="007876A6"/>
    <w:rsid w:val="007876B9"/>
    <w:rsid w:val="0078774B"/>
    <w:rsid w:val="0078779D"/>
    <w:rsid w:val="007877DE"/>
    <w:rsid w:val="007877EA"/>
    <w:rsid w:val="007877ED"/>
    <w:rsid w:val="007877F1"/>
    <w:rsid w:val="00787812"/>
    <w:rsid w:val="00787838"/>
    <w:rsid w:val="0078783C"/>
    <w:rsid w:val="0078783F"/>
    <w:rsid w:val="0078788E"/>
    <w:rsid w:val="00787944"/>
    <w:rsid w:val="00787997"/>
    <w:rsid w:val="007879DA"/>
    <w:rsid w:val="007879DD"/>
    <w:rsid w:val="00787A19"/>
    <w:rsid w:val="00787B2F"/>
    <w:rsid w:val="00787B3E"/>
    <w:rsid w:val="00787B67"/>
    <w:rsid w:val="00787BBC"/>
    <w:rsid w:val="00787BF1"/>
    <w:rsid w:val="00787C2E"/>
    <w:rsid w:val="00787C47"/>
    <w:rsid w:val="00787CA3"/>
    <w:rsid w:val="00787CDB"/>
    <w:rsid w:val="00787D79"/>
    <w:rsid w:val="00787DFD"/>
    <w:rsid w:val="00787E12"/>
    <w:rsid w:val="00787E6B"/>
    <w:rsid w:val="00787E73"/>
    <w:rsid w:val="00787EBA"/>
    <w:rsid w:val="00787EBD"/>
    <w:rsid w:val="00787ECA"/>
    <w:rsid w:val="00787F28"/>
    <w:rsid w:val="00787F7A"/>
    <w:rsid w:val="00787F94"/>
    <w:rsid w:val="00787FB9"/>
    <w:rsid w:val="00787FC0"/>
    <w:rsid w:val="00787FE0"/>
    <w:rsid w:val="00787FF5"/>
    <w:rsid w:val="0079002A"/>
    <w:rsid w:val="0079004B"/>
    <w:rsid w:val="00790060"/>
    <w:rsid w:val="00790138"/>
    <w:rsid w:val="0079015F"/>
    <w:rsid w:val="0079019D"/>
    <w:rsid w:val="007901B4"/>
    <w:rsid w:val="00790244"/>
    <w:rsid w:val="007902B1"/>
    <w:rsid w:val="007902E3"/>
    <w:rsid w:val="0079031F"/>
    <w:rsid w:val="0079036D"/>
    <w:rsid w:val="0079038D"/>
    <w:rsid w:val="007903CE"/>
    <w:rsid w:val="00790406"/>
    <w:rsid w:val="00790436"/>
    <w:rsid w:val="00790486"/>
    <w:rsid w:val="00790490"/>
    <w:rsid w:val="00790494"/>
    <w:rsid w:val="007904CA"/>
    <w:rsid w:val="007904CF"/>
    <w:rsid w:val="00790533"/>
    <w:rsid w:val="007905B5"/>
    <w:rsid w:val="00790635"/>
    <w:rsid w:val="0079064F"/>
    <w:rsid w:val="007906B8"/>
    <w:rsid w:val="00790716"/>
    <w:rsid w:val="0079072A"/>
    <w:rsid w:val="007907BB"/>
    <w:rsid w:val="00790831"/>
    <w:rsid w:val="0079085E"/>
    <w:rsid w:val="00790897"/>
    <w:rsid w:val="007908C5"/>
    <w:rsid w:val="0079091F"/>
    <w:rsid w:val="00790957"/>
    <w:rsid w:val="00790969"/>
    <w:rsid w:val="007909DF"/>
    <w:rsid w:val="00790A0D"/>
    <w:rsid w:val="00790ABE"/>
    <w:rsid w:val="00790AFD"/>
    <w:rsid w:val="00790B62"/>
    <w:rsid w:val="00790B74"/>
    <w:rsid w:val="00790BC3"/>
    <w:rsid w:val="00790C48"/>
    <w:rsid w:val="00790C71"/>
    <w:rsid w:val="00790C81"/>
    <w:rsid w:val="00790C8D"/>
    <w:rsid w:val="00790D13"/>
    <w:rsid w:val="00790D45"/>
    <w:rsid w:val="00790D4D"/>
    <w:rsid w:val="00790D6E"/>
    <w:rsid w:val="00790DD8"/>
    <w:rsid w:val="00790DF5"/>
    <w:rsid w:val="00790E20"/>
    <w:rsid w:val="00790E29"/>
    <w:rsid w:val="00790E31"/>
    <w:rsid w:val="00790E54"/>
    <w:rsid w:val="00790EBA"/>
    <w:rsid w:val="00790F4A"/>
    <w:rsid w:val="00790F50"/>
    <w:rsid w:val="00790F71"/>
    <w:rsid w:val="00790F9F"/>
    <w:rsid w:val="00790FCB"/>
    <w:rsid w:val="00790FF6"/>
    <w:rsid w:val="00791078"/>
    <w:rsid w:val="007910D2"/>
    <w:rsid w:val="00791134"/>
    <w:rsid w:val="00791148"/>
    <w:rsid w:val="00791155"/>
    <w:rsid w:val="00791156"/>
    <w:rsid w:val="0079116D"/>
    <w:rsid w:val="007911B7"/>
    <w:rsid w:val="007911BB"/>
    <w:rsid w:val="007911C6"/>
    <w:rsid w:val="00791205"/>
    <w:rsid w:val="00791252"/>
    <w:rsid w:val="00791269"/>
    <w:rsid w:val="007912C5"/>
    <w:rsid w:val="007912D0"/>
    <w:rsid w:val="00791363"/>
    <w:rsid w:val="007913AD"/>
    <w:rsid w:val="007913E4"/>
    <w:rsid w:val="007913F6"/>
    <w:rsid w:val="00791481"/>
    <w:rsid w:val="007914AE"/>
    <w:rsid w:val="0079153C"/>
    <w:rsid w:val="0079163F"/>
    <w:rsid w:val="0079164F"/>
    <w:rsid w:val="00791651"/>
    <w:rsid w:val="0079167D"/>
    <w:rsid w:val="007916F4"/>
    <w:rsid w:val="00791702"/>
    <w:rsid w:val="00791757"/>
    <w:rsid w:val="0079176A"/>
    <w:rsid w:val="0079177D"/>
    <w:rsid w:val="00791783"/>
    <w:rsid w:val="0079181B"/>
    <w:rsid w:val="00791845"/>
    <w:rsid w:val="00791862"/>
    <w:rsid w:val="0079189F"/>
    <w:rsid w:val="007918D7"/>
    <w:rsid w:val="007918FB"/>
    <w:rsid w:val="00791925"/>
    <w:rsid w:val="00791944"/>
    <w:rsid w:val="007919BA"/>
    <w:rsid w:val="007919C5"/>
    <w:rsid w:val="00791AA2"/>
    <w:rsid w:val="00791AA8"/>
    <w:rsid w:val="00791ACC"/>
    <w:rsid w:val="00791ADB"/>
    <w:rsid w:val="00791AFF"/>
    <w:rsid w:val="00791B24"/>
    <w:rsid w:val="00791B42"/>
    <w:rsid w:val="00791BDE"/>
    <w:rsid w:val="00791C21"/>
    <w:rsid w:val="00791C5D"/>
    <w:rsid w:val="00791D0F"/>
    <w:rsid w:val="00791D11"/>
    <w:rsid w:val="00791D5A"/>
    <w:rsid w:val="00791D5B"/>
    <w:rsid w:val="00791DB3"/>
    <w:rsid w:val="00791E63"/>
    <w:rsid w:val="00791EAF"/>
    <w:rsid w:val="00791EEB"/>
    <w:rsid w:val="00791F07"/>
    <w:rsid w:val="00791F41"/>
    <w:rsid w:val="00791F48"/>
    <w:rsid w:val="00791F80"/>
    <w:rsid w:val="00791FC6"/>
    <w:rsid w:val="00792041"/>
    <w:rsid w:val="00792044"/>
    <w:rsid w:val="0079204A"/>
    <w:rsid w:val="00792065"/>
    <w:rsid w:val="00792073"/>
    <w:rsid w:val="00792081"/>
    <w:rsid w:val="00792099"/>
    <w:rsid w:val="007920B6"/>
    <w:rsid w:val="0079212B"/>
    <w:rsid w:val="007921F8"/>
    <w:rsid w:val="00792220"/>
    <w:rsid w:val="0079225D"/>
    <w:rsid w:val="00792270"/>
    <w:rsid w:val="007922B8"/>
    <w:rsid w:val="007922EE"/>
    <w:rsid w:val="0079232F"/>
    <w:rsid w:val="0079233D"/>
    <w:rsid w:val="007923C1"/>
    <w:rsid w:val="007923C3"/>
    <w:rsid w:val="00792424"/>
    <w:rsid w:val="00792440"/>
    <w:rsid w:val="0079244D"/>
    <w:rsid w:val="0079247A"/>
    <w:rsid w:val="00792488"/>
    <w:rsid w:val="0079249B"/>
    <w:rsid w:val="007924BC"/>
    <w:rsid w:val="00792528"/>
    <w:rsid w:val="0079253B"/>
    <w:rsid w:val="0079257C"/>
    <w:rsid w:val="007925D5"/>
    <w:rsid w:val="007925D6"/>
    <w:rsid w:val="00792660"/>
    <w:rsid w:val="0079266B"/>
    <w:rsid w:val="0079277A"/>
    <w:rsid w:val="00792783"/>
    <w:rsid w:val="0079279C"/>
    <w:rsid w:val="007927A3"/>
    <w:rsid w:val="007927D7"/>
    <w:rsid w:val="00792816"/>
    <w:rsid w:val="00792877"/>
    <w:rsid w:val="0079287A"/>
    <w:rsid w:val="0079288A"/>
    <w:rsid w:val="007928C7"/>
    <w:rsid w:val="007928DA"/>
    <w:rsid w:val="0079290F"/>
    <w:rsid w:val="00792972"/>
    <w:rsid w:val="00792A30"/>
    <w:rsid w:val="00792AB4"/>
    <w:rsid w:val="00792B0C"/>
    <w:rsid w:val="00792B14"/>
    <w:rsid w:val="00792B5C"/>
    <w:rsid w:val="00792B63"/>
    <w:rsid w:val="00792B77"/>
    <w:rsid w:val="00792B86"/>
    <w:rsid w:val="00792B8A"/>
    <w:rsid w:val="00792BCD"/>
    <w:rsid w:val="00792BEA"/>
    <w:rsid w:val="00792C0D"/>
    <w:rsid w:val="00792C0E"/>
    <w:rsid w:val="00792C15"/>
    <w:rsid w:val="00792CA0"/>
    <w:rsid w:val="00792CD0"/>
    <w:rsid w:val="00792CE3"/>
    <w:rsid w:val="00792CEF"/>
    <w:rsid w:val="00792D3C"/>
    <w:rsid w:val="00792D55"/>
    <w:rsid w:val="00792D62"/>
    <w:rsid w:val="00792D6F"/>
    <w:rsid w:val="00792DAB"/>
    <w:rsid w:val="00792DC1"/>
    <w:rsid w:val="00792E86"/>
    <w:rsid w:val="00792ED7"/>
    <w:rsid w:val="00792F1C"/>
    <w:rsid w:val="00792F1F"/>
    <w:rsid w:val="00792F26"/>
    <w:rsid w:val="00792F5B"/>
    <w:rsid w:val="00792F6F"/>
    <w:rsid w:val="00792F75"/>
    <w:rsid w:val="00792FA7"/>
    <w:rsid w:val="00792FCA"/>
    <w:rsid w:val="0079300A"/>
    <w:rsid w:val="0079300E"/>
    <w:rsid w:val="00793031"/>
    <w:rsid w:val="00793073"/>
    <w:rsid w:val="007930EE"/>
    <w:rsid w:val="007930F9"/>
    <w:rsid w:val="0079311F"/>
    <w:rsid w:val="00793172"/>
    <w:rsid w:val="007931C2"/>
    <w:rsid w:val="007931EF"/>
    <w:rsid w:val="00793247"/>
    <w:rsid w:val="0079326A"/>
    <w:rsid w:val="007932C1"/>
    <w:rsid w:val="0079333B"/>
    <w:rsid w:val="00793389"/>
    <w:rsid w:val="0079339F"/>
    <w:rsid w:val="007933A5"/>
    <w:rsid w:val="007933B7"/>
    <w:rsid w:val="00793407"/>
    <w:rsid w:val="00793417"/>
    <w:rsid w:val="007934D7"/>
    <w:rsid w:val="00793504"/>
    <w:rsid w:val="0079350E"/>
    <w:rsid w:val="0079352A"/>
    <w:rsid w:val="00793553"/>
    <w:rsid w:val="00793598"/>
    <w:rsid w:val="00793611"/>
    <w:rsid w:val="00793649"/>
    <w:rsid w:val="007936AC"/>
    <w:rsid w:val="007936C2"/>
    <w:rsid w:val="007936ED"/>
    <w:rsid w:val="00793728"/>
    <w:rsid w:val="007937AE"/>
    <w:rsid w:val="00793866"/>
    <w:rsid w:val="00793876"/>
    <w:rsid w:val="007938A0"/>
    <w:rsid w:val="00793946"/>
    <w:rsid w:val="00793953"/>
    <w:rsid w:val="00793970"/>
    <w:rsid w:val="00793A12"/>
    <w:rsid w:val="00793A1A"/>
    <w:rsid w:val="00793A56"/>
    <w:rsid w:val="00793A92"/>
    <w:rsid w:val="00793B00"/>
    <w:rsid w:val="00793B32"/>
    <w:rsid w:val="00793B5F"/>
    <w:rsid w:val="00793BB0"/>
    <w:rsid w:val="00793BD6"/>
    <w:rsid w:val="00793BEC"/>
    <w:rsid w:val="00793BF6"/>
    <w:rsid w:val="00793C37"/>
    <w:rsid w:val="00793C60"/>
    <w:rsid w:val="00793C66"/>
    <w:rsid w:val="00793C7E"/>
    <w:rsid w:val="00793CFD"/>
    <w:rsid w:val="00793D0A"/>
    <w:rsid w:val="00793D55"/>
    <w:rsid w:val="00793D90"/>
    <w:rsid w:val="00793DFF"/>
    <w:rsid w:val="00793E04"/>
    <w:rsid w:val="00793E18"/>
    <w:rsid w:val="00793ECE"/>
    <w:rsid w:val="00793EE0"/>
    <w:rsid w:val="00793EEC"/>
    <w:rsid w:val="00793F4E"/>
    <w:rsid w:val="00793F74"/>
    <w:rsid w:val="00793F78"/>
    <w:rsid w:val="00793F8A"/>
    <w:rsid w:val="00793FD8"/>
    <w:rsid w:val="00793FEC"/>
    <w:rsid w:val="00794011"/>
    <w:rsid w:val="00794084"/>
    <w:rsid w:val="007940B6"/>
    <w:rsid w:val="007940BE"/>
    <w:rsid w:val="0079414C"/>
    <w:rsid w:val="007941CC"/>
    <w:rsid w:val="007941F7"/>
    <w:rsid w:val="007942C2"/>
    <w:rsid w:val="007942C7"/>
    <w:rsid w:val="0079435C"/>
    <w:rsid w:val="0079438D"/>
    <w:rsid w:val="00794395"/>
    <w:rsid w:val="00794438"/>
    <w:rsid w:val="007944C0"/>
    <w:rsid w:val="007944F6"/>
    <w:rsid w:val="00794580"/>
    <w:rsid w:val="0079458A"/>
    <w:rsid w:val="0079459E"/>
    <w:rsid w:val="00794673"/>
    <w:rsid w:val="007946A0"/>
    <w:rsid w:val="007946A3"/>
    <w:rsid w:val="007946A4"/>
    <w:rsid w:val="007946AF"/>
    <w:rsid w:val="007946B4"/>
    <w:rsid w:val="007946B9"/>
    <w:rsid w:val="007946D2"/>
    <w:rsid w:val="007946DC"/>
    <w:rsid w:val="007946E3"/>
    <w:rsid w:val="00794740"/>
    <w:rsid w:val="007947CC"/>
    <w:rsid w:val="007947DC"/>
    <w:rsid w:val="007947EF"/>
    <w:rsid w:val="00794816"/>
    <w:rsid w:val="00794942"/>
    <w:rsid w:val="007949DF"/>
    <w:rsid w:val="007949F2"/>
    <w:rsid w:val="007949FC"/>
    <w:rsid w:val="00794A04"/>
    <w:rsid w:val="00794A10"/>
    <w:rsid w:val="00794B03"/>
    <w:rsid w:val="00794BBE"/>
    <w:rsid w:val="00794BD4"/>
    <w:rsid w:val="00794C2A"/>
    <w:rsid w:val="00794C4E"/>
    <w:rsid w:val="00794C9D"/>
    <w:rsid w:val="00794CAC"/>
    <w:rsid w:val="00794CCC"/>
    <w:rsid w:val="00794CDF"/>
    <w:rsid w:val="00794D24"/>
    <w:rsid w:val="00794D39"/>
    <w:rsid w:val="00794D3D"/>
    <w:rsid w:val="00794D9E"/>
    <w:rsid w:val="00794DC2"/>
    <w:rsid w:val="00794E45"/>
    <w:rsid w:val="00794E5B"/>
    <w:rsid w:val="00794E5F"/>
    <w:rsid w:val="00794E95"/>
    <w:rsid w:val="00794F66"/>
    <w:rsid w:val="0079500F"/>
    <w:rsid w:val="0079505A"/>
    <w:rsid w:val="00795074"/>
    <w:rsid w:val="007950BD"/>
    <w:rsid w:val="007950E8"/>
    <w:rsid w:val="00795120"/>
    <w:rsid w:val="007951CB"/>
    <w:rsid w:val="007952B2"/>
    <w:rsid w:val="007952FB"/>
    <w:rsid w:val="0079533C"/>
    <w:rsid w:val="0079538A"/>
    <w:rsid w:val="00795390"/>
    <w:rsid w:val="007953C2"/>
    <w:rsid w:val="0079544F"/>
    <w:rsid w:val="00795493"/>
    <w:rsid w:val="007954BB"/>
    <w:rsid w:val="007954BC"/>
    <w:rsid w:val="007954F3"/>
    <w:rsid w:val="00795525"/>
    <w:rsid w:val="007955BC"/>
    <w:rsid w:val="007955CC"/>
    <w:rsid w:val="007955EA"/>
    <w:rsid w:val="00795647"/>
    <w:rsid w:val="007956B8"/>
    <w:rsid w:val="007956CF"/>
    <w:rsid w:val="0079571D"/>
    <w:rsid w:val="0079579C"/>
    <w:rsid w:val="007957C5"/>
    <w:rsid w:val="00795813"/>
    <w:rsid w:val="0079583D"/>
    <w:rsid w:val="0079585E"/>
    <w:rsid w:val="00795869"/>
    <w:rsid w:val="0079588D"/>
    <w:rsid w:val="00795890"/>
    <w:rsid w:val="007958D2"/>
    <w:rsid w:val="007959A2"/>
    <w:rsid w:val="007959A4"/>
    <w:rsid w:val="007959EF"/>
    <w:rsid w:val="007959FF"/>
    <w:rsid w:val="00795A08"/>
    <w:rsid w:val="00795A60"/>
    <w:rsid w:val="00795A74"/>
    <w:rsid w:val="00795A82"/>
    <w:rsid w:val="00795B6F"/>
    <w:rsid w:val="00795B80"/>
    <w:rsid w:val="00795BD2"/>
    <w:rsid w:val="00795BFA"/>
    <w:rsid w:val="00795C87"/>
    <w:rsid w:val="00795CCB"/>
    <w:rsid w:val="00795D02"/>
    <w:rsid w:val="00795D0A"/>
    <w:rsid w:val="00795D39"/>
    <w:rsid w:val="00795D4F"/>
    <w:rsid w:val="00795D5E"/>
    <w:rsid w:val="00795D5F"/>
    <w:rsid w:val="00795E3C"/>
    <w:rsid w:val="00795E42"/>
    <w:rsid w:val="00795E79"/>
    <w:rsid w:val="00795E91"/>
    <w:rsid w:val="00795F09"/>
    <w:rsid w:val="00795F2A"/>
    <w:rsid w:val="00795F44"/>
    <w:rsid w:val="00795F78"/>
    <w:rsid w:val="00795FEA"/>
    <w:rsid w:val="00795FF4"/>
    <w:rsid w:val="0079603D"/>
    <w:rsid w:val="0079605F"/>
    <w:rsid w:val="00796083"/>
    <w:rsid w:val="0079610D"/>
    <w:rsid w:val="00796110"/>
    <w:rsid w:val="00796152"/>
    <w:rsid w:val="007961CC"/>
    <w:rsid w:val="00796200"/>
    <w:rsid w:val="0079623E"/>
    <w:rsid w:val="0079628B"/>
    <w:rsid w:val="00796294"/>
    <w:rsid w:val="0079629A"/>
    <w:rsid w:val="007962FF"/>
    <w:rsid w:val="0079632D"/>
    <w:rsid w:val="0079639A"/>
    <w:rsid w:val="007963A6"/>
    <w:rsid w:val="00796414"/>
    <w:rsid w:val="00796449"/>
    <w:rsid w:val="00796466"/>
    <w:rsid w:val="00796496"/>
    <w:rsid w:val="0079649E"/>
    <w:rsid w:val="007964B0"/>
    <w:rsid w:val="0079656D"/>
    <w:rsid w:val="0079657C"/>
    <w:rsid w:val="0079658F"/>
    <w:rsid w:val="007965E4"/>
    <w:rsid w:val="00796601"/>
    <w:rsid w:val="00796663"/>
    <w:rsid w:val="00796682"/>
    <w:rsid w:val="007966C8"/>
    <w:rsid w:val="00796706"/>
    <w:rsid w:val="00796721"/>
    <w:rsid w:val="00796751"/>
    <w:rsid w:val="007967E3"/>
    <w:rsid w:val="007968A6"/>
    <w:rsid w:val="007968C2"/>
    <w:rsid w:val="007968C8"/>
    <w:rsid w:val="007968E3"/>
    <w:rsid w:val="00796977"/>
    <w:rsid w:val="007969DA"/>
    <w:rsid w:val="00796A7F"/>
    <w:rsid w:val="00796B96"/>
    <w:rsid w:val="00796BB0"/>
    <w:rsid w:val="00796BB2"/>
    <w:rsid w:val="00796BC3"/>
    <w:rsid w:val="00796C15"/>
    <w:rsid w:val="00796C17"/>
    <w:rsid w:val="00796C22"/>
    <w:rsid w:val="00796C9B"/>
    <w:rsid w:val="00796C9C"/>
    <w:rsid w:val="00796CB3"/>
    <w:rsid w:val="00796D11"/>
    <w:rsid w:val="00796D5F"/>
    <w:rsid w:val="00796EA5"/>
    <w:rsid w:val="00796EC9"/>
    <w:rsid w:val="00796EDE"/>
    <w:rsid w:val="00796EFA"/>
    <w:rsid w:val="00796F13"/>
    <w:rsid w:val="00796F3C"/>
    <w:rsid w:val="00796FC7"/>
    <w:rsid w:val="00797028"/>
    <w:rsid w:val="00797093"/>
    <w:rsid w:val="007970F3"/>
    <w:rsid w:val="00797122"/>
    <w:rsid w:val="00797161"/>
    <w:rsid w:val="00797165"/>
    <w:rsid w:val="00797170"/>
    <w:rsid w:val="00797186"/>
    <w:rsid w:val="007971A4"/>
    <w:rsid w:val="007971C2"/>
    <w:rsid w:val="00797209"/>
    <w:rsid w:val="00797220"/>
    <w:rsid w:val="00797267"/>
    <w:rsid w:val="0079726A"/>
    <w:rsid w:val="007972CC"/>
    <w:rsid w:val="007972D0"/>
    <w:rsid w:val="007972E4"/>
    <w:rsid w:val="007973F3"/>
    <w:rsid w:val="00797413"/>
    <w:rsid w:val="0079742F"/>
    <w:rsid w:val="007974E1"/>
    <w:rsid w:val="007975B1"/>
    <w:rsid w:val="007975F5"/>
    <w:rsid w:val="007976D2"/>
    <w:rsid w:val="00797702"/>
    <w:rsid w:val="00797743"/>
    <w:rsid w:val="0079775F"/>
    <w:rsid w:val="007977DB"/>
    <w:rsid w:val="007977F6"/>
    <w:rsid w:val="00797800"/>
    <w:rsid w:val="0079783D"/>
    <w:rsid w:val="00797920"/>
    <w:rsid w:val="00797921"/>
    <w:rsid w:val="0079792B"/>
    <w:rsid w:val="00797939"/>
    <w:rsid w:val="007979B6"/>
    <w:rsid w:val="007979D7"/>
    <w:rsid w:val="007979D9"/>
    <w:rsid w:val="00797BD3"/>
    <w:rsid w:val="00797BD7"/>
    <w:rsid w:val="00797D4F"/>
    <w:rsid w:val="00797D53"/>
    <w:rsid w:val="00797D6E"/>
    <w:rsid w:val="00797E05"/>
    <w:rsid w:val="00797E1C"/>
    <w:rsid w:val="00797E40"/>
    <w:rsid w:val="00797E50"/>
    <w:rsid w:val="00797E95"/>
    <w:rsid w:val="00797EDA"/>
    <w:rsid w:val="00797FA9"/>
    <w:rsid w:val="00797FD8"/>
    <w:rsid w:val="007A0002"/>
    <w:rsid w:val="007A002F"/>
    <w:rsid w:val="007A0071"/>
    <w:rsid w:val="007A008E"/>
    <w:rsid w:val="007A00CC"/>
    <w:rsid w:val="007A0125"/>
    <w:rsid w:val="007A0155"/>
    <w:rsid w:val="007A0193"/>
    <w:rsid w:val="007A02F7"/>
    <w:rsid w:val="007A033B"/>
    <w:rsid w:val="007A0360"/>
    <w:rsid w:val="007A0385"/>
    <w:rsid w:val="007A0392"/>
    <w:rsid w:val="007A0419"/>
    <w:rsid w:val="007A0428"/>
    <w:rsid w:val="007A044C"/>
    <w:rsid w:val="007A0452"/>
    <w:rsid w:val="007A0465"/>
    <w:rsid w:val="007A0490"/>
    <w:rsid w:val="007A04E2"/>
    <w:rsid w:val="007A04E9"/>
    <w:rsid w:val="007A0504"/>
    <w:rsid w:val="007A05ED"/>
    <w:rsid w:val="007A062C"/>
    <w:rsid w:val="007A06B4"/>
    <w:rsid w:val="007A0754"/>
    <w:rsid w:val="007A076A"/>
    <w:rsid w:val="007A0818"/>
    <w:rsid w:val="007A081E"/>
    <w:rsid w:val="007A08AF"/>
    <w:rsid w:val="007A08E0"/>
    <w:rsid w:val="007A08E6"/>
    <w:rsid w:val="007A08E8"/>
    <w:rsid w:val="007A0969"/>
    <w:rsid w:val="007A09E6"/>
    <w:rsid w:val="007A0A53"/>
    <w:rsid w:val="007A0A6D"/>
    <w:rsid w:val="007A0A87"/>
    <w:rsid w:val="007A0AE7"/>
    <w:rsid w:val="007A0AEE"/>
    <w:rsid w:val="007A0B06"/>
    <w:rsid w:val="007A0B4F"/>
    <w:rsid w:val="007A0B82"/>
    <w:rsid w:val="007A0BAC"/>
    <w:rsid w:val="007A0BC6"/>
    <w:rsid w:val="007A0C25"/>
    <w:rsid w:val="007A0C27"/>
    <w:rsid w:val="007A0C65"/>
    <w:rsid w:val="007A0C77"/>
    <w:rsid w:val="007A0C9E"/>
    <w:rsid w:val="007A0CC6"/>
    <w:rsid w:val="007A0CD7"/>
    <w:rsid w:val="007A0D1C"/>
    <w:rsid w:val="007A0D56"/>
    <w:rsid w:val="007A0D9B"/>
    <w:rsid w:val="007A0E11"/>
    <w:rsid w:val="007A0EE4"/>
    <w:rsid w:val="007A0EF2"/>
    <w:rsid w:val="007A0F24"/>
    <w:rsid w:val="007A0F47"/>
    <w:rsid w:val="007A0F83"/>
    <w:rsid w:val="007A0F84"/>
    <w:rsid w:val="007A0FAC"/>
    <w:rsid w:val="007A0FF5"/>
    <w:rsid w:val="007A1064"/>
    <w:rsid w:val="007A107F"/>
    <w:rsid w:val="007A1122"/>
    <w:rsid w:val="007A1137"/>
    <w:rsid w:val="007A11FF"/>
    <w:rsid w:val="007A1224"/>
    <w:rsid w:val="007A1259"/>
    <w:rsid w:val="007A125F"/>
    <w:rsid w:val="007A1261"/>
    <w:rsid w:val="007A130F"/>
    <w:rsid w:val="007A1390"/>
    <w:rsid w:val="007A1397"/>
    <w:rsid w:val="007A140C"/>
    <w:rsid w:val="007A1462"/>
    <w:rsid w:val="007A1527"/>
    <w:rsid w:val="007A155C"/>
    <w:rsid w:val="007A155E"/>
    <w:rsid w:val="007A15B2"/>
    <w:rsid w:val="007A15F1"/>
    <w:rsid w:val="007A1634"/>
    <w:rsid w:val="007A166B"/>
    <w:rsid w:val="007A166D"/>
    <w:rsid w:val="007A1677"/>
    <w:rsid w:val="007A16FC"/>
    <w:rsid w:val="007A17AE"/>
    <w:rsid w:val="007A17B7"/>
    <w:rsid w:val="007A17BA"/>
    <w:rsid w:val="007A17D2"/>
    <w:rsid w:val="007A17FC"/>
    <w:rsid w:val="007A1815"/>
    <w:rsid w:val="007A183D"/>
    <w:rsid w:val="007A1869"/>
    <w:rsid w:val="007A18F2"/>
    <w:rsid w:val="007A193B"/>
    <w:rsid w:val="007A1942"/>
    <w:rsid w:val="007A1960"/>
    <w:rsid w:val="007A19B7"/>
    <w:rsid w:val="007A1A37"/>
    <w:rsid w:val="007A1A80"/>
    <w:rsid w:val="007A1AAF"/>
    <w:rsid w:val="007A1AC1"/>
    <w:rsid w:val="007A1B17"/>
    <w:rsid w:val="007A1B41"/>
    <w:rsid w:val="007A1BF8"/>
    <w:rsid w:val="007A1C06"/>
    <w:rsid w:val="007A1C1D"/>
    <w:rsid w:val="007A1C26"/>
    <w:rsid w:val="007A1C80"/>
    <w:rsid w:val="007A1CAE"/>
    <w:rsid w:val="007A1D1C"/>
    <w:rsid w:val="007A1D42"/>
    <w:rsid w:val="007A1D57"/>
    <w:rsid w:val="007A1D78"/>
    <w:rsid w:val="007A1DA2"/>
    <w:rsid w:val="007A1DC7"/>
    <w:rsid w:val="007A1DE8"/>
    <w:rsid w:val="007A1DED"/>
    <w:rsid w:val="007A1E1D"/>
    <w:rsid w:val="007A1E28"/>
    <w:rsid w:val="007A1EC0"/>
    <w:rsid w:val="007A1F19"/>
    <w:rsid w:val="007A1F8B"/>
    <w:rsid w:val="007A1FC7"/>
    <w:rsid w:val="007A2017"/>
    <w:rsid w:val="007A2054"/>
    <w:rsid w:val="007A20B9"/>
    <w:rsid w:val="007A20D8"/>
    <w:rsid w:val="007A2103"/>
    <w:rsid w:val="007A213D"/>
    <w:rsid w:val="007A222E"/>
    <w:rsid w:val="007A228A"/>
    <w:rsid w:val="007A22A1"/>
    <w:rsid w:val="007A230F"/>
    <w:rsid w:val="007A2311"/>
    <w:rsid w:val="007A235A"/>
    <w:rsid w:val="007A235C"/>
    <w:rsid w:val="007A2363"/>
    <w:rsid w:val="007A236F"/>
    <w:rsid w:val="007A2376"/>
    <w:rsid w:val="007A2399"/>
    <w:rsid w:val="007A23D7"/>
    <w:rsid w:val="007A23DE"/>
    <w:rsid w:val="007A240F"/>
    <w:rsid w:val="007A2491"/>
    <w:rsid w:val="007A2534"/>
    <w:rsid w:val="007A259D"/>
    <w:rsid w:val="007A25E2"/>
    <w:rsid w:val="007A25EB"/>
    <w:rsid w:val="007A25F6"/>
    <w:rsid w:val="007A260D"/>
    <w:rsid w:val="007A262F"/>
    <w:rsid w:val="007A2631"/>
    <w:rsid w:val="007A2683"/>
    <w:rsid w:val="007A269D"/>
    <w:rsid w:val="007A2738"/>
    <w:rsid w:val="007A277D"/>
    <w:rsid w:val="007A2803"/>
    <w:rsid w:val="007A2835"/>
    <w:rsid w:val="007A2836"/>
    <w:rsid w:val="007A284B"/>
    <w:rsid w:val="007A286B"/>
    <w:rsid w:val="007A2892"/>
    <w:rsid w:val="007A289F"/>
    <w:rsid w:val="007A28B8"/>
    <w:rsid w:val="007A28E6"/>
    <w:rsid w:val="007A2918"/>
    <w:rsid w:val="007A2969"/>
    <w:rsid w:val="007A2971"/>
    <w:rsid w:val="007A2983"/>
    <w:rsid w:val="007A29D9"/>
    <w:rsid w:val="007A2A4A"/>
    <w:rsid w:val="007A2AC1"/>
    <w:rsid w:val="007A2AD0"/>
    <w:rsid w:val="007A2AE0"/>
    <w:rsid w:val="007A2B38"/>
    <w:rsid w:val="007A2B44"/>
    <w:rsid w:val="007A2B56"/>
    <w:rsid w:val="007A2B64"/>
    <w:rsid w:val="007A2B67"/>
    <w:rsid w:val="007A2B7C"/>
    <w:rsid w:val="007A2BD6"/>
    <w:rsid w:val="007A2BE3"/>
    <w:rsid w:val="007A2BF4"/>
    <w:rsid w:val="007A2C22"/>
    <w:rsid w:val="007A2C4D"/>
    <w:rsid w:val="007A2C8A"/>
    <w:rsid w:val="007A2CE8"/>
    <w:rsid w:val="007A2D4C"/>
    <w:rsid w:val="007A2DA0"/>
    <w:rsid w:val="007A2DB6"/>
    <w:rsid w:val="007A2DBE"/>
    <w:rsid w:val="007A2E3A"/>
    <w:rsid w:val="007A2E78"/>
    <w:rsid w:val="007A2F23"/>
    <w:rsid w:val="007A2F39"/>
    <w:rsid w:val="007A2F7A"/>
    <w:rsid w:val="007A2F9E"/>
    <w:rsid w:val="007A2FB7"/>
    <w:rsid w:val="007A305F"/>
    <w:rsid w:val="007A30B7"/>
    <w:rsid w:val="007A3115"/>
    <w:rsid w:val="007A3176"/>
    <w:rsid w:val="007A3188"/>
    <w:rsid w:val="007A31AD"/>
    <w:rsid w:val="007A31B0"/>
    <w:rsid w:val="007A31D4"/>
    <w:rsid w:val="007A31E9"/>
    <w:rsid w:val="007A3226"/>
    <w:rsid w:val="007A3244"/>
    <w:rsid w:val="007A3279"/>
    <w:rsid w:val="007A32A2"/>
    <w:rsid w:val="007A334B"/>
    <w:rsid w:val="007A335C"/>
    <w:rsid w:val="007A33AA"/>
    <w:rsid w:val="007A33CD"/>
    <w:rsid w:val="007A33F0"/>
    <w:rsid w:val="007A343F"/>
    <w:rsid w:val="007A3454"/>
    <w:rsid w:val="007A3481"/>
    <w:rsid w:val="007A34BD"/>
    <w:rsid w:val="007A350D"/>
    <w:rsid w:val="007A358C"/>
    <w:rsid w:val="007A35AB"/>
    <w:rsid w:val="007A3633"/>
    <w:rsid w:val="007A3656"/>
    <w:rsid w:val="007A369A"/>
    <w:rsid w:val="007A36B9"/>
    <w:rsid w:val="007A36EA"/>
    <w:rsid w:val="007A36F8"/>
    <w:rsid w:val="007A3719"/>
    <w:rsid w:val="007A3748"/>
    <w:rsid w:val="007A3798"/>
    <w:rsid w:val="007A37C8"/>
    <w:rsid w:val="007A37D7"/>
    <w:rsid w:val="007A37E5"/>
    <w:rsid w:val="007A37E6"/>
    <w:rsid w:val="007A37FC"/>
    <w:rsid w:val="007A3813"/>
    <w:rsid w:val="007A3819"/>
    <w:rsid w:val="007A3890"/>
    <w:rsid w:val="007A38B0"/>
    <w:rsid w:val="007A38C2"/>
    <w:rsid w:val="007A38E1"/>
    <w:rsid w:val="007A3922"/>
    <w:rsid w:val="007A398D"/>
    <w:rsid w:val="007A3992"/>
    <w:rsid w:val="007A399B"/>
    <w:rsid w:val="007A39EB"/>
    <w:rsid w:val="007A39F8"/>
    <w:rsid w:val="007A3A8B"/>
    <w:rsid w:val="007A3AA4"/>
    <w:rsid w:val="007A3AC0"/>
    <w:rsid w:val="007A3AE9"/>
    <w:rsid w:val="007A3B00"/>
    <w:rsid w:val="007A3B47"/>
    <w:rsid w:val="007A3B4D"/>
    <w:rsid w:val="007A3BC7"/>
    <w:rsid w:val="007A3BDF"/>
    <w:rsid w:val="007A3C2C"/>
    <w:rsid w:val="007A3C90"/>
    <w:rsid w:val="007A3C98"/>
    <w:rsid w:val="007A3CB4"/>
    <w:rsid w:val="007A3CBA"/>
    <w:rsid w:val="007A3CCD"/>
    <w:rsid w:val="007A3D29"/>
    <w:rsid w:val="007A3DF8"/>
    <w:rsid w:val="007A3F48"/>
    <w:rsid w:val="007A403C"/>
    <w:rsid w:val="007A403D"/>
    <w:rsid w:val="007A405C"/>
    <w:rsid w:val="007A411C"/>
    <w:rsid w:val="007A414E"/>
    <w:rsid w:val="007A4150"/>
    <w:rsid w:val="007A41B3"/>
    <w:rsid w:val="007A4259"/>
    <w:rsid w:val="007A42B7"/>
    <w:rsid w:val="007A4346"/>
    <w:rsid w:val="007A4351"/>
    <w:rsid w:val="007A43DC"/>
    <w:rsid w:val="007A4403"/>
    <w:rsid w:val="007A441B"/>
    <w:rsid w:val="007A4425"/>
    <w:rsid w:val="007A445A"/>
    <w:rsid w:val="007A4487"/>
    <w:rsid w:val="007A44D9"/>
    <w:rsid w:val="007A44E3"/>
    <w:rsid w:val="007A4564"/>
    <w:rsid w:val="007A4577"/>
    <w:rsid w:val="007A4592"/>
    <w:rsid w:val="007A45A9"/>
    <w:rsid w:val="007A45AC"/>
    <w:rsid w:val="007A45B3"/>
    <w:rsid w:val="007A45ED"/>
    <w:rsid w:val="007A4718"/>
    <w:rsid w:val="007A472C"/>
    <w:rsid w:val="007A4766"/>
    <w:rsid w:val="007A4782"/>
    <w:rsid w:val="007A47BA"/>
    <w:rsid w:val="007A488C"/>
    <w:rsid w:val="007A48AF"/>
    <w:rsid w:val="007A48C5"/>
    <w:rsid w:val="007A49EA"/>
    <w:rsid w:val="007A4A00"/>
    <w:rsid w:val="007A4A0D"/>
    <w:rsid w:val="007A4A3B"/>
    <w:rsid w:val="007A4A46"/>
    <w:rsid w:val="007A4AA5"/>
    <w:rsid w:val="007A4AF3"/>
    <w:rsid w:val="007A4AFC"/>
    <w:rsid w:val="007A4B09"/>
    <w:rsid w:val="007A4B5F"/>
    <w:rsid w:val="007A4B8B"/>
    <w:rsid w:val="007A4B9B"/>
    <w:rsid w:val="007A4C40"/>
    <w:rsid w:val="007A4C6E"/>
    <w:rsid w:val="007A4C8F"/>
    <w:rsid w:val="007A4DB9"/>
    <w:rsid w:val="007A4DCD"/>
    <w:rsid w:val="007A4E1D"/>
    <w:rsid w:val="007A4E60"/>
    <w:rsid w:val="007A4E89"/>
    <w:rsid w:val="007A4F94"/>
    <w:rsid w:val="007A4FF4"/>
    <w:rsid w:val="007A5008"/>
    <w:rsid w:val="007A5015"/>
    <w:rsid w:val="007A50F7"/>
    <w:rsid w:val="007A511E"/>
    <w:rsid w:val="007A5203"/>
    <w:rsid w:val="007A523F"/>
    <w:rsid w:val="007A527D"/>
    <w:rsid w:val="007A5286"/>
    <w:rsid w:val="007A528B"/>
    <w:rsid w:val="007A52A5"/>
    <w:rsid w:val="007A52B4"/>
    <w:rsid w:val="007A52B9"/>
    <w:rsid w:val="007A531B"/>
    <w:rsid w:val="007A53A0"/>
    <w:rsid w:val="007A53C8"/>
    <w:rsid w:val="007A5416"/>
    <w:rsid w:val="007A542B"/>
    <w:rsid w:val="007A5473"/>
    <w:rsid w:val="007A547B"/>
    <w:rsid w:val="007A5484"/>
    <w:rsid w:val="007A5489"/>
    <w:rsid w:val="007A5495"/>
    <w:rsid w:val="007A5497"/>
    <w:rsid w:val="007A5504"/>
    <w:rsid w:val="007A5506"/>
    <w:rsid w:val="007A5571"/>
    <w:rsid w:val="007A5595"/>
    <w:rsid w:val="007A55C2"/>
    <w:rsid w:val="007A5634"/>
    <w:rsid w:val="007A5705"/>
    <w:rsid w:val="007A574A"/>
    <w:rsid w:val="007A5755"/>
    <w:rsid w:val="007A57BA"/>
    <w:rsid w:val="007A57C8"/>
    <w:rsid w:val="007A57C9"/>
    <w:rsid w:val="007A57D4"/>
    <w:rsid w:val="007A57E5"/>
    <w:rsid w:val="007A5804"/>
    <w:rsid w:val="007A5815"/>
    <w:rsid w:val="007A581B"/>
    <w:rsid w:val="007A583A"/>
    <w:rsid w:val="007A5857"/>
    <w:rsid w:val="007A586C"/>
    <w:rsid w:val="007A589A"/>
    <w:rsid w:val="007A5900"/>
    <w:rsid w:val="007A5950"/>
    <w:rsid w:val="007A59F0"/>
    <w:rsid w:val="007A5A70"/>
    <w:rsid w:val="007A5A88"/>
    <w:rsid w:val="007A5AAC"/>
    <w:rsid w:val="007A5AAE"/>
    <w:rsid w:val="007A5ABB"/>
    <w:rsid w:val="007A5AE5"/>
    <w:rsid w:val="007A5B90"/>
    <w:rsid w:val="007A5BC4"/>
    <w:rsid w:val="007A5BDB"/>
    <w:rsid w:val="007A5C06"/>
    <w:rsid w:val="007A5C1A"/>
    <w:rsid w:val="007A5C54"/>
    <w:rsid w:val="007A5C61"/>
    <w:rsid w:val="007A5D33"/>
    <w:rsid w:val="007A5D5C"/>
    <w:rsid w:val="007A5D5D"/>
    <w:rsid w:val="007A5D8C"/>
    <w:rsid w:val="007A5DEC"/>
    <w:rsid w:val="007A5E5F"/>
    <w:rsid w:val="007A5E66"/>
    <w:rsid w:val="007A5E7A"/>
    <w:rsid w:val="007A5EB5"/>
    <w:rsid w:val="007A5ED8"/>
    <w:rsid w:val="007A5F42"/>
    <w:rsid w:val="007A5FA4"/>
    <w:rsid w:val="007A5FB1"/>
    <w:rsid w:val="007A5FD6"/>
    <w:rsid w:val="007A6013"/>
    <w:rsid w:val="007A602B"/>
    <w:rsid w:val="007A6065"/>
    <w:rsid w:val="007A60CA"/>
    <w:rsid w:val="007A60DC"/>
    <w:rsid w:val="007A6162"/>
    <w:rsid w:val="007A620E"/>
    <w:rsid w:val="007A6222"/>
    <w:rsid w:val="007A62A6"/>
    <w:rsid w:val="007A62D5"/>
    <w:rsid w:val="007A62ED"/>
    <w:rsid w:val="007A6315"/>
    <w:rsid w:val="007A6367"/>
    <w:rsid w:val="007A637A"/>
    <w:rsid w:val="007A6406"/>
    <w:rsid w:val="007A6441"/>
    <w:rsid w:val="007A650B"/>
    <w:rsid w:val="007A6559"/>
    <w:rsid w:val="007A6585"/>
    <w:rsid w:val="007A65C2"/>
    <w:rsid w:val="007A65D7"/>
    <w:rsid w:val="007A6607"/>
    <w:rsid w:val="007A6667"/>
    <w:rsid w:val="007A66BC"/>
    <w:rsid w:val="007A6729"/>
    <w:rsid w:val="007A6785"/>
    <w:rsid w:val="007A6810"/>
    <w:rsid w:val="007A683F"/>
    <w:rsid w:val="007A6863"/>
    <w:rsid w:val="007A69A2"/>
    <w:rsid w:val="007A69AE"/>
    <w:rsid w:val="007A69BC"/>
    <w:rsid w:val="007A69D5"/>
    <w:rsid w:val="007A6A03"/>
    <w:rsid w:val="007A6A14"/>
    <w:rsid w:val="007A6A49"/>
    <w:rsid w:val="007A6A55"/>
    <w:rsid w:val="007A6A7F"/>
    <w:rsid w:val="007A6A8B"/>
    <w:rsid w:val="007A6A9B"/>
    <w:rsid w:val="007A6AB2"/>
    <w:rsid w:val="007A6AC7"/>
    <w:rsid w:val="007A6ACD"/>
    <w:rsid w:val="007A6BD7"/>
    <w:rsid w:val="007A6C34"/>
    <w:rsid w:val="007A6C8C"/>
    <w:rsid w:val="007A6CA4"/>
    <w:rsid w:val="007A6D2E"/>
    <w:rsid w:val="007A6D67"/>
    <w:rsid w:val="007A6D6B"/>
    <w:rsid w:val="007A6DA5"/>
    <w:rsid w:val="007A6DC5"/>
    <w:rsid w:val="007A6DFA"/>
    <w:rsid w:val="007A6E1F"/>
    <w:rsid w:val="007A6E5D"/>
    <w:rsid w:val="007A6EAE"/>
    <w:rsid w:val="007A6F7B"/>
    <w:rsid w:val="007A6F9C"/>
    <w:rsid w:val="007A6FE3"/>
    <w:rsid w:val="007A7018"/>
    <w:rsid w:val="007A7048"/>
    <w:rsid w:val="007A7049"/>
    <w:rsid w:val="007A704F"/>
    <w:rsid w:val="007A7052"/>
    <w:rsid w:val="007A7071"/>
    <w:rsid w:val="007A7083"/>
    <w:rsid w:val="007A7090"/>
    <w:rsid w:val="007A70D0"/>
    <w:rsid w:val="007A7118"/>
    <w:rsid w:val="007A715A"/>
    <w:rsid w:val="007A7166"/>
    <w:rsid w:val="007A717A"/>
    <w:rsid w:val="007A7183"/>
    <w:rsid w:val="007A7187"/>
    <w:rsid w:val="007A71AA"/>
    <w:rsid w:val="007A71BB"/>
    <w:rsid w:val="007A71BF"/>
    <w:rsid w:val="007A7272"/>
    <w:rsid w:val="007A72B4"/>
    <w:rsid w:val="007A7332"/>
    <w:rsid w:val="007A7340"/>
    <w:rsid w:val="007A7345"/>
    <w:rsid w:val="007A737A"/>
    <w:rsid w:val="007A7420"/>
    <w:rsid w:val="007A7429"/>
    <w:rsid w:val="007A749E"/>
    <w:rsid w:val="007A750E"/>
    <w:rsid w:val="007A7531"/>
    <w:rsid w:val="007A756F"/>
    <w:rsid w:val="007A75D5"/>
    <w:rsid w:val="007A7694"/>
    <w:rsid w:val="007A7697"/>
    <w:rsid w:val="007A76A7"/>
    <w:rsid w:val="007A76C9"/>
    <w:rsid w:val="007A76D6"/>
    <w:rsid w:val="007A76E8"/>
    <w:rsid w:val="007A7703"/>
    <w:rsid w:val="007A7790"/>
    <w:rsid w:val="007A784C"/>
    <w:rsid w:val="007A787E"/>
    <w:rsid w:val="007A7918"/>
    <w:rsid w:val="007A794C"/>
    <w:rsid w:val="007A7963"/>
    <w:rsid w:val="007A796A"/>
    <w:rsid w:val="007A7A0E"/>
    <w:rsid w:val="007A7A42"/>
    <w:rsid w:val="007A7A56"/>
    <w:rsid w:val="007A7A96"/>
    <w:rsid w:val="007A7B00"/>
    <w:rsid w:val="007A7B46"/>
    <w:rsid w:val="007A7B5A"/>
    <w:rsid w:val="007A7B92"/>
    <w:rsid w:val="007A7BAC"/>
    <w:rsid w:val="007A7BDC"/>
    <w:rsid w:val="007A7CA6"/>
    <w:rsid w:val="007A7CC6"/>
    <w:rsid w:val="007A7D10"/>
    <w:rsid w:val="007A7D2F"/>
    <w:rsid w:val="007A7D8F"/>
    <w:rsid w:val="007A7DB8"/>
    <w:rsid w:val="007A7DC2"/>
    <w:rsid w:val="007A7DE0"/>
    <w:rsid w:val="007A7E08"/>
    <w:rsid w:val="007A7E15"/>
    <w:rsid w:val="007A7E92"/>
    <w:rsid w:val="007A7EA1"/>
    <w:rsid w:val="007A7EB7"/>
    <w:rsid w:val="007A7EBB"/>
    <w:rsid w:val="007A7EE9"/>
    <w:rsid w:val="007A7EF7"/>
    <w:rsid w:val="007A7F0D"/>
    <w:rsid w:val="007A7F90"/>
    <w:rsid w:val="007A7FBB"/>
    <w:rsid w:val="007A7FCE"/>
    <w:rsid w:val="007A7FF1"/>
    <w:rsid w:val="007AA16F"/>
    <w:rsid w:val="007B0004"/>
    <w:rsid w:val="007B0087"/>
    <w:rsid w:val="007B0090"/>
    <w:rsid w:val="007B0091"/>
    <w:rsid w:val="007B00C6"/>
    <w:rsid w:val="007B00CA"/>
    <w:rsid w:val="007B00D6"/>
    <w:rsid w:val="007B0105"/>
    <w:rsid w:val="007B0110"/>
    <w:rsid w:val="007B0143"/>
    <w:rsid w:val="007B0179"/>
    <w:rsid w:val="007B01B5"/>
    <w:rsid w:val="007B0212"/>
    <w:rsid w:val="007B0224"/>
    <w:rsid w:val="007B0258"/>
    <w:rsid w:val="007B027E"/>
    <w:rsid w:val="007B029D"/>
    <w:rsid w:val="007B02AB"/>
    <w:rsid w:val="007B02C4"/>
    <w:rsid w:val="007B02D9"/>
    <w:rsid w:val="007B0316"/>
    <w:rsid w:val="007B033D"/>
    <w:rsid w:val="007B03CF"/>
    <w:rsid w:val="007B03DA"/>
    <w:rsid w:val="007B040A"/>
    <w:rsid w:val="007B0450"/>
    <w:rsid w:val="007B0556"/>
    <w:rsid w:val="007B055C"/>
    <w:rsid w:val="007B0591"/>
    <w:rsid w:val="007B068F"/>
    <w:rsid w:val="007B06E9"/>
    <w:rsid w:val="007B06FC"/>
    <w:rsid w:val="007B0705"/>
    <w:rsid w:val="007B0707"/>
    <w:rsid w:val="007B0718"/>
    <w:rsid w:val="007B0821"/>
    <w:rsid w:val="007B08AB"/>
    <w:rsid w:val="007B08ED"/>
    <w:rsid w:val="007B091E"/>
    <w:rsid w:val="007B0951"/>
    <w:rsid w:val="007B09C3"/>
    <w:rsid w:val="007B09F7"/>
    <w:rsid w:val="007B09FB"/>
    <w:rsid w:val="007B09FC"/>
    <w:rsid w:val="007B0A9F"/>
    <w:rsid w:val="007B0ACB"/>
    <w:rsid w:val="007B0B5E"/>
    <w:rsid w:val="007B0C87"/>
    <w:rsid w:val="007B0CA8"/>
    <w:rsid w:val="007B0D08"/>
    <w:rsid w:val="007B0D0E"/>
    <w:rsid w:val="007B0D12"/>
    <w:rsid w:val="007B0D33"/>
    <w:rsid w:val="007B0D45"/>
    <w:rsid w:val="007B0D74"/>
    <w:rsid w:val="007B0DB4"/>
    <w:rsid w:val="007B0DDC"/>
    <w:rsid w:val="007B0E0E"/>
    <w:rsid w:val="007B0E1E"/>
    <w:rsid w:val="007B0E21"/>
    <w:rsid w:val="007B0E28"/>
    <w:rsid w:val="007B0E31"/>
    <w:rsid w:val="007B0E3D"/>
    <w:rsid w:val="007B0E51"/>
    <w:rsid w:val="007B0E59"/>
    <w:rsid w:val="007B0E8C"/>
    <w:rsid w:val="007B0E95"/>
    <w:rsid w:val="007B0E9A"/>
    <w:rsid w:val="007B0EAD"/>
    <w:rsid w:val="007B0EDA"/>
    <w:rsid w:val="007B0F2C"/>
    <w:rsid w:val="007B0F77"/>
    <w:rsid w:val="007B0F84"/>
    <w:rsid w:val="007B0FA6"/>
    <w:rsid w:val="007B0FAA"/>
    <w:rsid w:val="007B1001"/>
    <w:rsid w:val="007B1016"/>
    <w:rsid w:val="007B104A"/>
    <w:rsid w:val="007B10D9"/>
    <w:rsid w:val="007B10DC"/>
    <w:rsid w:val="007B10E9"/>
    <w:rsid w:val="007B1187"/>
    <w:rsid w:val="007B120B"/>
    <w:rsid w:val="007B1249"/>
    <w:rsid w:val="007B12AD"/>
    <w:rsid w:val="007B1358"/>
    <w:rsid w:val="007B1366"/>
    <w:rsid w:val="007B1392"/>
    <w:rsid w:val="007B1476"/>
    <w:rsid w:val="007B14AC"/>
    <w:rsid w:val="007B14CA"/>
    <w:rsid w:val="007B1536"/>
    <w:rsid w:val="007B1578"/>
    <w:rsid w:val="007B158B"/>
    <w:rsid w:val="007B15A1"/>
    <w:rsid w:val="007B15D6"/>
    <w:rsid w:val="007B15EA"/>
    <w:rsid w:val="007B1607"/>
    <w:rsid w:val="007B1627"/>
    <w:rsid w:val="007B1631"/>
    <w:rsid w:val="007B1680"/>
    <w:rsid w:val="007B16CF"/>
    <w:rsid w:val="007B16D4"/>
    <w:rsid w:val="007B1719"/>
    <w:rsid w:val="007B1758"/>
    <w:rsid w:val="007B177F"/>
    <w:rsid w:val="007B17CD"/>
    <w:rsid w:val="007B17E8"/>
    <w:rsid w:val="007B1808"/>
    <w:rsid w:val="007B181E"/>
    <w:rsid w:val="007B1841"/>
    <w:rsid w:val="007B18E4"/>
    <w:rsid w:val="007B194F"/>
    <w:rsid w:val="007B1A7A"/>
    <w:rsid w:val="007B1B26"/>
    <w:rsid w:val="007B1B63"/>
    <w:rsid w:val="007B1B91"/>
    <w:rsid w:val="007B1BB0"/>
    <w:rsid w:val="007B1BC0"/>
    <w:rsid w:val="007B1BFA"/>
    <w:rsid w:val="007B1C52"/>
    <w:rsid w:val="007B1C55"/>
    <w:rsid w:val="007B1C73"/>
    <w:rsid w:val="007B1C76"/>
    <w:rsid w:val="007B1CC5"/>
    <w:rsid w:val="007B1CE6"/>
    <w:rsid w:val="007B1D44"/>
    <w:rsid w:val="007B1D4A"/>
    <w:rsid w:val="007B1D53"/>
    <w:rsid w:val="007B1D88"/>
    <w:rsid w:val="007B1D93"/>
    <w:rsid w:val="007B1DBA"/>
    <w:rsid w:val="007B1DF5"/>
    <w:rsid w:val="007B1E0C"/>
    <w:rsid w:val="007B1E4D"/>
    <w:rsid w:val="007B1E7C"/>
    <w:rsid w:val="007B1E98"/>
    <w:rsid w:val="007B1EBC"/>
    <w:rsid w:val="007B1F4E"/>
    <w:rsid w:val="007B1F75"/>
    <w:rsid w:val="007B1FAE"/>
    <w:rsid w:val="007B1FF4"/>
    <w:rsid w:val="007B201A"/>
    <w:rsid w:val="007B2034"/>
    <w:rsid w:val="007B203C"/>
    <w:rsid w:val="007B2087"/>
    <w:rsid w:val="007B2093"/>
    <w:rsid w:val="007B20CE"/>
    <w:rsid w:val="007B2119"/>
    <w:rsid w:val="007B219A"/>
    <w:rsid w:val="007B21CA"/>
    <w:rsid w:val="007B220D"/>
    <w:rsid w:val="007B2239"/>
    <w:rsid w:val="007B2327"/>
    <w:rsid w:val="007B2338"/>
    <w:rsid w:val="007B234B"/>
    <w:rsid w:val="007B2393"/>
    <w:rsid w:val="007B23A3"/>
    <w:rsid w:val="007B23A7"/>
    <w:rsid w:val="007B23AE"/>
    <w:rsid w:val="007B23B8"/>
    <w:rsid w:val="007B2404"/>
    <w:rsid w:val="007B2472"/>
    <w:rsid w:val="007B24B9"/>
    <w:rsid w:val="007B24E7"/>
    <w:rsid w:val="007B2502"/>
    <w:rsid w:val="007B2583"/>
    <w:rsid w:val="007B2596"/>
    <w:rsid w:val="007B2605"/>
    <w:rsid w:val="007B2680"/>
    <w:rsid w:val="007B272F"/>
    <w:rsid w:val="007B2738"/>
    <w:rsid w:val="007B2749"/>
    <w:rsid w:val="007B27C0"/>
    <w:rsid w:val="007B2807"/>
    <w:rsid w:val="007B2809"/>
    <w:rsid w:val="007B2862"/>
    <w:rsid w:val="007B2877"/>
    <w:rsid w:val="007B2899"/>
    <w:rsid w:val="007B289D"/>
    <w:rsid w:val="007B28B6"/>
    <w:rsid w:val="007B28DC"/>
    <w:rsid w:val="007B2916"/>
    <w:rsid w:val="007B2922"/>
    <w:rsid w:val="007B2953"/>
    <w:rsid w:val="007B2960"/>
    <w:rsid w:val="007B298B"/>
    <w:rsid w:val="007B2997"/>
    <w:rsid w:val="007B2A1F"/>
    <w:rsid w:val="007B2ABA"/>
    <w:rsid w:val="007B2BF1"/>
    <w:rsid w:val="007B2C09"/>
    <w:rsid w:val="007B2C33"/>
    <w:rsid w:val="007B2C7A"/>
    <w:rsid w:val="007B2C98"/>
    <w:rsid w:val="007B2CB2"/>
    <w:rsid w:val="007B2CE1"/>
    <w:rsid w:val="007B2D4F"/>
    <w:rsid w:val="007B2D70"/>
    <w:rsid w:val="007B2D8C"/>
    <w:rsid w:val="007B2DAC"/>
    <w:rsid w:val="007B2DCD"/>
    <w:rsid w:val="007B2DF8"/>
    <w:rsid w:val="007B2E71"/>
    <w:rsid w:val="007B2EA6"/>
    <w:rsid w:val="007B2EAA"/>
    <w:rsid w:val="007B2EF9"/>
    <w:rsid w:val="007B2FA1"/>
    <w:rsid w:val="007B2FC1"/>
    <w:rsid w:val="007B2FF3"/>
    <w:rsid w:val="007B300F"/>
    <w:rsid w:val="007B3073"/>
    <w:rsid w:val="007B3181"/>
    <w:rsid w:val="007B31CE"/>
    <w:rsid w:val="007B31DB"/>
    <w:rsid w:val="007B31DD"/>
    <w:rsid w:val="007B31E2"/>
    <w:rsid w:val="007B3202"/>
    <w:rsid w:val="007B3219"/>
    <w:rsid w:val="007B3259"/>
    <w:rsid w:val="007B32DE"/>
    <w:rsid w:val="007B336D"/>
    <w:rsid w:val="007B33C0"/>
    <w:rsid w:val="007B33D5"/>
    <w:rsid w:val="007B33F5"/>
    <w:rsid w:val="007B3409"/>
    <w:rsid w:val="007B3471"/>
    <w:rsid w:val="007B34D5"/>
    <w:rsid w:val="007B3510"/>
    <w:rsid w:val="007B3576"/>
    <w:rsid w:val="007B35DC"/>
    <w:rsid w:val="007B363F"/>
    <w:rsid w:val="007B3649"/>
    <w:rsid w:val="007B3697"/>
    <w:rsid w:val="007B36A4"/>
    <w:rsid w:val="007B36AB"/>
    <w:rsid w:val="007B375B"/>
    <w:rsid w:val="007B377A"/>
    <w:rsid w:val="007B37F9"/>
    <w:rsid w:val="007B37FD"/>
    <w:rsid w:val="007B3805"/>
    <w:rsid w:val="007B381D"/>
    <w:rsid w:val="007B384E"/>
    <w:rsid w:val="007B3871"/>
    <w:rsid w:val="007B3906"/>
    <w:rsid w:val="007B390C"/>
    <w:rsid w:val="007B3A23"/>
    <w:rsid w:val="007B3A33"/>
    <w:rsid w:val="007B3AB1"/>
    <w:rsid w:val="007B3B26"/>
    <w:rsid w:val="007B3C3A"/>
    <w:rsid w:val="007B3C48"/>
    <w:rsid w:val="007B3C81"/>
    <w:rsid w:val="007B3CAD"/>
    <w:rsid w:val="007B3D79"/>
    <w:rsid w:val="007B3D7D"/>
    <w:rsid w:val="007B3DFC"/>
    <w:rsid w:val="007B3E13"/>
    <w:rsid w:val="007B3E9F"/>
    <w:rsid w:val="007B3EB3"/>
    <w:rsid w:val="007B3EDD"/>
    <w:rsid w:val="007B3F3F"/>
    <w:rsid w:val="007B3F53"/>
    <w:rsid w:val="007B3F56"/>
    <w:rsid w:val="007B3F85"/>
    <w:rsid w:val="007B3F9C"/>
    <w:rsid w:val="007B407A"/>
    <w:rsid w:val="007B408D"/>
    <w:rsid w:val="007B4097"/>
    <w:rsid w:val="007B40AC"/>
    <w:rsid w:val="007B4100"/>
    <w:rsid w:val="007B41AB"/>
    <w:rsid w:val="007B4230"/>
    <w:rsid w:val="007B4315"/>
    <w:rsid w:val="007B434C"/>
    <w:rsid w:val="007B4467"/>
    <w:rsid w:val="007B446C"/>
    <w:rsid w:val="007B447C"/>
    <w:rsid w:val="007B4482"/>
    <w:rsid w:val="007B4485"/>
    <w:rsid w:val="007B44A0"/>
    <w:rsid w:val="007B44C2"/>
    <w:rsid w:val="007B4562"/>
    <w:rsid w:val="007B4592"/>
    <w:rsid w:val="007B45D1"/>
    <w:rsid w:val="007B45FD"/>
    <w:rsid w:val="007B4694"/>
    <w:rsid w:val="007B46E2"/>
    <w:rsid w:val="007B477F"/>
    <w:rsid w:val="007B47E9"/>
    <w:rsid w:val="007B4802"/>
    <w:rsid w:val="007B4871"/>
    <w:rsid w:val="007B48B8"/>
    <w:rsid w:val="007B48CD"/>
    <w:rsid w:val="007B4941"/>
    <w:rsid w:val="007B4975"/>
    <w:rsid w:val="007B49CF"/>
    <w:rsid w:val="007B49D9"/>
    <w:rsid w:val="007B4A19"/>
    <w:rsid w:val="007B4A28"/>
    <w:rsid w:val="007B4A37"/>
    <w:rsid w:val="007B4A5F"/>
    <w:rsid w:val="007B4A7F"/>
    <w:rsid w:val="007B4A94"/>
    <w:rsid w:val="007B4AA8"/>
    <w:rsid w:val="007B4AA9"/>
    <w:rsid w:val="007B4AAC"/>
    <w:rsid w:val="007B4ABC"/>
    <w:rsid w:val="007B4B11"/>
    <w:rsid w:val="007B4B56"/>
    <w:rsid w:val="007B4BA6"/>
    <w:rsid w:val="007B4BFC"/>
    <w:rsid w:val="007B4C04"/>
    <w:rsid w:val="007B4C40"/>
    <w:rsid w:val="007B4C65"/>
    <w:rsid w:val="007B4C71"/>
    <w:rsid w:val="007B4CB1"/>
    <w:rsid w:val="007B4D04"/>
    <w:rsid w:val="007B4D2B"/>
    <w:rsid w:val="007B4D57"/>
    <w:rsid w:val="007B4DB6"/>
    <w:rsid w:val="007B4DFA"/>
    <w:rsid w:val="007B4E04"/>
    <w:rsid w:val="007B4E25"/>
    <w:rsid w:val="007B4E29"/>
    <w:rsid w:val="007B4F08"/>
    <w:rsid w:val="007B5016"/>
    <w:rsid w:val="007B506B"/>
    <w:rsid w:val="007B5158"/>
    <w:rsid w:val="007B533A"/>
    <w:rsid w:val="007B535D"/>
    <w:rsid w:val="007B535E"/>
    <w:rsid w:val="007B536A"/>
    <w:rsid w:val="007B53F6"/>
    <w:rsid w:val="007B54D2"/>
    <w:rsid w:val="007B54D9"/>
    <w:rsid w:val="007B555A"/>
    <w:rsid w:val="007B55A6"/>
    <w:rsid w:val="007B55B0"/>
    <w:rsid w:val="007B55FF"/>
    <w:rsid w:val="007B5635"/>
    <w:rsid w:val="007B563E"/>
    <w:rsid w:val="007B5643"/>
    <w:rsid w:val="007B564A"/>
    <w:rsid w:val="007B569D"/>
    <w:rsid w:val="007B56C2"/>
    <w:rsid w:val="007B56C6"/>
    <w:rsid w:val="007B56C7"/>
    <w:rsid w:val="007B5738"/>
    <w:rsid w:val="007B57A7"/>
    <w:rsid w:val="007B57E9"/>
    <w:rsid w:val="007B5812"/>
    <w:rsid w:val="007B5822"/>
    <w:rsid w:val="007B5829"/>
    <w:rsid w:val="007B5851"/>
    <w:rsid w:val="007B5877"/>
    <w:rsid w:val="007B5899"/>
    <w:rsid w:val="007B5919"/>
    <w:rsid w:val="007B591A"/>
    <w:rsid w:val="007B595B"/>
    <w:rsid w:val="007B59CE"/>
    <w:rsid w:val="007B59D1"/>
    <w:rsid w:val="007B59F8"/>
    <w:rsid w:val="007B59FA"/>
    <w:rsid w:val="007B59FE"/>
    <w:rsid w:val="007B5A0E"/>
    <w:rsid w:val="007B5A71"/>
    <w:rsid w:val="007B5A79"/>
    <w:rsid w:val="007B5A8F"/>
    <w:rsid w:val="007B5ACC"/>
    <w:rsid w:val="007B5AD5"/>
    <w:rsid w:val="007B5AD7"/>
    <w:rsid w:val="007B5AE7"/>
    <w:rsid w:val="007B5AF2"/>
    <w:rsid w:val="007B5B0A"/>
    <w:rsid w:val="007B5B31"/>
    <w:rsid w:val="007B5B70"/>
    <w:rsid w:val="007B5BA4"/>
    <w:rsid w:val="007B5BA5"/>
    <w:rsid w:val="007B5BD1"/>
    <w:rsid w:val="007B5C02"/>
    <w:rsid w:val="007B5C48"/>
    <w:rsid w:val="007B5C5C"/>
    <w:rsid w:val="007B5C8A"/>
    <w:rsid w:val="007B5C96"/>
    <w:rsid w:val="007B5CDD"/>
    <w:rsid w:val="007B5DA8"/>
    <w:rsid w:val="007B5DFC"/>
    <w:rsid w:val="007B5E31"/>
    <w:rsid w:val="007B5E52"/>
    <w:rsid w:val="007B5EA1"/>
    <w:rsid w:val="007B5EF1"/>
    <w:rsid w:val="007B5F83"/>
    <w:rsid w:val="007B6048"/>
    <w:rsid w:val="007B6133"/>
    <w:rsid w:val="007B617A"/>
    <w:rsid w:val="007B61AB"/>
    <w:rsid w:val="007B61C7"/>
    <w:rsid w:val="007B626C"/>
    <w:rsid w:val="007B6272"/>
    <w:rsid w:val="007B6284"/>
    <w:rsid w:val="007B633F"/>
    <w:rsid w:val="007B6351"/>
    <w:rsid w:val="007B638E"/>
    <w:rsid w:val="007B63AF"/>
    <w:rsid w:val="007B644D"/>
    <w:rsid w:val="007B6456"/>
    <w:rsid w:val="007B646E"/>
    <w:rsid w:val="007B6487"/>
    <w:rsid w:val="007B64A3"/>
    <w:rsid w:val="007B64F0"/>
    <w:rsid w:val="007B654B"/>
    <w:rsid w:val="007B657C"/>
    <w:rsid w:val="007B65A2"/>
    <w:rsid w:val="007B65B9"/>
    <w:rsid w:val="007B65C4"/>
    <w:rsid w:val="007B65D2"/>
    <w:rsid w:val="007B660B"/>
    <w:rsid w:val="007B6652"/>
    <w:rsid w:val="007B666B"/>
    <w:rsid w:val="007B6782"/>
    <w:rsid w:val="007B67B0"/>
    <w:rsid w:val="007B6878"/>
    <w:rsid w:val="007B68DB"/>
    <w:rsid w:val="007B68DC"/>
    <w:rsid w:val="007B6920"/>
    <w:rsid w:val="007B6935"/>
    <w:rsid w:val="007B69E2"/>
    <w:rsid w:val="007B6A2E"/>
    <w:rsid w:val="007B6A34"/>
    <w:rsid w:val="007B6A58"/>
    <w:rsid w:val="007B6A65"/>
    <w:rsid w:val="007B6A6D"/>
    <w:rsid w:val="007B6B29"/>
    <w:rsid w:val="007B6B2D"/>
    <w:rsid w:val="007B6C24"/>
    <w:rsid w:val="007B6CCD"/>
    <w:rsid w:val="007B6CCE"/>
    <w:rsid w:val="007B6CD2"/>
    <w:rsid w:val="007B6D54"/>
    <w:rsid w:val="007B6D89"/>
    <w:rsid w:val="007B6DAC"/>
    <w:rsid w:val="007B6DC8"/>
    <w:rsid w:val="007B6DE4"/>
    <w:rsid w:val="007B6E0D"/>
    <w:rsid w:val="007B6E84"/>
    <w:rsid w:val="007B6EA7"/>
    <w:rsid w:val="007B6F0D"/>
    <w:rsid w:val="007B6F7C"/>
    <w:rsid w:val="007B6F9C"/>
    <w:rsid w:val="007B6FA5"/>
    <w:rsid w:val="007B6FE1"/>
    <w:rsid w:val="007B7020"/>
    <w:rsid w:val="007B7023"/>
    <w:rsid w:val="007B70FD"/>
    <w:rsid w:val="007B7120"/>
    <w:rsid w:val="007B716E"/>
    <w:rsid w:val="007B716F"/>
    <w:rsid w:val="007B717C"/>
    <w:rsid w:val="007B71D0"/>
    <w:rsid w:val="007B71DE"/>
    <w:rsid w:val="007B7248"/>
    <w:rsid w:val="007B725D"/>
    <w:rsid w:val="007B7289"/>
    <w:rsid w:val="007B730D"/>
    <w:rsid w:val="007B7390"/>
    <w:rsid w:val="007B739F"/>
    <w:rsid w:val="007B743F"/>
    <w:rsid w:val="007B744A"/>
    <w:rsid w:val="007B746F"/>
    <w:rsid w:val="007B74C1"/>
    <w:rsid w:val="007B74D4"/>
    <w:rsid w:val="007B7530"/>
    <w:rsid w:val="007B756D"/>
    <w:rsid w:val="007B7595"/>
    <w:rsid w:val="007B75A3"/>
    <w:rsid w:val="007B75DF"/>
    <w:rsid w:val="007B7665"/>
    <w:rsid w:val="007B7680"/>
    <w:rsid w:val="007B76DA"/>
    <w:rsid w:val="007B770A"/>
    <w:rsid w:val="007B771E"/>
    <w:rsid w:val="007B774C"/>
    <w:rsid w:val="007B7757"/>
    <w:rsid w:val="007B7770"/>
    <w:rsid w:val="007B7780"/>
    <w:rsid w:val="007B7844"/>
    <w:rsid w:val="007B78CA"/>
    <w:rsid w:val="007B78CD"/>
    <w:rsid w:val="007B793A"/>
    <w:rsid w:val="007B7946"/>
    <w:rsid w:val="007B79B0"/>
    <w:rsid w:val="007B79C0"/>
    <w:rsid w:val="007B7A16"/>
    <w:rsid w:val="007B7A43"/>
    <w:rsid w:val="007B7A68"/>
    <w:rsid w:val="007B7AB6"/>
    <w:rsid w:val="007B7AC4"/>
    <w:rsid w:val="007B7AE1"/>
    <w:rsid w:val="007B7AEB"/>
    <w:rsid w:val="007B7B10"/>
    <w:rsid w:val="007B7BD7"/>
    <w:rsid w:val="007B7BD9"/>
    <w:rsid w:val="007B7C01"/>
    <w:rsid w:val="007B7C19"/>
    <w:rsid w:val="007B7C2E"/>
    <w:rsid w:val="007B7C6D"/>
    <w:rsid w:val="007B7C71"/>
    <w:rsid w:val="007B7CD4"/>
    <w:rsid w:val="007B7CEE"/>
    <w:rsid w:val="007B7DC3"/>
    <w:rsid w:val="007B7DE0"/>
    <w:rsid w:val="007B7E01"/>
    <w:rsid w:val="007B7E39"/>
    <w:rsid w:val="007B7E3C"/>
    <w:rsid w:val="007B7E6C"/>
    <w:rsid w:val="007B7E74"/>
    <w:rsid w:val="007B7EC9"/>
    <w:rsid w:val="007B7F16"/>
    <w:rsid w:val="007B7F42"/>
    <w:rsid w:val="007B7F8A"/>
    <w:rsid w:val="007B7FBC"/>
    <w:rsid w:val="007B7FFC"/>
    <w:rsid w:val="007C0029"/>
    <w:rsid w:val="007C0066"/>
    <w:rsid w:val="007C007B"/>
    <w:rsid w:val="007C00AD"/>
    <w:rsid w:val="007C00B7"/>
    <w:rsid w:val="007C00BB"/>
    <w:rsid w:val="007C00C4"/>
    <w:rsid w:val="007C010E"/>
    <w:rsid w:val="007C0120"/>
    <w:rsid w:val="007C0134"/>
    <w:rsid w:val="007C0190"/>
    <w:rsid w:val="007C01D3"/>
    <w:rsid w:val="007C025D"/>
    <w:rsid w:val="007C0265"/>
    <w:rsid w:val="007C0297"/>
    <w:rsid w:val="007C02E8"/>
    <w:rsid w:val="007C0304"/>
    <w:rsid w:val="007C0308"/>
    <w:rsid w:val="007C0362"/>
    <w:rsid w:val="007C037B"/>
    <w:rsid w:val="007C039D"/>
    <w:rsid w:val="007C0405"/>
    <w:rsid w:val="007C0457"/>
    <w:rsid w:val="007C045B"/>
    <w:rsid w:val="007C045D"/>
    <w:rsid w:val="007C04C7"/>
    <w:rsid w:val="007C0535"/>
    <w:rsid w:val="007C05C4"/>
    <w:rsid w:val="007C05DE"/>
    <w:rsid w:val="007C0651"/>
    <w:rsid w:val="007C0693"/>
    <w:rsid w:val="007C0696"/>
    <w:rsid w:val="007C06C5"/>
    <w:rsid w:val="007C06D8"/>
    <w:rsid w:val="007C06DD"/>
    <w:rsid w:val="007C06E4"/>
    <w:rsid w:val="007C0712"/>
    <w:rsid w:val="007C0744"/>
    <w:rsid w:val="007C07AE"/>
    <w:rsid w:val="007C0801"/>
    <w:rsid w:val="007C0833"/>
    <w:rsid w:val="007C0840"/>
    <w:rsid w:val="007C08AB"/>
    <w:rsid w:val="007C08AF"/>
    <w:rsid w:val="007C08C6"/>
    <w:rsid w:val="007C0948"/>
    <w:rsid w:val="007C0976"/>
    <w:rsid w:val="007C09E2"/>
    <w:rsid w:val="007C0A5A"/>
    <w:rsid w:val="007C0A69"/>
    <w:rsid w:val="007C0A70"/>
    <w:rsid w:val="007C0AED"/>
    <w:rsid w:val="007C0BDF"/>
    <w:rsid w:val="007C0BFB"/>
    <w:rsid w:val="007C0C21"/>
    <w:rsid w:val="007C0CA8"/>
    <w:rsid w:val="007C0CF9"/>
    <w:rsid w:val="007C0D1D"/>
    <w:rsid w:val="007C0D54"/>
    <w:rsid w:val="007C0D9D"/>
    <w:rsid w:val="007C0DB9"/>
    <w:rsid w:val="007C0DDD"/>
    <w:rsid w:val="007C0EAB"/>
    <w:rsid w:val="007C0EDF"/>
    <w:rsid w:val="007C0EE5"/>
    <w:rsid w:val="007C0F49"/>
    <w:rsid w:val="007C0FBF"/>
    <w:rsid w:val="007C101D"/>
    <w:rsid w:val="007C1100"/>
    <w:rsid w:val="007C1191"/>
    <w:rsid w:val="007C11EA"/>
    <w:rsid w:val="007C1219"/>
    <w:rsid w:val="007C122B"/>
    <w:rsid w:val="007C1298"/>
    <w:rsid w:val="007C12C2"/>
    <w:rsid w:val="007C131D"/>
    <w:rsid w:val="007C134E"/>
    <w:rsid w:val="007C1353"/>
    <w:rsid w:val="007C1381"/>
    <w:rsid w:val="007C139C"/>
    <w:rsid w:val="007C1443"/>
    <w:rsid w:val="007C145A"/>
    <w:rsid w:val="007C14FC"/>
    <w:rsid w:val="007C151E"/>
    <w:rsid w:val="007C1581"/>
    <w:rsid w:val="007C15B3"/>
    <w:rsid w:val="007C15F8"/>
    <w:rsid w:val="007C163C"/>
    <w:rsid w:val="007C165A"/>
    <w:rsid w:val="007C167C"/>
    <w:rsid w:val="007C16A3"/>
    <w:rsid w:val="007C16B1"/>
    <w:rsid w:val="007C16DC"/>
    <w:rsid w:val="007C1711"/>
    <w:rsid w:val="007C171B"/>
    <w:rsid w:val="007C1755"/>
    <w:rsid w:val="007C1757"/>
    <w:rsid w:val="007C1761"/>
    <w:rsid w:val="007C1884"/>
    <w:rsid w:val="007C1886"/>
    <w:rsid w:val="007C188A"/>
    <w:rsid w:val="007C190E"/>
    <w:rsid w:val="007C1920"/>
    <w:rsid w:val="007C19CF"/>
    <w:rsid w:val="007C1A38"/>
    <w:rsid w:val="007C1A85"/>
    <w:rsid w:val="007C1A9D"/>
    <w:rsid w:val="007C1AB5"/>
    <w:rsid w:val="007C1ACC"/>
    <w:rsid w:val="007C1AD1"/>
    <w:rsid w:val="007C1B10"/>
    <w:rsid w:val="007C1B86"/>
    <w:rsid w:val="007C1BBC"/>
    <w:rsid w:val="007C1BD4"/>
    <w:rsid w:val="007C1BE9"/>
    <w:rsid w:val="007C1C1A"/>
    <w:rsid w:val="007C1C6A"/>
    <w:rsid w:val="007C1CC3"/>
    <w:rsid w:val="007C1CD2"/>
    <w:rsid w:val="007C1D1A"/>
    <w:rsid w:val="007C1D32"/>
    <w:rsid w:val="007C1D47"/>
    <w:rsid w:val="007C1D8C"/>
    <w:rsid w:val="007C1DB6"/>
    <w:rsid w:val="007C1EB2"/>
    <w:rsid w:val="007C1F0A"/>
    <w:rsid w:val="007C1F15"/>
    <w:rsid w:val="007C1F1D"/>
    <w:rsid w:val="007C1FB6"/>
    <w:rsid w:val="007C204F"/>
    <w:rsid w:val="007C208B"/>
    <w:rsid w:val="007C2094"/>
    <w:rsid w:val="007C20B0"/>
    <w:rsid w:val="007C20D3"/>
    <w:rsid w:val="007C20DA"/>
    <w:rsid w:val="007C20FB"/>
    <w:rsid w:val="007C211E"/>
    <w:rsid w:val="007C2122"/>
    <w:rsid w:val="007C2126"/>
    <w:rsid w:val="007C2180"/>
    <w:rsid w:val="007C2196"/>
    <w:rsid w:val="007C21DD"/>
    <w:rsid w:val="007C229E"/>
    <w:rsid w:val="007C229F"/>
    <w:rsid w:val="007C22C6"/>
    <w:rsid w:val="007C2326"/>
    <w:rsid w:val="007C23EE"/>
    <w:rsid w:val="007C2452"/>
    <w:rsid w:val="007C2477"/>
    <w:rsid w:val="007C24AC"/>
    <w:rsid w:val="007C24B3"/>
    <w:rsid w:val="007C24C0"/>
    <w:rsid w:val="007C25AE"/>
    <w:rsid w:val="007C25B2"/>
    <w:rsid w:val="007C2640"/>
    <w:rsid w:val="007C2641"/>
    <w:rsid w:val="007C267A"/>
    <w:rsid w:val="007C269F"/>
    <w:rsid w:val="007C26B1"/>
    <w:rsid w:val="007C26D8"/>
    <w:rsid w:val="007C2764"/>
    <w:rsid w:val="007C277D"/>
    <w:rsid w:val="007C2790"/>
    <w:rsid w:val="007C2868"/>
    <w:rsid w:val="007C287D"/>
    <w:rsid w:val="007C28A8"/>
    <w:rsid w:val="007C28B0"/>
    <w:rsid w:val="007C28EF"/>
    <w:rsid w:val="007C291A"/>
    <w:rsid w:val="007C291F"/>
    <w:rsid w:val="007C2930"/>
    <w:rsid w:val="007C2933"/>
    <w:rsid w:val="007C2944"/>
    <w:rsid w:val="007C29AC"/>
    <w:rsid w:val="007C2A04"/>
    <w:rsid w:val="007C2A09"/>
    <w:rsid w:val="007C2A32"/>
    <w:rsid w:val="007C2A58"/>
    <w:rsid w:val="007C2B1D"/>
    <w:rsid w:val="007C2B31"/>
    <w:rsid w:val="007C2BA9"/>
    <w:rsid w:val="007C2BE4"/>
    <w:rsid w:val="007C2BE5"/>
    <w:rsid w:val="007C2C05"/>
    <w:rsid w:val="007C2C0B"/>
    <w:rsid w:val="007C2C20"/>
    <w:rsid w:val="007C2C4D"/>
    <w:rsid w:val="007C2CAE"/>
    <w:rsid w:val="007C2CD4"/>
    <w:rsid w:val="007C2CDE"/>
    <w:rsid w:val="007C2D20"/>
    <w:rsid w:val="007C2D57"/>
    <w:rsid w:val="007C2D65"/>
    <w:rsid w:val="007C2DD4"/>
    <w:rsid w:val="007C2E12"/>
    <w:rsid w:val="007C2E17"/>
    <w:rsid w:val="007C2E4F"/>
    <w:rsid w:val="007C2EB0"/>
    <w:rsid w:val="007C2F55"/>
    <w:rsid w:val="007C2F58"/>
    <w:rsid w:val="007C2F8E"/>
    <w:rsid w:val="007C301A"/>
    <w:rsid w:val="007C3119"/>
    <w:rsid w:val="007C3164"/>
    <w:rsid w:val="007C3167"/>
    <w:rsid w:val="007C3190"/>
    <w:rsid w:val="007C31BE"/>
    <w:rsid w:val="007C31DF"/>
    <w:rsid w:val="007C321A"/>
    <w:rsid w:val="007C322F"/>
    <w:rsid w:val="007C326C"/>
    <w:rsid w:val="007C3282"/>
    <w:rsid w:val="007C3297"/>
    <w:rsid w:val="007C32D8"/>
    <w:rsid w:val="007C3350"/>
    <w:rsid w:val="007C3359"/>
    <w:rsid w:val="007C3381"/>
    <w:rsid w:val="007C33A1"/>
    <w:rsid w:val="007C33BE"/>
    <w:rsid w:val="007C33D7"/>
    <w:rsid w:val="007C33E1"/>
    <w:rsid w:val="007C3421"/>
    <w:rsid w:val="007C343B"/>
    <w:rsid w:val="007C34DA"/>
    <w:rsid w:val="007C3502"/>
    <w:rsid w:val="007C350A"/>
    <w:rsid w:val="007C355D"/>
    <w:rsid w:val="007C359E"/>
    <w:rsid w:val="007C3619"/>
    <w:rsid w:val="007C3637"/>
    <w:rsid w:val="007C366C"/>
    <w:rsid w:val="007C367A"/>
    <w:rsid w:val="007C3767"/>
    <w:rsid w:val="007C3780"/>
    <w:rsid w:val="007C3799"/>
    <w:rsid w:val="007C37B3"/>
    <w:rsid w:val="007C37B4"/>
    <w:rsid w:val="007C383B"/>
    <w:rsid w:val="007C3869"/>
    <w:rsid w:val="007C390C"/>
    <w:rsid w:val="007C396B"/>
    <w:rsid w:val="007C39B4"/>
    <w:rsid w:val="007C39C0"/>
    <w:rsid w:val="007C39CC"/>
    <w:rsid w:val="007C3A0A"/>
    <w:rsid w:val="007C3A39"/>
    <w:rsid w:val="007C3A50"/>
    <w:rsid w:val="007C3A51"/>
    <w:rsid w:val="007C3A5D"/>
    <w:rsid w:val="007C3AF9"/>
    <w:rsid w:val="007C3B5F"/>
    <w:rsid w:val="007C3B6A"/>
    <w:rsid w:val="007C3B7F"/>
    <w:rsid w:val="007C3B9C"/>
    <w:rsid w:val="007C3BB0"/>
    <w:rsid w:val="007C3BC5"/>
    <w:rsid w:val="007C3BED"/>
    <w:rsid w:val="007C3C29"/>
    <w:rsid w:val="007C3C33"/>
    <w:rsid w:val="007C3C93"/>
    <w:rsid w:val="007C3CA4"/>
    <w:rsid w:val="007C3CE6"/>
    <w:rsid w:val="007C3D26"/>
    <w:rsid w:val="007C3DFD"/>
    <w:rsid w:val="007C3E03"/>
    <w:rsid w:val="007C3E54"/>
    <w:rsid w:val="007C3E86"/>
    <w:rsid w:val="007C3E97"/>
    <w:rsid w:val="007C3EAB"/>
    <w:rsid w:val="007C3F58"/>
    <w:rsid w:val="007C3F76"/>
    <w:rsid w:val="007C3FB6"/>
    <w:rsid w:val="007C3FEB"/>
    <w:rsid w:val="007C4081"/>
    <w:rsid w:val="007C40AE"/>
    <w:rsid w:val="007C411A"/>
    <w:rsid w:val="007C412A"/>
    <w:rsid w:val="007C416C"/>
    <w:rsid w:val="007C4209"/>
    <w:rsid w:val="007C42C4"/>
    <w:rsid w:val="007C42C9"/>
    <w:rsid w:val="007C432A"/>
    <w:rsid w:val="007C442A"/>
    <w:rsid w:val="007C446D"/>
    <w:rsid w:val="007C4534"/>
    <w:rsid w:val="007C453C"/>
    <w:rsid w:val="007C4595"/>
    <w:rsid w:val="007C45AC"/>
    <w:rsid w:val="007C45FD"/>
    <w:rsid w:val="007C463B"/>
    <w:rsid w:val="007C46AA"/>
    <w:rsid w:val="007C4721"/>
    <w:rsid w:val="007C4741"/>
    <w:rsid w:val="007C4798"/>
    <w:rsid w:val="007C47A6"/>
    <w:rsid w:val="007C47D5"/>
    <w:rsid w:val="007C4829"/>
    <w:rsid w:val="007C4848"/>
    <w:rsid w:val="007C4860"/>
    <w:rsid w:val="007C487A"/>
    <w:rsid w:val="007C48A7"/>
    <w:rsid w:val="007C48CA"/>
    <w:rsid w:val="007C4936"/>
    <w:rsid w:val="007C4937"/>
    <w:rsid w:val="007C4952"/>
    <w:rsid w:val="007C4977"/>
    <w:rsid w:val="007C497F"/>
    <w:rsid w:val="007C4982"/>
    <w:rsid w:val="007C4A0A"/>
    <w:rsid w:val="007C4A56"/>
    <w:rsid w:val="007C4AAA"/>
    <w:rsid w:val="007C4AD2"/>
    <w:rsid w:val="007C4AD5"/>
    <w:rsid w:val="007C4B23"/>
    <w:rsid w:val="007C4B24"/>
    <w:rsid w:val="007C4B2F"/>
    <w:rsid w:val="007C4B4E"/>
    <w:rsid w:val="007C4BC9"/>
    <w:rsid w:val="007C4C20"/>
    <w:rsid w:val="007C4C28"/>
    <w:rsid w:val="007C4D66"/>
    <w:rsid w:val="007C4D6C"/>
    <w:rsid w:val="007C4D7B"/>
    <w:rsid w:val="007C4DC7"/>
    <w:rsid w:val="007C4E0F"/>
    <w:rsid w:val="007C4E61"/>
    <w:rsid w:val="007C4ECF"/>
    <w:rsid w:val="007C4EF5"/>
    <w:rsid w:val="007C4EFA"/>
    <w:rsid w:val="007C4F1E"/>
    <w:rsid w:val="007C4F52"/>
    <w:rsid w:val="007C4F93"/>
    <w:rsid w:val="007C4FA2"/>
    <w:rsid w:val="007C4FCF"/>
    <w:rsid w:val="007C4FE2"/>
    <w:rsid w:val="007C4FEC"/>
    <w:rsid w:val="007C4FF9"/>
    <w:rsid w:val="007C5025"/>
    <w:rsid w:val="007C5037"/>
    <w:rsid w:val="007C50A7"/>
    <w:rsid w:val="007C50A9"/>
    <w:rsid w:val="007C50BA"/>
    <w:rsid w:val="007C50F6"/>
    <w:rsid w:val="007C511F"/>
    <w:rsid w:val="007C512C"/>
    <w:rsid w:val="007C5145"/>
    <w:rsid w:val="007C514A"/>
    <w:rsid w:val="007C516B"/>
    <w:rsid w:val="007C5198"/>
    <w:rsid w:val="007C51DE"/>
    <w:rsid w:val="007C524F"/>
    <w:rsid w:val="007C5265"/>
    <w:rsid w:val="007C5270"/>
    <w:rsid w:val="007C52C3"/>
    <w:rsid w:val="007C52FA"/>
    <w:rsid w:val="007C535F"/>
    <w:rsid w:val="007C537D"/>
    <w:rsid w:val="007C53CF"/>
    <w:rsid w:val="007C53DD"/>
    <w:rsid w:val="007C53FA"/>
    <w:rsid w:val="007C546B"/>
    <w:rsid w:val="007C5515"/>
    <w:rsid w:val="007C553F"/>
    <w:rsid w:val="007C559D"/>
    <w:rsid w:val="007C562A"/>
    <w:rsid w:val="007C5758"/>
    <w:rsid w:val="007C5760"/>
    <w:rsid w:val="007C576B"/>
    <w:rsid w:val="007C58C1"/>
    <w:rsid w:val="007C5944"/>
    <w:rsid w:val="007C5948"/>
    <w:rsid w:val="007C5957"/>
    <w:rsid w:val="007C5964"/>
    <w:rsid w:val="007C596A"/>
    <w:rsid w:val="007C596C"/>
    <w:rsid w:val="007C59E0"/>
    <w:rsid w:val="007C59FF"/>
    <w:rsid w:val="007C5A64"/>
    <w:rsid w:val="007C5AC0"/>
    <w:rsid w:val="007C5B40"/>
    <w:rsid w:val="007C5B5A"/>
    <w:rsid w:val="007C5BD3"/>
    <w:rsid w:val="007C5C75"/>
    <w:rsid w:val="007C5CA0"/>
    <w:rsid w:val="007C5D3D"/>
    <w:rsid w:val="007C5DB9"/>
    <w:rsid w:val="007C5E64"/>
    <w:rsid w:val="007C5EA0"/>
    <w:rsid w:val="007C5EB0"/>
    <w:rsid w:val="007C5EE8"/>
    <w:rsid w:val="007C5F6C"/>
    <w:rsid w:val="007C5F88"/>
    <w:rsid w:val="007C6006"/>
    <w:rsid w:val="007C604A"/>
    <w:rsid w:val="007C6094"/>
    <w:rsid w:val="007C60A2"/>
    <w:rsid w:val="007C60AB"/>
    <w:rsid w:val="007C60D4"/>
    <w:rsid w:val="007C6113"/>
    <w:rsid w:val="007C6127"/>
    <w:rsid w:val="007C6154"/>
    <w:rsid w:val="007C6186"/>
    <w:rsid w:val="007C6198"/>
    <w:rsid w:val="007C61A3"/>
    <w:rsid w:val="007C61B3"/>
    <w:rsid w:val="007C61D3"/>
    <w:rsid w:val="007C632F"/>
    <w:rsid w:val="007C6342"/>
    <w:rsid w:val="007C6350"/>
    <w:rsid w:val="007C636A"/>
    <w:rsid w:val="007C6382"/>
    <w:rsid w:val="007C644E"/>
    <w:rsid w:val="007C650A"/>
    <w:rsid w:val="007C6526"/>
    <w:rsid w:val="007C65B6"/>
    <w:rsid w:val="007C65FF"/>
    <w:rsid w:val="007C6610"/>
    <w:rsid w:val="007C665A"/>
    <w:rsid w:val="007C66F3"/>
    <w:rsid w:val="007C679F"/>
    <w:rsid w:val="007C67AE"/>
    <w:rsid w:val="007C6801"/>
    <w:rsid w:val="007C682D"/>
    <w:rsid w:val="007C6859"/>
    <w:rsid w:val="007C6897"/>
    <w:rsid w:val="007C68CF"/>
    <w:rsid w:val="007C68D9"/>
    <w:rsid w:val="007C6AA0"/>
    <w:rsid w:val="007C6ADF"/>
    <w:rsid w:val="007C6AF9"/>
    <w:rsid w:val="007C6B4A"/>
    <w:rsid w:val="007C6B79"/>
    <w:rsid w:val="007C6B8D"/>
    <w:rsid w:val="007C6BA9"/>
    <w:rsid w:val="007C6C09"/>
    <w:rsid w:val="007C6C28"/>
    <w:rsid w:val="007C6C5F"/>
    <w:rsid w:val="007C6C92"/>
    <w:rsid w:val="007C6CCA"/>
    <w:rsid w:val="007C6D1B"/>
    <w:rsid w:val="007C6D28"/>
    <w:rsid w:val="007C6D4F"/>
    <w:rsid w:val="007C6D60"/>
    <w:rsid w:val="007C6D93"/>
    <w:rsid w:val="007C6E4F"/>
    <w:rsid w:val="007C6E92"/>
    <w:rsid w:val="007C6E93"/>
    <w:rsid w:val="007C6F06"/>
    <w:rsid w:val="007C6F0B"/>
    <w:rsid w:val="007C6F50"/>
    <w:rsid w:val="007C6F51"/>
    <w:rsid w:val="007C6FB8"/>
    <w:rsid w:val="007C6FCB"/>
    <w:rsid w:val="007C7040"/>
    <w:rsid w:val="007C7056"/>
    <w:rsid w:val="007C7063"/>
    <w:rsid w:val="007C70B6"/>
    <w:rsid w:val="007C7185"/>
    <w:rsid w:val="007C71CC"/>
    <w:rsid w:val="007C723C"/>
    <w:rsid w:val="007C7297"/>
    <w:rsid w:val="007C72CA"/>
    <w:rsid w:val="007C72F1"/>
    <w:rsid w:val="007C7338"/>
    <w:rsid w:val="007C7378"/>
    <w:rsid w:val="007C7379"/>
    <w:rsid w:val="007C73EC"/>
    <w:rsid w:val="007C7432"/>
    <w:rsid w:val="007C7463"/>
    <w:rsid w:val="007C7502"/>
    <w:rsid w:val="007C76AA"/>
    <w:rsid w:val="007C777E"/>
    <w:rsid w:val="007C77B2"/>
    <w:rsid w:val="007C77DC"/>
    <w:rsid w:val="007C77F4"/>
    <w:rsid w:val="007C790C"/>
    <w:rsid w:val="007C790E"/>
    <w:rsid w:val="007C7974"/>
    <w:rsid w:val="007C79A4"/>
    <w:rsid w:val="007C79BB"/>
    <w:rsid w:val="007C79DB"/>
    <w:rsid w:val="007C7A31"/>
    <w:rsid w:val="007C7A37"/>
    <w:rsid w:val="007C7A76"/>
    <w:rsid w:val="007C7AC5"/>
    <w:rsid w:val="007C7ACE"/>
    <w:rsid w:val="007C7B03"/>
    <w:rsid w:val="007C7B28"/>
    <w:rsid w:val="007C7B77"/>
    <w:rsid w:val="007C7BBC"/>
    <w:rsid w:val="007C7C54"/>
    <w:rsid w:val="007C7C5F"/>
    <w:rsid w:val="007C7CE2"/>
    <w:rsid w:val="007C7D58"/>
    <w:rsid w:val="007C7D91"/>
    <w:rsid w:val="007C7DF9"/>
    <w:rsid w:val="007C7E0C"/>
    <w:rsid w:val="007C7E64"/>
    <w:rsid w:val="007C7E81"/>
    <w:rsid w:val="007C7E8C"/>
    <w:rsid w:val="007C7EFA"/>
    <w:rsid w:val="007C7F00"/>
    <w:rsid w:val="007C7FCA"/>
    <w:rsid w:val="007C7FE3"/>
    <w:rsid w:val="007CF040"/>
    <w:rsid w:val="007D000C"/>
    <w:rsid w:val="007D002B"/>
    <w:rsid w:val="007D0031"/>
    <w:rsid w:val="007D0032"/>
    <w:rsid w:val="007D00DC"/>
    <w:rsid w:val="007D0155"/>
    <w:rsid w:val="007D015C"/>
    <w:rsid w:val="007D016B"/>
    <w:rsid w:val="007D01D3"/>
    <w:rsid w:val="007D020B"/>
    <w:rsid w:val="007D0213"/>
    <w:rsid w:val="007D0220"/>
    <w:rsid w:val="007D0230"/>
    <w:rsid w:val="007D0240"/>
    <w:rsid w:val="007D026D"/>
    <w:rsid w:val="007D028A"/>
    <w:rsid w:val="007D029E"/>
    <w:rsid w:val="007D02CA"/>
    <w:rsid w:val="007D0321"/>
    <w:rsid w:val="007D0369"/>
    <w:rsid w:val="007D0381"/>
    <w:rsid w:val="007D0389"/>
    <w:rsid w:val="007D03FA"/>
    <w:rsid w:val="007D043F"/>
    <w:rsid w:val="007D0451"/>
    <w:rsid w:val="007D04A0"/>
    <w:rsid w:val="007D0517"/>
    <w:rsid w:val="007D0545"/>
    <w:rsid w:val="007D0553"/>
    <w:rsid w:val="007D0556"/>
    <w:rsid w:val="007D056C"/>
    <w:rsid w:val="007D0596"/>
    <w:rsid w:val="007D0627"/>
    <w:rsid w:val="007D0681"/>
    <w:rsid w:val="007D069A"/>
    <w:rsid w:val="007D06B0"/>
    <w:rsid w:val="007D06C0"/>
    <w:rsid w:val="007D06F8"/>
    <w:rsid w:val="007D07CF"/>
    <w:rsid w:val="007D0805"/>
    <w:rsid w:val="007D08DF"/>
    <w:rsid w:val="007D08FB"/>
    <w:rsid w:val="007D0908"/>
    <w:rsid w:val="007D0912"/>
    <w:rsid w:val="007D0937"/>
    <w:rsid w:val="007D0956"/>
    <w:rsid w:val="007D0998"/>
    <w:rsid w:val="007D09AA"/>
    <w:rsid w:val="007D09B6"/>
    <w:rsid w:val="007D09D7"/>
    <w:rsid w:val="007D09FF"/>
    <w:rsid w:val="007D0A15"/>
    <w:rsid w:val="007D0A1D"/>
    <w:rsid w:val="007D0A23"/>
    <w:rsid w:val="007D0A8F"/>
    <w:rsid w:val="007D0A99"/>
    <w:rsid w:val="007D0B49"/>
    <w:rsid w:val="007D0BA4"/>
    <w:rsid w:val="007D0BF8"/>
    <w:rsid w:val="007D0CDA"/>
    <w:rsid w:val="007D0D03"/>
    <w:rsid w:val="007D0D28"/>
    <w:rsid w:val="007D0D47"/>
    <w:rsid w:val="007D0DDF"/>
    <w:rsid w:val="007D0E80"/>
    <w:rsid w:val="007D0EB8"/>
    <w:rsid w:val="007D0ED7"/>
    <w:rsid w:val="007D0EE9"/>
    <w:rsid w:val="007D0EEF"/>
    <w:rsid w:val="007D0EF3"/>
    <w:rsid w:val="007D0FCB"/>
    <w:rsid w:val="007D1005"/>
    <w:rsid w:val="007D100B"/>
    <w:rsid w:val="007D102D"/>
    <w:rsid w:val="007D1063"/>
    <w:rsid w:val="007D1064"/>
    <w:rsid w:val="007D1082"/>
    <w:rsid w:val="007D109E"/>
    <w:rsid w:val="007D10AD"/>
    <w:rsid w:val="007D10D8"/>
    <w:rsid w:val="007D10F3"/>
    <w:rsid w:val="007D1100"/>
    <w:rsid w:val="007D1102"/>
    <w:rsid w:val="007D110C"/>
    <w:rsid w:val="007D111D"/>
    <w:rsid w:val="007D1178"/>
    <w:rsid w:val="007D119C"/>
    <w:rsid w:val="007D11A1"/>
    <w:rsid w:val="007D11B6"/>
    <w:rsid w:val="007D11B7"/>
    <w:rsid w:val="007D120A"/>
    <w:rsid w:val="007D121D"/>
    <w:rsid w:val="007D121E"/>
    <w:rsid w:val="007D1256"/>
    <w:rsid w:val="007D12A0"/>
    <w:rsid w:val="007D138E"/>
    <w:rsid w:val="007D1398"/>
    <w:rsid w:val="007D13EA"/>
    <w:rsid w:val="007D13F4"/>
    <w:rsid w:val="007D141D"/>
    <w:rsid w:val="007D1442"/>
    <w:rsid w:val="007D147D"/>
    <w:rsid w:val="007D1570"/>
    <w:rsid w:val="007D15D2"/>
    <w:rsid w:val="007D15EF"/>
    <w:rsid w:val="007D1642"/>
    <w:rsid w:val="007D1669"/>
    <w:rsid w:val="007D166A"/>
    <w:rsid w:val="007D16F9"/>
    <w:rsid w:val="007D1743"/>
    <w:rsid w:val="007D176E"/>
    <w:rsid w:val="007D17D1"/>
    <w:rsid w:val="007D17D9"/>
    <w:rsid w:val="007D17DC"/>
    <w:rsid w:val="007D17DD"/>
    <w:rsid w:val="007D1841"/>
    <w:rsid w:val="007D1875"/>
    <w:rsid w:val="007D18CB"/>
    <w:rsid w:val="007D18DC"/>
    <w:rsid w:val="007D18FB"/>
    <w:rsid w:val="007D1973"/>
    <w:rsid w:val="007D19BC"/>
    <w:rsid w:val="007D1A19"/>
    <w:rsid w:val="007D1A79"/>
    <w:rsid w:val="007D1A92"/>
    <w:rsid w:val="007D1ABA"/>
    <w:rsid w:val="007D1AD0"/>
    <w:rsid w:val="007D1B14"/>
    <w:rsid w:val="007D1BA5"/>
    <w:rsid w:val="007D1BFF"/>
    <w:rsid w:val="007D1C05"/>
    <w:rsid w:val="007D1C1C"/>
    <w:rsid w:val="007D1C26"/>
    <w:rsid w:val="007D1C2E"/>
    <w:rsid w:val="007D1C66"/>
    <w:rsid w:val="007D1D06"/>
    <w:rsid w:val="007D1D15"/>
    <w:rsid w:val="007D1D19"/>
    <w:rsid w:val="007D1D23"/>
    <w:rsid w:val="007D1DB5"/>
    <w:rsid w:val="007D1DFC"/>
    <w:rsid w:val="007D1E27"/>
    <w:rsid w:val="007D1E31"/>
    <w:rsid w:val="007D1E33"/>
    <w:rsid w:val="007D1E35"/>
    <w:rsid w:val="007D1E40"/>
    <w:rsid w:val="007D1E80"/>
    <w:rsid w:val="007D1F55"/>
    <w:rsid w:val="007D1F81"/>
    <w:rsid w:val="007D1F86"/>
    <w:rsid w:val="007D1FC7"/>
    <w:rsid w:val="007D20EF"/>
    <w:rsid w:val="007D20FC"/>
    <w:rsid w:val="007D20FD"/>
    <w:rsid w:val="007D2150"/>
    <w:rsid w:val="007D215F"/>
    <w:rsid w:val="007D21F2"/>
    <w:rsid w:val="007D21FF"/>
    <w:rsid w:val="007D222D"/>
    <w:rsid w:val="007D2252"/>
    <w:rsid w:val="007D226A"/>
    <w:rsid w:val="007D22DF"/>
    <w:rsid w:val="007D22E6"/>
    <w:rsid w:val="007D235A"/>
    <w:rsid w:val="007D2372"/>
    <w:rsid w:val="007D23F0"/>
    <w:rsid w:val="007D2474"/>
    <w:rsid w:val="007D2490"/>
    <w:rsid w:val="007D24A5"/>
    <w:rsid w:val="007D24AB"/>
    <w:rsid w:val="007D24E4"/>
    <w:rsid w:val="007D255C"/>
    <w:rsid w:val="007D2567"/>
    <w:rsid w:val="007D25DB"/>
    <w:rsid w:val="007D2626"/>
    <w:rsid w:val="007D2695"/>
    <w:rsid w:val="007D271F"/>
    <w:rsid w:val="007D272E"/>
    <w:rsid w:val="007D274D"/>
    <w:rsid w:val="007D277A"/>
    <w:rsid w:val="007D2837"/>
    <w:rsid w:val="007D2868"/>
    <w:rsid w:val="007D28C9"/>
    <w:rsid w:val="007D28DD"/>
    <w:rsid w:val="007D2934"/>
    <w:rsid w:val="007D295A"/>
    <w:rsid w:val="007D298A"/>
    <w:rsid w:val="007D2A2F"/>
    <w:rsid w:val="007D2A77"/>
    <w:rsid w:val="007D2AD4"/>
    <w:rsid w:val="007D2B29"/>
    <w:rsid w:val="007D2B41"/>
    <w:rsid w:val="007D2B59"/>
    <w:rsid w:val="007D2C02"/>
    <w:rsid w:val="007D2C07"/>
    <w:rsid w:val="007D2C25"/>
    <w:rsid w:val="007D2C7B"/>
    <w:rsid w:val="007D2CAB"/>
    <w:rsid w:val="007D2CAE"/>
    <w:rsid w:val="007D2CDF"/>
    <w:rsid w:val="007D2CEB"/>
    <w:rsid w:val="007D2DC6"/>
    <w:rsid w:val="007D2E24"/>
    <w:rsid w:val="007D2E82"/>
    <w:rsid w:val="007D2EC5"/>
    <w:rsid w:val="007D2ECD"/>
    <w:rsid w:val="007D2F93"/>
    <w:rsid w:val="007D2FB3"/>
    <w:rsid w:val="007D2FC9"/>
    <w:rsid w:val="007D301E"/>
    <w:rsid w:val="007D304A"/>
    <w:rsid w:val="007D3086"/>
    <w:rsid w:val="007D3097"/>
    <w:rsid w:val="007D314C"/>
    <w:rsid w:val="007D316D"/>
    <w:rsid w:val="007D3199"/>
    <w:rsid w:val="007D3268"/>
    <w:rsid w:val="007D328A"/>
    <w:rsid w:val="007D32AE"/>
    <w:rsid w:val="007D32CF"/>
    <w:rsid w:val="007D32FF"/>
    <w:rsid w:val="007D3340"/>
    <w:rsid w:val="007D335E"/>
    <w:rsid w:val="007D336A"/>
    <w:rsid w:val="007D33A5"/>
    <w:rsid w:val="007D33C1"/>
    <w:rsid w:val="007D33EC"/>
    <w:rsid w:val="007D3467"/>
    <w:rsid w:val="007D3474"/>
    <w:rsid w:val="007D3498"/>
    <w:rsid w:val="007D34F9"/>
    <w:rsid w:val="007D350D"/>
    <w:rsid w:val="007D3540"/>
    <w:rsid w:val="007D3572"/>
    <w:rsid w:val="007D35C7"/>
    <w:rsid w:val="007D35DF"/>
    <w:rsid w:val="007D3611"/>
    <w:rsid w:val="007D3681"/>
    <w:rsid w:val="007D3693"/>
    <w:rsid w:val="007D36BA"/>
    <w:rsid w:val="007D36DC"/>
    <w:rsid w:val="007D3717"/>
    <w:rsid w:val="007D371D"/>
    <w:rsid w:val="007D372B"/>
    <w:rsid w:val="007D3740"/>
    <w:rsid w:val="007D3751"/>
    <w:rsid w:val="007D377F"/>
    <w:rsid w:val="007D37E8"/>
    <w:rsid w:val="007D3894"/>
    <w:rsid w:val="007D38F9"/>
    <w:rsid w:val="007D39A5"/>
    <w:rsid w:val="007D39D0"/>
    <w:rsid w:val="007D39D9"/>
    <w:rsid w:val="007D3A11"/>
    <w:rsid w:val="007D3A18"/>
    <w:rsid w:val="007D3A1C"/>
    <w:rsid w:val="007D3A65"/>
    <w:rsid w:val="007D3AA5"/>
    <w:rsid w:val="007D3ABD"/>
    <w:rsid w:val="007D3ACC"/>
    <w:rsid w:val="007D3AEA"/>
    <w:rsid w:val="007D3B3F"/>
    <w:rsid w:val="007D3B46"/>
    <w:rsid w:val="007D3B6C"/>
    <w:rsid w:val="007D3BC1"/>
    <w:rsid w:val="007D3BC2"/>
    <w:rsid w:val="007D3BD6"/>
    <w:rsid w:val="007D3C0D"/>
    <w:rsid w:val="007D3C46"/>
    <w:rsid w:val="007D3CB2"/>
    <w:rsid w:val="007D3D0B"/>
    <w:rsid w:val="007D3D42"/>
    <w:rsid w:val="007D3D91"/>
    <w:rsid w:val="007D3DB2"/>
    <w:rsid w:val="007D3DEF"/>
    <w:rsid w:val="007D3E44"/>
    <w:rsid w:val="007D3E4E"/>
    <w:rsid w:val="007D3E68"/>
    <w:rsid w:val="007D3EBC"/>
    <w:rsid w:val="007D3EFF"/>
    <w:rsid w:val="007D3F36"/>
    <w:rsid w:val="007D3F84"/>
    <w:rsid w:val="007D3F8C"/>
    <w:rsid w:val="007D4013"/>
    <w:rsid w:val="007D401E"/>
    <w:rsid w:val="007D40A1"/>
    <w:rsid w:val="007D40D2"/>
    <w:rsid w:val="007D40E7"/>
    <w:rsid w:val="007D4104"/>
    <w:rsid w:val="007D414E"/>
    <w:rsid w:val="007D4156"/>
    <w:rsid w:val="007D41F7"/>
    <w:rsid w:val="007D41FA"/>
    <w:rsid w:val="007D4300"/>
    <w:rsid w:val="007D430D"/>
    <w:rsid w:val="007D431D"/>
    <w:rsid w:val="007D433E"/>
    <w:rsid w:val="007D436D"/>
    <w:rsid w:val="007D438E"/>
    <w:rsid w:val="007D4394"/>
    <w:rsid w:val="007D443F"/>
    <w:rsid w:val="007D446E"/>
    <w:rsid w:val="007D44AD"/>
    <w:rsid w:val="007D4509"/>
    <w:rsid w:val="007D450C"/>
    <w:rsid w:val="007D455E"/>
    <w:rsid w:val="007D455F"/>
    <w:rsid w:val="007D4593"/>
    <w:rsid w:val="007D45C5"/>
    <w:rsid w:val="007D45F6"/>
    <w:rsid w:val="007D461E"/>
    <w:rsid w:val="007D4666"/>
    <w:rsid w:val="007D4689"/>
    <w:rsid w:val="007D46B9"/>
    <w:rsid w:val="007D46D3"/>
    <w:rsid w:val="007D46EB"/>
    <w:rsid w:val="007D46F9"/>
    <w:rsid w:val="007D472B"/>
    <w:rsid w:val="007D47CB"/>
    <w:rsid w:val="007D47CE"/>
    <w:rsid w:val="007D480D"/>
    <w:rsid w:val="007D486C"/>
    <w:rsid w:val="007D4878"/>
    <w:rsid w:val="007D4885"/>
    <w:rsid w:val="007D4895"/>
    <w:rsid w:val="007D48F5"/>
    <w:rsid w:val="007D4982"/>
    <w:rsid w:val="007D49C4"/>
    <w:rsid w:val="007D49EF"/>
    <w:rsid w:val="007D4A35"/>
    <w:rsid w:val="007D4A51"/>
    <w:rsid w:val="007D4A76"/>
    <w:rsid w:val="007D4A77"/>
    <w:rsid w:val="007D4AA2"/>
    <w:rsid w:val="007D4AC4"/>
    <w:rsid w:val="007D4AE3"/>
    <w:rsid w:val="007D4B0E"/>
    <w:rsid w:val="007D4B31"/>
    <w:rsid w:val="007D4B38"/>
    <w:rsid w:val="007D4B3C"/>
    <w:rsid w:val="007D4B3E"/>
    <w:rsid w:val="007D4B41"/>
    <w:rsid w:val="007D4B65"/>
    <w:rsid w:val="007D4BEF"/>
    <w:rsid w:val="007D4C5D"/>
    <w:rsid w:val="007D4C85"/>
    <w:rsid w:val="007D4C98"/>
    <w:rsid w:val="007D4CCB"/>
    <w:rsid w:val="007D4CD1"/>
    <w:rsid w:val="007D4CD8"/>
    <w:rsid w:val="007D4CDB"/>
    <w:rsid w:val="007D4D5F"/>
    <w:rsid w:val="007D4D6C"/>
    <w:rsid w:val="007D4E18"/>
    <w:rsid w:val="007D4E1E"/>
    <w:rsid w:val="007D4E84"/>
    <w:rsid w:val="007D4E87"/>
    <w:rsid w:val="007D4EA4"/>
    <w:rsid w:val="007D4EA6"/>
    <w:rsid w:val="007D4EF4"/>
    <w:rsid w:val="007D4F1C"/>
    <w:rsid w:val="007D4F7A"/>
    <w:rsid w:val="007D4F94"/>
    <w:rsid w:val="007D4FD9"/>
    <w:rsid w:val="007D4FFE"/>
    <w:rsid w:val="007D5028"/>
    <w:rsid w:val="007D50C0"/>
    <w:rsid w:val="007D513D"/>
    <w:rsid w:val="007D515A"/>
    <w:rsid w:val="007D519D"/>
    <w:rsid w:val="007D51A2"/>
    <w:rsid w:val="007D51B4"/>
    <w:rsid w:val="007D51E9"/>
    <w:rsid w:val="007D520B"/>
    <w:rsid w:val="007D5256"/>
    <w:rsid w:val="007D5371"/>
    <w:rsid w:val="007D53B8"/>
    <w:rsid w:val="007D53C0"/>
    <w:rsid w:val="007D5412"/>
    <w:rsid w:val="007D541B"/>
    <w:rsid w:val="007D5445"/>
    <w:rsid w:val="007D5467"/>
    <w:rsid w:val="007D5479"/>
    <w:rsid w:val="007D554F"/>
    <w:rsid w:val="007D5592"/>
    <w:rsid w:val="007D55AB"/>
    <w:rsid w:val="007D55B8"/>
    <w:rsid w:val="007D55B9"/>
    <w:rsid w:val="007D5628"/>
    <w:rsid w:val="007D562B"/>
    <w:rsid w:val="007D564A"/>
    <w:rsid w:val="007D5676"/>
    <w:rsid w:val="007D5689"/>
    <w:rsid w:val="007D56D5"/>
    <w:rsid w:val="007D56F1"/>
    <w:rsid w:val="007D572A"/>
    <w:rsid w:val="007D573F"/>
    <w:rsid w:val="007D5763"/>
    <w:rsid w:val="007D579A"/>
    <w:rsid w:val="007D57BD"/>
    <w:rsid w:val="007D5800"/>
    <w:rsid w:val="007D580B"/>
    <w:rsid w:val="007D5832"/>
    <w:rsid w:val="007D5867"/>
    <w:rsid w:val="007D589B"/>
    <w:rsid w:val="007D58C5"/>
    <w:rsid w:val="007D58F4"/>
    <w:rsid w:val="007D5A31"/>
    <w:rsid w:val="007D5A9E"/>
    <w:rsid w:val="007D5ABA"/>
    <w:rsid w:val="007D5ADA"/>
    <w:rsid w:val="007D5ADE"/>
    <w:rsid w:val="007D5AFA"/>
    <w:rsid w:val="007D5B3F"/>
    <w:rsid w:val="007D5B42"/>
    <w:rsid w:val="007D5B75"/>
    <w:rsid w:val="007D5B7E"/>
    <w:rsid w:val="007D5BC4"/>
    <w:rsid w:val="007D5BE1"/>
    <w:rsid w:val="007D5C77"/>
    <w:rsid w:val="007D5CC7"/>
    <w:rsid w:val="007D5CF7"/>
    <w:rsid w:val="007D5DAE"/>
    <w:rsid w:val="007D5DB5"/>
    <w:rsid w:val="007D5DC4"/>
    <w:rsid w:val="007D5DD7"/>
    <w:rsid w:val="007D5DDC"/>
    <w:rsid w:val="007D5DE1"/>
    <w:rsid w:val="007D5EFD"/>
    <w:rsid w:val="007D5F95"/>
    <w:rsid w:val="007D5FAD"/>
    <w:rsid w:val="007D6011"/>
    <w:rsid w:val="007D6054"/>
    <w:rsid w:val="007D6074"/>
    <w:rsid w:val="007D608C"/>
    <w:rsid w:val="007D60EF"/>
    <w:rsid w:val="007D60FF"/>
    <w:rsid w:val="007D6160"/>
    <w:rsid w:val="007D6176"/>
    <w:rsid w:val="007D61B0"/>
    <w:rsid w:val="007D61D1"/>
    <w:rsid w:val="007D61D5"/>
    <w:rsid w:val="007D61DA"/>
    <w:rsid w:val="007D61ED"/>
    <w:rsid w:val="007D621D"/>
    <w:rsid w:val="007D62EB"/>
    <w:rsid w:val="007D6309"/>
    <w:rsid w:val="007D631F"/>
    <w:rsid w:val="007D6345"/>
    <w:rsid w:val="007D6386"/>
    <w:rsid w:val="007D63D5"/>
    <w:rsid w:val="007D6464"/>
    <w:rsid w:val="007D6466"/>
    <w:rsid w:val="007D64A1"/>
    <w:rsid w:val="007D64F8"/>
    <w:rsid w:val="007D6540"/>
    <w:rsid w:val="007D6609"/>
    <w:rsid w:val="007D6629"/>
    <w:rsid w:val="007D6689"/>
    <w:rsid w:val="007D6695"/>
    <w:rsid w:val="007D67A6"/>
    <w:rsid w:val="007D6865"/>
    <w:rsid w:val="007D694A"/>
    <w:rsid w:val="007D6972"/>
    <w:rsid w:val="007D6989"/>
    <w:rsid w:val="007D6A04"/>
    <w:rsid w:val="007D6A4C"/>
    <w:rsid w:val="007D6B0C"/>
    <w:rsid w:val="007D6B18"/>
    <w:rsid w:val="007D6B5F"/>
    <w:rsid w:val="007D6B81"/>
    <w:rsid w:val="007D6B92"/>
    <w:rsid w:val="007D6B96"/>
    <w:rsid w:val="007D6BAC"/>
    <w:rsid w:val="007D6BB8"/>
    <w:rsid w:val="007D6BBA"/>
    <w:rsid w:val="007D6BEE"/>
    <w:rsid w:val="007D6BF3"/>
    <w:rsid w:val="007D6C09"/>
    <w:rsid w:val="007D6C34"/>
    <w:rsid w:val="007D6C4B"/>
    <w:rsid w:val="007D6C7D"/>
    <w:rsid w:val="007D6CAB"/>
    <w:rsid w:val="007D6CC9"/>
    <w:rsid w:val="007D6CE1"/>
    <w:rsid w:val="007D6D0C"/>
    <w:rsid w:val="007D6D29"/>
    <w:rsid w:val="007D6D3D"/>
    <w:rsid w:val="007D6D4F"/>
    <w:rsid w:val="007D6DC0"/>
    <w:rsid w:val="007D6DE1"/>
    <w:rsid w:val="007D6E1C"/>
    <w:rsid w:val="007D6E23"/>
    <w:rsid w:val="007D6E2B"/>
    <w:rsid w:val="007D6E90"/>
    <w:rsid w:val="007D6E91"/>
    <w:rsid w:val="007D6EAE"/>
    <w:rsid w:val="007D6EF2"/>
    <w:rsid w:val="007D6FC0"/>
    <w:rsid w:val="007D701A"/>
    <w:rsid w:val="007D7039"/>
    <w:rsid w:val="007D7061"/>
    <w:rsid w:val="007D7069"/>
    <w:rsid w:val="007D722F"/>
    <w:rsid w:val="007D72D6"/>
    <w:rsid w:val="007D734D"/>
    <w:rsid w:val="007D7371"/>
    <w:rsid w:val="007D739B"/>
    <w:rsid w:val="007D73FA"/>
    <w:rsid w:val="007D7456"/>
    <w:rsid w:val="007D7476"/>
    <w:rsid w:val="007D747E"/>
    <w:rsid w:val="007D7497"/>
    <w:rsid w:val="007D74DC"/>
    <w:rsid w:val="007D7573"/>
    <w:rsid w:val="007D75C9"/>
    <w:rsid w:val="007D7607"/>
    <w:rsid w:val="007D762E"/>
    <w:rsid w:val="007D766A"/>
    <w:rsid w:val="007D768E"/>
    <w:rsid w:val="007D769F"/>
    <w:rsid w:val="007D76AA"/>
    <w:rsid w:val="007D76E1"/>
    <w:rsid w:val="007D7732"/>
    <w:rsid w:val="007D774C"/>
    <w:rsid w:val="007D77FC"/>
    <w:rsid w:val="007D7850"/>
    <w:rsid w:val="007D786A"/>
    <w:rsid w:val="007D7890"/>
    <w:rsid w:val="007D78D3"/>
    <w:rsid w:val="007D7906"/>
    <w:rsid w:val="007D7939"/>
    <w:rsid w:val="007D793F"/>
    <w:rsid w:val="007D7953"/>
    <w:rsid w:val="007D7993"/>
    <w:rsid w:val="007D7A50"/>
    <w:rsid w:val="007D7AD3"/>
    <w:rsid w:val="007D7AD9"/>
    <w:rsid w:val="007D7B34"/>
    <w:rsid w:val="007D7B3B"/>
    <w:rsid w:val="007D7B45"/>
    <w:rsid w:val="007D7B5B"/>
    <w:rsid w:val="007D7B9D"/>
    <w:rsid w:val="007D7BA9"/>
    <w:rsid w:val="007D7BCB"/>
    <w:rsid w:val="007D7BE8"/>
    <w:rsid w:val="007D7BE9"/>
    <w:rsid w:val="007D7C8C"/>
    <w:rsid w:val="007D7D70"/>
    <w:rsid w:val="007D7DAC"/>
    <w:rsid w:val="007D7DBF"/>
    <w:rsid w:val="007D7E38"/>
    <w:rsid w:val="007D7E70"/>
    <w:rsid w:val="007D7EF6"/>
    <w:rsid w:val="007D7F68"/>
    <w:rsid w:val="007D7FAD"/>
    <w:rsid w:val="007D7FB9"/>
    <w:rsid w:val="007D7FD5"/>
    <w:rsid w:val="007D7FF0"/>
    <w:rsid w:val="007E000A"/>
    <w:rsid w:val="007E00A6"/>
    <w:rsid w:val="007E015F"/>
    <w:rsid w:val="007E01F0"/>
    <w:rsid w:val="007E0260"/>
    <w:rsid w:val="007E02EE"/>
    <w:rsid w:val="007E02FF"/>
    <w:rsid w:val="007E0317"/>
    <w:rsid w:val="007E03A5"/>
    <w:rsid w:val="007E0411"/>
    <w:rsid w:val="007E044A"/>
    <w:rsid w:val="007E04C7"/>
    <w:rsid w:val="007E051D"/>
    <w:rsid w:val="007E0548"/>
    <w:rsid w:val="007E0568"/>
    <w:rsid w:val="007E05C3"/>
    <w:rsid w:val="007E05D8"/>
    <w:rsid w:val="007E05EF"/>
    <w:rsid w:val="007E0626"/>
    <w:rsid w:val="007E068C"/>
    <w:rsid w:val="007E06A9"/>
    <w:rsid w:val="007E06BE"/>
    <w:rsid w:val="007E06C3"/>
    <w:rsid w:val="007E075B"/>
    <w:rsid w:val="007E08A4"/>
    <w:rsid w:val="007E08B5"/>
    <w:rsid w:val="007E08CA"/>
    <w:rsid w:val="007E0916"/>
    <w:rsid w:val="007E091B"/>
    <w:rsid w:val="007E0927"/>
    <w:rsid w:val="007E0953"/>
    <w:rsid w:val="007E0957"/>
    <w:rsid w:val="007E0967"/>
    <w:rsid w:val="007E09E6"/>
    <w:rsid w:val="007E0A03"/>
    <w:rsid w:val="007E0A64"/>
    <w:rsid w:val="007E0AFD"/>
    <w:rsid w:val="007E0B28"/>
    <w:rsid w:val="007E0B32"/>
    <w:rsid w:val="007E0B42"/>
    <w:rsid w:val="007E0B75"/>
    <w:rsid w:val="007E0BB8"/>
    <w:rsid w:val="007E0C99"/>
    <w:rsid w:val="007E0CB9"/>
    <w:rsid w:val="007E0CC3"/>
    <w:rsid w:val="007E0D43"/>
    <w:rsid w:val="007E0D5C"/>
    <w:rsid w:val="007E0DA8"/>
    <w:rsid w:val="007E0DB2"/>
    <w:rsid w:val="007E0DF2"/>
    <w:rsid w:val="007E0E1B"/>
    <w:rsid w:val="007E0E38"/>
    <w:rsid w:val="007E0E5A"/>
    <w:rsid w:val="007E0E5F"/>
    <w:rsid w:val="007E0E67"/>
    <w:rsid w:val="007E0E77"/>
    <w:rsid w:val="007E0E9F"/>
    <w:rsid w:val="007E0EB1"/>
    <w:rsid w:val="007E0EC6"/>
    <w:rsid w:val="007E0EEF"/>
    <w:rsid w:val="007E0F29"/>
    <w:rsid w:val="007E0F52"/>
    <w:rsid w:val="007E0F8A"/>
    <w:rsid w:val="007E0F97"/>
    <w:rsid w:val="007E0FAD"/>
    <w:rsid w:val="007E0FEA"/>
    <w:rsid w:val="007E1013"/>
    <w:rsid w:val="007E103A"/>
    <w:rsid w:val="007E1073"/>
    <w:rsid w:val="007E108D"/>
    <w:rsid w:val="007E10C7"/>
    <w:rsid w:val="007E11A6"/>
    <w:rsid w:val="007E122C"/>
    <w:rsid w:val="007E1261"/>
    <w:rsid w:val="007E12E2"/>
    <w:rsid w:val="007E1333"/>
    <w:rsid w:val="007E1372"/>
    <w:rsid w:val="007E1449"/>
    <w:rsid w:val="007E1479"/>
    <w:rsid w:val="007E14BE"/>
    <w:rsid w:val="007E1520"/>
    <w:rsid w:val="007E1554"/>
    <w:rsid w:val="007E1587"/>
    <w:rsid w:val="007E15EC"/>
    <w:rsid w:val="007E16A6"/>
    <w:rsid w:val="007E16A7"/>
    <w:rsid w:val="007E16E5"/>
    <w:rsid w:val="007E16F8"/>
    <w:rsid w:val="007E172A"/>
    <w:rsid w:val="007E17B6"/>
    <w:rsid w:val="007E17B9"/>
    <w:rsid w:val="007E17DE"/>
    <w:rsid w:val="007E180A"/>
    <w:rsid w:val="007E181F"/>
    <w:rsid w:val="007E182D"/>
    <w:rsid w:val="007E183C"/>
    <w:rsid w:val="007E1898"/>
    <w:rsid w:val="007E189E"/>
    <w:rsid w:val="007E18C7"/>
    <w:rsid w:val="007E18F6"/>
    <w:rsid w:val="007E1963"/>
    <w:rsid w:val="007E1969"/>
    <w:rsid w:val="007E1985"/>
    <w:rsid w:val="007E19DE"/>
    <w:rsid w:val="007E1A04"/>
    <w:rsid w:val="007E1A0B"/>
    <w:rsid w:val="007E1A3A"/>
    <w:rsid w:val="007E1A4A"/>
    <w:rsid w:val="007E1A6B"/>
    <w:rsid w:val="007E1AB6"/>
    <w:rsid w:val="007E1B4A"/>
    <w:rsid w:val="007E1BB1"/>
    <w:rsid w:val="007E1BD1"/>
    <w:rsid w:val="007E1C9B"/>
    <w:rsid w:val="007E1D48"/>
    <w:rsid w:val="007E1D94"/>
    <w:rsid w:val="007E1DA4"/>
    <w:rsid w:val="007E1DC2"/>
    <w:rsid w:val="007E1DC7"/>
    <w:rsid w:val="007E1E0B"/>
    <w:rsid w:val="007E1E3E"/>
    <w:rsid w:val="007E1E52"/>
    <w:rsid w:val="007E1E9C"/>
    <w:rsid w:val="007E1F3A"/>
    <w:rsid w:val="007E1F97"/>
    <w:rsid w:val="007E1F98"/>
    <w:rsid w:val="007E1FE6"/>
    <w:rsid w:val="007E1FFB"/>
    <w:rsid w:val="007E2026"/>
    <w:rsid w:val="007E2033"/>
    <w:rsid w:val="007E2058"/>
    <w:rsid w:val="007E20B6"/>
    <w:rsid w:val="007E20BB"/>
    <w:rsid w:val="007E2109"/>
    <w:rsid w:val="007E214D"/>
    <w:rsid w:val="007E21CA"/>
    <w:rsid w:val="007E2208"/>
    <w:rsid w:val="007E225B"/>
    <w:rsid w:val="007E22EC"/>
    <w:rsid w:val="007E2309"/>
    <w:rsid w:val="007E2336"/>
    <w:rsid w:val="007E23EB"/>
    <w:rsid w:val="007E23FA"/>
    <w:rsid w:val="007E241F"/>
    <w:rsid w:val="007E2492"/>
    <w:rsid w:val="007E24A6"/>
    <w:rsid w:val="007E24B4"/>
    <w:rsid w:val="007E252B"/>
    <w:rsid w:val="007E254A"/>
    <w:rsid w:val="007E2588"/>
    <w:rsid w:val="007E25AA"/>
    <w:rsid w:val="007E264E"/>
    <w:rsid w:val="007E269A"/>
    <w:rsid w:val="007E2702"/>
    <w:rsid w:val="007E272E"/>
    <w:rsid w:val="007E2778"/>
    <w:rsid w:val="007E27DD"/>
    <w:rsid w:val="007E280E"/>
    <w:rsid w:val="007E2819"/>
    <w:rsid w:val="007E2841"/>
    <w:rsid w:val="007E28B9"/>
    <w:rsid w:val="007E28EE"/>
    <w:rsid w:val="007E2908"/>
    <w:rsid w:val="007E292B"/>
    <w:rsid w:val="007E29DF"/>
    <w:rsid w:val="007E2A2B"/>
    <w:rsid w:val="007E2A5D"/>
    <w:rsid w:val="007E2ACE"/>
    <w:rsid w:val="007E2AD6"/>
    <w:rsid w:val="007E2ADC"/>
    <w:rsid w:val="007E2AE2"/>
    <w:rsid w:val="007E2B74"/>
    <w:rsid w:val="007E2B83"/>
    <w:rsid w:val="007E2BE1"/>
    <w:rsid w:val="007E2C4C"/>
    <w:rsid w:val="007E2C67"/>
    <w:rsid w:val="007E2C89"/>
    <w:rsid w:val="007E2CCE"/>
    <w:rsid w:val="007E2D2F"/>
    <w:rsid w:val="007E2D3A"/>
    <w:rsid w:val="007E2D5B"/>
    <w:rsid w:val="007E2DDA"/>
    <w:rsid w:val="007E2E0A"/>
    <w:rsid w:val="007E2E1D"/>
    <w:rsid w:val="007E2E78"/>
    <w:rsid w:val="007E2EB7"/>
    <w:rsid w:val="007E2F21"/>
    <w:rsid w:val="007E2F24"/>
    <w:rsid w:val="007E303E"/>
    <w:rsid w:val="007E30BE"/>
    <w:rsid w:val="007E3188"/>
    <w:rsid w:val="007E31C4"/>
    <w:rsid w:val="007E31DD"/>
    <w:rsid w:val="007E31FF"/>
    <w:rsid w:val="007E320A"/>
    <w:rsid w:val="007E32D6"/>
    <w:rsid w:val="007E32F3"/>
    <w:rsid w:val="007E3300"/>
    <w:rsid w:val="007E3321"/>
    <w:rsid w:val="007E3354"/>
    <w:rsid w:val="007E3365"/>
    <w:rsid w:val="007E33CF"/>
    <w:rsid w:val="007E33D0"/>
    <w:rsid w:val="007E3414"/>
    <w:rsid w:val="007E341E"/>
    <w:rsid w:val="007E3468"/>
    <w:rsid w:val="007E3485"/>
    <w:rsid w:val="007E35C5"/>
    <w:rsid w:val="007E35C6"/>
    <w:rsid w:val="007E35D4"/>
    <w:rsid w:val="007E3657"/>
    <w:rsid w:val="007E3662"/>
    <w:rsid w:val="007E36C4"/>
    <w:rsid w:val="007E36EF"/>
    <w:rsid w:val="007E36FC"/>
    <w:rsid w:val="007E3719"/>
    <w:rsid w:val="007E37C4"/>
    <w:rsid w:val="007E381F"/>
    <w:rsid w:val="007E3826"/>
    <w:rsid w:val="007E38A6"/>
    <w:rsid w:val="007E3900"/>
    <w:rsid w:val="007E3975"/>
    <w:rsid w:val="007E39A3"/>
    <w:rsid w:val="007E39B1"/>
    <w:rsid w:val="007E39D5"/>
    <w:rsid w:val="007E3A28"/>
    <w:rsid w:val="007E3A4A"/>
    <w:rsid w:val="007E3A9D"/>
    <w:rsid w:val="007E3AA7"/>
    <w:rsid w:val="007E3AE1"/>
    <w:rsid w:val="007E3AFF"/>
    <w:rsid w:val="007E3B05"/>
    <w:rsid w:val="007E3B75"/>
    <w:rsid w:val="007E3B7E"/>
    <w:rsid w:val="007E3B9F"/>
    <w:rsid w:val="007E3BAF"/>
    <w:rsid w:val="007E3C6B"/>
    <w:rsid w:val="007E3C78"/>
    <w:rsid w:val="007E3CB9"/>
    <w:rsid w:val="007E3CBA"/>
    <w:rsid w:val="007E3CF1"/>
    <w:rsid w:val="007E3D47"/>
    <w:rsid w:val="007E3DF5"/>
    <w:rsid w:val="007E3E73"/>
    <w:rsid w:val="007E3E8A"/>
    <w:rsid w:val="007E3E92"/>
    <w:rsid w:val="007E3EB5"/>
    <w:rsid w:val="007E3F28"/>
    <w:rsid w:val="007E4011"/>
    <w:rsid w:val="007E4074"/>
    <w:rsid w:val="007E40ED"/>
    <w:rsid w:val="007E40F7"/>
    <w:rsid w:val="007E4100"/>
    <w:rsid w:val="007E416C"/>
    <w:rsid w:val="007E4196"/>
    <w:rsid w:val="007E424F"/>
    <w:rsid w:val="007E42E5"/>
    <w:rsid w:val="007E42FA"/>
    <w:rsid w:val="007E4318"/>
    <w:rsid w:val="007E4346"/>
    <w:rsid w:val="007E4414"/>
    <w:rsid w:val="007E44AD"/>
    <w:rsid w:val="007E4568"/>
    <w:rsid w:val="007E45F7"/>
    <w:rsid w:val="007E4629"/>
    <w:rsid w:val="007E463D"/>
    <w:rsid w:val="007E46EE"/>
    <w:rsid w:val="007E4739"/>
    <w:rsid w:val="007E4747"/>
    <w:rsid w:val="007E47B1"/>
    <w:rsid w:val="007E47CD"/>
    <w:rsid w:val="007E47E4"/>
    <w:rsid w:val="007E482A"/>
    <w:rsid w:val="007E483D"/>
    <w:rsid w:val="007E4847"/>
    <w:rsid w:val="007E486C"/>
    <w:rsid w:val="007E48CD"/>
    <w:rsid w:val="007E48DE"/>
    <w:rsid w:val="007E48EB"/>
    <w:rsid w:val="007E4901"/>
    <w:rsid w:val="007E4973"/>
    <w:rsid w:val="007E49DA"/>
    <w:rsid w:val="007E4A18"/>
    <w:rsid w:val="007E4A76"/>
    <w:rsid w:val="007E4AE7"/>
    <w:rsid w:val="007E4B10"/>
    <w:rsid w:val="007E4B7B"/>
    <w:rsid w:val="007E4B9C"/>
    <w:rsid w:val="007E4BAA"/>
    <w:rsid w:val="007E4C27"/>
    <w:rsid w:val="007E4C32"/>
    <w:rsid w:val="007E4C76"/>
    <w:rsid w:val="007E4C7D"/>
    <w:rsid w:val="007E4CCF"/>
    <w:rsid w:val="007E4D4E"/>
    <w:rsid w:val="007E4D7C"/>
    <w:rsid w:val="007E4DB8"/>
    <w:rsid w:val="007E4DCB"/>
    <w:rsid w:val="007E4DE3"/>
    <w:rsid w:val="007E4DF8"/>
    <w:rsid w:val="007E4E23"/>
    <w:rsid w:val="007E4E26"/>
    <w:rsid w:val="007E4E81"/>
    <w:rsid w:val="007E4EBF"/>
    <w:rsid w:val="007E4EC5"/>
    <w:rsid w:val="007E4EF9"/>
    <w:rsid w:val="007E4F0D"/>
    <w:rsid w:val="007E4F7B"/>
    <w:rsid w:val="007E4F87"/>
    <w:rsid w:val="007E4FEB"/>
    <w:rsid w:val="007E5016"/>
    <w:rsid w:val="007E502C"/>
    <w:rsid w:val="007E503E"/>
    <w:rsid w:val="007E507E"/>
    <w:rsid w:val="007E50C8"/>
    <w:rsid w:val="007E5160"/>
    <w:rsid w:val="007E5165"/>
    <w:rsid w:val="007E5285"/>
    <w:rsid w:val="007E52AB"/>
    <w:rsid w:val="007E52C5"/>
    <w:rsid w:val="007E52E7"/>
    <w:rsid w:val="007E532A"/>
    <w:rsid w:val="007E533E"/>
    <w:rsid w:val="007E5340"/>
    <w:rsid w:val="007E53B7"/>
    <w:rsid w:val="007E53DA"/>
    <w:rsid w:val="007E541D"/>
    <w:rsid w:val="007E547C"/>
    <w:rsid w:val="007E54ED"/>
    <w:rsid w:val="007E5518"/>
    <w:rsid w:val="007E5554"/>
    <w:rsid w:val="007E55DB"/>
    <w:rsid w:val="007E5653"/>
    <w:rsid w:val="007E5672"/>
    <w:rsid w:val="007E569F"/>
    <w:rsid w:val="007E56B8"/>
    <w:rsid w:val="007E56E9"/>
    <w:rsid w:val="007E5732"/>
    <w:rsid w:val="007E5758"/>
    <w:rsid w:val="007E57A7"/>
    <w:rsid w:val="007E57AF"/>
    <w:rsid w:val="007E57B6"/>
    <w:rsid w:val="007E57CF"/>
    <w:rsid w:val="007E58C7"/>
    <w:rsid w:val="007E595B"/>
    <w:rsid w:val="007E595D"/>
    <w:rsid w:val="007E596A"/>
    <w:rsid w:val="007E59A7"/>
    <w:rsid w:val="007E59B9"/>
    <w:rsid w:val="007E59C9"/>
    <w:rsid w:val="007E59F4"/>
    <w:rsid w:val="007E5AF0"/>
    <w:rsid w:val="007E5AFF"/>
    <w:rsid w:val="007E5B60"/>
    <w:rsid w:val="007E5BB0"/>
    <w:rsid w:val="007E5BC4"/>
    <w:rsid w:val="007E5C26"/>
    <w:rsid w:val="007E5C34"/>
    <w:rsid w:val="007E5C68"/>
    <w:rsid w:val="007E5C74"/>
    <w:rsid w:val="007E5C96"/>
    <w:rsid w:val="007E5D29"/>
    <w:rsid w:val="007E5D64"/>
    <w:rsid w:val="007E5DBD"/>
    <w:rsid w:val="007E5DCF"/>
    <w:rsid w:val="007E5DE5"/>
    <w:rsid w:val="007E5E23"/>
    <w:rsid w:val="007E5EE8"/>
    <w:rsid w:val="007E5F6E"/>
    <w:rsid w:val="007E60DB"/>
    <w:rsid w:val="007E60E1"/>
    <w:rsid w:val="007E60EB"/>
    <w:rsid w:val="007E6103"/>
    <w:rsid w:val="007E6124"/>
    <w:rsid w:val="007E6167"/>
    <w:rsid w:val="007E61ED"/>
    <w:rsid w:val="007E6229"/>
    <w:rsid w:val="007E6230"/>
    <w:rsid w:val="007E6289"/>
    <w:rsid w:val="007E628D"/>
    <w:rsid w:val="007E630E"/>
    <w:rsid w:val="007E6398"/>
    <w:rsid w:val="007E6403"/>
    <w:rsid w:val="007E642B"/>
    <w:rsid w:val="007E64EA"/>
    <w:rsid w:val="007E655D"/>
    <w:rsid w:val="007E663A"/>
    <w:rsid w:val="007E664C"/>
    <w:rsid w:val="007E664E"/>
    <w:rsid w:val="007E6681"/>
    <w:rsid w:val="007E66BE"/>
    <w:rsid w:val="007E6706"/>
    <w:rsid w:val="007E6721"/>
    <w:rsid w:val="007E6776"/>
    <w:rsid w:val="007E6809"/>
    <w:rsid w:val="007E6823"/>
    <w:rsid w:val="007E683A"/>
    <w:rsid w:val="007E683E"/>
    <w:rsid w:val="007E685D"/>
    <w:rsid w:val="007E6889"/>
    <w:rsid w:val="007E68C4"/>
    <w:rsid w:val="007E6931"/>
    <w:rsid w:val="007E6963"/>
    <w:rsid w:val="007E6965"/>
    <w:rsid w:val="007E6976"/>
    <w:rsid w:val="007E69C1"/>
    <w:rsid w:val="007E6A60"/>
    <w:rsid w:val="007E6A64"/>
    <w:rsid w:val="007E6AA4"/>
    <w:rsid w:val="007E6AAF"/>
    <w:rsid w:val="007E6AC0"/>
    <w:rsid w:val="007E6ACE"/>
    <w:rsid w:val="007E6AEB"/>
    <w:rsid w:val="007E6B07"/>
    <w:rsid w:val="007E6B09"/>
    <w:rsid w:val="007E6B3F"/>
    <w:rsid w:val="007E6B99"/>
    <w:rsid w:val="007E6BD3"/>
    <w:rsid w:val="007E6BD4"/>
    <w:rsid w:val="007E6C5B"/>
    <w:rsid w:val="007E6CDE"/>
    <w:rsid w:val="007E6D14"/>
    <w:rsid w:val="007E6D40"/>
    <w:rsid w:val="007E6D66"/>
    <w:rsid w:val="007E6D69"/>
    <w:rsid w:val="007E6D76"/>
    <w:rsid w:val="007E6D7F"/>
    <w:rsid w:val="007E6DB4"/>
    <w:rsid w:val="007E6DEC"/>
    <w:rsid w:val="007E6DF7"/>
    <w:rsid w:val="007E6E28"/>
    <w:rsid w:val="007E6E8D"/>
    <w:rsid w:val="007E6E91"/>
    <w:rsid w:val="007E6E92"/>
    <w:rsid w:val="007E6EC9"/>
    <w:rsid w:val="007E6EE7"/>
    <w:rsid w:val="007E6F41"/>
    <w:rsid w:val="007E6F58"/>
    <w:rsid w:val="007E6F5E"/>
    <w:rsid w:val="007E6F76"/>
    <w:rsid w:val="007E6F9F"/>
    <w:rsid w:val="007E6FA9"/>
    <w:rsid w:val="007E6FF9"/>
    <w:rsid w:val="007E7000"/>
    <w:rsid w:val="007E7041"/>
    <w:rsid w:val="007E705B"/>
    <w:rsid w:val="007E709C"/>
    <w:rsid w:val="007E7156"/>
    <w:rsid w:val="007E71D3"/>
    <w:rsid w:val="007E7222"/>
    <w:rsid w:val="007E7241"/>
    <w:rsid w:val="007E725E"/>
    <w:rsid w:val="007E7293"/>
    <w:rsid w:val="007E7299"/>
    <w:rsid w:val="007E732B"/>
    <w:rsid w:val="007E733B"/>
    <w:rsid w:val="007E736B"/>
    <w:rsid w:val="007E736C"/>
    <w:rsid w:val="007E73B7"/>
    <w:rsid w:val="007E73E4"/>
    <w:rsid w:val="007E73FA"/>
    <w:rsid w:val="007E73FC"/>
    <w:rsid w:val="007E743D"/>
    <w:rsid w:val="007E7457"/>
    <w:rsid w:val="007E745B"/>
    <w:rsid w:val="007E7473"/>
    <w:rsid w:val="007E74CF"/>
    <w:rsid w:val="007E74D7"/>
    <w:rsid w:val="007E74DC"/>
    <w:rsid w:val="007E74E8"/>
    <w:rsid w:val="007E75C4"/>
    <w:rsid w:val="007E75CA"/>
    <w:rsid w:val="007E75F7"/>
    <w:rsid w:val="007E762E"/>
    <w:rsid w:val="007E764E"/>
    <w:rsid w:val="007E768A"/>
    <w:rsid w:val="007E7691"/>
    <w:rsid w:val="007E76BC"/>
    <w:rsid w:val="007E76E0"/>
    <w:rsid w:val="007E76F2"/>
    <w:rsid w:val="007E774A"/>
    <w:rsid w:val="007E7783"/>
    <w:rsid w:val="007E778C"/>
    <w:rsid w:val="007E77C7"/>
    <w:rsid w:val="007E77E4"/>
    <w:rsid w:val="007E7850"/>
    <w:rsid w:val="007E78C1"/>
    <w:rsid w:val="007E78F7"/>
    <w:rsid w:val="007E795D"/>
    <w:rsid w:val="007E7989"/>
    <w:rsid w:val="007E79D0"/>
    <w:rsid w:val="007E7A1A"/>
    <w:rsid w:val="007E7A69"/>
    <w:rsid w:val="007E7A83"/>
    <w:rsid w:val="007E7AA6"/>
    <w:rsid w:val="007E7AEE"/>
    <w:rsid w:val="007E7AFC"/>
    <w:rsid w:val="007E7B06"/>
    <w:rsid w:val="007E7B0E"/>
    <w:rsid w:val="007E7B49"/>
    <w:rsid w:val="007E7B6A"/>
    <w:rsid w:val="007E7B7B"/>
    <w:rsid w:val="007E7BB1"/>
    <w:rsid w:val="007E7C08"/>
    <w:rsid w:val="007E7C17"/>
    <w:rsid w:val="007E7C53"/>
    <w:rsid w:val="007E7C55"/>
    <w:rsid w:val="007E7C65"/>
    <w:rsid w:val="007E7C78"/>
    <w:rsid w:val="007E7C7E"/>
    <w:rsid w:val="007E7C9C"/>
    <w:rsid w:val="007E7D07"/>
    <w:rsid w:val="007E7D8D"/>
    <w:rsid w:val="007E7DDD"/>
    <w:rsid w:val="007E7E2B"/>
    <w:rsid w:val="007E7E4E"/>
    <w:rsid w:val="007E7E81"/>
    <w:rsid w:val="007E7F26"/>
    <w:rsid w:val="007E7FF4"/>
    <w:rsid w:val="007F0041"/>
    <w:rsid w:val="007F0057"/>
    <w:rsid w:val="007F0061"/>
    <w:rsid w:val="007F00B6"/>
    <w:rsid w:val="007F00E5"/>
    <w:rsid w:val="007F0105"/>
    <w:rsid w:val="007F015E"/>
    <w:rsid w:val="007F01CE"/>
    <w:rsid w:val="007F01FF"/>
    <w:rsid w:val="007F025F"/>
    <w:rsid w:val="007F0269"/>
    <w:rsid w:val="007F0270"/>
    <w:rsid w:val="007F027E"/>
    <w:rsid w:val="007F0289"/>
    <w:rsid w:val="007F02A3"/>
    <w:rsid w:val="007F02A9"/>
    <w:rsid w:val="007F02AD"/>
    <w:rsid w:val="007F02CF"/>
    <w:rsid w:val="007F030F"/>
    <w:rsid w:val="007F0344"/>
    <w:rsid w:val="007F034A"/>
    <w:rsid w:val="007F0366"/>
    <w:rsid w:val="007F036C"/>
    <w:rsid w:val="007F03F7"/>
    <w:rsid w:val="007F0419"/>
    <w:rsid w:val="007F041B"/>
    <w:rsid w:val="007F0422"/>
    <w:rsid w:val="007F0423"/>
    <w:rsid w:val="007F043F"/>
    <w:rsid w:val="007F0488"/>
    <w:rsid w:val="007F0496"/>
    <w:rsid w:val="007F051D"/>
    <w:rsid w:val="007F0548"/>
    <w:rsid w:val="007F060B"/>
    <w:rsid w:val="007F0613"/>
    <w:rsid w:val="007F0649"/>
    <w:rsid w:val="007F069B"/>
    <w:rsid w:val="007F06B3"/>
    <w:rsid w:val="007F06CF"/>
    <w:rsid w:val="007F06DC"/>
    <w:rsid w:val="007F070C"/>
    <w:rsid w:val="007F079E"/>
    <w:rsid w:val="007F080E"/>
    <w:rsid w:val="007F0816"/>
    <w:rsid w:val="007F0849"/>
    <w:rsid w:val="007F0856"/>
    <w:rsid w:val="007F088C"/>
    <w:rsid w:val="007F08D3"/>
    <w:rsid w:val="007F08ED"/>
    <w:rsid w:val="007F0951"/>
    <w:rsid w:val="007F098D"/>
    <w:rsid w:val="007F0A1D"/>
    <w:rsid w:val="007F0A6C"/>
    <w:rsid w:val="007F0A7A"/>
    <w:rsid w:val="007F0A82"/>
    <w:rsid w:val="007F0A96"/>
    <w:rsid w:val="007F0A9E"/>
    <w:rsid w:val="007F0AF9"/>
    <w:rsid w:val="007F0AFB"/>
    <w:rsid w:val="007F0B1D"/>
    <w:rsid w:val="007F0B4F"/>
    <w:rsid w:val="007F0BB2"/>
    <w:rsid w:val="007F0BBE"/>
    <w:rsid w:val="007F0BC6"/>
    <w:rsid w:val="007F0C51"/>
    <w:rsid w:val="007F0CC3"/>
    <w:rsid w:val="007F0CD0"/>
    <w:rsid w:val="007F0CE2"/>
    <w:rsid w:val="007F0CF1"/>
    <w:rsid w:val="007F0D1C"/>
    <w:rsid w:val="007F0D2E"/>
    <w:rsid w:val="007F0D30"/>
    <w:rsid w:val="007F0D31"/>
    <w:rsid w:val="007F0D9E"/>
    <w:rsid w:val="007F0DA8"/>
    <w:rsid w:val="007F0DD0"/>
    <w:rsid w:val="007F0DD7"/>
    <w:rsid w:val="007F0E1B"/>
    <w:rsid w:val="007F0E34"/>
    <w:rsid w:val="007F0E52"/>
    <w:rsid w:val="007F0E86"/>
    <w:rsid w:val="007F0EC6"/>
    <w:rsid w:val="007F0EDB"/>
    <w:rsid w:val="007F0EEE"/>
    <w:rsid w:val="007F0F2B"/>
    <w:rsid w:val="007F0F38"/>
    <w:rsid w:val="007F0FE1"/>
    <w:rsid w:val="007F1018"/>
    <w:rsid w:val="007F1079"/>
    <w:rsid w:val="007F109D"/>
    <w:rsid w:val="007F10AD"/>
    <w:rsid w:val="007F10E6"/>
    <w:rsid w:val="007F1129"/>
    <w:rsid w:val="007F1195"/>
    <w:rsid w:val="007F11BA"/>
    <w:rsid w:val="007F12E6"/>
    <w:rsid w:val="007F1322"/>
    <w:rsid w:val="007F1421"/>
    <w:rsid w:val="007F1422"/>
    <w:rsid w:val="007F1424"/>
    <w:rsid w:val="007F1580"/>
    <w:rsid w:val="007F15BC"/>
    <w:rsid w:val="007F16AB"/>
    <w:rsid w:val="007F16C5"/>
    <w:rsid w:val="007F16FC"/>
    <w:rsid w:val="007F1724"/>
    <w:rsid w:val="007F1769"/>
    <w:rsid w:val="007F179D"/>
    <w:rsid w:val="007F17C9"/>
    <w:rsid w:val="007F1802"/>
    <w:rsid w:val="007F1844"/>
    <w:rsid w:val="007F1895"/>
    <w:rsid w:val="007F18A9"/>
    <w:rsid w:val="007F18AD"/>
    <w:rsid w:val="007F18F3"/>
    <w:rsid w:val="007F1942"/>
    <w:rsid w:val="007F1950"/>
    <w:rsid w:val="007F1952"/>
    <w:rsid w:val="007F1977"/>
    <w:rsid w:val="007F1984"/>
    <w:rsid w:val="007F19EA"/>
    <w:rsid w:val="007F19F9"/>
    <w:rsid w:val="007F1A11"/>
    <w:rsid w:val="007F1A1D"/>
    <w:rsid w:val="007F1A21"/>
    <w:rsid w:val="007F1A99"/>
    <w:rsid w:val="007F1ABD"/>
    <w:rsid w:val="007F1ACE"/>
    <w:rsid w:val="007F1B0F"/>
    <w:rsid w:val="007F1C62"/>
    <w:rsid w:val="007F1C8D"/>
    <w:rsid w:val="007F1C92"/>
    <w:rsid w:val="007F1C9B"/>
    <w:rsid w:val="007F1CB8"/>
    <w:rsid w:val="007F1CCB"/>
    <w:rsid w:val="007F1CF1"/>
    <w:rsid w:val="007F1D04"/>
    <w:rsid w:val="007F1D1D"/>
    <w:rsid w:val="007F1DCE"/>
    <w:rsid w:val="007F1E2E"/>
    <w:rsid w:val="007F1E57"/>
    <w:rsid w:val="007F1EBF"/>
    <w:rsid w:val="007F1EEA"/>
    <w:rsid w:val="007F1EF5"/>
    <w:rsid w:val="007F2007"/>
    <w:rsid w:val="007F2030"/>
    <w:rsid w:val="007F209E"/>
    <w:rsid w:val="007F20D0"/>
    <w:rsid w:val="007F20D8"/>
    <w:rsid w:val="007F20EB"/>
    <w:rsid w:val="007F20F6"/>
    <w:rsid w:val="007F213B"/>
    <w:rsid w:val="007F216F"/>
    <w:rsid w:val="007F21A3"/>
    <w:rsid w:val="007F220B"/>
    <w:rsid w:val="007F2215"/>
    <w:rsid w:val="007F2222"/>
    <w:rsid w:val="007F2290"/>
    <w:rsid w:val="007F22CD"/>
    <w:rsid w:val="007F22FD"/>
    <w:rsid w:val="007F2304"/>
    <w:rsid w:val="007F23BB"/>
    <w:rsid w:val="007F23FF"/>
    <w:rsid w:val="007F245F"/>
    <w:rsid w:val="007F2496"/>
    <w:rsid w:val="007F24A3"/>
    <w:rsid w:val="007F24D1"/>
    <w:rsid w:val="007F24DD"/>
    <w:rsid w:val="007F2501"/>
    <w:rsid w:val="007F2543"/>
    <w:rsid w:val="007F2558"/>
    <w:rsid w:val="007F25DD"/>
    <w:rsid w:val="007F25E4"/>
    <w:rsid w:val="007F25E7"/>
    <w:rsid w:val="007F262C"/>
    <w:rsid w:val="007F263F"/>
    <w:rsid w:val="007F2650"/>
    <w:rsid w:val="007F2655"/>
    <w:rsid w:val="007F276C"/>
    <w:rsid w:val="007F277C"/>
    <w:rsid w:val="007F2781"/>
    <w:rsid w:val="007F2795"/>
    <w:rsid w:val="007F27FA"/>
    <w:rsid w:val="007F2854"/>
    <w:rsid w:val="007F2855"/>
    <w:rsid w:val="007F2870"/>
    <w:rsid w:val="007F289F"/>
    <w:rsid w:val="007F28A0"/>
    <w:rsid w:val="007F28AD"/>
    <w:rsid w:val="007F28BA"/>
    <w:rsid w:val="007F2929"/>
    <w:rsid w:val="007F2967"/>
    <w:rsid w:val="007F296E"/>
    <w:rsid w:val="007F296F"/>
    <w:rsid w:val="007F2A18"/>
    <w:rsid w:val="007F2A96"/>
    <w:rsid w:val="007F2AA3"/>
    <w:rsid w:val="007F2AC8"/>
    <w:rsid w:val="007F2AC9"/>
    <w:rsid w:val="007F2AF1"/>
    <w:rsid w:val="007F2B00"/>
    <w:rsid w:val="007F2B22"/>
    <w:rsid w:val="007F2BB2"/>
    <w:rsid w:val="007F2C47"/>
    <w:rsid w:val="007F2C77"/>
    <w:rsid w:val="007F2C82"/>
    <w:rsid w:val="007F2CE9"/>
    <w:rsid w:val="007F2D0E"/>
    <w:rsid w:val="007F2DCD"/>
    <w:rsid w:val="007F2E86"/>
    <w:rsid w:val="007F2EA0"/>
    <w:rsid w:val="007F2EC1"/>
    <w:rsid w:val="007F2FB6"/>
    <w:rsid w:val="007F301A"/>
    <w:rsid w:val="007F3092"/>
    <w:rsid w:val="007F3129"/>
    <w:rsid w:val="007F312C"/>
    <w:rsid w:val="007F3133"/>
    <w:rsid w:val="007F31B2"/>
    <w:rsid w:val="007F31F6"/>
    <w:rsid w:val="007F3213"/>
    <w:rsid w:val="007F3225"/>
    <w:rsid w:val="007F32D4"/>
    <w:rsid w:val="007F3323"/>
    <w:rsid w:val="007F336E"/>
    <w:rsid w:val="007F33F0"/>
    <w:rsid w:val="007F347D"/>
    <w:rsid w:val="007F34A2"/>
    <w:rsid w:val="007F3598"/>
    <w:rsid w:val="007F35C3"/>
    <w:rsid w:val="007F35E1"/>
    <w:rsid w:val="007F3657"/>
    <w:rsid w:val="007F366F"/>
    <w:rsid w:val="007F371E"/>
    <w:rsid w:val="007F374F"/>
    <w:rsid w:val="007F376C"/>
    <w:rsid w:val="007F37C9"/>
    <w:rsid w:val="007F3836"/>
    <w:rsid w:val="007F3838"/>
    <w:rsid w:val="007F383A"/>
    <w:rsid w:val="007F3924"/>
    <w:rsid w:val="007F3927"/>
    <w:rsid w:val="007F3939"/>
    <w:rsid w:val="007F398D"/>
    <w:rsid w:val="007F39C4"/>
    <w:rsid w:val="007F39EA"/>
    <w:rsid w:val="007F3A0C"/>
    <w:rsid w:val="007F3A9F"/>
    <w:rsid w:val="007F3AFE"/>
    <w:rsid w:val="007F3B17"/>
    <w:rsid w:val="007F3C0A"/>
    <w:rsid w:val="007F3C4E"/>
    <w:rsid w:val="007F3C62"/>
    <w:rsid w:val="007F3C6B"/>
    <w:rsid w:val="007F3CBF"/>
    <w:rsid w:val="007F3D4E"/>
    <w:rsid w:val="007F3D57"/>
    <w:rsid w:val="007F3D81"/>
    <w:rsid w:val="007F3E05"/>
    <w:rsid w:val="007F3E4C"/>
    <w:rsid w:val="007F3E6E"/>
    <w:rsid w:val="007F3EC6"/>
    <w:rsid w:val="007F3F43"/>
    <w:rsid w:val="007F3F51"/>
    <w:rsid w:val="007F3F6E"/>
    <w:rsid w:val="007F3F70"/>
    <w:rsid w:val="007F3FF2"/>
    <w:rsid w:val="007F405E"/>
    <w:rsid w:val="007F40D1"/>
    <w:rsid w:val="007F4179"/>
    <w:rsid w:val="007F4185"/>
    <w:rsid w:val="007F4203"/>
    <w:rsid w:val="007F4234"/>
    <w:rsid w:val="007F423A"/>
    <w:rsid w:val="007F4256"/>
    <w:rsid w:val="007F42C4"/>
    <w:rsid w:val="007F4322"/>
    <w:rsid w:val="007F4338"/>
    <w:rsid w:val="007F4343"/>
    <w:rsid w:val="007F4357"/>
    <w:rsid w:val="007F437B"/>
    <w:rsid w:val="007F438E"/>
    <w:rsid w:val="007F445E"/>
    <w:rsid w:val="007F4484"/>
    <w:rsid w:val="007F454E"/>
    <w:rsid w:val="007F4561"/>
    <w:rsid w:val="007F45B1"/>
    <w:rsid w:val="007F45B6"/>
    <w:rsid w:val="007F4624"/>
    <w:rsid w:val="007F464B"/>
    <w:rsid w:val="007F466E"/>
    <w:rsid w:val="007F469B"/>
    <w:rsid w:val="007F46BD"/>
    <w:rsid w:val="007F47FD"/>
    <w:rsid w:val="007F4835"/>
    <w:rsid w:val="007F4861"/>
    <w:rsid w:val="007F4875"/>
    <w:rsid w:val="007F4892"/>
    <w:rsid w:val="007F48A5"/>
    <w:rsid w:val="007F48B0"/>
    <w:rsid w:val="007F48FE"/>
    <w:rsid w:val="007F4972"/>
    <w:rsid w:val="007F4999"/>
    <w:rsid w:val="007F499C"/>
    <w:rsid w:val="007F49DE"/>
    <w:rsid w:val="007F4A29"/>
    <w:rsid w:val="007F4A58"/>
    <w:rsid w:val="007F4A76"/>
    <w:rsid w:val="007F4ABC"/>
    <w:rsid w:val="007F4AEE"/>
    <w:rsid w:val="007F4B31"/>
    <w:rsid w:val="007F4B49"/>
    <w:rsid w:val="007F4B93"/>
    <w:rsid w:val="007F4BC4"/>
    <w:rsid w:val="007F4C6F"/>
    <w:rsid w:val="007F4D29"/>
    <w:rsid w:val="007F4D64"/>
    <w:rsid w:val="007F4D8A"/>
    <w:rsid w:val="007F4DAC"/>
    <w:rsid w:val="007F4E51"/>
    <w:rsid w:val="007F4E68"/>
    <w:rsid w:val="007F4E6D"/>
    <w:rsid w:val="007F4E93"/>
    <w:rsid w:val="007F4EA0"/>
    <w:rsid w:val="007F4EA7"/>
    <w:rsid w:val="007F4EB3"/>
    <w:rsid w:val="007F4EF5"/>
    <w:rsid w:val="007F4F06"/>
    <w:rsid w:val="007F4F35"/>
    <w:rsid w:val="007F4F78"/>
    <w:rsid w:val="007F4F79"/>
    <w:rsid w:val="007F4FA8"/>
    <w:rsid w:val="007F4FF7"/>
    <w:rsid w:val="007F5042"/>
    <w:rsid w:val="007F50A5"/>
    <w:rsid w:val="007F50D5"/>
    <w:rsid w:val="007F50F8"/>
    <w:rsid w:val="007F510F"/>
    <w:rsid w:val="007F5113"/>
    <w:rsid w:val="007F5166"/>
    <w:rsid w:val="007F5211"/>
    <w:rsid w:val="007F5219"/>
    <w:rsid w:val="007F531F"/>
    <w:rsid w:val="007F53AB"/>
    <w:rsid w:val="007F53B3"/>
    <w:rsid w:val="007F53BD"/>
    <w:rsid w:val="007F53C7"/>
    <w:rsid w:val="007F53D5"/>
    <w:rsid w:val="007F5427"/>
    <w:rsid w:val="007F54D1"/>
    <w:rsid w:val="007F551E"/>
    <w:rsid w:val="007F5523"/>
    <w:rsid w:val="007F555F"/>
    <w:rsid w:val="007F55A1"/>
    <w:rsid w:val="007F5617"/>
    <w:rsid w:val="007F562F"/>
    <w:rsid w:val="007F5639"/>
    <w:rsid w:val="007F5697"/>
    <w:rsid w:val="007F56BE"/>
    <w:rsid w:val="007F571B"/>
    <w:rsid w:val="007F5721"/>
    <w:rsid w:val="007F5727"/>
    <w:rsid w:val="007F577B"/>
    <w:rsid w:val="007F57EF"/>
    <w:rsid w:val="007F58BA"/>
    <w:rsid w:val="007F58C8"/>
    <w:rsid w:val="007F595E"/>
    <w:rsid w:val="007F5960"/>
    <w:rsid w:val="007F596C"/>
    <w:rsid w:val="007F5A4D"/>
    <w:rsid w:val="007F5A9F"/>
    <w:rsid w:val="007F5AEA"/>
    <w:rsid w:val="007F5AEB"/>
    <w:rsid w:val="007F5B46"/>
    <w:rsid w:val="007F5B4C"/>
    <w:rsid w:val="007F5B94"/>
    <w:rsid w:val="007F5B9B"/>
    <w:rsid w:val="007F5BC2"/>
    <w:rsid w:val="007F5C1B"/>
    <w:rsid w:val="007F5C1E"/>
    <w:rsid w:val="007F5C38"/>
    <w:rsid w:val="007F5C65"/>
    <w:rsid w:val="007F5C71"/>
    <w:rsid w:val="007F5CEC"/>
    <w:rsid w:val="007F5CF2"/>
    <w:rsid w:val="007F5D22"/>
    <w:rsid w:val="007F5DB3"/>
    <w:rsid w:val="007F5DC7"/>
    <w:rsid w:val="007F5E3B"/>
    <w:rsid w:val="007F5E99"/>
    <w:rsid w:val="007F5EC4"/>
    <w:rsid w:val="007F5EEA"/>
    <w:rsid w:val="007F5EFD"/>
    <w:rsid w:val="007F5EFE"/>
    <w:rsid w:val="007F5FA0"/>
    <w:rsid w:val="007F5FBC"/>
    <w:rsid w:val="007F5FE9"/>
    <w:rsid w:val="007F601B"/>
    <w:rsid w:val="007F605E"/>
    <w:rsid w:val="007F60B2"/>
    <w:rsid w:val="007F6147"/>
    <w:rsid w:val="007F6164"/>
    <w:rsid w:val="007F6196"/>
    <w:rsid w:val="007F61EF"/>
    <w:rsid w:val="007F6226"/>
    <w:rsid w:val="007F6250"/>
    <w:rsid w:val="007F62A3"/>
    <w:rsid w:val="007F6309"/>
    <w:rsid w:val="007F6316"/>
    <w:rsid w:val="007F6321"/>
    <w:rsid w:val="007F637D"/>
    <w:rsid w:val="007F63A7"/>
    <w:rsid w:val="007F641C"/>
    <w:rsid w:val="007F64E1"/>
    <w:rsid w:val="007F6550"/>
    <w:rsid w:val="007F6556"/>
    <w:rsid w:val="007F65E6"/>
    <w:rsid w:val="007F65EE"/>
    <w:rsid w:val="007F6603"/>
    <w:rsid w:val="007F6608"/>
    <w:rsid w:val="007F6686"/>
    <w:rsid w:val="007F66AA"/>
    <w:rsid w:val="007F66BA"/>
    <w:rsid w:val="007F66C3"/>
    <w:rsid w:val="007F6757"/>
    <w:rsid w:val="007F6833"/>
    <w:rsid w:val="007F6854"/>
    <w:rsid w:val="007F6A71"/>
    <w:rsid w:val="007F6AB0"/>
    <w:rsid w:val="007F6AB5"/>
    <w:rsid w:val="007F6AC2"/>
    <w:rsid w:val="007F6B11"/>
    <w:rsid w:val="007F6B1A"/>
    <w:rsid w:val="007F6C08"/>
    <w:rsid w:val="007F6C6F"/>
    <w:rsid w:val="007F6C7A"/>
    <w:rsid w:val="007F6C8A"/>
    <w:rsid w:val="007F6CAA"/>
    <w:rsid w:val="007F6CF5"/>
    <w:rsid w:val="007F6DFF"/>
    <w:rsid w:val="007F6E91"/>
    <w:rsid w:val="007F6F1B"/>
    <w:rsid w:val="007F6F52"/>
    <w:rsid w:val="007F6F76"/>
    <w:rsid w:val="007F6F9E"/>
    <w:rsid w:val="007F6FD1"/>
    <w:rsid w:val="007F6FFA"/>
    <w:rsid w:val="007F7038"/>
    <w:rsid w:val="007F7074"/>
    <w:rsid w:val="007F70A9"/>
    <w:rsid w:val="007F714E"/>
    <w:rsid w:val="007F71DA"/>
    <w:rsid w:val="007F71F6"/>
    <w:rsid w:val="007F720C"/>
    <w:rsid w:val="007F7217"/>
    <w:rsid w:val="007F72D9"/>
    <w:rsid w:val="007F72F3"/>
    <w:rsid w:val="007F7304"/>
    <w:rsid w:val="007F7322"/>
    <w:rsid w:val="007F7343"/>
    <w:rsid w:val="007F7368"/>
    <w:rsid w:val="007F7378"/>
    <w:rsid w:val="007F7380"/>
    <w:rsid w:val="007F73D4"/>
    <w:rsid w:val="007F73E8"/>
    <w:rsid w:val="007F74B8"/>
    <w:rsid w:val="007F74DA"/>
    <w:rsid w:val="007F7508"/>
    <w:rsid w:val="007F75E8"/>
    <w:rsid w:val="007F75EB"/>
    <w:rsid w:val="007F75ED"/>
    <w:rsid w:val="007F7602"/>
    <w:rsid w:val="007F762B"/>
    <w:rsid w:val="007F766E"/>
    <w:rsid w:val="007F766F"/>
    <w:rsid w:val="007F76EC"/>
    <w:rsid w:val="007F76F9"/>
    <w:rsid w:val="007F76FB"/>
    <w:rsid w:val="007F7754"/>
    <w:rsid w:val="007F7775"/>
    <w:rsid w:val="007F77D7"/>
    <w:rsid w:val="007F7883"/>
    <w:rsid w:val="007F794A"/>
    <w:rsid w:val="007F7952"/>
    <w:rsid w:val="007F7A22"/>
    <w:rsid w:val="007F7A58"/>
    <w:rsid w:val="007F7A59"/>
    <w:rsid w:val="007F7A5B"/>
    <w:rsid w:val="007F7AC4"/>
    <w:rsid w:val="007F7AE2"/>
    <w:rsid w:val="007F7AFE"/>
    <w:rsid w:val="007F7C2A"/>
    <w:rsid w:val="007F7C2E"/>
    <w:rsid w:val="007F7C33"/>
    <w:rsid w:val="007F7C53"/>
    <w:rsid w:val="007F7C90"/>
    <w:rsid w:val="007F7D3A"/>
    <w:rsid w:val="007F7D76"/>
    <w:rsid w:val="007F7DB8"/>
    <w:rsid w:val="007F7E83"/>
    <w:rsid w:val="007F7E84"/>
    <w:rsid w:val="007F7EC7"/>
    <w:rsid w:val="007F7EE3"/>
    <w:rsid w:val="007F7EEA"/>
    <w:rsid w:val="007F7EEF"/>
    <w:rsid w:val="007F7F35"/>
    <w:rsid w:val="007F7F6D"/>
    <w:rsid w:val="007F7FCF"/>
    <w:rsid w:val="007F7FFA"/>
    <w:rsid w:val="007F7FFE"/>
    <w:rsid w:val="00800088"/>
    <w:rsid w:val="0080009F"/>
    <w:rsid w:val="008000B2"/>
    <w:rsid w:val="008000D6"/>
    <w:rsid w:val="00800169"/>
    <w:rsid w:val="008001CB"/>
    <w:rsid w:val="00800205"/>
    <w:rsid w:val="00800243"/>
    <w:rsid w:val="0080027F"/>
    <w:rsid w:val="0080028E"/>
    <w:rsid w:val="00800296"/>
    <w:rsid w:val="008002A6"/>
    <w:rsid w:val="008002E1"/>
    <w:rsid w:val="0080032D"/>
    <w:rsid w:val="0080034E"/>
    <w:rsid w:val="00800358"/>
    <w:rsid w:val="008003C1"/>
    <w:rsid w:val="00800419"/>
    <w:rsid w:val="008004E6"/>
    <w:rsid w:val="00800538"/>
    <w:rsid w:val="0080053B"/>
    <w:rsid w:val="0080057B"/>
    <w:rsid w:val="00800590"/>
    <w:rsid w:val="008005C3"/>
    <w:rsid w:val="0080060A"/>
    <w:rsid w:val="00800616"/>
    <w:rsid w:val="0080061E"/>
    <w:rsid w:val="0080066D"/>
    <w:rsid w:val="0080067B"/>
    <w:rsid w:val="00800683"/>
    <w:rsid w:val="008006AD"/>
    <w:rsid w:val="008006C5"/>
    <w:rsid w:val="008006F6"/>
    <w:rsid w:val="0080072F"/>
    <w:rsid w:val="008007AF"/>
    <w:rsid w:val="00800811"/>
    <w:rsid w:val="00800859"/>
    <w:rsid w:val="00800889"/>
    <w:rsid w:val="008008A6"/>
    <w:rsid w:val="008008C7"/>
    <w:rsid w:val="008008D3"/>
    <w:rsid w:val="008008E4"/>
    <w:rsid w:val="00800952"/>
    <w:rsid w:val="008009E2"/>
    <w:rsid w:val="00800A25"/>
    <w:rsid w:val="00800A33"/>
    <w:rsid w:val="00800A56"/>
    <w:rsid w:val="00800A57"/>
    <w:rsid w:val="00800AC0"/>
    <w:rsid w:val="00800B69"/>
    <w:rsid w:val="00800C23"/>
    <w:rsid w:val="00800CC0"/>
    <w:rsid w:val="00800CC5"/>
    <w:rsid w:val="00800CF2"/>
    <w:rsid w:val="00800D7B"/>
    <w:rsid w:val="00800D83"/>
    <w:rsid w:val="00800DA3"/>
    <w:rsid w:val="00800DB0"/>
    <w:rsid w:val="00800E10"/>
    <w:rsid w:val="00800E49"/>
    <w:rsid w:val="00800E6A"/>
    <w:rsid w:val="00800EBD"/>
    <w:rsid w:val="00800EC0"/>
    <w:rsid w:val="00800F29"/>
    <w:rsid w:val="00800F55"/>
    <w:rsid w:val="00800F69"/>
    <w:rsid w:val="00800FBC"/>
    <w:rsid w:val="00801023"/>
    <w:rsid w:val="0080106F"/>
    <w:rsid w:val="008010DB"/>
    <w:rsid w:val="00801107"/>
    <w:rsid w:val="00801181"/>
    <w:rsid w:val="0080118A"/>
    <w:rsid w:val="00801228"/>
    <w:rsid w:val="00801252"/>
    <w:rsid w:val="008012B8"/>
    <w:rsid w:val="00801303"/>
    <w:rsid w:val="00801417"/>
    <w:rsid w:val="00801486"/>
    <w:rsid w:val="008014C2"/>
    <w:rsid w:val="008014CF"/>
    <w:rsid w:val="008014F3"/>
    <w:rsid w:val="00801527"/>
    <w:rsid w:val="0080153E"/>
    <w:rsid w:val="00801552"/>
    <w:rsid w:val="00801561"/>
    <w:rsid w:val="00801563"/>
    <w:rsid w:val="0080163B"/>
    <w:rsid w:val="00801649"/>
    <w:rsid w:val="00801691"/>
    <w:rsid w:val="00801720"/>
    <w:rsid w:val="00801772"/>
    <w:rsid w:val="00801777"/>
    <w:rsid w:val="0080177A"/>
    <w:rsid w:val="0080178C"/>
    <w:rsid w:val="008017D6"/>
    <w:rsid w:val="008017EE"/>
    <w:rsid w:val="00801805"/>
    <w:rsid w:val="0080181E"/>
    <w:rsid w:val="00801827"/>
    <w:rsid w:val="00801886"/>
    <w:rsid w:val="0080189E"/>
    <w:rsid w:val="008018B3"/>
    <w:rsid w:val="008018C2"/>
    <w:rsid w:val="00801904"/>
    <w:rsid w:val="0080199E"/>
    <w:rsid w:val="008019C8"/>
    <w:rsid w:val="008019FF"/>
    <w:rsid w:val="00801A77"/>
    <w:rsid w:val="00801A82"/>
    <w:rsid w:val="00801AC3"/>
    <w:rsid w:val="00801B30"/>
    <w:rsid w:val="00801B37"/>
    <w:rsid w:val="00801B4C"/>
    <w:rsid w:val="00801B58"/>
    <w:rsid w:val="00801B8E"/>
    <w:rsid w:val="00801BD2"/>
    <w:rsid w:val="00801BF0"/>
    <w:rsid w:val="00801C16"/>
    <w:rsid w:val="00801CCA"/>
    <w:rsid w:val="00801CEB"/>
    <w:rsid w:val="00801CEC"/>
    <w:rsid w:val="00801CEE"/>
    <w:rsid w:val="00801D81"/>
    <w:rsid w:val="00801DB1"/>
    <w:rsid w:val="00801DD0"/>
    <w:rsid w:val="00801E21"/>
    <w:rsid w:val="00801E48"/>
    <w:rsid w:val="00801E56"/>
    <w:rsid w:val="00801E59"/>
    <w:rsid w:val="00801E76"/>
    <w:rsid w:val="00801FBA"/>
    <w:rsid w:val="00801FFB"/>
    <w:rsid w:val="00802013"/>
    <w:rsid w:val="00802140"/>
    <w:rsid w:val="00802183"/>
    <w:rsid w:val="008021C4"/>
    <w:rsid w:val="008021F3"/>
    <w:rsid w:val="008021FA"/>
    <w:rsid w:val="0080225F"/>
    <w:rsid w:val="0080226E"/>
    <w:rsid w:val="00802276"/>
    <w:rsid w:val="008022C5"/>
    <w:rsid w:val="008022EC"/>
    <w:rsid w:val="00802322"/>
    <w:rsid w:val="00802338"/>
    <w:rsid w:val="0080234D"/>
    <w:rsid w:val="00802408"/>
    <w:rsid w:val="0080240C"/>
    <w:rsid w:val="00802416"/>
    <w:rsid w:val="008024B8"/>
    <w:rsid w:val="008025C5"/>
    <w:rsid w:val="008025D3"/>
    <w:rsid w:val="00802659"/>
    <w:rsid w:val="00802689"/>
    <w:rsid w:val="008026BB"/>
    <w:rsid w:val="00802702"/>
    <w:rsid w:val="00802749"/>
    <w:rsid w:val="0080275D"/>
    <w:rsid w:val="0080276D"/>
    <w:rsid w:val="0080277D"/>
    <w:rsid w:val="008027FD"/>
    <w:rsid w:val="00802886"/>
    <w:rsid w:val="008028DA"/>
    <w:rsid w:val="00802946"/>
    <w:rsid w:val="008029D3"/>
    <w:rsid w:val="00802A0B"/>
    <w:rsid w:val="00802A82"/>
    <w:rsid w:val="00802AEB"/>
    <w:rsid w:val="00802AFC"/>
    <w:rsid w:val="00802B14"/>
    <w:rsid w:val="00802B3F"/>
    <w:rsid w:val="00802B7C"/>
    <w:rsid w:val="00802BD3"/>
    <w:rsid w:val="00802C6D"/>
    <w:rsid w:val="00802CCB"/>
    <w:rsid w:val="00802CEC"/>
    <w:rsid w:val="00802D42"/>
    <w:rsid w:val="00802D83"/>
    <w:rsid w:val="00802D8B"/>
    <w:rsid w:val="00802D9D"/>
    <w:rsid w:val="00802DAD"/>
    <w:rsid w:val="00802DFB"/>
    <w:rsid w:val="00802E91"/>
    <w:rsid w:val="00802F80"/>
    <w:rsid w:val="00802FA6"/>
    <w:rsid w:val="00803078"/>
    <w:rsid w:val="008030CC"/>
    <w:rsid w:val="008030D3"/>
    <w:rsid w:val="008030F4"/>
    <w:rsid w:val="0080311A"/>
    <w:rsid w:val="0080316F"/>
    <w:rsid w:val="008031A4"/>
    <w:rsid w:val="008031C1"/>
    <w:rsid w:val="008031F2"/>
    <w:rsid w:val="00803207"/>
    <w:rsid w:val="00803234"/>
    <w:rsid w:val="00803258"/>
    <w:rsid w:val="008032A4"/>
    <w:rsid w:val="008032B1"/>
    <w:rsid w:val="008032B7"/>
    <w:rsid w:val="008032DA"/>
    <w:rsid w:val="008032E8"/>
    <w:rsid w:val="008032FB"/>
    <w:rsid w:val="00803357"/>
    <w:rsid w:val="00803389"/>
    <w:rsid w:val="00803390"/>
    <w:rsid w:val="008033AB"/>
    <w:rsid w:val="008033B8"/>
    <w:rsid w:val="00803413"/>
    <w:rsid w:val="00803439"/>
    <w:rsid w:val="008034D2"/>
    <w:rsid w:val="008034DD"/>
    <w:rsid w:val="008035A3"/>
    <w:rsid w:val="00803658"/>
    <w:rsid w:val="00803664"/>
    <w:rsid w:val="00803670"/>
    <w:rsid w:val="008036AC"/>
    <w:rsid w:val="008036B7"/>
    <w:rsid w:val="008036CC"/>
    <w:rsid w:val="008036E6"/>
    <w:rsid w:val="008036F8"/>
    <w:rsid w:val="0080374E"/>
    <w:rsid w:val="0080375D"/>
    <w:rsid w:val="00803765"/>
    <w:rsid w:val="00803790"/>
    <w:rsid w:val="00803858"/>
    <w:rsid w:val="00803889"/>
    <w:rsid w:val="00803902"/>
    <w:rsid w:val="008039B1"/>
    <w:rsid w:val="008039DD"/>
    <w:rsid w:val="008039EF"/>
    <w:rsid w:val="00803A18"/>
    <w:rsid w:val="00803A63"/>
    <w:rsid w:val="00803ACE"/>
    <w:rsid w:val="00803B0F"/>
    <w:rsid w:val="00803B23"/>
    <w:rsid w:val="00803C02"/>
    <w:rsid w:val="00803C0B"/>
    <w:rsid w:val="00803C1F"/>
    <w:rsid w:val="00803C36"/>
    <w:rsid w:val="00803C6C"/>
    <w:rsid w:val="00803CA3"/>
    <w:rsid w:val="00803D03"/>
    <w:rsid w:val="00803D35"/>
    <w:rsid w:val="00803D3A"/>
    <w:rsid w:val="00803D58"/>
    <w:rsid w:val="00803D6D"/>
    <w:rsid w:val="00803E04"/>
    <w:rsid w:val="00803F12"/>
    <w:rsid w:val="00803F31"/>
    <w:rsid w:val="00803F73"/>
    <w:rsid w:val="00803F98"/>
    <w:rsid w:val="00803FC4"/>
    <w:rsid w:val="00803FD5"/>
    <w:rsid w:val="00803FFA"/>
    <w:rsid w:val="00804003"/>
    <w:rsid w:val="00804071"/>
    <w:rsid w:val="00804077"/>
    <w:rsid w:val="008040A2"/>
    <w:rsid w:val="008040F6"/>
    <w:rsid w:val="008041A8"/>
    <w:rsid w:val="008041CE"/>
    <w:rsid w:val="008041FD"/>
    <w:rsid w:val="00804206"/>
    <w:rsid w:val="00804231"/>
    <w:rsid w:val="0080424A"/>
    <w:rsid w:val="0080437A"/>
    <w:rsid w:val="0080438B"/>
    <w:rsid w:val="0080438F"/>
    <w:rsid w:val="008043BD"/>
    <w:rsid w:val="008043BF"/>
    <w:rsid w:val="008043F1"/>
    <w:rsid w:val="0080442F"/>
    <w:rsid w:val="00804482"/>
    <w:rsid w:val="00804549"/>
    <w:rsid w:val="00804559"/>
    <w:rsid w:val="008045B6"/>
    <w:rsid w:val="008045F4"/>
    <w:rsid w:val="008045F7"/>
    <w:rsid w:val="0080464C"/>
    <w:rsid w:val="00804661"/>
    <w:rsid w:val="0080469A"/>
    <w:rsid w:val="008046C9"/>
    <w:rsid w:val="008046DA"/>
    <w:rsid w:val="008046EF"/>
    <w:rsid w:val="00804739"/>
    <w:rsid w:val="0080479C"/>
    <w:rsid w:val="0080479E"/>
    <w:rsid w:val="008047B4"/>
    <w:rsid w:val="00804802"/>
    <w:rsid w:val="0080489B"/>
    <w:rsid w:val="008048DA"/>
    <w:rsid w:val="008048EE"/>
    <w:rsid w:val="00804905"/>
    <w:rsid w:val="00804914"/>
    <w:rsid w:val="0080492F"/>
    <w:rsid w:val="00804932"/>
    <w:rsid w:val="00804963"/>
    <w:rsid w:val="008049D7"/>
    <w:rsid w:val="00804B01"/>
    <w:rsid w:val="00804B30"/>
    <w:rsid w:val="00804B68"/>
    <w:rsid w:val="00804B8C"/>
    <w:rsid w:val="00804B90"/>
    <w:rsid w:val="00804BE4"/>
    <w:rsid w:val="00804C41"/>
    <w:rsid w:val="00804CC7"/>
    <w:rsid w:val="00804D09"/>
    <w:rsid w:val="00804D2A"/>
    <w:rsid w:val="00804D96"/>
    <w:rsid w:val="00804D98"/>
    <w:rsid w:val="00804DDE"/>
    <w:rsid w:val="00804E29"/>
    <w:rsid w:val="00804E4D"/>
    <w:rsid w:val="00804E59"/>
    <w:rsid w:val="00804E81"/>
    <w:rsid w:val="00804E8F"/>
    <w:rsid w:val="00804EA2"/>
    <w:rsid w:val="00804F18"/>
    <w:rsid w:val="00805023"/>
    <w:rsid w:val="008050A5"/>
    <w:rsid w:val="008050B5"/>
    <w:rsid w:val="008050CA"/>
    <w:rsid w:val="008050D2"/>
    <w:rsid w:val="00805134"/>
    <w:rsid w:val="0080513C"/>
    <w:rsid w:val="008051C8"/>
    <w:rsid w:val="0080521C"/>
    <w:rsid w:val="0080529D"/>
    <w:rsid w:val="008052BD"/>
    <w:rsid w:val="008052DD"/>
    <w:rsid w:val="0080531D"/>
    <w:rsid w:val="0080531F"/>
    <w:rsid w:val="00805322"/>
    <w:rsid w:val="008053B0"/>
    <w:rsid w:val="008053C1"/>
    <w:rsid w:val="008053E1"/>
    <w:rsid w:val="0080544B"/>
    <w:rsid w:val="008054F4"/>
    <w:rsid w:val="008054FA"/>
    <w:rsid w:val="00805525"/>
    <w:rsid w:val="0080555C"/>
    <w:rsid w:val="00805569"/>
    <w:rsid w:val="00805572"/>
    <w:rsid w:val="008055BA"/>
    <w:rsid w:val="008055CC"/>
    <w:rsid w:val="008055D3"/>
    <w:rsid w:val="008055D4"/>
    <w:rsid w:val="00805629"/>
    <w:rsid w:val="0080565C"/>
    <w:rsid w:val="00805676"/>
    <w:rsid w:val="00805689"/>
    <w:rsid w:val="008056AF"/>
    <w:rsid w:val="00805712"/>
    <w:rsid w:val="0080576F"/>
    <w:rsid w:val="00805799"/>
    <w:rsid w:val="008057B0"/>
    <w:rsid w:val="00805813"/>
    <w:rsid w:val="0080581A"/>
    <w:rsid w:val="00805840"/>
    <w:rsid w:val="00805864"/>
    <w:rsid w:val="008058C7"/>
    <w:rsid w:val="00805924"/>
    <w:rsid w:val="00805945"/>
    <w:rsid w:val="0080594B"/>
    <w:rsid w:val="0080598E"/>
    <w:rsid w:val="00805990"/>
    <w:rsid w:val="008059DC"/>
    <w:rsid w:val="008059E8"/>
    <w:rsid w:val="008059F4"/>
    <w:rsid w:val="00805A44"/>
    <w:rsid w:val="00805A90"/>
    <w:rsid w:val="00805ABF"/>
    <w:rsid w:val="00805ACB"/>
    <w:rsid w:val="00805B2E"/>
    <w:rsid w:val="00805B49"/>
    <w:rsid w:val="00805B98"/>
    <w:rsid w:val="00805C2E"/>
    <w:rsid w:val="00805C34"/>
    <w:rsid w:val="00805C64"/>
    <w:rsid w:val="00805CBC"/>
    <w:rsid w:val="00805D0D"/>
    <w:rsid w:val="00805D2F"/>
    <w:rsid w:val="00805DCB"/>
    <w:rsid w:val="00805DD6"/>
    <w:rsid w:val="00805DD7"/>
    <w:rsid w:val="00805DE1"/>
    <w:rsid w:val="00805E00"/>
    <w:rsid w:val="00805E65"/>
    <w:rsid w:val="00805E8A"/>
    <w:rsid w:val="00805E92"/>
    <w:rsid w:val="00805EC3"/>
    <w:rsid w:val="00805F29"/>
    <w:rsid w:val="00805F2C"/>
    <w:rsid w:val="00805F7F"/>
    <w:rsid w:val="00805F8B"/>
    <w:rsid w:val="00805F99"/>
    <w:rsid w:val="0080600C"/>
    <w:rsid w:val="0080604A"/>
    <w:rsid w:val="0080608E"/>
    <w:rsid w:val="008060FA"/>
    <w:rsid w:val="0080611B"/>
    <w:rsid w:val="00806162"/>
    <w:rsid w:val="0080616A"/>
    <w:rsid w:val="008061E2"/>
    <w:rsid w:val="008061F5"/>
    <w:rsid w:val="00806205"/>
    <w:rsid w:val="0080620F"/>
    <w:rsid w:val="0080622E"/>
    <w:rsid w:val="00806239"/>
    <w:rsid w:val="00806247"/>
    <w:rsid w:val="008062C7"/>
    <w:rsid w:val="0080633A"/>
    <w:rsid w:val="0080633E"/>
    <w:rsid w:val="00806343"/>
    <w:rsid w:val="0080635F"/>
    <w:rsid w:val="0080637C"/>
    <w:rsid w:val="0080644C"/>
    <w:rsid w:val="00806497"/>
    <w:rsid w:val="008064B9"/>
    <w:rsid w:val="008064E7"/>
    <w:rsid w:val="00806516"/>
    <w:rsid w:val="00806564"/>
    <w:rsid w:val="0080657B"/>
    <w:rsid w:val="008065E6"/>
    <w:rsid w:val="008065EA"/>
    <w:rsid w:val="00806654"/>
    <w:rsid w:val="00806670"/>
    <w:rsid w:val="00806676"/>
    <w:rsid w:val="0080669D"/>
    <w:rsid w:val="008066B1"/>
    <w:rsid w:val="008066BB"/>
    <w:rsid w:val="008066DB"/>
    <w:rsid w:val="008066DD"/>
    <w:rsid w:val="00806708"/>
    <w:rsid w:val="00806721"/>
    <w:rsid w:val="00806792"/>
    <w:rsid w:val="008067D0"/>
    <w:rsid w:val="008067DF"/>
    <w:rsid w:val="0080685B"/>
    <w:rsid w:val="008068E8"/>
    <w:rsid w:val="0080699B"/>
    <w:rsid w:val="00806A3F"/>
    <w:rsid w:val="00806AE3"/>
    <w:rsid w:val="00806B05"/>
    <w:rsid w:val="00806B0C"/>
    <w:rsid w:val="00806B73"/>
    <w:rsid w:val="00806B89"/>
    <w:rsid w:val="00806BED"/>
    <w:rsid w:val="00806BFD"/>
    <w:rsid w:val="00806C17"/>
    <w:rsid w:val="00806C56"/>
    <w:rsid w:val="00806C62"/>
    <w:rsid w:val="00806C98"/>
    <w:rsid w:val="00806CA8"/>
    <w:rsid w:val="00806CCB"/>
    <w:rsid w:val="00806CCF"/>
    <w:rsid w:val="00806D24"/>
    <w:rsid w:val="00806D44"/>
    <w:rsid w:val="00806D58"/>
    <w:rsid w:val="00806D6D"/>
    <w:rsid w:val="00806D96"/>
    <w:rsid w:val="00806E07"/>
    <w:rsid w:val="00806E17"/>
    <w:rsid w:val="00806E5A"/>
    <w:rsid w:val="00806E99"/>
    <w:rsid w:val="00806EAB"/>
    <w:rsid w:val="00806EC4"/>
    <w:rsid w:val="00806F9D"/>
    <w:rsid w:val="00806FCD"/>
    <w:rsid w:val="00806FE6"/>
    <w:rsid w:val="0080701C"/>
    <w:rsid w:val="00807040"/>
    <w:rsid w:val="00807067"/>
    <w:rsid w:val="00807086"/>
    <w:rsid w:val="00807094"/>
    <w:rsid w:val="008070AD"/>
    <w:rsid w:val="0080714A"/>
    <w:rsid w:val="00807179"/>
    <w:rsid w:val="008071C5"/>
    <w:rsid w:val="008071D2"/>
    <w:rsid w:val="00807225"/>
    <w:rsid w:val="00807280"/>
    <w:rsid w:val="00807298"/>
    <w:rsid w:val="008072E8"/>
    <w:rsid w:val="008072F5"/>
    <w:rsid w:val="008072FF"/>
    <w:rsid w:val="008073E6"/>
    <w:rsid w:val="008073EC"/>
    <w:rsid w:val="0080745E"/>
    <w:rsid w:val="00807500"/>
    <w:rsid w:val="00807519"/>
    <w:rsid w:val="0080752F"/>
    <w:rsid w:val="0080756A"/>
    <w:rsid w:val="008075CC"/>
    <w:rsid w:val="008075DF"/>
    <w:rsid w:val="008075E8"/>
    <w:rsid w:val="0080762C"/>
    <w:rsid w:val="0080762E"/>
    <w:rsid w:val="008076A5"/>
    <w:rsid w:val="008076CC"/>
    <w:rsid w:val="008077A1"/>
    <w:rsid w:val="00807830"/>
    <w:rsid w:val="00807840"/>
    <w:rsid w:val="008078A6"/>
    <w:rsid w:val="008078B0"/>
    <w:rsid w:val="008078D2"/>
    <w:rsid w:val="0080790F"/>
    <w:rsid w:val="0080791E"/>
    <w:rsid w:val="00807994"/>
    <w:rsid w:val="008079A0"/>
    <w:rsid w:val="00807A2A"/>
    <w:rsid w:val="00807A58"/>
    <w:rsid w:val="00807A74"/>
    <w:rsid w:val="00807A7C"/>
    <w:rsid w:val="00807A95"/>
    <w:rsid w:val="00807B2F"/>
    <w:rsid w:val="00807B59"/>
    <w:rsid w:val="00807BB5"/>
    <w:rsid w:val="00807BC3"/>
    <w:rsid w:val="00807C37"/>
    <w:rsid w:val="00807C38"/>
    <w:rsid w:val="00807C6C"/>
    <w:rsid w:val="00807CBD"/>
    <w:rsid w:val="00807CBF"/>
    <w:rsid w:val="00807CF3"/>
    <w:rsid w:val="00807D83"/>
    <w:rsid w:val="00807D91"/>
    <w:rsid w:val="00807D98"/>
    <w:rsid w:val="00807DE1"/>
    <w:rsid w:val="00807E66"/>
    <w:rsid w:val="00807EAE"/>
    <w:rsid w:val="00807EE3"/>
    <w:rsid w:val="00807F2E"/>
    <w:rsid w:val="00807FB7"/>
    <w:rsid w:val="00807FCB"/>
    <w:rsid w:val="00810031"/>
    <w:rsid w:val="00810095"/>
    <w:rsid w:val="008100A6"/>
    <w:rsid w:val="00810180"/>
    <w:rsid w:val="00810184"/>
    <w:rsid w:val="00810192"/>
    <w:rsid w:val="008101B2"/>
    <w:rsid w:val="008101E4"/>
    <w:rsid w:val="0081021E"/>
    <w:rsid w:val="00810239"/>
    <w:rsid w:val="00810256"/>
    <w:rsid w:val="00810292"/>
    <w:rsid w:val="008102B0"/>
    <w:rsid w:val="008102C4"/>
    <w:rsid w:val="0081030E"/>
    <w:rsid w:val="00810328"/>
    <w:rsid w:val="0081038E"/>
    <w:rsid w:val="00810393"/>
    <w:rsid w:val="008103A1"/>
    <w:rsid w:val="008103C8"/>
    <w:rsid w:val="008103EB"/>
    <w:rsid w:val="0081044A"/>
    <w:rsid w:val="008104DF"/>
    <w:rsid w:val="00810528"/>
    <w:rsid w:val="0081054F"/>
    <w:rsid w:val="00810584"/>
    <w:rsid w:val="00810601"/>
    <w:rsid w:val="00810621"/>
    <w:rsid w:val="00810662"/>
    <w:rsid w:val="0081069F"/>
    <w:rsid w:val="008106A8"/>
    <w:rsid w:val="00810774"/>
    <w:rsid w:val="0081079B"/>
    <w:rsid w:val="0081079E"/>
    <w:rsid w:val="008107EB"/>
    <w:rsid w:val="00810836"/>
    <w:rsid w:val="0081084F"/>
    <w:rsid w:val="008108A7"/>
    <w:rsid w:val="008108B5"/>
    <w:rsid w:val="008108C9"/>
    <w:rsid w:val="0081090F"/>
    <w:rsid w:val="00810911"/>
    <w:rsid w:val="00810965"/>
    <w:rsid w:val="008109BC"/>
    <w:rsid w:val="008109CA"/>
    <w:rsid w:val="008109D6"/>
    <w:rsid w:val="00810A92"/>
    <w:rsid w:val="00810AF2"/>
    <w:rsid w:val="00810B3B"/>
    <w:rsid w:val="00810B40"/>
    <w:rsid w:val="00810B5B"/>
    <w:rsid w:val="00810B66"/>
    <w:rsid w:val="00810B6D"/>
    <w:rsid w:val="00810B76"/>
    <w:rsid w:val="00810BC5"/>
    <w:rsid w:val="00810BC8"/>
    <w:rsid w:val="00810BE3"/>
    <w:rsid w:val="00810C09"/>
    <w:rsid w:val="00810C6D"/>
    <w:rsid w:val="00810C72"/>
    <w:rsid w:val="00810CE6"/>
    <w:rsid w:val="00810D79"/>
    <w:rsid w:val="00810D8B"/>
    <w:rsid w:val="00810DC0"/>
    <w:rsid w:val="00810DF5"/>
    <w:rsid w:val="00810DFC"/>
    <w:rsid w:val="00810EA1"/>
    <w:rsid w:val="00810EBA"/>
    <w:rsid w:val="00810EBE"/>
    <w:rsid w:val="00810F7E"/>
    <w:rsid w:val="0081102F"/>
    <w:rsid w:val="0081103C"/>
    <w:rsid w:val="00811073"/>
    <w:rsid w:val="008111BA"/>
    <w:rsid w:val="008111D0"/>
    <w:rsid w:val="00811201"/>
    <w:rsid w:val="0081121E"/>
    <w:rsid w:val="008112A5"/>
    <w:rsid w:val="00811356"/>
    <w:rsid w:val="008113CD"/>
    <w:rsid w:val="008113D0"/>
    <w:rsid w:val="008113F0"/>
    <w:rsid w:val="008114A0"/>
    <w:rsid w:val="008114C0"/>
    <w:rsid w:val="008114F5"/>
    <w:rsid w:val="00811545"/>
    <w:rsid w:val="00811581"/>
    <w:rsid w:val="008115C7"/>
    <w:rsid w:val="00811612"/>
    <w:rsid w:val="00811664"/>
    <w:rsid w:val="00811695"/>
    <w:rsid w:val="008116AE"/>
    <w:rsid w:val="008116CE"/>
    <w:rsid w:val="008116FB"/>
    <w:rsid w:val="0081177A"/>
    <w:rsid w:val="0081179C"/>
    <w:rsid w:val="008117B9"/>
    <w:rsid w:val="00811899"/>
    <w:rsid w:val="00811918"/>
    <w:rsid w:val="00811964"/>
    <w:rsid w:val="0081198D"/>
    <w:rsid w:val="00811A90"/>
    <w:rsid w:val="00811A91"/>
    <w:rsid w:val="00811AA0"/>
    <w:rsid w:val="00811AD6"/>
    <w:rsid w:val="00811AFD"/>
    <w:rsid w:val="00811B42"/>
    <w:rsid w:val="00811BDD"/>
    <w:rsid w:val="00811C4E"/>
    <w:rsid w:val="00811C8D"/>
    <w:rsid w:val="00811C93"/>
    <w:rsid w:val="00811CA7"/>
    <w:rsid w:val="00811CE2"/>
    <w:rsid w:val="00811D14"/>
    <w:rsid w:val="00811D2F"/>
    <w:rsid w:val="00811D3F"/>
    <w:rsid w:val="00811DC5"/>
    <w:rsid w:val="00811DDE"/>
    <w:rsid w:val="00811DFF"/>
    <w:rsid w:val="00811E0E"/>
    <w:rsid w:val="00811E29"/>
    <w:rsid w:val="00811E43"/>
    <w:rsid w:val="00811E8F"/>
    <w:rsid w:val="00811F1F"/>
    <w:rsid w:val="00811F44"/>
    <w:rsid w:val="00811F66"/>
    <w:rsid w:val="00811F96"/>
    <w:rsid w:val="00811FAC"/>
    <w:rsid w:val="00811FCF"/>
    <w:rsid w:val="0081201F"/>
    <w:rsid w:val="0081207B"/>
    <w:rsid w:val="00812094"/>
    <w:rsid w:val="008120F4"/>
    <w:rsid w:val="0081210D"/>
    <w:rsid w:val="00812139"/>
    <w:rsid w:val="00812211"/>
    <w:rsid w:val="00812295"/>
    <w:rsid w:val="008122A7"/>
    <w:rsid w:val="008122CA"/>
    <w:rsid w:val="008122CC"/>
    <w:rsid w:val="008123C3"/>
    <w:rsid w:val="008123CA"/>
    <w:rsid w:val="008123E3"/>
    <w:rsid w:val="00812406"/>
    <w:rsid w:val="0081240E"/>
    <w:rsid w:val="00812415"/>
    <w:rsid w:val="0081244B"/>
    <w:rsid w:val="00812465"/>
    <w:rsid w:val="0081248D"/>
    <w:rsid w:val="0081248E"/>
    <w:rsid w:val="00812529"/>
    <w:rsid w:val="00812530"/>
    <w:rsid w:val="0081259A"/>
    <w:rsid w:val="008125E7"/>
    <w:rsid w:val="00812639"/>
    <w:rsid w:val="00812667"/>
    <w:rsid w:val="0081267F"/>
    <w:rsid w:val="00812697"/>
    <w:rsid w:val="008126C2"/>
    <w:rsid w:val="00812728"/>
    <w:rsid w:val="00812730"/>
    <w:rsid w:val="0081279C"/>
    <w:rsid w:val="008127B8"/>
    <w:rsid w:val="00812809"/>
    <w:rsid w:val="00812811"/>
    <w:rsid w:val="00812814"/>
    <w:rsid w:val="00812836"/>
    <w:rsid w:val="0081298D"/>
    <w:rsid w:val="008129C3"/>
    <w:rsid w:val="008129CA"/>
    <w:rsid w:val="008129CD"/>
    <w:rsid w:val="00812A7B"/>
    <w:rsid w:val="00812A99"/>
    <w:rsid w:val="00812B06"/>
    <w:rsid w:val="00812B2A"/>
    <w:rsid w:val="00812B7D"/>
    <w:rsid w:val="00812BA3"/>
    <w:rsid w:val="00812BDB"/>
    <w:rsid w:val="00812BDE"/>
    <w:rsid w:val="00812C0D"/>
    <w:rsid w:val="00812C16"/>
    <w:rsid w:val="00812C68"/>
    <w:rsid w:val="00812CD1"/>
    <w:rsid w:val="00812D05"/>
    <w:rsid w:val="00812D1E"/>
    <w:rsid w:val="00812D3A"/>
    <w:rsid w:val="00812D78"/>
    <w:rsid w:val="00812D7B"/>
    <w:rsid w:val="00812DBD"/>
    <w:rsid w:val="00812DC4"/>
    <w:rsid w:val="00812DD4"/>
    <w:rsid w:val="00812E48"/>
    <w:rsid w:val="00812E66"/>
    <w:rsid w:val="00812EE8"/>
    <w:rsid w:val="00812F4C"/>
    <w:rsid w:val="00812F56"/>
    <w:rsid w:val="00812FD3"/>
    <w:rsid w:val="0081304B"/>
    <w:rsid w:val="0081304D"/>
    <w:rsid w:val="00813094"/>
    <w:rsid w:val="008130C2"/>
    <w:rsid w:val="008130C8"/>
    <w:rsid w:val="00813112"/>
    <w:rsid w:val="00813126"/>
    <w:rsid w:val="0081316A"/>
    <w:rsid w:val="008131BF"/>
    <w:rsid w:val="008131F7"/>
    <w:rsid w:val="00813297"/>
    <w:rsid w:val="008132D9"/>
    <w:rsid w:val="00813426"/>
    <w:rsid w:val="00813452"/>
    <w:rsid w:val="00813469"/>
    <w:rsid w:val="008134B9"/>
    <w:rsid w:val="00813514"/>
    <w:rsid w:val="00813517"/>
    <w:rsid w:val="00813548"/>
    <w:rsid w:val="008135BE"/>
    <w:rsid w:val="008136C9"/>
    <w:rsid w:val="0081370E"/>
    <w:rsid w:val="008137C5"/>
    <w:rsid w:val="008138D5"/>
    <w:rsid w:val="008138E3"/>
    <w:rsid w:val="00813910"/>
    <w:rsid w:val="0081391F"/>
    <w:rsid w:val="0081395B"/>
    <w:rsid w:val="00813979"/>
    <w:rsid w:val="00813A3D"/>
    <w:rsid w:val="00813A49"/>
    <w:rsid w:val="00813A54"/>
    <w:rsid w:val="00813AC3"/>
    <w:rsid w:val="00813B11"/>
    <w:rsid w:val="00813B68"/>
    <w:rsid w:val="00813BB2"/>
    <w:rsid w:val="00813BDF"/>
    <w:rsid w:val="00813BF4"/>
    <w:rsid w:val="00813C5B"/>
    <w:rsid w:val="00813C75"/>
    <w:rsid w:val="00813CC1"/>
    <w:rsid w:val="00813CF7"/>
    <w:rsid w:val="00813D72"/>
    <w:rsid w:val="00813D74"/>
    <w:rsid w:val="00813D94"/>
    <w:rsid w:val="00813E4E"/>
    <w:rsid w:val="00813E6C"/>
    <w:rsid w:val="00813E97"/>
    <w:rsid w:val="00813EB4"/>
    <w:rsid w:val="00813EB9"/>
    <w:rsid w:val="00813F5A"/>
    <w:rsid w:val="00813F64"/>
    <w:rsid w:val="00813F76"/>
    <w:rsid w:val="00813F96"/>
    <w:rsid w:val="00813FB9"/>
    <w:rsid w:val="0081401E"/>
    <w:rsid w:val="0081402C"/>
    <w:rsid w:val="0081407D"/>
    <w:rsid w:val="0081408B"/>
    <w:rsid w:val="0081409F"/>
    <w:rsid w:val="008140C5"/>
    <w:rsid w:val="0081413A"/>
    <w:rsid w:val="0081413C"/>
    <w:rsid w:val="0081418F"/>
    <w:rsid w:val="008141BA"/>
    <w:rsid w:val="008141BE"/>
    <w:rsid w:val="008141D3"/>
    <w:rsid w:val="008141DD"/>
    <w:rsid w:val="008141EC"/>
    <w:rsid w:val="0081420E"/>
    <w:rsid w:val="00814232"/>
    <w:rsid w:val="00814244"/>
    <w:rsid w:val="0081424C"/>
    <w:rsid w:val="00814257"/>
    <w:rsid w:val="00814298"/>
    <w:rsid w:val="00814345"/>
    <w:rsid w:val="0081436F"/>
    <w:rsid w:val="0081439F"/>
    <w:rsid w:val="00814411"/>
    <w:rsid w:val="0081443C"/>
    <w:rsid w:val="00814448"/>
    <w:rsid w:val="00814471"/>
    <w:rsid w:val="008144BE"/>
    <w:rsid w:val="00814505"/>
    <w:rsid w:val="0081456A"/>
    <w:rsid w:val="0081457C"/>
    <w:rsid w:val="008145AD"/>
    <w:rsid w:val="00814633"/>
    <w:rsid w:val="00814642"/>
    <w:rsid w:val="00814728"/>
    <w:rsid w:val="00814753"/>
    <w:rsid w:val="0081478F"/>
    <w:rsid w:val="008147BB"/>
    <w:rsid w:val="00814860"/>
    <w:rsid w:val="00814865"/>
    <w:rsid w:val="0081488E"/>
    <w:rsid w:val="008148C1"/>
    <w:rsid w:val="008148CC"/>
    <w:rsid w:val="008148FB"/>
    <w:rsid w:val="00814919"/>
    <w:rsid w:val="00814947"/>
    <w:rsid w:val="00814983"/>
    <w:rsid w:val="008149AA"/>
    <w:rsid w:val="00814A23"/>
    <w:rsid w:val="00814A59"/>
    <w:rsid w:val="00814AFC"/>
    <w:rsid w:val="00814B0F"/>
    <w:rsid w:val="00814B4C"/>
    <w:rsid w:val="00814B71"/>
    <w:rsid w:val="00814BAA"/>
    <w:rsid w:val="00814BC9"/>
    <w:rsid w:val="00814C20"/>
    <w:rsid w:val="00814C2C"/>
    <w:rsid w:val="00814C9A"/>
    <w:rsid w:val="00814D9A"/>
    <w:rsid w:val="00814DA6"/>
    <w:rsid w:val="00814DC7"/>
    <w:rsid w:val="00814DD7"/>
    <w:rsid w:val="00814E2D"/>
    <w:rsid w:val="00814EA4"/>
    <w:rsid w:val="00814EC6"/>
    <w:rsid w:val="00814EE1"/>
    <w:rsid w:val="00814F32"/>
    <w:rsid w:val="00814F3A"/>
    <w:rsid w:val="00814F3B"/>
    <w:rsid w:val="00814F43"/>
    <w:rsid w:val="00814F57"/>
    <w:rsid w:val="00814F5F"/>
    <w:rsid w:val="00814F80"/>
    <w:rsid w:val="00815038"/>
    <w:rsid w:val="00815054"/>
    <w:rsid w:val="008150B9"/>
    <w:rsid w:val="008150D4"/>
    <w:rsid w:val="008150E9"/>
    <w:rsid w:val="008150FE"/>
    <w:rsid w:val="0081512F"/>
    <w:rsid w:val="00815143"/>
    <w:rsid w:val="00815160"/>
    <w:rsid w:val="0081516A"/>
    <w:rsid w:val="0081518E"/>
    <w:rsid w:val="008151EF"/>
    <w:rsid w:val="00815205"/>
    <w:rsid w:val="0081521B"/>
    <w:rsid w:val="00815230"/>
    <w:rsid w:val="00815249"/>
    <w:rsid w:val="00815289"/>
    <w:rsid w:val="00815296"/>
    <w:rsid w:val="008152B1"/>
    <w:rsid w:val="008152FF"/>
    <w:rsid w:val="0081531C"/>
    <w:rsid w:val="00815341"/>
    <w:rsid w:val="00815342"/>
    <w:rsid w:val="00815380"/>
    <w:rsid w:val="0081539C"/>
    <w:rsid w:val="008153D0"/>
    <w:rsid w:val="008153FC"/>
    <w:rsid w:val="008154C2"/>
    <w:rsid w:val="00815538"/>
    <w:rsid w:val="00815565"/>
    <w:rsid w:val="00815585"/>
    <w:rsid w:val="008155B8"/>
    <w:rsid w:val="0081560F"/>
    <w:rsid w:val="00815669"/>
    <w:rsid w:val="00815677"/>
    <w:rsid w:val="008156D7"/>
    <w:rsid w:val="008156F8"/>
    <w:rsid w:val="008156FC"/>
    <w:rsid w:val="00815719"/>
    <w:rsid w:val="008157B0"/>
    <w:rsid w:val="008157D0"/>
    <w:rsid w:val="0081582C"/>
    <w:rsid w:val="0081589C"/>
    <w:rsid w:val="008158CD"/>
    <w:rsid w:val="008158CF"/>
    <w:rsid w:val="00815917"/>
    <w:rsid w:val="0081591A"/>
    <w:rsid w:val="00815A45"/>
    <w:rsid w:val="00815AC1"/>
    <w:rsid w:val="00815B94"/>
    <w:rsid w:val="00815BA6"/>
    <w:rsid w:val="00815BAE"/>
    <w:rsid w:val="00815BBD"/>
    <w:rsid w:val="00815C15"/>
    <w:rsid w:val="00815C5F"/>
    <w:rsid w:val="00815C74"/>
    <w:rsid w:val="00815C98"/>
    <w:rsid w:val="00815CDD"/>
    <w:rsid w:val="00815D00"/>
    <w:rsid w:val="00815D2D"/>
    <w:rsid w:val="00815D31"/>
    <w:rsid w:val="00815D34"/>
    <w:rsid w:val="00815D56"/>
    <w:rsid w:val="00815D59"/>
    <w:rsid w:val="00815DA6"/>
    <w:rsid w:val="00815DC3"/>
    <w:rsid w:val="00815E3E"/>
    <w:rsid w:val="00815E84"/>
    <w:rsid w:val="00815E86"/>
    <w:rsid w:val="00815EF0"/>
    <w:rsid w:val="00815F0F"/>
    <w:rsid w:val="00816029"/>
    <w:rsid w:val="0081607B"/>
    <w:rsid w:val="008160DD"/>
    <w:rsid w:val="00816189"/>
    <w:rsid w:val="0081619F"/>
    <w:rsid w:val="008161BB"/>
    <w:rsid w:val="008161F6"/>
    <w:rsid w:val="0081622B"/>
    <w:rsid w:val="00816247"/>
    <w:rsid w:val="00816262"/>
    <w:rsid w:val="008162A4"/>
    <w:rsid w:val="008162D7"/>
    <w:rsid w:val="0081631A"/>
    <w:rsid w:val="0081635A"/>
    <w:rsid w:val="00816397"/>
    <w:rsid w:val="008163A5"/>
    <w:rsid w:val="00816416"/>
    <w:rsid w:val="0081651C"/>
    <w:rsid w:val="00816555"/>
    <w:rsid w:val="00816557"/>
    <w:rsid w:val="00816594"/>
    <w:rsid w:val="008165D3"/>
    <w:rsid w:val="008165DD"/>
    <w:rsid w:val="00816649"/>
    <w:rsid w:val="00816658"/>
    <w:rsid w:val="00816666"/>
    <w:rsid w:val="00816688"/>
    <w:rsid w:val="008166A6"/>
    <w:rsid w:val="008166B6"/>
    <w:rsid w:val="0081672E"/>
    <w:rsid w:val="00816763"/>
    <w:rsid w:val="0081676B"/>
    <w:rsid w:val="00816795"/>
    <w:rsid w:val="008167B8"/>
    <w:rsid w:val="008167DC"/>
    <w:rsid w:val="008167FB"/>
    <w:rsid w:val="00816867"/>
    <w:rsid w:val="0081688A"/>
    <w:rsid w:val="0081691C"/>
    <w:rsid w:val="00816924"/>
    <w:rsid w:val="008169B6"/>
    <w:rsid w:val="008169E5"/>
    <w:rsid w:val="008169F3"/>
    <w:rsid w:val="00816A58"/>
    <w:rsid w:val="00816AEB"/>
    <w:rsid w:val="00816AF1"/>
    <w:rsid w:val="00816B4D"/>
    <w:rsid w:val="00816B90"/>
    <w:rsid w:val="00816C62"/>
    <w:rsid w:val="00816CC6"/>
    <w:rsid w:val="00816CDB"/>
    <w:rsid w:val="00816D47"/>
    <w:rsid w:val="00816D8B"/>
    <w:rsid w:val="00816D9E"/>
    <w:rsid w:val="00816F36"/>
    <w:rsid w:val="00816F4B"/>
    <w:rsid w:val="00816FCB"/>
    <w:rsid w:val="00816FD2"/>
    <w:rsid w:val="00817088"/>
    <w:rsid w:val="00817115"/>
    <w:rsid w:val="00817119"/>
    <w:rsid w:val="00817192"/>
    <w:rsid w:val="008171FC"/>
    <w:rsid w:val="00817219"/>
    <w:rsid w:val="008172BF"/>
    <w:rsid w:val="00817313"/>
    <w:rsid w:val="0081735F"/>
    <w:rsid w:val="0081738E"/>
    <w:rsid w:val="008173DA"/>
    <w:rsid w:val="008173F0"/>
    <w:rsid w:val="00817441"/>
    <w:rsid w:val="0081748B"/>
    <w:rsid w:val="0081749A"/>
    <w:rsid w:val="008174A6"/>
    <w:rsid w:val="008174C7"/>
    <w:rsid w:val="0081751A"/>
    <w:rsid w:val="0081756E"/>
    <w:rsid w:val="00817618"/>
    <w:rsid w:val="00817631"/>
    <w:rsid w:val="0081766A"/>
    <w:rsid w:val="008176BA"/>
    <w:rsid w:val="008176DA"/>
    <w:rsid w:val="008176F5"/>
    <w:rsid w:val="00817723"/>
    <w:rsid w:val="0081775B"/>
    <w:rsid w:val="008177B3"/>
    <w:rsid w:val="008177D1"/>
    <w:rsid w:val="008177DF"/>
    <w:rsid w:val="0081784A"/>
    <w:rsid w:val="00817872"/>
    <w:rsid w:val="008178B2"/>
    <w:rsid w:val="008178B5"/>
    <w:rsid w:val="0081791C"/>
    <w:rsid w:val="00817936"/>
    <w:rsid w:val="00817942"/>
    <w:rsid w:val="00817958"/>
    <w:rsid w:val="0081798C"/>
    <w:rsid w:val="0081799B"/>
    <w:rsid w:val="00817A65"/>
    <w:rsid w:val="00817ACE"/>
    <w:rsid w:val="00817B62"/>
    <w:rsid w:val="00817BD8"/>
    <w:rsid w:val="00817BFB"/>
    <w:rsid w:val="00817C0C"/>
    <w:rsid w:val="00817C47"/>
    <w:rsid w:val="00817C58"/>
    <w:rsid w:val="00817C59"/>
    <w:rsid w:val="00817CB6"/>
    <w:rsid w:val="00817CBE"/>
    <w:rsid w:val="00817CCB"/>
    <w:rsid w:val="00817CD1"/>
    <w:rsid w:val="00817CFC"/>
    <w:rsid w:val="00817D01"/>
    <w:rsid w:val="00817D51"/>
    <w:rsid w:val="00817D8A"/>
    <w:rsid w:val="00817D91"/>
    <w:rsid w:val="00817D9D"/>
    <w:rsid w:val="00817E01"/>
    <w:rsid w:val="00817E4B"/>
    <w:rsid w:val="00817ECE"/>
    <w:rsid w:val="00817F08"/>
    <w:rsid w:val="00817F3F"/>
    <w:rsid w:val="00817F43"/>
    <w:rsid w:val="00817F5D"/>
    <w:rsid w:val="00817F9D"/>
    <w:rsid w:val="00818655"/>
    <w:rsid w:val="00820099"/>
    <w:rsid w:val="008200A7"/>
    <w:rsid w:val="008200AF"/>
    <w:rsid w:val="008200F3"/>
    <w:rsid w:val="0082013A"/>
    <w:rsid w:val="00820142"/>
    <w:rsid w:val="00820175"/>
    <w:rsid w:val="00820231"/>
    <w:rsid w:val="00820242"/>
    <w:rsid w:val="00820256"/>
    <w:rsid w:val="0082025E"/>
    <w:rsid w:val="00820281"/>
    <w:rsid w:val="008202DC"/>
    <w:rsid w:val="00820300"/>
    <w:rsid w:val="0082032A"/>
    <w:rsid w:val="00820396"/>
    <w:rsid w:val="008203E2"/>
    <w:rsid w:val="00820418"/>
    <w:rsid w:val="00820447"/>
    <w:rsid w:val="0082044A"/>
    <w:rsid w:val="008204D0"/>
    <w:rsid w:val="008204D6"/>
    <w:rsid w:val="008204EC"/>
    <w:rsid w:val="00820545"/>
    <w:rsid w:val="00820564"/>
    <w:rsid w:val="00820583"/>
    <w:rsid w:val="008205AD"/>
    <w:rsid w:val="0082062B"/>
    <w:rsid w:val="008206D5"/>
    <w:rsid w:val="00820748"/>
    <w:rsid w:val="00820794"/>
    <w:rsid w:val="00820830"/>
    <w:rsid w:val="00820874"/>
    <w:rsid w:val="008208B7"/>
    <w:rsid w:val="008208BE"/>
    <w:rsid w:val="008208FB"/>
    <w:rsid w:val="00820916"/>
    <w:rsid w:val="0082093F"/>
    <w:rsid w:val="00820967"/>
    <w:rsid w:val="00820968"/>
    <w:rsid w:val="0082097C"/>
    <w:rsid w:val="00820982"/>
    <w:rsid w:val="008209EB"/>
    <w:rsid w:val="00820A09"/>
    <w:rsid w:val="00820A97"/>
    <w:rsid w:val="00820AE2"/>
    <w:rsid w:val="00820AF8"/>
    <w:rsid w:val="00820B0A"/>
    <w:rsid w:val="00820B0E"/>
    <w:rsid w:val="00820B57"/>
    <w:rsid w:val="00820B5F"/>
    <w:rsid w:val="00820B6C"/>
    <w:rsid w:val="00820C00"/>
    <w:rsid w:val="00820C46"/>
    <w:rsid w:val="00820C5C"/>
    <w:rsid w:val="00820C93"/>
    <w:rsid w:val="00820CA3"/>
    <w:rsid w:val="00820CE6"/>
    <w:rsid w:val="00820D03"/>
    <w:rsid w:val="00820D1B"/>
    <w:rsid w:val="00820D29"/>
    <w:rsid w:val="00820D2B"/>
    <w:rsid w:val="00820D73"/>
    <w:rsid w:val="00820DEC"/>
    <w:rsid w:val="00820DF5"/>
    <w:rsid w:val="00820E36"/>
    <w:rsid w:val="00820E4A"/>
    <w:rsid w:val="00820E57"/>
    <w:rsid w:val="00820E73"/>
    <w:rsid w:val="00820E99"/>
    <w:rsid w:val="00820EBD"/>
    <w:rsid w:val="00820EC0"/>
    <w:rsid w:val="00820EF5"/>
    <w:rsid w:val="00820F14"/>
    <w:rsid w:val="00820F15"/>
    <w:rsid w:val="00820F25"/>
    <w:rsid w:val="00820FB3"/>
    <w:rsid w:val="00820FBE"/>
    <w:rsid w:val="00820FC5"/>
    <w:rsid w:val="0082101F"/>
    <w:rsid w:val="0082106E"/>
    <w:rsid w:val="00821085"/>
    <w:rsid w:val="0082109B"/>
    <w:rsid w:val="008210A1"/>
    <w:rsid w:val="00821120"/>
    <w:rsid w:val="00821167"/>
    <w:rsid w:val="008211B7"/>
    <w:rsid w:val="0082122B"/>
    <w:rsid w:val="00821266"/>
    <w:rsid w:val="00821284"/>
    <w:rsid w:val="0082132D"/>
    <w:rsid w:val="0082132E"/>
    <w:rsid w:val="00821375"/>
    <w:rsid w:val="008213CE"/>
    <w:rsid w:val="0082141F"/>
    <w:rsid w:val="00821446"/>
    <w:rsid w:val="00821450"/>
    <w:rsid w:val="008214A3"/>
    <w:rsid w:val="008214A9"/>
    <w:rsid w:val="008214C6"/>
    <w:rsid w:val="008215AE"/>
    <w:rsid w:val="008215BD"/>
    <w:rsid w:val="00821662"/>
    <w:rsid w:val="00821692"/>
    <w:rsid w:val="00821695"/>
    <w:rsid w:val="008216BC"/>
    <w:rsid w:val="008216F3"/>
    <w:rsid w:val="008217BD"/>
    <w:rsid w:val="008217FE"/>
    <w:rsid w:val="00821843"/>
    <w:rsid w:val="0082185C"/>
    <w:rsid w:val="00821874"/>
    <w:rsid w:val="00821883"/>
    <w:rsid w:val="008218DD"/>
    <w:rsid w:val="00821927"/>
    <w:rsid w:val="0082193A"/>
    <w:rsid w:val="00821964"/>
    <w:rsid w:val="008219AA"/>
    <w:rsid w:val="008219D0"/>
    <w:rsid w:val="00821A14"/>
    <w:rsid w:val="00821A5D"/>
    <w:rsid w:val="00821AA9"/>
    <w:rsid w:val="00821AFF"/>
    <w:rsid w:val="00821B3D"/>
    <w:rsid w:val="00821B9F"/>
    <w:rsid w:val="00821BCF"/>
    <w:rsid w:val="00821C01"/>
    <w:rsid w:val="00821C2D"/>
    <w:rsid w:val="00821C38"/>
    <w:rsid w:val="00821C41"/>
    <w:rsid w:val="00821C60"/>
    <w:rsid w:val="00821CA7"/>
    <w:rsid w:val="00821CE6"/>
    <w:rsid w:val="00821CFC"/>
    <w:rsid w:val="00821D0E"/>
    <w:rsid w:val="00821D39"/>
    <w:rsid w:val="00821D6F"/>
    <w:rsid w:val="00821D73"/>
    <w:rsid w:val="00821DF6"/>
    <w:rsid w:val="00821E31"/>
    <w:rsid w:val="00821E40"/>
    <w:rsid w:val="00821E5D"/>
    <w:rsid w:val="00821E8B"/>
    <w:rsid w:val="00821EB4"/>
    <w:rsid w:val="00821F2D"/>
    <w:rsid w:val="00821F5A"/>
    <w:rsid w:val="00821F77"/>
    <w:rsid w:val="00821F8E"/>
    <w:rsid w:val="00822052"/>
    <w:rsid w:val="00822069"/>
    <w:rsid w:val="00822084"/>
    <w:rsid w:val="0082209C"/>
    <w:rsid w:val="008220F7"/>
    <w:rsid w:val="00822119"/>
    <w:rsid w:val="0082217E"/>
    <w:rsid w:val="008221F6"/>
    <w:rsid w:val="0082220E"/>
    <w:rsid w:val="00822254"/>
    <w:rsid w:val="008222B1"/>
    <w:rsid w:val="008222F7"/>
    <w:rsid w:val="008222FC"/>
    <w:rsid w:val="00822399"/>
    <w:rsid w:val="008223FC"/>
    <w:rsid w:val="00822400"/>
    <w:rsid w:val="00822416"/>
    <w:rsid w:val="00822436"/>
    <w:rsid w:val="00822497"/>
    <w:rsid w:val="008224B9"/>
    <w:rsid w:val="00822510"/>
    <w:rsid w:val="0082252A"/>
    <w:rsid w:val="008225AE"/>
    <w:rsid w:val="00822635"/>
    <w:rsid w:val="00822649"/>
    <w:rsid w:val="00822683"/>
    <w:rsid w:val="0082273B"/>
    <w:rsid w:val="00822745"/>
    <w:rsid w:val="00822768"/>
    <w:rsid w:val="0082276F"/>
    <w:rsid w:val="0082278F"/>
    <w:rsid w:val="008227CC"/>
    <w:rsid w:val="008227ED"/>
    <w:rsid w:val="0082281B"/>
    <w:rsid w:val="00822857"/>
    <w:rsid w:val="00822897"/>
    <w:rsid w:val="00822924"/>
    <w:rsid w:val="00822928"/>
    <w:rsid w:val="008229D5"/>
    <w:rsid w:val="008229D7"/>
    <w:rsid w:val="008229FE"/>
    <w:rsid w:val="00822A91"/>
    <w:rsid w:val="00822ABA"/>
    <w:rsid w:val="00822AC0"/>
    <w:rsid w:val="00822AC6"/>
    <w:rsid w:val="00822ADC"/>
    <w:rsid w:val="00822B38"/>
    <w:rsid w:val="00822B7E"/>
    <w:rsid w:val="00822CBA"/>
    <w:rsid w:val="00822D19"/>
    <w:rsid w:val="00822D27"/>
    <w:rsid w:val="00822D94"/>
    <w:rsid w:val="00822DD8"/>
    <w:rsid w:val="00822E51"/>
    <w:rsid w:val="00822E5F"/>
    <w:rsid w:val="00822E67"/>
    <w:rsid w:val="00822EC8"/>
    <w:rsid w:val="00822F0E"/>
    <w:rsid w:val="00822F28"/>
    <w:rsid w:val="00822F34"/>
    <w:rsid w:val="00823027"/>
    <w:rsid w:val="00823099"/>
    <w:rsid w:val="008230B2"/>
    <w:rsid w:val="008230DF"/>
    <w:rsid w:val="008230EF"/>
    <w:rsid w:val="008230F8"/>
    <w:rsid w:val="00823145"/>
    <w:rsid w:val="0082315B"/>
    <w:rsid w:val="0082316E"/>
    <w:rsid w:val="008231EB"/>
    <w:rsid w:val="00823224"/>
    <w:rsid w:val="00823281"/>
    <w:rsid w:val="0082328A"/>
    <w:rsid w:val="0082328B"/>
    <w:rsid w:val="008232CD"/>
    <w:rsid w:val="0082331B"/>
    <w:rsid w:val="0082333E"/>
    <w:rsid w:val="008233AC"/>
    <w:rsid w:val="008233CF"/>
    <w:rsid w:val="00823414"/>
    <w:rsid w:val="0082342E"/>
    <w:rsid w:val="008234A4"/>
    <w:rsid w:val="008234A8"/>
    <w:rsid w:val="008234C0"/>
    <w:rsid w:val="00823598"/>
    <w:rsid w:val="00823645"/>
    <w:rsid w:val="0082364C"/>
    <w:rsid w:val="0082366E"/>
    <w:rsid w:val="008236AF"/>
    <w:rsid w:val="008236C8"/>
    <w:rsid w:val="0082377E"/>
    <w:rsid w:val="00823789"/>
    <w:rsid w:val="0082378C"/>
    <w:rsid w:val="008237B4"/>
    <w:rsid w:val="008237B5"/>
    <w:rsid w:val="008237F5"/>
    <w:rsid w:val="0082382A"/>
    <w:rsid w:val="00823866"/>
    <w:rsid w:val="00823948"/>
    <w:rsid w:val="0082398D"/>
    <w:rsid w:val="00823A6B"/>
    <w:rsid w:val="00823A7D"/>
    <w:rsid w:val="00823A97"/>
    <w:rsid w:val="00823AFD"/>
    <w:rsid w:val="00823B4C"/>
    <w:rsid w:val="00823B7A"/>
    <w:rsid w:val="00823B7B"/>
    <w:rsid w:val="00823B92"/>
    <w:rsid w:val="00823BF7"/>
    <w:rsid w:val="00823C14"/>
    <w:rsid w:val="00823C2B"/>
    <w:rsid w:val="00823C6A"/>
    <w:rsid w:val="00823C71"/>
    <w:rsid w:val="00823C73"/>
    <w:rsid w:val="00823D0A"/>
    <w:rsid w:val="00823D19"/>
    <w:rsid w:val="00823D9B"/>
    <w:rsid w:val="00823DA6"/>
    <w:rsid w:val="00823DDC"/>
    <w:rsid w:val="00823DEE"/>
    <w:rsid w:val="00823EC9"/>
    <w:rsid w:val="00823ECE"/>
    <w:rsid w:val="00823ED2"/>
    <w:rsid w:val="00823EF6"/>
    <w:rsid w:val="00823F29"/>
    <w:rsid w:val="00823F3E"/>
    <w:rsid w:val="00823F4A"/>
    <w:rsid w:val="00823F58"/>
    <w:rsid w:val="00823F80"/>
    <w:rsid w:val="00823F8A"/>
    <w:rsid w:val="00823FED"/>
    <w:rsid w:val="00824055"/>
    <w:rsid w:val="008240A1"/>
    <w:rsid w:val="008240B3"/>
    <w:rsid w:val="008240D7"/>
    <w:rsid w:val="00824159"/>
    <w:rsid w:val="0082419B"/>
    <w:rsid w:val="008241A4"/>
    <w:rsid w:val="00824231"/>
    <w:rsid w:val="008242B9"/>
    <w:rsid w:val="008242D5"/>
    <w:rsid w:val="00824324"/>
    <w:rsid w:val="00824329"/>
    <w:rsid w:val="00824332"/>
    <w:rsid w:val="00824349"/>
    <w:rsid w:val="00824353"/>
    <w:rsid w:val="00824358"/>
    <w:rsid w:val="0082435C"/>
    <w:rsid w:val="008243BD"/>
    <w:rsid w:val="008243E7"/>
    <w:rsid w:val="0082440C"/>
    <w:rsid w:val="0082440F"/>
    <w:rsid w:val="00824434"/>
    <w:rsid w:val="008245A4"/>
    <w:rsid w:val="008245D8"/>
    <w:rsid w:val="00824648"/>
    <w:rsid w:val="008246E1"/>
    <w:rsid w:val="00824710"/>
    <w:rsid w:val="00824774"/>
    <w:rsid w:val="0082479B"/>
    <w:rsid w:val="008247CD"/>
    <w:rsid w:val="008247FE"/>
    <w:rsid w:val="0082481E"/>
    <w:rsid w:val="00824825"/>
    <w:rsid w:val="008248A0"/>
    <w:rsid w:val="008248A3"/>
    <w:rsid w:val="008248C1"/>
    <w:rsid w:val="00824939"/>
    <w:rsid w:val="00824959"/>
    <w:rsid w:val="008249F0"/>
    <w:rsid w:val="00824A47"/>
    <w:rsid w:val="00824B22"/>
    <w:rsid w:val="00824B46"/>
    <w:rsid w:val="00824B4F"/>
    <w:rsid w:val="00824B80"/>
    <w:rsid w:val="00824BAF"/>
    <w:rsid w:val="00824C0F"/>
    <w:rsid w:val="00824C23"/>
    <w:rsid w:val="00824C41"/>
    <w:rsid w:val="00824C56"/>
    <w:rsid w:val="00824C63"/>
    <w:rsid w:val="00824C76"/>
    <w:rsid w:val="00824C7B"/>
    <w:rsid w:val="00824D0F"/>
    <w:rsid w:val="00824D70"/>
    <w:rsid w:val="00824D9C"/>
    <w:rsid w:val="00824D9D"/>
    <w:rsid w:val="00824E28"/>
    <w:rsid w:val="00824E35"/>
    <w:rsid w:val="00824E46"/>
    <w:rsid w:val="00824E53"/>
    <w:rsid w:val="00824E82"/>
    <w:rsid w:val="00824EC4"/>
    <w:rsid w:val="00824F80"/>
    <w:rsid w:val="00824FE4"/>
    <w:rsid w:val="00824FEC"/>
    <w:rsid w:val="0082502E"/>
    <w:rsid w:val="00825065"/>
    <w:rsid w:val="0082506B"/>
    <w:rsid w:val="008250C2"/>
    <w:rsid w:val="008250EE"/>
    <w:rsid w:val="00825122"/>
    <w:rsid w:val="0082518C"/>
    <w:rsid w:val="008251B5"/>
    <w:rsid w:val="008251E8"/>
    <w:rsid w:val="00825244"/>
    <w:rsid w:val="008252BF"/>
    <w:rsid w:val="008252D2"/>
    <w:rsid w:val="0082533A"/>
    <w:rsid w:val="008253A7"/>
    <w:rsid w:val="008253FB"/>
    <w:rsid w:val="00825407"/>
    <w:rsid w:val="00825454"/>
    <w:rsid w:val="0082548C"/>
    <w:rsid w:val="00825543"/>
    <w:rsid w:val="0082555E"/>
    <w:rsid w:val="00825566"/>
    <w:rsid w:val="00825623"/>
    <w:rsid w:val="0082563B"/>
    <w:rsid w:val="00825640"/>
    <w:rsid w:val="0082567D"/>
    <w:rsid w:val="008257A6"/>
    <w:rsid w:val="008257CC"/>
    <w:rsid w:val="008257E9"/>
    <w:rsid w:val="00825821"/>
    <w:rsid w:val="00825889"/>
    <w:rsid w:val="00825894"/>
    <w:rsid w:val="008258A5"/>
    <w:rsid w:val="008258E0"/>
    <w:rsid w:val="008258EF"/>
    <w:rsid w:val="008258FA"/>
    <w:rsid w:val="00825947"/>
    <w:rsid w:val="00825976"/>
    <w:rsid w:val="008259D9"/>
    <w:rsid w:val="00825A3A"/>
    <w:rsid w:val="00825A52"/>
    <w:rsid w:val="00825A68"/>
    <w:rsid w:val="00825A82"/>
    <w:rsid w:val="00825ADB"/>
    <w:rsid w:val="00825B1E"/>
    <w:rsid w:val="00825B29"/>
    <w:rsid w:val="00825B79"/>
    <w:rsid w:val="00825B9A"/>
    <w:rsid w:val="00825BD7"/>
    <w:rsid w:val="00825C06"/>
    <w:rsid w:val="00825C54"/>
    <w:rsid w:val="00825CFF"/>
    <w:rsid w:val="00825D2C"/>
    <w:rsid w:val="00825D70"/>
    <w:rsid w:val="00825DC0"/>
    <w:rsid w:val="00825DF5"/>
    <w:rsid w:val="00825E2A"/>
    <w:rsid w:val="00825E5C"/>
    <w:rsid w:val="00825EA2"/>
    <w:rsid w:val="00825F0A"/>
    <w:rsid w:val="00825F5D"/>
    <w:rsid w:val="00826024"/>
    <w:rsid w:val="008260E3"/>
    <w:rsid w:val="0082613E"/>
    <w:rsid w:val="00826222"/>
    <w:rsid w:val="008262C0"/>
    <w:rsid w:val="008262E1"/>
    <w:rsid w:val="0082635C"/>
    <w:rsid w:val="0082638E"/>
    <w:rsid w:val="008263ED"/>
    <w:rsid w:val="008263FC"/>
    <w:rsid w:val="00826407"/>
    <w:rsid w:val="0082641A"/>
    <w:rsid w:val="00826423"/>
    <w:rsid w:val="00826479"/>
    <w:rsid w:val="008264B5"/>
    <w:rsid w:val="008264BD"/>
    <w:rsid w:val="00826500"/>
    <w:rsid w:val="00826542"/>
    <w:rsid w:val="00826556"/>
    <w:rsid w:val="00826587"/>
    <w:rsid w:val="008266B6"/>
    <w:rsid w:val="008266F1"/>
    <w:rsid w:val="00826760"/>
    <w:rsid w:val="00826786"/>
    <w:rsid w:val="008267B3"/>
    <w:rsid w:val="008267E9"/>
    <w:rsid w:val="0082682A"/>
    <w:rsid w:val="0082689D"/>
    <w:rsid w:val="008268DE"/>
    <w:rsid w:val="008268E2"/>
    <w:rsid w:val="00826954"/>
    <w:rsid w:val="00826956"/>
    <w:rsid w:val="0082698C"/>
    <w:rsid w:val="008269A4"/>
    <w:rsid w:val="00826A17"/>
    <w:rsid w:val="00826AD9"/>
    <w:rsid w:val="00826B09"/>
    <w:rsid w:val="00826B1E"/>
    <w:rsid w:val="00826B7D"/>
    <w:rsid w:val="00826BBA"/>
    <w:rsid w:val="00826BD2"/>
    <w:rsid w:val="00826C90"/>
    <w:rsid w:val="00826CDC"/>
    <w:rsid w:val="00826D4C"/>
    <w:rsid w:val="00826D7A"/>
    <w:rsid w:val="00826D86"/>
    <w:rsid w:val="00826DD0"/>
    <w:rsid w:val="00826DEF"/>
    <w:rsid w:val="00826E50"/>
    <w:rsid w:val="00826E87"/>
    <w:rsid w:val="00826E9C"/>
    <w:rsid w:val="00826EC9"/>
    <w:rsid w:val="00826EED"/>
    <w:rsid w:val="00826F8F"/>
    <w:rsid w:val="00826F98"/>
    <w:rsid w:val="00826FA2"/>
    <w:rsid w:val="00827031"/>
    <w:rsid w:val="0082704E"/>
    <w:rsid w:val="008270C9"/>
    <w:rsid w:val="0082712D"/>
    <w:rsid w:val="00827164"/>
    <w:rsid w:val="008271C9"/>
    <w:rsid w:val="008271EA"/>
    <w:rsid w:val="00827271"/>
    <w:rsid w:val="008272B6"/>
    <w:rsid w:val="008272EC"/>
    <w:rsid w:val="0082734D"/>
    <w:rsid w:val="00827354"/>
    <w:rsid w:val="008273BC"/>
    <w:rsid w:val="0082742E"/>
    <w:rsid w:val="00827452"/>
    <w:rsid w:val="00827490"/>
    <w:rsid w:val="00827499"/>
    <w:rsid w:val="008274B1"/>
    <w:rsid w:val="008274F0"/>
    <w:rsid w:val="0082751D"/>
    <w:rsid w:val="00827578"/>
    <w:rsid w:val="008275C6"/>
    <w:rsid w:val="008275D3"/>
    <w:rsid w:val="008275FE"/>
    <w:rsid w:val="00827647"/>
    <w:rsid w:val="0082764A"/>
    <w:rsid w:val="008276A1"/>
    <w:rsid w:val="008276CC"/>
    <w:rsid w:val="008276FC"/>
    <w:rsid w:val="00827752"/>
    <w:rsid w:val="008277B3"/>
    <w:rsid w:val="00827806"/>
    <w:rsid w:val="00827808"/>
    <w:rsid w:val="00827837"/>
    <w:rsid w:val="00827848"/>
    <w:rsid w:val="0082787E"/>
    <w:rsid w:val="0082789D"/>
    <w:rsid w:val="008278A0"/>
    <w:rsid w:val="008278A9"/>
    <w:rsid w:val="008278B3"/>
    <w:rsid w:val="008279D4"/>
    <w:rsid w:val="008279F0"/>
    <w:rsid w:val="008279F1"/>
    <w:rsid w:val="00827A70"/>
    <w:rsid w:val="00827AFD"/>
    <w:rsid w:val="00827B32"/>
    <w:rsid w:val="00827BC9"/>
    <w:rsid w:val="00827C96"/>
    <w:rsid w:val="00827D3B"/>
    <w:rsid w:val="00827DAC"/>
    <w:rsid w:val="00827DF6"/>
    <w:rsid w:val="00827E16"/>
    <w:rsid w:val="00827E33"/>
    <w:rsid w:val="00827E71"/>
    <w:rsid w:val="00827EA8"/>
    <w:rsid w:val="00827EFC"/>
    <w:rsid w:val="00827F87"/>
    <w:rsid w:val="0083001B"/>
    <w:rsid w:val="00830045"/>
    <w:rsid w:val="00830046"/>
    <w:rsid w:val="008300A4"/>
    <w:rsid w:val="00830143"/>
    <w:rsid w:val="00830163"/>
    <w:rsid w:val="00830168"/>
    <w:rsid w:val="00830185"/>
    <w:rsid w:val="0083019F"/>
    <w:rsid w:val="008301C1"/>
    <w:rsid w:val="008301CF"/>
    <w:rsid w:val="008301E1"/>
    <w:rsid w:val="00830214"/>
    <w:rsid w:val="00830253"/>
    <w:rsid w:val="0083025A"/>
    <w:rsid w:val="0083025E"/>
    <w:rsid w:val="0083027E"/>
    <w:rsid w:val="0083029C"/>
    <w:rsid w:val="008302D0"/>
    <w:rsid w:val="008302F3"/>
    <w:rsid w:val="00830314"/>
    <w:rsid w:val="0083031C"/>
    <w:rsid w:val="0083035A"/>
    <w:rsid w:val="00830374"/>
    <w:rsid w:val="0083039D"/>
    <w:rsid w:val="008303BA"/>
    <w:rsid w:val="00830419"/>
    <w:rsid w:val="00830421"/>
    <w:rsid w:val="00830458"/>
    <w:rsid w:val="00830474"/>
    <w:rsid w:val="0083047A"/>
    <w:rsid w:val="008304A4"/>
    <w:rsid w:val="00830534"/>
    <w:rsid w:val="00830586"/>
    <w:rsid w:val="008305A7"/>
    <w:rsid w:val="008305C6"/>
    <w:rsid w:val="008305D7"/>
    <w:rsid w:val="00830604"/>
    <w:rsid w:val="0083060F"/>
    <w:rsid w:val="00830610"/>
    <w:rsid w:val="00830611"/>
    <w:rsid w:val="00830628"/>
    <w:rsid w:val="00830629"/>
    <w:rsid w:val="0083065E"/>
    <w:rsid w:val="00830668"/>
    <w:rsid w:val="0083068D"/>
    <w:rsid w:val="008306AE"/>
    <w:rsid w:val="008306BE"/>
    <w:rsid w:val="00830720"/>
    <w:rsid w:val="00830778"/>
    <w:rsid w:val="0083079B"/>
    <w:rsid w:val="0083079D"/>
    <w:rsid w:val="008307B1"/>
    <w:rsid w:val="008307E3"/>
    <w:rsid w:val="008307FA"/>
    <w:rsid w:val="0083082E"/>
    <w:rsid w:val="008308B5"/>
    <w:rsid w:val="008308BB"/>
    <w:rsid w:val="008308D8"/>
    <w:rsid w:val="008308F8"/>
    <w:rsid w:val="008309B4"/>
    <w:rsid w:val="00830A61"/>
    <w:rsid w:val="00830AD6"/>
    <w:rsid w:val="00830B0B"/>
    <w:rsid w:val="00830B1D"/>
    <w:rsid w:val="00830B2A"/>
    <w:rsid w:val="00830B38"/>
    <w:rsid w:val="00830BE9"/>
    <w:rsid w:val="00830BF8"/>
    <w:rsid w:val="00830BFB"/>
    <w:rsid w:val="00830C3E"/>
    <w:rsid w:val="00830C57"/>
    <w:rsid w:val="00830C72"/>
    <w:rsid w:val="00830CA5"/>
    <w:rsid w:val="00830CC7"/>
    <w:rsid w:val="00830CDE"/>
    <w:rsid w:val="00830CEB"/>
    <w:rsid w:val="00830D08"/>
    <w:rsid w:val="00830DA2"/>
    <w:rsid w:val="00830DE3"/>
    <w:rsid w:val="00830DF9"/>
    <w:rsid w:val="00830E4F"/>
    <w:rsid w:val="00830E5D"/>
    <w:rsid w:val="00830F1D"/>
    <w:rsid w:val="00830F97"/>
    <w:rsid w:val="00830FC4"/>
    <w:rsid w:val="0083106A"/>
    <w:rsid w:val="0083108F"/>
    <w:rsid w:val="008310C3"/>
    <w:rsid w:val="0083110C"/>
    <w:rsid w:val="00831156"/>
    <w:rsid w:val="00831165"/>
    <w:rsid w:val="008311CC"/>
    <w:rsid w:val="008311ED"/>
    <w:rsid w:val="00831279"/>
    <w:rsid w:val="008312C0"/>
    <w:rsid w:val="008312FD"/>
    <w:rsid w:val="00831309"/>
    <w:rsid w:val="00831367"/>
    <w:rsid w:val="0083138A"/>
    <w:rsid w:val="00831398"/>
    <w:rsid w:val="008313D2"/>
    <w:rsid w:val="00831458"/>
    <w:rsid w:val="00831485"/>
    <w:rsid w:val="008314FF"/>
    <w:rsid w:val="008315A2"/>
    <w:rsid w:val="00831670"/>
    <w:rsid w:val="008316BA"/>
    <w:rsid w:val="008316DD"/>
    <w:rsid w:val="008316E8"/>
    <w:rsid w:val="00831719"/>
    <w:rsid w:val="008317AF"/>
    <w:rsid w:val="008317C2"/>
    <w:rsid w:val="008318A5"/>
    <w:rsid w:val="008318F2"/>
    <w:rsid w:val="00831938"/>
    <w:rsid w:val="0083194F"/>
    <w:rsid w:val="00831950"/>
    <w:rsid w:val="0083198B"/>
    <w:rsid w:val="00831A42"/>
    <w:rsid w:val="00831A4A"/>
    <w:rsid w:val="00831A6B"/>
    <w:rsid w:val="00831AF0"/>
    <w:rsid w:val="00831B28"/>
    <w:rsid w:val="00831BB7"/>
    <w:rsid w:val="00831C41"/>
    <w:rsid w:val="00831C7E"/>
    <w:rsid w:val="00831C9F"/>
    <w:rsid w:val="00831CEA"/>
    <w:rsid w:val="00831CF5"/>
    <w:rsid w:val="00831D4D"/>
    <w:rsid w:val="00831D59"/>
    <w:rsid w:val="00831DBA"/>
    <w:rsid w:val="00831DC5"/>
    <w:rsid w:val="00831E5E"/>
    <w:rsid w:val="00831E8E"/>
    <w:rsid w:val="00831EEE"/>
    <w:rsid w:val="00831F35"/>
    <w:rsid w:val="00831F4F"/>
    <w:rsid w:val="00831FE2"/>
    <w:rsid w:val="00831FF3"/>
    <w:rsid w:val="00832016"/>
    <w:rsid w:val="0083201C"/>
    <w:rsid w:val="00832021"/>
    <w:rsid w:val="00832040"/>
    <w:rsid w:val="00832108"/>
    <w:rsid w:val="00832120"/>
    <w:rsid w:val="00832290"/>
    <w:rsid w:val="008322B8"/>
    <w:rsid w:val="008322D8"/>
    <w:rsid w:val="0083232F"/>
    <w:rsid w:val="0083238B"/>
    <w:rsid w:val="008323E2"/>
    <w:rsid w:val="008323FA"/>
    <w:rsid w:val="008324C3"/>
    <w:rsid w:val="008324D9"/>
    <w:rsid w:val="00832548"/>
    <w:rsid w:val="00832560"/>
    <w:rsid w:val="0083256B"/>
    <w:rsid w:val="0083259B"/>
    <w:rsid w:val="008325CA"/>
    <w:rsid w:val="00832629"/>
    <w:rsid w:val="00832634"/>
    <w:rsid w:val="0083263A"/>
    <w:rsid w:val="0083266F"/>
    <w:rsid w:val="00832675"/>
    <w:rsid w:val="0083267D"/>
    <w:rsid w:val="008327DC"/>
    <w:rsid w:val="00832838"/>
    <w:rsid w:val="00832859"/>
    <w:rsid w:val="00832928"/>
    <w:rsid w:val="008329D7"/>
    <w:rsid w:val="00832A3A"/>
    <w:rsid w:val="00832A7A"/>
    <w:rsid w:val="00832AED"/>
    <w:rsid w:val="00832B45"/>
    <w:rsid w:val="00832B83"/>
    <w:rsid w:val="00832B94"/>
    <w:rsid w:val="00832BAB"/>
    <w:rsid w:val="00832BB0"/>
    <w:rsid w:val="00832C06"/>
    <w:rsid w:val="00832C08"/>
    <w:rsid w:val="00832C11"/>
    <w:rsid w:val="00832C70"/>
    <w:rsid w:val="00832C72"/>
    <w:rsid w:val="00832C73"/>
    <w:rsid w:val="00832D41"/>
    <w:rsid w:val="00832D76"/>
    <w:rsid w:val="00832D88"/>
    <w:rsid w:val="00832DE8"/>
    <w:rsid w:val="00832DEC"/>
    <w:rsid w:val="00832DF7"/>
    <w:rsid w:val="00832E55"/>
    <w:rsid w:val="00832E5F"/>
    <w:rsid w:val="00832F11"/>
    <w:rsid w:val="00832F30"/>
    <w:rsid w:val="00832F4A"/>
    <w:rsid w:val="00832F61"/>
    <w:rsid w:val="00832F6D"/>
    <w:rsid w:val="00832F9D"/>
    <w:rsid w:val="00832FB8"/>
    <w:rsid w:val="00832FD5"/>
    <w:rsid w:val="00832FE5"/>
    <w:rsid w:val="00832FE8"/>
    <w:rsid w:val="00832FFD"/>
    <w:rsid w:val="00833043"/>
    <w:rsid w:val="008330A2"/>
    <w:rsid w:val="00833172"/>
    <w:rsid w:val="008331D5"/>
    <w:rsid w:val="0083329C"/>
    <w:rsid w:val="008332C3"/>
    <w:rsid w:val="008332D5"/>
    <w:rsid w:val="008332E6"/>
    <w:rsid w:val="00833319"/>
    <w:rsid w:val="0083333C"/>
    <w:rsid w:val="00833379"/>
    <w:rsid w:val="008333B3"/>
    <w:rsid w:val="0083341F"/>
    <w:rsid w:val="0083345F"/>
    <w:rsid w:val="008334B5"/>
    <w:rsid w:val="008334C1"/>
    <w:rsid w:val="0083353C"/>
    <w:rsid w:val="00833597"/>
    <w:rsid w:val="00833658"/>
    <w:rsid w:val="00833693"/>
    <w:rsid w:val="008336BC"/>
    <w:rsid w:val="008336E6"/>
    <w:rsid w:val="008336EA"/>
    <w:rsid w:val="0083374F"/>
    <w:rsid w:val="00833784"/>
    <w:rsid w:val="008337A8"/>
    <w:rsid w:val="008337D6"/>
    <w:rsid w:val="008337D7"/>
    <w:rsid w:val="008337DF"/>
    <w:rsid w:val="00833853"/>
    <w:rsid w:val="0083386F"/>
    <w:rsid w:val="00833883"/>
    <w:rsid w:val="00833899"/>
    <w:rsid w:val="008338F6"/>
    <w:rsid w:val="00833925"/>
    <w:rsid w:val="008339AC"/>
    <w:rsid w:val="008339BB"/>
    <w:rsid w:val="008339C6"/>
    <w:rsid w:val="008339D4"/>
    <w:rsid w:val="008339F1"/>
    <w:rsid w:val="00833A21"/>
    <w:rsid w:val="00833AA0"/>
    <w:rsid w:val="00833AC2"/>
    <w:rsid w:val="00833ADF"/>
    <w:rsid w:val="00833B04"/>
    <w:rsid w:val="00833BBB"/>
    <w:rsid w:val="00833BF6"/>
    <w:rsid w:val="00833C13"/>
    <w:rsid w:val="00833C43"/>
    <w:rsid w:val="00833CD8"/>
    <w:rsid w:val="00833CE0"/>
    <w:rsid w:val="00833D1A"/>
    <w:rsid w:val="00833D27"/>
    <w:rsid w:val="00833D36"/>
    <w:rsid w:val="00833D44"/>
    <w:rsid w:val="00833D5E"/>
    <w:rsid w:val="00833D83"/>
    <w:rsid w:val="00833DC5"/>
    <w:rsid w:val="00833DD6"/>
    <w:rsid w:val="00833DE4"/>
    <w:rsid w:val="00833E7D"/>
    <w:rsid w:val="00833E8A"/>
    <w:rsid w:val="00833F4E"/>
    <w:rsid w:val="00833F5B"/>
    <w:rsid w:val="00833F6C"/>
    <w:rsid w:val="00833F8F"/>
    <w:rsid w:val="00833FB2"/>
    <w:rsid w:val="00833FBE"/>
    <w:rsid w:val="00834008"/>
    <w:rsid w:val="00834024"/>
    <w:rsid w:val="0083402F"/>
    <w:rsid w:val="00834068"/>
    <w:rsid w:val="0083406C"/>
    <w:rsid w:val="00834081"/>
    <w:rsid w:val="00834085"/>
    <w:rsid w:val="0083408B"/>
    <w:rsid w:val="008340C5"/>
    <w:rsid w:val="008340DD"/>
    <w:rsid w:val="00834187"/>
    <w:rsid w:val="0083419C"/>
    <w:rsid w:val="008341AA"/>
    <w:rsid w:val="008341AC"/>
    <w:rsid w:val="008341F5"/>
    <w:rsid w:val="00834203"/>
    <w:rsid w:val="00834255"/>
    <w:rsid w:val="008342AB"/>
    <w:rsid w:val="00834309"/>
    <w:rsid w:val="0083430D"/>
    <w:rsid w:val="00834318"/>
    <w:rsid w:val="0083434A"/>
    <w:rsid w:val="00834352"/>
    <w:rsid w:val="00834390"/>
    <w:rsid w:val="008343BB"/>
    <w:rsid w:val="00834426"/>
    <w:rsid w:val="0083445E"/>
    <w:rsid w:val="0083447C"/>
    <w:rsid w:val="008344A8"/>
    <w:rsid w:val="00834511"/>
    <w:rsid w:val="0083454F"/>
    <w:rsid w:val="00834553"/>
    <w:rsid w:val="008345D7"/>
    <w:rsid w:val="0083461D"/>
    <w:rsid w:val="0083464D"/>
    <w:rsid w:val="00834682"/>
    <w:rsid w:val="0083470B"/>
    <w:rsid w:val="00834745"/>
    <w:rsid w:val="00834751"/>
    <w:rsid w:val="00834772"/>
    <w:rsid w:val="00834775"/>
    <w:rsid w:val="008347AD"/>
    <w:rsid w:val="008347B5"/>
    <w:rsid w:val="00834814"/>
    <w:rsid w:val="008348E3"/>
    <w:rsid w:val="008348EF"/>
    <w:rsid w:val="00834996"/>
    <w:rsid w:val="008349B9"/>
    <w:rsid w:val="00834A50"/>
    <w:rsid w:val="00834A89"/>
    <w:rsid w:val="00834B0D"/>
    <w:rsid w:val="00834B29"/>
    <w:rsid w:val="00834B58"/>
    <w:rsid w:val="00834B5B"/>
    <w:rsid w:val="00834B76"/>
    <w:rsid w:val="00834B81"/>
    <w:rsid w:val="00834B84"/>
    <w:rsid w:val="00834BE0"/>
    <w:rsid w:val="00834C12"/>
    <w:rsid w:val="00834C4F"/>
    <w:rsid w:val="00834C61"/>
    <w:rsid w:val="00834CAA"/>
    <w:rsid w:val="00834CBE"/>
    <w:rsid w:val="00834CE4"/>
    <w:rsid w:val="00834CE8"/>
    <w:rsid w:val="00834D1A"/>
    <w:rsid w:val="00834D28"/>
    <w:rsid w:val="00834D6C"/>
    <w:rsid w:val="00834DC3"/>
    <w:rsid w:val="00834E3C"/>
    <w:rsid w:val="00834E6F"/>
    <w:rsid w:val="00834E82"/>
    <w:rsid w:val="00834EDF"/>
    <w:rsid w:val="00834F65"/>
    <w:rsid w:val="0083500A"/>
    <w:rsid w:val="00835035"/>
    <w:rsid w:val="00835062"/>
    <w:rsid w:val="0083507A"/>
    <w:rsid w:val="0083509B"/>
    <w:rsid w:val="0083517F"/>
    <w:rsid w:val="008351FD"/>
    <w:rsid w:val="0083520F"/>
    <w:rsid w:val="00835227"/>
    <w:rsid w:val="00835251"/>
    <w:rsid w:val="00835259"/>
    <w:rsid w:val="008352CC"/>
    <w:rsid w:val="008353BB"/>
    <w:rsid w:val="0083540B"/>
    <w:rsid w:val="008354AC"/>
    <w:rsid w:val="008354DF"/>
    <w:rsid w:val="008354FD"/>
    <w:rsid w:val="0083554B"/>
    <w:rsid w:val="00835582"/>
    <w:rsid w:val="008355A1"/>
    <w:rsid w:val="008355B1"/>
    <w:rsid w:val="008355D8"/>
    <w:rsid w:val="00835601"/>
    <w:rsid w:val="0083564F"/>
    <w:rsid w:val="0083568A"/>
    <w:rsid w:val="008356AE"/>
    <w:rsid w:val="008356C7"/>
    <w:rsid w:val="00835716"/>
    <w:rsid w:val="00835724"/>
    <w:rsid w:val="00835796"/>
    <w:rsid w:val="008357AA"/>
    <w:rsid w:val="00835809"/>
    <w:rsid w:val="00835851"/>
    <w:rsid w:val="0083597B"/>
    <w:rsid w:val="0083598B"/>
    <w:rsid w:val="008359B8"/>
    <w:rsid w:val="008359DE"/>
    <w:rsid w:val="008359FF"/>
    <w:rsid w:val="00835A4C"/>
    <w:rsid w:val="00835A63"/>
    <w:rsid w:val="00835A6F"/>
    <w:rsid w:val="00835A72"/>
    <w:rsid w:val="00835A82"/>
    <w:rsid w:val="00835A8D"/>
    <w:rsid w:val="00835A9B"/>
    <w:rsid w:val="00835B83"/>
    <w:rsid w:val="00835B8C"/>
    <w:rsid w:val="00835BE7"/>
    <w:rsid w:val="00835C25"/>
    <w:rsid w:val="00835C2B"/>
    <w:rsid w:val="00835C3E"/>
    <w:rsid w:val="00835D0D"/>
    <w:rsid w:val="00835D21"/>
    <w:rsid w:val="00835D90"/>
    <w:rsid w:val="00835DBB"/>
    <w:rsid w:val="00835DC9"/>
    <w:rsid w:val="00835E43"/>
    <w:rsid w:val="00835EEB"/>
    <w:rsid w:val="00835EFE"/>
    <w:rsid w:val="00835F01"/>
    <w:rsid w:val="00835F2A"/>
    <w:rsid w:val="00835F67"/>
    <w:rsid w:val="00835F79"/>
    <w:rsid w:val="00836012"/>
    <w:rsid w:val="00836031"/>
    <w:rsid w:val="008360B0"/>
    <w:rsid w:val="008360B4"/>
    <w:rsid w:val="00836125"/>
    <w:rsid w:val="0083613C"/>
    <w:rsid w:val="00836151"/>
    <w:rsid w:val="00836156"/>
    <w:rsid w:val="008361B1"/>
    <w:rsid w:val="008361DC"/>
    <w:rsid w:val="00836229"/>
    <w:rsid w:val="00836274"/>
    <w:rsid w:val="008362AE"/>
    <w:rsid w:val="008362B3"/>
    <w:rsid w:val="008362DD"/>
    <w:rsid w:val="008362FB"/>
    <w:rsid w:val="0083631C"/>
    <w:rsid w:val="00836333"/>
    <w:rsid w:val="008363B5"/>
    <w:rsid w:val="008363D2"/>
    <w:rsid w:val="0083646F"/>
    <w:rsid w:val="0083648A"/>
    <w:rsid w:val="0083650A"/>
    <w:rsid w:val="00836512"/>
    <w:rsid w:val="0083651B"/>
    <w:rsid w:val="00836531"/>
    <w:rsid w:val="00836561"/>
    <w:rsid w:val="008365E1"/>
    <w:rsid w:val="008365E8"/>
    <w:rsid w:val="0083662A"/>
    <w:rsid w:val="00836693"/>
    <w:rsid w:val="0083669F"/>
    <w:rsid w:val="008366BD"/>
    <w:rsid w:val="008366BF"/>
    <w:rsid w:val="008366C9"/>
    <w:rsid w:val="008366E0"/>
    <w:rsid w:val="0083674D"/>
    <w:rsid w:val="00836763"/>
    <w:rsid w:val="0083680B"/>
    <w:rsid w:val="00836848"/>
    <w:rsid w:val="008368BA"/>
    <w:rsid w:val="008368D4"/>
    <w:rsid w:val="00836926"/>
    <w:rsid w:val="00836950"/>
    <w:rsid w:val="008369B7"/>
    <w:rsid w:val="00836A1F"/>
    <w:rsid w:val="00836A28"/>
    <w:rsid w:val="00836A92"/>
    <w:rsid w:val="00836B2D"/>
    <w:rsid w:val="00836B7F"/>
    <w:rsid w:val="00836B83"/>
    <w:rsid w:val="00836B8D"/>
    <w:rsid w:val="00836BA1"/>
    <w:rsid w:val="00836BAB"/>
    <w:rsid w:val="00836BCF"/>
    <w:rsid w:val="00836C52"/>
    <w:rsid w:val="00836C6D"/>
    <w:rsid w:val="00836C96"/>
    <w:rsid w:val="00836CDD"/>
    <w:rsid w:val="00836CEA"/>
    <w:rsid w:val="00836D45"/>
    <w:rsid w:val="00836D7E"/>
    <w:rsid w:val="00836DAA"/>
    <w:rsid w:val="00836E18"/>
    <w:rsid w:val="00836E40"/>
    <w:rsid w:val="00836E5C"/>
    <w:rsid w:val="00836EF7"/>
    <w:rsid w:val="00836F0B"/>
    <w:rsid w:val="00837062"/>
    <w:rsid w:val="00837081"/>
    <w:rsid w:val="008370C9"/>
    <w:rsid w:val="008370CF"/>
    <w:rsid w:val="00837269"/>
    <w:rsid w:val="008372B7"/>
    <w:rsid w:val="00837395"/>
    <w:rsid w:val="008373B0"/>
    <w:rsid w:val="008373ED"/>
    <w:rsid w:val="00837404"/>
    <w:rsid w:val="008374E0"/>
    <w:rsid w:val="00837521"/>
    <w:rsid w:val="00837588"/>
    <w:rsid w:val="008375E5"/>
    <w:rsid w:val="00837677"/>
    <w:rsid w:val="008376A7"/>
    <w:rsid w:val="008376C9"/>
    <w:rsid w:val="008376D4"/>
    <w:rsid w:val="00837708"/>
    <w:rsid w:val="00837724"/>
    <w:rsid w:val="00837747"/>
    <w:rsid w:val="0083779D"/>
    <w:rsid w:val="008377C8"/>
    <w:rsid w:val="008377F2"/>
    <w:rsid w:val="008378DC"/>
    <w:rsid w:val="0083790B"/>
    <w:rsid w:val="0083792B"/>
    <w:rsid w:val="00837933"/>
    <w:rsid w:val="00837946"/>
    <w:rsid w:val="00837947"/>
    <w:rsid w:val="00837994"/>
    <w:rsid w:val="008379B8"/>
    <w:rsid w:val="00837A4E"/>
    <w:rsid w:val="00837AAD"/>
    <w:rsid w:val="00837AB8"/>
    <w:rsid w:val="00837AFD"/>
    <w:rsid w:val="00837B37"/>
    <w:rsid w:val="00837B57"/>
    <w:rsid w:val="00837BAC"/>
    <w:rsid w:val="00837BD6"/>
    <w:rsid w:val="00837C26"/>
    <w:rsid w:val="00837C42"/>
    <w:rsid w:val="00837C72"/>
    <w:rsid w:val="00837CA9"/>
    <w:rsid w:val="00837CD5"/>
    <w:rsid w:val="00837CEF"/>
    <w:rsid w:val="00837D22"/>
    <w:rsid w:val="00837D3D"/>
    <w:rsid w:val="00837D71"/>
    <w:rsid w:val="00837DD8"/>
    <w:rsid w:val="00837E47"/>
    <w:rsid w:val="00837E90"/>
    <w:rsid w:val="00837EF0"/>
    <w:rsid w:val="00837EFD"/>
    <w:rsid w:val="00837F20"/>
    <w:rsid w:val="00837F4F"/>
    <w:rsid w:val="00837F77"/>
    <w:rsid w:val="00837F8E"/>
    <w:rsid w:val="00840085"/>
    <w:rsid w:val="00840094"/>
    <w:rsid w:val="00840096"/>
    <w:rsid w:val="008400AB"/>
    <w:rsid w:val="00840142"/>
    <w:rsid w:val="008401B8"/>
    <w:rsid w:val="00840242"/>
    <w:rsid w:val="0084024B"/>
    <w:rsid w:val="00840269"/>
    <w:rsid w:val="008402B5"/>
    <w:rsid w:val="008402D1"/>
    <w:rsid w:val="008402D5"/>
    <w:rsid w:val="008402E0"/>
    <w:rsid w:val="00840300"/>
    <w:rsid w:val="00840318"/>
    <w:rsid w:val="0084033A"/>
    <w:rsid w:val="00840377"/>
    <w:rsid w:val="0084037E"/>
    <w:rsid w:val="00840380"/>
    <w:rsid w:val="008403A8"/>
    <w:rsid w:val="008403C8"/>
    <w:rsid w:val="008403C9"/>
    <w:rsid w:val="008403D7"/>
    <w:rsid w:val="00840438"/>
    <w:rsid w:val="00840503"/>
    <w:rsid w:val="008405A5"/>
    <w:rsid w:val="00840677"/>
    <w:rsid w:val="008406C3"/>
    <w:rsid w:val="00840755"/>
    <w:rsid w:val="0084078F"/>
    <w:rsid w:val="008407B2"/>
    <w:rsid w:val="00840873"/>
    <w:rsid w:val="0084088A"/>
    <w:rsid w:val="008408C9"/>
    <w:rsid w:val="008408F4"/>
    <w:rsid w:val="00840905"/>
    <w:rsid w:val="0084090A"/>
    <w:rsid w:val="0084090C"/>
    <w:rsid w:val="0084093C"/>
    <w:rsid w:val="0084098C"/>
    <w:rsid w:val="0084098D"/>
    <w:rsid w:val="008409D1"/>
    <w:rsid w:val="008409DC"/>
    <w:rsid w:val="00840AAD"/>
    <w:rsid w:val="00840AE5"/>
    <w:rsid w:val="00840AEA"/>
    <w:rsid w:val="00840B1A"/>
    <w:rsid w:val="00840B22"/>
    <w:rsid w:val="00840B2A"/>
    <w:rsid w:val="00840B38"/>
    <w:rsid w:val="00840B80"/>
    <w:rsid w:val="00840B82"/>
    <w:rsid w:val="00840BC5"/>
    <w:rsid w:val="00840C0E"/>
    <w:rsid w:val="00840C3C"/>
    <w:rsid w:val="00840C5D"/>
    <w:rsid w:val="00840CC7"/>
    <w:rsid w:val="00840D1D"/>
    <w:rsid w:val="00840DB3"/>
    <w:rsid w:val="00840E04"/>
    <w:rsid w:val="00840EE1"/>
    <w:rsid w:val="00840F2D"/>
    <w:rsid w:val="00840F45"/>
    <w:rsid w:val="00840F71"/>
    <w:rsid w:val="00840F91"/>
    <w:rsid w:val="00840FAC"/>
    <w:rsid w:val="00840FDE"/>
    <w:rsid w:val="00840FE5"/>
    <w:rsid w:val="0084101E"/>
    <w:rsid w:val="00841029"/>
    <w:rsid w:val="0084102B"/>
    <w:rsid w:val="00841083"/>
    <w:rsid w:val="0084111F"/>
    <w:rsid w:val="00841185"/>
    <w:rsid w:val="008411A0"/>
    <w:rsid w:val="008411F6"/>
    <w:rsid w:val="00841233"/>
    <w:rsid w:val="0084123B"/>
    <w:rsid w:val="00841264"/>
    <w:rsid w:val="00841285"/>
    <w:rsid w:val="00841293"/>
    <w:rsid w:val="008412D8"/>
    <w:rsid w:val="0084130F"/>
    <w:rsid w:val="0084131F"/>
    <w:rsid w:val="00841324"/>
    <w:rsid w:val="00841350"/>
    <w:rsid w:val="0084135F"/>
    <w:rsid w:val="0084136F"/>
    <w:rsid w:val="0084139F"/>
    <w:rsid w:val="008413A8"/>
    <w:rsid w:val="00841484"/>
    <w:rsid w:val="008414D5"/>
    <w:rsid w:val="008414E0"/>
    <w:rsid w:val="0084153E"/>
    <w:rsid w:val="00841564"/>
    <w:rsid w:val="008415E2"/>
    <w:rsid w:val="008415E7"/>
    <w:rsid w:val="008415F7"/>
    <w:rsid w:val="008415FA"/>
    <w:rsid w:val="0084160B"/>
    <w:rsid w:val="00841619"/>
    <w:rsid w:val="0084162E"/>
    <w:rsid w:val="00841637"/>
    <w:rsid w:val="00841646"/>
    <w:rsid w:val="008416BC"/>
    <w:rsid w:val="008416CA"/>
    <w:rsid w:val="008417D5"/>
    <w:rsid w:val="008417F4"/>
    <w:rsid w:val="008417FE"/>
    <w:rsid w:val="00841837"/>
    <w:rsid w:val="008418E4"/>
    <w:rsid w:val="008418E5"/>
    <w:rsid w:val="008418F5"/>
    <w:rsid w:val="00841924"/>
    <w:rsid w:val="008419A8"/>
    <w:rsid w:val="008419BA"/>
    <w:rsid w:val="008419C2"/>
    <w:rsid w:val="008419C6"/>
    <w:rsid w:val="008419CB"/>
    <w:rsid w:val="00841A56"/>
    <w:rsid w:val="00841AA4"/>
    <w:rsid w:val="00841AC9"/>
    <w:rsid w:val="00841AFC"/>
    <w:rsid w:val="00841B64"/>
    <w:rsid w:val="00841B8C"/>
    <w:rsid w:val="00841BAA"/>
    <w:rsid w:val="00841BC6"/>
    <w:rsid w:val="00841BCF"/>
    <w:rsid w:val="00841C57"/>
    <w:rsid w:val="00841CC2"/>
    <w:rsid w:val="00841CFD"/>
    <w:rsid w:val="00841D95"/>
    <w:rsid w:val="00841D9C"/>
    <w:rsid w:val="00841DDB"/>
    <w:rsid w:val="00841E1F"/>
    <w:rsid w:val="00841E33"/>
    <w:rsid w:val="00841F20"/>
    <w:rsid w:val="00841F4E"/>
    <w:rsid w:val="00841FAF"/>
    <w:rsid w:val="00841FB0"/>
    <w:rsid w:val="00841FDC"/>
    <w:rsid w:val="00841FFF"/>
    <w:rsid w:val="00842006"/>
    <w:rsid w:val="00842012"/>
    <w:rsid w:val="00842062"/>
    <w:rsid w:val="0084209D"/>
    <w:rsid w:val="008420A7"/>
    <w:rsid w:val="008420AE"/>
    <w:rsid w:val="008420B2"/>
    <w:rsid w:val="008420F5"/>
    <w:rsid w:val="00842124"/>
    <w:rsid w:val="0084213D"/>
    <w:rsid w:val="0084213F"/>
    <w:rsid w:val="0084216E"/>
    <w:rsid w:val="008421BF"/>
    <w:rsid w:val="008421F6"/>
    <w:rsid w:val="00842213"/>
    <w:rsid w:val="0084221A"/>
    <w:rsid w:val="0084222E"/>
    <w:rsid w:val="00842315"/>
    <w:rsid w:val="0084233D"/>
    <w:rsid w:val="00842364"/>
    <w:rsid w:val="008423E1"/>
    <w:rsid w:val="008423E2"/>
    <w:rsid w:val="00842421"/>
    <w:rsid w:val="00842439"/>
    <w:rsid w:val="00842457"/>
    <w:rsid w:val="00842470"/>
    <w:rsid w:val="008424E5"/>
    <w:rsid w:val="008424F3"/>
    <w:rsid w:val="0084252D"/>
    <w:rsid w:val="0084258C"/>
    <w:rsid w:val="008425A0"/>
    <w:rsid w:val="008425B5"/>
    <w:rsid w:val="00842666"/>
    <w:rsid w:val="0084268D"/>
    <w:rsid w:val="008426AB"/>
    <w:rsid w:val="008426E3"/>
    <w:rsid w:val="0084271F"/>
    <w:rsid w:val="00842724"/>
    <w:rsid w:val="00842749"/>
    <w:rsid w:val="00842787"/>
    <w:rsid w:val="008427B2"/>
    <w:rsid w:val="008427CA"/>
    <w:rsid w:val="00842834"/>
    <w:rsid w:val="0084286F"/>
    <w:rsid w:val="008428D5"/>
    <w:rsid w:val="00842920"/>
    <w:rsid w:val="00842971"/>
    <w:rsid w:val="00842A2D"/>
    <w:rsid w:val="00842A75"/>
    <w:rsid w:val="00842ABF"/>
    <w:rsid w:val="00842ACD"/>
    <w:rsid w:val="00842ADE"/>
    <w:rsid w:val="00842AEC"/>
    <w:rsid w:val="00842AF4"/>
    <w:rsid w:val="00842B6B"/>
    <w:rsid w:val="00842B8E"/>
    <w:rsid w:val="00842BA1"/>
    <w:rsid w:val="00842C6A"/>
    <w:rsid w:val="00842C82"/>
    <w:rsid w:val="00842C85"/>
    <w:rsid w:val="00842CA0"/>
    <w:rsid w:val="00842CC9"/>
    <w:rsid w:val="00842CD7"/>
    <w:rsid w:val="00842D24"/>
    <w:rsid w:val="00842D38"/>
    <w:rsid w:val="00842DB8"/>
    <w:rsid w:val="00842DD3"/>
    <w:rsid w:val="00842DE6"/>
    <w:rsid w:val="00842DEF"/>
    <w:rsid w:val="00842E09"/>
    <w:rsid w:val="00842E43"/>
    <w:rsid w:val="00842E56"/>
    <w:rsid w:val="00842E58"/>
    <w:rsid w:val="00842E94"/>
    <w:rsid w:val="00842EB5"/>
    <w:rsid w:val="0084300F"/>
    <w:rsid w:val="00843033"/>
    <w:rsid w:val="00843043"/>
    <w:rsid w:val="00843054"/>
    <w:rsid w:val="00843093"/>
    <w:rsid w:val="008430E9"/>
    <w:rsid w:val="00843171"/>
    <w:rsid w:val="008431D2"/>
    <w:rsid w:val="00843205"/>
    <w:rsid w:val="0084333C"/>
    <w:rsid w:val="00843361"/>
    <w:rsid w:val="00843385"/>
    <w:rsid w:val="008433B2"/>
    <w:rsid w:val="008433F3"/>
    <w:rsid w:val="00843412"/>
    <w:rsid w:val="0084349B"/>
    <w:rsid w:val="0084349F"/>
    <w:rsid w:val="00843533"/>
    <w:rsid w:val="00843538"/>
    <w:rsid w:val="0084353A"/>
    <w:rsid w:val="0084358C"/>
    <w:rsid w:val="00843612"/>
    <w:rsid w:val="0084368D"/>
    <w:rsid w:val="008436B3"/>
    <w:rsid w:val="008436C8"/>
    <w:rsid w:val="008436D8"/>
    <w:rsid w:val="008436E7"/>
    <w:rsid w:val="008436EF"/>
    <w:rsid w:val="0084376B"/>
    <w:rsid w:val="00843791"/>
    <w:rsid w:val="008437AB"/>
    <w:rsid w:val="008437B6"/>
    <w:rsid w:val="008437E5"/>
    <w:rsid w:val="0084382A"/>
    <w:rsid w:val="0084384D"/>
    <w:rsid w:val="008438AA"/>
    <w:rsid w:val="008438E5"/>
    <w:rsid w:val="00843997"/>
    <w:rsid w:val="008439B3"/>
    <w:rsid w:val="00843A1F"/>
    <w:rsid w:val="00843A34"/>
    <w:rsid w:val="00843A47"/>
    <w:rsid w:val="00843A4B"/>
    <w:rsid w:val="00843A6E"/>
    <w:rsid w:val="00843A8F"/>
    <w:rsid w:val="00843A94"/>
    <w:rsid w:val="00843AE6"/>
    <w:rsid w:val="00843AF1"/>
    <w:rsid w:val="00843B24"/>
    <w:rsid w:val="00843BE9"/>
    <w:rsid w:val="00843BF7"/>
    <w:rsid w:val="00843C13"/>
    <w:rsid w:val="00843C3E"/>
    <w:rsid w:val="00843C78"/>
    <w:rsid w:val="00843CE7"/>
    <w:rsid w:val="00843D4C"/>
    <w:rsid w:val="00843D6C"/>
    <w:rsid w:val="00843D7F"/>
    <w:rsid w:val="00843E8D"/>
    <w:rsid w:val="00843ED3"/>
    <w:rsid w:val="00843F10"/>
    <w:rsid w:val="00843F73"/>
    <w:rsid w:val="00843F7B"/>
    <w:rsid w:val="00843F7E"/>
    <w:rsid w:val="00843F93"/>
    <w:rsid w:val="00843F9A"/>
    <w:rsid w:val="00843FAE"/>
    <w:rsid w:val="0084406C"/>
    <w:rsid w:val="008440CE"/>
    <w:rsid w:val="008440F5"/>
    <w:rsid w:val="008440F6"/>
    <w:rsid w:val="008440FA"/>
    <w:rsid w:val="00844106"/>
    <w:rsid w:val="00844108"/>
    <w:rsid w:val="00844189"/>
    <w:rsid w:val="008441F5"/>
    <w:rsid w:val="00844239"/>
    <w:rsid w:val="0084428E"/>
    <w:rsid w:val="008442EA"/>
    <w:rsid w:val="0084433C"/>
    <w:rsid w:val="00844352"/>
    <w:rsid w:val="00844386"/>
    <w:rsid w:val="00844387"/>
    <w:rsid w:val="008443A9"/>
    <w:rsid w:val="0084440E"/>
    <w:rsid w:val="0084442A"/>
    <w:rsid w:val="008444AA"/>
    <w:rsid w:val="008445B9"/>
    <w:rsid w:val="008445CD"/>
    <w:rsid w:val="00844664"/>
    <w:rsid w:val="00844686"/>
    <w:rsid w:val="008446CC"/>
    <w:rsid w:val="00844754"/>
    <w:rsid w:val="008447C2"/>
    <w:rsid w:val="00844808"/>
    <w:rsid w:val="00844817"/>
    <w:rsid w:val="00844821"/>
    <w:rsid w:val="00844847"/>
    <w:rsid w:val="008448BD"/>
    <w:rsid w:val="008448C9"/>
    <w:rsid w:val="008448D0"/>
    <w:rsid w:val="008449C1"/>
    <w:rsid w:val="008449EB"/>
    <w:rsid w:val="008449FD"/>
    <w:rsid w:val="00844A9E"/>
    <w:rsid w:val="00844AA0"/>
    <w:rsid w:val="00844AA9"/>
    <w:rsid w:val="00844AE1"/>
    <w:rsid w:val="00844AE2"/>
    <w:rsid w:val="00844B19"/>
    <w:rsid w:val="00844B47"/>
    <w:rsid w:val="00844B71"/>
    <w:rsid w:val="00844BA6"/>
    <w:rsid w:val="00844BB5"/>
    <w:rsid w:val="00844BCF"/>
    <w:rsid w:val="00844BE7"/>
    <w:rsid w:val="00844C04"/>
    <w:rsid w:val="00844C7F"/>
    <w:rsid w:val="00844C89"/>
    <w:rsid w:val="00844C9B"/>
    <w:rsid w:val="00844CA9"/>
    <w:rsid w:val="00844CD4"/>
    <w:rsid w:val="00844D1D"/>
    <w:rsid w:val="00844D6D"/>
    <w:rsid w:val="00844D89"/>
    <w:rsid w:val="00844DB4"/>
    <w:rsid w:val="00844DCF"/>
    <w:rsid w:val="00844E5C"/>
    <w:rsid w:val="00844EA4"/>
    <w:rsid w:val="00844F17"/>
    <w:rsid w:val="00844F8B"/>
    <w:rsid w:val="00844FA5"/>
    <w:rsid w:val="00844FAD"/>
    <w:rsid w:val="00844FBB"/>
    <w:rsid w:val="00845055"/>
    <w:rsid w:val="0084507C"/>
    <w:rsid w:val="00845083"/>
    <w:rsid w:val="008450CA"/>
    <w:rsid w:val="00845104"/>
    <w:rsid w:val="00845117"/>
    <w:rsid w:val="00845137"/>
    <w:rsid w:val="00845149"/>
    <w:rsid w:val="00845185"/>
    <w:rsid w:val="0084518C"/>
    <w:rsid w:val="008451AA"/>
    <w:rsid w:val="008451FD"/>
    <w:rsid w:val="00845259"/>
    <w:rsid w:val="00845296"/>
    <w:rsid w:val="008452AD"/>
    <w:rsid w:val="008452C3"/>
    <w:rsid w:val="0084531E"/>
    <w:rsid w:val="00845365"/>
    <w:rsid w:val="00845401"/>
    <w:rsid w:val="0084542E"/>
    <w:rsid w:val="00845451"/>
    <w:rsid w:val="008454B5"/>
    <w:rsid w:val="008454DA"/>
    <w:rsid w:val="00845503"/>
    <w:rsid w:val="00845524"/>
    <w:rsid w:val="008455B3"/>
    <w:rsid w:val="0084563E"/>
    <w:rsid w:val="00845691"/>
    <w:rsid w:val="008456AC"/>
    <w:rsid w:val="008456AE"/>
    <w:rsid w:val="008456C5"/>
    <w:rsid w:val="00845706"/>
    <w:rsid w:val="00845722"/>
    <w:rsid w:val="00845743"/>
    <w:rsid w:val="0084576C"/>
    <w:rsid w:val="00845771"/>
    <w:rsid w:val="00845779"/>
    <w:rsid w:val="00845856"/>
    <w:rsid w:val="0084589A"/>
    <w:rsid w:val="0084598A"/>
    <w:rsid w:val="008459AA"/>
    <w:rsid w:val="008459F1"/>
    <w:rsid w:val="00845A23"/>
    <w:rsid w:val="00845B46"/>
    <w:rsid w:val="00845BF0"/>
    <w:rsid w:val="00845BF2"/>
    <w:rsid w:val="00845C4E"/>
    <w:rsid w:val="00845C72"/>
    <w:rsid w:val="00845C83"/>
    <w:rsid w:val="00845CE7"/>
    <w:rsid w:val="00845D12"/>
    <w:rsid w:val="00845D19"/>
    <w:rsid w:val="00845D38"/>
    <w:rsid w:val="00845DCC"/>
    <w:rsid w:val="00845F0F"/>
    <w:rsid w:val="00845F41"/>
    <w:rsid w:val="00846054"/>
    <w:rsid w:val="0084606C"/>
    <w:rsid w:val="0084607A"/>
    <w:rsid w:val="0084607F"/>
    <w:rsid w:val="008460E4"/>
    <w:rsid w:val="008460F1"/>
    <w:rsid w:val="0084610B"/>
    <w:rsid w:val="00846172"/>
    <w:rsid w:val="0084624F"/>
    <w:rsid w:val="0084628F"/>
    <w:rsid w:val="008462F1"/>
    <w:rsid w:val="0084631A"/>
    <w:rsid w:val="0084636D"/>
    <w:rsid w:val="0084639E"/>
    <w:rsid w:val="008463FB"/>
    <w:rsid w:val="0084643C"/>
    <w:rsid w:val="00846452"/>
    <w:rsid w:val="008464AD"/>
    <w:rsid w:val="008464B1"/>
    <w:rsid w:val="008464BA"/>
    <w:rsid w:val="008464DC"/>
    <w:rsid w:val="00846501"/>
    <w:rsid w:val="0084653B"/>
    <w:rsid w:val="00846566"/>
    <w:rsid w:val="00846590"/>
    <w:rsid w:val="008465E5"/>
    <w:rsid w:val="00846636"/>
    <w:rsid w:val="00846660"/>
    <w:rsid w:val="0084669C"/>
    <w:rsid w:val="00846719"/>
    <w:rsid w:val="0084675A"/>
    <w:rsid w:val="00846781"/>
    <w:rsid w:val="00846786"/>
    <w:rsid w:val="008467BC"/>
    <w:rsid w:val="008467C1"/>
    <w:rsid w:val="008467E1"/>
    <w:rsid w:val="0084682C"/>
    <w:rsid w:val="00846841"/>
    <w:rsid w:val="00846854"/>
    <w:rsid w:val="00846856"/>
    <w:rsid w:val="0084685B"/>
    <w:rsid w:val="008468CE"/>
    <w:rsid w:val="008468D2"/>
    <w:rsid w:val="008468F8"/>
    <w:rsid w:val="00846901"/>
    <w:rsid w:val="00846946"/>
    <w:rsid w:val="00846947"/>
    <w:rsid w:val="008469CE"/>
    <w:rsid w:val="00846A35"/>
    <w:rsid w:val="00846A3D"/>
    <w:rsid w:val="00846A74"/>
    <w:rsid w:val="00846B08"/>
    <w:rsid w:val="00846B63"/>
    <w:rsid w:val="00846C31"/>
    <w:rsid w:val="00846C9F"/>
    <w:rsid w:val="00846D2D"/>
    <w:rsid w:val="00846D3D"/>
    <w:rsid w:val="00846D48"/>
    <w:rsid w:val="00846D55"/>
    <w:rsid w:val="00846D6B"/>
    <w:rsid w:val="00846D87"/>
    <w:rsid w:val="00846E17"/>
    <w:rsid w:val="00846E34"/>
    <w:rsid w:val="00846E7E"/>
    <w:rsid w:val="00846E7F"/>
    <w:rsid w:val="00846EC0"/>
    <w:rsid w:val="00846ECB"/>
    <w:rsid w:val="00846ED7"/>
    <w:rsid w:val="00846F63"/>
    <w:rsid w:val="00846F6B"/>
    <w:rsid w:val="00846FB8"/>
    <w:rsid w:val="00846FBC"/>
    <w:rsid w:val="00846FCC"/>
    <w:rsid w:val="00846FD5"/>
    <w:rsid w:val="00847019"/>
    <w:rsid w:val="00847067"/>
    <w:rsid w:val="008470CA"/>
    <w:rsid w:val="008470CC"/>
    <w:rsid w:val="008470E9"/>
    <w:rsid w:val="008470FD"/>
    <w:rsid w:val="008471C5"/>
    <w:rsid w:val="00847255"/>
    <w:rsid w:val="0084728B"/>
    <w:rsid w:val="008472C1"/>
    <w:rsid w:val="0084731A"/>
    <w:rsid w:val="00847350"/>
    <w:rsid w:val="0084737C"/>
    <w:rsid w:val="0084738A"/>
    <w:rsid w:val="008473D3"/>
    <w:rsid w:val="00847403"/>
    <w:rsid w:val="0084742A"/>
    <w:rsid w:val="00847465"/>
    <w:rsid w:val="00847524"/>
    <w:rsid w:val="00847568"/>
    <w:rsid w:val="00847587"/>
    <w:rsid w:val="008475A7"/>
    <w:rsid w:val="008476D6"/>
    <w:rsid w:val="0084770C"/>
    <w:rsid w:val="0084770D"/>
    <w:rsid w:val="0084776C"/>
    <w:rsid w:val="008477A1"/>
    <w:rsid w:val="008477A9"/>
    <w:rsid w:val="008477E5"/>
    <w:rsid w:val="008477F1"/>
    <w:rsid w:val="00847888"/>
    <w:rsid w:val="00847917"/>
    <w:rsid w:val="0084794C"/>
    <w:rsid w:val="00847988"/>
    <w:rsid w:val="008479DB"/>
    <w:rsid w:val="00847A0E"/>
    <w:rsid w:val="00847A88"/>
    <w:rsid w:val="00847A8B"/>
    <w:rsid w:val="00847AD5"/>
    <w:rsid w:val="00847AE3"/>
    <w:rsid w:val="00847B14"/>
    <w:rsid w:val="00847BC5"/>
    <w:rsid w:val="00847BD2"/>
    <w:rsid w:val="00847C4E"/>
    <w:rsid w:val="00847C52"/>
    <w:rsid w:val="00847C91"/>
    <w:rsid w:val="00847C95"/>
    <w:rsid w:val="00847D0E"/>
    <w:rsid w:val="00847D7F"/>
    <w:rsid w:val="00847D8A"/>
    <w:rsid w:val="00847DA7"/>
    <w:rsid w:val="00847DC4"/>
    <w:rsid w:val="00847DCD"/>
    <w:rsid w:val="00847E44"/>
    <w:rsid w:val="00847F36"/>
    <w:rsid w:val="00847F64"/>
    <w:rsid w:val="0085003D"/>
    <w:rsid w:val="00850096"/>
    <w:rsid w:val="008500DD"/>
    <w:rsid w:val="008500EB"/>
    <w:rsid w:val="008501AC"/>
    <w:rsid w:val="008501B8"/>
    <w:rsid w:val="008501CB"/>
    <w:rsid w:val="008501E3"/>
    <w:rsid w:val="0085024B"/>
    <w:rsid w:val="008502D5"/>
    <w:rsid w:val="00850303"/>
    <w:rsid w:val="0085030E"/>
    <w:rsid w:val="00850321"/>
    <w:rsid w:val="00850351"/>
    <w:rsid w:val="008503E3"/>
    <w:rsid w:val="0085042E"/>
    <w:rsid w:val="0085044E"/>
    <w:rsid w:val="008504A6"/>
    <w:rsid w:val="0085051D"/>
    <w:rsid w:val="00850549"/>
    <w:rsid w:val="008505E5"/>
    <w:rsid w:val="0085063C"/>
    <w:rsid w:val="0085071B"/>
    <w:rsid w:val="0085073B"/>
    <w:rsid w:val="008507BB"/>
    <w:rsid w:val="008507CB"/>
    <w:rsid w:val="008507FC"/>
    <w:rsid w:val="0085080A"/>
    <w:rsid w:val="0085081A"/>
    <w:rsid w:val="00850869"/>
    <w:rsid w:val="008508EB"/>
    <w:rsid w:val="008508F9"/>
    <w:rsid w:val="0085097B"/>
    <w:rsid w:val="008509B8"/>
    <w:rsid w:val="00850A39"/>
    <w:rsid w:val="00850A4D"/>
    <w:rsid w:val="00850AB0"/>
    <w:rsid w:val="00850B1A"/>
    <w:rsid w:val="00850B74"/>
    <w:rsid w:val="00850B90"/>
    <w:rsid w:val="00850BC6"/>
    <w:rsid w:val="00850BEC"/>
    <w:rsid w:val="00850C15"/>
    <w:rsid w:val="00850C17"/>
    <w:rsid w:val="00850CB6"/>
    <w:rsid w:val="00850CD3"/>
    <w:rsid w:val="00850CF6"/>
    <w:rsid w:val="00850D40"/>
    <w:rsid w:val="00850E19"/>
    <w:rsid w:val="00850E32"/>
    <w:rsid w:val="00850E4F"/>
    <w:rsid w:val="00850EA0"/>
    <w:rsid w:val="00850F20"/>
    <w:rsid w:val="00850F51"/>
    <w:rsid w:val="00850F73"/>
    <w:rsid w:val="00850FA3"/>
    <w:rsid w:val="00850FB1"/>
    <w:rsid w:val="00850FC6"/>
    <w:rsid w:val="0085102A"/>
    <w:rsid w:val="0085105D"/>
    <w:rsid w:val="00851076"/>
    <w:rsid w:val="008510D7"/>
    <w:rsid w:val="008510E3"/>
    <w:rsid w:val="0085112F"/>
    <w:rsid w:val="008511F6"/>
    <w:rsid w:val="00851219"/>
    <w:rsid w:val="0085122E"/>
    <w:rsid w:val="00851372"/>
    <w:rsid w:val="00851390"/>
    <w:rsid w:val="008513C9"/>
    <w:rsid w:val="008513DF"/>
    <w:rsid w:val="0085142A"/>
    <w:rsid w:val="00851470"/>
    <w:rsid w:val="0085148E"/>
    <w:rsid w:val="008514AA"/>
    <w:rsid w:val="008514D3"/>
    <w:rsid w:val="008514F9"/>
    <w:rsid w:val="00851517"/>
    <w:rsid w:val="00851532"/>
    <w:rsid w:val="00851581"/>
    <w:rsid w:val="00851598"/>
    <w:rsid w:val="00851613"/>
    <w:rsid w:val="008516ED"/>
    <w:rsid w:val="0085171F"/>
    <w:rsid w:val="00851733"/>
    <w:rsid w:val="00851743"/>
    <w:rsid w:val="0085178E"/>
    <w:rsid w:val="008517A4"/>
    <w:rsid w:val="008517C5"/>
    <w:rsid w:val="00851854"/>
    <w:rsid w:val="00851877"/>
    <w:rsid w:val="00851963"/>
    <w:rsid w:val="008519F9"/>
    <w:rsid w:val="008519FE"/>
    <w:rsid w:val="00851A22"/>
    <w:rsid w:val="00851A4E"/>
    <w:rsid w:val="00851A5E"/>
    <w:rsid w:val="00851A7E"/>
    <w:rsid w:val="00851AB2"/>
    <w:rsid w:val="00851B17"/>
    <w:rsid w:val="00851B2D"/>
    <w:rsid w:val="00851B30"/>
    <w:rsid w:val="00851B9F"/>
    <w:rsid w:val="00851BB7"/>
    <w:rsid w:val="00851BFC"/>
    <w:rsid w:val="00851CB9"/>
    <w:rsid w:val="00851CCA"/>
    <w:rsid w:val="00851CD5"/>
    <w:rsid w:val="00851D11"/>
    <w:rsid w:val="00851D46"/>
    <w:rsid w:val="00851D7A"/>
    <w:rsid w:val="00851DE0"/>
    <w:rsid w:val="00851E53"/>
    <w:rsid w:val="00851E6D"/>
    <w:rsid w:val="00851EE9"/>
    <w:rsid w:val="00851EEF"/>
    <w:rsid w:val="00851FE8"/>
    <w:rsid w:val="00851FF0"/>
    <w:rsid w:val="00852022"/>
    <w:rsid w:val="0085208C"/>
    <w:rsid w:val="008520D4"/>
    <w:rsid w:val="008520D6"/>
    <w:rsid w:val="008520E6"/>
    <w:rsid w:val="00852107"/>
    <w:rsid w:val="0085218A"/>
    <w:rsid w:val="008521BF"/>
    <w:rsid w:val="008521C4"/>
    <w:rsid w:val="008521C6"/>
    <w:rsid w:val="008521D4"/>
    <w:rsid w:val="0085224E"/>
    <w:rsid w:val="0085225A"/>
    <w:rsid w:val="0085225E"/>
    <w:rsid w:val="0085226A"/>
    <w:rsid w:val="00852295"/>
    <w:rsid w:val="008522B8"/>
    <w:rsid w:val="008522C0"/>
    <w:rsid w:val="0085230F"/>
    <w:rsid w:val="00852361"/>
    <w:rsid w:val="0085237D"/>
    <w:rsid w:val="00852454"/>
    <w:rsid w:val="00852477"/>
    <w:rsid w:val="0085248A"/>
    <w:rsid w:val="0085249D"/>
    <w:rsid w:val="0085254D"/>
    <w:rsid w:val="00852554"/>
    <w:rsid w:val="00852568"/>
    <w:rsid w:val="008525BD"/>
    <w:rsid w:val="00852667"/>
    <w:rsid w:val="0085268C"/>
    <w:rsid w:val="0085269F"/>
    <w:rsid w:val="008526D7"/>
    <w:rsid w:val="008526E0"/>
    <w:rsid w:val="008526EA"/>
    <w:rsid w:val="00852763"/>
    <w:rsid w:val="008527FC"/>
    <w:rsid w:val="00852836"/>
    <w:rsid w:val="00852895"/>
    <w:rsid w:val="0085294B"/>
    <w:rsid w:val="00852978"/>
    <w:rsid w:val="00852998"/>
    <w:rsid w:val="00852A00"/>
    <w:rsid w:val="00852A2D"/>
    <w:rsid w:val="00852A76"/>
    <w:rsid w:val="00852A8E"/>
    <w:rsid w:val="00852B0F"/>
    <w:rsid w:val="00852B36"/>
    <w:rsid w:val="00852B92"/>
    <w:rsid w:val="00852C7E"/>
    <w:rsid w:val="00852C87"/>
    <w:rsid w:val="00852C9F"/>
    <w:rsid w:val="00852CA9"/>
    <w:rsid w:val="00852CAD"/>
    <w:rsid w:val="00852D3A"/>
    <w:rsid w:val="00852D46"/>
    <w:rsid w:val="00852D74"/>
    <w:rsid w:val="00852D83"/>
    <w:rsid w:val="00852E2E"/>
    <w:rsid w:val="00852E3F"/>
    <w:rsid w:val="00852E6C"/>
    <w:rsid w:val="00852ED2"/>
    <w:rsid w:val="00852EEF"/>
    <w:rsid w:val="00852EFB"/>
    <w:rsid w:val="00852F76"/>
    <w:rsid w:val="00852FA0"/>
    <w:rsid w:val="00852FB1"/>
    <w:rsid w:val="00852FC7"/>
    <w:rsid w:val="008530EC"/>
    <w:rsid w:val="008530FA"/>
    <w:rsid w:val="00853127"/>
    <w:rsid w:val="00853129"/>
    <w:rsid w:val="00853208"/>
    <w:rsid w:val="00853255"/>
    <w:rsid w:val="0085325D"/>
    <w:rsid w:val="00853268"/>
    <w:rsid w:val="00853291"/>
    <w:rsid w:val="008532C2"/>
    <w:rsid w:val="008532FB"/>
    <w:rsid w:val="0085334F"/>
    <w:rsid w:val="008533E2"/>
    <w:rsid w:val="00853410"/>
    <w:rsid w:val="00853434"/>
    <w:rsid w:val="00853497"/>
    <w:rsid w:val="008534BD"/>
    <w:rsid w:val="008534FB"/>
    <w:rsid w:val="0085352D"/>
    <w:rsid w:val="0085360F"/>
    <w:rsid w:val="0085368E"/>
    <w:rsid w:val="00853700"/>
    <w:rsid w:val="00853726"/>
    <w:rsid w:val="00853749"/>
    <w:rsid w:val="0085378E"/>
    <w:rsid w:val="0085380E"/>
    <w:rsid w:val="00853846"/>
    <w:rsid w:val="0085392C"/>
    <w:rsid w:val="00853933"/>
    <w:rsid w:val="008539B1"/>
    <w:rsid w:val="00853A0F"/>
    <w:rsid w:val="00853A20"/>
    <w:rsid w:val="00853A3A"/>
    <w:rsid w:val="00853A76"/>
    <w:rsid w:val="00853A9E"/>
    <w:rsid w:val="00853AB3"/>
    <w:rsid w:val="00853ABF"/>
    <w:rsid w:val="00853B0F"/>
    <w:rsid w:val="00853BB2"/>
    <w:rsid w:val="00853BE1"/>
    <w:rsid w:val="00853C21"/>
    <w:rsid w:val="00853C39"/>
    <w:rsid w:val="00853D56"/>
    <w:rsid w:val="00853D68"/>
    <w:rsid w:val="00853E8B"/>
    <w:rsid w:val="00853EF4"/>
    <w:rsid w:val="00853F8B"/>
    <w:rsid w:val="00853FB8"/>
    <w:rsid w:val="00853FBC"/>
    <w:rsid w:val="00853FD3"/>
    <w:rsid w:val="008540A8"/>
    <w:rsid w:val="008540CD"/>
    <w:rsid w:val="0085413D"/>
    <w:rsid w:val="0085415B"/>
    <w:rsid w:val="00854197"/>
    <w:rsid w:val="00854208"/>
    <w:rsid w:val="00854258"/>
    <w:rsid w:val="00854261"/>
    <w:rsid w:val="0085426B"/>
    <w:rsid w:val="00854302"/>
    <w:rsid w:val="0085433D"/>
    <w:rsid w:val="0085434C"/>
    <w:rsid w:val="00854372"/>
    <w:rsid w:val="00854379"/>
    <w:rsid w:val="00854400"/>
    <w:rsid w:val="0085442F"/>
    <w:rsid w:val="0085444F"/>
    <w:rsid w:val="0085447D"/>
    <w:rsid w:val="008544B4"/>
    <w:rsid w:val="008544EF"/>
    <w:rsid w:val="00854507"/>
    <w:rsid w:val="0085454C"/>
    <w:rsid w:val="0085459E"/>
    <w:rsid w:val="008545D1"/>
    <w:rsid w:val="008545DC"/>
    <w:rsid w:val="00854612"/>
    <w:rsid w:val="00854647"/>
    <w:rsid w:val="0085464D"/>
    <w:rsid w:val="0085465A"/>
    <w:rsid w:val="008546E8"/>
    <w:rsid w:val="008546F6"/>
    <w:rsid w:val="00854737"/>
    <w:rsid w:val="0085473E"/>
    <w:rsid w:val="00854777"/>
    <w:rsid w:val="008547B7"/>
    <w:rsid w:val="00854811"/>
    <w:rsid w:val="008548C7"/>
    <w:rsid w:val="008548DA"/>
    <w:rsid w:val="008548FE"/>
    <w:rsid w:val="00854973"/>
    <w:rsid w:val="008549A2"/>
    <w:rsid w:val="008549E3"/>
    <w:rsid w:val="008549FE"/>
    <w:rsid w:val="00854A04"/>
    <w:rsid w:val="00854A26"/>
    <w:rsid w:val="00854A75"/>
    <w:rsid w:val="00854AA3"/>
    <w:rsid w:val="00854ABD"/>
    <w:rsid w:val="00854AC5"/>
    <w:rsid w:val="00854AD4"/>
    <w:rsid w:val="00854B75"/>
    <w:rsid w:val="00854B7B"/>
    <w:rsid w:val="00854B96"/>
    <w:rsid w:val="00854BA5"/>
    <w:rsid w:val="00854BAB"/>
    <w:rsid w:val="00854C18"/>
    <w:rsid w:val="00854CD7"/>
    <w:rsid w:val="00854D14"/>
    <w:rsid w:val="00854D1D"/>
    <w:rsid w:val="00854D23"/>
    <w:rsid w:val="00854D34"/>
    <w:rsid w:val="00854D5C"/>
    <w:rsid w:val="00854DC6"/>
    <w:rsid w:val="00854F28"/>
    <w:rsid w:val="00854F4F"/>
    <w:rsid w:val="00854F53"/>
    <w:rsid w:val="00854FE1"/>
    <w:rsid w:val="0085504B"/>
    <w:rsid w:val="00855051"/>
    <w:rsid w:val="00855065"/>
    <w:rsid w:val="0085512C"/>
    <w:rsid w:val="0085515A"/>
    <w:rsid w:val="00855265"/>
    <w:rsid w:val="0085527A"/>
    <w:rsid w:val="0085527B"/>
    <w:rsid w:val="00855295"/>
    <w:rsid w:val="008552F7"/>
    <w:rsid w:val="00855354"/>
    <w:rsid w:val="008553D6"/>
    <w:rsid w:val="0085541F"/>
    <w:rsid w:val="00855471"/>
    <w:rsid w:val="0085548C"/>
    <w:rsid w:val="0085549A"/>
    <w:rsid w:val="008554A9"/>
    <w:rsid w:val="00855538"/>
    <w:rsid w:val="00855542"/>
    <w:rsid w:val="008555AA"/>
    <w:rsid w:val="008555D8"/>
    <w:rsid w:val="008555E3"/>
    <w:rsid w:val="00855621"/>
    <w:rsid w:val="0085569A"/>
    <w:rsid w:val="008556B0"/>
    <w:rsid w:val="008556B3"/>
    <w:rsid w:val="008556C8"/>
    <w:rsid w:val="008556CC"/>
    <w:rsid w:val="0085578F"/>
    <w:rsid w:val="00855790"/>
    <w:rsid w:val="00855796"/>
    <w:rsid w:val="00855858"/>
    <w:rsid w:val="0085593C"/>
    <w:rsid w:val="0085595A"/>
    <w:rsid w:val="0085595B"/>
    <w:rsid w:val="008559D4"/>
    <w:rsid w:val="00855A0E"/>
    <w:rsid w:val="00855A44"/>
    <w:rsid w:val="00855A4F"/>
    <w:rsid w:val="00855AF2"/>
    <w:rsid w:val="00855B60"/>
    <w:rsid w:val="00855B75"/>
    <w:rsid w:val="00855B7C"/>
    <w:rsid w:val="00855B84"/>
    <w:rsid w:val="00855B93"/>
    <w:rsid w:val="00855BF8"/>
    <w:rsid w:val="00855C09"/>
    <w:rsid w:val="00855C0B"/>
    <w:rsid w:val="00855C63"/>
    <w:rsid w:val="00855C73"/>
    <w:rsid w:val="00855D36"/>
    <w:rsid w:val="00855DB5"/>
    <w:rsid w:val="00855DE3"/>
    <w:rsid w:val="00855E3F"/>
    <w:rsid w:val="00855E6D"/>
    <w:rsid w:val="00855EC8"/>
    <w:rsid w:val="00855EEE"/>
    <w:rsid w:val="00855F3A"/>
    <w:rsid w:val="00855F83"/>
    <w:rsid w:val="00855F97"/>
    <w:rsid w:val="00855F9A"/>
    <w:rsid w:val="00855FDC"/>
    <w:rsid w:val="00855FEF"/>
    <w:rsid w:val="0085602C"/>
    <w:rsid w:val="008560A1"/>
    <w:rsid w:val="0085615F"/>
    <w:rsid w:val="0085617C"/>
    <w:rsid w:val="00856189"/>
    <w:rsid w:val="008561B4"/>
    <w:rsid w:val="0085623A"/>
    <w:rsid w:val="0085626E"/>
    <w:rsid w:val="0085628D"/>
    <w:rsid w:val="008562C8"/>
    <w:rsid w:val="008562F0"/>
    <w:rsid w:val="00856336"/>
    <w:rsid w:val="00856341"/>
    <w:rsid w:val="008563A5"/>
    <w:rsid w:val="008563B2"/>
    <w:rsid w:val="008563D5"/>
    <w:rsid w:val="008564C1"/>
    <w:rsid w:val="0085655E"/>
    <w:rsid w:val="00856560"/>
    <w:rsid w:val="00856578"/>
    <w:rsid w:val="0085661E"/>
    <w:rsid w:val="008566A8"/>
    <w:rsid w:val="0085679A"/>
    <w:rsid w:val="0085684C"/>
    <w:rsid w:val="00856851"/>
    <w:rsid w:val="008568BA"/>
    <w:rsid w:val="008569E9"/>
    <w:rsid w:val="008569FD"/>
    <w:rsid w:val="00856A2C"/>
    <w:rsid w:val="00856A3A"/>
    <w:rsid w:val="00856AA9"/>
    <w:rsid w:val="00856AAD"/>
    <w:rsid w:val="00856AB7"/>
    <w:rsid w:val="00856B05"/>
    <w:rsid w:val="00856B8C"/>
    <w:rsid w:val="00856C2A"/>
    <w:rsid w:val="00856C4D"/>
    <w:rsid w:val="00856CA6"/>
    <w:rsid w:val="00856CD5"/>
    <w:rsid w:val="00856CE5"/>
    <w:rsid w:val="00856CF2"/>
    <w:rsid w:val="00856D40"/>
    <w:rsid w:val="00856DC0"/>
    <w:rsid w:val="00856E4A"/>
    <w:rsid w:val="00856E51"/>
    <w:rsid w:val="00856E59"/>
    <w:rsid w:val="00856E70"/>
    <w:rsid w:val="00856ED0"/>
    <w:rsid w:val="00856FBF"/>
    <w:rsid w:val="0085707C"/>
    <w:rsid w:val="00857140"/>
    <w:rsid w:val="00857141"/>
    <w:rsid w:val="0085719E"/>
    <w:rsid w:val="008571A0"/>
    <w:rsid w:val="008571CA"/>
    <w:rsid w:val="00857232"/>
    <w:rsid w:val="00857264"/>
    <w:rsid w:val="00857278"/>
    <w:rsid w:val="0085728A"/>
    <w:rsid w:val="008572C3"/>
    <w:rsid w:val="008572F5"/>
    <w:rsid w:val="00857327"/>
    <w:rsid w:val="00857333"/>
    <w:rsid w:val="00857346"/>
    <w:rsid w:val="0085734D"/>
    <w:rsid w:val="00857351"/>
    <w:rsid w:val="00857382"/>
    <w:rsid w:val="00857420"/>
    <w:rsid w:val="00857451"/>
    <w:rsid w:val="008574BE"/>
    <w:rsid w:val="008574C0"/>
    <w:rsid w:val="00857539"/>
    <w:rsid w:val="0085753F"/>
    <w:rsid w:val="00857573"/>
    <w:rsid w:val="0085757F"/>
    <w:rsid w:val="008575F5"/>
    <w:rsid w:val="00857644"/>
    <w:rsid w:val="00857645"/>
    <w:rsid w:val="0085764F"/>
    <w:rsid w:val="00857664"/>
    <w:rsid w:val="008576F2"/>
    <w:rsid w:val="00857703"/>
    <w:rsid w:val="0085772E"/>
    <w:rsid w:val="0085776B"/>
    <w:rsid w:val="00857786"/>
    <w:rsid w:val="008577A8"/>
    <w:rsid w:val="00857803"/>
    <w:rsid w:val="0085786E"/>
    <w:rsid w:val="00857880"/>
    <w:rsid w:val="008578D1"/>
    <w:rsid w:val="00857917"/>
    <w:rsid w:val="00857991"/>
    <w:rsid w:val="008579A3"/>
    <w:rsid w:val="00857A01"/>
    <w:rsid w:val="00857A19"/>
    <w:rsid w:val="00857A33"/>
    <w:rsid w:val="00857A3A"/>
    <w:rsid w:val="00857A46"/>
    <w:rsid w:val="00857A56"/>
    <w:rsid w:val="00857ACF"/>
    <w:rsid w:val="00857B1A"/>
    <w:rsid w:val="00857B52"/>
    <w:rsid w:val="00857B7F"/>
    <w:rsid w:val="00857C07"/>
    <w:rsid w:val="00857C0D"/>
    <w:rsid w:val="00857C1E"/>
    <w:rsid w:val="00857C5C"/>
    <w:rsid w:val="00857CBC"/>
    <w:rsid w:val="00857D54"/>
    <w:rsid w:val="00857DD4"/>
    <w:rsid w:val="00857E00"/>
    <w:rsid w:val="00857E4B"/>
    <w:rsid w:val="00857E86"/>
    <w:rsid w:val="00857F0A"/>
    <w:rsid w:val="00857F66"/>
    <w:rsid w:val="00857FC1"/>
    <w:rsid w:val="00857FEE"/>
    <w:rsid w:val="0086002D"/>
    <w:rsid w:val="00860044"/>
    <w:rsid w:val="00860052"/>
    <w:rsid w:val="008600D2"/>
    <w:rsid w:val="008600DC"/>
    <w:rsid w:val="008600E7"/>
    <w:rsid w:val="008600FB"/>
    <w:rsid w:val="00860134"/>
    <w:rsid w:val="00860141"/>
    <w:rsid w:val="0086017A"/>
    <w:rsid w:val="0086019B"/>
    <w:rsid w:val="0086021B"/>
    <w:rsid w:val="0086021D"/>
    <w:rsid w:val="00860273"/>
    <w:rsid w:val="008602B3"/>
    <w:rsid w:val="008602CB"/>
    <w:rsid w:val="008602E4"/>
    <w:rsid w:val="0086030D"/>
    <w:rsid w:val="00860405"/>
    <w:rsid w:val="0086045B"/>
    <w:rsid w:val="00860469"/>
    <w:rsid w:val="008604B6"/>
    <w:rsid w:val="008604D7"/>
    <w:rsid w:val="00860516"/>
    <w:rsid w:val="00860518"/>
    <w:rsid w:val="00860529"/>
    <w:rsid w:val="00860571"/>
    <w:rsid w:val="008605E0"/>
    <w:rsid w:val="008605F8"/>
    <w:rsid w:val="0086062F"/>
    <w:rsid w:val="0086065B"/>
    <w:rsid w:val="008606C1"/>
    <w:rsid w:val="00860744"/>
    <w:rsid w:val="008607E3"/>
    <w:rsid w:val="008607EA"/>
    <w:rsid w:val="008607F5"/>
    <w:rsid w:val="008607FC"/>
    <w:rsid w:val="00860834"/>
    <w:rsid w:val="00860862"/>
    <w:rsid w:val="00860882"/>
    <w:rsid w:val="00860895"/>
    <w:rsid w:val="008608DA"/>
    <w:rsid w:val="008608E4"/>
    <w:rsid w:val="008609AD"/>
    <w:rsid w:val="008609BC"/>
    <w:rsid w:val="00860A2A"/>
    <w:rsid w:val="00860B21"/>
    <w:rsid w:val="00860B5F"/>
    <w:rsid w:val="00860B6E"/>
    <w:rsid w:val="00860BAC"/>
    <w:rsid w:val="00860C8D"/>
    <w:rsid w:val="00860CA5"/>
    <w:rsid w:val="00860CB5"/>
    <w:rsid w:val="00860D2F"/>
    <w:rsid w:val="00860D38"/>
    <w:rsid w:val="00860D72"/>
    <w:rsid w:val="00860D7C"/>
    <w:rsid w:val="00860DE8"/>
    <w:rsid w:val="00860E49"/>
    <w:rsid w:val="00860E7F"/>
    <w:rsid w:val="00860E8D"/>
    <w:rsid w:val="00860ECE"/>
    <w:rsid w:val="00860FC5"/>
    <w:rsid w:val="00861026"/>
    <w:rsid w:val="00861035"/>
    <w:rsid w:val="00861047"/>
    <w:rsid w:val="00861098"/>
    <w:rsid w:val="008610A9"/>
    <w:rsid w:val="008610D1"/>
    <w:rsid w:val="008610D5"/>
    <w:rsid w:val="008610E5"/>
    <w:rsid w:val="0086110C"/>
    <w:rsid w:val="00861159"/>
    <w:rsid w:val="00861172"/>
    <w:rsid w:val="00861220"/>
    <w:rsid w:val="00861252"/>
    <w:rsid w:val="0086126D"/>
    <w:rsid w:val="00861291"/>
    <w:rsid w:val="008612E6"/>
    <w:rsid w:val="0086131D"/>
    <w:rsid w:val="00861374"/>
    <w:rsid w:val="008613BD"/>
    <w:rsid w:val="00861445"/>
    <w:rsid w:val="0086148E"/>
    <w:rsid w:val="0086149A"/>
    <w:rsid w:val="008614E1"/>
    <w:rsid w:val="0086151A"/>
    <w:rsid w:val="0086151E"/>
    <w:rsid w:val="00861563"/>
    <w:rsid w:val="008615AD"/>
    <w:rsid w:val="008615C5"/>
    <w:rsid w:val="00861610"/>
    <w:rsid w:val="00861652"/>
    <w:rsid w:val="0086167C"/>
    <w:rsid w:val="00861684"/>
    <w:rsid w:val="008616E8"/>
    <w:rsid w:val="00861700"/>
    <w:rsid w:val="0086172E"/>
    <w:rsid w:val="0086175C"/>
    <w:rsid w:val="00861777"/>
    <w:rsid w:val="00861858"/>
    <w:rsid w:val="00861862"/>
    <w:rsid w:val="00861863"/>
    <w:rsid w:val="00861875"/>
    <w:rsid w:val="008618B8"/>
    <w:rsid w:val="008618CD"/>
    <w:rsid w:val="00861918"/>
    <w:rsid w:val="0086191A"/>
    <w:rsid w:val="008619FF"/>
    <w:rsid w:val="00861A23"/>
    <w:rsid w:val="00861AF9"/>
    <w:rsid w:val="00861B46"/>
    <w:rsid w:val="00861BB8"/>
    <w:rsid w:val="00861BE3"/>
    <w:rsid w:val="00861C2C"/>
    <w:rsid w:val="00861C6A"/>
    <w:rsid w:val="00861CBB"/>
    <w:rsid w:val="00861CC6"/>
    <w:rsid w:val="00861CCC"/>
    <w:rsid w:val="00861D07"/>
    <w:rsid w:val="00861D40"/>
    <w:rsid w:val="00861D71"/>
    <w:rsid w:val="00861D79"/>
    <w:rsid w:val="00861DA5"/>
    <w:rsid w:val="00861DA6"/>
    <w:rsid w:val="00861DBE"/>
    <w:rsid w:val="00861DC6"/>
    <w:rsid w:val="00861DFC"/>
    <w:rsid w:val="00861E10"/>
    <w:rsid w:val="00861E6A"/>
    <w:rsid w:val="00861E7E"/>
    <w:rsid w:val="00861F14"/>
    <w:rsid w:val="00861F3B"/>
    <w:rsid w:val="00861F5F"/>
    <w:rsid w:val="00861F81"/>
    <w:rsid w:val="00861FFD"/>
    <w:rsid w:val="00862057"/>
    <w:rsid w:val="00862059"/>
    <w:rsid w:val="00862079"/>
    <w:rsid w:val="0086207F"/>
    <w:rsid w:val="008620B5"/>
    <w:rsid w:val="008620D4"/>
    <w:rsid w:val="0086216F"/>
    <w:rsid w:val="00862170"/>
    <w:rsid w:val="00862174"/>
    <w:rsid w:val="0086217C"/>
    <w:rsid w:val="008621BE"/>
    <w:rsid w:val="00862234"/>
    <w:rsid w:val="00862289"/>
    <w:rsid w:val="00862295"/>
    <w:rsid w:val="008622F2"/>
    <w:rsid w:val="0086230C"/>
    <w:rsid w:val="00862327"/>
    <w:rsid w:val="008623CF"/>
    <w:rsid w:val="008623F2"/>
    <w:rsid w:val="008623F8"/>
    <w:rsid w:val="00862423"/>
    <w:rsid w:val="00862481"/>
    <w:rsid w:val="0086248B"/>
    <w:rsid w:val="008624AF"/>
    <w:rsid w:val="008624DA"/>
    <w:rsid w:val="008624FA"/>
    <w:rsid w:val="0086251D"/>
    <w:rsid w:val="00862525"/>
    <w:rsid w:val="0086252E"/>
    <w:rsid w:val="00862553"/>
    <w:rsid w:val="00862560"/>
    <w:rsid w:val="008625AF"/>
    <w:rsid w:val="008625F8"/>
    <w:rsid w:val="0086260F"/>
    <w:rsid w:val="0086261F"/>
    <w:rsid w:val="00862687"/>
    <w:rsid w:val="00862697"/>
    <w:rsid w:val="008626C1"/>
    <w:rsid w:val="008626DA"/>
    <w:rsid w:val="00862759"/>
    <w:rsid w:val="00862770"/>
    <w:rsid w:val="008627E7"/>
    <w:rsid w:val="00862819"/>
    <w:rsid w:val="0086283F"/>
    <w:rsid w:val="0086297A"/>
    <w:rsid w:val="00862980"/>
    <w:rsid w:val="00862988"/>
    <w:rsid w:val="008629A7"/>
    <w:rsid w:val="008629E7"/>
    <w:rsid w:val="008629FC"/>
    <w:rsid w:val="00862A19"/>
    <w:rsid w:val="00862A4C"/>
    <w:rsid w:val="00862A85"/>
    <w:rsid w:val="00862AE8"/>
    <w:rsid w:val="00862AF8"/>
    <w:rsid w:val="00862B0E"/>
    <w:rsid w:val="00862B9C"/>
    <w:rsid w:val="00862BA3"/>
    <w:rsid w:val="00862C11"/>
    <w:rsid w:val="00862C1F"/>
    <w:rsid w:val="00862C26"/>
    <w:rsid w:val="00862CA2"/>
    <w:rsid w:val="00862CBF"/>
    <w:rsid w:val="00862D0F"/>
    <w:rsid w:val="00862D87"/>
    <w:rsid w:val="00862DB9"/>
    <w:rsid w:val="00862DF6"/>
    <w:rsid w:val="00862DF9"/>
    <w:rsid w:val="00862E61"/>
    <w:rsid w:val="00862E6D"/>
    <w:rsid w:val="00862EA0"/>
    <w:rsid w:val="00862F04"/>
    <w:rsid w:val="00862FC3"/>
    <w:rsid w:val="00862FDC"/>
    <w:rsid w:val="00863024"/>
    <w:rsid w:val="00863067"/>
    <w:rsid w:val="0086313C"/>
    <w:rsid w:val="008631A3"/>
    <w:rsid w:val="008632D1"/>
    <w:rsid w:val="008632F5"/>
    <w:rsid w:val="008632F9"/>
    <w:rsid w:val="0086333D"/>
    <w:rsid w:val="0086333E"/>
    <w:rsid w:val="008634D4"/>
    <w:rsid w:val="0086350D"/>
    <w:rsid w:val="00863565"/>
    <w:rsid w:val="008635A4"/>
    <w:rsid w:val="008635AE"/>
    <w:rsid w:val="008635B5"/>
    <w:rsid w:val="00863601"/>
    <w:rsid w:val="00863620"/>
    <w:rsid w:val="008637BD"/>
    <w:rsid w:val="008637D7"/>
    <w:rsid w:val="008637D8"/>
    <w:rsid w:val="00863857"/>
    <w:rsid w:val="00863886"/>
    <w:rsid w:val="0086389F"/>
    <w:rsid w:val="008638A1"/>
    <w:rsid w:val="008638B0"/>
    <w:rsid w:val="00863917"/>
    <w:rsid w:val="00863961"/>
    <w:rsid w:val="00863986"/>
    <w:rsid w:val="00863A45"/>
    <w:rsid w:val="00863A77"/>
    <w:rsid w:val="00863A8D"/>
    <w:rsid w:val="00863B00"/>
    <w:rsid w:val="00863B64"/>
    <w:rsid w:val="00863B71"/>
    <w:rsid w:val="00863B8E"/>
    <w:rsid w:val="00863C04"/>
    <w:rsid w:val="00863C12"/>
    <w:rsid w:val="00863C4F"/>
    <w:rsid w:val="00863CCE"/>
    <w:rsid w:val="00863D50"/>
    <w:rsid w:val="00863DA0"/>
    <w:rsid w:val="00863DA1"/>
    <w:rsid w:val="00863DA3"/>
    <w:rsid w:val="00863DE0"/>
    <w:rsid w:val="00863E72"/>
    <w:rsid w:val="00863EAA"/>
    <w:rsid w:val="00863ED4"/>
    <w:rsid w:val="00863EE9"/>
    <w:rsid w:val="00863EF9"/>
    <w:rsid w:val="00863F3A"/>
    <w:rsid w:val="00863F73"/>
    <w:rsid w:val="00864010"/>
    <w:rsid w:val="00864092"/>
    <w:rsid w:val="00864170"/>
    <w:rsid w:val="00864177"/>
    <w:rsid w:val="00864182"/>
    <w:rsid w:val="0086418D"/>
    <w:rsid w:val="008641A7"/>
    <w:rsid w:val="008641FC"/>
    <w:rsid w:val="0086422F"/>
    <w:rsid w:val="0086424A"/>
    <w:rsid w:val="0086430A"/>
    <w:rsid w:val="00864325"/>
    <w:rsid w:val="0086440C"/>
    <w:rsid w:val="00864427"/>
    <w:rsid w:val="00864432"/>
    <w:rsid w:val="0086445D"/>
    <w:rsid w:val="00864470"/>
    <w:rsid w:val="008644B7"/>
    <w:rsid w:val="008644E5"/>
    <w:rsid w:val="008644E9"/>
    <w:rsid w:val="008644FE"/>
    <w:rsid w:val="0086451A"/>
    <w:rsid w:val="008645B4"/>
    <w:rsid w:val="008645C4"/>
    <w:rsid w:val="008645F9"/>
    <w:rsid w:val="00864612"/>
    <w:rsid w:val="00864635"/>
    <w:rsid w:val="00864697"/>
    <w:rsid w:val="008646B1"/>
    <w:rsid w:val="0086470E"/>
    <w:rsid w:val="0086475F"/>
    <w:rsid w:val="0086478E"/>
    <w:rsid w:val="00864793"/>
    <w:rsid w:val="008647C3"/>
    <w:rsid w:val="008647DD"/>
    <w:rsid w:val="008647E9"/>
    <w:rsid w:val="008647F7"/>
    <w:rsid w:val="008647FD"/>
    <w:rsid w:val="00864875"/>
    <w:rsid w:val="0086487A"/>
    <w:rsid w:val="00864896"/>
    <w:rsid w:val="008648A6"/>
    <w:rsid w:val="008648C4"/>
    <w:rsid w:val="008648E0"/>
    <w:rsid w:val="0086492D"/>
    <w:rsid w:val="008649B6"/>
    <w:rsid w:val="00864A29"/>
    <w:rsid w:val="00864AB4"/>
    <w:rsid w:val="00864AF6"/>
    <w:rsid w:val="00864B23"/>
    <w:rsid w:val="00864B73"/>
    <w:rsid w:val="00864C22"/>
    <w:rsid w:val="00864C49"/>
    <w:rsid w:val="00864C4E"/>
    <w:rsid w:val="00864C7C"/>
    <w:rsid w:val="00864CA2"/>
    <w:rsid w:val="00864CB6"/>
    <w:rsid w:val="00864CCF"/>
    <w:rsid w:val="00864D05"/>
    <w:rsid w:val="00864D08"/>
    <w:rsid w:val="00864D0A"/>
    <w:rsid w:val="00864D0C"/>
    <w:rsid w:val="00864D9D"/>
    <w:rsid w:val="00864DC9"/>
    <w:rsid w:val="00864E7C"/>
    <w:rsid w:val="00864EB6"/>
    <w:rsid w:val="00864EBF"/>
    <w:rsid w:val="00864ED1"/>
    <w:rsid w:val="00864F13"/>
    <w:rsid w:val="00864F8F"/>
    <w:rsid w:val="00864FCF"/>
    <w:rsid w:val="00865042"/>
    <w:rsid w:val="00865051"/>
    <w:rsid w:val="00865059"/>
    <w:rsid w:val="00865067"/>
    <w:rsid w:val="008650EF"/>
    <w:rsid w:val="0086512B"/>
    <w:rsid w:val="0086513C"/>
    <w:rsid w:val="0086515B"/>
    <w:rsid w:val="008651E0"/>
    <w:rsid w:val="00865238"/>
    <w:rsid w:val="0086524E"/>
    <w:rsid w:val="0086525B"/>
    <w:rsid w:val="00865296"/>
    <w:rsid w:val="008652CD"/>
    <w:rsid w:val="008652E3"/>
    <w:rsid w:val="008652F5"/>
    <w:rsid w:val="00865319"/>
    <w:rsid w:val="00865375"/>
    <w:rsid w:val="00865463"/>
    <w:rsid w:val="00865468"/>
    <w:rsid w:val="0086547F"/>
    <w:rsid w:val="008654CD"/>
    <w:rsid w:val="00865506"/>
    <w:rsid w:val="00865548"/>
    <w:rsid w:val="008655B3"/>
    <w:rsid w:val="008655B4"/>
    <w:rsid w:val="008655BE"/>
    <w:rsid w:val="008656D5"/>
    <w:rsid w:val="00865733"/>
    <w:rsid w:val="0086579A"/>
    <w:rsid w:val="008657A3"/>
    <w:rsid w:val="008657B7"/>
    <w:rsid w:val="00865864"/>
    <w:rsid w:val="00865923"/>
    <w:rsid w:val="00865944"/>
    <w:rsid w:val="00865959"/>
    <w:rsid w:val="008659AD"/>
    <w:rsid w:val="00865A43"/>
    <w:rsid w:val="00865A4B"/>
    <w:rsid w:val="00865A90"/>
    <w:rsid w:val="00865A95"/>
    <w:rsid w:val="00865AA7"/>
    <w:rsid w:val="00865AB4"/>
    <w:rsid w:val="00865AEC"/>
    <w:rsid w:val="00865B5E"/>
    <w:rsid w:val="00865B7E"/>
    <w:rsid w:val="00865BDA"/>
    <w:rsid w:val="00865C2B"/>
    <w:rsid w:val="00865C35"/>
    <w:rsid w:val="00865C75"/>
    <w:rsid w:val="00865C92"/>
    <w:rsid w:val="00865CC0"/>
    <w:rsid w:val="00865CC7"/>
    <w:rsid w:val="00865D3B"/>
    <w:rsid w:val="00865E4A"/>
    <w:rsid w:val="00865E82"/>
    <w:rsid w:val="00865EE9"/>
    <w:rsid w:val="00865EF0"/>
    <w:rsid w:val="00866008"/>
    <w:rsid w:val="0086610A"/>
    <w:rsid w:val="0086614B"/>
    <w:rsid w:val="00866184"/>
    <w:rsid w:val="008661EE"/>
    <w:rsid w:val="00866262"/>
    <w:rsid w:val="008662D9"/>
    <w:rsid w:val="0086633F"/>
    <w:rsid w:val="008663E0"/>
    <w:rsid w:val="0086646F"/>
    <w:rsid w:val="00866474"/>
    <w:rsid w:val="00866490"/>
    <w:rsid w:val="008664A1"/>
    <w:rsid w:val="008664A7"/>
    <w:rsid w:val="008664D5"/>
    <w:rsid w:val="00866504"/>
    <w:rsid w:val="0086650A"/>
    <w:rsid w:val="0086654A"/>
    <w:rsid w:val="0086657A"/>
    <w:rsid w:val="008665A4"/>
    <w:rsid w:val="008665D8"/>
    <w:rsid w:val="00866622"/>
    <w:rsid w:val="00866642"/>
    <w:rsid w:val="00866656"/>
    <w:rsid w:val="008666C7"/>
    <w:rsid w:val="008666CA"/>
    <w:rsid w:val="008666D4"/>
    <w:rsid w:val="008666E5"/>
    <w:rsid w:val="0086671F"/>
    <w:rsid w:val="00866726"/>
    <w:rsid w:val="00866781"/>
    <w:rsid w:val="00866822"/>
    <w:rsid w:val="00866824"/>
    <w:rsid w:val="00866888"/>
    <w:rsid w:val="00866904"/>
    <w:rsid w:val="0086690D"/>
    <w:rsid w:val="00866956"/>
    <w:rsid w:val="008669B2"/>
    <w:rsid w:val="008669CF"/>
    <w:rsid w:val="008669F2"/>
    <w:rsid w:val="008669F5"/>
    <w:rsid w:val="00866A10"/>
    <w:rsid w:val="00866A19"/>
    <w:rsid w:val="00866A98"/>
    <w:rsid w:val="00866AD8"/>
    <w:rsid w:val="00866B22"/>
    <w:rsid w:val="00866B31"/>
    <w:rsid w:val="00866B3A"/>
    <w:rsid w:val="00866B40"/>
    <w:rsid w:val="00866B49"/>
    <w:rsid w:val="00866B55"/>
    <w:rsid w:val="00866B61"/>
    <w:rsid w:val="00866B83"/>
    <w:rsid w:val="00866B8D"/>
    <w:rsid w:val="00866BA6"/>
    <w:rsid w:val="00866D17"/>
    <w:rsid w:val="00866D50"/>
    <w:rsid w:val="00866D81"/>
    <w:rsid w:val="00866DD1"/>
    <w:rsid w:val="00866E55"/>
    <w:rsid w:val="00866E5C"/>
    <w:rsid w:val="00866E7E"/>
    <w:rsid w:val="00866ED9"/>
    <w:rsid w:val="00866EED"/>
    <w:rsid w:val="00866F0E"/>
    <w:rsid w:val="00866F24"/>
    <w:rsid w:val="00866F7B"/>
    <w:rsid w:val="00866FAF"/>
    <w:rsid w:val="00866FF7"/>
    <w:rsid w:val="00867029"/>
    <w:rsid w:val="0086706E"/>
    <w:rsid w:val="0086708C"/>
    <w:rsid w:val="00867107"/>
    <w:rsid w:val="00867118"/>
    <w:rsid w:val="0086712E"/>
    <w:rsid w:val="00867140"/>
    <w:rsid w:val="00867191"/>
    <w:rsid w:val="008671A4"/>
    <w:rsid w:val="008671BE"/>
    <w:rsid w:val="008671D6"/>
    <w:rsid w:val="008671E5"/>
    <w:rsid w:val="008671EC"/>
    <w:rsid w:val="00867211"/>
    <w:rsid w:val="008672B3"/>
    <w:rsid w:val="00867367"/>
    <w:rsid w:val="00867385"/>
    <w:rsid w:val="0086738C"/>
    <w:rsid w:val="008673AD"/>
    <w:rsid w:val="0086746A"/>
    <w:rsid w:val="0086747B"/>
    <w:rsid w:val="008674D4"/>
    <w:rsid w:val="008674DB"/>
    <w:rsid w:val="0086754F"/>
    <w:rsid w:val="00867568"/>
    <w:rsid w:val="00867589"/>
    <w:rsid w:val="008675A3"/>
    <w:rsid w:val="008675F0"/>
    <w:rsid w:val="008675F7"/>
    <w:rsid w:val="00867648"/>
    <w:rsid w:val="00867670"/>
    <w:rsid w:val="00867735"/>
    <w:rsid w:val="0086775C"/>
    <w:rsid w:val="0086781C"/>
    <w:rsid w:val="0086787E"/>
    <w:rsid w:val="00867955"/>
    <w:rsid w:val="0086797E"/>
    <w:rsid w:val="00867A29"/>
    <w:rsid w:val="00867A71"/>
    <w:rsid w:val="00867AB3"/>
    <w:rsid w:val="00867AF1"/>
    <w:rsid w:val="00867B07"/>
    <w:rsid w:val="00867B84"/>
    <w:rsid w:val="00867BC2"/>
    <w:rsid w:val="00867C7E"/>
    <w:rsid w:val="00867CDF"/>
    <w:rsid w:val="00867CFB"/>
    <w:rsid w:val="00867D55"/>
    <w:rsid w:val="00867E1D"/>
    <w:rsid w:val="00867E1F"/>
    <w:rsid w:val="00867E84"/>
    <w:rsid w:val="00867E86"/>
    <w:rsid w:val="00867EB0"/>
    <w:rsid w:val="00867F9A"/>
    <w:rsid w:val="0087002B"/>
    <w:rsid w:val="00870032"/>
    <w:rsid w:val="0087005F"/>
    <w:rsid w:val="00870066"/>
    <w:rsid w:val="00870092"/>
    <w:rsid w:val="0087014C"/>
    <w:rsid w:val="0087015A"/>
    <w:rsid w:val="00870162"/>
    <w:rsid w:val="00870185"/>
    <w:rsid w:val="008701B2"/>
    <w:rsid w:val="008701CE"/>
    <w:rsid w:val="00870271"/>
    <w:rsid w:val="0087028E"/>
    <w:rsid w:val="0087037D"/>
    <w:rsid w:val="0087038D"/>
    <w:rsid w:val="008703E7"/>
    <w:rsid w:val="008703EA"/>
    <w:rsid w:val="0087040C"/>
    <w:rsid w:val="0087049D"/>
    <w:rsid w:val="00870513"/>
    <w:rsid w:val="008705D2"/>
    <w:rsid w:val="008705F5"/>
    <w:rsid w:val="00870616"/>
    <w:rsid w:val="0087062B"/>
    <w:rsid w:val="0087063A"/>
    <w:rsid w:val="00870688"/>
    <w:rsid w:val="0087069E"/>
    <w:rsid w:val="008706A9"/>
    <w:rsid w:val="008706DC"/>
    <w:rsid w:val="008706EC"/>
    <w:rsid w:val="00870764"/>
    <w:rsid w:val="0087078B"/>
    <w:rsid w:val="0087079A"/>
    <w:rsid w:val="008707E8"/>
    <w:rsid w:val="008707F3"/>
    <w:rsid w:val="00870802"/>
    <w:rsid w:val="00870859"/>
    <w:rsid w:val="0087089F"/>
    <w:rsid w:val="008708D4"/>
    <w:rsid w:val="008708E0"/>
    <w:rsid w:val="0087092D"/>
    <w:rsid w:val="00870949"/>
    <w:rsid w:val="00870998"/>
    <w:rsid w:val="008709E0"/>
    <w:rsid w:val="008709E5"/>
    <w:rsid w:val="00870A95"/>
    <w:rsid w:val="00870AAB"/>
    <w:rsid w:val="00870B00"/>
    <w:rsid w:val="00870B95"/>
    <w:rsid w:val="00870BB8"/>
    <w:rsid w:val="00870BBD"/>
    <w:rsid w:val="00870BE4"/>
    <w:rsid w:val="00870BFD"/>
    <w:rsid w:val="00870C2A"/>
    <w:rsid w:val="00870C2B"/>
    <w:rsid w:val="00870D66"/>
    <w:rsid w:val="00870DE8"/>
    <w:rsid w:val="00870E71"/>
    <w:rsid w:val="00870E78"/>
    <w:rsid w:val="00870EA6"/>
    <w:rsid w:val="00870ED0"/>
    <w:rsid w:val="00870EDB"/>
    <w:rsid w:val="00870F23"/>
    <w:rsid w:val="00870F3E"/>
    <w:rsid w:val="00870F81"/>
    <w:rsid w:val="00871017"/>
    <w:rsid w:val="0087103B"/>
    <w:rsid w:val="0087103D"/>
    <w:rsid w:val="00871040"/>
    <w:rsid w:val="008710A7"/>
    <w:rsid w:val="00871151"/>
    <w:rsid w:val="00871178"/>
    <w:rsid w:val="0087117E"/>
    <w:rsid w:val="0087125A"/>
    <w:rsid w:val="0087127B"/>
    <w:rsid w:val="008712BE"/>
    <w:rsid w:val="00871372"/>
    <w:rsid w:val="0087140F"/>
    <w:rsid w:val="00871425"/>
    <w:rsid w:val="0087142B"/>
    <w:rsid w:val="00871479"/>
    <w:rsid w:val="00871492"/>
    <w:rsid w:val="008714E3"/>
    <w:rsid w:val="008714F8"/>
    <w:rsid w:val="00871526"/>
    <w:rsid w:val="00871551"/>
    <w:rsid w:val="0087155A"/>
    <w:rsid w:val="008715ED"/>
    <w:rsid w:val="00871638"/>
    <w:rsid w:val="0087163D"/>
    <w:rsid w:val="00871658"/>
    <w:rsid w:val="008716A9"/>
    <w:rsid w:val="008716BF"/>
    <w:rsid w:val="008716C2"/>
    <w:rsid w:val="008716DB"/>
    <w:rsid w:val="008716EF"/>
    <w:rsid w:val="008716F4"/>
    <w:rsid w:val="0087177A"/>
    <w:rsid w:val="00871781"/>
    <w:rsid w:val="00871784"/>
    <w:rsid w:val="008717D0"/>
    <w:rsid w:val="0087180A"/>
    <w:rsid w:val="00871813"/>
    <w:rsid w:val="0087181E"/>
    <w:rsid w:val="0087185F"/>
    <w:rsid w:val="008718D5"/>
    <w:rsid w:val="008718F9"/>
    <w:rsid w:val="00871948"/>
    <w:rsid w:val="0087195C"/>
    <w:rsid w:val="00871998"/>
    <w:rsid w:val="00871A15"/>
    <w:rsid w:val="00871A73"/>
    <w:rsid w:val="00871ABD"/>
    <w:rsid w:val="00871B2C"/>
    <w:rsid w:val="00871B46"/>
    <w:rsid w:val="00871B69"/>
    <w:rsid w:val="00871B88"/>
    <w:rsid w:val="00871B9F"/>
    <w:rsid w:val="00871BB7"/>
    <w:rsid w:val="00871D21"/>
    <w:rsid w:val="00871D76"/>
    <w:rsid w:val="00871DCB"/>
    <w:rsid w:val="00871DFB"/>
    <w:rsid w:val="00871E19"/>
    <w:rsid w:val="00871E32"/>
    <w:rsid w:val="00871E44"/>
    <w:rsid w:val="00871E67"/>
    <w:rsid w:val="00871E9F"/>
    <w:rsid w:val="00871EA6"/>
    <w:rsid w:val="00871ECF"/>
    <w:rsid w:val="00871EE3"/>
    <w:rsid w:val="00871EFF"/>
    <w:rsid w:val="00871F39"/>
    <w:rsid w:val="00871F53"/>
    <w:rsid w:val="00871F5B"/>
    <w:rsid w:val="00871FC1"/>
    <w:rsid w:val="00871FDC"/>
    <w:rsid w:val="00872021"/>
    <w:rsid w:val="0087203E"/>
    <w:rsid w:val="00872056"/>
    <w:rsid w:val="00872057"/>
    <w:rsid w:val="00872063"/>
    <w:rsid w:val="0087206E"/>
    <w:rsid w:val="008720E6"/>
    <w:rsid w:val="00872178"/>
    <w:rsid w:val="008721FD"/>
    <w:rsid w:val="00872232"/>
    <w:rsid w:val="00872250"/>
    <w:rsid w:val="00872260"/>
    <w:rsid w:val="00872296"/>
    <w:rsid w:val="008722AC"/>
    <w:rsid w:val="00872318"/>
    <w:rsid w:val="00872357"/>
    <w:rsid w:val="008723BE"/>
    <w:rsid w:val="008723DE"/>
    <w:rsid w:val="0087242A"/>
    <w:rsid w:val="008724C7"/>
    <w:rsid w:val="00872504"/>
    <w:rsid w:val="00872515"/>
    <w:rsid w:val="00872556"/>
    <w:rsid w:val="00872586"/>
    <w:rsid w:val="00872596"/>
    <w:rsid w:val="008725FF"/>
    <w:rsid w:val="00872614"/>
    <w:rsid w:val="008726C6"/>
    <w:rsid w:val="008727D0"/>
    <w:rsid w:val="00872846"/>
    <w:rsid w:val="00872888"/>
    <w:rsid w:val="0087289B"/>
    <w:rsid w:val="00872911"/>
    <w:rsid w:val="00872944"/>
    <w:rsid w:val="00872962"/>
    <w:rsid w:val="00872A66"/>
    <w:rsid w:val="00872AAA"/>
    <w:rsid w:val="00872AE5"/>
    <w:rsid w:val="00872B21"/>
    <w:rsid w:val="00872B4B"/>
    <w:rsid w:val="00872B72"/>
    <w:rsid w:val="00872B82"/>
    <w:rsid w:val="00872B89"/>
    <w:rsid w:val="00872BC9"/>
    <w:rsid w:val="00872BE4"/>
    <w:rsid w:val="00872C25"/>
    <w:rsid w:val="00872D6D"/>
    <w:rsid w:val="00872D72"/>
    <w:rsid w:val="00872DC9"/>
    <w:rsid w:val="00872E4F"/>
    <w:rsid w:val="00872E73"/>
    <w:rsid w:val="00872E92"/>
    <w:rsid w:val="00872EAB"/>
    <w:rsid w:val="00872ECA"/>
    <w:rsid w:val="00872F3D"/>
    <w:rsid w:val="00872F76"/>
    <w:rsid w:val="00872F7F"/>
    <w:rsid w:val="00873013"/>
    <w:rsid w:val="0087301E"/>
    <w:rsid w:val="0087302B"/>
    <w:rsid w:val="00873030"/>
    <w:rsid w:val="008730BD"/>
    <w:rsid w:val="0087310A"/>
    <w:rsid w:val="00873117"/>
    <w:rsid w:val="00873233"/>
    <w:rsid w:val="0087323C"/>
    <w:rsid w:val="0087324D"/>
    <w:rsid w:val="008732A4"/>
    <w:rsid w:val="008732FC"/>
    <w:rsid w:val="0087331B"/>
    <w:rsid w:val="00873342"/>
    <w:rsid w:val="00873403"/>
    <w:rsid w:val="00873411"/>
    <w:rsid w:val="0087342E"/>
    <w:rsid w:val="0087344F"/>
    <w:rsid w:val="0087346A"/>
    <w:rsid w:val="0087346D"/>
    <w:rsid w:val="008734F6"/>
    <w:rsid w:val="008734F9"/>
    <w:rsid w:val="008735EA"/>
    <w:rsid w:val="00873645"/>
    <w:rsid w:val="00873718"/>
    <w:rsid w:val="008737D9"/>
    <w:rsid w:val="0087382E"/>
    <w:rsid w:val="0087383A"/>
    <w:rsid w:val="00873905"/>
    <w:rsid w:val="0087394C"/>
    <w:rsid w:val="008739B9"/>
    <w:rsid w:val="008739D7"/>
    <w:rsid w:val="008739DE"/>
    <w:rsid w:val="00873A1B"/>
    <w:rsid w:val="00873A5C"/>
    <w:rsid w:val="00873A5F"/>
    <w:rsid w:val="00873A71"/>
    <w:rsid w:val="00873A9F"/>
    <w:rsid w:val="00873AB8"/>
    <w:rsid w:val="00873B13"/>
    <w:rsid w:val="00873B55"/>
    <w:rsid w:val="00873B71"/>
    <w:rsid w:val="00873BC2"/>
    <w:rsid w:val="00873BC6"/>
    <w:rsid w:val="00873BCB"/>
    <w:rsid w:val="00873C40"/>
    <w:rsid w:val="00873CCE"/>
    <w:rsid w:val="00873D16"/>
    <w:rsid w:val="00873D34"/>
    <w:rsid w:val="00873D35"/>
    <w:rsid w:val="00873E25"/>
    <w:rsid w:val="00873E3B"/>
    <w:rsid w:val="00873E4E"/>
    <w:rsid w:val="00873E53"/>
    <w:rsid w:val="00873ED5"/>
    <w:rsid w:val="00873EDB"/>
    <w:rsid w:val="00873F42"/>
    <w:rsid w:val="00873F48"/>
    <w:rsid w:val="00873F8F"/>
    <w:rsid w:val="00873FFD"/>
    <w:rsid w:val="00874056"/>
    <w:rsid w:val="0087406A"/>
    <w:rsid w:val="008740AC"/>
    <w:rsid w:val="00874227"/>
    <w:rsid w:val="00874266"/>
    <w:rsid w:val="0087426B"/>
    <w:rsid w:val="008742BA"/>
    <w:rsid w:val="008742FE"/>
    <w:rsid w:val="00874358"/>
    <w:rsid w:val="0087436A"/>
    <w:rsid w:val="0087437E"/>
    <w:rsid w:val="00874385"/>
    <w:rsid w:val="008743C3"/>
    <w:rsid w:val="0087440A"/>
    <w:rsid w:val="0087441B"/>
    <w:rsid w:val="00874424"/>
    <w:rsid w:val="00874474"/>
    <w:rsid w:val="0087457C"/>
    <w:rsid w:val="00874582"/>
    <w:rsid w:val="008745FB"/>
    <w:rsid w:val="00874691"/>
    <w:rsid w:val="008746BF"/>
    <w:rsid w:val="0087476B"/>
    <w:rsid w:val="0087476E"/>
    <w:rsid w:val="0087478D"/>
    <w:rsid w:val="00874798"/>
    <w:rsid w:val="008748D2"/>
    <w:rsid w:val="008748F7"/>
    <w:rsid w:val="00874904"/>
    <w:rsid w:val="00874945"/>
    <w:rsid w:val="008749A0"/>
    <w:rsid w:val="008749E6"/>
    <w:rsid w:val="008749FD"/>
    <w:rsid w:val="00874A15"/>
    <w:rsid w:val="00874A4B"/>
    <w:rsid w:val="00874AE5"/>
    <w:rsid w:val="00874B80"/>
    <w:rsid w:val="00874B8F"/>
    <w:rsid w:val="00874BC6"/>
    <w:rsid w:val="00874C3E"/>
    <w:rsid w:val="00874CB2"/>
    <w:rsid w:val="00874D3C"/>
    <w:rsid w:val="00874D71"/>
    <w:rsid w:val="00874DBB"/>
    <w:rsid w:val="00874DE0"/>
    <w:rsid w:val="00874EC0"/>
    <w:rsid w:val="00874F1A"/>
    <w:rsid w:val="00874F92"/>
    <w:rsid w:val="00874F9E"/>
    <w:rsid w:val="00874FBC"/>
    <w:rsid w:val="00874FE8"/>
    <w:rsid w:val="00875037"/>
    <w:rsid w:val="008750A5"/>
    <w:rsid w:val="00875145"/>
    <w:rsid w:val="00875173"/>
    <w:rsid w:val="008751A7"/>
    <w:rsid w:val="00875290"/>
    <w:rsid w:val="0087532B"/>
    <w:rsid w:val="00875368"/>
    <w:rsid w:val="0087536F"/>
    <w:rsid w:val="0087539F"/>
    <w:rsid w:val="008753AD"/>
    <w:rsid w:val="008753D9"/>
    <w:rsid w:val="008753FF"/>
    <w:rsid w:val="00875433"/>
    <w:rsid w:val="008754D1"/>
    <w:rsid w:val="00875542"/>
    <w:rsid w:val="0087556B"/>
    <w:rsid w:val="00875575"/>
    <w:rsid w:val="00875680"/>
    <w:rsid w:val="008756C4"/>
    <w:rsid w:val="008756E3"/>
    <w:rsid w:val="008756ED"/>
    <w:rsid w:val="00875706"/>
    <w:rsid w:val="00875773"/>
    <w:rsid w:val="0087577B"/>
    <w:rsid w:val="008757EA"/>
    <w:rsid w:val="008758A4"/>
    <w:rsid w:val="008758C2"/>
    <w:rsid w:val="008758C9"/>
    <w:rsid w:val="008758DB"/>
    <w:rsid w:val="008758F0"/>
    <w:rsid w:val="00875916"/>
    <w:rsid w:val="00875948"/>
    <w:rsid w:val="008759E1"/>
    <w:rsid w:val="008759EE"/>
    <w:rsid w:val="00875A11"/>
    <w:rsid w:val="00875A30"/>
    <w:rsid w:val="00875A86"/>
    <w:rsid w:val="00875AF5"/>
    <w:rsid w:val="00875B20"/>
    <w:rsid w:val="00875B7B"/>
    <w:rsid w:val="00875B7F"/>
    <w:rsid w:val="00875B9C"/>
    <w:rsid w:val="00875BA2"/>
    <w:rsid w:val="00875BA4"/>
    <w:rsid w:val="00875BDE"/>
    <w:rsid w:val="00875C27"/>
    <w:rsid w:val="00875C2B"/>
    <w:rsid w:val="00875C53"/>
    <w:rsid w:val="00875C95"/>
    <w:rsid w:val="00875D08"/>
    <w:rsid w:val="00875D13"/>
    <w:rsid w:val="00875D15"/>
    <w:rsid w:val="00875D3A"/>
    <w:rsid w:val="00875D3E"/>
    <w:rsid w:val="00875D52"/>
    <w:rsid w:val="00875D56"/>
    <w:rsid w:val="00875D5F"/>
    <w:rsid w:val="00875D7B"/>
    <w:rsid w:val="00875DDC"/>
    <w:rsid w:val="00875DFA"/>
    <w:rsid w:val="00875E00"/>
    <w:rsid w:val="00875E5A"/>
    <w:rsid w:val="00875E9F"/>
    <w:rsid w:val="00875EC1"/>
    <w:rsid w:val="00875ECD"/>
    <w:rsid w:val="00875F25"/>
    <w:rsid w:val="00875F26"/>
    <w:rsid w:val="00875FCA"/>
    <w:rsid w:val="00876015"/>
    <w:rsid w:val="00876061"/>
    <w:rsid w:val="00876069"/>
    <w:rsid w:val="00876094"/>
    <w:rsid w:val="008760B6"/>
    <w:rsid w:val="008760DE"/>
    <w:rsid w:val="0087610E"/>
    <w:rsid w:val="00876122"/>
    <w:rsid w:val="00876144"/>
    <w:rsid w:val="0087617B"/>
    <w:rsid w:val="008761C2"/>
    <w:rsid w:val="00876220"/>
    <w:rsid w:val="0087622A"/>
    <w:rsid w:val="00876232"/>
    <w:rsid w:val="00876334"/>
    <w:rsid w:val="0087637E"/>
    <w:rsid w:val="008763BE"/>
    <w:rsid w:val="008764F9"/>
    <w:rsid w:val="0087652A"/>
    <w:rsid w:val="0087652B"/>
    <w:rsid w:val="00876562"/>
    <w:rsid w:val="00876592"/>
    <w:rsid w:val="0087659F"/>
    <w:rsid w:val="008765BC"/>
    <w:rsid w:val="008765C1"/>
    <w:rsid w:val="00876671"/>
    <w:rsid w:val="00876689"/>
    <w:rsid w:val="008766B6"/>
    <w:rsid w:val="008766E7"/>
    <w:rsid w:val="00876795"/>
    <w:rsid w:val="008767E2"/>
    <w:rsid w:val="0087686F"/>
    <w:rsid w:val="00876888"/>
    <w:rsid w:val="00876893"/>
    <w:rsid w:val="008768AF"/>
    <w:rsid w:val="008768DC"/>
    <w:rsid w:val="0087693E"/>
    <w:rsid w:val="008769E9"/>
    <w:rsid w:val="00876A51"/>
    <w:rsid w:val="00876A77"/>
    <w:rsid w:val="00876A7E"/>
    <w:rsid w:val="00876AD5"/>
    <w:rsid w:val="00876B0A"/>
    <w:rsid w:val="00876B30"/>
    <w:rsid w:val="00876B6C"/>
    <w:rsid w:val="00876B99"/>
    <w:rsid w:val="00876BA1"/>
    <w:rsid w:val="00876C1D"/>
    <w:rsid w:val="00876CB7"/>
    <w:rsid w:val="00876CCA"/>
    <w:rsid w:val="00876CD0"/>
    <w:rsid w:val="00876CEB"/>
    <w:rsid w:val="00876D39"/>
    <w:rsid w:val="00876D3E"/>
    <w:rsid w:val="00876D56"/>
    <w:rsid w:val="00876D8C"/>
    <w:rsid w:val="00876DB6"/>
    <w:rsid w:val="00876DE4"/>
    <w:rsid w:val="00876E22"/>
    <w:rsid w:val="00876E3C"/>
    <w:rsid w:val="00876E97"/>
    <w:rsid w:val="00876F06"/>
    <w:rsid w:val="00876F1A"/>
    <w:rsid w:val="00876F90"/>
    <w:rsid w:val="00876FD6"/>
    <w:rsid w:val="00877079"/>
    <w:rsid w:val="0087709E"/>
    <w:rsid w:val="0087709F"/>
    <w:rsid w:val="00877127"/>
    <w:rsid w:val="0087720D"/>
    <w:rsid w:val="0087723D"/>
    <w:rsid w:val="00877287"/>
    <w:rsid w:val="0087732F"/>
    <w:rsid w:val="00877377"/>
    <w:rsid w:val="00877378"/>
    <w:rsid w:val="0087749E"/>
    <w:rsid w:val="008774AC"/>
    <w:rsid w:val="00877502"/>
    <w:rsid w:val="008775BB"/>
    <w:rsid w:val="008775E1"/>
    <w:rsid w:val="008775E7"/>
    <w:rsid w:val="00877604"/>
    <w:rsid w:val="00877635"/>
    <w:rsid w:val="00877638"/>
    <w:rsid w:val="008776AA"/>
    <w:rsid w:val="008776DB"/>
    <w:rsid w:val="008776FA"/>
    <w:rsid w:val="0087772B"/>
    <w:rsid w:val="00877742"/>
    <w:rsid w:val="00877754"/>
    <w:rsid w:val="00877791"/>
    <w:rsid w:val="008777C5"/>
    <w:rsid w:val="008777C7"/>
    <w:rsid w:val="00877852"/>
    <w:rsid w:val="00877962"/>
    <w:rsid w:val="00877967"/>
    <w:rsid w:val="0087796E"/>
    <w:rsid w:val="0087797C"/>
    <w:rsid w:val="00877A47"/>
    <w:rsid w:val="00877A8B"/>
    <w:rsid w:val="00877AC9"/>
    <w:rsid w:val="00877B2F"/>
    <w:rsid w:val="00877B3E"/>
    <w:rsid w:val="00877BD8"/>
    <w:rsid w:val="00877BDC"/>
    <w:rsid w:val="00877C1E"/>
    <w:rsid w:val="00877C80"/>
    <w:rsid w:val="00877CAE"/>
    <w:rsid w:val="00877CF7"/>
    <w:rsid w:val="00877D0E"/>
    <w:rsid w:val="00877D9C"/>
    <w:rsid w:val="00877DAB"/>
    <w:rsid w:val="00877DB6"/>
    <w:rsid w:val="00877DC9"/>
    <w:rsid w:val="00877EA6"/>
    <w:rsid w:val="00877EB8"/>
    <w:rsid w:val="00877EBB"/>
    <w:rsid w:val="00877F49"/>
    <w:rsid w:val="00877F67"/>
    <w:rsid w:val="00877FD6"/>
    <w:rsid w:val="00877FDB"/>
    <w:rsid w:val="00877FE0"/>
    <w:rsid w:val="0088004A"/>
    <w:rsid w:val="008801DB"/>
    <w:rsid w:val="00880238"/>
    <w:rsid w:val="00880245"/>
    <w:rsid w:val="008802AF"/>
    <w:rsid w:val="008802E3"/>
    <w:rsid w:val="0088035B"/>
    <w:rsid w:val="00880397"/>
    <w:rsid w:val="008803F4"/>
    <w:rsid w:val="00880411"/>
    <w:rsid w:val="0088045B"/>
    <w:rsid w:val="00880461"/>
    <w:rsid w:val="008804B1"/>
    <w:rsid w:val="00880503"/>
    <w:rsid w:val="0088052D"/>
    <w:rsid w:val="00880573"/>
    <w:rsid w:val="00880574"/>
    <w:rsid w:val="0088057A"/>
    <w:rsid w:val="008805C2"/>
    <w:rsid w:val="008805D4"/>
    <w:rsid w:val="008805DD"/>
    <w:rsid w:val="008805FB"/>
    <w:rsid w:val="00880642"/>
    <w:rsid w:val="00880656"/>
    <w:rsid w:val="0088065A"/>
    <w:rsid w:val="00880664"/>
    <w:rsid w:val="0088068C"/>
    <w:rsid w:val="008806BE"/>
    <w:rsid w:val="008806CC"/>
    <w:rsid w:val="008806DC"/>
    <w:rsid w:val="00880702"/>
    <w:rsid w:val="0088075E"/>
    <w:rsid w:val="008807E5"/>
    <w:rsid w:val="008807EA"/>
    <w:rsid w:val="008807ED"/>
    <w:rsid w:val="00880806"/>
    <w:rsid w:val="0088080A"/>
    <w:rsid w:val="00880846"/>
    <w:rsid w:val="0088084F"/>
    <w:rsid w:val="00880966"/>
    <w:rsid w:val="008809B1"/>
    <w:rsid w:val="008809B7"/>
    <w:rsid w:val="00880A72"/>
    <w:rsid w:val="00880AF0"/>
    <w:rsid w:val="00880B09"/>
    <w:rsid w:val="00880B9B"/>
    <w:rsid w:val="00880B9E"/>
    <w:rsid w:val="00880BD8"/>
    <w:rsid w:val="00880C12"/>
    <w:rsid w:val="00880C2A"/>
    <w:rsid w:val="00880C35"/>
    <w:rsid w:val="00880C37"/>
    <w:rsid w:val="00880C47"/>
    <w:rsid w:val="00880C49"/>
    <w:rsid w:val="00880C97"/>
    <w:rsid w:val="00880CAA"/>
    <w:rsid w:val="00880CC8"/>
    <w:rsid w:val="00880D14"/>
    <w:rsid w:val="00880DAE"/>
    <w:rsid w:val="00880DBD"/>
    <w:rsid w:val="00880DC4"/>
    <w:rsid w:val="00880DF0"/>
    <w:rsid w:val="00880E00"/>
    <w:rsid w:val="00880E53"/>
    <w:rsid w:val="00880E85"/>
    <w:rsid w:val="00880EA7"/>
    <w:rsid w:val="00880F06"/>
    <w:rsid w:val="00880F86"/>
    <w:rsid w:val="00880F94"/>
    <w:rsid w:val="00880FA7"/>
    <w:rsid w:val="00880FB4"/>
    <w:rsid w:val="00880FC1"/>
    <w:rsid w:val="00880FFE"/>
    <w:rsid w:val="00881012"/>
    <w:rsid w:val="00881022"/>
    <w:rsid w:val="00881026"/>
    <w:rsid w:val="008810A3"/>
    <w:rsid w:val="008810A5"/>
    <w:rsid w:val="00881104"/>
    <w:rsid w:val="0088114F"/>
    <w:rsid w:val="0088118C"/>
    <w:rsid w:val="00881199"/>
    <w:rsid w:val="0088119B"/>
    <w:rsid w:val="008811D9"/>
    <w:rsid w:val="0088129B"/>
    <w:rsid w:val="008812E1"/>
    <w:rsid w:val="00881305"/>
    <w:rsid w:val="00881327"/>
    <w:rsid w:val="00881386"/>
    <w:rsid w:val="00881388"/>
    <w:rsid w:val="008813DE"/>
    <w:rsid w:val="00881401"/>
    <w:rsid w:val="0088141B"/>
    <w:rsid w:val="0088142C"/>
    <w:rsid w:val="008814BF"/>
    <w:rsid w:val="008814D4"/>
    <w:rsid w:val="0088156C"/>
    <w:rsid w:val="00881583"/>
    <w:rsid w:val="00881597"/>
    <w:rsid w:val="008815A2"/>
    <w:rsid w:val="008815C1"/>
    <w:rsid w:val="0088160A"/>
    <w:rsid w:val="0088163C"/>
    <w:rsid w:val="008816A8"/>
    <w:rsid w:val="008816CD"/>
    <w:rsid w:val="008816E2"/>
    <w:rsid w:val="008816E9"/>
    <w:rsid w:val="00881729"/>
    <w:rsid w:val="00881759"/>
    <w:rsid w:val="00881761"/>
    <w:rsid w:val="008817FF"/>
    <w:rsid w:val="00881849"/>
    <w:rsid w:val="00881879"/>
    <w:rsid w:val="00881880"/>
    <w:rsid w:val="008818E8"/>
    <w:rsid w:val="00881920"/>
    <w:rsid w:val="00881981"/>
    <w:rsid w:val="0088199B"/>
    <w:rsid w:val="008819A8"/>
    <w:rsid w:val="008819D0"/>
    <w:rsid w:val="008819F0"/>
    <w:rsid w:val="00881A46"/>
    <w:rsid w:val="00881B0F"/>
    <w:rsid w:val="00881B3E"/>
    <w:rsid w:val="00881B61"/>
    <w:rsid w:val="00881B9E"/>
    <w:rsid w:val="00881BA6"/>
    <w:rsid w:val="00881BD6"/>
    <w:rsid w:val="00881C00"/>
    <w:rsid w:val="00881C69"/>
    <w:rsid w:val="00881C75"/>
    <w:rsid w:val="00881CDF"/>
    <w:rsid w:val="00881CE2"/>
    <w:rsid w:val="00881D33"/>
    <w:rsid w:val="00881D34"/>
    <w:rsid w:val="00881DF6"/>
    <w:rsid w:val="00881DFD"/>
    <w:rsid w:val="00881E38"/>
    <w:rsid w:val="00881E84"/>
    <w:rsid w:val="00881E96"/>
    <w:rsid w:val="00881EC5"/>
    <w:rsid w:val="00881ED1"/>
    <w:rsid w:val="00881F78"/>
    <w:rsid w:val="00881F95"/>
    <w:rsid w:val="00881FCB"/>
    <w:rsid w:val="00881FCF"/>
    <w:rsid w:val="00882088"/>
    <w:rsid w:val="008820F6"/>
    <w:rsid w:val="008821C8"/>
    <w:rsid w:val="00882210"/>
    <w:rsid w:val="00882236"/>
    <w:rsid w:val="00882246"/>
    <w:rsid w:val="0088228D"/>
    <w:rsid w:val="008822F2"/>
    <w:rsid w:val="0088230C"/>
    <w:rsid w:val="00882310"/>
    <w:rsid w:val="00882319"/>
    <w:rsid w:val="0088239A"/>
    <w:rsid w:val="008823B6"/>
    <w:rsid w:val="008823BA"/>
    <w:rsid w:val="008823C2"/>
    <w:rsid w:val="00882406"/>
    <w:rsid w:val="0088242E"/>
    <w:rsid w:val="00882439"/>
    <w:rsid w:val="00882447"/>
    <w:rsid w:val="0088244E"/>
    <w:rsid w:val="0088244F"/>
    <w:rsid w:val="00882454"/>
    <w:rsid w:val="00882514"/>
    <w:rsid w:val="00882537"/>
    <w:rsid w:val="008825A6"/>
    <w:rsid w:val="00882660"/>
    <w:rsid w:val="00882681"/>
    <w:rsid w:val="00882688"/>
    <w:rsid w:val="008826E1"/>
    <w:rsid w:val="008826EC"/>
    <w:rsid w:val="00882700"/>
    <w:rsid w:val="00882749"/>
    <w:rsid w:val="0088276C"/>
    <w:rsid w:val="0088277A"/>
    <w:rsid w:val="008827FB"/>
    <w:rsid w:val="008827FD"/>
    <w:rsid w:val="00882868"/>
    <w:rsid w:val="00882914"/>
    <w:rsid w:val="00882969"/>
    <w:rsid w:val="00882996"/>
    <w:rsid w:val="008829B4"/>
    <w:rsid w:val="008829C9"/>
    <w:rsid w:val="008829D7"/>
    <w:rsid w:val="00882A8F"/>
    <w:rsid w:val="00882A9D"/>
    <w:rsid w:val="00882AD7"/>
    <w:rsid w:val="00882B4F"/>
    <w:rsid w:val="00882BE3"/>
    <w:rsid w:val="00882BFF"/>
    <w:rsid w:val="00882C2E"/>
    <w:rsid w:val="00882C49"/>
    <w:rsid w:val="00882C80"/>
    <w:rsid w:val="00882CD7"/>
    <w:rsid w:val="00882CF9"/>
    <w:rsid w:val="00882D21"/>
    <w:rsid w:val="00882D50"/>
    <w:rsid w:val="00882D63"/>
    <w:rsid w:val="00882DB2"/>
    <w:rsid w:val="00882DF6"/>
    <w:rsid w:val="00882E2A"/>
    <w:rsid w:val="00882E7B"/>
    <w:rsid w:val="00882EC5"/>
    <w:rsid w:val="00882ECD"/>
    <w:rsid w:val="00882F11"/>
    <w:rsid w:val="00882F5E"/>
    <w:rsid w:val="00882F69"/>
    <w:rsid w:val="00882FF9"/>
    <w:rsid w:val="0088305D"/>
    <w:rsid w:val="0088307F"/>
    <w:rsid w:val="008830E5"/>
    <w:rsid w:val="00883163"/>
    <w:rsid w:val="0088317F"/>
    <w:rsid w:val="00883226"/>
    <w:rsid w:val="008832ED"/>
    <w:rsid w:val="00883359"/>
    <w:rsid w:val="00883378"/>
    <w:rsid w:val="0088338A"/>
    <w:rsid w:val="00883486"/>
    <w:rsid w:val="00883528"/>
    <w:rsid w:val="00883531"/>
    <w:rsid w:val="0088358B"/>
    <w:rsid w:val="008835CD"/>
    <w:rsid w:val="008836E7"/>
    <w:rsid w:val="0088379A"/>
    <w:rsid w:val="00883800"/>
    <w:rsid w:val="0088385E"/>
    <w:rsid w:val="00883888"/>
    <w:rsid w:val="008838A4"/>
    <w:rsid w:val="008838B3"/>
    <w:rsid w:val="00883914"/>
    <w:rsid w:val="0088391F"/>
    <w:rsid w:val="008839DE"/>
    <w:rsid w:val="00883AB5"/>
    <w:rsid w:val="00883AD1"/>
    <w:rsid w:val="00883AD3"/>
    <w:rsid w:val="00883AF1"/>
    <w:rsid w:val="00883AF2"/>
    <w:rsid w:val="00883B3D"/>
    <w:rsid w:val="00883B5A"/>
    <w:rsid w:val="00883B8E"/>
    <w:rsid w:val="00883BA7"/>
    <w:rsid w:val="00883C01"/>
    <w:rsid w:val="00883C05"/>
    <w:rsid w:val="00883C72"/>
    <w:rsid w:val="00883C9D"/>
    <w:rsid w:val="00883CA4"/>
    <w:rsid w:val="00883CB1"/>
    <w:rsid w:val="00883CEE"/>
    <w:rsid w:val="00883D0E"/>
    <w:rsid w:val="00883D30"/>
    <w:rsid w:val="00883D6D"/>
    <w:rsid w:val="00883DB0"/>
    <w:rsid w:val="00883E09"/>
    <w:rsid w:val="00883E24"/>
    <w:rsid w:val="00883E6F"/>
    <w:rsid w:val="00883F60"/>
    <w:rsid w:val="00883F93"/>
    <w:rsid w:val="00883FC1"/>
    <w:rsid w:val="00883FC9"/>
    <w:rsid w:val="00884042"/>
    <w:rsid w:val="0088407F"/>
    <w:rsid w:val="008840AB"/>
    <w:rsid w:val="0088416E"/>
    <w:rsid w:val="00884176"/>
    <w:rsid w:val="008841A3"/>
    <w:rsid w:val="008841D2"/>
    <w:rsid w:val="00884217"/>
    <w:rsid w:val="0088423B"/>
    <w:rsid w:val="008842CD"/>
    <w:rsid w:val="008842E7"/>
    <w:rsid w:val="008842FE"/>
    <w:rsid w:val="0088430B"/>
    <w:rsid w:val="0088433D"/>
    <w:rsid w:val="00884380"/>
    <w:rsid w:val="00884382"/>
    <w:rsid w:val="008843A2"/>
    <w:rsid w:val="008843CD"/>
    <w:rsid w:val="008843DE"/>
    <w:rsid w:val="0088448F"/>
    <w:rsid w:val="0088449B"/>
    <w:rsid w:val="0088450D"/>
    <w:rsid w:val="008845B4"/>
    <w:rsid w:val="008845B9"/>
    <w:rsid w:val="008845E3"/>
    <w:rsid w:val="00884689"/>
    <w:rsid w:val="008846BF"/>
    <w:rsid w:val="00884738"/>
    <w:rsid w:val="00884778"/>
    <w:rsid w:val="0088478E"/>
    <w:rsid w:val="008847B1"/>
    <w:rsid w:val="008848BB"/>
    <w:rsid w:val="008848EC"/>
    <w:rsid w:val="008848F3"/>
    <w:rsid w:val="008848FE"/>
    <w:rsid w:val="0088491A"/>
    <w:rsid w:val="008849D8"/>
    <w:rsid w:val="00884A0D"/>
    <w:rsid w:val="00884A19"/>
    <w:rsid w:val="00884A38"/>
    <w:rsid w:val="00884A69"/>
    <w:rsid w:val="00884A77"/>
    <w:rsid w:val="00884A9D"/>
    <w:rsid w:val="00884B0E"/>
    <w:rsid w:val="00884B4E"/>
    <w:rsid w:val="00884B5C"/>
    <w:rsid w:val="00884B78"/>
    <w:rsid w:val="00884B81"/>
    <w:rsid w:val="00884BDC"/>
    <w:rsid w:val="00884C00"/>
    <w:rsid w:val="00884C83"/>
    <w:rsid w:val="00884C86"/>
    <w:rsid w:val="00884CA7"/>
    <w:rsid w:val="00884CBD"/>
    <w:rsid w:val="00884CC1"/>
    <w:rsid w:val="00884CC5"/>
    <w:rsid w:val="00884CFC"/>
    <w:rsid w:val="00884D2D"/>
    <w:rsid w:val="00884D5E"/>
    <w:rsid w:val="00884E37"/>
    <w:rsid w:val="00884EBB"/>
    <w:rsid w:val="00884F1E"/>
    <w:rsid w:val="00884F68"/>
    <w:rsid w:val="00884FC3"/>
    <w:rsid w:val="0088503E"/>
    <w:rsid w:val="0088507D"/>
    <w:rsid w:val="00885098"/>
    <w:rsid w:val="00885133"/>
    <w:rsid w:val="008851A3"/>
    <w:rsid w:val="008852AB"/>
    <w:rsid w:val="008852E2"/>
    <w:rsid w:val="0088538D"/>
    <w:rsid w:val="008853D8"/>
    <w:rsid w:val="008853E8"/>
    <w:rsid w:val="0088544B"/>
    <w:rsid w:val="008855B6"/>
    <w:rsid w:val="008855C1"/>
    <w:rsid w:val="00885601"/>
    <w:rsid w:val="0088561C"/>
    <w:rsid w:val="008856C5"/>
    <w:rsid w:val="008856F8"/>
    <w:rsid w:val="00885702"/>
    <w:rsid w:val="0088572B"/>
    <w:rsid w:val="00885745"/>
    <w:rsid w:val="00885754"/>
    <w:rsid w:val="0088575B"/>
    <w:rsid w:val="008857C4"/>
    <w:rsid w:val="00885848"/>
    <w:rsid w:val="0088584E"/>
    <w:rsid w:val="00885887"/>
    <w:rsid w:val="008858E8"/>
    <w:rsid w:val="00885903"/>
    <w:rsid w:val="00885904"/>
    <w:rsid w:val="008859F3"/>
    <w:rsid w:val="00885A47"/>
    <w:rsid w:val="00885A58"/>
    <w:rsid w:val="00885A88"/>
    <w:rsid w:val="00885AF6"/>
    <w:rsid w:val="00885AF8"/>
    <w:rsid w:val="00885B1F"/>
    <w:rsid w:val="00885B39"/>
    <w:rsid w:val="00885B3F"/>
    <w:rsid w:val="00885B49"/>
    <w:rsid w:val="00885B4D"/>
    <w:rsid w:val="00885BC3"/>
    <w:rsid w:val="00885BF5"/>
    <w:rsid w:val="00885C09"/>
    <w:rsid w:val="00885C2C"/>
    <w:rsid w:val="00885C72"/>
    <w:rsid w:val="00885D34"/>
    <w:rsid w:val="00885D41"/>
    <w:rsid w:val="00885D4C"/>
    <w:rsid w:val="00885D81"/>
    <w:rsid w:val="00885E22"/>
    <w:rsid w:val="00885E3D"/>
    <w:rsid w:val="00885E95"/>
    <w:rsid w:val="00885F36"/>
    <w:rsid w:val="00885F39"/>
    <w:rsid w:val="00885FA0"/>
    <w:rsid w:val="00885FC4"/>
    <w:rsid w:val="00885FD9"/>
    <w:rsid w:val="00886023"/>
    <w:rsid w:val="008860BA"/>
    <w:rsid w:val="008860C0"/>
    <w:rsid w:val="008860D1"/>
    <w:rsid w:val="008860DE"/>
    <w:rsid w:val="008860FE"/>
    <w:rsid w:val="00886104"/>
    <w:rsid w:val="00886113"/>
    <w:rsid w:val="0088612F"/>
    <w:rsid w:val="00886144"/>
    <w:rsid w:val="0088615A"/>
    <w:rsid w:val="008861C2"/>
    <w:rsid w:val="008861DA"/>
    <w:rsid w:val="00886230"/>
    <w:rsid w:val="00886253"/>
    <w:rsid w:val="008862D0"/>
    <w:rsid w:val="008863C4"/>
    <w:rsid w:val="008863DE"/>
    <w:rsid w:val="00886491"/>
    <w:rsid w:val="008864F6"/>
    <w:rsid w:val="0088653F"/>
    <w:rsid w:val="0088655C"/>
    <w:rsid w:val="00886587"/>
    <w:rsid w:val="008865C5"/>
    <w:rsid w:val="00886603"/>
    <w:rsid w:val="00886605"/>
    <w:rsid w:val="00886610"/>
    <w:rsid w:val="0088662D"/>
    <w:rsid w:val="0088666F"/>
    <w:rsid w:val="0088668D"/>
    <w:rsid w:val="00886744"/>
    <w:rsid w:val="00886766"/>
    <w:rsid w:val="00886782"/>
    <w:rsid w:val="00886848"/>
    <w:rsid w:val="00886876"/>
    <w:rsid w:val="008868EC"/>
    <w:rsid w:val="008868F0"/>
    <w:rsid w:val="00886941"/>
    <w:rsid w:val="00886947"/>
    <w:rsid w:val="008869B8"/>
    <w:rsid w:val="008869C6"/>
    <w:rsid w:val="008869E1"/>
    <w:rsid w:val="00886AA3"/>
    <w:rsid w:val="00886AC9"/>
    <w:rsid w:val="00886AEE"/>
    <w:rsid w:val="00886B4F"/>
    <w:rsid w:val="00886B86"/>
    <w:rsid w:val="00886BA7"/>
    <w:rsid w:val="00886BBD"/>
    <w:rsid w:val="00886BE4"/>
    <w:rsid w:val="00886BEA"/>
    <w:rsid w:val="00886BFA"/>
    <w:rsid w:val="00886CEB"/>
    <w:rsid w:val="00886D7F"/>
    <w:rsid w:val="00886D99"/>
    <w:rsid w:val="00886DBD"/>
    <w:rsid w:val="00886DFB"/>
    <w:rsid w:val="00886E18"/>
    <w:rsid w:val="00886E19"/>
    <w:rsid w:val="00886E3E"/>
    <w:rsid w:val="00886E56"/>
    <w:rsid w:val="00886E9B"/>
    <w:rsid w:val="00886EAD"/>
    <w:rsid w:val="00886F0F"/>
    <w:rsid w:val="00886F8C"/>
    <w:rsid w:val="00886F8E"/>
    <w:rsid w:val="00886FDD"/>
    <w:rsid w:val="00887014"/>
    <w:rsid w:val="0088709D"/>
    <w:rsid w:val="008870BE"/>
    <w:rsid w:val="008870F3"/>
    <w:rsid w:val="008870F4"/>
    <w:rsid w:val="0088715A"/>
    <w:rsid w:val="0088719F"/>
    <w:rsid w:val="008871C0"/>
    <w:rsid w:val="008871E8"/>
    <w:rsid w:val="0088726D"/>
    <w:rsid w:val="0088728A"/>
    <w:rsid w:val="00887357"/>
    <w:rsid w:val="0088739E"/>
    <w:rsid w:val="008873D2"/>
    <w:rsid w:val="008874C4"/>
    <w:rsid w:val="0088758A"/>
    <w:rsid w:val="00887593"/>
    <w:rsid w:val="008875DB"/>
    <w:rsid w:val="0088766E"/>
    <w:rsid w:val="008876B0"/>
    <w:rsid w:val="0088770C"/>
    <w:rsid w:val="008877A0"/>
    <w:rsid w:val="008877A4"/>
    <w:rsid w:val="008877AB"/>
    <w:rsid w:val="008877B1"/>
    <w:rsid w:val="008877D1"/>
    <w:rsid w:val="008877EE"/>
    <w:rsid w:val="00887864"/>
    <w:rsid w:val="0088787D"/>
    <w:rsid w:val="008878B5"/>
    <w:rsid w:val="00887942"/>
    <w:rsid w:val="008879AD"/>
    <w:rsid w:val="008879B2"/>
    <w:rsid w:val="008879D2"/>
    <w:rsid w:val="00887A80"/>
    <w:rsid w:val="00887AAA"/>
    <w:rsid w:val="00887B1C"/>
    <w:rsid w:val="00887B60"/>
    <w:rsid w:val="00887BCD"/>
    <w:rsid w:val="00887BD7"/>
    <w:rsid w:val="00887BD9"/>
    <w:rsid w:val="00887C17"/>
    <w:rsid w:val="00887C2F"/>
    <w:rsid w:val="00887C4C"/>
    <w:rsid w:val="00887C50"/>
    <w:rsid w:val="00887CC6"/>
    <w:rsid w:val="00887CE1"/>
    <w:rsid w:val="00887D37"/>
    <w:rsid w:val="00887D4F"/>
    <w:rsid w:val="00887DB8"/>
    <w:rsid w:val="00887DD8"/>
    <w:rsid w:val="00887DED"/>
    <w:rsid w:val="00887E39"/>
    <w:rsid w:val="00887EFA"/>
    <w:rsid w:val="00887F0D"/>
    <w:rsid w:val="00887F1D"/>
    <w:rsid w:val="00887FC8"/>
    <w:rsid w:val="00887FF4"/>
    <w:rsid w:val="00890016"/>
    <w:rsid w:val="0089001F"/>
    <w:rsid w:val="00890021"/>
    <w:rsid w:val="00890086"/>
    <w:rsid w:val="008900EB"/>
    <w:rsid w:val="0089010F"/>
    <w:rsid w:val="0089011E"/>
    <w:rsid w:val="00890146"/>
    <w:rsid w:val="00890171"/>
    <w:rsid w:val="00890176"/>
    <w:rsid w:val="00890192"/>
    <w:rsid w:val="008901BA"/>
    <w:rsid w:val="008901C2"/>
    <w:rsid w:val="0089022F"/>
    <w:rsid w:val="00890288"/>
    <w:rsid w:val="00890290"/>
    <w:rsid w:val="008902BD"/>
    <w:rsid w:val="008902F9"/>
    <w:rsid w:val="00890315"/>
    <w:rsid w:val="0089035C"/>
    <w:rsid w:val="008903C2"/>
    <w:rsid w:val="008903CF"/>
    <w:rsid w:val="00890498"/>
    <w:rsid w:val="008904CF"/>
    <w:rsid w:val="008904F3"/>
    <w:rsid w:val="00890588"/>
    <w:rsid w:val="008905B9"/>
    <w:rsid w:val="008905C5"/>
    <w:rsid w:val="00890706"/>
    <w:rsid w:val="0089071C"/>
    <w:rsid w:val="0089071F"/>
    <w:rsid w:val="00890749"/>
    <w:rsid w:val="0089074E"/>
    <w:rsid w:val="00890760"/>
    <w:rsid w:val="0089078E"/>
    <w:rsid w:val="008907A2"/>
    <w:rsid w:val="008907B8"/>
    <w:rsid w:val="00890831"/>
    <w:rsid w:val="00890860"/>
    <w:rsid w:val="00890896"/>
    <w:rsid w:val="00890917"/>
    <w:rsid w:val="0089093D"/>
    <w:rsid w:val="00890945"/>
    <w:rsid w:val="00890A13"/>
    <w:rsid w:val="00890AD9"/>
    <w:rsid w:val="00890B12"/>
    <w:rsid w:val="00890B14"/>
    <w:rsid w:val="00890B2F"/>
    <w:rsid w:val="00890BD6"/>
    <w:rsid w:val="00890BEE"/>
    <w:rsid w:val="00890C10"/>
    <w:rsid w:val="00890C11"/>
    <w:rsid w:val="00890CAA"/>
    <w:rsid w:val="00890CB2"/>
    <w:rsid w:val="00890CEB"/>
    <w:rsid w:val="00890D61"/>
    <w:rsid w:val="00890D92"/>
    <w:rsid w:val="00890DB6"/>
    <w:rsid w:val="00890EDA"/>
    <w:rsid w:val="00890F03"/>
    <w:rsid w:val="00890F2E"/>
    <w:rsid w:val="00890F5E"/>
    <w:rsid w:val="00890F61"/>
    <w:rsid w:val="00890F78"/>
    <w:rsid w:val="00890F9E"/>
    <w:rsid w:val="0089100A"/>
    <w:rsid w:val="00891015"/>
    <w:rsid w:val="00891122"/>
    <w:rsid w:val="00891155"/>
    <w:rsid w:val="00891173"/>
    <w:rsid w:val="008912D8"/>
    <w:rsid w:val="00891312"/>
    <w:rsid w:val="00891344"/>
    <w:rsid w:val="00891351"/>
    <w:rsid w:val="008913DF"/>
    <w:rsid w:val="00891406"/>
    <w:rsid w:val="00891408"/>
    <w:rsid w:val="0089145E"/>
    <w:rsid w:val="00891472"/>
    <w:rsid w:val="00891505"/>
    <w:rsid w:val="00891506"/>
    <w:rsid w:val="0089150C"/>
    <w:rsid w:val="00891558"/>
    <w:rsid w:val="00891578"/>
    <w:rsid w:val="0089159F"/>
    <w:rsid w:val="008915A2"/>
    <w:rsid w:val="008915B4"/>
    <w:rsid w:val="008915D9"/>
    <w:rsid w:val="008915E5"/>
    <w:rsid w:val="008915FC"/>
    <w:rsid w:val="00891600"/>
    <w:rsid w:val="0089161B"/>
    <w:rsid w:val="00891628"/>
    <w:rsid w:val="00891686"/>
    <w:rsid w:val="00891719"/>
    <w:rsid w:val="0089176B"/>
    <w:rsid w:val="00891780"/>
    <w:rsid w:val="0089178F"/>
    <w:rsid w:val="008917CA"/>
    <w:rsid w:val="008917D1"/>
    <w:rsid w:val="008917EF"/>
    <w:rsid w:val="00891872"/>
    <w:rsid w:val="00891893"/>
    <w:rsid w:val="008918A3"/>
    <w:rsid w:val="008918B5"/>
    <w:rsid w:val="008918C3"/>
    <w:rsid w:val="008918E2"/>
    <w:rsid w:val="00891966"/>
    <w:rsid w:val="00891996"/>
    <w:rsid w:val="008919F6"/>
    <w:rsid w:val="00891B4D"/>
    <w:rsid w:val="00891B51"/>
    <w:rsid w:val="00891B61"/>
    <w:rsid w:val="00891B7D"/>
    <w:rsid w:val="00891BF2"/>
    <w:rsid w:val="00891BF5"/>
    <w:rsid w:val="00891C57"/>
    <w:rsid w:val="00891C65"/>
    <w:rsid w:val="00891C67"/>
    <w:rsid w:val="00891CC2"/>
    <w:rsid w:val="00891D6C"/>
    <w:rsid w:val="00891DA1"/>
    <w:rsid w:val="00891E23"/>
    <w:rsid w:val="00891E43"/>
    <w:rsid w:val="00891E93"/>
    <w:rsid w:val="00891F0B"/>
    <w:rsid w:val="00891F66"/>
    <w:rsid w:val="00891FDB"/>
    <w:rsid w:val="00891FF7"/>
    <w:rsid w:val="00892014"/>
    <w:rsid w:val="00892043"/>
    <w:rsid w:val="008920D3"/>
    <w:rsid w:val="0089210E"/>
    <w:rsid w:val="00892140"/>
    <w:rsid w:val="008921A3"/>
    <w:rsid w:val="008921E6"/>
    <w:rsid w:val="00892252"/>
    <w:rsid w:val="00892253"/>
    <w:rsid w:val="00892299"/>
    <w:rsid w:val="008922E3"/>
    <w:rsid w:val="008923CC"/>
    <w:rsid w:val="008923DD"/>
    <w:rsid w:val="008923E8"/>
    <w:rsid w:val="008923EE"/>
    <w:rsid w:val="00892448"/>
    <w:rsid w:val="0089245A"/>
    <w:rsid w:val="0089247E"/>
    <w:rsid w:val="008924AC"/>
    <w:rsid w:val="00892558"/>
    <w:rsid w:val="008925F8"/>
    <w:rsid w:val="00892600"/>
    <w:rsid w:val="00892675"/>
    <w:rsid w:val="00892705"/>
    <w:rsid w:val="00892761"/>
    <w:rsid w:val="00892766"/>
    <w:rsid w:val="008927F8"/>
    <w:rsid w:val="00892802"/>
    <w:rsid w:val="008928D3"/>
    <w:rsid w:val="0089293D"/>
    <w:rsid w:val="00892A0B"/>
    <w:rsid w:val="00892A78"/>
    <w:rsid w:val="00892A88"/>
    <w:rsid w:val="00892A8F"/>
    <w:rsid w:val="00892A9F"/>
    <w:rsid w:val="00892AE5"/>
    <w:rsid w:val="00892B23"/>
    <w:rsid w:val="00892B57"/>
    <w:rsid w:val="00892B5C"/>
    <w:rsid w:val="00892B6C"/>
    <w:rsid w:val="00892B81"/>
    <w:rsid w:val="00892BAB"/>
    <w:rsid w:val="00892BD9"/>
    <w:rsid w:val="00892BEC"/>
    <w:rsid w:val="00892C1B"/>
    <w:rsid w:val="00892C41"/>
    <w:rsid w:val="00892CAD"/>
    <w:rsid w:val="00892CCD"/>
    <w:rsid w:val="00892D5D"/>
    <w:rsid w:val="00892D7F"/>
    <w:rsid w:val="00892DC5"/>
    <w:rsid w:val="00892DCA"/>
    <w:rsid w:val="00892ECB"/>
    <w:rsid w:val="00892EDF"/>
    <w:rsid w:val="00892F0F"/>
    <w:rsid w:val="00892FAD"/>
    <w:rsid w:val="00892FC0"/>
    <w:rsid w:val="00892FC2"/>
    <w:rsid w:val="00893007"/>
    <w:rsid w:val="0089301C"/>
    <w:rsid w:val="0089304B"/>
    <w:rsid w:val="008930F7"/>
    <w:rsid w:val="00893112"/>
    <w:rsid w:val="00893124"/>
    <w:rsid w:val="00893244"/>
    <w:rsid w:val="00893265"/>
    <w:rsid w:val="0089326D"/>
    <w:rsid w:val="00893290"/>
    <w:rsid w:val="008932D2"/>
    <w:rsid w:val="008932EE"/>
    <w:rsid w:val="008932FA"/>
    <w:rsid w:val="00893310"/>
    <w:rsid w:val="00893360"/>
    <w:rsid w:val="00893361"/>
    <w:rsid w:val="00893380"/>
    <w:rsid w:val="00893428"/>
    <w:rsid w:val="00893447"/>
    <w:rsid w:val="008934B8"/>
    <w:rsid w:val="008934DE"/>
    <w:rsid w:val="0089351A"/>
    <w:rsid w:val="0089351F"/>
    <w:rsid w:val="00893559"/>
    <w:rsid w:val="008936CD"/>
    <w:rsid w:val="0089370B"/>
    <w:rsid w:val="0089371A"/>
    <w:rsid w:val="00893735"/>
    <w:rsid w:val="0089374C"/>
    <w:rsid w:val="008938B8"/>
    <w:rsid w:val="008938EC"/>
    <w:rsid w:val="00893922"/>
    <w:rsid w:val="00893925"/>
    <w:rsid w:val="008939F9"/>
    <w:rsid w:val="00893B18"/>
    <w:rsid w:val="00893B2B"/>
    <w:rsid w:val="00893BB4"/>
    <w:rsid w:val="00893C46"/>
    <w:rsid w:val="00893C8C"/>
    <w:rsid w:val="00893CA3"/>
    <w:rsid w:val="00893D04"/>
    <w:rsid w:val="00893D1D"/>
    <w:rsid w:val="00893D2E"/>
    <w:rsid w:val="00893DA8"/>
    <w:rsid w:val="00893DFB"/>
    <w:rsid w:val="00893DFC"/>
    <w:rsid w:val="00893E10"/>
    <w:rsid w:val="00893EA2"/>
    <w:rsid w:val="00893EAA"/>
    <w:rsid w:val="00893EAE"/>
    <w:rsid w:val="00893ECA"/>
    <w:rsid w:val="00893EFA"/>
    <w:rsid w:val="00893EFE"/>
    <w:rsid w:val="00893F1F"/>
    <w:rsid w:val="00893F40"/>
    <w:rsid w:val="00893F4E"/>
    <w:rsid w:val="00893F5A"/>
    <w:rsid w:val="00893F60"/>
    <w:rsid w:val="00893F82"/>
    <w:rsid w:val="00893FE7"/>
    <w:rsid w:val="00894007"/>
    <w:rsid w:val="008940A6"/>
    <w:rsid w:val="008940A7"/>
    <w:rsid w:val="008940FC"/>
    <w:rsid w:val="0089410E"/>
    <w:rsid w:val="00894134"/>
    <w:rsid w:val="00894161"/>
    <w:rsid w:val="00894197"/>
    <w:rsid w:val="008941A9"/>
    <w:rsid w:val="008941F9"/>
    <w:rsid w:val="00894264"/>
    <w:rsid w:val="00894303"/>
    <w:rsid w:val="00894324"/>
    <w:rsid w:val="00894381"/>
    <w:rsid w:val="008943B5"/>
    <w:rsid w:val="008943CC"/>
    <w:rsid w:val="008943E2"/>
    <w:rsid w:val="0089443F"/>
    <w:rsid w:val="0089444B"/>
    <w:rsid w:val="0089445F"/>
    <w:rsid w:val="0089446B"/>
    <w:rsid w:val="008944CA"/>
    <w:rsid w:val="0089456A"/>
    <w:rsid w:val="0089458E"/>
    <w:rsid w:val="008945AC"/>
    <w:rsid w:val="008945C0"/>
    <w:rsid w:val="0089460F"/>
    <w:rsid w:val="00894691"/>
    <w:rsid w:val="008946E3"/>
    <w:rsid w:val="008946FE"/>
    <w:rsid w:val="0089474B"/>
    <w:rsid w:val="00894761"/>
    <w:rsid w:val="008947C1"/>
    <w:rsid w:val="008947C6"/>
    <w:rsid w:val="008947CC"/>
    <w:rsid w:val="0089480D"/>
    <w:rsid w:val="0089481E"/>
    <w:rsid w:val="00894837"/>
    <w:rsid w:val="00894887"/>
    <w:rsid w:val="0089495F"/>
    <w:rsid w:val="00894968"/>
    <w:rsid w:val="008949C4"/>
    <w:rsid w:val="00894A1A"/>
    <w:rsid w:val="00894AB2"/>
    <w:rsid w:val="00894AD5"/>
    <w:rsid w:val="00894B12"/>
    <w:rsid w:val="00894B35"/>
    <w:rsid w:val="00894B44"/>
    <w:rsid w:val="00894B49"/>
    <w:rsid w:val="00894BAD"/>
    <w:rsid w:val="00894C27"/>
    <w:rsid w:val="00894C29"/>
    <w:rsid w:val="00894C4D"/>
    <w:rsid w:val="00894CC9"/>
    <w:rsid w:val="00894D8A"/>
    <w:rsid w:val="00894DA1"/>
    <w:rsid w:val="00894DE3"/>
    <w:rsid w:val="00894E11"/>
    <w:rsid w:val="00894E16"/>
    <w:rsid w:val="00894E34"/>
    <w:rsid w:val="00894E50"/>
    <w:rsid w:val="00894EE3"/>
    <w:rsid w:val="00894EE6"/>
    <w:rsid w:val="00894EF6"/>
    <w:rsid w:val="00894F2F"/>
    <w:rsid w:val="00894F59"/>
    <w:rsid w:val="00894FCE"/>
    <w:rsid w:val="00894FFA"/>
    <w:rsid w:val="00895039"/>
    <w:rsid w:val="00895176"/>
    <w:rsid w:val="008951BC"/>
    <w:rsid w:val="0089525E"/>
    <w:rsid w:val="00895288"/>
    <w:rsid w:val="00895293"/>
    <w:rsid w:val="0089530F"/>
    <w:rsid w:val="0089533C"/>
    <w:rsid w:val="0089535C"/>
    <w:rsid w:val="008953C3"/>
    <w:rsid w:val="008953F8"/>
    <w:rsid w:val="00895435"/>
    <w:rsid w:val="00895472"/>
    <w:rsid w:val="0089547B"/>
    <w:rsid w:val="0089549D"/>
    <w:rsid w:val="008954C6"/>
    <w:rsid w:val="008954F3"/>
    <w:rsid w:val="00895521"/>
    <w:rsid w:val="0089553C"/>
    <w:rsid w:val="00895601"/>
    <w:rsid w:val="00895647"/>
    <w:rsid w:val="008956AF"/>
    <w:rsid w:val="00895712"/>
    <w:rsid w:val="008957C5"/>
    <w:rsid w:val="008957E2"/>
    <w:rsid w:val="008957EC"/>
    <w:rsid w:val="008957FD"/>
    <w:rsid w:val="0089583D"/>
    <w:rsid w:val="00895847"/>
    <w:rsid w:val="008958B3"/>
    <w:rsid w:val="008958E9"/>
    <w:rsid w:val="00895945"/>
    <w:rsid w:val="008959BA"/>
    <w:rsid w:val="008959D6"/>
    <w:rsid w:val="008959E1"/>
    <w:rsid w:val="008959F0"/>
    <w:rsid w:val="008959F2"/>
    <w:rsid w:val="008959F9"/>
    <w:rsid w:val="00895A55"/>
    <w:rsid w:val="00895A78"/>
    <w:rsid w:val="00895AA7"/>
    <w:rsid w:val="00895AAF"/>
    <w:rsid w:val="00895AC6"/>
    <w:rsid w:val="00895B01"/>
    <w:rsid w:val="00895B0B"/>
    <w:rsid w:val="00895B38"/>
    <w:rsid w:val="00895B3B"/>
    <w:rsid w:val="00895B89"/>
    <w:rsid w:val="00895BA4"/>
    <w:rsid w:val="00895BA9"/>
    <w:rsid w:val="00895BAD"/>
    <w:rsid w:val="00895CAF"/>
    <w:rsid w:val="00895D5F"/>
    <w:rsid w:val="00895D9B"/>
    <w:rsid w:val="00895DCE"/>
    <w:rsid w:val="00895DEF"/>
    <w:rsid w:val="00895DF9"/>
    <w:rsid w:val="00895E4B"/>
    <w:rsid w:val="00895E8E"/>
    <w:rsid w:val="00895F75"/>
    <w:rsid w:val="00896034"/>
    <w:rsid w:val="00896044"/>
    <w:rsid w:val="0089604F"/>
    <w:rsid w:val="00896085"/>
    <w:rsid w:val="008960AF"/>
    <w:rsid w:val="008960D0"/>
    <w:rsid w:val="008960F6"/>
    <w:rsid w:val="00896165"/>
    <w:rsid w:val="0089625B"/>
    <w:rsid w:val="008962F5"/>
    <w:rsid w:val="00896318"/>
    <w:rsid w:val="00896324"/>
    <w:rsid w:val="00896367"/>
    <w:rsid w:val="0089636D"/>
    <w:rsid w:val="008963B9"/>
    <w:rsid w:val="0089645C"/>
    <w:rsid w:val="0089649E"/>
    <w:rsid w:val="00896525"/>
    <w:rsid w:val="0089658C"/>
    <w:rsid w:val="008965EA"/>
    <w:rsid w:val="008965EE"/>
    <w:rsid w:val="008965FF"/>
    <w:rsid w:val="00896623"/>
    <w:rsid w:val="00896663"/>
    <w:rsid w:val="00896688"/>
    <w:rsid w:val="008966BE"/>
    <w:rsid w:val="008966CC"/>
    <w:rsid w:val="008967A8"/>
    <w:rsid w:val="008967CA"/>
    <w:rsid w:val="008967E3"/>
    <w:rsid w:val="00896810"/>
    <w:rsid w:val="00896835"/>
    <w:rsid w:val="008968C7"/>
    <w:rsid w:val="008968D0"/>
    <w:rsid w:val="00896935"/>
    <w:rsid w:val="008969B3"/>
    <w:rsid w:val="008969E4"/>
    <w:rsid w:val="00896A14"/>
    <w:rsid w:val="00896A6D"/>
    <w:rsid w:val="00896AA4"/>
    <w:rsid w:val="00896AD3"/>
    <w:rsid w:val="00896ADC"/>
    <w:rsid w:val="00896AE9"/>
    <w:rsid w:val="00896AEC"/>
    <w:rsid w:val="00896AF7"/>
    <w:rsid w:val="00896B21"/>
    <w:rsid w:val="00896B3D"/>
    <w:rsid w:val="00896B4D"/>
    <w:rsid w:val="00896B81"/>
    <w:rsid w:val="00896B8B"/>
    <w:rsid w:val="00896BF0"/>
    <w:rsid w:val="00896C6E"/>
    <w:rsid w:val="00896C88"/>
    <w:rsid w:val="00896C9B"/>
    <w:rsid w:val="00896D19"/>
    <w:rsid w:val="00896D2C"/>
    <w:rsid w:val="00896D60"/>
    <w:rsid w:val="00896D7D"/>
    <w:rsid w:val="00896D92"/>
    <w:rsid w:val="00896DD9"/>
    <w:rsid w:val="00896E66"/>
    <w:rsid w:val="00896ED9"/>
    <w:rsid w:val="00896F38"/>
    <w:rsid w:val="00896F8D"/>
    <w:rsid w:val="00896F96"/>
    <w:rsid w:val="00896FB6"/>
    <w:rsid w:val="00896FDD"/>
    <w:rsid w:val="00897029"/>
    <w:rsid w:val="0089703E"/>
    <w:rsid w:val="00897070"/>
    <w:rsid w:val="00897092"/>
    <w:rsid w:val="008970C6"/>
    <w:rsid w:val="008970C7"/>
    <w:rsid w:val="0089710C"/>
    <w:rsid w:val="00897117"/>
    <w:rsid w:val="0089712C"/>
    <w:rsid w:val="00897134"/>
    <w:rsid w:val="00897214"/>
    <w:rsid w:val="00897223"/>
    <w:rsid w:val="008972EA"/>
    <w:rsid w:val="008972FD"/>
    <w:rsid w:val="00897320"/>
    <w:rsid w:val="00897329"/>
    <w:rsid w:val="00897364"/>
    <w:rsid w:val="00897385"/>
    <w:rsid w:val="0089738D"/>
    <w:rsid w:val="008973AA"/>
    <w:rsid w:val="008973CD"/>
    <w:rsid w:val="008973F4"/>
    <w:rsid w:val="008973FF"/>
    <w:rsid w:val="00897446"/>
    <w:rsid w:val="00897457"/>
    <w:rsid w:val="008974A5"/>
    <w:rsid w:val="008974C1"/>
    <w:rsid w:val="0089754B"/>
    <w:rsid w:val="00897566"/>
    <w:rsid w:val="00897589"/>
    <w:rsid w:val="008976F5"/>
    <w:rsid w:val="00897701"/>
    <w:rsid w:val="00897714"/>
    <w:rsid w:val="0089771D"/>
    <w:rsid w:val="00897759"/>
    <w:rsid w:val="0089775E"/>
    <w:rsid w:val="00897810"/>
    <w:rsid w:val="0089782F"/>
    <w:rsid w:val="00897842"/>
    <w:rsid w:val="0089784E"/>
    <w:rsid w:val="008978D5"/>
    <w:rsid w:val="008978F4"/>
    <w:rsid w:val="008978FB"/>
    <w:rsid w:val="00897939"/>
    <w:rsid w:val="00897949"/>
    <w:rsid w:val="008979B6"/>
    <w:rsid w:val="008979D1"/>
    <w:rsid w:val="008979DE"/>
    <w:rsid w:val="00897A4D"/>
    <w:rsid w:val="00897AA4"/>
    <w:rsid w:val="00897AA5"/>
    <w:rsid w:val="00897B72"/>
    <w:rsid w:val="00897B84"/>
    <w:rsid w:val="00897BAF"/>
    <w:rsid w:val="00897C00"/>
    <w:rsid w:val="00897C0B"/>
    <w:rsid w:val="00897C3B"/>
    <w:rsid w:val="00897C6F"/>
    <w:rsid w:val="00897CD7"/>
    <w:rsid w:val="00897CDC"/>
    <w:rsid w:val="00897CE1"/>
    <w:rsid w:val="00897CFE"/>
    <w:rsid w:val="00897DC7"/>
    <w:rsid w:val="00897DF5"/>
    <w:rsid w:val="00897DFF"/>
    <w:rsid w:val="00897E02"/>
    <w:rsid w:val="00897E40"/>
    <w:rsid w:val="00897E6B"/>
    <w:rsid w:val="00897E76"/>
    <w:rsid w:val="00897ED7"/>
    <w:rsid w:val="00897ED9"/>
    <w:rsid w:val="00897EDE"/>
    <w:rsid w:val="00897EF1"/>
    <w:rsid w:val="00897F4C"/>
    <w:rsid w:val="008A0034"/>
    <w:rsid w:val="008A006D"/>
    <w:rsid w:val="008A0072"/>
    <w:rsid w:val="008A0080"/>
    <w:rsid w:val="008A00B6"/>
    <w:rsid w:val="008A00CA"/>
    <w:rsid w:val="008A00D9"/>
    <w:rsid w:val="008A010D"/>
    <w:rsid w:val="008A0151"/>
    <w:rsid w:val="008A01EB"/>
    <w:rsid w:val="008A0233"/>
    <w:rsid w:val="008A024A"/>
    <w:rsid w:val="008A0282"/>
    <w:rsid w:val="008A0308"/>
    <w:rsid w:val="008A030B"/>
    <w:rsid w:val="008A031B"/>
    <w:rsid w:val="008A0338"/>
    <w:rsid w:val="008A0381"/>
    <w:rsid w:val="008A038D"/>
    <w:rsid w:val="008A0418"/>
    <w:rsid w:val="008A046D"/>
    <w:rsid w:val="008A0479"/>
    <w:rsid w:val="008A049B"/>
    <w:rsid w:val="008A04AF"/>
    <w:rsid w:val="008A0501"/>
    <w:rsid w:val="008A052B"/>
    <w:rsid w:val="008A05E7"/>
    <w:rsid w:val="008A05F5"/>
    <w:rsid w:val="008A05FE"/>
    <w:rsid w:val="008A0600"/>
    <w:rsid w:val="008A07BA"/>
    <w:rsid w:val="008A0803"/>
    <w:rsid w:val="008A0833"/>
    <w:rsid w:val="008A083A"/>
    <w:rsid w:val="008A0883"/>
    <w:rsid w:val="008A08B5"/>
    <w:rsid w:val="008A08EB"/>
    <w:rsid w:val="008A08FE"/>
    <w:rsid w:val="008A091C"/>
    <w:rsid w:val="008A098A"/>
    <w:rsid w:val="008A0A19"/>
    <w:rsid w:val="008A0A1B"/>
    <w:rsid w:val="008A0A77"/>
    <w:rsid w:val="008A0ADC"/>
    <w:rsid w:val="008A0B09"/>
    <w:rsid w:val="008A0B9F"/>
    <w:rsid w:val="008A0BED"/>
    <w:rsid w:val="008A0BF3"/>
    <w:rsid w:val="008A0C71"/>
    <w:rsid w:val="008A0C7A"/>
    <w:rsid w:val="008A0CA7"/>
    <w:rsid w:val="008A0CDB"/>
    <w:rsid w:val="008A0D0C"/>
    <w:rsid w:val="008A0DA2"/>
    <w:rsid w:val="008A0DDE"/>
    <w:rsid w:val="008A0E04"/>
    <w:rsid w:val="008A0E2A"/>
    <w:rsid w:val="008A0E3D"/>
    <w:rsid w:val="008A0EF9"/>
    <w:rsid w:val="008A0F43"/>
    <w:rsid w:val="008A0F67"/>
    <w:rsid w:val="008A0F7E"/>
    <w:rsid w:val="008A0F93"/>
    <w:rsid w:val="008A0FE5"/>
    <w:rsid w:val="008A10F8"/>
    <w:rsid w:val="008A1190"/>
    <w:rsid w:val="008A11E9"/>
    <w:rsid w:val="008A125F"/>
    <w:rsid w:val="008A12BD"/>
    <w:rsid w:val="008A12D6"/>
    <w:rsid w:val="008A12FB"/>
    <w:rsid w:val="008A130D"/>
    <w:rsid w:val="008A133D"/>
    <w:rsid w:val="008A1355"/>
    <w:rsid w:val="008A135B"/>
    <w:rsid w:val="008A137C"/>
    <w:rsid w:val="008A1396"/>
    <w:rsid w:val="008A13B4"/>
    <w:rsid w:val="008A140C"/>
    <w:rsid w:val="008A1460"/>
    <w:rsid w:val="008A148A"/>
    <w:rsid w:val="008A14DB"/>
    <w:rsid w:val="008A1523"/>
    <w:rsid w:val="008A15F0"/>
    <w:rsid w:val="008A162F"/>
    <w:rsid w:val="008A1645"/>
    <w:rsid w:val="008A164D"/>
    <w:rsid w:val="008A1677"/>
    <w:rsid w:val="008A169E"/>
    <w:rsid w:val="008A16CA"/>
    <w:rsid w:val="008A1793"/>
    <w:rsid w:val="008A17DA"/>
    <w:rsid w:val="008A17E9"/>
    <w:rsid w:val="008A17FA"/>
    <w:rsid w:val="008A1815"/>
    <w:rsid w:val="008A1818"/>
    <w:rsid w:val="008A1853"/>
    <w:rsid w:val="008A1856"/>
    <w:rsid w:val="008A186B"/>
    <w:rsid w:val="008A1892"/>
    <w:rsid w:val="008A18A6"/>
    <w:rsid w:val="008A18AC"/>
    <w:rsid w:val="008A18D1"/>
    <w:rsid w:val="008A18E2"/>
    <w:rsid w:val="008A1922"/>
    <w:rsid w:val="008A1967"/>
    <w:rsid w:val="008A1970"/>
    <w:rsid w:val="008A198B"/>
    <w:rsid w:val="008A19B6"/>
    <w:rsid w:val="008A1A92"/>
    <w:rsid w:val="008A1B01"/>
    <w:rsid w:val="008A1B0C"/>
    <w:rsid w:val="008A1B5E"/>
    <w:rsid w:val="008A1CD0"/>
    <w:rsid w:val="008A1CD8"/>
    <w:rsid w:val="008A1DC7"/>
    <w:rsid w:val="008A1DF3"/>
    <w:rsid w:val="008A1DFF"/>
    <w:rsid w:val="008A1E07"/>
    <w:rsid w:val="008A1E19"/>
    <w:rsid w:val="008A1E60"/>
    <w:rsid w:val="008A1E7F"/>
    <w:rsid w:val="008A1EAF"/>
    <w:rsid w:val="008A1EF1"/>
    <w:rsid w:val="008A1F5D"/>
    <w:rsid w:val="008A207C"/>
    <w:rsid w:val="008A2080"/>
    <w:rsid w:val="008A2084"/>
    <w:rsid w:val="008A20A1"/>
    <w:rsid w:val="008A20DE"/>
    <w:rsid w:val="008A2156"/>
    <w:rsid w:val="008A2215"/>
    <w:rsid w:val="008A227B"/>
    <w:rsid w:val="008A22CD"/>
    <w:rsid w:val="008A238C"/>
    <w:rsid w:val="008A23B8"/>
    <w:rsid w:val="008A23DB"/>
    <w:rsid w:val="008A2415"/>
    <w:rsid w:val="008A242A"/>
    <w:rsid w:val="008A243E"/>
    <w:rsid w:val="008A24AD"/>
    <w:rsid w:val="008A24D3"/>
    <w:rsid w:val="008A2593"/>
    <w:rsid w:val="008A25B2"/>
    <w:rsid w:val="008A25E6"/>
    <w:rsid w:val="008A2671"/>
    <w:rsid w:val="008A268E"/>
    <w:rsid w:val="008A26BE"/>
    <w:rsid w:val="008A26C7"/>
    <w:rsid w:val="008A26D0"/>
    <w:rsid w:val="008A26FE"/>
    <w:rsid w:val="008A26FF"/>
    <w:rsid w:val="008A272D"/>
    <w:rsid w:val="008A2752"/>
    <w:rsid w:val="008A2783"/>
    <w:rsid w:val="008A281D"/>
    <w:rsid w:val="008A28D1"/>
    <w:rsid w:val="008A28FA"/>
    <w:rsid w:val="008A28FC"/>
    <w:rsid w:val="008A290B"/>
    <w:rsid w:val="008A29ED"/>
    <w:rsid w:val="008A2A10"/>
    <w:rsid w:val="008A2A32"/>
    <w:rsid w:val="008A2A72"/>
    <w:rsid w:val="008A2ABB"/>
    <w:rsid w:val="008A2ACA"/>
    <w:rsid w:val="008A2AD3"/>
    <w:rsid w:val="008A2B47"/>
    <w:rsid w:val="008A2B8E"/>
    <w:rsid w:val="008A2BC7"/>
    <w:rsid w:val="008A2BF6"/>
    <w:rsid w:val="008A2C72"/>
    <w:rsid w:val="008A2C79"/>
    <w:rsid w:val="008A2D2C"/>
    <w:rsid w:val="008A2D2E"/>
    <w:rsid w:val="008A2D62"/>
    <w:rsid w:val="008A2D65"/>
    <w:rsid w:val="008A2D91"/>
    <w:rsid w:val="008A2DA3"/>
    <w:rsid w:val="008A2DC8"/>
    <w:rsid w:val="008A2DFF"/>
    <w:rsid w:val="008A2EC1"/>
    <w:rsid w:val="008A2EE5"/>
    <w:rsid w:val="008A2EFB"/>
    <w:rsid w:val="008A2F5F"/>
    <w:rsid w:val="008A2F69"/>
    <w:rsid w:val="008A2FAD"/>
    <w:rsid w:val="008A2FD1"/>
    <w:rsid w:val="008A301C"/>
    <w:rsid w:val="008A3023"/>
    <w:rsid w:val="008A302F"/>
    <w:rsid w:val="008A3030"/>
    <w:rsid w:val="008A306B"/>
    <w:rsid w:val="008A30D5"/>
    <w:rsid w:val="008A31EF"/>
    <w:rsid w:val="008A320D"/>
    <w:rsid w:val="008A3287"/>
    <w:rsid w:val="008A32B7"/>
    <w:rsid w:val="008A32C8"/>
    <w:rsid w:val="008A3333"/>
    <w:rsid w:val="008A3348"/>
    <w:rsid w:val="008A339D"/>
    <w:rsid w:val="008A33E3"/>
    <w:rsid w:val="008A3476"/>
    <w:rsid w:val="008A347C"/>
    <w:rsid w:val="008A34B5"/>
    <w:rsid w:val="008A34BE"/>
    <w:rsid w:val="008A3563"/>
    <w:rsid w:val="008A3594"/>
    <w:rsid w:val="008A35A6"/>
    <w:rsid w:val="008A35BB"/>
    <w:rsid w:val="008A35DF"/>
    <w:rsid w:val="008A3607"/>
    <w:rsid w:val="008A3646"/>
    <w:rsid w:val="008A3767"/>
    <w:rsid w:val="008A379A"/>
    <w:rsid w:val="008A37D3"/>
    <w:rsid w:val="008A3852"/>
    <w:rsid w:val="008A386E"/>
    <w:rsid w:val="008A3910"/>
    <w:rsid w:val="008A395B"/>
    <w:rsid w:val="008A3A3E"/>
    <w:rsid w:val="008A3A94"/>
    <w:rsid w:val="008A3B2B"/>
    <w:rsid w:val="008A3B48"/>
    <w:rsid w:val="008A3B71"/>
    <w:rsid w:val="008A3BB0"/>
    <w:rsid w:val="008A3C36"/>
    <w:rsid w:val="008A3C5D"/>
    <w:rsid w:val="008A3C8D"/>
    <w:rsid w:val="008A3CCD"/>
    <w:rsid w:val="008A3CDD"/>
    <w:rsid w:val="008A3DF5"/>
    <w:rsid w:val="008A3DFD"/>
    <w:rsid w:val="008A3E8B"/>
    <w:rsid w:val="008A3F2A"/>
    <w:rsid w:val="008A3F58"/>
    <w:rsid w:val="008A3FF1"/>
    <w:rsid w:val="008A405C"/>
    <w:rsid w:val="008A4094"/>
    <w:rsid w:val="008A40E8"/>
    <w:rsid w:val="008A40F8"/>
    <w:rsid w:val="008A4122"/>
    <w:rsid w:val="008A4162"/>
    <w:rsid w:val="008A4177"/>
    <w:rsid w:val="008A4215"/>
    <w:rsid w:val="008A425B"/>
    <w:rsid w:val="008A426F"/>
    <w:rsid w:val="008A435C"/>
    <w:rsid w:val="008A4379"/>
    <w:rsid w:val="008A4389"/>
    <w:rsid w:val="008A4418"/>
    <w:rsid w:val="008A4419"/>
    <w:rsid w:val="008A4459"/>
    <w:rsid w:val="008A44C3"/>
    <w:rsid w:val="008A44D7"/>
    <w:rsid w:val="008A44E1"/>
    <w:rsid w:val="008A4538"/>
    <w:rsid w:val="008A4592"/>
    <w:rsid w:val="008A45BB"/>
    <w:rsid w:val="008A45CE"/>
    <w:rsid w:val="008A45D3"/>
    <w:rsid w:val="008A46F4"/>
    <w:rsid w:val="008A474C"/>
    <w:rsid w:val="008A4752"/>
    <w:rsid w:val="008A47AA"/>
    <w:rsid w:val="008A4834"/>
    <w:rsid w:val="008A4840"/>
    <w:rsid w:val="008A4856"/>
    <w:rsid w:val="008A48D1"/>
    <w:rsid w:val="008A48D3"/>
    <w:rsid w:val="008A48F5"/>
    <w:rsid w:val="008A4933"/>
    <w:rsid w:val="008A4980"/>
    <w:rsid w:val="008A49E1"/>
    <w:rsid w:val="008A4A18"/>
    <w:rsid w:val="008A4A46"/>
    <w:rsid w:val="008A4A4C"/>
    <w:rsid w:val="008A4A5C"/>
    <w:rsid w:val="008A4A60"/>
    <w:rsid w:val="008A4A88"/>
    <w:rsid w:val="008A4AA3"/>
    <w:rsid w:val="008A4AD8"/>
    <w:rsid w:val="008A4AEB"/>
    <w:rsid w:val="008A4B6F"/>
    <w:rsid w:val="008A4BDD"/>
    <w:rsid w:val="008A4C02"/>
    <w:rsid w:val="008A4C2B"/>
    <w:rsid w:val="008A4C45"/>
    <w:rsid w:val="008A4CC7"/>
    <w:rsid w:val="008A4CD6"/>
    <w:rsid w:val="008A4CEB"/>
    <w:rsid w:val="008A4CFA"/>
    <w:rsid w:val="008A4DC6"/>
    <w:rsid w:val="008A4DE3"/>
    <w:rsid w:val="008A4DF9"/>
    <w:rsid w:val="008A4E04"/>
    <w:rsid w:val="008A4E3E"/>
    <w:rsid w:val="008A4E68"/>
    <w:rsid w:val="008A4E69"/>
    <w:rsid w:val="008A4EF1"/>
    <w:rsid w:val="008A4F6F"/>
    <w:rsid w:val="008A4FD1"/>
    <w:rsid w:val="008A4FE2"/>
    <w:rsid w:val="008A5021"/>
    <w:rsid w:val="008A5061"/>
    <w:rsid w:val="008A509B"/>
    <w:rsid w:val="008A50AA"/>
    <w:rsid w:val="008A50B1"/>
    <w:rsid w:val="008A50F5"/>
    <w:rsid w:val="008A516D"/>
    <w:rsid w:val="008A516E"/>
    <w:rsid w:val="008A5186"/>
    <w:rsid w:val="008A519C"/>
    <w:rsid w:val="008A5233"/>
    <w:rsid w:val="008A5295"/>
    <w:rsid w:val="008A52D6"/>
    <w:rsid w:val="008A5340"/>
    <w:rsid w:val="008A538F"/>
    <w:rsid w:val="008A5463"/>
    <w:rsid w:val="008A5481"/>
    <w:rsid w:val="008A5492"/>
    <w:rsid w:val="008A5495"/>
    <w:rsid w:val="008A54C9"/>
    <w:rsid w:val="008A5571"/>
    <w:rsid w:val="008A55C1"/>
    <w:rsid w:val="008A56A3"/>
    <w:rsid w:val="008A575C"/>
    <w:rsid w:val="008A57F6"/>
    <w:rsid w:val="008A57FD"/>
    <w:rsid w:val="008A5838"/>
    <w:rsid w:val="008A5839"/>
    <w:rsid w:val="008A5877"/>
    <w:rsid w:val="008A5890"/>
    <w:rsid w:val="008A589F"/>
    <w:rsid w:val="008A58C0"/>
    <w:rsid w:val="008A58C4"/>
    <w:rsid w:val="008A58DC"/>
    <w:rsid w:val="008A58FF"/>
    <w:rsid w:val="008A5917"/>
    <w:rsid w:val="008A593A"/>
    <w:rsid w:val="008A59D9"/>
    <w:rsid w:val="008A5A2E"/>
    <w:rsid w:val="008A5A37"/>
    <w:rsid w:val="008A5A82"/>
    <w:rsid w:val="008A5AB2"/>
    <w:rsid w:val="008A5AB8"/>
    <w:rsid w:val="008A5AFD"/>
    <w:rsid w:val="008A5B0F"/>
    <w:rsid w:val="008A5B37"/>
    <w:rsid w:val="008A5B71"/>
    <w:rsid w:val="008A5B80"/>
    <w:rsid w:val="008A5BC8"/>
    <w:rsid w:val="008A5C49"/>
    <w:rsid w:val="008A5CE3"/>
    <w:rsid w:val="008A5CFE"/>
    <w:rsid w:val="008A5D07"/>
    <w:rsid w:val="008A5D56"/>
    <w:rsid w:val="008A5D93"/>
    <w:rsid w:val="008A5D99"/>
    <w:rsid w:val="008A5DBB"/>
    <w:rsid w:val="008A5DF8"/>
    <w:rsid w:val="008A5E34"/>
    <w:rsid w:val="008A5E6D"/>
    <w:rsid w:val="008A5E95"/>
    <w:rsid w:val="008A5ECF"/>
    <w:rsid w:val="008A5F38"/>
    <w:rsid w:val="008A5FA6"/>
    <w:rsid w:val="008A5FBF"/>
    <w:rsid w:val="008A6001"/>
    <w:rsid w:val="008A6039"/>
    <w:rsid w:val="008A606F"/>
    <w:rsid w:val="008A608B"/>
    <w:rsid w:val="008A60BA"/>
    <w:rsid w:val="008A60F8"/>
    <w:rsid w:val="008A610F"/>
    <w:rsid w:val="008A619F"/>
    <w:rsid w:val="008A61E0"/>
    <w:rsid w:val="008A621A"/>
    <w:rsid w:val="008A622F"/>
    <w:rsid w:val="008A623C"/>
    <w:rsid w:val="008A624E"/>
    <w:rsid w:val="008A6258"/>
    <w:rsid w:val="008A628A"/>
    <w:rsid w:val="008A62DF"/>
    <w:rsid w:val="008A637B"/>
    <w:rsid w:val="008A6438"/>
    <w:rsid w:val="008A644A"/>
    <w:rsid w:val="008A646B"/>
    <w:rsid w:val="008A64DC"/>
    <w:rsid w:val="008A64EE"/>
    <w:rsid w:val="008A6548"/>
    <w:rsid w:val="008A654C"/>
    <w:rsid w:val="008A656E"/>
    <w:rsid w:val="008A658E"/>
    <w:rsid w:val="008A6635"/>
    <w:rsid w:val="008A6669"/>
    <w:rsid w:val="008A666B"/>
    <w:rsid w:val="008A666F"/>
    <w:rsid w:val="008A667A"/>
    <w:rsid w:val="008A66B2"/>
    <w:rsid w:val="008A679A"/>
    <w:rsid w:val="008A679E"/>
    <w:rsid w:val="008A67B5"/>
    <w:rsid w:val="008A6870"/>
    <w:rsid w:val="008A687D"/>
    <w:rsid w:val="008A68BF"/>
    <w:rsid w:val="008A68D6"/>
    <w:rsid w:val="008A68D8"/>
    <w:rsid w:val="008A6933"/>
    <w:rsid w:val="008A6984"/>
    <w:rsid w:val="008A69DF"/>
    <w:rsid w:val="008A6A49"/>
    <w:rsid w:val="008A6AA6"/>
    <w:rsid w:val="008A6AAF"/>
    <w:rsid w:val="008A6AD3"/>
    <w:rsid w:val="008A6AE8"/>
    <w:rsid w:val="008A6B54"/>
    <w:rsid w:val="008A6B7E"/>
    <w:rsid w:val="008A6B93"/>
    <w:rsid w:val="008A6BA8"/>
    <w:rsid w:val="008A6BB1"/>
    <w:rsid w:val="008A6C4C"/>
    <w:rsid w:val="008A6CA4"/>
    <w:rsid w:val="008A6CC9"/>
    <w:rsid w:val="008A6D8A"/>
    <w:rsid w:val="008A6DC8"/>
    <w:rsid w:val="008A6E08"/>
    <w:rsid w:val="008A6E1C"/>
    <w:rsid w:val="008A6E58"/>
    <w:rsid w:val="008A6EE5"/>
    <w:rsid w:val="008A6EF6"/>
    <w:rsid w:val="008A6F68"/>
    <w:rsid w:val="008A6F92"/>
    <w:rsid w:val="008A6FA3"/>
    <w:rsid w:val="008A6FE2"/>
    <w:rsid w:val="008A7169"/>
    <w:rsid w:val="008A7269"/>
    <w:rsid w:val="008A7286"/>
    <w:rsid w:val="008A72E4"/>
    <w:rsid w:val="008A732B"/>
    <w:rsid w:val="008A73B5"/>
    <w:rsid w:val="008A73E7"/>
    <w:rsid w:val="008A7402"/>
    <w:rsid w:val="008A7406"/>
    <w:rsid w:val="008A743A"/>
    <w:rsid w:val="008A746E"/>
    <w:rsid w:val="008A7476"/>
    <w:rsid w:val="008A747C"/>
    <w:rsid w:val="008A74BE"/>
    <w:rsid w:val="008A7542"/>
    <w:rsid w:val="008A7580"/>
    <w:rsid w:val="008A7581"/>
    <w:rsid w:val="008A759B"/>
    <w:rsid w:val="008A75BB"/>
    <w:rsid w:val="008A75FD"/>
    <w:rsid w:val="008A7632"/>
    <w:rsid w:val="008A765A"/>
    <w:rsid w:val="008A765B"/>
    <w:rsid w:val="008A7697"/>
    <w:rsid w:val="008A76A3"/>
    <w:rsid w:val="008A76D6"/>
    <w:rsid w:val="008A76E5"/>
    <w:rsid w:val="008A774C"/>
    <w:rsid w:val="008A7778"/>
    <w:rsid w:val="008A778A"/>
    <w:rsid w:val="008A779A"/>
    <w:rsid w:val="008A77A0"/>
    <w:rsid w:val="008A7805"/>
    <w:rsid w:val="008A785E"/>
    <w:rsid w:val="008A7890"/>
    <w:rsid w:val="008A78B1"/>
    <w:rsid w:val="008A78EE"/>
    <w:rsid w:val="008A78FD"/>
    <w:rsid w:val="008A7A1A"/>
    <w:rsid w:val="008A7A35"/>
    <w:rsid w:val="008A7AE7"/>
    <w:rsid w:val="008A7B6F"/>
    <w:rsid w:val="008A7C09"/>
    <w:rsid w:val="008A7C4B"/>
    <w:rsid w:val="008A7C4F"/>
    <w:rsid w:val="008A7C7B"/>
    <w:rsid w:val="008A7CAE"/>
    <w:rsid w:val="008A7CBF"/>
    <w:rsid w:val="008A7D76"/>
    <w:rsid w:val="008A7D82"/>
    <w:rsid w:val="008A7DB1"/>
    <w:rsid w:val="008A7DC4"/>
    <w:rsid w:val="008A7DF4"/>
    <w:rsid w:val="008A7E3C"/>
    <w:rsid w:val="008A7E4D"/>
    <w:rsid w:val="008A7E89"/>
    <w:rsid w:val="008A7EEA"/>
    <w:rsid w:val="008A7F07"/>
    <w:rsid w:val="008A7F22"/>
    <w:rsid w:val="008A7F2A"/>
    <w:rsid w:val="008A7F5E"/>
    <w:rsid w:val="008A7FDD"/>
    <w:rsid w:val="008B00C4"/>
    <w:rsid w:val="008B00E8"/>
    <w:rsid w:val="008B00EF"/>
    <w:rsid w:val="008B010A"/>
    <w:rsid w:val="008B0130"/>
    <w:rsid w:val="008B013F"/>
    <w:rsid w:val="008B0144"/>
    <w:rsid w:val="008B0174"/>
    <w:rsid w:val="008B0185"/>
    <w:rsid w:val="008B01EF"/>
    <w:rsid w:val="008B020B"/>
    <w:rsid w:val="008B021D"/>
    <w:rsid w:val="008B0252"/>
    <w:rsid w:val="008B02BE"/>
    <w:rsid w:val="008B0340"/>
    <w:rsid w:val="008B0351"/>
    <w:rsid w:val="008B0358"/>
    <w:rsid w:val="008B03DF"/>
    <w:rsid w:val="008B0401"/>
    <w:rsid w:val="008B047D"/>
    <w:rsid w:val="008B0492"/>
    <w:rsid w:val="008B0497"/>
    <w:rsid w:val="008B04A9"/>
    <w:rsid w:val="008B04F3"/>
    <w:rsid w:val="008B0554"/>
    <w:rsid w:val="008B05AD"/>
    <w:rsid w:val="008B05FA"/>
    <w:rsid w:val="008B0635"/>
    <w:rsid w:val="008B0669"/>
    <w:rsid w:val="008B06A7"/>
    <w:rsid w:val="008B071B"/>
    <w:rsid w:val="008B072E"/>
    <w:rsid w:val="008B0780"/>
    <w:rsid w:val="008B0782"/>
    <w:rsid w:val="008B0837"/>
    <w:rsid w:val="008B0896"/>
    <w:rsid w:val="008B0929"/>
    <w:rsid w:val="008B092E"/>
    <w:rsid w:val="008B093F"/>
    <w:rsid w:val="008B0A0A"/>
    <w:rsid w:val="008B0A35"/>
    <w:rsid w:val="008B0A3D"/>
    <w:rsid w:val="008B0A78"/>
    <w:rsid w:val="008B0A7D"/>
    <w:rsid w:val="008B0B23"/>
    <w:rsid w:val="008B0B33"/>
    <w:rsid w:val="008B0B4D"/>
    <w:rsid w:val="008B0C1A"/>
    <w:rsid w:val="008B0D01"/>
    <w:rsid w:val="008B0D1A"/>
    <w:rsid w:val="008B0D88"/>
    <w:rsid w:val="008B0D93"/>
    <w:rsid w:val="008B0DCB"/>
    <w:rsid w:val="008B0E77"/>
    <w:rsid w:val="008B0EFE"/>
    <w:rsid w:val="008B0F60"/>
    <w:rsid w:val="008B0F64"/>
    <w:rsid w:val="008B0F6B"/>
    <w:rsid w:val="008B0FA8"/>
    <w:rsid w:val="008B1027"/>
    <w:rsid w:val="008B103D"/>
    <w:rsid w:val="008B106C"/>
    <w:rsid w:val="008B1085"/>
    <w:rsid w:val="008B10B4"/>
    <w:rsid w:val="008B1117"/>
    <w:rsid w:val="008B116C"/>
    <w:rsid w:val="008B118E"/>
    <w:rsid w:val="008B11DD"/>
    <w:rsid w:val="008B11E6"/>
    <w:rsid w:val="008B11FA"/>
    <w:rsid w:val="008B120C"/>
    <w:rsid w:val="008B120E"/>
    <w:rsid w:val="008B1256"/>
    <w:rsid w:val="008B12B9"/>
    <w:rsid w:val="008B131E"/>
    <w:rsid w:val="008B1358"/>
    <w:rsid w:val="008B136A"/>
    <w:rsid w:val="008B138B"/>
    <w:rsid w:val="008B141A"/>
    <w:rsid w:val="008B144C"/>
    <w:rsid w:val="008B14A4"/>
    <w:rsid w:val="008B14A8"/>
    <w:rsid w:val="008B14D6"/>
    <w:rsid w:val="008B1536"/>
    <w:rsid w:val="008B1565"/>
    <w:rsid w:val="008B16DB"/>
    <w:rsid w:val="008B1786"/>
    <w:rsid w:val="008B17FA"/>
    <w:rsid w:val="008B1813"/>
    <w:rsid w:val="008B184D"/>
    <w:rsid w:val="008B187B"/>
    <w:rsid w:val="008B18DF"/>
    <w:rsid w:val="008B18E9"/>
    <w:rsid w:val="008B1940"/>
    <w:rsid w:val="008B1993"/>
    <w:rsid w:val="008B19CD"/>
    <w:rsid w:val="008B19EA"/>
    <w:rsid w:val="008B1A02"/>
    <w:rsid w:val="008B1A28"/>
    <w:rsid w:val="008B1A3F"/>
    <w:rsid w:val="008B1A40"/>
    <w:rsid w:val="008B1A90"/>
    <w:rsid w:val="008B1A9C"/>
    <w:rsid w:val="008B1AA4"/>
    <w:rsid w:val="008B1AC0"/>
    <w:rsid w:val="008B1ACB"/>
    <w:rsid w:val="008B1BA7"/>
    <w:rsid w:val="008B1BFA"/>
    <w:rsid w:val="008B1C19"/>
    <w:rsid w:val="008B1C67"/>
    <w:rsid w:val="008B1C7A"/>
    <w:rsid w:val="008B1C97"/>
    <w:rsid w:val="008B1CD2"/>
    <w:rsid w:val="008B1CD4"/>
    <w:rsid w:val="008B1CD8"/>
    <w:rsid w:val="008B1CEC"/>
    <w:rsid w:val="008B1D2E"/>
    <w:rsid w:val="008B1D6B"/>
    <w:rsid w:val="008B1D75"/>
    <w:rsid w:val="008B1D99"/>
    <w:rsid w:val="008B1D9B"/>
    <w:rsid w:val="008B1DF0"/>
    <w:rsid w:val="008B1E56"/>
    <w:rsid w:val="008B1EB7"/>
    <w:rsid w:val="008B1EFA"/>
    <w:rsid w:val="008B1EFB"/>
    <w:rsid w:val="008B1F1B"/>
    <w:rsid w:val="008B1F66"/>
    <w:rsid w:val="008B1F81"/>
    <w:rsid w:val="008B1FB5"/>
    <w:rsid w:val="008B1FD3"/>
    <w:rsid w:val="008B2087"/>
    <w:rsid w:val="008B208A"/>
    <w:rsid w:val="008B20AE"/>
    <w:rsid w:val="008B2106"/>
    <w:rsid w:val="008B2133"/>
    <w:rsid w:val="008B2142"/>
    <w:rsid w:val="008B2157"/>
    <w:rsid w:val="008B215E"/>
    <w:rsid w:val="008B2178"/>
    <w:rsid w:val="008B2190"/>
    <w:rsid w:val="008B2197"/>
    <w:rsid w:val="008B21F5"/>
    <w:rsid w:val="008B23E1"/>
    <w:rsid w:val="008B23EC"/>
    <w:rsid w:val="008B23ED"/>
    <w:rsid w:val="008B2407"/>
    <w:rsid w:val="008B2445"/>
    <w:rsid w:val="008B24A6"/>
    <w:rsid w:val="008B24BD"/>
    <w:rsid w:val="008B256E"/>
    <w:rsid w:val="008B2570"/>
    <w:rsid w:val="008B2573"/>
    <w:rsid w:val="008B2598"/>
    <w:rsid w:val="008B259A"/>
    <w:rsid w:val="008B25D8"/>
    <w:rsid w:val="008B2623"/>
    <w:rsid w:val="008B26EB"/>
    <w:rsid w:val="008B2711"/>
    <w:rsid w:val="008B2780"/>
    <w:rsid w:val="008B27D5"/>
    <w:rsid w:val="008B27D9"/>
    <w:rsid w:val="008B27F2"/>
    <w:rsid w:val="008B284E"/>
    <w:rsid w:val="008B2853"/>
    <w:rsid w:val="008B2855"/>
    <w:rsid w:val="008B28A6"/>
    <w:rsid w:val="008B28B7"/>
    <w:rsid w:val="008B28BE"/>
    <w:rsid w:val="008B28EC"/>
    <w:rsid w:val="008B2968"/>
    <w:rsid w:val="008B2A5D"/>
    <w:rsid w:val="008B2B5F"/>
    <w:rsid w:val="008B2B8B"/>
    <w:rsid w:val="008B2C00"/>
    <w:rsid w:val="008B2C1D"/>
    <w:rsid w:val="008B2C21"/>
    <w:rsid w:val="008B2CB9"/>
    <w:rsid w:val="008B2CC1"/>
    <w:rsid w:val="008B2D2E"/>
    <w:rsid w:val="008B2D5C"/>
    <w:rsid w:val="008B2D74"/>
    <w:rsid w:val="008B2D7A"/>
    <w:rsid w:val="008B2D8B"/>
    <w:rsid w:val="008B2D9B"/>
    <w:rsid w:val="008B2DA3"/>
    <w:rsid w:val="008B2DBE"/>
    <w:rsid w:val="008B2DC6"/>
    <w:rsid w:val="008B2E07"/>
    <w:rsid w:val="008B2E1C"/>
    <w:rsid w:val="008B2E38"/>
    <w:rsid w:val="008B2E81"/>
    <w:rsid w:val="008B2EF0"/>
    <w:rsid w:val="008B2F4B"/>
    <w:rsid w:val="008B2F78"/>
    <w:rsid w:val="008B2FDD"/>
    <w:rsid w:val="008B2FE0"/>
    <w:rsid w:val="008B2FF5"/>
    <w:rsid w:val="008B2FF7"/>
    <w:rsid w:val="008B3005"/>
    <w:rsid w:val="008B3038"/>
    <w:rsid w:val="008B3066"/>
    <w:rsid w:val="008B3089"/>
    <w:rsid w:val="008B308E"/>
    <w:rsid w:val="008B3094"/>
    <w:rsid w:val="008B30C0"/>
    <w:rsid w:val="008B30DF"/>
    <w:rsid w:val="008B3110"/>
    <w:rsid w:val="008B311B"/>
    <w:rsid w:val="008B3181"/>
    <w:rsid w:val="008B3196"/>
    <w:rsid w:val="008B31A7"/>
    <w:rsid w:val="008B31E5"/>
    <w:rsid w:val="008B322A"/>
    <w:rsid w:val="008B32A5"/>
    <w:rsid w:val="008B3392"/>
    <w:rsid w:val="008B341F"/>
    <w:rsid w:val="008B3471"/>
    <w:rsid w:val="008B354E"/>
    <w:rsid w:val="008B3558"/>
    <w:rsid w:val="008B359D"/>
    <w:rsid w:val="008B35C2"/>
    <w:rsid w:val="008B35C8"/>
    <w:rsid w:val="008B35E7"/>
    <w:rsid w:val="008B367D"/>
    <w:rsid w:val="008B3683"/>
    <w:rsid w:val="008B368B"/>
    <w:rsid w:val="008B368D"/>
    <w:rsid w:val="008B36D6"/>
    <w:rsid w:val="008B36FC"/>
    <w:rsid w:val="008B375D"/>
    <w:rsid w:val="008B3792"/>
    <w:rsid w:val="008B37FB"/>
    <w:rsid w:val="008B3869"/>
    <w:rsid w:val="008B3882"/>
    <w:rsid w:val="008B38E3"/>
    <w:rsid w:val="008B39B8"/>
    <w:rsid w:val="008B39F1"/>
    <w:rsid w:val="008B3A21"/>
    <w:rsid w:val="008B3A3C"/>
    <w:rsid w:val="008B3A44"/>
    <w:rsid w:val="008B3A76"/>
    <w:rsid w:val="008B3AAA"/>
    <w:rsid w:val="008B3B10"/>
    <w:rsid w:val="008B3B5C"/>
    <w:rsid w:val="008B3C00"/>
    <w:rsid w:val="008B3C41"/>
    <w:rsid w:val="008B3C58"/>
    <w:rsid w:val="008B3CB4"/>
    <w:rsid w:val="008B3CCD"/>
    <w:rsid w:val="008B3CDD"/>
    <w:rsid w:val="008B3D21"/>
    <w:rsid w:val="008B3D36"/>
    <w:rsid w:val="008B3D38"/>
    <w:rsid w:val="008B3DEF"/>
    <w:rsid w:val="008B3DF9"/>
    <w:rsid w:val="008B3E08"/>
    <w:rsid w:val="008B3E21"/>
    <w:rsid w:val="008B3E57"/>
    <w:rsid w:val="008B3EFC"/>
    <w:rsid w:val="008B3F04"/>
    <w:rsid w:val="008B3F8A"/>
    <w:rsid w:val="008B3FF9"/>
    <w:rsid w:val="008B4053"/>
    <w:rsid w:val="008B405C"/>
    <w:rsid w:val="008B409F"/>
    <w:rsid w:val="008B40E7"/>
    <w:rsid w:val="008B4141"/>
    <w:rsid w:val="008B4154"/>
    <w:rsid w:val="008B4186"/>
    <w:rsid w:val="008B4204"/>
    <w:rsid w:val="008B428A"/>
    <w:rsid w:val="008B435D"/>
    <w:rsid w:val="008B43E6"/>
    <w:rsid w:val="008B4403"/>
    <w:rsid w:val="008B447D"/>
    <w:rsid w:val="008B44D5"/>
    <w:rsid w:val="008B45A7"/>
    <w:rsid w:val="008B461E"/>
    <w:rsid w:val="008B4699"/>
    <w:rsid w:val="008B4733"/>
    <w:rsid w:val="008B4756"/>
    <w:rsid w:val="008B4798"/>
    <w:rsid w:val="008B479F"/>
    <w:rsid w:val="008B47B1"/>
    <w:rsid w:val="008B47B6"/>
    <w:rsid w:val="008B4883"/>
    <w:rsid w:val="008B4893"/>
    <w:rsid w:val="008B48B9"/>
    <w:rsid w:val="008B4965"/>
    <w:rsid w:val="008B4978"/>
    <w:rsid w:val="008B49B7"/>
    <w:rsid w:val="008B4A5A"/>
    <w:rsid w:val="008B4AEC"/>
    <w:rsid w:val="008B4B22"/>
    <w:rsid w:val="008B4C01"/>
    <w:rsid w:val="008B4C1F"/>
    <w:rsid w:val="008B4C43"/>
    <w:rsid w:val="008B4C65"/>
    <w:rsid w:val="008B4CB7"/>
    <w:rsid w:val="008B4CDC"/>
    <w:rsid w:val="008B4CED"/>
    <w:rsid w:val="008B4D27"/>
    <w:rsid w:val="008B4DC1"/>
    <w:rsid w:val="008B4E97"/>
    <w:rsid w:val="008B4EC4"/>
    <w:rsid w:val="008B4F3E"/>
    <w:rsid w:val="008B4F4C"/>
    <w:rsid w:val="008B4F7E"/>
    <w:rsid w:val="008B4FCA"/>
    <w:rsid w:val="008B4FCD"/>
    <w:rsid w:val="008B5065"/>
    <w:rsid w:val="008B5153"/>
    <w:rsid w:val="008B517A"/>
    <w:rsid w:val="008B51AE"/>
    <w:rsid w:val="008B529D"/>
    <w:rsid w:val="008B52AD"/>
    <w:rsid w:val="008B52C5"/>
    <w:rsid w:val="008B532E"/>
    <w:rsid w:val="008B5380"/>
    <w:rsid w:val="008B53FE"/>
    <w:rsid w:val="008B543D"/>
    <w:rsid w:val="008B5453"/>
    <w:rsid w:val="008B54F9"/>
    <w:rsid w:val="008B550E"/>
    <w:rsid w:val="008B5518"/>
    <w:rsid w:val="008B555F"/>
    <w:rsid w:val="008B5586"/>
    <w:rsid w:val="008B562B"/>
    <w:rsid w:val="008B5680"/>
    <w:rsid w:val="008B56C2"/>
    <w:rsid w:val="008B5779"/>
    <w:rsid w:val="008B57A5"/>
    <w:rsid w:val="008B57C3"/>
    <w:rsid w:val="008B57C9"/>
    <w:rsid w:val="008B580C"/>
    <w:rsid w:val="008B583F"/>
    <w:rsid w:val="008B5852"/>
    <w:rsid w:val="008B58C1"/>
    <w:rsid w:val="008B593A"/>
    <w:rsid w:val="008B5993"/>
    <w:rsid w:val="008B59E9"/>
    <w:rsid w:val="008B59F0"/>
    <w:rsid w:val="008B59FE"/>
    <w:rsid w:val="008B5A8C"/>
    <w:rsid w:val="008B5A91"/>
    <w:rsid w:val="008B5AB2"/>
    <w:rsid w:val="008B5B54"/>
    <w:rsid w:val="008B5B5A"/>
    <w:rsid w:val="008B5B7C"/>
    <w:rsid w:val="008B5BC0"/>
    <w:rsid w:val="008B5BD3"/>
    <w:rsid w:val="008B5BF1"/>
    <w:rsid w:val="008B5C5B"/>
    <w:rsid w:val="008B5C84"/>
    <w:rsid w:val="008B5CEC"/>
    <w:rsid w:val="008B5D08"/>
    <w:rsid w:val="008B5D1E"/>
    <w:rsid w:val="008B5D6A"/>
    <w:rsid w:val="008B5DA4"/>
    <w:rsid w:val="008B5DB6"/>
    <w:rsid w:val="008B5DB9"/>
    <w:rsid w:val="008B5E4C"/>
    <w:rsid w:val="008B5E53"/>
    <w:rsid w:val="008B5E70"/>
    <w:rsid w:val="008B5E77"/>
    <w:rsid w:val="008B5ECF"/>
    <w:rsid w:val="008B5F1E"/>
    <w:rsid w:val="008B5F21"/>
    <w:rsid w:val="008B5F3B"/>
    <w:rsid w:val="008B5F97"/>
    <w:rsid w:val="008B5FB8"/>
    <w:rsid w:val="008B5FCE"/>
    <w:rsid w:val="008B601D"/>
    <w:rsid w:val="008B60A8"/>
    <w:rsid w:val="008B6129"/>
    <w:rsid w:val="008B6182"/>
    <w:rsid w:val="008B6189"/>
    <w:rsid w:val="008B61DC"/>
    <w:rsid w:val="008B6202"/>
    <w:rsid w:val="008B6216"/>
    <w:rsid w:val="008B622D"/>
    <w:rsid w:val="008B6256"/>
    <w:rsid w:val="008B62C1"/>
    <w:rsid w:val="008B633B"/>
    <w:rsid w:val="008B635C"/>
    <w:rsid w:val="008B6386"/>
    <w:rsid w:val="008B63A9"/>
    <w:rsid w:val="008B6460"/>
    <w:rsid w:val="008B64B9"/>
    <w:rsid w:val="008B64DF"/>
    <w:rsid w:val="008B6559"/>
    <w:rsid w:val="008B658B"/>
    <w:rsid w:val="008B6594"/>
    <w:rsid w:val="008B66B8"/>
    <w:rsid w:val="008B6770"/>
    <w:rsid w:val="008B678B"/>
    <w:rsid w:val="008B6792"/>
    <w:rsid w:val="008B6796"/>
    <w:rsid w:val="008B67CA"/>
    <w:rsid w:val="008B67E5"/>
    <w:rsid w:val="008B6838"/>
    <w:rsid w:val="008B697E"/>
    <w:rsid w:val="008B69B4"/>
    <w:rsid w:val="008B6A03"/>
    <w:rsid w:val="008B6A28"/>
    <w:rsid w:val="008B6A7D"/>
    <w:rsid w:val="008B6A91"/>
    <w:rsid w:val="008B6B0B"/>
    <w:rsid w:val="008B6B62"/>
    <w:rsid w:val="008B6B89"/>
    <w:rsid w:val="008B6C0A"/>
    <w:rsid w:val="008B6C65"/>
    <w:rsid w:val="008B6CAE"/>
    <w:rsid w:val="008B6CE5"/>
    <w:rsid w:val="008B6D14"/>
    <w:rsid w:val="008B6D43"/>
    <w:rsid w:val="008B6D87"/>
    <w:rsid w:val="008B6DBE"/>
    <w:rsid w:val="008B6E54"/>
    <w:rsid w:val="008B6E62"/>
    <w:rsid w:val="008B6E78"/>
    <w:rsid w:val="008B6EBC"/>
    <w:rsid w:val="008B6F40"/>
    <w:rsid w:val="008B6F87"/>
    <w:rsid w:val="008B6F9C"/>
    <w:rsid w:val="008B6FC7"/>
    <w:rsid w:val="008B7054"/>
    <w:rsid w:val="008B70AF"/>
    <w:rsid w:val="008B70C8"/>
    <w:rsid w:val="008B7120"/>
    <w:rsid w:val="008B7180"/>
    <w:rsid w:val="008B7183"/>
    <w:rsid w:val="008B71B0"/>
    <w:rsid w:val="008B71BD"/>
    <w:rsid w:val="008B71D8"/>
    <w:rsid w:val="008B723C"/>
    <w:rsid w:val="008B7248"/>
    <w:rsid w:val="008B7258"/>
    <w:rsid w:val="008B729E"/>
    <w:rsid w:val="008B72A6"/>
    <w:rsid w:val="008B72F7"/>
    <w:rsid w:val="008B7359"/>
    <w:rsid w:val="008B7360"/>
    <w:rsid w:val="008B736C"/>
    <w:rsid w:val="008B744C"/>
    <w:rsid w:val="008B74D3"/>
    <w:rsid w:val="008B752B"/>
    <w:rsid w:val="008B754D"/>
    <w:rsid w:val="008B759F"/>
    <w:rsid w:val="008B7673"/>
    <w:rsid w:val="008B7700"/>
    <w:rsid w:val="008B7715"/>
    <w:rsid w:val="008B7717"/>
    <w:rsid w:val="008B773A"/>
    <w:rsid w:val="008B7777"/>
    <w:rsid w:val="008B77F5"/>
    <w:rsid w:val="008B7862"/>
    <w:rsid w:val="008B7894"/>
    <w:rsid w:val="008B7936"/>
    <w:rsid w:val="008B7981"/>
    <w:rsid w:val="008B79C9"/>
    <w:rsid w:val="008B7A36"/>
    <w:rsid w:val="008B7A38"/>
    <w:rsid w:val="008B7A8A"/>
    <w:rsid w:val="008B7AB8"/>
    <w:rsid w:val="008B7AC0"/>
    <w:rsid w:val="008B7AF6"/>
    <w:rsid w:val="008B7B0A"/>
    <w:rsid w:val="008B7B19"/>
    <w:rsid w:val="008B7BA9"/>
    <w:rsid w:val="008B7BE2"/>
    <w:rsid w:val="008B7C1D"/>
    <w:rsid w:val="008B7C37"/>
    <w:rsid w:val="008B7C7B"/>
    <w:rsid w:val="008B7CA7"/>
    <w:rsid w:val="008B7CDF"/>
    <w:rsid w:val="008B7CF6"/>
    <w:rsid w:val="008B7D3C"/>
    <w:rsid w:val="008B7D75"/>
    <w:rsid w:val="008B7DB2"/>
    <w:rsid w:val="008B7DCE"/>
    <w:rsid w:val="008B7DDA"/>
    <w:rsid w:val="008B7E72"/>
    <w:rsid w:val="008B7E79"/>
    <w:rsid w:val="008B7EC3"/>
    <w:rsid w:val="008B7ECD"/>
    <w:rsid w:val="008B7F1D"/>
    <w:rsid w:val="008B7F60"/>
    <w:rsid w:val="008B7FA0"/>
    <w:rsid w:val="008BA896"/>
    <w:rsid w:val="008C0042"/>
    <w:rsid w:val="008C00B5"/>
    <w:rsid w:val="008C00C2"/>
    <w:rsid w:val="008C00C8"/>
    <w:rsid w:val="008C00DF"/>
    <w:rsid w:val="008C00ED"/>
    <w:rsid w:val="008C017F"/>
    <w:rsid w:val="008C018D"/>
    <w:rsid w:val="008C01D0"/>
    <w:rsid w:val="008C01F9"/>
    <w:rsid w:val="008C024F"/>
    <w:rsid w:val="008C02B7"/>
    <w:rsid w:val="008C02BF"/>
    <w:rsid w:val="008C02DC"/>
    <w:rsid w:val="008C02E5"/>
    <w:rsid w:val="008C02E7"/>
    <w:rsid w:val="008C02F8"/>
    <w:rsid w:val="008C0307"/>
    <w:rsid w:val="008C03C3"/>
    <w:rsid w:val="008C03FE"/>
    <w:rsid w:val="008C0408"/>
    <w:rsid w:val="008C0416"/>
    <w:rsid w:val="008C041C"/>
    <w:rsid w:val="008C043E"/>
    <w:rsid w:val="008C0443"/>
    <w:rsid w:val="008C047C"/>
    <w:rsid w:val="008C048C"/>
    <w:rsid w:val="008C0509"/>
    <w:rsid w:val="008C0554"/>
    <w:rsid w:val="008C0573"/>
    <w:rsid w:val="008C057A"/>
    <w:rsid w:val="008C0586"/>
    <w:rsid w:val="008C0608"/>
    <w:rsid w:val="008C0618"/>
    <w:rsid w:val="008C0623"/>
    <w:rsid w:val="008C0650"/>
    <w:rsid w:val="008C069F"/>
    <w:rsid w:val="008C06B7"/>
    <w:rsid w:val="008C0736"/>
    <w:rsid w:val="008C0775"/>
    <w:rsid w:val="008C0787"/>
    <w:rsid w:val="008C0793"/>
    <w:rsid w:val="008C079F"/>
    <w:rsid w:val="008C07B8"/>
    <w:rsid w:val="008C0824"/>
    <w:rsid w:val="008C0855"/>
    <w:rsid w:val="008C08A3"/>
    <w:rsid w:val="008C08DE"/>
    <w:rsid w:val="008C08E2"/>
    <w:rsid w:val="008C08E4"/>
    <w:rsid w:val="008C08EA"/>
    <w:rsid w:val="008C0962"/>
    <w:rsid w:val="008C0996"/>
    <w:rsid w:val="008C0999"/>
    <w:rsid w:val="008C09CD"/>
    <w:rsid w:val="008C0A3F"/>
    <w:rsid w:val="008C0AA9"/>
    <w:rsid w:val="008C0AD2"/>
    <w:rsid w:val="008C0B28"/>
    <w:rsid w:val="008C0B37"/>
    <w:rsid w:val="008C0B8C"/>
    <w:rsid w:val="008C0BB9"/>
    <w:rsid w:val="008C0BDB"/>
    <w:rsid w:val="008C0BE1"/>
    <w:rsid w:val="008C0C20"/>
    <w:rsid w:val="008C0C37"/>
    <w:rsid w:val="008C0C69"/>
    <w:rsid w:val="008C0C8B"/>
    <w:rsid w:val="008C0CAB"/>
    <w:rsid w:val="008C0CB8"/>
    <w:rsid w:val="008C0CE7"/>
    <w:rsid w:val="008C0D8D"/>
    <w:rsid w:val="008C0E34"/>
    <w:rsid w:val="008C0E60"/>
    <w:rsid w:val="008C0E8B"/>
    <w:rsid w:val="008C0E99"/>
    <w:rsid w:val="008C0F25"/>
    <w:rsid w:val="008C0F2F"/>
    <w:rsid w:val="008C0F37"/>
    <w:rsid w:val="008C0F6E"/>
    <w:rsid w:val="008C0F86"/>
    <w:rsid w:val="008C0FD4"/>
    <w:rsid w:val="008C0FE1"/>
    <w:rsid w:val="008C1011"/>
    <w:rsid w:val="008C1040"/>
    <w:rsid w:val="008C10BA"/>
    <w:rsid w:val="008C10E1"/>
    <w:rsid w:val="008C10F0"/>
    <w:rsid w:val="008C10F5"/>
    <w:rsid w:val="008C1101"/>
    <w:rsid w:val="008C1121"/>
    <w:rsid w:val="008C1186"/>
    <w:rsid w:val="008C11B3"/>
    <w:rsid w:val="008C11E8"/>
    <w:rsid w:val="008C1209"/>
    <w:rsid w:val="008C12BC"/>
    <w:rsid w:val="008C1329"/>
    <w:rsid w:val="008C136C"/>
    <w:rsid w:val="008C136E"/>
    <w:rsid w:val="008C1382"/>
    <w:rsid w:val="008C13D3"/>
    <w:rsid w:val="008C1426"/>
    <w:rsid w:val="008C143E"/>
    <w:rsid w:val="008C1462"/>
    <w:rsid w:val="008C1495"/>
    <w:rsid w:val="008C151F"/>
    <w:rsid w:val="008C1591"/>
    <w:rsid w:val="008C160A"/>
    <w:rsid w:val="008C1627"/>
    <w:rsid w:val="008C1662"/>
    <w:rsid w:val="008C16F1"/>
    <w:rsid w:val="008C1716"/>
    <w:rsid w:val="008C1839"/>
    <w:rsid w:val="008C18B2"/>
    <w:rsid w:val="008C1917"/>
    <w:rsid w:val="008C191D"/>
    <w:rsid w:val="008C192D"/>
    <w:rsid w:val="008C198D"/>
    <w:rsid w:val="008C19A6"/>
    <w:rsid w:val="008C19F5"/>
    <w:rsid w:val="008C1A3E"/>
    <w:rsid w:val="008C1AD5"/>
    <w:rsid w:val="008C1B36"/>
    <w:rsid w:val="008C1B84"/>
    <w:rsid w:val="008C1BBF"/>
    <w:rsid w:val="008C1BD8"/>
    <w:rsid w:val="008C1C41"/>
    <w:rsid w:val="008C1CAE"/>
    <w:rsid w:val="008C1D04"/>
    <w:rsid w:val="008C1D1C"/>
    <w:rsid w:val="008C1D50"/>
    <w:rsid w:val="008C1DC6"/>
    <w:rsid w:val="008C1DC7"/>
    <w:rsid w:val="008C1DE3"/>
    <w:rsid w:val="008C1DE8"/>
    <w:rsid w:val="008C1DFB"/>
    <w:rsid w:val="008C1E0E"/>
    <w:rsid w:val="008C1E2F"/>
    <w:rsid w:val="008C1E62"/>
    <w:rsid w:val="008C1F7F"/>
    <w:rsid w:val="008C1F96"/>
    <w:rsid w:val="008C1FDF"/>
    <w:rsid w:val="008C1FE1"/>
    <w:rsid w:val="008C1FF9"/>
    <w:rsid w:val="008C2011"/>
    <w:rsid w:val="008C206E"/>
    <w:rsid w:val="008C207B"/>
    <w:rsid w:val="008C20B5"/>
    <w:rsid w:val="008C20B6"/>
    <w:rsid w:val="008C2122"/>
    <w:rsid w:val="008C212D"/>
    <w:rsid w:val="008C2183"/>
    <w:rsid w:val="008C21A5"/>
    <w:rsid w:val="008C21EB"/>
    <w:rsid w:val="008C235E"/>
    <w:rsid w:val="008C23B2"/>
    <w:rsid w:val="008C23E3"/>
    <w:rsid w:val="008C243F"/>
    <w:rsid w:val="008C2466"/>
    <w:rsid w:val="008C24B9"/>
    <w:rsid w:val="008C24F2"/>
    <w:rsid w:val="008C251A"/>
    <w:rsid w:val="008C2588"/>
    <w:rsid w:val="008C259A"/>
    <w:rsid w:val="008C25B5"/>
    <w:rsid w:val="008C25EE"/>
    <w:rsid w:val="008C2672"/>
    <w:rsid w:val="008C26A5"/>
    <w:rsid w:val="008C26D4"/>
    <w:rsid w:val="008C270B"/>
    <w:rsid w:val="008C2756"/>
    <w:rsid w:val="008C2779"/>
    <w:rsid w:val="008C2786"/>
    <w:rsid w:val="008C27EA"/>
    <w:rsid w:val="008C27FE"/>
    <w:rsid w:val="008C2816"/>
    <w:rsid w:val="008C2874"/>
    <w:rsid w:val="008C288F"/>
    <w:rsid w:val="008C28B2"/>
    <w:rsid w:val="008C29D8"/>
    <w:rsid w:val="008C29F0"/>
    <w:rsid w:val="008C2A9C"/>
    <w:rsid w:val="008C2AA8"/>
    <w:rsid w:val="008C2AE9"/>
    <w:rsid w:val="008C2B11"/>
    <w:rsid w:val="008C2B41"/>
    <w:rsid w:val="008C2BFA"/>
    <w:rsid w:val="008C2C43"/>
    <w:rsid w:val="008C2C99"/>
    <w:rsid w:val="008C2CD3"/>
    <w:rsid w:val="008C2CE7"/>
    <w:rsid w:val="008C2D13"/>
    <w:rsid w:val="008C2D3C"/>
    <w:rsid w:val="008C2D85"/>
    <w:rsid w:val="008C2DB8"/>
    <w:rsid w:val="008C2E2A"/>
    <w:rsid w:val="008C2E85"/>
    <w:rsid w:val="008C2E86"/>
    <w:rsid w:val="008C2EA7"/>
    <w:rsid w:val="008C2EAE"/>
    <w:rsid w:val="008C2F12"/>
    <w:rsid w:val="008C2F1D"/>
    <w:rsid w:val="008C2F36"/>
    <w:rsid w:val="008C2FCB"/>
    <w:rsid w:val="008C3151"/>
    <w:rsid w:val="008C3152"/>
    <w:rsid w:val="008C3159"/>
    <w:rsid w:val="008C31D8"/>
    <w:rsid w:val="008C31F1"/>
    <w:rsid w:val="008C3205"/>
    <w:rsid w:val="008C3249"/>
    <w:rsid w:val="008C3272"/>
    <w:rsid w:val="008C32BB"/>
    <w:rsid w:val="008C3367"/>
    <w:rsid w:val="008C3386"/>
    <w:rsid w:val="008C33B1"/>
    <w:rsid w:val="008C3405"/>
    <w:rsid w:val="008C342A"/>
    <w:rsid w:val="008C3471"/>
    <w:rsid w:val="008C3548"/>
    <w:rsid w:val="008C3562"/>
    <w:rsid w:val="008C357B"/>
    <w:rsid w:val="008C361C"/>
    <w:rsid w:val="008C365B"/>
    <w:rsid w:val="008C368E"/>
    <w:rsid w:val="008C36F2"/>
    <w:rsid w:val="008C3708"/>
    <w:rsid w:val="008C373F"/>
    <w:rsid w:val="008C37F1"/>
    <w:rsid w:val="008C3810"/>
    <w:rsid w:val="008C3880"/>
    <w:rsid w:val="008C38AB"/>
    <w:rsid w:val="008C38EE"/>
    <w:rsid w:val="008C392A"/>
    <w:rsid w:val="008C393F"/>
    <w:rsid w:val="008C39FA"/>
    <w:rsid w:val="008C3A02"/>
    <w:rsid w:val="008C3ADB"/>
    <w:rsid w:val="008C3AE0"/>
    <w:rsid w:val="008C3AEE"/>
    <w:rsid w:val="008C3AEF"/>
    <w:rsid w:val="008C3B7B"/>
    <w:rsid w:val="008C3BA0"/>
    <w:rsid w:val="008C3BE6"/>
    <w:rsid w:val="008C3BF6"/>
    <w:rsid w:val="008C3C22"/>
    <w:rsid w:val="008C3C46"/>
    <w:rsid w:val="008C3C75"/>
    <w:rsid w:val="008C3CAD"/>
    <w:rsid w:val="008C3CDD"/>
    <w:rsid w:val="008C3D33"/>
    <w:rsid w:val="008C3D75"/>
    <w:rsid w:val="008C3DCB"/>
    <w:rsid w:val="008C3E1D"/>
    <w:rsid w:val="008C3E83"/>
    <w:rsid w:val="008C3EB2"/>
    <w:rsid w:val="008C3EBE"/>
    <w:rsid w:val="008C3EC6"/>
    <w:rsid w:val="008C3F9C"/>
    <w:rsid w:val="008C3FB0"/>
    <w:rsid w:val="008C3FEA"/>
    <w:rsid w:val="008C4002"/>
    <w:rsid w:val="008C403D"/>
    <w:rsid w:val="008C40BA"/>
    <w:rsid w:val="008C40C4"/>
    <w:rsid w:val="008C4164"/>
    <w:rsid w:val="008C41C3"/>
    <w:rsid w:val="008C41FC"/>
    <w:rsid w:val="008C420D"/>
    <w:rsid w:val="008C42A8"/>
    <w:rsid w:val="008C42C9"/>
    <w:rsid w:val="008C42CC"/>
    <w:rsid w:val="008C42EF"/>
    <w:rsid w:val="008C430C"/>
    <w:rsid w:val="008C4376"/>
    <w:rsid w:val="008C4379"/>
    <w:rsid w:val="008C43D6"/>
    <w:rsid w:val="008C4417"/>
    <w:rsid w:val="008C4462"/>
    <w:rsid w:val="008C4486"/>
    <w:rsid w:val="008C44D6"/>
    <w:rsid w:val="008C44F2"/>
    <w:rsid w:val="008C4553"/>
    <w:rsid w:val="008C4632"/>
    <w:rsid w:val="008C463C"/>
    <w:rsid w:val="008C4693"/>
    <w:rsid w:val="008C4698"/>
    <w:rsid w:val="008C471B"/>
    <w:rsid w:val="008C4741"/>
    <w:rsid w:val="008C47B0"/>
    <w:rsid w:val="008C480B"/>
    <w:rsid w:val="008C4852"/>
    <w:rsid w:val="008C487A"/>
    <w:rsid w:val="008C488D"/>
    <w:rsid w:val="008C48E9"/>
    <w:rsid w:val="008C48F6"/>
    <w:rsid w:val="008C49BB"/>
    <w:rsid w:val="008C49C6"/>
    <w:rsid w:val="008C4A8D"/>
    <w:rsid w:val="008C4ABC"/>
    <w:rsid w:val="008C4AD9"/>
    <w:rsid w:val="008C4B11"/>
    <w:rsid w:val="008C4B22"/>
    <w:rsid w:val="008C4C4B"/>
    <w:rsid w:val="008C4DE9"/>
    <w:rsid w:val="008C4DEA"/>
    <w:rsid w:val="008C4DF7"/>
    <w:rsid w:val="008C4E0C"/>
    <w:rsid w:val="008C4E3E"/>
    <w:rsid w:val="008C4E5D"/>
    <w:rsid w:val="008C4E86"/>
    <w:rsid w:val="008C4EE3"/>
    <w:rsid w:val="008C4EE5"/>
    <w:rsid w:val="008C4F2A"/>
    <w:rsid w:val="008C4F2C"/>
    <w:rsid w:val="008C4F33"/>
    <w:rsid w:val="008C4FA6"/>
    <w:rsid w:val="008C4FFE"/>
    <w:rsid w:val="008C5000"/>
    <w:rsid w:val="008C5013"/>
    <w:rsid w:val="008C501F"/>
    <w:rsid w:val="008C5039"/>
    <w:rsid w:val="008C5064"/>
    <w:rsid w:val="008C507A"/>
    <w:rsid w:val="008C50D8"/>
    <w:rsid w:val="008C50DF"/>
    <w:rsid w:val="008C50ED"/>
    <w:rsid w:val="008C5174"/>
    <w:rsid w:val="008C51A4"/>
    <w:rsid w:val="008C51AB"/>
    <w:rsid w:val="008C51ED"/>
    <w:rsid w:val="008C5242"/>
    <w:rsid w:val="008C52E8"/>
    <w:rsid w:val="008C52F7"/>
    <w:rsid w:val="008C534C"/>
    <w:rsid w:val="008C535F"/>
    <w:rsid w:val="008C53A3"/>
    <w:rsid w:val="008C545D"/>
    <w:rsid w:val="008C5529"/>
    <w:rsid w:val="008C5562"/>
    <w:rsid w:val="008C5623"/>
    <w:rsid w:val="008C5632"/>
    <w:rsid w:val="008C563F"/>
    <w:rsid w:val="008C5669"/>
    <w:rsid w:val="008C5673"/>
    <w:rsid w:val="008C5705"/>
    <w:rsid w:val="008C5718"/>
    <w:rsid w:val="008C573D"/>
    <w:rsid w:val="008C5754"/>
    <w:rsid w:val="008C57FF"/>
    <w:rsid w:val="008C5860"/>
    <w:rsid w:val="008C5871"/>
    <w:rsid w:val="008C58F4"/>
    <w:rsid w:val="008C59BB"/>
    <w:rsid w:val="008C59D5"/>
    <w:rsid w:val="008C59D8"/>
    <w:rsid w:val="008C5A3D"/>
    <w:rsid w:val="008C5A60"/>
    <w:rsid w:val="008C5A9A"/>
    <w:rsid w:val="008C5ACA"/>
    <w:rsid w:val="008C5BF9"/>
    <w:rsid w:val="008C5C01"/>
    <w:rsid w:val="008C5C3E"/>
    <w:rsid w:val="008C5C67"/>
    <w:rsid w:val="008C5C87"/>
    <w:rsid w:val="008C5C8A"/>
    <w:rsid w:val="008C5D20"/>
    <w:rsid w:val="008C5D25"/>
    <w:rsid w:val="008C5D4A"/>
    <w:rsid w:val="008C5DF0"/>
    <w:rsid w:val="008C5E22"/>
    <w:rsid w:val="008C5E72"/>
    <w:rsid w:val="008C5E91"/>
    <w:rsid w:val="008C5EA7"/>
    <w:rsid w:val="008C5F2D"/>
    <w:rsid w:val="008C5F46"/>
    <w:rsid w:val="008C5F98"/>
    <w:rsid w:val="008C5FB5"/>
    <w:rsid w:val="008C6034"/>
    <w:rsid w:val="008C6076"/>
    <w:rsid w:val="008C6099"/>
    <w:rsid w:val="008C6180"/>
    <w:rsid w:val="008C6187"/>
    <w:rsid w:val="008C61F6"/>
    <w:rsid w:val="008C623D"/>
    <w:rsid w:val="008C627D"/>
    <w:rsid w:val="008C6284"/>
    <w:rsid w:val="008C62AE"/>
    <w:rsid w:val="008C62DC"/>
    <w:rsid w:val="008C62F7"/>
    <w:rsid w:val="008C6345"/>
    <w:rsid w:val="008C6350"/>
    <w:rsid w:val="008C636D"/>
    <w:rsid w:val="008C6386"/>
    <w:rsid w:val="008C63D2"/>
    <w:rsid w:val="008C63E0"/>
    <w:rsid w:val="008C63F5"/>
    <w:rsid w:val="008C63FD"/>
    <w:rsid w:val="008C64A3"/>
    <w:rsid w:val="008C64FA"/>
    <w:rsid w:val="008C654F"/>
    <w:rsid w:val="008C6576"/>
    <w:rsid w:val="008C65EB"/>
    <w:rsid w:val="008C6609"/>
    <w:rsid w:val="008C6655"/>
    <w:rsid w:val="008C669E"/>
    <w:rsid w:val="008C66AC"/>
    <w:rsid w:val="008C66CA"/>
    <w:rsid w:val="008C66E1"/>
    <w:rsid w:val="008C670E"/>
    <w:rsid w:val="008C671B"/>
    <w:rsid w:val="008C679F"/>
    <w:rsid w:val="008C680D"/>
    <w:rsid w:val="008C682C"/>
    <w:rsid w:val="008C683B"/>
    <w:rsid w:val="008C68DD"/>
    <w:rsid w:val="008C68F7"/>
    <w:rsid w:val="008C6994"/>
    <w:rsid w:val="008C69D3"/>
    <w:rsid w:val="008C6A4D"/>
    <w:rsid w:val="008C6A69"/>
    <w:rsid w:val="008C6B24"/>
    <w:rsid w:val="008C6B37"/>
    <w:rsid w:val="008C6B4D"/>
    <w:rsid w:val="008C6B93"/>
    <w:rsid w:val="008C6BEC"/>
    <w:rsid w:val="008C6C00"/>
    <w:rsid w:val="008C6C4C"/>
    <w:rsid w:val="008C6C79"/>
    <w:rsid w:val="008C6DA0"/>
    <w:rsid w:val="008C6DBD"/>
    <w:rsid w:val="008C6DFD"/>
    <w:rsid w:val="008C6E81"/>
    <w:rsid w:val="008C6F1D"/>
    <w:rsid w:val="008C6F23"/>
    <w:rsid w:val="008C6F7B"/>
    <w:rsid w:val="008C6FEE"/>
    <w:rsid w:val="008C7092"/>
    <w:rsid w:val="008C71E7"/>
    <w:rsid w:val="008C7252"/>
    <w:rsid w:val="008C72BA"/>
    <w:rsid w:val="008C72CD"/>
    <w:rsid w:val="008C72E7"/>
    <w:rsid w:val="008C7316"/>
    <w:rsid w:val="008C7329"/>
    <w:rsid w:val="008C7358"/>
    <w:rsid w:val="008C73E2"/>
    <w:rsid w:val="008C73E8"/>
    <w:rsid w:val="008C74DF"/>
    <w:rsid w:val="008C74E9"/>
    <w:rsid w:val="008C74EA"/>
    <w:rsid w:val="008C7556"/>
    <w:rsid w:val="008C75D1"/>
    <w:rsid w:val="008C7662"/>
    <w:rsid w:val="008C766B"/>
    <w:rsid w:val="008C76C0"/>
    <w:rsid w:val="008C7750"/>
    <w:rsid w:val="008C7768"/>
    <w:rsid w:val="008C7795"/>
    <w:rsid w:val="008C77BC"/>
    <w:rsid w:val="008C77FD"/>
    <w:rsid w:val="008C7853"/>
    <w:rsid w:val="008C78A9"/>
    <w:rsid w:val="008C78FA"/>
    <w:rsid w:val="008C78FE"/>
    <w:rsid w:val="008C796A"/>
    <w:rsid w:val="008C797D"/>
    <w:rsid w:val="008C798D"/>
    <w:rsid w:val="008C79AA"/>
    <w:rsid w:val="008C79AF"/>
    <w:rsid w:val="008C79DF"/>
    <w:rsid w:val="008C7A51"/>
    <w:rsid w:val="008C7AEF"/>
    <w:rsid w:val="008C7B10"/>
    <w:rsid w:val="008C7BEF"/>
    <w:rsid w:val="008C7C1C"/>
    <w:rsid w:val="008C7C62"/>
    <w:rsid w:val="008C7CA8"/>
    <w:rsid w:val="008C7CB1"/>
    <w:rsid w:val="008C7D40"/>
    <w:rsid w:val="008C7D48"/>
    <w:rsid w:val="008C7D8E"/>
    <w:rsid w:val="008C7DB2"/>
    <w:rsid w:val="008C7E1F"/>
    <w:rsid w:val="008C7E58"/>
    <w:rsid w:val="008C7EC1"/>
    <w:rsid w:val="008C7F87"/>
    <w:rsid w:val="008C7FDD"/>
    <w:rsid w:val="008D0046"/>
    <w:rsid w:val="008D0047"/>
    <w:rsid w:val="008D0087"/>
    <w:rsid w:val="008D00B5"/>
    <w:rsid w:val="008D00FC"/>
    <w:rsid w:val="008D0122"/>
    <w:rsid w:val="008D0135"/>
    <w:rsid w:val="008D0167"/>
    <w:rsid w:val="008D01AF"/>
    <w:rsid w:val="008D0250"/>
    <w:rsid w:val="008D0339"/>
    <w:rsid w:val="008D03A1"/>
    <w:rsid w:val="008D03AD"/>
    <w:rsid w:val="008D03CD"/>
    <w:rsid w:val="008D03F1"/>
    <w:rsid w:val="008D0465"/>
    <w:rsid w:val="008D0475"/>
    <w:rsid w:val="008D04F7"/>
    <w:rsid w:val="008D04FA"/>
    <w:rsid w:val="008D050E"/>
    <w:rsid w:val="008D0524"/>
    <w:rsid w:val="008D05C1"/>
    <w:rsid w:val="008D05DA"/>
    <w:rsid w:val="008D060B"/>
    <w:rsid w:val="008D0643"/>
    <w:rsid w:val="008D0651"/>
    <w:rsid w:val="008D0660"/>
    <w:rsid w:val="008D0667"/>
    <w:rsid w:val="008D066B"/>
    <w:rsid w:val="008D0697"/>
    <w:rsid w:val="008D069F"/>
    <w:rsid w:val="008D06A3"/>
    <w:rsid w:val="008D06A6"/>
    <w:rsid w:val="008D06D1"/>
    <w:rsid w:val="008D077A"/>
    <w:rsid w:val="008D07A5"/>
    <w:rsid w:val="008D0802"/>
    <w:rsid w:val="008D081F"/>
    <w:rsid w:val="008D0913"/>
    <w:rsid w:val="008D093C"/>
    <w:rsid w:val="008D0961"/>
    <w:rsid w:val="008D0984"/>
    <w:rsid w:val="008D0A3E"/>
    <w:rsid w:val="008D0AE4"/>
    <w:rsid w:val="008D0B23"/>
    <w:rsid w:val="008D0B3B"/>
    <w:rsid w:val="008D0B48"/>
    <w:rsid w:val="008D0C00"/>
    <w:rsid w:val="008D0C02"/>
    <w:rsid w:val="008D0C21"/>
    <w:rsid w:val="008D0C3A"/>
    <w:rsid w:val="008D0C4F"/>
    <w:rsid w:val="008D0C62"/>
    <w:rsid w:val="008D0CE0"/>
    <w:rsid w:val="008D0D01"/>
    <w:rsid w:val="008D0D59"/>
    <w:rsid w:val="008D0DAA"/>
    <w:rsid w:val="008D0DAC"/>
    <w:rsid w:val="008D0DB4"/>
    <w:rsid w:val="008D0DDE"/>
    <w:rsid w:val="008D0DFF"/>
    <w:rsid w:val="008D0E0B"/>
    <w:rsid w:val="008D0E2B"/>
    <w:rsid w:val="008D0E72"/>
    <w:rsid w:val="008D0E77"/>
    <w:rsid w:val="008D0EC1"/>
    <w:rsid w:val="008D0EC4"/>
    <w:rsid w:val="008D0F1C"/>
    <w:rsid w:val="008D0F84"/>
    <w:rsid w:val="008D0F94"/>
    <w:rsid w:val="008D1040"/>
    <w:rsid w:val="008D1146"/>
    <w:rsid w:val="008D114E"/>
    <w:rsid w:val="008D1197"/>
    <w:rsid w:val="008D11CC"/>
    <w:rsid w:val="008D11FC"/>
    <w:rsid w:val="008D1225"/>
    <w:rsid w:val="008D12C3"/>
    <w:rsid w:val="008D12E4"/>
    <w:rsid w:val="008D1336"/>
    <w:rsid w:val="008D1428"/>
    <w:rsid w:val="008D1446"/>
    <w:rsid w:val="008D146D"/>
    <w:rsid w:val="008D1475"/>
    <w:rsid w:val="008D1480"/>
    <w:rsid w:val="008D14F8"/>
    <w:rsid w:val="008D150E"/>
    <w:rsid w:val="008D152B"/>
    <w:rsid w:val="008D1539"/>
    <w:rsid w:val="008D1567"/>
    <w:rsid w:val="008D157A"/>
    <w:rsid w:val="008D15B1"/>
    <w:rsid w:val="008D15FF"/>
    <w:rsid w:val="008D1630"/>
    <w:rsid w:val="008D1636"/>
    <w:rsid w:val="008D16EE"/>
    <w:rsid w:val="008D16F6"/>
    <w:rsid w:val="008D1719"/>
    <w:rsid w:val="008D1775"/>
    <w:rsid w:val="008D1804"/>
    <w:rsid w:val="008D181E"/>
    <w:rsid w:val="008D1875"/>
    <w:rsid w:val="008D1893"/>
    <w:rsid w:val="008D18A9"/>
    <w:rsid w:val="008D1912"/>
    <w:rsid w:val="008D191E"/>
    <w:rsid w:val="008D1980"/>
    <w:rsid w:val="008D198A"/>
    <w:rsid w:val="008D1A0E"/>
    <w:rsid w:val="008D1A36"/>
    <w:rsid w:val="008D1A46"/>
    <w:rsid w:val="008D1B65"/>
    <w:rsid w:val="008D1BC8"/>
    <w:rsid w:val="008D1BEB"/>
    <w:rsid w:val="008D1C50"/>
    <w:rsid w:val="008D1C94"/>
    <w:rsid w:val="008D1CCD"/>
    <w:rsid w:val="008D1CF3"/>
    <w:rsid w:val="008D1DCD"/>
    <w:rsid w:val="008D1DE7"/>
    <w:rsid w:val="008D1E2E"/>
    <w:rsid w:val="008D1E32"/>
    <w:rsid w:val="008D1EB2"/>
    <w:rsid w:val="008D1EB5"/>
    <w:rsid w:val="008D1EFC"/>
    <w:rsid w:val="008D1F07"/>
    <w:rsid w:val="008D1F3D"/>
    <w:rsid w:val="008D1F3E"/>
    <w:rsid w:val="008D1F62"/>
    <w:rsid w:val="008D1F63"/>
    <w:rsid w:val="008D2005"/>
    <w:rsid w:val="008D2028"/>
    <w:rsid w:val="008D2082"/>
    <w:rsid w:val="008D20C2"/>
    <w:rsid w:val="008D22B1"/>
    <w:rsid w:val="008D22B4"/>
    <w:rsid w:val="008D22C1"/>
    <w:rsid w:val="008D22C4"/>
    <w:rsid w:val="008D23A6"/>
    <w:rsid w:val="008D2407"/>
    <w:rsid w:val="008D2410"/>
    <w:rsid w:val="008D2443"/>
    <w:rsid w:val="008D2460"/>
    <w:rsid w:val="008D2461"/>
    <w:rsid w:val="008D2470"/>
    <w:rsid w:val="008D2494"/>
    <w:rsid w:val="008D24E0"/>
    <w:rsid w:val="008D2563"/>
    <w:rsid w:val="008D256C"/>
    <w:rsid w:val="008D25B8"/>
    <w:rsid w:val="008D25C3"/>
    <w:rsid w:val="008D269F"/>
    <w:rsid w:val="008D26B5"/>
    <w:rsid w:val="008D26C1"/>
    <w:rsid w:val="008D26CA"/>
    <w:rsid w:val="008D26E2"/>
    <w:rsid w:val="008D26FE"/>
    <w:rsid w:val="008D2707"/>
    <w:rsid w:val="008D2761"/>
    <w:rsid w:val="008D2765"/>
    <w:rsid w:val="008D2787"/>
    <w:rsid w:val="008D27B6"/>
    <w:rsid w:val="008D27E7"/>
    <w:rsid w:val="008D27FF"/>
    <w:rsid w:val="008D2805"/>
    <w:rsid w:val="008D2841"/>
    <w:rsid w:val="008D2877"/>
    <w:rsid w:val="008D289D"/>
    <w:rsid w:val="008D28B8"/>
    <w:rsid w:val="008D29C5"/>
    <w:rsid w:val="008D29DD"/>
    <w:rsid w:val="008D29E3"/>
    <w:rsid w:val="008D29F3"/>
    <w:rsid w:val="008D29F7"/>
    <w:rsid w:val="008D2A43"/>
    <w:rsid w:val="008D2B0A"/>
    <w:rsid w:val="008D2B88"/>
    <w:rsid w:val="008D2B9F"/>
    <w:rsid w:val="008D2BD5"/>
    <w:rsid w:val="008D2BE6"/>
    <w:rsid w:val="008D2C33"/>
    <w:rsid w:val="008D2C43"/>
    <w:rsid w:val="008D2C57"/>
    <w:rsid w:val="008D2D39"/>
    <w:rsid w:val="008D2D3E"/>
    <w:rsid w:val="008D2D56"/>
    <w:rsid w:val="008D2D7C"/>
    <w:rsid w:val="008D2D8A"/>
    <w:rsid w:val="008D2DA6"/>
    <w:rsid w:val="008D2DB2"/>
    <w:rsid w:val="008D2DEA"/>
    <w:rsid w:val="008D2E4C"/>
    <w:rsid w:val="008D2E79"/>
    <w:rsid w:val="008D2EF6"/>
    <w:rsid w:val="008D2F12"/>
    <w:rsid w:val="008D2FE0"/>
    <w:rsid w:val="008D3045"/>
    <w:rsid w:val="008D3072"/>
    <w:rsid w:val="008D30C3"/>
    <w:rsid w:val="008D3114"/>
    <w:rsid w:val="008D3130"/>
    <w:rsid w:val="008D3174"/>
    <w:rsid w:val="008D317E"/>
    <w:rsid w:val="008D318E"/>
    <w:rsid w:val="008D32BB"/>
    <w:rsid w:val="008D331F"/>
    <w:rsid w:val="008D3341"/>
    <w:rsid w:val="008D334B"/>
    <w:rsid w:val="008D3390"/>
    <w:rsid w:val="008D3409"/>
    <w:rsid w:val="008D341F"/>
    <w:rsid w:val="008D343C"/>
    <w:rsid w:val="008D3455"/>
    <w:rsid w:val="008D3472"/>
    <w:rsid w:val="008D347F"/>
    <w:rsid w:val="008D348F"/>
    <w:rsid w:val="008D35CF"/>
    <w:rsid w:val="008D35EE"/>
    <w:rsid w:val="008D36C9"/>
    <w:rsid w:val="008D370E"/>
    <w:rsid w:val="008D376B"/>
    <w:rsid w:val="008D38AC"/>
    <w:rsid w:val="008D3941"/>
    <w:rsid w:val="008D395D"/>
    <w:rsid w:val="008D3973"/>
    <w:rsid w:val="008D39A3"/>
    <w:rsid w:val="008D39F6"/>
    <w:rsid w:val="008D3AB0"/>
    <w:rsid w:val="008D3B01"/>
    <w:rsid w:val="008D3B06"/>
    <w:rsid w:val="008D3BAE"/>
    <w:rsid w:val="008D3BB5"/>
    <w:rsid w:val="008D3C26"/>
    <w:rsid w:val="008D3C54"/>
    <w:rsid w:val="008D3C72"/>
    <w:rsid w:val="008D3CBF"/>
    <w:rsid w:val="008D3CCF"/>
    <w:rsid w:val="008D3CE7"/>
    <w:rsid w:val="008D3D82"/>
    <w:rsid w:val="008D3DB4"/>
    <w:rsid w:val="008D3DC1"/>
    <w:rsid w:val="008D3DF0"/>
    <w:rsid w:val="008D3E1C"/>
    <w:rsid w:val="008D3E60"/>
    <w:rsid w:val="008D3EFA"/>
    <w:rsid w:val="008D3F73"/>
    <w:rsid w:val="008D3F83"/>
    <w:rsid w:val="008D3F8B"/>
    <w:rsid w:val="008D406B"/>
    <w:rsid w:val="008D4095"/>
    <w:rsid w:val="008D40EB"/>
    <w:rsid w:val="008D4113"/>
    <w:rsid w:val="008D4186"/>
    <w:rsid w:val="008D419E"/>
    <w:rsid w:val="008D41B6"/>
    <w:rsid w:val="008D41CA"/>
    <w:rsid w:val="008D4238"/>
    <w:rsid w:val="008D4260"/>
    <w:rsid w:val="008D42A6"/>
    <w:rsid w:val="008D42D4"/>
    <w:rsid w:val="008D42DC"/>
    <w:rsid w:val="008D42F0"/>
    <w:rsid w:val="008D4300"/>
    <w:rsid w:val="008D438D"/>
    <w:rsid w:val="008D43A5"/>
    <w:rsid w:val="008D4410"/>
    <w:rsid w:val="008D442D"/>
    <w:rsid w:val="008D4464"/>
    <w:rsid w:val="008D44DF"/>
    <w:rsid w:val="008D4518"/>
    <w:rsid w:val="008D4531"/>
    <w:rsid w:val="008D4586"/>
    <w:rsid w:val="008D45C4"/>
    <w:rsid w:val="008D4635"/>
    <w:rsid w:val="008D4656"/>
    <w:rsid w:val="008D4658"/>
    <w:rsid w:val="008D4675"/>
    <w:rsid w:val="008D46CD"/>
    <w:rsid w:val="008D4711"/>
    <w:rsid w:val="008D4727"/>
    <w:rsid w:val="008D4745"/>
    <w:rsid w:val="008D47C7"/>
    <w:rsid w:val="008D47D5"/>
    <w:rsid w:val="008D47F8"/>
    <w:rsid w:val="008D486D"/>
    <w:rsid w:val="008D4877"/>
    <w:rsid w:val="008D488D"/>
    <w:rsid w:val="008D48D5"/>
    <w:rsid w:val="008D491F"/>
    <w:rsid w:val="008D497D"/>
    <w:rsid w:val="008D49C6"/>
    <w:rsid w:val="008D4B10"/>
    <w:rsid w:val="008D4B4B"/>
    <w:rsid w:val="008D4B4D"/>
    <w:rsid w:val="008D4B52"/>
    <w:rsid w:val="008D4B57"/>
    <w:rsid w:val="008D4BA8"/>
    <w:rsid w:val="008D4BCC"/>
    <w:rsid w:val="008D4CF9"/>
    <w:rsid w:val="008D4D21"/>
    <w:rsid w:val="008D4D3A"/>
    <w:rsid w:val="008D4D4B"/>
    <w:rsid w:val="008D4D6C"/>
    <w:rsid w:val="008D4DC4"/>
    <w:rsid w:val="008D4DCE"/>
    <w:rsid w:val="008D4E13"/>
    <w:rsid w:val="008D4E3E"/>
    <w:rsid w:val="008D4EA7"/>
    <w:rsid w:val="008D4EA8"/>
    <w:rsid w:val="008D4EB2"/>
    <w:rsid w:val="008D4EC8"/>
    <w:rsid w:val="008D4EE5"/>
    <w:rsid w:val="008D4EEB"/>
    <w:rsid w:val="008D4F3F"/>
    <w:rsid w:val="008D4F5C"/>
    <w:rsid w:val="008D4FB7"/>
    <w:rsid w:val="008D4FD4"/>
    <w:rsid w:val="008D4FE0"/>
    <w:rsid w:val="008D4FE9"/>
    <w:rsid w:val="008D4FF4"/>
    <w:rsid w:val="008D50E3"/>
    <w:rsid w:val="008D50F8"/>
    <w:rsid w:val="008D5128"/>
    <w:rsid w:val="008D5147"/>
    <w:rsid w:val="008D5150"/>
    <w:rsid w:val="008D5161"/>
    <w:rsid w:val="008D516F"/>
    <w:rsid w:val="008D51A3"/>
    <w:rsid w:val="008D520B"/>
    <w:rsid w:val="008D5272"/>
    <w:rsid w:val="008D5344"/>
    <w:rsid w:val="008D534C"/>
    <w:rsid w:val="008D536A"/>
    <w:rsid w:val="008D5411"/>
    <w:rsid w:val="008D541E"/>
    <w:rsid w:val="008D5435"/>
    <w:rsid w:val="008D5491"/>
    <w:rsid w:val="008D54BD"/>
    <w:rsid w:val="008D5575"/>
    <w:rsid w:val="008D5656"/>
    <w:rsid w:val="008D566A"/>
    <w:rsid w:val="008D567B"/>
    <w:rsid w:val="008D5686"/>
    <w:rsid w:val="008D568F"/>
    <w:rsid w:val="008D576B"/>
    <w:rsid w:val="008D5794"/>
    <w:rsid w:val="008D579E"/>
    <w:rsid w:val="008D57DB"/>
    <w:rsid w:val="008D57DD"/>
    <w:rsid w:val="008D57E3"/>
    <w:rsid w:val="008D5844"/>
    <w:rsid w:val="008D5858"/>
    <w:rsid w:val="008D5865"/>
    <w:rsid w:val="008D5884"/>
    <w:rsid w:val="008D58DD"/>
    <w:rsid w:val="008D58E3"/>
    <w:rsid w:val="008D592E"/>
    <w:rsid w:val="008D5A2D"/>
    <w:rsid w:val="008D5A59"/>
    <w:rsid w:val="008D5AB0"/>
    <w:rsid w:val="008D5AB7"/>
    <w:rsid w:val="008D5B27"/>
    <w:rsid w:val="008D5B7F"/>
    <w:rsid w:val="008D5BE5"/>
    <w:rsid w:val="008D5C08"/>
    <w:rsid w:val="008D5C0D"/>
    <w:rsid w:val="008D5C29"/>
    <w:rsid w:val="008D5C53"/>
    <w:rsid w:val="008D5CAA"/>
    <w:rsid w:val="008D5CE7"/>
    <w:rsid w:val="008D5D13"/>
    <w:rsid w:val="008D5D4D"/>
    <w:rsid w:val="008D5E4E"/>
    <w:rsid w:val="008D5E55"/>
    <w:rsid w:val="008D5F21"/>
    <w:rsid w:val="008D5F6E"/>
    <w:rsid w:val="008D5FEA"/>
    <w:rsid w:val="008D6014"/>
    <w:rsid w:val="008D6015"/>
    <w:rsid w:val="008D601A"/>
    <w:rsid w:val="008D6051"/>
    <w:rsid w:val="008D6088"/>
    <w:rsid w:val="008D6091"/>
    <w:rsid w:val="008D60E3"/>
    <w:rsid w:val="008D60E6"/>
    <w:rsid w:val="008D6119"/>
    <w:rsid w:val="008D6190"/>
    <w:rsid w:val="008D6191"/>
    <w:rsid w:val="008D61B1"/>
    <w:rsid w:val="008D61E0"/>
    <w:rsid w:val="008D6200"/>
    <w:rsid w:val="008D6221"/>
    <w:rsid w:val="008D6236"/>
    <w:rsid w:val="008D6242"/>
    <w:rsid w:val="008D6256"/>
    <w:rsid w:val="008D6286"/>
    <w:rsid w:val="008D6289"/>
    <w:rsid w:val="008D628A"/>
    <w:rsid w:val="008D62F9"/>
    <w:rsid w:val="008D6307"/>
    <w:rsid w:val="008D630A"/>
    <w:rsid w:val="008D634C"/>
    <w:rsid w:val="008D6372"/>
    <w:rsid w:val="008D6384"/>
    <w:rsid w:val="008D63A8"/>
    <w:rsid w:val="008D63FE"/>
    <w:rsid w:val="008D6444"/>
    <w:rsid w:val="008D64EC"/>
    <w:rsid w:val="008D65A6"/>
    <w:rsid w:val="008D6614"/>
    <w:rsid w:val="008D6670"/>
    <w:rsid w:val="008D66CB"/>
    <w:rsid w:val="008D6756"/>
    <w:rsid w:val="008D6762"/>
    <w:rsid w:val="008D682C"/>
    <w:rsid w:val="008D6841"/>
    <w:rsid w:val="008D68A4"/>
    <w:rsid w:val="008D691E"/>
    <w:rsid w:val="008D69DE"/>
    <w:rsid w:val="008D69ED"/>
    <w:rsid w:val="008D6A0E"/>
    <w:rsid w:val="008D6A21"/>
    <w:rsid w:val="008D6A71"/>
    <w:rsid w:val="008D6A7C"/>
    <w:rsid w:val="008D6A95"/>
    <w:rsid w:val="008D6A99"/>
    <w:rsid w:val="008D6AD1"/>
    <w:rsid w:val="008D6B0C"/>
    <w:rsid w:val="008D6B37"/>
    <w:rsid w:val="008D6B8C"/>
    <w:rsid w:val="008D6BB5"/>
    <w:rsid w:val="008D6CFE"/>
    <w:rsid w:val="008D6D11"/>
    <w:rsid w:val="008D6D48"/>
    <w:rsid w:val="008D6D79"/>
    <w:rsid w:val="008D6D82"/>
    <w:rsid w:val="008D6D99"/>
    <w:rsid w:val="008D6DA2"/>
    <w:rsid w:val="008D6DD3"/>
    <w:rsid w:val="008D6DD9"/>
    <w:rsid w:val="008D6E2A"/>
    <w:rsid w:val="008D6EA5"/>
    <w:rsid w:val="008D6EC0"/>
    <w:rsid w:val="008D6ECD"/>
    <w:rsid w:val="008D6EF9"/>
    <w:rsid w:val="008D6F2B"/>
    <w:rsid w:val="008D6F82"/>
    <w:rsid w:val="008D6FCF"/>
    <w:rsid w:val="008D6FDC"/>
    <w:rsid w:val="008D7003"/>
    <w:rsid w:val="008D707C"/>
    <w:rsid w:val="008D7098"/>
    <w:rsid w:val="008D70FC"/>
    <w:rsid w:val="008D7201"/>
    <w:rsid w:val="008D7274"/>
    <w:rsid w:val="008D7280"/>
    <w:rsid w:val="008D72A7"/>
    <w:rsid w:val="008D72C7"/>
    <w:rsid w:val="008D72EC"/>
    <w:rsid w:val="008D7318"/>
    <w:rsid w:val="008D7320"/>
    <w:rsid w:val="008D7334"/>
    <w:rsid w:val="008D735D"/>
    <w:rsid w:val="008D73AB"/>
    <w:rsid w:val="008D73BA"/>
    <w:rsid w:val="008D73E7"/>
    <w:rsid w:val="008D74BC"/>
    <w:rsid w:val="008D750B"/>
    <w:rsid w:val="008D75BE"/>
    <w:rsid w:val="008D75F5"/>
    <w:rsid w:val="008D7602"/>
    <w:rsid w:val="008D7628"/>
    <w:rsid w:val="008D7634"/>
    <w:rsid w:val="008D778B"/>
    <w:rsid w:val="008D77A9"/>
    <w:rsid w:val="008D77F4"/>
    <w:rsid w:val="008D7812"/>
    <w:rsid w:val="008D789F"/>
    <w:rsid w:val="008D78FB"/>
    <w:rsid w:val="008D7929"/>
    <w:rsid w:val="008D7946"/>
    <w:rsid w:val="008D7951"/>
    <w:rsid w:val="008D795E"/>
    <w:rsid w:val="008D7A24"/>
    <w:rsid w:val="008D7A96"/>
    <w:rsid w:val="008D7AF6"/>
    <w:rsid w:val="008D7B6F"/>
    <w:rsid w:val="008D7B77"/>
    <w:rsid w:val="008D7B83"/>
    <w:rsid w:val="008D7BC1"/>
    <w:rsid w:val="008D7C5C"/>
    <w:rsid w:val="008D7C85"/>
    <w:rsid w:val="008D7C9F"/>
    <w:rsid w:val="008D7CE4"/>
    <w:rsid w:val="008D7CE7"/>
    <w:rsid w:val="008D7CF0"/>
    <w:rsid w:val="008D7D00"/>
    <w:rsid w:val="008D7E21"/>
    <w:rsid w:val="008D7E26"/>
    <w:rsid w:val="008D7E7E"/>
    <w:rsid w:val="008D7E91"/>
    <w:rsid w:val="008D7F2B"/>
    <w:rsid w:val="008D7F6C"/>
    <w:rsid w:val="008D7F80"/>
    <w:rsid w:val="008D7FC2"/>
    <w:rsid w:val="008D7FDD"/>
    <w:rsid w:val="008D7FE1"/>
    <w:rsid w:val="008E0001"/>
    <w:rsid w:val="008E0010"/>
    <w:rsid w:val="008E0076"/>
    <w:rsid w:val="008E0088"/>
    <w:rsid w:val="008E00DA"/>
    <w:rsid w:val="008E014F"/>
    <w:rsid w:val="008E0186"/>
    <w:rsid w:val="008E01CB"/>
    <w:rsid w:val="008E01E3"/>
    <w:rsid w:val="008E0201"/>
    <w:rsid w:val="008E02DD"/>
    <w:rsid w:val="008E035F"/>
    <w:rsid w:val="008E0376"/>
    <w:rsid w:val="008E03C0"/>
    <w:rsid w:val="008E03F7"/>
    <w:rsid w:val="008E0490"/>
    <w:rsid w:val="008E04B4"/>
    <w:rsid w:val="008E04D5"/>
    <w:rsid w:val="008E04DA"/>
    <w:rsid w:val="008E04EB"/>
    <w:rsid w:val="008E051D"/>
    <w:rsid w:val="008E0538"/>
    <w:rsid w:val="008E0561"/>
    <w:rsid w:val="008E0587"/>
    <w:rsid w:val="008E05AC"/>
    <w:rsid w:val="008E05B7"/>
    <w:rsid w:val="008E05C9"/>
    <w:rsid w:val="008E0655"/>
    <w:rsid w:val="008E06B3"/>
    <w:rsid w:val="008E06D0"/>
    <w:rsid w:val="008E07DE"/>
    <w:rsid w:val="008E07FD"/>
    <w:rsid w:val="008E086C"/>
    <w:rsid w:val="008E087B"/>
    <w:rsid w:val="008E08E7"/>
    <w:rsid w:val="008E08F3"/>
    <w:rsid w:val="008E09CC"/>
    <w:rsid w:val="008E0A3B"/>
    <w:rsid w:val="008E0AC6"/>
    <w:rsid w:val="008E0ADD"/>
    <w:rsid w:val="008E0B28"/>
    <w:rsid w:val="008E0B2D"/>
    <w:rsid w:val="008E0B6C"/>
    <w:rsid w:val="008E0B93"/>
    <w:rsid w:val="008E0BCC"/>
    <w:rsid w:val="008E0BF0"/>
    <w:rsid w:val="008E0BF1"/>
    <w:rsid w:val="008E0C23"/>
    <w:rsid w:val="008E0CD6"/>
    <w:rsid w:val="008E0CEC"/>
    <w:rsid w:val="008E0D6F"/>
    <w:rsid w:val="008E0DA0"/>
    <w:rsid w:val="008E0DAC"/>
    <w:rsid w:val="008E0E22"/>
    <w:rsid w:val="008E0E8D"/>
    <w:rsid w:val="008E0EF6"/>
    <w:rsid w:val="008E0FAA"/>
    <w:rsid w:val="008E0FD4"/>
    <w:rsid w:val="008E100A"/>
    <w:rsid w:val="008E1024"/>
    <w:rsid w:val="008E106C"/>
    <w:rsid w:val="008E1076"/>
    <w:rsid w:val="008E1091"/>
    <w:rsid w:val="008E10A9"/>
    <w:rsid w:val="008E10AD"/>
    <w:rsid w:val="008E10AE"/>
    <w:rsid w:val="008E10E7"/>
    <w:rsid w:val="008E1125"/>
    <w:rsid w:val="008E112E"/>
    <w:rsid w:val="008E113D"/>
    <w:rsid w:val="008E1182"/>
    <w:rsid w:val="008E11BE"/>
    <w:rsid w:val="008E11D2"/>
    <w:rsid w:val="008E1201"/>
    <w:rsid w:val="008E120F"/>
    <w:rsid w:val="008E1220"/>
    <w:rsid w:val="008E1235"/>
    <w:rsid w:val="008E123A"/>
    <w:rsid w:val="008E1354"/>
    <w:rsid w:val="008E137F"/>
    <w:rsid w:val="008E1440"/>
    <w:rsid w:val="008E145A"/>
    <w:rsid w:val="008E14C6"/>
    <w:rsid w:val="008E14E7"/>
    <w:rsid w:val="008E1527"/>
    <w:rsid w:val="008E1577"/>
    <w:rsid w:val="008E15CB"/>
    <w:rsid w:val="008E15E9"/>
    <w:rsid w:val="008E1600"/>
    <w:rsid w:val="008E1619"/>
    <w:rsid w:val="008E1641"/>
    <w:rsid w:val="008E1649"/>
    <w:rsid w:val="008E1692"/>
    <w:rsid w:val="008E1693"/>
    <w:rsid w:val="008E16FC"/>
    <w:rsid w:val="008E1768"/>
    <w:rsid w:val="008E1780"/>
    <w:rsid w:val="008E180C"/>
    <w:rsid w:val="008E1936"/>
    <w:rsid w:val="008E1994"/>
    <w:rsid w:val="008E19AF"/>
    <w:rsid w:val="008E1A1A"/>
    <w:rsid w:val="008E1A7D"/>
    <w:rsid w:val="008E1A82"/>
    <w:rsid w:val="008E1ADD"/>
    <w:rsid w:val="008E1AF2"/>
    <w:rsid w:val="008E1B10"/>
    <w:rsid w:val="008E1B1A"/>
    <w:rsid w:val="008E1BB5"/>
    <w:rsid w:val="008E1BCF"/>
    <w:rsid w:val="008E1C1D"/>
    <w:rsid w:val="008E1CC8"/>
    <w:rsid w:val="008E1CC9"/>
    <w:rsid w:val="008E1CE2"/>
    <w:rsid w:val="008E1D01"/>
    <w:rsid w:val="008E1DB8"/>
    <w:rsid w:val="008E1E27"/>
    <w:rsid w:val="008E1E60"/>
    <w:rsid w:val="008E1FBA"/>
    <w:rsid w:val="008E1FCF"/>
    <w:rsid w:val="008E1FF9"/>
    <w:rsid w:val="008E201F"/>
    <w:rsid w:val="008E20E9"/>
    <w:rsid w:val="008E2101"/>
    <w:rsid w:val="008E2103"/>
    <w:rsid w:val="008E2113"/>
    <w:rsid w:val="008E2121"/>
    <w:rsid w:val="008E2136"/>
    <w:rsid w:val="008E2159"/>
    <w:rsid w:val="008E2170"/>
    <w:rsid w:val="008E21A7"/>
    <w:rsid w:val="008E21AC"/>
    <w:rsid w:val="008E2211"/>
    <w:rsid w:val="008E2224"/>
    <w:rsid w:val="008E2238"/>
    <w:rsid w:val="008E224F"/>
    <w:rsid w:val="008E225B"/>
    <w:rsid w:val="008E230A"/>
    <w:rsid w:val="008E23A1"/>
    <w:rsid w:val="008E23A8"/>
    <w:rsid w:val="008E23BF"/>
    <w:rsid w:val="008E23EB"/>
    <w:rsid w:val="008E23FD"/>
    <w:rsid w:val="008E2402"/>
    <w:rsid w:val="008E240F"/>
    <w:rsid w:val="008E248B"/>
    <w:rsid w:val="008E2490"/>
    <w:rsid w:val="008E24E2"/>
    <w:rsid w:val="008E24FF"/>
    <w:rsid w:val="008E250B"/>
    <w:rsid w:val="008E2547"/>
    <w:rsid w:val="008E2549"/>
    <w:rsid w:val="008E2598"/>
    <w:rsid w:val="008E25DC"/>
    <w:rsid w:val="008E267F"/>
    <w:rsid w:val="008E269F"/>
    <w:rsid w:val="008E26CF"/>
    <w:rsid w:val="008E26E4"/>
    <w:rsid w:val="008E2767"/>
    <w:rsid w:val="008E27BA"/>
    <w:rsid w:val="008E27C2"/>
    <w:rsid w:val="008E27E5"/>
    <w:rsid w:val="008E280D"/>
    <w:rsid w:val="008E2831"/>
    <w:rsid w:val="008E2842"/>
    <w:rsid w:val="008E2874"/>
    <w:rsid w:val="008E28E0"/>
    <w:rsid w:val="008E28F1"/>
    <w:rsid w:val="008E298E"/>
    <w:rsid w:val="008E29EB"/>
    <w:rsid w:val="008E2A5B"/>
    <w:rsid w:val="008E2A6A"/>
    <w:rsid w:val="008E2A73"/>
    <w:rsid w:val="008E2A94"/>
    <w:rsid w:val="008E2AC0"/>
    <w:rsid w:val="008E2BA5"/>
    <w:rsid w:val="008E2C59"/>
    <w:rsid w:val="008E2C64"/>
    <w:rsid w:val="008E2D60"/>
    <w:rsid w:val="008E2D95"/>
    <w:rsid w:val="008E2DEC"/>
    <w:rsid w:val="008E2E0E"/>
    <w:rsid w:val="008E2E47"/>
    <w:rsid w:val="008E2F00"/>
    <w:rsid w:val="008E2F60"/>
    <w:rsid w:val="008E2F8C"/>
    <w:rsid w:val="008E3059"/>
    <w:rsid w:val="008E3062"/>
    <w:rsid w:val="008E3064"/>
    <w:rsid w:val="008E3096"/>
    <w:rsid w:val="008E310B"/>
    <w:rsid w:val="008E31CA"/>
    <w:rsid w:val="008E31D6"/>
    <w:rsid w:val="008E31F9"/>
    <w:rsid w:val="008E3240"/>
    <w:rsid w:val="008E3278"/>
    <w:rsid w:val="008E330E"/>
    <w:rsid w:val="008E3384"/>
    <w:rsid w:val="008E33A1"/>
    <w:rsid w:val="008E33DF"/>
    <w:rsid w:val="008E340B"/>
    <w:rsid w:val="008E3458"/>
    <w:rsid w:val="008E3534"/>
    <w:rsid w:val="008E35AF"/>
    <w:rsid w:val="008E35F2"/>
    <w:rsid w:val="008E35FF"/>
    <w:rsid w:val="008E3680"/>
    <w:rsid w:val="008E3733"/>
    <w:rsid w:val="008E37BC"/>
    <w:rsid w:val="008E3818"/>
    <w:rsid w:val="008E382A"/>
    <w:rsid w:val="008E384C"/>
    <w:rsid w:val="008E38AE"/>
    <w:rsid w:val="008E38B3"/>
    <w:rsid w:val="008E38CE"/>
    <w:rsid w:val="008E3926"/>
    <w:rsid w:val="008E394E"/>
    <w:rsid w:val="008E3959"/>
    <w:rsid w:val="008E395A"/>
    <w:rsid w:val="008E3969"/>
    <w:rsid w:val="008E39E4"/>
    <w:rsid w:val="008E3A1D"/>
    <w:rsid w:val="008E3A26"/>
    <w:rsid w:val="008E3A9F"/>
    <w:rsid w:val="008E3AD5"/>
    <w:rsid w:val="008E3B0A"/>
    <w:rsid w:val="008E3B83"/>
    <w:rsid w:val="008E3B9B"/>
    <w:rsid w:val="008E3BF1"/>
    <w:rsid w:val="008E3C8C"/>
    <w:rsid w:val="008E3CA2"/>
    <w:rsid w:val="008E3CAC"/>
    <w:rsid w:val="008E3D0E"/>
    <w:rsid w:val="008E3DE4"/>
    <w:rsid w:val="008E3E47"/>
    <w:rsid w:val="008E3E61"/>
    <w:rsid w:val="008E3EB6"/>
    <w:rsid w:val="008E3F0A"/>
    <w:rsid w:val="008E3F17"/>
    <w:rsid w:val="008E3F97"/>
    <w:rsid w:val="008E3F9F"/>
    <w:rsid w:val="008E4001"/>
    <w:rsid w:val="008E4006"/>
    <w:rsid w:val="008E4009"/>
    <w:rsid w:val="008E4056"/>
    <w:rsid w:val="008E4083"/>
    <w:rsid w:val="008E40E6"/>
    <w:rsid w:val="008E4163"/>
    <w:rsid w:val="008E4192"/>
    <w:rsid w:val="008E41A5"/>
    <w:rsid w:val="008E41ED"/>
    <w:rsid w:val="008E4208"/>
    <w:rsid w:val="008E4287"/>
    <w:rsid w:val="008E4289"/>
    <w:rsid w:val="008E4307"/>
    <w:rsid w:val="008E4349"/>
    <w:rsid w:val="008E4371"/>
    <w:rsid w:val="008E43AC"/>
    <w:rsid w:val="008E443D"/>
    <w:rsid w:val="008E4481"/>
    <w:rsid w:val="008E4521"/>
    <w:rsid w:val="008E452B"/>
    <w:rsid w:val="008E452D"/>
    <w:rsid w:val="008E453A"/>
    <w:rsid w:val="008E454E"/>
    <w:rsid w:val="008E45B3"/>
    <w:rsid w:val="008E45B5"/>
    <w:rsid w:val="008E45F3"/>
    <w:rsid w:val="008E45F4"/>
    <w:rsid w:val="008E4610"/>
    <w:rsid w:val="008E466B"/>
    <w:rsid w:val="008E47B4"/>
    <w:rsid w:val="008E4838"/>
    <w:rsid w:val="008E4885"/>
    <w:rsid w:val="008E48DE"/>
    <w:rsid w:val="008E48E1"/>
    <w:rsid w:val="008E4929"/>
    <w:rsid w:val="008E4987"/>
    <w:rsid w:val="008E499E"/>
    <w:rsid w:val="008E49F4"/>
    <w:rsid w:val="008E4A35"/>
    <w:rsid w:val="008E4A43"/>
    <w:rsid w:val="008E4A95"/>
    <w:rsid w:val="008E4AC9"/>
    <w:rsid w:val="008E4B1C"/>
    <w:rsid w:val="008E4B2A"/>
    <w:rsid w:val="008E4B5C"/>
    <w:rsid w:val="008E4B75"/>
    <w:rsid w:val="008E4B84"/>
    <w:rsid w:val="008E4B93"/>
    <w:rsid w:val="008E4BC4"/>
    <w:rsid w:val="008E4BDE"/>
    <w:rsid w:val="008E4BEE"/>
    <w:rsid w:val="008E4C35"/>
    <w:rsid w:val="008E4C6A"/>
    <w:rsid w:val="008E4C7B"/>
    <w:rsid w:val="008E4CBF"/>
    <w:rsid w:val="008E4D1E"/>
    <w:rsid w:val="008E4D25"/>
    <w:rsid w:val="008E4D52"/>
    <w:rsid w:val="008E4D5B"/>
    <w:rsid w:val="008E4D6B"/>
    <w:rsid w:val="008E4D91"/>
    <w:rsid w:val="008E4DDE"/>
    <w:rsid w:val="008E4E4F"/>
    <w:rsid w:val="008E4E7F"/>
    <w:rsid w:val="008E4E9F"/>
    <w:rsid w:val="008E4EAA"/>
    <w:rsid w:val="008E4EB4"/>
    <w:rsid w:val="008E4F4F"/>
    <w:rsid w:val="008E4F8A"/>
    <w:rsid w:val="008E4FB4"/>
    <w:rsid w:val="008E4FC9"/>
    <w:rsid w:val="008E4FEA"/>
    <w:rsid w:val="008E5025"/>
    <w:rsid w:val="008E50E2"/>
    <w:rsid w:val="008E5113"/>
    <w:rsid w:val="008E5150"/>
    <w:rsid w:val="008E5171"/>
    <w:rsid w:val="008E5188"/>
    <w:rsid w:val="008E51E4"/>
    <w:rsid w:val="008E51F2"/>
    <w:rsid w:val="008E5260"/>
    <w:rsid w:val="008E527D"/>
    <w:rsid w:val="008E528B"/>
    <w:rsid w:val="008E530D"/>
    <w:rsid w:val="008E5351"/>
    <w:rsid w:val="008E536A"/>
    <w:rsid w:val="008E539B"/>
    <w:rsid w:val="008E5407"/>
    <w:rsid w:val="008E54A5"/>
    <w:rsid w:val="008E550E"/>
    <w:rsid w:val="008E554D"/>
    <w:rsid w:val="008E5561"/>
    <w:rsid w:val="008E55FE"/>
    <w:rsid w:val="008E5657"/>
    <w:rsid w:val="008E5667"/>
    <w:rsid w:val="008E568D"/>
    <w:rsid w:val="008E56E7"/>
    <w:rsid w:val="008E56FD"/>
    <w:rsid w:val="008E572F"/>
    <w:rsid w:val="008E5734"/>
    <w:rsid w:val="008E578C"/>
    <w:rsid w:val="008E58BE"/>
    <w:rsid w:val="008E594A"/>
    <w:rsid w:val="008E5976"/>
    <w:rsid w:val="008E599D"/>
    <w:rsid w:val="008E59A1"/>
    <w:rsid w:val="008E59CB"/>
    <w:rsid w:val="008E5A14"/>
    <w:rsid w:val="008E5A9C"/>
    <w:rsid w:val="008E5AAC"/>
    <w:rsid w:val="008E5B07"/>
    <w:rsid w:val="008E5B7C"/>
    <w:rsid w:val="008E5B8A"/>
    <w:rsid w:val="008E5BA7"/>
    <w:rsid w:val="008E5BFB"/>
    <w:rsid w:val="008E5C50"/>
    <w:rsid w:val="008E5C5F"/>
    <w:rsid w:val="008E5C9B"/>
    <w:rsid w:val="008E5CAD"/>
    <w:rsid w:val="008E5CCA"/>
    <w:rsid w:val="008E5D00"/>
    <w:rsid w:val="008E5D5A"/>
    <w:rsid w:val="008E5D79"/>
    <w:rsid w:val="008E5D86"/>
    <w:rsid w:val="008E5E5F"/>
    <w:rsid w:val="008E5E8A"/>
    <w:rsid w:val="008E5EC4"/>
    <w:rsid w:val="008E5EF0"/>
    <w:rsid w:val="008E5F54"/>
    <w:rsid w:val="008E5F90"/>
    <w:rsid w:val="008E5F99"/>
    <w:rsid w:val="008E5FA0"/>
    <w:rsid w:val="008E6043"/>
    <w:rsid w:val="008E6086"/>
    <w:rsid w:val="008E60A8"/>
    <w:rsid w:val="008E6157"/>
    <w:rsid w:val="008E6186"/>
    <w:rsid w:val="008E61E4"/>
    <w:rsid w:val="008E621B"/>
    <w:rsid w:val="008E6227"/>
    <w:rsid w:val="008E6277"/>
    <w:rsid w:val="008E62AE"/>
    <w:rsid w:val="008E6314"/>
    <w:rsid w:val="008E632E"/>
    <w:rsid w:val="008E634A"/>
    <w:rsid w:val="008E6392"/>
    <w:rsid w:val="008E6399"/>
    <w:rsid w:val="008E64CD"/>
    <w:rsid w:val="008E64E2"/>
    <w:rsid w:val="008E64F9"/>
    <w:rsid w:val="008E65BB"/>
    <w:rsid w:val="008E65C2"/>
    <w:rsid w:val="008E6618"/>
    <w:rsid w:val="008E665E"/>
    <w:rsid w:val="008E6753"/>
    <w:rsid w:val="008E67AA"/>
    <w:rsid w:val="008E67FB"/>
    <w:rsid w:val="008E6855"/>
    <w:rsid w:val="008E6876"/>
    <w:rsid w:val="008E687D"/>
    <w:rsid w:val="008E689B"/>
    <w:rsid w:val="008E68C5"/>
    <w:rsid w:val="008E692B"/>
    <w:rsid w:val="008E6964"/>
    <w:rsid w:val="008E697C"/>
    <w:rsid w:val="008E6994"/>
    <w:rsid w:val="008E69BC"/>
    <w:rsid w:val="008E69C4"/>
    <w:rsid w:val="008E6A5B"/>
    <w:rsid w:val="008E6A5D"/>
    <w:rsid w:val="008E6A80"/>
    <w:rsid w:val="008E6AB7"/>
    <w:rsid w:val="008E6AD2"/>
    <w:rsid w:val="008E6AEA"/>
    <w:rsid w:val="008E6B02"/>
    <w:rsid w:val="008E6BA3"/>
    <w:rsid w:val="008E6BD2"/>
    <w:rsid w:val="008E6C0F"/>
    <w:rsid w:val="008E6C2F"/>
    <w:rsid w:val="008E6C94"/>
    <w:rsid w:val="008E6CCF"/>
    <w:rsid w:val="008E6D09"/>
    <w:rsid w:val="008E6D6F"/>
    <w:rsid w:val="008E6D96"/>
    <w:rsid w:val="008E6E1E"/>
    <w:rsid w:val="008E6E3F"/>
    <w:rsid w:val="008E6EB7"/>
    <w:rsid w:val="008E6F09"/>
    <w:rsid w:val="008E6F2E"/>
    <w:rsid w:val="008E6FE8"/>
    <w:rsid w:val="008E6FEF"/>
    <w:rsid w:val="008E6FF4"/>
    <w:rsid w:val="008E6FF9"/>
    <w:rsid w:val="008E6FFE"/>
    <w:rsid w:val="008E701C"/>
    <w:rsid w:val="008E703B"/>
    <w:rsid w:val="008E708A"/>
    <w:rsid w:val="008E7095"/>
    <w:rsid w:val="008E709F"/>
    <w:rsid w:val="008E70A1"/>
    <w:rsid w:val="008E70A7"/>
    <w:rsid w:val="008E70C9"/>
    <w:rsid w:val="008E70D7"/>
    <w:rsid w:val="008E7114"/>
    <w:rsid w:val="008E71B1"/>
    <w:rsid w:val="008E7234"/>
    <w:rsid w:val="008E7297"/>
    <w:rsid w:val="008E72FA"/>
    <w:rsid w:val="008E73B9"/>
    <w:rsid w:val="008E7424"/>
    <w:rsid w:val="008E7446"/>
    <w:rsid w:val="008E7451"/>
    <w:rsid w:val="008E7470"/>
    <w:rsid w:val="008E7490"/>
    <w:rsid w:val="008E74B0"/>
    <w:rsid w:val="008E74F8"/>
    <w:rsid w:val="008E751A"/>
    <w:rsid w:val="008E751B"/>
    <w:rsid w:val="008E7529"/>
    <w:rsid w:val="008E7562"/>
    <w:rsid w:val="008E75B3"/>
    <w:rsid w:val="008E761B"/>
    <w:rsid w:val="008E7646"/>
    <w:rsid w:val="008E7698"/>
    <w:rsid w:val="008E76C0"/>
    <w:rsid w:val="008E76C6"/>
    <w:rsid w:val="008E777E"/>
    <w:rsid w:val="008E7790"/>
    <w:rsid w:val="008E77AF"/>
    <w:rsid w:val="008E77E5"/>
    <w:rsid w:val="008E78DA"/>
    <w:rsid w:val="008E792C"/>
    <w:rsid w:val="008E793A"/>
    <w:rsid w:val="008E797D"/>
    <w:rsid w:val="008E79C2"/>
    <w:rsid w:val="008E79C9"/>
    <w:rsid w:val="008E7A64"/>
    <w:rsid w:val="008E7AAA"/>
    <w:rsid w:val="008E7B20"/>
    <w:rsid w:val="008E7B86"/>
    <w:rsid w:val="008E7BAB"/>
    <w:rsid w:val="008E7BBA"/>
    <w:rsid w:val="008E7BC8"/>
    <w:rsid w:val="008E7D30"/>
    <w:rsid w:val="008E7DB2"/>
    <w:rsid w:val="008E7DCB"/>
    <w:rsid w:val="008E7DD3"/>
    <w:rsid w:val="008E7E27"/>
    <w:rsid w:val="008E7E2A"/>
    <w:rsid w:val="008E7E33"/>
    <w:rsid w:val="008E7E4B"/>
    <w:rsid w:val="008E7E5A"/>
    <w:rsid w:val="008E7E64"/>
    <w:rsid w:val="008E7E79"/>
    <w:rsid w:val="008E7E89"/>
    <w:rsid w:val="008E7EB6"/>
    <w:rsid w:val="008E7EBA"/>
    <w:rsid w:val="008E7F71"/>
    <w:rsid w:val="008E7FA3"/>
    <w:rsid w:val="008E7FBE"/>
    <w:rsid w:val="008F0050"/>
    <w:rsid w:val="008F007F"/>
    <w:rsid w:val="008F00A0"/>
    <w:rsid w:val="008F0101"/>
    <w:rsid w:val="008F014C"/>
    <w:rsid w:val="008F0169"/>
    <w:rsid w:val="008F0172"/>
    <w:rsid w:val="008F0246"/>
    <w:rsid w:val="008F02B6"/>
    <w:rsid w:val="008F02C6"/>
    <w:rsid w:val="008F02D8"/>
    <w:rsid w:val="008F033D"/>
    <w:rsid w:val="008F034A"/>
    <w:rsid w:val="008F038D"/>
    <w:rsid w:val="008F03D6"/>
    <w:rsid w:val="008F03ED"/>
    <w:rsid w:val="008F03EF"/>
    <w:rsid w:val="008F0463"/>
    <w:rsid w:val="008F0482"/>
    <w:rsid w:val="008F048B"/>
    <w:rsid w:val="008F05E6"/>
    <w:rsid w:val="008F05EA"/>
    <w:rsid w:val="008F060D"/>
    <w:rsid w:val="008F0659"/>
    <w:rsid w:val="008F0695"/>
    <w:rsid w:val="008F06EF"/>
    <w:rsid w:val="008F06F1"/>
    <w:rsid w:val="008F06FF"/>
    <w:rsid w:val="008F0705"/>
    <w:rsid w:val="008F07BB"/>
    <w:rsid w:val="008F07BE"/>
    <w:rsid w:val="008F08AA"/>
    <w:rsid w:val="008F0910"/>
    <w:rsid w:val="008F0911"/>
    <w:rsid w:val="008F0919"/>
    <w:rsid w:val="008F092A"/>
    <w:rsid w:val="008F0970"/>
    <w:rsid w:val="008F09BB"/>
    <w:rsid w:val="008F09C4"/>
    <w:rsid w:val="008F0A0F"/>
    <w:rsid w:val="008F0B0B"/>
    <w:rsid w:val="008F0B19"/>
    <w:rsid w:val="008F0B9F"/>
    <w:rsid w:val="008F0BA9"/>
    <w:rsid w:val="008F0BBA"/>
    <w:rsid w:val="008F0CA6"/>
    <w:rsid w:val="008F0CDA"/>
    <w:rsid w:val="008F0D16"/>
    <w:rsid w:val="008F0D62"/>
    <w:rsid w:val="008F0D98"/>
    <w:rsid w:val="008F0D9D"/>
    <w:rsid w:val="008F0DBC"/>
    <w:rsid w:val="008F0DD1"/>
    <w:rsid w:val="008F0DF9"/>
    <w:rsid w:val="008F0E1C"/>
    <w:rsid w:val="008F0E34"/>
    <w:rsid w:val="008F0EA0"/>
    <w:rsid w:val="008F0FA5"/>
    <w:rsid w:val="008F103A"/>
    <w:rsid w:val="008F10A3"/>
    <w:rsid w:val="008F10BB"/>
    <w:rsid w:val="008F1151"/>
    <w:rsid w:val="008F116C"/>
    <w:rsid w:val="008F11A5"/>
    <w:rsid w:val="008F11CB"/>
    <w:rsid w:val="008F11D2"/>
    <w:rsid w:val="008F11E0"/>
    <w:rsid w:val="008F1201"/>
    <w:rsid w:val="008F124E"/>
    <w:rsid w:val="008F126D"/>
    <w:rsid w:val="008F1330"/>
    <w:rsid w:val="008F13F1"/>
    <w:rsid w:val="008F146E"/>
    <w:rsid w:val="008F1511"/>
    <w:rsid w:val="008F1533"/>
    <w:rsid w:val="008F1596"/>
    <w:rsid w:val="008F15DB"/>
    <w:rsid w:val="008F1684"/>
    <w:rsid w:val="008F16DB"/>
    <w:rsid w:val="008F16FE"/>
    <w:rsid w:val="008F1722"/>
    <w:rsid w:val="008F17E9"/>
    <w:rsid w:val="008F1811"/>
    <w:rsid w:val="008F185A"/>
    <w:rsid w:val="008F188F"/>
    <w:rsid w:val="008F189C"/>
    <w:rsid w:val="008F18D7"/>
    <w:rsid w:val="008F18F3"/>
    <w:rsid w:val="008F192E"/>
    <w:rsid w:val="008F1944"/>
    <w:rsid w:val="008F1957"/>
    <w:rsid w:val="008F196C"/>
    <w:rsid w:val="008F1992"/>
    <w:rsid w:val="008F1A07"/>
    <w:rsid w:val="008F1AA7"/>
    <w:rsid w:val="008F1AAC"/>
    <w:rsid w:val="008F1B55"/>
    <w:rsid w:val="008F1BBA"/>
    <w:rsid w:val="008F1BCB"/>
    <w:rsid w:val="008F1C69"/>
    <w:rsid w:val="008F1C7F"/>
    <w:rsid w:val="008F1CAD"/>
    <w:rsid w:val="008F1CC6"/>
    <w:rsid w:val="008F1CD0"/>
    <w:rsid w:val="008F1CFA"/>
    <w:rsid w:val="008F1CFF"/>
    <w:rsid w:val="008F1D03"/>
    <w:rsid w:val="008F1D2A"/>
    <w:rsid w:val="008F1D34"/>
    <w:rsid w:val="008F1D68"/>
    <w:rsid w:val="008F1D7B"/>
    <w:rsid w:val="008F1DA1"/>
    <w:rsid w:val="008F1E4B"/>
    <w:rsid w:val="008F1E63"/>
    <w:rsid w:val="008F1EA9"/>
    <w:rsid w:val="008F1EAC"/>
    <w:rsid w:val="008F1EC6"/>
    <w:rsid w:val="008F1EFB"/>
    <w:rsid w:val="008F1F43"/>
    <w:rsid w:val="008F1F80"/>
    <w:rsid w:val="008F1FD6"/>
    <w:rsid w:val="008F1FE9"/>
    <w:rsid w:val="008F207C"/>
    <w:rsid w:val="008F20B0"/>
    <w:rsid w:val="008F20CD"/>
    <w:rsid w:val="008F20F2"/>
    <w:rsid w:val="008F210F"/>
    <w:rsid w:val="008F2150"/>
    <w:rsid w:val="008F217B"/>
    <w:rsid w:val="008F21F7"/>
    <w:rsid w:val="008F224B"/>
    <w:rsid w:val="008F224D"/>
    <w:rsid w:val="008F22E0"/>
    <w:rsid w:val="008F2339"/>
    <w:rsid w:val="008F234A"/>
    <w:rsid w:val="008F236A"/>
    <w:rsid w:val="008F23C4"/>
    <w:rsid w:val="008F252A"/>
    <w:rsid w:val="008F25C3"/>
    <w:rsid w:val="008F25C8"/>
    <w:rsid w:val="008F269F"/>
    <w:rsid w:val="008F26AB"/>
    <w:rsid w:val="008F26E3"/>
    <w:rsid w:val="008F2724"/>
    <w:rsid w:val="008F277A"/>
    <w:rsid w:val="008F27B8"/>
    <w:rsid w:val="008F27EB"/>
    <w:rsid w:val="008F27F1"/>
    <w:rsid w:val="008F28FD"/>
    <w:rsid w:val="008F294D"/>
    <w:rsid w:val="008F2962"/>
    <w:rsid w:val="008F29D9"/>
    <w:rsid w:val="008F2A08"/>
    <w:rsid w:val="008F2A80"/>
    <w:rsid w:val="008F2AE9"/>
    <w:rsid w:val="008F2B13"/>
    <w:rsid w:val="008F2B17"/>
    <w:rsid w:val="008F2B58"/>
    <w:rsid w:val="008F2B6E"/>
    <w:rsid w:val="008F2BA4"/>
    <w:rsid w:val="008F2BC6"/>
    <w:rsid w:val="008F2CF9"/>
    <w:rsid w:val="008F2D2F"/>
    <w:rsid w:val="008F2D7F"/>
    <w:rsid w:val="008F2D91"/>
    <w:rsid w:val="008F2DFD"/>
    <w:rsid w:val="008F2EF6"/>
    <w:rsid w:val="008F2F14"/>
    <w:rsid w:val="008F2F57"/>
    <w:rsid w:val="008F2F5E"/>
    <w:rsid w:val="008F2F61"/>
    <w:rsid w:val="008F2FE8"/>
    <w:rsid w:val="008F3030"/>
    <w:rsid w:val="008F3040"/>
    <w:rsid w:val="008F305B"/>
    <w:rsid w:val="008F314D"/>
    <w:rsid w:val="008F3152"/>
    <w:rsid w:val="008F3167"/>
    <w:rsid w:val="008F31EE"/>
    <w:rsid w:val="008F3211"/>
    <w:rsid w:val="008F326A"/>
    <w:rsid w:val="008F32F8"/>
    <w:rsid w:val="008F3392"/>
    <w:rsid w:val="008F3416"/>
    <w:rsid w:val="008F344B"/>
    <w:rsid w:val="008F346C"/>
    <w:rsid w:val="008F346F"/>
    <w:rsid w:val="008F34AC"/>
    <w:rsid w:val="008F34CF"/>
    <w:rsid w:val="008F34DC"/>
    <w:rsid w:val="008F34F4"/>
    <w:rsid w:val="008F3575"/>
    <w:rsid w:val="008F35B3"/>
    <w:rsid w:val="008F35C1"/>
    <w:rsid w:val="008F35D6"/>
    <w:rsid w:val="008F360E"/>
    <w:rsid w:val="008F360F"/>
    <w:rsid w:val="008F36A3"/>
    <w:rsid w:val="008F36C5"/>
    <w:rsid w:val="008F36E3"/>
    <w:rsid w:val="008F36ED"/>
    <w:rsid w:val="008F3732"/>
    <w:rsid w:val="008F3798"/>
    <w:rsid w:val="008F37B7"/>
    <w:rsid w:val="008F37CB"/>
    <w:rsid w:val="008F383E"/>
    <w:rsid w:val="008F389F"/>
    <w:rsid w:val="008F38B5"/>
    <w:rsid w:val="008F39B9"/>
    <w:rsid w:val="008F3B48"/>
    <w:rsid w:val="008F3B49"/>
    <w:rsid w:val="008F3B78"/>
    <w:rsid w:val="008F3B8C"/>
    <w:rsid w:val="008F3BD8"/>
    <w:rsid w:val="008F3BEC"/>
    <w:rsid w:val="008F3C1D"/>
    <w:rsid w:val="008F3CDE"/>
    <w:rsid w:val="008F3CE0"/>
    <w:rsid w:val="008F3CEB"/>
    <w:rsid w:val="008F3D0C"/>
    <w:rsid w:val="008F3D26"/>
    <w:rsid w:val="008F3D9A"/>
    <w:rsid w:val="008F3E30"/>
    <w:rsid w:val="008F3E6F"/>
    <w:rsid w:val="008F3EF3"/>
    <w:rsid w:val="008F3EFB"/>
    <w:rsid w:val="008F3F4E"/>
    <w:rsid w:val="008F3F97"/>
    <w:rsid w:val="008F4012"/>
    <w:rsid w:val="008F4076"/>
    <w:rsid w:val="008F4078"/>
    <w:rsid w:val="008F40AF"/>
    <w:rsid w:val="008F40F4"/>
    <w:rsid w:val="008F41BF"/>
    <w:rsid w:val="008F4205"/>
    <w:rsid w:val="008F420A"/>
    <w:rsid w:val="008F421D"/>
    <w:rsid w:val="008F4244"/>
    <w:rsid w:val="008F42E5"/>
    <w:rsid w:val="008F4304"/>
    <w:rsid w:val="008F431C"/>
    <w:rsid w:val="008F4322"/>
    <w:rsid w:val="008F43DB"/>
    <w:rsid w:val="008F43E9"/>
    <w:rsid w:val="008F4411"/>
    <w:rsid w:val="008F44A9"/>
    <w:rsid w:val="008F4534"/>
    <w:rsid w:val="008F4553"/>
    <w:rsid w:val="008F4555"/>
    <w:rsid w:val="008F455E"/>
    <w:rsid w:val="008F4577"/>
    <w:rsid w:val="008F4596"/>
    <w:rsid w:val="008F45AB"/>
    <w:rsid w:val="008F45B7"/>
    <w:rsid w:val="008F45FD"/>
    <w:rsid w:val="008F4608"/>
    <w:rsid w:val="008F463D"/>
    <w:rsid w:val="008F46C7"/>
    <w:rsid w:val="008F4703"/>
    <w:rsid w:val="008F471A"/>
    <w:rsid w:val="008F4730"/>
    <w:rsid w:val="008F4757"/>
    <w:rsid w:val="008F47B5"/>
    <w:rsid w:val="008F47D2"/>
    <w:rsid w:val="008F47D4"/>
    <w:rsid w:val="008F47E4"/>
    <w:rsid w:val="008F4804"/>
    <w:rsid w:val="008F4894"/>
    <w:rsid w:val="008F48A4"/>
    <w:rsid w:val="008F48C2"/>
    <w:rsid w:val="008F48C5"/>
    <w:rsid w:val="008F48FD"/>
    <w:rsid w:val="008F4977"/>
    <w:rsid w:val="008F49CE"/>
    <w:rsid w:val="008F4A33"/>
    <w:rsid w:val="008F4A46"/>
    <w:rsid w:val="008F4A92"/>
    <w:rsid w:val="008F4A9F"/>
    <w:rsid w:val="008F4B2B"/>
    <w:rsid w:val="008F4B48"/>
    <w:rsid w:val="008F4B68"/>
    <w:rsid w:val="008F4B81"/>
    <w:rsid w:val="008F4B91"/>
    <w:rsid w:val="008F4CB6"/>
    <w:rsid w:val="008F4CC9"/>
    <w:rsid w:val="008F4D2D"/>
    <w:rsid w:val="008F4D3A"/>
    <w:rsid w:val="008F4D73"/>
    <w:rsid w:val="008F4D79"/>
    <w:rsid w:val="008F4D9F"/>
    <w:rsid w:val="008F4DC4"/>
    <w:rsid w:val="008F4DD3"/>
    <w:rsid w:val="008F4DD4"/>
    <w:rsid w:val="008F4DE1"/>
    <w:rsid w:val="008F4DF8"/>
    <w:rsid w:val="008F4DFA"/>
    <w:rsid w:val="008F4E42"/>
    <w:rsid w:val="008F4E97"/>
    <w:rsid w:val="008F4EF8"/>
    <w:rsid w:val="008F4F17"/>
    <w:rsid w:val="008F4F27"/>
    <w:rsid w:val="008F4F68"/>
    <w:rsid w:val="008F4FAE"/>
    <w:rsid w:val="008F4FBA"/>
    <w:rsid w:val="008F4FEF"/>
    <w:rsid w:val="008F5029"/>
    <w:rsid w:val="008F506F"/>
    <w:rsid w:val="008F50B6"/>
    <w:rsid w:val="008F512C"/>
    <w:rsid w:val="008F515A"/>
    <w:rsid w:val="008F5210"/>
    <w:rsid w:val="008F5229"/>
    <w:rsid w:val="008F522C"/>
    <w:rsid w:val="008F5299"/>
    <w:rsid w:val="008F52B7"/>
    <w:rsid w:val="008F537D"/>
    <w:rsid w:val="008F5399"/>
    <w:rsid w:val="008F53AF"/>
    <w:rsid w:val="008F541F"/>
    <w:rsid w:val="008F547E"/>
    <w:rsid w:val="008F54B6"/>
    <w:rsid w:val="008F54D9"/>
    <w:rsid w:val="008F5548"/>
    <w:rsid w:val="008F5551"/>
    <w:rsid w:val="008F5558"/>
    <w:rsid w:val="008F55F0"/>
    <w:rsid w:val="008F5615"/>
    <w:rsid w:val="008F5669"/>
    <w:rsid w:val="008F566C"/>
    <w:rsid w:val="008F56C7"/>
    <w:rsid w:val="008F56D5"/>
    <w:rsid w:val="008F5704"/>
    <w:rsid w:val="008F5723"/>
    <w:rsid w:val="008F5753"/>
    <w:rsid w:val="008F575A"/>
    <w:rsid w:val="008F5833"/>
    <w:rsid w:val="008F5864"/>
    <w:rsid w:val="008F5873"/>
    <w:rsid w:val="008F58BD"/>
    <w:rsid w:val="008F58CC"/>
    <w:rsid w:val="008F5A36"/>
    <w:rsid w:val="008F5A72"/>
    <w:rsid w:val="008F5A95"/>
    <w:rsid w:val="008F5AD8"/>
    <w:rsid w:val="008F5B36"/>
    <w:rsid w:val="008F5B49"/>
    <w:rsid w:val="008F5B68"/>
    <w:rsid w:val="008F5B71"/>
    <w:rsid w:val="008F5B77"/>
    <w:rsid w:val="008F5BF4"/>
    <w:rsid w:val="008F5C4D"/>
    <w:rsid w:val="008F5C66"/>
    <w:rsid w:val="008F5C75"/>
    <w:rsid w:val="008F5C85"/>
    <w:rsid w:val="008F5CA8"/>
    <w:rsid w:val="008F5D0D"/>
    <w:rsid w:val="008F5D5A"/>
    <w:rsid w:val="008F5DA8"/>
    <w:rsid w:val="008F5DE3"/>
    <w:rsid w:val="008F5DEF"/>
    <w:rsid w:val="008F5DF2"/>
    <w:rsid w:val="008F5E20"/>
    <w:rsid w:val="008F5E65"/>
    <w:rsid w:val="008F5E82"/>
    <w:rsid w:val="008F5EC8"/>
    <w:rsid w:val="008F5EDB"/>
    <w:rsid w:val="008F5F21"/>
    <w:rsid w:val="008F5F54"/>
    <w:rsid w:val="008F5F66"/>
    <w:rsid w:val="008F5F69"/>
    <w:rsid w:val="008F5F84"/>
    <w:rsid w:val="008F5F98"/>
    <w:rsid w:val="008F5FC1"/>
    <w:rsid w:val="008F5FE0"/>
    <w:rsid w:val="008F604D"/>
    <w:rsid w:val="008F6090"/>
    <w:rsid w:val="008F60DC"/>
    <w:rsid w:val="008F6139"/>
    <w:rsid w:val="008F6158"/>
    <w:rsid w:val="008F61AC"/>
    <w:rsid w:val="008F61FF"/>
    <w:rsid w:val="008F6248"/>
    <w:rsid w:val="008F62FB"/>
    <w:rsid w:val="008F6311"/>
    <w:rsid w:val="008F6313"/>
    <w:rsid w:val="008F6402"/>
    <w:rsid w:val="008F640D"/>
    <w:rsid w:val="008F642B"/>
    <w:rsid w:val="008F645B"/>
    <w:rsid w:val="008F6473"/>
    <w:rsid w:val="008F647D"/>
    <w:rsid w:val="008F6480"/>
    <w:rsid w:val="008F649B"/>
    <w:rsid w:val="008F64D8"/>
    <w:rsid w:val="008F650C"/>
    <w:rsid w:val="008F65A9"/>
    <w:rsid w:val="008F65CB"/>
    <w:rsid w:val="008F65EE"/>
    <w:rsid w:val="008F6615"/>
    <w:rsid w:val="008F6629"/>
    <w:rsid w:val="008F669D"/>
    <w:rsid w:val="008F66A1"/>
    <w:rsid w:val="008F66AF"/>
    <w:rsid w:val="008F66EE"/>
    <w:rsid w:val="008F66F2"/>
    <w:rsid w:val="008F6849"/>
    <w:rsid w:val="008F68C8"/>
    <w:rsid w:val="008F68CD"/>
    <w:rsid w:val="008F6902"/>
    <w:rsid w:val="008F690C"/>
    <w:rsid w:val="008F694E"/>
    <w:rsid w:val="008F69CF"/>
    <w:rsid w:val="008F6A0D"/>
    <w:rsid w:val="008F6A48"/>
    <w:rsid w:val="008F6B03"/>
    <w:rsid w:val="008F6B41"/>
    <w:rsid w:val="008F6B6F"/>
    <w:rsid w:val="008F6B9D"/>
    <w:rsid w:val="008F6BCB"/>
    <w:rsid w:val="008F6BD4"/>
    <w:rsid w:val="008F6C60"/>
    <w:rsid w:val="008F6C92"/>
    <w:rsid w:val="008F6D12"/>
    <w:rsid w:val="008F6D86"/>
    <w:rsid w:val="008F6E3A"/>
    <w:rsid w:val="008F6E9E"/>
    <w:rsid w:val="008F6EEB"/>
    <w:rsid w:val="008F6F01"/>
    <w:rsid w:val="008F6F7A"/>
    <w:rsid w:val="008F6FCF"/>
    <w:rsid w:val="008F6FEF"/>
    <w:rsid w:val="008F700F"/>
    <w:rsid w:val="008F7020"/>
    <w:rsid w:val="008F702A"/>
    <w:rsid w:val="008F70D2"/>
    <w:rsid w:val="008F70DD"/>
    <w:rsid w:val="008F7110"/>
    <w:rsid w:val="008F711E"/>
    <w:rsid w:val="008F713F"/>
    <w:rsid w:val="008F718F"/>
    <w:rsid w:val="008F71C9"/>
    <w:rsid w:val="008F7201"/>
    <w:rsid w:val="008F723F"/>
    <w:rsid w:val="008F728C"/>
    <w:rsid w:val="008F72CF"/>
    <w:rsid w:val="008F7390"/>
    <w:rsid w:val="008F747E"/>
    <w:rsid w:val="008F74A3"/>
    <w:rsid w:val="008F74F0"/>
    <w:rsid w:val="008F751F"/>
    <w:rsid w:val="008F75E7"/>
    <w:rsid w:val="008F7641"/>
    <w:rsid w:val="008F764D"/>
    <w:rsid w:val="008F768B"/>
    <w:rsid w:val="008F7693"/>
    <w:rsid w:val="008F76AA"/>
    <w:rsid w:val="008F770E"/>
    <w:rsid w:val="008F7730"/>
    <w:rsid w:val="008F7747"/>
    <w:rsid w:val="008F7749"/>
    <w:rsid w:val="008F77B6"/>
    <w:rsid w:val="008F77DB"/>
    <w:rsid w:val="008F77DE"/>
    <w:rsid w:val="008F7825"/>
    <w:rsid w:val="008F7832"/>
    <w:rsid w:val="008F78D4"/>
    <w:rsid w:val="008F78E8"/>
    <w:rsid w:val="008F7912"/>
    <w:rsid w:val="008F79AF"/>
    <w:rsid w:val="008F7A55"/>
    <w:rsid w:val="008F7A65"/>
    <w:rsid w:val="008F7A97"/>
    <w:rsid w:val="008F7B04"/>
    <w:rsid w:val="008F7B23"/>
    <w:rsid w:val="008F7B9E"/>
    <w:rsid w:val="008F7BB7"/>
    <w:rsid w:val="008F7BEA"/>
    <w:rsid w:val="008F7C67"/>
    <w:rsid w:val="008F7C9F"/>
    <w:rsid w:val="008F7CB6"/>
    <w:rsid w:val="008F7D88"/>
    <w:rsid w:val="008F7D99"/>
    <w:rsid w:val="008F7DFA"/>
    <w:rsid w:val="008F7E3F"/>
    <w:rsid w:val="008F7E4E"/>
    <w:rsid w:val="008F7E79"/>
    <w:rsid w:val="008F7EA8"/>
    <w:rsid w:val="008F7F14"/>
    <w:rsid w:val="008F7F3A"/>
    <w:rsid w:val="008F7F79"/>
    <w:rsid w:val="008F7F99"/>
    <w:rsid w:val="008F7FC7"/>
    <w:rsid w:val="00900034"/>
    <w:rsid w:val="00900065"/>
    <w:rsid w:val="00900077"/>
    <w:rsid w:val="0090008C"/>
    <w:rsid w:val="009000C7"/>
    <w:rsid w:val="009000CA"/>
    <w:rsid w:val="00900163"/>
    <w:rsid w:val="00900183"/>
    <w:rsid w:val="00900195"/>
    <w:rsid w:val="009001A7"/>
    <w:rsid w:val="009001AA"/>
    <w:rsid w:val="009001D8"/>
    <w:rsid w:val="009001ED"/>
    <w:rsid w:val="0090023E"/>
    <w:rsid w:val="00900245"/>
    <w:rsid w:val="0090029F"/>
    <w:rsid w:val="009002AD"/>
    <w:rsid w:val="009002E8"/>
    <w:rsid w:val="0090034F"/>
    <w:rsid w:val="00900389"/>
    <w:rsid w:val="00900392"/>
    <w:rsid w:val="009003D3"/>
    <w:rsid w:val="009003EF"/>
    <w:rsid w:val="00900459"/>
    <w:rsid w:val="009004AC"/>
    <w:rsid w:val="009004F2"/>
    <w:rsid w:val="0090053C"/>
    <w:rsid w:val="0090055A"/>
    <w:rsid w:val="009005A2"/>
    <w:rsid w:val="009005D4"/>
    <w:rsid w:val="009005F7"/>
    <w:rsid w:val="009005F9"/>
    <w:rsid w:val="00900659"/>
    <w:rsid w:val="009006C5"/>
    <w:rsid w:val="009006E1"/>
    <w:rsid w:val="00900718"/>
    <w:rsid w:val="0090075F"/>
    <w:rsid w:val="0090078D"/>
    <w:rsid w:val="009007C7"/>
    <w:rsid w:val="009007CB"/>
    <w:rsid w:val="009007E2"/>
    <w:rsid w:val="0090086C"/>
    <w:rsid w:val="00900915"/>
    <w:rsid w:val="0090092E"/>
    <w:rsid w:val="00900950"/>
    <w:rsid w:val="0090099E"/>
    <w:rsid w:val="009009C7"/>
    <w:rsid w:val="009009FF"/>
    <w:rsid w:val="00900A35"/>
    <w:rsid w:val="00900AA5"/>
    <w:rsid w:val="00900ACC"/>
    <w:rsid w:val="00900B19"/>
    <w:rsid w:val="00900B68"/>
    <w:rsid w:val="00900B6E"/>
    <w:rsid w:val="00900B7B"/>
    <w:rsid w:val="00900C05"/>
    <w:rsid w:val="00900C2A"/>
    <w:rsid w:val="00900C34"/>
    <w:rsid w:val="00900C45"/>
    <w:rsid w:val="00900CC7"/>
    <w:rsid w:val="00900CF0"/>
    <w:rsid w:val="00900E3B"/>
    <w:rsid w:val="00900E5C"/>
    <w:rsid w:val="00900F46"/>
    <w:rsid w:val="00900F73"/>
    <w:rsid w:val="00900FE3"/>
    <w:rsid w:val="0090104D"/>
    <w:rsid w:val="00901162"/>
    <w:rsid w:val="0090119C"/>
    <w:rsid w:val="009011AF"/>
    <w:rsid w:val="009011D2"/>
    <w:rsid w:val="009011D5"/>
    <w:rsid w:val="00901252"/>
    <w:rsid w:val="009012A3"/>
    <w:rsid w:val="009012A8"/>
    <w:rsid w:val="009012ED"/>
    <w:rsid w:val="0090134C"/>
    <w:rsid w:val="00901375"/>
    <w:rsid w:val="00901409"/>
    <w:rsid w:val="0090140C"/>
    <w:rsid w:val="0090141E"/>
    <w:rsid w:val="0090143C"/>
    <w:rsid w:val="0090153F"/>
    <w:rsid w:val="0090154E"/>
    <w:rsid w:val="00901567"/>
    <w:rsid w:val="009015A7"/>
    <w:rsid w:val="009015B0"/>
    <w:rsid w:val="0090161A"/>
    <w:rsid w:val="00901625"/>
    <w:rsid w:val="0090166B"/>
    <w:rsid w:val="009016B4"/>
    <w:rsid w:val="009016D7"/>
    <w:rsid w:val="00901720"/>
    <w:rsid w:val="0090176A"/>
    <w:rsid w:val="00901790"/>
    <w:rsid w:val="00901802"/>
    <w:rsid w:val="00901880"/>
    <w:rsid w:val="009018DE"/>
    <w:rsid w:val="009018F9"/>
    <w:rsid w:val="00901906"/>
    <w:rsid w:val="00901937"/>
    <w:rsid w:val="00901976"/>
    <w:rsid w:val="009019A6"/>
    <w:rsid w:val="00901A1E"/>
    <w:rsid w:val="00901A62"/>
    <w:rsid w:val="00901AB5"/>
    <w:rsid w:val="00901AD1"/>
    <w:rsid w:val="00901B37"/>
    <w:rsid w:val="00901B50"/>
    <w:rsid w:val="00901B93"/>
    <w:rsid w:val="00901BAC"/>
    <w:rsid w:val="00901BB5"/>
    <w:rsid w:val="00901C2F"/>
    <w:rsid w:val="00901C36"/>
    <w:rsid w:val="00901C5F"/>
    <w:rsid w:val="00901C75"/>
    <w:rsid w:val="00901C7F"/>
    <w:rsid w:val="00901D0E"/>
    <w:rsid w:val="00901D1A"/>
    <w:rsid w:val="00901D22"/>
    <w:rsid w:val="00901D39"/>
    <w:rsid w:val="00901D9D"/>
    <w:rsid w:val="00901DB3"/>
    <w:rsid w:val="00901DCF"/>
    <w:rsid w:val="00901DD0"/>
    <w:rsid w:val="00901E1F"/>
    <w:rsid w:val="00901E33"/>
    <w:rsid w:val="00901E4D"/>
    <w:rsid w:val="00901E59"/>
    <w:rsid w:val="00901FAA"/>
    <w:rsid w:val="00901FCC"/>
    <w:rsid w:val="00901FFB"/>
    <w:rsid w:val="009020C3"/>
    <w:rsid w:val="009021CE"/>
    <w:rsid w:val="009021FF"/>
    <w:rsid w:val="0090225D"/>
    <w:rsid w:val="00902275"/>
    <w:rsid w:val="009022EF"/>
    <w:rsid w:val="0090230C"/>
    <w:rsid w:val="00902323"/>
    <w:rsid w:val="0090238F"/>
    <w:rsid w:val="00902422"/>
    <w:rsid w:val="00902446"/>
    <w:rsid w:val="009024C5"/>
    <w:rsid w:val="009024C7"/>
    <w:rsid w:val="009024DB"/>
    <w:rsid w:val="00902584"/>
    <w:rsid w:val="009025FE"/>
    <w:rsid w:val="00902615"/>
    <w:rsid w:val="00902638"/>
    <w:rsid w:val="009026A3"/>
    <w:rsid w:val="00902712"/>
    <w:rsid w:val="0090272C"/>
    <w:rsid w:val="00902763"/>
    <w:rsid w:val="009027DC"/>
    <w:rsid w:val="00902848"/>
    <w:rsid w:val="00902849"/>
    <w:rsid w:val="00902866"/>
    <w:rsid w:val="0090288C"/>
    <w:rsid w:val="009028B0"/>
    <w:rsid w:val="009028C1"/>
    <w:rsid w:val="009028F6"/>
    <w:rsid w:val="009029B9"/>
    <w:rsid w:val="00902A2C"/>
    <w:rsid w:val="00902A5B"/>
    <w:rsid w:val="00902A96"/>
    <w:rsid w:val="00902AA7"/>
    <w:rsid w:val="00902ABF"/>
    <w:rsid w:val="00902B1F"/>
    <w:rsid w:val="00902B35"/>
    <w:rsid w:val="00902B46"/>
    <w:rsid w:val="00902BC6"/>
    <w:rsid w:val="00902C25"/>
    <w:rsid w:val="00902C51"/>
    <w:rsid w:val="00902C97"/>
    <w:rsid w:val="00902D07"/>
    <w:rsid w:val="00902D90"/>
    <w:rsid w:val="00902DC6"/>
    <w:rsid w:val="00902E05"/>
    <w:rsid w:val="00902E1E"/>
    <w:rsid w:val="00902E2F"/>
    <w:rsid w:val="00902E58"/>
    <w:rsid w:val="00902EC5"/>
    <w:rsid w:val="00902F54"/>
    <w:rsid w:val="00902FA9"/>
    <w:rsid w:val="00902FD6"/>
    <w:rsid w:val="00903010"/>
    <w:rsid w:val="00903048"/>
    <w:rsid w:val="00903062"/>
    <w:rsid w:val="009030CD"/>
    <w:rsid w:val="009031A1"/>
    <w:rsid w:val="009031AC"/>
    <w:rsid w:val="009031BA"/>
    <w:rsid w:val="009031D5"/>
    <w:rsid w:val="00903224"/>
    <w:rsid w:val="00903276"/>
    <w:rsid w:val="00903294"/>
    <w:rsid w:val="009032AF"/>
    <w:rsid w:val="00903333"/>
    <w:rsid w:val="009033CA"/>
    <w:rsid w:val="009033EC"/>
    <w:rsid w:val="009033F2"/>
    <w:rsid w:val="00903443"/>
    <w:rsid w:val="00903455"/>
    <w:rsid w:val="0090345A"/>
    <w:rsid w:val="00903468"/>
    <w:rsid w:val="00903495"/>
    <w:rsid w:val="00903498"/>
    <w:rsid w:val="009034AB"/>
    <w:rsid w:val="009034C4"/>
    <w:rsid w:val="00903559"/>
    <w:rsid w:val="0090359E"/>
    <w:rsid w:val="009035DF"/>
    <w:rsid w:val="00903610"/>
    <w:rsid w:val="0090363D"/>
    <w:rsid w:val="0090364D"/>
    <w:rsid w:val="00903722"/>
    <w:rsid w:val="00903737"/>
    <w:rsid w:val="00903765"/>
    <w:rsid w:val="009037EB"/>
    <w:rsid w:val="00903842"/>
    <w:rsid w:val="009038A3"/>
    <w:rsid w:val="009038AD"/>
    <w:rsid w:val="009038C2"/>
    <w:rsid w:val="0090391F"/>
    <w:rsid w:val="00903978"/>
    <w:rsid w:val="009039EA"/>
    <w:rsid w:val="00903A01"/>
    <w:rsid w:val="00903A58"/>
    <w:rsid w:val="00903AD1"/>
    <w:rsid w:val="00903B25"/>
    <w:rsid w:val="00903B50"/>
    <w:rsid w:val="00903B71"/>
    <w:rsid w:val="00903D27"/>
    <w:rsid w:val="00903D50"/>
    <w:rsid w:val="00903D71"/>
    <w:rsid w:val="00903EB0"/>
    <w:rsid w:val="00903F28"/>
    <w:rsid w:val="00903F2A"/>
    <w:rsid w:val="00903F5D"/>
    <w:rsid w:val="00903F7D"/>
    <w:rsid w:val="00903FBA"/>
    <w:rsid w:val="00903FF5"/>
    <w:rsid w:val="0090401F"/>
    <w:rsid w:val="009040BB"/>
    <w:rsid w:val="009040C3"/>
    <w:rsid w:val="00904161"/>
    <w:rsid w:val="00904181"/>
    <w:rsid w:val="00904222"/>
    <w:rsid w:val="0090423E"/>
    <w:rsid w:val="00904261"/>
    <w:rsid w:val="00904271"/>
    <w:rsid w:val="00904343"/>
    <w:rsid w:val="0090434C"/>
    <w:rsid w:val="0090438A"/>
    <w:rsid w:val="00904423"/>
    <w:rsid w:val="00904442"/>
    <w:rsid w:val="0090447E"/>
    <w:rsid w:val="009044DA"/>
    <w:rsid w:val="00904505"/>
    <w:rsid w:val="00904524"/>
    <w:rsid w:val="00904597"/>
    <w:rsid w:val="00904598"/>
    <w:rsid w:val="0090459F"/>
    <w:rsid w:val="009045F3"/>
    <w:rsid w:val="00904608"/>
    <w:rsid w:val="0090461E"/>
    <w:rsid w:val="00904650"/>
    <w:rsid w:val="009046D9"/>
    <w:rsid w:val="009047A8"/>
    <w:rsid w:val="009047D2"/>
    <w:rsid w:val="00904821"/>
    <w:rsid w:val="00904831"/>
    <w:rsid w:val="00904840"/>
    <w:rsid w:val="00904869"/>
    <w:rsid w:val="0090488E"/>
    <w:rsid w:val="009048C2"/>
    <w:rsid w:val="009048D0"/>
    <w:rsid w:val="00904962"/>
    <w:rsid w:val="00904A52"/>
    <w:rsid w:val="00904A62"/>
    <w:rsid w:val="00904A7A"/>
    <w:rsid w:val="00904A9A"/>
    <w:rsid w:val="00904AB1"/>
    <w:rsid w:val="00904ADE"/>
    <w:rsid w:val="00904AF4"/>
    <w:rsid w:val="00904B14"/>
    <w:rsid w:val="00904B20"/>
    <w:rsid w:val="00904B26"/>
    <w:rsid w:val="00904B35"/>
    <w:rsid w:val="00904B7E"/>
    <w:rsid w:val="00904B94"/>
    <w:rsid w:val="00904BB9"/>
    <w:rsid w:val="00904BF7"/>
    <w:rsid w:val="00904C00"/>
    <w:rsid w:val="00904C39"/>
    <w:rsid w:val="00904C69"/>
    <w:rsid w:val="00904CB6"/>
    <w:rsid w:val="00904CFB"/>
    <w:rsid w:val="00904D42"/>
    <w:rsid w:val="00904D5B"/>
    <w:rsid w:val="00904D87"/>
    <w:rsid w:val="00904D9E"/>
    <w:rsid w:val="00904DC1"/>
    <w:rsid w:val="00904E85"/>
    <w:rsid w:val="00904EE6"/>
    <w:rsid w:val="00904EF9"/>
    <w:rsid w:val="00904EFE"/>
    <w:rsid w:val="00904EFF"/>
    <w:rsid w:val="00904FCB"/>
    <w:rsid w:val="00904FE5"/>
    <w:rsid w:val="00905015"/>
    <w:rsid w:val="00905023"/>
    <w:rsid w:val="00905141"/>
    <w:rsid w:val="009051B4"/>
    <w:rsid w:val="009051F6"/>
    <w:rsid w:val="00905207"/>
    <w:rsid w:val="0090524A"/>
    <w:rsid w:val="00905266"/>
    <w:rsid w:val="00905271"/>
    <w:rsid w:val="00905277"/>
    <w:rsid w:val="0090530F"/>
    <w:rsid w:val="0090531B"/>
    <w:rsid w:val="009053D6"/>
    <w:rsid w:val="0090544E"/>
    <w:rsid w:val="0090548F"/>
    <w:rsid w:val="009054C2"/>
    <w:rsid w:val="009054E2"/>
    <w:rsid w:val="00905503"/>
    <w:rsid w:val="00905587"/>
    <w:rsid w:val="0090558B"/>
    <w:rsid w:val="009055B3"/>
    <w:rsid w:val="009055E6"/>
    <w:rsid w:val="00905617"/>
    <w:rsid w:val="0090567D"/>
    <w:rsid w:val="009056EB"/>
    <w:rsid w:val="009056ED"/>
    <w:rsid w:val="009056F4"/>
    <w:rsid w:val="00905715"/>
    <w:rsid w:val="00905730"/>
    <w:rsid w:val="00905772"/>
    <w:rsid w:val="00905797"/>
    <w:rsid w:val="009057AE"/>
    <w:rsid w:val="009057AF"/>
    <w:rsid w:val="0090581F"/>
    <w:rsid w:val="00905864"/>
    <w:rsid w:val="00905891"/>
    <w:rsid w:val="009058C2"/>
    <w:rsid w:val="009058E7"/>
    <w:rsid w:val="009058F7"/>
    <w:rsid w:val="00905904"/>
    <w:rsid w:val="00905925"/>
    <w:rsid w:val="0090592B"/>
    <w:rsid w:val="0090592C"/>
    <w:rsid w:val="00905946"/>
    <w:rsid w:val="00905999"/>
    <w:rsid w:val="0090599A"/>
    <w:rsid w:val="00905AB3"/>
    <w:rsid w:val="00905B0F"/>
    <w:rsid w:val="00905B30"/>
    <w:rsid w:val="00905B4A"/>
    <w:rsid w:val="00905B5B"/>
    <w:rsid w:val="00905B94"/>
    <w:rsid w:val="00905BAA"/>
    <w:rsid w:val="00905BC5"/>
    <w:rsid w:val="00905BDA"/>
    <w:rsid w:val="00905C57"/>
    <w:rsid w:val="00905C5E"/>
    <w:rsid w:val="00905C72"/>
    <w:rsid w:val="00905D56"/>
    <w:rsid w:val="00905DC4"/>
    <w:rsid w:val="00905E37"/>
    <w:rsid w:val="00905E7A"/>
    <w:rsid w:val="00905ED6"/>
    <w:rsid w:val="00905F17"/>
    <w:rsid w:val="00905F62"/>
    <w:rsid w:val="00906070"/>
    <w:rsid w:val="0090608A"/>
    <w:rsid w:val="009060D8"/>
    <w:rsid w:val="009060DB"/>
    <w:rsid w:val="009060E4"/>
    <w:rsid w:val="00906167"/>
    <w:rsid w:val="009061D6"/>
    <w:rsid w:val="009061FE"/>
    <w:rsid w:val="0090620B"/>
    <w:rsid w:val="0090620E"/>
    <w:rsid w:val="009062A6"/>
    <w:rsid w:val="009062D0"/>
    <w:rsid w:val="0090630E"/>
    <w:rsid w:val="00906350"/>
    <w:rsid w:val="00906357"/>
    <w:rsid w:val="009063E5"/>
    <w:rsid w:val="009063E7"/>
    <w:rsid w:val="009063FE"/>
    <w:rsid w:val="00906427"/>
    <w:rsid w:val="009064DD"/>
    <w:rsid w:val="00906522"/>
    <w:rsid w:val="0090656E"/>
    <w:rsid w:val="009065D8"/>
    <w:rsid w:val="00906662"/>
    <w:rsid w:val="00906679"/>
    <w:rsid w:val="00906688"/>
    <w:rsid w:val="0090674E"/>
    <w:rsid w:val="009068A2"/>
    <w:rsid w:val="009068B5"/>
    <w:rsid w:val="009068F0"/>
    <w:rsid w:val="009068F3"/>
    <w:rsid w:val="0090693E"/>
    <w:rsid w:val="00906959"/>
    <w:rsid w:val="0090698C"/>
    <w:rsid w:val="009069C7"/>
    <w:rsid w:val="009069E2"/>
    <w:rsid w:val="009069EC"/>
    <w:rsid w:val="00906A14"/>
    <w:rsid w:val="00906A38"/>
    <w:rsid w:val="00906ACB"/>
    <w:rsid w:val="00906B22"/>
    <w:rsid w:val="00906B27"/>
    <w:rsid w:val="00906B44"/>
    <w:rsid w:val="00906B63"/>
    <w:rsid w:val="00906B6B"/>
    <w:rsid w:val="00906B7E"/>
    <w:rsid w:val="00906B8F"/>
    <w:rsid w:val="00906BA2"/>
    <w:rsid w:val="00906BA8"/>
    <w:rsid w:val="00906BB6"/>
    <w:rsid w:val="00906BCA"/>
    <w:rsid w:val="00906C24"/>
    <w:rsid w:val="00906C61"/>
    <w:rsid w:val="00906C83"/>
    <w:rsid w:val="00906D12"/>
    <w:rsid w:val="00906D2C"/>
    <w:rsid w:val="00906D4D"/>
    <w:rsid w:val="00906D83"/>
    <w:rsid w:val="00906DB9"/>
    <w:rsid w:val="00906E13"/>
    <w:rsid w:val="00906E14"/>
    <w:rsid w:val="00906E30"/>
    <w:rsid w:val="00906ED2"/>
    <w:rsid w:val="00906EE5"/>
    <w:rsid w:val="00906F4A"/>
    <w:rsid w:val="00906F76"/>
    <w:rsid w:val="00906F7D"/>
    <w:rsid w:val="00906F96"/>
    <w:rsid w:val="00906FCE"/>
    <w:rsid w:val="00907039"/>
    <w:rsid w:val="00907048"/>
    <w:rsid w:val="00907059"/>
    <w:rsid w:val="00907076"/>
    <w:rsid w:val="009070B6"/>
    <w:rsid w:val="009070BE"/>
    <w:rsid w:val="009070BF"/>
    <w:rsid w:val="009070D0"/>
    <w:rsid w:val="009071A2"/>
    <w:rsid w:val="00907246"/>
    <w:rsid w:val="0090727B"/>
    <w:rsid w:val="00907288"/>
    <w:rsid w:val="0090729B"/>
    <w:rsid w:val="0090729E"/>
    <w:rsid w:val="009072E1"/>
    <w:rsid w:val="00907305"/>
    <w:rsid w:val="00907308"/>
    <w:rsid w:val="00907310"/>
    <w:rsid w:val="00907314"/>
    <w:rsid w:val="009073AB"/>
    <w:rsid w:val="009073B0"/>
    <w:rsid w:val="009073FC"/>
    <w:rsid w:val="00907405"/>
    <w:rsid w:val="00907444"/>
    <w:rsid w:val="00907476"/>
    <w:rsid w:val="0090751F"/>
    <w:rsid w:val="00907528"/>
    <w:rsid w:val="009075B5"/>
    <w:rsid w:val="009075FD"/>
    <w:rsid w:val="00907603"/>
    <w:rsid w:val="00907629"/>
    <w:rsid w:val="00907636"/>
    <w:rsid w:val="00907663"/>
    <w:rsid w:val="0090766E"/>
    <w:rsid w:val="00907677"/>
    <w:rsid w:val="009076AC"/>
    <w:rsid w:val="009076D6"/>
    <w:rsid w:val="009076E6"/>
    <w:rsid w:val="0090774D"/>
    <w:rsid w:val="0090776E"/>
    <w:rsid w:val="0090777C"/>
    <w:rsid w:val="0090778A"/>
    <w:rsid w:val="00907826"/>
    <w:rsid w:val="00907889"/>
    <w:rsid w:val="00907895"/>
    <w:rsid w:val="00907948"/>
    <w:rsid w:val="00907A3F"/>
    <w:rsid w:val="00907A42"/>
    <w:rsid w:val="00907ABF"/>
    <w:rsid w:val="00907AC8"/>
    <w:rsid w:val="00907B11"/>
    <w:rsid w:val="00907B97"/>
    <w:rsid w:val="00907BBF"/>
    <w:rsid w:val="00907BF5"/>
    <w:rsid w:val="00907C3B"/>
    <w:rsid w:val="00907CB2"/>
    <w:rsid w:val="00907D0A"/>
    <w:rsid w:val="00907DE4"/>
    <w:rsid w:val="00907E4C"/>
    <w:rsid w:val="00907EB6"/>
    <w:rsid w:val="00907EF4"/>
    <w:rsid w:val="00907F98"/>
    <w:rsid w:val="00907FCE"/>
    <w:rsid w:val="00907FD5"/>
    <w:rsid w:val="00907FE2"/>
    <w:rsid w:val="0091005E"/>
    <w:rsid w:val="00910096"/>
    <w:rsid w:val="009100A8"/>
    <w:rsid w:val="009100B2"/>
    <w:rsid w:val="009100FD"/>
    <w:rsid w:val="009100FF"/>
    <w:rsid w:val="0091012F"/>
    <w:rsid w:val="0091018D"/>
    <w:rsid w:val="009101E6"/>
    <w:rsid w:val="0091025C"/>
    <w:rsid w:val="00910262"/>
    <w:rsid w:val="0091026B"/>
    <w:rsid w:val="009102F5"/>
    <w:rsid w:val="00910346"/>
    <w:rsid w:val="0091034B"/>
    <w:rsid w:val="0091037A"/>
    <w:rsid w:val="00910412"/>
    <w:rsid w:val="00910416"/>
    <w:rsid w:val="0091047B"/>
    <w:rsid w:val="009104EB"/>
    <w:rsid w:val="00910502"/>
    <w:rsid w:val="0091052D"/>
    <w:rsid w:val="00910548"/>
    <w:rsid w:val="00910564"/>
    <w:rsid w:val="0091062F"/>
    <w:rsid w:val="00910635"/>
    <w:rsid w:val="0091063D"/>
    <w:rsid w:val="009106B5"/>
    <w:rsid w:val="009106E1"/>
    <w:rsid w:val="009106FF"/>
    <w:rsid w:val="0091070C"/>
    <w:rsid w:val="00910760"/>
    <w:rsid w:val="0091076D"/>
    <w:rsid w:val="00910786"/>
    <w:rsid w:val="009107BA"/>
    <w:rsid w:val="00910849"/>
    <w:rsid w:val="00910850"/>
    <w:rsid w:val="009108CA"/>
    <w:rsid w:val="009108D7"/>
    <w:rsid w:val="009109C4"/>
    <w:rsid w:val="009109CA"/>
    <w:rsid w:val="00910A3E"/>
    <w:rsid w:val="00910A48"/>
    <w:rsid w:val="00910A6B"/>
    <w:rsid w:val="00910A74"/>
    <w:rsid w:val="00910ABF"/>
    <w:rsid w:val="00910B1C"/>
    <w:rsid w:val="00910B23"/>
    <w:rsid w:val="00910B83"/>
    <w:rsid w:val="00910C12"/>
    <w:rsid w:val="00910C55"/>
    <w:rsid w:val="00910C75"/>
    <w:rsid w:val="00910C94"/>
    <w:rsid w:val="00910CAA"/>
    <w:rsid w:val="00910CAB"/>
    <w:rsid w:val="00910CE2"/>
    <w:rsid w:val="00910D0F"/>
    <w:rsid w:val="00910D25"/>
    <w:rsid w:val="00910D4A"/>
    <w:rsid w:val="00910D59"/>
    <w:rsid w:val="00910D66"/>
    <w:rsid w:val="00910DAF"/>
    <w:rsid w:val="00910DD1"/>
    <w:rsid w:val="00910EF6"/>
    <w:rsid w:val="00910F63"/>
    <w:rsid w:val="00910F6C"/>
    <w:rsid w:val="00910FB1"/>
    <w:rsid w:val="00910FDD"/>
    <w:rsid w:val="00910FE5"/>
    <w:rsid w:val="00911050"/>
    <w:rsid w:val="00911065"/>
    <w:rsid w:val="00911079"/>
    <w:rsid w:val="0091108E"/>
    <w:rsid w:val="00911093"/>
    <w:rsid w:val="009110B1"/>
    <w:rsid w:val="00911166"/>
    <w:rsid w:val="009111FC"/>
    <w:rsid w:val="00911249"/>
    <w:rsid w:val="0091125D"/>
    <w:rsid w:val="009112B3"/>
    <w:rsid w:val="009112FA"/>
    <w:rsid w:val="00911393"/>
    <w:rsid w:val="009113AB"/>
    <w:rsid w:val="009113B5"/>
    <w:rsid w:val="00911425"/>
    <w:rsid w:val="00911445"/>
    <w:rsid w:val="00911492"/>
    <w:rsid w:val="00911493"/>
    <w:rsid w:val="009114AF"/>
    <w:rsid w:val="009114CF"/>
    <w:rsid w:val="009114E5"/>
    <w:rsid w:val="0091156B"/>
    <w:rsid w:val="00911572"/>
    <w:rsid w:val="009115DB"/>
    <w:rsid w:val="009115F9"/>
    <w:rsid w:val="00911612"/>
    <w:rsid w:val="0091161E"/>
    <w:rsid w:val="0091163F"/>
    <w:rsid w:val="0091164D"/>
    <w:rsid w:val="00911659"/>
    <w:rsid w:val="009116B7"/>
    <w:rsid w:val="00911712"/>
    <w:rsid w:val="0091173C"/>
    <w:rsid w:val="00911740"/>
    <w:rsid w:val="00911781"/>
    <w:rsid w:val="009117C2"/>
    <w:rsid w:val="009117DB"/>
    <w:rsid w:val="009117F5"/>
    <w:rsid w:val="0091182A"/>
    <w:rsid w:val="009118BD"/>
    <w:rsid w:val="009118D9"/>
    <w:rsid w:val="009118DC"/>
    <w:rsid w:val="00911909"/>
    <w:rsid w:val="0091193C"/>
    <w:rsid w:val="00911953"/>
    <w:rsid w:val="009119CA"/>
    <w:rsid w:val="009119FB"/>
    <w:rsid w:val="00911A18"/>
    <w:rsid w:val="00911A38"/>
    <w:rsid w:val="00911A59"/>
    <w:rsid w:val="00911AD2"/>
    <w:rsid w:val="00911AFE"/>
    <w:rsid w:val="00911B4F"/>
    <w:rsid w:val="00911BB5"/>
    <w:rsid w:val="00911BC0"/>
    <w:rsid w:val="00911C69"/>
    <w:rsid w:val="00911D5D"/>
    <w:rsid w:val="00911D65"/>
    <w:rsid w:val="00911D6B"/>
    <w:rsid w:val="00911D80"/>
    <w:rsid w:val="00911D85"/>
    <w:rsid w:val="00911DBB"/>
    <w:rsid w:val="00911DF7"/>
    <w:rsid w:val="00911E5E"/>
    <w:rsid w:val="00911E82"/>
    <w:rsid w:val="00911F2A"/>
    <w:rsid w:val="00911F37"/>
    <w:rsid w:val="00911FAD"/>
    <w:rsid w:val="00911FFD"/>
    <w:rsid w:val="00912074"/>
    <w:rsid w:val="0091207F"/>
    <w:rsid w:val="009120A6"/>
    <w:rsid w:val="0091214C"/>
    <w:rsid w:val="00912172"/>
    <w:rsid w:val="0091235A"/>
    <w:rsid w:val="009124CA"/>
    <w:rsid w:val="009124D1"/>
    <w:rsid w:val="0091252F"/>
    <w:rsid w:val="00912564"/>
    <w:rsid w:val="00912580"/>
    <w:rsid w:val="0091258F"/>
    <w:rsid w:val="009125D0"/>
    <w:rsid w:val="00912632"/>
    <w:rsid w:val="00912670"/>
    <w:rsid w:val="009126A1"/>
    <w:rsid w:val="00912728"/>
    <w:rsid w:val="00912749"/>
    <w:rsid w:val="0091276C"/>
    <w:rsid w:val="0091278B"/>
    <w:rsid w:val="0091278F"/>
    <w:rsid w:val="009127CB"/>
    <w:rsid w:val="009127D2"/>
    <w:rsid w:val="009127ED"/>
    <w:rsid w:val="009127FC"/>
    <w:rsid w:val="009127FD"/>
    <w:rsid w:val="0091282F"/>
    <w:rsid w:val="009128A2"/>
    <w:rsid w:val="009128F5"/>
    <w:rsid w:val="0091290B"/>
    <w:rsid w:val="00912924"/>
    <w:rsid w:val="0091294B"/>
    <w:rsid w:val="0091295E"/>
    <w:rsid w:val="0091296E"/>
    <w:rsid w:val="0091297F"/>
    <w:rsid w:val="00912A0C"/>
    <w:rsid w:val="00912A10"/>
    <w:rsid w:val="00912A19"/>
    <w:rsid w:val="00912A24"/>
    <w:rsid w:val="00912A40"/>
    <w:rsid w:val="00912A53"/>
    <w:rsid w:val="00912A66"/>
    <w:rsid w:val="00912A87"/>
    <w:rsid w:val="00912ACF"/>
    <w:rsid w:val="00912B29"/>
    <w:rsid w:val="00912BCE"/>
    <w:rsid w:val="00912CA2"/>
    <w:rsid w:val="00912D4F"/>
    <w:rsid w:val="00912DA7"/>
    <w:rsid w:val="00912E14"/>
    <w:rsid w:val="00912E3C"/>
    <w:rsid w:val="00912E4C"/>
    <w:rsid w:val="00912ED9"/>
    <w:rsid w:val="00912EE6"/>
    <w:rsid w:val="00912EF3"/>
    <w:rsid w:val="00912F22"/>
    <w:rsid w:val="00912F77"/>
    <w:rsid w:val="00912F8C"/>
    <w:rsid w:val="00913032"/>
    <w:rsid w:val="0091309F"/>
    <w:rsid w:val="009130AA"/>
    <w:rsid w:val="009130F1"/>
    <w:rsid w:val="0091310D"/>
    <w:rsid w:val="00913196"/>
    <w:rsid w:val="00913198"/>
    <w:rsid w:val="009131A0"/>
    <w:rsid w:val="009131AC"/>
    <w:rsid w:val="009131F4"/>
    <w:rsid w:val="0091326C"/>
    <w:rsid w:val="009132AE"/>
    <w:rsid w:val="009132B1"/>
    <w:rsid w:val="00913312"/>
    <w:rsid w:val="0091334D"/>
    <w:rsid w:val="0091335C"/>
    <w:rsid w:val="00913371"/>
    <w:rsid w:val="009133A7"/>
    <w:rsid w:val="00913408"/>
    <w:rsid w:val="0091343A"/>
    <w:rsid w:val="00913477"/>
    <w:rsid w:val="009134BE"/>
    <w:rsid w:val="009134BF"/>
    <w:rsid w:val="009134CB"/>
    <w:rsid w:val="009134F7"/>
    <w:rsid w:val="00913507"/>
    <w:rsid w:val="0091353D"/>
    <w:rsid w:val="00913565"/>
    <w:rsid w:val="00913594"/>
    <w:rsid w:val="009135E8"/>
    <w:rsid w:val="0091361D"/>
    <w:rsid w:val="00913625"/>
    <w:rsid w:val="00913698"/>
    <w:rsid w:val="009136BE"/>
    <w:rsid w:val="009136E6"/>
    <w:rsid w:val="009136FF"/>
    <w:rsid w:val="0091371A"/>
    <w:rsid w:val="0091372B"/>
    <w:rsid w:val="00913782"/>
    <w:rsid w:val="009137E7"/>
    <w:rsid w:val="00913810"/>
    <w:rsid w:val="009138C3"/>
    <w:rsid w:val="009138CE"/>
    <w:rsid w:val="009138DA"/>
    <w:rsid w:val="009138E9"/>
    <w:rsid w:val="009138F1"/>
    <w:rsid w:val="0091393D"/>
    <w:rsid w:val="00913A13"/>
    <w:rsid w:val="00913A2B"/>
    <w:rsid w:val="00913A40"/>
    <w:rsid w:val="00913A73"/>
    <w:rsid w:val="00913ACF"/>
    <w:rsid w:val="00913AED"/>
    <w:rsid w:val="00913B72"/>
    <w:rsid w:val="00913C63"/>
    <w:rsid w:val="00913C8E"/>
    <w:rsid w:val="00913CDC"/>
    <w:rsid w:val="00913D05"/>
    <w:rsid w:val="00913D52"/>
    <w:rsid w:val="00913D9C"/>
    <w:rsid w:val="00913DC6"/>
    <w:rsid w:val="00913DFF"/>
    <w:rsid w:val="00913E9F"/>
    <w:rsid w:val="00913F12"/>
    <w:rsid w:val="00913F2B"/>
    <w:rsid w:val="00913F47"/>
    <w:rsid w:val="00913FA7"/>
    <w:rsid w:val="00913FE1"/>
    <w:rsid w:val="0091402B"/>
    <w:rsid w:val="00914088"/>
    <w:rsid w:val="00914090"/>
    <w:rsid w:val="00914095"/>
    <w:rsid w:val="009140BF"/>
    <w:rsid w:val="009140E1"/>
    <w:rsid w:val="0091411F"/>
    <w:rsid w:val="00914133"/>
    <w:rsid w:val="0091419A"/>
    <w:rsid w:val="009141D2"/>
    <w:rsid w:val="009141ED"/>
    <w:rsid w:val="0091423B"/>
    <w:rsid w:val="0091424E"/>
    <w:rsid w:val="009142B8"/>
    <w:rsid w:val="009142D6"/>
    <w:rsid w:val="009142EA"/>
    <w:rsid w:val="009142F4"/>
    <w:rsid w:val="00914339"/>
    <w:rsid w:val="009143DE"/>
    <w:rsid w:val="009143E6"/>
    <w:rsid w:val="009143E9"/>
    <w:rsid w:val="0091441B"/>
    <w:rsid w:val="0091446C"/>
    <w:rsid w:val="00914471"/>
    <w:rsid w:val="0091448B"/>
    <w:rsid w:val="009144A8"/>
    <w:rsid w:val="009144C3"/>
    <w:rsid w:val="00914549"/>
    <w:rsid w:val="0091457B"/>
    <w:rsid w:val="009145A6"/>
    <w:rsid w:val="009145C7"/>
    <w:rsid w:val="009145CF"/>
    <w:rsid w:val="00914650"/>
    <w:rsid w:val="0091468E"/>
    <w:rsid w:val="0091469F"/>
    <w:rsid w:val="009146AB"/>
    <w:rsid w:val="00914761"/>
    <w:rsid w:val="00914790"/>
    <w:rsid w:val="009147B7"/>
    <w:rsid w:val="009147BE"/>
    <w:rsid w:val="009147E7"/>
    <w:rsid w:val="00914811"/>
    <w:rsid w:val="0091486C"/>
    <w:rsid w:val="0091486F"/>
    <w:rsid w:val="009148BF"/>
    <w:rsid w:val="009148E1"/>
    <w:rsid w:val="0091494D"/>
    <w:rsid w:val="009149DE"/>
    <w:rsid w:val="00914A18"/>
    <w:rsid w:val="00914A73"/>
    <w:rsid w:val="00914AA3"/>
    <w:rsid w:val="00914ABF"/>
    <w:rsid w:val="00914AEA"/>
    <w:rsid w:val="00914B7D"/>
    <w:rsid w:val="00914B9E"/>
    <w:rsid w:val="00914BF8"/>
    <w:rsid w:val="00914C41"/>
    <w:rsid w:val="00914C57"/>
    <w:rsid w:val="00914C58"/>
    <w:rsid w:val="00914C75"/>
    <w:rsid w:val="00914CA4"/>
    <w:rsid w:val="00914D04"/>
    <w:rsid w:val="00914D06"/>
    <w:rsid w:val="00914D32"/>
    <w:rsid w:val="00914D71"/>
    <w:rsid w:val="00914DE9"/>
    <w:rsid w:val="00914DF4"/>
    <w:rsid w:val="00914DFF"/>
    <w:rsid w:val="00914E13"/>
    <w:rsid w:val="00914E20"/>
    <w:rsid w:val="00914E6A"/>
    <w:rsid w:val="00914E6E"/>
    <w:rsid w:val="00914E78"/>
    <w:rsid w:val="00914E81"/>
    <w:rsid w:val="00914E92"/>
    <w:rsid w:val="00914F98"/>
    <w:rsid w:val="00915024"/>
    <w:rsid w:val="00915066"/>
    <w:rsid w:val="00915086"/>
    <w:rsid w:val="009150BD"/>
    <w:rsid w:val="009150F3"/>
    <w:rsid w:val="0091511F"/>
    <w:rsid w:val="00915142"/>
    <w:rsid w:val="00915148"/>
    <w:rsid w:val="00915152"/>
    <w:rsid w:val="0091517C"/>
    <w:rsid w:val="009151F6"/>
    <w:rsid w:val="00915283"/>
    <w:rsid w:val="009152B6"/>
    <w:rsid w:val="009152D5"/>
    <w:rsid w:val="009152E0"/>
    <w:rsid w:val="00915416"/>
    <w:rsid w:val="00915471"/>
    <w:rsid w:val="0091547A"/>
    <w:rsid w:val="009154A4"/>
    <w:rsid w:val="009154AB"/>
    <w:rsid w:val="009154B5"/>
    <w:rsid w:val="00915505"/>
    <w:rsid w:val="00915528"/>
    <w:rsid w:val="00915561"/>
    <w:rsid w:val="0091556D"/>
    <w:rsid w:val="0091559D"/>
    <w:rsid w:val="00915603"/>
    <w:rsid w:val="00915610"/>
    <w:rsid w:val="00915667"/>
    <w:rsid w:val="00915732"/>
    <w:rsid w:val="0091577D"/>
    <w:rsid w:val="009157BE"/>
    <w:rsid w:val="009157E2"/>
    <w:rsid w:val="009157FE"/>
    <w:rsid w:val="00915845"/>
    <w:rsid w:val="0091584C"/>
    <w:rsid w:val="00915853"/>
    <w:rsid w:val="00915889"/>
    <w:rsid w:val="009158C9"/>
    <w:rsid w:val="0091592D"/>
    <w:rsid w:val="00915952"/>
    <w:rsid w:val="00915954"/>
    <w:rsid w:val="00915967"/>
    <w:rsid w:val="009159D3"/>
    <w:rsid w:val="00915A07"/>
    <w:rsid w:val="00915A20"/>
    <w:rsid w:val="00915A4B"/>
    <w:rsid w:val="00915A98"/>
    <w:rsid w:val="00915AA9"/>
    <w:rsid w:val="00915AB7"/>
    <w:rsid w:val="00915AEC"/>
    <w:rsid w:val="00915B06"/>
    <w:rsid w:val="00915B46"/>
    <w:rsid w:val="00915C39"/>
    <w:rsid w:val="00915CA5"/>
    <w:rsid w:val="00915CCB"/>
    <w:rsid w:val="00915CCD"/>
    <w:rsid w:val="00915D18"/>
    <w:rsid w:val="00915D8E"/>
    <w:rsid w:val="00915D98"/>
    <w:rsid w:val="00915DC0"/>
    <w:rsid w:val="00915E22"/>
    <w:rsid w:val="00915E6B"/>
    <w:rsid w:val="00915EB2"/>
    <w:rsid w:val="00915FE6"/>
    <w:rsid w:val="00915FFD"/>
    <w:rsid w:val="0091604B"/>
    <w:rsid w:val="0091607A"/>
    <w:rsid w:val="00916112"/>
    <w:rsid w:val="00916116"/>
    <w:rsid w:val="00916172"/>
    <w:rsid w:val="009161BA"/>
    <w:rsid w:val="009161E1"/>
    <w:rsid w:val="00916242"/>
    <w:rsid w:val="009162AF"/>
    <w:rsid w:val="00916300"/>
    <w:rsid w:val="00916321"/>
    <w:rsid w:val="00916334"/>
    <w:rsid w:val="0091635F"/>
    <w:rsid w:val="009163C6"/>
    <w:rsid w:val="009163F4"/>
    <w:rsid w:val="00916411"/>
    <w:rsid w:val="0091646E"/>
    <w:rsid w:val="0091647F"/>
    <w:rsid w:val="009164D3"/>
    <w:rsid w:val="009164E1"/>
    <w:rsid w:val="009164FB"/>
    <w:rsid w:val="0091656D"/>
    <w:rsid w:val="009165EC"/>
    <w:rsid w:val="009165FC"/>
    <w:rsid w:val="00916638"/>
    <w:rsid w:val="00916643"/>
    <w:rsid w:val="00916654"/>
    <w:rsid w:val="00916701"/>
    <w:rsid w:val="00916704"/>
    <w:rsid w:val="00916709"/>
    <w:rsid w:val="0091670B"/>
    <w:rsid w:val="0091676A"/>
    <w:rsid w:val="0091676B"/>
    <w:rsid w:val="00916827"/>
    <w:rsid w:val="00916832"/>
    <w:rsid w:val="0091684C"/>
    <w:rsid w:val="0091688A"/>
    <w:rsid w:val="00916960"/>
    <w:rsid w:val="0091696E"/>
    <w:rsid w:val="0091698C"/>
    <w:rsid w:val="009169BB"/>
    <w:rsid w:val="009169D5"/>
    <w:rsid w:val="009169E3"/>
    <w:rsid w:val="00916B40"/>
    <w:rsid w:val="00916B41"/>
    <w:rsid w:val="00916B44"/>
    <w:rsid w:val="00916C55"/>
    <w:rsid w:val="00916C80"/>
    <w:rsid w:val="00916CA9"/>
    <w:rsid w:val="00916D08"/>
    <w:rsid w:val="00916D29"/>
    <w:rsid w:val="00916D98"/>
    <w:rsid w:val="00916E9B"/>
    <w:rsid w:val="00916F18"/>
    <w:rsid w:val="00916F28"/>
    <w:rsid w:val="00916F3C"/>
    <w:rsid w:val="00916F47"/>
    <w:rsid w:val="00916F49"/>
    <w:rsid w:val="00916F4C"/>
    <w:rsid w:val="00916F81"/>
    <w:rsid w:val="00916FA3"/>
    <w:rsid w:val="00916FD0"/>
    <w:rsid w:val="00916FE5"/>
    <w:rsid w:val="0091703D"/>
    <w:rsid w:val="0091703F"/>
    <w:rsid w:val="00917070"/>
    <w:rsid w:val="0091708F"/>
    <w:rsid w:val="009170F5"/>
    <w:rsid w:val="009171F1"/>
    <w:rsid w:val="00917206"/>
    <w:rsid w:val="0091722F"/>
    <w:rsid w:val="009172C0"/>
    <w:rsid w:val="009172F1"/>
    <w:rsid w:val="0091730B"/>
    <w:rsid w:val="00917316"/>
    <w:rsid w:val="00917351"/>
    <w:rsid w:val="00917392"/>
    <w:rsid w:val="009173BE"/>
    <w:rsid w:val="00917420"/>
    <w:rsid w:val="00917493"/>
    <w:rsid w:val="009174A1"/>
    <w:rsid w:val="009174B4"/>
    <w:rsid w:val="009174D0"/>
    <w:rsid w:val="009174F8"/>
    <w:rsid w:val="00917560"/>
    <w:rsid w:val="009175B2"/>
    <w:rsid w:val="00917600"/>
    <w:rsid w:val="0091765B"/>
    <w:rsid w:val="009176A3"/>
    <w:rsid w:val="0091773E"/>
    <w:rsid w:val="0091774F"/>
    <w:rsid w:val="00917823"/>
    <w:rsid w:val="00917856"/>
    <w:rsid w:val="00917859"/>
    <w:rsid w:val="00917866"/>
    <w:rsid w:val="00917870"/>
    <w:rsid w:val="009178AF"/>
    <w:rsid w:val="0091792F"/>
    <w:rsid w:val="009179DC"/>
    <w:rsid w:val="009179E7"/>
    <w:rsid w:val="009179FB"/>
    <w:rsid w:val="00917A03"/>
    <w:rsid w:val="00917A86"/>
    <w:rsid w:val="00917B3B"/>
    <w:rsid w:val="00917BBC"/>
    <w:rsid w:val="00917BD0"/>
    <w:rsid w:val="00917C25"/>
    <w:rsid w:val="00917CAD"/>
    <w:rsid w:val="00917D12"/>
    <w:rsid w:val="00917D76"/>
    <w:rsid w:val="00917D90"/>
    <w:rsid w:val="00917DC4"/>
    <w:rsid w:val="00917DF9"/>
    <w:rsid w:val="00917E27"/>
    <w:rsid w:val="00917E8F"/>
    <w:rsid w:val="00917EAA"/>
    <w:rsid w:val="00917EDF"/>
    <w:rsid w:val="00917F31"/>
    <w:rsid w:val="00917F43"/>
    <w:rsid w:val="00917F74"/>
    <w:rsid w:val="00917F92"/>
    <w:rsid w:val="00917FC1"/>
    <w:rsid w:val="00917FC4"/>
    <w:rsid w:val="0092008C"/>
    <w:rsid w:val="009200D1"/>
    <w:rsid w:val="00920154"/>
    <w:rsid w:val="0092018C"/>
    <w:rsid w:val="009201A7"/>
    <w:rsid w:val="009201F0"/>
    <w:rsid w:val="00920325"/>
    <w:rsid w:val="0092032C"/>
    <w:rsid w:val="0092041D"/>
    <w:rsid w:val="00920443"/>
    <w:rsid w:val="0092050F"/>
    <w:rsid w:val="00920579"/>
    <w:rsid w:val="00920597"/>
    <w:rsid w:val="0092066D"/>
    <w:rsid w:val="009206AB"/>
    <w:rsid w:val="009206C7"/>
    <w:rsid w:val="009206FF"/>
    <w:rsid w:val="00920746"/>
    <w:rsid w:val="0092076D"/>
    <w:rsid w:val="0092076E"/>
    <w:rsid w:val="009207F7"/>
    <w:rsid w:val="00920844"/>
    <w:rsid w:val="0092084A"/>
    <w:rsid w:val="0092085C"/>
    <w:rsid w:val="009208CA"/>
    <w:rsid w:val="0092091E"/>
    <w:rsid w:val="009209B9"/>
    <w:rsid w:val="009209CA"/>
    <w:rsid w:val="009209E8"/>
    <w:rsid w:val="00920A2B"/>
    <w:rsid w:val="00920A71"/>
    <w:rsid w:val="00920AA0"/>
    <w:rsid w:val="00920B08"/>
    <w:rsid w:val="00920BDA"/>
    <w:rsid w:val="00920BEE"/>
    <w:rsid w:val="00920C50"/>
    <w:rsid w:val="00920C92"/>
    <w:rsid w:val="00920CAC"/>
    <w:rsid w:val="00920D1E"/>
    <w:rsid w:val="00920D4C"/>
    <w:rsid w:val="00920D7A"/>
    <w:rsid w:val="00920D93"/>
    <w:rsid w:val="00920D96"/>
    <w:rsid w:val="00920DAD"/>
    <w:rsid w:val="00920DB0"/>
    <w:rsid w:val="00920DFB"/>
    <w:rsid w:val="00920E90"/>
    <w:rsid w:val="00920E95"/>
    <w:rsid w:val="00920F0E"/>
    <w:rsid w:val="00920F1D"/>
    <w:rsid w:val="00920F54"/>
    <w:rsid w:val="00920F8B"/>
    <w:rsid w:val="00921015"/>
    <w:rsid w:val="0092107D"/>
    <w:rsid w:val="009210BF"/>
    <w:rsid w:val="009211D0"/>
    <w:rsid w:val="009211E6"/>
    <w:rsid w:val="009211F9"/>
    <w:rsid w:val="009211FF"/>
    <w:rsid w:val="00921211"/>
    <w:rsid w:val="0092121F"/>
    <w:rsid w:val="00921223"/>
    <w:rsid w:val="00921240"/>
    <w:rsid w:val="009212C8"/>
    <w:rsid w:val="009212DD"/>
    <w:rsid w:val="009212F0"/>
    <w:rsid w:val="00921313"/>
    <w:rsid w:val="00921338"/>
    <w:rsid w:val="00921347"/>
    <w:rsid w:val="009213DE"/>
    <w:rsid w:val="009213FC"/>
    <w:rsid w:val="009214CE"/>
    <w:rsid w:val="009214F8"/>
    <w:rsid w:val="00921550"/>
    <w:rsid w:val="0092156D"/>
    <w:rsid w:val="009215C8"/>
    <w:rsid w:val="009215E5"/>
    <w:rsid w:val="009215F8"/>
    <w:rsid w:val="009215FB"/>
    <w:rsid w:val="0092163E"/>
    <w:rsid w:val="0092163F"/>
    <w:rsid w:val="009216DC"/>
    <w:rsid w:val="009217B4"/>
    <w:rsid w:val="009217F2"/>
    <w:rsid w:val="00921826"/>
    <w:rsid w:val="00921876"/>
    <w:rsid w:val="009218AE"/>
    <w:rsid w:val="009218C3"/>
    <w:rsid w:val="0092196F"/>
    <w:rsid w:val="00921987"/>
    <w:rsid w:val="00921998"/>
    <w:rsid w:val="009219AA"/>
    <w:rsid w:val="009219AC"/>
    <w:rsid w:val="009219F1"/>
    <w:rsid w:val="009219F8"/>
    <w:rsid w:val="00921A06"/>
    <w:rsid w:val="00921A3A"/>
    <w:rsid w:val="00921A47"/>
    <w:rsid w:val="00921A8B"/>
    <w:rsid w:val="00921C45"/>
    <w:rsid w:val="00921C71"/>
    <w:rsid w:val="00921CE2"/>
    <w:rsid w:val="00921D13"/>
    <w:rsid w:val="00921D2A"/>
    <w:rsid w:val="00921D40"/>
    <w:rsid w:val="00921D4B"/>
    <w:rsid w:val="00921D56"/>
    <w:rsid w:val="00921ED3"/>
    <w:rsid w:val="00921EE8"/>
    <w:rsid w:val="00921F36"/>
    <w:rsid w:val="0092200F"/>
    <w:rsid w:val="00922021"/>
    <w:rsid w:val="00922023"/>
    <w:rsid w:val="00922032"/>
    <w:rsid w:val="00922037"/>
    <w:rsid w:val="009220BC"/>
    <w:rsid w:val="009220E1"/>
    <w:rsid w:val="0092215B"/>
    <w:rsid w:val="009221C5"/>
    <w:rsid w:val="0092224A"/>
    <w:rsid w:val="00922296"/>
    <w:rsid w:val="009222CD"/>
    <w:rsid w:val="009222EC"/>
    <w:rsid w:val="0092231E"/>
    <w:rsid w:val="00922346"/>
    <w:rsid w:val="00922361"/>
    <w:rsid w:val="009223CD"/>
    <w:rsid w:val="0092248D"/>
    <w:rsid w:val="009224AB"/>
    <w:rsid w:val="009224B0"/>
    <w:rsid w:val="009224F1"/>
    <w:rsid w:val="00922516"/>
    <w:rsid w:val="00922598"/>
    <w:rsid w:val="009225B7"/>
    <w:rsid w:val="009225D1"/>
    <w:rsid w:val="009225EA"/>
    <w:rsid w:val="009226D9"/>
    <w:rsid w:val="009227A5"/>
    <w:rsid w:val="009227DD"/>
    <w:rsid w:val="009227E4"/>
    <w:rsid w:val="009227EA"/>
    <w:rsid w:val="009227ED"/>
    <w:rsid w:val="00922858"/>
    <w:rsid w:val="0092288F"/>
    <w:rsid w:val="009228C7"/>
    <w:rsid w:val="009228D3"/>
    <w:rsid w:val="009228F3"/>
    <w:rsid w:val="00922916"/>
    <w:rsid w:val="00922947"/>
    <w:rsid w:val="00922951"/>
    <w:rsid w:val="009229E9"/>
    <w:rsid w:val="00922A27"/>
    <w:rsid w:val="00922A44"/>
    <w:rsid w:val="00922A51"/>
    <w:rsid w:val="00922A77"/>
    <w:rsid w:val="00922AA8"/>
    <w:rsid w:val="00922AF4"/>
    <w:rsid w:val="00922B1C"/>
    <w:rsid w:val="00922B4A"/>
    <w:rsid w:val="00922B5D"/>
    <w:rsid w:val="00922B7C"/>
    <w:rsid w:val="00922B81"/>
    <w:rsid w:val="00922BB2"/>
    <w:rsid w:val="00922C53"/>
    <w:rsid w:val="00922C79"/>
    <w:rsid w:val="00922D0D"/>
    <w:rsid w:val="00922D46"/>
    <w:rsid w:val="00922D4C"/>
    <w:rsid w:val="00922D5B"/>
    <w:rsid w:val="00922D61"/>
    <w:rsid w:val="00922DA2"/>
    <w:rsid w:val="00922DAD"/>
    <w:rsid w:val="00922E18"/>
    <w:rsid w:val="00922EC6"/>
    <w:rsid w:val="00922F31"/>
    <w:rsid w:val="00922F44"/>
    <w:rsid w:val="00922F6B"/>
    <w:rsid w:val="00922F73"/>
    <w:rsid w:val="00922F89"/>
    <w:rsid w:val="00922F94"/>
    <w:rsid w:val="00922FA5"/>
    <w:rsid w:val="00922FC0"/>
    <w:rsid w:val="00922FE8"/>
    <w:rsid w:val="00923044"/>
    <w:rsid w:val="00923053"/>
    <w:rsid w:val="009231E0"/>
    <w:rsid w:val="00923208"/>
    <w:rsid w:val="00923262"/>
    <w:rsid w:val="00923285"/>
    <w:rsid w:val="00923301"/>
    <w:rsid w:val="0092331A"/>
    <w:rsid w:val="00923323"/>
    <w:rsid w:val="0092336C"/>
    <w:rsid w:val="00923379"/>
    <w:rsid w:val="00923396"/>
    <w:rsid w:val="0092339C"/>
    <w:rsid w:val="009233DA"/>
    <w:rsid w:val="009233EC"/>
    <w:rsid w:val="009234B0"/>
    <w:rsid w:val="009234F1"/>
    <w:rsid w:val="0092350E"/>
    <w:rsid w:val="00923570"/>
    <w:rsid w:val="00923580"/>
    <w:rsid w:val="00923650"/>
    <w:rsid w:val="0092368B"/>
    <w:rsid w:val="00923693"/>
    <w:rsid w:val="00923710"/>
    <w:rsid w:val="00923720"/>
    <w:rsid w:val="00923721"/>
    <w:rsid w:val="0092379E"/>
    <w:rsid w:val="009237DB"/>
    <w:rsid w:val="00923817"/>
    <w:rsid w:val="0092385E"/>
    <w:rsid w:val="009238EB"/>
    <w:rsid w:val="0092390B"/>
    <w:rsid w:val="0092390D"/>
    <w:rsid w:val="00923921"/>
    <w:rsid w:val="00923924"/>
    <w:rsid w:val="00923961"/>
    <w:rsid w:val="0092396E"/>
    <w:rsid w:val="00923993"/>
    <w:rsid w:val="00923A04"/>
    <w:rsid w:val="00923A07"/>
    <w:rsid w:val="00923A51"/>
    <w:rsid w:val="00923A54"/>
    <w:rsid w:val="00923A8E"/>
    <w:rsid w:val="00923A90"/>
    <w:rsid w:val="00923B11"/>
    <w:rsid w:val="00923B32"/>
    <w:rsid w:val="00923B59"/>
    <w:rsid w:val="00923B84"/>
    <w:rsid w:val="00923BCD"/>
    <w:rsid w:val="00923C42"/>
    <w:rsid w:val="00923C4F"/>
    <w:rsid w:val="00923C5B"/>
    <w:rsid w:val="00923C73"/>
    <w:rsid w:val="00923C8A"/>
    <w:rsid w:val="00923D78"/>
    <w:rsid w:val="00923E17"/>
    <w:rsid w:val="00923E6B"/>
    <w:rsid w:val="00923E93"/>
    <w:rsid w:val="00923EE0"/>
    <w:rsid w:val="00923EED"/>
    <w:rsid w:val="00923F96"/>
    <w:rsid w:val="00923FA9"/>
    <w:rsid w:val="00923FE1"/>
    <w:rsid w:val="0092406A"/>
    <w:rsid w:val="00924086"/>
    <w:rsid w:val="009240BC"/>
    <w:rsid w:val="0092412B"/>
    <w:rsid w:val="0092414F"/>
    <w:rsid w:val="00924174"/>
    <w:rsid w:val="009241A9"/>
    <w:rsid w:val="009241E2"/>
    <w:rsid w:val="0092424F"/>
    <w:rsid w:val="00924348"/>
    <w:rsid w:val="00924370"/>
    <w:rsid w:val="009243DD"/>
    <w:rsid w:val="00924432"/>
    <w:rsid w:val="00924467"/>
    <w:rsid w:val="009244A9"/>
    <w:rsid w:val="009244C4"/>
    <w:rsid w:val="0092453B"/>
    <w:rsid w:val="00924641"/>
    <w:rsid w:val="00924665"/>
    <w:rsid w:val="00924705"/>
    <w:rsid w:val="00924707"/>
    <w:rsid w:val="009247AC"/>
    <w:rsid w:val="009247BB"/>
    <w:rsid w:val="009247EC"/>
    <w:rsid w:val="009247ED"/>
    <w:rsid w:val="00924819"/>
    <w:rsid w:val="00924873"/>
    <w:rsid w:val="009248B6"/>
    <w:rsid w:val="00924928"/>
    <w:rsid w:val="0092496B"/>
    <w:rsid w:val="0092497E"/>
    <w:rsid w:val="009249B0"/>
    <w:rsid w:val="009249B4"/>
    <w:rsid w:val="009249C9"/>
    <w:rsid w:val="00924A18"/>
    <w:rsid w:val="00924A58"/>
    <w:rsid w:val="00924AE9"/>
    <w:rsid w:val="00924B6E"/>
    <w:rsid w:val="00924B89"/>
    <w:rsid w:val="00924BA1"/>
    <w:rsid w:val="00924BAC"/>
    <w:rsid w:val="00924BEF"/>
    <w:rsid w:val="00924D1D"/>
    <w:rsid w:val="00924D34"/>
    <w:rsid w:val="00924D6C"/>
    <w:rsid w:val="00924DA2"/>
    <w:rsid w:val="00924DB6"/>
    <w:rsid w:val="00924DCC"/>
    <w:rsid w:val="00924DE2"/>
    <w:rsid w:val="00924E43"/>
    <w:rsid w:val="00924E7D"/>
    <w:rsid w:val="00924E99"/>
    <w:rsid w:val="00924EC3"/>
    <w:rsid w:val="00924ED0"/>
    <w:rsid w:val="00924F44"/>
    <w:rsid w:val="00924F6E"/>
    <w:rsid w:val="00924F71"/>
    <w:rsid w:val="00924F79"/>
    <w:rsid w:val="00924F94"/>
    <w:rsid w:val="00924FBA"/>
    <w:rsid w:val="00924FEA"/>
    <w:rsid w:val="00925017"/>
    <w:rsid w:val="00925038"/>
    <w:rsid w:val="00925066"/>
    <w:rsid w:val="0092506E"/>
    <w:rsid w:val="009250A9"/>
    <w:rsid w:val="009250FC"/>
    <w:rsid w:val="00925109"/>
    <w:rsid w:val="0092514A"/>
    <w:rsid w:val="009251BF"/>
    <w:rsid w:val="009251C9"/>
    <w:rsid w:val="009252A9"/>
    <w:rsid w:val="009252AD"/>
    <w:rsid w:val="009252CA"/>
    <w:rsid w:val="009252CC"/>
    <w:rsid w:val="00925313"/>
    <w:rsid w:val="00925377"/>
    <w:rsid w:val="0092538E"/>
    <w:rsid w:val="009253CB"/>
    <w:rsid w:val="00925413"/>
    <w:rsid w:val="00925451"/>
    <w:rsid w:val="0092548F"/>
    <w:rsid w:val="009254AF"/>
    <w:rsid w:val="0092553B"/>
    <w:rsid w:val="00925577"/>
    <w:rsid w:val="009255EA"/>
    <w:rsid w:val="00925610"/>
    <w:rsid w:val="00925658"/>
    <w:rsid w:val="00925666"/>
    <w:rsid w:val="0092568E"/>
    <w:rsid w:val="009256B2"/>
    <w:rsid w:val="009256BB"/>
    <w:rsid w:val="009256D3"/>
    <w:rsid w:val="009256DB"/>
    <w:rsid w:val="009256FD"/>
    <w:rsid w:val="00925700"/>
    <w:rsid w:val="00925736"/>
    <w:rsid w:val="0092575C"/>
    <w:rsid w:val="00925768"/>
    <w:rsid w:val="00925840"/>
    <w:rsid w:val="0092587B"/>
    <w:rsid w:val="00925893"/>
    <w:rsid w:val="009258A1"/>
    <w:rsid w:val="009258B7"/>
    <w:rsid w:val="0092596C"/>
    <w:rsid w:val="00925998"/>
    <w:rsid w:val="009259AF"/>
    <w:rsid w:val="009259D4"/>
    <w:rsid w:val="009259D8"/>
    <w:rsid w:val="00925A9E"/>
    <w:rsid w:val="00925AE5"/>
    <w:rsid w:val="00925AFF"/>
    <w:rsid w:val="00925BCB"/>
    <w:rsid w:val="00925BED"/>
    <w:rsid w:val="00925BF2"/>
    <w:rsid w:val="00925BF4"/>
    <w:rsid w:val="00925C13"/>
    <w:rsid w:val="00925C18"/>
    <w:rsid w:val="00925C83"/>
    <w:rsid w:val="00925CA0"/>
    <w:rsid w:val="00925CBE"/>
    <w:rsid w:val="00925CE3"/>
    <w:rsid w:val="00925D67"/>
    <w:rsid w:val="00925DB9"/>
    <w:rsid w:val="00925DC2"/>
    <w:rsid w:val="00925E5F"/>
    <w:rsid w:val="00925E76"/>
    <w:rsid w:val="00925ECC"/>
    <w:rsid w:val="00925ED1"/>
    <w:rsid w:val="00925EFF"/>
    <w:rsid w:val="00925F1B"/>
    <w:rsid w:val="00925F50"/>
    <w:rsid w:val="00926011"/>
    <w:rsid w:val="00926037"/>
    <w:rsid w:val="00926089"/>
    <w:rsid w:val="0092611C"/>
    <w:rsid w:val="00926126"/>
    <w:rsid w:val="00926128"/>
    <w:rsid w:val="0092616D"/>
    <w:rsid w:val="00926175"/>
    <w:rsid w:val="00926244"/>
    <w:rsid w:val="00926321"/>
    <w:rsid w:val="00926325"/>
    <w:rsid w:val="00926342"/>
    <w:rsid w:val="0092634A"/>
    <w:rsid w:val="0092637F"/>
    <w:rsid w:val="00926386"/>
    <w:rsid w:val="009263F8"/>
    <w:rsid w:val="00926440"/>
    <w:rsid w:val="00926483"/>
    <w:rsid w:val="009264CD"/>
    <w:rsid w:val="009264D5"/>
    <w:rsid w:val="009264E4"/>
    <w:rsid w:val="0092652F"/>
    <w:rsid w:val="00926546"/>
    <w:rsid w:val="00926598"/>
    <w:rsid w:val="009265A1"/>
    <w:rsid w:val="009265E1"/>
    <w:rsid w:val="009265E4"/>
    <w:rsid w:val="009265F2"/>
    <w:rsid w:val="00926698"/>
    <w:rsid w:val="00926739"/>
    <w:rsid w:val="0092674D"/>
    <w:rsid w:val="00926796"/>
    <w:rsid w:val="00926888"/>
    <w:rsid w:val="0092688B"/>
    <w:rsid w:val="00926921"/>
    <w:rsid w:val="00926939"/>
    <w:rsid w:val="009269A7"/>
    <w:rsid w:val="00926A11"/>
    <w:rsid w:val="00926A35"/>
    <w:rsid w:val="00926AFA"/>
    <w:rsid w:val="00926B30"/>
    <w:rsid w:val="00926B63"/>
    <w:rsid w:val="00926B78"/>
    <w:rsid w:val="00926B80"/>
    <w:rsid w:val="00926B83"/>
    <w:rsid w:val="00926B8A"/>
    <w:rsid w:val="00926BF3"/>
    <w:rsid w:val="00926CA1"/>
    <w:rsid w:val="00926CBD"/>
    <w:rsid w:val="00926D07"/>
    <w:rsid w:val="00926D51"/>
    <w:rsid w:val="00926D78"/>
    <w:rsid w:val="00926DA9"/>
    <w:rsid w:val="00926DC5"/>
    <w:rsid w:val="00926DE1"/>
    <w:rsid w:val="00926E1B"/>
    <w:rsid w:val="00926E4D"/>
    <w:rsid w:val="00926EB0"/>
    <w:rsid w:val="00926EE9"/>
    <w:rsid w:val="0092703C"/>
    <w:rsid w:val="0092704E"/>
    <w:rsid w:val="00927057"/>
    <w:rsid w:val="009270A5"/>
    <w:rsid w:val="009270AE"/>
    <w:rsid w:val="009270E5"/>
    <w:rsid w:val="009270F7"/>
    <w:rsid w:val="00927139"/>
    <w:rsid w:val="00927145"/>
    <w:rsid w:val="0092715E"/>
    <w:rsid w:val="009271D1"/>
    <w:rsid w:val="009271DE"/>
    <w:rsid w:val="0092723C"/>
    <w:rsid w:val="00927242"/>
    <w:rsid w:val="00927245"/>
    <w:rsid w:val="00927253"/>
    <w:rsid w:val="009272A8"/>
    <w:rsid w:val="009272B7"/>
    <w:rsid w:val="009272DA"/>
    <w:rsid w:val="009273CE"/>
    <w:rsid w:val="009273EB"/>
    <w:rsid w:val="009273FC"/>
    <w:rsid w:val="0092742C"/>
    <w:rsid w:val="0092747C"/>
    <w:rsid w:val="0092749F"/>
    <w:rsid w:val="009274BE"/>
    <w:rsid w:val="009274C8"/>
    <w:rsid w:val="009274D5"/>
    <w:rsid w:val="00927545"/>
    <w:rsid w:val="00927557"/>
    <w:rsid w:val="009275F7"/>
    <w:rsid w:val="00927601"/>
    <w:rsid w:val="00927709"/>
    <w:rsid w:val="0092776A"/>
    <w:rsid w:val="009277D1"/>
    <w:rsid w:val="009277D7"/>
    <w:rsid w:val="009277E1"/>
    <w:rsid w:val="00927802"/>
    <w:rsid w:val="00927923"/>
    <w:rsid w:val="00927943"/>
    <w:rsid w:val="00927974"/>
    <w:rsid w:val="009279A6"/>
    <w:rsid w:val="00927A02"/>
    <w:rsid w:val="00927A21"/>
    <w:rsid w:val="00927A87"/>
    <w:rsid w:val="00927A95"/>
    <w:rsid w:val="00927AA7"/>
    <w:rsid w:val="00927AAE"/>
    <w:rsid w:val="00927AC0"/>
    <w:rsid w:val="00927AE9"/>
    <w:rsid w:val="00927AF4"/>
    <w:rsid w:val="00927B00"/>
    <w:rsid w:val="00927B4F"/>
    <w:rsid w:val="00927B70"/>
    <w:rsid w:val="00927B7C"/>
    <w:rsid w:val="00927B94"/>
    <w:rsid w:val="00927CAB"/>
    <w:rsid w:val="00927CFF"/>
    <w:rsid w:val="00927DB3"/>
    <w:rsid w:val="00927DB5"/>
    <w:rsid w:val="00927E24"/>
    <w:rsid w:val="00927E26"/>
    <w:rsid w:val="00927E30"/>
    <w:rsid w:val="00927E4B"/>
    <w:rsid w:val="00927EBA"/>
    <w:rsid w:val="00927F36"/>
    <w:rsid w:val="00927F75"/>
    <w:rsid w:val="00927F87"/>
    <w:rsid w:val="00927F95"/>
    <w:rsid w:val="00927F96"/>
    <w:rsid w:val="00927FDA"/>
    <w:rsid w:val="00927FDD"/>
    <w:rsid w:val="00927FFB"/>
    <w:rsid w:val="00930016"/>
    <w:rsid w:val="00930045"/>
    <w:rsid w:val="00930059"/>
    <w:rsid w:val="009300CC"/>
    <w:rsid w:val="00930105"/>
    <w:rsid w:val="00930148"/>
    <w:rsid w:val="0093017B"/>
    <w:rsid w:val="009301BD"/>
    <w:rsid w:val="009301CB"/>
    <w:rsid w:val="00930227"/>
    <w:rsid w:val="00930268"/>
    <w:rsid w:val="009302A6"/>
    <w:rsid w:val="009302C9"/>
    <w:rsid w:val="009302E6"/>
    <w:rsid w:val="00930302"/>
    <w:rsid w:val="00930317"/>
    <w:rsid w:val="00930381"/>
    <w:rsid w:val="00930383"/>
    <w:rsid w:val="0093039E"/>
    <w:rsid w:val="009303D8"/>
    <w:rsid w:val="0093042C"/>
    <w:rsid w:val="00930478"/>
    <w:rsid w:val="00930489"/>
    <w:rsid w:val="00930494"/>
    <w:rsid w:val="0093051C"/>
    <w:rsid w:val="00930552"/>
    <w:rsid w:val="00930587"/>
    <w:rsid w:val="00930618"/>
    <w:rsid w:val="009306DC"/>
    <w:rsid w:val="0093070B"/>
    <w:rsid w:val="0093073F"/>
    <w:rsid w:val="009307E7"/>
    <w:rsid w:val="0093082C"/>
    <w:rsid w:val="00930836"/>
    <w:rsid w:val="0093085E"/>
    <w:rsid w:val="009308BE"/>
    <w:rsid w:val="00930966"/>
    <w:rsid w:val="009309D3"/>
    <w:rsid w:val="00930A18"/>
    <w:rsid w:val="00930A41"/>
    <w:rsid w:val="00930A4B"/>
    <w:rsid w:val="00930A52"/>
    <w:rsid w:val="00930A5D"/>
    <w:rsid w:val="00930A79"/>
    <w:rsid w:val="00930A80"/>
    <w:rsid w:val="00930ADB"/>
    <w:rsid w:val="00930AE8"/>
    <w:rsid w:val="00930C17"/>
    <w:rsid w:val="00930C1F"/>
    <w:rsid w:val="00930C50"/>
    <w:rsid w:val="00930C6A"/>
    <w:rsid w:val="00930C8C"/>
    <w:rsid w:val="00930CE2"/>
    <w:rsid w:val="00930D04"/>
    <w:rsid w:val="00930D9F"/>
    <w:rsid w:val="00930E3A"/>
    <w:rsid w:val="00930E7D"/>
    <w:rsid w:val="00930ECC"/>
    <w:rsid w:val="00930F08"/>
    <w:rsid w:val="00930F0D"/>
    <w:rsid w:val="00930F3F"/>
    <w:rsid w:val="00930FED"/>
    <w:rsid w:val="00930FFD"/>
    <w:rsid w:val="0093102D"/>
    <w:rsid w:val="0093107F"/>
    <w:rsid w:val="00931099"/>
    <w:rsid w:val="009310E7"/>
    <w:rsid w:val="0093110C"/>
    <w:rsid w:val="00931117"/>
    <w:rsid w:val="0093111F"/>
    <w:rsid w:val="0093112E"/>
    <w:rsid w:val="00931135"/>
    <w:rsid w:val="0093114F"/>
    <w:rsid w:val="00931180"/>
    <w:rsid w:val="00931197"/>
    <w:rsid w:val="009311B0"/>
    <w:rsid w:val="009311E8"/>
    <w:rsid w:val="00931206"/>
    <w:rsid w:val="00931227"/>
    <w:rsid w:val="00931257"/>
    <w:rsid w:val="00931267"/>
    <w:rsid w:val="00931318"/>
    <w:rsid w:val="00931319"/>
    <w:rsid w:val="00931331"/>
    <w:rsid w:val="00931343"/>
    <w:rsid w:val="0093134C"/>
    <w:rsid w:val="0093134E"/>
    <w:rsid w:val="00931377"/>
    <w:rsid w:val="00931383"/>
    <w:rsid w:val="00931398"/>
    <w:rsid w:val="009313A7"/>
    <w:rsid w:val="009313C5"/>
    <w:rsid w:val="009313E1"/>
    <w:rsid w:val="009313F0"/>
    <w:rsid w:val="009313FF"/>
    <w:rsid w:val="00931490"/>
    <w:rsid w:val="009314E1"/>
    <w:rsid w:val="00931528"/>
    <w:rsid w:val="00931532"/>
    <w:rsid w:val="00931555"/>
    <w:rsid w:val="00931579"/>
    <w:rsid w:val="0093159B"/>
    <w:rsid w:val="009315B7"/>
    <w:rsid w:val="00931611"/>
    <w:rsid w:val="00931705"/>
    <w:rsid w:val="0093171A"/>
    <w:rsid w:val="009317B8"/>
    <w:rsid w:val="00931819"/>
    <w:rsid w:val="00931826"/>
    <w:rsid w:val="00931840"/>
    <w:rsid w:val="00931863"/>
    <w:rsid w:val="009318EB"/>
    <w:rsid w:val="0093191C"/>
    <w:rsid w:val="009319C7"/>
    <w:rsid w:val="009319D2"/>
    <w:rsid w:val="009319D7"/>
    <w:rsid w:val="009319EE"/>
    <w:rsid w:val="009319F1"/>
    <w:rsid w:val="00931A29"/>
    <w:rsid w:val="00931A2F"/>
    <w:rsid w:val="00931A7F"/>
    <w:rsid w:val="00931A83"/>
    <w:rsid w:val="00931A8A"/>
    <w:rsid w:val="00931AAA"/>
    <w:rsid w:val="00931ACF"/>
    <w:rsid w:val="00931B84"/>
    <w:rsid w:val="00931BAA"/>
    <w:rsid w:val="00931BEE"/>
    <w:rsid w:val="00931C21"/>
    <w:rsid w:val="00931C4E"/>
    <w:rsid w:val="00931C66"/>
    <w:rsid w:val="00931C75"/>
    <w:rsid w:val="00931CB7"/>
    <w:rsid w:val="00931CE5"/>
    <w:rsid w:val="00931D0A"/>
    <w:rsid w:val="00931D20"/>
    <w:rsid w:val="00931D8A"/>
    <w:rsid w:val="00931DAE"/>
    <w:rsid w:val="00931DEF"/>
    <w:rsid w:val="00931E19"/>
    <w:rsid w:val="00931E60"/>
    <w:rsid w:val="00931E75"/>
    <w:rsid w:val="00931EAC"/>
    <w:rsid w:val="00931F33"/>
    <w:rsid w:val="00931F67"/>
    <w:rsid w:val="00931F83"/>
    <w:rsid w:val="00931FB0"/>
    <w:rsid w:val="00931FC2"/>
    <w:rsid w:val="00931FE0"/>
    <w:rsid w:val="0093200D"/>
    <w:rsid w:val="00932043"/>
    <w:rsid w:val="0093206F"/>
    <w:rsid w:val="00932087"/>
    <w:rsid w:val="009320AA"/>
    <w:rsid w:val="009320C1"/>
    <w:rsid w:val="00932138"/>
    <w:rsid w:val="0093213F"/>
    <w:rsid w:val="00932173"/>
    <w:rsid w:val="009321E5"/>
    <w:rsid w:val="0093226C"/>
    <w:rsid w:val="00932319"/>
    <w:rsid w:val="0093234C"/>
    <w:rsid w:val="00932378"/>
    <w:rsid w:val="00932386"/>
    <w:rsid w:val="009323A7"/>
    <w:rsid w:val="009323B4"/>
    <w:rsid w:val="009323F6"/>
    <w:rsid w:val="00932428"/>
    <w:rsid w:val="0093242B"/>
    <w:rsid w:val="0093249D"/>
    <w:rsid w:val="009324A1"/>
    <w:rsid w:val="00932504"/>
    <w:rsid w:val="00932530"/>
    <w:rsid w:val="00932585"/>
    <w:rsid w:val="009325FF"/>
    <w:rsid w:val="00932626"/>
    <w:rsid w:val="00932663"/>
    <w:rsid w:val="0093266C"/>
    <w:rsid w:val="009326B1"/>
    <w:rsid w:val="009326C9"/>
    <w:rsid w:val="009326DE"/>
    <w:rsid w:val="00932722"/>
    <w:rsid w:val="0093274B"/>
    <w:rsid w:val="0093278B"/>
    <w:rsid w:val="009327C2"/>
    <w:rsid w:val="00932814"/>
    <w:rsid w:val="00932863"/>
    <w:rsid w:val="00932900"/>
    <w:rsid w:val="0093290F"/>
    <w:rsid w:val="0093292F"/>
    <w:rsid w:val="00932934"/>
    <w:rsid w:val="00932952"/>
    <w:rsid w:val="00932954"/>
    <w:rsid w:val="009329B8"/>
    <w:rsid w:val="00932A8A"/>
    <w:rsid w:val="00932AAF"/>
    <w:rsid w:val="00932ACB"/>
    <w:rsid w:val="00932B3B"/>
    <w:rsid w:val="00932B75"/>
    <w:rsid w:val="00932C2B"/>
    <w:rsid w:val="00932C6E"/>
    <w:rsid w:val="00932C81"/>
    <w:rsid w:val="00932CA4"/>
    <w:rsid w:val="00932CB8"/>
    <w:rsid w:val="00932CBB"/>
    <w:rsid w:val="00932CBD"/>
    <w:rsid w:val="00932CF9"/>
    <w:rsid w:val="00932D2A"/>
    <w:rsid w:val="00932D55"/>
    <w:rsid w:val="00932E2A"/>
    <w:rsid w:val="00932EA1"/>
    <w:rsid w:val="00932ED6"/>
    <w:rsid w:val="00932F1C"/>
    <w:rsid w:val="00932F3E"/>
    <w:rsid w:val="00932FD4"/>
    <w:rsid w:val="0093308B"/>
    <w:rsid w:val="009330BB"/>
    <w:rsid w:val="009330FD"/>
    <w:rsid w:val="00933114"/>
    <w:rsid w:val="0093314C"/>
    <w:rsid w:val="009331DB"/>
    <w:rsid w:val="009331ED"/>
    <w:rsid w:val="00933232"/>
    <w:rsid w:val="00933239"/>
    <w:rsid w:val="009332BD"/>
    <w:rsid w:val="009332CF"/>
    <w:rsid w:val="009332D6"/>
    <w:rsid w:val="009332F6"/>
    <w:rsid w:val="009333E1"/>
    <w:rsid w:val="0093345E"/>
    <w:rsid w:val="00933473"/>
    <w:rsid w:val="00933488"/>
    <w:rsid w:val="0093351A"/>
    <w:rsid w:val="00933527"/>
    <w:rsid w:val="0093354D"/>
    <w:rsid w:val="00933555"/>
    <w:rsid w:val="00933568"/>
    <w:rsid w:val="009335C1"/>
    <w:rsid w:val="009335CF"/>
    <w:rsid w:val="00933604"/>
    <w:rsid w:val="00933676"/>
    <w:rsid w:val="0093371C"/>
    <w:rsid w:val="009337E0"/>
    <w:rsid w:val="009338EC"/>
    <w:rsid w:val="009339CC"/>
    <w:rsid w:val="00933A10"/>
    <w:rsid w:val="00933A32"/>
    <w:rsid w:val="00933A42"/>
    <w:rsid w:val="00933A79"/>
    <w:rsid w:val="00933A99"/>
    <w:rsid w:val="00933B1B"/>
    <w:rsid w:val="00933BB4"/>
    <w:rsid w:val="00933BBE"/>
    <w:rsid w:val="00933C78"/>
    <w:rsid w:val="00933C7E"/>
    <w:rsid w:val="00933CA3"/>
    <w:rsid w:val="00933CE5"/>
    <w:rsid w:val="00933D1D"/>
    <w:rsid w:val="00933D3F"/>
    <w:rsid w:val="00933D47"/>
    <w:rsid w:val="00933DB4"/>
    <w:rsid w:val="00933E43"/>
    <w:rsid w:val="00933E4E"/>
    <w:rsid w:val="00933E53"/>
    <w:rsid w:val="00933EEC"/>
    <w:rsid w:val="00933F7E"/>
    <w:rsid w:val="00933FBA"/>
    <w:rsid w:val="00933FD4"/>
    <w:rsid w:val="0093401F"/>
    <w:rsid w:val="00934027"/>
    <w:rsid w:val="00934083"/>
    <w:rsid w:val="00934088"/>
    <w:rsid w:val="00934091"/>
    <w:rsid w:val="009340DF"/>
    <w:rsid w:val="00934106"/>
    <w:rsid w:val="0093410B"/>
    <w:rsid w:val="009341A4"/>
    <w:rsid w:val="009341BB"/>
    <w:rsid w:val="00934212"/>
    <w:rsid w:val="00934240"/>
    <w:rsid w:val="00934262"/>
    <w:rsid w:val="00934273"/>
    <w:rsid w:val="009342B3"/>
    <w:rsid w:val="0093430B"/>
    <w:rsid w:val="0093432F"/>
    <w:rsid w:val="009343EB"/>
    <w:rsid w:val="009343FB"/>
    <w:rsid w:val="0093440D"/>
    <w:rsid w:val="00934473"/>
    <w:rsid w:val="00934480"/>
    <w:rsid w:val="009344D5"/>
    <w:rsid w:val="009345AD"/>
    <w:rsid w:val="009345EC"/>
    <w:rsid w:val="0093466D"/>
    <w:rsid w:val="00934691"/>
    <w:rsid w:val="00934693"/>
    <w:rsid w:val="009346FD"/>
    <w:rsid w:val="0093470B"/>
    <w:rsid w:val="00934753"/>
    <w:rsid w:val="009347C0"/>
    <w:rsid w:val="009347FE"/>
    <w:rsid w:val="0093482B"/>
    <w:rsid w:val="00934839"/>
    <w:rsid w:val="0093483D"/>
    <w:rsid w:val="0093484A"/>
    <w:rsid w:val="0093485A"/>
    <w:rsid w:val="0093487A"/>
    <w:rsid w:val="009348B9"/>
    <w:rsid w:val="009348C9"/>
    <w:rsid w:val="00934960"/>
    <w:rsid w:val="00934970"/>
    <w:rsid w:val="00934980"/>
    <w:rsid w:val="0093499F"/>
    <w:rsid w:val="009349BA"/>
    <w:rsid w:val="009349CC"/>
    <w:rsid w:val="00934A2C"/>
    <w:rsid w:val="00934A40"/>
    <w:rsid w:val="00934A6A"/>
    <w:rsid w:val="00934B8D"/>
    <w:rsid w:val="00934BC0"/>
    <w:rsid w:val="00934C5D"/>
    <w:rsid w:val="00934CE2"/>
    <w:rsid w:val="00934D24"/>
    <w:rsid w:val="00934D77"/>
    <w:rsid w:val="00934D96"/>
    <w:rsid w:val="00934DAC"/>
    <w:rsid w:val="00934DB6"/>
    <w:rsid w:val="00934E20"/>
    <w:rsid w:val="00934E86"/>
    <w:rsid w:val="00934EC5"/>
    <w:rsid w:val="00934ED5"/>
    <w:rsid w:val="00934ED7"/>
    <w:rsid w:val="00934EFE"/>
    <w:rsid w:val="00934F4D"/>
    <w:rsid w:val="00934F8B"/>
    <w:rsid w:val="00934FA4"/>
    <w:rsid w:val="00934FF0"/>
    <w:rsid w:val="00935001"/>
    <w:rsid w:val="00935024"/>
    <w:rsid w:val="0093507D"/>
    <w:rsid w:val="009350B7"/>
    <w:rsid w:val="009350C3"/>
    <w:rsid w:val="0093510C"/>
    <w:rsid w:val="00935129"/>
    <w:rsid w:val="0093517B"/>
    <w:rsid w:val="00935198"/>
    <w:rsid w:val="00935210"/>
    <w:rsid w:val="00935284"/>
    <w:rsid w:val="0093529F"/>
    <w:rsid w:val="009352DE"/>
    <w:rsid w:val="009352FC"/>
    <w:rsid w:val="00935309"/>
    <w:rsid w:val="00935360"/>
    <w:rsid w:val="0093536C"/>
    <w:rsid w:val="00935408"/>
    <w:rsid w:val="00935410"/>
    <w:rsid w:val="00935434"/>
    <w:rsid w:val="00935460"/>
    <w:rsid w:val="00935461"/>
    <w:rsid w:val="00935462"/>
    <w:rsid w:val="0093546F"/>
    <w:rsid w:val="00935471"/>
    <w:rsid w:val="009354A7"/>
    <w:rsid w:val="00935516"/>
    <w:rsid w:val="0093551B"/>
    <w:rsid w:val="00935552"/>
    <w:rsid w:val="0093555E"/>
    <w:rsid w:val="00935577"/>
    <w:rsid w:val="0093557C"/>
    <w:rsid w:val="009355AE"/>
    <w:rsid w:val="009355F7"/>
    <w:rsid w:val="0093560C"/>
    <w:rsid w:val="009356C0"/>
    <w:rsid w:val="009356E4"/>
    <w:rsid w:val="0093578E"/>
    <w:rsid w:val="009357B5"/>
    <w:rsid w:val="0093588A"/>
    <w:rsid w:val="009358EB"/>
    <w:rsid w:val="0093590E"/>
    <w:rsid w:val="0093596F"/>
    <w:rsid w:val="009359AC"/>
    <w:rsid w:val="009359D5"/>
    <w:rsid w:val="00935A75"/>
    <w:rsid w:val="00935A81"/>
    <w:rsid w:val="00935B8C"/>
    <w:rsid w:val="00935BA5"/>
    <w:rsid w:val="00935C08"/>
    <w:rsid w:val="00935C0B"/>
    <w:rsid w:val="00935C9D"/>
    <w:rsid w:val="00935CDF"/>
    <w:rsid w:val="00935D0B"/>
    <w:rsid w:val="00935DB5"/>
    <w:rsid w:val="00935DCD"/>
    <w:rsid w:val="00935DE1"/>
    <w:rsid w:val="00935E16"/>
    <w:rsid w:val="00935E57"/>
    <w:rsid w:val="00935E81"/>
    <w:rsid w:val="00935EAB"/>
    <w:rsid w:val="00935ED9"/>
    <w:rsid w:val="00935EE5"/>
    <w:rsid w:val="00935F22"/>
    <w:rsid w:val="00935F2D"/>
    <w:rsid w:val="00935F5A"/>
    <w:rsid w:val="00935F9D"/>
    <w:rsid w:val="00935FAB"/>
    <w:rsid w:val="00935FCF"/>
    <w:rsid w:val="00936017"/>
    <w:rsid w:val="00936246"/>
    <w:rsid w:val="009362BF"/>
    <w:rsid w:val="00936314"/>
    <w:rsid w:val="00936317"/>
    <w:rsid w:val="0093634C"/>
    <w:rsid w:val="009363A4"/>
    <w:rsid w:val="009363E8"/>
    <w:rsid w:val="0093641F"/>
    <w:rsid w:val="00936496"/>
    <w:rsid w:val="009364B7"/>
    <w:rsid w:val="009364FA"/>
    <w:rsid w:val="00936529"/>
    <w:rsid w:val="0093657D"/>
    <w:rsid w:val="0093657F"/>
    <w:rsid w:val="009365BE"/>
    <w:rsid w:val="0093661F"/>
    <w:rsid w:val="0093666E"/>
    <w:rsid w:val="0093667E"/>
    <w:rsid w:val="0093668B"/>
    <w:rsid w:val="009366A5"/>
    <w:rsid w:val="009366CE"/>
    <w:rsid w:val="009366EF"/>
    <w:rsid w:val="0093672B"/>
    <w:rsid w:val="00936763"/>
    <w:rsid w:val="0093676C"/>
    <w:rsid w:val="00936778"/>
    <w:rsid w:val="009367BB"/>
    <w:rsid w:val="009367E9"/>
    <w:rsid w:val="00936806"/>
    <w:rsid w:val="0093680D"/>
    <w:rsid w:val="00936821"/>
    <w:rsid w:val="009368C6"/>
    <w:rsid w:val="0093697C"/>
    <w:rsid w:val="009369CA"/>
    <w:rsid w:val="00936A16"/>
    <w:rsid w:val="00936A6E"/>
    <w:rsid w:val="00936AA5"/>
    <w:rsid w:val="00936B35"/>
    <w:rsid w:val="00936B4E"/>
    <w:rsid w:val="00936B75"/>
    <w:rsid w:val="00936B7F"/>
    <w:rsid w:val="00936BA0"/>
    <w:rsid w:val="00936BCE"/>
    <w:rsid w:val="00936BD0"/>
    <w:rsid w:val="00936C2A"/>
    <w:rsid w:val="00936C3B"/>
    <w:rsid w:val="00936C54"/>
    <w:rsid w:val="00936C87"/>
    <w:rsid w:val="00936D53"/>
    <w:rsid w:val="00936D6C"/>
    <w:rsid w:val="00936D82"/>
    <w:rsid w:val="00936D8C"/>
    <w:rsid w:val="00936DAF"/>
    <w:rsid w:val="00936DC6"/>
    <w:rsid w:val="00936DE9"/>
    <w:rsid w:val="00936DF1"/>
    <w:rsid w:val="00936E3B"/>
    <w:rsid w:val="00936E72"/>
    <w:rsid w:val="00936EE7"/>
    <w:rsid w:val="00936EFF"/>
    <w:rsid w:val="00936FBF"/>
    <w:rsid w:val="00936FC7"/>
    <w:rsid w:val="00937049"/>
    <w:rsid w:val="00937073"/>
    <w:rsid w:val="0093712C"/>
    <w:rsid w:val="0093717C"/>
    <w:rsid w:val="009371E7"/>
    <w:rsid w:val="009371F5"/>
    <w:rsid w:val="00937214"/>
    <w:rsid w:val="0093733D"/>
    <w:rsid w:val="0093737A"/>
    <w:rsid w:val="009373DD"/>
    <w:rsid w:val="00937426"/>
    <w:rsid w:val="00937468"/>
    <w:rsid w:val="0093747C"/>
    <w:rsid w:val="009374B3"/>
    <w:rsid w:val="00937542"/>
    <w:rsid w:val="00937549"/>
    <w:rsid w:val="0093754F"/>
    <w:rsid w:val="009375A9"/>
    <w:rsid w:val="0093763E"/>
    <w:rsid w:val="0093764B"/>
    <w:rsid w:val="00937662"/>
    <w:rsid w:val="009376A9"/>
    <w:rsid w:val="009376AB"/>
    <w:rsid w:val="009376EA"/>
    <w:rsid w:val="009376EF"/>
    <w:rsid w:val="009376F0"/>
    <w:rsid w:val="00937709"/>
    <w:rsid w:val="00937738"/>
    <w:rsid w:val="009377C8"/>
    <w:rsid w:val="00937843"/>
    <w:rsid w:val="0093789A"/>
    <w:rsid w:val="0093795C"/>
    <w:rsid w:val="009379AC"/>
    <w:rsid w:val="009379C0"/>
    <w:rsid w:val="009379D5"/>
    <w:rsid w:val="009379EF"/>
    <w:rsid w:val="00937AC8"/>
    <w:rsid w:val="00937B60"/>
    <w:rsid w:val="00937B71"/>
    <w:rsid w:val="00937B78"/>
    <w:rsid w:val="00937BD5"/>
    <w:rsid w:val="00937C31"/>
    <w:rsid w:val="00937C92"/>
    <w:rsid w:val="00937C97"/>
    <w:rsid w:val="00937D95"/>
    <w:rsid w:val="00937DE4"/>
    <w:rsid w:val="00937DEE"/>
    <w:rsid w:val="00937DF1"/>
    <w:rsid w:val="00937DF2"/>
    <w:rsid w:val="00937E04"/>
    <w:rsid w:val="00937E45"/>
    <w:rsid w:val="00937E97"/>
    <w:rsid w:val="00937F0C"/>
    <w:rsid w:val="00937F6D"/>
    <w:rsid w:val="00937F70"/>
    <w:rsid w:val="00937F7F"/>
    <w:rsid w:val="00937F9F"/>
    <w:rsid w:val="00937FE7"/>
    <w:rsid w:val="00937FEE"/>
    <w:rsid w:val="00937FF8"/>
    <w:rsid w:val="0094001E"/>
    <w:rsid w:val="0094007B"/>
    <w:rsid w:val="0094008F"/>
    <w:rsid w:val="0094009F"/>
    <w:rsid w:val="009400CA"/>
    <w:rsid w:val="009400E3"/>
    <w:rsid w:val="00940117"/>
    <w:rsid w:val="00940119"/>
    <w:rsid w:val="00940191"/>
    <w:rsid w:val="00940193"/>
    <w:rsid w:val="0094019F"/>
    <w:rsid w:val="009401DA"/>
    <w:rsid w:val="009401EB"/>
    <w:rsid w:val="00940256"/>
    <w:rsid w:val="0094028D"/>
    <w:rsid w:val="00940295"/>
    <w:rsid w:val="00940317"/>
    <w:rsid w:val="009403DE"/>
    <w:rsid w:val="009403FA"/>
    <w:rsid w:val="0094042B"/>
    <w:rsid w:val="00940472"/>
    <w:rsid w:val="00940481"/>
    <w:rsid w:val="0094049B"/>
    <w:rsid w:val="009404F6"/>
    <w:rsid w:val="009404FC"/>
    <w:rsid w:val="00940514"/>
    <w:rsid w:val="00940531"/>
    <w:rsid w:val="009405B1"/>
    <w:rsid w:val="009405DF"/>
    <w:rsid w:val="009405F8"/>
    <w:rsid w:val="00940602"/>
    <w:rsid w:val="00940734"/>
    <w:rsid w:val="00940799"/>
    <w:rsid w:val="0094087A"/>
    <w:rsid w:val="00940942"/>
    <w:rsid w:val="009409A6"/>
    <w:rsid w:val="009409AB"/>
    <w:rsid w:val="009409D0"/>
    <w:rsid w:val="00940A5F"/>
    <w:rsid w:val="00940AA0"/>
    <w:rsid w:val="00940AE7"/>
    <w:rsid w:val="00940B26"/>
    <w:rsid w:val="00940B48"/>
    <w:rsid w:val="00940B5B"/>
    <w:rsid w:val="00940B86"/>
    <w:rsid w:val="00940B9B"/>
    <w:rsid w:val="00940C98"/>
    <w:rsid w:val="00940CF2"/>
    <w:rsid w:val="00940D0A"/>
    <w:rsid w:val="00940D81"/>
    <w:rsid w:val="00940DB9"/>
    <w:rsid w:val="00940E51"/>
    <w:rsid w:val="00940FCE"/>
    <w:rsid w:val="00941003"/>
    <w:rsid w:val="0094102B"/>
    <w:rsid w:val="0094102C"/>
    <w:rsid w:val="0094105A"/>
    <w:rsid w:val="00941070"/>
    <w:rsid w:val="009410A3"/>
    <w:rsid w:val="009410DF"/>
    <w:rsid w:val="0094110D"/>
    <w:rsid w:val="009411BB"/>
    <w:rsid w:val="009411D1"/>
    <w:rsid w:val="0094120B"/>
    <w:rsid w:val="0094123F"/>
    <w:rsid w:val="00941267"/>
    <w:rsid w:val="009412C9"/>
    <w:rsid w:val="00941303"/>
    <w:rsid w:val="00941305"/>
    <w:rsid w:val="00941314"/>
    <w:rsid w:val="00941319"/>
    <w:rsid w:val="00941324"/>
    <w:rsid w:val="00941349"/>
    <w:rsid w:val="009413C6"/>
    <w:rsid w:val="009413C8"/>
    <w:rsid w:val="0094140C"/>
    <w:rsid w:val="00941415"/>
    <w:rsid w:val="009414A0"/>
    <w:rsid w:val="009414CD"/>
    <w:rsid w:val="009414FB"/>
    <w:rsid w:val="00941513"/>
    <w:rsid w:val="0094151F"/>
    <w:rsid w:val="0094154F"/>
    <w:rsid w:val="0094159A"/>
    <w:rsid w:val="009415CA"/>
    <w:rsid w:val="009415D8"/>
    <w:rsid w:val="009415E0"/>
    <w:rsid w:val="009415E6"/>
    <w:rsid w:val="0094163B"/>
    <w:rsid w:val="0094166B"/>
    <w:rsid w:val="009416FA"/>
    <w:rsid w:val="0094171D"/>
    <w:rsid w:val="00941770"/>
    <w:rsid w:val="009417D4"/>
    <w:rsid w:val="009417EA"/>
    <w:rsid w:val="00941858"/>
    <w:rsid w:val="0094186C"/>
    <w:rsid w:val="009418EA"/>
    <w:rsid w:val="0094194F"/>
    <w:rsid w:val="00941957"/>
    <w:rsid w:val="0094196C"/>
    <w:rsid w:val="009419BF"/>
    <w:rsid w:val="00941A29"/>
    <w:rsid w:val="00941A7E"/>
    <w:rsid w:val="00941AC1"/>
    <w:rsid w:val="00941B17"/>
    <w:rsid w:val="00941B45"/>
    <w:rsid w:val="00941B67"/>
    <w:rsid w:val="00941B94"/>
    <w:rsid w:val="00941BB3"/>
    <w:rsid w:val="00941BB7"/>
    <w:rsid w:val="00941C18"/>
    <w:rsid w:val="00941C55"/>
    <w:rsid w:val="00941C97"/>
    <w:rsid w:val="00941CB8"/>
    <w:rsid w:val="00941CF5"/>
    <w:rsid w:val="00941D17"/>
    <w:rsid w:val="00941D36"/>
    <w:rsid w:val="00941E19"/>
    <w:rsid w:val="00941E28"/>
    <w:rsid w:val="00941E3A"/>
    <w:rsid w:val="00941E8A"/>
    <w:rsid w:val="00941EA0"/>
    <w:rsid w:val="00941EA4"/>
    <w:rsid w:val="00941ED8"/>
    <w:rsid w:val="00941EE1"/>
    <w:rsid w:val="00941EFF"/>
    <w:rsid w:val="00941F06"/>
    <w:rsid w:val="00941F2A"/>
    <w:rsid w:val="00941F6E"/>
    <w:rsid w:val="00941F9C"/>
    <w:rsid w:val="0094200F"/>
    <w:rsid w:val="009420CD"/>
    <w:rsid w:val="00942155"/>
    <w:rsid w:val="00942199"/>
    <w:rsid w:val="0094220D"/>
    <w:rsid w:val="00942286"/>
    <w:rsid w:val="00942287"/>
    <w:rsid w:val="00942310"/>
    <w:rsid w:val="0094236D"/>
    <w:rsid w:val="00942386"/>
    <w:rsid w:val="00942396"/>
    <w:rsid w:val="0094239D"/>
    <w:rsid w:val="009423AD"/>
    <w:rsid w:val="009423D4"/>
    <w:rsid w:val="00942476"/>
    <w:rsid w:val="00942569"/>
    <w:rsid w:val="00942632"/>
    <w:rsid w:val="0094264E"/>
    <w:rsid w:val="0094269A"/>
    <w:rsid w:val="009426A8"/>
    <w:rsid w:val="009426D9"/>
    <w:rsid w:val="00942705"/>
    <w:rsid w:val="009427DD"/>
    <w:rsid w:val="00942854"/>
    <w:rsid w:val="00942872"/>
    <w:rsid w:val="009428B2"/>
    <w:rsid w:val="009428E6"/>
    <w:rsid w:val="00942904"/>
    <w:rsid w:val="0094290F"/>
    <w:rsid w:val="0094291C"/>
    <w:rsid w:val="00942922"/>
    <w:rsid w:val="0094296F"/>
    <w:rsid w:val="00942990"/>
    <w:rsid w:val="009429A1"/>
    <w:rsid w:val="009429E0"/>
    <w:rsid w:val="009429F6"/>
    <w:rsid w:val="00942A11"/>
    <w:rsid w:val="00942A34"/>
    <w:rsid w:val="00942A4D"/>
    <w:rsid w:val="00942A55"/>
    <w:rsid w:val="00942B4F"/>
    <w:rsid w:val="00942B54"/>
    <w:rsid w:val="00942BD0"/>
    <w:rsid w:val="00942BFB"/>
    <w:rsid w:val="00942C2C"/>
    <w:rsid w:val="00942C68"/>
    <w:rsid w:val="00942C7E"/>
    <w:rsid w:val="00942CBA"/>
    <w:rsid w:val="00942CC8"/>
    <w:rsid w:val="00942CEC"/>
    <w:rsid w:val="00942CF2"/>
    <w:rsid w:val="00942D0D"/>
    <w:rsid w:val="00942D3D"/>
    <w:rsid w:val="00942D9C"/>
    <w:rsid w:val="00942D9E"/>
    <w:rsid w:val="00942DAC"/>
    <w:rsid w:val="00942E0A"/>
    <w:rsid w:val="00942E9D"/>
    <w:rsid w:val="00942E9F"/>
    <w:rsid w:val="00942F20"/>
    <w:rsid w:val="00942FB8"/>
    <w:rsid w:val="00943022"/>
    <w:rsid w:val="00943085"/>
    <w:rsid w:val="009430A5"/>
    <w:rsid w:val="009430E1"/>
    <w:rsid w:val="009430F4"/>
    <w:rsid w:val="0094310B"/>
    <w:rsid w:val="00943111"/>
    <w:rsid w:val="0094311A"/>
    <w:rsid w:val="00943149"/>
    <w:rsid w:val="009431E5"/>
    <w:rsid w:val="009431ED"/>
    <w:rsid w:val="00943236"/>
    <w:rsid w:val="00943253"/>
    <w:rsid w:val="00943255"/>
    <w:rsid w:val="00943303"/>
    <w:rsid w:val="00943337"/>
    <w:rsid w:val="00943361"/>
    <w:rsid w:val="009433A6"/>
    <w:rsid w:val="009433DE"/>
    <w:rsid w:val="009433F0"/>
    <w:rsid w:val="00943427"/>
    <w:rsid w:val="0094343A"/>
    <w:rsid w:val="00943462"/>
    <w:rsid w:val="009434F9"/>
    <w:rsid w:val="00943533"/>
    <w:rsid w:val="00943623"/>
    <w:rsid w:val="0094363C"/>
    <w:rsid w:val="00943643"/>
    <w:rsid w:val="00943670"/>
    <w:rsid w:val="00943679"/>
    <w:rsid w:val="00943696"/>
    <w:rsid w:val="009436BC"/>
    <w:rsid w:val="009436BE"/>
    <w:rsid w:val="00943766"/>
    <w:rsid w:val="009437BD"/>
    <w:rsid w:val="009437C1"/>
    <w:rsid w:val="0094385E"/>
    <w:rsid w:val="009438B9"/>
    <w:rsid w:val="009438FB"/>
    <w:rsid w:val="009438FD"/>
    <w:rsid w:val="00943962"/>
    <w:rsid w:val="0094398B"/>
    <w:rsid w:val="0094399F"/>
    <w:rsid w:val="009439D6"/>
    <w:rsid w:val="00943A02"/>
    <w:rsid w:val="00943A56"/>
    <w:rsid w:val="00943A5C"/>
    <w:rsid w:val="00943A89"/>
    <w:rsid w:val="00943AE9"/>
    <w:rsid w:val="00943AF4"/>
    <w:rsid w:val="00943B54"/>
    <w:rsid w:val="00943B69"/>
    <w:rsid w:val="00943B6D"/>
    <w:rsid w:val="00943B70"/>
    <w:rsid w:val="00943C53"/>
    <w:rsid w:val="00943C98"/>
    <w:rsid w:val="00943CE3"/>
    <w:rsid w:val="00943D36"/>
    <w:rsid w:val="00943D4D"/>
    <w:rsid w:val="00943D67"/>
    <w:rsid w:val="00943D9D"/>
    <w:rsid w:val="00943DDF"/>
    <w:rsid w:val="00943E17"/>
    <w:rsid w:val="00943E4D"/>
    <w:rsid w:val="00943E79"/>
    <w:rsid w:val="00943E8A"/>
    <w:rsid w:val="00943EC4"/>
    <w:rsid w:val="00943EDF"/>
    <w:rsid w:val="00943F2D"/>
    <w:rsid w:val="00943F3B"/>
    <w:rsid w:val="00944047"/>
    <w:rsid w:val="0094406F"/>
    <w:rsid w:val="009440D8"/>
    <w:rsid w:val="0094411E"/>
    <w:rsid w:val="0094417F"/>
    <w:rsid w:val="00944180"/>
    <w:rsid w:val="00944192"/>
    <w:rsid w:val="009441F2"/>
    <w:rsid w:val="00944229"/>
    <w:rsid w:val="009442AC"/>
    <w:rsid w:val="009442F9"/>
    <w:rsid w:val="009442FF"/>
    <w:rsid w:val="00944354"/>
    <w:rsid w:val="00944398"/>
    <w:rsid w:val="0094439C"/>
    <w:rsid w:val="009443A4"/>
    <w:rsid w:val="00944431"/>
    <w:rsid w:val="0094444D"/>
    <w:rsid w:val="00944452"/>
    <w:rsid w:val="0094446D"/>
    <w:rsid w:val="00944475"/>
    <w:rsid w:val="00944486"/>
    <w:rsid w:val="009444A2"/>
    <w:rsid w:val="009445F8"/>
    <w:rsid w:val="0094461B"/>
    <w:rsid w:val="00944693"/>
    <w:rsid w:val="009446CC"/>
    <w:rsid w:val="009446D0"/>
    <w:rsid w:val="00944705"/>
    <w:rsid w:val="0094472B"/>
    <w:rsid w:val="009447A1"/>
    <w:rsid w:val="00944857"/>
    <w:rsid w:val="00944924"/>
    <w:rsid w:val="0094492D"/>
    <w:rsid w:val="009449D5"/>
    <w:rsid w:val="00944A4C"/>
    <w:rsid w:val="00944A84"/>
    <w:rsid w:val="00944AEB"/>
    <w:rsid w:val="00944B00"/>
    <w:rsid w:val="00944BC6"/>
    <w:rsid w:val="00944C0E"/>
    <w:rsid w:val="00944C10"/>
    <w:rsid w:val="00944C30"/>
    <w:rsid w:val="00944C62"/>
    <w:rsid w:val="00944C6F"/>
    <w:rsid w:val="00944C96"/>
    <w:rsid w:val="00944CA7"/>
    <w:rsid w:val="00944CFA"/>
    <w:rsid w:val="00944DE4"/>
    <w:rsid w:val="00944DEF"/>
    <w:rsid w:val="00944E49"/>
    <w:rsid w:val="00944E4E"/>
    <w:rsid w:val="00944EB3"/>
    <w:rsid w:val="00944F50"/>
    <w:rsid w:val="00944F70"/>
    <w:rsid w:val="00944FF9"/>
    <w:rsid w:val="00945003"/>
    <w:rsid w:val="00945044"/>
    <w:rsid w:val="0094504F"/>
    <w:rsid w:val="0094506A"/>
    <w:rsid w:val="009450E5"/>
    <w:rsid w:val="009450EE"/>
    <w:rsid w:val="0094511B"/>
    <w:rsid w:val="00945126"/>
    <w:rsid w:val="009451BC"/>
    <w:rsid w:val="0094528E"/>
    <w:rsid w:val="009452C5"/>
    <w:rsid w:val="0094533E"/>
    <w:rsid w:val="0094536F"/>
    <w:rsid w:val="00945396"/>
    <w:rsid w:val="009453A3"/>
    <w:rsid w:val="009453D1"/>
    <w:rsid w:val="009453D7"/>
    <w:rsid w:val="00945446"/>
    <w:rsid w:val="009454DE"/>
    <w:rsid w:val="009454E9"/>
    <w:rsid w:val="00945508"/>
    <w:rsid w:val="00945523"/>
    <w:rsid w:val="00945543"/>
    <w:rsid w:val="009455A7"/>
    <w:rsid w:val="009455B7"/>
    <w:rsid w:val="00945606"/>
    <w:rsid w:val="00945672"/>
    <w:rsid w:val="00945674"/>
    <w:rsid w:val="009456C7"/>
    <w:rsid w:val="0094571A"/>
    <w:rsid w:val="00945737"/>
    <w:rsid w:val="00945758"/>
    <w:rsid w:val="009457E8"/>
    <w:rsid w:val="009457F9"/>
    <w:rsid w:val="0094580D"/>
    <w:rsid w:val="0094580E"/>
    <w:rsid w:val="00945836"/>
    <w:rsid w:val="00945851"/>
    <w:rsid w:val="0094588B"/>
    <w:rsid w:val="009458C2"/>
    <w:rsid w:val="009458EB"/>
    <w:rsid w:val="00945956"/>
    <w:rsid w:val="00945984"/>
    <w:rsid w:val="0094598C"/>
    <w:rsid w:val="009459B9"/>
    <w:rsid w:val="009459F2"/>
    <w:rsid w:val="00945A72"/>
    <w:rsid w:val="00945A81"/>
    <w:rsid w:val="00945B16"/>
    <w:rsid w:val="00945BCE"/>
    <w:rsid w:val="00945BEF"/>
    <w:rsid w:val="00945C71"/>
    <w:rsid w:val="00945C99"/>
    <w:rsid w:val="00945D12"/>
    <w:rsid w:val="00945D30"/>
    <w:rsid w:val="00945D59"/>
    <w:rsid w:val="00945DDE"/>
    <w:rsid w:val="00945DF3"/>
    <w:rsid w:val="00945E1B"/>
    <w:rsid w:val="00945E35"/>
    <w:rsid w:val="00945E36"/>
    <w:rsid w:val="00945E64"/>
    <w:rsid w:val="00945EAE"/>
    <w:rsid w:val="00945ECF"/>
    <w:rsid w:val="00945F22"/>
    <w:rsid w:val="00945F24"/>
    <w:rsid w:val="00945F9F"/>
    <w:rsid w:val="00945FA8"/>
    <w:rsid w:val="00946015"/>
    <w:rsid w:val="0094604F"/>
    <w:rsid w:val="00946164"/>
    <w:rsid w:val="00946177"/>
    <w:rsid w:val="009461DB"/>
    <w:rsid w:val="0094621C"/>
    <w:rsid w:val="00946287"/>
    <w:rsid w:val="00946298"/>
    <w:rsid w:val="00946307"/>
    <w:rsid w:val="0094633C"/>
    <w:rsid w:val="009463B9"/>
    <w:rsid w:val="00946420"/>
    <w:rsid w:val="00946499"/>
    <w:rsid w:val="009464C3"/>
    <w:rsid w:val="00946505"/>
    <w:rsid w:val="00946536"/>
    <w:rsid w:val="00946537"/>
    <w:rsid w:val="0094653A"/>
    <w:rsid w:val="0094656E"/>
    <w:rsid w:val="00946614"/>
    <w:rsid w:val="0094662E"/>
    <w:rsid w:val="0094668C"/>
    <w:rsid w:val="00946703"/>
    <w:rsid w:val="00946714"/>
    <w:rsid w:val="0094671C"/>
    <w:rsid w:val="0094673F"/>
    <w:rsid w:val="00946774"/>
    <w:rsid w:val="00946822"/>
    <w:rsid w:val="0094689E"/>
    <w:rsid w:val="009468A7"/>
    <w:rsid w:val="009468B0"/>
    <w:rsid w:val="009468E1"/>
    <w:rsid w:val="009468E7"/>
    <w:rsid w:val="009468F6"/>
    <w:rsid w:val="00946911"/>
    <w:rsid w:val="009469A8"/>
    <w:rsid w:val="009469AC"/>
    <w:rsid w:val="00946A04"/>
    <w:rsid w:val="00946A28"/>
    <w:rsid w:val="00946AB7"/>
    <w:rsid w:val="00946AFB"/>
    <w:rsid w:val="00946B48"/>
    <w:rsid w:val="00946BAC"/>
    <w:rsid w:val="00946BF6"/>
    <w:rsid w:val="00946C4C"/>
    <w:rsid w:val="00946D2A"/>
    <w:rsid w:val="00946D77"/>
    <w:rsid w:val="00946DB3"/>
    <w:rsid w:val="00946E1E"/>
    <w:rsid w:val="00946E23"/>
    <w:rsid w:val="00946E59"/>
    <w:rsid w:val="00946E61"/>
    <w:rsid w:val="00946E9E"/>
    <w:rsid w:val="00946EDE"/>
    <w:rsid w:val="00946F22"/>
    <w:rsid w:val="00946F38"/>
    <w:rsid w:val="00946FA0"/>
    <w:rsid w:val="00946FDA"/>
    <w:rsid w:val="00946FFF"/>
    <w:rsid w:val="009470E1"/>
    <w:rsid w:val="0094713B"/>
    <w:rsid w:val="0094716C"/>
    <w:rsid w:val="00947194"/>
    <w:rsid w:val="0094719D"/>
    <w:rsid w:val="009471BD"/>
    <w:rsid w:val="009471DF"/>
    <w:rsid w:val="0094726C"/>
    <w:rsid w:val="0094731F"/>
    <w:rsid w:val="0094732E"/>
    <w:rsid w:val="00947399"/>
    <w:rsid w:val="009473CB"/>
    <w:rsid w:val="009473F0"/>
    <w:rsid w:val="0094747D"/>
    <w:rsid w:val="009474B1"/>
    <w:rsid w:val="009474F6"/>
    <w:rsid w:val="00947554"/>
    <w:rsid w:val="0094756B"/>
    <w:rsid w:val="00947596"/>
    <w:rsid w:val="009475C6"/>
    <w:rsid w:val="00947636"/>
    <w:rsid w:val="00947665"/>
    <w:rsid w:val="0094766C"/>
    <w:rsid w:val="00947685"/>
    <w:rsid w:val="0094768A"/>
    <w:rsid w:val="009476A6"/>
    <w:rsid w:val="0094772F"/>
    <w:rsid w:val="009477AB"/>
    <w:rsid w:val="009477C6"/>
    <w:rsid w:val="009477E3"/>
    <w:rsid w:val="0094780F"/>
    <w:rsid w:val="00947878"/>
    <w:rsid w:val="0094787F"/>
    <w:rsid w:val="0094789A"/>
    <w:rsid w:val="009478BC"/>
    <w:rsid w:val="009478FB"/>
    <w:rsid w:val="00947945"/>
    <w:rsid w:val="00947966"/>
    <w:rsid w:val="009479A5"/>
    <w:rsid w:val="009479F8"/>
    <w:rsid w:val="00947A1F"/>
    <w:rsid w:val="00947A99"/>
    <w:rsid w:val="00947AD7"/>
    <w:rsid w:val="00947B12"/>
    <w:rsid w:val="00947B33"/>
    <w:rsid w:val="00947B96"/>
    <w:rsid w:val="00947BF8"/>
    <w:rsid w:val="00947C01"/>
    <w:rsid w:val="00947C55"/>
    <w:rsid w:val="00947C76"/>
    <w:rsid w:val="00947D14"/>
    <w:rsid w:val="00947DEC"/>
    <w:rsid w:val="00947E08"/>
    <w:rsid w:val="00947E4A"/>
    <w:rsid w:val="00947E64"/>
    <w:rsid w:val="00947E69"/>
    <w:rsid w:val="00947EAE"/>
    <w:rsid w:val="00947ED3"/>
    <w:rsid w:val="00947FC0"/>
    <w:rsid w:val="00950012"/>
    <w:rsid w:val="0095005D"/>
    <w:rsid w:val="00950068"/>
    <w:rsid w:val="009500D6"/>
    <w:rsid w:val="009500E6"/>
    <w:rsid w:val="0095015E"/>
    <w:rsid w:val="0095016E"/>
    <w:rsid w:val="00950189"/>
    <w:rsid w:val="009501D7"/>
    <w:rsid w:val="00950200"/>
    <w:rsid w:val="009502C4"/>
    <w:rsid w:val="009502C6"/>
    <w:rsid w:val="00950346"/>
    <w:rsid w:val="009503A0"/>
    <w:rsid w:val="009503A1"/>
    <w:rsid w:val="009503A3"/>
    <w:rsid w:val="009503C1"/>
    <w:rsid w:val="0095042D"/>
    <w:rsid w:val="0095042E"/>
    <w:rsid w:val="00950448"/>
    <w:rsid w:val="00950449"/>
    <w:rsid w:val="00950460"/>
    <w:rsid w:val="00950471"/>
    <w:rsid w:val="0095047E"/>
    <w:rsid w:val="009504E3"/>
    <w:rsid w:val="0095051B"/>
    <w:rsid w:val="00950539"/>
    <w:rsid w:val="0095054F"/>
    <w:rsid w:val="00950573"/>
    <w:rsid w:val="00950579"/>
    <w:rsid w:val="009505A2"/>
    <w:rsid w:val="009505D3"/>
    <w:rsid w:val="0095061E"/>
    <w:rsid w:val="0095061F"/>
    <w:rsid w:val="00950649"/>
    <w:rsid w:val="00950658"/>
    <w:rsid w:val="0095065C"/>
    <w:rsid w:val="0095066C"/>
    <w:rsid w:val="00950670"/>
    <w:rsid w:val="00950699"/>
    <w:rsid w:val="0095076B"/>
    <w:rsid w:val="009507B5"/>
    <w:rsid w:val="009507D2"/>
    <w:rsid w:val="009507DB"/>
    <w:rsid w:val="009507F2"/>
    <w:rsid w:val="00950813"/>
    <w:rsid w:val="00950823"/>
    <w:rsid w:val="00950866"/>
    <w:rsid w:val="00950949"/>
    <w:rsid w:val="009509D0"/>
    <w:rsid w:val="00950A07"/>
    <w:rsid w:val="00950A12"/>
    <w:rsid w:val="00950A36"/>
    <w:rsid w:val="00950A4C"/>
    <w:rsid w:val="00950AA0"/>
    <w:rsid w:val="00950AB4"/>
    <w:rsid w:val="00950ACA"/>
    <w:rsid w:val="00950BD2"/>
    <w:rsid w:val="00950C65"/>
    <w:rsid w:val="00950C69"/>
    <w:rsid w:val="00950CED"/>
    <w:rsid w:val="00950D04"/>
    <w:rsid w:val="00950D0D"/>
    <w:rsid w:val="00950D9F"/>
    <w:rsid w:val="00950DE2"/>
    <w:rsid w:val="00950DE7"/>
    <w:rsid w:val="00950E27"/>
    <w:rsid w:val="00950E30"/>
    <w:rsid w:val="00950E8B"/>
    <w:rsid w:val="00950ED9"/>
    <w:rsid w:val="00950F0B"/>
    <w:rsid w:val="00950F0F"/>
    <w:rsid w:val="00950F40"/>
    <w:rsid w:val="00950F44"/>
    <w:rsid w:val="00950F54"/>
    <w:rsid w:val="00950F76"/>
    <w:rsid w:val="00950FE8"/>
    <w:rsid w:val="00951016"/>
    <w:rsid w:val="00951098"/>
    <w:rsid w:val="009510BA"/>
    <w:rsid w:val="009510C3"/>
    <w:rsid w:val="00951145"/>
    <w:rsid w:val="00951147"/>
    <w:rsid w:val="0095116E"/>
    <w:rsid w:val="00951185"/>
    <w:rsid w:val="00951186"/>
    <w:rsid w:val="009511AF"/>
    <w:rsid w:val="00951242"/>
    <w:rsid w:val="009512C8"/>
    <w:rsid w:val="00951365"/>
    <w:rsid w:val="0095138E"/>
    <w:rsid w:val="00951397"/>
    <w:rsid w:val="009513A1"/>
    <w:rsid w:val="0095140C"/>
    <w:rsid w:val="00951467"/>
    <w:rsid w:val="00951470"/>
    <w:rsid w:val="00951472"/>
    <w:rsid w:val="009514A8"/>
    <w:rsid w:val="009514F1"/>
    <w:rsid w:val="0095152D"/>
    <w:rsid w:val="009516E6"/>
    <w:rsid w:val="00951709"/>
    <w:rsid w:val="00951772"/>
    <w:rsid w:val="009517CB"/>
    <w:rsid w:val="009517DB"/>
    <w:rsid w:val="00951810"/>
    <w:rsid w:val="0095181D"/>
    <w:rsid w:val="00951835"/>
    <w:rsid w:val="00951853"/>
    <w:rsid w:val="009519B4"/>
    <w:rsid w:val="00951A23"/>
    <w:rsid w:val="00951A4D"/>
    <w:rsid w:val="00951A82"/>
    <w:rsid w:val="00951ABB"/>
    <w:rsid w:val="00951AC5"/>
    <w:rsid w:val="00951B22"/>
    <w:rsid w:val="00951B3B"/>
    <w:rsid w:val="00951BA3"/>
    <w:rsid w:val="00951BEB"/>
    <w:rsid w:val="00951BF2"/>
    <w:rsid w:val="00951C86"/>
    <w:rsid w:val="00951D05"/>
    <w:rsid w:val="00951D18"/>
    <w:rsid w:val="00951D5C"/>
    <w:rsid w:val="00951E4D"/>
    <w:rsid w:val="00951E51"/>
    <w:rsid w:val="00951E8D"/>
    <w:rsid w:val="00951EBB"/>
    <w:rsid w:val="00951EE8"/>
    <w:rsid w:val="00951F20"/>
    <w:rsid w:val="00951F45"/>
    <w:rsid w:val="00952040"/>
    <w:rsid w:val="0095205E"/>
    <w:rsid w:val="00952069"/>
    <w:rsid w:val="00952075"/>
    <w:rsid w:val="00952091"/>
    <w:rsid w:val="009520B6"/>
    <w:rsid w:val="00952249"/>
    <w:rsid w:val="00952276"/>
    <w:rsid w:val="0095229F"/>
    <w:rsid w:val="009522EF"/>
    <w:rsid w:val="0095234D"/>
    <w:rsid w:val="00952385"/>
    <w:rsid w:val="00952388"/>
    <w:rsid w:val="0095239A"/>
    <w:rsid w:val="009523BB"/>
    <w:rsid w:val="009523E0"/>
    <w:rsid w:val="0095248B"/>
    <w:rsid w:val="009524B4"/>
    <w:rsid w:val="009524EA"/>
    <w:rsid w:val="0095254D"/>
    <w:rsid w:val="0095256B"/>
    <w:rsid w:val="00952587"/>
    <w:rsid w:val="009525A7"/>
    <w:rsid w:val="009525E7"/>
    <w:rsid w:val="00952669"/>
    <w:rsid w:val="00952688"/>
    <w:rsid w:val="00952694"/>
    <w:rsid w:val="0095269C"/>
    <w:rsid w:val="00952795"/>
    <w:rsid w:val="009527C3"/>
    <w:rsid w:val="009527FD"/>
    <w:rsid w:val="00952800"/>
    <w:rsid w:val="009528F0"/>
    <w:rsid w:val="00952902"/>
    <w:rsid w:val="009529DD"/>
    <w:rsid w:val="009529E8"/>
    <w:rsid w:val="00952A0A"/>
    <w:rsid w:val="00952A16"/>
    <w:rsid w:val="00952A31"/>
    <w:rsid w:val="00952A3E"/>
    <w:rsid w:val="00952A8A"/>
    <w:rsid w:val="00952B08"/>
    <w:rsid w:val="00952B91"/>
    <w:rsid w:val="00952C0B"/>
    <w:rsid w:val="00952CB4"/>
    <w:rsid w:val="00952CE1"/>
    <w:rsid w:val="00952CF1"/>
    <w:rsid w:val="00952D20"/>
    <w:rsid w:val="00952D3F"/>
    <w:rsid w:val="00952D59"/>
    <w:rsid w:val="00952E07"/>
    <w:rsid w:val="00952E10"/>
    <w:rsid w:val="00952E17"/>
    <w:rsid w:val="00952E22"/>
    <w:rsid w:val="00952E3D"/>
    <w:rsid w:val="00952E77"/>
    <w:rsid w:val="00952EC1"/>
    <w:rsid w:val="00952EE4"/>
    <w:rsid w:val="00952EF2"/>
    <w:rsid w:val="00952F1E"/>
    <w:rsid w:val="00952F75"/>
    <w:rsid w:val="00952FB0"/>
    <w:rsid w:val="00953017"/>
    <w:rsid w:val="0095309B"/>
    <w:rsid w:val="009530F9"/>
    <w:rsid w:val="009530FB"/>
    <w:rsid w:val="00953126"/>
    <w:rsid w:val="0095319D"/>
    <w:rsid w:val="009531D1"/>
    <w:rsid w:val="009532B4"/>
    <w:rsid w:val="009533CE"/>
    <w:rsid w:val="009533D9"/>
    <w:rsid w:val="0095345F"/>
    <w:rsid w:val="0095348E"/>
    <w:rsid w:val="00953498"/>
    <w:rsid w:val="0095354C"/>
    <w:rsid w:val="009535D8"/>
    <w:rsid w:val="0095361A"/>
    <w:rsid w:val="0095364F"/>
    <w:rsid w:val="0095365E"/>
    <w:rsid w:val="009536A4"/>
    <w:rsid w:val="009536A7"/>
    <w:rsid w:val="009536AB"/>
    <w:rsid w:val="009536E5"/>
    <w:rsid w:val="009536E8"/>
    <w:rsid w:val="00953759"/>
    <w:rsid w:val="009537A0"/>
    <w:rsid w:val="00953823"/>
    <w:rsid w:val="00953849"/>
    <w:rsid w:val="0095384F"/>
    <w:rsid w:val="00953879"/>
    <w:rsid w:val="009538B7"/>
    <w:rsid w:val="009538B8"/>
    <w:rsid w:val="009538BC"/>
    <w:rsid w:val="009538E4"/>
    <w:rsid w:val="0095390B"/>
    <w:rsid w:val="0095392C"/>
    <w:rsid w:val="00953956"/>
    <w:rsid w:val="00953A33"/>
    <w:rsid w:val="00953A4F"/>
    <w:rsid w:val="00953A95"/>
    <w:rsid w:val="00953ABD"/>
    <w:rsid w:val="00953AC5"/>
    <w:rsid w:val="00953B34"/>
    <w:rsid w:val="00953B4F"/>
    <w:rsid w:val="00953B6D"/>
    <w:rsid w:val="00953B82"/>
    <w:rsid w:val="00953B83"/>
    <w:rsid w:val="00953B93"/>
    <w:rsid w:val="00953BA9"/>
    <w:rsid w:val="00953CED"/>
    <w:rsid w:val="00953D3E"/>
    <w:rsid w:val="00953D67"/>
    <w:rsid w:val="00953DBE"/>
    <w:rsid w:val="00953DC3"/>
    <w:rsid w:val="00953DD0"/>
    <w:rsid w:val="00953DF8"/>
    <w:rsid w:val="00953E14"/>
    <w:rsid w:val="00953EAA"/>
    <w:rsid w:val="00953F06"/>
    <w:rsid w:val="00953F17"/>
    <w:rsid w:val="00953F51"/>
    <w:rsid w:val="00953F7D"/>
    <w:rsid w:val="00953FAC"/>
    <w:rsid w:val="00953FFA"/>
    <w:rsid w:val="00954075"/>
    <w:rsid w:val="00954078"/>
    <w:rsid w:val="009540A6"/>
    <w:rsid w:val="00954184"/>
    <w:rsid w:val="009541D7"/>
    <w:rsid w:val="00954200"/>
    <w:rsid w:val="0095426C"/>
    <w:rsid w:val="00954328"/>
    <w:rsid w:val="00954340"/>
    <w:rsid w:val="009543C2"/>
    <w:rsid w:val="00954466"/>
    <w:rsid w:val="009544CF"/>
    <w:rsid w:val="00954541"/>
    <w:rsid w:val="0095454A"/>
    <w:rsid w:val="009545DC"/>
    <w:rsid w:val="009545DD"/>
    <w:rsid w:val="00954621"/>
    <w:rsid w:val="00954680"/>
    <w:rsid w:val="009546A9"/>
    <w:rsid w:val="0095474E"/>
    <w:rsid w:val="00954794"/>
    <w:rsid w:val="009547C9"/>
    <w:rsid w:val="0095481B"/>
    <w:rsid w:val="0095487E"/>
    <w:rsid w:val="009548CD"/>
    <w:rsid w:val="009548CF"/>
    <w:rsid w:val="009548DE"/>
    <w:rsid w:val="0095490D"/>
    <w:rsid w:val="00954979"/>
    <w:rsid w:val="00954987"/>
    <w:rsid w:val="009549C4"/>
    <w:rsid w:val="009549F3"/>
    <w:rsid w:val="00954ACC"/>
    <w:rsid w:val="00954B57"/>
    <w:rsid w:val="00954B5A"/>
    <w:rsid w:val="00954B80"/>
    <w:rsid w:val="00954BEF"/>
    <w:rsid w:val="00954C25"/>
    <w:rsid w:val="00954D46"/>
    <w:rsid w:val="00954D9C"/>
    <w:rsid w:val="00954DE7"/>
    <w:rsid w:val="00954E24"/>
    <w:rsid w:val="00954E2C"/>
    <w:rsid w:val="00954EB8"/>
    <w:rsid w:val="00954ED6"/>
    <w:rsid w:val="00954EDD"/>
    <w:rsid w:val="00954F6A"/>
    <w:rsid w:val="00954F8E"/>
    <w:rsid w:val="00954F92"/>
    <w:rsid w:val="00954FA0"/>
    <w:rsid w:val="00954FA8"/>
    <w:rsid w:val="00955054"/>
    <w:rsid w:val="009550D7"/>
    <w:rsid w:val="00955108"/>
    <w:rsid w:val="0095511A"/>
    <w:rsid w:val="0095514E"/>
    <w:rsid w:val="00955156"/>
    <w:rsid w:val="009551AE"/>
    <w:rsid w:val="009551B6"/>
    <w:rsid w:val="00955207"/>
    <w:rsid w:val="0095526F"/>
    <w:rsid w:val="0095527B"/>
    <w:rsid w:val="0095528C"/>
    <w:rsid w:val="00955292"/>
    <w:rsid w:val="00955298"/>
    <w:rsid w:val="009552B2"/>
    <w:rsid w:val="009552BB"/>
    <w:rsid w:val="009552C1"/>
    <w:rsid w:val="009552DC"/>
    <w:rsid w:val="009552E8"/>
    <w:rsid w:val="00955383"/>
    <w:rsid w:val="00955463"/>
    <w:rsid w:val="00955473"/>
    <w:rsid w:val="0095548E"/>
    <w:rsid w:val="009554DD"/>
    <w:rsid w:val="0095551E"/>
    <w:rsid w:val="00955569"/>
    <w:rsid w:val="00955596"/>
    <w:rsid w:val="009555C7"/>
    <w:rsid w:val="009555D8"/>
    <w:rsid w:val="00955721"/>
    <w:rsid w:val="009557A2"/>
    <w:rsid w:val="009557CF"/>
    <w:rsid w:val="00955819"/>
    <w:rsid w:val="0095584D"/>
    <w:rsid w:val="00955863"/>
    <w:rsid w:val="009558AE"/>
    <w:rsid w:val="009558FF"/>
    <w:rsid w:val="00955945"/>
    <w:rsid w:val="0095595D"/>
    <w:rsid w:val="009559AC"/>
    <w:rsid w:val="009559C9"/>
    <w:rsid w:val="009559E8"/>
    <w:rsid w:val="00955A1A"/>
    <w:rsid w:val="00955A28"/>
    <w:rsid w:val="00955B22"/>
    <w:rsid w:val="00955BA5"/>
    <w:rsid w:val="00955C1E"/>
    <w:rsid w:val="00955C2C"/>
    <w:rsid w:val="00955C59"/>
    <w:rsid w:val="00955C5C"/>
    <w:rsid w:val="00955CFD"/>
    <w:rsid w:val="00955CFE"/>
    <w:rsid w:val="00955D1E"/>
    <w:rsid w:val="00955D51"/>
    <w:rsid w:val="00955D5F"/>
    <w:rsid w:val="00955D8F"/>
    <w:rsid w:val="00955DC0"/>
    <w:rsid w:val="00955DDA"/>
    <w:rsid w:val="00955DFD"/>
    <w:rsid w:val="00955E1A"/>
    <w:rsid w:val="00955E6D"/>
    <w:rsid w:val="00955F12"/>
    <w:rsid w:val="00955FB9"/>
    <w:rsid w:val="00956065"/>
    <w:rsid w:val="00956114"/>
    <w:rsid w:val="0095612F"/>
    <w:rsid w:val="00956141"/>
    <w:rsid w:val="0095616D"/>
    <w:rsid w:val="00956170"/>
    <w:rsid w:val="0095617D"/>
    <w:rsid w:val="00956187"/>
    <w:rsid w:val="009561B5"/>
    <w:rsid w:val="009561FD"/>
    <w:rsid w:val="00956208"/>
    <w:rsid w:val="0095620E"/>
    <w:rsid w:val="0095628D"/>
    <w:rsid w:val="0095637E"/>
    <w:rsid w:val="0095642A"/>
    <w:rsid w:val="00956447"/>
    <w:rsid w:val="009564AD"/>
    <w:rsid w:val="009564C6"/>
    <w:rsid w:val="00956530"/>
    <w:rsid w:val="0095653F"/>
    <w:rsid w:val="00956598"/>
    <w:rsid w:val="0095659E"/>
    <w:rsid w:val="00956602"/>
    <w:rsid w:val="0095661C"/>
    <w:rsid w:val="0095663B"/>
    <w:rsid w:val="00956685"/>
    <w:rsid w:val="0095669E"/>
    <w:rsid w:val="009566A9"/>
    <w:rsid w:val="0095676C"/>
    <w:rsid w:val="00956783"/>
    <w:rsid w:val="00956799"/>
    <w:rsid w:val="009567C8"/>
    <w:rsid w:val="00956830"/>
    <w:rsid w:val="0095685D"/>
    <w:rsid w:val="0095688D"/>
    <w:rsid w:val="009568C4"/>
    <w:rsid w:val="00956934"/>
    <w:rsid w:val="00956935"/>
    <w:rsid w:val="0095693C"/>
    <w:rsid w:val="00956941"/>
    <w:rsid w:val="00956962"/>
    <w:rsid w:val="009569C6"/>
    <w:rsid w:val="00956A2B"/>
    <w:rsid w:val="00956A7B"/>
    <w:rsid w:val="00956B9C"/>
    <w:rsid w:val="00956BAC"/>
    <w:rsid w:val="00956BAF"/>
    <w:rsid w:val="00956BD2"/>
    <w:rsid w:val="00956BE9"/>
    <w:rsid w:val="00956C90"/>
    <w:rsid w:val="00956CBC"/>
    <w:rsid w:val="00956CDA"/>
    <w:rsid w:val="00956CE0"/>
    <w:rsid w:val="00956D25"/>
    <w:rsid w:val="00956D9C"/>
    <w:rsid w:val="00956DAB"/>
    <w:rsid w:val="00956DDA"/>
    <w:rsid w:val="00956DF2"/>
    <w:rsid w:val="00956E34"/>
    <w:rsid w:val="00956E45"/>
    <w:rsid w:val="00956E88"/>
    <w:rsid w:val="00956EAE"/>
    <w:rsid w:val="00956EFE"/>
    <w:rsid w:val="00956F07"/>
    <w:rsid w:val="00956F54"/>
    <w:rsid w:val="00956F77"/>
    <w:rsid w:val="00956F79"/>
    <w:rsid w:val="00956F7D"/>
    <w:rsid w:val="00956F81"/>
    <w:rsid w:val="00956FBD"/>
    <w:rsid w:val="00957004"/>
    <w:rsid w:val="0095704F"/>
    <w:rsid w:val="00957053"/>
    <w:rsid w:val="00957084"/>
    <w:rsid w:val="009570AC"/>
    <w:rsid w:val="009570BC"/>
    <w:rsid w:val="0095717B"/>
    <w:rsid w:val="0095717D"/>
    <w:rsid w:val="0095722E"/>
    <w:rsid w:val="009572A2"/>
    <w:rsid w:val="00957313"/>
    <w:rsid w:val="009573AD"/>
    <w:rsid w:val="00957410"/>
    <w:rsid w:val="009574BF"/>
    <w:rsid w:val="009574D8"/>
    <w:rsid w:val="009574DC"/>
    <w:rsid w:val="009574EA"/>
    <w:rsid w:val="00957514"/>
    <w:rsid w:val="00957630"/>
    <w:rsid w:val="0095765D"/>
    <w:rsid w:val="009576AC"/>
    <w:rsid w:val="00957705"/>
    <w:rsid w:val="0095779D"/>
    <w:rsid w:val="009577B3"/>
    <w:rsid w:val="009577BF"/>
    <w:rsid w:val="00957823"/>
    <w:rsid w:val="009578D6"/>
    <w:rsid w:val="009578EC"/>
    <w:rsid w:val="00957927"/>
    <w:rsid w:val="00957974"/>
    <w:rsid w:val="0095798E"/>
    <w:rsid w:val="00957A18"/>
    <w:rsid w:val="00957A36"/>
    <w:rsid w:val="00957A5D"/>
    <w:rsid w:val="00957A90"/>
    <w:rsid w:val="00957A92"/>
    <w:rsid w:val="00957AE2"/>
    <w:rsid w:val="00957AE6"/>
    <w:rsid w:val="00957B25"/>
    <w:rsid w:val="00957B37"/>
    <w:rsid w:val="00957B5B"/>
    <w:rsid w:val="00957BA9"/>
    <w:rsid w:val="00957BC6"/>
    <w:rsid w:val="00957C06"/>
    <w:rsid w:val="00957C1E"/>
    <w:rsid w:val="00957C35"/>
    <w:rsid w:val="00957C50"/>
    <w:rsid w:val="00957C78"/>
    <w:rsid w:val="00957CF2"/>
    <w:rsid w:val="00957D38"/>
    <w:rsid w:val="00957DBC"/>
    <w:rsid w:val="00957DE6"/>
    <w:rsid w:val="00957E1A"/>
    <w:rsid w:val="00957E1E"/>
    <w:rsid w:val="00957E97"/>
    <w:rsid w:val="00957E9C"/>
    <w:rsid w:val="00957EA9"/>
    <w:rsid w:val="00957EC4"/>
    <w:rsid w:val="00957F0A"/>
    <w:rsid w:val="00957F32"/>
    <w:rsid w:val="00957F6B"/>
    <w:rsid w:val="00957FA5"/>
    <w:rsid w:val="00957FB3"/>
    <w:rsid w:val="00957FFB"/>
    <w:rsid w:val="0095D822"/>
    <w:rsid w:val="00960004"/>
    <w:rsid w:val="00960034"/>
    <w:rsid w:val="0096006A"/>
    <w:rsid w:val="009600A6"/>
    <w:rsid w:val="009600DC"/>
    <w:rsid w:val="00960182"/>
    <w:rsid w:val="009601A2"/>
    <w:rsid w:val="009601A5"/>
    <w:rsid w:val="0096020C"/>
    <w:rsid w:val="00960233"/>
    <w:rsid w:val="0096027D"/>
    <w:rsid w:val="009602DE"/>
    <w:rsid w:val="009602F9"/>
    <w:rsid w:val="0096038D"/>
    <w:rsid w:val="009603D3"/>
    <w:rsid w:val="009603D5"/>
    <w:rsid w:val="009604BE"/>
    <w:rsid w:val="009604C9"/>
    <w:rsid w:val="00960509"/>
    <w:rsid w:val="00960535"/>
    <w:rsid w:val="0096053A"/>
    <w:rsid w:val="00960560"/>
    <w:rsid w:val="009605E9"/>
    <w:rsid w:val="00960632"/>
    <w:rsid w:val="00960638"/>
    <w:rsid w:val="009606AE"/>
    <w:rsid w:val="009606FD"/>
    <w:rsid w:val="00960711"/>
    <w:rsid w:val="00960743"/>
    <w:rsid w:val="00960772"/>
    <w:rsid w:val="009607AE"/>
    <w:rsid w:val="009607CE"/>
    <w:rsid w:val="009607D5"/>
    <w:rsid w:val="0096082C"/>
    <w:rsid w:val="0096083C"/>
    <w:rsid w:val="0096084C"/>
    <w:rsid w:val="00960879"/>
    <w:rsid w:val="009608B7"/>
    <w:rsid w:val="009608F0"/>
    <w:rsid w:val="0096093B"/>
    <w:rsid w:val="0096097A"/>
    <w:rsid w:val="009609B2"/>
    <w:rsid w:val="009609D1"/>
    <w:rsid w:val="00960A46"/>
    <w:rsid w:val="00960A85"/>
    <w:rsid w:val="00960A98"/>
    <w:rsid w:val="00960AA0"/>
    <w:rsid w:val="00960AEE"/>
    <w:rsid w:val="00960BC3"/>
    <w:rsid w:val="00960BC9"/>
    <w:rsid w:val="00960BD4"/>
    <w:rsid w:val="00960CB7"/>
    <w:rsid w:val="00960CBB"/>
    <w:rsid w:val="00960CC8"/>
    <w:rsid w:val="00960CED"/>
    <w:rsid w:val="00960CFD"/>
    <w:rsid w:val="00960D03"/>
    <w:rsid w:val="00960D14"/>
    <w:rsid w:val="00960D7C"/>
    <w:rsid w:val="00960DC0"/>
    <w:rsid w:val="00960E28"/>
    <w:rsid w:val="00960E2B"/>
    <w:rsid w:val="00960E6D"/>
    <w:rsid w:val="00960F38"/>
    <w:rsid w:val="00960F4F"/>
    <w:rsid w:val="00960F9A"/>
    <w:rsid w:val="00960FB5"/>
    <w:rsid w:val="00960FD5"/>
    <w:rsid w:val="0096102D"/>
    <w:rsid w:val="0096102F"/>
    <w:rsid w:val="0096105B"/>
    <w:rsid w:val="0096105E"/>
    <w:rsid w:val="0096106D"/>
    <w:rsid w:val="009610C8"/>
    <w:rsid w:val="0096110F"/>
    <w:rsid w:val="00961138"/>
    <w:rsid w:val="00961140"/>
    <w:rsid w:val="00961190"/>
    <w:rsid w:val="009611B8"/>
    <w:rsid w:val="009611CD"/>
    <w:rsid w:val="009611FF"/>
    <w:rsid w:val="00961223"/>
    <w:rsid w:val="0096122F"/>
    <w:rsid w:val="0096124E"/>
    <w:rsid w:val="00961270"/>
    <w:rsid w:val="00961284"/>
    <w:rsid w:val="00961297"/>
    <w:rsid w:val="0096138F"/>
    <w:rsid w:val="009613A3"/>
    <w:rsid w:val="0096140D"/>
    <w:rsid w:val="00961415"/>
    <w:rsid w:val="009614C3"/>
    <w:rsid w:val="009614CB"/>
    <w:rsid w:val="009614E4"/>
    <w:rsid w:val="00961596"/>
    <w:rsid w:val="00961673"/>
    <w:rsid w:val="0096168F"/>
    <w:rsid w:val="009617B4"/>
    <w:rsid w:val="009617BD"/>
    <w:rsid w:val="00961836"/>
    <w:rsid w:val="00961866"/>
    <w:rsid w:val="0096190D"/>
    <w:rsid w:val="0096192B"/>
    <w:rsid w:val="00961A59"/>
    <w:rsid w:val="00961A9F"/>
    <w:rsid w:val="00961AB5"/>
    <w:rsid w:val="00961B1C"/>
    <w:rsid w:val="00961B58"/>
    <w:rsid w:val="00961BB7"/>
    <w:rsid w:val="00961BF9"/>
    <w:rsid w:val="00961C2C"/>
    <w:rsid w:val="00961C49"/>
    <w:rsid w:val="00961C6D"/>
    <w:rsid w:val="00961C7E"/>
    <w:rsid w:val="00961CB6"/>
    <w:rsid w:val="00961CED"/>
    <w:rsid w:val="00961D1D"/>
    <w:rsid w:val="00961D44"/>
    <w:rsid w:val="00961D75"/>
    <w:rsid w:val="00961E15"/>
    <w:rsid w:val="00961E2A"/>
    <w:rsid w:val="00961E39"/>
    <w:rsid w:val="00961E75"/>
    <w:rsid w:val="00961EFE"/>
    <w:rsid w:val="00961F07"/>
    <w:rsid w:val="00961F95"/>
    <w:rsid w:val="00961FCF"/>
    <w:rsid w:val="00961FDD"/>
    <w:rsid w:val="00962086"/>
    <w:rsid w:val="009620B9"/>
    <w:rsid w:val="009620CD"/>
    <w:rsid w:val="009620D5"/>
    <w:rsid w:val="009620E5"/>
    <w:rsid w:val="0096210B"/>
    <w:rsid w:val="00962144"/>
    <w:rsid w:val="0096216D"/>
    <w:rsid w:val="00962187"/>
    <w:rsid w:val="00962195"/>
    <w:rsid w:val="009621C4"/>
    <w:rsid w:val="00962201"/>
    <w:rsid w:val="00962256"/>
    <w:rsid w:val="00962260"/>
    <w:rsid w:val="0096233D"/>
    <w:rsid w:val="0096236F"/>
    <w:rsid w:val="00962385"/>
    <w:rsid w:val="009623B1"/>
    <w:rsid w:val="009623B5"/>
    <w:rsid w:val="009623DB"/>
    <w:rsid w:val="009623F1"/>
    <w:rsid w:val="0096240D"/>
    <w:rsid w:val="00962448"/>
    <w:rsid w:val="00962450"/>
    <w:rsid w:val="0096247C"/>
    <w:rsid w:val="00962485"/>
    <w:rsid w:val="009624C2"/>
    <w:rsid w:val="009624DD"/>
    <w:rsid w:val="0096254A"/>
    <w:rsid w:val="009625A7"/>
    <w:rsid w:val="009625EE"/>
    <w:rsid w:val="00962638"/>
    <w:rsid w:val="0096267E"/>
    <w:rsid w:val="009626AC"/>
    <w:rsid w:val="009626B1"/>
    <w:rsid w:val="0096279C"/>
    <w:rsid w:val="009627CA"/>
    <w:rsid w:val="009627DA"/>
    <w:rsid w:val="009627E1"/>
    <w:rsid w:val="0096280D"/>
    <w:rsid w:val="0096281D"/>
    <w:rsid w:val="0096287C"/>
    <w:rsid w:val="009628A9"/>
    <w:rsid w:val="009628BC"/>
    <w:rsid w:val="009628DF"/>
    <w:rsid w:val="009628EC"/>
    <w:rsid w:val="00962971"/>
    <w:rsid w:val="00962A3C"/>
    <w:rsid w:val="00962A4C"/>
    <w:rsid w:val="00962A9D"/>
    <w:rsid w:val="00962AA9"/>
    <w:rsid w:val="00962B60"/>
    <w:rsid w:val="00962B86"/>
    <w:rsid w:val="00962BF3"/>
    <w:rsid w:val="00962C3C"/>
    <w:rsid w:val="00962C3F"/>
    <w:rsid w:val="00962C64"/>
    <w:rsid w:val="00962D23"/>
    <w:rsid w:val="00962DA6"/>
    <w:rsid w:val="00962DA7"/>
    <w:rsid w:val="00962E11"/>
    <w:rsid w:val="00962E45"/>
    <w:rsid w:val="00962EB0"/>
    <w:rsid w:val="00962EB9"/>
    <w:rsid w:val="00962EBB"/>
    <w:rsid w:val="00962EBD"/>
    <w:rsid w:val="00962F23"/>
    <w:rsid w:val="00962F29"/>
    <w:rsid w:val="00962F2A"/>
    <w:rsid w:val="00962F43"/>
    <w:rsid w:val="00962F90"/>
    <w:rsid w:val="00962FC0"/>
    <w:rsid w:val="00962FD6"/>
    <w:rsid w:val="00962FE0"/>
    <w:rsid w:val="00962FE9"/>
    <w:rsid w:val="00962FFE"/>
    <w:rsid w:val="009630BD"/>
    <w:rsid w:val="009630D3"/>
    <w:rsid w:val="00963110"/>
    <w:rsid w:val="00963189"/>
    <w:rsid w:val="00963224"/>
    <w:rsid w:val="009632AC"/>
    <w:rsid w:val="0096330B"/>
    <w:rsid w:val="00963333"/>
    <w:rsid w:val="00963356"/>
    <w:rsid w:val="0096339B"/>
    <w:rsid w:val="00963443"/>
    <w:rsid w:val="00963458"/>
    <w:rsid w:val="009634A1"/>
    <w:rsid w:val="009634A5"/>
    <w:rsid w:val="0096351A"/>
    <w:rsid w:val="00963528"/>
    <w:rsid w:val="009635A1"/>
    <w:rsid w:val="009635C4"/>
    <w:rsid w:val="0096360B"/>
    <w:rsid w:val="00963617"/>
    <w:rsid w:val="0096361E"/>
    <w:rsid w:val="0096361F"/>
    <w:rsid w:val="00963628"/>
    <w:rsid w:val="0096369C"/>
    <w:rsid w:val="009636D1"/>
    <w:rsid w:val="0096371C"/>
    <w:rsid w:val="00963748"/>
    <w:rsid w:val="009637F0"/>
    <w:rsid w:val="0096384A"/>
    <w:rsid w:val="009638A5"/>
    <w:rsid w:val="0096390D"/>
    <w:rsid w:val="0096395D"/>
    <w:rsid w:val="009639AD"/>
    <w:rsid w:val="009639B9"/>
    <w:rsid w:val="009639CF"/>
    <w:rsid w:val="00963A02"/>
    <w:rsid w:val="00963A36"/>
    <w:rsid w:val="00963A5B"/>
    <w:rsid w:val="00963A6F"/>
    <w:rsid w:val="00963A9F"/>
    <w:rsid w:val="00963AC8"/>
    <w:rsid w:val="00963B3D"/>
    <w:rsid w:val="00963B6E"/>
    <w:rsid w:val="00963B70"/>
    <w:rsid w:val="00963B8C"/>
    <w:rsid w:val="00963BD5"/>
    <w:rsid w:val="00963BEC"/>
    <w:rsid w:val="00963C09"/>
    <w:rsid w:val="00963C51"/>
    <w:rsid w:val="00963D22"/>
    <w:rsid w:val="00963D30"/>
    <w:rsid w:val="00963D88"/>
    <w:rsid w:val="00963DCB"/>
    <w:rsid w:val="00963DD9"/>
    <w:rsid w:val="00963DEE"/>
    <w:rsid w:val="00963E1A"/>
    <w:rsid w:val="00963E2D"/>
    <w:rsid w:val="00963E97"/>
    <w:rsid w:val="00963ECB"/>
    <w:rsid w:val="00963ED2"/>
    <w:rsid w:val="00963F21"/>
    <w:rsid w:val="00963F33"/>
    <w:rsid w:val="00963F37"/>
    <w:rsid w:val="00963FAE"/>
    <w:rsid w:val="00964032"/>
    <w:rsid w:val="00964045"/>
    <w:rsid w:val="0096405F"/>
    <w:rsid w:val="009641A3"/>
    <w:rsid w:val="009641EE"/>
    <w:rsid w:val="0096422A"/>
    <w:rsid w:val="00964232"/>
    <w:rsid w:val="00964278"/>
    <w:rsid w:val="009642D0"/>
    <w:rsid w:val="00964315"/>
    <w:rsid w:val="0096432E"/>
    <w:rsid w:val="00964332"/>
    <w:rsid w:val="0096435F"/>
    <w:rsid w:val="0096441D"/>
    <w:rsid w:val="0096444C"/>
    <w:rsid w:val="00964468"/>
    <w:rsid w:val="009644AB"/>
    <w:rsid w:val="009644D5"/>
    <w:rsid w:val="00964514"/>
    <w:rsid w:val="0096453A"/>
    <w:rsid w:val="0096457B"/>
    <w:rsid w:val="00964637"/>
    <w:rsid w:val="00964650"/>
    <w:rsid w:val="0096467F"/>
    <w:rsid w:val="00964689"/>
    <w:rsid w:val="009646DA"/>
    <w:rsid w:val="0096473B"/>
    <w:rsid w:val="00964780"/>
    <w:rsid w:val="009647A3"/>
    <w:rsid w:val="009647A4"/>
    <w:rsid w:val="009647B2"/>
    <w:rsid w:val="00964825"/>
    <w:rsid w:val="00964856"/>
    <w:rsid w:val="0096485C"/>
    <w:rsid w:val="00964890"/>
    <w:rsid w:val="00964894"/>
    <w:rsid w:val="0096489A"/>
    <w:rsid w:val="009648D7"/>
    <w:rsid w:val="009648F6"/>
    <w:rsid w:val="009648FD"/>
    <w:rsid w:val="00964909"/>
    <w:rsid w:val="00964920"/>
    <w:rsid w:val="0096493F"/>
    <w:rsid w:val="0096494B"/>
    <w:rsid w:val="00964968"/>
    <w:rsid w:val="009649D7"/>
    <w:rsid w:val="009649FD"/>
    <w:rsid w:val="00964A23"/>
    <w:rsid w:val="00964A50"/>
    <w:rsid w:val="00964A78"/>
    <w:rsid w:val="00964AC6"/>
    <w:rsid w:val="00964AE7"/>
    <w:rsid w:val="00964B68"/>
    <w:rsid w:val="00964B89"/>
    <w:rsid w:val="00964BF0"/>
    <w:rsid w:val="00964C67"/>
    <w:rsid w:val="00964C86"/>
    <w:rsid w:val="00964CBF"/>
    <w:rsid w:val="00964CE6"/>
    <w:rsid w:val="00964CF5"/>
    <w:rsid w:val="00964CFE"/>
    <w:rsid w:val="00964D09"/>
    <w:rsid w:val="00964DB3"/>
    <w:rsid w:val="00964DC8"/>
    <w:rsid w:val="00964E8E"/>
    <w:rsid w:val="00964F1A"/>
    <w:rsid w:val="00964F1B"/>
    <w:rsid w:val="00964F52"/>
    <w:rsid w:val="00964F58"/>
    <w:rsid w:val="00964F75"/>
    <w:rsid w:val="00964FF7"/>
    <w:rsid w:val="00965013"/>
    <w:rsid w:val="00965019"/>
    <w:rsid w:val="00965029"/>
    <w:rsid w:val="0096508D"/>
    <w:rsid w:val="009650C8"/>
    <w:rsid w:val="009650FC"/>
    <w:rsid w:val="0096511C"/>
    <w:rsid w:val="0096516A"/>
    <w:rsid w:val="009651F6"/>
    <w:rsid w:val="009651F8"/>
    <w:rsid w:val="0096521A"/>
    <w:rsid w:val="00965289"/>
    <w:rsid w:val="009652B2"/>
    <w:rsid w:val="009652EA"/>
    <w:rsid w:val="00965301"/>
    <w:rsid w:val="00965314"/>
    <w:rsid w:val="0096534B"/>
    <w:rsid w:val="00965379"/>
    <w:rsid w:val="009653A9"/>
    <w:rsid w:val="009653B6"/>
    <w:rsid w:val="0096545B"/>
    <w:rsid w:val="009654F6"/>
    <w:rsid w:val="0096551A"/>
    <w:rsid w:val="00965526"/>
    <w:rsid w:val="009655F8"/>
    <w:rsid w:val="0096562C"/>
    <w:rsid w:val="009656EE"/>
    <w:rsid w:val="00965708"/>
    <w:rsid w:val="0096570D"/>
    <w:rsid w:val="00965731"/>
    <w:rsid w:val="0096579E"/>
    <w:rsid w:val="009657CF"/>
    <w:rsid w:val="0096581A"/>
    <w:rsid w:val="009658BA"/>
    <w:rsid w:val="00965903"/>
    <w:rsid w:val="0096590C"/>
    <w:rsid w:val="00965A67"/>
    <w:rsid w:val="00965B36"/>
    <w:rsid w:val="00965B4C"/>
    <w:rsid w:val="00965B8D"/>
    <w:rsid w:val="00965BEF"/>
    <w:rsid w:val="00965BF8"/>
    <w:rsid w:val="00965C7B"/>
    <w:rsid w:val="00965D0F"/>
    <w:rsid w:val="00965D2B"/>
    <w:rsid w:val="00965D4D"/>
    <w:rsid w:val="00965D54"/>
    <w:rsid w:val="00965D6D"/>
    <w:rsid w:val="00965DF3"/>
    <w:rsid w:val="00965E6B"/>
    <w:rsid w:val="00965E6C"/>
    <w:rsid w:val="00965F2D"/>
    <w:rsid w:val="00965FA8"/>
    <w:rsid w:val="00966016"/>
    <w:rsid w:val="009660B9"/>
    <w:rsid w:val="0096613A"/>
    <w:rsid w:val="0096614D"/>
    <w:rsid w:val="009661DE"/>
    <w:rsid w:val="00966203"/>
    <w:rsid w:val="0096629D"/>
    <w:rsid w:val="009662A7"/>
    <w:rsid w:val="00966372"/>
    <w:rsid w:val="00966387"/>
    <w:rsid w:val="0096639E"/>
    <w:rsid w:val="009663C5"/>
    <w:rsid w:val="009664B6"/>
    <w:rsid w:val="00966540"/>
    <w:rsid w:val="0096659C"/>
    <w:rsid w:val="009665EA"/>
    <w:rsid w:val="00966618"/>
    <w:rsid w:val="00966635"/>
    <w:rsid w:val="00966650"/>
    <w:rsid w:val="0096667E"/>
    <w:rsid w:val="00966753"/>
    <w:rsid w:val="009667EE"/>
    <w:rsid w:val="00966806"/>
    <w:rsid w:val="0096683B"/>
    <w:rsid w:val="00966904"/>
    <w:rsid w:val="0096690A"/>
    <w:rsid w:val="00966963"/>
    <w:rsid w:val="00966999"/>
    <w:rsid w:val="00966A92"/>
    <w:rsid w:val="00966AF6"/>
    <w:rsid w:val="00966BCD"/>
    <w:rsid w:val="00966BFB"/>
    <w:rsid w:val="00966CA0"/>
    <w:rsid w:val="00966CF3"/>
    <w:rsid w:val="00966D45"/>
    <w:rsid w:val="00966D71"/>
    <w:rsid w:val="00966D80"/>
    <w:rsid w:val="00966D91"/>
    <w:rsid w:val="00966DA6"/>
    <w:rsid w:val="00966DE9"/>
    <w:rsid w:val="00966E00"/>
    <w:rsid w:val="00966E06"/>
    <w:rsid w:val="00966E54"/>
    <w:rsid w:val="00966E69"/>
    <w:rsid w:val="00966F31"/>
    <w:rsid w:val="00966F58"/>
    <w:rsid w:val="00966FAF"/>
    <w:rsid w:val="00966FEC"/>
    <w:rsid w:val="00966FF0"/>
    <w:rsid w:val="00967048"/>
    <w:rsid w:val="009670BB"/>
    <w:rsid w:val="009670CC"/>
    <w:rsid w:val="009670E0"/>
    <w:rsid w:val="0096711D"/>
    <w:rsid w:val="009671E5"/>
    <w:rsid w:val="00967216"/>
    <w:rsid w:val="009672AC"/>
    <w:rsid w:val="009672D2"/>
    <w:rsid w:val="009672FB"/>
    <w:rsid w:val="00967317"/>
    <w:rsid w:val="0096736E"/>
    <w:rsid w:val="009673B8"/>
    <w:rsid w:val="009673BF"/>
    <w:rsid w:val="009673D0"/>
    <w:rsid w:val="0096741E"/>
    <w:rsid w:val="0096742D"/>
    <w:rsid w:val="00967470"/>
    <w:rsid w:val="00967478"/>
    <w:rsid w:val="009674AB"/>
    <w:rsid w:val="009674F0"/>
    <w:rsid w:val="009674F7"/>
    <w:rsid w:val="00967541"/>
    <w:rsid w:val="00967583"/>
    <w:rsid w:val="0096758D"/>
    <w:rsid w:val="00967593"/>
    <w:rsid w:val="0096759E"/>
    <w:rsid w:val="009675A9"/>
    <w:rsid w:val="009675AA"/>
    <w:rsid w:val="00967608"/>
    <w:rsid w:val="0096765B"/>
    <w:rsid w:val="00967686"/>
    <w:rsid w:val="00967692"/>
    <w:rsid w:val="00967721"/>
    <w:rsid w:val="0096772C"/>
    <w:rsid w:val="00967733"/>
    <w:rsid w:val="00967759"/>
    <w:rsid w:val="0096775B"/>
    <w:rsid w:val="00967761"/>
    <w:rsid w:val="00967784"/>
    <w:rsid w:val="00967797"/>
    <w:rsid w:val="00967798"/>
    <w:rsid w:val="00967862"/>
    <w:rsid w:val="0096786A"/>
    <w:rsid w:val="00967870"/>
    <w:rsid w:val="009678AD"/>
    <w:rsid w:val="00967980"/>
    <w:rsid w:val="00967997"/>
    <w:rsid w:val="00967A0F"/>
    <w:rsid w:val="00967AB1"/>
    <w:rsid w:val="00967ADA"/>
    <w:rsid w:val="00967B03"/>
    <w:rsid w:val="00967B1D"/>
    <w:rsid w:val="00967B42"/>
    <w:rsid w:val="00967B47"/>
    <w:rsid w:val="00967B4B"/>
    <w:rsid w:val="00967B5E"/>
    <w:rsid w:val="00967B5F"/>
    <w:rsid w:val="00967B77"/>
    <w:rsid w:val="00967B8A"/>
    <w:rsid w:val="00967BC5"/>
    <w:rsid w:val="00967C6A"/>
    <w:rsid w:val="00967CE6"/>
    <w:rsid w:val="00967D18"/>
    <w:rsid w:val="00967D37"/>
    <w:rsid w:val="00967D51"/>
    <w:rsid w:val="00967D74"/>
    <w:rsid w:val="00967E3D"/>
    <w:rsid w:val="00967E49"/>
    <w:rsid w:val="00967E61"/>
    <w:rsid w:val="00967F8B"/>
    <w:rsid w:val="0097000E"/>
    <w:rsid w:val="00970092"/>
    <w:rsid w:val="009700D4"/>
    <w:rsid w:val="009700D6"/>
    <w:rsid w:val="00970115"/>
    <w:rsid w:val="00970178"/>
    <w:rsid w:val="0097018A"/>
    <w:rsid w:val="009701AB"/>
    <w:rsid w:val="009701CB"/>
    <w:rsid w:val="0097025A"/>
    <w:rsid w:val="0097026B"/>
    <w:rsid w:val="0097026F"/>
    <w:rsid w:val="00970285"/>
    <w:rsid w:val="009702DE"/>
    <w:rsid w:val="009702FD"/>
    <w:rsid w:val="00970315"/>
    <w:rsid w:val="0097034D"/>
    <w:rsid w:val="0097034E"/>
    <w:rsid w:val="00970372"/>
    <w:rsid w:val="00970392"/>
    <w:rsid w:val="009703AC"/>
    <w:rsid w:val="009703C5"/>
    <w:rsid w:val="009703F3"/>
    <w:rsid w:val="009703FE"/>
    <w:rsid w:val="00970403"/>
    <w:rsid w:val="00970496"/>
    <w:rsid w:val="009704C0"/>
    <w:rsid w:val="009704CD"/>
    <w:rsid w:val="009704F1"/>
    <w:rsid w:val="00970530"/>
    <w:rsid w:val="00970644"/>
    <w:rsid w:val="00970694"/>
    <w:rsid w:val="00970698"/>
    <w:rsid w:val="00970713"/>
    <w:rsid w:val="00970767"/>
    <w:rsid w:val="009707D0"/>
    <w:rsid w:val="00970828"/>
    <w:rsid w:val="009708D8"/>
    <w:rsid w:val="00970910"/>
    <w:rsid w:val="00970917"/>
    <w:rsid w:val="00970930"/>
    <w:rsid w:val="009709C5"/>
    <w:rsid w:val="00970A01"/>
    <w:rsid w:val="00970A1D"/>
    <w:rsid w:val="00970A99"/>
    <w:rsid w:val="00970ADD"/>
    <w:rsid w:val="00970AE6"/>
    <w:rsid w:val="00970B3C"/>
    <w:rsid w:val="00970B9A"/>
    <w:rsid w:val="00970BBD"/>
    <w:rsid w:val="00970BFA"/>
    <w:rsid w:val="00970C0E"/>
    <w:rsid w:val="00970C40"/>
    <w:rsid w:val="00970C5E"/>
    <w:rsid w:val="00970CD6"/>
    <w:rsid w:val="00970CF2"/>
    <w:rsid w:val="00970D1F"/>
    <w:rsid w:val="00970DAF"/>
    <w:rsid w:val="00970DB5"/>
    <w:rsid w:val="00970E5E"/>
    <w:rsid w:val="00970EDD"/>
    <w:rsid w:val="00970EE7"/>
    <w:rsid w:val="00970EED"/>
    <w:rsid w:val="00970F3A"/>
    <w:rsid w:val="00970F4A"/>
    <w:rsid w:val="00970FA8"/>
    <w:rsid w:val="00970FCA"/>
    <w:rsid w:val="00970FEA"/>
    <w:rsid w:val="0097109A"/>
    <w:rsid w:val="009710B0"/>
    <w:rsid w:val="009710D0"/>
    <w:rsid w:val="00971103"/>
    <w:rsid w:val="00971131"/>
    <w:rsid w:val="0097114C"/>
    <w:rsid w:val="0097117A"/>
    <w:rsid w:val="009711E9"/>
    <w:rsid w:val="0097120A"/>
    <w:rsid w:val="00971331"/>
    <w:rsid w:val="00971397"/>
    <w:rsid w:val="009713A1"/>
    <w:rsid w:val="009713AD"/>
    <w:rsid w:val="0097149E"/>
    <w:rsid w:val="0097149F"/>
    <w:rsid w:val="009714AE"/>
    <w:rsid w:val="009714C8"/>
    <w:rsid w:val="009715ED"/>
    <w:rsid w:val="009715F0"/>
    <w:rsid w:val="00971611"/>
    <w:rsid w:val="00971692"/>
    <w:rsid w:val="009716BB"/>
    <w:rsid w:val="009716EB"/>
    <w:rsid w:val="009717A1"/>
    <w:rsid w:val="009717E4"/>
    <w:rsid w:val="00971832"/>
    <w:rsid w:val="00971841"/>
    <w:rsid w:val="00971944"/>
    <w:rsid w:val="00971949"/>
    <w:rsid w:val="00971954"/>
    <w:rsid w:val="009719C1"/>
    <w:rsid w:val="009719DC"/>
    <w:rsid w:val="00971A1C"/>
    <w:rsid w:val="00971A57"/>
    <w:rsid w:val="00971A61"/>
    <w:rsid w:val="00971A7D"/>
    <w:rsid w:val="00971ABA"/>
    <w:rsid w:val="00971ABB"/>
    <w:rsid w:val="00971AFF"/>
    <w:rsid w:val="00971B2F"/>
    <w:rsid w:val="00971B56"/>
    <w:rsid w:val="00971B95"/>
    <w:rsid w:val="00971C1F"/>
    <w:rsid w:val="00971C3B"/>
    <w:rsid w:val="00971C3C"/>
    <w:rsid w:val="00971C80"/>
    <w:rsid w:val="00971C83"/>
    <w:rsid w:val="00971CA4"/>
    <w:rsid w:val="00971CBE"/>
    <w:rsid w:val="00971CE8"/>
    <w:rsid w:val="00971CF4"/>
    <w:rsid w:val="00971D32"/>
    <w:rsid w:val="00971D56"/>
    <w:rsid w:val="00971D5D"/>
    <w:rsid w:val="00971DAC"/>
    <w:rsid w:val="00971DEA"/>
    <w:rsid w:val="00971DEC"/>
    <w:rsid w:val="00971DFE"/>
    <w:rsid w:val="00971E3A"/>
    <w:rsid w:val="00971E72"/>
    <w:rsid w:val="00971EFE"/>
    <w:rsid w:val="00971F3E"/>
    <w:rsid w:val="00971FBB"/>
    <w:rsid w:val="00971FC2"/>
    <w:rsid w:val="009720CE"/>
    <w:rsid w:val="009720D2"/>
    <w:rsid w:val="009720E4"/>
    <w:rsid w:val="00972123"/>
    <w:rsid w:val="00972140"/>
    <w:rsid w:val="0097214C"/>
    <w:rsid w:val="00972159"/>
    <w:rsid w:val="00972187"/>
    <w:rsid w:val="0097219C"/>
    <w:rsid w:val="009721E1"/>
    <w:rsid w:val="0097220D"/>
    <w:rsid w:val="00972266"/>
    <w:rsid w:val="0097228C"/>
    <w:rsid w:val="009722D8"/>
    <w:rsid w:val="00972349"/>
    <w:rsid w:val="00972353"/>
    <w:rsid w:val="00972384"/>
    <w:rsid w:val="00972433"/>
    <w:rsid w:val="0097244E"/>
    <w:rsid w:val="00972496"/>
    <w:rsid w:val="009724B2"/>
    <w:rsid w:val="009724BD"/>
    <w:rsid w:val="009724FD"/>
    <w:rsid w:val="0097255D"/>
    <w:rsid w:val="0097259B"/>
    <w:rsid w:val="009725D9"/>
    <w:rsid w:val="0097260D"/>
    <w:rsid w:val="00972658"/>
    <w:rsid w:val="00972716"/>
    <w:rsid w:val="00972748"/>
    <w:rsid w:val="00972762"/>
    <w:rsid w:val="0097279E"/>
    <w:rsid w:val="009727AB"/>
    <w:rsid w:val="00972862"/>
    <w:rsid w:val="0097286D"/>
    <w:rsid w:val="009728BC"/>
    <w:rsid w:val="009728D8"/>
    <w:rsid w:val="009728F1"/>
    <w:rsid w:val="00972947"/>
    <w:rsid w:val="00972956"/>
    <w:rsid w:val="009729B8"/>
    <w:rsid w:val="009729CE"/>
    <w:rsid w:val="009729D8"/>
    <w:rsid w:val="00972A3C"/>
    <w:rsid w:val="00972A6F"/>
    <w:rsid w:val="00972A7F"/>
    <w:rsid w:val="00972A87"/>
    <w:rsid w:val="00972AF8"/>
    <w:rsid w:val="00972B2C"/>
    <w:rsid w:val="00972B78"/>
    <w:rsid w:val="00972C66"/>
    <w:rsid w:val="00972C74"/>
    <w:rsid w:val="00972CB7"/>
    <w:rsid w:val="00972CBC"/>
    <w:rsid w:val="00972CCF"/>
    <w:rsid w:val="00972D21"/>
    <w:rsid w:val="00972D47"/>
    <w:rsid w:val="00972D66"/>
    <w:rsid w:val="00972DB4"/>
    <w:rsid w:val="00972F15"/>
    <w:rsid w:val="00972F22"/>
    <w:rsid w:val="00972F36"/>
    <w:rsid w:val="00972F80"/>
    <w:rsid w:val="00972F82"/>
    <w:rsid w:val="00972FA2"/>
    <w:rsid w:val="00972FB6"/>
    <w:rsid w:val="00972FF6"/>
    <w:rsid w:val="00973028"/>
    <w:rsid w:val="0097307A"/>
    <w:rsid w:val="0097307B"/>
    <w:rsid w:val="009730DB"/>
    <w:rsid w:val="009730E1"/>
    <w:rsid w:val="0097312D"/>
    <w:rsid w:val="00973140"/>
    <w:rsid w:val="00973168"/>
    <w:rsid w:val="00973181"/>
    <w:rsid w:val="009731D1"/>
    <w:rsid w:val="009731FC"/>
    <w:rsid w:val="009731FE"/>
    <w:rsid w:val="00973227"/>
    <w:rsid w:val="00973259"/>
    <w:rsid w:val="00973272"/>
    <w:rsid w:val="009732CF"/>
    <w:rsid w:val="009732D3"/>
    <w:rsid w:val="009732D4"/>
    <w:rsid w:val="009732D7"/>
    <w:rsid w:val="00973333"/>
    <w:rsid w:val="00973355"/>
    <w:rsid w:val="0097337E"/>
    <w:rsid w:val="0097338A"/>
    <w:rsid w:val="009733E6"/>
    <w:rsid w:val="0097344E"/>
    <w:rsid w:val="00973464"/>
    <w:rsid w:val="009734B5"/>
    <w:rsid w:val="00973561"/>
    <w:rsid w:val="00973586"/>
    <w:rsid w:val="009735D2"/>
    <w:rsid w:val="009735D8"/>
    <w:rsid w:val="0097366F"/>
    <w:rsid w:val="00973687"/>
    <w:rsid w:val="009736B8"/>
    <w:rsid w:val="009737A8"/>
    <w:rsid w:val="009737BB"/>
    <w:rsid w:val="009737C8"/>
    <w:rsid w:val="00973809"/>
    <w:rsid w:val="0097380D"/>
    <w:rsid w:val="0097381F"/>
    <w:rsid w:val="00973832"/>
    <w:rsid w:val="0097385B"/>
    <w:rsid w:val="00973875"/>
    <w:rsid w:val="009738D3"/>
    <w:rsid w:val="00973973"/>
    <w:rsid w:val="00973A27"/>
    <w:rsid w:val="00973A82"/>
    <w:rsid w:val="00973A93"/>
    <w:rsid w:val="00973ACF"/>
    <w:rsid w:val="00973AFF"/>
    <w:rsid w:val="00973B2A"/>
    <w:rsid w:val="00973B72"/>
    <w:rsid w:val="00973B7A"/>
    <w:rsid w:val="00973B8C"/>
    <w:rsid w:val="00973BD4"/>
    <w:rsid w:val="00973BF7"/>
    <w:rsid w:val="00973C1F"/>
    <w:rsid w:val="00973C26"/>
    <w:rsid w:val="00973C2E"/>
    <w:rsid w:val="00973C95"/>
    <w:rsid w:val="00973CA6"/>
    <w:rsid w:val="00973CC1"/>
    <w:rsid w:val="00973CD6"/>
    <w:rsid w:val="00973D18"/>
    <w:rsid w:val="00973D4C"/>
    <w:rsid w:val="00973D53"/>
    <w:rsid w:val="00973D68"/>
    <w:rsid w:val="00973DB7"/>
    <w:rsid w:val="00973E23"/>
    <w:rsid w:val="00973E27"/>
    <w:rsid w:val="00973E46"/>
    <w:rsid w:val="00973E5B"/>
    <w:rsid w:val="00973EC7"/>
    <w:rsid w:val="00973F62"/>
    <w:rsid w:val="00973F8E"/>
    <w:rsid w:val="00974010"/>
    <w:rsid w:val="0097401D"/>
    <w:rsid w:val="009740BD"/>
    <w:rsid w:val="0097414E"/>
    <w:rsid w:val="0097414F"/>
    <w:rsid w:val="00974151"/>
    <w:rsid w:val="0097418F"/>
    <w:rsid w:val="00974215"/>
    <w:rsid w:val="00974232"/>
    <w:rsid w:val="00974236"/>
    <w:rsid w:val="0097424A"/>
    <w:rsid w:val="009742C5"/>
    <w:rsid w:val="009742D3"/>
    <w:rsid w:val="0097432C"/>
    <w:rsid w:val="00974354"/>
    <w:rsid w:val="009743EF"/>
    <w:rsid w:val="0097440A"/>
    <w:rsid w:val="0097440C"/>
    <w:rsid w:val="0097443D"/>
    <w:rsid w:val="00974477"/>
    <w:rsid w:val="00974492"/>
    <w:rsid w:val="0097453D"/>
    <w:rsid w:val="009745D2"/>
    <w:rsid w:val="009745E3"/>
    <w:rsid w:val="0097467B"/>
    <w:rsid w:val="009746D2"/>
    <w:rsid w:val="009746E1"/>
    <w:rsid w:val="009746FD"/>
    <w:rsid w:val="009747A5"/>
    <w:rsid w:val="00974802"/>
    <w:rsid w:val="00974808"/>
    <w:rsid w:val="00974823"/>
    <w:rsid w:val="00974827"/>
    <w:rsid w:val="00974864"/>
    <w:rsid w:val="00974884"/>
    <w:rsid w:val="009748A3"/>
    <w:rsid w:val="009748BC"/>
    <w:rsid w:val="009748C6"/>
    <w:rsid w:val="009748C7"/>
    <w:rsid w:val="009748D2"/>
    <w:rsid w:val="00974971"/>
    <w:rsid w:val="00974977"/>
    <w:rsid w:val="00974991"/>
    <w:rsid w:val="009749F2"/>
    <w:rsid w:val="009749F9"/>
    <w:rsid w:val="009749FC"/>
    <w:rsid w:val="00974A7C"/>
    <w:rsid w:val="00974A8E"/>
    <w:rsid w:val="00974B91"/>
    <w:rsid w:val="00974BBC"/>
    <w:rsid w:val="00974C45"/>
    <w:rsid w:val="00974C53"/>
    <w:rsid w:val="00974C60"/>
    <w:rsid w:val="00974CB7"/>
    <w:rsid w:val="00974CE6"/>
    <w:rsid w:val="00974D15"/>
    <w:rsid w:val="00974D1F"/>
    <w:rsid w:val="00974D57"/>
    <w:rsid w:val="00974DBA"/>
    <w:rsid w:val="00974DC4"/>
    <w:rsid w:val="00974E29"/>
    <w:rsid w:val="00974E42"/>
    <w:rsid w:val="00974E7F"/>
    <w:rsid w:val="00974E85"/>
    <w:rsid w:val="00974EE1"/>
    <w:rsid w:val="00974F6F"/>
    <w:rsid w:val="00974FA1"/>
    <w:rsid w:val="00975008"/>
    <w:rsid w:val="00975034"/>
    <w:rsid w:val="0097506A"/>
    <w:rsid w:val="00975079"/>
    <w:rsid w:val="009750F1"/>
    <w:rsid w:val="00975100"/>
    <w:rsid w:val="00975123"/>
    <w:rsid w:val="00975155"/>
    <w:rsid w:val="009751A0"/>
    <w:rsid w:val="00975347"/>
    <w:rsid w:val="00975384"/>
    <w:rsid w:val="00975389"/>
    <w:rsid w:val="0097538B"/>
    <w:rsid w:val="00975390"/>
    <w:rsid w:val="0097545E"/>
    <w:rsid w:val="00975483"/>
    <w:rsid w:val="009754E1"/>
    <w:rsid w:val="00975500"/>
    <w:rsid w:val="0097550D"/>
    <w:rsid w:val="00975579"/>
    <w:rsid w:val="00975599"/>
    <w:rsid w:val="009755AA"/>
    <w:rsid w:val="009755B2"/>
    <w:rsid w:val="009755FC"/>
    <w:rsid w:val="00975680"/>
    <w:rsid w:val="0097568B"/>
    <w:rsid w:val="009756EB"/>
    <w:rsid w:val="00975715"/>
    <w:rsid w:val="00975775"/>
    <w:rsid w:val="009757BB"/>
    <w:rsid w:val="009757C9"/>
    <w:rsid w:val="00975807"/>
    <w:rsid w:val="0097581D"/>
    <w:rsid w:val="0097588E"/>
    <w:rsid w:val="009758BC"/>
    <w:rsid w:val="009758BE"/>
    <w:rsid w:val="009758CE"/>
    <w:rsid w:val="009758FF"/>
    <w:rsid w:val="00975950"/>
    <w:rsid w:val="00975951"/>
    <w:rsid w:val="0097595F"/>
    <w:rsid w:val="009759AE"/>
    <w:rsid w:val="00975B28"/>
    <w:rsid w:val="00975B37"/>
    <w:rsid w:val="00975B6F"/>
    <w:rsid w:val="00975BE5"/>
    <w:rsid w:val="00975BFC"/>
    <w:rsid w:val="00975C0E"/>
    <w:rsid w:val="00975C49"/>
    <w:rsid w:val="00975C97"/>
    <w:rsid w:val="00975CB6"/>
    <w:rsid w:val="00975DB8"/>
    <w:rsid w:val="00975DBF"/>
    <w:rsid w:val="00975DFB"/>
    <w:rsid w:val="00975E55"/>
    <w:rsid w:val="00975E62"/>
    <w:rsid w:val="00975F2E"/>
    <w:rsid w:val="00975F5E"/>
    <w:rsid w:val="00975FBD"/>
    <w:rsid w:val="009760AD"/>
    <w:rsid w:val="009760DA"/>
    <w:rsid w:val="009760DE"/>
    <w:rsid w:val="00976157"/>
    <w:rsid w:val="00976199"/>
    <w:rsid w:val="00976218"/>
    <w:rsid w:val="00976226"/>
    <w:rsid w:val="00976255"/>
    <w:rsid w:val="00976294"/>
    <w:rsid w:val="009762B9"/>
    <w:rsid w:val="009762D4"/>
    <w:rsid w:val="009762EC"/>
    <w:rsid w:val="009762FD"/>
    <w:rsid w:val="0097634C"/>
    <w:rsid w:val="009763D4"/>
    <w:rsid w:val="009763DA"/>
    <w:rsid w:val="00976413"/>
    <w:rsid w:val="0097644F"/>
    <w:rsid w:val="009764C5"/>
    <w:rsid w:val="009764F0"/>
    <w:rsid w:val="00976525"/>
    <w:rsid w:val="00976526"/>
    <w:rsid w:val="0097652A"/>
    <w:rsid w:val="00976542"/>
    <w:rsid w:val="00976547"/>
    <w:rsid w:val="00976594"/>
    <w:rsid w:val="00976598"/>
    <w:rsid w:val="009765DF"/>
    <w:rsid w:val="0097660F"/>
    <w:rsid w:val="009766EE"/>
    <w:rsid w:val="009766F5"/>
    <w:rsid w:val="00976741"/>
    <w:rsid w:val="009767DD"/>
    <w:rsid w:val="00976827"/>
    <w:rsid w:val="00976847"/>
    <w:rsid w:val="00976862"/>
    <w:rsid w:val="00976910"/>
    <w:rsid w:val="0097699A"/>
    <w:rsid w:val="00976A03"/>
    <w:rsid w:val="00976A47"/>
    <w:rsid w:val="00976A50"/>
    <w:rsid w:val="00976AB2"/>
    <w:rsid w:val="00976B36"/>
    <w:rsid w:val="00976C25"/>
    <w:rsid w:val="00976C36"/>
    <w:rsid w:val="00976C95"/>
    <w:rsid w:val="00976CEB"/>
    <w:rsid w:val="00976D3A"/>
    <w:rsid w:val="00976E55"/>
    <w:rsid w:val="00976F05"/>
    <w:rsid w:val="00976F97"/>
    <w:rsid w:val="00976FCC"/>
    <w:rsid w:val="00976FD5"/>
    <w:rsid w:val="00977018"/>
    <w:rsid w:val="00977028"/>
    <w:rsid w:val="00977049"/>
    <w:rsid w:val="00977062"/>
    <w:rsid w:val="00977083"/>
    <w:rsid w:val="009770BA"/>
    <w:rsid w:val="00977117"/>
    <w:rsid w:val="00977122"/>
    <w:rsid w:val="00977128"/>
    <w:rsid w:val="0097717F"/>
    <w:rsid w:val="0097720B"/>
    <w:rsid w:val="00977268"/>
    <w:rsid w:val="00977273"/>
    <w:rsid w:val="0097727E"/>
    <w:rsid w:val="00977290"/>
    <w:rsid w:val="009772BE"/>
    <w:rsid w:val="00977428"/>
    <w:rsid w:val="00977452"/>
    <w:rsid w:val="0097748D"/>
    <w:rsid w:val="0097751A"/>
    <w:rsid w:val="00977527"/>
    <w:rsid w:val="009775D6"/>
    <w:rsid w:val="009775E3"/>
    <w:rsid w:val="009776A5"/>
    <w:rsid w:val="0097773C"/>
    <w:rsid w:val="00977763"/>
    <w:rsid w:val="0097781E"/>
    <w:rsid w:val="00977848"/>
    <w:rsid w:val="00977856"/>
    <w:rsid w:val="0097785E"/>
    <w:rsid w:val="0097787B"/>
    <w:rsid w:val="009778FE"/>
    <w:rsid w:val="00977907"/>
    <w:rsid w:val="0097791F"/>
    <w:rsid w:val="00977977"/>
    <w:rsid w:val="00977998"/>
    <w:rsid w:val="009779BF"/>
    <w:rsid w:val="009779D7"/>
    <w:rsid w:val="009779E3"/>
    <w:rsid w:val="00977A4B"/>
    <w:rsid w:val="00977A5F"/>
    <w:rsid w:val="00977AB2"/>
    <w:rsid w:val="00977AE2"/>
    <w:rsid w:val="00977B25"/>
    <w:rsid w:val="00977B28"/>
    <w:rsid w:val="00977B86"/>
    <w:rsid w:val="00977BB7"/>
    <w:rsid w:val="00977BE1"/>
    <w:rsid w:val="00977C24"/>
    <w:rsid w:val="00977CA3"/>
    <w:rsid w:val="00977D4F"/>
    <w:rsid w:val="00977D85"/>
    <w:rsid w:val="00977D9F"/>
    <w:rsid w:val="00977DB9"/>
    <w:rsid w:val="00977EB5"/>
    <w:rsid w:val="00977EC9"/>
    <w:rsid w:val="00977F95"/>
    <w:rsid w:val="00977FAD"/>
    <w:rsid w:val="00977FB8"/>
    <w:rsid w:val="00977FFA"/>
    <w:rsid w:val="00980029"/>
    <w:rsid w:val="00980069"/>
    <w:rsid w:val="00980105"/>
    <w:rsid w:val="00980127"/>
    <w:rsid w:val="00980161"/>
    <w:rsid w:val="00980292"/>
    <w:rsid w:val="00980331"/>
    <w:rsid w:val="00980353"/>
    <w:rsid w:val="009803A8"/>
    <w:rsid w:val="00980434"/>
    <w:rsid w:val="00980437"/>
    <w:rsid w:val="009804C2"/>
    <w:rsid w:val="009804D7"/>
    <w:rsid w:val="00980536"/>
    <w:rsid w:val="00980546"/>
    <w:rsid w:val="00980547"/>
    <w:rsid w:val="00980563"/>
    <w:rsid w:val="009805CF"/>
    <w:rsid w:val="00980658"/>
    <w:rsid w:val="009806CF"/>
    <w:rsid w:val="0098076B"/>
    <w:rsid w:val="00980779"/>
    <w:rsid w:val="0098079E"/>
    <w:rsid w:val="009807EC"/>
    <w:rsid w:val="00980829"/>
    <w:rsid w:val="0098082B"/>
    <w:rsid w:val="0098082E"/>
    <w:rsid w:val="0098084F"/>
    <w:rsid w:val="0098085C"/>
    <w:rsid w:val="009808C0"/>
    <w:rsid w:val="0098090C"/>
    <w:rsid w:val="0098092D"/>
    <w:rsid w:val="00980960"/>
    <w:rsid w:val="00980A08"/>
    <w:rsid w:val="00980A11"/>
    <w:rsid w:val="00980A38"/>
    <w:rsid w:val="00980AF4"/>
    <w:rsid w:val="00980B04"/>
    <w:rsid w:val="00980B2F"/>
    <w:rsid w:val="00980B86"/>
    <w:rsid w:val="00980BB3"/>
    <w:rsid w:val="00980BF2"/>
    <w:rsid w:val="00980C41"/>
    <w:rsid w:val="00980C45"/>
    <w:rsid w:val="00980C56"/>
    <w:rsid w:val="00980D4A"/>
    <w:rsid w:val="00980D4C"/>
    <w:rsid w:val="00980DB9"/>
    <w:rsid w:val="00980DCA"/>
    <w:rsid w:val="00980DE0"/>
    <w:rsid w:val="00980E13"/>
    <w:rsid w:val="00980E72"/>
    <w:rsid w:val="00980E79"/>
    <w:rsid w:val="00980EB4"/>
    <w:rsid w:val="00980EEB"/>
    <w:rsid w:val="00980F37"/>
    <w:rsid w:val="00980F78"/>
    <w:rsid w:val="00980FB7"/>
    <w:rsid w:val="00980FDA"/>
    <w:rsid w:val="0098103A"/>
    <w:rsid w:val="00981092"/>
    <w:rsid w:val="009810E7"/>
    <w:rsid w:val="009810F1"/>
    <w:rsid w:val="00981154"/>
    <w:rsid w:val="009811BF"/>
    <w:rsid w:val="009812E0"/>
    <w:rsid w:val="0098131C"/>
    <w:rsid w:val="0098131E"/>
    <w:rsid w:val="0098132A"/>
    <w:rsid w:val="009813DC"/>
    <w:rsid w:val="0098144D"/>
    <w:rsid w:val="00981454"/>
    <w:rsid w:val="009814C1"/>
    <w:rsid w:val="009814C6"/>
    <w:rsid w:val="009814D7"/>
    <w:rsid w:val="00981603"/>
    <w:rsid w:val="00981616"/>
    <w:rsid w:val="00981664"/>
    <w:rsid w:val="0098169A"/>
    <w:rsid w:val="009816EA"/>
    <w:rsid w:val="009816F3"/>
    <w:rsid w:val="00981715"/>
    <w:rsid w:val="00981721"/>
    <w:rsid w:val="009817A2"/>
    <w:rsid w:val="009817D1"/>
    <w:rsid w:val="0098181F"/>
    <w:rsid w:val="00981867"/>
    <w:rsid w:val="00981869"/>
    <w:rsid w:val="009818CE"/>
    <w:rsid w:val="00981938"/>
    <w:rsid w:val="00981941"/>
    <w:rsid w:val="00981949"/>
    <w:rsid w:val="0098195C"/>
    <w:rsid w:val="0098197B"/>
    <w:rsid w:val="00981997"/>
    <w:rsid w:val="0098199D"/>
    <w:rsid w:val="009819C2"/>
    <w:rsid w:val="00981A1A"/>
    <w:rsid w:val="00981A2C"/>
    <w:rsid w:val="00981A4A"/>
    <w:rsid w:val="00981A4E"/>
    <w:rsid w:val="00981A77"/>
    <w:rsid w:val="00981A8F"/>
    <w:rsid w:val="00981AEA"/>
    <w:rsid w:val="00981B80"/>
    <w:rsid w:val="00981BA4"/>
    <w:rsid w:val="00981C46"/>
    <w:rsid w:val="00981CFF"/>
    <w:rsid w:val="00981D75"/>
    <w:rsid w:val="00981D78"/>
    <w:rsid w:val="00981D81"/>
    <w:rsid w:val="00981DC1"/>
    <w:rsid w:val="00981DC8"/>
    <w:rsid w:val="00981E86"/>
    <w:rsid w:val="00981E93"/>
    <w:rsid w:val="00981EA9"/>
    <w:rsid w:val="00981ED2"/>
    <w:rsid w:val="00981F78"/>
    <w:rsid w:val="00981F9F"/>
    <w:rsid w:val="0098200F"/>
    <w:rsid w:val="0098202D"/>
    <w:rsid w:val="0098203F"/>
    <w:rsid w:val="0098204A"/>
    <w:rsid w:val="00982096"/>
    <w:rsid w:val="009820DA"/>
    <w:rsid w:val="00982101"/>
    <w:rsid w:val="00982167"/>
    <w:rsid w:val="00982201"/>
    <w:rsid w:val="00982250"/>
    <w:rsid w:val="00982287"/>
    <w:rsid w:val="00982317"/>
    <w:rsid w:val="0098233A"/>
    <w:rsid w:val="00982374"/>
    <w:rsid w:val="0098237B"/>
    <w:rsid w:val="009823FA"/>
    <w:rsid w:val="00982423"/>
    <w:rsid w:val="00982430"/>
    <w:rsid w:val="009824D1"/>
    <w:rsid w:val="009824F4"/>
    <w:rsid w:val="009824F7"/>
    <w:rsid w:val="00982520"/>
    <w:rsid w:val="00982611"/>
    <w:rsid w:val="00982651"/>
    <w:rsid w:val="00982671"/>
    <w:rsid w:val="00982695"/>
    <w:rsid w:val="009826AD"/>
    <w:rsid w:val="009826DC"/>
    <w:rsid w:val="00982716"/>
    <w:rsid w:val="00982758"/>
    <w:rsid w:val="009827C1"/>
    <w:rsid w:val="009827C3"/>
    <w:rsid w:val="009827E3"/>
    <w:rsid w:val="0098284F"/>
    <w:rsid w:val="00982921"/>
    <w:rsid w:val="009829CA"/>
    <w:rsid w:val="009829DA"/>
    <w:rsid w:val="009829E0"/>
    <w:rsid w:val="00982A74"/>
    <w:rsid w:val="00982A84"/>
    <w:rsid w:val="00982AAC"/>
    <w:rsid w:val="00982ADF"/>
    <w:rsid w:val="00982B3E"/>
    <w:rsid w:val="00982B5D"/>
    <w:rsid w:val="00982B80"/>
    <w:rsid w:val="00982BA9"/>
    <w:rsid w:val="00982BD0"/>
    <w:rsid w:val="00982BEC"/>
    <w:rsid w:val="00982BF5"/>
    <w:rsid w:val="00982BFF"/>
    <w:rsid w:val="00982C08"/>
    <w:rsid w:val="00982D1A"/>
    <w:rsid w:val="00982D33"/>
    <w:rsid w:val="00982D3A"/>
    <w:rsid w:val="00982D6B"/>
    <w:rsid w:val="00982E1B"/>
    <w:rsid w:val="00982E78"/>
    <w:rsid w:val="00982E7F"/>
    <w:rsid w:val="00982E93"/>
    <w:rsid w:val="00982E9F"/>
    <w:rsid w:val="00982EDB"/>
    <w:rsid w:val="00982EE3"/>
    <w:rsid w:val="00982EEB"/>
    <w:rsid w:val="00982FA6"/>
    <w:rsid w:val="00982FB7"/>
    <w:rsid w:val="00982FD4"/>
    <w:rsid w:val="00983009"/>
    <w:rsid w:val="00983027"/>
    <w:rsid w:val="00983032"/>
    <w:rsid w:val="0098303B"/>
    <w:rsid w:val="00983068"/>
    <w:rsid w:val="009830CC"/>
    <w:rsid w:val="009830D0"/>
    <w:rsid w:val="009830E3"/>
    <w:rsid w:val="00983142"/>
    <w:rsid w:val="009831D6"/>
    <w:rsid w:val="009831D9"/>
    <w:rsid w:val="009831E4"/>
    <w:rsid w:val="00983265"/>
    <w:rsid w:val="00983288"/>
    <w:rsid w:val="00983297"/>
    <w:rsid w:val="009832B8"/>
    <w:rsid w:val="009832C7"/>
    <w:rsid w:val="009832E9"/>
    <w:rsid w:val="0098331B"/>
    <w:rsid w:val="0098331F"/>
    <w:rsid w:val="0098332C"/>
    <w:rsid w:val="00983349"/>
    <w:rsid w:val="0098335B"/>
    <w:rsid w:val="00983378"/>
    <w:rsid w:val="00983419"/>
    <w:rsid w:val="0098342C"/>
    <w:rsid w:val="00983488"/>
    <w:rsid w:val="00983561"/>
    <w:rsid w:val="00983563"/>
    <w:rsid w:val="00983575"/>
    <w:rsid w:val="0098361D"/>
    <w:rsid w:val="009836DA"/>
    <w:rsid w:val="009836FA"/>
    <w:rsid w:val="0098377E"/>
    <w:rsid w:val="009837D9"/>
    <w:rsid w:val="009837E8"/>
    <w:rsid w:val="009838EA"/>
    <w:rsid w:val="00983916"/>
    <w:rsid w:val="00983957"/>
    <w:rsid w:val="0098396D"/>
    <w:rsid w:val="009839A3"/>
    <w:rsid w:val="009839A7"/>
    <w:rsid w:val="009839AC"/>
    <w:rsid w:val="009839B1"/>
    <w:rsid w:val="009839CE"/>
    <w:rsid w:val="00983AA5"/>
    <w:rsid w:val="00983B16"/>
    <w:rsid w:val="00983B30"/>
    <w:rsid w:val="00983BD9"/>
    <w:rsid w:val="00983BF3"/>
    <w:rsid w:val="00983C5D"/>
    <w:rsid w:val="00983CA9"/>
    <w:rsid w:val="00983CFC"/>
    <w:rsid w:val="00983D2D"/>
    <w:rsid w:val="00983D65"/>
    <w:rsid w:val="00983D72"/>
    <w:rsid w:val="00983E6F"/>
    <w:rsid w:val="00983E77"/>
    <w:rsid w:val="00983EB6"/>
    <w:rsid w:val="00983F48"/>
    <w:rsid w:val="00983F67"/>
    <w:rsid w:val="00983FBC"/>
    <w:rsid w:val="00984009"/>
    <w:rsid w:val="0098402B"/>
    <w:rsid w:val="009840EE"/>
    <w:rsid w:val="00984151"/>
    <w:rsid w:val="009841D7"/>
    <w:rsid w:val="00984228"/>
    <w:rsid w:val="009842C2"/>
    <w:rsid w:val="009842C8"/>
    <w:rsid w:val="009842EE"/>
    <w:rsid w:val="00984320"/>
    <w:rsid w:val="00984354"/>
    <w:rsid w:val="00984364"/>
    <w:rsid w:val="00984367"/>
    <w:rsid w:val="00984381"/>
    <w:rsid w:val="00984389"/>
    <w:rsid w:val="009843C3"/>
    <w:rsid w:val="009843E3"/>
    <w:rsid w:val="009843E8"/>
    <w:rsid w:val="0098447A"/>
    <w:rsid w:val="00984490"/>
    <w:rsid w:val="009844E7"/>
    <w:rsid w:val="0098450E"/>
    <w:rsid w:val="0098456A"/>
    <w:rsid w:val="009845B6"/>
    <w:rsid w:val="009845EC"/>
    <w:rsid w:val="009846A4"/>
    <w:rsid w:val="009846B3"/>
    <w:rsid w:val="009846CB"/>
    <w:rsid w:val="009847CD"/>
    <w:rsid w:val="0098485E"/>
    <w:rsid w:val="0098486D"/>
    <w:rsid w:val="009848DB"/>
    <w:rsid w:val="009848DC"/>
    <w:rsid w:val="0098491C"/>
    <w:rsid w:val="009849FE"/>
    <w:rsid w:val="00984A1F"/>
    <w:rsid w:val="00984A26"/>
    <w:rsid w:val="00984A82"/>
    <w:rsid w:val="00984ACD"/>
    <w:rsid w:val="00984AD3"/>
    <w:rsid w:val="00984ADA"/>
    <w:rsid w:val="00984AEA"/>
    <w:rsid w:val="00984C32"/>
    <w:rsid w:val="00984C7C"/>
    <w:rsid w:val="00984CA7"/>
    <w:rsid w:val="00984CFE"/>
    <w:rsid w:val="00984D0C"/>
    <w:rsid w:val="00984D0E"/>
    <w:rsid w:val="00984D39"/>
    <w:rsid w:val="00984DAA"/>
    <w:rsid w:val="00984DC4"/>
    <w:rsid w:val="00984E3E"/>
    <w:rsid w:val="00984E6B"/>
    <w:rsid w:val="00984E83"/>
    <w:rsid w:val="00984ED0"/>
    <w:rsid w:val="00984ED6"/>
    <w:rsid w:val="00984F03"/>
    <w:rsid w:val="00984F93"/>
    <w:rsid w:val="00984F9E"/>
    <w:rsid w:val="00984FA7"/>
    <w:rsid w:val="00984FF8"/>
    <w:rsid w:val="00985036"/>
    <w:rsid w:val="00985041"/>
    <w:rsid w:val="00985067"/>
    <w:rsid w:val="0098508B"/>
    <w:rsid w:val="009850A3"/>
    <w:rsid w:val="009850B0"/>
    <w:rsid w:val="0098512A"/>
    <w:rsid w:val="00985134"/>
    <w:rsid w:val="00985139"/>
    <w:rsid w:val="0098515B"/>
    <w:rsid w:val="00985161"/>
    <w:rsid w:val="009851B1"/>
    <w:rsid w:val="009851BF"/>
    <w:rsid w:val="009851D5"/>
    <w:rsid w:val="009851F1"/>
    <w:rsid w:val="00985208"/>
    <w:rsid w:val="009852BD"/>
    <w:rsid w:val="00985306"/>
    <w:rsid w:val="0098532E"/>
    <w:rsid w:val="009853F0"/>
    <w:rsid w:val="009853F7"/>
    <w:rsid w:val="0098540A"/>
    <w:rsid w:val="00985446"/>
    <w:rsid w:val="0098548D"/>
    <w:rsid w:val="00985492"/>
    <w:rsid w:val="009854BA"/>
    <w:rsid w:val="009854DE"/>
    <w:rsid w:val="00985503"/>
    <w:rsid w:val="00985512"/>
    <w:rsid w:val="00985577"/>
    <w:rsid w:val="009855A1"/>
    <w:rsid w:val="009855DC"/>
    <w:rsid w:val="009855DE"/>
    <w:rsid w:val="009856C9"/>
    <w:rsid w:val="009856D0"/>
    <w:rsid w:val="00985758"/>
    <w:rsid w:val="0098579D"/>
    <w:rsid w:val="009857E5"/>
    <w:rsid w:val="00985881"/>
    <w:rsid w:val="009858D2"/>
    <w:rsid w:val="009858E3"/>
    <w:rsid w:val="009858F4"/>
    <w:rsid w:val="0098598D"/>
    <w:rsid w:val="0098599A"/>
    <w:rsid w:val="009859CE"/>
    <w:rsid w:val="009859DC"/>
    <w:rsid w:val="009859DE"/>
    <w:rsid w:val="00985A7B"/>
    <w:rsid w:val="00985AB7"/>
    <w:rsid w:val="00985AFC"/>
    <w:rsid w:val="00985B69"/>
    <w:rsid w:val="00985BCA"/>
    <w:rsid w:val="00985BCF"/>
    <w:rsid w:val="00985C59"/>
    <w:rsid w:val="00985C8D"/>
    <w:rsid w:val="00985CCF"/>
    <w:rsid w:val="00985CDF"/>
    <w:rsid w:val="00985CF3"/>
    <w:rsid w:val="00985D10"/>
    <w:rsid w:val="00985D2D"/>
    <w:rsid w:val="00985D45"/>
    <w:rsid w:val="00985D70"/>
    <w:rsid w:val="00985D9B"/>
    <w:rsid w:val="00985E7D"/>
    <w:rsid w:val="00985E94"/>
    <w:rsid w:val="00985E9D"/>
    <w:rsid w:val="00985EB2"/>
    <w:rsid w:val="00985EB9"/>
    <w:rsid w:val="00985EBE"/>
    <w:rsid w:val="00985ED6"/>
    <w:rsid w:val="00985F40"/>
    <w:rsid w:val="00985FEA"/>
    <w:rsid w:val="0098600B"/>
    <w:rsid w:val="009860B8"/>
    <w:rsid w:val="00986205"/>
    <w:rsid w:val="00986258"/>
    <w:rsid w:val="009862BA"/>
    <w:rsid w:val="0098634C"/>
    <w:rsid w:val="00986385"/>
    <w:rsid w:val="009863E5"/>
    <w:rsid w:val="009864CB"/>
    <w:rsid w:val="0098651B"/>
    <w:rsid w:val="00986525"/>
    <w:rsid w:val="00986546"/>
    <w:rsid w:val="00986573"/>
    <w:rsid w:val="0098657C"/>
    <w:rsid w:val="0098658B"/>
    <w:rsid w:val="009865B0"/>
    <w:rsid w:val="009865C0"/>
    <w:rsid w:val="009865E2"/>
    <w:rsid w:val="00986617"/>
    <w:rsid w:val="00986678"/>
    <w:rsid w:val="0098671C"/>
    <w:rsid w:val="0098676C"/>
    <w:rsid w:val="0098678A"/>
    <w:rsid w:val="00986796"/>
    <w:rsid w:val="009867AF"/>
    <w:rsid w:val="009867FF"/>
    <w:rsid w:val="0098683C"/>
    <w:rsid w:val="0098684F"/>
    <w:rsid w:val="00986889"/>
    <w:rsid w:val="009868A3"/>
    <w:rsid w:val="009868D9"/>
    <w:rsid w:val="00986930"/>
    <w:rsid w:val="00986948"/>
    <w:rsid w:val="009869D6"/>
    <w:rsid w:val="00986A2B"/>
    <w:rsid w:val="00986A33"/>
    <w:rsid w:val="00986AC7"/>
    <w:rsid w:val="00986AFB"/>
    <w:rsid w:val="00986B70"/>
    <w:rsid w:val="00986BFB"/>
    <w:rsid w:val="00986C01"/>
    <w:rsid w:val="00986C90"/>
    <w:rsid w:val="00986CC6"/>
    <w:rsid w:val="00986CD6"/>
    <w:rsid w:val="00986CE3"/>
    <w:rsid w:val="00986DC2"/>
    <w:rsid w:val="00986DC6"/>
    <w:rsid w:val="00986DFC"/>
    <w:rsid w:val="00986E16"/>
    <w:rsid w:val="00986E20"/>
    <w:rsid w:val="00986E26"/>
    <w:rsid w:val="00986E33"/>
    <w:rsid w:val="00986E57"/>
    <w:rsid w:val="00986E69"/>
    <w:rsid w:val="00986EAF"/>
    <w:rsid w:val="00986ED9"/>
    <w:rsid w:val="00986F54"/>
    <w:rsid w:val="00986FA8"/>
    <w:rsid w:val="0098704E"/>
    <w:rsid w:val="009870CB"/>
    <w:rsid w:val="0098713B"/>
    <w:rsid w:val="009871C2"/>
    <w:rsid w:val="009871E5"/>
    <w:rsid w:val="00987203"/>
    <w:rsid w:val="00987218"/>
    <w:rsid w:val="0098726C"/>
    <w:rsid w:val="0098729C"/>
    <w:rsid w:val="0098736A"/>
    <w:rsid w:val="00987387"/>
    <w:rsid w:val="009873C4"/>
    <w:rsid w:val="0098741D"/>
    <w:rsid w:val="0098748D"/>
    <w:rsid w:val="009874BA"/>
    <w:rsid w:val="009874BE"/>
    <w:rsid w:val="00987539"/>
    <w:rsid w:val="00987541"/>
    <w:rsid w:val="00987565"/>
    <w:rsid w:val="009875A1"/>
    <w:rsid w:val="009875FE"/>
    <w:rsid w:val="00987605"/>
    <w:rsid w:val="00987609"/>
    <w:rsid w:val="0098767B"/>
    <w:rsid w:val="009876A6"/>
    <w:rsid w:val="00987732"/>
    <w:rsid w:val="0098774E"/>
    <w:rsid w:val="0098776B"/>
    <w:rsid w:val="00987791"/>
    <w:rsid w:val="009877E9"/>
    <w:rsid w:val="0098786E"/>
    <w:rsid w:val="009878BD"/>
    <w:rsid w:val="0098795F"/>
    <w:rsid w:val="0098798D"/>
    <w:rsid w:val="009879E5"/>
    <w:rsid w:val="009879FA"/>
    <w:rsid w:val="00987A29"/>
    <w:rsid w:val="00987A57"/>
    <w:rsid w:val="00987ABE"/>
    <w:rsid w:val="00987AE5"/>
    <w:rsid w:val="00987B4D"/>
    <w:rsid w:val="00987B78"/>
    <w:rsid w:val="00987BA3"/>
    <w:rsid w:val="00987C57"/>
    <w:rsid w:val="00987C82"/>
    <w:rsid w:val="00987CAC"/>
    <w:rsid w:val="00987CCA"/>
    <w:rsid w:val="00987CD8"/>
    <w:rsid w:val="00987CF1"/>
    <w:rsid w:val="00987CF7"/>
    <w:rsid w:val="00987D4E"/>
    <w:rsid w:val="00987D67"/>
    <w:rsid w:val="00987D69"/>
    <w:rsid w:val="00987DAA"/>
    <w:rsid w:val="00987DB0"/>
    <w:rsid w:val="00987E04"/>
    <w:rsid w:val="00987E76"/>
    <w:rsid w:val="00987E8E"/>
    <w:rsid w:val="00987EA0"/>
    <w:rsid w:val="00987EBE"/>
    <w:rsid w:val="00987EDA"/>
    <w:rsid w:val="00987FDE"/>
    <w:rsid w:val="0099002B"/>
    <w:rsid w:val="009900EF"/>
    <w:rsid w:val="009900F9"/>
    <w:rsid w:val="00990101"/>
    <w:rsid w:val="009901D5"/>
    <w:rsid w:val="009901E1"/>
    <w:rsid w:val="009901FC"/>
    <w:rsid w:val="00990208"/>
    <w:rsid w:val="00990217"/>
    <w:rsid w:val="0099022E"/>
    <w:rsid w:val="00990285"/>
    <w:rsid w:val="009902AF"/>
    <w:rsid w:val="009902B7"/>
    <w:rsid w:val="009902CB"/>
    <w:rsid w:val="00990302"/>
    <w:rsid w:val="00990340"/>
    <w:rsid w:val="00990380"/>
    <w:rsid w:val="00990393"/>
    <w:rsid w:val="009903C9"/>
    <w:rsid w:val="009903D4"/>
    <w:rsid w:val="009903E8"/>
    <w:rsid w:val="009903F4"/>
    <w:rsid w:val="00990426"/>
    <w:rsid w:val="0099042E"/>
    <w:rsid w:val="009904B7"/>
    <w:rsid w:val="009904F7"/>
    <w:rsid w:val="0099056D"/>
    <w:rsid w:val="00990623"/>
    <w:rsid w:val="00990680"/>
    <w:rsid w:val="009906C0"/>
    <w:rsid w:val="009906DB"/>
    <w:rsid w:val="009906DE"/>
    <w:rsid w:val="0099070C"/>
    <w:rsid w:val="00990730"/>
    <w:rsid w:val="0099078A"/>
    <w:rsid w:val="009907F2"/>
    <w:rsid w:val="009907FA"/>
    <w:rsid w:val="00990841"/>
    <w:rsid w:val="00990842"/>
    <w:rsid w:val="00990851"/>
    <w:rsid w:val="0099086B"/>
    <w:rsid w:val="00990895"/>
    <w:rsid w:val="0099089D"/>
    <w:rsid w:val="009908BB"/>
    <w:rsid w:val="009908C8"/>
    <w:rsid w:val="009908DB"/>
    <w:rsid w:val="00990941"/>
    <w:rsid w:val="00990959"/>
    <w:rsid w:val="009909E2"/>
    <w:rsid w:val="009909F6"/>
    <w:rsid w:val="009909FD"/>
    <w:rsid w:val="00990A4A"/>
    <w:rsid w:val="00990A76"/>
    <w:rsid w:val="00990B41"/>
    <w:rsid w:val="00990B73"/>
    <w:rsid w:val="00990B8A"/>
    <w:rsid w:val="00990BA5"/>
    <w:rsid w:val="00990C08"/>
    <w:rsid w:val="00990C5A"/>
    <w:rsid w:val="00990C9F"/>
    <w:rsid w:val="00990CC3"/>
    <w:rsid w:val="00990D17"/>
    <w:rsid w:val="00990D80"/>
    <w:rsid w:val="00990DA1"/>
    <w:rsid w:val="00990DD9"/>
    <w:rsid w:val="00990DF0"/>
    <w:rsid w:val="00990E05"/>
    <w:rsid w:val="00990E08"/>
    <w:rsid w:val="00990E5F"/>
    <w:rsid w:val="00990E78"/>
    <w:rsid w:val="00990F11"/>
    <w:rsid w:val="00990F38"/>
    <w:rsid w:val="00990F49"/>
    <w:rsid w:val="00990FFE"/>
    <w:rsid w:val="00991026"/>
    <w:rsid w:val="009910AA"/>
    <w:rsid w:val="009910AB"/>
    <w:rsid w:val="009910EE"/>
    <w:rsid w:val="0099111A"/>
    <w:rsid w:val="00991157"/>
    <w:rsid w:val="00991175"/>
    <w:rsid w:val="00991192"/>
    <w:rsid w:val="0099119F"/>
    <w:rsid w:val="00991229"/>
    <w:rsid w:val="0099124F"/>
    <w:rsid w:val="00991269"/>
    <w:rsid w:val="009912D7"/>
    <w:rsid w:val="009912EE"/>
    <w:rsid w:val="00991302"/>
    <w:rsid w:val="009913A9"/>
    <w:rsid w:val="009913AD"/>
    <w:rsid w:val="00991426"/>
    <w:rsid w:val="00991449"/>
    <w:rsid w:val="00991482"/>
    <w:rsid w:val="009914A8"/>
    <w:rsid w:val="009914D3"/>
    <w:rsid w:val="009914F0"/>
    <w:rsid w:val="00991532"/>
    <w:rsid w:val="00991544"/>
    <w:rsid w:val="00991581"/>
    <w:rsid w:val="00991591"/>
    <w:rsid w:val="009915B8"/>
    <w:rsid w:val="00991604"/>
    <w:rsid w:val="00991605"/>
    <w:rsid w:val="00991618"/>
    <w:rsid w:val="0099164B"/>
    <w:rsid w:val="0099164D"/>
    <w:rsid w:val="00991666"/>
    <w:rsid w:val="009916A5"/>
    <w:rsid w:val="009916B5"/>
    <w:rsid w:val="009916BD"/>
    <w:rsid w:val="00991705"/>
    <w:rsid w:val="0099177C"/>
    <w:rsid w:val="00991786"/>
    <w:rsid w:val="009917BB"/>
    <w:rsid w:val="00991849"/>
    <w:rsid w:val="00991863"/>
    <w:rsid w:val="009918A9"/>
    <w:rsid w:val="009918BC"/>
    <w:rsid w:val="0099191E"/>
    <w:rsid w:val="0099195F"/>
    <w:rsid w:val="0099198C"/>
    <w:rsid w:val="009919F9"/>
    <w:rsid w:val="00991A11"/>
    <w:rsid w:val="00991A12"/>
    <w:rsid w:val="00991A30"/>
    <w:rsid w:val="00991AB2"/>
    <w:rsid w:val="00991AB3"/>
    <w:rsid w:val="00991AB8"/>
    <w:rsid w:val="00991AD7"/>
    <w:rsid w:val="00991AFB"/>
    <w:rsid w:val="00991B05"/>
    <w:rsid w:val="00991B23"/>
    <w:rsid w:val="00991B46"/>
    <w:rsid w:val="00991B90"/>
    <w:rsid w:val="00991BD4"/>
    <w:rsid w:val="00991BEA"/>
    <w:rsid w:val="00991C32"/>
    <w:rsid w:val="00991C4D"/>
    <w:rsid w:val="00991CC6"/>
    <w:rsid w:val="00991D43"/>
    <w:rsid w:val="00991D5C"/>
    <w:rsid w:val="00991D8B"/>
    <w:rsid w:val="00991DB0"/>
    <w:rsid w:val="00991E19"/>
    <w:rsid w:val="00991E30"/>
    <w:rsid w:val="00991F40"/>
    <w:rsid w:val="00991F79"/>
    <w:rsid w:val="00991F97"/>
    <w:rsid w:val="00991F9F"/>
    <w:rsid w:val="00991FF8"/>
    <w:rsid w:val="0099200E"/>
    <w:rsid w:val="00992020"/>
    <w:rsid w:val="00992042"/>
    <w:rsid w:val="0099204E"/>
    <w:rsid w:val="00992061"/>
    <w:rsid w:val="00992091"/>
    <w:rsid w:val="009920C7"/>
    <w:rsid w:val="009920E5"/>
    <w:rsid w:val="009920F5"/>
    <w:rsid w:val="00992134"/>
    <w:rsid w:val="0099214F"/>
    <w:rsid w:val="0099220D"/>
    <w:rsid w:val="00992224"/>
    <w:rsid w:val="00992330"/>
    <w:rsid w:val="0099233F"/>
    <w:rsid w:val="0099238E"/>
    <w:rsid w:val="00992474"/>
    <w:rsid w:val="0099249F"/>
    <w:rsid w:val="009924B8"/>
    <w:rsid w:val="0099250D"/>
    <w:rsid w:val="009925B1"/>
    <w:rsid w:val="009925DE"/>
    <w:rsid w:val="00992688"/>
    <w:rsid w:val="009926A4"/>
    <w:rsid w:val="009926D1"/>
    <w:rsid w:val="009926F0"/>
    <w:rsid w:val="009926FE"/>
    <w:rsid w:val="009927BE"/>
    <w:rsid w:val="009927C1"/>
    <w:rsid w:val="009927FA"/>
    <w:rsid w:val="00992803"/>
    <w:rsid w:val="0099282C"/>
    <w:rsid w:val="00992852"/>
    <w:rsid w:val="00992886"/>
    <w:rsid w:val="0099288E"/>
    <w:rsid w:val="009928DE"/>
    <w:rsid w:val="009928E6"/>
    <w:rsid w:val="009928FF"/>
    <w:rsid w:val="0099299D"/>
    <w:rsid w:val="009929E7"/>
    <w:rsid w:val="00992A48"/>
    <w:rsid w:val="00992A75"/>
    <w:rsid w:val="00992AB8"/>
    <w:rsid w:val="00992B73"/>
    <w:rsid w:val="00992B9F"/>
    <w:rsid w:val="00992BAB"/>
    <w:rsid w:val="00992BAF"/>
    <w:rsid w:val="00992BC4"/>
    <w:rsid w:val="00992BEC"/>
    <w:rsid w:val="00992C5B"/>
    <w:rsid w:val="00992C89"/>
    <w:rsid w:val="00992C93"/>
    <w:rsid w:val="00992CD5"/>
    <w:rsid w:val="00992CFA"/>
    <w:rsid w:val="00992CFB"/>
    <w:rsid w:val="00992D1C"/>
    <w:rsid w:val="00992D44"/>
    <w:rsid w:val="00992D53"/>
    <w:rsid w:val="00992D90"/>
    <w:rsid w:val="00992DCF"/>
    <w:rsid w:val="00992DD1"/>
    <w:rsid w:val="00992DFA"/>
    <w:rsid w:val="00992DFE"/>
    <w:rsid w:val="00992E15"/>
    <w:rsid w:val="00992E36"/>
    <w:rsid w:val="00992E69"/>
    <w:rsid w:val="00992EA9"/>
    <w:rsid w:val="00992EE9"/>
    <w:rsid w:val="00992EEF"/>
    <w:rsid w:val="00992F12"/>
    <w:rsid w:val="00992F2B"/>
    <w:rsid w:val="00992F34"/>
    <w:rsid w:val="00992F65"/>
    <w:rsid w:val="00992F7A"/>
    <w:rsid w:val="00992FF2"/>
    <w:rsid w:val="00993000"/>
    <w:rsid w:val="0099302C"/>
    <w:rsid w:val="00993166"/>
    <w:rsid w:val="009931C5"/>
    <w:rsid w:val="009932B1"/>
    <w:rsid w:val="0099332F"/>
    <w:rsid w:val="0099333C"/>
    <w:rsid w:val="0099337F"/>
    <w:rsid w:val="0099342E"/>
    <w:rsid w:val="00993469"/>
    <w:rsid w:val="009934C9"/>
    <w:rsid w:val="009934D0"/>
    <w:rsid w:val="009934F8"/>
    <w:rsid w:val="00993504"/>
    <w:rsid w:val="00993532"/>
    <w:rsid w:val="00993536"/>
    <w:rsid w:val="00993587"/>
    <w:rsid w:val="009935E2"/>
    <w:rsid w:val="00993605"/>
    <w:rsid w:val="00993622"/>
    <w:rsid w:val="00993623"/>
    <w:rsid w:val="00993667"/>
    <w:rsid w:val="009936BC"/>
    <w:rsid w:val="0099376F"/>
    <w:rsid w:val="009937BB"/>
    <w:rsid w:val="009937C0"/>
    <w:rsid w:val="00993808"/>
    <w:rsid w:val="0099380B"/>
    <w:rsid w:val="00993810"/>
    <w:rsid w:val="00993835"/>
    <w:rsid w:val="0099386E"/>
    <w:rsid w:val="009938DA"/>
    <w:rsid w:val="00993909"/>
    <w:rsid w:val="009939A4"/>
    <w:rsid w:val="009939E3"/>
    <w:rsid w:val="00993A26"/>
    <w:rsid w:val="00993A2A"/>
    <w:rsid w:val="00993A62"/>
    <w:rsid w:val="00993A80"/>
    <w:rsid w:val="00993A81"/>
    <w:rsid w:val="00993A92"/>
    <w:rsid w:val="00993A96"/>
    <w:rsid w:val="00993ACC"/>
    <w:rsid w:val="00993ADD"/>
    <w:rsid w:val="00993B72"/>
    <w:rsid w:val="00993C13"/>
    <w:rsid w:val="00993C3A"/>
    <w:rsid w:val="00993C4A"/>
    <w:rsid w:val="00993C81"/>
    <w:rsid w:val="00993CC1"/>
    <w:rsid w:val="00993CD2"/>
    <w:rsid w:val="00993D0E"/>
    <w:rsid w:val="00993D30"/>
    <w:rsid w:val="00993D47"/>
    <w:rsid w:val="00993E60"/>
    <w:rsid w:val="00993EEC"/>
    <w:rsid w:val="00993F35"/>
    <w:rsid w:val="00993FAC"/>
    <w:rsid w:val="00993FAE"/>
    <w:rsid w:val="0099413B"/>
    <w:rsid w:val="00994151"/>
    <w:rsid w:val="00994192"/>
    <w:rsid w:val="00994247"/>
    <w:rsid w:val="0099424C"/>
    <w:rsid w:val="00994292"/>
    <w:rsid w:val="009942F4"/>
    <w:rsid w:val="00994347"/>
    <w:rsid w:val="00994354"/>
    <w:rsid w:val="0099435F"/>
    <w:rsid w:val="009943E0"/>
    <w:rsid w:val="009944A1"/>
    <w:rsid w:val="009944E4"/>
    <w:rsid w:val="00994548"/>
    <w:rsid w:val="009945B9"/>
    <w:rsid w:val="009945C3"/>
    <w:rsid w:val="009945CB"/>
    <w:rsid w:val="009945EB"/>
    <w:rsid w:val="00994626"/>
    <w:rsid w:val="00994664"/>
    <w:rsid w:val="00994678"/>
    <w:rsid w:val="00994690"/>
    <w:rsid w:val="009946DE"/>
    <w:rsid w:val="009946ED"/>
    <w:rsid w:val="00994774"/>
    <w:rsid w:val="00994778"/>
    <w:rsid w:val="009947D2"/>
    <w:rsid w:val="009947F3"/>
    <w:rsid w:val="009947FE"/>
    <w:rsid w:val="00994833"/>
    <w:rsid w:val="0099485B"/>
    <w:rsid w:val="00994871"/>
    <w:rsid w:val="00994881"/>
    <w:rsid w:val="009948EA"/>
    <w:rsid w:val="00994911"/>
    <w:rsid w:val="0099491D"/>
    <w:rsid w:val="00994949"/>
    <w:rsid w:val="009949A6"/>
    <w:rsid w:val="009949CC"/>
    <w:rsid w:val="009949D1"/>
    <w:rsid w:val="009949DA"/>
    <w:rsid w:val="00994A41"/>
    <w:rsid w:val="00994B00"/>
    <w:rsid w:val="00994BCD"/>
    <w:rsid w:val="00994C13"/>
    <w:rsid w:val="00994C74"/>
    <w:rsid w:val="00994C75"/>
    <w:rsid w:val="00994C8C"/>
    <w:rsid w:val="00994DBF"/>
    <w:rsid w:val="00994E0E"/>
    <w:rsid w:val="00994E24"/>
    <w:rsid w:val="00994E35"/>
    <w:rsid w:val="00994E72"/>
    <w:rsid w:val="00994EAF"/>
    <w:rsid w:val="00994EBA"/>
    <w:rsid w:val="00994F38"/>
    <w:rsid w:val="00994F67"/>
    <w:rsid w:val="00994F6D"/>
    <w:rsid w:val="00994F8B"/>
    <w:rsid w:val="00994FD9"/>
    <w:rsid w:val="00994FEC"/>
    <w:rsid w:val="00995006"/>
    <w:rsid w:val="0099508B"/>
    <w:rsid w:val="00995092"/>
    <w:rsid w:val="009950D8"/>
    <w:rsid w:val="009950DE"/>
    <w:rsid w:val="009950E4"/>
    <w:rsid w:val="00995105"/>
    <w:rsid w:val="00995182"/>
    <w:rsid w:val="00995187"/>
    <w:rsid w:val="0099519F"/>
    <w:rsid w:val="009951EB"/>
    <w:rsid w:val="00995238"/>
    <w:rsid w:val="0099526A"/>
    <w:rsid w:val="009952C1"/>
    <w:rsid w:val="00995303"/>
    <w:rsid w:val="009953D6"/>
    <w:rsid w:val="009953E6"/>
    <w:rsid w:val="00995424"/>
    <w:rsid w:val="0099542E"/>
    <w:rsid w:val="00995486"/>
    <w:rsid w:val="009954AC"/>
    <w:rsid w:val="009954B3"/>
    <w:rsid w:val="009954B8"/>
    <w:rsid w:val="009954C5"/>
    <w:rsid w:val="009954D6"/>
    <w:rsid w:val="00995529"/>
    <w:rsid w:val="00995559"/>
    <w:rsid w:val="009955AB"/>
    <w:rsid w:val="009955B7"/>
    <w:rsid w:val="0099560A"/>
    <w:rsid w:val="0099566A"/>
    <w:rsid w:val="0099566D"/>
    <w:rsid w:val="0099567B"/>
    <w:rsid w:val="009956A5"/>
    <w:rsid w:val="009956F4"/>
    <w:rsid w:val="00995735"/>
    <w:rsid w:val="00995748"/>
    <w:rsid w:val="009957A5"/>
    <w:rsid w:val="00995885"/>
    <w:rsid w:val="009958B1"/>
    <w:rsid w:val="009958CA"/>
    <w:rsid w:val="00995944"/>
    <w:rsid w:val="0099597B"/>
    <w:rsid w:val="0099597E"/>
    <w:rsid w:val="009959B5"/>
    <w:rsid w:val="009959C5"/>
    <w:rsid w:val="009959DE"/>
    <w:rsid w:val="009959EE"/>
    <w:rsid w:val="00995A56"/>
    <w:rsid w:val="00995A86"/>
    <w:rsid w:val="00995AD0"/>
    <w:rsid w:val="00995AD7"/>
    <w:rsid w:val="00995AEE"/>
    <w:rsid w:val="00995AF4"/>
    <w:rsid w:val="00995AF8"/>
    <w:rsid w:val="00995B0D"/>
    <w:rsid w:val="00995B1E"/>
    <w:rsid w:val="00995B21"/>
    <w:rsid w:val="00995B45"/>
    <w:rsid w:val="00995B87"/>
    <w:rsid w:val="00995B89"/>
    <w:rsid w:val="00995BA2"/>
    <w:rsid w:val="00995C25"/>
    <w:rsid w:val="00995CC9"/>
    <w:rsid w:val="00995CCE"/>
    <w:rsid w:val="00995CFD"/>
    <w:rsid w:val="00995D38"/>
    <w:rsid w:val="00995D47"/>
    <w:rsid w:val="00995D81"/>
    <w:rsid w:val="00995D98"/>
    <w:rsid w:val="00995E1B"/>
    <w:rsid w:val="00995E3F"/>
    <w:rsid w:val="00995E5F"/>
    <w:rsid w:val="00995E87"/>
    <w:rsid w:val="00995F0F"/>
    <w:rsid w:val="00995F78"/>
    <w:rsid w:val="00995FCF"/>
    <w:rsid w:val="00995FD6"/>
    <w:rsid w:val="00995FE8"/>
    <w:rsid w:val="00995FF7"/>
    <w:rsid w:val="0099601B"/>
    <w:rsid w:val="0099601C"/>
    <w:rsid w:val="00996021"/>
    <w:rsid w:val="0099603C"/>
    <w:rsid w:val="00996067"/>
    <w:rsid w:val="00996096"/>
    <w:rsid w:val="009960A6"/>
    <w:rsid w:val="0099611B"/>
    <w:rsid w:val="00996168"/>
    <w:rsid w:val="009961AE"/>
    <w:rsid w:val="009961CB"/>
    <w:rsid w:val="009961DE"/>
    <w:rsid w:val="009961E1"/>
    <w:rsid w:val="0099626A"/>
    <w:rsid w:val="00996272"/>
    <w:rsid w:val="009962CA"/>
    <w:rsid w:val="0099631E"/>
    <w:rsid w:val="0099636D"/>
    <w:rsid w:val="0099646A"/>
    <w:rsid w:val="0099647C"/>
    <w:rsid w:val="00996578"/>
    <w:rsid w:val="009965A3"/>
    <w:rsid w:val="009965C2"/>
    <w:rsid w:val="00996660"/>
    <w:rsid w:val="00996684"/>
    <w:rsid w:val="0099668F"/>
    <w:rsid w:val="0099669B"/>
    <w:rsid w:val="009966B8"/>
    <w:rsid w:val="009966F5"/>
    <w:rsid w:val="0099672C"/>
    <w:rsid w:val="0099675A"/>
    <w:rsid w:val="009967D4"/>
    <w:rsid w:val="009967FE"/>
    <w:rsid w:val="00996830"/>
    <w:rsid w:val="00996831"/>
    <w:rsid w:val="00996887"/>
    <w:rsid w:val="0099688A"/>
    <w:rsid w:val="00996898"/>
    <w:rsid w:val="009968BA"/>
    <w:rsid w:val="009968C8"/>
    <w:rsid w:val="00996914"/>
    <w:rsid w:val="00996915"/>
    <w:rsid w:val="00996988"/>
    <w:rsid w:val="00996992"/>
    <w:rsid w:val="009969BD"/>
    <w:rsid w:val="009969F9"/>
    <w:rsid w:val="00996ACD"/>
    <w:rsid w:val="00996B54"/>
    <w:rsid w:val="00996B6B"/>
    <w:rsid w:val="00996B7A"/>
    <w:rsid w:val="00996C47"/>
    <w:rsid w:val="00996C8A"/>
    <w:rsid w:val="00996D27"/>
    <w:rsid w:val="00996D73"/>
    <w:rsid w:val="00996D9E"/>
    <w:rsid w:val="00996DF8"/>
    <w:rsid w:val="00996E12"/>
    <w:rsid w:val="00996E20"/>
    <w:rsid w:val="00996E3F"/>
    <w:rsid w:val="00996E80"/>
    <w:rsid w:val="00996EDE"/>
    <w:rsid w:val="00996EE6"/>
    <w:rsid w:val="00996F67"/>
    <w:rsid w:val="00996FBF"/>
    <w:rsid w:val="00996FDB"/>
    <w:rsid w:val="0099700A"/>
    <w:rsid w:val="0099709D"/>
    <w:rsid w:val="00997107"/>
    <w:rsid w:val="00997137"/>
    <w:rsid w:val="0099716B"/>
    <w:rsid w:val="00997179"/>
    <w:rsid w:val="00997186"/>
    <w:rsid w:val="009971B0"/>
    <w:rsid w:val="009971C0"/>
    <w:rsid w:val="0099727D"/>
    <w:rsid w:val="00997288"/>
    <w:rsid w:val="009972DE"/>
    <w:rsid w:val="00997343"/>
    <w:rsid w:val="0099737B"/>
    <w:rsid w:val="00997389"/>
    <w:rsid w:val="00997393"/>
    <w:rsid w:val="009973C2"/>
    <w:rsid w:val="009973EE"/>
    <w:rsid w:val="00997415"/>
    <w:rsid w:val="00997435"/>
    <w:rsid w:val="0099744C"/>
    <w:rsid w:val="00997457"/>
    <w:rsid w:val="00997495"/>
    <w:rsid w:val="009974AA"/>
    <w:rsid w:val="009974E5"/>
    <w:rsid w:val="00997510"/>
    <w:rsid w:val="00997580"/>
    <w:rsid w:val="009975FE"/>
    <w:rsid w:val="00997608"/>
    <w:rsid w:val="00997627"/>
    <w:rsid w:val="0099762D"/>
    <w:rsid w:val="00997630"/>
    <w:rsid w:val="009976CC"/>
    <w:rsid w:val="0099773A"/>
    <w:rsid w:val="00997743"/>
    <w:rsid w:val="00997759"/>
    <w:rsid w:val="0099776D"/>
    <w:rsid w:val="009977D9"/>
    <w:rsid w:val="009977E6"/>
    <w:rsid w:val="00997802"/>
    <w:rsid w:val="00997854"/>
    <w:rsid w:val="0099787B"/>
    <w:rsid w:val="0099789B"/>
    <w:rsid w:val="009978BE"/>
    <w:rsid w:val="009978D3"/>
    <w:rsid w:val="0099794E"/>
    <w:rsid w:val="009979D4"/>
    <w:rsid w:val="009979D6"/>
    <w:rsid w:val="009979F6"/>
    <w:rsid w:val="00997A89"/>
    <w:rsid w:val="00997A91"/>
    <w:rsid w:val="00997ADA"/>
    <w:rsid w:val="00997B14"/>
    <w:rsid w:val="00997BBA"/>
    <w:rsid w:val="00997BD0"/>
    <w:rsid w:val="00997BE3"/>
    <w:rsid w:val="00997C3E"/>
    <w:rsid w:val="00997CEB"/>
    <w:rsid w:val="00997D41"/>
    <w:rsid w:val="00997D99"/>
    <w:rsid w:val="00997DC6"/>
    <w:rsid w:val="00997DEE"/>
    <w:rsid w:val="00997E2F"/>
    <w:rsid w:val="00997E56"/>
    <w:rsid w:val="00997E68"/>
    <w:rsid w:val="00997E92"/>
    <w:rsid w:val="00997EA5"/>
    <w:rsid w:val="00997EE6"/>
    <w:rsid w:val="00997F48"/>
    <w:rsid w:val="00997FD8"/>
    <w:rsid w:val="00997FE5"/>
    <w:rsid w:val="009A001D"/>
    <w:rsid w:val="009A0041"/>
    <w:rsid w:val="009A0091"/>
    <w:rsid w:val="009A00C4"/>
    <w:rsid w:val="009A00CE"/>
    <w:rsid w:val="009A00EB"/>
    <w:rsid w:val="009A00F2"/>
    <w:rsid w:val="009A0148"/>
    <w:rsid w:val="009A01E3"/>
    <w:rsid w:val="009A01ED"/>
    <w:rsid w:val="009A020D"/>
    <w:rsid w:val="009A02AF"/>
    <w:rsid w:val="009A0304"/>
    <w:rsid w:val="009A031A"/>
    <w:rsid w:val="009A0334"/>
    <w:rsid w:val="009A0336"/>
    <w:rsid w:val="009A034F"/>
    <w:rsid w:val="009A03D7"/>
    <w:rsid w:val="009A0461"/>
    <w:rsid w:val="009A0486"/>
    <w:rsid w:val="009A04DA"/>
    <w:rsid w:val="009A0517"/>
    <w:rsid w:val="009A05A5"/>
    <w:rsid w:val="009A05CE"/>
    <w:rsid w:val="009A0625"/>
    <w:rsid w:val="009A0684"/>
    <w:rsid w:val="009A06C8"/>
    <w:rsid w:val="009A0743"/>
    <w:rsid w:val="009A0759"/>
    <w:rsid w:val="009A07CD"/>
    <w:rsid w:val="009A0824"/>
    <w:rsid w:val="009A096B"/>
    <w:rsid w:val="009A09AA"/>
    <w:rsid w:val="009A09ED"/>
    <w:rsid w:val="009A0A51"/>
    <w:rsid w:val="009A0A78"/>
    <w:rsid w:val="009A0A8F"/>
    <w:rsid w:val="009A0AA6"/>
    <w:rsid w:val="009A0AAC"/>
    <w:rsid w:val="009A0AB3"/>
    <w:rsid w:val="009A0B22"/>
    <w:rsid w:val="009A0B26"/>
    <w:rsid w:val="009A0B40"/>
    <w:rsid w:val="009A0BA8"/>
    <w:rsid w:val="009A0BAE"/>
    <w:rsid w:val="009A0D11"/>
    <w:rsid w:val="009A0D1D"/>
    <w:rsid w:val="009A0D4B"/>
    <w:rsid w:val="009A0D78"/>
    <w:rsid w:val="009A0DA5"/>
    <w:rsid w:val="009A0DBF"/>
    <w:rsid w:val="009A0DED"/>
    <w:rsid w:val="009A0E22"/>
    <w:rsid w:val="009A0EFF"/>
    <w:rsid w:val="009A0F20"/>
    <w:rsid w:val="009A0F94"/>
    <w:rsid w:val="009A101A"/>
    <w:rsid w:val="009A101E"/>
    <w:rsid w:val="009A1052"/>
    <w:rsid w:val="009A1083"/>
    <w:rsid w:val="009A109C"/>
    <w:rsid w:val="009A10D5"/>
    <w:rsid w:val="009A10D8"/>
    <w:rsid w:val="009A10F7"/>
    <w:rsid w:val="009A10F9"/>
    <w:rsid w:val="009A10FC"/>
    <w:rsid w:val="009A114E"/>
    <w:rsid w:val="009A118E"/>
    <w:rsid w:val="009A119D"/>
    <w:rsid w:val="009A11B9"/>
    <w:rsid w:val="009A11DF"/>
    <w:rsid w:val="009A11E0"/>
    <w:rsid w:val="009A1270"/>
    <w:rsid w:val="009A1290"/>
    <w:rsid w:val="009A1304"/>
    <w:rsid w:val="009A136C"/>
    <w:rsid w:val="009A1383"/>
    <w:rsid w:val="009A13AD"/>
    <w:rsid w:val="009A1437"/>
    <w:rsid w:val="009A1472"/>
    <w:rsid w:val="009A1477"/>
    <w:rsid w:val="009A14AB"/>
    <w:rsid w:val="009A1511"/>
    <w:rsid w:val="009A1516"/>
    <w:rsid w:val="009A154B"/>
    <w:rsid w:val="009A158E"/>
    <w:rsid w:val="009A158F"/>
    <w:rsid w:val="009A15DD"/>
    <w:rsid w:val="009A16D7"/>
    <w:rsid w:val="009A16FB"/>
    <w:rsid w:val="009A1703"/>
    <w:rsid w:val="009A172F"/>
    <w:rsid w:val="009A1772"/>
    <w:rsid w:val="009A1789"/>
    <w:rsid w:val="009A17ED"/>
    <w:rsid w:val="009A1801"/>
    <w:rsid w:val="009A1802"/>
    <w:rsid w:val="009A1836"/>
    <w:rsid w:val="009A18D5"/>
    <w:rsid w:val="009A18E6"/>
    <w:rsid w:val="009A1906"/>
    <w:rsid w:val="009A191E"/>
    <w:rsid w:val="009A1926"/>
    <w:rsid w:val="009A19A4"/>
    <w:rsid w:val="009A19AF"/>
    <w:rsid w:val="009A1A15"/>
    <w:rsid w:val="009A1A23"/>
    <w:rsid w:val="009A1A84"/>
    <w:rsid w:val="009A1A9D"/>
    <w:rsid w:val="009A1AD2"/>
    <w:rsid w:val="009A1B13"/>
    <w:rsid w:val="009A1B1E"/>
    <w:rsid w:val="009A1B24"/>
    <w:rsid w:val="009A1B59"/>
    <w:rsid w:val="009A1B7F"/>
    <w:rsid w:val="009A1BB7"/>
    <w:rsid w:val="009A1BCA"/>
    <w:rsid w:val="009A1BF0"/>
    <w:rsid w:val="009A1C3C"/>
    <w:rsid w:val="009A1CE8"/>
    <w:rsid w:val="009A1CFC"/>
    <w:rsid w:val="009A1D0D"/>
    <w:rsid w:val="009A1DDD"/>
    <w:rsid w:val="009A1E38"/>
    <w:rsid w:val="009A1ECC"/>
    <w:rsid w:val="009A1F75"/>
    <w:rsid w:val="009A1F8D"/>
    <w:rsid w:val="009A1F90"/>
    <w:rsid w:val="009A1FC2"/>
    <w:rsid w:val="009A1FEC"/>
    <w:rsid w:val="009A1FF9"/>
    <w:rsid w:val="009A2021"/>
    <w:rsid w:val="009A2064"/>
    <w:rsid w:val="009A209F"/>
    <w:rsid w:val="009A20D5"/>
    <w:rsid w:val="009A2104"/>
    <w:rsid w:val="009A2120"/>
    <w:rsid w:val="009A2174"/>
    <w:rsid w:val="009A21D2"/>
    <w:rsid w:val="009A21DF"/>
    <w:rsid w:val="009A220D"/>
    <w:rsid w:val="009A2253"/>
    <w:rsid w:val="009A227A"/>
    <w:rsid w:val="009A2286"/>
    <w:rsid w:val="009A22C4"/>
    <w:rsid w:val="009A230E"/>
    <w:rsid w:val="009A2311"/>
    <w:rsid w:val="009A233B"/>
    <w:rsid w:val="009A235C"/>
    <w:rsid w:val="009A237D"/>
    <w:rsid w:val="009A23A5"/>
    <w:rsid w:val="009A23B0"/>
    <w:rsid w:val="009A24C6"/>
    <w:rsid w:val="009A24D0"/>
    <w:rsid w:val="009A24FE"/>
    <w:rsid w:val="009A251B"/>
    <w:rsid w:val="009A2556"/>
    <w:rsid w:val="009A25E8"/>
    <w:rsid w:val="009A25F0"/>
    <w:rsid w:val="009A2675"/>
    <w:rsid w:val="009A267D"/>
    <w:rsid w:val="009A2684"/>
    <w:rsid w:val="009A268D"/>
    <w:rsid w:val="009A2695"/>
    <w:rsid w:val="009A26E6"/>
    <w:rsid w:val="009A2706"/>
    <w:rsid w:val="009A273C"/>
    <w:rsid w:val="009A2780"/>
    <w:rsid w:val="009A27B0"/>
    <w:rsid w:val="009A27B1"/>
    <w:rsid w:val="009A27C2"/>
    <w:rsid w:val="009A27E3"/>
    <w:rsid w:val="009A27FF"/>
    <w:rsid w:val="009A280B"/>
    <w:rsid w:val="009A2886"/>
    <w:rsid w:val="009A2896"/>
    <w:rsid w:val="009A28C9"/>
    <w:rsid w:val="009A28CE"/>
    <w:rsid w:val="009A292E"/>
    <w:rsid w:val="009A2961"/>
    <w:rsid w:val="009A29D9"/>
    <w:rsid w:val="009A29E9"/>
    <w:rsid w:val="009A2A3A"/>
    <w:rsid w:val="009A2A7F"/>
    <w:rsid w:val="009A2A86"/>
    <w:rsid w:val="009A2AB3"/>
    <w:rsid w:val="009A2B20"/>
    <w:rsid w:val="009A2BAD"/>
    <w:rsid w:val="009A2BB9"/>
    <w:rsid w:val="009A2C3B"/>
    <w:rsid w:val="009A2C52"/>
    <w:rsid w:val="009A2C6A"/>
    <w:rsid w:val="009A2CAA"/>
    <w:rsid w:val="009A2CB1"/>
    <w:rsid w:val="009A2CFA"/>
    <w:rsid w:val="009A2D7E"/>
    <w:rsid w:val="009A2DA6"/>
    <w:rsid w:val="009A2DD7"/>
    <w:rsid w:val="009A2E36"/>
    <w:rsid w:val="009A2E82"/>
    <w:rsid w:val="009A2F8C"/>
    <w:rsid w:val="009A2F99"/>
    <w:rsid w:val="009A2FA5"/>
    <w:rsid w:val="009A2FFB"/>
    <w:rsid w:val="009A3015"/>
    <w:rsid w:val="009A301F"/>
    <w:rsid w:val="009A3026"/>
    <w:rsid w:val="009A302A"/>
    <w:rsid w:val="009A30E3"/>
    <w:rsid w:val="009A311B"/>
    <w:rsid w:val="009A3145"/>
    <w:rsid w:val="009A316C"/>
    <w:rsid w:val="009A31C6"/>
    <w:rsid w:val="009A3215"/>
    <w:rsid w:val="009A321A"/>
    <w:rsid w:val="009A3243"/>
    <w:rsid w:val="009A32AF"/>
    <w:rsid w:val="009A32CD"/>
    <w:rsid w:val="009A3358"/>
    <w:rsid w:val="009A33A5"/>
    <w:rsid w:val="009A3408"/>
    <w:rsid w:val="009A3433"/>
    <w:rsid w:val="009A348E"/>
    <w:rsid w:val="009A349D"/>
    <w:rsid w:val="009A34B1"/>
    <w:rsid w:val="009A3525"/>
    <w:rsid w:val="009A3528"/>
    <w:rsid w:val="009A35AB"/>
    <w:rsid w:val="009A368C"/>
    <w:rsid w:val="009A36B0"/>
    <w:rsid w:val="009A36B6"/>
    <w:rsid w:val="009A36C3"/>
    <w:rsid w:val="009A36EC"/>
    <w:rsid w:val="009A373B"/>
    <w:rsid w:val="009A3742"/>
    <w:rsid w:val="009A3826"/>
    <w:rsid w:val="009A3859"/>
    <w:rsid w:val="009A3860"/>
    <w:rsid w:val="009A3864"/>
    <w:rsid w:val="009A38E8"/>
    <w:rsid w:val="009A392C"/>
    <w:rsid w:val="009A39A0"/>
    <w:rsid w:val="009A39C4"/>
    <w:rsid w:val="009A39D2"/>
    <w:rsid w:val="009A3A64"/>
    <w:rsid w:val="009A3A7C"/>
    <w:rsid w:val="009A3A82"/>
    <w:rsid w:val="009A3A9A"/>
    <w:rsid w:val="009A3B21"/>
    <w:rsid w:val="009A3B36"/>
    <w:rsid w:val="009A3B39"/>
    <w:rsid w:val="009A3B47"/>
    <w:rsid w:val="009A3B73"/>
    <w:rsid w:val="009A3C2B"/>
    <w:rsid w:val="009A3C40"/>
    <w:rsid w:val="009A3C42"/>
    <w:rsid w:val="009A3CD0"/>
    <w:rsid w:val="009A3D3C"/>
    <w:rsid w:val="009A3D4E"/>
    <w:rsid w:val="009A3DB4"/>
    <w:rsid w:val="009A3DD7"/>
    <w:rsid w:val="009A3EBE"/>
    <w:rsid w:val="009A3EEB"/>
    <w:rsid w:val="009A3F6F"/>
    <w:rsid w:val="009A3FE0"/>
    <w:rsid w:val="009A3FF0"/>
    <w:rsid w:val="009A400A"/>
    <w:rsid w:val="009A400F"/>
    <w:rsid w:val="009A4011"/>
    <w:rsid w:val="009A405B"/>
    <w:rsid w:val="009A4075"/>
    <w:rsid w:val="009A415B"/>
    <w:rsid w:val="009A425C"/>
    <w:rsid w:val="009A42AE"/>
    <w:rsid w:val="009A431B"/>
    <w:rsid w:val="009A434E"/>
    <w:rsid w:val="009A436D"/>
    <w:rsid w:val="009A4371"/>
    <w:rsid w:val="009A43B8"/>
    <w:rsid w:val="009A4408"/>
    <w:rsid w:val="009A4436"/>
    <w:rsid w:val="009A446A"/>
    <w:rsid w:val="009A44A9"/>
    <w:rsid w:val="009A44EF"/>
    <w:rsid w:val="009A44FE"/>
    <w:rsid w:val="009A4518"/>
    <w:rsid w:val="009A4563"/>
    <w:rsid w:val="009A4568"/>
    <w:rsid w:val="009A4598"/>
    <w:rsid w:val="009A45D6"/>
    <w:rsid w:val="009A4663"/>
    <w:rsid w:val="009A46D7"/>
    <w:rsid w:val="009A4702"/>
    <w:rsid w:val="009A473E"/>
    <w:rsid w:val="009A47A2"/>
    <w:rsid w:val="009A47C5"/>
    <w:rsid w:val="009A47CE"/>
    <w:rsid w:val="009A47F4"/>
    <w:rsid w:val="009A4818"/>
    <w:rsid w:val="009A48D3"/>
    <w:rsid w:val="009A48E5"/>
    <w:rsid w:val="009A4927"/>
    <w:rsid w:val="009A492D"/>
    <w:rsid w:val="009A49E0"/>
    <w:rsid w:val="009A4A20"/>
    <w:rsid w:val="009A4A26"/>
    <w:rsid w:val="009A4A7B"/>
    <w:rsid w:val="009A4AEF"/>
    <w:rsid w:val="009A4B0B"/>
    <w:rsid w:val="009A4BA0"/>
    <w:rsid w:val="009A4BA8"/>
    <w:rsid w:val="009A4BEF"/>
    <w:rsid w:val="009A4C1D"/>
    <w:rsid w:val="009A4C44"/>
    <w:rsid w:val="009A4C68"/>
    <w:rsid w:val="009A4CC2"/>
    <w:rsid w:val="009A4CDB"/>
    <w:rsid w:val="009A4D9D"/>
    <w:rsid w:val="009A4DAB"/>
    <w:rsid w:val="009A4DBE"/>
    <w:rsid w:val="009A4DCD"/>
    <w:rsid w:val="009A4DD6"/>
    <w:rsid w:val="009A4DD9"/>
    <w:rsid w:val="009A4E37"/>
    <w:rsid w:val="009A4F68"/>
    <w:rsid w:val="009A4F6C"/>
    <w:rsid w:val="009A4F74"/>
    <w:rsid w:val="009A4F7A"/>
    <w:rsid w:val="009A4FD4"/>
    <w:rsid w:val="009A5087"/>
    <w:rsid w:val="009A508B"/>
    <w:rsid w:val="009A50A8"/>
    <w:rsid w:val="009A5119"/>
    <w:rsid w:val="009A5129"/>
    <w:rsid w:val="009A512E"/>
    <w:rsid w:val="009A5192"/>
    <w:rsid w:val="009A5216"/>
    <w:rsid w:val="009A52C8"/>
    <w:rsid w:val="009A534B"/>
    <w:rsid w:val="009A537E"/>
    <w:rsid w:val="009A53F8"/>
    <w:rsid w:val="009A542F"/>
    <w:rsid w:val="009A5460"/>
    <w:rsid w:val="009A54A1"/>
    <w:rsid w:val="009A54B7"/>
    <w:rsid w:val="009A54C3"/>
    <w:rsid w:val="009A54ED"/>
    <w:rsid w:val="009A5503"/>
    <w:rsid w:val="009A5521"/>
    <w:rsid w:val="009A5523"/>
    <w:rsid w:val="009A55FB"/>
    <w:rsid w:val="009A5605"/>
    <w:rsid w:val="009A56E3"/>
    <w:rsid w:val="009A5818"/>
    <w:rsid w:val="009A5844"/>
    <w:rsid w:val="009A5874"/>
    <w:rsid w:val="009A58B5"/>
    <w:rsid w:val="009A58CC"/>
    <w:rsid w:val="009A58FF"/>
    <w:rsid w:val="009A594E"/>
    <w:rsid w:val="009A59B2"/>
    <w:rsid w:val="009A59C1"/>
    <w:rsid w:val="009A59DE"/>
    <w:rsid w:val="009A59EF"/>
    <w:rsid w:val="009A5AC4"/>
    <w:rsid w:val="009A5BA2"/>
    <w:rsid w:val="009A5C44"/>
    <w:rsid w:val="009A5C8F"/>
    <w:rsid w:val="009A5C94"/>
    <w:rsid w:val="009A5CDE"/>
    <w:rsid w:val="009A5D2B"/>
    <w:rsid w:val="009A5D87"/>
    <w:rsid w:val="009A5DF8"/>
    <w:rsid w:val="009A5E38"/>
    <w:rsid w:val="009A5E94"/>
    <w:rsid w:val="009A5F03"/>
    <w:rsid w:val="009A5F0B"/>
    <w:rsid w:val="009A5F1B"/>
    <w:rsid w:val="009A5F45"/>
    <w:rsid w:val="009A5F4D"/>
    <w:rsid w:val="009A5F56"/>
    <w:rsid w:val="009A5F6C"/>
    <w:rsid w:val="009A5F8A"/>
    <w:rsid w:val="009A5FC9"/>
    <w:rsid w:val="009A6008"/>
    <w:rsid w:val="009A604B"/>
    <w:rsid w:val="009A6062"/>
    <w:rsid w:val="009A6080"/>
    <w:rsid w:val="009A608D"/>
    <w:rsid w:val="009A60C7"/>
    <w:rsid w:val="009A6120"/>
    <w:rsid w:val="009A6145"/>
    <w:rsid w:val="009A61B6"/>
    <w:rsid w:val="009A627B"/>
    <w:rsid w:val="009A6286"/>
    <w:rsid w:val="009A629D"/>
    <w:rsid w:val="009A62A1"/>
    <w:rsid w:val="009A62C6"/>
    <w:rsid w:val="009A62D2"/>
    <w:rsid w:val="009A6309"/>
    <w:rsid w:val="009A633A"/>
    <w:rsid w:val="009A6394"/>
    <w:rsid w:val="009A6467"/>
    <w:rsid w:val="009A64B5"/>
    <w:rsid w:val="009A6574"/>
    <w:rsid w:val="009A65B9"/>
    <w:rsid w:val="009A65CE"/>
    <w:rsid w:val="009A6607"/>
    <w:rsid w:val="009A66A2"/>
    <w:rsid w:val="009A66F0"/>
    <w:rsid w:val="009A6771"/>
    <w:rsid w:val="009A6794"/>
    <w:rsid w:val="009A6839"/>
    <w:rsid w:val="009A68F5"/>
    <w:rsid w:val="009A690A"/>
    <w:rsid w:val="009A6927"/>
    <w:rsid w:val="009A6947"/>
    <w:rsid w:val="009A6951"/>
    <w:rsid w:val="009A6956"/>
    <w:rsid w:val="009A6A52"/>
    <w:rsid w:val="009A6AF6"/>
    <w:rsid w:val="009A6B5E"/>
    <w:rsid w:val="009A6B63"/>
    <w:rsid w:val="009A6BE5"/>
    <w:rsid w:val="009A6BF5"/>
    <w:rsid w:val="009A6C66"/>
    <w:rsid w:val="009A6CBB"/>
    <w:rsid w:val="009A6CCC"/>
    <w:rsid w:val="009A6CF3"/>
    <w:rsid w:val="009A6D01"/>
    <w:rsid w:val="009A6D28"/>
    <w:rsid w:val="009A6D29"/>
    <w:rsid w:val="009A6D96"/>
    <w:rsid w:val="009A6E6A"/>
    <w:rsid w:val="009A6E7B"/>
    <w:rsid w:val="009A6E7F"/>
    <w:rsid w:val="009A6EAB"/>
    <w:rsid w:val="009A6FC3"/>
    <w:rsid w:val="009A6FE1"/>
    <w:rsid w:val="009A7080"/>
    <w:rsid w:val="009A708F"/>
    <w:rsid w:val="009A70A2"/>
    <w:rsid w:val="009A70B5"/>
    <w:rsid w:val="009A70C5"/>
    <w:rsid w:val="009A70DC"/>
    <w:rsid w:val="009A7105"/>
    <w:rsid w:val="009A712F"/>
    <w:rsid w:val="009A716D"/>
    <w:rsid w:val="009A71FE"/>
    <w:rsid w:val="009A7203"/>
    <w:rsid w:val="009A720D"/>
    <w:rsid w:val="009A725A"/>
    <w:rsid w:val="009A7275"/>
    <w:rsid w:val="009A7283"/>
    <w:rsid w:val="009A72BC"/>
    <w:rsid w:val="009A72C9"/>
    <w:rsid w:val="009A73C6"/>
    <w:rsid w:val="009A73F3"/>
    <w:rsid w:val="009A743A"/>
    <w:rsid w:val="009A7441"/>
    <w:rsid w:val="009A7464"/>
    <w:rsid w:val="009A7478"/>
    <w:rsid w:val="009A7499"/>
    <w:rsid w:val="009A74CE"/>
    <w:rsid w:val="009A7528"/>
    <w:rsid w:val="009A75AD"/>
    <w:rsid w:val="009A75DE"/>
    <w:rsid w:val="009A7650"/>
    <w:rsid w:val="009A76B8"/>
    <w:rsid w:val="009A76C9"/>
    <w:rsid w:val="009A76FF"/>
    <w:rsid w:val="009A772C"/>
    <w:rsid w:val="009A7740"/>
    <w:rsid w:val="009A774D"/>
    <w:rsid w:val="009A777F"/>
    <w:rsid w:val="009A7796"/>
    <w:rsid w:val="009A7888"/>
    <w:rsid w:val="009A78C1"/>
    <w:rsid w:val="009A78D4"/>
    <w:rsid w:val="009A7A55"/>
    <w:rsid w:val="009A7A73"/>
    <w:rsid w:val="009A7ACE"/>
    <w:rsid w:val="009A7AD7"/>
    <w:rsid w:val="009A7AE2"/>
    <w:rsid w:val="009A7B1E"/>
    <w:rsid w:val="009A7B4B"/>
    <w:rsid w:val="009A7B87"/>
    <w:rsid w:val="009A7C3D"/>
    <w:rsid w:val="009A7C61"/>
    <w:rsid w:val="009A7C84"/>
    <w:rsid w:val="009A7CB2"/>
    <w:rsid w:val="009A7CD2"/>
    <w:rsid w:val="009A7D02"/>
    <w:rsid w:val="009A7D15"/>
    <w:rsid w:val="009A7D26"/>
    <w:rsid w:val="009A7D45"/>
    <w:rsid w:val="009A7DF7"/>
    <w:rsid w:val="009A7E3E"/>
    <w:rsid w:val="009A7E7E"/>
    <w:rsid w:val="009A7EB3"/>
    <w:rsid w:val="009A7EF5"/>
    <w:rsid w:val="009A7F46"/>
    <w:rsid w:val="009A7F56"/>
    <w:rsid w:val="009A7FB0"/>
    <w:rsid w:val="009B0015"/>
    <w:rsid w:val="009B0027"/>
    <w:rsid w:val="009B00AE"/>
    <w:rsid w:val="009B00B1"/>
    <w:rsid w:val="009B00B7"/>
    <w:rsid w:val="009B00C4"/>
    <w:rsid w:val="009B00CD"/>
    <w:rsid w:val="009B018A"/>
    <w:rsid w:val="009B01A0"/>
    <w:rsid w:val="009B022D"/>
    <w:rsid w:val="009B026F"/>
    <w:rsid w:val="009B0378"/>
    <w:rsid w:val="009B03F3"/>
    <w:rsid w:val="009B03F8"/>
    <w:rsid w:val="009B0421"/>
    <w:rsid w:val="009B0436"/>
    <w:rsid w:val="009B0470"/>
    <w:rsid w:val="009B058D"/>
    <w:rsid w:val="009B05A6"/>
    <w:rsid w:val="009B05AD"/>
    <w:rsid w:val="009B0684"/>
    <w:rsid w:val="009B06EB"/>
    <w:rsid w:val="009B072A"/>
    <w:rsid w:val="009B0756"/>
    <w:rsid w:val="009B08CE"/>
    <w:rsid w:val="009B08D8"/>
    <w:rsid w:val="009B09A6"/>
    <w:rsid w:val="009B09D7"/>
    <w:rsid w:val="009B09F6"/>
    <w:rsid w:val="009B0A26"/>
    <w:rsid w:val="009B0A59"/>
    <w:rsid w:val="009B0A65"/>
    <w:rsid w:val="009B0ADB"/>
    <w:rsid w:val="009B0ADC"/>
    <w:rsid w:val="009B0AF5"/>
    <w:rsid w:val="009B0B00"/>
    <w:rsid w:val="009B0B1C"/>
    <w:rsid w:val="009B0B48"/>
    <w:rsid w:val="009B0C5A"/>
    <w:rsid w:val="009B0C68"/>
    <w:rsid w:val="009B0C90"/>
    <w:rsid w:val="009B0C9D"/>
    <w:rsid w:val="009B0CB4"/>
    <w:rsid w:val="009B0CFB"/>
    <w:rsid w:val="009B0D01"/>
    <w:rsid w:val="009B0D02"/>
    <w:rsid w:val="009B0D0D"/>
    <w:rsid w:val="009B0D6C"/>
    <w:rsid w:val="009B0E52"/>
    <w:rsid w:val="009B0E96"/>
    <w:rsid w:val="009B0EBE"/>
    <w:rsid w:val="009B0F4B"/>
    <w:rsid w:val="009B0F5E"/>
    <w:rsid w:val="009B0F92"/>
    <w:rsid w:val="009B0FAB"/>
    <w:rsid w:val="009B0FE3"/>
    <w:rsid w:val="009B1048"/>
    <w:rsid w:val="009B10B2"/>
    <w:rsid w:val="009B11C5"/>
    <w:rsid w:val="009B11D7"/>
    <w:rsid w:val="009B11E9"/>
    <w:rsid w:val="009B11ED"/>
    <w:rsid w:val="009B11F2"/>
    <w:rsid w:val="009B1206"/>
    <w:rsid w:val="009B120A"/>
    <w:rsid w:val="009B126B"/>
    <w:rsid w:val="009B12A4"/>
    <w:rsid w:val="009B12A7"/>
    <w:rsid w:val="009B12AB"/>
    <w:rsid w:val="009B12DC"/>
    <w:rsid w:val="009B1387"/>
    <w:rsid w:val="009B1427"/>
    <w:rsid w:val="009B1434"/>
    <w:rsid w:val="009B143F"/>
    <w:rsid w:val="009B14A1"/>
    <w:rsid w:val="009B14E5"/>
    <w:rsid w:val="009B1555"/>
    <w:rsid w:val="009B15A6"/>
    <w:rsid w:val="009B15D2"/>
    <w:rsid w:val="009B160C"/>
    <w:rsid w:val="009B1682"/>
    <w:rsid w:val="009B1688"/>
    <w:rsid w:val="009B17AE"/>
    <w:rsid w:val="009B17B9"/>
    <w:rsid w:val="009B180B"/>
    <w:rsid w:val="009B1813"/>
    <w:rsid w:val="009B1827"/>
    <w:rsid w:val="009B18BE"/>
    <w:rsid w:val="009B192A"/>
    <w:rsid w:val="009B1934"/>
    <w:rsid w:val="009B1961"/>
    <w:rsid w:val="009B1979"/>
    <w:rsid w:val="009B19E0"/>
    <w:rsid w:val="009B19E8"/>
    <w:rsid w:val="009B1A33"/>
    <w:rsid w:val="009B1A3A"/>
    <w:rsid w:val="009B1A41"/>
    <w:rsid w:val="009B1AEE"/>
    <w:rsid w:val="009B1AF5"/>
    <w:rsid w:val="009B1B4C"/>
    <w:rsid w:val="009B1B4E"/>
    <w:rsid w:val="009B1BB0"/>
    <w:rsid w:val="009B1BCA"/>
    <w:rsid w:val="009B1BEE"/>
    <w:rsid w:val="009B1C32"/>
    <w:rsid w:val="009B1C3C"/>
    <w:rsid w:val="009B1C60"/>
    <w:rsid w:val="009B1C84"/>
    <w:rsid w:val="009B1C86"/>
    <w:rsid w:val="009B1C9B"/>
    <w:rsid w:val="009B1CD3"/>
    <w:rsid w:val="009B1CF1"/>
    <w:rsid w:val="009B1D09"/>
    <w:rsid w:val="009B1D88"/>
    <w:rsid w:val="009B1D94"/>
    <w:rsid w:val="009B1E08"/>
    <w:rsid w:val="009B1E8C"/>
    <w:rsid w:val="009B1EAD"/>
    <w:rsid w:val="009B1F33"/>
    <w:rsid w:val="009B1F45"/>
    <w:rsid w:val="009B1F61"/>
    <w:rsid w:val="009B1FD1"/>
    <w:rsid w:val="009B2001"/>
    <w:rsid w:val="009B2056"/>
    <w:rsid w:val="009B208F"/>
    <w:rsid w:val="009B20B1"/>
    <w:rsid w:val="009B20BE"/>
    <w:rsid w:val="009B211A"/>
    <w:rsid w:val="009B211B"/>
    <w:rsid w:val="009B214E"/>
    <w:rsid w:val="009B21A4"/>
    <w:rsid w:val="009B21B7"/>
    <w:rsid w:val="009B21C0"/>
    <w:rsid w:val="009B21F0"/>
    <w:rsid w:val="009B21F4"/>
    <w:rsid w:val="009B2207"/>
    <w:rsid w:val="009B224C"/>
    <w:rsid w:val="009B2264"/>
    <w:rsid w:val="009B2274"/>
    <w:rsid w:val="009B2288"/>
    <w:rsid w:val="009B22AF"/>
    <w:rsid w:val="009B22D2"/>
    <w:rsid w:val="009B2316"/>
    <w:rsid w:val="009B2399"/>
    <w:rsid w:val="009B23A6"/>
    <w:rsid w:val="009B23BC"/>
    <w:rsid w:val="009B23BD"/>
    <w:rsid w:val="009B240A"/>
    <w:rsid w:val="009B2430"/>
    <w:rsid w:val="009B2457"/>
    <w:rsid w:val="009B245D"/>
    <w:rsid w:val="009B2480"/>
    <w:rsid w:val="009B2483"/>
    <w:rsid w:val="009B24EB"/>
    <w:rsid w:val="009B24F2"/>
    <w:rsid w:val="009B24FE"/>
    <w:rsid w:val="009B2509"/>
    <w:rsid w:val="009B25B1"/>
    <w:rsid w:val="009B2647"/>
    <w:rsid w:val="009B264C"/>
    <w:rsid w:val="009B2661"/>
    <w:rsid w:val="009B26DD"/>
    <w:rsid w:val="009B26EB"/>
    <w:rsid w:val="009B2702"/>
    <w:rsid w:val="009B2710"/>
    <w:rsid w:val="009B2722"/>
    <w:rsid w:val="009B2778"/>
    <w:rsid w:val="009B2816"/>
    <w:rsid w:val="009B2847"/>
    <w:rsid w:val="009B286B"/>
    <w:rsid w:val="009B2899"/>
    <w:rsid w:val="009B28D8"/>
    <w:rsid w:val="009B28EF"/>
    <w:rsid w:val="009B2930"/>
    <w:rsid w:val="009B2942"/>
    <w:rsid w:val="009B294F"/>
    <w:rsid w:val="009B299C"/>
    <w:rsid w:val="009B29BC"/>
    <w:rsid w:val="009B29F0"/>
    <w:rsid w:val="009B29FF"/>
    <w:rsid w:val="009B2A3C"/>
    <w:rsid w:val="009B2B26"/>
    <w:rsid w:val="009B2B42"/>
    <w:rsid w:val="009B2BC5"/>
    <w:rsid w:val="009B2BCE"/>
    <w:rsid w:val="009B2BF2"/>
    <w:rsid w:val="009B2C07"/>
    <w:rsid w:val="009B2C15"/>
    <w:rsid w:val="009B2C1B"/>
    <w:rsid w:val="009B2C4F"/>
    <w:rsid w:val="009B2C64"/>
    <w:rsid w:val="009B2C6F"/>
    <w:rsid w:val="009B2C7A"/>
    <w:rsid w:val="009B2D2B"/>
    <w:rsid w:val="009B2E39"/>
    <w:rsid w:val="009B2EF9"/>
    <w:rsid w:val="009B2EFE"/>
    <w:rsid w:val="009B2F4A"/>
    <w:rsid w:val="009B2F57"/>
    <w:rsid w:val="009B2F68"/>
    <w:rsid w:val="009B2F79"/>
    <w:rsid w:val="009B2F85"/>
    <w:rsid w:val="009B2F8C"/>
    <w:rsid w:val="009B2F93"/>
    <w:rsid w:val="009B2FAD"/>
    <w:rsid w:val="009B2FC6"/>
    <w:rsid w:val="009B2FE2"/>
    <w:rsid w:val="009B2FE5"/>
    <w:rsid w:val="009B30CB"/>
    <w:rsid w:val="009B30FC"/>
    <w:rsid w:val="009B30FD"/>
    <w:rsid w:val="009B3117"/>
    <w:rsid w:val="009B3166"/>
    <w:rsid w:val="009B319C"/>
    <w:rsid w:val="009B31EC"/>
    <w:rsid w:val="009B3208"/>
    <w:rsid w:val="009B3221"/>
    <w:rsid w:val="009B3223"/>
    <w:rsid w:val="009B322A"/>
    <w:rsid w:val="009B3242"/>
    <w:rsid w:val="009B3263"/>
    <w:rsid w:val="009B326D"/>
    <w:rsid w:val="009B32D6"/>
    <w:rsid w:val="009B32E8"/>
    <w:rsid w:val="009B330F"/>
    <w:rsid w:val="009B3316"/>
    <w:rsid w:val="009B331C"/>
    <w:rsid w:val="009B3339"/>
    <w:rsid w:val="009B3343"/>
    <w:rsid w:val="009B33D7"/>
    <w:rsid w:val="009B340C"/>
    <w:rsid w:val="009B3484"/>
    <w:rsid w:val="009B350D"/>
    <w:rsid w:val="009B35EF"/>
    <w:rsid w:val="009B3643"/>
    <w:rsid w:val="009B3662"/>
    <w:rsid w:val="009B36E1"/>
    <w:rsid w:val="009B36E4"/>
    <w:rsid w:val="009B36F0"/>
    <w:rsid w:val="009B373E"/>
    <w:rsid w:val="009B37A3"/>
    <w:rsid w:val="009B37CF"/>
    <w:rsid w:val="009B37EF"/>
    <w:rsid w:val="009B3814"/>
    <w:rsid w:val="009B3904"/>
    <w:rsid w:val="009B3999"/>
    <w:rsid w:val="009B39CA"/>
    <w:rsid w:val="009B39CC"/>
    <w:rsid w:val="009B3A20"/>
    <w:rsid w:val="009B3A29"/>
    <w:rsid w:val="009B3A6D"/>
    <w:rsid w:val="009B3ABF"/>
    <w:rsid w:val="009B3AEE"/>
    <w:rsid w:val="009B3B68"/>
    <w:rsid w:val="009B3BE5"/>
    <w:rsid w:val="009B3C02"/>
    <w:rsid w:val="009B3C15"/>
    <w:rsid w:val="009B3C19"/>
    <w:rsid w:val="009B3C20"/>
    <w:rsid w:val="009B3C2F"/>
    <w:rsid w:val="009B3C56"/>
    <w:rsid w:val="009B3D07"/>
    <w:rsid w:val="009B3D26"/>
    <w:rsid w:val="009B3E30"/>
    <w:rsid w:val="009B3E74"/>
    <w:rsid w:val="009B3E88"/>
    <w:rsid w:val="009B3EC6"/>
    <w:rsid w:val="009B3EEE"/>
    <w:rsid w:val="009B3F3B"/>
    <w:rsid w:val="009B3F5E"/>
    <w:rsid w:val="009B3FDD"/>
    <w:rsid w:val="009B408A"/>
    <w:rsid w:val="009B40A5"/>
    <w:rsid w:val="009B4103"/>
    <w:rsid w:val="009B4108"/>
    <w:rsid w:val="009B4138"/>
    <w:rsid w:val="009B4266"/>
    <w:rsid w:val="009B4278"/>
    <w:rsid w:val="009B4282"/>
    <w:rsid w:val="009B42E2"/>
    <w:rsid w:val="009B42EA"/>
    <w:rsid w:val="009B430C"/>
    <w:rsid w:val="009B4372"/>
    <w:rsid w:val="009B4436"/>
    <w:rsid w:val="009B444B"/>
    <w:rsid w:val="009B4486"/>
    <w:rsid w:val="009B44AB"/>
    <w:rsid w:val="009B4542"/>
    <w:rsid w:val="009B4587"/>
    <w:rsid w:val="009B45FD"/>
    <w:rsid w:val="009B4630"/>
    <w:rsid w:val="009B46B4"/>
    <w:rsid w:val="009B46D9"/>
    <w:rsid w:val="009B46EC"/>
    <w:rsid w:val="009B46ED"/>
    <w:rsid w:val="009B4710"/>
    <w:rsid w:val="009B4715"/>
    <w:rsid w:val="009B473C"/>
    <w:rsid w:val="009B474A"/>
    <w:rsid w:val="009B4763"/>
    <w:rsid w:val="009B4787"/>
    <w:rsid w:val="009B478E"/>
    <w:rsid w:val="009B47C3"/>
    <w:rsid w:val="009B47D1"/>
    <w:rsid w:val="009B47E3"/>
    <w:rsid w:val="009B47EC"/>
    <w:rsid w:val="009B47F8"/>
    <w:rsid w:val="009B4806"/>
    <w:rsid w:val="009B482A"/>
    <w:rsid w:val="009B485A"/>
    <w:rsid w:val="009B48E7"/>
    <w:rsid w:val="009B4978"/>
    <w:rsid w:val="009B49EE"/>
    <w:rsid w:val="009B49EF"/>
    <w:rsid w:val="009B4A02"/>
    <w:rsid w:val="009B4A29"/>
    <w:rsid w:val="009B4A50"/>
    <w:rsid w:val="009B4A65"/>
    <w:rsid w:val="009B4A6C"/>
    <w:rsid w:val="009B4A7D"/>
    <w:rsid w:val="009B4B37"/>
    <w:rsid w:val="009B4B6F"/>
    <w:rsid w:val="009B4B7B"/>
    <w:rsid w:val="009B4B84"/>
    <w:rsid w:val="009B4B8C"/>
    <w:rsid w:val="009B4BA6"/>
    <w:rsid w:val="009B4BE7"/>
    <w:rsid w:val="009B4C31"/>
    <w:rsid w:val="009B4C40"/>
    <w:rsid w:val="009B4C8D"/>
    <w:rsid w:val="009B4D1B"/>
    <w:rsid w:val="009B4D55"/>
    <w:rsid w:val="009B4D7C"/>
    <w:rsid w:val="009B4D7E"/>
    <w:rsid w:val="009B4D8B"/>
    <w:rsid w:val="009B4DAD"/>
    <w:rsid w:val="009B4DB6"/>
    <w:rsid w:val="009B4E10"/>
    <w:rsid w:val="009B4E6E"/>
    <w:rsid w:val="009B4EF5"/>
    <w:rsid w:val="009B5084"/>
    <w:rsid w:val="009B50AC"/>
    <w:rsid w:val="009B50D7"/>
    <w:rsid w:val="009B5127"/>
    <w:rsid w:val="009B515F"/>
    <w:rsid w:val="009B5163"/>
    <w:rsid w:val="009B519A"/>
    <w:rsid w:val="009B51AC"/>
    <w:rsid w:val="009B51C0"/>
    <w:rsid w:val="009B51C9"/>
    <w:rsid w:val="009B51CD"/>
    <w:rsid w:val="009B527F"/>
    <w:rsid w:val="009B52BD"/>
    <w:rsid w:val="009B5374"/>
    <w:rsid w:val="009B53C8"/>
    <w:rsid w:val="009B53D0"/>
    <w:rsid w:val="009B53E9"/>
    <w:rsid w:val="009B5431"/>
    <w:rsid w:val="009B5451"/>
    <w:rsid w:val="009B5453"/>
    <w:rsid w:val="009B54D5"/>
    <w:rsid w:val="009B54D8"/>
    <w:rsid w:val="009B54E0"/>
    <w:rsid w:val="009B555C"/>
    <w:rsid w:val="009B557B"/>
    <w:rsid w:val="009B5620"/>
    <w:rsid w:val="009B5638"/>
    <w:rsid w:val="009B5640"/>
    <w:rsid w:val="009B565A"/>
    <w:rsid w:val="009B56E7"/>
    <w:rsid w:val="009B570A"/>
    <w:rsid w:val="009B575C"/>
    <w:rsid w:val="009B5768"/>
    <w:rsid w:val="009B579B"/>
    <w:rsid w:val="009B57DA"/>
    <w:rsid w:val="009B5801"/>
    <w:rsid w:val="009B581F"/>
    <w:rsid w:val="009B5856"/>
    <w:rsid w:val="009B58C0"/>
    <w:rsid w:val="009B5910"/>
    <w:rsid w:val="009B5928"/>
    <w:rsid w:val="009B594D"/>
    <w:rsid w:val="009B59CE"/>
    <w:rsid w:val="009B59DB"/>
    <w:rsid w:val="009B59F1"/>
    <w:rsid w:val="009B59FC"/>
    <w:rsid w:val="009B5A7D"/>
    <w:rsid w:val="009B5A8A"/>
    <w:rsid w:val="009B5ABD"/>
    <w:rsid w:val="009B5AF1"/>
    <w:rsid w:val="009B5B0D"/>
    <w:rsid w:val="009B5B31"/>
    <w:rsid w:val="009B5B9A"/>
    <w:rsid w:val="009B5B9C"/>
    <w:rsid w:val="009B5BA4"/>
    <w:rsid w:val="009B5C20"/>
    <w:rsid w:val="009B5C30"/>
    <w:rsid w:val="009B5C31"/>
    <w:rsid w:val="009B5C35"/>
    <w:rsid w:val="009B5C71"/>
    <w:rsid w:val="009B5CD6"/>
    <w:rsid w:val="009B5CE7"/>
    <w:rsid w:val="009B5CF5"/>
    <w:rsid w:val="009B5D29"/>
    <w:rsid w:val="009B5D33"/>
    <w:rsid w:val="009B5D3E"/>
    <w:rsid w:val="009B5D75"/>
    <w:rsid w:val="009B5DC5"/>
    <w:rsid w:val="009B5E18"/>
    <w:rsid w:val="009B5EDB"/>
    <w:rsid w:val="009B5F58"/>
    <w:rsid w:val="009B5F69"/>
    <w:rsid w:val="009B5FC6"/>
    <w:rsid w:val="009B6015"/>
    <w:rsid w:val="009B6040"/>
    <w:rsid w:val="009B6113"/>
    <w:rsid w:val="009B6114"/>
    <w:rsid w:val="009B6126"/>
    <w:rsid w:val="009B617F"/>
    <w:rsid w:val="009B61F2"/>
    <w:rsid w:val="009B622A"/>
    <w:rsid w:val="009B6240"/>
    <w:rsid w:val="009B629A"/>
    <w:rsid w:val="009B62B9"/>
    <w:rsid w:val="009B62E4"/>
    <w:rsid w:val="009B62F8"/>
    <w:rsid w:val="009B62FF"/>
    <w:rsid w:val="009B632E"/>
    <w:rsid w:val="009B634A"/>
    <w:rsid w:val="009B6447"/>
    <w:rsid w:val="009B6462"/>
    <w:rsid w:val="009B6494"/>
    <w:rsid w:val="009B64DD"/>
    <w:rsid w:val="009B6518"/>
    <w:rsid w:val="009B6554"/>
    <w:rsid w:val="009B6562"/>
    <w:rsid w:val="009B65A4"/>
    <w:rsid w:val="009B65AB"/>
    <w:rsid w:val="009B65BC"/>
    <w:rsid w:val="009B65D8"/>
    <w:rsid w:val="009B65F7"/>
    <w:rsid w:val="009B65FA"/>
    <w:rsid w:val="009B6669"/>
    <w:rsid w:val="009B666B"/>
    <w:rsid w:val="009B6680"/>
    <w:rsid w:val="009B66D3"/>
    <w:rsid w:val="009B67A0"/>
    <w:rsid w:val="009B68F6"/>
    <w:rsid w:val="009B6906"/>
    <w:rsid w:val="009B690C"/>
    <w:rsid w:val="009B69AC"/>
    <w:rsid w:val="009B69C2"/>
    <w:rsid w:val="009B69C7"/>
    <w:rsid w:val="009B69E1"/>
    <w:rsid w:val="009B6A00"/>
    <w:rsid w:val="009B6A17"/>
    <w:rsid w:val="009B6A63"/>
    <w:rsid w:val="009B6A6A"/>
    <w:rsid w:val="009B6A6B"/>
    <w:rsid w:val="009B6A86"/>
    <w:rsid w:val="009B6B08"/>
    <w:rsid w:val="009B6B15"/>
    <w:rsid w:val="009B6B5A"/>
    <w:rsid w:val="009B6B6C"/>
    <w:rsid w:val="009B6BA4"/>
    <w:rsid w:val="009B6BDA"/>
    <w:rsid w:val="009B6C53"/>
    <w:rsid w:val="009B6C6A"/>
    <w:rsid w:val="009B6D0C"/>
    <w:rsid w:val="009B6D22"/>
    <w:rsid w:val="009B6D38"/>
    <w:rsid w:val="009B6D6E"/>
    <w:rsid w:val="009B6D77"/>
    <w:rsid w:val="009B6E14"/>
    <w:rsid w:val="009B6E17"/>
    <w:rsid w:val="009B6E5A"/>
    <w:rsid w:val="009B6EC8"/>
    <w:rsid w:val="009B6EE2"/>
    <w:rsid w:val="009B70F3"/>
    <w:rsid w:val="009B7114"/>
    <w:rsid w:val="009B7126"/>
    <w:rsid w:val="009B723C"/>
    <w:rsid w:val="009B72EA"/>
    <w:rsid w:val="009B7309"/>
    <w:rsid w:val="009B733C"/>
    <w:rsid w:val="009B7347"/>
    <w:rsid w:val="009B736A"/>
    <w:rsid w:val="009B7389"/>
    <w:rsid w:val="009B7434"/>
    <w:rsid w:val="009B7437"/>
    <w:rsid w:val="009B7498"/>
    <w:rsid w:val="009B749D"/>
    <w:rsid w:val="009B74A1"/>
    <w:rsid w:val="009B74B5"/>
    <w:rsid w:val="009B74C0"/>
    <w:rsid w:val="009B7502"/>
    <w:rsid w:val="009B7508"/>
    <w:rsid w:val="009B7530"/>
    <w:rsid w:val="009B7586"/>
    <w:rsid w:val="009B7598"/>
    <w:rsid w:val="009B75C7"/>
    <w:rsid w:val="009B7658"/>
    <w:rsid w:val="009B76A9"/>
    <w:rsid w:val="009B76AF"/>
    <w:rsid w:val="009B76D5"/>
    <w:rsid w:val="009B7732"/>
    <w:rsid w:val="009B7774"/>
    <w:rsid w:val="009B77DF"/>
    <w:rsid w:val="009B7851"/>
    <w:rsid w:val="009B785D"/>
    <w:rsid w:val="009B7875"/>
    <w:rsid w:val="009B78C3"/>
    <w:rsid w:val="009B79E7"/>
    <w:rsid w:val="009B7A65"/>
    <w:rsid w:val="009B7A67"/>
    <w:rsid w:val="009B7AD9"/>
    <w:rsid w:val="009B7B06"/>
    <w:rsid w:val="009B7B33"/>
    <w:rsid w:val="009B7B47"/>
    <w:rsid w:val="009B7B66"/>
    <w:rsid w:val="009B7C5D"/>
    <w:rsid w:val="009B7C69"/>
    <w:rsid w:val="009B7C82"/>
    <w:rsid w:val="009B7D07"/>
    <w:rsid w:val="009B7D0F"/>
    <w:rsid w:val="009B7D16"/>
    <w:rsid w:val="009B7D9E"/>
    <w:rsid w:val="009B7DD3"/>
    <w:rsid w:val="009B7E22"/>
    <w:rsid w:val="009B7EF3"/>
    <w:rsid w:val="009B7F80"/>
    <w:rsid w:val="009B7FF0"/>
    <w:rsid w:val="009C001B"/>
    <w:rsid w:val="009C003A"/>
    <w:rsid w:val="009C0067"/>
    <w:rsid w:val="009C0084"/>
    <w:rsid w:val="009C0088"/>
    <w:rsid w:val="009C00D6"/>
    <w:rsid w:val="009C00E9"/>
    <w:rsid w:val="009C0113"/>
    <w:rsid w:val="009C01A4"/>
    <w:rsid w:val="009C0212"/>
    <w:rsid w:val="009C0216"/>
    <w:rsid w:val="009C0265"/>
    <w:rsid w:val="009C0267"/>
    <w:rsid w:val="009C0288"/>
    <w:rsid w:val="009C02B8"/>
    <w:rsid w:val="009C02C1"/>
    <w:rsid w:val="009C0390"/>
    <w:rsid w:val="009C039D"/>
    <w:rsid w:val="009C0446"/>
    <w:rsid w:val="009C04DA"/>
    <w:rsid w:val="009C0559"/>
    <w:rsid w:val="009C05DE"/>
    <w:rsid w:val="009C05FE"/>
    <w:rsid w:val="009C0612"/>
    <w:rsid w:val="009C0632"/>
    <w:rsid w:val="009C0694"/>
    <w:rsid w:val="009C06AD"/>
    <w:rsid w:val="009C06FB"/>
    <w:rsid w:val="009C0713"/>
    <w:rsid w:val="009C0723"/>
    <w:rsid w:val="009C072E"/>
    <w:rsid w:val="009C0734"/>
    <w:rsid w:val="009C0739"/>
    <w:rsid w:val="009C0759"/>
    <w:rsid w:val="009C07A4"/>
    <w:rsid w:val="009C0802"/>
    <w:rsid w:val="009C0814"/>
    <w:rsid w:val="009C08C4"/>
    <w:rsid w:val="009C08E3"/>
    <w:rsid w:val="009C08FF"/>
    <w:rsid w:val="009C0967"/>
    <w:rsid w:val="009C0A66"/>
    <w:rsid w:val="009C0A86"/>
    <w:rsid w:val="009C0ABD"/>
    <w:rsid w:val="009C0AEB"/>
    <w:rsid w:val="009C0AF5"/>
    <w:rsid w:val="009C0B5D"/>
    <w:rsid w:val="009C0B68"/>
    <w:rsid w:val="009C0BB8"/>
    <w:rsid w:val="009C0BCC"/>
    <w:rsid w:val="009C0C12"/>
    <w:rsid w:val="009C0C51"/>
    <w:rsid w:val="009C0CA7"/>
    <w:rsid w:val="009C0CC7"/>
    <w:rsid w:val="009C0CD8"/>
    <w:rsid w:val="009C0D09"/>
    <w:rsid w:val="009C0D4B"/>
    <w:rsid w:val="009C0D96"/>
    <w:rsid w:val="009C0DDC"/>
    <w:rsid w:val="009C0DE5"/>
    <w:rsid w:val="009C0E47"/>
    <w:rsid w:val="009C0E65"/>
    <w:rsid w:val="009C0E7E"/>
    <w:rsid w:val="009C0EFD"/>
    <w:rsid w:val="009C0F60"/>
    <w:rsid w:val="009C0FBE"/>
    <w:rsid w:val="009C0FDC"/>
    <w:rsid w:val="009C105E"/>
    <w:rsid w:val="009C1075"/>
    <w:rsid w:val="009C108B"/>
    <w:rsid w:val="009C1091"/>
    <w:rsid w:val="009C1099"/>
    <w:rsid w:val="009C10A3"/>
    <w:rsid w:val="009C10B2"/>
    <w:rsid w:val="009C10B9"/>
    <w:rsid w:val="009C10C9"/>
    <w:rsid w:val="009C10CA"/>
    <w:rsid w:val="009C10DD"/>
    <w:rsid w:val="009C11D4"/>
    <w:rsid w:val="009C1304"/>
    <w:rsid w:val="009C1313"/>
    <w:rsid w:val="009C1327"/>
    <w:rsid w:val="009C133B"/>
    <w:rsid w:val="009C1397"/>
    <w:rsid w:val="009C13A4"/>
    <w:rsid w:val="009C13EF"/>
    <w:rsid w:val="009C1411"/>
    <w:rsid w:val="009C1414"/>
    <w:rsid w:val="009C145C"/>
    <w:rsid w:val="009C1497"/>
    <w:rsid w:val="009C14BC"/>
    <w:rsid w:val="009C155B"/>
    <w:rsid w:val="009C157E"/>
    <w:rsid w:val="009C1590"/>
    <w:rsid w:val="009C15B6"/>
    <w:rsid w:val="009C161E"/>
    <w:rsid w:val="009C1630"/>
    <w:rsid w:val="009C1674"/>
    <w:rsid w:val="009C16CA"/>
    <w:rsid w:val="009C16D6"/>
    <w:rsid w:val="009C16EC"/>
    <w:rsid w:val="009C16F1"/>
    <w:rsid w:val="009C174C"/>
    <w:rsid w:val="009C17CD"/>
    <w:rsid w:val="009C183D"/>
    <w:rsid w:val="009C1854"/>
    <w:rsid w:val="009C1877"/>
    <w:rsid w:val="009C193E"/>
    <w:rsid w:val="009C1947"/>
    <w:rsid w:val="009C19A0"/>
    <w:rsid w:val="009C19C0"/>
    <w:rsid w:val="009C1A1D"/>
    <w:rsid w:val="009C1A5D"/>
    <w:rsid w:val="009C1A96"/>
    <w:rsid w:val="009C1AAB"/>
    <w:rsid w:val="009C1B46"/>
    <w:rsid w:val="009C1BBE"/>
    <w:rsid w:val="009C1BE2"/>
    <w:rsid w:val="009C1C13"/>
    <w:rsid w:val="009C1C26"/>
    <w:rsid w:val="009C1D23"/>
    <w:rsid w:val="009C1DFB"/>
    <w:rsid w:val="009C1E0C"/>
    <w:rsid w:val="009C1E2F"/>
    <w:rsid w:val="009C1ED4"/>
    <w:rsid w:val="009C1EDF"/>
    <w:rsid w:val="009C1EEF"/>
    <w:rsid w:val="009C1F92"/>
    <w:rsid w:val="009C1FDD"/>
    <w:rsid w:val="009C20B1"/>
    <w:rsid w:val="009C20C7"/>
    <w:rsid w:val="009C20D7"/>
    <w:rsid w:val="009C2105"/>
    <w:rsid w:val="009C2119"/>
    <w:rsid w:val="009C215B"/>
    <w:rsid w:val="009C21B2"/>
    <w:rsid w:val="009C21B9"/>
    <w:rsid w:val="009C21CA"/>
    <w:rsid w:val="009C221F"/>
    <w:rsid w:val="009C222C"/>
    <w:rsid w:val="009C2245"/>
    <w:rsid w:val="009C2266"/>
    <w:rsid w:val="009C226D"/>
    <w:rsid w:val="009C2278"/>
    <w:rsid w:val="009C22D2"/>
    <w:rsid w:val="009C22E5"/>
    <w:rsid w:val="009C2310"/>
    <w:rsid w:val="009C231F"/>
    <w:rsid w:val="009C2344"/>
    <w:rsid w:val="009C23F3"/>
    <w:rsid w:val="009C24C3"/>
    <w:rsid w:val="009C24C6"/>
    <w:rsid w:val="009C24C9"/>
    <w:rsid w:val="009C251D"/>
    <w:rsid w:val="009C2564"/>
    <w:rsid w:val="009C25A5"/>
    <w:rsid w:val="009C25C8"/>
    <w:rsid w:val="009C2647"/>
    <w:rsid w:val="009C264E"/>
    <w:rsid w:val="009C26B5"/>
    <w:rsid w:val="009C26F1"/>
    <w:rsid w:val="009C2714"/>
    <w:rsid w:val="009C2752"/>
    <w:rsid w:val="009C27E5"/>
    <w:rsid w:val="009C2807"/>
    <w:rsid w:val="009C283D"/>
    <w:rsid w:val="009C28EC"/>
    <w:rsid w:val="009C290D"/>
    <w:rsid w:val="009C2943"/>
    <w:rsid w:val="009C29AA"/>
    <w:rsid w:val="009C29D8"/>
    <w:rsid w:val="009C29EB"/>
    <w:rsid w:val="009C29F5"/>
    <w:rsid w:val="009C2A2B"/>
    <w:rsid w:val="009C2A64"/>
    <w:rsid w:val="009C2A73"/>
    <w:rsid w:val="009C2AA7"/>
    <w:rsid w:val="009C2AD1"/>
    <w:rsid w:val="009C2AEE"/>
    <w:rsid w:val="009C2B09"/>
    <w:rsid w:val="009C2B27"/>
    <w:rsid w:val="009C2B3F"/>
    <w:rsid w:val="009C2B49"/>
    <w:rsid w:val="009C2B92"/>
    <w:rsid w:val="009C2BA9"/>
    <w:rsid w:val="009C2BAB"/>
    <w:rsid w:val="009C2BCC"/>
    <w:rsid w:val="009C2C14"/>
    <w:rsid w:val="009C2C79"/>
    <w:rsid w:val="009C2D8B"/>
    <w:rsid w:val="009C2DF9"/>
    <w:rsid w:val="009C2E3B"/>
    <w:rsid w:val="009C2EA4"/>
    <w:rsid w:val="009C2EAD"/>
    <w:rsid w:val="009C2EC1"/>
    <w:rsid w:val="009C2EDA"/>
    <w:rsid w:val="009C2EDD"/>
    <w:rsid w:val="009C2FC0"/>
    <w:rsid w:val="009C2FDA"/>
    <w:rsid w:val="009C3027"/>
    <w:rsid w:val="009C3054"/>
    <w:rsid w:val="009C305C"/>
    <w:rsid w:val="009C30E1"/>
    <w:rsid w:val="009C3146"/>
    <w:rsid w:val="009C316A"/>
    <w:rsid w:val="009C31EF"/>
    <w:rsid w:val="009C31F4"/>
    <w:rsid w:val="009C3212"/>
    <w:rsid w:val="009C325B"/>
    <w:rsid w:val="009C32E8"/>
    <w:rsid w:val="009C3339"/>
    <w:rsid w:val="009C337B"/>
    <w:rsid w:val="009C33C3"/>
    <w:rsid w:val="009C33CA"/>
    <w:rsid w:val="009C33FA"/>
    <w:rsid w:val="009C3409"/>
    <w:rsid w:val="009C342D"/>
    <w:rsid w:val="009C3481"/>
    <w:rsid w:val="009C348C"/>
    <w:rsid w:val="009C348E"/>
    <w:rsid w:val="009C351F"/>
    <w:rsid w:val="009C3590"/>
    <w:rsid w:val="009C35C7"/>
    <w:rsid w:val="009C35CA"/>
    <w:rsid w:val="009C35F9"/>
    <w:rsid w:val="009C3618"/>
    <w:rsid w:val="009C3620"/>
    <w:rsid w:val="009C36D7"/>
    <w:rsid w:val="009C3710"/>
    <w:rsid w:val="009C3729"/>
    <w:rsid w:val="009C3785"/>
    <w:rsid w:val="009C3789"/>
    <w:rsid w:val="009C37ED"/>
    <w:rsid w:val="009C381C"/>
    <w:rsid w:val="009C3820"/>
    <w:rsid w:val="009C382E"/>
    <w:rsid w:val="009C3847"/>
    <w:rsid w:val="009C3854"/>
    <w:rsid w:val="009C389D"/>
    <w:rsid w:val="009C38B0"/>
    <w:rsid w:val="009C38E6"/>
    <w:rsid w:val="009C3982"/>
    <w:rsid w:val="009C39B2"/>
    <w:rsid w:val="009C39E2"/>
    <w:rsid w:val="009C39E5"/>
    <w:rsid w:val="009C3A0B"/>
    <w:rsid w:val="009C3A6B"/>
    <w:rsid w:val="009C3AAA"/>
    <w:rsid w:val="009C3AB9"/>
    <w:rsid w:val="009C3B18"/>
    <w:rsid w:val="009C3B27"/>
    <w:rsid w:val="009C3B58"/>
    <w:rsid w:val="009C3B6D"/>
    <w:rsid w:val="009C3B9A"/>
    <w:rsid w:val="009C3B9B"/>
    <w:rsid w:val="009C3BC0"/>
    <w:rsid w:val="009C3BD5"/>
    <w:rsid w:val="009C3BDE"/>
    <w:rsid w:val="009C3BED"/>
    <w:rsid w:val="009C3C17"/>
    <w:rsid w:val="009C3C33"/>
    <w:rsid w:val="009C3C3A"/>
    <w:rsid w:val="009C3C8C"/>
    <w:rsid w:val="009C3CAE"/>
    <w:rsid w:val="009C3CCB"/>
    <w:rsid w:val="009C3CD0"/>
    <w:rsid w:val="009C3D2B"/>
    <w:rsid w:val="009C3D3D"/>
    <w:rsid w:val="009C3D54"/>
    <w:rsid w:val="009C3D83"/>
    <w:rsid w:val="009C3D8A"/>
    <w:rsid w:val="009C3DD5"/>
    <w:rsid w:val="009C3DEE"/>
    <w:rsid w:val="009C3E1C"/>
    <w:rsid w:val="009C3EE3"/>
    <w:rsid w:val="009C3EF3"/>
    <w:rsid w:val="009C3F0B"/>
    <w:rsid w:val="009C3F0D"/>
    <w:rsid w:val="009C3F2F"/>
    <w:rsid w:val="009C3F32"/>
    <w:rsid w:val="009C3F56"/>
    <w:rsid w:val="009C4006"/>
    <w:rsid w:val="009C401E"/>
    <w:rsid w:val="009C4025"/>
    <w:rsid w:val="009C40E9"/>
    <w:rsid w:val="009C4155"/>
    <w:rsid w:val="009C4200"/>
    <w:rsid w:val="009C422E"/>
    <w:rsid w:val="009C426F"/>
    <w:rsid w:val="009C430A"/>
    <w:rsid w:val="009C437F"/>
    <w:rsid w:val="009C43A0"/>
    <w:rsid w:val="009C43BD"/>
    <w:rsid w:val="009C4424"/>
    <w:rsid w:val="009C443B"/>
    <w:rsid w:val="009C4442"/>
    <w:rsid w:val="009C4446"/>
    <w:rsid w:val="009C4490"/>
    <w:rsid w:val="009C4494"/>
    <w:rsid w:val="009C44B2"/>
    <w:rsid w:val="009C44CA"/>
    <w:rsid w:val="009C44E4"/>
    <w:rsid w:val="009C44E7"/>
    <w:rsid w:val="009C4502"/>
    <w:rsid w:val="009C453A"/>
    <w:rsid w:val="009C4542"/>
    <w:rsid w:val="009C4568"/>
    <w:rsid w:val="009C457A"/>
    <w:rsid w:val="009C45E8"/>
    <w:rsid w:val="009C45F2"/>
    <w:rsid w:val="009C4614"/>
    <w:rsid w:val="009C4662"/>
    <w:rsid w:val="009C46C6"/>
    <w:rsid w:val="009C46E8"/>
    <w:rsid w:val="009C4734"/>
    <w:rsid w:val="009C4742"/>
    <w:rsid w:val="009C474F"/>
    <w:rsid w:val="009C4788"/>
    <w:rsid w:val="009C47AA"/>
    <w:rsid w:val="009C4801"/>
    <w:rsid w:val="009C4807"/>
    <w:rsid w:val="009C48B7"/>
    <w:rsid w:val="009C48CD"/>
    <w:rsid w:val="009C48DB"/>
    <w:rsid w:val="009C4909"/>
    <w:rsid w:val="009C4933"/>
    <w:rsid w:val="009C4956"/>
    <w:rsid w:val="009C4A21"/>
    <w:rsid w:val="009C4A26"/>
    <w:rsid w:val="009C4A3C"/>
    <w:rsid w:val="009C4A9F"/>
    <w:rsid w:val="009C4AA1"/>
    <w:rsid w:val="009C4AB8"/>
    <w:rsid w:val="009C4AE1"/>
    <w:rsid w:val="009C4B0C"/>
    <w:rsid w:val="009C4B43"/>
    <w:rsid w:val="009C4B54"/>
    <w:rsid w:val="009C4B78"/>
    <w:rsid w:val="009C4B7A"/>
    <w:rsid w:val="009C4BB1"/>
    <w:rsid w:val="009C4BE3"/>
    <w:rsid w:val="009C4C37"/>
    <w:rsid w:val="009C4C75"/>
    <w:rsid w:val="009C4D27"/>
    <w:rsid w:val="009C4E0A"/>
    <w:rsid w:val="009C4E1A"/>
    <w:rsid w:val="009C4EB7"/>
    <w:rsid w:val="009C4EFD"/>
    <w:rsid w:val="009C4F54"/>
    <w:rsid w:val="009C4F63"/>
    <w:rsid w:val="009C4F8D"/>
    <w:rsid w:val="009C5035"/>
    <w:rsid w:val="009C506A"/>
    <w:rsid w:val="009C5127"/>
    <w:rsid w:val="009C5134"/>
    <w:rsid w:val="009C5183"/>
    <w:rsid w:val="009C519B"/>
    <w:rsid w:val="009C51BD"/>
    <w:rsid w:val="009C5276"/>
    <w:rsid w:val="009C527B"/>
    <w:rsid w:val="009C5281"/>
    <w:rsid w:val="009C528F"/>
    <w:rsid w:val="009C52E7"/>
    <w:rsid w:val="009C5300"/>
    <w:rsid w:val="009C5317"/>
    <w:rsid w:val="009C5342"/>
    <w:rsid w:val="009C535E"/>
    <w:rsid w:val="009C537B"/>
    <w:rsid w:val="009C537F"/>
    <w:rsid w:val="009C53A9"/>
    <w:rsid w:val="009C53C3"/>
    <w:rsid w:val="009C540A"/>
    <w:rsid w:val="009C541F"/>
    <w:rsid w:val="009C542B"/>
    <w:rsid w:val="009C5432"/>
    <w:rsid w:val="009C5462"/>
    <w:rsid w:val="009C5502"/>
    <w:rsid w:val="009C553D"/>
    <w:rsid w:val="009C553E"/>
    <w:rsid w:val="009C5596"/>
    <w:rsid w:val="009C55A7"/>
    <w:rsid w:val="009C55B3"/>
    <w:rsid w:val="009C5603"/>
    <w:rsid w:val="009C5617"/>
    <w:rsid w:val="009C56B5"/>
    <w:rsid w:val="009C56BA"/>
    <w:rsid w:val="009C56C5"/>
    <w:rsid w:val="009C56DF"/>
    <w:rsid w:val="009C57CB"/>
    <w:rsid w:val="009C57DF"/>
    <w:rsid w:val="009C57F3"/>
    <w:rsid w:val="009C5863"/>
    <w:rsid w:val="009C5879"/>
    <w:rsid w:val="009C587A"/>
    <w:rsid w:val="009C58C9"/>
    <w:rsid w:val="009C58D4"/>
    <w:rsid w:val="009C5908"/>
    <w:rsid w:val="009C5913"/>
    <w:rsid w:val="009C5938"/>
    <w:rsid w:val="009C5963"/>
    <w:rsid w:val="009C59A5"/>
    <w:rsid w:val="009C59E7"/>
    <w:rsid w:val="009C5AD9"/>
    <w:rsid w:val="009C5B00"/>
    <w:rsid w:val="009C5BB4"/>
    <w:rsid w:val="009C5C5C"/>
    <w:rsid w:val="009C5C63"/>
    <w:rsid w:val="009C5C9F"/>
    <w:rsid w:val="009C5CD1"/>
    <w:rsid w:val="009C5D3C"/>
    <w:rsid w:val="009C5DD3"/>
    <w:rsid w:val="009C5DE5"/>
    <w:rsid w:val="009C5E19"/>
    <w:rsid w:val="009C5E1C"/>
    <w:rsid w:val="009C5E40"/>
    <w:rsid w:val="009C5E46"/>
    <w:rsid w:val="009C5E95"/>
    <w:rsid w:val="009C5F5B"/>
    <w:rsid w:val="009C5F70"/>
    <w:rsid w:val="009C6089"/>
    <w:rsid w:val="009C60B4"/>
    <w:rsid w:val="009C60DC"/>
    <w:rsid w:val="009C6125"/>
    <w:rsid w:val="009C613A"/>
    <w:rsid w:val="009C617A"/>
    <w:rsid w:val="009C61AC"/>
    <w:rsid w:val="009C61DA"/>
    <w:rsid w:val="009C6214"/>
    <w:rsid w:val="009C621C"/>
    <w:rsid w:val="009C62E5"/>
    <w:rsid w:val="009C62F6"/>
    <w:rsid w:val="009C630A"/>
    <w:rsid w:val="009C6386"/>
    <w:rsid w:val="009C63F3"/>
    <w:rsid w:val="009C6435"/>
    <w:rsid w:val="009C648E"/>
    <w:rsid w:val="009C6499"/>
    <w:rsid w:val="009C64DF"/>
    <w:rsid w:val="009C6623"/>
    <w:rsid w:val="009C668F"/>
    <w:rsid w:val="009C6693"/>
    <w:rsid w:val="009C66AA"/>
    <w:rsid w:val="009C66CC"/>
    <w:rsid w:val="009C66E8"/>
    <w:rsid w:val="009C6726"/>
    <w:rsid w:val="009C674F"/>
    <w:rsid w:val="009C67A4"/>
    <w:rsid w:val="009C67CC"/>
    <w:rsid w:val="009C682E"/>
    <w:rsid w:val="009C683E"/>
    <w:rsid w:val="009C686A"/>
    <w:rsid w:val="009C687C"/>
    <w:rsid w:val="009C68A7"/>
    <w:rsid w:val="009C68CF"/>
    <w:rsid w:val="009C68F0"/>
    <w:rsid w:val="009C6915"/>
    <w:rsid w:val="009C6941"/>
    <w:rsid w:val="009C6942"/>
    <w:rsid w:val="009C6952"/>
    <w:rsid w:val="009C6958"/>
    <w:rsid w:val="009C695D"/>
    <w:rsid w:val="009C696A"/>
    <w:rsid w:val="009C6A0D"/>
    <w:rsid w:val="009C6A36"/>
    <w:rsid w:val="009C6A43"/>
    <w:rsid w:val="009C6A8E"/>
    <w:rsid w:val="009C6AEC"/>
    <w:rsid w:val="009C6AF6"/>
    <w:rsid w:val="009C6B6B"/>
    <w:rsid w:val="009C6B90"/>
    <w:rsid w:val="009C6BE6"/>
    <w:rsid w:val="009C6BFC"/>
    <w:rsid w:val="009C6C0B"/>
    <w:rsid w:val="009C6C7F"/>
    <w:rsid w:val="009C6C89"/>
    <w:rsid w:val="009C6C9A"/>
    <w:rsid w:val="009C6CBE"/>
    <w:rsid w:val="009C6CCD"/>
    <w:rsid w:val="009C6D70"/>
    <w:rsid w:val="009C6D89"/>
    <w:rsid w:val="009C6DB6"/>
    <w:rsid w:val="009C6EE3"/>
    <w:rsid w:val="009C6F0E"/>
    <w:rsid w:val="009C6FA1"/>
    <w:rsid w:val="009C6FD1"/>
    <w:rsid w:val="009C6FDF"/>
    <w:rsid w:val="009C7030"/>
    <w:rsid w:val="009C7060"/>
    <w:rsid w:val="009C70C3"/>
    <w:rsid w:val="009C70DD"/>
    <w:rsid w:val="009C714A"/>
    <w:rsid w:val="009C7189"/>
    <w:rsid w:val="009C7219"/>
    <w:rsid w:val="009C7226"/>
    <w:rsid w:val="009C722B"/>
    <w:rsid w:val="009C725E"/>
    <w:rsid w:val="009C7266"/>
    <w:rsid w:val="009C7292"/>
    <w:rsid w:val="009C7297"/>
    <w:rsid w:val="009C7310"/>
    <w:rsid w:val="009C7351"/>
    <w:rsid w:val="009C735D"/>
    <w:rsid w:val="009C7379"/>
    <w:rsid w:val="009C738C"/>
    <w:rsid w:val="009C742B"/>
    <w:rsid w:val="009C7446"/>
    <w:rsid w:val="009C7489"/>
    <w:rsid w:val="009C74A0"/>
    <w:rsid w:val="009C74D8"/>
    <w:rsid w:val="009C7513"/>
    <w:rsid w:val="009C752A"/>
    <w:rsid w:val="009C75A5"/>
    <w:rsid w:val="009C75C3"/>
    <w:rsid w:val="009C7622"/>
    <w:rsid w:val="009C7678"/>
    <w:rsid w:val="009C76D0"/>
    <w:rsid w:val="009C76DE"/>
    <w:rsid w:val="009C76E6"/>
    <w:rsid w:val="009C779A"/>
    <w:rsid w:val="009C77CD"/>
    <w:rsid w:val="009C781E"/>
    <w:rsid w:val="009C7850"/>
    <w:rsid w:val="009C7929"/>
    <w:rsid w:val="009C7A4C"/>
    <w:rsid w:val="009C7A80"/>
    <w:rsid w:val="009C7B23"/>
    <w:rsid w:val="009C7B54"/>
    <w:rsid w:val="009C7B6F"/>
    <w:rsid w:val="009C7BA6"/>
    <w:rsid w:val="009C7C1C"/>
    <w:rsid w:val="009C7CFC"/>
    <w:rsid w:val="009C7D93"/>
    <w:rsid w:val="009C7DAB"/>
    <w:rsid w:val="009C7DD1"/>
    <w:rsid w:val="009C7DE5"/>
    <w:rsid w:val="009C7E40"/>
    <w:rsid w:val="009C7E45"/>
    <w:rsid w:val="009C7E5B"/>
    <w:rsid w:val="009C7E91"/>
    <w:rsid w:val="009C7EDF"/>
    <w:rsid w:val="009C7F33"/>
    <w:rsid w:val="009C7F40"/>
    <w:rsid w:val="009C7F77"/>
    <w:rsid w:val="009C7FB5"/>
    <w:rsid w:val="009D0070"/>
    <w:rsid w:val="009D0078"/>
    <w:rsid w:val="009D00E6"/>
    <w:rsid w:val="009D00F1"/>
    <w:rsid w:val="009D0112"/>
    <w:rsid w:val="009D0142"/>
    <w:rsid w:val="009D0167"/>
    <w:rsid w:val="009D0199"/>
    <w:rsid w:val="009D01BF"/>
    <w:rsid w:val="009D01E4"/>
    <w:rsid w:val="009D02C2"/>
    <w:rsid w:val="009D0304"/>
    <w:rsid w:val="009D0316"/>
    <w:rsid w:val="009D0329"/>
    <w:rsid w:val="009D034E"/>
    <w:rsid w:val="009D0359"/>
    <w:rsid w:val="009D035F"/>
    <w:rsid w:val="009D0365"/>
    <w:rsid w:val="009D036E"/>
    <w:rsid w:val="009D0389"/>
    <w:rsid w:val="009D03CD"/>
    <w:rsid w:val="009D03DC"/>
    <w:rsid w:val="009D03E9"/>
    <w:rsid w:val="009D0407"/>
    <w:rsid w:val="009D0430"/>
    <w:rsid w:val="009D0488"/>
    <w:rsid w:val="009D0496"/>
    <w:rsid w:val="009D04CC"/>
    <w:rsid w:val="009D04DC"/>
    <w:rsid w:val="009D04E0"/>
    <w:rsid w:val="009D05EA"/>
    <w:rsid w:val="009D05EF"/>
    <w:rsid w:val="009D05F4"/>
    <w:rsid w:val="009D0677"/>
    <w:rsid w:val="009D0683"/>
    <w:rsid w:val="009D076A"/>
    <w:rsid w:val="009D079A"/>
    <w:rsid w:val="009D07A0"/>
    <w:rsid w:val="009D07C4"/>
    <w:rsid w:val="009D07EA"/>
    <w:rsid w:val="009D0813"/>
    <w:rsid w:val="009D083D"/>
    <w:rsid w:val="009D087E"/>
    <w:rsid w:val="009D0881"/>
    <w:rsid w:val="009D089D"/>
    <w:rsid w:val="009D08B2"/>
    <w:rsid w:val="009D08F6"/>
    <w:rsid w:val="009D092A"/>
    <w:rsid w:val="009D0974"/>
    <w:rsid w:val="009D0995"/>
    <w:rsid w:val="009D0A1F"/>
    <w:rsid w:val="009D0ADE"/>
    <w:rsid w:val="009D0AEC"/>
    <w:rsid w:val="009D0B52"/>
    <w:rsid w:val="009D0B6A"/>
    <w:rsid w:val="009D0B9E"/>
    <w:rsid w:val="009D0C41"/>
    <w:rsid w:val="009D0C82"/>
    <w:rsid w:val="009D0CF0"/>
    <w:rsid w:val="009D0D38"/>
    <w:rsid w:val="009D0D84"/>
    <w:rsid w:val="009D0DE6"/>
    <w:rsid w:val="009D0E22"/>
    <w:rsid w:val="009D0EB6"/>
    <w:rsid w:val="009D0ED7"/>
    <w:rsid w:val="009D0F27"/>
    <w:rsid w:val="009D0F3F"/>
    <w:rsid w:val="009D0F7F"/>
    <w:rsid w:val="009D0F9D"/>
    <w:rsid w:val="009D0FEA"/>
    <w:rsid w:val="009D100C"/>
    <w:rsid w:val="009D1015"/>
    <w:rsid w:val="009D104D"/>
    <w:rsid w:val="009D10A4"/>
    <w:rsid w:val="009D10EF"/>
    <w:rsid w:val="009D1204"/>
    <w:rsid w:val="009D121D"/>
    <w:rsid w:val="009D124A"/>
    <w:rsid w:val="009D124F"/>
    <w:rsid w:val="009D1264"/>
    <w:rsid w:val="009D127B"/>
    <w:rsid w:val="009D130E"/>
    <w:rsid w:val="009D144E"/>
    <w:rsid w:val="009D145C"/>
    <w:rsid w:val="009D146B"/>
    <w:rsid w:val="009D1498"/>
    <w:rsid w:val="009D14BF"/>
    <w:rsid w:val="009D151E"/>
    <w:rsid w:val="009D1537"/>
    <w:rsid w:val="009D154E"/>
    <w:rsid w:val="009D1599"/>
    <w:rsid w:val="009D15B9"/>
    <w:rsid w:val="009D1625"/>
    <w:rsid w:val="009D1644"/>
    <w:rsid w:val="009D1704"/>
    <w:rsid w:val="009D1778"/>
    <w:rsid w:val="009D17A5"/>
    <w:rsid w:val="009D17D0"/>
    <w:rsid w:val="009D1826"/>
    <w:rsid w:val="009D185D"/>
    <w:rsid w:val="009D185E"/>
    <w:rsid w:val="009D186A"/>
    <w:rsid w:val="009D1942"/>
    <w:rsid w:val="009D1A13"/>
    <w:rsid w:val="009D1A23"/>
    <w:rsid w:val="009D1A60"/>
    <w:rsid w:val="009D1ABC"/>
    <w:rsid w:val="009D1AE8"/>
    <w:rsid w:val="009D1B87"/>
    <w:rsid w:val="009D1BD4"/>
    <w:rsid w:val="009D1C26"/>
    <w:rsid w:val="009D1C33"/>
    <w:rsid w:val="009D1C4C"/>
    <w:rsid w:val="009D1C85"/>
    <w:rsid w:val="009D1CA9"/>
    <w:rsid w:val="009D1CE7"/>
    <w:rsid w:val="009D1D01"/>
    <w:rsid w:val="009D1D12"/>
    <w:rsid w:val="009D1D44"/>
    <w:rsid w:val="009D1E22"/>
    <w:rsid w:val="009D1EC1"/>
    <w:rsid w:val="009D1ECF"/>
    <w:rsid w:val="009D1ED7"/>
    <w:rsid w:val="009D1EEF"/>
    <w:rsid w:val="009D1EFB"/>
    <w:rsid w:val="009D1F08"/>
    <w:rsid w:val="009D1F12"/>
    <w:rsid w:val="009D1F2E"/>
    <w:rsid w:val="009D1F33"/>
    <w:rsid w:val="009D1F5B"/>
    <w:rsid w:val="009D1F79"/>
    <w:rsid w:val="009D1F8B"/>
    <w:rsid w:val="009D1FE6"/>
    <w:rsid w:val="009D1FF1"/>
    <w:rsid w:val="009D2048"/>
    <w:rsid w:val="009D2058"/>
    <w:rsid w:val="009D2062"/>
    <w:rsid w:val="009D2079"/>
    <w:rsid w:val="009D208D"/>
    <w:rsid w:val="009D20E5"/>
    <w:rsid w:val="009D20F5"/>
    <w:rsid w:val="009D2106"/>
    <w:rsid w:val="009D211A"/>
    <w:rsid w:val="009D21E7"/>
    <w:rsid w:val="009D2219"/>
    <w:rsid w:val="009D2267"/>
    <w:rsid w:val="009D227B"/>
    <w:rsid w:val="009D2285"/>
    <w:rsid w:val="009D236E"/>
    <w:rsid w:val="009D2380"/>
    <w:rsid w:val="009D2396"/>
    <w:rsid w:val="009D23C9"/>
    <w:rsid w:val="009D23F3"/>
    <w:rsid w:val="009D2504"/>
    <w:rsid w:val="009D255C"/>
    <w:rsid w:val="009D255F"/>
    <w:rsid w:val="009D256E"/>
    <w:rsid w:val="009D2581"/>
    <w:rsid w:val="009D259F"/>
    <w:rsid w:val="009D261C"/>
    <w:rsid w:val="009D2622"/>
    <w:rsid w:val="009D2660"/>
    <w:rsid w:val="009D2665"/>
    <w:rsid w:val="009D2715"/>
    <w:rsid w:val="009D27DB"/>
    <w:rsid w:val="009D27E2"/>
    <w:rsid w:val="009D284F"/>
    <w:rsid w:val="009D286F"/>
    <w:rsid w:val="009D2887"/>
    <w:rsid w:val="009D288C"/>
    <w:rsid w:val="009D28AF"/>
    <w:rsid w:val="009D2946"/>
    <w:rsid w:val="009D298E"/>
    <w:rsid w:val="009D29DB"/>
    <w:rsid w:val="009D29F2"/>
    <w:rsid w:val="009D2A24"/>
    <w:rsid w:val="009D2A3F"/>
    <w:rsid w:val="009D2A43"/>
    <w:rsid w:val="009D2A98"/>
    <w:rsid w:val="009D2A9E"/>
    <w:rsid w:val="009D2ACF"/>
    <w:rsid w:val="009D2AED"/>
    <w:rsid w:val="009D2B38"/>
    <w:rsid w:val="009D2B7A"/>
    <w:rsid w:val="009D2CE0"/>
    <w:rsid w:val="009D2D0F"/>
    <w:rsid w:val="009D2D4F"/>
    <w:rsid w:val="009D2D8F"/>
    <w:rsid w:val="009D2DED"/>
    <w:rsid w:val="009D2E28"/>
    <w:rsid w:val="009D2EA3"/>
    <w:rsid w:val="009D2EB3"/>
    <w:rsid w:val="009D2EFD"/>
    <w:rsid w:val="009D2F32"/>
    <w:rsid w:val="009D2F38"/>
    <w:rsid w:val="009D2F9B"/>
    <w:rsid w:val="009D2FC4"/>
    <w:rsid w:val="009D2FD9"/>
    <w:rsid w:val="009D2FE0"/>
    <w:rsid w:val="009D2FEC"/>
    <w:rsid w:val="009D2FF4"/>
    <w:rsid w:val="009D3017"/>
    <w:rsid w:val="009D303E"/>
    <w:rsid w:val="009D30D3"/>
    <w:rsid w:val="009D3121"/>
    <w:rsid w:val="009D313B"/>
    <w:rsid w:val="009D3171"/>
    <w:rsid w:val="009D318B"/>
    <w:rsid w:val="009D3191"/>
    <w:rsid w:val="009D31AB"/>
    <w:rsid w:val="009D31AC"/>
    <w:rsid w:val="009D31C0"/>
    <w:rsid w:val="009D3226"/>
    <w:rsid w:val="009D3269"/>
    <w:rsid w:val="009D3302"/>
    <w:rsid w:val="009D3330"/>
    <w:rsid w:val="009D336B"/>
    <w:rsid w:val="009D3372"/>
    <w:rsid w:val="009D33D0"/>
    <w:rsid w:val="009D33E7"/>
    <w:rsid w:val="009D33F2"/>
    <w:rsid w:val="009D33FB"/>
    <w:rsid w:val="009D3405"/>
    <w:rsid w:val="009D341F"/>
    <w:rsid w:val="009D3445"/>
    <w:rsid w:val="009D3467"/>
    <w:rsid w:val="009D349F"/>
    <w:rsid w:val="009D34C9"/>
    <w:rsid w:val="009D34F1"/>
    <w:rsid w:val="009D3529"/>
    <w:rsid w:val="009D357C"/>
    <w:rsid w:val="009D35CB"/>
    <w:rsid w:val="009D35D8"/>
    <w:rsid w:val="009D35E8"/>
    <w:rsid w:val="009D35F3"/>
    <w:rsid w:val="009D3654"/>
    <w:rsid w:val="009D36E9"/>
    <w:rsid w:val="009D36FE"/>
    <w:rsid w:val="009D3716"/>
    <w:rsid w:val="009D375A"/>
    <w:rsid w:val="009D3791"/>
    <w:rsid w:val="009D379E"/>
    <w:rsid w:val="009D37AD"/>
    <w:rsid w:val="009D3806"/>
    <w:rsid w:val="009D3815"/>
    <w:rsid w:val="009D3819"/>
    <w:rsid w:val="009D381F"/>
    <w:rsid w:val="009D3830"/>
    <w:rsid w:val="009D384A"/>
    <w:rsid w:val="009D388E"/>
    <w:rsid w:val="009D38EB"/>
    <w:rsid w:val="009D38F9"/>
    <w:rsid w:val="009D3958"/>
    <w:rsid w:val="009D3992"/>
    <w:rsid w:val="009D3996"/>
    <w:rsid w:val="009D399B"/>
    <w:rsid w:val="009D39A6"/>
    <w:rsid w:val="009D39AF"/>
    <w:rsid w:val="009D39D7"/>
    <w:rsid w:val="009D39DB"/>
    <w:rsid w:val="009D3A13"/>
    <w:rsid w:val="009D3AB6"/>
    <w:rsid w:val="009D3AD8"/>
    <w:rsid w:val="009D3B06"/>
    <w:rsid w:val="009D3B59"/>
    <w:rsid w:val="009D3BA2"/>
    <w:rsid w:val="009D3C01"/>
    <w:rsid w:val="009D3C4E"/>
    <w:rsid w:val="009D3C67"/>
    <w:rsid w:val="009D3C8A"/>
    <w:rsid w:val="009D3CCE"/>
    <w:rsid w:val="009D3D15"/>
    <w:rsid w:val="009D3D6A"/>
    <w:rsid w:val="009D3DB7"/>
    <w:rsid w:val="009D3DBF"/>
    <w:rsid w:val="009D3DC9"/>
    <w:rsid w:val="009D3DD3"/>
    <w:rsid w:val="009D3DFF"/>
    <w:rsid w:val="009D3E03"/>
    <w:rsid w:val="009D3E15"/>
    <w:rsid w:val="009D3E62"/>
    <w:rsid w:val="009D3E8B"/>
    <w:rsid w:val="009D3EA5"/>
    <w:rsid w:val="009D3EE0"/>
    <w:rsid w:val="009D3F4E"/>
    <w:rsid w:val="009D3F52"/>
    <w:rsid w:val="009D3F77"/>
    <w:rsid w:val="009D3F96"/>
    <w:rsid w:val="009D3FD9"/>
    <w:rsid w:val="009D3FEC"/>
    <w:rsid w:val="009D4007"/>
    <w:rsid w:val="009D4015"/>
    <w:rsid w:val="009D4027"/>
    <w:rsid w:val="009D407A"/>
    <w:rsid w:val="009D407C"/>
    <w:rsid w:val="009D40A3"/>
    <w:rsid w:val="009D410F"/>
    <w:rsid w:val="009D4116"/>
    <w:rsid w:val="009D424B"/>
    <w:rsid w:val="009D4286"/>
    <w:rsid w:val="009D42E5"/>
    <w:rsid w:val="009D431A"/>
    <w:rsid w:val="009D4338"/>
    <w:rsid w:val="009D4454"/>
    <w:rsid w:val="009D4460"/>
    <w:rsid w:val="009D4478"/>
    <w:rsid w:val="009D44A9"/>
    <w:rsid w:val="009D44E6"/>
    <w:rsid w:val="009D452A"/>
    <w:rsid w:val="009D4535"/>
    <w:rsid w:val="009D4550"/>
    <w:rsid w:val="009D45A5"/>
    <w:rsid w:val="009D45E1"/>
    <w:rsid w:val="009D46B7"/>
    <w:rsid w:val="009D46F3"/>
    <w:rsid w:val="009D46FB"/>
    <w:rsid w:val="009D4703"/>
    <w:rsid w:val="009D4721"/>
    <w:rsid w:val="009D4761"/>
    <w:rsid w:val="009D4771"/>
    <w:rsid w:val="009D47B1"/>
    <w:rsid w:val="009D47EE"/>
    <w:rsid w:val="009D4849"/>
    <w:rsid w:val="009D4973"/>
    <w:rsid w:val="009D4984"/>
    <w:rsid w:val="009D49A7"/>
    <w:rsid w:val="009D49B9"/>
    <w:rsid w:val="009D49BD"/>
    <w:rsid w:val="009D49E2"/>
    <w:rsid w:val="009D4A17"/>
    <w:rsid w:val="009D4A1C"/>
    <w:rsid w:val="009D4A35"/>
    <w:rsid w:val="009D4B23"/>
    <w:rsid w:val="009D4B50"/>
    <w:rsid w:val="009D4B99"/>
    <w:rsid w:val="009D4BAD"/>
    <w:rsid w:val="009D4BF0"/>
    <w:rsid w:val="009D4C4E"/>
    <w:rsid w:val="009D4C92"/>
    <w:rsid w:val="009D4CEC"/>
    <w:rsid w:val="009D4D54"/>
    <w:rsid w:val="009D4D8E"/>
    <w:rsid w:val="009D4DB8"/>
    <w:rsid w:val="009D4E6D"/>
    <w:rsid w:val="009D4EC4"/>
    <w:rsid w:val="009D4F07"/>
    <w:rsid w:val="009D4F08"/>
    <w:rsid w:val="009D4F3C"/>
    <w:rsid w:val="009D4F42"/>
    <w:rsid w:val="009D4F4E"/>
    <w:rsid w:val="009D4F5E"/>
    <w:rsid w:val="009D4F8B"/>
    <w:rsid w:val="009D4FA1"/>
    <w:rsid w:val="009D503B"/>
    <w:rsid w:val="009D5056"/>
    <w:rsid w:val="009D50C5"/>
    <w:rsid w:val="009D50D5"/>
    <w:rsid w:val="009D50DC"/>
    <w:rsid w:val="009D5122"/>
    <w:rsid w:val="009D5158"/>
    <w:rsid w:val="009D528A"/>
    <w:rsid w:val="009D52A8"/>
    <w:rsid w:val="009D52D7"/>
    <w:rsid w:val="009D52F1"/>
    <w:rsid w:val="009D5348"/>
    <w:rsid w:val="009D5371"/>
    <w:rsid w:val="009D53E5"/>
    <w:rsid w:val="009D5410"/>
    <w:rsid w:val="009D5486"/>
    <w:rsid w:val="009D54AB"/>
    <w:rsid w:val="009D5503"/>
    <w:rsid w:val="009D5510"/>
    <w:rsid w:val="009D5528"/>
    <w:rsid w:val="009D5545"/>
    <w:rsid w:val="009D5571"/>
    <w:rsid w:val="009D5577"/>
    <w:rsid w:val="009D55BE"/>
    <w:rsid w:val="009D55CC"/>
    <w:rsid w:val="009D55D7"/>
    <w:rsid w:val="009D5655"/>
    <w:rsid w:val="009D5656"/>
    <w:rsid w:val="009D56C4"/>
    <w:rsid w:val="009D56C6"/>
    <w:rsid w:val="009D571C"/>
    <w:rsid w:val="009D5785"/>
    <w:rsid w:val="009D57C3"/>
    <w:rsid w:val="009D580B"/>
    <w:rsid w:val="009D5819"/>
    <w:rsid w:val="009D582C"/>
    <w:rsid w:val="009D5871"/>
    <w:rsid w:val="009D5893"/>
    <w:rsid w:val="009D58A2"/>
    <w:rsid w:val="009D58CA"/>
    <w:rsid w:val="009D58E9"/>
    <w:rsid w:val="009D59D7"/>
    <w:rsid w:val="009D5A09"/>
    <w:rsid w:val="009D5A34"/>
    <w:rsid w:val="009D5A52"/>
    <w:rsid w:val="009D5A53"/>
    <w:rsid w:val="009D5AAA"/>
    <w:rsid w:val="009D5AD9"/>
    <w:rsid w:val="009D5B19"/>
    <w:rsid w:val="009D5B2B"/>
    <w:rsid w:val="009D5B2F"/>
    <w:rsid w:val="009D5B54"/>
    <w:rsid w:val="009D5B8E"/>
    <w:rsid w:val="009D5BDC"/>
    <w:rsid w:val="009D5C64"/>
    <w:rsid w:val="009D5DA0"/>
    <w:rsid w:val="009D5DF7"/>
    <w:rsid w:val="009D5E36"/>
    <w:rsid w:val="009D5E84"/>
    <w:rsid w:val="009D5E9B"/>
    <w:rsid w:val="009D5EAD"/>
    <w:rsid w:val="009D5EB6"/>
    <w:rsid w:val="009D5EC6"/>
    <w:rsid w:val="009D5EEB"/>
    <w:rsid w:val="009D5F22"/>
    <w:rsid w:val="009D5F40"/>
    <w:rsid w:val="009D5F60"/>
    <w:rsid w:val="009D5F8F"/>
    <w:rsid w:val="009D5F97"/>
    <w:rsid w:val="009D5F98"/>
    <w:rsid w:val="009D5FE1"/>
    <w:rsid w:val="009D5FE6"/>
    <w:rsid w:val="009D6021"/>
    <w:rsid w:val="009D609D"/>
    <w:rsid w:val="009D612F"/>
    <w:rsid w:val="009D6199"/>
    <w:rsid w:val="009D61A1"/>
    <w:rsid w:val="009D61ED"/>
    <w:rsid w:val="009D625D"/>
    <w:rsid w:val="009D629E"/>
    <w:rsid w:val="009D63B2"/>
    <w:rsid w:val="009D63C0"/>
    <w:rsid w:val="009D63E7"/>
    <w:rsid w:val="009D648C"/>
    <w:rsid w:val="009D64BB"/>
    <w:rsid w:val="009D64C3"/>
    <w:rsid w:val="009D651D"/>
    <w:rsid w:val="009D6538"/>
    <w:rsid w:val="009D6575"/>
    <w:rsid w:val="009D65F1"/>
    <w:rsid w:val="009D6603"/>
    <w:rsid w:val="009D6629"/>
    <w:rsid w:val="009D6684"/>
    <w:rsid w:val="009D6687"/>
    <w:rsid w:val="009D66F2"/>
    <w:rsid w:val="009D66FB"/>
    <w:rsid w:val="009D673F"/>
    <w:rsid w:val="009D6746"/>
    <w:rsid w:val="009D6780"/>
    <w:rsid w:val="009D6789"/>
    <w:rsid w:val="009D678B"/>
    <w:rsid w:val="009D67C2"/>
    <w:rsid w:val="009D67D8"/>
    <w:rsid w:val="009D67E0"/>
    <w:rsid w:val="009D686C"/>
    <w:rsid w:val="009D68CC"/>
    <w:rsid w:val="009D68D2"/>
    <w:rsid w:val="009D6925"/>
    <w:rsid w:val="009D6945"/>
    <w:rsid w:val="009D69D5"/>
    <w:rsid w:val="009D6AF1"/>
    <w:rsid w:val="009D6B13"/>
    <w:rsid w:val="009D6B88"/>
    <w:rsid w:val="009D6C31"/>
    <w:rsid w:val="009D6CA3"/>
    <w:rsid w:val="009D6CEA"/>
    <w:rsid w:val="009D6D0F"/>
    <w:rsid w:val="009D6D5B"/>
    <w:rsid w:val="009D6DAF"/>
    <w:rsid w:val="009D6E01"/>
    <w:rsid w:val="009D6E3D"/>
    <w:rsid w:val="009D6E66"/>
    <w:rsid w:val="009D6E6C"/>
    <w:rsid w:val="009D6E9D"/>
    <w:rsid w:val="009D6EB7"/>
    <w:rsid w:val="009D6EF3"/>
    <w:rsid w:val="009D6F2B"/>
    <w:rsid w:val="009D6F6E"/>
    <w:rsid w:val="009D6F91"/>
    <w:rsid w:val="009D6FAB"/>
    <w:rsid w:val="009D7019"/>
    <w:rsid w:val="009D708F"/>
    <w:rsid w:val="009D70A3"/>
    <w:rsid w:val="009D70CE"/>
    <w:rsid w:val="009D7115"/>
    <w:rsid w:val="009D711E"/>
    <w:rsid w:val="009D715C"/>
    <w:rsid w:val="009D717B"/>
    <w:rsid w:val="009D7191"/>
    <w:rsid w:val="009D7198"/>
    <w:rsid w:val="009D71E8"/>
    <w:rsid w:val="009D7214"/>
    <w:rsid w:val="009D7224"/>
    <w:rsid w:val="009D7242"/>
    <w:rsid w:val="009D7277"/>
    <w:rsid w:val="009D7282"/>
    <w:rsid w:val="009D7316"/>
    <w:rsid w:val="009D732F"/>
    <w:rsid w:val="009D736E"/>
    <w:rsid w:val="009D7376"/>
    <w:rsid w:val="009D7384"/>
    <w:rsid w:val="009D7389"/>
    <w:rsid w:val="009D738C"/>
    <w:rsid w:val="009D73B4"/>
    <w:rsid w:val="009D73D3"/>
    <w:rsid w:val="009D741E"/>
    <w:rsid w:val="009D742C"/>
    <w:rsid w:val="009D7482"/>
    <w:rsid w:val="009D7494"/>
    <w:rsid w:val="009D7546"/>
    <w:rsid w:val="009D7578"/>
    <w:rsid w:val="009D7586"/>
    <w:rsid w:val="009D7587"/>
    <w:rsid w:val="009D759B"/>
    <w:rsid w:val="009D75AD"/>
    <w:rsid w:val="009D75AE"/>
    <w:rsid w:val="009D75D7"/>
    <w:rsid w:val="009D75DC"/>
    <w:rsid w:val="009D75E0"/>
    <w:rsid w:val="009D7608"/>
    <w:rsid w:val="009D7620"/>
    <w:rsid w:val="009D7639"/>
    <w:rsid w:val="009D764E"/>
    <w:rsid w:val="009D7652"/>
    <w:rsid w:val="009D76CC"/>
    <w:rsid w:val="009D7754"/>
    <w:rsid w:val="009D77E9"/>
    <w:rsid w:val="009D7851"/>
    <w:rsid w:val="009D7878"/>
    <w:rsid w:val="009D7892"/>
    <w:rsid w:val="009D78CD"/>
    <w:rsid w:val="009D78E4"/>
    <w:rsid w:val="009D78EF"/>
    <w:rsid w:val="009D7901"/>
    <w:rsid w:val="009D7907"/>
    <w:rsid w:val="009D7912"/>
    <w:rsid w:val="009D79AE"/>
    <w:rsid w:val="009D7A37"/>
    <w:rsid w:val="009D7AA5"/>
    <w:rsid w:val="009D7AF9"/>
    <w:rsid w:val="009D7B9E"/>
    <w:rsid w:val="009D7BE3"/>
    <w:rsid w:val="009D7C32"/>
    <w:rsid w:val="009D7D7D"/>
    <w:rsid w:val="009D7D91"/>
    <w:rsid w:val="009D7DA2"/>
    <w:rsid w:val="009D7DBF"/>
    <w:rsid w:val="009D7E67"/>
    <w:rsid w:val="009D7EA9"/>
    <w:rsid w:val="009D7EB6"/>
    <w:rsid w:val="009D7EE4"/>
    <w:rsid w:val="009D7F03"/>
    <w:rsid w:val="009D7FB9"/>
    <w:rsid w:val="009D7FCC"/>
    <w:rsid w:val="009E0012"/>
    <w:rsid w:val="009E003A"/>
    <w:rsid w:val="009E003E"/>
    <w:rsid w:val="009E0060"/>
    <w:rsid w:val="009E0065"/>
    <w:rsid w:val="009E00A2"/>
    <w:rsid w:val="009E00AB"/>
    <w:rsid w:val="009E00D4"/>
    <w:rsid w:val="009E0110"/>
    <w:rsid w:val="009E0149"/>
    <w:rsid w:val="009E01BE"/>
    <w:rsid w:val="009E01D1"/>
    <w:rsid w:val="009E01F2"/>
    <w:rsid w:val="009E0224"/>
    <w:rsid w:val="009E02D1"/>
    <w:rsid w:val="009E0366"/>
    <w:rsid w:val="009E03BE"/>
    <w:rsid w:val="009E03C2"/>
    <w:rsid w:val="009E0437"/>
    <w:rsid w:val="009E047E"/>
    <w:rsid w:val="009E048E"/>
    <w:rsid w:val="009E04DE"/>
    <w:rsid w:val="009E04E3"/>
    <w:rsid w:val="009E0515"/>
    <w:rsid w:val="009E05E7"/>
    <w:rsid w:val="009E05FD"/>
    <w:rsid w:val="009E0621"/>
    <w:rsid w:val="009E0661"/>
    <w:rsid w:val="009E06B0"/>
    <w:rsid w:val="009E06B3"/>
    <w:rsid w:val="009E06EB"/>
    <w:rsid w:val="009E0709"/>
    <w:rsid w:val="009E079A"/>
    <w:rsid w:val="009E079F"/>
    <w:rsid w:val="009E07CD"/>
    <w:rsid w:val="009E089D"/>
    <w:rsid w:val="009E08A5"/>
    <w:rsid w:val="009E092D"/>
    <w:rsid w:val="009E0A99"/>
    <w:rsid w:val="009E0AE4"/>
    <w:rsid w:val="009E0AEA"/>
    <w:rsid w:val="009E0B4C"/>
    <w:rsid w:val="009E0BB9"/>
    <w:rsid w:val="009E0BCA"/>
    <w:rsid w:val="009E0C36"/>
    <w:rsid w:val="009E0C4C"/>
    <w:rsid w:val="009E0C54"/>
    <w:rsid w:val="009E0CF6"/>
    <w:rsid w:val="009E0D54"/>
    <w:rsid w:val="009E0E15"/>
    <w:rsid w:val="009E0E44"/>
    <w:rsid w:val="009E0E4E"/>
    <w:rsid w:val="009E0E4F"/>
    <w:rsid w:val="009E0E83"/>
    <w:rsid w:val="009E0EBA"/>
    <w:rsid w:val="009E0EDF"/>
    <w:rsid w:val="009E0F3D"/>
    <w:rsid w:val="009E101F"/>
    <w:rsid w:val="009E1037"/>
    <w:rsid w:val="009E106D"/>
    <w:rsid w:val="009E1096"/>
    <w:rsid w:val="009E1097"/>
    <w:rsid w:val="009E10D0"/>
    <w:rsid w:val="009E1143"/>
    <w:rsid w:val="009E1160"/>
    <w:rsid w:val="009E1263"/>
    <w:rsid w:val="009E128A"/>
    <w:rsid w:val="009E12C6"/>
    <w:rsid w:val="009E12CC"/>
    <w:rsid w:val="009E134F"/>
    <w:rsid w:val="009E13F6"/>
    <w:rsid w:val="009E13FC"/>
    <w:rsid w:val="009E140D"/>
    <w:rsid w:val="009E142B"/>
    <w:rsid w:val="009E145C"/>
    <w:rsid w:val="009E14C4"/>
    <w:rsid w:val="009E1501"/>
    <w:rsid w:val="009E1539"/>
    <w:rsid w:val="009E155D"/>
    <w:rsid w:val="009E1579"/>
    <w:rsid w:val="009E15B8"/>
    <w:rsid w:val="009E15C2"/>
    <w:rsid w:val="009E15DB"/>
    <w:rsid w:val="009E1679"/>
    <w:rsid w:val="009E172C"/>
    <w:rsid w:val="009E173B"/>
    <w:rsid w:val="009E1767"/>
    <w:rsid w:val="009E17CA"/>
    <w:rsid w:val="009E17E9"/>
    <w:rsid w:val="009E17FC"/>
    <w:rsid w:val="009E183D"/>
    <w:rsid w:val="009E1861"/>
    <w:rsid w:val="009E18C4"/>
    <w:rsid w:val="009E18D7"/>
    <w:rsid w:val="009E1921"/>
    <w:rsid w:val="009E1949"/>
    <w:rsid w:val="009E19B2"/>
    <w:rsid w:val="009E19D6"/>
    <w:rsid w:val="009E19DB"/>
    <w:rsid w:val="009E1A2C"/>
    <w:rsid w:val="009E1A92"/>
    <w:rsid w:val="009E1ADC"/>
    <w:rsid w:val="009E1B5A"/>
    <w:rsid w:val="009E1B69"/>
    <w:rsid w:val="009E1C19"/>
    <w:rsid w:val="009E1C3A"/>
    <w:rsid w:val="009E1C7A"/>
    <w:rsid w:val="009E1C8E"/>
    <w:rsid w:val="009E1CF9"/>
    <w:rsid w:val="009E1D0A"/>
    <w:rsid w:val="009E1D18"/>
    <w:rsid w:val="009E1D35"/>
    <w:rsid w:val="009E1D72"/>
    <w:rsid w:val="009E1D8A"/>
    <w:rsid w:val="009E1DA3"/>
    <w:rsid w:val="009E1DF4"/>
    <w:rsid w:val="009E1E86"/>
    <w:rsid w:val="009E1E8D"/>
    <w:rsid w:val="009E1F9B"/>
    <w:rsid w:val="009E1FD1"/>
    <w:rsid w:val="009E2028"/>
    <w:rsid w:val="009E2089"/>
    <w:rsid w:val="009E208F"/>
    <w:rsid w:val="009E20CA"/>
    <w:rsid w:val="009E20D2"/>
    <w:rsid w:val="009E213A"/>
    <w:rsid w:val="009E21C7"/>
    <w:rsid w:val="009E2256"/>
    <w:rsid w:val="009E2276"/>
    <w:rsid w:val="009E228B"/>
    <w:rsid w:val="009E22AE"/>
    <w:rsid w:val="009E2313"/>
    <w:rsid w:val="009E2318"/>
    <w:rsid w:val="009E2344"/>
    <w:rsid w:val="009E2351"/>
    <w:rsid w:val="009E2357"/>
    <w:rsid w:val="009E2376"/>
    <w:rsid w:val="009E237A"/>
    <w:rsid w:val="009E237D"/>
    <w:rsid w:val="009E23AA"/>
    <w:rsid w:val="009E2456"/>
    <w:rsid w:val="009E2468"/>
    <w:rsid w:val="009E24CA"/>
    <w:rsid w:val="009E24F1"/>
    <w:rsid w:val="009E24F8"/>
    <w:rsid w:val="009E2521"/>
    <w:rsid w:val="009E252C"/>
    <w:rsid w:val="009E2537"/>
    <w:rsid w:val="009E258A"/>
    <w:rsid w:val="009E2608"/>
    <w:rsid w:val="009E260C"/>
    <w:rsid w:val="009E2672"/>
    <w:rsid w:val="009E267A"/>
    <w:rsid w:val="009E26AC"/>
    <w:rsid w:val="009E26EF"/>
    <w:rsid w:val="009E270C"/>
    <w:rsid w:val="009E276E"/>
    <w:rsid w:val="009E27EA"/>
    <w:rsid w:val="009E2812"/>
    <w:rsid w:val="009E288F"/>
    <w:rsid w:val="009E28C1"/>
    <w:rsid w:val="009E294A"/>
    <w:rsid w:val="009E2975"/>
    <w:rsid w:val="009E29B5"/>
    <w:rsid w:val="009E29BB"/>
    <w:rsid w:val="009E2A50"/>
    <w:rsid w:val="009E2A68"/>
    <w:rsid w:val="009E2A73"/>
    <w:rsid w:val="009E2ACD"/>
    <w:rsid w:val="009E2AFF"/>
    <w:rsid w:val="009E2B1B"/>
    <w:rsid w:val="009E2B4B"/>
    <w:rsid w:val="009E2B6A"/>
    <w:rsid w:val="009E2BEB"/>
    <w:rsid w:val="009E2C45"/>
    <w:rsid w:val="009E2CDB"/>
    <w:rsid w:val="009E2D61"/>
    <w:rsid w:val="009E2D7B"/>
    <w:rsid w:val="009E2DAF"/>
    <w:rsid w:val="009E2DE5"/>
    <w:rsid w:val="009E2E92"/>
    <w:rsid w:val="009E2EA0"/>
    <w:rsid w:val="009E2EA8"/>
    <w:rsid w:val="009E2F34"/>
    <w:rsid w:val="009E2F96"/>
    <w:rsid w:val="009E2FA0"/>
    <w:rsid w:val="009E2FC4"/>
    <w:rsid w:val="009E2FF6"/>
    <w:rsid w:val="009E3011"/>
    <w:rsid w:val="009E3082"/>
    <w:rsid w:val="009E30A1"/>
    <w:rsid w:val="009E30A7"/>
    <w:rsid w:val="009E30AA"/>
    <w:rsid w:val="009E30D6"/>
    <w:rsid w:val="009E3173"/>
    <w:rsid w:val="009E3183"/>
    <w:rsid w:val="009E31FA"/>
    <w:rsid w:val="009E323E"/>
    <w:rsid w:val="009E325E"/>
    <w:rsid w:val="009E3275"/>
    <w:rsid w:val="009E3293"/>
    <w:rsid w:val="009E32C9"/>
    <w:rsid w:val="009E32FF"/>
    <w:rsid w:val="009E3301"/>
    <w:rsid w:val="009E331C"/>
    <w:rsid w:val="009E33A4"/>
    <w:rsid w:val="009E33D6"/>
    <w:rsid w:val="009E33EB"/>
    <w:rsid w:val="009E33F1"/>
    <w:rsid w:val="009E34C5"/>
    <w:rsid w:val="009E34F7"/>
    <w:rsid w:val="009E3500"/>
    <w:rsid w:val="009E350F"/>
    <w:rsid w:val="009E3579"/>
    <w:rsid w:val="009E35AB"/>
    <w:rsid w:val="009E35C9"/>
    <w:rsid w:val="009E35DD"/>
    <w:rsid w:val="009E360A"/>
    <w:rsid w:val="009E362C"/>
    <w:rsid w:val="009E3645"/>
    <w:rsid w:val="009E36A0"/>
    <w:rsid w:val="009E36B7"/>
    <w:rsid w:val="009E36C2"/>
    <w:rsid w:val="009E36F7"/>
    <w:rsid w:val="009E371D"/>
    <w:rsid w:val="009E372A"/>
    <w:rsid w:val="009E375F"/>
    <w:rsid w:val="009E3768"/>
    <w:rsid w:val="009E3782"/>
    <w:rsid w:val="009E37D0"/>
    <w:rsid w:val="009E37E0"/>
    <w:rsid w:val="009E381D"/>
    <w:rsid w:val="009E3830"/>
    <w:rsid w:val="009E3832"/>
    <w:rsid w:val="009E3867"/>
    <w:rsid w:val="009E38A4"/>
    <w:rsid w:val="009E38C8"/>
    <w:rsid w:val="009E3903"/>
    <w:rsid w:val="009E3910"/>
    <w:rsid w:val="009E39AE"/>
    <w:rsid w:val="009E3A32"/>
    <w:rsid w:val="009E3A92"/>
    <w:rsid w:val="009E3AA7"/>
    <w:rsid w:val="009E3AA9"/>
    <w:rsid w:val="009E3AB6"/>
    <w:rsid w:val="009E3ABA"/>
    <w:rsid w:val="009E3ACC"/>
    <w:rsid w:val="009E3B01"/>
    <w:rsid w:val="009E3B12"/>
    <w:rsid w:val="009E3B54"/>
    <w:rsid w:val="009E3BA7"/>
    <w:rsid w:val="009E3BC1"/>
    <w:rsid w:val="009E3BE5"/>
    <w:rsid w:val="009E3C2B"/>
    <w:rsid w:val="009E3C4B"/>
    <w:rsid w:val="009E3C85"/>
    <w:rsid w:val="009E3D59"/>
    <w:rsid w:val="009E3D98"/>
    <w:rsid w:val="009E3DF6"/>
    <w:rsid w:val="009E3E94"/>
    <w:rsid w:val="009E3EA5"/>
    <w:rsid w:val="009E3EB9"/>
    <w:rsid w:val="009E3EC5"/>
    <w:rsid w:val="009E3F3C"/>
    <w:rsid w:val="009E3FFD"/>
    <w:rsid w:val="009E4057"/>
    <w:rsid w:val="009E406E"/>
    <w:rsid w:val="009E40AB"/>
    <w:rsid w:val="009E4152"/>
    <w:rsid w:val="009E4153"/>
    <w:rsid w:val="009E4196"/>
    <w:rsid w:val="009E41D0"/>
    <w:rsid w:val="009E4212"/>
    <w:rsid w:val="009E426F"/>
    <w:rsid w:val="009E4279"/>
    <w:rsid w:val="009E42C4"/>
    <w:rsid w:val="009E42E5"/>
    <w:rsid w:val="009E430A"/>
    <w:rsid w:val="009E4333"/>
    <w:rsid w:val="009E433E"/>
    <w:rsid w:val="009E4446"/>
    <w:rsid w:val="009E4484"/>
    <w:rsid w:val="009E44D0"/>
    <w:rsid w:val="009E451B"/>
    <w:rsid w:val="009E4569"/>
    <w:rsid w:val="009E457F"/>
    <w:rsid w:val="009E45BE"/>
    <w:rsid w:val="009E45E4"/>
    <w:rsid w:val="009E4635"/>
    <w:rsid w:val="009E4650"/>
    <w:rsid w:val="009E46A4"/>
    <w:rsid w:val="009E46E8"/>
    <w:rsid w:val="009E4730"/>
    <w:rsid w:val="009E479C"/>
    <w:rsid w:val="009E47F3"/>
    <w:rsid w:val="009E48A0"/>
    <w:rsid w:val="009E48F7"/>
    <w:rsid w:val="009E498D"/>
    <w:rsid w:val="009E49B3"/>
    <w:rsid w:val="009E49B4"/>
    <w:rsid w:val="009E49E2"/>
    <w:rsid w:val="009E49F4"/>
    <w:rsid w:val="009E4A17"/>
    <w:rsid w:val="009E4A7C"/>
    <w:rsid w:val="009E4A87"/>
    <w:rsid w:val="009E4A98"/>
    <w:rsid w:val="009E4B16"/>
    <w:rsid w:val="009E4B21"/>
    <w:rsid w:val="009E4B88"/>
    <w:rsid w:val="009E4BF1"/>
    <w:rsid w:val="009E4C0F"/>
    <w:rsid w:val="009E4C6F"/>
    <w:rsid w:val="009E4C87"/>
    <w:rsid w:val="009E4CA8"/>
    <w:rsid w:val="009E4D1C"/>
    <w:rsid w:val="009E4D33"/>
    <w:rsid w:val="009E4DA4"/>
    <w:rsid w:val="009E4DDF"/>
    <w:rsid w:val="009E4DE2"/>
    <w:rsid w:val="009E4E1B"/>
    <w:rsid w:val="009E4E22"/>
    <w:rsid w:val="009E4E8E"/>
    <w:rsid w:val="009E4E95"/>
    <w:rsid w:val="009E4E9D"/>
    <w:rsid w:val="009E4EF4"/>
    <w:rsid w:val="009E4EFB"/>
    <w:rsid w:val="009E4F10"/>
    <w:rsid w:val="009E5013"/>
    <w:rsid w:val="009E50DB"/>
    <w:rsid w:val="009E50E4"/>
    <w:rsid w:val="009E50EA"/>
    <w:rsid w:val="009E5110"/>
    <w:rsid w:val="009E5116"/>
    <w:rsid w:val="009E511B"/>
    <w:rsid w:val="009E511D"/>
    <w:rsid w:val="009E5132"/>
    <w:rsid w:val="009E513B"/>
    <w:rsid w:val="009E5167"/>
    <w:rsid w:val="009E5196"/>
    <w:rsid w:val="009E523F"/>
    <w:rsid w:val="009E5260"/>
    <w:rsid w:val="009E529E"/>
    <w:rsid w:val="009E52EF"/>
    <w:rsid w:val="009E5372"/>
    <w:rsid w:val="009E53C6"/>
    <w:rsid w:val="009E5428"/>
    <w:rsid w:val="009E5490"/>
    <w:rsid w:val="009E54A5"/>
    <w:rsid w:val="009E553C"/>
    <w:rsid w:val="009E55BB"/>
    <w:rsid w:val="009E55EC"/>
    <w:rsid w:val="009E55ED"/>
    <w:rsid w:val="009E55EE"/>
    <w:rsid w:val="009E56F1"/>
    <w:rsid w:val="009E5724"/>
    <w:rsid w:val="009E5736"/>
    <w:rsid w:val="009E5794"/>
    <w:rsid w:val="009E57B2"/>
    <w:rsid w:val="009E57C0"/>
    <w:rsid w:val="009E57D2"/>
    <w:rsid w:val="009E5839"/>
    <w:rsid w:val="009E583F"/>
    <w:rsid w:val="009E5889"/>
    <w:rsid w:val="009E58AA"/>
    <w:rsid w:val="009E58B3"/>
    <w:rsid w:val="009E590C"/>
    <w:rsid w:val="009E593B"/>
    <w:rsid w:val="009E5940"/>
    <w:rsid w:val="009E5944"/>
    <w:rsid w:val="009E5990"/>
    <w:rsid w:val="009E59F6"/>
    <w:rsid w:val="009E5AA4"/>
    <w:rsid w:val="009E5B1E"/>
    <w:rsid w:val="009E5B89"/>
    <w:rsid w:val="009E5BA8"/>
    <w:rsid w:val="009E5BBA"/>
    <w:rsid w:val="009E5C0C"/>
    <w:rsid w:val="009E5C1E"/>
    <w:rsid w:val="009E5C47"/>
    <w:rsid w:val="009E5C94"/>
    <w:rsid w:val="009E5D1E"/>
    <w:rsid w:val="009E5D91"/>
    <w:rsid w:val="009E5DD1"/>
    <w:rsid w:val="009E5E3E"/>
    <w:rsid w:val="009E5E50"/>
    <w:rsid w:val="009E5EFB"/>
    <w:rsid w:val="009E5F2D"/>
    <w:rsid w:val="009E5F3D"/>
    <w:rsid w:val="009E5F5B"/>
    <w:rsid w:val="009E5FB7"/>
    <w:rsid w:val="009E6006"/>
    <w:rsid w:val="009E6017"/>
    <w:rsid w:val="009E605F"/>
    <w:rsid w:val="009E6093"/>
    <w:rsid w:val="009E60BC"/>
    <w:rsid w:val="009E6149"/>
    <w:rsid w:val="009E6154"/>
    <w:rsid w:val="009E6196"/>
    <w:rsid w:val="009E61DA"/>
    <w:rsid w:val="009E61E0"/>
    <w:rsid w:val="009E6281"/>
    <w:rsid w:val="009E629B"/>
    <w:rsid w:val="009E6333"/>
    <w:rsid w:val="009E633E"/>
    <w:rsid w:val="009E63A6"/>
    <w:rsid w:val="009E63C6"/>
    <w:rsid w:val="009E63CE"/>
    <w:rsid w:val="009E6415"/>
    <w:rsid w:val="009E642C"/>
    <w:rsid w:val="009E6443"/>
    <w:rsid w:val="009E6461"/>
    <w:rsid w:val="009E6479"/>
    <w:rsid w:val="009E647D"/>
    <w:rsid w:val="009E64A1"/>
    <w:rsid w:val="009E64A5"/>
    <w:rsid w:val="009E64BB"/>
    <w:rsid w:val="009E6520"/>
    <w:rsid w:val="009E6563"/>
    <w:rsid w:val="009E6585"/>
    <w:rsid w:val="009E658D"/>
    <w:rsid w:val="009E658E"/>
    <w:rsid w:val="009E659C"/>
    <w:rsid w:val="009E65B4"/>
    <w:rsid w:val="009E6633"/>
    <w:rsid w:val="009E6662"/>
    <w:rsid w:val="009E6691"/>
    <w:rsid w:val="009E66A8"/>
    <w:rsid w:val="009E66C3"/>
    <w:rsid w:val="009E678D"/>
    <w:rsid w:val="009E67C7"/>
    <w:rsid w:val="009E6822"/>
    <w:rsid w:val="009E6861"/>
    <w:rsid w:val="009E686A"/>
    <w:rsid w:val="009E689A"/>
    <w:rsid w:val="009E68D9"/>
    <w:rsid w:val="009E68EA"/>
    <w:rsid w:val="009E6955"/>
    <w:rsid w:val="009E69D2"/>
    <w:rsid w:val="009E69E5"/>
    <w:rsid w:val="009E6A3F"/>
    <w:rsid w:val="009E6A69"/>
    <w:rsid w:val="009E6A83"/>
    <w:rsid w:val="009E6A87"/>
    <w:rsid w:val="009E6ABB"/>
    <w:rsid w:val="009E6B01"/>
    <w:rsid w:val="009E6BDC"/>
    <w:rsid w:val="009E6BEA"/>
    <w:rsid w:val="009E6C3A"/>
    <w:rsid w:val="009E6C56"/>
    <w:rsid w:val="009E6C61"/>
    <w:rsid w:val="009E6CBE"/>
    <w:rsid w:val="009E6D05"/>
    <w:rsid w:val="009E6D17"/>
    <w:rsid w:val="009E6D9B"/>
    <w:rsid w:val="009E6DC1"/>
    <w:rsid w:val="009E6E05"/>
    <w:rsid w:val="009E6E0A"/>
    <w:rsid w:val="009E6E50"/>
    <w:rsid w:val="009E6EA8"/>
    <w:rsid w:val="009E6EEE"/>
    <w:rsid w:val="009E6F23"/>
    <w:rsid w:val="009E6F7A"/>
    <w:rsid w:val="009E6FBF"/>
    <w:rsid w:val="009E6FC8"/>
    <w:rsid w:val="009E6FFB"/>
    <w:rsid w:val="009E703E"/>
    <w:rsid w:val="009E70EF"/>
    <w:rsid w:val="009E7179"/>
    <w:rsid w:val="009E722C"/>
    <w:rsid w:val="009E725B"/>
    <w:rsid w:val="009E726B"/>
    <w:rsid w:val="009E7294"/>
    <w:rsid w:val="009E72A7"/>
    <w:rsid w:val="009E72CE"/>
    <w:rsid w:val="009E72E8"/>
    <w:rsid w:val="009E72E9"/>
    <w:rsid w:val="009E731E"/>
    <w:rsid w:val="009E73A4"/>
    <w:rsid w:val="009E73AD"/>
    <w:rsid w:val="009E73B2"/>
    <w:rsid w:val="009E73B3"/>
    <w:rsid w:val="009E73D4"/>
    <w:rsid w:val="009E73DD"/>
    <w:rsid w:val="009E73E4"/>
    <w:rsid w:val="009E7416"/>
    <w:rsid w:val="009E7418"/>
    <w:rsid w:val="009E741F"/>
    <w:rsid w:val="009E743A"/>
    <w:rsid w:val="009E7447"/>
    <w:rsid w:val="009E749D"/>
    <w:rsid w:val="009E751B"/>
    <w:rsid w:val="009E756A"/>
    <w:rsid w:val="009E761A"/>
    <w:rsid w:val="009E7635"/>
    <w:rsid w:val="009E76A0"/>
    <w:rsid w:val="009E76A8"/>
    <w:rsid w:val="009E76F9"/>
    <w:rsid w:val="009E7735"/>
    <w:rsid w:val="009E7765"/>
    <w:rsid w:val="009E7784"/>
    <w:rsid w:val="009E7825"/>
    <w:rsid w:val="009E7826"/>
    <w:rsid w:val="009E7943"/>
    <w:rsid w:val="009E7AD3"/>
    <w:rsid w:val="009E7B22"/>
    <w:rsid w:val="009E7B38"/>
    <w:rsid w:val="009E7B3C"/>
    <w:rsid w:val="009E7B93"/>
    <w:rsid w:val="009E7BB7"/>
    <w:rsid w:val="009E7BBC"/>
    <w:rsid w:val="009E7BC3"/>
    <w:rsid w:val="009E7BD2"/>
    <w:rsid w:val="009E7BDE"/>
    <w:rsid w:val="009E7C24"/>
    <w:rsid w:val="009E7C32"/>
    <w:rsid w:val="009E7C60"/>
    <w:rsid w:val="009E7C8D"/>
    <w:rsid w:val="009E7C9D"/>
    <w:rsid w:val="009E7CA9"/>
    <w:rsid w:val="009E7D38"/>
    <w:rsid w:val="009E7D51"/>
    <w:rsid w:val="009E7D9F"/>
    <w:rsid w:val="009E7DC9"/>
    <w:rsid w:val="009E7DF7"/>
    <w:rsid w:val="009E7E4E"/>
    <w:rsid w:val="009E7E94"/>
    <w:rsid w:val="009E7EDD"/>
    <w:rsid w:val="009E7EEE"/>
    <w:rsid w:val="009E7EF3"/>
    <w:rsid w:val="009E7F29"/>
    <w:rsid w:val="009E7F81"/>
    <w:rsid w:val="009E7FD0"/>
    <w:rsid w:val="009F0059"/>
    <w:rsid w:val="009F0083"/>
    <w:rsid w:val="009F0108"/>
    <w:rsid w:val="009F017B"/>
    <w:rsid w:val="009F0236"/>
    <w:rsid w:val="009F024C"/>
    <w:rsid w:val="009F026A"/>
    <w:rsid w:val="009F0276"/>
    <w:rsid w:val="009F0290"/>
    <w:rsid w:val="009F02A1"/>
    <w:rsid w:val="009F035E"/>
    <w:rsid w:val="009F0399"/>
    <w:rsid w:val="009F0430"/>
    <w:rsid w:val="009F0432"/>
    <w:rsid w:val="009F045C"/>
    <w:rsid w:val="009F0494"/>
    <w:rsid w:val="009F04A2"/>
    <w:rsid w:val="009F04B7"/>
    <w:rsid w:val="009F051B"/>
    <w:rsid w:val="009F058C"/>
    <w:rsid w:val="009F059E"/>
    <w:rsid w:val="009F05DC"/>
    <w:rsid w:val="009F05EB"/>
    <w:rsid w:val="009F0623"/>
    <w:rsid w:val="009F06A5"/>
    <w:rsid w:val="009F06C7"/>
    <w:rsid w:val="009F06D4"/>
    <w:rsid w:val="009F07D2"/>
    <w:rsid w:val="009F07DB"/>
    <w:rsid w:val="009F0826"/>
    <w:rsid w:val="009F089A"/>
    <w:rsid w:val="009F08A0"/>
    <w:rsid w:val="009F08E5"/>
    <w:rsid w:val="009F0A39"/>
    <w:rsid w:val="009F0A9F"/>
    <w:rsid w:val="009F0ABC"/>
    <w:rsid w:val="009F0ACC"/>
    <w:rsid w:val="009F0ADA"/>
    <w:rsid w:val="009F0AEA"/>
    <w:rsid w:val="009F0AEC"/>
    <w:rsid w:val="009F0B17"/>
    <w:rsid w:val="009F0B2D"/>
    <w:rsid w:val="009F0B58"/>
    <w:rsid w:val="009F0BD2"/>
    <w:rsid w:val="009F0BE6"/>
    <w:rsid w:val="009F0BFE"/>
    <w:rsid w:val="009F0C48"/>
    <w:rsid w:val="009F0CDD"/>
    <w:rsid w:val="009F0D42"/>
    <w:rsid w:val="009F0D85"/>
    <w:rsid w:val="009F0DD5"/>
    <w:rsid w:val="009F0E87"/>
    <w:rsid w:val="009F0E94"/>
    <w:rsid w:val="009F0E99"/>
    <w:rsid w:val="009F0EB6"/>
    <w:rsid w:val="009F0F13"/>
    <w:rsid w:val="009F0F33"/>
    <w:rsid w:val="009F0F6E"/>
    <w:rsid w:val="009F0F8F"/>
    <w:rsid w:val="009F0FC2"/>
    <w:rsid w:val="009F1000"/>
    <w:rsid w:val="009F1021"/>
    <w:rsid w:val="009F1051"/>
    <w:rsid w:val="009F106E"/>
    <w:rsid w:val="009F108E"/>
    <w:rsid w:val="009F10FD"/>
    <w:rsid w:val="009F112C"/>
    <w:rsid w:val="009F1145"/>
    <w:rsid w:val="009F1152"/>
    <w:rsid w:val="009F1172"/>
    <w:rsid w:val="009F1173"/>
    <w:rsid w:val="009F122E"/>
    <w:rsid w:val="009F1238"/>
    <w:rsid w:val="009F1253"/>
    <w:rsid w:val="009F12B7"/>
    <w:rsid w:val="009F12BC"/>
    <w:rsid w:val="009F12CB"/>
    <w:rsid w:val="009F12E5"/>
    <w:rsid w:val="009F1319"/>
    <w:rsid w:val="009F132E"/>
    <w:rsid w:val="009F137B"/>
    <w:rsid w:val="009F13B3"/>
    <w:rsid w:val="009F13C8"/>
    <w:rsid w:val="009F13D6"/>
    <w:rsid w:val="009F143E"/>
    <w:rsid w:val="009F145F"/>
    <w:rsid w:val="009F14AB"/>
    <w:rsid w:val="009F14B9"/>
    <w:rsid w:val="009F14E5"/>
    <w:rsid w:val="009F14F1"/>
    <w:rsid w:val="009F14F6"/>
    <w:rsid w:val="009F1508"/>
    <w:rsid w:val="009F1527"/>
    <w:rsid w:val="009F1584"/>
    <w:rsid w:val="009F15FC"/>
    <w:rsid w:val="009F1680"/>
    <w:rsid w:val="009F16A0"/>
    <w:rsid w:val="009F16BD"/>
    <w:rsid w:val="009F1743"/>
    <w:rsid w:val="009F1754"/>
    <w:rsid w:val="009F17DA"/>
    <w:rsid w:val="009F1818"/>
    <w:rsid w:val="009F182D"/>
    <w:rsid w:val="009F1833"/>
    <w:rsid w:val="009F1844"/>
    <w:rsid w:val="009F1877"/>
    <w:rsid w:val="009F18AC"/>
    <w:rsid w:val="009F18FE"/>
    <w:rsid w:val="009F1925"/>
    <w:rsid w:val="009F196E"/>
    <w:rsid w:val="009F19A7"/>
    <w:rsid w:val="009F19D3"/>
    <w:rsid w:val="009F19EF"/>
    <w:rsid w:val="009F19F6"/>
    <w:rsid w:val="009F1A0B"/>
    <w:rsid w:val="009F1A7D"/>
    <w:rsid w:val="009F1A82"/>
    <w:rsid w:val="009F1A9C"/>
    <w:rsid w:val="009F1AAD"/>
    <w:rsid w:val="009F1AB8"/>
    <w:rsid w:val="009F1AF7"/>
    <w:rsid w:val="009F1B6B"/>
    <w:rsid w:val="009F1B86"/>
    <w:rsid w:val="009F1BEC"/>
    <w:rsid w:val="009F1C1C"/>
    <w:rsid w:val="009F1CC7"/>
    <w:rsid w:val="009F1D09"/>
    <w:rsid w:val="009F1D15"/>
    <w:rsid w:val="009F1D2A"/>
    <w:rsid w:val="009F1D5C"/>
    <w:rsid w:val="009F1DAC"/>
    <w:rsid w:val="009F1DBB"/>
    <w:rsid w:val="009F1E8E"/>
    <w:rsid w:val="009F1EEE"/>
    <w:rsid w:val="009F1F54"/>
    <w:rsid w:val="009F1FAC"/>
    <w:rsid w:val="009F1FBD"/>
    <w:rsid w:val="009F1FD6"/>
    <w:rsid w:val="009F1FEE"/>
    <w:rsid w:val="009F2026"/>
    <w:rsid w:val="009F2032"/>
    <w:rsid w:val="009F204B"/>
    <w:rsid w:val="009F2069"/>
    <w:rsid w:val="009F2092"/>
    <w:rsid w:val="009F20B3"/>
    <w:rsid w:val="009F20CF"/>
    <w:rsid w:val="009F20F5"/>
    <w:rsid w:val="009F2100"/>
    <w:rsid w:val="009F211A"/>
    <w:rsid w:val="009F21AE"/>
    <w:rsid w:val="009F21BC"/>
    <w:rsid w:val="009F2233"/>
    <w:rsid w:val="009F2271"/>
    <w:rsid w:val="009F2273"/>
    <w:rsid w:val="009F22EB"/>
    <w:rsid w:val="009F231C"/>
    <w:rsid w:val="009F231F"/>
    <w:rsid w:val="009F233D"/>
    <w:rsid w:val="009F2359"/>
    <w:rsid w:val="009F2383"/>
    <w:rsid w:val="009F2426"/>
    <w:rsid w:val="009F24AA"/>
    <w:rsid w:val="009F2541"/>
    <w:rsid w:val="009F2547"/>
    <w:rsid w:val="009F2571"/>
    <w:rsid w:val="009F25C2"/>
    <w:rsid w:val="009F268B"/>
    <w:rsid w:val="009F26B5"/>
    <w:rsid w:val="009F26BC"/>
    <w:rsid w:val="009F26C8"/>
    <w:rsid w:val="009F26EF"/>
    <w:rsid w:val="009F27DC"/>
    <w:rsid w:val="009F2868"/>
    <w:rsid w:val="009F2886"/>
    <w:rsid w:val="009F2923"/>
    <w:rsid w:val="009F2951"/>
    <w:rsid w:val="009F29FB"/>
    <w:rsid w:val="009F2A3C"/>
    <w:rsid w:val="009F2A5A"/>
    <w:rsid w:val="009F2A9C"/>
    <w:rsid w:val="009F2AAD"/>
    <w:rsid w:val="009F2AF8"/>
    <w:rsid w:val="009F2B01"/>
    <w:rsid w:val="009F2B3F"/>
    <w:rsid w:val="009F2B66"/>
    <w:rsid w:val="009F2B84"/>
    <w:rsid w:val="009F2B8C"/>
    <w:rsid w:val="009F2BA0"/>
    <w:rsid w:val="009F2BA2"/>
    <w:rsid w:val="009F2BF5"/>
    <w:rsid w:val="009F2C01"/>
    <w:rsid w:val="009F2C1F"/>
    <w:rsid w:val="009F2D27"/>
    <w:rsid w:val="009F2D78"/>
    <w:rsid w:val="009F2E17"/>
    <w:rsid w:val="009F2E43"/>
    <w:rsid w:val="009F2E8A"/>
    <w:rsid w:val="009F2EED"/>
    <w:rsid w:val="009F2F0C"/>
    <w:rsid w:val="009F2F1D"/>
    <w:rsid w:val="009F2F3B"/>
    <w:rsid w:val="009F2F85"/>
    <w:rsid w:val="009F2FB3"/>
    <w:rsid w:val="009F3013"/>
    <w:rsid w:val="009F3048"/>
    <w:rsid w:val="009F304C"/>
    <w:rsid w:val="009F30C1"/>
    <w:rsid w:val="009F30C2"/>
    <w:rsid w:val="009F310E"/>
    <w:rsid w:val="009F3173"/>
    <w:rsid w:val="009F3193"/>
    <w:rsid w:val="009F31C3"/>
    <w:rsid w:val="009F31CC"/>
    <w:rsid w:val="009F31E4"/>
    <w:rsid w:val="009F3271"/>
    <w:rsid w:val="009F330C"/>
    <w:rsid w:val="009F3336"/>
    <w:rsid w:val="009F333C"/>
    <w:rsid w:val="009F334A"/>
    <w:rsid w:val="009F338E"/>
    <w:rsid w:val="009F33B3"/>
    <w:rsid w:val="009F33C5"/>
    <w:rsid w:val="009F34C8"/>
    <w:rsid w:val="009F3505"/>
    <w:rsid w:val="009F3550"/>
    <w:rsid w:val="009F3572"/>
    <w:rsid w:val="009F35DC"/>
    <w:rsid w:val="009F3611"/>
    <w:rsid w:val="009F369F"/>
    <w:rsid w:val="009F36CC"/>
    <w:rsid w:val="009F3704"/>
    <w:rsid w:val="009F3713"/>
    <w:rsid w:val="009F37A0"/>
    <w:rsid w:val="009F37E4"/>
    <w:rsid w:val="009F381A"/>
    <w:rsid w:val="009F38C3"/>
    <w:rsid w:val="009F38CC"/>
    <w:rsid w:val="009F38DE"/>
    <w:rsid w:val="009F38F5"/>
    <w:rsid w:val="009F3906"/>
    <w:rsid w:val="009F3907"/>
    <w:rsid w:val="009F392F"/>
    <w:rsid w:val="009F3942"/>
    <w:rsid w:val="009F39E4"/>
    <w:rsid w:val="009F3A3A"/>
    <w:rsid w:val="009F3A3B"/>
    <w:rsid w:val="009F3A5B"/>
    <w:rsid w:val="009F3B18"/>
    <w:rsid w:val="009F3B40"/>
    <w:rsid w:val="009F3B46"/>
    <w:rsid w:val="009F3B5E"/>
    <w:rsid w:val="009F3B87"/>
    <w:rsid w:val="009F3B98"/>
    <w:rsid w:val="009F3BB5"/>
    <w:rsid w:val="009F3C40"/>
    <w:rsid w:val="009F3C6F"/>
    <w:rsid w:val="009F3C95"/>
    <w:rsid w:val="009F3CAD"/>
    <w:rsid w:val="009F3CBD"/>
    <w:rsid w:val="009F3CD9"/>
    <w:rsid w:val="009F3D55"/>
    <w:rsid w:val="009F3D6C"/>
    <w:rsid w:val="009F3D88"/>
    <w:rsid w:val="009F3E7A"/>
    <w:rsid w:val="009F3F02"/>
    <w:rsid w:val="009F3F2D"/>
    <w:rsid w:val="009F3F63"/>
    <w:rsid w:val="009F3FCD"/>
    <w:rsid w:val="009F3FE8"/>
    <w:rsid w:val="009F3FFA"/>
    <w:rsid w:val="009F404E"/>
    <w:rsid w:val="009F4054"/>
    <w:rsid w:val="009F40BB"/>
    <w:rsid w:val="009F4135"/>
    <w:rsid w:val="009F414E"/>
    <w:rsid w:val="009F4184"/>
    <w:rsid w:val="009F419D"/>
    <w:rsid w:val="009F41CD"/>
    <w:rsid w:val="009F4207"/>
    <w:rsid w:val="009F421A"/>
    <w:rsid w:val="009F42FD"/>
    <w:rsid w:val="009F4309"/>
    <w:rsid w:val="009F435F"/>
    <w:rsid w:val="009F4360"/>
    <w:rsid w:val="009F4364"/>
    <w:rsid w:val="009F4374"/>
    <w:rsid w:val="009F4382"/>
    <w:rsid w:val="009F438D"/>
    <w:rsid w:val="009F440B"/>
    <w:rsid w:val="009F44AC"/>
    <w:rsid w:val="009F44B2"/>
    <w:rsid w:val="009F44B7"/>
    <w:rsid w:val="009F44C0"/>
    <w:rsid w:val="009F44C1"/>
    <w:rsid w:val="009F4574"/>
    <w:rsid w:val="009F4591"/>
    <w:rsid w:val="009F45AB"/>
    <w:rsid w:val="009F45D9"/>
    <w:rsid w:val="009F4601"/>
    <w:rsid w:val="009F462C"/>
    <w:rsid w:val="009F4642"/>
    <w:rsid w:val="009F468F"/>
    <w:rsid w:val="009F46A3"/>
    <w:rsid w:val="009F4722"/>
    <w:rsid w:val="009F4743"/>
    <w:rsid w:val="009F4758"/>
    <w:rsid w:val="009F4779"/>
    <w:rsid w:val="009F4786"/>
    <w:rsid w:val="009F47AF"/>
    <w:rsid w:val="009F47BD"/>
    <w:rsid w:val="009F47C4"/>
    <w:rsid w:val="009F47EE"/>
    <w:rsid w:val="009F4824"/>
    <w:rsid w:val="009F486B"/>
    <w:rsid w:val="009F488A"/>
    <w:rsid w:val="009F4895"/>
    <w:rsid w:val="009F491D"/>
    <w:rsid w:val="009F4981"/>
    <w:rsid w:val="009F4992"/>
    <w:rsid w:val="009F4999"/>
    <w:rsid w:val="009F49E5"/>
    <w:rsid w:val="009F49E9"/>
    <w:rsid w:val="009F4A0D"/>
    <w:rsid w:val="009F4ACB"/>
    <w:rsid w:val="009F4AE1"/>
    <w:rsid w:val="009F4B46"/>
    <w:rsid w:val="009F4B5A"/>
    <w:rsid w:val="009F4B9C"/>
    <w:rsid w:val="009F4BA6"/>
    <w:rsid w:val="009F4BC1"/>
    <w:rsid w:val="009F4C60"/>
    <w:rsid w:val="009F4C88"/>
    <w:rsid w:val="009F4D7F"/>
    <w:rsid w:val="009F4D85"/>
    <w:rsid w:val="009F4DB3"/>
    <w:rsid w:val="009F4DE6"/>
    <w:rsid w:val="009F4E6D"/>
    <w:rsid w:val="009F4E74"/>
    <w:rsid w:val="009F4E92"/>
    <w:rsid w:val="009F4E9A"/>
    <w:rsid w:val="009F4ED1"/>
    <w:rsid w:val="009F4F10"/>
    <w:rsid w:val="009F4F29"/>
    <w:rsid w:val="009F4F30"/>
    <w:rsid w:val="009F4F32"/>
    <w:rsid w:val="009F4F3A"/>
    <w:rsid w:val="009F4F59"/>
    <w:rsid w:val="009F4F7C"/>
    <w:rsid w:val="009F4FFF"/>
    <w:rsid w:val="009F500F"/>
    <w:rsid w:val="009F5016"/>
    <w:rsid w:val="009F5020"/>
    <w:rsid w:val="009F50A1"/>
    <w:rsid w:val="009F50A5"/>
    <w:rsid w:val="009F50A7"/>
    <w:rsid w:val="009F50D4"/>
    <w:rsid w:val="009F50DA"/>
    <w:rsid w:val="009F5128"/>
    <w:rsid w:val="009F512F"/>
    <w:rsid w:val="009F519F"/>
    <w:rsid w:val="009F51FB"/>
    <w:rsid w:val="009F521E"/>
    <w:rsid w:val="009F5230"/>
    <w:rsid w:val="009F5439"/>
    <w:rsid w:val="009F5464"/>
    <w:rsid w:val="009F5470"/>
    <w:rsid w:val="009F5477"/>
    <w:rsid w:val="009F54B0"/>
    <w:rsid w:val="009F54C2"/>
    <w:rsid w:val="009F54DE"/>
    <w:rsid w:val="009F5512"/>
    <w:rsid w:val="009F5583"/>
    <w:rsid w:val="009F559A"/>
    <w:rsid w:val="009F5613"/>
    <w:rsid w:val="009F5646"/>
    <w:rsid w:val="009F5656"/>
    <w:rsid w:val="009F569F"/>
    <w:rsid w:val="009F5764"/>
    <w:rsid w:val="009F5780"/>
    <w:rsid w:val="009F57F7"/>
    <w:rsid w:val="009F5808"/>
    <w:rsid w:val="009F585E"/>
    <w:rsid w:val="009F586B"/>
    <w:rsid w:val="009F5884"/>
    <w:rsid w:val="009F588F"/>
    <w:rsid w:val="009F5890"/>
    <w:rsid w:val="009F58E0"/>
    <w:rsid w:val="009F5958"/>
    <w:rsid w:val="009F5982"/>
    <w:rsid w:val="009F5994"/>
    <w:rsid w:val="009F59A2"/>
    <w:rsid w:val="009F59A4"/>
    <w:rsid w:val="009F59AE"/>
    <w:rsid w:val="009F59B2"/>
    <w:rsid w:val="009F59E9"/>
    <w:rsid w:val="009F5AA3"/>
    <w:rsid w:val="009F5B07"/>
    <w:rsid w:val="009F5B16"/>
    <w:rsid w:val="009F5B63"/>
    <w:rsid w:val="009F5B72"/>
    <w:rsid w:val="009F5B82"/>
    <w:rsid w:val="009F5BFF"/>
    <w:rsid w:val="009F5C82"/>
    <w:rsid w:val="009F5C8D"/>
    <w:rsid w:val="009F5C92"/>
    <w:rsid w:val="009F5CDE"/>
    <w:rsid w:val="009F5D17"/>
    <w:rsid w:val="009F5D69"/>
    <w:rsid w:val="009F5D81"/>
    <w:rsid w:val="009F5DB1"/>
    <w:rsid w:val="009F5DB6"/>
    <w:rsid w:val="009F5DDE"/>
    <w:rsid w:val="009F5DF0"/>
    <w:rsid w:val="009F5ED3"/>
    <w:rsid w:val="009F5EFF"/>
    <w:rsid w:val="009F5F4F"/>
    <w:rsid w:val="009F5F79"/>
    <w:rsid w:val="009F5FBE"/>
    <w:rsid w:val="009F6012"/>
    <w:rsid w:val="009F6056"/>
    <w:rsid w:val="009F6071"/>
    <w:rsid w:val="009F6083"/>
    <w:rsid w:val="009F608B"/>
    <w:rsid w:val="009F60B6"/>
    <w:rsid w:val="009F60EC"/>
    <w:rsid w:val="009F611D"/>
    <w:rsid w:val="009F6137"/>
    <w:rsid w:val="009F6144"/>
    <w:rsid w:val="009F6149"/>
    <w:rsid w:val="009F6151"/>
    <w:rsid w:val="009F6158"/>
    <w:rsid w:val="009F61DE"/>
    <w:rsid w:val="009F61E3"/>
    <w:rsid w:val="009F6252"/>
    <w:rsid w:val="009F6279"/>
    <w:rsid w:val="009F62BF"/>
    <w:rsid w:val="009F62C3"/>
    <w:rsid w:val="009F62FB"/>
    <w:rsid w:val="009F6364"/>
    <w:rsid w:val="009F637E"/>
    <w:rsid w:val="009F63A6"/>
    <w:rsid w:val="009F63C5"/>
    <w:rsid w:val="009F63FA"/>
    <w:rsid w:val="009F63FE"/>
    <w:rsid w:val="009F6401"/>
    <w:rsid w:val="009F647A"/>
    <w:rsid w:val="009F6489"/>
    <w:rsid w:val="009F64AE"/>
    <w:rsid w:val="009F64BC"/>
    <w:rsid w:val="009F652A"/>
    <w:rsid w:val="009F6558"/>
    <w:rsid w:val="009F65C9"/>
    <w:rsid w:val="009F65CA"/>
    <w:rsid w:val="009F6639"/>
    <w:rsid w:val="009F664D"/>
    <w:rsid w:val="009F66E0"/>
    <w:rsid w:val="009F66F0"/>
    <w:rsid w:val="009F6788"/>
    <w:rsid w:val="009F67A0"/>
    <w:rsid w:val="009F6812"/>
    <w:rsid w:val="009F6828"/>
    <w:rsid w:val="009F684A"/>
    <w:rsid w:val="009F68A1"/>
    <w:rsid w:val="009F68AD"/>
    <w:rsid w:val="009F68D7"/>
    <w:rsid w:val="009F68E2"/>
    <w:rsid w:val="009F6926"/>
    <w:rsid w:val="009F6981"/>
    <w:rsid w:val="009F6A40"/>
    <w:rsid w:val="009F6AE0"/>
    <w:rsid w:val="009F6B70"/>
    <w:rsid w:val="009F6BAB"/>
    <w:rsid w:val="009F6C41"/>
    <w:rsid w:val="009F6C49"/>
    <w:rsid w:val="009F6CAC"/>
    <w:rsid w:val="009F6D3B"/>
    <w:rsid w:val="009F6D98"/>
    <w:rsid w:val="009F6DCC"/>
    <w:rsid w:val="009F6DD4"/>
    <w:rsid w:val="009F6E23"/>
    <w:rsid w:val="009F6E3C"/>
    <w:rsid w:val="009F6EEA"/>
    <w:rsid w:val="009F6F44"/>
    <w:rsid w:val="009F6F7F"/>
    <w:rsid w:val="009F6F95"/>
    <w:rsid w:val="009F6FA6"/>
    <w:rsid w:val="009F6FBE"/>
    <w:rsid w:val="009F703B"/>
    <w:rsid w:val="009F7076"/>
    <w:rsid w:val="009F7088"/>
    <w:rsid w:val="009F70A7"/>
    <w:rsid w:val="009F70E4"/>
    <w:rsid w:val="009F710F"/>
    <w:rsid w:val="009F7176"/>
    <w:rsid w:val="009F71B7"/>
    <w:rsid w:val="009F71C8"/>
    <w:rsid w:val="009F7245"/>
    <w:rsid w:val="009F7264"/>
    <w:rsid w:val="009F727E"/>
    <w:rsid w:val="009F730D"/>
    <w:rsid w:val="009F7316"/>
    <w:rsid w:val="009F732C"/>
    <w:rsid w:val="009F738A"/>
    <w:rsid w:val="009F7429"/>
    <w:rsid w:val="009F7450"/>
    <w:rsid w:val="009F7480"/>
    <w:rsid w:val="009F74D6"/>
    <w:rsid w:val="009F74EB"/>
    <w:rsid w:val="009F751A"/>
    <w:rsid w:val="009F755D"/>
    <w:rsid w:val="009F757E"/>
    <w:rsid w:val="009F7582"/>
    <w:rsid w:val="009F7594"/>
    <w:rsid w:val="009F75FE"/>
    <w:rsid w:val="009F7601"/>
    <w:rsid w:val="009F763A"/>
    <w:rsid w:val="009F76DF"/>
    <w:rsid w:val="009F7761"/>
    <w:rsid w:val="009F77A1"/>
    <w:rsid w:val="009F77C0"/>
    <w:rsid w:val="009F77D7"/>
    <w:rsid w:val="009F77DF"/>
    <w:rsid w:val="009F784D"/>
    <w:rsid w:val="009F78D5"/>
    <w:rsid w:val="009F79AA"/>
    <w:rsid w:val="009F7A29"/>
    <w:rsid w:val="009F7A36"/>
    <w:rsid w:val="009F7A58"/>
    <w:rsid w:val="009F7A5B"/>
    <w:rsid w:val="009F7ABB"/>
    <w:rsid w:val="009F7B45"/>
    <w:rsid w:val="009F7B4E"/>
    <w:rsid w:val="009F7B57"/>
    <w:rsid w:val="009F7B6E"/>
    <w:rsid w:val="009F7B7E"/>
    <w:rsid w:val="009F7B99"/>
    <w:rsid w:val="009F7BAB"/>
    <w:rsid w:val="009F7BDE"/>
    <w:rsid w:val="009F7C2E"/>
    <w:rsid w:val="009F7CA2"/>
    <w:rsid w:val="009F7CCF"/>
    <w:rsid w:val="009F7CD2"/>
    <w:rsid w:val="009F7D06"/>
    <w:rsid w:val="009F7D0E"/>
    <w:rsid w:val="009F7D76"/>
    <w:rsid w:val="009F7D7E"/>
    <w:rsid w:val="009F7DF5"/>
    <w:rsid w:val="009F7E10"/>
    <w:rsid w:val="009F7E2D"/>
    <w:rsid w:val="009F7E6D"/>
    <w:rsid w:val="009F7EA1"/>
    <w:rsid w:val="009F7EC4"/>
    <w:rsid w:val="009F7F08"/>
    <w:rsid w:val="009F7F42"/>
    <w:rsid w:val="009F7F87"/>
    <w:rsid w:val="009F7F9B"/>
    <w:rsid w:val="009F7FAE"/>
    <w:rsid w:val="00A00005"/>
    <w:rsid w:val="00A00077"/>
    <w:rsid w:val="00A00099"/>
    <w:rsid w:val="00A0009F"/>
    <w:rsid w:val="00A000F9"/>
    <w:rsid w:val="00A0012E"/>
    <w:rsid w:val="00A00186"/>
    <w:rsid w:val="00A0018F"/>
    <w:rsid w:val="00A0019A"/>
    <w:rsid w:val="00A001DD"/>
    <w:rsid w:val="00A001F6"/>
    <w:rsid w:val="00A0025C"/>
    <w:rsid w:val="00A00271"/>
    <w:rsid w:val="00A002C9"/>
    <w:rsid w:val="00A00366"/>
    <w:rsid w:val="00A003D4"/>
    <w:rsid w:val="00A0044A"/>
    <w:rsid w:val="00A0044D"/>
    <w:rsid w:val="00A00479"/>
    <w:rsid w:val="00A0048C"/>
    <w:rsid w:val="00A00504"/>
    <w:rsid w:val="00A00508"/>
    <w:rsid w:val="00A00560"/>
    <w:rsid w:val="00A005A6"/>
    <w:rsid w:val="00A00646"/>
    <w:rsid w:val="00A0065F"/>
    <w:rsid w:val="00A006FE"/>
    <w:rsid w:val="00A00789"/>
    <w:rsid w:val="00A007FC"/>
    <w:rsid w:val="00A0080A"/>
    <w:rsid w:val="00A00811"/>
    <w:rsid w:val="00A00849"/>
    <w:rsid w:val="00A008C8"/>
    <w:rsid w:val="00A008DC"/>
    <w:rsid w:val="00A0092A"/>
    <w:rsid w:val="00A00961"/>
    <w:rsid w:val="00A00993"/>
    <w:rsid w:val="00A00A06"/>
    <w:rsid w:val="00A00A26"/>
    <w:rsid w:val="00A00A7A"/>
    <w:rsid w:val="00A00ACD"/>
    <w:rsid w:val="00A00AF1"/>
    <w:rsid w:val="00A00B6D"/>
    <w:rsid w:val="00A00B78"/>
    <w:rsid w:val="00A00C09"/>
    <w:rsid w:val="00A00C2F"/>
    <w:rsid w:val="00A00C39"/>
    <w:rsid w:val="00A00CA5"/>
    <w:rsid w:val="00A00CCA"/>
    <w:rsid w:val="00A00CEA"/>
    <w:rsid w:val="00A00D07"/>
    <w:rsid w:val="00A00D6E"/>
    <w:rsid w:val="00A00D79"/>
    <w:rsid w:val="00A00E79"/>
    <w:rsid w:val="00A00E9B"/>
    <w:rsid w:val="00A00EA5"/>
    <w:rsid w:val="00A00F07"/>
    <w:rsid w:val="00A00F0E"/>
    <w:rsid w:val="00A00F7F"/>
    <w:rsid w:val="00A00F9A"/>
    <w:rsid w:val="00A01089"/>
    <w:rsid w:val="00A0108B"/>
    <w:rsid w:val="00A01162"/>
    <w:rsid w:val="00A01199"/>
    <w:rsid w:val="00A011B6"/>
    <w:rsid w:val="00A01303"/>
    <w:rsid w:val="00A0136E"/>
    <w:rsid w:val="00A0139F"/>
    <w:rsid w:val="00A013D8"/>
    <w:rsid w:val="00A013EB"/>
    <w:rsid w:val="00A013F8"/>
    <w:rsid w:val="00A0141A"/>
    <w:rsid w:val="00A01439"/>
    <w:rsid w:val="00A014AE"/>
    <w:rsid w:val="00A014F5"/>
    <w:rsid w:val="00A01530"/>
    <w:rsid w:val="00A0155D"/>
    <w:rsid w:val="00A015A2"/>
    <w:rsid w:val="00A01610"/>
    <w:rsid w:val="00A01627"/>
    <w:rsid w:val="00A01650"/>
    <w:rsid w:val="00A016AE"/>
    <w:rsid w:val="00A016CE"/>
    <w:rsid w:val="00A01708"/>
    <w:rsid w:val="00A0170C"/>
    <w:rsid w:val="00A01727"/>
    <w:rsid w:val="00A01770"/>
    <w:rsid w:val="00A017DD"/>
    <w:rsid w:val="00A017ED"/>
    <w:rsid w:val="00A0187D"/>
    <w:rsid w:val="00A018BA"/>
    <w:rsid w:val="00A0196C"/>
    <w:rsid w:val="00A01A35"/>
    <w:rsid w:val="00A01A8A"/>
    <w:rsid w:val="00A01AE7"/>
    <w:rsid w:val="00A01B62"/>
    <w:rsid w:val="00A01B69"/>
    <w:rsid w:val="00A01BBE"/>
    <w:rsid w:val="00A01C13"/>
    <w:rsid w:val="00A01C3B"/>
    <w:rsid w:val="00A01C59"/>
    <w:rsid w:val="00A01C65"/>
    <w:rsid w:val="00A01CA9"/>
    <w:rsid w:val="00A01CD8"/>
    <w:rsid w:val="00A01D63"/>
    <w:rsid w:val="00A01D7C"/>
    <w:rsid w:val="00A01E73"/>
    <w:rsid w:val="00A01E7D"/>
    <w:rsid w:val="00A01E88"/>
    <w:rsid w:val="00A01E8E"/>
    <w:rsid w:val="00A01EE5"/>
    <w:rsid w:val="00A01EFA"/>
    <w:rsid w:val="00A01F60"/>
    <w:rsid w:val="00A01FA9"/>
    <w:rsid w:val="00A01FBC"/>
    <w:rsid w:val="00A02000"/>
    <w:rsid w:val="00A02036"/>
    <w:rsid w:val="00A0203D"/>
    <w:rsid w:val="00A0208A"/>
    <w:rsid w:val="00A020D2"/>
    <w:rsid w:val="00A020F0"/>
    <w:rsid w:val="00A0214B"/>
    <w:rsid w:val="00A021ED"/>
    <w:rsid w:val="00A0220D"/>
    <w:rsid w:val="00A022E9"/>
    <w:rsid w:val="00A0230A"/>
    <w:rsid w:val="00A0232D"/>
    <w:rsid w:val="00A02350"/>
    <w:rsid w:val="00A02373"/>
    <w:rsid w:val="00A0240C"/>
    <w:rsid w:val="00A02418"/>
    <w:rsid w:val="00A0244F"/>
    <w:rsid w:val="00A02497"/>
    <w:rsid w:val="00A024C1"/>
    <w:rsid w:val="00A024E5"/>
    <w:rsid w:val="00A024FE"/>
    <w:rsid w:val="00A02560"/>
    <w:rsid w:val="00A025CD"/>
    <w:rsid w:val="00A0262E"/>
    <w:rsid w:val="00A02647"/>
    <w:rsid w:val="00A0268D"/>
    <w:rsid w:val="00A0269E"/>
    <w:rsid w:val="00A026DE"/>
    <w:rsid w:val="00A027B3"/>
    <w:rsid w:val="00A027E3"/>
    <w:rsid w:val="00A02826"/>
    <w:rsid w:val="00A02883"/>
    <w:rsid w:val="00A028A0"/>
    <w:rsid w:val="00A028E3"/>
    <w:rsid w:val="00A0292D"/>
    <w:rsid w:val="00A02995"/>
    <w:rsid w:val="00A029E9"/>
    <w:rsid w:val="00A02A28"/>
    <w:rsid w:val="00A02A33"/>
    <w:rsid w:val="00A02A4B"/>
    <w:rsid w:val="00A02A75"/>
    <w:rsid w:val="00A02AC2"/>
    <w:rsid w:val="00A02AE0"/>
    <w:rsid w:val="00A02B02"/>
    <w:rsid w:val="00A02B5E"/>
    <w:rsid w:val="00A02C13"/>
    <w:rsid w:val="00A02C8A"/>
    <w:rsid w:val="00A02DA2"/>
    <w:rsid w:val="00A02DAF"/>
    <w:rsid w:val="00A02DBE"/>
    <w:rsid w:val="00A02DC9"/>
    <w:rsid w:val="00A02E2B"/>
    <w:rsid w:val="00A02E34"/>
    <w:rsid w:val="00A02E68"/>
    <w:rsid w:val="00A02E82"/>
    <w:rsid w:val="00A02F00"/>
    <w:rsid w:val="00A02F83"/>
    <w:rsid w:val="00A02FC8"/>
    <w:rsid w:val="00A03043"/>
    <w:rsid w:val="00A0305F"/>
    <w:rsid w:val="00A030FF"/>
    <w:rsid w:val="00A03119"/>
    <w:rsid w:val="00A03170"/>
    <w:rsid w:val="00A0317F"/>
    <w:rsid w:val="00A0319E"/>
    <w:rsid w:val="00A031B0"/>
    <w:rsid w:val="00A031EE"/>
    <w:rsid w:val="00A0321B"/>
    <w:rsid w:val="00A0326C"/>
    <w:rsid w:val="00A0329E"/>
    <w:rsid w:val="00A032BC"/>
    <w:rsid w:val="00A032C4"/>
    <w:rsid w:val="00A032DC"/>
    <w:rsid w:val="00A0331F"/>
    <w:rsid w:val="00A0336B"/>
    <w:rsid w:val="00A033A0"/>
    <w:rsid w:val="00A033DD"/>
    <w:rsid w:val="00A033EE"/>
    <w:rsid w:val="00A033F9"/>
    <w:rsid w:val="00A03407"/>
    <w:rsid w:val="00A03430"/>
    <w:rsid w:val="00A03473"/>
    <w:rsid w:val="00A03484"/>
    <w:rsid w:val="00A034C6"/>
    <w:rsid w:val="00A034C8"/>
    <w:rsid w:val="00A034FC"/>
    <w:rsid w:val="00A0350F"/>
    <w:rsid w:val="00A03582"/>
    <w:rsid w:val="00A03596"/>
    <w:rsid w:val="00A0362D"/>
    <w:rsid w:val="00A03754"/>
    <w:rsid w:val="00A03797"/>
    <w:rsid w:val="00A03798"/>
    <w:rsid w:val="00A037DE"/>
    <w:rsid w:val="00A03843"/>
    <w:rsid w:val="00A03885"/>
    <w:rsid w:val="00A038B7"/>
    <w:rsid w:val="00A038F0"/>
    <w:rsid w:val="00A038FB"/>
    <w:rsid w:val="00A0391E"/>
    <w:rsid w:val="00A03994"/>
    <w:rsid w:val="00A03A45"/>
    <w:rsid w:val="00A03AE6"/>
    <w:rsid w:val="00A03AFD"/>
    <w:rsid w:val="00A03B3A"/>
    <w:rsid w:val="00A03B67"/>
    <w:rsid w:val="00A03B6B"/>
    <w:rsid w:val="00A03B74"/>
    <w:rsid w:val="00A03B8D"/>
    <w:rsid w:val="00A03BA5"/>
    <w:rsid w:val="00A03BAF"/>
    <w:rsid w:val="00A03C12"/>
    <w:rsid w:val="00A03C82"/>
    <w:rsid w:val="00A03CA2"/>
    <w:rsid w:val="00A03CAD"/>
    <w:rsid w:val="00A03CBB"/>
    <w:rsid w:val="00A03D49"/>
    <w:rsid w:val="00A03D8D"/>
    <w:rsid w:val="00A03DE2"/>
    <w:rsid w:val="00A03E01"/>
    <w:rsid w:val="00A03E08"/>
    <w:rsid w:val="00A03E25"/>
    <w:rsid w:val="00A03E4B"/>
    <w:rsid w:val="00A03E58"/>
    <w:rsid w:val="00A03E62"/>
    <w:rsid w:val="00A03E75"/>
    <w:rsid w:val="00A03E84"/>
    <w:rsid w:val="00A03FBB"/>
    <w:rsid w:val="00A03FCD"/>
    <w:rsid w:val="00A04026"/>
    <w:rsid w:val="00A04028"/>
    <w:rsid w:val="00A04046"/>
    <w:rsid w:val="00A04061"/>
    <w:rsid w:val="00A04074"/>
    <w:rsid w:val="00A040B0"/>
    <w:rsid w:val="00A040C7"/>
    <w:rsid w:val="00A04154"/>
    <w:rsid w:val="00A0415C"/>
    <w:rsid w:val="00A041AD"/>
    <w:rsid w:val="00A041B2"/>
    <w:rsid w:val="00A041BD"/>
    <w:rsid w:val="00A041E2"/>
    <w:rsid w:val="00A0428A"/>
    <w:rsid w:val="00A042B4"/>
    <w:rsid w:val="00A042B7"/>
    <w:rsid w:val="00A042E0"/>
    <w:rsid w:val="00A0435D"/>
    <w:rsid w:val="00A0438E"/>
    <w:rsid w:val="00A0439F"/>
    <w:rsid w:val="00A043D3"/>
    <w:rsid w:val="00A04402"/>
    <w:rsid w:val="00A04504"/>
    <w:rsid w:val="00A04524"/>
    <w:rsid w:val="00A0453B"/>
    <w:rsid w:val="00A0460C"/>
    <w:rsid w:val="00A0464A"/>
    <w:rsid w:val="00A0465B"/>
    <w:rsid w:val="00A0467A"/>
    <w:rsid w:val="00A04738"/>
    <w:rsid w:val="00A0473E"/>
    <w:rsid w:val="00A04786"/>
    <w:rsid w:val="00A04792"/>
    <w:rsid w:val="00A047B8"/>
    <w:rsid w:val="00A047D6"/>
    <w:rsid w:val="00A04823"/>
    <w:rsid w:val="00A04842"/>
    <w:rsid w:val="00A048C6"/>
    <w:rsid w:val="00A04907"/>
    <w:rsid w:val="00A0490E"/>
    <w:rsid w:val="00A04979"/>
    <w:rsid w:val="00A049C1"/>
    <w:rsid w:val="00A04A01"/>
    <w:rsid w:val="00A04A32"/>
    <w:rsid w:val="00A04A60"/>
    <w:rsid w:val="00A04A7F"/>
    <w:rsid w:val="00A04ABD"/>
    <w:rsid w:val="00A04ABF"/>
    <w:rsid w:val="00A04ACA"/>
    <w:rsid w:val="00A04B84"/>
    <w:rsid w:val="00A04BC1"/>
    <w:rsid w:val="00A04BE3"/>
    <w:rsid w:val="00A04BF8"/>
    <w:rsid w:val="00A04C08"/>
    <w:rsid w:val="00A04C14"/>
    <w:rsid w:val="00A04C61"/>
    <w:rsid w:val="00A04C6C"/>
    <w:rsid w:val="00A04CE5"/>
    <w:rsid w:val="00A04D1C"/>
    <w:rsid w:val="00A04D24"/>
    <w:rsid w:val="00A04D57"/>
    <w:rsid w:val="00A04DC0"/>
    <w:rsid w:val="00A04DC3"/>
    <w:rsid w:val="00A04E74"/>
    <w:rsid w:val="00A04ED5"/>
    <w:rsid w:val="00A04F1D"/>
    <w:rsid w:val="00A04F6C"/>
    <w:rsid w:val="00A04F7C"/>
    <w:rsid w:val="00A04F9F"/>
    <w:rsid w:val="00A04FF1"/>
    <w:rsid w:val="00A050A6"/>
    <w:rsid w:val="00A050B9"/>
    <w:rsid w:val="00A0512B"/>
    <w:rsid w:val="00A0513C"/>
    <w:rsid w:val="00A05185"/>
    <w:rsid w:val="00A05188"/>
    <w:rsid w:val="00A0519A"/>
    <w:rsid w:val="00A051B1"/>
    <w:rsid w:val="00A05205"/>
    <w:rsid w:val="00A05232"/>
    <w:rsid w:val="00A05245"/>
    <w:rsid w:val="00A0524B"/>
    <w:rsid w:val="00A05298"/>
    <w:rsid w:val="00A0529C"/>
    <w:rsid w:val="00A052BD"/>
    <w:rsid w:val="00A052F8"/>
    <w:rsid w:val="00A05332"/>
    <w:rsid w:val="00A0533F"/>
    <w:rsid w:val="00A05350"/>
    <w:rsid w:val="00A0536A"/>
    <w:rsid w:val="00A05373"/>
    <w:rsid w:val="00A053D8"/>
    <w:rsid w:val="00A053DC"/>
    <w:rsid w:val="00A053FB"/>
    <w:rsid w:val="00A05446"/>
    <w:rsid w:val="00A0544C"/>
    <w:rsid w:val="00A0549D"/>
    <w:rsid w:val="00A054BD"/>
    <w:rsid w:val="00A054F8"/>
    <w:rsid w:val="00A05507"/>
    <w:rsid w:val="00A05557"/>
    <w:rsid w:val="00A05582"/>
    <w:rsid w:val="00A055BA"/>
    <w:rsid w:val="00A055EC"/>
    <w:rsid w:val="00A05658"/>
    <w:rsid w:val="00A056B3"/>
    <w:rsid w:val="00A05711"/>
    <w:rsid w:val="00A05717"/>
    <w:rsid w:val="00A05734"/>
    <w:rsid w:val="00A05774"/>
    <w:rsid w:val="00A05784"/>
    <w:rsid w:val="00A057D4"/>
    <w:rsid w:val="00A05945"/>
    <w:rsid w:val="00A05969"/>
    <w:rsid w:val="00A0596C"/>
    <w:rsid w:val="00A059AC"/>
    <w:rsid w:val="00A05A78"/>
    <w:rsid w:val="00A05AA7"/>
    <w:rsid w:val="00A05AAC"/>
    <w:rsid w:val="00A05AD9"/>
    <w:rsid w:val="00A05B49"/>
    <w:rsid w:val="00A05B5C"/>
    <w:rsid w:val="00A05B8D"/>
    <w:rsid w:val="00A05C48"/>
    <w:rsid w:val="00A05C56"/>
    <w:rsid w:val="00A05C5F"/>
    <w:rsid w:val="00A05CBC"/>
    <w:rsid w:val="00A05CFA"/>
    <w:rsid w:val="00A05D17"/>
    <w:rsid w:val="00A05D1C"/>
    <w:rsid w:val="00A05D67"/>
    <w:rsid w:val="00A05D6C"/>
    <w:rsid w:val="00A05E22"/>
    <w:rsid w:val="00A05E63"/>
    <w:rsid w:val="00A05EAF"/>
    <w:rsid w:val="00A05ED5"/>
    <w:rsid w:val="00A06014"/>
    <w:rsid w:val="00A0602B"/>
    <w:rsid w:val="00A0608A"/>
    <w:rsid w:val="00A0608C"/>
    <w:rsid w:val="00A060C1"/>
    <w:rsid w:val="00A0610B"/>
    <w:rsid w:val="00A06151"/>
    <w:rsid w:val="00A0615C"/>
    <w:rsid w:val="00A06177"/>
    <w:rsid w:val="00A06182"/>
    <w:rsid w:val="00A061CF"/>
    <w:rsid w:val="00A06230"/>
    <w:rsid w:val="00A06239"/>
    <w:rsid w:val="00A06244"/>
    <w:rsid w:val="00A0628F"/>
    <w:rsid w:val="00A062DA"/>
    <w:rsid w:val="00A06351"/>
    <w:rsid w:val="00A063D4"/>
    <w:rsid w:val="00A063E3"/>
    <w:rsid w:val="00A064A0"/>
    <w:rsid w:val="00A064BB"/>
    <w:rsid w:val="00A064DE"/>
    <w:rsid w:val="00A06563"/>
    <w:rsid w:val="00A065B0"/>
    <w:rsid w:val="00A065B2"/>
    <w:rsid w:val="00A065CF"/>
    <w:rsid w:val="00A065D5"/>
    <w:rsid w:val="00A06610"/>
    <w:rsid w:val="00A06618"/>
    <w:rsid w:val="00A06650"/>
    <w:rsid w:val="00A06683"/>
    <w:rsid w:val="00A066A1"/>
    <w:rsid w:val="00A066F7"/>
    <w:rsid w:val="00A06760"/>
    <w:rsid w:val="00A0676A"/>
    <w:rsid w:val="00A067F8"/>
    <w:rsid w:val="00A06836"/>
    <w:rsid w:val="00A06860"/>
    <w:rsid w:val="00A06872"/>
    <w:rsid w:val="00A0690A"/>
    <w:rsid w:val="00A0694D"/>
    <w:rsid w:val="00A069C2"/>
    <w:rsid w:val="00A06A9B"/>
    <w:rsid w:val="00A06AA0"/>
    <w:rsid w:val="00A06B4C"/>
    <w:rsid w:val="00A06B50"/>
    <w:rsid w:val="00A06B72"/>
    <w:rsid w:val="00A06BC1"/>
    <w:rsid w:val="00A06C0A"/>
    <w:rsid w:val="00A06C5B"/>
    <w:rsid w:val="00A06C6A"/>
    <w:rsid w:val="00A06CDD"/>
    <w:rsid w:val="00A06CF6"/>
    <w:rsid w:val="00A06D15"/>
    <w:rsid w:val="00A06D40"/>
    <w:rsid w:val="00A06D91"/>
    <w:rsid w:val="00A06E0E"/>
    <w:rsid w:val="00A06E4A"/>
    <w:rsid w:val="00A06EC8"/>
    <w:rsid w:val="00A06EEC"/>
    <w:rsid w:val="00A06F73"/>
    <w:rsid w:val="00A06FBA"/>
    <w:rsid w:val="00A06FEC"/>
    <w:rsid w:val="00A0701A"/>
    <w:rsid w:val="00A07052"/>
    <w:rsid w:val="00A070D4"/>
    <w:rsid w:val="00A070EB"/>
    <w:rsid w:val="00A07128"/>
    <w:rsid w:val="00A0712C"/>
    <w:rsid w:val="00A071D5"/>
    <w:rsid w:val="00A07229"/>
    <w:rsid w:val="00A0725E"/>
    <w:rsid w:val="00A07260"/>
    <w:rsid w:val="00A07298"/>
    <w:rsid w:val="00A072AA"/>
    <w:rsid w:val="00A072B1"/>
    <w:rsid w:val="00A072ED"/>
    <w:rsid w:val="00A073DC"/>
    <w:rsid w:val="00A073ED"/>
    <w:rsid w:val="00A073F4"/>
    <w:rsid w:val="00A0740F"/>
    <w:rsid w:val="00A07470"/>
    <w:rsid w:val="00A074D2"/>
    <w:rsid w:val="00A075C7"/>
    <w:rsid w:val="00A07602"/>
    <w:rsid w:val="00A076A8"/>
    <w:rsid w:val="00A076B2"/>
    <w:rsid w:val="00A076D3"/>
    <w:rsid w:val="00A0771F"/>
    <w:rsid w:val="00A0778D"/>
    <w:rsid w:val="00A0779D"/>
    <w:rsid w:val="00A0779E"/>
    <w:rsid w:val="00A077B6"/>
    <w:rsid w:val="00A0781A"/>
    <w:rsid w:val="00A078A9"/>
    <w:rsid w:val="00A078D7"/>
    <w:rsid w:val="00A078FD"/>
    <w:rsid w:val="00A0790D"/>
    <w:rsid w:val="00A0792A"/>
    <w:rsid w:val="00A079B6"/>
    <w:rsid w:val="00A07A02"/>
    <w:rsid w:val="00A07A4B"/>
    <w:rsid w:val="00A07A4E"/>
    <w:rsid w:val="00A07ADF"/>
    <w:rsid w:val="00A07AF7"/>
    <w:rsid w:val="00A07B00"/>
    <w:rsid w:val="00A07B2E"/>
    <w:rsid w:val="00A07B66"/>
    <w:rsid w:val="00A07BC0"/>
    <w:rsid w:val="00A07BDA"/>
    <w:rsid w:val="00A07BF7"/>
    <w:rsid w:val="00A07C11"/>
    <w:rsid w:val="00A07C66"/>
    <w:rsid w:val="00A07C6C"/>
    <w:rsid w:val="00A07CD1"/>
    <w:rsid w:val="00A07D7A"/>
    <w:rsid w:val="00A07DA2"/>
    <w:rsid w:val="00A07DEB"/>
    <w:rsid w:val="00A07DFE"/>
    <w:rsid w:val="00A07E0F"/>
    <w:rsid w:val="00A07E10"/>
    <w:rsid w:val="00A07EA7"/>
    <w:rsid w:val="00A07F10"/>
    <w:rsid w:val="00A07F14"/>
    <w:rsid w:val="00A07F5F"/>
    <w:rsid w:val="00A07F87"/>
    <w:rsid w:val="00A07F8B"/>
    <w:rsid w:val="00A1000E"/>
    <w:rsid w:val="00A10030"/>
    <w:rsid w:val="00A10147"/>
    <w:rsid w:val="00A10276"/>
    <w:rsid w:val="00A1027C"/>
    <w:rsid w:val="00A1027F"/>
    <w:rsid w:val="00A1030A"/>
    <w:rsid w:val="00A1032A"/>
    <w:rsid w:val="00A10336"/>
    <w:rsid w:val="00A10404"/>
    <w:rsid w:val="00A10458"/>
    <w:rsid w:val="00A10474"/>
    <w:rsid w:val="00A104B1"/>
    <w:rsid w:val="00A10514"/>
    <w:rsid w:val="00A1057F"/>
    <w:rsid w:val="00A1059D"/>
    <w:rsid w:val="00A105D2"/>
    <w:rsid w:val="00A105FE"/>
    <w:rsid w:val="00A10608"/>
    <w:rsid w:val="00A10620"/>
    <w:rsid w:val="00A10669"/>
    <w:rsid w:val="00A10676"/>
    <w:rsid w:val="00A106D8"/>
    <w:rsid w:val="00A107BA"/>
    <w:rsid w:val="00A107F8"/>
    <w:rsid w:val="00A10807"/>
    <w:rsid w:val="00A10837"/>
    <w:rsid w:val="00A1091F"/>
    <w:rsid w:val="00A10920"/>
    <w:rsid w:val="00A1093A"/>
    <w:rsid w:val="00A109CE"/>
    <w:rsid w:val="00A10A42"/>
    <w:rsid w:val="00A10A64"/>
    <w:rsid w:val="00A10A86"/>
    <w:rsid w:val="00A10A9F"/>
    <w:rsid w:val="00A10AD5"/>
    <w:rsid w:val="00A10B55"/>
    <w:rsid w:val="00A10B69"/>
    <w:rsid w:val="00A10BA8"/>
    <w:rsid w:val="00A10BC6"/>
    <w:rsid w:val="00A10C05"/>
    <w:rsid w:val="00A10C22"/>
    <w:rsid w:val="00A10C27"/>
    <w:rsid w:val="00A10C57"/>
    <w:rsid w:val="00A10D26"/>
    <w:rsid w:val="00A10D34"/>
    <w:rsid w:val="00A10D45"/>
    <w:rsid w:val="00A10D68"/>
    <w:rsid w:val="00A10D83"/>
    <w:rsid w:val="00A10DC4"/>
    <w:rsid w:val="00A10DC8"/>
    <w:rsid w:val="00A10E46"/>
    <w:rsid w:val="00A10ED8"/>
    <w:rsid w:val="00A10F7D"/>
    <w:rsid w:val="00A10FE3"/>
    <w:rsid w:val="00A11022"/>
    <w:rsid w:val="00A11029"/>
    <w:rsid w:val="00A11058"/>
    <w:rsid w:val="00A11064"/>
    <w:rsid w:val="00A11157"/>
    <w:rsid w:val="00A11271"/>
    <w:rsid w:val="00A112BA"/>
    <w:rsid w:val="00A112D7"/>
    <w:rsid w:val="00A112E1"/>
    <w:rsid w:val="00A11318"/>
    <w:rsid w:val="00A11367"/>
    <w:rsid w:val="00A1137A"/>
    <w:rsid w:val="00A113A8"/>
    <w:rsid w:val="00A114BA"/>
    <w:rsid w:val="00A114DF"/>
    <w:rsid w:val="00A11501"/>
    <w:rsid w:val="00A1157E"/>
    <w:rsid w:val="00A11605"/>
    <w:rsid w:val="00A1162F"/>
    <w:rsid w:val="00A1163E"/>
    <w:rsid w:val="00A11686"/>
    <w:rsid w:val="00A116BF"/>
    <w:rsid w:val="00A1171C"/>
    <w:rsid w:val="00A11796"/>
    <w:rsid w:val="00A1179B"/>
    <w:rsid w:val="00A117E3"/>
    <w:rsid w:val="00A11819"/>
    <w:rsid w:val="00A1184E"/>
    <w:rsid w:val="00A11867"/>
    <w:rsid w:val="00A1187F"/>
    <w:rsid w:val="00A118AD"/>
    <w:rsid w:val="00A118FC"/>
    <w:rsid w:val="00A11908"/>
    <w:rsid w:val="00A11918"/>
    <w:rsid w:val="00A11961"/>
    <w:rsid w:val="00A119AA"/>
    <w:rsid w:val="00A11A36"/>
    <w:rsid w:val="00A11A4E"/>
    <w:rsid w:val="00A11ABA"/>
    <w:rsid w:val="00A11B6D"/>
    <w:rsid w:val="00A11BA0"/>
    <w:rsid w:val="00A11BDA"/>
    <w:rsid w:val="00A11C1B"/>
    <w:rsid w:val="00A11C79"/>
    <w:rsid w:val="00A11CF5"/>
    <w:rsid w:val="00A11D11"/>
    <w:rsid w:val="00A11D20"/>
    <w:rsid w:val="00A11DD9"/>
    <w:rsid w:val="00A11DEB"/>
    <w:rsid w:val="00A11E1E"/>
    <w:rsid w:val="00A11EDE"/>
    <w:rsid w:val="00A11F48"/>
    <w:rsid w:val="00A11F9C"/>
    <w:rsid w:val="00A11FB1"/>
    <w:rsid w:val="00A11FEA"/>
    <w:rsid w:val="00A11FFA"/>
    <w:rsid w:val="00A12033"/>
    <w:rsid w:val="00A120C3"/>
    <w:rsid w:val="00A1212F"/>
    <w:rsid w:val="00A1213F"/>
    <w:rsid w:val="00A12185"/>
    <w:rsid w:val="00A121CC"/>
    <w:rsid w:val="00A12206"/>
    <w:rsid w:val="00A1221E"/>
    <w:rsid w:val="00A12228"/>
    <w:rsid w:val="00A1225E"/>
    <w:rsid w:val="00A122D2"/>
    <w:rsid w:val="00A12357"/>
    <w:rsid w:val="00A12371"/>
    <w:rsid w:val="00A12381"/>
    <w:rsid w:val="00A123B7"/>
    <w:rsid w:val="00A12465"/>
    <w:rsid w:val="00A12576"/>
    <w:rsid w:val="00A1259B"/>
    <w:rsid w:val="00A125D1"/>
    <w:rsid w:val="00A125D2"/>
    <w:rsid w:val="00A1263B"/>
    <w:rsid w:val="00A1264C"/>
    <w:rsid w:val="00A1265D"/>
    <w:rsid w:val="00A126B7"/>
    <w:rsid w:val="00A126EE"/>
    <w:rsid w:val="00A126F1"/>
    <w:rsid w:val="00A126F3"/>
    <w:rsid w:val="00A12742"/>
    <w:rsid w:val="00A127DE"/>
    <w:rsid w:val="00A127ED"/>
    <w:rsid w:val="00A12887"/>
    <w:rsid w:val="00A128D2"/>
    <w:rsid w:val="00A1292A"/>
    <w:rsid w:val="00A12933"/>
    <w:rsid w:val="00A129A3"/>
    <w:rsid w:val="00A129EE"/>
    <w:rsid w:val="00A12A93"/>
    <w:rsid w:val="00A12B1F"/>
    <w:rsid w:val="00A12B4A"/>
    <w:rsid w:val="00A12B77"/>
    <w:rsid w:val="00A12BE4"/>
    <w:rsid w:val="00A12BE9"/>
    <w:rsid w:val="00A12C08"/>
    <w:rsid w:val="00A12C2D"/>
    <w:rsid w:val="00A12C53"/>
    <w:rsid w:val="00A12C70"/>
    <w:rsid w:val="00A12C78"/>
    <w:rsid w:val="00A12C7B"/>
    <w:rsid w:val="00A12CC3"/>
    <w:rsid w:val="00A12CFB"/>
    <w:rsid w:val="00A12D22"/>
    <w:rsid w:val="00A12DED"/>
    <w:rsid w:val="00A12E17"/>
    <w:rsid w:val="00A12E3C"/>
    <w:rsid w:val="00A12E41"/>
    <w:rsid w:val="00A12E5F"/>
    <w:rsid w:val="00A12E72"/>
    <w:rsid w:val="00A12EC4"/>
    <w:rsid w:val="00A12EFC"/>
    <w:rsid w:val="00A12F27"/>
    <w:rsid w:val="00A12FAD"/>
    <w:rsid w:val="00A13024"/>
    <w:rsid w:val="00A13051"/>
    <w:rsid w:val="00A130AB"/>
    <w:rsid w:val="00A130CE"/>
    <w:rsid w:val="00A13126"/>
    <w:rsid w:val="00A13152"/>
    <w:rsid w:val="00A131EA"/>
    <w:rsid w:val="00A13227"/>
    <w:rsid w:val="00A1324D"/>
    <w:rsid w:val="00A132BF"/>
    <w:rsid w:val="00A132CE"/>
    <w:rsid w:val="00A13331"/>
    <w:rsid w:val="00A13351"/>
    <w:rsid w:val="00A1336B"/>
    <w:rsid w:val="00A13441"/>
    <w:rsid w:val="00A13459"/>
    <w:rsid w:val="00A1345F"/>
    <w:rsid w:val="00A13470"/>
    <w:rsid w:val="00A134DF"/>
    <w:rsid w:val="00A1351A"/>
    <w:rsid w:val="00A13579"/>
    <w:rsid w:val="00A1358C"/>
    <w:rsid w:val="00A135A9"/>
    <w:rsid w:val="00A135D2"/>
    <w:rsid w:val="00A13615"/>
    <w:rsid w:val="00A13670"/>
    <w:rsid w:val="00A136A0"/>
    <w:rsid w:val="00A13760"/>
    <w:rsid w:val="00A137D6"/>
    <w:rsid w:val="00A13810"/>
    <w:rsid w:val="00A13895"/>
    <w:rsid w:val="00A138B4"/>
    <w:rsid w:val="00A138D1"/>
    <w:rsid w:val="00A13908"/>
    <w:rsid w:val="00A13949"/>
    <w:rsid w:val="00A139A0"/>
    <w:rsid w:val="00A139F0"/>
    <w:rsid w:val="00A13A38"/>
    <w:rsid w:val="00A13A67"/>
    <w:rsid w:val="00A13A8E"/>
    <w:rsid w:val="00A13AF8"/>
    <w:rsid w:val="00A13B16"/>
    <w:rsid w:val="00A13B34"/>
    <w:rsid w:val="00A13BCD"/>
    <w:rsid w:val="00A13C20"/>
    <w:rsid w:val="00A13CD4"/>
    <w:rsid w:val="00A13E12"/>
    <w:rsid w:val="00A13E39"/>
    <w:rsid w:val="00A13E5C"/>
    <w:rsid w:val="00A13E89"/>
    <w:rsid w:val="00A13EA8"/>
    <w:rsid w:val="00A13EC6"/>
    <w:rsid w:val="00A13EDC"/>
    <w:rsid w:val="00A13F51"/>
    <w:rsid w:val="00A13F67"/>
    <w:rsid w:val="00A14027"/>
    <w:rsid w:val="00A140E7"/>
    <w:rsid w:val="00A14119"/>
    <w:rsid w:val="00A1411D"/>
    <w:rsid w:val="00A141BF"/>
    <w:rsid w:val="00A141CA"/>
    <w:rsid w:val="00A141E5"/>
    <w:rsid w:val="00A14275"/>
    <w:rsid w:val="00A142B5"/>
    <w:rsid w:val="00A14312"/>
    <w:rsid w:val="00A143E2"/>
    <w:rsid w:val="00A1440E"/>
    <w:rsid w:val="00A144E6"/>
    <w:rsid w:val="00A1450B"/>
    <w:rsid w:val="00A1450F"/>
    <w:rsid w:val="00A1453B"/>
    <w:rsid w:val="00A1458B"/>
    <w:rsid w:val="00A145AC"/>
    <w:rsid w:val="00A14603"/>
    <w:rsid w:val="00A14606"/>
    <w:rsid w:val="00A1464E"/>
    <w:rsid w:val="00A14652"/>
    <w:rsid w:val="00A1465A"/>
    <w:rsid w:val="00A1468C"/>
    <w:rsid w:val="00A1469C"/>
    <w:rsid w:val="00A147CF"/>
    <w:rsid w:val="00A1484B"/>
    <w:rsid w:val="00A148C4"/>
    <w:rsid w:val="00A14958"/>
    <w:rsid w:val="00A14965"/>
    <w:rsid w:val="00A14976"/>
    <w:rsid w:val="00A14A11"/>
    <w:rsid w:val="00A14A6E"/>
    <w:rsid w:val="00A14ACF"/>
    <w:rsid w:val="00A14AE0"/>
    <w:rsid w:val="00A14B2A"/>
    <w:rsid w:val="00A14B63"/>
    <w:rsid w:val="00A14B85"/>
    <w:rsid w:val="00A14B95"/>
    <w:rsid w:val="00A14C12"/>
    <w:rsid w:val="00A14C47"/>
    <w:rsid w:val="00A14CCC"/>
    <w:rsid w:val="00A14D0E"/>
    <w:rsid w:val="00A14D54"/>
    <w:rsid w:val="00A14D63"/>
    <w:rsid w:val="00A14DF2"/>
    <w:rsid w:val="00A14DF7"/>
    <w:rsid w:val="00A14E06"/>
    <w:rsid w:val="00A14EBD"/>
    <w:rsid w:val="00A14EC4"/>
    <w:rsid w:val="00A14EEF"/>
    <w:rsid w:val="00A14F5B"/>
    <w:rsid w:val="00A14FC2"/>
    <w:rsid w:val="00A14FC8"/>
    <w:rsid w:val="00A15015"/>
    <w:rsid w:val="00A150CD"/>
    <w:rsid w:val="00A150E4"/>
    <w:rsid w:val="00A15170"/>
    <w:rsid w:val="00A151DA"/>
    <w:rsid w:val="00A15226"/>
    <w:rsid w:val="00A1522B"/>
    <w:rsid w:val="00A15237"/>
    <w:rsid w:val="00A15248"/>
    <w:rsid w:val="00A1527E"/>
    <w:rsid w:val="00A152D2"/>
    <w:rsid w:val="00A1530A"/>
    <w:rsid w:val="00A15326"/>
    <w:rsid w:val="00A15386"/>
    <w:rsid w:val="00A15399"/>
    <w:rsid w:val="00A1539E"/>
    <w:rsid w:val="00A153FE"/>
    <w:rsid w:val="00A15430"/>
    <w:rsid w:val="00A154A1"/>
    <w:rsid w:val="00A154F9"/>
    <w:rsid w:val="00A154FE"/>
    <w:rsid w:val="00A154FF"/>
    <w:rsid w:val="00A15555"/>
    <w:rsid w:val="00A1557D"/>
    <w:rsid w:val="00A15598"/>
    <w:rsid w:val="00A155A4"/>
    <w:rsid w:val="00A155B0"/>
    <w:rsid w:val="00A1560E"/>
    <w:rsid w:val="00A15642"/>
    <w:rsid w:val="00A1567C"/>
    <w:rsid w:val="00A1569F"/>
    <w:rsid w:val="00A156F4"/>
    <w:rsid w:val="00A15733"/>
    <w:rsid w:val="00A157E2"/>
    <w:rsid w:val="00A1581B"/>
    <w:rsid w:val="00A15851"/>
    <w:rsid w:val="00A1587E"/>
    <w:rsid w:val="00A158A1"/>
    <w:rsid w:val="00A1590B"/>
    <w:rsid w:val="00A15A20"/>
    <w:rsid w:val="00A15A5D"/>
    <w:rsid w:val="00A15A72"/>
    <w:rsid w:val="00A15AD9"/>
    <w:rsid w:val="00A15AE3"/>
    <w:rsid w:val="00A15BA8"/>
    <w:rsid w:val="00A15CDA"/>
    <w:rsid w:val="00A15CF3"/>
    <w:rsid w:val="00A15D11"/>
    <w:rsid w:val="00A15D89"/>
    <w:rsid w:val="00A15DFB"/>
    <w:rsid w:val="00A15E05"/>
    <w:rsid w:val="00A15E11"/>
    <w:rsid w:val="00A15E81"/>
    <w:rsid w:val="00A15EFF"/>
    <w:rsid w:val="00A15F24"/>
    <w:rsid w:val="00A15FB6"/>
    <w:rsid w:val="00A16068"/>
    <w:rsid w:val="00A1607D"/>
    <w:rsid w:val="00A16087"/>
    <w:rsid w:val="00A160F4"/>
    <w:rsid w:val="00A160FD"/>
    <w:rsid w:val="00A1613C"/>
    <w:rsid w:val="00A16184"/>
    <w:rsid w:val="00A1627A"/>
    <w:rsid w:val="00A162F6"/>
    <w:rsid w:val="00A1633C"/>
    <w:rsid w:val="00A16341"/>
    <w:rsid w:val="00A1634F"/>
    <w:rsid w:val="00A1636C"/>
    <w:rsid w:val="00A16370"/>
    <w:rsid w:val="00A16381"/>
    <w:rsid w:val="00A163AA"/>
    <w:rsid w:val="00A16435"/>
    <w:rsid w:val="00A1645C"/>
    <w:rsid w:val="00A165FD"/>
    <w:rsid w:val="00A16652"/>
    <w:rsid w:val="00A1668F"/>
    <w:rsid w:val="00A16698"/>
    <w:rsid w:val="00A1672D"/>
    <w:rsid w:val="00A1678C"/>
    <w:rsid w:val="00A1678E"/>
    <w:rsid w:val="00A16790"/>
    <w:rsid w:val="00A16794"/>
    <w:rsid w:val="00A16798"/>
    <w:rsid w:val="00A167F3"/>
    <w:rsid w:val="00A16816"/>
    <w:rsid w:val="00A16837"/>
    <w:rsid w:val="00A1684A"/>
    <w:rsid w:val="00A16870"/>
    <w:rsid w:val="00A16890"/>
    <w:rsid w:val="00A16896"/>
    <w:rsid w:val="00A16916"/>
    <w:rsid w:val="00A1694B"/>
    <w:rsid w:val="00A169C2"/>
    <w:rsid w:val="00A16A0E"/>
    <w:rsid w:val="00A16A5A"/>
    <w:rsid w:val="00A16A84"/>
    <w:rsid w:val="00A16A99"/>
    <w:rsid w:val="00A16B3C"/>
    <w:rsid w:val="00A16BF9"/>
    <w:rsid w:val="00A16CA3"/>
    <w:rsid w:val="00A16D16"/>
    <w:rsid w:val="00A16D49"/>
    <w:rsid w:val="00A16D64"/>
    <w:rsid w:val="00A16DD5"/>
    <w:rsid w:val="00A16DF1"/>
    <w:rsid w:val="00A16E09"/>
    <w:rsid w:val="00A16E0F"/>
    <w:rsid w:val="00A16E7E"/>
    <w:rsid w:val="00A16EEF"/>
    <w:rsid w:val="00A16F28"/>
    <w:rsid w:val="00A16F39"/>
    <w:rsid w:val="00A16F5E"/>
    <w:rsid w:val="00A16FB7"/>
    <w:rsid w:val="00A17008"/>
    <w:rsid w:val="00A1701F"/>
    <w:rsid w:val="00A17074"/>
    <w:rsid w:val="00A17089"/>
    <w:rsid w:val="00A170D5"/>
    <w:rsid w:val="00A170E0"/>
    <w:rsid w:val="00A171D9"/>
    <w:rsid w:val="00A1727A"/>
    <w:rsid w:val="00A172D1"/>
    <w:rsid w:val="00A1730E"/>
    <w:rsid w:val="00A17334"/>
    <w:rsid w:val="00A17338"/>
    <w:rsid w:val="00A17347"/>
    <w:rsid w:val="00A1753C"/>
    <w:rsid w:val="00A175D3"/>
    <w:rsid w:val="00A1761C"/>
    <w:rsid w:val="00A17649"/>
    <w:rsid w:val="00A176C1"/>
    <w:rsid w:val="00A176EA"/>
    <w:rsid w:val="00A1771E"/>
    <w:rsid w:val="00A17720"/>
    <w:rsid w:val="00A1776E"/>
    <w:rsid w:val="00A177A5"/>
    <w:rsid w:val="00A177CB"/>
    <w:rsid w:val="00A17802"/>
    <w:rsid w:val="00A17805"/>
    <w:rsid w:val="00A17821"/>
    <w:rsid w:val="00A1782B"/>
    <w:rsid w:val="00A17857"/>
    <w:rsid w:val="00A17949"/>
    <w:rsid w:val="00A1797C"/>
    <w:rsid w:val="00A17991"/>
    <w:rsid w:val="00A179C5"/>
    <w:rsid w:val="00A17A22"/>
    <w:rsid w:val="00A17A38"/>
    <w:rsid w:val="00A17A65"/>
    <w:rsid w:val="00A17B02"/>
    <w:rsid w:val="00A17BA8"/>
    <w:rsid w:val="00A17BF4"/>
    <w:rsid w:val="00A17C1C"/>
    <w:rsid w:val="00A17C9A"/>
    <w:rsid w:val="00A17CED"/>
    <w:rsid w:val="00A17D26"/>
    <w:rsid w:val="00A17DA2"/>
    <w:rsid w:val="00A17DCC"/>
    <w:rsid w:val="00A17DFA"/>
    <w:rsid w:val="00A17E01"/>
    <w:rsid w:val="00A17E16"/>
    <w:rsid w:val="00A17E1C"/>
    <w:rsid w:val="00A17E31"/>
    <w:rsid w:val="00A17E34"/>
    <w:rsid w:val="00A17EAE"/>
    <w:rsid w:val="00A17F26"/>
    <w:rsid w:val="00A17FB3"/>
    <w:rsid w:val="00A20009"/>
    <w:rsid w:val="00A20050"/>
    <w:rsid w:val="00A20087"/>
    <w:rsid w:val="00A200C4"/>
    <w:rsid w:val="00A200D9"/>
    <w:rsid w:val="00A200DC"/>
    <w:rsid w:val="00A2010E"/>
    <w:rsid w:val="00A20270"/>
    <w:rsid w:val="00A202D9"/>
    <w:rsid w:val="00A202DB"/>
    <w:rsid w:val="00A20301"/>
    <w:rsid w:val="00A2037D"/>
    <w:rsid w:val="00A203E4"/>
    <w:rsid w:val="00A2045C"/>
    <w:rsid w:val="00A20465"/>
    <w:rsid w:val="00A20468"/>
    <w:rsid w:val="00A204B2"/>
    <w:rsid w:val="00A20551"/>
    <w:rsid w:val="00A2055C"/>
    <w:rsid w:val="00A20598"/>
    <w:rsid w:val="00A205A4"/>
    <w:rsid w:val="00A205AE"/>
    <w:rsid w:val="00A205B0"/>
    <w:rsid w:val="00A205C8"/>
    <w:rsid w:val="00A205D1"/>
    <w:rsid w:val="00A205E2"/>
    <w:rsid w:val="00A20624"/>
    <w:rsid w:val="00A2066C"/>
    <w:rsid w:val="00A20798"/>
    <w:rsid w:val="00A2080D"/>
    <w:rsid w:val="00A20816"/>
    <w:rsid w:val="00A20856"/>
    <w:rsid w:val="00A208EC"/>
    <w:rsid w:val="00A20970"/>
    <w:rsid w:val="00A2099A"/>
    <w:rsid w:val="00A209BA"/>
    <w:rsid w:val="00A20A9E"/>
    <w:rsid w:val="00A20AC7"/>
    <w:rsid w:val="00A20B7F"/>
    <w:rsid w:val="00A20BB6"/>
    <w:rsid w:val="00A20C05"/>
    <w:rsid w:val="00A20C3B"/>
    <w:rsid w:val="00A20C40"/>
    <w:rsid w:val="00A20C5A"/>
    <w:rsid w:val="00A20C8B"/>
    <w:rsid w:val="00A20D3B"/>
    <w:rsid w:val="00A20D59"/>
    <w:rsid w:val="00A20D99"/>
    <w:rsid w:val="00A20DA1"/>
    <w:rsid w:val="00A20DDC"/>
    <w:rsid w:val="00A20E2B"/>
    <w:rsid w:val="00A20E65"/>
    <w:rsid w:val="00A20E84"/>
    <w:rsid w:val="00A20EA8"/>
    <w:rsid w:val="00A20F2B"/>
    <w:rsid w:val="00A20FD8"/>
    <w:rsid w:val="00A20FDE"/>
    <w:rsid w:val="00A20FE9"/>
    <w:rsid w:val="00A21067"/>
    <w:rsid w:val="00A21099"/>
    <w:rsid w:val="00A21150"/>
    <w:rsid w:val="00A21163"/>
    <w:rsid w:val="00A21228"/>
    <w:rsid w:val="00A21238"/>
    <w:rsid w:val="00A2123A"/>
    <w:rsid w:val="00A21240"/>
    <w:rsid w:val="00A2134A"/>
    <w:rsid w:val="00A213B4"/>
    <w:rsid w:val="00A213D6"/>
    <w:rsid w:val="00A21413"/>
    <w:rsid w:val="00A2141E"/>
    <w:rsid w:val="00A21457"/>
    <w:rsid w:val="00A214AE"/>
    <w:rsid w:val="00A214B0"/>
    <w:rsid w:val="00A214C9"/>
    <w:rsid w:val="00A21586"/>
    <w:rsid w:val="00A21626"/>
    <w:rsid w:val="00A21696"/>
    <w:rsid w:val="00A216B4"/>
    <w:rsid w:val="00A216FE"/>
    <w:rsid w:val="00A217CE"/>
    <w:rsid w:val="00A2180C"/>
    <w:rsid w:val="00A2188B"/>
    <w:rsid w:val="00A2190C"/>
    <w:rsid w:val="00A21945"/>
    <w:rsid w:val="00A21961"/>
    <w:rsid w:val="00A219D8"/>
    <w:rsid w:val="00A21A4E"/>
    <w:rsid w:val="00A21AA2"/>
    <w:rsid w:val="00A21ADB"/>
    <w:rsid w:val="00A21B0E"/>
    <w:rsid w:val="00A21B1C"/>
    <w:rsid w:val="00A21B2C"/>
    <w:rsid w:val="00A21B80"/>
    <w:rsid w:val="00A21BE7"/>
    <w:rsid w:val="00A21BFF"/>
    <w:rsid w:val="00A21C87"/>
    <w:rsid w:val="00A21CBD"/>
    <w:rsid w:val="00A21CF6"/>
    <w:rsid w:val="00A21DD1"/>
    <w:rsid w:val="00A21E13"/>
    <w:rsid w:val="00A21E73"/>
    <w:rsid w:val="00A21E9E"/>
    <w:rsid w:val="00A21EAF"/>
    <w:rsid w:val="00A21EB2"/>
    <w:rsid w:val="00A21F2C"/>
    <w:rsid w:val="00A21FB5"/>
    <w:rsid w:val="00A21FF4"/>
    <w:rsid w:val="00A22023"/>
    <w:rsid w:val="00A2204D"/>
    <w:rsid w:val="00A22073"/>
    <w:rsid w:val="00A22091"/>
    <w:rsid w:val="00A22117"/>
    <w:rsid w:val="00A22142"/>
    <w:rsid w:val="00A22144"/>
    <w:rsid w:val="00A221A1"/>
    <w:rsid w:val="00A221C4"/>
    <w:rsid w:val="00A221CB"/>
    <w:rsid w:val="00A22204"/>
    <w:rsid w:val="00A2222F"/>
    <w:rsid w:val="00A22285"/>
    <w:rsid w:val="00A2229B"/>
    <w:rsid w:val="00A222FA"/>
    <w:rsid w:val="00A2231B"/>
    <w:rsid w:val="00A2236A"/>
    <w:rsid w:val="00A223A2"/>
    <w:rsid w:val="00A223DD"/>
    <w:rsid w:val="00A223E3"/>
    <w:rsid w:val="00A224C1"/>
    <w:rsid w:val="00A2253C"/>
    <w:rsid w:val="00A225F3"/>
    <w:rsid w:val="00A226A7"/>
    <w:rsid w:val="00A226B8"/>
    <w:rsid w:val="00A2272D"/>
    <w:rsid w:val="00A2276C"/>
    <w:rsid w:val="00A227EF"/>
    <w:rsid w:val="00A22803"/>
    <w:rsid w:val="00A2282F"/>
    <w:rsid w:val="00A22846"/>
    <w:rsid w:val="00A22947"/>
    <w:rsid w:val="00A2298D"/>
    <w:rsid w:val="00A229EC"/>
    <w:rsid w:val="00A22A40"/>
    <w:rsid w:val="00A22AB5"/>
    <w:rsid w:val="00A22AE0"/>
    <w:rsid w:val="00A22B4E"/>
    <w:rsid w:val="00A22B61"/>
    <w:rsid w:val="00A22B84"/>
    <w:rsid w:val="00A22BBC"/>
    <w:rsid w:val="00A22BED"/>
    <w:rsid w:val="00A22C47"/>
    <w:rsid w:val="00A22C5F"/>
    <w:rsid w:val="00A22C78"/>
    <w:rsid w:val="00A22C7F"/>
    <w:rsid w:val="00A22CE7"/>
    <w:rsid w:val="00A22D15"/>
    <w:rsid w:val="00A22D5A"/>
    <w:rsid w:val="00A22D6B"/>
    <w:rsid w:val="00A22DA1"/>
    <w:rsid w:val="00A22DA9"/>
    <w:rsid w:val="00A22DE9"/>
    <w:rsid w:val="00A22E46"/>
    <w:rsid w:val="00A22EDC"/>
    <w:rsid w:val="00A22EE0"/>
    <w:rsid w:val="00A22EE1"/>
    <w:rsid w:val="00A22FB3"/>
    <w:rsid w:val="00A22FE4"/>
    <w:rsid w:val="00A22FEC"/>
    <w:rsid w:val="00A2301C"/>
    <w:rsid w:val="00A23035"/>
    <w:rsid w:val="00A23069"/>
    <w:rsid w:val="00A230B7"/>
    <w:rsid w:val="00A230CA"/>
    <w:rsid w:val="00A230FA"/>
    <w:rsid w:val="00A23125"/>
    <w:rsid w:val="00A23150"/>
    <w:rsid w:val="00A23209"/>
    <w:rsid w:val="00A23222"/>
    <w:rsid w:val="00A2327D"/>
    <w:rsid w:val="00A232E0"/>
    <w:rsid w:val="00A2334A"/>
    <w:rsid w:val="00A23355"/>
    <w:rsid w:val="00A23376"/>
    <w:rsid w:val="00A23388"/>
    <w:rsid w:val="00A2338B"/>
    <w:rsid w:val="00A233C1"/>
    <w:rsid w:val="00A233D7"/>
    <w:rsid w:val="00A233DF"/>
    <w:rsid w:val="00A23430"/>
    <w:rsid w:val="00A234D4"/>
    <w:rsid w:val="00A2358D"/>
    <w:rsid w:val="00A235B0"/>
    <w:rsid w:val="00A23613"/>
    <w:rsid w:val="00A2362F"/>
    <w:rsid w:val="00A23642"/>
    <w:rsid w:val="00A2368C"/>
    <w:rsid w:val="00A23715"/>
    <w:rsid w:val="00A23736"/>
    <w:rsid w:val="00A2375D"/>
    <w:rsid w:val="00A2377C"/>
    <w:rsid w:val="00A237FE"/>
    <w:rsid w:val="00A23814"/>
    <w:rsid w:val="00A23841"/>
    <w:rsid w:val="00A23880"/>
    <w:rsid w:val="00A23890"/>
    <w:rsid w:val="00A23897"/>
    <w:rsid w:val="00A238E3"/>
    <w:rsid w:val="00A2391B"/>
    <w:rsid w:val="00A2396E"/>
    <w:rsid w:val="00A239A7"/>
    <w:rsid w:val="00A239E3"/>
    <w:rsid w:val="00A23A27"/>
    <w:rsid w:val="00A23A93"/>
    <w:rsid w:val="00A23A96"/>
    <w:rsid w:val="00A23AA4"/>
    <w:rsid w:val="00A23AAA"/>
    <w:rsid w:val="00A23AD4"/>
    <w:rsid w:val="00A23BB9"/>
    <w:rsid w:val="00A23BD8"/>
    <w:rsid w:val="00A23BE3"/>
    <w:rsid w:val="00A23C04"/>
    <w:rsid w:val="00A23C06"/>
    <w:rsid w:val="00A23C3A"/>
    <w:rsid w:val="00A23C7F"/>
    <w:rsid w:val="00A23CF0"/>
    <w:rsid w:val="00A23D03"/>
    <w:rsid w:val="00A23D69"/>
    <w:rsid w:val="00A23D6F"/>
    <w:rsid w:val="00A23D8B"/>
    <w:rsid w:val="00A23DC3"/>
    <w:rsid w:val="00A23EA2"/>
    <w:rsid w:val="00A23EC9"/>
    <w:rsid w:val="00A23ECD"/>
    <w:rsid w:val="00A23F56"/>
    <w:rsid w:val="00A23F6B"/>
    <w:rsid w:val="00A23FB5"/>
    <w:rsid w:val="00A24010"/>
    <w:rsid w:val="00A24015"/>
    <w:rsid w:val="00A2406C"/>
    <w:rsid w:val="00A2408E"/>
    <w:rsid w:val="00A2411C"/>
    <w:rsid w:val="00A24181"/>
    <w:rsid w:val="00A24194"/>
    <w:rsid w:val="00A241AE"/>
    <w:rsid w:val="00A241BA"/>
    <w:rsid w:val="00A241D0"/>
    <w:rsid w:val="00A242BD"/>
    <w:rsid w:val="00A242CA"/>
    <w:rsid w:val="00A24304"/>
    <w:rsid w:val="00A24306"/>
    <w:rsid w:val="00A24376"/>
    <w:rsid w:val="00A24387"/>
    <w:rsid w:val="00A24390"/>
    <w:rsid w:val="00A243A0"/>
    <w:rsid w:val="00A243B1"/>
    <w:rsid w:val="00A243D4"/>
    <w:rsid w:val="00A2443C"/>
    <w:rsid w:val="00A2445E"/>
    <w:rsid w:val="00A244A8"/>
    <w:rsid w:val="00A244C4"/>
    <w:rsid w:val="00A24535"/>
    <w:rsid w:val="00A24559"/>
    <w:rsid w:val="00A2457A"/>
    <w:rsid w:val="00A2458B"/>
    <w:rsid w:val="00A245CD"/>
    <w:rsid w:val="00A245ED"/>
    <w:rsid w:val="00A2461E"/>
    <w:rsid w:val="00A2462A"/>
    <w:rsid w:val="00A24646"/>
    <w:rsid w:val="00A24653"/>
    <w:rsid w:val="00A246BD"/>
    <w:rsid w:val="00A246F4"/>
    <w:rsid w:val="00A2472D"/>
    <w:rsid w:val="00A2474F"/>
    <w:rsid w:val="00A24782"/>
    <w:rsid w:val="00A24788"/>
    <w:rsid w:val="00A247F0"/>
    <w:rsid w:val="00A2485E"/>
    <w:rsid w:val="00A248E0"/>
    <w:rsid w:val="00A24986"/>
    <w:rsid w:val="00A2498B"/>
    <w:rsid w:val="00A249B2"/>
    <w:rsid w:val="00A249DC"/>
    <w:rsid w:val="00A249FD"/>
    <w:rsid w:val="00A24A41"/>
    <w:rsid w:val="00A24A92"/>
    <w:rsid w:val="00A24B88"/>
    <w:rsid w:val="00A24B9B"/>
    <w:rsid w:val="00A24BFB"/>
    <w:rsid w:val="00A24C07"/>
    <w:rsid w:val="00A24C5B"/>
    <w:rsid w:val="00A24C6F"/>
    <w:rsid w:val="00A24C75"/>
    <w:rsid w:val="00A24CA9"/>
    <w:rsid w:val="00A24CF5"/>
    <w:rsid w:val="00A24D00"/>
    <w:rsid w:val="00A24D42"/>
    <w:rsid w:val="00A24D72"/>
    <w:rsid w:val="00A24D9B"/>
    <w:rsid w:val="00A24DB2"/>
    <w:rsid w:val="00A24E06"/>
    <w:rsid w:val="00A24E61"/>
    <w:rsid w:val="00A24EEC"/>
    <w:rsid w:val="00A25043"/>
    <w:rsid w:val="00A25076"/>
    <w:rsid w:val="00A25078"/>
    <w:rsid w:val="00A250AF"/>
    <w:rsid w:val="00A250DE"/>
    <w:rsid w:val="00A25107"/>
    <w:rsid w:val="00A25160"/>
    <w:rsid w:val="00A25167"/>
    <w:rsid w:val="00A25172"/>
    <w:rsid w:val="00A25207"/>
    <w:rsid w:val="00A25212"/>
    <w:rsid w:val="00A2524E"/>
    <w:rsid w:val="00A252E0"/>
    <w:rsid w:val="00A252EA"/>
    <w:rsid w:val="00A25343"/>
    <w:rsid w:val="00A25432"/>
    <w:rsid w:val="00A2543E"/>
    <w:rsid w:val="00A254B0"/>
    <w:rsid w:val="00A25515"/>
    <w:rsid w:val="00A25528"/>
    <w:rsid w:val="00A2553F"/>
    <w:rsid w:val="00A255DD"/>
    <w:rsid w:val="00A25621"/>
    <w:rsid w:val="00A25662"/>
    <w:rsid w:val="00A2566F"/>
    <w:rsid w:val="00A25674"/>
    <w:rsid w:val="00A25677"/>
    <w:rsid w:val="00A256C1"/>
    <w:rsid w:val="00A256FD"/>
    <w:rsid w:val="00A25762"/>
    <w:rsid w:val="00A257BA"/>
    <w:rsid w:val="00A25821"/>
    <w:rsid w:val="00A25839"/>
    <w:rsid w:val="00A25842"/>
    <w:rsid w:val="00A2584F"/>
    <w:rsid w:val="00A2589C"/>
    <w:rsid w:val="00A258D9"/>
    <w:rsid w:val="00A25974"/>
    <w:rsid w:val="00A259EA"/>
    <w:rsid w:val="00A25A97"/>
    <w:rsid w:val="00A25A9A"/>
    <w:rsid w:val="00A25AA3"/>
    <w:rsid w:val="00A25ACA"/>
    <w:rsid w:val="00A25ADA"/>
    <w:rsid w:val="00A25AE5"/>
    <w:rsid w:val="00A25AE9"/>
    <w:rsid w:val="00A25B3F"/>
    <w:rsid w:val="00A25B6D"/>
    <w:rsid w:val="00A25BA8"/>
    <w:rsid w:val="00A25BBB"/>
    <w:rsid w:val="00A25C6B"/>
    <w:rsid w:val="00A25D19"/>
    <w:rsid w:val="00A25D2A"/>
    <w:rsid w:val="00A25D3A"/>
    <w:rsid w:val="00A25D6A"/>
    <w:rsid w:val="00A25DAE"/>
    <w:rsid w:val="00A25DB0"/>
    <w:rsid w:val="00A25DF5"/>
    <w:rsid w:val="00A25E33"/>
    <w:rsid w:val="00A25EA2"/>
    <w:rsid w:val="00A25EA6"/>
    <w:rsid w:val="00A25F11"/>
    <w:rsid w:val="00A25F3C"/>
    <w:rsid w:val="00A25F57"/>
    <w:rsid w:val="00A26096"/>
    <w:rsid w:val="00A260BF"/>
    <w:rsid w:val="00A260D8"/>
    <w:rsid w:val="00A260D9"/>
    <w:rsid w:val="00A260F9"/>
    <w:rsid w:val="00A2614F"/>
    <w:rsid w:val="00A2618E"/>
    <w:rsid w:val="00A261AF"/>
    <w:rsid w:val="00A261D8"/>
    <w:rsid w:val="00A261E4"/>
    <w:rsid w:val="00A26215"/>
    <w:rsid w:val="00A262A5"/>
    <w:rsid w:val="00A262AA"/>
    <w:rsid w:val="00A26384"/>
    <w:rsid w:val="00A2638F"/>
    <w:rsid w:val="00A263BC"/>
    <w:rsid w:val="00A2646A"/>
    <w:rsid w:val="00A26497"/>
    <w:rsid w:val="00A264B1"/>
    <w:rsid w:val="00A264FE"/>
    <w:rsid w:val="00A26530"/>
    <w:rsid w:val="00A2653D"/>
    <w:rsid w:val="00A26577"/>
    <w:rsid w:val="00A2657E"/>
    <w:rsid w:val="00A2662C"/>
    <w:rsid w:val="00A266BA"/>
    <w:rsid w:val="00A26758"/>
    <w:rsid w:val="00A2676E"/>
    <w:rsid w:val="00A26812"/>
    <w:rsid w:val="00A26838"/>
    <w:rsid w:val="00A268AA"/>
    <w:rsid w:val="00A268EA"/>
    <w:rsid w:val="00A2697A"/>
    <w:rsid w:val="00A2699A"/>
    <w:rsid w:val="00A269C0"/>
    <w:rsid w:val="00A269C1"/>
    <w:rsid w:val="00A269CD"/>
    <w:rsid w:val="00A26A09"/>
    <w:rsid w:val="00A26A4A"/>
    <w:rsid w:val="00A26A6F"/>
    <w:rsid w:val="00A26AE1"/>
    <w:rsid w:val="00A26B12"/>
    <w:rsid w:val="00A26B3D"/>
    <w:rsid w:val="00A26B49"/>
    <w:rsid w:val="00A26B4C"/>
    <w:rsid w:val="00A26B54"/>
    <w:rsid w:val="00A26B5B"/>
    <w:rsid w:val="00A26BA9"/>
    <w:rsid w:val="00A26BB9"/>
    <w:rsid w:val="00A26BBB"/>
    <w:rsid w:val="00A26BDD"/>
    <w:rsid w:val="00A26BE6"/>
    <w:rsid w:val="00A26C25"/>
    <w:rsid w:val="00A26C42"/>
    <w:rsid w:val="00A26CB9"/>
    <w:rsid w:val="00A26CD4"/>
    <w:rsid w:val="00A26CEF"/>
    <w:rsid w:val="00A26D14"/>
    <w:rsid w:val="00A26D28"/>
    <w:rsid w:val="00A26D4F"/>
    <w:rsid w:val="00A26D52"/>
    <w:rsid w:val="00A26D8E"/>
    <w:rsid w:val="00A26DF3"/>
    <w:rsid w:val="00A26DFF"/>
    <w:rsid w:val="00A26E0E"/>
    <w:rsid w:val="00A26EB9"/>
    <w:rsid w:val="00A26EC3"/>
    <w:rsid w:val="00A26F78"/>
    <w:rsid w:val="00A26FBD"/>
    <w:rsid w:val="00A27027"/>
    <w:rsid w:val="00A270F9"/>
    <w:rsid w:val="00A270FF"/>
    <w:rsid w:val="00A271F6"/>
    <w:rsid w:val="00A27209"/>
    <w:rsid w:val="00A2727C"/>
    <w:rsid w:val="00A272BD"/>
    <w:rsid w:val="00A272DC"/>
    <w:rsid w:val="00A2736F"/>
    <w:rsid w:val="00A273C3"/>
    <w:rsid w:val="00A2741D"/>
    <w:rsid w:val="00A27423"/>
    <w:rsid w:val="00A27432"/>
    <w:rsid w:val="00A2743E"/>
    <w:rsid w:val="00A27468"/>
    <w:rsid w:val="00A2747F"/>
    <w:rsid w:val="00A27568"/>
    <w:rsid w:val="00A2757C"/>
    <w:rsid w:val="00A275BF"/>
    <w:rsid w:val="00A275E6"/>
    <w:rsid w:val="00A275E9"/>
    <w:rsid w:val="00A275F5"/>
    <w:rsid w:val="00A2761D"/>
    <w:rsid w:val="00A27636"/>
    <w:rsid w:val="00A27646"/>
    <w:rsid w:val="00A2764F"/>
    <w:rsid w:val="00A2775A"/>
    <w:rsid w:val="00A277C7"/>
    <w:rsid w:val="00A277EA"/>
    <w:rsid w:val="00A27950"/>
    <w:rsid w:val="00A2796B"/>
    <w:rsid w:val="00A27989"/>
    <w:rsid w:val="00A27A07"/>
    <w:rsid w:val="00A27A1E"/>
    <w:rsid w:val="00A27A1F"/>
    <w:rsid w:val="00A27A2D"/>
    <w:rsid w:val="00A27A3A"/>
    <w:rsid w:val="00A27AD5"/>
    <w:rsid w:val="00A27B08"/>
    <w:rsid w:val="00A27B78"/>
    <w:rsid w:val="00A27BA5"/>
    <w:rsid w:val="00A27C4D"/>
    <w:rsid w:val="00A27C6F"/>
    <w:rsid w:val="00A27CBF"/>
    <w:rsid w:val="00A27CC1"/>
    <w:rsid w:val="00A27CEE"/>
    <w:rsid w:val="00A27D5D"/>
    <w:rsid w:val="00A27D75"/>
    <w:rsid w:val="00A27D79"/>
    <w:rsid w:val="00A27DAE"/>
    <w:rsid w:val="00A27DC3"/>
    <w:rsid w:val="00A27E6A"/>
    <w:rsid w:val="00A27E86"/>
    <w:rsid w:val="00A27EC9"/>
    <w:rsid w:val="00A27EE4"/>
    <w:rsid w:val="00A27EFE"/>
    <w:rsid w:val="00A27F0A"/>
    <w:rsid w:val="00A27F1B"/>
    <w:rsid w:val="00A27F76"/>
    <w:rsid w:val="00A27F84"/>
    <w:rsid w:val="00A27F86"/>
    <w:rsid w:val="00A27FBA"/>
    <w:rsid w:val="00A27FC5"/>
    <w:rsid w:val="00A27FF2"/>
    <w:rsid w:val="00A30031"/>
    <w:rsid w:val="00A3006B"/>
    <w:rsid w:val="00A3008F"/>
    <w:rsid w:val="00A300CE"/>
    <w:rsid w:val="00A300E1"/>
    <w:rsid w:val="00A30115"/>
    <w:rsid w:val="00A30126"/>
    <w:rsid w:val="00A30128"/>
    <w:rsid w:val="00A3015E"/>
    <w:rsid w:val="00A30186"/>
    <w:rsid w:val="00A30199"/>
    <w:rsid w:val="00A301D3"/>
    <w:rsid w:val="00A3021F"/>
    <w:rsid w:val="00A30243"/>
    <w:rsid w:val="00A3027B"/>
    <w:rsid w:val="00A302A0"/>
    <w:rsid w:val="00A302AB"/>
    <w:rsid w:val="00A303C7"/>
    <w:rsid w:val="00A30413"/>
    <w:rsid w:val="00A304AA"/>
    <w:rsid w:val="00A304B6"/>
    <w:rsid w:val="00A304E9"/>
    <w:rsid w:val="00A30513"/>
    <w:rsid w:val="00A305A1"/>
    <w:rsid w:val="00A305D8"/>
    <w:rsid w:val="00A30621"/>
    <w:rsid w:val="00A30667"/>
    <w:rsid w:val="00A306F6"/>
    <w:rsid w:val="00A3073E"/>
    <w:rsid w:val="00A307A2"/>
    <w:rsid w:val="00A307DD"/>
    <w:rsid w:val="00A3081C"/>
    <w:rsid w:val="00A30834"/>
    <w:rsid w:val="00A308C0"/>
    <w:rsid w:val="00A3094B"/>
    <w:rsid w:val="00A30953"/>
    <w:rsid w:val="00A30965"/>
    <w:rsid w:val="00A30982"/>
    <w:rsid w:val="00A30987"/>
    <w:rsid w:val="00A309A4"/>
    <w:rsid w:val="00A309D2"/>
    <w:rsid w:val="00A309F2"/>
    <w:rsid w:val="00A30A29"/>
    <w:rsid w:val="00A30A31"/>
    <w:rsid w:val="00A30A55"/>
    <w:rsid w:val="00A30A6B"/>
    <w:rsid w:val="00A30A73"/>
    <w:rsid w:val="00A30A7A"/>
    <w:rsid w:val="00A30B2A"/>
    <w:rsid w:val="00A30B89"/>
    <w:rsid w:val="00A30B9D"/>
    <w:rsid w:val="00A30BDE"/>
    <w:rsid w:val="00A30BE8"/>
    <w:rsid w:val="00A30BFB"/>
    <w:rsid w:val="00A30C25"/>
    <w:rsid w:val="00A30C56"/>
    <w:rsid w:val="00A30CBC"/>
    <w:rsid w:val="00A30CFD"/>
    <w:rsid w:val="00A30DFD"/>
    <w:rsid w:val="00A30E68"/>
    <w:rsid w:val="00A30E8D"/>
    <w:rsid w:val="00A30EB2"/>
    <w:rsid w:val="00A30ECA"/>
    <w:rsid w:val="00A30EFC"/>
    <w:rsid w:val="00A30F10"/>
    <w:rsid w:val="00A30F53"/>
    <w:rsid w:val="00A30F5A"/>
    <w:rsid w:val="00A30F89"/>
    <w:rsid w:val="00A30F98"/>
    <w:rsid w:val="00A30FE5"/>
    <w:rsid w:val="00A31067"/>
    <w:rsid w:val="00A31098"/>
    <w:rsid w:val="00A310D4"/>
    <w:rsid w:val="00A310E3"/>
    <w:rsid w:val="00A3116B"/>
    <w:rsid w:val="00A31232"/>
    <w:rsid w:val="00A3124C"/>
    <w:rsid w:val="00A3129E"/>
    <w:rsid w:val="00A312E9"/>
    <w:rsid w:val="00A31304"/>
    <w:rsid w:val="00A31359"/>
    <w:rsid w:val="00A3141A"/>
    <w:rsid w:val="00A31461"/>
    <w:rsid w:val="00A314A3"/>
    <w:rsid w:val="00A314C3"/>
    <w:rsid w:val="00A3153F"/>
    <w:rsid w:val="00A31564"/>
    <w:rsid w:val="00A3156B"/>
    <w:rsid w:val="00A31575"/>
    <w:rsid w:val="00A31588"/>
    <w:rsid w:val="00A315A0"/>
    <w:rsid w:val="00A315D1"/>
    <w:rsid w:val="00A315EB"/>
    <w:rsid w:val="00A315FB"/>
    <w:rsid w:val="00A31611"/>
    <w:rsid w:val="00A3164F"/>
    <w:rsid w:val="00A31713"/>
    <w:rsid w:val="00A31789"/>
    <w:rsid w:val="00A31796"/>
    <w:rsid w:val="00A317A3"/>
    <w:rsid w:val="00A317DF"/>
    <w:rsid w:val="00A31896"/>
    <w:rsid w:val="00A318E4"/>
    <w:rsid w:val="00A318FE"/>
    <w:rsid w:val="00A31914"/>
    <w:rsid w:val="00A31915"/>
    <w:rsid w:val="00A3199C"/>
    <w:rsid w:val="00A319A8"/>
    <w:rsid w:val="00A319EE"/>
    <w:rsid w:val="00A31A53"/>
    <w:rsid w:val="00A31A7C"/>
    <w:rsid w:val="00A31B08"/>
    <w:rsid w:val="00A31B0F"/>
    <w:rsid w:val="00A31B52"/>
    <w:rsid w:val="00A31B60"/>
    <w:rsid w:val="00A31B84"/>
    <w:rsid w:val="00A31BD7"/>
    <w:rsid w:val="00A31BDA"/>
    <w:rsid w:val="00A31C10"/>
    <w:rsid w:val="00A31C3B"/>
    <w:rsid w:val="00A31C63"/>
    <w:rsid w:val="00A31CD6"/>
    <w:rsid w:val="00A31CD7"/>
    <w:rsid w:val="00A31D0F"/>
    <w:rsid w:val="00A31D1E"/>
    <w:rsid w:val="00A31D4A"/>
    <w:rsid w:val="00A31DAC"/>
    <w:rsid w:val="00A31E55"/>
    <w:rsid w:val="00A31E7E"/>
    <w:rsid w:val="00A31EE0"/>
    <w:rsid w:val="00A31EF2"/>
    <w:rsid w:val="00A31F0D"/>
    <w:rsid w:val="00A31F81"/>
    <w:rsid w:val="00A32061"/>
    <w:rsid w:val="00A32067"/>
    <w:rsid w:val="00A32114"/>
    <w:rsid w:val="00A32174"/>
    <w:rsid w:val="00A32192"/>
    <w:rsid w:val="00A32252"/>
    <w:rsid w:val="00A32264"/>
    <w:rsid w:val="00A32359"/>
    <w:rsid w:val="00A32397"/>
    <w:rsid w:val="00A32449"/>
    <w:rsid w:val="00A32469"/>
    <w:rsid w:val="00A32509"/>
    <w:rsid w:val="00A3251B"/>
    <w:rsid w:val="00A32542"/>
    <w:rsid w:val="00A32545"/>
    <w:rsid w:val="00A32554"/>
    <w:rsid w:val="00A3256A"/>
    <w:rsid w:val="00A32572"/>
    <w:rsid w:val="00A32579"/>
    <w:rsid w:val="00A3257A"/>
    <w:rsid w:val="00A325A2"/>
    <w:rsid w:val="00A325A3"/>
    <w:rsid w:val="00A325C3"/>
    <w:rsid w:val="00A325C8"/>
    <w:rsid w:val="00A326C3"/>
    <w:rsid w:val="00A327AE"/>
    <w:rsid w:val="00A3281E"/>
    <w:rsid w:val="00A32831"/>
    <w:rsid w:val="00A3287D"/>
    <w:rsid w:val="00A328A9"/>
    <w:rsid w:val="00A328AD"/>
    <w:rsid w:val="00A328DF"/>
    <w:rsid w:val="00A32958"/>
    <w:rsid w:val="00A329F9"/>
    <w:rsid w:val="00A32A0C"/>
    <w:rsid w:val="00A32A1D"/>
    <w:rsid w:val="00A32A56"/>
    <w:rsid w:val="00A32A6C"/>
    <w:rsid w:val="00A32A9A"/>
    <w:rsid w:val="00A32AAF"/>
    <w:rsid w:val="00A32AC9"/>
    <w:rsid w:val="00A32ACC"/>
    <w:rsid w:val="00A32B51"/>
    <w:rsid w:val="00A32B91"/>
    <w:rsid w:val="00A32BC0"/>
    <w:rsid w:val="00A32C06"/>
    <w:rsid w:val="00A32C07"/>
    <w:rsid w:val="00A32C40"/>
    <w:rsid w:val="00A32C59"/>
    <w:rsid w:val="00A32C81"/>
    <w:rsid w:val="00A32CA8"/>
    <w:rsid w:val="00A32CBC"/>
    <w:rsid w:val="00A32D70"/>
    <w:rsid w:val="00A32DB8"/>
    <w:rsid w:val="00A32DC8"/>
    <w:rsid w:val="00A32EC8"/>
    <w:rsid w:val="00A32F0B"/>
    <w:rsid w:val="00A32F0D"/>
    <w:rsid w:val="00A32F3D"/>
    <w:rsid w:val="00A32F6E"/>
    <w:rsid w:val="00A32F7D"/>
    <w:rsid w:val="00A32FAE"/>
    <w:rsid w:val="00A32FB2"/>
    <w:rsid w:val="00A33007"/>
    <w:rsid w:val="00A3301C"/>
    <w:rsid w:val="00A3301E"/>
    <w:rsid w:val="00A3304C"/>
    <w:rsid w:val="00A330B6"/>
    <w:rsid w:val="00A3318A"/>
    <w:rsid w:val="00A33194"/>
    <w:rsid w:val="00A33230"/>
    <w:rsid w:val="00A3324A"/>
    <w:rsid w:val="00A3327B"/>
    <w:rsid w:val="00A332F7"/>
    <w:rsid w:val="00A332FE"/>
    <w:rsid w:val="00A33360"/>
    <w:rsid w:val="00A3338D"/>
    <w:rsid w:val="00A333AB"/>
    <w:rsid w:val="00A333BA"/>
    <w:rsid w:val="00A3341F"/>
    <w:rsid w:val="00A33433"/>
    <w:rsid w:val="00A33445"/>
    <w:rsid w:val="00A334AA"/>
    <w:rsid w:val="00A334F0"/>
    <w:rsid w:val="00A335D0"/>
    <w:rsid w:val="00A33655"/>
    <w:rsid w:val="00A33681"/>
    <w:rsid w:val="00A3368B"/>
    <w:rsid w:val="00A33721"/>
    <w:rsid w:val="00A3372B"/>
    <w:rsid w:val="00A3374C"/>
    <w:rsid w:val="00A337D3"/>
    <w:rsid w:val="00A337E0"/>
    <w:rsid w:val="00A337FA"/>
    <w:rsid w:val="00A3383C"/>
    <w:rsid w:val="00A33875"/>
    <w:rsid w:val="00A338B9"/>
    <w:rsid w:val="00A338CF"/>
    <w:rsid w:val="00A338D2"/>
    <w:rsid w:val="00A33944"/>
    <w:rsid w:val="00A33954"/>
    <w:rsid w:val="00A33960"/>
    <w:rsid w:val="00A339A5"/>
    <w:rsid w:val="00A33A1F"/>
    <w:rsid w:val="00A33A29"/>
    <w:rsid w:val="00A33AB7"/>
    <w:rsid w:val="00A33B0F"/>
    <w:rsid w:val="00A33B43"/>
    <w:rsid w:val="00A33B4F"/>
    <w:rsid w:val="00A33B8D"/>
    <w:rsid w:val="00A33BAC"/>
    <w:rsid w:val="00A33BB8"/>
    <w:rsid w:val="00A33BF8"/>
    <w:rsid w:val="00A33C71"/>
    <w:rsid w:val="00A33D91"/>
    <w:rsid w:val="00A33DB3"/>
    <w:rsid w:val="00A33DC3"/>
    <w:rsid w:val="00A33DD2"/>
    <w:rsid w:val="00A33EA8"/>
    <w:rsid w:val="00A33EAD"/>
    <w:rsid w:val="00A33EF6"/>
    <w:rsid w:val="00A33EFD"/>
    <w:rsid w:val="00A33F31"/>
    <w:rsid w:val="00A33F47"/>
    <w:rsid w:val="00A33FCE"/>
    <w:rsid w:val="00A33FDB"/>
    <w:rsid w:val="00A33FDD"/>
    <w:rsid w:val="00A34006"/>
    <w:rsid w:val="00A34035"/>
    <w:rsid w:val="00A34077"/>
    <w:rsid w:val="00A34095"/>
    <w:rsid w:val="00A34175"/>
    <w:rsid w:val="00A3424A"/>
    <w:rsid w:val="00A3425A"/>
    <w:rsid w:val="00A34290"/>
    <w:rsid w:val="00A342AD"/>
    <w:rsid w:val="00A342D7"/>
    <w:rsid w:val="00A342EA"/>
    <w:rsid w:val="00A34342"/>
    <w:rsid w:val="00A343A5"/>
    <w:rsid w:val="00A343DE"/>
    <w:rsid w:val="00A34430"/>
    <w:rsid w:val="00A34481"/>
    <w:rsid w:val="00A344AB"/>
    <w:rsid w:val="00A34527"/>
    <w:rsid w:val="00A34556"/>
    <w:rsid w:val="00A345B0"/>
    <w:rsid w:val="00A345CB"/>
    <w:rsid w:val="00A34611"/>
    <w:rsid w:val="00A346C6"/>
    <w:rsid w:val="00A34731"/>
    <w:rsid w:val="00A34773"/>
    <w:rsid w:val="00A347AD"/>
    <w:rsid w:val="00A347E2"/>
    <w:rsid w:val="00A347F2"/>
    <w:rsid w:val="00A3481B"/>
    <w:rsid w:val="00A3486A"/>
    <w:rsid w:val="00A34883"/>
    <w:rsid w:val="00A348BF"/>
    <w:rsid w:val="00A348FD"/>
    <w:rsid w:val="00A3490F"/>
    <w:rsid w:val="00A34932"/>
    <w:rsid w:val="00A3497C"/>
    <w:rsid w:val="00A349F0"/>
    <w:rsid w:val="00A34A35"/>
    <w:rsid w:val="00A34A53"/>
    <w:rsid w:val="00A34AEE"/>
    <w:rsid w:val="00A34B5C"/>
    <w:rsid w:val="00A34C68"/>
    <w:rsid w:val="00A34CD3"/>
    <w:rsid w:val="00A34D2B"/>
    <w:rsid w:val="00A34D3C"/>
    <w:rsid w:val="00A34D49"/>
    <w:rsid w:val="00A34D63"/>
    <w:rsid w:val="00A34D79"/>
    <w:rsid w:val="00A34E02"/>
    <w:rsid w:val="00A34E32"/>
    <w:rsid w:val="00A34E34"/>
    <w:rsid w:val="00A34E4A"/>
    <w:rsid w:val="00A34ED8"/>
    <w:rsid w:val="00A34FAA"/>
    <w:rsid w:val="00A35022"/>
    <w:rsid w:val="00A35059"/>
    <w:rsid w:val="00A3507F"/>
    <w:rsid w:val="00A350A1"/>
    <w:rsid w:val="00A350AB"/>
    <w:rsid w:val="00A35167"/>
    <w:rsid w:val="00A35174"/>
    <w:rsid w:val="00A35181"/>
    <w:rsid w:val="00A35192"/>
    <w:rsid w:val="00A35219"/>
    <w:rsid w:val="00A3524A"/>
    <w:rsid w:val="00A35258"/>
    <w:rsid w:val="00A35263"/>
    <w:rsid w:val="00A35270"/>
    <w:rsid w:val="00A352B5"/>
    <w:rsid w:val="00A352C2"/>
    <w:rsid w:val="00A352F7"/>
    <w:rsid w:val="00A3532C"/>
    <w:rsid w:val="00A353A0"/>
    <w:rsid w:val="00A353A5"/>
    <w:rsid w:val="00A353CA"/>
    <w:rsid w:val="00A353F8"/>
    <w:rsid w:val="00A353FA"/>
    <w:rsid w:val="00A3541B"/>
    <w:rsid w:val="00A3547A"/>
    <w:rsid w:val="00A354A5"/>
    <w:rsid w:val="00A354F1"/>
    <w:rsid w:val="00A35587"/>
    <w:rsid w:val="00A355BB"/>
    <w:rsid w:val="00A355F4"/>
    <w:rsid w:val="00A3560A"/>
    <w:rsid w:val="00A35619"/>
    <w:rsid w:val="00A35641"/>
    <w:rsid w:val="00A35662"/>
    <w:rsid w:val="00A35691"/>
    <w:rsid w:val="00A356C9"/>
    <w:rsid w:val="00A356F2"/>
    <w:rsid w:val="00A35755"/>
    <w:rsid w:val="00A35762"/>
    <w:rsid w:val="00A35771"/>
    <w:rsid w:val="00A357DA"/>
    <w:rsid w:val="00A3580A"/>
    <w:rsid w:val="00A35857"/>
    <w:rsid w:val="00A35885"/>
    <w:rsid w:val="00A35893"/>
    <w:rsid w:val="00A358A5"/>
    <w:rsid w:val="00A35914"/>
    <w:rsid w:val="00A3591F"/>
    <w:rsid w:val="00A3593A"/>
    <w:rsid w:val="00A35961"/>
    <w:rsid w:val="00A359ED"/>
    <w:rsid w:val="00A35A5E"/>
    <w:rsid w:val="00A35A8F"/>
    <w:rsid w:val="00A35ABE"/>
    <w:rsid w:val="00A35AC7"/>
    <w:rsid w:val="00A35B8F"/>
    <w:rsid w:val="00A35BAD"/>
    <w:rsid w:val="00A35BF0"/>
    <w:rsid w:val="00A35BFB"/>
    <w:rsid w:val="00A35C3D"/>
    <w:rsid w:val="00A35CB4"/>
    <w:rsid w:val="00A35D0B"/>
    <w:rsid w:val="00A35D7A"/>
    <w:rsid w:val="00A35D84"/>
    <w:rsid w:val="00A35D8C"/>
    <w:rsid w:val="00A35DD4"/>
    <w:rsid w:val="00A35E47"/>
    <w:rsid w:val="00A35EAA"/>
    <w:rsid w:val="00A35EAE"/>
    <w:rsid w:val="00A35ECE"/>
    <w:rsid w:val="00A35FB6"/>
    <w:rsid w:val="00A35FC2"/>
    <w:rsid w:val="00A35FC7"/>
    <w:rsid w:val="00A35FE5"/>
    <w:rsid w:val="00A36007"/>
    <w:rsid w:val="00A36040"/>
    <w:rsid w:val="00A360A6"/>
    <w:rsid w:val="00A360C1"/>
    <w:rsid w:val="00A3617D"/>
    <w:rsid w:val="00A36189"/>
    <w:rsid w:val="00A3619C"/>
    <w:rsid w:val="00A361C3"/>
    <w:rsid w:val="00A362CF"/>
    <w:rsid w:val="00A362DA"/>
    <w:rsid w:val="00A3630F"/>
    <w:rsid w:val="00A36329"/>
    <w:rsid w:val="00A36342"/>
    <w:rsid w:val="00A36345"/>
    <w:rsid w:val="00A3637C"/>
    <w:rsid w:val="00A36389"/>
    <w:rsid w:val="00A36425"/>
    <w:rsid w:val="00A3642B"/>
    <w:rsid w:val="00A36486"/>
    <w:rsid w:val="00A364DB"/>
    <w:rsid w:val="00A364E4"/>
    <w:rsid w:val="00A36549"/>
    <w:rsid w:val="00A36572"/>
    <w:rsid w:val="00A3657A"/>
    <w:rsid w:val="00A365B6"/>
    <w:rsid w:val="00A365D2"/>
    <w:rsid w:val="00A365FC"/>
    <w:rsid w:val="00A36652"/>
    <w:rsid w:val="00A366AD"/>
    <w:rsid w:val="00A366C7"/>
    <w:rsid w:val="00A366E6"/>
    <w:rsid w:val="00A36782"/>
    <w:rsid w:val="00A367AF"/>
    <w:rsid w:val="00A36800"/>
    <w:rsid w:val="00A3681D"/>
    <w:rsid w:val="00A3682E"/>
    <w:rsid w:val="00A36839"/>
    <w:rsid w:val="00A36878"/>
    <w:rsid w:val="00A368AF"/>
    <w:rsid w:val="00A368C3"/>
    <w:rsid w:val="00A368F4"/>
    <w:rsid w:val="00A36901"/>
    <w:rsid w:val="00A36930"/>
    <w:rsid w:val="00A3695C"/>
    <w:rsid w:val="00A369C2"/>
    <w:rsid w:val="00A36A59"/>
    <w:rsid w:val="00A36A87"/>
    <w:rsid w:val="00A36A91"/>
    <w:rsid w:val="00A36AC0"/>
    <w:rsid w:val="00A36AC1"/>
    <w:rsid w:val="00A36AF8"/>
    <w:rsid w:val="00A36B73"/>
    <w:rsid w:val="00A36BB3"/>
    <w:rsid w:val="00A36BE8"/>
    <w:rsid w:val="00A36D4D"/>
    <w:rsid w:val="00A36DA5"/>
    <w:rsid w:val="00A36DD6"/>
    <w:rsid w:val="00A36DF0"/>
    <w:rsid w:val="00A36DF7"/>
    <w:rsid w:val="00A36E09"/>
    <w:rsid w:val="00A36E64"/>
    <w:rsid w:val="00A36E79"/>
    <w:rsid w:val="00A36EAA"/>
    <w:rsid w:val="00A36F4E"/>
    <w:rsid w:val="00A36F59"/>
    <w:rsid w:val="00A36F79"/>
    <w:rsid w:val="00A36FAB"/>
    <w:rsid w:val="00A37034"/>
    <w:rsid w:val="00A3709F"/>
    <w:rsid w:val="00A370B1"/>
    <w:rsid w:val="00A37102"/>
    <w:rsid w:val="00A3714A"/>
    <w:rsid w:val="00A37181"/>
    <w:rsid w:val="00A371A1"/>
    <w:rsid w:val="00A3720F"/>
    <w:rsid w:val="00A37237"/>
    <w:rsid w:val="00A372AB"/>
    <w:rsid w:val="00A372BA"/>
    <w:rsid w:val="00A37307"/>
    <w:rsid w:val="00A373E6"/>
    <w:rsid w:val="00A3741E"/>
    <w:rsid w:val="00A3744D"/>
    <w:rsid w:val="00A37478"/>
    <w:rsid w:val="00A375B7"/>
    <w:rsid w:val="00A375EA"/>
    <w:rsid w:val="00A37682"/>
    <w:rsid w:val="00A376A1"/>
    <w:rsid w:val="00A376AD"/>
    <w:rsid w:val="00A37783"/>
    <w:rsid w:val="00A377A5"/>
    <w:rsid w:val="00A37827"/>
    <w:rsid w:val="00A3782D"/>
    <w:rsid w:val="00A3786A"/>
    <w:rsid w:val="00A3787E"/>
    <w:rsid w:val="00A378A1"/>
    <w:rsid w:val="00A37922"/>
    <w:rsid w:val="00A379DF"/>
    <w:rsid w:val="00A379FC"/>
    <w:rsid w:val="00A37A03"/>
    <w:rsid w:val="00A37A16"/>
    <w:rsid w:val="00A37A26"/>
    <w:rsid w:val="00A37A32"/>
    <w:rsid w:val="00A37A3C"/>
    <w:rsid w:val="00A37A3D"/>
    <w:rsid w:val="00A37A81"/>
    <w:rsid w:val="00A37AE3"/>
    <w:rsid w:val="00A37AF8"/>
    <w:rsid w:val="00A37AFA"/>
    <w:rsid w:val="00A37B1E"/>
    <w:rsid w:val="00A37B4F"/>
    <w:rsid w:val="00A37B68"/>
    <w:rsid w:val="00A37B74"/>
    <w:rsid w:val="00A37BA2"/>
    <w:rsid w:val="00A37BA5"/>
    <w:rsid w:val="00A37BF0"/>
    <w:rsid w:val="00A37C80"/>
    <w:rsid w:val="00A37C8C"/>
    <w:rsid w:val="00A37CA3"/>
    <w:rsid w:val="00A37CA9"/>
    <w:rsid w:val="00A37CD4"/>
    <w:rsid w:val="00A37D0C"/>
    <w:rsid w:val="00A37D0E"/>
    <w:rsid w:val="00A37D1E"/>
    <w:rsid w:val="00A37D2C"/>
    <w:rsid w:val="00A37D34"/>
    <w:rsid w:val="00A37EFD"/>
    <w:rsid w:val="00A37F01"/>
    <w:rsid w:val="00A37F7F"/>
    <w:rsid w:val="00A37FDF"/>
    <w:rsid w:val="00A37FE9"/>
    <w:rsid w:val="00A40076"/>
    <w:rsid w:val="00A4007E"/>
    <w:rsid w:val="00A400A5"/>
    <w:rsid w:val="00A400BA"/>
    <w:rsid w:val="00A401E7"/>
    <w:rsid w:val="00A401F5"/>
    <w:rsid w:val="00A40218"/>
    <w:rsid w:val="00A40224"/>
    <w:rsid w:val="00A40263"/>
    <w:rsid w:val="00A402EA"/>
    <w:rsid w:val="00A4031D"/>
    <w:rsid w:val="00A4039A"/>
    <w:rsid w:val="00A403BE"/>
    <w:rsid w:val="00A403F9"/>
    <w:rsid w:val="00A4048F"/>
    <w:rsid w:val="00A40496"/>
    <w:rsid w:val="00A404A5"/>
    <w:rsid w:val="00A404B9"/>
    <w:rsid w:val="00A40587"/>
    <w:rsid w:val="00A405E4"/>
    <w:rsid w:val="00A40631"/>
    <w:rsid w:val="00A406C9"/>
    <w:rsid w:val="00A4071C"/>
    <w:rsid w:val="00A40723"/>
    <w:rsid w:val="00A4073F"/>
    <w:rsid w:val="00A40741"/>
    <w:rsid w:val="00A40782"/>
    <w:rsid w:val="00A40799"/>
    <w:rsid w:val="00A407B6"/>
    <w:rsid w:val="00A407F9"/>
    <w:rsid w:val="00A4084A"/>
    <w:rsid w:val="00A4084F"/>
    <w:rsid w:val="00A408C8"/>
    <w:rsid w:val="00A4092C"/>
    <w:rsid w:val="00A409F3"/>
    <w:rsid w:val="00A40A69"/>
    <w:rsid w:val="00A40A8B"/>
    <w:rsid w:val="00A40B33"/>
    <w:rsid w:val="00A40BA2"/>
    <w:rsid w:val="00A40C76"/>
    <w:rsid w:val="00A40C79"/>
    <w:rsid w:val="00A40C90"/>
    <w:rsid w:val="00A40C9C"/>
    <w:rsid w:val="00A40CD1"/>
    <w:rsid w:val="00A40CD9"/>
    <w:rsid w:val="00A40D1F"/>
    <w:rsid w:val="00A40D88"/>
    <w:rsid w:val="00A40D9F"/>
    <w:rsid w:val="00A40DB4"/>
    <w:rsid w:val="00A40DD9"/>
    <w:rsid w:val="00A40DFB"/>
    <w:rsid w:val="00A40E06"/>
    <w:rsid w:val="00A40E25"/>
    <w:rsid w:val="00A40E2D"/>
    <w:rsid w:val="00A40E6D"/>
    <w:rsid w:val="00A40E7D"/>
    <w:rsid w:val="00A40ED5"/>
    <w:rsid w:val="00A40EE1"/>
    <w:rsid w:val="00A40F23"/>
    <w:rsid w:val="00A40F5B"/>
    <w:rsid w:val="00A40F5E"/>
    <w:rsid w:val="00A40FB9"/>
    <w:rsid w:val="00A41002"/>
    <w:rsid w:val="00A4103F"/>
    <w:rsid w:val="00A4111D"/>
    <w:rsid w:val="00A41130"/>
    <w:rsid w:val="00A41135"/>
    <w:rsid w:val="00A41165"/>
    <w:rsid w:val="00A41177"/>
    <w:rsid w:val="00A411AF"/>
    <w:rsid w:val="00A411CF"/>
    <w:rsid w:val="00A411D8"/>
    <w:rsid w:val="00A41218"/>
    <w:rsid w:val="00A4121D"/>
    <w:rsid w:val="00A41241"/>
    <w:rsid w:val="00A41294"/>
    <w:rsid w:val="00A412A1"/>
    <w:rsid w:val="00A41341"/>
    <w:rsid w:val="00A413A8"/>
    <w:rsid w:val="00A413C5"/>
    <w:rsid w:val="00A413D3"/>
    <w:rsid w:val="00A4141B"/>
    <w:rsid w:val="00A41424"/>
    <w:rsid w:val="00A41447"/>
    <w:rsid w:val="00A41449"/>
    <w:rsid w:val="00A41461"/>
    <w:rsid w:val="00A414DC"/>
    <w:rsid w:val="00A41514"/>
    <w:rsid w:val="00A4152F"/>
    <w:rsid w:val="00A41558"/>
    <w:rsid w:val="00A4158C"/>
    <w:rsid w:val="00A4166F"/>
    <w:rsid w:val="00A41679"/>
    <w:rsid w:val="00A4167C"/>
    <w:rsid w:val="00A41693"/>
    <w:rsid w:val="00A41696"/>
    <w:rsid w:val="00A41708"/>
    <w:rsid w:val="00A4170A"/>
    <w:rsid w:val="00A4171E"/>
    <w:rsid w:val="00A4173D"/>
    <w:rsid w:val="00A41772"/>
    <w:rsid w:val="00A41788"/>
    <w:rsid w:val="00A417DF"/>
    <w:rsid w:val="00A41801"/>
    <w:rsid w:val="00A4180A"/>
    <w:rsid w:val="00A41815"/>
    <w:rsid w:val="00A41819"/>
    <w:rsid w:val="00A41890"/>
    <w:rsid w:val="00A418DC"/>
    <w:rsid w:val="00A41911"/>
    <w:rsid w:val="00A4193C"/>
    <w:rsid w:val="00A419A9"/>
    <w:rsid w:val="00A419EF"/>
    <w:rsid w:val="00A419FB"/>
    <w:rsid w:val="00A41A0D"/>
    <w:rsid w:val="00A41A6E"/>
    <w:rsid w:val="00A41A7A"/>
    <w:rsid w:val="00A41A85"/>
    <w:rsid w:val="00A41B01"/>
    <w:rsid w:val="00A41B07"/>
    <w:rsid w:val="00A41B84"/>
    <w:rsid w:val="00A41B9E"/>
    <w:rsid w:val="00A41BB8"/>
    <w:rsid w:val="00A41BC3"/>
    <w:rsid w:val="00A41BFF"/>
    <w:rsid w:val="00A41C0E"/>
    <w:rsid w:val="00A41C9F"/>
    <w:rsid w:val="00A41DB0"/>
    <w:rsid w:val="00A41DE2"/>
    <w:rsid w:val="00A41F1B"/>
    <w:rsid w:val="00A41F81"/>
    <w:rsid w:val="00A41FAE"/>
    <w:rsid w:val="00A41FBE"/>
    <w:rsid w:val="00A4207A"/>
    <w:rsid w:val="00A420B2"/>
    <w:rsid w:val="00A420B6"/>
    <w:rsid w:val="00A420D8"/>
    <w:rsid w:val="00A4210A"/>
    <w:rsid w:val="00A4210B"/>
    <w:rsid w:val="00A42129"/>
    <w:rsid w:val="00A42145"/>
    <w:rsid w:val="00A4216C"/>
    <w:rsid w:val="00A42172"/>
    <w:rsid w:val="00A42214"/>
    <w:rsid w:val="00A4224B"/>
    <w:rsid w:val="00A4225C"/>
    <w:rsid w:val="00A422C0"/>
    <w:rsid w:val="00A422CF"/>
    <w:rsid w:val="00A4236D"/>
    <w:rsid w:val="00A423C0"/>
    <w:rsid w:val="00A4249C"/>
    <w:rsid w:val="00A424C0"/>
    <w:rsid w:val="00A424CF"/>
    <w:rsid w:val="00A424F3"/>
    <w:rsid w:val="00A42512"/>
    <w:rsid w:val="00A425A2"/>
    <w:rsid w:val="00A425F8"/>
    <w:rsid w:val="00A42616"/>
    <w:rsid w:val="00A42677"/>
    <w:rsid w:val="00A426D8"/>
    <w:rsid w:val="00A426E6"/>
    <w:rsid w:val="00A4270B"/>
    <w:rsid w:val="00A4272F"/>
    <w:rsid w:val="00A42793"/>
    <w:rsid w:val="00A427CF"/>
    <w:rsid w:val="00A427DB"/>
    <w:rsid w:val="00A42810"/>
    <w:rsid w:val="00A4291F"/>
    <w:rsid w:val="00A42938"/>
    <w:rsid w:val="00A429A4"/>
    <w:rsid w:val="00A429E5"/>
    <w:rsid w:val="00A42A5B"/>
    <w:rsid w:val="00A42AB4"/>
    <w:rsid w:val="00A42B5A"/>
    <w:rsid w:val="00A42B6F"/>
    <w:rsid w:val="00A42B78"/>
    <w:rsid w:val="00A42B7C"/>
    <w:rsid w:val="00A42BF2"/>
    <w:rsid w:val="00A42C55"/>
    <w:rsid w:val="00A42C8D"/>
    <w:rsid w:val="00A42CAE"/>
    <w:rsid w:val="00A42CB4"/>
    <w:rsid w:val="00A42CE2"/>
    <w:rsid w:val="00A42D56"/>
    <w:rsid w:val="00A42DCF"/>
    <w:rsid w:val="00A42DDE"/>
    <w:rsid w:val="00A42E5E"/>
    <w:rsid w:val="00A42E6C"/>
    <w:rsid w:val="00A42EDE"/>
    <w:rsid w:val="00A42F18"/>
    <w:rsid w:val="00A42F36"/>
    <w:rsid w:val="00A42F92"/>
    <w:rsid w:val="00A42F93"/>
    <w:rsid w:val="00A42FB5"/>
    <w:rsid w:val="00A43046"/>
    <w:rsid w:val="00A430B0"/>
    <w:rsid w:val="00A430BF"/>
    <w:rsid w:val="00A430E4"/>
    <w:rsid w:val="00A4312F"/>
    <w:rsid w:val="00A43132"/>
    <w:rsid w:val="00A431C1"/>
    <w:rsid w:val="00A4328A"/>
    <w:rsid w:val="00A432B6"/>
    <w:rsid w:val="00A432CB"/>
    <w:rsid w:val="00A432FE"/>
    <w:rsid w:val="00A4332F"/>
    <w:rsid w:val="00A4335E"/>
    <w:rsid w:val="00A433A2"/>
    <w:rsid w:val="00A433CB"/>
    <w:rsid w:val="00A43402"/>
    <w:rsid w:val="00A43433"/>
    <w:rsid w:val="00A4349F"/>
    <w:rsid w:val="00A434DA"/>
    <w:rsid w:val="00A434ED"/>
    <w:rsid w:val="00A43523"/>
    <w:rsid w:val="00A4353A"/>
    <w:rsid w:val="00A4358B"/>
    <w:rsid w:val="00A43592"/>
    <w:rsid w:val="00A435A2"/>
    <w:rsid w:val="00A435FC"/>
    <w:rsid w:val="00A4361B"/>
    <w:rsid w:val="00A436F5"/>
    <w:rsid w:val="00A43761"/>
    <w:rsid w:val="00A43795"/>
    <w:rsid w:val="00A437C3"/>
    <w:rsid w:val="00A4388D"/>
    <w:rsid w:val="00A438C1"/>
    <w:rsid w:val="00A438C4"/>
    <w:rsid w:val="00A438C5"/>
    <w:rsid w:val="00A438ED"/>
    <w:rsid w:val="00A43909"/>
    <w:rsid w:val="00A43945"/>
    <w:rsid w:val="00A4394F"/>
    <w:rsid w:val="00A439A3"/>
    <w:rsid w:val="00A439F3"/>
    <w:rsid w:val="00A43A04"/>
    <w:rsid w:val="00A43A0D"/>
    <w:rsid w:val="00A43AE1"/>
    <w:rsid w:val="00A43B28"/>
    <w:rsid w:val="00A43B44"/>
    <w:rsid w:val="00A43B66"/>
    <w:rsid w:val="00A43B67"/>
    <w:rsid w:val="00A43BC1"/>
    <w:rsid w:val="00A43C03"/>
    <w:rsid w:val="00A43CD7"/>
    <w:rsid w:val="00A43CF7"/>
    <w:rsid w:val="00A43D0E"/>
    <w:rsid w:val="00A43D38"/>
    <w:rsid w:val="00A43D94"/>
    <w:rsid w:val="00A43E29"/>
    <w:rsid w:val="00A43E41"/>
    <w:rsid w:val="00A43E4F"/>
    <w:rsid w:val="00A43EE4"/>
    <w:rsid w:val="00A43F50"/>
    <w:rsid w:val="00A43F79"/>
    <w:rsid w:val="00A43FFE"/>
    <w:rsid w:val="00A4400D"/>
    <w:rsid w:val="00A440C9"/>
    <w:rsid w:val="00A440F2"/>
    <w:rsid w:val="00A4411D"/>
    <w:rsid w:val="00A44173"/>
    <w:rsid w:val="00A441A5"/>
    <w:rsid w:val="00A441BB"/>
    <w:rsid w:val="00A44260"/>
    <w:rsid w:val="00A442A2"/>
    <w:rsid w:val="00A44306"/>
    <w:rsid w:val="00A44338"/>
    <w:rsid w:val="00A4434B"/>
    <w:rsid w:val="00A4435E"/>
    <w:rsid w:val="00A4437F"/>
    <w:rsid w:val="00A443B7"/>
    <w:rsid w:val="00A443E2"/>
    <w:rsid w:val="00A4441A"/>
    <w:rsid w:val="00A4448A"/>
    <w:rsid w:val="00A4452D"/>
    <w:rsid w:val="00A44568"/>
    <w:rsid w:val="00A445C5"/>
    <w:rsid w:val="00A445ED"/>
    <w:rsid w:val="00A445EE"/>
    <w:rsid w:val="00A4460A"/>
    <w:rsid w:val="00A44625"/>
    <w:rsid w:val="00A4462D"/>
    <w:rsid w:val="00A44636"/>
    <w:rsid w:val="00A446A6"/>
    <w:rsid w:val="00A446CB"/>
    <w:rsid w:val="00A446CC"/>
    <w:rsid w:val="00A446EB"/>
    <w:rsid w:val="00A44762"/>
    <w:rsid w:val="00A44769"/>
    <w:rsid w:val="00A44784"/>
    <w:rsid w:val="00A447BF"/>
    <w:rsid w:val="00A4481E"/>
    <w:rsid w:val="00A44834"/>
    <w:rsid w:val="00A44843"/>
    <w:rsid w:val="00A44860"/>
    <w:rsid w:val="00A44887"/>
    <w:rsid w:val="00A448C3"/>
    <w:rsid w:val="00A448D2"/>
    <w:rsid w:val="00A448F6"/>
    <w:rsid w:val="00A44920"/>
    <w:rsid w:val="00A4492A"/>
    <w:rsid w:val="00A44942"/>
    <w:rsid w:val="00A4499C"/>
    <w:rsid w:val="00A44A33"/>
    <w:rsid w:val="00A44A9A"/>
    <w:rsid w:val="00A44AAA"/>
    <w:rsid w:val="00A44AD0"/>
    <w:rsid w:val="00A44B62"/>
    <w:rsid w:val="00A44B82"/>
    <w:rsid w:val="00A44BA9"/>
    <w:rsid w:val="00A44BC5"/>
    <w:rsid w:val="00A44BDC"/>
    <w:rsid w:val="00A44BE1"/>
    <w:rsid w:val="00A44C07"/>
    <w:rsid w:val="00A44C32"/>
    <w:rsid w:val="00A44C96"/>
    <w:rsid w:val="00A44D1F"/>
    <w:rsid w:val="00A44D28"/>
    <w:rsid w:val="00A44D30"/>
    <w:rsid w:val="00A44DC9"/>
    <w:rsid w:val="00A44DE8"/>
    <w:rsid w:val="00A44E69"/>
    <w:rsid w:val="00A44E9C"/>
    <w:rsid w:val="00A44EB1"/>
    <w:rsid w:val="00A44EF3"/>
    <w:rsid w:val="00A44F53"/>
    <w:rsid w:val="00A44F5E"/>
    <w:rsid w:val="00A44F7E"/>
    <w:rsid w:val="00A44FD4"/>
    <w:rsid w:val="00A44FE9"/>
    <w:rsid w:val="00A45046"/>
    <w:rsid w:val="00A4505D"/>
    <w:rsid w:val="00A45081"/>
    <w:rsid w:val="00A450B5"/>
    <w:rsid w:val="00A450CB"/>
    <w:rsid w:val="00A45148"/>
    <w:rsid w:val="00A45158"/>
    <w:rsid w:val="00A4515B"/>
    <w:rsid w:val="00A45167"/>
    <w:rsid w:val="00A45182"/>
    <w:rsid w:val="00A451B3"/>
    <w:rsid w:val="00A451D2"/>
    <w:rsid w:val="00A451DE"/>
    <w:rsid w:val="00A4521A"/>
    <w:rsid w:val="00A452AB"/>
    <w:rsid w:val="00A452DE"/>
    <w:rsid w:val="00A452F3"/>
    <w:rsid w:val="00A4531D"/>
    <w:rsid w:val="00A453A2"/>
    <w:rsid w:val="00A453AC"/>
    <w:rsid w:val="00A453B0"/>
    <w:rsid w:val="00A453CC"/>
    <w:rsid w:val="00A4548D"/>
    <w:rsid w:val="00A454A0"/>
    <w:rsid w:val="00A454BE"/>
    <w:rsid w:val="00A4552B"/>
    <w:rsid w:val="00A4552E"/>
    <w:rsid w:val="00A45547"/>
    <w:rsid w:val="00A4554C"/>
    <w:rsid w:val="00A45583"/>
    <w:rsid w:val="00A45596"/>
    <w:rsid w:val="00A4559C"/>
    <w:rsid w:val="00A455B1"/>
    <w:rsid w:val="00A455BB"/>
    <w:rsid w:val="00A455BD"/>
    <w:rsid w:val="00A455E6"/>
    <w:rsid w:val="00A4567A"/>
    <w:rsid w:val="00A456B9"/>
    <w:rsid w:val="00A456CB"/>
    <w:rsid w:val="00A456F4"/>
    <w:rsid w:val="00A4570E"/>
    <w:rsid w:val="00A4576B"/>
    <w:rsid w:val="00A45778"/>
    <w:rsid w:val="00A45781"/>
    <w:rsid w:val="00A45802"/>
    <w:rsid w:val="00A45818"/>
    <w:rsid w:val="00A45872"/>
    <w:rsid w:val="00A458AB"/>
    <w:rsid w:val="00A45931"/>
    <w:rsid w:val="00A45956"/>
    <w:rsid w:val="00A45965"/>
    <w:rsid w:val="00A45977"/>
    <w:rsid w:val="00A4598A"/>
    <w:rsid w:val="00A459EA"/>
    <w:rsid w:val="00A45A0B"/>
    <w:rsid w:val="00A45A31"/>
    <w:rsid w:val="00A45A79"/>
    <w:rsid w:val="00A45A82"/>
    <w:rsid w:val="00A45ABB"/>
    <w:rsid w:val="00A45AC9"/>
    <w:rsid w:val="00A45AD4"/>
    <w:rsid w:val="00A45ADD"/>
    <w:rsid w:val="00A45B15"/>
    <w:rsid w:val="00A45BA8"/>
    <w:rsid w:val="00A45BD7"/>
    <w:rsid w:val="00A45BED"/>
    <w:rsid w:val="00A45C0D"/>
    <w:rsid w:val="00A45C38"/>
    <w:rsid w:val="00A45C3F"/>
    <w:rsid w:val="00A45C86"/>
    <w:rsid w:val="00A45C9E"/>
    <w:rsid w:val="00A45D18"/>
    <w:rsid w:val="00A45DAC"/>
    <w:rsid w:val="00A45DBE"/>
    <w:rsid w:val="00A45DE4"/>
    <w:rsid w:val="00A45E45"/>
    <w:rsid w:val="00A45E61"/>
    <w:rsid w:val="00A45E9F"/>
    <w:rsid w:val="00A45EC8"/>
    <w:rsid w:val="00A45EE7"/>
    <w:rsid w:val="00A45EED"/>
    <w:rsid w:val="00A45F0B"/>
    <w:rsid w:val="00A45F2A"/>
    <w:rsid w:val="00A45F71"/>
    <w:rsid w:val="00A45FA4"/>
    <w:rsid w:val="00A46023"/>
    <w:rsid w:val="00A460A1"/>
    <w:rsid w:val="00A460BA"/>
    <w:rsid w:val="00A460F6"/>
    <w:rsid w:val="00A4612F"/>
    <w:rsid w:val="00A46177"/>
    <w:rsid w:val="00A461A0"/>
    <w:rsid w:val="00A461BB"/>
    <w:rsid w:val="00A461C1"/>
    <w:rsid w:val="00A46226"/>
    <w:rsid w:val="00A4622F"/>
    <w:rsid w:val="00A46230"/>
    <w:rsid w:val="00A46261"/>
    <w:rsid w:val="00A46287"/>
    <w:rsid w:val="00A46298"/>
    <w:rsid w:val="00A462C7"/>
    <w:rsid w:val="00A462F7"/>
    <w:rsid w:val="00A462FC"/>
    <w:rsid w:val="00A46319"/>
    <w:rsid w:val="00A463C6"/>
    <w:rsid w:val="00A4641E"/>
    <w:rsid w:val="00A46529"/>
    <w:rsid w:val="00A46570"/>
    <w:rsid w:val="00A46594"/>
    <w:rsid w:val="00A465EF"/>
    <w:rsid w:val="00A465F0"/>
    <w:rsid w:val="00A46631"/>
    <w:rsid w:val="00A46646"/>
    <w:rsid w:val="00A4665D"/>
    <w:rsid w:val="00A4665F"/>
    <w:rsid w:val="00A46789"/>
    <w:rsid w:val="00A46807"/>
    <w:rsid w:val="00A4680E"/>
    <w:rsid w:val="00A468D7"/>
    <w:rsid w:val="00A46929"/>
    <w:rsid w:val="00A46966"/>
    <w:rsid w:val="00A46986"/>
    <w:rsid w:val="00A4698A"/>
    <w:rsid w:val="00A46A16"/>
    <w:rsid w:val="00A46A39"/>
    <w:rsid w:val="00A46A58"/>
    <w:rsid w:val="00A46ABE"/>
    <w:rsid w:val="00A46AD4"/>
    <w:rsid w:val="00A46B39"/>
    <w:rsid w:val="00A46B52"/>
    <w:rsid w:val="00A46BC4"/>
    <w:rsid w:val="00A46C8A"/>
    <w:rsid w:val="00A46D26"/>
    <w:rsid w:val="00A46DDA"/>
    <w:rsid w:val="00A46E38"/>
    <w:rsid w:val="00A46E39"/>
    <w:rsid w:val="00A46E40"/>
    <w:rsid w:val="00A46E43"/>
    <w:rsid w:val="00A46EC2"/>
    <w:rsid w:val="00A46F51"/>
    <w:rsid w:val="00A46F6B"/>
    <w:rsid w:val="00A46FB0"/>
    <w:rsid w:val="00A46FF1"/>
    <w:rsid w:val="00A47036"/>
    <w:rsid w:val="00A470DA"/>
    <w:rsid w:val="00A47141"/>
    <w:rsid w:val="00A4714A"/>
    <w:rsid w:val="00A47174"/>
    <w:rsid w:val="00A47197"/>
    <w:rsid w:val="00A471AD"/>
    <w:rsid w:val="00A471F1"/>
    <w:rsid w:val="00A47205"/>
    <w:rsid w:val="00A47236"/>
    <w:rsid w:val="00A47240"/>
    <w:rsid w:val="00A47258"/>
    <w:rsid w:val="00A472F4"/>
    <w:rsid w:val="00A47319"/>
    <w:rsid w:val="00A47332"/>
    <w:rsid w:val="00A4738B"/>
    <w:rsid w:val="00A4738F"/>
    <w:rsid w:val="00A47393"/>
    <w:rsid w:val="00A473A1"/>
    <w:rsid w:val="00A47408"/>
    <w:rsid w:val="00A47423"/>
    <w:rsid w:val="00A47538"/>
    <w:rsid w:val="00A475EB"/>
    <w:rsid w:val="00A47617"/>
    <w:rsid w:val="00A4762C"/>
    <w:rsid w:val="00A4763D"/>
    <w:rsid w:val="00A47694"/>
    <w:rsid w:val="00A476D9"/>
    <w:rsid w:val="00A476DD"/>
    <w:rsid w:val="00A476E9"/>
    <w:rsid w:val="00A47734"/>
    <w:rsid w:val="00A477CF"/>
    <w:rsid w:val="00A47820"/>
    <w:rsid w:val="00A478B3"/>
    <w:rsid w:val="00A478E0"/>
    <w:rsid w:val="00A479A5"/>
    <w:rsid w:val="00A47A31"/>
    <w:rsid w:val="00A47A88"/>
    <w:rsid w:val="00A47AC3"/>
    <w:rsid w:val="00A47ADD"/>
    <w:rsid w:val="00A47B29"/>
    <w:rsid w:val="00A47B2E"/>
    <w:rsid w:val="00A47B6D"/>
    <w:rsid w:val="00A47B9C"/>
    <w:rsid w:val="00A47BD2"/>
    <w:rsid w:val="00A47BE2"/>
    <w:rsid w:val="00A47C2D"/>
    <w:rsid w:val="00A47C48"/>
    <w:rsid w:val="00A47C64"/>
    <w:rsid w:val="00A47D64"/>
    <w:rsid w:val="00A47E7F"/>
    <w:rsid w:val="00A47EB8"/>
    <w:rsid w:val="00A47ECA"/>
    <w:rsid w:val="00A47F98"/>
    <w:rsid w:val="00A47F9E"/>
    <w:rsid w:val="00A50048"/>
    <w:rsid w:val="00A50087"/>
    <w:rsid w:val="00A50092"/>
    <w:rsid w:val="00A501FD"/>
    <w:rsid w:val="00A5022F"/>
    <w:rsid w:val="00A5033E"/>
    <w:rsid w:val="00A503CD"/>
    <w:rsid w:val="00A50471"/>
    <w:rsid w:val="00A504C9"/>
    <w:rsid w:val="00A504F1"/>
    <w:rsid w:val="00A5052D"/>
    <w:rsid w:val="00A50563"/>
    <w:rsid w:val="00A50595"/>
    <w:rsid w:val="00A5061A"/>
    <w:rsid w:val="00A50633"/>
    <w:rsid w:val="00A506A2"/>
    <w:rsid w:val="00A506DE"/>
    <w:rsid w:val="00A506F3"/>
    <w:rsid w:val="00A50738"/>
    <w:rsid w:val="00A50743"/>
    <w:rsid w:val="00A50806"/>
    <w:rsid w:val="00A5081B"/>
    <w:rsid w:val="00A5085A"/>
    <w:rsid w:val="00A5085F"/>
    <w:rsid w:val="00A50860"/>
    <w:rsid w:val="00A50863"/>
    <w:rsid w:val="00A508CC"/>
    <w:rsid w:val="00A50964"/>
    <w:rsid w:val="00A5096A"/>
    <w:rsid w:val="00A5096F"/>
    <w:rsid w:val="00A509C9"/>
    <w:rsid w:val="00A50A64"/>
    <w:rsid w:val="00A50A73"/>
    <w:rsid w:val="00A50A7B"/>
    <w:rsid w:val="00A50AB9"/>
    <w:rsid w:val="00A50AC9"/>
    <w:rsid w:val="00A50ADB"/>
    <w:rsid w:val="00A50B73"/>
    <w:rsid w:val="00A50B79"/>
    <w:rsid w:val="00A50B99"/>
    <w:rsid w:val="00A50BA5"/>
    <w:rsid w:val="00A50BB3"/>
    <w:rsid w:val="00A50C64"/>
    <w:rsid w:val="00A50C79"/>
    <w:rsid w:val="00A50C9F"/>
    <w:rsid w:val="00A50CC5"/>
    <w:rsid w:val="00A50CEA"/>
    <w:rsid w:val="00A50D03"/>
    <w:rsid w:val="00A50D0F"/>
    <w:rsid w:val="00A50D3B"/>
    <w:rsid w:val="00A50D4A"/>
    <w:rsid w:val="00A50DC4"/>
    <w:rsid w:val="00A50DFC"/>
    <w:rsid w:val="00A50E20"/>
    <w:rsid w:val="00A50E90"/>
    <w:rsid w:val="00A50ED4"/>
    <w:rsid w:val="00A50F05"/>
    <w:rsid w:val="00A50F0D"/>
    <w:rsid w:val="00A50F25"/>
    <w:rsid w:val="00A50F42"/>
    <w:rsid w:val="00A50F43"/>
    <w:rsid w:val="00A50F48"/>
    <w:rsid w:val="00A51043"/>
    <w:rsid w:val="00A5104A"/>
    <w:rsid w:val="00A51091"/>
    <w:rsid w:val="00A510DA"/>
    <w:rsid w:val="00A510EF"/>
    <w:rsid w:val="00A5110D"/>
    <w:rsid w:val="00A51161"/>
    <w:rsid w:val="00A51171"/>
    <w:rsid w:val="00A51197"/>
    <w:rsid w:val="00A511BC"/>
    <w:rsid w:val="00A511C4"/>
    <w:rsid w:val="00A511D2"/>
    <w:rsid w:val="00A511F8"/>
    <w:rsid w:val="00A51251"/>
    <w:rsid w:val="00A5128C"/>
    <w:rsid w:val="00A512B4"/>
    <w:rsid w:val="00A512BD"/>
    <w:rsid w:val="00A512F4"/>
    <w:rsid w:val="00A513A6"/>
    <w:rsid w:val="00A513C1"/>
    <w:rsid w:val="00A5141B"/>
    <w:rsid w:val="00A51446"/>
    <w:rsid w:val="00A51497"/>
    <w:rsid w:val="00A514CF"/>
    <w:rsid w:val="00A514EF"/>
    <w:rsid w:val="00A515E6"/>
    <w:rsid w:val="00A51649"/>
    <w:rsid w:val="00A5166F"/>
    <w:rsid w:val="00A5170B"/>
    <w:rsid w:val="00A51746"/>
    <w:rsid w:val="00A51767"/>
    <w:rsid w:val="00A517BD"/>
    <w:rsid w:val="00A517DB"/>
    <w:rsid w:val="00A51811"/>
    <w:rsid w:val="00A51830"/>
    <w:rsid w:val="00A518B4"/>
    <w:rsid w:val="00A51911"/>
    <w:rsid w:val="00A519A7"/>
    <w:rsid w:val="00A519E1"/>
    <w:rsid w:val="00A51A3E"/>
    <w:rsid w:val="00A51A81"/>
    <w:rsid w:val="00A51AC2"/>
    <w:rsid w:val="00A51B80"/>
    <w:rsid w:val="00A51B89"/>
    <w:rsid w:val="00A51BAD"/>
    <w:rsid w:val="00A51BB9"/>
    <w:rsid w:val="00A51BE4"/>
    <w:rsid w:val="00A51C40"/>
    <w:rsid w:val="00A51C80"/>
    <w:rsid w:val="00A51C82"/>
    <w:rsid w:val="00A51C91"/>
    <w:rsid w:val="00A51C95"/>
    <w:rsid w:val="00A51CF4"/>
    <w:rsid w:val="00A51D04"/>
    <w:rsid w:val="00A51D32"/>
    <w:rsid w:val="00A51DE5"/>
    <w:rsid w:val="00A51E8C"/>
    <w:rsid w:val="00A51EC8"/>
    <w:rsid w:val="00A51F1F"/>
    <w:rsid w:val="00A51F33"/>
    <w:rsid w:val="00A51F35"/>
    <w:rsid w:val="00A51F9B"/>
    <w:rsid w:val="00A51FE3"/>
    <w:rsid w:val="00A520AA"/>
    <w:rsid w:val="00A520FA"/>
    <w:rsid w:val="00A520FB"/>
    <w:rsid w:val="00A52114"/>
    <w:rsid w:val="00A52154"/>
    <w:rsid w:val="00A52191"/>
    <w:rsid w:val="00A521EA"/>
    <w:rsid w:val="00A52208"/>
    <w:rsid w:val="00A52243"/>
    <w:rsid w:val="00A52247"/>
    <w:rsid w:val="00A522AA"/>
    <w:rsid w:val="00A522DC"/>
    <w:rsid w:val="00A5238B"/>
    <w:rsid w:val="00A5248C"/>
    <w:rsid w:val="00A524E1"/>
    <w:rsid w:val="00A5250B"/>
    <w:rsid w:val="00A5253C"/>
    <w:rsid w:val="00A52567"/>
    <w:rsid w:val="00A5257D"/>
    <w:rsid w:val="00A52580"/>
    <w:rsid w:val="00A52622"/>
    <w:rsid w:val="00A52633"/>
    <w:rsid w:val="00A52686"/>
    <w:rsid w:val="00A526F4"/>
    <w:rsid w:val="00A52729"/>
    <w:rsid w:val="00A5272C"/>
    <w:rsid w:val="00A52771"/>
    <w:rsid w:val="00A527C3"/>
    <w:rsid w:val="00A5281F"/>
    <w:rsid w:val="00A52853"/>
    <w:rsid w:val="00A52869"/>
    <w:rsid w:val="00A5289D"/>
    <w:rsid w:val="00A528A2"/>
    <w:rsid w:val="00A528AC"/>
    <w:rsid w:val="00A528AD"/>
    <w:rsid w:val="00A528D9"/>
    <w:rsid w:val="00A52915"/>
    <w:rsid w:val="00A52919"/>
    <w:rsid w:val="00A52931"/>
    <w:rsid w:val="00A52951"/>
    <w:rsid w:val="00A52A60"/>
    <w:rsid w:val="00A52A9F"/>
    <w:rsid w:val="00A52BAB"/>
    <w:rsid w:val="00A52BCA"/>
    <w:rsid w:val="00A52C55"/>
    <w:rsid w:val="00A52C70"/>
    <w:rsid w:val="00A52DC4"/>
    <w:rsid w:val="00A52DE3"/>
    <w:rsid w:val="00A52E18"/>
    <w:rsid w:val="00A52E22"/>
    <w:rsid w:val="00A52E54"/>
    <w:rsid w:val="00A52E92"/>
    <w:rsid w:val="00A52EDE"/>
    <w:rsid w:val="00A52EE5"/>
    <w:rsid w:val="00A52F00"/>
    <w:rsid w:val="00A52F47"/>
    <w:rsid w:val="00A52F7B"/>
    <w:rsid w:val="00A52F8F"/>
    <w:rsid w:val="00A52F9B"/>
    <w:rsid w:val="00A52FC8"/>
    <w:rsid w:val="00A53034"/>
    <w:rsid w:val="00A53042"/>
    <w:rsid w:val="00A5304E"/>
    <w:rsid w:val="00A53073"/>
    <w:rsid w:val="00A530A7"/>
    <w:rsid w:val="00A530C6"/>
    <w:rsid w:val="00A5313E"/>
    <w:rsid w:val="00A5314A"/>
    <w:rsid w:val="00A53151"/>
    <w:rsid w:val="00A53157"/>
    <w:rsid w:val="00A5318B"/>
    <w:rsid w:val="00A531EC"/>
    <w:rsid w:val="00A53219"/>
    <w:rsid w:val="00A532A6"/>
    <w:rsid w:val="00A532D2"/>
    <w:rsid w:val="00A532F5"/>
    <w:rsid w:val="00A5336F"/>
    <w:rsid w:val="00A53458"/>
    <w:rsid w:val="00A53466"/>
    <w:rsid w:val="00A534A5"/>
    <w:rsid w:val="00A534B3"/>
    <w:rsid w:val="00A534F4"/>
    <w:rsid w:val="00A53547"/>
    <w:rsid w:val="00A53550"/>
    <w:rsid w:val="00A5355B"/>
    <w:rsid w:val="00A5355F"/>
    <w:rsid w:val="00A53587"/>
    <w:rsid w:val="00A53588"/>
    <w:rsid w:val="00A535AD"/>
    <w:rsid w:val="00A535DE"/>
    <w:rsid w:val="00A535FF"/>
    <w:rsid w:val="00A5360F"/>
    <w:rsid w:val="00A53629"/>
    <w:rsid w:val="00A536D3"/>
    <w:rsid w:val="00A536F4"/>
    <w:rsid w:val="00A53715"/>
    <w:rsid w:val="00A537AD"/>
    <w:rsid w:val="00A53820"/>
    <w:rsid w:val="00A53845"/>
    <w:rsid w:val="00A53862"/>
    <w:rsid w:val="00A538F0"/>
    <w:rsid w:val="00A53904"/>
    <w:rsid w:val="00A53950"/>
    <w:rsid w:val="00A5395C"/>
    <w:rsid w:val="00A53961"/>
    <w:rsid w:val="00A5396B"/>
    <w:rsid w:val="00A539AF"/>
    <w:rsid w:val="00A539B1"/>
    <w:rsid w:val="00A539DA"/>
    <w:rsid w:val="00A539FB"/>
    <w:rsid w:val="00A53A16"/>
    <w:rsid w:val="00A53A4C"/>
    <w:rsid w:val="00A53AFC"/>
    <w:rsid w:val="00A53B32"/>
    <w:rsid w:val="00A53B5E"/>
    <w:rsid w:val="00A53B8D"/>
    <w:rsid w:val="00A53BAC"/>
    <w:rsid w:val="00A53BFE"/>
    <w:rsid w:val="00A53C78"/>
    <w:rsid w:val="00A53C91"/>
    <w:rsid w:val="00A53CA7"/>
    <w:rsid w:val="00A53CA8"/>
    <w:rsid w:val="00A53CC7"/>
    <w:rsid w:val="00A53CE8"/>
    <w:rsid w:val="00A53D23"/>
    <w:rsid w:val="00A53D28"/>
    <w:rsid w:val="00A53DAB"/>
    <w:rsid w:val="00A53DB2"/>
    <w:rsid w:val="00A53DD1"/>
    <w:rsid w:val="00A53DE7"/>
    <w:rsid w:val="00A53E0E"/>
    <w:rsid w:val="00A53E4C"/>
    <w:rsid w:val="00A53E58"/>
    <w:rsid w:val="00A53EB9"/>
    <w:rsid w:val="00A53F02"/>
    <w:rsid w:val="00A53F43"/>
    <w:rsid w:val="00A53FAB"/>
    <w:rsid w:val="00A53FBB"/>
    <w:rsid w:val="00A53FC0"/>
    <w:rsid w:val="00A53FC1"/>
    <w:rsid w:val="00A5405D"/>
    <w:rsid w:val="00A54117"/>
    <w:rsid w:val="00A54161"/>
    <w:rsid w:val="00A541DD"/>
    <w:rsid w:val="00A5421D"/>
    <w:rsid w:val="00A5421F"/>
    <w:rsid w:val="00A5426F"/>
    <w:rsid w:val="00A54354"/>
    <w:rsid w:val="00A5436E"/>
    <w:rsid w:val="00A54376"/>
    <w:rsid w:val="00A543A0"/>
    <w:rsid w:val="00A543B2"/>
    <w:rsid w:val="00A543C8"/>
    <w:rsid w:val="00A54403"/>
    <w:rsid w:val="00A5443E"/>
    <w:rsid w:val="00A54474"/>
    <w:rsid w:val="00A54477"/>
    <w:rsid w:val="00A544BA"/>
    <w:rsid w:val="00A544BE"/>
    <w:rsid w:val="00A544F8"/>
    <w:rsid w:val="00A54537"/>
    <w:rsid w:val="00A5456D"/>
    <w:rsid w:val="00A545CA"/>
    <w:rsid w:val="00A546A5"/>
    <w:rsid w:val="00A546A8"/>
    <w:rsid w:val="00A5472B"/>
    <w:rsid w:val="00A54755"/>
    <w:rsid w:val="00A547A7"/>
    <w:rsid w:val="00A547DD"/>
    <w:rsid w:val="00A547DF"/>
    <w:rsid w:val="00A547E2"/>
    <w:rsid w:val="00A548A7"/>
    <w:rsid w:val="00A5491F"/>
    <w:rsid w:val="00A5493F"/>
    <w:rsid w:val="00A54942"/>
    <w:rsid w:val="00A54981"/>
    <w:rsid w:val="00A549D3"/>
    <w:rsid w:val="00A549E7"/>
    <w:rsid w:val="00A54AEF"/>
    <w:rsid w:val="00A54B0E"/>
    <w:rsid w:val="00A54C3A"/>
    <w:rsid w:val="00A54C8A"/>
    <w:rsid w:val="00A54C96"/>
    <w:rsid w:val="00A54CB2"/>
    <w:rsid w:val="00A54CD7"/>
    <w:rsid w:val="00A54CE4"/>
    <w:rsid w:val="00A54D75"/>
    <w:rsid w:val="00A54DC0"/>
    <w:rsid w:val="00A54E15"/>
    <w:rsid w:val="00A54E5A"/>
    <w:rsid w:val="00A54ED9"/>
    <w:rsid w:val="00A54F06"/>
    <w:rsid w:val="00A54FEF"/>
    <w:rsid w:val="00A550A6"/>
    <w:rsid w:val="00A550CF"/>
    <w:rsid w:val="00A5512F"/>
    <w:rsid w:val="00A551CB"/>
    <w:rsid w:val="00A55271"/>
    <w:rsid w:val="00A5527E"/>
    <w:rsid w:val="00A552A6"/>
    <w:rsid w:val="00A5530C"/>
    <w:rsid w:val="00A5531F"/>
    <w:rsid w:val="00A5534E"/>
    <w:rsid w:val="00A55358"/>
    <w:rsid w:val="00A5543F"/>
    <w:rsid w:val="00A5544A"/>
    <w:rsid w:val="00A55460"/>
    <w:rsid w:val="00A5557E"/>
    <w:rsid w:val="00A5559B"/>
    <w:rsid w:val="00A555AA"/>
    <w:rsid w:val="00A55617"/>
    <w:rsid w:val="00A5563D"/>
    <w:rsid w:val="00A55744"/>
    <w:rsid w:val="00A55765"/>
    <w:rsid w:val="00A557CB"/>
    <w:rsid w:val="00A558CB"/>
    <w:rsid w:val="00A559AC"/>
    <w:rsid w:val="00A559BE"/>
    <w:rsid w:val="00A559BF"/>
    <w:rsid w:val="00A559F0"/>
    <w:rsid w:val="00A55A2D"/>
    <w:rsid w:val="00A55A38"/>
    <w:rsid w:val="00A55A49"/>
    <w:rsid w:val="00A55A4D"/>
    <w:rsid w:val="00A55A51"/>
    <w:rsid w:val="00A55B07"/>
    <w:rsid w:val="00A55B0A"/>
    <w:rsid w:val="00A55B99"/>
    <w:rsid w:val="00A55CCD"/>
    <w:rsid w:val="00A55CF1"/>
    <w:rsid w:val="00A55D22"/>
    <w:rsid w:val="00A55D27"/>
    <w:rsid w:val="00A55D81"/>
    <w:rsid w:val="00A55DA5"/>
    <w:rsid w:val="00A55DCF"/>
    <w:rsid w:val="00A55E47"/>
    <w:rsid w:val="00A55EBE"/>
    <w:rsid w:val="00A55ECD"/>
    <w:rsid w:val="00A55FA8"/>
    <w:rsid w:val="00A55FD7"/>
    <w:rsid w:val="00A55FDB"/>
    <w:rsid w:val="00A55FE2"/>
    <w:rsid w:val="00A5601C"/>
    <w:rsid w:val="00A5604E"/>
    <w:rsid w:val="00A56079"/>
    <w:rsid w:val="00A5607C"/>
    <w:rsid w:val="00A560C9"/>
    <w:rsid w:val="00A56140"/>
    <w:rsid w:val="00A561B4"/>
    <w:rsid w:val="00A561E8"/>
    <w:rsid w:val="00A56218"/>
    <w:rsid w:val="00A5624E"/>
    <w:rsid w:val="00A5630A"/>
    <w:rsid w:val="00A5632C"/>
    <w:rsid w:val="00A5636C"/>
    <w:rsid w:val="00A563A0"/>
    <w:rsid w:val="00A563B0"/>
    <w:rsid w:val="00A563EE"/>
    <w:rsid w:val="00A56412"/>
    <w:rsid w:val="00A564DB"/>
    <w:rsid w:val="00A56517"/>
    <w:rsid w:val="00A5651C"/>
    <w:rsid w:val="00A5653B"/>
    <w:rsid w:val="00A565F8"/>
    <w:rsid w:val="00A56639"/>
    <w:rsid w:val="00A56651"/>
    <w:rsid w:val="00A5666A"/>
    <w:rsid w:val="00A5666B"/>
    <w:rsid w:val="00A5668E"/>
    <w:rsid w:val="00A566F5"/>
    <w:rsid w:val="00A5670B"/>
    <w:rsid w:val="00A5673C"/>
    <w:rsid w:val="00A56792"/>
    <w:rsid w:val="00A567BF"/>
    <w:rsid w:val="00A568B3"/>
    <w:rsid w:val="00A56927"/>
    <w:rsid w:val="00A56965"/>
    <w:rsid w:val="00A569A3"/>
    <w:rsid w:val="00A56A01"/>
    <w:rsid w:val="00A56AFB"/>
    <w:rsid w:val="00A56B43"/>
    <w:rsid w:val="00A56B97"/>
    <w:rsid w:val="00A56BA0"/>
    <w:rsid w:val="00A56C06"/>
    <w:rsid w:val="00A56C8B"/>
    <w:rsid w:val="00A56DE8"/>
    <w:rsid w:val="00A56DF6"/>
    <w:rsid w:val="00A56DF7"/>
    <w:rsid w:val="00A56E0D"/>
    <w:rsid w:val="00A56E5D"/>
    <w:rsid w:val="00A56E90"/>
    <w:rsid w:val="00A56EE5"/>
    <w:rsid w:val="00A56F8D"/>
    <w:rsid w:val="00A56FCE"/>
    <w:rsid w:val="00A5704F"/>
    <w:rsid w:val="00A5707C"/>
    <w:rsid w:val="00A570CA"/>
    <w:rsid w:val="00A57155"/>
    <w:rsid w:val="00A57167"/>
    <w:rsid w:val="00A57177"/>
    <w:rsid w:val="00A57183"/>
    <w:rsid w:val="00A5718C"/>
    <w:rsid w:val="00A57197"/>
    <w:rsid w:val="00A571B0"/>
    <w:rsid w:val="00A57255"/>
    <w:rsid w:val="00A5725E"/>
    <w:rsid w:val="00A572A2"/>
    <w:rsid w:val="00A57301"/>
    <w:rsid w:val="00A57392"/>
    <w:rsid w:val="00A5739B"/>
    <w:rsid w:val="00A573AD"/>
    <w:rsid w:val="00A573E8"/>
    <w:rsid w:val="00A57434"/>
    <w:rsid w:val="00A5743B"/>
    <w:rsid w:val="00A57472"/>
    <w:rsid w:val="00A57506"/>
    <w:rsid w:val="00A57560"/>
    <w:rsid w:val="00A5758C"/>
    <w:rsid w:val="00A575BA"/>
    <w:rsid w:val="00A575E0"/>
    <w:rsid w:val="00A575F7"/>
    <w:rsid w:val="00A576FF"/>
    <w:rsid w:val="00A57720"/>
    <w:rsid w:val="00A57736"/>
    <w:rsid w:val="00A57750"/>
    <w:rsid w:val="00A5779C"/>
    <w:rsid w:val="00A577C5"/>
    <w:rsid w:val="00A5781F"/>
    <w:rsid w:val="00A57847"/>
    <w:rsid w:val="00A57899"/>
    <w:rsid w:val="00A578A3"/>
    <w:rsid w:val="00A578D6"/>
    <w:rsid w:val="00A579B2"/>
    <w:rsid w:val="00A57A0E"/>
    <w:rsid w:val="00A57A65"/>
    <w:rsid w:val="00A57A6A"/>
    <w:rsid w:val="00A57A6D"/>
    <w:rsid w:val="00A57A75"/>
    <w:rsid w:val="00A57B27"/>
    <w:rsid w:val="00A57B40"/>
    <w:rsid w:val="00A57B51"/>
    <w:rsid w:val="00A57B58"/>
    <w:rsid w:val="00A57B7F"/>
    <w:rsid w:val="00A57B93"/>
    <w:rsid w:val="00A57B98"/>
    <w:rsid w:val="00A57BF5"/>
    <w:rsid w:val="00A57C10"/>
    <w:rsid w:val="00A57C2C"/>
    <w:rsid w:val="00A57C3A"/>
    <w:rsid w:val="00A57C4C"/>
    <w:rsid w:val="00A57C71"/>
    <w:rsid w:val="00A57C87"/>
    <w:rsid w:val="00A57C8D"/>
    <w:rsid w:val="00A57CA8"/>
    <w:rsid w:val="00A57CE2"/>
    <w:rsid w:val="00A57CFC"/>
    <w:rsid w:val="00A57D0F"/>
    <w:rsid w:val="00A57D65"/>
    <w:rsid w:val="00A57D71"/>
    <w:rsid w:val="00A57D81"/>
    <w:rsid w:val="00A57D9E"/>
    <w:rsid w:val="00A57DDA"/>
    <w:rsid w:val="00A57E75"/>
    <w:rsid w:val="00A57EAD"/>
    <w:rsid w:val="00A57EDA"/>
    <w:rsid w:val="00A57FE0"/>
    <w:rsid w:val="00A6000C"/>
    <w:rsid w:val="00A6002F"/>
    <w:rsid w:val="00A6008D"/>
    <w:rsid w:val="00A6013F"/>
    <w:rsid w:val="00A60149"/>
    <w:rsid w:val="00A6014B"/>
    <w:rsid w:val="00A60180"/>
    <w:rsid w:val="00A60190"/>
    <w:rsid w:val="00A601D1"/>
    <w:rsid w:val="00A601EB"/>
    <w:rsid w:val="00A60201"/>
    <w:rsid w:val="00A60204"/>
    <w:rsid w:val="00A6020A"/>
    <w:rsid w:val="00A6022F"/>
    <w:rsid w:val="00A602D6"/>
    <w:rsid w:val="00A602D8"/>
    <w:rsid w:val="00A602DA"/>
    <w:rsid w:val="00A6035D"/>
    <w:rsid w:val="00A6037B"/>
    <w:rsid w:val="00A603BD"/>
    <w:rsid w:val="00A603C8"/>
    <w:rsid w:val="00A603E3"/>
    <w:rsid w:val="00A60454"/>
    <w:rsid w:val="00A60466"/>
    <w:rsid w:val="00A604A6"/>
    <w:rsid w:val="00A604B4"/>
    <w:rsid w:val="00A604F2"/>
    <w:rsid w:val="00A604FC"/>
    <w:rsid w:val="00A6054A"/>
    <w:rsid w:val="00A6057F"/>
    <w:rsid w:val="00A605CE"/>
    <w:rsid w:val="00A60602"/>
    <w:rsid w:val="00A60637"/>
    <w:rsid w:val="00A60665"/>
    <w:rsid w:val="00A60668"/>
    <w:rsid w:val="00A60689"/>
    <w:rsid w:val="00A60696"/>
    <w:rsid w:val="00A60716"/>
    <w:rsid w:val="00A6077C"/>
    <w:rsid w:val="00A607BB"/>
    <w:rsid w:val="00A607E0"/>
    <w:rsid w:val="00A60804"/>
    <w:rsid w:val="00A608AA"/>
    <w:rsid w:val="00A6092A"/>
    <w:rsid w:val="00A6092E"/>
    <w:rsid w:val="00A609E4"/>
    <w:rsid w:val="00A60A00"/>
    <w:rsid w:val="00A60A1C"/>
    <w:rsid w:val="00A60A48"/>
    <w:rsid w:val="00A60A94"/>
    <w:rsid w:val="00A60AAA"/>
    <w:rsid w:val="00A60B30"/>
    <w:rsid w:val="00A60B7B"/>
    <w:rsid w:val="00A60B92"/>
    <w:rsid w:val="00A60B9F"/>
    <w:rsid w:val="00A60BD2"/>
    <w:rsid w:val="00A60C2F"/>
    <w:rsid w:val="00A60C65"/>
    <w:rsid w:val="00A60C6D"/>
    <w:rsid w:val="00A60C96"/>
    <w:rsid w:val="00A60C9D"/>
    <w:rsid w:val="00A60CD5"/>
    <w:rsid w:val="00A60D09"/>
    <w:rsid w:val="00A60D3A"/>
    <w:rsid w:val="00A60D3F"/>
    <w:rsid w:val="00A60D6C"/>
    <w:rsid w:val="00A60E1B"/>
    <w:rsid w:val="00A60E7F"/>
    <w:rsid w:val="00A60E83"/>
    <w:rsid w:val="00A60EE6"/>
    <w:rsid w:val="00A60F23"/>
    <w:rsid w:val="00A60FD1"/>
    <w:rsid w:val="00A61016"/>
    <w:rsid w:val="00A6104F"/>
    <w:rsid w:val="00A6105A"/>
    <w:rsid w:val="00A610B9"/>
    <w:rsid w:val="00A610EC"/>
    <w:rsid w:val="00A6113C"/>
    <w:rsid w:val="00A611E0"/>
    <w:rsid w:val="00A61273"/>
    <w:rsid w:val="00A61292"/>
    <w:rsid w:val="00A61389"/>
    <w:rsid w:val="00A613A2"/>
    <w:rsid w:val="00A613CA"/>
    <w:rsid w:val="00A61408"/>
    <w:rsid w:val="00A61413"/>
    <w:rsid w:val="00A61495"/>
    <w:rsid w:val="00A614C3"/>
    <w:rsid w:val="00A6154F"/>
    <w:rsid w:val="00A615B7"/>
    <w:rsid w:val="00A61627"/>
    <w:rsid w:val="00A6163B"/>
    <w:rsid w:val="00A616B6"/>
    <w:rsid w:val="00A6171B"/>
    <w:rsid w:val="00A61753"/>
    <w:rsid w:val="00A61758"/>
    <w:rsid w:val="00A6178A"/>
    <w:rsid w:val="00A617B5"/>
    <w:rsid w:val="00A61829"/>
    <w:rsid w:val="00A61838"/>
    <w:rsid w:val="00A61862"/>
    <w:rsid w:val="00A61865"/>
    <w:rsid w:val="00A618F0"/>
    <w:rsid w:val="00A61992"/>
    <w:rsid w:val="00A619EA"/>
    <w:rsid w:val="00A61A1E"/>
    <w:rsid w:val="00A61A75"/>
    <w:rsid w:val="00A61AA8"/>
    <w:rsid w:val="00A61ABC"/>
    <w:rsid w:val="00A61AC2"/>
    <w:rsid w:val="00A61B1D"/>
    <w:rsid w:val="00A61B66"/>
    <w:rsid w:val="00A61BC0"/>
    <w:rsid w:val="00A61D2A"/>
    <w:rsid w:val="00A61D37"/>
    <w:rsid w:val="00A61D5F"/>
    <w:rsid w:val="00A61DBC"/>
    <w:rsid w:val="00A61DDC"/>
    <w:rsid w:val="00A61E08"/>
    <w:rsid w:val="00A61E27"/>
    <w:rsid w:val="00A61E30"/>
    <w:rsid w:val="00A61E46"/>
    <w:rsid w:val="00A61E6E"/>
    <w:rsid w:val="00A61E70"/>
    <w:rsid w:val="00A61E75"/>
    <w:rsid w:val="00A61EAB"/>
    <w:rsid w:val="00A61EED"/>
    <w:rsid w:val="00A61F79"/>
    <w:rsid w:val="00A6200E"/>
    <w:rsid w:val="00A62032"/>
    <w:rsid w:val="00A62044"/>
    <w:rsid w:val="00A6204D"/>
    <w:rsid w:val="00A62067"/>
    <w:rsid w:val="00A6208B"/>
    <w:rsid w:val="00A620EA"/>
    <w:rsid w:val="00A620F6"/>
    <w:rsid w:val="00A6210C"/>
    <w:rsid w:val="00A62116"/>
    <w:rsid w:val="00A62141"/>
    <w:rsid w:val="00A62144"/>
    <w:rsid w:val="00A621C2"/>
    <w:rsid w:val="00A621CD"/>
    <w:rsid w:val="00A621EB"/>
    <w:rsid w:val="00A62212"/>
    <w:rsid w:val="00A62259"/>
    <w:rsid w:val="00A6225C"/>
    <w:rsid w:val="00A6226A"/>
    <w:rsid w:val="00A6228A"/>
    <w:rsid w:val="00A62300"/>
    <w:rsid w:val="00A62368"/>
    <w:rsid w:val="00A623B9"/>
    <w:rsid w:val="00A623F8"/>
    <w:rsid w:val="00A6243A"/>
    <w:rsid w:val="00A624EA"/>
    <w:rsid w:val="00A624F8"/>
    <w:rsid w:val="00A624FB"/>
    <w:rsid w:val="00A62590"/>
    <w:rsid w:val="00A625D4"/>
    <w:rsid w:val="00A6262E"/>
    <w:rsid w:val="00A62652"/>
    <w:rsid w:val="00A62661"/>
    <w:rsid w:val="00A62663"/>
    <w:rsid w:val="00A62689"/>
    <w:rsid w:val="00A626D6"/>
    <w:rsid w:val="00A627C3"/>
    <w:rsid w:val="00A62811"/>
    <w:rsid w:val="00A6285F"/>
    <w:rsid w:val="00A62873"/>
    <w:rsid w:val="00A62888"/>
    <w:rsid w:val="00A628CA"/>
    <w:rsid w:val="00A628CD"/>
    <w:rsid w:val="00A628DB"/>
    <w:rsid w:val="00A6299E"/>
    <w:rsid w:val="00A62A6D"/>
    <w:rsid w:val="00A62ABF"/>
    <w:rsid w:val="00A62ACF"/>
    <w:rsid w:val="00A62B4B"/>
    <w:rsid w:val="00A62B5F"/>
    <w:rsid w:val="00A62BCB"/>
    <w:rsid w:val="00A62BF5"/>
    <w:rsid w:val="00A62C42"/>
    <w:rsid w:val="00A62C44"/>
    <w:rsid w:val="00A62CE2"/>
    <w:rsid w:val="00A62CEB"/>
    <w:rsid w:val="00A62D3D"/>
    <w:rsid w:val="00A62DD9"/>
    <w:rsid w:val="00A62E55"/>
    <w:rsid w:val="00A62E64"/>
    <w:rsid w:val="00A62E6A"/>
    <w:rsid w:val="00A62E6E"/>
    <w:rsid w:val="00A62E72"/>
    <w:rsid w:val="00A62E86"/>
    <w:rsid w:val="00A62E95"/>
    <w:rsid w:val="00A62EBD"/>
    <w:rsid w:val="00A62EC0"/>
    <w:rsid w:val="00A62F94"/>
    <w:rsid w:val="00A62FC0"/>
    <w:rsid w:val="00A6302A"/>
    <w:rsid w:val="00A6303C"/>
    <w:rsid w:val="00A63072"/>
    <w:rsid w:val="00A63089"/>
    <w:rsid w:val="00A630F0"/>
    <w:rsid w:val="00A6310B"/>
    <w:rsid w:val="00A6311A"/>
    <w:rsid w:val="00A6313B"/>
    <w:rsid w:val="00A631CF"/>
    <w:rsid w:val="00A63224"/>
    <w:rsid w:val="00A6322D"/>
    <w:rsid w:val="00A63260"/>
    <w:rsid w:val="00A63271"/>
    <w:rsid w:val="00A63295"/>
    <w:rsid w:val="00A632BC"/>
    <w:rsid w:val="00A63311"/>
    <w:rsid w:val="00A633D7"/>
    <w:rsid w:val="00A63440"/>
    <w:rsid w:val="00A63460"/>
    <w:rsid w:val="00A6346A"/>
    <w:rsid w:val="00A6347D"/>
    <w:rsid w:val="00A6355A"/>
    <w:rsid w:val="00A63562"/>
    <w:rsid w:val="00A63584"/>
    <w:rsid w:val="00A635E7"/>
    <w:rsid w:val="00A63629"/>
    <w:rsid w:val="00A636D5"/>
    <w:rsid w:val="00A636F5"/>
    <w:rsid w:val="00A636F7"/>
    <w:rsid w:val="00A63733"/>
    <w:rsid w:val="00A63734"/>
    <w:rsid w:val="00A6375E"/>
    <w:rsid w:val="00A637DC"/>
    <w:rsid w:val="00A63806"/>
    <w:rsid w:val="00A63866"/>
    <w:rsid w:val="00A6386F"/>
    <w:rsid w:val="00A63894"/>
    <w:rsid w:val="00A638A2"/>
    <w:rsid w:val="00A638B4"/>
    <w:rsid w:val="00A638EA"/>
    <w:rsid w:val="00A6391F"/>
    <w:rsid w:val="00A63A23"/>
    <w:rsid w:val="00A63A6F"/>
    <w:rsid w:val="00A63A78"/>
    <w:rsid w:val="00A63ACB"/>
    <w:rsid w:val="00A63ADA"/>
    <w:rsid w:val="00A63AF0"/>
    <w:rsid w:val="00A63B0A"/>
    <w:rsid w:val="00A63B56"/>
    <w:rsid w:val="00A63BBD"/>
    <w:rsid w:val="00A63C15"/>
    <w:rsid w:val="00A63C34"/>
    <w:rsid w:val="00A63D50"/>
    <w:rsid w:val="00A63E14"/>
    <w:rsid w:val="00A63E51"/>
    <w:rsid w:val="00A63E70"/>
    <w:rsid w:val="00A63E8E"/>
    <w:rsid w:val="00A63F1B"/>
    <w:rsid w:val="00A63F48"/>
    <w:rsid w:val="00A63FA0"/>
    <w:rsid w:val="00A63FA1"/>
    <w:rsid w:val="00A63FC1"/>
    <w:rsid w:val="00A63FE4"/>
    <w:rsid w:val="00A6406E"/>
    <w:rsid w:val="00A6407F"/>
    <w:rsid w:val="00A64085"/>
    <w:rsid w:val="00A64089"/>
    <w:rsid w:val="00A640A1"/>
    <w:rsid w:val="00A640BD"/>
    <w:rsid w:val="00A64121"/>
    <w:rsid w:val="00A64176"/>
    <w:rsid w:val="00A641D1"/>
    <w:rsid w:val="00A64205"/>
    <w:rsid w:val="00A64234"/>
    <w:rsid w:val="00A6426B"/>
    <w:rsid w:val="00A642D1"/>
    <w:rsid w:val="00A642DC"/>
    <w:rsid w:val="00A64348"/>
    <w:rsid w:val="00A643AE"/>
    <w:rsid w:val="00A643B4"/>
    <w:rsid w:val="00A643B7"/>
    <w:rsid w:val="00A643F7"/>
    <w:rsid w:val="00A64403"/>
    <w:rsid w:val="00A64414"/>
    <w:rsid w:val="00A64613"/>
    <w:rsid w:val="00A6463C"/>
    <w:rsid w:val="00A64677"/>
    <w:rsid w:val="00A64710"/>
    <w:rsid w:val="00A64786"/>
    <w:rsid w:val="00A647C4"/>
    <w:rsid w:val="00A64892"/>
    <w:rsid w:val="00A649B7"/>
    <w:rsid w:val="00A649C1"/>
    <w:rsid w:val="00A649C9"/>
    <w:rsid w:val="00A649E8"/>
    <w:rsid w:val="00A64A3F"/>
    <w:rsid w:val="00A64A5B"/>
    <w:rsid w:val="00A64AC9"/>
    <w:rsid w:val="00A64ADB"/>
    <w:rsid w:val="00A64AF7"/>
    <w:rsid w:val="00A64B7D"/>
    <w:rsid w:val="00A64C00"/>
    <w:rsid w:val="00A64C08"/>
    <w:rsid w:val="00A64C5C"/>
    <w:rsid w:val="00A64D1D"/>
    <w:rsid w:val="00A64D4B"/>
    <w:rsid w:val="00A64D64"/>
    <w:rsid w:val="00A64DC9"/>
    <w:rsid w:val="00A64E04"/>
    <w:rsid w:val="00A64E38"/>
    <w:rsid w:val="00A64E58"/>
    <w:rsid w:val="00A64E61"/>
    <w:rsid w:val="00A64E94"/>
    <w:rsid w:val="00A64EBD"/>
    <w:rsid w:val="00A64ED3"/>
    <w:rsid w:val="00A64F38"/>
    <w:rsid w:val="00A64F3F"/>
    <w:rsid w:val="00A64F4B"/>
    <w:rsid w:val="00A64F68"/>
    <w:rsid w:val="00A64FF5"/>
    <w:rsid w:val="00A650AF"/>
    <w:rsid w:val="00A65148"/>
    <w:rsid w:val="00A6514F"/>
    <w:rsid w:val="00A6516B"/>
    <w:rsid w:val="00A651B6"/>
    <w:rsid w:val="00A651EC"/>
    <w:rsid w:val="00A651F1"/>
    <w:rsid w:val="00A651FF"/>
    <w:rsid w:val="00A65241"/>
    <w:rsid w:val="00A6525B"/>
    <w:rsid w:val="00A6535A"/>
    <w:rsid w:val="00A65361"/>
    <w:rsid w:val="00A6539C"/>
    <w:rsid w:val="00A6549A"/>
    <w:rsid w:val="00A654FA"/>
    <w:rsid w:val="00A6558D"/>
    <w:rsid w:val="00A655AF"/>
    <w:rsid w:val="00A655B1"/>
    <w:rsid w:val="00A655D7"/>
    <w:rsid w:val="00A655E0"/>
    <w:rsid w:val="00A65617"/>
    <w:rsid w:val="00A65623"/>
    <w:rsid w:val="00A6565A"/>
    <w:rsid w:val="00A65783"/>
    <w:rsid w:val="00A657FB"/>
    <w:rsid w:val="00A65833"/>
    <w:rsid w:val="00A6584D"/>
    <w:rsid w:val="00A65870"/>
    <w:rsid w:val="00A658DD"/>
    <w:rsid w:val="00A659F3"/>
    <w:rsid w:val="00A65A49"/>
    <w:rsid w:val="00A65AA4"/>
    <w:rsid w:val="00A65ACF"/>
    <w:rsid w:val="00A65AEE"/>
    <w:rsid w:val="00A65B2E"/>
    <w:rsid w:val="00A65B38"/>
    <w:rsid w:val="00A65BE9"/>
    <w:rsid w:val="00A65BEB"/>
    <w:rsid w:val="00A65C43"/>
    <w:rsid w:val="00A65C7D"/>
    <w:rsid w:val="00A65CB5"/>
    <w:rsid w:val="00A65CD3"/>
    <w:rsid w:val="00A65CDB"/>
    <w:rsid w:val="00A65D55"/>
    <w:rsid w:val="00A65DE5"/>
    <w:rsid w:val="00A65E22"/>
    <w:rsid w:val="00A65E2A"/>
    <w:rsid w:val="00A65E2E"/>
    <w:rsid w:val="00A65E85"/>
    <w:rsid w:val="00A65F52"/>
    <w:rsid w:val="00A65F56"/>
    <w:rsid w:val="00A65F70"/>
    <w:rsid w:val="00A65FC9"/>
    <w:rsid w:val="00A66016"/>
    <w:rsid w:val="00A6601B"/>
    <w:rsid w:val="00A6604B"/>
    <w:rsid w:val="00A66077"/>
    <w:rsid w:val="00A66080"/>
    <w:rsid w:val="00A660B8"/>
    <w:rsid w:val="00A660E9"/>
    <w:rsid w:val="00A66136"/>
    <w:rsid w:val="00A66155"/>
    <w:rsid w:val="00A66215"/>
    <w:rsid w:val="00A6625F"/>
    <w:rsid w:val="00A662A7"/>
    <w:rsid w:val="00A662BE"/>
    <w:rsid w:val="00A66381"/>
    <w:rsid w:val="00A66388"/>
    <w:rsid w:val="00A66442"/>
    <w:rsid w:val="00A664F8"/>
    <w:rsid w:val="00A6650E"/>
    <w:rsid w:val="00A66518"/>
    <w:rsid w:val="00A66528"/>
    <w:rsid w:val="00A6659C"/>
    <w:rsid w:val="00A665DB"/>
    <w:rsid w:val="00A66614"/>
    <w:rsid w:val="00A66616"/>
    <w:rsid w:val="00A66673"/>
    <w:rsid w:val="00A666B9"/>
    <w:rsid w:val="00A666BE"/>
    <w:rsid w:val="00A666C7"/>
    <w:rsid w:val="00A666E3"/>
    <w:rsid w:val="00A666F4"/>
    <w:rsid w:val="00A6670C"/>
    <w:rsid w:val="00A66726"/>
    <w:rsid w:val="00A6675D"/>
    <w:rsid w:val="00A667B0"/>
    <w:rsid w:val="00A667E0"/>
    <w:rsid w:val="00A66806"/>
    <w:rsid w:val="00A66859"/>
    <w:rsid w:val="00A6688A"/>
    <w:rsid w:val="00A668EE"/>
    <w:rsid w:val="00A66934"/>
    <w:rsid w:val="00A6696A"/>
    <w:rsid w:val="00A669AB"/>
    <w:rsid w:val="00A669C3"/>
    <w:rsid w:val="00A66A2A"/>
    <w:rsid w:val="00A66A32"/>
    <w:rsid w:val="00A66A42"/>
    <w:rsid w:val="00A66A64"/>
    <w:rsid w:val="00A66A74"/>
    <w:rsid w:val="00A66AD3"/>
    <w:rsid w:val="00A66B05"/>
    <w:rsid w:val="00A66B1B"/>
    <w:rsid w:val="00A66BE4"/>
    <w:rsid w:val="00A66C11"/>
    <w:rsid w:val="00A66C12"/>
    <w:rsid w:val="00A66C48"/>
    <w:rsid w:val="00A66C64"/>
    <w:rsid w:val="00A66CDF"/>
    <w:rsid w:val="00A66CE1"/>
    <w:rsid w:val="00A66CEB"/>
    <w:rsid w:val="00A66D8C"/>
    <w:rsid w:val="00A66DAB"/>
    <w:rsid w:val="00A66DD6"/>
    <w:rsid w:val="00A66E1B"/>
    <w:rsid w:val="00A66E94"/>
    <w:rsid w:val="00A66EAF"/>
    <w:rsid w:val="00A66EC0"/>
    <w:rsid w:val="00A66ECA"/>
    <w:rsid w:val="00A66F00"/>
    <w:rsid w:val="00A66FC3"/>
    <w:rsid w:val="00A67071"/>
    <w:rsid w:val="00A670D0"/>
    <w:rsid w:val="00A670D3"/>
    <w:rsid w:val="00A670F7"/>
    <w:rsid w:val="00A6712A"/>
    <w:rsid w:val="00A6715F"/>
    <w:rsid w:val="00A67161"/>
    <w:rsid w:val="00A671A4"/>
    <w:rsid w:val="00A671A5"/>
    <w:rsid w:val="00A671CC"/>
    <w:rsid w:val="00A671EE"/>
    <w:rsid w:val="00A67259"/>
    <w:rsid w:val="00A672AD"/>
    <w:rsid w:val="00A672B9"/>
    <w:rsid w:val="00A672BE"/>
    <w:rsid w:val="00A6734B"/>
    <w:rsid w:val="00A673D3"/>
    <w:rsid w:val="00A673FD"/>
    <w:rsid w:val="00A6743B"/>
    <w:rsid w:val="00A674BA"/>
    <w:rsid w:val="00A674D5"/>
    <w:rsid w:val="00A67539"/>
    <w:rsid w:val="00A67592"/>
    <w:rsid w:val="00A675AE"/>
    <w:rsid w:val="00A675E4"/>
    <w:rsid w:val="00A675FA"/>
    <w:rsid w:val="00A67602"/>
    <w:rsid w:val="00A676D5"/>
    <w:rsid w:val="00A676F6"/>
    <w:rsid w:val="00A6773B"/>
    <w:rsid w:val="00A67740"/>
    <w:rsid w:val="00A67798"/>
    <w:rsid w:val="00A677E3"/>
    <w:rsid w:val="00A67826"/>
    <w:rsid w:val="00A6783B"/>
    <w:rsid w:val="00A6786E"/>
    <w:rsid w:val="00A67879"/>
    <w:rsid w:val="00A67899"/>
    <w:rsid w:val="00A678FD"/>
    <w:rsid w:val="00A67912"/>
    <w:rsid w:val="00A6791C"/>
    <w:rsid w:val="00A6792A"/>
    <w:rsid w:val="00A67954"/>
    <w:rsid w:val="00A67964"/>
    <w:rsid w:val="00A6797F"/>
    <w:rsid w:val="00A67999"/>
    <w:rsid w:val="00A679C4"/>
    <w:rsid w:val="00A679F6"/>
    <w:rsid w:val="00A67A7D"/>
    <w:rsid w:val="00A67A80"/>
    <w:rsid w:val="00A67AA2"/>
    <w:rsid w:val="00A67AA8"/>
    <w:rsid w:val="00A67AD1"/>
    <w:rsid w:val="00A67ADF"/>
    <w:rsid w:val="00A67B0F"/>
    <w:rsid w:val="00A67B1E"/>
    <w:rsid w:val="00A67B22"/>
    <w:rsid w:val="00A67B2A"/>
    <w:rsid w:val="00A67B38"/>
    <w:rsid w:val="00A67B61"/>
    <w:rsid w:val="00A67B6D"/>
    <w:rsid w:val="00A67B87"/>
    <w:rsid w:val="00A67BB5"/>
    <w:rsid w:val="00A67BE3"/>
    <w:rsid w:val="00A67BF2"/>
    <w:rsid w:val="00A67C34"/>
    <w:rsid w:val="00A67C40"/>
    <w:rsid w:val="00A67C42"/>
    <w:rsid w:val="00A67C60"/>
    <w:rsid w:val="00A67C72"/>
    <w:rsid w:val="00A67C9A"/>
    <w:rsid w:val="00A67C9F"/>
    <w:rsid w:val="00A67D2B"/>
    <w:rsid w:val="00A67D53"/>
    <w:rsid w:val="00A67D78"/>
    <w:rsid w:val="00A67DCB"/>
    <w:rsid w:val="00A67E07"/>
    <w:rsid w:val="00A67E0E"/>
    <w:rsid w:val="00A67E17"/>
    <w:rsid w:val="00A67E8E"/>
    <w:rsid w:val="00A67EBD"/>
    <w:rsid w:val="00A67EC4"/>
    <w:rsid w:val="00A67F12"/>
    <w:rsid w:val="00A67F2F"/>
    <w:rsid w:val="00A67FA2"/>
    <w:rsid w:val="00A67FFD"/>
    <w:rsid w:val="00A70006"/>
    <w:rsid w:val="00A7004D"/>
    <w:rsid w:val="00A7019C"/>
    <w:rsid w:val="00A701D8"/>
    <w:rsid w:val="00A701E2"/>
    <w:rsid w:val="00A70225"/>
    <w:rsid w:val="00A702AE"/>
    <w:rsid w:val="00A702BF"/>
    <w:rsid w:val="00A702C3"/>
    <w:rsid w:val="00A702FB"/>
    <w:rsid w:val="00A70340"/>
    <w:rsid w:val="00A7034C"/>
    <w:rsid w:val="00A70371"/>
    <w:rsid w:val="00A703C6"/>
    <w:rsid w:val="00A70430"/>
    <w:rsid w:val="00A70449"/>
    <w:rsid w:val="00A70460"/>
    <w:rsid w:val="00A7047C"/>
    <w:rsid w:val="00A7048B"/>
    <w:rsid w:val="00A704BC"/>
    <w:rsid w:val="00A70514"/>
    <w:rsid w:val="00A7051E"/>
    <w:rsid w:val="00A70542"/>
    <w:rsid w:val="00A70544"/>
    <w:rsid w:val="00A7058C"/>
    <w:rsid w:val="00A70630"/>
    <w:rsid w:val="00A7063D"/>
    <w:rsid w:val="00A7067C"/>
    <w:rsid w:val="00A7068C"/>
    <w:rsid w:val="00A706A8"/>
    <w:rsid w:val="00A706B6"/>
    <w:rsid w:val="00A706E7"/>
    <w:rsid w:val="00A706F5"/>
    <w:rsid w:val="00A7080E"/>
    <w:rsid w:val="00A70863"/>
    <w:rsid w:val="00A708D4"/>
    <w:rsid w:val="00A70900"/>
    <w:rsid w:val="00A70A59"/>
    <w:rsid w:val="00A70AB0"/>
    <w:rsid w:val="00A70AC3"/>
    <w:rsid w:val="00A70ACA"/>
    <w:rsid w:val="00A70B55"/>
    <w:rsid w:val="00A70B8A"/>
    <w:rsid w:val="00A70BC8"/>
    <w:rsid w:val="00A70C24"/>
    <w:rsid w:val="00A70CC4"/>
    <w:rsid w:val="00A70D23"/>
    <w:rsid w:val="00A70D24"/>
    <w:rsid w:val="00A70D51"/>
    <w:rsid w:val="00A70D5E"/>
    <w:rsid w:val="00A70DB9"/>
    <w:rsid w:val="00A70E60"/>
    <w:rsid w:val="00A70F09"/>
    <w:rsid w:val="00A70F0A"/>
    <w:rsid w:val="00A70F1D"/>
    <w:rsid w:val="00A70F44"/>
    <w:rsid w:val="00A70F49"/>
    <w:rsid w:val="00A70F6F"/>
    <w:rsid w:val="00A70F82"/>
    <w:rsid w:val="00A70F9E"/>
    <w:rsid w:val="00A70FB8"/>
    <w:rsid w:val="00A70FF6"/>
    <w:rsid w:val="00A71001"/>
    <w:rsid w:val="00A71036"/>
    <w:rsid w:val="00A7103B"/>
    <w:rsid w:val="00A71046"/>
    <w:rsid w:val="00A71076"/>
    <w:rsid w:val="00A7108B"/>
    <w:rsid w:val="00A710E7"/>
    <w:rsid w:val="00A71106"/>
    <w:rsid w:val="00A71114"/>
    <w:rsid w:val="00A71173"/>
    <w:rsid w:val="00A711F0"/>
    <w:rsid w:val="00A71232"/>
    <w:rsid w:val="00A71292"/>
    <w:rsid w:val="00A712D4"/>
    <w:rsid w:val="00A712E3"/>
    <w:rsid w:val="00A712F0"/>
    <w:rsid w:val="00A7130E"/>
    <w:rsid w:val="00A71383"/>
    <w:rsid w:val="00A713E5"/>
    <w:rsid w:val="00A71403"/>
    <w:rsid w:val="00A71412"/>
    <w:rsid w:val="00A71417"/>
    <w:rsid w:val="00A71450"/>
    <w:rsid w:val="00A714C1"/>
    <w:rsid w:val="00A714E2"/>
    <w:rsid w:val="00A71577"/>
    <w:rsid w:val="00A715AD"/>
    <w:rsid w:val="00A715FA"/>
    <w:rsid w:val="00A7160B"/>
    <w:rsid w:val="00A7166A"/>
    <w:rsid w:val="00A7167C"/>
    <w:rsid w:val="00A716A6"/>
    <w:rsid w:val="00A71746"/>
    <w:rsid w:val="00A717A6"/>
    <w:rsid w:val="00A7182E"/>
    <w:rsid w:val="00A7186C"/>
    <w:rsid w:val="00A71888"/>
    <w:rsid w:val="00A71890"/>
    <w:rsid w:val="00A718A6"/>
    <w:rsid w:val="00A718B2"/>
    <w:rsid w:val="00A718B7"/>
    <w:rsid w:val="00A7190F"/>
    <w:rsid w:val="00A71961"/>
    <w:rsid w:val="00A719C5"/>
    <w:rsid w:val="00A71A7A"/>
    <w:rsid w:val="00A71AA6"/>
    <w:rsid w:val="00A71B2F"/>
    <w:rsid w:val="00A71B3B"/>
    <w:rsid w:val="00A71BAB"/>
    <w:rsid w:val="00A71BD3"/>
    <w:rsid w:val="00A71BD9"/>
    <w:rsid w:val="00A71BE4"/>
    <w:rsid w:val="00A71C29"/>
    <w:rsid w:val="00A71C5B"/>
    <w:rsid w:val="00A71CBD"/>
    <w:rsid w:val="00A71CD7"/>
    <w:rsid w:val="00A71DAD"/>
    <w:rsid w:val="00A71DB5"/>
    <w:rsid w:val="00A71DC0"/>
    <w:rsid w:val="00A71DCD"/>
    <w:rsid w:val="00A71E1D"/>
    <w:rsid w:val="00A71E81"/>
    <w:rsid w:val="00A71E8E"/>
    <w:rsid w:val="00A71EC5"/>
    <w:rsid w:val="00A71F3A"/>
    <w:rsid w:val="00A71F7D"/>
    <w:rsid w:val="00A71F7F"/>
    <w:rsid w:val="00A71FF5"/>
    <w:rsid w:val="00A720A4"/>
    <w:rsid w:val="00A720B9"/>
    <w:rsid w:val="00A721CC"/>
    <w:rsid w:val="00A721EC"/>
    <w:rsid w:val="00A72298"/>
    <w:rsid w:val="00A722B1"/>
    <w:rsid w:val="00A722F2"/>
    <w:rsid w:val="00A723F1"/>
    <w:rsid w:val="00A72410"/>
    <w:rsid w:val="00A7243B"/>
    <w:rsid w:val="00A72446"/>
    <w:rsid w:val="00A7245B"/>
    <w:rsid w:val="00A7245D"/>
    <w:rsid w:val="00A724AB"/>
    <w:rsid w:val="00A72554"/>
    <w:rsid w:val="00A7255F"/>
    <w:rsid w:val="00A725A3"/>
    <w:rsid w:val="00A72718"/>
    <w:rsid w:val="00A72750"/>
    <w:rsid w:val="00A72755"/>
    <w:rsid w:val="00A727C4"/>
    <w:rsid w:val="00A72862"/>
    <w:rsid w:val="00A728AA"/>
    <w:rsid w:val="00A728F2"/>
    <w:rsid w:val="00A7295B"/>
    <w:rsid w:val="00A7299A"/>
    <w:rsid w:val="00A729EA"/>
    <w:rsid w:val="00A72A2A"/>
    <w:rsid w:val="00A72A5E"/>
    <w:rsid w:val="00A72AA8"/>
    <w:rsid w:val="00A72AD8"/>
    <w:rsid w:val="00A72AEA"/>
    <w:rsid w:val="00A72AEC"/>
    <w:rsid w:val="00A72B2F"/>
    <w:rsid w:val="00A72BD9"/>
    <w:rsid w:val="00A72BEC"/>
    <w:rsid w:val="00A72C1F"/>
    <w:rsid w:val="00A72C39"/>
    <w:rsid w:val="00A72C3F"/>
    <w:rsid w:val="00A72C41"/>
    <w:rsid w:val="00A72C57"/>
    <w:rsid w:val="00A72C86"/>
    <w:rsid w:val="00A72C8F"/>
    <w:rsid w:val="00A72CD1"/>
    <w:rsid w:val="00A72CFC"/>
    <w:rsid w:val="00A72D38"/>
    <w:rsid w:val="00A72DBB"/>
    <w:rsid w:val="00A72DED"/>
    <w:rsid w:val="00A72E02"/>
    <w:rsid w:val="00A72E06"/>
    <w:rsid w:val="00A72E0A"/>
    <w:rsid w:val="00A72E31"/>
    <w:rsid w:val="00A72E60"/>
    <w:rsid w:val="00A72F62"/>
    <w:rsid w:val="00A72FA8"/>
    <w:rsid w:val="00A73050"/>
    <w:rsid w:val="00A730A2"/>
    <w:rsid w:val="00A7312C"/>
    <w:rsid w:val="00A7319E"/>
    <w:rsid w:val="00A7320E"/>
    <w:rsid w:val="00A73226"/>
    <w:rsid w:val="00A7334C"/>
    <w:rsid w:val="00A73372"/>
    <w:rsid w:val="00A73412"/>
    <w:rsid w:val="00A7342C"/>
    <w:rsid w:val="00A7345A"/>
    <w:rsid w:val="00A73490"/>
    <w:rsid w:val="00A734E6"/>
    <w:rsid w:val="00A73527"/>
    <w:rsid w:val="00A73572"/>
    <w:rsid w:val="00A7358C"/>
    <w:rsid w:val="00A735B9"/>
    <w:rsid w:val="00A735C1"/>
    <w:rsid w:val="00A735DF"/>
    <w:rsid w:val="00A735FD"/>
    <w:rsid w:val="00A73617"/>
    <w:rsid w:val="00A73695"/>
    <w:rsid w:val="00A736C6"/>
    <w:rsid w:val="00A736E7"/>
    <w:rsid w:val="00A7375E"/>
    <w:rsid w:val="00A7376F"/>
    <w:rsid w:val="00A73782"/>
    <w:rsid w:val="00A737A8"/>
    <w:rsid w:val="00A737B6"/>
    <w:rsid w:val="00A737CA"/>
    <w:rsid w:val="00A73851"/>
    <w:rsid w:val="00A73878"/>
    <w:rsid w:val="00A73910"/>
    <w:rsid w:val="00A739B7"/>
    <w:rsid w:val="00A739BD"/>
    <w:rsid w:val="00A73A22"/>
    <w:rsid w:val="00A73A85"/>
    <w:rsid w:val="00A73AB4"/>
    <w:rsid w:val="00A73B4A"/>
    <w:rsid w:val="00A73B8B"/>
    <w:rsid w:val="00A73BEF"/>
    <w:rsid w:val="00A73BF7"/>
    <w:rsid w:val="00A73BFB"/>
    <w:rsid w:val="00A73C41"/>
    <w:rsid w:val="00A73D2B"/>
    <w:rsid w:val="00A73D9E"/>
    <w:rsid w:val="00A73DB9"/>
    <w:rsid w:val="00A73DC9"/>
    <w:rsid w:val="00A73DF7"/>
    <w:rsid w:val="00A73E14"/>
    <w:rsid w:val="00A73E66"/>
    <w:rsid w:val="00A73E9C"/>
    <w:rsid w:val="00A73EAC"/>
    <w:rsid w:val="00A73F17"/>
    <w:rsid w:val="00A73FDE"/>
    <w:rsid w:val="00A74013"/>
    <w:rsid w:val="00A74034"/>
    <w:rsid w:val="00A740F6"/>
    <w:rsid w:val="00A740FF"/>
    <w:rsid w:val="00A74137"/>
    <w:rsid w:val="00A74144"/>
    <w:rsid w:val="00A7423B"/>
    <w:rsid w:val="00A74268"/>
    <w:rsid w:val="00A742AA"/>
    <w:rsid w:val="00A742E3"/>
    <w:rsid w:val="00A742E8"/>
    <w:rsid w:val="00A74382"/>
    <w:rsid w:val="00A743CC"/>
    <w:rsid w:val="00A743E8"/>
    <w:rsid w:val="00A74430"/>
    <w:rsid w:val="00A74490"/>
    <w:rsid w:val="00A744B3"/>
    <w:rsid w:val="00A744C2"/>
    <w:rsid w:val="00A74524"/>
    <w:rsid w:val="00A7458F"/>
    <w:rsid w:val="00A7459C"/>
    <w:rsid w:val="00A745AF"/>
    <w:rsid w:val="00A745C0"/>
    <w:rsid w:val="00A745E3"/>
    <w:rsid w:val="00A745FE"/>
    <w:rsid w:val="00A74659"/>
    <w:rsid w:val="00A746F4"/>
    <w:rsid w:val="00A74751"/>
    <w:rsid w:val="00A7476F"/>
    <w:rsid w:val="00A74791"/>
    <w:rsid w:val="00A747A5"/>
    <w:rsid w:val="00A7486F"/>
    <w:rsid w:val="00A74896"/>
    <w:rsid w:val="00A74944"/>
    <w:rsid w:val="00A7496F"/>
    <w:rsid w:val="00A749A7"/>
    <w:rsid w:val="00A749B3"/>
    <w:rsid w:val="00A749B8"/>
    <w:rsid w:val="00A749B9"/>
    <w:rsid w:val="00A74A62"/>
    <w:rsid w:val="00A74AA1"/>
    <w:rsid w:val="00A74AE6"/>
    <w:rsid w:val="00A74B0D"/>
    <w:rsid w:val="00A74B42"/>
    <w:rsid w:val="00A74B92"/>
    <w:rsid w:val="00A74BDE"/>
    <w:rsid w:val="00A74C38"/>
    <w:rsid w:val="00A74C6E"/>
    <w:rsid w:val="00A74CCD"/>
    <w:rsid w:val="00A74CF3"/>
    <w:rsid w:val="00A74D2E"/>
    <w:rsid w:val="00A74DF2"/>
    <w:rsid w:val="00A74E2F"/>
    <w:rsid w:val="00A74E42"/>
    <w:rsid w:val="00A74E4D"/>
    <w:rsid w:val="00A74E73"/>
    <w:rsid w:val="00A74EAC"/>
    <w:rsid w:val="00A74EE0"/>
    <w:rsid w:val="00A74F2C"/>
    <w:rsid w:val="00A74F8C"/>
    <w:rsid w:val="00A74F8F"/>
    <w:rsid w:val="00A74F91"/>
    <w:rsid w:val="00A74FB4"/>
    <w:rsid w:val="00A74FF1"/>
    <w:rsid w:val="00A75026"/>
    <w:rsid w:val="00A75049"/>
    <w:rsid w:val="00A7504E"/>
    <w:rsid w:val="00A75106"/>
    <w:rsid w:val="00A75107"/>
    <w:rsid w:val="00A75117"/>
    <w:rsid w:val="00A75128"/>
    <w:rsid w:val="00A75132"/>
    <w:rsid w:val="00A75133"/>
    <w:rsid w:val="00A75185"/>
    <w:rsid w:val="00A751C1"/>
    <w:rsid w:val="00A75218"/>
    <w:rsid w:val="00A75245"/>
    <w:rsid w:val="00A7528A"/>
    <w:rsid w:val="00A7528B"/>
    <w:rsid w:val="00A7529A"/>
    <w:rsid w:val="00A752D9"/>
    <w:rsid w:val="00A75302"/>
    <w:rsid w:val="00A7530E"/>
    <w:rsid w:val="00A75340"/>
    <w:rsid w:val="00A75372"/>
    <w:rsid w:val="00A7537C"/>
    <w:rsid w:val="00A75384"/>
    <w:rsid w:val="00A75388"/>
    <w:rsid w:val="00A753CA"/>
    <w:rsid w:val="00A753CD"/>
    <w:rsid w:val="00A753FD"/>
    <w:rsid w:val="00A75401"/>
    <w:rsid w:val="00A75437"/>
    <w:rsid w:val="00A7544A"/>
    <w:rsid w:val="00A754EA"/>
    <w:rsid w:val="00A7550F"/>
    <w:rsid w:val="00A75584"/>
    <w:rsid w:val="00A7561B"/>
    <w:rsid w:val="00A75626"/>
    <w:rsid w:val="00A75642"/>
    <w:rsid w:val="00A75672"/>
    <w:rsid w:val="00A75712"/>
    <w:rsid w:val="00A75726"/>
    <w:rsid w:val="00A7573C"/>
    <w:rsid w:val="00A757F9"/>
    <w:rsid w:val="00A7585D"/>
    <w:rsid w:val="00A75874"/>
    <w:rsid w:val="00A7591A"/>
    <w:rsid w:val="00A75960"/>
    <w:rsid w:val="00A7596A"/>
    <w:rsid w:val="00A759A2"/>
    <w:rsid w:val="00A759E7"/>
    <w:rsid w:val="00A75A00"/>
    <w:rsid w:val="00A75AAA"/>
    <w:rsid w:val="00A75ABE"/>
    <w:rsid w:val="00A75AEB"/>
    <w:rsid w:val="00A75B0F"/>
    <w:rsid w:val="00A75B44"/>
    <w:rsid w:val="00A75B52"/>
    <w:rsid w:val="00A75B72"/>
    <w:rsid w:val="00A75C48"/>
    <w:rsid w:val="00A75C71"/>
    <w:rsid w:val="00A75C93"/>
    <w:rsid w:val="00A75CA8"/>
    <w:rsid w:val="00A75D10"/>
    <w:rsid w:val="00A75D24"/>
    <w:rsid w:val="00A75D47"/>
    <w:rsid w:val="00A75DCE"/>
    <w:rsid w:val="00A75DDE"/>
    <w:rsid w:val="00A75DF9"/>
    <w:rsid w:val="00A75E18"/>
    <w:rsid w:val="00A75E1D"/>
    <w:rsid w:val="00A75E58"/>
    <w:rsid w:val="00A75E7E"/>
    <w:rsid w:val="00A75E83"/>
    <w:rsid w:val="00A75E9C"/>
    <w:rsid w:val="00A75EEB"/>
    <w:rsid w:val="00A75F6D"/>
    <w:rsid w:val="00A75F8D"/>
    <w:rsid w:val="00A75FB1"/>
    <w:rsid w:val="00A75FC2"/>
    <w:rsid w:val="00A760A6"/>
    <w:rsid w:val="00A76166"/>
    <w:rsid w:val="00A76189"/>
    <w:rsid w:val="00A7619A"/>
    <w:rsid w:val="00A761D2"/>
    <w:rsid w:val="00A7622A"/>
    <w:rsid w:val="00A76291"/>
    <w:rsid w:val="00A76293"/>
    <w:rsid w:val="00A762AD"/>
    <w:rsid w:val="00A762E8"/>
    <w:rsid w:val="00A7631A"/>
    <w:rsid w:val="00A76334"/>
    <w:rsid w:val="00A76378"/>
    <w:rsid w:val="00A763EE"/>
    <w:rsid w:val="00A76482"/>
    <w:rsid w:val="00A76491"/>
    <w:rsid w:val="00A764B9"/>
    <w:rsid w:val="00A764BA"/>
    <w:rsid w:val="00A764EC"/>
    <w:rsid w:val="00A76506"/>
    <w:rsid w:val="00A7650F"/>
    <w:rsid w:val="00A76518"/>
    <w:rsid w:val="00A7652F"/>
    <w:rsid w:val="00A7655E"/>
    <w:rsid w:val="00A76593"/>
    <w:rsid w:val="00A765B1"/>
    <w:rsid w:val="00A765B5"/>
    <w:rsid w:val="00A765CF"/>
    <w:rsid w:val="00A765D5"/>
    <w:rsid w:val="00A765E4"/>
    <w:rsid w:val="00A7663B"/>
    <w:rsid w:val="00A7668A"/>
    <w:rsid w:val="00A7669E"/>
    <w:rsid w:val="00A76725"/>
    <w:rsid w:val="00A76783"/>
    <w:rsid w:val="00A76795"/>
    <w:rsid w:val="00A767FB"/>
    <w:rsid w:val="00A767FE"/>
    <w:rsid w:val="00A76835"/>
    <w:rsid w:val="00A7685A"/>
    <w:rsid w:val="00A76894"/>
    <w:rsid w:val="00A7693F"/>
    <w:rsid w:val="00A76947"/>
    <w:rsid w:val="00A769CE"/>
    <w:rsid w:val="00A769ED"/>
    <w:rsid w:val="00A76A1B"/>
    <w:rsid w:val="00A76A45"/>
    <w:rsid w:val="00A76A5D"/>
    <w:rsid w:val="00A76A6B"/>
    <w:rsid w:val="00A76A77"/>
    <w:rsid w:val="00A76A97"/>
    <w:rsid w:val="00A76AB5"/>
    <w:rsid w:val="00A76AB7"/>
    <w:rsid w:val="00A76ABC"/>
    <w:rsid w:val="00A76AD7"/>
    <w:rsid w:val="00A76AE8"/>
    <w:rsid w:val="00A76B5F"/>
    <w:rsid w:val="00A76B65"/>
    <w:rsid w:val="00A76BE2"/>
    <w:rsid w:val="00A76BF8"/>
    <w:rsid w:val="00A76C36"/>
    <w:rsid w:val="00A76C6B"/>
    <w:rsid w:val="00A76CC2"/>
    <w:rsid w:val="00A76CED"/>
    <w:rsid w:val="00A76D70"/>
    <w:rsid w:val="00A76DE4"/>
    <w:rsid w:val="00A76E3D"/>
    <w:rsid w:val="00A76E69"/>
    <w:rsid w:val="00A76F04"/>
    <w:rsid w:val="00A76F0E"/>
    <w:rsid w:val="00A76F1C"/>
    <w:rsid w:val="00A76F1E"/>
    <w:rsid w:val="00A76F44"/>
    <w:rsid w:val="00A76F69"/>
    <w:rsid w:val="00A76F9E"/>
    <w:rsid w:val="00A76FA5"/>
    <w:rsid w:val="00A76FB2"/>
    <w:rsid w:val="00A76FC1"/>
    <w:rsid w:val="00A76FC9"/>
    <w:rsid w:val="00A76FEC"/>
    <w:rsid w:val="00A7704C"/>
    <w:rsid w:val="00A77098"/>
    <w:rsid w:val="00A770DF"/>
    <w:rsid w:val="00A7711B"/>
    <w:rsid w:val="00A7717C"/>
    <w:rsid w:val="00A7717E"/>
    <w:rsid w:val="00A771AC"/>
    <w:rsid w:val="00A771E2"/>
    <w:rsid w:val="00A77280"/>
    <w:rsid w:val="00A772D3"/>
    <w:rsid w:val="00A77309"/>
    <w:rsid w:val="00A77325"/>
    <w:rsid w:val="00A77330"/>
    <w:rsid w:val="00A77336"/>
    <w:rsid w:val="00A7737E"/>
    <w:rsid w:val="00A7738B"/>
    <w:rsid w:val="00A773A4"/>
    <w:rsid w:val="00A773B7"/>
    <w:rsid w:val="00A77410"/>
    <w:rsid w:val="00A77416"/>
    <w:rsid w:val="00A77417"/>
    <w:rsid w:val="00A7742D"/>
    <w:rsid w:val="00A774D0"/>
    <w:rsid w:val="00A774D9"/>
    <w:rsid w:val="00A774E8"/>
    <w:rsid w:val="00A77503"/>
    <w:rsid w:val="00A7755B"/>
    <w:rsid w:val="00A77565"/>
    <w:rsid w:val="00A775A8"/>
    <w:rsid w:val="00A775B1"/>
    <w:rsid w:val="00A775B2"/>
    <w:rsid w:val="00A775C3"/>
    <w:rsid w:val="00A7766C"/>
    <w:rsid w:val="00A77671"/>
    <w:rsid w:val="00A776A9"/>
    <w:rsid w:val="00A77779"/>
    <w:rsid w:val="00A777EC"/>
    <w:rsid w:val="00A777F1"/>
    <w:rsid w:val="00A778B2"/>
    <w:rsid w:val="00A7790E"/>
    <w:rsid w:val="00A779C9"/>
    <w:rsid w:val="00A779F0"/>
    <w:rsid w:val="00A77A9C"/>
    <w:rsid w:val="00A77ADB"/>
    <w:rsid w:val="00A77AE5"/>
    <w:rsid w:val="00A77B04"/>
    <w:rsid w:val="00A77B8F"/>
    <w:rsid w:val="00A77BCC"/>
    <w:rsid w:val="00A77C07"/>
    <w:rsid w:val="00A77C1D"/>
    <w:rsid w:val="00A77C5B"/>
    <w:rsid w:val="00A77C9B"/>
    <w:rsid w:val="00A77CC3"/>
    <w:rsid w:val="00A77CF8"/>
    <w:rsid w:val="00A77CFC"/>
    <w:rsid w:val="00A77DAE"/>
    <w:rsid w:val="00A77E09"/>
    <w:rsid w:val="00A77E69"/>
    <w:rsid w:val="00A77EE7"/>
    <w:rsid w:val="00A77F0B"/>
    <w:rsid w:val="00A77F62"/>
    <w:rsid w:val="00A77F9F"/>
    <w:rsid w:val="00A77FA8"/>
    <w:rsid w:val="00A77FAB"/>
    <w:rsid w:val="00A77FAC"/>
    <w:rsid w:val="00A77FE9"/>
    <w:rsid w:val="00A80011"/>
    <w:rsid w:val="00A8008A"/>
    <w:rsid w:val="00A80094"/>
    <w:rsid w:val="00A800C8"/>
    <w:rsid w:val="00A800D6"/>
    <w:rsid w:val="00A800D7"/>
    <w:rsid w:val="00A8012A"/>
    <w:rsid w:val="00A80190"/>
    <w:rsid w:val="00A801F1"/>
    <w:rsid w:val="00A8022F"/>
    <w:rsid w:val="00A802AE"/>
    <w:rsid w:val="00A802F5"/>
    <w:rsid w:val="00A8032F"/>
    <w:rsid w:val="00A8035D"/>
    <w:rsid w:val="00A8038E"/>
    <w:rsid w:val="00A803E0"/>
    <w:rsid w:val="00A803E1"/>
    <w:rsid w:val="00A80415"/>
    <w:rsid w:val="00A80495"/>
    <w:rsid w:val="00A804B6"/>
    <w:rsid w:val="00A804E3"/>
    <w:rsid w:val="00A804F6"/>
    <w:rsid w:val="00A8054D"/>
    <w:rsid w:val="00A8059B"/>
    <w:rsid w:val="00A805F3"/>
    <w:rsid w:val="00A80653"/>
    <w:rsid w:val="00A80655"/>
    <w:rsid w:val="00A80667"/>
    <w:rsid w:val="00A80676"/>
    <w:rsid w:val="00A8068C"/>
    <w:rsid w:val="00A8069F"/>
    <w:rsid w:val="00A806C8"/>
    <w:rsid w:val="00A806E1"/>
    <w:rsid w:val="00A80774"/>
    <w:rsid w:val="00A807A2"/>
    <w:rsid w:val="00A807D5"/>
    <w:rsid w:val="00A807E9"/>
    <w:rsid w:val="00A80810"/>
    <w:rsid w:val="00A80880"/>
    <w:rsid w:val="00A808AA"/>
    <w:rsid w:val="00A808E9"/>
    <w:rsid w:val="00A808FE"/>
    <w:rsid w:val="00A80902"/>
    <w:rsid w:val="00A8092F"/>
    <w:rsid w:val="00A8095A"/>
    <w:rsid w:val="00A809D7"/>
    <w:rsid w:val="00A80A00"/>
    <w:rsid w:val="00A80A18"/>
    <w:rsid w:val="00A80A44"/>
    <w:rsid w:val="00A80AC2"/>
    <w:rsid w:val="00A80B2E"/>
    <w:rsid w:val="00A80B61"/>
    <w:rsid w:val="00A80B8F"/>
    <w:rsid w:val="00A80BF2"/>
    <w:rsid w:val="00A80C04"/>
    <w:rsid w:val="00A80C6F"/>
    <w:rsid w:val="00A80CFC"/>
    <w:rsid w:val="00A80D52"/>
    <w:rsid w:val="00A80DF9"/>
    <w:rsid w:val="00A80E18"/>
    <w:rsid w:val="00A80E29"/>
    <w:rsid w:val="00A80E2A"/>
    <w:rsid w:val="00A80EE7"/>
    <w:rsid w:val="00A80EFD"/>
    <w:rsid w:val="00A80F49"/>
    <w:rsid w:val="00A80F4B"/>
    <w:rsid w:val="00A80F5D"/>
    <w:rsid w:val="00A80F95"/>
    <w:rsid w:val="00A80FC6"/>
    <w:rsid w:val="00A8100D"/>
    <w:rsid w:val="00A81020"/>
    <w:rsid w:val="00A8108A"/>
    <w:rsid w:val="00A810E0"/>
    <w:rsid w:val="00A810EE"/>
    <w:rsid w:val="00A8111C"/>
    <w:rsid w:val="00A81126"/>
    <w:rsid w:val="00A811ED"/>
    <w:rsid w:val="00A81224"/>
    <w:rsid w:val="00A8122C"/>
    <w:rsid w:val="00A8127D"/>
    <w:rsid w:val="00A81366"/>
    <w:rsid w:val="00A8136E"/>
    <w:rsid w:val="00A81374"/>
    <w:rsid w:val="00A81376"/>
    <w:rsid w:val="00A81414"/>
    <w:rsid w:val="00A81457"/>
    <w:rsid w:val="00A81458"/>
    <w:rsid w:val="00A81464"/>
    <w:rsid w:val="00A81493"/>
    <w:rsid w:val="00A814D4"/>
    <w:rsid w:val="00A814D9"/>
    <w:rsid w:val="00A815C7"/>
    <w:rsid w:val="00A81622"/>
    <w:rsid w:val="00A8169A"/>
    <w:rsid w:val="00A81716"/>
    <w:rsid w:val="00A81727"/>
    <w:rsid w:val="00A81760"/>
    <w:rsid w:val="00A81826"/>
    <w:rsid w:val="00A818CA"/>
    <w:rsid w:val="00A8191A"/>
    <w:rsid w:val="00A81921"/>
    <w:rsid w:val="00A81976"/>
    <w:rsid w:val="00A81993"/>
    <w:rsid w:val="00A81997"/>
    <w:rsid w:val="00A8199A"/>
    <w:rsid w:val="00A819D8"/>
    <w:rsid w:val="00A819DB"/>
    <w:rsid w:val="00A819E1"/>
    <w:rsid w:val="00A819F7"/>
    <w:rsid w:val="00A81A03"/>
    <w:rsid w:val="00A81A52"/>
    <w:rsid w:val="00A81A60"/>
    <w:rsid w:val="00A81AD4"/>
    <w:rsid w:val="00A81AD5"/>
    <w:rsid w:val="00A81B0A"/>
    <w:rsid w:val="00A81B53"/>
    <w:rsid w:val="00A81B83"/>
    <w:rsid w:val="00A81BA0"/>
    <w:rsid w:val="00A81C1C"/>
    <w:rsid w:val="00A81C5D"/>
    <w:rsid w:val="00A81C70"/>
    <w:rsid w:val="00A81C99"/>
    <w:rsid w:val="00A81C9A"/>
    <w:rsid w:val="00A81CD9"/>
    <w:rsid w:val="00A81D0E"/>
    <w:rsid w:val="00A81D1C"/>
    <w:rsid w:val="00A81D44"/>
    <w:rsid w:val="00A81D67"/>
    <w:rsid w:val="00A81DF1"/>
    <w:rsid w:val="00A81E17"/>
    <w:rsid w:val="00A81E38"/>
    <w:rsid w:val="00A81EA1"/>
    <w:rsid w:val="00A81EA9"/>
    <w:rsid w:val="00A81F09"/>
    <w:rsid w:val="00A81F55"/>
    <w:rsid w:val="00A81F80"/>
    <w:rsid w:val="00A81FA3"/>
    <w:rsid w:val="00A81FF1"/>
    <w:rsid w:val="00A81FFE"/>
    <w:rsid w:val="00A820C4"/>
    <w:rsid w:val="00A820CB"/>
    <w:rsid w:val="00A82126"/>
    <w:rsid w:val="00A82157"/>
    <w:rsid w:val="00A821E9"/>
    <w:rsid w:val="00A82292"/>
    <w:rsid w:val="00A822A8"/>
    <w:rsid w:val="00A822C2"/>
    <w:rsid w:val="00A823A9"/>
    <w:rsid w:val="00A824D4"/>
    <w:rsid w:val="00A8254E"/>
    <w:rsid w:val="00A82554"/>
    <w:rsid w:val="00A8256E"/>
    <w:rsid w:val="00A825BA"/>
    <w:rsid w:val="00A82619"/>
    <w:rsid w:val="00A82653"/>
    <w:rsid w:val="00A826BF"/>
    <w:rsid w:val="00A826D3"/>
    <w:rsid w:val="00A826F1"/>
    <w:rsid w:val="00A82719"/>
    <w:rsid w:val="00A82722"/>
    <w:rsid w:val="00A827C8"/>
    <w:rsid w:val="00A82800"/>
    <w:rsid w:val="00A8284E"/>
    <w:rsid w:val="00A82886"/>
    <w:rsid w:val="00A828B6"/>
    <w:rsid w:val="00A828C5"/>
    <w:rsid w:val="00A82910"/>
    <w:rsid w:val="00A829AA"/>
    <w:rsid w:val="00A829B8"/>
    <w:rsid w:val="00A82A60"/>
    <w:rsid w:val="00A82AE3"/>
    <w:rsid w:val="00A82AF5"/>
    <w:rsid w:val="00A82B6A"/>
    <w:rsid w:val="00A82B81"/>
    <w:rsid w:val="00A82BCD"/>
    <w:rsid w:val="00A82C4D"/>
    <w:rsid w:val="00A82CBF"/>
    <w:rsid w:val="00A82CCF"/>
    <w:rsid w:val="00A82CEF"/>
    <w:rsid w:val="00A82CF4"/>
    <w:rsid w:val="00A82D69"/>
    <w:rsid w:val="00A82D76"/>
    <w:rsid w:val="00A82EB2"/>
    <w:rsid w:val="00A82EBC"/>
    <w:rsid w:val="00A82ECB"/>
    <w:rsid w:val="00A82EF1"/>
    <w:rsid w:val="00A82F13"/>
    <w:rsid w:val="00A82F48"/>
    <w:rsid w:val="00A82F6E"/>
    <w:rsid w:val="00A82F94"/>
    <w:rsid w:val="00A82F9F"/>
    <w:rsid w:val="00A83090"/>
    <w:rsid w:val="00A8309B"/>
    <w:rsid w:val="00A830AE"/>
    <w:rsid w:val="00A830B8"/>
    <w:rsid w:val="00A8315B"/>
    <w:rsid w:val="00A8323F"/>
    <w:rsid w:val="00A8324D"/>
    <w:rsid w:val="00A83294"/>
    <w:rsid w:val="00A832C3"/>
    <w:rsid w:val="00A832D5"/>
    <w:rsid w:val="00A8330C"/>
    <w:rsid w:val="00A8336A"/>
    <w:rsid w:val="00A83394"/>
    <w:rsid w:val="00A833AA"/>
    <w:rsid w:val="00A83427"/>
    <w:rsid w:val="00A83437"/>
    <w:rsid w:val="00A834D2"/>
    <w:rsid w:val="00A83578"/>
    <w:rsid w:val="00A83584"/>
    <w:rsid w:val="00A83596"/>
    <w:rsid w:val="00A835F7"/>
    <w:rsid w:val="00A83648"/>
    <w:rsid w:val="00A8366D"/>
    <w:rsid w:val="00A836AF"/>
    <w:rsid w:val="00A836DE"/>
    <w:rsid w:val="00A83717"/>
    <w:rsid w:val="00A8371F"/>
    <w:rsid w:val="00A83799"/>
    <w:rsid w:val="00A837DD"/>
    <w:rsid w:val="00A837F7"/>
    <w:rsid w:val="00A83818"/>
    <w:rsid w:val="00A83836"/>
    <w:rsid w:val="00A838E3"/>
    <w:rsid w:val="00A838F1"/>
    <w:rsid w:val="00A83990"/>
    <w:rsid w:val="00A839B0"/>
    <w:rsid w:val="00A839BF"/>
    <w:rsid w:val="00A83A1A"/>
    <w:rsid w:val="00A83A2D"/>
    <w:rsid w:val="00A83A36"/>
    <w:rsid w:val="00A83A42"/>
    <w:rsid w:val="00A83A45"/>
    <w:rsid w:val="00A83A4C"/>
    <w:rsid w:val="00A83A5C"/>
    <w:rsid w:val="00A83A6B"/>
    <w:rsid w:val="00A83A8E"/>
    <w:rsid w:val="00A83AD2"/>
    <w:rsid w:val="00A83B93"/>
    <w:rsid w:val="00A83BB4"/>
    <w:rsid w:val="00A83BC0"/>
    <w:rsid w:val="00A83BF5"/>
    <w:rsid w:val="00A83C08"/>
    <w:rsid w:val="00A83C14"/>
    <w:rsid w:val="00A83C53"/>
    <w:rsid w:val="00A83C5E"/>
    <w:rsid w:val="00A83CC7"/>
    <w:rsid w:val="00A83D2A"/>
    <w:rsid w:val="00A83D6A"/>
    <w:rsid w:val="00A83D88"/>
    <w:rsid w:val="00A83DB1"/>
    <w:rsid w:val="00A83E14"/>
    <w:rsid w:val="00A83E27"/>
    <w:rsid w:val="00A83E5E"/>
    <w:rsid w:val="00A83EF8"/>
    <w:rsid w:val="00A83FDC"/>
    <w:rsid w:val="00A83FE2"/>
    <w:rsid w:val="00A8400C"/>
    <w:rsid w:val="00A8402C"/>
    <w:rsid w:val="00A8403A"/>
    <w:rsid w:val="00A8406B"/>
    <w:rsid w:val="00A840BC"/>
    <w:rsid w:val="00A840D7"/>
    <w:rsid w:val="00A84107"/>
    <w:rsid w:val="00A8411D"/>
    <w:rsid w:val="00A84124"/>
    <w:rsid w:val="00A8413E"/>
    <w:rsid w:val="00A842F6"/>
    <w:rsid w:val="00A843AB"/>
    <w:rsid w:val="00A84459"/>
    <w:rsid w:val="00A84480"/>
    <w:rsid w:val="00A84502"/>
    <w:rsid w:val="00A84562"/>
    <w:rsid w:val="00A8457C"/>
    <w:rsid w:val="00A8462B"/>
    <w:rsid w:val="00A8463F"/>
    <w:rsid w:val="00A84701"/>
    <w:rsid w:val="00A84727"/>
    <w:rsid w:val="00A8478C"/>
    <w:rsid w:val="00A847B4"/>
    <w:rsid w:val="00A84819"/>
    <w:rsid w:val="00A84824"/>
    <w:rsid w:val="00A84831"/>
    <w:rsid w:val="00A84839"/>
    <w:rsid w:val="00A84846"/>
    <w:rsid w:val="00A848C4"/>
    <w:rsid w:val="00A848CA"/>
    <w:rsid w:val="00A848CC"/>
    <w:rsid w:val="00A848F7"/>
    <w:rsid w:val="00A848FD"/>
    <w:rsid w:val="00A84927"/>
    <w:rsid w:val="00A8498C"/>
    <w:rsid w:val="00A8498D"/>
    <w:rsid w:val="00A849F1"/>
    <w:rsid w:val="00A849F2"/>
    <w:rsid w:val="00A84A9D"/>
    <w:rsid w:val="00A84AD3"/>
    <w:rsid w:val="00A84AE3"/>
    <w:rsid w:val="00A84B10"/>
    <w:rsid w:val="00A84BCF"/>
    <w:rsid w:val="00A84BD4"/>
    <w:rsid w:val="00A84C7F"/>
    <w:rsid w:val="00A84CC6"/>
    <w:rsid w:val="00A84CC9"/>
    <w:rsid w:val="00A84D1C"/>
    <w:rsid w:val="00A84D8F"/>
    <w:rsid w:val="00A84D90"/>
    <w:rsid w:val="00A84DBC"/>
    <w:rsid w:val="00A84DDA"/>
    <w:rsid w:val="00A84E18"/>
    <w:rsid w:val="00A84E19"/>
    <w:rsid w:val="00A84EF5"/>
    <w:rsid w:val="00A84F06"/>
    <w:rsid w:val="00A84F5F"/>
    <w:rsid w:val="00A84FBB"/>
    <w:rsid w:val="00A85029"/>
    <w:rsid w:val="00A8505A"/>
    <w:rsid w:val="00A8507C"/>
    <w:rsid w:val="00A85088"/>
    <w:rsid w:val="00A8508E"/>
    <w:rsid w:val="00A850BC"/>
    <w:rsid w:val="00A8511E"/>
    <w:rsid w:val="00A85135"/>
    <w:rsid w:val="00A85151"/>
    <w:rsid w:val="00A851DC"/>
    <w:rsid w:val="00A851EE"/>
    <w:rsid w:val="00A851EF"/>
    <w:rsid w:val="00A85212"/>
    <w:rsid w:val="00A85262"/>
    <w:rsid w:val="00A852A4"/>
    <w:rsid w:val="00A852E2"/>
    <w:rsid w:val="00A8535B"/>
    <w:rsid w:val="00A85469"/>
    <w:rsid w:val="00A854E9"/>
    <w:rsid w:val="00A855D8"/>
    <w:rsid w:val="00A8561C"/>
    <w:rsid w:val="00A8563A"/>
    <w:rsid w:val="00A856DF"/>
    <w:rsid w:val="00A85709"/>
    <w:rsid w:val="00A8571E"/>
    <w:rsid w:val="00A85759"/>
    <w:rsid w:val="00A85775"/>
    <w:rsid w:val="00A857A0"/>
    <w:rsid w:val="00A857E1"/>
    <w:rsid w:val="00A857EF"/>
    <w:rsid w:val="00A85852"/>
    <w:rsid w:val="00A858AE"/>
    <w:rsid w:val="00A85962"/>
    <w:rsid w:val="00A85989"/>
    <w:rsid w:val="00A85990"/>
    <w:rsid w:val="00A859DC"/>
    <w:rsid w:val="00A859E9"/>
    <w:rsid w:val="00A859EB"/>
    <w:rsid w:val="00A85A1A"/>
    <w:rsid w:val="00A85A3B"/>
    <w:rsid w:val="00A85A6B"/>
    <w:rsid w:val="00A85A6D"/>
    <w:rsid w:val="00A85AC0"/>
    <w:rsid w:val="00A85AE7"/>
    <w:rsid w:val="00A85AF0"/>
    <w:rsid w:val="00A85B53"/>
    <w:rsid w:val="00A85BA1"/>
    <w:rsid w:val="00A85BA5"/>
    <w:rsid w:val="00A85BA7"/>
    <w:rsid w:val="00A85BB5"/>
    <w:rsid w:val="00A85BB8"/>
    <w:rsid w:val="00A85C56"/>
    <w:rsid w:val="00A85CFB"/>
    <w:rsid w:val="00A85D2E"/>
    <w:rsid w:val="00A85D37"/>
    <w:rsid w:val="00A85DC5"/>
    <w:rsid w:val="00A85EA8"/>
    <w:rsid w:val="00A85EB5"/>
    <w:rsid w:val="00A85EC9"/>
    <w:rsid w:val="00A85F77"/>
    <w:rsid w:val="00A85F8A"/>
    <w:rsid w:val="00A85FE8"/>
    <w:rsid w:val="00A85FFD"/>
    <w:rsid w:val="00A8602A"/>
    <w:rsid w:val="00A8603B"/>
    <w:rsid w:val="00A86069"/>
    <w:rsid w:val="00A860AA"/>
    <w:rsid w:val="00A860AB"/>
    <w:rsid w:val="00A86111"/>
    <w:rsid w:val="00A86124"/>
    <w:rsid w:val="00A86199"/>
    <w:rsid w:val="00A861BA"/>
    <w:rsid w:val="00A861F0"/>
    <w:rsid w:val="00A86216"/>
    <w:rsid w:val="00A8621A"/>
    <w:rsid w:val="00A86230"/>
    <w:rsid w:val="00A86236"/>
    <w:rsid w:val="00A862B0"/>
    <w:rsid w:val="00A862E4"/>
    <w:rsid w:val="00A86312"/>
    <w:rsid w:val="00A86314"/>
    <w:rsid w:val="00A8632A"/>
    <w:rsid w:val="00A8633C"/>
    <w:rsid w:val="00A86358"/>
    <w:rsid w:val="00A86397"/>
    <w:rsid w:val="00A86421"/>
    <w:rsid w:val="00A8644D"/>
    <w:rsid w:val="00A86464"/>
    <w:rsid w:val="00A8648C"/>
    <w:rsid w:val="00A86491"/>
    <w:rsid w:val="00A86509"/>
    <w:rsid w:val="00A8652B"/>
    <w:rsid w:val="00A86565"/>
    <w:rsid w:val="00A865CB"/>
    <w:rsid w:val="00A8663B"/>
    <w:rsid w:val="00A86642"/>
    <w:rsid w:val="00A86651"/>
    <w:rsid w:val="00A866D0"/>
    <w:rsid w:val="00A866E9"/>
    <w:rsid w:val="00A866ED"/>
    <w:rsid w:val="00A866F7"/>
    <w:rsid w:val="00A8671D"/>
    <w:rsid w:val="00A8676F"/>
    <w:rsid w:val="00A86776"/>
    <w:rsid w:val="00A8686A"/>
    <w:rsid w:val="00A868F8"/>
    <w:rsid w:val="00A8691F"/>
    <w:rsid w:val="00A86945"/>
    <w:rsid w:val="00A86965"/>
    <w:rsid w:val="00A869EB"/>
    <w:rsid w:val="00A869F1"/>
    <w:rsid w:val="00A86A0C"/>
    <w:rsid w:val="00A86A2C"/>
    <w:rsid w:val="00A86AC9"/>
    <w:rsid w:val="00A86AD5"/>
    <w:rsid w:val="00A86B03"/>
    <w:rsid w:val="00A86B18"/>
    <w:rsid w:val="00A86B26"/>
    <w:rsid w:val="00A86BBC"/>
    <w:rsid w:val="00A86BD7"/>
    <w:rsid w:val="00A86BFD"/>
    <w:rsid w:val="00A86C1F"/>
    <w:rsid w:val="00A86C2B"/>
    <w:rsid w:val="00A86C5A"/>
    <w:rsid w:val="00A86C74"/>
    <w:rsid w:val="00A86C7E"/>
    <w:rsid w:val="00A86CBF"/>
    <w:rsid w:val="00A86CE1"/>
    <w:rsid w:val="00A86CFB"/>
    <w:rsid w:val="00A86D4A"/>
    <w:rsid w:val="00A86D4F"/>
    <w:rsid w:val="00A86D63"/>
    <w:rsid w:val="00A86E0E"/>
    <w:rsid w:val="00A86E20"/>
    <w:rsid w:val="00A86E71"/>
    <w:rsid w:val="00A86EE6"/>
    <w:rsid w:val="00A86F0E"/>
    <w:rsid w:val="00A86F14"/>
    <w:rsid w:val="00A86F18"/>
    <w:rsid w:val="00A86F20"/>
    <w:rsid w:val="00A86F94"/>
    <w:rsid w:val="00A86F9D"/>
    <w:rsid w:val="00A86FB9"/>
    <w:rsid w:val="00A86FCC"/>
    <w:rsid w:val="00A8700D"/>
    <w:rsid w:val="00A870E2"/>
    <w:rsid w:val="00A870E8"/>
    <w:rsid w:val="00A871CC"/>
    <w:rsid w:val="00A8726F"/>
    <w:rsid w:val="00A87281"/>
    <w:rsid w:val="00A872D0"/>
    <w:rsid w:val="00A872DF"/>
    <w:rsid w:val="00A8730A"/>
    <w:rsid w:val="00A8735F"/>
    <w:rsid w:val="00A8736D"/>
    <w:rsid w:val="00A87376"/>
    <w:rsid w:val="00A87392"/>
    <w:rsid w:val="00A87396"/>
    <w:rsid w:val="00A873BA"/>
    <w:rsid w:val="00A87414"/>
    <w:rsid w:val="00A87446"/>
    <w:rsid w:val="00A87448"/>
    <w:rsid w:val="00A87467"/>
    <w:rsid w:val="00A874C6"/>
    <w:rsid w:val="00A87516"/>
    <w:rsid w:val="00A875EE"/>
    <w:rsid w:val="00A87649"/>
    <w:rsid w:val="00A87680"/>
    <w:rsid w:val="00A8769D"/>
    <w:rsid w:val="00A87730"/>
    <w:rsid w:val="00A8774E"/>
    <w:rsid w:val="00A8775E"/>
    <w:rsid w:val="00A87766"/>
    <w:rsid w:val="00A87851"/>
    <w:rsid w:val="00A87853"/>
    <w:rsid w:val="00A87862"/>
    <w:rsid w:val="00A8787E"/>
    <w:rsid w:val="00A87884"/>
    <w:rsid w:val="00A878CC"/>
    <w:rsid w:val="00A878E7"/>
    <w:rsid w:val="00A87934"/>
    <w:rsid w:val="00A87972"/>
    <w:rsid w:val="00A879C7"/>
    <w:rsid w:val="00A879D9"/>
    <w:rsid w:val="00A879DB"/>
    <w:rsid w:val="00A879F1"/>
    <w:rsid w:val="00A87A26"/>
    <w:rsid w:val="00A87A5A"/>
    <w:rsid w:val="00A87AAD"/>
    <w:rsid w:val="00A87AC9"/>
    <w:rsid w:val="00A87ACA"/>
    <w:rsid w:val="00A87B96"/>
    <w:rsid w:val="00A87BE0"/>
    <w:rsid w:val="00A87C02"/>
    <w:rsid w:val="00A87C0F"/>
    <w:rsid w:val="00A87C7E"/>
    <w:rsid w:val="00A87C8F"/>
    <w:rsid w:val="00A87CF6"/>
    <w:rsid w:val="00A87DB1"/>
    <w:rsid w:val="00A87E05"/>
    <w:rsid w:val="00A87E70"/>
    <w:rsid w:val="00A87E8A"/>
    <w:rsid w:val="00A87ECE"/>
    <w:rsid w:val="00A87EE1"/>
    <w:rsid w:val="00A87F14"/>
    <w:rsid w:val="00A87F2A"/>
    <w:rsid w:val="00A87F5E"/>
    <w:rsid w:val="00A87F63"/>
    <w:rsid w:val="00A87F64"/>
    <w:rsid w:val="00A9003F"/>
    <w:rsid w:val="00A900B0"/>
    <w:rsid w:val="00A900EA"/>
    <w:rsid w:val="00A90152"/>
    <w:rsid w:val="00A90179"/>
    <w:rsid w:val="00A901A8"/>
    <w:rsid w:val="00A901E0"/>
    <w:rsid w:val="00A901F3"/>
    <w:rsid w:val="00A90209"/>
    <w:rsid w:val="00A90366"/>
    <w:rsid w:val="00A90422"/>
    <w:rsid w:val="00A9042C"/>
    <w:rsid w:val="00A904B1"/>
    <w:rsid w:val="00A904F1"/>
    <w:rsid w:val="00A90508"/>
    <w:rsid w:val="00A90518"/>
    <w:rsid w:val="00A90538"/>
    <w:rsid w:val="00A9055F"/>
    <w:rsid w:val="00A90649"/>
    <w:rsid w:val="00A90653"/>
    <w:rsid w:val="00A90687"/>
    <w:rsid w:val="00A9069B"/>
    <w:rsid w:val="00A906DC"/>
    <w:rsid w:val="00A906E4"/>
    <w:rsid w:val="00A9072A"/>
    <w:rsid w:val="00A90730"/>
    <w:rsid w:val="00A90776"/>
    <w:rsid w:val="00A9085F"/>
    <w:rsid w:val="00A908B4"/>
    <w:rsid w:val="00A908FD"/>
    <w:rsid w:val="00A90908"/>
    <w:rsid w:val="00A909B4"/>
    <w:rsid w:val="00A90A0C"/>
    <w:rsid w:val="00A90A22"/>
    <w:rsid w:val="00A90A97"/>
    <w:rsid w:val="00A90AAA"/>
    <w:rsid w:val="00A90AED"/>
    <w:rsid w:val="00A90B61"/>
    <w:rsid w:val="00A90B83"/>
    <w:rsid w:val="00A90BA2"/>
    <w:rsid w:val="00A90C01"/>
    <w:rsid w:val="00A90C81"/>
    <w:rsid w:val="00A90CEB"/>
    <w:rsid w:val="00A90D19"/>
    <w:rsid w:val="00A90D26"/>
    <w:rsid w:val="00A90D2C"/>
    <w:rsid w:val="00A90D30"/>
    <w:rsid w:val="00A90D9F"/>
    <w:rsid w:val="00A90E46"/>
    <w:rsid w:val="00A90E76"/>
    <w:rsid w:val="00A90E7C"/>
    <w:rsid w:val="00A90E86"/>
    <w:rsid w:val="00A90EAF"/>
    <w:rsid w:val="00A90EFC"/>
    <w:rsid w:val="00A90F0E"/>
    <w:rsid w:val="00A90F2F"/>
    <w:rsid w:val="00A90F8C"/>
    <w:rsid w:val="00A91042"/>
    <w:rsid w:val="00A9109F"/>
    <w:rsid w:val="00A910DB"/>
    <w:rsid w:val="00A91106"/>
    <w:rsid w:val="00A9115B"/>
    <w:rsid w:val="00A9116C"/>
    <w:rsid w:val="00A911EB"/>
    <w:rsid w:val="00A91224"/>
    <w:rsid w:val="00A91225"/>
    <w:rsid w:val="00A912DE"/>
    <w:rsid w:val="00A9133F"/>
    <w:rsid w:val="00A9137C"/>
    <w:rsid w:val="00A913A9"/>
    <w:rsid w:val="00A913D9"/>
    <w:rsid w:val="00A913EC"/>
    <w:rsid w:val="00A91414"/>
    <w:rsid w:val="00A9141B"/>
    <w:rsid w:val="00A9143D"/>
    <w:rsid w:val="00A91472"/>
    <w:rsid w:val="00A914D5"/>
    <w:rsid w:val="00A91511"/>
    <w:rsid w:val="00A91513"/>
    <w:rsid w:val="00A91581"/>
    <w:rsid w:val="00A915A3"/>
    <w:rsid w:val="00A915B9"/>
    <w:rsid w:val="00A915E6"/>
    <w:rsid w:val="00A91617"/>
    <w:rsid w:val="00A9164A"/>
    <w:rsid w:val="00A9165D"/>
    <w:rsid w:val="00A9169D"/>
    <w:rsid w:val="00A916A0"/>
    <w:rsid w:val="00A916B5"/>
    <w:rsid w:val="00A916FA"/>
    <w:rsid w:val="00A91706"/>
    <w:rsid w:val="00A9179F"/>
    <w:rsid w:val="00A917B5"/>
    <w:rsid w:val="00A91827"/>
    <w:rsid w:val="00A91872"/>
    <w:rsid w:val="00A918A9"/>
    <w:rsid w:val="00A918E2"/>
    <w:rsid w:val="00A91979"/>
    <w:rsid w:val="00A9199A"/>
    <w:rsid w:val="00A919AE"/>
    <w:rsid w:val="00A919BD"/>
    <w:rsid w:val="00A919C8"/>
    <w:rsid w:val="00A91A2F"/>
    <w:rsid w:val="00A91A42"/>
    <w:rsid w:val="00A91AA9"/>
    <w:rsid w:val="00A91AC0"/>
    <w:rsid w:val="00A91BAD"/>
    <w:rsid w:val="00A91BAE"/>
    <w:rsid w:val="00A91C15"/>
    <w:rsid w:val="00A91C9C"/>
    <w:rsid w:val="00A91CA7"/>
    <w:rsid w:val="00A91CBB"/>
    <w:rsid w:val="00A91CBF"/>
    <w:rsid w:val="00A91D0A"/>
    <w:rsid w:val="00A91D3E"/>
    <w:rsid w:val="00A91D87"/>
    <w:rsid w:val="00A91DEE"/>
    <w:rsid w:val="00A91E32"/>
    <w:rsid w:val="00A91E51"/>
    <w:rsid w:val="00A91E5C"/>
    <w:rsid w:val="00A91E5E"/>
    <w:rsid w:val="00A91EB8"/>
    <w:rsid w:val="00A91EBD"/>
    <w:rsid w:val="00A91F05"/>
    <w:rsid w:val="00A91F96"/>
    <w:rsid w:val="00A91FB9"/>
    <w:rsid w:val="00A92023"/>
    <w:rsid w:val="00A92046"/>
    <w:rsid w:val="00A92071"/>
    <w:rsid w:val="00A9209F"/>
    <w:rsid w:val="00A920AC"/>
    <w:rsid w:val="00A9215C"/>
    <w:rsid w:val="00A92171"/>
    <w:rsid w:val="00A921A9"/>
    <w:rsid w:val="00A921B4"/>
    <w:rsid w:val="00A921EF"/>
    <w:rsid w:val="00A921F7"/>
    <w:rsid w:val="00A9221C"/>
    <w:rsid w:val="00A92257"/>
    <w:rsid w:val="00A92279"/>
    <w:rsid w:val="00A9228F"/>
    <w:rsid w:val="00A922D7"/>
    <w:rsid w:val="00A9231A"/>
    <w:rsid w:val="00A9231E"/>
    <w:rsid w:val="00A9234C"/>
    <w:rsid w:val="00A923E9"/>
    <w:rsid w:val="00A9247D"/>
    <w:rsid w:val="00A924D4"/>
    <w:rsid w:val="00A9251B"/>
    <w:rsid w:val="00A92538"/>
    <w:rsid w:val="00A92599"/>
    <w:rsid w:val="00A925AB"/>
    <w:rsid w:val="00A92616"/>
    <w:rsid w:val="00A9266F"/>
    <w:rsid w:val="00A9267B"/>
    <w:rsid w:val="00A9268E"/>
    <w:rsid w:val="00A92694"/>
    <w:rsid w:val="00A9269E"/>
    <w:rsid w:val="00A926FE"/>
    <w:rsid w:val="00A92705"/>
    <w:rsid w:val="00A9272B"/>
    <w:rsid w:val="00A9276C"/>
    <w:rsid w:val="00A927A0"/>
    <w:rsid w:val="00A927D4"/>
    <w:rsid w:val="00A92842"/>
    <w:rsid w:val="00A9288C"/>
    <w:rsid w:val="00A9289F"/>
    <w:rsid w:val="00A92917"/>
    <w:rsid w:val="00A9291A"/>
    <w:rsid w:val="00A9295D"/>
    <w:rsid w:val="00A92960"/>
    <w:rsid w:val="00A92963"/>
    <w:rsid w:val="00A92998"/>
    <w:rsid w:val="00A929E3"/>
    <w:rsid w:val="00A92A04"/>
    <w:rsid w:val="00A92A15"/>
    <w:rsid w:val="00A92A2A"/>
    <w:rsid w:val="00A92A95"/>
    <w:rsid w:val="00A92A99"/>
    <w:rsid w:val="00A92AD8"/>
    <w:rsid w:val="00A92AEE"/>
    <w:rsid w:val="00A92B05"/>
    <w:rsid w:val="00A92B24"/>
    <w:rsid w:val="00A92B53"/>
    <w:rsid w:val="00A92B80"/>
    <w:rsid w:val="00A92BA8"/>
    <w:rsid w:val="00A92C0B"/>
    <w:rsid w:val="00A92C0E"/>
    <w:rsid w:val="00A92C29"/>
    <w:rsid w:val="00A92C8C"/>
    <w:rsid w:val="00A92C92"/>
    <w:rsid w:val="00A92CE7"/>
    <w:rsid w:val="00A92D48"/>
    <w:rsid w:val="00A92D74"/>
    <w:rsid w:val="00A92DA2"/>
    <w:rsid w:val="00A92DB4"/>
    <w:rsid w:val="00A92DDD"/>
    <w:rsid w:val="00A92DE2"/>
    <w:rsid w:val="00A92E9F"/>
    <w:rsid w:val="00A92EAC"/>
    <w:rsid w:val="00A92EEB"/>
    <w:rsid w:val="00A92F82"/>
    <w:rsid w:val="00A92FA9"/>
    <w:rsid w:val="00A9308C"/>
    <w:rsid w:val="00A9317A"/>
    <w:rsid w:val="00A9318B"/>
    <w:rsid w:val="00A931C2"/>
    <w:rsid w:val="00A9320A"/>
    <w:rsid w:val="00A932B4"/>
    <w:rsid w:val="00A932F4"/>
    <w:rsid w:val="00A932F9"/>
    <w:rsid w:val="00A9331F"/>
    <w:rsid w:val="00A93374"/>
    <w:rsid w:val="00A933AB"/>
    <w:rsid w:val="00A933C3"/>
    <w:rsid w:val="00A933C8"/>
    <w:rsid w:val="00A93463"/>
    <w:rsid w:val="00A934BF"/>
    <w:rsid w:val="00A93500"/>
    <w:rsid w:val="00A9350A"/>
    <w:rsid w:val="00A93533"/>
    <w:rsid w:val="00A93543"/>
    <w:rsid w:val="00A935B5"/>
    <w:rsid w:val="00A935EE"/>
    <w:rsid w:val="00A93606"/>
    <w:rsid w:val="00A9362F"/>
    <w:rsid w:val="00A9366E"/>
    <w:rsid w:val="00A93674"/>
    <w:rsid w:val="00A936B8"/>
    <w:rsid w:val="00A936CB"/>
    <w:rsid w:val="00A936D7"/>
    <w:rsid w:val="00A936EB"/>
    <w:rsid w:val="00A93723"/>
    <w:rsid w:val="00A93796"/>
    <w:rsid w:val="00A9380F"/>
    <w:rsid w:val="00A9384E"/>
    <w:rsid w:val="00A93860"/>
    <w:rsid w:val="00A9388A"/>
    <w:rsid w:val="00A938BB"/>
    <w:rsid w:val="00A93905"/>
    <w:rsid w:val="00A93A63"/>
    <w:rsid w:val="00A93A90"/>
    <w:rsid w:val="00A93A9B"/>
    <w:rsid w:val="00A93B46"/>
    <w:rsid w:val="00A93B63"/>
    <w:rsid w:val="00A93BA3"/>
    <w:rsid w:val="00A93C08"/>
    <w:rsid w:val="00A93C57"/>
    <w:rsid w:val="00A93CA2"/>
    <w:rsid w:val="00A93DB3"/>
    <w:rsid w:val="00A93E07"/>
    <w:rsid w:val="00A93E29"/>
    <w:rsid w:val="00A93E94"/>
    <w:rsid w:val="00A93ED7"/>
    <w:rsid w:val="00A93F76"/>
    <w:rsid w:val="00A93FDF"/>
    <w:rsid w:val="00A93FF4"/>
    <w:rsid w:val="00A940C3"/>
    <w:rsid w:val="00A940E2"/>
    <w:rsid w:val="00A940F1"/>
    <w:rsid w:val="00A94138"/>
    <w:rsid w:val="00A94174"/>
    <w:rsid w:val="00A941A0"/>
    <w:rsid w:val="00A941BE"/>
    <w:rsid w:val="00A9423C"/>
    <w:rsid w:val="00A9427C"/>
    <w:rsid w:val="00A94285"/>
    <w:rsid w:val="00A943BC"/>
    <w:rsid w:val="00A943BF"/>
    <w:rsid w:val="00A943DA"/>
    <w:rsid w:val="00A94463"/>
    <w:rsid w:val="00A94519"/>
    <w:rsid w:val="00A94529"/>
    <w:rsid w:val="00A94572"/>
    <w:rsid w:val="00A945A4"/>
    <w:rsid w:val="00A945C0"/>
    <w:rsid w:val="00A9461B"/>
    <w:rsid w:val="00A9461E"/>
    <w:rsid w:val="00A94649"/>
    <w:rsid w:val="00A94670"/>
    <w:rsid w:val="00A946B8"/>
    <w:rsid w:val="00A947A8"/>
    <w:rsid w:val="00A947C2"/>
    <w:rsid w:val="00A947F5"/>
    <w:rsid w:val="00A9487A"/>
    <w:rsid w:val="00A948FC"/>
    <w:rsid w:val="00A9492F"/>
    <w:rsid w:val="00A94933"/>
    <w:rsid w:val="00A94951"/>
    <w:rsid w:val="00A94955"/>
    <w:rsid w:val="00A949D1"/>
    <w:rsid w:val="00A949FC"/>
    <w:rsid w:val="00A94A19"/>
    <w:rsid w:val="00A94A30"/>
    <w:rsid w:val="00A94A3B"/>
    <w:rsid w:val="00A94A7D"/>
    <w:rsid w:val="00A94AD6"/>
    <w:rsid w:val="00A94B6C"/>
    <w:rsid w:val="00A94B7F"/>
    <w:rsid w:val="00A94BA7"/>
    <w:rsid w:val="00A94C2E"/>
    <w:rsid w:val="00A94C90"/>
    <w:rsid w:val="00A94D03"/>
    <w:rsid w:val="00A94D54"/>
    <w:rsid w:val="00A94D85"/>
    <w:rsid w:val="00A94D8F"/>
    <w:rsid w:val="00A94DE4"/>
    <w:rsid w:val="00A94E00"/>
    <w:rsid w:val="00A94E79"/>
    <w:rsid w:val="00A94E82"/>
    <w:rsid w:val="00A94EB7"/>
    <w:rsid w:val="00A94ED7"/>
    <w:rsid w:val="00A94F4C"/>
    <w:rsid w:val="00A95064"/>
    <w:rsid w:val="00A9508D"/>
    <w:rsid w:val="00A9509C"/>
    <w:rsid w:val="00A9513E"/>
    <w:rsid w:val="00A95160"/>
    <w:rsid w:val="00A951B9"/>
    <w:rsid w:val="00A95240"/>
    <w:rsid w:val="00A95262"/>
    <w:rsid w:val="00A9531B"/>
    <w:rsid w:val="00A953DE"/>
    <w:rsid w:val="00A953E3"/>
    <w:rsid w:val="00A9540A"/>
    <w:rsid w:val="00A95415"/>
    <w:rsid w:val="00A9543C"/>
    <w:rsid w:val="00A9545E"/>
    <w:rsid w:val="00A95467"/>
    <w:rsid w:val="00A954B6"/>
    <w:rsid w:val="00A954D7"/>
    <w:rsid w:val="00A95503"/>
    <w:rsid w:val="00A9558B"/>
    <w:rsid w:val="00A95598"/>
    <w:rsid w:val="00A955B7"/>
    <w:rsid w:val="00A955BE"/>
    <w:rsid w:val="00A95620"/>
    <w:rsid w:val="00A95633"/>
    <w:rsid w:val="00A95646"/>
    <w:rsid w:val="00A95687"/>
    <w:rsid w:val="00A956BC"/>
    <w:rsid w:val="00A956E4"/>
    <w:rsid w:val="00A95776"/>
    <w:rsid w:val="00A957D5"/>
    <w:rsid w:val="00A957E7"/>
    <w:rsid w:val="00A957FC"/>
    <w:rsid w:val="00A9583D"/>
    <w:rsid w:val="00A95846"/>
    <w:rsid w:val="00A958A6"/>
    <w:rsid w:val="00A958D0"/>
    <w:rsid w:val="00A958E3"/>
    <w:rsid w:val="00A958E7"/>
    <w:rsid w:val="00A95928"/>
    <w:rsid w:val="00A95A12"/>
    <w:rsid w:val="00A95A4C"/>
    <w:rsid w:val="00A95A5A"/>
    <w:rsid w:val="00A95A73"/>
    <w:rsid w:val="00A95A8A"/>
    <w:rsid w:val="00A95A95"/>
    <w:rsid w:val="00A95B37"/>
    <w:rsid w:val="00A95B55"/>
    <w:rsid w:val="00A95BD5"/>
    <w:rsid w:val="00A95C8B"/>
    <w:rsid w:val="00A95D32"/>
    <w:rsid w:val="00A95D51"/>
    <w:rsid w:val="00A95D8E"/>
    <w:rsid w:val="00A95DBA"/>
    <w:rsid w:val="00A95DC2"/>
    <w:rsid w:val="00A95DFB"/>
    <w:rsid w:val="00A95E18"/>
    <w:rsid w:val="00A95E69"/>
    <w:rsid w:val="00A95EF2"/>
    <w:rsid w:val="00A95FA4"/>
    <w:rsid w:val="00A95FC5"/>
    <w:rsid w:val="00A95FDB"/>
    <w:rsid w:val="00A9608B"/>
    <w:rsid w:val="00A96100"/>
    <w:rsid w:val="00A96177"/>
    <w:rsid w:val="00A9617B"/>
    <w:rsid w:val="00A961F9"/>
    <w:rsid w:val="00A9622E"/>
    <w:rsid w:val="00A96285"/>
    <w:rsid w:val="00A9629E"/>
    <w:rsid w:val="00A962B7"/>
    <w:rsid w:val="00A962F0"/>
    <w:rsid w:val="00A9630C"/>
    <w:rsid w:val="00A9637E"/>
    <w:rsid w:val="00A96382"/>
    <w:rsid w:val="00A96388"/>
    <w:rsid w:val="00A963CD"/>
    <w:rsid w:val="00A9647E"/>
    <w:rsid w:val="00A9649B"/>
    <w:rsid w:val="00A964AE"/>
    <w:rsid w:val="00A9650C"/>
    <w:rsid w:val="00A9651D"/>
    <w:rsid w:val="00A9651F"/>
    <w:rsid w:val="00A96548"/>
    <w:rsid w:val="00A96597"/>
    <w:rsid w:val="00A9659A"/>
    <w:rsid w:val="00A965B7"/>
    <w:rsid w:val="00A965C4"/>
    <w:rsid w:val="00A965F5"/>
    <w:rsid w:val="00A965FF"/>
    <w:rsid w:val="00A96652"/>
    <w:rsid w:val="00A966DD"/>
    <w:rsid w:val="00A96700"/>
    <w:rsid w:val="00A96701"/>
    <w:rsid w:val="00A96739"/>
    <w:rsid w:val="00A9673B"/>
    <w:rsid w:val="00A9675D"/>
    <w:rsid w:val="00A96775"/>
    <w:rsid w:val="00A967E5"/>
    <w:rsid w:val="00A96814"/>
    <w:rsid w:val="00A968E5"/>
    <w:rsid w:val="00A9693C"/>
    <w:rsid w:val="00A96A1B"/>
    <w:rsid w:val="00A96A35"/>
    <w:rsid w:val="00A96A59"/>
    <w:rsid w:val="00A96A66"/>
    <w:rsid w:val="00A96A6E"/>
    <w:rsid w:val="00A96ADB"/>
    <w:rsid w:val="00A96B08"/>
    <w:rsid w:val="00A96B59"/>
    <w:rsid w:val="00A96BAC"/>
    <w:rsid w:val="00A96C5B"/>
    <w:rsid w:val="00A96C6C"/>
    <w:rsid w:val="00A96CF3"/>
    <w:rsid w:val="00A96DBE"/>
    <w:rsid w:val="00A96DFF"/>
    <w:rsid w:val="00A96E4B"/>
    <w:rsid w:val="00A96E8B"/>
    <w:rsid w:val="00A96EB1"/>
    <w:rsid w:val="00A96F0C"/>
    <w:rsid w:val="00A96F42"/>
    <w:rsid w:val="00A96F46"/>
    <w:rsid w:val="00A96F5F"/>
    <w:rsid w:val="00A96FE5"/>
    <w:rsid w:val="00A96FEE"/>
    <w:rsid w:val="00A970AF"/>
    <w:rsid w:val="00A970B4"/>
    <w:rsid w:val="00A970D2"/>
    <w:rsid w:val="00A97188"/>
    <w:rsid w:val="00A971B2"/>
    <w:rsid w:val="00A971FC"/>
    <w:rsid w:val="00A971FD"/>
    <w:rsid w:val="00A971FE"/>
    <w:rsid w:val="00A9728D"/>
    <w:rsid w:val="00A972A0"/>
    <w:rsid w:val="00A972E8"/>
    <w:rsid w:val="00A972EC"/>
    <w:rsid w:val="00A97375"/>
    <w:rsid w:val="00A97377"/>
    <w:rsid w:val="00A9739B"/>
    <w:rsid w:val="00A9739D"/>
    <w:rsid w:val="00A9739E"/>
    <w:rsid w:val="00A973BB"/>
    <w:rsid w:val="00A973F9"/>
    <w:rsid w:val="00A97484"/>
    <w:rsid w:val="00A97494"/>
    <w:rsid w:val="00A974EC"/>
    <w:rsid w:val="00A97516"/>
    <w:rsid w:val="00A97570"/>
    <w:rsid w:val="00A9767F"/>
    <w:rsid w:val="00A977AE"/>
    <w:rsid w:val="00A977BA"/>
    <w:rsid w:val="00A977C4"/>
    <w:rsid w:val="00A977C9"/>
    <w:rsid w:val="00A977EB"/>
    <w:rsid w:val="00A97827"/>
    <w:rsid w:val="00A9788D"/>
    <w:rsid w:val="00A97896"/>
    <w:rsid w:val="00A978AB"/>
    <w:rsid w:val="00A97938"/>
    <w:rsid w:val="00A9795B"/>
    <w:rsid w:val="00A9795C"/>
    <w:rsid w:val="00A9795E"/>
    <w:rsid w:val="00A979F3"/>
    <w:rsid w:val="00A97A52"/>
    <w:rsid w:val="00A97A70"/>
    <w:rsid w:val="00A97A8C"/>
    <w:rsid w:val="00A97A8F"/>
    <w:rsid w:val="00A97ACA"/>
    <w:rsid w:val="00A97ACE"/>
    <w:rsid w:val="00A97ADC"/>
    <w:rsid w:val="00A97AF5"/>
    <w:rsid w:val="00A97B0A"/>
    <w:rsid w:val="00A97B43"/>
    <w:rsid w:val="00A97BA9"/>
    <w:rsid w:val="00A97BC1"/>
    <w:rsid w:val="00A97BDE"/>
    <w:rsid w:val="00A97BE9"/>
    <w:rsid w:val="00A97C5E"/>
    <w:rsid w:val="00A97D55"/>
    <w:rsid w:val="00A97D8B"/>
    <w:rsid w:val="00A97DC8"/>
    <w:rsid w:val="00A97DD7"/>
    <w:rsid w:val="00A97E21"/>
    <w:rsid w:val="00A97E49"/>
    <w:rsid w:val="00A97E53"/>
    <w:rsid w:val="00A97ECF"/>
    <w:rsid w:val="00A97EEB"/>
    <w:rsid w:val="00A97F21"/>
    <w:rsid w:val="00A97F27"/>
    <w:rsid w:val="00A97F2E"/>
    <w:rsid w:val="00A97F6E"/>
    <w:rsid w:val="00A97F7A"/>
    <w:rsid w:val="00A97FE5"/>
    <w:rsid w:val="00AA003F"/>
    <w:rsid w:val="00AA0096"/>
    <w:rsid w:val="00AA00BE"/>
    <w:rsid w:val="00AA0132"/>
    <w:rsid w:val="00AA0144"/>
    <w:rsid w:val="00AA014B"/>
    <w:rsid w:val="00AA015F"/>
    <w:rsid w:val="00AA0171"/>
    <w:rsid w:val="00AA0188"/>
    <w:rsid w:val="00AA01EE"/>
    <w:rsid w:val="00AA0203"/>
    <w:rsid w:val="00AA0219"/>
    <w:rsid w:val="00AA02FE"/>
    <w:rsid w:val="00AA0396"/>
    <w:rsid w:val="00AA0418"/>
    <w:rsid w:val="00AA043A"/>
    <w:rsid w:val="00AA0473"/>
    <w:rsid w:val="00AA0515"/>
    <w:rsid w:val="00AA0547"/>
    <w:rsid w:val="00AA056C"/>
    <w:rsid w:val="00AA057F"/>
    <w:rsid w:val="00AA059B"/>
    <w:rsid w:val="00AA05B2"/>
    <w:rsid w:val="00AA05E5"/>
    <w:rsid w:val="00AA0600"/>
    <w:rsid w:val="00AA0653"/>
    <w:rsid w:val="00AA06A8"/>
    <w:rsid w:val="00AA06A9"/>
    <w:rsid w:val="00AA0780"/>
    <w:rsid w:val="00AA0793"/>
    <w:rsid w:val="00AA0829"/>
    <w:rsid w:val="00AA0890"/>
    <w:rsid w:val="00AA0897"/>
    <w:rsid w:val="00AA08AF"/>
    <w:rsid w:val="00AA08B4"/>
    <w:rsid w:val="00AA08DA"/>
    <w:rsid w:val="00AA08FC"/>
    <w:rsid w:val="00AA094B"/>
    <w:rsid w:val="00AA0A12"/>
    <w:rsid w:val="00AA0A4F"/>
    <w:rsid w:val="00AA0A70"/>
    <w:rsid w:val="00AA0B16"/>
    <w:rsid w:val="00AA0B81"/>
    <w:rsid w:val="00AA0BA0"/>
    <w:rsid w:val="00AA0BB5"/>
    <w:rsid w:val="00AA0BEE"/>
    <w:rsid w:val="00AA0C57"/>
    <w:rsid w:val="00AA0C65"/>
    <w:rsid w:val="00AA0C77"/>
    <w:rsid w:val="00AA0CC6"/>
    <w:rsid w:val="00AA0D27"/>
    <w:rsid w:val="00AA0D5C"/>
    <w:rsid w:val="00AA0DC3"/>
    <w:rsid w:val="00AA0DD2"/>
    <w:rsid w:val="00AA0DDE"/>
    <w:rsid w:val="00AA0DE8"/>
    <w:rsid w:val="00AA0E24"/>
    <w:rsid w:val="00AA0E25"/>
    <w:rsid w:val="00AA0E91"/>
    <w:rsid w:val="00AA0F31"/>
    <w:rsid w:val="00AA1073"/>
    <w:rsid w:val="00AA10E0"/>
    <w:rsid w:val="00AA10EB"/>
    <w:rsid w:val="00AA1207"/>
    <w:rsid w:val="00AA120E"/>
    <w:rsid w:val="00AA1335"/>
    <w:rsid w:val="00AA13C3"/>
    <w:rsid w:val="00AA13E9"/>
    <w:rsid w:val="00AA144C"/>
    <w:rsid w:val="00AA146E"/>
    <w:rsid w:val="00AA14A3"/>
    <w:rsid w:val="00AA14AF"/>
    <w:rsid w:val="00AA14C0"/>
    <w:rsid w:val="00AA14EC"/>
    <w:rsid w:val="00AA150D"/>
    <w:rsid w:val="00AA158D"/>
    <w:rsid w:val="00AA1604"/>
    <w:rsid w:val="00AA166F"/>
    <w:rsid w:val="00AA16D3"/>
    <w:rsid w:val="00AA1701"/>
    <w:rsid w:val="00AA17A3"/>
    <w:rsid w:val="00AA17B5"/>
    <w:rsid w:val="00AA17BD"/>
    <w:rsid w:val="00AA17C2"/>
    <w:rsid w:val="00AA184B"/>
    <w:rsid w:val="00AA184D"/>
    <w:rsid w:val="00AA1863"/>
    <w:rsid w:val="00AA18A7"/>
    <w:rsid w:val="00AA1910"/>
    <w:rsid w:val="00AA1975"/>
    <w:rsid w:val="00AA19A9"/>
    <w:rsid w:val="00AA19D4"/>
    <w:rsid w:val="00AA19DF"/>
    <w:rsid w:val="00AA1A00"/>
    <w:rsid w:val="00AA1A0C"/>
    <w:rsid w:val="00AA1A4F"/>
    <w:rsid w:val="00AA1A57"/>
    <w:rsid w:val="00AA1A90"/>
    <w:rsid w:val="00AA1AB2"/>
    <w:rsid w:val="00AA1B22"/>
    <w:rsid w:val="00AA1B30"/>
    <w:rsid w:val="00AA1B47"/>
    <w:rsid w:val="00AA1B59"/>
    <w:rsid w:val="00AA1BAC"/>
    <w:rsid w:val="00AA1BF7"/>
    <w:rsid w:val="00AA1C43"/>
    <w:rsid w:val="00AA1C5D"/>
    <w:rsid w:val="00AA1C77"/>
    <w:rsid w:val="00AA1C98"/>
    <w:rsid w:val="00AA1CB2"/>
    <w:rsid w:val="00AA1CCB"/>
    <w:rsid w:val="00AA1CDC"/>
    <w:rsid w:val="00AA1D65"/>
    <w:rsid w:val="00AA1DB4"/>
    <w:rsid w:val="00AA1DCA"/>
    <w:rsid w:val="00AA1DCF"/>
    <w:rsid w:val="00AA1E0B"/>
    <w:rsid w:val="00AA1E70"/>
    <w:rsid w:val="00AA1ECB"/>
    <w:rsid w:val="00AA1FAF"/>
    <w:rsid w:val="00AA1FB9"/>
    <w:rsid w:val="00AA203C"/>
    <w:rsid w:val="00AA207B"/>
    <w:rsid w:val="00AA2116"/>
    <w:rsid w:val="00AA2118"/>
    <w:rsid w:val="00AA2135"/>
    <w:rsid w:val="00AA2137"/>
    <w:rsid w:val="00AA214F"/>
    <w:rsid w:val="00AA2203"/>
    <w:rsid w:val="00AA2206"/>
    <w:rsid w:val="00AA2247"/>
    <w:rsid w:val="00AA2284"/>
    <w:rsid w:val="00AA2297"/>
    <w:rsid w:val="00AA22A8"/>
    <w:rsid w:val="00AA2316"/>
    <w:rsid w:val="00AA235F"/>
    <w:rsid w:val="00AA2451"/>
    <w:rsid w:val="00AA2452"/>
    <w:rsid w:val="00AA24B5"/>
    <w:rsid w:val="00AA24E3"/>
    <w:rsid w:val="00AA25DE"/>
    <w:rsid w:val="00AA2635"/>
    <w:rsid w:val="00AA266C"/>
    <w:rsid w:val="00AA26D4"/>
    <w:rsid w:val="00AA26DA"/>
    <w:rsid w:val="00AA26DB"/>
    <w:rsid w:val="00AA26DF"/>
    <w:rsid w:val="00AA2714"/>
    <w:rsid w:val="00AA274D"/>
    <w:rsid w:val="00AA279E"/>
    <w:rsid w:val="00AA27A5"/>
    <w:rsid w:val="00AA27D9"/>
    <w:rsid w:val="00AA27DB"/>
    <w:rsid w:val="00AA2871"/>
    <w:rsid w:val="00AA287B"/>
    <w:rsid w:val="00AA2894"/>
    <w:rsid w:val="00AA28D5"/>
    <w:rsid w:val="00AA28DB"/>
    <w:rsid w:val="00AA2960"/>
    <w:rsid w:val="00AA29BA"/>
    <w:rsid w:val="00AA29E1"/>
    <w:rsid w:val="00AA2A06"/>
    <w:rsid w:val="00AA2B52"/>
    <w:rsid w:val="00AA2B56"/>
    <w:rsid w:val="00AA2B84"/>
    <w:rsid w:val="00AA2BB1"/>
    <w:rsid w:val="00AA2BBD"/>
    <w:rsid w:val="00AA2C3B"/>
    <w:rsid w:val="00AA2C92"/>
    <w:rsid w:val="00AA2CB9"/>
    <w:rsid w:val="00AA2CE8"/>
    <w:rsid w:val="00AA2CF1"/>
    <w:rsid w:val="00AA2D07"/>
    <w:rsid w:val="00AA2D15"/>
    <w:rsid w:val="00AA2D1F"/>
    <w:rsid w:val="00AA2D44"/>
    <w:rsid w:val="00AA2D5D"/>
    <w:rsid w:val="00AA2D8D"/>
    <w:rsid w:val="00AA2DBF"/>
    <w:rsid w:val="00AA2DE2"/>
    <w:rsid w:val="00AA2DF8"/>
    <w:rsid w:val="00AA2E46"/>
    <w:rsid w:val="00AA2EFD"/>
    <w:rsid w:val="00AA2F52"/>
    <w:rsid w:val="00AA2F6A"/>
    <w:rsid w:val="00AA2FB6"/>
    <w:rsid w:val="00AA302A"/>
    <w:rsid w:val="00AA308A"/>
    <w:rsid w:val="00AA31AA"/>
    <w:rsid w:val="00AA3202"/>
    <w:rsid w:val="00AA3203"/>
    <w:rsid w:val="00AA3229"/>
    <w:rsid w:val="00AA3277"/>
    <w:rsid w:val="00AA328C"/>
    <w:rsid w:val="00AA32DB"/>
    <w:rsid w:val="00AA32E4"/>
    <w:rsid w:val="00AA33B0"/>
    <w:rsid w:val="00AA3444"/>
    <w:rsid w:val="00AA34D7"/>
    <w:rsid w:val="00AA34DE"/>
    <w:rsid w:val="00AA352F"/>
    <w:rsid w:val="00AA355E"/>
    <w:rsid w:val="00AA358B"/>
    <w:rsid w:val="00AA35A7"/>
    <w:rsid w:val="00AA35BC"/>
    <w:rsid w:val="00AA35C4"/>
    <w:rsid w:val="00AA3656"/>
    <w:rsid w:val="00AA368F"/>
    <w:rsid w:val="00AA3690"/>
    <w:rsid w:val="00AA3713"/>
    <w:rsid w:val="00AA3721"/>
    <w:rsid w:val="00AA3727"/>
    <w:rsid w:val="00AA374F"/>
    <w:rsid w:val="00AA3778"/>
    <w:rsid w:val="00AA37D4"/>
    <w:rsid w:val="00AA37E5"/>
    <w:rsid w:val="00AA381B"/>
    <w:rsid w:val="00AA3851"/>
    <w:rsid w:val="00AA388E"/>
    <w:rsid w:val="00AA38A1"/>
    <w:rsid w:val="00AA38F0"/>
    <w:rsid w:val="00AA3936"/>
    <w:rsid w:val="00AA3938"/>
    <w:rsid w:val="00AA398F"/>
    <w:rsid w:val="00AA39FE"/>
    <w:rsid w:val="00AA3A57"/>
    <w:rsid w:val="00AA3A61"/>
    <w:rsid w:val="00AA3A63"/>
    <w:rsid w:val="00AA3A6F"/>
    <w:rsid w:val="00AA3AA8"/>
    <w:rsid w:val="00AA3BBB"/>
    <w:rsid w:val="00AA3BC7"/>
    <w:rsid w:val="00AA3BDD"/>
    <w:rsid w:val="00AA3BE2"/>
    <w:rsid w:val="00AA3C08"/>
    <w:rsid w:val="00AA3C21"/>
    <w:rsid w:val="00AA3C35"/>
    <w:rsid w:val="00AA3C7F"/>
    <w:rsid w:val="00AA3CD9"/>
    <w:rsid w:val="00AA3D1B"/>
    <w:rsid w:val="00AA3D2E"/>
    <w:rsid w:val="00AA3D4B"/>
    <w:rsid w:val="00AA3D50"/>
    <w:rsid w:val="00AA3D70"/>
    <w:rsid w:val="00AA3DA7"/>
    <w:rsid w:val="00AA3E09"/>
    <w:rsid w:val="00AA3E12"/>
    <w:rsid w:val="00AA3E3B"/>
    <w:rsid w:val="00AA3F55"/>
    <w:rsid w:val="00AA3F71"/>
    <w:rsid w:val="00AA3FB2"/>
    <w:rsid w:val="00AA3FCD"/>
    <w:rsid w:val="00AA3FD8"/>
    <w:rsid w:val="00AA402B"/>
    <w:rsid w:val="00AA4034"/>
    <w:rsid w:val="00AA405E"/>
    <w:rsid w:val="00AA4092"/>
    <w:rsid w:val="00AA40BC"/>
    <w:rsid w:val="00AA40FB"/>
    <w:rsid w:val="00AA4146"/>
    <w:rsid w:val="00AA4182"/>
    <w:rsid w:val="00AA41AD"/>
    <w:rsid w:val="00AA41F0"/>
    <w:rsid w:val="00AA4267"/>
    <w:rsid w:val="00AA4269"/>
    <w:rsid w:val="00AA427A"/>
    <w:rsid w:val="00AA42CB"/>
    <w:rsid w:val="00AA42FC"/>
    <w:rsid w:val="00AA4393"/>
    <w:rsid w:val="00AA439F"/>
    <w:rsid w:val="00AA43F2"/>
    <w:rsid w:val="00AA4437"/>
    <w:rsid w:val="00AA44D0"/>
    <w:rsid w:val="00AA4559"/>
    <w:rsid w:val="00AA455F"/>
    <w:rsid w:val="00AA457F"/>
    <w:rsid w:val="00AA4608"/>
    <w:rsid w:val="00AA4620"/>
    <w:rsid w:val="00AA4639"/>
    <w:rsid w:val="00AA4642"/>
    <w:rsid w:val="00AA46B0"/>
    <w:rsid w:val="00AA47D7"/>
    <w:rsid w:val="00AA47EC"/>
    <w:rsid w:val="00AA4822"/>
    <w:rsid w:val="00AA488F"/>
    <w:rsid w:val="00AA48A3"/>
    <w:rsid w:val="00AA48AA"/>
    <w:rsid w:val="00AA48C8"/>
    <w:rsid w:val="00AA492B"/>
    <w:rsid w:val="00AA492D"/>
    <w:rsid w:val="00AA4938"/>
    <w:rsid w:val="00AA493A"/>
    <w:rsid w:val="00AA49DA"/>
    <w:rsid w:val="00AA49DC"/>
    <w:rsid w:val="00AA49E4"/>
    <w:rsid w:val="00AA49EB"/>
    <w:rsid w:val="00AA4A7A"/>
    <w:rsid w:val="00AA4AD0"/>
    <w:rsid w:val="00AA4ADD"/>
    <w:rsid w:val="00AA4B1B"/>
    <w:rsid w:val="00AA4B53"/>
    <w:rsid w:val="00AA4B7E"/>
    <w:rsid w:val="00AA4B83"/>
    <w:rsid w:val="00AA4BC6"/>
    <w:rsid w:val="00AA4C07"/>
    <w:rsid w:val="00AA4C33"/>
    <w:rsid w:val="00AA4D17"/>
    <w:rsid w:val="00AA4D58"/>
    <w:rsid w:val="00AA4DAA"/>
    <w:rsid w:val="00AA4DB4"/>
    <w:rsid w:val="00AA4E3B"/>
    <w:rsid w:val="00AA4E6C"/>
    <w:rsid w:val="00AA4E9E"/>
    <w:rsid w:val="00AA4EB9"/>
    <w:rsid w:val="00AA4EC8"/>
    <w:rsid w:val="00AA4F1A"/>
    <w:rsid w:val="00AA4F54"/>
    <w:rsid w:val="00AA4F62"/>
    <w:rsid w:val="00AA500E"/>
    <w:rsid w:val="00AA5045"/>
    <w:rsid w:val="00AA5084"/>
    <w:rsid w:val="00AA5091"/>
    <w:rsid w:val="00AA50B5"/>
    <w:rsid w:val="00AA5108"/>
    <w:rsid w:val="00AA518E"/>
    <w:rsid w:val="00AA51C2"/>
    <w:rsid w:val="00AA51F2"/>
    <w:rsid w:val="00AA5210"/>
    <w:rsid w:val="00AA5266"/>
    <w:rsid w:val="00AA527C"/>
    <w:rsid w:val="00AA52AE"/>
    <w:rsid w:val="00AA52C2"/>
    <w:rsid w:val="00AA5316"/>
    <w:rsid w:val="00AA5339"/>
    <w:rsid w:val="00AA5374"/>
    <w:rsid w:val="00AA5408"/>
    <w:rsid w:val="00AA5434"/>
    <w:rsid w:val="00AA5435"/>
    <w:rsid w:val="00AA5472"/>
    <w:rsid w:val="00AA5533"/>
    <w:rsid w:val="00AA55ED"/>
    <w:rsid w:val="00AA562C"/>
    <w:rsid w:val="00AA5677"/>
    <w:rsid w:val="00AA5758"/>
    <w:rsid w:val="00AA57BB"/>
    <w:rsid w:val="00AA57C7"/>
    <w:rsid w:val="00AA5812"/>
    <w:rsid w:val="00AA587E"/>
    <w:rsid w:val="00AA5974"/>
    <w:rsid w:val="00AA597A"/>
    <w:rsid w:val="00AA5991"/>
    <w:rsid w:val="00AA59CA"/>
    <w:rsid w:val="00AA59E0"/>
    <w:rsid w:val="00AA59E4"/>
    <w:rsid w:val="00AA5A12"/>
    <w:rsid w:val="00AA5B1A"/>
    <w:rsid w:val="00AA5BA9"/>
    <w:rsid w:val="00AA5BE7"/>
    <w:rsid w:val="00AA5C0C"/>
    <w:rsid w:val="00AA5C16"/>
    <w:rsid w:val="00AA5C23"/>
    <w:rsid w:val="00AA5C3D"/>
    <w:rsid w:val="00AA5C52"/>
    <w:rsid w:val="00AA5D70"/>
    <w:rsid w:val="00AA5DAF"/>
    <w:rsid w:val="00AA5DBA"/>
    <w:rsid w:val="00AA5DCA"/>
    <w:rsid w:val="00AA5E10"/>
    <w:rsid w:val="00AA5E17"/>
    <w:rsid w:val="00AA5E62"/>
    <w:rsid w:val="00AA5E9D"/>
    <w:rsid w:val="00AA5EE7"/>
    <w:rsid w:val="00AA5F21"/>
    <w:rsid w:val="00AA5F6A"/>
    <w:rsid w:val="00AA601E"/>
    <w:rsid w:val="00AA6041"/>
    <w:rsid w:val="00AA6086"/>
    <w:rsid w:val="00AA60B4"/>
    <w:rsid w:val="00AA611D"/>
    <w:rsid w:val="00AA6134"/>
    <w:rsid w:val="00AA617D"/>
    <w:rsid w:val="00AA618A"/>
    <w:rsid w:val="00AA61CE"/>
    <w:rsid w:val="00AA61EB"/>
    <w:rsid w:val="00AA61EF"/>
    <w:rsid w:val="00AA627B"/>
    <w:rsid w:val="00AA62A0"/>
    <w:rsid w:val="00AA62CA"/>
    <w:rsid w:val="00AA6311"/>
    <w:rsid w:val="00AA6358"/>
    <w:rsid w:val="00AA63A8"/>
    <w:rsid w:val="00AA63AF"/>
    <w:rsid w:val="00AA63C4"/>
    <w:rsid w:val="00AA63EB"/>
    <w:rsid w:val="00AA6425"/>
    <w:rsid w:val="00AA6459"/>
    <w:rsid w:val="00AA6486"/>
    <w:rsid w:val="00AA64BA"/>
    <w:rsid w:val="00AA64FB"/>
    <w:rsid w:val="00AA6506"/>
    <w:rsid w:val="00AA652A"/>
    <w:rsid w:val="00AA6532"/>
    <w:rsid w:val="00AA65DF"/>
    <w:rsid w:val="00AA66E0"/>
    <w:rsid w:val="00AA671B"/>
    <w:rsid w:val="00AA676E"/>
    <w:rsid w:val="00AA678A"/>
    <w:rsid w:val="00AA67CF"/>
    <w:rsid w:val="00AA67E2"/>
    <w:rsid w:val="00AA67E6"/>
    <w:rsid w:val="00AA68C7"/>
    <w:rsid w:val="00AA68CD"/>
    <w:rsid w:val="00AA68E9"/>
    <w:rsid w:val="00AA68FC"/>
    <w:rsid w:val="00AA6910"/>
    <w:rsid w:val="00AA6928"/>
    <w:rsid w:val="00AA699C"/>
    <w:rsid w:val="00AA69B0"/>
    <w:rsid w:val="00AA69D3"/>
    <w:rsid w:val="00AA69DA"/>
    <w:rsid w:val="00AA6A1B"/>
    <w:rsid w:val="00AA6A6D"/>
    <w:rsid w:val="00AA6B46"/>
    <w:rsid w:val="00AA6B8C"/>
    <w:rsid w:val="00AA6C0D"/>
    <w:rsid w:val="00AA6C3D"/>
    <w:rsid w:val="00AA6C6F"/>
    <w:rsid w:val="00AA6C75"/>
    <w:rsid w:val="00AA6CB7"/>
    <w:rsid w:val="00AA6CBC"/>
    <w:rsid w:val="00AA6D31"/>
    <w:rsid w:val="00AA6D49"/>
    <w:rsid w:val="00AA6D56"/>
    <w:rsid w:val="00AA6DBA"/>
    <w:rsid w:val="00AA6DBC"/>
    <w:rsid w:val="00AA6E19"/>
    <w:rsid w:val="00AA6F62"/>
    <w:rsid w:val="00AA6F8E"/>
    <w:rsid w:val="00AA6FB5"/>
    <w:rsid w:val="00AA6FE6"/>
    <w:rsid w:val="00AA704A"/>
    <w:rsid w:val="00AA7058"/>
    <w:rsid w:val="00AA7093"/>
    <w:rsid w:val="00AA7096"/>
    <w:rsid w:val="00AA70C8"/>
    <w:rsid w:val="00AA70D9"/>
    <w:rsid w:val="00AA70F4"/>
    <w:rsid w:val="00AA712F"/>
    <w:rsid w:val="00AA714B"/>
    <w:rsid w:val="00AA7180"/>
    <w:rsid w:val="00AA71B7"/>
    <w:rsid w:val="00AA71B9"/>
    <w:rsid w:val="00AA71C2"/>
    <w:rsid w:val="00AA71E1"/>
    <w:rsid w:val="00AA720D"/>
    <w:rsid w:val="00AA72AA"/>
    <w:rsid w:val="00AA72DF"/>
    <w:rsid w:val="00AA7329"/>
    <w:rsid w:val="00AA734C"/>
    <w:rsid w:val="00AA7391"/>
    <w:rsid w:val="00AA73C8"/>
    <w:rsid w:val="00AA73EA"/>
    <w:rsid w:val="00AA7444"/>
    <w:rsid w:val="00AA74B4"/>
    <w:rsid w:val="00AA74B5"/>
    <w:rsid w:val="00AA74D6"/>
    <w:rsid w:val="00AA74D7"/>
    <w:rsid w:val="00AA7508"/>
    <w:rsid w:val="00AA7511"/>
    <w:rsid w:val="00AA751B"/>
    <w:rsid w:val="00AA7558"/>
    <w:rsid w:val="00AA7566"/>
    <w:rsid w:val="00AA7580"/>
    <w:rsid w:val="00AA7589"/>
    <w:rsid w:val="00AA75B1"/>
    <w:rsid w:val="00AA75D7"/>
    <w:rsid w:val="00AA7668"/>
    <w:rsid w:val="00AA766C"/>
    <w:rsid w:val="00AA7672"/>
    <w:rsid w:val="00AA76CD"/>
    <w:rsid w:val="00AA76ED"/>
    <w:rsid w:val="00AA7718"/>
    <w:rsid w:val="00AA772B"/>
    <w:rsid w:val="00AA77A2"/>
    <w:rsid w:val="00AA77B1"/>
    <w:rsid w:val="00AA7820"/>
    <w:rsid w:val="00AA7844"/>
    <w:rsid w:val="00AA789A"/>
    <w:rsid w:val="00AA78B4"/>
    <w:rsid w:val="00AA7A11"/>
    <w:rsid w:val="00AA7A7E"/>
    <w:rsid w:val="00AA7AFD"/>
    <w:rsid w:val="00AA7B74"/>
    <w:rsid w:val="00AA7D5B"/>
    <w:rsid w:val="00AA7D5C"/>
    <w:rsid w:val="00AA7D65"/>
    <w:rsid w:val="00AA7D76"/>
    <w:rsid w:val="00AA7E01"/>
    <w:rsid w:val="00AA7E08"/>
    <w:rsid w:val="00AA7E17"/>
    <w:rsid w:val="00AA7E2D"/>
    <w:rsid w:val="00AA7E50"/>
    <w:rsid w:val="00AA7E57"/>
    <w:rsid w:val="00AA7E64"/>
    <w:rsid w:val="00AA7E6C"/>
    <w:rsid w:val="00AA7E78"/>
    <w:rsid w:val="00AA7EC5"/>
    <w:rsid w:val="00AA7EFF"/>
    <w:rsid w:val="00AA7F18"/>
    <w:rsid w:val="00AA7FA1"/>
    <w:rsid w:val="00AA7FA4"/>
    <w:rsid w:val="00AA7FC1"/>
    <w:rsid w:val="00AA8191"/>
    <w:rsid w:val="00AB0010"/>
    <w:rsid w:val="00AB001C"/>
    <w:rsid w:val="00AB004B"/>
    <w:rsid w:val="00AB00A7"/>
    <w:rsid w:val="00AB00C7"/>
    <w:rsid w:val="00AB00D4"/>
    <w:rsid w:val="00AB017E"/>
    <w:rsid w:val="00AB019A"/>
    <w:rsid w:val="00AB01BD"/>
    <w:rsid w:val="00AB02C0"/>
    <w:rsid w:val="00AB0312"/>
    <w:rsid w:val="00AB0342"/>
    <w:rsid w:val="00AB038F"/>
    <w:rsid w:val="00AB03C6"/>
    <w:rsid w:val="00AB03E6"/>
    <w:rsid w:val="00AB0423"/>
    <w:rsid w:val="00AB046B"/>
    <w:rsid w:val="00AB046D"/>
    <w:rsid w:val="00AB04A2"/>
    <w:rsid w:val="00AB04BC"/>
    <w:rsid w:val="00AB04EF"/>
    <w:rsid w:val="00AB051F"/>
    <w:rsid w:val="00AB0533"/>
    <w:rsid w:val="00AB053B"/>
    <w:rsid w:val="00AB054C"/>
    <w:rsid w:val="00AB055D"/>
    <w:rsid w:val="00AB0596"/>
    <w:rsid w:val="00AB0599"/>
    <w:rsid w:val="00AB05A8"/>
    <w:rsid w:val="00AB05EC"/>
    <w:rsid w:val="00AB05F3"/>
    <w:rsid w:val="00AB05F8"/>
    <w:rsid w:val="00AB0623"/>
    <w:rsid w:val="00AB0629"/>
    <w:rsid w:val="00AB0642"/>
    <w:rsid w:val="00AB0740"/>
    <w:rsid w:val="00AB075B"/>
    <w:rsid w:val="00AB079F"/>
    <w:rsid w:val="00AB07AF"/>
    <w:rsid w:val="00AB0887"/>
    <w:rsid w:val="00AB0946"/>
    <w:rsid w:val="00AB099A"/>
    <w:rsid w:val="00AB099E"/>
    <w:rsid w:val="00AB09D9"/>
    <w:rsid w:val="00AB09DE"/>
    <w:rsid w:val="00AB0A06"/>
    <w:rsid w:val="00AB0A5E"/>
    <w:rsid w:val="00AB0AE6"/>
    <w:rsid w:val="00AB0AF9"/>
    <w:rsid w:val="00AB0AFD"/>
    <w:rsid w:val="00AB0B27"/>
    <w:rsid w:val="00AB0B30"/>
    <w:rsid w:val="00AB0B7E"/>
    <w:rsid w:val="00AB0B9A"/>
    <w:rsid w:val="00AB0C40"/>
    <w:rsid w:val="00AB0C59"/>
    <w:rsid w:val="00AB0C77"/>
    <w:rsid w:val="00AB0C9C"/>
    <w:rsid w:val="00AB0CC0"/>
    <w:rsid w:val="00AB0D02"/>
    <w:rsid w:val="00AB0D10"/>
    <w:rsid w:val="00AB0D2D"/>
    <w:rsid w:val="00AB0D78"/>
    <w:rsid w:val="00AB0D90"/>
    <w:rsid w:val="00AB0DBA"/>
    <w:rsid w:val="00AB0DC4"/>
    <w:rsid w:val="00AB0DF0"/>
    <w:rsid w:val="00AB0E37"/>
    <w:rsid w:val="00AB0E86"/>
    <w:rsid w:val="00AB0EA0"/>
    <w:rsid w:val="00AB0F94"/>
    <w:rsid w:val="00AB0F95"/>
    <w:rsid w:val="00AB0FB2"/>
    <w:rsid w:val="00AB1039"/>
    <w:rsid w:val="00AB108B"/>
    <w:rsid w:val="00AB10AC"/>
    <w:rsid w:val="00AB1125"/>
    <w:rsid w:val="00AB1170"/>
    <w:rsid w:val="00AB1185"/>
    <w:rsid w:val="00AB11E4"/>
    <w:rsid w:val="00AB1254"/>
    <w:rsid w:val="00AB1256"/>
    <w:rsid w:val="00AB127C"/>
    <w:rsid w:val="00AB12E4"/>
    <w:rsid w:val="00AB12E8"/>
    <w:rsid w:val="00AB12FB"/>
    <w:rsid w:val="00AB1319"/>
    <w:rsid w:val="00AB131C"/>
    <w:rsid w:val="00AB131F"/>
    <w:rsid w:val="00AB1379"/>
    <w:rsid w:val="00AB13BE"/>
    <w:rsid w:val="00AB13E1"/>
    <w:rsid w:val="00AB13E7"/>
    <w:rsid w:val="00AB143C"/>
    <w:rsid w:val="00AB143F"/>
    <w:rsid w:val="00AB1594"/>
    <w:rsid w:val="00AB15AF"/>
    <w:rsid w:val="00AB15E6"/>
    <w:rsid w:val="00AB15F2"/>
    <w:rsid w:val="00AB164D"/>
    <w:rsid w:val="00AB1656"/>
    <w:rsid w:val="00AB169C"/>
    <w:rsid w:val="00AB16F4"/>
    <w:rsid w:val="00AB16F9"/>
    <w:rsid w:val="00AB172D"/>
    <w:rsid w:val="00AB1776"/>
    <w:rsid w:val="00AB1802"/>
    <w:rsid w:val="00AB181D"/>
    <w:rsid w:val="00AB1840"/>
    <w:rsid w:val="00AB1881"/>
    <w:rsid w:val="00AB18BF"/>
    <w:rsid w:val="00AB18D6"/>
    <w:rsid w:val="00AB1902"/>
    <w:rsid w:val="00AB1907"/>
    <w:rsid w:val="00AB191B"/>
    <w:rsid w:val="00AB1947"/>
    <w:rsid w:val="00AB19A5"/>
    <w:rsid w:val="00AB19DF"/>
    <w:rsid w:val="00AB19F9"/>
    <w:rsid w:val="00AB1A0C"/>
    <w:rsid w:val="00AB1A50"/>
    <w:rsid w:val="00AB1A9D"/>
    <w:rsid w:val="00AB1ACD"/>
    <w:rsid w:val="00AB1AE8"/>
    <w:rsid w:val="00AB1B44"/>
    <w:rsid w:val="00AB1BAF"/>
    <w:rsid w:val="00AB1BD8"/>
    <w:rsid w:val="00AB1BFF"/>
    <w:rsid w:val="00AB1C43"/>
    <w:rsid w:val="00AB1C73"/>
    <w:rsid w:val="00AB1D18"/>
    <w:rsid w:val="00AB1D63"/>
    <w:rsid w:val="00AB1D71"/>
    <w:rsid w:val="00AB1E1D"/>
    <w:rsid w:val="00AB1E6B"/>
    <w:rsid w:val="00AB1E84"/>
    <w:rsid w:val="00AB1EA2"/>
    <w:rsid w:val="00AB1EB4"/>
    <w:rsid w:val="00AB1ED1"/>
    <w:rsid w:val="00AB1F25"/>
    <w:rsid w:val="00AB1F38"/>
    <w:rsid w:val="00AB1F5E"/>
    <w:rsid w:val="00AB1F71"/>
    <w:rsid w:val="00AB1FAB"/>
    <w:rsid w:val="00AB2015"/>
    <w:rsid w:val="00AB2019"/>
    <w:rsid w:val="00AB2049"/>
    <w:rsid w:val="00AB207D"/>
    <w:rsid w:val="00AB2092"/>
    <w:rsid w:val="00AB2094"/>
    <w:rsid w:val="00AB20C4"/>
    <w:rsid w:val="00AB20DB"/>
    <w:rsid w:val="00AB2125"/>
    <w:rsid w:val="00AB2180"/>
    <w:rsid w:val="00AB21D3"/>
    <w:rsid w:val="00AB227A"/>
    <w:rsid w:val="00AB22AA"/>
    <w:rsid w:val="00AB22AC"/>
    <w:rsid w:val="00AB22C4"/>
    <w:rsid w:val="00AB2389"/>
    <w:rsid w:val="00AB244B"/>
    <w:rsid w:val="00AB2477"/>
    <w:rsid w:val="00AB2494"/>
    <w:rsid w:val="00AB24C4"/>
    <w:rsid w:val="00AB24DB"/>
    <w:rsid w:val="00AB2503"/>
    <w:rsid w:val="00AB253D"/>
    <w:rsid w:val="00AB256D"/>
    <w:rsid w:val="00AB2584"/>
    <w:rsid w:val="00AB25C4"/>
    <w:rsid w:val="00AB25E1"/>
    <w:rsid w:val="00AB2637"/>
    <w:rsid w:val="00AB2645"/>
    <w:rsid w:val="00AB269C"/>
    <w:rsid w:val="00AB269D"/>
    <w:rsid w:val="00AB26E3"/>
    <w:rsid w:val="00AB2754"/>
    <w:rsid w:val="00AB277B"/>
    <w:rsid w:val="00AB27A5"/>
    <w:rsid w:val="00AB27BA"/>
    <w:rsid w:val="00AB27C8"/>
    <w:rsid w:val="00AB2809"/>
    <w:rsid w:val="00AB282A"/>
    <w:rsid w:val="00AB2832"/>
    <w:rsid w:val="00AB2868"/>
    <w:rsid w:val="00AB286D"/>
    <w:rsid w:val="00AB28A6"/>
    <w:rsid w:val="00AB294F"/>
    <w:rsid w:val="00AB29CC"/>
    <w:rsid w:val="00AB2A0B"/>
    <w:rsid w:val="00AB2A1A"/>
    <w:rsid w:val="00AB2A48"/>
    <w:rsid w:val="00AB2A51"/>
    <w:rsid w:val="00AB2B36"/>
    <w:rsid w:val="00AB2B62"/>
    <w:rsid w:val="00AB2B6A"/>
    <w:rsid w:val="00AB2B7D"/>
    <w:rsid w:val="00AB2BD3"/>
    <w:rsid w:val="00AB2BDE"/>
    <w:rsid w:val="00AB2C1D"/>
    <w:rsid w:val="00AB2C59"/>
    <w:rsid w:val="00AB2C6F"/>
    <w:rsid w:val="00AB2CCF"/>
    <w:rsid w:val="00AB2CEC"/>
    <w:rsid w:val="00AB2DBC"/>
    <w:rsid w:val="00AB2E1B"/>
    <w:rsid w:val="00AB2E80"/>
    <w:rsid w:val="00AB2EBB"/>
    <w:rsid w:val="00AB2F14"/>
    <w:rsid w:val="00AB2F2D"/>
    <w:rsid w:val="00AB2F41"/>
    <w:rsid w:val="00AB2F5C"/>
    <w:rsid w:val="00AB2F87"/>
    <w:rsid w:val="00AB2FFB"/>
    <w:rsid w:val="00AB305F"/>
    <w:rsid w:val="00AB3065"/>
    <w:rsid w:val="00AB3098"/>
    <w:rsid w:val="00AB30CE"/>
    <w:rsid w:val="00AB30FA"/>
    <w:rsid w:val="00AB3108"/>
    <w:rsid w:val="00AB313B"/>
    <w:rsid w:val="00AB31D3"/>
    <w:rsid w:val="00AB31EA"/>
    <w:rsid w:val="00AB31FD"/>
    <w:rsid w:val="00AB3208"/>
    <w:rsid w:val="00AB3241"/>
    <w:rsid w:val="00AB328F"/>
    <w:rsid w:val="00AB32AB"/>
    <w:rsid w:val="00AB32BF"/>
    <w:rsid w:val="00AB33B8"/>
    <w:rsid w:val="00AB33D7"/>
    <w:rsid w:val="00AB33E7"/>
    <w:rsid w:val="00AB3425"/>
    <w:rsid w:val="00AB3442"/>
    <w:rsid w:val="00AB34B7"/>
    <w:rsid w:val="00AB350C"/>
    <w:rsid w:val="00AB353E"/>
    <w:rsid w:val="00AB3570"/>
    <w:rsid w:val="00AB35C4"/>
    <w:rsid w:val="00AB35CC"/>
    <w:rsid w:val="00AB35F5"/>
    <w:rsid w:val="00AB3617"/>
    <w:rsid w:val="00AB36F3"/>
    <w:rsid w:val="00AB371F"/>
    <w:rsid w:val="00AB378E"/>
    <w:rsid w:val="00AB37C8"/>
    <w:rsid w:val="00AB37D7"/>
    <w:rsid w:val="00AB37E2"/>
    <w:rsid w:val="00AB38B3"/>
    <w:rsid w:val="00AB38F6"/>
    <w:rsid w:val="00AB390D"/>
    <w:rsid w:val="00AB398E"/>
    <w:rsid w:val="00AB3994"/>
    <w:rsid w:val="00AB39D3"/>
    <w:rsid w:val="00AB39F7"/>
    <w:rsid w:val="00AB3A14"/>
    <w:rsid w:val="00AB3A4D"/>
    <w:rsid w:val="00AB3A54"/>
    <w:rsid w:val="00AB3A9B"/>
    <w:rsid w:val="00AB3AA7"/>
    <w:rsid w:val="00AB3B2B"/>
    <w:rsid w:val="00AB3BA6"/>
    <w:rsid w:val="00AB3BD3"/>
    <w:rsid w:val="00AB3C07"/>
    <w:rsid w:val="00AB3C0A"/>
    <w:rsid w:val="00AB3C6F"/>
    <w:rsid w:val="00AB3C9C"/>
    <w:rsid w:val="00AB3CAE"/>
    <w:rsid w:val="00AB3CB0"/>
    <w:rsid w:val="00AB3CF2"/>
    <w:rsid w:val="00AB3D85"/>
    <w:rsid w:val="00AB3DA9"/>
    <w:rsid w:val="00AB3EB9"/>
    <w:rsid w:val="00AB3EDB"/>
    <w:rsid w:val="00AB3EEA"/>
    <w:rsid w:val="00AB400D"/>
    <w:rsid w:val="00AB40DB"/>
    <w:rsid w:val="00AB4100"/>
    <w:rsid w:val="00AB41AC"/>
    <w:rsid w:val="00AB4242"/>
    <w:rsid w:val="00AB42AF"/>
    <w:rsid w:val="00AB42D9"/>
    <w:rsid w:val="00AB4344"/>
    <w:rsid w:val="00AB437A"/>
    <w:rsid w:val="00AB43CC"/>
    <w:rsid w:val="00AB43DE"/>
    <w:rsid w:val="00AB4429"/>
    <w:rsid w:val="00AB4509"/>
    <w:rsid w:val="00AB450E"/>
    <w:rsid w:val="00AB4520"/>
    <w:rsid w:val="00AB453B"/>
    <w:rsid w:val="00AB454D"/>
    <w:rsid w:val="00AB461A"/>
    <w:rsid w:val="00AB4633"/>
    <w:rsid w:val="00AB4663"/>
    <w:rsid w:val="00AB4674"/>
    <w:rsid w:val="00AB467E"/>
    <w:rsid w:val="00AB46AA"/>
    <w:rsid w:val="00AB46CD"/>
    <w:rsid w:val="00AB473F"/>
    <w:rsid w:val="00AB487A"/>
    <w:rsid w:val="00AB48B5"/>
    <w:rsid w:val="00AB48E1"/>
    <w:rsid w:val="00AB492D"/>
    <w:rsid w:val="00AB497D"/>
    <w:rsid w:val="00AB4A4C"/>
    <w:rsid w:val="00AB4A71"/>
    <w:rsid w:val="00AB4A83"/>
    <w:rsid w:val="00AB4A85"/>
    <w:rsid w:val="00AB4A8A"/>
    <w:rsid w:val="00AB4A92"/>
    <w:rsid w:val="00AB4AEB"/>
    <w:rsid w:val="00AB4B1A"/>
    <w:rsid w:val="00AB4B89"/>
    <w:rsid w:val="00AB4BFB"/>
    <w:rsid w:val="00AB4C01"/>
    <w:rsid w:val="00AB4CA1"/>
    <w:rsid w:val="00AB4CA8"/>
    <w:rsid w:val="00AB4CB1"/>
    <w:rsid w:val="00AB4CFB"/>
    <w:rsid w:val="00AB4D0F"/>
    <w:rsid w:val="00AB4D2A"/>
    <w:rsid w:val="00AB4DC8"/>
    <w:rsid w:val="00AB4DD3"/>
    <w:rsid w:val="00AB4E29"/>
    <w:rsid w:val="00AB4E67"/>
    <w:rsid w:val="00AB4E6B"/>
    <w:rsid w:val="00AB4E73"/>
    <w:rsid w:val="00AB4E9A"/>
    <w:rsid w:val="00AB4EA5"/>
    <w:rsid w:val="00AB4F09"/>
    <w:rsid w:val="00AB4F0F"/>
    <w:rsid w:val="00AB4F23"/>
    <w:rsid w:val="00AB4F31"/>
    <w:rsid w:val="00AB4F69"/>
    <w:rsid w:val="00AB4F7E"/>
    <w:rsid w:val="00AB4F90"/>
    <w:rsid w:val="00AB4FA1"/>
    <w:rsid w:val="00AB503D"/>
    <w:rsid w:val="00AB50E2"/>
    <w:rsid w:val="00AB519B"/>
    <w:rsid w:val="00AB5247"/>
    <w:rsid w:val="00AB52A9"/>
    <w:rsid w:val="00AB5376"/>
    <w:rsid w:val="00AB53DA"/>
    <w:rsid w:val="00AB5402"/>
    <w:rsid w:val="00AB540F"/>
    <w:rsid w:val="00AB541F"/>
    <w:rsid w:val="00AB5432"/>
    <w:rsid w:val="00AB5520"/>
    <w:rsid w:val="00AB5560"/>
    <w:rsid w:val="00AB55AC"/>
    <w:rsid w:val="00AB5659"/>
    <w:rsid w:val="00AB5665"/>
    <w:rsid w:val="00AB56B0"/>
    <w:rsid w:val="00AB582E"/>
    <w:rsid w:val="00AB587D"/>
    <w:rsid w:val="00AB5899"/>
    <w:rsid w:val="00AB58A6"/>
    <w:rsid w:val="00AB58C4"/>
    <w:rsid w:val="00AB5939"/>
    <w:rsid w:val="00AB593E"/>
    <w:rsid w:val="00AB5952"/>
    <w:rsid w:val="00AB597E"/>
    <w:rsid w:val="00AB598B"/>
    <w:rsid w:val="00AB59E9"/>
    <w:rsid w:val="00AB5A5B"/>
    <w:rsid w:val="00AB5ABE"/>
    <w:rsid w:val="00AB5AD0"/>
    <w:rsid w:val="00AB5B16"/>
    <w:rsid w:val="00AB5B3D"/>
    <w:rsid w:val="00AB5B64"/>
    <w:rsid w:val="00AB5B79"/>
    <w:rsid w:val="00AB5BCF"/>
    <w:rsid w:val="00AB5BD5"/>
    <w:rsid w:val="00AB5C1C"/>
    <w:rsid w:val="00AB5C2B"/>
    <w:rsid w:val="00AB5C5B"/>
    <w:rsid w:val="00AB5C82"/>
    <w:rsid w:val="00AB5D34"/>
    <w:rsid w:val="00AB5D56"/>
    <w:rsid w:val="00AB5DA0"/>
    <w:rsid w:val="00AB5DB4"/>
    <w:rsid w:val="00AB5DC6"/>
    <w:rsid w:val="00AB5E15"/>
    <w:rsid w:val="00AB5E3A"/>
    <w:rsid w:val="00AB5E7A"/>
    <w:rsid w:val="00AB5E7C"/>
    <w:rsid w:val="00AB5EB4"/>
    <w:rsid w:val="00AB5EF7"/>
    <w:rsid w:val="00AB5F67"/>
    <w:rsid w:val="00AB5FC0"/>
    <w:rsid w:val="00AB60B1"/>
    <w:rsid w:val="00AB6117"/>
    <w:rsid w:val="00AB616D"/>
    <w:rsid w:val="00AB6180"/>
    <w:rsid w:val="00AB61E0"/>
    <w:rsid w:val="00AB623E"/>
    <w:rsid w:val="00AB6269"/>
    <w:rsid w:val="00AB626A"/>
    <w:rsid w:val="00AB62BA"/>
    <w:rsid w:val="00AB62D8"/>
    <w:rsid w:val="00AB62D9"/>
    <w:rsid w:val="00AB633B"/>
    <w:rsid w:val="00AB6350"/>
    <w:rsid w:val="00AB63C4"/>
    <w:rsid w:val="00AB645F"/>
    <w:rsid w:val="00AB64AB"/>
    <w:rsid w:val="00AB6570"/>
    <w:rsid w:val="00AB6599"/>
    <w:rsid w:val="00AB65A8"/>
    <w:rsid w:val="00AB65C0"/>
    <w:rsid w:val="00AB65DC"/>
    <w:rsid w:val="00AB6699"/>
    <w:rsid w:val="00AB66E1"/>
    <w:rsid w:val="00AB66FD"/>
    <w:rsid w:val="00AB6741"/>
    <w:rsid w:val="00AB675F"/>
    <w:rsid w:val="00AB679F"/>
    <w:rsid w:val="00AB67D4"/>
    <w:rsid w:val="00AB67F7"/>
    <w:rsid w:val="00AB6802"/>
    <w:rsid w:val="00AB6829"/>
    <w:rsid w:val="00AB683C"/>
    <w:rsid w:val="00AB6858"/>
    <w:rsid w:val="00AB68B2"/>
    <w:rsid w:val="00AB68B3"/>
    <w:rsid w:val="00AB68C1"/>
    <w:rsid w:val="00AB68EE"/>
    <w:rsid w:val="00AB6901"/>
    <w:rsid w:val="00AB691B"/>
    <w:rsid w:val="00AB6957"/>
    <w:rsid w:val="00AB697C"/>
    <w:rsid w:val="00AB69BD"/>
    <w:rsid w:val="00AB69FE"/>
    <w:rsid w:val="00AB6A3C"/>
    <w:rsid w:val="00AB6AA7"/>
    <w:rsid w:val="00AB6AC9"/>
    <w:rsid w:val="00AB6AED"/>
    <w:rsid w:val="00AB6BD6"/>
    <w:rsid w:val="00AB6C45"/>
    <w:rsid w:val="00AB6C59"/>
    <w:rsid w:val="00AB6CE8"/>
    <w:rsid w:val="00AB6CF8"/>
    <w:rsid w:val="00AB6CFA"/>
    <w:rsid w:val="00AB6D9A"/>
    <w:rsid w:val="00AB6DA7"/>
    <w:rsid w:val="00AB6DBB"/>
    <w:rsid w:val="00AB6DC5"/>
    <w:rsid w:val="00AB6E1E"/>
    <w:rsid w:val="00AB6E38"/>
    <w:rsid w:val="00AB6E7A"/>
    <w:rsid w:val="00AB6E81"/>
    <w:rsid w:val="00AB6F15"/>
    <w:rsid w:val="00AB6F30"/>
    <w:rsid w:val="00AB6F41"/>
    <w:rsid w:val="00AB6F7D"/>
    <w:rsid w:val="00AB6F95"/>
    <w:rsid w:val="00AB6FAF"/>
    <w:rsid w:val="00AB7014"/>
    <w:rsid w:val="00AB7024"/>
    <w:rsid w:val="00AB702D"/>
    <w:rsid w:val="00AB7033"/>
    <w:rsid w:val="00AB703E"/>
    <w:rsid w:val="00AB7040"/>
    <w:rsid w:val="00AB7097"/>
    <w:rsid w:val="00AB70A6"/>
    <w:rsid w:val="00AB70C5"/>
    <w:rsid w:val="00AB70C9"/>
    <w:rsid w:val="00AB70F8"/>
    <w:rsid w:val="00AB7129"/>
    <w:rsid w:val="00AB715E"/>
    <w:rsid w:val="00AB7176"/>
    <w:rsid w:val="00AB71B5"/>
    <w:rsid w:val="00AB71DB"/>
    <w:rsid w:val="00AB7269"/>
    <w:rsid w:val="00AB72D5"/>
    <w:rsid w:val="00AB7309"/>
    <w:rsid w:val="00AB735D"/>
    <w:rsid w:val="00AB73DF"/>
    <w:rsid w:val="00AB73E1"/>
    <w:rsid w:val="00AB73ED"/>
    <w:rsid w:val="00AB741D"/>
    <w:rsid w:val="00AB7430"/>
    <w:rsid w:val="00AB748A"/>
    <w:rsid w:val="00AB74DB"/>
    <w:rsid w:val="00AB74F0"/>
    <w:rsid w:val="00AB753D"/>
    <w:rsid w:val="00AB75CA"/>
    <w:rsid w:val="00AB7647"/>
    <w:rsid w:val="00AB7694"/>
    <w:rsid w:val="00AB76EC"/>
    <w:rsid w:val="00AB770C"/>
    <w:rsid w:val="00AB7748"/>
    <w:rsid w:val="00AB779A"/>
    <w:rsid w:val="00AB77B9"/>
    <w:rsid w:val="00AB785F"/>
    <w:rsid w:val="00AB7878"/>
    <w:rsid w:val="00AB789A"/>
    <w:rsid w:val="00AB78B4"/>
    <w:rsid w:val="00AB78CD"/>
    <w:rsid w:val="00AB7909"/>
    <w:rsid w:val="00AB7916"/>
    <w:rsid w:val="00AB7945"/>
    <w:rsid w:val="00AB7981"/>
    <w:rsid w:val="00AB79F4"/>
    <w:rsid w:val="00AB7A42"/>
    <w:rsid w:val="00AB7A7F"/>
    <w:rsid w:val="00AB7ABE"/>
    <w:rsid w:val="00AB7B62"/>
    <w:rsid w:val="00AB7BC9"/>
    <w:rsid w:val="00AB7BF5"/>
    <w:rsid w:val="00AB7C99"/>
    <w:rsid w:val="00AB7CD2"/>
    <w:rsid w:val="00AB7CEA"/>
    <w:rsid w:val="00AB7D3F"/>
    <w:rsid w:val="00AB7D70"/>
    <w:rsid w:val="00AB7DAA"/>
    <w:rsid w:val="00AB7DAD"/>
    <w:rsid w:val="00AB7DB8"/>
    <w:rsid w:val="00AB7DC3"/>
    <w:rsid w:val="00AB7DC7"/>
    <w:rsid w:val="00AB7E44"/>
    <w:rsid w:val="00AB7E8D"/>
    <w:rsid w:val="00AB7EBB"/>
    <w:rsid w:val="00AB7ECA"/>
    <w:rsid w:val="00AB7EEC"/>
    <w:rsid w:val="00AB7F16"/>
    <w:rsid w:val="00AB7F1F"/>
    <w:rsid w:val="00AB7F26"/>
    <w:rsid w:val="00AB7F4F"/>
    <w:rsid w:val="00AB7F9F"/>
    <w:rsid w:val="00AB7FFE"/>
    <w:rsid w:val="00AC0009"/>
    <w:rsid w:val="00AC0016"/>
    <w:rsid w:val="00AC0020"/>
    <w:rsid w:val="00AC0052"/>
    <w:rsid w:val="00AC007F"/>
    <w:rsid w:val="00AC0097"/>
    <w:rsid w:val="00AC00AA"/>
    <w:rsid w:val="00AC00CA"/>
    <w:rsid w:val="00AC00F2"/>
    <w:rsid w:val="00AC018F"/>
    <w:rsid w:val="00AC021E"/>
    <w:rsid w:val="00AC0244"/>
    <w:rsid w:val="00AC024A"/>
    <w:rsid w:val="00AC0258"/>
    <w:rsid w:val="00AC0290"/>
    <w:rsid w:val="00AC02D6"/>
    <w:rsid w:val="00AC02FB"/>
    <w:rsid w:val="00AC0315"/>
    <w:rsid w:val="00AC0354"/>
    <w:rsid w:val="00AC0461"/>
    <w:rsid w:val="00AC04B1"/>
    <w:rsid w:val="00AC04C4"/>
    <w:rsid w:val="00AC04D9"/>
    <w:rsid w:val="00AC0562"/>
    <w:rsid w:val="00AC05A6"/>
    <w:rsid w:val="00AC05B3"/>
    <w:rsid w:val="00AC05C6"/>
    <w:rsid w:val="00AC05C7"/>
    <w:rsid w:val="00AC05CA"/>
    <w:rsid w:val="00AC05E6"/>
    <w:rsid w:val="00AC05FE"/>
    <w:rsid w:val="00AC05FF"/>
    <w:rsid w:val="00AC0640"/>
    <w:rsid w:val="00AC0661"/>
    <w:rsid w:val="00AC069B"/>
    <w:rsid w:val="00AC0753"/>
    <w:rsid w:val="00AC07CF"/>
    <w:rsid w:val="00AC0831"/>
    <w:rsid w:val="00AC0873"/>
    <w:rsid w:val="00AC08A5"/>
    <w:rsid w:val="00AC08AD"/>
    <w:rsid w:val="00AC090F"/>
    <w:rsid w:val="00AC0919"/>
    <w:rsid w:val="00AC09E5"/>
    <w:rsid w:val="00AC09E8"/>
    <w:rsid w:val="00AC0A26"/>
    <w:rsid w:val="00AC0ACA"/>
    <w:rsid w:val="00AC0B25"/>
    <w:rsid w:val="00AC0B29"/>
    <w:rsid w:val="00AC0B33"/>
    <w:rsid w:val="00AC0B69"/>
    <w:rsid w:val="00AC0B71"/>
    <w:rsid w:val="00AC0B8B"/>
    <w:rsid w:val="00AC0B9D"/>
    <w:rsid w:val="00AC0BBC"/>
    <w:rsid w:val="00AC0BC5"/>
    <w:rsid w:val="00AC0C2E"/>
    <w:rsid w:val="00AC0C3D"/>
    <w:rsid w:val="00AC0C63"/>
    <w:rsid w:val="00AC0C79"/>
    <w:rsid w:val="00AC0CD0"/>
    <w:rsid w:val="00AC0DC3"/>
    <w:rsid w:val="00AC0DC7"/>
    <w:rsid w:val="00AC0E48"/>
    <w:rsid w:val="00AC0E94"/>
    <w:rsid w:val="00AC0EF9"/>
    <w:rsid w:val="00AC0F17"/>
    <w:rsid w:val="00AC0F53"/>
    <w:rsid w:val="00AC0F80"/>
    <w:rsid w:val="00AC0F86"/>
    <w:rsid w:val="00AC0F90"/>
    <w:rsid w:val="00AC0FA1"/>
    <w:rsid w:val="00AC1023"/>
    <w:rsid w:val="00AC105C"/>
    <w:rsid w:val="00AC10DB"/>
    <w:rsid w:val="00AC118F"/>
    <w:rsid w:val="00AC11A6"/>
    <w:rsid w:val="00AC121F"/>
    <w:rsid w:val="00AC1240"/>
    <w:rsid w:val="00AC144B"/>
    <w:rsid w:val="00AC1460"/>
    <w:rsid w:val="00AC146A"/>
    <w:rsid w:val="00AC148B"/>
    <w:rsid w:val="00AC14B0"/>
    <w:rsid w:val="00AC14BE"/>
    <w:rsid w:val="00AC156B"/>
    <w:rsid w:val="00AC1589"/>
    <w:rsid w:val="00AC15AA"/>
    <w:rsid w:val="00AC15BD"/>
    <w:rsid w:val="00AC15D9"/>
    <w:rsid w:val="00AC15F9"/>
    <w:rsid w:val="00AC165D"/>
    <w:rsid w:val="00AC1695"/>
    <w:rsid w:val="00AC17F7"/>
    <w:rsid w:val="00AC180B"/>
    <w:rsid w:val="00AC1849"/>
    <w:rsid w:val="00AC185A"/>
    <w:rsid w:val="00AC188A"/>
    <w:rsid w:val="00AC1892"/>
    <w:rsid w:val="00AC1894"/>
    <w:rsid w:val="00AC18E7"/>
    <w:rsid w:val="00AC193A"/>
    <w:rsid w:val="00AC1973"/>
    <w:rsid w:val="00AC19DB"/>
    <w:rsid w:val="00AC19F1"/>
    <w:rsid w:val="00AC1A63"/>
    <w:rsid w:val="00AC1A85"/>
    <w:rsid w:val="00AC1A87"/>
    <w:rsid w:val="00AC1B19"/>
    <w:rsid w:val="00AC1B29"/>
    <w:rsid w:val="00AC1B71"/>
    <w:rsid w:val="00AC1B88"/>
    <w:rsid w:val="00AC1B97"/>
    <w:rsid w:val="00AC1BD5"/>
    <w:rsid w:val="00AC1BE8"/>
    <w:rsid w:val="00AC1C08"/>
    <w:rsid w:val="00AC1CA2"/>
    <w:rsid w:val="00AC1CE0"/>
    <w:rsid w:val="00AC1D11"/>
    <w:rsid w:val="00AC1D5A"/>
    <w:rsid w:val="00AC1D81"/>
    <w:rsid w:val="00AC1DB3"/>
    <w:rsid w:val="00AC1E31"/>
    <w:rsid w:val="00AC1EAB"/>
    <w:rsid w:val="00AC1EB3"/>
    <w:rsid w:val="00AC1ED5"/>
    <w:rsid w:val="00AC1FC0"/>
    <w:rsid w:val="00AC1FC3"/>
    <w:rsid w:val="00AC201A"/>
    <w:rsid w:val="00AC204D"/>
    <w:rsid w:val="00AC205E"/>
    <w:rsid w:val="00AC207C"/>
    <w:rsid w:val="00AC20A1"/>
    <w:rsid w:val="00AC20AB"/>
    <w:rsid w:val="00AC20D2"/>
    <w:rsid w:val="00AC2233"/>
    <w:rsid w:val="00AC2246"/>
    <w:rsid w:val="00AC229A"/>
    <w:rsid w:val="00AC22B0"/>
    <w:rsid w:val="00AC22E9"/>
    <w:rsid w:val="00AC23EA"/>
    <w:rsid w:val="00AC23EB"/>
    <w:rsid w:val="00AC240F"/>
    <w:rsid w:val="00AC2437"/>
    <w:rsid w:val="00AC2454"/>
    <w:rsid w:val="00AC2492"/>
    <w:rsid w:val="00AC24B2"/>
    <w:rsid w:val="00AC2551"/>
    <w:rsid w:val="00AC2566"/>
    <w:rsid w:val="00AC2584"/>
    <w:rsid w:val="00AC25C7"/>
    <w:rsid w:val="00AC2621"/>
    <w:rsid w:val="00AC2651"/>
    <w:rsid w:val="00AC269C"/>
    <w:rsid w:val="00AC26CC"/>
    <w:rsid w:val="00AC26F3"/>
    <w:rsid w:val="00AC2722"/>
    <w:rsid w:val="00AC2737"/>
    <w:rsid w:val="00AC27C9"/>
    <w:rsid w:val="00AC2889"/>
    <w:rsid w:val="00AC28B6"/>
    <w:rsid w:val="00AC28D2"/>
    <w:rsid w:val="00AC28EA"/>
    <w:rsid w:val="00AC28F8"/>
    <w:rsid w:val="00AC293D"/>
    <w:rsid w:val="00AC29DC"/>
    <w:rsid w:val="00AC2A05"/>
    <w:rsid w:val="00AC2A16"/>
    <w:rsid w:val="00AC2A1D"/>
    <w:rsid w:val="00AC2A6C"/>
    <w:rsid w:val="00AC2ADC"/>
    <w:rsid w:val="00AC2B34"/>
    <w:rsid w:val="00AC2B51"/>
    <w:rsid w:val="00AC2B62"/>
    <w:rsid w:val="00AC2BD2"/>
    <w:rsid w:val="00AC2BD6"/>
    <w:rsid w:val="00AC2C8D"/>
    <w:rsid w:val="00AC2CA3"/>
    <w:rsid w:val="00AC2CD8"/>
    <w:rsid w:val="00AC2D15"/>
    <w:rsid w:val="00AC2D83"/>
    <w:rsid w:val="00AC2DA2"/>
    <w:rsid w:val="00AC2E0C"/>
    <w:rsid w:val="00AC2EC1"/>
    <w:rsid w:val="00AC2F45"/>
    <w:rsid w:val="00AC2F66"/>
    <w:rsid w:val="00AC306D"/>
    <w:rsid w:val="00AC3070"/>
    <w:rsid w:val="00AC30DD"/>
    <w:rsid w:val="00AC30F4"/>
    <w:rsid w:val="00AC311B"/>
    <w:rsid w:val="00AC3141"/>
    <w:rsid w:val="00AC3171"/>
    <w:rsid w:val="00AC3194"/>
    <w:rsid w:val="00AC3286"/>
    <w:rsid w:val="00AC330D"/>
    <w:rsid w:val="00AC3313"/>
    <w:rsid w:val="00AC331A"/>
    <w:rsid w:val="00AC3348"/>
    <w:rsid w:val="00AC3359"/>
    <w:rsid w:val="00AC335F"/>
    <w:rsid w:val="00AC336C"/>
    <w:rsid w:val="00AC33B3"/>
    <w:rsid w:val="00AC344F"/>
    <w:rsid w:val="00AC3478"/>
    <w:rsid w:val="00AC347A"/>
    <w:rsid w:val="00AC348C"/>
    <w:rsid w:val="00AC34A4"/>
    <w:rsid w:val="00AC34B0"/>
    <w:rsid w:val="00AC34E4"/>
    <w:rsid w:val="00AC3524"/>
    <w:rsid w:val="00AC3535"/>
    <w:rsid w:val="00AC3555"/>
    <w:rsid w:val="00AC35B7"/>
    <w:rsid w:val="00AC35C2"/>
    <w:rsid w:val="00AC361A"/>
    <w:rsid w:val="00AC3622"/>
    <w:rsid w:val="00AC3636"/>
    <w:rsid w:val="00AC3643"/>
    <w:rsid w:val="00AC3664"/>
    <w:rsid w:val="00AC3667"/>
    <w:rsid w:val="00AC3732"/>
    <w:rsid w:val="00AC3880"/>
    <w:rsid w:val="00AC388D"/>
    <w:rsid w:val="00AC38CE"/>
    <w:rsid w:val="00AC38D4"/>
    <w:rsid w:val="00AC394D"/>
    <w:rsid w:val="00AC3977"/>
    <w:rsid w:val="00AC3984"/>
    <w:rsid w:val="00AC3987"/>
    <w:rsid w:val="00AC39A5"/>
    <w:rsid w:val="00AC39C0"/>
    <w:rsid w:val="00AC39CB"/>
    <w:rsid w:val="00AC3A53"/>
    <w:rsid w:val="00AC3A5F"/>
    <w:rsid w:val="00AC3AF3"/>
    <w:rsid w:val="00AC3B1A"/>
    <w:rsid w:val="00AC3BE9"/>
    <w:rsid w:val="00AC3CC0"/>
    <w:rsid w:val="00AC3CE7"/>
    <w:rsid w:val="00AC3D7A"/>
    <w:rsid w:val="00AC3D92"/>
    <w:rsid w:val="00AC3E23"/>
    <w:rsid w:val="00AC3E2E"/>
    <w:rsid w:val="00AC3E9F"/>
    <w:rsid w:val="00AC3ECD"/>
    <w:rsid w:val="00AC3ED9"/>
    <w:rsid w:val="00AC3F44"/>
    <w:rsid w:val="00AC3F86"/>
    <w:rsid w:val="00AC4059"/>
    <w:rsid w:val="00AC410F"/>
    <w:rsid w:val="00AC4193"/>
    <w:rsid w:val="00AC423C"/>
    <w:rsid w:val="00AC42F7"/>
    <w:rsid w:val="00AC4325"/>
    <w:rsid w:val="00AC4379"/>
    <w:rsid w:val="00AC437E"/>
    <w:rsid w:val="00AC438C"/>
    <w:rsid w:val="00AC43D9"/>
    <w:rsid w:val="00AC4433"/>
    <w:rsid w:val="00AC4463"/>
    <w:rsid w:val="00AC449B"/>
    <w:rsid w:val="00AC44E7"/>
    <w:rsid w:val="00AC455E"/>
    <w:rsid w:val="00AC460E"/>
    <w:rsid w:val="00AC46BF"/>
    <w:rsid w:val="00AC46C3"/>
    <w:rsid w:val="00AC4718"/>
    <w:rsid w:val="00AC475C"/>
    <w:rsid w:val="00AC480F"/>
    <w:rsid w:val="00AC481A"/>
    <w:rsid w:val="00AC485C"/>
    <w:rsid w:val="00AC486F"/>
    <w:rsid w:val="00AC48C8"/>
    <w:rsid w:val="00AC48E2"/>
    <w:rsid w:val="00AC48E7"/>
    <w:rsid w:val="00AC4918"/>
    <w:rsid w:val="00AC494C"/>
    <w:rsid w:val="00AC49E6"/>
    <w:rsid w:val="00AC4A0B"/>
    <w:rsid w:val="00AC4A11"/>
    <w:rsid w:val="00AC4A4A"/>
    <w:rsid w:val="00AC4B08"/>
    <w:rsid w:val="00AC4B34"/>
    <w:rsid w:val="00AC4B74"/>
    <w:rsid w:val="00AC4B9B"/>
    <w:rsid w:val="00AC4BC3"/>
    <w:rsid w:val="00AC4BC6"/>
    <w:rsid w:val="00AC4C07"/>
    <w:rsid w:val="00AC4C26"/>
    <w:rsid w:val="00AC4C95"/>
    <w:rsid w:val="00AC4CB1"/>
    <w:rsid w:val="00AC4CD3"/>
    <w:rsid w:val="00AC4CFB"/>
    <w:rsid w:val="00AC4D02"/>
    <w:rsid w:val="00AC4D44"/>
    <w:rsid w:val="00AC4D4A"/>
    <w:rsid w:val="00AC4D90"/>
    <w:rsid w:val="00AC4D9D"/>
    <w:rsid w:val="00AC4DBC"/>
    <w:rsid w:val="00AC4E3E"/>
    <w:rsid w:val="00AC4E6D"/>
    <w:rsid w:val="00AC4E7E"/>
    <w:rsid w:val="00AC4E82"/>
    <w:rsid w:val="00AC4E86"/>
    <w:rsid w:val="00AC4E9E"/>
    <w:rsid w:val="00AC4EB7"/>
    <w:rsid w:val="00AC4EFD"/>
    <w:rsid w:val="00AC4FF8"/>
    <w:rsid w:val="00AC5045"/>
    <w:rsid w:val="00AC5056"/>
    <w:rsid w:val="00AC5063"/>
    <w:rsid w:val="00AC50A3"/>
    <w:rsid w:val="00AC50C2"/>
    <w:rsid w:val="00AC518C"/>
    <w:rsid w:val="00AC51C6"/>
    <w:rsid w:val="00AC51D8"/>
    <w:rsid w:val="00AC5215"/>
    <w:rsid w:val="00AC5243"/>
    <w:rsid w:val="00AC526A"/>
    <w:rsid w:val="00AC52A3"/>
    <w:rsid w:val="00AC52F3"/>
    <w:rsid w:val="00AC5332"/>
    <w:rsid w:val="00AC5342"/>
    <w:rsid w:val="00AC536A"/>
    <w:rsid w:val="00AC5379"/>
    <w:rsid w:val="00AC53E3"/>
    <w:rsid w:val="00AC5407"/>
    <w:rsid w:val="00AC5408"/>
    <w:rsid w:val="00AC540B"/>
    <w:rsid w:val="00AC5420"/>
    <w:rsid w:val="00AC5437"/>
    <w:rsid w:val="00AC5443"/>
    <w:rsid w:val="00AC546D"/>
    <w:rsid w:val="00AC550D"/>
    <w:rsid w:val="00AC5682"/>
    <w:rsid w:val="00AC56FD"/>
    <w:rsid w:val="00AC5704"/>
    <w:rsid w:val="00AC57CD"/>
    <w:rsid w:val="00AC57DB"/>
    <w:rsid w:val="00AC582D"/>
    <w:rsid w:val="00AC583E"/>
    <w:rsid w:val="00AC5849"/>
    <w:rsid w:val="00AC5862"/>
    <w:rsid w:val="00AC5864"/>
    <w:rsid w:val="00AC58B7"/>
    <w:rsid w:val="00AC58C3"/>
    <w:rsid w:val="00AC58DE"/>
    <w:rsid w:val="00AC58FB"/>
    <w:rsid w:val="00AC5956"/>
    <w:rsid w:val="00AC5958"/>
    <w:rsid w:val="00AC5991"/>
    <w:rsid w:val="00AC59B7"/>
    <w:rsid w:val="00AC59E0"/>
    <w:rsid w:val="00AC5A15"/>
    <w:rsid w:val="00AC5A79"/>
    <w:rsid w:val="00AC5AAB"/>
    <w:rsid w:val="00AC5AD5"/>
    <w:rsid w:val="00AC5AE9"/>
    <w:rsid w:val="00AC5B20"/>
    <w:rsid w:val="00AC5B57"/>
    <w:rsid w:val="00AC5B7B"/>
    <w:rsid w:val="00AC5B98"/>
    <w:rsid w:val="00AC5C0F"/>
    <w:rsid w:val="00AC5C12"/>
    <w:rsid w:val="00AC5C71"/>
    <w:rsid w:val="00AC5CDE"/>
    <w:rsid w:val="00AC5D23"/>
    <w:rsid w:val="00AC5D32"/>
    <w:rsid w:val="00AC5D6C"/>
    <w:rsid w:val="00AC5D87"/>
    <w:rsid w:val="00AC5DD1"/>
    <w:rsid w:val="00AC5E19"/>
    <w:rsid w:val="00AC5E27"/>
    <w:rsid w:val="00AC5F94"/>
    <w:rsid w:val="00AC5F95"/>
    <w:rsid w:val="00AC60C6"/>
    <w:rsid w:val="00AC60DE"/>
    <w:rsid w:val="00AC6127"/>
    <w:rsid w:val="00AC61CB"/>
    <w:rsid w:val="00AC61F9"/>
    <w:rsid w:val="00AC6235"/>
    <w:rsid w:val="00AC6270"/>
    <w:rsid w:val="00AC6284"/>
    <w:rsid w:val="00AC62BB"/>
    <w:rsid w:val="00AC634A"/>
    <w:rsid w:val="00AC6392"/>
    <w:rsid w:val="00AC6437"/>
    <w:rsid w:val="00AC6480"/>
    <w:rsid w:val="00AC64CB"/>
    <w:rsid w:val="00AC64CF"/>
    <w:rsid w:val="00AC64D6"/>
    <w:rsid w:val="00AC64D7"/>
    <w:rsid w:val="00AC64D9"/>
    <w:rsid w:val="00AC64E9"/>
    <w:rsid w:val="00AC656A"/>
    <w:rsid w:val="00AC657F"/>
    <w:rsid w:val="00AC65A1"/>
    <w:rsid w:val="00AC65B2"/>
    <w:rsid w:val="00AC6604"/>
    <w:rsid w:val="00AC661C"/>
    <w:rsid w:val="00AC665A"/>
    <w:rsid w:val="00AC66DA"/>
    <w:rsid w:val="00AC66DF"/>
    <w:rsid w:val="00AC6708"/>
    <w:rsid w:val="00AC6760"/>
    <w:rsid w:val="00AC6857"/>
    <w:rsid w:val="00AC68BD"/>
    <w:rsid w:val="00AC6915"/>
    <w:rsid w:val="00AC692D"/>
    <w:rsid w:val="00AC6995"/>
    <w:rsid w:val="00AC69FE"/>
    <w:rsid w:val="00AC6A03"/>
    <w:rsid w:val="00AC6A11"/>
    <w:rsid w:val="00AC6A41"/>
    <w:rsid w:val="00AC6A74"/>
    <w:rsid w:val="00AC6A9D"/>
    <w:rsid w:val="00AC6AE7"/>
    <w:rsid w:val="00AC6B02"/>
    <w:rsid w:val="00AC6B35"/>
    <w:rsid w:val="00AC6B3B"/>
    <w:rsid w:val="00AC6B46"/>
    <w:rsid w:val="00AC6B8B"/>
    <w:rsid w:val="00AC6C21"/>
    <w:rsid w:val="00AC6C3F"/>
    <w:rsid w:val="00AC6C5C"/>
    <w:rsid w:val="00AC6C71"/>
    <w:rsid w:val="00AC6CCF"/>
    <w:rsid w:val="00AC6CDE"/>
    <w:rsid w:val="00AC6D04"/>
    <w:rsid w:val="00AC6D27"/>
    <w:rsid w:val="00AC6D4B"/>
    <w:rsid w:val="00AC6D65"/>
    <w:rsid w:val="00AC6D99"/>
    <w:rsid w:val="00AC6DC4"/>
    <w:rsid w:val="00AC6E20"/>
    <w:rsid w:val="00AC6E76"/>
    <w:rsid w:val="00AC6E86"/>
    <w:rsid w:val="00AC6EE7"/>
    <w:rsid w:val="00AC6F43"/>
    <w:rsid w:val="00AC6F68"/>
    <w:rsid w:val="00AC6FF5"/>
    <w:rsid w:val="00AC6FF8"/>
    <w:rsid w:val="00AC7043"/>
    <w:rsid w:val="00AC704A"/>
    <w:rsid w:val="00AC7097"/>
    <w:rsid w:val="00AC70A3"/>
    <w:rsid w:val="00AC70C2"/>
    <w:rsid w:val="00AC70CE"/>
    <w:rsid w:val="00AC70EC"/>
    <w:rsid w:val="00AC7194"/>
    <w:rsid w:val="00AC71F9"/>
    <w:rsid w:val="00AC724C"/>
    <w:rsid w:val="00AC726E"/>
    <w:rsid w:val="00AC72DB"/>
    <w:rsid w:val="00AC7316"/>
    <w:rsid w:val="00AC732A"/>
    <w:rsid w:val="00AC7330"/>
    <w:rsid w:val="00AC7360"/>
    <w:rsid w:val="00AC738C"/>
    <w:rsid w:val="00AC73A1"/>
    <w:rsid w:val="00AC73A9"/>
    <w:rsid w:val="00AC7452"/>
    <w:rsid w:val="00AC7518"/>
    <w:rsid w:val="00AC755C"/>
    <w:rsid w:val="00AC75C5"/>
    <w:rsid w:val="00AC75F9"/>
    <w:rsid w:val="00AC7605"/>
    <w:rsid w:val="00AC7647"/>
    <w:rsid w:val="00AC76C6"/>
    <w:rsid w:val="00AC76DA"/>
    <w:rsid w:val="00AC76DB"/>
    <w:rsid w:val="00AC7770"/>
    <w:rsid w:val="00AC7798"/>
    <w:rsid w:val="00AC77AE"/>
    <w:rsid w:val="00AC7815"/>
    <w:rsid w:val="00AC7853"/>
    <w:rsid w:val="00AC7944"/>
    <w:rsid w:val="00AC799E"/>
    <w:rsid w:val="00AC7A9F"/>
    <w:rsid w:val="00AC7B62"/>
    <w:rsid w:val="00AC7C49"/>
    <w:rsid w:val="00AC7CBF"/>
    <w:rsid w:val="00AC7CD2"/>
    <w:rsid w:val="00AC7D1E"/>
    <w:rsid w:val="00AC7D33"/>
    <w:rsid w:val="00AC7D4D"/>
    <w:rsid w:val="00AC7DDF"/>
    <w:rsid w:val="00AC7E35"/>
    <w:rsid w:val="00AC7E4F"/>
    <w:rsid w:val="00AC7E74"/>
    <w:rsid w:val="00AC7E86"/>
    <w:rsid w:val="00AC7EA8"/>
    <w:rsid w:val="00AC7EE9"/>
    <w:rsid w:val="00AC7F09"/>
    <w:rsid w:val="00AC7F0B"/>
    <w:rsid w:val="00AC7F90"/>
    <w:rsid w:val="00AC7F93"/>
    <w:rsid w:val="00AC7FE4"/>
    <w:rsid w:val="00AC7FF5"/>
    <w:rsid w:val="00AD0006"/>
    <w:rsid w:val="00AD0052"/>
    <w:rsid w:val="00AD00DE"/>
    <w:rsid w:val="00AD00E0"/>
    <w:rsid w:val="00AD0124"/>
    <w:rsid w:val="00AD015B"/>
    <w:rsid w:val="00AD015D"/>
    <w:rsid w:val="00AD016C"/>
    <w:rsid w:val="00AD01D1"/>
    <w:rsid w:val="00AD01E5"/>
    <w:rsid w:val="00AD0220"/>
    <w:rsid w:val="00AD022D"/>
    <w:rsid w:val="00AD02D7"/>
    <w:rsid w:val="00AD02E8"/>
    <w:rsid w:val="00AD033B"/>
    <w:rsid w:val="00AD034B"/>
    <w:rsid w:val="00AD0352"/>
    <w:rsid w:val="00AD03CD"/>
    <w:rsid w:val="00AD0400"/>
    <w:rsid w:val="00AD042D"/>
    <w:rsid w:val="00AD0474"/>
    <w:rsid w:val="00AD0493"/>
    <w:rsid w:val="00AD049B"/>
    <w:rsid w:val="00AD04B8"/>
    <w:rsid w:val="00AD04C5"/>
    <w:rsid w:val="00AD04D5"/>
    <w:rsid w:val="00AD054A"/>
    <w:rsid w:val="00AD0550"/>
    <w:rsid w:val="00AD0559"/>
    <w:rsid w:val="00AD0589"/>
    <w:rsid w:val="00AD05D5"/>
    <w:rsid w:val="00AD05FD"/>
    <w:rsid w:val="00AD067E"/>
    <w:rsid w:val="00AD06BB"/>
    <w:rsid w:val="00AD06C4"/>
    <w:rsid w:val="00AD06DC"/>
    <w:rsid w:val="00AD070A"/>
    <w:rsid w:val="00AD0745"/>
    <w:rsid w:val="00AD079F"/>
    <w:rsid w:val="00AD07A1"/>
    <w:rsid w:val="00AD07C6"/>
    <w:rsid w:val="00AD082F"/>
    <w:rsid w:val="00AD0891"/>
    <w:rsid w:val="00AD08A4"/>
    <w:rsid w:val="00AD08AB"/>
    <w:rsid w:val="00AD08C4"/>
    <w:rsid w:val="00AD08C6"/>
    <w:rsid w:val="00AD0972"/>
    <w:rsid w:val="00AD09B4"/>
    <w:rsid w:val="00AD09C9"/>
    <w:rsid w:val="00AD09D0"/>
    <w:rsid w:val="00AD09EE"/>
    <w:rsid w:val="00AD0A09"/>
    <w:rsid w:val="00AD0AAA"/>
    <w:rsid w:val="00AD0B38"/>
    <w:rsid w:val="00AD0B7F"/>
    <w:rsid w:val="00AD0C36"/>
    <w:rsid w:val="00AD0C51"/>
    <w:rsid w:val="00AD0C6B"/>
    <w:rsid w:val="00AD0CB9"/>
    <w:rsid w:val="00AD0D0A"/>
    <w:rsid w:val="00AD0D11"/>
    <w:rsid w:val="00AD0D29"/>
    <w:rsid w:val="00AD0D2B"/>
    <w:rsid w:val="00AD0D4E"/>
    <w:rsid w:val="00AD0D5E"/>
    <w:rsid w:val="00AD0D70"/>
    <w:rsid w:val="00AD0D96"/>
    <w:rsid w:val="00AD0DB3"/>
    <w:rsid w:val="00AD0DB6"/>
    <w:rsid w:val="00AD0DC3"/>
    <w:rsid w:val="00AD0DF9"/>
    <w:rsid w:val="00AD0E12"/>
    <w:rsid w:val="00AD0E2A"/>
    <w:rsid w:val="00AD0E5C"/>
    <w:rsid w:val="00AD0F2A"/>
    <w:rsid w:val="00AD0F3E"/>
    <w:rsid w:val="00AD0F9D"/>
    <w:rsid w:val="00AD1046"/>
    <w:rsid w:val="00AD109D"/>
    <w:rsid w:val="00AD10FD"/>
    <w:rsid w:val="00AD114B"/>
    <w:rsid w:val="00AD1152"/>
    <w:rsid w:val="00AD115E"/>
    <w:rsid w:val="00AD11CB"/>
    <w:rsid w:val="00AD1211"/>
    <w:rsid w:val="00AD1242"/>
    <w:rsid w:val="00AD129F"/>
    <w:rsid w:val="00AD12AE"/>
    <w:rsid w:val="00AD12E2"/>
    <w:rsid w:val="00AD130D"/>
    <w:rsid w:val="00AD1353"/>
    <w:rsid w:val="00AD144E"/>
    <w:rsid w:val="00AD14E7"/>
    <w:rsid w:val="00AD154E"/>
    <w:rsid w:val="00AD156D"/>
    <w:rsid w:val="00AD157C"/>
    <w:rsid w:val="00AD15AA"/>
    <w:rsid w:val="00AD15BE"/>
    <w:rsid w:val="00AD161A"/>
    <w:rsid w:val="00AD166A"/>
    <w:rsid w:val="00AD1814"/>
    <w:rsid w:val="00AD18BC"/>
    <w:rsid w:val="00AD18FA"/>
    <w:rsid w:val="00AD1931"/>
    <w:rsid w:val="00AD198B"/>
    <w:rsid w:val="00AD199C"/>
    <w:rsid w:val="00AD19B7"/>
    <w:rsid w:val="00AD1A3C"/>
    <w:rsid w:val="00AD1A7D"/>
    <w:rsid w:val="00AD1B06"/>
    <w:rsid w:val="00AD1B6C"/>
    <w:rsid w:val="00AD1BC5"/>
    <w:rsid w:val="00AD1BCD"/>
    <w:rsid w:val="00AD1BDC"/>
    <w:rsid w:val="00AD1C12"/>
    <w:rsid w:val="00AD1CDE"/>
    <w:rsid w:val="00AD1D21"/>
    <w:rsid w:val="00AD1D30"/>
    <w:rsid w:val="00AD1D73"/>
    <w:rsid w:val="00AD1D8A"/>
    <w:rsid w:val="00AD1EA0"/>
    <w:rsid w:val="00AD1EDD"/>
    <w:rsid w:val="00AD1EF3"/>
    <w:rsid w:val="00AD1EF6"/>
    <w:rsid w:val="00AD1F33"/>
    <w:rsid w:val="00AD1F6B"/>
    <w:rsid w:val="00AD1FBA"/>
    <w:rsid w:val="00AD204B"/>
    <w:rsid w:val="00AD20B7"/>
    <w:rsid w:val="00AD2196"/>
    <w:rsid w:val="00AD21AB"/>
    <w:rsid w:val="00AD21DC"/>
    <w:rsid w:val="00AD21EC"/>
    <w:rsid w:val="00AD21FB"/>
    <w:rsid w:val="00AD2223"/>
    <w:rsid w:val="00AD22C7"/>
    <w:rsid w:val="00AD2317"/>
    <w:rsid w:val="00AD233B"/>
    <w:rsid w:val="00AD2389"/>
    <w:rsid w:val="00AD23A9"/>
    <w:rsid w:val="00AD23B3"/>
    <w:rsid w:val="00AD23DC"/>
    <w:rsid w:val="00AD23E0"/>
    <w:rsid w:val="00AD24B4"/>
    <w:rsid w:val="00AD24CA"/>
    <w:rsid w:val="00AD25BB"/>
    <w:rsid w:val="00AD260C"/>
    <w:rsid w:val="00AD261A"/>
    <w:rsid w:val="00AD2626"/>
    <w:rsid w:val="00AD2659"/>
    <w:rsid w:val="00AD2684"/>
    <w:rsid w:val="00AD26C7"/>
    <w:rsid w:val="00AD26E3"/>
    <w:rsid w:val="00AD2703"/>
    <w:rsid w:val="00AD2717"/>
    <w:rsid w:val="00AD2720"/>
    <w:rsid w:val="00AD2724"/>
    <w:rsid w:val="00AD27AF"/>
    <w:rsid w:val="00AD2857"/>
    <w:rsid w:val="00AD2868"/>
    <w:rsid w:val="00AD28AC"/>
    <w:rsid w:val="00AD28AF"/>
    <w:rsid w:val="00AD28C2"/>
    <w:rsid w:val="00AD28F3"/>
    <w:rsid w:val="00AD290C"/>
    <w:rsid w:val="00AD2984"/>
    <w:rsid w:val="00AD29A2"/>
    <w:rsid w:val="00AD29C1"/>
    <w:rsid w:val="00AD2A64"/>
    <w:rsid w:val="00AD2B86"/>
    <w:rsid w:val="00AD2B95"/>
    <w:rsid w:val="00AD2BA1"/>
    <w:rsid w:val="00AD2BE8"/>
    <w:rsid w:val="00AD2C8E"/>
    <w:rsid w:val="00AD2CA3"/>
    <w:rsid w:val="00AD2CF6"/>
    <w:rsid w:val="00AD2D46"/>
    <w:rsid w:val="00AD2DC4"/>
    <w:rsid w:val="00AD2E40"/>
    <w:rsid w:val="00AD2E90"/>
    <w:rsid w:val="00AD2EC4"/>
    <w:rsid w:val="00AD30AA"/>
    <w:rsid w:val="00AD3147"/>
    <w:rsid w:val="00AD314C"/>
    <w:rsid w:val="00AD318F"/>
    <w:rsid w:val="00AD31B3"/>
    <w:rsid w:val="00AD31BB"/>
    <w:rsid w:val="00AD3202"/>
    <w:rsid w:val="00AD323C"/>
    <w:rsid w:val="00AD324F"/>
    <w:rsid w:val="00AD326D"/>
    <w:rsid w:val="00AD3272"/>
    <w:rsid w:val="00AD32F8"/>
    <w:rsid w:val="00AD331E"/>
    <w:rsid w:val="00AD340B"/>
    <w:rsid w:val="00AD3426"/>
    <w:rsid w:val="00AD34D6"/>
    <w:rsid w:val="00AD34F2"/>
    <w:rsid w:val="00AD351B"/>
    <w:rsid w:val="00AD3545"/>
    <w:rsid w:val="00AD35AC"/>
    <w:rsid w:val="00AD360A"/>
    <w:rsid w:val="00AD3684"/>
    <w:rsid w:val="00AD36B6"/>
    <w:rsid w:val="00AD371B"/>
    <w:rsid w:val="00AD37A9"/>
    <w:rsid w:val="00AD37C9"/>
    <w:rsid w:val="00AD3868"/>
    <w:rsid w:val="00AD3873"/>
    <w:rsid w:val="00AD38AB"/>
    <w:rsid w:val="00AD38FE"/>
    <w:rsid w:val="00AD395E"/>
    <w:rsid w:val="00AD39AE"/>
    <w:rsid w:val="00AD39C0"/>
    <w:rsid w:val="00AD3A4B"/>
    <w:rsid w:val="00AD3A54"/>
    <w:rsid w:val="00AD3AB9"/>
    <w:rsid w:val="00AD3B35"/>
    <w:rsid w:val="00AD3C0B"/>
    <w:rsid w:val="00AD3C26"/>
    <w:rsid w:val="00AD3C4F"/>
    <w:rsid w:val="00AD3C66"/>
    <w:rsid w:val="00AD3C7F"/>
    <w:rsid w:val="00AD3CA9"/>
    <w:rsid w:val="00AD3CD2"/>
    <w:rsid w:val="00AD3CF6"/>
    <w:rsid w:val="00AD3D47"/>
    <w:rsid w:val="00AD3D74"/>
    <w:rsid w:val="00AD3D88"/>
    <w:rsid w:val="00AD3DD2"/>
    <w:rsid w:val="00AD3DD6"/>
    <w:rsid w:val="00AD3EF7"/>
    <w:rsid w:val="00AD3F5C"/>
    <w:rsid w:val="00AD3F7C"/>
    <w:rsid w:val="00AD4031"/>
    <w:rsid w:val="00AD40BB"/>
    <w:rsid w:val="00AD40BF"/>
    <w:rsid w:val="00AD40CA"/>
    <w:rsid w:val="00AD40E5"/>
    <w:rsid w:val="00AD40F4"/>
    <w:rsid w:val="00AD41D8"/>
    <w:rsid w:val="00AD4279"/>
    <w:rsid w:val="00AD42B0"/>
    <w:rsid w:val="00AD42DF"/>
    <w:rsid w:val="00AD42F8"/>
    <w:rsid w:val="00AD4374"/>
    <w:rsid w:val="00AD4378"/>
    <w:rsid w:val="00AD43CE"/>
    <w:rsid w:val="00AD43E3"/>
    <w:rsid w:val="00AD4438"/>
    <w:rsid w:val="00AD449F"/>
    <w:rsid w:val="00AD44C8"/>
    <w:rsid w:val="00AD4511"/>
    <w:rsid w:val="00AD451E"/>
    <w:rsid w:val="00AD454E"/>
    <w:rsid w:val="00AD4567"/>
    <w:rsid w:val="00AD45BF"/>
    <w:rsid w:val="00AD45C2"/>
    <w:rsid w:val="00AD45D1"/>
    <w:rsid w:val="00AD45EF"/>
    <w:rsid w:val="00AD45F6"/>
    <w:rsid w:val="00AD4657"/>
    <w:rsid w:val="00AD4676"/>
    <w:rsid w:val="00AD46A4"/>
    <w:rsid w:val="00AD4703"/>
    <w:rsid w:val="00AD4791"/>
    <w:rsid w:val="00AD47BB"/>
    <w:rsid w:val="00AD47BE"/>
    <w:rsid w:val="00AD47C1"/>
    <w:rsid w:val="00AD47C8"/>
    <w:rsid w:val="00AD4816"/>
    <w:rsid w:val="00AD4836"/>
    <w:rsid w:val="00AD488B"/>
    <w:rsid w:val="00AD4890"/>
    <w:rsid w:val="00AD492F"/>
    <w:rsid w:val="00AD4950"/>
    <w:rsid w:val="00AD4968"/>
    <w:rsid w:val="00AD4969"/>
    <w:rsid w:val="00AD496D"/>
    <w:rsid w:val="00AD499C"/>
    <w:rsid w:val="00AD49F4"/>
    <w:rsid w:val="00AD4A0F"/>
    <w:rsid w:val="00AD4A39"/>
    <w:rsid w:val="00AD4A81"/>
    <w:rsid w:val="00AD4A98"/>
    <w:rsid w:val="00AD4B40"/>
    <w:rsid w:val="00AD4B96"/>
    <w:rsid w:val="00AD4C45"/>
    <w:rsid w:val="00AD4C60"/>
    <w:rsid w:val="00AD4C6E"/>
    <w:rsid w:val="00AD4CB4"/>
    <w:rsid w:val="00AD4CBB"/>
    <w:rsid w:val="00AD4D70"/>
    <w:rsid w:val="00AD4DAB"/>
    <w:rsid w:val="00AD4E18"/>
    <w:rsid w:val="00AD4E31"/>
    <w:rsid w:val="00AD4E65"/>
    <w:rsid w:val="00AD4EE6"/>
    <w:rsid w:val="00AD4EF1"/>
    <w:rsid w:val="00AD4F17"/>
    <w:rsid w:val="00AD4F32"/>
    <w:rsid w:val="00AD4FAE"/>
    <w:rsid w:val="00AD4FD3"/>
    <w:rsid w:val="00AD4FD7"/>
    <w:rsid w:val="00AD4FEB"/>
    <w:rsid w:val="00AD5002"/>
    <w:rsid w:val="00AD5005"/>
    <w:rsid w:val="00AD5006"/>
    <w:rsid w:val="00AD503C"/>
    <w:rsid w:val="00AD5082"/>
    <w:rsid w:val="00AD50BA"/>
    <w:rsid w:val="00AD512F"/>
    <w:rsid w:val="00AD5161"/>
    <w:rsid w:val="00AD5205"/>
    <w:rsid w:val="00AD5228"/>
    <w:rsid w:val="00AD5284"/>
    <w:rsid w:val="00AD52B5"/>
    <w:rsid w:val="00AD530F"/>
    <w:rsid w:val="00AD533F"/>
    <w:rsid w:val="00AD5380"/>
    <w:rsid w:val="00AD53F4"/>
    <w:rsid w:val="00AD5448"/>
    <w:rsid w:val="00AD545D"/>
    <w:rsid w:val="00AD5494"/>
    <w:rsid w:val="00AD54A6"/>
    <w:rsid w:val="00AD5528"/>
    <w:rsid w:val="00AD553E"/>
    <w:rsid w:val="00AD55A5"/>
    <w:rsid w:val="00AD55B0"/>
    <w:rsid w:val="00AD55CB"/>
    <w:rsid w:val="00AD560C"/>
    <w:rsid w:val="00AD5684"/>
    <w:rsid w:val="00AD56A1"/>
    <w:rsid w:val="00AD56E2"/>
    <w:rsid w:val="00AD576B"/>
    <w:rsid w:val="00AD578D"/>
    <w:rsid w:val="00AD5812"/>
    <w:rsid w:val="00AD5839"/>
    <w:rsid w:val="00AD583C"/>
    <w:rsid w:val="00AD5856"/>
    <w:rsid w:val="00AD5879"/>
    <w:rsid w:val="00AD5891"/>
    <w:rsid w:val="00AD590D"/>
    <w:rsid w:val="00AD596A"/>
    <w:rsid w:val="00AD59E3"/>
    <w:rsid w:val="00AD5A4B"/>
    <w:rsid w:val="00AD5A81"/>
    <w:rsid w:val="00AD5AE1"/>
    <w:rsid w:val="00AD5B1E"/>
    <w:rsid w:val="00AD5B1F"/>
    <w:rsid w:val="00AD5B39"/>
    <w:rsid w:val="00AD5B42"/>
    <w:rsid w:val="00AD5B59"/>
    <w:rsid w:val="00AD5B5D"/>
    <w:rsid w:val="00AD5BE4"/>
    <w:rsid w:val="00AD5C28"/>
    <w:rsid w:val="00AD5CE6"/>
    <w:rsid w:val="00AD5CF4"/>
    <w:rsid w:val="00AD5D1B"/>
    <w:rsid w:val="00AD5D24"/>
    <w:rsid w:val="00AD5D2A"/>
    <w:rsid w:val="00AD5DC7"/>
    <w:rsid w:val="00AD5DED"/>
    <w:rsid w:val="00AD5E9E"/>
    <w:rsid w:val="00AD5F9C"/>
    <w:rsid w:val="00AD5FEC"/>
    <w:rsid w:val="00AD60B3"/>
    <w:rsid w:val="00AD60EB"/>
    <w:rsid w:val="00AD60F1"/>
    <w:rsid w:val="00AD6170"/>
    <w:rsid w:val="00AD61A5"/>
    <w:rsid w:val="00AD61B1"/>
    <w:rsid w:val="00AD61E1"/>
    <w:rsid w:val="00AD61E3"/>
    <w:rsid w:val="00AD6236"/>
    <w:rsid w:val="00AD6253"/>
    <w:rsid w:val="00AD6286"/>
    <w:rsid w:val="00AD629D"/>
    <w:rsid w:val="00AD62BA"/>
    <w:rsid w:val="00AD62C9"/>
    <w:rsid w:val="00AD6338"/>
    <w:rsid w:val="00AD64D4"/>
    <w:rsid w:val="00AD64FB"/>
    <w:rsid w:val="00AD651C"/>
    <w:rsid w:val="00AD6524"/>
    <w:rsid w:val="00AD6549"/>
    <w:rsid w:val="00AD658E"/>
    <w:rsid w:val="00AD65A2"/>
    <w:rsid w:val="00AD65CF"/>
    <w:rsid w:val="00AD6605"/>
    <w:rsid w:val="00AD66CE"/>
    <w:rsid w:val="00AD66D5"/>
    <w:rsid w:val="00AD66ED"/>
    <w:rsid w:val="00AD6716"/>
    <w:rsid w:val="00AD6721"/>
    <w:rsid w:val="00AD6756"/>
    <w:rsid w:val="00AD675D"/>
    <w:rsid w:val="00AD677A"/>
    <w:rsid w:val="00AD6839"/>
    <w:rsid w:val="00AD6881"/>
    <w:rsid w:val="00AD688F"/>
    <w:rsid w:val="00AD68AE"/>
    <w:rsid w:val="00AD6957"/>
    <w:rsid w:val="00AD6962"/>
    <w:rsid w:val="00AD697C"/>
    <w:rsid w:val="00AD699E"/>
    <w:rsid w:val="00AD69B8"/>
    <w:rsid w:val="00AD69DD"/>
    <w:rsid w:val="00AD6A10"/>
    <w:rsid w:val="00AD6A23"/>
    <w:rsid w:val="00AD6A99"/>
    <w:rsid w:val="00AD6ADE"/>
    <w:rsid w:val="00AD6B9E"/>
    <w:rsid w:val="00AD6BBB"/>
    <w:rsid w:val="00AD6BC5"/>
    <w:rsid w:val="00AD6BFF"/>
    <w:rsid w:val="00AD6C80"/>
    <w:rsid w:val="00AD6CBB"/>
    <w:rsid w:val="00AD6D03"/>
    <w:rsid w:val="00AD6D15"/>
    <w:rsid w:val="00AD6D19"/>
    <w:rsid w:val="00AD6D32"/>
    <w:rsid w:val="00AD6D57"/>
    <w:rsid w:val="00AD6DB9"/>
    <w:rsid w:val="00AD6DDF"/>
    <w:rsid w:val="00AD6DF0"/>
    <w:rsid w:val="00AD6E0B"/>
    <w:rsid w:val="00AD6E58"/>
    <w:rsid w:val="00AD6E76"/>
    <w:rsid w:val="00AD6EC3"/>
    <w:rsid w:val="00AD6EDE"/>
    <w:rsid w:val="00AD6EED"/>
    <w:rsid w:val="00AD6EF1"/>
    <w:rsid w:val="00AD6F71"/>
    <w:rsid w:val="00AD6FC2"/>
    <w:rsid w:val="00AD7014"/>
    <w:rsid w:val="00AD70A5"/>
    <w:rsid w:val="00AD70C7"/>
    <w:rsid w:val="00AD70DF"/>
    <w:rsid w:val="00AD70FA"/>
    <w:rsid w:val="00AD7111"/>
    <w:rsid w:val="00AD715E"/>
    <w:rsid w:val="00AD71D8"/>
    <w:rsid w:val="00AD721A"/>
    <w:rsid w:val="00AD722B"/>
    <w:rsid w:val="00AD7252"/>
    <w:rsid w:val="00AD72D1"/>
    <w:rsid w:val="00AD7356"/>
    <w:rsid w:val="00AD738E"/>
    <w:rsid w:val="00AD73C4"/>
    <w:rsid w:val="00AD73D6"/>
    <w:rsid w:val="00AD73DF"/>
    <w:rsid w:val="00AD73F7"/>
    <w:rsid w:val="00AD7424"/>
    <w:rsid w:val="00AD7453"/>
    <w:rsid w:val="00AD7464"/>
    <w:rsid w:val="00AD7480"/>
    <w:rsid w:val="00AD751A"/>
    <w:rsid w:val="00AD752C"/>
    <w:rsid w:val="00AD7530"/>
    <w:rsid w:val="00AD754F"/>
    <w:rsid w:val="00AD7570"/>
    <w:rsid w:val="00AD75B9"/>
    <w:rsid w:val="00AD75BF"/>
    <w:rsid w:val="00AD761D"/>
    <w:rsid w:val="00AD7632"/>
    <w:rsid w:val="00AD7674"/>
    <w:rsid w:val="00AD7824"/>
    <w:rsid w:val="00AD785D"/>
    <w:rsid w:val="00AD787D"/>
    <w:rsid w:val="00AD78B1"/>
    <w:rsid w:val="00AD78C4"/>
    <w:rsid w:val="00AD78E8"/>
    <w:rsid w:val="00AD7901"/>
    <w:rsid w:val="00AD792B"/>
    <w:rsid w:val="00AD7933"/>
    <w:rsid w:val="00AD7949"/>
    <w:rsid w:val="00AD795D"/>
    <w:rsid w:val="00AD7983"/>
    <w:rsid w:val="00AD79E8"/>
    <w:rsid w:val="00AD7A82"/>
    <w:rsid w:val="00AD7AE0"/>
    <w:rsid w:val="00AD7B18"/>
    <w:rsid w:val="00AD7B21"/>
    <w:rsid w:val="00AD7B66"/>
    <w:rsid w:val="00AD7C03"/>
    <w:rsid w:val="00AD7C4D"/>
    <w:rsid w:val="00AD7C78"/>
    <w:rsid w:val="00AD7C94"/>
    <w:rsid w:val="00AD7CD3"/>
    <w:rsid w:val="00AD7D1D"/>
    <w:rsid w:val="00AD7D31"/>
    <w:rsid w:val="00AD7D7D"/>
    <w:rsid w:val="00AD7DE3"/>
    <w:rsid w:val="00AD7E1F"/>
    <w:rsid w:val="00AD7E6A"/>
    <w:rsid w:val="00AD7E90"/>
    <w:rsid w:val="00AD7F6C"/>
    <w:rsid w:val="00AD7FB4"/>
    <w:rsid w:val="00AD7FBD"/>
    <w:rsid w:val="00AD7FCE"/>
    <w:rsid w:val="00AE0016"/>
    <w:rsid w:val="00AE00D6"/>
    <w:rsid w:val="00AE0145"/>
    <w:rsid w:val="00AE0146"/>
    <w:rsid w:val="00AE014C"/>
    <w:rsid w:val="00AE019C"/>
    <w:rsid w:val="00AE022D"/>
    <w:rsid w:val="00AE0264"/>
    <w:rsid w:val="00AE0274"/>
    <w:rsid w:val="00AE02AC"/>
    <w:rsid w:val="00AE02CA"/>
    <w:rsid w:val="00AE0318"/>
    <w:rsid w:val="00AE0322"/>
    <w:rsid w:val="00AE039C"/>
    <w:rsid w:val="00AE042A"/>
    <w:rsid w:val="00AE053C"/>
    <w:rsid w:val="00AE05BA"/>
    <w:rsid w:val="00AE06F4"/>
    <w:rsid w:val="00AE0724"/>
    <w:rsid w:val="00AE0801"/>
    <w:rsid w:val="00AE080C"/>
    <w:rsid w:val="00AE0838"/>
    <w:rsid w:val="00AE0884"/>
    <w:rsid w:val="00AE0889"/>
    <w:rsid w:val="00AE08C3"/>
    <w:rsid w:val="00AE0965"/>
    <w:rsid w:val="00AE09A0"/>
    <w:rsid w:val="00AE09A1"/>
    <w:rsid w:val="00AE09E5"/>
    <w:rsid w:val="00AE0B61"/>
    <w:rsid w:val="00AE0B98"/>
    <w:rsid w:val="00AE0C2A"/>
    <w:rsid w:val="00AE0C44"/>
    <w:rsid w:val="00AE0C6F"/>
    <w:rsid w:val="00AE0C88"/>
    <w:rsid w:val="00AE0CC6"/>
    <w:rsid w:val="00AE0CE6"/>
    <w:rsid w:val="00AE0CFE"/>
    <w:rsid w:val="00AE0D60"/>
    <w:rsid w:val="00AE0D68"/>
    <w:rsid w:val="00AE0DD5"/>
    <w:rsid w:val="00AE0DE9"/>
    <w:rsid w:val="00AE0DEB"/>
    <w:rsid w:val="00AE0EEC"/>
    <w:rsid w:val="00AE106C"/>
    <w:rsid w:val="00AE10A0"/>
    <w:rsid w:val="00AE1208"/>
    <w:rsid w:val="00AE120C"/>
    <w:rsid w:val="00AE127E"/>
    <w:rsid w:val="00AE1296"/>
    <w:rsid w:val="00AE12CB"/>
    <w:rsid w:val="00AE12D9"/>
    <w:rsid w:val="00AE1383"/>
    <w:rsid w:val="00AE13D4"/>
    <w:rsid w:val="00AE144F"/>
    <w:rsid w:val="00AE145D"/>
    <w:rsid w:val="00AE1473"/>
    <w:rsid w:val="00AE1475"/>
    <w:rsid w:val="00AE14E1"/>
    <w:rsid w:val="00AE151E"/>
    <w:rsid w:val="00AE152B"/>
    <w:rsid w:val="00AE1594"/>
    <w:rsid w:val="00AE15BA"/>
    <w:rsid w:val="00AE15D4"/>
    <w:rsid w:val="00AE15F4"/>
    <w:rsid w:val="00AE1645"/>
    <w:rsid w:val="00AE16B2"/>
    <w:rsid w:val="00AE16E6"/>
    <w:rsid w:val="00AE171B"/>
    <w:rsid w:val="00AE1757"/>
    <w:rsid w:val="00AE1762"/>
    <w:rsid w:val="00AE17C6"/>
    <w:rsid w:val="00AE17DF"/>
    <w:rsid w:val="00AE180D"/>
    <w:rsid w:val="00AE185E"/>
    <w:rsid w:val="00AE1890"/>
    <w:rsid w:val="00AE1898"/>
    <w:rsid w:val="00AE18CA"/>
    <w:rsid w:val="00AE1918"/>
    <w:rsid w:val="00AE1986"/>
    <w:rsid w:val="00AE1A1B"/>
    <w:rsid w:val="00AE1A8F"/>
    <w:rsid w:val="00AE1A94"/>
    <w:rsid w:val="00AE1AA0"/>
    <w:rsid w:val="00AE1B0C"/>
    <w:rsid w:val="00AE1B2E"/>
    <w:rsid w:val="00AE1BBF"/>
    <w:rsid w:val="00AE1BCD"/>
    <w:rsid w:val="00AE1BD7"/>
    <w:rsid w:val="00AE1C0E"/>
    <w:rsid w:val="00AE1C0F"/>
    <w:rsid w:val="00AE1C25"/>
    <w:rsid w:val="00AE1C6C"/>
    <w:rsid w:val="00AE1C72"/>
    <w:rsid w:val="00AE1D5E"/>
    <w:rsid w:val="00AE1D68"/>
    <w:rsid w:val="00AE1E0A"/>
    <w:rsid w:val="00AE1E4B"/>
    <w:rsid w:val="00AE1E5B"/>
    <w:rsid w:val="00AE1E74"/>
    <w:rsid w:val="00AE1E96"/>
    <w:rsid w:val="00AE1E9F"/>
    <w:rsid w:val="00AE1EB7"/>
    <w:rsid w:val="00AE1EBC"/>
    <w:rsid w:val="00AE1EDD"/>
    <w:rsid w:val="00AE1F78"/>
    <w:rsid w:val="00AE1FBA"/>
    <w:rsid w:val="00AE1FD0"/>
    <w:rsid w:val="00AE2001"/>
    <w:rsid w:val="00AE2010"/>
    <w:rsid w:val="00AE201D"/>
    <w:rsid w:val="00AE207E"/>
    <w:rsid w:val="00AE2084"/>
    <w:rsid w:val="00AE20A2"/>
    <w:rsid w:val="00AE20C2"/>
    <w:rsid w:val="00AE211A"/>
    <w:rsid w:val="00AE2189"/>
    <w:rsid w:val="00AE21BB"/>
    <w:rsid w:val="00AE21CD"/>
    <w:rsid w:val="00AE221F"/>
    <w:rsid w:val="00AE222D"/>
    <w:rsid w:val="00AE226D"/>
    <w:rsid w:val="00AE22C4"/>
    <w:rsid w:val="00AE234B"/>
    <w:rsid w:val="00AE236A"/>
    <w:rsid w:val="00AE23AD"/>
    <w:rsid w:val="00AE23E9"/>
    <w:rsid w:val="00AE240E"/>
    <w:rsid w:val="00AE2422"/>
    <w:rsid w:val="00AE249A"/>
    <w:rsid w:val="00AE24B1"/>
    <w:rsid w:val="00AE251F"/>
    <w:rsid w:val="00AE2556"/>
    <w:rsid w:val="00AE2557"/>
    <w:rsid w:val="00AE2572"/>
    <w:rsid w:val="00AE257E"/>
    <w:rsid w:val="00AE25A2"/>
    <w:rsid w:val="00AE25FC"/>
    <w:rsid w:val="00AE264A"/>
    <w:rsid w:val="00AE279C"/>
    <w:rsid w:val="00AE27E5"/>
    <w:rsid w:val="00AE2804"/>
    <w:rsid w:val="00AE280A"/>
    <w:rsid w:val="00AE2814"/>
    <w:rsid w:val="00AE28BF"/>
    <w:rsid w:val="00AE28C0"/>
    <w:rsid w:val="00AE28F9"/>
    <w:rsid w:val="00AE2A4E"/>
    <w:rsid w:val="00AE2AA1"/>
    <w:rsid w:val="00AE2B56"/>
    <w:rsid w:val="00AE2B99"/>
    <w:rsid w:val="00AE2B9B"/>
    <w:rsid w:val="00AE2BB1"/>
    <w:rsid w:val="00AE2BD3"/>
    <w:rsid w:val="00AE2C16"/>
    <w:rsid w:val="00AE2C1E"/>
    <w:rsid w:val="00AE2C20"/>
    <w:rsid w:val="00AE2C74"/>
    <w:rsid w:val="00AE2C8B"/>
    <w:rsid w:val="00AE2CAB"/>
    <w:rsid w:val="00AE2CB4"/>
    <w:rsid w:val="00AE2CBE"/>
    <w:rsid w:val="00AE2D50"/>
    <w:rsid w:val="00AE2D8E"/>
    <w:rsid w:val="00AE2DD1"/>
    <w:rsid w:val="00AE2DF7"/>
    <w:rsid w:val="00AE2E07"/>
    <w:rsid w:val="00AE2E74"/>
    <w:rsid w:val="00AE2EAB"/>
    <w:rsid w:val="00AE2EB9"/>
    <w:rsid w:val="00AE2EBF"/>
    <w:rsid w:val="00AE2F3D"/>
    <w:rsid w:val="00AE2F91"/>
    <w:rsid w:val="00AE2FC1"/>
    <w:rsid w:val="00AE2FD5"/>
    <w:rsid w:val="00AE2FD9"/>
    <w:rsid w:val="00AE3026"/>
    <w:rsid w:val="00AE3062"/>
    <w:rsid w:val="00AE306B"/>
    <w:rsid w:val="00AE309A"/>
    <w:rsid w:val="00AE310A"/>
    <w:rsid w:val="00AE3135"/>
    <w:rsid w:val="00AE31B0"/>
    <w:rsid w:val="00AE31BA"/>
    <w:rsid w:val="00AE31C2"/>
    <w:rsid w:val="00AE31E0"/>
    <w:rsid w:val="00AE324C"/>
    <w:rsid w:val="00AE328D"/>
    <w:rsid w:val="00AE329A"/>
    <w:rsid w:val="00AE331C"/>
    <w:rsid w:val="00AE3326"/>
    <w:rsid w:val="00AE3327"/>
    <w:rsid w:val="00AE3380"/>
    <w:rsid w:val="00AE33CE"/>
    <w:rsid w:val="00AE3424"/>
    <w:rsid w:val="00AE3449"/>
    <w:rsid w:val="00AE3495"/>
    <w:rsid w:val="00AE34BF"/>
    <w:rsid w:val="00AE34E0"/>
    <w:rsid w:val="00AE3591"/>
    <w:rsid w:val="00AE3625"/>
    <w:rsid w:val="00AE3661"/>
    <w:rsid w:val="00AE367C"/>
    <w:rsid w:val="00AE368B"/>
    <w:rsid w:val="00AE36A6"/>
    <w:rsid w:val="00AE3747"/>
    <w:rsid w:val="00AE3755"/>
    <w:rsid w:val="00AE3792"/>
    <w:rsid w:val="00AE37A9"/>
    <w:rsid w:val="00AE37D2"/>
    <w:rsid w:val="00AE3838"/>
    <w:rsid w:val="00AE3881"/>
    <w:rsid w:val="00AE3895"/>
    <w:rsid w:val="00AE3925"/>
    <w:rsid w:val="00AE3939"/>
    <w:rsid w:val="00AE3990"/>
    <w:rsid w:val="00AE39BC"/>
    <w:rsid w:val="00AE39BD"/>
    <w:rsid w:val="00AE3A3B"/>
    <w:rsid w:val="00AE3A57"/>
    <w:rsid w:val="00AE3A5F"/>
    <w:rsid w:val="00AE3AEE"/>
    <w:rsid w:val="00AE3B32"/>
    <w:rsid w:val="00AE3C0E"/>
    <w:rsid w:val="00AE3C7F"/>
    <w:rsid w:val="00AE3CF4"/>
    <w:rsid w:val="00AE3D03"/>
    <w:rsid w:val="00AE3D18"/>
    <w:rsid w:val="00AE3D5A"/>
    <w:rsid w:val="00AE3D63"/>
    <w:rsid w:val="00AE3E1B"/>
    <w:rsid w:val="00AE3EAD"/>
    <w:rsid w:val="00AE3EE4"/>
    <w:rsid w:val="00AE3F47"/>
    <w:rsid w:val="00AE3F5A"/>
    <w:rsid w:val="00AE3F6E"/>
    <w:rsid w:val="00AE3FE1"/>
    <w:rsid w:val="00AE4016"/>
    <w:rsid w:val="00AE4039"/>
    <w:rsid w:val="00AE4062"/>
    <w:rsid w:val="00AE409E"/>
    <w:rsid w:val="00AE40B7"/>
    <w:rsid w:val="00AE40E3"/>
    <w:rsid w:val="00AE415E"/>
    <w:rsid w:val="00AE415F"/>
    <w:rsid w:val="00AE41E8"/>
    <w:rsid w:val="00AE41FD"/>
    <w:rsid w:val="00AE420A"/>
    <w:rsid w:val="00AE422F"/>
    <w:rsid w:val="00AE4248"/>
    <w:rsid w:val="00AE4265"/>
    <w:rsid w:val="00AE4269"/>
    <w:rsid w:val="00AE4275"/>
    <w:rsid w:val="00AE4278"/>
    <w:rsid w:val="00AE42CF"/>
    <w:rsid w:val="00AE430B"/>
    <w:rsid w:val="00AE436F"/>
    <w:rsid w:val="00AE4370"/>
    <w:rsid w:val="00AE4387"/>
    <w:rsid w:val="00AE439D"/>
    <w:rsid w:val="00AE44E6"/>
    <w:rsid w:val="00AE457C"/>
    <w:rsid w:val="00AE4581"/>
    <w:rsid w:val="00AE4589"/>
    <w:rsid w:val="00AE4598"/>
    <w:rsid w:val="00AE45A3"/>
    <w:rsid w:val="00AE45A7"/>
    <w:rsid w:val="00AE45AF"/>
    <w:rsid w:val="00AE45D5"/>
    <w:rsid w:val="00AE45FC"/>
    <w:rsid w:val="00AE465E"/>
    <w:rsid w:val="00AE4662"/>
    <w:rsid w:val="00AE4663"/>
    <w:rsid w:val="00AE46BA"/>
    <w:rsid w:val="00AE47A0"/>
    <w:rsid w:val="00AE47C0"/>
    <w:rsid w:val="00AE47C9"/>
    <w:rsid w:val="00AE4854"/>
    <w:rsid w:val="00AE48A1"/>
    <w:rsid w:val="00AE48AD"/>
    <w:rsid w:val="00AE48B5"/>
    <w:rsid w:val="00AE4960"/>
    <w:rsid w:val="00AE49F4"/>
    <w:rsid w:val="00AE4A15"/>
    <w:rsid w:val="00AE4A48"/>
    <w:rsid w:val="00AE4A4B"/>
    <w:rsid w:val="00AE4A82"/>
    <w:rsid w:val="00AE4A93"/>
    <w:rsid w:val="00AE4ACA"/>
    <w:rsid w:val="00AE4B45"/>
    <w:rsid w:val="00AE4B63"/>
    <w:rsid w:val="00AE4C1F"/>
    <w:rsid w:val="00AE4C24"/>
    <w:rsid w:val="00AE4C42"/>
    <w:rsid w:val="00AE4C6B"/>
    <w:rsid w:val="00AE4C92"/>
    <w:rsid w:val="00AE4CC9"/>
    <w:rsid w:val="00AE4CCC"/>
    <w:rsid w:val="00AE4CD3"/>
    <w:rsid w:val="00AE4CEE"/>
    <w:rsid w:val="00AE4D13"/>
    <w:rsid w:val="00AE4D71"/>
    <w:rsid w:val="00AE4DB5"/>
    <w:rsid w:val="00AE4DC4"/>
    <w:rsid w:val="00AE4E4F"/>
    <w:rsid w:val="00AE4E53"/>
    <w:rsid w:val="00AE4E9F"/>
    <w:rsid w:val="00AE500D"/>
    <w:rsid w:val="00AE501D"/>
    <w:rsid w:val="00AE502D"/>
    <w:rsid w:val="00AE502E"/>
    <w:rsid w:val="00AE507C"/>
    <w:rsid w:val="00AE5088"/>
    <w:rsid w:val="00AE50A2"/>
    <w:rsid w:val="00AE50C7"/>
    <w:rsid w:val="00AE50CF"/>
    <w:rsid w:val="00AE5106"/>
    <w:rsid w:val="00AE510A"/>
    <w:rsid w:val="00AE511A"/>
    <w:rsid w:val="00AE518C"/>
    <w:rsid w:val="00AE5198"/>
    <w:rsid w:val="00AE51A8"/>
    <w:rsid w:val="00AE51BC"/>
    <w:rsid w:val="00AE525D"/>
    <w:rsid w:val="00AE52F9"/>
    <w:rsid w:val="00AE536E"/>
    <w:rsid w:val="00AE538C"/>
    <w:rsid w:val="00AE53C0"/>
    <w:rsid w:val="00AE541F"/>
    <w:rsid w:val="00AE5467"/>
    <w:rsid w:val="00AE547D"/>
    <w:rsid w:val="00AE547F"/>
    <w:rsid w:val="00AE54CA"/>
    <w:rsid w:val="00AE54DF"/>
    <w:rsid w:val="00AE54EE"/>
    <w:rsid w:val="00AE551B"/>
    <w:rsid w:val="00AE5561"/>
    <w:rsid w:val="00AE55A7"/>
    <w:rsid w:val="00AE55B8"/>
    <w:rsid w:val="00AE55F4"/>
    <w:rsid w:val="00AE5622"/>
    <w:rsid w:val="00AE5631"/>
    <w:rsid w:val="00AE5639"/>
    <w:rsid w:val="00AE565B"/>
    <w:rsid w:val="00AE56AC"/>
    <w:rsid w:val="00AE56FC"/>
    <w:rsid w:val="00AE5704"/>
    <w:rsid w:val="00AE57AD"/>
    <w:rsid w:val="00AE57F3"/>
    <w:rsid w:val="00AE584E"/>
    <w:rsid w:val="00AE5863"/>
    <w:rsid w:val="00AE58FA"/>
    <w:rsid w:val="00AE5944"/>
    <w:rsid w:val="00AE5968"/>
    <w:rsid w:val="00AE5983"/>
    <w:rsid w:val="00AE5987"/>
    <w:rsid w:val="00AE59AA"/>
    <w:rsid w:val="00AE59BB"/>
    <w:rsid w:val="00AE59C7"/>
    <w:rsid w:val="00AE59DE"/>
    <w:rsid w:val="00AE59E2"/>
    <w:rsid w:val="00AE5A13"/>
    <w:rsid w:val="00AE5A41"/>
    <w:rsid w:val="00AE5AA6"/>
    <w:rsid w:val="00AE5AD2"/>
    <w:rsid w:val="00AE5B3C"/>
    <w:rsid w:val="00AE5B5A"/>
    <w:rsid w:val="00AE5BD6"/>
    <w:rsid w:val="00AE5BEB"/>
    <w:rsid w:val="00AE5CC1"/>
    <w:rsid w:val="00AE5CED"/>
    <w:rsid w:val="00AE5CF8"/>
    <w:rsid w:val="00AE5D12"/>
    <w:rsid w:val="00AE5D6C"/>
    <w:rsid w:val="00AE5DA1"/>
    <w:rsid w:val="00AE5EC8"/>
    <w:rsid w:val="00AE5EF4"/>
    <w:rsid w:val="00AE5F31"/>
    <w:rsid w:val="00AE5F33"/>
    <w:rsid w:val="00AE5F42"/>
    <w:rsid w:val="00AE5F53"/>
    <w:rsid w:val="00AE5F78"/>
    <w:rsid w:val="00AE6011"/>
    <w:rsid w:val="00AE6027"/>
    <w:rsid w:val="00AE603A"/>
    <w:rsid w:val="00AE6047"/>
    <w:rsid w:val="00AE6049"/>
    <w:rsid w:val="00AE606E"/>
    <w:rsid w:val="00AE6082"/>
    <w:rsid w:val="00AE60A4"/>
    <w:rsid w:val="00AE6122"/>
    <w:rsid w:val="00AE6151"/>
    <w:rsid w:val="00AE616D"/>
    <w:rsid w:val="00AE6206"/>
    <w:rsid w:val="00AE627F"/>
    <w:rsid w:val="00AE62A0"/>
    <w:rsid w:val="00AE62BF"/>
    <w:rsid w:val="00AE6364"/>
    <w:rsid w:val="00AE63E2"/>
    <w:rsid w:val="00AE63F8"/>
    <w:rsid w:val="00AE6401"/>
    <w:rsid w:val="00AE6431"/>
    <w:rsid w:val="00AE6502"/>
    <w:rsid w:val="00AE6547"/>
    <w:rsid w:val="00AE6588"/>
    <w:rsid w:val="00AE6602"/>
    <w:rsid w:val="00AE6652"/>
    <w:rsid w:val="00AE674E"/>
    <w:rsid w:val="00AE680D"/>
    <w:rsid w:val="00AE6820"/>
    <w:rsid w:val="00AE6842"/>
    <w:rsid w:val="00AE68BB"/>
    <w:rsid w:val="00AE68D1"/>
    <w:rsid w:val="00AE68FE"/>
    <w:rsid w:val="00AE6945"/>
    <w:rsid w:val="00AE695E"/>
    <w:rsid w:val="00AE6990"/>
    <w:rsid w:val="00AE69BB"/>
    <w:rsid w:val="00AE69F0"/>
    <w:rsid w:val="00AE69F6"/>
    <w:rsid w:val="00AE6A52"/>
    <w:rsid w:val="00AE6A66"/>
    <w:rsid w:val="00AE6ABF"/>
    <w:rsid w:val="00AE6AE2"/>
    <w:rsid w:val="00AE6B28"/>
    <w:rsid w:val="00AE6B40"/>
    <w:rsid w:val="00AE6B78"/>
    <w:rsid w:val="00AE6BA9"/>
    <w:rsid w:val="00AE6BEC"/>
    <w:rsid w:val="00AE6C2A"/>
    <w:rsid w:val="00AE6C34"/>
    <w:rsid w:val="00AE6C67"/>
    <w:rsid w:val="00AE6C79"/>
    <w:rsid w:val="00AE6CBB"/>
    <w:rsid w:val="00AE6D04"/>
    <w:rsid w:val="00AE6D24"/>
    <w:rsid w:val="00AE6D6D"/>
    <w:rsid w:val="00AE6DD2"/>
    <w:rsid w:val="00AE6E05"/>
    <w:rsid w:val="00AE6E24"/>
    <w:rsid w:val="00AE6E8B"/>
    <w:rsid w:val="00AE6F16"/>
    <w:rsid w:val="00AE6F1C"/>
    <w:rsid w:val="00AE6F44"/>
    <w:rsid w:val="00AE6FC2"/>
    <w:rsid w:val="00AE6FCE"/>
    <w:rsid w:val="00AE6FE1"/>
    <w:rsid w:val="00AE7015"/>
    <w:rsid w:val="00AE7066"/>
    <w:rsid w:val="00AE7098"/>
    <w:rsid w:val="00AE70F9"/>
    <w:rsid w:val="00AE716A"/>
    <w:rsid w:val="00AE7196"/>
    <w:rsid w:val="00AE71C9"/>
    <w:rsid w:val="00AE71DD"/>
    <w:rsid w:val="00AE7250"/>
    <w:rsid w:val="00AE7284"/>
    <w:rsid w:val="00AE7295"/>
    <w:rsid w:val="00AE72DA"/>
    <w:rsid w:val="00AE72FB"/>
    <w:rsid w:val="00AE736D"/>
    <w:rsid w:val="00AE7383"/>
    <w:rsid w:val="00AE73B9"/>
    <w:rsid w:val="00AE73CD"/>
    <w:rsid w:val="00AE7425"/>
    <w:rsid w:val="00AE74EB"/>
    <w:rsid w:val="00AE7513"/>
    <w:rsid w:val="00AE758A"/>
    <w:rsid w:val="00AE75B9"/>
    <w:rsid w:val="00AE75EB"/>
    <w:rsid w:val="00AE76B6"/>
    <w:rsid w:val="00AE76BC"/>
    <w:rsid w:val="00AE76E0"/>
    <w:rsid w:val="00AE76F7"/>
    <w:rsid w:val="00AE7721"/>
    <w:rsid w:val="00AE773A"/>
    <w:rsid w:val="00AE7756"/>
    <w:rsid w:val="00AE775F"/>
    <w:rsid w:val="00AE776A"/>
    <w:rsid w:val="00AE77CA"/>
    <w:rsid w:val="00AE78FD"/>
    <w:rsid w:val="00AE7911"/>
    <w:rsid w:val="00AE7914"/>
    <w:rsid w:val="00AE7967"/>
    <w:rsid w:val="00AE79A8"/>
    <w:rsid w:val="00AE7A82"/>
    <w:rsid w:val="00AE7A8D"/>
    <w:rsid w:val="00AE7A9A"/>
    <w:rsid w:val="00AE7AA5"/>
    <w:rsid w:val="00AE7B8D"/>
    <w:rsid w:val="00AE7B98"/>
    <w:rsid w:val="00AE7C3E"/>
    <w:rsid w:val="00AE7C8C"/>
    <w:rsid w:val="00AE7D00"/>
    <w:rsid w:val="00AE7D66"/>
    <w:rsid w:val="00AE7D73"/>
    <w:rsid w:val="00AE7D8D"/>
    <w:rsid w:val="00AE7DC9"/>
    <w:rsid w:val="00AE7DF0"/>
    <w:rsid w:val="00AE7DF5"/>
    <w:rsid w:val="00AE7E62"/>
    <w:rsid w:val="00AE7EB5"/>
    <w:rsid w:val="00AE7F01"/>
    <w:rsid w:val="00AE7F6F"/>
    <w:rsid w:val="00AF002C"/>
    <w:rsid w:val="00AF0042"/>
    <w:rsid w:val="00AF0076"/>
    <w:rsid w:val="00AF00C0"/>
    <w:rsid w:val="00AF00D7"/>
    <w:rsid w:val="00AF0175"/>
    <w:rsid w:val="00AF01C1"/>
    <w:rsid w:val="00AF01C5"/>
    <w:rsid w:val="00AF01FF"/>
    <w:rsid w:val="00AF022B"/>
    <w:rsid w:val="00AF0232"/>
    <w:rsid w:val="00AF0258"/>
    <w:rsid w:val="00AF02B2"/>
    <w:rsid w:val="00AF02C4"/>
    <w:rsid w:val="00AF0309"/>
    <w:rsid w:val="00AF0311"/>
    <w:rsid w:val="00AF0313"/>
    <w:rsid w:val="00AF0329"/>
    <w:rsid w:val="00AF0336"/>
    <w:rsid w:val="00AF037B"/>
    <w:rsid w:val="00AF044B"/>
    <w:rsid w:val="00AF0457"/>
    <w:rsid w:val="00AF04FA"/>
    <w:rsid w:val="00AF04FE"/>
    <w:rsid w:val="00AF0518"/>
    <w:rsid w:val="00AF0527"/>
    <w:rsid w:val="00AF053F"/>
    <w:rsid w:val="00AF059F"/>
    <w:rsid w:val="00AF05EF"/>
    <w:rsid w:val="00AF0631"/>
    <w:rsid w:val="00AF0655"/>
    <w:rsid w:val="00AF0691"/>
    <w:rsid w:val="00AF06B4"/>
    <w:rsid w:val="00AF06D1"/>
    <w:rsid w:val="00AF06DD"/>
    <w:rsid w:val="00AF077F"/>
    <w:rsid w:val="00AF0797"/>
    <w:rsid w:val="00AF0839"/>
    <w:rsid w:val="00AF083C"/>
    <w:rsid w:val="00AF0846"/>
    <w:rsid w:val="00AF087B"/>
    <w:rsid w:val="00AF0880"/>
    <w:rsid w:val="00AF08A9"/>
    <w:rsid w:val="00AF08BC"/>
    <w:rsid w:val="00AF0930"/>
    <w:rsid w:val="00AF0954"/>
    <w:rsid w:val="00AF098D"/>
    <w:rsid w:val="00AF0A45"/>
    <w:rsid w:val="00AF0ABF"/>
    <w:rsid w:val="00AF0AE4"/>
    <w:rsid w:val="00AF0B47"/>
    <w:rsid w:val="00AF0C49"/>
    <w:rsid w:val="00AF0D08"/>
    <w:rsid w:val="00AF0D11"/>
    <w:rsid w:val="00AF0D46"/>
    <w:rsid w:val="00AF0D6E"/>
    <w:rsid w:val="00AF0E47"/>
    <w:rsid w:val="00AF0E70"/>
    <w:rsid w:val="00AF0E71"/>
    <w:rsid w:val="00AF0E75"/>
    <w:rsid w:val="00AF0EAA"/>
    <w:rsid w:val="00AF0EFA"/>
    <w:rsid w:val="00AF0F04"/>
    <w:rsid w:val="00AF0FE8"/>
    <w:rsid w:val="00AF0FEF"/>
    <w:rsid w:val="00AF0FF8"/>
    <w:rsid w:val="00AF1005"/>
    <w:rsid w:val="00AF10B3"/>
    <w:rsid w:val="00AF1170"/>
    <w:rsid w:val="00AF11D8"/>
    <w:rsid w:val="00AF120E"/>
    <w:rsid w:val="00AF1239"/>
    <w:rsid w:val="00AF125C"/>
    <w:rsid w:val="00AF1306"/>
    <w:rsid w:val="00AF1340"/>
    <w:rsid w:val="00AF13CC"/>
    <w:rsid w:val="00AF140B"/>
    <w:rsid w:val="00AF140E"/>
    <w:rsid w:val="00AF141D"/>
    <w:rsid w:val="00AF1431"/>
    <w:rsid w:val="00AF1472"/>
    <w:rsid w:val="00AF1475"/>
    <w:rsid w:val="00AF148D"/>
    <w:rsid w:val="00AF149C"/>
    <w:rsid w:val="00AF14A0"/>
    <w:rsid w:val="00AF1567"/>
    <w:rsid w:val="00AF15B5"/>
    <w:rsid w:val="00AF15B8"/>
    <w:rsid w:val="00AF15E1"/>
    <w:rsid w:val="00AF161F"/>
    <w:rsid w:val="00AF166C"/>
    <w:rsid w:val="00AF1699"/>
    <w:rsid w:val="00AF16B1"/>
    <w:rsid w:val="00AF170D"/>
    <w:rsid w:val="00AF176D"/>
    <w:rsid w:val="00AF17AE"/>
    <w:rsid w:val="00AF17B7"/>
    <w:rsid w:val="00AF17CF"/>
    <w:rsid w:val="00AF17DF"/>
    <w:rsid w:val="00AF183C"/>
    <w:rsid w:val="00AF1870"/>
    <w:rsid w:val="00AF18A6"/>
    <w:rsid w:val="00AF18BB"/>
    <w:rsid w:val="00AF1901"/>
    <w:rsid w:val="00AF197A"/>
    <w:rsid w:val="00AF1988"/>
    <w:rsid w:val="00AF19DB"/>
    <w:rsid w:val="00AF19E8"/>
    <w:rsid w:val="00AF19E9"/>
    <w:rsid w:val="00AF1AC8"/>
    <w:rsid w:val="00AF1B0D"/>
    <w:rsid w:val="00AF1B94"/>
    <w:rsid w:val="00AF1B9D"/>
    <w:rsid w:val="00AF1BD0"/>
    <w:rsid w:val="00AF1BF5"/>
    <w:rsid w:val="00AF1C24"/>
    <w:rsid w:val="00AF1C55"/>
    <w:rsid w:val="00AF1C99"/>
    <w:rsid w:val="00AF1D08"/>
    <w:rsid w:val="00AF1DB6"/>
    <w:rsid w:val="00AF1DEB"/>
    <w:rsid w:val="00AF1E0B"/>
    <w:rsid w:val="00AF1E1C"/>
    <w:rsid w:val="00AF1E41"/>
    <w:rsid w:val="00AF1E63"/>
    <w:rsid w:val="00AF1F5A"/>
    <w:rsid w:val="00AF1F7A"/>
    <w:rsid w:val="00AF1FB6"/>
    <w:rsid w:val="00AF2007"/>
    <w:rsid w:val="00AF2031"/>
    <w:rsid w:val="00AF2064"/>
    <w:rsid w:val="00AF2088"/>
    <w:rsid w:val="00AF2098"/>
    <w:rsid w:val="00AF20CE"/>
    <w:rsid w:val="00AF2106"/>
    <w:rsid w:val="00AF2139"/>
    <w:rsid w:val="00AF2195"/>
    <w:rsid w:val="00AF21BD"/>
    <w:rsid w:val="00AF21D4"/>
    <w:rsid w:val="00AF21E7"/>
    <w:rsid w:val="00AF223C"/>
    <w:rsid w:val="00AF223D"/>
    <w:rsid w:val="00AF223E"/>
    <w:rsid w:val="00AF2259"/>
    <w:rsid w:val="00AF225B"/>
    <w:rsid w:val="00AF22A7"/>
    <w:rsid w:val="00AF22AF"/>
    <w:rsid w:val="00AF22DA"/>
    <w:rsid w:val="00AF2366"/>
    <w:rsid w:val="00AF239D"/>
    <w:rsid w:val="00AF23A1"/>
    <w:rsid w:val="00AF23DF"/>
    <w:rsid w:val="00AF2439"/>
    <w:rsid w:val="00AF254D"/>
    <w:rsid w:val="00AF256E"/>
    <w:rsid w:val="00AF2570"/>
    <w:rsid w:val="00AF25EB"/>
    <w:rsid w:val="00AF262C"/>
    <w:rsid w:val="00AF2647"/>
    <w:rsid w:val="00AF26A4"/>
    <w:rsid w:val="00AF2702"/>
    <w:rsid w:val="00AF270F"/>
    <w:rsid w:val="00AF271A"/>
    <w:rsid w:val="00AF273B"/>
    <w:rsid w:val="00AF27D2"/>
    <w:rsid w:val="00AF288A"/>
    <w:rsid w:val="00AF28F1"/>
    <w:rsid w:val="00AF292A"/>
    <w:rsid w:val="00AF2940"/>
    <w:rsid w:val="00AF2957"/>
    <w:rsid w:val="00AF29ED"/>
    <w:rsid w:val="00AF2A0E"/>
    <w:rsid w:val="00AF2A42"/>
    <w:rsid w:val="00AF2ADF"/>
    <w:rsid w:val="00AF2B3F"/>
    <w:rsid w:val="00AF2B53"/>
    <w:rsid w:val="00AF2B57"/>
    <w:rsid w:val="00AF2B5F"/>
    <w:rsid w:val="00AF2B92"/>
    <w:rsid w:val="00AF2C15"/>
    <w:rsid w:val="00AF2C24"/>
    <w:rsid w:val="00AF2C41"/>
    <w:rsid w:val="00AF2C71"/>
    <w:rsid w:val="00AF2D04"/>
    <w:rsid w:val="00AF2D10"/>
    <w:rsid w:val="00AF2D3F"/>
    <w:rsid w:val="00AF2D42"/>
    <w:rsid w:val="00AF2D92"/>
    <w:rsid w:val="00AF2D95"/>
    <w:rsid w:val="00AF2DEF"/>
    <w:rsid w:val="00AF2DF2"/>
    <w:rsid w:val="00AF2E14"/>
    <w:rsid w:val="00AF2E59"/>
    <w:rsid w:val="00AF2EDA"/>
    <w:rsid w:val="00AF2EEB"/>
    <w:rsid w:val="00AF2F28"/>
    <w:rsid w:val="00AF2F2E"/>
    <w:rsid w:val="00AF2F69"/>
    <w:rsid w:val="00AF2FCB"/>
    <w:rsid w:val="00AF2FD2"/>
    <w:rsid w:val="00AF3054"/>
    <w:rsid w:val="00AF30A8"/>
    <w:rsid w:val="00AF30B9"/>
    <w:rsid w:val="00AF30CD"/>
    <w:rsid w:val="00AF30EC"/>
    <w:rsid w:val="00AF3116"/>
    <w:rsid w:val="00AF3166"/>
    <w:rsid w:val="00AF317E"/>
    <w:rsid w:val="00AF3191"/>
    <w:rsid w:val="00AF31AB"/>
    <w:rsid w:val="00AF31E9"/>
    <w:rsid w:val="00AF31F8"/>
    <w:rsid w:val="00AF3226"/>
    <w:rsid w:val="00AF3268"/>
    <w:rsid w:val="00AF32D3"/>
    <w:rsid w:val="00AF32F9"/>
    <w:rsid w:val="00AF32FB"/>
    <w:rsid w:val="00AF3333"/>
    <w:rsid w:val="00AF33F2"/>
    <w:rsid w:val="00AF33FD"/>
    <w:rsid w:val="00AF342C"/>
    <w:rsid w:val="00AF3452"/>
    <w:rsid w:val="00AF3454"/>
    <w:rsid w:val="00AF3457"/>
    <w:rsid w:val="00AF3483"/>
    <w:rsid w:val="00AF348B"/>
    <w:rsid w:val="00AF34A4"/>
    <w:rsid w:val="00AF34C1"/>
    <w:rsid w:val="00AF3532"/>
    <w:rsid w:val="00AF355E"/>
    <w:rsid w:val="00AF359B"/>
    <w:rsid w:val="00AF359F"/>
    <w:rsid w:val="00AF35C2"/>
    <w:rsid w:val="00AF35E0"/>
    <w:rsid w:val="00AF35E2"/>
    <w:rsid w:val="00AF3661"/>
    <w:rsid w:val="00AF366D"/>
    <w:rsid w:val="00AF367F"/>
    <w:rsid w:val="00AF3705"/>
    <w:rsid w:val="00AF371A"/>
    <w:rsid w:val="00AF3742"/>
    <w:rsid w:val="00AF3786"/>
    <w:rsid w:val="00AF3789"/>
    <w:rsid w:val="00AF3791"/>
    <w:rsid w:val="00AF37CA"/>
    <w:rsid w:val="00AF38C5"/>
    <w:rsid w:val="00AF38D9"/>
    <w:rsid w:val="00AF3925"/>
    <w:rsid w:val="00AF39A1"/>
    <w:rsid w:val="00AF3A02"/>
    <w:rsid w:val="00AF3AAF"/>
    <w:rsid w:val="00AF3ACB"/>
    <w:rsid w:val="00AF3AEB"/>
    <w:rsid w:val="00AF3B21"/>
    <w:rsid w:val="00AF3B7C"/>
    <w:rsid w:val="00AF3BCD"/>
    <w:rsid w:val="00AF3BD1"/>
    <w:rsid w:val="00AF3BF6"/>
    <w:rsid w:val="00AF3C04"/>
    <w:rsid w:val="00AF3C54"/>
    <w:rsid w:val="00AF3C7A"/>
    <w:rsid w:val="00AF3CD2"/>
    <w:rsid w:val="00AF3D5D"/>
    <w:rsid w:val="00AF3DD6"/>
    <w:rsid w:val="00AF3DEA"/>
    <w:rsid w:val="00AF3E0F"/>
    <w:rsid w:val="00AF3E77"/>
    <w:rsid w:val="00AF3E91"/>
    <w:rsid w:val="00AF3ECF"/>
    <w:rsid w:val="00AF403E"/>
    <w:rsid w:val="00AF403F"/>
    <w:rsid w:val="00AF405B"/>
    <w:rsid w:val="00AF4072"/>
    <w:rsid w:val="00AF417C"/>
    <w:rsid w:val="00AF41A8"/>
    <w:rsid w:val="00AF4295"/>
    <w:rsid w:val="00AF4310"/>
    <w:rsid w:val="00AF433D"/>
    <w:rsid w:val="00AF435A"/>
    <w:rsid w:val="00AF4361"/>
    <w:rsid w:val="00AF439F"/>
    <w:rsid w:val="00AF43D8"/>
    <w:rsid w:val="00AF43EB"/>
    <w:rsid w:val="00AF4450"/>
    <w:rsid w:val="00AF4473"/>
    <w:rsid w:val="00AF4528"/>
    <w:rsid w:val="00AF4537"/>
    <w:rsid w:val="00AF4545"/>
    <w:rsid w:val="00AF4553"/>
    <w:rsid w:val="00AF4568"/>
    <w:rsid w:val="00AF4570"/>
    <w:rsid w:val="00AF4592"/>
    <w:rsid w:val="00AF45C8"/>
    <w:rsid w:val="00AF45E0"/>
    <w:rsid w:val="00AF462B"/>
    <w:rsid w:val="00AF465D"/>
    <w:rsid w:val="00AF471B"/>
    <w:rsid w:val="00AF475E"/>
    <w:rsid w:val="00AF47AC"/>
    <w:rsid w:val="00AF47CA"/>
    <w:rsid w:val="00AF47DE"/>
    <w:rsid w:val="00AF4844"/>
    <w:rsid w:val="00AF4861"/>
    <w:rsid w:val="00AF4891"/>
    <w:rsid w:val="00AF4958"/>
    <w:rsid w:val="00AF4979"/>
    <w:rsid w:val="00AF499D"/>
    <w:rsid w:val="00AF49AB"/>
    <w:rsid w:val="00AF4AD9"/>
    <w:rsid w:val="00AF4B56"/>
    <w:rsid w:val="00AF4B6D"/>
    <w:rsid w:val="00AF4B78"/>
    <w:rsid w:val="00AF4BAC"/>
    <w:rsid w:val="00AF4C22"/>
    <w:rsid w:val="00AF4C2B"/>
    <w:rsid w:val="00AF4C6D"/>
    <w:rsid w:val="00AF4C8F"/>
    <w:rsid w:val="00AF4D43"/>
    <w:rsid w:val="00AF4D6B"/>
    <w:rsid w:val="00AF4D93"/>
    <w:rsid w:val="00AF4DAF"/>
    <w:rsid w:val="00AF4E12"/>
    <w:rsid w:val="00AF4E23"/>
    <w:rsid w:val="00AF4E37"/>
    <w:rsid w:val="00AF4E48"/>
    <w:rsid w:val="00AF4E93"/>
    <w:rsid w:val="00AF4F3D"/>
    <w:rsid w:val="00AF4F60"/>
    <w:rsid w:val="00AF4F67"/>
    <w:rsid w:val="00AF4FA9"/>
    <w:rsid w:val="00AF509C"/>
    <w:rsid w:val="00AF50E9"/>
    <w:rsid w:val="00AF511D"/>
    <w:rsid w:val="00AF5151"/>
    <w:rsid w:val="00AF5157"/>
    <w:rsid w:val="00AF5177"/>
    <w:rsid w:val="00AF517D"/>
    <w:rsid w:val="00AF51AC"/>
    <w:rsid w:val="00AF51E6"/>
    <w:rsid w:val="00AF526F"/>
    <w:rsid w:val="00AF52C3"/>
    <w:rsid w:val="00AF52C8"/>
    <w:rsid w:val="00AF52CC"/>
    <w:rsid w:val="00AF52D2"/>
    <w:rsid w:val="00AF5308"/>
    <w:rsid w:val="00AF53AB"/>
    <w:rsid w:val="00AF53DF"/>
    <w:rsid w:val="00AF53FD"/>
    <w:rsid w:val="00AF5426"/>
    <w:rsid w:val="00AF5467"/>
    <w:rsid w:val="00AF5474"/>
    <w:rsid w:val="00AF54D3"/>
    <w:rsid w:val="00AF54E3"/>
    <w:rsid w:val="00AF54FB"/>
    <w:rsid w:val="00AF5513"/>
    <w:rsid w:val="00AF556B"/>
    <w:rsid w:val="00AF5589"/>
    <w:rsid w:val="00AF55D1"/>
    <w:rsid w:val="00AF55F5"/>
    <w:rsid w:val="00AF5605"/>
    <w:rsid w:val="00AF5626"/>
    <w:rsid w:val="00AF5752"/>
    <w:rsid w:val="00AF575D"/>
    <w:rsid w:val="00AF5763"/>
    <w:rsid w:val="00AF576C"/>
    <w:rsid w:val="00AF57BF"/>
    <w:rsid w:val="00AF57DE"/>
    <w:rsid w:val="00AF580C"/>
    <w:rsid w:val="00AF58A6"/>
    <w:rsid w:val="00AF58B0"/>
    <w:rsid w:val="00AF58DC"/>
    <w:rsid w:val="00AF58EF"/>
    <w:rsid w:val="00AF5901"/>
    <w:rsid w:val="00AF5903"/>
    <w:rsid w:val="00AF590C"/>
    <w:rsid w:val="00AF591C"/>
    <w:rsid w:val="00AF591D"/>
    <w:rsid w:val="00AF5934"/>
    <w:rsid w:val="00AF5968"/>
    <w:rsid w:val="00AF59B1"/>
    <w:rsid w:val="00AF59FB"/>
    <w:rsid w:val="00AF5A11"/>
    <w:rsid w:val="00AF5AA7"/>
    <w:rsid w:val="00AF5AD0"/>
    <w:rsid w:val="00AF5BAB"/>
    <w:rsid w:val="00AF5BD6"/>
    <w:rsid w:val="00AF5C23"/>
    <w:rsid w:val="00AF5C8D"/>
    <w:rsid w:val="00AF5CD1"/>
    <w:rsid w:val="00AF5CD2"/>
    <w:rsid w:val="00AF5D0D"/>
    <w:rsid w:val="00AF5D38"/>
    <w:rsid w:val="00AF5D4C"/>
    <w:rsid w:val="00AF5DFF"/>
    <w:rsid w:val="00AF5E36"/>
    <w:rsid w:val="00AF5E42"/>
    <w:rsid w:val="00AF5E5C"/>
    <w:rsid w:val="00AF5EA7"/>
    <w:rsid w:val="00AF5FA2"/>
    <w:rsid w:val="00AF5FEB"/>
    <w:rsid w:val="00AF6020"/>
    <w:rsid w:val="00AF6034"/>
    <w:rsid w:val="00AF60CB"/>
    <w:rsid w:val="00AF6232"/>
    <w:rsid w:val="00AF6246"/>
    <w:rsid w:val="00AF6369"/>
    <w:rsid w:val="00AF6371"/>
    <w:rsid w:val="00AF63C2"/>
    <w:rsid w:val="00AF63CE"/>
    <w:rsid w:val="00AF6422"/>
    <w:rsid w:val="00AF6499"/>
    <w:rsid w:val="00AF64B1"/>
    <w:rsid w:val="00AF64B4"/>
    <w:rsid w:val="00AF6547"/>
    <w:rsid w:val="00AF6557"/>
    <w:rsid w:val="00AF6584"/>
    <w:rsid w:val="00AF65A7"/>
    <w:rsid w:val="00AF65C6"/>
    <w:rsid w:val="00AF6625"/>
    <w:rsid w:val="00AF6633"/>
    <w:rsid w:val="00AF6644"/>
    <w:rsid w:val="00AF665E"/>
    <w:rsid w:val="00AF6724"/>
    <w:rsid w:val="00AF67A1"/>
    <w:rsid w:val="00AF67C2"/>
    <w:rsid w:val="00AF67E4"/>
    <w:rsid w:val="00AF6804"/>
    <w:rsid w:val="00AF682C"/>
    <w:rsid w:val="00AF6859"/>
    <w:rsid w:val="00AF68C4"/>
    <w:rsid w:val="00AF6920"/>
    <w:rsid w:val="00AF6924"/>
    <w:rsid w:val="00AF699C"/>
    <w:rsid w:val="00AF69B7"/>
    <w:rsid w:val="00AF69CF"/>
    <w:rsid w:val="00AF6A0C"/>
    <w:rsid w:val="00AF6A17"/>
    <w:rsid w:val="00AF6A42"/>
    <w:rsid w:val="00AF6A49"/>
    <w:rsid w:val="00AF6A96"/>
    <w:rsid w:val="00AF6AB2"/>
    <w:rsid w:val="00AF6AFC"/>
    <w:rsid w:val="00AF6AFE"/>
    <w:rsid w:val="00AF6B5D"/>
    <w:rsid w:val="00AF6B62"/>
    <w:rsid w:val="00AF6B7E"/>
    <w:rsid w:val="00AF6BA5"/>
    <w:rsid w:val="00AF6C17"/>
    <w:rsid w:val="00AF6C68"/>
    <w:rsid w:val="00AF6CF5"/>
    <w:rsid w:val="00AF6CF6"/>
    <w:rsid w:val="00AF6D23"/>
    <w:rsid w:val="00AF6D33"/>
    <w:rsid w:val="00AF6D72"/>
    <w:rsid w:val="00AF6DA4"/>
    <w:rsid w:val="00AF6DFD"/>
    <w:rsid w:val="00AF6E14"/>
    <w:rsid w:val="00AF6E16"/>
    <w:rsid w:val="00AF6E5E"/>
    <w:rsid w:val="00AF6EA2"/>
    <w:rsid w:val="00AF6EB8"/>
    <w:rsid w:val="00AF6EF7"/>
    <w:rsid w:val="00AF6F39"/>
    <w:rsid w:val="00AF6F3F"/>
    <w:rsid w:val="00AF6F44"/>
    <w:rsid w:val="00AF6FB7"/>
    <w:rsid w:val="00AF6FEA"/>
    <w:rsid w:val="00AF701B"/>
    <w:rsid w:val="00AF704B"/>
    <w:rsid w:val="00AF70A6"/>
    <w:rsid w:val="00AF714B"/>
    <w:rsid w:val="00AF717E"/>
    <w:rsid w:val="00AF718A"/>
    <w:rsid w:val="00AF71A2"/>
    <w:rsid w:val="00AF71BC"/>
    <w:rsid w:val="00AF7284"/>
    <w:rsid w:val="00AF72BA"/>
    <w:rsid w:val="00AF72C1"/>
    <w:rsid w:val="00AF72C8"/>
    <w:rsid w:val="00AF72EB"/>
    <w:rsid w:val="00AF734F"/>
    <w:rsid w:val="00AF735C"/>
    <w:rsid w:val="00AF739E"/>
    <w:rsid w:val="00AF73D0"/>
    <w:rsid w:val="00AF7405"/>
    <w:rsid w:val="00AF74BE"/>
    <w:rsid w:val="00AF74DE"/>
    <w:rsid w:val="00AF7510"/>
    <w:rsid w:val="00AF7524"/>
    <w:rsid w:val="00AF7548"/>
    <w:rsid w:val="00AF755A"/>
    <w:rsid w:val="00AF75A2"/>
    <w:rsid w:val="00AF7611"/>
    <w:rsid w:val="00AF766A"/>
    <w:rsid w:val="00AF7689"/>
    <w:rsid w:val="00AF7718"/>
    <w:rsid w:val="00AF771D"/>
    <w:rsid w:val="00AF7758"/>
    <w:rsid w:val="00AF77CD"/>
    <w:rsid w:val="00AF77DB"/>
    <w:rsid w:val="00AF7879"/>
    <w:rsid w:val="00AF78B7"/>
    <w:rsid w:val="00AF78C6"/>
    <w:rsid w:val="00AF7908"/>
    <w:rsid w:val="00AF7929"/>
    <w:rsid w:val="00AF795D"/>
    <w:rsid w:val="00AF7984"/>
    <w:rsid w:val="00AF7A4A"/>
    <w:rsid w:val="00AF7A4E"/>
    <w:rsid w:val="00AF7AB1"/>
    <w:rsid w:val="00AF7B0A"/>
    <w:rsid w:val="00AF7B2E"/>
    <w:rsid w:val="00AF7B7C"/>
    <w:rsid w:val="00AF7B97"/>
    <w:rsid w:val="00AF7BFF"/>
    <w:rsid w:val="00AF7C7D"/>
    <w:rsid w:val="00AF7C9F"/>
    <w:rsid w:val="00AF7DCD"/>
    <w:rsid w:val="00AF7E0E"/>
    <w:rsid w:val="00AF7E93"/>
    <w:rsid w:val="00AF7F24"/>
    <w:rsid w:val="00AF7F55"/>
    <w:rsid w:val="00AF7F75"/>
    <w:rsid w:val="00B00022"/>
    <w:rsid w:val="00B00048"/>
    <w:rsid w:val="00B00057"/>
    <w:rsid w:val="00B000C5"/>
    <w:rsid w:val="00B000CE"/>
    <w:rsid w:val="00B00118"/>
    <w:rsid w:val="00B00122"/>
    <w:rsid w:val="00B00146"/>
    <w:rsid w:val="00B001B0"/>
    <w:rsid w:val="00B001B5"/>
    <w:rsid w:val="00B001C0"/>
    <w:rsid w:val="00B001EC"/>
    <w:rsid w:val="00B001EF"/>
    <w:rsid w:val="00B0021E"/>
    <w:rsid w:val="00B0027D"/>
    <w:rsid w:val="00B0027E"/>
    <w:rsid w:val="00B002CB"/>
    <w:rsid w:val="00B0030B"/>
    <w:rsid w:val="00B00319"/>
    <w:rsid w:val="00B00383"/>
    <w:rsid w:val="00B003C7"/>
    <w:rsid w:val="00B0047C"/>
    <w:rsid w:val="00B00482"/>
    <w:rsid w:val="00B00487"/>
    <w:rsid w:val="00B004BA"/>
    <w:rsid w:val="00B0051D"/>
    <w:rsid w:val="00B0053C"/>
    <w:rsid w:val="00B0057C"/>
    <w:rsid w:val="00B005F8"/>
    <w:rsid w:val="00B00649"/>
    <w:rsid w:val="00B00650"/>
    <w:rsid w:val="00B006D8"/>
    <w:rsid w:val="00B006F6"/>
    <w:rsid w:val="00B00706"/>
    <w:rsid w:val="00B0075B"/>
    <w:rsid w:val="00B00778"/>
    <w:rsid w:val="00B007AF"/>
    <w:rsid w:val="00B007F0"/>
    <w:rsid w:val="00B007F2"/>
    <w:rsid w:val="00B0081C"/>
    <w:rsid w:val="00B00899"/>
    <w:rsid w:val="00B008A0"/>
    <w:rsid w:val="00B008A6"/>
    <w:rsid w:val="00B008E4"/>
    <w:rsid w:val="00B0090D"/>
    <w:rsid w:val="00B0097C"/>
    <w:rsid w:val="00B009C0"/>
    <w:rsid w:val="00B009F0"/>
    <w:rsid w:val="00B00AB4"/>
    <w:rsid w:val="00B00AD3"/>
    <w:rsid w:val="00B00B59"/>
    <w:rsid w:val="00B00BA0"/>
    <w:rsid w:val="00B00BA5"/>
    <w:rsid w:val="00B00BD6"/>
    <w:rsid w:val="00B00C1D"/>
    <w:rsid w:val="00B00C4D"/>
    <w:rsid w:val="00B00C5F"/>
    <w:rsid w:val="00B00C96"/>
    <w:rsid w:val="00B00CB6"/>
    <w:rsid w:val="00B00CDE"/>
    <w:rsid w:val="00B00D2E"/>
    <w:rsid w:val="00B00D50"/>
    <w:rsid w:val="00B00D55"/>
    <w:rsid w:val="00B00DF8"/>
    <w:rsid w:val="00B00E1E"/>
    <w:rsid w:val="00B00E3E"/>
    <w:rsid w:val="00B00F01"/>
    <w:rsid w:val="00B00F03"/>
    <w:rsid w:val="00B00F52"/>
    <w:rsid w:val="00B00F83"/>
    <w:rsid w:val="00B00FD7"/>
    <w:rsid w:val="00B01073"/>
    <w:rsid w:val="00B01076"/>
    <w:rsid w:val="00B01169"/>
    <w:rsid w:val="00B01170"/>
    <w:rsid w:val="00B01197"/>
    <w:rsid w:val="00B011C7"/>
    <w:rsid w:val="00B01211"/>
    <w:rsid w:val="00B01241"/>
    <w:rsid w:val="00B01261"/>
    <w:rsid w:val="00B01281"/>
    <w:rsid w:val="00B01316"/>
    <w:rsid w:val="00B0135D"/>
    <w:rsid w:val="00B013D1"/>
    <w:rsid w:val="00B01486"/>
    <w:rsid w:val="00B014AB"/>
    <w:rsid w:val="00B014C0"/>
    <w:rsid w:val="00B01511"/>
    <w:rsid w:val="00B015B2"/>
    <w:rsid w:val="00B015DE"/>
    <w:rsid w:val="00B01623"/>
    <w:rsid w:val="00B016E9"/>
    <w:rsid w:val="00B0170D"/>
    <w:rsid w:val="00B01718"/>
    <w:rsid w:val="00B01745"/>
    <w:rsid w:val="00B0174F"/>
    <w:rsid w:val="00B017AF"/>
    <w:rsid w:val="00B017DD"/>
    <w:rsid w:val="00B017F8"/>
    <w:rsid w:val="00B01829"/>
    <w:rsid w:val="00B01854"/>
    <w:rsid w:val="00B01860"/>
    <w:rsid w:val="00B0186B"/>
    <w:rsid w:val="00B01888"/>
    <w:rsid w:val="00B018FE"/>
    <w:rsid w:val="00B0192D"/>
    <w:rsid w:val="00B01936"/>
    <w:rsid w:val="00B0197B"/>
    <w:rsid w:val="00B01A25"/>
    <w:rsid w:val="00B01A58"/>
    <w:rsid w:val="00B01A79"/>
    <w:rsid w:val="00B01AC1"/>
    <w:rsid w:val="00B01ACF"/>
    <w:rsid w:val="00B01B17"/>
    <w:rsid w:val="00B01B3D"/>
    <w:rsid w:val="00B01B51"/>
    <w:rsid w:val="00B01B57"/>
    <w:rsid w:val="00B01B73"/>
    <w:rsid w:val="00B01BAD"/>
    <w:rsid w:val="00B01BE4"/>
    <w:rsid w:val="00B01C1C"/>
    <w:rsid w:val="00B01C44"/>
    <w:rsid w:val="00B01C6F"/>
    <w:rsid w:val="00B01C85"/>
    <w:rsid w:val="00B01D1A"/>
    <w:rsid w:val="00B01D1C"/>
    <w:rsid w:val="00B01D24"/>
    <w:rsid w:val="00B01D47"/>
    <w:rsid w:val="00B01D48"/>
    <w:rsid w:val="00B01D8A"/>
    <w:rsid w:val="00B01E24"/>
    <w:rsid w:val="00B01E4C"/>
    <w:rsid w:val="00B01E6E"/>
    <w:rsid w:val="00B01E72"/>
    <w:rsid w:val="00B01EAB"/>
    <w:rsid w:val="00B01EEA"/>
    <w:rsid w:val="00B01F0E"/>
    <w:rsid w:val="00B01F3F"/>
    <w:rsid w:val="00B01F61"/>
    <w:rsid w:val="00B01FD1"/>
    <w:rsid w:val="00B01FD3"/>
    <w:rsid w:val="00B01FE9"/>
    <w:rsid w:val="00B02048"/>
    <w:rsid w:val="00B02076"/>
    <w:rsid w:val="00B02078"/>
    <w:rsid w:val="00B020CA"/>
    <w:rsid w:val="00B02153"/>
    <w:rsid w:val="00B0218E"/>
    <w:rsid w:val="00B02240"/>
    <w:rsid w:val="00B0231A"/>
    <w:rsid w:val="00B02393"/>
    <w:rsid w:val="00B0239B"/>
    <w:rsid w:val="00B023C5"/>
    <w:rsid w:val="00B02419"/>
    <w:rsid w:val="00B02438"/>
    <w:rsid w:val="00B02479"/>
    <w:rsid w:val="00B024C4"/>
    <w:rsid w:val="00B024D0"/>
    <w:rsid w:val="00B024E0"/>
    <w:rsid w:val="00B024FF"/>
    <w:rsid w:val="00B0253A"/>
    <w:rsid w:val="00B02589"/>
    <w:rsid w:val="00B0259B"/>
    <w:rsid w:val="00B025AA"/>
    <w:rsid w:val="00B02616"/>
    <w:rsid w:val="00B02631"/>
    <w:rsid w:val="00B02658"/>
    <w:rsid w:val="00B02666"/>
    <w:rsid w:val="00B02675"/>
    <w:rsid w:val="00B026B8"/>
    <w:rsid w:val="00B026BF"/>
    <w:rsid w:val="00B026D9"/>
    <w:rsid w:val="00B026E0"/>
    <w:rsid w:val="00B0275F"/>
    <w:rsid w:val="00B02793"/>
    <w:rsid w:val="00B027A7"/>
    <w:rsid w:val="00B027BA"/>
    <w:rsid w:val="00B027DB"/>
    <w:rsid w:val="00B02850"/>
    <w:rsid w:val="00B02900"/>
    <w:rsid w:val="00B0291D"/>
    <w:rsid w:val="00B0295A"/>
    <w:rsid w:val="00B02A09"/>
    <w:rsid w:val="00B02A31"/>
    <w:rsid w:val="00B02A57"/>
    <w:rsid w:val="00B02A70"/>
    <w:rsid w:val="00B02AAD"/>
    <w:rsid w:val="00B02AE7"/>
    <w:rsid w:val="00B02AE8"/>
    <w:rsid w:val="00B02AF3"/>
    <w:rsid w:val="00B02AF5"/>
    <w:rsid w:val="00B02B13"/>
    <w:rsid w:val="00B02B32"/>
    <w:rsid w:val="00B02B41"/>
    <w:rsid w:val="00B02B90"/>
    <w:rsid w:val="00B02BAC"/>
    <w:rsid w:val="00B02BB7"/>
    <w:rsid w:val="00B02BF6"/>
    <w:rsid w:val="00B02C19"/>
    <w:rsid w:val="00B02C47"/>
    <w:rsid w:val="00B02C6F"/>
    <w:rsid w:val="00B02C77"/>
    <w:rsid w:val="00B02C79"/>
    <w:rsid w:val="00B02C90"/>
    <w:rsid w:val="00B02CF7"/>
    <w:rsid w:val="00B02D0E"/>
    <w:rsid w:val="00B02D30"/>
    <w:rsid w:val="00B02D60"/>
    <w:rsid w:val="00B02D75"/>
    <w:rsid w:val="00B02D83"/>
    <w:rsid w:val="00B02D86"/>
    <w:rsid w:val="00B02DD4"/>
    <w:rsid w:val="00B02E70"/>
    <w:rsid w:val="00B02EA2"/>
    <w:rsid w:val="00B02EE9"/>
    <w:rsid w:val="00B02EF1"/>
    <w:rsid w:val="00B02F3C"/>
    <w:rsid w:val="00B02F7A"/>
    <w:rsid w:val="00B02FB2"/>
    <w:rsid w:val="00B03002"/>
    <w:rsid w:val="00B0308F"/>
    <w:rsid w:val="00B03097"/>
    <w:rsid w:val="00B0314B"/>
    <w:rsid w:val="00B03182"/>
    <w:rsid w:val="00B03194"/>
    <w:rsid w:val="00B031A8"/>
    <w:rsid w:val="00B031B2"/>
    <w:rsid w:val="00B03226"/>
    <w:rsid w:val="00B0324A"/>
    <w:rsid w:val="00B032A1"/>
    <w:rsid w:val="00B032C3"/>
    <w:rsid w:val="00B032D3"/>
    <w:rsid w:val="00B032D7"/>
    <w:rsid w:val="00B032E3"/>
    <w:rsid w:val="00B032F1"/>
    <w:rsid w:val="00B03333"/>
    <w:rsid w:val="00B0336F"/>
    <w:rsid w:val="00B03381"/>
    <w:rsid w:val="00B03387"/>
    <w:rsid w:val="00B0338A"/>
    <w:rsid w:val="00B0342B"/>
    <w:rsid w:val="00B0344A"/>
    <w:rsid w:val="00B03466"/>
    <w:rsid w:val="00B03497"/>
    <w:rsid w:val="00B034CF"/>
    <w:rsid w:val="00B034E3"/>
    <w:rsid w:val="00B03535"/>
    <w:rsid w:val="00B03646"/>
    <w:rsid w:val="00B036A8"/>
    <w:rsid w:val="00B036BD"/>
    <w:rsid w:val="00B036F0"/>
    <w:rsid w:val="00B03711"/>
    <w:rsid w:val="00B03737"/>
    <w:rsid w:val="00B0376C"/>
    <w:rsid w:val="00B03779"/>
    <w:rsid w:val="00B03784"/>
    <w:rsid w:val="00B037F7"/>
    <w:rsid w:val="00B03860"/>
    <w:rsid w:val="00B03883"/>
    <w:rsid w:val="00B03896"/>
    <w:rsid w:val="00B03907"/>
    <w:rsid w:val="00B03927"/>
    <w:rsid w:val="00B03930"/>
    <w:rsid w:val="00B03972"/>
    <w:rsid w:val="00B03A53"/>
    <w:rsid w:val="00B03A6D"/>
    <w:rsid w:val="00B03A82"/>
    <w:rsid w:val="00B03AD1"/>
    <w:rsid w:val="00B03ADA"/>
    <w:rsid w:val="00B03AE6"/>
    <w:rsid w:val="00B03AEB"/>
    <w:rsid w:val="00B03B0F"/>
    <w:rsid w:val="00B03B2A"/>
    <w:rsid w:val="00B03BBA"/>
    <w:rsid w:val="00B03BD1"/>
    <w:rsid w:val="00B03C46"/>
    <w:rsid w:val="00B03C6D"/>
    <w:rsid w:val="00B03C8A"/>
    <w:rsid w:val="00B03D23"/>
    <w:rsid w:val="00B03D44"/>
    <w:rsid w:val="00B03D6D"/>
    <w:rsid w:val="00B03DF6"/>
    <w:rsid w:val="00B03E2C"/>
    <w:rsid w:val="00B03E6A"/>
    <w:rsid w:val="00B03E95"/>
    <w:rsid w:val="00B03EB8"/>
    <w:rsid w:val="00B03EC6"/>
    <w:rsid w:val="00B03EEF"/>
    <w:rsid w:val="00B03F84"/>
    <w:rsid w:val="00B03F88"/>
    <w:rsid w:val="00B03F8D"/>
    <w:rsid w:val="00B03FC8"/>
    <w:rsid w:val="00B03FFE"/>
    <w:rsid w:val="00B04007"/>
    <w:rsid w:val="00B0402A"/>
    <w:rsid w:val="00B04067"/>
    <w:rsid w:val="00B0409F"/>
    <w:rsid w:val="00B04109"/>
    <w:rsid w:val="00B0412B"/>
    <w:rsid w:val="00B04172"/>
    <w:rsid w:val="00B04195"/>
    <w:rsid w:val="00B041C2"/>
    <w:rsid w:val="00B041DF"/>
    <w:rsid w:val="00B04201"/>
    <w:rsid w:val="00B04202"/>
    <w:rsid w:val="00B0422F"/>
    <w:rsid w:val="00B04241"/>
    <w:rsid w:val="00B04250"/>
    <w:rsid w:val="00B04259"/>
    <w:rsid w:val="00B0426C"/>
    <w:rsid w:val="00B0429B"/>
    <w:rsid w:val="00B0429E"/>
    <w:rsid w:val="00B042A7"/>
    <w:rsid w:val="00B042B4"/>
    <w:rsid w:val="00B0431D"/>
    <w:rsid w:val="00B0438C"/>
    <w:rsid w:val="00B0440A"/>
    <w:rsid w:val="00B04433"/>
    <w:rsid w:val="00B0443B"/>
    <w:rsid w:val="00B0444B"/>
    <w:rsid w:val="00B044C8"/>
    <w:rsid w:val="00B044D0"/>
    <w:rsid w:val="00B044D7"/>
    <w:rsid w:val="00B044EE"/>
    <w:rsid w:val="00B044EF"/>
    <w:rsid w:val="00B044FB"/>
    <w:rsid w:val="00B0451A"/>
    <w:rsid w:val="00B04552"/>
    <w:rsid w:val="00B0456A"/>
    <w:rsid w:val="00B04594"/>
    <w:rsid w:val="00B04606"/>
    <w:rsid w:val="00B0460B"/>
    <w:rsid w:val="00B04611"/>
    <w:rsid w:val="00B04627"/>
    <w:rsid w:val="00B04660"/>
    <w:rsid w:val="00B046E8"/>
    <w:rsid w:val="00B04722"/>
    <w:rsid w:val="00B04736"/>
    <w:rsid w:val="00B0474D"/>
    <w:rsid w:val="00B04771"/>
    <w:rsid w:val="00B04780"/>
    <w:rsid w:val="00B0484C"/>
    <w:rsid w:val="00B048A4"/>
    <w:rsid w:val="00B048D3"/>
    <w:rsid w:val="00B048D6"/>
    <w:rsid w:val="00B04947"/>
    <w:rsid w:val="00B04977"/>
    <w:rsid w:val="00B04995"/>
    <w:rsid w:val="00B04999"/>
    <w:rsid w:val="00B049A2"/>
    <w:rsid w:val="00B049B5"/>
    <w:rsid w:val="00B049E1"/>
    <w:rsid w:val="00B04A17"/>
    <w:rsid w:val="00B04A78"/>
    <w:rsid w:val="00B04A9F"/>
    <w:rsid w:val="00B04B82"/>
    <w:rsid w:val="00B04BDE"/>
    <w:rsid w:val="00B04C0D"/>
    <w:rsid w:val="00B04C26"/>
    <w:rsid w:val="00B04C30"/>
    <w:rsid w:val="00B04C3A"/>
    <w:rsid w:val="00B04C3C"/>
    <w:rsid w:val="00B04CE1"/>
    <w:rsid w:val="00B04D02"/>
    <w:rsid w:val="00B04D41"/>
    <w:rsid w:val="00B04D5C"/>
    <w:rsid w:val="00B04D82"/>
    <w:rsid w:val="00B04D9F"/>
    <w:rsid w:val="00B04E81"/>
    <w:rsid w:val="00B04E9C"/>
    <w:rsid w:val="00B04EF2"/>
    <w:rsid w:val="00B04F43"/>
    <w:rsid w:val="00B04F58"/>
    <w:rsid w:val="00B04F76"/>
    <w:rsid w:val="00B04F88"/>
    <w:rsid w:val="00B04FAB"/>
    <w:rsid w:val="00B04FEF"/>
    <w:rsid w:val="00B04FF9"/>
    <w:rsid w:val="00B04FFB"/>
    <w:rsid w:val="00B0508B"/>
    <w:rsid w:val="00B050A3"/>
    <w:rsid w:val="00B050CA"/>
    <w:rsid w:val="00B050D6"/>
    <w:rsid w:val="00B050EF"/>
    <w:rsid w:val="00B0511F"/>
    <w:rsid w:val="00B0524E"/>
    <w:rsid w:val="00B05257"/>
    <w:rsid w:val="00B052B0"/>
    <w:rsid w:val="00B052B2"/>
    <w:rsid w:val="00B052DD"/>
    <w:rsid w:val="00B0532D"/>
    <w:rsid w:val="00B0532F"/>
    <w:rsid w:val="00B053EA"/>
    <w:rsid w:val="00B053F8"/>
    <w:rsid w:val="00B05478"/>
    <w:rsid w:val="00B054B6"/>
    <w:rsid w:val="00B054C2"/>
    <w:rsid w:val="00B055B2"/>
    <w:rsid w:val="00B055BE"/>
    <w:rsid w:val="00B055E6"/>
    <w:rsid w:val="00B05603"/>
    <w:rsid w:val="00B05620"/>
    <w:rsid w:val="00B05632"/>
    <w:rsid w:val="00B0568A"/>
    <w:rsid w:val="00B056DD"/>
    <w:rsid w:val="00B057FF"/>
    <w:rsid w:val="00B058BB"/>
    <w:rsid w:val="00B058DF"/>
    <w:rsid w:val="00B05961"/>
    <w:rsid w:val="00B05999"/>
    <w:rsid w:val="00B059AF"/>
    <w:rsid w:val="00B059B5"/>
    <w:rsid w:val="00B059D1"/>
    <w:rsid w:val="00B059D4"/>
    <w:rsid w:val="00B05A34"/>
    <w:rsid w:val="00B05ACC"/>
    <w:rsid w:val="00B05ADE"/>
    <w:rsid w:val="00B05B78"/>
    <w:rsid w:val="00B05B89"/>
    <w:rsid w:val="00B05C0D"/>
    <w:rsid w:val="00B05C27"/>
    <w:rsid w:val="00B05CD5"/>
    <w:rsid w:val="00B05CDB"/>
    <w:rsid w:val="00B05D1B"/>
    <w:rsid w:val="00B05D6A"/>
    <w:rsid w:val="00B05DAC"/>
    <w:rsid w:val="00B05DDA"/>
    <w:rsid w:val="00B05E06"/>
    <w:rsid w:val="00B05E0A"/>
    <w:rsid w:val="00B05E4D"/>
    <w:rsid w:val="00B05ED8"/>
    <w:rsid w:val="00B05EED"/>
    <w:rsid w:val="00B05F23"/>
    <w:rsid w:val="00B05F37"/>
    <w:rsid w:val="00B05F5C"/>
    <w:rsid w:val="00B05F6E"/>
    <w:rsid w:val="00B05FBD"/>
    <w:rsid w:val="00B05FC0"/>
    <w:rsid w:val="00B05FED"/>
    <w:rsid w:val="00B06002"/>
    <w:rsid w:val="00B06007"/>
    <w:rsid w:val="00B060D3"/>
    <w:rsid w:val="00B060EF"/>
    <w:rsid w:val="00B061B7"/>
    <w:rsid w:val="00B06207"/>
    <w:rsid w:val="00B06218"/>
    <w:rsid w:val="00B06266"/>
    <w:rsid w:val="00B06284"/>
    <w:rsid w:val="00B062A6"/>
    <w:rsid w:val="00B062C9"/>
    <w:rsid w:val="00B06302"/>
    <w:rsid w:val="00B06318"/>
    <w:rsid w:val="00B0631E"/>
    <w:rsid w:val="00B06321"/>
    <w:rsid w:val="00B06328"/>
    <w:rsid w:val="00B06350"/>
    <w:rsid w:val="00B063C9"/>
    <w:rsid w:val="00B063CB"/>
    <w:rsid w:val="00B06412"/>
    <w:rsid w:val="00B06442"/>
    <w:rsid w:val="00B064AA"/>
    <w:rsid w:val="00B064C3"/>
    <w:rsid w:val="00B064CD"/>
    <w:rsid w:val="00B06506"/>
    <w:rsid w:val="00B06562"/>
    <w:rsid w:val="00B0656C"/>
    <w:rsid w:val="00B06598"/>
    <w:rsid w:val="00B065E1"/>
    <w:rsid w:val="00B065F3"/>
    <w:rsid w:val="00B0660D"/>
    <w:rsid w:val="00B0662E"/>
    <w:rsid w:val="00B06659"/>
    <w:rsid w:val="00B066A3"/>
    <w:rsid w:val="00B066F4"/>
    <w:rsid w:val="00B066FB"/>
    <w:rsid w:val="00B06708"/>
    <w:rsid w:val="00B06724"/>
    <w:rsid w:val="00B067CB"/>
    <w:rsid w:val="00B06822"/>
    <w:rsid w:val="00B06840"/>
    <w:rsid w:val="00B068EB"/>
    <w:rsid w:val="00B068ED"/>
    <w:rsid w:val="00B06946"/>
    <w:rsid w:val="00B069A1"/>
    <w:rsid w:val="00B069A3"/>
    <w:rsid w:val="00B069B3"/>
    <w:rsid w:val="00B069FB"/>
    <w:rsid w:val="00B06A14"/>
    <w:rsid w:val="00B06A7E"/>
    <w:rsid w:val="00B06B91"/>
    <w:rsid w:val="00B06BD4"/>
    <w:rsid w:val="00B06BE0"/>
    <w:rsid w:val="00B06CA4"/>
    <w:rsid w:val="00B06CC8"/>
    <w:rsid w:val="00B06D61"/>
    <w:rsid w:val="00B06D82"/>
    <w:rsid w:val="00B06DA3"/>
    <w:rsid w:val="00B06E4C"/>
    <w:rsid w:val="00B06E4E"/>
    <w:rsid w:val="00B06E57"/>
    <w:rsid w:val="00B06E86"/>
    <w:rsid w:val="00B06EA0"/>
    <w:rsid w:val="00B06EA5"/>
    <w:rsid w:val="00B06ED2"/>
    <w:rsid w:val="00B06F38"/>
    <w:rsid w:val="00B06FC7"/>
    <w:rsid w:val="00B0700E"/>
    <w:rsid w:val="00B07030"/>
    <w:rsid w:val="00B0711C"/>
    <w:rsid w:val="00B0718A"/>
    <w:rsid w:val="00B071BC"/>
    <w:rsid w:val="00B071BF"/>
    <w:rsid w:val="00B07204"/>
    <w:rsid w:val="00B0722F"/>
    <w:rsid w:val="00B07240"/>
    <w:rsid w:val="00B0729A"/>
    <w:rsid w:val="00B0729C"/>
    <w:rsid w:val="00B072A1"/>
    <w:rsid w:val="00B0730A"/>
    <w:rsid w:val="00B07321"/>
    <w:rsid w:val="00B07333"/>
    <w:rsid w:val="00B0736A"/>
    <w:rsid w:val="00B07377"/>
    <w:rsid w:val="00B073A3"/>
    <w:rsid w:val="00B073B1"/>
    <w:rsid w:val="00B074B6"/>
    <w:rsid w:val="00B074E5"/>
    <w:rsid w:val="00B07575"/>
    <w:rsid w:val="00B07596"/>
    <w:rsid w:val="00B075D8"/>
    <w:rsid w:val="00B07640"/>
    <w:rsid w:val="00B07674"/>
    <w:rsid w:val="00B0777B"/>
    <w:rsid w:val="00B07855"/>
    <w:rsid w:val="00B07859"/>
    <w:rsid w:val="00B07861"/>
    <w:rsid w:val="00B0788C"/>
    <w:rsid w:val="00B078B4"/>
    <w:rsid w:val="00B078E7"/>
    <w:rsid w:val="00B07963"/>
    <w:rsid w:val="00B079C3"/>
    <w:rsid w:val="00B079E8"/>
    <w:rsid w:val="00B07A04"/>
    <w:rsid w:val="00B07A0C"/>
    <w:rsid w:val="00B07A6C"/>
    <w:rsid w:val="00B07A90"/>
    <w:rsid w:val="00B07AFC"/>
    <w:rsid w:val="00B07B71"/>
    <w:rsid w:val="00B07B72"/>
    <w:rsid w:val="00B07B9B"/>
    <w:rsid w:val="00B07BB8"/>
    <w:rsid w:val="00B07BF7"/>
    <w:rsid w:val="00B07C17"/>
    <w:rsid w:val="00B07C35"/>
    <w:rsid w:val="00B07C51"/>
    <w:rsid w:val="00B07C63"/>
    <w:rsid w:val="00B07C71"/>
    <w:rsid w:val="00B07C8E"/>
    <w:rsid w:val="00B07CE2"/>
    <w:rsid w:val="00B07E84"/>
    <w:rsid w:val="00B07E91"/>
    <w:rsid w:val="00B07E9A"/>
    <w:rsid w:val="00B07ED2"/>
    <w:rsid w:val="00B07EDC"/>
    <w:rsid w:val="00B07F8E"/>
    <w:rsid w:val="00B1002C"/>
    <w:rsid w:val="00B100D9"/>
    <w:rsid w:val="00B10110"/>
    <w:rsid w:val="00B101EA"/>
    <w:rsid w:val="00B1020F"/>
    <w:rsid w:val="00B1023E"/>
    <w:rsid w:val="00B1029F"/>
    <w:rsid w:val="00B102A9"/>
    <w:rsid w:val="00B102AD"/>
    <w:rsid w:val="00B102C9"/>
    <w:rsid w:val="00B10332"/>
    <w:rsid w:val="00B10390"/>
    <w:rsid w:val="00B10408"/>
    <w:rsid w:val="00B10419"/>
    <w:rsid w:val="00B10493"/>
    <w:rsid w:val="00B10495"/>
    <w:rsid w:val="00B1050D"/>
    <w:rsid w:val="00B1051D"/>
    <w:rsid w:val="00B1051E"/>
    <w:rsid w:val="00B10537"/>
    <w:rsid w:val="00B10626"/>
    <w:rsid w:val="00B10636"/>
    <w:rsid w:val="00B1063B"/>
    <w:rsid w:val="00B10683"/>
    <w:rsid w:val="00B10696"/>
    <w:rsid w:val="00B106A6"/>
    <w:rsid w:val="00B1071E"/>
    <w:rsid w:val="00B10727"/>
    <w:rsid w:val="00B10802"/>
    <w:rsid w:val="00B10912"/>
    <w:rsid w:val="00B10941"/>
    <w:rsid w:val="00B10959"/>
    <w:rsid w:val="00B1095D"/>
    <w:rsid w:val="00B1097E"/>
    <w:rsid w:val="00B10986"/>
    <w:rsid w:val="00B109AA"/>
    <w:rsid w:val="00B109C7"/>
    <w:rsid w:val="00B10A37"/>
    <w:rsid w:val="00B10A48"/>
    <w:rsid w:val="00B10B16"/>
    <w:rsid w:val="00B10BEF"/>
    <w:rsid w:val="00B10C2E"/>
    <w:rsid w:val="00B10D52"/>
    <w:rsid w:val="00B10DFC"/>
    <w:rsid w:val="00B10E4B"/>
    <w:rsid w:val="00B10EE4"/>
    <w:rsid w:val="00B10EF9"/>
    <w:rsid w:val="00B10F01"/>
    <w:rsid w:val="00B10F31"/>
    <w:rsid w:val="00B1102F"/>
    <w:rsid w:val="00B11039"/>
    <w:rsid w:val="00B1103E"/>
    <w:rsid w:val="00B11044"/>
    <w:rsid w:val="00B11100"/>
    <w:rsid w:val="00B11134"/>
    <w:rsid w:val="00B1113E"/>
    <w:rsid w:val="00B11142"/>
    <w:rsid w:val="00B1119B"/>
    <w:rsid w:val="00B111AF"/>
    <w:rsid w:val="00B111E0"/>
    <w:rsid w:val="00B111EE"/>
    <w:rsid w:val="00B1123C"/>
    <w:rsid w:val="00B1124A"/>
    <w:rsid w:val="00B112BB"/>
    <w:rsid w:val="00B112E8"/>
    <w:rsid w:val="00B11305"/>
    <w:rsid w:val="00B11321"/>
    <w:rsid w:val="00B1137C"/>
    <w:rsid w:val="00B1138B"/>
    <w:rsid w:val="00B11404"/>
    <w:rsid w:val="00B1140B"/>
    <w:rsid w:val="00B1140C"/>
    <w:rsid w:val="00B11480"/>
    <w:rsid w:val="00B114A1"/>
    <w:rsid w:val="00B1152C"/>
    <w:rsid w:val="00B1154B"/>
    <w:rsid w:val="00B11646"/>
    <w:rsid w:val="00B1165F"/>
    <w:rsid w:val="00B11683"/>
    <w:rsid w:val="00B11686"/>
    <w:rsid w:val="00B116B6"/>
    <w:rsid w:val="00B116E5"/>
    <w:rsid w:val="00B11732"/>
    <w:rsid w:val="00B1174C"/>
    <w:rsid w:val="00B1177F"/>
    <w:rsid w:val="00B11796"/>
    <w:rsid w:val="00B117AA"/>
    <w:rsid w:val="00B1182B"/>
    <w:rsid w:val="00B11832"/>
    <w:rsid w:val="00B1188A"/>
    <w:rsid w:val="00B1190F"/>
    <w:rsid w:val="00B1191B"/>
    <w:rsid w:val="00B11927"/>
    <w:rsid w:val="00B1193E"/>
    <w:rsid w:val="00B11949"/>
    <w:rsid w:val="00B11995"/>
    <w:rsid w:val="00B11ABD"/>
    <w:rsid w:val="00B11AF9"/>
    <w:rsid w:val="00B11B66"/>
    <w:rsid w:val="00B11B68"/>
    <w:rsid w:val="00B11BAA"/>
    <w:rsid w:val="00B11BCD"/>
    <w:rsid w:val="00B11BFA"/>
    <w:rsid w:val="00B11C24"/>
    <w:rsid w:val="00B11C44"/>
    <w:rsid w:val="00B11C46"/>
    <w:rsid w:val="00B11C5C"/>
    <w:rsid w:val="00B11CD2"/>
    <w:rsid w:val="00B11CD4"/>
    <w:rsid w:val="00B11CF4"/>
    <w:rsid w:val="00B11CFA"/>
    <w:rsid w:val="00B11D7B"/>
    <w:rsid w:val="00B11E39"/>
    <w:rsid w:val="00B11E81"/>
    <w:rsid w:val="00B11EBD"/>
    <w:rsid w:val="00B11F1A"/>
    <w:rsid w:val="00B11F8B"/>
    <w:rsid w:val="00B11FA3"/>
    <w:rsid w:val="00B11FB3"/>
    <w:rsid w:val="00B11FBC"/>
    <w:rsid w:val="00B11FEC"/>
    <w:rsid w:val="00B12018"/>
    <w:rsid w:val="00B12032"/>
    <w:rsid w:val="00B12036"/>
    <w:rsid w:val="00B1207A"/>
    <w:rsid w:val="00B120D9"/>
    <w:rsid w:val="00B1213E"/>
    <w:rsid w:val="00B12141"/>
    <w:rsid w:val="00B1222D"/>
    <w:rsid w:val="00B122B5"/>
    <w:rsid w:val="00B122D8"/>
    <w:rsid w:val="00B122F9"/>
    <w:rsid w:val="00B1234A"/>
    <w:rsid w:val="00B12391"/>
    <w:rsid w:val="00B123C6"/>
    <w:rsid w:val="00B12424"/>
    <w:rsid w:val="00B12426"/>
    <w:rsid w:val="00B1244B"/>
    <w:rsid w:val="00B124C8"/>
    <w:rsid w:val="00B124E8"/>
    <w:rsid w:val="00B124E9"/>
    <w:rsid w:val="00B1257D"/>
    <w:rsid w:val="00B125B3"/>
    <w:rsid w:val="00B12602"/>
    <w:rsid w:val="00B12629"/>
    <w:rsid w:val="00B12636"/>
    <w:rsid w:val="00B12656"/>
    <w:rsid w:val="00B1266C"/>
    <w:rsid w:val="00B1267D"/>
    <w:rsid w:val="00B126B0"/>
    <w:rsid w:val="00B126C7"/>
    <w:rsid w:val="00B126D6"/>
    <w:rsid w:val="00B126F2"/>
    <w:rsid w:val="00B1270D"/>
    <w:rsid w:val="00B1272A"/>
    <w:rsid w:val="00B1273B"/>
    <w:rsid w:val="00B1273D"/>
    <w:rsid w:val="00B12782"/>
    <w:rsid w:val="00B1278E"/>
    <w:rsid w:val="00B127FC"/>
    <w:rsid w:val="00B12843"/>
    <w:rsid w:val="00B12855"/>
    <w:rsid w:val="00B1286A"/>
    <w:rsid w:val="00B1288D"/>
    <w:rsid w:val="00B128AE"/>
    <w:rsid w:val="00B128C8"/>
    <w:rsid w:val="00B128F1"/>
    <w:rsid w:val="00B1295C"/>
    <w:rsid w:val="00B1295F"/>
    <w:rsid w:val="00B1296E"/>
    <w:rsid w:val="00B129AC"/>
    <w:rsid w:val="00B129C5"/>
    <w:rsid w:val="00B129D4"/>
    <w:rsid w:val="00B12A10"/>
    <w:rsid w:val="00B12B05"/>
    <w:rsid w:val="00B12B97"/>
    <w:rsid w:val="00B12BC3"/>
    <w:rsid w:val="00B12BDB"/>
    <w:rsid w:val="00B12BE5"/>
    <w:rsid w:val="00B12BE8"/>
    <w:rsid w:val="00B12CAA"/>
    <w:rsid w:val="00B12CFF"/>
    <w:rsid w:val="00B12D6F"/>
    <w:rsid w:val="00B12D7D"/>
    <w:rsid w:val="00B12D8C"/>
    <w:rsid w:val="00B12DB8"/>
    <w:rsid w:val="00B12E46"/>
    <w:rsid w:val="00B12E62"/>
    <w:rsid w:val="00B12F40"/>
    <w:rsid w:val="00B12F68"/>
    <w:rsid w:val="00B12F78"/>
    <w:rsid w:val="00B12FF9"/>
    <w:rsid w:val="00B1300E"/>
    <w:rsid w:val="00B13031"/>
    <w:rsid w:val="00B13090"/>
    <w:rsid w:val="00B130A2"/>
    <w:rsid w:val="00B130A3"/>
    <w:rsid w:val="00B130B0"/>
    <w:rsid w:val="00B1310C"/>
    <w:rsid w:val="00B13169"/>
    <w:rsid w:val="00B131EB"/>
    <w:rsid w:val="00B13287"/>
    <w:rsid w:val="00B132B2"/>
    <w:rsid w:val="00B132B4"/>
    <w:rsid w:val="00B132F8"/>
    <w:rsid w:val="00B1333A"/>
    <w:rsid w:val="00B133A3"/>
    <w:rsid w:val="00B133A7"/>
    <w:rsid w:val="00B13413"/>
    <w:rsid w:val="00B13416"/>
    <w:rsid w:val="00B1346E"/>
    <w:rsid w:val="00B13479"/>
    <w:rsid w:val="00B13509"/>
    <w:rsid w:val="00B13567"/>
    <w:rsid w:val="00B13595"/>
    <w:rsid w:val="00B135AE"/>
    <w:rsid w:val="00B135D4"/>
    <w:rsid w:val="00B135ED"/>
    <w:rsid w:val="00B13652"/>
    <w:rsid w:val="00B13657"/>
    <w:rsid w:val="00B136AF"/>
    <w:rsid w:val="00B136DC"/>
    <w:rsid w:val="00B1375F"/>
    <w:rsid w:val="00B137BA"/>
    <w:rsid w:val="00B137E8"/>
    <w:rsid w:val="00B13809"/>
    <w:rsid w:val="00B13819"/>
    <w:rsid w:val="00B13839"/>
    <w:rsid w:val="00B13866"/>
    <w:rsid w:val="00B13872"/>
    <w:rsid w:val="00B1388B"/>
    <w:rsid w:val="00B138E0"/>
    <w:rsid w:val="00B138EB"/>
    <w:rsid w:val="00B138FC"/>
    <w:rsid w:val="00B13949"/>
    <w:rsid w:val="00B1395A"/>
    <w:rsid w:val="00B1397E"/>
    <w:rsid w:val="00B1397F"/>
    <w:rsid w:val="00B139A6"/>
    <w:rsid w:val="00B139C3"/>
    <w:rsid w:val="00B139CA"/>
    <w:rsid w:val="00B13AC7"/>
    <w:rsid w:val="00B13AD5"/>
    <w:rsid w:val="00B13AED"/>
    <w:rsid w:val="00B13B39"/>
    <w:rsid w:val="00B13B52"/>
    <w:rsid w:val="00B13BD7"/>
    <w:rsid w:val="00B13BE0"/>
    <w:rsid w:val="00B13BE8"/>
    <w:rsid w:val="00B13BF9"/>
    <w:rsid w:val="00B13C35"/>
    <w:rsid w:val="00B13D3D"/>
    <w:rsid w:val="00B13D6B"/>
    <w:rsid w:val="00B13D81"/>
    <w:rsid w:val="00B13D8E"/>
    <w:rsid w:val="00B13D9A"/>
    <w:rsid w:val="00B13E04"/>
    <w:rsid w:val="00B13E17"/>
    <w:rsid w:val="00B13E1C"/>
    <w:rsid w:val="00B13ECF"/>
    <w:rsid w:val="00B13ED7"/>
    <w:rsid w:val="00B13F77"/>
    <w:rsid w:val="00B13FE4"/>
    <w:rsid w:val="00B13FE8"/>
    <w:rsid w:val="00B14028"/>
    <w:rsid w:val="00B1404E"/>
    <w:rsid w:val="00B1416A"/>
    <w:rsid w:val="00B14172"/>
    <w:rsid w:val="00B141C3"/>
    <w:rsid w:val="00B141F6"/>
    <w:rsid w:val="00B1420B"/>
    <w:rsid w:val="00B14249"/>
    <w:rsid w:val="00B14258"/>
    <w:rsid w:val="00B142A7"/>
    <w:rsid w:val="00B14306"/>
    <w:rsid w:val="00B14480"/>
    <w:rsid w:val="00B14513"/>
    <w:rsid w:val="00B14515"/>
    <w:rsid w:val="00B14572"/>
    <w:rsid w:val="00B145BA"/>
    <w:rsid w:val="00B14639"/>
    <w:rsid w:val="00B14664"/>
    <w:rsid w:val="00B14673"/>
    <w:rsid w:val="00B146B7"/>
    <w:rsid w:val="00B1472B"/>
    <w:rsid w:val="00B1474F"/>
    <w:rsid w:val="00B1475E"/>
    <w:rsid w:val="00B14763"/>
    <w:rsid w:val="00B14769"/>
    <w:rsid w:val="00B1476C"/>
    <w:rsid w:val="00B14793"/>
    <w:rsid w:val="00B147CD"/>
    <w:rsid w:val="00B148D4"/>
    <w:rsid w:val="00B1496D"/>
    <w:rsid w:val="00B14970"/>
    <w:rsid w:val="00B149BF"/>
    <w:rsid w:val="00B149E3"/>
    <w:rsid w:val="00B149F6"/>
    <w:rsid w:val="00B14AA0"/>
    <w:rsid w:val="00B14ADD"/>
    <w:rsid w:val="00B14B0E"/>
    <w:rsid w:val="00B14B62"/>
    <w:rsid w:val="00B14B7E"/>
    <w:rsid w:val="00B14BD4"/>
    <w:rsid w:val="00B14C10"/>
    <w:rsid w:val="00B14C58"/>
    <w:rsid w:val="00B14C60"/>
    <w:rsid w:val="00B14CCE"/>
    <w:rsid w:val="00B14CD7"/>
    <w:rsid w:val="00B14CFA"/>
    <w:rsid w:val="00B14D2F"/>
    <w:rsid w:val="00B14D39"/>
    <w:rsid w:val="00B14D9F"/>
    <w:rsid w:val="00B14DE6"/>
    <w:rsid w:val="00B14DEB"/>
    <w:rsid w:val="00B14E0A"/>
    <w:rsid w:val="00B14E24"/>
    <w:rsid w:val="00B14EB4"/>
    <w:rsid w:val="00B14ECB"/>
    <w:rsid w:val="00B14ED0"/>
    <w:rsid w:val="00B14F0B"/>
    <w:rsid w:val="00B14F27"/>
    <w:rsid w:val="00B14F30"/>
    <w:rsid w:val="00B14F33"/>
    <w:rsid w:val="00B14F87"/>
    <w:rsid w:val="00B14FA5"/>
    <w:rsid w:val="00B15023"/>
    <w:rsid w:val="00B15075"/>
    <w:rsid w:val="00B150D9"/>
    <w:rsid w:val="00B1514B"/>
    <w:rsid w:val="00B15186"/>
    <w:rsid w:val="00B151A5"/>
    <w:rsid w:val="00B15232"/>
    <w:rsid w:val="00B15281"/>
    <w:rsid w:val="00B152C4"/>
    <w:rsid w:val="00B15330"/>
    <w:rsid w:val="00B15353"/>
    <w:rsid w:val="00B15357"/>
    <w:rsid w:val="00B153F6"/>
    <w:rsid w:val="00B153F8"/>
    <w:rsid w:val="00B15489"/>
    <w:rsid w:val="00B154B3"/>
    <w:rsid w:val="00B15555"/>
    <w:rsid w:val="00B15580"/>
    <w:rsid w:val="00B155C3"/>
    <w:rsid w:val="00B15638"/>
    <w:rsid w:val="00B15658"/>
    <w:rsid w:val="00B15674"/>
    <w:rsid w:val="00B156AB"/>
    <w:rsid w:val="00B156E0"/>
    <w:rsid w:val="00B15727"/>
    <w:rsid w:val="00B1575E"/>
    <w:rsid w:val="00B15785"/>
    <w:rsid w:val="00B15791"/>
    <w:rsid w:val="00B157D6"/>
    <w:rsid w:val="00B15802"/>
    <w:rsid w:val="00B15827"/>
    <w:rsid w:val="00B1584A"/>
    <w:rsid w:val="00B1591B"/>
    <w:rsid w:val="00B15948"/>
    <w:rsid w:val="00B159BE"/>
    <w:rsid w:val="00B15A20"/>
    <w:rsid w:val="00B15A35"/>
    <w:rsid w:val="00B15A5C"/>
    <w:rsid w:val="00B15AB4"/>
    <w:rsid w:val="00B15AB8"/>
    <w:rsid w:val="00B15B0F"/>
    <w:rsid w:val="00B15B48"/>
    <w:rsid w:val="00B15B5E"/>
    <w:rsid w:val="00B15B8C"/>
    <w:rsid w:val="00B15BD6"/>
    <w:rsid w:val="00B15BE4"/>
    <w:rsid w:val="00B15C2F"/>
    <w:rsid w:val="00B15C38"/>
    <w:rsid w:val="00B15C3F"/>
    <w:rsid w:val="00B15C4B"/>
    <w:rsid w:val="00B15C99"/>
    <w:rsid w:val="00B15CA7"/>
    <w:rsid w:val="00B15D30"/>
    <w:rsid w:val="00B15D61"/>
    <w:rsid w:val="00B15D6D"/>
    <w:rsid w:val="00B15DA7"/>
    <w:rsid w:val="00B15DBA"/>
    <w:rsid w:val="00B15E0A"/>
    <w:rsid w:val="00B15E60"/>
    <w:rsid w:val="00B15EF2"/>
    <w:rsid w:val="00B15EFE"/>
    <w:rsid w:val="00B15F80"/>
    <w:rsid w:val="00B15F99"/>
    <w:rsid w:val="00B16001"/>
    <w:rsid w:val="00B1604B"/>
    <w:rsid w:val="00B1609A"/>
    <w:rsid w:val="00B160B9"/>
    <w:rsid w:val="00B160FB"/>
    <w:rsid w:val="00B16147"/>
    <w:rsid w:val="00B16153"/>
    <w:rsid w:val="00B161D9"/>
    <w:rsid w:val="00B161E2"/>
    <w:rsid w:val="00B161FD"/>
    <w:rsid w:val="00B16236"/>
    <w:rsid w:val="00B162C1"/>
    <w:rsid w:val="00B162DE"/>
    <w:rsid w:val="00B16337"/>
    <w:rsid w:val="00B1638F"/>
    <w:rsid w:val="00B163B3"/>
    <w:rsid w:val="00B16423"/>
    <w:rsid w:val="00B1642C"/>
    <w:rsid w:val="00B16508"/>
    <w:rsid w:val="00B16525"/>
    <w:rsid w:val="00B1653B"/>
    <w:rsid w:val="00B16540"/>
    <w:rsid w:val="00B1655D"/>
    <w:rsid w:val="00B165B7"/>
    <w:rsid w:val="00B165E0"/>
    <w:rsid w:val="00B165EA"/>
    <w:rsid w:val="00B16606"/>
    <w:rsid w:val="00B16663"/>
    <w:rsid w:val="00B16672"/>
    <w:rsid w:val="00B16678"/>
    <w:rsid w:val="00B16752"/>
    <w:rsid w:val="00B16758"/>
    <w:rsid w:val="00B1675E"/>
    <w:rsid w:val="00B167FF"/>
    <w:rsid w:val="00B16858"/>
    <w:rsid w:val="00B16879"/>
    <w:rsid w:val="00B16899"/>
    <w:rsid w:val="00B16964"/>
    <w:rsid w:val="00B1699D"/>
    <w:rsid w:val="00B169C2"/>
    <w:rsid w:val="00B169E2"/>
    <w:rsid w:val="00B16A0B"/>
    <w:rsid w:val="00B16A33"/>
    <w:rsid w:val="00B16A3F"/>
    <w:rsid w:val="00B16B31"/>
    <w:rsid w:val="00B16C13"/>
    <w:rsid w:val="00B16CD1"/>
    <w:rsid w:val="00B16D0F"/>
    <w:rsid w:val="00B16D24"/>
    <w:rsid w:val="00B16D3C"/>
    <w:rsid w:val="00B16D40"/>
    <w:rsid w:val="00B16D84"/>
    <w:rsid w:val="00B16D95"/>
    <w:rsid w:val="00B16EC5"/>
    <w:rsid w:val="00B16F1F"/>
    <w:rsid w:val="00B16F25"/>
    <w:rsid w:val="00B16F2A"/>
    <w:rsid w:val="00B16F4B"/>
    <w:rsid w:val="00B16F55"/>
    <w:rsid w:val="00B17059"/>
    <w:rsid w:val="00B17062"/>
    <w:rsid w:val="00B17079"/>
    <w:rsid w:val="00B17088"/>
    <w:rsid w:val="00B170F9"/>
    <w:rsid w:val="00B17125"/>
    <w:rsid w:val="00B1713E"/>
    <w:rsid w:val="00B1719E"/>
    <w:rsid w:val="00B171B4"/>
    <w:rsid w:val="00B17210"/>
    <w:rsid w:val="00B17255"/>
    <w:rsid w:val="00B1726B"/>
    <w:rsid w:val="00B17283"/>
    <w:rsid w:val="00B1728A"/>
    <w:rsid w:val="00B1728D"/>
    <w:rsid w:val="00B172AA"/>
    <w:rsid w:val="00B172E4"/>
    <w:rsid w:val="00B172FF"/>
    <w:rsid w:val="00B1733F"/>
    <w:rsid w:val="00B17359"/>
    <w:rsid w:val="00B1739F"/>
    <w:rsid w:val="00B173E6"/>
    <w:rsid w:val="00B17446"/>
    <w:rsid w:val="00B1746F"/>
    <w:rsid w:val="00B1748F"/>
    <w:rsid w:val="00B17499"/>
    <w:rsid w:val="00B1754D"/>
    <w:rsid w:val="00B1755D"/>
    <w:rsid w:val="00B1759A"/>
    <w:rsid w:val="00B175E5"/>
    <w:rsid w:val="00B17613"/>
    <w:rsid w:val="00B1761C"/>
    <w:rsid w:val="00B17647"/>
    <w:rsid w:val="00B1765B"/>
    <w:rsid w:val="00B17681"/>
    <w:rsid w:val="00B176A0"/>
    <w:rsid w:val="00B176B5"/>
    <w:rsid w:val="00B176DB"/>
    <w:rsid w:val="00B17798"/>
    <w:rsid w:val="00B177B9"/>
    <w:rsid w:val="00B177C9"/>
    <w:rsid w:val="00B177CD"/>
    <w:rsid w:val="00B17809"/>
    <w:rsid w:val="00B1781B"/>
    <w:rsid w:val="00B17873"/>
    <w:rsid w:val="00B178C6"/>
    <w:rsid w:val="00B1794C"/>
    <w:rsid w:val="00B1795F"/>
    <w:rsid w:val="00B179DA"/>
    <w:rsid w:val="00B179EB"/>
    <w:rsid w:val="00B17A06"/>
    <w:rsid w:val="00B17A1E"/>
    <w:rsid w:val="00B17A5A"/>
    <w:rsid w:val="00B17A8C"/>
    <w:rsid w:val="00B17A98"/>
    <w:rsid w:val="00B17B3F"/>
    <w:rsid w:val="00B17B42"/>
    <w:rsid w:val="00B17C08"/>
    <w:rsid w:val="00B17C5E"/>
    <w:rsid w:val="00B17D5D"/>
    <w:rsid w:val="00B17D9C"/>
    <w:rsid w:val="00B17E0C"/>
    <w:rsid w:val="00B17EB6"/>
    <w:rsid w:val="00B17ED5"/>
    <w:rsid w:val="00B17F26"/>
    <w:rsid w:val="00B2002F"/>
    <w:rsid w:val="00B20080"/>
    <w:rsid w:val="00B200AE"/>
    <w:rsid w:val="00B200B9"/>
    <w:rsid w:val="00B2016B"/>
    <w:rsid w:val="00B20171"/>
    <w:rsid w:val="00B201D4"/>
    <w:rsid w:val="00B201F5"/>
    <w:rsid w:val="00B2029D"/>
    <w:rsid w:val="00B202B7"/>
    <w:rsid w:val="00B202C8"/>
    <w:rsid w:val="00B202DB"/>
    <w:rsid w:val="00B2036E"/>
    <w:rsid w:val="00B2037A"/>
    <w:rsid w:val="00B20395"/>
    <w:rsid w:val="00B20404"/>
    <w:rsid w:val="00B2052C"/>
    <w:rsid w:val="00B2054D"/>
    <w:rsid w:val="00B2054F"/>
    <w:rsid w:val="00B2056A"/>
    <w:rsid w:val="00B205D6"/>
    <w:rsid w:val="00B205D7"/>
    <w:rsid w:val="00B20613"/>
    <w:rsid w:val="00B20614"/>
    <w:rsid w:val="00B20631"/>
    <w:rsid w:val="00B2063C"/>
    <w:rsid w:val="00B20651"/>
    <w:rsid w:val="00B20675"/>
    <w:rsid w:val="00B206B1"/>
    <w:rsid w:val="00B206E5"/>
    <w:rsid w:val="00B20781"/>
    <w:rsid w:val="00B207D2"/>
    <w:rsid w:val="00B20824"/>
    <w:rsid w:val="00B20843"/>
    <w:rsid w:val="00B208DD"/>
    <w:rsid w:val="00B209D4"/>
    <w:rsid w:val="00B20A2F"/>
    <w:rsid w:val="00B20A30"/>
    <w:rsid w:val="00B20A6E"/>
    <w:rsid w:val="00B20B08"/>
    <w:rsid w:val="00B20B97"/>
    <w:rsid w:val="00B20BBD"/>
    <w:rsid w:val="00B20BE7"/>
    <w:rsid w:val="00B20BFE"/>
    <w:rsid w:val="00B20C42"/>
    <w:rsid w:val="00B20C75"/>
    <w:rsid w:val="00B20D1E"/>
    <w:rsid w:val="00B20D65"/>
    <w:rsid w:val="00B20D6E"/>
    <w:rsid w:val="00B20D75"/>
    <w:rsid w:val="00B20D9C"/>
    <w:rsid w:val="00B20DB8"/>
    <w:rsid w:val="00B20ED8"/>
    <w:rsid w:val="00B20EE6"/>
    <w:rsid w:val="00B20F6F"/>
    <w:rsid w:val="00B21022"/>
    <w:rsid w:val="00B21076"/>
    <w:rsid w:val="00B210D1"/>
    <w:rsid w:val="00B21128"/>
    <w:rsid w:val="00B2113C"/>
    <w:rsid w:val="00B21159"/>
    <w:rsid w:val="00B2118F"/>
    <w:rsid w:val="00B211AD"/>
    <w:rsid w:val="00B21201"/>
    <w:rsid w:val="00B212E6"/>
    <w:rsid w:val="00B21302"/>
    <w:rsid w:val="00B2131F"/>
    <w:rsid w:val="00B2133A"/>
    <w:rsid w:val="00B21346"/>
    <w:rsid w:val="00B2135E"/>
    <w:rsid w:val="00B213F1"/>
    <w:rsid w:val="00B21433"/>
    <w:rsid w:val="00B2147B"/>
    <w:rsid w:val="00B21486"/>
    <w:rsid w:val="00B214BC"/>
    <w:rsid w:val="00B2153F"/>
    <w:rsid w:val="00B215AC"/>
    <w:rsid w:val="00B215CD"/>
    <w:rsid w:val="00B215F3"/>
    <w:rsid w:val="00B21623"/>
    <w:rsid w:val="00B216BE"/>
    <w:rsid w:val="00B216D5"/>
    <w:rsid w:val="00B21713"/>
    <w:rsid w:val="00B2171C"/>
    <w:rsid w:val="00B2171D"/>
    <w:rsid w:val="00B2175F"/>
    <w:rsid w:val="00B2176B"/>
    <w:rsid w:val="00B21791"/>
    <w:rsid w:val="00B217DE"/>
    <w:rsid w:val="00B217FF"/>
    <w:rsid w:val="00B21817"/>
    <w:rsid w:val="00B21849"/>
    <w:rsid w:val="00B21897"/>
    <w:rsid w:val="00B218C9"/>
    <w:rsid w:val="00B2194E"/>
    <w:rsid w:val="00B219A7"/>
    <w:rsid w:val="00B219B1"/>
    <w:rsid w:val="00B21A2B"/>
    <w:rsid w:val="00B21A2D"/>
    <w:rsid w:val="00B21A93"/>
    <w:rsid w:val="00B21A98"/>
    <w:rsid w:val="00B21AE7"/>
    <w:rsid w:val="00B21B3C"/>
    <w:rsid w:val="00B21B51"/>
    <w:rsid w:val="00B21BC4"/>
    <w:rsid w:val="00B21BCE"/>
    <w:rsid w:val="00B21BF0"/>
    <w:rsid w:val="00B21C11"/>
    <w:rsid w:val="00B21C41"/>
    <w:rsid w:val="00B21C4C"/>
    <w:rsid w:val="00B21C8C"/>
    <w:rsid w:val="00B21CC7"/>
    <w:rsid w:val="00B21CC8"/>
    <w:rsid w:val="00B21CCF"/>
    <w:rsid w:val="00B21CE1"/>
    <w:rsid w:val="00B21CF1"/>
    <w:rsid w:val="00B21D77"/>
    <w:rsid w:val="00B21DE5"/>
    <w:rsid w:val="00B21DE7"/>
    <w:rsid w:val="00B21E81"/>
    <w:rsid w:val="00B21E87"/>
    <w:rsid w:val="00B21EFD"/>
    <w:rsid w:val="00B21F0E"/>
    <w:rsid w:val="00B21F25"/>
    <w:rsid w:val="00B21F4B"/>
    <w:rsid w:val="00B21FCE"/>
    <w:rsid w:val="00B21FFA"/>
    <w:rsid w:val="00B2200E"/>
    <w:rsid w:val="00B2204A"/>
    <w:rsid w:val="00B22098"/>
    <w:rsid w:val="00B220A0"/>
    <w:rsid w:val="00B2210A"/>
    <w:rsid w:val="00B2210D"/>
    <w:rsid w:val="00B22113"/>
    <w:rsid w:val="00B2212A"/>
    <w:rsid w:val="00B2217B"/>
    <w:rsid w:val="00B2218B"/>
    <w:rsid w:val="00B221AF"/>
    <w:rsid w:val="00B221BA"/>
    <w:rsid w:val="00B221F9"/>
    <w:rsid w:val="00B222C0"/>
    <w:rsid w:val="00B2238B"/>
    <w:rsid w:val="00B223B9"/>
    <w:rsid w:val="00B223F3"/>
    <w:rsid w:val="00B2247F"/>
    <w:rsid w:val="00B22491"/>
    <w:rsid w:val="00B224C1"/>
    <w:rsid w:val="00B224CE"/>
    <w:rsid w:val="00B22516"/>
    <w:rsid w:val="00B22570"/>
    <w:rsid w:val="00B2259A"/>
    <w:rsid w:val="00B225CD"/>
    <w:rsid w:val="00B225E8"/>
    <w:rsid w:val="00B22631"/>
    <w:rsid w:val="00B2267C"/>
    <w:rsid w:val="00B22695"/>
    <w:rsid w:val="00B2270F"/>
    <w:rsid w:val="00B22781"/>
    <w:rsid w:val="00B227B4"/>
    <w:rsid w:val="00B227F7"/>
    <w:rsid w:val="00B22806"/>
    <w:rsid w:val="00B22807"/>
    <w:rsid w:val="00B2281C"/>
    <w:rsid w:val="00B2288C"/>
    <w:rsid w:val="00B2288F"/>
    <w:rsid w:val="00B22890"/>
    <w:rsid w:val="00B228BA"/>
    <w:rsid w:val="00B2290B"/>
    <w:rsid w:val="00B2293D"/>
    <w:rsid w:val="00B2294B"/>
    <w:rsid w:val="00B229ED"/>
    <w:rsid w:val="00B229F9"/>
    <w:rsid w:val="00B22A31"/>
    <w:rsid w:val="00B22A6D"/>
    <w:rsid w:val="00B22A7D"/>
    <w:rsid w:val="00B22B48"/>
    <w:rsid w:val="00B22B85"/>
    <w:rsid w:val="00B22C2A"/>
    <w:rsid w:val="00B22D1B"/>
    <w:rsid w:val="00B22D9C"/>
    <w:rsid w:val="00B22DA9"/>
    <w:rsid w:val="00B22ECD"/>
    <w:rsid w:val="00B22EF2"/>
    <w:rsid w:val="00B22F36"/>
    <w:rsid w:val="00B22F87"/>
    <w:rsid w:val="00B22FC3"/>
    <w:rsid w:val="00B2305D"/>
    <w:rsid w:val="00B23064"/>
    <w:rsid w:val="00B23095"/>
    <w:rsid w:val="00B230C0"/>
    <w:rsid w:val="00B230C2"/>
    <w:rsid w:val="00B2312A"/>
    <w:rsid w:val="00B2315C"/>
    <w:rsid w:val="00B23195"/>
    <w:rsid w:val="00B231B2"/>
    <w:rsid w:val="00B231CF"/>
    <w:rsid w:val="00B231E2"/>
    <w:rsid w:val="00B23212"/>
    <w:rsid w:val="00B23254"/>
    <w:rsid w:val="00B232AB"/>
    <w:rsid w:val="00B2339D"/>
    <w:rsid w:val="00B233C7"/>
    <w:rsid w:val="00B2343C"/>
    <w:rsid w:val="00B2344F"/>
    <w:rsid w:val="00B2347B"/>
    <w:rsid w:val="00B2347D"/>
    <w:rsid w:val="00B234C0"/>
    <w:rsid w:val="00B234DF"/>
    <w:rsid w:val="00B23502"/>
    <w:rsid w:val="00B23519"/>
    <w:rsid w:val="00B23553"/>
    <w:rsid w:val="00B235A0"/>
    <w:rsid w:val="00B235F4"/>
    <w:rsid w:val="00B235F6"/>
    <w:rsid w:val="00B23605"/>
    <w:rsid w:val="00B23611"/>
    <w:rsid w:val="00B23645"/>
    <w:rsid w:val="00B236A9"/>
    <w:rsid w:val="00B23740"/>
    <w:rsid w:val="00B2376A"/>
    <w:rsid w:val="00B23831"/>
    <w:rsid w:val="00B2386E"/>
    <w:rsid w:val="00B238BF"/>
    <w:rsid w:val="00B23905"/>
    <w:rsid w:val="00B23944"/>
    <w:rsid w:val="00B23990"/>
    <w:rsid w:val="00B23A0E"/>
    <w:rsid w:val="00B23A39"/>
    <w:rsid w:val="00B23A76"/>
    <w:rsid w:val="00B23A9C"/>
    <w:rsid w:val="00B23AE8"/>
    <w:rsid w:val="00B23B7B"/>
    <w:rsid w:val="00B23B87"/>
    <w:rsid w:val="00B23B8B"/>
    <w:rsid w:val="00B23BED"/>
    <w:rsid w:val="00B23C02"/>
    <w:rsid w:val="00B23C4F"/>
    <w:rsid w:val="00B23C6B"/>
    <w:rsid w:val="00B23CB3"/>
    <w:rsid w:val="00B23CE1"/>
    <w:rsid w:val="00B23D36"/>
    <w:rsid w:val="00B23D3B"/>
    <w:rsid w:val="00B23D60"/>
    <w:rsid w:val="00B23D78"/>
    <w:rsid w:val="00B23D85"/>
    <w:rsid w:val="00B23D86"/>
    <w:rsid w:val="00B23DE7"/>
    <w:rsid w:val="00B23E5E"/>
    <w:rsid w:val="00B23EA6"/>
    <w:rsid w:val="00B23EED"/>
    <w:rsid w:val="00B23F20"/>
    <w:rsid w:val="00B23F82"/>
    <w:rsid w:val="00B23F85"/>
    <w:rsid w:val="00B23FA6"/>
    <w:rsid w:val="00B23FEE"/>
    <w:rsid w:val="00B2406B"/>
    <w:rsid w:val="00B24091"/>
    <w:rsid w:val="00B240B2"/>
    <w:rsid w:val="00B2411C"/>
    <w:rsid w:val="00B2417D"/>
    <w:rsid w:val="00B24194"/>
    <w:rsid w:val="00B241AD"/>
    <w:rsid w:val="00B24268"/>
    <w:rsid w:val="00B2426E"/>
    <w:rsid w:val="00B242D5"/>
    <w:rsid w:val="00B2436C"/>
    <w:rsid w:val="00B24379"/>
    <w:rsid w:val="00B243C9"/>
    <w:rsid w:val="00B243CF"/>
    <w:rsid w:val="00B243E6"/>
    <w:rsid w:val="00B24489"/>
    <w:rsid w:val="00B2453C"/>
    <w:rsid w:val="00B24568"/>
    <w:rsid w:val="00B24579"/>
    <w:rsid w:val="00B24581"/>
    <w:rsid w:val="00B245BD"/>
    <w:rsid w:val="00B245C1"/>
    <w:rsid w:val="00B2461A"/>
    <w:rsid w:val="00B24640"/>
    <w:rsid w:val="00B24703"/>
    <w:rsid w:val="00B2474D"/>
    <w:rsid w:val="00B2478C"/>
    <w:rsid w:val="00B247D1"/>
    <w:rsid w:val="00B247EC"/>
    <w:rsid w:val="00B24852"/>
    <w:rsid w:val="00B248F1"/>
    <w:rsid w:val="00B248FA"/>
    <w:rsid w:val="00B2490A"/>
    <w:rsid w:val="00B249C8"/>
    <w:rsid w:val="00B24A23"/>
    <w:rsid w:val="00B24A27"/>
    <w:rsid w:val="00B24A38"/>
    <w:rsid w:val="00B24AAC"/>
    <w:rsid w:val="00B24ACB"/>
    <w:rsid w:val="00B24AE9"/>
    <w:rsid w:val="00B24AF0"/>
    <w:rsid w:val="00B24B16"/>
    <w:rsid w:val="00B24B55"/>
    <w:rsid w:val="00B24B6F"/>
    <w:rsid w:val="00B24BAF"/>
    <w:rsid w:val="00B24BC8"/>
    <w:rsid w:val="00B24BD7"/>
    <w:rsid w:val="00B24C0B"/>
    <w:rsid w:val="00B24C38"/>
    <w:rsid w:val="00B24C69"/>
    <w:rsid w:val="00B24C6B"/>
    <w:rsid w:val="00B24D0D"/>
    <w:rsid w:val="00B24D3E"/>
    <w:rsid w:val="00B24D65"/>
    <w:rsid w:val="00B24D66"/>
    <w:rsid w:val="00B24DDA"/>
    <w:rsid w:val="00B24E3B"/>
    <w:rsid w:val="00B24E65"/>
    <w:rsid w:val="00B24EFC"/>
    <w:rsid w:val="00B24F77"/>
    <w:rsid w:val="00B24F80"/>
    <w:rsid w:val="00B24FCE"/>
    <w:rsid w:val="00B24FF1"/>
    <w:rsid w:val="00B25033"/>
    <w:rsid w:val="00B25034"/>
    <w:rsid w:val="00B250BF"/>
    <w:rsid w:val="00B2510A"/>
    <w:rsid w:val="00B251A7"/>
    <w:rsid w:val="00B25220"/>
    <w:rsid w:val="00B25278"/>
    <w:rsid w:val="00B2527F"/>
    <w:rsid w:val="00B252E7"/>
    <w:rsid w:val="00B252EF"/>
    <w:rsid w:val="00B2532C"/>
    <w:rsid w:val="00B25349"/>
    <w:rsid w:val="00B25389"/>
    <w:rsid w:val="00B253A8"/>
    <w:rsid w:val="00B2548D"/>
    <w:rsid w:val="00B25500"/>
    <w:rsid w:val="00B2550B"/>
    <w:rsid w:val="00B255DE"/>
    <w:rsid w:val="00B25648"/>
    <w:rsid w:val="00B25675"/>
    <w:rsid w:val="00B25676"/>
    <w:rsid w:val="00B256B5"/>
    <w:rsid w:val="00B256C7"/>
    <w:rsid w:val="00B256F5"/>
    <w:rsid w:val="00B2572D"/>
    <w:rsid w:val="00B25772"/>
    <w:rsid w:val="00B25785"/>
    <w:rsid w:val="00B2579B"/>
    <w:rsid w:val="00B257CA"/>
    <w:rsid w:val="00B257DC"/>
    <w:rsid w:val="00B2581B"/>
    <w:rsid w:val="00B258A7"/>
    <w:rsid w:val="00B258CB"/>
    <w:rsid w:val="00B258D2"/>
    <w:rsid w:val="00B25947"/>
    <w:rsid w:val="00B2598F"/>
    <w:rsid w:val="00B25A01"/>
    <w:rsid w:val="00B25A4E"/>
    <w:rsid w:val="00B25A87"/>
    <w:rsid w:val="00B25B14"/>
    <w:rsid w:val="00B25B24"/>
    <w:rsid w:val="00B25BA0"/>
    <w:rsid w:val="00B25BE2"/>
    <w:rsid w:val="00B25BED"/>
    <w:rsid w:val="00B25C01"/>
    <w:rsid w:val="00B25C8F"/>
    <w:rsid w:val="00B25CE1"/>
    <w:rsid w:val="00B25D2B"/>
    <w:rsid w:val="00B25D68"/>
    <w:rsid w:val="00B25D8C"/>
    <w:rsid w:val="00B25D93"/>
    <w:rsid w:val="00B25DF0"/>
    <w:rsid w:val="00B25E07"/>
    <w:rsid w:val="00B25E08"/>
    <w:rsid w:val="00B25E15"/>
    <w:rsid w:val="00B25E7A"/>
    <w:rsid w:val="00B25E92"/>
    <w:rsid w:val="00B25EF9"/>
    <w:rsid w:val="00B25F1A"/>
    <w:rsid w:val="00B25F98"/>
    <w:rsid w:val="00B25FDA"/>
    <w:rsid w:val="00B25FEA"/>
    <w:rsid w:val="00B26006"/>
    <w:rsid w:val="00B26025"/>
    <w:rsid w:val="00B260AE"/>
    <w:rsid w:val="00B260B2"/>
    <w:rsid w:val="00B260FE"/>
    <w:rsid w:val="00B2611A"/>
    <w:rsid w:val="00B2611D"/>
    <w:rsid w:val="00B26128"/>
    <w:rsid w:val="00B26182"/>
    <w:rsid w:val="00B261B6"/>
    <w:rsid w:val="00B26251"/>
    <w:rsid w:val="00B2628B"/>
    <w:rsid w:val="00B262F7"/>
    <w:rsid w:val="00B263A5"/>
    <w:rsid w:val="00B263D0"/>
    <w:rsid w:val="00B26410"/>
    <w:rsid w:val="00B2642B"/>
    <w:rsid w:val="00B26440"/>
    <w:rsid w:val="00B26455"/>
    <w:rsid w:val="00B2647A"/>
    <w:rsid w:val="00B26480"/>
    <w:rsid w:val="00B26485"/>
    <w:rsid w:val="00B26543"/>
    <w:rsid w:val="00B26574"/>
    <w:rsid w:val="00B265F1"/>
    <w:rsid w:val="00B265F7"/>
    <w:rsid w:val="00B26622"/>
    <w:rsid w:val="00B26684"/>
    <w:rsid w:val="00B26690"/>
    <w:rsid w:val="00B266FA"/>
    <w:rsid w:val="00B26735"/>
    <w:rsid w:val="00B2677F"/>
    <w:rsid w:val="00B267A2"/>
    <w:rsid w:val="00B267C6"/>
    <w:rsid w:val="00B26807"/>
    <w:rsid w:val="00B26835"/>
    <w:rsid w:val="00B2685F"/>
    <w:rsid w:val="00B268BE"/>
    <w:rsid w:val="00B268D5"/>
    <w:rsid w:val="00B2690D"/>
    <w:rsid w:val="00B26914"/>
    <w:rsid w:val="00B2694F"/>
    <w:rsid w:val="00B26952"/>
    <w:rsid w:val="00B26986"/>
    <w:rsid w:val="00B26987"/>
    <w:rsid w:val="00B2698B"/>
    <w:rsid w:val="00B26A0F"/>
    <w:rsid w:val="00B26A51"/>
    <w:rsid w:val="00B26A8F"/>
    <w:rsid w:val="00B26C0A"/>
    <w:rsid w:val="00B26C84"/>
    <w:rsid w:val="00B26D2D"/>
    <w:rsid w:val="00B26D36"/>
    <w:rsid w:val="00B26D89"/>
    <w:rsid w:val="00B26DA3"/>
    <w:rsid w:val="00B26DCE"/>
    <w:rsid w:val="00B26DCF"/>
    <w:rsid w:val="00B26DD6"/>
    <w:rsid w:val="00B26E17"/>
    <w:rsid w:val="00B26E38"/>
    <w:rsid w:val="00B26E47"/>
    <w:rsid w:val="00B26EC9"/>
    <w:rsid w:val="00B26F0E"/>
    <w:rsid w:val="00B26F1F"/>
    <w:rsid w:val="00B26F34"/>
    <w:rsid w:val="00B26F35"/>
    <w:rsid w:val="00B26F87"/>
    <w:rsid w:val="00B26FE6"/>
    <w:rsid w:val="00B26FEE"/>
    <w:rsid w:val="00B27030"/>
    <w:rsid w:val="00B2703B"/>
    <w:rsid w:val="00B2707A"/>
    <w:rsid w:val="00B270BB"/>
    <w:rsid w:val="00B270FE"/>
    <w:rsid w:val="00B27165"/>
    <w:rsid w:val="00B2716A"/>
    <w:rsid w:val="00B27216"/>
    <w:rsid w:val="00B2723E"/>
    <w:rsid w:val="00B272BA"/>
    <w:rsid w:val="00B272BE"/>
    <w:rsid w:val="00B272F9"/>
    <w:rsid w:val="00B2735B"/>
    <w:rsid w:val="00B27395"/>
    <w:rsid w:val="00B273A6"/>
    <w:rsid w:val="00B2745C"/>
    <w:rsid w:val="00B27465"/>
    <w:rsid w:val="00B27466"/>
    <w:rsid w:val="00B2748D"/>
    <w:rsid w:val="00B2749A"/>
    <w:rsid w:val="00B27507"/>
    <w:rsid w:val="00B27572"/>
    <w:rsid w:val="00B275C2"/>
    <w:rsid w:val="00B275D4"/>
    <w:rsid w:val="00B275D7"/>
    <w:rsid w:val="00B27604"/>
    <w:rsid w:val="00B27633"/>
    <w:rsid w:val="00B2768E"/>
    <w:rsid w:val="00B276BE"/>
    <w:rsid w:val="00B276CF"/>
    <w:rsid w:val="00B276D2"/>
    <w:rsid w:val="00B276EC"/>
    <w:rsid w:val="00B276EE"/>
    <w:rsid w:val="00B276FA"/>
    <w:rsid w:val="00B27705"/>
    <w:rsid w:val="00B27745"/>
    <w:rsid w:val="00B27749"/>
    <w:rsid w:val="00B2776E"/>
    <w:rsid w:val="00B277F2"/>
    <w:rsid w:val="00B2780C"/>
    <w:rsid w:val="00B27863"/>
    <w:rsid w:val="00B27875"/>
    <w:rsid w:val="00B27879"/>
    <w:rsid w:val="00B278BC"/>
    <w:rsid w:val="00B2791A"/>
    <w:rsid w:val="00B2793E"/>
    <w:rsid w:val="00B2795C"/>
    <w:rsid w:val="00B27A57"/>
    <w:rsid w:val="00B27AB3"/>
    <w:rsid w:val="00B27AF4"/>
    <w:rsid w:val="00B27BB1"/>
    <w:rsid w:val="00B27CB6"/>
    <w:rsid w:val="00B27CE8"/>
    <w:rsid w:val="00B27CEB"/>
    <w:rsid w:val="00B27D33"/>
    <w:rsid w:val="00B27D76"/>
    <w:rsid w:val="00B27D89"/>
    <w:rsid w:val="00B27DDB"/>
    <w:rsid w:val="00B27E24"/>
    <w:rsid w:val="00B27E3F"/>
    <w:rsid w:val="00B27E4C"/>
    <w:rsid w:val="00B27E8D"/>
    <w:rsid w:val="00B27EF2"/>
    <w:rsid w:val="00B27F03"/>
    <w:rsid w:val="00B27F05"/>
    <w:rsid w:val="00B27F1C"/>
    <w:rsid w:val="00B27F29"/>
    <w:rsid w:val="00B27FDD"/>
    <w:rsid w:val="00B27FEE"/>
    <w:rsid w:val="00B3006C"/>
    <w:rsid w:val="00B30105"/>
    <w:rsid w:val="00B30159"/>
    <w:rsid w:val="00B3015B"/>
    <w:rsid w:val="00B301A7"/>
    <w:rsid w:val="00B301BB"/>
    <w:rsid w:val="00B301E1"/>
    <w:rsid w:val="00B30202"/>
    <w:rsid w:val="00B3020C"/>
    <w:rsid w:val="00B30218"/>
    <w:rsid w:val="00B30221"/>
    <w:rsid w:val="00B3023D"/>
    <w:rsid w:val="00B3024C"/>
    <w:rsid w:val="00B3028C"/>
    <w:rsid w:val="00B30298"/>
    <w:rsid w:val="00B302AA"/>
    <w:rsid w:val="00B302AD"/>
    <w:rsid w:val="00B302BA"/>
    <w:rsid w:val="00B30345"/>
    <w:rsid w:val="00B30375"/>
    <w:rsid w:val="00B303BC"/>
    <w:rsid w:val="00B303D1"/>
    <w:rsid w:val="00B3041F"/>
    <w:rsid w:val="00B3044F"/>
    <w:rsid w:val="00B30474"/>
    <w:rsid w:val="00B30499"/>
    <w:rsid w:val="00B30509"/>
    <w:rsid w:val="00B30573"/>
    <w:rsid w:val="00B30574"/>
    <w:rsid w:val="00B3059C"/>
    <w:rsid w:val="00B305B8"/>
    <w:rsid w:val="00B305DE"/>
    <w:rsid w:val="00B305FA"/>
    <w:rsid w:val="00B30647"/>
    <w:rsid w:val="00B30661"/>
    <w:rsid w:val="00B306BE"/>
    <w:rsid w:val="00B306F4"/>
    <w:rsid w:val="00B30717"/>
    <w:rsid w:val="00B30726"/>
    <w:rsid w:val="00B30775"/>
    <w:rsid w:val="00B3077C"/>
    <w:rsid w:val="00B307BA"/>
    <w:rsid w:val="00B307DB"/>
    <w:rsid w:val="00B30804"/>
    <w:rsid w:val="00B30821"/>
    <w:rsid w:val="00B30870"/>
    <w:rsid w:val="00B3095F"/>
    <w:rsid w:val="00B3096F"/>
    <w:rsid w:val="00B30971"/>
    <w:rsid w:val="00B3097D"/>
    <w:rsid w:val="00B309B0"/>
    <w:rsid w:val="00B30AA5"/>
    <w:rsid w:val="00B30B0D"/>
    <w:rsid w:val="00B30C96"/>
    <w:rsid w:val="00B30CA2"/>
    <w:rsid w:val="00B30CBD"/>
    <w:rsid w:val="00B30CCA"/>
    <w:rsid w:val="00B30CE6"/>
    <w:rsid w:val="00B30D0F"/>
    <w:rsid w:val="00B30D16"/>
    <w:rsid w:val="00B30D43"/>
    <w:rsid w:val="00B30DEB"/>
    <w:rsid w:val="00B30E51"/>
    <w:rsid w:val="00B30E52"/>
    <w:rsid w:val="00B30E57"/>
    <w:rsid w:val="00B30E5D"/>
    <w:rsid w:val="00B30EB6"/>
    <w:rsid w:val="00B30EC3"/>
    <w:rsid w:val="00B30EFA"/>
    <w:rsid w:val="00B30F21"/>
    <w:rsid w:val="00B30F68"/>
    <w:rsid w:val="00B30FE2"/>
    <w:rsid w:val="00B30FF5"/>
    <w:rsid w:val="00B3100A"/>
    <w:rsid w:val="00B310D6"/>
    <w:rsid w:val="00B310DE"/>
    <w:rsid w:val="00B310E7"/>
    <w:rsid w:val="00B31175"/>
    <w:rsid w:val="00B311E3"/>
    <w:rsid w:val="00B31263"/>
    <w:rsid w:val="00B312DA"/>
    <w:rsid w:val="00B3136D"/>
    <w:rsid w:val="00B313EF"/>
    <w:rsid w:val="00B31411"/>
    <w:rsid w:val="00B31421"/>
    <w:rsid w:val="00B31432"/>
    <w:rsid w:val="00B31438"/>
    <w:rsid w:val="00B3148F"/>
    <w:rsid w:val="00B31497"/>
    <w:rsid w:val="00B314F0"/>
    <w:rsid w:val="00B31505"/>
    <w:rsid w:val="00B31566"/>
    <w:rsid w:val="00B315C1"/>
    <w:rsid w:val="00B315C7"/>
    <w:rsid w:val="00B315E3"/>
    <w:rsid w:val="00B31670"/>
    <w:rsid w:val="00B3167F"/>
    <w:rsid w:val="00B316A5"/>
    <w:rsid w:val="00B316C8"/>
    <w:rsid w:val="00B316DF"/>
    <w:rsid w:val="00B317EA"/>
    <w:rsid w:val="00B317FF"/>
    <w:rsid w:val="00B31836"/>
    <w:rsid w:val="00B31846"/>
    <w:rsid w:val="00B31864"/>
    <w:rsid w:val="00B319C3"/>
    <w:rsid w:val="00B319C4"/>
    <w:rsid w:val="00B31A09"/>
    <w:rsid w:val="00B31A1A"/>
    <w:rsid w:val="00B31A4E"/>
    <w:rsid w:val="00B31A5E"/>
    <w:rsid w:val="00B31A7B"/>
    <w:rsid w:val="00B31A81"/>
    <w:rsid w:val="00B31A8E"/>
    <w:rsid w:val="00B31AB1"/>
    <w:rsid w:val="00B31B0D"/>
    <w:rsid w:val="00B31B54"/>
    <w:rsid w:val="00B31B6B"/>
    <w:rsid w:val="00B31B90"/>
    <w:rsid w:val="00B31BAE"/>
    <w:rsid w:val="00B31C21"/>
    <w:rsid w:val="00B31C52"/>
    <w:rsid w:val="00B31C6A"/>
    <w:rsid w:val="00B31C80"/>
    <w:rsid w:val="00B31C86"/>
    <w:rsid w:val="00B31CFE"/>
    <w:rsid w:val="00B31DC5"/>
    <w:rsid w:val="00B31E63"/>
    <w:rsid w:val="00B31E97"/>
    <w:rsid w:val="00B31EDF"/>
    <w:rsid w:val="00B31EF3"/>
    <w:rsid w:val="00B31F18"/>
    <w:rsid w:val="00B31F46"/>
    <w:rsid w:val="00B3200A"/>
    <w:rsid w:val="00B32059"/>
    <w:rsid w:val="00B32088"/>
    <w:rsid w:val="00B32090"/>
    <w:rsid w:val="00B320AE"/>
    <w:rsid w:val="00B32153"/>
    <w:rsid w:val="00B32230"/>
    <w:rsid w:val="00B322B1"/>
    <w:rsid w:val="00B322C0"/>
    <w:rsid w:val="00B322F8"/>
    <w:rsid w:val="00B322FB"/>
    <w:rsid w:val="00B32315"/>
    <w:rsid w:val="00B3239F"/>
    <w:rsid w:val="00B32489"/>
    <w:rsid w:val="00B3249B"/>
    <w:rsid w:val="00B324BF"/>
    <w:rsid w:val="00B324C0"/>
    <w:rsid w:val="00B325DA"/>
    <w:rsid w:val="00B325F7"/>
    <w:rsid w:val="00B32652"/>
    <w:rsid w:val="00B32688"/>
    <w:rsid w:val="00B326C7"/>
    <w:rsid w:val="00B326F1"/>
    <w:rsid w:val="00B3270D"/>
    <w:rsid w:val="00B32737"/>
    <w:rsid w:val="00B3276F"/>
    <w:rsid w:val="00B32779"/>
    <w:rsid w:val="00B327AF"/>
    <w:rsid w:val="00B327E0"/>
    <w:rsid w:val="00B32815"/>
    <w:rsid w:val="00B32854"/>
    <w:rsid w:val="00B32860"/>
    <w:rsid w:val="00B3289A"/>
    <w:rsid w:val="00B328B8"/>
    <w:rsid w:val="00B328BC"/>
    <w:rsid w:val="00B328BD"/>
    <w:rsid w:val="00B328D8"/>
    <w:rsid w:val="00B328E9"/>
    <w:rsid w:val="00B32908"/>
    <w:rsid w:val="00B3290F"/>
    <w:rsid w:val="00B3293A"/>
    <w:rsid w:val="00B32943"/>
    <w:rsid w:val="00B32AB5"/>
    <w:rsid w:val="00B32AD3"/>
    <w:rsid w:val="00B32AE3"/>
    <w:rsid w:val="00B32B07"/>
    <w:rsid w:val="00B32B0A"/>
    <w:rsid w:val="00B32B14"/>
    <w:rsid w:val="00B32B2B"/>
    <w:rsid w:val="00B32B40"/>
    <w:rsid w:val="00B32BBA"/>
    <w:rsid w:val="00B32C07"/>
    <w:rsid w:val="00B32C5E"/>
    <w:rsid w:val="00B32C6B"/>
    <w:rsid w:val="00B32CFA"/>
    <w:rsid w:val="00B32DC0"/>
    <w:rsid w:val="00B32DD2"/>
    <w:rsid w:val="00B32E1C"/>
    <w:rsid w:val="00B32E43"/>
    <w:rsid w:val="00B32EC9"/>
    <w:rsid w:val="00B32ECD"/>
    <w:rsid w:val="00B32F24"/>
    <w:rsid w:val="00B32F72"/>
    <w:rsid w:val="00B3308E"/>
    <w:rsid w:val="00B330FF"/>
    <w:rsid w:val="00B33146"/>
    <w:rsid w:val="00B33152"/>
    <w:rsid w:val="00B33171"/>
    <w:rsid w:val="00B33242"/>
    <w:rsid w:val="00B3327E"/>
    <w:rsid w:val="00B332AF"/>
    <w:rsid w:val="00B3330F"/>
    <w:rsid w:val="00B33368"/>
    <w:rsid w:val="00B33378"/>
    <w:rsid w:val="00B333C3"/>
    <w:rsid w:val="00B33404"/>
    <w:rsid w:val="00B33447"/>
    <w:rsid w:val="00B33464"/>
    <w:rsid w:val="00B334E1"/>
    <w:rsid w:val="00B334F9"/>
    <w:rsid w:val="00B3350D"/>
    <w:rsid w:val="00B3356A"/>
    <w:rsid w:val="00B33658"/>
    <w:rsid w:val="00B33692"/>
    <w:rsid w:val="00B33721"/>
    <w:rsid w:val="00B3373F"/>
    <w:rsid w:val="00B33755"/>
    <w:rsid w:val="00B337B5"/>
    <w:rsid w:val="00B337E5"/>
    <w:rsid w:val="00B33804"/>
    <w:rsid w:val="00B33819"/>
    <w:rsid w:val="00B33861"/>
    <w:rsid w:val="00B3387C"/>
    <w:rsid w:val="00B33883"/>
    <w:rsid w:val="00B33941"/>
    <w:rsid w:val="00B3395C"/>
    <w:rsid w:val="00B33A90"/>
    <w:rsid w:val="00B33AD4"/>
    <w:rsid w:val="00B33AD5"/>
    <w:rsid w:val="00B33B14"/>
    <w:rsid w:val="00B33B1A"/>
    <w:rsid w:val="00B33BB3"/>
    <w:rsid w:val="00B33BE1"/>
    <w:rsid w:val="00B33C66"/>
    <w:rsid w:val="00B33C88"/>
    <w:rsid w:val="00B33CD8"/>
    <w:rsid w:val="00B33CEE"/>
    <w:rsid w:val="00B33CFF"/>
    <w:rsid w:val="00B33D0E"/>
    <w:rsid w:val="00B33D15"/>
    <w:rsid w:val="00B33DC2"/>
    <w:rsid w:val="00B33EC8"/>
    <w:rsid w:val="00B33F41"/>
    <w:rsid w:val="00B33FD1"/>
    <w:rsid w:val="00B33FF7"/>
    <w:rsid w:val="00B34039"/>
    <w:rsid w:val="00B34077"/>
    <w:rsid w:val="00B340E1"/>
    <w:rsid w:val="00B34192"/>
    <w:rsid w:val="00B34194"/>
    <w:rsid w:val="00B341AE"/>
    <w:rsid w:val="00B341B8"/>
    <w:rsid w:val="00B341D7"/>
    <w:rsid w:val="00B34219"/>
    <w:rsid w:val="00B3421F"/>
    <w:rsid w:val="00B34239"/>
    <w:rsid w:val="00B3423B"/>
    <w:rsid w:val="00B3423C"/>
    <w:rsid w:val="00B3423F"/>
    <w:rsid w:val="00B3425F"/>
    <w:rsid w:val="00B34280"/>
    <w:rsid w:val="00B3428B"/>
    <w:rsid w:val="00B342F2"/>
    <w:rsid w:val="00B342F8"/>
    <w:rsid w:val="00B3435D"/>
    <w:rsid w:val="00B343B5"/>
    <w:rsid w:val="00B343F2"/>
    <w:rsid w:val="00B34532"/>
    <w:rsid w:val="00B345A5"/>
    <w:rsid w:val="00B345D5"/>
    <w:rsid w:val="00B34622"/>
    <w:rsid w:val="00B34684"/>
    <w:rsid w:val="00B346A4"/>
    <w:rsid w:val="00B346CE"/>
    <w:rsid w:val="00B3479B"/>
    <w:rsid w:val="00B347A9"/>
    <w:rsid w:val="00B347AD"/>
    <w:rsid w:val="00B347E1"/>
    <w:rsid w:val="00B347EF"/>
    <w:rsid w:val="00B347F3"/>
    <w:rsid w:val="00B3484F"/>
    <w:rsid w:val="00B34859"/>
    <w:rsid w:val="00B348B6"/>
    <w:rsid w:val="00B348C8"/>
    <w:rsid w:val="00B3490C"/>
    <w:rsid w:val="00B34926"/>
    <w:rsid w:val="00B34927"/>
    <w:rsid w:val="00B34976"/>
    <w:rsid w:val="00B349D3"/>
    <w:rsid w:val="00B34A0D"/>
    <w:rsid w:val="00B34A32"/>
    <w:rsid w:val="00B34AA8"/>
    <w:rsid w:val="00B34AD7"/>
    <w:rsid w:val="00B34B42"/>
    <w:rsid w:val="00B34C08"/>
    <w:rsid w:val="00B34C62"/>
    <w:rsid w:val="00B34C81"/>
    <w:rsid w:val="00B34CDA"/>
    <w:rsid w:val="00B34CDB"/>
    <w:rsid w:val="00B34D1A"/>
    <w:rsid w:val="00B34D54"/>
    <w:rsid w:val="00B34D76"/>
    <w:rsid w:val="00B34DAD"/>
    <w:rsid w:val="00B34DFD"/>
    <w:rsid w:val="00B34E03"/>
    <w:rsid w:val="00B34E2E"/>
    <w:rsid w:val="00B34EC6"/>
    <w:rsid w:val="00B34EF1"/>
    <w:rsid w:val="00B34F2E"/>
    <w:rsid w:val="00B34F85"/>
    <w:rsid w:val="00B34FCD"/>
    <w:rsid w:val="00B34FEA"/>
    <w:rsid w:val="00B35035"/>
    <w:rsid w:val="00B35073"/>
    <w:rsid w:val="00B35074"/>
    <w:rsid w:val="00B350D3"/>
    <w:rsid w:val="00B35133"/>
    <w:rsid w:val="00B3514F"/>
    <w:rsid w:val="00B3516B"/>
    <w:rsid w:val="00B351C2"/>
    <w:rsid w:val="00B351E4"/>
    <w:rsid w:val="00B35223"/>
    <w:rsid w:val="00B35248"/>
    <w:rsid w:val="00B35286"/>
    <w:rsid w:val="00B352AB"/>
    <w:rsid w:val="00B352B6"/>
    <w:rsid w:val="00B352C2"/>
    <w:rsid w:val="00B352D0"/>
    <w:rsid w:val="00B352F0"/>
    <w:rsid w:val="00B3532E"/>
    <w:rsid w:val="00B3535F"/>
    <w:rsid w:val="00B353D9"/>
    <w:rsid w:val="00B353E7"/>
    <w:rsid w:val="00B35406"/>
    <w:rsid w:val="00B3543C"/>
    <w:rsid w:val="00B35445"/>
    <w:rsid w:val="00B35458"/>
    <w:rsid w:val="00B3546E"/>
    <w:rsid w:val="00B35473"/>
    <w:rsid w:val="00B3549A"/>
    <w:rsid w:val="00B354CC"/>
    <w:rsid w:val="00B354D9"/>
    <w:rsid w:val="00B354EE"/>
    <w:rsid w:val="00B35629"/>
    <w:rsid w:val="00B3567A"/>
    <w:rsid w:val="00B35682"/>
    <w:rsid w:val="00B35692"/>
    <w:rsid w:val="00B356B7"/>
    <w:rsid w:val="00B356FE"/>
    <w:rsid w:val="00B35701"/>
    <w:rsid w:val="00B35709"/>
    <w:rsid w:val="00B35770"/>
    <w:rsid w:val="00B35786"/>
    <w:rsid w:val="00B357E8"/>
    <w:rsid w:val="00B3584C"/>
    <w:rsid w:val="00B3585E"/>
    <w:rsid w:val="00B35860"/>
    <w:rsid w:val="00B358AF"/>
    <w:rsid w:val="00B358DF"/>
    <w:rsid w:val="00B359AB"/>
    <w:rsid w:val="00B359CE"/>
    <w:rsid w:val="00B35A2C"/>
    <w:rsid w:val="00B35AB5"/>
    <w:rsid w:val="00B35B60"/>
    <w:rsid w:val="00B35BA3"/>
    <w:rsid w:val="00B35BF9"/>
    <w:rsid w:val="00B35C44"/>
    <w:rsid w:val="00B35C6C"/>
    <w:rsid w:val="00B35C7D"/>
    <w:rsid w:val="00B35C92"/>
    <w:rsid w:val="00B35C96"/>
    <w:rsid w:val="00B35CBF"/>
    <w:rsid w:val="00B35CD9"/>
    <w:rsid w:val="00B35D27"/>
    <w:rsid w:val="00B35D93"/>
    <w:rsid w:val="00B35DF9"/>
    <w:rsid w:val="00B35E07"/>
    <w:rsid w:val="00B35EE0"/>
    <w:rsid w:val="00B35F2E"/>
    <w:rsid w:val="00B35F3B"/>
    <w:rsid w:val="00B35F4C"/>
    <w:rsid w:val="00B35F5E"/>
    <w:rsid w:val="00B35FC2"/>
    <w:rsid w:val="00B35FFD"/>
    <w:rsid w:val="00B3603C"/>
    <w:rsid w:val="00B36098"/>
    <w:rsid w:val="00B360AC"/>
    <w:rsid w:val="00B360E1"/>
    <w:rsid w:val="00B36159"/>
    <w:rsid w:val="00B36197"/>
    <w:rsid w:val="00B361C9"/>
    <w:rsid w:val="00B361E9"/>
    <w:rsid w:val="00B361F3"/>
    <w:rsid w:val="00B36216"/>
    <w:rsid w:val="00B36236"/>
    <w:rsid w:val="00B362A2"/>
    <w:rsid w:val="00B362CC"/>
    <w:rsid w:val="00B362E9"/>
    <w:rsid w:val="00B36300"/>
    <w:rsid w:val="00B36398"/>
    <w:rsid w:val="00B36407"/>
    <w:rsid w:val="00B3640E"/>
    <w:rsid w:val="00B36444"/>
    <w:rsid w:val="00B364C3"/>
    <w:rsid w:val="00B364D5"/>
    <w:rsid w:val="00B36519"/>
    <w:rsid w:val="00B36560"/>
    <w:rsid w:val="00B3659C"/>
    <w:rsid w:val="00B365C4"/>
    <w:rsid w:val="00B365F1"/>
    <w:rsid w:val="00B36642"/>
    <w:rsid w:val="00B366D7"/>
    <w:rsid w:val="00B366E4"/>
    <w:rsid w:val="00B366E9"/>
    <w:rsid w:val="00B36739"/>
    <w:rsid w:val="00B36751"/>
    <w:rsid w:val="00B3679B"/>
    <w:rsid w:val="00B3682A"/>
    <w:rsid w:val="00B36866"/>
    <w:rsid w:val="00B3688A"/>
    <w:rsid w:val="00B36890"/>
    <w:rsid w:val="00B36946"/>
    <w:rsid w:val="00B3695B"/>
    <w:rsid w:val="00B369C3"/>
    <w:rsid w:val="00B36A3E"/>
    <w:rsid w:val="00B36A61"/>
    <w:rsid w:val="00B36A6D"/>
    <w:rsid w:val="00B36A81"/>
    <w:rsid w:val="00B36A88"/>
    <w:rsid w:val="00B36B15"/>
    <w:rsid w:val="00B36BC2"/>
    <w:rsid w:val="00B36BEA"/>
    <w:rsid w:val="00B36C25"/>
    <w:rsid w:val="00B36C2C"/>
    <w:rsid w:val="00B36C81"/>
    <w:rsid w:val="00B36CA1"/>
    <w:rsid w:val="00B36D09"/>
    <w:rsid w:val="00B36D84"/>
    <w:rsid w:val="00B36D85"/>
    <w:rsid w:val="00B36E00"/>
    <w:rsid w:val="00B36E53"/>
    <w:rsid w:val="00B36E91"/>
    <w:rsid w:val="00B36EE0"/>
    <w:rsid w:val="00B36F15"/>
    <w:rsid w:val="00B36F58"/>
    <w:rsid w:val="00B36F8B"/>
    <w:rsid w:val="00B36FA4"/>
    <w:rsid w:val="00B36FC8"/>
    <w:rsid w:val="00B36FF7"/>
    <w:rsid w:val="00B36FFC"/>
    <w:rsid w:val="00B3700B"/>
    <w:rsid w:val="00B370AE"/>
    <w:rsid w:val="00B370D6"/>
    <w:rsid w:val="00B3711B"/>
    <w:rsid w:val="00B37161"/>
    <w:rsid w:val="00B3716B"/>
    <w:rsid w:val="00B3717D"/>
    <w:rsid w:val="00B3717E"/>
    <w:rsid w:val="00B3718E"/>
    <w:rsid w:val="00B371AB"/>
    <w:rsid w:val="00B3722B"/>
    <w:rsid w:val="00B37252"/>
    <w:rsid w:val="00B372E6"/>
    <w:rsid w:val="00B372E7"/>
    <w:rsid w:val="00B372E8"/>
    <w:rsid w:val="00B37321"/>
    <w:rsid w:val="00B3733A"/>
    <w:rsid w:val="00B37340"/>
    <w:rsid w:val="00B3737E"/>
    <w:rsid w:val="00B37408"/>
    <w:rsid w:val="00B3746D"/>
    <w:rsid w:val="00B374B5"/>
    <w:rsid w:val="00B374EA"/>
    <w:rsid w:val="00B374F2"/>
    <w:rsid w:val="00B3750B"/>
    <w:rsid w:val="00B37528"/>
    <w:rsid w:val="00B3752F"/>
    <w:rsid w:val="00B3753B"/>
    <w:rsid w:val="00B37556"/>
    <w:rsid w:val="00B37637"/>
    <w:rsid w:val="00B3765D"/>
    <w:rsid w:val="00B376B1"/>
    <w:rsid w:val="00B376BB"/>
    <w:rsid w:val="00B3771A"/>
    <w:rsid w:val="00B37751"/>
    <w:rsid w:val="00B37773"/>
    <w:rsid w:val="00B37779"/>
    <w:rsid w:val="00B37790"/>
    <w:rsid w:val="00B377B7"/>
    <w:rsid w:val="00B3781D"/>
    <w:rsid w:val="00B3785C"/>
    <w:rsid w:val="00B3786A"/>
    <w:rsid w:val="00B37951"/>
    <w:rsid w:val="00B37952"/>
    <w:rsid w:val="00B379F9"/>
    <w:rsid w:val="00B37A2C"/>
    <w:rsid w:val="00B37A8A"/>
    <w:rsid w:val="00B37A8F"/>
    <w:rsid w:val="00B37AF0"/>
    <w:rsid w:val="00B37AFA"/>
    <w:rsid w:val="00B37B06"/>
    <w:rsid w:val="00B37B5E"/>
    <w:rsid w:val="00B37BE3"/>
    <w:rsid w:val="00B37D0C"/>
    <w:rsid w:val="00B37D63"/>
    <w:rsid w:val="00B37D73"/>
    <w:rsid w:val="00B37D76"/>
    <w:rsid w:val="00B37E45"/>
    <w:rsid w:val="00B37E66"/>
    <w:rsid w:val="00B37EF5"/>
    <w:rsid w:val="00B37FB2"/>
    <w:rsid w:val="00B4000E"/>
    <w:rsid w:val="00B40054"/>
    <w:rsid w:val="00B40058"/>
    <w:rsid w:val="00B40075"/>
    <w:rsid w:val="00B4009D"/>
    <w:rsid w:val="00B400B8"/>
    <w:rsid w:val="00B400B9"/>
    <w:rsid w:val="00B400C8"/>
    <w:rsid w:val="00B400D9"/>
    <w:rsid w:val="00B40128"/>
    <w:rsid w:val="00B4014A"/>
    <w:rsid w:val="00B401C9"/>
    <w:rsid w:val="00B4024C"/>
    <w:rsid w:val="00B40309"/>
    <w:rsid w:val="00B40323"/>
    <w:rsid w:val="00B40367"/>
    <w:rsid w:val="00B4036D"/>
    <w:rsid w:val="00B403C8"/>
    <w:rsid w:val="00B403CC"/>
    <w:rsid w:val="00B403DB"/>
    <w:rsid w:val="00B40411"/>
    <w:rsid w:val="00B40446"/>
    <w:rsid w:val="00B404A7"/>
    <w:rsid w:val="00B404A9"/>
    <w:rsid w:val="00B404D8"/>
    <w:rsid w:val="00B404E4"/>
    <w:rsid w:val="00B404E7"/>
    <w:rsid w:val="00B404EA"/>
    <w:rsid w:val="00B40503"/>
    <w:rsid w:val="00B40544"/>
    <w:rsid w:val="00B40585"/>
    <w:rsid w:val="00B405DF"/>
    <w:rsid w:val="00B40629"/>
    <w:rsid w:val="00B4064B"/>
    <w:rsid w:val="00B406E4"/>
    <w:rsid w:val="00B406F0"/>
    <w:rsid w:val="00B406FA"/>
    <w:rsid w:val="00B40702"/>
    <w:rsid w:val="00B4071F"/>
    <w:rsid w:val="00B407A0"/>
    <w:rsid w:val="00B407D4"/>
    <w:rsid w:val="00B408D3"/>
    <w:rsid w:val="00B408FD"/>
    <w:rsid w:val="00B40906"/>
    <w:rsid w:val="00B4090A"/>
    <w:rsid w:val="00B4094B"/>
    <w:rsid w:val="00B40986"/>
    <w:rsid w:val="00B409AB"/>
    <w:rsid w:val="00B409CE"/>
    <w:rsid w:val="00B40AAC"/>
    <w:rsid w:val="00B40AC0"/>
    <w:rsid w:val="00B40B11"/>
    <w:rsid w:val="00B40BA2"/>
    <w:rsid w:val="00B40C2F"/>
    <w:rsid w:val="00B40C51"/>
    <w:rsid w:val="00B40CB9"/>
    <w:rsid w:val="00B40CD0"/>
    <w:rsid w:val="00B40CD4"/>
    <w:rsid w:val="00B40CFF"/>
    <w:rsid w:val="00B40D1B"/>
    <w:rsid w:val="00B40D87"/>
    <w:rsid w:val="00B40DBA"/>
    <w:rsid w:val="00B40DC2"/>
    <w:rsid w:val="00B40DEE"/>
    <w:rsid w:val="00B40DFC"/>
    <w:rsid w:val="00B40E2B"/>
    <w:rsid w:val="00B40E49"/>
    <w:rsid w:val="00B40ED7"/>
    <w:rsid w:val="00B40F02"/>
    <w:rsid w:val="00B40F3E"/>
    <w:rsid w:val="00B40FB1"/>
    <w:rsid w:val="00B41018"/>
    <w:rsid w:val="00B41037"/>
    <w:rsid w:val="00B41062"/>
    <w:rsid w:val="00B4109A"/>
    <w:rsid w:val="00B410AE"/>
    <w:rsid w:val="00B410EF"/>
    <w:rsid w:val="00B4115E"/>
    <w:rsid w:val="00B4116A"/>
    <w:rsid w:val="00B41196"/>
    <w:rsid w:val="00B411C3"/>
    <w:rsid w:val="00B411D3"/>
    <w:rsid w:val="00B411EC"/>
    <w:rsid w:val="00B411FE"/>
    <w:rsid w:val="00B41261"/>
    <w:rsid w:val="00B4126C"/>
    <w:rsid w:val="00B4132D"/>
    <w:rsid w:val="00B413C6"/>
    <w:rsid w:val="00B413D3"/>
    <w:rsid w:val="00B413EC"/>
    <w:rsid w:val="00B41434"/>
    <w:rsid w:val="00B41456"/>
    <w:rsid w:val="00B4145E"/>
    <w:rsid w:val="00B41481"/>
    <w:rsid w:val="00B414D9"/>
    <w:rsid w:val="00B414F1"/>
    <w:rsid w:val="00B41549"/>
    <w:rsid w:val="00B4155A"/>
    <w:rsid w:val="00B415E6"/>
    <w:rsid w:val="00B41695"/>
    <w:rsid w:val="00B416C7"/>
    <w:rsid w:val="00B41724"/>
    <w:rsid w:val="00B4175B"/>
    <w:rsid w:val="00B4178B"/>
    <w:rsid w:val="00B417BB"/>
    <w:rsid w:val="00B417CC"/>
    <w:rsid w:val="00B41846"/>
    <w:rsid w:val="00B4184E"/>
    <w:rsid w:val="00B41882"/>
    <w:rsid w:val="00B418DB"/>
    <w:rsid w:val="00B41901"/>
    <w:rsid w:val="00B4199C"/>
    <w:rsid w:val="00B41A49"/>
    <w:rsid w:val="00B41A7C"/>
    <w:rsid w:val="00B41ABC"/>
    <w:rsid w:val="00B41B56"/>
    <w:rsid w:val="00B41B7E"/>
    <w:rsid w:val="00B41B94"/>
    <w:rsid w:val="00B41BA5"/>
    <w:rsid w:val="00B41BA7"/>
    <w:rsid w:val="00B41BD5"/>
    <w:rsid w:val="00B41BE0"/>
    <w:rsid w:val="00B41BEA"/>
    <w:rsid w:val="00B41C4B"/>
    <w:rsid w:val="00B41C7E"/>
    <w:rsid w:val="00B41CB4"/>
    <w:rsid w:val="00B41CB9"/>
    <w:rsid w:val="00B41CDB"/>
    <w:rsid w:val="00B41CF9"/>
    <w:rsid w:val="00B41D19"/>
    <w:rsid w:val="00B41D73"/>
    <w:rsid w:val="00B41D88"/>
    <w:rsid w:val="00B41DC3"/>
    <w:rsid w:val="00B41E8B"/>
    <w:rsid w:val="00B41EBA"/>
    <w:rsid w:val="00B41EBB"/>
    <w:rsid w:val="00B41EEE"/>
    <w:rsid w:val="00B41F33"/>
    <w:rsid w:val="00B41F43"/>
    <w:rsid w:val="00B41F79"/>
    <w:rsid w:val="00B41FAA"/>
    <w:rsid w:val="00B4201C"/>
    <w:rsid w:val="00B4201E"/>
    <w:rsid w:val="00B4204D"/>
    <w:rsid w:val="00B420D2"/>
    <w:rsid w:val="00B4218E"/>
    <w:rsid w:val="00B42231"/>
    <w:rsid w:val="00B4225E"/>
    <w:rsid w:val="00B42266"/>
    <w:rsid w:val="00B4228A"/>
    <w:rsid w:val="00B4229A"/>
    <w:rsid w:val="00B4229D"/>
    <w:rsid w:val="00B4229F"/>
    <w:rsid w:val="00B422B6"/>
    <w:rsid w:val="00B422BB"/>
    <w:rsid w:val="00B42303"/>
    <w:rsid w:val="00B42314"/>
    <w:rsid w:val="00B42347"/>
    <w:rsid w:val="00B42363"/>
    <w:rsid w:val="00B42396"/>
    <w:rsid w:val="00B423AF"/>
    <w:rsid w:val="00B423B4"/>
    <w:rsid w:val="00B423F5"/>
    <w:rsid w:val="00B42462"/>
    <w:rsid w:val="00B424E8"/>
    <w:rsid w:val="00B4252A"/>
    <w:rsid w:val="00B4254C"/>
    <w:rsid w:val="00B4256A"/>
    <w:rsid w:val="00B425AD"/>
    <w:rsid w:val="00B425B0"/>
    <w:rsid w:val="00B42610"/>
    <w:rsid w:val="00B426A7"/>
    <w:rsid w:val="00B426B2"/>
    <w:rsid w:val="00B42715"/>
    <w:rsid w:val="00B42731"/>
    <w:rsid w:val="00B42767"/>
    <w:rsid w:val="00B427A2"/>
    <w:rsid w:val="00B427D8"/>
    <w:rsid w:val="00B42815"/>
    <w:rsid w:val="00B4281B"/>
    <w:rsid w:val="00B42872"/>
    <w:rsid w:val="00B428A6"/>
    <w:rsid w:val="00B428AD"/>
    <w:rsid w:val="00B428F0"/>
    <w:rsid w:val="00B428FB"/>
    <w:rsid w:val="00B42914"/>
    <w:rsid w:val="00B4297B"/>
    <w:rsid w:val="00B4297E"/>
    <w:rsid w:val="00B4298F"/>
    <w:rsid w:val="00B42A4F"/>
    <w:rsid w:val="00B42A8C"/>
    <w:rsid w:val="00B42AC6"/>
    <w:rsid w:val="00B42B32"/>
    <w:rsid w:val="00B42B56"/>
    <w:rsid w:val="00B42BD2"/>
    <w:rsid w:val="00B42BE4"/>
    <w:rsid w:val="00B42C1F"/>
    <w:rsid w:val="00B42C22"/>
    <w:rsid w:val="00B42C2B"/>
    <w:rsid w:val="00B42C5B"/>
    <w:rsid w:val="00B42C5E"/>
    <w:rsid w:val="00B42C79"/>
    <w:rsid w:val="00B42C7D"/>
    <w:rsid w:val="00B42CCD"/>
    <w:rsid w:val="00B42CE4"/>
    <w:rsid w:val="00B42CEA"/>
    <w:rsid w:val="00B42D1E"/>
    <w:rsid w:val="00B42D38"/>
    <w:rsid w:val="00B42DB3"/>
    <w:rsid w:val="00B42DE7"/>
    <w:rsid w:val="00B42E0E"/>
    <w:rsid w:val="00B42E48"/>
    <w:rsid w:val="00B42E93"/>
    <w:rsid w:val="00B42EC5"/>
    <w:rsid w:val="00B42F08"/>
    <w:rsid w:val="00B42F09"/>
    <w:rsid w:val="00B42F17"/>
    <w:rsid w:val="00B42FCC"/>
    <w:rsid w:val="00B43023"/>
    <w:rsid w:val="00B43067"/>
    <w:rsid w:val="00B430DF"/>
    <w:rsid w:val="00B430E3"/>
    <w:rsid w:val="00B431EA"/>
    <w:rsid w:val="00B43204"/>
    <w:rsid w:val="00B4321B"/>
    <w:rsid w:val="00B43223"/>
    <w:rsid w:val="00B43240"/>
    <w:rsid w:val="00B43246"/>
    <w:rsid w:val="00B432A7"/>
    <w:rsid w:val="00B432B5"/>
    <w:rsid w:val="00B432C0"/>
    <w:rsid w:val="00B432E2"/>
    <w:rsid w:val="00B432E4"/>
    <w:rsid w:val="00B432F8"/>
    <w:rsid w:val="00B4333A"/>
    <w:rsid w:val="00B43345"/>
    <w:rsid w:val="00B4334D"/>
    <w:rsid w:val="00B43350"/>
    <w:rsid w:val="00B43371"/>
    <w:rsid w:val="00B433CC"/>
    <w:rsid w:val="00B433D0"/>
    <w:rsid w:val="00B4342D"/>
    <w:rsid w:val="00B4346B"/>
    <w:rsid w:val="00B4346C"/>
    <w:rsid w:val="00B4346D"/>
    <w:rsid w:val="00B43486"/>
    <w:rsid w:val="00B434C6"/>
    <w:rsid w:val="00B43576"/>
    <w:rsid w:val="00B435A6"/>
    <w:rsid w:val="00B435DA"/>
    <w:rsid w:val="00B43606"/>
    <w:rsid w:val="00B4360E"/>
    <w:rsid w:val="00B43661"/>
    <w:rsid w:val="00B43691"/>
    <w:rsid w:val="00B43697"/>
    <w:rsid w:val="00B436E5"/>
    <w:rsid w:val="00B436F3"/>
    <w:rsid w:val="00B4387F"/>
    <w:rsid w:val="00B43930"/>
    <w:rsid w:val="00B4394B"/>
    <w:rsid w:val="00B43976"/>
    <w:rsid w:val="00B43988"/>
    <w:rsid w:val="00B43A59"/>
    <w:rsid w:val="00B43A94"/>
    <w:rsid w:val="00B43A97"/>
    <w:rsid w:val="00B43ADD"/>
    <w:rsid w:val="00B43AE3"/>
    <w:rsid w:val="00B43B12"/>
    <w:rsid w:val="00B43B9A"/>
    <w:rsid w:val="00B43BF6"/>
    <w:rsid w:val="00B43C12"/>
    <w:rsid w:val="00B43C2C"/>
    <w:rsid w:val="00B43D37"/>
    <w:rsid w:val="00B43D39"/>
    <w:rsid w:val="00B43D3C"/>
    <w:rsid w:val="00B43D4D"/>
    <w:rsid w:val="00B43D51"/>
    <w:rsid w:val="00B43DA1"/>
    <w:rsid w:val="00B43DC5"/>
    <w:rsid w:val="00B43DE9"/>
    <w:rsid w:val="00B43EAB"/>
    <w:rsid w:val="00B43F30"/>
    <w:rsid w:val="00B43F3E"/>
    <w:rsid w:val="00B43F9D"/>
    <w:rsid w:val="00B43FD5"/>
    <w:rsid w:val="00B44030"/>
    <w:rsid w:val="00B44033"/>
    <w:rsid w:val="00B44056"/>
    <w:rsid w:val="00B440B2"/>
    <w:rsid w:val="00B441D1"/>
    <w:rsid w:val="00B44225"/>
    <w:rsid w:val="00B44232"/>
    <w:rsid w:val="00B44276"/>
    <w:rsid w:val="00B44296"/>
    <w:rsid w:val="00B442EB"/>
    <w:rsid w:val="00B442F4"/>
    <w:rsid w:val="00B4434B"/>
    <w:rsid w:val="00B4434D"/>
    <w:rsid w:val="00B44362"/>
    <w:rsid w:val="00B4437B"/>
    <w:rsid w:val="00B443FC"/>
    <w:rsid w:val="00B444B5"/>
    <w:rsid w:val="00B444DA"/>
    <w:rsid w:val="00B444FE"/>
    <w:rsid w:val="00B4455F"/>
    <w:rsid w:val="00B445EB"/>
    <w:rsid w:val="00B4462E"/>
    <w:rsid w:val="00B446F1"/>
    <w:rsid w:val="00B446F6"/>
    <w:rsid w:val="00B446FD"/>
    <w:rsid w:val="00B447FC"/>
    <w:rsid w:val="00B44849"/>
    <w:rsid w:val="00B448AD"/>
    <w:rsid w:val="00B44916"/>
    <w:rsid w:val="00B4493C"/>
    <w:rsid w:val="00B4499B"/>
    <w:rsid w:val="00B449C4"/>
    <w:rsid w:val="00B449FB"/>
    <w:rsid w:val="00B44A03"/>
    <w:rsid w:val="00B44A98"/>
    <w:rsid w:val="00B44AA1"/>
    <w:rsid w:val="00B44AF3"/>
    <w:rsid w:val="00B44B29"/>
    <w:rsid w:val="00B44B82"/>
    <w:rsid w:val="00B44C12"/>
    <w:rsid w:val="00B44C23"/>
    <w:rsid w:val="00B44C2B"/>
    <w:rsid w:val="00B44C72"/>
    <w:rsid w:val="00B44C8E"/>
    <w:rsid w:val="00B44C99"/>
    <w:rsid w:val="00B44C9F"/>
    <w:rsid w:val="00B44CAE"/>
    <w:rsid w:val="00B44D11"/>
    <w:rsid w:val="00B44D46"/>
    <w:rsid w:val="00B44E28"/>
    <w:rsid w:val="00B44E62"/>
    <w:rsid w:val="00B44EE0"/>
    <w:rsid w:val="00B44EED"/>
    <w:rsid w:val="00B44F1E"/>
    <w:rsid w:val="00B44F48"/>
    <w:rsid w:val="00B44F87"/>
    <w:rsid w:val="00B44FD1"/>
    <w:rsid w:val="00B44FD6"/>
    <w:rsid w:val="00B4503F"/>
    <w:rsid w:val="00B45055"/>
    <w:rsid w:val="00B4508B"/>
    <w:rsid w:val="00B45148"/>
    <w:rsid w:val="00B4514A"/>
    <w:rsid w:val="00B45154"/>
    <w:rsid w:val="00B451EB"/>
    <w:rsid w:val="00B4520C"/>
    <w:rsid w:val="00B45232"/>
    <w:rsid w:val="00B452DC"/>
    <w:rsid w:val="00B4530D"/>
    <w:rsid w:val="00B45331"/>
    <w:rsid w:val="00B4533B"/>
    <w:rsid w:val="00B4537D"/>
    <w:rsid w:val="00B4541F"/>
    <w:rsid w:val="00B454AC"/>
    <w:rsid w:val="00B454AD"/>
    <w:rsid w:val="00B454B1"/>
    <w:rsid w:val="00B45522"/>
    <w:rsid w:val="00B45534"/>
    <w:rsid w:val="00B4555B"/>
    <w:rsid w:val="00B455C7"/>
    <w:rsid w:val="00B455CE"/>
    <w:rsid w:val="00B45659"/>
    <w:rsid w:val="00B4566C"/>
    <w:rsid w:val="00B45696"/>
    <w:rsid w:val="00B4570F"/>
    <w:rsid w:val="00B45719"/>
    <w:rsid w:val="00B45755"/>
    <w:rsid w:val="00B45772"/>
    <w:rsid w:val="00B45776"/>
    <w:rsid w:val="00B4578E"/>
    <w:rsid w:val="00B4579D"/>
    <w:rsid w:val="00B457E3"/>
    <w:rsid w:val="00B457F9"/>
    <w:rsid w:val="00B4582E"/>
    <w:rsid w:val="00B4582F"/>
    <w:rsid w:val="00B4586D"/>
    <w:rsid w:val="00B45878"/>
    <w:rsid w:val="00B458C1"/>
    <w:rsid w:val="00B458F0"/>
    <w:rsid w:val="00B458F7"/>
    <w:rsid w:val="00B458F8"/>
    <w:rsid w:val="00B45914"/>
    <w:rsid w:val="00B45970"/>
    <w:rsid w:val="00B45975"/>
    <w:rsid w:val="00B459AB"/>
    <w:rsid w:val="00B45A13"/>
    <w:rsid w:val="00B45A24"/>
    <w:rsid w:val="00B45A47"/>
    <w:rsid w:val="00B45A5E"/>
    <w:rsid w:val="00B45AC9"/>
    <w:rsid w:val="00B45B3C"/>
    <w:rsid w:val="00B45B5C"/>
    <w:rsid w:val="00B45B79"/>
    <w:rsid w:val="00B45B9F"/>
    <w:rsid w:val="00B45C6F"/>
    <w:rsid w:val="00B45D1F"/>
    <w:rsid w:val="00B45D67"/>
    <w:rsid w:val="00B45DA5"/>
    <w:rsid w:val="00B45E30"/>
    <w:rsid w:val="00B45E75"/>
    <w:rsid w:val="00B45F17"/>
    <w:rsid w:val="00B45F25"/>
    <w:rsid w:val="00B45F46"/>
    <w:rsid w:val="00B45FA8"/>
    <w:rsid w:val="00B45FEA"/>
    <w:rsid w:val="00B46091"/>
    <w:rsid w:val="00B46093"/>
    <w:rsid w:val="00B460B0"/>
    <w:rsid w:val="00B460DF"/>
    <w:rsid w:val="00B460EA"/>
    <w:rsid w:val="00B4611B"/>
    <w:rsid w:val="00B46173"/>
    <w:rsid w:val="00B461B8"/>
    <w:rsid w:val="00B461D1"/>
    <w:rsid w:val="00B461F3"/>
    <w:rsid w:val="00B461F9"/>
    <w:rsid w:val="00B46243"/>
    <w:rsid w:val="00B46269"/>
    <w:rsid w:val="00B462CB"/>
    <w:rsid w:val="00B46343"/>
    <w:rsid w:val="00B46365"/>
    <w:rsid w:val="00B46374"/>
    <w:rsid w:val="00B464AA"/>
    <w:rsid w:val="00B4652E"/>
    <w:rsid w:val="00B46533"/>
    <w:rsid w:val="00B465E4"/>
    <w:rsid w:val="00B46607"/>
    <w:rsid w:val="00B466AF"/>
    <w:rsid w:val="00B466EC"/>
    <w:rsid w:val="00B466EE"/>
    <w:rsid w:val="00B4672B"/>
    <w:rsid w:val="00B46763"/>
    <w:rsid w:val="00B4677B"/>
    <w:rsid w:val="00B467BA"/>
    <w:rsid w:val="00B467C0"/>
    <w:rsid w:val="00B467DB"/>
    <w:rsid w:val="00B46982"/>
    <w:rsid w:val="00B469EF"/>
    <w:rsid w:val="00B469F8"/>
    <w:rsid w:val="00B46A07"/>
    <w:rsid w:val="00B46A1B"/>
    <w:rsid w:val="00B46A6F"/>
    <w:rsid w:val="00B46A85"/>
    <w:rsid w:val="00B46AD1"/>
    <w:rsid w:val="00B46AE0"/>
    <w:rsid w:val="00B46AE6"/>
    <w:rsid w:val="00B46AFA"/>
    <w:rsid w:val="00B46B1E"/>
    <w:rsid w:val="00B46B32"/>
    <w:rsid w:val="00B46B5A"/>
    <w:rsid w:val="00B46B78"/>
    <w:rsid w:val="00B46B8E"/>
    <w:rsid w:val="00B46C20"/>
    <w:rsid w:val="00B46C76"/>
    <w:rsid w:val="00B46C85"/>
    <w:rsid w:val="00B46CAE"/>
    <w:rsid w:val="00B46CE9"/>
    <w:rsid w:val="00B46E59"/>
    <w:rsid w:val="00B46E97"/>
    <w:rsid w:val="00B46EA6"/>
    <w:rsid w:val="00B46EE8"/>
    <w:rsid w:val="00B46F2C"/>
    <w:rsid w:val="00B46F30"/>
    <w:rsid w:val="00B46F36"/>
    <w:rsid w:val="00B46F45"/>
    <w:rsid w:val="00B46FC2"/>
    <w:rsid w:val="00B47021"/>
    <w:rsid w:val="00B47058"/>
    <w:rsid w:val="00B4710F"/>
    <w:rsid w:val="00B47133"/>
    <w:rsid w:val="00B47144"/>
    <w:rsid w:val="00B471A0"/>
    <w:rsid w:val="00B47214"/>
    <w:rsid w:val="00B47225"/>
    <w:rsid w:val="00B4722F"/>
    <w:rsid w:val="00B4729A"/>
    <w:rsid w:val="00B472BB"/>
    <w:rsid w:val="00B472D3"/>
    <w:rsid w:val="00B47347"/>
    <w:rsid w:val="00B47361"/>
    <w:rsid w:val="00B4739B"/>
    <w:rsid w:val="00B473D1"/>
    <w:rsid w:val="00B473DD"/>
    <w:rsid w:val="00B47411"/>
    <w:rsid w:val="00B4743E"/>
    <w:rsid w:val="00B4745D"/>
    <w:rsid w:val="00B47503"/>
    <w:rsid w:val="00B4759B"/>
    <w:rsid w:val="00B475A4"/>
    <w:rsid w:val="00B47681"/>
    <w:rsid w:val="00B476B9"/>
    <w:rsid w:val="00B47701"/>
    <w:rsid w:val="00B47729"/>
    <w:rsid w:val="00B4775B"/>
    <w:rsid w:val="00B47795"/>
    <w:rsid w:val="00B477AE"/>
    <w:rsid w:val="00B47807"/>
    <w:rsid w:val="00B4781B"/>
    <w:rsid w:val="00B478B1"/>
    <w:rsid w:val="00B478CB"/>
    <w:rsid w:val="00B47913"/>
    <w:rsid w:val="00B4792C"/>
    <w:rsid w:val="00B47956"/>
    <w:rsid w:val="00B4795C"/>
    <w:rsid w:val="00B47977"/>
    <w:rsid w:val="00B47990"/>
    <w:rsid w:val="00B4799B"/>
    <w:rsid w:val="00B479D2"/>
    <w:rsid w:val="00B47A6A"/>
    <w:rsid w:val="00B47AC8"/>
    <w:rsid w:val="00B47B18"/>
    <w:rsid w:val="00B47B25"/>
    <w:rsid w:val="00B47B3B"/>
    <w:rsid w:val="00B47BD7"/>
    <w:rsid w:val="00B47BE0"/>
    <w:rsid w:val="00B47C3D"/>
    <w:rsid w:val="00B47C97"/>
    <w:rsid w:val="00B47CA5"/>
    <w:rsid w:val="00B47CD9"/>
    <w:rsid w:val="00B47CF5"/>
    <w:rsid w:val="00B47D3C"/>
    <w:rsid w:val="00B47D8D"/>
    <w:rsid w:val="00B47E0C"/>
    <w:rsid w:val="00B47E7F"/>
    <w:rsid w:val="00B47EF2"/>
    <w:rsid w:val="00B47F11"/>
    <w:rsid w:val="00B47F9A"/>
    <w:rsid w:val="00B47FB0"/>
    <w:rsid w:val="00B47FB6"/>
    <w:rsid w:val="00B47FF5"/>
    <w:rsid w:val="00B500AF"/>
    <w:rsid w:val="00B5011D"/>
    <w:rsid w:val="00B5012B"/>
    <w:rsid w:val="00B5013D"/>
    <w:rsid w:val="00B501AE"/>
    <w:rsid w:val="00B50274"/>
    <w:rsid w:val="00B50321"/>
    <w:rsid w:val="00B5034E"/>
    <w:rsid w:val="00B5035C"/>
    <w:rsid w:val="00B503D8"/>
    <w:rsid w:val="00B503D9"/>
    <w:rsid w:val="00B503EE"/>
    <w:rsid w:val="00B5047A"/>
    <w:rsid w:val="00B5048B"/>
    <w:rsid w:val="00B50490"/>
    <w:rsid w:val="00B504AB"/>
    <w:rsid w:val="00B504EF"/>
    <w:rsid w:val="00B504F1"/>
    <w:rsid w:val="00B50518"/>
    <w:rsid w:val="00B50560"/>
    <w:rsid w:val="00B505DF"/>
    <w:rsid w:val="00B5065F"/>
    <w:rsid w:val="00B50697"/>
    <w:rsid w:val="00B5069B"/>
    <w:rsid w:val="00B5069E"/>
    <w:rsid w:val="00B506FF"/>
    <w:rsid w:val="00B5070A"/>
    <w:rsid w:val="00B50759"/>
    <w:rsid w:val="00B50773"/>
    <w:rsid w:val="00B5077A"/>
    <w:rsid w:val="00B5078E"/>
    <w:rsid w:val="00B507E9"/>
    <w:rsid w:val="00B507F0"/>
    <w:rsid w:val="00B50844"/>
    <w:rsid w:val="00B5084A"/>
    <w:rsid w:val="00B5089C"/>
    <w:rsid w:val="00B508BC"/>
    <w:rsid w:val="00B50906"/>
    <w:rsid w:val="00B50950"/>
    <w:rsid w:val="00B50966"/>
    <w:rsid w:val="00B50995"/>
    <w:rsid w:val="00B50A80"/>
    <w:rsid w:val="00B50ABD"/>
    <w:rsid w:val="00B50ACB"/>
    <w:rsid w:val="00B50B67"/>
    <w:rsid w:val="00B50B85"/>
    <w:rsid w:val="00B50C17"/>
    <w:rsid w:val="00B50C92"/>
    <w:rsid w:val="00B50CC6"/>
    <w:rsid w:val="00B50D56"/>
    <w:rsid w:val="00B50DB5"/>
    <w:rsid w:val="00B50E9F"/>
    <w:rsid w:val="00B50EDD"/>
    <w:rsid w:val="00B50EDE"/>
    <w:rsid w:val="00B50EFD"/>
    <w:rsid w:val="00B50F21"/>
    <w:rsid w:val="00B50F3A"/>
    <w:rsid w:val="00B50F5C"/>
    <w:rsid w:val="00B50FB7"/>
    <w:rsid w:val="00B51128"/>
    <w:rsid w:val="00B51153"/>
    <w:rsid w:val="00B5118B"/>
    <w:rsid w:val="00B511DC"/>
    <w:rsid w:val="00B51204"/>
    <w:rsid w:val="00B51222"/>
    <w:rsid w:val="00B5124B"/>
    <w:rsid w:val="00B51287"/>
    <w:rsid w:val="00B512FC"/>
    <w:rsid w:val="00B51315"/>
    <w:rsid w:val="00B51323"/>
    <w:rsid w:val="00B51348"/>
    <w:rsid w:val="00B51369"/>
    <w:rsid w:val="00B5139C"/>
    <w:rsid w:val="00B51423"/>
    <w:rsid w:val="00B51544"/>
    <w:rsid w:val="00B515F9"/>
    <w:rsid w:val="00B51601"/>
    <w:rsid w:val="00B516C5"/>
    <w:rsid w:val="00B51740"/>
    <w:rsid w:val="00B517DD"/>
    <w:rsid w:val="00B517E9"/>
    <w:rsid w:val="00B51802"/>
    <w:rsid w:val="00B5181B"/>
    <w:rsid w:val="00B51897"/>
    <w:rsid w:val="00B518C9"/>
    <w:rsid w:val="00B518CC"/>
    <w:rsid w:val="00B518F3"/>
    <w:rsid w:val="00B51904"/>
    <w:rsid w:val="00B5190B"/>
    <w:rsid w:val="00B5193B"/>
    <w:rsid w:val="00B519AB"/>
    <w:rsid w:val="00B519C9"/>
    <w:rsid w:val="00B519D4"/>
    <w:rsid w:val="00B519D9"/>
    <w:rsid w:val="00B519DA"/>
    <w:rsid w:val="00B519E8"/>
    <w:rsid w:val="00B519ED"/>
    <w:rsid w:val="00B519F3"/>
    <w:rsid w:val="00B51A72"/>
    <w:rsid w:val="00B51AB4"/>
    <w:rsid w:val="00B51B5F"/>
    <w:rsid w:val="00B51BE5"/>
    <w:rsid w:val="00B51BF0"/>
    <w:rsid w:val="00B51C28"/>
    <w:rsid w:val="00B51C98"/>
    <w:rsid w:val="00B51CFF"/>
    <w:rsid w:val="00B51D06"/>
    <w:rsid w:val="00B51D21"/>
    <w:rsid w:val="00B51D72"/>
    <w:rsid w:val="00B51DC6"/>
    <w:rsid w:val="00B51DFB"/>
    <w:rsid w:val="00B51E1E"/>
    <w:rsid w:val="00B51EE3"/>
    <w:rsid w:val="00B51EE7"/>
    <w:rsid w:val="00B51F02"/>
    <w:rsid w:val="00B51F22"/>
    <w:rsid w:val="00B51F3E"/>
    <w:rsid w:val="00B51F8C"/>
    <w:rsid w:val="00B51FBB"/>
    <w:rsid w:val="00B51FDE"/>
    <w:rsid w:val="00B52007"/>
    <w:rsid w:val="00B5207A"/>
    <w:rsid w:val="00B520B7"/>
    <w:rsid w:val="00B520E3"/>
    <w:rsid w:val="00B520F4"/>
    <w:rsid w:val="00B520F5"/>
    <w:rsid w:val="00B52145"/>
    <w:rsid w:val="00B521B8"/>
    <w:rsid w:val="00B521C7"/>
    <w:rsid w:val="00B52259"/>
    <w:rsid w:val="00B522F4"/>
    <w:rsid w:val="00B52305"/>
    <w:rsid w:val="00B52332"/>
    <w:rsid w:val="00B5233A"/>
    <w:rsid w:val="00B52388"/>
    <w:rsid w:val="00B523B1"/>
    <w:rsid w:val="00B523C5"/>
    <w:rsid w:val="00B5246A"/>
    <w:rsid w:val="00B52499"/>
    <w:rsid w:val="00B524A0"/>
    <w:rsid w:val="00B524CE"/>
    <w:rsid w:val="00B524ED"/>
    <w:rsid w:val="00B52545"/>
    <w:rsid w:val="00B52572"/>
    <w:rsid w:val="00B525A3"/>
    <w:rsid w:val="00B525B5"/>
    <w:rsid w:val="00B525BE"/>
    <w:rsid w:val="00B5260A"/>
    <w:rsid w:val="00B5261E"/>
    <w:rsid w:val="00B52667"/>
    <w:rsid w:val="00B526B7"/>
    <w:rsid w:val="00B52759"/>
    <w:rsid w:val="00B52764"/>
    <w:rsid w:val="00B527F4"/>
    <w:rsid w:val="00B52806"/>
    <w:rsid w:val="00B52826"/>
    <w:rsid w:val="00B52847"/>
    <w:rsid w:val="00B52854"/>
    <w:rsid w:val="00B528B5"/>
    <w:rsid w:val="00B528FA"/>
    <w:rsid w:val="00B52950"/>
    <w:rsid w:val="00B52952"/>
    <w:rsid w:val="00B52987"/>
    <w:rsid w:val="00B52995"/>
    <w:rsid w:val="00B529A0"/>
    <w:rsid w:val="00B529EF"/>
    <w:rsid w:val="00B52A57"/>
    <w:rsid w:val="00B52A9C"/>
    <w:rsid w:val="00B52AA1"/>
    <w:rsid w:val="00B52C43"/>
    <w:rsid w:val="00B52C51"/>
    <w:rsid w:val="00B52CA8"/>
    <w:rsid w:val="00B52DE3"/>
    <w:rsid w:val="00B52E1D"/>
    <w:rsid w:val="00B52E21"/>
    <w:rsid w:val="00B52E37"/>
    <w:rsid w:val="00B52E56"/>
    <w:rsid w:val="00B52E6E"/>
    <w:rsid w:val="00B52EB5"/>
    <w:rsid w:val="00B52EC4"/>
    <w:rsid w:val="00B52F2B"/>
    <w:rsid w:val="00B52F64"/>
    <w:rsid w:val="00B52FA9"/>
    <w:rsid w:val="00B52FC9"/>
    <w:rsid w:val="00B52FF5"/>
    <w:rsid w:val="00B52FF9"/>
    <w:rsid w:val="00B5302E"/>
    <w:rsid w:val="00B53084"/>
    <w:rsid w:val="00B530B0"/>
    <w:rsid w:val="00B530FA"/>
    <w:rsid w:val="00B53176"/>
    <w:rsid w:val="00B53181"/>
    <w:rsid w:val="00B53268"/>
    <w:rsid w:val="00B5330F"/>
    <w:rsid w:val="00B533D1"/>
    <w:rsid w:val="00B5341C"/>
    <w:rsid w:val="00B5341F"/>
    <w:rsid w:val="00B5343E"/>
    <w:rsid w:val="00B53471"/>
    <w:rsid w:val="00B5349C"/>
    <w:rsid w:val="00B535AB"/>
    <w:rsid w:val="00B535C9"/>
    <w:rsid w:val="00B535D3"/>
    <w:rsid w:val="00B53639"/>
    <w:rsid w:val="00B536A5"/>
    <w:rsid w:val="00B536C7"/>
    <w:rsid w:val="00B536E4"/>
    <w:rsid w:val="00B536F7"/>
    <w:rsid w:val="00B53719"/>
    <w:rsid w:val="00B5376B"/>
    <w:rsid w:val="00B537AC"/>
    <w:rsid w:val="00B537E1"/>
    <w:rsid w:val="00B53825"/>
    <w:rsid w:val="00B53833"/>
    <w:rsid w:val="00B53867"/>
    <w:rsid w:val="00B538A2"/>
    <w:rsid w:val="00B538AD"/>
    <w:rsid w:val="00B53949"/>
    <w:rsid w:val="00B53955"/>
    <w:rsid w:val="00B539A5"/>
    <w:rsid w:val="00B539F2"/>
    <w:rsid w:val="00B53A29"/>
    <w:rsid w:val="00B53A4E"/>
    <w:rsid w:val="00B53AD9"/>
    <w:rsid w:val="00B53AE9"/>
    <w:rsid w:val="00B53B4C"/>
    <w:rsid w:val="00B53BB4"/>
    <w:rsid w:val="00B53BB5"/>
    <w:rsid w:val="00B53CBF"/>
    <w:rsid w:val="00B53CFB"/>
    <w:rsid w:val="00B53D24"/>
    <w:rsid w:val="00B53D4A"/>
    <w:rsid w:val="00B53D73"/>
    <w:rsid w:val="00B53D85"/>
    <w:rsid w:val="00B53DBD"/>
    <w:rsid w:val="00B53E2F"/>
    <w:rsid w:val="00B53E53"/>
    <w:rsid w:val="00B53E59"/>
    <w:rsid w:val="00B53E5B"/>
    <w:rsid w:val="00B53EAC"/>
    <w:rsid w:val="00B53EE6"/>
    <w:rsid w:val="00B53F40"/>
    <w:rsid w:val="00B53FEC"/>
    <w:rsid w:val="00B54000"/>
    <w:rsid w:val="00B54038"/>
    <w:rsid w:val="00B54042"/>
    <w:rsid w:val="00B54073"/>
    <w:rsid w:val="00B540D1"/>
    <w:rsid w:val="00B540D5"/>
    <w:rsid w:val="00B540D6"/>
    <w:rsid w:val="00B54186"/>
    <w:rsid w:val="00B541ED"/>
    <w:rsid w:val="00B54208"/>
    <w:rsid w:val="00B5422B"/>
    <w:rsid w:val="00B54269"/>
    <w:rsid w:val="00B542FF"/>
    <w:rsid w:val="00B54332"/>
    <w:rsid w:val="00B54398"/>
    <w:rsid w:val="00B543EF"/>
    <w:rsid w:val="00B54442"/>
    <w:rsid w:val="00B54445"/>
    <w:rsid w:val="00B54448"/>
    <w:rsid w:val="00B544B3"/>
    <w:rsid w:val="00B544C1"/>
    <w:rsid w:val="00B544C6"/>
    <w:rsid w:val="00B545B4"/>
    <w:rsid w:val="00B545F1"/>
    <w:rsid w:val="00B546D8"/>
    <w:rsid w:val="00B54821"/>
    <w:rsid w:val="00B5485D"/>
    <w:rsid w:val="00B5490F"/>
    <w:rsid w:val="00B54944"/>
    <w:rsid w:val="00B54988"/>
    <w:rsid w:val="00B549B3"/>
    <w:rsid w:val="00B549D4"/>
    <w:rsid w:val="00B549D7"/>
    <w:rsid w:val="00B54A15"/>
    <w:rsid w:val="00B54A6B"/>
    <w:rsid w:val="00B54A6F"/>
    <w:rsid w:val="00B54AE5"/>
    <w:rsid w:val="00B54B44"/>
    <w:rsid w:val="00B54B45"/>
    <w:rsid w:val="00B54B80"/>
    <w:rsid w:val="00B54B99"/>
    <w:rsid w:val="00B54BE4"/>
    <w:rsid w:val="00B54CE7"/>
    <w:rsid w:val="00B54CEC"/>
    <w:rsid w:val="00B54E70"/>
    <w:rsid w:val="00B54EBF"/>
    <w:rsid w:val="00B54ED6"/>
    <w:rsid w:val="00B54EEA"/>
    <w:rsid w:val="00B54F29"/>
    <w:rsid w:val="00B54F44"/>
    <w:rsid w:val="00B54F71"/>
    <w:rsid w:val="00B54F87"/>
    <w:rsid w:val="00B54F96"/>
    <w:rsid w:val="00B54F9B"/>
    <w:rsid w:val="00B54FBF"/>
    <w:rsid w:val="00B54FCD"/>
    <w:rsid w:val="00B5502D"/>
    <w:rsid w:val="00B55067"/>
    <w:rsid w:val="00B550DD"/>
    <w:rsid w:val="00B550E3"/>
    <w:rsid w:val="00B55179"/>
    <w:rsid w:val="00B5517C"/>
    <w:rsid w:val="00B5519B"/>
    <w:rsid w:val="00B551C7"/>
    <w:rsid w:val="00B551DD"/>
    <w:rsid w:val="00B551E4"/>
    <w:rsid w:val="00B5530C"/>
    <w:rsid w:val="00B55322"/>
    <w:rsid w:val="00B5533C"/>
    <w:rsid w:val="00B55386"/>
    <w:rsid w:val="00B55390"/>
    <w:rsid w:val="00B5539E"/>
    <w:rsid w:val="00B553AC"/>
    <w:rsid w:val="00B553AF"/>
    <w:rsid w:val="00B55404"/>
    <w:rsid w:val="00B55479"/>
    <w:rsid w:val="00B5549C"/>
    <w:rsid w:val="00B554A3"/>
    <w:rsid w:val="00B554B2"/>
    <w:rsid w:val="00B554C3"/>
    <w:rsid w:val="00B554E7"/>
    <w:rsid w:val="00B554ED"/>
    <w:rsid w:val="00B55511"/>
    <w:rsid w:val="00B5552A"/>
    <w:rsid w:val="00B5557E"/>
    <w:rsid w:val="00B55603"/>
    <w:rsid w:val="00B55653"/>
    <w:rsid w:val="00B556A1"/>
    <w:rsid w:val="00B55744"/>
    <w:rsid w:val="00B55745"/>
    <w:rsid w:val="00B557B1"/>
    <w:rsid w:val="00B557E7"/>
    <w:rsid w:val="00B558A5"/>
    <w:rsid w:val="00B5599F"/>
    <w:rsid w:val="00B559A4"/>
    <w:rsid w:val="00B559E0"/>
    <w:rsid w:val="00B55A09"/>
    <w:rsid w:val="00B55A32"/>
    <w:rsid w:val="00B55A80"/>
    <w:rsid w:val="00B55A97"/>
    <w:rsid w:val="00B55AAF"/>
    <w:rsid w:val="00B55ADE"/>
    <w:rsid w:val="00B55B83"/>
    <w:rsid w:val="00B55BDE"/>
    <w:rsid w:val="00B55C80"/>
    <w:rsid w:val="00B55C8B"/>
    <w:rsid w:val="00B55CA0"/>
    <w:rsid w:val="00B55CBD"/>
    <w:rsid w:val="00B55CC3"/>
    <w:rsid w:val="00B55D19"/>
    <w:rsid w:val="00B55D1F"/>
    <w:rsid w:val="00B55DA6"/>
    <w:rsid w:val="00B55DC3"/>
    <w:rsid w:val="00B55DD5"/>
    <w:rsid w:val="00B55DD6"/>
    <w:rsid w:val="00B55E3C"/>
    <w:rsid w:val="00B55E7B"/>
    <w:rsid w:val="00B55E9D"/>
    <w:rsid w:val="00B55EAE"/>
    <w:rsid w:val="00B55F4E"/>
    <w:rsid w:val="00B55F53"/>
    <w:rsid w:val="00B55F89"/>
    <w:rsid w:val="00B55FC3"/>
    <w:rsid w:val="00B55FE4"/>
    <w:rsid w:val="00B55FEF"/>
    <w:rsid w:val="00B560A9"/>
    <w:rsid w:val="00B5612A"/>
    <w:rsid w:val="00B56183"/>
    <w:rsid w:val="00B561A5"/>
    <w:rsid w:val="00B561B0"/>
    <w:rsid w:val="00B56223"/>
    <w:rsid w:val="00B5624B"/>
    <w:rsid w:val="00B5624D"/>
    <w:rsid w:val="00B562A7"/>
    <w:rsid w:val="00B562CC"/>
    <w:rsid w:val="00B5634B"/>
    <w:rsid w:val="00B56370"/>
    <w:rsid w:val="00B563FB"/>
    <w:rsid w:val="00B5641D"/>
    <w:rsid w:val="00B5645E"/>
    <w:rsid w:val="00B564B6"/>
    <w:rsid w:val="00B564CF"/>
    <w:rsid w:val="00B5652E"/>
    <w:rsid w:val="00B565EA"/>
    <w:rsid w:val="00B5669A"/>
    <w:rsid w:val="00B566BE"/>
    <w:rsid w:val="00B56705"/>
    <w:rsid w:val="00B56708"/>
    <w:rsid w:val="00B56739"/>
    <w:rsid w:val="00B56772"/>
    <w:rsid w:val="00B5677F"/>
    <w:rsid w:val="00B5679A"/>
    <w:rsid w:val="00B5679E"/>
    <w:rsid w:val="00B5683A"/>
    <w:rsid w:val="00B5686B"/>
    <w:rsid w:val="00B5689A"/>
    <w:rsid w:val="00B568D3"/>
    <w:rsid w:val="00B56947"/>
    <w:rsid w:val="00B569C8"/>
    <w:rsid w:val="00B569E9"/>
    <w:rsid w:val="00B569FE"/>
    <w:rsid w:val="00B56A2A"/>
    <w:rsid w:val="00B56A37"/>
    <w:rsid w:val="00B56A91"/>
    <w:rsid w:val="00B56A9F"/>
    <w:rsid w:val="00B56B31"/>
    <w:rsid w:val="00B56B38"/>
    <w:rsid w:val="00B56B79"/>
    <w:rsid w:val="00B56C05"/>
    <w:rsid w:val="00B56C7A"/>
    <w:rsid w:val="00B56D07"/>
    <w:rsid w:val="00B56E2D"/>
    <w:rsid w:val="00B56E3E"/>
    <w:rsid w:val="00B56E59"/>
    <w:rsid w:val="00B56E75"/>
    <w:rsid w:val="00B56E8C"/>
    <w:rsid w:val="00B56EBC"/>
    <w:rsid w:val="00B56F67"/>
    <w:rsid w:val="00B56F74"/>
    <w:rsid w:val="00B56F79"/>
    <w:rsid w:val="00B56FD8"/>
    <w:rsid w:val="00B56FED"/>
    <w:rsid w:val="00B57004"/>
    <w:rsid w:val="00B5700A"/>
    <w:rsid w:val="00B57033"/>
    <w:rsid w:val="00B57040"/>
    <w:rsid w:val="00B57046"/>
    <w:rsid w:val="00B57072"/>
    <w:rsid w:val="00B5709B"/>
    <w:rsid w:val="00B570A1"/>
    <w:rsid w:val="00B570AA"/>
    <w:rsid w:val="00B5722B"/>
    <w:rsid w:val="00B5723A"/>
    <w:rsid w:val="00B5726D"/>
    <w:rsid w:val="00B5727B"/>
    <w:rsid w:val="00B57301"/>
    <w:rsid w:val="00B57325"/>
    <w:rsid w:val="00B57328"/>
    <w:rsid w:val="00B573BE"/>
    <w:rsid w:val="00B57403"/>
    <w:rsid w:val="00B57468"/>
    <w:rsid w:val="00B574BF"/>
    <w:rsid w:val="00B574C7"/>
    <w:rsid w:val="00B574FD"/>
    <w:rsid w:val="00B5754E"/>
    <w:rsid w:val="00B575FF"/>
    <w:rsid w:val="00B57614"/>
    <w:rsid w:val="00B57637"/>
    <w:rsid w:val="00B57643"/>
    <w:rsid w:val="00B5764F"/>
    <w:rsid w:val="00B576E9"/>
    <w:rsid w:val="00B576FB"/>
    <w:rsid w:val="00B57756"/>
    <w:rsid w:val="00B5779F"/>
    <w:rsid w:val="00B577DB"/>
    <w:rsid w:val="00B5785C"/>
    <w:rsid w:val="00B578C2"/>
    <w:rsid w:val="00B578CC"/>
    <w:rsid w:val="00B578FB"/>
    <w:rsid w:val="00B5793A"/>
    <w:rsid w:val="00B57976"/>
    <w:rsid w:val="00B5798A"/>
    <w:rsid w:val="00B5799D"/>
    <w:rsid w:val="00B579C8"/>
    <w:rsid w:val="00B579D9"/>
    <w:rsid w:val="00B57AA7"/>
    <w:rsid w:val="00B57AA9"/>
    <w:rsid w:val="00B57ACE"/>
    <w:rsid w:val="00B57B1F"/>
    <w:rsid w:val="00B57B55"/>
    <w:rsid w:val="00B57C0D"/>
    <w:rsid w:val="00B57C63"/>
    <w:rsid w:val="00B57C71"/>
    <w:rsid w:val="00B57C74"/>
    <w:rsid w:val="00B57CA3"/>
    <w:rsid w:val="00B57CA4"/>
    <w:rsid w:val="00B57D67"/>
    <w:rsid w:val="00B57E98"/>
    <w:rsid w:val="00B57EB3"/>
    <w:rsid w:val="00B57EBA"/>
    <w:rsid w:val="00B60043"/>
    <w:rsid w:val="00B60162"/>
    <w:rsid w:val="00B6017D"/>
    <w:rsid w:val="00B60185"/>
    <w:rsid w:val="00B601AC"/>
    <w:rsid w:val="00B601CD"/>
    <w:rsid w:val="00B601F9"/>
    <w:rsid w:val="00B6028D"/>
    <w:rsid w:val="00B60344"/>
    <w:rsid w:val="00B60349"/>
    <w:rsid w:val="00B603A3"/>
    <w:rsid w:val="00B603C7"/>
    <w:rsid w:val="00B603CF"/>
    <w:rsid w:val="00B603E7"/>
    <w:rsid w:val="00B603F6"/>
    <w:rsid w:val="00B60419"/>
    <w:rsid w:val="00B60464"/>
    <w:rsid w:val="00B6047A"/>
    <w:rsid w:val="00B604BE"/>
    <w:rsid w:val="00B6051C"/>
    <w:rsid w:val="00B60522"/>
    <w:rsid w:val="00B60603"/>
    <w:rsid w:val="00B60630"/>
    <w:rsid w:val="00B60658"/>
    <w:rsid w:val="00B6065B"/>
    <w:rsid w:val="00B606F7"/>
    <w:rsid w:val="00B60761"/>
    <w:rsid w:val="00B60765"/>
    <w:rsid w:val="00B60799"/>
    <w:rsid w:val="00B6079E"/>
    <w:rsid w:val="00B607BC"/>
    <w:rsid w:val="00B607C2"/>
    <w:rsid w:val="00B607E6"/>
    <w:rsid w:val="00B60832"/>
    <w:rsid w:val="00B60858"/>
    <w:rsid w:val="00B60868"/>
    <w:rsid w:val="00B60899"/>
    <w:rsid w:val="00B608A9"/>
    <w:rsid w:val="00B608B8"/>
    <w:rsid w:val="00B608C8"/>
    <w:rsid w:val="00B60958"/>
    <w:rsid w:val="00B609A9"/>
    <w:rsid w:val="00B609EF"/>
    <w:rsid w:val="00B60AD7"/>
    <w:rsid w:val="00B60B7E"/>
    <w:rsid w:val="00B60BCD"/>
    <w:rsid w:val="00B60BD5"/>
    <w:rsid w:val="00B60C23"/>
    <w:rsid w:val="00B60C27"/>
    <w:rsid w:val="00B60C46"/>
    <w:rsid w:val="00B60CB1"/>
    <w:rsid w:val="00B60D0A"/>
    <w:rsid w:val="00B60D55"/>
    <w:rsid w:val="00B60D71"/>
    <w:rsid w:val="00B60D93"/>
    <w:rsid w:val="00B60DB2"/>
    <w:rsid w:val="00B60DC5"/>
    <w:rsid w:val="00B60DCE"/>
    <w:rsid w:val="00B60E4D"/>
    <w:rsid w:val="00B60E51"/>
    <w:rsid w:val="00B60E99"/>
    <w:rsid w:val="00B60EA6"/>
    <w:rsid w:val="00B60EC6"/>
    <w:rsid w:val="00B60F1A"/>
    <w:rsid w:val="00B60F6A"/>
    <w:rsid w:val="00B60FE9"/>
    <w:rsid w:val="00B61036"/>
    <w:rsid w:val="00B6109B"/>
    <w:rsid w:val="00B610AB"/>
    <w:rsid w:val="00B610F3"/>
    <w:rsid w:val="00B61171"/>
    <w:rsid w:val="00B61175"/>
    <w:rsid w:val="00B61179"/>
    <w:rsid w:val="00B61186"/>
    <w:rsid w:val="00B611B7"/>
    <w:rsid w:val="00B611B9"/>
    <w:rsid w:val="00B61245"/>
    <w:rsid w:val="00B6125F"/>
    <w:rsid w:val="00B61264"/>
    <w:rsid w:val="00B61270"/>
    <w:rsid w:val="00B61337"/>
    <w:rsid w:val="00B613E4"/>
    <w:rsid w:val="00B613EE"/>
    <w:rsid w:val="00B61411"/>
    <w:rsid w:val="00B61483"/>
    <w:rsid w:val="00B614C5"/>
    <w:rsid w:val="00B61518"/>
    <w:rsid w:val="00B6152F"/>
    <w:rsid w:val="00B6157A"/>
    <w:rsid w:val="00B6159A"/>
    <w:rsid w:val="00B615A3"/>
    <w:rsid w:val="00B615EF"/>
    <w:rsid w:val="00B615FD"/>
    <w:rsid w:val="00B61624"/>
    <w:rsid w:val="00B61666"/>
    <w:rsid w:val="00B6168A"/>
    <w:rsid w:val="00B61733"/>
    <w:rsid w:val="00B61739"/>
    <w:rsid w:val="00B6174E"/>
    <w:rsid w:val="00B61812"/>
    <w:rsid w:val="00B61816"/>
    <w:rsid w:val="00B61830"/>
    <w:rsid w:val="00B6183D"/>
    <w:rsid w:val="00B618C3"/>
    <w:rsid w:val="00B618FD"/>
    <w:rsid w:val="00B61987"/>
    <w:rsid w:val="00B619F9"/>
    <w:rsid w:val="00B61A09"/>
    <w:rsid w:val="00B61A36"/>
    <w:rsid w:val="00B61A8F"/>
    <w:rsid w:val="00B61AD1"/>
    <w:rsid w:val="00B61BAE"/>
    <w:rsid w:val="00B61BD5"/>
    <w:rsid w:val="00B61BE5"/>
    <w:rsid w:val="00B61C14"/>
    <w:rsid w:val="00B61C79"/>
    <w:rsid w:val="00B61C94"/>
    <w:rsid w:val="00B61CE7"/>
    <w:rsid w:val="00B61D1E"/>
    <w:rsid w:val="00B61D42"/>
    <w:rsid w:val="00B61D51"/>
    <w:rsid w:val="00B61DC0"/>
    <w:rsid w:val="00B61E41"/>
    <w:rsid w:val="00B61E44"/>
    <w:rsid w:val="00B61E47"/>
    <w:rsid w:val="00B61F2C"/>
    <w:rsid w:val="00B61F46"/>
    <w:rsid w:val="00B61F8E"/>
    <w:rsid w:val="00B61FB6"/>
    <w:rsid w:val="00B62064"/>
    <w:rsid w:val="00B62073"/>
    <w:rsid w:val="00B62081"/>
    <w:rsid w:val="00B6208B"/>
    <w:rsid w:val="00B620DA"/>
    <w:rsid w:val="00B620F7"/>
    <w:rsid w:val="00B6216F"/>
    <w:rsid w:val="00B6218F"/>
    <w:rsid w:val="00B621E3"/>
    <w:rsid w:val="00B62206"/>
    <w:rsid w:val="00B6222F"/>
    <w:rsid w:val="00B62257"/>
    <w:rsid w:val="00B622A9"/>
    <w:rsid w:val="00B622FC"/>
    <w:rsid w:val="00B62385"/>
    <w:rsid w:val="00B62393"/>
    <w:rsid w:val="00B62398"/>
    <w:rsid w:val="00B623F5"/>
    <w:rsid w:val="00B6240A"/>
    <w:rsid w:val="00B62475"/>
    <w:rsid w:val="00B6247B"/>
    <w:rsid w:val="00B624A2"/>
    <w:rsid w:val="00B62560"/>
    <w:rsid w:val="00B6256A"/>
    <w:rsid w:val="00B62610"/>
    <w:rsid w:val="00B6262F"/>
    <w:rsid w:val="00B62778"/>
    <w:rsid w:val="00B6278F"/>
    <w:rsid w:val="00B627CA"/>
    <w:rsid w:val="00B6284E"/>
    <w:rsid w:val="00B6285B"/>
    <w:rsid w:val="00B628DC"/>
    <w:rsid w:val="00B62951"/>
    <w:rsid w:val="00B62994"/>
    <w:rsid w:val="00B629D4"/>
    <w:rsid w:val="00B629D5"/>
    <w:rsid w:val="00B629F1"/>
    <w:rsid w:val="00B62A1E"/>
    <w:rsid w:val="00B62ABF"/>
    <w:rsid w:val="00B62AD6"/>
    <w:rsid w:val="00B62B1E"/>
    <w:rsid w:val="00B62BF2"/>
    <w:rsid w:val="00B62C46"/>
    <w:rsid w:val="00B62C61"/>
    <w:rsid w:val="00B62C74"/>
    <w:rsid w:val="00B62D87"/>
    <w:rsid w:val="00B62DDD"/>
    <w:rsid w:val="00B62E2A"/>
    <w:rsid w:val="00B62E60"/>
    <w:rsid w:val="00B62EDB"/>
    <w:rsid w:val="00B62F13"/>
    <w:rsid w:val="00B62F2F"/>
    <w:rsid w:val="00B62FF8"/>
    <w:rsid w:val="00B63012"/>
    <w:rsid w:val="00B63030"/>
    <w:rsid w:val="00B63053"/>
    <w:rsid w:val="00B63070"/>
    <w:rsid w:val="00B630C5"/>
    <w:rsid w:val="00B6310C"/>
    <w:rsid w:val="00B6312E"/>
    <w:rsid w:val="00B63142"/>
    <w:rsid w:val="00B63147"/>
    <w:rsid w:val="00B6316B"/>
    <w:rsid w:val="00B63210"/>
    <w:rsid w:val="00B63288"/>
    <w:rsid w:val="00B632A1"/>
    <w:rsid w:val="00B632B7"/>
    <w:rsid w:val="00B6334F"/>
    <w:rsid w:val="00B63373"/>
    <w:rsid w:val="00B63374"/>
    <w:rsid w:val="00B63382"/>
    <w:rsid w:val="00B6338A"/>
    <w:rsid w:val="00B6338D"/>
    <w:rsid w:val="00B633A8"/>
    <w:rsid w:val="00B633E8"/>
    <w:rsid w:val="00B63434"/>
    <w:rsid w:val="00B6348B"/>
    <w:rsid w:val="00B6348D"/>
    <w:rsid w:val="00B634D9"/>
    <w:rsid w:val="00B6352C"/>
    <w:rsid w:val="00B63582"/>
    <w:rsid w:val="00B63596"/>
    <w:rsid w:val="00B635B3"/>
    <w:rsid w:val="00B635D2"/>
    <w:rsid w:val="00B635D7"/>
    <w:rsid w:val="00B63634"/>
    <w:rsid w:val="00B6369A"/>
    <w:rsid w:val="00B636A1"/>
    <w:rsid w:val="00B636AF"/>
    <w:rsid w:val="00B636E9"/>
    <w:rsid w:val="00B636F3"/>
    <w:rsid w:val="00B63724"/>
    <w:rsid w:val="00B63727"/>
    <w:rsid w:val="00B63737"/>
    <w:rsid w:val="00B63751"/>
    <w:rsid w:val="00B637D0"/>
    <w:rsid w:val="00B637E5"/>
    <w:rsid w:val="00B638BA"/>
    <w:rsid w:val="00B6390C"/>
    <w:rsid w:val="00B63A1C"/>
    <w:rsid w:val="00B63B3A"/>
    <w:rsid w:val="00B63B64"/>
    <w:rsid w:val="00B63BF9"/>
    <w:rsid w:val="00B63C27"/>
    <w:rsid w:val="00B63C60"/>
    <w:rsid w:val="00B63CA2"/>
    <w:rsid w:val="00B63CAD"/>
    <w:rsid w:val="00B63D12"/>
    <w:rsid w:val="00B63D45"/>
    <w:rsid w:val="00B63D9C"/>
    <w:rsid w:val="00B63DDC"/>
    <w:rsid w:val="00B63DE5"/>
    <w:rsid w:val="00B63E3B"/>
    <w:rsid w:val="00B63E5B"/>
    <w:rsid w:val="00B63E83"/>
    <w:rsid w:val="00B63EA7"/>
    <w:rsid w:val="00B63EB2"/>
    <w:rsid w:val="00B63EC2"/>
    <w:rsid w:val="00B63ED6"/>
    <w:rsid w:val="00B63F0D"/>
    <w:rsid w:val="00B63FCD"/>
    <w:rsid w:val="00B6402E"/>
    <w:rsid w:val="00B6406A"/>
    <w:rsid w:val="00B64070"/>
    <w:rsid w:val="00B6408E"/>
    <w:rsid w:val="00B640A0"/>
    <w:rsid w:val="00B6411E"/>
    <w:rsid w:val="00B6418E"/>
    <w:rsid w:val="00B641C2"/>
    <w:rsid w:val="00B6422D"/>
    <w:rsid w:val="00B6423D"/>
    <w:rsid w:val="00B6423E"/>
    <w:rsid w:val="00B6426B"/>
    <w:rsid w:val="00B64281"/>
    <w:rsid w:val="00B642BD"/>
    <w:rsid w:val="00B6431B"/>
    <w:rsid w:val="00B64379"/>
    <w:rsid w:val="00B643A8"/>
    <w:rsid w:val="00B6447C"/>
    <w:rsid w:val="00B644DD"/>
    <w:rsid w:val="00B644E2"/>
    <w:rsid w:val="00B6450F"/>
    <w:rsid w:val="00B64541"/>
    <w:rsid w:val="00B64556"/>
    <w:rsid w:val="00B64640"/>
    <w:rsid w:val="00B64664"/>
    <w:rsid w:val="00B64671"/>
    <w:rsid w:val="00B64698"/>
    <w:rsid w:val="00B646DC"/>
    <w:rsid w:val="00B646F7"/>
    <w:rsid w:val="00B64749"/>
    <w:rsid w:val="00B64757"/>
    <w:rsid w:val="00B6482F"/>
    <w:rsid w:val="00B6484C"/>
    <w:rsid w:val="00B64862"/>
    <w:rsid w:val="00B648DA"/>
    <w:rsid w:val="00B648E0"/>
    <w:rsid w:val="00B648FB"/>
    <w:rsid w:val="00B64952"/>
    <w:rsid w:val="00B64991"/>
    <w:rsid w:val="00B649A7"/>
    <w:rsid w:val="00B649DC"/>
    <w:rsid w:val="00B64A10"/>
    <w:rsid w:val="00B64A15"/>
    <w:rsid w:val="00B64A6C"/>
    <w:rsid w:val="00B64B64"/>
    <w:rsid w:val="00B64B74"/>
    <w:rsid w:val="00B64B9A"/>
    <w:rsid w:val="00B64C38"/>
    <w:rsid w:val="00B64C5A"/>
    <w:rsid w:val="00B64CE6"/>
    <w:rsid w:val="00B64D26"/>
    <w:rsid w:val="00B64D68"/>
    <w:rsid w:val="00B64D7F"/>
    <w:rsid w:val="00B64D86"/>
    <w:rsid w:val="00B64DB2"/>
    <w:rsid w:val="00B64DD8"/>
    <w:rsid w:val="00B64DF9"/>
    <w:rsid w:val="00B64E30"/>
    <w:rsid w:val="00B64E34"/>
    <w:rsid w:val="00B64FC1"/>
    <w:rsid w:val="00B64FE5"/>
    <w:rsid w:val="00B6503F"/>
    <w:rsid w:val="00B65067"/>
    <w:rsid w:val="00B65074"/>
    <w:rsid w:val="00B6507F"/>
    <w:rsid w:val="00B650A0"/>
    <w:rsid w:val="00B650AA"/>
    <w:rsid w:val="00B650D4"/>
    <w:rsid w:val="00B650EA"/>
    <w:rsid w:val="00B652DF"/>
    <w:rsid w:val="00B65329"/>
    <w:rsid w:val="00B65335"/>
    <w:rsid w:val="00B6536B"/>
    <w:rsid w:val="00B653A4"/>
    <w:rsid w:val="00B653D9"/>
    <w:rsid w:val="00B65413"/>
    <w:rsid w:val="00B65426"/>
    <w:rsid w:val="00B6542E"/>
    <w:rsid w:val="00B6545E"/>
    <w:rsid w:val="00B65493"/>
    <w:rsid w:val="00B654BA"/>
    <w:rsid w:val="00B654DA"/>
    <w:rsid w:val="00B654EA"/>
    <w:rsid w:val="00B65522"/>
    <w:rsid w:val="00B65556"/>
    <w:rsid w:val="00B65559"/>
    <w:rsid w:val="00B6555A"/>
    <w:rsid w:val="00B65562"/>
    <w:rsid w:val="00B65579"/>
    <w:rsid w:val="00B655A2"/>
    <w:rsid w:val="00B655BC"/>
    <w:rsid w:val="00B655EE"/>
    <w:rsid w:val="00B655F9"/>
    <w:rsid w:val="00B6569C"/>
    <w:rsid w:val="00B656A4"/>
    <w:rsid w:val="00B656A5"/>
    <w:rsid w:val="00B656A8"/>
    <w:rsid w:val="00B656C3"/>
    <w:rsid w:val="00B65705"/>
    <w:rsid w:val="00B65730"/>
    <w:rsid w:val="00B65736"/>
    <w:rsid w:val="00B65740"/>
    <w:rsid w:val="00B65767"/>
    <w:rsid w:val="00B6578E"/>
    <w:rsid w:val="00B657D1"/>
    <w:rsid w:val="00B657E0"/>
    <w:rsid w:val="00B657E8"/>
    <w:rsid w:val="00B6580F"/>
    <w:rsid w:val="00B65820"/>
    <w:rsid w:val="00B6584F"/>
    <w:rsid w:val="00B658F2"/>
    <w:rsid w:val="00B6592D"/>
    <w:rsid w:val="00B65934"/>
    <w:rsid w:val="00B65956"/>
    <w:rsid w:val="00B65958"/>
    <w:rsid w:val="00B6598F"/>
    <w:rsid w:val="00B659B7"/>
    <w:rsid w:val="00B65A3F"/>
    <w:rsid w:val="00B65ADA"/>
    <w:rsid w:val="00B65AF1"/>
    <w:rsid w:val="00B65B07"/>
    <w:rsid w:val="00B65B51"/>
    <w:rsid w:val="00B65B60"/>
    <w:rsid w:val="00B65B76"/>
    <w:rsid w:val="00B65B9D"/>
    <w:rsid w:val="00B65BA0"/>
    <w:rsid w:val="00B65BB2"/>
    <w:rsid w:val="00B65C19"/>
    <w:rsid w:val="00B65C2A"/>
    <w:rsid w:val="00B65C46"/>
    <w:rsid w:val="00B65C93"/>
    <w:rsid w:val="00B65D44"/>
    <w:rsid w:val="00B65DBA"/>
    <w:rsid w:val="00B65DE1"/>
    <w:rsid w:val="00B65E06"/>
    <w:rsid w:val="00B65E99"/>
    <w:rsid w:val="00B65ECC"/>
    <w:rsid w:val="00B65EE2"/>
    <w:rsid w:val="00B65F35"/>
    <w:rsid w:val="00B65FAE"/>
    <w:rsid w:val="00B65FEE"/>
    <w:rsid w:val="00B65FF9"/>
    <w:rsid w:val="00B66001"/>
    <w:rsid w:val="00B6600E"/>
    <w:rsid w:val="00B6603B"/>
    <w:rsid w:val="00B6604F"/>
    <w:rsid w:val="00B660C5"/>
    <w:rsid w:val="00B660D3"/>
    <w:rsid w:val="00B66103"/>
    <w:rsid w:val="00B66119"/>
    <w:rsid w:val="00B6615B"/>
    <w:rsid w:val="00B66160"/>
    <w:rsid w:val="00B661A2"/>
    <w:rsid w:val="00B661A3"/>
    <w:rsid w:val="00B6622D"/>
    <w:rsid w:val="00B66278"/>
    <w:rsid w:val="00B662E2"/>
    <w:rsid w:val="00B6630C"/>
    <w:rsid w:val="00B66326"/>
    <w:rsid w:val="00B66351"/>
    <w:rsid w:val="00B66380"/>
    <w:rsid w:val="00B663BD"/>
    <w:rsid w:val="00B663CE"/>
    <w:rsid w:val="00B663E4"/>
    <w:rsid w:val="00B66469"/>
    <w:rsid w:val="00B66496"/>
    <w:rsid w:val="00B664F9"/>
    <w:rsid w:val="00B66512"/>
    <w:rsid w:val="00B6659F"/>
    <w:rsid w:val="00B665A1"/>
    <w:rsid w:val="00B665F9"/>
    <w:rsid w:val="00B6663F"/>
    <w:rsid w:val="00B66735"/>
    <w:rsid w:val="00B6675C"/>
    <w:rsid w:val="00B66771"/>
    <w:rsid w:val="00B66774"/>
    <w:rsid w:val="00B66805"/>
    <w:rsid w:val="00B6684C"/>
    <w:rsid w:val="00B66855"/>
    <w:rsid w:val="00B6691C"/>
    <w:rsid w:val="00B6692C"/>
    <w:rsid w:val="00B6699F"/>
    <w:rsid w:val="00B66A19"/>
    <w:rsid w:val="00B66A2C"/>
    <w:rsid w:val="00B66A3D"/>
    <w:rsid w:val="00B66A3E"/>
    <w:rsid w:val="00B66ADC"/>
    <w:rsid w:val="00B66B41"/>
    <w:rsid w:val="00B66B5F"/>
    <w:rsid w:val="00B66B92"/>
    <w:rsid w:val="00B66B99"/>
    <w:rsid w:val="00B66B9C"/>
    <w:rsid w:val="00B66C24"/>
    <w:rsid w:val="00B66D74"/>
    <w:rsid w:val="00B66D96"/>
    <w:rsid w:val="00B66DC9"/>
    <w:rsid w:val="00B66DD5"/>
    <w:rsid w:val="00B66DDF"/>
    <w:rsid w:val="00B66DEF"/>
    <w:rsid w:val="00B66E1A"/>
    <w:rsid w:val="00B66E37"/>
    <w:rsid w:val="00B66E63"/>
    <w:rsid w:val="00B66E73"/>
    <w:rsid w:val="00B66EA7"/>
    <w:rsid w:val="00B66F87"/>
    <w:rsid w:val="00B66FAC"/>
    <w:rsid w:val="00B67031"/>
    <w:rsid w:val="00B6717D"/>
    <w:rsid w:val="00B6719B"/>
    <w:rsid w:val="00B6719F"/>
    <w:rsid w:val="00B671A4"/>
    <w:rsid w:val="00B671BC"/>
    <w:rsid w:val="00B671E7"/>
    <w:rsid w:val="00B671E9"/>
    <w:rsid w:val="00B67210"/>
    <w:rsid w:val="00B67288"/>
    <w:rsid w:val="00B67289"/>
    <w:rsid w:val="00B672B5"/>
    <w:rsid w:val="00B672B6"/>
    <w:rsid w:val="00B67337"/>
    <w:rsid w:val="00B6737E"/>
    <w:rsid w:val="00B673F8"/>
    <w:rsid w:val="00B6749A"/>
    <w:rsid w:val="00B6750B"/>
    <w:rsid w:val="00B67569"/>
    <w:rsid w:val="00B67577"/>
    <w:rsid w:val="00B675B3"/>
    <w:rsid w:val="00B675BE"/>
    <w:rsid w:val="00B675D2"/>
    <w:rsid w:val="00B675FB"/>
    <w:rsid w:val="00B67600"/>
    <w:rsid w:val="00B6768E"/>
    <w:rsid w:val="00B676CE"/>
    <w:rsid w:val="00B676E1"/>
    <w:rsid w:val="00B67710"/>
    <w:rsid w:val="00B677C7"/>
    <w:rsid w:val="00B677D6"/>
    <w:rsid w:val="00B677DA"/>
    <w:rsid w:val="00B677DC"/>
    <w:rsid w:val="00B677FF"/>
    <w:rsid w:val="00B67804"/>
    <w:rsid w:val="00B67805"/>
    <w:rsid w:val="00B6780A"/>
    <w:rsid w:val="00B67829"/>
    <w:rsid w:val="00B67860"/>
    <w:rsid w:val="00B678BE"/>
    <w:rsid w:val="00B678D1"/>
    <w:rsid w:val="00B6796E"/>
    <w:rsid w:val="00B67983"/>
    <w:rsid w:val="00B679FA"/>
    <w:rsid w:val="00B67A16"/>
    <w:rsid w:val="00B67AAC"/>
    <w:rsid w:val="00B67ACD"/>
    <w:rsid w:val="00B67B38"/>
    <w:rsid w:val="00B67B6D"/>
    <w:rsid w:val="00B67BE6"/>
    <w:rsid w:val="00B67C93"/>
    <w:rsid w:val="00B67C9B"/>
    <w:rsid w:val="00B67D67"/>
    <w:rsid w:val="00B67D90"/>
    <w:rsid w:val="00B67DC2"/>
    <w:rsid w:val="00B67DEC"/>
    <w:rsid w:val="00B67DF5"/>
    <w:rsid w:val="00B67E06"/>
    <w:rsid w:val="00B67E1D"/>
    <w:rsid w:val="00B67E30"/>
    <w:rsid w:val="00B67E32"/>
    <w:rsid w:val="00B67E76"/>
    <w:rsid w:val="00B67E84"/>
    <w:rsid w:val="00B67EB8"/>
    <w:rsid w:val="00B67EC6"/>
    <w:rsid w:val="00B67EF2"/>
    <w:rsid w:val="00B67EFD"/>
    <w:rsid w:val="00B67F02"/>
    <w:rsid w:val="00B67FAA"/>
    <w:rsid w:val="00B67FBE"/>
    <w:rsid w:val="00B67FDF"/>
    <w:rsid w:val="00B700F6"/>
    <w:rsid w:val="00B70184"/>
    <w:rsid w:val="00B70189"/>
    <w:rsid w:val="00B701B3"/>
    <w:rsid w:val="00B701F7"/>
    <w:rsid w:val="00B7024D"/>
    <w:rsid w:val="00B70286"/>
    <w:rsid w:val="00B702BF"/>
    <w:rsid w:val="00B7032B"/>
    <w:rsid w:val="00B70415"/>
    <w:rsid w:val="00B7041C"/>
    <w:rsid w:val="00B70429"/>
    <w:rsid w:val="00B7042A"/>
    <w:rsid w:val="00B704FB"/>
    <w:rsid w:val="00B70573"/>
    <w:rsid w:val="00B70588"/>
    <w:rsid w:val="00B705B1"/>
    <w:rsid w:val="00B705BB"/>
    <w:rsid w:val="00B705C4"/>
    <w:rsid w:val="00B705D4"/>
    <w:rsid w:val="00B7063B"/>
    <w:rsid w:val="00B7066C"/>
    <w:rsid w:val="00B706C4"/>
    <w:rsid w:val="00B7070A"/>
    <w:rsid w:val="00B70728"/>
    <w:rsid w:val="00B70737"/>
    <w:rsid w:val="00B7075E"/>
    <w:rsid w:val="00B7077F"/>
    <w:rsid w:val="00B7084F"/>
    <w:rsid w:val="00B70874"/>
    <w:rsid w:val="00B708EC"/>
    <w:rsid w:val="00B708F4"/>
    <w:rsid w:val="00B7092D"/>
    <w:rsid w:val="00B7094A"/>
    <w:rsid w:val="00B709C4"/>
    <w:rsid w:val="00B70A27"/>
    <w:rsid w:val="00B70A29"/>
    <w:rsid w:val="00B70A33"/>
    <w:rsid w:val="00B70A42"/>
    <w:rsid w:val="00B70A53"/>
    <w:rsid w:val="00B70A59"/>
    <w:rsid w:val="00B70A87"/>
    <w:rsid w:val="00B70A8A"/>
    <w:rsid w:val="00B70A98"/>
    <w:rsid w:val="00B70AB3"/>
    <w:rsid w:val="00B70B90"/>
    <w:rsid w:val="00B70B96"/>
    <w:rsid w:val="00B70B9C"/>
    <w:rsid w:val="00B70BAE"/>
    <w:rsid w:val="00B70BBC"/>
    <w:rsid w:val="00B70C33"/>
    <w:rsid w:val="00B70D1F"/>
    <w:rsid w:val="00B70D6F"/>
    <w:rsid w:val="00B70DA1"/>
    <w:rsid w:val="00B70DD1"/>
    <w:rsid w:val="00B70DDE"/>
    <w:rsid w:val="00B70DE2"/>
    <w:rsid w:val="00B70EE4"/>
    <w:rsid w:val="00B70F26"/>
    <w:rsid w:val="00B70F37"/>
    <w:rsid w:val="00B70F93"/>
    <w:rsid w:val="00B70FC6"/>
    <w:rsid w:val="00B71012"/>
    <w:rsid w:val="00B71020"/>
    <w:rsid w:val="00B71059"/>
    <w:rsid w:val="00B71170"/>
    <w:rsid w:val="00B71194"/>
    <w:rsid w:val="00B711B0"/>
    <w:rsid w:val="00B711B2"/>
    <w:rsid w:val="00B711D9"/>
    <w:rsid w:val="00B711F9"/>
    <w:rsid w:val="00B711FD"/>
    <w:rsid w:val="00B71213"/>
    <w:rsid w:val="00B71225"/>
    <w:rsid w:val="00B71246"/>
    <w:rsid w:val="00B71252"/>
    <w:rsid w:val="00B71264"/>
    <w:rsid w:val="00B71277"/>
    <w:rsid w:val="00B712EA"/>
    <w:rsid w:val="00B712F1"/>
    <w:rsid w:val="00B71319"/>
    <w:rsid w:val="00B71325"/>
    <w:rsid w:val="00B71337"/>
    <w:rsid w:val="00B713EC"/>
    <w:rsid w:val="00B71410"/>
    <w:rsid w:val="00B71417"/>
    <w:rsid w:val="00B714AA"/>
    <w:rsid w:val="00B714B7"/>
    <w:rsid w:val="00B714BA"/>
    <w:rsid w:val="00B71505"/>
    <w:rsid w:val="00B7154F"/>
    <w:rsid w:val="00B7159F"/>
    <w:rsid w:val="00B716F1"/>
    <w:rsid w:val="00B71704"/>
    <w:rsid w:val="00B71705"/>
    <w:rsid w:val="00B71740"/>
    <w:rsid w:val="00B71745"/>
    <w:rsid w:val="00B71750"/>
    <w:rsid w:val="00B71753"/>
    <w:rsid w:val="00B71774"/>
    <w:rsid w:val="00B71793"/>
    <w:rsid w:val="00B717C5"/>
    <w:rsid w:val="00B71966"/>
    <w:rsid w:val="00B719AD"/>
    <w:rsid w:val="00B71A61"/>
    <w:rsid w:val="00B71A69"/>
    <w:rsid w:val="00B71AA2"/>
    <w:rsid w:val="00B71AC3"/>
    <w:rsid w:val="00B71AD4"/>
    <w:rsid w:val="00B71AE6"/>
    <w:rsid w:val="00B71B5B"/>
    <w:rsid w:val="00B71BA9"/>
    <w:rsid w:val="00B71C6C"/>
    <w:rsid w:val="00B71CB3"/>
    <w:rsid w:val="00B71CE9"/>
    <w:rsid w:val="00B71CF1"/>
    <w:rsid w:val="00B71D01"/>
    <w:rsid w:val="00B71D78"/>
    <w:rsid w:val="00B71D88"/>
    <w:rsid w:val="00B71D8D"/>
    <w:rsid w:val="00B71D96"/>
    <w:rsid w:val="00B71D98"/>
    <w:rsid w:val="00B71DDE"/>
    <w:rsid w:val="00B71E24"/>
    <w:rsid w:val="00B71E51"/>
    <w:rsid w:val="00B71E55"/>
    <w:rsid w:val="00B71E99"/>
    <w:rsid w:val="00B71EA1"/>
    <w:rsid w:val="00B71EAF"/>
    <w:rsid w:val="00B71ED9"/>
    <w:rsid w:val="00B71EE3"/>
    <w:rsid w:val="00B71F0A"/>
    <w:rsid w:val="00B71F10"/>
    <w:rsid w:val="00B71F45"/>
    <w:rsid w:val="00B71F4D"/>
    <w:rsid w:val="00B71F73"/>
    <w:rsid w:val="00B71F82"/>
    <w:rsid w:val="00B71F83"/>
    <w:rsid w:val="00B72041"/>
    <w:rsid w:val="00B7209F"/>
    <w:rsid w:val="00B720B6"/>
    <w:rsid w:val="00B720E3"/>
    <w:rsid w:val="00B720E8"/>
    <w:rsid w:val="00B72119"/>
    <w:rsid w:val="00B72156"/>
    <w:rsid w:val="00B7215C"/>
    <w:rsid w:val="00B7216B"/>
    <w:rsid w:val="00B72170"/>
    <w:rsid w:val="00B721C1"/>
    <w:rsid w:val="00B721D4"/>
    <w:rsid w:val="00B721D7"/>
    <w:rsid w:val="00B721E0"/>
    <w:rsid w:val="00B722A5"/>
    <w:rsid w:val="00B722BE"/>
    <w:rsid w:val="00B72302"/>
    <w:rsid w:val="00B72306"/>
    <w:rsid w:val="00B72326"/>
    <w:rsid w:val="00B72339"/>
    <w:rsid w:val="00B72365"/>
    <w:rsid w:val="00B72378"/>
    <w:rsid w:val="00B7245A"/>
    <w:rsid w:val="00B72476"/>
    <w:rsid w:val="00B7249F"/>
    <w:rsid w:val="00B724F1"/>
    <w:rsid w:val="00B7250A"/>
    <w:rsid w:val="00B72531"/>
    <w:rsid w:val="00B72535"/>
    <w:rsid w:val="00B72560"/>
    <w:rsid w:val="00B7258A"/>
    <w:rsid w:val="00B725AF"/>
    <w:rsid w:val="00B72637"/>
    <w:rsid w:val="00B72651"/>
    <w:rsid w:val="00B7269B"/>
    <w:rsid w:val="00B726A0"/>
    <w:rsid w:val="00B726EA"/>
    <w:rsid w:val="00B72746"/>
    <w:rsid w:val="00B7275A"/>
    <w:rsid w:val="00B7277C"/>
    <w:rsid w:val="00B727F3"/>
    <w:rsid w:val="00B727F7"/>
    <w:rsid w:val="00B72814"/>
    <w:rsid w:val="00B72856"/>
    <w:rsid w:val="00B728EE"/>
    <w:rsid w:val="00B72990"/>
    <w:rsid w:val="00B729C6"/>
    <w:rsid w:val="00B72A71"/>
    <w:rsid w:val="00B72AA6"/>
    <w:rsid w:val="00B72AEB"/>
    <w:rsid w:val="00B72B84"/>
    <w:rsid w:val="00B72BA2"/>
    <w:rsid w:val="00B72BC9"/>
    <w:rsid w:val="00B72BF6"/>
    <w:rsid w:val="00B72C5C"/>
    <w:rsid w:val="00B72CE7"/>
    <w:rsid w:val="00B72D45"/>
    <w:rsid w:val="00B72D96"/>
    <w:rsid w:val="00B72DD7"/>
    <w:rsid w:val="00B72DE0"/>
    <w:rsid w:val="00B72E2D"/>
    <w:rsid w:val="00B72F35"/>
    <w:rsid w:val="00B72F36"/>
    <w:rsid w:val="00B72F44"/>
    <w:rsid w:val="00B72F92"/>
    <w:rsid w:val="00B72FC7"/>
    <w:rsid w:val="00B7301F"/>
    <w:rsid w:val="00B73020"/>
    <w:rsid w:val="00B7307C"/>
    <w:rsid w:val="00B7309E"/>
    <w:rsid w:val="00B730A8"/>
    <w:rsid w:val="00B730AF"/>
    <w:rsid w:val="00B731A8"/>
    <w:rsid w:val="00B731B0"/>
    <w:rsid w:val="00B731F4"/>
    <w:rsid w:val="00B73208"/>
    <w:rsid w:val="00B73252"/>
    <w:rsid w:val="00B7327D"/>
    <w:rsid w:val="00B7330F"/>
    <w:rsid w:val="00B73351"/>
    <w:rsid w:val="00B73399"/>
    <w:rsid w:val="00B73441"/>
    <w:rsid w:val="00B73456"/>
    <w:rsid w:val="00B73495"/>
    <w:rsid w:val="00B734AE"/>
    <w:rsid w:val="00B734E9"/>
    <w:rsid w:val="00B73502"/>
    <w:rsid w:val="00B73534"/>
    <w:rsid w:val="00B73544"/>
    <w:rsid w:val="00B735A4"/>
    <w:rsid w:val="00B735AF"/>
    <w:rsid w:val="00B735EC"/>
    <w:rsid w:val="00B735F9"/>
    <w:rsid w:val="00B73626"/>
    <w:rsid w:val="00B73669"/>
    <w:rsid w:val="00B736AF"/>
    <w:rsid w:val="00B736E7"/>
    <w:rsid w:val="00B737AD"/>
    <w:rsid w:val="00B737AF"/>
    <w:rsid w:val="00B737D2"/>
    <w:rsid w:val="00B7380C"/>
    <w:rsid w:val="00B73852"/>
    <w:rsid w:val="00B73896"/>
    <w:rsid w:val="00B7389D"/>
    <w:rsid w:val="00B73952"/>
    <w:rsid w:val="00B739A9"/>
    <w:rsid w:val="00B739D7"/>
    <w:rsid w:val="00B739ED"/>
    <w:rsid w:val="00B739FF"/>
    <w:rsid w:val="00B73A02"/>
    <w:rsid w:val="00B73A44"/>
    <w:rsid w:val="00B73A4B"/>
    <w:rsid w:val="00B73A96"/>
    <w:rsid w:val="00B73AA1"/>
    <w:rsid w:val="00B73B3F"/>
    <w:rsid w:val="00B73B78"/>
    <w:rsid w:val="00B73B80"/>
    <w:rsid w:val="00B73B94"/>
    <w:rsid w:val="00B73B9F"/>
    <w:rsid w:val="00B73BAE"/>
    <w:rsid w:val="00B73BB9"/>
    <w:rsid w:val="00B73BBA"/>
    <w:rsid w:val="00B73BBE"/>
    <w:rsid w:val="00B73C4F"/>
    <w:rsid w:val="00B73C75"/>
    <w:rsid w:val="00B73C8D"/>
    <w:rsid w:val="00B73CAE"/>
    <w:rsid w:val="00B73D13"/>
    <w:rsid w:val="00B73D27"/>
    <w:rsid w:val="00B73DBE"/>
    <w:rsid w:val="00B73DE9"/>
    <w:rsid w:val="00B73E75"/>
    <w:rsid w:val="00B73E8A"/>
    <w:rsid w:val="00B73EAE"/>
    <w:rsid w:val="00B73ECB"/>
    <w:rsid w:val="00B73ED7"/>
    <w:rsid w:val="00B73EF3"/>
    <w:rsid w:val="00B73F27"/>
    <w:rsid w:val="00B73FF2"/>
    <w:rsid w:val="00B74041"/>
    <w:rsid w:val="00B740C5"/>
    <w:rsid w:val="00B741B2"/>
    <w:rsid w:val="00B74227"/>
    <w:rsid w:val="00B7422C"/>
    <w:rsid w:val="00B74297"/>
    <w:rsid w:val="00B7429E"/>
    <w:rsid w:val="00B74360"/>
    <w:rsid w:val="00B743CF"/>
    <w:rsid w:val="00B743E0"/>
    <w:rsid w:val="00B743F5"/>
    <w:rsid w:val="00B743FA"/>
    <w:rsid w:val="00B74420"/>
    <w:rsid w:val="00B74435"/>
    <w:rsid w:val="00B7443A"/>
    <w:rsid w:val="00B744AB"/>
    <w:rsid w:val="00B744F9"/>
    <w:rsid w:val="00B7450C"/>
    <w:rsid w:val="00B74545"/>
    <w:rsid w:val="00B745EE"/>
    <w:rsid w:val="00B745EF"/>
    <w:rsid w:val="00B74659"/>
    <w:rsid w:val="00B74699"/>
    <w:rsid w:val="00B746AA"/>
    <w:rsid w:val="00B746B9"/>
    <w:rsid w:val="00B746BB"/>
    <w:rsid w:val="00B746DD"/>
    <w:rsid w:val="00B746F5"/>
    <w:rsid w:val="00B74701"/>
    <w:rsid w:val="00B74756"/>
    <w:rsid w:val="00B74764"/>
    <w:rsid w:val="00B74765"/>
    <w:rsid w:val="00B747E1"/>
    <w:rsid w:val="00B7485A"/>
    <w:rsid w:val="00B7486E"/>
    <w:rsid w:val="00B74874"/>
    <w:rsid w:val="00B74915"/>
    <w:rsid w:val="00B74944"/>
    <w:rsid w:val="00B74988"/>
    <w:rsid w:val="00B7499F"/>
    <w:rsid w:val="00B749D8"/>
    <w:rsid w:val="00B74A0D"/>
    <w:rsid w:val="00B74A4C"/>
    <w:rsid w:val="00B74AB6"/>
    <w:rsid w:val="00B74AD0"/>
    <w:rsid w:val="00B74ADC"/>
    <w:rsid w:val="00B74B5D"/>
    <w:rsid w:val="00B74B61"/>
    <w:rsid w:val="00B74B90"/>
    <w:rsid w:val="00B74B99"/>
    <w:rsid w:val="00B74BC7"/>
    <w:rsid w:val="00B74BDE"/>
    <w:rsid w:val="00B74C85"/>
    <w:rsid w:val="00B74CFB"/>
    <w:rsid w:val="00B74D09"/>
    <w:rsid w:val="00B74E1A"/>
    <w:rsid w:val="00B74E23"/>
    <w:rsid w:val="00B74E62"/>
    <w:rsid w:val="00B74E95"/>
    <w:rsid w:val="00B74FB9"/>
    <w:rsid w:val="00B750A0"/>
    <w:rsid w:val="00B750B5"/>
    <w:rsid w:val="00B750C1"/>
    <w:rsid w:val="00B750C7"/>
    <w:rsid w:val="00B75102"/>
    <w:rsid w:val="00B75121"/>
    <w:rsid w:val="00B75162"/>
    <w:rsid w:val="00B75172"/>
    <w:rsid w:val="00B75182"/>
    <w:rsid w:val="00B751FA"/>
    <w:rsid w:val="00B75212"/>
    <w:rsid w:val="00B752A5"/>
    <w:rsid w:val="00B752EA"/>
    <w:rsid w:val="00B752F4"/>
    <w:rsid w:val="00B7531C"/>
    <w:rsid w:val="00B75331"/>
    <w:rsid w:val="00B753C0"/>
    <w:rsid w:val="00B753C8"/>
    <w:rsid w:val="00B753EC"/>
    <w:rsid w:val="00B753F4"/>
    <w:rsid w:val="00B75454"/>
    <w:rsid w:val="00B75471"/>
    <w:rsid w:val="00B754F9"/>
    <w:rsid w:val="00B75548"/>
    <w:rsid w:val="00B75555"/>
    <w:rsid w:val="00B75601"/>
    <w:rsid w:val="00B75628"/>
    <w:rsid w:val="00B7564D"/>
    <w:rsid w:val="00B75689"/>
    <w:rsid w:val="00B75698"/>
    <w:rsid w:val="00B756A4"/>
    <w:rsid w:val="00B75788"/>
    <w:rsid w:val="00B757B0"/>
    <w:rsid w:val="00B757B1"/>
    <w:rsid w:val="00B757D5"/>
    <w:rsid w:val="00B75805"/>
    <w:rsid w:val="00B75840"/>
    <w:rsid w:val="00B75864"/>
    <w:rsid w:val="00B7587A"/>
    <w:rsid w:val="00B7590C"/>
    <w:rsid w:val="00B75917"/>
    <w:rsid w:val="00B75930"/>
    <w:rsid w:val="00B75992"/>
    <w:rsid w:val="00B759A2"/>
    <w:rsid w:val="00B759C5"/>
    <w:rsid w:val="00B75A92"/>
    <w:rsid w:val="00B75AAD"/>
    <w:rsid w:val="00B75AE9"/>
    <w:rsid w:val="00B75AF3"/>
    <w:rsid w:val="00B75B0A"/>
    <w:rsid w:val="00B75B27"/>
    <w:rsid w:val="00B75B2E"/>
    <w:rsid w:val="00B75B78"/>
    <w:rsid w:val="00B75B9A"/>
    <w:rsid w:val="00B75BD9"/>
    <w:rsid w:val="00B75BE8"/>
    <w:rsid w:val="00B75D23"/>
    <w:rsid w:val="00B75D33"/>
    <w:rsid w:val="00B75D5A"/>
    <w:rsid w:val="00B75D6A"/>
    <w:rsid w:val="00B75D7B"/>
    <w:rsid w:val="00B75DE7"/>
    <w:rsid w:val="00B75E4E"/>
    <w:rsid w:val="00B75EB1"/>
    <w:rsid w:val="00B75F0E"/>
    <w:rsid w:val="00B75F17"/>
    <w:rsid w:val="00B75F27"/>
    <w:rsid w:val="00B75F6F"/>
    <w:rsid w:val="00B76022"/>
    <w:rsid w:val="00B7605B"/>
    <w:rsid w:val="00B761E5"/>
    <w:rsid w:val="00B761E7"/>
    <w:rsid w:val="00B7626A"/>
    <w:rsid w:val="00B76289"/>
    <w:rsid w:val="00B76360"/>
    <w:rsid w:val="00B763EA"/>
    <w:rsid w:val="00B76449"/>
    <w:rsid w:val="00B7647E"/>
    <w:rsid w:val="00B764CF"/>
    <w:rsid w:val="00B764D0"/>
    <w:rsid w:val="00B764ED"/>
    <w:rsid w:val="00B76553"/>
    <w:rsid w:val="00B76596"/>
    <w:rsid w:val="00B7662C"/>
    <w:rsid w:val="00B7663F"/>
    <w:rsid w:val="00B76666"/>
    <w:rsid w:val="00B766A5"/>
    <w:rsid w:val="00B766E5"/>
    <w:rsid w:val="00B766FB"/>
    <w:rsid w:val="00B76754"/>
    <w:rsid w:val="00B767BD"/>
    <w:rsid w:val="00B767BF"/>
    <w:rsid w:val="00B767C7"/>
    <w:rsid w:val="00B7682E"/>
    <w:rsid w:val="00B7683A"/>
    <w:rsid w:val="00B76866"/>
    <w:rsid w:val="00B76884"/>
    <w:rsid w:val="00B7689A"/>
    <w:rsid w:val="00B768E4"/>
    <w:rsid w:val="00B7692D"/>
    <w:rsid w:val="00B76931"/>
    <w:rsid w:val="00B76943"/>
    <w:rsid w:val="00B769B5"/>
    <w:rsid w:val="00B769F2"/>
    <w:rsid w:val="00B76A4A"/>
    <w:rsid w:val="00B76A50"/>
    <w:rsid w:val="00B76A60"/>
    <w:rsid w:val="00B76ABD"/>
    <w:rsid w:val="00B76B41"/>
    <w:rsid w:val="00B76BD5"/>
    <w:rsid w:val="00B76BF1"/>
    <w:rsid w:val="00B76C98"/>
    <w:rsid w:val="00B76C9B"/>
    <w:rsid w:val="00B76CC6"/>
    <w:rsid w:val="00B76CD0"/>
    <w:rsid w:val="00B76D1F"/>
    <w:rsid w:val="00B76D28"/>
    <w:rsid w:val="00B76D37"/>
    <w:rsid w:val="00B76D94"/>
    <w:rsid w:val="00B76DA5"/>
    <w:rsid w:val="00B76DE3"/>
    <w:rsid w:val="00B76DF2"/>
    <w:rsid w:val="00B76DF6"/>
    <w:rsid w:val="00B76E03"/>
    <w:rsid w:val="00B76E5B"/>
    <w:rsid w:val="00B76E6B"/>
    <w:rsid w:val="00B76E6C"/>
    <w:rsid w:val="00B76E6F"/>
    <w:rsid w:val="00B76E77"/>
    <w:rsid w:val="00B76EF6"/>
    <w:rsid w:val="00B76F12"/>
    <w:rsid w:val="00B76F2C"/>
    <w:rsid w:val="00B76F37"/>
    <w:rsid w:val="00B76F48"/>
    <w:rsid w:val="00B76F92"/>
    <w:rsid w:val="00B76FBF"/>
    <w:rsid w:val="00B7702F"/>
    <w:rsid w:val="00B7707B"/>
    <w:rsid w:val="00B770C3"/>
    <w:rsid w:val="00B770DD"/>
    <w:rsid w:val="00B77110"/>
    <w:rsid w:val="00B77149"/>
    <w:rsid w:val="00B7726D"/>
    <w:rsid w:val="00B7728D"/>
    <w:rsid w:val="00B772BB"/>
    <w:rsid w:val="00B77318"/>
    <w:rsid w:val="00B77350"/>
    <w:rsid w:val="00B77404"/>
    <w:rsid w:val="00B77448"/>
    <w:rsid w:val="00B7746D"/>
    <w:rsid w:val="00B77489"/>
    <w:rsid w:val="00B774BC"/>
    <w:rsid w:val="00B77507"/>
    <w:rsid w:val="00B7755B"/>
    <w:rsid w:val="00B775A4"/>
    <w:rsid w:val="00B775B9"/>
    <w:rsid w:val="00B775FA"/>
    <w:rsid w:val="00B77604"/>
    <w:rsid w:val="00B7763B"/>
    <w:rsid w:val="00B77652"/>
    <w:rsid w:val="00B77682"/>
    <w:rsid w:val="00B77698"/>
    <w:rsid w:val="00B776B9"/>
    <w:rsid w:val="00B77736"/>
    <w:rsid w:val="00B7773F"/>
    <w:rsid w:val="00B7779F"/>
    <w:rsid w:val="00B777AC"/>
    <w:rsid w:val="00B77808"/>
    <w:rsid w:val="00B77890"/>
    <w:rsid w:val="00B778A2"/>
    <w:rsid w:val="00B778D3"/>
    <w:rsid w:val="00B77912"/>
    <w:rsid w:val="00B7797A"/>
    <w:rsid w:val="00B779A6"/>
    <w:rsid w:val="00B779B7"/>
    <w:rsid w:val="00B779F5"/>
    <w:rsid w:val="00B77A4F"/>
    <w:rsid w:val="00B77AC7"/>
    <w:rsid w:val="00B77AE0"/>
    <w:rsid w:val="00B77B35"/>
    <w:rsid w:val="00B77B37"/>
    <w:rsid w:val="00B77B96"/>
    <w:rsid w:val="00B77BEB"/>
    <w:rsid w:val="00B77C04"/>
    <w:rsid w:val="00B77D54"/>
    <w:rsid w:val="00B77D66"/>
    <w:rsid w:val="00B77DFC"/>
    <w:rsid w:val="00B77E03"/>
    <w:rsid w:val="00B77EA2"/>
    <w:rsid w:val="00B77EA3"/>
    <w:rsid w:val="00B77EC2"/>
    <w:rsid w:val="00B77EE7"/>
    <w:rsid w:val="00B77EFD"/>
    <w:rsid w:val="00B77F44"/>
    <w:rsid w:val="00B77F92"/>
    <w:rsid w:val="00B77FE9"/>
    <w:rsid w:val="00B77FF1"/>
    <w:rsid w:val="00B8000B"/>
    <w:rsid w:val="00B8001F"/>
    <w:rsid w:val="00B8008F"/>
    <w:rsid w:val="00B800CF"/>
    <w:rsid w:val="00B8012C"/>
    <w:rsid w:val="00B8014F"/>
    <w:rsid w:val="00B80155"/>
    <w:rsid w:val="00B80175"/>
    <w:rsid w:val="00B80255"/>
    <w:rsid w:val="00B80259"/>
    <w:rsid w:val="00B8025D"/>
    <w:rsid w:val="00B8028E"/>
    <w:rsid w:val="00B8030F"/>
    <w:rsid w:val="00B80330"/>
    <w:rsid w:val="00B8033D"/>
    <w:rsid w:val="00B80380"/>
    <w:rsid w:val="00B80387"/>
    <w:rsid w:val="00B803BB"/>
    <w:rsid w:val="00B80415"/>
    <w:rsid w:val="00B80469"/>
    <w:rsid w:val="00B80471"/>
    <w:rsid w:val="00B804AA"/>
    <w:rsid w:val="00B804AF"/>
    <w:rsid w:val="00B804D7"/>
    <w:rsid w:val="00B804FC"/>
    <w:rsid w:val="00B80537"/>
    <w:rsid w:val="00B805B7"/>
    <w:rsid w:val="00B805E3"/>
    <w:rsid w:val="00B80662"/>
    <w:rsid w:val="00B806D8"/>
    <w:rsid w:val="00B807FA"/>
    <w:rsid w:val="00B808C2"/>
    <w:rsid w:val="00B80915"/>
    <w:rsid w:val="00B80976"/>
    <w:rsid w:val="00B80979"/>
    <w:rsid w:val="00B8097C"/>
    <w:rsid w:val="00B80A2F"/>
    <w:rsid w:val="00B80A41"/>
    <w:rsid w:val="00B80A9C"/>
    <w:rsid w:val="00B80AB9"/>
    <w:rsid w:val="00B80B2D"/>
    <w:rsid w:val="00B80B42"/>
    <w:rsid w:val="00B80B59"/>
    <w:rsid w:val="00B80B63"/>
    <w:rsid w:val="00B80B76"/>
    <w:rsid w:val="00B80BA9"/>
    <w:rsid w:val="00B80BE0"/>
    <w:rsid w:val="00B80C32"/>
    <w:rsid w:val="00B80D4D"/>
    <w:rsid w:val="00B80D63"/>
    <w:rsid w:val="00B80DDE"/>
    <w:rsid w:val="00B80DDF"/>
    <w:rsid w:val="00B80E16"/>
    <w:rsid w:val="00B80E70"/>
    <w:rsid w:val="00B80E79"/>
    <w:rsid w:val="00B80EF9"/>
    <w:rsid w:val="00B80F4A"/>
    <w:rsid w:val="00B80F62"/>
    <w:rsid w:val="00B80F96"/>
    <w:rsid w:val="00B81013"/>
    <w:rsid w:val="00B81064"/>
    <w:rsid w:val="00B8107A"/>
    <w:rsid w:val="00B810DC"/>
    <w:rsid w:val="00B8112F"/>
    <w:rsid w:val="00B81146"/>
    <w:rsid w:val="00B8114C"/>
    <w:rsid w:val="00B8119B"/>
    <w:rsid w:val="00B811A3"/>
    <w:rsid w:val="00B811BF"/>
    <w:rsid w:val="00B811D0"/>
    <w:rsid w:val="00B811FB"/>
    <w:rsid w:val="00B81276"/>
    <w:rsid w:val="00B812C1"/>
    <w:rsid w:val="00B812E6"/>
    <w:rsid w:val="00B812F4"/>
    <w:rsid w:val="00B812FF"/>
    <w:rsid w:val="00B81329"/>
    <w:rsid w:val="00B81373"/>
    <w:rsid w:val="00B8137B"/>
    <w:rsid w:val="00B81390"/>
    <w:rsid w:val="00B81395"/>
    <w:rsid w:val="00B813B1"/>
    <w:rsid w:val="00B8144A"/>
    <w:rsid w:val="00B81467"/>
    <w:rsid w:val="00B81499"/>
    <w:rsid w:val="00B814B2"/>
    <w:rsid w:val="00B81500"/>
    <w:rsid w:val="00B81510"/>
    <w:rsid w:val="00B8154E"/>
    <w:rsid w:val="00B815AA"/>
    <w:rsid w:val="00B815BF"/>
    <w:rsid w:val="00B81632"/>
    <w:rsid w:val="00B81633"/>
    <w:rsid w:val="00B816E8"/>
    <w:rsid w:val="00B816FB"/>
    <w:rsid w:val="00B81701"/>
    <w:rsid w:val="00B81704"/>
    <w:rsid w:val="00B81769"/>
    <w:rsid w:val="00B81779"/>
    <w:rsid w:val="00B81794"/>
    <w:rsid w:val="00B81797"/>
    <w:rsid w:val="00B817C6"/>
    <w:rsid w:val="00B817FE"/>
    <w:rsid w:val="00B818E6"/>
    <w:rsid w:val="00B818F0"/>
    <w:rsid w:val="00B81904"/>
    <w:rsid w:val="00B8199A"/>
    <w:rsid w:val="00B81A02"/>
    <w:rsid w:val="00B81A06"/>
    <w:rsid w:val="00B81A0F"/>
    <w:rsid w:val="00B81A2C"/>
    <w:rsid w:val="00B81A65"/>
    <w:rsid w:val="00B81A79"/>
    <w:rsid w:val="00B81A8F"/>
    <w:rsid w:val="00B81AF7"/>
    <w:rsid w:val="00B81BB0"/>
    <w:rsid w:val="00B81BD2"/>
    <w:rsid w:val="00B81BDA"/>
    <w:rsid w:val="00B81BDC"/>
    <w:rsid w:val="00B81BE2"/>
    <w:rsid w:val="00B81BF2"/>
    <w:rsid w:val="00B81BF4"/>
    <w:rsid w:val="00B81C34"/>
    <w:rsid w:val="00B81C4F"/>
    <w:rsid w:val="00B81C8A"/>
    <w:rsid w:val="00B81CC5"/>
    <w:rsid w:val="00B81D0F"/>
    <w:rsid w:val="00B81DD2"/>
    <w:rsid w:val="00B81E0C"/>
    <w:rsid w:val="00B81E15"/>
    <w:rsid w:val="00B81EE7"/>
    <w:rsid w:val="00B81EEE"/>
    <w:rsid w:val="00B81F24"/>
    <w:rsid w:val="00B81F33"/>
    <w:rsid w:val="00B81F3B"/>
    <w:rsid w:val="00B81F81"/>
    <w:rsid w:val="00B81F86"/>
    <w:rsid w:val="00B8202C"/>
    <w:rsid w:val="00B82065"/>
    <w:rsid w:val="00B8207A"/>
    <w:rsid w:val="00B82084"/>
    <w:rsid w:val="00B8209E"/>
    <w:rsid w:val="00B820B3"/>
    <w:rsid w:val="00B820D8"/>
    <w:rsid w:val="00B820E3"/>
    <w:rsid w:val="00B8213B"/>
    <w:rsid w:val="00B821F1"/>
    <w:rsid w:val="00B8225C"/>
    <w:rsid w:val="00B8226B"/>
    <w:rsid w:val="00B82334"/>
    <w:rsid w:val="00B82338"/>
    <w:rsid w:val="00B82357"/>
    <w:rsid w:val="00B8235A"/>
    <w:rsid w:val="00B82421"/>
    <w:rsid w:val="00B82429"/>
    <w:rsid w:val="00B82445"/>
    <w:rsid w:val="00B82448"/>
    <w:rsid w:val="00B82470"/>
    <w:rsid w:val="00B8247E"/>
    <w:rsid w:val="00B824BD"/>
    <w:rsid w:val="00B8250A"/>
    <w:rsid w:val="00B82517"/>
    <w:rsid w:val="00B8258B"/>
    <w:rsid w:val="00B825C6"/>
    <w:rsid w:val="00B825D3"/>
    <w:rsid w:val="00B825E4"/>
    <w:rsid w:val="00B825F2"/>
    <w:rsid w:val="00B82620"/>
    <w:rsid w:val="00B82657"/>
    <w:rsid w:val="00B82668"/>
    <w:rsid w:val="00B826E5"/>
    <w:rsid w:val="00B82716"/>
    <w:rsid w:val="00B82718"/>
    <w:rsid w:val="00B8272F"/>
    <w:rsid w:val="00B82818"/>
    <w:rsid w:val="00B8284B"/>
    <w:rsid w:val="00B828C6"/>
    <w:rsid w:val="00B828CA"/>
    <w:rsid w:val="00B828EE"/>
    <w:rsid w:val="00B82909"/>
    <w:rsid w:val="00B82959"/>
    <w:rsid w:val="00B8295A"/>
    <w:rsid w:val="00B8296A"/>
    <w:rsid w:val="00B82975"/>
    <w:rsid w:val="00B82995"/>
    <w:rsid w:val="00B829E6"/>
    <w:rsid w:val="00B82A44"/>
    <w:rsid w:val="00B82A4C"/>
    <w:rsid w:val="00B82A64"/>
    <w:rsid w:val="00B82A73"/>
    <w:rsid w:val="00B82ADF"/>
    <w:rsid w:val="00B82B1D"/>
    <w:rsid w:val="00B82B56"/>
    <w:rsid w:val="00B82BF8"/>
    <w:rsid w:val="00B82C4B"/>
    <w:rsid w:val="00B82C6D"/>
    <w:rsid w:val="00B82CAF"/>
    <w:rsid w:val="00B82D13"/>
    <w:rsid w:val="00B82D3D"/>
    <w:rsid w:val="00B82D7C"/>
    <w:rsid w:val="00B82D8F"/>
    <w:rsid w:val="00B82DB0"/>
    <w:rsid w:val="00B82E15"/>
    <w:rsid w:val="00B82E8C"/>
    <w:rsid w:val="00B82E96"/>
    <w:rsid w:val="00B82E9A"/>
    <w:rsid w:val="00B82EBB"/>
    <w:rsid w:val="00B82ED8"/>
    <w:rsid w:val="00B82F60"/>
    <w:rsid w:val="00B82F89"/>
    <w:rsid w:val="00B82FDC"/>
    <w:rsid w:val="00B82FFD"/>
    <w:rsid w:val="00B830EC"/>
    <w:rsid w:val="00B83120"/>
    <w:rsid w:val="00B8313B"/>
    <w:rsid w:val="00B831A1"/>
    <w:rsid w:val="00B831A8"/>
    <w:rsid w:val="00B83241"/>
    <w:rsid w:val="00B8327A"/>
    <w:rsid w:val="00B832CF"/>
    <w:rsid w:val="00B8331C"/>
    <w:rsid w:val="00B8334C"/>
    <w:rsid w:val="00B83378"/>
    <w:rsid w:val="00B833C9"/>
    <w:rsid w:val="00B83494"/>
    <w:rsid w:val="00B83519"/>
    <w:rsid w:val="00B8358E"/>
    <w:rsid w:val="00B83595"/>
    <w:rsid w:val="00B835B3"/>
    <w:rsid w:val="00B8366C"/>
    <w:rsid w:val="00B836D5"/>
    <w:rsid w:val="00B8375F"/>
    <w:rsid w:val="00B83769"/>
    <w:rsid w:val="00B8378D"/>
    <w:rsid w:val="00B8379D"/>
    <w:rsid w:val="00B8380D"/>
    <w:rsid w:val="00B83828"/>
    <w:rsid w:val="00B8382E"/>
    <w:rsid w:val="00B83841"/>
    <w:rsid w:val="00B83869"/>
    <w:rsid w:val="00B838CC"/>
    <w:rsid w:val="00B83908"/>
    <w:rsid w:val="00B83909"/>
    <w:rsid w:val="00B83971"/>
    <w:rsid w:val="00B839D5"/>
    <w:rsid w:val="00B83A56"/>
    <w:rsid w:val="00B83A5D"/>
    <w:rsid w:val="00B83A9C"/>
    <w:rsid w:val="00B83AA4"/>
    <w:rsid w:val="00B83ABA"/>
    <w:rsid w:val="00B83AF1"/>
    <w:rsid w:val="00B83AF9"/>
    <w:rsid w:val="00B83B3C"/>
    <w:rsid w:val="00B83B48"/>
    <w:rsid w:val="00B83B4D"/>
    <w:rsid w:val="00B83C00"/>
    <w:rsid w:val="00B83C32"/>
    <w:rsid w:val="00B83CEA"/>
    <w:rsid w:val="00B83DE4"/>
    <w:rsid w:val="00B83DEE"/>
    <w:rsid w:val="00B83E0E"/>
    <w:rsid w:val="00B83E5D"/>
    <w:rsid w:val="00B83EAA"/>
    <w:rsid w:val="00B83EAD"/>
    <w:rsid w:val="00B83ECF"/>
    <w:rsid w:val="00B83F28"/>
    <w:rsid w:val="00B83F8E"/>
    <w:rsid w:val="00B83FC9"/>
    <w:rsid w:val="00B84012"/>
    <w:rsid w:val="00B84048"/>
    <w:rsid w:val="00B84076"/>
    <w:rsid w:val="00B84083"/>
    <w:rsid w:val="00B840C4"/>
    <w:rsid w:val="00B840CC"/>
    <w:rsid w:val="00B84142"/>
    <w:rsid w:val="00B84191"/>
    <w:rsid w:val="00B8424B"/>
    <w:rsid w:val="00B842D4"/>
    <w:rsid w:val="00B842D9"/>
    <w:rsid w:val="00B84414"/>
    <w:rsid w:val="00B8446A"/>
    <w:rsid w:val="00B8451D"/>
    <w:rsid w:val="00B845AF"/>
    <w:rsid w:val="00B845C2"/>
    <w:rsid w:val="00B84627"/>
    <w:rsid w:val="00B8466F"/>
    <w:rsid w:val="00B84676"/>
    <w:rsid w:val="00B84685"/>
    <w:rsid w:val="00B846F2"/>
    <w:rsid w:val="00B84710"/>
    <w:rsid w:val="00B84760"/>
    <w:rsid w:val="00B847B4"/>
    <w:rsid w:val="00B847BA"/>
    <w:rsid w:val="00B848A0"/>
    <w:rsid w:val="00B84966"/>
    <w:rsid w:val="00B84A09"/>
    <w:rsid w:val="00B84A24"/>
    <w:rsid w:val="00B84A2B"/>
    <w:rsid w:val="00B84A43"/>
    <w:rsid w:val="00B84AE8"/>
    <w:rsid w:val="00B84B06"/>
    <w:rsid w:val="00B84BA2"/>
    <w:rsid w:val="00B84BAE"/>
    <w:rsid w:val="00B84C01"/>
    <w:rsid w:val="00B84C2C"/>
    <w:rsid w:val="00B84C54"/>
    <w:rsid w:val="00B84C72"/>
    <w:rsid w:val="00B84C88"/>
    <w:rsid w:val="00B84CA3"/>
    <w:rsid w:val="00B84CEC"/>
    <w:rsid w:val="00B84DB2"/>
    <w:rsid w:val="00B84DC9"/>
    <w:rsid w:val="00B84DE6"/>
    <w:rsid w:val="00B84E65"/>
    <w:rsid w:val="00B84E78"/>
    <w:rsid w:val="00B84EA3"/>
    <w:rsid w:val="00B84EA6"/>
    <w:rsid w:val="00B84ED7"/>
    <w:rsid w:val="00B84F1D"/>
    <w:rsid w:val="00B84F53"/>
    <w:rsid w:val="00B84F62"/>
    <w:rsid w:val="00B84FBA"/>
    <w:rsid w:val="00B8503E"/>
    <w:rsid w:val="00B8513D"/>
    <w:rsid w:val="00B85172"/>
    <w:rsid w:val="00B851A3"/>
    <w:rsid w:val="00B851A4"/>
    <w:rsid w:val="00B851D1"/>
    <w:rsid w:val="00B851D7"/>
    <w:rsid w:val="00B851E2"/>
    <w:rsid w:val="00B85200"/>
    <w:rsid w:val="00B8522A"/>
    <w:rsid w:val="00B8528D"/>
    <w:rsid w:val="00B8530F"/>
    <w:rsid w:val="00B853A4"/>
    <w:rsid w:val="00B853A8"/>
    <w:rsid w:val="00B853AF"/>
    <w:rsid w:val="00B853B6"/>
    <w:rsid w:val="00B85421"/>
    <w:rsid w:val="00B8542A"/>
    <w:rsid w:val="00B85463"/>
    <w:rsid w:val="00B85493"/>
    <w:rsid w:val="00B854F0"/>
    <w:rsid w:val="00B8556F"/>
    <w:rsid w:val="00B85582"/>
    <w:rsid w:val="00B855C6"/>
    <w:rsid w:val="00B85690"/>
    <w:rsid w:val="00B85718"/>
    <w:rsid w:val="00B85774"/>
    <w:rsid w:val="00B85787"/>
    <w:rsid w:val="00B857B3"/>
    <w:rsid w:val="00B85816"/>
    <w:rsid w:val="00B8584D"/>
    <w:rsid w:val="00B8584E"/>
    <w:rsid w:val="00B858C8"/>
    <w:rsid w:val="00B85962"/>
    <w:rsid w:val="00B859FA"/>
    <w:rsid w:val="00B85A0B"/>
    <w:rsid w:val="00B85AA2"/>
    <w:rsid w:val="00B85AC7"/>
    <w:rsid w:val="00B85B12"/>
    <w:rsid w:val="00B85B1A"/>
    <w:rsid w:val="00B85BF2"/>
    <w:rsid w:val="00B85C2F"/>
    <w:rsid w:val="00B85C7F"/>
    <w:rsid w:val="00B85D15"/>
    <w:rsid w:val="00B85D26"/>
    <w:rsid w:val="00B85D50"/>
    <w:rsid w:val="00B85E2D"/>
    <w:rsid w:val="00B85EE3"/>
    <w:rsid w:val="00B85F26"/>
    <w:rsid w:val="00B85F47"/>
    <w:rsid w:val="00B85F5F"/>
    <w:rsid w:val="00B85F92"/>
    <w:rsid w:val="00B86003"/>
    <w:rsid w:val="00B86044"/>
    <w:rsid w:val="00B86045"/>
    <w:rsid w:val="00B8604D"/>
    <w:rsid w:val="00B860DA"/>
    <w:rsid w:val="00B86116"/>
    <w:rsid w:val="00B861AF"/>
    <w:rsid w:val="00B86201"/>
    <w:rsid w:val="00B8620E"/>
    <w:rsid w:val="00B8626F"/>
    <w:rsid w:val="00B86337"/>
    <w:rsid w:val="00B8636D"/>
    <w:rsid w:val="00B86372"/>
    <w:rsid w:val="00B86399"/>
    <w:rsid w:val="00B863B7"/>
    <w:rsid w:val="00B86465"/>
    <w:rsid w:val="00B8646B"/>
    <w:rsid w:val="00B8648C"/>
    <w:rsid w:val="00B86549"/>
    <w:rsid w:val="00B86583"/>
    <w:rsid w:val="00B86597"/>
    <w:rsid w:val="00B865AD"/>
    <w:rsid w:val="00B865BE"/>
    <w:rsid w:val="00B86629"/>
    <w:rsid w:val="00B86677"/>
    <w:rsid w:val="00B8668E"/>
    <w:rsid w:val="00B867C9"/>
    <w:rsid w:val="00B867E5"/>
    <w:rsid w:val="00B868B6"/>
    <w:rsid w:val="00B86902"/>
    <w:rsid w:val="00B8691B"/>
    <w:rsid w:val="00B86A20"/>
    <w:rsid w:val="00B86A29"/>
    <w:rsid w:val="00B86A2C"/>
    <w:rsid w:val="00B86A51"/>
    <w:rsid w:val="00B86A70"/>
    <w:rsid w:val="00B86A8B"/>
    <w:rsid w:val="00B86AC2"/>
    <w:rsid w:val="00B86B28"/>
    <w:rsid w:val="00B86B94"/>
    <w:rsid w:val="00B86C23"/>
    <w:rsid w:val="00B86C6B"/>
    <w:rsid w:val="00B86C84"/>
    <w:rsid w:val="00B86CEF"/>
    <w:rsid w:val="00B86D06"/>
    <w:rsid w:val="00B86D0C"/>
    <w:rsid w:val="00B86D3E"/>
    <w:rsid w:val="00B86DBA"/>
    <w:rsid w:val="00B86EBF"/>
    <w:rsid w:val="00B86F1D"/>
    <w:rsid w:val="00B86F47"/>
    <w:rsid w:val="00B86F8F"/>
    <w:rsid w:val="00B86FB9"/>
    <w:rsid w:val="00B87016"/>
    <w:rsid w:val="00B87041"/>
    <w:rsid w:val="00B8708E"/>
    <w:rsid w:val="00B870A0"/>
    <w:rsid w:val="00B870C5"/>
    <w:rsid w:val="00B87183"/>
    <w:rsid w:val="00B871A8"/>
    <w:rsid w:val="00B871C4"/>
    <w:rsid w:val="00B871FA"/>
    <w:rsid w:val="00B8727E"/>
    <w:rsid w:val="00B872C7"/>
    <w:rsid w:val="00B872E3"/>
    <w:rsid w:val="00B8733B"/>
    <w:rsid w:val="00B87371"/>
    <w:rsid w:val="00B873C4"/>
    <w:rsid w:val="00B873DC"/>
    <w:rsid w:val="00B873DD"/>
    <w:rsid w:val="00B874C2"/>
    <w:rsid w:val="00B87555"/>
    <w:rsid w:val="00B875B8"/>
    <w:rsid w:val="00B87671"/>
    <w:rsid w:val="00B87679"/>
    <w:rsid w:val="00B87698"/>
    <w:rsid w:val="00B876EC"/>
    <w:rsid w:val="00B87764"/>
    <w:rsid w:val="00B87786"/>
    <w:rsid w:val="00B877E4"/>
    <w:rsid w:val="00B87802"/>
    <w:rsid w:val="00B87807"/>
    <w:rsid w:val="00B87813"/>
    <w:rsid w:val="00B878B5"/>
    <w:rsid w:val="00B878CA"/>
    <w:rsid w:val="00B8798F"/>
    <w:rsid w:val="00B8799D"/>
    <w:rsid w:val="00B879E2"/>
    <w:rsid w:val="00B879EC"/>
    <w:rsid w:val="00B879F5"/>
    <w:rsid w:val="00B87A25"/>
    <w:rsid w:val="00B87B5F"/>
    <w:rsid w:val="00B87B68"/>
    <w:rsid w:val="00B87B77"/>
    <w:rsid w:val="00B87BC9"/>
    <w:rsid w:val="00B87BD5"/>
    <w:rsid w:val="00B87BE0"/>
    <w:rsid w:val="00B87C67"/>
    <w:rsid w:val="00B87C7C"/>
    <w:rsid w:val="00B87C82"/>
    <w:rsid w:val="00B87C9F"/>
    <w:rsid w:val="00B87CCC"/>
    <w:rsid w:val="00B87CE2"/>
    <w:rsid w:val="00B87CFA"/>
    <w:rsid w:val="00B87D4A"/>
    <w:rsid w:val="00B87DF3"/>
    <w:rsid w:val="00B87E23"/>
    <w:rsid w:val="00B87E2A"/>
    <w:rsid w:val="00B87EA1"/>
    <w:rsid w:val="00B87EB5"/>
    <w:rsid w:val="00B87F09"/>
    <w:rsid w:val="00B87F37"/>
    <w:rsid w:val="00B87F7A"/>
    <w:rsid w:val="00B90029"/>
    <w:rsid w:val="00B90070"/>
    <w:rsid w:val="00B900C9"/>
    <w:rsid w:val="00B900F9"/>
    <w:rsid w:val="00B90159"/>
    <w:rsid w:val="00B9017E"/>
    <w:rsid w:val="00B9019D"/>
    <w:rsid w:val="00B901DF"/>
    <w:rsid w:val="00B9021D"/>
    <w:rsid w:val="00B90276"/>
    <w:rsid w:val="00B90395"/>
    <w:rsid w:val="00B903AF"/>
    <w:rsid w:val="00B903E4"/>
    <w:rsid w:val="00B903FD"/>
    <w:rsid w:val="00B90453"/>
    <w:rsid w:val="00B90490"/>
    <w:rsid w:val="00B904C8"/>
    <w:rsid w:val="00B904CA"/>
    <w:rsid w:val="00B904D0"/>
    <w:rsid w:val="00B904E5"/>
    <w:rsid w:val="00B905E5"/>
    <w:rsid w:val="00B905EE"/>
    <w:rsid w:val="00B905F9"/>
    <w:rsid w:val="00B90615"/>
    <w:rsid w:val="00B906E1"/>
    <w:rsid w:val="00B906E9"/>
    <w:rsid w:val="00B90741"/>
    <w:rsid w:val="00B90751"/>
    <w:rsid w:val="00B9077A"/>
    <w:rsid w:val="00B907D8"/>
    <w:rsid w:val="00B90801"/>
    <w:rsid w:val="00B908B7"/>
    <w:rsid w:val="00B908EB"/>
    <w:rsid w:val="00B90964"/>
    <w:rsid w:val="00B90984"/>
    <w:rsid w:val="00B90A74"/>
    <w:rsid w:val="00B90AC1"/>
    <w:rsid w:val="00B90B2F"/>
    <w:rsid w:val="00B90B39"/>
    <w:rsid w:val="00B90BB2"/>
    <w:rsid w:val="00B90BC6"/>
    <w:rsid w:val="00B90C0C"/>
    <w:rsid w:val="00B90CA6"/>
    <w:rsid w:val="00B90CF4"/>
    <w:rsid w:val="00B90D05"/>
    <w:rsid w:val="00B90D27"/>
    <w:rsid w:val="00B90D32"/>
    <w:rsid w:val="00B90D77"/>
    <w:rsid w:val="00B90D9B"/>
    <w:rsid w:val="00B90DDB"/>
    <w:rsid w:val="00B90E47"/>
    <w:rsid w:val="00B90E5E"/>
    <w:rsid w:val="00B90E67"/>
    <w:rsid w:val="00B90EB1"/>
    <w:rsid w:val="00B90F17"/>
    <w:rsid w:val="00B90F95"/>
    <w:rsid w:val="00B90FC9"/>
    <w:rsid w:val="00B9104F"/>
    <w:rsid w:val="00B9106F"/>
    <w:rsid w:val="00B910CC"/>
    <w:rsid w:val="00B9113D"/>
    <w:rsid w:val="00B9114B"/>
    <w:rsid w:val="00B91154"/>
    <w:rsid w:val="00B9117F"/>
    <w:rsid w:val="00B91240"/>
    <w:rsid w:val="00B9124F"/>
    <w:rsid w:val="00B912B2"/>
    <w:rsid w:val="00B912E6"/>
    <w:rsid w:val="00B9136A"/>
    <w:rsid w:val="00B913A3"/>
    <w:rsid w:val="00B913C4"/>
    <w:rsid w:val="00B913DA"/>
    <w:rsid w:val="00B913F5"/>
    <w:rsid w:val="00B91431"/>
    <w:rsid w:val="00B914FC"/>
    <w:rsid w:val="00B91554"/>
    <w:rsid w:val="00B91578"/>
    <w:rsid w:val="00B9158B"/>
    <w:rsid w:val="00B915EE"/>
    <w:rsid w:val="00B91614"/>
    <w:rsid w:val="00B9168C"/>
    <w:rsid w:val="00B916BA"/>
    <w:rsid w:val="00B916E7"/>
    <w:rsid w:val="00B91743"/>
    <w:rsid w:val="00B9178C"/>
    <w:rsid w:val="00B917A9"/>
    <w:rsid w:val="00B917D2"/>
    <w:rsid w:val="00B9181B"/>
    <w:rsid w:val="00B91858"/>
    <w:rsid w:val="00B9185E"/>
    <w:rsid w:val="00B91861"/>
    <w:rsid w:val="00B91877"/>
    <w:rsid w:val="00B9189A"/>
    <w:rsid w:val="00B918A3"/>
    <w:rsid w:val="00B918F0"/>
    <w:rsid w:val="00B91935"/>
    <w:rsid w:val="00B91961"/>
    <w:rsid w:val="00B91964"/>
    <w:rsid w:val="00B9196D"/>
    <w:rsid w:val="00B91992"/>
    <w:rsid w:val="00B91998"/>
    <w:rsid w:val="00B91ACA"/>
    <w:rsid w:val="00B91ACC"/>
    <w:rsid w:val="00B91B49"/>
    <w:rsid w:val="00B91B5D"/>
    <w:rsid w:val="00B91BF6"/>
    <w:rsid w:val="00B91C07"/>
    <w:rsid w:val="00B91C26"/>
    <w:rsid w:val="00B91C7D"/>
    <w:rsid w:val="00B91C94"/>
    <w:rsid w:val="00B91CD4"/>
    <w:rsid w:val="00B91CFE"/>
    <w:rsid w:val="00B91D03"/>
    <w:rsid w:val="00B91D27"/>
    <w:rsid w:val="00B91D74"/>
    <w:rsid w:val="00B91DBE"/>
    <w:rsid w:val="00B91E00"/>
    <w:rsid w:val="00B91E01"/>
    <w:rsid w:val="00B91E0B"/>
    <w:rsid w:val="00B91E25"/>
    <w:rsid w:val="00B91E79"/>
    <w:rsid w:val="00B91E93"/>
    <w:rsid w:val="00B91EA0"/>
    <w:rsid w:val="00B91FB4"/>
    <w:rsid w:val="00B91FBB"/>
    <w:rsid w:val="00B9203B"/>
    <w:rsid w:val="00B9204B"/>
    <w:rsid w:val="00B920D1"/>
    <w:rsid w:val="00B92122"/>
    <w:rsid w:val="00B921B3"/>
    <w:rsid w:val="00B921BA"/>
    <w:rsid w:val="00B921E2"/>
    <w:rsid w:val="00B92245"/>
    <w:rsid w:val="00B9224B"/>
    <w:rsid w:val="00B922B5"/>
    <w:rsid w:val="00B922C1"/>
    <w:rsid w:val="00B9237F"/>
    <w:rsid w:val="00B92380"/>
    <w:rsid w:val="00B923D4"/>
    <w:rsid w:val="00B923D9"/>
    <w:rsid w:val="00B923DF"/>
    <w:rsid w:val="00B92432"/>
    <w:rsid w:val="00B92463"/>
    <w:rsid w:val="00B92498"/>
    <w:rsid w:val="00B924D7"/>
    <w:rsid w:val="00B92510"/>
    <w:rsid w:val="00B92609"/>
    <w:rsid w:val="00B926A0"/>
    <w:rsid w:val="00B92701"/>
    <w:rsid w:val="00B9270D"/>
    <w:rsid w:val="00B92749"/>
    <w:rsid w:val="00B927CC"/>
    <w:rsid w:val="00B927D4"/>
    <w:rsid w:val="00B927EB"/>
    <w:rsid w:val="00B92818"/>
    <w:rsid w:val="00B92923"/>
    <w:rsid w:val="00B929C3"/>
    <w:rsid w:val="00B929D6"/>
    <w:rsid w:val="00B92A19"/>
    <w:rsid w:val="00B92A39"/>
    <w:rsid w:val="00B92A44"/>
    <w:rsid w:val="00B92A57"/>
    <w:rsid w:val="00B92A79"/>
    <w:rsid w:val="00B92AC1"/>
    <w:rsid w:val="00B92AF1"/>
    <w:rsid w:val="00B92B3A"/>
    <w:rsid w:val="00B92B55"/>
    <w:rsid w:val="00B92B7F"/>
    <w:rsid w:val="00B92B93"/>
    <w:rsid w:val="00B92B9E"/>
    <w:rsid w:val="00B92C18"/>
    <w:rsid w:val="00B92C6B"/>
    <w:rsid w:val="00B92CB1"/>
    <w:rsid w:val="00B92CE5"/>
    <w:rsid w:val="00B92CE7"/>
    <w:rsid w:val="00B92D05"/>
    <w:rsid w:val="00B92D2E"/>
    <w:rsid w:val="00B92D3F"/>
    <w:rsid w:val="00B92D9B"/>
    <w:rsid w:val="00B92D9E"/>
    <w:rsid w:val="00B92DAA"/>
    <w:rsid w:val="00B92E0B"/>
    <w:rsid w:val="00B92E9F"/>
    <w:rsid w:val="00B92ECC"/>
    <w:rsid w:val="00B92F40"/>
    <w:rsid w:val="00B92F48"/>
    <w:rsid w:val="00B92F5F"/>
    <w:rsid w:val="00B9305D"/>
    <w:rsid w:val="00B9305E"/>
    <w:rsid w:val="00B93083"/>
    <w:rsid w:val="00B930B3"/>
    <w:rsid w:val="00B930BB"/>
    <w:rsid w:val="00B93134"/>
    <w:rsid w:val="00B9315C"/>
    <w:rsid w:val="00B9316C"/>
    <w:rsid w:val="00B93173"/>
    <w:rsid w:val="00B93180"/>
    <w:rsid w:val="00B931D0"/>
    <w:rsid w:val="00B9322B"/>
    <w:rsid w:val="00B9329E"/>
    <w:rsid w:val="00B932CA"/>
    <w:rsid w:val="00B93375"/>
    <w:rsid w:val="00B933B0"/>
    <w:rsid w:val="00B9342D"/>
    <w:rsid w:val="00B93438"/>
    <w:rsid w:val="00B93468"/>
    <w:rsid w:val="00B934E3"/>
    <w:rsid w:val="00B93520"/>
    <w:rsid w:val="00B93544"/>
    <w:rsid w:val="00B93549"/>
    <w:rsid w:val="00B9354D"/>
    <w:rsid w:val="00B93597"/>
    <w:rsid w:val="00B935FD"/>
    <w:rsid w:val="00B93630"/>
    <w:rsid w:val="00B93646"/>
    <w:rsid w:val="00B93654"/>
    <w:rsid w:val="00B936CA"/>
    <w:rsid w:val="00B93730"/>
    <w:rsid w:val="00B93733"/>
    <w:rsid w:val="00B937BA"/>
    <w:rsid w:val="00B937EE"/>
    <w:rsid w:val="00B937F0"/>
    <w:rsid w:val="00B93804"/>
    <w:rsid w:val="00B93825"/>
    <w:rsid w:val="00B93852"/>
    <w:rsid w:val="00B93856"/>
    <w:rsid w:val="00B93857"/>
    <w:rsid w:val="00B938AB"/>
    <w:rsid w:val="00B938D9"/>
    <w:rsid w:val="00B93919"/>
    <w:rsid w:val="00B93947"/>
    <w:rsid w:val="00B93A2F"/>
    <w:rsid w:val="00B93A74"/>
    <w:rsid w:val="00B93A82"/>
    <w:rsid w:val="00B93B72"/>
    <w:rsid w:val="00B93BAE"/>
    <w:rsid w:val="00B93BBE"/>
    <w:rsid w:val="00B93BC5"/>
    <w:rsid w:val="00B93BEF"/>
    <w:rsid w:val="00B93C72"/>
    <w:rsid w:val="00B93CBC"/>
    <w:rsid w:val="00B93D43"/>
    <w:rsid w:val="00B93D86"/>
    <w:rsid w:val="00B93DA9"/>
    <w:rsid w:val="00B93DBC"/>
    <w:rsid w:val="00B93DC9"/>
    <w:rsid w:val="00B93DDB"/>
    <w:rsid w:val="00B93DDD"/>
    <w:rsid w:val="00B93E06"/>
    <w:rsid w:val="00B93E46"/>
    <w:rsid w:val="00B93E74"/>
    <w:rsid w:val="00B93E77"/>
    <w:rsid w:val="00B93E81"/>
    <w:rsid w:val="00B93EC2"/>
    <w:rsid w:val="00B93EC6"/>
    <w:rsid w:val="00B93EE7"/>
    <w:rsid w:val="00B93F11"/>
    <w:rsid w:val="00B93F29"/>
    <w:rsid w:val="00B93F50"/>
    <w:rsid w:val="00B93F7F"/>
    <w:rsid w:val="00B93FA4"/>
    <w:rsid w:val="00B93FC2"/>
    <w:rsid w:val="00B93FC9"/>
    <w:rsid w:val="00B93FEC"/>
    <w:rsid w:val="00B9403D"/>
    <w:rsid w:val="00B94043"/>
    <w:rsid w:val="00B9404C"/>
    <w:rsid w:val="00B9407D"/>
    <w:rsid w:val="00B9416C"/>
    <w:rsid w:val="00B94187"/>
    <w:rsid w:val="00B94267"/>
    <w:rsid w:val="00B94284"/>
    <w:rsid w:val="00B94287"/>
    <w:rsid w:val="00B942B6"/>
    <w:rsid w:val="00B9435B"/>
    <w:rsid w:val="00B94363"/>
    <w:rsid w:val="00B9438B"/>
    <w:rsid w:val="00B943AD"/>
    <w:rsid w:val="00B94427"/>
    <w:rsid w:val="00B944CF"/>
    <w:rsid w:val="00B9451E"/>
    <w:rsid w:val="00B94581"/>
    <w:rsid w:val="00B94615"/>
    <w:rsid w:val="00B94635"/>
    <w:rsid w:val="00B94645"/>
    <w:rsid w:val="00B94662"/>
    <w:rsid w:val="00B946DC"/>
    <w:rsid w:val="00B946F1"/>
    <w:rsid w:val="00B94735"/>
    <w:rsid w:val="00B9478C"/>
    <w:rsid w:val="00B947C3"/>
    <w:rsid w:val="00B947C4"/>
    <w:rsid w:val="00B947D6"/>
    <w:rsid w:val="00B947D9"/>
    <w:rsid w:val="00B947F1"/>
    <w:rsid w:val="00B94815"/>
    <w:rsid w:val="00B94837"/>
    <w:rsid w:val="00B94842"/>
    <w:rsid w:val="00B94883"/>
    <w:rsid w:val="00B948D8"/>
    <w:rsid w:val="00B9490B"/>
    <w:rsid w:val="00B9492F"/>
    <w:rsid w:val="00B9499E"/>
    <w:rsid w:val="00B94B28"/>
    <w:rsid w:val="00B94BF0"/>
    <w:rsid w:val="00B94C33"/>
    <w:rsid w:val="00B94C4C"/>
    <w:rsid w:val="00B94C66"/>
    <w:rsid w:val="00B94CA2"/>
    <w:rsid w:val="00B94CD0"/>
    <w:rsid w:val="00B94D1F"/>
    <w:rsid w:val="00B94DDF"/>
    <w:rsid w:val="00B94DF2"/>
    <w:rsid w:val="00B94E70"/>
    <w:rsid w:val="00B94E8D"/>
    <w:rsid w:val="00B94E9E"/>
    <w:rsid w:val="00B94EAA"/>
    <w:rsid w:val="00B94EC6"/>
    <w:rsid w:val="00B94F31"/>
    <w:rsid w:val="00B94F90"/>
    <w:rsid w:val="00B94F97"/>
    <w:rsid w:val="00B94FE9"/>
    <w:rsid w:val="00B94FF6"/>
    <w:rsid w:val="00B9507C"/>
    <w:rsid w:val="00B9509D"/>
    <w:rsid w:val="00B950AD"/>
    <w:rsid w:val="00B95107"/>
    <w:rsid w:val="00B9518A"/>
    <w:rsid w:val="00B9519C"/>
    <w:rsid w:val="00B95204"/>
    <w:rsid w:val="00B9523E"/>
    <w:rsid w:val="00B9527C"/>
    <w:rsid w:val="00B952B4"/>
    <w:rsid w:val="00B9532D"/>
    <w:rsid w:val="00B95331"/>
    <w:rsid w:val="00B95349"/>
    <w:rsid w:val="00B95355"/>
    <w:rsid w:val="00B95370"/>
    <w:rsid w:val="00B953A1"/>
    <w:rsid w:val="00B953CA"/>
    <w:rsid w:val="00B953F5"/>
    <w:rsid w:val="00B9545C"/>
    <w:rsid w:val="00B954AA"/>
    <w:rsid w:val="00B954F0"/>
    <w:rsid w:val="00B9554B"/>
    <w:rsid w:val="00B9556C"/>
    <w:rsid w:val="00B955A5"/>
    <w:rsid w:val="00B955B3"/>
    <w:rsid w:val="00B955D1"/>
    <w:rsid w:val="00B955DE"/>
    <w:rsid w:val="00B955FB"/>
    <w:rsid w:val="00B95606"/>
    <w:rsid w:val="00B95618"/>
    <w:rsid w:val="00B9563C"/>
    <w:rsid w:val="00B956DC"/>
    <w:rsid w:val="00B9574D"/>
    <w:rsid w:val="00B95791"/>
    <w:rsid w:val="00B957AD"/>
    <w:rsid w:val="00B95811"/>
    <w:rsid w:val="00B958D6"/>
    <w:rsid w:val="00B958E4"/>
    <w:rsid w:val="00B958E7"/>
    <w:rsid w:val="00B9594E"/>
    <w:rsid w:val="00B95960"/>
    <w:rsid w:val="00B95A48"/>
    <w:rsid w:val="00B95A4E"/>
    <w:rsid w:val="00B95AB4"/>
    <w:rsid w:val="00B95B1B"/>
    <w:rsid w:val="00B95B3A"/>
    <w:rsid w:val="00B95B42"/>
    <w:rsid w:val="00B95B5A"/>
    <w:rsid w:val="00B95B67"/>
    <w:rsid w:val="00B95BA2"/>
    <w:rsid w:val="00B95BC0"/>
    <w:rsid w:val="00B95BE3"/>
    <w:rsid w:val="00B95BE6"/>
    <w:rsid w:val="00B95BF8"/>
    <w:rsid w:val="00B95C03"/>
    <w:rsid w:val="00B95C1F"/>
    <w:rsid w:val="00B95C49"/>
    <w:rsid w:val="00B95C7A"/>
    <w:rsid w:val="00B95CDF"/>
    <w:rsid w:val="00B95CF4"/>
    <w:rsid w:val="00B95D0C"/>
    <w:rsid w:val="00B95D27"/>
    <w:rsid w:val="00B95D35"/>
    <w:rsid w:val="00B95D8A"/>
    <w:rsid w:val="00B95DD5"/>
    <w:rsid w:val="00B95DE3"/>
    <w:rsid w:val="00B95E21"/>
    <w:rsid w:val="00B95E34"/>
    <w:rsid w:val="00B95E43"/>
    <w:rsid w:val="00B95E80"/>
    <w:rsid w:val="00B95EB3"/>
    <w:rsid w:val="00B95EB5"/>
    <w:rsid w:val="00B95F23"/>
    <w:rsid w:val="00B95F54"/>
    <w:rsid w:val="00B95FAA"/>
    <w:rsid w:val="00B95FC1"/>
    <w:rsid w:val="00B95FCC"/>
    <w:rsid w:val="00B960A8"/>
    <w:rsid w:val="00B960C2"/>
    <w:rsid w:val="00B96108"/>
    <w:rsid w:val="00B9619D"/>
    <w:rsid w:val="00B96284"/>
    <w:rsid w:val="00B962A0"/>
    <w:rsid w:val="00B962D1"/>
    <w:rsid w:val="00B96313"/>
    <w:rsid w:val="00B9634A"/>
    <w:rsid w:val="00B96361"/>
    <w:rsid w:val="00B963BA"/>
    <w:rsid w:val="00B963C2"/>
    <w:rsid w:val="00B963DA"/>
    <w:rsid w:val="00B96423"/>
    <w:rsid w:val="00B9646C"/>
    <w:rsid w:val="00B964C0"/>
    <w:rsid w:val="00B96549"/>
    <w:rsid w:val="00B965D0"/>
    <w:rsid w:val="00B96602"/>
    <w:rsid w:val="00B96625"/>
    <w:rsid w:val="00B9663E"/>
    <w:rsid w:val="00B96648"/>
    <w:rsid w:val="00B96655"/>
    <w:rsid w:val="00B9667E"/>
    <w:rsid w:val="00B966A6"/>
    <w:rsid w:val="00B966A8"/>
    <w:rsid w:val="00B966EA"/>
    <w:rsid w:val="00B9673F"/>
    <w:rsid w:val="00B96770"/>
    <w:rsid w:val="00B967A3"/>
    <w:rsid w:val="00B967AF"/>
    <w:rsid w:val="00B9684B"/>
    <w:rsid w:val="00B9686F"/>
    <w:rsid w:val="00B9687B"/>
    <w:rsid w:val="00B96896"/>
    <w:rsid w:val="00B9692C"/>
    <w:rsid w:val="00B9693E"/>
    <w:rsid w:val="00B96947"/>
    <w:rsid w:val="00B96972"/>
    <w:rsid w:val="00B969BC"/>
    <w:rsid w:val="00B969C3"/>
    <w:rsid w:val="00B96A09"/>
    <w:rsid w:val="00B96A17"/>
    <w:rsid w:val="00B96A56"/>
    <w:rsid w:val="00B96A5D"/>
    <w:rsid w:val="00B96A86"/>
    <w:rsid w:val="00B96AD7"/>
    <w:rsid w:val="00B96B37"/>
    <w:rsid w:val="00B96B4F"/>
    <w:rsid w:val="00B96B7D"/>
    <w:rsid w:val="00B96B91"/>
    <w:rsid w:val="00B96BC0"/>
    <w:rsid w:val="00B96C0C"/>
    <w:rsid w:val="00B96C14"/>
    <w:rsid w:val="00B96C2B"/>
    <w:rsid w:val="00B96C47"/>
    <w:rsid w:val="00B96C7D"/>
    <w:rsid w:val="00B96CA9"/>
    <w:rsid w:val="00B96CC1"/>
    <w:rsid w:val="00B96E0A"/>
    <w:rsid w:val="00B96E32"/>
    <w:rsid w:val="00B96EAA"/>
    <w:rsid w:val="00B96F38"/>
    <w:rsid w:val="00B96F5F"/>
    <w:rsid w:val="00B96F69"/>
    <w:rsid w:val="00B97009"/>
    <w:rsid w:val="00B97013"/>
    <w:rsid w:val="00B9705D"/>
    <w:rsid w:val="00B97062"/>
    <w:rsid w:val="00B970A1"/>
    <w:rsid w:val="00B970FE"/>
    <w:rsid w:val="00B97115"/>
    <w:rsid w:val="00B9711F"/>
    <w:rsid w:val="00B9712F"/>
    <w:rsid w:val="00B971A1"/>
    <w:rsid w:val="00B971B9"/>
    <w:rsid w:val="00B971DC"/>
    <w:rsid w:val="00B9721F"/>
    <w:rsid w:val="00B97230"/>
    <w:rsid w:val="00B972C4"/>
    <w:rsid w:val="00B972E7"/>
    <w:rsid w:val="00B972F3"/>
    <w:rsid w:val="00B97342"/>
    <w:rsid w:val="00B973AF"/>
    <w:rsid w:val="00B973E6"/>
    <w:rsid w:val="00B973EC"/>
    <w:rsid w:val="00B9740E"/>
    <w:rsid w:val="00B97413"/>
    <w:rsid w:val="00B97472"/>
    <w:rsid w:val="00B974C7"/>
    <w:rsid w:val="00B974CD"/>
    <w:rsid w:val="00B974E7"/>
    <w:rsid w:val="00B974F7"/>
    <w:rsid w:val="00B9752E"/>
    <w:rsid w:val="00B97570"/>
    <w:rsid w:val="00B97588"/>
    <w:rsid w:val="00B975AA"/>
    <w:rsid w:val="00B975CA"/>
    <w:rsid w:val="00B975FD"/>
    <w:rsid w:val="00B975FF"/>
    <w:rsid w:val="00B976B1"/>
    <w:rsid w:val="00B97705"/>
    <w:rsid w:val="00B97782"/>
    <w:rsid w:val="00B97795"/>
    <w:rsid w:val="00B97823"/>
    <w:rsid w:val="00B97894"/>
    <w:rsid w:val="00B978AA"/>
    <w:rsid w:val="00B978B2"/>
    <w:rsid w:val="00B978C6"/>
    <w:rsid w:val="00B978DB"/>
    <w:rsid w:val="00B97ABC"/>
    <w:rsid w:val="00B97ACF"/>
    <w:rsid w:val="00B97B0B"/>
    <w:rsid w:val="00B97B16"/>
    <w:rsid w:val="00B97B27"/>
    <w:rsid w:val="00B97B2C"/>
    <w:rsid w:val="00B97B2D"/>
    <w:rsid w:val="00B97C10"/>
    <w:rsid w:val="00B97C8D"/>
    <w:rsid w:val="00B97D39"/>
    <w:rsid w:val="00B97D40"/>
    <w:rsid w:val="00B97D45"/>
    <w:rsid w:val="00B97D56"/>
    <w:rsid w:val="00B97DBE"/>
    <w:rsid w:val="00B97E01"/>
    <w:rsid w:val="00B97E34"/>
    <w:rsid w:val="00B97F01"/>
    <w:rsid w:val="00B97F1F"/>
    <w:rsid w:val="00B97F2B"/>
    <w:rsid w:val="00B97F5F"/>
    <w:rsid w:val="00B97F81"/>
    <w:rsid w:val="00B97FB4"/>
    <w:rsid w:val="00BA0057"/>
    <w:rsid w:val="00BA0070"/>
    <w:rsid w:val="00BA0086"/>
    <w:rsid w:val="00BA0088"/>
    <w:rsid w:val="00BA00C5"/>
    <w:rsid w:val="00BA00F3"/>
    <w:rsid w:val="00BA0109"/>
    <w:rsid w:val="00BA01C6"/>
    <w:rsid w:val="00BA01CB"/>
    <w:rsid w:val="00BA02E7"/>
    <w:rsid w:val="00BA02F3"/>
    <w:rsid w:val="00BA02FE"/>
    <w:rsid w:val="00BA0323"/>
    <w:rsid w:val="00BA0359"/>
    <w:rsid w:val="00BA035B"/>
    <w:rsid w:val="00BA0394"/>
    <w:rsid w:val="00BA0430"/>
    <w:rsid w:val="00BA0487"/>
    <w:rsid w:val="00BA050A"/>
    <w:rsid w:val="00BA0527"/>
    <w:rsid w:val="00BA063C"/>
    <w:rsid w:val="00BA076A"/>
    <w:rsid w:val="00BA0788"/>
    <w:rsid w:val="00BA07A0"/>
    <w:rsid w:val="00BA07C5"/>
    <w:rsid w:val="00BA07F3"/>
    <w:rsid w:val="00BA0824"/>
    <w:rsid w:val="00BA0885"/>
    <w:rsid w:val="00BA088A"/>
    <w:rsid w:val="00BA08AF"/>
    <w:rsid w:val="00BA08EB"/>
    <w:rsid w:val="00BA0925"/>
    <w:rsid w:val="00BA094C"/>
    <w:rsid w:val="00BA0988"/>
    <w:rsid w:val="00BA09B4"/>
    <w:rsid w:val="00BA09C1"/>
    <w:rsid w:val="00BA09FB"/>
    <w:rsid w:val="00BA0A75"/>
    <w:rsid w:val="00BA0ABF"/>
    <w:rsid w:val="00BA0AF2"/>
    <w:rsid w:val="00BA0AF7"/>
    <w:rsid w:val="00BA0B0B"/>
    <w:rsid w:val="00BA0B9C"/>
    <w:rsid w:val="00BA0BBA"/>
    <w:rsid w:val="00BA0BD6"/>
    <w:rsid w:val="00BA0BDF"/>
    <w:rsid w:val="00BA0C56"/>
    <w:rsid w:val="00BA0C88"/>
    <w:rsid w:val="00BA0CD0"/>
    <w:rsid w:val="00BA0D20"/>
    <w:rsid w:val="00BA0D25"/>
    <w:rsid w:val="00BA0D74"/>
    <w:rsid w:val="00BA0D89"/>
    <w:rsid w:val="00BA0DBD"/>
    <w:rsid w:val="00BA0DD5"/>
    <w:rsid w:val="00BA0DDA"/>
    <w:rsid w:val="00BA0DEA"/>
    <w:rsid w:val="00BA0E58"/>
    <w:rsid w:val="00BA0E92"/>
    <w:rsid w:val="00BA0EB9"/>
    <w:rsid w:val="00BA0EEA"/>
    <w:rsid w:val="00BA0EEF"/>
    <w:rsid w:val="00BA0F0C"/>
    <w:rsid w:val="00BA0F2D"/>
    <w:rsid w:val="00BA0F8F"/>
    <w:rsid w:val="00BA1015"/>
    <w:rsid w:val="00BA1030"/>
    <w:rsid w:val="00BA1060"/>
    <w:rsid w:val="00BA1083"/>
    <w:rsid w:val="00BA1126"/>
    <w:rsid w:val="00BA114E"/>
    <w:rsid w:val="00BA117B"/>
    <w:rsid w:val="00BA11DF"/>
    <w:rsid w:val="00BA11E3"/>
    <w:rsid w:val="00BA11F5"/>
    <w:rsid w:val="00BA1259"/>
    <w:rsid w:val="00BA1267"/>
    <w:rsid w:val="00BA126F"/>
    <w:rsid w:val="00BA127E"/>
    <w:rsid w:val="00BA128F"/>
    <w:rsid w:val="00BA12AA"/>
    <w:rsid w:val="00BA12C8"/>
    <w:rsid w:val="00BA1325"/>
    <w:rsid w:val="00BA134A"/>
    <w:rsid w:val="00BA13C6"/>
    <w:rsid w:val="00BA1436"/>
    <w:rsid w:val="00BA1537"/>
    <w:rsid w:val="00BA161A"/>
    <w:rsid w:val="00BA1664"/>
    <w:rsid w:val="00BA166B"/>
    <w:rsid w:val="00BA16AF"/>
    <w:rsid w:val="00BA1707"/>
    <w:rsid w:val="00BA1749"/>
    <w:rsid w:val="00BA1750"/>
    <w:rsid w:val="00BA177A"/>
    <w:rsid w:val="00BA1825"/>
    <w:rsid w:val="00BA183D"/>
    <w:rsid w:val="00BA1864"/>
    <w:rsid w:val="00BA1883"/>
    <w:rsid w:val="00BA1913"/>
    <w:rsid w:val="00BA199F"/>
    <w:rsid w:val="00BA19B6"/>
    <w:rsid w:val="00BA19DB"/>
    <w:rsid w:val="00BA1A06"/>
    <w:rsid w:val="00BA1A8F"/>
    <w:rsid w:val="00BA1A92"/>
    <w:rsid w:val="00BA1AC0"/>
    <w:rsid w:val="00BA1B21"/>
    <w:rsid w:val="00BA1B68"/>
    <w:rsid w:val="00BA1B6F"/>
    <w:rsid w:val="00BA1B95"/>
    <w:rsid w:val="00BA1BA5"/>
    <w:rsid w:val="00BA1BD0"/>
    <w:rsid w:val="00BA1C7C"/>
    <w:rsid w:val="00BA1C86"/>
    <w:rsid w:val="00BA1CB5"/>
    <w:rsid w:val="00BA1CF1"/>
    <w:rsid w:val="00BA1CFC"/>
    <w:rsid w:val="00BA1CFE"/>
    <w:rsid w:val="00BA1DDC"/>
    <w:rsid w:val="00BA1DDD"/>
    <w:rsid w:val="00BA1E8D"/>
    <w:rsid w:val="00BA1EE5"/>
    <w:rsid w:val="00BA1EF3"/>
    <w:rsid w:val="00BA1F03"/>
    <w:rsid w:val="00BA1F98"/>
    <w:rsid w:val="00BA1FB3"/>
    <w:rsid w:val="00BA1FB6"/>
    <w:rsid w:val="00BA1FDA"/>
    <w:rsid w:val="00BA1FF6"/>
    <w:rsid w:val="00BA2026"/>
    <w:rsid w:val="00BA20AD"/>
    <w:rsid w:val="00BA20D4"/>
    <w:rsid w:val="00BA20E5"/>
    <w:rsid w:val="00BA20E9"/>
    <w:rsid w:val="00BA212A"/>
    <w:rsid w:val="00BA214A"/>
    <w:rsid w:val="00BA2198"/>
    <w:rsid w:val="00BA21CC"/>
    <w:rsid w:val="00BA2236"/>
    <w:rsid w:val="00BA224B"/>
    <w:rsid w:val="00BA2253"/>
    <w:rsid w:val="00BA22E8"/>
    <w:rsid w:val="00BA22ED"/>
    <w:rsid w:val="00BA2328"/>
    <w:rsid w:val="00BA23FE"/>
    <w:rsid w:val="00BA2420"/>
    <w:rsid w:val="00BA2429"/>
    <w:rsid w:val="00BA2466"/>
    <w:rsid w:val="00BA247A"/>
    <w:rsid w:val="00BA2487"/>
    <w:rsid w:val="00BA24E0"/>
    <w:rsid w:val="00BA2507"/>
    <w:rsid w:val="00BA2537"/>
    <w:rsid w:val="00BA253A"/>
    <w:rsid w:val="00BA2599"/>
    <w:rsid w:val="00BA25B2"/>
    <w:rsid w:val="00BA2602"/>
    <w:rsid w:val="00BA2640"/>
    <w:rsid w:val="00BA2674"/>
    <w:rsid w:val="00BA2677"/>
    <w:rsid w:val="00BA26D4"/>
    <w:rsid w:val="00BA26FE"/>
    <w:rsid w:val="00BA2790"/>
    <w:rsid w:val="00BA27AD"/>
    <w:rsid w:val="00BA27F8"/>
    <w:rsid w:val="00BA2879"/>
    <w:rsid w:val="00BA2895"/>
    <w:rsid w:val="00BA289D"/>
    <w:rsid w:val="00BA28B2"/>
    <w:rsid w:val="00BA290F"/>
    <w:rsid w:val="00BA2910"/>
    <w:rsid w:val="00BA293B"/>
    <w:rsid w:val="00BA298B"/>
    <w:rsid w:val="00BA2A9E"/>
    <w:rsid w:val="00BA2AE7"/>
    <w:rsid w:val="00BA2B09"/>
    <w:rsid w:val="00BA2B93"/>
    <w:rsid w:val="00BA2BAC"/>
    <w:rsid w:val="00BA2BB0"/>
    <w:rsid w:val="00BA2C1A"/>
    <w:rsid w:val="00BA2C25"/>
    <w:rsid w:val="00BA2C29"/>
    <w:rsid w:val="00BA2C92"/>
    <w:rsid w:val="00BA2D1B"/>
    <w:rsid w:val="00BA2D21"/>
    <w:rsid w:val="00BA2D51"/>
    <w:rsid w:val="00BA2D58"/>
    <w:rsid w:val="00BA2D76"/>
    <w:rsid w:val="00BA2D8A"/>
    <w:rsid w:val="00BA2D9D"/>
    <w:rsid w:val="00BA2DB9"/>
    <w:rsid w:val="00BA2DBE"/>
    <w:rsid w:val="00BA2DDC"/>
    <w:rsid w:val="00BA2E12"/>
    <w:rsid w:val="00BA2E2F"/>
    <w:rsid w:val="00BA2E3A"/>
    <w:rsid w:val="00BA2E84"/>
    <w:rsid w:val="00BA2E9F"/>
    <w:rsid w:val="00BA2EB3"/>
    <w:rsid w:val="00BA2EB4"/>
    <w:rsid w:val="00BA2EBA"/>
    <w:rsid w:val="00BA2EE7"/>
    <w:rsid w:val="00BA2F34"/>
    <w:rsid w:val="00BA2FC2"/>
    <w:rsid w:val="00BA2FC4"/>
    <w:rsid w:val="00BA2FEF"/>
    <w:rsid w:val="00BA301B"/>
    <w:rsid w:val="00BA3050"/>
    <w:rsid w:val="00BA3064"/>
    <w:rsid w:val="00BA3070"/>
    <w:rsid w:val="00BA308C"/>
    <w:rsid w:val="00BA30D0"/>
    <w:rsid w:val="00BA3122"/>
    <w:rsid w:val="00BA3152"/>
    <w:rsid w:val="00BA315F"/>
    <w:rsid w:val="00BA31F8"/>
    <w:rsid w:val="00BA31FE"/>
    <w:rsid w:val="00BA324D"/>
    <w:rsid w:val="00BA3257"/>
    <w:rsid w:val="00BA32AB"/>
    <w:rsid w:val="00BA332A"/>
    <w:rsid w:val="00BA33C7"/>
    <w:rsid w:val="00BA33D9"/>
    <w:rsid w:val="00BA341C"/>
    <w:rsid w:val="00BA3434"/>
    <w:rsid w:val="00BA3494"/>
    <w:rsid w:val="00BA34B5"/>
    <w:rsid w:val="00BA3510"/>
    <w:rsid w:val="00BA3524"/>
    <w:rsid w:val="00BA3574"/>
    <w:rsid w:val="00BA360B"/>
    <w:rsid w:val="00BA362F"/>
    <w:rsid w:val="00BA36C5"/>
    <w:rsid w:val="00BA3725"/>
    <w:rsid w:val="00BA3783"/>
    <w:rsid w:val="00BA37F2"/>
    <w:rsid w:val="00BA38CD"/>
    <w:rsid w:val="00BA39A2"/>
    <w:rsid w:val="00BA39AA"/>
    <w:rsid w:val="00BA39E2"/>
    <w:rsid w:val="00BA39EC"/>
    <w:rsid w:val="00BA3A7C"/>
    <w:rsid w:val="00BA3A86"/>
    <w:rsid w:val="00BA3AB5"/>
    <w:rsid w:val="00BA3AF9"/>
    <w:rsid w:val="00BA3B19"/>
    <w:rsid w:val="00BA3B53"/>
    <w:rsid w:val="00BA3B5E"/>
    <w:rsid w:val="00BA3B72"/>
    <w:rsid w:val="00BA3BD2"/>
    <w:rsid w:val="00BA3BDA"/>
    <w:rsid w:val="00BA3BE9"/>
    <w:rsid w:val="00BA3C2A"/>
    <w:rsid w:val="00BA3CD0"/>
    <w:rsid w:val="00BA3CD9"/>
    <w:rsid w:val="00BA3CE8"/>
    <w:rsid w:val="00BA3D55"/>
    <w:rsid w:val="00BA3DB5"/>
    <w:rsid w:val="00BA3DD4"/>
    <w:rsid w:val="00BA3DEC"/>
    <w:rsid w:val="00BA3E01"/>
    <w:rsid w:val="00BA3E44"/>
    <w:rsid w:val="00BA3E97"/>
    <w:rsid w:val="00BA3EBF"/>
    <w:rsid w:val="00BA3ED1"/>
    <w:rsid w:val="00BA3EFC"/>
    <w:rsid w:val="00BA3F24"/>
    <w:rsid w:val="00BA3F46"/>
    <w:rsid w:val="00BA3F7F"/>
    <w:rsid w:val="00BA3F81"/>
    <w:rsid w:val="00BA3FFB"/>
    <w:rsid w:val="00BA403F"/>
    <w:rsid w:val="00BA4069"/>
    <w:rsid w:val="00BA406A"/>
    <w:rsid w:val="00BA4082"/>
    <w:rsid w:val="00BA4083"/>
    <w:rsid w:val="00BA40B7"/>
    <w:rsid w:val="00BA40CA"/>
    <w:rsid w:val="00BA40D0"/>
    <w:rsid w:val="00BA40E5"/>
    <w:rsid w:val="00BA4150"/>
    <w:rsid w:val="00BA4186"/>
    <w:rsid w:val="00BA41B9"/>
    <w:rsid w:val="00BA4202"/>
    <w:rsid w:val="00BA4391"/>
    <w:rsid w:val="00BA43C1"/>
    <w:rsid w:val="00BA43E4"/>
    <w:rsid w:val="00BA4473"/>
    <w:rsid w:val="00BA448E"/>
    <w:rsid w:val="00BA4580"/>
    <w:rsid w:val="00BA45AD"/>
    <w:rsid w:val="00BA45B4"/>
    <w:rsid w:val="00BA45DA"/>
    <w:rsid w:val="00BA45E4"/>
    <w:rsid w:val="00BA4601"/>
    <w:rsid w:val="00BA4609"/>
    <w:rsid w:val="00BA460A"/>
    <w:rsid w:val="00BA4645"/>
    <w:rsid w:val="00BA465C"/>
    <w:rsid w:val="00BA468B"/>
    <w:rsid w:val="00BA469A"/>
    <w:rsid w:val="00BA46C7"/>
    <w:rsid w:val="00BA46F9"/>
    <w:rsid w:val="00BA4773"/>
    <w:rsid w:val="00BA477E"/>
    <w:rsid w:val="00BA47FA"/>
    <w:rsid w:val="00BA487B"/>
    <w:rsid w:val="00BA4882"/>
    <w:rsid w:val="00BA4898"/>
    <w:rsid w:val="00BA496D"/>
    <w:rsid w:val="00BA49D7"/>
    <w:rsid w:val="00BA4A18"/>
    <w:rsid w:val="00BA4A20"/>
    <w:rsid w:val="00BA4A54"/>
    <w:rsid w:val="00BA4A6A"/>
    <w:rsid w:val="00BA4B25"/>
    <w:rsid w:val="00BA4B70"/>
    <w:rsid w:val="00BA4BB3"/>
    <w:rsid w:val="00BA4BEB"/>
    <w:rsid w:val="00BA4C3C"/>
    <w:rsid w:val="00BA4C57"/>
    <w:rsid w:val="00BA4C90"/>
    <w:rsid w:val="00BA4CA6"/>
    <w:rsid w:val="00BA4DC1"/>
    <w:rsid w:val="00BA4DEB"/>
    <w:rsid w:val="00BA4E1F"/>
    <w:rsid w:val="00BA4E67"/>
    <w:rsid w:val="00BA4E82"/>
    <w:rsid w:val="00BA4F1D"/>
    <w:rsid w:val="00BA4F84"/>
    <w:rsid w:val="00BA4F96"/>
    <w:rsid w:val="00BA4FA7"/>
    <w:rsid w:val="00BA4FBA"/>
    <w:rsid w:val="00BA4FC2"/>
    <w:rsid w:val="00BA4FF5"/>
    <w:rsid w:val="00BA5002"/>
    <w:rsid w:val="00BA503E"/>
    <w:rsid w:val="00BA50C0"/>
    <w:rsid w:val="00BA50D6"/>
    <w:rsid w:val="00BA50EC"/>
    <w:rsid w:val="00BA5113"/>
    <w:rsid w:val="00BA5194"/>
    <w:rsid w:val="00BA51EE"/>
    <w:rsid w:val="00BA5236"/>
    <w:rsid w:val="00BA5241"/>
    <w:rsid w:val="00BA525F"/>
    <w:rsid w:val="00BA5274"/>
    <w:rsid w:val="00BA52A7"/>
    <w:rsid w:val="00BA52B2"/>
    <w:rsid w:val="00BA5330"/>
    <w:rsid w:val="00BA535B"/>
    <w:rsid w:val="00BA536B"/>
    <w:rsid w:val="00BA53BF"/>
    <w:rsid w:val="00BA53D8"/>
    <w:rsid w:val="00BA53E6"/>
    <w:rsid w:val="00BA551C"/>
    <w:rsid w:val="00BA5521"/>
    <w:rsid w:val="00BA5528"/>
    <w:rsid w:val="00BA5566"/>
    <w:rsid w:val="00BA55B3"/>
    <w:rsid w:val="00BA55E8"/>
    <w:rsid w:val="00BA5604"/>
    <w:rsid w:val="00BA5662"/>
    <w:rsid w:val="00BA56C1"/>
    <w:rsid w:val="00BA5740"/>
    <w:rsid w:val="00BA574E"/>
    <w:rsid w:val="00BA576C"/>
    <w:rsid w:val="00BA57F7"/>
    <w:rsid w:val="00BA5A0E"/>
    <w:rsid w:val="00BA5A4D"/>
    <w:rsid w:val="00BA5A68"/>
    <w:rsid w:val="00BA5A90"/>
    <w:rsid w:val="00BA5A9B"/>
    <w:rsid w:val="00BA5A9F"/>
    <w:rsid w:val="00BA5AB0"/>
    <w:rsid w:val="00BA5ABD"/>
    <w:rsid w:val="00BA5AFD"/>
    <w:rsid w:val="00BA5B16"/>
    <w:rsid w:val="00BA5B41"/>
    <w:rsid w:val="00BA5B72"/>
    <w:rsid w:val="00BA5B79"/>
    <w:rsid w:val="00BA5BFF"/>
    <w:rsid w:val="00BA5C74"/>
    <w:rsid w:val="00BA5C75"/>
    <w:rsid w:val="00BA5C80"/>
    <w:rsid w:val="00BA5CC5"/>
    <w:rsid w:val="00BA5CF5"/>
    <w:rsid w:val="00BA5D4B"/>
    <w:rsid w:val="00BA5D5D"/>
    <w:rsid w:val="00BA5D7B"/>
    <w:rsid w:val="00BA5D87"/>
    <w:rsid w:val="00BA5DD7"/>
    <w:rsid w:val="00BA5DE0"/>
    <w:rsid w:val="00BA5DED"/>
    <w:rsid w:val="00BA5E05"/>
    <w:rsid w:val="00BA5E9C"/>
    <w:rsid w:val="00BA5EE7"/>
    <w:rsid w:val="00BA5EFF"/>
    <w:rsid w:val="00BA5F58"/>
    <w:rsid w:val="00BA605A"/>
    <w:rsid w:val="00BA6076"/>
    <w:rsid w:val="00BA6198"/>
    <w:rsid w:val="00BA620C"/>
    <w:rsid w:val="00BA6240"/>
    <w:rsid w:val="00BA62A4"/>
    <w:rsid w:val="00BA633B"/>
    <w:rsid w:val="00BA6379"/>
    <w:rsid w:val="00BA63B4"/>
    <w:rsid w:val="00BA6410"/>
    <w:rsid w:val="00BA6457"/>
    <w:rsid w:val="00BA64BB"/>
    <w:rsid w:val="00BA64FE"/>
    <w:rsid w:val="00BA6534"/>
    <w:rsid w:val="00BA65B4"/>
    <w:rsid w:val="00BA65F8"/>
    <w:rsid w:val="00BA6613"/>
    <w:rsid w:val="00BA664F"/>
    <w:rsid w:val="00BA6675"/>
    <w:rsid w:val="00BA6682"/>
    <w:rsid w:val="00BA669E"/>
    <w:rsid w:val="00BA66DD"/>
    <w:rsid w:val="00BA66F1"/>
    <w:rsid w:val="00BA6712"/>
    <w:rsid w:val="00BA6736"/>
    <w:rsid w:val="00BA6758"/>
    <w:rsid w:val="00BA676E"/>
    <w:rsid w:val="00BA6789"/>
    <w:rsid w:val="00BA678D"/>
    <w:rsid w:val="00BA6822"/>
    <w:rsid w:val="00BA6831"/>
    <w:rsid w:val="00BA687A"/>
    <w:rsid w:val="00BA68F1"/>
    <w:rsid w:val="00BA6903"/>
    <w:rsid w:val="00BA690A"/>
    <w:rsid w:val="00BA6941"/>
    <w:rsid w:val="00BA69A8"/>
    <w:rsid w:val="00BA69BA"/>
    <w:rsid w:val="00BA69C3"/>
    <w:rsid w:val="00BA69F4"/>
    <w:rsid w:val="00BA6A4D"/>
    <w:rsid w:val="00BA6AA8"/>
    <w:rsid w:val="00BA6ACF"/>
    <w:rsid w:val="00BA6B7D"/>
    <w:rsid w:val="00BA6BA4"/>
    <w:rsid w:val="00BA6BA8"/>
    <w:rsid w:val="00BA6BB1"/>
    <w:rsid w:val="00BA6C06"/>
    <w:rsid w:val="00BA6C1B"/>
    <w:rsid w:val="00BA6C40"/>
    <w:rsid w:val="00BA6C4A"/>
    <w:rsid w:val="00BA6C58"/>
    <w:rsid w:val="00BA6C7F"/>
    <w:rsid w:val="00BA6C8A"/>
    <w:rsid w:val="00BA6CE1"/>
    <w:rsid w:val="00BA6D39"/>
    <w:rsid w:val="00BA6D48"/>
    <w:rsid w:val="00BA6D49"/>
    <w:rsid w:val="00BA6D79"/>
    <w:rsid w:val="00BA6DFA"/>
    <w:rsid w:val="00BA6E7F"/>
    <w:rsid w:val="00BA6E98"/>
    <w:rsid w:val="00BA6E9B"/>
    <w:rsid w:val="00BA6EB3"/>
    <w:rsid w:val="00BA6EC9"/>
    <w:rsid w:val="00BA6EEF"/>
    <w:rsid w:val="00BA6F46"/>
    <w:rsid w:val="00BA6F67"/>
    <w:rsid w:val="00BA6FBC"/>
    <w:rsid w:val="00BA6FEE"/>
    <w:rsid w:val="00BA7018"/>
    <w:rsid w:val="00BA7075"/>
    <w:rsid w:val="00BA70EA"/>
    <w:rsid w:val="00BA7113"/>
    <w:rsid w:val="00BA71A8"/>
    <w:rsid w:val="00BA71DF"/>
    <w:rsid w:val="00BA7257"/>
    <w:rsid w:val="00BA72BD"/>
    <w:rsid w:val="00BA72F0"/>
    <w:rsid w:val="00BA730C"/>
    <w:rsid w:val="00BA733F"/>
    <w:rsid w:val="00BA7344"/>
    <w:rsid w:val="00BA7381"/>
    <w:rsid w:val="00BA7395"/>
    <w:rsid w:val="00BA740A"/>
    <w:rsid w:val="00BA7446"/>
    <w:rsid w:val="00BA7455"/>
    <w:rsid w:val="00BA745E"/>
    <w:rsid w:val="00BA7469"/>
    <w:rsid w:val="00BA7478"/>
    <w:rsid w:val="00BA7482"/>
    <w:rsid w:val="00BA749F"/>
    <w:rsid w:val="00BA74DC"/>
    <w:rsid w:val="00BA75ED"/>
    <w:rsid w:val="00BA7656"/>
    <w:rsid w:val="00BA7689"/>
    <w:rsid w:val="00BA769B"/>
    <w:rsid w:val="00BA76B7"/>
    <w:rsid w:val="00BA76DF"/>
    <w:rsid w:val="00BA772B"/>
    <w:rsid w:val="00BA7756"/>
    <w:rsid w:val="00BA777E"/>
    <w:rsid w:val="00BA778D"/>
    <w:rsid w:val="00BA77A9"/>
    <w:rsid w:val="00BA77E3"/>
    <w:rsid w:val="00BA7802"/>
    <w:rsid w:val="00BA788B"/>
    <w:rsid w:val="00BA78A7"/>
    <w:rsid w:val="00BA79DE"/>
    <w:rsid w:val="00BA7AB6"/>
    <w:rsid w:val="00BA7ABF"/>
    <w:rsid w:val="00BA7AF3"/>
    <w:rsid w:val="00BA7B66"/>
    <w:rsid w:val="00BA7B6E"/>
    <w:rsid w:val="00BA7C42"/>
    <w:rsid w:val="00BA7C7F"/>
    <w:rsid w:val="00BA7C8C"/>
    <w:rsid w:val="00BA7CDD"/>
    <w:rsid w:val="00BA7D96"/>
    <w:rsid w:val="00BA7DA6"/>
    <w:rsid w:val="00BA7DAC"/>
    <w:rsid w:val="00BA7DC4"/>
    <w:rsid w:val="00BA7E07"/>
    <w:rsid w:val="00BA7F41"/>
    <w:rsid w:val="00BA7F65"/>
    <w:rsid w:val="00BA7F9A"/>
    <w:rsid w:val="00BA7FBF"/>
    <w:rsid w:val="00BA7FED"/>
    <w:rsid w:val="00BA7FF6"/>
    <w:rsid w:val="00BB0004"/>
    <w:rsid w:val="00BB011A"/>
    <w:rsid w:val="00BB0145"/>
    <w:rsid w:val="00BB01B6"/>
    <w:rsid w:val="00BB01E0"/>
    <w:rsid w:val="00BB01E5"/>
    <w:rsid w:val="00BB01F7"/>
    <w:rsid w:val="00BB0230"/>
    <w:rsid w:val="00BB024B"/>
    <w:rsid w:val="00BB0272"/>
    <w:rsid w:val="00BB02BC"/>
    <w:rsid w:val="00BB02C4"/>
    <w:rsid w:val="00BB02D4"/>
    <w:rsid w:val="00BB030B"/>
    <w:rsid w:val="00BB031B"/>
    <w:rsid w:val="00BB033A"/>
    <w:rsid w:val="00BB0377"/>
    <w:rsid w:val="00BB0413"/>
    <w:rsid w:val="00BB0469"/>
    <w:rsid w:val="00BB0487"/>
    <w:rsid w:val="00BB04B9"/>
    <w:rsid w:val="00BB0518"/>
    <w:rsid w:val="00BB0536"/>
    <w:rsid w:val="00BB0581"/>
    <w:rsid w:val="00BB058D"/>
    <w:rsid w:val="00BB05CC"/>
    <w:rsid w:val="00BB062E"/>
    <w:rsid w:val="00BB0673"/>
    <w:rsid w:val="00BB067C"/>
    <w:rsid w:val="00BB06A0"/>
    <w:rsid w:val="00BB06B6"/>
    <w:rsid w:val="00BB0724"/>
    <w:rsid w:val="00BB072A"/>
    <w:rsid w:val="00BB073A"/>
    <w:rsid w:val="00BB0767"/>
    <w:rsid w:val="00BB077E"/>
    <w:rsid w:val="00BB0885"/>
    <w:rsid w:val="00BB0893"/>
    <w:rsid w:val="00BB08E0"/>
    <w:rsid w:val="00BB091F"/>
    <w:rsid w:val="00BB095D"/>
    <w:rsid w:val="00BB09EE"/>
    <w:rsid w:val="00BB0A29"/>
    <w:rsid w:val="00BB0A40"/>
    <w:rsid w:val="00BB0AB3"/>
    <w:rsid w:val="00BB0AF6"/>
    <w:rsid w:val="00BB0B2E"/>
    <w:rsid w:val="00BB0B98"/>
    <w:rsid w:val="00BB0B9F"/>
    <w:rsid w:val="00BB0BD6"/>
    <w:rsid w:val="00BB0C37"/>
    <w:rsid w:val="00BB0C6B"/>
    <w:rsid w:val="00BB0D02"/>
    <w:rsid w:val="00BB0D0E"/>
    <w:rsid w:val="00BB0D7A"/>
    <w:rsid w:val="00BB0DAE"/>
    <w:rsid w:val="00BB0DD1"/>
    <w:rsid w:val="00BB0DFC"/>
    <w:rsid w:val="00BB0E16"/>
    <w:rsid w:val="00BB0E85"/>
    <w:rsid w:val="00BB0F09"/>
    <w:rsid w:val="00BB0F65"/>
    <w:rsid w:val="00BB0F6F"/>
    <w:rsid w:val="00BB0F82"/>
    <w:rsid w:val="00BB0F88"/>
    <w:rsid w:val="00BB1098"/>
    <w:rsid w:val="00BB109F"/>
    <w:rsid w:val="00BB10DE"/>
    <w:rsid w:val="00BB10FE"/>
    <w:rsid w:val="00BB110C"/>
    <w:rsid w:val="00BB1141"/>
    <w:rsid w:val="00BB1156"/>
    <w:rsid w:val="00BB115C"/>
    <w:rsid w:val="00BB11B1"/>
    <w:rsid w:val="00BB11CC"/>
    <w:rsid w:val="00BB1219"/>
    <w:rsid w:val="00BB1271"/>
    <w:rsid w:val="00BB129B"/>
    <w:rsid w:val="00BB12B4"/>
    <w:rsid w:val="00BB12EE"/>
    <w:rsid w:val="00BB1315"/>
    <w:rsid w:val="00BB1338"/>
    <w:rsid w:val="00BB1339"/>
    <w:rsid w:val="00BB133D"/>
    <w:rsid w:val="00BB1371"/>
    <w:rsid w:val="00BB142F"/>
    <w:rsid w:val="00BB14D7"/>
    <w:rsid w:val="00BB14DC"/>
    <w:rsid w:val="00BB14EE"/>
    <w:rsid w:val="00BB14FB"/>
    <w:rsid w:val="00BB1504"/>
    <w:rsid w:val="00BB1566"/>
    <w:rsid w:val="00BB156B"/>
    <w:rsid w:val="00BB15C7"/>
    <w:rsid w:val="00BB1624"/>
    <w:rsid w:val="00BB1691"/>
    <w:rsid w:val="00BB16B9"/>
    <w:rsid w:val="00BB1706"/>
    <w:rsid w:val="00BB1724"/>
    <w:rsid w:val="00BB175F"/>
    <w:rsid w:val="00BB17A4"/>
    <w:rsid w:val="00BB17BE"/>
    <w:rsid w:val="00BB183A"/>
    <w:rsid w:val="00BB184E"/>
    <w:rsid w:val="00BB187D"/>
    <w:rsid w:val="00BB188B"/>
    <w:rsid w:val="00BB18A2"/>
    <w:rsid w:val="00BB18CE"/>
    <w:rsid w:val="00BB18F4"/>
    <w:rsid w:val="00BB1907"/>
    <w:rsid w:val="00BB1925"/>
    <w:rsid w:val="00BB1968"/>
    <w:rsid w:val="00BB19E5"/>
    <w:rsid w:val="00BB19F7"/>
    <w:rsid w:val="00BB1A21"/>
    <w:rsid w:val="00BB1A30"/>
    <w:rsid w:val="00BB1A4B"/>
    <w:rsid w:val="00BB1ACD"/>
    <w:rsid w:val="00BB1B12"/>
    <w:rsid w:val="00BB1B38"/>
    <w:rsid w:val="00BB1B4E"/>
    <w:rsid w:val="00BB1B50"/>
    <w:rsid w:val="00BB1B87"/>
    <w:rsid w:val="00BB1B9B"/>
    <w:rsid w:val="00BB1C2D"/>
    <w:rsid w:val="00BB1C40"/>
    <w:rsid w:val="00BB1C8E"/>
    <w:rsid w:val="00BB1C9B"/>
    <w:rsid w:val="00BB1CC4"/>
    <w:rsid w:val="00BB1CF1"/>
    <w:rsid w:val="00BB1CF8"/>
    <w:rsid w:val="00BB1D4F"/>
    <w:rsid w:val="00BB1D74"/>
    <w:rsid w:val="00BB1DCD"/>
    <w:rsid w:val="00BB1DEE"/>
    <w:rsid w:val="00BB1E17"/>
    <w:rsid w:val="00BB1E27"/>
    <w:rsid w:val="00BB1E7D"/>
    <w:rsid w:val="00BB1F23"/>
    <w:rsid w:val="00BB1FC0"/>
    <w:rsid w:val="00BB1FC4"/>
    <w:rsid w:val="00BB203C"/>
    <w:rsid w:val="00BB2064"/>
    <w:rsid w:val="00BB2124"/>
    <w:rsid w:val="00BB216E"/>
    <w:rsid w:val="00BB21C5"/>
    <w:rsid w:val="00BB2288"/>
    <w:rsid w:val="00BB22C5"/>
    <w:rsid w:val="00BB22DD"/>
    <w:rsid w:val="00BB22E1"/>
    <w:rsid w:val="00BB22F6"/>
    <w:rsid w:val="00BB2317"/>
    <w:rsid w:val="00BB231B"/>
    <w:rsid w:val="00BB2381"/>
    <w:rsid w:val="00BB2390"/>
    <w:rsid w:val="00BB23B2"/>
    <w:rsid w:val="00BB23EC"/>
    <w:rsid w:val="00BB2433"/>
    <w:rsid w:val="00BB247C"/>
    <w:rsid w:val="00BB2550"/>
    <w:rsid w:val="00BB258E"/>
    <w:rsid w:val="00BB25AA"/>
    <w:rsid w:val="00BB25D2"/>
    <w:rsid w:val="00BB2626"/>
    <w:rsid w:val="00BB26B2"/>
    <w:rsid w:val="00BB26B6"/>
    <w:rsid w:val="00BB26FB"/>
    <w:rsid w:val="00BB2702"/>
    <w:rsid w:val="00BB2737"/>
    <w:rsid w:val="00BB276F"/>
    <w:rsid w:val="00BB27A8"/>
    <w:rsid w:val="00BB281B"/>
    <w:rsid w:val="00BB282C"/>
    <w:rsid w:val="00BB2876"/>
    <w:rsid w:val="00BB28A9"/>
    <w:rsid w:val="00BB28B9"/>
    <w:rsid w:val="00BB2947"/>
    <w:rsid w:val="00BB2953"/>
    <w:rsid w:val="00BB298F"/>
    <w:rsid w:val="00BB29C0"/>
    <w:rsid w:val="00BB29D8"/>
    <w:rsid w:val="00BB2A27"/>
    <w:rsid w:val="00BB2A78"/>
    <w:rsid w:val="00BB2ACE"/>
    <w:rsid w:val="00BB2AED"/>
    <w:rsid w:val="00BB2B28"/>
    <w:rsid w:val="00BB2B33"/>
    <w:rsid w:val="00BB2B4E"/>
    <w:rsid w:val="00BB2B66"/>
    <w:rsid w:val="00BB2B9D"/>
    <w:rsid w:val="00BB2BC5"/>
    <w:rsid w:val="00BB2BF6"/>
    <w:rsid w:val="00BB2C1C"/>
    <w:rsid w:val="00BB2C36"/>
    <w:rsid w:val="00BB2C6A"/>
    <w:rsid w:val="00BB2C94"/>
    <w:rsid w:val="00BB2C9C"/>
    <w:rsid w:val="00BB2CC0"/>
    <w:rsid w:val="00BB2CCA"/>
    <w:rsid w:val="00BB2D0C"/>
    <w:rsid w:val="00BB2D46"/>
    <w:rsid w:val="00BB2D57"/>
    <w:rsid w:val="00BB2D97"/>
    <w:rsid w:val="00BB2DEA"/>
    <w:rsid w:val="00BB2EC3"/>
    <w:rsid w:val="00BB2EE9"/>
    <w:rsid w:val="00BB2EFD"/>
    <w:rsid w:val="00BB2F07"/>
    <w:rsid w:val="00BB2F33"/>
    <w:rsid w:val="00BB2F51"/>
    <w:rsid w:val="00BB2F54"/>
    <w:rsid w:val="00BB2F83"/>
    <w:rsid w:val="00BB2F9E"/>
    <w:rsid w:val="00BB301F"/>
    <w:rsid w:val="00BB3057"/>
    <w:rsid w:val="00BB305A"/>
    <w:rsid w:val="00BB3074"/>
    <w:rsid w:val="00BB3094"/>
    <w:rsid w:val="00BB309E"/>
    <w:rsid w:val="00BB30E7"/>
    <w:rsid w:val="00BB3159"/>
    <w:rsid w:val="00BB31D4"/>
    <w:rsid w:val="00BB31DB"/>
    <w:rsid w:val="00BB3237"/>
    <w:rsid w:val="00BB3291"/>
    <w:rsid w:val="00BB32A8"/>
    <w:rsid w:val="00BB32BD"/>
    <w:rsid w:val="00BB32E2"/>
    <w:rsid w:val="00BB3344"/>
    <w:rsid w:val="00BB339B"/>
    <w:rsid w:val="00BB33BE"/>
    <w:rsid w:val="00BB33DA"/>
    <w:rsid w:val="00BB33F5"/>
    <w:rsid w:val="00BB340C"/>
    <w:rsid w:val="00BB342A"/>
    <w:rsid w:val="00BB343C"/>
    <w:rsid w:val="00BB349B"/>
    <w:rsid w:val="00BB34B3"/>
    <w:rsid w:val="00BB34F2"/>
    <w:rsid w:val="00BB34FF"/>
    <w:rsid w:val="00BB350D"/>
    <w:rsid w:val="00BB351A"/>
    <w:rsid w:val="00BB3553"/>
    <w:rsid w:val="00BB355A"/>
    <w:rsid w:val="00BB3560"/>
    <w:rsid w:val="00BB3564"/>
    <w:rsid w:val="00BB356D"/>
    <w:rsid w:val="00BB3580"/>
    <w:rsid w:val="00BB35CA"/>
    <w:rsid w:val="00BB35E7"/>
    <w:rsid w:val="00BB361E"/>
    <w:rsid w:val="00BB3647"/>
    <w:rsid w:val="00BB364D"/>
    <w:rsid w:val="00BB3676"/>
    <w:rsid w:val="00BB367A"/>
    <w:rsid w:val="00BB37A0"/>
    <w:rsid w:val="00BB37AC"/>
    <w:rsid w:val="00BB37B9"/>
    <w:rsid w:val="00BB37BE"/>
    <w:rsid w:val="00BB37C4"/>
    <w:rsid w:val="00BB380B"/>
    <w:rsid w:val="00BB3872"/>
    <w:rsid w:val="00BB38DB"/>
    <w:rsid w:val="00BB3946"/>
    <w:rsid w:val="00BB3A12"/>
    <w:rsid w:val="00BB3A85"/>
    <w:rsid w:val="00BB3ABC"/>
    <w:rsid w:val="00BB3B36"/>
    <w:rsid w:val="00BB3B41"/>
    <w:rsid w:val="00BB3B9F"/>
    <w:rsid w:val="00BB3BB0"/>
    <w:rsid w:val="00BB3BFB"/>
    <w:rsid w:val="00BB3C0E"/>
    <w:rsid w:val="00BB3C21"/>
    <w:rsid w:val="00BB3C52"/>
    <w:rsid w:val="00BB3C62"/>
    <w:rsid w:val="00BB3D03"/>
    <w:rsid w:val="00BB3D48"/>
    <w:rsid w:val="00BB3D97"/>
    <w:rsid w:val="00BB3DA4"/>
    <w:rsid w:val="00BB3DB7"/>
    <w:rsid w:val="00BB3DCF"/>
    <w:rsid w:val="00BB3E8D"/>
    <w:rsid w:val="00BB3EA7"/>
    <w:rsid w:val="00BB3EF3"/>
    <w:rsid w:val="00BB404B"/>
    <w:rsid w:val="00BB4057"/>
    <w:rsid w:val="00BB4070"/>
    <w:rsid w:val="00BB4093"/>
    <w:rsid w:val="00BB40B2"/>
    <w:rsid w:val="00BB40DC"/>
    <w:rsid w:val="00BB410E"/>
    <w:rsid w:val="00BB417E"/>
    <w:rsid w:val="00BB417F"/>
    <w:rsid w:val="00BB41AC"/>
    <w:rsid w:val="00BB4252"/>
    <w:rsid w:val="00BB42F3"/>
    <w:rsid w:val="00BB42F5"/>
    <w:rsid w:val="00BB42FA"/>
    <w:rsid w:val="00BB4321"/>
    <w:rsid w:val="00BB4329"/>
    <w:rsid w:val="00BB435B"/>
    <w:rsid w:val="00BB4368"/>
    <w:rsid w:val="00BB440E"/>
    <w:rsid w:val="00BB4441"/>
    <w:rsid w:val="00BB44BF"/>
    <w:rsid w:val="00BB44E5"/>
    <w:rsid w:val="00BB4505"/>
    <w:rsid w:val="00BB453D"/>
    <w:rsid w:val="00BB4542"/>
    <w:rsid w:val="00BB4594"/>
    <w:rsid w:val="00BB45C8"/>
    <w:rsid w:val="00BB46B6"/>
    <w:rsid w:val="00BB4724"/>
    <w:rsid w:val="00BB4749"/>
    <w:rsid w:val="00BB4760"/>
    <w:rsid w:val="00BB4767"/>
    <w:rsid w:val="00BB4773"/>
    <w:rsid w:val="00BB4774"/>
    <w:rsid w:val="00BB4788"/>
    <w:rsid w:val="00BB4792"/>
    <w:rsid w:val="00BB483D"/>
    <w:rsid w:val="00BB48C6"/>
    <w:rsid w:val="00BB48DB"/>
    <w:rsid w:val="00BB4902"/>
    <w:rsid w:val="00BB4905"/>
    <w:rsid w:val="00BB49B9"/>
    <w:rsid w:val="00BB49C5"/>
    <w:rsid w:val="00BB49D5"/>
    <w:rsid w:val="00BB4A16"/>
    <w:rsid w:val="00BB4AAF"/>
    <w:rsid w:val="00BB4B05"/>
    <w:rsid w:val="00BB4BC0"/>
    <w:rsid w:val="00BB4BF8"/>
    <w:rsid w:val="00BB4C27"/>
    <w:rsid w:val="00BB4CAE"/>
    <w:rsid w:val="00BB4CB8"/>
    <w:rsid w:val="00BB4DC3"/>
    <w:rsid w:val="00BB4DCE"/>
    <w:rsid w:val="00BB4DE0"/>
    <w:rsid w:val="00BB4E50"/>
    <w:rsid w:val="00BB4E7B"/>
    <w:rsid w:val="00BB4E8E"/>
    <w:rsid w:val="00BB4EA5"/>
    <w:rsid w:val="00BB4EBB"/>
    <w:rsid w:val="00BB4F04"/>
    <w:rsid w:val="00BB4F20"/>
    <w:rsid w:val="00BB4F70"/>
    <w:rsid w:val="00BB4F81"/>
    <w:rsid w:val="00BB4F94"/>
    <w:rsid w:val="00BB4FFC"/>
    <w:rsid w:val="00BB5086"/>
    <w:rsid w:val="00BB50A6"/>
    <w:rsid w:val="00BB50E1"/>
    <w:rsid w:val="00BB517C"/>
    <w:rsid w:val="00BB51EB"/>
    <w:rsid w:val="00BB51EC"/>
    <w:rsid w:val="00BB521E"/>
    <w:rsid w:val="00BB52AA"/>
    <w:rsid w:val="00BB52C8"/>
    <w:rsid w:val="00BB5321"/>
    <w:rsid w:val="00BB535F"/>
    <w:rsid w:val="00BB537E"/>
    <w:rsid w:val="00BB5430"/>
    <w:rsid w:val="00BB5454"/>
    <w:rsid w:val="00BB54CC"/>
    <w:rsid w:val="00BB54D7"/>
    <w:rsid w:val="00BB5509"/>
    <w:rsid w:val="00BB5534"/>
    <w:rsid w:val="00BB5540"/>
    <w:rsid w:val="00BB5544"/>
    <w:rsid w:val="00BB55A6"/>
    <w:rsid w:val="00BB560C"/>
    <w:rsid w:val="00BB5720"/>
    <w:rsid w:val="00BB5749"/>
    <w:rsid w:val="00BB5778"/>
    <w:rsid w:val="00BB5794"/>
    <w:rsid w:val="00BB57B4"/>
    <w:rsid w:val="00BB5828"/>
    <w:rsid w:val="00BB5840"/>
    <w:rsid w:val="00BB5857"/>
    <w:rsid w:val="00BB587A"/>
    <w:rsid w:val="00BB5961"/>
    <w:rsid w:val="00BB59EF"/>
    <w:rsid w:val="00BB5A2C"/>
    <w:rsid w:val="00BB5A5B"/>
    <w:rsid w:val="00BB5A9C"/>
    <w:rsid w:val="00BB5AE2"/>
    <w:rsid w:val="00BB5AF3"/>
    <w:rsid w:val="00BB5B49"/>
    <w:rsid w:val="00BB5B95"/>
    <w:rsid w:val="00BB5BD2"/>
    <w:rsid w:val="00BB5BE5"/>
    <w:rsid w:val="00BB5C79"/>
    <w:rsid w:val="00BB5C9F"/>
    <w:rsid w:val="00BB5D31"/>
    <w:rsid w:val="00BB5D45"/>
    <w:rsid w:val="00BB5D4B"/>
    <w:rsid w:val="00BB5D5F"/>
    <w:rsid w:val="00BB5DE8"/>
    <w:rsid w:val="00BB5DEA"/>
    <w:rsid w:val="00BB5E51"/>
    <w:rsid w:val="00BB5E98"/>
    <w:rsid w:val="00BB5F32"/>
    <w:rsid w:val="00BB5F63"/>
    <w:rsid w:val="00BB5F70"/>
    <w:rsid w:val="00BB5F8D"/>
    <w:rsid w:val="00BB5FCF"/>
    <w:rsid w:val="00BB6004"/>
    <w:rsid w:val="00BB60C8"/>
    <w:rsid w:val="00BB60F7"/>
    <w:rsid w:val="00BB611F"/>
    <w:rsid w:val="00BB6168"/>
    <w:rsid w:val="00BB61B8"/>
    <w:rsid w:val="00BB620A"/>
    <w:rsid w:val="00BB621E"/>
    <w:rsid w:val="00BB628F"/>
    <w:rsid w:val="00BB629C"/>
    <w:rsid w:val="00BB629D"/>
    <w:rsid w:val="00BB6388"/>
    <w:rsid w:val="00BB6430"/>
    <w:rsid w:val="00BB6443"/>
    <w:rsid w:val="00BB6452"/>
    <w:rsid w:val="00BB647B"/>
    <w:rsid w:val="00BB64A1"/>
    <w:rsid w:val="00BB64D6"/>
    <w:rsid w:val="00BB64E4"/>
    <w:rsid w:val="00BB6544"/>
    <w:rsid w:val="00BB6545"/>
    <w:rsid w:val="00BB656C"/>
    <w:rsid w:val="00BB666C"/>
    <w:rsid w:val="00BB6698"/>
    <w:rsid w:val="00BB66DD"/>
    <w:rsid w:val="00BB670A"/>
    <w:rsid w:val="00BB670C"/>
    <w:rsid w:val="00BB6720"/>
    <w:rsid w:val="00BB6797"/>
    <w:rsid w:val="00BB6855"/>
    <w:rsid w:val="00BB6866"/>
    <w:rsid w:val="00BB686A"/>
    <w:rsid w:val="00BB6889"/>
    <w:rsid w:val="00BB68B5"/>
    <w:rsid w:val="00BB68D1"/>
    <w:rsid w:val="00BB68F7"/>
    <w:rsid w:val="00BB691F"/>
    <w:rsid w:val="00BB69AB"/>
    <w:rsid w:val="00BB69C5"/>
    <w:rsid w:val="00BB6A54"/>
    <w:rsid w:val="00BB6ADA"/>
    <w:rsid w:val="00BB6AFB"/>
    <w:rsid w:val="00BB6B1F"/>
    <w:rsid w:val="00BB6BDE"/>
    <w:rsid w:val="00BB6C2A"/>
    <w:rsid w:val="00BB6C2B"/>
    <w:rsid w:val="00BB6C32"/>
    <w:rsid w:val="00BB6C35"/>
    <w:rsid w:val="00BB6C3E"/>
    <w:rsid w:val="00BB6C7C"/>
    <w:rsid w:val="00BB6C8D"/>
    <w:rsid w:val="00BB6D19"/>
    <w:rsid w:val="00BB6D29"/>
    <w:rsid w:val="00BB6D4D"/>
    <w:rsid w:val="00BB6D69"/>
    <w:rsid w:val="00BB6D8D"/>
    <w:rsid w:val="00BB6D96"/>
    <w:rsid w:val="00BB6D9D"/>
    <w:rsid w:val="00BB6E3B"/>
    <w:rsid w:val="00BB6F2F"/>
    <w:rsid w:val="00BB6F42"/>
    <w:rsid w:val="00BB6F8C"/>
    <w:rsid w:val="00BB6FB7"/>
    <w:rsid w:val="00BB6FE2"/>
    <w:rsid w:val="00BB6FE9"/>
    <w:rsid w:val="00BB700E"/>
    <w:rsid w:val="00BB7011"/>
    <w:rsid w:val="00BB7039"/>
    <w:rsid w:val="00BB7041"/>
    <w:rsid w:val="00BB7053"/>
    <w:rsid w:val="00BB7074"/>
    <w:rsid w:val="00BB70F4"/>
    <w:rsid w:val="00BB711D"/>
    <w:rsid w:val="00BB7137"/>
    <w:rsid w:val="00BB71B4"/>
    <w:rsid w:val="00BB7230"/>
    <w:rsid w:val="00BB7299"/>
    <w:rsid w:val="00BB72CA"/>
    <w:rsid w:val="00BB72EE"/>
    <w:rsid w:val="00BB741D"/>
    <w:rsid w:val="00BB7461"/>
    <w:rsid w:val="00BB7498"/>
    <w:rsid w:val="00BB74C0"/>
    <w:rsid w:val="00BB74DD"/>
    <w:rsid w:val="00BB74F2"/>
    <w:rsid w:val="00BB7571"/>
    <w:rsid w:val="00BB7573"/>
    <w:rsid w:val="00BB7651"/>
    <w:rsid w:val="00BB7695"/>
    <w:rsid w:val="00BB7697"/>
    <w:rsid w:val="00BB76B6"/>
    <w:rsid w:val="00BB7734"/>
    <w:rsid w:val="00BB7761"/>
    <w:rsid w:val="00BB7787"/>
    <w:rsid w:val="00BB77A4"/>
    <w:rsid w:val="00BB7898"/>
    <w:rsid w:val="00BB78BF"/>
    <w:rsid w:val="00BB78E1"/>
    <w:rsid w:val="00BB78F9"/>
    <w:rsid w:val="00BB7901"/>
    <w:rsid w:val="00BB79A3"/>
    <w:rsid w:val="00BB7B57"/>
    <w:rsid w:val="00BB7B75"/>
    <w:rsid w:val="00BB7BCB"/>
    <w:rsid w:val="00BB7BFC"/>
    <w:rsid w:val="00BB7D37"/>
    <w:rsid w:val="00BB7D45"/>
    <w:rsid w:val="00BB7D55"/>
    <w:rsid w:val="00BB7DF7"/>
    <w:rsid w:val="00BB7E31"/>
    <w:rsid w:val="00BB7EDB"/>
    <w:rsid w:val="00BB7EF0"/>
    <w:rsid w:val="00BB7F00"/>
    <w:rsid w:val="00BB7F01"/>
    <w:rsid w:val="00BB7F16"/>
    <w:rsid w:val="00BB7FC5"/>
    <w:rsid w:val="00BBC20C"/>
    <w:rsid w:val="00BC0011"/>
    <w:rsid w:val="00BC0044"/>
    <w:rsid w:val="00BC0066"/>
    <w:rsid w:val="00BC0091"/>
    <w:rsid w:val="00BC0157"/>
    <w:rsid w:val="00BC01A7"/>
    <w:rsid w:val="00BC01C1"/>
    <w:rsid w:val="00BC01EB"/>
    <w:rsid w:val="00BC0352"/>
    <w:rsid w:val="00BC035E"/>
    <w:rsid w:val="00BC03A6"/>
    <w:rsid w:val="00BC03E1"/>
    <w:rsid w:val="00BC0404"/>
    <w:rsid w:val="00BC0459"/>
    <w:rsid w:val="00BC046A"/>
    <w:rsid w:val="00BC049C"/>
    <w:rsid w:val="00BC04CA"/>
    <w:rsid w:val="00BC057B"/>
    <w:rsid w:val="00BC05E2"/>
    <w:rsid w:val="00BC0660"/>
    <w:rsid w:val="00BC0675"/>
    <w:rsid w:val="00BC0686"/>
    <w:rsid w:val="00BC06D8"/>
    <w:rsid w:val="00BC070D"/>
    <w:rsid w:val="00BC072C"/>
    <w:rsid w:val="00BC07D4"/>
    <w:rsid w:val="00BC080D"/>
    <w:rsid w:val="00BC08DA"/>
    <w:rsid w:val="00BC091C"/>
    <w:rsid w:val="00BC0964"/>
    <w:rsid w:val="00BC09AE"/>
    <w:rsid w:val="00BC09CF"/>
    <w:rsid w:val="00BC0A31"/>
    <w:rsid w:val="00BC0A3E"/>
    <w:rsid w:val="00BC0A87"/>
    <w:rsid w:val="00BC0AB2"/>
    <w:rsid w:val="00BC0AD7"/>
    <w:rsid w:val="00BC0AF1"/>
    <w:rsid w:val="00BC0B2D"/>
    <w:rsid w:val="00BC0B32"/>
    <w:rsid w:val="00BC0B6E"/>
    <w:rsid w:val="00BC0BE0"/>
    <w:rsid w:val="00BC0BE4"/>
    <w:rsid w:val="00BC0C1B"/>
    <w:rsid w:val="00BC0C81"/>
    <w:rsid w:val="00BC0CFE"/>
    <w:rsid w:val="00BC0D54"/>
    <w:rsid w:val="00BC0DDC"/>
    <w:rsid w:val="00BC0E37"/>
    <w:rsid w:val="00BC0E60"/>
    <w:rsid w:val="00BC0E73"/>
    <w:rsid w:val="00BC0E7A"/>
    <w:rsid w:val="00BC0E97"/>
    <w:rsid w:val="00BC0F12"/>
    <w:rsid w:val="00BC0F17"/>
    <w:rsid w:val="00BC0F2B"/>
    <w:rsid w:val="00BC0F85"/>
    <w:rsid w:val="00BC0F96"/>
    <w:rsid w:val="00BC0FB0"/>
    <w:rsid w:val="00BC1045"/>
    <w:rsid w:val="00BC1048"/>
    <w:rsid w:val="00BC1057"/>
    <w:rsid w:val="00BC1061"/>
    <w:rsid w:val="00BC1063"/>
    <w:rsid w:val="00BC1105"/>
    <w:rsid w:val="00BC110C"/>
    <w:rsid w:val="00BC1116"/>
    <w:rsid w:val="00BC1132"/>
    <w:rsid w:val="00BC115F"/>
    <w:rsid w:val="00BC11BA"/>
    <w:rsid w:val="00BC11BF"/>
    <w:rsid w:val="00BC11F7"/>
    <w:rsid w:val="00BC1201"/>
    <w:rsid w:val="00BC1246"/>
    <w:rsid w:val="00BC1249"/>
    <w:rsid w:val="00BC126A"/>
    <w:rsid w:val="00BC127A"/>
    <w:rsid w:val="00BC128F"/>
    <w:rsid w:val="00BC12EE"/>
    <w:rsid w:val="00BC1340"/>
    <w:rsid w:val="00BC1385"/>
    <w:rsid w:val="00BC14D8"/>
    <w:rsid w:val="00BC14DE"/>
    <w:rsid w:val="00BC1504"/>
    <w:rsid w:val="00BC151E"/>
    <w:rsid w:val="00BC15BB"/>
    <w:rsid w:val="00BC1684"/>
    <w:rsid w:val="00BC16DC"/>
    <w:rsid w:val="00BC16EC"/>
    <w:rsid w:val="00BC1741"/>
    <w:rsid w:val="00BC1774"/>
    <w:rsid w:val="00BC17AA"/>
    <w:rsid w:val="00BC1811"/>
    <w:rsid w:val="00BC186E"/>
    <w:rsid w:val="00BC1920"/>
    <w:rsid w:val="00BC1929"/>
    <w:rsid w:val="00BC1990"/>
    <w:rsid w:val="00BC199F"/>
    <w:rsid w:val="00BC19B3"/>
    <w:rsid w:val="00BC19DC"/>
    <w:rsid w:val="00BC1A29"/>
    <w:rsid w:val="00BC1AE8"/>
    <w:rsid w:val="00BC1AF9"/>
    <w:rsid w:val="00BC1B35"/>
    <w:rsid w:val="00BC1B71"/>
    <w:rsid w:val="00BC1B83"/>
    <w:rsid w:val="00BC1B87"/>
    <w:rsid w:val="00BC1B9F"/>
    <w:rsid w:val="00BC1BA4"/>
    <w:rsid w:val="00BC1BD0"/>
    <w:rsid w:val="00BC1C65"/>
    <w:rsid w:val="00BC1CBF"/>
    <w:rsid w:val="00BC1CF1"/>
    <w:rsid w:val="00BC1DE6"/>
    <w:rsid w:val="00BC1E6D"/>
    <w:rsid w:val="00BC1E7E"/>
    <w:rsid w:val="00BC1F3F"/>
    <w:rsid w:val="00BC1FD3"/>
    <w:rsid w:val="00BC1FD7"/>
    <w:rsid w:val="00BC1FD9"/>
    <w:rsid w:val="00BC2000"/>
    <w:rsid w:val="00BC203B"/>
    <w:rsid w:val="00BC208F"/>
    <w:rsid w:val="00BC20CE"/>
    <w:rsid w:val="00BC20E8"/>
    <w:rsid w:val="00BC2224"/>
    <w:rsid w:val="00BC2248"/>
    <w:rsid w:val="00BC2280"/>
    <w:rsid w:val="00BC2281"/>
    <w:rsid w:val="00BC22BE"/>
    <w:rsid w:val="00BC22E8"/>
    <w:rsid w:val="00BC230D"/>
    <w:rsid w:val="00BC2389"/>
    <w:rsid w:val="00BC2475"/>
    <w:rsid w:val="00BC247C"/>
    <w:rsid w:val="00BC24FD"/>
    <w:rsid w:val="00BC2507"/>
    <w:rsid w:val="00BC257B"/>
    <w:rsid w:val="00BC25FA"/>
    <w:rsid w:val="00BC2603"/>
    <w:rsid w:val="00BC2604"/>
    <w:rsid w:val="00BC263C"/>
    <w:rsid w:val="00BC2641"/>
    <w:rsid w:val="00BC2687"/>
    <w:rsid w:val="00BC26A2"/>
    <w:rsid w:val="00BC26AD"/>
    <w:rsid w:val="00BC26C2"/>
    <w:rsid w:val="00BC26C4"/>
    <w:rsid w:val="00BC2707"/>
    <w:rsid w:val="00BC27DF"/>
    <w:rsid w:val="00BC27FA"/>
    <w:rsid w:val="00BC2874"/>
    <w:rsid w:val="00BC28BB"/>
    <w:rsid w:val="00BC2913"/>
    <w:rsid w:val="00BC293F"/>
    <w:rsid w:val="00BC297D"/>
    <w:rsid w:val="00BC2A3D"/>
    <w:rsid w:val="00BC2A56"/>
    <w:rsid w:val="00BC2AC7"/>
    <w:rsid w:val="00BC2B49"/>
    <w:rsid w:val="00BC2B56"/>
    <w:rsid w:val="00BC2B5D"/>
    <w:rsid w:val="00BC2B67"/>
    <w:rsid w:val="00BC2BFE"/>
    <w:rsid w:val="00BC2C20"/>
    <w:rsid w:val="00BC2C2C"/>
    <w:rsid w:val="00BC2C47"/>
    <w:rsid w:val="00BC2C5B"/>
    <w:rsid w:val="00BC2C88"/>
    <w:rsid w:val="00BC2CE0"/>
    <w:rsid w:val="00BC2D1B"/>
    <w:rsid w:val="00BC2D24"/>
    <w:rsid w:val="00BC2D25"/>
    <w:rsid w:val="00BC2D67"/>
    <w:rsid w:val="00BC2D70"/>
    <w:rsid w:val="00BC2DAB"/>
    <w:rsid w:val="00BC2DAE"/>
    <w:rsid w:val="00BC2DFD"/>
    <w:rsid w:val="00BC2E4D"/>
    <w:rsid w:val="00BC2E61"/>
    <w:rsid w:val="00BC2E6A"/>
    <w:rsid w:val="00BC2EA8"/>
    <w:rsid w:val="00BC2F5D"/>
    <w:rsid w:val="00BC2F8E"/>
    <w:rsid w:val="00BC2FA6"/>
    <w:rsid w:val="00BC2FD5"/>
    <w:rsid w:val="00BC2FF4"/>
    <w:rsid w:val="00BC3000"/>
    <w:rsid w:val="00BC3019"/>
    <w:rsid w:val="00BC302E"/>
    <w:rsid w:val="00BC3051"/>
    <w:rsid w:val="00BC309D"/>
    <w:rsid w:val="00BC30A2"/>
    <w:rsid w:val="00BC30F2"/>
    <w:rsid w:val="00BC3101"/>
    <w:rsid w:val="00BC3121"/>
    <w:rsid w:val="00BC31C0"/>
    <w:rsid w:val="00BC320F"/>
    <w:rsid w:val="00BC3216"/>
    <w:rsid w:val="00BC3246"/>
    <w:rsid w:val="00BC32AC"/>
    <w:rsid w:val="00BC3354"/>
    <w:rsid w:val="00BC3374"/>
    <w:rsid w:val="00BC3375"/>
    <w:rsid w:val="00BC33AC"/>
    <w:rsid w:val="00BC33DC"/>
    <w:rsid w:val="00BC3420"/>
    <w:rsid w:val="00BC3439"/>
    <w:rsid w:val="00BC344B"/>
    <w:rsid w:val="00BC3479"/>
    <w:rsid w:val="00BC34C0"/>
    <w:rsid w:val="00BC34E1"/>
    <w:rsid w:val="00BC3572"/>
    <w:rsid w:val="00BC35A7"/>
    <w:rsid w:val="00BC35FE"/>
    <w:rsid w:val="00BC364F"/>
    <w:rsid w:val="00BC3662"/>
    <w:rsid w:val="00BC369D"/>
    <w:rsid w:val="00BC370B"/>
    <w:rsid w:val="00BC373A"/>
    <w:rsid w:val="00BC3819"/>
    <w:rsid w:val="00BC383A"/>
    <w:rsid w:val="00BC3873"/>
    <w:rsid w:val="00BC38D1"/>
    <w:rsid w:val="00BC38F5"/>
    <w:rsid w:val="00BC3932"/>
    <w:rsid w:val="00BC3A0D"/>
    <w:rsid w:val="00BC3A20"/>
    <w:rsid w:val="00BC3A7A"/>
    <w:rsid w:val="00BC3AB3"/>
    <w:rsid w:val="00BC3B51"/>
    <w:rsid w:val="00BC3BD4"/>
    <w:rsid w:val="00BC3BD6"/>
    <w:rsid w:val="00BC3C71"/>
    <w:rsid w:val="00BC3C85"/>
    <w:rsid w:val="00BC3CA6"/>
    <w:rsid w:val="00BC3CEE"/>
    <w:rsid w:val="00BC3D02"/>
    <w:rsid w:val="00BC3D0D"/>
    <w:rsid w:val="00BC3DD0"/>
    <w:rsid w:val="00BC3E03"/>
    <w:rsid w:val="00BC3E1C"/>
    <w:rsid w:val="00BC3E48"/>
    <w:rsid w:val="00BC3EC0"/>
    <w:rsid w:val="00BC3EE2"/>
    <w:rsid w:val="00BC3EE8"/>
    <w:rsid w:val="00BC3F15"/>
    <w:rsid w:val="00BC3F58"/>
    <w:rsid w:val="00BC3FAC"/>
    <w:rsid w:val="00BC40DE"/>
    <w:rsid w:val="00BC4117"/>
    <w:rsid w:val="00BC4122"/>
    <w:rsid w:val="00BC413A"/>
    <w:rsid w:val="00BC4142"/>
    <w:rsid w:val="00BC41C7"/>
    <w:rsid w:val="00BC41CA"/>
    <w:rsid w:val="00BC4215"/>
    <w:rsid w:val="00BC4225"/>
    <w:rsid w:val="00BC4262"/>
    <w:rsid w:val="00BC426E"/>
    <w:rsid w:val="00BC42DE"/>
    <w:rsid w:val="00BC4340"/>
    <w:rsid w:val="00BC43E2"/>
    <w:rsid w:val="00BC44BE"/>
    <w:rsid w:val="00BC44DE"/>
    <w:rsid w:val="00BC44E3"/>
    <w:rsid w:val="00BC4503"/>
    <w:rsid w:val="00BC4513"/>
    <w:rsid w:val="00BC4588"/>
    <w:rsid w:val="00BC4598"/>
    <w:rsid w:val="00BC45C0"/>
    <w:rsid w:val="00BC4620"/>
    <w:rsid w:val="00BC464F"/>
    <w:rsid w:val="00BC4681"/>
    <w:rsid w:val="00BC4682"/>
    <w:rsid w:val="00BC4690"/>
    <w:rsid w:val="00BC46FC"/>
    <w:rsid w:val="00BC47C3"/>
    <w:rsid w:val="00BC47DB"/>
    <w:rsid w:val="00BC480B"/>
    <w:rsid w:val="00BC4846"/>
    <w:rsid w:val="00BC48A2"/>
    <w:rsid w:val="00BC48DA"/>
    <w:rsid w:val="00BC48DF"/>
    <w:rsid w:val="00BC490E"/>
    <w:rsid w:val="00BC4918"/>
    <w:rsid w:val="00BC4924"/>
    <w:rsid w:val="00BC49AE"/>
    <w:rsid w:val="00BC49C5"/>
    <w:rsid w:val="00BC49D3"/>
    <w:rsid w:val="00BC49DA"/>
    <w:rsid w:val="00BC4A21"/>
    <w:rsid w:val="00BC4A3F"/>
    <w:rsid w:val="00BC4B08"/>
    <w:rsid w:val="00BC4B2C"/>
    <w:rsid w:val="00BC4BC7"/>
    <w:rsid w:val="00BC4BCB"/>
    <w:rsid w:val="00BC4BEC"/>
    <w:rsid w:val="00BC4C25"/>
    <w:rsid w:val="00BC4CDF"/>
    <w:rsid w:val="00BC4CF4"/>
    <w:rsid w:val="00BC4CFC"/>
    <w:rsid w:val="00BC4D1B"/>
    <w:rsid w:val="00BC4D2F"/>
    <w:rsid w:val="00BC4D42"/>
    <w:rsid w:val="00BC4D8A"/>
    <w:rsid w:val="00BC4DBA"/>
    <w:rsid w:val="00BC4DC9"/>
    <w:rsid w:val="00BC4E4A"/>
    <w:rsid w:val="00BC4E80"/>
    <w:rsid w:val="00BC4E9E"/>
    <w:rsid w:val="00BC4EA9"/>
    <w:rsid w:val="00BC4F25"/>
    <w:rsid w:val="00BC4F31"/>
    <w:rsid w:val="00BC4F85"/>
    <w:rsid w:val="00BC4FF7"/>
    <w:rsid w:val="00BC507D"/>
    <w:rsid w:val="00BC508E"/>
    <w:rsid w:val="00BC51D1"/>
    <w:rsid w:val="00BC51F2"/>
    <w:rsid w:val="00BC5217"/>
    <w:rsid w:val="00BC522C"/>
    <w:rsid w:val="00BC5259"/>
    <w:rsid w:val="00BC5273"/>
    <w:rsid w:val="00BC5280"/>
    <w:rsid w:val="00BC52BB"/>
    <w:rsid w:val="00BC52E5"/>
    <w:rsid w:val="00BC530D"/>
    <w:rsid w:val="00BC5320"/>
    <w:rsid w:val="00BC535C"/>
    <w:rsid w:val="00BC5376"/>
    <w:rsid w:val="00BC5392"/>
    <w:rsid w:val="00BC542F"/>
    <w:rsid w:val="00BC5433"/>
    <w:rsid w:val="00BC544F"/>
    <w:rsid w:val="00BC5484"/>
    <w:rsid w:val="00BC550B"/>
    <w:rsid w:val="00BC5529"/>
    <w:rsid w:val="00BC554F"/>
    <w:rsid w:val="00BC555A"/>
    <w:rsid w:val="00BC5562"/>
    <w:rsid w:val="00BC55C5"/>
    <w:rsid w:val="00BC5657"/>
    <w:rsid w:val="00BC5680"/>
    <w:rsid w:val="00BC572F"/>
    <w:rsid w:val="00BC575E"/>
    <w:rsid w:val="00BC5764"/>
    <w:rsid w:val="00BC57D2"/>
    <w:rsid w:val="00BC57F8"/>
    <w:rsid w:val="00BC582B"/>
    <w:rsid w:val="00BC584D"/>
    <w:rsid w:val="00BC58BB"/>
    <w:rsid w:val="00BC58FE"/>
    <w:rsid w:val="00BC5943"/>
    <w:rsid w:val="00BC5976"/>
    <w:rsid w:val="00BC59A8"/>
    <w:rsid w:val="00BC59DC"/>
    <w:rsid w:val="00BC5A10"/>
    <w:rsid w:val="00BC5A20"/>
    <w:rsid w:val="00BC5AC4"/>
    <w:rsid w:val="00BC5B23"/>
    <w:rsid w:val="00BC5B2B"/>
    <w:rsid w:val="00BC5BFD"/>
    <w:rsid w:val="00BC5BFE"/>
    <w:rsid w:val="00BC5C91"/>
    <w:rsid w:val="00BC5CB6"/>
    <w:rsid w:val="00BC5CF8"/>
    <w:rsid w:val="00BC5CF9"/>
    <w:rsid w:val="00BC5D04"/>
    <w:rsid w:val="00BC5D3B"/>
    <w:rsid w:val="00BC5D3C"/>
    <w:rsid w:val="00BC5D57"/>
    <w:rsid w:val="00BC5D5C"/>
    <w:rsid w:val="00BC5D66"/>
    <w:rsid w:val="00BC5E1B"/>
    <w:rsid w:val="00BC5E34"/>
    <w:rsid w:val="00BC5E67"/>
    <w:rsid w:val="00BC5F1B"/>
    <w:rsid w:val="00BC6053"/>
    <w:rsid w:val="00BC606A"/>
    <w:rsid w:val="00BC60BD"/>
    <w:rsid w:val="00BC611D"/>
    <w:rsid w:val="00BC61F1"/>
    <w:rsid w:val="00BC624A"/>
    <w:rsid w:val="00BC627F"/>
    <w:rsid w:val="00BC628F"/>
    <w:rsid w:val="00BC6328"/>
    <w:rsid w:val="00BC6444"/>
    <w:rsid w:val="00BC6452"/>
    <w:rsid w:val="00BC6455"/>
    <w:rsid w:val="00BC6463"/>
    <w:rsid w:val="00BC64E7"/>
    <w:rsid w:val="00BC64F2"/>
    <w:rsid w:val="00BC64F9"/>
    <w:rsid w:val="00BC64FA"/>
    <w:rsid w:val="00BC652A"/>
    <w:rsid w:val="00BC655C"/>
    <w:rsid w:val="00BC6590"/>
    <w:rsid w:val="00BC6592"/>
    <w:rsid w:val="00BC659D"/>
    <w:rsid w:val="00BC65C6"/>
    <w:rsid w:val="00BC6634"/>
    <w:rsid w:val="00BC6674"/>
    <w:rsid w:val="00BC66A1"/>
    <w:rsid w:val="00BC66D1"/>
    <w:rsid w:val="00BC674F"/>
    <w:rsid w:val="00BC6767"/>
    <w:rsid w:val="00BC676B"/>
    <w:rsid w:val="00BC676F"/>
    <w:rsid w:val="00BC67CB"/>
    <w:rsid w:val="00BC67E4"/>
    <w:rsid w:val="00BC67FE"/>
    <w:rsid w:val="00BC6820"/>
    <w:rsid w:val="00BC683E"/>
    <w:rsid w:val="00BC687E"/>
    <w:rsid w:val="00BC6A01"/>
    <w:rsid w:val="00BC6A2F"/>
    <w:rsid w:val="00BC6A65"/>
    <w:rsid w:val="00BC6A71"/>
    <w:rsid w:val="00BC6A95"/>
    <w:rsid w:val="00BC6B2A"/>
    <w:rsid w:val="00BC6B64"/>
    <w:rsid w:val="00BC6C01"/>
    <w:rsid w:val="00BC6C07"/>
    <w:rsid w:val="00BC6C27"/>
    <w:rsid w:val="00BC6C38"/>
    <w:rsid w:val="00BC6C4E"/>
    <w:rsid w:val="00BC6C5F"/>
    <w:rsid w:val="00BC6C86"/>
    <w:rsid w:val="00BC6CAC"/>
    <w:rsid w:val="00BC6CBC"/>
    <w:rsid w:val="00BC6CD2"/>
    <w:rsid w:val="00BC6D26"/>
    <w:rsid w:val="00BC6D2F"/>
    <w:rsid w:val="00BC6D3D"/>
    <w:rsid w:val="00BC6D8E"/>
    <w:rsid w:val="00BC6DF9"/>
    <w:rsid w:val="00BC6E49"/>
    <w:rsid w:val="00BC6E73"/>
    <w:rsid w:val="00BC6EC7"/>
    <w:rsid w:val="00BC6EDC"/>
    <w:rsid w:val="00BC6F1F"/>
    <w:rsid w:val="00BC6F27"/>
    <w:rsid w:val="00BC6F50"/>
    <w:rsid w:val="00BC6F8C"/>
    <w:rsid w:val="00BC6FCB"/>
    <w:rsid w:val="00BC6FE2"/>
    <w:rsid w:val="00BC70A0"/>
    <w:rsid w:val="00BC70B6"/>
    <w:rsid w:val="00BC711A"/>
    <w:rsid w:val="00BC7141"/>
    <w:rsid w:val="00BC7193"/>
    <w:rsid w:val="00BC719A"/>
    <w:rsid w:val="00BC7264"/>
    <w:rsid w:val="00BC7265"/>
    <w:rsid w:val="00BC734D"/>
    <w:rsid w:val="00BC7350"/>
    <w:rsid w:val="00BC737D"/>
    <w:rsid w:val="00BC73A1"/>
    <w:rsid w:val="00BC73AF"/>
    <w:rsid w:val="00BC7426"/>
    <w:rsid w:val="00BC742B"/>
    <w:rsid w:val="00BC745B"/>
    <w:rsid w:val="00BC74A2"/>
    <w:rsid w:val="00BC74EC"/>
    <w:rsid w:val="00BC74EF"/>
    <w:rsid w:val="00BC74F2"/>
    <w:rsid w:val="00BC74F5"/>
    <w:rsid w:val="00BC75B9"/>
    <w:rsid w:val="00BC75D0"/>
    <w:rsid w:val="00BC760C"/>
    <w:rsid w:val="00BC7641"/>
    <w:rsid w:val="00BC7648"/>
    <w:rsid w:val="00BC766B"/>
    <w:rsid w:val="00BC766E"/>
    <w:rsid w:val="00BC7718"/>
    <w:rsid w:val="00BC77AB"/>
    <w:rsid w:val="00BC7825"/>
    <w:rsid w:val="00BC7855"/>
    <w:rsid w:val="00BC7876"/>
    <w:rsid w:val="00BC78AA"/>
    <w:rsid w:val="00BC78D5"/>
    <w:rsid w:val="00BC78F9"/>
    <w:rsid w:val="00BC7901"/>
    <w:rsid w:val="00BC794A"/>
    <w:rsid w:val="00BC7973"/>
    <w:rsid w:val="00BC7974"/>
    <w:rsid w:val="00BC7975"/>
    <w:rsid w:val="00BC7A45"/>
    <w:rsid w:val="00BC7AD7"/>
    <w:rsid w:val="00BC7AF3"/>
    <w:rsid w:val="00BC7BAB"/>
    <w:rsid w:val="00BC7C7A"/>
    <w:rsid w:val="00BC7C9E"/>
    <w:rsid w:val="00BC7D27"/>
    <w:rsid w:val="00BC7D6D"/>
    <w:rsid w:val="00BC7DCB"/>
    <w:rsid w:val="00BC7DE5"/>
    <w:rsid w:val="00BC7E22"/>
    <w:rsid w:val="00BC7E7F"/>
    <w:rsid w:val="00BC7EA3"/>
    <w:rsid w:val="00BC7F5E"/>
    <w:rsid w:val="00BC7FA8"/>
    <w:rsid w:val="00BC7FE0"/>
    <w:rsid w:val="00BD0053"/>
    <w:rsid w:val="00BD005B"/>
    <w:rsid w:val="00BD0093"/>
    <w:rsid w:val="00BD00BE"/>
    <w:rsid w:val="00BD0179"/>
    <w:rsid w:val="00BD0181"/>
    <w:rsid w:val="00BD0224"/>
    <w:rsid w:val="00BD0254"/>
    <w:rsid w:val="00BD02FF"/>
    <w:rsid w:val="00BD0344"/>
    <w:rsid w:val="00BD041D"/>
    <w:rsid w:val="00BD0438"/>
    <w:rsid w:val="00BD0467"/>
    <w:rsid w:val="00BD04DF"/>
    <w:rsid w:val="00BD0552"/>
    <w:rsid w:val="00BD068B"/>
    <w:rsid w:val="00BD070C"/>
    <w:rsid w:val="00BD0738"/>
    <w:rsid w:val="00BD0784"/>
    <w:rsid w:val="00BD079E"/>
    <w:rsid w:val="00BD080E"/>
    <w:rsid w:val="00BD085F"/>
    <w:rsid w:val="00BD08AD"/>
    <w:rsid w:val="00BD08E6"/>
    <w:rsid w:val="00BD0971"/>
    <w:rsid w:val="00BD09A7"/>
    <w:rsid w:val="00BD09FA"/>
    <w:rsid w:val="00BD0A0A"/>
    <w:rsid w:val="00BD0A8C"/>
    <w:rsid w:val="00BD0AAE"/>
    <w:rsid w:val="00BD0AC5"/>
    <w:rsid w:val="00BD0BDC"/>
    <w:rsid w:val="00BD0C07"/>
    <w:rsid w:val="00BD0C47"/>
    <w:rsid w:val="00BD0C4B"/>
    <w:rsid w:val="00BD0CBD"/>
    <w:rsid w:val="00BD0CCF"/>
    <w:rsid w:val="00BD0D61"/>
    <w:rsid w:val="00BD0D77"/>
    <w:rsid w:val="00BD0DBD"/>
    <w:rsid w:val="00BD0DFE"/>
    <w:rsid w:val="00BD0E25"/>
    <w:rsid w:val="00BD0E36"/>
    <w:rsid w:val="00BD0E39"/>
    <w:rsid w:val="00BD0E48"/>
    <w:rsid w:val="00BD0F1C"/>
    <w:rsid w:val="00BD0FA4"/>
    <w:rsid w:val="00BD100C"/>
    <w:rsid w:val="00BD1032"/>
    <w:rsid w:val="00BD1118"/>
    <w:rsid w:val="00BD112D"/>
    <w:rsid w:val="00BD116E"/>
    <w:rsid w:val="00BD1189"/>
    <w:rsid w:val="00BD11EB"/>
    <w:rsid w:val="00BD122C"/>
    <w:rsid w:val="00BD127A"/>
    <w:rsid w:val="00BD12DC"/>
    <w:rsid w:val="00BD13D1"/>
    <w:rsid w:val="00BD13DC"/>
    <w:rsid w:val="00BD144D"/>
    <w:rsid w:val="00BD146D"/>
    <w:rsid w:val="00BD14EA"/>
    <w:rsid w:val="00BD1525"/>
    <w:rsid w:val="00BD1585"/>
    <w:rsid w:val="00BD165F"/>
    <w:rsid w:val="00BD1694"/>
    <w:rsid w:val="00BD16EC"/>
    <w:rsid w:val="00BD16ED"/>
    <w:rsid w:val="00BD16F0"/>
    <w:rsid w:val="00BD170A"/>
    <w:rsid w:val="00BD1781"/>
    <w:rsid w:val="00BD1786"/>
    <w:rsid w:val="00BD180C"/>
    <w:rsid w:val="00BD1825"/>
    <w:rsid w:val="00BD1828"/>
    <w:rsid w:val="00BD182F"/>
    <w:rsid w:val="00BD183B"/>
    <w:rsid w:val="00BD1874"/>
    <w:rsid w:val="00BD1877"/>
    <w:rsid w:val="00BD18E0"/>
    <w:rsid w:val="00BD19CB"/>
    <w:rsid w:val="00BD1A11"/>
    <w:rsid w:val="00BD1A1F"/>
    <w:rsid w:val="00BD1A29"/>
    <w:rsid w:val="00BD1A57"/>
    <w:rsid w:val="00BD1A8B"/>
    <w:rsid w:val="00BD1AE5"/>
    <w:rsid w:val="00BD1B09"/>
    <w:rsid w:val="00BD1B10"/>
    <w:rsid w:val="00BD1B6B"/>
    <w:rsid w:val="00BD1C38"/>
    <w:rsid w:val="00BD1C43"/>
    <w:rsid w:val="00BD1C5A"/>
    <w:rsid w:val="00BD1C5D"/>
    <w:rsid w:val="00BD1CA0"/>
    <w:rsid w:val="00BD1CA7"/>
    <w:rsid w:val="00BD1CB1"/>
    <w:rsid w:val="00BD1CB4"/>
    <w:rsid w:val="00BD1D09"/>
    <w:rsid w:val="00BD1D12"/>
    <w:rsid w:val="00BD1DB3"/>
    <w:rsid w:val="00BD1EA8"/>
    <w:rsid w:val="00BD1EF9"/>
    <w:rsid w:val="00BD1F53"/>
    <w:rsid w:val="00BD1F6E"/>
    <w:rsid w:val="00BD1F95"/>
    <w:rsid w:val="00BD2004"/>
    <w:rsid w:val="00BD20C2"/>
    <w:rsid w:val="00BD2153"/>
    <w:rsid w:val="00BD216D"/>
    <w:rsid w:val="00BD218B"/>
    <w:rsid w:val="00BD22C1"/>
    <w:rsid w:val="00BD22D5"/>
    <w:rsid w:val="00BD2328"/>
    <w:rsid w:val="00BD2333"/>
    <w:rsid w:val="00BD2353"/>
    <w:rsid w:val="00BD2372"/>
    <w:rsid w:val="00BD23A3"/>
    <w:rsid w:val="00BD23A6"/>
    <w:rsid w:val="00BD23CF"/>
    <w:rsid w:val="00BD2402"/>
    <w:rsid w:val="00BD242A"/>
    <w:rsid w:val="00BD246F"/>
    <w:rsid w:val="00BD2485"/>
    <w:rsid w:val="00BD24B6"/>
    <w:rsid w:val="00BD24E1"/>
    <w:rsid w:val="00BD2553"/>
    <w:rsid w:val="00BD256B"/>
    <w:rsid w:val="00BD257D"/>
    <w:rsid w:val="00BD25E4"/>
    <w:rsid w:val="00BD25EB"/>
    <w:rsid w:val="00BD262A"/>
    <w:rsid w:val="00BD2639"/>
    <w:rsid w:val="00BD2640"/>
    <w:rsid w:val="00BD2665"/>
    <w:rsid w:val="00BD2674"/>
    <w:rsid w:val="00BD269E"/>
    <w:rsid w:val="00BD2771"/>
    <w:rsid w:val="00BD277B"/>
    <w:rsid w:val="00BD2785"/>
    <w:rsid w:val="00BD27D4"/>
    <w:rsid w:val="00BD2844"/>
    <w:rsid w:val="00BD28BB"/>
    <w:rsid w:val="00BD296B"/>
    <w:rsid w:val="00BD29BB"/>
    <w:rsid w:val="00BD2A00"/>
    <w:rsid w:val="00BD2A1C"/>
    <w:rsid w:val="00BD2A94"/>
    <w:rsid w:val="00BD2AF3"/>
    <w:rsid w:val="00BD2B1F"/>
    <w:rsid w:val="00BD2B27"/>
    <w:rsid w:val="00BD2B88"/>
    <w:rsid w:val="00BD2BC0"/>
    <w:rsid w:val="00BD2BE2"/>
    <w:rsid w:val="00BD2BE5"/>
    <w:rsid w:val="00BD2C0A"/>
    <w:rsid w:val="00BD2C70"/>
    <w:rsid w:val="00BD2CFF"/>
    <w:rsid w:val="00BD2D18"/>
    <w:rsid w:val="00BD2D34"/>
    <w:rsid w:val="00BD2D43"/>
    <w:rsid w:val="00BD2D47"/>
    <w:rsid w:val="00BD2D62"/>
    <w:rsid w:val="00BD2D82"/>
    <w:rsid w:val="00BD2E03"/>
    <w:rsid w:val="00BD2E0C"/>
    <w:rsid w:val="00BD2E29"/>
    <w:rsid w:val="00BD2E2A"/>
    <w:rsid w:val="00BD2EF0"/>
    <w:rsid w:val="00BD2F08"/>
    <w:rsid w:val="00BD2F5F"/>
    <w:rsid w:val="00BD2F9E"/>
    <w:rsid w:val="00BD2FD6"/>
    <w:rsid w:val="00BD3034"/>
    <w:rsid w:val="00BD3056"/>
    <w:rsid w:val="00BD3080"/>
    <w:rsid w:val="00BD30B3"/>
    <w:rsid w:val="00BD30E5"/>
    <w:rsid w:val="00BD30E9"/>
    <w:rsid w:val="00BD3150"/>
    <w:rsid w:val="00BD315B"/>
    <w:rsid w:val="00BD3178"/>
    <w:rsid w:val="00BD319C"/>
    <w:rsid w:val="00BD31CA"/>
    <w:rsid w:val="00BD3216"/>
    <w:rsid w:val="00BD32A0"/>
    <w:rsid w:val="00BD32BE"/>
    <w:rsid w:val="00BD32D3"/>
    <w:rsid w:val="00BD32E0"/>
    <w:rsid w:val="00BD3316"/>
    <w:rsid w:val="00BD33D8"/>
    <w:rsid w:val="00BD3457"/>
    <w:rsid w:val="00BD3498"/>
    <w:rsid w:val="00BD351A"/>
    <w:rsid w:val="00BD3584"/>
    <w:rsid w:val="00BD35D5"/>
    <w:rsid w:val="00BD35FC"/>
    <w:rsid w:val="00BD3614"/>
    <w:rsid w:val="00BD3624"/>
    <w:rsid w:val="00BD3667"/>
    <w:rsid w:val="00BD3769"/>
    <w:rsid w:val="00BD37C1"/>
    <w:rsid w:val="00BD37F4"/>
    <w:rsid w:val="00BD381A"/>
    <w:rsid w:val="00BD384C"/>
    <w:rsid w:val="00BD3872"/>
    <w:rsid w:val="00BD3883"/>
    <w:rsid w:val="00BD3887"/>
    <w:rsid w:val="00BD38B3"/>
    <w:rsid w:val="00BD38B9"/>
    <w:rsid w:val="00BD38DA"/>
    <w:rsid w:val="00BD38E0"/>
    <w:rsid w:val="00BD390F"/>
    <w:rsid w:val="00BD3949"/>
    <w:rsid w:val="00BD3951"/>
    <w:rsid w:val="00BD39E6"/>
    <w:rsid w:val="00BD39EE"/>
    <w:rsid w:val="00BD3B1A"/>
    <w:rsid w:val="00BD3B1C"/>
    <w:rsid w:val="00BD3B2B"/>
    <w:rsid w:val="00BD3B81"/>
    <w:rsid w:val="00BD3BC4"/>
    <w:rsid w:val="00BD3BCC"/>
    <w:rsid w:val="00BD3BDF"/>
    <w:rsid w:val="00BD3BE1"/>
    <w:rsid w:val="00BD3BFA"/>
    <w:rsid w:val="00BD3C17"/>
    <w:rsid w:val="00BD3C64"/>
    <w:rsid w:val="00BD3D1F"/>
    <w:rsid w:val="00BD3D3E"/>
    <w:rsid w:val="00BD3D86"/>
    <w:rsid w:val="00BD3D93"/>
    <w:rsid w:val="00BD3DC0"/>
    <w:rsid w:val="00BD3E13"/>
    <w:rsid w:val="00BD3E21"/>
    <w:rsid w:val="00BD3EB5"/>
    <w:rsid w:val="00BD3ED6"/>
    <w:rsid w:val="00BD3EEC"/>
    <w:rsid w:val="00BD3F24"/>
    <w:rsid w:val="00BD3F2E"/>
    <w:rsid w:val="00BD3F34"/>
    <w:rsid w:val="00BD3F3D"/>
    <w:rsid w:val="00BD3FBB"/>
    <w:rsid w:val="00BD3FC9"/>
    <w:rsid w:val="00BD3FF3"/>
    <w:rsid w:val="00BD401F"/>
    <w:rsid w:val="00BD40CB"/>
    <w:rsid w:val="00BD40D6"/>
    <w:rsid w:val="00BD40FB"/>
    <w:rsid w:val="00BD4126"/>
    <w:rsid w:val="00BD414B"/>
    <w:rsid w:val="00BD4166"/>
    <w:rsid w:val="00BD41FC"/>
    <w:rsid w:val="00BD4201"/>
    <w:rsid w:val="00BD4251"/>
    <w:rsid w:val="00BD4264"/>
    <w:rsid w:val="00BD4270"/>
    <w:rsid w:val="00BD429D"/>
    <w:rsid w:val="00BD431C"/>
    <w:rsid w:val="00BD4384"/>
    <w:rsid w:val="00BD4430"/>
    <w:rsid w:val="00BD4436"/>
    <w:rsid w:val="00BD454B"/>
    <w:rsid w:val="00BD4553"/>
    <w:rsid w:val="00BD45C5"/>
    <w:rsid w:val="00BD45DB"/>
    <w:rsid w:val="00BD45ED"/>
    <w:rsid w:val="00BD463B"/>
    <w:rsid w:val="00BD464E"/>
    <w:rsid w:val="00BD4665"/>
    <w:rsid w:val="00BD466D"/>
    <w:rsid w:val="00BD46B8"/>
    <w:rsid w:val="00BD46EE"/>
    <w:rsid w:val="00BD478A"/>
    <w:rsid w:val="00BD478F"/>
    <w:rsid w:val="00BD4798"/>
    <w:rsid w:val="00BD47B4"/>
    <w:rsid w:val="00BD483D"/>
    <w:rsid w:val="00BD4846"/>
    <w:rsid w:val="00BD484E"/>
    <w:rsid w:val="00BD4860"/>
    <w:rsid w:val="00BD4872"/>
    <w:rsid w:val="00BD487D"/>
    <w:rsid w:val="00BD4880"/>
    <w:rsid w:val="00BD4884"/>
    <w:rsid w:val="00BD48AC"/>
    <w:rsid w:val="00BD48EC"/>
    <w:rsid w:val="00BD4916"/>
    <w:rsid w:val="00BD493A"/>
    <w:rsid w:val="00BD495C"/>
    <w:rsid w:val="00BD4960"/>
    <w:rsid w:val="00BD49F0"/>
    <w:rsid w:val="00BD4A02"/>
    <w:rsid w:val="00BD4A2E"/>
    <w:rsid w:val="00BD4AA0"/>
    <w:rsid w:val="00BD4AA2"/>
    <w:rsid w:val="00BD4AC1"/>
    <w:rsid w:val="00BD4B36"/>
    <w:rsid w:val="00BD4BAB"/>
    <w:rsid w:val="00BD4BD8"/>
    <w:rsid w:val="00BD4C88"/>
    <w:rsid w:val="00BD4CD1"/>
    <w:rsid w:val="00BD4D4A"/>
    <w:rsid w:val="00BD4D51"/>
    <w:rsid w:val="00BD4D5E"/>
    <w:rsid w:val="00BD4D60"/>
    <w:rsid w:val="00BD4D67"/>
    <w:rsid w:val="00BD4DF2"/>
    <w:rsid w:val="00BD4DF3"/>
    <w:rsid w:val="00BD4E11"/>
    <w:rsid w:val="00BD4E21"/>
    <w:rsid w:val="00BD4E8F"/>
    <w:rsid w:val="00BD4F0E"/>
    <w:rsid w:val="00BD4FAD"/>
    <w:rsid w:val="00BD4FDE"/>
    <w:rsid w:val="00BD5017"/>
    <w:rsid w:val="00BD5021"/>
    <w:rsid w:val="00BD502D"/>
    <w:rsid w:val="00BD504F"/>
    <w:rsid w:val="00BD5129"/>
    <w:rsid w:val="00BD5182"/>
    <w:rsid w:val="00BD51CF"/>
    <w:rsid w:val="00BD522F"/>
    <w:rsid w:val="00BD5237"/>
    <w:rsid w:val="00BD5267"/>
    <w:rsid w:val="00BD528B"/>
    <w:rsid w:val="00BD529B"/>
    <w:rsid w:val="00BD534D"/>
    <w:rsid w:val="00BD53A9"/>
    <w:rsid w:val="00BD5448"/>
    <w:rsid w:val="00BD5450"/>
    <w:rsid w:val="00BD5462"/>
    <w:rsid w:val="00BD5475"/>
    <w:rsid w:val="00BD549F"/>
    <w:rsid w:val="00BD54DF"/>
    <w:rsid w:val="00BD552A"/>
    <w:rsid w:val="00BD5536"/>
    <w:rsid w:val="00BD5538"/>
    <w:rsid w:val="00BD55C3"/>
    <w:rsid w:val="00BD562B"/>
    <w:rsid w:val="00BD562E"/>
    <w:rsid w:val="00BD5704"/>
    <w:rsid w:val="00BD5752"/>
    <w:rsid w:val="00BD5835"/>
    <w:rsid w:val="00BD586D"/>
    <w:rsid w:val="00BD588F"/>
    <w:rsid w:val="00BD58ED"/>
    <w:rsid w:val="00BD5903"/>
    <w:rsid w:val="00BD596F"/>
    <w:rsid w:val="00BD59F5"/>
    <w:rsid w:val="00BD5A2C"/>
    <w:rsid w:val="00BD5AF6"/>
    <w:rsid w:val="00BD5AF9"/>
    <w:rsid w:val="00BD5B07"/>
    <w:rsid w:val="00BD5B79"/>
    <w:rsid w:val="00BD5B7D"/>
    <w:rsid w:val="00BD5B99"/>
    <w:rsid w:val="00BD5C1E"/>
    <w:rsid w:val="00BD5C2F"/>
    <w:rsid w:val="00BD5C33"/>
    <w:rsid w:val="00BD5C3F"/>
    <w:rsid w:val="00BD5C83"/>
    <w:rsid w:val="00BD5CD1"/>
    <w:rsid w:val="00BD5D85"/>
    <w:rsid w:val="00BD5D88"/>
    <w:rsid w:val="00BD5DC3"/>
    <w:rsid w:val="00BD5DEC"/>
    <w:rsid w:val="00BD5E74"/>
    <w:rsid w:val="00BD5F2B"/>
    <w:rsid w:val="00BD5F4A"/>
    <w:rsid w:val="00BD5F94"/>
    <w:rsid w:val="00BD5FBD"/>
    <w:rsid w:val="00BD606F"/>
    <w:rsid w:val="00BD6094"/>
    <w:rsid w:val="00BD6095"/>
    <w:rsid w:val="00BD60FF"/>
    <w:rsid w:val="00BD613C"/>
    <w:rsid w:val="00BD6148"/>
    <w:rsid w:val="00BD6149"/>
    <w:rsid w:val="00BD614E"/>
    <w:rsid w:val="00BD6152"/>
    <w:rsid w:val="00BD6178"/>
    <w:rsid w:val="00BD617E"/>
    <w:rsid w:val="00BD61E4"/>
    <w:rsid w:val="00BD61ED"/>
    <w:rsid w:val="00BD6209"/>
    <w:rsid w:val="00BD623B"/>
    <w:rsid w:val="00BD62D3"/>
    <w:rsid w:val="00BD62F7"/>
    <w:rsid w:val="00BD633F"/>
    <w:rsid w:val="00BD634A"/>
    <w:rsid w:val="00BD637D"/>
    <w:rsid w:val="00BD63BA"/>
    <w:rsid w:val="00BD63DF"/>
    <w:rsid w:val="00BD641D"/>
    <w:rsid w:val="00BD6420"/>
    <w:rsid w:val="00BD6427"/>
    <w:rsid w:val="00BD6428"/>
    <w:rsid w:val="00BD642C"/>
    <w:rsid w:val="00BD64D0"/>
    <w:rsid w:val="00BD651F"/>
    <w:rsid w:val="00BD6536"/>
    <w:rsid w:val="00BD65CA"/>
    <w:rsid w:val="00BD65E4"/>
    <w:rsid w:val="00BD65E5"/>
    <w:rsid w:val="00BD660C"/>
    <w:rsid w:val="00BD665C"/>
    <w:rsid w:val="00BD669D"/>
    <w:rsid w:val="00BD66B9"/>
    <w:rsid w:val="00BD66FE"/>
    <w:rsid w:val="00BD675D"/>
    <w:rsid w:val="00BD6765"/>
    <w:rsid w:val="00BD67F7"/>
    <w:rsid w:val="00BD6818"/>
    <w:rsid w:val="00BD6870"/>
    <w:rsid w:val="00BD68AA"/>
    <w:rsid w:val="00BD68C4"/>
    <w:rsid w:val="00BD6944"/>
    <w:rsid w:val="00BD6951"/>
    <w:rsid w:val="00BD69B3"/>
    <w:rsid w:val="00BD69BE"/>
    <w:rsid w:val="00BD69F7"/>
    <w:rsid w:val="00BD6A50"/>
    <w:rsid w:val="00BD6AB7"/>
    <w:rsid w:val="00BD6ADB"/>
    <w:rsid w:val="00BD6B74"/>
    <w:rsid w:val="00BD6B7E"/>
    <w:rsid w:val="00BD6B92"/>
    <w:rsid w:val="00BD6BA7"/>
    <w:rsid w:val="00BD6C02"/>
    <w:rsid w:val="00BD6C42"/>
    <w:rsid w:val="00BD6C67"/>
    <w:rsid w:val="00BD6CCD"/>
    <w:rsid w:val="00BD6CE0"/>
    <w:rsid w:val="00BD6D00"/>
    <w:rsid w:val="00BD6D13"/>
    <w:rsid w:val="00BD6D18"/>
    <w:rsid w:val="00BD6D7B"/>
    <w:rsid w:val="00BD6D8E"/>
    <w:rsid w:val="00BD6E1D"/>
    <w:rsid w:val="00BD6E68"/>
    <w:rsid w:val="00BD6E70"/>
    <w:rsid w:val="00BD6EA5"/>
    <w:rsid w:val="00BD6EEC"/>
    <w:rsid w:val="00BD6F79"/>
    <w:rsid w:val="00BD6FEB"/>
    <w:rsid w:val="00BD6FF7"/>
    <w:rsid w:val="00BD6FF8"/>
    <w:rsid w:val="00BD6FFF"/>
    <w:rsid w:val="00BD7073"/>
    <w:rsid w:val="00BD7089"/>
    <w:rsid w:val="00BD70E4"/>
    <w:rsid w:val="00BD7130"/>
    <w:rsid w:val="00BD7133"/>
    <w:rsid w:val="00BD7171"/>
    <w:rsid w:val="00BD7172"/>
    <w:rsid w:val="00BD717A"/>
    <w:rsid w:val="00BD7183"/>
    <w:rsid w:val="00BD71A7"/>
    <w:rsid w:val="00BD720B"/>
    <w:rsid w:val="00BD72CD"/>
    <w:rsid w:val="00BD7307"/>
    <w:rsid w:val="00BD7324"/>
    <w:rsid w:val="00BD7349"/>
    <w:rsid w:val="00BD7394"/>
    <w:rsid w:val="00BD7397"/>
    <w:rsid w:val="00BD73CE"/>
    <w:rsid w:val="00BD7474"/>
    <w:rsid w:val="00BD74C4"/>
    <w:rsid w:val="00BD7545"/>
    <w:rsid w:val="00BD7594"/>
    <w:rsid w:val="00BD75F8"/>
    <w:rsid w:val="00BD75FF"/>
    <w:rsid w:val="00BD7611"/>
    <w:rsid w:val="00BD764D"/>
    <w:rsid w:val="00BD768A"/>
    <w:rsid w:val="00BD7723"/>
    <w:rsid w:val="00BD772E"/>
    <w:rsid w:val="00BD7789"/>
    <w:rsid w:val="00BD77A2"/>
    <w:rsid w:val="00BD77AA"/>
    <w:rsid w:val="00BD7846"/>
    <w:rsid w:val="00BD7859"/>
    <w:rsid w:val="00BD7888"/>
    <w:rsid w:val="00BD789E"/>
    <w:rsid w:val="00BD7916"/>
    <w:rsid w:val="00BD7934"/>
    <w:rsid w:val="00BD793F"/>
    <w:rsid w:val="00BD7A44"/>
    <w:rsid w:val="00BD7ACD"/>
    <w:rsid w:val="00BD7ADD"/>
    <w:rsid w:val="00BD7AE2"/>
    <w:rsid w:val="00BD7AED"/>
    <w:rsid w:val="00BD7B38"/>
    <w:rsid w:val="00BD7B4E"/>
    <w:rsid w:val="00BD7B9F"/>
    <w:rsid w:val="00BD7BAD"/>
    <w:rsid w:val="00BD7C10"/>
    <w:rsid w:val="00BD7D97"/>
    <w:rsid w:val="00BD7E4B"/>
    <w:rsid w:val="00BD7EBC"/>
    <w:rsid w:val="00BD7EBE"/>
    <w:rsid w:val="00BD7EC3"/>
    <w:rsid w:val="00BD7EE3"/>
    <w:rsid w:val="00BD7F33"/>
    <w:rsid w:val="00BD7F75"/>
    <w:rsid w:val="00BD7FC7"/>
    <w:rsid w:val="00BD7FD4"/>
    <w:rsid w:val="00BE008B"/>
    <w:rsid w:val="00BE0120"/>
    <w:rsid w:val="00BE014D"/>
    <w:rsid w:val="00BE0166"/>
    <w:rsid w:val="00BE016F"/>
    <w:rsid w:val="00BE018C"/>
    <w:rsid w:val="00BE019D"/>
    <w:rsid w:val="00BE01E7"/>
    <w:rsid w:val="00BE0235"/>
    <w:rsid w:val="00BE0256"/>
    <w:rsid w:val="00BE0283"/>
    <w:rsid w:val="00BE0287"/>
    <w:rsid w:val="00BE02E1"/>
    <w:rsid w:val="00BE02F5"/>
    <w:rsid w:val="00BE0339"/>
    <w:rsid w:val="00BE037B"/>
    <w:rsid w:val="00BE037C"/>
    <w:rsid w:val="00BE039A"/>
    <w:rsid w:val="00BE03B1"/>
    <w:rsid w:val="00BE0420"/>
    <w:rsid w:val="00BE0429"/>
    <w:rsid w:val="00BE0449"/>
    <w:rsid w:val="00BE047E"/>
    <w:rsid w:val="00BE04ED"/>
    <w:rsid w:val="00BE0519"/>
    <w:rsid w:val="00BE059E"/>
    <w:rsid w:val="00BE061E"/>
    <w:rsid w:val="00BE064B"/>
    <w:rsid w:val="00BE069B"/>
    <w:rsid w:val="00BE06B1"/>
    <w:rsid w:val="00BE06BD"/>
    <w:rsid w:val="00BE06DB"/>
    <w:rsid w:val="00BE07C0"/>
    <w:rsid w:val="00BE080E"/>
    <w:rsid w:val="00BE0850"/>
    <w:rsid w:val="00BE0878"/>
    <w:rsid w:val="00BE08EE"/>
    <w:rsid w:val="00BE095F"/>
    <w:rsid w:val="00BE09A3"/>
    <w:rsid w:val="00BE09B1"/>
    <w:rsid w:val="00BE09D0"/>
    <w:rsid w:val="00BE09D9"/>
    <w:rsid w:val="00BE09FB"/>
    <w:rsid w:val="00BE0A66"/>
    <w:rsid w:val="00BE0A7E"/>
    <w:rsid w:val="00BE0AD7"/>
    <w:rsid w:val="00BE0AFB"/>
    <w:rsid w:val="00BE0AFE"/>
    <w:rsid w:val="00BE0B08"/>
    <w:rsid w:val="00BE0B29"/>
    <w:rsid w:val="00BE0B33"/>
    <w:rsid w:val="00BE0B3C"/>
    <w:rsid w:val="00BE0B62"/>
    <w:rsid w:val="00BE0BB4"/>
    <w:rsid w:val="00BE0CA5"/>
    <w:rsid w:val="00BE0D2E"/>
    <w:rsid w:val="00BE0D34"/>
    <w:rsid w:val="00BE0D66"/>
    <w:rsid w:val="00BE0D89"/>
    <w:rsid w:val="00BE0D97"/>
    <w:rsid w:val="00BE0DF5"/>
    <w:rsid w:val="00BE0E00"/>
    <w:rsid w:val="00BE0E0B"/>
    <w:rsid w:val="00BE0E35"/>
    <w:rsid w:val="00BE0E92"/>
    <w:rsid w:val="00BE0EDF"/>
    <w:rsid w:val="00BE0EF1"/>
    <w:rsid w:val="00BE0F0C"/>
    <w:rsid w:val="00BE0F3E"/>
    <w:rsid w:val="00BE0F69"/>
    <w:rsid w:val="00BE0FA1"/>
    <w:rsid w:val="00BE0FA3"/>
    <w:rsid w:val="00BE0FF7"/>
    <w:rsid w:val="00BE1035"/>
    <w:rsid w:val="00BE1078"/>
    <w:rsid w:val="00BE10BE"/>
    <w:rsid w:val="00BE113C"/>
    <w:rsid w:val="00BE1204"/>
    <w:rsid w:val="00BE1226"/>
    <w:rsid w:val="00BE126E"/>
    <w:rsid w:val="00BE129C"/>
    <w:rsid w:val="00BE12A2"/>
    <w:rsid w:val="00BE132C"/>
    <w:rsid w:val="00BE1348"/>
    <w:rsid w:val="00BE13DF"/>
    <w:rsid w:val="00BE13F3"/>
    <w:rsid w:val="00BE13FC"/>
    <w:rsid w:val="00BE1410"/>
    <w:rsid w:val="00BE141C"/>
    <w:rsid w:val="00BE14FB"/>
    <w:rsid w:val="00BE159C"/>
    <w:rsid w:val="00BE15A1"/>
    <w:rsid w:val="00BE15BF"/>
    <w:rsid w:val="00BE15C0"/>
    <w:rsid w:val="00BE161E"/>
    <w:rsid w:val="00BE1621"/>
    <w:rsid w:val="00BE1654"/>
    <w:rsid w:val="00BE16BF"/>
    <w:rsid w:val="00BE16DE"/>
    <w:rsid w:val="00BE16ED"/>
    <w:rsid w:val="00BE170B"/>
    <w:rsid w:val="00BE1720"/>
    <w:rsid w:val="00BE1737"/>
    <w:rsid w:val="00BE1799"/>
    <w:rsid w:val="00BE1817"/>
    <w:rsid w:val="00BE183A"/>
    <w:rsid w:val="00BE1871"/>
    <w:rsid w:val="00BE18B0"/>
    <w:rsid w:val="00BE195F"/>
    <w:rsid w:val="00BE19C3"/>
    <w:rsid w:val="00BE1A01"/>
    <w:rsid w:val="00BE1A0D"/>
    <w:rsid w:val="00BE1A1D"/>
    <w:rsid w:val="00BE1A73"/>
    <w:rsid w:val="00BE1A86"/>
    <w:rsid w:val="00BE1A88"/>
    <w:rsid w:val="00BE1AAB"/>
    <w:rsid w:val="00BE1AC6"/>
    <w:rsid w:val="00BE1ACA"/>
    <w:rsid w:val="00BE1ACE"/>
    <w:rsid w:val="00BE1AF9"/>
    <w:rsid w:val="00BE1B05"/>
    <w:rsid w:val="00BE1B5A"/>
    <w:rsid w:val="00BE1B96"/>
    <w:rsid w:val="00BE1BC9"/>
    <w:rsid w:val="00BE1C5D"/>
    <w:rsid w:val="00BE1C87"/>
    <w:rsid w:val="00BE1CDE"/>
    <w:rsid w:val="00BE1D1C"/>
    <w:rsid w:val="00BE1D35"/>
    <w:rsid w:val="00BE1DF4"/>
    <w:rsid w:val="00BE1E8A"/>
    <w:rsid w:val="00BE1EAD"/>
    <w:rsid w:val="00BE1EB1"/>
    <w:rsid w:val="00BE1EB5"/>
    <w:rsid w:val="00BE1ECD"/>
    <w:rsid w:val="00BE1EDB"/>
    <w:rsid w:val="00BE1F44"/>
    <w:rsid w:val="00BE1F7D"/>
    <w:rsid w:val="00BE1FB9"/>
    <w:rsid w:val="00BE2004"/>
    <w:rsid w:val="00BE2082"/>
    <w:rsid w:val="00BE2090"/>
    <w:rsid w:val="00BE212D"/>
    <w:rsid w:val="00BE215B"/>
    <w:rsid w:val="00BE21A4"/>
    <w:rsid w:val="00BE21A8"/>
    <w:rsid w:val="00BE21B1"/>
    <w:rsid w:val="00BE21DF"/>
    <w:rsid w:val="00BE220A"/>
    <w:rsid w:val="00BE2223"/>
    <w:rsid w:val="00BE2290"/>
    <w:rsid w:val="00BE22D9"/>
    <w:rsid w:val="00BE230A"/>
    <w:rsid w:val="00BE230D"/>
    <w:rsid w:val="00BE2317"/>
    <w:rsid w:val="00BE2326"/>
    <w:rsid w:val="00BE2455"/>
    <w:rsid w:val="00BE24DA"/>
    <w:rsid w:val="00BE24DC"/>
    <w:rsid w:val="00BE2503"/>
    <w:rsid w:val="00BE251B"/>
    <w:rsid w:val="00BE2525"/>
    <w:rsid w:val="00BE2534"/>
    <w:rsid w:val="00BE256F"/>
    <w:rsid w:val="00BE25BF"/>
    <w:rsid w:val="00BE25E4"/>
    <w:rsid w:val="00BE268B"/>
    <w:rsid w:val="00BE2709"/>
    <w:rsid w:val="00BE2710"/>
    <w:rsid w:val="00BE278C"/>
    <w:rsid w:val="00BE279A"/>
    <w:rsid w:val="00BE27D2"/>
    <w:rsid w:val="00BE27E7"/>
    <w:rsid w:val="00BE280C"/>
    <w:rsid w:val="00BE2864"/>
    <w:rsid w:val="00BE2868"/>
    <w:rsid w:val="00BE2872"/>
    <w:rsid w:val="00BE28BD"/>
    <w:rsid w:val="00BE293A"/>
    <w:rsid w:val="00BE293B"/>
    <w:rsid w:val="00BE2958"/>
    <w:rsid w:val="00BE296A"/>
    <w:rsid w:val="00BE2A16"/>
    <w:rsid w:val="00BE2A32"/>
    <w:rsid w:val="00BE2A69"/>
    <w:rsid w:val="00BE2AC6"/>
    <w:rsid w:val="00BE2B09"/>
    <w:rsid w:val="00BE2B0E"/>
    <w:rsid w:val="00BE2B5A"/>
    <w:rsid w:val="00BE2B91"/>
    <w:rsid w:val="00BE2C00"/>
    <w:rsid w:val="00BE2C2C"/>
    <w:rsid w:val="00BE2CA6"/>
    <w:rsid w:val="00BE2CFB"/>
    <w:rsid w:val="00BE2D39"/>
    <w:rsid w:val="00BE2D3D"/>
    <w:rsid w:val="00BE2D42"/>
    <w:rsid w:val="00BE2D57"/>
    <w:rsid w:val="00BE2D75"/>
    <w:rsid w:val="00BE2D9F"/>
    <w:rsid w:val="00BE2DA4"/>
    <w:rsid w:val="00BE2DA7"/>
    <w:rsid w:val="00BE2DF7"/>
    <w:rsid w:val="00BE2E15"/>
    <w:rsid w:val="00BE2E24"/>
    <w:rsid w:val="00BE2F18"/>
    <w:rsid w:val="00BE2FAB"/>
    <w:rsid w:val="00BE2FCA"/>
    <w:rsid w:val="00BE304B"/>
    <w:rsid w:val="00BE3079"/>
    <w:rsid w:val="00BE307F"/>
    <w:rsid w:val="00BE30B4"/>
    <w:rsid w:val="00BE3113"/>
    <w:rsid w:val="00BE320C"/>
    <w:rsid w:val="00BE3256"/>
    <w:rsid w:val="00BE3271"/>
    <w:rsid w:val="00BE32FE"/>
    <w:rsid w:val="00BE3326"/>
    <w:rsid w:val="00BE33C3"/>
    <w:rsid w:val="00BE3455"/>
    <w:rsid w:val="00BE346D"/>
    <w:rsid w:val="00BE3485"/>
    <w:rsid w:val="00BE34C7"/>
    <w:rsid w:val="00BE3504"/>
    <w:rsid w:val="00BE35F8"/>
    <w:rsid w:val="00BE363D"/>
    <w:rsid w:val="00BE3648"/>
    <w:rsid w:val="00BE3650"/>
    <w:rsid w:val="00BE365A"/>
    <w:rsid w:val="00BE3664"/>
    <w:rsid w:val="00BE36B9"/>
    <w:rsid w:val="00BE3708"/>
    <w:rsid w:val="00BE374A"/>
    <w:rsid w:val="00BE374B"/>
    <w:rsid w:val="00BE377F"/>
    <w:rsid w:val="00BE3781"/>
    <w:rsid w:val="00BE37A8"/>
    <w:rsid w:val="00BE3816"/>
    <w:rsid w:val="00BE3835"/>
    <w:rsid w:val="00BE385D"/>
    <w:rsid w:val="00BE38BE"/>
    <w:rsid w:val="00BE3919"/>
    <w:rsid w:val="00BE391B"/>
    <w:rsid w:val="00BE3936"/>
    <w:rsid w:val="00BE393A"/>
    <w:rsid w:val="00BE3A62"/>
    <w:rsid w:val="00BE3A68"/>
    <w:rsid w:val="00BE3A9C"/>
    <w:rsid w:val="00BE3AA5"/>
    <w:rsid w:val="00BE3AA6"/>
    <w:rsid w:val="00BE3AEB"/>
    <w:rsid w:val="00BE3B1D"/>
    <w:rsid w:val="00BE3B67"/>
    <w:rsid w:val="00BE3BC2"/>
    <w:rsid w:val="00BE3BCD"/>
    <w:rsid w:val="00BE3BCE"/>
    <w:rsid w:val="00BE3C0C"/>
    <w:rsid w:val="00BE3C13"/>
    <w:rsid w:val="00BE3C6B"/>
    <w:rsid w:val="00BE3C92"/>
    <w:rsid w:val="00BE3DCD"/>
    <w:rsid w:val="00BE3DF4"/>
    <w:rsid w:val="00BE3DF8"/>
    <w:rsid w:val="00BE3E15"/>
    <w:rsid w:val="00BE3F78"/>
    <w:rsid w:val="00BE3F9B"/>
    <w:rsid w:val="00BE3F9D"/>
    <w:rsid w:val="00BE3F9F"/>
    <w:rsid w:val="00BE3FB8"/>
    <w:rsid w:val="00BE403F"/>
    <w:rsid w:val="00BE408D"/>
    <w:rsid w:val="00BE4156"/>
    <w:rsid w:val="00BE415B"/>
    <w:rsid w:val="00BE416C"/>
    <w:rsid w:val="00BE419A"/>
    <w:rsid w:val="00BE41D9"/>
    <w:rsid w:val="00BE41DC"/>
    <w:rsid w:val="00BE422C"/>
    <w:rsid w:val="00BE424A"/>
    <w:rsid w:val="00BE426C"/>
    <w:rsid w:val="00BE4276"/>
    <w:rsid w:val="00BE42DD"/>
    <w:rsid w:val="00BE42F8"/>
    <w:rsid w:val="00BE4315"/>
    <w:rsid w:val="00BE441E"/>
    <w:rsid w:val="00BE4442"/>
    <w:rsid w:val="00BE44CB"/>
    <w:rsid w:val="00BE4513"/>
    <w:rsid w:val="00BE4525"/>
    <w:rsid w:val="00BE452B"/>
    <w:rsid w:val="00BE4534"/>
    <w:rsid w:val="00BE4548"/>
    <w:rsid w:val="00BE454C"/>
    <w:rsid w:val="00BE4575"/>
    <w:rsid w:val="00BE457B"/>
    <w:rsid w:val="00BE457E"/>
    <w:rsid w:val="00BE458C"/>
    <w:rsid w:val="00BE45C0"/>
    <w:rsid w:val="00BE45E1"/>
    <w:rsid w:val="00BE45E3"/>
    <w:rsid w:val="00BE4601"/>
    <w:rsid w:val="00BE467C"/>
    <w:rsid w:val="00BE4728"/>
    <w:rsid w:val="00BE47B2"/>
    <w:rsid w:val="00BE47D6"/>
    <w:rsid w:val="00BE47D7"/>
    <w:rsid w:val="00BE4826"/>
    <w:rsid w:val="00BE4851"/>
    <w:rsid w:val="00BE48F5"/>
    <w:rsid w:val="00BE4942"/>
    <w:rsid w:val="00BE4973"/>
    <w:rsid w:val="00BE499C"/>
    <w:rsid w:val="00BE49B8"/>
    <w:rsid w:val="00BE49E5"/>
    <w:rsid w:val="00BE4A32"/>
    <w:rsid w:val="00BE4A99"/>
    <w:rsid w:val="00BE4ADF"/>
    <w:rsid w:val="00BE4AE0"/>
    <w:rsid w:val="00BE4B64"/>
    <w:rsid w:val="00BE4C1D"/>
    <w:rsid w:val="00BE4C20"/>
    <w:rsid w:val="00BE4C3C"/>
    <w:rsid w:val="00BE4C44"/>
    <w:rsid w:val="00BE4C99"/>
    <w:rsid w:val="00BE4CCF"/>
    <w:rsid w:val="00BE4D8E"/>
    <w:rsid w:val="00BE4DF0"/>
    <w:rsid w:val="00BE4E04"/>
    <w:rsid w:val="00BE4E48"/>
    <w:rsid w:val="00BE4E6B"/>
    <w:rsid w:val="00BE4EBB"/>
    <w:rsid w:val="00BE4F10"/>
    <w:rsid w:val="00BE4F90"/>
    <w:rsid w:val="00BE4F94"/>
    <w:rsid w:val="00BE4FC6"/>
    <w:rsid w:val="00BE4FDF"/>
    <w:rsid w:val="00BE4FE6"/>
    <w:rsid w:val="00BE5025"/>
    <w:rsid w:val="00BE5035"/>
    <w:rsid w:val="00BE5037"/>
    <w:rsid w:val="00BE5067"/>
    <w:rsid w:val="00BE50FB"/>
    <w:rsid w:val="00BE5100"/>
    <w:rsid w:val="00BE5111"/>
    <w:rsid w:val="00BE511E"/>
    <w:rsid w:val="00BE512E"/>
    <w:rsid w:val="00BE517B"/>
    <w:rsid w:val="00BE51D3"/>
    <w:rsid w:val="00BE521F"/>
    <w:rsid w:val="00BE5275"/>
    <w:rsid w:val="00BE5284"/>
    <w:rsid w:val="00BE52B7"/>
    <w:rsid w:val="00BE52D6"/>
    <w:rsid w:val="00BE52E0"/>
    <w:rsid w:val="00BE52EA"/>
    <w:rsid w:val="00BE52FD"/>
    <w:rsid w:val="00BE53BF"/>
    <w:rsid w:val="00BE53F4"/>
    <w:rsid w:val="00BE5439"/>
    <w:rsid w:val="00BE5490"/>
    <w:rsid w:val="00BE5580"/>
    <w:rsid w:val="00BE566C"/>
    <w:rsid w:val="00BE56C5"/>
    <w:rsid w:val="00BE5733"/>
    <w:rsid w:val="00BE573B"/>
    <w:rsid w:val="00BE576C"/>
    <w:rsid w:val="00BE5772"/>
    <w:rsid w:val="00BE57B0"/>
    <w:rsid w:val="00BE57B6"/>
    <w:rsid w:val="00BE5800"/>
    <w:rsid w:val="00BE5806"/>
    <w:rsid w:val="00BE584E"/>
    <w:rsid w:val="00BE58A7"/>
    <w:rsid w:val="00BE58B6"/>
    <w:rsid w:val="00BE58F2"/>
    <w:rsid w:val="00BE5901"/>
    <w:rsid w:val="00BE5905"/>
    <w:rsid w:val="00BE5912"/>
    <w:rsid w:val="00BE591C"/>
    <w:rsid w:val="00BE5A25"/>
    <w:rsid w:val="00BE5AC5"/>
    <w:rsid w:val="00BE5AC7"/>
    <w:rsid w:val="00BE5ADF"/>
    <w:rsid w:val="00BE5C65"/>
    <w:rsid w:val="00BE5C93"/>
    <w:rsid w:val="00BE5C9D"/>
    <w:rsid w:val="00BE5D23"/>
    <w:rsid w:val="00BE5D50"/>
    <w:rsid w:val="00BE5DE5"/>
    <w:rsid w:val="00BE5E78"/>
    <w:rsid w:val="00BE5F04"/>
    <w:rsid w:val="00BE5F17"/>
    <w:rsid w:val="00BE5F2C"/>
    <w:rsid w:val="00BE5F65"/>
    <w:rsid w:val="00BE5FB2"/>
    <w:rsid w:val="00BE5FC4"/>
    <w:rsid w:val="00BE5FC5"/>
    <w:rsid w:val="00BE6099"/>
    <w:rsid w:val="00BE6101"/>
    <w:rsid w:val="00BE6118"/>
    <w:rsid w:val="00BE6163"/>
    <w:rsid w:val="00BE616D"/>
    <w:rsid w:val="00BE61B0"/>
    <w:rsid w:val="00BE61B1"/>
    <w:rsid w:val="00BE61D7"/>
    <w:rsid w:val="00BE622E"/>
    <w:rsid w:val="00BE624C"/>
    <w:rsid w:val="00BE6254"/>
    <w:rsid w:val="00BE625F"/>
    <w:rsid w:val="00BE6285"/>
    <w:rsid w:val="00BE637A"/>
    <w:rsid w:val="00BE6380"/>
    <w:rsid w:val="00BE63A9"/>
    <w:rsid w:val="00BE63B5"/>
    <w:rsid w:val="00BE63EC"/>
    <w:rsid w:val="00BE640D"/>
    <w:rsid w:val="00BE6465"/>
    <w:rsid w:val="00BE6485"/>
    <w:rsid w:val="00BE6492"/>
    <w:rsid w:val="00BE64BD"/>
    <w:rsid w:val="00BE64BF"/>
    <w:rsid w:val="00BE65A2"/>
    <w:rsid w:val="00BE65C4"/>
    <w:rsid w:val="00BE660F"/>
    <w:rsid w:val="00BE66C4"/>
    <w:rsid w:val="00BE66C6"/>
    <w:rsid w:val="00BE66D2"/>
    <w:rsid w:val="00BE66FB"/>
    <w:rsid w:val="00BE670E"/>
    <w:rsid w:val="00BE6755"/>
    <w:rsid w:val="00BE678E"/>
    <w:rsid w:val="00BE679F"/>
    <w:rsid w:val="00BE67B0"/>
    <w:rsid w:val="00BE680D"/>
    <w:rsid w:val="00BE68DB"/>
    <w:rsid w:val="00BE68E4"/>
    <w:rsid w:val="00BE6910"/>
    <w:rsid w:val="00BE6930"/>
    <w:rsid w:val="00BE6934"/>
    <w:rsid w:val="00BE69A5"/>
    <w:rsid w:val="00BE6AE4"/>
    <w:rsid w:val="00BE6AE6"/>
    <w:rsid w:val="00BE6B38"/>
    <w:rsid w:val="00BE6BA1"/>
    <w:rsid w:val="00BE6BEC"/>
    <w:rsid w:val="00BE6C09"/>
    <w:rsid w:val="00BE6CA0"/>
    <w:rsid w:val="00BE6CB6"/>
    <w:rsid w:val="00BE6D2E"/>
    <w:rsid w:val="00BE6D51"/>
    <w:rsid w:val="00BE6D75"/>
    <w:rsid w:val="00BE6D93"/>
    <w:rsid w:val="00BE6D9D"/>
    <w:rsid w:val="00BE6DCB"/>
    <w:rsid w:val="00BE6DE8"/>
    <w:rsid w:val="00BE6E42"/>
    <w:rsid w:val="00BE6E70"/>
    <w:rsid w:val="00BE6E76"/>
    <w:rsid w:val="00BE6F24"/>
    <w:rsid w:val="00BE6F4F"/>
    <w:rsid w:val="00BE6F51"/>
    <w:rsid w:val="00BE6F66"/>
    <w:rsid w:val="00BE7017"/>
    <w:rsid w:val="00BE704E"/>
    <w:rsid w:val="00BE70D5"/>
    <w:rsid w:val="00BE711F"/>
    <w:rsid w:val="00BE7128"/>
    <w:rsid w:val="00BE717A"/>
    <w:rsid w:val="00BE7188"/>
    <w:rsid w:val="00BE718E"/>
    <w:rsid w:val="00BE71A1"/>
    <w:rsid w:val="00BE71A5"/>
    <w:rsid w:val="00BE71F5"/>
    <w:rsid w:val="00BE7296"/>
    <w:rsid w:val="00BE72B8"/>
    <w:rsid w:val="00BE72F9"/>
    <w:rsid w:val="00BE7416"/>
    <w:rsid w:val="00BE7433"/>
    <w:rsid w:val="00BE7488"/>
    <w:rsid w:val="00BE7504"/>
    <w:rsid w:val="00BE75B1"/>
    <w:rsid w:val="00BE7616"/>
    <w:rsid w:val="00BE762C"/>
    <w:rsid w:val="00BE7689"/>
    <w:rsid w:val="00BE76D1"/>
    <w:rsid w:val="00BE7727"/>
    <w:rsid w:val="00BE776C"/>
    <w:rsid w:val="00BE778C"/>
    <w:rsid w:val="00BE78EF"/>
    <w:rsid w:val="00BE78F3"/>
    <w:rsid w:val="00BE78F5"/>
    <w:rsid w:val="00BE7935"/>
    <w:rsid w:val="00BE7946"/>
    <w:rsid w:val="00BE79E7"/>
    <w:rsid w:val="00BE7A60"/>
    <w:rsid w:val="00BE7A61"/>
    <w:rsid w:val="00BE7B1C"/>
    <w:rsid w:val="00BE7BBB"/>
    <w:rsid w:val="00BE7C01"/>
    <w:rsid w:val="00BE7C7B"/>
    <w:rsid w:val="00BE7C7D"/>
    <w:rsid w:val="00BE7CDE"/>
    <w:rsid w:val="00BE7CDF"/>
    <w:rsid w:val="00BE7CF0"/>
    <w:rsid w:val="00BE7D3A"/>
    <w:rsid w:val="00BE7DAB"/>
    <w:rsid w:val="00BE7DBA"/>
    <w:rsid w:val="00BE7DCF"/>
    <w:rsid w:val="00BE7DF5"/>
    <w:rsid w:val="00BE7DF7"/>
    <w:rsid w:val="00BE7E3F"/>
    <w:rsid w:val="00BE7E91"/>
    <w:rsid w:val="00BE7E92"/>
    <w:rsid w:val="00BE7E97"/>
    <w:rsid w:val="00BE7EA5"/>
    <w:rsid w:val="00BE7ECD"/>
    <w:rsid w:val="00BE7F79"/>
    <w:rsid w:val="00BE7F9C"/>
    <w:rsid w:val="00BE7FF6"/>
    <w:rsid w:val="00BF005D"/>
    <w:rsid w:val="00BF005F"/>
    <w:rsid w:val="00BF0153"/>
    <w:rsid w:val="00BF01D6"/>
    <w:rsid w:val="00BF0266"/>
    <w:rsid w:val="00BF02CC"/>
    <w:rsid w:val="00BF02F3"/>
    <w:rsid w:val="00BF034C"/>
    <w:rsid w:val="00BF03D8"/>
    <w:rsid w:val="00BF040E"/>
    <w:rsid w:val="00BF0418"/>
    <w:rsid w:val="00BF042A"/>
    <w:rsid w:val="00BF043D"/>
    <w:rsid w:val="00BF0455"/>
    <w:rsid w:val="00BF0483"/>
    <w:rsid w:val="00BF04B2"/>
    <w:rsid w:val="00BF04B9"/>
    <w:rsid w:val="00BF04DC"/>
    <w:rsid w:val="00BF052B"/>
    <w:rsid w:val="00BF0551"/>
    <w:rsid w:val="00BF0563"/>
    <w:rsid w:val="00BF05A1"/>
    <w:rsid w:val="00BF05EA"/>
    <w:rsid w:val="00BF061B"/>
    <w:rsid w:val="00BF0629"/>
    <w:rsid w:val="00BF0704"/>
    <w:rsid w:val="00BF0718"/>
    <w:rsid w:val="00BF0734"/>
    <w:rsid w:val="00BF0783"/>
    <w:rsid w:val="00BF0792"/>
    <w:rsid w:val="00BF0814"/>
    <w:rsid w:val="00BF0845"/>
    <w:rsid w:val="00BF0877"/>
    <w:rsid w:val="00BF08C4"/>
    <w:rsid w:val="00BF0A81"/>
    <w:rsid w:val="00BF0ABE"/>
    <w:rsid w:val="00BF0AE3"/>
    <w:rsid w:val="00BF0AE4"/>
    <w:rsid w:val="00BF0B08"/>
    <w:rsid w:val="00BF0B0A"/>
    <w:rsid w:val="00BF0B66"/>
    <w:rsid w:val="00BF0B93"/>
    <w:rsid w:val="00BF0B97"/>
    <w:rsid w:val="00BF0B9D"/>
    <w:rsid w:val="00BF0BA8"/>
    <w:rsid w:val="00BF0BD5"/>
    <w:rsid w:val="00BF0C13"/>
    <w:rsid w:val="00BF0C4C"/>
    <w:rsid w:val="00BF0CA4"/>
    <w:rsid w:val="00BF0CB9"/>
    <w:rsid w:val="00BF0D1D"/>
    <w:rsid w:val="00BF0D32"/>
    <w:rsid w:val="00BF0D3E"/>
    <w:rsid w:val="00BF0D4B"/>
    <w:rsid w:val="00BF0D52"/>
    <w:rsid w:val="00BF0D5B"/>
    <w:rsid w:val="00BF0D6D"/>
    <w:rsid w:val="00BF0DBC"/>
    <w:rsid w:val="00BF0DC9"/>
    <w:rsid w:val="00BF0E2C"/>
    <w:rsid w:val="00BF0E44"/>
    <w:rsid w:val="00BF0E4D"/>
    <w:rsid w:val="00BF0E56"/>
    <w:rsid w:val="00BF0E6D"/>
    <w:rsid w:val="00BF0EFD"/>
    <w:rsid w:val="00BF0F13"/>
    <w:rsid w:val="00BF0FA5"/>
    <w:rsid w:val="00BF0FBC"/>
    <w:rsid w:val="00BF1002"/>
    <w:rsid w:val="00BF1017"/>
    <w:rsid w:val="00BF1041"/>
    <w:rsid w:val="00BF106E"/>
    <w:rsid w:val="00BF1091"/>
    <w:rsid w:val="00BF10EF"/>
    <w:rsid w:val="00BF116F"/>
    <w:rsid w:val="00BF1223"/>
    <w:rsid w:val="00BF1234"/>
    <w:rsid w:val="00BF123A"/>
    <w:rsid w:val="00BF1268"/>
    <w:rsid w:val="00BF1282"/>
    <w:rsid w:val="00BF12D9"/>
    <w:rsid w:val="00BF130A"/>
    <w:rsid w:val="00BF136A"/>
    <w:rsid w:val="00BF1394"/>
    <w:rsid w:val="00BF14B4"/>
    <w:rsid w:val="00BF1521"/>
    <w:rsid w:val="00BF156C"/>
    <w:rsid w:val="00BF15D2"/>
    <w:rsid w:val="00BF15E2"/>
    <w:rsid w:val="00BF1668"/>
    <w:rsid w:val="00BF16E5"/>
    <w:rsid w:val="00BF1712"/>
    <w:rsid w:val="00BF1803"/>
    <w:rsid w:val="00BF182A"/>
    <w:rsid w:val="00BF18F3"/>
    <w:rsid w:val="00BF18FD"/>
    <w:rsid w:val="00BF191A"/>
    <w:rsid w:val="00BF197A"/>
    <w:rsid w:val="00BF19C5"/>
    <w:rsid w:val="00BF19EB"/>
    <w:rsid w:val="00BF1A21"/>
    <w:rsid w:val="00BF1A2D"/>
    <w:rsid w:val="00BF1A98"/>
    <w:rsid w:val="00BF1AF3"/>
    <w:rsid w:val="00BF1B4C"/>
    <w:rsid w:val="00BF1B51"/>
    <w:rsid w:val="00BF1BD9"/>
    <w:rsid w:val="00BF1BDB"/>
    <w:rsid w:val="00BF1C2C"/>
    <w:rsid w:val="00BF1CF7"/>
    <w:rsid w:val="00BF1D46"/>
    <w:rsid w:val="00BF1D4E"/>
    <w:rsid w:val="00BF1D58"/>
    <w:rsid w:val="00BF1D6E"/>
    <w:rsid w:val="00BF1D74"/>
    <w:rsid w:val="00BF1D7D"/>
    <w:rsid w:val="00BF1DB4"/>
    <w:rsid w:val="00BF1E18"/>
    <w:rsid w:val="00BF1E8C"/>
    <w:rsid w:val="00BF1F1E"/>
    <w:rsid w:val="00BF1F34"/>
    <w:rsid w:val="00BF1F6A"/>
    <w:rsid w:val="00BF1F7E"/>
    <w:rsid w:val="00BF1F91"/>
    <w:rsid w:val="00BF1FCF"/>
    <w:rsid w:val="00BF200A"/>
    <w:rsid w:val="00BF2010"/>
    <w:rsid w:val="00BF2046"/>
    <w:rsid w:val="00BF2064"/>
    <w:rsid w:val="00BF2066"/>
    <w:rsid w:val="00BF2146"/>
    <w:rsid w:val="00BF2173"/>
    <w:rsid w:val="00BF21AC"/>
    <w:rsid w:val="00BF22AC"/>
    <w:rsid w:val="00BF22F6"/>
    <w:rsid w:val="00BF235E"/>
    <w:rsid w:val="00BF2391"/>
    <w:rsid w:val="00BF23E3"/>
    <w:rsid w:val="00BF23F1"/>
    <w:rsid w:val="00BF23F5"/>
    <w:rsid w:val="00BF24CC"/>
    <w:rsid w:val="00BF2560"/>
    <w:rsid w:val="00BF2563"/>
    <w:rsid w:val="00BF25A3"/>
    <w:rsid w:val="00BF25D2"/>
    <w:rsid w:val="00BF2623"/>
    <w:rsid w:val="00BF2628"/>
    <w:rsid w:val="00BF2685"/>
    <w:rsid w:val="00BF26AF"/>
    <w:rsid w:val="00BF26B0"/>
    <w:rsid w:val="00BF26B8"/>
    <w:rsid w:val="00BF26C8"/>
    <w:rsid w:val="00BF2745"/>
    <w:rsid w:val="00BF2763"/>
    <w:rsid w:val="00BF2777"/>
    <w:rsid w:val="00BF2783"/>
    <w:rsid w:val="00BF278E"/>
    <w:rsid w:val="00BF27B6"/>
    <w:rsid w:val="00BF2862"/>
    <w:rsid w:val="00BF287F"/>
    <w:rsid w:val="00BF28CC"/>
    <w:rsid w:val="00BF28EF"/>
    <w:rsid w:val="00BF2931"/>
    <w:rsid w:val="00BF296F"/>
    <w:rsid w:val="00BF29D4"/>
    <w:rsid w:val="00BF29ED"/>
    <w:rsid w:val="00BF29F8"/>
    <w:rsid w:val="00BF2A5A"/>
    <w:rsid w:val="00BF2A68"/>
    <w:rsid w:val="00BF2A9F"/>
    <w:rsid w:val="00BF2AB4"/>
    <w:rsid w:val="00BF2AE2"/>
    <w:rsid w:val="00BF2C96"/>
    <w:rsid w:val="00BF2CAB"/>
    <w:rsid w:val="00BF2CD2"/>
    <w:rsid w:val="00BF2D67"/>
    <w:rsid w:val="00BF2D6D"/>
    <w:rsid w:val="00BF2D78"/>
    <w:rsid w:val="00BF2D9E"/>
    <w:rsid w:val="00BF2E0B"/>
    <w:rsid w:val="00BF2E8A"/>
    <w:rsid w:val="00BF2EC9"/>
    <w:rsid w:val="00BF2EEA"/>
    <w:rsid w:val="00BF2F08"/>
    <w:rsid w:val="00BF3048"/>
    <w:rsid w:val="00BF3060"/>
    <w:rsid w:val="00BF3088"/>
    <w:rsid w:val="00BF3097"/>
    <w:rsid w:val="00BF30EA"/>
    <w:rsid w:val="00BF3128"/>
    <w:rsid w:val="00BF312B"/>
    <w:rsid w:val="00BF3140"/>
    <w:rsid w:val="00BF317D"/>
    <w:rsid w:val="00BF31F0"/>
    <w:rsid w:val="00BF3207"/>
    <w:rsid w:val="00BF322E"/>
    <w:rsid w:val="00BF3272"/>
    <w:rsid w:val="00BF32B2"/>
    <w:rsid w:val="00BF3367"/>
    <w:rsid w:val="00BF33A4"/>
    <w:rsid w:val="00BF3402"/>
    <w:rsid w:val="00BF3405"/>
    <w:rsid w:val="00BF348E"/>
    <w:rsid w:val="00BF351B"/>
    <w:rsid w:val="00BF3522"/>
    <w:rsid w:val="00BF353B"/>
    <w:rsid w:val="00BF35A4"/>
    <w:rsid w:val="00BF35B6"/>
    <w:rsid w:val="00BF35DF"/>
    <w:rsid w:val="00BF3615"/>
    <w:rsid w:val="00BF3632"/>
    <w:rsid w:val="00BF3767"/>
    <w:rsid w:val="00BF3768"/>
    <w:rsid w:val="00BF377D"/>
    <w:rsid w:val="00BF3791"/>
    <w:rsid w:val="00BF3796"/>
    <w:rsid w:val="00BF37CE"/>
    <w:rsid w:val="00BF388A"/>
    <w:rsid w:val="00BF38E8"/>
    <w:rsid w:val="00BF3940"/>
    <w:rsid w:val="00BF3976"/>
    <w:rsid w:val="00BF39C9"/>
    <w:rsid w:val="00BF39E5"/>
    <w:rsid w:val="00BF39FB"/>
    <w:rsid w:val="00BF3A62"/>
    <w:rsid w:val="00BF3A73"/>
    <w:rsid w:val="00BF3B04"/>
    <w:rsid w:val="00BF3B05"/>
    <w:rsid w:val="00BF3B23"/>
    <w:rsid w:val="00BF3B4E"/>
    <w:rsid w:val="00BF3BB3"/>
    <w:rsid w:val="00BF3C2A"/>
    <w:rsid w:val="00BF3C32"/>
    <w:rsid w:val="00BF3C35"/>
    <w:rsid w:val="00BF3C54"/>
    <w:rsid w:val="00BF3C76"/>
    <w:rsid w:val="00BF3C92"/>
    <w:rsid w:val="00BF3CA5"/>
    <w:rsid w:val="00BF3CBA"/>
    <w:rsid w:val="00BF3CC7"/>
    <w:rsid w:val="00BF3CDD"/>
    <w:rsid w:val="00BF3D97"/>
    <w:rsid w:val="00BF3E55"/>
    <w:rsid w:val="00BF3E6B"/>
    <w:rsid w:val="00BF3EED"/>
    <w:rsid w:val="00BF3F1B"/>
    <w:rsid w:val="00BF3F1E"/>
    <w:rsid w:val="00BF3F57"/>
    <w:rsid w:val="00BF3F81"/>
    <w:rsid w:val="00BF3F91"/>
    <w:rsid w:val="00BF3FEC"/>
    <w:rsid w:val="00BF3FF5"/>
    <w:rsid w:val="00BF3FF6"/>
    <w:rsid w:val="00BF400B"/>
    <w:rsid w:val="00BF402D"/>
    <w:rsid w:val="00BF4037"/>
    <w:rsid w:val="00BF4041"/>
    <w:rsid w:val="00BF4066"/>
    <w:rsid w:val="00BF408B"/>
    <w:rsid w:val="00BF40AF"/>
    <w:rsid w:val="00BF4140"/>
    <w:rsid w:val="00BF41D3"/>
    <w:rsid w:val="00BF42A6"/>
    <w:rsid w:val="00BF42FA"/>
    <w:rsid w:val="00BF4312"/>
    <w:rsid w:val="00BF431A"/>
    <w:rsid w:val="00BF431D"/>
    <w:rsid w:val="00BF434E"/>
    <w:rsid w:val="00BF4365"/>
    <w:rsid w:val="00BF4366"/>
    <w:rsid w:val="00BF43E0"/>
    <w:rsid w:val="00BF4432"/>
    <w:rsid w:val="00BF4478"/>
    <w:rsid w:val="00BF448E"/>
    <w:rsid w:val="00BF4510"/>
    <w:rsid w:val="00BF4560"/>
    <w:rsid w:val="00BF4577"/>
    <w:rsid w:val="00BF468F"/>
    <w:rsid w:val="00BF46BB"/>
    <w:rsid w:val="00BF46EE"/>
    <w:rsid w:val="00BF4732"/>
    <w:rsid w:val="00BF4751"/>
    <w:rsid w:val="00BF47AA"/>
    <w:rsid w:val="00BF47E2"/>
    <w:rsid w:val="00BF4879"/>
    <w:rsid w:val="00BF48AF"/>
    <w:rsid w:val="00BF492E"/>
    <w:rsid w:val="00BF4935"/>
    <w:rsid w:val="00BF4950"/>
    <w:rsid w:val="00BF4955"/>
    <w:rsid w:val="00BF4964"/>
    <w:rsid w:val="00BF49AC"/>
    <w:rsid w:val="00BF49BC"/>
    <w:rsid w:val="00BF4A67"/>
    <w:rsid w:val="00BF4AB3"/>
    <w:rsid w:val="00BF4ADE"/>
    <w:rsid w:val="00BF4B04"/>
    <w:rsid w:val="00BF4B0D"/>
    <w:rsid w:val="00BF4B34"/>
    <w:rsid w:val="00BF4BB1"/>
    <w:rsid w:val="00BF4BE2"/>
    <w:rsid w:val="00BF4BF2"/>
    <w:rsid w:val="00BF4C80"/>
    <w:rsid w:val="00BF4D8C"/>
    <w:rsid w:val="00BF4E08"/>
    <w:rsid w:val="00BF4E15"/>
    <w:rsid w:val="00BF4E61"/>
    <w:rsid w:val="00BF4EF9"/>
    <w:rsid w:val="00BF4EFD"/>
    <w:rsid w:val="00BF4F63"/>
    <w:rsid w:val="00BF4FA6"/>
    <w:rsid w:val="00BF509C"/>
    <w:rsid w:val="00BF50A0"/>
    <w:rsid w:val="00BF50E6"/>
    <w:rsid w:val="00BF5136"/>
    <w:rsid w:val="00BF5146"/>
    <w:rsid w:val="00BF5156"/>
    <w:rsid w:val="00BF5199"/>
    <w:rsid w:val="00BF51A3"/>
    <w:rsid w:val="00BF521D"/>
    <w:rsid w:val="00BF528A"/>
    <w:rsid w:val="00BF53D4"/>
    <w:rsid w:val="00BF5420"/>
    <w:rsid w:val="00BF544B"/>
    <w:rsid w:val="00BF5454"/>
    <w:rsid w:val="00BF5473"/>
    <w:rsid w:val="00BF5475"/>
    <w:rsid w:val="00BF5479"/>
    <w:rsid w:val="00BF54B4"/>
    <w:rsid w:val="00BF54D3"/>
    <w:rsid w:val="00BF54D4"/>
    <w:rsid w:val="00BF54F1"/>
    <w:rsid w:val="00BF554D"/>
    <w:rsid w:val="00BF5584"/>
    <w:rsid w:val="00BF55A3"/>
    <w:rsid w:val="00BF55A9"/>
    <w:rsid w:val="00BF5607"/>
    <w:rsid w:val="00BF56AF"/>
    <w:rsid w:val="00BF5709"/>
    <w:rsid w:val="00BF5719"/>
    <w:rsid w:val="00BF5773"/>
    <w:rsid w:val="00BF57A4"/>
    <w:rsid w:val="00BF5819"/>
    <w:rsid w:val="00BF581D"/>
    <w:rsid w:val="00BF582C"/>
    <w:rsid w:val="00BF5864"/>
    <w:rsid w:val="00BF5920"/>
    <w:rsid w:val="00BF5933"/>
    <w:rsid w:val="00BF5987"/>
    <w:rsid w:val="00BF59B1"/>
    <w:rsid w:val="00BF59B7"/>
    <w:rsid w:val="00BF5A14"/>
    <w:rsid w:val="00BF5A51"/>
    <w:rsid w:val="00BF5A74"/>
    <w:rsid w:val="00BF5A9D"/>
    <w:rsid w:val="00BF5ADB"/>
    <w:rsid w:val="00BF5AE7"/>
    <w:rsid w:val="00BF5AF4"/>
    <w:rsid w:val="00BF5B2B"/>
    <w:rsid w:val="00BF5B4C"/>
    <w:rsid w:val="00BF5C27"/>
    <w:rsid w:val="00BF5C66"/>
    <w:rsid w:val="00BF5CF6"/>
    <w:rsid w:val="00BF5D21"/>
    <w:rsid w:val="00BF5D22"/>
    <w:rsid w:val="00BF5D65"/>
    <w:rsid w:val="00BF5D8D"/>
    <w:rsid w:val="00BF5D93"/>
    <w:rsid w:val="00BF5D9B"/>
    <w:rsid w:val="00BF5DA1"/>
    <w:rsid w:val="00BF5DF4"/>
    <w:rsid w:val="00BF5DF9"/>
    <w:rsid w:val="00BF5E14"/>
    <w:rsid w:val="00BF5E45"/>
    <w:rsid w:val="00BF5E57"/>
    <w:rsid w:val="00BF5E6A"/>
    <w:rsid w:val="00BF5E73"/>
    <w:rsid w:val="00BF5E78"/>
    <w:rsid w:val="00BF5ED8"/>
    <w:rsid w:val="00BF5EFB"/>
    <w:rsid w:val="00BF5F00"/>
    <w:rsid w:val="00BF5F0D"/>
    <w:rsid w:val="00BF5F55"/>
    <w:rsid w:val="00BF5F56"/>
    <w:rsid w:val="00BF5FB1"/>
    <w:rsid w:val="00BF5FC9"/>
    <w:rsid w:val="00BF5FCC"/>
    <w:rsid w:val="00BF600B"/>
    <w:rsid w:val="00BF6078"/>
    <w:rsid w:val="00BF6099"/>
    <w:rsid w:val="00BF60C9"/>
    <w:rsid w:val="00BF61C1"/>
    <w:rsid w:val="00BF6236"/>
    <w:rsid w:val="00BF6257"/>
    <w:rsid w:val="00BF62AB"/>
    <w:rsid w:val="00BF6380"/>
    <w:rsid w:val="00BF63CF"/>
    <w:rsid w:val="00BF643A"/>
    <w:rsid w:val="00BF6455"/>
    <w:rsid w:val="00BF6468"/>
    <w:rsid w:val="00BF64E2"/>
    <w:rsid w:val="00BF64F0"/>
    <w:rsid w:val="00BF64F8"/>
    <w:rsid w:val="00BF650E"/>
    <w:rsid w:val="00BF6534"/>
    <w:rsid w:val="00BF653B"/>
    <w:rsid w:val="00BF653F"/>
    <w:rsid w:val="00BF654D"/>
    <w:rsid w:val="00BF65AA"/>
    <w:rsid w:val="00BF65BD"/>
    <w:rsid w:val="00BF65EC"/>
    <w:rsid w:val="00BF660A"/>
    <w:rsid w:val="00BF662D"/>
    <w:rsid w:val="00BF6654"/>
    <w:rsid w:val="00BF6720"/>
    <w:rsid w:val="00BF676E"/>
    <w:rsid w:val="00BF6774"/>
    <w:rsid w:val="00BF6776"/>
    <w:rsid w:val="00BF67B7"/>
    <w:rsid w:val="00BF6840"/>
    <w:rsid w:val="00BF6893"/>
    <w:rsid w:val="00BF68B7"/>
    <w:rsid w:val="00BF6951"/>
    <w:rsid w:val="00BF6955"/>
    <w:rsid w:val="00BF697A"/>
    <w:rsid w:val="00BF697B"/>
    <w:rsid w:val="00BF699B"/>
    <w:rsid w:val="00BF69C4"/>
    <w:rsid w:val="00BF6A2D"/>
    <w:rsid w:val="00BF6A43"/>
    <w:rsid w:val="00BF6A6B"/>
    <w:rsid w:val="00BF6B16"/>
    <w:rsid w:val="00BF6B2A"/>
    <w:rsid w:val="00BF6B3B"/>
    <w:rsid w:val="00BF6B65"/>
    <w:rsid w:val="00BF6BB8"/>
    <w:rsid w:val="00BF6BFC"/>
    <w:rsid w:val="00BF6C4D"/>
    <w:rsid w:val="00BF6CEA"/>
    <w:rsid w:val="00BF6D29"/>
    <w:rsid w:val="00BF6D2F"/>
    <w:rsid w:val="00BF6D35"/>
    <w:rsid w:val="00BF6D72"/>
    <w:rsid w:val="00BF6DC2"/>
    <w:rsid w:val="00BF6DC9"/>
    <w:rsid w:val="00BF6EBA"/>
    <w:rsid w:val="00BF6EC7"/>
    <w:rsid w:val="00BF6F27"/>
    <w:rsid w:val="00BF6F5D"/>
    <w:rsid w:val="00BF6F75"/>
    <w:rsid w:val="00BF6F9E"/>
    <w:rsid w:val="00BF6FB4"/>
    <w:rsid w:val="00BF6FC9"/>
    <w:rsid w:val="00BF70DB"/>
    <w:rsid w:val="00BF70F9"/>
    <w:rsid w:val="00BF7131"/>
    <w:rsid w:val="00BF7158"/>
    <w:rsid w:val="00BF7168"/>
    <w:rsid w:val="00BF716C"/>
    <w:rsid w:val="00BF718C"/>
    <w:rsid w:val="00BF71E7"/>
    <w:rsid w:val="00BF71F3"/>
    <w:rsid w:val="00BF734A"/>
    <w:rsid w:val="00BF73AF"/>
    <w:rsid w:val="00BF73EF"/>
    <w:rsid w:val="00BF73FD"/>
    <w:rsid w:val="00BF7415"/>
    <w:rsid w:val="00BF7454"/>
    <w:rsid w:val="00BF74A5"/>
    <w:rsid w:val="00BF74BD"/>
    <w:rsid w:val="00BF74D6"/>
    <w:rsid w:val="00BF75A7"/>
    <w:rsid w:val="00BF75E3"/>
    <w:rsid w:val="00BF75FE"/>
    <w:rsid w:val="00BF7602"/>
    <w:rsid w:val="00BF761A"/>
    <w:rsid w:val="00BF761D"/>
    <w:rsid w:val="00BF7661"/>
    <w:rsid w:val="00BF76B2"/>
    <w:rsid w:val="00BF76FF"/>
    <w:rsid w:val="00BF7707"/>
    <w:rsid w:val="00BF7735"/>
    <w:rsid w:val="00BF7744"/>
    <w:rsid w:val="00BF7747"/>
    <w:rsid w:val="00BF775D"/>
    <w:rsid w:val="00BF77AE"/>
    <w:rsid w:val="00BF77CE"/>
    <w:rsid w:val="00BF7815"/>
    <w:rsid w:val="00BF7847"/>
    <w:rsid w:val="00BF78C4"/>
    <w:rsid w:val="00BF78C8"/>
    <w:rsid w:val="00BF78E1"/>
    <w:rsid w:val="00BF78FF"/>
    <w:rsid w:val="00BF7926"/>
    <w:rsid w:val="00BF7985"/>
    <w:rsid w:val="00BF79F3"/>
    <w:rsid w:val="00BF7ACD"/>
    <w:rsid w:val="00BF7B70"/>
    <w:rsid w:val="00BF7C1D"/>
    <w:rsid w:val="00BF7C76"/>
    <w:rsid w:val="00BF7C77"/>
    <w:rsid w:val="00BF7C82"/>
    <w:rsid w:val="00BF7CB8"/>
    <w:rsid w:val="00BF7D52"/>
    <w:rsid w:val="00BF7D57"/>
    <w:rsid w:val="00BF7DDF"/>
    <w:rsid w:val="00BF7DF6"/>
    <w:rsid w:val="00BF7DFE"/>
    <w:rsid w:val="00BF7EBF"/>
    <w:rsid w:val="00BF7EF1"/>
    <w:rsid w:val="00BF7F3A"/>
    <w:rsid w:val="00BF7F4E"/>
    <w:rsid w:val="00BF7FD4"/>
    <w:rsid w:val="00BF7FDB"/>
    <w:rsid w:val="00C0000E"/>
    <w:rsid w:val="00C00032"/>
    <w:rsid w:val="00C0004A"/>
    <w:rsid w:val="00C000C3"/>
    <w:rsid w:val="00C000D5"/>
    <w:rsid w:val="00C0012C"/>
    <w:rsid w:val="00C00147"/>
    <w:rsid w:val="00C0014D"/>
    <w:rsid w:val="00C0017E"/>
    <w:rsid w:val="00C001A3"/>
    <w:rsid w:val="00C001D2"/>
    <w:rsid w:val="00C00218"/>
    <w:rsid w:val="00C0021E"/>
    <w:rsid w:val="00C00289"/>
    <w:rsid w:val="00C002EF"/>
    <w:rsid w:val="00C00314"/>
    <w:rsid w:val="00C00319"/>
    <w:rsid w:val="00C0035C"/>
    <w:rsid w:val="00C0037A"/>
    <w:rsid w:val="00C00385"/>
    <w:rsid w:val="00C00389"/>
    <w:rsid w:val="00C00392"/>
    <w:rsid w:val="00C003BE"/>
    <w:rsid w:val="00C00401"/>
    <w:rsid w:val="00C0046F"/>
    <w:rsid w:val="00C0048A"/>
    <w:rsid w:val="00C004BC"/>
    <w:rsid w:val="00C004C2"/>
    <w:rsid w:val="00C00509"/>
    <w:rsid w:val="00C0057F"/>
    <w:rsid w:val="00C005BB"/>
    <w:rsid w:val="00C005ED"/>
    <w:rsid w:val="00C005F8"/>
    <w:rsid w:val="00C00608"/>
    <w:rsid w:val="00C00653"/>
    <w:rsid w:val="00C00693"/>
    <w:rsid w:val="00C00695"/>
    <w:rsid w:val="00C00698"/>
    <w:rsid w:val="00C006BB"/>
    <w:rsid w:val="00C006E3"/>
    <w:rsid w:val="00C00761"/>
    <w:rsid w:val="00C007C3"/>
    <w:rsid w:val="00C007E6"/>
    <w:rsid w:val="00C0083B"/>
    <w:rsid w:val="00C00860"/>
    <w:rsid w:val="00C00871"/>
    <w:rsid w:val="00C0088A"/>
    <w:rsid w:val="00C008D7"/>
    <w:rsid w:val="00C0099C"/>
    <w:rsid w:val="00C009C5"/>
    <w:rsid w:val="00C00A04"/>
    <w:rsid w:val="00C00AE0"/>
    <w:rsid w:val="00C00B59"/>
    <w:rsid w:val="00C00B8E"/>
    <w:rsid w:val="00C00BAE"/>
    <w:rsid w:val="00C00BCB"/>
    <w:rsid w:val="00C00C01"/>
    <w:rsid w:val="00C00CA9"/>
    <w:rsid w:val="00C00D08"/>
    <w:rsid w:val="00C00D28"/>
    <w:rsid w:val="00C00D68"/>
    <w:rsid w:val="00C00D7D"/>
    <w:rsid w:val="00C00DD8"/>
    <w:rsid w:val="00C00DEE"/>
    <w:rsid w:val="00C00EFB"/>
    <w:rsid w:val="00C00F0F"/>
    <w:rsid w:val="00C00F21"/>
    <w:rsid w:val="00C00F70"/>
    <w:rsid w:val="00C00F72"/>
    <w:rsid w:val="00C00FA7"/>
    <w:rsid w:val="00C00FD5"/>
    <w:rsid w:val="00C01037"/>
    <w:rsid w:val="00C01058"/>
    <w:rsid w:val="00C0105B"/>
    <w:rsid w:val="00C010BD"/>
    <w:rsid w:val="00C0112D"/>
    <w:rsid w:val="00C0112E"/>
    <w:rsid w:val="00C01153"/>
    <w:rsid w:val="00C01164"/>
    <w:rsid w:val="00C01166"/>
    <w:rsid w:val="00C0121C"/>
    <w:rsid w:val="00C01221"/>
    <w:rsid w:val="00C0124D"/>
    <w:rsid w:val="00C01256"/>
    <w:rsid w:val="00C01259"/>
    <w:rsid w:val="00C01275"/>
    <w:rsid w:val="00C012C2"/>
    <w:rsid w:val="00C012C5"/>
    <w:rsid w:val="00C0132C"/>
    <w:rsid w:val="00C013BE"/>
    <w:rsid w:val="00C013D5"/>
    <w:rsid w:val="00C013F4"/>
    <w:rsid w:val="00C01451"/>
    <w:rsid w:val="00C01453"/>
    <w:rsid w:val="00C01481"/>
    <w:rsid w:val="00C014BF"/>
    <w:rsid w:val="00C014D4"/>
    <w:rsid w:val="00C0151B"/>
    <w:rsid w:val="00C01529"/>
    <w:rsid w:val="00C01555"/>
    <w:rsid w:val="00C01564"/>
    <w:rsid w:val="00C0158A"/>
    <w:rsid w:val="00C015DD"/>
    <w:rsid w:val="00C015FC"/>
    <w:rsid w:val="00C01685"/>
    <w:rsid w:val="00C016BE"/>
    <w:rsid w:val="00C016F5"/>
    <w:rsid w:val="00C0180F"/>
    <w:rsid w:val="00C01868"/>
    <w:rsid w:val="00C01886"/>
    <w:rsid w:val="00C018C5"/>
    <w:rsid w:val="00C018CD"/>
    <w:rsid w:val="00C01943"/>
    <w:rsid w:val="00C01952"/>
    <w:rsid w:val="00C0195B"/>
    <w:rsid w:val="00C019CC"/>
    <w:rsid w:val="00C01A11"/>
    <w:rsid w:val="00C01A1A"/>
    <w:rsid w:val="00C01A5E"/>
    <w:rsid w:val="00C01AC3"/>
    <w:rsid w:val="00C01BA1"/>
    <w:rsid w:val="00C01BAB"/>
    <w:rsid w:val="00C01BD7"/>
    <w:rsid w:val="00C01D67"/>
    <w:rsid w:val="00C01DE7"/>
    <w:rsid w:val="00C01E02"/>
    <w:rsid w:val="00C01E1F"/>
    <w:rsid w:val="00C01E23"/>
    <w:rsid w:val="00C01E31"/>
    <w:rsid w:val="00C01E77"/>
    <w:rsid w:val="00C01EED"/>
    <w:rsid w:val="00C01F3E"/>
    <w:rsid w:val="00C01F79"/>
    <w:rsid w:val="00C01F7E"/>
    <w:rsid w:val="00C01F88"/>
    <w:rsid w:val="00C01F8A"/>
    <w:rsid w:val="00C01F8B"/>
    <w:rsid w:val="00C02012"/>
    <w:rsid w:val="00C02038"/>
    <w:rsid w:val="00C02056"/>
    <w:rsid w:val="00C020FE"/>
    <w:rsid w:val="00C02105"/>
    <w:rsid w:val="00C02158"/>
    <w:rsid w:val="00C0215A"/>
    <w:rsid w:val="00C0215C"/>
    <w:rsid w:val="00C0217F"/>
    <w:rsid w:val="00C0219B"/>
    <w:rsid w:val="00C021F6"/>
    <w:rsid w:val="00C0223E"/>
    <w:rsid w:val="00C0228E"/>
    <w:rsid w:val="00C02294"/>
    <w:rsid w:val="00C022A9"/>
    <w:rsid w:val="00C02315"/>
    <w:rsid w:val="00C02357"/>
    <w:rsid w:val="00C02360"/>
    <w:rsid w:val="00C02384"/>
    <w:rsid w:val="00C023EF"/>
    <w:rsid w:val="00C0242F"/>
    <w:rsid w:val="00C02484"/>
    <w:rsid w:val="00C0249D"/>
    <w:rsid w:val="00C02584"/>
    <w:rsid w:val="00C025B5"/>
    <w:rsid w:val="00C0263C"/>
    <w:rsid w:val="00C0276E"/>
    <w:rsid w:val="00C027CC"/>
    <w:rsid w:val="00C027D0"/>
    <w:rsid w:val="00C02875"/>
    <w:rsid w:val="00C02899"/>
    <w:rsid w:val="00C028BE"/>
    <w:rsid w:val="00C0291A"/>
    <w:rsid w:val="00C029D7"/>
    <w:rsid w:val="00C02A1B"/>
    <w:rsid w:val="00C02A2F"/>
    <w:rsid w:val="00C02A41"/>
    <w:rsid w:val="00C02A5B"/>
    <w:rsid w:val="00C02AD3"/>
    <w:rsid w:val="00C02B12"/>
    <w:rsid w:val="00C02B30"/>
    <w:rsid w:val="00C02BA8"/>
    <w:rsid w:val="00C02BC2"/>
    <w:rsid w:val="00C02BD2"/>
    <w:rsid w:val="00C02BD3"/>
    <w:rsid w:val="00C02BE2"/>
    <w:rsid w:val="00C02BF7"/>
    <w:rsid w:val="00C02C05"/>
    <w:rsid w:val="00C02C8C"/>
    <w:rsid w:val="00C02D48"/>
    <w:rsid w:val="00C02DAA"/>
    <w:rsid w:val="00C02DE9"/>
    <w:rsid w:val="00C02DF0"/>
    <w:rsid w:val="00C02E18"/>
    <w:rsid w:val="00C02E86"/>
    <w:rsid w:val="00C02EA5"/>
    <w:rsid w:val="00C02ED9"/>
    <w:rsid w:val="00C02EE2"/>
    <w:rsid w:val="00C02F22"/>
    <w:rsid w:val="00C02F32"/>
    <w:rsid w:val="00C02F4C"/>
    <w:rsid w:val="00C02F56"/>
    <w:rsid w:val="00C02FA9"/>
    <w:rsid w:val="00C0303D"/>
    <w:rsid w:val="00C030B9"/>
    <w:rsid w:val="00C030DA"/>
    <w:rsid w:val="00C030E9"/>
    <w:rsid w:val="00C03123"/>
    <w:rsid w:val="00C031F9"/>
    <w:rsid w:val="00C0322B"/>
    <w:rsid w:val="00C0323F"/>
    <w:rsid w:val="00C0326B"/>
    <w:rsid w:val="00C0327E"/>
    <w:rsid w:val="00C03298"/>
    <w:rsid w:val="00C032A1"/>
    <w:rsid w:val="00C032A4"/>
    <w:rsid w:val="00C032AE"/>
    <w:rsid w:val="00C03313"/>
    <w:rsid w:val="00C03317"/>
    <w:rsid w:val="00C0343C"/>
    <w:rsid w:val="00C03453"/>
    <w:rsid w:val="00C034FC"/>
    <w:rsid w:val="00C03547"/>
    <w:rsid w:val="00C0359D"/>
    <w:rsid w:val="00C035A6"/>
    <w:rsid w:val="00C035E4"/>
    <w:rsid w:val="00C0363B"/>
    <w:rsid w:val="00C0365F"/>
    <w:rsid w:val="00C03730"/>
    <w:rsid w:val="00C037C1"/>
    <w:rsid w:val="00C037D1"/>
    <w:rsid w:val="00C03801"/>
    <w:rsid w:val="00C0380C"/>
    <w:rsid w:val="00C03842"/>
    <w:rsid w:val="00C038EC"/>
    <w:rsid w:val="00C03932"/>
    <w:rsid w:val="00C0397F"/>
    <w:rsid w:val="00C03993"/>
    <w:rsid w:val="00C0399C"/>
    <w:rsid w:val="00C039DD"/>
    <w:rsid w:val="00C03A55"/>
    <w:rsid w:val="00C03ACD"/>
    <w:rsid w:val="00C03ADC"/>
    <w:rsid w:val="00C03AF2"/>
    <w:rsid w:val="00C03B0F"/>
    <w:rsid w:val="00C03B3F"/>
    <w:rsid w:val="00C03B65"/>
    <w:rsid w:val="00C03BC4"/>
    <w:rsid w:val="00C03C1F"/>
    <w:rsid w:val="00C03C24"/>
    <w:rsid w:val="00C03C66"/>
    <w:rsid w:val="00C03C6E"/>
    <w:rsid w:val="00C03D07"/>
    <w:rsid w:val="00C03D80"/>
    <w:rsid w:val="00C03D95"/>
    <w:rsid w:val="00C03D9C"/>
    <w:rsid w:val="00C03DEE"/>
    <w:rsid w:val="00C03DF0"/>
    <w:rsid w:val="00C03E84"/>
    <w:rsid w:val="00C03EB0"/>
    <w:rsid w:val="00C03F00"/>
    <w:rsid w:val="00C03F26"/>
    <w:rsid w:val="00C03F44"/>
    <w:rsid w:val="00C03F61"/>
    <w:rsid w:val="00C03F89"/>
    <w:rsid w:val="00C03F94"/>
    <w:rsid w:val="00C03FC6"/>
    <w:rsid w:val="00C03FE5"/>
    <w:rsid w:val="00C03FED"/>
    <w:rsid w:val="00C04018"/>
    <w:rsid w:val="00C04054"/>
    <w:rsid w:val="00C0405B"/>
    <w:rsid w:val="00C04079"/>
    <w:rsid w:val="00C04106"/>
    <w:rsid w:val="00C04198"/>
    <w:rsid w:val="00C04283"/>
    <w:rsid w:val="00C0429C"/>
    <w:rsid w:val="00C042A4"/>
    <w:rsid w:val="00C04308"/>
    <w:rsid w:val="00C04311"/>
    <w:rsid w:val="00C04345"/>
    <w:rsid w:val="00C043AF"/>
    <w:rsid w:val="00C04463"/>
    <w:rsid w:val="00C044A8"/>
    <w:rsid w:val="00C044E5"/>
    <w:rsid w:val="00C044FF"/>
    <w:rsid w:val="00C0456B"/>
    <w:rsid w:val="00C0456D"/>
    <w:rsid w:val="00C04580"/>
    <w:rsid w:val="00C04591"/>
    <w:rsid w:val="00C045DF"/>
    <w:rsid w:val="00C045E6"/>
    <w:rsid w:val="00C04673"/>
    <w:rsid w:val="00C0469B"/>
    <w:rsid w:val="00C046A2"/>
    <w:rsid w:val="00C046DA"/>
    <w:rsid w:val="00C0472A"/>
    <w:rsid w:val="00C0474A"/>
    <w:rsid w:val="00C0476A"/>
    <w:rsid w:val="00C047AC"/>
    <w:rsid w:val="00C04871"/>
    <w:rsid w:val="00C04883"/>
    <w:rsid w:val="00C048DB"/>
    <w:rsid w:val="00C0494F"/>
    <w:rsid w:val="00C049F7"/>
    <w:rsid w:val="00C04B13"/>
    <w:rsid w:val="00C04B6B"/>
    <w:rsid w:val="00C04BC2"/>
    <w:rsid w:val="00C04C1C"/>
    <w:rsid w:val="00C04C61"/>
    <w:rsid w:val="00C04C7A"/>
    <w:rsid w:val="00C04C7E"/>
    <w:rsid w:val="00C04C95"/>
    <w:rsid w:val="00C04C98"/>
    <w:rsid w:val="00C04CA7"/>
    <w:rsid w:val="00C04D62"/>
    <w:rsid w:val="00C04E06"/>
    <w:rsid w:val="00C04E0C"/>
    <w:rsid w:val="00C04E84"/>
    <w:rsid w:val="00C04F07"/>
    <w:rsid w:val="00C04F43"/>
    <w:rsid w:val="00C04F51"/>
    <w:rsid w:val="00C04F58"/>
    <w:rsid w:val="00C04F6A"/>
    <w:rsid w:val="00C04F8A"/>
    <w:rsid w:val="00C04FB7"/>
    <w:rsid w:val="00C05069"/>
    <w:rsid w:val="00C050D9"/>
    <w:rsid w:val="00C0514A"/>
    <w:rsid w:val="00C05191"/>
    <w:rsid w:val="00C051B9"/>
    <w:rsid w:val="00C051BB"/>
    <w:rsid w:val="00C051C0"/>
    <w:rsid w:val="00C051E9"/>
    <w:rsid w:val="00C05211"/>
    <w:rsid w:val="00C0527B"/>
    <w:rsid w:val="00C05293"/>
    <w:rsid w:val="00C0529A"/>
    <w:rsid w:val="00C05329"/>
    <w:rsid w:val="00C0534D"/>
    <w:rsid w:val="00C05359"/>
    <w:rsid w:val="00C0538B"/>
    <w:rsid w:val="00C053A4"/>
    <w:rsid w:val="00C05412"/>
    <w:rsid w:val="00C05442"/>
    <w:rsid w:val="00C05449"/>
    <w:rsid w:val="00C054B9"/>
    <w:rsid w:val="00C054C7"/>
    <w:rsid w:val="00C054D7"/>
    <w:rsid w:val="00C0556C"/>
    <w:rsid w:val="00C055AD"/>
    <w:rsid w:val="00C055C5"/>
    <w:rsid w:val="00C055F8"/>
    <w:rsid w:val="00C05663"/>
    <w:rsid w:val="00C056D8"/>
    <w:rsid w:val="00C056EE"/>
    <w:rsid w:val="00C05701"/>
    <w:rsid w:val="00C05718"/>
    <w:rsid w:val="00C05721"/>
    <w:rsid w:val="00C0573E"/>
    <w:rsid w:val="00C05746"/>
    <w:rsid w:val="00C057D9"/>
    <w:rsid w:val="00C05868"/>
    <w:rsid w:val="00C0588D"/>
    <w:rsid w:val="00C058A8"/>
    <w:rsid w:val="00C058B2"/>
    <w:rsid w:val="00C058D1"/>
    <w:rsid w:val="00C058E2"/>
    <w:rsid w:val="00C0597F"/>
    <w:rsid w:val="00C0599D"/>
    <w:rsid w:val="00C059F0"/>
    <w:rsid w:val="00C05A0F"/>
    <w:rsid w:val="00C05A18"/>
    <w:rsid w:val="00C05A24"/>
    <w:rsid w:val="00C05AC5"/>
    <w:rsid w:val="00C05AFE"/>
    <w:rsid w:val="00C05B2E"/>
    <w:rsid w:val="00C05B47"/>
    <w:rsid w:val="00C05B7F"/>
    <w:rsid w:val="00C05B85"/>
    <w:rsid w:val="00C05B98"/>
    <w:rsid w:val="00C05C0D"/>
    <w:rsid w:val="00C05CA2"/>
    <w:rsid w:val="00C05CF7"/>
    <w:rsid w:val="00C05D13"/>
    <w:rsid w:val="00C05D1E"/>
    <w:rsid w:val="00C05D63"/>
    <w:rsid w:val="00C05D7D"/>
    <w:rsid w:val="00C05D97"/>
    <w:rsid w:val="00C05D9B"/>
    <w:rsid w:val="00C05DBD"/>
    <w:rsid w:val="00C05E4A"/>
    <w:rsid w:val="00C05EC1"/>
    <w:rsid w:val="00C05EE9"/>
    <w:rsid w:val="00C05F2E"/>
    <w:rsid w:val="00C05FD5"/>
    <w:rsid w:val="00C06021"/>
    <w:rsid w:val="00C06040"/>
    <w:rsid w:val="00C060DC"/>
    <w:rsid w:val="00C060E9"/>
    <w:rsid w:val="00C060ED"/>
    <w:rsid w:val="00C06189"/>
    <w:rsid w:val="00C06193"/>
    <w:rsid w:val="00C061F2"/>
    <w:rsid w:val="00C06266"/>
    <w:rsid w:val="00C0629E"/>
    <w:rsid w:val="00C062FC"/>
    <w:rsid w:val="00C0631C"/>
    <w:rsid w:val="00C06331"/>
    <w:rsid w:val="00C06373"/>
    <w:rsid w:val="00C06378"/>
    <w:rsid w:val="00C063A4"/>
    <w:rsid w:val="00C06409"/>
    <w:rsid w:val="00C0648E"/>
    <w:rsid w:val="00C064BB"/>
    <w:rsid w:val="00C064F2"/>
    <w:rsid w:val="00C064FA"/>
    <w:rsid w:val="00C06503"/>
    <w:rsid w:val="00C06524"/>
    <w:rsid w:val="00C0652D"/>
    <w:rsid w:val="00C065D4"/>
    <w:rsid w:val="00C06609"/>
    <w:rsid w:val="00C066A0"/>
    <w:rsid w:val="00C066A9"/>
    <w:rsid w:val="00C066B3"/>
    <w:rsid w:val="00C066EE"/>
    <w:rsid w:val="00C066EF"/>
    <w:rsid w:val="00C066FF"/>
    <w:rsid w:val="00C0671D"/>
    <w:rsid w:val="00C06747"/>
    <w:rsid w:val="00C0675B"/>
    <w:rsid w:val="00C067EA"/>
    <w:rsid w:val="00C0687E"/>
    <w:rsid w:val="00C068B5"/>
    <w:rsid w:val="00C06905"/>
    <w:rsid w:val="00C06954"/>
    <w:rsid w:val="00C069D0"/>
    <w:rsid w:val="00C069E1"/>
    <w:rsid w:val="00C069E7"/>
    <w:rsid w:val="00C069FB"/>
    <w:rsid w:val="00C06A84"/>
    <w:rsid w:val="00C06AAE"/>
    <w:rsid w:val="00C06B2C"/>
    <w:rsid w:val="00C06B5B"/>
    <w:rsid w:val="00C06BF0"/>
    <w:rsid w:val="00C06BF9"/>
    <w:rsid w:val="00C06C49"/>
    <w:rsid w:val="00C06C63"/>
    <w:rsid w:val="00C06C7A"/>
    <w:rsid w:val="00C06C7B"/>
    <w:rsid w:val="00C06CD5"/>
    <w:rsid w:val="00C06CF1"/>
    <w:rsid w:val="00C06DCE"/>
    <w:rsid w:val="00C06DF1"/>
    <w:rsid w:val="00C06DFC"/>
    <w:rsid w:val="00C06E0E"/>
    <w:rsid w:val="00C06E74"/>
    <w:rsid w:val="00C06E92"/>
    <w:rsid w:val="00C06E96"/>
    <w:rsid w:val="00C06ED8"/>
    <w:rsid w:val="00C06F07"/>
    <w:rsid w:val="00C06F0C"/>
    <w:rsid w:val="00C06F5E"/>
    <w:rsid w:val="00C06F90"/>
    <w:rsid w:val="00C06FAF"/>
    <w:rsid w:val="00C06FC8"/>
    <w:rsid w:val="00C07010"/>
    <w:rsid w:val="00C07079"/>
    <w:rsid w:val="00C070CC"/>
    <w:rsid w:val="00C0712A"/>
    <w:rsid w:val="00C07163"/>
    <w:rsid w:val="00C0718A"/>
    <w:rsid w:val="00C071B1"/>
    <w:rsid w:val="00C071C5"/>
    <w:rsid w:val="00C071D5"/>
    <w:rsid w:val="00C071F8"/>
    <w:rsid w:val="00C071FF"/>
    <w:rsid w:val="00C07264"/>
    <w:rsid w:val="00C07294"/>
    <w:rsid w:val="00C072A7"/>
    <w:rsid w:val="00C072E6"/>
    <w:rsid w:val="00C07371"/>
    <w:rsid w:val="00C073CA"/>
    <w:rsid w:val="00C0741E"/>
    <w:rsid w:val="00C074C9"/>
    <w:rsid w:val="00C074D1"/>
    <w:rsid w:val="00C074D5"/>
    <w:rsid w:val="00C074DC"/>
    <w:rsid w:val="00C074DF"/>
    <w:rsid w:val="00C074FC"/>
    <w:rsid w:val="00C0750E"/>
    <w:rsid w:val="00C0755C"/>
    <w:rsid w:val="00C075FD"/>
    <w:rsid w:val="00C0767F"/>
    <w:rsid w:val="00C0768B"/>
    <w:rsid w:val="00C076F9"/>
    <w:rsid w:val="00C0772B"/>
    <w:rsid w:val="00C0773E"/>
    <w:rsid w:val="00C07769"/>
    <w:rsid w:val="00C07807"/>
    <w:rsid w:val="00C07838"/>
    <w:rsid w:val="00C0784C"/>
    <w:rsid w:val="00C07857"/>
    <w:rsid w:val="00C07861"/>
    <w:rsid w:val="00C07865"/>
    <w:rsid w:val="00C07885"/>
    <w:rsid w:val="00C07956"/>
    <w:rsid w:val="00C07A17"/>
    <w:rsid w:val="00C07A34"/>
    <w:rsid w:val="00C07A48"/>
    <w:rsid w:val="00C07A9D"/>
    <w:rsid w:val="00C07ACE"/>
    <w:rsid w:val="00C07B2C"/>
    <w:rsid w:val="00C07B37"/>
    <w:rsid w:val="00C07BCD"/>
    <w:rsid w:val="00C07C23"/>
    <w:rsid w:val="00C07C7E"/>
    <w:rsid w:val="00C07C80"/>
    <w:rsid w:val="00C07CC7"/>
    <w:rsid w:val="00C07CD9"/>
    <w:rsid w:val="00C07CF6"/>
    <w:rsid w:val="00C07CF7"/>
    <w:rsid w:val="00C07D18"/>
    <w:rsid w:val="00C07D53"/>
    <w:rsid w:val="00C07D64"/>
    <w:rsid w:val="00C07D6B"/>
    <w:rsid w:val="00C07DA4"/>
    <w:rsid w:val="00C07DB9"/>
    <w:rsid w:val="00C07DDA"/>
    <w:rsid w:val="00C07E18"/>
    <w:rsid w:val="00C07E39"/>
    <w:rsid w:val="00C07E5A"/>
    <w:rsid w:val="00C07EAA"/>
    <w:rsid w:val="00C07EAF"/>
    <w:rsid w:val="00C07F33"/>
    <w:rsid w:val="00C07F6B"/>
    <w:rsid w:val="00C100B1"/>
    <w:rsid w:val="00C100B9"/>
    <w:rsid w:val="00C10118"/>
    <w:rsid w:val="00C10127"/>
    <w:rsid w:val="00C10135"/>
    <w:rsid w:val="00C10138"/>
    <w:rsid w:val="00C1013A"/>
    <w:rsid w:val="00C1016C"/>
    <w:rsid w:val="00C101BB"/>
    <w:rsid w:val="00C101DE"/>
    <w:rsid w:val="00C10225"/>
    <w:rsid w:val="00C102A5"/>
    <w:rsid w:val="00C102AC"/>
    <w:rsid w:val="00C1032C"/>
    <w:rsid w:val="00C10414"/>
    <w:rsid w:val="00C10415"/>
    <w:rsid w:val="00C10418"/>
    <w:rsid w:val="00C1041F"/>
    <w:rsid w:val="00C1045A"/>
    <w:rsid w:val="00C104CD"/>
    <w:rsid w:val="00C10521"/>
    <w:rsid w:val="00C10522"/>
    <w:rsid w:val="00C10586"/>
    <w:rsid w:val="00C105C6"/>
    <w:rsid w:val="00C1064D"/>
    <w:rsid w:val="00C106A5"/>
    <w:rsid w:val="00C106A9"/>
    <w:rsid w:val="00C106AF"/>
    <w:rsid w:val="00C106B7"/>
    <w:rsid w:val="00C106D8"/>
    <w:rsid w:val="00C106EE"/>
    <w:rsid w:val="00C10731"/>
    <w:rsid w:val="00C1074F"/>
    <w:rsid w:val="00C1078F"/>
    <w:rsid w:val="00C10793"/>
    <w:rsid w:val="00C10854"/>
    <w:rsid w:val="00C10858"/>
    <w:rsid w:val="00C10878"/>
    <w:rsid w:val="00C10928"/>
    <w:rsid w:val="00C10958"/>
    <w:rsid w:val="00C1095A"/>
    <w:rsid w:val="00C10990"/>
    <w:rsid w:val="00C10A23"/>
    <w:rsid w:val="00C10A2D"/>
    <w:rsid w:val="00C10A74"/>
    <w:rsid w:val="00C10AB1"/>
    <w:rsid w:val="00C10B01"/>
    <w:rsid w:val="00C10B24"/>
    <w:rsid w:val="00C10C28"/>
    <w:rsid w:val="00C10D1A"/>
    <w:rsid w:val="00C10D2E"/>
    <w:rsid w:val="00C10D48"/>
    <w:rsid w:val="00C10DEE"/>
    <w:rsid w:val="00C10E44"/>
    <w:rsid w:val="00C10E79"/>
    <w:rsid w:val="00C10E81"/>
    <w:rsid w:val="00C10EC4"/>
    <w:rsid w:val="00C10ED4"/>
    <w:rsid w:val="00C10EE7"/>
    <w:rsid w:val="00C10F30"/>
    <w:rsid w:val="00C10F4A"/>
    <w:rsid w:val="00C10F53"/>
    <w:rsid w:val="00C10F5D"/>
    <w:rsid w:val="00C11043"/>
    <w:rsid w:val="00C1105D"/>
    <w:rsid w:val="00C11067"/>
    <w:rsid w:val="00C11075"/>
    <w:rsid w:val="00C11112"/>
    <w:rsid w:val="00C1112A"/>
    <w:rsid w:val="00C11141"/>
    <w:rsid w:val="00C11148"/>
    <w:rsid w:val="00C111A9"/>
    <w:rsid w:val="00C111EF"/>
    <w:rsid w:val="00C1121F"/>
    <w:rsid w:val="00C11222"/>
    <w:rsid w:val="00C11243"/>
    <w:rsid w:val="00C11262"/>
    <w:rsid w:val="00C112D7"/>
    <w:rsid w:val="00C11347"/>
    <w:rsid w:val="00C1139C"/>
    <w:rsid w:val="00C113DC"/>
    <w:rsid w:val="00C113E4"/>
    <w:rsid w:val="00C113ED"/>
    <w:rsid w:val="00C11423"/>
    <w:rsid w:val="00C1149A"/>
    <w:rsid w:val="00C114A7"/>
    <w:rsid w:val="00C114D1"/>
    <w:rsid w:val="00C11503"/>
    <w:rsid w:val="00C11541"/>
    <w:rsid w:val="00C1159D"/>
    <w:rsid w:val="00C11686"/>
    <w:rsid w:val="00C116E0"/>
    <w:rsid w:val="00C11716"/>
    <w:rsid w:val="00C1171E"/>
    <w:rsid w:val="00C11727"/>
    <w:rsid w:val="00C11780"/>
    <w:rsid w:val="00C117CF"/>
    <w:rsid w:val="00C11811"/>
    <w:rsid w:val="00C11817"/>
    <w:rsid w:val="00C1184C"/>
    <w:rsid w:val="00C11852"/>
    <w:rsid w:val="00C1186E"/>
    <w:rsid w:val="00C1187C"/>
    <w:rsid w:val="00C118C4"/>
    <w:rsid w:val="00C11969"/>
    <w:rsid w:val="00C119A8"/>
    <w:rsid w:val="00C119CB"/>
    <w:rsid w:val="00C119D8"/>
    <w:rsid w:val="00C11A1E"/>
    <w:rsid w:val="00C11A6F"/>
    <w:rsid w:val="00C11A9E"/>
    <w:rsid w:val="00C11AA5"/>
    <w:rsid w:val="00C11AB2"/>
    <w:rsid w:val="00C11ACA"/>
    <w:rsid w:val="00C11ACE"/>
    <w:rsid w:val="00C11AD9"/>
    <w:rsid w:val="00C11AE3"/>
    <w:rsid w:val="00C11B1F"/>
    <w:rsid w:val="00C11BC1"/>
    <w:rsid w:val="00C11BE9"/>
    <w:rsid w:val="00C11D7C"/>
    <w:rsid w:val="00C11D87"/>
    <w:rsid w:val="00C11E3D"/>
    <w:rsid w:val="00C11E4B"/>
    <w:rsid w:val="00C11E98"/>
    <w:rsid w:val="00C11ECD"/>
    <w:rsid w:val="00C11F26"/>
    <w:rsid w:val="00C11F37"/>
    <w:rsid w:val="00C11F80"/>
    <w:rsid w:val="00C11FCE"/>
    <w:rsid w:val="00C11FD1"/>
    <w:rsid w:val="00C12046"/>
    <w:rsid w:val="00C1205C"/>
    <w:rsid w:val="00C120A0"/>
    <w:rsid w:val="00C121C4"/>
    <w:rsid w:val="00C121F6"/>
    <w:rsid w:val="00C12211"/>
    <w:rsid w:val="00C12272"/>
    <w:rsid w:val="00C12328"/>
    <w:rsid w:val="00C1235C"/>
    <w:rsid w:val="00C123C6"/>
    <w:rsid w:val="00C12405"/>
    <w:rsid w:val="00C1240E"/>
    <w:rsid w:val="00C12421"/>
    <w:rsid w:val="00C1247D"/>
    <w:rsid w:val="00C124F2"/>
    <w:rsid w:val="00C12515"/>
    <w:rsid w:val="00C12539"/>
    <w:rsid w:val="00C1256E"/>
    <w:rsid w:val="00C125A4"/>
    <w:rsid w:val="00C125B6"/>
    <w:rsid w:val="00C125F4"/>
    <w:rsid w:val="00C1262E"/>
    <w:rsid w:val="00C1263A"/>
    <w:rsid w:val="00C12673"/>
    <w:rsid w:val="00C1268C"/>
    <w:rsid w:val="00C126D2"/>
    <w:rsid w:val="00C12715"/>
    <w:rsid w:val="00C1271B"/>
    <w:rsid w:val="00C1272F"/>
    <w:rsid w:val="00C12765"/>
    <w:rsid w:val="00C1277E"/>
    <w:rsid w:val="00C1278F"/>
    <w:rsid w:val="00C1281A"/>
    <w:rsid w:val="00C12821"/>
    <w:rsid w:val="00C1282D"/>
    <w:rsid w:val="00C12841"/>
    <w:rsid w:val="00C12882"/>
    <w:rsid w:val="00C128E1"/>
    <w:rsid w:val="00C1290E"/>
    <w:rsid w:val="00C1295A"/>
    <w:rsid w:val="00C129F6"/>
    <w:rsid w:val="00C12A12"/>
    <w:rsid w:val="00C12A49"/>
    <w:rsid w:val="00C12A4F"/>
    <w:rsid w:val="00C12AAD"/>
    <w:rsid w:val="00C12B62"/>
    <w:rsid w:val="00C12BA1"/>
    <w:rsid w:val="00C12BA5"/>
    <w:rsid w:val="00C12BF5"/>
    <w:rsid w:val="00C12CED"/>
    <w:rsid w:val="00C12D02"/>
    <w:rsid w:val="00C12D40"/>
    <w:rsid w:val="00C12D5F"/>
    <w:rsid w:val="00C12D87"/>
    <w:rsid w:val="00C12DA7"/>
    <w:rsid w:val="00C12DD4"/>
    <w:rsid w:val="00C12E1B"/>
    <w:rsid w:val="00C12E4B"/>
    <w:rsid w:val="00C12E56"/>
    <w:rsid w:val="00C12E58"/>
    <w:rsid w:val="00C12E99"/>
    <w:rsid w:val="00C12EC6"/>
    <w:rsid w:val="00C12F32"/>
    <w:rsid w:val="00C12F3B"/>
    <w:rsid w:val="00C12F68"/>
    <w:rsid w:val="00C12F70"/>
    <w:rsid w:val="00C12F95"/>
    <w:rsid w:val="00C12FB3"/>
    <w:rsid w:val="00C12FC1"/>
    <w:rsid w:val="00C12FE8"/>
    <w:rsid w:val="00C12FEB"/>
    <w:rsid w:val="00C12FF7"/>
    <w:rsid w:val="00C12FFC"/>
    <w:rsid w:val="00C13011"/>
    <w:rsid w:val="00C1301B"/>
    <w:rsid w:val="00C1301D"/>
    <w:rsid w:val="00C1302A"/>
    <w:rsid w:val="00C1306C"/>
    <w:rsid w:val="00C13074"/>
    <w:rsid w:val="00C13081"/>
    <w:rsid w:val="00C130C4"/>
    <w:rsid w:val="00C13115"/>
    <w:rsid w:val="00C131AD"/>
    <w:rsid w:val="00C131BC"/>
    <w:rsid w:val="00C131C7"/>
    <w:rsid w:val="00C1323E"/>
    <w:rsid w:val="00C13252"/>
    <w:rsid w:val="00C1325A"/>
    <w:rsid w:val="00C13268"/>
    <w:rsid w:val="00C13271"/>
    <w:rsid w:val="00C13331"/>
    <w:rsid w:val="00C13357"/>
    <w:rsid w:val="00C13374"/>
    <w:rsid w:val="00C1337E"/>
    <w:rsid w:val="00C13380"/>
    <w:rsid w:val="00C1339F"/>
    <w:rsid w:val="00C133F8"/>
    <w:rsid w:val="00C1343D"/>
    <w:rsid w:val="00C13498"/>
    <w:rsid w:val="00C134BD"/>
    <w:rsid w:val="00C135BF"/>
    <w:rsid w:val="00C135EE"/>
    <w:rsid w:val="00C135EF"/>
    <w:rsid w:val="00C13621"/>
    <w:rsid w:val="00C13629"/>
    <w:rsid w:val="00C13646"/>
    <w:rsid w:val="00C13660"/>
    <w:rsid w:val="00C13664"/>
    <w:rsid w:val="00C136C5"/>
    <w:rsid w:val="00C136EA"/>
    <w:rsid w:val="00C13786"/>
    <w:rsid w:val="00C137A3"/>
    <w:rsid w:val="00C137BE"/>
    <w:rsid w:val="00C137E2"/>
    <w:rsid w:val="00C1380B"/>
    <w:rsid w:val="00C13821"/>
    <w:rsid w:val="00C13884"/>
    <w:rsid w:val="00C1389F"/>
    <w:rsid w:val="00C138A6"/>
    <w:rsid w:val="00C138C1"/>
    <w:rsid w:val="00C13913"/>
    <w:rsid w:val="00C1394B"/>
    <w:rsid w:val="00C1394C"/>
    <w:rsid w:val="00C13959"/>
    <w:rsid w:val="00C139A5"/>
    <w:rsid w:val="00C139A6"/>
    <w:rsid w:val="00C139F9"/>
    <w:rsid w:val="00C13A05"/>
    <w:rsid w:val="00C13A7B"/>
    <w:rsid w:val="00C13B3A"/>
    <w:rsid w:val="00C13B3F"/>
    <w:rsid w:val="00C13B8E"/>
    <w:rsid w:val="00C13B92"/>
    <w:rsid w:val="00C13B9F"/>
    <w:rsid w:val="00C13BD0"/>
    <w:rsid w:val="00C13BFF"/>
    <w:rsid w:val="00C13C2C"/>
    <w:rsid w:val="00C13C69"/>
    <w:rsid w:val="00C13C93"/>
    <w:rsid w:val="00C13CCF"/>
    <w:rsid w:val="00C13D12"/>
    <w:rsid w:val="00C13D16"/>
    <w:rsid w:val="00C13D20"/>
    <w:rsid w:val="00C13DA3"/>
    <w:rsid w:val="00C13DCE"/>
    <w:rsid w:val="00C13DE2"/>
    <w:rsid w:val="00C13DEE"/>
    <w:rsid w:val="00C13E16"/>
    <w:rsid w:val="00C13E1B"/>
    <w:rsid w:val="00C13EAB"/>
    <w:rsid w:val="00C13ECF"/>
    <w:rsid w:val="00C13EEC"/>
    <w:rsid w:val="00C13F3C"/>
    <w:rsid w:val="00C13F45"/>
    <w:rsid w:val="00C13F6B"/>
    <w:rsid w:val="00C13F9E"/>
    <w:rsid w:val="00C13FB8"/>
    <w:rsid w:val="00C13FBA"/>
    <w:rsid w:val="00C13FC1"/>
    <w:rsid w:val="00C13FDA"/>
    <w:rsid w:val="00C14001"/>
    <w:rsid w:val="00C14086"/>
    <w:rsid w:val="00C140E0"/>
    <w:rsid w:val="00C1418D"/>
    <w:rsid w:val="00C141A4"/>
    <w:rsid w:val="00C141A5"/>
    <w:rsid w:val="00C141FA"/>
    <w:rsid w:val="00C1424F"/>
    <w:rsid w:val="00C1436B"/>
    <w:rsid w:val="00C143EF"/>
    <w:rsid w:val="00C14418"/>
    <w:rsid w:val="00C14518"/>
    <w:rsid w:val="00C1451C"/>
    <w:rsid w:val="00C145F6"/>
    <w:rsid w:val="00C1461C"/>
    <w:rsid w:val="00C1465C"/>
    <w:rsid w:val="00C14696"/>
    <w:rsid w:val="00C146B1"/>
    <w:rsid w:val="00C146BF"/>
    <w:rsid w:val="00C146C1"/>
    <w:rsid w:val="00C146F5"/>
    <w:rsid w:val="00C14762"/>
    <w:rsid w:val="00C147F5"/>
    <w:rsid w:val="00C148B7"/>
    <w:rsid w:val="00C148C5"/>
    <w:rsid w:val="00C148CD"/>
    <w:rsid w:val="00C14914"/>
    <w:rsid w:val="00C14940"/>
    <w:rsid w:val="00C1495C"/>
    <w:rsid w:val="00C14971"/>
    <w:rsid w:val="00C14992"/>
    <w:rsid w:val="00C149C7"/>
    <w:rsid w:val="00C14A1E"/>
    <w:rsid w:val="00C14A29"/>
    <w:rsid w:val="00C14A41"/>
    <w:rsid w:val="00C14A66"/>
    <w:rsid w:val="00C14A70"/>
    <w:rsid w:val="00C14A73"/>
    <w:rsid w:val="00C14A78"/>
    <w:rsid w:val="00C14ACF"/>
    <w:rsid w:val="00C14B16"/>
    <w:rsid w:val="00C14B33"/>
    <w:rsid w:val="00C14B83"/>
    <w:rsid w:val="00C14BE3"/>
    <w:rsid w:val="00C14BF5"/>
    <w:rsid w:val="00C14C02"/>
    <w:rsid w:val="00C14C16"/>
    <w:rsid w:val="00C14C1E"/>
    <w:rsid w:val="00C14C25"/>
    <w:rsid w:val="00C14C86"/>
    <w:rsid w:val="00C14D0D"/>
    <w:rsid w:val="00C14D16"/>
    <w:rsid w:val="00C14DA9"/>
    <w:rsid w:val="00C14DB3"/>
    <w:rsid w:val="00C14E05"/>
    <w:rsid w:val="00C14E21"/>
    <w:rsid w:val="00C14E3D"/>
    <w:rsid w:val="00C14E5B"/>
    <w:rsid w:val="00C14EA6"/>
    <w:rsid w:val="00C14EB5"/>
    <w:rsid w:val="00C14EDA"/>
    <w:rsid w:val="00C14EEB"/>
    <w:rsid w:val="00C14F1C"/>
    <w:rsid w:val="00C14F72"/>
    <w:rsid w:val="00C14F86"/>
    <w:rsid w:val="00C14FB6"/>
    <w:rsid w:val="00C1503E"/>
    <w:rsid w:val="00C1508B"/>
    <w:rsid w:val="00C150D4"/>
    <w:rsid w:val="00C15107"/>
    <w:rsid w:val="00C15131"/>
    <w:rsid w:val="00C15149"/>
    <w:rsid w:val="00C1514F"/>
    <w:rsid w:val="00C1515C"/>
    <w:rsid w:val="00C15179"/>
    <w:rsid w:val="00C15208"/>
    <w:rsid w:val="00C1523C"/>
    <w:rsid w:val="00C15243"/>
    <w:rsid w:val="00C15244"/>
    <w:rsid w:val="00C152C0"/>
    <w:rsid w:val="00C152F3"/>
    <w:rsid w:val="00C152F5"/>
    <w:rsid w:val="00C1530A"/>
    <w:rsid w:val="00C1530B"/>
    <w:rsid w:val="00C15339"/>
    <w:rsid w:val="00C15361"/>
    <w:rsid w:val="00C15392"/>
    <w:rsid w:val="00C153A0"/>
    <w:rsid w:val="00C153A8"/>
    <w:rsid w:val="00C153D4"/>
    <w:rsid w:val="00C15419"/>
    <w:rsid w:val="00C1542A"/>
    <w:rsid w:val="00C1547D"/>
    <w:rsid w:val="00C15504"/>
    <w:rsid w:val="00C155E8"/>
    <w:rsid w:val="00C15606"/>
    <w:rsid w:val="00C15615"/>
    <w:rsid w:val="00C15629"/>
    <w:rsid w:val="00C15635"/>
    <w:rsid w:val="00C1564E"/>
    <w:rsid w:val="00C15693"/>
    <w:rsid w:val="00C15755"/>
    <w:rsid w:val="00C1577E"/>
    <w:rsid w:val="00C157C1"/>
    <w:rsid w:val="00C157E2"/>
    <w:rsid w:val="00C158B8"/>
    <w:rsid w:val="00C158EC"/>
    <w:rsid w:val="00C158F7"/>
    <w:rsid w:val="00C15924"/>
    <w:rsid w:val="00C15945"/>
    <w:rsid w:val="00C15994"/>
    <w:rsid w:val="00C159EA"/>
    <w:rsid w:val="00C159F2"/>
    <w:rsid w:val="00C15A3B"/>
    <w:rsid w:val="00C15AA8"/>
    <w:rsid w:val="00C15B44"/>
    <w:rsid w:val="00C15B87"/>
    <w:rsid w:val="00C15BA6"/>
    <w:rsid w:val="00C15BDC"/>
    <w:rsid w:val="00C15BFE"/>
    <w:rsid w:val="00C15C31"/>
    <w:rsid w:val="00C15C66"/>
    <w:rsid w:val="00C15CE7"/>
    <w:rsid w:val="00C15D46"/>
    <w:rsid w:val="00C15DA0"/>
    <w:rsid w:val="00C15DC7"/>
    <w:rsid w:val="00C15E51"/>
    <w:rsid w:val="00C15E8D"/>
    <w:rsid w:val="00C15EAE"/>
    <w:rsid w:val="00C15EBC"/>
    <w:rsid w:val="00C15EF4"/>
    <w:rsid w:val="00C15EFD"/>
    <w:rsid w:val="00C15F52"/>
    <w:rsid w:val="00C15FA3"/>
    <w:rsid w:val="00C15FFD"/>
    <w:rsid w:val="00C1605A"/>
    <w:rsid w:val="00C16063"/>
    <w:rsid w:val="00C160C8"/>
    <w:rsid w:val="00C16105"/>
    <w:rsid w:val="00C1616B"/>
    <w:rsid w:val="00C161B6"/>
    <w:rsid w:val="00C161E9"/>
    <w:rsid w:val="00C161EA"/>
    <w:rsid w:val="00C16265"/>
    <w:rsid w:val="00C162F2"/>
    <w:rsid w:val="00C1631F"/>
    <w:rsid w:val="00C163DD"/>
    <w:rsid w:val="00C16402"/>
    <w:rsid w:val="00C16413"/>
    <w:rsid w:val="00C1644F"/>
    <w:rsid w:val="00C16479"/>
    <w:rsid w:val="00C1647E"/>
    <w:rsid w:val="00C164DE"/>
    <w:rsid w:val="00C164F3"/>
    <w:rsid w:val="00C165BB"/>
    <w:rsid w:val="00C165DD"/>
    <w:rsid w:val="00C16633"/>
    <w:rsid w:val="00C16634"/>
    <w:rsid w:val="00C1667B"/>
    <w:rsid w:val="00C1668B"/>
    <w:rsid w:val="00C1669E"/>
    <w:rsid w:val="00C166CF"/>
    <w:rsid w:val="00C1676F"/>
    <w:rsid w:val="00C16790"/>
    <w:rsid w:val="00C167DA"/>
    <w:rsid w:val="00C167DE"/>
    <w:rsid w:val="00C16830"/>
    <w:rsid w:val="00C16863"/>
    <w:rsid w:val="00C1687B"/>
    <w:rsid w:val="00C16885"/>
    <w:rsid w:val="00C168CD"/>
    <w:rsid w:val="00C168E0"/>
    <w:rsid w:val="00C1691C"/>
    <w:rsid w:val="00C16943"/>
    <w:rsid w:val="00C169E1"/>
    <w:rsid w:val="00C16A0D"/>
    <w:rsid w:val="00C16A9A"/>
    <w:rsid w:val="00C16A9B"/>
    <w:rsid w:val="00C16AA6"/>
    <w:rsid w:val="00C16AC9"/>
    <w:rsid w:val="00C16ACD"/>
    <w:rsid w:val="00C16BF0"/>
    <w:rsid w:val="00C16C0F"/>
    <w:rsid w:val="00C16C2B"/>
    <w:rsid w:val="00C16C32"/>
    <w:rsid w:val="00C16C8D"/>
    <w:rsid w:val="00C16CAC"/>
    <w:rsid w:val="00C16D72"/>
    <w:rsid w:val="00C16DA9"/>
    <w:rsid w:val="00C16E4F"/>
    <w:rsid w:val="00C16E5B"/>
    <w:rsid w:val="00C16E6D"/>
    <w:rsid w:val="00C16E86"/>
    <w:rsid w:val="00C16E9B"/>
    <w:rsid w:val="00C16F3E"/>
    <w:rsid w:val="00C17023"/>
    <w:rsid w:val="00C17038"/>
    <w:rsid w:val="00C17092"/>
    <w:rsid w:val="00C17119"/>
    <w:rsid w:val="00C17164"/>
    <w:rsid w:val="00C17165"/>
    <w:rsid w:val="00C171A4"/>
    <w:rsid w:val="00C171D2"/>
    <w:rsid w:val="00C17273"/>
    <w:rsid w:val="00C172BA"/>
    <w:rsid w:val="00C17351"/>
    <w:rsid w:val="00C17388"/>
    <w:rsid w:val="00C1739D"/>
    <w:rsid w:val="00C173B5"/>
    <w:rsid w:val="00C173C7"/>
    <w:rsid w:val="00C1744B"/>
    <w:rsid w:val="00C17474"/>
    <w:rsid w:val="00C1748D"/>
    <w:rsid w:val="00C174A8"/>
    <w:rsid w:val="00C174BE"/>
    <w:rsid w:val="00C174C8"/>
    <w:rsid w:val="00C174DE"/>
    <w:rsid w:val="00C1754E"/>
    <w:rsid w:val="00C17580"/>
    <w:rsid w:val="00C17651"/>
    <w:rsid w:val="00C176AF"/>
    <w:rsid w:val="00C17702"/>
    <w:rsid w:val="00C17708"/>
    <w:rsid w:val="00C17852"/>
    <w:rsid w:val="00C17909"/>
    <w:rsid w:val="00C1790B"/>
    <w:rsid w:val="00C1793C"/>
    <w:rsid w:val="00C17961"/>
    <w:rsid w:val="00C1796D"/>
    <w:rsid w:val="00C179BB"/>
    <w:rsid w:val="00C17AB6"/>
    <w:rsid w:val="00C17AD9"/>
    <w:rsid w:val="00C17B0C"/>
    <w:rsid w:val="00C17B80"/>
    <w:rsid w:val="00C17BB6"/>
    <w:rsid w:val="00C17BBB"/>
    <w:rsid w:val="00C17BF5"/>
    <w:rsid w:val="00C17C25"/>
    <w:rsid w:val="00C17CC4"/>
    <w:rsid w:val="00C17D1D"/>
    <w:rsid w:val="00C17D2D"/>
    <w:rsid w:val="00C17D51"/>
    <w:rsid w:val="00C17D98"/>
    <w:rsid w:val="00C17D9A"/>
    <w:rsid w:val="00C17DF2"/>
    <w:rsid w:val="00C17E0B"/>
    <w:rsid w:val="00C17E39"/>
    <w:rsid w:val="00C17E6F"/>
    <w:rsid w:val="00C17E97"/>
    <w:rsid w:val="00C17EDF"/>
    <w:rsid w:val="00C17F18"/>
    <w:rsid w:val="00C17F23"/>
    <w:rsid w:val="00C17FDE"/>
    <w:rsid w:val="00C17FF4"/>
    <w:rsid w:val="00C20003"/>
    <w:rsid w:val="00C20014"/>
    <w:rsid w:val="00C2002F"/>
    <w:rsid w:val="00C20080"/>
    <w:rsid w:val="00C2008C"/>
    <w:rsid w:val="00C2009C"/>
    <w:rsid w:val="00C200A1"/>
    <w:rsid w:val="00C200A8"/>
    <w:rsid w:val="00C200D5"/>
    <w:rsid w:val="00C200E3"/>
    <w:rsid w:val="00C20108"/>
    <w:rsid w:val="00C20129"/>
    <w:rsid w:val="00C201C1"/>
    <w:rsid w:val="00C201D5"/>
    <w:rsid w:val="00C201E0"/>
    <w:rsid w:val="00C2028A"/>
    <w:rsid w:val="00C202B3"/>
    <w:rsid w:val="00C202C8"/>
    <w:rsid w:val="00C202F9"/>
    <w:rsid w:val="00C20305"/>
    <w:rsid w:val="00C20390"/>
    <w:rsid w:val="00C20437"/>
    <w:rsid w:val="00C20455"/>
    <w:rsid w:val="00C20475"/>
    <w:rsid w:val="00C204A4"/>
    <w:rsid w:val="00C204AD"/>
    <w:rsid w:val="00C2055B"/>
    <w:rsid w:val="00C205CC"/>
    <w:rsid w:val="00C20641"/>
    <w:rsid w:val="00C2066F"/>
    <w:rsid w:val="00C20692"/>
    <w:rsid w:val="00C2069B"/>
    <w:rsid w:val="00C206A1"/>
    <w:rsid w:val="00C207F9"/>
    <w:rsid w:val="00C20812"/>
    <w:rsid w:val="00C20816"/>
    <w:rsid w:val="00C2081A"/>
    <w:rsid w:val="00C20863"/>
    <w:rsid w:val="00C20886"/>
    <w:rsid w:val="00C20892"/>
    <w:rsid w:val="00C208D5"/>
    <w:rsid w:val="00C2093F"/>
    <w:rsid w:val="00C20944"/>
    <w:rsid w:val="00C20961"/>
    <w:rsid w:val="00C209D2"/>
    <w:rsid w:val="00C20A3C"/>
    <w:rsid w:val="00C20A74"/>
    <w:rsid w:val="00C20A9E"/>
    <w:rsid w:val="00C20AE3"/>
    <w:rsid w:val="00C20B1C"/>
    <w:rsid w:val="00C20B65"/>
    <w:rsid w:val="00C20B7E"/>
    <w:rsid w:val="00C20BFD"/>
    <w:rsid w:val="00C20C00"/>
    <w:rsid w:val="00C20C5C"/>
    <w:rsid w:val="00C20C78"/>
    <w:rsid w:val="00C20CD0"/>
    <w:rsid w:val="00C20CE2"/>
    <w:rsid w:val="00C20D72"/>
    <w:rsid w:val="00C20D8D"/>
    <w:rsid w:val="00C20DCB"/>
    <w:rsid w:val="00C20EBE"/>
    <w:rsid w:val="00C20F02"/>
    <w:rsid w:val="00C20F03"/>
    <w:rsid w:val="00C20F61"/>
    <w:rsid w:val="00C20F79"/>
    <w:rsid w:val="00C20F7B"/>
    <w:rsid w:val="00C20FDC"/>
    <w:rsid w:val="00C20FDD"/>
    <w:rsid w:val="00C21042"/>
    <w:rsid w:val="00C2107A"/>
    <w:rsid w:val="00C210BE"/>
    <w:rsid w:val="00C210E9"/>
    <w:rsid w:val="00C210FC"/>
    <w:rsid w:val="00C210FE"/>
    <w:rsid w:val="00C21139"/>
    <w:rsid w:val="00C21156"/>
    <w:rsid w:val="00C21167"/>
    <w:rsid w:val="00C2117A"/>
    <w:rsid w:val="00C2118B"/>
    <w:rsid w:val="00C2119F"/>
    <w:rsid w:val="00C211DE"/>
    <w:rsid w:val="00C2120F"/>
    <w:rsid w:val="00C21265"/>
    <w:rsid w:val="00C212DB"/>
    <w:rsid w:val="00C21421"/>
    <w:rsid w:val="00C2146C"/>
    <w:rsid w:val="00C21491"/>
    <w:rsid w:val="00C214C3"/>
    <w:rsid w:val="00C214DA"/>
    <w:rsid w:val="00C214EC"/>
    <w:rsid w:val="00C214EF"/>
    <w:rsid w:val="00C214FE"/>
    <w:rsid w:val="00C2153E"/>
    <w:rsid w:val="00C21553"/>
    <w:rsid w:val="00C21593"/>
    <w:rsid w:val="00C215FC"/>
    <w:rsid w:val="00C2163E"/>
    <w:rsid w:val="00C2165C"/>
    <w:rsid w:val="00C2167D"/>
    <w:rsid w:val="00C216BF"/>
    <w:rsid w:val="00C21711"/>
    <w:rsid w:val="00C21719"/>
    <w:rsid w:val="00C21727"/>
    <w:rsid w:val="00C2172F"/>
    <w:rsid w:val="00C2176D"/>
    <w:rsid w:val="00C21779"/>
    <w:rsid w:val="00C21809"/>
    <w:rsid w:val="00C21816"/>
    <w:rsid w:val="00C2182A"/>
    <w:rsid w:val="00C21851"/>
    <w:rsid w:val="00C218C6"/>
    <w:rsid w:val="00C218D7"/>
    <w:rsid w:val="00C2192C"/>
    <w:rsid w:val="00C2198E"/>
    <w:rsid w:val="00C21994"/>
    <w:rsid w:val="00C219A1"/>
    <w:rsid w:val="00C219B0"/>
    <w:rsid w:val="00C219F1"/>
    <w:rsid w:val="00C21A5E"/>
    <w:rsid w:val="00C21B23"/>
    <w:rsid w:val="00C21B48"/>
    <w:rsid w:val="00C21B65"/>
    <w:rsid w:val="00C21BD1"/>
    <w:rsid w:val="00C21BEB"/>
    <w:rsid w:val="00C21BF5"/>
    <w:rsid w:val="00C21C35"/>
    <w:rsid w:val="00C21C39"/>
    <w:rsid w:val="00C21C7C"/>
    <w:rsid w:val="00C21C84"/>
    <w:rsid w:val="00C21C8A"/>
    <w:rsid w:val="00C21D0D"/>
    <w:rsid w:val="00C21D1E"/>
    <w:rsid w:val="00C21D23"/>
    <w:rsid w:val="00C21D6C"/>
    <w:rsid w:val="00C21D73"/>
    <w:rsid w:val="00C21D77"/>
    <w:rsid w:val="00C21DBC"/>
    <w:rsid w:val="00C21E38"/>
    <w:rsid w:val="00C21E84"/>
    <w:rsid w:val="00C21EB3"/>
    <w:rsid w:val="00C21ED2"/>
    <w:rsid w:val="00C21F53"/>
    <w:rsid w:val="00C21F74"/>
    <w:rsid w:val="00C21F75"/>
    <w:rsid w:val="00C21F80"/>
    <w:rsid w:val="00C21F91"/>
    <w:rsid w:val="00C21FA3"/>
    <w:rsid w:val="00C22052"/>
    <w:rsid w:val="00C220DC"/>
    <w:rsid w:val="00C220EE"/>
    <w:rsid w:val="00C22140"/>
    <w:rsid w:val="00C221C2"/>
    <w:rsid w:val="00C221D0"/>
    <w:rsid w:val="00C2221F"/>
    <w:rsid w:val="00C22226"/>
    <w:rsid w:val="00C2224C"/>
    <w:rsid w:val="00C22257"/>
    <w:rsid w:val="00C2225E"/>
    <w:rsid w:val="00C22285"/>
    <w:rsid w:val="00C222B3"/>
    <w:rsid w:val="00C222D1"/>
    <w:rsid w:val="00C222D2"/>
    <w:rsid w:val="00C222EB"/>
    <w:rsid w:val="00C222FB"/>
    <w:rsid w:val="00C223A9"/>
    <w:rsid w:val="00C2246A"/>
    <w:rsid w:val="00C224FC"/>
    <w:rsid w:val="00C2251F"/>
    <w:rsid w:val="00C22570"/>
    <w:rsid w:val="00C2259E"/>
    <w:rsid w:val="00C225D8"/>
    <w:rsid w:val="00C225EC"/>
    <w:rsid w:val="00C22637"/>
    <w:rsid w:val="00C2265D"/>
    <w:rsid w:val="00C22685"/>
    <w:rsid w:val="00C226DE"/>
    <w:rsid w:val="00C226E2"/>
    <w:rsid w:val="00C2270D"/>
    <w:rsid w:val="00C2274A"/>
    <w:rsid w:val="00C2275C"/>
    <w:rsid w:val="00C22790"/>
    <w:rsid w:val="00C227D4"/>
    <w:rsid w:val="00C227E6"/>
    <w:rsid w:val="00C227F7"/>
    <w:rsid w:val="00C22879"/>
    <w:rsid w:val="00C22884"/>
    <w:rsid w:val="00C2288A"/>
    <w:rsid w:val="00C228A2"/>
    <w:rsid w:val="00C228D9"/>
    <w:rsid w:val="00C22A73"/>
    <w:rsid w:val="00C22AA8"/>
    <w:rsid w:val="00C22AAB"/>
    <w:rsid w:val="00C22AEA"/>
    <w:rsid w:val="00C22AF2"/>
    <w:rsid w:val="00C22B4C"/>
    <w:rsid w:val="00C22B68"/>
    <w:rsid w:val="00C22C2B"/>
    <w:rsid w:val="00C22C43"/>
    <w:rsid w:val="00C22C5A"/>
    <w:rsid w:val="00C22CE4"/>
    <w:rsid w:val="00C22D29"/>
    <w:rsid w:val="00C22D43"/>
    <w:rsid w:val="00C22DBE"/>
    <w:rsid w:val="00C22E4E"/>
    <w:rsid w:val="00C22EA2"/>
    <w:rsid w:val="00C22EC5"/>
    <w:rsid w:val="00C22F44"/>
    <w:rsid w:val="00C22F52"/>
    <w:rsid w:val="00C22F94"/>
    <w:rsid w:val="00C22FAB"/>
    <w:rsid w:val="00C2303B"/>
    <w:rsid w:val="00C23067"/>
    <w:rsid w:val="00C2308C"/>
    <w:rsid w:val="00C230E4"/>
    <w:rsid w:val="00C230EE"/>
    <w:rsid w:val="00C2310C"/>
    <w:rsid w:val="00C23123"/>
    <w:rsid w:val="00C23136"/>
    <w:rsid w:val="00C23154"/>
    <w:rsid w:val="00C23158"/>
    <w:rsid w:val="00C23276"/>
    <w:rsid w:val="00C232AB"/>
    <w:rsid w:val="00C232CE"/>
    <w:rsid w:val="00C2330C"/>
    <w:rsid w:val="00C2339A"/>
    <w:rsid w:val="00C233ED"/>
    <w:rsid w:val="00C233FF"/>
    <w:rsid w:val="00C23436"/>
    <w:rsid w:val="00C2346D"/>
    <w:rsid w:val="00C234F1"/>
    <w:rsid w:val="00C234F6"/>
    <w:rsid w:val="00C2351C"/>
    <w:rsid w:val="00C23538"/>
    <w:rsid w:val="00C23574"/>
    <w:rsid w:val="00C235A2"/>
    <w:rsid w:val="00C235C2"/>
    <w:rsid w:val="00C23611"/>
    <w:rsid w:val="00C23639"/>
    <w:rsid w:val="00C2363E"/>
    <w:rsid w:val="00C2364C"/>
    <w:rsid w:val="00C2364F"/>
    <w:rsid w:val="00C23656"/>
    <w:rsid w:val="00C2369F"/>
    <w:rsid w:val="00C236E5"/>
    <w:rsid w:val="00C23736"/>
    <w:rsid w:val="00C23745"/>
    <w:rsid w:val="00C2377D"/>
    <w:rsid w:val="00C237E0"/>
    <w:rsid w:val="00C23920"/>
    <w:rsid w:val="00C2392E"/>
    <w:rsid w:val="00C2393E"/>
    <w:rsid w:val="00C23960"/>
    <w:rsid w:val="00C23974"/>
    <w:rsid w:val="00C23994"/>
    <w:rsid w:val="00C23A9F"/>
    <w:rsid w:val="00C23AAF"/>
    <w:rsid w:val="00C23AC7"/>
    <w:rsid w:val="00C23B00"/>
    <w:rsid w:val="00C23B22"/>
    <w:rsid w:val="00C23BB8"/>
    <w:rsid w:val="00C23C3D"/>
    <w:rsid w:val="00C23C61"/>
    <w:rsid w:val="00C23C70"/>
    <w:rsid w:val="00C23CA3"/>
    <w:rsid w:val="00C23CAB"/>
    <w:rsid w:val="00C23D09"/>
    <w:rsid w:val="00C23D15"/>
    <w:rsid w:val="00C23D9B"/>
    <w:rsid w:val="00C23DB3"/>
    <w:rsid w:val="00C23DD9"/>
    <w:rsid w:val="00C23E0F"/>
    <w:rsid w:val="00C23E3F"/>
    <w:rsid w:val="00C23E78"/>
    <w:rsid w:val="00C23EDB"/>
    <w:rsid w:val="00C23F56"/>
    <w:rsid w:val="00C23FAF"/>
    <w:rsid w:val="00C23FB6"/>
    <w:rsid w:val="00C23FEB"/>
    <w:rsid w:val="00C24036"/>
    <w:rsid w:val="00C24045"/>
    <w:rsid w:val="00C2406E"/>
    <w:rsid w:val="00C2408D"/>
    <w:rsid w:val="00C2412C"/>
    <w:rsid w:val="00C24163"/>
    <w:rsid w:val="00C241E8"/>
    <w:rsid w:val="00C24216"/>
    <w:rsid w:val="00C242AF"/>
    <w:rsid w:val="00C242BD"/>
    <w:rsid w:val="00C242D0"/>
    <w:rsid w:val="00C242D6"/>
    <w:rsid w:val="00C242E0"/>
    <w:rsid w:val="00C242E2"/>
    <w:rsid w:val="00C2430C"/>
    <w:rsid w:val="00C24340"/>
    <w:rsid w:val="00C243C9"/>
    <w:rsid w:val="00C24416"/>
    <w:rsid w:val="00C244B4"/>
    <w:rsid w:val="00C244DF"/>
    <w:rsid w:val="00C24534"/>
    <w:rsid w:val="00C2454D"/>
    <w:rsid w:val="00C2459F"/>
    <w:rsid w:val="00C245DD"/>
    <w:rsid w:val="00C24688"/>
    <w:rsid w:val="00C246EB"/>
    <w:rsid w:val="00C24787"/>
    <w:rsid w:val="00C24790"/>
    <w:rsid w:val="00C24797"/>
    <w:rsid w:val="00C247E1"/>
    <w:rsid w:val="00C24804"/>
    <w:rsid w:val="00C24830"/>
    <w:rsid w:val="00C24833"/>
    <w:rsid w:val="00C24859"/>
    <w:rsid w:val="00C24889"/>
    <w:rsid w:val="00C248D4"/>
    <w:rsid w:val="00C2490A"/>
    <w:rsid w:val="00C24976"/>
    <w:rsid w:val="00C24998"/>
    <w:rsid w:val="00C249A8"/>
    <w:rsid w:val="00C249B7"/>
    <w:rsid w:val="00C24A52"/>
    <w:rsid w:val="00C24B03"/>
    <w:rsid w:val="00C24B36"/>
    <w:rsid w:val="00C24B43"/>
    <w:rsid w:val="00C24B77"/>
    <w:rsid w:val="00C24BC9"/>
    <w:rsid w:val="00C24BCC"/>
    <w:rsid w:val="00C24C0E"/>
    <w:rsid w:val="00C24C20"/>
    <w:rsid w:val="00C24C44"/>
    <w:rsid w:val="00C24C9A"/>
    <w:rsid w:val="00C24CA4"/>
    <w:rsid w:val="00C24CD4"/>
    <w:rsid w:val="00C24D26"/>
    <w:rsid w:val="00C24D98"/>
    <w:rsid w:val="00C24DBE"/>
    <w:rsid w:val="00C24DE2"/>
    <w:rsid w:val="00C24E1D"/>
    <w:rsid w:val="00C24E54"/>
    <w:rsid w:val="00C24E6D"/>
    <w:rsid w:val="00C24EA7"/>
    <w:rsid w:val="00C24EDD"/>
    <w:rsid w:val="00C24F1F"/>
    <w:rsid w:val="00C24F3D"/>
    <w:rsid w:val="00C24F5C"/>
    <w:rsid w:val="00C24F7C"/>
    <w:rsid w:val="00C24F9B"/>
    <w:rsid w:val="00C24FC1"/>
    <w:rsid w:val="00C2504F"/>
    <w:rsid w:val="00C2506A"/>
    <w:rsid w:val="00C250A9"/>
    <w:rsid w:val="00C250AF"/>
    <w:rsid w:val="00C2511D"/>
    <w:rsid w:val="00C2513B"/>
    <w:rsid w:val="00C25196"/>
    <w:rsid w:val="00C251E9"/>
    <w:rsid w:val="00C25205"/>
    <w:rsid w:val="00C252A0"/>
    <w:rsid w:val="00C25322"/>
    <w:rsid w:val="00C253C7"/>
    <w:rsid w:val="00C253D6"/>
    <w:rsid w:val="00C253DB"/>
    <w:rsid w:val="00C253FE"/>
    <w:rsid w:val="00C25417"/>
    <w:rsid w:val="00C2548D"/>
    <w:rsid w:val="00C25520"/>
    <w:rsid w:val="00C25550"/>
    <w:rsid w:val="00C2556D"/>
    <w:rsid w:val="00C2566F"/>
    <w:rsid w:val="00C2568D"/>
    <w:rsid w:val="00C2569D"/>
    <w:rsid w:val="00C256C2"/>
    <w:rsid w:val="00C256C8"/>
    <w:rsid w:val="00C256EA"/>
    <w:rsid w:val="00C256F8"/>
    <w:rsid w:val="00C2580E"/>
    <w:rsid w:val="00C258AA"/>
    <w:rsid w:val="00C258AB"/>
    <w:rsid w:val="00C25920"/>
    <w:rsid w:val="00C2592F"/>
    <w:rsid w:val="00C25954"/>
    <w:rsid w:val="00C2596A"/>
    <w:rsid w:val="00C25971"/>
    <w:rsid w:val="00C25975"/>
    <w:rsid w:val="00C2597B"/>
    <w:rsid w:val="00C2598D"/>
    <w:rsid w:val="00C25A27"/>
    <w:rsid w:val="00C25A2E"/>
    <w:rsid w:val="00C25A4E"/>
    <w:rsid w:val="00C25A56"/>
    <w:rsid w:val="00C25A88"/>
    <w:rsid w:val="00C25AC7"/>
    <w:rsid w:val="00C25B0A"/>
    <w:rsid w:val="00C25B3D"/>
    <w:rsid w:val="00C25BA3"/>
    <w:rsid w:val="00C25BB0"/>
    <w:rsid w:val="00C25C32"/>
    <w:rsid w:val="00C25C77"/>
    <w:rsid w:val="00C25D28"/>
    <w:rsid w:val="00C25D33"/>
    <w:rsid w:val="00C25D7E"/>
    <w:rsid w:val="00C25DA7"/>
    <w:rsid w:val="00C25DE9"/>
    <w:rsid w:val="00C25EAC"/>
    <w:rsid w:val="00C25EB9"/>
    <w:rsid w:val="00C25F7F"/>
    <w:rsid w:val="00C25F96"/>
    <w:rsid w:val="00C25FB4"/>
    <w:rsid w:val="00C25FC7"/>
    <w:rsid w:val="00C25FE5"/>
    <w:rsid w:val="00C25FED"/>
    <w:rsid w:val="00C2601B"/>
    <w:rsid w:val="00C260A3"/>
    <w:rsid w:val="00C260E4"/>
    <w:rsid w:val="00C260EE"/>
    <w:rsid w:val="00C26157"/>
    <w:rsid w:val="00C2615D"/>
    <w:rsid w:val="00C261DA"/>
    <w:rsid w:val="00C26200"/>
    <w:rsid w:val="00C26216"/>
    <w:rsid w:val="00C262B2"/>
    <w:rsid w:val="00C262BC"/>
    <w:rsid w:val="00C262FA"/>
    <w:rsid w:val="00C262FB"/>
    <w:rsid w:val="00C2630A"/>
    <w:rsid w:val="00C26372"/>
    <w:rsid w:val="00C26420"/>
    <w:rsid w:val="00C2645A"/>
    <w:rsid w:val="00C26481"/>
    <w:rsid w:val="00C2650F"/>
    <w:rsid w:val="00C2654E"/>
    <w:rsid w:val="00C2656B"/>
    <w:rsid w:val="00C265A6"/>
    <w:rsid w:val="00C265F3"/>
    <w:rsid w:val="00C2660A"/>
    <w:rsid w:val="00C2665B"/>
    <w:rsid w:val="00C266F6"/>
    <w:rsid w:val="00C26702"/>
    <w:rsid w:val="00C26734"/>
    <w:rsid w:val="00C26784"/>
    <w:rsid w:val="00C26799"/>
    <w:rsid w:val="00C267AF"/>
    <w:rsid w:val="00C267D2"/>
    <w:rsid w:val="00C267DE"/>
    <w:rsid w:val="00C26852"/>
    <w:rsid w:val="00C2686E"/>
    <w:rsid w:val="00C2686F"/>
    <w:rsid w:val="00C2691A"/>
    <w:rsid w:val="00C26934"/>
    <w:rsid w:val="00C2693C"/>
    <w:rsid w:val="00C26953"/>
    <w:rsid w:val="00C2696A"/>
    <w:rsid w:val="00C26984"/>
    <w:rsid w:val="00C269A2"/>
    <w:rsid w:val="00C269C8"/>
    <w:rsid w:val="00C269DA"/>
    <w:rsid w:val="00C269E3"/>
    <w:rsid w:val="00C26A07"/>
    <w:rsid w:val="00C26A46"/>
    <w:rsid w:val="00C26AB2"/>
    <w:rsid w:val="00C26AE9"/>
    <w:rsid w:val="00C26BC8"/>
    <w:rsid w:val="00C26C99"/>
    <w:rsid w:val="00C26CD3"/>
    <w:rsid w:val="00C26CE1"/>
    <w:rsid w:val="00C26D6B"/>
    <w:rsid w:val="00C26D6D"/>
    <w:rsid w:val="00C26D75"/>
    <w:rsid w:val="00C26D8E"/>
    <w:rsid w:val="00C26D8F"/>
    <w:rsid w:val="00C26D9B"/>
    <w:rsid w:val="00C26E01"/>
    <w:rsid w:val="00C26E23"/>
    <w:rsid w:val="00C26E6A"/>
    <w:rsid w:val="00C26E78"/>
    <w:rsid w:val="00C26E92"/>
    <w:rsid w:val="00C26EB2"/>
    <w:rsid w:val="00C26ED5"/>
    <w:rsid w:val="00C26F38"/>
    <w:rsid w:val="00C26FDB"/>
    <w:rsid w:val="00C26FE1"/>
    <w:rsid w:val="00C2703F"/>
    <w:rsid w:val="00C27041"/>
    <w:rsid w:val="00C2711B"/>
    <w:rsid w:val="00C27190"/>
    <w:rsid w:val="00C271E7"/>
    <w:rsid w:val="00C27236"/>
    <w:rsid w:val="00C2724E"/>
    <w:rsid w:val="00C27264"/>
    <w:rsid w:val="00C27294"/>
    <w:rsid w:val="00C272D9"/>
    <w:rsid w:val="00C272DE"/>
    <w:rsid w:val="00C27311"/>
    <w:rsid w:val="00C2736C"/>
    <w:rsid w:val="00C273B5"/>
    <w:rsid w:val="00C273B6"/>
    <w:rsid w:val="00C273C1"/>
    <w:rsid w:val="00C273CC"/>
    <w:rsid w:val="00C2747B"/>
    <w:rsid w:val="00C2748C"/>
    <w:rsid w:val="00C27494"/>
    <w:rsid w:val="00C274A1"/>
    <w:rsid w:val="00C274E6"/>
    <w:rsid w:val="00C27521"/>
    <w:rsid w:val="00C2752F"/>
    <w:rsid w:val="00C2753E"/>
    <w:rsid w:val="00C27541"/>
    <w:rsid w:val="00C2756A"/>
    <w:rsid w:val="00C27579"/>
    <w:rsid w:val="00C275CF"/>
    <w:rsid w:val="00C275DD"/>
    <w:rsid w:val="00C27616"/>
    <w:rsid w:val="00C27654"/>
    <w:rsid w:val="00C2766A"/>
    <w:rsid w:val="00C276B2"/>
    <w:rsid w:val="00C276C1"/>
    <w:rsid w:val="00C27752"/>
    <w:rsid w:val="00C2779C"/>
    <w:rsid w:val="00C277C3"/>
    <w:rsid w:val="00C2781E"/>
    <w:rsid w:val="00C27852"/>
    <w:rsid w:val="00C2785F"/>
    <w:rsid w:val="00C278D8"/>
    <w:rsid w:val="00C27994"/>
    <w:rsid w:val="00C279B9"/>
    <w:rsid w:val="00C279C9"/>
    <w:rsid w:val="00C27A65"/>
    <w:rsid w:val="00C27A74"/>
    <w:rsid w:val="00C27A7A"/>
    <w:rsid w:val="00C27A9D"/>
    <w:rsid w:val="00C27A9F"/>
    <w:rsid w:val="00C27AA5"/>
    <w:rsid w:val="00C27ACC"/>
    <w:rsid w:val="00C27B0E"/>
    <w:rsid w:val="00C27B18"/>
    <w:rsid w:val="00C27B6F"/>
    <w:rsid w:val="00C27B93"/>
    <w:rsid w:val="00C27C38"/>
    <w:rsid w:val="00C27CC1"/>
    <w:rsid w:val="00C27D72"/>
    <w:rsid w:val="00C27D74"/>
    <w:rsid w:val="00C27D87"/>
    <w:rsid w:val="00C27D8C"/>
    <w:rsid w:val="00C27D9E"/>
    <w:rsid w:val="00C27DEC"/>
    <w:rsid w:val="00C27DF3"/>
    <w:rsid w:val="00C27E36"/>
    <w:rsid w:val="00C27E38"/>
    <w:rsid w:val="00C27E48"/>
    <w:rsid w:val="00C27E5D"/>
    <w:rsid w:val="00C27E60"/>
    <w:rsid w:val="00C27E85"/>
    <w:rsid w:val="00C27ED7"/>
    <w:rsid w:val="00C27F03"/>
    <w:rsid w:val="00C27F51"/>
    <w:rsid w:val="00C27FCE"/>
    <w:rsid w:val="00C3001C"/>
    <w:rsid w:val="00C30069"/>
    <w:rsid w:val="00C3012D"/>
    <w:rsid w:val="00C301A1"/>
    <w:rsid w:val="00C301F7"/>
    <w:rsid w:val="00C30200"/>
    <w:rsid w:val="00C30278"/>
    <w:rsid w:val="00C302C9"/>
    <w:rsid w:val="00C302D4"/>
    <w:rsid w:val="00C302FB"/>
    <w:rsid w:val="00C303EA"/>
    <w:rsid w:val="00C30480"/>
    <w:rsid w:val="00C304B6"/>
    <w:rsid w:val="00C304C6"/>
    <w:rsid w:val="00C304D3"/>
    <w:rsid w:val="00C30570"/>
    <w:rsid w:val="00C305FF"/>
    <w:rsid w:val="00C30613"/>
    <w:rsid w:val="00C3063B"/>
    <w:rsid w:val="00C30679"/>
    <w:rsid w:val="00C306F1"/>
    <w:rsid w:val="00C306F3"/>
    <w:rsid w:val="00C30717"/>
    <w:rsid w:val="00C3074B"/>
    <w:rsid w:val="00C30757"/>
    <w:rsid w:val="00C307F9"/>
    <w:rsid w:val="00C30818"/>
    <w:rsid w:val="00C30830"/>
    <w:rsid w:val="00C308E2"/>
    <w:rsid w:val="00C30906"/>
    <w:rsid w:val="00C3090C"/>
    <w:rsid w:val="00C30956"/>
    <w:rsid w:val="00C30964"/>
    <w:rsid w:val="00C30971"/>
    <w:rsid w:val="00C309C5"/>
    <w:rsid w:val="00C309DA"/>
    <w:rsid w:val="00C309E3"/>
    <w:rsid w:val="00C30A2A"/>
    <w:rsid w:val="00C30A74"/>
    <w:rsid w:val="00C30A77"/>
    <w:rsid w:val="00C30ABD"/>
    <w:rsid w:val="00C30AE2"/>
    <w:rsid w:val="00C30AF7"/>
    <w:rsid w:val="00C30B02"/>
    <w:rsid w:val="00C30B7E"/>
    <w:rsid w:val="00C30BD3"/>
    <w:rsid w:val="00C30BDE"/>
    <w:rsid w:val="00C30C4D"/>
    <w:rsid w:val="00C30C52"/>
    <w:rsid w:val="00C30C55"/>
    <w:rsid w:val="00C30D6C"/>
    <w:rsid w:val="00C30D7B"/>
    <w:rsid w:val="00C30DFE"/>
    <w:rsid w:val="00C30E04"/>
    <w:rsid w:val="00C30E81"/>
    <w:rsid w:val="00C30F0A"/>
    <w:rsid w:val="00C30F24"/>
    <w:rsid w:val="00C30F31"/>
    <w:rsid w:val="00C30FDC"/>
    <w:rsid w:val="00C3100B"/>
    <w:rsid w:val="00C3105B"/>
    <w:rsid w:val="00C31071"/>
    <w:rsid w:val="00C31083"/>
    <w:rsid w:val="00C31209"/>
    <w:rsid w:val="00C3121A"/>
    <w:rsid w:val="00C3121E"/>
    <w:rsid w:val="00C31255"/>
    <w:rsid w:val="00C312F1"/>
    <w:rsid w:val="00C31321"/>
    <w:rsid w:val="00C31330"/>
    <w:rsid w:val="00C3133F"/>
    <w:rsid w:val="00C31390"/>
    <w:rsid w:val="00C313AD"/>
    <w:rsid w:val="00C313DB"/>
    <w:rsid w:val="00C313E6"/>
    <w:rsid w:val="00C313FF"/>
    <w:rsid w:val="00C31482"/>
    <w:rsid w:val="00C3149D"/>
    <w:rsid w:val="00C31502"/>
    <w:rsid w:val="00C31529"/>
    <w:rsid w:val="00C31601"/>
    <w:rsid w:val="00C31648"/>
    <w:rsid w:val="00C31664"/>
    <w:rsid w:val="00C31668"/>
    <w:rsid w:val="00C316C6"/>
    <w:rsid w:val="00C316FA"/>
    <w:rsid w:val="00C31727"/>
    <w:rsid w:val="00C31781"/>
    <w:rsid w:val="00C3178B"/>
    <w:rsid w:val="00C317D4"/>
    <w:rsid w:val="00C317F7"/>
    <w:rsid w:val="00C3180E"/>
    <w:rsid w:val="00C31833"/>
    <w:rsid w:val="00C31840"/>
    <w:rsid w:val="00C3184B"/>
    <w:rsid w:val="00C318A9"/>
    <w:rsid w:val="00C318FD"/>
    <w:rsid w:val="00C31A7F"/>
    <w:rsid w:val="00C31A87"/>
    <w:rsid w:val="00C31B42"/>
    <w:rsid w:val="00C31B45"/>
    <w:rsid w:val="00C31B4A"/>
    <w:rsid w:val="00C31B89"/>
    <w:rsid w:val="00C31BF1"/>
    <w:rsid w:val="00C31CA1"/>
    <w:rsid w:val="00C31CAB"/>
    <w:rsid w:val="00C31CCE"/>
    <w:rsid w:val="00C31CF6"/>
    <w:rsid w:val="00C31D34"/>
    <w:rsid w:val="00C31DA7"/>
    <w:rsid w:val="00C31DBF"/>
    <w:rsid w:val="00C31DCA"/>
    <w:rsid w:val="00C31DD2"/>
    <w:rsid w:val="00C31DDC"/>
    <w:rsid w:val="00C31DEC"/>
    <w:rsid w:val="00C31E50"/>
    <w:rsid w:val="00C31E55"/>
    <w:rsid w:val="00C31EC6"/>
    <w:rsid w:val="00C31ECA"/>
    <w:rsid w:val="00C31FBA"/>
    <w:rsid w:val="00C31FE2"/>
    <w:rsid w:val="00C3204A"/>
    <w:rsid w:val="00C32096"/>
    <w:rsid w:val="00C320A5"/>
    <w:rsid w:val="00C320EC"/>
    <w:rsid w:val="00C320F8"/>
    <w:rsid w:val="00C32118"/>
    <w:rsid w:val="00C32137"/>
    <w:rsid w:val="00C3215C"/>
    <w:rsid w:val="00C32166"/>
    <w:rsid w:val="00C321EF"/>
    <w:rsid w:val="00C321FE"/>
    <w:rsid w:val="00C3223C"/>
    <w:rsid w:val="00C32260"/>
    <w:rsid w:val="00C322AC"/>
    <w:rsid w:val="00C3230A"/>
    <w:rsid w:val="00C32383"/>
    <w:rsid w:val="00C3238E"/>
    <w:rsid w:val="00C32391"/>
    <w:rsid w:val="00C323FF"/>
    <w:rsid w:val="00C32413"/>
    <w:rsid w:val="00C32426"/>
    <w:rsid w:val="00C32478"/>
    <w:rsid w:val="00C324A8"/>
    <w:rsid w:val="00C324AF"/>
    <w:rsid w:val="00C3252F"/>
    <w:rsid w:val="00C32590"/>
    <w:rsid w:val="00C32599"/>
    <w:rsid w:val="00C32621"/>
    <w:rsid w:val="00C3265D"/>
    <w:rsid w:val="00C3269D"/>
    <w:rsid w:val="00C326B0"/>
    <w:rsid w:val="00C326E5"/>
    <w:rsid w:val="00C3274D"/>
    <w:rsid w:val="00C32774"/>
    <w:rsid w:val="00C327CE"/>
    <w:rsid w:val="00C327D0"/>
    <w:rsid w:val="00C3286A"/>
    <w:rsid w:val="00C328BC"/>
    <w:rsid w:val="00C328E1"/>
    <w:rsid w:val="00C32949"/>
    <w:rsid w:val="00C32954"/>
    <w:rsid w:val="00C32960"/>
    <w:rsid w:val="00C3298E"/>
    <w:rsid w:val="00C329A6"/>
    <w:rsid w:val="00C329D6"/>
    <w:rsid w:val="00C32A2B"/>
    <w:rsid w:val="00C32A2C"/>
    <w:rsid w:val="00C32AE9"/>
    <w:rsid w:val="00C32B1D"/>
    <w:rsid w:val="00C32B69"/>
    <w:rsid w:val="00C32B73"/>
    <w:rsid w:val="00C32BED"/>
    <w:rsid w:val="00C32BEF"/>
    <w:rsid w:val="00C32C23"/>
    <w:rsid w:val="00C32C4C"/>
    <w:rsid w:val="00C32C65"/>
    <w:rsid w:val="00C32C8D"/>
    <w:rsid w:val="00C32C91"/>
    <w:rsid w:val="00C32CC8"/>
    <w:rsid w:val="00C32CF7"/>
    <w:rsid w:val="00C32D1C"/>
    <w:rsid w:val="00C32DAC"/>
    <w:rsid w:val="00C32DD9"/>
    <w:rsid w:val="00C32DF2"/>
    <w:rsid w:val="00C32E11"/>
    <w:rsid w:val="00C32E13"/>
    <w:rsid w:val="00C32E1D"/>
    <w:rsid w:val="00C32E5E"/>
    <w:rsid w:val="00C32F45"/>
    <w:rsid w:val="00C32F6A"/>
    <w:rsid w:val="00C32FC2"/>
    <w:rsid w:val="00C32FCD"/>
    <w:rsid w:val="00C32FEE"/>
    <w:rsid w:val="00C33009"/>
    <w:rsid w:val="00C330A5"/>
    <w:rsid w:val="00C330A8"/>
    <w:rsid w:val="00C330AD"/>
    <w:rsid w:val="00C330B2"/>
    <w:rsid w:val="00C330DB"/>
    <w:rsid w:val="00C33173"/>
    <w:rsid w:val="00C33178"/>
    <w:rsid w:val="00C3317C"/>
    <w:rsid w:val="00C331AB"/>
    <w:rsid w:val="00C3323E"/>
    <w:rsid w:val="00C332A8"/>
    <w:rsid w:val="00C3339F"/>
    <w:rsid w:val="00C333C3"/>
    <w:rsid w:val="00C333F6"/>
    <w:rsid w:val="00C33400"/>
    <w:rsid w:val="00C33429"/>
    <w:rsid w:val="00C33444"/>
    <w:rsid w:val="00C3349B"/>
    <w:rsid w:val="00C334F6"/>
    <w:rsid w:val="00C33508"/>
    <w:rsid w:val="00C33519"/>
    <w:rsid w:val="00C33534"/>
    <w:rsid w:val="00C33639"/>
    <w:rsid w:val="00C33647"/>
    <w:rsid w:val="00C33650"/>
    <w:rsid w:val="00C33663"/>
    <w:rsid w:val="00C336EA"/>
    <w:rsid w:val="00C3371F"/>
    <w:rsid w:val="00C3373D"/>
    <w:rsid w:val="00C3381E"/>
    <w:rsid w:val="00C3385A"/>
    <w:rsid w:val="00C338FD"/>
    <w:rsid w:val="00C33908"/>
    <w:rsid w:val="00C3391F"/>
    <w:rsid w:val="00C3395E"/>
    <w:rsid w:val="00C33975"/>
    <w:rsid w:val="00C33990"/>
    <w:rsid w:val="00C339C2"/>
    <w:rsid w:val="00C33AB4"/>
    <w:rsid w:val="00C33AC5"/>
    <w:rsid w:val="00C33B20"/>
    <w:rsid w:val="00C33B3F"/>
    <w:rsid w:val="00C33B64"/>
    <w:rsid w:val="00C33B80"/>
    <w:rsid w:val="00C33B82"/>
    <w:rsid w:val="00C33B86"/>
    <w:rsid w:val="00C33BB7"/>
    <w:rsid w:val="00C33BE4"/>
    <w:rsid w:val="00C33BEE"/>
    <w:rsid w:val="00C33C1A"/>
    <w:rsid w:val="00C33C4A"/>
    <w:rsid w:val="00C33C7E"/>
    <w:rsid w:val="00C33DD1"/>
    <w:rsid w:val="00C33E45"/>
    <w:rsid w:val="00C33E73"/>
    <w:rsid w:val="00C33EF7"/>
    <w:rsid w:val="00C33F94"/>
    <w:rsid w:val="00C33FB5"/>
    <w:rsid w:val="00C33FDD"/>
    <w:rsid w:val="00C34002"/>
    <w:rsid w:val="00C34059"/>
    <w:rsid w:val="00C3406D"/>
    <w:rsid w:val="00C3409B"/>
    <w:rsid w:val="00C340EC"/>
    <w:rsid w:val="00C34118"/>
    <w:rsid w:val="00C34129"/>
    <w:rsid w:val="00C34133"/>
    <w:rsid w:val="00C34141"/>
    <w:rsid w:val="00C34191"/>
    <w:rsid w:val="00C34237"/>
    <w:rsid w:val="00C342AC"/>
    <w:rsid w:val="00C34381"/>
    <w:rsid w:val="00C343CB"/>
    <w:rsid w:val="00C343DA"/>
    <w:rsid w:val="00C343F7"/>
    <w:rsid w:val="00C34408"/>
    <w:rsid w:val="00C34410"/>
    <w:rsid w:val="00C3447A"/>
    <w:rsid w:val="00C34489"/>
    <w:rsid w:val="00C344BD"/>
    <w:rsid w:val="00C344C5"/>
    <w:rsid w:val="00C34516"/>
    <w:rsid w:val="00C34547"/>
    <w:rsid w:val="00C34555"/>
    <w:rsid w:val="00C3455E"/>
    <w:rsid w:val="00C345D7"/>
    <w:rsid w:val="00C345E4"/>
    <w:rsid w:val="00C345EC"/>
    <w:rsid w:val="00C345F4"/>
    <w:rsid w:val="00C34648"/>
    <w:rsid w:val="00C34665"/>
    <w:rsid w:val="00C34690"/>
    <w:rsid w:val="00C346F4"/>
    <w:rsid w:val="00C34741"/>
    <w:rsid w:val="00C3475B"/>
    <w:rsid w:val="00C34829"/>
    <w:rsid w:val="00C34868"/>
    <w:rsid w:val="00C348C3"/>
    <w:rsid w:val="00C348CE"/>
    <w:rsid w:val="00C348DD"/>
    <w:rsid w:val="00C34926"/>
    <w:rsid w:val="00C34939"/>
    <w:rsid w:val="00C3496A"/>
    <w:rsid w:val="00C34970"/>
    <w:rsid w:val="00C349CA"/>
    <w:rsid w:val="00C349CB"/>
    <w:rsid w:val="00C349D5"/>
    <w:rsid w:val="00C349F6"/>
    <w:rsid w:val="00C34A1F"/>
    <w:rsid w:val="00C34A30"/>
    <w:rsid w:val="00C34A36"/>
    <w:rsid w:val="00C34A79"/>
    <w:rsid w:val="00C34A86"/>
    <w:rsid w:val="00C34B0B"/>
    <w:rsid w:val="00C34B13"/>
    <w:rsid w:val="00C34BB9"/>
    <w:rsid w:val="00C34BC8"/>
    <w:rsid w:val="00C34C46"/>
    <w:rsid w:val="00C34C70"/>
    <w:rsid w:val="00C34C78"/>
    <w:rsid w:val="00C34CC6"/>
    <w:rsid w:val="00C34CD2"/>
    <w:rsid w:val="00C34CF2"/>
    <w:rsid w:val="00C34CF3"/>
    <w:rsid w:val="00C34CF6"/>
    <w:rsid w:val="00C34D94"/>
    <w:rsid w:val="00C34DAA"/>
    <w:rsid w:val="00C34E00"/>
    <w:rsid w:val="00C34E47"/>
    <w:rsid w:val="00C34E4C"/>
    <w:rsid w:val="00C34E6E"/>
    <w:rsid w:val="00C34F1C"/>
    <w:rsid w:val="00C34F27"/>
    <w:rsid w:val="00C34F33"/>
    <w:rsid w:val="00C34F6C"/>
    <w:rsid w:val="00C34F7B"/>
    <w:rsid w:val="00C34FBF"/>
    <w:rsid w:val="00C350CD"/>
    <w:rsid w:val="00C35136"/>
    <w:rsid w:val="00C3518C"/>
    <w:rsid w:val="00C351A6"/>
    <w:rsid w:val="00C351C1"/>
    <w:rsid w:val="00C351FA"/>
    <w:rsid w:val="00C35262"/>
    <w:rsid w:val="00C35286"/>
    <w:rsid w:val="00C352F7"/>
    <w:rsid w:val="00C35324"/>
    <w:rsid w:val="00C3537C"/>
    <w:rsid w:val="00C353E9"/>
    <w:rsid w:val="00C353ED"/>
    <w:rsid w:val="00C35453"/>
    <w:rsid w:val="00C354A3"/>
    <w:rsid w:val="00C354E0"/>
    <w:rsid w:val="00C355CE"/>
    <w:rsid w:val="00C35604"/>
    <w:rsid w:val="00C35674"/>
    <w:rsid w:val="00C35747"/>
    <w:rsid w:val="00C35780"/>
    <w:rsid w:val="00C357DF"/>
    <w:rsid w:val="00C3581A"/>
    <w:rsid w:val="00C35827"/>
    <w:rsid w:val="00C3584F"/>
    <w:rsid w:val="00C3586C"/>
    <w:rsid w:val="00C3589B"/>
    <w:rsid w:val="00C358E6"/>
    <w:rsid w:val="00C358FF"/>
    <w:rsid w:val="00C3591B"/>
    <w:rsid w:val="00C35971"/>
    <w:rsid w:val="00C359CA"/>
    <w:rsid w:val="00C359E0"/>
    <w:rsid w:val="00C359E1"/>
    <w:rsid w:val="00C35A94"/>
    <w:rsid w:val="00C35AC8"/>
    <w:rsid w:val="00C35AEE"/>
    <w:rsid w:val="00C35B20"/>
    <w:rsid w:val="00C35B3A"/>
    <w:rsid w:val="00C35B3D"/>
    <w:rsid w:val="00C35B63"/>
    <w:rsid w:val="00C35BD2"/>
    <w:rsid w:val="00C35BF1"/>
    <w:rsid w:val="00C35C61"/>
    <w:rsid w:val="00C35C92"/>
    <w:rsid w:val="00C35DA5"/>
    <w:rsid w:val="00C35DED"/>
    <w:rsid w:val="00C35E0C"/>
    <w:rsid w:val="00C35F1D"/>
    <w:rsid w:val="00C35F59"/>
    <w:rsid w:val="00C35FEA"/>
    <w:rsid w:val="00C35FEE"/>
    <w:rsid w:val="00C36030"/>
    <w:rsid w:val="00C36071"/>
    <w:rsid w:val="00C36082"/>
    <w:rsid w:val="00C360DC"/>
    <w:rsid w:val="00C3612E"/>
    <w:rsid w:val="00C361ED"/>
    <w:rsid w:val="00C36223"/>
    <w:rsid w:val="00C3623A"/>
    <w:rsid w:val="00C36268"/>
    <w:rsid w:val="00C36275"/>
    <w:rsid w:val="00C362A1"/>
    <w:rsid w:val="00C362EA"/>
    <w:rsid w:val="00C3633A"/>
    <w:rsid w:val="00C3635F"/>
    <w:rsid w:val="00C363BE"/>
    <w:rsid w:val="00C363CC"/>
    <w:rsid w:val="00C363F5"/>
    <w:rsid w:val="00C363FE"/>
    <w:rsid w:val="00C36455"/>
    <w:rsid w:val="00C3649E"/>
    <w:rsid w:val="00C364DD"/>
    <w:rsid w:val="00C3658F"/>
    <w:rsid w:val="00C3659F"/>
    <w:rsid w:val="00C36600"/>
    <w:rsid w:val="00C36663"/>
    <w:rsid w:val="00C36692"/>
    <w:rsid w:val="00C366BD"/>
    <w:rsid w:val="00C366CF"/>
    <w:rsid w:val="00C366E5"/>
    <w:rsid w:val="00C366FB"/>
    <w:rsid w:val="00C36701"/>
    <w:rsid w:val="00C367AD"/>
    <w:rsid w:val="00C367DC"/>
    <w:rsid w:val="00C367FA"/>
    <w:rsid w:val="00C36816"/>
    <w:rsid w:val="00C36819"/>
    <w:rsid w:val="00C3685E"/>
    <w:rsid w:val="00C368AA"/>
    <w:rsid w:val="00C368D8"/>
    <w:rsid w:val="00C368FC"/>
    <w:rsid w:val="00C36925"/>
    <w:rsid w:val="00C369BB"/>
    <w:rsid w:val="00C369EC"/>
    <w:rsid w:val="00C36A70"/>
    <w:rsid w:val="00C36A7B"/>
    <w:rsid w:val="00C36AAA"/>
    <w:rsid w:val="00C36B01"/>
    <w:rsid w:val="00C36B3A"/>
    <w:rsid w:val="00C36B3E"/>
    <w:rsid w:val="00C36B59"/>
    <w:rsid w:val="00C36B5A"/>
    <w:rsid w:val="00C36B90"/>
    <w:rsid w:val="00C36BDF"/>
    <w:rsid w:val="00C36C29"/>
    <w:rsid w:val="00C36C59"/>
    <w:rsid w:val="00C36C76"/>
    <w:rsid w:val="00C36C98"/>
    <w:rsid w:val="00C36CAE"/>
    <w:rsid w:val="00C36CF9"/>
    <w:rsid w:val="00C36D8F"/>
    <w:rsid w:val="00C36D93"/>
    <w:rsid w:val="00C36E11"/>
    <w:rsid w:val="00C36E15"/>
    <w:rsid w:val="00C36E23"/>
    <w:rsid w:val="00C36E42"/>
    <w:rsid w:val="00C36E79"/>
    <w:rsid w:val="00C36F22"/>
    <w:rsid w:val="00C36F69"/>
    <w:rsid w:val="00C36FE6"/>
    <w:rsid w:val="00C36FF5"/>
    <w:rsid w:val="00C37019"/>
    <w:rsid w:val="00C37038"/>
    <w:rsid w:val="00C37056"/>
    <w:rsid w:val="00C3705C"/>
    <w:rsid w:val="00C370AF"/>
    <w:rsid w:val="00C370F4"/>
    <w:rsid w:val="00C37165"/>
    <w:rsid w:val="00C37176"/>
    <w:rsid w:val="00C371DB"/>
    <w:rsid w:val="00C37203"/>
    <w:rsid w:val="00C37209"/>
    <w:rsid w:val="00C37315"/>
    <w:rsid w:val="00C3731D"/>
    <w:rsid w:val="00C37364"/>
    <w:rsid w:val="00C3741D"/>
    <w:rsid w:val="00C3749A"/>
    <w:rsid w:val="00C374A1"/>
    <w:rsid w:val="00C3750A"/>
    <w:rsid w:val="00C37591"/>
    <w:rsid w:val="00C37592"/>
    <w:rsid w:val="00C3759E"/>
    <w:rsid w:val="00C375D1"/>
    <w:rsid w:val="00C37612"/>
    <w:rsid w:val="00C37695"/>
    <w:rsid w:val="00C3769D"/>
    <w:rsid w:val="00C37737"/>
    <w:rsid w:val="00C3777B"/>
    <w:rsid w:val="00C3778A"/>
    <w:rsid w:val="00C377CE"/>
    <w:rsid w:val="00C377E5"/>
    <w:rsid w:val="00C377FA"/>
    <w:rsid w:val="00C3786A"/>
    <w:rsid w:val="00C37885"/>
    <w:rsid w:val="00C37889"/>
    <w:rsid w:val="00C378C9"/>
    <w:rsid w:val="00C378EC"/>
    <w:rsid w:val="00C37986"/>
    <w:rsid w:val="00C379C5"/>
    <w:rsid w:val="00C379EE"/>
    <w:rsid w:val="00C37A19"/>
    <w:rsid w:val="00C37A6B"/>
    <w:rsid w:val="00C37AC2"/>
    <w:rsid w:val="00C37AE1"/>
    <w:rsid w:val="00C37B0A"/>
    <w:rsid w:val="00C37B30"/>
    <w:rsid w:val="00C37BD8"/>
    <w:rsid w:val="00C37BF4"/>
    <w:rsid w:val="00C37C76"/>
    <w:rsid w:val="00C37C92"/>
    <w:rsid w:val="00C37CA9"/>
    <w:rsid w:val="00C37D38"/>
    <w:rsid w:val="00C37D84"/>
    <w:rsid w:val="00C37DBB"/>
    <w:rsid w:val="00C37DBF"/>
    <w:rsid w:val="00C37DDE"/>
    <w:rsid w:val="00C37F08"/>
    <w:rsid w:val="00C37F10"/>
    <w:rsid w:val="00C37F1D"/>
    <w:rsid w:val="00C40015"/>
    <w:rsid w:val="00C4001C"/>
    <w:rsid w:val="00C4005A"/>
    <w:rsid w:val="00C40077"/>
    <w:rsid w:val="00C40091"/>
    <w:rsid w:val="00C400A2"/>
    <w:rsid w:val="00C400A5"/>
    <w:rsid w:val="00C400D4"/>
    <w:rsid w:val="00C40129"/>
    <w:rsid w:val="00C40145"/>
    <w:rsid w:val="00C40149"/>
    <w:rsid w:val="00C40169"/>
    <w:rsid w:val="00C40187"/>
    <w:rsid w:val="00C40209"/>
    <w:rsid w:val="00C40224"/>
    <w:rsid w:val="00C4025B"/>
    <w:rsid w:val="00C4026D"/>
    <w:rsid w:val="00C40297"/>
    <w:rsid w:val="00C4029E"/>
    <w:rsid w:val="00C402EA"/>
    <w:rsid w:val="00C4030E"/>
    <w:rsid w:val="00C40310"/>
    <w:rsid w:val="00C4031B"/>
    <w:rsid w:val="00C4031F"/>
    <w:rsid w:val="00C40371"/>
    <w:rsid w:val="00C403AF"/>
    <w:rsid w:val="00C40406"/>
    <w:rsid w:val="00C40410"/>
    <w:rsid w:val="00C4042B"/>
    <w:rsid w:val="00C4049F"/>
    <w:rsid w:val="00C404C2"/>
    <w:rsid w:val="00C40506"/>
    <w:rsid w:val="00C40525"/>
    <w:rsid w:val="00C4055F"/>
    <w:rsid w:val="00C4059C"/>
    <w:rsid w:val="00C405A5"/>
    <w:rsid w:val="00C405A9"/>
    <w:rsid w:val="00C405D9"/>
    <w:rsid w:val="00C405E6"/>
    <w:rsid w:val="00C40695"/>
    <w:rsid w:val="00C406CD"/>
    <w:rsid w:val="00C40748"/>
    <w:rsid w:val="00C40757"/>
    <w:rsid w:val="00C40766"/>
    <w:rsid w:val="00C4076D"/>
    <w:rsid w:val="00C40785"/>
    <w:rsid w:val="00C407F5"/>
    <w:rsid w:val="00C40871"/>
    <w:rsid w:val="00C40872"/>
    <w:rsid w:val="00C408A8"/>
    <w:rsid w:val="00C40953"/>
    <w:rsid w:val="00C409AD"/>
    <w:rsid w:val="00C409B8"/>
    <w:rsid w:val="00C409DC"/>
    <w:rsid w:val="00C409F5"/>
    <w:rsid w:val="00C40A63"/>
    <w:rsid w:val="00C40A83"/>
    <w:rsid w:val="00C40ABF"/>
    <w:rsid w:val="00C40B1F"/>
    <w:rsid w:val="00C40B8F"/>
    <w:rsid w:val="00C40CA6"/>
    <w:rsid w:val="00C40CC3"/>
    <w:rsid w:val="00C40CF5"/>
    <w:rsid w:val="00C40D31"/>
    <w:rsid w:val="00C40DAA"/>
    <w:rsid w:val="00C40DE0"/>
    <w:rsid w:val="00C40DE6"/>
    <w:rsid w:val="00C40E20"/>
    <w:rsid w:val="00C40E39"/>
    <w:rsid w:val="00C40E56"/>
    <w:rsid w:val="00C40E5A"/>
    <w:rsid w:val="00C40E78"/>
    <w:rsid w:val="00C40EA6"/>
    <w:rsid w:val="00C40EF1"/>
    <w:rsid w:val="00C40F82"/>
    <w:rsid w:val="00C41021"/>
    <w:rsid w:val="00C41022"/>
    <w:rsid w:val="00C41075"/>
    <w:rsid w:val="00C410D1"/>
    <w:rsid w:val="00C410DB"/>
    <w:rsid w:val="00C41106"/>
    <w:rsid w:val="00C41168"/>
    <w:rsid w:val="00C411C1"/>
    <w:rsid w:val="00C41288"/>
    <w:rsid w:val="00C41345"/>
    <w:rsid w:val="00C41432"/>
    <w:rsid w:val="00C4143E"/>
    <w:rsid w:val="00C4145A"/>
    <w:rsid w:val="00C41522"/>
    <w:rsid w:val="00C41526"/>
    <w:rsid w:val="00C4156A"/>
    <w:rsid w:val="00C41586"/>
    <w:rsid w:val="00C415AE"/>
    <w:rsid w:val="00C415B0"/>
    <w:rsid w:val="00C41668"/>
    <w:rsid w:val="00C41692"/>
    <w:rsid w:val="00C416D2"/>
    <w:rsid w:val="00C41741"/>
    <w:rsid w:val="00C41745"/>
    <w:rsid w:val="00C417BF"/>
    <w:rsid w:val="00C417E1"/>
    <w:rsid w:val="00C417F7"/>
    <w:rsid w:val="00C41810"/>
    <w:rsid w:val="00C41875"/>
    <w:rsid w:val="00C4187F"/>
    <w:rsid w:val="00C418A3"/>
    <w:rsid w:val="00C4193B"/>
    <w:rsid w:val="00C41981"/>
    <w:rsid w:val="00C419CD"/>
    <w:rsid w:val="00C419CF"/>
    <w:rsid w:val="00C41A2D"/>
    <w:rsid w:val="00C41AF3"/>
    <w:rsid w:val="00C41B4A"/>
    <w:rsid w:val="00C41B8A"/>
    <w:rsid w:val="00C41C25"/>
    <w:rsid w:val="00C41C85"/>
    <w:rsid w:val="00C41D16"/>
    <w:rsid w:val="00C41D30"/>
    <w:rsid w:val="00C41D6A"/>
    <w:rsid w:val="00C41E58"/>
    <w:rsid w:val="00C41E6C"/>
    <w:rsid w:val="00C41E8D"/>
    <w:rsid w:val="00C41EC7"/>
    <w:rsid w:val="00C41F54"/>
    <w:rsid w:val="00C41F5D"/>
    <w:rsid w:val="00C42020"/>
    <w:rsid w:val="00C4203C"/>
    <w:rsid w:val="00C42047"/>
    <w:rsid w:val="00C4207D"/>
    <w:rsid w:val="00C4209B"/>
    <w:rsid w:val="00C420C9"/>
    <w:rsid w:val="00C420FE"/>
    <w:rsid w:val="00C42108"/>
    <w:rsid w:val="00C42109"/>
    <w:rsid w:val="00C42118"/>
    <w:rsid w:val="00C42141"/>
    <w:rsid w:val="00C421CC"/>
    <w:rsid w:val="00C421E5"/>
    <w:rsid w:val="00C42254"/>
    <w:rsid w:val="00C4225C"/>
    <w:rsid w:val="00C42321"/>
    <w:rsid w:val="00C4232F"/>
    <w:rsid w:val="00C423D9"/>
    <w:rsid w:val="00C424B5"/>
    <w:rsid w:val="00C42519"/>
    <w:rsid w:val="00C4251C"/>
    <w:rsid w:val="00C42534"/>
    <w:rsid w:val="00C425E0"/>
    <w:rsid w:val="00C42695"/>
    <w:rsid w:val="00C4269A"/>
    <w:rsid w:val="00C42852"/>
    <w:rsid w:val="00C42864"/>
    <w:rsid w:val="00C428A7"/>
    <w:rsid w:val="00C428D8"/>
    <w:rsid w:val="00C4291B"/>
    <w:rsid w:val="00C42AF1"/>
    <w:rsid w:val="00C42AF6"/>
    <w:rsid w:val="00C42B5B"/>
    <w:rsid w:val="00C42C43"/>
    <w:rsid w:val="00C42C97"/>
    <w:rsid w:val="00C42CF2"/>
    <w:rsid w:val="00C42D19"/>
    <w:rsid w:val="00C42D3B"/>
    <w:rsid w:val="00C42D62"/>
    <w:rsid w:val="00C42DA2"/>
    <w:rsid w:val="00C42DA7"/>
    <w:rsid w:val="00C42DAD"/>
    <w:rsid w:val="00C42DBF"/>
    <w:rsid w:val="00C42F7F"/>
    <w:rsid w:val="00C42FD6"/>
    <w:rsid w:val="00C4305A"/>
    <w:rsid w:val="00C430EC"/>
    <w:rsid w:val="00C430EE"/>
    <w:rsid w:val="00C4310E"/>
    <w:rsid w:val="00C43196"/>
    <w:rsid w:val="00C43197"/>
    <w:rsid w:val="00C4319D"/>
    <w:rsid w:val="00C431A8"/>
    <w:rsid w:val="00C431A9"/>
    <w:rsid w:val="00C431CB"/>
    <w:rsid w:val="00C431E7"/>
    <w:rsid w:val="00C431F2"/>
    <w:rsid w:val="00C4320A"/>
    <w:rsid w:val="00C43227"/>
    <w:rsid w:val="00C43229"/>
    <w:rsid w:val="00C4323E"/>
    <w:rsid w:val="00C43265"/>
    <w:rsid w:val="00C43267"/>
    <w:rsid w:val="00C43273"/>
    <w:rsid w:val="00C43296"/>
    <w:rsid w:val="00C432D5"/>
    <w:rsid w:val="00C43327"/>
    <w:rsid w:val="00C4336A"/>
    <w:rsid w:val="00C43449"/>
    <w:rsid w:val="00C43462"/>
    <w:rsid w:val="00C434DC"/>
    <w:rsid w:val="00C43529"/>
    <w:rsid w:val="00C43551"/>
    <w:rsid w:val="00C4355B"/>
    <w:rsid w:val="00C43572"/>
    <w:rsid w:val="00C4358D"/>
    <w:rsid w:val="00C43597"/>
    <w:rsid w:val="00C435C2"/>
    <w:rsid w:val="00C4361C"/>
    <w:rsid w:val="00C4368C"/>
    <w:rsid w:val="00C43695"/>
    <w:rsid w:val="00C436A1"/>
    <w:rsid w:val="00C436C9"/>
    <w:rsid w:val="00C436E4"/>
    <w:rsid w:val="00C43744"/>
    <w:rsid w:val="00C43755"/>
    <w:rsid w:val="00C43797"/>
    <w:rsid w:val="00C437E4"/>
    <w:rsid w:val="00C437FA"/>
    <w:rsid w:val="00C4380E"/>
    <w:rsid w:val="00C43858"/>
    <w:rsid w:val="00C4389B"/>
    <w:rsid w:val="00C4389E"/>
    <w:rsid w:val="00C438B0"/>
    <w:rsid w:val="00C438B8"/>
    <w:rsid w:val="00C438CB"/>
    <w:rsid w:val="00C438D6"/>
    <w:rsid w:val="00C438DF"/>
    <w:rsid w:val="00C43931"/>
    <w:rsid w:val="00C43A07"/>
    <w:rsid w:val="00C43A64"/>
    <w:rsid w:val="00C43AB2"/>
    <w:rsid w:val="00C43B3C"/>
    <w:rsid w:val="00C43B4C"/>
    <w:rsid w:val="00C43B50"/>
    <w:rsid w:val="00C43B7D"/>
    <w:rsid w:val="00C43C0C"/>
    <w:rsid w:val="00C43C1A"/>
    <w:rsid w:val="00C43C8B"/>
    <w:rsid w:val="00C43CB6"/>
    <w:rsid w:val="00C43D00"/>
    <w:rsid w:val="00C43D09"/>
    <w:rsid w:val="00C43DAA"/>
    <w:rsid w:val="00C43E13"/>
    <w:rsid w:val="00C43E4C"/>
    <w:rsid w:val="00C43EBF"/>
    <w:rsid w:val="00C43EE7"/>
    <w:rsid w:val="00C43EF8"/>
    <w:rsid w:val="00C43F0D"/>
    <w:rsid w:val="00C43F34"/>
    <w:rsid w:val="00C43F4F"/>
    <w:rsid w:val="00C4402C"/>
    <w:rsid w:val="00C440F9"/>
    <w:rsid w:val="00C44149"/>
    <w:rsid w:val="00C4417A"/>
    <w:rsid w:val="00C44187"/>
    <w:rsid w:val="00C441AE"/>
    <w:rsid w:val="00C441E9"/>
    <w:rsid w:val="00C44275"/>
    <w:rsid w:val="00C4427B"/>
    <w:rsid w:val="00C442A2"/>
    <w:rsid w:val="00C442C1"/>
    <w:rsid w:val="00C442F0"/>
    <w:rsid w:val="00C44313"/>
    <w:rsid w:val="00C4435F"/>
    <w:rsid w:val="00C44370"/>
    <w:rsid w:val="00C443D0"/>
    <w:rsid w:val="00C4447A"/>
    <w:rsid w:val="00C44487"/>
    <w:rsid w:val="00C4451D"/>
    <w:rsid w:val="00C4454E"/>
    <w:rsid w:val="00C445DD"/>
    <w:rsid w:val="00C445F7"/>
    <w:rsid w:val="00C44664"/>
    <w:rsid w:val="00C446BF"/>
    <w:rsid w:val="00C4473F"/>
    <w:rsid w:val="00C44769"/>
    <w:rsid w:val="00C447DC"/>
    <w:rsid w:val="00C447E0"/>
    <w:rsid w:val="00C44814"/>
    <w:rsid w:val="00C4481A"/>
    <w:rsid w:val="00C44943"/>
    <w:rsid w:val="00C44962"/>
    <w:rsid w:val="00C44986"/>
    <w:rsid w:val="00C449A9"/>
    <w:rsid w:val="00C449C5"/>
    <w:rsid w:val="00C44A4C"/>
    <w:rsid w:val="00C44A5B"/>
    <w:rsid w:val="00C44AD9"/>
    <w:rsid w:val="00C44B25"/>
    <w:rsid w:val="00C44B3A"/>
    <w:rsid w:val="00C44B94"/>
    <w:rsid w:val="00C44BC4"/>
    <w:rsid w:val="00C44BD6"/>
    <w:rsid w:val="00C44BEE"/>
    <w:rsid w:val="00C44C03"/>
    <w:rsid w:val="00C44C23"/>
    <w:rsid w:val="00C44C64"/>
    <w:rsid w:val="00C44C69"/>
    <w:rsid w:val="00C44CA7"/>
    <w:rsid w:val="00C44CEC"/>
    <w:rsid w:val="00C44CFB"/>
    <w:rsid w:val="00C44D0D"/>
    <w:rsid w:val="00C44D15"/>
    <w:rsid w:val="00C44D16"/>
    <w:rsid w:val="00C44D3B"/>
    <w:rsid w:val="00C44D89"/>
    <w:rsid w:val="00C44E76"/>
    <w:rsid w:val="00C44E89"/>
    <w:rsid w:val="00C44E90"/>
    <w:rsid w:val="00C44F50"/>
    <w:rsid w:val="00C45014"/>
    <w:rsid w:val="00C45036"/>
    <w:rsid w:val="00C45047"/>
    <w:rsid w:val="00C45091"/>
    <w:rsid w:val="00C450D1"/>
    <w:rsid w:val="00C450ED"/>
    <w:rsid w:val="00C4513B"/>
    <w:rsid w:val="00C45183"/>
    <w:rsid w:val="00C451A3"/>
    <w:rsid w:val="00C451D4"/>
    <w:rsid w:val="00C45202"/>
    <w:rsid w:val="00C45236"/>
    <w:rsid w:val="00C45288"/>
    <w:rsid w:val="00C452A4"/>
    <w:rsid w:val="00C45310"/>
    <w:rsid w:val="00C4537A"/>
    <w:rsid w:val="00C45428"/>
    <w:rsid w:val="00C4543E"/>
    <w:rsid w:val="00C4555A"/>
    <w:rsid w:val="00C4556F"/>
    <w:rsid w:val="00C45573"/>
    <w:rsid w:val="00C455DA"/>
    <w:rsid w:val="00C455EE"/>
    <w:rsid w:val="00C45613"/>
    <w:rsid w:val="00C4565F"/>
    <w:rsid w:val="00C45664"/>
    <w:rsid w:val="00C456B4"/>
    <w:rsid w:val="00C456BB"/>
    <w:rsid w:val="00C456BD"/>
    <w:rsid w:val="00C4575B"/>
    <w:rsid w:val="00C4578B"/>
    <w:rsid w:val="00C457A3"/>
    <w:rsid w:val="00C457BF"/>
    <w:rsid w:val="00C45829"/>
    <w:rsid w:val="00C4590F"/>
    <w:rsid w:val="00C45939"/>
    <w:rsid w:val="00C4596C"/>
    <w:rsid w:val="00C459E4"/>
    <w:rsid w:val="00C45A0B"/>
    <w:rsid w:val="00C45A33"/>
    <w:rsid w:val="00C45A4B"/>
    <w:rsid w:val="00C45A63"/>
    <w:rsid w:val="00C45AA1"/>
    <w:rsid w:val="00C45B2C"/>
    <w:rsid w:val="00C45B33"/>
    <w:rsid w:val="00C45BBB"/>
    <w:rsid w:val="00C45BDA"/>
    <w:rsid w:val="00C45BF7"/>
    <w:rsid w:val="00C45C07"/>
    <w:rsid w:val="00C45C20"/>
    <w:rsid w:val="00C45C2D"/>
    <w:rsid w:val="00C45CA6"/>
    <w:rsid w:val="00C45D89"/>
    <w:rsid w:val="00C45DEB"/>
    <w:rsid w:val="00C45DF2"/>
    <w:rsid w:val="00C45E04"/>
    <w:rsid w:val="00C45E94"/>
    <w:rsid w:val="00C45EBA"/>
    <w:rsid w:val="00C45F1B"/>
    <w:rsid w:val="00C45F2D"/>
    <w:rsid w:val="00C45F68"/>
    <w:rsid w:val="00C45FE7"/>
    <w:rsid w:val="00C460C0"/>
    <w:rsid w:val="00C460E2"/>
    <w:rsid w:val="00C460E4"/>
    <w:rsid w:val="00C4612F"/>
    <w:rsid w:val="00C4613A"/>
    <w:rsid w:val="00C46187"/>
    <w:rsid w:val="00C4618D"/>
    <w:rsid w:val="00C461B6"/>
    <w:rsid w:val="00C461BF"/>
    <w:rsid w:val="00C461E3"/>
    <w:rsid w:val="00C4621A"/>
    <w:rsid w:val="00C4624C"/>
    <w:rsid w:val="00C4625F"/>
    <w:rsid w:val="00C4626E"/>
    <w:rsid w:val="00C462AB"/>
    <w:rsid w:val="00C462F3"/>
    <w:rsid w:val="00C46317"/>
    <w:rsid w:val="00C46341"/>
    <w:rsid w:val="00C4637E"/>
    <w:rsid w:val="00C463D1"/>
    <w:rsid w:val="00C46409"/>
    <w:rsid w:val="00C46436"/>
    <w:rsid w:val="00C46529"/>
    <w:rsid w:val="00C4652E"/>
    <w:rsid w:val="00C46567"/>
    <w:rsid w:val="00C4663B"/>
    <w:rsid w:val="00C4666E"/>
    <w:rsid w:val="00C466BA"/>
    <w:rsid w:val="00C46787"/>
    <w:rsid w:val="00C467CD"/>
    <w:rsid w:val="00C46826"/>
    <w:rsid w:val="00C46847"/>
    <w:rsid w:val="00C4685A"/>
    <w:rsid w:val="00C468F1"/>
    <w:rsid w:val="00C4695B"/>
    <w:rsid w:val="00C469D4"/>
    <w:rsid w:val="00C469E1"/>
    <w:rsid w:val="00C46A29"/>
    <w:rsid w:val="00C46A3E"/>
    <w:rsid w:val="00C46A4A"/>
    <w:rsid w:val="00C46AD6"/>
    <w:rsid w:val="00C46AFC"/>
    <w:rsid w:val="00C46B14"/>
    <w:rsid w:val="00C46B26"/>
    <w:rsid w:val="00C46B58"/>
    <w:rsid w:val="00C46BA8"/>
    <w:rsid w:val="00C46BF0"/>
    <w:rsid w:val="00C46C71"/>
    <w:rsid w:val="00C46CC9"/>
    <w:rsid w:val="00C46CCE"/>
    <w:rsid w:val="00C46D16"/>
    <w:rsid w:val="00C46D73"/>
    <w:rsid w:val="00C46E59"/>
    <w:rsid w:val="00C46E90"/>
    <w:rsid w:val="00C46EA4"/>
    <w:rsid w:val="00C46F30"/>
    <w:rsid w:val="00C46FAB"/>
    <w:rsid w:val="00C46FD6"/>
    <w:rsid w:val="00C46FE9"/>
    <w:rsid w:val="00C47037"/>
    <w:rsid w:val="00C47098"/>
    <w:rsid w:val="00C470D0"/>
    <w:rsid w:val="00C470E3"/>
    <w:rsid w:val="00C470F6"/>
    <w:rsid w:val="00C470FD"/>
    <w:rsid w:val="00C47125"/>
    <w:rsid w:val="00C471A4"/>
    <w:rsid w:val="00C471B1"/>
    <w:rsid w:val="00C471C8"/>
    <w:rsid w:val="00C47272"/>
    <w:rsid w:val="00C472AF"/>
    <w:rsid w:val="00C472D6"/>
    <w:rsid w:val="00C472EC"/>
    <w:rsid w:val="00C47381"/>
    <w:rsid w:val="00C473FA"/>
    <w:rsid w:val="00C47428"/>
    <w:rsid w:val="00C474B9"/>
    <w:rsid w:val="00C474CB"/>
    <w:rsid w:val="00C474CF"/>
    <w:rsid w:val="00C474F4"/>
    <w:rsid w:val="00C47507"/>
    <w:rsid w:val="00C4750B"/>
    <w:rsid w:val="00C47617"/>
    <w:rsid w:val="00C4761C"/>
    <w:rsid w:val="00C47622"/>
    <w:rsid w:val="00C476A1"/>
    <w:rsid w:val="00C476D0"/>
    <w:rsid w:val="00C4773E"/>
    <w:rsid w:val="00C4778D"/>
    <w:rsid w:val="00C478A7"/>
    <w:rsid w:val="00C478C9"/>
    <w:rsid w:val="00C47913"/>
    <w:rsid w:val="00C4792D"/>
    <w:rsid w:val="00C4793B"/>
    <w:rsid w:val="00C47947"/>
    <w:rsid w:val="00C4798E"/>
    <w:rsid w:val="00C47A37"/>
    <w:rsid w:val="00C47A3C"/>
    <w:rsid w:val="00C47A9E"/>
    <w:rsid w:val="00C47A9F"/>
    <w:rsid w:val="00C47AA7"/>
    <w:rsid w:val="00C47AC8"/>
    <w:rsid w:val="00C47AF9"/>
    <w:rsid w:val="00C47B1B"/>
    <w:rsid w:val="00C47BBA"/>
    <w:rsid w:val="00C47BF1"/>
    <w:rsid w:val="00C47C06"/>
    <w:rsid w:val="00C47C32"/>
    <w:rsid w:val="00C47C34"/>
    <w:rsid w:val="00C47C67"/>
    <w:rsid w:val="00C47C72"/>
    <w:rsid w:val="00C47CB8"/>
    <w:rsid w:val="00C47CBB"/>
    <w:rsid w:val="00C47D07"/>
    <w:rsid w:val="00C47D14"/>
    <w:rsid w:val="00C47DB0"/>
    <w:rsid w:val="00C47DF0"/>
    <w:rsid w:val="00C47E16"/>
    <w:rsid w:val="00C47E33"/>
    <w:rsid w:val="00C47E3A"/>
    <w:rsid w:val="00C47E62"/>
    <w:rsid w:val="00C47E85"/>
    <w:rsid w:val="00C47F30"/>
    <w:rsid w:val="00C47F7C"/>
    <w:rsid w:val="00C47F86"/>
    <w:rsid w:val="00C47FB3"/>
    <w:rsid w:val="00C47FF4"/>
    <w:rsid w:val="00C5005E"/>
    <w:rsid w:val="00C50116"/>
    <w:rsid w:val="00C50166"/>
    <w:rsid w:val="00C5019D"/>
    <w:rsid w:val="00C501A3"/>
    <w:rsid w:val="00C501FE"/>
    <w:rsid w:val="00C50200"/>
    <w:rsid w:val="00C5020B"/>
    <w:rsid w:val="00C5021B"/>
    <w:rsid w:val="00C50229"/>
    <w:rsid w:val="00C50272"/>
    <w:rsid w:val="00C50298"/>
    <w:rsid w:val="00C502B3"/>
    <w:rsid w:val="00C50308"/>
    <w:rsid w:val="00C50315"/>
    <w:rsid w:val="00C50348"/>
    <w:rsid w:val="00C50383"/>
    <w:rsid w:val="00C503D7"/>
    <w:rsid w:val="00C503EF"/>
    <w:rsid w:val="00C503FF"/>
    <w:rsid w:val="00C50424"/>
    <w:rsid w:val="00C5043F"/>
    <w:rsid w:val="00C504A4"/>
    <w:rsid w:val="00C504C3"/>
    <w:rsid w:val="00C504F4"/>
    <w:rsid w:val="00C504FF"/>
    <w:rsid w:val="00C505A6"/>
    <w:rsid w:val="00C50628"/>
    <w:rsid w:val="00C5079E"/>
    <w:rsid w:val="00C5087E"/>
    <w:rsid w:val="00C508DD"/>
    <w:rsid w:val="00C50907"/>
    <w:rsid w:val="00C50936"/>
    <w:rsid w:val="00C5093D"/>
    <w:rsid w:val="00C509D1"/>
    <w:rsid w:val="00C50A09"/>
    <w:rsid w:val="00C50A48"/>
    <w:rsid w:val="00C50A49"/>
    <w:rsid w:val="00C50A4E"/>
    <w:rsid w:val="00C50B31"/>
    <w:rsid w:val="00C50B98"/>
    <w:rsid w:val="00C50BF3"/>
    <w:rsid w:val="00C50BFA"/>
    <w:rsid w:val="00C50C03"/>
    <w:rsid w:val="00C50C83"/>
    <w:rsid w:val="00C50C86"/>
    <w:rsid w:val="00C50C87"/>
    <w:rsid w:val="00C50C88"/>
    <w:rsid w:val="00C50C9A"/>
    <w:rsid w:val="00C50CB5"/>
    <w:rsid w:val="00C50CD3"/>
    <w:rsid w:val="00C50CDE"/>
    <w:rsid w:val="00C50D1B"/>
    <w:rsid w:val="00C50D7D"/>
    <w:rsid w:val="00C50DF7"/>
    <w:rsid w:val="00C50E6D"/>
    <w:rsid w:val="00C50E95"/>
    <w:rsid w:val="00C50EAF"/>
    <w:rsid w:val="00C50F75"/>
    <w:rsid w:val="00C50FBE"/>
    <w:rsid w:val="00C51026"/>
    <w:rsid w:val="00C51042"/>
    <w:rsid w:val="00C51061"/>
    <w:rsid w:val="00C51087"/>
    <w:rsid w:val="00C510CF"/>
    <w:rsid w:val="00C511B1"/>
    <w:rsid w:val="00C511F8"/>
    <w:rsid w:val="00C5124A"/>
    <w:rsid w:val="00C512A0"/>
    <w:rsid w:val="00C512AE"/>
    <w:rsid w:val="00C512BC"/>
    <w:rsid w:val="00C512EA"/>
    <w:rsid w:val="00C51335"/>
    <w:rsid w:val="00C51350"/>
    <w:rsid w:val="00C51380"/>
    <w:rsid w:val="00C5139E"/>
    <w:rsid w:val="00C513F8"/>
    <w:rsid w:val="00C5143B"/>
    <w:rsid w:val="00C51459"/>
    <w:rsid w:val="00C51487"/>
    <w:rsid w:val="00C5151F"/>
    <w:rsid w:val="00C5153E"/>
    <w:rsid w:val="00C5155B"/>
    <w:rsid w:val="00C515DD"/>
    <w:rsid w:val="00C515FD"/>
    <w:rsid w:val="00C51650"/>
    <w:rsid w:val="00C5174D"/>
    <w:rsid w:val="00C51771"/>
    <w:rsid w:val="00C51790"/>
    <w:rsid w:val="00C51799"/>
    <w:rsid w:val="00C517A7"/>
    <w:rsid w:val="00C517B1"/>
    <w:rsid w:val="00C517E5"/>
    <w:rsid w:val="00C51819"/>
    <w:rsid w:val="00C51916"/>
    <w:rsid w:val="00C51944"/>
    <w:rsid w:val="00C51968"/>
    <w:rsid w:val="00C5197E"/>
    <w:rsid w:val="00C519FD"/>
    <w:rsid w:val="00C51A4B"/>
    <w:rsid w:val="00C51A7C"/>
    <w:rsid w:val="00C51AA1"/>
    <w:rsid w:val="00C51B0D"/>
    <w:rsid w:val="00C51B2C"/>
    <w:rsid w:val="00C51B92"/>
    <w:rsid w:val="00C51BA7"/>
    <w:rsid w:val="00C51BBA"/>
    <w:rsid w:val="00C51BCB"/>
    <w:rsid w:val="00C51C20"/>
    <w:rsid w:val="00C51CF3"/>
    <w:rsid w:val="00C51D35"/>
    <w:rsid w:val="00C51D5A"/>
    <w:rsid w:val="00C51D6A"/>
    <w:rsid w:val="00C51D85"/>
    <w:rsid w:val="00C51DBE"/>
    <w:rsid w:val="00C51E2A"/>
    <w:rsid w:val="00C51E6D"/>
    <w:rsid w:val="00C51E98"/>
    <w:rsid w:val="00C51EEE"/>
    <w:rsid w:val="00C51FAF"/>
    <w:rsid w:val="00C52008"/>
    <w:rsid w:val="00C5200F"/>
    <w:rsid w:val="00C520B0"/>
    <w:rsid w:val="00C520C2"/>
    <w:rsid w:val="00C520FA"/>
    <w:rsid w:val="00C52117"/>
    <w:rsid w:val="00C52141"/>
    <w:rsid w:val="00C52183"/>
    <w:rsid w:val="00C52216"/>
    <w:rsid w:val="00C52250"/>
    <w:rsid w:val="00C52278"/>
    <w:rsid w:val="00C5228F"/>
    <w:rsid w:val="00C5233A"/>
    <w:rsid w:val="00C5234E"/>
    <w:rsid w:val="00C52397"/>
    <w:rsid w:val="00C523E1"/>
    <w:rsid w:val="00C523EC"/>
    <w:rsid w:val="00C52428"/>
    <w:rsid w:val="00C5247A"/>
    <w:rsid w:val="00C524D9"/>
    <w:rsid w:val="00C524F9"/>
    <w:rsid w:val="00C524FE"/>
    <w:rsid w:val="00C525D7"/>
    <w:rsid w:val="00C525D9"/>
    <w:rsid w:val="00C525EA"/>
    <w:rsid w:val="00C52613"/>
    <w:rsid w:val="00C52666"/>
    <w:rsid w:val="00C5267B"/>
    <w:rsid w:val="00C5268A"/>
    <w:rsid w:val="00C526A9"/>
    <w:rsid w:val="00C526AA"/>
    <w:rsid w:val="00C526C0"/>
    <w:rsid w:val="00C52773"/>
    <w:rsid w:val="00C52790"/>
    <w:rsid w:val="00C527B1"/>
    <w:rsid w:val="00C527CD"/>
    <w:rsid w:val="00C527D8"/>
    <w:rsid w:val="00C52823"/>
    <w:rsid w:val="00C5284D"/>
    <w:rsid w:val="00C52857"/>
    <w:rsid w:val="00C52884"/>
    <w:rsid w:val="00C5288D"/>
    <w:rsid w:val="00C528A5"/>
    <w:rsid w:val="00C528B9"/>
    <w:rsid w:val="00C5292F"/>
    <w:rsid w:val="00C52935"/>
    <w:rsid w:val="00C52938"/>
    <w:rsid w:val="00C52939"/>
    <w:rsid w:val="00C52963"/>
    <w:rsid w:val="00C52969"/>
    <w:rsid w:val="00C5299E"/>
    <w:rsid w:val="00C529C8"/>
    <w:rsid w:val="00C52A49"/>
    <w:rsid w:val="00C52A5C"/>
    <w:rsid w:val="00C52AE4"/>
    <w:rsid w:val="00C52AFB"/>
    <w:rsid w:val="00C52AFE"/>
    <w:rsid w:val="00C52B34"/>
    <w:rsid w:val="00C52B42"/>
    <w:rsid w:val="00C52B65"/>
    <w:rsid w:val="00C52B67"/>
    <w:rsid w:val="00C52B71"/>
    <w:rsid w:val="00C52BA7"/>
    <w:rsid w:val="00C52BD5"/>
    <w:rsid w:val="00C52BDE"/>
    <w:rsid w:val="00C52BF4"/>
    <w:rsid w:val="00C52C32"/>
    <w:rsid w:val="00C52C7A"/>
    <w:rsid w:val="00C52CE8"/>
    <w:rsid w:val="00C52E02"/>
    <w:rsid w:val="00C52E2B"/>
    <w:rsid w:val="00C52E35"/>
    <w:rsid w:val="00C52E49"/>
    <w:rsid w:val="00C52EB1"/>
    <w:rsid w:val="00C52EF9"/>
    <w:rsid w:val="00C52F0C"/>
    <w:rsid w:val="00C52F19"/>
    <w:rsid w:val="00C52F1E"/>
    <w:rsid w:val="00C52F2A"/>
    <w:rsid w:val="00C52F4E"/>
    <w:rsid w:val="00C52F8E"/>
    <w:rsid w:val="00C52F8F"/>
    <w:rsid w:val="00C52F9C"/>
    <w:rsid w:val="00C52FD2"/>
    <w:rsid w:val="00C52FD9"/>
    <w:rsid w:val="00C53001"/>
    <w:rsid w:val="00C5302B"/>
    <w:rsid w:val="00C53030"/>
    <w:rsid w:val="00C53059"/>
    <w:rsid w:val="00C5306C"/>
    <w:rsid w:val="00C53150"/>
    <w:rsid w:val="00C53158"/>
    <w:rsid w:val="00C5319E"/>
    <w:rsid w:val="00C531DE"/>
    <w:rsid w:val="00C5327A"/>
    <w:rsid w:val="00C5328D"/>
    <w:rsid w:val="00C532E3"/>
    <w:rsid w:val="00C53306"/>
    <w:rsid w:val="00C5334F"/>
    <w:rsid w:val="00C5335A"/>
    <w:rsid w:val="00C5335D"/>
    <w:rsid w:val="00C533BD"/>
    <w:rsid w:val="00C53402"/>
    <w:rsid w:val="00C5340E"/>
    <w:rsid w:val="00C53435"/>
    <w:rsid w:val="00C53447"/>
    <w:rsid w:val="00C534C8"/>
    <w:rsid w:val="00C53510"/>
    <w:rsid w:val="00C53519"/>
    <w:rsid w:val="00C5352C"/>
    <w:rsid w:val="00C535E1"/>
    <w:rsid w:val="00C53614"/>
    <w:rsid w:val="00C53641"/>
    <w:rsid w:val="00C53697"/>
    <w:rsid w:val="00C536D4"/>
    <w:rsid w:val="00C537AC"/>
    <w:rsid w:val="00C53801"/>
    <w:rsid w:val="00C5381E"/>
    <w:rsid w:val="00C53864"/>
    <w:rsid w:val="00C538B1"/>
    <w:rsid w:val="00C538BB"/>
    <w:rsid w:val="00C538CD"/>
    <w:rsid w:val="00C5392A"/>
    <w:rsid w:val="00C5393F"/>
    <w:rsid w:val="00C53970"/>
    <w:rsid w:val="00C539B7"/>
    <w:rsid w:val="00C53AA0"/>
    <w:rsid w:val="00C53AC3"/>
    <w:rsid w:val="00C53AF8"/>
    <w:rsid w:val="00C53B1B"/>
    <w:rsid w:val="00C53BB0"/>
    <w:rsid w:val="00C53BE5"/>
    <w:rsid w:val="00C53BF6"/>
    <w:rsid w:val="00C53BFE"/>
    <w:rsid w:val="00C53C73"/>
    <w:rsid w:val="00C53CE9"/>
    <w:rsid w:val="00C53D16"/>
    <w:rsid w:val="00C53DCA"/>
    <w:rsid w:val="00C53DDD"/>
    <w:rsid w:val="00C53E0B"/>
    <w:rsid w:val="00C53E8D"/>
    <w:rsid w:val="00C53EA2"/>
    <w:rsid w:val="00C53EE6"/>
    <w:rsid w:val="00C53F0A"/>
    <w:rsid w:val="00C53F0C"/>
    <w:rsid w:val="00C53F3E"/>
    <w:rsid w:val="00C53F69"/>
    <w:rsid w:val="00C53F80"/>
    <w:rsid w:val="00C53F84"/>
    <w:rsid w:val="00C53F9E"/>
    <w:rsid w:val="00C53FB8"/>
    <w:rsid w:val="00C53FBE"/>
    <w:rsid w:val="00C5404E"/>
    <w:rsid w:val="00C540C8"/>
    <w:rsid w:val="00C540D2"/>
    <w:rsid w:val="00C540D9"/>
    <w:rsid w:val="00C540EA"/>
    <w:rsid w:val="00C540F8"/>
    <w:rsid w:val="00C5412F"/>
    <w:rsid w:val="00C541D4"/>
    <w:rsid w:val="00C541FC"/>
    <w:rsid w:val="00C54215"/>
    <w:rsid w:val="00C54231"/>
    <w:rsid w:val="00C542CB"/>
    <w:rsid w:val="00C542FD"/>
    <w:rsid w:val="00C54301"/>
    <w:rsid w:val="00C5437E"/>
    <w:rsid w:val="00C543C6"/>
    <w:rsid w:val="00C543D7"/>
    <w:rsid w:val="00C543E2"/>
    <w:rsid w:val="00C543FD"/>
    <w:rsid w:val="00C54421"/>
    <w:rsid w:val="00C5444E"/>
    <w:rsid w:val="00C54483"/>
    <w:rsid w:val="00C54497"/>
    <w:rsid w:val="00C544A0"/>
    <w:rsid w:val="00C544CC"/>
    <w:rsid w:val="00C544CF"/>
    <w:rsid w:val="00C544E6"/>
    <w:rsid w:val="00C545BA"/>
    <w:rsid w:val="00C545CC"/>
    <w:rsid w:val="00C54631"/>
    <w:rsid w:val="00C54652"/>
    <w:rsid w:val="00C5466E"/>
    <w:rsid w:val="00C54681"/>
    <w:rsid w:val="00C546B9"/>
    <w:rsid w:val="00C54733"/>
    <w:rsid w:val="00C5477E"/>
    <w:rsid w:val="00C547AC"/>
    <w:rsid w:val="00C547D8"/>
    <w:rsid w:val="00C54817"/>
    <w:rsid w:val="00C54821"/>
    <w:rsid w:val="00C54841"/>
    <w:rsid w:val="00C548AC"/>
    <w:rsid w:val="00C548BC"/>
    <w:rsid w:val="00C548CD"/>
    <w:rsid w:val="00C54949"/>
    <w:rsid w:val="00C54953"/>
    <w:rsid w:val="00C54978"/>
    <w:rsid w:val="00C549C9"/>
    <w:rsid w:val="00C549E1"/>
    <w:rsid w:val="00C54A64"/>
    <w:rsid w:val="00C54A95"/>
    <w:rsid w:val="00C54AC4"/>
    <w:rsid w:val="00C54AF8"/>
    <w:rsid w:val="00C54B07"/>
    <w:rsid w:val="00C54B5C"/>
    <w:rsid w:val="00C54BA1"/>
    <w:rsid w:val="00C54BB0"/>
    <w:rsid w:val="00C54C37"/>
    <w:rsid w:val="00C54C49"/>
    <w:rsid w:val="00C54CF7"/>
    <w:rsid w:val="00C54D13"/>
    <w:rsid w:val="00C54D2D"/>
    <w:rsid w:val="00C54D2E"/>
    <w:rsid w:val="00C54D6B"/>
    <w:rsid w:val="00C54D6E"/>
    <w:rsid w:val="00C54D83"/>
    <w:rsid w:val="00C54D84"/>
    <w:rsid w:val="00C54D8D"/>
    <w:rsid w:val="00C54DB3"/>
    <w:rsid w:val="00C54E04"/>
    <w:rsid w:val="00C54E71"/>
    <w:rsid w:val="00C54E90"/>
    <w:rsid w:val="00C54EAB"/>
    <w:rsid w:val="00C54F01"/>
    <w:rsid w:val="00C54F0F"/>
    <w:rsid w:val="00C54F16"/>
    <w:rsid w:val="00C54F3B"/>
    <w:rsid w:val="00C54F83"/>
    <w:rsid w:val="00C54FF1"/>
    <w:rsid w:val="00C550DB"/>
    <w:rsid w:val="00C5514C"/>
    <w:rsid w:val="00C551A7"/>
    <w:rsid w:val="00C551A8"/>
    <w:rsid w:val="00C551DC"/>
    <w:rsid w:val="00C5523D"/>
    <w:rsid w:val="00C55245"/>
    <w:rsid w:val="00C5525F"/>
    <w:rsid w:val="00C55264"/>
    <w:rsid w:val="00C5526E"/>
    <w:rsid w:val="00C55277"/>
    <w:rsid w:val="00C5529B"/>
    <w:rsid w:val="00C55303"/>
    <w:rsid w:val="00C553AB"/>
    <w:rsid w:val="00C553AD"/>
    <w:rsid w:val="00C553C7"/>
    <w:rsid w:val="00C5541F"/>
    <w:rsid w:val="00C55435"/>
    <w:rsid w:val="00C5544F"/>
    <w:rsid w:val="00C5549C"/>
    <w:rsid w:val="00C55525"/>
    <w:rsid w:val="00C55531"/>
    <w:rsid w:val="00C55591"/>
    <w:rsid w:val="00C555AF"/>
    <w:rsid w:val="00C555C8"/>
    <w:rsid w:val="00C555C9"/>
    <w:rsid w:val="00C55601"/>
    <w:rsid w:val="00C55624"/>
    <w:rsid w:val="00C5562A"/>
    <w:rsid w:val="00C55655"/>
    <w:rsid w:val="00C5569F"/>
    <w:rsid w:val="00C556ED"/>
    <w:rsid w:val="00C556FA"/>
    <w:rsid w:val="00C557BF"/>
    <w:rsid w:val="00C55860"/>
    <w:rsid w:val="00C55868"/>
    <w:rsid w:val="00C558BF"/>
    <w:rsid w:val="00C558DD"/>
    <w:rsid w:val="00C55917"/>
    <w:rsid w:val="00C55939"/>
    <w:rsid w:val="00C559BF"/>
    <w:rsid w:val="00C559CE"/>
    <w:rsid w:val="00C559DB"/>
    <w:rsid w:val="00C55A34"/>
    <w:rsid w:val="00C55A36"/>
    <w:rsid w:val="00C55A40"/>
    <w:rsid w:val="00C55AD6"/>
    <w:rsid w:val="00C55AF2"/>
    <w:rsid w:val="00C55B57"/>
    <w:rsid w:val="00C55BE0"/>
    <w:rsid w:val="00C55C33"/>
    <w:rsid w:val="00C55C3F"/>
    <w:rsid w:val="00C55C53"/>
    <w:rsid w:val="00C55CAA"/>
    <w:rsid w:val="00C55CED"/>
    <w:rsid w:val="00C55D28"/>
    <w:rsid w:val="00C55D2A"/>
    <w:rsid w:val="00C55D9D"/>
    <w:rsid w:val="00C55DA8"/>
    <w:rsid w:val="00C55DC2"/>
    <w:rsid w:val="00C55DCD"/>
    <w:rsid w:val="00C55E1D"/>
    <w:rsid w:val="00C55E41"/>
    <w:rsid w:val="00C55F00"/>
    <w:rsid w:val="00C55F37"/>
    <w:rsid w:val="00C55FA9"/>
    <w:rsid w:val="00C55FBC"/>
    <w:rsid w:val="00C55FDE"/>
    <w:rsid w:val="00C560AE"/>
    <w:rsid w:val="00C560BC"/>
    <w:rsid w:val="00C56151"/>
    <w:rsid w:val="00C56175"/>
    <w:rsid w:val="00C56188"/>
    <w:rsid w:val="00C561E4"/>
    <w:rsid w:val="00C56204"/>
    <w:rsid w:val="00C56363"/>
    <w:rsid w:val="00C56367"/>
    <w:rsid w:val="00C563B6"/>
    <w:rsid w:val="00C563DF"/>
    <w:rsid w:val="00C5641A"/>
    <w:rsid w:val="00C56433"/>
    <w:rsid w:val="00C56588"/>
    <w:rsid w:val="00C565A2"/>
    <w:rsid w:val="00C565A5"/>
    <w:rsid w:val="00C565D8"/>
    <w:rsid w:val="00C56604"/>
    <w:rsid w:val="00C56609"/>
    <w:rsid w:val="00C56619"/>
    <w:rsid w:val="00C56666"/>
    <w:rsid w:val="00C56667"/>
    <w:rsid w:val="00C566E2"/>
    <w:rsid w:val="00C566E4"/>
    <w:rsid w:val="00C566F4"/>
    <w:rsid w:val="00C56704"/>
    <w:rsid w:val="00C56760"/>
    <w:rsid w:val="00C5676D"/>
    <w:rsid w:val="00C56852"/>
    <w:rsid w:val="00C568E1"/>
    <w:rsid w:val="00C568FC"/>
    <w:rsid w:val="00C56937"/>
    <w:rsid w:val="00C56974"/>
    <w:rsid w:val="00C569E5"/>
    <w:rsid w:val="00C569F5"/>
    <w:rsid w:val="00C569F9"/>
    <w:rsid w:val="00C56AFC"/>
    <w:rsid w:val="00C56B1A"/>
    <w:rsid w:val="00C56B29"/>
    <w:rsid w:val="00C56B4B"/>
    <w:rsid w:val="00C56BDA"/>
    <w:rsid w:val="00C56C57"/>
    <w:rsid w:val="00C56C5E"/>
    <w:rsid w:val="00C56C5F"/>
    <w:rsid w:val="00C56CD2"/>
    <w:rsid w:val="00C56CED"/>
    <w:rsid w:val="00C56D1B"/>
    <w:rsid w:val="00C56D25"/>
    <w:rsid w:val="00C56D69"/>
    <w:rsid w:val="00C56D71"/>
    <w:rsid w:val="00C56D8D"/>
    <w:rsid w:val="00C56E02"/>
    <w:rsid w:val="00C56E08"/>
    <w:rsid w:val="00C56E1A"/>
    <w:rsid w:val="00C56E1C"/>
    <w:rsid w:val="00C56E21"/>
    <w:rsid w:val="00C56E2E"/>
    <w:rsid w:val="00C56E2F"/>
    <w:rsid w:val="00C56E8E"/>
    <w:rsid w:val="00C56EC6"/>
    <w:rsid w:val="00C56ED0"/>
    <w:rsid w:val="00C56ED1"/>
    <w:rsid w:val="00C56F0B"/>
    <w:rsid w:val="00C56F8B"/>
    <w:rsid w:val="00C56FA0"/>
    <w:rsid w:val="00C57010"/>
    <w:rsid w:val="00C5704B"/>
    <w:rsid w:val="00C57050"/>
    <w:rsid w:val="00C57091"/>
    <w:rsid w:val="00C570F1"/>
    <w:rsid w:val="00C57131"/>
    <w:rsid w:val="00C5717E"/>
    <w:rsid w:val="00C571AF"/>
    <w:rsid w:val="00C571B6"/>
    <w:rsid w:val="00C5722F"/>
    <w:rsid w:val="00C57278"/>
    <w:rsid w:val="00C5727F"/>
    <w:rsid w:val="00C57303"/>
    <w:rsid w:val="00C57315"/>
    <w:rsid w:val="00C57328"/>
    <w:rsid w:val="00C5734F"/>
    <w:rsid w:val="00C57392"/>
    <w:rsid w:val="00C57394"/>
    <w:rsid w:val="00C57459"/>
    <w:rsid w:val="00C5748C"/>
    <w:rsid w:val="00C574AD"/>
    <w:rsid w:val="00C574FD"/>
    <w:rsid w:val="00C5752C"/>
    <w:rsid w:val="00C57582"/>
    <w:rsid w:val="00C575A1"/>
    <w:rsid w:val="00C57645"/>
    <w:rsid w:val="00C576A3"/>
    <w:rsid w:val="00C576CE"/>
    <w:rsid w:val="00C5770E"/>
    <w:rsid w:val="00C57717"/>
    <w:rsid w:val="00C5771D"/>
    <w:rsid w:val="00C57729"/>
    <w:rsid w:val="00C57748"/>
    <w:rsid w:val="00C577C1"/>
    <w:rsid w:val="00C578A6"/>
    <w:rsid w:val="00C578D6"/>
    <w:rsid w:val="00C578E1"/>
    <w:rsid w:val="00C578E3"/>
    <w:rsid w:val="00C57921"/>
    <w:rsid w:val="00C57976"/>
    <w:rsid w:val="00C579F4"/>
    <w:rsid w:val="00C57A58"/>
    <w:rsid w:val="00C57A5D"/>
    <w:rsid w:val="00C57ABB"/>
    <w:rsid w:val="00C57ACA"/>
    <w:rsid w:val="00C57ADE"/>
    <w:rsid w:val="00C57B2B"/>
    <w:rsid w:val="00C57B4F"/>
    <w:rsid w:val="00C57B7F"/>
    <w:rsid w:val="00C57B8B"/>
    <w:rsid w:val="00C57BBD"/>
    <w:rsid w:val="00C57BFA"/>
    <w:rsid w:val="00C57C17"/>
    <w:rsid w:val="00C57CAB"/>
    <w:rsid w:val="00C57CF4"/>
    <w:rsid w:val="00C57D5A"/>
    <w:rsid w:val="00C57DA0"/>
    <w:rsid w:val="00C57DAB"/>
    <w:rsid w:val="00C57E15"/>
    <w:rsid w:val="00C57E52"/>
    <w:rsid w:val="00C57E58"/>
    <w:rsid w:val="00C57E78"/>
    <w:rsid w:val="00C57E7A"/>
    <w:rsid w:val="00C57EC0"/>
    <w:rsid w:val="00C57F82"/>
    <w:rsid w:val="00C57F85"/>
    <w:rsid w:val="00C5BE05"/>
    <w:rsid w:val="00C60064"/>
    <w:rsid w:val="00C600A4"/>
    <w:rsid w:val="00C6013B"/>
    <w:rsid w:val="00C60141"/>
    <w:rsid w:val="00C6017E"/>
    <w:rsid w:val="00C60201"/>
    <w:rsid w:val="00C60250"/>
    <w:rsid w:val="00C60259"/>
    <w:rsid w:val="00C602D8"/>
    <w:rsid w:val="00C602DE"/>
    <w:rsid w:val="00C602F0"/>
    <w:rsid w:val="00C60341"/>
    <w:rsid w:val="00C60365"/>
    <w:rsid w:val="00C603BA"/>
    <w:rsid w:val="00C60447"/>
    <w:rsid w:val="00C60459"/>
    <w:rsid w:val="00C6046A"/>
    <w:rsid w:val="00C604DE"/>
    <w:rsid w:val="00C604F1"/>
    <w:rsid w:val="00C604FF"/>
    <w:rsid w:val="00C6053C"/>
    <w:rsid w:val="00C6054A"/>
    <w:rsid w:val="00C60570"/>
    <w:rsid w:val="00C605EB"/>
    <w:rsid w:val="00C60646"/>
    <w:rsid w:val="00C60656"/>
    <w:rsid w:val="00C606C5"/>
    <w:rsid w:val="00C606DA"/>
    <w:rsid w:val="00C60726"/>
    <w:rsid w:val="00C6076E"/>
    <w:rsid w:val="00C607BE"/>
    <w:rsid w:val="00C607F7"/>
    <w:rsid w:val="00C607FA"/>
    <w:rsid w:val="00C60847"/>
    <w:rsid w:val="00C6085C"/>
    <w:rsid w:val="00C608D8"/>
    <w:rsid w:val="00C60908"/>
    <w:rsid w:val="00C60968"/>
    <w:rsid w:val="00C60985"/>
    <w:rsid w:val="00C609DA"/>
    <w:rsid w:val="00C60AE7"/>
    <w:rsid w:val="00C60B11"/>
    <w:rsid w:val="00C60B26"/>
    <w:rsid w:val="00C60B2C"/>
    <w:rsid w:val="00C60BA4"/>
    <w:rsid w:val="00C60BA8"/>
    <w:rsid w:val="00C60BC1"/>
    <w:rsid w:val="00C60C34"/>
    <w:rsid w:val="00C60C5C"/>
    <w:rsid w:val="00C60CAA"/>
    <w:rsid w:val="00C60CC1"/>
    <w:rsid w:val="00C60CC4"/>
    <w:rsid w:val="00C60D77"/>
    <w:rsid w:val="00C60E24"/>
    <w:rsid w:val="00C60E36"/>
    <w:rsid w:val="00C60EFD"/>
    <w:rsid w:val="00C60F28"/>
    <w:rsid w:val="00C60F32"/>
    <w:rsid w:val="00C60F52"/>
    <w:rsid w:val="00C60F84"/>
    <w:rsid w:val="00C60FB5"/>
    <w:rsid w:val="00C6100B"/>
    <w:rsid w:val="00C610B0"/>
    <w:rsid w:val="00C61115"/>
    <w:rsid w:val="00C6112F"/>
    <w:rsid w:val="00C61206"/>
    <w:rsid w:val="00C6123D"/>
    <w:rsid w:val="00C6128F"/>
    <w:rsid w:val="00C612B7"/>
    <w:rsid w:val="00C612EB"/>
    <w:rsid w:val="00C613B9"/>
    <w:rsid w:val="00C613BA"/>
    <w:rsid w:val="00C613E3"/>
    <w:rsid w:val="00C613F2"/>
    <w:rsid w:val="00C61444"/>
    <w:rsid w:val="00C61475"/>
    <w:rsid w:val="00C614BC"/>
    <w:rsid w:val="00C614D6"/>
    <w:rsid w:val="00C614F7"/>
    <w:rsid w:val="00C615B4"/>
    <w:rsid w:val="00C615EE"/>
    <w:rsid w:val="00C616FC"/>
    <w:rsid w:val="00C6172A"/>
    <w:rsid w:val="00C6183F"/>
    <w:rsid w:val="00C6186A"/>
    <w:rsid w:val="00C61888"/>
    <w:rsid w:val="00C6188B"/>
    <w:rsid w:val="00C6190E"/>
    <w:rsid w:val="00C6192F"/>
    <w:rsid w:val="00C6194E"/>
    <w:rsid w:val="00C61957"/>
    <w:rsid w:val="00C61986"/>
    <w:rsid w:val="00C61994"/>
    <w:rsid w:val="00C619CE"/>
    <w:rsid w:val="00C619E1"/>
    <w:rsid w:val="00C61A19"/>
    <w:rsid w:val="00C61A61"/>
    <w:rsid w:val="00C61A7F"/>
    <w:rsid w:val="00C61A88"/>
    <w:rsid w:val="00C61A9C"/>
    <w:rsid w:val="00C61AE3"/>
    <w:rsid w:val="00C61B1D"/>
    <w:rsid w:val="00C61B42"/>
    <w:rsid w:val="00C61B48"/>
    <w:rsid w:val="00C61B88"/>
    <w:rsid w:val="00C61BFB"/>
    <w:rsid w:val="00C61C6E"/>
    <w:rsid w:val="00C61C70"/>
    <w:rsid w:val="00C61C75"/>
    <w:rsid w:val="00C61CA0"/>
    <w:rsid w:val="00C61DAB"/>
    <w:rsid w:val="00C61DAE"/>
    <w:rsid w:val="00C61DB4"/>
    <w:rsid w:val="00C61DBC"/>
    <w:rsid w:val="00C61DD6"/>
    <w:rsid w:val="00C61DE1"/>
    <w:rsid w:val="00C61E45"/>
    <w:rsid w:val="00C61E47"/>
    <w:rsid w:val="00C61E6A"/>
    <w:rsid w:val="00C61EA0"/>
    <w:rsid w:val="00C61F90"/>
    <w:rsid w:val="00C61FBD"/>
    <w:rsid w:val="00C6201D"/>
    <w:rsid w:val="00C6202C"/>
    <w:rsid w:val="00C6204C"/>
    <w:rsid w:val="00C62067"/>
    <w:rsid w:val="00C6208F"/>
    <w:rsid w:val="00C6219E"/>
    <w:rsid w:val="00C621C0"/>
    <w:rsid w:val="00C621DC"/>
    <w:rsid w:val="00C621E5"/>
    <w:rsid w:val="00C621F4"/>
    <w:rsid w:val="00C6222D"/>
    <w:rsid w:val="00C6224F"/>
    <w:rsid w:val="00C62254"/>
    <w:rsid w:val="00C62270"/>
    <w:rsid w:val="00C622B9"/>
    <w:rsid w:val="00C622D4"/>
    <w:rsid w:val="00C622F8"/>
    <w:rsid w:val="00C62308"/>
    <w:rsid w:val="00C6232B"/>
    <w:rsid w:val="00C6233F"/>
    <w:rsid w:val="00C62351"/>
    <w:rsid w:val="00C62360"/>
    <w:rsid w:val="00C6250E"/>
    <w:rsid w:val="00C62548"/>
    <w:rsid w:val="00C62550"/>
    <w:rsid w:val="00C62567"/>
    <w:rsid w:val="00C6264B"/>
    <w:rsid w:val="00C626C5"/>
    <w:rsid w:val="00C626DA"/>
    <w:rsid w:val="00C62703"/>
    <w:rsid w:val="00C62773"/>
    <w:rsid w:val="00C627AA"/>
    <w:rsid w:val="00C62805"/>
    <w:rsid w:val="00C62894"/>
    <w:rsid w:val="00C628C2"/>
    <w:rsid w:val="00C628ED"/>
    <w:rsid w:val="00C6295A"/>
    <w:rsid w:val="00C6296D"/>
    <w:rsid w:val="00C6297B"/>
    <w:rsid w:val="00C62985"/>
    <w:rsid w:val="00C62A12"/>
    <w:rsid w:val="00C62A5B"/>
    <w:rsid w:val="00C62AA1"/>
    <w:rsid w:val="00C62AB9"/>
    <w:rsid w:val="00C62AC2"/>
    <w:rsid w:val="00C62AD0"/>
    <w:rsid w:val="00C62B23"/>
    <w:rsid w:val="00C62BA5"/>
    <w:rsid w:val="00C62C39"/>
    <w:rsid w:val="00C62C70"/>
    <w:rsid w:val="00C62D33"/>
    <w:rsid w:val="00C62E10"/>
    <w:rsid w:val="00C62E1D"/>
    <w:rsid w:val="00C62E70"/>
    <w:rsid w:val="00C62E79"/>
    <w:rsid w:val="00C62E7B"/>
    <w:rsid w:val="00C62E83"/>
    <w:rsid w:val="00C62E92"/>
    <w:rsid w:val="00C62EA6"/>
    <w:rsid w:val="00C62EAA"/>
    <w:rsid w:val="00C62EF2"/>
    <w:rsid w:val="00C62F0F"/>
    <w:rsid w:val="00C62F10"/>
    <w:rsid w:val="00C62F21"/>
    <w:rsid w:val="00C62F33"/>
    <w:rsid w:val="00C62F59"/>
    <w:rsid w:val="00C62FAB"/>
    <w:rsid w:val="00C62FD8"/>
    <w:rsid w:val="00C62FE9"/>
    <w:rsid w:val="00C63053"/>
    <w:rsid w:val="00C630A9"/>
    <w:rsid w:val="00C630C4"/>
    <w:rsid w:val="00C630FB"/>
    <w:rsid w:val="00C63164"/>
    <w:rsid w:val="00C63172"/>
    <w:rsid w:val="00C631B7"/>
    <w:rsid w:val="00C631E0"/>
    <w:rsid w:val="00C63206"/>
    <w:rsid w:val="00C632FE"/>
    <w:rsid w:val="00C6330E"/>
    <w:rsid w:val="00C63376"/>
    <w:rsid w:val="00C633CE"/>
    <w:rsid w:val="00C633F5"/>
    <w:rsid w:val="00C63459"/>
    <w:rsid w:val="00C63463"/>
    <w:rsid w:val="00C634A0"/>
    <w:rsid w:val="00C634A6"/>
    <w:rsid w:val="00C634B0"/>
    <w:rsid w:val="00C634B3"/>
    <w:rsid w:val="00C634E7"/>
    <w:rsid w:val="00C63522"/>
    <w:rsid w:val="00C63534"/>
    <w:rsid w:val="00C6359F"/>
    <w:rsid w:val="00C63668"/>
    <w:rsid w:val="00C6368A"/>
    <w:rsid w:val="00C636A0"/>
    <w:rsid w:val="00C636B5"/>
    <w:rsid w:val="00C636BD"/>
    <w:rsid w:val="00C63768"/>
    <w:rsid w:val="00C6376D"/>
    <w:rsid w:val="00C63777"/>
    <w:rsid w:val="00C637D2"/>
    <w:rsid w:val="00C6382C"/>
    <w:rsid w:val="00C638BE"/>
    <w:rsid w:val="00C63923"/>
    <w:rsid w:val="00C63928"/>
    <w:rsid w:val="00C63939"/>
    <w:rsid w:val="00C6395C"/>
    <w:rsid w:val="00C639CA"/>
    <w:rsid w:val="00C639EE"/>
    <w:rsid w:val="00C63A07"/>
    <w:rsid w:val="00C63A10"/>
    <w:rsid w:val="00C63A7D"/>
    <w:rsid w:val="00C63A8D"/>
    <w:rsid w:val="00C63AB2"/>
    <w:rsid w:val="00C63B51"/>
    <w:rsid w:val="00C63B98"/>
    <w:rsid w:val="00C63BBC"/>
    <w:rsid w:val="00C63BBD"/>
    <w:rsid w:val="00C63BD6"/>
    <w:rsid w:val="00C63BE0"/>
    <w:rsid w:val="00C63C24"/>
    <w:rsid w:val="00C63CA2"/>
    <w:rsid w:val="00C63CBA"/>
    <w:rsid w:val="00C63CD4"/>
    <w:rsid w:val="00C63CE9"/>
    <w:rsid w:val="00C63D2E"/>
    <w:rsid w:val="00C63D84"/>
    <w:rsid w:val="00C63E95"/>
    <w:rsid w:val="00C63E9C"/>
    <w:rsid w:val="00C63EFF"/>
    <w:rsid w:val="00C63F01"/>
    <w:rsid w:val="00C63F0F"/>
    <w:rsid w:val="00C63F1E"/>
    <w:rsid w:val="00C63F2D"/>
    <w:rsid w:val="00C63F4D"/>
    <w:rsid w:val="00C63F59"/>
    <w:rsid w:val="00C63F78"/>
    <w:rsid w:val="00C64015"/>
    <w:rsid w:val="00C64024"/>
    <w:rsid w:val="00C64065"/>
    <w:rsid w:val="00C64096"/>
    <w:rsid w:val="00C640D0"/>
    <w:rsid w:val="00C640F7"/>
    <w:rsid w:val="00C6414A"/>
    <w:rsid w:val="00C641F8"/>
    <w:rsid w:val="00C64201"/>
    <w:rsid w:val="00C64253"/>
    <w:rsid w:val="00C64255"/>
    <w:rsid w:val="00C64283"/>
    <w:rsid w:val="00C6428A"/>
    <w:rsid w:val="00C642C4"/>
    <w:rsid w:val="00C642CC"/>
    <w:rsid w:val="00C642EE"/>
    <w:rsid w:val="00C642FA"/>
    <w:rsid w:val="00C64303"/>
    <w:rsid w:val="00C64367"/>
    <w:rsid w:val="00C6442E"/>
    <w:rsid w:val="00C6444D"/>
    <w:rsid w:val="00C6445E"/>
    <w:rsid w:val="00C64483"/>
    <w:rsid w:val="00C644C9"/>
    <w:rsid w:val="00C64563"/>
    <w:rsid w:val="00C64575"/>
    <w:rsid w:val="00C6458D"/>
    <w:rsid w:val="00C64595"/>
    <w:rsid w:val="00C6462F"/>
    <w:rsid w:val="00C6464F"/>
    <w:rsid w:val="00C6465B"/>
    <w:rsid w:val="00C646C1"/>
    <w:rsid w:val="00C646C6"/>
    <w:rsid w:val="00C646F5"/>
    <w:rsid w:val="00C646FA"/>
    <w:rsid w:val="00C6471B"/>
    <w:rsid w:val="00C64728"/>
    <w:rsid w:val="00C6474A"/>
    <w:rsid w:val="00C64795"/>
    <w:rsid w:val="00C647A4"/>
    <w:rsid w:val="00C647B3"/>
    <w:rsid w:val="00C647FB"/>
    <w:rsid w:val="00C64817"/>
    <w:rsid w:val="00C64839"/>
    <w:rsid w:val="00C64867"/>
    <w:rsid w:val="00C648CD"/>
    <w:rsid w:val="00C648F3"/>
    <w:rsid w:val="00C6493E"/>
    <w:rsid w:val="00C64984"/>
    <w:rsid w:val="00C64AA6"/>
    <w:rsid w:val="00C64AD0"/>
    <w:rsid w:val="00C64B45"/>
    <w:rsid w:val="00C64DE8"/>
    <w:rsid w:val="00C64E23"/>
    <w:rsid w:val="00C64E2C"/>
    <w:rsid w:val="00C64EB3"/>
    <w:rsid w:val="00C64EE3"/>
    <w:rsid w:val="00C64F1E"/>
    <w:rsid w:val="00C64F48"/>
    <w:rsid w:val="00C64F4C"/>
    <w:rsid w:val="00C64F96"/>
    <w:rsid w:val="00C64FB2"/>
    <w:rsid w:val="00C64FB9"/>
    <w:rsid w:val="00C64FEC"/>
    <w:rsid w:val="00C650DC"/>
    <w:rsid w:val="00C65112"/>
    <w:rsid w:val="00C651A5"/>
    <w:rsid w:val="00C651DC"/>
    <w:rsid w:val="00C651F3"/>
    <w:rsid w:val="00C65211"/>
    <w:rsid w:val="00C65259"/>
    <w:rsid w:val="00C653A1"/>
    <w:rsid w:val="00C653C8"/>
    <w:rsid w:val="00C653EF"/>
    <w:rsid w:val="00C654DF"/>
    <w:rsid w:val="00C654E4"/>
    <w:rsid w:val="00C6552F"/>
    <w:rsid w:val="00C65552"/>
    <w:rsid w:val="00C655DA"/>
    <w:rsid w:val="00C65616"/>
    <w:rsid w:val="00C65636"/>
    <w:rsid w:val="00C656BF"/>
    <w:rsid w:val="00C6570C"/>
    <w:rsid w:val="00C65734"/>
    <w:rsid w:val="00C6574D"/>
    <w:rsid w:val="00C65785"/>
    <w:rsid w:val="00C65856"/>
    <w:rsid w:val="00C65861"/>
    <w:rsid w:val="00C658CF"/>
    <w:rsid w:val="00C65976"/>
    <w:rsid w:val="00C65999"/>
    <w:rsid w:val="00C659A1"/>
    <w:rsid w:val="00C659A7"/>
    <w:rsid w:val="00C65AB7"/>
    <w:rsid w:val="00C65ACB"/>
    <w:rsid w:val="00C65AE6"/>
    <w:rsid w:val="00C65B5A"/>
    <w:rsid w:val="00C65B75"/>
    <w:rsid w:val="00C65B7B"/>
    <w:rsid w:val="00C65B94"/>
    <w:rsid w:val="00C65BF9"/>
    <w:rsid w:val="00C65BFA"/>
    <w:rsid w:val="00C65C75"/>
    <w:rsid w:val="00C65D0E"/>
    <w:rsid w:val="00C65D1C"/>
    <w:rsid w:val="00C65D4D"/>
    <w:rsid w:val="00C65DE8"/>
    <w:rsid w:val="00C65E09"/>
    <w:rsid w:val="00C65E39"/>
    <w:rsid w:val="00C65EFC"/>
    <w:rsid w:val="00C65F0E"/>
    <w:rsid w:val="00C65F2C"/>
    <w:rsid w:val="00C65F3A"/>
    <w:rsid w:val="00C65FA0"/>
    <w:rsid w:val="00C65FEC"/>
    <w:rsid w:val="00C66047"/>
    <w:rsid w:val="00C6609B"/>
    <w:rsid w:val="00C660C2"/>
    <w:rsid w:val="00C66100"/>
    <w:rsid w:val="00C6610F"/>
    <w:rsid w:val="00C66111"/>
    <w:rsid w:val="00C66174"/>
    <w:rsid w:val="00C6617E"/>
    <w:rsid w:val="00C661A4"/>
    <w:rsid w:val="00C661C7"/>
    <w:rsid w:val="00C661FC"/>
    <w:rsid w:val="00C66206"/>
    <w:rsid w:val="00C662F7"/>
    <w:rsid w:val="00C6638C"/>
    <w:rsid w:val="00C66398"/>
    <w:rsid w:val="00C663A3"/>
    <w:rsid w:val="00C663DF"/>
    <w:rsid w:val="00C66496"/>
    <w:rsid w:val="00C66514"/>
    <w:rsid w:val="00C665A3"/>
    <w:rsid w:val="00C665B3"/>
    <w:rsid w:val="00C665D2"/>
    <w:rsid w:val="00C6660E"/>
    <w:rsid w:val="00C66616"/>
    <w:rsid w:val="00C66674"/>
    <w:rsid w:val="00C66680"/>
    <w:rsid w:val="00C6675C"/>
    <w:rsid w:val="00C6677E"/>
    <w:rsid w:val="00C66802"/>
    <w:rsid w:val="00C6682C"/>
    <w:rsid w:val="00C66833"/>
    <w:rsid w:val="00C6689A"/>
    <w:rsid w:val="00C668E6"/>
    <w:rsid w:val="00C668ED"/>
    <w:rsid w:val="00C66900"/>
    <w:rsid w:val="00C66905"/>
    <w:rsid w:val="00C6692F"/>
    <w:rsid w:val="00C66987"/>
    <w:rsid w:val="00C669B8"/>
    <w:rsid w:val="00C66A61"/>
    <w:rsid w:val="00C66A9A"/>
    <w:rsid w:val="00C66AD5"/>
    <w:rsid w:val="00C66AF8"/>
    <w:rsid w:val="00C66B29"/>
    <w:rsid w:val="00C66B30"/>
    <w:rsid w:val="00C66BD0"/>
    <w:rsid w:val="00C66BF0"/>
    <w:rsid w:val="00C66C2D"/>
    <w:rsid w:val="00C66C61"/>
    <w:rsid w:val="00C66CAA"/>
    <w:rsid w:val="00C66CC8"/>
    <w:rsid w:val="00C66D57"/>
    <w:rsid w:val="00C66DA8"/>
    <w:rsid w:val="00C66DC2"/>
    <w:rsid w:val="00C66F7A"/>
    <w:rsid w:val="00C66FCD"/>
    <w:rsid w:val="00C67034"/>
    <w:rsid w:val="00C6708B"/>
    <w:rsid w:val="00C67090"/>
    <w:rsid w:val="00C67125"/>
    <w:rsid w:val="00C67127"/>
    <w:rsid w:val="00C6715D"/>
    <w:rsid w:val="00C67177"/>
    <w:rsid w:val="00C671BB"/>
    <w:rsid w:val="00C671C6"/>
    <w:rsid w:val="00C671C8"/>
    <w:rsid w:val="00C6721E"/>
    <w:rsid w:val="00C67267"/>
    <w:rsid w:val="00C672E8"/>
    <w:rsid w:val="00C673AE"/>
    <w:rsid w:val="00C673C5"/>
    <w:rsid w:val="00C673C7"/>
    <w:rsid w:val="00C67408"/>
    <w:rsid w:val="00C67471"/>
    <w:rsid w:val="00C674AB"/>
    <w:rsid w:val="00C674C8"/>
    <w:rsid w:val="00C674E0"/>
    <w:rsid w:val="00C67558"/>
    <w:rsid w:val="00C6755B"/>
    <w:rsid w:val="00C675BC"/>
    <w:rsid w:val="00C67630"/>
    <w:rsid w:val="00C67661"/>
    <w:rsid w:val="00C676B5"/>
    <w:rsid w:val="00C676C2"/>
    <w:rsid w:val="00C676DC"/>
    <w:rsid w:val="00C6773E"/>
    <w:rsid w:val="00C67744"/>
    <w:rsid w:val="00C67785"/>
    <w:rsid w:val="00C67797"/>
    <w:rsid w:val="00C67811"/>
    <w:rsid w:val="00C67853"/>
    <w:rsid w:val="00C67856"/>
    <w:rsid w:val="00C6786A"/>
    <w:rsid w:val="00C6786C"/>
    <w:rsid w:val="00C6788A"/>
    <w:rsid w:val="00C6789D"/>
    <w:rsid w:val="00C678F1"/>
    <w:rsid w:val="00C6795A"/>
    <w:rsid w:val="00C679E1"/>
    <w:rsid w:val="00C67B0D"/>
    <w:rsid w:val="00C67B38"/>
    <w:rsid w:val="00C67B6C"/>
    <w:rsid w:val="00C67B96"/>
    <w:rsid w:val="00C67BA2"/>
    <w:rsid w:val="00C67BC1"/>
    <w:rsid w:val="00C67C37"/>
    <w:rsid w:val="00C67C4B"/>
    <w:rsid w:val="00C67C58"/>
    <w:rsid w:val="00C67CE6"/>
    <w:rsid w:val="00C67D57"/>
    <w:rsid w:val="00C67DCC"/>
    <w:rsid w:val="00C67DCF"/>
    <w:rsid w:val="00C67DD2"/>
    <w:rsid w:val="00C67DDB"/>
    <w:rsid w:val="00C67E16"/>
    <w:rsid w:val="00C67E2F"/>
    <w:rsid w:val="00C67E38"/>
    <w:rsid w:val="00C67E53"/>
    <w:rsid w:val="00C67E58"/>
    <w:rsid w:val="00C67E5C"/>
    <w:rsid w:val="00C67ED5"/>
    <w:rsid w:val="00C67EEA"/>
    <w:rsid w:val="00C67EF5"/>
    <w:rsid w:val="00C67F07"/>
    <w:rsid w:val="00C67F39"/>
    <w:rsid w:val="00C67F4B"/>
    <w:rsid w:val="00C67FEB"/>
    <w:rsid w:val="00C70022"/>
    <w:rsid w:val="00C70039"/>
    <w:rsid w:val="00C7004D"/>
    <w:rsid w:val="00C70062"/>
    <w:rsid w:val="00C70074"/>
    <w:rsid w:val="00C70078"/>
    <w:rsid w:val="00C700B7"/>
    <w:rsid w:val="00C70127"/>
    <w:rsid w:val="00C70149"/>
    <w:rsid w:val="00C7017C"/>
    <w:rsid w:val="00C70191"/>
    <w:rsid w:val="00C70193"/>
    <w:rsid w:val="00C701AD"/>
    <w:rsid w:val="00C701F2"/>
    <w:rsid w:val="00C70236"/>
    <w:rsid w:val="00C70263"/>
    <w:rsid w:val="00C702C4"/>
    <w:rsid w:val="00C70311"/>
    <w:rsid w:val="00C70343"/>
    <w:rsid w:val="00C7034C"/>
    <w:rsid w:val="00C70368"/>
    <w:rsid w:val="00C703AE"/>
    <w:rsid w:val="00C703EC"/>
    <w:rsid w:val="00C703F4"/>
    <w:rsid w:val="00C703F7"/>
    <w:rsid w:val="00C70428"/>
    <w:rsid w:val="00C7044D"/>
    <w:rsid w:val="00C70498"/>
    <w:rsid w:val="00C704BD"/>
    <w:rsid w:val="00C7054A"/>
    <w:rsid w:val="00C70578"/>
    <w:rsid w:val="00C705A1"/>
    <w:rsid w:val="00C705B3"/>
    <w:rsid w:val="00C705CA"/>
    <w:rsid w:val="00C705E2"/>
    <w:rsid w:val="00C705EF"/>
    <w:rsid w:val="00C70609"/>
    <w:rsid w:val="00C70652"/>
    <w:rsid w:val="00C70660"/>
    <w:rsid w:val="00C7066A"/>
    <w:rsid w:val="00C706B8"/>
    <w:rsid w:val="00C706DF"/>
    <w:rsid w:val="00C706E3"/>
    <w:rsid w:val="00C70721"/>
    <w:rsid w:val="00C7072B"/>
    <w:rsid w:val="00C70740"/>
    <w:rsid w:val="00C70744"/>
    <w:rsid w:val="00C70767"/>
    <w:rsid w:val="00C70793"/>
    <w:rsid w:val="00C707AA"/>
    <w:rsid w:val="00C707CD"/>
    <w:rsid w:val="00C707D1"/>
    <w:rsid w:val="00C707E9"/>
    <w:rsid w:val="00C70829"/>
    <w:rsid w:val="00C70836"/>
    <w:rsid w:val="00C70883"/>
    <w:rsid w:val="00C70904"/>
    <w:rsid w:val="00C7094C"/>
    <w:rsid w:val="00C70A4A"/>
    <w:rsid w:val="00C70A4F"/>
    <w:rsid w:val="00C70A8E"/>
    <w:rsid w:val="00C70A90"/>
    <w:rsid w:val="00C70B89"/>
    <w:rsid w:val="00C70BAA"/>
    <w:rsid w:val="00C70BB1"/>
    <w:rsid w:val="00C70BC2"/>
    <w:rsid w:val="00C70C56"/>
    <w:rsid w:val="00C70CE7"/>
    <w:rsid w:val="00C70CFF"/>
    <w:rsid w:val="00C70D1C"/>
    <w:rsid w:val="00C70D95"/>
    <w:rsid w:val="00C70DB4"/>
    <w:rsid w:val="00C70DB5"/>
    <w:rsid w:val="00C70E50"/>
    <w:rsid w:val="00C70E8A"/>
    <w:rsid w:val="00C70E95"/>
    <w:rsid w:val="00C70EB0"/>
    <w:rsid w:val="00C70EBA"/>
    <w:rsid w:val="00C70F2F"/>
    <w:rsid w:val="00C70F5F"/>
    <w:rsid w:val="00C70F64"/>
    <w:rsid w:val="00C70FB1"/>
    <w:rsid w:val="00C70FC7"/>
    <w:rsid w:val="00C70FD8"/>
    <w:rsid w:val="00C71013"/>
    <w:rsid w:val="00C71063"/>
    <w:rsid w:val="00C7108C"/>
    <w:rsid w:val="00C710C3"/>
    <w:rsid w:val="00C710D1"/>
    <w:rsid w:val="00C71108"/>
    <w:rsid w:val="00C71135"/>
    <w:rsid w:val="00C7113B"/>
    <w:rsid w:val="00C7116C"/>
    <w:rsid w:val="00C71171"/>
    <w:rsid w:val="00C71195"/>
    <w:rsid w:val="00C7119D"/>
    <w:rsid w:val="00C711B4"/>
    <w:rsid w:val="00C711D6"/>
    <w:rsid w:val="00C71239"/>
    <w:rsid w:val="00C712C3"/>
    <w:rsid w:val="00C712CB"/>
    <w:rsid w:val="00C712D8"/>
    <w:rsid w:val="00C71352"/>
    <w:rsid w:val="00C7135E"/>
    <w:rsid w:val="00C71373"/>
    <w:rsid w:val="00C71398"/>
    <w:rsid w:val="00C713CF"/>
    <w:rsid w:val="00C7143D"/>
    <w:rsid w:val="00C71450"/>
    <w:rsid w:val="00C71508"/>
    <w:rsid w:val="00C7155E"/>
    <w:rsid w:val="00C715BE"/>
    <w:rsid w:val="00C715CE"/>
    <w:rsid w:val="00C715E2"/>
    <w:rsid w:val="00C715E5"/>
    <w:rsid w:val="00C715F3"/>
    <w:rsid w:val="00C7162A"/>
    <w:rsid w:val="00C71686"/>
    <w:rsid w:val="00C716AA"/>
    <w:rsid w:val="00C716C7"/>
    <w:rsid w:val="00C716F1"/>
    <w:rsid w:val="00C71721"/>
    <w:rsid w:val="00C7174E"/>
    <w:rsid w:val="00C7175A"/>
    <w:rsid w:val="00C7177D"/>
    <w:rsid w:val="00C717FA"/>
    <w:rsid w:val="00C7183D"/>
    <w:rsid w:val="00C71865"/>
    <w:rsid w:val="00C718D1"/>
    <w:rsid w:val="00C718E8"/>
    <w:rsid w:val="00C7194F"/>
    <w:rsid w:val="00C71977"/>
    <w:rsid w:val="00C719B4"/>
    <w:rsid w:val="00C719E2"/>
    <w:rsid w:val="00C71A17"/>
    <w:rsid w:val="00C71AAA"/>
    <w:rsid w:val="00C71ABB"/>
    <w:rsid w:val="00C71AE5"/>
    <w:rsid w:val="00C71BC7"/>
    <w:rsid w:val="00C71BFE"/>
    <w:rsid w:val="00C71C14"/>
    <w:rsid w:val="00C71C31"/>
    <w:rsid w:val="00C71C4D"/>
    <w:rsid w:val="00C71C7C"/>
    <w:rsid w:val="00C71CB3"/>
    <w:rsid w:val="00C71CC9"/>
    <w:rsid w:val="00C71D0E"/>
    <w:rsid w:val="00C71D9C"/>
    <w:rsid w:val="00C71E2C"/>
    <w:rsid w:val="00C71E65"/>
    <w:rsid w:val="00C71E7B"/>
    <w:rsid w:val="00C71E7E"/>
    <w:rsid w:val="00C71E95"/>
    <w:rsid w:val="00C71EF4"/>
    <w:rsid w:val="00C71F22"/>
    <w:rsid w:val="00C71F73"/>
    <w:rsid w:val="00C71FB3"/>
    <w:rsid w:val="00C720A5"/>
    <w:rsid w:val="00C7215E"/>
    <w:rsid w:val="00C721EF"/>
    <w:rsid w:val="00C72271"/>
    <w:rsid w:val="00C722A5"/>
    <w:rsid w:val="00C722C2"/>
    <w:rsid w:val="00C722D9"/>
    <w:rsid w:val="00C72303"/>
    <w:rsid w:val="00C72365"/>
    <w:rsid w:val="00C723B4"/>
    <w:rsid w:val="00C723BA"/>
    <w:rsid w:val="00C7241F"/>
    <w:rsid w:val="00C72447"/>
    <w:rsid w:val="00C72486"/>
    <w:rsid w:val="00C724A0"/>
    <w:rsid w:val="00C724C9"/>
    <w:rsid w:val="00C72550"/>
    <w:rsid w:val="00C7258A"/>
    <w:rsid w:val="00C7259E"/>
    <w:rsid w:val="00C725DE"/>
    <w:rsid w:val="00C725E4"/>
    <w:rsid w:val="00C72624"/>
    <w:rsid w:val="00C72645"/>
    <w:rsid w:val="00C72665"/>
    <w:rsid w:val="00C7266D"/>
    <w:rsid w:val="00C726B0"/>
    <w:rsid w:val="00C726B4"/>
    <w:rsid w:val="00C726C4"/>
    <w:rsid w:val="00C726CB"/>
    <w:rsid w:val="00C726D0"/>
    <w:rsid w:val="00C726DA"/>
    <w:rsid w:val="00C726E5"/>
    <w:rsid w:val="00C726EF"/>
    <w:rsid w:val="00C7270F"/>
    <w:rsid w:val="00C727AC"/>
    <w:rsid w:val="00C727BF"/>
    <w:rsid w:val="00C72811"/>
    <w:rsid w:val="00C7284F"/>
    <w:rsid w:val="00C72860"/>
    <w:rsid w:val="00C72894"/>
    <w:rsid w:val="00C728AF"/>
    <w:rsid w:val="00C728CA"/>
    <w:rsid w:val="00C728D6"/>
    <w:rsid w:val="00C728E8"/>
    <w:rsid w:val="00C728F3"/>
    <w:rsid w:val="00C72901"/>
    <w:rsid w:val="00C7298F"/>
    <w:rsid w:val="00C72A2F"/>
    <w:rsid w:val="00C72A7E"/>
    <w:rsid w:val="00C72AA0"/>
    <w:rsid w:val="00C72AE1"/>
    <w:rsid w:val="00C72B46"/>
    <w:rsid w:val="00C72B87"/>
    <w:rsid w:val="00C72BAD"/>
    <w:rsid w:val="00C72C22"/>
    <w:rsid w:val="00C72CA6"/>
    <w:rsid w:val="00C72D05"/>
    <w:rsid w:val="00C72DD1"/>
    <w:rsid w:val="00C72DFE"/>
    <w:rsid w:val="00C72E1C"/>
    <w:rsid w:val="00C72E2E"/>
    <w:rsid w:val="00C72E6F"/>
    <w:rsid w:val="00C72F0F"/>
    <w:rsid w:val="00C72F46"/>
    <w:rsid w:val="00C72F7D"/>
    <w:rsid w:val="00C72FC9"/>
    <w:rsid w:val="00C72FF3"/>
    <w:rsid w:val="00C73077"/>
    <w:rsid w:val="00C730C4"/>
    <w:rsid w:val="00C730C7"/>
    <w:rsid w:val="00C730CD"/>
    <w:rsid w:val="00C730FC"/>
    <w:rsid w:val="00C73107"/>
    <w:rsid w:val="00C7310F"/>
    <w:rsid w:val="00C73145"/>
    <w:rsid w:val="00C7318B"/>
    <w:rsid w:val="00C731BC"/>
    <w:rsid w:val="00C73229"/>
    <w:rsid w:val="00C73255"/>
    <w:rsid w:val="00C732D4"/>
    <w:rsid w:val="00C732ED"/>
    <w:rsid w:val="00C732FB"/>
    <w:rsid w:val="00C7330F"/>
    <w:rsid w:val="00C73348"/>
    <w:rsid w:val="00C7335D"/>
    <w:rsid w:val="00C73386"/>
    <w:rsid w:val="00C7339E"/>
    <w:rsid w:val="00C7339F"/>
    <w:rsid w:val="00C733EC"/>
    <w:rsid w:val="00C7345D"/>
    <w:rsid w:val="00C734B1"/>
    <w:rsid w:val="00C734B2"/>
    <w:rsid w:val="00C734C8"/>
    <w:rsid w:val="00C73534"/>
    <w:rsid w:val="00C73618"/>
    <w:rsid w:val="00C7365B"/>
    <w:rsid w:val="00C7365F"/>
    <w:rsid w:val="00C736A5"/>
    <w:rsid w:val="00C73719"/>
    <w:rsid w:val="00C737BF"/>
    <w:rsid w:val="00C737E7"/>
    <w:rsid w:val="00C7384C"/>
    <w:rsid w:val="00C7385B"/>
    <w:rsid w:val="00C73860"/>
    <w:rsid w:val="00C738B8"/>
    <w:rsid w:val="00C7391A"/>
    <w:rsid w:val="00C73922"/>
    <w:rsid w:val="00C7393D"/>
    <w:rsid w:val="00C739F6"/>
    <w:rsid w:val="00C73A53"/>
    <w:rsid w:val="00C73AFA"/>
    <w:rsid w:val="00C73B3E"/>
    <w:rsid w:val="00C73B54"/>
    <w:rsid w:val="00C73BCE"/>
    <w:rsid w:val="00C73C11"/>
    <w:rsid w:val="00C73C35"/>
    <w:rsid w:val="00C73C4A"/>
    <w:rsid w:val="00C73CEB"/>
    <w:rsid w:val="00C73CEF"/>
    <w:rsid w:val="00C73D25"/>
    <w:rsid w:val="00C73D31"/>
    <w:rsid w:val="00C73D41"/>
    <w:rsid w:val="00C73D4B"/>
    <w:rsid w:val="00C73D64"/>
    <w:rsid w:val="00C73D76"/>
    <w:rsid w:val="00C73DBD"/>
    <w:rsid w:val="00C73E3B"/>
    <w:rsid w:val="00C73E81"/>
    <w:rsid w:val="00C73E84"/>
    <w:rsid w:val="00C73EF1"/>
    <w:rsid w:val="00C73F33"/>
    <w:rsid w:val="00C73F84"/>
    <w:rsid w:val="00C73F9B"/>
    <w:rsid w:val="00C73FF1"/>
    <w:rsid w:val="00C740C7"/>
    <w:rsid w:val="00C740D8"/>
    <w:rsid w:val="00C740DC"/>
    <w:rsid w:val="00C740DD"/>
    <w:rsid w:val="00C740FB"/>
    <w:rsid w:val="00C7410C"/>
    <w:rsid w:val="00C741B9"/>
    <w:rsid w:val="00C741F1"/>
    <w:rsid w:val="00C74240"/>
    <w:rsid w:val="00C74254"/>
    <w:rsid w:val="00C74259"/>
    <w:rsid w:val="00C7429F"/>
    <w:rsid w:val="00C742E7"/>
    <w:rsid w:val="00C74310"/>
    <w:rsid w:val="00C74381"/>
    <w:rsid w:val="00C74382"/>
    <w:rsid w:val="00C743FD"/>
    <w:rsid w:val="00C74417"/>
    <w:rsid w:val="00C7445A"/>
    <w:rsid w:val="00C74474"/>
    <w:rsid w:val="00C744A0"/>
    <w:rsid w:val="00C744D8"/>
    <w:rsid w:val="00C74510"/>
    <w:rsid w:val="00C74590"/>
    <w:rsid w:val="00C74592"/>
    <w:rsid w:val="00C74597"/>
    <w:rsid w:val="00C7459F"/>
    <w:rsid w:val="00C745B6"/>
    <w:rsid w:val="00C745FD"/>
    <w:rsid w:val="00C7466E"/>
    <w:rsid w:val="00C746A5"/>
    <w:rsid w:val="00C74708"/>
    <w:rsid w:val="00C74721"/>
    <w:rsid w:val="00C74870"/>
    <w:rsid w:val="00C74871"/>
    <w:rsid w:val="00C74894"/>
    <w:rsid w:val="00C748E8"/>
    <w:rsid w:val="00C74908"/>
    <w:rsid w:val="00C74957"/>
    <w:rsid w:val="00C7495A"/>
    <w:rsid w:val="00C74980"/>
    <w:rsid w:val="00C749CD"/>
    <w:rsid w:val="00C749D3"/>
    <w:rsid w:val="00C749FD"/>
    <w:rsid w:val="00C74A37"/>
    <w:rsid w:val="00C74A9D"/>
    <w:rsid w:val="00C74ADC"/>
    <w:rsid w:val="00C74B71"/>
    <w:rsid w:val="00C74B87"/>
    <w:rsid w:val="00C74BF0"/>
    <w:rsid w:val="00C74C17"/>
    <w:rsid w:val="00C74C3A"/>
    <w:rsid w:val="00C74C3C"/>
    <w:rsid w:val="00C74D03"/>
    <w:rsid w:val="00C74D0D"/>
    <w:rsid w:val="00C74D4D"/>
    <w:rsid w:val="00C74D6F"/>
    <w:rsid w:val="00C74D7A"/>
    <w:rsid w:val="00C74D87"/>
    <w:rsid w:val="00C74DA3"/>
    <w:rsid w:val="00C74DFD"/>
    <w:rsid w:val="00C74E14"/>
    <w:rsid w:val="00C74E19"/>
    <w:rsid w:val="00C74E5B"/>
    <w:rsid w:val="00C74E5F"/>
    <w:rsid w:val="00C74F63"/>
    <w:rsid w:val="00C74F6A"/>
    <w:rsid w:val="00C74F93"/>
    <w:rsid w:val="00C74FB1"/>
    <w:rsid w:val="00C74FC0"/>
    <w:rsid w:val="00C74FF0"/>
    <w:rsid w:val="00C74FFD"/>
    <w:rsid w:val="00C7505F"/>
    <w:rsid w:val="00C75067"/>
    <w:rsid w:val="00C75080"/>
    <w:rsid w:val="00C750D8"/>
    <w:rsid w:val="00C7512D"/>
    <w:rsid w:val="00C7515F"/>
    <w:rsid w:val="00C7516F"/>
    <w:rsid w:val="00C75173"/>
    <w:rsid w:val="00C751A1"/>
    <w:rsid w:val="00C751C6"/>
    <w:rsid w:val="00C75274"/>
    <w:rsid w:val="00C752B1"/>
    <w:rsid w:val="00C752B8"/>
    <w:rsid w:val="00C752C6"/>
    <w:rsid w:val="00C752F7"/>
    <w:rsid w:val="00C7533E"/>
    <w:rsid w:val="00C75354"/>
    <w:rsid w:val="00C753D0"/>
    <w:rsid w:val="00C753E1"/>
    <w:rsid w:val="00C7540B"/>
    <w:rsid w:val="00C75516"/>
    <w:rsid w:val="00C75574"/>
    <w:rsid w:val="00C75597"/>
    <w:rsid w:val="00C755BB"/>
    <w:rsid w:val="00C75647"/>
    <w:rsid w:val="00C75696"/>
    <w:rsid w:val="00C756C4"/>
    <w:rsid w:val="00C757FA"/>
    <w:rsid w:val="00C7589D"/>
    <w:rsid w:val="00C7591D"/>
    <w:rsid w:val="00C7592F"/>
    <w:rsid w:val="00C7593F"/>
    <w:rsid w:val="00C75954"/>
    <w:rsid w:val="00C75972"/>
    <w:rsid w:val="00C75991"/>
    <w:rsid w:val="00C759C1"/>
    <w:rsid w:val="00C759C9"/>
    <w:rsid w:val="00C75A0C"/>
    <w:rsid w:val="00C75A4E"/>
    <w:rsid w:val="00C75A95"/>
    <w:rsid w:val="00C75A97"/>
    <w:rsid w:val="00C75A98"/>
    <w:rsid w:val="00C75AE0"/>
    <w:rsid w:val="00C75AEF"/>
    <w:rsid w:val="00C75B78"/>
    <w:rsid w:val="00C75C9E"/>
    <w:rsid w:val="00C75CA7"/>
    <w:rsid w:val="00C75CD1"/>
    <w:rsid w:val="00C75D82"/>
    <w:rsid w:val="00C75DA8"/>
    <w:rsid w:val="00C75E0E"/>
    <w:rsid w:val="00C75E53"/>
    <w:rsid w:val="00C75ECF"/>
    <w:rsid w:val="00C75ED7"/>
    <w:rsid w:val="00C75FB3"/>
    <w:rsid w:val="00C75FDA"/>
    <w:rsid w:val="00C76022"/>
    <w:rsid w:val="00C76024"/>
    <w:rsid w:val="00C76077"/>
    <w:rsid w:val="00C7612B"/>
    <w:rsid w:val="00C7613B"/>
    <w:rsid w:val="00C76154"/>
    <w:rsid w:val="00C76192"/>
    <w:rsid w:val="00C761A3"/>
    <w:rsid w:val="00C7621B"/>
    <w:rsid w:val="00C76251"/>
    <w:rsid w:val="00C7629D"/>
    <w:rsid w:val="00C762A1"/>
    <w:rsid w:val="00C762B0"/>
    <w:rsid w:val="00C762E8"/>
    <w:rsid w:val="00C7631C"/>
    <w:rsid w:val="00C7634E"/>
    <w:rsid w:val="00C76351"/>
    <w:rsid w:val="00C7639D"/>
    <w:rsid w:val="00C76491"/>
    <w:rsid w:val="00C7654F"/>
    <w:rsid w:val="00C76555"/>
    <w:rsid w:val="00C765C3"/>
    <w:rsid w:val="00C765D9"/>
    <w:rsid w:val="00C76607"/>
    <w:rsid w:val="00C76640"/>
    <w:rsid w:val="00C7667D"/>
    <w:rsid w:val="00C766AD"/>
    <w:rsid w:val="00C766CD"/>
    <w:rsid w:val="00C766EF"/>
    <w:rsid w:val="00C766FD"/>
    <w:rsid w:val="00C76712"/>
    <w:rsid w:val="00C7671C"/>
    <w:rsid w:val="00C7673B"/>
    <w:rsid w:val="00C76755"/>
    <w:rsid w:val="00C76758"/>
    <w:rsid w:val="00C76781"/>
    <w:rsid w:val="00C767B3"/>
    <w:rsid w:val="00C76826"/>
    <w:rsid w:val="00C7682C"/>
    <w:rsid w:val="00C76879"/>
    <w:rsid w:val="00C768D0"/>
    <w:rsid w:val="00C768D5"/>
    <w:rsid w:val="00C76900"/>
    <w:rsid w:val="00C76916"/>
    <w:rsid w:val="00C7691C"/>
    <w:rsid w:val="00C76986"/>
    <w:rsid w:val="00C76A0F"/>
    <w:rsid w:val="00C76A99"/>
    <w:rsid w:val="00C76AD6"/>
    <w:rsid w:val="00C76AE3"/>
    <w:rsid w:val="00C76AE5"/>
    <w:rsid w:val="00C76B38"/>
    <w:rsid w:val="00C76B4C"/>
    <w:rsid w:val="00C76B89"/>
    <w:rsid w:val="00C76BC2"/>
    <w:rsid w:val="00C76BD3"/>
    <w:rsid w:val="00C76BDA"/>
    <w:rsid w:val="00C76C07"/>
    <w:rsid w:val="00C76C0B"/>
    <w:rsid w:val="00C76C5E"/>
    <w:rsid w:val="00C76CC9"/>
    <w:rsid w:val="00C76CD1"/>
    <w:rsid w:val="00C76CD3"/>
    <w:rsid w:val="00C76CD6"/>
    <w:rsid w:val="00C76CF0"/>
    <w:rsid w:val="00C76D35"/>
    <w:rsid w:val="00C76DD7"/>
    <w:rsid w:val="00C76E35"/>
    <w:rsid w:val="00C76E4C"/>
    <w:rsid w:val="00C76E5E"/>
    <w:rsid w:val="00C76E6F"/>
    <w:rsid w:val="00C76E76"/>
    <w:rsid w:val="00C76ED4"/>
    <w:rsid w:val="00C76F73"/>
    <w:rsid w:val="00C76FA5"/>
    <w:rsid w:val="00C76FB4"/>
    <w:rsid w:val="00C76FF1"/>
    <w:rsid w:val="00C77002"/>
    <w:rsid w:val="00C77007"/>
    <w:rsid w:val="00C7700E"/>
    <w:rsid w:val="00C770D4"/>
    <w:rsid w:val="00C770DC"/>
    <w:rsid w:val="00C771EC"/>
    <w:rsid w:val="00C77207"/>
    <w:rsid w:val="00C77223"/>
    <w:rsid w:val="00C7729D"/>
    <w:rsid w:val="00C772C3"/>
    <w:rsid w:val="00C772C9"/>
    <w:rsid w:val="00C772D2"/>
    <w:rsid w:val="00C7731B"/>
    <w:rsid w:val="00C77343"/>
    <w:rsid w:val="00C773A0"/>
    <w:rsid w:val="00C773A2"/>
    <w:rsid w:val="00C773A8"/>
    <w:rsid w:val="00C774E7"/>
    <w:rsid w:val="00C77514"/>
    <w:rsid w:val="00C77555"/>
    <w:rsid w:val="00C7756C"/>
    <w:rsid w:val="00C77583"/>
    <w:rsid w:val="00C77637"/>
    <w:rsid w:val="00C7764D"/>
    <w:rsid w:val="00C77654"/>
    <w:rsid w:val="00C776A9"/>
    <w:rsid w:val="00C777CE"/>
    <w:rsid w:val="00C777D5"/>
    <w:rsid w:val="00C7787D"/>
    <w:rsid w:val="00C778DD"/>
    <w:rsid w:val="00C77904"/>
    <w:rsid w:val="00C77929"/>
    <w:rsid w:val="00C7794F"/>
    <w:rsid w:val="00C779FB"/>
    <w:rsid w:val="00C77A7F"/>
    <w:rsid w:val="00C77A82"/>
    <w:rsid w:val="00C77A84"/>
    <w:rsid w:val="00C77AD6"/>
    <w:rsid w:val="00C77B05"/>
    <w:rsid w:val="00C77B16"/>
    <w:rsid w:val="00C77B28"/>
    <w:rsid w:val="00C77B69"/>
    <w:rsid w:val="00C77B8F"/>
    <w:rsid w:val="00C77BF6"/>
    <w:rsid w:val="00C77BFB"/>
    <w:rsid w:val="00C77C03"/>
    <w:rsid w:val="00C77C0E"/>
    <w:rsid w:val="00C77C12"/>
    <w:rsid w:val="00C77C3E"/>
    <w:rsid w:val="00C77D06"/>
    <w:rsid w:val="00C77D28"/>
    <w:rsid w:val="00C77D3E"/>
    <w:rsid w:val="00C77DD0"/>
    <w:rsid w:val="00C77DF2"/>
    <w:rsid w:val="00C77DFB"/>
    <w:rsid w:val="00C77E0A"/>
    <w:rsid w:val="00C77E7E"/>
    <w:rsid w:val="00C77ED6"/>
    <w:rsid w:val="00C77F03"/>
    <w:rsid w:val="00C77F74"/>
    <w:rsid w:val="00C80006"/>
    <w:rsid w:val="00C80108"/>
    <w:rsid w:val="00C80119"/>
    <w:rsid w:val="00C80153"/>
    <w:rsid w:val="00C80158"/>
    <w:rsid w:val="00C80170"/>
    <w:rsid w:val="00C801D0"/>
    <w:rsid w:val="00C801E4"/>
    <w:rsid w:val="00C8023F"/>
    <w:rsid w:val="00C8026C"/>
    <w:rsid w:val="00C80273"/>
    <w:rsid w:val="00C802B7"/>
    <w:rsid w:val="00C802DD"/>
    <w:rsid w:val="00C802E9"/>
    <w:rsid w:val="00C802F8"/>
    <w:rsid w:val="00C8032F"/>
    <w:rsid w:val="00C803BA"/>
    <w:rsid w:val="00C8048C"/>
    <w:rsid w:val="00C80546"/>
    <w:rsid w:val="00C805E4"/>
    <w:rsid w:val="00C805F5"/>
    <w:rsid w:val="00C80626"/>
    <w:rsid w:val="00C8063B"/>
    <w:rsid w:val="00C806F0"/>
    <w:rsid w:val="00C80726"/>
    <w:rsid w:val="00C80737"/>
    <w:rsid w:val="00C8075D"/>
    <w:rsid w:val="00C80768"/>
    <w:rsid w:val="00C807A4"/>
    <w:rsid w:val="00C807AA"/>
    <w:rsid w:val="00C807B0"/>
    <w:rsid w:val="00C807DB"/>
    <w:rsid w:val="00C80835"/>
    <w:rsid w:val="00C80872"/>
    <w:rsid w:val="00C808D1"/>
    <w:rsid w:val="00C80928"/>
    <w:rsid w:val="00C80A02"/>
    <w:rsid w:val="00C80A1D"/>
    <w:rsid w:val="00C80AA3"/>
    <w:rsid w:val="00C80B11"/>
    <w:rsid w:val="00C80B34"/>
    <w:rsid w:val="00C80B3D"/>
    <w:rsid w:val="00C80B59"/>
    <w:rsid w:val="00C80B61"/>
    <w:rsid w:val="00C80B9F"/>
    <w:rsid w:val="00C80C29"/>
    <w:rsid w:val="00C80C52"/>
    <w:rsid w:val="00C80CBF"/>
    <w:rsid w:val="00C80CE6"/>
    <w:rsid w:val="00C80D1E"/>
    <w:rsid w:val="00C80D54"/>
    <w:rsid w:val="00C80D6E"/>
    <w:rsid w:val="00C80D78"/>
    <w:rsid w:val="00C80DB6"/>
    <w:rsid w:val="00C80DE7"/>
    <w:rsid w:val="00C80DF4"/>
    <w:rsid w:val="00C80E12"/>
    <w:rsid w:val="00C80E19"/>
    <w:rsid w:val="00C80E6A"/>
    <w:rsid w:val="00C80E6C"/>
    <w:rsid w:val="00C80EFA"/>
    <w:rsid w:val="00C80FE8"/>
    <w:rsid w:val="00C80FF4"/>
    <w:rsid w:val="00C81029"/>
    <w:rsid w:val="00C8102F"/>
    <w:rsid w:val="00C8107D"/>
    <w:rsid w:val="00C811AB"/>
    <w:rsid w:val="00C811B3"/>
    <w:rsid w:val="00C811BF"/>
    <w:rsid w:val="00C811DD"/>
    <w:rsid w:val="00C811DF"/>
    <w:rsid w:val="00C8121B"/>
    <w:rsid w:val="00C812C7"/>
    <w:rsid w:val="00C8131D"/>
    <w:rsid w:val="00C81321"/>
    <w:rsid w:val="00C81347"/>
    <w:rsid w:val="00C81393"/>
    <w:rsid w:val="00C81413"/>
    <w:rsid w:val="00C81447"/>
    <w:rsid w:val="00C81570"/>
    <w:rsid w:val="00C81576"/>
    <w:rsid w:val="00C815A8"/>
    <w:rsid w:val="00C815D0"/>
    <w:rsid w:val="00C815DA"/>
    <w:rsid w:val="00C815E1"/>
    <w:rsid w:val="00C815FD"/>
    <w:rsid w:val="00C8163E"/>
    <w:rsid w:val="00C8165B"/>
    <w:rsid w:val="00C8165E"/>
    <w:rsid w:val="00C816B0"/>
    <w:rsid w:val="00C816D7"/>
    <w:rsid w:val="00C816F8"/>
    <w:rsid w:val="00C81743"/>
    <w:rsid w:val="00C8174F"/>
    <w:rsid w:val="00C81763"/>
    <w:rsid w:val="00C81817"/>
    <w:rsid w:val="00C81843"/>
    <w:rsid w:val="00C81864"/>
    <w:rsid w:val="00C818C7"/>
    <w:rsid w:val="00C818ED"/>
    <w:rsid w:val="00C81984"/>
    <w:rsid w:val="00C819E4"/>
    <w:rsid w:val="00C81A07"/>
    <w:rsid w:val="00C81A09"/>
    <w:rsid w:val="00C81A54"/>
    <w:rsid w:val="00C81AA2"/>
    <w:rsid w:val="00C81AAB"/>
    <w:rsid w:val="00C81ADF"/>
    <w:rsid w:val="00C81B79"/>
    <w:rsid w:val="00C81BF7"/>
    <w:rsid w:val="00C81BF8"/>
    <w:rsid w:val="00C81C08"/>
    <w:rsid w:val="00C81C42"/>
    <w:rsid w:val="00C81D4E"/>
    <w:rsid w:val="00C81DCC"/>
    <w:rsid w:val="00C81DDF"/>
    <w:rsid w:val="00C81E26"/>
    <w:rsid w:val="00C81E2F"/>
    <w:rsid w:val="00C81E30"/>
    <w:rsid w:val="00C81E41"/>
    <w:rsid w:val="00C81E5E"/>
    <w:rsid w:val="00C81E7B"/>
    <w:rsid w:val="00C81EB6"/>
    <w:rsid w:val="00C81ED3"/>
    <w:rsid w:val="00C81F0F"/>
    <w:rsid w:val="00C81F23"/>
    <w:rsid w:val="00C81F39"/>
    <w:rsid w:val="00C81F96"/>
    <w:rsid w:val="00C82025"/>
    <w:rsid w:val="00C82029"/>
    <w:rsid w:val="00C8205A"/>
    <w:rsid w:val="00C82072"/>
    <w:rsid w:val="00C82084"/>
    <w:rsid w:val="00C8208B"/>
    <w:rsid w:val="00C82091"/>
    <w:rsid w:val="00C820A2"/>
    <w:rsid w:val="00C820A3"/>
    <w:rsid w:val="00C820F7"/>
    <w:rsid w:val="00C820FC"/>
    <w:rsid w:val="00C82165"/>
    <w:rsid w:val="00C82184"/>
    <w:rsid w:val="00C821A8"/>
    <w:rsid w:val="00C821B8"/>
    <w:rsid w:val="00C8221A"/>
    <w:rsid w:val="00C8223C"/>
    <w:rsid w:val="00C8228D"/>
    <w:rsid w:val="00C82296"/>
    <w:rsid w:val="00C822A9"/>
    <w:rsid w:val="00C822EA"/>
    <w:rsid w:val="00C82345"/>
    <w:rsid w:val="00C823A6"/>
    <w:rsid w:val="00C8240A"/>
    <w:rsid w:val="00C8245A"/>
    <w:rsid w:val="00C82489"/>
    <w:rsid w:val="00C82494"/>
    <w:rsid w:val="00C82496"/>
    <w:rsid w:val="00C8249E"/>
    <w:rsid w:val="00C82550"/>
    <w:rsid w:val="00C825FF"/>
    <w:rsid w:val="00C82601"/>
    <w:rsid w:val="00C8262C"/>
    <w:rsid w:val="00C82676"/>
    <w:rsid w:val="00C82691"/>
    <w:rsid w:val="00C826AF"/>
    <w:rsid w:val="00C826F6"/>
    <w:rsid w:val="00C8277B"/>
    <w:rsid w:val="00C8277C"/>
    <w:rsid w:val="00C82798"/>
    <w:rsid w:val="00C827EA"/>
    <w:rsid w:val="00C8291A"/>
    <w:rsid w:val="00C82965"/>
    <w:rsid w:val="00C82968"/>
    <w:rsid w:val="00C829BA"/>
    <w:rsid w:val="00C829D8"/>
    <w:rsid w:val="00C829EF"/>
    <w:rsid w:val="00C829FC"/>
    <w:rsid w:val="00C82A06"/>
    <w:rsid w:val="00C82A34"/>
    <w:rsid w:val="00C82ACF"/>
    <w:rsid w:val="00C82AEA"/>
    <w:rsid w:val="00C82B10"/>
    <w:rsid w:val="00C82B13"/>
    <w:rsid w:val="00C82B3C"/>
    <w:rsid w:val="00C82B5A"/>
    <w:rsid w:val="00C82B6A"/>
    <w:rsid w:val="00C82BBF"/>
    <w:rsid w:val="00C82BC9"/>
    <w:rsid w:val="00C82BD2"/>
    <w:rsid w:val="00C82C1A"/>
    <w:rsid w:val="00C82C7B"/>
    <w:rsid w:val="00C82CA5"/>
    <w:rsid w:val="00C82CC0"/>
    <w:rsid w:val="00C82E3C"/>
    <w:rsid w:val="00C82EE3"/>
    <w:rsid w:val="00C82EE5"/>
    <w:rsid w:val="00C82EFA"/>
    <w:rsid w:val="00C82F11"/>
    <w:rsid w:val="00C82F1C"/>
    <w:rsid w:val="00C82FC5"/>
    <w:rsid w:val="00C82FF2"/>
    <w:rsid w:val="00C82FFB"/>
    <w:rsid w:val="00C8304E"/>
    <w:rsid w:val="00C830A4"/>
    <w:rsid w:val="00C8313B"/>
    <w:rsid w:val="00C8318C"/>
    <w:rsid w:val="00C831C2"/>
    <w:rsid w:val="00C831CB"/>
    <w:rsid w:val="00C831F1"/>
    <w:rsid w:val="00C83224"/>
    <w:rsid w:val="00C83281"/>
    <w:rsid w:val="00C832B9"/>
    <w:rsid w:val="00C832DF"/>
    <w:rsid w:val="00C832E5"/>
    <w:rsid w:val="00C8331D"/>
    <w:rsid w:val="00C8332C"/>
    <w:rsid w:val="00C83354"/>
    <w:rsid w:val="00C833BA"/>
    <w:rsid w:val="00C833F6"/>
    <w:rsid w:val="00C8340D"/>
    <w:rsid w:val="00C83429"/>
    <w:rsid w:val="00C834D1"/>
    <w:rsid w:val="00C834E3"/>
    <w:rsid w:val="00C834E7"/>
    <w:rsid w:val="00C834F8"/>
    <w:rsid w:val="00C8350A"/>
    <w:rsid w:val="00C8355E"/>
    <w:rsid w:val="00C83587"/>
    <w:rsid w:val="00C835A0"/>
    <w:rsid w:val="00C835BE"/>
    <w:rsid w:val="00C835F7"/>
    <w:rsid w:val="00C8361D"/>
    <w:rsid w:val="00C8362C"/>
    <w:rsid w:val="00C83639"/>
    <w:rsid w:val="00C8367E"/>
    <w:rsid w:val="00C83733"/>
    <w:rsid w:val="00C83758"/>
    <w:rsid w:val="00C837DC"/>
    <w:rsid w:val="00C83870"/>
    <w:rsid w:val="00C838EC"/>
    <w:rsid w:val="00C8390A"/>
    <w:rsid w:val="00C83925"/>
    <w:rsid w:val="00C8392F"/>
    <w:rsid w:val="00C8393C"/>
    <w:rsid w:val="00C8399C"/>
    <w:rsid w:val="00C839B4"/>
    <w:rsid w:val="00C83A4E"/>
    <w:rsid w:val="00C83A63"/>
    <w:rsid w:val="00C83AA2"/>
    <w:rsid w:val="00C83B6D"/>
    <w:rsid w:val="00C83B92"/>
    <w:rsid w:val="00C83BD8"/>
    <w:rsid w:val="00C83BEB"/>
    <w:rsid w:val="00C83D80"/>
    <w:rsid w:val="00C83DA0"/>
    <w:rsid w:val="00C83DB4"/>
    <w:rsid w:val="00C83E01"/>
    <w:rsid w:val="00C83E0C"/>
    <w:rsid w:val="00C83E1C"/>
    <w:rsid w:val="00C83E80"/>
    <w:rsid w:val="00C83F0F"/>
    <w:rsid w:val="00C83F4B"/>
    <w:rsid w:val="00C83F9D"/>
    <w:rsid w:val="00C83FA3"/>
    <w:rsid w:val="00C8405C"/>
    <w:rsid w:val="00C84100"/>
    <w:rsid w:val="00C8415D"/>
    <w:rsid w:val="00C841C6"/>
    <w:rsid w:val="00C841E8"/>
    <w:rsid w:val="00C84281"/>
    <w:rsid w:val="00C84304"/>
    <w:rsid w:val="00C8431E"/>
    <w:rsid w:val="00C84350"/>
    <w:rsid w:val="00C84351"/>
    <w:rsid w:val="00C84368"/>
    <w:rsid w:val="00C8439E"/>
    <w:rsid w:val="00C843F0"/>
    <w:rsid w:val="00C84462"/>
    <w:rsid w:val="00C8446F"/>
    <w:rsid w:val="00C8447D"/>
    <w:rsid w:val="00C844B1"/>
    <w:rsid w:val="00C844CF"/>
    <w:rsid w:val="00C84577"/>
    <w:rsid w:val="00C84584"/>
    <w:rsid w:val="00C84673"/>
    <w:rsid w:val="00C8469F"/>
    <w:rsid w:val="00C846ED"/>
    <w:rsid w:val="00C846F8"/>
    <w:rsid w:val="00C847C5"/>
    <w:rsid w:val="00C84862"/>
    <w:rsid w:val="00C84871"/>
    <w:rsid w:val="00C84876"/>
    <w:rsid w:val="00C8488C"/>
    <w:rsid w:val="00C848EB"/>
    <w:rsid w:val="00C848FD"/>
    <w:rsid w:val="00C8492C"/>
    <w:rsid w:val="00C84937"/>
    <w:rsid w:val="00C849DD"/>
    <w:rsid w:val="00C849F5"/>
    <w:rsid w:val="00C849FC"/>
    <w:rsid w:val="00C84A00"/>
    <w:rsid w:val="00C84A0D"/>
    <w:rsid w:val="00C84A24"/>
    <w:rsid w:val="00C84A42"/>
    <w:rsid w:val="00C84A86"/>
    <w:rsid w:val="00C84B81"/>
    <w:rsid w:val="00C84B88"/>
    <w:rsid w:val="00C84BA7"/>
    <w:rsid w:val="00C84BB4"/>
    <w:rsid w:val="00C84BC8"/>
    <w:rsid w:val="00C84BCB"/>
    <w:rsid w:val="00C84BD9"/>
    <w:rsid w:val="00C84C4B"/>
    <w:rsid w:val="00C84C4F"/>
    <w:rsid w:val="00C84C66"/>
    <w:rsid w:val="00C84CB5"/>
    <w:rsid w:val="00C84D1F"/>
    <w:rsid w:val="00C84D25"/>
    <w:rsid w:val="00C84D68"/>
    <w:rsid w:val="00C84D82"/>
    <w:rsid w:val="00C84D83"/>
    <w:rsid w:val="00C84DD4"/>
    <w:rsid w:val="00C84E98"/>
    <w:rsid w:val="00C84EA2"/>
    <w:rsid w:val="00C84EAA"/>
    <w:rsid w:val="00C84ECC"/>
    <w:rsid w:val="00C84ED0"/>
    <w:rsid w:val="00C84EF8"/>
    <w:rsid w:val="00C84EF9"/>
    <w:rsid w:val="00C84F3E"/>
    <w:rsid w:val="00C84F41"/>
    <w:rsid w:val="00C84F5B"/>
    <w:rsid w:val="00C8500D"/>
    <w:rsid w:val="00C85073"/>
    <w:rsid w:val="00C850AF"/>
    <w:rsid w:val="00C850FF"/>
    <w:rsid w:val="00C85128"/>
    <w:rsid w:val="00C85170"/>
    <w:rsid w:val="00C851AA"/>
    <w:rsid w:val="00C85206"/>
    <w:rsid w:val="00C85242"/>
    <w:rsid w:val="00C85243"/>
    <w:rsid w:val="00C85294"/>
    <w:rsid w:val="00C85358"/>
    <w:rsid w:val="00C853EC"/>
    <w:rsid w:val="00C85416"/>
    <w:rsid w:val="00C85461"/>
    <w:rsid w:val="00C85483"/>
    <w:rsid w:val="00C854F8"/>
    <w:rsid w:val="00C854FA"/>
    <w:rsid w:val="00C85512"/>
    <w:rsid w:val="00C85516"/>
    <w:rsid w:val="00C85560"/>
    <w:rsid w:val="00C855A5"/>
    <w:rsid w:val="00C855D4"/>
    <w:rsid w:val="00C85630"/>
    <w:rsid w:val="00C8568E"/>
    <w:rsid w:val="00C85705"/>
    <w:rsid w:val="00C85787"/>
    <w:rsid w:val="00C857A7"/>
    <w:rsid w:val="00C857BF"/>
    <w:rsid w:val="00C857F0"/>
    <w:rsid w:val="00C8580B"/>
    <w:rsid w:val="00C8586F"/>
    <w:rsid w:val="00C85872"/>
    <w:rsid w:val="00C85892"/>
    <w:rsid w:val="00C858E3"/>
    <w:rsid w:val="00C85906"/>
    <w:rsid w:val="00C85914"/>
    <w:rsid w:val="00C8597C"/>
    <w:rsid w:val="00C85988"/>
    <w:rsid w:val="00C85997"/>
    <w:rsid w:val="00C859B4"/>
    <w:rsid w:val="00C85A02"/>
    <w:rsid w:val="00C85A47"/>
    <w:rsid w:val="00C85A6F"/>
    <w:rsid w:val="00C85ACE"/>
    <w:rsid w:val="00C85B1F"/>
    <w:rsid w:val="00C85BFC"/>
    <w:rsid w:val="00C85C40"/>
    <w:rsid w:val="00C85C86"/>
    <w:rsid w:val="00C85CC5"/>
    <w:rsid w:val="00C85CC9"/>
    <w:rsid w:val="00C85CD1"/>
    <w:rsid w:val="00C85D11"/>
    <w:rsid w:val="00C85D14"/>
    <w:rsid w:val="00C85E15"/>
    <w:rsid w:val="00C85E87"/>
    <w:rsid w:val="00C85EA1"/>
    <w:rsid w:val="00C85EA6"/>
    <w:rsid w:val="00C85EF0"/>
    <w:rsid w:val="00C85F22"/>
    <w:rsid w:val="00C85F53"/>
    <w:rsid w:val="00C85F7B"/>
    <w:rsid w:val="00C85F80"/>
    <w:rsid w:val="00C85F8B"/>
    <w:rsid w:val="00C85F93"/>
    <w:rsid w:val="00C85FFB"/>
    <w:rsid w:val="00C8609A"/>
    <w:rsid w:val="00C8609B"/>
    <w:rsid w:val="00C860C3"/>
    <w:rsid w:val="00C860E0"/>
    <w:rsid w:val="00C8619F"/>
    <w:rsid w:val="00C861AE"/>
    <w:rsid w:val="00C86252"/>
    <w:rsid w:val="00C862B6"/>
    <w:rsid w:val="00C862EB"/>
    <w:rsid w:val="00C86322"/>
    <w:rsid w:val="00C86335"/>
    <w:rsid w:val="00C86455"/>
    <w:rsid w:val="00C8645D"/>
    <w:rsid w:val="00C8646C"/>
    <w:rsid w:val="00C864A5"/>
    <w:rsid w:val="00C864C2"/>
    <w:rsid w:val="00C864F9"/>
    <w:rsid w:val="00C865AA"/>
    <w:rsid w:val="00C865B0"/>
    <w:rsid w:val="00C865C7"/>
    <w:rsid w:val="00C86607"/>
    <w:rsid w:val="00C8660E"/>
    <w:rsid w:val="00C8664F"/>
    <w:rsid w:val="00C866C8"/>
    <w:rsid w:val="00C86739"/>
    <w:rsid w:val="00C867CF"/>
    <w:rsid w:val="00C86820"/>
    <w:rsid w:val="00C8685C"/>
    <w:rsid w:val="00C86887"/>
    <w:rsid w:val="00C868CE"/>
    <w:rsid w:val="00C868E6"/>
    <w:rsid w:val="00C8691C"/>
    <w:rsid w:val="00C86975"/>
    <w:rsid w:val="00C869A1"/>
    <w:rsid w:val="00C869B8"/>
    <w:rsid w:val="00C86A17"/>
    <w:rsid w:val="00C86A93"/>
    <w:rsid w:val="00C86AC5"/>
    <w:rsid w:val="00C86AE9"/>
    <w:rsid w:val="00C86AFF"/>
    <w:rsid w:val="00C86B47"/>
    <w:rsid w:val="00C86B5D"/>
    <w:rsid w:val="00C86BAB"/>
    <w:rsid w:val="00C86BCE"/>
    <w:rsid w:val="00C86BE3"/>
    <w:rsid w:val="00C86C3A"/>
    <w:rsid w:val="00C86CB5"/>
    <w:rsid w:val="00C86E1E"/>
    <w:rsid w:val="00C86E2B"/>
    <w:rsid w:val="00C86E8F"/>
    <w:rsid w:val="00C86EB8"/>
    <w:rsid w:val="00C86F2A"/>
    <w:rsid w:val="00C86F5D"/>
    <w:rsid w:val="00C86FA4"/>
    <w:rsid w:val="00C86FCA"/>
    <w:rsid w:val="00C86FD2"/>
    <w:rsid w:val="00C86FE7"/>
    <w:rsid w:val="00C87021"/>
    <w:rsid w:val="00C87036"/>
    <w:rsid w:val="00C8704A"/>
    <w:rsid w:val="00C870A6"/>
    <w:rsid w:val="00C870D5"/>
    <w:rsid w:val="00C8711B"/>
    <w:rsid w:val="00C87195"/>
    <w:rsid w:val="00C871B9"/>
    <w:rsid w:val="00C871E5"/>
    <w:rsid w:val="00C87260"/>
    <w:rsid w:val="00C87273"/>
    <w:rsid w:val="00C872E9"/>
    <w:rsid w:val="00C872FA"/>
    <w:rsid w:val="00C8734D"/>
    <w:rsid w:val="00C87350"/>
    <w:rsid w:val="00C873A5"/>
    <w:rsid w:val="00C873E9"/>
    <w:rsid w:val="00C873FA"/>
    <w:rsid w:val="00C87431"/>
    <w:rsid w:val="00C87450"/>
    <w:rsid w:val="00C874C2"/>
    <w:rsid w:val="00C8752B"/>
    <w:rsid w:val="00C875CE"/>
    <w:rsid w:val="00C875D6"/>
    <w:rsid w:val="00C87613"/>
    <w:rsid w:val="00C87635"/>
    <w:rsid w:val="00C87666"/>
    <w:rsid w:val="00C87679"/>
    <w:rsid w:val="00C87693"/>
    <w:rsid w:val="00C876A2"/>
    <w:rsid w:val="00C876AD"/>
    <w:rsid w:val="00C876FB"/>
    <w:rsid w:val="00C8771B"/>
    <w:rsid w:val="00C87766"/>
    <w:rsid w:val="00C8779E"/>
    <w:rsid w:val="00C877D2"/>
    <w:rsid w:val="00C87809"/>
    <w:rsid w:val="00C87846"/>
    <w:rsid w:val="00C87896"/>
    <w:rsid w:val="00C878F6"/>
    <w:rsid w:val="00C8791B"/>
    <w:rsid w:val="00C87982"/>
    <w:rsid w:val="00C87987"/>
    <w:rsid w:val="00C879C7"/>
    <w:rsid w:val="00C879F0"/>
    <w:rsid w:val="00C87A16"/>
    <w:rsid w:val="00C87A5F"/>
    <w:rsid w:val="00C87A64"/>
    <w:rsid w:val="00C87AE0"/>
    <w:rsid w:val="00C87AEE"/>
    <w:rsid w:val="00C87B2C"/>
    <w:rsid w:val="00C87B54"/>
    <w:rsid w:val="00C87B6A"/>
    <w:rsid w:val="00C87B76"/>
    <w:rsid w:val="00C87BA3"/>
    <w:rsid w:val="00C87BB3"/>
    <w:rsid w:val="00C87BC9"/>
    <w:rsid w:val="00C87BCC"/>
    <w:rsid w:val="00C87C05"/>
    <w:rsid w:val="00C87C10"/>
    <w:rsid w:val="00C87C3F"/>
    <w:rsid w:val="00C87C59"/>
    <w:rsid w:val="00C87C77"/>
    <w:rsid w:val="00C87D0F"/>
    <w:rsid w:val="00C87D18"/>
    <w:rsid w:val="00C87D35"/>
    <w:rsid w:val="00C87D41"/>
    <w:rsid w:val="00C87D7A"/>
    <w:rsid w:val="00C87DA1"/>
    <w:rsid w:val="00C87DA9"/>
    <w:rsid w:val="00C87E16"/>
    <w:rsid w:val="00C87E48"/>
    <w:rsid w:val="00C87EA0"/>
    <w:rsid w:val="00C87EC9"/>
    <w:rsid w:val="00C87F28"/>
    <w:rsid w:val="00C87F33"/>
    <w:rsid w:val="00C87FB1"/>
    <w:rsid w:val="00C87FD2"/>
    <w:rsid w:val="00C87FFE"/>
    <w:rsid w:val="00C90063"/>
    <w:rsid w:val="00C901F7"/>
    <w:rsid w:val="00C901FA"/>
    <w:rsid w:val="00C9021E"/>
    <w:rsid w:val="00C9028A"/>
    <w:rsid w:val="00C902C1"/>
    <w:rsid w:val="00C902D6"/>
    <w:rsid w:val="00C9031D"/>
    <w:rsid w:val="00C9039D"/>
    <w:rsid w:val="00C903B7"/>
    <w:rsid w:val="00C903F4"/>
    <w:rsid w:val="00C903F7"/>
    <w:rsid w:val="00C90421"/>
    <w:rsid w:val="00C90443"/>
    <w:rsid w:val="00C9044A"/>
    <w:rsid w:val="00C90459"/>
    <w:rsid w:val="00C904D0"/>
    <w:rsid w:val="00C905A4"/>
    <w:rsid w:val="00C905BD"/>
    <w:rsid w:val="00C905D9"/>
    <w:rsid w:val="00C906AB"/>
    <w:rsid w:val="00C90736"/>
    <w:rsid w:val="00C90738"/>
    <w:rsid w:val="00C90783"/>
    <w:rsid w:val="00C90854"/>
    <w:rsid w:val="00C90883"/>
    <w:rsid w:val="00C90890"/>
    <w:rsid w:val="00C908AB"/>
    <w:rsid w:val="00C90900"/>
    <w:rsid w:val="00C90905"/>
    <w:rsid w:val="00C90964"/>
    <w:rsid w:val="00C90A8D"/>
    <w:rsid w:val="00C90AD9"/>
    <w:rsid w:val="00C90AED"/>
    <w:rsid w:val="00C90B16"/>
    <w:rsid w:val="00C90B32"/>
    <w:rsid w:val="00C90B3E"/>
    <w:rsid w:val="00C90B77"/>
    <w:rsid w:val="00C90B88"/>
    <w:rsid w:val="00C90B8D"/>
    <w:rsid w:val="00C90BAE"/>
    <w:rsid w:val="00C90BDA"/>
    <w:rsid w:val="00C90C3A"/>
    <w:rsid w:val="00C90CFB"/>
    <w:rsid w:val="00C90D4B"/>
    <w:rsid w:val="00C90D4E"/>
    <w:rsid w:val="00C90D64"/>
    <w:rsid w:val="00C90DA4"/>
    <w:rsid w:val="00C90DA5"/>
    <w:rsid w:val="00C90DAD"/>
    <w:rsid w:val="00C90E0C"/>
    <w:rsid w:val="00C90E18"/>
    <w:rsid w:val="00C90E26"/>
    <w:rsid w:val="00C90E7A"/>
    <w:rsid w:val="00C90E90"/>
    <w:rsid w:val="00C90EA0"/>
    <w:rsid w:val="00C90EC8"/>
    <w:rsid w:val="00C90EF7"/>
    <w:rsid w:val="00C9104E"/>
    <w:rsid w:val="00C91097"/>
    <w:rsid w:val="00C910EC"/>
    <w:rsid w:val="00C91127"/>
    <w:rsid w:val="00C91195"/>
    <w:rsid w:val="00C911B9"/>
    <w:rsid w:val="00C91212"/>
    <w:rsid w:val="00C9122C"/>
    <w:rsid w:val="00C9125B"/>
    <w:rsid w:val="00C91274"/>
    <w:rsid w:val="00C91282"/>
    <w:rsid w:val="00C91283"/>
    <w:rsid w:val="00C912B6"/>
    <w:rsid w:val="00C912B9"/>
    <w:rsid w:val="00C912F1"/>
    <w:rsid w:val="00C91307"/>
    <w:rsid w:val="00C91382"/>
    <w:rsid w:val="00C91386"/>
    <w:rsid w:val="00C91424"/>
    <w:rsid w:val="00C9142C"/>
    <w:rsid w:val="00C9143E"/>
    <w:rsid w:val="00C9148F"/>
    <w:rsid w:val="00C91529"/>
    <w:rsid w:val="00C91550"/>
    <w:rsid w:val="00C915BA"/>
    <w:rsid w:val="00C915CF"/>
    <w:rsid w:val="00C91693"/>
    <w:rsid w:val="00C91694"/>
    <w:rsid w:val="00C916B2"/>
    <w:rsid w:val="00C9175F"/>
    <w:rsid w:val="00C91791"/>
    <w:rsid w:val="00C917A2"/>
    <w:rsid w:val="00C917E5"/>
    <w:rsid w:val="00C91872"/>
    <w:rsid w:val="00C9189B"/>
    <w:rsid w:val="00C918AD"/>
    <w:rsid w:val="00C918CF"/>
    <w:rsid w:val="00C918F9"/>
    <w:rsid w:val="00C918FC"/>
    <w:rsid w:val="00C91983"/>
    <w:rsid w:val="00C91A6C"/>
    <w:rsid w:val="00C91A78"/>
    <w:rsid w:val="00C91AC8"/>
    <w:rsid w:val="00C91B0B"/>
    <w:rsid w:val="00C91B0D"/>
    <w:rsid w:val="00C91B13"/>
    <w:rsid w:val="00C91B2A"/>
    <w:rsid w:val="00C91B75"/>
    <w:rsid w:val="00C91C14"/>
    <w:rsid w:val="00C91C40"/>
    <w:rsid w:val="00C91D86"/>
    <w:rsid w:val="00C91DAA"/>
    <w:rsid w:val="00C91DE0"/>
    <w:rsid w:val="00C91E03"/>
    <w:rsid w:val="00C91E4C"/>
    <w:rsid w:val="00C91EED"/>
    <w:rsid w:val="00C91F06"/>
    <w:rsid w:val="00C9202B"/>
    <w:rsid w:val="00C92085"/>
    <w:rsid w:val="00C920D3"/>
    <w:rsid w:val="00C92102"/>
    <w:rsid w:val="00C9213B"/>
    <w:rsid w:val="00C9217E"/>
    <w:rsid w:val="00C92195"/>
    <w:rsid w:val="00C921AF"/>
    <w:rsid w:val="00C921C5"/>
    <w:rsid w:val="00C9220D"/>
    <w:rsid w:val="00C92235"/>
    <w:rsid w:val="00C92238"/>
    <w:rsid w:val="00C92261"/>
    <w:rsid w:val="00C92264"/>
    <w:rsid w:val="00C922A4"/>
    <w:rsid w:val="00C922CC"/>
    <w:rsid w:val="00C92334"/>
    <w:rsid w:val="00C92363"/>
    <w:rsid w:val="00C92372"/>
    <w:rsid w:val="00C923B6"/>
    <w:rsid w:val="00C9245D"/>
    <w:rsid w:val="00C92474"/>
    <w:rsid w:val="00C924C4"/>
    <w:rsid w:val="00C92544"/>
    <w:rsid w:val="00C92548"/>
    <w:rsid w:val="00C9256F"/>
    <w:rsid w:val="00C92595"/>
    <w:rsid w:val="00C925E9"/>
    <w:rsid w:val="00C92634"/>
    <w:rsid w:val="00C9264C"/>
    <w:rsid w:val="00C9265A"/>
    <w:rsid w:val="00C92661"/>
    <w:rsid w:val="00C9266F"/>
    <w:rsid w:val="00C926B7"/>
    <w:rsid w:val="00C9270F"/>
    <w:rsid w:val="00C92728"/>
    <w:rsid w:val="00C927CF"/>
    <w:rsid w:val="00C9282B"/>
    <w:rsid w:val="00C92852"/>
    <w:rsid w:val="00C928B0"/>
    <w:rsid w:val="00C928DC"/>
    <w:rsid w:val="00C9291D"/>
    <w:rsid w:val="00C929A9"/>
    <w:rsid w:val="00C929C8"/>
    <w:rsid w:val="00C92A07"/>
    <w:rsid w:val="00C92A20"/>
    <w:rsid w:val="00C92A5C"/>
    <w:rsid w:val="00C92A8A"/>
    <w:rsid w:val="00C92AE7"/>
    <w:rsid w:val="00C92AFA"/>
    <w:rsid w:val="00C92B1E"/>
    <w:rsid w:val="00C92B23"/>
    <w:rsid w:val="00C92B47"/>
    <w:rsid w:val="00C92B65"/>
    <w:rsid w:val="00C92BD0"/>
    <w:rsid w:val="00C92BEE"/>
    <w:rsid w:val="00C92C79"/>
    <w:rsid w:val="00C92CAD"/>
    <w:rsid w:val="00C92D34"/>
    <w:rsid w:val="00C92D5F"/>
    <w:rsid w:val="00C92D77"/>
    <w:rsid w:val="00C92D94"/>
    <w:rsid w:val="00C92DCB"/>
    <w:rsid w:val="00C92DD6"/>
    <w:rsid w:val="00C92E0F"/>
    <w:rsid w:val="00C92E28"/>
    <w:rsid w:val="00C92E89"/>
    <w:rsid w:val="00C92E9E"/>
    <w:rsid w:val="00C92EA6"/>
    <w:rsid w:val="00C92EB9"/>
    <w:rsid w:val="00C92ED2"/>
    <w:rsid w:val="00C92EF2"/>
    <w:rsid w:val="00C92F07"/>
    <w:rsid w:val="00C92F79"/>
    <w:rsid w:val="00C92F8F"/>
    <w:rsid w:val="00C93018"/>
    <w:rsid w:val="00C930A0"/>
    <w:rsid w:val="00C930B7"/>
    <w:rsid w:val="00C930BA"/>
    <w:rsid w:val="00C9310F"/>
    <w:rsid w:val="00C93187"/>
    <w:rsid w:val="00C931AE"/>
    <w:rsid w:val="00C931E0"/>
    <w:rsid w:val="00C931F3"/>
    <w:rsid w:val="00C9321B"/>
    <w:rsid w:val="00C9322E"/>
    <w:rsid w:val="00C9325C"/>
    <w:rsid w:val="00C9327F"/>
    <w:rsid w:val="00C9335F"/>
    <w:rsid w:val="00C9338D"/>
    <w:rsid w:val="00C933AB"/>
    <w:rsid w:val="00C933B3"/>
    <w:rsid w:val="00C933D4"/>
    <w:rsid w:val="00C933E1"/>
    <w:rsid w:val="00C93412"/>
    <w:rsid w:val="00C9342E"/>
    <w:rsid w:val="00C9342F"/>
    <w:rsid w:val="00C934F4"/>
    <w:rsid w:val="00C93506"/>
    <w:rsid w:val="00C93541"/>
    <w:rsid w:val="00C93547"/>
    <w:rsid w:val="00C935A4"/>
    <w:rsid w:val="00C935B4"/>
    <w:rsid w:val="00C935DE"/>
    <w:rsid w:val="00C9366E"/>
    <w:rsid w:val="00C937C2"/>
    <w:rsid w:val="00C9386B"/>
    <w:rsid w:val="00C938AB"/>
    <w:rsid w:val="00C938B2"/>
    <w:rsid w:val="00C938EF"/>
    <w:rsid w:val="00C938F4"/>
    <w:rsid w:val="00C93951"/>
    <w:rsid w:val="00C9397A"/>
    <w:rsid w:val="00C93995"/>
    <w:rsid w:val="00C939AD"/>
    <w:rsid w:val="00C939B9"/>
    <w:rsid w:val="00C939FD"/>
    <w:rsid w:val="00C93A0A"/>
    <w:rsid w:val="00C93A1B"/>
    <w:rsid w:val="00C93AD8"/>
    <w:rsid w:val="00C93B1B"/>
    <w:rsid w:val="00C93B84"/>
    <w:rsid w:val="00C93B87"/>
    <w:rsid w:val="00C93D2C"/>
    <w:rsid w:val="00C93D4B"/>
    <w:rsid w:val="00C93D6C"/>
    <w:rsid w:val="00C93DF2"/>
    <w:rsid w:val="00C93E00"/>
    <w:rsid w:val="00C93E16"/>
    <w:rsid w:val="00C93E45"/>
    <w:rsid w:val="00C93E75"/>
    <w:rsid w:val="00C93E9D"/>
    <w:rsid w:val="00C93EA2"/>
    <w:rsid w:val="00C93F6A"/>
    <w:rsid w:val="00C93F6B"/>
    <w:rsid w:val="00C93F6E"/>
    <w:rsid w:val="00C93F89"/>
    <w:rsid w:val="00C93F9E"/>
    <w:rsid w:val="00C93FD9"/>
    <w:rsid w:val="00C93FE8"/>
    <w:rsid w:val="00C94028"/>
    <w:rsid w:val="00C94073"/>
    <w:rsid w:val="00C94089"/>
    <w:rsid w:val="00C940CE"/>
    <w:rsid w:val="00C940F0"/>
    <w:rsid w:val="00C94128"/>
    <w:rsid w:val="00C941DE"/>
    <w:rsid w:val="00C94214"/>
    <w:rsid w:val="00C9423E"/>
    <w:rsid w:val="00C94252"/>
    <w:rsid w:val="00C94285"/>
    <w:rsid w:val="00C94297"/>
    <w:rsid w:val="00C942B0"/>
    <w:rsid w:val="00C94396"/>
    <w:rsid w:val="00C943CE"/>
    <w:rsid w:val="00C94467"/>
    <w:rsid w:val="00C94478"/>
    <w:rsid w:val="00C944CE"/>
    <w:rsid w:val="00C944DC"/>
    <w:rsid w:val="00C944F3"/>
    <w:rsid w:val="00C9456B"/>
    <w:rsid w:val="00C945A8"/>
    <w:rsid w:val="00C945D1"/>
    <w:rsid w:val="00C94658"/>
    <w:rsid w:val="00C94659"/>
    <w:rsid w:val="00C94682"/>
    <w:rsid w:val="00C946B7"/>
    <w:rsid w:val="00C946D3"/>
    <w:rsid w:val="00C946FC"/>
    <w:rsid w:val="00C94711"/>
    <w:rsid w:val="00C9476D"/>
    <w:rsid w:val="00C94779"/>
    <w:rsid w:val="00C94805"/>
    <w:rsid w:val="00C94853"/>
    <w:rsid w:val="00C94875"/>
    <w:rsid w:val="00C94879"/>
    <w:rsid w:val="00C9487B"/>
    <w:rsid w:val="00C94896"/>
    <w:rsid w:val="00C948DA"/>
    <w:rsid w:val="00C948F9"/>
    <w:rsid w:val="00C94942"/>
    <w:rsid w:val="00C94966"/>
    <w:rsid w:val="00C94A0A"/>
    <w:rsid w:val="00C94A4D"/>
    <w:rsid w:val="00C94B59"/>
    <w:rsid w:val="00C94B68"/>
    <w:rsid w:val="00C94BBF"/>
    <w:rsid w:val="00C94BF5"/>
    <w:rsid w:val="00C94BFE"/>
    <w:rsid w:val="00C94C92"/>
    <w:rsid w:val="00C94CEB"/>
    <w:rsid w:val="00C94CFB"/>
    <w:rsid w:val="00C94D3F"/>
    <w:rsid w:val="00C94DA6"/>
    <w:rsid w:val="00C94E35"/>
    <w:rsid w:val="00C94E75"/>
    <w:rsid w:val="00C94F2D"/>
    <w:rsid w:val="00C94F55"/>
    <w:rsid w:val="00C94F74"/>
    <w:rsid w:val="00C95002"/>
    <w:rsid w:val="00C95003"/>
    <w:rsid w:val="00C9500B"/>
    <w:rsid w:val="00C95014"/>
    <w:rsid w:val="00C95021"/>
    <w:rsid w:val="00C95033"/>
    <w:rsid w:val="00C9509E"/>
    <w:rsid w:val="00C950AE"/>
    <w:rsid w:val="00C95107"/>
    <w:rsid w:val="00C95162"/>
    <w:rsid w:val="00C95166"/>
    <w:rsid w:val="00C951DF"/>
    <w:rsid w:val="00C951E5"/>
    <w:rsid w:val="00C9522E"/>
    <w:rsid w:val="00C9525A"/>
    <w:rsid w:val="00C9525D"/>
    <w:rsid w:val="00C952CE"/>
    <w:rsid w:val="00C95364"/>
    <w:rsid w:val="00C953EF"/>
    <w:rsid w:val="00C9542A"/>
    <w:rsid w:val="00C95446"/>
    <w:rsid w:val="00C955EF"/>
    <w:rsid w:val="00C955FE"/>
    <w:rsid w:val="00C95609"/>
    <w:rsid w:val="00C9564C"/>
    <w:rsid w:val="00C95678"/>
    <w:rsid w:val="00C956BC"/>
    <w:rsid w:val="00C956D8"/>
    <w:rsid w:val="00C956E6"/>
    <w:rsid w:val="00C956F1"/>
    <w:rsid w:val="00C9573A"/>
    <w:rsid w:val="00C957B0"/>
    <w:rsid w:val="00C957DC"/>
    <w:rsid w:val="00C957F4"/>
    <w:rsid w:val="00C95805"/>
    <w:rsid w:val="00C9581B"/>
    <w:rsid w:val="00C95877"/>
    <w:rsid w:val="00C9591E"/>
    <w:rsid w:val="00C9592F"/>
    <w:rsid w:val="00C9598F"/>
    <w:rsid w:val="00C9599B"/>
    <w:rsid w:val="00C95A35"/>
    <w:rsid w:val="00C95A3C"/>
    <w:rsid w:val="00C95A4F"/>
    <w:rsid w:val="00C95A7B"/>
    <w:rsid w:val="00C95A95"/>
    <w:rsid w:val="00C95AF5"/>
    <w:rsid w:val="00C95AFC"/>
    <w:rsid w:val="00C95B11"/>
    <w:rsid w:val="00C95B3F"/>
    <w:rsid w:val="00C95B45"/>
    <w:rsid w:val="00C95B51"/>
    <w:rsid w:val="00C95BD2"/>
    <w:rsid w:val="00C95BD5"/>
    <w:rsid w:val="00C95C21"/>
    <w:rsid w:val="00C95C37"/>
    <w:rsid w:val="00C95D5C"/>
    <w:rsid w:val="00C95D80"/>
    <w:rsid w:val="00C95DAE"/>
    <w:rsid w:val="00C95DB3"/>
    <w:rsid w:val="00C95EA2"/>
    <w:rsid w:val="00C95EAB"/>
    <w:rsid w:val="00C95EC3"/>
    <w:rsid w:val="00C95EC7"/>
    <w:rsid w:val="00C95ECF"/>
    <w:rsid w:val="00C95EE5"/>
    <w:rsid w:val="00C95F03"/>
    <w:rsid w:val="00C95F55"/>
    <w:rsid w:val="00C95FB8"/>
    <w:rsid w:val="00C96014"/>
    <w:rsid w:val="00C9608C"/>
    <w:rsid w:val="00C960E4"/>
    <w:rsid w:val="00C960FE"/>
    <w:rsid w:val="00C96119"/>
    <w:rsid w:val="00C96183"/>
    <w:rsid w:val="00C9624B"/>
    <w:rsid w:val="00C962B8"/>
    <w:rsid w:val="00C962C0"/>
    <w:rsid w:val="00C962FD"/>
    <w:rsid w:val="00C96330"/>
    <w:rsid w:val="00C9635D"/>
    <w:rsid w:val="00C9636B"/>
    <w:rsid w:val="00C96415"/>
    <w:rsid w:val="00C96448"/>
    <w:rsid w:val="00C964C4"/>
    <w:rsid w:val="00C964CA"/>
    <w:rsid w:val="00C964D9"/>
    <w:rsid w:val="00C96504"/>
    <w:rsid w:val="00C96543"/>
    <w:rsid w:val="00C96562"/>
    <w:rsid w:val="00C9656E"/>
    <w:rsid w:val="00C965A8"/>
    <w:rsid w:val="00C965BF"/>
    <w:rsid w:val="00C965F1"/>
    <w:rsid w:val="00C96635"/>
    <w:rsid w:val="00C9665C"/>
    <w:rsid w:val="00C9667E"/>
    <w:rsid w:val="00C9668C"/>
    <w:rsid w:val="00C966C2"/>
    <w:rsid w:val="00C966FA"/>
    <w:rsid w:val="00C96773"/>
    <w:rsid w:val="00C96787"/>
    <w:rsid w:val="00C96807"/>
    <w:rsid w:val="00C96864"/>
    <w:rsid w:val="00C9686C"/>
    <w:rsid w:val="00C968C1"/>
    <w:rsid w:val="00C9697F"/>
    <w:rsid w:val="00C969DF"/>
    <w:rsid w:val="00C969FD"/>
    <w:rsid w:val="00C96A28"/>
    <w:rsid w:val="00C96A57"/>
    <w:rsid w:val="00C96A6C"/>
    <w:rsid w:val="00C96A88"/>
    <w:rsid w:val="00C96ADB"/>
    <w:rsid w:val="00C96ADE"/>
    <w:rsid w:val="00C96B17"/>
    <w:rsid w:val="00C96B48"/>
    <w:rsid w:val="00C96B61"/>
    <w:rsid w:val="00C96B68"/>
    <w:rsid w:val="00C96BA4"/>
    <w:rsid w:val="00C96BA8"/>
    <w:rsid w:val="00C96C08"/>
    <w:rsid w:val="00C96C6A"/>
    <w:rsid w:val="00C96C97"/>
    <w:rsid w:val="00C96CED"/>
    <w:rsid w:val="00C96D54"/>
    <w:rsid w:val="00C96D82"/>
    <w:rsid w:val="00C96DE6"/>
    <w:rsid w:val="00C96DF1"/>
    <w:rsid w:val="00C96E2B"/>
    <w:rsid w:val="00C96E81"/>
    <w:rsid w:val="00C96EC1"/>
    <w:rsid w:val="00C96EC3"/>
    <w:rsid w:val="00C96F3D"/>
    <w:rsid w:val="00C96F83"/>
    <w:rsid w:val="00C96F91"/>
    <w:rsid w:val="00C96FC4"/>
    <w:rsid w:val="00C97043"/>
    <w:rsid w:val="00C9705C"/>
    <w:rsid w:val="00C97088"/>
    <w:rsid w:val="00C970B0"/>
    <w:rsid w:val="00C971B2"/>
    <w:rsid w:val="00C971F9"/>
    <w:rsid w:val="00C971FE"/>
    <w:rsid w:val="00C97200"/>
    <w:rsid w:val="00C97296"/>
    <w:rsid w:val="00C972C5"/>
    <w:rsid w:val="00C972E9"/>
    <w:rsid w:val="00C97322"/>
    <w:rsid w:val="00C97323"/>
    <w:rsid w:val="00C97371"/>
    <w:rsid w:val="00C97381"/>
    <w:rsid w:val="00C973A4"/>
    <w:rsid w:val="00C973A5"/>
    <w:rsid w:val="00C9741B"/>
    <w:rsid w:val="00C9743B"/>
    <w:rsid w:val="00C974C0"/>
    <w:rsid w:val="00C974FE"/>
    <w:rsid w:val="00C97500"/>
    <w:rsid w:val="00C9750F"/>
    <w:rsid w:val="00C9753E"/>
    <w:rsid w:val="00C975BC"/>
    <w:rsid w:val="00C975F1"/>
    <w:rsid w:val="00C97647"/>
    <w:rsid w:val="00C9764C"/>
    <w:rsid w:val="00C9767B"/>
    <w:rsid w:val="00C97746"/>
    <w:rsid w:val="00C97748"/>
    <w:rsid w:val="00C977F4"/>
    <w:rsid w:val="00C977F5"/>
    <w:rsid w:val="00C97837"/>
    <w:rsid w:val="00C978CA"/>
    <w:rsid w:val="00C978D2"/>
    <w:rsid w:val="00C97914"/>
    <w:rsid w:val="00C9796D"/>
    <w:rsid w:val="00C979A4"/>
    <w:rsid w:val="00C979B3"/>
    <w:rsid w:val="00C979DA"/>
    <w:rsid w:val="00C979F0"/>
    <w:rsid w:val="00C97A23"/>
    <w:rsid w:val="00C97A94"/>
    <w:rsid w:val="00C97B3C"/>
    <w:rsid w:val="00C97B54"/>
    <w:rsid w:val="00C97B5D"/>
    <w:rsid w:val="00C97BF4"/>
    <w:rsid w:val="00C97C8F"/>
    <w:rsid w:val="00C97CB9"/>
    <w:rsid w:val="00C97CD1"/>
    <w:rsid w:val="00C97CF2"/>
    <w:rsid w:val="00C97D25"/>
    <w:rsid w:val="00C97D53"/>
    <w:rsid w:val="00C97D5F"/>
    <w:rsid w:val="00C97D73"/>
    <w:rsid w:val="00C97EDD"/>
    <w:rsid w:val="00C97F22"/>
    <w:rsid w:val="00C97F2C"/>
    <w:rsid w:val="00C97F4E"/>
    <w:rsid w:val="00C97F5A"/>
    <w:rsid w:val="00C97F5C"/>
    <w:rsid w:val="00C97F92"/>
    <w:rsid w:val="00C97F9F"/>
    <w:rsid w:val="00C97FBD"/>
    <w:rsid w:val="00C97FFE"/>
    <w:rsid w:val="00C9D58E"/>
    <w:rsid w:val="00CA001C"/>
    <w:rsid w:val="00CA0090"/>
    <w:rsid w:val="00CA00C0"/>
    <w:rsid w:val="00CA0153"/>
    <w:rsid w:val="00CA020D"/>
    <w:rsid w:val="00CA0233"/>
    <w:rsid w:val="00CA023D"/>
    <w:rsid w:val="00CA0255"/>
    <w:rsid w:val="00CA02CA"/>
    <w:rsid w:val="00CA032D"/>
    <w:rsid w:val="00CA03FA"/>
    <w:rsid w:val="00CA0483"/>
    <w:rsid w:val="00CA04BD"/>
    <w:rsid w:val="00CA05CD"/>
    <w:rsid w:val="00CA068B"/>
    <w:rsid w:val="00CA072C"/>
    <w:rsid w:val="00CA074C"/>
    <w:rsid w:val="00CA07A0"/>
    <w:rsid w:val="00CA07E1"/>
    <w:rsid w:val="00CA0819"/>
    <w:rsid w:val="00CA091A"/>
    <w:rsid w:val="00CA097A"/>
    <w:rsid w:val="00CA0A1B"/>
    <w:rsid w:val="00CA0B0E"/>
    <w:rsid w:val="00CA0B5A"/>
    <w:rsid w:val="00CA0DE7"/>
    <w:rsid w:val="00CA0E72"/>
    <w:rsid w:val="00CA0EF9"/>
    <w:rsid w:val="00CA0F29"/>
    <w:rsid w:val="00CA0F37"/>
    <w:rsid w:val="00CA0F38"/>
    <w:rsid w:val="00CA0F8C"/>
    <w:rsid w:val="00CA0FD6"/>
    <w:rsid w:val="00CA0FF7"/>
    <w:rsid w:val="00CA101D"/>
    <w:rsid w:val="00CA10A7"/>
    <w:rsid w:val="00CA10F7"/>
    <w:rsid w:val="00CA1149"/>
    <w:rsid w:val="00CA1198"/>
    <w:rsid w:val="00CA11C1"/>
    <w:rsid w:val="00CA11EA"/>
    <w:rsid w:val="00CA11F9"/>
    <w:rsid w:val="00CA1228"/>
    <w:rsid w:val="00CA1292"/>
    <w:rsid w:val="00CA12DE"/>
    <w:rsid w:val="00CA12FD"/>
    <w:rsid w:val="00CA1306"/>
    <w:rsid w:val="00CA132E"/>
    <w:rsid w:val="00CA1354"/>
    <w:rsid w:val="00CA1369"/>
    <w:rsid w:val="00CA136B"/>
    <w:rsid w:val="00CA1387"/>
    <w:rsid w:val="00CA13AC"/>
    <w:rsid w:val="00CA13E1"/>
    <w:rsid w:val="00CA1408"/>
    <w:rsid w:val="00CA141C"/>
    <w:rsid w:val="00CA144B"/>
    <w:rsid w:val="00CA1483"/>
    <w:rsid w:val="00CA14B6"/>
    <w:rsid w:val="00CA157D"/>
    <w:rsid w:val="00CA160E"/>
    <w:rsid w:val="00CA1654"/>
    <w:rsid w:val="00CA1701"/>
    <w:rsid w:val="00CA1710"/>
    <w:rsid w:val="00CA1711"/>
    <w:rsid w:val="00CA17A7"/>
    <w:rsid w:val="00CA1805"/>
    <w:rsid w:val="00CA1813"/>
    <w:rsid w:val="00CA183B"/>
    <w:rsid w:val="00CA1920"/>
    <w:rsid w:val="00CA1970"/>
    <w:rsid w:val="00CA197D"/>
    <w:rsid w:val="00CA1996"/>
    <w:rsid w:val="00CA19BB"/>
    <w:rsid w:val="00CA19DE"/>
    <w:rsid w:val="00CA1A1D"/>
    <w:rsid w:val="00CA1A30"/>
    <w:rsid w:val="00CA1AA6"/>
    <w:rsid w:val="00CA1AE5"/>
    <w:rsid w:val="00CA1AEE"/>
    <w:rsid w:val="00CA1B8E"/>
    <w:rsid w:val="00CA1BA8"/>
    <w:rsid w:val="00CA1C10"/>
    <w:rsid w:val="00CA1C28"/>
    <w:rsid w:val="00CA1C3F"/>
    <w:rsid w:val="00CA1CC9"/>
    <w:rsid w:val="00CA1CF5"/>
    <w:rsid w:val="00CA1DC8"/>
    <w:rsid w:val="00CA1DDD"/>
    <w:rsid w:val="00CA1E3D"/>
    <w:rsid w:val="00CA1E5B"/>
    <w:rsid w:val="00CA1F0F"/>
    <w:rsid w:val="00CA1F1D"/>
    <w:rsid w:val="00CA1F2F"/>
    <w:rsid w:val="00CA1FC0"/>
    <w:rsid w:val="00CA1FFA"/>
    <w:rsid w:val="00CA20E4"/>
    <w:rsid w:val="00CA20E7"/>
    <w:rsid w:val="00CA215C"/>
    <w:rsid w:val="00CA21B8"/>
    <w:rsid w:val="00CA21BE"/>
    <w:rsid w:val="00CA21D1"/>
    <w:rsid w:val="00CA229E"/>
    <w:rsid w:val="00CA22B9"/>
    <w:rsid w:val="00CA22D5"/>
    <w:rsid w:val="00CA235D"/>
    <w:rsid w:val="00CA239F"/>
    <w:rsid w:val="00CA242C"/>
    <w:rsid w:val="00CA2487"/>
    <w:rsid w:val="00CA249D"/>
    <w:rsid w:val="00CA24B2"/>
    <w:rsid w:val="00CA24DA"/>
    <w:rsid w:val="00CA250C"/>
    <w:rsid w:val="00CA2516"/>
    <w:rsid w:val="00CA2526"/>
    <w:rsid w:val="00CA2581"/>
    <w:rsid w:val="00CA25B2"/>
    <w:rsid w:val="00CA2603"/>
    <w:rsid w:val="00CA264D"/>
    <w:rsid w:val="00CA2652"/>
    <w:rsid w:val="00CA265E"/>
    <w:rsid w:val="00CA26B6"/>
    <w:rsid w:val="00CA270E"/>
    <w:rsid w:val="00CA2777"/>
    <w:rsid w:val="00CA2798"/>
    <w:rsid w:val="00CA27B4"/>
    <w:rsid w:val="00CA27B7"/>
    <w:rsid w:val="00CA280B"/>
    <w:rsid w:val="00CA2857"/>
    <w:rsid w:val="00CA28B9"/>
    <w:rsid w:val="00CA2903"/>
    <w:rsid w:val="00CA2937"/>
    <w:rsid w:val="00CA29B7"/>
    <w:rsid w:val="00CA29F1"/>
    <w:rsid w:val="00CA2A0C"/>
    <w:rsid w:val="00CA2A19"/>
    <w:rsid w:val="00CA2A49"/>
    <w:rsid w:val="00CA2A55"/>
    <w:rsid w:val="00CA2BAA"/>
    <w:rsid w:val="00CA2C32"/>
    <w:rsid w:val="00CA2C5B"/>
    <w:rsid w:val="00CA2C5C"/>
    <w:rsid w:val="00CA2CFF"/>
    <w:rsid w:val="00CA2D12"/>
    <w:rsid w:val="00CA2D6C"/>
    <w:rsid w:val="00CA2D6E"/>
    <w:rsid w:val="00CA2D73"/>
    <w:rsid w:val="00CA2DE2"/>
    <w:rsid w:val="00CA2E32"/>
    <w:rsid w:val="00CA2EAC"/>
    <w:rsid w:val="00CA2EC4"/>
    <w:rsid w:val="00CA2EF2"/>
    <w:rsid w:val="00CA2EF7"/>
    <w:rsid w:val="00CA2F08"/>
    <w:rsid w:val="00CA2F50"/>
    <w:rsid w:val="00CA2F65"/>
    <w:rsid w:val="00CA2F8F"/>
    <w:rsid w:val="00CA2FCE"/>
    <w:rsid w:val="00CA302D"/>
    <w:rsid w:val="00CA3076"/>
    <w:rsid w:val="00CA308F"/>
    <w:rsid w:val="00CA30E3"/>
    <w:rsid w:val="00CA3113"/>
    <w:rsid w:val="00CA3137"/>
    <w:rsid w:val="00CA318B"/>
    <w:rsid w:val="00CA319F"/>
    <w:rsid w:val="00CA31BD"/>
    <w:rsid w:val="00CA31DC"/>
    <w:rsid w:val="00CA31E5"/>
    <w:rsid w:val="00CA327C"/>
    <w:rsid w:val="00CA32E4"/>
    <w:rsid w:val="00CA332C"/>
    <w:rsid w:val="00CA3331"/>
    <w:rsid w:val="00CA3348"/>
    <w:rsid w:val="00CA33AE"/>
    <w:rsid w:val="00CA33D8"/>
    <w:rsid w:val="00CA33F7"/>
    <w:rsid w:val="00CA34A6"/>
    <w:rsid w:val="00CA3513"/>
    <w:rsid w:val="00CA3563"/>
    <w:rsid w:val="00CA3566"/>
    <w:rsid w:val="00CA357C"/>
    <w:rsid w:val="00CA358F"/>
    <w:rsid w:val="00CA35B6"/>
    <w:rsid w:val="00CA35D0"/>
    <w:rsid w:val="00CA35EA"/>
    <w:rsid w:val="00CA35F0"/>
    <w:rsid w:val="00CA3689"/>
    <w:rsid w:val="00CA3691"/>
    <w:rsid w:val="00CA36B6"/>
    <w:rsid w:val="00CA36DC"/>
    <w:rsid w:val="00CA373A"/>
    <w:rsid w:val="00CA3740"/>
    <w:rsid w:val="00CA3797"/>
    <w:rsid w:val="00CA3814"/>
    <w:rsid w:val="00CA38C4"/>
    <w:rsid w:val="00CA38DB"/>
    <w:rsid w:val="00CA38E3"/>
    <w:rsid w:val="00CA3923"/>
    <w:rsid w:val="00CA396F"/>
    <w:rsid w:val="00CA3983"/>
    <w:rsid w:val="00CA399F"/>
    <w:rsid w:val="00CA39A5"/>
    <w:rsid w:val="00CA39BA"/>
    <w:rsid w:val="00CA39C4"/>
    <w:rsid w:val="00CA39DC"/>
    <w:rsid w:val="00CA39EB"/>
    <w:rsid w:val="00CA39F8"/>
    <w:rsid w:val="00CA39FF"/>
    <w:rsid w:val="00CA3A0C"/>
    <w:rsid w:val="00CA3A1B"/>
    <w:rsid w:val="00CA3A26"/>
    <w:rsid w:val="00CA3A94"/>
    <w:rsid w:val="00CA3AA1"/>
    <w:rsid w:val="00CA3ACC"/>
    <w:rsid w:val="00CA3AE3"/>
    <w:rsid w:val="00CA3AEC"/>
    <w:rsid w:val="00CA3B1A"/>
    <w:rsid w:val="00CA3BD0"/>
    <w:rsid w:val="00CA3C10"/>
    <w:rsid w:val="00CA3C3F"/>
    <w:rsid w:val="00CA3C50"/>
    <w:rsid w:val="00CA3C57"/>
    <w:rsid w:val="00CA3CBF"/>
    <w:rsid w:val="00CA3CC6"/>
    <w:rsid w:val="00CA3CC7"/>
    <w:rsid w:val="00CA3CCF"/>
    <w:rsid w:val="00CA3D40"/>
    <w:rsid w:val="00CA3D5E"/>
    <w:rsid w:val="00CA3D63"/>
    <w:rsid w:val="00CA3D85"/>
    <w:rsid w:val="00CA3D9D"/>
    <w:rsid w:val="00CA3DB2"/>
    <w:rsid w:val="00CA3DEC"/>
    <w:rsid w:val="00CA3E2C"/>
    <w:rsid w:val="00CA3E38"/>
    <w:rsid w:val="00CA3E63"/>
    <w:rsid w:val="00CA3E83"/>
    <w:rsid w:val="00CA3F8C"/>
    <w:rsid w:val="00CA3FCB"/>
    <w:rsid w:val="00CA4057"/>
    <w:rsid w:val="00CA40EE"/>
    <w:rsid w:val="00CA414C"/>
    <w:rsid w:val="00CA418F"/>
    <w:rsid w:val="00CA41B9"/>
    <w:rsid w:val="00CA41DF"/>
    <w:rsid w:val="00CA4200"/>
    <w:rsid w:val="00CA4233"/>
    <w:rsid w:val="00CA42AC"/>
    <w:rsid w:val="00CA42BB"/>
    <w:rsid w:val="00CA42CA"/>
    <w:rsid w:val="00CA4305"/>
    <w:rsid w:val="00CA4352"/>
    <w:rsid w:val="00CA435D"/>
    <w:rsid w:val="00CA4367"/>
    <w:rsid w:val="00CA4401"/>
    <w:rsid w:val="00CA4427"/>
    <w:rsid w:val="00CA447E"/>
    <w:rsid w:val="00CA4520"/>
    <w:rsid w:val="00CA4527"/>
    <w:rsid w:val="00CA45ED"/>
    <w:rsid w:val="00CA460B"/>
    <w:rsid w:val="00CA4610"/>
    <w:rsid w:val="00CA46AB"/>
    <w:rsid w:val="00CA46E1"/>
    <w:rsid w:val="00CA478A"/>
    <w:rsid w:val="00CA47B3"/>
    <w:rsid w:val="00CA4805"/>
    <w:rsid w:val="00CA483D"/>
    <w:rsid w:val="00CA4859"/>
    <w:rsid w:val="00CA48AC"/>
    <w:rsid w:val="00CA48C3"/>
    <w:rsid w:val="00CA4921"/>
    <w:rsid w:val="00CA4A5F"/>
    <w:rsid w:val="00CA4AD6"/>
    <w:rsid w:val="00CA4AF3"/>
    <w:rsid w:val="00CA4B4B"/>
    <w:rsid w:val="00CA4BEA"/>
    <w:rsid w:val="00CA4C43"/>
    <w:rsid w:val="00CA4C8F"/>
    <w:rsid w:val="00CA4C95"/>
    <w:rsid w:val="00CA4CA6"/>
    <w:rsid w:val="00CA4CB3"/>
    <w:rsid w:val="00CA4CDF"/>
    <w:rsid w:val="00CA4D02"/>
    <w:rsid w:val="00CA4D08"/>
    <w:rsid w:val="00CA4D0B"/>
    <w:rsid w:val="00CA4D3C"/>
    <w:rsid w:val="00CA4D59"/>
    <w:rsid w:val="00CA4D99"/>
    <w:rsid w:val="00CA4DE7"/>
    <w:rsid w:val="00CA4E55"/>
    <w:rsid w:val="00CA4F5C"/>
    <w:rsid w:val="00CA4FAE"/>
    <w:rsid w:val="00CA4FB3"/>
    <w:rsid w:val="00CA4FCD"/>
    <w:rsid w:val="00CA5006"/>
    <w:rsid w:val="00CA5086"/>
    <w:rsid w:val="00CA5132"/>
    <w:rsid w:val="00CA51F0"/>
    <w:rsid w:val="00CA5254"/>
    <w:rsid w:val="00CA527B"/>
    <w:rsid w:val="00CA52D6"/>
    <w:rsid w:val="00CA5307"/>
    <w:rsid w:val="00CA5309"/>
    <w:rsid w:val="00CA5358"/>
    <w:rsid w:val="00CA536A"/>
    <w:rsid w:val="00CA5392"/>
    <w:rsid w:val="00CA53DE"/>
    <w:rsid w:val="00CA546A"/>
    <w:rsid w:val="00CA54B7"/>
    <w:rsid w:val="00CA54E2"/>
    <w:rsid w:val="00CA5560"/>
    <w:rsid w:val="00CA556F"/>
    <w:rsid w:val="00CA55BF"/>
    <w:rsid w:val="00CA55E7"/>
    <w:rsid w:val="00CA5612"/>
    <w:rsid w:val="00CA56F2"/>
    <w:rsid w:val="00CA573B"/>
    <w:rsid w:val="00CA584E"/>
    <w:rsid w:val="00CA5870"/>
    <w:rsid w:val="00CA589F"/>
    <w:rsid w:val="00CA5906"/>
    <w:rsid w:val="00CA5918"/>
    <w:rsid w:val="00CA591D"/>
    <w:rsid w:val="00CA591F"/>
    <w:rsid w:val="00CA5972"/>
    <w:rsid w:val="00CA5983"/>
    <w:rsid w:val="00CA59FF"/>
    <w:rsid w:val="00CA5A24"/>
    <w:rsid w:val="00CA5A3E"/>
    <w:rsid w:val="00CA5A64"/>
    <w:rsid w:val="00CA5AB1"/>
    <w:rsid w:val="00CA5ACE"/>
    <w:rsid w:val="00CA5AE7"/>
    <w:rsid w:val="00CA5B0A"/>
    <w:rsid w:val="00CA5B29"/>
    <w:rsid w:val="00CA5B45"/>
    <w:rsid w:val="00CA5B67"/>
    <w:rsid w:val="00CA5B75"/>
    <w:rsid w:val="00CA5B88"/>
    <w:rsid w:val="00CA5B93"/>
    <w:rsid w:val="00CA5B94"/>
    <w:rsid w:val="00CA5BBB"/>
    <w:rsid w:val="00CA5BCA"/>
    <w:rsid w:val="00CA5C54"/>
    <w:rsid w:val="00CA5C6B"/>
    <w:rsid w:val="00CA5CC2"/>
    <w:rsid w:val="00CA5CCA"/>
    <w:rsid w:val="00CA5CCE"/>
    <w:rsid w:val="00CA5D43"/>
    <w:rsid w:val="00CA5D88"/>
    <w:rsid w:val="00CA5D94"/>
    <w:rsid w:val="00CA5DD1"/>
    <w:rsid w:val="00CA5DD3"/>
    <w:rsid w:val="00CA5E00"/>
    <w:rsid w:val="00CA5E32"/>
    <w:rsid w:val="00CA5E86"/>
    <w:rsid w:val="00CA6116"/>
    <w:rsid w:val="00CA615D"/>
    <w:rsid w:val="00CA620C"/>
    <w:rsid w:val="00CA6299"/>
    <w:rsid w:val="00CA62C9"/>
    <w:rsid w:val="00CA62CF"/>
    <w:rsid w:val="00CA62D2"/>
    <w:rsid w:val="00CA630C"/>
    <w:rsid w:val="00CA6321"/>
    <w:rsid w:val="00CA6340"/>
    <w:rsid w:val="00CA6367"/>
    <w:rsid w:val="00CA6401"/>
    <w:rsid w:val="00CA6404"/>
    <w:rsid w:val="00CA642B"/>
    <w:rsid w:val="00CA64B0"/>
    <w:rsid w:val="00CA64DF"/>
    <w:rsid w:val="00CA6547"/>
    <w:rsid w:val="00CA6551"/>
    <w:rsid w:val="00CA6569"/>
    <w:rsid w:val="00CA65C1"/>
    <w:rsid w:val="00CA660A"/>
    <w:rsid w:val="00CA665F"/>
    <w:rsid w:val="00CA6706"/>
    <w:rsid w:val="00CA6748"/>
    <w:rsid w:val="00CA6781"/>
    <w:rsid w:val="00CA67BD"/>
    <w:rsid w:val="00CA67ED"/>
    <w:rsid w:val="00CA6837"/>
    <w:rsid w:val="00CA6874"/>
    <w:rsid w:val="00CA6891"/>
    <w:rsid w:val="00CA68BD"/>
    <w:rsid w:val="00CA68CD"/>
    <w:rsid w:val="00CA68CF"/>
    <w:rsid w:val="00CA68E1"/>
    <w:rsid w:val="00CA692E"/>
    <w:rsid w:val="00CA6960"/>
    <w:rsid w:val="00CA699B"/>
    <w:rsid w:val="00CA699E"/>
    <w:rsid w:val="00CA69C7"/>
    <w:rsid w:val="00CA6A21"/>
    <w:rsid w:val="00CA6A3E"/>
    <w:rsid w:val="00CA6A63"/>
    <w:rsid w:val="00CA6B1D"/>
    <w:rsid w:val="00CA6B25"/>
    <w:rsid w:val="00CA6B3D"/>
    <w:rsid w:val="00CA6B48"/>
    <w:rsid w:val="00CA6B57"/>
    <w:rsid w:val="00CA6BD9"/>
    <w:rsid w:val="00CA6C52"/>
    <w:rsid w:val="00CA6CF8"/>
    <w:rsid w:val="00CA6D02"/>
    <w:rsid w:val="00CA6DC3"/>
    <w:rsid w:val="00CA6DF7"/>
    <w:rsid w:val="00CA6DFA"/>
    <w:rsid w:val="00CA6E07"/>
    <w:rsid w:val="00CA6E13"/>
    <w:rsid w:val="00CA6EDD"/>
    <w:rsid w:val="00CA6F8C"/>
    <w:rsid w:val="00CA6F8D"/>
    <w:rsid w:val="00CA6FB3"/>
    <w:rsid w:val="00CA6FBA"/>
    <w:rsid w:val="00CA6FE4"/>
    <w:rsid w:val="00CA6FF2"/>
    <w:rsid w:val="00CA7050"/>
    <w:rsid w:val="00CA70B1"/>
    <w:rsid w:val="00CA7160"/>
    <w:rsid w:val="00CA7169"/>
    <w:rsid w:val="00CA720F"/>
    <w:rsid w:val="00CA7259"/>
    <w:rsid w:val="00CA72CE"/>
    <w:rsid w:val="00CA738C"/>
    <w:rsid w:val="00CA73DF"/>
    <w:rsid w:val="00CA73F2"/>
    <w:rsid w:val="00CA73FC"/>
    <w:rsid w:val="00CA7415"/>
    <w:rsid w:val="00CA7430"/>
    <w:rsid w:val="00CA7437"/>
    <w:rsid w:val="00CA7452"/>
    <w:rsid w:val="00CA7490"/>
    <w:rsid w:val="00CA74AC"/>
    <w:rsid w:val="00CA74C2"/>
    <w:rsid w:val="00CA7555"/>
    <w:rsid w:val="00CA755F"/>
    <w:rsid w:val="00CA7565"/>
    <w:rsid w:val="00CA75C7"/>
    <w:rsid w:val="00CA7627"/>
    <w:rsid w:val="00CA76B3"/>
    <w:rsid w:val="00CA76BE"/>
    <w:rsid w:val="00CA7715"/>
    <w:rsid w:val="00CA7745"/>
    <w:rsid w:val="00CA776D"/>
    <w:rsid w:val="00CA7798"/>
    <w:rsid w:val="00CA77E5"/>
    <w:rsid w:val="00CA77F6"/>
    <w:rsid w:val="00CA787B"/>
    <w:rsid w:val="00CA789D"/>
    <w:rsid w:val="00CA78B4"/>
    <w:rsid w:val="00CA78DF"/>
    <w:rsid w:val="00CA7921"/>
    <w:rsid w:val="00CA796A"/>
    <w:rsid w:val="00CA7986"/>
    <w:rsid w:val="00CA79D4"/>
    <w:rsid w:val="00CA7A2D"/>
    <w:rsid w:val="00CA7A72"/>
    <w:rsid w:val="00CA7AE4"/>
    <w:rsid w:val="00CA7AF6"/>
    <w:rsid w:val="00CA7B2B"/>
    <w:rsid w:val="00CA7B8B"/>
    <w:rsid w:val="00CA7BDA"/>
    <w:rsid w:val="00CA7BEB"/>
    <w:rsid w:val="00CA7C9D"/>
    <w:rsid w:val="00CA7CA8"/>
    <w:rsid w:val="00CA7CDE"/>
    <w:rsid w:val="00CA7D18"/>
    <w:rsid w:val="00CA7E8E"/>
    <w:rsid w:val="00CA7EDA"/>
    <w:rsid w:val="00CA7F4E"/>
    <w:rsid w:val="00CA7FA9"/>
    <w:rsid w:val="00CA7FD2"/>
    <w:rsid w:val="00CA7FDF"/>
    <w:rsid w:val="00CA7FEF"/>
    <w:rsid w:val="00CA7FF0"/>
    <w:rsid w:val="00CB004F"/>
    <w:rsid w:val="00CB007D"/>
    <w:rsid w:val="00CB00A6"/>
    <w:rsid w:val="00CB00BB"/>
    <w:rsid w:val="00CB00DB"/>
    <w:rsid w:val="00CB011C"/>
    <w:rsid w:val="00CB0137"/>
    <w:rsid w:val="00CB014A"/>
    <w:rsid w:val="00CB01A4"/>
    <w:rsid w:val="00CB0212"/>
    <w:rsid w:val="00CB02B8"/>
    <w:rsid w:val="00CB02F3"/>
    <w:rsid w:val="00CB034E"/>
    <w:rsid w:val="00CB0373"/>
    <w:rsid w:val="00CB03BE"/>
    <w:rsid w:val="00CB03D5"/>
    <w:rsid w:val="00CB03EA"/>
    <w:rsid w:val="00CB0419"/>
    <w:rsid w:val="00CB0497"/>
    <w:rsid w:val="00CB0499"/>
    <w:rsid w:val="00CB04B9"/>
    <w:rsid w:val="00CB04F7"/>
    <w:rsid w:val="00CB04FF"/>
    <w:rsid w:val="00CB0592"/>
    <w:rsid w:val="00CB059D"/>
    <w:rsid w:val="00CB05CE"/>
    <w:rsid w:val="00CB0608"/>
    <w:rsid w:val="00CB063F"/>
    <w:rsid w:val="00CB0698"/>
    <w:rsid w:val="00CB06C1"/>
    <w:rsid w:val="00CB06FA"/>
    <w:rsid w:val="00CB0741"/>
    <w:rsid w:val="00CB0755"/>
    <w:rsid w:val="00CB0766"/>
    <w:rsid w:val="00CB0768"/>
    <w:rsid w:val="00CB0793"/>
    <w:rsid w:val="00CB0854"/>
    <w:rsid w:val="00CB0860"/>
    <w:rsid w:val="00CB0903"/>
    <w:rsid w:val="00CB0947"/>
    <w:rsid w:val="00CB098D"/>
    <w:rsid w:val="00CB09B4"/>
    <w:rsid w:val="00CB09E9"/>
    <w:rsid w:val="00CB0A13"/>
    <w:rsid w:val="00CB0A4F"/>
    <w:rsid w:val="00CB0A69"/>
    <w:rsid w:val="00CB0A99"/>
    <w:rsid w:val="00CB0AB9"/>
    <w:rsid w:val="00CB0ABA"/>
    <w:rsid w:val="00CB0AF5"/>
    <w:rsid w:val="00CB0B29"/>
    <w:rsid w:val="00CB0B2C"/>
    <w:rsid w:val="00CB0B85"/>
    <w:rsid w:val="00CB0B96"/>
    <w:rsid w:val="00CB0BA9"/>
    <w:rsid w:val="00CB0BAA"/>
    <w:rsid w:val="00CB0BC0"/>
    <w:rsid w:val="00CB0BE1"/>
    <w:rsid w:val="00CB0CD9"/>
    <w:rsid w:val="00CB0CEA"/>
    <w:rsid w:val="00CB0DA4"/>
    <w:rsid w:val="00CB0DCE"/>
    <w:rsid w:val="00CB0E42"/>
    <w:rsid w:val="00CB0E62"/>
    <w:rsid w:val="00CB0E6F"/>
    <w:rsid w:val="00CB0E87"/>
    <w:rsid w:val="00CB0EE1"/>
    <w:rsid w:val="00CB0EFB"/>
    <w:rsid w:val="00CB0F7B"/>
    <w:rsid w:val="00CB0F7E"/>
    <w:rsid w:val="00CB0F90"/>
    <w:rsid w:val="00CB0F94"/>
    <w:rsid w:val="00CB0FB0"/>
    <w:rsid w:val="00CB0FBB"/>
    <w:rsid w:val="00CB0FF1"/>
    <w:rsid w:val="00CB1020"/>
    <w:rsid w:val="00CB1042"/>
    <w:rsid w:val="00CB1062"/>
    <w:rsid w:val="00CB1085"/>
    <w:rsid w:val="00CB1156"/>
    <w:rsid w:val="00CB1179"/>
    <w:rsid w:val="00CB11AA"/>
    <w:rsid w:val="00CB11BF"/>
    <w:rsid w:val="00CB11ED"/>
    <w:rsid w:val="00CB1224"/>
    <w:rsid w:val="00CB1245"/>
    <w:rsid w:val="00CB128D"/>
    <w:rsid w:val="00CB133C"/>
    <w:rsid w:val="00CB133F"/>
    <w:rsid w:val="00CB1375"/>
    <w:rsid w:val="00CB13A5"/>
    <w:rsid w:val="00CB140F"/>
    <w:rsid w:val="00CB1415"/>
    <w:rsid w:val="00CB1447"/>
    <w:rsid w:val="00CB1499"/>
    <w:rsid w:val="00CB149D"/>
    <w:rsid w:val="00CB14E4"/>
    <w:rsid w:val="00CB14E7"/>
    <w:rsid w:val="00CB1565"/>
    <w:rsid w:val="00CB15E0"/>
    <w:rsid w:val="00CB15E5"/>
    <w:rsid w:val="00CB168C"/>
    <w:rsid w:val="00CB16E1"/>
    <w:rsid w:val="00CB16F1"/>
    <w:rsid w:val="00CB17B4"/>
    <w:rsid w:val="00CB182F"/>
    <w:rsid w:val="00CB18E4"/>
    <w:rsid w:val="00CB18E8"/>
    <w:rsid w:val="00CB1936"/>
    <w:rsid w:val="00CB1953"/>
    <w:rsid w:val="00CB1974"/>
    <w:rsid w:val="00CB197B"/>
    <w:rsid w:val="00CB199F"/>
    <w:rsid w:val="00CB19A7"/>
    <w:rsid w:val="00CB19E3"/>
    <w:rsid w:val="00CB19E6"/>
    <w:rsid w:val="00CB1A1D"/>
    <w:rsid w:val="00CB1A32"/>
    <w:rsid w:val="00CB1A8E"/>
    <w:rsid w:val="00CB1AA7"/>
    <w:rsid w:val="00CB1AD2"/>
    <w:rsid w:val="00CB1AE5"/>
    <w:rsid w:val="00CB1B32"/>
    <w:rsid w:val="00CB1BD9"/>
    <w:rsid w:val="00CB1BE5"/>
    <w:rsid w:val="00CB1C10"/>
    <w:rsid w:val="00CB1C14"/>
    <w:rsid w:val="00CB1C1B"/>
    <w:rsid w:val="00CB1C9E"/>
    <w:rsid w:val="00CB1CB6"/>
    <w:rsid w:val="00CB1CBB"/>
    <w:rsid w:val="00CB1CFD"/>
    <w:rsid w:val="00CB1DC0"/>
    <w:rsid w:val="00CB1DFF"/>
    <w:rsid w:val="00CB1E14"/>
    <w:rsid w:val="00CB1E43"/>
    <w:rsid w:val="00CB1E85"/>
    <w:rsid w:val="00CB1ED6"/>
    <w:rsid w:val="00CB1ED7"/>
    <w:rsid w:val="00CB1EDA"/>
    <w:rsid w:val="00CB1EE4"/>
    <w:rsid w:val="00CB1F28"/>
    <w:rsid w:val="00CB1F47"/>
    <w:rsid w:val="00CB1F81"/>
    <w:rsid w:val="00CB200C"/>
    <w:rsid w:val="00CB204B"/>
    <w:rsid w:val="00CB2050"/>
    <w:rsid w:val="00CB213C"/>
    <w:rsid w:val="00CB215B"/>
    <w:rsid w:val="00CB2186"/>
    <w:rsid w:val="00CB2199"/>
    <w:rsid w:val="00CB2263"/>
    <w:rsid w:val="00CB22C2"/>
    <w:rsid w:val="00CB22D3"/>
    <w:rsid w:val="00CB230B"/>
    <w:rsid w:val="00CB2319"/>
    <w:rsid w:val="00CB231F"/>
    <w:rsid w:val="00CB232F"/>
    <w:rsid w:val="00CB233C"/>
    <w:rsid w:val="00CB233F"/>
    <w:rsid w:val="00CB2364"/>
    <w:rsid w:val="00CB23AB"/>
    <w:rsid w:val="00CB23C1"/>
    <w:rsid w:val="00CB23C9"/>
    <w:rsid w:val="00CB23D8"/>
    <w:rsid w:val="00CB23FC"/>
    <w:rsid w:val="00CB2486"/>
    <w:rsid w:val="00CB24AC"/>
    <w:rsid w:val="00CB24DB"/>
    <w:rsid w:val="00CB250B"/>
    <w:rsid w:val="00CB2562"/>
    <w:rsid w:val="00CB2590"/>
    <w:rsid w:val="00CB2591"/>
    <w:rsid w:val="00CB2594"/>
    <w:rsid w:val="00CB265A"/>
    <w:rsid w:val="00CB266C"/>
    <w:rsid w:val="00CB267A"/>
    <w:rsid w:val="00CB26AC"/>
    <w:rsid w:val="00CB2758"/>
    <w:rsid w:val="00CB27B8"/>
    <w:rsid w:val="00CB27D1"/>
    <w:rsid w:val="00CB27E8"/>
    <w:rsid w:val="00CB2832"/>
    <w:rsid w:val="00CB2850"/>
    <w:rsid w:val="00CB2866"/>
    <w:rsid w:val="00CB28CE"/>
    <w:rsid w:val="00CB28F1"/>
    <w:rsid w:val="00CB28F8"/>
    <w:rsid w:val="00CB2936"/>
    <w:rsid w:val="00CB2947"/>
    <w:rsid w:val="00CB296F"/>
    <w:rsid w:val="00CB298C"/>
    <w:rsid w:val="00CB29E3"/>
    <w:rsid w:val="00CB2A0F"/>
    <w:rsid w:val="00CB2A63"/>
    <w:rsid w:val="00CB2A80"/>
    <w:rsid w:val="00CB2A97"/>
    <w:rsid w:val="00CB2AAB"/>
    <w:rsid w:val="00CB2BB9"/>
    <w:rsid w:val="00CB2BED"/>
    <w:rsid w:val="00CB2BEE"/>
    <w:rsid w:val="00CB2C19"/>
    <w:rsid w:val="00CB2C65"/>
    <w:rsid w:val="00CB2C99"/>
    <w:rsid w:val="00CB2D80"/>
    <w:rsid w:val="00CB2DB4"/>
    <w:rsid w:val="00CB2DC6"/>
    <w:rsid w:val="00CB2DF1"/>
    <w:rsid w:val="00CB2DFB"/>
    <w:rsid w:val="00CB2E20"/>
    <w:rsid w:val="00CB2E2F"/>
    <w:rsid w:val="00CB2E80"/>
    <w:rsid w:val="00CB2E83"/>
    <w:rsid w:val="00CB2EC0"/>
    <w:rsid w:val="00CB2F47"/>
    <w:rsid w:val="00CB2F52"/>
    <w:rsid w:val="00CB2F6C"/>
    <w:rsid w:val="00CB2FA3"/>
    <w:rsid w:val="00CB2FB5"/>
    <w:rsid w:val="00CB306A"/>
    <w:rsid w:val="00CB311D"/>
    <w:rsid w:val="00CB3140"/>
    <w:rsid w:val="00CB3165"/>
    <w:rsid w:val="00CB319C"/>
    <w:rsid w:val="00CB31D7"/>
    <w:rsid w:val="00CB31E9"/>
    <w:rsid w:val="00CB3244"/>
    <w:rsid w:val="00CB3259"/>
    <w:rsid w:val="00CB328B"/>
    <w:rsid w:val="00CB3341"/>
    <w:rsid w:val="00CB3359"/>
    <w:rsid w:val="00CB33FC"/>
    <w:rsid w:val="00CB3444"/>
    <w:rsid w:val="00CB3449"/>
    <w:rsid w:val="00CB346D"/>
    <w:rsid w:val="00CB34B0"/>
    <w:rsid w:val="00CB34CD"/>
    <w:rsid w:val="00CB3529"/>
    <w:rsid w:val="00CB364A"/>
    <w:rsid w:val="00CB36CC"/>
    <w:rsid w:val="00CB36D2"/>
    <w:rsid w:val="00CB36DE"/>
    <w:rsid w:val="00CB372C"/>
    <w:rsid w:val="00CB3797"/>
    <w:rsid w:val="00CB37C4"/>
    <w:rsid w:val="00CB3828"/>
    <w:rsid w:val="00CB38E9"/>
    <w:rsid w:val="00CB3920"/>
    <w:rsid w:val="00CB3975"/>
    <w:rsid w:val="00CB39B4"/>
    <w:rsid w:val="00CB39DD"/>
    <w:rsid w:val="00CB3A02"/>
    <w:rsid w:val="00CB3A2D"/>
    <w:rsid w:val="00CB3AE8"/>
    <w:rsid w:val="00CB3AFB"/>
    <w:rsid w:val="00CB3B0D"/>
    <w:rsid w:val="00CB3B20"/>
    <w:rsid w:val="00CB3BBB"/>
    <w:rsid w:val="00CB3BF2"/>
    <w:rsid w:val="00CB3BF7"/>
    <w:rsid w:val="00CB3C0F"/>
    <w:rsid w:val="00CB3C44"/>
    <w:rsid w:val="00CB3C9F"/>
    <w:rsid w:val="00CB3CEB"/>
    <w:rsid w:val="00CB3D72"/>
    <w:rsid w:val="00CB3DA4"/>
    <w:rsid w:val="00CB3DF1"/>
    <w:rsid w:val="00CB3E04"/>
    <w:rsid w:val="00CB3E38"/>
    <w:rsid w:val="00CB3E60"/>
    <w:rsid w:val="00CB3E6A"/>
    <w:rsid w:val="00CB3E94"/>
    <w:rsid w:val="00CB3ED7"/>
    <w:rsid w:val="00CB404F"/>
    <w:rsid w:val="00CB4053"/>
    <w:rsid w:val="00CB4088"/>
    <w:rsid w:val="00CB4092"/>
    <w:rsid w:val="00CB40AA"/>
    <w:rsid w:val="00CB4140"/>
    <w:rsid w:val="00CB4145"/>
    <w:rsid w:val="00CB416C"/>
    <w:rsid w:val="00CB416E"/>
    <w:rsid w:val="00CB41AC"/>
    <w:rsid w:val="00CB4208"/>
    <w:rsid w:val="00CB421D"/>
    <w:rsid w:val="00CB423F"/>
    <w:rsid w:val="00CB424C"/>
    <w:rsid w:val="00CB429D"/>
    <w:rsid w:val="00CB42D7"/>
    <w:rsid w:val="00CB431A"/>
    <w:rsid w:val="00CB436A"/>
    <w:rsid w:val="00CB4399"/>
    <w:rsid w:val="00CB43A1"/>
    <w:rsid w:val="00CB43D1"/>
    <w:rsid w:val="00CB4487"/>
    <w:rsid w:val="00CB4496"/>
    <w:rsid w:val="00CB44CA"/>
    <w:rsid w:val="00CB4574"/>
    <w:rsid w:val="00CB4599"/>
    <w:rsid w:val="00CB45DA"/>
    <w:rsid w:val="00CB4676"/>
    <w:rsid w:val="00CB4697"/>
    <w:rsid w:val="00CB46CD"/>
    <w:rsid w:val="00CB4701"/>
    <w:rsid w:val="00CB4731"/>
    <w:rsid w:val="00CB4746"/>
    <w:rsid w:val="00CB4759"/>
    <w:rsid w:val="00CB4768"/>
    <w:rsid w:val="00CB479A"/>
    <w:rsid w:val="00CB480B"/>
    <w:rsid w:val="00CB482D"/>
    <w:rsid w:val="00CB489F"/>
    <w:rsid w:val="00CB4929"/>
    <w:rsid w:val="00CB4A5C"/>
    <w:rsid w:val="00CB4B6C"/>
    <w:rsid w:val="00CB4B88"/>
    <w:rsid w:val="00CB4B93"/>
    <w:rsid w:val="00CB4BBE"/>
    <w:rsid w:val="00CB4BF1"/>
    <w:rsid w:val="00CB4C17"/>
    <w:rsid w:val="00CB4C3B"/>
    <w:rsid w:val="00CB4C4A"/>
    <w:rsid w:val="00CB4C69"/>
    <w:rsid w:val="00CB4C80"/>
    <w:rsid w:val="00CB4CAC"/>
    <w:rsid w:val="00CB4E71"/>
    <w:rsid w:val="00CB4EC4"/>
    <w:rsid w:val="00CB4F13"/>
    <w:rsid w:val="00CB4F34"/>
    <w:rsid w:val="00CB4F36"/>
    <w:rsid w:val="00CB4F3A"/>
    <w:rsid w:val="00CB4F4A"/>
    <w:rsid w:val="00CB4F4F"/>
    <w:rsid w:val="00CB4F5B"/>
    <w:rsid w:val="00CB4FA8"/>
    <w:rsid w:val="00CB4FF2"/>
    <w:rsid w:val="00CB500D"/>
    <w:rsid w:val="00CB5136"/>
    <w:rsid w:val="00CB5150"/>
    <w:rsid w:val="00CB51AB"/>
    <w:rsid w:val="00CB51B2"/>
    <w:rsid w:val="00CB51D4"/>
    <w:rsid w:val="00CB52A7"/>
    <w:rsid w:val="00CB530A"/>
    <w:rsid w:val="00CB5326"/>
    <w:rsid w:val="00CB532C"/>
    <w:rsid w:val="00CB5368"/>
    <w:rsid w:val="00CB5369"/>
    <w:rsid w:val="00CB544B"/>
    <w:rsid w:val="00CB54A9"/>
    <w:rsid w:val="00CB54F6"/>
    <w:rsid w:val="00CB5508"/>
    <w:rsid w:val="00CB569D"/>
    <w:rsid w:val="00CB56A3"/>
    <w:rsid w:val="00CB56DF"/>
    <w:rsid w:val="00CB56E7"/>
    <w:rsid w:val="00CB57DC"/>
    <w:rsid w:val="00CB5897"/>
    <w:rsid w:val="00CB58C7"/>
    <w:rsid w:val="00CB593B"/>
    <w:rsid w:val="00CB5962"/>
    <w:rsid w:val="00CB59AC"/>
    <w:rsid w:val="00CB59BA"/>
    <w:rsid w:val="00CB59F4"/>
    <w:rsid w:val="00CB5A22"/>
    <w:rsid w:val="00CB5A4A"/>
    <w:rsid w:val="00CB5A87"/>
    <w:rsid w:val="00CB5B02"/>
    <w:rsid w:val="00CB5B6F"/>
    <w:rsid w:val="00CB5BA5"/>
    <w:rsid w:val="00CB5BBA"/>
    <w:rsid w:val="00CB5C44"/>
    <w:rsid w:val="00CB5C58"/>
    <w:rsid w:val="00CB5CA3"/>
    <w:rsid w:val="00CB5CC1"/>
    <w:rsid w:val="00CB5CC2"/>
    <w:rsid w:val="00CB5D11"/>
    <w:rsid w:val="00CB5D12"/>
    <w:rsid w:val="00CB5D15"/>
    <w:rsid w:val="00CB5D4A"/>
    <w:rsid w:val="00CB5DA3"/>
    <w:rsid w:val="00CB5DE2"/>
    <w:rsid w:val="00CB5E33"/>
    <w:rsid w:val="00CB5E97"/>
    <w:rsid w:val="00CB5EB2"/>
    <w:rsid w:val="00CB5EE8"/>
    <w:rsid w:val="00CB5F1E"/>
    <w:rsid w:val="00CB5F2E"/>
    <w:rsid w:val="00CB5FED"/>
    <w:rsid w:val="00CB6012"/>
    <w:rsid w:val="00CB6023"/>
    <w:rsid w:val="00CB6098"/>
    <w:rsid w:val="00CB614F"/>
    <w:rsid w:val="00CB617A"/>
    <w:rsid w:val="00CB61A7"/>
    <w:rsid w:val="00CB61B5"/>
    <w:rsid w:val="00CB61B9"/>
    <w:rsid w:val="00CB61D7"/>
    <w:rsid w:val="00CB61E2"/>
    <w:rsid w:val="00CB6214"/>
    <w:rsid w:val="00CB6246"/>
    <w:rsid w:val="00CB6287"/>
    <w:rsid w:val="00CB6358"/>
    <w:rsid w:val="00CB6392"/>
    <w:rsid w:val="00CB6398"/>
    <w:rsid w:val="00CB63F6"/>
    <w:rsid w:val="00CB63FA"/>
    <w:rsid w:val="00CB6431"/>
    <w:rsid w:val="00CB6439"/>
    <w:rsid w:val="00CB6445"/>
    <w:rsid w:val="00CB6459"/>
    <w:rsid w:val="00CB6464"/>
    <w:rsid w:val="00CB647B"/>
    <w:rsid w:val="00CB64A4"/>
    <w:rsid w:val="00CB655C"/>
    <w:rsid w:val="00CB6593"/>
    <w:rsid w:val="00CB65CF"/>
    <w:rsid w:val="00CB6640"/>
    <w:rsid w:val="00CB664C"/>
    <w:rsid w:val="00CB6684"/>
    <w:rsid w:val="00CB66A7"/>
    <w:rsid w:val="00CB66DB"/>
    <w:rsid w:val="00CB66F7"/>
    <w:rsid w:val="00CB675C"/>
    <w:rsid w:val="00CB677B"/>
    <w:rsid w:val="00CB679B"/>
    <w:rsid w:val="00CB67B1"/>
    <w:rsid w:val="00CB684F"/>
    <w:rsid w:val="00CB685C"/>
    <w:rsid w:val="00CB688E"/>
    <w:rsid w:val="00CB68A2"/>
    <w:rsid w:val="00CB68F5"/>
    <w:rsid w:val="00CB69CF"/>
    <w:rsid w:val="00CB6A3C"/>
    <w:rsid w:val="00CB6A73"/>
    <w:rsid w:val="00CB6B1C"/>
    <w:rsid w:val="00CB6B49"/>
    <w:rsid w:val="00CB6BD6"/>
    <w:rsid w:val="00CB6BD8"/>
    <w:rsid w:val="00CB6C13"/>
    <w:rsid w:val="00CB6C70"/>
    <w:rsid w:val="00CB6C87"/>
    <w:rsid w:val="00CB6CB4"/>
    <w:rsid w:val="00CB6D74"/>
    <w:rsid w:val="00CB6D88"/>
    <w:rsid w:val="00CB6D99"/>
    <w:rsid w:val="00CB6E01"/>
    <w:rsid w:val="00CB6E12"/>
    <w:rsid w:val="00CB6E21"/>
    <w:rsid w:val="00CB6E70"/>
    <w:rsid w:val="00CB6E73"/>
    <w:rsid w:val="00CB6E78"/>
    <w:rsid w:val="00CB6EAA"/>
    <w:rsid w:val="00CB6EDB"/>
    <w:rsid w:val="00CB6EFF"/>
    <w:rsid w:val="00CB6F3B"/>
    <w:rsid w:val="00CB6FD1"/>
    <w:rsid w:val="00CB6FD2"/>
    <w:rsid w:val="00CB7027"/>
    <w:rsid w:val="00CB7081"/>
    <w:rsid w:val="00CB7088"/>
    <w:rsid w:val="00CB70EC"/>
    <w:rsid w:val="00CB718A"/>
    <w:rsid w:val="00CB7244"/>
    <w:rsid w:val="00CB7269"/>
    <w:rsid w:val="00CB72F8"/>
    <w:rsid w:val="00CB7320"/>
    <w:rsid w:val="00CB734E"/>
    <w:rsid w:val="00CB737A"/>
    <w:rsid w:val="00CB737F"/>
    <w:rsid w:val="00CB73C3"/>
    <w:rsid w:val="00CB73ED"/>
    <w:rsid w:val="00CB7466"/>
    <w:rsid w:val="00CB74D9"/>
    <w:rsid w:val="00CB74EC"/>
    <w:rsid w:val="00CB74FC"/>
    <w:rsid w:val="00CB7512"/>
    <w:rsid w:val="00CB7518"/>
    <w:rsid w:val="00CB756A"/>
    <w:rsid w:val="00CB7620"/>
    <w:rsid w:val="00CB769D"/>
    <w:rsid w:val="00CB76BC"/>
    <w:rsid w:val="00CB76ED"/>
    <w:rsid w:val="00CB772F"/>
    <w:rsid w:val="00CB7754"/>
    <w:rsid w:val="00CB7768"/>
    <w:rsid w:val="00CB77AD"/>
    <w:rsid w:val="00CB781D"/>
    <w:rsid w:val="00CB783C"/>
    <w:rsid w:val="00CB7848"/>
    <w:rsid w:val="00CB78BE"/>
    <w:rsid w:val="00CB78D3"/>
    <w:rsid w:val="00CB78F3"/>
    <w:rsid w:val="00CB7940"/>
    <w:rsid w:val="00CB7981"/>
    <w:rsid w:val="00CB7992"/>
    <w:rsid w:val="00CB7A25"/>
    <w:rsid w:val="00CB7AB1"/>
    <w:rsid w:val="00CB7B13"/>
    <w:rsid w:val="00CB7B5D"/>
    <w:rsid w:val="00CB7B6D"/>
    <w:rsid w:val="00CB7C29"/>
    <w:rsid w:val="00CB7CEA"/>
    <w:rsid w:val="00CB7D26"/>
    <w:rsid w:val="00CB7D3E"/>
    <w:rsid w:val="00CB7DA3"/>
    <w:rsid w:val="00CB7E29"/>
    <w:rsid w:val="00CB7EEE"/>
    <w:rsid w:val="00CB7EF2"/>
    <w:rsid w:val="00CB7EFA"/>
    <w:rsid w:val="00CB7F32"/>
    <w:rsid w:val="00CB7F9E"/>
    <w:rsid w:val="00CB7FB7"/>
    <w:rsid w:val="00CB7FBE"/>
    <w:rsid w:val="00CB7FE9"/>
    <w:rsid w:val="00CB7FEC"/>
    <w:rsid w:val="00CB7FF9"/>
    <w:rsid w:val="00CC0033"/>
    <w:rsid w:val="00CC0048"/>
    <w:rsid w:val="00CC0092"/>
    <w:rsid w:val="00CC0097"/>
    <w:rsid w:val="00CC00B3"/>
    <w:rsid w:val="00CC00BE"/>
    <w:rsid w:val="00CC00E4"/>
    <w:rsid w:val="00CC00EC"/>
    <w:rsid w:val="00CC012F"/>
    <w:rsid w:val="00CC0140"/>
    <w:rsid w:val="00CC0197"/>
    <w:rsid w:val="00CC01B7"/>
    <w:rsid w:val="00CC01B9"/>
    <w:rsid w:val="00CC01CA"/>
    <w:rsid w:val="00CC01D6"/>
    <w:rsid w:val="00CC0218"/>
    <w:rsid w:val="00CC0228"/>
    <w:rsid w:val="00CC0246"/>
    <w:rsid w:val="00CC0253"/>
    <w:rsid w:val="00CC0267"/>
    <w:rsid w:val="00CC02D4"/>
    <w:rsid w:val="00CC02EB"/>
    <w:rsid w:val="00CC0302"/>
    <w:rsid w:val="00CC030F"/>
    <w:rsid w:val="00CC033D"/>
    <w:rsid w:val="00CC034E"/>
    <w:rsid w:val="00CC0364"/>
    <w:rsid w:val="00CC039C"/>
    <w:rsid w:val="00CC03F0"/>
    <w:rsid w:val="00CC03FD"/>
    <w:rsid w:val="00CC0540"/>
    <w:rsid w:val="00CC055F"/>
    <w:rsid w:val="00CC0611"/>
    <w:rsid w:val="00CC0640"/>
    <w:rsid w:val="00CC06B6"/>
    <w:rsid w:val="00CC0794"/>
    <w:rsid w:val="00CC0812"/>
    <w:rsid w:val="00CC084F"/>
    <w:rsid w:val="00CC0894"/>
    <w:rsid w:val="00CC08A0"/>
    <w:rsid w:val="00CC08C9"/>
    <w:rsid w:val="00CC08DF"/>
    <w:rsid w:val="00CC08F7"/>
    <w:rsid w:val="00CC092A"/>
    <w:rsid w:val="00CC0944"/>
    <w:rsid w:val="00CC0999"/>
    <w:rsid w:val="00CC0A2B"/>
    <w:rsid w:val="00CC0A45"/>
    <w:rsid w:val="00CC0A4F"/>
    <w:rsid w:val="00CC0ABD"/>
    <w:rsid w:val="00CC0ACD"/>
    <w:rsid w:val="00CC0AD9"/>
    <w:rsid w:val="00CC0AEB"/>
    <w:rsid w:val="00CC0B1D"/>
    <w:rsid w:val="00CC0B57"/>
    <w:rsid w:val="00CC0B68"/>
    <w:rsid w:val="00CC0BAC"/>
    <w:rsid w:val="00CC0BD9"/>
    <w:rsid w:val="00CC0C13"/>
    <w:rsid w:val="00CC0C2C"/>
    <w:rsid w:val="00CC0C37"/>
    <w:rsid w:val="00CC0C6A"/>
    <w:rsid w:val="00CC0CCA"/>
    <w:rsid w:val="00CC0CF3"/>
    <w:rsid w:val="00CC0D18"/>
    <w:rsid w:val="00CC0D37"/>
    <w:rsid w:val="00CC0D69"/>
    <w:rsid w:val="00CC0D8D"/>
    <w:rsid w:val="00CC0D95"/>
    <w:rsid w:val="00CC0DF6"/>
    <w:rsid w:val="00CC0ED4"/>
    <w:rsid w:val="00CC0EE0"/>
    <w:rsid w:val="00CC0F6C"/>
    <w:rsid w:val="00CC0F88"/>
    <w:rsid w:val="00CC0F8E"/>
    <w:rsid w:val="00CC0F9C"/>
    <w:rsid w:val="00CC0FDB"/>
    <w:rsid w:val="00CC0FEE"/>
    <w:rsid w:val="00CC1083"/>
    <w:rsid w:val="00CC1090"/>
    <w:rsid w:val="00CC10F5"/>
    <w:rsid w:val="00CC111F"/>
    <w:rsid w:val="00CC113F"/>
    <w:rsid w:val="00CC1152"/>
    <w:rsid w:val="00CC1169"/>
    <w:rsid w:val="00CC11A7"/>
    <w:rsid w:val="00CC11B4"/>
    <w:rsid w:val="00CC11BA"/>
    <w:rsid w:val="00CC11C5"/>
    <w:rsid w:val="00CC121A"/>
    <w:rsid w:val="00CC121B"/>
    <w:rsid w:val="00CC1222"/>
    <w:rsid w:val="00CC1256"/>
    <w:rsid w:val="00CC12BC"/>
    <w:rsid w:val="00CC12D3"/>
    <w:rsid w:val="00CC12E5"/>
    <w:rsid w:val="00CC130A"/>
    <w:rsid w:val="00CC1316"/>
    <w:rsid w:val="00CC1350"/>
    <w:rsid w:val="00CC1358"/>
    <w:rsid w:val="00CC1391"/>
    <w:rsid w:val="00CC13D4"/>
    <w:rsid w:val="00CC140F"/>
    <w:rsid w:val="00CC1413"/>
    <w:rsid w:val="00CC144A"/>
    <w:rsid w:val="00CC1452"/>
    <w:rsid w:val="00CC1548"/>
    <w:rsid w:val="00CC155F"/>
    <w:rsid w:val="00CC1759"/>
    <w:rsid w:val="00CC1766"/>
    <w:rsid w:val="00CC1772"/>
    <w:rsid w:val="00CC1781"/>
    <w:rsid w:val="00CC17D0"/>
    <w:rsid w:val="00CC17E3"/>
    <w:rsid w:val="00CC1823"/>
    <w:rsid w:val="00CC1838"/>
    <w:rsid w:val="00CC18A1"/>
    <w:rsid w:val="00CC18AA"/>
    <w:rsid w:val="00CC18C3"/>
    <w:rsid w:val="00CC18D9"/>
    <w:rsid w:val="00CC18DD"/>
    <w:rsid w:val="00CC18E5"/>
    <w:rsid w:val="00CC18FB"/>
    <w:rsid w:val="00CC190C"/>
    <w:rsid w:val="00CC1963"/>
    <w:rsid w:val="00CC19F3"/>
    <w:rsid w:val="00CC1A66"/>
    <w:rsid w:val="00CC1A6B"/>
    <w:rsid w:val="00CC1A73"/>
    <w:rsid w:val="00CC1A7D"/>
    <w:rsid w:val="00CC1A80"/>
    <w:rsid w:val="00CC1AAC"/>
    <w:rsid w:val="00CC1AB1"/>
    <w:rsid w:val="00CC1ABB"/>
    <w:rsid w:val="00CC1ACE"/>
    <w:rsid w:val="00CC1B0C"/>
    <w:rsid w:val="00CC1B4D"/>
    <w:rsid w:val="00CC1BA6"/>
    <w:rsid w:val="00CC1BCC"/>
    <w:rsid w:val="00CC1BCE"/>
    <w:rsid w:val="00CC1BF5"/>
    <w:rsid w:val="00CC1C53"/>
    <w:rsid w:val="00CC1C62"/>
    <w:rsid w:val="00CC1C83"/>
    <w:rsid w:val="00CC1C87"/>
    <w:rsid w:val="00CC1CCB"/>
    <w:rsid w:val="00CC1CD5"/>
    <w:rsid w:val="00CC1CDA"/>
    <w:rsid w:val="00CC1D0C"/>
    <w:rsid w:val="00CC1D73"/>
    <w:rsid w:val="00CC1D7A"/>
    <w:rsid w:val="00CC1DA0"/>
    <w:rsid w:val="00CC1DC4"/>
    <w:rsid w:val="00CC1E1B"/>
    <w:rsid w:val="00CC1EB1"/>
    <w:rsid w:val="00CC1F64"/>
    <w:rsid w:val="00CC1F78"/>
    <w:rsid w:val="00CC1FC9"/>
    <w:rsid w:val="00CC1FE3"/>
    <w:rsid w:val="00CC2011"/>
    <w:rsid w:val="00CC2072"/>
    <w:rsid w:val="00CC2078"/>
    <w:rsid w:val="00CC2092"/>
    <w:rsid w:val="00CC20AE"/>
    <w:rsid w:val="00CC20DD"/>
    <w:rsid w:val="00CC2114"/>
    <w:rsid w:val="00CC214D"/>
    <w:rsid w:val="00CC215A"/>
    <w:rsid w:val="00CC222F"/>
    <w:rsid w:val="00CC2232"/>
    <w:rsid w:val="00CC2240"/>
    <w:rsid w:val="00CC225F"/>
    <w:rsid w:val="00CC2276"/>
    <w:rsid w:val="00CC2298"/>
    <w:rsid w:val="00CC2376"/>
    <w:rsid w:val="00CC2403"/>
    <w:rsid w:val="00CC241D"/>
    <w:rsid w:val="00CC2433"/>
    <w:rsid w:val="00CC2550"/>
    <w:rsid w:val="00CC25EC"/>
    <w:rsid w:val="00CC2629"/>
    <w:rsid w:val="00CC2639"/>
    <w:rsid w:val="00CC26EB"/>
    <w:rsid w:val="00CC26F5"/>
    <w:rsid w:val="00CC273B"/>
    <w:rsid w:val="00CC27A7"/>
    <w:rsid w:val="00CC27AF"/>
    <w:rsid w:val="00CC27B2"/>
    <w:rsid w:val="00CC27C5"/>
    <w:rsid w:val="00CC27DE"/>
    <w:rsid w:val="00CC27F0"/>
    <w:rsid w:val="00CC27F2"/>
    <w:rsid w:val="00CC2811"/>
    <w:rsid w:val="00CC28BB"/>
    <w:rsid w:val="00CC2933"/>
    <w:rsid w:val="00CC2970"/>
    <w:rsid w:val="00CC2983"/>
    <w:rsid w:val="00CC2988"/>
    <w:rsid w:val="00CC29FF"/>
    <w:rsid w:val="00CC2A08"/>
    <w:rsid w:val="00CC2A37"/>
    <w:rsid w:val="00CC2A3C"/>
    <w:rsid w:val="00CC2A56"/>
    <w:rsid w:val="00CC2A6E"/>
    <w:rsid w:val="00CC2B22"/>
    <w:rsid w:val="00CC2B30"/>
    <w:rsid w:val="00CC2B93"/>
    <w:rsid w:val="00CC2BB2"/>
    <w:rsid w:val="00CC2BE1"/>
    <w:rsid w:val="00CC2C04"/>
    <w:rsid w:val="00CC2C6C"/>
    <w:rsid w:val="00CC2C93"/>
    <w:rsid w:val="00CC2CA1"/>
    <w:rsid w:val="00CC2D36"/>
    <w:rsid w:val="00CC2DA6"/>
    <w:rsid w:val="00CC2DCB"/>
    <w:rsid w:val="00CC2DD0"/>
    <w:rsid w:val="00CC2DD5"/>
    <w:rsid w:val="00CC2E8F"/>
    <w:rsid w:val="00CC2F66"/>
    <w:rsid w:val="00CC2F9F"/>
    <w:rsid w:val="00CC2FD6"/>
    <w:rsid w:val="00CC3091"/>
    <w:rsid w:val="00CC3094"/>
    <w:rsid w:val="00CC3095"/>
    <w:rsid w:val="00CC3099"/>
    <w:rsid w:val="00CC314A"/>
    <w:rsid w:val="00CC31A8"/>
    <w:rsid w:val="00CC31AE"/>
    <w:rsid w:val="00CC32AC"/>
    <w:rsid w:val="00CC32FD"/>
    <w:rsid w:val="00CC32FE"/>
    <w:rsid w:val="00CC3378"/>
    <w:rsid w:val="00CC340A"/>
    <w:rsid w:val="00CC3469"/>
    <w:rsid w:val="00CC3489"/>
    <w:rsid w:val="00CC34AD"/>
    <w:rsid w:val="00CC34EA"/>
    <w:rsid w:val="00CC352B"/>
    <w:rsid w:val="00CC3534"/>
    <w:rsid w:val="00CC3635"/>
    <w:rsid w:val="00CC367C"/>
    <w:rsid w:val="00CC36CC"/>
    <w:rsid w:val="00CC36E7"/>
    <w:rsid w:val="00CC3737"/>
    <w:rsid w:val="00CC3750"/>
    <w:rsid w:val="00CC3760"/>
    <w:rsid w:val="00CC3774"/>
    <w:rsid w:val="00CC37A0"/>
    <w:rsid w:val="00CC37E6"/>
    <w:rsid w:val="00CC3846"/>
    <w:rsid w:val="00CC3878"/>
    <w:rsid w:val="00CC38BA"/>
    <w:rsid w:val="00CC38FB"/>
    <w:rsid w:val="00CC390C"/>
    <w:rsid w:val="00CC3913"/>
    <w:rsid w:val="00CC3922"/>
    <w:rsid w:val="00CC3955"/>
    <w:rsid w:val="00CC39A7"/>
    <w:rsid w:val="00CC3A12"/>
    <w:rsid w:val="00CC3A39"/>
    <w:rsid w:val="00CC3A4B"/>
    <w:rsid w:val="00CC3A9F"/>
    <w:rsid w:val="00CC3AB0"/>
    <w:rsid w:val="00CC3AB5"/>
    <w:rsid w:val="00CC3ABA"/>
    <w:rsid w:val="00CC3B7E"/>
    <w:rsid w:val="00CC3BE3"/>
    <w:rsid w:val="00CC3C5F"/>
    <w:rsid w:val="00CC3CC2"/>
    <w:rsid w:val="00CC3D25"/>
    <w:rsid w:val="00CC3D3C"/>
    <w:rsid w:val="00CC3D3D"/>
    <w:rsid w:val="00CC3DC4"/>
    <w:rsid w:val="00CC3DD8"/>
    <w:rsid w:val="00CC3DE8"/>
    <w:rsid w:val="00CC3E70"/>
    <w:rsid w:val="00CC3E77"/>
    <w:rsid w:val="00CC3EA7"/>
    <w:rsid w:val="00CC3EF2"/>
    <w:rsid w:val="00CC3F26"/>
    <w:rsid w:val="00CC3F31"/>
    <w:rsid w:val="00CC3F5A"/>
    <w:rsid w:val="00CC3F7F"/>
    <w:rsid w:val="00CC4019"/>
    <w:rsid w:val="00CC4051"/>
    <w:rsid w:val="00CC4069"/>
    <w:rsid w:val="00CC4071"/>
    <w:rsid w:val="00CC4073"/>
    <w:rsid w:val="00CC40B3"/>
    <w:rsid w:val="00CC40DB"/>
    <w:rsid w:val="00CC4112"/>
    <w:rsid w:val="00CC4196"/>
    <w:rsid w:val="00CC4206"/>
    <w:rsid w:val="00CC4209"/>
    <w:rsid w:val="00CC42F3"/>
    <w:rsid w:val="00CC434B"/>
    <w:rsid w:val="00CC435B"/>
    <w:rsid w:val="00CC4368"/>
    <w:rsid w:val="00CC439D"/>
    <w:rsid w:val="00CC4406"/>
    <w:rsid w:val="00CC4426"/>
    <w:rsid w:val="00CC4449"/>
    <w:rsid w:val="00CC4461"/>
    <w:rsid w:val="00CC4469"/>
    <w:rsid w:val="00CC4496"/>
    <w:rsid w:val="00CC44DF"/>
    <w:rsid w:val="00CC4516"/>
    <w:rsid w:val="00CC4523"/>
    <w:rsid w:val="00CC4570"/>
    <w:rsid w:val="00CC45C0"/>
    <w:rsid w:val="00CC45CA"/>
    <w:rsid w:val="00CC45E8"/>
    <w:rsid w:val="00CC4665"/>
    <w:rsid w:val="00CC46CA"/>
    <w:rsid w:val="00CC46E4"/>
    <w:rsid w:val="00CC46ED"/>
    <w:rsid w:val="00CC4740"/>
    <w:rsid w:val="00CC474B"/>
    <w:rsid w:val="00CC4767"/>
    <w:rsid w:val="00CC4792"/>
    <w:rsid w:val="00CC47B3"/>
    <w:rsid w:val="00CC4826"/>
    <w:rsid w:val="00CC4885"/>
    <w:rsid w:val="00CC489F"/>
    <w:rsid w:val="00CC48A7"/>
    <w:rsid w:val="00CC48BE"/>
    <w:rsid w:val="00CC48D4"/>
    <w:rsid w:val="00CC48F0"/>
    <w:rsid w:val="00CC4942"/>
    <w:rsid w:val="00CC4986"/>
    <w:rsid w:val="00CC49B5"/>
    <w:rsid w:val="00CC49F2"/>
    <w:rsid w:val="00CC4A09"/>
    <w:rsid w:val="00CC4A58"/>
    <w:rsid w:val="00CC4A69"/>
    <w:rsid w:val="00CC4AD2"/>
    <w:rsid w:val="00CC4B33"/>
    <w:rsid w:val="00CC4B4A"/>
    <w:rsid w:val="00CC4B75"/>
    <w:rsid w:val="00CC4BB1"/>
    <w:rsid w:val="00CC4BBC"/>
    <w:rsid w:val="00CC4BF5"/>
    <w:rsid w:val="00CC4BF8"/>
    <w:rsid w:val="00CC4C5E"/>
    <w:rsid w:val="00CC4C95"/>
    <w:rsid w:val="00CC4CB0"/>
    <w:rsid w:val="00CC4DB1"/>
    <w:rsid w:val="00CC4DBF"/>
    <w:rsid w:val="00CC4E53"/>
    <w:rsid w:val="00CC4E64"/>
    <w:rsid w:val="00CC4E89"/>
    <w:rsid w:val="00CC4ECF"/>
    <w:rsid w:val="00CC4F59"/>
    <w:rsid w:val="00CC4FA5"/>
    <w:rsid w:val="00CC5099"/>
    <w:rsid w:val="00CC50B9"/>
    <w:rsid w:val="00CC5100"/>
    <w:rsid w:val="00CC515C"/>
    <w:rsid w:val="00CC525C"/>
    <w:rsid w:val="00CC529C"/>
    <w:rsid w:val="00CC52ED"/>
    <w:rsid w:val="00CC52EF"/>
    <w:rsid w:val="00CC52F6"/>
    <w:rsid w:val="00CC533B"/>
    <w:rsid w:val="00CC5361"/>
    <w:rsid w:val="00CC53BB"/>
    <w:rsid w:val="00CC541A"/>
    <w:rsid w:val="00CC541D"/>
    <w:rsid w:val="00CC5493"/>
    <w:rsid w:val="00CC54B0"/>
    <w:rsid w:val="00CC54DD"/>
    <w:rsid w:val="00CC5578"/>
    <w:rsid w:val="00CC55B6"/>
    <w:rsid w:val="00CC55F1"/>
    <w:rsid w:val="00CC5648"/>
    <w:rsid w:val="00CC564C"/>
    <w:rsid w:val="00CC5746"/>
    <w:rsid w:val="00CC57A7"/>
    <w:rsid w:val="00CC57DF"/>
    <w:rsid w:val="00CC57E2"/>
    <w:rsid w:val="00CC5832"/>
    <w:rsid w:val="00CC586A"/>
    <w:rsid w:val="00CC589E"/>
    <w:rsid w:val="00CC58F7"/>
    <w:rsid w:val="00CC5959"/>
    <w:rsid w:val="00CC5978"/>
    <w:rsid w:val="00CC5982"/>
    <w:rsid w:val="00CC59B0"/>
    <w:rsid w:val="00CC59B4"/>
    <w:rsid w:val="00CC5ADB"/>
    <w:rsid w:val="00CC5AE9"/>
    <w:rsid w:val="00CC5B0D"/>
    <w:rsid w:val="00CC5B17"/>
    <w:rsid w:val="00CC5BD3"/>
    <w:rsid w:val="00CC5C37"/>
    <w:rsid w:val="00CC5C9B"/>
    <w:rsid w:val="00CC5D09"/>
    <w:rsid w:val="00CC5D4A"/>
    <w:rsid w:val="00CC5D73"/>
    <w:rsid w:val="00CC5DCA"/>
    <w:rsid w:val="00CC5DE5"/>
    <w:rsid w:val="00CC5DEB"/>
    <w:rsid w:val="00CC5DFA"/>
    <w:rsid w:val="00CC5E00"/>
    <w:rsid w:val="00CC5E1B"/>
    <w:rsid w:val="00CC5ECB"/>
    <w:rsid w:val="00CC5ECC"/>
    <w:rsid w:val="00CC5ED0"/>
    <w:rsid w:val="00CC5EFA"/>
    <w:rsid w:val="00CC5F2D"/>
    <w:rsid w:val="00CC5F50"/>
    <w:rsid w:val="00CC5F9E"/>
    <w:rsid w:val="00CC5FB0"/>
    <w:rsid w:val="00CC5FCE"/>
    <w:rsid w:val="00CC6025"/>
    <w:rsid w:val="00CC6082"/>
    <w:rsid w:val="00CC6099"/>
    <w:rsid w:val="00CC60FE"/>
    <w:rsid w:val="00CC610E"/>
    <w:rsid w:val="00CC614B"/>
    <w:rsid w:val="00CC6186"/>
    <w:rsid w:val="00CC6208"/>
    <w:rsid w:val="00CC626A"/>
    <w:rsid w:val="00CC62CC"/>
    <w:rsid w:val="00CC6307"/>
    <w:rsid w:val="00CC633E"/>
    <w:rsid w:val="00CC63CC"/>
    <w:rsid w:val="00CC6408"/>
    <w:rsid w:val="00CC6452"/>
    <w:rsid w:val="00CC645A"/>
    <w:rsid w:val="00CC648F"/>
    <w:rsid w:val="00CC64C9"/>
    <w:rsid w:val="00CC6500"/>
    <w:rsid w:val="00CC6512"/>
    <w:rsid w:val="00CC651F"/>
    <w:rsid w:val="00CC6537"/>
    <w:rsid w:val="00CC6689"/>
    <w:rsid w:val="00CC66CF"/>
    <w:rsid w:val="00CC6715"/>
    <w:rsid w:val="00CC675B"/>
    <w:rsid w:val="00CC683D"/>
    <w:rsid w:val="00CC6865"/>
    <w:rsid w:val="00CC6888"/>
    <w:rsid w:val="00CC68B4"/>
    <w:rsid w:val="00CC68BE"/>
    <w:rsid w:val="00CC68E3"/>
    <w:rsid w:val="00CC68F2"/>
    <w:rsid w:val="00CC692F"/>
    <w:rsid w:val="00CC6938"/>
    <w:rsid w:val="00CC69AA"/>
    <w:rsid w:val="00CC69AD"/>
    <w:rsid w:val="00CC6AB5"/>
    <w:rsid w:val="00CC6ABA"/>
    <w:rsid w:val="00CC6AD4"/>
    <w:rsid w:val="00CC6ADB"/>
    <w:rsid w:val="00CC6B2F"/>
    <w:rsid w:val="00CC6B78"/>
    <w:rsid w:val="00CC6BD9"/>
    <w:rsid w:val="00CC6C0C"/>
    <w:rsid w:val="00CC6C5C"/>
    <w:rsid w:val="00CC6C62"/>
    <w:rsid w:val="00CC6C9E"/>
    <w:rsid w:val="00CC6CA5"/>
    <w:rsid w:val="00CC6CC3"/>
    <w:rsid w:val="00CC6D30"/>
    <w:rsid w:val="00CC6D86"/>
    <w:rsid w:val="00CC6DBA"/>
    <w:rsid w:val="00CC6E07"/>
    <w:rsid w:val="00CC6E5A"/>
    <w:rsid w:val="00CC6E92"/>
    <w:rsid w:val="00CC6ED3"/>
    <w:rsid w:val="00CC6F3F"/>
    <w:rsid w:val="00CC70A3"/>
    <w:rsid w:val="00CC70B9"/>
    <w:rsid w:val="00CC70EA"/>
    <w:rsid w:val="00CC7187"/>
    <w:rsid w:val="00CC718D"/>
    <w:rsid w:val="00CC71B1"/>
    <w:rsid w:val="00CC71B6"/>
    <w:rsid w:val="00CC71C7"/>
    <w:rsid w:val="00CC71E0"/>
    <w:rsid w:val="00CC71E6"/>
    <w:rsid w:val="00CC7214"/>
    <w:rsid w:val="00CC721C"/>
    <w:rsid w:val="00CC7225"/>
    <w:rsid w:val="00CC72AD"/>
    <w:rsid w:val="00CC735A"/>
    <w:rsid w:val="00CC73E9"/>
    <w:rsid w:val="00CC73F4"/>
    <w:rsid w:val="00CC7400"/>
    <w:rsid w:val="00CC744E"/>
    <w:rsid w:val="00CC7481"/>
    <w:rsid w:val="00CC74B7"/>
    <w:rsid w:val="00CC74BC"/>
    <w:rsid w:val="00CC7613"/>
    <w:rsid w:val="00CC765D"/>
    <w:rsid w:val="00CC769A"/>
    <w:rsid w:val="00CC76DC"/>
    <w:rsid w:val="00CC7800"/>
    <w:rsid w:val="00CC781A"/>
    <w:rsid w:val="00CC782E"/>
    <w:rsid w:val="00CC7868"/>
    <w:rsid w:val="00CC789D"/>
    <w:rsid w:val="00CC78B3"/>
    <w:rsid w:val="00CC78BC"/>
    <w:rsid w:val="00CC78C0"/>
    <w:rsid w:val="00CC791E"/>
    <w:rsid w:val="00CC793E"/>
    <w:rsid w:val="00CC7954"/>
    <w:rsid w:val="00CC797F"/>
    <w:rsid w:val="00CC79A1"/>
    <w:rsid w:val="00CC79B2"/>
    <w:rsid w:val="00CC7A4B"/>
    <w:rsid w:val="00CC7A56"/>
    <w:rsid w:val="00CC7A67"/>
    <w:rsid w:val="00CC7A98"/>
    <w:rsid w:val="00CC7A99"/>
    <w:rsid w:val="00CC7ADC"/>
    <w:rsid w:val="00CC7AE7"/>
    <w:rsid w:val="00CC7B09"/>
    <w:rsid w:val="00CC7B31"/>
    <w:rsid w:val="00CC7B43"/>
    <w:rsid w:val="00CC7B66"/>
    <w:rsid w:val="00CC7C0C"/>
    <w:rsid w:val="00CC7C16"/>
    <w:rsid w:val="00CC7C4F"/>
    <w:rsid w:val="00CC7CBD"/>
    <w:rsid w:val="00CC7D32"/>
    <w:rsid w:val="00CC7D6F"/>
    <w:rsid w:val="00CC7DC3"/>
    <w:rsid w:val="00CC7DD0"/>
    <w:rsid w:val="00CC7E46"/>
    <w:rsid w:val="00CC7E75"/>
    <w:rsid w:val="00CC7E77"/>
    <w:rsid w:val="00CC7EFF"/>
    <w:rsid w:val="00CC7F0D"/>
    <w:rsid w:val="00CC7F1C"/>
    <w:rsid w:val="00CC7F75"/>
    <w:rsid w:val="00CC7FAA"/>
    <w:rsid w:val="00CC7FBD"/>
    <w:rsid w:val="00CC7FDE"/>
    <w:rsid w:val="00CD0003"/>
    <w:rsid w:val="00CD004A"/>
    <w:rsid w:val="00CD0078"/>
    <w:rsid w:val="00CD009A"/>
    <w:rsid w:val="00CD00E2"/>
    <w:rsid w:val="00CD00E4"/>
    <w:rsid w:val="00CD00EF"/>
    <w:rsid w:val="00CD0115"/>
    <w:rsid w:val="00CD0182"/>
    <w:rsid w:val="00CD01CC"/>
    <w:rsid w:val="00CD01FE"/>
    <w:rsid w:val="00CD0237"/>
    <w:rsid w:val="00CD0241"/>
    <w:rsid w:val="00CD028D"/>
    <w:rsid w:val="00CD0348"/>
    <w:rsid w:val="00CD03B5"/>
    <w:rsid w:val="00CD0420"/>
    <w:rsid w:val="00CD0444"/>
    <w:rsid w:val="00CD0453"/>
    <w:rsid w:val="00CD04BD"/>
    <w:rsid w:val="00CD04C8"/>
    <w:rsid w:val="00CD04DB"/>
    <w:rsid w:val="00CD0510"/>
    <w:rsid w:val="00CD051E"/>
    <w:rsid w:val="00CD0582"/>
    <w:rsid w:val="00CD05E5"/>
    <w:rsid w:val="00CD05E8"/>
    <w:rsid w:val="00CD05F0"/>
    <w:rsid w:val="00CD0645"/>
    <w:rsid w:val="00CD0685"/>
    <w:rsid w:val="00CD071B"/>
    <w:rsid w:val="00CD079B"/>
    <w:rsid w:val="00CD07BC"/>
    <w:rsid w:val="00CD07C0"/>
    <w:rsid w:val="00CD087F"/>
    <w:rsid w:val="00CD090B"/>
    <w:rsid w:val="00CD091F"/>
    <w:rsid w:val="00CD0951"/>
    <w:rsid w:val="00CD0981"/>
    <w:rsid w:val="00CD09BE"/>
    <w:rsid w:val="00CD0A1A"/>
    <w:rsid w:val="00CD0A40"/>
    <w:rsid w:val="00CD0A5B"/>
    <w:rsid w:val="00CD0A7B"/>
    <w:rsid w:val="00CD0A85"/>
    <w:rsid w:val="00CD0A91"/>
    <w:rsid w:val="00CD0B37"/>
    <w:rsid w:val="00CD0B3B"/>
    <w:rsid w:val="00CD0B83"/>
    <w:rsid w:val="00CD0BF1"/>
    <w:rsid w:val="00CD0C15"/>
    <w:rsid w:val="00CD0C24"/>
    <w:rsid w:val="00CD0C6B"/>
    <w:rsid w:val="00CD0CC4"/>
    <w:rsid w:val="00CD0D08"/>
    <w:rsid w:val="00CD0D10"/>
    <w:rsid w:val="00CD0D55"/>
    <w:rsid w:val="00CD0D95"/>
    <w:rsid w:val="00CD0D9D"/>
    <w:rsid w:val="00CD0E33"/>
    <w:rsid w:val="00CD0E53"/>
    <w:rsid w:val="00CD0E90"/>
    <w:rsid w:val="00CD0ED5"/>
    <w:rsid w:val="00CD0EDC"/>
    <w:rsid w:val="00CD0F4E"/>
    <w:rsid w:val="00CD0F6B"/>
    <w:rsid w:val="00CD0F81"/>
    <w:rsid w:val="00CD0F90"/>
    <w:rsid w:val="00CD1033"/>
    <w:rsid w:val="00CD104B"/>
    <w:rsid w:val="00CD1102"/>
    <w:rsid w:val="00CD1117"/>
    <w:rsid w:val="00CD111D"/>
    <w:rsid w:val="00CD112D"/>
    <w:rsid w:val="00CD1175"/>
    <w:rsid w:val="00CD11A6"/>
    <w:rsid w:val="00CD11F1"/>
    <w:rsid w:val="00CD120D"/>
    <w:rsid w:val="00CD1259"/>
    <w:rsid w:val="00CD12E4"/>
    <w:rsid w:val="00CD12F4"/>
    <w:rsid w:val="00CD12FB"/>
    <w:rsid w:val="00CD1329"/>
    <w:rsid w:val="00CD133E"/>
    <w:rsid w:val="00CD1355"/>
    <w:rsid w:val="00CD1357"/>
    <w:rsid w:val="00CD1366"/>
    <w:rsid w:val="00CD1378"/>
    <w:rsid w:val="00CD13A2"/>
    <w:rsid w:val="00CD13D3"/>
    <w:rsid w:val="00CD13EF"/>
    <w:rsid w:val="00CD141F"/>
    <w:rsid w:val="00CD14C0"/>
    <w:rsid w:val="00CD154C"/>
    <w:rsid w:val="00CD1558"/>
    <w:rsid w:val="00CD1592"/>
    <w:rsid w:val="00CD160A"/>
    <w:rsid w:val="00CD162D"/>
    <w:rsid w:val="00CD1640"/>
    <w:rsid w:val="00CD1659"/>
    <w:rsid w:val="00CD16AA"/>
    <w:rsid w:val="00CD16C1"/>
    <w:rsid w:val="00CD17AD"/>
    <w:rsid w:val="00CD180C"/>
    <w:rsid w:val="00CD1834"/>
    <w:rsid w:val="00CD1842"/>
    <w:rsid w:val="00CD1882"/>
    <w:rsid w:val="00CD1934"/>
    <w:rsid w:val="00CD1940"/>
    <w:rsid w:val="00CD19FE"/>
    <w:rsid w:val="00CD1B06"/>
    <w:rsid w:val="00CD1B62"/>
    <w:rsid w:val="00CD1B68"/>
    <w:rsid w:val="00CD1B71"/>
    <w:rsid w:val="00CD1B79"/>
    <w:rsid w:val="00CD1BB2"/>
    <w:rsid w:val="00CD1BD2"/>
    <w:rsid w:val="00CD1BF2"/>
    <w:rsid w:val="00CD1C18"/>
    <w:rsid w:val="00CD1C29"/>
    <w:rsid w:val="00CD1C44"/>
    <w:rsid w:val="00CD1C80"/>
    <w:rsid w:val="00CD1CA9"/>
    <w:rsid w:val="00CD1CAC"/>
    <w:rsid w:val="00CD1D2D"/>
    <w:rsid w:val="00CD1D5F"/>
    <w:rsid w:val="00CD1DB5"/>
    <w:rsid w:val="00CD1E37"/>
    <w:rsid w:val="00CD1ED2"/>
    <w:rsid w:val="00CD1F3F"/>
    <w:rsid w:val="00CD1F9E"/>
    <w:rsid w:val="00CD1FC7"/>
    <w:rsid w:val="00CD1FE6"/>
    <w:rsid w:val="00CD1FEF"/>
    <w:rsid w:val="00CD2002"/>
    <w:rsid w:val="00CD200B"/>
    <w:rsid w:val="00CD2039"/>
    <w:rsid w:val="00CD204B"/>
    <w:rsid w:val="00CD2078"/>
    <w:rsid w:val="00CD20A1"/>
    <w:rsid w:val="00CD20A4"/>
    <w:rsid w:val="00CD2105"/>
    <w:rsid w:val="00CD2111"/>
    <w:rsid w:val="00CD219C"/>
    <w:rsid w:val="00CD21C7"/>
    <w:rsid w:val="00CD21EE"/>
    <w:rsid w:val="00CD2217"/>
    <w:rsid w:val="00CD2236"/>
    <w:rsid w:val="00CD22AD"/>
    <w:rsid w:val="00CD22C9"/>
    <w:rsid w:val="00CD22F9"/>
    <w:rsid w:val="00CD22FB"/>
    <w:rsid w:val="00CD235D"/>
    <w:rsid w:val="00CD236C"/>
    <w:rsid w:val="00CD238C"/>
    <w:rsid w:val="00CD23C1"/>
    <w:rsid w:val="00CD23E7"/>
    <w:rsid w:val="00CD2412"/>
    <w:rsid w:val="00CD2466"/>
    <w:rsid w:val="00CD2477"/>
    <w:rsid w:val="00CD24BD"/>
    <w:rsid w:val="00CD24DE"/>
    <w:rsid w:val="00CD24F6"/>
    <w:rsid w:val="00CD2537"/>
    <w:rsid w:val="00CD2565"/>
    <w:rsid w:val="00CD263A"/>
    <w:rsid w:val="00CD266F"/>
    <w:rsid w:val="00CD26C4"/>
    <w:rsid w:val="00CD27D4"/>
    <w:rsid w:val="00CD282C"/>
    <w:rsid w:val="00CD282F"/>
    <w:rsid w:val="00CD2831"/>
    <w:rsid w:val="00CD28B6"/>
    <w:rsid w:val="00CD28B8"/>
    <w:rsid w:val="00CD28BB"/>
    <w:rsid w:val="00CD2917"/>
    <w:rsid w:val="00CD2996"/>
    <w:rsid w:val="00CD29AA"/>
    <w:rsid w:val="00CD29B7"/>
    <w:rsid w:val="00CD29DE"/>
    <w:rsid w:val="00CD2A25"/>
    <w:rsid w:val="00CD2A67"/>
    <w:rsid w:val="00CD2B5E"/>
    <w:rsid w:val="00CD2B87"/>
    <w:rsid w:val="00CD2B8B"/>
    <w:rsid w:val="00CD2C0D"/>
    <w:rsid w:val="00CD2C7D"/>
    <w:rsid w:val="00CD2CD4"/>
    <w:rsid w:val="00CD2D48"/>
    <w:rsid w:val="00CD2D4C"/>
    <w:rsid w:val="00CD2D88"/>
    <w:rsid w:val="00CD2D90"/>
    <w:rsid w:val="00CD2E30"/>
    <w:rsid w:val="00CD2E4F"/>
    <w:rsid w:val="00CD2E51"/>
    <w:rsid w:val="00CD2E78"/>
    <w:rsid w:val="00CD2EA4"/>
    <w:rsid w:val="00CD2EDA"/>
    <w:rsid w:val="00CD2F58"/>
    <w:rsid w:val="00CD2F60"/>
    <w:rsid w:val="00CD2F71"/>
    <w:rsid w:val="00CD2F88"/>
    <w:rsid w:val="00CD2F94"/>
    <w:rsid w:val="00CD305F"/>
    <w:rsid w:val="00CD311A"/>
    <w:rsid w:val="00CD313C"/>
    <w:rsid w:val="00CD3149"/>
    <w:rsid w:val="00CD3178"/>
    <w:rsid w:val="00CD3182"/>
    <w:rsid w:val="00CD319A"/>
    <w:rsid w:val="00CD323D"/>
    <w:rsid w:val="00CD3274"/>
    <w:rsid w:val="00CD327A"/>
    <w:rsid w:val="00CD32C2"/>
    <w:rsid w:val="00CD32D6"/>
    <w:rsid w:val="00CD32EC"/>
    <w:rsid w:val="00CD3332"/>
    <w:rsid w:val="00CD334D"/>
    <w:rsid w:val="00CD3356"/>
    <w:rsid w:val="00CD338D"/>
    <w:rsid w:val="00CD33CD"/>
    <w:rsid w:val="00CD33E7"/>
    <w:rsid w:val="00CD33F6"/>
    <w:rsid w:val="00CD3441"/>
    <w:rsid w:val="00CD34C9"/>
    <w:rsid w:val="00CD34EB"/>
    <w:rsid w:val="00CD3605"/>
    <w:rsid w:val="00CD361C"/>
    <w:rsid w:val="00CD368B"/>
    <w:rsid w:val="00CD36D9"/>
    <w:rsid w:val="00CD3724"/>
    <w:rsid w:val="00CD3732"/>
    <w:rsid w:val="00CD377F"/>
    <w:rsid w:val="00CD3780"/>
    <w:rsid w:val="00CD3795"/>
    <w:rsid w:val="00CD37DD"/>
    <w:rsid w:val="00CD3922"/>
    <w:rsid w:val="00CD3A79"/>
    <w:rsid w:val="00CD3A7B"/>
    <w:rsid w:val="00CD3BAE"/>
    <w:rsid w:val="00CD3BCA"/>
    <w:rsid w:val="00CD3C12"/>
    <w:rsid w:val="00CD3C25"/>
    <w:rsid w:val="00CD3C83"/>
    <w:rsid w:val="00CD3C88"/>
    <w:rsid w:val="00CD3D28"/>
    <w:rsid w:val="00CD3DEC"/>
    <w:rsid w:val="00CD3E71"/>
    <w:rsid w:val="00CD3ECF"/>
    <w:rsid w:val="00CD3EE1"/>
    <w:rsid w:val="00CD3F39"/>
    <w:rsid w:val="00CD3F9F"/>
    <w:rsid w:val="00CD3FBA"/>
    <w:rsid w:val="00CD3FD2"/>
    <w:rsid w:val="00CD4044"/>
    <w:rsid w:val="00CD405D"/>
    <w:rsid w:val="00CD4073"/>
    <w:rsid w:val="00CD40A2"/>
    <w:rsid w:val="00CD410A"/>
    <w:rsid w:val="00CD4122"/>
    <w:rsid w:val="00CD41D4"/>
    <w:rsid w:val="00CD42E7"/>
    <w:rsid w:val="00CD4317"/>
    <w:rsid w:val="00CD4321"/>
    <w:rsid w:val="00CD433C"/>
    <w:rsid w:val="00CD4345"/>
    <w:rsid w:val="00CD437A"/>
    <w:rsid w:val="00CD4390"/>
    <w:rsid w:val="00CD43C9"/>
    <w:rsid w:val="00CD43DB"/>
    <w:rsid w:val="00CD43E1"/>
    <w:rsid w:val="00CD4427"/>
    <w:rsid w:val="00CD443F"/>
    <w:rsid w:val="00CD44FF"/>
    <w:rsid w:val="00CD455B"/>
    <w:rsid w:val="00CD45EA"/>
    <w:rsid w:val="00CD4659"/>
    <w:rsid w:val="00CD4702"/>
    <w:rsid w:val="00CD472D"/>
    <w:rsid w:val="00CD4736"/>
    <w:rsid w:val="00CD4760"/>
    <w:rsid w:val="00CD4762"/>
    <w:rsid w:val="00CD4816"/>
    <w:rsid w:val="00CD4830"/>
    <w:rsid w:val="00CD4831"/>
    <w:rsid w:val="00CD483C"/>
    <w:rsid w:val="00CD4855"/>
    <w:rsid w:val="00CD486A"/>
    <w:rsid w:val="00CD48F5"/>
    <w:rsid w:val="00CD4956"/>
    <w:rsid w:val="00CD49DF"/>
    <w:rsid w:val="00CD4A06"/>
    <w:rsid w:val="00CD4A3A"/>
    <w:rsid w:val="00CD4A81"/>
    <w:rsid w:val="00CD4A99"/>
    <w:rsid w:val="00CD4ACD"/>
    <w:rsid w:val="00CD4B24"/>
    <w:rsid w:val="00CD4B3D"/>
    <w:rsid w:val="00CD4B63"/>
    <w:rsid w:val="00CD4BD0"/>
    <w:rsid w:val="00CD4C0F"/>
    <w:rsid w:val="00CD4C12"/>
    <w:rsid w:val="00CD4D2B"/>
    <w:rsid w:val="00CD4D4A"/>
    <w:rsid w:val="00CD4DB9"/>
    <w:rsid w:val="00CD4E00"/>
    <w:rsid w:val="00CD4E46"/>
    <w:rsid w:val="00CD4E4E"/>
    <w:rsid w:val="00CD4E68"/>
    <w:rsid w:val="00CD4E86"/>
    <w:rsid w:val="00CD4EA5"/>
    <w:rsid w:val="00CD4EBB"/>
    <w:rsid w:val="00CD4EC0"/>
    <w:rsid w:val="00CD4F03"/>
    <w:rsid w:val="00CD4F1A"/>
    <w:rsid w:val="00CD4F6C"/>
    <w:rsid w:val="00CD4F76"/>
    <w:rsid w:val="00CD4FD2"/>
    <w:rsid w:val="00CD4FDC"/>
    <w:rsid w:val="00CD4FF0"/>
    <w:rsid w:val="00CD50D8"/>
    <w:rsid w:val="00CD50FD"/>
    <w:rsid w:val="00CD5174"/>
    <w:rsid w:val="00CD5234"/>
    <w:rsid w:val="00CD528E"/>
    <w:rsid w:val="00CD52E6"/>
    <w:rsid w:val="00CD52F3"/>
    <w:rsid w:val="00CD535F"/>
    <w:rsid w:val="00CD53ED"/>
    <w:rsid w:val="00CD53F6"/>
    <w:rsid w:val="00CD5404"/>
    <w:rsid w:val="00CD543F"/>
    <w:rsid w:val="00CD5458"/>
    <w:rsid w:val="00CD54B1"/>
    <w:rsid w:val="00CD5522"/>
    <w:rsid w:val="00CD5588"/>
    <w:rsid w:val="00CD55BF"/>
    <w:rsid w:val="00CD55F8"/>
    <w:rsid w:val="00CD5612"/>
    <w:rsid w:val="00CD5627"/>
    <w:rsid w:val="00CD56A7"/>
    <w:rsid w:val="00CD56BC"/>
    <w:rsid w:val="00CD5706"/>
    <w:rsid w:val="00CD574B"/>
    <w:rsid w:val="00CD5752"/>
    <w:rsid w:val="00CD575D"/>
    <w:rsid w:val="00CD57DA"/>
    <w:rsid w:val="00CD57FE"/>
    <w:rsid w:val="00CD583E"/>
    <w:rsid w:val="00CD5891"/>
    <w:rsid w:val="00CD58AB"/>
    <w:rsid w:val="00CD591A"/>
    <w:rsid w:val="00CD5938"/>
    <w:rsid w:val="00CD5964"/>
    <w:rsid w:val="00CD5987"/>
    <w:rsid w:val="00CD59D0"/>
    <w:rsid w:val="00CD59F4"/>
    <w:rsid w:val="00CD59F7"/>
    <w:rsid w:val="00CD5A02"/>
    <w:rsid w:val="00CD5A0F"/>
    <w:rsid w:val="00CD5A5A"/>
    <w:rsid w:val="00CD5A67"/>
    <w:rsid w:val="00CD5A78"/>
    <w:rsid w:val="00CD5ABC"/>
    <w:rsid w:val="00CD5B89"/>
    <w:rsid w:val="00CD5B8E"/>
    <w:rsid w:val="00CD5BFE"/>
    <w:rsid w:val="00CD5CEC"/>
    <w:rsid w:val="00CD5CEF"/>
    <w:rsid w:val="00CD5D03"/>
    <w:rsid w:val="00CD5D09"/>
    <w:rsid w:val="00CD5D19"/>
    <w:rsid w:val="00CD5D3A"/>
    <w:rsid w:val="00CD5D5A"/>
    <w:rsid w:val="00CD5E20"/>
    <w:rsid w:val="00CD5E2B"/>
    <w:rsid w:val="00CD5E5B"/>
    <w:rsid w:val="00CD5E8B"/>
    <w:rsid w:val="00CD5F15"/>
    <w:rsid w:val="00CD5F83"/>
    <w:rsid w:val="00CD5FA1"/>
    <w:rsid w:val="00CD5FA8"/>
    <w:rsid w:val="00CD5FB0"/>
    <w:rsid w:val="00CD5FBD"/>
    <w:rsid w:val="00CD607D"/>
    <w:rsid w:val="00CD609E"/>
    <w:rsid w:val="00CD60A0"/>
    <w:rsid w:val="00CD6153"/>
    <w:rsid w:val="00CD61E8"/>
    <w:rsid w:val="00CD623C"/>
    <w:rsid w:val="00CD62D8"/>
    <w:rsid w:val="00CD62DC"/>
    <w:rsid w:val="00CD6344"/>
    <w:rsid w:val="00CD6355"/>
    <w:rsid w:val="00CD637D"/>
    <w:rsid w:val="00CD6391"/>
    <w:rsid w:val="00CD63CE"/>
    <w:rsid w:val="00CD63D4"/>
    <w:rsid w:val="00CD6496"/>
    <w:rsid w:val="00CD64CE"/>
    <w:rsid w:val="00CD64F2"/>
    <w:rsid w:val="00CD64F3"/>
    <w:rsid w:val="00CD65D9"/>
    <w:rsid w:val="00CD6607"/>
    <w:rsid w:val="00CD6635"/>
    <w:rsid w:val="00CD663F"/>
    <w:rsid w:val="00CD664D"/>
    <w:rsid w:val="00CD668E"/>
    <w:rsid w:val="00CD66C0"/>
    <w:rsid w:val="00CD66E6"/>
    <w:rsid w:val="00CD670D"/>
    <w:rsid w:val="00CD6741"/>
    <w:rsid w:val="00CD675A"/>
    <w:rsid w:val="00CD6768"/>
    <w:rsid w:val="00CD679E"/>
    <w:rsid w:val="00CD67D7"/>
    <w:rsid w:val="00CD67E7"/>
    <w:rsid w:val="00CD6800"/>
    <w:rsid w:val="00CD6874"/>
    <w:rsid w:val="00CD6880"/>
    <w:rsid w:val="00CD693D"/>
    <w:rsid w:val="00CD6A07"/>
    <w:rsid w:val="00CD6AA5"/>
    <w:rsid w:val="00CD6B1D"/>
    <w:rsid w:val="00CD6BB6"/>
    <w:rsid w:val="00CD6BD1"/>
    <w:rsid w:val="00CD6BDB"/>
    <w:rsid w:val="00CD6C0D"/>
    <w:rsid w:val="00CD6C1A"/>
    <w:rsid w:val="00CD6C60"/>
    <w:rsid w:val="00CD6CA0"/>
    <w:rsid w:val="00CD6CA3"/>
    <w:rsid w:val="00CD6CC4"/>
    <w:rsid w:val="00CD6CDF"/>
    <w:rsid w:val="00CD6D08"/>
    <w:rsid w:val="00CD6D19"/>
    <w:rsid w:val="00CD6D2F"/>
    <w:rsid w:val="00CD6D71"/>
    <w:rsid w:val="00CD6D8B"/>
    <w:rsid w:val="00CD6DFB"/>
    <w:rsid w:val="00CD6E0A"/>
    <w:rsid w:val="00CD6E8C"/>
    <w:rsid w:val="00CD6F76"/>
    <w:rsid w:val="00CD6F93"/>
    <w:rsid w:val="00CD6FEE"/>
    <w:rsid w:val="00CD701D"/>
    <w:rsid w:val="00CD7093"/>
    <w:rsid w:val="00CD7149"/>
    <w:rsid w:val="00CD714D"/>
    <w:rsid w:val="00CD71B7"/>
    <w:rsid w:val="00CD71BE"/>
    <w:rsid w:val="00CD71E0"/>
    <w:rsid w:val="00CD7260"/>
    <w:rsid w:val="00CD7262"/>
    <w:rsid w:val="00CD728A"/>
    <w:rsid w:val="00CD72B5"/>
    <w:rsid w:val="00CD72E5"/>
    <w:rsid w:val="00CD7336"/>
    <w:rsid w:val="00CD7399"/>
    <w:rsid w:val="00CD73C8"/>
    <w:rsid w:val="00CD740E"/>
    <w:rsid w:val="00CD7419"/>
    <w:rsid w:val="00CD7421"/>
    <w:rsid w:val="00CD7432"/>
    <w:rsid w:val="00CD7468"/>
    <w:rsid w:val="00CD747E"/>
    <w:rsid w:val="00CD7493"/>
    <w:rsid w:val="00CD74EF"/>
    <w:rsid w:val="00CD74F0"/>
    <w:rsid w:val="00CD750E"/>
    <w:rsid w:val="00CD754F"/>
    <w:rsid w:val="00CD755B"/>
    <w:rsid w:val="00CD757E"/>
    <w:rsid w:val="00CD75D6"/>
    <w:rsid w:val="00CD7610"/>
    <w:rsid w:val="00CD7627"/>
    <w:rsid w:val="00CD76AC"/>
    <w:rsid w:val="00CD76B0"/>
    <w:rsid w:val="00CD7752"/>
    <w:rsid w:val="00CD77B8"/>
    <w:rsid w:val="00CD77E8"/>
    <w:rsid w:val="00CD7823"/>
    <w:rsid w:val="00CD785D"/>
    <w:rsid w:val="00CD785F"/>
    <w:rsid w:val="00CD7863"/>
    <w:rsid w:val="00CD7898"/>
    <w:rsid w:val="00CD78F5"/>
    <w:rsid w:val="00CD7901"/>
    <w:rsid w:val="00CD7923"/>
    <w:rsid w:val="00CD79C6"/>
    <w:rsid w:val="00CD79CB"/>
    <w:rsid w:val="00CD7A49"/>
    <w:rsid w:val="00CD7A52"/>
    <w:rsid w:val="00CD7AEF"/>
    <w:rsid w:val="00CD7B11"/>
    <w:rsid w:val="00CD7BA1"/>
    <w:rsid w:val="00CD7BA4"/>
    <w:rsid w:val="00CD7BCB"/>
    <w:rsid w:val="00CD7C39"/>
    <w:rsid w:val="00CD7C3E"/>
    <w:rsid w:val="00CD7C4D"/>
    <w:rsid w:val="00CD7C84"/>
    <w:rsid w:val="00CD7CEA"/>
    <w:rsid w:val="00CD7D0B"/>
    <w:rsid w:val="00CD7E03"/>
    <w:rsid w:val="00CD7E7D"/>
    <w:rsid w:val="00CD7E82"/>
    <w:rsid w:val="00CD7ED8"/>
    <w:rsid w:val="00CD7F3B"/>
    <w:rsid w:val="00CD7FB4"/>
    <w:rsid w:val="00CD7FBF"/>
    <w:rsid w:val="00CE0057"/>
    <w:rsid w:val="00CE0085"/>
    <w:rsid w:val="00CE0091"/>
    <w:rsid w:val="00CE0154"/>
    <w:rsid w:val="00CE01B7"/>
    <w:rsid w:val="00CE01B9"/>
    <w:rsid w:val="00CE01D6"/>
    <w:rsid w:val="00CE0212"/>
    <w:rsid w:val="00CE025F"/>
    <w:rsid w:val="00CE02AD"/>
    <w:rsid w:val="00CE036A"/>
    <w:rsid w:val="00CE0397"/>
    <w:rsid w:val="00CE0496"/>
    <w:rsid w:val="00CE0520"/>
    <w:rsid w:val="00CE0574"/>
    <w:rsid w:val="00CE05A1"/>
    <w:rsid w:val="00CE05D3"/>
    <w:rsid w:val="00CE05D5"/>
    <w:rsid w:val="00CE05E5"/>
    <w:rsid w:val="00CE05FD"/>
    <w:rsid w:val="00CE0620"/>
    <w:rsid w:val="00CE0695"/>
    <w:rsid w:val="00CE069F"/>
    <w:rsid w:val="00CE06AA"/>
    <w:rsid w:val="00CE06AD"/>
    <w:rsid w:val="00CE06FE"/>
    <w:rsid w:val="00CE0704"/>
    <w:rsid w:val="00CE0736"/>
    <w:rsid w:val="00CE0744"/>
    <w:rsid w:val="00CE0799"/>
    <w:rsid w:val="00CE07A8"/>
    <w:rsid w:val="00CE07CF"/>
    <w:rsid w:val="00CE0828"/>
    <w:rsid w:val="00CE082C"/>
    <w:rsid w:val="00CE0835"/>
    <w:rsid w:val="00CE0853"/>
    <w:rsid w:val="00CE0855"/>
    <w:rsid w:val="00CE086F"/>
    <w:rsid w:val="00CE087C"/>
    <w:rsid w:val="00CE0881"/>
    <w:rsid w:val="00CE08AD"/>
    <w:rsid w:val="00CE08BA"/>
    <w:rsid w:val="00CE08E3"/>
    <w:rsid w:val="00CE08EE"/>
    <w:rsid w:val="00CE08F2"/>
    <w:rsid w:val="00CE096B"/>
    <w:rsid w:val="00CE097C"/>
    <w:rsid w:val="00CE09A6"/>
    <w:rsid w:val="00CE09CC"/>
    <w:rsid w:val="00CE0A2A"/>
    <w:rsid w:val="00CE0A4C"/>
    <w:rsid w:val="00CE0A7A"/>
    <w:rsid w:val="00CE0B93"/>
    <w:rsid w:val="00CE0C29"/>
    <w:rsid w:val="00CE0C43"/>
    <w:rsid w:val="00CE0C7A"/>
    <w:rsid w:val="00CE0C9D"/>
    <w:rsid w:val="00CE0CA7"/>
    <w:rsid w:val="00CE0D10"/>
    <w:rsid w:val="00CE0D22"/>
    <w:rsid w:val="00CE0D3F"/>
    <w:rsid w:val="00CE0E2C"/>
    <w:rsid w:val="00CE0E4E"/>
    <w:rsid w:val="00CE0E62"/>
    <w:rsid w:val="00CE0F12"/>
    <w:rsid w:val="00CE0F86"/>
    <w:rsid w:val="00CE0FC2"/>
    <w:rsid w:val="00CE1040"/>
    <w:rsid w:val="00CE108B"/>
    <w:rsid w:val="00CE109E"/>
    <w:rsid w:val="00CE10F8"/>
    <w:rsid w:val="00CE112A"/>
    <w:rsid w:val="00CE119C"/>
    <w:rsid w:val="00CE124D"/>
    <w:rsid w:val="00CE125D"/>
    <w:rsid w:val="00CE12AC"/>
    <w:rsid w:val="00CE1352"/>
    <w:rsid w:val="00CE13A0"/>
    <w:rsid w:val="00CE1405"/>
    <w:rsid w:val="00CE146D"/>
    <w:rsid w:val="00CE1479"/>
    <w:rsid w:val="00CE14E6"/>
    <w:rsid w:val="00CE1501"/>
    <w:rsid w:val="00CE15D8"/>
    <w:rsid w:val="00CE15F4"/>
    <w:rsid w:val="00CE1605"/>
    <w:rsid w:val="00CE161D"/>
    <w:rsid w:val="00CE1620"/>
    <w:rsid w:val="00CE1664"/>
    <w:rsid w:val="00CE168D"/>
    <w:rsid w:val="00CE1746"/>
    <w:rsid w:val="00CE179A"/>
    <w:rsid w:val="00CE1811"/>
    <w:rsid w:val="00CE1815"/>
    <w:rsid w:val="00CE1851"/>
    <w:rsid w:val="00CE1855"/>
    <w:rsid w:val="00CE18A5"/>
    <w:rsid w:val="00CE18EB"/>
    <w:rsid w:val="00CE18F1"/>
    <w:rsid w:val="00CE18F6"/>
    <w:rsid w:val="00CE192A"/>
    <w:rsid w:val="00CE192D"/>
    <w:rsid w:val="00CE19C6"/>
    <w:rsid w:val="00CE19E6"/>
    <w:rsid w:val="00CE1A21"/>
    <w:rsid w:val="00CE1A28"/>
    <w:rsid w:val="00CE1A30"/>
    <w:rsid w:val="00CE1A66"/>
    <w:rsid w:val="00CE1AA0"/>
    <w:rsid w:val="00CE1BB0"/>
    <w:rsid w:val="00CE1BDB"/>
    <w:rsid w:val="00CE1C1B"/>
    <w:rsid w:val="00CE1C2B"/>
    <w:rsid w:val="00CE1C2E"/>
    <w:rsid w:val="00CE1C52"/>
    <w:rsid w:val="00CE1C58"/>
    <w:rsid w:val="00CE1C5E"/>
    <w:rsid w:val="00CE1C8A"/>
    <w:rsid w:val="00CE1CBB"/>
    <w:rsid w:val="00CE1CCB"/>
    <w:rsid w:val="00CE1CD7"/>
    <w:rsid w:val="00CE1CDC"/>
    <w:rsid w:val="00CE1CE6"/>
    <w:rsid w:val="00CE1CE9"/>
    <w:rsid w:val="00CE1D0B"/>
    <w:rsid w:val="00CE1D33"/>
    <w:rsid w:val="00CE1D4D"/>
    <w:rsid w:val="00CE1D53"/>
    <w:rsid w:val="00CE1DA6"/>
    <w:rsid w:val="00CE1E0D"/>
    <w:rsid w:val="00CE1EBB"/>
    <w:rsid w:val="00CE1ED7"/>
    <w:rsid w:val="00CE1F12"/>
    <w:rsid w:val="00CE1F63"/>
    <w:rsid w:val="00CE1F99"/>
    <w:rsid w:val="00CE1FAB"/>
    <w:rsid w:val="00CE1FD5"/>
    <w:rsid w:val="00CE2015"/>
    <w:rsid w:val="00CE2031"/>
    <w:rsid w:val="00CE20CC"/>
    <w:rsid w:val="00CE2117"/>
    <w:rsid w:val="00CE2130"/>
    <w:rsid w:val="00CE2137"/>
    <w:rsid w:val="00CE2147"/>
    <w:rsid w:val="00CE21A4"/>
    <w:rsid w:val="00CE21BF"/>
    <w:rsid w:val="00CE21D4"/>
    <w:rsid w:val="00CE2221"/>
    <w:rsid w:val="00CE2259"/>
    <w:rsid w:val="00CE2283"/>
    <w:rsid w:val="00CE228A"/>
    <w:rsid w:val="00CE2330"/>
    <w:rsid w:val="00CE2341"/>
    <w:rsid w:val="00CE2343"/>
    <w:rsid w:val="00CE235F"/>
    <w:rsid w:val="00CE236A"/>
    <w:rsid w:val="00CE238D"/>
    <w:rsid w:val="00CE23C2"/>
    <w:rsid w:val="00CE23C8"/>
    <w:rsid w:val="00CE24B2"/>
    <w:rsid w:val="00CE24DA"/>
    <w:rsid w:val="00CE2522"/>
    <w:rsid w:val="00CE2584"/>
    <w:rsid w:val="00CE25A6"/>
    <w:rsid w:val="00CE25A9"/>
    <w:rsid w:val="00CE2621"/>
    <w:rsid w:val="00CE2641"/>
    <w:rsid w:val="00CE265B"/>
    <w:rsid w:val="00CE2678"/>
    <w:rsid w:val="00CE2687"/>
    <w:rsid w:val="00CE2693"/>
    <w:rsid w:val="00CE276C"/>
    <w:rsid w:val="00CE2781"/>
    <w:rsid w:val="00CE27A1"/>
    <w:rsid w:val="00CE27B2"/>
    <w:rsid w:val="00CE27C8"/>
    <w:rsid w:val="00CE27D0"/>
    <w:rsid w:val="00CE27D6"/>
    <w:rsid w:val="00CE2814"/>
    <w:rsid w:val="00CE2832"/>
    <w:rsid w:val="00CE2848"/>
    <w:rsid w:val="00CE285A"/>
    <w:rsid w:val="00CE2872"/>
    <w:rsid w:val="00CE28A2"/>
    <w:rsid w:val="00CE28CC"/>
    <w:rsid w:val="00CE290D"/>
    <w:rsid w:val="00CE2915"/>
    <w:rsid w:val="00CE2991"/>
    <w:rsid w:val="00CE29DA"/>
    <w:rsid w:val="00CE29E2"/>
    <w:rsid w:val="00CE29E6"/>
    <w:rsid w:val="00CE2B94"/>
    <w:rsid w:val="00CE2BFF"/>
    <w:rsid w:val="00CE2C47"/>
    <w:rsid w:val="00CE2C4D"/>
    <w:rsid w:val="00CE2C74"/>
    <w:rsid w:val="00CE2D57"/>
    <w:rsid w:val="00CE2D81"/>
    <w:rsid w:val="00CE2D8B"/>
    <w:rsid w:val="00CE2D92"/>
    <w:rsid w:val="00CE2DD6"/>
    <w:rsid w:val="00CE2E09"/>
    <w:rsid w:val="00CE2E37"/>
    <w:rsid w:val="00CE2E79"/>
    <w:rsid w:val="00CE2E7D"/>
    <w:rsid w:val="00CE2E99"/>
    <w:rsid w:val="00CE2EB8"/>
    <w:rsid w:val="00CE2EB9"/>
    <w:rsid w:val="00CE2ED6"/>
    <w:rsid w:val="00CE2EE8"/>
    <w:rsid w:val="00CE2F55"/>
    <w:rsid w:val="00CE2F8B"/>
    <w:rsid w:val="00CE2FD4"/>
    <w:rsid w:val="00CE2FE1"/>
    <w:rsid w:val="00CE3041"/>
    <w:rsid w:val="00CE3073"/>
    <w:rsid w:val="00CE3085"/>
    <w:rsid w:val="00CE3094"/>
    <w:rsid w:val="00CE30A0"/>
    <w:rsid w:val="00CE30DE"/>
    <w:rsid w:val="00CE30EF"/>
    <w:rsid w:val="00CE3113"/>
    <w:rsid w:val="00CE3138"/>
    <w:rsid w:val="00CE313E"/>
    <w:rsid w:val="00CE319F"/>
    <w:rsid w:val="00CE31A5"/>
    <w:rsid w:val="00CE31EA"/>
    <w:rsid w:val="00CE3268"/>
    <w:rsid w:val="00CE326D"/>
    <w:rsid w:val="00CE32A6"/>
    <w:rsid w:val="00CE32DE"/>
    <w:rsid w:val="00CE336A"/>
    <w:rsid w:val="00CE33A1"/>
    <w:rsid w:val="00CE33BF"/>
    <w:rsid w:val="00CE33D0"/>
    <w:rsid w:val="00CE3459"/>
    <w:rsid w:val="00CE3461"/>
    <w:rsid w:val="00CE34A5"/>
    <w:rsid w:val="00CE34CD"/>
    <w:rsid w:val="00CE34DA"/>
    <w:rsid w:val="00CE34E0"/>
    <w:rsid w:val="00CE3501"/>
    <w:rsid w:val="00CE3526"/>
    <w:rsid w:val="00CE354B"/>
    <w:rsid w:val="00CE3588"/>
    <w:rsid w:val="00CE35A3"/>
    <w:rsid w:val="00CE35CF"/>
    <w:rsid w:val="00CE3629"/>
    <w:rsid w:val="00CE369C"/>
    <w:rsid w:val="00CE37AF"/>
    <w:rsid w:val="00CE37DA"/>
    <w:rsid w:val="00CE3889"/>
    <w:rsid w:val="00CE3897"/>
    <w:rsid w:val="00CE3931"/>
    <w:rsid w:val="00CE3954"/>
    <w:rsid w:val="00CE395C"/>
    <w:rsid w:val="00CE397B"/>
    <w:rsid w:val="00CE39F1"/>
    <w:rsid w:val="00CE39F4"/>
    <w:rsid w:val="00CE3A47"/>
    <w:rsid w:val="00CE3A65"/>
    <w:rsid w:val="00CE3A92"/>
    <w:rsid w:val="00CE3AAB"/>
    <w:rsid w:val="00CE3AD7"/>
    <w:rsid w:val="00CE3B17"/>
    <w:rsid w:val="00CE3B6F"/>
    <w:rsid w:val="00CE3BFA"/>
    <w:rsid w:val="00CE3C28"/>
    <w:rsid w:val="00CE3C61"/>
    <w:rsid w:val="00CE3C92"/>
    <w:rsid w:val="00CE3C95"/>
    <w:rsid w:val="00CE3C9F"/>
    <w:rsid w:val="00CE3CBB"/>
    <w:rsid w:val="00CE3CC7"/>
    <w:rsid w:val="00CE3CD4"/>
    <w:rsid w:val="00CE3D1C"/>
    <w:rsid w:val="00CE3D20"/>
    <w:rsid w:val="00CE3D33"/>
    <w:rsid w:val="00CE3DBF"/>
    <w:rsid w:val="00CE3DCD"/>
    <w:rsid w:val="00CE3E20"/>
    <w:rsid w:val="00CE3E33"/>
    <w:rsid w:val="00CE3E66"/>
    <w:rsid w:val="00CE3E7C"/>
    <w:rsid w:val="00CE3F42"/>
    <w:rsid w:val="00CE3F44"/>
    <w:rsid w:val="00CE3F59"/>
    <w:rsid w:val="00CE3F7A"/>
    <w:rsid w:val="00CE3F7F"/>
    <w:rsid w:val="00CE3F9C"/>
    <w:rsid w:val="00CE4065"/>
    <w:rsid w:val="00CE40D9"/>
    <w:rsid w:val="00CE40E7"/>
    <w:rsid w:val="00CE410C"/>
    <w:rsid w:val="00CE410F"/>
    <w:rsid w:val="00CE4181"/>
    <w:rsid w:val="00CE41B6"/>
    <w:rsid w:val="00CE41CF"/>
    <w:rsid w:val="00CE41E6"/>
    <w:rsid w:val="00CE426C"/>
    <w:rsid w:val="00CE42C7"/>
    <w:rsid w:val="00CE42E6"/>
    <w:rsid w:val="00CE436A"/>
    <w:rsid w:val="00CE43C1"/>
    <w:rsid w:val="00CE43F6"/>
    <w:rsid w:val="00CE43F9"/>
    <w:rsid w:val="00CE443B"/>
    <w:rsid w:val="00CE4483"/>
    <w:rsid w:val="00CE44B4"/>
    <w:rsid w:val="00CE44F8"/>
    <w:rsid w:val="00CE44F9"/>
    <w:rsid w:val="00CE4507"/>
    <w:rsid w:val="00CE4508"/>
    <w:rsid w:val="00CE4512"/>
    <w:rsid w:val="00CE4652"/>
    <w:rsid w:val="00CE4660"/>
    <w:rsid w:val="00CE4663"/>
    <w:rsid w:val="00CE4688"/>
    <w:rsid w:val="00CE468A"/>
    <w:rsid w:val="00CE46D6"/>
    <w:rsid w:val="00CE46DF"/>
    <w:rsid w:val="00CE46FD"/>
    <w:rsid w:val="00CE4740"/>
    <w:rsid w:val="00CE4785"/>
    <w:rsid w:val="00CE47F2"/>
    <w:rsid w:val="00CE4826"/>
    <w:rsid w:val="00CE4836"/>
    <w:rsid w:val="00CE48BB"/>
    <w:rsid w:val="00CE4946"/>
    <w:rsid w:val="00CE4994"/>
    <w:rsid w:val="00CE49E8"/>
    <w:rsid w:val="00CE4A1B"/>
    <w:rsid w:val="00CE4A5F"/>
    <w:rsid w:val="00CE4A80"/>
    <w:rsid w:val="00CE4AAE"/>
    <w:rsid w:val="00CE4AF4"/>
    <w:rsid w:val="00CE4AF5"/>
    <w:rsid w:val="00CE4BFB"/>
    <w:rsid w:val="00CE4BFE"/>
    <w:rsid w:val="00CE4CD9"/>
    <w:rsid w:val="00CE4CDC"/>
    <w:rsid w:val="00CE4D11"/>
    <w:rsid w:val="00CE4E3B"/>
    <w:rsid w:val="00CE4E61"/>
    <w:rsid w:val="00CE4E9F"/>
    <w:rsid w:val="00CE4EB4"/>
    <w:rsid w:val="00CE4EDF"/>
    <w:rsid w:val="00CE4F03"/>
    <w:rsid w:val="00CE4F13"/>
    <w:rsid w:val="00CE4F21"/>
    <w:rsid w:val="00CE4F25"/>
    <w:rsid w:val="00CE4F4A"/>
    <w:rsid w:val="00CE4F61"/>
    <w:rsid w:val="00CE500D"/>
    <w:rsid w:val="00CE500F"/>
    <w:rsid w:val="00CE501F"/>
    <w:rsid w:val="00CE5024"/>
    <w:rsid w:val="00CE503B"/>
    <w:rsid w:val="00CE5042"/>
    <w:rsid w:val="00CE5051"/>
    <w:rsid w:val="00CE5077"/>
    <w:rsid w:val="00CE50D1"/>
    <w:rsid w:val="00CE5104"/>
    <w:rsid w:val="00CE5113"/>
    <w:rsid w:val="00CE5155"/>
    <w:rsid w:val="00CE515C"/>
    <w:rsid w:val="00CE516F"/>
    <w:rsid w:val="00CE5190"/>
    <w:rsid w:val="00CE51AA"/>
    <w:rsid w:val="00CE51EC"/>
    <w:rsid w:val="00CE5256"/>
    <w:rsid w:val="00CE5264"/>
    <w:rsid w:val="00CE528D"/>
    <w:rsid w:val="00CE52D0"/>
    <w:rsid w:val="00CE52DF"/>
    <w:rsid w:val="00CE53B0"/>
    <w:rsid w:val="00CE53D9"/>
    <w:rsid w:val="00CE542D"/>
    <w:rsid w:val="00CE543A"/>
    <w:rsid w:val="00CE551B"/>
    <w:rsid w:val="00CE554F"/>
    <w:rsid w:val="00CE556A"/>
    <w:rsid w:val="00CE5598"/>
    <w:rsid w:val="00CE55FF"/>
    <w:rsid w:val="00CE5606"/>
    <w:rsid w:val="00CE561C"/>
    <w:rsid w:val="00CE5645"/>
    <w:rsid w:val="00CE568B"/>
    <w:rsid w:val="00CE56A2"/>
    <w:rsid w:val="00CE56ED"/>
    <w:rsid w:val="00CE5716"/>
    <w:rsid w:val="00CE579B"/>
    <w:rsid w:val="00CE57D2"/>
    <w:rsid w:val="00CE57D7"/>
    <w:rsid w:val="00CE589D"/>
    <w:rsid w:val="00CE58E1"/>
    <w:rsid w:val="00CE5930"/>
    <w:rsid w:val="00CE5971"/>
    <w:rsid w:val="00CE5976"/>
    <w:rsid w:val="00CE5986"/>
    <w:rsid w:val="00CE59C2"/>
    <w:rsid w:val="00CE59DD"/>
    <w:rsid w:val="00CE59ED"/>
    <w:rsid w:val="00CE5A0D"/>
    <w:rsid w:val="00CE5A10"/>
    <w:rsid w:val="00CE5A51"/>
    <w:rsid w:val="00CE5A8F"/>
    <w:rsid w:val="00CE5A9A"/>
    <w:rsid w:val="00CE5AD1"/>
    <w:rsid w:val="00CE5B17"/>
    <w:rsid w:val="00CE5B35"/>
    <w:rsid w:val="00CE5B68"/>
    <w:rsid w:val="00CE5B76"/>
    <w:rsid w:val="00CE5B92"/>
    <w:rsid w:val="00CE5B9A"/>
    <w:rsid w:val="00CE5BEE"/>
    <w:rsid w:val="00CE5C41"/>
    <w:rsid w:val="00CE5C76"/>
    <w:rsid w:val="00CE5C9D"/>
    <w:rsid w:val="00CE5CBB"/>
    <w:rsid w:val="00CE5CC7"/>
    <w:rsid w:val="00CE5D3C"/>
    <w:rsid w:val="00CE5D41"/>
    <w:rsid w:val="00CE5D4E"/>
    <w:rsid w:val="00CE5D55"/>
    <w:rsid w:val="00CE5D58"/>
    <w:rsid w:val="00CE5DD8"/>
    <w:rsid w:val="00CE5DDD"/>
    <w:rsid w:val="00CE5DE8"/>
    <w:rsid w:val="00CE5DFB"/>
    <w:rsid w:val="00CE5E31"/>
    <w:rsid w:val="00CE5E81"/>
    <w:rsid w:val="00CE5E94"/>
    <w:rsid w:val="00CE5EAC"/>
    <w:rsid w:val="00CE5F0F"/>
    <w:rsid w:val="00CE5F5E"/>
    <w:rsid w:val="00CE5FB4"/>
    <w:rsid w:val="00CE5FC1"/>
    <w:rsid w:val="00CE6049"/>
    <w:rsid w:val="00CE6054"/>
    <w:rsid w:val="00CE6073"/>
    <w:rsid w:val="00CE609D"/>
    <w:rsid w:val="00CE60A8"/>
    <w:rsid w:val="00CE60D3"/>
    <w:rsid w:val="00CE6113"/>
    <w:rsid w:val="00CE6124"/>
    <w:rsid w:val="00CE618D"/>
    <w:rsid w:val="00CE61BF"/>
    <w:rsid w:val="00CE6200"/>
    <w:rsid w:val="00CE6232"/>
    <w:rsid w:val="00CE6253"/>
    <w:rsid w:val="00CE6260"/>
    <w:rsid w:val="00CE627A"/>
    <w:rsid w:val="00CE6295"/>
    <w:rsid w:val="00CE62E4"/>
    <w:rsid w:val="00CE62F1"/>
    <w:rsid w:val="00CE62F6"/>
    <w:rsid w:val="00CE6385"/>
    <w:rsid w:val="00CE63F6"/>
    <w:rsid w:val="00CE63FE"/>
    <w:rsid w:val="00CE642E"/>
    <w:rsid w:val="00CE645F"/>
    <w:rsid w:val="00CE6472"/>
    <w:rsid w:val="00CE6480"/>
    <w:rsid w:val="00CE6495"/>
    <w:rsid w:val="00CE64A1"/>
    <w:rsid w:val="00CE64AA"/>
    <w:rsid w:val="00CE64F1"/>
    <w:rsid w:val="00CE650E"/>
    <w:rsid w:val="00CE6519"/>
    <w:rsid w:val="00CE6522"/>
    <w:rsid w:val="00CE6530"/>
    <w:rsid w:val="00CE6544"/>
    <w:rsid w:val="00CE65A0"/>
    <w:rsid w:val="00CE6655"/>
    <w:rsid w:val="00CE6656"/>
    <w:rsid w:val="00CE6657"/>
    <w:rsid w:val="00CE665C"/>
    <w:rsid w:val="00CE66B3"/>
    <w:rsid w:val="00CE66C0"/>
    <w:rsid w:val="00CE6793"/>
    <w:rsid w:val="00CE67D0"/>
    <w:rsid w:val="00CE682C"/>
    <w:rsid w:val="00CE687D"/>
    <w:rsid w:val="00CE689C"/>
    <w:rsid w:val="00CE68A3"/>
    <w:rsid w:val="00CE68DF"/>
    <w:rsid w:val="00CE68F2"/>
    <w:rsid w:val="00CE6933"/>
    <w:rsid w:val="00CE69FE"/>
    <w:rsid w:val="00CE6A11"/>
    <w:rsid w:val="00CE6A78"/>
    <w:rsid w:val="00CE6AC5"/>
    <w:rsid w:val="00CE6B26"/>
    <w:rsid w:val="00CE6B72"/>
    <w:rsid w:val="00CE6B86"/>
    <w:rsid w:val="00CE6BF9"/>
    <w:rsid w:val="00CE6C09"/>
    <w:rsid w:val="00CE6CB3"/>
    <w:rsid w:val="00CE6DD7"/>
    <w:rsid w:val="00CE6DFB"/>
    <w:rsid w:val="00CE6E65"/>
    <w:rsid w:val="00CE6E6A"/>
    <w:rsid w:val="00CE6E87"/>
    <w:rsid w:val="00CE6EA4"/>
    <w:rsid w:val="00CE6ED7"/>
    <w:rsid w:val="00CE6EF3"/>
    <w:rsid w:val="00CE6F04"/>
    <w:rsid w:val="00CE6F3F"/>
    <w:rsid w:val="00CE6F4C"/>
    <w:rsid w:val="00CE6F57"/>
    <w:rsid w:val="00CE6FD8"/>
    <w:rsid w:val="00CE6FE5"/>
    <w:rsid w:val="00CE6FE6"/>
    <w:rsid w:val="00CE701A"/>
    <w:rsid w:val="00CE7057"/>
    <w:rsid w:val="00CE7068"/>
    <w:rsid w:val="00CE70C0"/>
    <w:rsid w:val="00CE70CE"/>
    <w:rsid w:val="00CE710C"/>
    <w:rsid w:val="00CE7115"/>
    <w:rsid w:val="00CE711F"/>
    <w:rsid w:val="00CE712C"/>
    <w:rsid w:val="00CE71B2"/>
    <w:rsid w:val="00CE71CF"/>
    <w:rsid w:val="00CE71F9"/>
    <w:rsid w:val="00CE7213"/>
    <w:rsid w:val="00CE7230"/>
    <w:rsid w:val="00CE7285"/>
    <w:rsid w:val="00CE728D"/>
    <w:rsid w:val="00CE72A0"/>
    <w:rsid w:val="00CE737B"/>
    <w:rsid w:val="00CE73B5"/>
    <w:rsid w:val="00CE7448"/>
    <w:rsid w:val="00CE74A3"/>
    <w:rsid w:val="00CE74E0"/>
    <w:rsid w:val="00CE7500"/>
    <w:rsid w:val="00CE7527"/>
    <w:rsid w:val="00CE7536"/>
    <w:rsid w:val="00CE756A"/>
    <w:rsid w:val="00CE7587"/>
    <w:rsid w:val="00CE7593"/>
    <w:rsid w:val="00CE75A7"/>
    <w:rsid w:val="00CE75BA"/>
    <w:rsid w:val="00CE75BC"/>
    <w:rsid w:val="00CE7608"/>
    <w:rsid w:val="00CE7669"/>
    <w:rsid w:val="00CE76B6"/>
    <w:rsid w:val="00CE7805"/>
    <w:rsid w:val="00CE7817"/>
    <w:rsid w:val="00CE788F"/>
    <w:rsid w:val="00CE7891"/>
    <w:rsid w:val="00CE789B"/>
    <w:rsid w:val="00CE78BE"/>
    <w:rsid w:val="00CE78BF"/>
    <w:rsid w:val="00CE78F8"/>
    <w:rsid w:val="00CE794C"/>
    <w:rsid w:val="00CE7973"/>
    <w:rsid w:val="00CE79BB"/>
    <w:rsid w:val="00CE79C1"/>
    <w:rsid w:val="00CE7A06"/>
    <w:rsid w:val="00CE7A32"/>
    <w:rsid w:val="00CE7ABC"/>
    <w:rsid w:val="00CE7B26"/>
    <w:rsid w:val="00CE7B40"/>
    <w:rsid w:val="00CE7B41"/>
    <w:rsid w:val="00CE7BC7"/>
    <w:rsid w:val="00CE7BC8"/>
    <w:rsid w:val="00CE7C3E"/>
    <w:rsid w:val="00CE7C88"/>
    <w:rsid w:val="00CE7CAB"/>
    <w:rsid w:val="00CE7CB8"/>
    <w:rsid w:val="00CE7CC9"/>
    <w:rsid w:val="00CE7D01"/>
    <w:rsid w:val="00CE7D15"/>
    <w:rsid w:val="00CE7D19"/>
    <w:rsid w:val="00CE7D33"/>
    <w:rsid w:val="00CE7D7B"/>
    <w:rsid w:val="00CE7DC2"/>
    <w:rsid w:val="00CE7E14"/>
    <w:rsid w:val="00CE7E60"/>
    <w:rsid w:val="00CE7E63"/>
    <w:rsid w:val="00CE7EB2"/>
    <w:rsid w:val="00CE7EC3"/>
    <w:rsid w:val="00CE7F08"/>
    <w:rsid w:val="00CE7F1B"/>
    <w:rsid w:val="00CE7F4A"/>
    <w:rsid w:val="00CE7F89"/>
    <w:rsid w:val="00CE7F8A"/>
    <w:rsid w:val="00CE7FB0"/>
    <w:rsid w:val="00CE7FB2"/>
    <w:rsid w:val="00CE7FDF"/>
    <w:rsid w:val="00CEA03E"/>
    <w:rsid w:val="00CF001F"/>
    <w:rsid w:val="00CF002B"/>
    <w:rsid w:val="00CF00C3"/>
    <w:rsid w:val="00CF00F9"/>
    <w:rsid w:val="00CF00FC"/>
    <w:rsid w:val="00CF0119"/>
    <w:rsid w:val="00CF0135"/>
    <w:rsid w:val="00CF013F"/>
    <w:rsid w:val="00CF015F"/>
    <w:rsid w:val="00CF0160"/>
    <w:rsid w:val="00CF016A"/>
    <w:rsid w:val="00CF0191"/>
    <w:rsid w:val="00CF01E0"/>
    <w:rsid w:val="00CF01F3"/>
    <w:rsid w:val="00CF02B8"/>
    <w:rsid w:val="00CF02D7"/>
    <w:rsid w:val="00CF038A"/>
    <w:rsid w:val="00CF03DA"/>
    <w:rsid w:val="00CF03EB"/>
    <w:rsid w:val="00CF0421"/>
    <w:rsid w:val="00CF0425"/>
    <w:rsid w:val="00CF042F"/>
    <w:rsid w:val="00CF0440"/>
    <w:rsid w:val="00CF0462"/>
    <w:rsid w:val="00CF048B"/>
    <w:rsid w:val="00CF048D"/>
    <w:rsid w:val="00CF049C"/>
    <w:rsid w:val="00CF04C3"/>
    <w:rsid w:val="00CF04EB"/>
    <w:rsid w:val="00CF0501"/>
    <w:rsid w:val="00CF05DC"/>
    <w:rsid w:val="00CF060E"/>
    <w:rsid w:val="00CF0627"/>
    <w:rsid w:val="00CF06FE"/>
    <w:rsid w:val="00CF0718"/>
    <w:rsid w:val="00CF073B"/>
    <w:rsid w:val="00CF078E"/>
    <w:rsid w:val="00CF0799"/>
    <w:rsid w:val="00CF0840"/>
    <w:rsid w:val="00CF085E"/>
    <w:rsid w:val="00CF086F"/>
    <w:rsid w:val="00CF093C"/>
    <w:rsid w:val="00CF094D"/>
    <w:rsid w:val="00CF0977"/>
    <w:rsid w:val="00CF09B5"/>
    <w:rsid w:val="00CF09EE"/>
    <w:rsid w:val="00CF0A92"/>
    <w:rsid w:val="00CF0A98"/>
    <w:rsid w:val="00CF0BB0"/>
    <w:rsid w:val="00CF0C4E"/>
    <w:rsid w:val="00CF0C8E"/>
    <w:rsid w:val="00CF0C94"/>
    <w:rsid w:val="00CF0CA7"/>
    <w:rsid w:val="00CF0CCB"/>
    <w:rsid w:val="00CF0CD3"/>
    <w:rsid w:val="00CF0CDC"/>
    <w:rsid w:val="00CF0CF3"/>
    <w:rsid w:val="00CF0E31"/>
    <w:rsid w:val="00CF0E3C"/>
    <w:rsid w:val="00CF0E55"/>
    <w:rsid w:val="00CF0EB7"/>
    <w:rsid w:val="00CF0EC7"/>
    <w:rsid w:val="00CF0F0D"/>
    <w:rsid w:val="00CF0FD2"/>
    <w:rsid w:val="00CF0FD5"/>
    <w:rsid w:val="00CF0FF5"/>
    <w:rsid w:val="00CF1008"/>
    <w:rsid w:val="00CF10E7"/>
    <w:rsid w:val="00CF10F3"/>
    <w:rsid w:val="00CF1112"/>
    <w:rsid w:val="00CF1171"/>
    <w:rsid w:val="00CF117A"/>
    <w:rsid w:val="00CF119E"/>
    <w:rsid w:val="00CF11E5"/>
    <w:rsid w:val="00CF121C"/>
    <w:rsid w:val="00CF1236"/>
    <w:rsid w:val="00CF1272"/>
    <w:rsid w:val="00CF1288"/>
    <w:rsid w:val="00CF12A8"/>
    <w:rsid w:val="00CF12B3"/>
    <w:rsid w:val="00CF12E5"/>
    <w:rsid w:val="00CF13C6"/>
    <w:rsid w:val="00CF13CF"/>
    <w:rsid w:val="00CF140F"/>
    <w:rsid w:val="00CF149B"/>
    <w:rsid w:val="00CF14E4"/>
    <w:rsid w:val="00CF1516"/>
    <w:rsid w:val="00CF1544"/>
    <w:rsid w:val="00CF1597"/>
    <w:rsid w:val="00CF1609"/>
    <w:rsid w:val="00CF16A2"/>
    <w:rsid w:val="00CF16A5"/>
    <w:rsid w:val="00CF16A9"/>
    <w:rsid w:val="00CF16B5"/>
    <w:rsid w:val="00CF16F1"/>
    <w:rsid w:val="00CF1763"/>
    <w:rsid w:val="00CF1767"/>
    <w:rsid w:val="00CF1786"/>
    <w:rsid w:val="00CF17A4"/>
    <w:rsid w:val="00CF17EA"/>
    <w:rsid w:val="00CF180E"/>
    <w:rsid w:val="00CF1816"/>
    <w:rsid w:val="00CF184C"/>
    <w:rsid w:val="00CF18B6"/>
    <w:rsid w:val="00CF18BC"/>
    <w:rsid w:val="00CF1900"/>
    <w:rsid w:val="00CF19D1"/>
    <w:rsid w:val="00CF19F8"/>
    <w:rsid w:val="00CF1A30"/>
    <w:rsid w:val="00CF1A77"/>
    <w:rsid w:val="00CF1AF6"/>
    <w:rsid w:val="00CF1B13"/>
    <w:rsid w:val="00CF1B26"/>
    <w:rsid w:val="00CF1B7F"/>
    <w:rsid w:val="00CF1B91"/>
    <w:rsid w:val="00CF1BAF"/>
    <w:rsid w:val="00CF1BBC"/>
    <w:rsid w:val="00CF1BF7"/>
    <w:rsid w:val="00CF1C10"/>
    <w:rsid w:val="00CF1C24"/>
    <w:rsid w:val="00CF1CA8"/>
    <w:rsid w:val="00CF1CB0"/>
    <w:rsid w:val="00CF1CB2"/>
    <w:rsid w:val="00CF1CBF"/>
    <w:rsid w:val="00CF1D4D"/>
    <w:rsid w:val="00CF1D61"/>
    <w:rsid w:val="00CF1E09"/>
    <w:rsid w:val="00CF1EB4"/>
    <w:rsid w:val="00CF1F0B"/>
    <w:rsid w:val="00CF1FBA"/>
    <w:rsid w:val="00CF1FE4"/>
    <w:rsid w:val="00CF20B7"/>
    <w:rsid w:val="00CF20DB"/>
    <w:rsid w:val="00CF210A"/>
    <w:rsid w:val="00CF210D"/>
    <w:rsid w:val="00CF2122"/>
    <w:rsid w:val="00CF2149"/>
    <w:rsid w:val="00CF217B"/>
    <w:rsid w:val="00CF21BE"/>
    <w:rsid w:val="00CF21D7"/>
    <w:rsid w:val="00CF21FF"/>
    <w:rsid w:val="00CF221A"/>
    <w:rsid w:val="00CF2223"/>
    <w:rsid w:val="00CF223E"/>
    <w:rsid w:val="00CF2261"/>
    <w:rsid w:val="00CF2287"/>
    <w:rsid w:val="00CF229E"/>
    <w:rsid w:val="00CF22E2"/>
    <w:rsid w:val="00CF23A6"/>
    <w:rsid w:val="00CF23EB"/>
    <w:rsid w:val="00CF240B"/>
    <w:rsid w:val="00CF245E"/>
    <w:rsid w:val="00CF24C4"/>
    <w:rsid w:val="00CF24D6"/>
    <w:rsid w:val="00CF2516"/>
    <w:rsid w:val="00CF2559"/>
    <w:rsid w:val="00CF255F"/>
    <w:rsid w:val="00CF2571"/>
    <w:rsid w:val="00CF25A7"/>
    <w:rsid w:val="00CF25D6"/>
    <w:rsid w:val="00CF263A"/>
    <w:rsid w:val="00CF2655"/>
    <w:rsid w:val="00CF26C8"/>
    <w:rsid w:val="00CF26EE"/>
    <w:rsid w:val="00CF2709"/>
    <w:rsid w:val="00CF2775"/>
    <w:rsid w:val="00CF2784"/>
    <w:rsid w:val="00CF27A9"/>
    <w:rsid w:val="00CF27D1"/>
    <w:rsid w:val="00CF287E"/>
    <w:rsid w:val="00CF28C5"/>
    <w:rsid w:val="00CF28FF"/>
    <w:rsid w:val="00CF2938"/>
    <w:rsid w:val="00CF2945"/>
    <w:rsid w:val="00CF2983"/>
    <w:rsid w:val="00CF29FD"/>
    <w:rsid w:val="00CF2A34"/>
    <w:rsid w:val="00CF2A3E"/>
    <w:rsid w:val="00CF2A61"/>
    <w:rsid w:val="00CF2AF9"/>
    <w:rsid w:val="00CF2B7A"/>
    <w:rsid w:val="00CF2BBB"/>
    <w:rsid w:val="00CF2BC3"/>
    <w:rsid w:val="00CF2BC6"/>
    <w:rsid w:val="00CF2BF5"/>
    <w:rsid w:val="00CF2C14"/>
    <w:rsid w:val="00CF2C3D"/>
    <w:rsid w:val="00CF2C51"/>
    <w:rsid w:val="00CF2C96"/>
    <w:rsid w:val="00CF2CD7"/>
    <w:rsid w:val="00CF2CEB"/>
    <w:rsid w:val="00CF2D54"/>
    <w:rsid w:val="00CF2D78"/>
    <w:rsid w:val="00CF2DB4"/>
    <w:rsid w:val="00CF2DCB"/>
    <w:rsid w:val="00CF2DD1"/>
    <w:rsid w:val="00CF2E1B"/>
    <w:rsid w:val="00CF2E33"/>
    <w:rsid w:val="00CF2E3C"/>
    <w:rsid w:val="00CF2E78"/>
    <w:rsid w:val="00CF2E7E"/>
    <w:rsid w:val="00CF2EA2"/>
    <w:rsid w:val="00CF2EB6"/>
    <w:rsid w:val="00CF2EBE"/>
    <w:rsid w:val="00CF2EC6"/>
    <w:rsid w:val="00CF2F1B"/>
    <w:rsid w:val="00CF2F8A"/>
    <w:rsid w:val="00CF2FF1"/>
    <w:rsid w:val="00CF300C"/>
    <w:rsid w:val="00CF3061"/>
    <w:rsid w:val="00CF30CF"/>
    <w:rsid w:val="00CF30EA"/>
    <w:rsid w:val="00CF30EB"/>
    <w:rsid w:val="00CF30ED"/>
    <w:rsid w:val="00CF3112"/>
    <w:rsid w:val="00CF3137"/>
    <w:rsid w:val="00CF3149"/>
    <w:rsid w:val="00CF314E"/>
    <w:rsid w:val="00CF317A"/>
    <w:rsid w:val="00CF321B"/>
    <w:rsid w:val="00CF323B"/>
    <w:rsid w:val="00CF3250"/>
    <w:rsid w:val="00CF3276"/>
    <w:rsid w:val="00CF3310"/>
    <w:rsid w:val="00CF33AF"/>
    <w:rsid w:val="00CF3435"/>
    <w:rsid w:val="00CF3449"/>
    <w:rsid w:val="00CF348B"/>
    <w:rsid w:val="00CF348D"/>
    <w:rsid w:val="00CF34A7"/>
    <w:rsid w:val="00CF366B"/>
    <w:rsid w:val="00CF36B2"/>
    <w:rsid w:val="00CF36C8"/>
    <w:rsid w:val="00CF3787"/>
    <w:rsid w:val="00CF3792"/>
    <w:rsid w:val="00CF37A7"/>
    <w:rsid w:val="00CF37D1"/>
    <w:rsid w:val="00CF37E7"/>
    <w:rsid w:val="00CF381F"/>
    <w:rsid w:val="00CF3844"/>
    <w:rsid w:val="00CF3887"/>
    <w:rsid w:val="00CF3896"/>
    <w:rsid w:val="00CF38BA"/>
    <w:rsid w:val="00CF38CA"/>
    <w:rsid w:val="00CF38FF"/>
    <w:rsid w:val="00CF3990"/>
    <w:rsid w:val="00CF39E2"/>
    <w:rsid w:val="00CF39E9"/>
    <w:rsid w:val="00CF39F8"/>
    <w:rsid w:val="00CF3A0A"/>
    <w:rsid w:val="00CF3A7D"/>
    <w:rsid w:val="00CF3B3A"/>
    <w:rsid w:val="00CF3B4B"/>
    <w:rsid w:val="00CF3B8D"/>
    <w:rsid w:val="00CF3BA8"/>
    <w:rsid w:val="00CF3BCF"/>
    <w:rsid w:val="00CF3BD4"/>
    <w:rsid w:val="00CF3C42"/>
    <w:rsid w:val="00CF3C4C"/>
    <w:rsid w:val="00CF3C57"/>
    <w:rsid w:val="00CF3D8C"/>
    <w:rsid w:val="00CF3D8D"/>
    <w:rsid w:val="00CF3E0D"/>
    <w:rsid w:val="00CF3E49"/>
    <w:rsid w:val="00CF3E61"/>
    <w:rsid w:val="00CF3E7C"/>
    <w:rsid w:val="00CF3EDD"/>
    <w:rsid w:val="00CF3F30"/>
    <w:rsid w:val="00CF3F35"/>
    <w:rsid w:val="00CF3F40"/>
    <w:rsid w:val="00CF3F48"/>
    <w:rsid w:val="00CF3FE6"/>
    <w:rsid w:val="00CF4047"/>
    <w:rsid w:val="00CF4069"/>
    <w:rsid w:val="00CF40AD"/>
    <w:rsid w:val="00CF40BF"/>
    <w:rsid w:val="00CF40C8"/>
    <w:rsid w:val="00CF40D2"/>
    <w:rsid w:val="00CF4103"/>
    <w:rsid w:val="00CF4122"/>
    <w:rsid w:val="00CF412B"/>
    <w:rsid w:val="00CF4153"/>
    <w:rsid w:val="00CF4165"/>
    <w:rsid w:val="00CF4198"/>
    <w:rsid w:val="00CF41F1"/>
    <w:rsid w:val="00CF4220"/>
    <w:rsid w:val="00CF4259"/>
    <w:rsid w:val="00CF4265"/>
    <w:rsid w:val="00CF427C"/>
    <w:rsid w:val="00CF4298"/>
    <w:rsid w:val="00CF42A4"/>
    <w:rsid w:val="00CF431D"/>
    <w:rsid w:val="00CF434C"/>
    <w:rsid w:val="00CF435B"/>
    <w:rsid w:val="00CF436F"/>
    <w:rsid w:val="00CF43C4"/>
    <w:rsid w:val="00CF43D8"/>
    <w:rsid w:val="00CF4417"/>
    <w:rsid w:val="00CF4425"/>
    <w:rsid w:val="00CF442D"/>
    <w:rsid w:val="00CF4454"/>
    <w:rsid w:val="00CF4457"/>
    <w:rsid w:val="00CF4471"/>
    <w:rsid w:val="00CF44AB"/>
    <w:rsid w:val="00CF44C6"/>
    <w:rsid w:val="00CF44ED"/>
    <w:rsid w:val="00CF4500"/>
    <w:rsid w:val="00CF4538"/>
    <w:rsid w:val="00CF4590"/>
    <w:rsid w:val="00CF45A8"/>
    <w:rsid w:val="00CF4634"/>
    <w:rsid w:val="00CF4651"/>
    <w:rsid w:val="00CF4683"/>
    <w:rsid w:val="00CF468A"/>
    <w:rsid w:val="00CF4692"/>
    <w:rsid w:val="00CF4698"/>
    <w:rsid w:val="00CF469F"/>
    <w:rsid w:val="00CF46E7"/>
    <w:rsid w:val="00CF4751"/>
    <w:rsid w:val="00CF475F"/>
    <w:rsid w:val="00CF4763"/>
    <w:rsid w:val="00CF47EE"/>
    <w:rsid w:val="00CF47EF"/>
    <w:rsid w:val="00CF4861"/>
    <w:rsid w:val="00CF48CD"/>
    <w:rsid w:val="00CF490C"/>
    <w:rsid w:val="00CF494C"/>
    <w:rsid w:val="00CF49A7"/>
    <w:rsid w:val="00CF49D8"/>
    <w:rsid w:val="00CF4A19"/>
    <w:rsid w:val="00CF4A60"/>
    <w:rsid w:val="00CF4A73"/>
    <w:rsid w:val="00CF4B84"/>
    <w:rsid w:val="00CF4B8E"/>
    <w:rsid w:val="00CF4BBD"/>
    <w:rsid w:val="00CF4C02"/>
    <w:rsid w:val="00CF4C74"/>
    <w:rsid w:val="00CF4C86"/>
    <w:rsid w:val="00CF4C93"/>
    <w:rsid w:val="00CF4CB7"/>
    <w:rsid w:val="00CF4D1D"/>
    <w:rsid w:val="00CF4D6B"/>
    <w:rsid w:val="00CF4D7D"/>
    <w:rsid w:val="00CF4D94"/>
    <w:rsid w:val="00CF4EE0"/>
    <w:rsid w:val="00CF4F15"/>
    <w:rsid w:val="00CF4F49"/>
    <w:rsid w:val="00CF4F6B"/>
    <w:rsid w:val="00CF4FAB"/>
    <w:rsid w:val="00CF5018"/>
    <w:rsid w:val="00CF5027"/>
    <w:rsid w:val="00CF502D"/>
    <w:rsid w:val="00CF5038"/>
    <w:rsid w:val="00CF504D"/>
    <w:rsid w:val="00CF511F"/>
    <w:rsid w:val="00CF5136"/>
    <w:rsid w:val="00CF514C"/>
    <w:rsid w:val="00CF515B"/>
    <w:rsid w:val="00CF517F"/>
    <w:rsid w:val="00CF5184"/>
    <w:rsid w:val="00CF520F"/>
    <w:rsid w:val="00CF521C"/>
    <w:rsid w:val="00CF524A"/>
    <w:rsid w:val="00CF526D"/>
    <w:rsid w:val="00CF52D6"/>
    <w:rsid w:val="00CF52ED"/>
    <w:rsid w:val="00CF52F0"/>
    <w:rsid w:val="00CF5321"/>
    <w:rsid w:val="00CF533D"/>
    <w:rsid w:val="00CF536F"/>
    <w:rsid w:val="00CF544C"/>
    <w:rsid w:val="00CF5467"/>
    <w:rsid w:val="00CF5468"/>
    <w:rsid w:val="00CF5510"/>
    <w:rsid w:val="00CF551C"/>
    <w:rsid w:val="00CF559C"/>
    <w:rsid w:val="00CF55B7"/>
    <w:rsid w:val="00CF55DC"/>
    <w:rsid w:val="00CF55E6"/>
    <w:rsid w:val="00CF5667"/>
    <w:rsid w:val="00CF56E7"/>
    <w:rsid w:val="00CF5758"/>
    <w:rsid w:val="00CF581E"/>
    <w:rsid w:val="00CF5858"/>
    <w:rsid w:val="00CF5869"/>
    <w:rsid w:val="00CF5904"/>
    <w:rsid w:val="00CF5943"/>
    <w:rsid w:val="00CF597A"/>
    <w:rsid w:val="00CF5988"/>
    <w:rsid w:val="00CF59AA"/>
    <w:rsid w:val="00CF59AC"/>
    <w:rsid w:val="00CF59C9"/>
    <w:rsid w:val="00CF59D5"/>
    <w:rsid w:val="00CF59F8"/>
    <w:rsid w:val="00CF5A4D"/>
    <w:rsid w:val="00CF5A69"/>
    <w:rsid w:val="00CF5A6B"/>
    <w:rsid w:val="00CF5A97"/>
    <w:rsid w:val="00CF5B01"/>
    <w:rsid w:val="00CF5B12"/>
    <w:rsid w:val="00CF5B20"/>
    <w:rsid w:val="00CF5B77"/>
    <w:rsid w:val="00CF5BC8"/>
    <w:rsid w:val="00CF5BD2"/>
    <w:rsid w:val="00CF5C1D"/>
    <w:rsid w:val="00CF5C3F"/>
    <w:rsid w:val="00CF5C42"/>
    <w:rsid w:val="00CF5C4D"/>
    <w:rsid w:val="00CF5C5F"/>
    <w:rsid w:val="00CF5C81"/>
    <w:rsid w:val="00CF5CD7"/>
    <w:rsid w:val="00CF5CF6"/>
    <w:rsid w:val="00CF5D37"/>
    <w:rsid w:val="00CF5D71"/>
    <w:rsid w:val="00CF5DA5"/>
    <w:rsid w:val="00CF5DCC"/>
    <w:rsid w:val="00CF5DED"/>
    <w:rsid w:val="00CF5E3A"/>
    <w:rsid w:val="00CF5E64"/>
    <w:rsid w:val="00CF5E8B"/>
    <w:rsid w:val="00CF5E95"/>
    <w:rsid w:val="00CF5ECF"/>
    <w:rsid w:val="00CF5EE1"/>
    <w:rsid w:val="00CF5EE3"/>
    <w:rsid w:val="00CF5F25"/>
    <w:rsid w:val="00CF5F4F"/>
    <w:rsid w:val="00CF5F56"/>
    <w:rsid w:val="00CF5FE1"/>
    <w:rsid w:val="00CF6030"/>
    <w:rsid w:val="00CF60BB"/>
    <w:rsid w:val="00CF60E1"/>
    <w:rsid w:val="00CF61F6"/>
    <w:rsid w:val="00CF623C"/>
    <w:rsid w:val="00CF624C"/>
    <w:rsid w:val="00CF6261"/>
    <w:rsid w:val="00CF6274"/>
    <w:rsid w:val="00CF62A2"/>
    <w:rsid w:val="00CF62A6"/>
    <w:rsid w:val="00CF62DD"/>
    <w:rsid w:val="00CF630C"/>
    <w:rsid w:val="00CF6346"/>
    <w:rsid w:val="00CF63BB"/>
    <w:rsid w:val="00CF648C"/>
    <w:rsid w:val="00CF64FE"/>
    <w:rsid w:val="00CF6500"/>
    <w:rsid w:val="00CF657A"/>
    <w:rsid w:val="00CF663F"/>
    <w:rsid w:val="00CF6672"/>
    <w:rsid w:val="00CF6691"/>
    <w:rsid w:val="00CF66CA"/>
    <w:rsid w:val="00CF6708"/>
    <w:rsid w:val="00CF6755"/>
    <w:rsid w:val="00CF6793"/>
    <w:rsid w:val="00CF67B1"/>
    <w:rsid w:val="00CF67B2"/>
    <w:rsid w:val="00CF67C6"/>
    <w:rsid w:val="00CF6800"/>
    <w:rsid w:val="00CF680D"/>
    <w:rsid w:val="00CF6826"/>
    <w:rsid w:val="00CF682A"/>
    <w:rsid w:val="00CF68B7"/>
    <w:rsid w:val="00CF6982"/>
    <w:rsid w:val="00CF69D4"/>
    <w:rsid w:val="00CF6A0D"/>
    <w:rsid w:val="00CF6A17"/>
    <w:rsid w:val="00CF6A29"/>
    <w:rsid w:val="00CF6A8B"/>
    <w:rsid w:val="00CF6AAA"/>
    <w:rsid w:val="00CF6B11"/>
    <w:rsid w:val="00CF6B18"/>
    <w:rsid w:val="00CF6B49"/>
    <w:rsid w:val="00CF6BAB"/>
    <w:rsid w:val="00CF6C96"/>
    <w:rsid w:val="00CF6D19"/>
    <w:rsid w:val="00CF6D2B"/>
    <w:rsid w:val="00CF6D31"/>
    <w:rsid w:val="00CF6D98"/>
    <w:rsid w:val="00CF6DAB"/>
    <w:rsid w:val="00CF6DD6"/>
    <w:rsid w:val="00CF6DEE"/>
    <w:rsid w:val="00CF6E38"/>
    <w:rsid w:val="00CF6E5F"/>
    <w:rsid w:val="00CF6E96"/>
    <w:rsid w:val="00CF6F26"/>
    <w:rsid w:val="00CF6F48"/>
    <w:rsid w:val="00CF6F8F"/>
    <w:rsid w:val="00CF6FC5"/>
    <w:rsid w:val="00CF6FD9"/>
    <w:rsid w:val="00CF706E"/>
    <w:rsid w:val="00CF707F"/>
    <w:rsid w:val="00CF708B"/>
    <w:rsid w:val="00CF70DF"/>
    <w:rsid w:val="00CF717D"/>
    <w:rsid w:val="00CF71C7"/>
    <w:rsid w:val="00CF7220"/>
    <w:rsid w:val="00CF72E4"/>
    <w:rsid w:val="00CF7347"/>
    <w:rsid w:val="00CF7356"/>
    <w:rsid w:val="00CF7361"/>
    <w:rsid w:val="00CF7386"/>
    <w:rsid w:val="00CF7438"/>
    <w:rsid w:val="00CF7461"/>
    <w:rsid w:val="00CF74E2"/>
    <w:rsid w:val="00CF74EF"/>
    <w:rsid w:val="00CF74FC"/>
    <w:rsid w:val="00CF7506"/>
    <w:rsid w:val="00CF750B"/>
    <w:rsid w:val="00CF755B"/>
    <w:rsid w:val="00CF760D"/>
    <w:rsid w:val="00CF761B"/>
    <w:rsid w:val="00CF763C"/>
    <w:rsid w:val="00CF76FC"/>
    <w:rsid w:val="00CF771E"/>
    <w:rsid w:val="00CF7741"/>
    <w:rsid w:val="00CF7767"/>
    <w:rsid w:val="00CF776E"/>
    <w:rsid w:val="00CF777E"/>
    <w:rsid w:val="00CF779A"/>
    <w:rsid w:val="00CF779C"/>
    <w:rsid w:val="00CF77A7"/>
    <w:rsid w:val="00CF77DC"/>
    <w:rsid w:val="00CF77E2"/>
    <w:rsid w:val="00CF78AC"/>
    <w:rsid w:val="00CF78DD"/>
    <w:rsid w:val="00CF78FF"/>
    <w:rsid w:val="00CF7916"/>
    <w:rsid w:val="00CF791E"/>
    <w:rsid w:val="00CF7942"/>
    <w:rsid w:val="00CF797A"/>
    <w:rsid w:val="00CF798C"/>
    <w:rsid w:val="00CF799D"/>
    <w:rsid w:val="00CF79E8"/>
    <w:rsid w:val="00CF7A1D"/>
    <w:rsid w:val="00CF7B10"/>
    <w:rsid w:val="00CF7B5C"/>
    <w:rsid w:val="00CF7B62"/>
    <w:rsid w:val="00CF7B84"/>
    <w:rsid w:val="00CF7BD4"/>
    <w:rsid w:val="00CF7BDB"/>
    <w:rsid w:val="00CF7C9C"/>
    <w:rsid w:val="00CF7E12"/>
    <w:rsid w:val="00CF7E47"/>
    <w:rsid w:val="00CF7E6F"/>
    <w:rsid w:val="00CF7F23"/>
    <w:rsid w:val="00CF7F42"/>
    <w:rsid w:val="00CF7F71"/>
    <w:rsid w:val="00CF7FA4"/>
    <w:rsid w:val="00CF7FB9"/>
    <w:rsid w:val="00D0004E"/>
    <w:rsid w:val="00D0008A"/>
    <w:rsid w:val="00D000A2"/>
    <w:rsid w:val="00D000D7"/>
    <w:rsid w:val="00D000E3"/>
    <w:rsid w:val="00D000FC"/>
    <w:rsid w:val="00D001E2"/>
    <w:rsid w:val="00D001F3"/>
    <w:rsid w:val="00D0026B"/>
    <w:rsid w:val="00D0026D"/>
    <w:rsid w:val="00D0027B"/>
    <w:rsid w:val="00D002D0"/>
    <w:rsid w:val="00D002D1"/>
    <w:rsid w:val="00D002F2"/>
    <w:rsid w:val="00D00311"/>
    <w:rsid w:val="00D00332"/>
    <w:rsid w:val="00D003B1"/>
    <w:rsid w:val="00D00400"/>
    <w:rsid w:val="00D00402"/>
    <w:rsid w:val="00D00411"/>
    <w:rsid w:val="00D0042E"/>
    <w:rsid w:val="00D00482"/>
    <w:rsid w:val="00D00512"/>
    <w:rsid w:val="00D0053B"/>
    <w:rsid w:val="00D00560"/>
    <w:rsid w:val="00D00576"/>
    <w:rsid w:val="00D00580"/>
    <w:rsid w:val="00D005A4"/>
    <w:rsid w:val="00D00636"/>
    <w:rsid w:val="00D0065E"/>
    <w:rsid w:val="00D00727"/>
    <w:rsid w:val="00D0073B"/>
    <w:rsid w:val="00D00849"/>
    <w:rsid w:val="00D008A3"/>
    <w:rsid w:val="00D008D7"/>
    <w:rsid w:val="00D008FF"/>
    <w:rsid w:val="00D00949"/>
    <w:rsid w:val="00D00953"/>
    <w:rsid w:val="00D009A1"/>
    <w:rsid w:val="00D009C4"/>
    <w:rsid w:val="00D00A03"/>
    <w:rsid w:val="00D00A09"/>
    <w:rsid w:val="00D00A11"/>
    <w:rsid w:val="00D00A66"/>
    <w:rsid w:val="00D00A95"/>
    <w:rsid w:val="00D00ACD"/>
    <w:rsid w:val="00D00AE5"/>
    <w:rsid w:val="00D00B2C"/>
    <w:rsid w:val="00D00B50"/>
    <w:rsid w:val="00D00BD8"/>
    <w:rsid w:val="00D00BDD"/>
    <w:rsid w:val="00D00BDE"/>
    <w:rsid w:val="00D00C85"/>
    <w:rsid w:val="00D00C92"/>
    <w:rsid w:val="00D00CF1"/>
    <w:rsid w:val="00D00CFE"/>
    <w:rsid w:val="00D00D51"/>
    <w:rsid w:val="00D00D8C"/>
    <w:rsid w:val="00D00D92"/>
    <w:rsid w:val="00D00DA5"/>
    <w:rsid w:val="00D00DA9"/>
    <w:rsid w:val="00D00DB1"/>
    <w:rsid w:val="00D00E3E"/>
    <w:rsid w:val="00D00E4F"/>
    <w:rsid w:val="00D00E5C"/>
    <w:rsid w:val="00D00E98"/>
    <w:rsid w:val="00D00EAC"/>
    <w:rsid w:val="00D00EAF"/>
    <w:rsid w:val="00D00F34"/>
    <w:rsid w:val="00D00F48"/>
    <w:rsid w:val="00D00F85"/>
    <w:rsid w:val="00D00F91"/>
    <w:rsid w:val="00D00F95"/>
    <w:rsid w:val="00D00FFB"/>
    <w:rsid w:val="00D01028"/>
    <w:rsid w:val="00D01057"/>
    <w:rsid w:val="00D010A4"/>
    <w:rsid w:val="00D010EF"/>
    <w:rsid w:val="00D01115"/>
    <w:rsid w:val="00D0117A"/>
    <w:rsid w:val="00D0117F"/>
    <w:rsid w:val="00D01192"/>
    <w:rsid w:val="00D011B1"/>
    <w:rsid w:val="00D011CF"/>
    <w:rsid w:val="00D011ED"/>
    <w:rsid w:val="00D0122F"/>
    <w:rsid w:val="00D0127E"/>
    <w:rsid w:val="00D012BD"/>
    <w:rsid w:val="00D012DB"/>
    <w:rsid w:val="00D012DC"/>
    <w:rsid w:val="00D0130E"/>
    <w:rsid w:val="00D0132A"/>
    <w:rsid w:val="00D0132B"/>
    <w:rsid w:val="00D0132F"/>
    <w:rsid w:val="00D01362"/>
    <w:rsid w:val="00D01405"/>
    <w:rsid w:val="00D01415"/>
    <w:rsid w:val="00D01432"/>
    <w:rsid w:val="00D01469"/>
    <w:rsid w:val="00D0147E"/>
    <w:rsid w:val="00D01484"/>
    <w:rsid w:val="00D014AD"/>
    <w:rsid w:val="00D014BB"/>
    <w:rsid w:val="00D014C5"/>
    <w:rsid w:val="00D014C8"/>
    <w:rsid w:val="00D014F4"/>
    <w:rsid w:val="00D0152F"/>
    <w:rsid w:val="00D015A3"/>
    <w:rsid w:val="00D015D2"/>
    <w:rsid w:val="00D01648"/>
    <w:rsid w:val="00D0164C"/>
    <w:rsid w:val="00D016B7"/>
    <w:rsid w:val="00D016DB"/>
    <w:rsid w:val="00D01701"/>
    <w:rsid w:val="00D0172F"/>
    <w:rsid w:val="00D0173C"/>
    <w:rsid w:val="00D0176E"/>
    <w:rsid w:val="00D017B4"/>
    <w:rsid w:val="00D0189F"/>
    <w:rsid w:val="00D018A7"/>
    <w:rsid w:val="00D01A2D"/>
    <w:rsid w:val="00D01A57"/>
    <w:rsid w:val="00D01A60"/>
    <w:rsid w:val="00D01AFC"/>
    <w:rsid w:val="00D01B0C"/>
    <w:rsid w:val="00D01B38"/>
    <w:rsid w:val="00D01B3F"/>
    <w:rsid w:val="00D01B8D"/>
    <w:rsid w:val="00D01C01"/>
    <w:rsid w:val="00D01C3A"/>
    <w:rsid w:val="00D01CD0"/>
    <w:rsid w:val="00D01CFF"/>
    <w:rsid w:val="00D01D1D"/>
    <w:rsid w:val="00D01D4B"/>
    <w:rsid w:val="00D01D5B"/>
    <w:rsid w:val="00D01DBF"/>
    <w:rsid w:val="00D01DC1"/>
    <w:rsid w:val="00D01E50"/>
    <w:rsid w:val="00D01E93"/>
    <w:rsid w:val="00D01EC7"/>
    <w:rsid w:val="00D01EF6"/>
    <w:rsid w:val="00D01F0E"/>
    <w:rsid w:val="00D01F37"/>
    <w:rsid w:val="00D01F41"/>
    <w:rsid w:val="00D01F75"/>
    <w:rsid w:val="00D01F9F"/>
    <w:rsid w:val="00D01FD4"/>
    <w:rsid w:val="00D01FD9"/>
    <w:rsid w:val="00D02001"/>
    <w:rsid w:val="00D02047"/>
    <w:rsid w:val="00D02057"/>
    <w:rsid w:val="00D020A3"/>
    <w:rsid w:val="00D02211"/>
    <w:rsid w:val="00D02246"/>
    <w:rsid w:val="00D02297"/>
    <w:rsid w:val="00D022D8"/>
    <w:rsid w:val="00D022DA"/>
    <w:rsid w:val="00D02327"/>
    <w:rsid w:val="00D0235C"/>
    <w:rsid w:val="00D0238F"/>
    <w:rsid w:val="00D023A2"/>
    <w:rsid w:val="00D023B3"/>
    <w:rsid w:val="00D02432"/>
    <w:rsid w:val="00D0256A"/>
    <w:rsid w:val="00D025F2"/>
    <w:rsid w:val="00D02600"/>
    <w:rsid w:val="00D02637"/>
    <w:rsid w:val="00D02643"/>
    <w:rsid w:val="00D026CD"/>
    <w:rsid w:val="00D0273B"/>
    <w:rsid w:val="00D0273E"/>
    <w:rsid w:val="00D02743"/>
    <w:rsid w:val="00D02771"/>
    <w:rsid w:val="00D02790"/>
    <w:rsid w:val="00D027C8"/>
    <w:rsid w:val="00D027D6"/>
    <w:rsid w:val="00D02832"/>
    <w:rsid w:val="00D02854"/>
    <w:rsid w:val="00D02890"/>
    <w:rsid w:val="00D02950"/>
    <w:rsid w:val="00D02969"/>
    <w:rsid w:val="00D029BD"/>
    <w:rsid w:val="00D02A29"/>
    <w:rsid w:val="00D02A99"/>
    <w:rsid w:val="00D02AC9"/>
    <w:rsid w:val="00D02AD1"/>
    <w:rsid w:val="00D02ADE"/>
    <w:rsid w:val="00D02B47"/>
    <w:rsid w:val="00D02B78"/>
    <w:rsid w:val="00D02C05"/>
    <w:rsid w:val="00D02C88"/>
    <w:rsid w:val="00D02CE5"/>
    <w:rsid w:val="00D02CEC"/>
    <w:rsid w:val="00D02D87"/>
    <w:rsid w:val="00D02D8B"/>
    <w:rsid w:val="00D02DD3"/>
    <w:rsid w:val="00D02E72"/>
    <w:rsid w:val="00D02E8C"/>
    <w:rsid w:val="00D02EA6"/>
    <w:rsid w:val="00D02EBE"/>
    <w:rsid w:val="00D02F29"/>
    <w:rsid w:val="00D02F6E"/>
    <w:rsid w:val="00D02F96"/>
    <w:rsid w:val="00D02FC6"/>
    <w:rsid w:val="00D02FD2"/>
    <w:rsid w:val="00D02FE8"/>
    <w:rsid w:val="00D02FFC"/>
    <w:rsid w:val="00D03006"/>
    <w:rsid w:val="00D0306C"/>
    <w:rsid w:val="00D0308D"/>
    <w:rsid w:val="00D030BA"/>
    <w:rsid w:val="00D03153"/>
    <w:rsid w:val="00D0315F"/>
    <w:rsid w:val="00D03180"/>
    <w:rsid w:val="00D0318E"/>
    <w:rsid w:val="00D0322B"/>
    <w:rsid w:val="00D03242"/>
    <w:rsid w:val="00D0327A"/>
    <w:rsid w:val="00D0329E"/>
    <w:rsid w:val="00D032A7"/>
    <w:rsid w:val="00D03335"/>
    <w:rsid w:val="00D0334F"/>
    <w:rsid w:val="00D03364"/>
    <w:rsid w:val="00D033A3"/>
    <w:rsid w:val="00D03408"/>
    <w:rsid w:val="00D0340D"/>
    <w:rsid w:val="00D03416"/>
    <w:rsid w:val="00D0341A"/>
    <w:rsid w:val="00D0341F"/>
    <w:rsid w:val="00D03471"/>
    <w:rsid w:val="00D034CA"/>
    <w:rsid w:val="00D034EA"/>
    <w:rsid w:val="00D034FE"/>
    <w:rsid w:val="00D03519"/>
    <w:rsid w:val="00D03545"/>
    <w:rsid w:val="00D03554"/>
    <w:rsid w:val="00D03568"/>
    <w:rsid w:val="00D0357B"/>
    <w:rsid w:val="00D0358B"/>
    <w:rsid w:val="00D035CA"/>
    <w:rsid w:val="00D035E9"/>
    <w:rsid w:val="00D0360D"/>
    <w:rsid w:val="00D03613"/>
    <w:rsid w:val="00D03631"/>
    <w:rsid w:val="00D036A5"/>
    <w:rsid w:val="00D0373B"/>
    <w:rsid w:val="00D03824"/>
    <w:rsid w:val="00D03881"/>
    <w:rsid w:val="00D0389F"/>
    <w:rsid w:val="00D038C8"/>
    <w:rsid w:val="00D038E0"/>
    <w:rsid w:val="00D039F7"/>
    <w:rsid w:val="00D03A74"/>
    <w:rsid w:val="00D03A75"/>
    <w:rsid w:val="00D03AEE"/>
    <w:rsid w:val="00D03B06"/>
    <w:rsid w:val="00D03B2C"/>
    <w:rsid w:val="00D03B48"/>
    <w:rsid w:val="00D03B89"/>
    <w:rsid w:val="00D03BC3"/>
    <w:rsid w:val="00D03BF3"/>
    <w:rsid w:val="00D03C09"/>
    <w:rsid w:val="00D03C17"/>
    <w:rsid w:val="00D03C40"/>
    <w:rsid w:val="00D03CB5"/>
    <w:rsid w:val="00D03D0F"/>
    <w:rsid w:val="00D03D40"/>
    <w:rsid w:val="00D03D43"/>
    <w:rsid w:val="00D03D96"/>
    <w:rsid w:val="00D03D9F"/>
    <w:rsid w:val="00D03EC8"/>
    <w:rsid w:val="00D03EDF"/>
    <w:rsid w:val="00D03F46"/>
    <w:rsid w:val="00D03FC5"/>
    <w:rsid w:val="00D03FFC"/>
    <w:rsid w:val="00D0404E"/>
    <w:rsid w:val="00D04073"/>
    <w:rsid w:val="00D040BB"/>
    <w:rsid w:val="00D0418E"/>
    <w:rsid w:val="00D041BF"/>
    <w:rsid w:val="00D0427B"/>
    <w:rsid w:val="00D043AA"/>
    <w:rsid w:val="00D043EC"/>
    <w:rsid w:val="00D043EE"/>
    <w:rsid w:val="00D04400"/>
    <w:rsid w:val="00D04436"/>
    <w:rsid w:val="00D0448D"/>
    <w:rsid w:val="00D04499"/>
    <w:rsid w:val="00D0449E"/>
    <w:rsid w:val="00D044B7"/>
    <w:rsid w:val="00D044E2"/>
    <w:rsid w:val="00D04510"/>
    <w:rsid w:val="00D0453E"/>
    <w:rsid w:val="00D045AB"/>
    <w:rsid w:val="00D045FA"/>
    <w:rsid w:val="00D04601"/>
    <w:rsid w:val="00D0463C"/>
    <w:rsid w:val="00D04685"/>
    <w:rsid w:val="00D04745"/>
    <w:rsid w:val="00D04763"/>
    <w:rsid w:val="00D04776"/>
    <w:rsid w:val="00D047AE"/>
    <w:rsid w:val="00D047B0"/>
    <w:rsid w:val="00D047B4"/>
    <w:rsid w:val="00D04815"/>
    <w:rsid w:val="00D048C0"/>
    <w:rsid w:val="00D048D0"/>
    <w:rsid w:val="00D0495F"/>
    <w:rsid w:val="00D04987"/>
    <w:rsid w:val="00D049B2"/>
    <w:rsid w:val="00D04A45"/>
    <w:rsid w:val="00D04A69"/>
    <w:rsid w:val="00D04A7B"/>
    <w:rsid w:val="00D04A8B"/>
    <w:rsid w:val="00D04ADD"/>
    <w:rsid w:val="00D04B81"/>
    <w:rsid w:val="00D04B90"/>
    <w:rsid w:val="00D04BB1"/>
    <w:rsid w:val="00D04BB5"/>
    <w:rsid w:val="00D04BDA"/>
    <w:rsid w:val="00D04C21"/>
    <w:rsid w:val="00D04C61"/>
    <w:rsid w:val="00D04D27"/>
    <w:rsid w:val="00D04D5B"/>
    <w:rsid w:val="00D04D71"/>
    <w:rsid w:val="00D04D97"/>
    <w:rsid w:val="00D04DEE"/>
    <w:rsid w:val="00D04E97"/>
    <w:rsid w:val="00D04EA4"/>
    <w:rsid w:val="00D04EDE"/>
    <w:rsid w:val="00D04F4D"/>
    <w:rsid w:val="00D04F8D"/>
    <w:rsid w:val="00D05018"/>
    <w:rsid w:val="00D0502B"/>
    <w:rsid w:val="00D0503C"/>
    <w:rsid w:val="00D0503E"/>
    <w:rsid w:val="00D05052"/>
    <w:rsid w:val="00D0508C"/>
    <w:rsid w:val="00D050B2"/>
    <w:rsid w:val="00D050CD"/>
    <w:rsid w:val="00D050F6"/>
    <w:rsid w:val="00D051C7"/>
    <w:rsid w:val="00D051DD"/>
    <w:rsid w:val="00D0521A"/>
    <w:rsid w:val="00D05248"/>
    <w:rsid w:val="00D0526F"/>
    <w:rsid w:val="00D05344"/>
    <w:rsid w:val="00D05358"/>
    <w:rsid w:val="00D0535F"/>
    <w:rsid w:val="00D05380"/>
    <w:rsid w:val="00D053C5"/>
    <w:rsid w:val="00D05425"/>
    <w:rsid w:val="00D05460"/>
    <w:rsid w:val="00D054BB"/>
    <w:rsid w:val="00D054D8"/>
    <w:rsid w:val="00D054D9"/>
    <w:rsid w:val="00D054F2"/>
    <w:rsid w:val="00D05555"/>
    <w:rsid w:val="00D05583"/>
    <w:rsid w:val="00D0559C"/>
    <w:rsid w:val="00D0559F"/>
    <w:rsid w:val="00D055E2"/>
    <w:rsid w:val="00D055F2"/>
    <w:rsid w:val="00D05653"/>
    <w:rsid w:val="00D0566A"/>
    <w:rsid w:val="00D0567D"/>
    <w:rsid w:val="00D0568A"/>
    <w:rsid w:val="00D056C3"/>
    <w:rsid w:val="00D0576B"/>
    <w:rsid w:val="00D057DB"/>
    <w:rsid w:val="00D0582F"/>
    <w:rsid w:val="00D05830"/>
    <w:rsid w:val="00D0584D"/>
    <w:rsid w:val="00D058A7"/>
    <w:rsid w:val="00D05972"/>
    <w:rsid w:val="00D05982"/>
    <w:rsid w:val="00D059EE"/>
    <w:rsid w:val="00D05A1A"/>
    <w:rsid w:val="00D05A81"/>
    <w:rsid w:val="00D05AC0"/>
    <w:rsid w:val="00D05AC7"/>
    <w:rsid w:val="00D05B05"/>
    <w:rsid w:val="00D05B74"/>
    <w:rsid w:val="00D05B79"/>
    <w:rsid w:val="00D05B8B"/>
    <w:rsid w:val="00D05BB9"/>
    <w:rsid w:val="00D05C9D"/>
    <w:rsid w:val="00D05CC1"/>
    <w:rsid w:val="00D05CCB"/>
    <w:rsid w:val="00D05CCE"/>
    <w:rsid w:val="00D05CCF"/>
    <w:rsid w:val="00D05CE9"/>
    <w:rsid w:val="00D05CF7"/>
    <w:rsid w:val="00D05D3E"/>
    <w:rsid w:val="00D05D56"/>
    <w:rsid w:val="00D05D98"/>
    <w:rsid w:val="00D05DAF"/>
    <w:rsid w:val="00D05DB3"/>
    <w:rsid w:val="00D05DE0"/>
    <w:rsid w:val="00D05DF3"/>
    <w:rsid w:val="00D05E5E"/>
    <w:rsid w:val="00D05E9C"/>
    <w:rsid w:val="00D05F1E"/>
    <w:rsid w:val="00D05F25"/>
    <w:rsid w:val="00D05F2B"/>
    <w:rsid w:val="00D05FAC"/>
    <w:rsid w:val="00D0600F"/>
    <w:rsid w:val="00D06035"/>
    <w:rsid w:val="00D060C7"/>
    <w:rsid w:val="00D06109"/>
    <w:rsid w:val="00D0612F"/>
    <w:rsid w:val="00D06193"/>
    <w:rsid w:val="00D06199"/>
    <w:rsid w:val="00D061B5"/>
    <w:rsid w:val="00D062B0"/>
    <w:rsid w:val="00D062BC"/>
    <w:rsid w:val="00D06314"/>
    <w:rsid w:val="00D06360"/>
    <w:rsid w:val="00D06381"/>
    <w:rsid w:val="00D0638A"/>
    <w:rsid w:val="00D063BF"/>
    <w:rsid w:val="00D063C6"/>
    <w:rsid w:val="00D063FE"/>
    <w:rsid w:val="00D06427"/>
    <w:rsid w:val="00D064E8"/>
    <w:rsid w:val="00D0653E"/>
    <w:rsid w:val="00D06639"/>
    <w:rsid w:val="00D06681"/>
    <w:rsid w:val="00D0669E"/>
    <w:rsid w:val="00D066DC"/>
    <w:rsid w:val="00D06711"/>
    <w:rsid w:val="00D0673C"/>
    <w:rsid w:val="00D06754"/>
    <w:rsid w:val="00D06778"/>
    <w:rsid w:val="00D067DA"/>
    <w:rsid w:val="00D067FF"/>
    <w:rsid w:val="00D06944"/>
    <w:rsid w:val="00D0694C"/>
    <w:rsid w:val="00D069CE"/>
    <w:rsid w:val="00D06A2C"/>
    <w:rsid w:val="00D06A39"/>
    <w:rsid w:val="00D06A8D"/>
    <w:rsid w:val="00D06AE0"/>
    <w:rsid w:val="00D06B2A"/>
    <w:rsid w:val="00D06B2D"/>
    <w:rsid w:val="00D06B54"/>
    <w:rsid w:val="00D06B78"/>
    <w:rsid w:val="00D06B90"/>
    <w:rsid w:val="00D06BAD"/>
    <w:rsid w:val="00D06BAF"/>
    <w:rsid w:val="00D06C11"/>
    <w:rsid w:val="00D06C9E"/>
    <w:rsid w:val="00D06D52"/>
    <w:rsid w:val="00D06DD4"/>
    <w:rsid w:val="00D06E12"/>
    <w:rsid w:val="00D06E28"/>
    <w:rsid w:val="00D06E5D"/>
    <w:rsid w:val="00D06E6D"/>
    <w:rsid w:val="00D06E71"/>
    <w:rsid w:val="00D06EAA"/>
    <w:rsid w:val="00D06ED3"/>
    <w:rsid w:val="00D06EE2"/>
    <w:rsid w:val="00D06EFD"/>
    <w:rsid w:val="00D06F25"/>
    <w:rsid w:val="00D06F50"/>
    <w:rsid w:val="00D06F54"/>
    <w:rsid w:val="00D06FA2"/>
    <w:rsid w:val="00D06FC9"/>
    <w:rsid w:val="00D070D8"/>
    <w:rsid w:val="00D070F9"/>
    <w:rsid w:val="00D0711F"/>
    <w:rsid w:val="00D07131"/>
    <w:rsid w:val="00D072B7"/>
    <w:rsid w:val="00D07338"/>
    <w:rsid w:val="00D07377"/>
    <w:rsid w:val="00D073E3"/>
    <w:rsid w:val="00D07430"/>
    <w:rsid w:val="00D07444"/>
    <w:rsid w:val="00D074A8"/>
    <w:rsid w:val="00D074D5"/>
    <w:rsid w:val="00D074FB"/>
    <w:rsid w:val="00D07552"/>
    <w:rsid w:val="00D0756E"/>
    <w:rsid w:val="00D07570"/>
    <w:rsid w:val="00D0759A"/>
    <w:rsid w:val="00D075C1"/>
    <w:rsid w:val="00D075D1"/>
    <w:rsid w:val="00D075D4"/>
    <w:rsid w:val="00D07678"/>
    <w:rsid w:val="00D07696"/>
    <w:rsid w:val="00D076AA"/>
    <w:rsid w:val="00D076BB"/>
    <w:rsid w:val="00D076D7"/>
    <w:rsid w:val="00D0774E"/>
    <w:rsid w:val="00D0775A"/>
    <w:rsid w:val="00D07763"/>
    <w:rsid w:val="00D07771"/>
    <w:rsid w:val="00D077A5"/>
    <w:rsid w:val="00D077E6"/>
    <w:rsid w:val="00D07825"/>
    <w:rsid w:val="00D0787D"/>
    <w:rsid w:val="00D078FF"/>
    <w:rsid w:val="00D07906"/>
    <w:rsid w:val="00D0793E"/>
    <w:rsid w:val="00D0795B"/>
    <w:rsid w:val="00D0797C"/>
    <w:rsid w:val="00D079D7"/>
    <w:rsid w:val="00D079DB"/>
    <w:rsid w:val="00D07A27"/>
    <w:rsid w:val="00D07AD8"/>
    <w:rsid w:val="00D07AFE"/>
    <w:rsid w:val="00D07B15"/>
    <w:rsid w:val="00D07BA1"/>
    <w:rsid w:val="00D07BB2"/>
    <w:rsid w:val="00D07BC2"/>
    <w:rsid w:val="00D07BE9"/>
    <w:rsid w:val="00D07C61"/>
    <w:rsid w:val="00D07C79"/>
    <w:rsid w:val="00D07C87"/>
    <w:rsid w:val="00D07CFB"/>
    <w:rsid w:val="00D07D40"/>
    <w:rsid w:val="00D07D46"/>
    <w:rsid w:val="00D07D65"/>
    <w:rsid w:val="00D07D70"/>
    <w:rsid w:val="00D07D77"/>
    <w:rsid w:val="00D07D8D"/>
    <w:rsid w:val="00D07D90"/>
    <w:rsid w:val="00D07DA0"/>
    <w:rsid w:val="00D07E2E"/>
    <w:rsid w:val="00D07E44"/>
    <w:rsid w:val="00D07E64"/>
    <w:rsid w:val="00D07ED3"/>
    <w:rsid w:val="00D07FC9"/>
    <w:rsid w:val="00D1006D"/>
    <w:rsid w:val="00D10084"/>
    <w:rsid w:val="00D10086"/>
    <w:rsid w:val="00D10088"/>
    <w:rsid w:val="00D10118"/>
    <w:rsid w:val="00D10167"/>
    <w:rsid w:val="00D10170"/>
    <w:rsid w:val="00D101F5"/>
    <w:rsid w:val="00D101F8"/>
    <w:rsid w:val="00D10263"/>
    <w:rsid w:val="00D10266"/>
    <w:rsid w:val="00D103AC"/>
    <w:rsid w:val="00D103C2"/>
    <w:rsid w:val="00D10429"/>
    <w:rsid w:val="00D1046D"/>
    <w:rsid w:val="00D104B3"/>
    <w:rsid w:val="00D104E4"/>
    <w:rsid w:val="00D104EB"/>
    <w:rsid w:val="00D10529"/>
    <w:rsid w:val="00D10534"/>
    <w:rsid w:val="00D10549"/>
    <w:rsid w:val="00D10584"/>
    <w:rsid w:val="00D105C0"/>
    <w:rsid w:val="00D105D2"/>
    <w:rsid w:val="00D1061F"/>
    <w:rsid w:val="00D10627"/>
    <w:rsid w:val="00D1065C"/>
    <w:rsid w:val="00D10662"/>
    <w:rsid w:val="00D10669"/>
    <w:rsid w:val="00D10677"/>
    <w:rsid w:val="00D106F2"/>
    <w:rsid w:val="00D10717"/>
    <w:rsid w:val="00D10746"/>
    <w:rsid w:val="00D107EE"/>
    <w:rsid w:val="00D10850"/>
    <w:rsid w:val="00D1088E"/>
    <w:rsid w:val="00D1088F"/>
    <w:rsid w:val="00D10915"/>
    <w:rsid w:val="00D10917"/>
    <w:rsid w:val="00D109C6"/>
    <w:rsid w:val="00D109E4"/>
    <w:rsid w:val="00D109E8"/>
    <w:rsid w:val="00D10A17"/>
    <w:rsid w:val="00D10A30"/>
    <w:rsid w:val="00D10A34"/>
    <w:rsid w:val="00D10A77"/>
    <w:rsid w:val="00D10AEB"/>
    <w:rsid w:val="00D10B2E"/>
    <w:rsid w:val="00D10B36"/>
    <w:rsid w:val="00D10B5D"/>
    <w:rsid w:val="00D10B5E"/>
    <w:rsid w:val="00D10BB7"/>
    <w:rsid w:val="00D10BE0"/>
    <w:rsid w:val="00D10C40"/>
    <w:rsid w:val="00D10C58"/>
    <w:rsid w:val="00D10C61"/>
    <w:rsid w:val="00D10C86"/>
    <w:rsid w:val="00D10CCB"/>
    <w:rsid w:val="00D10CD7"/>
    <w:rsid w:val="00D10CF2"/>
    <w:rsid w:val="00D10D0D"/>
    <w:rsid w:val="00D10D3D"/>
    <w:rsid w:val="00D10DB3"/>
    <w:rsid w:val="00D10DC1"/>
    <w:rsid w:val="00D10DC7"/>
    <w:rsid w:val="00D10DDF"/>
    <w:rsid w:val="00D10DFC"/>
    <w:rsid w:val="00D10E60"/>
    <w:rsid w:val="00D10EB3"/>
    <w:rsid w:val="00D10F41"/>
    <w:rsid w:val="00D11027"/>
    <w:rsid w:val="00D1102B"/>
    <w:rsid w:val="00D11058"/>
    <w:rsid w:val="00D11089"/>
    <w:rsid w:val="00D110BE"/>
    <w:rsid w:val="00D1118C"/>
    <w:rsid w:val="00D111F5"/>
    <w:rsid w:val="00D111F9"/>
    <w:rsid w:val="00D11253"/>
    <w:rsid w:val="00D11265"/>
    <w:rsid w:val="00D1128C"/>
    <w:rsid w:val="00D112B2"/>
    <w:rsid w:val="00D112E8"/>
    <w:rsid w:val="00D1138E"/>
    <w:rsid w:val="00D113A8"/>
    <w:rsid w:val="00D1144D"/>
    <w:rsid w:val="00D11466"/>
    <w:rsid w:val="00D114B0"/>
    <w:rsid w:val="00D114E3"/>
    <w:rsid w:val="00D11517"/>
    <w:rsid w:val="00D1153E"/>
    <w:rsid w:val="00D11543"/>
    <w:rsid w:val="00D11573"/>
    <w:rsid w:val="00D115E7"/>
    <w:rsid w:val="00D11681"/>
    <w:rsid w:val="00D11724"/>
    <w:rsid w:val="00D11749"/>
    <w:rsid w:val="00D117C8"/>
    <w:rsid w:val="00D117FC"/>
    <w:rsid w:val="00D11869"/>
    <w:rsid w:val="00D118F2"/>
    <w:rsid w:val="00D1196F"/>
    <w:rsid w:val="00D119A9"/>
    <w:rsid w:val="00D11A0C"/>
    <w:rsid w:val="00D11A31"/>
    <w:rsid w:val="00D11A32"/>
    <w:rsid w:val="00D11A8D"/>
    <w:rsid w:val="00D11BB8"/>
    <w:rsid w:val="00D11BC4"/>
    <w:rsid w:val="00D11BDC"/>
    <w:rsid w:val="00D11BF7"/>
    <w:rsid w:val="00D11C40"/>
    <w:rsid w:val="00D11C91"/>
    <w:rsid w:val="00D11C97"/>
    <w:rsid w:val="00D11D16"/>
    <w:rsid w:val="00D11D35"/>
    <w:rsid w:val="00D11D45"/>
    <w:rsid w:val="00D11D4A"/>
    <w:rsid w:val="00D11DEA"/>
    <w:rsid w:val="00D11E17"/>
    <w:rsid w:val="00D11E8D"/>
    <w:rsid w:val="00D11EBF"/>
    <w:rsid w:val="00D11ECA"/>
    <w:rsid w:val="00D11EED"/>
    <w:rsid w:val="00D11EF2"/>
    <w:rsid w:val="00D11F83"/>
    <w:rsid w:val="00D11FA4"/>
    <w:rsid w:val="00D11FED"/>
    <w:rsid w:val="00D1207C"/>
    <w:rsid w:val="00D120A2"/>
    <w:rsid w:val="00D12139"/>
    <w:rsid w:val="00D12158"/>
    <w:rsid w:val="00D121B5"/>
    <w:rsid w:val="00D121BA"/>
    <w:rsid w:val="00D12229"/>
    <w:rsid w:val="00D1226A"/>
    <w:rsid w:val="00D12274"/>
    <w:rsid w:val="00D12296"/>
    <w:rsid w:val="00D122EB"/>
    <w:rsid w:val="00D1232F"/>
    <w:rsid w:val="00D1234E"/>
    <w:rsid w:val="00D1239B"/>
    <w:rsid w:val="00D1239D"/>
    <w:rsid w:val="00D123AD"/>
    <w:rsid w:val="00D123ED"/>
    <w:rsid w:val="00D12448"/>
    <w:rsid w:val="00D12486"/>
    <w:rsid w:val="00D124AB"/>
    <w:rsid w:val="00D124D1"/>
    <w:rsid w:val="00D124DB"/>
    <w:rsid w:val="00D124E8"/>
    <w:rsid w:val="00D124FB"/>
    <w:rsid w:val="00D124FF"/>
    <w:rsid w:val="00D12508"/>
    <w:rsid w:val="00D125ED"/>
    <w:rsid w:val="00D12657"/>
    <w:rsid w:val="00D12674"/>
    <w:rsid w:val="00D12767"/>
    <w:rsid w:val="00D1276F"/>
    <w:rsid w:val="00D12937"/>
    <w:rsid w:val="00D1299F"/>
    <w:rsid w:val="00D12A13"/>
    <w:rsid w:val="00D12A19"/>
    <w:rsid w:val="00D12AD3"/>
    <w:rsid w:val="00D12B02"/>
    <w:rsid w:val="00D12B31"/>
    <w:rsid w:val="00D12B49"/>
    <w:rsid w:val="00D12B89"/>
    <w:rsid w:val="00D12B90"/>
    <w:rsid w:val="00D12BA8"/>
    <w:rsid w:val="00D12BBF"/>
    <w:rsid w:val="00D12BEC"/>
    <w:rsid w:val="00D12C0F"/>
    <w:rsid w:val="00D12C2D"/>
    <w:rsid w:val="00D12C48"/>
    <w:rsid w:val="00D12D6E"/>
    <w:rsid w:val="00D12D81"/>
    <w:rsid w:val="00D12D8E"/>
    <w:rsid w:val="00D12D90"/>
    <w:rsid w:val="00D12D9B"/>
    <w:rsid w:val="00D12DAC"/>
    <w:rsid w:val="00D12DB6"/>
    <w:rsid w:val="00D12DC9"/>
    <w:rsid w:val="00D12F6C"/>
    <w:rsid w:val="00D12F97"/>
    <w:rsid w:val="00D13047"/>
    <w:rsid w:val="00D13074"/>
    <w:rsid w:val="00D13088"/>
    <w:rsid w:val="00D130B0"/>
    <w:rsid w:val="00D130D0"/>
    <w:rsid w:val="00D130F4"/>
    <w:rsid w:val="00D130FA"/>
    <w:rsid w:val="00D1313F"/>
    <w:rsid w:val="00D1316C"/>
    <w:rsid w:val="00D132A8"/>
    <w:rsid w:val="00D132D1"/>
    <w:rsid w:val="00D133AB"/>
    <w:rsid w:val="00D133C0"/>
    <w:rsid w:val="00D13414"/>
    <w:rsid w:val="00D134AB"/>
    <w:rsid w:val="00D134EE"/>
    <w:rsid w:val="00D13504"/>
    <w:rsid w:val="00D1353F"/>
    <w:rsid w:val="00D13585"/>
    <w:rsid w:val="00D135AD"/>
    <w:rsid w:val="00D135C0"/>
    <w:rsid w:val="00D135FB"/>
    <w:rsid w:val="00D13605"/>
    <w:rsid w:val="00D1363B"/>
    <w:rsid w:val="00D1369F"/>
    <w:rsid w:val="00D136A8"/>
    <w:rsid w:val="00D136C3"/>
    <w:rsid w:val="00D13787"/>
    <w:rsid w:val="00D137A4"/>
    <w:rsid w:val="00D13829"/>
    <w:rsid w:val="00D138C2"/>
    <w:rsid w:val="00D13B65"/>
    <w:rsid w:val="00D13B90"/>
    <w:rsid w:val="00D13C38"/>
    <w:rsid w:val="00D13D15"/>
    <w:rsid w:val="00D13D56"/>
    <w:rsid w:val="00D13D77"/>
    <w:rsid w:val="00D13DAB"/>
    <w:rsid w:val="00D13DD9"/>
    <w:rsid w:val="00D13E21"/>
    <w:rsid w:val="00D13E35"/>
    <w:rsid w:val="00D13EA7"/>
    <w:rsid w:val="00D13EE5"/>
    <w:rsid w:val="00D13F18"/>
    <w:rsid w:val="00D13F1F"/>
    <w:rsid w:val="00D13F3C"/>
    <w:rsid w:val="00D13F7C"/>
    <w:rsid w:val="00D13F98"/>
    <w:rsid w:val="00D13FA9"/>
    <w:rsid w:val="00D1402F"/>
    <w:rsid w:val="00D1403D"/>
    <w:rsid w:val="00D1404C"/>
    <w:rsid w:val="00D1404D"/>
    <w:rsid w:val="00D1413E"/>
    <w:rsid w:val="00D1415C"/>
    <w:rsid w:val="00D14198"/>
    <w:rsid w:val="00D141DB"/>
    <w:rsid w:val="00D14205"/>
    <w:rsid w:val="00D14318"/>
    <w:rsid w:val="00D14342"/>
    <w:rsid w:val="00D14350"/>
    <w:rsid w:val="00D1436A"/>
    <w:rsid w:val="00D14376"/>
    <w:rsid w:val="00D14385"/>
    <w:rsid w:val="00D14492"/>
    <w:rsid w:val="00D144F3"/>
    <w:rsid w:val="00D14523"/>
    <w:rsid w:val="00D14538"/>
    <w:rsid w:val="00D1454A"/>
    <w:rsid w:val="00D1454E"/>
    <w:rsid w:val="00D1463A"/>
    <w:rsid w:val="00D14678"/>
    <w:rsid w:val="00D14691"/>
    <w:rsid w:val="00D146DF"/>
    <w:rsid w:val="00D1475A"/>
    <w:rsid w:val="00D147B0"/>
    <w:rsid w:val="00D1480F"/>
    <w:rsid w:val="00D14846"/>
    <w:rsid w:val="00D148BD"/>
    <w:rsid w:val="00D14905"/>
    <w:rsid w:val="00D1492F"/>
    <w:rsid w:val="00D1498F"/>
    <w:rsid w:val="00D14996"/>
    <w:rsid w:val="00D14A20"/>
    <w:rsid w:val="00D14B10"/>
    <w:rsid w:val="00D14B44"/>
    <w:rsid w:val="00D14B93"/>
    <w:rsid w:val="00D14BC6"/>
    <w:rsid w:val="00D14BCD"/>
    <w:rsid w:val="00D14CBD"/>
    <w:rsid w:val="00D14CD9"/>
    <w:rsid w:val="00D14D1F"/>
    <w:rsid w:val="00D14E31"/>
    <w:rsid w:val="00D14E4C"/>
    <w:rsid w:val="00D14E69"/>
    <w:rsid w:val="00D14E86"/>
    <w:rsid w:val="00D14EBC"/>
    <w:rsid w:val="00D14F0E"/>
    <w:rsid w:val="00D14F70"/>
    <w:rsid w:val="00D14F75"/>
    <w:rsid w:val="00D14F77"/>
    <w:rsid w:val="00D14FF1"/>
    <w:rsid w:val="00D15045"/>
    <w:rsid w:val="00D1505D"/>
    <w:rsid w:val="00D150EB"/>
    <w:rsid w:val="00D150EF"/>
    <w:rsid w:val="00D15135"/>
    <w:rsid w:val="00D1513D"/>
    <w:rsid w:val="00D15154"/>
    <w:rsid w:val="00D1518F"/>
    <w:rsid w:val="00D15199"/>
    <w:rsid w:val="00D151C4"/>
    <w:rsid w:val="00D151FA"/>
    <w:rsid w:val="00D15200"/>
    <w:rsid w:val="00D1524B"/>
    <w:rsid w:val="00D15274"/>
    <w:rsid w:val="00D152D7"/>
    <w:rsid w:val="00D152F2"/>
    <w:rsid w:val="00D152F6"/>
    <w:rsid w:val="00D1530E"/>
    <w:rsid w:val="00D1533C"/>
    <w:rsid w:val="00D15357"/>
    <w:rsid w:val="00D1535D"/>
    <w:rsid w:val="00D1539B"/>
    <w:rsid w:val="00D153B6"/>
    <w:rsid w:val="00D153D9"/>
    <w:rsid w:val="00D1541B"/>
    <w:rsid w:val="00D15422"/>
    <w:rsid w:val="00D1544F"/>
    <w:rsid w:val="00D15450"/>
    <w:rsid w:val="00D1547D"/>
    <w:rsid w:val="00D154B9"/>
    <w:rsid w:val="00D154D8"/>
    <w:rsid w:val="00D1555A"/>
    <w:rsid w:val="00D15599"/>
    <w:rsid w:val="00D15626"/>
    <w:rsid w:val="00D1562A"/>
    <w:rsid w:val="00D1562B"/>
    <w:rsid w:val="00D15640"/>
    <w:rsid w:val="00D15643"/>
    <w:rsid w:val="00D15649"/>
    <w:rsid w:val="00D15657"/>
    <w:rsid w:val="00D15712"/>
    <w:rsid w:val="00D15714"/>
    <w:rsid w:val="00D1577B"/>
    <w:rsid w:val="00D15792"/>
    <w:rsid w:val="00D157AB"/>
    <w:rsid w:val="00D157C8"/>
    <w:rsid w:val="00D157CC"/>
    <w:rsid w:val="00D157E3"/>
    <w:rsid w:val="00D157E7"/>
    <w:rsid w:val="00D157EB"/>
    <w:rsid w:val="00D15802"/>
    <w:rsid w:val="00D1582A"/>
    <w:rsid w:val="00D1583A"/>
    <w:rsid w:val="00D1589A"/>
    <w:rsid w:val="00D158D2"/>
    <w:rsid w:val="00D158E5"/>
    <w:rsid w:val="00D15939"/>
    <w:rsid w:val="00D159CE"/>
    <w:rsid w:val="00D159FF"/>
    <w:rsid w:val="00D15A16"/>
    <w:rsid w:val="00D15A93"/>
    <w:rsid w:val="00D15A9D"/>
    <w:rsid w:val="00D15AD3"/>
    <w:rsid w:val="00D15AED"/>
    <w:rsid w:val="00D15B06"/>
    <w:rsid w:val="00D15B40"/>
    <w:rsid w:val="00D15B51"/>
    <w:rsid w:val="00D15B5C"/>
    <w:rsid w:val="00D15BE2"/>
    <w:rsid w:val="00D15C3B"/>
    <w:rsid w:val="00D15C4A"/>
    <w:rsid w:val="00D15C5B"/>
    <w:rsid w:val="00D15CA5"/>
    <w:rsid w:val="00D15CA9"/>
    <w:rsid w:val="00D15CC3"/>
    <w:rsid w:val="00D15D09"/>
    <w:rsid w:val="00D15D11"/>
    <w:rsid w:val="00D15D55"/>
    <w:rsid w:val="00D15DE6"/>
    <w:rsid w:val="00D15E05"/>
    <w:rsid w:val="00D15E16"/>
    <w:rsid w:val="00D15E26"/>
    <w:rsid w:val="00D15E8F"/>
    <w:rsid w:val="00D15E9E"/>
    <w:rsid w:val="00D15F02"/>
    <w:rsid w:val="00D15F70"/>
    <w:rsid w:val="00D15F8A"/>
    <w:rsid w:val="00D15FDB"/>
    <w:rsid w:val="00D15FDD"/>
    <w:rsid w:val="00D15FEF"/>
    <w:rsid w:val="00D16015"/>
    <w:rsid w:val="00D1602C"/>
    <w:rsid w:val="00D16061"/>
    <w:rsid w:val="00D160BD"/>
    <w:rsid w:val="00D160E0"/>
    <w:rsid w:val="00D160EB"/>
    <w:rsid w:val="00D160F3"/>
    <w:rsid w:val="00D160F8"/>
    <w:rsid w:val="00D161C4"/>
    <w:rsid w:val="00D161E5"/>
    <w:rsid w:val="00D16215"/>
    <w:rsid w:val="00D1629F"/>
    <w:rsid w:val="00D162F9"/>
    <w:rsid w:val="00D1631F"/>
    <w:rsid w:val="00D16398"/>
    <w:rsid w:val="00D163E8"/>
    <w:rsid w:val="00D16441"/>
    <w:rsid w:val="00D16477"/>
    <w:rsid w:val="00D164B9"/>
    <w:rsid w:val="00D16537"/>
    <w:rsid w:val="00D16593"/>
    <w:rsid w:val="00D1659F"/>
    <w:rsid w:val="00D165CD"/>
    <w:rsid w:val="00D1660A"/>
    <w:rsid w:val="00D16619"/>
    <w:rsid w:val="00D16638"/>
    <w:rsid w:val="00D166E7"/>
    <w:rsid w:val="00D1676F"/>
    <w:rsid w:val="00D167C2"/>
    <w:rsid w:val="00D167C6"/>
    <w:rsid w:val="00D1680A"/>
    <w:rsid w:val="00D168D6"/>
    <w:rsid w:val="00D1692D"/>
    <w:rsid w:val="00D169B3"/>
    <w:rsid w:val="00D16A3B"/>
    <w:rsid w:val="00D16A82"/>
    <w:rsid w:val="00D16AD6"/>
    <w:rsid w:val="00D16AE1"/>
    <w:rsid w:val="00D16AEB"/>
    <w:rsid w:val="00D16B03"/>
    <w:rsid w:val="00D16B47"/>
    <w:rsid w:val="00D16B51"/>
    <w:rsid w:val="00D16B65"/>
    <w:rsid w:val="00D16B68"/>
    <w:rsid w:val="00D16BBC"/>
    <w:rsid w:val="00D16BE4"/>
    <w:rsid w:val="00D16C0F"/>
    <w:rsid w:val="00D16C5B"/>
    <w:rsid w:val="00D16D08"/>
    <w:rsid w:val="00D16D2A"/>
    <w:rsid w:val="00D16D42"/>
    <w:rsid w:val="00D16D7E"/>
    <w:rsid w:val="00D16D9C"/>
    <w:rsid w:val="00D16DD4"/>
    <w:rsid w:val="00D16DFA"/>
    <w:rsid w:val="00D16E04"/>
    <w:rsid w:val="00D16E4D"/>
    <w:rsid w:val="00D16EB3"/>
    <w:rsid w:val="00D16EB9"/>
    <w:rsid w:val="00D16F3C"/>
    <w:rsid w:val="00D16F46"/>
    <w:rsid w:val="00D16F72"/>
    <w:rsid w:val="00D16FC9"/>
    <w:rsid w:val="00D1700B"/>
    <w:rsid w:val="00D1703D"/>
    <w:rsid w:val="00D1705B"/>
    <w:rsid w:val="00D17074"/>
    <w:rsid w:val="00D17102"/>
    <w:rsid w:val="00D17125"/>
    <w:rsid w:val="00D1714B"/>
    <w:rsid w:val="00D17184"/>
    <w:rsid w:val="00D171D4"/>
    <w:rsid w:val="00D171E0"/>
    <w:rsid w:val="00D17243"/>
    <w:rsid w:val="00D172D3"/>
    <w:rsid w:val="00D17319"/>
    <w:rsid w:val="00D17383"/>
    <w:rsid w:val="00D1743D"/>
    <w:rsid w:val="00D1745E"/>
    <w:rsid w:val="00D174CF"/>
    <w:rsid w:val="00D17568"/>
    <w:rsid w:val="00D1757D"/>
    <w:rsid w:val="00D17590"/>
    <w:rsid w:val="00D175AA"/>
    <w:rsid w:val="00D175E3"/>
    <w:rsid w:val="00D1760B"/>
    <w:rsid w:val="00D17627"/>
    <w:rsid w:val="00D17685"/>
    <w:rsid w:val="00D176A0"/>
    <w:rsid w:val="00D17719"/>
    <w:rsid w:val="00D17720"/>
    <w:rsid w:val="00D1772C"/>
    <w:rsid w:val="00D1773E"/>
    <w:rsid w:val="00D17835"/>
    <w:rsid w:val="00D17897"/>
    <w:rsid w:val="00D178B4"/>
    <w:rsid w:val="00D178DA"/>
    <w:rsid w:val="00D178F3"/>
    <w:rsid w:val="00D1796A"/>
    <w:rsid w:val="00D179FC"/>
    <w:rsid w:val="00D17A24"/>
    <w:rsid w:val="00D17A26"/>
    <w:rsid w:val="00D17A49"/>
    <w:rsid w:val="00D17A8C"/>
    <w:rsid w:val="00D17AE9"/>
    <w:rsid w:val="00D17B64"/>
    <w:rsid w:val="00D17B84"/>
    <w:rsid w:val="00D17BF5"/>
    <w:rsid w:val="00D17C62"/>
    <w:rsid w:val="00D17CF0"/>
    <w:rsid w:val="00D17D04"/>
    <w:rsid w:val="00D17D09"/>
    <w:rsid w:val="00D17D0E"/>
    <w:rsid w:val="00D17DC2"/>
    <w:rsid w:val="00D17DEC"/>
    <w:rsid w:val="00D17DFD"/>
    <w:rsid w:val="00D17E0E"/>
    <w:rsid w:val="00D17E11"/>
    <w:rsid w:val="00D17E26"/>
    <w:rsid w:val="00D17E3B"/>
    <w:rsid w:val="00D17E51"/>
    <w:rsid w:val="00D17E98"/>
    <w:rsid w:val="00D17EDC"/>
    <w:rsid w:val="00D17FA4"/>
    <w:rsid w:val="00D17FBC"/>
    <w:rsid w:val="00D17FC8"/>
    <w:rsid w:val="00D20006"/>
    <w:rsid w:val="00D2000E"/>
    <w:rsid w:val="00D20041"/>
    <w:rsid w:val="00D2004D"/>
    <w:rsid w:val="00D20058"/>
    <w:rsid w:val="00D20179"/>
    <w:rsid w:val="00D20181"/>
    <w:rsid w:val="00D20201"/>
    <w:rsid w:val="00D20266"/>
    <w:rsid w:val="00D20277"/>
    <w:rsid w:val="00D2027F"/>
    <w:rsid w:val="00D2028E"/>
    <w:rsid w:val="00D2029E"/>
    <w:rsid w:val="00D202CA"/>
    <w:rsid w:val="00D202DA"/>
    <w:rsid w:val="00D204BE"/>
    <w:rsid w:val="00D204C9"/>
    <w:rsid w:val="00D204F3"/>
    <w:rsid w:val="00D2052C"/>
    <w:rsid w:val="00D2058D"/>
    <w:rsid w:val="00D205EC"/>
    <w:rsid w:val="00D2061E"/>
    <w:rsid w:val="00D20620"/>
    <w:rsid w:val="00D2077D"/>
    <w:rsid w:val="00D2079C"/>
    <w:rsid w:val="00D207A5"/>
    <w:rsid w:val="00D20872"/>
    <w:rsid w:val="00D20876"/>
    <w:rsid w:val="00D208E7"/>
    <w:rsid w:val="00D2091A"/>
    <w:rsid w:val="00D20933"/>
    <w:rsid w:val="00D2094E"/>
    <w:rsid w:val="00D20951"/>
    <w:rsid w:val="00D20963"/>
    <w:rsid w:val="00D209CC"/>
    <w:rsid w:val="00D20A16"/>
    <w:rsid w:val="00D20A98"/>
    <w:rsid w:val="00D20AF3"/>
    <w:rsid w:val="00D20B3E"/>
    <w:rsid w:val="00D20B69"/>
    <w:rsid w:val="00D20C0E"/>
    <w:rsid w:val="00D20C4E"/>
    <w:rsid w:val="00D20CD4"/>
    <w:rsid w:val="00D20CFD"/>
    <w:rsid w:val="00D20D0C"/>
    <w:rsid w:val="00D20DA0"/>
    <w:rsid w:val="00D20DA3"/>
    <w:rsid w:val="00D20DBB"/>
    <w:rsid w:val="00D20DD1"/>
    <w:rsid w:val="00D20DD6"/>
    <w:rsid w:val="00D20E09"/>
    <w:rsid w:val="00D20E5B"/>
    <w:rsid w:val="00D20E68"/>
    <w:rsid w:val="00D20E8B"/>
    <w:rsid w:val="00D20EB0"/>
    <w:rsid w:val="00D20EC5"/>
    <w:rsid w:val="00D20F60"/>
    <w:rsid w:val="00D21037"/>
    <w:rsid w:val="00D2105B"/>
    <w:rsid w:val="00D21067"/>
    <w:rsid w:val="00D21075"/>
    <w:rsid w:val="00D2108E"/>
    <w:rsid w:val="00D21126"/>
    <w:rsid w:val="00D21164"/>
    <w:rsid w:val="00D21209"/>
    <w:rsid w:val="00D21245"/>
    <w:rsid w:val="00D212BD"/>
    <w:rsid w:val="00D212F5"/>
    <w:rsid w:val="00D21305"/>
    <w:rsid w:val="00D21346"/>
    <w:rsid w:val="00D2134D"/>
    <w:rsid w:val="00D2138E"/>
    <w:rsid w:val="00D2139F"/>
    <w:rsid w:val="00D2140E"/>
    <w:rsid w:val="00D21412"/>
    <w:rsid w:val="00D21447"/>
    <w:rsid w:val="00D2144E"/>
    <w:rsid w:val="00D21475"/>
    <w:rsid w:val="00D214A2"/>
    <w:rsid w:val="00D214C3"/>
    <w:rsid w:val="00D214CC"/>
    <w:rsid w:val="00D214E3"/>
    <w:rsid w:val="00D2151F"/>
    <w:rsid w:val="00D2154D"/>
    <w:rsid w:val="00D2157D"/>
    <w:rsid w:val="00D215BA"/>
    <w:rsid w:val="00D215D7"/>
    <w:rsid w:val="00D215ED"/>
    <w:rsid w:val="00D21600"/>
    <w:rsid w:val="00D216DD"/>
    <w:rsid w:val="00D21733"/>
    <w:rsid w:val="00D21741"/>
    <w:rsid w:val="00D2179D"/>
    <w:rsid w:val="00D21832"/>
    <w:rsid w:val="00D218F9"/>
    <w:rsid w:val="00D21923"/>
    <w:rsid w:val="00D21930"/>
    <w:rsid w:val="00D2196F"/>
    <w:rsid w:val="00D219DA"/>
    <w:rsid w:val="00D21A4A"/>
    <w:rsid w:val="00D21A5E"/>
    <w:rsid w:val="00D21A6A"/>
    <w:rsid w:val="00D21A6E"/>
    <w:rsid w:val="00D21AD8"/>
    <w:rsid w:val="00D21AF8"/>
    <w:rsid w:val="00D21B40"/>
    <w:rsid w:val="00D21B72"/>
    <w:rsid w:val="00D21BA8"/>
    <w:rsid w:val="00D21C22"/>
    <w:rsid w:val="00D21C23"/>
    <w:rsid w:val="00D21C24"/>
    <w:rsid w:val="00D21C37"/>
    <w:rsid w:val="00D21CBA"/>
    <w:rsid w:val="00D21CDA"/>
    <w:rsid w:val="00D21D7C"/>
    <w:rsid w:val="00D21E19"/>
    <w:rsid w:val="00D21E4F"/>
    <w:rsid w:val="00D21E5D"/>
    <w:rsid w:val="00D21E98"/>
    <w:rsid w:val="00D21EC7"/>
    <w:rsid w:val="00D21EC9"/>
    <w:rsid w:val="00D21F0D"/>
    <w:rsid w:val="00D21F62"/>
    <w:rsid w:val="00D21FA8"/>
    <w:rsid w:val="00D22017"/>
    <w:rsid w:val="00D2202A"/>
    <w:rsid w:val="00D22036"/>
    <w:rsid w:val="00D2203E"/>
    <w:rsid w:val="00D220B6"/>
    <w:rsid w:val="00D220BF"/>
    <w:rsid w:val="00D221F5"/>
    <w:rsid w:val="00D2223C"/>
    <w:rsid w:val="00D222C0"/>
    <w:rsid w:val="00D223F2"/>
    <w:rsid w:val="00D22476"/>
    <w:rsid w:val="00D224B4"/>
    <w:rsid w:val="00D22521"/>
    <w:rsid w:val="00D22541"/>
    <w:rsid w:val="00D22580"/>
    <w:rsid w:val="00D22626"/>
    <w:rsid w:val="00D2262B"/>
    <w:rsid w:val="00D22662"/>
    <w:rsid w:val="00D22672"/>
    <w:rsid w:val="00D22685"/>
    <w:rsid w:val="00D226A9"/>
    <w:rsid w:val="00D226C7"/>
    <w:rsid w:val="00D22711"/>
    <w:rsid w:val="00D227AA"/>
    <w:rsid w:val="00D227AB"/>
    <w:rsid w:val="00D227C1"/>
    <w:rsid w:val="00D22812"/>
    <w:rsid w:val="00D2281F"/>
    <w:rsid w:val="00D2282D"/>
    <w:rsid w:val="00D22915"/>
    <w:rsid w:val="00D22916"/>
    <w:rsid w:val="00D22940"/>
    <w:rsid w:val="00D2298E"/>
    <w:rsid w:val="00D22999"/>
    <w:rsid w:val="00D229C7"/>
    <w:rsid w:val="00D229CD"/>
    <w:rsid w:val="00D22A3B"/>
    <w:rsid w:val="00D22AD1"/>
    <w:rsid w:val="00D22B10"/>
    <w:rsid w:val="00D22B1D"/>
    <w:rsid w:val="00D22B44"/>
    <w:rsid w:val="00D22B84"/>
    <w:rsid w:val="00D22BD7"/>
    <w:rsid w:val="00D22BEF"/>
    <w:rsid w:val="00D22C96"/>
    <w:rsid w:val="00D22CA9"/>
    <w:rsid w:val="00D22CB1"/>
    <w:rsid w:val="00D22CD6"/>
    <w:rsid w:val="00D22CF6"/>
    <w:rsid w:val="00D22CFE"/>
    <w:rsid w:val="00D22D0D"/>
    <w:rsid w:val="00D22D41"/>
    <w:rsid w:val="00D22D8D"/>
    <w:rsid w:val="00D22D96"/>
    <w:rsid w:val="00D22DB3"/>
    <w:rsid w:val="00D22DDA"/>
    <w:rsid w:val="00D22E19"/>
    <w:rsid w:val="00D22E35"/>
    <w:rsid w:val="00D22E4D"/>
    <w:rsid w:val="00D22E8A"/>
    <w:rsid w:val="00D22E9F"/>
    <w:rsid w:val="00D22EA8"/>
    <w:rsid w:val="00D22ECD"/>
    <w:rsid w:val="00D23027"/>
    <w:rsid w:val="00D230C2"/>
    <w:rsid w:val="00D230F7"/>
    <w:rsid w:val="00D23131"/>
    <w:rsid w:val="00D23172"/>
    <w:rsid w:val="00D231DE"/>
    <w:rsid w:val="00D23204"/>
    <w:rsid w:val="00D23208"/>
    <w:rsid w:val="00D2327F"/>
    <w:rsid w:val="00D232BC"/>
    <w:rsid w:val="00D232D2"/>
    <w:rsid w:val="00D23372"/>
    <w:rsid w:val="00D23399"/>
    <w:rsid w:val="00D233B0"/>
    <w:rsid w:val="00D233E2"/>
    <w:rsid w:val="00D234BB"/>
    <w:rsid w:val="00D234F6"/>
    <w:rsid w:val="00D2351D"/>
    <w:rsid w:val="00D23596"/>
    <w:rsid w:val="00D235A5"/>
    <w:rsid w:val="00D235EA"/>
    <w:rsid w:val="00D236F3"/>
    <w:rsid w:val="00D23709"/>
    <w:rsid w:val="00D2372C"/>
    <w:rsid w:val="00D237BF"/>
    <w:rsid w:val="00D237CA"/>
    <w:rsid w:val="00D23862"/>
    <w:rsid w:val="00D2387A"/>
    <w:rsid w:val="00D2387E"/>
    <w:rsid w:val="00D238BF"/>
    <w:rsid w:val="00D238C3"/>
    <w:rsid w:val="00D23903"/>
    <w:rsid w:val="00D23988"/>
    <w:rsid w:val="00D239F9"/>
    <w:rsid w:val="00D23A01"/>
    <w:rsid w:val="00D23A23"/>
    <w:rsid w:val="00D23A59"/>
    <w:rsid w:val="00D23A67"/>
    <w:rsid w:val="00D23AC3"/>
    <w:rsid w:val="00D23ACE"/>
    <w:rsid w:val="00D23B7E"/>
    <w:rsid w:val="00D23BB8"/>
    <w:rsid w:val="00D23C2E"/>
    <w:rsid w:val="00D23C31"/>
    <w:rsid w:val="00D23C77"/>
    <w:rsid w:val="00D23D41"/>
    <w:rsid w:val="00D23D6E"/>
    <w:rsid w:val="00D23D7A"/>
    <w:rsid w:val="00D23DDE"/>
    <w:rsid w:val="00D23E84"/>
    <w:rsid w:val="00D23F18"/>
    <w:rsid w:val="00D23F1A"/>
    <w:rsid w:val="00D23F47"/>
    <w:rsid w:val="00D23F5E"/>
    <w:rsid w:val="00D24031"/>
    <w:rsid w:val="00D2403E"/>
    <w:rsid w:val="00D24142"/>
    <w:rsid w:val="00D24180"/>
    <w:rsid w:val="00D241A2"/>
    <w:rsid w:val="00D241A7"/>
    <w:rsid w:val="00D241D8"/>
    <w:rsid w:val="00D242F5"/>
    <w:rsid w:val="00D24368"/>
    <w:rsid w:val="00D243FB"/>
    <w:rsid w:val="00D24447"/>
    <w:rsid w:val="00D2446D"/>
    <w:rsid w:val="00D24601"/>
    <w:rsid w:val="00D24626"/>
    <w:rsid w:val="00D24631"/>
    <w:rsid w:val="00D2465D"/>
    <w:rsid w:val="00D24683"/>
    <w:rsid w:val="00D24699"/>
    <w:rsid w:val="00D246AF"/>
    <w:rsid w:val="00D246C4"/>
    <w:rsid w:val="00D24710"/>
    <w:rsid w:val="00D24716"/>
    <w:rsid w:val="00D24793"/>
    <w:rsid w:val="00D2479F"/>
    <w:rsid w:val="00D24809"/>
    <w:rsid w:val="00D2482F"/>
    <w:rsid w:val="00D24838"/>
    <w:rsid w:val="00D248B7"/>
    <w:rsid w:val="00D248D0"/>
    <w:rsid w:val="00D248E0"/>
    <w:rsid w:val="00D248F3"/>
    <w:rsid w:val="00D24907"/>
    <w:rsid w:val="00D2491C"/>
    <w:rsid w:val="00D24932"/>
    <w:rsid w:val="00D249CC"/>
    <w:rsid w:val="00D249E3"/>
    <w:rsid w:val="00D24A79"/>
    <w:rsid w:val="00D24B32"/>
    <w:rsid w:val="00D24B3E"/>
    <w:rsid w:val="00D24C2C"/>
    <w:rsid w:val="00D24CFA"/>
    <w:rsid w:val="00D24D1C"/>
    <w:rsid w:val="00D24E1F"/>
    <w:rsid w:val="00D24E47"/>
    <w:rsid w:val="00D24E8E"/>
    <w:rsid w:val="00D24F56"/>
    <w:rsid w:val="00D24F76"/>
    <w:rsid w:val="00D24FA9"/>
    <w:rsid w:val="00D25084"/>
    <w:rsid w:val="00D250B1"/>
    <w:rsid w:val="00D250CE"/>
    <w:rsid w:val="00D250DD"/>
    <w:rsid w:val="00D250F8"/>
    <w:rsid w:val="00D250FD"/>
    <w:rsid w:val="00D251D8"/>
    <w:rsid w:val="00D25245"/>
    <w:rsid w:val="00D2525B"/>
    <w:rsid w:val="00D25265"/>
    <w:rsid w:val="00D253BE"/>
    <w:rsid w:val="00D25407"/>
    <w:rsid w:val="00D2542F"/>
    <w:rsid w:val="00D25435"/>
    <w:rsid w:val="00D25439"/>
    <w:rsid w:val="00D25449"/>
    <w:rsid w:val="00D2547D"/>
    <w:rsid w:val="00D254E1"/>
    <w:rsid w:val="00D2555F"/>
    <w:rsid w:val="00D25569"/>
    <w:rsid w:val="00D25591"/>
    <w:rsid w:val="00D2562C"/>
    <w:rsid w:val="00D25634"/>
    <w:rsid w:val="00D256BA"/>
    <w:rsid w:val="00D2570D"/>
    <w:rsid w:val="00D2579D"/>
    <w:rsid w:val="00D257DF"/>
    <w:rsid w:val="00D257F3"/>
    <w:rsid w:val="00D25803"/>
    <w:rsid w:val="00D2583A"/>
    <w:rsid w:val="00D25842"/>
    <w:rsid w:val="00D2587D"/>
    <w:rsid w:val="00D25886"/>
    <w:rsid w:val="00D258E6"/>
    <w:rsid w:val="00D258E7"/>
    <w:rsid w:val="00D25985"/>
    <w:rsid w:val="00D259AE"/>
    <w:rsid w:val="00D259BA"/>
    <w:rsid w:val="00D25A8B"/>
    <w:rsid w:val="00D25B1E"/>
    <w:rsid w:val="00D25C38"/>
    <w:rsid w:val="00D25C95"/>
    <w:rsid w:val="00D25C9F"/>
    <w:rsid w:val="00D25CDE"/>
    <w:rsid w:val="00D25D09"/>
    <w:rsid w:val="00D25D53"/>
    <w:rsid w:val="00D25D7A"/>
    <w:rsid w:val="00D25D9B"/>
    <w:rsid w:val="00D25DB6"/>
    <w:rsid w:val="00D25E3D"/>
    <w:rsid w:val="00D25E49"/>
    <w:rsid w:val="00D25E69"/>
    <w:rsid w:val="00D25E71"/>
    <w:rsid w:val="00D25EB0"/>
    <w:rsid w:val="00D25EF2"/>
    <w:rsid w:val="00D25EFE"/>
    <w:rsid w:val="00D25F01"/>
    <w:rsid w:val="00D25F77"/>
    <w:rsid w:val="00D25F7C"/>
    <w:rsid w:val="00D25F9E"/>
    <w:rsid w:val="00D25FBD"/>
    <w:rsid w:val="00D25FEB"/>
    <w:rsid w:val="00D260A6"/>
    <w:rsid w:val="00D26126"/>
    <w:rsid w:val="00D26134"/>
    <w:rsid w:val="00D26199"/>
    <w:rsid w:val="00D2620B"/>
    <w:rsid w:val="00D2622D"/>
    <w:rsid w:val="00D262B2"/>
    <w:rsid w:val="00D262E9"/>
    <w:rsid w:val="00D2631D"/>
    <w:rsid w:val="00D26342"/>
    <w:rsid w:val="00D26379"/>
    <w:rsid w:val="00D263CA"/>
    <w:rsid w:val="00D263CF"/>
    <w:rsid w:val="00D26490"/>
    <w:rsid w:val="00D26510"/>
    <w:rsid w:val="00D2656E"/>
    <w:rsid w:val="00D265E4"/>
    <w:rsid w:val="00D265F5"/>
    <w:rsid w:val="00D26676"/>
    <w:rsid w:val="00D2667A"/>
    <w:rsid w:val="00D2669F"/>
    <w:rsid w:val="00D266A7"/>
    <w:rsid w:val="00D266D9"/>
    <w:rsid w:val="00D266FC"/>
    <w:rsid w:val="00D2674C"/>
    <w:rsid w:val="00D26766"/>
    <w:rsid w:val="00D2676A"/>
    <w:rsid w:val="00D2676D"/>
    <w:rsid w:val="00D26789"/>
    <w:rsid w:val="00D267AC"/>
    <w:rsid w:val="00D267E5"/>
    <w:rsid w:val="00D26881"/>
    <w:rsid w:val="00D268C9"/>
    <w:rsid w:val="00D268CB"/>
    <w:rsid w:val="00D2695A"/>
    <w:rsid w:val="00D26A0D"/>
    <w:rsid w:val="00D26A20"/>
    <w:rsid w:val="00D26A25"/>
    <w:rsid w:val="00D26A50"/>
    <w:rsid w:val="00D26A59"/>
    <w:rsid w:val="00D26A71"/>
    <w:rsid w:val="00D26A84"/>
    <w:rsid w:val="00D26AA1"/>
    <w:rsid w:val="00D26AC5"/>
    <w:rsid w:val="00D26AC6"/>
    <w:rsid w:val="00D26ACF"/>
    <w:rsid w:val="00D26AD3"/>
    <w:rsid w:val="00D26C18"/>
    <w:rsid w:val="00D26C35"/>
    <w:rsid w:val="00D26C42"/>
    <w:rsid w:val="00D26C6F"/>
    <w:rsid w:val="00D26CB9"/>
    <w:rsid w:val="00D26CC8"/>
    <w:rsid w:val="00D26D2E"/>
    <w:rsid w:val="00D26DB4"/>
    <w:rsid w:val="00D26DEC"/>
    <w:rsid w:val="00D26E11"/>
    <w:rsid w:val="00D26E15"/>
    <w:rsid w:val="00D26EF7"/>
    <w:rsid w:val="00D26F22"/>
    <w:rsid w:val="00D26FBA"/>
    <w:rsid w:val="00D27034"/>
    <w:rsid w:val="00D2703F"/>
    <w:rsid w:val="00D2706F"/>
    <w:rsid w:val="00D270F1"/>
    <w:rsid w:val="00D27160"/>
    <w:rsid w:val="00D27173"/>
    <w:rsid w:val="00D271A4"/>
    <w:rsid w:val="00D27201"/>
    <w:rsid w:val="00D272BC"/>
    <w:rsid w:val="00D27385"/>
    <w:rsid w:val="00D273C4"/>
    <w:rsid w:val="00D273F6"/>
    <w:rsid w:val="00D27444"/>
    <w:rsid w:val="00D2748F"/>
    <w:rsid w:val="00D274C7"/>
    <w:rsid w:val="00D274FE"/>
    <w:rsid w:val="00D2750B"/>
    <w:rsid w:val="00D27594"/>
    <w:rsid w:val="00D275F0"/>
    <w:rsid w:val="00D275F6"/>
    <w:rsid w:val="00D2763E"/>
    <w:rsid w:val="00D2766D"/>
    <w:rsid w:val="00D27671"/>
    <w:rsid w:val="00D276A2"/>
    <w:rsid w:val="00D276B5"/>
    <w:rsid w:val="00D276D0"/>
    <w:rsid w:val="00D276D4"/>
    <w:rsid w:val="00D27808"/>
    <w:rsid w:val="00D2783B"/>
    <w:rsid w:val="00D2784F"/>
    <w:rsid w:val="00D2785F"/>
    <w:rsid w:val="00D2786F"/>
    <w:rsid w:val="00D27888"/>
    <w:rsid w:val="00D27929"/>
    <w:rsid w:val="00D27940"/>
    <w:rsid w:val="00D27A28"/>
    <w:rsid w:val="00D27A36"/>
    <w:rsid w:val="00D27A4E"/>
    <w:rsid w:val="00D27A75"/>
    <w:rsid w:val="00D27B14"/>
    <w:rsid w:val="00D27B34"/>
    <w:rsid w:val="00D27B3D"/>
    <w:rsid w:val="00D27BB5"/>
    <w:rsid w:val="00D27BD5"/>
    <w:rsid w:val="00D27C06"/>
    <w:rsid w:val="00D27C0D"/>
    <w:rsid w:val="00D27C83"/>
    <w:rsid w:val="00D27CD2"/>
    <w:rsid w:val="00D27D30"/>
    <w:rsid w:val="00D27D37"/>
    <w:rsid w:val="00D27D4B"/>
    <w:rsid w:val="00D27D82"/>
    <w:rsid w:val="00D27DCC"/>
    <w:rsid w:val="00D27E05"/>
    <w:rsid w:val="00D27E35"/>
    <w:rsid w:val="00D27E52"/>
    <w:rsid w:val="00D27F89"/>
    <w:rsid w:val="00D27FFD"/>
    <w:rsid w:val="00D30048"/>
    <w:rsid w:val="00D30075"/>
    <w:rsid w:val="00D30077"/>
    <w:rsid w:val="00D3012D"/>
    <w:rsid w:val="00D3015C"/>
    <w:rsid w:val="00D30171"/>
    <w:rsid w:val="00D30192"/>
    <w:rsid w:val="00D301B6"/>
    <w:rsid w:val="00D301BA"/>
    <w:rsid w:val="00D301D4"/>
    <w:rsid w:val="00D301DA"/>
    <w:rsid w:val="00D301E4"/>
    <w:rsid w:val="00D301EF"/>
    <w:rsid w:val="00D302A1"/>
    <w:rsid w:val="00D3030F"/>
    <w:rsid w:val="00D3037D"/>
    <w:rsid w:val="00D3044A"/>
    <w:rsid w:val="00D30499"/>
    <w:rsid w:val="00D304DA"/>
    <w:rsid w:val="00D30553"/>
    <w:rsid w:val="00D3057C"/>
    <w:rsid w:val="00D305A6"/>
    <w:rsid w:val="00D305D5"/>
    <w:rsid w:val="00D305FF"/>
    <w:rsid w:val="00D30649"/>
    <w:rsid w:val="00D3065D"/>
    <w:rsid w:val="00D3069D"/>
    <w:rsid w:val="00D306F9"/>
    <w:rsid w:val="00D30750"/>
    <w:rsid w:val="00D30757"/>
    <w:rsid w:val="00D30794"/>
    <w:rsid w:val="00D307C2"/>
    <w:rsid w:val="00D307FA"/>
    <w:rsid w:val="00D3082B"/>
    <w:rsid w:val="00D30861"/>
    <w:rsid w:val="00D3086C"/>
    <w:rsid w:val="00D308C7"/>
    <w:rsid w:val="00D30911"/>
    <w:rsid w:val="00D30914"/>
    <w:rsid w:val="00D30947"/>
    <w:rsid w:val="00D309A8"/>
    <w:rsid w:val="00D309CE"/>
    <w:rsid w:val="00D30AB1"/>
    <w:rsid w:val="00D30B32"/>
    <w:rsid w:val="00D30B3D"/>
    <w:rsid w:val="00D30BC6"/>
    <w:rsid w:val="00D30BF4"/>
    <w:rsid w:val="00D30BF5"/>
    <w:rsid w:val="00D30C72"/>
    <w:rsid w:val="00D30CE9"/>
    <w:rsid w:val="00D30CEB"/>
    <w:rsid w:val="00D30D59"/>
    <w:rsid w:val="00D30DC9"/>
    <w:rsid w:val="00D30DD9"/>
    <w:rsid w:val="00D30E11"/>
    <w:rsid w:val="00D30E37"/>
    <w:rsid w:val="00D30E98"/>
    <w:rsid w:val="00D30ED0"/>
    <w:rsid w:val="00D30EEC"/>
    <w:rsid w:val="00D30F0F"/>
    <w:rsid w:val="00D31002"/>
    <w:rsid w:val="00D3101F"/>
    <w:rsid w:val="00D31051"/>
    <w:rsid w:val="00D31069"/>
    <w:rsid w:val="00D31095"/>
    <w:rsid w:val="00D31099"/>
    <w:rsid w:val="00D310AE"/>
    <w:rsid w:val="00D310B0"/>
    <w:rsid w:val="00D31102"/>
    <w:rsid w:val="00D3116B"/>
    <w:rsid w:val="00D311B8"/>
    <w:rsid w:val="00D311C6"/>
    <w:rsid w:val="00D31229"/>
    <w:rsid w:val="00D312AD"/>
    <w:rsid w:val="00D312B0"/>
    <w:rsid w:val="00D312BD"/>
    <w:rsid w:val="00D31316"/>
    <w:rsid w:val="00D31350"/>
    <w:rsid w:val="00D3136C"/>
    <w:rsid w:val="00D31392"/>
    <w:rsid w:val="00D313B2"/>
    <w:rsid w:val="00D313DF"/>
    <w:rsid w:val="00D313E6"/>
    <w:rsid w:val="00D313FA"/>
    <w:rsid w:val="00D31402"/>
    <w:rsid w:val="00D3140F"/>
    <w:rsid w:val="00D3146E"/>
    <w:rsid w:val="00D31484"/>
    <w:rsid w:val="00D314A3"/>
    <w:rsid w:val="00D31508"/>
    <w:rsid w:val="00D31556"/>
    <w:rsid w:val="00D31592"/>
    <w:rsid w:val="00D3159D"/>
    <w:rsid w:val="00D31626"/>
    <w:rsid w:val="00D31669"/>
    <w:rsid w:val="00D3167A"/>
    <w:rsid w:val="00D3171A"/>
    <w:rsid w:val="00D31724"/>
    <w:rsid w:val="00D31726"/>
    <w:rsid w:val="00D3172F"/>
    <w:rsid w:val="00D31744"/>
    <w:rsid w:val="00D3174B"/>
    <w:rsid w:val="00D31760"/>
    <w:rsid w:val="00D317B2"/>
    <w:rsid w:val="00D31865"/>
    <w:rsid w:val="00D31874"/>
    <w:rsid w:val="00D318E5"/>
    <w:rsid w:val="00D31919"/>
    <w:rsid w:val="00D31929"/>
    <w:rsid w:val="00D3193C"/>
    <w:rsid w:val="00D3197C"/>
    <w:rsid w:val="00D31A69"/>
    <w:rsid w:val="00D31A76"/>
    <w:rsid w:val="00D31ABA"/>
    <w:rsid w:val="00D31B36"/>
    <w:rsid w:val="00D31B8A"/>
    <w:rsid w:val="00D31BC2"/>
    <w:rsid w:val="00D31BCA"/>
    <w:rsid w:val="00D31C2C"/>
    <w:rsid w:val="00D31C5C"/>
    <w:rsid w:val="00D31CA9"/>
    <w:rsid w:val="00D31D2E"/>
    <w:rsid w:val="00D31D3E"/>
    <w:rsid w:val="00D31D9D"/>
    <w:rsid w:val="00D31DA8"/>
    <w:rsid w:val="00D31DBA"/>
    <w:rsid w:val="00D31DF6"/>
    <w:rsid w:val="00D31E05"/>
    <w:rsid w:val="00D31E3B"/>
    <w:rsid w:val="00D31E65"/>
    <w:rsid w:val="00D31E7A"/>
    <w:rsid w:val="00D31E97"/>
    <w:rsid w:val="00D31E99"/>
    <w:rsid w:val="00D31EBF"/>
    <w:rsid w:val="00D31F31"/>
    <w:rsid w:val="00D31FBE"/>
    <w:rsid w:val="00D31FE8"/>
    <w:rsid w:val="00D31FEA"/>
    <w:rsid w:val="00D3202C"/>
    <w:rsid w:val="00D32054"/>
    <w:rsid w:val="00D32059"/>
    <w:rsid w:val="00D3207E"/>
    <w:rsid w:val="00D32096"/>
    <w:rsid w:val="00D320D8"/>
    <w:rsid w:val="00D3214A"/>
    <w:rsid w:val="00D32170"/>
    <w:rsid w:val="00D321E0"/>
    <w:rsid w:val="00D321FF"/>
    <w:rsid w:val="00D3225C"/>
    <w:rsid w:val="00D32269"/>
    <w:rsid w:val="00D322B1"/>
    <w:rsid w:val="00D322D1"/>
    <w:rsid w:val="00D32338"/>
    <w:rsid w:val="00D32372"/>
    <w:rsid w:val="00D3245B"/>
    <w:rsid w:val="00D324C1"/>
    <w:rsid w:val="00D32526"/>
    <w:rsid w:val="00D32578"/>
    <w:rsid w:val="00D32664"/>
    <w:rsid w:val="00D326F7"/>
    <w:rsid w:val="00D32714"/>
    <w:rsid w:val="00D3278C"/>
    <w:rsid w:val="00D32810"/>
    <w:rsid w:val="00D32846"/>
    <w:rsid w:val="00D3284A"/>
    <w:rsid w:val="00D328D2"/>
    <w:rsid w:val="00D3295C"/>
    <w:rsid w:val="00D329EC"/>
    <w:rsid w:val="00D329FD"/>
    <w:rsid w:val="00D32A18"/>
    <w:rsid w:val="00D32AE4"/>
    <w:rsid w:val="00D32AE6"/>
    <w:rsid w:val="00D32B61"/>
    <w:rsid w:val="00D32BA5"/>
    <w:rsid w:val="00D32BAF"/>
    <w:rsid w:val="00D32BC8"/>
    <w:rsid w:val="00D32BC9"/>
    <w:rsid w:val="00D32C39"/>
    <w:rsid w:val="00D32D05"/>
    <w:rsid w:val="00D32D50"/>
    <w:rsid w:val="00D32D63"/>
    <w:rsid w:val="00D32DA9"/>
    <w:rsid w:val="00D32E40"/>
    <w:rsid w:val="00D32E76"/>
    <w:rsid w:val="00D32F56"/>
    <w:rsid w:val="00D32FAC"/>
    <w:rsid w:val="00D33007"/>
    <w:rsid w:val="00D33009"/>
    <w:rsid w:val="00D330C5"/>
    <w:rsid w:val="00D33131"/>
    <w:rsid w:val="00D331DB"/>
    <w:rsid w:val="00D331F4"/>
    <w:rsid w:val="00D3325D"/>
    <w:rsid w:val="00D3327A"/>
    <w:rsid w:val="00D332BB"/>
    <w:rsid w:val="00D332EF"/>
    <w:rsid w:val="00D33329"/>
    <w:rsid w:val="00D3333F"/>
    <w:rsid w:val="00D333A9"/>
    <w:rsid w:val="00D33432"/>
    <w:rsid w:val="00D33440"/>
    <w:rsid w:val="00D3344C"/>
    <w:rsid w:val="00D3348C"/>
    <w:rsid w:val="00D334D9"/>
    <w:rsid w:val="00D334ED"/>
    <w:rsid w:val="00D334F3"/>
    <w:rsid w:val="00D335A6"/>
    <w:rsid w:val="00D335C9"/>
    <w:rsid w:val="00D335EB"/>
    <w:rsid w:val="00D335F5"/>
    <w:rsid w:val="00D3361F"/>
    <w:rsid w:val="00D3369C"/>
    <w:rsid w:val="00D336AD"/>
    <w:rsid w:val="00D3372E"/>
    <w:rsid w:val="00D33731"/>
    <w:rsid w:val="00D3374F"/>
    <w:rsid w:val="00D337C3"/>
    <w:rsid w:val="00D33859"/>
    <w:rsid w:val="00D3387B"/>
    <w:rsid w:val="00D3387C"/>
    <w:rsid w:val="00D338C1"/>
    <w:rsid w:val="00D338E9"/>
    <w:rsid w:val="00D338F6"/>
    <w:rsid w:val="00D33905"/>
    <w:rsid w:val="00D33953"/>
    <w:rsid w:val="00D33954"/>
    <w:rsid w:val="00D339A7"/>
    <w:rsid w:val="00D339D7"/>
    <w:rsid w:val="00D33A3F"/>
    <w:rsid w:val="00D33A40"/>
    <w:rsid w:val="00D33A7D"/>
    <w:rsid w:val="00D33AB3"/>
    <w:rsid w:val="00D33AE3"/>
    <w:rsid w:val="00D33B09"/>
    <w:rsid w:val="00D33B10"/>
    <w:rsid w:val="00D33B1D"/>
    <w:rsid w:val="00D33B37"/>
    <w:rsid w:val="00D33B95"/>
    <w:rsid w:val="00D33BAB"/>
    <w:rsid w:val="00D33C85"/>
    <w:rsid w:val="00D33CDA"/>
    <w:rsid w:val="00D33CDF"/>
    <w:rsid w:val="00D33D2A"/>
    <w:rsid w:val="00D33D40"/>
    <w:rsid w:val="00D33D41"/>
    <w:rsid w:val="00D33D8B"/>
    <w:rsid w:val="00D33E47"/>
    <w:rsid w:val="00D33E4A"/>
    <w:rsid w:val="00D33E71"/>
    <w:rsid w:val="00D33EB1"/>
    <w:rsid w:val="00D33F06"/>
    <w:rsid w:val="00D33F0E"/>
    <w:rsid w:val="00D33F2E"/>
    <w:rsid w:val="00D33F89"/>
    <w:rsid w:val="00D33FD0"/>
    <w:rsid w:val="00D34069"/>
    <w:rsid w:val="00D34099"/>
    <w:rsid w:val="00D340C2"/>
    <w:rsid w:val="00D340C8"/>
    <w:rsid w:val="00D340ED"/>
    <w:rsid w:val="00D340F5"/>
    <w:rsid w:val="00D34140"/>
    <w:rsid w:val="00D34147"/>
    <w:rsid w:val="00D341C4"/>
    <w:rsid w:val="00D341FB"/>
    <w:rsid w:val="00D34209"/>
    <w:rsid w:val="00D342E9"/>
    <w:rsid w:val="00D34310"/>
    <w:rsid w:val="00D34313"/>
    <w:rsid w:val="00D34354"/>
    <w:rsid w:val="00D34381"/>
    <w:rsid w:val="00D34392"/>
    <w:rsid w:val="00D3439F"/>
    <w:rsid w:val="00D343BE"/>
    <w:rsid w:val="00D343FC"/>
    <w:rsid w:val="00D3440F"/>
    <w:rsid w:val="00D34415"/>
    <w:rsid w:val="00D34421"/>
    <w:rsid w:val="00D34542"/>
    <w:rsid w:val="00D34568"/>
    <w:rsid w:val="00D3456D"/>
    <w:rsid w:val="00D345CA"/>
    <w:rsid w:val="00D345D1"/>
    <w:rsid w:val="00D345EC"/>
    <w:rsid w:val="00D345F7"/>
    <w:rsid w:val="00D34618"/>
    <w:rsid w:val="00D34620"/>
    <w:rsid w:val="00D34644"/>
    <w:rsid w:val="00D3464B"/>
    <w:rsid w:val="00D346AA"/>
    <w:rsid w:val="00D346B0"/>
    <w:rsid w:val="00D346D0"/>
    <w:rsid w:val="00D34741"/>
    <w:rsid w:val="00D34753"/>
    <w:rsid w:val="00D3478F"/>
    <w:rsid w:val="00D347CB"/>
    <w:rsid w:val="00D347E9"/>
    <w:rsid w:val="00D3483B"/>
    <w:rsid w:val="00D34855"/>
    <w:rsid w:val="00D34870"/>
    <w:rsid w:val="00D348C6"/>
    <w:rsid w:val="00D34919"/>
    <w:rsid w:val="00D3492E"/>
    <w:rsid w:val="00D34938"/>
    <w:rsid w:val="00D34981"/>
    <w:rsid w:val="00D349E2"/>
    <w:rsid w:val="00D349F6"/>
    <w:rsid w:val="00D34A16"/>
    <w:rsid w:val="00D34A48"/>
    <w:rsid w:val="00D34A4F"/>
    <w:rsid w:val="00D34A55"/>
    <w:rsid w:val="00D34AB4"/>
    <w:rsid w:val="00D34ADF"/>
    <w:rsid w:val="00D34B28"/>
    <w:rsid w:val="00D34B2D"/>
    <w:rsid w:val="00D34B2F"/>
    <w:rsid w:val="00D34BB3"/>
    <w:rsid w:val="00D34BD5"/>
    <w:rsid w:val="00D34C01"/>
    <w:rsid w:val="00D34C11"/>
    <w:rsid w:val="00D34C8A"/>
    <w:rsid w:val="00D34CAE"/>
    <w:rsid w:val="00D34CC0"/>
    <w:rsid w:val="00D34CEC"/>
    <w:rsid w:val="00D34D28"/>
    <w:rsid w:val="00D34DB6"/>
    <w:rsid w:val="00D34E51"/>
    <w:rsid w:val="00D34E7B"/>
    <w:rsid w:val="00D34EF6"/>
    <w:rsid w:val="00D34F0E"/>
    <w:rsid w:val="00D34F34"/>
    <w:rsid w:val="00D34FA7"/>
    <w:rsid w:val="00D34FAE"/>
    <w:rsid w:val="00D34FD8"/>
    <w:rsid w:val="00D35057"/>
    <w:rsid w:val="00D350D8"/>
    <w:rsid w:val="00D3511A"/>
    <w:rsid w:val="00D35152"/>
    <w:rsid w:val="00D35172"/>
    <w:rsid w:val="00D35184"/>
    <w:rsid w:val="00D35251"/>
    <w:rsid w:val="00D35271"/>
    <w:rsid w:val="00D35380"/>
    <w:rsid w:val="00D353B8"/>
    <w:rsid w:val="00D35457"/>
    <w:rsid w:val="00D35465"/>
    <w:rsid w:val="00D35478"/>
    <w:rsid w:val="00D3553A"/>
    <w:rsid w:val="00D3556A"/>
    <w:rsid w:val="00D355A0"/>
    <w:rsid w:val="00D355C4"/>
    <w:rsid w:val="00D355CB"/>
    <w:rsid w:val="00D3562C"/>
    <w:rsid w:val="00D3562D"/>
    <w:rsid w:val="00D3562F"/>
    <w:rsid w:val="00D35632"/>
    <w:rsid w:val="00D35658"/>
    <w:rsid w:val="00D35676"/>
    <w:rsid w:val="00D35697"/>
    <w:rsid w:val="00D356B7"/>
    <w:rsid w:val="00D35701"/>
    <w:rsid w:val="00D35723"/>
    <w:rsid w:val="00D35788"/>
    <w:rsid w:val="00D3584A"/>
    <w:rsid w:val="00D35851"/>
    <w:rsid w:val="00D3585C"/>
    <w:rsid w:val="00D35879"/>
    <w:rsid w:val="00D3588F"/>
    <w:rsid w:val="00D358FA"/>
    <w:rsid w:val="00D3598E"/>
    <w:rsid w:val="00D359DE"/>
    <w:rsid w:val="00D35A05"/>
    <w:rsid w:val="00D35A1A"/>
    <w:rsid w:val="00D35A35"/>
    <w:rsid w:val="00D35A37"/>
    <w:rsid w:val="00D35A8D"/>
    <w:rsid w:val="00D35B2A"/>
    <w:rsid w:val="00D35B32"/>
    <w:rsid w:val="00D35B67"/>
    <w:rsid w:val="00D35B79"/>
    <w:rsid w:val="00D35B7B"/>
    <w:rsid w:val="00D35BC0"/>
    <w:rsid w:val="00D35BD0"/>
    <w:rsid w:val="00D35C4A"/>
    <w:rsid w:val="00D35CC1"/>
    <w:rsid w:val="00D35CC5"/>
    <w:rsid w:val="00D35CE8"/>
    <w:rsid w:val="00D35CEF"/>
    <w:rsid w:val="00D35D1F"/>
    <w:rsid w:val="00D35D7E"/>
    <w:rsid w:val="00D35D80"/>
    <w:rsid w:val="00D35DB8"/>
    <w:rsid w:val="00D35DCC"/>
    <w:rsid w:val="00D35DCF"/>
    <w:rsid w:val="00D35DE0"/>
    <w:rsid w:val="00D35DF8"/>
    <w:rsid w:val="00D35E1C"/>
    <w:rsid w:val="00D35E20"/>
    <w:rsid w:val="00D35E54"/>
    <w:rsid w:val="00D35E65"/>
    <w:rsid w:val="00D35E92"/>
    <w:rsid w:val="00D35ED4"/>
    <w:rsid w:val="00D35EDF"/>
    <w:rsid w:val="00D35F05"/>
    <w:rsid w:val="00D35F0C"/>
    <w:rsid w:val="00D35F13"/>
    <w:rsid w:val="00D35F57"/>
    <w:rsid w:val="00D35F58"/>
    <w:rsid w:val="00D35F7D"/>
    <w:rsid w:val="00D35F8D"/>
    <w:rsid w:val="00D35FB3"/>
    <w:rsid w:val="00D35FE7"/>
    <w:rsid w:val="00D3606B"/>
    <w:rsid w:val="00D360B2"/>
    <w:rsid w:val="00D3619E"/>
    <w:rsid w:val="00D361DA"/>
    <w:rsid w:val="00D3621C"/>
    <w:rsid w:val="00D36279"/>
    <w:rsid w:val="00D362B9"/>
    <w:rsid w:val="00D362E4"/>
    <w:rsid w:val="00D362E5"/>
    <w:rsid w:val="00D3636C"/>
    <w:rsid w:val="00D36382"/>
    <w:rsid w:val="00D363ED"/>
    <w:rsid w:val="00D36439"/>
    <w:rsid w:val="00D36467"/>
    <w:rsid w:val="00D36495"/>
    <w:rsid w:val="00D364D5"/>
    <w:rsid w:val="00D364EA"/>
    <w:rsid w:val="00D36549"/>
    <w:rsid w:val="00D36567"/>
    <w:rsid w:val="00D365D8"/>
    <w:rsid w:val="00D36603"/>
    <w:rsid w:val="00D3661B"/>
    <w:rsid w:val="00D366C9"/>
    <w:rsid w:val="00D3672B"/>
    <w:rsid w:val="00D36835"/>
    <w:rsid w:val="00D36873"/>
    <w:rsid w:val="00D3687F"/>
    <w:rsid w:val="00D36893"/>
    <w:rsid w:val="00D36998"/>
    <w:rsid w:val="00D369B2"/>
    <w:rsid w:val="00D369C6"/>
    <w:rsid w:val="00D369E3"/>
    <w:rsid w:val="00D36A25"/>
    <w:rsid w:val="00D36A54"/>
    <w:rsid w:val="00D36ADC"/>
    <w:rsid w:val="00D36AF0"/>
    <w:rsid w:val="00D36B1C"/>
    <w:rsid w:val="00D36BA0"/>
    <w:rsid w:val="00D36BBB"/>
    <w:rsid w:val="00D36BEA"/>
    <w:rsid w:val="00D36CE2"/>
    <w:rsid w:val="00D36CFD"/>
    <w:rsid w:val="00D36D01"/>
    <w:rsid w:val="00D36D1B"/>
    <w:rsid w:val="00D36E4C"/>
    <w:rsid w:val="00D36E5F"/>
    <w:rsid w:val="00D36ED9"/>
    <w:rsid w:val="00D36EF8"/>
    <w:rsid w:val="00D36F00"/>
    <w:rsid w:val="00D370B7"/>
    <w:rsid w:val="00D37155"/>
    <w:rsid w:val="00D37176"/>
    <w:rsid w:val="00D3718D"/>
    <w:rsid w:val="00D371AB"/>
    <w:rsid w:val="00D37273"/>
    <w:rsid w:val="00D37310"/>
    <w:rsid w:val="00D37352"/>
    <w:rsid w:val="00D373B8"/>
    <w:rsid w:val="00D373BB"/>
    <w:rsid w:val="00D373BC"/>
    <w:rsid w:val="00D373CC"/>
    <w:rsid w:val="00D37475"/>
    <w:rsid w:val="00D374B0"/>
    <w:rsid w:val="00D374FA"/>
    <w:rsid w:val="00D3756B"/>
    <w:rsid w:val="00D3759F"/>
    <w:rsid w:val="00D375D0"/>
    <w:rsid w:val="00D375F0"/>
    <w:rsid w:val="00D3766F"/>
    <w:rsid w:val="00D3777A"/>
    <w:rsid w:val="00D37793"/>
    <w:rsid w:val="00D377A0"/>
    <w:rsid w:val="00D377B5"/>
    <w:rsid w:val="00D377D3"/>
    <w:rsid w:val="00D377E4"/>
    <w:rsid w:val="00D3780A"/>
    <w:rsid w:val="00D37812"/>
    <w:rsid w:val="00D37826"/>
    <w:rsid w:val="00D37861"/>
    <w:rsid w:val="00D37898"/>
    <w:rsid w:val="00D378BE"/>
    <w:rsid w:val="00D378C7"/>
    <w:rsid w:val="00D37979"/>
    <w:rsid w:val="00D379B4"/>
    <w:rsid w:val="00D37A1F"/>
    <w:rsid w:val="00D37A6C"/>
    <w:rsid w:val="00D37A79"/>
    <w:rsid w:val="00D37A97"/>
    <w:rsid w:val="00D37AC7"/>
    <w:rsid w:val="00D37B59"/>
    <w:rsid w:val="00D37B7C"/>
    <w:rsid w:val="00D37B85"/>
    <w:rsid w:val="00D37BAB"/>
    <w:rsid w:val="00D37C4D"/>
    <w:rsid w:val="00D37C50"/>
    <w:rsid w:val="00D37D4E"/>
    <w:rsid w:val="00D37D77"/>
    <w:rsid w:val="00D37D8E"/>
    <w:rsid w:val="00D37E1B"/>
    <w:rsid w:val="00D37E1E"/>
    <w:rsid w:val="00D37E81"/>
    <w:rsid w:val="00D37E95"/>
    <w:rsid w:val="00D37E9A"/>
    <w:rsid w:val="00D37E9F"/>
    <w:rsid w:val="00D37EB3"/>
    <w:rsid w:val="00D37EBF"/>
    <w:rsid w:val="00D37EDD"/>
    <w:rsid w:val="00D37F43"/>
    <w:rsid w:val="00D37F4D"/>
    <w:rsid w:val="00D37F72"/>
    <w:rsid w:val="00D37F7D"/>
    <w:rsid w:val="00D37F9A"/>
    <w:rsid w:val="00D37FA7"/>
    <w:rsid w:val="00D40069"/>
    <w:rsid w:val="00D40085"/>
    <w:rsid w:val="00D400B3"/>
    <w:rsid w:val="00D400E3"/>
    <w:rsid w:val="00D4016B"/>
    <w:rsid w:val="00D401B7"/>
    <w:rsid w:val="00D401C3"/>
    <w:rsid w:val="00D40217"/>
    <w:rsid w:val="00D40263"/>
    <w:rsid w:val="00D402B4"/>
    <w:rsid w:val="00D402B5"/>
    <w:rsid w:val="00D402CD"/>
    <w:rsid w:val="00D402E8"/>
    <w:rsid w:val="00D402E9"/>
    <w:rsid w:val="00D402F1"/>
    <w:rsid w:val="00D40309"/>
    <w:rsid w:val="00D4033C"/>
    <w:rsid w:val="00D40355"/>
    <w:rsid w:val="00D40377"/>
    <w:rsid w:val="00D40388"/>
    <w:rsid w:val="00D403CA"/>
    <w:rsid w:val="00D40404"/>
    <w:rsid w:val="00D40409"/>
    <w:rsid w:val="00D40414"/>
    <w:rsid w:val="00D40419"/>
    <w:rsid w:val="00D4047F"/>
    <w:rsid w:val="00D40481"/>
    <w:rsid w:val="00D40523"/>
    <w:rsid w:val="00D40528"/>
    <w:rsid w:val="00D4052B"/>
    <w:rsid w:val="00D40537"/>
    <w:rsid w:val="00D4057E"/>
    <w:rsid w:val="00D40582"/>
    <w:rsid w:val="00D405C4"/>
    <w:rsid w:val="00D40629"/>
    <w:rsid w:val="00D4062C"/>
    <w:rsid w:val="00D40657"/>
    <w:rsid w:val="00D40674"/>
    <w:rsid w:val="00D40675"/>
    <w:rsid w:val="00D40705"/>
    <w:rsid w:val="00D4078B"/>
    <w:rsid w:val="00D407C6"/>
    <w:rsid w:val="00D407CA"/>
    <w:rsid w:val="00D407D0"/>
    <w:rsid w:val="00D40810"/>
    <w:rsid w:val="00D40825"/>
    <w:rsid w:val="00D4084B"/>
    <w:rsid w:val="00D40897"/>
    <w:rsid w:val="00D4090C"/>
    <w:rsid w:val="00D4090E"/>
    <w:rsid w:val="00D40A3C"/>
    <w:rsid w:val="00D40AFB"/>
    <w:rsid w:val="00D40AFC"/>
    <w:rsid w:val="00D40B1E"/>
    <w:rsid w:val="00D40B26"/>
    <w:rsid w:val="00D40BEC"/>
    <w:rsid w:val="00D40C27"/>
    <w:rsid w:val="00D40C90"/>
    <w:rsid w:val="00D40C98"/>
    <w:rsid w:val="00D40D0A"/>
    <w:rsid w:val="00D40D23"/>
    <w:rsid w:val="00D40D2A"/>
    <w:rsid w:val="00D40D42"/>
    <w:rsid w:val="00D40D49"/>
    <w:rsid w:val="00D40D62"/>
    <w:rsid w:val="00D40D87"/>
    <w:rsid w:val="00D40E0C"/>
    <w:rsid w:val="00D40E46"/>
    <w:rsid w:val="00D40E83"/>
    <w:rsid w:val="00D40EF4"/>
    <w:rsid w:val="00D40F50"/>
    <w:rsid w:val="00D41026"/>
    <w:rsid w:val="00D4103A"/>
    <w:rsid w:val="00D41054"/>
    <w:rsid w:val="00D410B3"/>
    <w:rsid w:val="00D410E9"/>
    <w:rsid w:val="00D41128"/>
    <w:rsid w:val="00D41130"/>
    <w:rsid w:val="00D41139"/>
    <w:rsid w:val="00D411FA"/>
    <w:rsid w:val="00D41243"/>
    <w:rsid w:val="00D412C2"/>
    <w:rsid w:val="00D412C3"/>
    <w:rsid w:val="00D41311"/>
    <w:rsid w:val="00D4131F"/>
    <w:rsid w:val="00D41340"/>
    <w:rsid w:val="00D4137D"/>
    <w:rsid w:val="00D413E7"/>
    <w:rsid w:val="00D413F8"/>
    <w:rsid w:val="00D41436"/>
    <w:rsid w:val="00D41456"/>
    <w:rsid w:val="00D41499"/>
    <w:rsid w:val="00D41673"/>
    <w:rsid w:val="00D416D5"/>
    <w:rsid w:val="00D416E5"/>
    <w:rsid w:val="00D4171E"/>
    <w:rsid w:val="00D41838"/>
    <w:rsid w:val="00D4184C"/>
    <w:rsid w:val="00D4186C"/>
    <w:rsid w:val="00D41897"/>
    <w:rsid w:val="00D418AA"/>
    <w:rsid w:val="00D418AF"/>
    <w:rsid w:val="00D418B4"/>
    <w:rsid w:val="00D41904"/>
    <w:rsid w:val="00D41912"/>
    <w:rsid w:val="00D41931"/>
    <w:rsid w:val="00D4193D"/>
    <w:rsid w:val="00D4194D"/>
    <w:rsid w:val="00D41950"/>
    <w:rsid w:val="00D41A0B"/>
    <w:rsid w:val="00D41A10"/>
    <w:rsid w:val="00D41AE5"/>
    <w:rsid w:val="00D41B2F"/>
    <w:rsid w:val="00D41B3B"/>
    <w:rsid w:val="00D41B3C"/>
    <w:rsid w:val="00D41B3E"/>
    <w:rsid w:val="00D41B9A"/>
    <w:rsid w:val="00D41C35"/>
    <w:rsid w:val="00D41CB0"/>
    <w:rsid w:val="00D41CCB"/>
    <w:rsid w:val="00D41D2F"/>
    <w:rsid w:val="00D41D70"/>
    <w:rsid w:val="00D41D8C"/>
    <w:rsid w:val="00D41DAD"/>
    <w:rsid w:val="00D41DBD"/>
    <w:rsid w:val="00D41E6A"/>
    <w:rsid w:val="00D41E76"/>
    <w:rsid w:val="00D41F23"/>
    <w:rsid w:val="00D41F2F"/>
    <w:rsid w:val="00D41F4A"/>
    <w:rsid w:val="00D41FC7"/>
    <w:rsid w:val="00D4202B"/>
    <w:rsid w:val="00D42037"/>
    <w:rsid w:val="00D4204C"/>
    <w:rsid w:val="00D420B0"/>
    <w:rsid w:val="00D420DF"/>
    <w:rsid w:val="00D4216B"/>
    <w:rsid w:val="00D42235"/>
    <w:rsid w:val="00D4233F"/>
    <w:rsid w:val="00D42390"/>
    <w:rsid w:val="00D42490"/>
    <w:rsid w:val="00D42495"/>
    <w:rsid w:val="00D424A0"/>
    <w:rsid w:val="00D424E2"/>
    <w:rsid w:val="00D424FA"/>
    <w:rsid w:val="00D42503"/>
    <w:rsid w:val="00D42530"/>
    <w:rsid w:val="00D4255B"/>
    <w:rsid w:val="00D4260C"/>
    <w:rsid w:val="00D4268E"/>
    <w:rsid w:val="00D426A9"/>
    <w:rsid w:val="00D426ED"/>
    <w:rsid w:val="00D4272A"/>
    <w:rsid w:val="00D4273A"/>
    <w:rsid w:val="00D42758"/>
    <w:rsid w:val="00D427DB"/>
    <w:rsid w:val="00D427DF"/>
    <w:rsid w:val="00D42801"/>
    <w:rsid w:val="00D42871"/>
    <w:rsid w:val="00D428A2"/>
    <w:rsid w:val="00D428C4"/>
    <w:rsid w:val="00D428E3"/>
    <w:rsid w:val="00D428FE"/>
    <w:rsid w:val="00D4292E"/>
    <w:rsid w:val="00D42A78"/>
    <w:rsid w:val="00D42AAB"/>
    <w:rsid w:val="00D42ACD"/>
    <w:rsid w:val="00D42AD3"/>
    <w:rsid w:val="00D42B6E"/>
    <w:rsid w:val="00D42B70"/>
    <w:rsid w:val="00D42BB8"/>
    <w:rsid w:val="00D42C2A"/>
    <w:rsid w:val="00D42C36"/>
    <w:rsid w:val="00D42C3C"/>
    <w:rsid w:val="00D42C51"/>
    <w:rsid w:val="00D42C62"/>
    <w:rsid w:val="00D42D38"/>
    <w:rsid w:val="00D42D6B"/>
    <w:rsid w:val="00D42DAA"/>
    <w:rsid w:val="00D42DB4"/>
    <w:rsid w:val="00D42E01"/>
    <w:rsid w:val="00D42E0B"/>
    <w:rsid w:val="00D42E8E"/>
    <w:rsid w:val="00D42E97"/>
    <w:rsid w:val="00D42EF3"/>
    <w:rsid w:val="00D42F73"/>
    <w:rsid w:val="00D42F8E"/>
    <w:rsid w:val="00D42FAF"/>
    <w:rsid w:val="00D4302A"/>
    <w:rsid w:val="00D43068"/>
    <w:rsid w:val="00D4307A"/>
    <w:rsid w:val="00D4308D"/>
    <w:rsid w:val="00D430B5"/>
    <w:rsid w:val="00D43146"/>
    <w:rsid w:val="00D431D6"/>
    <w:rsid w:val="00D43207"/>
    <w:rsid w:val="00D4321B"/>
    <w:rsid w:val="00D4321C"/>
    <w:rsid w:val="00D4322C"/>
    <w:rsid w:val="00D43288"/>
    <w:rsid w:val="00D432AC"/>
    <w:rsid w:val="00D432E0"/>
    <w:rsid w:val="00D4332E"/>
    <w:rsid w:val="00D4339A"/>
    <w:rsid w:val="00D433BE"/>
    <w:rsid w:val="00D433C1"/>
    <w:rsid w:val="00D433C3"/>
    <w:rsid w:val="00D43472"/>
    <w:rsid w:val="00D4347E"/>
    <w:rsid w:val="00D434AB"/>
    <w:rsid w:val="00D43594"/>
    <w:rsid w:val="00D435CF"/>
    <w:rsid w:val="00D435D9"/>
    <w:rsid w:val="00D435E5"/>
    <w:rsid w:val="00D43626"/>
    <w:rsid w:val="00D4367E"/>
    <w:rsid w:val="00D436CB"/>
    <w:rsid w:val="00D436D3"/>
    <w:rsid w:val="00D43709"/>
    <w:rsid w:val="00D43711"/>
    <w:rsid w:val="00D43713"/>
    <w:rsid w:val="00D43788"/>
    <w:rsid w:val="00D4386F"/>
    <w:rsid w:val="00D43904"/>
    <w:rsid w:val="00D43945"/>
    <w:rsid w:val="00D43950"/>
    <w:rsid w:val="00D43984"/>
    <w:rsid w:val="00D439AF"/>
    <w:rsid w:val="00D439C4"/>
    <w:rsid w:val="00D43A4E"/>
    <w:rsid w:val="00D43A5E"/>
    <w:rsid w:val="00D43A5F"/>
    <w:rsid w:val="00D43A67"/>
    <w:rsid w:val="00D43A71"/>
    <w:rsid w:val="00D43A81"/>
    <w:rsid w:val="00D43B8E"/>
    <w:rsid w:val="00D43C00"/>
    <w:rsid w:val="00D43C51"/>
    <w:rsid w:val="00D43CCE"/>
    <w:rsid w:val="00D43D1B"/>
    <w:rsid w:val="00D43D46"/>
    <w:rsid w:val="00D43DC4"/>
    <w:rsid w:val="00D43DEB"/>
    <w:rsid w:val="00D43E64"/>
    <w:rsid w:val="00D43E85"/>
    <w:rsid w:val="00D43E91"/>
    <w:rsid w:val="00D43EB4"/>
    <w:rsid w:val="00D43EBB"/>
    <w:rsid w:val="00D43EF0"/>
    <w:rsid w:val="00D43F61"/>
    <w:rsid w:val="00D43FB4"/>
    <w:rsid w:val="00D43FEF"/>
    <w:rsid w:val="00D4400E"/>
    <w:rsid w:val="00D4405B"/>
    <w:rsid w:val="00D44074"/>
    <w:rsid w:val="00D44105"/>
    <w:rsid w:val="00D44139"/>
    <w:rsid w:val="00D44198"/>
    <w:rsid w:val="00D441EB"/>
    <w:rsid w:val="00D44212"/>
    <w:rsid w:val="00D44223"/>
    <w:rsid w:val="00D44252"/>
    <w:rsid w:val="00D4428C"/>
    <w:rsid w:val="00D443AA"/>
    <w:rsid w:val="00D443AE"/>
    <w:rsid w:val="00D443D0"/>
    <w:rsid w:val="00D4447D"/>
    <w:rsid w:val="00D44496"/>
    <w:rsid w:val="00D444AC"/>
    <w:rsid w:val="00D4452F"/>
    <w:rsid w:val="00D44595"/>
    <w:rsid w:val="00D44596"/>
    <w:rsid w:val="00D445EE"/>
    <w:rsid w:val="00D44665"/>
    <w:rsid w:val="00D44673"/>
    <w:rsid w:val="00D44690"/>
    <w:rsid w:val="00D446B1"/>
    <w:rsid w:val="00D4470A"/>
    <w:rsid w:val="00D4473B"/>
    <w:rsid w:val="00D4473C"/>
    <w:rsid w:val="00D4474A"/>
    <w:rsid w:val="00D44755"/>
    <w:rsid w:val="00D447D4"/>
    <w:rsid w:val="00D44830"/>
    <w:rsid w:val="00D44838"/>
    <w:rsid w:val="00D4489C"/>
    <w:rsid w:val="00D448E5"/>
    <w:rsid w:val="00D448EC"/>
    <w:rsid w:val="00D44936"/>
    <w:rsid w:val="00D4498D"/>
    <w:rsid w:val="00D44998"/>
    <w:rsid w:val="00D44A00"/>
    <w:rsid w:val="00D44A0C"/>
    <w:rsid w:val="00D44A61"/>
    <w:rsid w:val="00D44A8B"/>
    <w:rsid w:val="00D44ACA"/>
    <w:rsid w:val="00D44B87"/>
    <w:rsid w:val="00D44BDE"/>
    <w:rsid w:val="00D44BE1"/>
    <w:rsid w:val="00D44C27"/>
    <w:rsid w:val="00D44C2B"/>
    <w:rsid w:val="00D44C4F"/>
    <w:rsid w:val="00D44CCC"/>
    <w:rsid w:val="00D44D38"/>
    <w:rsid w:val="00D44DA6"/>
    <w:rsid w:val="00D44DC4"/>
    <w:rsid w:val="00D44E27"/>
    <w:rsid w:val="00D44E74"/>
    <w:rsid w:val="00D44EFA"/>
    <w:rsid w:val="00D44F5D"/>
    <w:rsid w:val="00D44F92"/>
    <w:rsid w:val="00D44FEC"/>
    <w:rsid w:val="00D44FFC"/>
    <w:rsid w:val="00D45006"/>
    <w:rsid w:val="00D4501D"/>
    <w:rsid w:val="00D4501F"/>
    <w:rsid w:val="00D45077"/>
    <w:rsid w:val="00D450D0"/>
    <w:rsid w:val="00D4512C"/>
    <w:rsid w:val="00D4515C"/>
    <w:rsid w:val="00D45160"/>
    <w:rsid w:val="00D4516F"/>
    <w:rsid w:val="00D45191"/>
    <w:rsid w:val="00D4519E"/>
    <w:rsid w:val="00D451A5"/>
    <w:rsid w:val="00D451BB"/>
    <w:rsid w:val="00D451CA"/>
    <w:rsid w:val="00D451F9"/>
    <w:rsid w:val="00D45325"/>
    <w:rsid w:val="00D45329"/>
    <w:rsid w:val="00D45374"/>
    <w:rsid w:val="00D4538D"/>
    <w:rsid w:val="00D453A0"/>
    <w:rsid w:val="00D453A1"/>
    <w:rsid w:val="00D453B4"/>
    <w:rsid w:val="00D4548C"/>
    <w:rsid w:val="00D454C4"/>
    <w:rsid w:val="00D454E3"/>
    <w:rsid w:val="00D454EF"/>
    <w:rsid w:val="00D454FE"/>
    <w:rsid w:val="00D455B0"/>
    <w:rsid w:val="00D45652"/>
    <w:rsid w:val="00D4568A"/>
    <w:rsid w:val="00D45699"/>
    <w:rsid w:val="00D456D6"/>
    <w:rsid w:val="00D456EA"/>
    <w:rsid w:val="00D4571A"/>
    <w:rsid w:val="00D4572E"/>
    <w:rsid w:val="00D45739"/>
    <w:rsid w:val="00D45780"/>
    <w:rsid w:val="00D45793"/>
    <w:rsid w:val="00D457A7"/>
    <w:rsid w:val="00D4586D"/>
    <w:rsid w:val="00D458D4"/>
    <w:rsid w:val="00D458FE"/>
    <w:rsid w:val="00D45910"/>
    <w:rsid w:val="00D45938"/>
    <w:rsid w:val="00D459B5"/>
    <w:rsid w:val="00D459BD"/>
    <w:rsid w:val="00D459E3"/>
    <w:rsid w:val="00D459F3"/>
    <w:rsid w:val="00D45A16"/>
    <w:rsid w:val="00D45A38"/>
    <w:rsid w:val="00D45A47"/>
    <w:rsid w:val="00D45A9C"/>
    <w:rsid w:val="00D45AF8"/>
    <w:rsid w:val="00D45B09"/>
    <w:rsid w:val="00D45BBE"/>
    <w:rsid w:val="00D45BDF"/>
    <w:rsid w:val="00D45BFE"/>
    <w:rsid w:val="00D45C26"/>
    <w:rsid w:val="00D45D00"/>
    <w:rsid w:val="00D45D06"/>
    <w:rsid w:val="00D45D22"/>
    <w:rsid w:val="00D45D28"/>
    <w:rsid w:val="00D45D81"/>
    <w:rsid w:val="00D45D8B"/>
    <w:rsid w:val="00D45DD2"/>
    <w:rsid w:val="00D45E31"/>
    <w:rsid w:val="00D45EA9"/>
    <w:rsid w:val="00D45F0F"/>
    <w:rsid w:val="00D45F10"/>
    <w:rsid w:val="00D45F2F"/>
    <w:rsid w:val="00D45FA7"/>
    <w:rsid w:val="00D4607D"/>
    <w:rsid w:val="00D46080"/>
    <w:rsid w:val="00D460B2"/>
    <w:rsid w:val="00D46112"/>
    <w:rsid w:val="00D46180"/>
    <w:rsid w:val="00D461BB"/>
    <w:rsid w:val="00D4621C"/>
    <w:rsid w:val="00D46258"/>
    <w:rsid w:val="00D46264"/>
    <w:rsid w:val="00D462EE"/>
    <w:rsid w:val="00D46351"/>
    <w:rsid w:val="00D46486"/>
    <w:rsid w:val="00D464AB"/>
    <w:rsid w:val="00D4659F"/>
    <w:rsid w:val="00D465A2"/>
    <w:rsid w:val="00D465A7"/>
    <w:rsid w:val="00D465A8"/>
    <w:rsid w:val="00D46691"/>
    <w:rsid w:val="00D46752"/>
    <w:rsid w:val="00D46755"/>
    <w:rsid w:val="00D4680C"/>
    <w:rsid w:val="00D46834"/>
    <w:rsid w:val="00D46858"/>
    <w:rsid w:val="00D46927"/>
    <w:rsid w:val="00D4696F"/>
    <w:rsid w:val="00D46985"/>
    <w:rsid w:val="00D469A5"/>
    <w:rsid w:val="00D469D7"/>
    <w:rsid w:val="00D469E0"/>
    <w:rsid w:val="00D469F6"/>
    <w:rsid w:val="00D46A40"/>
    <w:rsid w:val="00D46A4A"/>
    <w:rsid w:val="00D46A69"/>
    <w:rsid w:val="00D46A76"/>
    <w:rsid w:val="00D46AD9"/>
    <w:rsid w:val="00D46B18"/>
    <w:rsid w:val="00D46B97"/>
    <w:rsid w:val="00D46BAD"/>
    <w:rsid w:val="00D46BDA"/>
    <w:rsid w:val="00D46C1F"/>
    <w:rsid w:val="00D46C4A"/>
    <w:rsid w:val="00D46C7C"/>
    <w:rsid w:val="00D46CEC"/>
    <w:rsid w:val="00D46CF2"/>
    <w:rsid w:val="00D46D5A"/>
    <w:rsid w:val="00D46DB1"/>
    <w:rsid w:val="00D46DD9"/>
    <w:rsid w:val="00D46DF1"/>
    <w:rsid w:val="00D46E0A"/>
    <w:rsid w:val="00D46E52"/>
    <w:rsid w:val="00D46E77"/>
    <w:rsid w:val="00D46E7B"/>
    <w:rsid w:val="00D46EA1"/>
    <w:rsid w:val="00D46EC0"/>
    <w:rsid w:val="00D46F0E"/>
    <w:rsid w:val="00D46F3A"/>
    <w:rsid w:val="00D46F73"/>
    <w:rsid w:val="00D46FA4"/>
    <w:rsid w:val="00D47010"/>
    <w:rsid w:val="00D47013"/>
    <w:rsid w:val="00D47047"/>
    <w:rsid w:val="00D47070"/>
    <w:rsid w:val="00D47082"/>
    <w:rsid w:val="00D470BF"/>
    <w:rsid w:val="00D470ED"/>
    <w:rsid w:val="00D4712B"/>
    <w:rsid w:val="00D47130"/>
    <w:rsid w:val="00D4714A"/>
    <w:rsid w:val="00D471D5"/>
    <w:rsid w:val="00D47236"/>
    <w:rsid w:val="00D4725C"/>
    <w:rsid w:val="00D4726A"/>
    <w:rsid w:val="00D472D4"/>
    <w:rsid w:val="00D473F6"/>
    <w:rsid w:val="00D47408"/>
    <w:rsid w:val="00D4743B"/>
    <w:rsid w:val="00D47451"/>
    <w:rsid w:val="00D47458"/>
    <w:rsid w:val="00D47470"/>
    <w:rsid w:val="00D4747A"/>
    <w:rsid w:val="00D4747E"/>
    <w:rsid w:val="00D474AC"/>
    <w:rsid w:val="00D474F7"/>
    <w:rsid w:val="00D47502"/>
    <w:rsid w:val="00D47521"/>
    <w:rsid w:val="00D4755D"/>
    <w:rsid w:val="00D475D3"/>
    <w:rsid w:val="00D475D7"/>
    <w:rsid w:val="00D47636"/>
    <w:rsid w:val="00D47650"/>
    <w:rsid w:val="00D4766E"/>
    <w:rsid w:val="00D47769"/>
    <w:rsid w:val="00D47879"/>
    <w:rsid w:val="00D478B5"/>
    <w:rsid w:val="00D478E4"/>
    <w:rsid w:val="00D47942"/>
    <w:rsid w:val="00D47978"/>
    <w:rsid w:val="00D479B2"/>
    <w:rsid w:val="00D47AAE"/>
    <w:rsid w:val="00D47AC7"/>
    <w:rsid w:val="00D47AE4"/>
    <w:rsid w:val="00D47AEE"/>
    <w:rsid w:val="00D47B05"/>
    <w:rsid w:val="00D47B6B"/>
    <w:rsid w:val="00D47B6D"/>
    <w:rsid w:val="00D47B94"/>
    <w:rsid w:val="00D47C4D"/>
    <w:rsid w:val="00D47CCB"/>
    <w:rsid w:val="00D47CF9"/>
    <w:rsid w:val="00D47D1B"/>
    <w:rsid w:val="00D47D36"/>
    <w:rsid w:val="00D47D9C"/>
    <w:rsid w:val="00D47DAE"/>
    <w:rsid w:val="00D47E39"/>
    <w:rsid w:val="00D47E8E"/>
    <w:rsid w:val="00D47EA3"/>
    <w:rsid w:val="00D47EDD"/>
    <w:rsid w:val="00D47EF4"/>
    <w:rsid w:val="00D47F20"/>
    <w:rsid w:val="00D47F29"/>
    <w:rsid w:val="00D47F32"/>
    <w:rsid w:val="00D47F58"/>
    <w:rsid w:val="00D47F8A"/>
    <w:rsid w:val="00D47FA8"/>
    <w:rsid w:val="00D47FB9"/>
    <w:rsid w:val="00D47FC5"/>
    <w:rsid w:val="00D50065"/>
    <w:rsid w:val="00D5006F"/>
    <w:rsid w:val="00D5007D"/>
    <w:rsid w:val="00D5007F"/>
    <w:rsid w:val="00D50093"/>
    <w:rsid w:val="00D500F0"/>
    <w:rsid w:val="00D500F6"/>
    <w:rsid w:val="00D5010A"/>
    <w:rsid w:val="00D50111"/>
    <w:rsid w:val="00D50123"/>
    <w:rsid w:val="00D50147"/>
    <w:rsid w:val="00D50152"/>
    <w:rsid w:val="00D50178"/>
    <w:rsid w:val="00D501D9"/>
    <w:rsid w:val="00D501E4"/>
    <w:rsid w:val="00D50255"/>
    <w:rsid w:val="00D5028F"/>
    <w:rsid w:val="00D50304"/>
    <w:rsid w:val="00D503B4"/>
    <w:rsid w:val="00D503BA"/>
    <w:rsid w:val="00D503DD"/>
    <w:rsid w:val="00D50448"/>
    <w:rsid w:val="00D504A6"/>
    <w:rsid w:val="00D5051B"/>
    <w:rsid w:val="00D505D7"/>
    <w:rsid w:val="00D505ED"/>
    <w:rsid w:val="00D50644"/>
    <w:rsid w:val="00D5066F"/>
    <w:rsid w:val="00D50690"/>
    <w:rsid w:val="00D50692"/>
    <w:rsid w:val="00D50757"/>
    <w:rsid w:val="00D5076F"/>
    <w:rsid w:val="00D50778"/>
    <w:rsid w:val="00D50843"/>
    <w:rsid w:val="00D5085D"/>
    <w:rsid w:val="00D508AA"/>
    <w:rsid w:val="00D508BE"/>
    <w:rsid w:val="00D508D5"/>
    <w:rsid w:val="00D508E4"/>
    <w:rsid w:val="00D50934"/>
    <w:rsid w:val="00D50967"/>
    <w:rsid w:val="00D50999"/>
    <w:rsid w:val="00D5099B"/>
    <w:rsid w:val="00D509B7"/>
    <w:rsid w:val="00D509EA"/>
    <w:rsid w:val="00D509F0"/>
    <w:rsid w:val="00D50A52"/>
    <w:rsid w:val="00D50AC7"/>
    <w:rsid w:val="00D50AE4"/>
    <w:rsid w:val="00D50AF0"/>
    <w:rsid w:val="00D50B6C"/>
    <w:rsid w:val="00D50B8C"/>
    <w:rsid w:val="00D50BBA"/>
    <w:rsid w:val="00D50BD1"/>
    <w:rsid w:val="00D50C1D"/>
    <w:rsid w:val="00D50C20"/>
    <w:rsid w:val="00D50CB3"/>
    <w:rsid w:val="00D50CDE"/>
    <w:rsid w:val="00D50CE3"/>
    <w:rsid w:val="00D50D02"/>
    <w:rsid w:val="00D50D15"/>
    <w:rsid w:val="00D50D3E"/>
    <w:rsid w:val="00D50D4D"/>
    <w:rsid w:val="00D50D63"/>
    <w:rsid w:val="00D50D68"/>
    <w:rsid w:val="00D50D7A"/>
    <w:rsid w:val="00D50DD3"/>
    <w:rsid w:val="00D50E39"/>
    <w:rsid w:val="00D50E69"/>
    <w:rsid w:val="00D50F08"/>
    <w:rsid w:val="00D50F22"/>
    <w:rsid w:val="00D50F72"/>
    <w:rsid w:val="00D50FEC"/>
    <w:rsid w:val="00D51065"/>
    <w:rsid w:val="00D510E4"/>
    <w:rsid w:val="00D51113"/>
    <w:rsid w:val="00D511AF"/>
    <w:rsid w:val="00D5122B"/>
    <w:rsid w:val="00D51309"/>
    <w:rsid w:val="00D51350"/>
    <w:rsid w:val="00D51364"/>
    <w:rsid w:val="00D51411"/>
    <w:rsid w:val="00D5145B"/>
    <w:rsid w:val="00D51460"/>
    <w:rsid w:val="00D514A0"/>
    <w:rsid w:val="00D514B5"/>
    <w:rsid w:val="00D5151C"/>
    <w:rsid w:val="00D51574"/>
    <w:rsid w:val="00D515A2"/>
    <w:rsid w:val="00D515DE"/>
    <w:rsid w:val="00D515E6"/>
    <w:rsid w:val="00D5163C"/>
    <w:rsid w:val="00D51652"/>
    <w:rsid w:val="00D51681"/>
    <w:rsid w:val="00D516BE"/>
    <w:rsid w:val="00D5170D"/>
    <w:rsid w:val="00D51712"/>
    <w:rsid w:val="00D51721"/>
    <w:rsid w:val="00D5174A"/>
    <w:rsid w:val="00D51778"/>
    <w:rsid w:val="00D517C1"/>
    <w:rsid w:val="00D517D9"/>
    <w:rsid w:val="00D5189B"/>
    <w:rsid w:val="00D518A4"/>
    <w:rsid w:val="00D518B5"/>
    <w:rsid w:val="00D518CD"/>
    <w:rsid w:val="00D518E3"/>
    <w:rsid w:val="00D518E8"/>
    <w:rsid w:val="00D51907"/>
    <w:rsid w:val="00D51931"/>
    <w:rsid w:val="00D51957"/>
    <w:rsid w:val="00D51A1B"/>
    <w:rsid w:val="00D51A34"/>
    <w:rsid w:val="00D51A54"/>
    <w:rsid w:val="00D51A61"/>
    <w:rsid w:val="00D51AC4"/>
    <w:rsid w:val="00D51AF0"/>
    <w:rsid w:val="00D51B0D"/>
    <w:rsid w:val="00D51B7E"/>
    <w:rsid w:val="00D51B8B"/>
    <w:rsid w:val="00D51BC2"/>
    <w:rsid w:val="00D51BF1"/>
    <w:rsid w:val="00D51CA1"/>
    <w:rsid w:val="00D51CBF"/>
    <w:rsid w:val="00D51CC5"/>
    <w:rsid w:val="00D51D01"/>
    <w:rsid w:val="00D51D0B"/>
    <w:rsid w:val="00D51D36"/>
    <w:rsid w:val="00D51DA8"/>
    <w:rsid w:val="00D51DDB"/>
    <w:rsid w:val="00D51E24"/>
    <w:rsid w:val="00D51E3F"/>
    <w:rsid w:val="00D51E43"/>
    <w:rsid w:val="00D51EAB"/>
    <w:rsid w:val="00D51FFC"/>
    <w:rsid w:val="00D52000"/>
    <w:rsid w:val="00D5207F"/>
    <w:rsid w:val="00D52093"/>
    <w:rsid w:val="00D520BC"/>
    <w:rsid w:val="00D520E0"/>
    <w:rsid w:val="00D52131"/>
    <w:rsid w:val="00D521A3"/>
    <w:rsid w:val="00D521C8"/>
    <w:rsid w:val="00D521D4"/>
    <w:rsid w:val="00D521DA"/>
    <w:rsid w:val="00D5224A"/>
    <w:rsid w:val="00D523B6"/>
    <w:rsid w:val="00D523DF"/>
    <w:rsid w:val="00D523F3"/>
    <w:rsid w:val="00D52425"/>
    <w:rsid w:val="00D52441"/>
    <w:rsid w:val="00D52446"/>
    <w:rsid w:val="00D5247B"/>
    <w:rsid w:val="00D5247F"/>
    <w:rsid w:val="00D524AB"/>
    <w:rsid w:val="00D524C1"/>
    <w:rsid w:val="00D524C2"/>
    <w:rsid w:val="00D524C4"/>
    <w:rsid w:val="00D5251B"/>
    <w:rsid w:val="00D52535"/>
    <w:rsid w:val="00D525B1"/>
    <w:rsid w:val="00D5261A"/>
    <w:rsid w:val="00D52620"/>
    <w:rsid w:val="00D5269D"/>
    <w:rsid w:val="00D526F1"/>
    <w:rsid w:val="00D526FC"/>
    <w:rsid w:val="00D52703"/>
    <w:rsid w:val="00D5270D"/>
    <w:rsid w:val="00D52715"/>
    <w:rsid w:val="00D5292E"/>
    <w:rsid w:val="00D52A46"/>
    <w:rsid w:val="00D52A8C"/>
    <w:rsid w:val="00D52B67"/>
    <w:rsid w:val="00D52C30"/>
    <w:rsid w:val="00D52C4F"/>
    <w:rsid w:val="00D52C59"/>
    <w:rsid w:val="00D52C7B"/>
    <w:rsid w:val="00D52CB8"/>
    <w:rsid w:val="00D52CBA"/>
    <w:rsid w:val="00D52CF8"/>
    <w:rsid w:val="00D52D07"/>
    <w:rsid w:val="00D52D3D"/>
    <w:rsid w:val="00D52D86"/>
    <w:rsid w:val="00D52DF7"/>
    <w:rsid w:val="00D52E43"/>
    <w:rsid w:val="00D52E89"/>
    <w:rsid w:val="00D52E99"/>
    <w:rsid w:val="00D52EAC"/>
    <w:rsid w:val="00D52ED0"/>
    <w:rsid w:val="00D52F2A"/>
    <w:rsid w:val="00D52F4E"/>
    <w:rsid w:val="00D52F53"/>
    <w:rsid w:val="00D52F77"/>
    <w:rsid w:val="00D52F9D"/>
    <w:rsid w:val="00D530D5"/>
    <w:rsid w:val="00D53163"/>
    <w:rsid w:val="00D532D8"/>
    <w:rsid w:val="00D53386"/>
    <w:rsid w:val="00D5347A"/>
    <w:rsid w:val="00D53485"/>
    <w:rsid w:val="00D5348C"/>
    <w:rsid w:val="00D53545"/>
    <w:rsid w:val="00D5354F"/>
    <w:rsid w:val="00D5356E"/>
    <w:rsid w:val="00D5359B"/>
    <w:rsid w:val="00D535C2"/>
    <w:rsid w:val="00D535CA"/>
    <w:rsid w:val="00D535EC"/>
    <w:rsid w:val="00D5369F"/>
    <w:rsid w:val="00D536CA"/>
    <w:rsid w:val="00D536DC"/>
    <w:rsid w:val="00D53714"/>
    <w:rsid w:val="00D5375B"/>
    <w:rsid w:val="00D537E7"/>
    <w:rsid w:val="00D537F7"/>
    <w:rsid w:val="00D537FB"/>
    <w:rsid w:val="00D5384F"/>
    <w:rsid w:val="00D53892"/>
    <w:rsid w:val="00D538BC"/>
    <w:rsid w:val="00D53962"/>
    <w:rsid w:val="00D53967"/>
    <w:rsid w:val="00D53A51"/>
    <w:rsid w:val="00D53A62"/>
    <w:rsid w:val="00D53A7B"/>
    <w:rsid w:val="00D53B1D"/>
    <w:rsid w:val="00D53B54"/>
    <w:rsid w:val="00D53B9A"/>
    <w:rsid w:val="00D53BB8"/>
    <w:rsid w:val="00D53BD6"/>
    <w:rsid w:val="00D53C86"/>
    <w:rsid w:val="00D53CF7"/>
    <w:rsid w:val="00D53CFF"/>
    <w:rsid w:val="00D53D2C"/>
    <w:rsid w:val="00D53D7D"/>
    <w:rsid w:val="00D53D7E"/>
    <w:rsid w:val="00D53DC0"/>
    <w:rsid w:val="00D53DFF"/>
    <w:rsid w:val="00D53E1A"/>
    <w:rsid w:val="00D53E2B"/>
    <w:rsid w:val="00D53E57"/>
    <w:rsid w:val="00D53EF3"/>
    <w:rsid w:val="00D53F25"/>
    <w:rsid w:val="00D53F64"/>
    <w:rsid w:val="00D54018"/>
    <w:rsid w:val="00D5401D"/>
    <w:rsid w:val="00D54033"/>
    <w:rsid w:val="00D5403B"/>
    <w:rsid w:val="00D5404B"/>
    <w:rsid w:val="00D54065"/>
    <w:rsid w:val="00D540AD"/>
    <w:rsid w:val="00D540E1"/>
    <w:rsid w:val="00D540ED"/>
    <w:rsid w:val="00D5415F"/>
    <w:rsid w:val="00D5418F"/>
    <w:rsid w:val="00D541BC"/>
    <w:rsid w:val="00D5422A"/>
    <w:rsid w:val="00D5427D"/>
    <w:rsid w:val="00D54339"/>
    <w:rsid w:val="00D54392"/>
    <w:rsid w:val="00D543AD"/>
    <w:rsid w:val="00D5440D"/>
    <w:rsid w:val="00D54474"/>
    <w:rsid w:val="00D544B2"/>
    <w:rsid w:val="00D544B8"/>
    <w:rsid w:val="00D544F2"/>
    <w:rsid w:val="00D54542"/>
    <w:rsid w:val="00D54554"/>
    <w:rsid w:val="00D5457A"/>
    <w:rsid w:val="00D545A3"/>
    <w:rsid w:val="00D5462F"/>
    <w:rsid w:val="00D54631"/>
    <w:rsid w:val="00D5472F"/>
    <w:rsid w:val="00D54776"/>
    <w:rsid w:val="00D54794"/>
    <w:rsid w:val="00D547E1"/>
    <w:rsid w:val="00D5486A"/>
    <w:rsid w:val="00D54885"/>
    <w:rsid w:val="00D548AB"/>
    <w:rsid w:val="00D54929"/>
    <w:rsid w:val="00D54946"/>
    <w:rsid w:val="00D549B0"/>
    <w:rsid w:val="00D549DE"/>
    <w:rsid w:val="00D54AA3"/>
    <w:rsid w:val="00D54AA9"/>
    <w:rsid w:val="00D54BD5"/>
    <w:rsid w:val="00D54BD8"/>
    <w:rsid w:val="00D54BE5"/>
    <w:rsid w:val="00D54BF1"/>
    <w:rsid w:val="00D54C10"/>
    <w:rsid w:val="00D54C97"/>
    <w:rsid w:val="00D54CC3"/>
    <w:rsid w:val="00D54D1D"/>
    <w:rsid w:val="00D54DDC"/>
    <w:rsid w:val="00D54E23"/>
    <w:rsid w:val="00D54F04"/>
    <w:rsid w:val="00D54FCB"/>
    <w:rsid w:val="00D54FE4"/>
    <w:rsid w:val="00D54FF7"/>
    <w:rsid w:val="00D55019"/>
    <w:rsid w:val="00D55024"/>
    <w:rsid w:val="00D55036"/>
    <w:rsid w:val="00D550D0"/>
    <w:rsid w:val="00D55152"/>
    <w:rsid w:val="00D55184"/>
    <w:rsid w:val="00D55237"/>
    <w:rsid w:val="00D55259"/>
    <w:rsid w:val="00D55270"/>
    <w:rsid w:val="00D55272"/>
    <w:rsid w:val="00D552A3"/>
    <w:rsid w:val="00D552A5"/>
    <w:rsid w:val="00D552FC"/>
    <w:rsid w:val="00D5530A"/>
    <w:rsid w:val="00D55353"/>
    <w:rsid w:val="00D5535A"/>
    <w:rsid w:val="00D553D3"/>
    <w:rsid w:val="00D553E2"/>
    <w:rsid w:val="00D553ED"/>
    <w:rsid w:val="00D5544E"/>
    <w:rsid w:val="00D55475"/>
    <w:rsid w:val="00D55477"/>
    <w:rsid w:val="00D55498"/>
    <w:rsid w:val="00D554BA"/>
    <w:rsid w:val="00D554F8"/>
    <w:rsid w:val="00D5552E"/>
    <w:rsid w:val="00D555BF"/>
    <w:rsid w:val="00D555FE"/>
    <w:rsid w:val="00D5560D"/>
    <w:rsid w:val="00D55693"/>
    <w:rsid w:val="00D556B8"/>
    <w:rsid w:val="00D556BD"/>
    <w:rsid w:val="00D557CB"/>
    <w:rsid w:val="00D55854"/>
    <w:rsid w:val="00D55888"/>
    <w:rsid w:val="00D558CF"/>
    <w:rsid w:val="00D558D7"/>
    <w:rsid w:val="00D558E3"/>
    <w:rsid w:val="00D5591B"/>
    <w:rsid w:val="00D559B3"/>
    <w:rsid w:val="00D559CB"/>
    <w:rsid w:val="00D55A60"/>
    <w:rsid w:val="00D55AB1"/>
    <w:rsid w:val="00D55B21"/>
    <w:rsid w:val="00D55B2D"/>
    <w:rsid w:val="00D55B43"/>
    <w:rsid w:val="00D55B5E"/>
    <w:rsid w:val="00D55B92"/>
    <w:rsid w:val="00D55C3E"/>
    <w:rsid w:val="00D55CD7"/>
    <w:rsid w:val="00D55CF4"/>
    <w:rsid w:val="00D55D06"/>
    <w:rsid w:val="00D55D53"/>
    <w:rsid w:val="00D55DB1"/>
    <w:rsid w:val="00D55E52"/>
    <w:rsid w:val="00D55EDD"/>
    <w:rsid w:val="00D55F67"/>
    <w:rsid w:val="00D55FC6"/>
    <w:rsid w:val="00D55FF2"/>
    <w:rsid w:val="00D56038"/>
    <w:rsid w:val="00D560FA"/>
    <w:rsid w:val="00D5611B"/>
    <w:rsid w:val="00D56134"/>
    <w:rsid w:val="00D5613C"/>
    <w:rsid w:val="00D56142"/>
    <w:rsid w:val="00D561D8"/>
    <w:rsid w:val="00D56206"/>
    <w:rsid w:val="00D56207"/>
    <w:rsid w:val="00D5621A"/>
    <w:rsid w:val="00D5624F"/>
    <w:rsid w:val="00D5628F"/>
    <w:rsid w:val="00D562DF"/>
    <w:rsid w:val="00D56328"/>
    <w:rsid w:val="00D56379"/>
    <w:rsid w:val="00D564B8"/>
    <w:rsid w:val="00D564BA"/>
    <w:rsid w:val="00D56500"/>
    <w:rsid w:val="00D56522"/>
    <w:rsid w:val="00D56528"/>
    <w:rsid w:val="00D56573"/>
    <w:rsid w:val="00D565AA"/>
    <w:rsid w:val="00D56627"/>
    <w:rsid w:val="00D56630"/>
    <w:rsid w:val="00D56637"/>
    <w:rsid w:val="00D56679"/>
    <w:rsid w:val="00D56688"/>
    <w:rsid w:val="00D566C1"/>
    <w:rsid w:val="00D5670F"/>
    <w:rsid w:val="00D56728"/>
    <w:rsid w:val="00D5672F"/>
    <w:rsid w:val="00D56734"/>
    <w:rsid w:val="00D56737"/>
    <w:rsid w:val="00D56744"/>
    <w:rsid w:val="00D5676C"/>
    <w:rsid w:val="00D56787"/>
    <w:rsid w:val="00D567A1"/>
    <w:rsid w:val="00D56807"/>
    <w:rsid w:val="00D56824"/>
    <w:rsid w:val="00D568AC"/>
    <w:rsid w:val="00D568B6"/>
    <w:rsid w:val="00D5696C"/>
    <w:rsid w:val="00D5698D"/>
    <w:rsid w:val="00D5699C"/>
    <w:rsid w:val="00D569CF"/>
    <w:rsid w:val="00D569E7"/>
    <w:rsid w:val="00D56A11"/>
    <w:rsid w:val="00D56A18"/>
    <w:rsid w:val="00D56A95"/>
    <w:rsid w:val="00D56AD1"/>
    <w:rsid w:val="00D56B40"/>
    <w:rsid w:val="00D56B6D"/>
    <w:rsid w:val="00D56BF5"/>
    <w:rsid w:val="00D56C0E"/>
    <w:rsid w:val="00D56D2B"/>
    <w:rsid w:val="00D56D69"/>
    <w:rsid w:val="00D56DAD"/>
    <w:rsid w:val="00D56DC5"/>
    <w:rsid w:val="00D56DF8"/>
    <w:rsid w:val="00D56E18"/>
    <w:rsid w:val="00D56E1D"/>
    <w:rsid w:val="00D56E30"/>
    <w:rsid w:val="00D56E39"/>
    <w:rsid w:val="00D56E4A"/>
    <w:rsid w:val="00D56E58"/>
    <w:rsid w:val="00D56F31"/>
    <w:rsid w:val="00D56FD7"/>
    <w:rsid w:val="00D56FF3"/>
    <w:rsid w:val="00D5700E"/>
    <w:rsid w:val="00D57046"/>
    <w:rsid w:val="00D570C6"/>
    <w:rsid w:val="00D570E5"/>
    <w:rsid w:val="00D57147"/>
    <w:rsid w:val="00D57189"/>
    <w:rsid w:val="00D57195"/>
    <w:rsid w:val="00D57198"/>
    <w:rsid w:val="00D571A5"/>
    <w:rsid w:val="00D571BC"/>
    <w:rsid w:val="00D57213"/>
    <w:rsid w:val="00D57248"/>
    <w:rsid w:val="00D5725C"/>
    <w:rsid w:val="00D572BE"/>
    <w:rsid w:val="00D572FF"/>
    <w:rsid w:val="00D57391"/>
    <w:rsid w:val="00D5739B"/>
    <w:rsid w:val="00D573D7"/>
    <w:rsid w:val="00D57413"/>
    <w:rsid w:val="00D57484"/>
    <w:rsid w:val="00D574A5"/>
    <w:rsid w:val="00D574B5"/>
    <w:rsid w:val="00D574E8"/>
    <w:rsid w:val="00D574ED"/>
    <w:rsid w:val="00D57566"/>
    <w:rsid w:val="00D57567"/>
    <w:rsid w:val="00D57588"/>
    <w:rsid w:val="00D575DC"/>
    <w:rsid w:val="00D575F7"/>
    <w:rsid w:val="00D5769D"/>
    <w:rsid w:val="00D576DD"/>
    <w:rsid w:val="00D576FC"/>
    <w:rsid w:val="00D576FF"/>
    <w:rsid w:val="00D5770B"/>
    <w:rsid w:val="00D57876"/>
    <w:rsid w:val="00D57880"/>
    <w:rsid w:val="00D578CB"/>
    <w:rsid w:val="00D578D5"/>
    <w:rsid w:val="00D5794D"/>
    <w:rsid w:val="00D5795B"/>
    <w:rsid w:val="00D5795C"/>
    <w:rsid w:val="00D579B9"/>
    <w:rsid w:val="00D579D3"/>
    <w:rsid w:val="00D579E1"/>
    <w:rsid w:val="00D579FD"/>
    <w:rsid w:val="00D57A61"/>
    <w:rsid w:val="00D57AAF"/>
    <w:rsid w:val="00D57AD3"/>
    <w:rsid w:val="00D57AFA"/>
    <w:rsid w:val="00D57B34"/>
    <w:rsid w:val="00D57B85"/>
    <w:rsid w:val="00D57BB0"/>
    <w:rsid w:val="00D57BDA"/>
    <w:rsid w:val="00D57BE3"/>
    <w:rsid w:val="00D57BF0"/>
    <w:rsid w:val="00D57C09"/>
    <w:rsid w:val="00D57C1D"/>
    <w:rsid w:val="00D57C66"/>
    <w:rsid w:val="00D57C67"/>
    <w:rsid w:val="00D57CFE"/>
    <w:rsid w:val="00D57D07"/>
    <w:rsid w:val="00D57D59"/>
    <w:rsid w:val="00D57E7C"/>
    <w:rsid w:val="00D57EAD"/>
    <w:rsid w:val="00D57EC4"/>
    <w:rsid w:val="00D57EFD"/>
    <w:rsid w:val="00D57F1A"/>
    <w:rsid w:val="00D60051"/>
    <w:rsid w:val="00D600C8"/>
    <w:rsid w:val="00D60151"/>
    <w:rsid w:val="00D60181"/>
    <w:rsid w:val="00D6018B"/>
    <w:rsid w:val="00D6019C"/>
    <w:rsid w:val="00D601AA"/>
    <w:rsid w:val="00D601C9"/>
    <w:rsid w:val="00D60211"/>
    <w:rsid w:val="00D60253"/>
    <w:rsid w:val="00D60281"/>
    <w:rsid w:val="00D602AB"/>
    <w:rsid w:val="00D60301"/>
    <w:rsid w:val="00D6030A"/>
    <w:rsid w:val="00D60332"/>
    <w:rsid w:val="00D60407"/>
    <w:rsid w:val="00D60456"/>
    <w:rsid w:val="00D6053E"/>
    <w:rsid w:val="00D6056F"/>
    <w:rsid w:val="00D60584"/>
    <w:rsid w:val="00D60586"/>
    <w:rsid w:val="00D60602"/>
    <w:rsid w:val="00D60613"/>
    <w:rsid w:val="00D6065E"/>
    <w:rsid w:val="00D60678"/>
    <w:rsid w:val="00D606BD"/>
    <w:rsid w:val="00D60737"/>
    <w:rsid w:val="00D60738"/>
    <w:rsid w:val="00D607EC"/>
    <w:rsid w:val="00D60856"/>
    <w:rsid w:val="00D608A4"/>
    <w:rsid w:val="00D608A6"/>
    <w:rsid w:val="00D608B9"/>
    <w:rsid w:val="00D608CA"/>
    <w:rsid w:val="00D608CC"/>
    <w:rsid w:val="00D6094A"/>
    <w:rsid w:val="00D6095D"/>
    <w:rsid w:val="00D609EE"/>
    <w:rsid w:val="00D60A1D"/>
    <w:rsid w:val="00D60A6D"/>
    <w:rsid w:val="00D60AD9"/>
    <w:rsid w:val="00D60AE4"/>
    <w:rsid w:val="00D60B84"/>
    <w:rsid w:val="00D60C1D"/>
    <w:rsid w:val="00D60CA0"/>
    <w:rsid w:val="00D60D0D"/>
    <w:rsid w:val="00D60D16"/>
    <w:rsid w:val="00D60D18"/>
    <w:rsid w:val="00D60D2D"/>
    <w:rsid w:val="00D60D4C"/>
    <w:rsid w:val="00D60D80"/>
    <w:rsid w:val="00D60DDD"/>
    <w:rsid w:val="00D60E60"/>
    <w:rsid w:val="00D60E73"/>
    <w:rsid w:val="00D60E74"/>
    <w:rsid w:val="00D60ED4"/>
    <w:rsid w:val="00D60F42"/>
    <w:rsid w:val="00D60F62"/>
    <w:rsid w:val="00D60F67"/>
    <w:rsid w:val="00D60F6F"/>
    <w:rsid w:val="00D60F75"/>
    <w:rsid w:val="00D60FBB"/>
    <w:rsid w:val="00D61018"/>
    <w:rsid w:val="00D6102B"/>
    <w:rsid w:val="00D6103D"/>
    <w:rsid w:val="00D61079"/>
    <w:rsid w:val="00D6110F"/>
    <w:rsid w:val="00D61164"/>
    <w:rsid w:val="00D611AE"/>
    <w:rsid w:val="00D611CD"/>
    <w:rsid w:val="00D611D3"/>
    <w:rsid w:val="00D61287"/>
    <w:rsid w:val="00D612D0"/>
    <w:rsid w:val="00D61307"/>
    <w:rsid w:val="00D61347"/>
    <w:rsid w:val="00D6136C"/>
    <w:rsid w:val="00D6137F"/>
    <w:rsid w:val="00D61380"/>
    <w:rsid w:val="00D6139F"/>
    <w:rsid w:val="00D613BC"/>
    <w:rsid w:val="00D6140B"/>
    <w:rsid w:val="00D6141F"/>
    <w:rsid w:val="00D6144F"/>
    <w:rsid w:val="00D614B1"/>
    <w:rsid w:val="00D614B3"/>
    <w:rsid w:val="00D614BB"/>
    <w:rsid w:val="00D61560"/>
    <w:rsid w:val="00D6157F"/>
    <w:rsid w:val="00D61595"/>
    <w:rsid w:val="00D615A9"/>
    <w:rsid w:val="00D615EB"/>
    <w:rsid w:val="00D615F1"/>
    <w:rsid w:val="00D616CB"/>
    <w:rsid w:val="00D616DE"/>
    <w:rsid w:val="00D616ED"/>
    <w:rsid w:val="00D61711"/>
    <w:rsid w:val="00D6174F"/>
    <w:rsid w:val="00D6178C"/>
    <w:rsid w:val="00D617C8"/>
    <w:rsid w:val="00D617EC"/>
    <w:rsid w:val="00D61807"/>
    <w:rsid w:val="00D6183E"/>
    <w:rsid w:val="00D6185B"/>
    <w:rsid w:val="00D6187F"/>
    <w:rsid w:val="00D618BA"/>
    <w:rsid w:val="00D6190D"/>
    <w:rsid w:val="00D619C7"/>
    <w:rsid w:val="00D619E0"/>
    <w:rsid w:val="00D61A13"/>
    <w:rsid w:val="00D61AF9"/>
    <w:rsid w:val="00D61B8C"/>
    <w:rsid w:val="00D61BBD"/>
    <w:rsid w:val="00D61C12"/>
    <w:rsid w:val="00D61C39"/>
    <w:rsid w:val="00D61C81"/>
    <w:rsid w:val="00D61CA2"/>
    <w:rsid w:val="00D61CD3"/>
    <w:rsid w:val="00D61CD8"/>
    <w:rsid w:val="00D61D02"/>
    <w:rsid w:val="00D61D25"/>
    <w:rsid w:val="00D61DA2"/>
    <w:rsid w:val="00D61DF6"/>
    <w:rsid w:val="00D61E26"/>
    <w:rsid w:val="00D61E3D"/>
    <w:rsid w:val="00D61E8A"/>
    <w:rsid w:val="00D61EAC"/>
    <w:rsid w:val="00D61EE9"/>
    <w:rsid w:val="00D61F6F"/>
    <w:rsid w:val="00D61FD8"/>
    <w:rsid w:val="00D61FDF"/>
    <w:rsid w:val="00D61FF9"/>
    <w:rsid w:val="00D6200F"/>
    <w:rsid w:val="00D6201B"/>
    <w:rsid w:val="00D62061"/>
    <w:rsid w:val="00D6207C"/>
    <w:rsid w:val="00D620B1"/>
    <w:rsid w:val="00D620F7"/>
    <w:rsid w:val="00D62100"/>
    <w:rsid w:val="00D62116"/>
    <w:rsid w:val="00D62130"/>
    <w:rsid w:val="00D62184"/>
    <w:rsid w:val="00D62189"/>
    <w:rsid w:val="00D6219F"/>
    <w:rsid w:val="00D621B2"/>
    <w:rsid w:val="00D621F1"/>
    <w:rsid w:val="00D6220D"/>
    <w:rsid w:val="00D6221E"/>
    <w:rsid w:val="00D62286"/>
    <w:rsid w:val="00D62300"/>
    <w:rsid w:val="00D62308"/>
    <w:rsid w:val="00D62329"/>
    <w:rsid w:val="00D623C5"/>
    <w:rsid w:val="00D6261B"/>
    <w:rsid w:val="00D62661"/>
    <w:rsid w:val="00D62695"/>
    <w:rsid w:val="00D626BD"/>
    <w:rsid w:val="00D626D4"/>
    <w:rsid w:val="00D626D6"/>
    <w:rsid w:val="00D62713"/>
    <w:rsid w:val="00D6276D"/>
    <w:rsid w:val="00D627C0"/>
    <w:rsid w:val="00D627D5"/>
    <w:rsid w:val="00D62877"/>
    <w:rsid w:val="00D628A9"/>
    <w:rsid w:val="00D6295F"/>
    <w:rsid w:val="00D629C1"/>
    <w:rsid w:val="00D62A4A"/>
    <w:rsid w:val="00D62AA3"/>
    <w:rsid w:val="00D62B03"/>
    <w:rsid w:val="00D62B69"/>
    <w:rsid w:val="00D62B8D"/>
    <w:rsid w:val="00D62BBE"/>
    <w:rsid w:val="00D62BD7"/>
    <w:rsid w:val="00D62C35"/>
    <w:rsid w:val="00D62C85"/>
    <w:rsid w:val="00D62CA5"/>
    <w:rsid w:val="00D62CD6"/>
    <w:rsid w:val="00D62D0E"/>
    <w:rsid w:val="00D62D2A"/>
    <w:rsid w:val="00D62D32"/>
    <w:rsid w:val="00D62D52"/>
    <w:rsid w:val="00D62D8F"/>
    <w:rsid w:val="00D62D9F"/>
    <w:rsid w:val="00D62DA5"/>
    <w:rsid w:val="00D62DBA"/>
    <w:rsid w:val="00D62EDA"/>
    <w:rsid w:val="00D62EEC"/>
    <w:rsid w:val="00D62F31"/>
    <w:rsid w:val="00D62F3B"/>
    <w:rsid w:val="00D62F45"/>
    <w:rsid w:val="00D62F9D"/>
    <w:rsid w:val="00D62FAD"/>
    <w:rsid w:val="00D62FD4"/>
    <w:rsid w:val="00D62FE8"/>
    <w:rsid w:val="00D6301D"/>
    <w:rsid w:val="00D6304A"/>
    <w:rsid w:val="00D6307E"/>
    <w:rsid w:val="00D63087"/>
    <w:rsid w:val="00D630A9"/>
    <w:rsid w:val="00D6310A"/>
    <w:rsid w:val="00D63128"/>
    <w:rsid w:val="00D63137"/>
    <w:rsid w:val="00D63153"/>
    <w:rsid w:val="00D6315B"/>
    <w:rsid w:val="00D631C9"/>
    <w:rsid w:val="00D6321B"/>
    <w:rsid w:val="00D6321F"/>
    <w:rsid w:val="00D63223"/>
    <w:rsid w:val="00D6322E"/>
    <w:rsid w:val="00D632F0"/>
    <w:rsid w:val="00D6336F"/>
    <w:rsid w:val="00D633C1"/>
    <w:rsid w:val="00D633C3"/>
    <w:rsid w:val="00D633C6"/>
    <w:rsid w:val="00D634B8"/>
    <w:rsid w:val="00D634E1"/>
    <w:rsid w:val="00D63532"/>
    <w:rsid w:val="00D63543"/>
    <w:rsid w:val="00D6359B"/>
    <w:rsid w:val="00D635AA"/>
    <w:rsid w:val="00D635C0"/>
    <w:rsid w:val="00D635CF"/>
    <w:rsid w:val="00D6363F"/>
    <w:rsid w:val="00D636A3"/>
    <w:rsid w:val="00D636B7"/>
    <w:rsid w:val="00D63777"/>
    <w:rsid w:val="00D637A1"/>
    <w:rsid w:val="00D637EB"/>
    <w:rsid w:val="00D63801"/>
    <w:rsid w:val="00D6380C"/>
    <w:rsid w:val="00D638BF"/>
    <w:rsid w:val="00D638D7"/>
    <w:rsid w:val="00D638E0"/>
    <w:rsid w:val="00D6394B"/>
    <w:rsid w:val="00D63972"/>
    <w:rsid w:val="00D63977"/>
    <w:rsid w:val="00D6399A"/>
    <w:rsid w:val="00D63A6C"/>
    <w:rsid w:val="00D63AA3"/>
    <w:rsid w:val="00D63AE3"/>
    <w:rsid w:val="00D63AE7"/>
    <w:rsid w:val="00D63B15"/>
    <w:rsid w:val="00D63B4D"/>
    <w:rsid w:val="00D63B79"/>
    <w:rsid w:val="00D63BAB"/>
    <w:rsid w:val="00D63BB4"/>
    <w:rsid w:val="00D63BD1"/>
    <w:rsid w:val="00D63BE2"/>
    <w:rsid w:val="00D63C6E"/>
    <w:rsid w:val="00D63C9B"/>
    <w:rsid w:val="00D63D56"/>
    <w:rsid w:val="00D63D68"/>
    <w:rsid w:val="00D63D6F"/>
    <w:rsid w:val="00D63D85"/>
    <w:rsid w:val="00D63D89"/>
    <w:rsid w:val="00D63DD4"/>
    <w:rsid w:val="00D63E9A"/>
    <w:rsid w:val="00D63F2B"/>
    <w:rsid w:val="00D63FAD"/>
    <w:rsid w:val="00D63FB4"/>
    <w:rsid w:val="00D63FED"/>
    <w:rsid w:val="00D63FFD"/>
    <w:rsid w:val="00D6400B"/>
    <w:rsid w:val="00D64022"/>
    <w:rsid w:val="00D64064"/>
    <w:rsid w:val="00D64091"/>
    <w:rsid w:val="00D640D5"/>
    <w:rsid w:val="00D640F5"/>
    <w:rsid w:val="00D64132"/>
    <w:rsid w:val="00D64133"/>
    <w:rsid w:val="00D64194"/>
    <w:rsid w:val="00D641E4"/>
    <w:rsid w:val="00D64298"/>
    <w:rsid w:val="00D642A9"/>
    <w:rsid w:val="00D642CA"/>
    <w:rsid w:val="00D642CC"/>
    <w:rsid w:val="00D64306"/>
    <w:rsid w:val="00D64365"/>
    <w:rsid w:val="00D643EA"/>
    <w:rsid w:val="00D6441C"/>
    <w:rsid w:val="00D64463"/>
    <w:rsid w:val="00D644BB"/>
    <w:rsid w:val="00D644F6"/>
    <w:rsid w:val="00D64501"/>
    <w:rsid w:val="00D64514"/>
    <w:rsid w:val="00D64538"/>
    <w:rsid w:val="00D64575"/>
    <w:rsid w:val="00D64592"/>
    <w:rsid w:val="00D645BA"/>
    <w:rsid w:val="00D645F2"/>
    <w:rsid w:val="00D64630"/>
    <w:rsid w:val="00D646BA"/>
    <w:rsid w:val="00D646DE"/>
    <w:rsid w:val="00D64731"/>
    <w:rsid w:val="00D64777"/>
    <w:rsid w:val="00D647AA"/>
    <w:rsid w:val="00D647B8"/>
    <w:rsid w:val="00D647C6"/>
    <w:rsid w:val="00D647D4"/>
    <w:rsid w:val="00D64800"/>
    <w:rsid w:val="00D64846"/>
    <w:rsid w:val="00D6486A"/>
    <w:rsid w:val="00D64891"/>
    <w:rsid w:val="00D648A4"/>
    <w:rsid w:val="00D648C6"/>
    <w:rsid w:val="00D648CF"/>
    <w:rsid w:val="00D64914"/>
    <w:rsid w:val="00D6498E"/>
    <w:rsid w:val="00D649AB"/>
    <w:rsid w:val="00D649E8"/>
    <w:rsid w:val="00D64A2D"/>
    <w:rsid w:val="00D64AC3"/>
    <w:rsid w:val="00D64B33"/>
    <w:rsid w:val="00D64BB4"/>
    <w:rsid w:val="00D64C1F"/>
    <w:rsid w:val="00D64C32"/>
    <w:rsid w:val="00D64C33"/>
    <w:rsid w:val="00D64C41"/>
    <w:rsid w:val="00D64C51"/>
    <w:rsid w:val="00D64CEA"/>
    <w:rsid w:val="00D64D17"/>
    <w:rsid w:val="00D64D71"/>
    <w:rsid w:val="00D64D72"/>
    <w:rsid w:val="00D64D75"/>
    <w:rsid w:val="00D64D95"/>
    <w:rsid w:val="00D64DA8"/>
    <w:rsid w:val="00D64DCC"/>
    <w:rsid w:val="00D64E92"/>
    <w:rsid w:val="00D64EA4"/>
    <w:rsid w:val="00D64EFE"/>
    <w:rsid w:val="00D64F03"/>
    <w:rsid w:val="00D64F37"/>
    <w:rsid w:val="00D64F47"/>
    <w:rsid w:val="00D64F98"/>
    <w:rsid w:val="00D64FB2"/>
    <w:rsid w:val="00D65008"/>
    <w:rsid w:val="00D65036"/>
    <w:rsid w:val="00D65081"/>
    <w:rsid w:val="00D65088"/>
    <w:rsid w:val="00D6508B"/>
    <w:rsid w:val="00D6508D"/>
    <w:rsid w:val="00D650A8"/>
    <w:rsid w:val="00D650E0"/>
    <w:rsid w:val="00D65115"/>
    <w:rsid w:val="00D65118"/>
    <w:rsid w:val="00D65121"/>
    <w:rsid w:val="00D65214"/>
    <w:rsid w:val="00D65235"/>
    <w:rsid w:val="00D6525F"/>
    <w:rsid w:val="00D65269"/>
    <w:rsid w:val="00D652ED"/>
    <w:rsid w:val="00D65315"/>
    <w:rsid w:val="00D65383"/>
    <w:rsid w:val="00D65404"/>
    <w:rsid w:val="00D6540E"/>
    <w:rsid w:val="00D6540F"/>
    <w:rsid w:val="00D65454"/>
    <w:rsid w:val="00D65480"/>
    <w:rsid w:val="00D6548A"/>
    <w:rsid w:val="00D654E0"/>
    <w:rsid w:val="00D6551C"/>
    <w:rsid w:val="00D65579"/>
    <w:rsid w:val="00D65592"/>
    <w:rsid w:val="00D655D6"/>
    <w:rsid w:val="00D65618"/>
    <w:rsid w:val="00D6565D"/>
    <w:rsid w:val="00D656F8"/>
    <w:rsid w:val="00D65705"/>
    <w:rsid w:val="00D657BE"/>
    <w:rsid w:val="00D657FA"/>
    <w:rsid w:val="00D6584F"/>
    <w:rsid w:val="00D65851"/>
    <w:rsid w:val="00D65877"/>
    <w:rsid w:val="00D65880"/>
    <w:rsid w:val="00D65889"/>
    <w:rsid w:val="00D6593B"/>
    <w:rsid w:val="00D65958"/>
    <w:rsid w:val="00D659B5"/>
    <w:rsid w:val="00D659C1"/>
    <w:rsid w:val="00D659E2"/>
    <w:rsid w:val="00D659F2"/>
    <w:rsid w:val="00D659F9"/>
    <w:rsid w:val="00D659FE"/>
    <w:rsid w:val="00D65A56"/>
    <w:rsid w:val="00D65AF5"/>
    <w:rsid w:val="00D65B3C"/>
    <w:rsid w:val="00D65BA9"/>
    <w:rsid w:val="00D65BD0"/>
    <w:rsid w:val="00D65BDE"/>
    <w:rsid w:val="00D65C0E"/>
    <w:rsid w:val="00D65C68"/>
    <w:rsid w:val="00D65C74"/>
    <w:rsid w:val="00D65C96"/>
    <w:rsid w:val="00D65D24"/>
    <w:rsid w:val="00D65D2F"/>
    <w:rsid w:val="00D65D54"/>
    <w:rsid w:val="00D65D6B"/>
    <w:rsid w:val="00D65D9A"/>
    <w:rsid w:val="00D65DB6"/>
    <w:rsid w:val="00D65E4C"/>
    <w:rsid w:val="00D65F96"/>
    <w:rsid w:val="00D65FA4"/>
    <w:rsid w:val="00D65FE8"/>
    <w:rsid w:val="00D66021"/>
    <w:rsid w:val="00D66061"/>
    <w:rsid w:val="00D66065"/>
    <w:rsid w:val="00D6607B"/>
    <w:rsid w:val="00D66090"/>
    <w:rsid w:val="00D660D2"/>
    <w:rsid w:val="00D660D9"/>
    <w:rsid w:val="00D660DD"/>
    <w:rsid w:val="00D66120"/>
    <w:rsid w:val="00D6614F"/>
    <w:rsid w:val="00D661C6"/>
    <w:rsid w:val="00D6620E"/>
    <w:rsid w:val="00D6622E"/>
    <w:rsid w:val="00D66274"/>
    <w:rsid w:val="00D662BB"/>
    <w:rsid w:val="00D662C0"/>
    <w:rsid w:val="00D662C2"/>
    <w:rsid w:val="00D662C5"/>
    <w:rsid w:val="00D662D6"/>
    <w:rsid w:val="00D6630B"/>
    <w:rsid w:val="00D66344"/>
    <w:rsid w:val="00D6634D"/>
    <w:rsid w:val="00D663EC"/>
    <w:rsid w:val="00D663F7"/>
    <w:rsid w:val="00D664A9"/>
    <w:rsid w:val="00D664AE"/>
    <w:rsid w:val="00D66503"/>
    <w:rsid w:val="00D66509"/>
    <w:rsid w:val="00D66570"/>
    <w:rsid w:val="00D66609"/>
    <w:rsid w:val="00D66680"/>
    <w:rsid w:val="00D6668B"/>
    <w:rsid w:val="00D666CA"/>
    <w:rsid w:val="00D666D8"/>
    <w:rsid w:val="00D66760"/>
    <w:rsid w:val="00D66795"/>
    <w:rsid w:val="00D66824"/>
    <w:rsid w:val="00D6682F"/>
    <w:rsid w:val="00D66845"/>
    <w:rsid w:val="00D668B8"/>
    <w:rsid w:val="00D66915"/>
    <w:rsid w:val="00D6695C"/>
    <w:rsid w:val="00D66963"/>
    <w:rsid w:val="00D66990"/>
    <w:rsid w:val="00D669A7"/>
    <w:rsid w:val="00D66AAC"/>
    <w:rsid w:val="00D66ABE"/>
    <w:rsid w:val="00D66ADF"/>
    <w:rsid w:val="00D66B06"/>
    <w:rsid w:val="00D66B1D"/>
    <w:rsid w:val="00D66B27"/>
    <w:rsid w:val="00D66B53"/>
    <w:rsid w:val="00D66B84"/>
    <w:rsid w:val="00D66BD0"/>
    <w:rsid w:val="00D66BE0"/>
    <w:rsid w:val="00D66BF5"/>
    <w:rsid w:val="00D66C50"/>
    <w:rsid w:val="00D66CB5"/>
    <w:rsid w:val="00D66CE6"/>
    <w:rsid w:val="00D66D0F"/>
    <w:rsid w:val="00D66D3C"/>
    <w:rsid w:val="00D66D6A"/>
    <w:rsid w:val="00D66E25"/>
    <w:rsid w:val="00D66E27"/>
    <w:rsid w:val="00D66E2B"/>
    <w:rsid w:val="00D66E39"/>
    <w:rsid w:val="00D66EDB"/>
    <w:rsid w:val="00D66EF0"/>
    <w:rsid w:val="00D66F25"/>
    <w:rsid w:val="00D66F3A"/>
    <w:rsid w:val="00D66F66"/>
    <w:rsid w:val="00D66FDA"/>
    <w:rsid w:val="00D66FF6"/>
    <w:rsid w:val="00D67021"/>
    <w:rsid w:val="00D6708D"/>
    <w:rsid w:val="00D6709E"/>
    <w:rsid w:val="00D6711E"/>
    <w:rsid w:val="00D6712C"/>
    <w:rsid w:val="00D6714B"/>
    <w:rsid w:val="00D6716E"/>
    <w:rsid w:val="00D671D3"/>
    <w:rsid w:val="00D6720E"/>
    <w:rsid w:val="00D6721F"/>
    <w:rsid w:val="00D67222"/>
    <w:rsid w:val="00D6729B"/>
    <w:rsid w:val="00D672B7"/>
    <w:rsid w:val="00D672ED"/>
    <w:rsid w:val="00D67337"/>
    <w:rsid w:val="00D6740E"/>
    <w:rsid w:val="00D674AF"/>
    <w:rsid w:val="00D674B6"/>
    <w:rsid w:val="00D67640"/>
    <w:rsid w:val="00D6765F"/>
    <w:rsid w:val="00D6772C"/>
    <w:rsid w:val="00D6774F"/>
    <w:rsid w:val="00D677C7"/>
    <w:rsid w:val="00D67869"/>
    <w:rsid w:val="00D6787E"/>
    <w:rsid w:val="00D67885"/>
    <w:rsid w:val="00D678A5"/>
    <w:rsid w:val="00D678C2"/>
    <w:rsid w:val="00D678D9"/>
    <w:rsid w:val="00D6793C"/>
    <w:rsid w:val="00D67966"/>
    <w:rsid w:val="00D6796F"/>
    <w:rsid w:val="00D679AA"/>
    <w:rsid w:val="00D679FD"/>
    <w:rsid w:val="00D67A06"/>
    <w:rsid w:val="00D67A2F"/>
    <w:rsid w:val="00D67B76"/>
    <w:rsid w:val="00D67B8A"/>
    <w:rsid w:val="00D67BAE"/>
    <w:rsid w:val="00D67BE5"/>
    <w:rsid w:val="00D67C03"/>
    <w:rsid w:val="00D67C8C"/>
    <w:rsid w:val="00D67D6F"/>
    <w:rsid w:val="00D67E1D"/>
    <w:rsid w:val="00D67E21"/>
    <w:rsid w:val="00D67E63"/>
    <w:rsid w:val="00D67EAF"/>
    <w:rsid w:val="00D67EBB"/>
    <w:rsid w:val="00D67F34"/>
    <w:rsid w:val="00D67F7A"/>
    <w:rsid w:val="00D67F84"/>
    <w:rsid w:val="00D67F9E"/>
    <w:rsid w:val="00D70006"/>
    <w:rsid w:val="00D7001D"/>
    <w:rsid w:val="00D70055"/>
    <w:rsid w:val="00D700F1"/>
    <w:rsid w:val="00D7011D"/>
    <w:rsid w:val="00D701B6"/>
    <w:rsid w:val="00D701E2"/>
    <w:rsid w:val="00D701FA"/>
    <w:rsid w:val="00D70235"/>
    <w:rsid w:val="00D7025A"/>
    <w:rsid w:val="00D7028B"/>
    <w:rsid w:val="00D702CC"/>
    <w:rsid w:val="00D7030E"/>
    <w:rsid w:val="00D7035E"/>
    <w:rsid w:val="00D70377"/>
    <w:rsid w:val="00D70384"/>
    <w:rsid w:val="00D703C2"/>
    <w:rsid w:val="00D703DF"/>
    <w:rsid w:val="00D703FC"/>
    <w:rsid w:val="00D70413"/>
    <w:rsid w:val="00D70434"/>
    <w:rsid w:val="00D7048E"/>
    <w:rsid w:val="00D704C3"/>
    <w:rsid w:val="00D704F8"/>
    <w:rsid w:val="00D70518"/>
    <w:rsid w:val="00D7053F"/>
    <w:rsid w:val="00D705EE"/>
    <w:rsid w:val="00D7066A"/>
    <w:rsid w:val="00D70722"/>
    <w:rsid w:val="00D70731"/>
    <w:rsid w:val="00D70775"/>
    <w:rsid w:val="00D70793"/>
    <w:rsid w:val="00D707AC"/>
    <w:rsid w:val="00D707F2"/>
    <w:rsid w:val="00D708D6"/>
    <w:rsid w:val="00D708E8"/>
    <w:rsid w:val="00D70909"/>
    <w:rsid w:val="00D7094E"/>
    <w:rsid w:val="00D7096F"/>
    <w:rsid w:val="00D709FE"/>
    <w:rsid w:val="00D70A00"/>
    <w:rsid w:val="00D70A5F"/>
    <w:rsid w:val="00D70A6E"/>
    <w:rsid w:val="00D70AB0"/>
    <w:rsid w:val="00D70AB9"/>
    <w:rsid w:val="00D70ACD"/>
    <w:rsid w:val="00D70B07"/>
    <w:rsid w:val="00D70B14"/>
    <w:rsid w:val="00D70B20"/>
    <w:rsid w:val="00D70B7A"/>
    <w:rsid w:val="00D70B81"/>
    <w:rsid w:val="00D70C1E"/>
    <w:rsid w:val="00D70C3E"/>
    <w:rsid w:val="00D70C6D"/>
    <w:rsid w:val="00D70C89"/>
    <w:rsid w:val="00D70C96"/>
    <w:rsid w:val="00D70CBF"/>
    <w:rsid w:val="00D70D2F"/>
    <w:rsid w:val="00D70DB0"/>
    <w:rsid w:val="00D70E34"/>
    <w:rsid w:val="00D70E60"/>
    <w:rsid w:val="00D70E79"/>
    <w:rsid w:val="00D70E7C"/>
    <w:rsid w:val="00D70EA5"/>
    <w:rsid w:val="00D70EB4"/>
    <w:rsid w:val="00D70EBA"/>
    <w:rsid w:val="00D70EBF"/>
    <w:rsid w:val="00D70F32"/>
    <w:rsid w:val="00D70FC7"/>
    <w:rsid w:val="00D71013"/>
    <w:rsid w:val="00D71030"/>
    <w:rsid w:val="00D7105D"/>
    <w:rsid w:val="00D710AB"/>
    <w:rsid w:val="00D710C3"/>
    <w:rsid w:val="00D71140"/>
    <w:rsid w:val="00D711F3"/>
    <w:rsid w:val="00D71213"/>
    <w:rsid w:val="00D71243"/>
    <w:rsid w:val="00D71273"/>
    <w:rsid w:val="00D712A2"/>
    <w:rsid w:val="00D712B1"/>
    <w:rsid w:val="00D712C2"/>
    <w:rsid w:val="00D71344"/>
    <w:rsid w:val="00D71373"/>
    <w:rsid w:val="00D7141D"/>
    <w:rsid w:val="00D71422"/>
    <w:rsid w:val="00D71431"/>
    <w:rsid w:val="00D7144B"/>
    <w:rsid w:val="00D714F9"/>
    <w:rsid w:val="00D715D3"/>
    <w:rsid w:val="00D7162B"/>
    <w:rsid w:val="00D71641"/>
    <w:rsid w:val="00D71652"/>
    <w:rsid w:val="00D71655"/>
    <w:rsid w:val="00D71673"/>
    <w:rsid w:val="00D71677"/>
    <w:rsid w:val="00D71678"/>
    <w:rsid w:val="00D716A8"/>
    <w:rsid w:val="00D716BF"/>
    <w:rsid w:val="00D716F9"/>
    <w:rsid w:val="00D71720"/>
    <w:rsid w:val="00D71762"/>
    <w:rsid w:val="00D717B3"/>
    <w:rsid w:val="00D717D4"/>
    <w:rsid w:val="00D717E2"/>
    <w:rsid w:val="00D71823"/>
    <w:rsid w:val="00D7184E"/>
    <w:rsid w:val="00D718A7"/>
    <w:rsid w:val="00D71951"/>
    <w:rsid w:val="00D71969"/>
    <w:rsid w:val="00D7199F"/>
    <w:rsid w:val="00D71A24"/>
    <w:rsid w:val="00D71A50"/>
    <w:rsid w:val="00D71BCA"/>
    <w:rsid w:val="00D71BEE"/>
    <w:rsid w:val="00D71C27"/>
    <w:rsid w:val="00D71D12"/>
    <w:rsid w:val="00D71D46"/>
    <w:rsid w:val="00D71DAE"/>
    <w:rsid w:val="00D71E0D"/>
    <w:rsid w:val="00D71EAA"/>
    <w:rsid w:val="00D71EB5"/>
    <w:rsid w:val="00D71F00"/>
    <w:rsid w:val="00D71F4D"/>
    <w:rsid w:val="00D71F5D"/>
    <w:rsid w:val="00D71FAE"/>
    <w:rsid w:val="00D72021"/>
    <w:rsid w:val="00D72031"/>
    <w:rsid w:val="00D72036"/>
    <w:rsid w:val="00D72039"/>
    <w:rsid w:val="00D72046"/>
    <w:rsid w:val="00D720B3"/>
    <w:rsid w:val="00D720B6"/>
    <w:rsid w:val="00D72150"/>
    <w:rsid w:val="00D721C9"/>
    <w:rsid w:val="00D721DA"/>
    <w:rsid w:val="00D721DD"/>
    <w:rsid w:val="00D721DF"/>
    <w:rsid w:val="00D7235B"/>
    <w:rsid w:val="00D7236E"/>
    <w:rsid w:val="00D723A4"/>
    <w:rsid w:val="00D723E3"/>
    <w:rsid w:val="00D72416"/>
    <w:rsid w:val="00D7244F"/>
    <w:rsid w:val="00D7248E"/>
    <w:rsid w:val="00D7249F"/>
    <w:rsid w:val="00D72564"/>
    <w:rsid w:val="00D72573"/>
    <w:rsid w:val="00D725A9"/>
    <w:rsid w:val="00D72605"/>
    <w:rsid w:val="00D7262A"/>
    <w:rsid w:val="00D72637"/>
    <w:rsid w:val="00D72639"/>
    <w:rsid w:val="00D7263B"/>
    <w:rsid w:val="00D72641"/>
    <w:rsid w:val="00D72650"/>
    <w:rsid w:val="00D726A8"/>
    <w:rsid w:val="00D7270A"/>
    <w:rsid w:val="00D72747"/>
    <w:rsid w:val="00D72785"/>
    <w:rsid w:val="00D727A2"/>
    <w:rsid w:val="00D727C8"/>
    <w:rsid w:val="00D72819"/>
    <w:rsid w:val="00D72839"/>
    <w:rsid w:val="00D7288E"/>
    <w:rsid w:val="00D728C4"/>
    <w:rsid w:val="00D728E1"/>
    <w:rsid w:val="00D72918"/>
    <w:rsid w:val="00D7292F"/>
    <w:rsid w:val="00D7296B"/>
    <w:rsid w:val="00D72983"/>
    <w:rsid w:val="00D72994"/>
    <w:rsid w:val="00D729E6"/>
    <w:rsid w:val="00D72A14"/>
    <w:rsid w:val="00D72A17"/>
    <w:rsid w:val="00D72A26"/>
    <w:rsid w:val="00D72A5C"/>
    <w:rsid w:val="00D72A69"/>
    <w:rsid w:val="00D72A88"/>
    <w:rsid w:val="00D72AB9"/>
    <w:rsid w:val="00D72AE6"/>
    <w:rsid w:val="00D72AE7"/>
    <w:rsid w:val="00D72B02"/>
    <w:rsid w:val="00D72B48"/>
    <w:rsid w:val="00D72BD5"/>
    <w:rsid w:val="00D72BD8"/>
    <w:rsid w:val="00D72BEA"/>
    <w:rsid w:val="00D72C0A"/>
    <w:rsid w:val="00D72C0B"/>
    <w:rsid w:val="00D72C71"/>
    <w:rsid w:val="00D72CAF"/>
    <w:rsid w:val="00D72CBA"/>
    <w:rsid w:val="00D72CBE"/>
    <w:rsid w:val="00D72CC2"/>
    <w:rsid w:val="00D72CFB"/>
    <w:rsid w:val="00D72D22"/>
    <w:rsid w:val="00D72D33"/>
    <w:rsid w:val="00D72D59"/>
    <w:rsid w:val="00D72D87"/>
    <w:rsid w:val="00D72D9F"/>
    <w:rsid w:val="00D72E12"/>
    <w:rsid w:val="00D72E21"/>
    <w:rsid w:val="00D72F54"/>
    <w:rsid w:val="00D72FAC"/>
    <w:rsid w:val="00D72FC4"/>
    <w:rsid w:val="00D72FFD"/>
    <w:rsid w:val="00D7307D"/>
    <w:rsid w:val="00D73091"/>
    <w:rsid w:val="00D73119"/>
    <w:rsid w:val="00D731A2"/>
    <w:rsid w:val="00D731A4"/>
    <w:rsid w:val="00D731CB"/>
    <w:rsid w:val="00D7320D"/>
    <w:rsid w:val="00D73215"/>
    <w:rsid w:val="00D73237"/>
    <w:rsid w:val="00D73245"/>
    <w:rsid w:val="00D7325D"/>
    <w:rsid w:val="00D732C5"/>
    <w:rsid w:val="00D732E1"/>
    <w:rsid w:val="00D732FC"/>
    <w:rsid w:val="00D73310"/>
    <w:rsid w:val="00D73323"/>
    <w:rsid w:val="00D7333A"/>
    <w:rsid w:val="00D73347"/>
    <w:rsid w:val="00D73352"/>
    <w:rsid w:val="00D73367"/>
    <w:rsid w:val="00D73389"/>
    <w:rsid w:val="00D733C6"/>
    <w:rsid w:val="00D733FF"/>
    <w:rsid w:val="00D73412"/>
    <w:rsid w:val="00D7341D"/>
    <w:rsid w:val="00D73458"/>
    <w:rsid w:val="00D734BB"/>
    <w:rsid w:val="00D73589"/>
    <w:rsid w:val="00D735A2"/>
    <w:rsid w:val="00D735F5"/>
    <w:rsid w:val="00D736EE"/>
    <w:rsid w:val="00D737AE"/>
    <w:rsid w:val="00D737E8"/>
    <w:rsid w:val="00D7382A"/>
    <w:rsid w:val="00D7385A"/>
    <w:rsid w:val="00D73879"/>
    <w:rsid w:val="00D738A1"/>
    <w:rsid w:val="00D738C4"/>
    <w:rsid w:val="00D738C9"/>
    <w:rsid w:val="00D738D1"/>
    <w:rsid w:val="00D738D4"/>
    <w:rsid w:val="00D7397C"/>
    <w:rsid w:val="00D7398E"/>
    <w:rsid w:val="00D73A18"/>
    <w:rsid w:val="00D73A27"/>
    <w:rsid w:val="00D73A56"/>
    <w:rsid w:val="00D73AC8"/>
    <w:rsid w:val="00D73AF6"/>
    <w:rsid w:val="00D73B21"/>
    <w:rsid w:val="00D73B4F"/>
    <w:rsid w:val="00D73BA4"/>
    <w:rsid w:val="00D73BC8"/>
    <w:rsid w:val="00D73BD9"/>
    <w:rsid w:val="00D73C63"/>
    <w:rsid w:val="00D73CD4"/>
    <w:rsid w:val="00D73CE5"/>
    <w:rsid w:val="00D73CEF"/>
    <w:rsid w:val="00D73D3C"/>
    <w:rsid w:val="00D73D4C"/>
    <w:rsid w:val="00D73D64"/>
    <w:rsid w:val="00D73D74"/>
    <w:rsid w:val="00D73D7F"/>
    <w:rsid w:val="00D73DD7"/>
    <w:rsid w:val="00D73DE8"/>
    <w:rsid w:val="00D73E27"/>
    <w:rsid w:val="00D73E9A"/>
    <w:rsid w:val="00D73E9F"/>
    <w:rsid w:val="00D73ED2"/>
    <w:rsid w:val="00D73F0A"/>
    <w:rsid w:val="00D73F5A"/>
    <w:rsid w:val="00D73F8A"/>
    <w:rsid w:val="00D73FC5"/>
    <w:rsid w:val="00D73FD0"/>
    <w:rsid w:val="00D73FE1"/>
    <w:rsid w:val="00D740AF"/>
    <w:rsid w:val="00D740BD"/>
    <w:rsid w:val="00D74120"/>
    <w:rsid w:val="00D74144"/>
    <w:rsid w:val="00D7415E"/>
    <w:rsid w:val="00D74163"/>
    <w:rsid w:val="00D74171"/>
    <w:rsid w:val="00D74172"/>
    <w:rsid w:val="00D74197"/>
    <w:rsid w:val="00D741C6"/>
    <w:rsid w:val="00D741C8"/>
    <w:rsid w:val="00D741F6"/>
    <w:rsid w:val="00D74217"/>
    <w:rsid w:val="00D74222"/>
    <w:rsid w:val="00D74236"/>
    <w:rsid w:val="00D74257"/>
    <w:rsid w:val="00D7426E"/>
    <w:rsid w:val="00D742DF"/>
    <w:rsid w:val="00D74331"/>
    <w:rsid w:val="00D74376"/>
    <w:rsid w:val="00D743FC"/>
    <w:rsid w:val="00D74417"/>
    <w:rsid w:val="00D7442A"/>
    <w:rsid w:val="00D7450A"/>
    <w:rsid w:val="00D74518"/>
    <w:rsid w:val="00D7452D"/>
    <w:rsid w:val="00D745E1"/>
    <w:rsid w:val="00D74621"/>
    <w:rsid w:val="00D7468E"/>
    <w:rsid w:val="00D7471A"/>
    <w:rsid w:val="00D7473D"/>
    <w:rsid w:val="00D74758"/>
    <w:rsid w:val="00D74768"/>
    <w:rsid w:val="00D74794"/>
    <w:rsid w:val="00D74796"/>
    <w:rsid w:val="00D747A8"/>
    <w:rsid w:val="00D747B7"/>
    <w:rsid w:val="00D747DC"/>
    <w:rsid w:val="00D74872"/>
    <w:rsid w:val="00D748BD"/>
    <w:rsid w:val="00D748ED"/>
    <w:rsid w:val="00D74905"/>
    <w:rsid w:val="00D7493B"/>
    <w:rsid w:val="00D7493C"/>
    <w:rsid w:val="00D7498B"/>
    <w:rsid w:val="00D749E8"/>
    <w:rsid w:val="00D74A31"/>
    <w:rsid w:val="00D74ACB"/>
    <w:rsid w:val="00D74AD8"/>
    <w:rsid w:val="00D74B24"/>
    <w:rsid w:val="00D74B90"/>
    <w:rsid w:val="00D74BCC"/>
    <w:rsid w:val="00D74C14"/>
    <w:rsid w:val="00D74C2C"/>
    <w:rsid w:val="00D74C43"/>
    <w:rsid w:val="00D74C88"/>
    <w:rsid w:val="00D74D40"/>
    <w:rsid w:val="00D74E2F"/>
    <w:rsid w:val="00D74E85"/>
    <w:rsid w:val="00D74EBC"/>
    <w:rsid w:val="00D74F61"/>
    <w:rsid w:val="00D74F85"/>
    <w:rsid w:val="00D74FCB"/>
    <w:rsid w:val="00D75017"/>
    <w:rsid w:val="00D75026"/>
    <w:rsid w:val="00D7514A"/>
    <w:rsid w:val="00D751EB"/>
    <w:rsid w:val="00D7523B"/>
    <w:rsid w:val="00D7523F"/>
    <w:rsid w:val="00D75254"/>
    <w:rsid w:val="00D752C8"/>
    <w:rsid w:val="00D752E0"/>
    <w:rsid w:val="00D753AC"/>
    <w:rsid w:val="00D753BC"/>
    <w:rsid w:val="00D753EF"/>
    <w:rsid w:val="00D75400"/>
    <w:rsid w:val="00D7541C"/>
    <w:rsid w:val="00D75449"/>
    <w:rsid w:val="00D754FA"/>
    <w:rsid w:val="00D7552A"/>
    <w:rsid w:val="00D75623"/>
    <w:rsid w:val="00D75655"/>
    <w:rsid w:val="00D75659"/>
    <w:rsid w:val="00D7565A"/>
    <w:rsid w:val="00D75690"/>
    <w:rsid w:val="00D75697"/>
    <w:rsid w:val="00D756A9"/>
    <w:rsid w:val="00D756C1"/>
    <w:rsid w:val="00D756D5"/>
    <w:rsid w:val="00D756FF"/>
    <w:rsid w:val="00D75727"/>
    <w:rsid w:val="00D75759"/>
    <w:rsid w:val="00D75769"/>
    <w:rsid w:val="00D75782"/>
    <w:rsid w:val="00D75797"/>
    <w:rsid w:val="00D757DA"/>
    <w:rsid w:val="00D757F4"/>
    <w:rsid w:val="00D7580B"/>
    <w:rsid w:val="00D75823"/>
    <w:rsid w:val="00D75866"/>
    <w:rsid w:val="00D758C7"/>
    <w:rsid w:val="00D758DB"/>
    <w:rsid w:val="00D758F0"/>
    <w:rsid w:val="00D75918"/>
    <w:rsid w:val="00D759D5"/>
    <w:rsid w:val="00D75A46"/>
    <w:rsid w:val="00D75AA1"/>
    <w:rsid w:val="00D75AEA"/>
    <w:rsid w:val="00D75B5F"/>
    <w:rsid w:val="00D75B87"/>
    <w:rsid w:val="00D75B92"/>
    <w:rsid w:val="00D75BAC"/>
    <w:rsid w:val="00D75BCA"/>
    <w:rsid w:val="00D75C07"/>
    <w:rsid w:val="00D75C0E"/>
    <w:rsid w:val="00D75C33"/>
    <w:rsid w:val="00D75C45"/>
    <w:rsid w:val="00D75CB8"/>
    <w:rsid w:val="00D75CC9"/>
    <w:rsid w:val="00D75D63"/>
    <w:rsid w:val="00D75E3C"/>
    <w:rsid w:val="00D75E89"/>
    <w:rsid w:val="00D75EE6"/>
    <w:rsid w:val="00D75F72"/>
    <w:rsid w:val="00D76001"/>
    <w:rsid w:val="00D76020"/>
    <w:rsid w:val="00D76061"/>
    <w:rsid w:val="00D760A4"/>
    <w:rsid w:val="00D760B8"/>
    <w:rsid w:val="00D7610C"/>
    <w:rsid w:val="00D7614C"/>
    <w:rsid w:val="00D761EB"/>
    <w:rsid w:val="00D76237"/>
    <w:rsid w:val="00D76262"/>
    <w:rsid w:val="00D76266"/>
    <w:rsid w:val="00D76277"/>
    <w:rsid w:val="00D762BB"/>
    <w:rsid w:val="00D76300"/>
    <w:rsid w:val="00D763A1"/>
    <w:rsid w:val="00D7641B"/>
    <w:rsid w:val="00D76423"/>
    <w:rsid w:val="00D76425"/>
    <w:rsid w:val="00D76452"/>
    <w:rsid w:val="00D76473"/>
    <w:rsid w:val="00D764AF"/>
    <w:rsid w:val="00D7657F"/>
    <w:rsid w:val="00D7659D"/>
    <w:rsid w:val="00D765A3"/>
    <w:rsid w:val="00D765C1"/>
    <w:rsid w:val="00D765D9"/>
    <w:rsid w:val="00D7661F"/>
    <w:rsid w:val="00D76636"/>
    <w:rsid w:val="00D766CA"/>
    <w:rsid w:val="00D766CE"/>
    <w:rsid w:val="00D766ED"/>
    <w:rsid w:val="00D766EE"/>
    <w:rsid w:val="00D76717"/>
    <w:rsid w:val="00D76757"/>
    <w:rsid w:val="00D7677E"/>
    <w:rsid w:val="00D7678B"/>
    <w:rsid w:val="00D76790"/>
    <w:rsid w:val="00D76805"/>
    <w:rsid w:val="00D76817"/>
    <w:rsid w:val="00D76889"/>
    <w:rsid w:val="00D768EE"/>
    <w:rsid w:val="00D768F1"/>
    <w:rsid w:val="00D7692F"/>
    <w:rsid w:val="00D76976"/>
    <w:rsid w:val="00D76979"/>
    <w:rsid w:val="00D7699E"/>
    <w:rsid w:val="00D769D3"/>
    <w:rsid w:val="00D769D6"/>
    <w:rsid w:val="00D76A0A"/>
    <w:rsid w:val="00D76A1D"/>
    <w:rsid w:val="00D76A20"/>
    <w:rsid w:val="00D76A5D"/>
    <w:rsid w:val="00D76A76"/>
    <w:rsid w:val="00D76AFF"/>
    <w:rsid w:val="00D76B2A"/>
    <w:rsid w:val="00D76B98"/>
    <w:rsid w:val="00D76C21"/>
    <w:rsid w:val="00D76C97"/>
    <w:rsid w:val="00D76CAC"/>
    <w:rsid w:val="00D76CB3"/>
    <w:rsid w:val="00D76CCC"/>
    <w:rsid w:val="00D76CD8"/>
    <w:rsid w:val="00D76D50"/>
    <w:rsid w:val="00D76D75"/>
    <w:rsid w:val="00D76DB9"/>
    <w:rsid w:val="00D76DC4"/>
    <w:rsid w:val="00D76E01"/>
    <w:rsid w:val="00D76E52"/>
    <w:rsid w:val="00D76E69"/>
    <w:rsid w:val="00D76F00"/>
    <w:rsid w:val="00D76F17"/>
    <w:rsid w:val="00D77029"/>
    <w:rsid w:val="00D7709C"/>
    <w:rsid w:val="00D7709F"/>
    <w:rsid w:val="00D7710E"/>
    <w:rsid w:val="00D77148"/>
    <w:rsid w:val="00D7718B"/>
    <w:rsid w:val="00D772EE"/>
    <w:rsid w:val="00D772F0"/>
    <w:rsid w:val="00D772F2"/>
    <w:rsid w:val="00D77302"/>
    <w:rsid w:val="00D77321"/>
    <w:rsid w:val="00D7735F"/>
    <w:rsid w:val="00D7738D"/>
    <w:rsid w:val="00D773B9"/>
    <w:rsid w:val="00D77420"/>
    <w:rsid w:val="00D7745D"/>
    <w:rsid w:val="00D7746B"/>
    <w:rsid w:val="00D77471"/>
    <w:rsid w:val="00D774E5"/>
    <w:rsid w:val="00D77500"/>
    <w:rsid w:val="00D7756A"/>
    <w:rsid w:val="00D775DF"/>
    <w:rsid w:val="00D7764E"/>
    <w:rsid w:val="00D7773E"/>
    <w:rsid w:val="00D77746"/>
    <w:rsid w:val="00D77777"/>
    <w:rsid w:val="00D777C5"/>
    <w:rsid w:val="00D77855"/>
    <w:rsid w:val="00D77860"/>
    <w:rsid w:val="00D7786E"/>
    <w:rsid w:val="00D77877"/>
    <w:rsid w:val="00D77916"/>
    <w:rsid w:val="00D7791E"/>
    <w:rsid w:val="00D7795D"/>
    <w:rsid w:val="00D77977"/>
    <w:rsid w:val="00D779E3"/>
    <w:rsid w:val="00D779E6"/>
    <w:rsid w:val="00D779EE"/>
    <w:rsid w:val="00D77AAC"/>
    <w:rsid w:val="00D77ABF"/>
    <w:rsid w:val="00D77BEE"/>
    <w:rsid w:val="00D77C12"/>
    <w:rsid w:val="00D77C18"/>
    <w:rsid w:val="00D77C40"/>
    <w:rsid w:val="00D77C87"/>
    <w:rsid w:val="00D77CB1"/>
    <w:rsid w:val="00D77CB3"/>
    <w:rsid w:val="00D77CB5"/>
    <w:rsid w:val="00D77CBD"/>
    <w:rsid w:val="00D77D6A"/>
    <w:rsid w:val="00D77D70"/>
    <w:rsid w:val="00D77E24"/>
    <w:rsid w:val="00D77E33"/>
    <w:rsid w:val="00D77E4F"/>
    <w:rsid w:val="00D77E7D"/>
    <w:rsid w:val="00D77EB6"/>
    <w:rsid w:val="00D77F5C"/>
    <w:rsid w:val="00D77F78"/>
    <w:rsid w:val="00D77FC0"/>
    <w:rsid w:val="00D77FD7"/>
    <w:rsid w:val="00D8000D"/>
    <w:rsid w:val="00D80069"/>
    <w:rsid w:val="00D800C1"/>
    <w:rsid w:val="00D800EA"/>
    <w:rsid w:val="00D800EC"/>
    <w:rsid w:val="00D80150"/>
    <w:rsid w:val="00D801D9"/>
    <w:rsid w:val="00D801F7"/>
    <w:rsid w:val="00D80215"/>
    <w:rsid w:val="00D8023A"/>
    <w:rsid w:val="00D80240"/>
    <w:rsid w:val="00D80251"/>
    <w:rsid w:val="00D802EA"/>
    <w:rsid w:val="00D8040B"/>
    <w:rsid w:val="00D8041C"/>
    <w:rsid w:val="00D80451"/>
    <w:rsid w:val="00D80478"/>
    <w:rsid w:val="00D8049B"/>
    <w:rsid w:val="00D8054F"/>
    <w:rsid w:val="00D8058A"/>
    <w:rsid w:val="00D805B8"/>
    <w:rsid w:val="00D805DB"/>
    <w:rsid w:val="00D805EC"/>
    <w:rsid w:val="00D80604"/>
    <w:rsid w:val="00D80624"/>
    <w:rsid w:val="00D8065C"/>
    <w:rsid w:val="00D80697"/>
    <w:rsid w:val="00D806CA"/>
    <w:rsid w:val="00D807A5"/>
    <w:rsid w:val="00D807CA"/>
    <w:rsid w:val="00D80817"/>
    <w:rsid w:val="00D808B4"/>
    <w:rsid w:val="00D808CE"/>
    <w:rsid w:val="00D80916"/>
    <w:rsid w:val="00D8095F"/>
    <w:rsid w:val="00D809BB"/>
    <w:rsid w:val="00D809DF"/>
    <w:rsid w:val="00D80A45"/>
    <w:rsid w:val="00D80A84"/>
    <w:rsid w:val="00D80AB1"/>
    <w:rsid w:val="00D80B48"/>
    <w:rsid w:val="00D80B4F"/>
    <w:rsid w:val="00D80B5E"/>
    <w:rsid w:val="00D80BA3"/>
    <w:rsid w:val="00D80BA7"/>
    <w:rsid w:val="00D80BCC"/>
    <w:rsid w:val="00D80BFB"/>
    <w:rsid w:val="00D80C4E"/>
    <w:rsid w:val="00D80CA6"/>
    <w:rsid w:val="00D80CBD"/>
    <w:rsid w:val="00D80CED"/>
    <w:rsid w:val="00D80D3C"/>
    <w:rsid w:val="00D80D8C"/>
    <w:rsid w:val="00D80D8F"/>
    <w:rsid w:val="00D80DC3"/>
    <w:rsid w:val="00D80E11"/>
    <w:rsid w:val="00D80E16"/>
    <w:rsid w:val="00D80E46"/>
    <w:rsid w:val="00D80E7D"/>
    <w:rsid w:val="00D80E85"/>
    <w:rsid w:val="00D80EF8"/>
    <w:rsid w:val="00D80F7E"/>
    <w:rsid w:val="00D80FB4"/>
    <w:rsid w:val="00D80FB8"/>
    <w:rsid w:val="00D80FF8"/>
    <w:rsid w:val="00D81025"/>
    <w:rsid w:val="00D81044"/>
    <w:rsid w:val="00D810A0"/>
    <w:rsid w:val="00D8116F"/>
    <w:rsid w:val="00D81173"/>
    <w:rsid w:val="00D811E8"/>
    <w:rsid w:val="00D8120C"/>
    <w:rsid w:val="00D8120D"/>
    <w:rsid w:val="00D81244"/>
    <w:rsid w:val="00D81273"/>
    <w:rsid w:val="00D81276"/>
    <w:rsid w:val="00D8129F"/>
    <w:rsid w:val="00D812C6"/>
    <w:rsid w:val="00D81329"/>
    <w:rsid w:val="00D8133A"/>
    <w:rsid w:val="00D81343"/>
    <w:rsid w:val="00D81367"/>
    <w:rsid w:val="00D813E6"/>
    <w:rsid w:val="00D8141A"/>
    <w:rsid w:val="00D8142B"/>
    <w:rsid w:val="00D81437"/>
    <w:rsid w:val="00D81438"/>
    <w:rsid w:val="00D81486"/>
    <w:rsid w:val="00D81536"/>
    <w:rsid w:val="00D8153B"/>
    <w:rsid w:val="00D81693"/>
    <w:rsid w:val="00D816AC"/>
    <w:rsid w:val="00D81727"/>
    <w:rsid w:val="00D81757"/>
    <w:rsid w:val="00D8177F"/>
    <w:rsid w:val="00D8178C"/>
    <w:rsid w:val="00D8178D"/>
    <w:rsid w:val="00D817AC"/>
    <w:rsid w:val="00D8182A"/>
    <w:rsid w:val="00D81830"/>
    <w:rsid w:val="00D81858"/>
    <w:rsid w:val="00D818CC"/>
    <w:rsid w:val="00D818D7"/>
    <w:rsid w:val="00D818F9"/>
    <w:rsid w:val="00D81940"/>
    <w:rsid w:val="00D819C8"/>
    <w:rsid w:val="00D819D8"/>
    <w:rsid w:val="00D81A05"/>
    <w:rsid w:val="00D81A60"/>
    <w:rsid w:val="00D81ABF"/>
    <w:rsid w:val="00D81AD8"/>
    <w:rsid w:val="00D81B74"/>
    <w:rsid w:val="00D81BC5"/>
    <w:rsid w:val="00D81BDA"/>
    <w:rsid w:val="00D81C0D"/>
    <w:rsid w:val="00D81C4C"/>
    <w:rsid w:val="00D81C85"/>
    <w:rsid w:val="00D81C89"/>
    <w:rsid w:val="00D81CE3"/>
    <w:rsid w:val="00D81CF0"/>
    <w:rsid w:val="00D81D1A"/>
    <w:rsid w:val="00D81DBD"/>
    <w:rsid w:val="00D81E0F"/>
    <w:rsid w:val="00D81E75"/>
    <w:rsid w:val="00D81F2B"/>
    <w:rsid w:val="00D81F2F"/>
    <w:rsid w:val="00D81FD1"/>
    <w:rsid w:val="00D81FFE"/>
    <w:rsid w:val="00D82051"/>
    <w:rsid w:val="00D82131"/>
    <w:rsid w:val="00D821CA"/>
    <w:rsid w:val="00D821EE"/>
    <w:rsid w:val="00D8220F"/>
    <w:rsid w:val="00D8222A"/>
    <w:rsid w:val="00D82235"/>
    <w:rsid w:val="00D8223A"/>
    <w:rsid w:val="00D82247"/>
    <w:rsid w:val="00D8224B"/>
    <w:rsid w:val="00D822E4"/>
    <w:rsid w:val="00D82392"/>
    <w:rsid w:val="00D823B9"/>
    <w:rsid w:val="00D823E3"/>
    <w:rsid w:val="00D82430"/>
    <w:rsid w:val="00D824B3"/>
    <w:rsid w:val="00D824D6"/>
    <w:rsid w:val="00D824E2"/>
    <w:rsid w:val="00D82500"/>
    <w:rsid w:val="00D82525"/>
    <w:rsid w:val="00D82532"/>
    <w:rsid w:val="00D8255C"/>
    <w:rsid w:val="00D825CB"/>
    <w:rsid w:val="00D825E0"/>
    <w:rsid w:val="00D82623"/>
    <w:rsid w:val="00D8264D"/>
    <w:rsid w:val="00D82694"/>
    <w:rsid w:val="00D8269B"/>
    <w:rsid w:val="00D826A9"/>
    <w:rsid w:val="00D826E9"/>
    <w:rsid w:val="00D8271A"/>
    <w:rsid w:val="00D82786"/>
    <w:rsid w:val="00D8280C"/>
    <w:rsid w:val="00D8281B"/>
    <w:rsid w:val="00D8283B"/>
    <w:rsid w:val="00D82856"/>
    <w:rsid w:val="00D82901"/>
    <w:rsid w:val="00D82917"/>
    <w:rsid w:val="00D8291D"/>
    <w:rsid w:val="00D8294E"/>
    <w:rsid w:val="00D82956"/>
    <w:rsid w:val="00D82959"/>
    <w:rsid w:val="00D82A02"/>
    <w:rsid w:val="00D82A4F"/>
    <w:rsid w:val="00D82A76"/>
    <w:rsid w:val="00D82A9C"/>
    <w:rsid w:val="00D82B4E"/>
    <w:rsid w:val="00D82B81"/>
    <w:rsid w:val="00D82BE6"/>
    <w:rsid w:val="00D82BF6"/>
    <w:rsid w:val="00D82CA4"/>
    <w:rsid w:val="00D82D2B"/>
    <w:rsid w:val="00D82D2C"/>
    <w:rsid w:val="00D82D47"/>
    <w:rsid w:val="00D82DF3"/>
    <w:rsid w:val="00D82E86"/>
    <w:rsid w:val="00D82E9D"/>
    <w:rsid w:val="00D82EAB"/>
    <w:rsid w:val="00D82EE2"/>
    <w:rsid w:val="00D82F5F"/>
    <w:rsid w:val="00D82F79"/>
    <w:rsid w:val="00D82F89"/>
    <w:rsid w:val="00D82FA6"/>
    <w:rsid w:val="00D82FDE"/>
    <w:rsid w:val="00D83020"/>
    <w:rsid w:val="00D83059"/>
    <w:rsid w:val="00D830AA"/>
    <w:rsid w:val="00D830AD"/>
    <w:rsid w:val="00D830B5"/>
    <w:rsid w:val="00D830BE"/>
    <w:rsid w:val="00D830DF"/>
    <w:rsid w:val="00D83124"/>
    <w:rsid w:val="00D83157"/>
    <w:rsid w:val="00D8318B"/>
    <w:rsid w:val="00D83267"/>
    <w:rsid w:val="00D832D4"/>
    <w:rsid w:val="00D832FD"/>
    <w:rsid w:val="00D83339"/>
    <w:rsid w:val="00D83341"/>
    <w:rsid w:val="00D8334D"/>
    <w:rsid w:val="00D8339A"/>
    <w:rsid w:val="00D8339D"/>
    <w:rsid w:val="00D833CE"/>
    <w:rsid w:val="00D83456"/>
    <w:rsid w:val="00D834DD"/>
    <w:rsid w:val="00D834F0"/>
    <w:rsid w:val="00D83512"/>
    <w:rsid w:val="00D8351B"/>
    <w:rsid w:val="00D83520"/>
    <w:rsid w:val="00D8353F"/>
    <w:rsid w:val="00D83673"/>
    <w:rsid w:val="00D836DF"/>
    <w:rsid w:val="00D8373C"/>
    <w:rsid w:val="00D8373F"/>
    <w:rsid w:val="00D83744"/>
    <w:rsid w:val="00D83762"/>
    <w:rsid w:val="00D8376C"/>
    <w:rsid w:val="00D83834"/>
    <w:rsid w:val="00D83865"/>
    <w:rsid w:val="00D838C3"/>
    <w:rsid w:val="00D83928"/>
    <w:rsid w:val="00D83972"/>
    <w:rsid w:val="00D83983"/>
    <w:rsid w:val="00D83994"/>
    <w:rsid w:val="00D839D4"/>
    <w:rsid w:val="00D83A13"/>
    <w:rsid w:val="00D83AAB"/>
    <w:rsid w:val="00D83AB5"/>
    <w:rsid w:val="00D83B01"/>
    <w:rsid w:val="00D83B0B"/>
    <w:rsid w:val="00D83B1B"/>
    <w:rsid w:val="00D83B51"/>
    <w:rsid w:val="00D83B64"/>
    <w:rsid w:val="00D83B81"/>
    <w:rsid w:val="00D83B9C"/>
    <w:rsid w:val="00D83BAA"/>
    <w:rsid w:val="00D83C5B"/>
    <w:rsid w:val="00D83C89"/>
    <w:rsid w:val="00D83CCC"/>
    <w:rsid w:val="00D83CCD"/>
    <w:rsid w:val="00D83CFA"/>
    <w:rsid w:val="00D83D02"/>
    <w:rsid w:val="00D83D05"/>
    <w:rsid w:val="00D83D50"/>
    <w:rsid w:val="00D83D9E"/>
    <w:rsid w:val="00D83DA2"/>
    <w:rsid w:val="00D83DEA"/>
    <w:rsid w:val="00D83E39"/>
    <w:rsid w:val="00D83E49"/>
    <w:rsid w:val="00D83E5F"/>
    <w:rsid w:val="00D83E6F"/>
    <w:rsid w:val="00D83E86"/>
    <w:rsid w:val="00D83E9A"/>
    <w:rsid w:val="00D83F34"/>
    <w:rsid w:val="00D83FC0"/>
    <w:rsid w:val="00D83FC9"/>
    <w:rsid w:val="00D83FE9"/>
    <w:rsid w:val="00D840CF"/>
    <w:rsid w:val="00D840D7"/>
    <w:rsid w:val="00D840E1"/>
    <w:rsid w:val="00D84103"/>
    <w:rsid w:val="00D8417E"/>
    <w:rsid w:val="00D841D7"/>
    <w:rsid w:val="00D84229"/>
    <w:rsid w:val="00D8422F"/>
    <w:rsid w:val="00D84234"/>
    <w:rsid w:val="00D8425B"/>
    <w:rsid w:val="00D84286"/>
    <w:rsid w:val="00D84287"/>
    <w:rsid w:val="00D8428C"/>
    <w:rsid w:val="00D8429E"/>
    <w:rsid w:val="00D842E4"/>
    <w:rsid w:val="00D8435E"/>
    <w:rsid w:val="00D84373"/>
    <w:rsid w:val="00D843B6"/>
    <w:rsid w:val="00D843D0"/>
    <w:rsid w:val="00D84423"/>
    <w:rsid w:val="00D844CA"/>
    <w:rsid w:val="00D844FA"/>
    <w:rsid w:val="00D84513"/>
    <w:rsid w:val="00D845D8"/>
    <w:rsid w:val="00D845ED"/>
    <w:rsid w:val="00D84657"/>
    <w:rsid w:val="00D846BF"/>
    <w:rsid w:val="00D8470A"/>
    <w:rsid w:val="00D847A5"/>
    <w:rsid w:val="00D847A9"/>
    <w:rsid w:val="00D848AB"/>
    <w:rsid w:val="00D848FB"/>
    <w:rsid w:val="00D84903"/>
    <w:rsid w:val="00D8493C"/>
    <w:rsid w:val="00D8494A"/>
    <w:rsid w:val="00D8496C"/>
    <w:rsid w:val="00D8496E"/>
    <w:rsid w:val="00D84A4F"/>
    <w:rsid w:val="00D84A86"/>
    <w:rsid w:val="00D84AD1"/>
    <w:rsid w:val="00D84ADB"/>
    <w:rsid w:val="00D84B11"/>
    <w:rsid w:val="00D84B1A"/>
    <w:rsid w:val="00D84B88"/>
    <w:rsid w:val="00D84BB4"/>
    <w:rsid w:val="00D84C11"/>
    <w:rsid w:val="00D84C46"/>
    <w:rsid w:val="00D84CDD"/>
    <w:rsid w:val="00D84D21"/>
    <w:rsid w:val="00D84DB1"/>
    <w:rsid w:val="00D84DE3"/>
    <w:rsid w:val="00D84E2A"/>
    <w:rsid w:val="00D84E52"/>
    <w:rsid w:val="00D84E6B"/>
    <w:rsid w:val="00D84E6C"/>
    <w:rsid w:val="00D84E88"/>
    <w:rsid w:val="00D84EA4"/>
    <w:rsid w:val="00D84ED9"/>
    <w:rsid w:val="00D84F00"/>
    <w:rsid w:val="00D84F40"/>
    <w:rsid w:val="00D84F85"/>
    <w:rsid w:val="00D84FEF"/>
    <w:rsid w:val="00D85038"/>
    <w:rsid w:val="00D85042"/>
    <w:rsid w:val="00D850B1"/>
    <w:rsid w:val="00D8510B"/>
    <w:rsid w:val="00D85172"/>
    <w:rsid w:val="00D85192"/>
    <w:rsid w:val="00D851E0"/>
    <w:rsid w:val="00D8527B"/>
    <w:rsid w:val="00D85286"/>
    <w:rsid w:val="00D85288"/>
    <w:rsid w:val="00D852AD"/>
    <w:rsid w:val="00D852B0"/>
    <w:rsid w:val="00D852DF"/>
    <w:rsid w:val="00D852FB"/>
    <w:rsid w:val="00D8533D"/>
    <w:rsid w:val="00D85348"/>
    <w:rsid w:val="00D8534C"/>
    <w:rsid w:val="00D85364"/>
    <w:rsid w:val="00D85366"/>
    <w:rsid w:val="00D8536C"/>
    <w:rsid w:val="00D853D2"/>
    <w:rsid w:val="00D85460"/>
    <w:rsid w:val="00D85477"/>
    <w:rsid w:val="00D85494"/>
    <w:rsid w:val="00D85505"/>
    <w:rsid w:val="00D85523"/>
    <w:rsid w:val="00D85544"/>
    <w:rsid w:val="00D855ED"/>
    <w:rsid w:val="00D855FD"/>
    <w:rsid w:val="00D85683"/>
    <w:rsid w:val="00D856AA"/>
    <w:rsid w:val="00D856EF"/>
    <w:rsid w:val="00D856F5"/>
    <w:rsid w:val="00D85724"/>
    <w:rsid w:val="00D85751"/>
    <w:rsid w:val="00D8581A"/>
    <w:rsid w:val="00D85820"/>
    <w:rsid w:val="00D858E2"/>
    <w:rsid w:val="00D858E5"/>
    <w:rsid w:val="00D858E7"/>
    <w:rsid w:val="00D85971"/>
    <w:rsid w:val="00D85984"/>
    <w:rsid w:val="00D859B0"/>
    <w:rsid w:val="00D85A1C"/>
    <w:rsid w:val="00D85A3D"/>
    <w:rsid w:val="00D85AB0"/>
    <w:rsid w:val="00D85B1E"/>
    <w:rsid w:val="00D85B45"/>
    <w:rsid w:val="00D85BD4"/>
    <w:rsid w:val="00D85BDB"/>
    <w:rsid w:val="00D85C23"/>
    <w:rsid w:val="00D85C6A"/>
    <w:rsid w:val="00D85CB1"/>
    <w:rsid w:val="00D85CC8"/>
    <w:rsid w:val="00D85D90"/>
    <w:rsid w:val="00D85DF3"/>
    <w:rsid w:val="00D85F3F"/>
    <w:rsid w:val="00D85F7C"/>
    <w:rsid w:val="00D85F8E"/>
    <w:rsid w:val="00D86097"/>
    <w:rsid w:val="00D860BD"/>
    <w:rsid w:val="00D860DD"/>
    <w:rsid w:val="00D86123"/>
    <w:rsid w:val="00D86126"/>
    <w:rsid w:val="00D861B1"/>
    <w:rsid w:val="00D861CB"/>
    <w:rsid w:val="00D861E9"/>
    <w:rsid w:val="00D86216"/>
    <w:rsid w:val="00D8622A"/>
    <w:rsid w:val="00D86276"/>
    <w:rsid w:val="00D86290"/>
    <w:rsid w:val="00D862B5"/>
    <w:rsid w:val="00D862DE"/>
    <w:rsid w:val="00D862DF"/>
    <w:rsid w:val="00D86314"/>
    <w:rsid w:val="00D8634F"/>
    <w:rsid w:val="00D863B7"/>
    <w:rsid w:val="00D863B9"/>
    <w:rsid w:val="00D86438"/>
    <w:rsid w:val="00D86458"/>
    <w:rsid w:val="00D8645F"/>
    <w:rsid w:val="00D86494"/>
    <w:rsid w:val="00D864C6"/>
    <w:rsid w:val="00D864F8"/>
    <w:rsid w:val="00D8650D"/>
    <w:rsid w:val="00D86527"/>
    <w:rsid w:val="00D86533"/>
    <w:rsid w:val="00D86546"/>
    <w:rsid w:val="00D8657D"/>
    <w:rsid w:val="00D86588"/>
    <w:rsid w:val="00D865DF"/>
    <w:rsid w:val="00D865FB"/>
    <w:rsid w:val="00D86621"/>
    <w:rsid w:val="00D86666"/>
    <w:rsid w:val="00D8667D"/>
    <w:rsid w:val="00D86689"/>
    <w:rsid w:val="00D866DC"/>
    <w:rsid w:val="00D8671C"/>
    <w:rsid w:val="00D867E6"/>
    <w:rsid w:val="00D8680C"/>
    <w:rsid w:val="00D86897"/>
    <w:rsid w:val="00D868A2"/>
    <w:rsid w:val="00D86903"/>
    <w:rsid w:val="00D8691C"/>
    <w:rsid w:val="00D86998"/>
    <w:rsid w:val="00D86A27"/>
    <w:rsid w:val="00D86A46"/>
    <w:rsid w:val="00D86AE6"/>
    <w:rsid w:val="00D86B72"/>
    <w:rsid w:val="00D86B93"/>
    <w:rsid w:val="00D86BAE"/>
    <w:rsid w:val="00D86C41"/>
    <w:rsid w:val="00D86C72"/>
    <w:rsid w:val="00D86C9A"/>
    <w:rsid w:val="00D86D2A"/>
    <w:rsid w:val="00D86D56"/>
    <w:rsid w:val="00D86D93"/>
    <w:rsid w:val="00D86DC1"/>
    <w:rsid w:val="00D86E2B"/>
    <w:rsid w:val="00D86E54"/>
    <w:rsid w:val="00D86ED8"/>
    <w:rsid w:val="00D86EFB"/>
    <w:rsid w:val="00D86F00"/>
    <w:rsid w:val="00D8703B"/>
    <w:rsid w:val="00D870A4"/>
    <w:rsid w:val="00D870D4"/>
    <w:rsid w:val="00D870F5"/>
    <w:rsid w:val="00D87116"/>
    <w:rsid w:val="00D8713A"/>
    <w:rsid w:val="00D871E4"/>
    <w:rsid w:val="00D871EA"/>
    <w:rsid w:val="00D87208"/>
    <w:rsid w:val="00D87256"/>
    <w:rsid w:val="00D8725C"/>
    <w:rsid w:val="00D872C2"/>
    <w:rsid w:val="00D87320"/>
    <w:rsid w:val="00D8733D"/>
    <w:rsid w:val="00D873A9"/>
    <w:rsid w:val="00D873E6"/>
    <w:rsid w:val="00D8744C"/>
    <w:rsid w:val="00D87471"/>
    <w:rsid w:val="00D87497"/>
    <w:rsid w:val="00D874A7"/>
    <w:rsid w:val="00D874CD"/>
    <w:rsid w:val="00D874DF"/>
    <w:rsid w:val="00D874E1"/>
    <w:rsid w:val="00D874FD"/>
    <w:rsid w:val="00D8750A"/>
    <w:rsid w:val="00D87537"/>
    <w:rsid w:val="00D8753C"/>
    <w:rsid w:val="00D87580"/>
    <w:rsid w:val="00D875CE"/>
    <w:rsid w:val="00D875E9"/>
    <w:rsid w:val="00D875F2"/>
    <w:rsid w:val="00D8765F"/>
    <w:rsid w:val="00D87666"/>
    <w:rsid w:val="00D876C8"/>
    <w:rsid w:val="00D876F1"/>
    <w:rsid w:val="00D87703"/>
    <w:rsid w:val="00D8777B"/>
    <w:rsid w:val="00D87791"/>
    <w:rsid w:val="00D877AD"/>
    <w:rsid w:val="00D87807"/>
    <w:rsid w:val="00D87834"/>
    <w:rsid w:val="00D87908"/>
    <w:rsid w:val="00D87909"/>
    <w:rsid w:val="00D8792D"/>
    <w:rsid w:val="00D87954"/>
    <w:rsid w:val="00D87957"/>
    <w:rsid w:val="00D8795B"/>
    <w:rsid w:val="00D87965"/>
    <w:rsid w:val="00D87984"/>
    <w:rsid w:val="00D879CE"/>
    <w:rsid w:val="00D87A11"/>
    <w:rsid w:val="00D87A5C"/>
    <w:rsid w:val="00D87A92"/>
    <w:rsid w:val="00D87AC5"/>
    <w:rsid w:val="00D87B0D"/>
    <w:rsid w:val="00D87BCB"/>
    <w:rsid w:val="00D87C5A"/>
    <w:rsid w:val="00D87CC5"/>
    <w:rsid w:val="00D87CD3"/>
    <w:rsid w:val="00D87CE3"/>
    <w:rsid w:val="00D87CEB"/>
    <w:rsid w:val="00D87CFE"/>
    <w:rsid w:val="00D87D4E"/>
    <w:rsid w:val="00D87D81"/>
    <w:rsid w:val="00D87D8D"/>
    <w:rsid w:val="00D87D8F"/>
    <w:rsid w:val="00D87DB8"/>
    <w:rsid w:val="00D87DD5"/>
    <w:rsid w:val="00D87DF4"/>
    <w:rsid w:val="00D87EC5"/>
    <w:rsid w:val="00D87F30"/>
    <w:rsid w:val="00D87FB1"/>
    <w:rsid w:val="00D87FB2"/>
    <w:rsid w:val="00D87FC6"/>
    <w:rsid w:val="00D87FD5"/>
    <w:rsid w:val="00D900B7"/>
    <w:rsid w:val="00D90100"/>
    <w:rsid w:val="00D90189"/>
    <w:rsid w:val="00D9018A"/>
    <w:rsid w:val="00D90209"/>
    <w:rsid w:val="00D90266"/>
    <w:rsid w:val="00D90284"/>
    <w:rsid w:val="00D90369"/>
    <w:rsid w:val="00D9040E"/>
    <w:rsid w:val="00D90411"/>
    <w:rsid w:val="00D9042C"/>
    <w:rsid w:val="00D90468"/>
    <w:rsid w:val="00D904B7"/>
    <w:rsid w:val="00D904DB"/>
    <w:rsid w:val="00D90550"/>
    <w:rsid w:val="00D90557"/>
    <w:rsid w:val="00D9056D"/>
    <w:rsid w:val="00D905B8"/>
    <w:rsid w:val="00D9063F"/>
    <w:rsid w:val="00D9064C"/>
    <w:rsid w:val="00D90699"/>
    <w:rsid w:val="00D9073A"/>
    <w:rsid w:val="00D90751"/>
    <w:rsid w:val="00D907A8"/>
    <w:rsid w:val="00D907D0"/>
    <w:rsid w:val="00D907F8"/>
    <w:rsid w:val="00D9083D"/>
    <w:rsid w:val="00D9098C"/>
    <w:rsid w:val="00D909A7"/>
    <w:rsid w:val="00D909AC"/>
    <w:rsid w:val="00D90A0E"/>
    <w:rsid w:val="00D90A1A"/>
    <w:rsid w:val="00D90A30"/>
    <w:rsid w:val="00D90A76"/>
    <w:rsid w:val="00D90A92"/>
    <w:rsid w:val="00D90B65"/>
    <w:rsid w:val="00D90BD4"/>
    <w:rsid w:val="00D90C9C"/>
    <w:rsid w:val="00D90CB1"/>
    <w:rsid w:val="00D90CBA"/>
    <w:rsid w:val="00D90CD6"/>
    <w:rsid w:val="00D90D12"/>
    <w:rsid w:val="00D90D17"/>
    <w:rsid w:val="00D90D18"/>
    <w:rsid w:val="00D90D29"/>
    <w:rsid w:val="00D90D44"/>
    <w:rsid w:val="00D90D48"/>
    <w:rsid w:val="00D90D52"/>
    <w:rsid w:val="00D90D65"/>
    <w:rsid w:val="00D90E0E"/>
    <w:rsid w:val="00D90E13"/>
    <w:rsid w:val="00D90E2C"/>
    <w:rsid w:val="00D90E55"/>
    <w:rsid w:val="00D90F09"/>
    <w:rsid w:val="00D90FFB"/>
    <w:rsid w:val="00D91039"/>
    <w:rsid w:val="00D9104B"/>
    <w:rsid w:val="00D91056"/>
    <w:rsid w:val="00D910E0"/>
    <w:rsid w:val="00D910EE"/>
    <w:rsid w:val="00D9111F"/>
    <w:rsid w:val="00D911A9"/>
    <w:rsid w:val="00D9128C"/>
    <w:rsid w:val="00D912A0"/>
    <w:rsid w:val="00D912BA"/>
    <w:rsid w:val="00D912D9"/>
    <w:rsid w:val="00D912F8"/>
    <w:rsid w:val="00D91304"/>
    <w:rsid w:val="00D91330"/>
    <w:rsid w:val="00D91377"/>
    <w:rsid w:val="00D9139F"/>
    <w:rsid w:val="00D91428"/>
    <w:rsid w:val="00D91432"/>
    <w:rsid w:val="00D91469"/>
    <w:rsid w:val="00D9154E"/>
    <w:rsid w:val="00D91578"/>
    <w:rsid w:val="00D915A5"/>
    <w:rsid w:val="00D91608"/>
    <w:rsid w:val="00D916B0"/>
    <w:rsid w:val="00D9171C"/>
    <w:rsid w:val="00D91786"/>
    <w:rsid w:val="00D917E7"/>
    <w:rsid w:val="00D91841"/>
    <w:rsid w:val="00D9186B"/>
    <w:rsid w:val="00D918BA"/>
    <w:rsid w:val="00D9191D"/>
    <w:rsid w:val="00D91944"/>
    <w:rsid w:val="00D91953"/>
    <w:rsid w:val="00D9195A"/>
    <w:rsid w:val="00D919A4"/>
    <w:rsid w:val="00D91A18"/>
    <w:rsid w:val="00D91A58"/>
    <w:rsid w:val="00D91AB9"/>
    <w:rsid w:val="00D91B27"/>
    <w:rsid w:val="00D91B86"/>
    <w:rsid w:val="00D91BAC"/>
    <w:rsid w:val="00D91BE1"/>
    <w:rsid w:val="00D91BE7"/>
    <w:rsid w:val="00D91C49"/>
    <w:rsid w:val="00D91C4D"/>
    <w:rsid w:val="00D91CF7"/>
    <w:rsid w:val="00D91D18"/>
    <w:rsid w:val="00D91D35"/>
    <w:rsid w:val="00D91DC5"/>
    <w:rsid w:val="00D91E3D"/>
    <w:rsid w:val="00D91E46"/>
    <w:rsid w:val="00D91E9E"/>
    <w:rsid w:val="00D91F13"/>
    <w:rsid w:val="00D91F2B"/>
    <w:rsid w:val="00D91FAE"/>
    <w:rsid w:val="00D91FBF"/>
    <w:rsid w:val="00D92011"/>
    <w:rsid w:val="00D9201C"/>
    <w:rsid w:val="00D9202A"/>
    <w:rsid w:val="00D9204F"/>
    <w:rsid w:val="00D92064"/>
    <w:rsid w:val="00D92092"/>
    <w:rsid w:val="00D920FD"/>
    <w:rsid w:val="00D92123"/>
    <w:rsid w:val="00D92182"/>
    <w:rsid w:val="00D92197"/>
    <w:rsid w:val="00D921B4"/>
    <w:rsid w:val="00D9222B"/>
    <w:rsid w:val="00D92255"/>
    <w:rsid w:val="00D92264"/>
    <w:rsid w:val="00D92282"/>
    <w:rsid w:val="00D92300"/>
    <w:rsid w:val="00D9232D"/>
    <w:rsid w:val="00D923CF"/>
    <w:rsid w:val="00D923E4"/>
    <w:rsid w:val="00D92440"/>
    <w:rsid w:val="00D924B5"/>
    <w:rsid w:val="00D92501"/>
    <w:rsid w:val="00D9250F"/>
    <w:rsid w:val="00D9251D"/>
    <w:rsid w:val="00D9256A"/>
    <w:rsid w:val="00D92580"/>
    <w:rsid w:val="00D925BF"/>
    <w:rsid w:val="00D925F2"/>
    <w:rsid w:val="00D9262B"/>
    <w:rsid w:val="00D9264C"/>
    <w:rsid w:val="00D92660"/>
    <w:rsid w:val="00D926A4"/>
    <w:rsid w:val="00D926F7"/>
    <w:rsid w:val="00D926FC"/>
    <w:rsid w:val="00D9275A"/>
    <w:rsid w:val="00D927E1"/>
    <w:rsid w:val="00D92815"/>
    <w:rsid w:val="00D9282E"/>
    <w:rsid w:val="00D92858"/>
    <w:rsid w:val="00D92859"/>
    <w:rsid w:val="00D9285B"/>
    <w:rsid w:val="00D928E6"/>
    <w:rsid w:val="00D9295A"/>
    <w:rsid w:val="00D92961"/>
    <w:rsid w:val="00D929C9"/>
    <w:rsid w:val="00D929F2"/>
    <w:rsid w:val="00D92AA2"/>
    <w:rsid w:val="00D92AE6"/>
    <w:rsid w:val="00D92B39"/>
    <w:rsid w:val="00D92B61"/>
    <w:rsid w:val="00D92B71"/>
    <w:rsid w:val="00D92B7C"/>
    <w:rsid w:val="00D92B9F"/>
    <w:rsid w:val="00D92BAA"/>
    <w:rsid w:val="00D92BBE"/>
    <w:rsid w:val="00D92BC4"/>
    <w:rsid w:val="00D92C04"/>
    <w:rsid w:val="00D92C06"/>
    <w:rsid w:val="00D92C0F"/>
    <w:rsid w:val="00D92C2C"/>
    <w:rsid w:val="00D92C58"/>
    <w:rsid w:val="00D92CC0"/>
    <w:rsid w:val="00D92CCD"/>
    <w:rsid w:val="00D92CD4"/>
    <w:rsid w:val="00D92CE5"/>
    <w:rsid w:val="00D92CEE"/>
    <w:rsid w:val="00D92CF4"/>
    <w:rsid w:val="00D92D41"/>
    <w:rsid w:val="00D92D7E"/>
    <w:rsid w:val="00D92DCE"/>
    <w:rsid w:val="00D92DD0"/>
    <w:rsid w:val="00D92E1B"/>
    <w:rsid w:val="00D92E74"/>
    <w:rsid w:val="00D92F17"/>
    <w:rsid w:val="00D92F27"/>
    <w:rsid w:val="00D92F94"/>
    <w:rsid w:val="00D92FE2"/>
    <w:rsid w:val="00D93051"/>
    <w:rsid w:val="00D93068"/>
    <w:rsid w:val="00D9308E"/>
    <w:rsid w:val="00D930D3"/>
    <w:rsid w:val="00D930F1"/>
    <w:rsid w:val="00D93218"/>
    <w:rsid w:val="00D93261"/>
    <w:rsid w:val="00D932C9"/>
    <w:rsid w:val="00D932E4"/>
    <w:rsid w:val="00D932F1"/>
    <w:rsid w:val="00D9332F"/>
    <w:rsid w:val="00D9334E"/>
    <w:rsid w:val="00D933BB"/>
    <w:rsid w:val="00D933FC"/>
    <w:rsid w:val="00D933FE"/>
    <w:rsid w:val="00D9340F"/>
    <w:rsid w:val="00D9345B"/>
    <w:rsid w:val="00D93472"/>
    <w:rsid w:val="00D93501"/>
    <w:rsid w:val="00D9350F"/>
    <w:rsid w:val="00D9358E"/>
    <w:rsid w:val="00D935AA"/>
    <w:rsid w:val="00D9362D"/>
    <w:rsid w:val="00D9364B"/>
    <w:rsid w:val="00D93653"/>
    <w:rsid w:val="00D9368F"/>
    <w:rsid w:val="00D936AC"/>
    <w:rsid w:val="00D936BF"/>
    <w:rsid w:val="00D936C6"/>
    <w:rsid w:val="00D936D6"/>
    <w:rsid w:val="00D93757"/>
    <w:rsid w:val="00D937C8"/>
    <w:rsid w:val="00D937D5"/>
    <w:rsid w:val="00D937E0"/>
    <w:rsid w:val="00D937E2"/>
    <w:rsid w:val="00D9384D"/>
    <w:rsid w:val="00D938E9"/>
    <w:rsid w:val="00D93920"/>
    <w:rsid w:val="00D939A0"/>
    <w:rsid w:val="00D93A01"/>
    <w:rsid w:val="00D93A1B"/>
    <w:rsid w:val="00D93A90"/>
    <w:rsid w:val="00D93AB6"/>
    <w:rsid w:val="00D93AF6"/>
    <w:rsid w:val="00D93B2A"/>
    <w:rsid w:val="00D93B2C"/>
    <w:rsid w:val="00D93B64"/>
    <w:rsid w:val="00D93C5B"/>
    <w:rsid w:val="00D93C9B"/>
    <w:rsid w:val="00D93CCD"/>
    <w:rsid w:val="00D93D14"/>
    <w:rsid w:val="00D93D1B"/>
    <w:rsid w:val="00D93D1F"/>
    <w:rsid w:val="00D93D2A"/>
    <w:rsid w:val="00D93D38"/>
    <w:rsid w:val="00D93D6F"/>
    <w:rsid w:val="00D93DA6"/>
    <w:rsid w:val="00D93DC3"/>
    <w:rsid w:val="00D93E2A"/>
    <w:rsid w:val="00D93E6F"/>
    <w:rsid w:val="00D93EBE"/>
    <w:rsid w:val="00D93F1A"/>
    <w:rsid w:val="00D93F31"/>
    <w:rsid w:val="00D93F61"/>
    <w:rsid w:val="00D93FB8"/>
    <w:rsid w:val="00D93FFE"/>
    <w:rsid w:val="00D9404E"/>
    <w:rsid w:val="00D94078"/>
    <w:rsid w:val="00D9407B"/>
    <w:rsid w:val="00D940C7"/>
    <w:rsid w:val="00D940CE"/>
    <w:rsid w:val="00D94145"/>
    <w:rsid w:val="00D9419A"/>
    <w:rsid w:val="00D941BF"/>
    <w:rsid w:val="00D94201"/>
    <w:rsid w:val="00D94256"/>
    <w:rsid w:val="00D94264"/>
    <w:rsid w:val="00D942A5"/>
    <w:rsid w:val="00D942DD"/>
    <w:rsid w:val="00D9431E"/>
    <w:rsid w:val="00D94320"/>
    <w:rsid w:val="00D94342"/>
    <w:rsid w:val="00D943AC"/>
    <w:rsid w:val="00D943DA"/>
    <w:rsid w:val="00D94459"/>
    <w:rsid w:val="00D944BE"/>
    <w:rsid w:val="00D94513"/>
    <w:rsid w:val="00D9457B"/>
    <w:rsid w:val="00D9457E"/>
    <w:rsid w:val="00D945CB"/>
    <w:rsid w:val="00D94670"/>
    <w:rsid w:val="00D94733"/>
    <w:rsid w:val="00D9477A"/>
    <w:rsid w:val="00D94818"/>
    <w:rsid w:val="00D94827"/>
    <w:rsid w:val="00D94829"/>
    <w:rsid w:val="00D9483E"/>
    <w:rsid w:val="00D948EF"/>
    <w:rsid w:val="00D94970"/>
    <w:rsid w:val="00D949B8"/>
    <w:rsid w:val="00D949DA"/>
    <w:rsid w:val="00D94A32"/>
    <w:rsid w:val="00D94A91"/>
    <w:rsid w:val="00D94AFD"/>
    <w:rsid w:val="00D94B08"/>
    <w:rsid w:val="00D94B33"/>
    <w:rsid w:val="00D94C2B"/>
    <w:rsid w:val="00D94C83"/>
    <w:rsid w:val="00D94C8C"/>
    <w:rsid w:val="00D94CAA"/>
    <w:rsid w:val="00D94CAE"/>
    <w:rsid w:val="00D94CAF"/>
    <w:rsid w:val="00D94CD1"/>
    <w:rsid w:val="00D94D26"/>
    <w:rsid w:val="00D94D3B"/>
    <w:rsid w:val="00D94D74"/>
    <w:rsid w:val="00D94DAC"/>
    <w:rsid w:val="00D94E26"/>
    <w:rsid w:val="00D94E41"/>
    <w:rsid w:val="00D94E4C"/>
    <w:rsid w:val="00D94E64"/>
    <w:rsid w:val="00D94E74"/>
    <w:rsid w:val="00D94F11"/>
    <w:rsid w:val="00D94FA2"/>
    <w:rsid w:val="00D94FB9"/>
    <w:rsid w:val="00D95049"/>
    <w:rsid w:val="00D9504A"/>
    <w:rsid w:val="00D950C3"/>
    <w:rsid w:val="00D950DF"/>
    <w:rsid w:val="00D950E8"/>
    <w:rsid w:val="00D95235"/>
    <w:rsid w:val="00D952C1"/>
    <w:rsid w:val="00D952D9"/>
    <w:rsid w:val="00D952EC"/>
    <w:rsid w:val="00D95301"/>
    <w:rsid w:val="00D95349"/>
    <w:rsid w:val="00D95376"/>
    <w:rsid w:val="00D953D6"/>
    <w:rsid w:val="00D95404"/>
    <w:rsid w:val="00D9545A"/>
    <w:rsid w:val="00D9545D"/>
    <w:rsid w:val="00D95499"/>
    <w:rsid w:val="00D95537"/>
    <w:rsid w:val="00D95558"/>
    <w:rsid w:val="00D9555C"/>
    <w:rsid w:val="00D9556D"/>
    <w:rsid w:val="00D9565F"/>
    <w:rsid w:val="00D956EE"/>
    <w:rsid w:val="00D956FB"/>
    <w:rsid w:val="00D95732"/>
    <w:rsid w:val="00D9573F"/>
    <w:rsid w:val="00D95760"/>
    <w:rsid w:val="00D95864"/>
    <w:rsid w:val="00D95885"/>
    <w:rsid w:val="00D9590D"/>
    <w:rsid w:val="00D95933"/>
    <w:rsid w:val="00D959B7"/>
    <w:rsid w:val="00D959CD"/>
    <w:rsid w:val="00D959DC"/>
    <w:rsid w:val="00D959DD"/>
    <w:rsid w:val="00D95A09"/>
    <w:rsid w:val="00D95A32"/>
    <w:rsid w:val="00D95A4A"/>
    <w:rsid w:val="00D95A6F"/>
    <w:rsid w:val="00D95B45"/>
    <w:rsid w:val="00D95B8B"/>
    <w:rsid w:val="00D95BB6"/>
    <w:rsid w:val="00D95BBE"/>
    <w:rsid w:val="00D95BD7"/>
    <w:rsid w:val="00D95BE9"/>
    <w:rsid w:val="00D95CE1"/>
    <w:rsid w:val="00D95DD2"/>
    <w:rsid w:val="00D95E0C"/>
    <w:rsid w:val="00D95E38"/>
    <w:rsid w:val="00D95E60"/>
    <w:rsid w:val="00D95EEE"/>
    <w:rsid w:val="00D95F43"/>
    <w:rsid w:val="00D95FC9"/>
    <w:rsid w:val="00D9600A"/>
    <w:rsid w:val="00D96021"/>
    <w:rsid w:val="00D9602D"/>
    <w:rsid w:val="00D9605C"/>
    <w:rsid w:val="00D96060"/>
    <w:rsid w:val="00D9606E"/>
    <w:rsid w:val="00D9617F"/>
    <w:rsid w:val="00D96193"/>
    <w:rsid w:val="00D961B6"/>
    <w:rsid w:val="00D961E7"/>
    <w:rsid w:val="00D96220"/>
    <w:rsid w:val="00D96253"/>
    <w:rsid w:val="00D96266"/>
    <w:rsid w:val="00D962CF"/>
    <w:rsid w:val="00D9631B"/>
    <w:rsid w:val="00D9636C"/>
    <w:rsid w:val="00D963D1"/>
    <w:rsid w:val="00D963E9"/>
    <w:rsid w:val="00D96405"/>
    <w:rsid w:val="00D96463"/>
    <w:rsid w:val="00D9649F"/>
    <w:rsid w:val="00D964BC"/>
    <w:rsid w:val="00D964D1"/>
    <w:rsid w:val="00D96536"/>
    <w:rsid w:val="00D96588"/>
    <w:rsid w:val="00D965D5"/>
    <w:rsid w:val="00D9660A"/>
    <w:rsid w:val="00D96620"/>
    <w:rsid w:val="00D96678"/>
    <w:rsid w:val="00D966A0"/>
    <w:rsid w:val="00D966BE"/>
    <w:rsid w:val="00D966F3"/>
    <w:rsid w:val="00D96717"/>
    <w:rsid w:val="00D9672C"/>
    <w:rsid w:val="00D96749"/>
    <w:rsid w:val="00D96776"/>
    <w:rsid w:val="00D9677B"/>
    <w:rsid w:val="00D96797"/>
    <w:rsid w:val="00D967A0"/>
    <w:rsid w:val="00D96821"/>
    <w:rsid w:val="00D96872"/>
    <w:rsid w:val="00D96877"/>
    <w:rsid w:val="00D968C0"/>
    <w:rsid w:val="00D968E6"/>
    <w:rsid w:val="00D96902"/>
    <w:rsid w:val="00D96946"/>
    <w:rsid w:val="00D9694D"/>
    <w:rsid w:val="00D96955"/>
    <w:rsid w:val="00D969C4"/>
    <w:rsid w:val="00D96A03"/>
    <w:rsid w:val="00D96A95"/>
    <w:rsid w:val="00D96AB3"/>
    <w:rsid w:val="00D96B33"/>
    <w:rsid w:val="00D96C60"/>
    <w:rsid w:val="00D96C79"/>
    <w:rsid w:val="00D96C7E"/>
    <w:rsid w:val="00D96C8B"/>
    <w:rsid w:val="00D96CAB"/>
    <w:rsid w:val="00D96CB4"/>
    <w:rsid w:val="00D96CE1"/>
    <w:rsid w:val="00D96CED"/>
    <w:rsid w:val="00D96D13"/>
    <w:rsid w:val="00D96D2E"/>
    <w:rsid w:val="00D96D76"/>
    <w:rsid w:val="00D96DBA"/>
    <w:rsid w:val="00D96DCE"/>
    <w:rsid w:val="00D96DD5"/>
    <w:rsid w:val="00D96E1D"/>
    <w:rsid w:val="00D96E82"/>
    <w:rsid w:val="00D96E94"/>
    <w:rsid w:val="00D96EC0"/>
    <w:rsid w:val="00D96FC4"/>
    <w:rsid w:val="00D96FD8"/>
    <w:rsid w:val="00D970F5"/>
    <w:rsid w:val="00D971F2"/>
    <w:rsid w:val="00D971F9"/>
    <w:rsid w:val="00D97204"/>
    <w:rsid w:val="00D9723C"/>
    <w:rsid w:val="00D9726E"/>
    <w:rsid w:val="00D97310"/>
    <w:rsid w:val="00D97348"/>
    <w:rsid w:val="00D97390"/>
    <w:rsid w:val="00D97420"/>
    <w:rsid w:val="00D97447"/>
    <w:rsid w:val="00D9749A"/>
    <w:rsid w:val="00D974D0"/>
    <w:rsid w:val="00D97501"/>
    <w:rsid w:val="00D97540"/>
    <w:rsid w:val="00D9756C"/>
    <w:rsid w:val="00D97571"/>
    <w:rsid w:val="00D975F5"/>
    <w:rsid w:val="00D97624"/>
    <w:rsid w:val="00D9765E"/>
    <w:rsid w:val="00D9767A"/>
    <w:rsid w:val="00D97698"/>
    <w:rsid w:val="00D976A6"/>
    <w:rsid w:val="00D976BD"/>
    <w:rsid w:val="00D9773C"/>
    <w:rsid w:val="00D977DB"/>
    <w:rsid w:val="00D977FA"/>
    <w:rsid w:val="00D9781A"/>
    <w:rsid w:val="00D9786D"/>
    <w:rsid w:val="00D97899"/>
    <w:rsid w:val="00D978A9"/>
    <w:rsid w:val="00D978CA"/>
    <w:rsid w:val="00D978F4"/>
    <w:rsid w:val="00D9792A"/>
    <w:rsid w:val="00D9794A"/>
    <w:rsid w:val="00D97962"/>
    <w:rsid w:val="00D97969"/>
    <w:rsid w:val="00D979A3"/>
    <w:rsid w:val="00D979CB"/>
    <w:rsid w:val="00D979F0"/>
    <w:rsid w:val="00D97A31"/>
    <w:rsid w:val="00D97A99"/>
    <w:rsid w:val="00D97AB1"/>
    <w:rsid w:val="00D97AF9"/>
    <w:rsid w:val="00D97B8A"/>
    <w:rsid w:val="00D97BD7"/>
    <w:rsid w:val="00D97C51"/>
    <w:rsid w:val="00D97CA9"/>
    <w:rsid w:val="00D97CCF"/>
    <w:rsid w:val="00D97D94"/>
    <w:rsid w:val="00D97DAE"/>
    <w:rsid w:val="00D97DBC"/>
    <w:rsid w:val="00D97EC5"/>
    <w:rsid w:val="00D97ED8"/>
    <w:rsid w:val="00D97EE5"/>
    <w:rsid w:val="00D97F6B"/>
    <w:rsid w:val="00D97FBC"/>
    <w:rsid w:val="00D97FEA"/>
    <w:rsid w:val="00DA0000"/>
    <w:rsid w:val="00DA0045"/>
    <w:rsid w:val="00DA0091"/>
    <w:rsid w:val="00DA00EC"/>
    <w:rsid w:val="00DA00FD"/>
    <w:rsid w:val="00DA014B"/>
    <w:rsid w:val="00DA017B"/>
    <w:rsid w:val="00DA01F8"/>
    <w:rsid w:val="00DA020B"/>
    <w:rsid w:val="00DA021C"/>
    <w:rsid w:val="00DA024B"/>
    <w:rsid w:val="00DA026C"/>
    <w:rsid w:val="00DA02A7"/>
    <w:rsid w:val="00DA02F3"/>
    <w:rsid w:val="00DA0319"/>
    <w:rsid w:val="00DA0321"/>
    <w:rsid w:val="00DA0326"/>
    <w:rsid w:val="00DA038E"/>
    <w:rsid w:val="00DA0396"/>
    <w:rsid w:val="00DA04AB"/>
    <w:rsid w:val="00DA04D9"/>
    <w:rsid w:val="00DA04F0"/>
    <w:rsid w:val="00DA0661"/>
    <w:rsid w:val="00DA0663"/>
    <w:rsid w:val="00DA06A4"/>
    <w:rsid w:val="00DA06A9"/>
    <w:rsid w:val="00DA07E7"/>
    <w:rsid w:val="00DA08B9"/>
    <w:rsid w:val="00DA08C7"/>
    <w:rsid w:val="00DA08D6"/>
    <w:rsid w:val="00DA08E4"/>
    <w:rsid w:val="00DA08EB"/>
    <w:rsid w:val="00DA08F3"/>
    <w:rsid w:val="00DA0948"/>
    <w:rsid w:val="00DA0984"/>
    <w:rsid w:val="00DA0A19"/>
    <w:rsid w:val="00DA0A37"/>
    <w:rsid w:val="00DA0A5A"/>
    <w:rsid w:val="00DA0A5F"/>
    <w:rsid w:val="00DA0B00"/>
    <w:rsid w:val="00DA0B3F"/>
    <w:rsid w:val="00DA0B91"/>
    <w:rsid w:val="00DA0C27"/>
    <w:rsid w:val="00DA0CF7"/>
    <w:rsid w:val="00DA0D27"/>
    <w:rsid w:val="00DA0D3B"/>
    <w:rsid w:val="00DA0D4D"/>
    <w:rsid w:val="00DA0D8D"/>
    <w:rsid w:val="00DA0E4A"/>
    <w:rsid w:val="00DA0E57"/>
    <w:rsid w:val="00DA0E58"/>
    <w:rsid w:val="00DA0E71"/>
    <w:rsid w:val="00DA0ED4"/>
    <w:rsid w:val="00DA0F5E"/>
    <w:rsid w:val="00DA0F8B"/>
    <w:rsid w:val="00DA101B"/>
    <w:rsid w:val="00DA1023"/>
    <w:rsid w:val="00DA10B8"/>
    <w:rsid w:val="00DA10D8"/>
    <w:rsid w:val="00DA113B"/>
    <w:rsid w:val="00DA1183"/>
    <w:rsid w:val="00DA118D"/>
    <w:rsid w:val="00DA12A2"/>
    <w:rsid w:val="00DA12A7"/>
    <w:rsid w:val="00DA12D2"/>
    <w:rsid w:val="00DA130A"/>
    <w:rsid w:val="00DA1336"/>
    <w:rsid w:val="00DA137D"/>
    <w:rsid w:val="00DA139C"/>
    <w:rsid w:val="00DA1408"/>
    <w:rsid w:val="00DA144F"/>
    <w:rsid w:val="00DA1470"/>
    <w:rsid w:val="00DA1486"/>
    <w:rsid w:val="00DA14EF"/>
    <w:rsid w:val="00DA150F"/>
    <w:rsid w:val="00DA151D"/>
    <w:rsid w:val="00DA15B7"/>
    <w:rsid w:val="00DA15C2"/>
    <w:rsid w:val="00DA169D"/>
    <w:rsid w:val="00DA172A"/>
    <w:rsid w:val="00DA1750"/>
    <w:rsid w:val="00DA1789"/>
    <w:rsid w:val="00DA1882"/>
    <w:rsid w:val="00DA189C"/>
    <w:rsid w:val="00DA18F0"/>
    <w:rsid w:val="00DA1968"/>
    <w:rsid w:val="00DA1974"/>
    <w:rsid w:val="00DA19A3"/>
    <w:rsid w:val="00DA19CB"/>
    <w:rsid w:val="00DA1A0A"/>
    <w:rsid w:val="00DA1AE3"/>
    <w:rsid w:val="00DA1AEA"/>
    <w:rsid w:val="00DA1B02"/>
    <w:rsid w:val="00DA1B07"/>
    <w:rsid w:val="00DA1B17"/>
    <w:rsid w:val="00DA1BB0"/>
    <w:rsid w:val="00DA1BCF"/>
    <w:rsid w:val="00DA1C13"/>
    <w:rsid w:val="00DA1C90"/>
    <w:rsid w:val="00DA1CB8"/>
    <w:rsid w:val="00DA1CF0"/>
    <w:rsid w:val="00DA1D2F"/>
    <w:rsid w:val="00DA1D47"/>
    <w:rsid w:val="00DA1D9A"/>
    <w:rsid w:val="00DA1E7B"/>
    <w:rsid w:val="00DA1E87"/>
    <w:rsid w:val="00DA1E92"/>
    <w:rsid w:val="00DA1F4B"/>
    <w:rsid w:val="00DA1F51"/>
    <w:rsid w:val="00DA1F8B"/>
    <w:rsid w:val="00DA1FBA"/>
    <w:rsid w:val="00DA1FF5"/>
    <w:rsid w:val="00DA2033"/>
    <w:rsid w:val="00DA2064"/>
    <w:rsid w:val="00DA206B"/>
    <w:rsid w:val="00DA20A2"/>
    <w:rsid w:val="00DA20AB"/>
    <w:rsid w:val="00DA20B4"/>
    <w:rsid w:val="00DA2119"/>
    <w:rsid w:val="00DA2184"/>
    <w:rsid w:val="00DA21EE"/>
    <w:rsid w:val="00DA2261"/>
    <w:rsid w:val="00DA22E4"/>
    <w:rsid w:val="00DA2302"/>
    <w:rsid w:val="00DA23AB"/>
    <w:rsid w:val="00DA23CB"/>
    <w:rsid w:val="00DA23DF"/>
    <w:rsid w:val="00DA242E"/>
    <w:rsid w:val="00DA24BE"/>
    <w:rsid w:val="00DA253B"/>
    <w:rsid w:val="00DA2558"/>
    <w:rsid w:val="00DA2563"/>
    <w:rsid w:val="00DA25A6"/>
    <w:rsid w:val="00DA25D5"/>
    <w:rsid w:val="00DA25F6"/>
    <w:rsid w:val="00DA25FB"/>
    <w:rsid w:val="00DA25FD"/>
    <w:rsid w:val="00DA26B3"/>
    <w:rsid w:val="00DA26B8"/>
    <w:rsid w:val="00DA26FB"/>
    <w:rsid w:val="00DA2745"/>
    <w:rsid w:val="00DA275A"/>
    <w:rsid w:val="00DA27B1"/>
    <w:rsid w:val="00DA2871"/>
    <w:rsid w:val="00DA28DA"/>
    <w:rsid w:val="00DA28DB"/>
    <w:rsid w:val="00DA2909"/>
    <w:rsid w:val="00DA29DE"/>
    <w:rsid w:val="00DA2A38"/>
    <w:rsid w:val="00DA2A54"/>
    <w:rsid w:val="00DA2A6D"/>
    <w:rsid w:val="00DA2A83"/>
    <w:rsid w:val="00DA2A8B"/>
    <w:rsid w:val="00DA2A9E"/>
    <w:rsid w:val="00DA2AF2"/>
    <w:rsid w:val="00DA2B0E"/>
    <w:rsid w:val="00DA2B16"/>
    <w:rsid w:val="00DA2B25"/>
    <w:rsid w:val="00DA2B79"/>
    <w:rsid w:val="00DA2B85"/>
    <w:rsid w:val="00DA2BBB"/>
    <w:rsid w:val="00DA2BCE"/>
    <w:rsid w:val="00DA2C0B"/>
    <w:rsid w:val="00DA2CBC"/>
    <w:rsid w:val="00DA2CD0"/>
    <w:rsid w:val="00DA2CDC"/>
    <w:rsid w:val="00DA2DA4"/>
    <w:rsid w:val="00DA2DCA"/>
    <w:rsid w:val="00DA2DD7"/>
    <w:rsid w:val="00DA2DF0"/>
    <w:rsid w:val="00DA2E09"/>
    <w:rsid w:val="00DA2E44"/>
    <w:rsid w:val="00DA2E77"/>
    <w:rsid w:val="00DA2E8B"/>
    <w:rsid w:val="00DA2ECC"/>
    <w:rsid w:val="00DA2EE6"/>
    <w:rsid w:val="00DA2F69"/>
    <w:rsid w:val="00DA2FF1"/>
    <w:rsid w:val="00DA300A"/>
    <w:rsid w:val="00DA3018"/>
    <w:rsid w:val="00DA304E"/>
    <w:rsid w:val="00DA3058"/>
    <w:rsid w:val="00DA3084"/>
    <w:rsid w:val="00DA30DA"/>
    <w:rsid w:val="00DA3117"/>
    <w:rsid w:val="00DA3147"/>
    <w:rsid w:val="00DA31A0"/>
    <w:rsid w:val="00DA31BE"/>
    <w:rsid w:val="00DA31C0"/>
    <w:rsid w:val="00DA31C4"/>
    <w:rsid w:val="00DA31D2"/>
    <w:rsid w:val="00DA320C"/>
    <w:rsid w:val="00DA328E"/>
    <w:rsid w:val="00DA3297"/>
    <w:rsid w:val="00DA32CF"/>
    <w:rsid w:val="00DA32D4"/>
    <w:rsid w:val="00DA32D9"/>
    <w:rsid w:val="00DA32FC"/>
    <w:rsid w:val="00DA330A"/>
    <w:rsid w:val="00DA3378"/>
    <w:rsid w:val="00DA34D4"/>
    <w:rsid w:val="00DA34EA"/>
    <w:rsid w:val="00DA34F4"/>
    <w:rsid w:val="00DA34F6"/>
    <w:rsid w:val="00DA353A"/>
    <w:rsid w:val="00DA3550"/>
    <w:rsid w:val="00DA35F0"/>
    <w:rsid w:val="00DA363B"/>
    <w:rsid w:val="00DA3686"/>
    <w:rsid w:val="00DA36A0"/>
    <w:rsid w:val="00DA36C2"/>
    <w:rsid w:val="00DA3738"/>
    <w:rsid w:val="00DA3752"/>
    <w:rsid w:val="00DA3852"/>
    <w:rsid w:val="00DA388A"/>
    <w:rsid w:val="00DA38A5"/>
    <w:rsid w:val="00DA3956"/>
    <w:rsid w:val="00DA3969"/>
    <w:rsid w:val="00DA3A32"/>
    <w:rsid w:val="00DA3A75"/>
    <w:rsid w:val="00DA3A9D"/>
    <w:rsid w:val="00DA3B41"/>
    <w:rsid w:val="00DA3BAA"/>
    <w:rsid w:val="00DA3BC7"/>
    <w:rsid w:val="00DA3C86"/>
    <w:rsid w:val="00DA3C9F"/>
    <w:rsid w:val="00DA3D53"/>
    <w:rsid w:val="00DA3D54"/>
    <w:rsid w:val="00DA3D69"/>
    <w:rsid w:val="00DA3DB2"/>
    <w:rsid w:val="00DA3DC8"/>
    <w:rsid w:val="00DA3DDD"/>
    <w:rsid w:val="00DA3E59"/>
    <w:rsid w:val="00DA3E60"/>
    <w:rsid w:val="00DA3E9E"/>
    <w:rsid w:val="00DA3F56"/>
    <w:rsid w:val="00DA3F81"/>
    <w:rsid w:val="00DA3F89"/>
    <w:rsid w:val="00DA3F99"/>
    <w:rsid w:val="00DA3FB1"/>
    <w:rsid w:val="00DA3FB7"/>
    <w:rsid w:val="00DA3FD8"/>
    <w:rsid w:val="00DA3FDE"/>
    <w:rsid w:val="00DA3FF0"/>
    <w:rsid w:val="00DA4049"/>
    <w:rsid w:val="00DA4050"/>
    <w:rsid w:val="00DA408C"/>
    <w:rsid w:val="00DA40DC"/>
    <w:rsid w:val="00DA40E4"/>
    <w:rsid w:val="00DA4106"/>
    <w:rsid w:val="00DA4176"/>
    <w:rsid w:val="00DA41CA"/>
    <w:rsid w:val="00DA41CB"/>
    <w:rsid w:val="00DA4213"/>
    <w:rsid w:val="00DA4358"/>
    <w:rsid w:val="00DA4362"/>
    <w:rsid w:val="00DA4370"/>
    <w:rsid w:val="00DA4397"/>
    <w:rsid w:val="00DA43ED"/>
    <w:rsid w:val="00DA43FC"/>
    <w:rsid w:val="00DA4441"/>
    <w:rsid w:val="00DA4449"/>
    <w:rsid w:val="00DA4484"/>
    <w:rsid w:val="00DA44E0"/>
    <w:rsid w:val="00DA4509"/>
    <w:rsid w:val="00DA45EC"/>
    <w:rsid w:val="00DA4615"/>
    <w:rsid w:val="00DA467C"/>
    <w:rsid w:val="00DA4687"/>
    <w:rsid w:val="00DA46B9"/>
    <w:rsid w:val="00DA4749"/>
    <w:rsid w:val="00DA4759"/>
    <w:rsid w:val="00DA477C"/>
    <w:rsid w:val="00DA4790"/>
    <w:rsid w:val="00DA4796"/>
    <w:rsid w:val="00DA4837"/>
    <w:rsid w:val="00DA483C"/>
    <w:rsid w:val="00DA4871"/>
    <w:rsid w:val="00DA499B"/>
    <w:rsid w:val="00DA49CD"/>
    <w:rsid w:val="00DA4A1E"/>
    <w:rsid w:val="00DA4A68"/>
    <w:rsid w:val="00DA4A90"/>
    <w:rsid w:val="00DA4AAF"/>
    <w:rsid w:val="00DA4AD4"/>
    <w:rsid w:val="00DA4AE5"/>
    <w:rsid w:val="00DA4AF7"/>
    <w:rsid w:val="00DA4B52"/>
    <w:rsid w:val="00DA4B6A"/>
    <w:rsid w:val="00DA4BB4"/>
    <w:rsid w:val="00DA4C07"/>
    <w:rsid w:val="00DA4C39"/>
    <w:rsid w:val="00DA4C45"/>
    <w:rsid w:val="00DA4C8E"/>
    <w:rsid w:val="00DA4CBF"/>
    <w:rsid w:val="00DA4CC4"/>
    <w:rsid w:val="00DA4CF2"/>
    <w:rsid w:val="00DA4D06"/>
    <w:rsid w:val="00DA4D07"/>
    <w:rsid w:val="00DA4D11"/>
    <w:rsid w:val="00DA4E43"/>
    <w:rsid w:val="00DA4EBA"/>
    <w:rsid w:val="00DA4EE9"/>
    <w:rsid w:val="00DA4F23"/>
    <w:rsid w:val="00DA4F33"/>
    <w:rsid w:val="00DA4F3A"/>
    <w:rsid w:val="00DA4F69"/>
    <w:rsid w:val="00DA4F7B"/>
    <w:rsid w:val="00DA4F92"/>
    <w:rsid w:val="00DA4FA7"/>
    <w:rsid w:val="00DA4FB3"/>
    <w:rsid w:val="00DA5038"/>
    <w:rsid w:val="00DA5091"/>
    <w:rsid w:val="00DA50DC"/>
    <w:rsid w:val="00DA50E8"/>
    <w:rsid w:val="00DA5143"/>
    <w:rsid w:val="00DA5165"/>
    <w:rsid w:val="00DA51BD"/>
    <w:rsid w:val="00DA51E3"/>
    <w:rsid w:val="00DA51E7"/>
    <w:rsid w:val="00DA5248"/>
    <w:rsid w:val="00DA52B0"/>
    <w:rsid w:val="00DA5317"/>
    <w:rsid w:val="00DA53B5"/>
    <w:rsid w:val="00DA53CA"/>
    <w:rsid w:val="00DA53E6"/>
    <w:rsid w:val="00DA547A"/>
    <w:rsid w:val="00DA54B1"/>
    <w:rsid w:val="00DA5517"/>
    <w:rsid w:val="00DA5566"/>
    <w:rsid w:val="00DA5573"/>
    <w:rsid w:val="00DA557D"/>
    <w:rsid w:val="00DA55F5"/>
    <w:rsid w:val="00DA5613"/>
    <w:rsid w:val="00DA56B1"/>
    <w:rsid w:val="00DA56FB"/>
    <w:rsid w:val="00DA5702"/>
    <w:rsid w:val="00DA574E"/>
    <w:rsid w:val="00DA57B2"/>
    <w:rsid w:val="00DA57BE"/>
    <w:rsid w:val="00DA57C0"/>
    <w:rsid w:val="00DA57EF"/>
    <w:rsid w:val="00DA5811"/>
    <w:rsid w:val="00DA5862"/>
    <w:rsid w:val="00DA590B"/>
    <w:rsid w:val="00DA592D"/>
    <w:rsid w:val="00DA594A"/>
    <w:rsid w:val="00DA5956"/>
    <w:rsid w:val="00DA5972"/>
    <w:rsid w:val="00DA5999"/>
    <w:rsid w:val="00DA5A47"/>
    <w:rsid w:val="00DA5AC3"/>
    <w:rsid w:val="00DA5ADF"/>
    <w:rsid w:val="00DA5B22"/>
    <w:rsid w:val="00DA5B2B"/>
    <w:rsid w:val="00DA5B89"/>
    <w:rsid w:val="00DA5D4F"/>
    <w:rsid w:val="00DA5D6F"/>
    <w:rsid w:val="00DA5D7F"/>
    <w:rsid w:val="00DA5DD4"/>
    <w:rsid w:val="00DA5DE9"/>
    <w:rsid w:val="00DA5E99"/>
    <w:rsid w:val="00DA5EB2"/>
    <w:rsid w:val="00DA5EB7"/>
    <w:rsid w:val="00DA5EEC"/>
    <w:rsid w:val="00DA5F02"/>
    <w:rsid w:val="00DA5F08"/>
    <w:rsid w:val="00DA5F93"/>
    <w:rsid w:val="00DA5F98"/>
    <w:rsid w:val="00DA5FDD"/>
    <w:rsid w:val="00DA5FE9"/>
    <w:rsid w:val="00DA6002"/>
    <w:rsid w:val="00DA6003"/>
    <w:rsid w:val="00DA6049"/>
    <w:rsid w:val="00DA6058"/>
    <w:rsid w:val="00DA6072"/>
    <w:rsid w:val="00DA60EA"/>
    <w:rsid w:val="00DA612E"/>
    <w:rsid w:val="00DA614A"/>
    <w:rsid w:val="00DA618E"/>
    <w:rsid w:val="00DA61CA"/>
    <w:rsid w:val="00DA61DC"/>
    <w:rsid w:val="00DA6285"/>
    <w:rsid w:val="00DA628E"/>
    <w:rsid w:val="00DA629B"/>
    <w:rsid w:val="00DA62DA"/>
    <w:rsid w:val="00DA62E9"/>
    <w:rsid w:val="00DA634C"/>
    <w:rsid w:val="00DA6362"/>
    <w:rsid w:val="00DA63C1"/>
    <w:rsid w:val="00DA63C2"/>
    <w:rsid w:val="00DA6495"/>
    <w:rsid w:val="00DA6496"/>
    <w:rsid w:val="00DA64BE"/>
    <w:rsid w:val="00DA6549"/>
    <w:rsid w:val="00DA6583"/>
    <w:rsid w:val="00DA65BF"/>
    <w:rsid w:val="00DA6636"/>
    <w:rsid w:val="00DA6650"/>
    <w:rsid w:val="00DA6671"/>
    <w:rsid w:val="00DA6694"/>
    <w:rsid w:val="00DA66AF"/>
    <w:rsid w:val="00DA66F2"/>
    <w:rsid w:val="00DA66FC"/>
    <w:rsid w:val="00DA6714"/>
    <w:rsid w:val="00DA67A5"/>
    <w:rsid w:val="00DA684A"/>
    <w:rsid w:val="00DA6867"/>
    <w:rsid w:val="00DA6897"/>
    <w:rsid w:val="00DA68D5"/>
    <w:rsid w:val="00DA68F9"/>
    <w:rsid w:val="00DA69A8"/>
    <w:rsid w:val="00DA69AD"/>
    <w:rsid w:val="00DA6A43"/>
    <w:rsid w:val="00DA6A55"/>
    <w:rsid w:val="00DA6AAD"/>
    <w:rsid w:val="00DA6AD9"/>
    <w:rsid w:val="00DA6AF2"/>
    <w:rsid w:val="00DA6AF4"/>
    <w:rsid w:val="00DA6B13"/>
    <w:rsid w:val="00DA6B46"/>
    <w:rsid w:val="00DA6B54"/>
    <w:rsid w:val="00DA6B7A"/>
    <w:rsid w:val="00DA6B7B"/>
    <w:rsid w:val="00DA6B93"/>
    <w:rsid w:val="00DA6BC0"/>
    <w:rsid w:val="00DA6C61"/>
    <w:rsid w:val="00DA6C6B"/>
    <w:rsid w:val="00DA6C95"/>
    <w:rsid w:val="00DA6CA0"/>
    <w:rsid w:val="00DA6CC1"/>
    <w:rsid w:val="00DA6CDB"/>
    <w:rsid w:val="00DA6D59"/>
    <w:rsid w:val="00DA6D5C"/>
    <w:rsid w:val="00DA6DAA"/>
    <w:rsid w:val="00DA6DAF"/>
    <w:rsid w:val="00DA6DE3"/>
    <w:rsid w:val="00DA6E48"/>
    <w:rsid w:val="00DA6E4B"/>
    <w:rsid w:val="00DA6F66"/>
    <w:rsid w:val="00DA6F9B"/>
    <w:rsid w:val="00DA6FCC"/>
    <w:rsid w:val="00DA7047"/>
    <w:rsid w:val="00DA705B"/>
    <w:rsid w:val="00DA708F"/>
    <w:rsid w:val="00DA70B7"/>
    <w:rsid w:val="00DA70FE"/>
    <w:rsid w:val="00DA7105"/>
    <w:rsid w:val="00DA71C0"/>
    <w:rsid w:val="00DA71EE"/>
    <w:rsid w:val="00DA71F6"/>
    <w:rsid w:val="00DA7206"/>
    <w:rsid w:val="00DA722D"/>
    <w:rsid w:val="00DA7262"/>
    <w:rsid w:val="00DA7293"/>
    <w:rsid w:val="00DA72D8"/>
    <w:rsid w:val="00DA72F8"/>
    <w:rsid w:val="00DA7316"/>
    <w:rsid w:val="00DA7378"/>
    <w:rsid w:val="00DA737B"/>
    <w:rsid w:val="00DA737D"/>
    <w:rsid w:val="00DA73CD"/>
    <w:rsid w:val="00DA73E0"/>
    <w:rsid w:val="00DA7408"/>
    <w:rsid w:val="00DA7418"/>
    <w:rsid w:val="00DA7453"/>
    <w:rsid w:val="00DA74BA"/>
    <w:rsid w:val="00DA7509"/>
    <w:rsid w:val="00DA75BA"/>
    <w:rsid w:val="00DA75F3"/>
    <w:rsid w:val="00DA76BF"/>
    <w:rsid w:val="00DA76D2"/>
    <w:rsid w:val="00DA76D4"/>
    <w:rsid w:val="00DA76FE"/>
    <w:rsid w:val="00DA7760"/>
    <w:rsid w:val="00DA77A3"/>
    <w:rsid w:val="00DA780E"/>
    <w:rsid w:val="00DA7872"/>
    <w:rsid w:val="00DA7875"/>
    <w:rsid w:val="00DA78D7"/>
    <w:rsid w:val="00DA795D"/>
    <w:rsid w:val="00DA7A35"/>
    <w:rsid w:val="00DA7A66"/>
    <w:rsid w:val="00DA7A8E"/>
    <w:rsid w:val="00DA7AA7"/>
    <w:rsid w:val="00DA7ABD"/>
    <w:rsid w:val="00DA7AE1"/>
    <w:rsid w:val="00DA7B3C"/>
    <w:rsid w:val="00DA7CEE"/>
    <w:rsid w:val="00DA7D76"/>
    <w:rsid w:val="00DA7D77"/>
    <w:rsid w:val="00DA7DD5"/>
    <w:rsid w:val="00DA7DF5"/>
    <w:rsid w:val="00DA7E1A"/>
    <w:rsid w:val="00DA7E64"/>
    <w:rsid w:val="00DA7E89"/>
    <w:rsid w:val="00DA7E93"/>
    <w:rsid w:val="00DA7EA7"/>
    <w:rsid w:val="00DA7EC0"/>
    <w:rsid w:val="00DA7ED7"/>
    <w:rsid w:val="00DA7F3B"/>
    <w:rsid w:val="00DA7F7C"/>
    <w:rsid w:val="00DA7FAC"/>
    <w:rsid w:val="00DB003C"/>
    <w:rsid w:val="00DB00D0"/>
    <w:rsid w:val="00DB0112"/>
    <w:rsid w:val="00DB0127"/>
    <w:rsid w:val="00DB0190"/>
    <w:rsid w:val="00DB01C3"/>
    <w:rsid w:val="00DB0205"/>
    <w:rsid w:val="00DB0243"/>
    <w:rsid w:val="00DB029D"/>
    <w:rsid w:val="00DB02B7"/>
    <w:rsid w:val="00DB02F9"/>
    <w:rsid w:val="00DB035E"/>
    <w:rsid w:val="00DB03BE"/>
    <w:rsid w:val="00DB0421"/>
    <w:rsid w:val="00DB0482"/>
    <w:rsid w:val="00DB048C"/>
    <w:rsid w:val="00DB0497"/>
    <w:rsid w:val="00DB04F8"/>
    <w:rsid w:val="00DB0569"/>
    <w:rsid w:val="00DB058A"/>
    <w:rsid w:val="00DB059C"/>
    <w:rsid w:val="00DB05BE"/>
    <w:rsid w:val="00DB05D7"/>
    <w:rsid w:val="00DB05F2"/>
    <w:rsid w:val="00DB065E"/>
    <w:rsid w:val="00DB06AE"/>
    <w:rsid w:val="00DB06D6"/>
    <w:rsid w:val="00DB076A"/>
    <w:rsid w:val="00DB0774"/>
    <w:rsid w:val="00DB0782"/>
    <w:rsid w:val="00DB0870"/>
    <w:rsid w:val="00DB08C8"/>
    <w:rsid w:val="00DB08D7"/>
    <w:rsid w:val="00DB0982"/>
    <w:rsid w:val="00DB09A7"/>
    <w:rsid w:val="00DB09B2"/>
    <w:rsid w:val="00DB09C9"/>
    <w:rsid w:val="00DB09CB"/>
    <w:rsid w:val="00DB09D7"/>
    <w:rsid w:val="00DB0A1E"/>
    <w:rsid w:val="00DB0A97"/>
    <w:rsid w:val="00DB0A9E"/>
    <w:rsid w:val="00DB0AB9"/>
    <w:rsid w:val="00DB0AC1"/>
    <w:rsid w:val="00DB0B69"/>
    <w:rsid w:val="00DB0BB6"/>
    <w:rsid w:val="00DB0C39"/>
    <w:rsid w:val="00DB0C4D"/>
    <w:rsid w:val="00DB0C4E"/>
    <w:rsid w:val="00DB0C54"/>
    <w:rsid w:val="00DB0C80"/>
    <w:rsid w:val="00DB0CD0"/>
    <w:rsid w:val="00DB0D58"/>
    <w:rsid w:val="00DB0DB1"/>
    <w:rsid w:val="00DB0E01"/>
    <w:rsid w:val="00DB0E35"/>
    <w:rsid w:val="00DB0E3A"/>
    <w:rsid w:val="00DB0ECB"/>
    <w:rsid w:val="00DB0F58"/>
    <w:rsid w:val="00DB0FEB"/>
    <w:rsid w:val="00DB1041"/>
    <w:rsid w:val="00DB1046"/>
    <w:rsid w:val="00DB1069"/>
    <w:rsid w:val="00DB109A"/>
    <w:rsid w:val="00DB10EB"/>
    <w:rsid w:val="00DB1102"/>
    <w:rsid w:val="00DB1123"/>
    <w:rsid w:val="00DB116F"/>
    <w:rsid w:val="00DB11BD"/>
    <w:rsid w:val="00DB122E"/>
    <w:rsid w:val="00DB1237"/>
    <w:rsid w:val="00DB12AB"/>
    <w:rsid w:val="00DB12B2"/>
    <w:rsid w:val="00DB130F"/>
    <w:rsid w:val="00DB13A4"/>
    <w:rsid w:val="00DB13ED"/>
    <w:rsid w:val="00DB141A"/>
    <w:rsid w:val="00DB14A4"/>
    <w:rsid w:val="00DB14BE"/>
    <w:rsid w:val="00DB14E7"/>
    <w:rsid w:val="00DB15AA"/>
    <w:rsid w:val="00DB1651"/>
    <w:rsid w:val="00DB1670"/>
    <w:rsid w:val="00DB169D"/>
    <w:rsid w:val="00DB1764"/>
    <w:rsid w:val="00DB1792"/>
    <w:rsid w:val="00DB17A6"/>
    <w:rsid w:val="00DB1833"/>
    <w:rsid w:val="00DB184F"/>
    <w:rsid w:val="00DB1879"/>
    <w:rsid w:val="00DB18C5"/>
    <w:rsid w:val="00DB18D8"/>
    <w:rsid w:val="00DB1917"/>
    <w:rsid w:val="00DB1971"/>
    <w:rsid w:val="00DB19ED"/>
    <w:rsid w:val="00DB1A4B"/>
    <w:rsid w:val="00DB1AC3"/>
    <w:rsid w:val="00DB1AD2"/>
    <w:rsid w:val="00DB1AE2"/>
    <w:rsid w:val="00DB1B36"/>
    <w:rsid w:val="00DB1B3E"/>
    <w:rsid w:val="00DB1B4C"/>
    <w:rsid w:val="00DB1BE9"/>
    <w:rsid w:val="00DB1BF3"/>
    <w:rsid w:val="00DB1C25"/>
    <w:rsid w:val="00DB1C6D"/>
    <w:rsid w:val="00DB1C72"/>
    <w:rsid w:val="00DB1CE6"/>
    <w:rsid w:val="00DB1D06"/>
    <w:rsid w:val="00DB1D07"/>
    <w:rsid w:val="00DB1D37"/>
    <w:rsid w:val="00DB1D44"/>
    <w:rsid w:val="00DB1D65"/>
    <w:rsid w:val="00DB1D8E"/>
    <w:rsid w:val="00DB1DC6"/>
    <w:rsid w:val="00DB1ED2"/>
    <w:rsid w:val="00DB1FA6"/>
    <w:rsid w:val="00DB2010"/>
    <w:rsid w:val="00DB2048"/>
    <w:rsid w:val="00DB207D"/>
    <w:rsid w:val="00DB2091"/>
    <w:rsid w:val="00DB20CE"/>
    <w:rsid w:val="00DB20D1"/>
    <w:rsid w:val="00DB20F5"/>
    <w:rsid w:val="00DB20F9"/>
    <w:rsid w:val="00DB2119"/>
    <w:rsid w:val="00DB215A"/>
    <w:rsid w:val="00DB21D3"/>
    <w:rsid w:val="00DB2249"/>
    <w:rsid w:val="00DB2274"/>
    <w:rsid w:val="00DB227F"/>
    <w:rsid w:val="00DB22C4"/>
    <w:rsid w:val="00DB22FA"/>
    <w:rsid w:val="00DB2348"/>
    <w:rsid w:val="00DB23AC"/>
    <w:rsid w:val="00DB2402"/>
    <w:rsid w:val="00DB2407"/>
    <w:rsid w:val="00DB248D"/>
    <w:rsid w:val="00DB24AA"/>
    <w:rsid w:val="00DB24F6"/>
    <w:rsid w:val="00DB2598"/>
    <w:rsid w:val="00DB261C"/>
    <w:rsid w:val="00DB264C"/>
    <w:rsid w:val="00DB2661"/>
    <w:rsid w:val="00DB2738"/>
    <w:rsid w:val="00DB27D9"/>
    <w:rsid w:val="00DB27DC"/>
    <w:rsid w:val="00DB280E"/>
    <w:rsid w:val="00DB281F"/>
    <w:rsid w:val="00DB2843"/>
    <w:rsid w:val="00DB28AF"/>
    <w:rsid w:val="00DB28D0"/>
    <w:rsid w:val="00DB2902"/>
    <w:rsid w:val="00DB291B"/>
    <w:rsid w:val="00DB297E"/>
    <w:rsid w:val="00DB29AB"/>
    <w:rsid w:val="00DB29DF"/>
    <w:rsid w:val="00DB29E1"/>
    <w:rsid w:val="00DB2A0F"/>
    <w:rsid w:val="00DB2A42"/>
    <w:rsid w:val="00DB2A5E"/>
    <w:rsid w:val="00DB2A7B"/>
    <w:rsid w:val="00DB2AA2"/>
    <w:rsid w:val="00DB2AAE"/>
    <w:rsid w:val="00DB2ACD"/>
    <w:rsid w:val="00DB2AE8"/>
    <w:rsid w:val="00DB2B74"/>
    <w:rsid w:val="00DB2B95"/>
    <w:rsid w:val="00DB2BC6"/>
    <w:rsid w:val="00DB2BE7"/>
    <w:rsid w:val="00DB2BEB"/>
    <w:rsid w:val="00DB2C41"/>
    <w:rsid w:val="00DB2C61"/>
    <w:rsid w:val="00DB2C84"/>
    <w:rsid w:val="00DB2CBD"/>
    <w:rsid w:val="00DB2D15"/>
    <w:rsid w:val="00DB2D7B"/>
    <w:rsid w:val="00DB2DF3"/>
    <w:rsid w:val="00DB2E35"/>
    <w:rsid w:val="00DB2F48"/>
    <w:rsid w:val="00DB2F4E"/>
    <w:rsid w:val="00DB3040"/>
    <w:rsid w:val="00DB3049"/>
    <w:rsid w:val="00DB3101"/>
    <w:rsid w:val="00DB310D"/>
    <w:rsid w:val="00DB3119"/>
    <w:rsid w:val="00DB311F"/>
    <w:rsid w:val="00DB3138"/>
    <w:rsid w:val="00DB315C"/>
    <w:rsid w:val="00DB315F"/>
    <w:rsid w:val="00DB31C7"/>
    <w:rsid w:val="00DB31FA"/>
    <w:rsid w:val="00DB3216"/>
    <w:rsid w:val="00DB321A"/>
    <w:rsid w:val="00DB3221"/>
    <w:rsid w:val="00DB3295"/>
    <w:rsid w:val="00DB32C7"/>
    <w:rsid w:val="00DB32E4"/>
    <w:rsid w:val="00DB32FA"/>
    <w:rsid w:val="00DB330F"/>
    <w:rsid w:val="00DB332B"/>
    <w:rsid w:val="00DB334B"/>
    <w:rsid w:val="00DB338C"/>
    <w:rsid w:val="00DB33C7"/>
    <w:rsid w:val="00DB33FE"/>
    <w:rsid w:val="00DB3418"/>
    <w:rsid w:val="00DB343D"/>
    <w:rsid w:val="00DB3462"/>
    <w:rsid w:val="00DB34DA"/>
    <w:rsid w:val="00DB352D"/>
    <w:rsid w:val="00DB352F"/>
    <w:rsid w:val="00DB3570"/>
    <w:rsid w:val="00DB3624"/>
    <w:rsid w:val="00DB36B1"/>
    <w:rsid w:val="00DB3757"/>
    <w:rsid w:val="00DB375A"/>
    <w:rsid w:val="00DB3763"/>
    <w:rsid w:val="00DB3782"/>
    <w:rsid w:val="00DB37B1"/>
    <w:rsid w:val="00DB37E3"/>
    <w:rsid w:val="00DB3811"/>
    <w:rsid w:val="00DB3815"/>
    <w:rsid w:val="00DB3886"/>
    <w:rsid w:val="00DB3999"/>
    <w:rsid w:val="00DB39D9"/>
    <w:rsid w:val="00DB3A0E"/>
    <w:rsid w:val="00DB3AAC"/>
    <w:rsid w:val="00DB3AAE"/>
    <w:rsid w:val="00DB3B42"/>
    <w:rsid w:val="00DB3B7D"/>
    <w:rsid w:val="00DB3B86"/>
    <w:rsid w:val="00DB3B8A"/>
    <w:rsid w:val="00DB3B92"/>
    <w:rsid w:val="00DB3BA3"/>
    <w:rsid w:val="00DB3BEB"/>
    <w:rsid w:val="00DB3BEF"/>
    <w:rsid w:val="00DB3C2A"/>
    <w:rsid w:val="00DB3CA1"/>
    <w:rsid w:val="00DB3CF9"/>
    <w:rsid w:val="00DB3D53"/>
    <w:rsid w:val="00DB3D91"/>
    <w:rsid w:val="00DB3D9F"/>
    <w:rsid w:val="00DB3DA0"/>
    <w:rsid w:val="00DB3DA7"/>
    <w:rsid w:val="00DB3DE1"/>
    <w:rsid w:val="00DB3E13"/>
    <w:rsid w:val="00DB3E1E"/>
    <w:rsid w:val="00DB3E42"/>
    <w:rsid w:val="00DB3E9E"/>
    <w:rsid w:val="00DB3EA1"/>
    <w:rsid w:val="00DB3EC5"/>
    <w:rsid w:val="00DB3F24"/>
    <w:rsid w:val="00DB3F65"/>
    <w:rsid w:val="00DB3FB3"/>
    <w:rsid w:val="00DB3FC5"/>
    <w:rsid w:val="00DB3FD7"/>
    <w:rsid w:val="00DB4016"/>
    <w:rsid w:val="00DB4059"/>
    <w:rsid w:val="00DB405C"/>
    <w:rsid w:val="00DB4098"/>
    <w:rsid w:val="00DB40C4"/>
    <w:rsid w:val="00DB40F6"/>
    <w:rsid w:val="00DB4133"/>
    <w:rsid w:val="00DB414F"/>
    <w:rsid w:val="00DB4190"/>
    <w:rsid w:val="00DB41BF"/>
    <w:rsid w:val="00DB41CE"/>
    <w:rsid w:val="00DB420C"/>
    <w:rsid w:val="00DB4227"/>
    <w:rsid w:val="00DB422A"/>
    <w:rsid w:val="00DB426C"/>
    <w:rsid w:val="00DB4314"/>
    <w:rsid w:val="00DB4315"/>
    <w:rsid w:val="00DB433B"/>
    <w:rsid w:val="00DB4344"/>
    <w:rsid w:val="00DB4425"/>
    <w:rsid w:val="00DB443A"/>
    <w:rsid w:val="00DB443F"/>
    <w:rsid w:val="00DB4451"/>
    <w:rsid w:val="00DB445C"/>
    <w:rsid w:val="00DB4575"/>
    <w:rsid w:val="00DB4582"/>
    <w:rsid w:val="00DB458F"/>
    <w:rsid w:val="00DB46BE"/>
    <w:rsid w:val="00DB4868"/>
    <w:rsid w:val="00DB48D4"/>
    <w:rsid w:val="00DB48F2"/>
    <w:rsid w:val="00DB492C"/>
    <w:rsid w:val="00DB49CD"/>
    <w:rsid w:val="00DB4A15"/>
    <w:rsid w:val="00DB4A16"/>
    <w:rsid w:val="00DB4A41"/>
    <w:rsid w:val="00DB4A4A"/>
    <w:rsid w:val="00DB4A7C"/>
    <w:rsid w:val="00DB4ABD"/>
    <w:rsid w:val="00DB4B49"/>
    <w:rsid w:val="00DB4B64"/>
    <w:rsid w:val="00DB4B72"/>
    <w:rsid w:val="00DB4B9E"/>
    <w:rsid w:val="00DB4C1C"/>
    <w:rsid w:val="00DB4C84"/>
    <w:rsid w:val="00DB4C8E"/>
    <w:rsid w:val="00DB4CA6"/>
    <w:rsid w:val="00DB4CF4"/>
    <w:rsid w:val="00DB4D1D"/>
    <w:rsid w:val="00DB4D25"/>
    <w:rsid w:val="00DB4D62"/>
    <w:rsid w:val="00DB4D9E"/>
    <w:rsid w:val="00DB4DD2"/>
    <w:rsid w:val="00DB4E0E"/>
    <w:rsid w:val="00DB4E33"/>
    <w:rsid w:val="00DB4E91"/>
    <w:rsid w:val="00DB4EBF"/>
    <w:rsid w:val="00DB4ED8"/>
    <w:rsid w:val="00DB4EFE"/>
    <w:rsid w:val="00DB4F03"/>
    <w:rsid w:val="00DB4F7C"/>
    <w:rsid w:val="00DB4F90"/>
    <w:rsid w:val="00DB4FB2"/>
    <w:rsid w:val="00DB4FCA"/>
    <w:rsid w:val="00DB4FEE"/>
    <w:rsid w:val="00DB502A"/>
    <w:rsid w:val="00DB5051"/>
    <w:rsid w:val="00DB508A"/>
    <w:rsid w:val="00DB50A3"/>
    <w:rsid w:val="00DB519F"/>
    <w:rsid w:val="00DB51AA"/>
    <w:rsid w:val="00DB51B9"/>
    <w:rsid w:val="00DB51D3"/>
    <w:rsid w:val="00DB5228"/>
    <w:rsid w:val="00DB52A7"/>
    <w:rsid w:val="00DB52B5"/>
    <w:rsid w:val="00DB52BE"/>
    <w:rsid w:val="00DB5346"/>
    <w:rsid w:val="00DB5384"/>
    <w:rsid w:val="00DB53A2"/>
    <w:rsid w:val="00DB53C6"/>
    <w:rsid w:val="00DB549E"/>
    <w:rsid w:val="00DB54B8"/>
    <w:rsid w:val="00DB54BF"/>
    <w:rsid w:val="00DB551C"/>
    <w:rsid w:val="00DB5598"/>
    <w:rsid w:val="00DB55CF"/>
    <w:rsid w:val="00DB55D4"/>
    <w:rsid w:val="00DB5739"/>
    <w:rsid w:val="00DB5767"/>
    <w:rsid w:val="00DB5795"/>
    <w:rsid w:val="00DB57DF"/>
    <w:rsid w:val="00DB57EB"/>
    <w:rsid w:val="00DB5811"/>
    <w:rsid w:val="00DB58DA"/>
    <w:rsid w:val="00DB58E1"/>
    <w:rsid w:val="00DB590A"/>
    <w:rsid w:val="00DB5916"/>
    <w:rsid w:val="00DB59A3"/>
    <w:rsid w:val="00DB5A2C"/>
    <w:rsid w:val="00DB5A62"/>
    <w:rsid w:val="00DB5AC2"/>
    <w:rsid w:val="00DB5ADC"/>
    <w:rsid w:val="00DB5AE0"/>
    <w:rsid w:val="00DB5B0F"/>
    <w:rsid w:val="00DB5B10"/>
    <w:rsid w:val="00DB5B4A"/>
    <w:rsid w:val="00DB5BEB"/>
    <w:rsid w:val="00DB5CB7"/>
    <w:rsid w:val="00DB5CBA"/>
    <w:rsid w:val="00DB5CD1"/>
    <w:rsid w:val="00DB5CDA"/>
    <w:rsid w:val="00DB5D1F"/>
    <w:rsid w:val="00DB5D49"/>
    <w:rsid w:val="00DB5D5E"/>
    <w:rsid w:val="00DB5D69"/>
    <w:rsid w:val="00DB5D72"/>
    <w:rsid w:val="00DB5DE4"/>
    <w:rsid w:val="00DB5DEB"/>
    <w:rsid w:val="00DB5E38"/>
    <w:rsid w:val="00DB5E93"/>
    <w:rsid w:val="00DB5E98"/>
    <w:rsid w:val="00DB5ED2"/>
    <w:rsid w:val="00DB5EE5"/>
    <w:rsid w:val="00DB5F3F"/>
    <w:rsid w:val="00DB5F55"/>
    <w:rsid w:val="00DB5F77"/>
    <w:rsid w:val="00DB5FFD"/>
    <w:rsid w:val="00DB6023"/>
    <w:rsid w:val="00DB603C"/>
    <w:rsid w:val="00DB605B"/>
    <w:rsid w:val="00DB6151"/>
    <w:rsid w:val="00DB621D"/>
    <w:rsid w:val="00DB6288"/>
    <w:rsid w:val="00DB628D"/>
    <w:rsid w:val="00DB62A6"/>
    <w:rsid w:val="00DB63F0"/>
    <w:rsid w:val="00DB6429"/>
    <w:rsid w:val="00DB6430"/>
    <w:rsid w:val="00DB64DA"/>
    <w:rsid w:val="00DB6528"/>
    <w:rsid w:val="00DB65A9"/>
    <w:rsid w:val="00DB65B3"/>
    <w:rsid w:val="00DB65BC"/>
    <w:rsid w:val="00DB65C1"/>
    <w:rsid w:val="00DB6628"/>
    <w:rsid w:val="00DB662D"/>
    <w:rsid w:val="00DB6638"/>
    <w:rsid w:val="00DB663A"/>
    <w:rsid w:val="00DB66A3"/>
    <w:rsid w:val="00DB66B2"/>
    <w:rsid w:val="00DB66C9"/>
    <w:rsid w:val="00DB66DD"/>
    <w:rsid w:val="00DB6738"/>
    <w:rsid w:val="00DB6749"/>
    <w:rsid w:val="00DB6792"/>
    <w:rsid w:val="00DB67C5"/>
    <w:rsid w:val="00DB680D"/>
    <w:rsid w:val="00DB6846"/>
    <w:rsid w:val="00DB688A"/>
    <w:rsid w:val="00DB68CC"/>
    <w:rsid w:val="00DB690B"/>
    <w:rsid w:val="00DB6929"/>
    <w:rsid w:val="00DB6973"/>
    <w:rsid w:val="00DB6976"/>
    <w:rsid w:val="00DB69AE"/>
    <w:rsid w:val="00DB69B8"/>
    <w:rsid w:val="00DB69BB"/>
    <w:rsid w:val="00DB69D9"/>
    <w:rsid w:val="00DB6A70"/>
    <w:rsid w:val="00DB6A82"/>
    <w:rsid w:val="00DB6AC6"/>
    <w:rsid w:val="00DB6AF9"/>
    <w:rsid w:val="00DB6B09"/>
    <w:rsid w:val="00DB6B2E"/>
    <w:rsid w:val="00DB6BF8"/>
    <w:rsid w:val="00DB6C49"/>
    <w:rsid w:val="00DB6CD6"/>
    <w:rsid w:val="00DB6D02"/>
    <w:rsid w:val="00DB6D3A"/>
    <w:rsid w:val="00DB6DC8"/>
    <w:rsid w:val="00DB6DCF"/>
    <w:rsid w:val="00DB6DE1"/>
    <w:rsid w:val="00DB6E0C"/>
    <w:rsid w:val="00DB6E24"/>
    <w:rsid w:val="00DB6E37"/>
    <w:rsid w:val="00DB6E75"/>
    <w:rsid w:val="00DB6F01"/>
    <w:rsid w:val="00DB6F98"/>
    <w:rsid w:val="00DB6FEE"/>
    <w:rsid w:val="00DB6FF2"/>
    <w:rsid w:val="00DB701F"/>
    <w:rsid w:val="00DB70B2"/>
    <w:rsid w:val="00DB70C5"/>
    <w:rsid w:val="00DB70DA"/>
    <w:rsid w:val="00DB70EE"/>
    <w:rsid w:val="00DB70F5"/>
    <w:rsid w:val="00DB7145"/>
    <w:rsid w:val="00DB7149"/>
    <w:rsid w:val="00DB715D"/>
    <w:rsid w:val="00DB719A"/>
    <w:rsid w:val="00DB71E8"/>
    <w:rsid w:val="00DB7204"/>
    <w:rsid w:val="00DB720F"/>
    <w:rsid w:val="00DB724F"/>
    <w:rsid w:val="00DB736E"/>
    <w:rsid w:val="00DB7376"/>
    <w:rsid w:val="00DB73D2"/>
    <w:rsid w:val="00DB73E3"/>
    <w:rsid w:val="00DB742F"/>
    <w:rsid w:val="00DB744C"/>
    <w:rsid w:val="00DB74B1"/>
    <w:rsid w:val="00DB74E8"/>
    <w:rsid w:val="00DB750C"/>
    <w:rsid w:val="00DB754C"/>
    <w:rsid w:val="00DB755B"/>
    <w:rsid w:val="00DB7568"/>
    <w:rsid w:val="00DB75DC"/>
    <w:rsid w:val="00DB75ED"/>
    <w:rsid w:val="00DB75FE"/>
    <w:rsid w:val="00DB7644"/>
    <w:rsid w:val="00DB76C6"/>
    <w:rsid w:val="00DB76D4"/>
    <w:rsid w:val="00DB770F"/>
    <w:rsid w:val="00DB7774"/>
    <w:rsid w:val="00DB781E"/>
    <w:rsid w:val="00DB7919"/>
    <w:rsid w:val="00DB7931"/>
    <w:rsid w:val="00DB793E"/>
    <w:rsid w:val="00DB7966"/>
    <w:rsid w:val="00DB79BA"/>
    <w:rsid w:val="00DB79C9"/>
    <w:rsid w:val="00DB79F2"/>
    <w:rsid w:val="00DB7A79"/>
    <w:rsid w:val="00DB7B79"/>
    <w:rsid w:val="00DB7BA1"/>
    <w:rsid w:val="00DB7BA3"/>
    <w:rsid w:val="00DB7BA8"/>
    <w:rsid w:val="00DB7BCF"/>
    <w:rsid w:val="00DB7C4B"/>
    <w:rsid w:val="00DB7C64"/>
    <w:rsid w:val="00DB7C65"/>
    <w:rsid w:val="00DB7C79"/>
    <w:rsid w:val="00DB7C9A"/>
    <w:rsid w:val="00DB7D0D"/>
    <w:rsid w:val="00DB7D14"/>
    <w:rsid w:val="00DB7D8D"/>
    <w:rsid w:val="00DB7DE5"/>
    <w:rsid w:val="00DB7DE9"/>
    <w:rsid w:val="00DB7E08"/>
    <w:rsid w:val="00DB7EC2"/>
    <w:rsid w:val="00DB7EE1"/>
    <w:rsid w:val="00DB7F13"/>
    <w:rsid w:val="00DB7F88"/>
    <w:rsid w:val="00DB7FE5"/>
    <w:rsid w:val="00DC0015"/>
    <w:rsid w:val="00DC004A"/>
    <w:rsid w:val="00DC0071"/>
    <w:rsid w:val="00DC0102"/>
    <w:rsid w:val="00DC0162"/>
    <w:rsid w:val="00DC01D1"/>
    <w:rsid w:val="00DC01DC"/>
    <w:rsid w:val="00DC01F3"/>
    <w:rsid w:val="00DC0215"/>
    <w:rsid w:val="00DC0281"/>
    <w:rsid w:val="00DC0316"/>
    <w:rsid w:val="00DC0327"/>
    <w:rsid w:val="00DC0366"/>
    <w:rsid w:val="00DC0383"/>
    <w:rsid w:val="00DC03A0"/>
    <w:rsid w:val="00DC03AF"/>
    <w:rsid w:val="00DC0465"/>
    <w:rsid w:val="00DC0474"/>
    <w:rsid w:val="00DC047B"/>
    <w:rsid w:val="00DC04C7"/>
    <w:rsid w:val="00DC05DA"/>
    <w:rsid w:val="00DC061A"/>
    <w:rsid w:val="00DC06C1"/>
    <w:rsid w:val="00DC0705"/>
    <w:rsid w:val="00DC0743"/>
    <w:rsid w:val="00DC0789"/>
    <w:rsid w:val="00DC0794"/>
    <w:rsid w:val="00DC07C4"/>
    <w:rsid w:val="00DC08A6"/>
    <w:rsid w:val="00DC08B8"/>
    <w:rsid w:val="00DC08F7"/>
    <w:rsid w:val="00DC091C"/>
    <w:rsid w:val="00DC0933"/>
    <w:rsid w:val="00DC095C"/>
    <w:rsid w:val="00DC09C3"/>
    <w:rsid w:val="00DC09C4"/>
    <w:rsid w:val="00DC09E2"/>
    <w:rsid w:val="00DC0A1E"/>
    <w:rsid w:val="00DC0A25"/>
    <w:rsid w:val="00DC0A5C"/>
    <w:rsid w:val="00DC0BA4"/>
    <w:rsid w:val="00DC0BA8"/>
    <w:rsid w:val="00DC0C6E"/>
    <w:rsid w:val="00DC0C91"/>
    <w:rsid w:val="00DC0CCE"/>
    <w:rsid w:val="00DC0D4B"/>
    <w:rsid w:val="00DC0D5C"/>
    <w:rsid w:val="00DC0DB5"/>
    <w:rsid w:val="00DC0E1D"/>
    <w:rsid w:val="00DC0E2C"/>
    <w:rsid w:val="00DC0E45"/>
    <w:rsid w:val="00DC0E56"/>
    <w:rsid w:val="00DC0E6D"/>
    <w:rsid w:val="00DC0EB1"/>
    <w:rsid w:val="00DC0EC6"/>
    <w:rsid w:val="00DC0F12"/>
    <w:rsid w:val="00DC0F88"/>
    <w:rsid w:val="00DC1041"/>
    <w:rsid w:val="00DC1092"/>
    <w:rsid w:val="00DC1095"/>
    <w:rsid w:val="00DC10AB"/>
    <w:rsid w:val="00DC10EF"/>
    <w:rsid w:val="00DC1106"/>
    <w:rsid w:val="00DC1120"/>
    <w:rsid w:val="00DC1125"/>
    <w:rsid w:val="00DC112B"/>
    <w:rsid w:val="00DC116A"/>
    <w:rsid w:val="00DC1192"/>
    <w:rsid w:val="00DC11F3"/>
    <w:rsid w:val="00DC1249"/>
    <w:rsid w:val="00DC129B"/>
    <w:rsid w:val="00DC12EE"/>
    <w:rsid w:val="00DC1331"/>
    <w:rsid w:val="00DC1412"/>
    <w:rsid w:val="00DC1415"/>
    <w:rsid w:val="00DC1448"/>
    <w:rsid w:val="00DC146F"/>
    <w:rsid w:val="00DC1483"/>
    <w:rsid w:val="00DC14AF"/>
    <w:rsid w:val="00DC150A"/>
    <w:rsid w:val="00DC150C"/>
    <w:rsid w:val="00DC1560"/>
    <w:rsid w:val="00DC1569"/>
    <w:rsid w:val="00DC1585"/>
    <w:rsid w:val="00DC158E"/>
    <w:rsid w:val="00DC15D2"/>
    <w:rsid w:val="00DC15E2"/>
    <w:rsid w:val="00DC1608"/>
    <w:rsid w:val="00DC1611"/>
    <w:rsid w:val="00DC161E"/>
    <w:rsid w:val="00DC169B"/>
    <w:rsid w:val="00DC16F3"/>
    <w:rsid w:val="00DC1722"/>
    <w:rsid w:val="00DC1755"/>
    <w:rsid w:val="00DC178E"/>
    <w:rsid w:val="00DC17CF"/>
    <w:rsid w:val="00DC17E2"/>
    <w:rsid w:val="00DC1869"/>
    <w:rsid w:val="00DC1876"/>
    <w:rsid w:val="00DC187B"/>
    <w:rsid w:val="00DC18A3"/>
    <w:rsid w:val="00DC18A4"/>
    <w:rsid w:val="00DC18A8"/>
    <w:rsid w:val="00DC18C0"/>
    <w:rsid w:val="00DC18F1"/>
    <w:rsid w:val="00DC1946"/>
    <w:rsid w:val="00DC196B"/>
    <w:rsid w:val="00DC1986"/>
    <w:rsid w:val="00DC198A"/>
    <w:rsid w:val="00DC199A"/>
    <w:rsid w:val="00DC19BF"/>
    <w:rsid w:val="00DC19FE"/>
    <w:rsid w:val="00DC1A15"/>
    <w:rsid w:val="00DC1A3A"/>
    <w:rsid w:val="00DC1AD4"/>
    <w:rsid w:val="00DC1B9A"/>
    <w:rsid w:val="00DC1BB9"/>
    <w:rsid w:val="00DC1C18"/>
    <w:rsid w:val="00DC1D1E"/>
    <w:rsid w:val="00DC1D35"/>
    <w:rsid w:val="00DC1D67"/>
    <w:rsid w:val="00DC1DDF"/>
    <w:rsid w:val="00DC1DF6"/>
    <w:rsid w:val="00DC1E19"/>
    <w:rsid w:val="00DC1E4A"/>
    <w:rsid w:val="00DC1E57"/>
    <w:rsid w:val="00DC1E64"/>
    <w:rsid w:val="00DC1E81"/>
    <w:rsid w:val="00DC1EAE"/>
    <w:rsid w:val="00DC1EF8"/>
    <w:rsid w:val="00DC1F05"/>
    <w:rsid w:val="00DC1F89"/>
    <w:rsid w:val="00DC1F9D"/>
    <w:rsid w:val="00DC1FBD"/>
    <w:rsid w:val="00DC2004"/>
    <w:rsid w:val="00DC2027"/>
    <w:rsid w:val="00DC2080"/>
    <w:rsid w:val="00DC20F6"/>
    <w:rsid w:val="00DC20FA"/>
    <w:rsid w:val="00DC210E"/>
    <w:rsid w:val="00DC214F"/>
    <w:rsid w:val="00DC217C"/>
    <w:rsid w:val="00DC2194"/>
    <w:rsid w:val="00DC2238"/>
    <w:rsid w:val="00DC22F1"/>
    <w:rsid w:val="00DC22FE"/>
    <w:rsid w:val="00DC23A2"/>
    <w:rsid w:val="00DC23D5"/>
    <w:rsid w:val="00DC2446"/>
    <w:rsid w:val="00DC247D"/>
    <w:rsid w:val="00DC2487"/>
    <w:rsid w:val="00DC2528"/>
    <w:rsid w:val="00DC25C3"/>
    <w:rsid w:val="00DC265C"/>
    <w:rsid w:val="00DC2689"/>
    <w:rsid w:val="00DC26C5"/>
    <w:rsid w:val="00DC26C8"/>
    <w:rsid w:val="00DC26F0"/>
    <w:rsid w:val="00DC273F"/>
    <w:rsid w:val="00DC276A"/>
    <w:rsid w:val="00DC2782"/>
    <w:rsid w:val="00DC27A9"/>
    <w:rsid w:val="00DC27C5"/>
    <w:rsid w:val="00DC27C9"/>
    <w:rsid w:val="00DC281B"/>
    <w:rsid w:val="00DC286A"/>
    <w:rsid w:val="00DC287C"/>
    <w:rsid w:val="00DC28FF"/>
    <w:rsid w:val="00DC293B"/>
    <w:rsid w:val="00DC2963"/>
    <w:rsid w:val="00DC296A"/>
    <w:rsid w:val="00DC2A5D"/>
    <w:rsid w:val="00DC2AEA"/>
    <w:rsid w:val="00DC2B13"/>
    <w:rsid w:val="00DC2B1E"/>
    <w:rsid w:val="00DC2C02"/>
    <w:rsid w:val="00DC2C05"/>
    <w:rsid w:val="00DC2C2D"/>
    <w:rsid w:val="00DC2C3A"/>
    <w:rsid w:val="00DC2C92"/>
    <w:rsid w:val="00DC2CF0"/>
    <w:rsid w:val="00DC2D49"/>
    <w:rsid w:val="00DC2D5D"/>
    <w:rsid w:val="00DC2D8D"/>
    <w:rsid w:val="00DC2D9B"/>
    <w:rsid w:val="00DC2E9A"/>
    <w:rsid w:val="00DC2E9D"/>
    <w:rsid w:val="00DC2EAD"/>
    <w:rsid w:val="00DC2EE2"/>
    <w:rsid w:val="00DC2F18"/>
    <w:rsid w:val="00DC2F41"/>
    <w:rsid w:val="00DC2F84"/>
    <w:rsid w:val="00DC2FF4"/>
    <w:rsid w:val="00DC3045"/>
    <w:rsid w:val="00DC3101"/>
    <w:rsid w:val="00DC312D"/>
    <w:rsid w:val="00DC3147"/>
    <w:rsid w:val="00DC3215"/>
    <w:rsid w:val="00DC3236"/>
    <w:rsid w:val="00DC328C"/>
    <w:rsid w:val="00DC32CC"/>
    <w:rsid w:val="00DC32ED"/>
    <w:rsid w:val="00DC32F3"/>
    <w:rsid w:val="00DC32F9"/>
    <w:rsid w:val="00DC3360"/>
    <w:rsid w:val="00DC340E"/>
    <w:rsid w:val="00DC3432"/>
    <w:rsid w:val="00DC3489"/>
    <w:rsid w:val="00DC34A4"/>
    <w:rsid w:val="00DC34F4"/>
    <w:rsid w:val="00DC35A9"/>
    <w:rsid w:val="00DC35CB"/>
    <w:rsid w:val="00DC35EB"/>
    <w:rsid w:val="00DC35F1"/>
    <w:rsid w:val="00DC3622"/>
    <w:rsid w:val="00DC3633"/>
    <w:rsid w:val="00DC36D6"/>
    <w:rsid w:val="00DC36DE"/>
    <w:rsid w:val="00DC370C"/>
    <w:rsid w:val="00DC372F"/>
    <w:rsid w:val="00DC3736"/>
    <w:rsid w:val="00DC374E"/>
    <w:rsid w:val="00DC37B8"/>
    <w:rsid w:val="00DC37FB"/>
    <w:rsid w:val="00DC381F"/>
    <w:rsid w:val="00DC3860"/>
    <w:rsid w:val="00DC3890"/>
    <w:rsid w:val="00DC38F1"/>
    <w:rsid w:val="00DC3921"/>
    <w:rsid w:val="00DC393C"/>
    <w:rsid w:val="00DC396B"/>
    <w:rsid w:val="00DC3974"/>
    <w:rsid w:val="00DC397D"/>
    <w:rsid w:val="00DC397F"/>
    <w:rsid w:val="00DC39CB"/>
    <w:rsid w:val="00DC39F4"/>
    <w:rsid w:val="00DC3A1B"/>
    <w:rsid w:val="00DC3A4A"/>
    <w:rsid w:val="00DC3AB0"/>
    <w:rsid w:val="00DC3AED"/>
    <w:rsid w:val="00DC3B45"/>
    <w:rsid w:val="00DC3BB4"/>
    <w:rsid w:val="00DC3BB8"/>
    <w:rsid w:val="00DC3C04"/>
    <w:rsid w:val="00DC3C27"/>
    <w:rsid w:val="00DC3C43"/>
    <w:rsid w:val="00DC3CAC"/>
    <w:rsid w:val="00DC3CFB"/>
    <w:rsid w:val="00DC3D0A"/>
    <w:rsid w:val="00DC3D31"/>
    <w:rsid w:val="00DC3D7D"/>
    <w:rsid w:val="00DC3DB5"/>
    <w:rsid w:val="00DC3E5F"/>
    <w:rsid w:val="00DC3EA2"/>
    <w:rsid w:val="00DC3F93"/>
    <w:rsid w:val="00DC4035"/>
    <w:rsid w:val="00DC4042"/>
    <w:rsid w:val="00DC406C"/>
    <w:rsid w:val="00DC40B0"/>
    <w:rsid w:val="00DC40C5"/>
    <w:rsid w:val="00DC40DA"/>
    <w:rsid w:val="00DC40F3"/>
    <w:rsid w:val="00DC4126"/>
    <w:rsid w:val="00DC4141"/>
    <w:rsid w:val="00DC4174"/>
    <w:rsid w:val="00DC419C"/>
    <w:rsid w:val="00DC423C"/>
    <w:rsid w:val="00DC4299"/>
    <w:rsid w:val="00DC42CE"/>
    <w:rsid w:val="00DC42FC"/>
    <w:rsid w:val="00DC4316"/>
    <w:rsid w:val="00DC4327"/>
    <w:rsid w:val="00DC432C"/>
    <w:rsid w:val="00DC4371"/>
    <w:rsid w:val="00DC4398"/>
    <w:rsid w:val="00DC44D8"/>
    <w:rsid w:val="00DC44E9"/>
    <w:rsid w:val="00DC4545"/>
    <w:rsid w:val="00DC458B"/>
    <w:rsid w:val="00DC45D8"/>
    <w:rsid w:val="00DC4602"/>
    <w:rsid w:val="00DC4616"/>
    <w:rsid w:val="00DC46F0"/>
    <w:rsid w:val="00DC46F7"/>
    <w:rsid w:val="00DC46FF"/>
    <w:rsid w:val="00DC4769"/>
    <w:rsid w:val="00DC47A0"/>
    <w:rsid w:val="00DC47F4"/>
    <w:rsid w:val="00DC480B"/>
    <w:rsid w:val="00DC4857"/>
    <w:rsid w:val="00DC486A"/>
    <w:rsid w:val="00DC4877"/>
    <w:rsid w:val="00DC48A5"/>
    <w:rsid w:val="00DC48C8"/>
    <w:rsid w:val="00DC4959"/>
    <w:rsid w:val="00DC49E5"/>
    <w:rsid w:val="00DC4A8A"/>
    <w:rsid w:val="00DC4AA9"/>
    <w:rsid w:val="00DC4B5F"/>
    <w:rsid w:val="00DC4BE3"/>
    <w:rsid w:val="00DC4BF7"/>
    <w:rsid w:val="00DC4C98"/>
    <w:rsid w:val="00DC4CD9"/>
    <w:rsid w:val="00DC4D1C"/>
    <w:rsid w:val="00DC4D37"/>
    <w:rsid w:val="00DC4D95"/>
    <w:rsid w:val="00DC4DBC"/>
    <w:rsid w:val="00DC4E13"/>
    <w:rsid w:val="00DC4E6D"/>
    <w:rsid w:val="00DC4E8C"/>
    <w:rsid w:val="00DC4EA1"/>
    <w:rsid w:val="00DC4F76"/>
    <w:rsid w:val="00DC4F86"/>
    <w:rsid w:val="00DC4FEE"/>
    <w:rsid w:val="00DC5075"/>
    <w:rsid w:val="00DC5076"/>
    <w:rsid w:val="00DC5090"/>
    <w:rsid w:val="00DC50D8"/>
    <w:rsid w:val="00DC51A0"/>
    <w:rsid w:val="00DC51A9"/>
    <w:rsid w:val="00DC5237"/>
    <w:rsid w:val="00DC524D"/>
    <w:rsid w:val="00DC526B"/>
    <w:rsid w:val="00DC52ED"/>
    <w:rsid w:val="00DC532F"/>
    <w:rsid w:val="00DC533D"/>
    <w:rsid w:val="00DC5353"/>
    <w:rsid w:val="00DC53D0"/>
    <w:rsid w:val="00DC5433"/>
    <w:rsid w:val="00DC5475"/>
    <w:rsid w:val="00DC54E9"/>
    <w:rsid w:val="00DC54FF"/>
    <w:rsid w:val="00DC5572"/>
    <w:rsid w:val="00DC5590"/>
    <w:rsid w:val="00DC55B8"/>
    <w:rsid w:val="00DC5601"/>
    <w:rsid w:val="00DC5612"/>
    <w:rsid w:val="00DC5633"/>
    <w:rsid w:val="00DC56EA"/>
    <w:rsid w:val="00DC58B4"/>
    <w:rsid w:val="00DC58BA"/>
    <w:rsid w:val="00DC5A10"/>
    <w:rsid w:val="00DC5A1B"/>
    <w:rsid w:val="00DC5A29"/>
    <w:rsid w:val="00DC5A85"/>
    <w:rsid w:val="00DC5A86"/>
    <w:rsid w:val="00DC5ADB"/>
    <w:rsid w:val="00DC5B33"/>
    <w:rsid w:val="00DC5B37"/>
    <w:rsid w:val="00DC5BA0"/>
    <w:rsid w:val="00DC5BD9"/>
    <w:rsid w:val="00DC5C99"/>
    <w:rsid w:val="00DC5D45"/>
    <w:rsid w:val="00DC5D73"/>
    <w:rsid w:val="00DC5D78"/>
    <w:rsid w:val="00DC5E83"/>
    <w:rsid w:val="00DC5EDC"/>
    <w:rsid w:val="00DC5F2C"/>
    <w:rsid w:val="00DC5F61"/>
    <w:rsid w:val="00DC6027"/>
    <w:rsid w:val="00DC6056"/>
    <w:rsid w:val="00DC6095"/>
    <w:rsid w:val="00DC6116"/>
    <w:rsid w:val="00DC615A"/>
    <w:rsid w:val="00DC617E"/>
    <w:rsid w:val="00DC62E5"/>
    <w:rsid w:val="00DC6350"/>
    <w:rsid w:val="00DC636B"/>
    <w:rsid w:val="00DC63BC"/>
    <w:rsid w:val="00DC63E1"/>
    <w:rsid w:val="00DC642F"/>
    <w:rsid w:val="00DC647A"/>
    <w:rsid w:val="00DC6499"/>
    <w:rsid w:val="00DC64E0"/>
    <w:rsid w:val="00DC656E"/>
    <w:rsid w:val="00DC65F9"/>
    <w:rsid w:val="00DC65FE"/>
    <w:rsid w:val="00DC6639"/>
    <w:rsid w:val="00DC668D"/>
    <w:rsid w:val="00DC6706"/>
    <w:rsid w:val="00DC6712"/>
    <w:rsid w:val="00DC677B"/>
    <w:rsid w:val="00DC67CC"/>
    <w:rsid w:val="00DC6865"/>
    <w:rsid w:val="00DC686A"/>
    <w:rsid w:val="00DC68AD"/>
    <w:rsid w:val="00DC6936"/>
    <w:rsid w:val="00DC6957"/>
    <w:rsid w:val="00DC6970"/>
    <w:rsid w:val="00DC69B2"/>
    <w:rsid w:val="00DC69D8"/>
    <w:rsid w:val="00DC69F8"/>
    <w:rsid w:val="00DC6A4B"/>
    <w:rsid w:val="00DC6A5E"/>
    <w:rsid w:val="00DC6A7E"/>
    <w:rsid w:val="00DC6B08"/>
    <w:rsid w:val="00DC6B1D"/>
    <w:rsid w:val="00DC6B31"/>
    <w:rsid w:val="00DC6B41"/>
    <w:rsid w:val="00DC6B77"/>
    <w:rsid w:val="00DC6B7B"/>
    <w:rsid w:val="00DC6C2D"/>
    <w:rsid w:val="00DC6C37"/>
    <w:rsid w:val="00DC6C79"/>
    <w:rsid w:val="00DC6C83"/>
    <w:rsid w:val="00DC6CA8"/>
    <w:rsid w:val="00DC6CDC"/>
    <w:rsid w:val="00DC6CE5"/>
    <w:rsid w:val="00DC6CFF"/>
    <w:rsid w:val="00DC6D09"/>
    <w:rsid w:val="00DC6DBE"/>
    <w:rsid w:val="00DC6E00"/>
    <w:rsid w:val="00DC6E57"/>
    <w:rsid w:val="00DC6EAD"/>
    <w:rsid w:val="00DC6EB4"/>
    <w:rsid w:val="00DC6EC5"/>
    <w:rsid w:val="00DC6F0A"/>
    <w:rsid w:val="00DC6F1C"/>
    <w:rsid w:val="00DC6F34"/>
    <w:rsid w:val="00DC6F4B"/>
    <w:rsid w:val="00DC6F6B"/>
    <w:rsid w:val="00DC6F80"/>
    <w:rsid w:val="00DC6F97"/>
    <w:rsid w:val="00DC6FD1"/>
    <w:rsid w:val="00DC6FD6"/>
    <w:rsid w:val="00DC6FEF"/>
    <w:rsid w:val="00DC7024"/>
    <w:rsid w:val="00DC703F"/>
    <w:rsid w:val="00DC7066"/>
    <w:rsid w:val="00DC7068"/>
    <w:rsid w:val="00DC70BD"/>
    <w:rsid w:val="00DC70EB"/>
    <w:rsid w:val="00DC70F9"/>
    <w:rsid w:val="00DC7104"/>
    <w:rsid w:val="00DC713D"/>
    <w:rsid w:val="00DC714A"/>
    <w:rsid w:val="00DC718C"/>
    <w:rsid w:val="00DC719B"/>
    <w:rsid w:val="00DC71AE"/>
    <w:rsid w:val="00DC71BD"/>
    <w:rsid w:val="00DC7247"/>
    <w:rsid w:val="00DC7263"/>
    <w:rsid w:val="00DC728C"/>
    <w:rsid w:val="00DC728E"/>
    <w:rsid w:val="00DC72B6"/>
    <w:rsid w:val="00DC72E5"/>
    <w:rsid w:val="00DC7328"/>
    <w:rsid w:val="00DC733B"/>
    <w:rsid w:val="00DC733D"/>
    <w:rsid w:val="00DC735A"/>
    <w:rsid w:val="00DC7398"/>
    <w:rsid w:val="00DC73AB"/>
    <w:rsid w:val="00DC73D8"/>
    <w:rsid w:val="00DC73EC"/>
    <w:rsid w:val="00DC7415"/>
    <w:rsid w:val="00DC741A"/>
    <w:rsid w:val="00DC741B"/>
    <w:rsid w:val="00DC7479"/>
    <w:rsid w:val="00DC7573"/>
    <w:rsid w:val="00DC761C"/>
    <w:rsid w:val="00DC7666"/>
    <w:rsid w:val="00DC7696"/>
    <w:rsid w:val="00DC7732"/>
    <w:rsid w:val="00DC7737"/>
    <w:rsid w:val="00DC7784"/>
    <w:rsid w:val="00DC778C"/>
    <w:rsid w:val="00DC7797"/>
    <w:rsid w:val="00DC77AD"/>
    <w:rsid w:val="00DC77D6"/>
    <w:rsid w:val="00DC7869"/>
    <w:rsid w:val="00DC7887"/>
    <w:rsid w:val="00DC78FF"/>
    <w:rsid w:val="00DC7960"/>
    <w:rsid w:val="00DC79FA"/>
    <w:rsid w:val="00DC7A47"/>
    <w:rsid w:val="00DC7A56"/>
    <w:rsid w:val="00DC7AAA"/>
    <w:rsid w:val="00DC7B36"/>
    <w:rsid w:val="00DC7B71"/>
    <w:rsid w:val="00DC7B77"/>
    <w:rsid w:val="00DC7B97"/>
    <w:rsid w:val="00DC7BC2"/>
    <w:rsid w:val="00DC7BC3"/>
    <w:rsid w:val="00DC7C08"/>
    <w:rsid w:val="00DC7CA5"/>
    <w:rsid w:val="00DC7CBB"/>
    <w:rsid w:val="00DC7CC2"/>
    <w:rsid w:val="00DC7CD3"/>
    <w:rsid w:val="00DC7CFD"/>
    <w:rsid w:val="00DC7D11"/>
    <w:rsid w:val="00DC7D42"/>
    <w:rsid w:val="00DC7D70"/>
    <w:rsid w:val="00DC7D84"/>
    <w:rsid w:val="00DC7D99"/>
    <w:rsid w:val="00DC7DDC"/>
    <w:rsid w:val="00DC7DE4"/>
    <w:rsid w:val="00DC7DEA"/>
    <w:rsid w:val="00DC7DF5"/>
    <w:rsid w:val="00DC7E00"/>
    <w:rsid w:val="00DC7E78"/>
    <w:rsid w:val="00DC7EA3"/>
    <w:rsid w:val="00DC7EA8"/>
    <w:rsid w:val="00DC7EAD"/>
    <w:rsid w:val="00DC7F99"/>
    <w:rsid w:val="00DD0004"/>
    <w:rsid w:val="00DD0027"/>
    <w:rsid w:val="00DD0082"/>
    <w:rsid w:val="00DD00A1"/>
    <w:rsid w:val="00DD00CC"/>
    <w:rsid w:val="00DD00E3"/>
    <w:rsid w:val="00DD00E8"/>
    <w:rsid w:val="00DD0187"/>
    <w:rsid w:val="00DD019A"/>
    <w:rsid w:val="00DD0276"/>
    <w:rsid w:val="00DD0284"/>
    <w:rsid w:val="00DD0288"/>
    <w:rsid w:val="00DD028F"/>
    <w:rsid w:val="00DD02CA"/>
    <w:rsid w:val="00DD02F1"/>
    <w:rsid w:val="00DD0313"/>
    <w:rsid w:val="00DD0365"/>
    <w:rsid w:val="00DD0470"/>
    <w:rsid w:val="00DD0516"/>
    <w:rsid w:val="00DD0533"/>
    <w:rsid w:val="00DD05CB"/>
    <w:rsid w:val="00DD0621"/>
    <w:rsid w:val="00DD0654"/>
    <w:rsid w:val="00DD068E"/>
    <w:rsid w:val="00DD06B6"/>
    <w:rsid w:val="00DD074B"/>
    <w:rsid w:val="00DD0758"/>
    <w:rsid w:val="00DD07BA"/>
    <w:rsid w:val="00DD085D"/>
    <w:rsid w:val="00DD0873"/>
    <w:rsid w:val="00DD0874"/>
    <w:rsid w:val="00DD08E5"/>
    <w:rsid w:val="00DD08F2"/>
    <w:rsid w:val="00DD096C"/>
    <w:rsid w:val="00DD0991"/>
    <w:rsid w:val="00DD09BD"/>
    <w:rsid w:val="00DD0AC9"/>
    <w:rsid w:val="00DD0ACB"/>
    <w:rsid w:val="00DD0B2D"/>
    <w:rsid w:val="00DD0B49"/>
    <w:rsid w:val="00DD0B5E"/>
    <w:rsid w:val="00DD0B69"/>
    <w:rsid w:val="00DD0B73"/>
    <w:rsid w:val="00DD0BC1"/>
    <w:rsid w:val="00DD0BD3"/>
    <w:rsid w:val="00DD0C2F"/>
    <w:rsid w:val="00DD0C64"/>
    <w:rsid w:val="00DD0CA5"/>
    <w:rsid w:val="00DD0CF9"/>
    <w:rsid w:val="00DD0CFC"/>
    <w:rsid w:val="00DD0DC5"/>
    <w:rsid w:val="00DD0E24"/>
    <w:rsid w:val="00DD0E26"/>
    <w:rsid w:val="00DD0E4C"/>
    <w:rsid w:val="00DD0E77"/>
    <w:rsid w:val="00DD0ECE"/>
    <w:rsid w:val="00DD0ED0"/>
    <w:rsid w:val="00DD0F06"/>
    <w:rsid w:val="00DD0F0E"/>
    <w:rsid w:val="00DD0F20"/>
    <w:rsid w:val="00DD0F58"/>
    <w:rsid w:val="00DD0FF2"/>
    <w:rsid w:val="00DD104D"/>
    <w:rsid w:val="00DD1061"/>
    <w:rsid w:val="00DD107D"/>
    <w:rsid w:val="00DD1088"/>
    <w:rsid w:val="00DD109D"/>
    <w:rsid w:val="00DD10F2"/>
    <w:rsid w:val="00DD111D"/>
    <w:rsid w:val="00DD117A"/>
    <w:rsid w:val="00DD11BF"/>
    <w:rsid w:val="00DD1243"/>
    <w:rsid w:val="00DD126D"/>
    <w:rsid w:val="00DD12FD"/>
    <w:rsid w:val="00DD1309"/>
    <w:rsid w:val="00DD1349"/>
    <w:rsid w:val="00DD1452"/>
    <w:rsid w:val="00DD14D4"/>
    <w:rsid w:val="00DD1501"/>
    <w:rsid w:val="00DD152A"/>
    <w:rsid w:val="00DD1536"/>
    <w:rsid w:val="00DD158E"/>
    <w:rsid w:val="00DD15E4"/>
    <w:rsid w:val="00DD15E8"/>
    <w:rsid w:val="00DD1628"/>
    <w:rsid w:val="00DD1648"/>
    <w:rsid w:val="00DD16FC"/>
    <w:rsid w:val="00DD16FF"/>
    <w:rsid w:val="00DD1727"/>
    <w:rsid w:val="00DD17E8"/>
    <w:rsid w:val="00DD1806"/>
    <w:rsid w:val="00DD1851"/>
    <w:rsid w:val="00DD1900"/>
    <w:rsid w:val="00DD197E"/>
    <w:rsid w:val="00DD198F"/>
    <w:rsid w:val="00DD199A"/>
    <w:rsid w:val="00DD1A38"/>
    <w:rsid w:val="00DD1AB0"/>
    <w:rsid w:val="00DD1AC9"/>
    <w:rsid w:val="00DD1AFE"/>
    <w:rsid w:val="00DD1B03"/>
    <w:rsid w:val="00DD1B09"/>
    <w:rsid w:val="00DD1B29"/>
    <w:rsid w:val="00DD1B59"/>
    <w:rsid w:val="00DD1B74"/>
    <w:rsid w:val="00DD1B84"/>
    <w:rsid w:val="00DD1BF1"/>
    <w:rsid w:val="00DD1C28"/>
    <w:rsid w:val="00DD1C97"/>
    <w:rsid w:val="00DD1D1A"/>
    <w:rsid w:val="00DD1D1D"/>
    <w:rsid w:val="00DD1D3F"/>
    <w:rsid w:val="00DD1D6A"/>
    <w:rsid w:val="00DD1D7F"/>
    <w:rsid w:val="00DD1D8E"/>
    <w:rsid w:val="00DD1DC6"/>
    <w:rsid w:val="00DD1E58"/>
    <w:rsid w:val="00DD1EB7"/>
    <w:rsid w:val="00DD1ED6"/>
    <w:rsid w:val="00DD1EDC"/>
    <w:rsid w:val="00DD1EF6"/>
    <w:rsid w:val="00DD1F48"/>
    <w:rsid w:val="00DD1F4B"/>
    <w:rsid w:val="00DD1F6A"/>
    <w:rsid w:val="00DD1F91"/>
    <w:rsid w:val="00DD1FEF"/>
    <w:rsid w:val="00DD2064"/>
    <w:rsid w:val="00DD206E"/>
    <w:rsid w:val="00DD20EA"/>
    <w:rsid w:val="00DD2148"/>
    <w:rsid w:val="00DD2163"/>
    <w:rsid w:val="00DD21A0"/>
    <w:rsid w:val="00DD2293"/>
    <w:rsid w:val="00DD230E"/>
    <w:rsid w:val="00DD2314"/>
    <w:rsid w:val="00DD2346"/>
    <w:rsid w:val="00DD2354"/>
    <w:rsid w:val="00DD23F2"/>
    <w:rsid w:val="00DD2434"/>
    <w:rsid w:val="00DD2446"/>
    <w:rsid w:val="00DD249B"/>
    <w:rsid w:val="00DD24B0"/>
    <w:rsid w:val="00DD2509"/>
    <w:rsid w:val="00DD2542"/>
    <w:rsid w:val="00DD2598"/>
    <w:rsid w:val="00DD25B1"/>
    <w:rsid w:val="00DD25BB"/>
    <w:rsid w:val="00DD2659"/>
    <w:rsid w:val="00DD2660"/>
    <w:rsid w:val="00DD2669"/>
    <w:rsid w:val="00DD26A1"/>
    <w:rsid w:val="00DD26A8"/>
    <w:rsid w:val="00DD26A9"/>
    <w:rsid w:val="00DD26BA"/>
    <w:rsid w:val="00DD26E6"/>
    <w:rsid w:val="00DD2704"/>
    <w:rsid w:val="00DD2705"/>
    <w:rsid w:val="00DD2718"/>
    <w:rsid w:val="00DD275C"/>
    <w:rsid w:val="00DD278D"/>
    <w:rsid w:val="00DD27B2"/>
    <w:rsid w:val="00DD27D6"/>
    <w:rsid w:val="00DD2877"/>
    <w:rsid w:val="00DD289E"/>
    <w:rsid w:val="00DD28BD"/>
    <w:rsid w:val="00DD28C8"/>
    <w:rsid w:val="00DD28CF"/>
    <w:rsid w:val="00DD2918"/>
    <w:rsid w:val="00DD296A"/>
    <w:rsid w:val="00DD29A7"/>
    <w:rsid w:val="00DD29C8"/>
    <w:rsid w:val="00DD2A0D"/>
    <w:rsid w:val="00DD2A0E"/>
    <w:rsid w:val="00DD2A35"/>
    <w:rsid w:val="00DD2A39"/>
    <w:rsid w:val="00DD2A48"/>
    <w:rsid w:val="00DD2A6F"/>
    <w:rsid w:val="00DD2A79"/>
    <w:rsid w:val="00DD2B12"/>
    <w:rsid w:val="00DD2B3C"/>
    <w:rsid w:val="00DD2B3D"/>
    <w:rsid w:val="00DD2B81"/>
    <w:rsid w:val="00DD2BE1"/>
    <w:rsid w:val="00DD2BEF"/>
    <w:rsid w:val="00DD2C1C"/>
    <w:rsid w:val="00DD2C70"/>
    <w:rsid w:val="00DD2C87"/>
    <w:rsid w:val="00DD2CBB"/>
    <w:rsid w:val="00DD2D26"/>
    <w:rsid w:val="00DD2D33"/>
    <w:rsid w:val="00DD2D80"/>
    <w:rsid w:val="00DD2D84"/>
    <w:rsid w:val="00DD2DE5"/>
    <w:rsid w:val="00DD2E1A"/>
    <w:rsid w:val="00DD2E50"/>
    <w:rsid w:val="00DD2EDA"/>
    <w:rsid w:val="00DD2F57"/>
    <w:rsid w:val="00DD2F76"/>
    <w:rsid w:val="00DD2F7B"/>
    <w:rsid w:val="00DD2FDD"/>
    <w:rsid w:val="00DD30B1"/>
    <w:rsid w:val="00DD30E0"/>
    <w:rsid w:val="00DD30F4"/>
    <w:rsid w:val="00DD311F"/>
    <w:rsid w:val="00DD3164"/>
    <w:rsid w:val="00DD3194"/>
    <w:rsid w:val="00DD3196"/>
    <w:rsid w:val="00DD31B9"/>
    <w:rsid w:val="00DD31F4"/>
    <w:rsid w:val="00DD31FD"/>
    <w:rsid w:val="00DD3209"/>
    <w:rsid w:val="00DD321C"/>
    <w:rsid w:val="00DD322D"/>
    <w:rsid w:val="00DD32D5"/>
    <w:rsid w:val="00DD32D7"/>
    <w:rsid w:val="00DD331F"/>
    <w:rsid w:val="00DD33AB"/>
    <w:rsid w:val="00DD33B3"/>
    <w:rsid w:val="00DD33B7"/>
    <w:rsid w:val="00DD33F4"/>
    <w:rsid w:val="00DD33FA"/>
    <w:rsid w:val="00DD343A"/>
    <w:rsid w:val="00DD344F"/>
    <w:rsid w:val="00DD346F"/>
    <w:rsid w:val="00DD34BD"/>
    <w:rsid w:val="00DD353D"/>
    <w:rsid w:val="00DD355F"/>
    <w:rsid w:val="00DD35A7"/>
    <w:rsid w:val="00DD3640"/>
    <w:rsid w:val="00DD3662"/>
    <w:rsid w:val="00DD3688"/>
    <w:rsid w:val="00DD3695"/>
    <w:rsid w:val="00DD36E5"/>
    <w:rsid w:val="00DD36E6"/>
    <w:rsid w:val="00DD3775"/>
    <w:rsid w:val="00DD37BF"/>
    <w:rsid w:val="00DD3846"/>
    <w:rsid w:val="00DD38C2"/>
    <w:rsid w:val="00DD3947"/>
    <w:rsid w:val="00DD397D"/>
    <w:rsid w:val="00DD39A6"/>
    <w:rsid w:val="00DD39BF"/>
    <w:rsid w:val="00DD39E9"/>
    <w:rsid w:val="00DD3A8D"/>
    <w:rsid w:val="00DD3ABB"/>
    <w:rsid w:val="00DD3ADB"/>
    <w:rsid w:val="00DD3B00"/>
    <w:rsid w:val="00DD3B08"/>
    <w:rsid w:val="00DD3B3A"/>
    <w:rsid w:val="00DD3B62"/>
    <w:rsid w:val="00DD3BB4"/>
    <w:rsid w:val="00DD3BCB"/>
    <w:rsid w:val="00DD3C22"/>
    <w:rsid w:val="00DD3D24"/>
    <w:rsid w:val="00DD3D60"/>
    <w:rsid w:val="00DD3DAD"/>
    <w:rsid w:val="00DD3DB9"/>
    <w:rsid w:val="00DD3DFA"/>
    <w:rsid w:val="00DD3E1F"/>
    <w:rsid w:val="00DD3E5D"/>
    <w:rsid w:val="00DD3E6E"/>
    <w:rsid w:val="00DD3E7A"/>
    <w:rsid w:val="00DD3E91"/>
    <w:rsid w:val="00DD3ECE"/>
    <w:rsid w:val="00DD3EE3"/>
    <w:rsid w:val="00DD3EF1"/>
    <w:rsid w:val="00DD3F09"/>
    <w:rsid w:val="00DD3F69"/>
    <w:rsid w:val="00DD3FB7"/>
    <w:rsid w:val="00DD3FC8"/>
    <w:rsid w:val="00DD404E"/>
    <w:rsid w:val="00DD4089"/>
    <w:rsid w:val="00DD40A6"/>
    <w:rsid w:val="00DD40BA"/>
    <w:rsid w:val="00DD40E3"/>
    <w:rsid w:val="00DD414E"/>
    <w:rsid w:val="00DD4173"/>
    <w:rsid w:val="00DD418B"/>
    <w:rsid w:val="00DD41A2"/>
    <w:rsid w:val="00DD41E3"/>
    <w:rsid w:val="00DD4245"/>
    <w:rsid w:val="00DD4282"/>
    <w:rsid w:val="00DD42FC"/>
    <w:rsid w:val="00DD4394"/>
    <w:rsid w:val="00DD43B0"/>
    <w:rsid w:val="00DD43BD"/>
    <w:rsid w:val="00DD446C"/>
    <w:rsid w:val="00DD44B2"/>
    <w:rsid w:val="00DD44EA"/>
    <w:rsid w:val="00DD45B3"/>
    <w:rsid w:val="00DD45D9"/>
    <w:rsid w:val="00DD45E1"/>
    <w:rsid w:val="00DD460A"/>
    <w:rsid w:val="00DD4718"/>
    <w:rsid w:val="00DD471B"/>
    <w:rsid w:val="00DD4720"/>
    <w:rsid w:val="00DD4741"/>
    <w:rsid w:val="00DD4761"/>
    <w:rsid w:val="00DD4775"/>
    <w:rsid w:val="00DD47BC"/>
    <w:rsid w:val="00DD47E1"/>
    <w:rsid w:val="00DD480D"/>
    <w:rsid w:val="00DD487A"/>
    <w:rsid w:val="00DD4904"/>
    <w:rsid w:val="00DD490F"/>
    <w:rsid w:val="00DD4922"/>
    <w:rsid w:val="00DD49DE"/>
    <w:rsid w:val="00DD49E3"/>
    <w:rsid w:val="00DD4A07"/>
    <w:rsid w:val="00DD4A3F"/>
    <w:rsid w:val="00DD4A41"/>
    <w:rsid w:val="00DD4A47"/>
    <w:rsid w:val="00DD4A86"/>
    <w:rsid w:val="00DD4B1F"/>
    <w:rsid w:val="00DD4BAD"/>
    <w:rsid w:val="00DD4BE1"/>
    <w:rsid w:val="00DD4C45"/>
    <w:rsid w:val="00DD4C71"/>
    <w:rsid w:val="00DD4CD2"/>
    <w:rsid w:val="00DD4CE1"/>
    <w:rsid w:val="00DD4D09"/>
    <w:rsid w:val="00DD4D2C"/>
    <w:rsid w:val="00DD4D57"/>
    <w:rsid w:val="00DD4DA1"/>
    <w:rsid w:val="00DD4DC4"/>
    <w:rsid w:val="00DD4DE1"/>
    <w:rsid w:val="00DD4E19"/>
    <w:rsid w:val="00DD4F53"/>
    <w:rsid w:val="00DD4F91"/>
    <w:rsid w:val="00DD4F93"/>
    <w:rsid w:val="00DD4FEC"/>
    <w:rsid w:val="00DD5038"/>
    <w:rsid w:val="00DD506C"/>
    <w:rsid w:val="00DD507B"/>
    <w:rsid w:val="00DD5095"/>
    <w:rsid w:val="00DD5100"/>
    <w:rsid w:val="00DD5104"/>
    <w:rsid w:val="00DD5181"/>
    <w:rsid w:val="00DD526E"/>
    <w:rsid w:val="00DD5292"/>
    <w:rsid w:val="00DD52F7"/>
    <w:rsid w:val="00DD530B"/>
    <w:rsid w:val="00DD538B"/>
    <w:rsid w:val="00DD53C7"/>
    <w:rsid w:val="00DD53D9"/>
    <w:rsid w:val="00DD53FE"/>
    <w:rsid w:val="00DD5415"/>
    <w:rsid w:val="00DD544C"/>
    <w:rsid w:val="00DD5571"/>
    <w:rsid w:val="00DD557A"/>
    <w:rsid w:val="00DD558D"/>
    <w:rsid w:val="00DD55CE"/>
    <w:rsid w:val="00DD5663"/>
    <w:rsid w:val="00DD56DA"/>
    <w:rsid w:val="00DD5703"/>
    <w:rsid w:val="00DD5753"/>
    <w:rsid w:val="00DD575D"/>
    <w:rsid w:val="00DD578E"/>
    <w:rsid w:val="00DD5794"/>
    <w:rsid w:val="00DD58FB"/>
    <w:rsid w:val="00DD59B9"/>
    <w:rsid w:val="00DD5A06"/>
    <w:rsid w:val="00DD5A0F"/>
    <w:rsid w:val="00DD5ADA"/>
    <w:rsid w:val="00DD5AF6"/>
    <w:rsid w:val="00DD5B19"/>
    <w:rsid w:val="00DD5B21"/>
    <w:rsid w:val="00DD5B61"/>
    <w:rsid w:val="00DD5BA1"/>
    <w:rsid w:val="00DD5BA5"/>
    <w:rsid w:val="00DD5CA1"/>
    <w:rsid w:val="00DD5CAB"/>
    <w:rsid w:val="00DD5CC4"/>
    <w:rsid w:val="00DD5D40"/>
    <w:rsid w:val="00DD5D4E"/>
    <w:rsid w:val="00DD5D6C"/>
    <w:rsid w:val="00DD5D71"/>
    <w:rsid w:val="00DD5DD0"/>
    <w:rsid w:val="00DD5E2D"/>
    <w:rsid w:val="00DD5EA1"/>
    <w:rsid w:val="00DD5EDB"/>
    <w:rsid w:val="00DD5F54"/>
    <w:rsid w:val="00DD5F62"/>
    <w:rsid w:val="00DD5F90"/>
    <w:rsid w:val="00DD5FAD"/>
    <w:rsid w:val="00DD5FB3"/>
    <w:rsid w:val="00DD5FB6"/>
    <w:rsid w:val="00DD601C"/>
    <w:rsid w:val="00DD6073"/>
    <w:rsid w:val="00DD609A"/>
    <w:rsid w:val="00DD60B3"/>
    <w:rsid w:val="00DD60C0"/>
    <w:rsid w:val="00DD611A"/>
    <w:rsid w:val="00DD611F"/>
    <w:rsid w:val="00DD6132"/>
    <w:rsid w:val="00DD6136"/>
    <w:rsid w:val="00DD61AE"/>
    <w:rsid w:val="00DD61C8"/>
    <w:rsid w:val="00DD6210"/>
    <w:rsid w:val="00DD6232"/>
    <w:rsid w:val="00DD6256"/>
    <w:rsid w:val="00DD626C"/>
    <w:rsid w:val="00DD62CD"/>
    <w:rsid w:val="00DD62F5"/>
    <w:rsid w:val="00DD62FB"/>
    <w:rsid w:val="00DD6344"/>
    <w:rsid w:val="00DD6366"/>
    <w:rsid w:val="00DD6396"/>
    <w:rsid w:val="00DD639D"/>
    <w:rsid w:val="00DD6408"/>
    <w:rsid w:val="00DD6411"/>
    <w:rsid w:val="00DD6454"/>
    <w:rsid w:val="00DD6470"/>
    <w:rsid w:val="00DD64B5"/>
    <w:rsid w:val="00DD64F6"/>
    <w:rsid w:val="00DD6586"/>
    <w:rsid w:val="00DD65E7"/>
    <w:rsid w:val="00DD6680"/>
    <w:rsid w:val="00DD6763"/>
    <w:rsid w:val="00DD67A0"/>
    <w:rsid w:val="00DD67AF"/>
    <w:rsid w:val="00DD67F4"/>
    <w:rsid w:val="00DD6846"/>
    <w:rsid w:val="00DD687D"/>
    <w:rsid w:val="00DD6886"/>
    <w:rsid w:val="00DD692B"/>
    <w:rsid w:val="00DD696D"/>
    <w:rsid w:val="00DD6985"/>
    <w:rsid w:val="00DD69A3"/>
    <w:rsid w:val="00DD6A14"/>
    <w:rsid w:val="00DD6A8D"/>
    <w:rsid w:val="00DD6B49"/>
    <w:rsid w:val="00DD6B7A"/>
    <w:rsid w:val="00DD6B87"/>
    <w:rsid w:val="00DD6B8E"/>
    <w:rsid w:val="00DD6B9D"/>
    <w:rsid w:val="00DD6BF4"/>
    <w:rsid w:val="00DD6BFD"/>
    <w:rsid w:val="00DD6C7A"/>
    <w:rsid w:val="00DD6C81"/>
    <w:rsid w:val="00DD6C91"/>
    <w:rsid w:val="00DD6CA7"/>
    <w:rsid w:val="00DD6CFF"/>
    <w:rsid w:val="00DD6D30"/>
    <w:rsid w:val="00DD6E19"/>
    <w:rsid w:val="00DD6E1A"/>
    <w:rsid w:val="00DD6E1C"/>
    <w:rsid w:val="00DD6E97"/>
    <w:rsid w:val="00DD6E9F"/>
    <w:rsid w:val="00DD6EE6"/>
    <w:rsid w:val="00DD6F39"/>
    <w:rsid w:val="00DD6F4B"/>
    <w:rsid w:val="00DD6F88"/>
    <w:rsid w:val="00DD6FC5"/>
    <w:rsid w:val="00DD703E"/>
    <w:rsid w:val="00DD7050"/>
    <w:rsid w:val="00DD7097"/>
    <w:rsid w:val="00DD70AA"/>
    <w:rsid w:val="00DD70B9"/>
    <w:rsid w:val="00DD70CE"/>
    <w:rsid w:val="00DD70F2"/>
    <w:rsid w:val="00DD71B6"/>
    <w:rsid w:val="00DD71F4"/>
    <w:rsid w:val="00DD7262"/>
    <w:rsid w:val="00DD7280"/>
    <w:rsid w:val="00DD72A4"/>
    <w:rsid w:val="00DD7379"/>
    <w:rsid w:val="00DD73AF"/>
    <w:rsid w:val="00DD73FC"/>
    <w:rsid w:val="00DD7470"/>
    <w:rsid w:val="00DD748E"/>
    <w:rsid w:val="00DD7492"/>
    <w:rsid w:val="00DD751F"/>
    <w:rsid w:val="00DD758C"/>
    <w:rsid w:val="00DD7599"/>
    <w:rsid w:val="00DD759F"/>
    <w:rsid w:val="00DD75A9"/>
    <w:rsid w:val="00DD75F1"/>
    <w:rsid w:val="00DD766E"/>
    <w:rsid w:val="00DD770A"/>
    <w:rsid w:val="00DD772A"/>
    <w:rsid w:val="00DD7745"/>
    <w:rsid w:val="00DD77A8"/>
    <w:rsid w:val="00DD7807"/>
    <w:rsid w:val="00DD7882"/>
    <w:rsid w:val="00DD78AA"/>
    <w:rsid w:val="00DD78B2"/>
    <w:rsid w:val="00DD78C5"/>
    <w:rsid w:val="00DD78D3"/>
    <w:rsid w:val="00DD790C"/>
    <w:rsid w:val="00DD7916"/>
    <w:rsid w:val="00DD7932"/>
    <w:rsid w:val="00DD7A51"/>
    <w:rsid w:val="00DD7A77"/>
    <w:rsid w:val="00DD7A97"/>
    <w:rsid w:val="00DD7AC9"/>
    <w:rsid w:val="00DD7ACB"/>
    <w:rsid w:val="00DD7ADE"/>
    <w:rsid w:val="00DD7B31"/>
    <w:rsid w:val="00DD7B87"/>
    <w:rsid w:val="00DD7B98"/>
    <w:rsid w:val="00DD7B9F"/>
    <w:rsid w:val="00DD7BE4"/>
    <w:rsid w:val="00DD7C20"/>
    <w:rsid w:val="00DD7C28"/>
    <w:rsid w:val="00DD7D0D"/>
    <w:rsid w:val="00DD7DA4"/>
    <w:rsid w:val="00DD7DB9"/>
    <w:rsid w:val="00DD7DED"/>
    <w:rsid w:val="00DD7E05"/>
    <w:rsid w:val="00DD7E09"/>
    <w:rsid w:val="00DD7E12"/>
    <w:rsid w:val="00DD7E65"/>
    <w:rsid w:val="00DD7E88"/>
    <w:rsid w:val="00DD7EA9"/>
    <w:rsid w:val="00DD7EF6"/>
    <w:rsid w:val="00DD7F28"/>
    <w:rsid w:val="00DD7F5D"/>
    <w:rsid w:val="00DD7F64"/>
    <w:rsid w:val="00DD7F73"/>
    <w:rsid w:val="00DD7F8F"/>
    <w:rsid w:val="00DD7F93"/>
    <w:rsid w:val="00DD7FF8"/>
    <w:rsid w:val="00DD7FFB"/>
    <w:rsid w:val="00DD9843"/>
    <w:rsid w:val="00DE0014"/>
    <w:rsid w:val="00DE00FE"/>
    <w:rsid w:val="00DE01AC"/>
    <w:rsid w:val="00DE0209"/>
    <w:rsid w:val="00DE023A"/>
    <w:rsid w:val="00DE0269"/>
    <w:rsid w:val="00DE0299"/>
    <w:rsid w:val="00DE02F2"/>
    <w:rsid w:val="00DE033C"/>
    <w:rsid w:val="00DE03F8"/>
    <w:rsid w:val="00DE044E"/>
    <w:rsid w:val="00DE045F"/>
    <w:rsid w:val="00DE0468"/>
    <w:rsid w:val="00DE04A4"/>
    <w:rsid w:val="00DE04B3"/>
    <w:rsid w:val="00DE0531"/>
    <w:rsid w:val="00DE053D"/>
    <w:rsid w:val="00DE056B"/>
    <w:rsid w:val="00DE05C4"/>
    <w:rsid w:val="00DE069B"/>
    <w:rsid w:val="00DE074F"/>
    <w:rsid w:val="00DE07C9"/>
    <w:rsid w:val="00DE0818"/>
    <w:rsid w:val="00DE082C"/>
    <w:rsid w:val="00DE08C6"/>
    <w:rsid w:val="00DE0930"/>
    <w:rsid w:val="00DE0953"/>
    <w:rsid w:val="00DE0999"/>
    <w:rsid w:val="00DE09DA"/>
    <w:rsid w:val="00DE09FD"/>
    <w:rsid w:val="00DE0A24"/>
    <w:rsid w:val="00DE0A74"/>
    <w:rsid w:val="00DE0ACE"/>
    <w:rsid w:val="00DE0AE7"/>
    <w:rsid w:val="00DE0B1C"/>
    <w:rsid w:val="00DE0B27"/>
    <w:rsid w:val="00DE0B28"/>
    <w:rsid w:val="00DE0B70"/>
    <w:rsid w:val="00DE0BDF"/>
    <w:rsid w:val="00DE0BE8"/>
    <w:rsid w:val="00DE0BF5"/>
    <w:rsid w:val="00DE0C4F"/>
    <w:rsid w:val="00DE0C7A"/>
    <w:rsid w:val="00DE0CBD"/>
    <w:rsid w:val="00DE0CF0"/>
    <w:rsid w:val="00DE0D3B"/>
    <w:rsid w:val="00DE0D94"/>
    <w:rsid w:val="00DE0DE4"/>
    <w:rsid w:val="00DE0EC0"/>
    <w:rsid w:val="00DE0F1D"/>
    <w:rsid w:val="00DE0F4F"/>
    <w:rsid w:val="00DE1028"/>
    <w:rsid w:val="00DE1041"/>
    <w:rsid w:val="00DE1107"/>
    <w:rsid w:val="00DE1145"/>
    <w:rsid w:val="00DE1194"/>
    <w:rsid w:val="00DE11B9"/>
    <w:rsid w:val="00DE11C8"/>
    <w:rsid w:val="00DE11E1"/>
    <w:rsid w:val="00DE11FE"/>
    <w:rsid w:val="00DE1224"/>
    <w:rsid w:val="00DE1287"/>
    <w:rsid w:val="00DE129C"/>
    <w:rsid w:val="00DE12B7"/>
    <w:rsid w:val="00DE130F"/>
    <w:rsid w:val="00DE132B"/>
    <w:rsid w:val="00DE1353"/>
    <w:rsid w:val="00DE13B5"/>
    <w:rsid w:val="00DE1417"/>
    <w:rsid w:val="00DE1425"/>
    <w:rsid w:val="00DE14DA"/>
    <w:rsid w:val="00DE14EE"/>
    <w:rsid w:val="00DE1517"/>
    <w:rsid w:val="00DE1547"/>
    <w:rsid w:val="00DE154E"/>
    <w:rsid w:val="00DE15B1"/>
    <w:rsid w:val="00DE15FB"/>
    <w:rsid w:val="00DE1645"/>
    <w:rsid w:val="00DE1666"/>
    <w:rsid w:val="00DE16A2"/>
    <w:rsid w:val="00DE16A3"/>
    <w:rsid w:val="00DE173D"/>
    <w:rsid w:val="00DE1785"/>
    <w:rsid w:val="00DE1787"/>
    <w:rsid w:val="00DE17A7"/>
    <w:rsid w:val="00DE17C6"/>
    <w:rsid w:val="00DE17E3"/>
    <w:rsid w:val="00DE1888"/>
    <w:rsid w:val="00DE18D8"/>
    <w:rsid w:val="00DE1917"/>
    <w:rsid w:val="00DE1941"/>
    <w:rsid w:val="00DE19AE"/>
    <w:rsid w:val="00DE1A10"/>
    <w:rsid w:val="00DE1A54"/>
    <w:rsid w:val="00DE1A55"/>
    <w:rsid w:val="00DE1A76"/>
    <w:rsid w:val="00DE1ABC"/>
    <w:rsid w:val="00DE1AF3"/>
    <w:rsid w:val="00DE1AFF"/>
    <w:rsid w:val="00DE1B35"/>
    <w:rsid w:val="00DE1B4B"/>
    <w:rsid w:val="00DE1B5D"/>
    <w:rsid w:val="00DE1B73"/>
    <w:rsid w:val="00DE1BD0"/>
    <w:rsid w:val="00DE1C8A"/>
    <w:rsid w:val="00DE1D57"/>
    <w:rsid w:val="00DE1D8B"/>
    <w:rsid w:val="00DE1DD4"/>
    <w:rsid w:val="00DE1DE6"/>
    <w:rsid w:val="00DE1E04"/>
    <w:rsid w:val="00DE1E17"/>
    <w:rsid w:val="00DE1E22"/>
    <w:rsid w:val="00DE1E4F"/>
    <w:rsid w:val="00DE1E78"/>
    <w:rsid w:val="00DE1F8B"/>
    <w:rsid w:val="00DE1FFB"/>
    <w:rsid w:val="00DE20BD"/>
    <w:rsid w:val="00DE20C5"/>
    <w:rsid w:val="00DE20EB"/>
    <w:rsid w:val="00DE2142"/>
    <w:rsid w:val="00DE215F"/>
    <w:rsid w:val="00DE21DF"/>
    <w:rsid w:val="00DE2278"/>
    <w:rsid w:val="00DE22C5"/>
    <w:rsid w:val="00DE22D5"/>
    <w:rsid w:val="00DE2320"/>
    <w:rsid w:val="00DE2327"/>
    <w:rsid w:val="00DE235B"/>
    <w:rsid w:val="00DE2389"/>
    <w:rsid w:val="00DE240A"/>
    <w:rsid w:val="00DE2422"/>
    <w:rsid w:val="00DE24C6"/>
    <w:rsid w:val="00DE254D"/>
    <w:rsid w:val="00DE25E5"/>
    <w:rsid w:val="00DE2609"/>
    <w:rsid w:val="00DE267D"/>
    <w:rsid w:val="00DE26B7"/>
    <w:rsid w:val="00DE26B9"/>
    <w:rsid w:val="00DE26D3"/>
    <w:rsid w:val="00DE26FC"/>
    <w:rsid w:val="00DE2717"/>
    <w:rsid w:val="00DE27C5"/>
    <w:rsid w:val="00DE2827"/>
    <w:rsid w:val="00DE2834"/>
    <w:rsid w:val="00DE2874"/>
    <w:rsid w:val="00DE2A1D"/>
    <w:rsid w:val="00DE2A22"/>
    <w:rsid w:val="00DE2A28"/>
    <w:rsid w:val="00DE2A5D"/>
    <w:rsid w:val="00DE2A6A"/>
    <w:rsid w:val="00DE2AF1"/>
    <w:rsid w:val="00DE2AFB"/>
    <w:rsid w:val="00DE2B65"/>
    <w:rsid w:val="00DE2B87"/>
    <w:rsid w:val="00DE2B9A"/>
    <w:rsid w:val="00DE2C0F"/>
    <w:rsid w:val="00DE2C45"/>
    <w:rsid w:val="00DE2C67"/>
    <w:rsid w:val="00DE2CD7"/>
    <w:rsid w:val="00DE2D36"/>
    <w:rsid w:val="00DE2D72"/>
    <w:rsid w:val="00DE2D9A"/>
    <w:rsid w:val="00DE2E2A"/>
    <w:rsid w:val="00DE2E57"/>
    <w:rsid w:val="00DE2E62"/>
    <w:rsid w:val="00DE2E65"/>
    <w:rsid w:val="00DE2EC9"/>
    <w:rsid w:val="00DE2F06"/>
    <w:rsid w:val="00DE2F10"/>
    <w:rsid w:val="00DE2F5B"/>
    <w:rsid w:val="00DE2FE3"/>
    <w:rsid w:val="00DE2FFD"/>
    <w:rsid w:val="00DE3057"/>
    <w:rsid w:val="00DE30A3"/>
    <w:rsid w:val="00DE30C4"/>
    <w:rsid w:val="00DE3103"/>
    <w:rsid w:val="00DE3115"/>
    <w:rsid w:val="00DE3120"/>
    <w:rsid w:val="00DE31AB"/>
    <w:rsid w:val="00DE3231"/>
    <w:rsid w:val="00DE3232"/>
    <w:rsid w:val="00DE3240"/>
    <w:rsid w:val="00DE32B2"/>
    <w:rsid w:val="00DE3318"/>
    <w:rsid w:val="00DE336B"/>
    <w:rsid w:val="00DE3376"/>
    <w:rsid w:val="00DE337F"/>
    <w:rsid w:val="00DE3396"/>
    <w:rsid w:val="00DE33A5"/>
    <w:rsid w:val="00DE33A6"/>
    <w:rsid w:val="00DE3436"/>
    <w:rsid w:val="00DE3438"/>
    <w:rsid w:val="00DE3441"/>
    <w:rsid w:val="00DE3457"/>
    <w:rsid w:val="00DE3479"/>
    <w:rsid w:val="00DE3483"/>
    <w:rsid w:val="00DE34AE"/>
    <w:rsid w:val="00DE34F9"/>
    <w:rsid w:val="00DE3598"/>
    <w:rsid w:val="00DE35C6"/>
    <w:rsid w:val="00DE35E7"/>
    <w:rsid w:val="00DE35F1"/>
    <w:rsid w:val="00DE3668"/>
    <w:rsid w:val="00DE366F"/>
    <w:rsid w:val="00DE369B"/>
    <w:rsid w:val="00DE369E"/>
    <w:rsid w:val="00DE36B7"/>
    <w:rsid w:val="00DE36E5"/>
    <w:rsid w:val="00DE3716"/>
    <w:rsid w:val="00DE372C"/>
    <w:rsid w:val="00DE3827"/>
    <w:rsid w:val="00DE3835"/>
    <w:rsid w:val="00DE3853"/>
    <w:rsid w:val="00DE3942"/>
    <w:rsid w:val="00DE3983"/>
    <w:rsid w:val="00DE398F"/>
    <w:rsid w:val="00DE3995"/>
    <w:rsid w:val="00DE39A4"/>
    <w:rsid w:val="00DE39A6"/>
    <w:rsid w:val="00DE3A6A"/>
    <w:rsid w:val="00DE3AAD"/>
    <w:rsid w:val="00DE3AD9"/>
    <w:rsid w:val="00DE3B23"/>
    <w:rsid w:val="00DE3B8B"/>
    <w:rsid w:val="00DE3BD9"/>
    <w:rsid w:val="00DE3C2E"/>
    <w:rsid w:val="00DE3CF0"/>
    <w:rsid w:val="00DE3D6B"/>
    <w:rsid w:val="00DE3D91"/>
    <w:rsid w:val="00DE3DC0"/>
    <w:rsid w:val="00DE3DDE"/>
    <w:rsid w:val="00DE3E13"/>
    <w:rsid w:val="00DE3E41"/>
    <w:rsid w:val="00DE3E81"/>
    <w:rsid w:val="00DE3EC8"/>
    <w:rsid w:val="00DE3EE0"/>
    <w:rsid w:val="00DE3F2C"/>
    <w:rsid w:val="00DE3F59"/>
    <w:rsid w:val="00DE3F67"/>
    <w:rsid w:val="00DE3FAA"/>
    <w:rsid w:val="00DE403D"/>
    <w:rsid w:val="00DE405C"/>
    <w:rsid w:val="00DE4091"/>
    <w:rsid w:val="00DE40CB"/>
    <w:rsid w:val="00DE40F0"/>
    <w:rsid w:val="00DE40FB"/>
    <w:rsid w:val="00DE4124"/>
    <w:rsid w:val="00DE4140"/>
    <w:rsid w:val="00DE4142"/>
    <w:rsid w:val="00DE4210"/>
    <w:rsid w:val="00DE4262"/>
    <w:rsid w:val="00DE42D0"/>
    <w:rsid w:val="00DE42FB"/>
    <w:rsid w:val="00DE431C"/>
    <w:rsid w:val="00DE4328"/>
    <w:rsid w:val="00DE4350"/>
    <w:rsid w:val="00DE4372"/>
    <w:rsid w:val="00DE43D4"/>
    <w:rsid w:val="00DE43FB"/>
    <w:rsid w:val="00DE443D"/>
    <w:rsid w:val="00DE44B6"/>
    <w:rsid w:val="00DE4532"/>
    <w:rsid w:val="00DE454E"/>
    <w:rsid w:val="00DE4566"/>
    <w:rsid w:val="00DE45F4"/>
    <w:rsid w:val="00DE463A"/>
    <w:rsid w:val="00DE4655"/>
    <w:rsid w:val="00DE4662"/>
    <w:rsid w:val="00DE4679"/>
    <w:rsid w:val="00DE467E"/>
    <w:rsid w:val="00DE46D1"/>
    <w:rsid w:val="00DE4732"/>
    <w:rsid w:val="00DE4737"/>
    <w:rsid w:val="00DE4779"/>
    <w:rsid w:val="00DE47C0"/>
    <w:rsid w:val="00DE47E0"/>
    <w:rsid w:val="00DE4840"/>
    <w:rsid w:val="00DE4864"/>
    <w:rsid w:val="00DE4870"/>
    <w:rsid w:val="00DE4885"/>
    <w:rsid w:val="00DE490D"/>
    <w:rsid w:val="00DE492A"/>
    <w:rsid w:val="00DE4961"/>
    <w:rsid w:val="00DE4994"/>
    <w:rsid w:val="00DE49DC"/>
    <w:rsid w:val="00DE49E1"/>
    <w:rsid w:val="00DE4A12"/>
    <w:rsid w:val="00DE4A1D"/>
    <w:rsid w:val="00DE4A55"/>
    <w:rsid w:val="00DE4A63"/>
    <w:rsid w:val="00DE4A9C"/>
    <w:rsid w:val="00DE4AAE"/>
    <w:rsid w:val="00DE4AC2"/>
    <w:rsid w:val="00DE4ADC"/>
    <w:rsid w:val="00DE4BE9"/>
    <w:rsid w:val="00DE4C10"/>
    <w:rsid w:val="00DE4C16"/>
    <w:rsid w:val="00DE4C55"/>
    <w:rsid w:val="00DE4C68"/>
    <w:rsid w:val="00DE4C82"/>
    <w:rsid w:val="00DE4D27"/>
    <w:rsid w:val="00DE4D84"/>
    <w:rsid w:val="00DE4DB4"/>
    <w:rsid w:val="00DE4DCD"/>
    <w:rsid w:val="00DE4DE6"/>
    <w:rsid w:val="00DE4DEB"/>
    <w:rsid w:val="00DE4E1B"/>
    <w:rsid w:val="00DE4E25"/>
    <w:rsid w:val="00DE4E5A"/>
    <w:rsid w:val="00DE4E5B"/>
    <w:rsid w:val="00DE4E89"/>
    <w:rsid w:val="00DE4EE4"/>
    <w:rsid w:val="00DE4EEA"/>
    <w:rsid w:val="00DE4F53"/>
    <w:rsid w:val="00DE4F90"/>
    <w:rsid w:val="00DE4F92"/>
    <w:rsid w:val="00DE4FEF"/>
    <w:rsid w:val="00DE502C"/>
    <w:rsid w:val="00DE5057"/>
    <w:rsid w:val="00DE5094"/>
    <w:rsid w:val="00DE50C5"/>
    <w:rsid w:val="00DE50DD"/>
    <w:rsid w:val="00DE5195"/>
    <w:rsid w:val="00DE5249"/>
    <w:rsid w:val="00DE527D"/>
    <w:rsid w:val="00DE527E"/>
    <w:rsid w:val="00DE5289"/>
    <w:rsid w:val="00DE52C5"/>
    <w:rsid w:val="00DE52E0"/>
    <w:rsid w:val="00DE5316"/>
    <w:rsid w:val="00DE5380"/>
    <w:rsid w:val="00DE53B6"/>
    <w:rsid w:val="00DE53C3"/>
    <w:rsid w:val="00DE5445"/>
    <w:rsid w:val="00DE5458"/>
    <w:rsid w:val="00DE54B0"/>
    <w:rsid w:val="00DE54F3"/>
    <w:rsid w:val="00DE554C"/>
    <w:rsid w:val="00DE5562"/>
    <w:rsid w:val="00DE5565"/>
    <w:rsid w:val="00DE5579"/>
    <w:rsid w:val="00DE55BD"/>
    <w:rsid w:val="00DE55CE"/>
    <w:rsid w:val="00DE560E"/>
    <w:rsid w:val="00DE5687"/>
    <w:rsid w:val="00DE569E"/>
    <w:rsid w:val="00DE56A3"/>
    <w:rsid w:val="00DE56F9"/>
    <w:rsid w:val="00DE57C3"/>
    <w:rsid w:val="00DE57CD"/>
    <w:rsid w:val="00DE5855"/>
    <w:rsid w:val="00DE5871"/>
    <w:rsid w:val="00DE58E6"/>
    <w:rsid w:val="00DE58EF"/>
    <w:rsid w:val="00DE592D"/>
    <w:rsid w:val="00DE5935"/>
    <w:rsid w:val="00DE59A9"/>
    <w:rsid w:val="00DE5B24"/>
    <w:rsid w:val="00DE5B3E"/>
    <w:rsid w:val="00DE5B9D"/>
    <w:rsid w:val="00DE5BA6"/>
    <w:rsid w:val="00DE5BA8"/>
    <w:rsid w:val="00DE5BCD"/>
    <w:rsid w:val="00DE5BD4"/>
    <w:rsid w:val="00DE5C5F"/>
    <w:rsid w:val="00DE5C66"/>
    <w:rsid w:val="00DE5C71"/>
    <w:rsid w:val="00DE5C87"/>
    <w:rsid w:val="00DE5CB4"/>
    <w:rsid w:val="00DE5CC8"/>
    <w:rsid w:val="00DE5CE1"/>
    <w:rsid w:val="00DE5CF3"/>
    <w:rsid w:val="00DE5D50"/>
    <w:rsid w:val="00DE5D7E"/>
    <w:rsid w:val="00DE5D99"/>
    <w:rsid w:val="00DE5DBD"/>
    <w:rsid w:val="00DE5DFA"/>
    <w:rsid w:val="00DE5E26"/>
    <w:rsid w:val="00DE5E52"/>
    <w:rsid w:val="00DE5E5E"/>
    <w:rsid w:val="00DE5E96"/>
    <w:rsid w:val="00DE5EA2"/>
    <w:rsid w:val="00DE5FBD"/>
    <w:rsid w:val="00DE5FD0"/>
    <w:rsid w:val="00DE6005"/>
    <w:rsid w:val="00DE600A"/>
    <w:rsid w:val="00DE6022"/>
    <w:rsid w:val="00DE602A"/>
    <w:rsid w:val="00DE605A"/>
    <w:rsid w:val="00DE609B"/>
    <w:rsid w:val="00DE60C4"/>
    <w:rsid w:val="00DE60E7"/>
    <w:rsid w:val="00DE60FB"/>
    <w:rsid w:val="00DE614C"/>
    <w:rsid w:val="00DE61B4"/>
    <w:rsid w:val="00DE6249"/>
    <w:rsid w:val="00DE6269"/>
    <w:rsid w:val="00DE627B"/>
    <w:rsid w:val="00DE62A2"/>
    <w:rsid w:val="00DE62FF"/>
    <w:rsid w:val="00DE6339"/>
    <w:rsid w:val="00DE6355"/>
    <w:rsid w:val="00DE6361"/>
    <w:rsid w:val="00DE6371"/>
    <w:rsid w:val="00DE63AF"/>
    <w:rsid w:val="00DE63D0"/>
    <w:rsid w:val="00DE63D5"/>
    <w:rsid w:val="00DE63D9"/>
    <w:rsid w:val="00DE63DD"/>
    <w:rsid w:val="00DE63EC"/>
    <w:rsid w:val="00DE63F4"/>
    <w:rsid w:val="00DE6421"/>
    <w:rsid w:val="00DE6424"/>
    <w:rsid w:val="00DE6458"/>
    <w:rsid w:val="00DE645E"/>
    <w:rsid w:val="00DE647D"/>
    <w:rsid w:val="00DE64AD"/>
    <w:rsid w:val="00DE64DF"/>
    <w:rsid w:val="00DE64F9"/>
    <w:rsid w:val="00DE6518"/>
    <w:rsid w:val="00DE653C"/>
    <w:rsid w:val="00DE6562"/>
    <w:rsid w:val="00DE65C8"/>
    <w:rsid w:val="00DE65FC"/>
    <w:rsid w:val="00DE6724"/>
    <w:rsid w:val="00DE6776"/>
    <w:rsid w:val="00DE677F"/>
    <w:rsid w:val="00DE67FD"/>
    <w:rsid w:val="00DE6828"/>
    <w:rsid w:val="00DE68A6"/>
    <w:rsid w:val="00DE68B5"/>
    <w:rsid w:val="00DE68F5"/>
    <w:rsid w:val="00DE691F"/>
    <w:rsid w:val="00DE6927"/>
    <w:rsid w:val="00DE6942"/>
    <w:rsid w:val="00DE69AC"/>
    <w:rsid w:val="00DE6A6A"/>
    <w:rsid w:val="00DE6A98"/>
    <w:rsid w:val="00DE6AE4"/>
    <w:rsid w:val="00DE6B23"/>
    <w:rsid w:val="00DE6B3D"/>
    <w:rsid w:val="00DE6B67"/>
    <w:rsid w:val="00DE6B70"/>
    <w:rsid w:val="00DE6B8F"/>
    <w:rsid w:val="00DE6BAA"/>
    <w:rsid w:val="00DE6BF1"/>
    <w:rsid w:val="00DE6BF2"/>
    <w:rsid w:val="00DE6BF4"/>
    <w:rsid w:val="00DE6C24"/>
    <w:rsid w:val="00DE6C8D"/>
    <w:rsid w:val="00DE6CBC"/>
    <w:rsid w:val="00DE6CCE"/>
    <w:rsid w:val="00DE6DE1"/>
    <w:rsid w:val="00DE6DEA"/>
    <w:rsid w:val="00DE6E29"/>
    <w:rsid w:val="00DE6E31"/>
    <w:rsid w:val="00DE6E51"/>
    <w:rsid w:val="00DE6E65"/>
    <w:rsid w:val="00DE6EC4"/>
    <w:rsid w:val="00DE6EE3"/>
    <w:rsid w:val="00DE6EEA"/>
    <w:rsid w:val="00DE6F5A"/>
    <w:rsid w:val="00DE6F6E"/>
    <w:rsid w:val="00DE6F94"/>
    <w:rsid w:val="00DE6FE5"/>
    <w:rsid w:val="00DE6FF5"/>
    <w:rsid w:val="00DE7054"/>
    <w:rsid w:val="00DE706F"/>
    <w:rsid w:val="00DE70A5"/>
    <w:rsid w:val="00DE70AB"/>
    <w:rsid w:val="00DE70E1"/>
    <w:rsid w:val="00DE715C"/>
    <w:rsid w:val="00DE71AF"/>
    <w:rsid w:val="00DE71B9"/>
    <w:rsid w:val="00DE71C5"/>
    <w:rsid w:val="00DE722B"/>
    <w:rsid w:val="00DE724F"/>
    <w:rsid w:val="00DE7291"/>
    <w:rsid w:val="00DE72B2"/>
    <w:rsid w:val="00DE72F9"/>
    <w:rsid w:val="00DE7338"/>
    <w:rsid w:val="00DE73B3"/>
    <w:rsid w:val="00DE73D2"/>
    <w:rsid w:val="00DE73DA"/>
    <w:rsid w:val="00DE7406"/>
    <w:rsid w:val="00DE743B"/>
    <w:rsid w:val="00DE743F"/>
    <w:rsid w:val="00DE748B"/>
    <w:rsid w:val="00DE74F9"/>
    <w:rsid w:val="00DE75C7"/>
    <w:rsid w:val="00DE75FD"/>
    <w:rsid w:val="00DE76B4"/>
    <w:rsid w:val="00DE76B8"/>
    <w:rsid w:val="00DE76B9"/>
    <w:rsid w:val="00DE7744"/>
    <w:rsid w:val="00DE774F"/>
    <w:rsid w:val="00DE7773"/>
    <w:rsid w:val="00DE77D3"/>
    <w:rsid w:val="00DE77E3"/>
    <w:rsid w:val="00DE77ED"/>
    <w:rsid w:val="00DE77F2"/>
    <w:rsid w:val="00DE7805"/>
    <w:rsid w:val="00DE7821"/>
    <w:rsid w:val="00DE7877"/>
    <w:rsid w:val="00DE7887"/>
    <w:rsid w:val="00DE78A3"/>
    <w:rsid w:val="00DE7937"/>
    <w:rsid w:val="00DE7943"/>
    <w:rsid w:val="00DE798B"/>
    <w:rsid w:val="00DE7A04"/>
    <w:rsid w:val="00DE7A60"/>
    <w:rsid w:val="00DE7A73"/>
    <w:rsid w:val="00DE7A74"/>
    <w:rsid w:val="00DE7A8E"/>
    <w:rsid w:val="00DE7A96"/>
    <w:rsid w:val="00DE7AC7"/>
    <w:rsid w:val="00DE7AD3"/>
    <w:rsid w:val="00DE7AF5"/>
    <w:rsid w:val="00DE7B39"/>
    <w:rsid w:val="00DE7BCB"/>
    <w:rsid w:val="00DE7BF1"/>
    <w:rsid w:val="00DE7C18"/>
    <w:rsid w:val="00DE7C21"/>
    <w:rsid w:val="00DE7C79"/>
    <w:rsid w:val="00DE7CC5"/>
    <w:rsid w:val="00DE7CF6"/>
    <w:rsid w:val="00DE7D50"/>
    <w:rsid w:val="00DE7DBB"/>
    <w:rsid w:val="00DE7DC4"/>
    <w:rsid w:val="00DE7E0D"/>
    <w:rsid w:val="00DE7E2A"/>
    <w:rsid w:val="00DE7E31"/>
    <w:rsid w:val="00DE7E86"/>
    <w:rsid w:val="00DE7E89"/>
    <w:rsid w:val="00DE7E8F"/>
    <w:rsid w:val="00DE7EA5"/>
    <w:rsid w:val="00DE7EB5"/>
    <w:rsid w:val="00DE7EFB"/>
    <w:rsid w:val="00DE7F37"/>
    <w:rsid w:val="00DE7F62"/>
    <w:rsid w:val="00DE7F7C"/>
    <w:rsid w:val="00DE7F7D"/>
    <w:rsid w:val="00DE7FB2"/>
    <w:rsid w:val="00DF0012"/>
    <w:rsid w:val="00DF0042"/>
    <w:rsid w:val="00DF0064"/>
    <w:rsid w:val="00DF00A7"/>
    <w:rsid w:val="00DF00B0"/>
    <w:rsid w:val="00DF00EE"/>
    <w:rsid w:val="00DF00EF"/>
    <w:rsid w:val="00DF012C"/>
    <w:rsid w:val="00DF0164"/>
    <w:rsid w:val="00DF0180"/>
    <w:rsid w:val="00DF0190"/>
    <w:rsid w:val="00DF01CE"/>
    <w:rsid w:val="00DF0250"/>
    <w:rsid w:val="00DF0258"/>
    <w:rsid w:val="00DF02BA"/>
    <w:rsid w:val="00DF02C5"/>
    <w:rsid w:val="00DF0318"/>
    <w:rsid w:val="00DF032B"/>
    <w:rsid w:val="00DF036B"/>
    <w:rsid w:val="00DF03B0"/>
    <w:rsid w:val="00DF03CC"/>
    <w:rsid w:val="00DF03D5"/>
    <w:rsid w:val="00DF03D6"/>
    <w:rsid w:val="00DF04AB"/>
    <w:rsid w:val="00DF04B6"/>
    <w:rsid w:val="00DF04C3"/>
    <w:rsid w:val="00DF0517"/>
    <w:rsid w:val="00DF0543"/>
    <w:rsid w:val="00DF0645"/>
    <w:rsid w:val="00DF0658"/>
    <w:rsid w:val="00DF0682"/>
    <w:rsid w:val="00DF0700"/>
    <w:rsid w:val="00DF076D"/>
    <w:rsid w:val="00DF07C3"/>
    <w:rsid w:val="00DF07C5"/>
    <w:rsid w:val="00DF07DC"/>
    <w:rsid w:val="00DF07F9"/>
    <w:rsid w:val="00DF0801"/>
    <w:rsid w:val="00DF085A"/>
    <w:rsid w:val="00DF08E3"/>
    <w:rsid w:val="00DF091D"/>
    <w:rsid w:val="00DF09BF"/>
    <w:rsid w:val="00DF09C9"/>
    <w:rsid w:val="00DF09F2"/>
    <w:rsid w:val="00DF09F4"/>
    <w:rsid w:val="00DF0A2C"/>
    <w:rsid w:val="00DF0A3F"/>
    <w:rsid w:val="00DF0B85"/>
    <w:rsid w:val="00DF0C17"/>
    <w:rsid w:val="00DF0C28"/>
    <w:rsid w:val="00DF0C29"/>
    <w:rsid w:val="00DF0C3D"/>
    <w:rsid w:val="00DF0C5A"/>
    <w:rsid w:val="00DF0CD0"/>
    <w:rsid w:val="00DF0CF9"/>
    <w:rsid w:val="00DF0D46"/>
    <w:rsid w:val="00DF0D59"/>
    <w:rsid w:val="00DF0D60"/>
    <w:rsid w:val="00DF0D8E"/>
    <w:rsid w:val="00DF0D99"/>
    <w:rsid w:val="00DF0DBA"/>
    <w:rsid w:val="00DF0DF2"/>
    <w:rsid w:val="00DF0DF4"/>
    <w:rsid w:val="00DF0E03"/>
    <w:rsid w:val="00DF0ECB"/>
    <w:rsid w:val="00DF0F2A"/>
    <w:rsid w:val="00DF0FC0"/>
    <w:rsid w:val="00DF0FC7"/>
    <w:rsid w:val="00DF0FDD"/>
    <w:rsid w:val="00DF0FE4"/>
    <w:rsid w:val="00DF1040"/>
    <w:rsid w:val="00DF105F"/>
    <w:rsid w:val="00DF1065"/>
    <w:rsid w:val="00DF1074"/>
    <w:rsid w:val="00DF1094"/>
    <w:rsid w:val="00DF1142"/>
    <w:rsid w:val="00DF1148"/>
    <w:rsid w:val="00DF1216"/>
    <w:rsid w:val="00DF1247"/>
    <w:rsid w:val="00DF1249"/>
    <w:rsid w:val="00DF126A"/>
    <w:rsid w:val="00DF12CC"/>
    <w:rsid w:val="00DF141B"/>
    <w:rsid w:val="00DF1429"/>
    <w:rsid w:val="00DF1453"/>
    <w:rsid w:val="00DF1492"/>
    <w:rsid w:val="00DF149B"/>
    <w:rsid w:val="00DF14B0"/>
    <w:rsid w:val="00DF14E0"/>
    <w:rsid w:val="00DF14E1"/>
    <w:rsid w:val="00DF1513"/>
    <w:rsid w:val="00DF1551"/>
    <w:rsid w:val="00DF158C"/>
    <w:rsid w:val="00DF15CD"/>
    <w:rsid w:val="00DF160B"/>
    <w:rsid w:val="00DF16C5"/>
    <w:rsid w:val="00DF16EB"/>
    <w:rsid w:val="00DF1742"/>
    <w:rsid w:val="00DF179D"/>
    <w:rsid w:val="00DF17EA"/>
    <w:rsid w:val="00DF1825"/>
    <w:rsid w:val="00DF182F"/>
    <w:rsid w:val="00DF1895"/>
    <w:rsid w:val="00DF18C0"/>
    <w:rsid w:val="00DF18ED"/>
    <w:rsid w:val="00DF18EF"/>
    <w:rsid w:val="00DF1938"/>
    <w:rsid w:val="00DF1963"/>
    <w:rsid w:val="00DF198F"/>
    <w:rsid w:val="00DF19B6"/>
    <w:rsid w:val="00DF19C8"/>
    <w:rsid w:val="00DF1A06"/>
    <w:rsid w:val="00DF1A5D"/>
    <w:rsid w:val="00DF1A7F"/>
    <w:rsid w:val="00DF1AB4"/>
    <w:rsid w:val="00DF1AB5"/>
    <w:rsid w:val="00DF1B8E"/>
    <w:rsid w:val="00DF1BB5"/>
    <w:rsid w:val="00DF1C98"/>
    <w:rsid w:val="00DF1D08"/>
    <w:rsid w:val="00DF1D71"/>
    <w:rsid w:val="00DF1E52"/>
    <w:rsid w:val="00DF1E56"/>
    <w:rsid w:val="00DF1E6F"/>
    <w:rsid w:val="00DF1EF6"/>
    <w:rsid w:val="00DF1F50"/>
    <w:rsid w:val="00DF1F83"/>
    <w:rsid w:val="00DF1FEE"/>
    <w:rsid w:val="00DF206A"/>
    <w:rsid w:val="00DF20A8"/>
    <w:rsid w:val="00DF20CE"/>
    <w:rsid w:val="00DF2104"/>
    <w:rsid w:val="00DF213A"/>
    <w:rsid w:val="00DF217C"/>
    <w:rsid w:val="00DF21E5"/>
    <w:rsid w:val="00DF221D"/>
    <w:rsid w:val="00DF222D"/>
    <w:rsid w:val="00DF22C7"/>
    <w:rsid w:val="00DF235E"/>
    <w:rsid w:val="00DF236E"/>
    <w:rsid w:val="00DF237B"/>
    <w:rsid w:val="00DF24BA"/>
    <w:rsid w:val="00DF24C4"/>
    <w:rsid w:val="00DF2553"/>
    <w:rsid w:val="00DF2580"/>
    <w:rsid w:val="00DF25E4"/>
    <w:rsid w:val="00DF25FC"/>
    <w:rsid w:val="00DF2621"/>
    <w:rsid w:val="00DF262B"/>
    <w:rsid w:val="00DF263F"/>
    <w:rsid w:val="00DF2657"/>
    <w:rsid w:val="00DF2661"/>
    <w:rsid w:val="00DF2766"/>
    <w:rsid w:val="00DF276A"/>
    <w:rsid w:val="00DF2791"/>
    <w:rsid w:val="00DF2798"/>
    <w:rsid w:val="00DF27AC"/>
    <w:rsid w:val="00DF27CF"/>
    <w:rsid w:val="00DF2819"/>
    <w:rsid w:val="00DF2859"/>
    <w:rsid w:val="00DF2877"/>
    <w:rsid w:val="00DF28E8"/>
    <w:rsid w:val="00DF292F"/>
    <w:rsid w:val="00DF295A"/>
    <w:rsid w:val="00DF29AC"/>
    <w:rsid w:val="00DF29FF"/>
    <w:rsid w:val="00DF2A23"/>
    <w:rsid w:val="00DF2A54"/>
    <w:rsid w:val="00DF2A75"/>
    <w:rsid w:val="00DF2A99"/>
    <w:rsid w:val="00DF2B32"/>
    <w:rsid w:val="00DF2B5D"/>
    <w:rsid w:val="00DF2B65"/>
    <w:rsid w:val="00DF2B90"/>
    <w:rsid w:val="00DF2BA0"/>
    <w:rsid w:val="00DF2BF3"/>
    <w:rsid w:val="00DF2C00"/>
    <w:rsid w:val="00DF2C63"/>
    <w:rsid w:val="00DF2C6D"/>
    <w:rsid w:val="00DF2C76"/>
    <w:rsid w:val="00DF2C77"/>
    <w:rsid w:val="00DF2CB7"/>
    <w:rsid w:val="00DF2CDB"/>
    <w:rsid w:val="00DF2CDC"/>
    <w:rsid w:val="00DF2CF4"/>
    <w:rsid w:val="00DF2D8E"/>
    <w:rsid w:val="00DF2DD3"/>
    <w:rsid w:val="00DF2DFD"/>
    <w:rsid w:val="00DF2E22"/>
    <w:rsid w:val="00DF2E24"/>
    <w:rsid w:val="00DF2E47"/>
    <w:rsid w:val="00DF2E55"/>
    <w:rsid w:val="00DF2E92"/>
    <w:rsid w:val="00DF2EB8"/>
    <w:rsid w:val="00DF2EC1"/>
    <w:rsid w:val="00DF2EE5"/>
    <w:rsid w:val="00DF2F07"/>
    <w:rsid w:val="00DF2F11"/>
    <w:rsid w:val="00DF2F5B"/>
    <w:rsid w:val="00DF2FC6"/>
    <w:rsid w:val="00DF309F"/>
    <w:rsid w:val="00DF30D5"/>
    <w:rsid w:val="00DF3156"/>
    <w:rsid w:val="00DF3180"/>
    <w:rsid w:val="00DF31DD"/>
    <w:rsid w:val="00DF3279"/>
    <w:rsid w:val="00DF3280"/>
    <w:rsid w:val="00DF32EE"/>
    <w:rsid w:val="00DF32EF"/>
    <w:rsid w:val="00DF3308"/>
    <w:rsid w:val="00DF3313"/>
    <w:rsid w:val="00DF3315"/>
    <w:rsid w:val="00DF3363"/>
    <w:rsid w:val="00DF3374"/>
    <w:rsid w:val="00DF3398"/>
    <w:rsid w:val="00DF33A7"/>
    <w:rsid w:val="00DF3425"/>
    <w:rsid w:val="00DF342C"/>
    <w:rsid w:val="00DF34A6"/>
    <w:rsid w:val="00DF34E3"/>
    <w:rsid w:val="00DF3587"/>
    <w:rsid w:val="00DF35A7"/>
    <w:rsid w:val="00DF35F1"/>
    <w:rsid w:val="00DF35F4"/>
    <w:rsid w:val="00DF3634"/>
    <w:rsid w:val="00DF3649"/>
    <w:rsid w:val="00DF365C"/>
    <w:rsid w:val="00DF367D"/>
    <w:rsid w:val="00DF3695"/>
    <w:rsid w:val="00DF36D4"/>
    <w:rsid w:val="00DF36D7"/>
    <w:rsid w:val="00DF36FF"/>
    <w:rsid w:val="00DF371A"/>
    <w:rsid w:val="00DF3727"/>
    <w:rsid w:val="00DF376E"/>
    <w:rsid w:val="00DF37CE"/>
    <w:rsid w:val="00DF383D"/>
    <w:rsid w:val="00DF3864"/>
    <w:rsid w:val="00DF387B"/>
    <w:rsid w:val="00DF3897"/>
    <w:rsid w:val="00DF38E3"/>
    <w:rsid w:val="00DF3939"/>
    <w:rsid w:val="00DF394A"/>
    <w:rsid w:val="00DF3992"/>
    <w:rsid w:val="00DF399A"/>
    <w:rsid w:val="00DF399D"/>
    <w:rsid w:val="00DF39C8"/>
    <w:rsid w:val="00DF39DD"/>
    <w:rsid w:val="00DF3A0D"/>
    <w:rsid w:val="00DF3A16"/>
    <w:rsid w:val="00DF3A23"/>
    <w:rsid w:val="00DF3A76"/>
    <w:rsid w:val="00DF3A9F"/>
    <w:rsid w:val="00DF3AE8"/>
    <w:rsid w:val="00DF3AFF"/>
    <w:rsid w:val="00DF3C05"/>
    <w:rsid w:val="00DF3C0B"/>
    <w:rsid w:val="00DF3C0D"/>
    <w:rsid w:val="00DF3C34"/>
    <w:rsid w:val="00DF3C70"/>
    <w:rsid w:val="00DF3CDC"/>
    <w:rsid w:val="00DF3D11"/>
    <w:rsid w:val="00DF3D14"/>
    <w:rsid w:val="00DF3D19"/>
    <w:rsid w:val="00DF3D46"/>
    <w:rsid w:val="00DF3E34"/>
    <w:rsid w:val="00DF3E3F"/>
    <w:rsid w:val="00DF3E59"/>
    <w:rsid w:val="00DF3E5B"/>
    <w:rsid w:val="00DF3E78"/>
    <w:rsid w:val="00DF3F15"/>
    <w:rsid w:val="00DF3F4D"/>
    <w:rsid w:val="00DF3F68"/>
    <w:rsid w:val="00DF3FB0"/>
    <w:rsid w:val="00DF3FE6"/>
    <w:rsid w:val="00DF4029"/>
    <w:rsid w:val="00DF4073"/>
    <w:rsid w:val="00DF408E"/>
    <w:rsid w:val="00DF4094"/>
    <w:rsid w:val="00DF40B7"/>
    <w:rsid w:val="00DF4134"/>
    <w:rsid w:val="00DF4143"/>
    <w:rsid w:val="00DF4193"/>
    <w:rsid w:val="00DF41D0"/>
    <w:rsid w:val="00DF4203"/>
    <w:rsid w:val="00DF420B"/>
    <w:rsid w:val="00DF421E"/>
    <w:rsid w:val="00DF422F"/>
    <w:rsid w:val="00DF42C9"/>
    <w:rsid w:val="00DF42E1"/>
    <w:rsid w:val="00DF4319"/>
    <w:rsid w:val="00DF4332"/>
    <w:rsid w:val="00DF4341"/>
    <w:rsid w:val="00DF4349"/>
    <w:rsid w:val="00DF43A7"/>
    <w:rsid w:val="00DF43DB"/>
    <w:rsid w:val="00DF4422"/>
    <w:rsid w:val="00DF44A1"/>
    <w:rsid w:val="00DF44D1"/>
    <w:rsid w:val="00DF44F7"/>
    <w:rsid w:val="00DF453A"/>
    <w:rsid w:val="00DF454A"/>
    <w:rsid w:val="00DF4578"/>
    <w:rsid w:val="00DF45C0"/>
    <w:rsid w:val="00DF45FC"/>
    <w:rsid w:val="00DF463F"/>
    <w:rsid w:val="00DF465A"/>
    <w:rsid w:val="00DF4675"/>
    <w:rsid w:val="00DF46E6"/>
    <w:rsid w:val="00DF4746"/>
    <w:rsid w:val="00DF477B"/>
    <w:rsid w:val="00DF47B4"/>
    <w:rsid w:val="00DF47BC"/>
    <w:rsid w:val="00DF4870"/>
    <w:rsid w:val="00DF4878"/>
    <w:rsid w:val="00DF493D"/>
    <w:rsid w:val="00DF4994"/>
    <w:rsid w:val="00DF49A4"/>
    <w:rsid w:val="00DF49B5"/>
    <w:rsid w:val="00DF49F1"/>
    <w:rsid w:val="00DF4A53"/>
    <w:rsid w:val="00DF4A66"/>
    <w:rsid w:val="00DF4A82"/>
    <w:rsid w:val="00DF4AB0"/>
    <w:rsid w:val="00DF4ABA"/>
    <w:rsid w:val="00DF4AF1"/>
    <w:rsid w:val="00DF4AF7"/>
    <w:rsid w:val="00DF4B28"/>
    <w:rsid w:val="00DF4C81"/>
    <w:rsid w:val="00DF4CA0"/>
    <w:rsid w:val="00DF4D3D"/>
    <w:rsid w:val="00DF4D4A"/>
    <w:rsid w:val="00DF4D55"/>
    <w:rsid w:val="00DF4DC7"/>
    <w:rsid w:val="00DF4DCD"/>
    <w:rsid w:val="00DF4DCF"/>
    <w:rsid w:val="00DF4E38"/>
    <w:rsid w:val="00DF4E51"/>
    <w:rsid w:val="00DF4EF5"/>
    <w:rsid w:val="00DF4F93"/>
    <w:rsid w:val="00DF4FA7"/>
    <w:rsid w:val="00DF4FB4"/>
    <w:rsid w:val="00DF4FF7"/>
    <w:rsid w:val="00DF5038"/>
    <w:rsid w:val="00DF5078"/>
    <w:rsid w:val="00DF50A1"/>
    <w:rsid w:val="00DF50EA"/>
    <w:rsid w:val="00DF518A"/>
    <w:rsid w:val="00DF51A7"/>
    <w:rsid w:val="00DF520E"/>
    <w:rsid w:val="00DF521D"/>
    <w:rsid w:val="00DF52A0"/>
    <w:rsid w:val="00DF52A8"/>
    <w:rsid w:val="00DF52CC"/>
    <w:rsid w:val="00DF52CF"/>
    <w:rsid w:val="00DF52F4"/>
    <w:rsid w:val="00DF53BC"/>
    <w:rsid w:val="00DF53F8"/>
    <w:rsid w:val="00DF54D0"/>
    <w:rsid w:val="00DF5512"/>
    <w:rsid w:val="00DF5549"/>
    <w:rsid w:val="00DF558A"/>
    <w:rsid w:val="00DF562F"/>
    <w:rsid w:val="00DF5645"/>
    <w:rsid w:val="00DF565C"/>
    <w:rsid w:val="00DF56E3"/>
    <w:rsid w:val="00DF56F2"/>
    <w:rsid w:val="00DF56F5"/>
    <w:rsid w:val="00DF5708"/>
    <w:rsid w:val="00DF5818"/>
    <w:rsid w:val="00DF5876"/>
    <w:rsid w:val="00DF58AC"/>
    <w:rsid w:val="00DF58C9"/>
    <w:rsid w:val="00DF591A"/>
    <w:rsid w:val="00DF5942"/>
    <w:rsid w:val="00DF5957"/>
    <w:rsid w:val="00DF598C"/>
    <w:rsid w:val="00DF599A"/>
    <w:rsid w:val="00DF59E6"/>
    <w:rsid w:val="00DF5A3D"/>
    <w:rsid w:val="00DF5A6E"/>
    <w:rsid w:val="00DF5ADA"/>
    <w:rsid w:val="00DF5B4A"/>
    <w:rsid w:val="00DF5BBA"/>
    <w:rsid w:val="00DF5C04"/>
    <w:rsid w:val="00DF5C29"/>
    <w:rsid w:val="00DF5C7F"/>
    <w:rsid w:val="00DF5CD2"/>
    <w:rsid w:val="00DF5CF1"/>
    <w:rsid w:val="00DF5D59"/>
    <w:rsid w:val="00DF5DAD"/>
    <w:rsid w:val="00DF5DEF"/>
    <w:rsid w:val="00DF5E00"/>
    <w:rsid w:val="00DF5E06"/>
    <w:rsid w:val="00DF5E20"/>
    <w:rsid w:val="00DF5EC9"/>
    <w:rsid w:val="00DF5EDB"/>
    <w:rsid w:val="00DF5EDD"/>
    <w:rsid w:val="00DF5F29"/>
    <w:rsid w:val="00DF5F4C"/>
    <w:rsid w:val="00DF5F7E"/>
    <w:rsid w:val="00DF5FC8"/>
    <w:rsid w:val="00DF5FD5"/>
    <w:rsid w:val="00DF60D0"/>
    <w:rsid w:val="00DF60E8"/>
    <w:rsid w:val="00DF6170"/>
    <w:rsid w:val="00DF618A"/>
    <w:rsid w:val="00DF61A6"/>
    <w:rsid w:val="00DF623F"/>
    <w:rsid w:val="00DF625C"/>
    <w:rsid w:val="00DF6263"/>
    <w:rsid w:val="00DF6277"/>
    <w:rsid w:val="00DF630B"/>
    <w:rsid w:val="00DF6315"/>
    <w:rsid w:val="00DF631D"/>
    <w:rsid w:val="00DF6342"/>
    <w:rsid w:val="00DF6436"/>
    <w:rsid w:val="00DF6475"/>
    <w:rsid w:val="00DF64A3"/>
    <w:rsid w:val="00DF64C2"/>
    <w:rsid w:val="00DF64FD"/>
    <w:rsid w:val="00DF650C"/>
    <w:rsid w:val="00DF655A"/>
    <w:rsid w:val="00DF65A1"/>
    <w:rsid w:val="00DF65AA"/>
    <w:rsid w:val="00DF65EB"/>
    <w:rsid w:val="00DF65F2"/>
    <w:rsid w:val="00DF65F4"/>
    <w:rsid w:val="00DF65FE"/>
    <w:rsid w:val="00DF6610"/>
    <w:rsid w:val="00DF6614"/>
    <w:rsid w:val="00DF6693"/>
    <w:rsid w:val="00DF66D5"/>
    <w:rsid w:val="00DF66E7"/>
    <w:rsid w:val="00DF66EA"/>
    <w:rsid w:val="00DF670B"/>
    <w:rsid w:val="00DF676D"/>
    <w:rsid w:val="00DF67CC"/>
    <w:rsid w:val="00DF67D2"/>
    <w:rsid w:val="00DF6835"/>
    <w:rsid w:val="00DF6851"/>
    <w:rsid w:val="00DF6867"/>
    <w:rsid w:val="00DF689E"/>
    <w:rsid w:val="00DF68DD"/>
    <w:rsid w:val="00DF6987"/>
    <w:rsid w:val="00DF6996"/>
    <w:rsid w:val="00DF6A15"/>
    <w:rsid w:val="00DF6ABF"/>
    <w:rsid w:val="00DF6AEE"/>
    <w:rsid w:val="00DF6B11"/>
    <w:rsid w:val="00DF6B22"/>
    <w:rsid w:val="00DF6B4B"/>
    <w:rsid w:val="00DF6B60"/>
    <w:rsid w:val="00DF6BDE"/>
    <w:rsid w:val="00DF6C3B"/>
    <w:rsid w:val="00DF6CDE"/>
    <w:rsid w:val="00DF6D25"/>
    <w:rsid w:val="00DF6DAA"/>
    <w:rsid w:val="00DF6DC9"/>
    <w:rsid w:val="00DF6DDF"/>
    <w:rsid w:val="00DF6E4C"/>
    <w:rsid w:val="00DF6EB0"/>
    <w:rsid w:val="00DF6EFA"/>
    <w:rsid w:val="00DF6F4C"/>
    <w:rsid w:val="00DF6F99"/>
    <w:rsid w:val="00DF7014"/>
    <w:rsid w:val="00DF70D4"/>
    <w:rsid w:val="00DF70F4"/>
    <w:rsid w:val="00DF70FB"/>
    <w:rsid w:val="00DF7151"/>
    <w:rsid w:val="00DF7175"/>
    <w:rsid w:val="00DF7183"/>
    <w:rsid w:val="00DF71C8"/>
    <w:rsid w:val="00DF71EB"/>
    <w:rsid w:val="00DF720B"/>
    <w:rsid w:val="00DF720D"/>
    <w:rsid w:val="00DF726F"/>
    <w:rsid w:val="00DF7285"/>
    <w:rsid w:val="00DF728A"/>
    <w:rsid w:val="00DF729D"/>
    <w:rsid w:val="00DF72A8"/>
    <w:rsid w:val="00DF72AA"/>
    <w:rsid w:val="00DF732C"/>
    <w:rsid w:val="00DF7365"/>
    <w:rsid w:val="00DF7398"/>
    <w:rsid w:val="00DF73A7"/>
    <w:rsid w:val="00DF73B9"/>
    <w:rsid w:val="00DF73F5"/>
    <w:rsid w:val="00DF7444"/>
    <w:rsid w:val="00DF747B"/>
    <w:rsid w:val="00DF7527"/>
    <w:rsid w:val="00DF75D0"/>
    <w:rsid w:val="00DF7674"/>
    <w:rsid w:val="00DF767A"/>
    <w:rsid w:val="00DF768E"/>
    <w:rsid w:val="00DF778C"/>
    <w:rsid w:val="00DF77A0"/>
    <w:rsid w:val="00DF77EF"/>
    <w:rsid w:val="00DF789C"/>
    <w:rsid w:val="00DF78A2"/>
    <w:rsid w:val="00DF78FC"/>
    <w:rsid w:val="00DF793C"/>
    <w:rsid w:val="00DF79C0"/>
    <w:rsid w:val="00DF79D2"/>
    <w:rsid w:val="00DF79F6"/>
    <w:rsid w:val="00DF7A63"/>
    <w:rsid w:val="00DF7A7C"/>
    <w:rsid w:val="00DF7A98"/>
    <w:rsid w:val="00DF7B78"/>
    <w:rsid w:val="00DF7B9B"/>
    <w:rsid w:val="00DF7BAD"/>
    <w:rsid w:val="00DF7BCD"/>
    <w:rsid w:val="00DF7BDC"/>
    <w:rsid w:val="00DF7BE4"/>
    <w:rsid w:val="00DF7BE6"/>
    <w:rsid w:val="00DF7C3A"/>
    <w:rsid w:val="00DF7C5E"/>
    <w:rsid w:val="00DF7C6E"/>
    <w:rsid w:val="00DF7C97"/>
    <w:rsid w:val="00DF7CD3"/>
    <w:rsid w:val="00DF7CF7"/>
    <w:rsid w:val="00DF7D53"/>
    <w:rsid w:val="00DF7DA5"/>
    <w:rsid w:val="00DF7DB2"/>
    <w:rsid w:val="00DF7DBD"/>
    <w:rsid w:val="00DF7DD3"/>
    <w:rsid w:val="00DF7DDD"/>
    <w:rsid w:val="00DF7E24"/>
    <w:rsid w:val="00DF7E4C"/>
    <w:rsid w:val="00DF7E8F"/>
    <w:rsid w:val="00DF7F0D"/>
    <w:rsid w:val="00DF7F2D"/>
    <w:rsid w:val="00DF7F62"/>
    <w:rsid w:val="00DF7F7A"/>
    <w:rsid w:val="00DF7F98"/>
    <w:rsid w:val="00DF7FB7"/>
    <w:rsid w:val="00DF7FF8"/>
    <w:rsid w:val="00E00041"/>
    <w:rsid w:val="00E00046"/>
    <w:rsid w:val="00E000B2"/>
    <w:rsid w:val="00E0010A"/>
    <w:rsid w:val="00E001AB"/>
    <w:rsid w:val="00E001AD"/>
    <w:rsid w:val="00E001F6"/>
    <w:rsid w:val="00E001F9"/>
    <w:rsid w:val="00E001FD"/>
    <w:rsid w:val="00E00217"/>
    <w:rsid w:val="00E00237"/>
    <w:rsid w:val="00E00266"/>
    <w:rsid w:val="00E00345"/>
    <w:rsid w:val="00E0035C"/>
    <w:rsid w:val="00E0047E"/>
    <w:rsid w:val="00E004BE"/>
    <w:rsid w:val="00E00562"/>
    <w:rsid w:val="00E00579"/>
    <w:rsid w:val="00E005AD"/>
    <w:rsid w:val="00E005B4"/>
    <w:rsid w:val="00E00600"/>
    <w:rsid w:val="00E00612"/>
    <w:rsid w:val="00E0062E"/>
    <w:rsid w:val="00E00637"/>
    <w:rsid w:val="00E00641"/>
    <w:rsid w:val="00E00665"/>
    <w:rsid w:val="00E0066F"/>
    <w:rsid w:val="00E00770"/>
    <w:rsid w:val="00E0078E"/>
    <w:rsid w:val="00E007AD"/>
    <w:rsid w:val="00E007EF"/>
    <w:rsid w:val="00E00821"/>
    <w:rsid w:val="00E00842"/>
    <w:rsid w:val="00E009E4"/>
    <w:rsid w:val="00E00A0F"/>
    <w:rsid w:val="00E00A7E"/>
    <w:rsid w:val="00E00A94"/>
    <w:rsid w:val="00E00AC6"/>
    <w:rsid w:val="00E00AF8"/>
    <w:rsid w:val="00E00B35"/>
    <w:rsid w:val="00E00BC6"/>
    <w:rsid w:val="00E00BD0"/>
    <w:rsid w:val="00E00BEB"/>
    <w:rsid w:val="00E00CCB"/>
    <w:rsid w:val="00E00CE9"/>
    <w:rsid w:val="00E00D4E"/>
    <w:rsid w:val="00E00DB8"/>
    <w:rsid w:val="00E00E51"/>
    <w:rsid w:val="00E00E72"/>
    <w:rsid w:val="00E00E7D"/>
    <w:rsid w:val="00E00E95"/>
    <w:rsid w:val="00E00EB7"/>
    <w:rsid w:val="00E00ED1"/>
    <w:rsid w:val="00E00F23"/>
    <w:rsid w:val="00E00F76"/>
    <w:rsid w:val="00E00F79"/>
    <w:rsid w:val="00E010F8"/>
    <w:rsid w:val="00E010FA"/>
    <w:rsid w:val="00E0115D"/>
    <w:rsid w:val="00E0115E"/>
    <w:rsid w:val="00E01178"/>
    <w:rsid w:val="00E0120B"/>
    <w:rsid w:val="00E01218"/>
    <w:rsid w:val="00E01284"/>
    <w:rsid w:val="00E012BA"/>
    <w:rsid w:val="00E0131C"/>
    <w:rsid w:val="00E01358"/>
    <w:rsid w:val="00E0137E"/>
    <w:rsid w:val="00E013A5"/>
    <w:rsid w:val="00E013B4"/>
    <w:rsid w:val="00E013CD"/>
    <w:rsid w:val="00E0144A"/>
    <w:rsid w:val="00E014CA"/>
    <w:rsid w:val="00E014D4"/>
    <w:rsid w:val="00E014DF"/>
    <w:rsid w:val="00E014F0"/>
    <w:rsid w:val="00E01523"/>
    <w:rsid w:val="00E0154D"/>
    <w:rsid w:val="00E0158D"/>
    <w:rsid w:val="00E015A0"/>
    <w:rsid w:val="00E015EC"/>
    <w:rsid w:val="00E015FF"/>
    <w:rsid w:val="00E0165D"/>
    <w:rsid w:val="00E01661"/>
    <w:rsid w:val="00E01668"/>
    <w:rsid w:val="00E01767"/>
    <w:rsid w:val="00E017DC"/>
    <w:rsid w:val="00E017FA"/>
    <w:rsid w:val="00E01816"/>
    <w:rsid w:val="00E0185F"/>
    <w:rsid w:val="00E018D2"/>
    <w:rsid w:val="00E018EB"/>
    <w:rsid w:val="00E0191B"/>
    <w:rsid w:val="00E01928"/>
    <w:rsid w:val="00E01942"/>
    <w:rsid w:val="00E01955"/>
    <w:rsid w:val="00E01978"/>
    <w:rsid w:val="00E01999"/>
    <w:rsid w:val="00E01A00"/>
    <w:rsid w:val="00E01A0D"/>
    <w:rsid w:val="00E01A21"/>
    <w:rsid w:val="00E01A31"/>
    <w:rsid w:val="00E01A39"/>
    <w:rsid w:val="00E01AD1"/>
    <w:rsid w:val="00E01B0D"/>
    <w:rsid w:val="00E01B1A"/>
    <w:rsid w:val="00E01B34"/>
    <w:rsid w:val="00E01B43"/>
    <w:rsid w:val="00E01B79"/>
    <w:rsid w:val="00E01C3A"/>
    <w:rsid w:val="00E01C67"/>
    <w:rsid w:val="00E01CAF"/>
    <w:rsid w:val="00E01CD5"/>
    <w:rsid w:val="00E01CF7"/>
    <w:rsid w:val="00E01D1A"/>
    <w:rsid w:val="00E01D20"/>
    <w:rsid w:val="00E01D3C"/>
    <w:rsid w:val="00E01DCD"/>
    <w:rsid w:val="00E01DEA"/>
    <w:rsid w:val="00E01E1A"/>
    <w:rsid w:val="00E01E77"/>
    <w:rsid w:val="00E01E9E"/>
    <w:rsid w:val="00E01EB5"/>
    <w:rsid w:val="00E01F9B"/>
    <w:rsid w:val="00E0205C"/>
    <w:rsid w:val="00E02069"/>
    <w:rsid w:val="00E02084"/>
    <w:rsid w:val="00E02091"/>
    <w:rsid w:val="00E0211D"/>
    <w:rsid w:val="00E02120"/>
    <w:rsid w:val="00E02153"/>
    <w:rsid w:val="00E0219E"/>
    <w:rsid w:val="00E021C2"/>
    <w:rsid w:val="00E0228A"/>
    <w:rsid w:val="00E022EB"/>
    <w:rsid w:val="00E0230B"/>
    <w:rsid w:val="00E02374"/>
    <w:rsid w:val="00E023D0"/>
    <w:rsid w:val="00E02407"/>
    <w:rsid w:val="00E024CA"/>
    <w:rsid w:val="00E02504"/>
    <w:rsid w:val="00E02541"/>
    <w:rsid w:val="00E02574"/>
    <w:rsid w:val="00E025D2"/>
    <w:rsid w:val="00E025E5"/>
    <w:rsid w:val="00E026B9"/>
    <w:rsid w:val="00E026C2"/>
    <w:rsid w:val="00E02737"/>
    <w:rsid w:val="00E02747"/>
    <w:rsid w:val="00E02753"/>
    <w:rsid w:val="00E027CF"/>
    <w:rsid w:val="00E027F4"/>
    <w:rsid w:val="00E02834"/>
    <w:rsid w:val="00E0290D"/>
    <w:rsid w:val="00E02918"/>
    <w:rsid w:val="00E029FB"/>
    <w:rsid w:val="00E02A44"/>
    <w:rsid w:val="00E02A80"/>
    <w:rsid w:val="00E02B05"/>
    <w:rsid w:val="00E02B57"/>
    <w:rsid w:val="00E02B9B"/>
    <w:rsid w:val="00E02BB1"/>
    <w:rsid w:val="00E02C48"/>
    <w:rsid w:val="00E02CFF"/>
    <w:rsid w:val="00E02D0C"/>
    <w:rsid w:val="00E02D98"/>
    <w:rsid w:val="00E02DB9"/>
    <w:rsid w:val="00E02DC5"/>
    <w:rsid w:val="00E02DD6"/>
    <w:rsid w:val="00E02E1A"/>
    <w:rsid w:val="00E02E31"/>
    <w:rsid w:val="00E02EB3"/>
    <w:rsid w:val="00E02F07"/>
    <w:rsid w:val="00E02F5E"/>
    <w:rsid w:val="00E02FBB"/>
    <w:rsid w:val="00E03010"/>
    <w:rsid w:val="00E030AB"/>
    <w:rsid w:val="00E030CA"/>
    <w:rsid w:val="00E030F1"/>
    <w:rsid w:val="00E03130"/>
    <w:rsid w:val="00E03181"/>
    <w:rsid w:val="00E03183"/>
    <w:rsid w:val="00E03197"/>
    <w:rsid w:val="00E031D9"/>
    <w:rsid w:val="00E031DB"/>
    <w:rsid w:val="00E031FA"/>
    <w:rsid w:val="00E0323A"/>
    <w:rsid w:val="00E03281"/>
    <w:rsid w:val="00E0329C"/>
    <w:rsid w:val="00E032AC"/>
    <w:rsid w:val="00E032B0"/>
    <w:rsid w:val="00E032B7"/>
    <w:rsid w:val="00E03321"/>
    <w:rsid w:val="00E03326"/>
    <w:rsid w:val="00E03370"/>
    <w:rsid w:val="00E03379"/>
    <w:rsid w:val="00E03386"/>
    <w:rsid w:val="00E03450"/>
    <w:rsid w:val="00E03488"/>
    <w:rsid w:val="00E0348F"/>
    <w:rsid w:val="00E034DE"/>
    <w:rsid w:val="00E034E1"/>
    <w:rsid w:val="00E0350F"/>
    <w:rsid w:val="00E0353D"/>
    <w:rsid w:val="00E035EA"/>
    <w:rsid w:val="00E03616"/>
    <w:rsid w:val="00E03658"/>
    <w:rsid w:val="00E03659"/>
    <w:rsid w:val="00E0366E"/>
    <w:rsid w:val="00E03687"/>
    <w:rsid w:val="00E03688"/>
    <w:rsid w:val="00E03768"/>
    <w:rsid w:val="00E037C9"/>
    <w:rsid w:val="00E037CC"/>
    <w:rsid w:val="00E03859"/>
    <w:rsid w:val="00E03925"/>
    <w:rsid w:val="00E039BE"/>
    <w:rsid w:val="00E039CD"/>
    <w:rsid w:val="00E039D0"/>
    <w:rsid w:val="00E03A03"/>
    <w:rsid w:val="00E03A93"/>
    <w:rsid w:val="00E03AA4"/>
    <w:rsid w:val="00E03AE6"/>
    <w:rsid w:val="00E03AFC"/>
    <w:rsid w:val="00E03B32"/>
    <w:rsid w:val="00E03B3E"/>
    <w:rsid w:val="00E03B47"/>
    <w:rsid w:val="00E03B69"/>
    <w:rsid w:val="00E03B8C"/>
    <w:rsid w:val="00E03BBC"/>
    <w:rsid w:val="00E03C32"/>
    <w:rsid w:val="00E03CBB"/>
    <w:rsid w:val="00E03D14"/>
    <w:rsid w:val="00E03D17"/>
    <w:rsid w:val="00E03D25"/>
    <w:rsid w:val="00E03D8E"/>
    <w:rsid w:val="00E03DD6"/>
    <w:rsid w:val="00E03E04"/>
    <w:rsid w:val="00E03E0E"/>
    <w:rsid w:val="00E03E33"/>
    <w:rsid w:val="00E03E57"/>
    <w:rsid w:val="00E03EC2"/>
    <w:rsid w:val="00E03ECB"/>
    <w:rsid w:val="00E03EE9"/>
    <w:rsid w:val="00E03F11"/>
    <w:rsid w:val="00E03F2A"/>
    <w:rsid w:val="00E03FB2"/>
    <w:rsid w:val="00E03FE6"/>
    <w:rsid w:val="00E03FFD"/>
    <w:rsid w:val="00E04048"/>
    <w:rsid w:val="00E04106"/>
    <w:rsid w:val="00E04132"/>
    <w:rsid w:val="00E04193"/>
    <w:rsid w:val="00E041F8"/>
    <w:rsid w:val="00E041FE"/>
    <w:rsid w:val="00E04263"/>
    <w:rsid w:val="00E0427C"/>
    <w:rsid w:val="00E042D4"/>
    <w:rsid w:val="00E04312"/>
    <w:rsid w:val="00E04391"/>
    <w:rsid w:val="00E043BF"/>
    <w:rsid w:val="00E043F7"/>
    <w:rsid w:val="00E04526"/>
    <w:rsid w:val="00E04541"/>
    <w:rsid w:val="00E0454B"/>
    <w:rsid w:val="00E04586"/>
    <w:rsid w:val="00E045AE"/>
    <w:rsid w:val="00E045F5"/>
    <w:rsid w:val="00E0464E"/>
    <w:rsid w:val="00E046EA"/>
    <w:rsid w:val="00E04738"/>
    <w:rsid w:val="00E04740"/>
    <w:rsid w:val="00E0475F"/>
    <w:rsid w:val="00E04769"/>
    <w:rsid w:val="00E04782"/>
    <w:rsid w:val="00E04800"/>
    <w:rsid w:val="00E0480D"/>
    <w:rsid w:val="00E04812"/>
    <w:rsid w:val="00E0481B"/>
    <w:rsid w:val="00E0482A"/>
    <w:rsid w:val="00E04830"/>
    <w:rsid w:val="00E04854"/>
    <w:rsid w:val="00E0487F"/>
    <w:rsid w:val="00E0489B"/>
    <w:rsid w:val="00E048AE"/>
    <w:rsid w:val="00E048E5"/>
    <w:rsid w:val="00E048F3"/>
    <w:rsid w:val="00E04911"/>
    <w:rsid w:val="00E04961"/>
    <w:rsid w:val="00E04985"/>
    <w:rsid w:val="00E04A35"/>
    <w:rsid w:val="00E04A60"/>
    <w:rsid w:val="00E04A65"/>
    <w:rsid w:val="00E04A66"/>
    <w:rsid w:val="00E04BC6"/>
    <w:rsid w:val="00E04BE6"/>
    <w:rsid w:val="00E04C02"/>
    <w:rsid w:val="00E04C08"/>
    <w:rsid w:val="00E04C7D"/>
    <w:rsid w:val="00E04CD9"/>
    <w:rsid w:val="00E04D69"/>
    <w:rsid w:val="00E04D7B"/>
    <w:rsid w:val="00E04D7D"/>
    <w:rsid w:val="00E04DC0"/>
    <w:rsid w:val="00E04E22"/>
    <w:rsid w:val="00E04E67"/>
    <w:rsid w:val="00E04EBF"/>
    <w:rsid w:val="00E04F1B"/>
    <w:rsid w:val="00E04F65"/>
    <w:rsid w:val="00E04F84"/>
    <w:rsid w:val="00E04F93"/>
    <w:rsid w:val="00E04F95"/>
    <w:rsid w:val="00E04FA3"/>
    <w:rsid w:val="00E0502B"/>
    <w:rsid w:val="00E05047"/>
    <w:rsid w:val="00E0505D"/>
    <w:rsid w:val="00E050B5"/>
    <w:rsid w:val="00E050DF"/>
    <w:rsid w:val="00E05100"/>
    <w:rsid w:val="00E05125"/>
    <w:rsid w:val="00E0513F"/>
    <w:rsid w:val="00E05150"/>
    <w:rsid w:val="00E05192"/>
    <w:rsid w:val="00E051E3"/>
    <w:rsid w:val="00E05222"/>
    <w:rsid w:val="00E05263"/>
    <w:rsid w:val="00E052FB"/>
    <w:rsid w:val="00E05342"/>
    <w:rsid w:val="00E05345"/>
    <w:rsid w:val="00E053E5"/>
    <w:rsid w:val="00E0549A"/>
    <w:rsid w:val="00E054C4"/>
    <w:rsid w:val="00E054E5"/>
    <w:rsid w:val="00E054E6"/>
    <w:rsid w:val="00E054E7"/>
    <w:rsid w:val="00E05588"/>
    <w:rsid w:val="00E055AF"/>
    <w:rsid w:val="00E0567F"/>
    <w:rsid w:val="00E05680"/>
    <w:rsid w:val="00E0568E"/>
    <w:rsid w:val="00E056B9"/>
    <w:rsid w:val="00E056E5"/>
    <w:rsid w:val="00E05700"/>
    <w:rsid w:val="00E05736"/>
    <w:rsid w:val="00E05771"/>
    <w:rsid w:val="00E0578A"/>
    <w:rsid w:val="00E057A0"/>
    <w:rsid w:val="00E057C9"/>
    <w:rsid w:val="00E05815"/>
    <w:rsid w:val="00E058D4"/>
    <w:rsid w:val="00E058D7"/>
    <w:rsid w:val="00E0591A"/>
    <w:rsid w:val="00E059AF"/>
    <w:rsid w:val="00E05AB0"/>
    <w:rsid w:val="00E05ADA"/>
    <w:rsid w:val="00E05B01"/>
    <w:rsid w:val="00E05B58"/>
    <w:rsid w:val="00E05BB6"/>
    <w:rsid w:val="00E05BFC"/>
    <w:rsid w:val="00E05C52"/>
    <w:rsid w:val="00E05C6C"/>
    <w:rsid w:val="00E05C6E"/>
    <w:rsid w:val="00E05C7C"/>
    <w:rsid w:val="00E05C85"/>
    <w:rsid w:val="00E05CC2"/>
    <w:rsid w:val="00E05CE5"/>
    <w:rsid w:val="00E05CFD"/>
    <w:rsid w:val="00E05D5C"/>
    <w:rsid w:val="00E05D93"/>
    <w:rsid w:val="00E05DA3"/>
    <w:rsid w:val="00E05DA8"/>
    <w:rsid w:val="00E05E59"/>
    <w:rsid w:val="00E05E9F"/>
    <w:rsid w:val="00E05ED0"/>
    <w:rsid w:val="00E05EF3"/>
    <w:rsid w:val="00E05F34"/>
    <w:rsid w:val="00E05F3C"/>
    <w:rsid w:val="00E05F5D"/>
    <w:rsid w:val="00E05F65"/>
    <w:rsid w:val="00E05F6C"/>
    <w:rsid w:val="00E05F9F"/>
    <w:rsid w:val="00E05FA3"/>
    <w:rsid w:val="00E06028"/>
    <w:rsid w:val="00E0604A"/>
    <w:rsid w:val="00E0606C"/>
    <w:rsid w:val="00E06074"/>
    <w:rsid w:val="00E06084"/>
    <w:rsid w:val="00E06086"/>
    <w:rsid w:val="00E06111"/>
    <w:rsid w:val="00E0611F"/>
    <w:rsid w:val="00E061E5"/>
    <w:rsid w:val="00E062B5"/>
    <w:rsid w:val="00E0637F"/>
    <w:rsid w:val="00E063DF"/>
    <w:rsid w:val="00E06450"/>
    <w:rsid w:val="00E06471"/>
    <w:rsid w:val="00E06488"/>
    <w:rsid w:val="00E06496"/>
    <w:rsid w:val="00E064E9"/>
    <w:rsid w:val="00E06506"/>
    <w:rsid w:val="00E06529"/>
    <w:rsid w:val="00E06544"/>
    <w:rsid w:val="00E06568"/>
    <w:rsid w:val="00E06572"/>
    <w:rsid w:val="00E0659D"/>
    <w:rsid w:val="00E065D3"/>
    <w:rsid w:val="00E065E2"/>
    <w:rsid w:val="00E0661E"/>
    <w:rsid w:val="00E0664E"/>
    <w:rsid w:val="00E06674"/>
    <w:rsid w:val="00E0667A"/>
    <w:rsid w:val="00E066F7"/>
    <w:rsid w:val="00E06748"/>
    <w:rsid w:val="00E06758"/>
    <w:rsid w:val="00E06766"/>
    <w:rsid w:val="00E0688D"/>
    <w:rsid w:val="00E068AB"/>
    <w:rsid w:val="00E068BB"/>
    <w:rsid w:val="00E068D0"/>
    <w:rsid w:val="00E068D6"/>
    <w:rsid w:val="00E0693A"/>
    <w:rsid w:val="00E06940"/>
    <w:rsid w:val="00E06A15"/>
    <w:rsid w:val="00E06A29"/>
    <w:rsid w:val="00E06A37"/>
    <w:rsid w:val="00E06AF2"/>
    <w:rsid w:val="00E06B0F"/>
    <w:rsid w:val="00E06BAA"/>
    <w:rsid w:val="00E06BC9"/>
    <w:rsid w:val="00E06BF3"/>
    <w:rsid w:val="00E06BFE"/>
    <w:rsid w:val="00E06C01"/>
    <w:rsid w:val="00E06C71"/>
    <w:rsid w:val="00E06C90"/>
    <w:rsid w:val="00E06CE9"/>
    <w:rsid w:val="00E06D63"/>
    <w:rsid w:val="00E06D68"/>
    <w:rsid w:val="00E06D8E"/>
    <w:rsid w:val="00E06E18"/>
    <w:rsid w:val="00E06E36"/>
    <w:rsid w:val="00E06E46"/>
    <w:rsid w:val="00E06E6B"/>
    <w:rsid w:val="00E06E79"/>
    <w:rsid w:val="00E06EFF"/>
    <w:rsid w:val="00E06FA8"/>
    <w:rsid w:val="00E06FF5"/>
    <w:rsid w:val="00E0700F"/>
    <w:rsid w:val="00E0702C"/>
    <w:rsid w:val="00E07031"/>
    <w:rsid w:val="00E07059"/>
    <w:rsid w:val="00E07078"/>
    <w:rsid w:val="00E070B5"/>
    <w:rsid w:val="00E070E5"/>
    <w:rsid w:val="00E0712B"/>
    <w:rsid w:val="00E0715E"/>
    <w:rsid w:val="00E071C2"/>
    <w:rsid w:val="00E071DC"/>
    <w:rsid w:val="00E071E3"/>
    <w:rsid w:val="00E07207"/>
    <w:rsid w:val="00E0721F"/>
    <w:rsid w:val="00E07347"/>
    <w:rsid w:val="00E07368"/>
    <w:rsid w:val="00E07372"/>
    <w:rsid w:val="00E073D6"/>
    <w:rsid w:val="00E073E4"/>
    <w:rsid w:val="00E073F6"/>
    <w:rsid w:val="00E07420"/>
    <w:rsid w:val="00E07476"/>
    <w:rsid w:val="00E074B0"/>
    <w:rsid w:val="00E074B1"/>
    <w:rsid w:val="00E074F2"/>
    <w:rsid w:val="00E0755E"/>
    <w:rsid w:val="00E07579"/>
    <w:rsid w:val="00E0758F"/>
    <w:rsid w:val="00E07598"/>
    <w:rsid w:val="00E075F5"/>
    <w:rsid w:val="00E075FC"/>
    <w:rsid w:val="00E0761F"/>
    <w:rsid w:val="00E07719"/>
    <w:rsid w:val="00E07733"/>
    <w:rsid w:val="00E07736"/>
    <w:rsid w:val="00E07758"/>
    <w:rsid w:val="00E07759"/>
    <w:rsid w:val="00E07768"/>
    <w:rsid w:val="00E077E6"/>
    <w:rsid w:val="00E077ED"/>
    <w:rsid w:val="00E0782F"/>
    <w:rsid w:val="00E07868"/>
    <w:rsid w:val="00E0788C"/>
    <w:rsid w:val="00E078AA"/>
    <w:rsid w:val="00E078D6"/>
    <w:rsid w:val="00E07926"/>
    <w:rsid w:val="00E07959"/>
    <w:rsid w:val="00E07971"/>
    <w:rsid w:val="00E07978"/>
    <w:rsid w:val="00E07993"/>
    <w:rsid w:val="00E079BB"/>
    <w:rsid w:val="00E07AC5"/>
    <w:rsid w:val="00E07AD1"/>
    <w:rsid w:val="00E07AD5"/>
    <w:rsid w:val="00E07AD9"/>
    <w:rsid w:val="00E07B7E"/>
    <w:rsid w:val="00E07BB6"/>
    <w:rsid w:val="00E07BBD"/>
    <w:rsid w:val="00E07BD8"/>
    <w:rsid w:val="00E07C01"/>
    <w:rsid w:val="00E07C15"/>
    <w:rsid w:val="00E07C3A"/>
    <w:rsid w:val="00E07C52"/>
    <w:rsid w:val="00E07C74"/>
    <w:rsid w:val="00E07CFB"/>
    <w:rsid w:val="00E07D90"/>
    <w:rsid w:val="00E07DAC"/>
    <w:rsid w:val="00E07DC1"/>
    <w:rsid w:val="00E07DF8"/>
    <w:rsid w:val="00E07E36"/>
    <w:rsid w:val="00E07E70"/>
    <w:rsid w:val="00E07EA1"/>
    <w:rsid w:val="00E07ECC"/>
    <w:rsid w:val="00E07F6C"/>
    <w:rsid w:val="00E07F6D"/>
    <w:rsid w:val="00E07FC8"/>
    <w:rsid w:val="00E10053"/>
    <w:rsid w:val="00E10136"/>
    <w:rsid w:val="00E10175"/>
    <w:rsid w:val="00E1022C"/>
    <w:rsid w:val="00E1022F"/>
    <w:rsid w:val="00E10237"/>
    <w:rsid w:val="00E10240"/>
    <w:rsid w:val="00E102BB"/>
    <w:rsid w:val="00E102C4"/>
    <w:rsid w:val="00E1030E"/>
    <w:rsid w:val="00E10311"/>
    <w:rsid w:val="00E10319"/>
    <w:rsid w:val="00E1031D"/>
    <w:rsid w:val="00E1035B"/>
    <w:rsid w:val="00E1036A"/>
    <w:rsid w:val="00E103D9"/>
    <w:rsid w:val="00E10402"/>
    <w:rsid w:val="00E10404"/>
    <w:rsid w:val="00E10454"/>
    <w:rsid w:val="00E10459"/>
    <w:rsid w:val="00E10466"/>
    <w:rsid w:val="00E104A7"/>
    <w:rsid w:val="00E104B3"/>
    <w:rsid w:val="00E104B4"/>
    <w:rsid w:val="00E104F5"/>
    <w:rsid w:val="00E10543"/>
    <w:rsid w:val="00E1055A"/>
    <w:rsid w:val="00E105EE"/>
    <w:rsid w:val="00E1060A"/>
    <w:rsid w:val="00E10667"/>
    <w:rsid w:val="00E1068C"/>
    <w:rsid w:val="00E10712"/>
    <w:rsid w:val="00E1073B"/>
    <w:rsid w:val="00E10758"/>
    <w:rsid w:val="00E1078A"/>
    <w:rsid w:val="00E10792"/>
    <w:rsid w:val="00E107AB"/>
    <w:rsid w:val="00E1081C"/>
    <w:rsid w:val="00E108B6"/>
    <w:rsid w:val="00E10955"/>
    <w:rsid w:val="00E1095F"/>
    <w:rsid w:val="00E10962"/>
    <w:rsid w:val="00E10965"/>
    <w:rsid w:val="00E10977"/>
    <w:rsid w:val="00E10985"/>
    <w:rsid w:val="00E109B9"/>
    <w:rsid w:val="00E10A8F"/>
    <w:rsid w:val="00E10AA1"/>
    <w:rsid w:val="00E10AB5"/>
    <w:rsid w:val="00E10ABB"/>
    <w:rsid w:val="00E10B8B"/>
    <w:rsid w:val="00E10BB3"/>
    <w:rsid w:val="00E10BEE"/>
    <w:rsid w:val="00E10C4F"/>
    <w:rsid w:val="00E10D9A"/>
    <w:rsid w:val="00E10DA4"/>
    <w:rsid w:val="00E10E23"/>
    <w:rsid w:val="00E10F30"/>
    <w:rsid w:val="00E10F31"/>
    <w:rsid w:val="00E10F8A"/>
    <w:rsid w:val="00E10FB5"/>
    <w:rsid w:val="00E10FF9"/>
    <w:rsid w:val="00E1102B"/>
    <w:rsid w:val="00E1102D"/>
    <w:rsid w:val="00E1107C"/>
    <w:rsid w:val="00E1109A"/>
    <w:rsid w:val="00E110BF"/>
    <w:rsid w:val="00E110CA"/>
    <w:rsid w:val="00E110FF"/>
    <w:rsid w:val="00E11155"/>
    <w:rsid w:val="00E111EB"/>
    <w:rsid w:val="00E1120A"/>
    <w:rsid w:val="00E1121D"/>
    <w:rsid w:val="00E11238"/>
    <w:rsid w:val="00E11252"/>
    <w:rsid w:val="00E11284"/>
    <w:rsid w:val="00E1128B"/>
    <w:rsid w:val="00E1129D"/>
    <w:rsid w:val="00E11384"/>
    <w:rsid w:val="00E11562"/>
    <w:rsid w:val="00E115FD"/>
    <w:rsid w:val="00E1168B"/>
    <w:rsid w:val="00E11764"/>
    <w:rsid w:val="00E117A7"/>
    <w:rsid w:val="00E117E6"/>
    <w:rsid w:val="00E117E8"/>
    <w:rsid w:val="00E11827"/>
    <w:rsid w:val="00E11877"/>
    <w:rsid w:val="00E118E6"/>
    <w:rsid w:val="00E118E9"/>
    <w:rsid w:val="00E1190D"/>
    <w:rsid w:val="00E1191F"/>
    <w:rsid w:val="00E11948"/>
    <w:rsid w:val="00E119B6"/>
    <w:rsid w:val="00E119D6"/>
    <w:rsid w:val="00E119E7"/>
    <w:rsid w:val="00E11A6A"/>
    <w:rsid w:val="00E11AA2"/>
    <w:rsid w:val="00E11AFC"/>
    <w:rsid w:val="00E11B94"/>
    <w:rsid w:val="00E11BB0"/>
    <w:rsid w:val="00E11C94"/>
    <w:rsid w:val="00E11C9B"/>
    <w:rsid w:val="00E11CBA"/>
    <w:rsid w:val="00E11D08"/>
    <w:rsid w:val="00E11D0E"/>
    <w:rsid w:val="00E11D47"/>
    <w:rsid w:val="00E11D88"/>
    <w:rsid w:val="00E11D91"/>
    <w:rsid w:val="00E11E21"/>
    <w:rsid w:val="00E11E44"/>
    <w:rsid w:val="00E11E77"/>
    <w:rsid w:val="00E11F12"/>
    <w:rsid w:val="00E11F84"/>
    <w:rsid w:val="00E1200E"/>
    <w:rsid w:val="00E12037"/>
    <w:rsid w:val="00E12050"/>
    <w:rsid w:val="00E120B4"/>
    <w:rsid w:val="00E12129"/>
    <w:rsid w:val="00E12165"/>
    <w:rsid w:val="00E1217A"/>
    <w:rsid w:val="00E121FB"/>
    <w:rsid w:val="00E121FE"/>
    <w:rsid w:val="00E1227A"/>
    <w:rsid w:val="00E12284"/>
    <w:rsid w:val="00E122D4"/>
    <w:rsid w:val="00E1236F"/>
    <w:rsid w:val="00E12375"/>
    <w:rsid w:val="00E12387"/>
    <w:rsid w:val="00E123DD"/>
    <w:rsid w:val="00E12496"/>
    <w:rsid w:val="00E1252A"/>
    <w:rsid w:val="00E12533"/>
    <w:rsid w:val="00E125BF"/>
    <w:rsid w:val="00E125ED"/>
    <w:rsid w:val="00E1274E"/>
    <w:rsid w:val="00E12792"/>
    <w:rsid w:val="00E1279C"/>
    <w:rsid w:val="00E12882"/>
    <w:rsid w:val="00E1288B"/>
    <w:rsid w:val="00E128AB"/>
    <w:rsid w:val="00E128D9"/>
    <w:rsid w:val="00E1298D"/>
    <w:rsid w:val="00E12A7B"/>
    <w:rsid w:val="00E12AF0"/>
    <w:rsid w:val="00E12AFE"/>
    <w:rsid w:val="00E12B5C"/>
    <w:rsid w:val="00E12B71"/>
    <w:rsid w:val="00E12B96"/>
    <w:rsid w:val="00E12BAC"/>
    <w:rsid w:val="00E12BDE"/>
    <w:rsid w:val="00E12C19"/>
    <w:rsid w:val="00E12C33"/>
    <w:rsid w:val="00E12C36"/>
    <w:rsid w:val="00E12C6A"/>
    <w:rsid w:val="00E12CAF"/>
    <w:rsid w:val="00E12D2D"/>
    <w:rsid w:val="00E12D52"/>
    <w:rsid w:val="00E12D7B"/>
    <w:rsid w:val="00E12DF9"/>
    <w:rsid w:val="00E12E2D"/>
    <w:rsid w:val="00E12EC5"/>
    <w:rsid w:val="00E12EC7"/>
    <w:rsid w:val="00E12EF5"/>
    <w:rsid w:val="00E12EF6"/>
    <w:rsid w:val="00E12F01"/>
    <w:rsid w:val="00E12F26"/>
    <w:rsid w:val="00E12FD2"/>
    <w:rsid w:val="00E12FF0"/>
    <w:rsid w:val="00E13011"/>
    <w:rsid w:val="00E13036"/>
    <w:rsid w:val="00E1308A"/>
    <w:rsid w:val="00E13096"/>
    <w:rsid w:val="00E130C9"/>
    <w:rsid w:val="00E130DA"/>
    <w:rsid w:val="00E130E1"/>
    <w:rsid w:val="00E130E9"/>
    <w:rsid w:val="00E13101"/>
    <w:rsid w:val="00E13115"/>
    <w:rsid w:val="00E1313C"/>
    <w:rsid w:val="00E13182"/>
    <w:rsid w:val="00E131C4"/>
    <w:rsid w:val="00E1322F"/>
    <w:rsid w:val="00E13252"/>
    <w:rsid w:val="00E13289"/>
    <w:rsid w:val="00E13290"/>
    <w:rsid w:val="00E132C6"/>
    <w:rsid w:val="00E132E5"/>
    <w:rsid w:val="00E13315"/>
    <w:rsid w:val="00E1332F"/>
    <w:rsid w:val="00E13389"/>
    <w:rsid w:val="00E1349E"/>
    <w:rsid w:val="00E134A0"/>
    <w:rsid w:val="00E1352E"/>
    <w:rsid w:val="00E135D0"/>
    <w:rsid w:val="00E1367A"/>
    <w:rsid w:val="00E136D0"/>
    <w:rsid w:val="00E1377A"/>
    <w:rsid w:val="00E137B8"/>
    <w:rsid w:val="00E137D6"/>
    <w:rsid w:val="00E13823"/>
    <w:rsid w:val="00E1386B"/>
    <w:rsid w:val="00E13893"/>
    <w:rsid w:val="00E13914"/>
    <w:rsid w:val="00E13925"/>
    <w:rsid w:val="00E13950"/>
    <w:rsid w:val="00E13959"/>
    <w:rsid w:val="00E13989"/>
    <w:rsid w:val="00E1398E"/>
    <w:rsid w:val="00E1399C"/>
    <w:rsid w:val="00E13A11"/>
    <w:rsid w:val="00E13A5D"/>
    <w:rsid w:val="00E13A65"/>
    <w:rsid w:val="00E13A99"/>
    <w:rsid w:val="00E13AE3"/>
    <w:rsid w:val="00E13AF6"/>
    <w:rsid w:val="00E13B38"/>
    <w:rsid w:val="00E13B7B"/>
    <w:rsid w:val="00E13BB9"/>
    <w:rsid w:val="00E13C83"/>
    <w:rsid w:val="00E13C93"/>
    <w:rsid w:val="00E13CAE"/>
    <w:rsid w:val="00E13CD2"/>
    <w:rsid w:val="00E13CEF"/>
    <w:rsid w:val="00E13D60"/>
    <w:rsid w:val="00E13DA0"/>
    <w:rsid w:val="00E13DB7"/>
    <w:rsid w:val="00E13EEA"/>
    <w:rsid w:val="00E13F15"/>
    <w:rsid w:val="00E13F5B"/>
    <w:rsid w:val="00E13F84"/>
    <w:rsid w:val="00E14012"/>
    <w:rsid w:val="00E1407F"/>
    <w:rsid w:val="00E140A6"/>
    <w:rsid w:val="00E140B7"/>
    <w:rsid w:val="00E140D5"/>
    <w:rsid w:val="00E1415D"/>
    <w:rsid w:val="00E1415F"/>
    <w:rsid w:val="00E14200"/>
    <w:rsid w:val="00E14232"/>
    <w:rsid w:val="00E14265"/>
    <w:rsid w:val="00E1429D"/>
    <w:rsid w:val="00E142A0"/>
    <w:rsid w:val="00E14308"/>
    <w:rsid w:val="00E14362"/>
    <w:rsid w:val="00E14374"/>
    <w:rsid w:val="00E143A8"/>
    <w:rsid w:val="00E143B7"/>
    <w:rsid w:val="00E143D3"/>
    <w:rsid w:val="00E143E8"/>
    <w:rsid w:val="00E1448C"/>
    <w:rsid w:val="00E144D5"/>
    <w:rsid w:val="00E1451B"/>
    <w:rsid w:val="00E14539"/>
    <w:rsid w:val="00E14546"/>
    <w:rsid w:val="00E14585"/>
    <w:rsid w:val="00E1458B"/>
    <w:rsid w:val="00E145BB"/>
    <w:rsid w:val="00E145DB"/>
    <w:rsid w:val="00E146BE"/>
    <w:rsid w:val="00E146C2"/>
    <w:rsid w:val="00E146FB"/>
    <w:rsid w:val="00E1472B"/>
    <w:rsid w:val="00E14749"/>
    <w:rsid w:val="00E14758"/>
    <w:rsid w:val="00E14762"/>
    <w:rsid w:val="00E1476F"/>
    <w:rsid w:val="00E1478A"/>
    <w:rsid w:val="00E147BC"/>
    <w:rsid w:val="00E14821"/>
    <w:rsid w:val="00E14877"/>
    <w:rsid w:val="00E1487F"/>
    <w:rsid w:val="00E148AE"/>
    <w:rsid w:val="00E148DB"/>
    <w:rsid w:val="00E148ED"/>
    <w:rsid w:val="00E1493B"/>
    <w:rsid w:val="00E1494A"/>
    <w:rsid w:val="00E149E9"/>
    <w:rsid w:val="00E14A0B"/>
    <w:rsid w:val="00E14A28"/>
    <w:rsid w:val="00E14A40"/>
    <w:rsid w:val="00E14A59"/>
    <w:rsid w:val="00E14A82"/>
    <w:rsid w:val="00E14AA5"/>
    <w:rsid w:val="00E14ACB"/>
    <w:rsid w:val="00E14B0B"/>
    <w:rsid w:val="00E14B20"/>
    <w:rsid w:val="00E14B23"/>
    <w:rsid w:val="00E14B76"/>
    <w:rsid w:val="00E14B78"/>
    <w:rsid w:val="00E14B8F"/>
    <w:rsid w:val="00E14BAE"/>
    <w:rsid w:val="00E14DC8"/>
    <w:rsid w:val="00E14E26"/>
    <w:rsid w:val="00E14E62"/>
    <w:rsid w:val="00E14E70"/>
    <w:rsid w:val="00E14E73"/>
    <w:rsid w:val="00E14E8C"/>
    <w:rsid w:val="00E14FA7"/>
    <w:rsid w:val="00E15039"/>
    <w:rsid w:val="00E15043"/>
    <w:rsid w:val="00E150A5"/>
    <w:rsid w:val="00E1510C"/>
    <w:rsid w:val="00E1510F"/>
    <w:rsid w:val="00E15142"/>
    <w:rsid w:val="00E15156"/>
    <w:rsid w:val="00E15182"/>
    <w:rsid w:val="00E15189"/>
    <w:rsid w:val="00E15196"/>
    <w:rsid w:val="00E151A9"/>
    <w:rsid w:val="00E151DA"/>
    <w:rsid w:val="00E151F7"/>
    <w:rsid w:val="00E151F9"/>
    <w:rsid w:val="00E1533A"/>
    <w:rsid w:val="00E15348"/>
    <w:rsid w:val="00E15383"/>
    <w:rsid w:val="00E153A0"/>
    <w:rsid w:val="00E153D0"/>
    <w:rsid w:val="00E15413"/>
    <w:rsid w:val="00E1547A"/>
    <w:rsid w:val="00E15504"/>
    <w:rsid w:val="00E1551E"/>
    <w:rsid w:val="00E15582"/>
    <w:rsid w:val="00E155B0"/>
    <w:rsid w:val="00E155E3"/>
    <w:rsid w:val="00E155F7"/>
    <w:rsid w:val="00E15665"/>
    <w:rsid w:val="00E15676"/>
    <w:rsid w:val="00E156CD"/>
    <w:rsid w:val="00E15727"/>
    <w:rsid w:val="00E157A8"/>
    <w:rsid w:val="00E157CC"/>
    <w:rsid w:val="00E157DB"/>
    <w:rsid w:val="00E1587E"/>
    <w:rsid w:val="00E158B4"/>
    <w:rsid w:val="00E158BF"/>
    <w:rsid w:val="00E15917"/>
    <w:rsid w:val="00E15931"/>
    <w:rsid w:val="00E15A37"/>
    <w:rsid w:val="00E15AA1"/>
    <w:rsid w:val="00E15B22"/>
    <w:rsid w:val="00E15B23"/>
    <w:rsid w:val="00E15B44"/>
    <w:rsid w:val="00E15B83"/>
    <w:rsid w:val="00E15BEE"/>
    <w:rsid w:val="00E15C11"/>
    <w:rsid w:val="00E15C2C"/>
    <w:rsid w:val="00E15C45"/>
    <w:rsid w:val="00E15D83"/>
    <w:rsid w:val="00E15E24"/>
    <w:rsid w:val="00E15E3C"/>
    <w:rsid w:val="00E15E3E"/>
    <w:rsid w:val="00E15EFA"/>
    <w:rsid w:val="00E15F08"/>
    <w:rsid w:val="00E15F1B"/>
    <w:rsid w:val="00E15F3E"/>
    <w:rsid w:val="00E15F81"/>
    <w:rsid w:val="00E15F9A"/>
    <w:rsid w:val="00E15FC8"/>
    <w:rsid w:val="00E15FE8"/>
    <w:rsid w:val="00E15FF9"/>
    <w:rsid w:val="00E16069"/>
    <w:rsid w:val="00E1607E"/>
    <w:rsid w:val="00E1608C"/>
    <w:rsid w:val="00E160B5"/>
    <w:rsid w:val="00E1610B"/>
    <w:rsid w:val="00E16172"/>
    <w:rsid w:val="00E16179"/>
    <w:rsid w:val="00E16186"/>
    <w:rsid w:val="00E161BC"/>
    <w:rsid w:val="00E1624E"/>
    <w:rsid w:val="00E16270"/>
    <w:rsid w:val="00E162DA"/>
    <w:rsid w:val="00E162E0"/>
    <w:rsid w:val="00E1633A"/>
    <w:rsid w:val="00E16370"/>
    <w:rsid w:val="00E163A5"/>
    <w:rsid w:val="00E163DB"/>
    <w:rsid w:val="00E1641C"/>
    <w:rsid w:val="00E1656E"/>
    <w:rsid w:val="00E165B1"/>
    <w:rsid w:val="00E165BE"/>
    <w:rsid w:val="00E165E2"/>
    <w:rsid w:val="00E165EC"/>
    <w:rsid w:val="00E16607"/>
    <w:rsid w:val="00E1662A"/>
    <w:rsid w:val="00E16654"/>
    <w:rsid w:val="00E16663"/>
    <w:rsid w:val="00E16668"/>
    <w:rsid w:val="00E1668C"/>
    <w:rsid w:val="00E166A5"/>
    <w:rsid w:val="00E1671A"/>
    <w:rsid w:val="00E168B3"/>
    <w:rsid w:val="00E168FC"/>
    <w:rsid w:val="00E16932"/>
    <w:rsid w:val="00E16A0A"/>
    <w:rsid w:val="00E16A35"/>
    <w:rsid w:val="00E16A65"/>
    <w:rsid w:val="00E16AA2"/>
    <w:rsid w:val="00E16AAA"/>
    <w:rsid w:val="00E16ABD"/>
    <w:rsid w:val="00E16AD9"/>
    <w:rsid w:val="00E16AE0"/>
    <w:rsid w:val="00E16B5C"/>
    <w:rsid w:val="00E16B5D"/>
    <w:rsid w:val="00E16B6A"/>
    <w:rsid w:val="00E16B94"/>
    <w:rsid w:val="00E16C02"/>
    <w:rsid w:val="00E16C46"/>
    <w:rsid w:val="00E16CD9"/>
    <w:rsid w:val="00E16D00"/>
    <w:rsid w:val="00E16DAD"/>
    <w:rsid w:val="00E16DB1"/>
    <w:rsid w:val="00E16DFB"/>
    <w:rsid w:val="00E16E16"/>
    <w:rsid w:val="00E16EA3"/>
    <w:rsid w:val="00E16EB7"/>
    <w:rsid w:val="00E16F11"/>
    <w:rsid w:val="00E16F5E"/>
    <w:rsid w:val="00E16F8B"/>
    <w:rsid w:val="00E16FA6"/>
    <w:rsid w:val="00E16FEB"/>
    <w:rsid w:val="00E17047"/>
    <w:rsid w:val="00E1712D"/>
    <w:rsid w:val="00E17131"/>
    <w:rsid w:val="00E1716F"/>
    <w:rsid w:val="00E171D4"/>
    <w:rsid w:val="00E171FE"/>
    <w:rsid w:val="00E1720A"/>
    <w:rsid w:val="00E17281"/>
    <w:rsid w:val="00E1729E"/>
    <w:rsid w:val="00E172DA"/>
    <w:rsid w:val="00E1730A"/>
    <w:rsid w:val="00E17391"/>
    <w:rsid w:val="00E17392"/>
    <w:rsid w:val="00E17396"/>
    <w:rsid w:val="00E173CA"/>
    <w:rsid w:val="00E17499"/>
    <w:rsid w:val="00E174AD"/>
    <w:rsid w:val="00E1752A"/>
    <w:rsid w:val="00E1755A"/>
    <w:rsid w:val="00E1755F"/>
    <w:rsid w:val="00E175D8"/>
    <w:rsid w:val="00E176AA"/>
    <w:rsid w:val="00E17701"/>
    <w:rsid w:val="00E177BF"/>
    <w:rsid w:val="00E17808"/>
    <w:rsid w:val="00E17865"/>
    <w:rsid w:val="00E17867"/>
    <w:rsid w:val="00E1786E"/>
    <w:rsid w:val="00E178FA"/>
    <w:rsid w:val="00E17963"/>
    <w:rsid w:val="00E1798D"/>
    <w:rsid w:val="00E179D1"/>
    <w:rsid w:val="00E179E3"/>
    <w:rsid w:val="00E17A73"/>
    <w:rsid w:val="00E17A79"/>
    <w:rsid w:val="00E17AAF"/>
    <w:rsid w:val="00E17AC7"/>
    <w:rsid w:val="00E17AC9"/>
    <w:rsid w:val="00E17AE9"/>
    <w:rsid w:val="00E17C5E"/>
    <w:rsid w:val="00E17C69"/>
    <w:rsid w:val="00E17CA4"/>
    <w:rsid w:val="00E17D3D"/>
    <w:rsid w:val="00E17D7B"/>
    <w:rsid w:val="00E17DA6"/>
    <w:rsid w:val="00E17DD1"/>
    <w:rsid w:val="00E17E95"/>
    <w:rsid w:val="00E17F84"/>
    <w:rsid w:val="00E17FC2"/>
    <w:rsid w:val="00E2002B"/>
    <w:rsid w:val="00E20036"/>
    <w:rsid w:val="00E2003A"/>
    <w:rsid w:val="00E20051"/>
    <w:rsid w:val="00E200C8"/>
    <w:rsid w:val="00E20109"/>
    <w:rsid w:val="00E20179"/>
    <w:rsid w:val="00E201C5"/>
    <w:rsid w:val="00E201D6"/>
    <w:rsid w:val="00E20215"/>
    <w:rsid w:val="00E20238"/>
    <w:rsid w:val="00E202C3"/>
    <w:rsid w:val="00E202D8"/>
    <w:rsid w:val="00E202DA"/>
    <w:rsid w:val="00E20322"/>
    <w:rsid w:val="00E203A6"/>
    <w:rsid w:val="00E203B5"/>
    <w:rsid w:val="00E203CC"/>
    <w:rsid w:val="00E203D7"/>
    <w:rsid w:val="00E203E3"/>
    <w:rsid w:val="00E203FE"/>
    <w:rsid w:val="00E2042D"/>
    <w:rsid w:val="00E204AE"/>
    <w:rsid w:val="00E204C1"/>
    <w:rsid w:val="00E204E0"/>
    <w:rsid w:val="00E204E3"/>
    <w:rsid w:val="00E20523"/>
    <w:rsid w:val="00E20526"/>
    <w:rsid w:val="00E2055C"/>
    <w:rsid w:val="00E20593"/>
    <w:rsid w:val="00E205FC"/>
    <w:rsid w:val="00E2067A"/>
    <w:rsid w:val="00E20682"/>
    <w:rsid w:val="00E20709"/>
    <w:rsid w:val="00E20715"/>
    <w:rsid w:val="00E20717"/>
    <w:rsid w:val="00E20737"/>
    <w:rsid w:val="00E20771"/>
    <w:rsid w:val="00E2078D"/>
    <w:rsid w:val="00E20790"/>
    <w:rsid w:val="00E20795"/>
    <w:rsid w:val="00E2082F"/>
    <w:rsid w:val="00E20830"/>
    <w:rsid w:val="00E20839"/>
    <w:rsid w:val="00E20861"/>
    <w:rsid w:val="00E20863"/>
    <w:rsid w:val="00E20876"/>
    <w:rsid w:val="00E208BF"/>
    <w:rsid w:val="00E20932"/>
    <w:rsid w:val="00E2094A"/>
    <w:rsid w:val="00E2098D"/>
    <w:rsid w:val="00E209BF"/>
    <w:rsid w:val="00E209D3"/>
    <w:rsid w:val="00E209DB"/>
    <w:rsid w:val="00E20A03"/>
    <w:rsid w:val="00E20A3A"/>
    <w:rsid w:val="00E20A49"/>
    <w:rsid w:val="00E20A59"/>
    <w:rsid w:val="00E20A61"/>
    <w:rsid w:val="00E20A77"/>
    <w:rsid w:val="00E20B47"/>
    <w:rsid w:val="00E20BC4"/>
    <w:rsid w:val="00E20BCF"/>
    <w:rsid w:val="00E20BEB"/>
    <w:rsid w:val="00E20C3F"/>
    <w:rsid w:val="00E20C9F"/>
    <w:rsid w:val="00E20CBF"/>
    <w:rsid w:val="00E20CD6"/>
    <w:rsid w:val="00E20CDD"/>
    <w:rsid w:val="00E20D5D"/>
    <w:rsid w:val="00E20DED"/>
    <w:rsid w:val="00E20DFC"/>
    <w:rsid w:val="00E20E79"/>
    <w:rsid w:val="00E20E82"/>
    <w:rsid w:val="00E20ED3"/>
    <w:rsid w:val="00E20EF5"/>
    <w:rsid w:val="00E20F67"/>
    <w:rsid w:val="00E20F6B"/>
    <w:rsid w:val="00E20FB3"/>
    <w:rsid w:val="00E20FCC"/>
    <w:rsid w:val="00E210A8"/>
    <w:rsid w:val="00E210B1"/>
    <w:rsid w:val="00E21120"/>
    <w:rsid w:val="00E21176"/>
    <w:rsid w:val="00E2117E"/>
    <w:rsid w:val="00E21193"/>
    <w:rsid w:val="00E211B3"/>
    <w:rsid w:val="00E211C9"/>
    <w:rsid w:val="00E2122D"/>
    <w:rsid w:val="00E21265"/>
    <w:rsid w:val="00E212BB"/>
    <w:rsid w:val="00E212CD"/>
    <w:rsid w:val="00E2137E"/>
    <w:rsid w:val="00E213AF"/>
    <w:rsid w:val="00E21404"/>
    <w:rsid w:val="00E21438"/>
    <w:rsid w:val="00E21496"/>
    <w:rsid w:val="00E214DE"/>
    <w:rsid w:val="00E21501"/>
    <w:rsid w:val="00E2151E"/>
    <w:rsid w:val="00E21527"/>
    <w:rsid w:val="00E2152D"/>
    <w:rsid w:val="00E2153D"/>
    <w:rsid w:val="00E215C8"/>
    <w:rsid w:val="00E21616"/>
    <w:rsid w:val="00E21630"/>
    <w:rsid w:val="00E21690"/>
    <w:rsid w:val="00E216CB"/>
    <w:rsid w:val="00E2177C"/>
    <w:rsid w:val="00E21793"/>
    <w:rsid w:val="00E217C8"/>
    <w:rsid w:val="00E21823"/>
    <w:rsid w:val="00E21844"/>
    <w:rsid w:val="00E2189D"/>
    <w:rsid w:val="00E218B5"/>
    <w:rsid w:val="00E218C6"/>
    <w:rsid w:val="00E218C8"/>
    <w:rsid w:val="00E218C9"/>
    <w:rsid w:val="00E218FE"/>
    <w:rsid w:val="00E21922"/>
    <w:rsid w:val="00E2198A"/>
    <w:rsid w:val="00E219EF"/>
    <w:rsid w:val="00E219F1"/>
    <w:rsid w:val="00E21A07"/>
    <w:rsid w:val="00E21A32"/>
    <w:rsid w:val="00E21A3A"/>
    <w:rsid w:val="00E21A3D"/>
    <w:rsid w:val="00E21A61"/>
    <w:rsid w:val="00E21AB4"/>
    <w:rsid w:val="00E21ABF"/>
    <w:rsid w:val="00E21AD7"/>
    <w:rsid w:val="00E21B61"/>
    <w:rsid w:val="00E21C2D"/>
    <w:rsid w:val="00E21C30"/>
    <w:rsid w:val="00E21C8E"/>
    <w:rsid w:val="00E21D1E"/>
    <w:rsid w:val="00E21D4A"/>
    <w:rsid w:val="00E21DC8"/>
    <w:rsid w:val="00E21DD9"/>
    <w:rsid w:val="00E21DFC"/>
    <w:rsid w:val="00E21E0A"/>
    <w:rsid w:val="00E21EBA"/>
    <w:rsid w:val="00E21F5A"/>
    <w:rsid w:val="00E21F86"/>
    <w:rsid w:val="00E21F8A"/>
    <w:rsid w:val="00E21FB7"/>
    <w:rsid w:val="00E21FD2"/>
    <w:rsid w:val="00E2204C"/>
    <w:rsid w:val="00E22075"/>
    <w:rsid w:val="00E220DE"/>
    <w:rsid w:val="00E22191"/>
    <w:rsid w:val="00E221D9"/>
    <w:rsid w:val="00E2222A"/>
    <w:rsid w:val="00E2222F"/>
    <w:rsid w:val="00E22260"/>
    <w:rsid w:val="00E22287"/>
    <w:rsid w:val="00E222A3"/>
    <w:rsid w:val="00E222D2"/>
    <w:rsid w:val="00E222E9"/>
    <w:rsid w:val="00E222FB"/>
    <w:rsid w:val="00E2230C"/>
    <w:rsid w:val="00E2230E"/>
    <w:rsid w:val="00E2236E"/>
    <w:rsid w:val="00E22376"/>
    <w:rsid w:val="00E22377"/>
    <w:rsid w:val="00E223E5"/>
    <w:rsid w:val="00E223F4"/>
    <w:rsid w:val="00E2243C"/>
    <w:rsid w:val="00E2244D"/>
    <w:rsid w:val="00E22481"/>
    <w:rsid w:val="00E224C5"/>
    <w:rsid w:val="00E22501"/>
    <w:rsid w:val="00E2256D"/>
    <w:rsid w:val="00E2257A"/>
    <w:rsid w:val="00E225CB"/>
    <w:rsid w:val="00E225E4"/>
    <w:rsid w:val="00E226B0"/>
    <w:rsid w:val="00E226C3"/>
    <w:rsid w:val="00E226F1"/>
    <w:rsid w:val="00E22722"/>
    <w:rsid w:val="00E22725"/>
    <w:rsid w:val="00E22781"/>
    <w:rsid w:val="00E2278D"/>
    <w:rsid w:val="00E227A6"/>
    <w:rsid w:val="00E227D6"/>
    <w:rsid w:val="00E227EE"/>
    <w:rsid w:val="00E228B8"/>
    <w:rsid w:val="00E228E1"/>
    <w:rsid w:val="00E2291A"/>
    <w:rsid w:val="00E229BE"/>
    <w:rsid w:val="00E22A04"/>
    <w:rsid w:val="00E22A76"/>
    <w:rsid w:val="00E22A9C"/>
    <w:rsid w:val="00E22AD7"/>
    <w:rsid w:val="00E22AE5"/>
    <w:rsid w:val="00E22B1E"/>
    <w:rsid w:val="00E22B4D"/>
    <w:rsid w:val="00E22B7E"/>
    <w:rsid w:val="00E22BAB"/>
    <w:rsid w:val="00E22C0A"/>
    <w:rsid w:val="00E22C25"/>
    <w:rsid w:val="00E22C32"/>
    <w:rsid w:val="00E22C36"/>
    <w:rsid w:val="00E22C8D"/>
    <w:rsid w:val="00E22CE0"/>
    <w:rsid w:val="00E22CFF"/>
    <w:rsid w:val="00E22D6F"/>
    <w:rsid w:val="00E22D81"/>
    <w:rsid w:val="00E22E03"/>
    <w:rsid w:val="00E22E5F"/>
    <w:rsid w:val="00E22EAF"/>
    <w:rsid w:val="00E22EF2"/>
    <w:rsid w:val="00E23091"/>
    <w:rsid w:val="00E23094"/>
    <w:rsid w:val="00E230A9"/>
    <w:rsid w:val="00E230C3"/>
    <w:rsid w:val="00E23136"/>
    <w:rsid w:val="00E23148"/>
    <w:rsid w:val="00E231A7"/>
    <w:rsid w:val="00E232D9"/>
    <w:rsid w:val="00E2332A"/>
    <w:rsid w:val="00E2334D"/>
    <w:rsid w:val="00E23379"/>
    <w:rsid w:val="00E233AB"/>
    <w:rsid w:val="00E233D7"/>
    <w:rsid w:val="00E233EF"/>
    <w:rsid w:val="00E23431"/>
    <w:rsid w:val="00E23452"/>
    <w:rsid w:val="00E234DB"/>
    <w:rsid w:val="00E2350F"/>
    <w:rsid w:val="00E23533"/>
    <w:rsid w:val="00E2356A"/>
    <w:rsid w:val="00E235C2"/>
    <w:rsid w:val="00E23613"/>
    <w:rsid w:val="00E2363F"/>
    <w:rsid w:val="00E23693"/>
    <w:rsid w:val="00E236D4"/>
    <w:rsid w:val="00E23741"/>
    <w:rsid w:val="00E2374D"/>
    <w:rsid w:val="00E2376C"/>
    <w:rsid w:val="00E23796"/>
    <w:rsid w:val="00E237B2"/>
    <w:rsid w:val="00E2382B"/>
    <w:rsid w:val="00E23839"/>
    <w:rsid w:val="00E2386F"/>
    <w:rsid w:val="00E238F9"/>
    <w:rsid w:val="00E23932"/>
    <w:rsid w:val="00E23956"/>
    <w:rsid w:val="00E2396C"/>
    <w:rsid w:val="00E2398A"/>
    <w:rsid w:val="00E239AA"/>
    <w:rsid w:val="00E239AE"/>
    <w:rsid w:val="00E23A27"/>
    <w:rsid w:val="00E23A2D"/>
    <w:rsid w:val="00E23A63"/>
    <w:rsid w:val="00E23A6F"/>
    <w:rsid w:val="00E23A72"/>
    <w:rsid w:val="00E23BB8"/>
    <w:rsid w:val="00E23BE9"/>
    <w:rsid w:val="00E23BEF"/>
    <w:rsid w:val="00E23C77"/>
    <w:rsid w:val="00E23C97"/>
    <w:rsid w:val="00E23CB1"/>
    <w:rsid w:val="00E23CF3"/>
    <w:rsid w:val="00E23D17"/>
    <w:rsid w:val="00E23D63"/>
    <w:rsid w:val="00E23DAD"/>
    <w:rsid w:val="00E23DC3"/>
    <w:rsid w:val="00E23E0D"/>
    <w:rsid w:val="00E23E1D"/>
    <w:rsid w:val="00E23E90"/>
    <w:rsid w:val="00E23EF3"/>
    <w:rsid w:val="00E23F0E"/>
    <w:rsid w:val="00E23F10"/>
    <w:rsid w:val="00E23F34"/>
    <w:rsid w:val="00E24027"/>
    <w:rsid w:val="00E24029"/>
    <w:rsid w:val="00E2403F"/>
    <w:rsid w:val="00E24161"/>
    <w:rsid w:val="00E24199"/>
    <w:rsid w:val="00E241C1"/>
    <w:rsid w:val="00E24204"/>
    <w:rsid w:val="00E242B1"/>
    <w:rsid w:val="00E24343"/>
    <w:rsid w:val="00E24348"/>
    <w:rsid w:val="00E2436F"/>
    <w:rsid w:val="00E2437B"/>
    <w:rsid w:val="00E2439F"/>
    <w:rsid w:val="00E243A7"/>
    <w:rsid w:val="00E243F6"/>
    <w:rsid w:val="00E2441C"/>
    <w:rsid w:val="00E24442"/>
    <w:rsid w:val="00E244D3"/>
    <w:rsid w:val="00E244F3"/>
    <w:rsid w:val="00E244F4"/>
    <w:rsid w:val="00E24505"/>
    <w:rsid w:val="00E24507"/>
    <w:rsid w:val="00E2452B"/>
    <w:rsid w:val="00E24574"/>
    <w:rsid w:val="00E24576"/>
    <w:rsid w:val="00E24581"/>
    <w:rsid w:val="00E2459E"/>
    <w:rsid w:val="00E2462D"/>
    <w:rsid w:val="00E2464B"/>
    <w:rsid w:val="00E2465E"/>
    <w:rsid w:val="00E246A9"/>
    <w:rsid w:val="00E246F0"/>
    <w:rsid w:val="00E24703"/>
    <w:rsid w:val="00E24710"/>
    <w:rsid w:val="00E247E5"/>
    <w:rsid w:val="00E24820"/>
    <w:rsid w:val="00E24867"/>
    <w:rsid w:val="00E2488D"/>
    <w:rsid w:val="00E248D0"/>
    <w:rsid w:val="00E248E6"/>
    <w:rsid w:val="00E249B7"/>
    <w:rsid w:val="00E249CC"/>
    <w:rsid w:val="00E24A06"/>
    <w:rsid w:val="00E24A4C"/>
    <w:rsid w:val="00E24B33"/>
    <w:rsid w:val="00E24BB7"/>
    <w:rsid w:val="00E24BE1"/>
    <w:rsid w:val="00E24C36"/>
    <w:rsid w:val="00E24C6D"/>
    <w:rsid w:val="00E24D1E"/>
    <w:rsid w:val="00E24D6C"/>
    <w:rsid w:val="00E24D72"/>
    <w:rsid w:val="00E24D8E"/>
    <w:rsid w:val="00E24D98"/>
    <w:rsid w:val="00E24DAB"/>
    <w:rsid w:val="00E24DB4"/>
    <w:rsid w:val="00E24DC1"/>
    <w:rsid w:val="00E24DE5"/>
    <w:rsid w:val="00E24E2D"/>
    <w:rsid w:val="00E24E32"/>
    <w:rsid w:val="00E24E3D"/>
    <w:rsid w:val="00E24E40"/>
    <w:rsid w:val="00E24E58"/>
    <w:rsid w:val="00E24E92"/>
    <w:rsid w:val="00E24EB1"/>
    <w:rsid w:val="00E24EC4"/>
    <w:rsid w:val="00E24EF3"/>
    <w:rsid w:val="00E24F64"/>
    <w:rsid w:val="00E24F6F"/>
    <w:rsid w:val="00E24F9F"/>
    <w:rsid w:val="00E24FA7"/>
    <w:rsid w:val="00E24FC0"/>
    <w:rsid w:val="00E24FD2"/>
    <w:rsid w:val="00E24FD7"/>
    <w:rsid w:val="00E24FF8"/>
    <w:rsid w:val="00E25044"/>
    <w:rsid w:val="00E2504F"/>
    <w:rsid w:val="00E25089"/>
    <w:rsid w:val="00E250B0"/>
    <w:rsid w:val="00E250B9"/>
    <w:rsid w:val="00E25159"/>
    <w:rsid w:val="00E251FC"/>
    <w:rsid w:val="00E25210"/>
    <w:rsid w:val="00E2521B"/>
    <w:rsid w:val="00E2521F"/>
    <w:rsid w:val="00E25260"/>
    <w:rsid w:val="00E252CE"/>
    <w:rsid w:val="00E252D1"/>
    <w:rsid w:val="00E25310"/>
    <w:rsid w:val="00E25316"/>
    <w:rsid w:val="00E25390"/>
    <w:rsid w:val="00E25394"/>
    <w:rsid w:val="00E253A5"/>
    <w:rsid w:val="00E253C4"/>
    <w:rsid w:val="00E253D1"/>
    <w:rsid w:val="00E253DB"/>
    <w:rsid w:val="00E253E0"/>
    <w:rsid w:val="00E2544F"/>
    <w:rsid w:val="00E2545D"/>
    <w:rsid w:val="00E2547A"/>
    <w:rsid w:val="00E2547C"/>
    <w:rsid w:val="00E2552E"/>
    <w:rsid w:val="00E2553B"/>
    <w:rsid w:val="00E2554E"/>
    <w:rsid w:val="00E25559"/>
    <w:rsid w:val="00E2556A"/>
    <w:rsid w:val="00E255EE"/>
    <w:rsid w:val="00E2560E"/>
    <w:rsid w:val="00E2561F"/>
    <w:rsid w:val="00E2566D"/>
    <w:rsid w:val="00E256CA"/>
    <w:rsid w:val="00E25701"/>
    <w:rsid w:val="00E257CE"/>
    <w:rsid w:val="00E257DF"/>
    <w:rsid w:val="00E257FF"/>
    <w:rsid w:val="00E25853"/>
    <w:rsid w:val="00E2587D"/>
    <w:rsid w:val="00E258DB"/>
    <w:rsid w:val="00E25998"/>
    <w:rsid w:val="00E25A1A"/>
    <w:rsid w:val="00E25A4B"/>
    <w:rsid w:val="00E25B6B"/>
    <w:rsid w:val="00E25B85"/>
    <w:rsid w:val="00E25BAD"/>
    <w:rsid w:val="00E25CAC"/>
    <w:rsid w:val="00E25D22"/>
    <w:rsid w:val="00E25D28"/>
    <w:rsid w:val="00E25D7C"/>
    <w:rsid w:val="00E25DE3"/>
    <w:rsid w:val="00E25E37"/>
    <w:rsid w:val="00E25E73"/>
    <w:rsid w:val="00E25E9B"/>
    <w:rsid w:val="00E25EB0"/>
    <w:rsid w:val="00E25EBE"/>
    <w:rsid w:val="00E25EE2"/>
    <w:rsid w:val="00E25EF2"/>
    <w:rsid w:val="00E25F54"/>
    <w:rsid w:val="00E25F7E"/>
    <w:rsid w:val="00E25F90"/>
    <w:rsid w:val="00E25F99"/>
    <w:rsid w:val="00E25FA6"/>
    <w:rsid w:val="00E25FDA"/>
    <w:rsid w:val="00E25FE1"/>
    <w:rsid w:val="00E25FF8"/>
    <w:rsid w:val="00E26042"/>
    <w:rsid w:val="00E260A6"/>
    <w:rsid w:val="00E260D3"/>
    <w:rsid w:val="00E26151"/>
    <w:rsid w:val="00E261C0"/>
    <w:rsid w:val="00E2622B"/>
    <w:rsid w:val="00E2629D"/>
    <w:rsid w:val="00E262AA"/>
    <w:rsid w:val="00E262D7"/>
    <w:rsid w:val="00E26304"/>
    <w:rsid w:val="00E26310"/>
    <w:rsid w:val="00E2639D"/>
    <w:rsid w:val="00E263F1"/>
    <w:rsid w:val="00E26419"/>
    <w:rsid w:val="00E26421"/>
    <w:rsid w:val="00E26428"/>
    <w:rsid w:val="00E2643C"/>
    <w:rsid w:val="00E2644C"/>
    <w:rsid w:val="00E26486"/>
    <w:rsid w:val="00E264A6"/>
    <w:rsid w:val="00E264FC"/>
    <w:rsid w:val="00E26532"/>
    <w:rsid w:val="00E2658E"/>
    <w:rsid w:val="00E265A9"/>
    <w:rsid w:val="00E265B7"/>
    <w:rsid w:val="00E265E1"/>
    <w:rsid w:val="00E2662B"/>
    <w:rsid w:val="00E26694"/>
    <w:rsid w:val="00E26698"/>
    <w:rsid w:val="00E266AB"/>
    <w:rsid w:val="00E266BC"/>
    <w:rsid w:val="00E266C5"/>
    <w:rsid w:val="00E2670D"/>
    <w:rsid w:val="00E2674D"/>
    <w:rsid w:val="00E26759"/>
    <w:rsid w:val="00E26789"/>
    <w:rsid w:val="00E267EC"/>
    <w:rsid w:val="00E26808"/>
    <w:rsid w:val="00E26810"/>
    <w:rsid w:val="00E2687F"/>
    <w:rsid w:val="00E2697F"/>
    <w:rsid w:val="00E2699A"/>
    <w:rsid w:val="00E269C8"/>
    <w:rsid w:val="00E26A74"/>
    <w:rsid w:val="00E26AB0"/>
    <w:rsid w:val="00E26AEB"/>
    <w:rsid w:val="00E26B07"/>
    <w:rsid w:val="00E26B92"/>
    <w:rsid w:val="00E26C16"/>
    <w:rsid w:val="00E26C1C"/>
    <w:rsid w:val="00E26C32"/>
    <w:rsid w:val="00E26C3F"/>
    <w:rsid w:val="00E26C5F"/>
    <w:rsid w:val="00E26C63"/>
    <w:rsid w:val="00E26C64"/>
    <w:rsid w:val="00E26C69"/>
    <w:rsid w:val="00E26D09"/>
    <w:rsid w:val="00E26D15"/>
    <w:rsid w:val="00E26D17"/>
    <w:rsid w:val="00E26DE2"/>
    <w:rsid w:val="00E26E05"/>
    <w:rsid w:val="00E26ED1"/>
    <w:rsid w:val="00E26F12"/>
    <w:rsid w:val="00E26F29"/>
    <w:rsid w:val="00E26F8C"/>
    <w:rsid w:val="00E26F9D"/>
    <w:rsid w:val="00E2700A"/>
    <w:rsid w:val="00E27036"/>
    <w:rsid w:val="00E27054"/>
    <w:rsid w:val="00E270A5"/>
    <w:rsid w:val="00E270C1"/>
    <w:rsid w:val="00E270D6"/>
    <w:rsid w:val="00E2711E"/>
    <w:rsid w:val="00E27134"/>
    <w:rsid w:val="00E2713B"/>
    <w:rsid w:val="00E2718F"/>
    <w:rsid w:val="00E271B5"/>
    <w:rsid w:val="00E271C9"/>
    <w:rsid w:val="00E27219"/>
    <w:rsid w:val="00E2725F"/>
    <w:rsid w:val="00E272E6"/>
    <w:rsid w:val="00E27301"/>
    <w:rsid w:val="00E27371"/>
    <w:rsid w:val="00E273F1"/>
    <w:rsid w:val="00E27464"/>
    <w:rsid w:val="00E274E8"/>
    <w:rsid w:val="00E2755A"/>
    <w:rsid w:val="00E2757F"/>
    <w:rsid w:val="00E2759B"/>
    <w:rsid w:val="00E275D9"/>
    <w:rsid w:val="00E27645"/>
    <w:rsid w:val="00E27662"/>
    <w:rsid w:val="00E276ED"/>
    <w:rsid w:val="00E27716"/>
    <w:rsid w:val="00E27746"/>
    <w:rsid w:val="00E27778"/>
    <w:rsid w:val="00E27786"/>
    <w:rsid w:val="00E277CB"/>
    <w:rsid w:val="00E27804"/>
    <w:rsid w:val="00E27825"/>
    <w:rsid w:val="00E27828"/>
    <w:rsid w:val="00E2786E"/>
    <w:rsid w:val="00E27888"/>
    <w:rsid w:val="00E27903"/>
    <w:rsid w:val="00E2791D"/>
    <w:rsid w:val="00E27987"/>
    <w:rsid w:val="00E279B3"/>
    <w:rsid w:val="00E279BC"/>
    <w:rsid w:val="00E27A17"/>
    <w:rsid w:val="00E27A27"/>
    <w:rsid w:val="00E27A4C"/>
    <w:rsid w:val="00E27A5F"/>
    <w:rsid w:val="00E27AA2"/>
    <w:rsid w:val="00E27AF1"/>
    <w:rsid w:val="00E27B11"/>
    <w:rsid w:val="00E27B18"/>
    <w:rsid w:val="00E27B3F"/>
    <w:rsid w:val="00E27BAF"/>
    <w:rsid w:val="00E27BBF"/>
    <w:rsid w:val="00E27C54"/>
    <w:rsid w:val="00E27C7E"/>
    <w:rsid w:val="00E27CBB"/>
    <w:rsid w:val="00E27D38"/>
    <w:rsid w:val="00E27D57"/>
    <w:rsid w:val="00E27DCE"/>
    <w:rsid w:val="00E27DFC"/>
    <w:rsid w:val="00E27E0E"/>
    <w:rsid w:val="00E27E1D"/>
    <w:rsid w:val="00E27E33"/>
    <w:rsid w:val="00E27E42"/>
    <w:rsid w:val="00E27ED0"/>
    <w:rsid w:val="00E27FA6"/>
    <w:rsid w:val="00E27FC1"/>
    <w:rsid w:val="00E27FE1"/>
    <w:rsid w:val="00E27FF2"/>
    <w:rsid w:val="00E30006"/>
    <w:rsid w:val="00E30046"/>
    <w:rsid w:val="00E300B9"/>
    <w:rsid w:val="00E300D4"/>
    <w:rsid w:val="00E3014F"/>
    <w:rsid w:val="00E3016C"/>
    <w:rsid w:val="00E30184"/>
    <w:rsid w:val="00E301C8"/>
    <w:rsid w:val="00E301E0"/>
    <w:rsid w:val="00E301E1"/>
    <w:rsid w:val="00E301E3"/>
    <w:rsid w:val="00E301E6"/>
    <w:rsid w:val="00E301F2"/>
    <w:rsid w:val="00E30213"/>
    <w:rsid w:val="00E3025F"/>
    <w:rsid w:val="00E30297"/>
    <w:rsid w:val="00E302CE"/>
    <w:rsid w:val="00E302D0"/>
    <w:rsid w:val="00E302F5"/>
    <w:rsid w:val="00E30330"/>
    <w:rsid w:val="00E30386"/>
    <w:rsid w:val="00E3038D"/>
    <w:rsid w:val="00E303AB"/>
    <w:rsid w:val="00E303EF"/>
    <w:rsid w:val="00E30415"/>
    <w:rsid w:val="00E3041E"/>
    <w:rsid w:val="00E30456"/>
    <w:rsid w:val="00E304CE"/>
    <w:rsid w:val="00E304DE"/>
    <w:rsid w:val="00E304FA"/>
    <w:rsid w:val="00E30547"/>
    <w:rsid w:val="00E30552"/>
    <w:rsid w:val="00E30579"/>
    <w:rsid w:val="00E30619"/>
    <w:rsid w:val="00E30632"/>
    <w:rsid w:val="00E306BB"/>
    <w:rsid w:val="00E306F6"/>
    <w:rsid w:val="00E30704"/>
    <w:rsid w:val="00E30727"/>
    <w:rsid w:val="00E30728"/>
    <w:rsid w:val="00E3078B"/>
    <w:rsid w:val="00E307B8"/>
    <w:rsid w:val="00E3084F"/>
    <w:rsid w:val="00E308D8"/>
    <w:rsid w:val="00E3091A"/>
    <w:rsid w:val="00E3097F"/>
    <w:rsid w:val="00E309C1"/>
    <w:rsid w:val="00E30A24"/>
    <w:rsid w:val="00E30A4A"/>
    <w:rsid w:val="00E30B13"/>
    <w:rsid w:val="00E30B4D"/>
    <w:rsid w:val="00E30B65"/>
    <w:rsid w:val="00E30B71"/>
    <w:rsid w:val="00E30C1C"/>
    <w:rsid w:val="00E30C6A"/>
    <w:rsid w:val="00E30CA1"/>
    <w:rsid w:val="00E30CC0"/>
    <w:rsid w:val="00E30CF5"/>
    <w:rsid w:val="00E30D7C"/>
    <w:rsid w:val="00E30DF3"/>
    <w:rsid w:val="00E30E06"/>
    <w:rsid w:val="00E30E3B"/>
    <w:rsid w:val="00E30E5C"/>
    <w:rsid w:val="00E30E5E"/>
    <w:rsid w:val="00E30EE2"/>
    <w:rsid w:val="00E30EE3"/>
    <w:rsid w:val="00E30EE6"/>
    <w:rsid w:val="00E30EEE"/>
    <w:rsid w:val="00E30F2E"/>
    <w:rsid w:val="00E30FE0"/>
    <w:rsid w:val="00E30FE8"/>
    <w:rsid w:val="00E3100A"/>
    <w:rsid w:val="00E310A4"/>
    <w:rsid w:val="00E310AB"/>
    <w:rsid w:val="00E3111B"/>
    <w:rsid w:val="00E31122"/>
    <w:rsid w:val="00E31215"/>
    <w:rsid w:val="00E3126F"/>
    <w:rsid w:val="00E31341"/>
    <w:rsid w:val="00E31356"/>
    <w:rsid w:val="00E313AF"/>
    <w:rsid w:val="00E313BA"/>
    <w:rsid w:val="00E313BC"/>
    <w:rsid w:val="00E313BE"/>
    <w:rsid w:val="00E31439"/>
    <w:rsid w:val="00E3145F"/>
    <w:rsid w:val="00E3146C"/>
    <w:rsid w:val="00E314D4"/>
    <w:rsid w:val="00E314F1"/>
    <w:rsid w:val="00E3157B"/>
    <w:rsid w:val="00E31587"/>
    <w:rsid w:val="00E315A0"/>
    <w:rsid w:val="00E315C1"/>
    <w:rsid w:val="00E315DC"/>
    <w:rsid w:val="00E315E9"/>
    <w:rsid w:val="00E315FB"/>
    <w:rsid w:val="00E31609"/>
    <w:rsid w:val="00E316AA"/>
    <w:rsid w:val="00E316FA"/>
    <w:rsid w:val="00E31719"/>
    <w:rsid w:val="00E317B1"/>
    <w:rsid w:val="00E317ED"/>
    <w:rsid w:val="00E317F3"/>
    <w:rsid w:val="00E318A1"/>
    <w:rsid w:val="00E318C1"/>
    <w:rsid w:val="00E318D1"/>
    <w:rsid w:val="00E318E6"/>
    <w:rsid w:val="00E31964"/>
    <w:rsid w:val="00E3196F"/>
    <w:rsid w:val="00E31A06"/>
    <w:rsid w:val="00E31A5E"/>
    <w:rsid w:val="00E31A96"/>
    <w:rsid w:val="00E31A9B"/>
    <w:rsid w:val="00E31AE0"/>
    <w:rsid w:val="00E31B0A"/>
    <w:rsid w:val="00E31B2D"/>
    <w:rsid w:val="00E31B3E"/>
    <w:rsid w:val="00E31B59"/>
    <w:rsid w:val="00E31B5B"/>
    <w:rsid w:val="00E31B6F"/>
    <w:rsid w:val="00E31B73"/>
    <w:rsid w:val="00E31B97"/>
    <w:rsid w:val="00E31BA2"/>
    <w:rsid w:val="00E31C02"/>
    <w:rsid w:val="00E31C24"/>
    <w:rsid w:val="00E31CA6"/>
    <w:rsid w:val="00E31D28"/>
    <w:rsid w:val="00E31D39"/>
    <w:rsid w:val="00E31D7C"/>
    <w:rsid w:val="00E31E06"/>
    <w:rsid w:val="00E31E39"/>
    <w:rsid w:val="00E31FA3"/>
    <w:rsid w:val="00E32052"/>
    <w:rsid w:val="00E320DD"/>
    <w:rsid w:val="00E32121"/>
    <w:rsid w:val="00E3218B"/>
    <w:rsid w:val="00E321DF"/>
    <w:rsid w:val="00E32201"/>
    <w:rsid w:val="00E32240"/>
    <w:rsid w:val="00E3228B"/>
    <w:rsid w:val="00E322A5"/>
    <w:rsid w:val="00E322AD"/>
    <w:rsid w:val="00E322B2"/>
    <w:rsid w:val="00E322D6"/>
    <w:rsid w:val="00E32317"/>
    <w:rsid w:val="00E3231D"/>
    <w:rsid w:val="00E32356"/>
    <w:rsid w:val="00E3235F"/>
    <w:rsid w:val="00E3236F"/>
    <w:rsid w:val="00E3237C"/>
    <w:rsid w:val="00E32392"/>
    <w:rsid w:val="00E3240B"/>
    <w:rsid w:val="00E324D4"/>
    <w:rsid w:val="00E324E7"/>
    <w:rsid w:val="00E3253E"/>
    <w:rsid w:val="00E32589"/>
    <w:rsid w:val="00E32629"/>
    <w:rsid w:val="00E32654"/>
    <w:rsid w:val="00E3268E"/>
    <w:rsid w:val="00E32723"/>
    <w:rsid w:val="00E32726"/>
    <w:rsid w:val="00E327D2"/>
    <w:rsid w:val="00E327DC"/>
    <w:rsid w:val="00E32804"/>
    <w:rsid w:val="00E3284A"/>
    <w:rsid w:val="00E3286B"/>
    <w:rsid w:val="00E32872"/>
    <w:rsid w:val="00E328A2"/>
    <w:rsid w:val="00E32907"/>
    <w:rsid w:val="00E3293F"/>
    <w:rsid w:val="00E32988"/>
    <w:rsid w:val="00E329B8"/>
    <w:rsid w:val="00E32A5D"/>
    <w:rsid w:val="00E32A65"/>
    <w:rsid w:val="00E32A76"/>
    <w:rsid w:val="00E32BDB"/>
    <w:rsid w:val="00E32CC6"/>
    <w:rsid w:val="00E32CE5"/>
    <w:rsid w:val="00E32D9E"/>
    <w:rsid w:val="00E32DA1"/>
    <w:rsid w:val="00E32E01"/>
    <w:rsid w:val="00E32E24"/>
    <w:rsid w:val="00E32E64"/>
    <w:rsid w:val="00E32EAE"/>
    <w:rsid w:val="00E32EF7"/>
    <w:rsid w:val="00E32F8D"/>
    <w:rsid w:val="00E32F94"/>
    <w:rsid w:val="00E32FC3"/>
    <w:rsid w:val="00E3300E"/>
    <w:rsid w:val="00E33071"/>
    <w:rsid w:val="00E33179"/>
    <w:rsid w:val="00E3317F"/>
    <w:rsid w:val="00E33326"/>
    <w:rsid w:val="00E33356"/>
    <w:rsid w:val="00E3337F"/>
    <w:rsid w:val="00E333EE"/>
    <w:rsid w:val="00E333FD"/>
    <w:rsid w:val="00E333FE"/>
    <w:rsid w:val="00E33420"/>
    <w:rsid w:val="00E3346F"/>
    <w:rsid w:val="00E33480"/>
    <w:rsid w:val="00E33586"/>
    <w:rsid w:val="00E335CD"/>
    <w:rsid w:val="00E335F3"/>
    <w:rsid w:val="00E33602"/>
    <w:rsid w:val="00E33634"/>
    <w:rsid w:val="00E3363A"/>
    <w:rsid w:val="00E33662"/>
    <w:rsid w:val="00E33705"/>
    <w:rsid w:val="00E3371E"/>
    <w:rsid w:val="00E3375E"/>
    <w:rsid w:val="00E33760"/>
    <w:rsid w:val="00E337AC"/>
    <w:rsid w:val="00E337CB"/>
    <w:rsid w:val="00E337FE"/>
    <w:rsid w:val="00E3382B"/>
    <w:rsid w:val="00E33834"/>
    <w:rsid w:val="00E3387C"/>
    <w:rsid w:val="00E3387E"/>
    <w:rsid w:val="00E33886"/>
    <w:rsid w:val="00E338BE"/>
    <w:rsid w:val="00E338BF"/>
    <w:rsid w:val="00E338CB"/>
    <w:rsid w:val="00E338EF"/>
    <w:rsid w:val="00E3394F"/>
    <w:rsid w:val="00E3398C"/>
    <w:rsid w:val="00E339C1"/>
    <w:rsid w:val="00E339EA"/>
    <w:rsid w:val="00E33A37"/>
    <w:rsid w:val="00E33A4E"/>
    <w:rsid w:val="00E33AEC"/>
    <w:rsid w:val="00E33B22"/>
    <w:rsid w:val="00E33B50"/>
    <w:rsid w:val="00E33B60"/>
    <w:rsid w:val="00E33BD9"/>
    <w:rsid w:val="00E33C2A"/>
    <w:rsid w:val="00E33C54"/>
    <w:rsid w:val="00E33C7C"/>
    <w:rsid w:val="00E33C93"/>
    <w:rsid w:val="00E33CBD"/>
    <w:rsid w:val="00E33CE6"/>
    <w:rsid w:val="00E33CEB"/>
    <w:rsid w:val="00E33D12"/>
    <w:rsid w:val="00E33D17"/>
    <w:rsid w:val="00E33D4D"/>
    <w:rsid w:val="00E33DAB"/>
    <w:rsid w:val="00E33DCD"/>
    <w:rsid w:val="00E33E4A"/>
    <w:rsid w:val="00E33E6B"/>
    <w:rsid w:val="00E33E9E"/>
    <w:rsid w:val="00E33F64"/>
    <w:rsid w:val="00E34015"/>
    <w:rsid w:val="00E34068"/>
    <w:rsid w:val="00E340E2"/>
    <w:rsid w:val="00E340F4"/>
    <w:rsid w:val="00E34123"/>
    <w:rsid w:val="00E34125"/>
    <w:rsid w:val="00E3414B"/>
    <w:rsid w:val="00E34153"/>
    <w:rsid w:val="00E3416E"/>
    <w:rsid w:val="00E34175"/>
    <w:rsid w:val="00E341DB"/>
    <w:rsid w:val="00E3420F"/>
    <w:rsid w:val="00E3427B"/>
    <w:rsid w:val="00E342E9"/>
    <w:rsid w:val="00E342FC"/>
    <w:rsid w:val="00E3439F"/>
    <w:rsid w:val="00E3445B"/>
    <w:rsid w:val="00E34467"/>
    <w:rsid w:val="00E344F1"/>
    <w:rsid w:val="00E344F2"/>
    <w:rsid w:val="00E344F8"/>
    <w:rsid w:val="00E3455B"/>
    <w:rsid w:val="00E34580"/>
    <w:rsid w:val="00E345D5"/>
    <w:rsid w:val="00E345EF"/>
    <w:rsid w:val="00E34621"/>
    <w:rsid w:val="00E34651"/>
    <w:rsid w:val="00E3467A"/>
    <w:rsid w:val="00E3468E"/>
    <w:rsid w:val="00E346BF"/>
    <w:rsid w:val="00E346F9"/>
    <w:rsid w:val="00E34828"/>
    <w:rsid w:val="00E34845"/>
    <w:rsid w:val="00E3486B"/>
    <w:rsid w:val="00E34907"/>
    <w:rsid w:val="00E3491C"/>
    <w:rsid w:val="00E3496B"/>
    <w:rsid w:val="00E3496E"/>
    <w:rsid w:val="00E34A26"/>
    <w:rsid w:val="00E34A2B"/>
    <w:rsid w:val="00E34A36"/>
    <w:rsid w:val="00E34A50"/>
    <w:rsid w:val="00E34A76"/>
    <w:rsid w:val="00E34AC0"/>
    <w:rsid w:val="00E34AE0"/>
    <w:rsid w:val="00E34B14"/>
    <w:rsid w:val="00E34BBF"/>
    <w:rsid w:val="00E34C0D"/>
    <w:rsid w:val="00E34C96"/>
    <w:rsid w:val="00E34CBD"/>
    <w:rsid w:val="00E34CDE"/>
    <w:rsid w:val="00E34D78"/>
    <w:rsid w:val="00E34DB9"/>
    <w:rsid w:val="00E34E79"/>
    <w:rsid w:val="00E34E81"/>
    <w:rsid w:val="00E34E8B"/>
    <w:rsid w:val="00E34E8C"/>
    <w:rsid w:val="00E34E9B"/>
    <w:rsid w:val="00E34ED9"/>
    <w:rsid w:val="00E34F1F"/>
    <w:rsid w:val="00E34F3D"/>
    <w:rsid w:val="00E34FC5"/>
    <w:rsid w:val="00E34FD0"/>
    <w:rsid w:val="00E35001"/>
    <w:rsid w:val="00E35030"/>
    <w:rsid w:val="00E350D7"/>
    <w:rsid w:val="00E35130"/>
    <w:rsid w:val="00E3514E"/>
    <w:rsid w:val="00E351E1"/>
    <w:rsid w:val="00E35204"/>
    <w:rsid w:val="00E3521F"/>
    <w:rsid w:val="00E35225"/>
    <w:rsid w:val="00E35228"/>
    <w:rsid w:val="00E35251"/>
    <w:rsid w:val="00E352A8"/>
    <w:rsid w:val="00E352AF"/>
    <w:rsid w:val="00E352EB"/>
    <w:rsid w:val="00E3533F"/>
    <w:rsid w:val="00E35384"/>
    <w:rsid w:val="00E353AD"/>
    <w:rsid w:val="00E353BE"/>
    <w:rsid w:val="00E353FB"/>
    <w:rsid w:val="00E3540D"/>
    <w:rsid w:val="00E3540F"/>
    <w:rsid w:val="00E35470"/>
    <w:rsid w:val="00E354EC"/>
    <w:rsid w:val="00E35539"/>
    <w:rsid w:val="00E35558"/>
    <w:rsid w:val="00E355E5"/>
    <w:rsid w:val="00E355F2"/>
    <w:rsid w:val="00E35610"/>
    <w:rsid w:val="00E3562F"/>
    <w:rsid w:val="00E35664"/>
    <w:rsid w:val="00E35694"/>
    <w:rsid w:val="00E356EB"/>
    <w:rsid w:val="00E35709"/>
    <w:rsid w:val="00E35773"/>
    <w:rsid w:val="00E35782"/>
    <w:rsid w:val="00E357A5"/>
    <w:rsid w:val="00E357AC"/>
    <w:rsid w:val="00E357F3"/>
    <w:rsid w:val="00E35845"/>
    <w:rsid w:val="00E3585A"/>
    <w:rsid w:val="00E3585E"/>
    <w:rsid w:val="00E35879"/>
    <w:rsid w:val="00E3587D"/>
    <w:rsid w:val="00E35891"/>
    <w:rsid w:val="00E358FF"/>
    <w:rsid w:val="00E3599B"/>
    <w:rsid w:val="00E359D9"/>
    <w:rsid w:val="00E359F6"/>
    <w:rsid w:val="00E35A03"/>
    <w:rsid w:val="00E35A20"/>
    <w:rsid w:val="00E35A98"/>
    <w:rsid w:val="00E35ABE"/>
    <w:rsid w:val="00E35B0D"/>
    <w:rsid w:val="00E35B3C"/>
    <w:rsid w:val="00E35B5C"/>
    <w:rsid w:val="00E35B6F"/>
    <w:rsid w:val="00E35B93"/>
    <w:rsid w:val="00E35BF5"/>
    <w:rsid w:val="00E35CAB"/>
    <w:rsid w:val="00E35CB5"/>
    <w:rsid w:val="00E35CBB"/>
    <w:rsid w:val="00E35CDD"/>
    <w:rsid w:val="00E35CF4"/>
    <w:rsid w:val="00E35CF6"/>
    <w:rsid w:val="00E35D17"/>
    <w:rsid w:val="00E35D42"/>
    <w:rsid w:val="00E35DAA"/>
    <w:rsid w:val="00E35DAD"/>
    <w:rsid w:val="00E35DDA"/>
    <w:rsid w:val="00E35DFD"/>
    <w:rsid w:val="00E35E5A"/>
    <w:rsid w:val="00E35E82"/>
    <w:rsid w:val="00E35F5B"/>
    <w:rsid w:val="00E35F72"/>
    <w:rsid w:val="00E35FB4"/>
    <w:rsid w:val="00E3604C"/>
    <w:rsid w:val="00E360FF"/>
    <w:rsid w:val="00E36136"/>
    <w:rsid w:val="00E36172"/>
    <w:rsid w:val="00E36237"/>
    <w:rsid w:val="00E3623F"/>
    <w:rsid w:val="00E36306"/>
    <w:rsid w:val="00E36330"/>
    <w:rsid w:val="00E363B4"/>
    <w:rsid w:val="00E363C6"/>
    <w:rsid w:val="00E363E8"/>
    <w:rsid w:val="00E36471"/>
    <w:rsid w:val="00E3649F"/>
    <w:rsid w:val="00E36553"/>
    <w:rsid w:val="00E36585"/>
    <w:rsid w:val="00E365A2"/>
    <w:rsid w:val="00E3661D"/>
    <w:rsid w:val="00E36620"/>
    <w:rsid w:val="00E3665F"/>
    <w:rsid w:val="00E3666F"/>
    <w:rsid w:val="00E36671"/>
    <w:rsid w:val="00E366A6"/>
    <w:rsid w:val="00E366E3"/>
    <w:rsid w:val="00E36747"/>
    <w:rsid w:val="00E3676C"/>
    <w:rsid w:val="00E36775"/>
    <w:rsid w:val="00E367AA"/>
    <w:rsid w:val="00E36846"/>
    <w:rsid w:val="00E36878"/>
    <w:rsid w:val="00E36886"/>
    <w:rsid w:val="00E368AB"/>
    <w:rsid w:val="00E368AF"/>
    <w:rsid w:val="00E3692D"/>
    <w:rsid w:val="00E3695D"/>
    <w:rsid w:val="00E369B8"/>
    <w:rsid w:val="00E369C6"/>
    <w:rsid w:val="00E36A4A"/>
    <w:rsid w:val="00E36A57"/>
    <w:rsid w:val="00E36A7B"/>
    <w:rsid w:val="00E36AAE"/>
    <w:rsid w:val="00E36ABF"/>
    <w:rsid w:val="00E36AF7"/>
    <w:rsid w:val="00E36B0A"/>
    <w:rsid w:val="00E36B33"/>
    <w:rsid w:val="00E36B51"/>
    <w:rsid w:val="00E36B53"/>
    <w:rsid w:val="00E36B93"/>
    <w:rsid w:val="00E36B9D"/>
    <w:rsid w:val="00E36BFF"/>
    <w:rsid w:val="00E36C26"/>
    <w:rsid w:val="00E36C74"/>
    <w:rsid w:val="00E36CB6"/>
    <w:rsid w:val="00E36CDD"/>
    <w:rsid w:val="00E36CE6"/>
    <w:rsid w:val="00E36D2E"/>
    <w:rsid w:val="00E36DD8"/>
    <w:rsid w:val="00E36DDF"/>
    <w:rsid w:val="00E36DE2"/>
    <w:rsid w:val="00E36E34"/>
    <w:rsid w:val="00E36E44"/>
    <w:rsid w:val="00E36E51"/>
    <w:rsid w:val="00E36E70"/>
    <w:rsid w:val="00E36EAA"/>
    <w:rsid w:val="00E36EC3"/>
    <w:rsid w:val="00E36ECB"/>
    <w:rsid w:val="00E36EFA"/>
    <w:rsid w:val="00E36F02"/>
    <w:rsid w:val="00E36F0B"/>
    <w:rsid w:val="00E36F16"/>
    <w:rsid w:val="00E36F3A"/>
    <w:rsid w:val="00E36FA3"/>
    <w:rsid w:val="00E36FD9"/>
    <w:rsid w:val="00E36FEF"/>
    <w:rsid w:val="00E37005"/>
    <w:rsid w:val="00E3701D"/>
    <w:rsid w:val="00E37087"/>
    <w:rsid w:val="00E370D3"/>
    <w:rsid w:val="00E370EC"/>
    <w:rsid w:val="00E370F7"/>
    <w:rsid w:val="00E3712C"/>
    <w:rsid w:val="00E37164"/>
    <w:rsid w:val="00E37187"/>
    <w:rsid w:val="00E37250"/>
    <w:rsid w:val="00E37258"/>
    <w:rsid w:val="00E37299"/>
    <w:rsid w:val="00E37381"/>
    <w:rsid w:val="00E37383"/>
    <w:rsid w:val="00E37414"/>
    <w:rsid w:val="00E37432"/>
    <w:rsid w:val="00E37442"/>
    <w:rsid w:val="00E374CB"/>
    <w:rsid w:val="00E374D8"/>
    <w:rsid w:val="00E374E7"/>
    <w:rsid w:val="00E374F0"/>
    <w:rsid w:val="00E3754E"/>
    <w:rsid w:val="00E37582"/>
    <w:rsid w:val="00E375E8"/>
    <w:rsid w:val="00E376F6"/>
    <w:rsid w:val="00E3774B"/>
    <w:rsid w:val="00E37780"/>
    <w:rsid w:val="00E377EE"/>
    <w:rsid w:val="00E37836"/>
    <w:rsid w:val="00E378D3"/>
    <w:rsid w:val="00E37902"/>
    <w:rsid w:val="00E3792E"/>
    <w:rsid w:val="00E37980"/>
    <w:rsid w:val="00E379C2"/>
    <w:rsid w:val="00E379C7"/>
    <w:rsid w:val="00E37A20"/>
    <w:rsid w:val="00E37A49"/>
    <w:rsid w:val="00E37AAF"/>
    <w:rsid w:val="00E37B2B"/>
    <w:rsid w:val="00E37B9B"/>
    <w:rsid w:val="00E37BCB"/>
    <w:rsid w:val="00E37BDA"/>
    <w:rsid w:val="00E37BF7"/>
    <w:rsid w:val="00E37C03"/>
    <w:rsid w:val="00E37C06"/>
    <w:rsid w:val="00E37C0D"/>
    <w:rsid w:val="00E37C52"/>
    <w:rsid w:val="00E37C5E"/>
    <w:rsid w:val="00E37C94"/>
    <w:rsid w:val="00E37D42"/>
    <w:rsid w:val="00E37D58"/>
    <w:rsid w:val="00E37DE1"/>
    <w:rsid w:val="00E37DF5"/>
    <w:rsid w:val="00E37E28"/>
    <w:rsid w:val="00E37EBE"/>
    <w:rsid w:val="00E37F05"/>
    <w:rsid w:val="00E37F3F"/>
    <w:rsid w:val="00E37FA9"/>
    <w:rsid w:val="00E37FAC"/>
    <w:rsid w:val="00E3B02F"/>
    <w:rsid w:val="00E4002C"/>
    <w:rsid w:val="00E40064"/>
    <w:rsid w:val="00E401DF"/>
    <w:rsid w:val="00E4023D"/>
    <w:rsid w:val="00E4026A"/>
    <w:rsid w:val="00E40284"/>
    <w:rsid w:val="00E40285"/>
    <w:rsid w:val="00E4029A"/>
    <w:rsid w:val="00E402F4"/>
    <w:rsid w:val="00E40333"/>
    <w:rsid w:val="00E403A1"/>
    <w:rsid w:val="00E403C6"/>
    <w:rsid w:val="00E403FD"/>
    <w:rsid w:val="00E404A1"/>
    <w:rsid w:val="00E40508"/>
    <w:rsid w:val="00E40543"/>
    <w:rsid w:val="00E40579"/>
    <w:rsid w:val="00E4059C"/>
    <w:rsid w:val="00E405AD"/>
    <w:rsid w:val="00E405C4"/>
    <w:rsid w:val="00E405C5"/>
    <w:rsid w:val="00E40642"/>
    <w:rsid w:val="00E40707"/>
    <w:rsid w:val="00E40713"/>
    <w:rsid w:val="00E40765"/>
    <w:rsid w:val="00E40797"/>
    <w:rsid w:val="00E407CE"/>
    <w:rsid w:val="00E407DE"/>
    <w:rsid w:val="00E40851"/>
    <w:rsid w:val="00E4086D"/>
    <w:rsid w:val="00E40880"/>
    <w:rsid w:val="00E40884"/>
    <w:rsid w:val="00E4089F"/>
    <w:rsid w:val="00E408AC"/>
    <w:rsid w:val="00E408AD"/>
    <w:rsid w:val="00E4091F"/>
    <w:rsid w:val="00E40922"/>
    <w:rsid w:val="00E40A0E"/>
    <w:rsid w:val="00E40A8B"/>
    <w:rsid w:val="00E40AD5"/>
    <w:rsid w:val="00E40AE8"/>
    <w:rsid w:val="00E40B7F"/>
    <w:rsid w:val="00E40BF9"/>
    <w:rsid w:val="00E40C2A"/>
    <w:rsid w:val="00E40C96"/>
    <w:rsid w:val="00E40D22"/>
    <w:rsid w:val="00E40D43"/>
    <w:rsid w:val="00E40D70"/>
    <w:rsid w:val="00E40DB8"/>
    <w:rsid w:val="00E40E3D"/>
    <w:rsid w:val="00E40EE5"/>
    <w:rsid w:val="00E40F28"/>
    <w:rsid w:val="00E40F3F"/>
    <w:rsid w:val="00E40FC2"/>
    <w:rsid w:val="00E40FC3"/>
    <w:rsid w:val="00E40FDA"/>
    <w:rsid w:val="00E4103C"/>
    <w:rsid w:val="00E41050"/>
    <w:rsid w:val="00E41058"/>
    <w:rsid w:val="00E41061"/>
    <w:rsid w:val="00E410A9"/>
    <w:rsid w:val="00E410F3"/>
    <w:rsid w:val="00E41115"/>
    <w:rsid w:val="00E41118"/>
    <w:rsid w:val="00E41157"/>
    <w:rsid w:val="00E4116D"/>
    <w:rsid w:val="00E41173"/>
    <w:rsid w:val="00E4117A"/>
    <w:rsid w:val="00E4118F"/>
    <w:rsid w:val="00E41198"/>
    <w:rsid w:val="00E41199"/>
    <w:rsid w:val="00E4122A"/>
    <w:rsid w:val="00E4123D"/>
    <w:rsid w:val="00E4125B"/>
    <w:rsid w:val="00E41269"/>
    <w:rsid w:val="00E412A3"/>
    <w:rsid w:val="00E412D3"/>
    <w:rsid w:val="00E41309"/>
    <w:rsid w:val="00E41332"/>
    <w:rsid w:val="00E413BE"/>
    <w:rsid w:val="00E413C7"/>
    <w:rsid w:val="00E4146C"/>
    <w:rsid w:val="00E414B9"/>
    <w:rsid w:val="00E414F6"/>
    <w:rsid w:val="00E41521"/>
    <w:rsid w:val="00E41534"/>
    <w:rsid w:val="00E41554"/>
    <w:rsid w:val="00E4155C"/>
    <w:rsid w:val="00E4159C"/>
    <w:rsid w:val="00E415B1"/>
    <w:rsid w:val="00E415E4"/>
    <w:rsid w:val="00E416B9"/>
    <w:rsid w:val="00E416FB"/>
    <w:rsid w:val="00E4171E"/>
    <w:rsid w:val="00E41729"/>
    <w:rsid w:val="00E4176E"/>
    <w:rsid w:val="00E4178A"/>
    <w:rsid w:val="00E417C0"/>
    <w:rsid w:val="00E4199C"/>
    <w:rsid w:val="00E419D4"/>
    <w:rsid w:val="00E41A4D"/>
    <w:rsid w:val="00E41A96"/>
    <w:rsid w:val="00E41A9B"/>
    <w:rsid w:val="00E41AB5"/>
    <w:rsid w:val="00E41AC1"/>
    <w:rsid w:val="00E41B06"/>
    <w:rsid w:val="00E41B09"/>
    <w:rsid w:val="00E41B24"/>
    <w:rsid w:val="00E41B34"/>
    <w:rsid w:val="00E41B62"/>
    <w:rsid w:val="00E41BA6"/>
    <w:rsid w:val="00E41BCC"/>
    <w:rsid w:val="00E41BE0"/>
    <w:rsid w:val="00E41C2A"/>
    <w:rsid w:val="00E41C2F"/>
    <w:rsid w:val="00E41C42"/>
    <w:rsid w:val="00E41C7E"/>
    <w:rsid w:val="00E41C8E"/>
    <w:rsid w:val="00E41CA2"/>
    <w:rsid w:val="00E41CB1"/>
    <w:rsid w:val="00E41CB3"/>
    <w:rsid w:val="00E41CF4"/>
    <w:rsid w:val="00E41D32"/>
    <w:rsid w:val="00E41D8E"/>
    <w:rsid w:val="00E41D90"/>
    <w:rsid w:val="00E41EAA"/>
    <w:rsid w:val="00E41EDD"/>
    <w:rsid w:val="00E41F0A"/>
    <w:rsid w:val="00E41FEA"/>
    <w:rsid w:val="00E4204D"/>
    <w:rsid w:val="00E4206D"/>
    <w:rsid w:val="00E4207D"/>
    <w:rsid w:val="00E4209F"/>
    <w:rsid w:val="00E420A1"/>
    <w:rsid w:val="00E420B1"/>
    <w:rsid w:val="00E420FD"/>
    <w:rsid w:val="00E42113"/>
    <w:rsid w:val="00E42121"/>
    <w:rsid w:val="00E42143"/>
    <w:rsid w:val="00E42145"/>
    <w:rsid w:val="00E42173"/>
    <w:rsid w:val="00E421C5"/>
    <w:rsid w:val="00E42224"/>
    <w:rsid w:val="00E4225E"/>
    <w:rsid w:val="00E4226B"/>
    <w:rsid w:val="00E42273"/>
    <w:rsid w:val="00E4229F"/>
    <w:rsid w:val="00E422A8"/>
    <w:rsid w:val="00E422B2"/>
    <w:rsid w:val="00E422EF"/>
    <w:rsid w:val="00E42314"/>
    <w:rsid w:val="00E4232A"/>
    <w:rsid w:val="00E42350"/>
    <w:rsid w:val="00E423B3"/>
    <w:rsid w:val="00E423E0"/>
    <w:rsid w:val="00E4243A"/>
    <w:rsid w:val="00E42472"/>
    <w:rsid w:val="00E424F6"/>
    <w:rsid w:val="00E4252E"/>
    <w:rsid w:val="00E4256F"/>
    <w:rsid w:val="00E42583"/>
    <w:rsid w:val="00E42585"/>
    <w:rsid w:val="00E425B1"/>
    <w:rsid w:val="00E425E3"/>
    <w:rsid w:val="00E4265A"/>
    <w:rsid w:val="00E4265B"/>
    <w:rsid w:val="00E42688"/>
    <w:rsid w:val="00E42747"/>
    <w:rsid w:val="00E42770"/>
    <w:rsid w:val="00E4278D"/>
    <w:rsid w:val="00E427F1"/>
    <w:rsid w:val="00E428E4"/>
    <w:rsid w:val="00E4290A"/>
    <w:rsid w:val="00E42910"/>
    <w:rsid w:val="00E42947"/>
    <w:rsid w:val="00E4298E"/>
    <w:rsid w:val="00E42994"/>
    <w:rsid w:val="00E429A6"/>
    <w:rsid w:val="00E429C6"/>
    <w:rsid w:val="00E429FB"/>
    <w:rsid w:val="00E42A93"/>
    <w:rsid w:val="00E42AF4"/>
    <w:rsid w:val="00E42B15"/>
    <w:rsid w:val="00E42BB6"/>
    <w:rsid w:val="00E42BCC"/>
    <w:rsid w:val="00E42C2E"/>
    <w:rsid w:val="00E42C4D"/>
    <w:rsid w:val="00E42C52"/>
    <w:rsid w:val="00E42C66"/>
    <w:rsid w:val="00E42C87"/>
    <w:rsid w:val="00E42CEC"/>
    <w:rsid w:val="00E42CF6"/>
    <w:rsid w:val="00E42D46"/>
    <w:rsid w:val="00E42D5F"/>
    <w:rsid w:val="00E42D8C"/>
    <w:rsid w:val="00E42DF9"/>
    <w:rsid w:val="00E42E02"/>
    <w:rsid w:val="00E42F3F"/>
    <w:rsid w:val="00E42F49"/>
    <w:rsid w:val="00E42FB9"/>
    <w:rsid w:val="00E42FBC"/>
    <w:rsid w:val="00E42FFB"/>
    <w:rsid w:val="00E43093"/>
    <w:rsid w:val="00E430C0"/>
    <w:rsid w:val="00E430E4"/>
    <w:rsid w:val="00E4310C"/>
    <w:rsid w:val="00E43111"/>
    <w:rsid w:val="00E43121"/>
    <w:rsid w:val="00E43123"/>
    <w:rsid w:val="00E4312F"/>
    <w:rsid w:val="00E4317A"/>
    <w:rsid w:val="00E431F8"/>
    <w:rsid w:val="00E43204"/>
    <w:rsid w:val="00E4323A"/>
    <w:rsid w:val="00E4323D"/>
    <w:rsid w:val="00E43281"/>
    <w:rsid w:val="00E43328"/>
    <w:rsid w:val="00E4335D"/>
    <w:rsid w:val="00E433A8"/>
    <w:rsid w:val="00E433C9"/>
    <w:rsid w:val="00E433FC"/>
    <w:rsid w:val="00E43425"/>
    <w:rsid w:val="00E43454"/>
    <w:rsid w:val="00E43457"/>
    <w:rsid w:val="00E4347F"/>
    <w:rsid w:val="00E434C4"/>
    <w:rsid w:val="00E434D4"/>
    <w:rsid w:val="00E4353D"/>
    <w:rsid w:val="00E4355E"/>
    <w:rsid w:val="00E43562"/>
    <w:rsid w:val="00E435C5"/>
    <w:rsid w:val="00E436A6"/>
    <w:rsid w:val="00E436D8"/>
    <w:rsid w:val="00E43780"/>
    <w:rsid w:val="00E43880"/>
    <w:rsid w:val="00E4393A"/>
    <w:rsid w:val="00E439BB"/>
    <w:rsid w:val="00E43A25"/>
    <w:rsid w:val="00E43A46"/>
    <w:rsid w:val="00E43A50"/>
    <w:rsid w:val="00E43ABB"/>
    <w:rsid w:val="00E43B5C"/>
    <w:rsid w:val="00E43B76"/>
    <w:rsid w:val="00E43BE0"/>
    <w:rsid w:val="00E43BF6"/>
    <w:rsid w:val="00E43C0E"/>
    <w:rsid w:val="00E43C51"/>
    <w:rsid w:val="00E43CCA"/>
    <w:rsid w:val="00E43CF7"/>
    <w:rsid w:val="00E43D00"/>
    <w:rsid w:val="00E43D6A"/>
    <w:rsid w:val="00E43D8D"/>
    <w:rsid w:val="00E43D8F"/>
    <w:rsid w:val="00E43DBE"/>
    <w:rsid w:val="00E43DD6"/>
    <w:rsid w:val="00E43DE3"/>
    <w:rsid w:val="00E43DEC"/>
    <w:rsid w:val="00E43E3D"/>
    <w:rsid w:val="00E43E4F"/>
    <w:rsid w:val="00E43E90"/>
    <w:rsid w:val="00E43EA2"/>
    <w:rsid w:val="00E43EC3"/>
    <w:rsid w:val="00E43EC8"/>
    <w:rsid w:val="00E43F1B"/>
    <w:rsid w:val="00E43F42"/>
    <w:rsid w:val="00E43F59"/>
    <w:rsid w:val="00E43F68"/>
    <w:rsid w:val="00E44036"/>
    <w:rsid w:val="00E44096"/>
    <w:rsid w:val="00E440C4"/>
    <w:rsid w:val="00E440C8"/>
    <w:rsid w:val="00E44152"/>
    <w:rsid w:val="00E44164"/>
    <w:rsid w:val="00E441A3"/>
    <w:rsid w:val="00E441B1"/>
    <w:rsid w:val="00E441BC"/>
    <w:rsid w:val="00E441FB"/>
    <w:rsid w:val="00E44200"/>
    <w:rsid w:val="00E44236"/>
    <w:rsid w:val="00E4428D"/>
    <w:rsid w:val="00E44387"/>
    <w:rsid w:val="00E443A7"/>
    <w:rsid w:val="00E443E0"/>
    <w:rsid w:val="00E443EB"/>
    <w:rsid w:val="00E4440F"/>
    <w:rsid w:val="00E44448"/>
    <w:rsid w:val="00E44503"/>
    <w:rsid w:val="00E44509"/>
    <w:rsid w:val="00E44511"/>
    <w:rsid w:val="00E4454B"/>
    <w:rsid w:val="00E44550"/>
    <w:rsid w:val="00E445A8"/>
    <w:rsid w:val="00E445C4"/>
    <w:rsid w:val="00E445E8"/>
    <w:rsid w:val="00E4461C"/>
    <w:rsid w:val="00E4464B"/>
    <w:rsid w:val="00E446B8"/>
    <w:rsid w:val="00E44770"/>
    <w:rsid w:val="00E44785"/>
    <w:rsid w:val="00E447DA"/>
    <w:rsid w:val="00E447FD"/>
    <w:rsid w:val="00E44833"/>
    <w:rsid w:val="00E448AA"/>
    <w:rsid w:val="00E448C4"/>
    <w:rsid w:val="00E44949"/>
    <w:rsid w:val="00E4497C"/>
    <w:rsid w:val="00E44995"/>
    <w:rsid w:val="00E449E4"/>
    <w:rsid w:val="00E44A5E"/>
    <w:rsid w:val="00E44A7D"/>
    <w:rsid w:val="00E44B05"/>
    <w:rsid w:val="00E44B17"/>
    <w:rsid w:val="00E44B72"/>
    <w:rsid w:val="00E44B7B"/>
    <w:rsid w:val="00E44B86"/>
    <w:rsid w:val="00E44BCE"/>
    <w:rsid w:val="00E44BEB"/>
    <w:rsid w:val="00E44C4E"/>
    <w:rsid w:val="00E44C52"/>
    <w:rsid w:val="00E44C7C"/>
    <w:rsid w:val="00E44CC7"/>
    <w:rsid w:val="00E44CD1"/>
    <w:rsid w:val="00E44D05"/>
    <w:rsid w:val="00E44D82"/>
    <w:rsid w:val="00E44DBA"/>
    <w:rsid w:val="00E44E05"/>
    <w:rsid w:val="00E44E10"/>
    <w:rsid w:val="00E44E32"/>
    <w:rsid w:val="00E44E65"/>
    <w:rsid w:val="00E44E79"/>
    <w:rsid w:val="00E44E8E"/>
    <w:rsid w:val="00E44EAA"/>
    <w:rsid w:val="00E44F37"/>
    <w:rsid w:val="00E44F3B"/>
    <w:rsid w:val="00E44FE8"/>
    <w:rsid w:val="00E45001"/>
    <w:rsid w:val="00E4506B"/>
    <w:rsid w:val="00E450E3"/>
    <w:rsid w:val="00E45102"/>
    <w:rsid w:val="00E4513D"/>
    <w:rsid w:val="00E45249"/>
    <w:rsid w:val="00E45293"/>
    <w:rsid w:val="00E45297"/>
    <w:rsid w:val="00E4530E"/>
    <w:rsid w:val="00E45330"/>
    <w:rsid w:val="00E4536A"/>
    <w:rsid w:val="00E45405"/>
    <w:rsid w:val="00E45409"/>
    <w:rsid w:val="00E45442"/>
    <w:rsid w:val="00E45465"/>
    <w:rsid w:val="00E45499"/>
    <w:rsid w:val="00E454D5"/>
    <w:rsid w:val="00E454E9"/>
    <w:rsid w:val="00E454F2"/>
    <w:rsid w:val="00E454FC"/>
    <w:rsid w:val="00E4554A"/>
    <w:rsid w:val="00E45555"/>
    <w:rsid w:val="00E45556"/>
    <w:rsid w:val="00E4555D"/>
    <w:rsid w:val="00E4557E"/>
    <w:rsid w:val="00E45587"/>
    <w:rsid w:val="00E4559C"/>
    <w:rsid w:val="00E455B7"/>
    <w:rsid w:val="00E45612"/>
    <w:rsid w:val="00E45632"/>
    <w:rsid w:val="00E45634"/>
    <w:rsid w:val="00E4563B"/>
    <w:rsid w:val="00E456A7"/>
    <w:rsid w:val="00E456DC"/>
    <w:rsid w:val="00E45772"/>
    <w:rsid w:val="00E45786"/>
    <w:rsid w:val="00E457E8"/>
    <w:rsid w:val="00E4585A"/>
    <w:rsid w:val="00E458BF"/>
    <w:rsid w:val="00E458DF"/>
    <w:rsid w:val="00E45937"/>
    <w:rsid w:val="00E4593E"/>
    <w:rsid w:val="00E4596C"/>
    <w:rsid w:val="00E45985"/>
    <w:rsid w:val="00E459BE"/>
    <w:rsid w:val="00E45A04"/>
    <w:rsid w:val="00E45A1A"/>
    <w:rsid w:val="00E45A24"/>
    <w:rsid w:val="00E45AC8"/>
    <w:rsid w:val="00E45B53"/>
    <w:rsid w:val="00E45B55"/>
    <w:rsid w:val="00E45BE1"/>
    <w:rsid w:val="00E45C1A"/>
    <w:rsid w:val="00E45C30"/>
    <w:rsid w:val="00E45C5E"/>
    <w:rsid w:val="00E45C9D"/>
    <w:rsid w:val="00E45CA5"/>
    <w:rsid w:val="00E45CE9"/>
    <w:rsid w:val="00E45D42"/>
    <w:rsid w:val="00E45DEA"/>
    <w:rsid w:val="00E45E34"/>
    <w:rsid w:val="00E45E4B"/>
    <w:rsid w:val="00E45E83"/>
    <w:rsid w:val="00E45F46"/>
    <w:rsid w:val="00E45FA9"/>
    <w:rsid w:val="00E45FAA"/>
    <w:rsid w:val="00E45FD3"/>
    <w:rsid w:val="00E4600F"/>
    <w:rsid w:val="00E46076"/>
    <w:rsid w:val="00E4607F"/>
    <w:rsid w:val="00E46091"/>
    <w:rsid w:val="00E46107"/>
    <w:rsid w:val="00E4614C"/>
    <w:rsid w:val="00E4617C"/>
    <w:rsid w:val="00E461B2"/>
    <w:rsid w:val="00E461F8"/>
    <w:rsid w:val="00E461FD"/>
    <w:rsid w:val="00E462A7"/>
    <w:rsid w:val="00E462FA"/>
    <w:rsid w:val="00E46304"/>
    <w:rsid w:val="00E46308"/>
    <w:rsid w:val="00E46345"/>
    <w:rsid w:val="00E46373"/>
    <w:rsid w:val="00E46392"/>
    <w:rsid w:val="00E4639E"/>
    <w:rsid w:val="00E4641E"/>
    <w:rsid w:val="00E46420"/>
    <w:rsid w:val="00E46462"/>
    <w:rsid w:val="00E4646E"/>
    <w:rsid w:val="00E464C1"/>
    <w:rsid w:val="00E46523"/>
    <w:rsid w:val="00E4656A"/>
    <w:rsid w:val="00E465A4"/>
    <w:rsid w:val="00E465AC"/>
    <w:rsid w:val="00E465D6"/>
    <w:rsid w:val="00E46616"/>
    <w:rsid w:val="00E46630"/>
    <w:rsid w:val="00E46654"/>
    <w:rsid w:val="00E46679"/>
    <w:rsid w:val="00E466BE"/>
    <w:rsid w:val="00E467AB"/>
    <w:rsid w:val="00E467AF"/>
    <w:rsid w:val="00E467DE"/>
    <w:rsid w:val="00E467E6"/>
    <w:rsid w:val="00E46829"/>
    <w:rsid w:val="00E4682E"/>
    <w:rsid w:val="00E46889"/>
    <w:rsid w:val="00E468BA"/>
    <w:rsid w:val="00E46902"/>
    <w:rsid w:val="00E4692B"/>
    <w:rsid w:val="00E46992"/>
    <w:rsid w:val="00E469A7"/>
    <w:rsid w:val="00E46AAB"/>
    <w:rsid w:val="00E46AB1"/>
    <w:rsid w:val="00E46B17"/>
    <w:rsid w:val="00E46B6E"/>
    <w:rsid w:val="00E46B7B"/>
    <w:rsid w:val="00E46B83"/>
    <w:rsid w:val="00E46B9B"/>
    <w:rsid w:val="00E46BF5"/>
    <w:rsid w:val="00E46C1D"/>
    <w:rsid w:val="00E46C66"/>
    <w:rsid w:val="00E46C7B"/>
    <w:rsid w:val="00E46CA3"/>
    <w:rsid w:val="00E46CCB"/>
    <w:rsid w:val="00E46CDC"/>
    <w:rsid w:val="00E46D1E"/>
    <w:rsid w:val="00E46D39"/>
    <w:rsid w:val="00E46D6F"/>
    <w:rsid w:val="00E46D8A"/>
    <w:rsid w:val="00E46DB3"/>
    <w:rsid w:val="00E46DD1"/>
    <w:rsid w:val="00E46DD6"/>
    <w:rsid w:val="00E46E01"/>
    <w:rsid w:val="00E46E87"/>
    <w:rsid w:val="00E46E8D"/>
    <w:rsid w:val="00E46EC8"/>
    <w:rsid w:val="00E46F7A"/>
    <w:rsid w:val="00E46FCB"/>
    <w:rsid w:val="00E47099"/>
    <w:rsid w:val="00E47112"/>
    <w:rsid w:val="00E4713A"/>
    <w:rsid w:val="00E4715C"/>
    <w:rsid w:val="00E4717F"/>
    <w:rsid w:val="00E471AE"/>
    <w:rsid w:val="00E471DE"/>
    <w:rsid w:val="00E47245"/>
    <w:rsid w:val="00E4724C"/>
    <w:rsid w:val="00E47276"/>
    <w:rsid w:val="00E472C1"/>
    <w:rsid w:val="00E472EC"/>
    <w:rsid w:val="00E473FA"/>
    <w:rsid w:val="00E47518"/>
    <w:rsid w:val="00E47534"/>
    <w:rsid w:val="00E4753D"/>
    <w:rsid w:val="00E4753F"/>
    <w:rsid w:val="00E47584"/>
    <w:rsid w:val="00E475ED"/>
    <w:rsid w:val="00E4760C"/>
    <w:rsid w:val="00E47653"/>
    <w:rsid w:val="00E47654"/>
    <w:rsid w:val="00E476EA"/>
    <w:rsid w:val="00E4770B"/>
    <w:rsid w:val="00E47789"/>
    <w:rsid w:val="00E47790"/>
    <w:rsid w:val="00E477BF"/>
    <w:rsid w:val="00E4780E"/>
    <w:rsid w:val="00E47813"/>
    <w:rsid w:val="00E47869"/>
    <w:rsid w:val="00E478B4"/>
    <w:rsid w:val="00E478F6"/>
    <w:rsid w:val="00E47929"/>
    <w:rsid w:val="00E4792A"/>
    <w:rsid w:val="00E47966"/>
    <w:rsid w:val="00E47A07"/>
    <w:rsid w:val="00E47A33"/>
    <w:rsid w:val="00E47A7B"/>
    <w:rsid w:val="00E47AAD"/>
    <w:rsid w:val="00E47AB1"/>
    <w:rsid w:val="00E47ADD"/>
    <w:rsid w:val="00E47B4F"/>
    <w:rsid w:val="00E47BF7"/>
    <w:rsid w:val="00E47C31"/>
    <w:rsid w:val="00E47C39"/>
    <w:rsid w:val="00E47C6C"/>
    <w:rsid w:val="00E47C6E"/>
    <w:rsid w:val="00E47CB6"/>
    <w:rsid w:val="00E47D43"/>
    <w:rsid w:val="00E47D4D"/>
    <w:rsid w:val="00E47D94"/>
    <w:rsid w:val="00E47DBA"/>
    <w:rsid w:val="00E47E16"/>
    <w:rsid w:val="00E47E70"/>
    <w:rsid w:val="00E47F0C"/>
    <w:rsid w:val="00E47F16"/>
    <w:rsid w:val="00E47F23"/>
    <w:rsid w:val="00E5000B"/>
    <w:rsid w:val="00E5012D"/>
    <w:rsid w:val="00E501D7"/>
    <w:rsid w:val="00E50243"/>
    <w:rsid w:val="00E50281"/>
    <w:rsid w:val="00E50283"/>
    <w:rsid w:val="00E502FD"/>
    <w:rsid w:val="00E503B6"/>
    <w:rsid w:val="00E503CF"/>
    <w:rsid w:val="00E503DA"/>
    <w:rsid w:val="00E503DC"/>
    <w:rsid w:val="00E503E5"/>
    <w:rsid w:val="00E5048A"/>
    <w:rsid w:val="00E504BE"/>
    <w:rsid w:val="00E504C5"/>
    <w:rsid w:val="00E504E0"/>
    <w:rsid w:val="00E5056E"/>
    <w:rsid w:val="00E505B6"/>
    <w:rsid w:val="00E50654"/>
    <w:rsid w:val="00E50661"/>
    <w:rsid w:val="00E5066F"/>
    <w:rsid w:val="00E50677"/>
    <w:rsid w:val="00E5069E"/>
    <w:rsid w:val="00E506A0"/>
    <w:rsid w:val="00E506B0"/>
    <w:rsid w:val="00E506CE"/>
    <w:rsid w:val="00E506F0"/>
    <w:rsid w:val="00E50705"/>
    <w:rsid w:val="00E50784"/>
    <w:rsid w:val="00E5078B"/>
    <w:rsid w:val="00E507B2"/>
    <w:rsid w:val="00E507DB"/>
    <w:rsid w:val="00E50825"/>
    <w:rsid w:val="00E5085E"/>
    <w:rsid w:val="00E508A0"/>
    <w:rsid w:val="00E508A3"/>
    <w:rsid w:val="00E50915"/>
    <w:rsid w:val="00E50923"/>
    <w:rsid w:val="00E5096C"/>
    <w:rsid w:val="00E509ED"/>
    <w:rsid w:val="00E50A41"/>
    <w:rsid w:val="00E50B1D"/>
    <w:rsid w:val="00E50C16"/>
    <w:rsid w:val="00E50C1E"/>
    <w:rsid w:val="00E50CC0"/>
    <w:rsid w:val="00E50D04"/>
    <w:rsid w:val="00E50D0B"/>
    <w:rsid w:val="00E50E4D"/>
    <w:rsid w:val="00E50E96"/>
    <w:rsid w:val="00E51001"/>
    <w:rsid w:val="00E51004"/>
    <w:rsid w:val="00E5106E"/>
    <w:rsid w:val="00E51103"/>
    <w:rsid w:val="00E51141"/>
    <w:rsid w:val="00E511B1"/>
    <w:rsid w:val="00E511C9"/>
    <w:rsid w:val="00E511D8"/>
    <w:rsid w:val="00E51222"/>
    <w:rsid w:val="00E51260"/>
    <w:rsid w:val="00E51262"/>
    <w:rsid w:val="00E512A5"/>
    <w:rsid w:val="00E512A6"/>
    <w:rsid w:val="00E513D0"/>
    <w:rsid w:val="00E513FA"/>
    <w:rsid w:val="00E51406"/>
    <w:rsid w:val="00E514F9"/>
    <w:rsid w:val="00E5157F"/>
    <w:rsid w:val="00E5159F"/>
    <w:rsid w:val="00E51647"/>
    <w:rsid w:val="00E51682"/>
    <w:rsid w:val="00E51690"/>
    <w:rsid w:val="00E516B8"/>
    <w:rsid w:val="00E516D5"/>
    <w:rsid w:val="00E516DC"/>
    <w:rsid w:val="00E5171B"/>
    <w:rsid w:val="00E51740"/>
    <w:rsid w:val="00E5177A"/>
    <w:rsid w:val="00E5178D"/>
    <w:rsid w:val="00E517ED"/>
    <w:rsid w:val="00E517EE"/>
    <w:rsid w:val="00E5182C"/>
    <w:rsid w:val="00E51862"/>
    <w:rsid w:val="00E5189D"/>
    <w:rsid w:val="00E518E1"/>
    <w:rsid w:val="00E518F3"/>
    <w:rsid w:val="00E5194F"/>
    <w:rsid w:val="00E51994"/>
    <w:rsid w:val="00E51AA5"/>
    <w:rsid w:val="00E51AAA"/>
    <w:rsid w:val="00E51AF6"/>
    <w:rsid w:val="00E51B17"/>
    <w:rsid w:val="00E51B42"/>
    <w:rsid w:val="00E51B54"/>
    <w:rsid w:val="00E51B66"/>
    <w:rsid w:val="00E51BCC"/>
    <w:rsid w:val="00E51CA8"/>
    <w:rsid w:val="00E51CC1"/>
    <w:rsid w:val="00E51CD9"/>
    <w:rsid w:val="00E51D29"/>
    <w:rsid w:val="00E51D42"/>
    <w:rsid w:val="00E51D48"/>
    <w:rsid w:val="00E51D77"/>
    <w:rsid w:val="00E51DFE"/>
    <w:rsid w:val="00E51E4E"/>
    <w:rsid w:val="00E51E54"/>
    <w:rsid w:val="00E51E61"/>
    <w:rsid w:val="00E51EB4"/>
    <w:rsid w:val="00E51ED0"/>
    <w:rsid w:val="00E51F09"/>
    <w:rsid w:val="00E51F26"/>
    <w:rsid w:val="00E51F2B"/>
    <w:rsid w:val="00E51FD2"/>
    <w:rsid w:val="00E5201F"/>
    <w:rsid w:val="00E52061"/>
    <w:rsid w:val="00E5206E"/>
    <w:rsid w:val="00E5207B"/>
    <w:rsid w:val="00E520EE"/>
    <w:rsid w:val="00E5212C"/>
    <w:rsid w:val="00E5219C"/>
    <w:rsid w:val="00E521A2"/>
    <w:rsid w:val="00E521A7"/>
    <w:rsid w:val="00E521B0"/>
    <w:rsid w:val="00E521C1"/>
    <w:rsid w:val="00E521DA"/>
    <w:rsid w:val="00E521EE"/>
    <w:rsid w:val="00E5220F"/>
    <w:rsid w:val="00E5223F"/>
    <w:rsid w:val="00E52243"/>
    <w:rsid w:val="00E5235F"/>
    <w:rsid w:val="00E523ED"/>
    <w:rsid w:val="00E523FC"/>
    <w:rsid w:val="00E52400"/>
    <w:rsid w:val="00E5247D"/>
    <w:rsid w:val="00E5248E"/>
    <w:rsid w:val="00E524AC"/>
    <w:rsid w:val="00E524BB"/>
    <w:rsid w:val="00E524BC"/>
    <w:rsid w:val="00E524ED"/>
    <w:rsid w:val="00E524FC"/>
    <w:rsid w:val="00E52621"/>
    <w:rsid w:val="00E52645"/>
    <w:rsid w:val="00E526BF"/>
    <w:rsid w:val="00E526EF"/>
    <w:rsid w:val="00E5271D"/>
    <w:rsid w:val="00E52739"/>
    <w:rsid w:val="00E527AD"/>
    <w:rsid w:val="00E527CC"/>
    <w:rsid w:val="00E52893"/>
    <w:rsid w:val="00E5289B"/>
    <w:rsid w:val="00E528E5"/>
    <w:rsid w:val="00E52914"/>
    <w:rsid w:val="00E5295C"/>
    <w:rsid w:val="00E52965"/>
    <w:rsid w:val="00E52971"/>
    <w:rsid w:val="00E529F4"/>
    <w:rsid w:val="00E52A1D"/>
    <w:rsid w:val="00E52A61"/>
    <w:rsid w:val="00E52A80"/>
    <w:rsid w:val="00E52A82"/>
    <w:rsid w:val="00E52ADA"/>
    <w:rsid w:val="00E52B71"/>
    <w:rsid w:val="00E52BB6"/>
    <w:rsid w:val="00E52BC8"/>
    <w:rsid w:val="00E52C11"/>
    <w:rsid w:val="00E52C4C"/>
    <w:rsid w:val="00E52C6F"/>
    <w:rsid w:val="00E52CB2"/>
    <w:rsid w:val="00E52CED"/>
    <w:rsid w:val="00E52D11"/>
    <w:rsid w:val="00E52D4A"/>
    <w:rsid w:val="00E52D7D"/>
    <w:rsid w:val="00E52EF1"/>
    <w:rsid w:val="00E52F1C"/>
    <w:rsid w:val="00E52F2D"/>
    <w:rsid w:val="00E52F92"/>
    <w:rsid w:val="00E52FB1"/>
    <w:rsid w:val="00E52FD2"/>
    <w:rsid w:val="00E53013"/>
    <w:rsid w:val="00E5304F"/>
    <w:rsid w:val="00E53053"/>
    <w:rsid w:val="00E53091"/>
    <w:rsid w:val="00E5309A"/>
    <w:rsid w:val="00E530BA"/>
    <w:rsid w:val="00E530D3"/>
    <w:rsid w:val="00E530D4"/>
    <w:rsid w:val="00E53113"/>
    <w:rsid w:val="00E5311D"/>
    <w:rsid w:val="00E53150"/>
    <w:rsid w:val="00E53184"/>
    <w:rsid w:val="00E531D9"/>
    <w:rsid w:val="00E53201"/>
    <w:rsid w:val="00E53213"/>
    <w:rsid w:val="00E5323F"/>
    <w:rsid w:val="00E53255"/>
    <w:rsid w:val="00E53261"/>
    <w:rsid w:val="00E53265"/>
    <w:rsid w:val="00E53280"/>
    <w:rsid w:val="00E532DA"/>
    <w:rsid w:val="00E532E6"/>
    <w:rsid w:val="00E532FE"/>
    <w:rsid w:val="00E53367"/>
    <w:rsid w:val="00E5336F"/>
    <w:rsid w:val="00E5337E"/>
    <w:rsid w:val="00E533E2"/>
    <w:rsid w:val="00E533E4"/>
    <w:rsid w:val="00E53409"/>
    <w:rsid w:val="00E53427"/>
    <w:rsid w:val="00E5342F"/>
    <w:rsid w:val="00E5343E"/>
    <w:rsid w:val="00E53466"/>
    <w:rsid w:val="00E53469"/>
    <w:rsid w:val="00E534A4"/>
    <w:rsid w:val="00E534CC"/>
    <w:rsid w:val="00E534D8"/>
    <w:rsid w:val="00E53514"/>
    <w:rsid w:val="00E5351E"/>
    <w:rsid w:val="00E5357D"/>
    <w:rsid w:val="00E53601"/>
    <w:rsid w:val="00E53634"/>
    <w:rsid w:val="00E53639"/>
    <w:rsid w:val="00E53673"/>
    <w:rsid w:val="00E536A0"/>
    <w:rsid w:val="00E53727"/>
    <w:rsid w:val="00E5374B"/>
    <w:rsid w:val="00E537C2"/>
    <w:rsid w:val="00E537FF"/>
    <w:rsid w:val="00E53802"/>
    <w:rsid w:val="00E53837"/>
    <w:rsid w:val="00E5385A"/>
    <w:rsid w:val="00E5386D"/>
    <w:rsid w:val="00E53917"/>
    <w:rsid w:val="00E53939"/>
    <w:rsid w:val="00E5399E"/>
    <w:rsid w:val="00E5399F"/>
    <w:rsid w:val="00E539AF"/>
    <w:rsid w:val="00E539B1"/>
    <w:rsid w:val="00E539D0"/>
    <w:rsid w:val="00E539F9"/>
    <w:rsid w:val="00E53AAA"/>
    <w:rsid w:val="00E53ABE"/>
    <w:rsid w:val="00E53AF5"/>
    <w:rsid w:val="00E53B0D"/>
    <w:rsid w:val="00E53B5B"/>
    <w:rsid w:val="00E53BE1"/>
    <w:rsid w:val="00E53C57"/>
    <w:rsid w:val="00E53D38"/>
    <w:rsid w:val="00E53D46"/>
    <w:rsid w:val="00E53D6D"/>
    <w:rsid w:val="00E53E50"/>
    <w:rsid w:val="00E53ECA"/>
    <w:rsid w:val="00E53F7D"/>
    <w:rsid w:val="00E53F7F"/>
    <w:rsid w:val="00E53F8C"/>
    <w:rsid w:val="00E53FB6"/>
    <w:rsid w:val="00E53FC9"/>
    <w:rsid w:val="00E53FF4"/>
    <w:rsid w:val="00E5405B"/>
    <w:rsid w:val="00E540D0"/>
    <w:rsid w:val="00E540E3"/>
    <w:rsid w:val="00E540E6"/>
    <w:rsid w:val="00E5411A"/>
    <w:rsid w:val="00E54128"/>
    <w:rsid w:val="00E54142"/>
    <w:rsid w:val="00E54150"/>
    <w:rsid w:val="00E54158"/>
    <w:rsid w:val="00E5416E"/>
    <w:rsid w:val="00E54199"/>
    <w:rsid w:val="00E541B5"/>
    <w:rsid w:val="00E541B8"/>
    <w:rsid w:val="00E5431C"/>
    <w:rsid w:val="00E54321"/>
    <w:rsid w:val="00E54367"/>
    <w:rsid w:val="00E5439A"/>
    <w:rsid w:val="00E5439D"/>
    <w:rsid w:val="00E543A2"/>
    <w:rsid w:val="00E544BC"/>
    <w:rsid w:val="00E5451B"/>
    <w:rsid w:val="00E54554"/>
    <w:rsid w:val="00E54577"/>
    <w:rsid w:val="00E5460A"/>
    <w:rsid w:val="00E5464F"/>
    <w:rsid w:val="00E546CB"/>
    <w:rsid w:val="00E54721"/>
    <w:rsid w:val="00E54728"/>
    <w:rsid w:val="00E5474D"/>
    <w:rsid w:val="00E54811"/>
    <w:rsid w:val="00E54883"/>
    <w:rsid w:val="00E5494A"/>
    <w:rsid w:val="00E5494D"/>
    <w:rsid w:val="00E5497B"/>
    <w:rsid w:val="00E5497F"/>
    <w:rsid w:val="00E549A7"/>
    <w:rsid w:val="00E54A1D"/>
    <w:rsid w:val="00E54A2D"/>
    <w:rsid w:val="00E54A55"/>
    <w:rsid w:val="00E54A8B"/>
    <w:rsid w:val="00E54B19"/>
    <w:rsid w:val="00E54B2C"/>
    <w:rsid w:val="00E54BCA"/>
    <w:rsid w:val="00E54C3A"/>
    <w:rsid w:val="00E54C46"/>
    <w:rsid w:val="00E54CA1"/>
    <w:rsid w:val="00E54CD6"/>
    <w:rsid w:val="00E54CF9"/>
    <w:rsid w:val="00E54E01"/>
    <w:rsid w:val="00E54E0D"/>
    <w:rsid w:val="00E54E2E"/>
    <w:rsid w:val="00E54EC0"/>
    <w:rsid w:val="00E54EC7"/>
    <w:rsid w:val="00E54EC8"/>
    <w:rsid w:val="00E54F08"/>
    <w:rsid w:val="00E54F2B"/>
    <w:rsid w:val="00E54F84"/>
    <w:rsid w:val="00E54FAF"/>
    <w:rsid w:val="00E54FB2"/>
    <w:rsid w:val="00E55067"/>
    <w:rsid w:val="00E55097"/>
    <w:rsid w:val="00E550C5"/>
    <w:rsid w:val="00E55120"/>
    <w:rsid w:val="00E55134"/>
    <w:rsid w:val="00E551BC"/>
    <w:rsid w:val="00E551EB"/>
    <w:rsid w:val="00E5520B"/>
    <w:rsid w:val="00E55232"/>
    <w:rsid w:val="00E55246"/>
    <w:rsid w:val="00E55281"/>
    <w:rsid w:val="00E552D8"/>
    <w:rsid w:val="00E5531C"/>
    <w:rsid w:val="00E55362"/>
    <w:rsid w:val="00E55395"/>
    <w:rsid w:val="00E553AC"/>
    <w:rsid w:val="00E553EC"/>
    <w:rsid w:val="00E5540F"/>
    <w:rsid w:val="00E55449"/>
    <w:rsid w:val="00E5550F"/>
    <w:rsid w:val="00E55557"/>
    <w:rsid w:val="00E555BB"/>
    <w:rsid w:val="00E55671"/>
    <w:rsid w:val="00E55694"/>
    <w:rsid w:val="00E556C8"/>
    <w:rsid w:val="00E5570A"/>
    <w:rsid w:val="00E5571A"/>
    <w:rsid w:val="00E55774"/>
    <w:rsid w:val="00E557FB"/>
    <w:rsid w:val="00E5581B"/>
    <w:rsid w:val="00E55831"/>
    <w:rsid w:val="00E5583E"/>
    <w:rsid w:val="00E55896"/>
    <w:rsid w:val="00E558D8"/>
    <w:rsid w:val="00E5590D"/>
    <w:rsid w:val="00E5595F"/>
    <w:rsid w:val="00E559C0"/>
    <w:rsid w:val="00E55A0E"/>
    <w:rsid w:val="00E55AAD"/>
    <w:rsid w:val="00E55AEF"/>
    <w:rsid w:val="00E55AFC"/>
    <w:rsid w:val="00E55B5A"/>
    <w:rsid w:val="00E55B6B"/>
    <w:rsid w:val="00E55BE7"/>
    <w:rsid w:val="00E55C0C"/>
    <w:rsid w:val="00E55CF0"/>
    <w:rsid w:val="00E55CF7"/>
    <w:rsid w:val="00E55D0F"/>
    <w:rsid w:val="00E55DAB"/>
    <w:rsid w:val="00E55DC0"/>
    <w:rsid w:val="00E55DEE"/>
    <w:rsid w:val="00E55E19"/>
    <w:rsid w:val="00E55E65"/>
    <w:rsid w:val="00E55EDE"/>
    <w:rsid w:val="00E55EF2"/>
    <w:rsid w:val="00E55EFA"/>
    <w:rsid w:val="00E55FCD"/>
    <w:rsid w:val="00E56055"/>
    <w:rsid w:val="00E5606A"/>
    <w:rsid w:val="00E56082"/>
    <w:rsid w:val="00E560BA"/>
    <w:rsid w:val="00E560C1"/>
    <w:rsid w:val="00E560DE"/>
    <w:rsid w:val="00E5612A"/>
    <w:rsid w:val="00E56159"/>
    <w:rsid w:val="00E5616C"/>
    <w:rsid w:val="00E561D5"/>
    <w:rsid w:val="00E56248"/>
    <w:rsid w:val="00E56253"/>
    <w:rsid w:val="00E5629F"/>
    <w:rsid w:val="00E562E2"/>
    <w:rsid w:val="00E56352"/>
    <w:rsid w:val="00E56385"/>
    <w:rsid w:val="00E563B6"/>
    <w:rsid w:val="00E563BD"/>
    <w:rsid w:val="00E56413"/>
    <w:rsid w:val="00E564B5"/>
    <w:rsid w:val="00E56507"/>
    <w:rsid w:val="00E56518"/>
    <w:rsid w:val="00E5651B"/>
    <w:rsid w:val="00E56541"/>
    <w:rsid w:val="00E5654F"/>
    <w:rsid w:val="00E56558"/>
    <w:rsid w:val="00E565DE"/>
    <w:rsid w:val="00E56602"/>
    <w:rsid w:val="00E5667A"/>
    <w:rsid w:val="00E56682"/>
    <w:rsid w:val="00E56710"/>
    <w:rsid w:val="00E5675D"/>
    <w:rsid w:val="00E56769"/>
    <w:rsid w:val="00E56782"/>
    <w:rsid w:val="00E567D4"/>
    <w:rsid w:val="00E567DB"/>
    <w:rsid w:val="00E56869"/>
    <w:rsid w:val="00E568DA"/>
    <w:rsid w:val="00E568F8"/>
    <w:rsid w:val="00E569B0"/>
    <w:rsid w:val="00E56A12"/>
    <w:rsid w:val="00E56AEA"/>
    <w:rsid w:val="00E56B5B"/>
    <w:rsid w:val="00E56BA7"/>
    <w:rsid w:val="00E56BC6"/>
    <w:rsid w:val="00E56BD1"/>
    <w:rsid w:val="00E56BD3"/>
    <w:rsid w:val="00E56BE1"/>
    <w:rsid w:val="00E56C00"/>
    <w:rsid w:val="00E56C44"/>
    <w:rsid w:val="00E56C45"/>
    <w:rsid w:val="00E56C52"/>
    <w:rsid w:val="00E56C62"/>
    <w:rsid w:val="00E56D5D"/>
    <w:rsid w:val="00E56D9F"/>
    <w:rsid w:val="00E56DB4"/>
    <w:rsid w:val="00E56E13"/>
    <w:rsid w:val="00E56E18"/>
    <w:rsid w:val="00E56E48"/>
    <w:rsid w:val="00E56EEF"/>
    <w:rsid w:val="00E56F63"/>
    <w:rsid w:val="00E56F6F"/>
    <w:rsid w:val="00E56F74"/>
    <w:rsid w:val="00E56F8C"/>
    <w:rsid w:val="00E56F90"/>
    <w:rsid w:val="00E56F9E"/>
    <w:rsid w:val="00E5707B"/>
    <w:rsid w:val="00E570B7"/>
    <w:rsid w:val="00E570BC"/>
    <w:rsid w:val="00E57133"/>
    <w:rsid w:val="00E57137"/>
    <w:rsid w:val="00E57150"/>
    <w:rsid w:val="00E5715B"/>
    <w:rsid w:val="00E57188"/>
    <w:rsid w:val="00E571AF"/>
    <w:rsid w:val="00E571C9"/>
    <w:rsid w:val="00E57289"/>
    <w:rsid w:val="00E57298"/>
    <w:rsid w:val="00E572D1"/>
    <w:rsid w:val="00E5733F"/>
    <w:rsid w:val="00E57384"/>
    <w:rsid w:val="00E573A7"/>
    <w:rsid w:val="00E573A8"/>
    <w:rsid w:val="00E573C1"/>
    <w:rsid w:val="00E573D7"/>
    <w:rsid w:val="00E57402"/>
    <w:rsid w:val="00E5740B"/>
    <w:rsid w:val="00E57451"/>
    <w:rsid w:val="00E57482"/>
    <w:rsid w:val="00E574A4"/>
    <w:rsid w:val="00E574D1"/>
    <w:rsid w:val="00E574D9"/>
    <w:rsid w:val="00E574F2"/>
    <w:rsid w:val="00E57554"/>
    <w:rsid w:val="00E57563"/>
    <w:rsid w:val="00E5757A"/>
    <w:rsid w:val="00E5761B"/>
    <w:rsid w:val="00E57630"/>
    <w:rsid w:val="00E576B4"/>
    <w:rsid w:val="00E57805"/>
    <w:rsid w:val="00E57848"/>
    <w:rsid w:val="00E578BB"/>
    <w:rsid w:val="00E578DF"/>
    <w:rsid w:val="00E57964"/>
    <w:rsid w:val="00E57979"/>
    <w:rsid w:val="00E579C3"/>
    <w:rsid w:val="00E579ED"/>
    <w:rsid w:val="00E57A39"/>
    <w:rsid w:val="00E57A7F"/>
    <w:rsid w:val="00E57B4F"/>
    <w:rsid w:val="00E57BE0"/>
    <w:rsid w:val="00E57C07"/>
    <w:rsid w:val="00E57C5D"/>
    <w:rsid w:val="00E57CEA"/>
    <w:rsid w:val="00E57CFB"/>
    <w:rsid w:val="00E57D34"/>
    <w:rsid w:val="00E57D56"/>
    <w:rsid w:val="00E57DC6"/>
    <w:rsid w:val="00E57E8F"/>
    <w:rsid w:val="00E57E9F"/>
    <w:rsid w:val="00E57F75"/>
    <w:rsid w:val="00E57F79"/>
    <w:rsid w:val="00E57FBA"/>
    <w:rsid w:val="00E57FBD"/>
    <w:rsid w:val="00E57FC9"/>
    <w:rsid w:val="00E57FCC"/>
    <w:rsid w:val="00E6009C"/>
    <w:rsid w:val="00E600BC"/>
    <w:rsid w:val="00E600C7"/>
    <w:rsid w:val="00E60167"/>
    <w:rsid w:val="00E6017D"/>
    <w:rsid w:val="00E60186"/>
    <w:rsid w:val="00E60211"/>
    <w:rsid w:val="00E60262"/>
    <w:rsid w:val="00E60279"/>
    <w:rsid w:val="00E602DA"/>
    <w:rsid w:val="00E60321"/>
    <w:rsid w:val="00E6036D"/>
    <w:rsid w:val="00E60441"/>
    <w:rsid w:val="00E6045A"/>
    <w:rsid w:val="00E60489"/>
    <w:rsid w:val="00E6048C"/>
    <w:rsid w:val="00E6049C"/>
    <w:rsid w:val="00E604B9"/>
    <w:rsid w:val="00E60540"/>
    <w:rsid w:val="00E60572"/>
    <w:rsid w:val="00E60580"/>
    <w:rsid w:val="00E6061C"/>
    <w:rsid w:val="00E60632"/>
    <w:rsid w:val="00E6067E"/>
    <w:rsid w:val="00E60735"/>
    <w:rsid w:val="00E607A2"/>
    <w:rsid w:val="00E607BE"/>
    <w:rsid w:val="00E607D4"/>
    <w:rsid w:val="00E607E7"/>
    <w:rsid w:val="00E6089B"/>
    <w:rsid w:val="00E608B6"/>
    <w:rsid w:val="00E608CE"/>
    <w:rsid w:val="00E608CF"/>
    <w:rsid w:val="00E608F3"/>
    <w:rsid w:val="00E608FA"/>
    <w:rsid w:val="00E60908"/>
    <w:rsid w:val="00E60909"/>
    <w:rsid w:val="00E6099C"/>
    <w:rsid w:val="00E60A19"/>
    <w:rsid w:val="00E60A1B"/>
    <w:rsid w:val="00E60A28"/>
    <w:rsid w:val="00E60A4B"/>
    <w:rsid w:val="00E60A82"/>
    <w:rsid w:val="00E60AE7"/>
    <w:rsid w:val="00E60B5F"/>
    <w:rsid w:val="00E60BA3"/>
    <w:rsid w:val="00E60BC1"/>
    <w:rsid w:val="00E60BC7"/>
    <w:rsid w:val="00E60BFB"/>
    <w:rsid w:val="00E60C13"/>
    <w:rsid w:val="00E60CAE"/>
    <w:rsid w:val="00E60CD1"/>
    <w:rsid w:val="00E60CEA"/>
    <w:rsid w:val="00E60D39"/>
    <w:rsid w:val="00E60DC5"/>
    <w:rsid w:val="00E60E59"/>
    <w:rsid w:val="00E60E5C"/>
    <w:rsid w:val="00E60E97"/>
    <w:rsid w:val="00E60EBB"/>
    <w:rsid w:val="00E60ECF"/>
    <w:rsid w:val="00E60F0C"/>
    <w:rsid w:val="00E60F0E"/>
    <w:rsid w:val="00E60F33"/>
    <w:rsid w:val="00E60FF4"/>
    <w:rsid w:val="00E61039"/>
    <w:rsid w:val="00E61082"/>
    <w:rsid w:val="00E61095"/>
    <w:rsid w:val="00E61096"/>
    <w:rsid w:val="00E61099"/>
    <w:rsid w:val="00E610EB"/>
    <w:rsid w:val="00E61131"/>
    <w:rsid w:val="00E61183"/>
    <w:rsid w:val="00E611F7"/>
    <w:rsid w:val="00E6120D"/>
    <w:rsid w:val="00E6125C"/>
    <w:rsid w:val="00E61264"/>
    <w:rsid w:val="00E612B1"/>
    <w:rsid w:val="00E612C5"/>
    <w:rsid w:val="00E612F0"/>
    <w:rsid w:val="00E61335"/>
    <w:rsid w:val="00E61384"/>
    <w:rsid w:val="00E61397"/>
    <w:rsid w:val="00E61401"/>
    <w:rsid w:val="00E61405"/>
    <w:rsid w:val="00E61414"/>
    <w:rsid w:val="00E61437"/>
    <w:rsid w:val="00E6145E"/>
    <w:rsid w:val="00E6147E"/>
    <w:rsid w:val="00E614F7"/>
    <w:rsid w:val="00E614FA"/>
    <w:rsid w:val="00E61500"/>
    <w:rsid w:val="00E6151B"/>
    <w:rsid w:val="00E61586"/>
    <w:rsid w:val="00E615A5"/>
    <w:rsid w:val="00E615BA"/>
    <w:rsid w:val="00E615C0"/>
    <w:rsid w:val="00E61693"/>
    <w:rsid w:val="00E61694"/>
    <w:rsid w:val="00E616EE"/>
    <w:rsid w:val="00E617C1"/>
    <w:rsid w:val="00E61845"/>
    <w:rsid w:val="00E61882"/>
    <w:rsid w:val="00E618B3"/>
    <w:rsid w:val="00E61959"/>
    <w:rsid w:val="00E61960"/>
    <w:rsid w:val="00E61978"/>
    <w:rsid w:val="00E61A6B"/>
    <w:rsid w:val="00E61A9F"/>
    <w:rsid w:val="00E61AAF"/>
    <w:rsid w:val="00E61AB6"/>
    <w:rsid w:val="00E61ADA"/>
    <w:rsid w:val="00E61B1C"/>
    <w:rsid w:val="00E61B3F"/>
    <w:rsid w:val="00E61B46"/>
    <w:rsid w:val="00E61B61"/>
    <w:rsid w:val="00E61B6A"/>
    <w:rsid w:val="00E61B92"/>
    <w:rsid w:val="00E61B9D"/>
    <w:rsid w:val="00E61BDE"/>
    <w:rsid w:val="00E61C4A"/>
    <w:rsid w:val="00E61C58"/>
    <w:rsid w:val="00E61C59"/>
    <w:rsid w:val="00E61C64"/>
    <w:rsid w:val="00E61C7F"/>
    <w:rsid w:val="00E61D2D"/>
    <w:rsid w:val="00E61D57"/>
    <w:rsid w:val="00E61DF7"/>
    <w:rsid w:val="00E61E4E"/>
    <w:rsid w:val="00E61E80"/>
    <w:rsid w:val="00E61EA3"/>
    <w:rsid w:val="00E61EA5"/>
    <w:rsid w:val="00E61EEC"/>
    <w:rsid w:val="00E61F2D"/>
    <w:rsid w:val="00E61F54"/>
    <w:rsid w:val="00E61F61"/>
    <w:rsid w:val="00E61FB6"/>
    <w:rsid w:val="00E61FFF"/>
    <w:rsid w:val="00E620BE"/>
    <w:rsid w:val="00E62125"/>
    <w:rsid w:val="00E62130"/>
    <w:rsid w:val="00E6214A"/>
    <w:rsid w:val="00E6214D"/>
    <w:rsid w:val="00E6218E"/>
    <w:rsid w:val="00E621BC"/>
    <w:rsid w:val="00E62269"/>
    <w:rsid w:val="00E6226F"/>
    <w:rsid w:val="00E622F4"/>
    <w:rsid w:val="00E6230B"/>
    <w:rsid w:val="00E62363"/>
    <w:rsid w:val="00E6236B"/>
    <w:rsid w:val="00E623AB"/>
    <w:rsid w:val="00E623C2"/>
    <w:rsid w:val="00E62424"/>
    <w:rsid w:val="00E6242E"/>
    <w:rsid w:val="00E62431"/>
    <w:rsid w:val="00E62467"/>
    <w:rsid w:val="00E624E3"/>
    <w:rsid w:val="00E624E8"/>
    <w:rsid w:val="00E624F7"/>
    <w:rsid w:val="00E62502"/>
    <w:rsid w:val="00E62506"/>
    <w:rsid w:val="00E62526"/>
    <w:rsid w:val="00E62555"/>
    <w:rsid w:val="00E6256B"/>
    <w:rsid w:val="00E62594"/>
    <w:rsid w:val="00E625CB"/>
    <w:rsid w:val="00E625FF"/>
    <w:rsid w:val="00E62684"/>
    <w:rsid w:val="00E626A0"/>
    <w:rsid w:val="00E626AA"/>
    <w:rsid w:val="00E626FC"/>
    <w:rsid w:val="00E62788"/>
    <w:rsid w:val="00E6278B"/>
    <w:rsid w:val="00E627C9"/>
    <w:rsid w:val="00E628A7"/>
    <w:rsid w:val="00E628BB"/>
    <w:rsid w:val="00E629A2"/>
    <w:rsid w:val="00E629EF"/>
    <w:rsid w:val="00E62A6C"/>
    <w:rsid w:val="00E62AF5"/>
    <w:rsid w:val="00E62AF6"/>
    <w:rsid w:val="00E62B11"/>
    <w:rsid w:val="00E62B17"/>
    <w:rsid w:val="00E62B40"/>
    <w:rsid w:val="00E62B73"/>
    <w:rsid w:val="00E62BF6"/>
    <w:rsid w:val="00E62C02"/>
    <w:rsid w:val="00E62C03"/>
    <w:rsid w:val="00E62C5D"/>
    <w:rsid w:val="00E62C9C"/>
    <w:rsid w:val="00E62CBA"/>
    <w:rsid w:val="00E62D1B"/>
    <w:rsid w:val="00E62D47"/>
    <w:rsid w:val="00E62DB2"/>
    <w:rsid w:val="00E62DFE"/>
    <w:rsid w:val="00E62E0C"/>
    <w:rsid w:val="00E62E46"/>
    <w:rsid w:val="00E62E4A"/>
    <w:rsid w:val="00E62E8E"/>
    <w:rsid w:val="00E62E98"/>
    <w:rsid w:val="00E62EE1"/>
    <w:rsid w:val="00E62EE3"/>
    <w:rsid w:val="00E62EFC"/>
    <w:rsid w:val="00E62F01"/>
    <w:rsid w:val="00E62FAE"/>
    <w:rsid w:val="00E6301D"/>
    <w:rsid w:val="00E63082"/>
    <w:rsid w:val="00E630B7"/>
    <w:rsid w:val="00E63127"/>
    <w:rsid w:val="00E63163"/>
    <w:rsid w:val="00E63170"/>
    <w:rsid w:val="00E631D1"/>
    <w:rsid w:val="00E631D4"/>
    <w:rsid w:val="00E6322B"/>
    <w:rsid w:val="00E63254"/>
    <w:rsid w:val="00E6325B"/>
    <w:rsid w:val="00E63265"/>
    <w:rsid w:val="00E6326B"/>
    <w:rsid w:val="00E632DE"/>
    <w:rsid w:val="00E632FF"/>
    <w:rsid w:val="00E6334D"/>
    <w:rsid w:val="00E63353"/>
    <w:rsid w:val="00E63356"/>
    <w:rsid w:val="00E633CA"/>
    <w:rsid w:val="00E634DD"/>
    <w:rsid w:val="00E635AA"/>
    <w:rsid w:val="00E635B1"/>
    <w:rsid w:val="00E635DB"/>
    <w:rsid w:val="00E63615"/>
    <w:rsid w:val="00E63625"/>
    <w:rsid w:val="00E63631"/>
    <w:rsid w:val="00E63680"/>
    <w:rsid w:val="00E63681"/>
    <w:rsid w:val="00E636BF"/>
    <w:rsid w:val="00E63701"/>
    <w:rsid w:val="00E63747"/>
    <w:rsid w:val="00E63759"/>
    <w:rsid w:val="00E63770"/>
    <w:rsid w:val="00E63792"/>
    <w:rsid w:val="00E63800"/>
    <w:rsid w:val="00E6385A"/>
    <w:rsid w:val="00E63883"/>
    <w:rsid w:val="00E638A4"/>
    <w:rsid w:val="00E638B8"/>
    <w:rsid w:val="00E638C5"/>
    <w:rsid w:val="00E638CB"/>
    <w:rsid w:val="00E638FD"/>
    <w:rsid w:val="00E63905"/>
    <w:rsid w:val="00E6393B"/>
    <w:rsid w:val="00E63958"/>
    <w:rsid w:val="00E63995"/>
    <w:rsid w:val="00E639D6"/>
    <w:rsid w:val="00E63A1B"/>
    <w:rsid w:val="00E63A1C"/>
    <w:rsid w:val="00E63A3A"/>
    <w:rsid w:val="00E63A95"/>
    <w:rsid w:val="00E63ABE"/>
    <w:rsid w:val="00E63AE4"/>
    <w:rsid w:val="00E63B07"/>
    <w:rsid w:val="00E63B18"/>
    <w:rsid w:val="00E63B24"/>
    <w:rsid w:val="00E63B9F"/>
    <w:rsid w:val="00E63BD3"/>
    <w:rsid w:val="00E63C46"/>
    <w:rsid w:val="00E63C9E"/>
    <w:rsid w:val="00E63CC2"/>
    <w:rsid w:val="00E63D0B"/>
    <w:rsid w:val="00E63D18"/>
    <w:rsid w:val="00E63D33"/>
    <w:rsid w:val="00E63DB8"/>
    <w:rsid w:val="00E63E08"/>
    <w:rsid w:val="00E63E4A"/>
    <w:rsid w:val="00E63EE0"/>
    <w:rsid w:val="00E63F22"/>
    <w:rsid w:val="00E63F2B"/>
    <w:rsid w:val="00E63F2D"/>
    <w:rsid w:val="00E63F3B"/>
    <w:rsid w:val="00E63F49"/>
    <w:rsid w:val="00E63F70"/>
    <w:rsid w:val="00E63F95"/>
    <w:rsid w:val="00E63F9D"/>
    <w:rsid w:val="00E63FE8"/>
    <w:rsid w:val="00E64032"/>
    <w:rsid w:val="00E64126"/>
    <w:rsid w:val="00E64155"/>
    <w:rsid w:val="00E6417C"/>
    <w:rsid w:val="00E64187"/>
    <w:rsid w:val="00E64189"/>
    <w:rsid w:val="00E641F8"/>
    <w:rsid w:val="00E64208"/>
    <w:rsid w:val="00E64223"/>
    <w:rsid w:val="00E642A1"/>
    <w:rsid w:val="00E642A5"/>
    <w:rsid w:val="00E642DC"/>
    <w:rsid w:val="00E642EE"/>
    <w:rsid w:val="00E64324"/>
    <w:rsid w:val="00E64373"/>
    <w:rsid w:val="00E6439E"/>
    <w:rsid w:val="00E6440E"/>
    <w:rsid w:val="00E64503"/>
    <w:rsid w:val="00E64506"/>
    <w:rsid w:val="00E6450A"/>
    <w:rsid w:val="00E64533"/>
    <w:rsid w:val="00E645A7"/>
    <w:rsid w:val="00E64664"/>
    <w:rsid w:val="00E6467F"/>
    <w:rsid w:val="00E646A8"/>
    <w:rsid w:val="00E646EC"/>
    <w:rsid w:val="00E64706"/>
    <w:rsid w:val="00E64713"/>
    <w:rsid w:val="00E64724"/>
    <w:rsid w:val="00E64734"/>
    <w:rsid w:val="00E64737"/>
    <w:rsid w:val="00E64793"/>
    <w:rsid w:val="00E647BD"/>
    <w:rsid w:val="00E647C4"/>
    <w:rsid w:val="00E64847"/>
    <w:rsid w:val="00E6493C"/>
    <w:rsid w:val="00E649AE"/>
    <w:rsid w:val="00E649EB"/>
    <w:rsid w:val="00E64A0E"/>
    <w:rsid w:val="00E64ABB"/>
    <w:rsid w:val="00E64B04"/>
    <w:rsid w:val="00E64B55"/>
    <w:rsid w:val="00E64BD3"/>
    <w:rsid w:val="00E64BD4"/>
    <w:rsid w:val="00E64BF5"/>
    <w:rsid w:val="00E64C39"/>
    <w:rsid w:val="00E64C7A"/>
    <w:rsid w:val="00E64C7B"/>
    <w:rsid w:val="00E64C7E"/>
    <w:rsid w:val="00E64C8E"/>
    <w:rsid w:val="00E64CDB"/>
    <w:rsid w:val="00E64CE3"/>
    <w:rsid w:val="00E64D23"/>
    <w:rsid w:val="00E64D3C"/>
    <w:rsid w:val="00E64D74"/>
    <w:rsid w:val="00E64DFB"/>
    <w:rsid w:val="00E64EB6"/>
    <w:rsid w:val="00E64F7F"/>
    <w:rsid w:val="00E64FC4"/>
    <w:rsid w:val="00E64FF1"/>
    <w:rsid w:val="00E6500B"/>
    <w:rsid w:val="00E65011"/>
    <w:rsid w:val="00E65041"/>
    <w:rsid w:val="00E65069"/>
    <w:rsid w:val="00E6509E"/>
    <w:rsid w:val="00E650AA"/>
    <w:rsid w:val="00E650AC"/>
    <w:rsid w:val="00E650D9"/>
    <w:rsid w:val="00E650E1"/>
    <w:rsid w:val="00E6516F"/>
    <w:rsid w:val="00E65177"/>
    <w:rsid w:val="00E65183"/>
    <w:rsid w:val="00E65192"/>
    <w:rsid w:val="00E6519E"/>
    <w:rsid w:val="00E651C3"/>
    <w:rsid w:val="00E651D1"/>
    <w:rsid w:val="00E651E7"/>
    <w:rsid w:val="00E651FC"/>
    <w:rsid w:val="00E6525E"/>
    <w:rsid w:val="00E65271"/>
    <w:rsid w:val="00E65287"/>
    <w:rsid w:val="00E652AA"/>
    <w:rsid w:val="00E652B9"/>
    <w:rsid w:val="00E65443"/>
    <w:rsid w:val="00E6548D"/>
    <w:rsid w:val="00E654C1"/>
    <w:rsid w:val="00E654CF"/>
    <w:rsid w:val="00E65513"/>
    <w:rsid w:val="00E65533"/>
    <w:rsid w:val="00E6555C"/>
    <w:rsid w:val="00E655BA"/>
    <w:rsid w:val="00E655CB"/>
    <w:rsid w:val="00E655F3"/>
    <w:rsid w:val="00E655F8"/>
    <w:rsid w:val="00E65604"/>
    <w:rsid w:val="00E65632"/>
    <w:rsid w:val="00E65655"/>
    <w:rsid w:val="00E65671"/>
    <w:rsid w:val="00E65676"/>
    <w:rsid w:val="00E6568C"/>
    <w:rsid w:val="00E65691"/>
    <w:rsid w:val="00E656E0"/>
    <w:rsid w:val="00E656FE"/>
    <w:rsid w:val="00E65717"/>
    <w:rsid w:val="00E6573F"/>
    <w:rsid w:val="00E657CD"/>
    <w:rsid w:val="00E657D7"/>
    <w:rsid w:val="00E657EF"/>
    <w:rsid w:val="00E65801"/>
    <w:rsid w:val="00E658BC"/>
    <w:rsid w:val="00E658EE"/>
    <w:rsid w:val="00E658FD"/>
    <w:rsid w:val="00E65924"/>
    <w:rsid w:val="00E659DF"/>
    <w:rsid w:val="00E659FA"/>
    <w:rsid w:val="00E65A41"/>
    <w:rsid w:val="00E65AD0"/>
    <w:rsid w:val="00E65B4C"/>
    <w:rsid w:val="00E65BEE"/>
    <w:rsid w:val="00E65BEF"/>
    <w:rsid w:val="00E65C48"/>
    <w:rsid w:val="00E65C64"/>
    <w:rsid w:val="00E65C6A"/>
    <w:rsid w:val="00E65C8B"/>
    <w:rsid w:val="00E65C94"/>
    <w:rsid w:val="00E65CA5"/>
    <w:rsid w:val="00E65D56"/>
    <w:rsid w:val="00E65E17"/>
    <w:rsid w:val="00E65E63"/>
    <w:rsid w:val="00E65E99"/>
    <w:rsid w:val="00E65EA5"/>
    <w:rsid w:val="00E65EC0"/>
    <w:rsid w:val="00E65F6D"/>
    <w:rsid w:val="00E65FAE"/>
    <w:rsid w:val="00E6601A"/>
    <w:rsid w:val="00E66056"/>
    <w:rsid w:val="00E66081"/>
    <w:rsid w:val="00E6620D"/>
    <w:rsid w:val="00E66239"/>
    <w:rsid w:val="00E6623C"/>
    <w:rsid w:val="00E66262"/>
    <w:rsid w:val="00E662AA"/>
    <w:rsid w:val="00E662BE"/>
    <w:rsid w:val="00E662D2"/>
    <w:rsid w:val="00E6631F"/>
    <w:rsid w:val="00E663BE"/>
    <w:rsid w:val="00E663E4"/>
    <w:rsid w:val="00E663FE"/>
    <w:rsid w:val="00E665BD"/>
    <w:rsid w:val="00E665C2"/>
    <w:rsid w:val="00E665C4"/>
    <w:rsid w:val="00E665E5"/>
    <w:rsid w:val="00E66676"/>
    <w:rsid w:val="00E6667F"/>
    <w:rsid w:val="00E66698"/>
    <w:rsid w:val="00E66699"/>
    <w:rsid w:val="00E66761"/>
    <w:rsid w:val="00E66783"/>
    <w:rsid w:val="00E6679C"/>
    <w:rsid w:val="00E667BC"/>
    <w:rsid w:val="00E66801"/>
    <w:rsid w:val="00E668B8"/>
    <w:rsid w:val="00E668E0"/>
    <w:rsid w:val="00E668FC"/>
    <w:rsid w:val="00E66965"/>
    <w:rsid w:val="00E66998"/>
    <w:rsid w:val="00E669C5"/>
    <w:rsid w:val="00E66A9F"/>
    <w:rsid w:val="00E66B14"/>
    <w:rsid w:val="00E66B2D"/>
    <w:rsid w:val="00E66BBA"/>
    <w:rsid w:val="00E66BDD"/>
    <w:rsid w:val="00E66C6A"/>
    <w:rsid w:val="00E66C79"/>
    <w:rsid w:val="00E66CD2"/>
    <w:rsid w:val="00E66D38"/>
    <w:rsid w:val="00E66D95"/>
    <w:rsid w:val="00E66E28"/>
    <w:rsid w:val="00E66EB9"/>
    <w:rsid w:val="00E66EFC"/>
    <w:rsid w:val="00E66F3E"/>
    <w:rsid w:val="00E66F4B"/>
    <w:rsid w:val="00E66FB2"/>
    <w:rsid w:val="00E67010"/>
    <w:rsid w:val="00E67016"/>
    <w:rsid w:val="00E67078"/>
    <w:rsid w:val="00E6708A"/>
    <w:rsid w:val="00E6708C"/>
    <w:rsid w:val="00E670DA"/>
    <w:rsid w:val="00E670DB"/>
    <w:rsid w:val="00E671F0"/>
    <w:rsid w:val="00E671FA"/>
    <w:rsid w:val="00E67207"/>
    <w:rsid w:val="00E6725B"/>
    <w:rsid w:val="00E672B8"/>
    <w:rsid w:val="00E672D5"/>
    <w:rsid w:val="00E672DA"/>
    <w:rsid w:val="00E672DF"/>
    <w:rsid w:val="00E67322"/>
    <w:rsid w:val="00E673BD"/>
    <w:rsid w:val="00E673DD"/>
    <w:rsid w:val="00E67425"/>
    <w:rsid w:val="00E674B6"/>
    <w:rsid w:val="00E67606"/>
    <w:rsid w:val="00E6762C"/>
    <w:rsid w:val="00E67634"/>
    <w:rsid w:val="00E67640"/>
    <w:rsid w:val="00E6767B"/>
    <w:rsid w:val="00E676DB"/>
    <w:rsid w:val="00E677DA"/>
    <w:rsid w:val="00E677F3"/>
    <w:rsid w:val="00E678C4"/>
    <w:rsid w:val="00E678CB"/>
    <w:rsid w:val="00E678ED"/>
    <w:rsid w:val="00E67911"/>
    <w:rsid w:val="00E6799C"/>
    <w:rsid w:val="00E67A05"/>
    <w:rsid w:val="00E67A14"/>
    <w:rsid w:val="00E67A5A"/>
    <w:rsid w:val="00E67A96"/>
    <w:rsid w:val="00E67B04"/>
    <w:rsid w:val="00E67B61"/>
    <w:rsid w:val="00E67B7D"/>
    <w:rsid w:val="00E67B86"/>
    <w:rsid w:val="00E67C61"/>
    <w:rsid w:val="00E67CA0"/>
    <w:rsid w:val="00E67CB2"/>
    <w:rsid w:val="00E67CD3"/>
    <w:rsid w:val="00E67CFA"/>
    <w:rsid w:val="00E67D52"/>
    <w:rsid w:val="00E67D59"/>
    <w:rsid w:val="00E67D5E"/>
    <w:rsid w:val="00E67E23"/>
    <w:rsid w:val="00E67E95"/>
    <w:rsid w:val="00E67EC0"/>
    <w:rsid w:val="00E67F33"/>
    <w:rsid w:val="00E67FD4"/>
    <w:rsid w:val="00E7005B"/>
    <w:rsid w:val="00E70094"/>
    <w:rsid w:val="00E70107"/>
    <w:rsid w:val="00E7011F"/>
    <w:rsid w:val="00E701C4"/>
    <w:rsid w:val="00E70217"/>
    <w:rsid w:val="00E70233"/>
    <w:rsid w:val="00E7025B"/>
    <w:rsid w:val="00E7028C"/>
    <w:rsid w:val="00E7033F"/>
    <w:rsid w:val="00E7034A"/>
    <w:rsid w:val="00E7034C"/>
    <w:rsid w:val="00E703AC"/>
    <w:rsid w:val="00E703BC"/>
    <w:rsid w:val="00E70402"/>
    <w:rsid w:val="00E7041C"/>
    <w:rsid w:val="00E70447"/>
    <w:rsid w:val="00E7047E"/>
    <w:rsid w:val="00E70577"/>
    <w:rsid w:val="00E7059B"/>
    <w:rsid w:val="00E70612"/>
    <w:rsid w:val="00E7067A"/>
    <w:rsid w:val="00E706A3"/>
    <w:rsid w:val="00E706EB"/>
    <w:rsid w:val="00E70721"/>
    <w:rsid w:val="00E7073E"/>
    <w:rsid w:val="00E7076B"/>
    <w:rsid w:val="00E7081D"/>
    <w:rsid w:val="00E7084B"/>
    <w:rsid w:val="00E70855"/>
    <w:rsid w:val="00E7085A"/>
    <w:rsid w:val="00E70877"/>
    <w:rsid w:val="00E708E1"/>
    <w:rsid w:val="00E708E2"/>
    <w:rsid w:val="00E7095F"/>
    <w:rsid w:val="00E70983"/>
    <w:rsid w:val="00E709AD"/>
    <w:rsid w:val="00E70A82"/>
    <w:rsid w:val="00E70A84"/>
    <w:rsid w:val="00E70B33"/>
    <w:rsid w:val="00E70B65"/>
    <w:rsid w:val="00E70B83"/>
    <w:rsid w:val="00E70B94"/>
    <w:rsid w:val="00E70B9B"/>
    <w:rsid w:val="00E70B9E"/>
    <w:rsid w:val="00E70BA6"/>
    <w:rsid w:val="00E70BCF"/>
    <w:rsid w:val="00E70BE6"/>
    <w:rsid w:val="00E70C50"/>
    <w:rsid w:val="00E70C71"/>
    <w:rsid w:val="00E70CC6"/>
    <w:rsid w:val="00E70D47"/>
    <w:rsid w:val="00E70D4B"/>
    <w:rsid w:val="00E70D5B"/>
    <w:rsid w:val="00E70D86"/>
    <w:rsid w:val="00E70D91"/>
    <w:rsid w:val="00E70E5E"/>
    <w:rsid w:val="00E70ED8"/>
    <w:rsid w:val="00E70F16"/>
    <w:rsid w:val="00E70F34"/>
    <w:rsid w:val="00E70F45"/>
    <w:rsid w:val="00E70F4E"/>
    <w:rsid w:val="00E70FCA"/>
    <w:rsid w:val="00E71019"/>
    <w:rsid w:val="00E7103C"/>
    <w:rsid w:val="00E71046"/>
    <w:rsid w:val="00E710A8"/>
    <w:rsid w:val="00E710EC"/>
    <w:rsid w:val="00E710ED"/>
    <w:rsid w:val="00E71104"/>
    <w:rsid w:val="00E7116A"/>
    <w:rsid w:val="00E7119E"/>
    <w:rsid w:val="00E711C9"/>
    <w:rsid w:val="00E711E2"/>
    <w:rsid w:val="00E71201"/>
    <w:rsid w:val="00E7123F"/>
    <w:rsid w:val="00E712A5"/>
    <w:rsid w:val="00E712F4"/>
    <w:rsid w:val="00E71329"/>
    <w:rsid w:val="00E7133E"/>
    <w:rsid w:val="00E7136B"/>
    <w:rsid w:val="00E7136F"/>
    <w:rsid w:val="00E7138D"/>
    <w:rsid w:val="00E713C3"/>
    <w:rsid w:val="00E713EE"/>
    <w:rsid w:val="00E713EF"/>
    <w:rsid w:val="00E71433"/>
    <w:rsid w:val="00E71437"/>
    <w:rsid w:val="00E714BC"/>
    <w:rsid w:val="00E714D4"/>
    <w:rsid w:val="00E7150A"/>
    <w:rsid w:val="00E7153C"/>
    <w:rsid w:val="00E71599"/>
    <w:rsid w:val="00E715B7"/>
    <w:rsid w:val="00E715BC"/>
    <w:rsid w:val="00E71621"/>
    <w:rsid w:val="00E71632"/>
    <w:rsid w:val="00E71689"/>
    <w:rsid w:val="00E716CE"/>
    <w:rsid w:val="00E716E7"/>
    <w:rsid w:val="00E71703"/>
    <w:rsid w:val="00E71719"/>
    <w:rsid w:val="00E7172B"/>
    <w:rsid w:val="00E71805"/>
    <w:rsid w:val="00E71942"/>
    <w:rsid w:val="00E71943"/>
    <w:rsid w:val="00E71944"/>
    <w:rsid w:val="00E71979"/>
    <w:rsid w:val="00E71987"/>
    <w:rsid w:val="00E71A03"/>
    <w:rsid w:val="00E71A10"/>
    <w:rsid w:val="00E71A1A"/>
    <w:rsid w:val="00E71A33"/>
    <w:rsid w:val="00E71A8A"/>
    <w:rsid w:val="00E71A99"/>
    <w:rsid w:val="00E71ADA"/>
    <w:rsid w:val="00E71B94"/>
    <w:rsid w:val="00E71BC2"/>
    <w:rsid w:val="00E71BD6"/>
    <w:rsid w:val="00E71C33"/>
    <w:rsid w:val="00E71C48"/>
    <w:rsid w:val="00E71C7B"/>
    <w:rsid w:val="00E71C8A"/>
    <w:rsid w:val="00E71CAA"/>
    <w:rsid w:val="00E71CC9"/>
    <w:rsid w:val="00E71D03"/>
    <w:rsid w:val="00E71D90"/>
    <w:rsid w:val="00E71D9E"/>
    <w:rsid w:val="00E71DAD"/>
    <w:rsid w:val="00E71DF9"/>
    <w:rsid w:val="00E71E1B"/>
    <w:rsid w:val="00E71E78"/>
    <w:rsid w:val="00E71E82"/>
    <w:rsid w:val="00E71EA6"/>
    <w:rsid w:val="00E71EE1"/>
    <w:rsid w:val="00E71F2A"/>
    <w:rsid w:val="00E71F57"/>
    <w:rsid w:val="00E71F69"/>
    <w:rsid w:val="00E71F6A"/>
    <w:rsid w:val="00E71F7A"/>
    <w:rsid w:val="00E71FD7"/>
    <w:rsid w:val="00E71FF9"/>
    <w:rsid w:val="00E71FFA"/>
    <w:rsid w:val="00E72014"/>
    <w:rsid w:val="00E72060"/>
    <w:rsid w:val="00E72078"/>
    <w:rsid w:val="00E720B7"/>
    <w:rsid w:val="00E720C9"/>
    <w:rsid w:val="00E720D0"/>
    <w:rsid w:val="00E72115"/>
    <w:rsid w:val="00E7211B"/>
    <w:rsid w:val="00E72166"/>
    <w:rsid w:val="00E72173"/>
    <w:rsid w:val="00E721A8"/>
    <w:rsid w:val="00E721DB"/>
    <w:rsid w:val="00E7227F"/>
    <w:rsid w:val="00E722E2"/>
    <w:rsid w:val="00E72342"/>
    <w:rsid w:val="00E72359"/>
    <w:rsid w:val="00E72375"/>
    <w:rsid w:val="00E7248C"/>
    <w:rsid w:val="00E724AB"/>
    <w:rsid w:val="00E72555"/>
    <w:rsid w:val="00E725F2"/>
    <w:rsid w:val="00E7263E"/>
    <w:rsid w:val="00E726CF"/>
    <w:rsid w:val="00E726DD"/>
    <w:rsid w:val="00E72716"/>
    <w:rsid w:val="00E72771"/>
    <w:rsid w:val="00E727BA"/>
    <w:rsid w:val="00E727BB"/>
    <w:rsid w:val="00E727BC"/>
    <w:rsid w:val="00E72857"/>
    <w:rsid w:val="00E7289E"/>
    <w:rsid w:val="00E7291F"/>
    <w:rsid w:val="00E72938"/>
    <w:rsid w:val="00E7293D"/>
    <w:rsid w:val="00E729B3"/>
    <w:rsid w:val="00E72A3D"/>
    <w:rsid w:val="00E72A5E"/>
    <w:rsid w:val="00E72AA1"/>
    <w:rsid w:val="00E72AEF"/>
    <w:rsid w:val="00E72B15"/>
    <w:rsid w:val="00E72B79"/>
    <w:rsid w:val="00E72B7C"/>
    <w:rsid w:val="00E72B8B"/>
    <w:rsid w:val="00E72B94"/>
    <w:rsid w:val="00E72B9D"/>
    <w:rsid w:val="00E72BAF"/>
    <w:rsid w:val="00E72C2A"/>
    <w:rsid w:val="00E72C3A"/>
    <w:rsid w:val="00E72C44"/>
    <w:rsid w:val="00E72C46"/>
    <w:rsid w:val="00E72C65"/>
    <w:rsid w:val="00E72CF2"/>
    <w:rsid w:val="00E72D0E"/>
    <w:rsid w:val="00E72D40"/>
    <w:rsid w:val="00E72D49"/>
    <w:rsid w:val="00E72E39"/>
    <w:rsid w:val="00E72EA1"/>
    <w:rsid w:val="00E72EA7"/>
    <w:rsid w:val="00E72EAE"/>
    <w:rsid w:val="00E72ED2"/>
    <w:rsid w:val="00E72EF0"/>
    <w:rsid w:val="00E72F2A"/>
    <w:rsid w:val="00E72F4D"/>
    <w:rsid w:val="00E72F5B"/>
    <w:rsid w:val="00E72FE1"/>
    <w:rsid w:val="00E73088"/>
    <w:rsid w:val="00E730D2"/>
    <w:rsid w:val="00E730F7"/>
    <w:rsid w:val="00E730FA"/>
    <w:rsid w:val="00E73192"/>
    <w:rsid w:val="00E731E8"/>
    <w:rsid w:val="00E731ED"/>
    <w:rsid w:val="00E73249"/>
    <w:rsid w:val="00E7325A"/>
    <w:rsid w:val="00E7328C"/>
    <w:rsid w:val="00E732D9"/>
    <w:rsid w:val="00E73344"/>
    <w:rsid w:val="00E73355"/>
    <w:rsid w:val="00E7336D"/>
    <w:rsid w:val="00E7337A"/>
    <w:rsid w:val="00E73391"/>
    <w:rsid w:val="00E733E5"/>
    <w:rsid w:val="00E733EC"/>
    <w:rsid w:val="00E73481"/>
    <w:rsid w:val="00E734E6"/>
    <w:rsid w:val="00E734F2"/>
    <w:rsid w:val="00E73514"/>
    <w:rsid w:val="00E73538"/>
    <w:rsid w:val="00E73599"/>
    <w:rsid w:val="00E735CF"/>
    <w:rsid w:val="00E735F9"/>
    <w:rsid w:val="00E73641"/>
    <w:rsid w:val="00E73670"/>
    <w:rsid w:val="00E73752"/>
    <w:rsid w:val="00E73755"/>
    <w:rsid w:val="00E7378E"/>
    <w:rsid w:val="00E737A4"/>
    <w:rsid w:val="00E737F4"/>
    <w:rsid w:val="00E73808"/>
    <w:rsid w:val="00E7380F"/>
    <w:rsid w:val="00E7383D"/>
    <w:rsid w:val="00E7388D"/>
    <w:rsid w:val="00E738CE"/>
    <w:rsid w:val="00E738DB"/>
    <w:rsid w:val="00E738F3"/>
    <w:rsid w:val="00E73990"/>
    <w:rsid w:val="00E73994"/>
    <w:rsid w:val="00E73996"/>
    <w:rsid w:val="00E739E3"/>
    <w:rsid w:val="00E73A5E"/>
    <w:rsid w:val="00E73A76"/>
    <w:rsid w:val="00E73A87"/>
    <w:rsid w:val="00E73ACC"/>
    <w:rsid w:val="00E73AE3"/>
    <w:rsid w:val="00E73B16"/>
    <w:rsid w:val="00E73B5D"/>
    <w:rsid w:val="00E73BC4"/>
    <w:rsid w:val="00E73BD1"/>
    <w:rsid w:val="00E73BEB"/>
    <w:rsid w:val="00E73BF4"/>
    <w:rsid w:val="00E73C06"/>
    <w:rsid w:val="00E73C13"/>
    <w:rsid w:val="00E73C30"/>
    <w:rsid w:val="00E73DBB"/>
    <w:rsid w:val="00E73E08"/>
    <w:rsid w:val="00E73E13"/>
    <w:rsid w:val="00E73E5F"/>
    <w:rsid w:val="00E73EA2"/>
    <w:rsid w:val="00E73EB4"/>
    <w:rsid w:val="00E73EE0"/>
    <w:rsid w:val="00E73F08"/>
    <w:rsid w:val="00E73F2E"/>
    <w:rsid w:val="00E73F9D"/>
    <w:rsid w:val="00E73F9E"/>
    <w:rsid w:val="00E73FFD"/>
    <w:rsid w:val="00E7409E"/>
    <w:rsid w:val="00E740A0"/>
    <w:rsid w:val="00E740F0"/>
    <w:rsid w:val="00E7417E"/>
    <w:rsid w:val="00E74185"/>
    <w:rsid w:val="00E741CF"/>
    <w:rsid w:val="00E741D6"/>
    <w:rsid w:val="00E741D7"/>
    <w:rsid w:val="00E74223"/>
    <w:rsid w:val="00E742A8"/>
    <w:rsid w:val="00E742C5"/>
    <w:rsid w:val="00E74315"/>
    <w:rsid w:val="00E74327"/>
    <w:rsid w:val="00E7435A"/>
    <w:rsid w:val="00E74379"/>
    <w:rsid w:val="00E743C2"/>
    <w:rsid w:val="00E743C3"/>
    <w:rsid w:val="00E743C7"/>
    <w:rsid w:val="00E74487"/>
    <w:rsid w:val="00E744A6"/>
    <w:rsid w:val="00E744B9"/>
    <w:rsid w:val="00E744C1"/>
    <w:rsid w:val="00E744F1"/>
    <w:rsid w:val="00E7457D"/>
    <w:rsid w:val="00E7462C"/>
    <w:rsid w:val="00E74688"/>
    <w:rsid w:val="00E746BA"/>
    <w:rsid w:val="00E74724"/>
    <w:rsid w:val="00E74803"/>
    <w:rsid w:val="00E7482F"/>
    <w:rsid w:val="00E74842"/>
    <w:rsid w:val="00E74858"/>
    <w:rsid w:val="00E748B0"/>
    <w:rsid w:val="00E748D2"/>
    <w:rsid w:val="00E748DA"/>
    <w:rsid w:val="00E7494F"/>
    <w:rsid w:val="00E74A26"/>
    <w:rsid w:val="00E74A31"/>
    <w:rsid w:val="00E74A4D"/>
    <w:rsid w:val="00E74A77"/>
    <w:rsid w:val="00E74ACF"/>
    <w:rsid w:val="00E74B3A"/>
    <w:rsid w:val="00E74B4C"/>
    <w:rsid w:val="00E74B66"/>
    <w:rsid w:val="00E74B6C"/>
    <w:rsid w:val="00E74B80"/>
    <w:rsid w:val="00E74BA4"/>
    <w:rsid w:val="00E74C22"/>
    <w:rsid w:val="00E74C2B"/>
    <w:rsid w:val="00E74C2E"/>
    <w:rsid w:val="00E74C63"/>
    <w:rsid w:val="00E74CDB"/>
    <w:rsid w:val="00E74D13"/>
    <w:rsid w:val="00E74D32"/>
    <w:rsid w:val="00E74D45"/>
    <w:rsid w:val="00E74D69"/>
    <w:rsid w:val="00E74DA5"/>
    <w:rsid w:val="00E74DA9"/>
    <w:rsid w:val="00E74DDF"/>
    <w:rsid w:val="00E74E0B"/>
    <w:rsid w:val="00E74E10"/>
    <w:rsid w:val="00E74E7A"/>
    <w:rsid w:val="00E74E9B"/>
    <w:rsid w:val="00E74ED3"/>
    <w:rsid w:val="00E74EF2"/>
    <w:rsid w:val="00E74F00"/>
    <w:rsid w:val="00E74FA0"/>
    <w:rsid w:val="00E74FBD"/>
    <w:rsid w:val="00E74FFE"/>
    <w:rsid w:val="00E7501C"/>
    <w:rsid w:val="00E75025"/>
    <w:rsid w:val="00E75055"/>
    <w:rsid w:val="00E750FC"/>
    <w:rsid w:val="00E75154"/>
    <w:rsid w:val="00E75156"/>
    <w:rsid w:val="00E75187"/>
    <w:rsid w:val="00E751A3"/>
    <w:rsid w:val="00E75221"/>
    <w:rsid w:val="00E7532C"/>
    <w:rsid w:val="00E7533C"/>
    <w:rsid w:val="00E75393"/>
    <w:rsid w:val="00E753C1"/>
    <w:rsid w:val="00E753C3"/>
    <w:rsid w:val="00E753C5"/>
    <w:rsid w:val="00E7541F"/>
    <w:rsid w:val="00E7543D"/>
    <w:rsid w:val="00E7546D"/>
    <w:rsid w:val="00E7548E"/>
    <w:rsid w:val="00E75537"/>
    <w:rsid w:val="00E75576"/>
    <w:rsid w:val="00E75598"/>
    <w:rsid w:val="00E755EC"/>
    <w:rsid w:val="00E7561D"/>
    <w:rsid w:val="00E7563C"/>
    <w:rsid w:val="00E75666"/>
    <w:rsid w:val="00E75694"/>
    <w:rsid w:val="00E756A1"/>
    <w:rsid w:val="00E756AE"/>
    <w:rsid w:val="00E756D2"/>
    <w:rsid w:val="00E756FE"/>
    <w:rsid w:val="00E7574A"/>
    <w:rsid w:val="00E75762"/>
    <w:rsid w:val="00E757B1"/>
    <w:rsid w:val="00E7580E"/>
    <w:rsid w:val="00E7582F"/>
    <w:rsid w:val="00E7584B"/>
    <w:rsid w:val="00E7588B"/>
    <w:rsid w:val="00E758A0"/>
    <w:rsid w:val="00E758A9"/>
    <w:rsid w:val="00E75945"/>
    <w:rsid w:val="00E75955"/>
    <w:rsid w:val="00E75972"/>
    <w:rsid w:val="00E7597E"/>
    <w:rsid w:val="00E75999"/>
    <w:rsid w:val="00E759BE"/>
    <w:rsid w:val="00E75A6D"/>
    <w:rsid w:val="00E75AB4"/>
    <w:rsid w:val="00E75B15"/>
    <w:rsid w:val="00E75B2E"/>
    <w:rsid w:val="00E75B32"/>
    <w:rsid w:val="00E75B8F"/>
    <w:rsid w:val="00E75BA9"/>
    <w:rsid w:val="00E75C09"/>
    <w:rsid w:val="00E75C2B"/>
    <w:rsid w:val="00E75C45"/>
    <w:rsid w:val="00E75C9A"/>
    <w:rsid w:val="00E75CBC"/>
    <w:rsid w:val="00E75D16"/>
    <w:rsid w:val="00E75D23"/>
    <w:rsid w:val="00E75D6E"/>
    <w:rsid w:val="00E75E2F"/>
    <w:rsid w:val="00E75E4D"/>
    <w:rsid w:val="00E75E54"/>
    <w:rsid w:val="00E75E9A"/>
    <w:rsid w:val="00E75EB0"/>
    <w:rsid w:val="00E75ECE"/>
    <w:rsid w:val="00E75EEA"/>
    <w:rsid w:val="00E75EEB"/>
    <w:rsid w:val="00E75F2B"/>
    <w:rsid w:val="00E75FC2"/>
    <w:rsid w:val="00E76045"/>
    <w:rsid w:val="00E76108"/>
    <w:rsid w:val="00E76130"/>
    <w:rsid w:val="00E76146"/>
    <w:rsid w:val="00E7616B"/>
    <w:rsid w:val="00E7617B"/>
    <w:rsid w:val="00E76184"/>
    <w:rsid w:val="00E761F5"/>
    <w:rsid w:val="00E762AC"/>
    <w:rsid w:val="00E762E2"/>
    <w:rsid w:val="00E7631E"/>
    <w:rsid w:val="00E76328"/>
    <w:rsid w:val="00E76347"/>
    <w:rsid w:val="00E763C2"/>
    <w:rsid w:val="00E76450"/>
    <w:rsid w:val="00E76508"/>
    <w:rsid w:val="00E7651B"/>
    <w:rsid w:val="00E7653C"/>
    <w:rsid w:val="00E76568"/>
    <w:rsid w:val="00E7657A"/>
    <w:rsid w:val="00E765BC"/>
    <w:rsid w:val="00E765C5"/>
    <w:rsid w:val="00E765CE"/>
    <w:rsid w:val="00E76603"/>
    <w:rsid w:val="00E76695"/>
    <w:rsid w:val="00E766D5"/>
    <w:rsid w:val="00E76716"/>
    <w:rsid w:val="00E76743"/>
    <w:rsid w:val="00E76745"/>
    <w:rsid w:val="00E7677B"/>
    <w:rsid w:val="00E7677C"/>
    <w:rsid w:val="00E767A3"/>
    <w:rsid w:val="00E767AB"/>
    <w:rsid w:val="00E767D3"/>
    <w:rsid w:val="00E767E9"/>
    <w:rsid w:val="00E767F1"/>
    <w:rsid w:val="00E7681B"/>
    <w:rsid w:val="00E76830"/>
    <w:rsid w:val="00E76842"/>
    <w:rsid w:val="00E7686F"/>
    <w:rsid w:val="00E76879"/>
    <w:rsid w:val="00E768E3"/>
    <w:rsid w:val="00E76930"/>
    <w:rsid w:val="00E76941"/>
    <w:rsid w:val="00E76986"/>
    <w:rsid w:val="00E76AD3"/>
    <w:rsid w:val="00E76B29"/>
    <w:rsid w:val="00E76B9B"/>
    <w:rsid w:val="00E76BD0"/>
    <w:rsid w:val="00E76C60"/>
    <w:rsid w:val="00E76C72"/>
    <w:rsid w:val="00E76C86"/>
    <w:rsid w:val="00E76C97"/>
    <w:rsid w:val="00E76CB4"/>
    <w:rsid w:val="00E76D01"/>
    <w:rsid w:val="00E76D6E"/>
    <w:rsid w:val="00E76D99"/>
    <w:rsid w:val="00E76DA7"/>
    <w:rsid w:val="00E76DAB"/>
    <w:rsid w:val="00E76DD3"/>
    <w:rsid w:val="00E76DDD"/>
    <w:rsid w:val="00E76E32"/>
    <w:rsid w:val="00E76EB1"/>
    <w:rsid w:val="00E76ED1"/>
    <w:rsid w:val="00E76EE2"/>
    <w:rsid w:val="00E76F11"/>
    <w:rsid w:val="00E76F92"/>
    <w:rsid w:val="00E76FDD"/>
    <w:rsid w:val="00E76FFE"/>
    <w:rsid w:val="00E770D0"/>
    <w:rsid w:val="00E770E1"/>
    <w:rsid w:val="00E77152"/>
    <w:rsid w:val="00E77173"/>
    <w:rsid w:val="00E7718A"/>
    <w:rsid w:val="00E7718B"/>
    <w:rsid w:val="00E7721C"/>
    <w:rsid w:val="00E7725F"/>
    <w:rsid w:val="00E77265"/>
    <w:rsid w:val="00E77282"/>
    <w:rsid w:val="00E77287"/>
    <w:rsid w:val="00E772A4"/>
    <w:rsid w:val="00E772B1"/>
    <w:rsid w:val="00E7735F"/>
    <w:rsid w:val="00E77388"/>
    <w:rsid w:val="00E7738D"/>
    <w:rsid w:val="00E773A2"/>
    <w:rsid w:val="00E77467"/>
    <w:rsid w:val="00E7746F"/>
    <w:rsid w:val="00E774A6"/>
    <w:rsid w:val="00E774E6"/>
    <w:rsid w:val="00E77506"/>
    <w:rsid w:val="00E7750C"/>
    <w:rsid w:val="00E77579"/>
    <w:rsid w:val="00E77598"/>
    <w:rsid w:val="00E775A6"/>
    <w:rsid w:val="00E775A7"/>
    <w:rsid w:val="00E77668"/>
    <w:rsid w:val="00E77680"/>
    <w:rsid w:val="00E776C2"/>
    <w:rsid w:val="00E776FE"/>
    <w:rsid w:val="00E7775B"/>
    <w:rsid w:val="00E777AA"/>
    <w:rsid w:val="00E777B4"/>
    <w:rsid w:val="00E777CC"/>
    <w:rsid w:val="00E777E7"/>
    <w:rsid w:val="00E77809"/>
    <w:rsid w:val="00E77825"/>
    <w:rsid w:val="00E77963"/>
    <w:rsid w:val="00E77992"/>
    <w:rsid w:val="00E779D7"/>
    <w:rsid w:val="00E779E1"/>
    <w:rsid w:val="00E77A18"/>
    <w:rsid w:val="00E77B0D"/>
    <w:rsid w:val="00E77B55"/>
    <w:rsid w:val="00E77B6A"/>
    <w:rsid w:val="00E77B85"/>
    <w:rsid w:val="00E77BA0"/>
    <w:rsid w:val="00E77BA2"/>
    <w:rsid w:val="00E77C31"/>
    <w:rsid w:val="00E77C43"/>
    <w:rsid w:val="00E77D31"/>
    <w:rsid w:val="00E77D34"/>
    <w:rsid w:val="00E77D3A"/>
    <w:rsid w:val="00E77D97"/>
    <w:rsid w:val="00E77DBB"/>
    <w:rsid w:val="00E77DD0"/>
    <w:rsid w:val="00E77E8E"/>
    <w:rsid w:val="00E77E92"/>
    <w:rsid w:val="00E77ED8"/>
    <w:rsid w:val="00E77F25"/>
    <w:rsid w:val="00E77FBC"/>
    <w:rsid w:val="00E80072"/>
    <w:rsid w:val="00E800C1"/>
    <w:rsid w:val="00E800F7"/>
    <w:rsid w:val="00E80173"/>
    <w:rsid w:val="00E80184"/>
    <w:rsid w:val="00E801A6"/>
    <w:rsid w:val="00E801B6"/>
    <w:rsid w:val="00E801C0"/>
    <w:rsid w:val="00E80255"/>
    <w:rsid w:val="00E80263"/>
    <w:rsid w:val="00E802DC"/>
    <w:rsid w:val="00E80320"/>
    <w:rsid w:val="00E80328"/>
    <w:rsid w:val="00E8032D"/>
    <w:rsid w:val="00E8036D"/>
    <w:rsid w:val="00E80373"/>
    <w:rsid w:val="00E80410"/>
    <w:rsid w:val="00E80472"/>
    <w:rsid w:val="00E804A7"/>
    <w:rsid w:val="00E804BC"/>
    <w:rsid w:val="00E804D2"/>
    <w:rsid w:val="00E805CB"/>
    <w:rsid w:val="00E805EA"/>
    <w:rsid w:val="00E80634"/>
    <w:rsid w:val="00E8064E"/>
    <w:rsid w:val="00E80652"/>
    <w:rsid w:val="00E8065B"/>
    <w:rsid w:val="00E8069F"/>
    <w:rsid w:val="00E806C7"/>
    <w:rsid w:val="00E806F0"/>
    <w:rsid w:val="00E8071C"/>
    <w:rsid w:val="00E80767"/>
    <w:rsid w:val="00E80792"/>
    <w:rsid w:val="00E807BC"/>
    <w:rsid w:val="00E807F6"/>
    <w:rsid w:val="00E8084A"/>
    <w:rsid w:val="00E80927"/>
    <w:rsid w:val="00E8092D"/>
    <w:rsid w:val="00E809B6"/>
    <w:rsid w:val="00E80A4D"/>
    <w:rsid w:val="00E80A77"/>
    <w:rsid w:val="00E80AC0"/>
    <w:rsid w:val="00E80B0A"/>
    <w:rsid w:val="00E80B63"/>
    <w:rsid w:val="00E80C00"/>
    <w:rsid w:val="00E80C9B"/>
    <w:rsid w:val="00E80CB2"/>
    <w:rsid w:val="00E80CE5"/>
    <w:rsid w:val="00E80D0E"/>
    <w:rsid w:val="00E80D39"/>
    <w:rsid w:val="00E80D79"/>
    <w:rsid w:val="00E80DEF"/>
    <w:rsid w:val="00E80DF2"/>
    <w:rsid w:val="00E80E10"/>
    <w:rsid w:val="00E80E85"/>
    <w:rsid w:val="00E80EA8"/>
    <w:rsid w:val="00E80EE1"/>
    <w:rsid w:val="00E80F18"/>
    <w:rsid w:val="00E80FAB"/>
    <w:rsid w:val="00E80FC6"/>
    <w:rsid w:val="00E80FD9"/>
    <w:rsid w:val="00E8102C"/>
    <w:rsid w:val="00E8106C"/>
    <w:rsid w:val="00E810B0"/>
    <w:rsid w:val="00E810FD"/>
    <w:rsid w:val="00E8116B"/>
    <w:rsid w:val="00E81189"/>
    <w:rsid w:val="00E811B0"/>
    <w:rsid w:val="00E811BF"/>
    <w:rsid w:val="00E811DF"/>
    <w:rsid w:val="00E811E0"/>
    <w:rsid w:val="00E81240"/>
    <w:rsid w:val="00E812A9"/>
    <w:rsid w:val="00E812AE"/>
    <w:rsid w:val="00E812C8"/>
    <w:rsid w:val="00E81343"/>
    <w:rsid w:val="00E8134A"/>
    <w:rsid w:val="00E81383"/>
    <w:rsid w:val="00E813D8"/>
    <w:rsid w:val="00E813EC"/>
    <w:rsid w:val="00E8142C"/>
    <w:rsid w:val="00E81481"/>
    <w:rsid w:val="00E81487"/>
    <w:rsid w:val="00E8149D"/>
    <w:rsid w:val="00E81552"/>
    <w:rsid w:val="00E81576"/>
    <w:rsid w:val="00E81588"/>
    <w:rsid w:val="00E815A6"/>
    <w:rsid w:val="00E815B8"/>
    <w:rsid w:val="00E815CE"/>
    <w:rsid w:val="00E81613"/>
    <w:rsid w:val="00E8165A"/>
    <w:rsid w:val="00E81677"/>
    <w:rsid w:val="00E816D9"/>
    <w:rsid w:val="00E816DD"/>
    <w:rsid w:val="00E81705"/>
    <w:rsid w:val="00E81718"/>
    <w:rsid w:val="00E81731"/>
    <w:rsid w:val="00E81761"/>
    <w:rsid w:val="00E81796"/>
    <w:rsid w:val="00E81800"/>
    <w:rsid w:val="00E8189B"/>
    <w:rsid w:val="00E818D0"/>
    <w:rsid w:val="00E81951"/>
    <w:rsid w:val="00E819DA"/>
    <w:rsid w:val="00E819F2"/>
    <w:rsid w:val="00E81A01"/>
    <w:rsid w:val="00E81A09"/>
    <w:rsid w:val="00E81A96"/>
    <w:rsid w:val="00E81AD6"/>
    <w:rsid w:val="00E81AF7"/>
    <w:rsid w:val="00E81B04"/>
    <w:rsid w:val="00E81B1F"/>
    <w:rsid w:val="00E81B27"/>
    <w:rsid w:val="00E81B64"/>
    <w:rsid w:val="00E81B7C"/>
    <w:rsid w:val="00E81B7D"/>
    <w:rsid w:val="00E81BAD"/>
    <w:rsid w:val="00E81C20"/>
    <w:rsid w:val="00E81C2C"/>
    <w:rsid w:val="00E81CBD"/>
    <w:rsid w:val="00E81D0D"/>
    <w:rsid w:val="00E81D1F"/>
    <w:rsid w:val="00E81D44"/>
    <w:rsid w:val="00E81D91"/>
    <w:rsid w:val="00E81DA0"/>
    <w:rsid w:val="00E81DCA"/>
    <w:rsid w:val="00E81DF7"/>
    <w:rsid w:val="00E81E1C"/>
    <w:rsid w:val="00E81E78"/>
    <w:rsid w:val="00E81ED2"/>
    <w:rsid w:val="00E81EDD"/>
    <w:rsid w:val="00E81EF9"/>
    <w:rsid w:val="00E81F73"/>
    <w:rsid w:val="00E81F93"/>
    <w:rsid w:val="00E81FB8"/>
    <w:rsid w:val="00E81FC3"/>
    <w:rsid w:val="00E81FDF"/>
    <w:rsid w:val="00E81FED"/>
    <w:rsid w:val="00E82006"/>
    <w:rsid w:val="00E8205D"/>
    <w:rsid w:val="00E82085"/>
    <w:rsid w:val="00E820F8"/>
    <w:rsid w:val="00E82155"/>
    <w:rsid w:val="00E82167"/>
    <w:rsid w:val="00E82172"/>
    <w:rsid w:val="00E8219E"/>
    <w:rsid w:val="00E821C5"/>
    <w:rsid w:val="00E821EA"/>
    <w:rsid w:val="00E821EF"/>
    <w:rsid w:val="00E82218"/>
    <w:rsid w:val="00E82264"/>
    <w:rsid w:val="00E822A4"/>
    <w:rsid w:val="00E822A6"/>
    <w:rsid w:val="00E822C5"/>
    <w:rsid w:val="00E822D1"/>
    <w:rsid w:val="00E82307"/>
    <w:rsid w:val="00E8231B"/>
    <w:rsid w:val="00E82324"/>
    <w:rsid w:val="00E8237B"/>
    <w:rsid w:val="00E82382"/>
    <w:rsid w:val="00E82391"/>
    <w:rsid w:val="00E823FB"/>
    <w:rsid w:val="00E8241E"/>
    <w:rsid w:val="00E824DC"/>
    <w:rsid w:val="00E82522"/>
    <w:rsid w:val="00E8253A"/>
    <w:rsid w:val="00E82674"/>
    <w:rsid w:val="00E82705"/>
    <w:rsid w:val="00E82725"/>
    <w:rsid w:val="00E82769"/>
    <w:rsid w:val="00E8276A"/>
    <w:rsid w:val="00E82790"/>
    <w:rsid w:val="00E827A4"/>
    <w:rsid w:val="00E827B5"/>
    <w:rsid w:val="00E827D9"/>
    <w:rsid w:val="00E827FC"/>
    <w:rsid w:val="00E82857"/>
    <w:rsid w:val="00E828A4"/>
    <w:rsid w:val="00E828A8"/>
    <w:rsid w:val="00E828C1"/>
    <w:rsid w:val="00E828DE"/>
    <w:rsid w:val="00E828F6"/>
    <w:rsid w:val="00E82918"/>
    <w:rsid w:val="00E8294B"/>
    <w:rsid w:val="00E82993"/>
    <w:rsid w:val="00E829AE"/>
    <w:rsid w:val="00E829B1"/>
    <w:rsid w:val="00E82A1F"/>
    <w:rsid w:val="00E82A5B"/>
    <w:rsid w:val="00E82A87"/>
    <w:rsid w:val="00E82AAF"/>
    <w:rsid w:val="00E82AB0"/>
    <w:rsid w:val="00E82B33"/>
    <w:rsid w:val="00E82B3E"/>
    <w:rsid w:val="00E82BD1"/>
    <w:rsid w:val="00E82BD3"/>
    <w:rsid w:val="00E82BF3"/>
    <w:rsid w:val="00E82C26"/>
    <w:rsid w:val="00E82C2C"/>
    <w:rsid w:val="00E82C45"/>
    <w:rsid w:val="00E82C65"/>
    <w:rsid w:val="00E82CA1"/>
    <w:rsid w:val="00E82CB6"/>
    <w:rsid w:val="00E82CB7"/>
    <w:rsid w:val="00E82CE8"/>
    <w:rsid w:val="00E82D80"/>
    <w:rsid w:val="00E82D8D"/>
    <w:rsid w:val="00E82E17"/>
    <w:rsid w:val="00E82E22"/>
    <w:rsid w:val="00E82E23"/>
    <w:rsid w:val="00E82E68"/>
    <w:rsid w:val="00E82E95"/>
    <w:rsid w:val="00E82E9E"/>
    <w:rsid w:val="00E82EB1"/>
    <w:rsid w:val="00E82EBA"/>
    <w:rsid w:val="00E82EC9"/>
    <w:rsid w:val="00E82F17"/>
    <w:rsid w:val="00E82F3C"/>
    <w:rsid w:val="00E82FC5"/>
    <w:rsid w:val="00E82FEC"/>
    <w:rsid w:val="00E83006"/>
    <w:rsid w:val="00E83039"/>
    <w:rsid w:val="00E8304F"/>
    <w:rsid w:val="00E830AC"/>
    <w:rsid w:val="00E83144"/>
    <w:rsid w:val="00E8314A"/>
    <w:rsid w:val="00E83160"/>
    <w:rsid w:val="00E83171"/>
    <w:rsid w:val="00E831A8"/>
    <w:rsid w:val="00E8321E"/>
    <w:rsid w:val="00E83243"/>
    <w:rsid w:val="00E83269"/>
    <w:rsid w:val="00E832AB"/>
    <w:rsid w:val="00E83359"/>
    <w:rsid w:val="00E8337D"/>
    <w:rsid w:val="00E833B0"/>
    <w:rsid w:val="00E833E5"/>
    <w:rsid w:val="00E833FA"/>
    <w:rsid w:val="00E83409"/>
    <w:rsid w:val="00E8340D"/>
    <w:rsid w:val="00E83427"/>
    <w:rsid w:val="00E83460"/>
    <w:rsid w:val="00E8348B"/>
    <w:rsid w:val="00E8349B"/>
    <w:rsid w:val="00E8349C"/>
    <w:rsid w:val="00E834E9"/>
    <w:rsid w:val="00E8351E"/>
    <w:rsid w:val="00E8354C"/>
    <w:rsid w:val="00E83552"/>
    <w:rsid w:val="00E83588"/>
    <w:rsid w:val="00E835ED"/>
    <w:rsid w:val="00E835F4"/>
    <w:rsid w:val="00E83636"/>
    <w:rsid w:val="00E8365B"/>
    <w:rsid w:val="00E836A2"/>
    <w:rsid w:val="00E836FF"/>
    <w:rsid w:val="00E83735"/>
    <w:rsid w:val="00E83770"/>
    <w:rsid w:val="00E838BE"/>
    <w:rsid w:val="00E838C3"/>
    <w:rsid w:val="00E83951"/>
    <w:rsid w:val="00E839DC"/>
    <w:rsid w:val="00E839DF"/>
    <w:rsid w:val="00E839E6"/>
    <w:rsid w:val="00E83A18"/>
    <w:rsid w:val="00E83A3E"/>
    <w:rsid w:val="00E83A41"/>
    <w:rsid w:val="00E83A7C"/>
    <w:rsid w:val="00E83AE3"/>
    <w:rsid w:val="00E83AF9"/>
    <w:rsid w:val="00E83B1F"/>
    <w:rsid w:val="00E83B44"/>
    <w:rsid w:val="00E83B8C"/>
    <w:rsid w:val="00E83BAC"/>
    <w:rsid w:val="00E83C2D"/>
    <w:rsid w:val="00E83C57"/>
    <w:rsid w:val="00E83C90"/>
    <w:rsid w:val="00E83CF1"/>
    <w:rsid w:val="00E83CFE"/>
    <w:rsid w:val="00E83D4F"/>
    <w:rsid w:val="00E83D5A"/>
    <w:rsid w:val="00E83D68"/>
    <w:rsid w:val="00E83DAC"/>
    <w:rsid w:val="00E83E06"/>
    <w:rsid w:val="00E83EDA"/>
    <w:rsid w:val="00E83F09"/>
    <w:rsid w:val="00E83FD8"/>
    <w:rsid w:val="00E83FFD"/>
    <w:rsid w:val="00E84062"/>
    <w:rsid w:val="00E840BC"/>
    <w:rsid w:val="00E840C7"/>
    <w:rsid w:val="00E840F9"/>
    <w:rsid w:val="00E8420D"/>
    <w:rsid w:val="00E842A3"/>
    <w:rsid w:val="00E842BF"/>
    <w:rsid w:val="00E842F9"/>
    <w:rsid w:val="00E84319"/>
    <w:rsid w:val="00E84351"/>
    <w:rsid w:val="00E84390"/>
    <w:rsid w:val="00E84397"/>
    <w:rsid w:val="00E843E2"/>
    <w:rsid w:val="00E84424"/>
    <w:rsid w:val="00E8442B"/>
    <w:rsid w:val="00E84443"/>
    <w:rsid w:val="00E84461"/>
    <w:rsid w:val="00E84481"/>
    <w:rsid w:val="00E844B5"/>
    <w:rsid w:val="00E844E8"/>
    <w:rsid w:val="00E84563"/>
    <w:rsid w:val="00E846D3"/>
    <w:rsid w:val="00E846DF"/>
    <w:rsid w:val="00E846FC"/>
    <w:rsid w:val="00E84725"/>
    <w:rsid w:val="00E84743"/>
    <w:rsid w:val="00E8474F"/>
    <w:rsid w:val="00E84770"/>
    <w:rsid w:val="00E84834"/>
    <w:rsid w:val="00E8483A"/>
    <w:rsid w:val="00E848E9"/>
    <w:rsid w:val="00E8490D"/>
    <w:rsid w:val="00E849B3"/>
    <w:rsid w:val="00E849C0"/>
    <w:rsid w:val="00E84AD4"/>
    <w:rsid w:val="00E84B11"/>
    <w:rsid w:val="00E84B64"/>
    <w:rsid w:val="00E84BD5"/>
    <w:rsid w:val="00E84BFE"/>
    <w:rsid w:val="00E84C0C"/>
    <w:rsid w:val="00E84C0F"/>
    <w:rsid w:val="00E84C3D"/>
    <w:rsid w:val="00E84CBC"/>
    <w:rsid w:val="00E84CD1"/>
    <w:rsid w:val="00E84CD7"/>
    <w:rsid w:val="00E84CDE"/>
    <w:rsid w:val="00E84D17"/>
    <w:rsid w:val="00E84D74"/>
    <w:rsid w:val="00E84D77"/>
    <w:rsid w:val="00E84D7B"/>
    <w:rsid w:val="00E84DA4"/>
    <w:rsid w:val="00E84DE3"/>
    <w:rsid w:val="00E84E0C"/>
    <w:rsid w:val="00E84E18"/>
    <w:rsid w:val="00E84E3F"/>
    <w:rsid w:val="00E84E4F"/>
    <w:rsid w:val="00E84E54"/>
    <w:rsid w:val="00E84E5A"/>
    <w:rsid w:val="00E84E61"/>
    <w:rsid w:val="00E84ECF"/>
    <w:rsid w:val="00E84F7A"/>
    <w:rsid w:val="00E84F82"/>
    <w:rsid w:val="00E84FF9"/>
    <w:rsid w:val="00E85050"/>
    <w:rsid w:val="00E850AD"/>
    <w:rsid w:val="00E8512A"/>
    <w:rsid w:val="00E8514E"/>
    <w:rsid w:val="00E8516D"/>
    <w:rsid w:val="00E8517D"/>
    <w:rsid w:val="00E851FE"/>
    <w:rsid w:val="00E852C8"/>
    <w:rsid w:val="00E852E9"/>
    <w:rsid w:val="00E852F2"/>
    <w:rsid w:val="00E8531F"/>
    <w:rsid w:val="00E853ED"/>
    <w:rsid w:val="00E853EF"/>
    <w:rsid w:val="00E8547E"/>
    <w:rsid w:val="00E85490"/>
    <w:rsid w:val="00E854AE"/>
    <w:rsid w:val="00E854B2"/>
    <w:rsid w:val="00E85503"/>
    <w:rsid w:val="00E85571"/>
    <w:rsid w:val="00E855E6"/>
    <w:rsid w:val="00E85615"/>
    <w:rsid w:val="00E85656"/>
    <w:rsid w:val="00E85663"/>
    <w:rsid w:val="00E856B7"/>
    <w:rsid w:val="00E856F3"/>
    <w:rsid w:val="00E856FE"/>
    <w:rsid w:val="00E85745"/>
    <w:rsid w:val="00E8574E"/>
    <w:rsid w:val="00E85796"/>
    <w:rsid w:val="00E857AB"/>
    <w:rsid w:val="00E857C2"/>
    <w:rsid w:val="00E858D8"/>
    <w:rsid w:val="00E858F4"/>
    <w:rsid w:val="00E858FB"/>
    <w:rsid w:val="00E85900"/>
    <w:rsid w:val="00E8590A"/>
    <w:rsid w:val="00E85982"/>
    <w:rsid w:val="00E859B9"/>
    <w:rsid w:val="00E859D4"/>
    <w:rsid w:val="00E85A23"/>
    <w:rsid w:val="00E85AF0"/>
    <w:rsid w:val="00E85AF3"/>
    <w:rsid w:val="00E85B18"/>
    <w:rsid w:val="00E85B67"/>
    <w:rsid w:val="00E85B74"/>
    <w:rsid w:val="00E85B99"/>
    <w:rsid w:val="00E85B9D"/>
    <w:rsid w:val="00E85C2E"/>
    <w:rsid w:val="00E85C30"/>
    <w:rsid w:val="00E85CAC"/>
    <w:rsid w:val="00E85D28"/>
    <w:rsid w:val="00E85D6C"/>
    <w:rsid w:val="00E85D6E"/>
    <w:rsid w:val="00E85DBA"/>
    <w:rsid w:val="00E85DC2"/>
    <w:rsid w:val="00E85DD3"/>
    <w:rsid w:val="00E85FB7"/>
    <w:rsid w:val="00E85FD7"/>
    <w:rsid w:val="00E85FF6"/>
    <w:rsid w:val="00E86026"/>
    <w:rsid w:val="00E86029"/>
    <w:rsid w:val="00E8603F"/>
    <w:rsid w:val="00E86075"/>
    <w:rsid w:val="00E860E6"/>
    <w:rsid w:val="00E8617E"/>
    <w:rsid w:val="00E86193"/>
    <w:rsid w:val="00E861BA"/>
    <w:rsid w:val="00E86200"/>
    <w:rsid w:val="00E8620D"/>
    <w:rsid w:val="00E862A3"/>
    <w:rsid w:val="00E8632D"/>
    <w:rsid w:val="00E86355"/>
    <w:rsid w:val="00E8638F"/>
    <w:rsid w:val="00E86397"/>
    <w:rsid w:val="00E863C9"/>
    <w:rsid w:val="00E86419"/>
    <w:rsid w:val="00E86427"/>
    <w:rsid w:val="00E86435"/>
    <w:rsid w:val="00E8645D"/>
    <w:rsid w:val="00E86484"/>
    <w:rsid w:val="00E8648E"/>
    <w:rsid w:val="00E864BF"/>
    <w:rsid w:val="00E865A0"/>
    <w:rsid w:val="00E86605"/>
    <w:rsid w:val="00E8660C"/>
    <w:rsid w:val="00E86733"/>
    <w:rsid w:val="00E867BE"/>
    <w:rsid w:val="00E867C6"/>
    <w:rsid w:val="00E867E5"/>
    <w:rsid w:val="00E8688A"/>
    <w:rsid w:val="00E86895"/>
    <w:rsid w:val="00E868A1"/>
    <w:rsid w:val="00E868E2"/>
    <w:rsid w:val="00E868ED"/>
    <w:rsid w:val="00E86974"/>
    <w:rsid w:val="00E8697C"/>
    <w:rsid w:val="00E8699A"/>
    <w:rsid w:val="00E86A87"/>
    <w:rsid w:val="00E86A98"/>
    <w:rsid w:val="00E86AC1"/>
    <w:rsid w:val="00E86B05"/>
    <w:rsid w:val="00E86B16"/>
    <w:rsid w:val="00E86B2C"/>
    <w:rsid w:val="00E86B30"/>
    <w:rsid w:val="00E86B96"/>
    <w:rsid w:val="00E86C3D"/>
    <w:rsid w:val="00E86C5F"/>
    <w:rsid w:val="00E86C84"/>
    <w:rsid w:val="00E86C8C"/>
    <w:rsid w:val="00E86CED"/>
    <w:rsid w:val="00E86CFF"/>
    <w:rsid w:val="00E86D17"/>
    <w:rsid w:val="00E86D27"/>
    <w:rsid w:val="00E86D30"/>
    <w:rsid w:val="00E86D4B"/>
    <w:rsid w:val="00E86D5D"/>
    <w:rsid w:val="00E86D7B"/>
    <w:rsid w:val="00E86D7C"/>
    <w:rsid w:val="00E86DCB"/>
    <w:rsid w:val="00E86DEB"/>
    <w:rsid w:val="00E86E2D"/>
    <w:rsid w:val="00E86E92"/>
    <w:rsid w:val="00E86EF2"/>
    <w:rsid w:val="00E86F27"/>
    <w:rsid w:val="00E86F3F"/>
    <w:rsid w:val="00E86F57"/>
    <w:rsid w:val="00E86FF8"/>
    <w:rsid w:val="00E86FFA"/>
    <w:rsid w:val="00E87018"/>
    <w:rsid w:val="00E8708E"/>
    <w:rsid w:val="00E87125"/>
    <w:rsid w:val="00E8713D"/>
    <w:rsid w:val="00E87146"/>
    <w:rsid w:val="00E87163"/>
    <w:rsid w:val="00E8716D"/>
    <w:rsid w:val="00E871A9"/>
    <w:rsid w:val="00E87211"/>
    <w:rsid w:val="00E87267"/>
    <w:rsid w:val="00E87287"/>
    <w:rsid w:val="00E872DD"/>
    <w:rsid w:val="00E872E6"/>
    <w:rsid w:val="00E872EA"/>
    <w:rsid w:val="00E87316"/>
    <w:rsid w:val="00E87341"/>
    <w:rsid w:val="00E8735F"/>
    <w:rsid w:val="00E87406"/>
    <w:rsid w:val="00E87428"/>
    <w:rsid w:val="00E8743D"/>
    <w:rsid w:val="00E8744B"/>
    <w:rsid w:val="00E8749B"/>
    <w:rsid w:val="00E87554"/>
    <w:rsid w:val="00E87590"/>
    <w:rsid w:val="00E875C8"/>
    <w:rsid w:val="00E87667"/>
    <w:rsid w:val="00E87689"/>
    <w:rsid w:val="00E87697"/>
    <w:rsid w:val="00E876BC"/>
    <w:rsid w:val="00E876CB"/>
    <w:rsid w:val="00E8772B"/>
    <w:rsid w:val="00E8772E"/>
    <w:rsid w:val="00E87774"/>
    <w:rsid w:val="00E87784"/>
    <w:rsid w:val="00E8779B"/>
    <w:rsid w:val="00E8779D"/>
    <w:rsid w:val="00E877EF"/>
    <w:rsid w:val="00E87832"/>
    <w:rsid w:val="00E878F3"/>
    <w:rsid w:val="00E8790E"/>
    <w:rsid w:val="00E8794E"/>
    <w:rsid w:val="00E87961"/>
    <w:rsid w:val="00E87979"/>
    <w:rsid w:val="00E879CB"/>
    <w:rsid w:val="00E87A24"/>
    <w:rsid w:val="00E87AC3"/>
    <w:rsid w:val="00E87B08"/>
    <w:rsid w:val="00E87B0E"/>
    <w:rsid w:val="00E87B54"/>
    <w:rsid w:val="00E87BC4"/>
    <w:rsid w:val="00E87BFA"/>
    <w:rsid w:val="00E87C06"/>
    <w:rsid w:val="00E87C0D"/>
    <w:rsid w:val="00E87C19"/>
    <w:rsid w:val="00E87CAC"/>
    <w:rsid w:val="00E87CE8"/>
    <w:rsid w:val="00E87D19"/>
    <w:rsid w:val="00E87D23"/>
    <w:rsid w:val="00E87D56"/>
    <w:rsid w:val="00E87D92"/>
    <w:rsid w:val="00E87DE2"/>
    <w:rsid w:val="00E87E3E"/>
    <w:rsid w:val="00E87E43"/>
    <w:rsid w:val="00E87E67"/>
    <w:rsid w:val="00E87E75"/>
    <w:rsid w:val="00E87F26"/>
    <w:rsid w:val="00E87F91"/>
    <w:rsid w:val="00E87FB6"/>
    <w:rsid w:val="00E87FC6"/>
    <w:rsid w:val="00E90002"/>
    <w:rsid w:val="00E90013"/>
    <w:rsid w:val="00E90077"/>
    <w:rsid w:val="00E90086"/>
    <w:rsid w:val="00E900C5"/>
    <w:rsid w:val="00E900D3"/>
    <w:rsid w:val="00E900DA"/>
    <w:rsid w:val="00E90119"/>
    <w:rsid w:val="00E901F1"/>
    <w:rsid w:val="00E9026F"/>
    <w:rsid w:val="00E902A1"/>
    <w:rsid w:val="00E902AC"/>
    <w:rsid w:val="00E90394"/>
    <w:rsid w:val="00E903C1"/>
    <w:rsid w:val="00E903EB"/>
    <w:rsid w:val="00E90466"/>
    <w:rsid w:val="00E90479"/>
    <w:rsid w:val="00E904A3"/>
    <w:rsid w:val="00E904B1"/>
    <w:rsid w:val="00E90572"/>
    <w:rsid w:val="00E905B0"/>
    <w:rsid w:val="00E90617"/>
    <w:rsid w:val="00E90664"/>
    <w:rsid w:val="00E9066E"/>
    <w:rsid w:val="00E9067E"/>
    <w:rsid w:val="00E90695"/>
    <w:rsid w:val="00E906E4"/>
    <w:rsid w:val="00E906F9"/>
    <w:rsid w:val="00E90701"/>
    <w:rsid w:val="00E9074A"/>
    <w:rsid w:val="00E9077E"/>
    <w:rsid w:val="00E907E2"/>
    <w:rsid w:val="00E9080F"/>
    <w:rsid w:val="00E908A3"/>
    <w:rsid w:val="00E908A4"/>
    <w:rsid w:val="00E908AE"/>
    <w:rsid w:val="00E9094D"/>
    <w:rsid w:val="00E9096A"/>
    <w:rsid w:val="00E90A0F"/>
    <w:rsid w:val="00E90A43"/>
    <w:rsid w:val="00E90A4C"/>
    <w:rsid w:val="00E90A50"/>
    <w:rsid w:val="00E90A73"/>
    <w:rsid w:val="00E90ABB"/>
    <w:rsid w:val="00E90AE9"/>
    <w:rsid w:val="00E90B3F"/>
    <w:rsid w:val="00E90B5C"/>
    <w:rsid w:val="00E90B6C"/>
    <w:rsid w:val="00E90B89"/>
    <w:rsid w:val="00E90C0D"/>
    <w:rsid w:val="00E90C1C"/>
    <w:rsid w:val="00E90C92"/>
    <w:rsid w:val="00E90D09"/>
    <w:rsid w:val="00E90D30"/>
    <w:rsid w:val="00E90D45"/>
    <w:rsid w:val="00E90DA1"/>
    <w:rsid w:val="00E90F12"/>
    <w:rsid w:val="00E90F3C"/>
    <w:rsid w:val="00E90F56"/>
    <w:rsid w:val="00E91016"/>
    <w:rsid w:val="00E9106D"/>
    <w:rsid w:val="00E910A9"/>
    <w:rsid w:val="00E910B6"/>
    <w:rsid w:val="00E910D1"/>
    <w:rsid w:val="00E910E7"/>
    <w:rsid w:val="00E91110"/>
    <w:rsid w:val="00E911D0"/>
    <w:rsid w:val="00E9120E"/>
    <w:rsid w:val="00E9128E"/>
    <w:rsid w:val="00E91290"/>
    <w:rsid w:val="00E9134F"/>
    <w:rsid w:val="00E91360"/>
    <w:rsid w:val="00E9138D"/>
    <w:rsid w:val="00E913B8"/>
    <w:rsid w:val="00E913D2"/>
    <w:rsid w:val="00E913F9"/>
    <w:rsid w:val="00E91415"/>
    <w:rsid w:val="00E9149E"/>
    <w:rsid w:val="00E914B1"/>
    <w:rsid w:val="00E914E1"/>
    <w:rsid w:val="00E9164A"/>
    <w:rsid w:val="00E9170B"/>
    <w:rsid w:val="00E917D3"/>
    <w:rsid w:val="00E917F4"/>
    <w:rsid w:val="00E91834"/>
    <w:rsid w:val="00E91859"/>
    <w:rsid w:val="00E9185A"/>
    <w:rsid w:val="00E918B4"/>
    <w:rsid w:val="00E918E4"/>
    <w:rsid w:val="00E9191B"/>
    <w:rsid w:val="00E9194F"/>
    <w:rsid w:val="00E91958"/>
    <w:rsid w:val="00E9199F"/>
    <w:rsid w:val="00E919B4"/>
    <w:rsid w:val="00E91A0C"/>
    <w:rsid w:val="00E91B30"/>
    <w:rsid w:val="00E91B37"/>
    <w:rsid w:val="00E91B50"/>
    <w:rsid w:val="00E91BEA"/>
    <w:rsid w:val="00E91BF3"/>
    <w:rsid w:val="00E91C2C"/>
    <w:rsid w:val="00E91C2D"/>
    <w:rsid w:val="00E91C8B"/>
    <w:rsid w:val="00E91C97"/>
    <w:rsid w:val="00E91CD3"/>
    <w:rsid w:val="00E91D74"/>
    <w:rsid w:val="00E91DA2"/>
    <w:rsid w:val="00E91DC7"/>
    <w:rsid w:val="00E91DF1"/>
    <w:rsid w:val="00E91E21"/>
    <w:rsid w:val="00E91E31"/>
    <w:rsid w:val="00E91E73"/>
    <w:rsid w:val="00E91EB8"/>
    <w:rsid w:val="00E91EC5"/>
    <w:rsid w:val="00E91EFA"/>
    <w:rsid w:val="00E91F40"/>
    <w:rsid w:val="00E91F55"/>
    <w:rsid w:val="00E91F86"/>
    <w:rsid w:val="00E91FA8"/>
    <w:rsid w:val="00E91FD4"/>
    <w:rsid w:val="00E91FE8"/>
    <w:rsid w:val="00E92000"/>
    <w:rsid w:val="00E92013"/>
    <w:rsid w:val="00E9201F"/>
    <w:rsid w:val="00E9209A"/>
    <w:rsid w:val="00E920C9"/>
    <w:rsid w:val="00E92104"/>
    <w:rsid w:val="00E9210A"/>
    <w:rsid w:val="00E92124"/>
    <w:rsid w:val="00E9213E"/>
    <w:rsid w:val="00E921E5"/>
    <w:rsid w:val="00E92204"/>
    <w:rsid w:val="00E9222D"/>
    <w:rsid w:val="00E92234"/>
    <w:rsid w:val="00E922EB"/>
    <w:rsid w:val="00E922FC"/>
    <w:rsid w:val="00E923A7"/>
    <w:rsid w:val="00E924C3"/>
    <w:rsid w:val="00E924F6"/>
    <w:rsid w:val="00E9252B"/>
    <w:rsid w:val="00E92539"/>
    <w:rsid w:val="00E9259A"/>
    <w:rsid w:val="00E925A8"/>
    <w:rsid w:val="00E925B5"/>
    <w:rsid w:val="00E925CA"/>
    <w:rsid w:val="00E925F1"/>
    <w:rsid w:val="00E92677"/>
    <w:rsid w:val="00E92696"/>
    <w:rsid w:val="00E92697"/>
    <w:rsid w:val="00E9274D"/>
    <w:rsid w:val="00E92776"/>
    <w:rsid w:val="00E92788"/>
    <w:rsid w:val="00E927BA"/>
    <w:rsid w:val="00E92836"/>
    <w:rsid w:val="00E9283C"/>
    <w:rsid w:val="00E9285E"/>
    <w:rsid w:val="00E92860"/>
    <w:rsid w:val="00E9288E"/>
    <w:rsid w:val="00E928B3"/>
    <w:rsid w:val="00E928D3"/>
    <w:rsid w:val="00E929C1"/>
    <w:rsid w:val="00E929F0"/>
    <w:rsid w:val="00E92A59"/>
    <w:rsid w:val="00E92A85"/>
    <w:rsid w:val="00E92A9F"/>
    <w:rsid w:val="00E92AF7"/>
    <w:rsid w:val="00E92B42"/>
    <w:rsid w:val="00E92B4B"/>
    <w:rsid w:val="00E92B5A"/>
    <w:rsid w:val="00E92BEC"/>
    <w:rsid w:val="00E92C6C"/>
    <w:rsid w:val="00E92CED"/>
    <w:rsid w:val="00E92D4F"/>
    <w:rsid w:val="00E92D79"/>
    <w:rsid w:val="00E92DF9"/>
    <w:rsid w:val="00E92DFB"/>
    <w:rsid w:val="00E92E03"/>
    <w:rsid w:val="00E92E4A"/>
    <w:rsid w:val="00E92EF7"/>
    <w:rsid w:val="00E92F19"/>
    <w:rsid w:val="00E92F3E"/>
    <w:rsid w:val="00E92FA4"/>
    <w:rsid w:val="00E92FF2"/>
    <w:rsid w:val="00E92FFA"/>
    <w:rsid w:val="00E93043"/>
    <w:rsid w:val="00E93082"/>
    <w:rsid w:val="00E930B7"/>
    <w:rsid w:val="00E930BA"/>
    <w:rsid w:val="00E930E2"/>
    <w:rsid w:val="00E9317A"/>
    <w:rsid w:val="00E93186"/>
    <w:rsid w:val="00E9318C"/>
    <w:rsid w:val="00E9320A"/>
    <w:rsid w:val="00E93268"/>
    <w:rsid w:val="00E932DA"/>
    <w:rsid w:val="00E93359"/>
    <w:rsid w:val="00E9338B"/>
    <w:rsid w:val="00E933B2"/>
    <w:rsid w:val="00E933BF"/>
    <w:rsid w:val="00E93402"/>
    <w:rsid w:val="00E93471"/>
    <w:rsid w:val="00E934C8"/>
    <w:rsid w:val="00E934D2"/>
    <w:rsid w:val="00E9351C"/>
    <w:rsid w:val="00E9351F"/>
    <w:rsid w:val="00E93559"/>
    <w:rsid w:val="00E935D3"/>
    <w:rsid w:val="00E935FB"/>
    <w:rsid w:val="00E93645"/>
    <w:rsid w:val="00E93691"/>
    <w:rsid w:val="00E93692"/>
    <w:rsid w:val="00E936A8"/>
    <w:rsid w:val="00E936AA"/>
    <w:rsid w:val="00E936D3"/>
    <w:rsid w:val="00E937C0"/>
    <w:rsid w:val="00E937C6"/>
    <w:rsid w:val="00E937E3"/>
    <w:rsid w:val="00E93822"/>
    <w:rsid w:val="00E93832"/>
    <w:rsid w:val="00E93897"/>
    <w:rsid w:val="00E938B2"/>
    <w:rsid w:val="00E938C4"/>
    <w:rsid w:val="00E938D3"/>
    <w:rsid w:val="00E9390E"/>
    <w:rsid w:val="00E9393E"/>
    <w:rsid w:val="00E93978"/>
    <w:rsid w:val="00E93993"/>
    <w:rsid w:val="00E939AD"/>
    <w:rsid w:val="00E93A19"/>
    <w:rsid w:val="00E93A30"/>
    <w:rsid w:val="00E93A9F"/>
    <w:rsid w:val="00E93B67"/>
    <w:rsid w:val="00E93BF5"/>
    <w:rsid w:val="00E93C0E"/>
    <w:rsid w:val="00E93C29"/>
    <w:rsid w:val="00E93C5B"/>
    <w:rsid w:val="00E93CBF"/>
    <w:rsid w:val="00E93D06"/>
    <w:rsid w:val="00E93D52"/>
    <w:rsid w:val="00E93D9C"/>
    <w:rsid w:val="00E93DA7"/>
    <w:rsid w:val="00E93DBA"/>
    <w:rsid w:val="00E93E48"/>
    <w:rsid w:val="00E93EAA"/>
    <w:rsid w:val="00E93EC6"/>
    <w:rsid w:val="00E93EF7"/>
    <w:rsid w:val="00E93F20"/>
    <w:rsid w:val="00E93F27"/>
    <w:rsid w:val="00E93FFB"/>
    <w:rsid w:val="00E94048"/>
    <w:rsid w:val="00E94064"/>
    <w:rsid w:val="00E940E3"/>
    <w:rsid w:val="00E940E8"/>
    <w:rsid w:val="00E9411B"/>
    <w:rsid w:val="00E94175"/>
    <w:rsid w:val="00E94176"/>
    <w:rsid w:val="00E94201"/>
    <w:rsid w:val="00E94222"/>
    <w:rsid w:val="00E94247"/>
    <w:rsid w:val="00E9425B"/>
    <w:rsid w:val="00E942A1"/>
    <w:rsid w:val="00E94358"/>
    <w:rsid w:val="00E943D9"/>
    <w:rsid w:val="00E9448D"/>
    <w:rsid w:val="00E944B3"/>
    <w:rsid w:val="00E944EF"/>
    <w:rsid w:val="00E94508"/>
    <w:rsid w:val="00E9452D"/>
    <w:rsid w:val="00E945A2"/>
    <w:rsid w:val="00E945C9"/>
    <w:rsid w:val="00E94602"/>
    <w:rsid w:val="00E94616"/>
    <w:rsid w:val="00E94618"/>
    <w:rsid w:val="00E94621"/>
    <w:rsid w:val="00E94720"/>
    <w:rsid w:val="00E947A2"/>
    <w:rsid w:val="00E947C0"/>
    <w:rsid w:val="00E94810"/>
    <w:rsid w:val="00E9482C"/>
    <w:rsid w:val="00E94837"/>
    <w:rsid w:val="00E9483E"/>
    <w:rsid w:val="00E94844"/>
    <w:rsid w:val="00E94870"/>
    <w:rsid w:val="00E948EC"/>
    <w:rsid w:val="00E9494E"/>
    <w:rsid w:val="00E9497E"/>
    <w:rsid w:val="00E949A1"/>
    <w:rsid w:val="00E949C9"/>
    <w:rsid w:val="00E94A64"/>
    <w:rsid w:val="00E94A85"/>
    <w:rsid w:val="00E94AB9"/>
    <w:rsid w:val="00E94AF0"/>
    <w:rsid w:val="00E94B51"/>
    <w:rsid w:val="00E94BBA"/>
    <w:rsid w:val="00E94CA2"/>
    <w:rsid w:val="00E94CB1"/>
    <w:rsid w:val="00E94CB7"/>
    <w:rsid w:val="00E94CFA"/>
    <w:rsid w:val="00E94D06"/>
    <w:rsid w:val="00E94D2E"/>
    <w:rsid w:val="00E94DBA"/>
    <w:rsid w:val="00E94E81"/>
    <w:rsid w:val="00E94E8B"/>
    <w:rsid w:val="00E94EA8"/>
    <w:rsid w:val="00E94F72"/>
    <w:rsid w:val="00E94FEB"/>
    <w:rsid w:val="00E95020"/>
    <w:rsid w:val="00E9502B"/>
    <w:rsid w:val="00E95034"/>
    <w:rsid w:val="00E95065"/>
    <w:rsid w:val="00E9509D"/>
    <w:rsid w:val="00E950D5"/>
    <w:rsid w:val="00E950FB"/>
    <w:rsid w:val="00E95168"/>
    <w:rsid w:val="00E95177"/>
    <w:rsid w:val="00E9517F"/>
    <w:rsid w:val="00E951D5"/>
    <w:rsid w:val="00E9521C"/>
    <w:rsid w:val="00E95226"/>
    <w:rsid w:val="00E95287"/>
    <w:rsid w:val="00E952CD"/>
    <w:rsid w:val="00E952DE"/>
    <w:rsid w:val="00E9531F"/>
    <w:rsid w:val="00E95335"/>
    <w:rsid w:val="00E9534A"/>
    <w:rsid w:val="00E9546F"/>
    <w:rsid w:val="00E954E9"/>
    <w:rsid w:val="00E9561C"/>
    <w:rsid w:val="00E95629"/>
    <w:rsid w:val="00E9564F"/>
    <w:rsid w:val="00E9565C"/>
    <w:rsid w:val="00E9566E"/>
    <w:rsid w:val="00E956D9"/>
    <w:rsid w:val="00E9571E"/>
    <w:rsid w:val="00E957B3"/>
    <w:rsid w:val="00E957C5"/>
    <w:rsid w:val="00E95805"/>
    <w:rsid w:val="00E95817"/>
    <w:rsid w:val="00E95848"/>
    <w:rsid w:val="00E95858"/>
    <w:rsid w:val="00E95887"/>
    <w:rsid w:val="00E9593B"/>
    <w:rsid w:val="00E959B8"/>
    <w:rsid w:val="00E959BD"/>
    <w:rsid w:val="00E959D3"/>
    <w:rsid w:val="00E95A1F"/>
    <w:rsid w:val="00E95A52"/>
    <w:rsid w:val="00E95A65"/>
    <w:rsid w:val="00E95A7E"/>
    <w:rsid w:val="00E95ABA"/>
    <w:rsid w:val="00E95ACE"/>
    <w:rsid w:val="00E95B17"/>
    <w:rsid w:val="00E95BA0"/>
    <w:rsid w:val="00E95BB9"/>
    <w:rsid w:val="00E95BF8"/>
    <w:rsid w:val="00E95BFE"/>
    <w:rsid w:val="00E95C58"/>
    <w:rsid w:val="00E95C62"/>
    <w:rsid w:val="00E95C72"/>
    <w:rsid w:val="00E95CBE"/>
    <w:rsid w:val="00E95CE2"/>
    <w:rsid w:val="00E95D3B"/>
    <w:rsid w:val="00E95D8A"/>
    <w:rsid w:val="00E95D8B"/>
    <w:rsid w:val="00E95D8C"/>
    <w:rsid w:val="00E95DB2"/>
    <w:rsid w:val="00E95DBD"/>
    <w:rsid w:val="00E95DDF"/>
    <w:rsid w:val="00E95DF5"/>
    <w:rsid w:val="00E95E2F"/>
    <w:rsid w:val="00E95E41"/>
    <w:rsid w:val="00E95E95"/>
    <w:rsid w:val="00E95EAA"/>
    <w:rsid w:val="00E95EB0"/>
    <w:rsid w:val="00E95F1A"/>
    <w:rsid w:val="00E95F32"/>
    <w:rsid w:val="00E95F8A"/>
    <w:rsid w:val="00E9605D"/>
    <w:rsid w:val="00E9607F"/>
    <w:rsid w:val="00E960C9"/>
    <w:rsid w:val="00E960CF"/>
    <w:rsid w:val="00E960E5"/>
    <w:rsid w:val="00E960E6"/>
    <w:rsid w:val="00E96118"/>
    <w:rsid w:val="00E9614C"/>
    <w:rsid w:val="00E9619A"/>
    <w:rsid w:val="00E961CA"/>
    <w:rsid w:val="00E96211"/>
    <w:rsid w:val="00E96237"/>
    <w:rsid w:val="00E96267"/>
    <w:rsid w:val="00E9627C"/>
    <w:rsid w:val="00E962A8"/>
    <w:rsid w:val="00E962FF"/>
    <w:rsid w:val="00E96311"/>
    <w:rsid w:val="00E96369"/>
    <w:rsid w:val="00E963B5"/>
    <w:rsid w:val="00E963E6"/>
    <w:rsid w:val="00E96416"/>
    <w:rsid w:val="00E9641F"/>
    <w:rsid w:val="00E96468"/>
    <w:rsid w:val="00E964AF"/>
    <w:rsid w:val="00E964B1"/>
    <w:rsid w:val="00E964B5"/>
    <w:rsid w:val="00E964BB"/>
    <w:rsid w:val="00E964BD"/>
    <w:rsid w:val="00E964C3"/>
    <w:rsid w:val="00E96530"/>
    <w:rsid w:val="00E9653F"/>
    <w:rsid w:val="00E965A6"/>
    <w:rsid w:val="00E965B4"/>
    <w:rsid w:val="00E966B1"/>
    <w:rsid w:val="00E966B5"/>
    <w:rsid w:val="00E966DD"/>
    <w:rsid w:val="00E96714"/>
    <w:rsid w:val="00E9674A"/>
    <w:rsid w:val="00E9679F"/>
    <w:rsid w:val="00E96817"/>
    <w:rsid w:val="00E96873"/>
    <w:rsid w:val="00E96887"/>
    <w:rsid w:val="00E96896"/>
    <w:rsid w:val="00E968B0"/>
    <w:rsid w:val="00E968BB"/>
    <w:rsid w:val="00E96982"/>
    <w:rsid w:val="00E969F5"/>
    <w:rsid w:val="00E969FB"/>
    <w:rsid w:val="00E96A10"/>
    <w:rsid w:val="00E96A15"/>
    <w:rsid w:val="00E96A3D"/>
    <w:rsid w:val="00E96A42"/>
    <w:rsid w:val="00E96A56"/>
    <w:rsid w:val="00E96A60"/>
    <w:rsid w:val="00E96A9B"/>
    <w:rsid w:val="00E96AA2"/>
    <w:rsid w:val="00E96AD9"/>
    <w:rsid w:val="00E96AFC"/>
    <w:rsid w:val="00E96B33"/>
    <w:rsid w:val="00E96BFE"/>
    <w:rsid w:val="00E96C1A"/>
    <w:rsid w:val="00E96CCC"/>
    <w:rsid w:val="00E96DC6"/>
    <w:rsid w:val="00E96E46"/>
    <w:rsid w:val="00E96E4B"/>
    <w:rsid w:val="00E96E86"/>
    <w:rsid w:val="00E96EB0"/>
    <w:rsid w:val="00E96EEC"/>
    <w:rsid w:val="00E96F0C"/>
    <w:rsid w:val="00E96F1E"/>
    <w:rsid w:val="00E96F77"/>
    <w:rsid w:val="00E96F87"/>
    <w:rsid w:val="00E96F8A"/>
    <w:rsid w:val="00E96FCD"/>
    <w:rsid w:val="00E96FDB"/>
    <w:rsid w:val="00E9700D"/>
    <w:rsid w:val="00E97076"/>
    <w:rsid w:val="00E970E4"/>
    <w:rsid w:val="00E9713B"/>
    <w:rsid w:val="00E97181"/>
    <w:rsid w:val="00E97188"/>
    <w:rsid w:val="00E97195"/>
    <w:rsid w:val="00E971D1"/>
    <w:rsid w:val="00E97208"/>
    <w:rsid w:val="00E97225"/>
    <w:rsid w:val="00E97292"/>
    <w:rsid w:val="00E9729A"/>
    <w:rsid w:val="00E972F3"/>
    <w:rsid w:val="00E97315"/>
    <w:rsid w:val="00E9733A"/>
    <w:rsid w:val="00E9733F"/>
    <w:rsid w:val="00E973AB"/>
    <w:rsid w:val="00E973D0"/>
    <w:rsid w:val="00E97404"/>
    <w:rsid w:val="00E9748A"/>
    <w:rsid w:val="00E974D5"/>
    <w:rsid w:val="00E974DB"/>
    <w:rsid w:val="00E97508"/>
    <w:rsid w:val="00E9752F"/>
    <w:rsid w:val="00E97544"/>
    <w:rsid w:val="00E97585"/>
    <w:rsid w:val="00E97592"/>
    <w:rsid w:val="00E975D0"/>
    <w:rsid w:val="00E975E4"/>
    <w:rsid w:val="00E975F0"/>
    <w:rsid w:val="00E9760C"/>
    <w:rsid w:val="00E9761B"/>
    <w:rsid w:val="00E97705"/>
    <w:rsid w:val="00E97760"/>
    <w:rsid w:val="00E9776B"/>
    <w:rsid w:val="00E9776D"/>
    <w:rsid w:val="00E97773"/>
    <w:rsid w:val="00E9780D"/>
    <w:rsid w:val="00E97833"/>
    <w:rsid w:val="00E97838"/>
    <w:rsid w:val="00E97854"/>
    <w:rsid w:val="00E97863"/>
    <w:rsid w:val="00E9786A"/>
    <w:rsid w:val="00E9787E"/>
    <w:rsid w:val="00E978B8"/>
    <w:rsid w:val="00E97911"/>
    <w:rsid w:val="00E9792E"/>
    <w:rsid w:val="00E97980"/>
    <w:rsid w:val="00E979C7"/>
    <w:rsid w:val="00E97A78"/>
    <w:rsid w:val="00E97A95"/>
    <w:rsid w:val="00E97B31"/>
    <w:rsid w:val="00E97B62"/>
    <w:rsid w:val="00E97B68"/>
    <w:rsid w:val="00E97B82"/>
    <w:rsid w:val="00E97BB9"/>
    <w:rsid w:val="00E97C27"/>
    <w:rsid w:val="00E97C37"/>
    <w:rsid w:val="00E97C40"/>
    <w:rsid w:val="00E97C5B"/>
    <w:rsid w:val="00E97C94"/>
    <w:rsid w:val="00E97D7D"/>
    <w:rsid w:val="00E97D9C"/>
    <w:rsid w:val="00E97DC8"/>
    <w:rsid w:val="00E97DCD"/>
    <w:rsid w:val="00E97DCF"/>
    <w:rsid w:val="00E97E1F"/>
    <w:rsid w:val="00E97E3D"/>
    <w:rsid w:val="00E97E4B"/>
    <w:rsid w:val="00E97E82"/>
    <w:rsid w:val="00E97E9E"/>
    <w:rsid w:val="00E97EB3"/>
    <w:rsid w:val="00E97EC4"/>
    <w:rsid w:val="00E97F7E"/>
    <w:rsid w:val="00E97F84"/>
    <w:rsid w:val="00E97FE1"/>
    <w:rsid w:val="00EA0094"/>
    <w:rsid w:val="00EA00B3"/>
    <w:rsid w:val="00EA010E"/>
    <w:rsid w:val="00EA017C"/>
    <w:rsid w:val="00EA01C2"/>
    <w:rsid w:val="00EA02D5"/>
    <w:rsid w:val="00EA0326"/>
    <w:rsid w:val="00EA033F"/>
    <w:rsid w:val="00EA0342"/>
    <w:rsid w:val="00EA0371"/>
    <w:rsid w:val="00EA037D"/>
    <w:rsid w:val="00EA0465"/>
    <w:rsid w:val="00EA0481"/>
    <w:rsid w:val="00EA0491"/>
    <w:rsid w:val="00EA04C8"/>
    <w:rsid w:val="00EA0514"/>
    <w:rsid w:val="00EA0521"/>
    <w:rsid w:val="00EA05DE"/>
    <w:rsid w:val="00EA06A5"/>
    <w:rsid w:val="00EA06A6"/>
    <w:rsid w:val="00EA06B1"/>
    <w:rsid w:val="00EA0708"/>
    <w:rsid w:val="00EA0710"/>
    <w:rsid w:val="00EA0739"/>
    <w:rsid w:val="00EA075F"/>
    <w:rsid w:val="00EA07B5"/>
    <w:rsid w:val="00EA07B7"/>
    <w:rsid w:val="00EA07E3"/>
    <w:rsid w:val="00EA07E5"/>
    <w:rsid w:val="00EA081B"/>
    <w:rsid w:val="00EA0859"/>
    <w:rsid w:val="00EA0867"/>
    <w:rsid w:val="00EA08C5"/>
    <w:rsid w:val="00EA090A"/>
    <w:rsid w:val="00EA0918"/>
    <w:rsid w:val="00EA0956"/>
    <w:rsid w:val="00EA09BD"/>
    <w:rsid w:val="00EA09D3"/>
    <w:rsid w:val="00EA0A95"/>
    <w:rsid w:val="00EA0B06"/>
    <w:rsid w:val="00EA0B25"/>
    <w:rsid w:val="00EA0B34"/>
    <w:rsid w:val="00EA0BA8"/>
    <w:rsid w:val="00EA0BB6"/>
    <w:rsid w:val="00EA0BC6"/>
    <w:rsid w:val="00EA0BC9"/>
    <w:rsid w:val="00EA0BCF"/>
    <w:rsid w:val="00EA0BFD"/>
    <w:rsid w:val="00EA0C5B"/>
    <w:rsid w:val="00EA0CB8"/>
    <w:rsid w:val="00EA0CC5"/>
    <w:rsid w:val="00EA0CCB"/>
    <w:rsid w:val="00EA0CF5"/>
    <w:rsid w:val="00EA0CF9"/>
    <w:rsid w:val="00EA0D1B"/>
    <w:rsid w:val="00EA0D84"/>
    <w:rsid w:val="00EA0D8D"/>
    <w:rsid w:val="00EA0DDD"/>
    <w:rsid w:val="00EA0DF2"/>
    <w:rsid w:val="00EA0E61"/>
    <w:rsid w:val="00EA0E88"/>
    <w:rsid w:val="00EA0E9A"/>
    <w:rsid w:val="00EA0E9F"/>
    <w:rsid w:val="00EA0EE3"/>
    <w:rsid w:val="00EA0F2D"/>
    <w:rsid w:val="00EA0F56"/>
    <w:rsid w:val="00EA0F6D"/>
    <w:rsid w:val="00EA0FBF"/>
    <w:rsid w:val="00EA1013"/>
    <w:rsid w:val="00EA1030"/>
    <w:rsid w:val="00EA1039"/>
    <w:rsid w:val="00EA1064"/>
    <w:rsid w:val="00EA1099"/>
    <w:rsid w:val="00EA10C1"/>
    <w:rsid w:val="00EA10CC"/>
    <w:rsid w:val="00EA1172"/>
    <w:rsid w:val="00EA11B1"/>
    <w:rsid w:val="00EA11CB"/>
    <w:rsid w:val="00EA1265"/>
    <w:rsid w:val="00EA12DE"/>
    <w:rsid w:val="00EA138E"/>
    <w:rsid w:val="00EA138F"/>
    <w:rsid w:val="00EA1392"/>
    <w:rsid w:val="00EA13A5"/>
    <w:rsid w:val="00EA13B6"/>
    <w:rsid w:val="00EA13F4"/>
    <w:rsid w:val="00EA1405"/>
    <w:rsid w:val="00EA143F"/>
    <w:rsid w:val="00EA14B2"/>
    <w:rsid w:val="00EA14BF"/>
    <w:rsid w:val="00EA14DF"/>
    <w:rsid w:val="00EA14E4"/>
    <w:rsid w:val="00EA152B"/>
    <w:rsid w:val="00EA156D"/>
    <w:rsid w:val="00EA15CD"/>
    <w:rsid w:val="00EA163A"/>
    <w:rsid w:val="00EA16D6"/>
    <w:rsid w:val="00EA16F1"/>
    <w:rsid w:val="00EA1711"/>
    <w:rsid w:val="00EA172A"/>
    <w:rsid w:val="00EA172F"/>
    <w:rsid w:val="00EA1737"/>
    <w:rsid w:val="00EA1765"/>
    <w:rsid w:val="00EA17A4"/>
    <w:rsid w:val="00EA17A5"/>
    <w:rsid w:val="00EA17D2"/>
    <w:rsid w:val="00EA180A"/>
    <w:rsid w:val="00EA180D"/>
    <w:rsid w:val="00EA1820"/>
    <w:rsid w:val="00EA1821"/>
    <w:rsid w:val="00EA182D"/>
    <w:rsid w:val="00EA18B8"/>
    <w:rsid w:val="00EA191F"/>
    <w:rsid w:val="00EA1954"/>
    <w:rsid w:val="00EA195A"/>
    <w:rsid w:val="00EA1A5A"/>
    <w:rsid w:val="00EA1A67"/>
    <w:rsid w:val="00EA1A94"/>
    <w:rsid w:val="00EA1AD9"/>
    <w:rsid w:val="00EA1B28"/>
    <w:rsid w:val="00EA1B6A"/>
    <w:rsid w:val="00EA1C1F"/>
    <w:rsid w:val="00EA1C83"/>
    <w:rsid w:val="00EA1C91"/>
    <w:rsid w:val="00EA1C93"/>
    <w:rsid w:val="00EA1CA0"/>
    <w:rsid w:val="00EA1CAC"/>
    <w:rsid w:val="00EA1D27"/>
    <w:rsid w:val="00EA1DB4"/>
    <w:rsid w:val="00EA1DDE"/>
    <w:rsid w:val="00EA1E61"/>
    <w:rsid w:val="00EA1EB9"/>
    <w:rsid w:val="00EA1EC7"/>
    <w:rsid w:val="00EA1ED2"/>
    <w:rsid w:val="00EA1EDB"/>
    <w:rsid w:val="00EA1EEA"/>
    <w:rsid w:val="00EA1EF5"/>
    <w:rsid w:val="00EA1F29"/>
    <w:rsid w:val="00EA1F61"/>
    <w:rsid w:val="00EA1FBE"/>
    <w:rsid w:val="00EA2099"/>
    <w:rsid w:val="00EA20CE"/>
    <w:rsid w:val="00EA20CF"/>
    <w:rsid w:val="00EA20D0"/>
    <w:rsid w:val="00EA217D"/>
    <w:rsid w:val="00EA21DB"/>
    <w:rsid w:val="00EA223F"/>
    <w:rsid w:val="00EA2270"/>
    <w:rsid w:val="00EA2272"/>
    <w:rsid w:val="00EA2297"/>
    <w:rsid w:val="00EA238B"/>
    <w:rsid w:val="00EA2392"/>
    <w:rsid w:val="00EA23CC"/>
    <w:rsid w:val="00EA23F3"/>
    <w:rsid w:val="00EA23FB"/>
    <w:rsid w:val="00EA2400"/>
    <w:rsid w:val="00EA2491"/>
    <w:rsid w:val="00EA2538"/>
    <w:rsid w:val="00EA254A"/>
    <w:rsid w:val="00EA2551"/>
    <w:rsid w:val="00EA2566"/>
    <w:rsid w:val="00EA25E9"/>
    <w:rsid w:val="00EA25EC"/>
    <w:rsid w:val="00EA2637"/>
    <w:rsid w:val="00EA26BB"/>
    <w:rsid w:val="00EA26BC"/>
    <w:rsid w:val="00EA26CD"/>
    <w:rsid w:val="00EA270A"/>
    <w:rsid w:val="00EA2748"/>
    <w:rsid w:val="00EA2768"/>
    <w:rsid w:val="00EA278A"/>
    <w:rsid w:val="00EA2837"/>
    <w:rsid w:val="00EA28B3"/>
    <w:rsid w:val="00EA2983"/>
    <w:rsid w:val="00EA2A4E"/>
    <w:rsid w:val="00EA2A94"/>
    <w:rsid w:val="00EA2B33"/>
    <w:rsid w:val="00EA2B39"/>
    <w:rsid w:val="00EA2B71"/>
    <w:rsid w:val="00EA2BAE"/>
    <w:rsid w:val="00EA2BF0"/>
    <w:rsid w:val="00EA2C0E"/>
    <w:rsid w:val="00EA2C22"/>
    <w:rsid w:val="00EA2C44"/>
    <w:rsid w:val="00EA2CB4"/>
    <w:rsid w:val="00EA2D12"/>
    <w:rsid w:val="00EA2D93"/>
    <w:rsid w:val="00EA2DC0"/>
    <w:rsid w:val="00EA2DC4"/>
    <w:rsid w:val="00EA2DE3"/>
    <w:rsid w:val="00EA2E16"/>
    <w:rsid w:val="00EA2E25"/>
    <w:rsid w:val="00EA2E99"/>
    <w:rsid w:val="00EA2F09"/>
    <w:rsid w:val="00EA2F26"/>
    <w:rsid w:val="00EA2F36"/>
    <w:rsid w:val="00EA2F38"/>
    <w:rsid w:val="00EA2FC4"/>
    <w:rsid w:val="00EA2FDF"/>
    <w:rsid w:val="00EA309E"/>
    <w:rsid w:val="00EA30C8"/>
    <w:rsid w:val="00EA30E5"/>
    <w:rsid w:val="00EA311A"/>
    <w:rsid w:val="00EA313C"/>
    <w:rsid w:val="00EA3144"/>
    <w:rsid w:val="00EA314C"/>
    <w:rsid w:val="00EA319B"/>
    <w:rsid w:val="00EA31E7"/>
    <w:rsid w:val="00EA3242"/>
    <w:rsid w:val="00EA327A"/>
    <w:rsid w:val="00EA3301"/>
    <w:rsid w:val="00EA3428"/>
    <w:rsid w:val="00EA343A"/>
    <w:rsid w:val="00EA34BB"/>
    <w:rsid w:val="00EA3530"/>
    <w:rsid w:val="00EA3551"/>
    <w:rsid w:val="00EA355A"/>
    <w:rsid w:val="00EA35B9"/>
    <w:rsid w:val="00EA3649"/>
    <w:rsid w:val="00EA3678"/>
    <w:rsid w:val="00EA367A"/>
    <w:rsid w:val="00EA3699"/>
    <w:rsid w:val="00EA372F"/>
    <w:rsid w:val="00EA3765"/>
    <w:rsid w:val="00EA3787"/>
    <w:rsid w:val="00EA37B8"/>
    <w:rsid w:val="00EA3817"/>
    <w:rsid w:val="00EA3843"/>
    <w:rsid w:val="00EA38A1"/>
    <w:rsid w:val="00EA38DE"/>
    <w:rsid w:val="00EA391C"/>
    <w:rsid w:val="00EA394B"/>
    <w:rsid w:val="00EA3970"/>
    <w:rsid w:val="00EA3A05"/>
    <w:rsid w:val="00EA3A7E"/>
    <w:rsid w:val="00EA3AA6"/>
    <w:rsid w:val="00EA3AD7"/>
    <w:rsid w:val="00EA3AE5"/>
    <w:rsid w:val="00EA3B3B"/>
    <w:rsid w:val="00EA3B72"/>
    <w:rsid w:val="00EA3BA3"/>
    <w:rsid w:val="00EA3BD0"/>
    <w:rsid w:val="00EA3C3D"/>
    <w:rsid w:val="00EA3C68"/>
    <w:rsid w:val="00EA3C82"/>
    <w:rsid w:val="00EA3CCB"/>
    <w:rsid w:val="00EA3DD6"/>
    <w:rsid w:val="00EA3DFC"/>
    <w:rsid w:val="00EA3E90"/>
    <w:rsid w:val="00EA3EC8"/>
    <w:rsid w:val="00EA3F4C"/>
    <w:rsid w:val="00EA3F4F"/>
    <w:rsid w:val="00EA3F7C"/>
    <w:rsid w:val="00EA3F95"/>
    <w:rsid w:val="00EA3FF4"/>
    <w:rsid w:val="00EA40AC"/>
    <w:rsid w:val="00EA40F1"/>
    <w:rsid w:val="00EA4112"/>
    <w:rsid w:val="00EA414A"/>
    <w:rsid w:val="00EA414B"/>
    <w:rsid w:val="00EA41CE"/>
    <w:rsid w:val="00EA4239"/>
    <w:rsid w:val="00EA423C"/>
    <w:rsid w:val="00EA429E"/>
    <w:rsid w:val="00EA42B7"/>
    <w:rsid w:val="00EA42C8"/>
    <w:rsid w:val="00EA42CF"/>
    <w:rsid w:val="00EA42DE"/>
    <w:rsid w:val="00EA42E3"/>
    <w:rsid w:val="00EA42E5"/>
    <w:rsid w:val="00EA42FE"/>
    <w:rsid w:val="00EA430B"/>
    <w:rsid w:val="00EA4351"/>
    <w:rsid w:val="00EA439A"/>
    <w:rsid w:val="00EA441D"/>
    <w:rsid w:val="00EA44A4"/>
    <w:rsid w:val="00EA44C2"/>
    <w:rsid w:val="00EA44EB"/>
    <w:rsid w:val="00EA4508"/>
    <w:rsid w:val="00EA4552"/>
    <w:rsid w:val="00EA45F3"/>
    <w:rsid w:val="00EA4623"/>
    <w:rsid w:val="00EA4648"/>
    <w:rsid w:val="00EA468E"/>
    <w:rsid w:val="00EA46C3"/>
    <w:rsid w:val="00EA4794"/>
    <w:rsid w:val="00EA47F4"/>
    <w:rsid w:val="00EA480C"/>
    <w:rsid w:val="00EA4821"/>
    <w:rsid w:val="00EA48AB"/>
    <w:rsid w:val="00EA48D2"/>
    <w:rsid w:val="00EA48DD"/>
    <w:rsid w:val="00EA48E9"/>
    <w:rsid w:val="00EA48EF"/>
    <w:rsid w:val="00EA48F2"/>
    <w:rsid w:val="00EA48F6"/>
    <w:rsid w:val="00EA4A04"/>
    <w:rsid w:val="00EA4A2D"/>
    <w:rsid w:val="00EA4A31"/>
    <w:rsid w:val="00EA4A75"/>
    <w:rsid w:val="00EA4A87"/>
    <w:rsid w:val="00EA4A92"/>
    <w:rsid w:val="00EA4ABC"/>
    <w:rsid w:val="00EA4ABD"/>
    <w:rsid w:val="00EA4AC2"/>
    <w:rsid w:val="00EA4AC3"/>
    <w:rsid w:val="00EA4AF4"/>
    <w:rsid w:val="00EA4AF5"/>
    <w:rsid w:val="00EA4BA2"/>
    <w:rsid w:val="00EA4BB9"/>
    <w:rsid w:val="00EA4C54"/>
    <w:rsid w:val="00EA4C65"/>
    <w:rsid w:val="00EA4C9A"/>
    <w:rsid w:val="00EA4D06"/>
    <w:rsid w:val="00EA4D43"/>
    <w:rsid w:val="00EA4E06"/>
    <w:rsid w:val="00EA4E13"/>
    <w:rsid w:val="00EA4E15"/>
    <w:rsid w:val="00EA4E24"/>
    <w:rsid w:val="00EA4E52"/>
    <w:rsid w:val="00EA4E81"/>
    <w:rsid w:val="00EA4E9E"/>
    <w:rsid w:val="00EA4EA6"/>
    <w:rsid w:val="00EA4EB6"/>
    <w:rsid w:val="00EA4EEC"/>
    <w:rsid w:val="00EA4F33"/>
    <w:rsid w:val="00EA4F64"/>
    <w:rsid w:val="00EA4F67"/>
    <w:rsid w:val="00EA4F7C"/>
    <w:rsid w:val="00EA5022"/>
    <w:rsid w:val="00EA503A"/>
    <w:rsid w:val="00EA5063"/>
    <w:rsid w:val="00EA50FC"/>
    <w:rsid w:val="00EA5150"/>
    <w:rsid w:val="00EA51E8"/>
    <w:rsid w:val="00EA51ED"/>
    <w:rsid w:val="00EA5248"/>
    <w:rsid w:val="00EA5262"/>
    <w:rsid w:val="00EA5298"/>
    <w:rsid w:val="00EA52AF"/>
    <w:rsid w:val="00EA52BD"/>
    <w:rsid w:val="00EA52E1"/>
    <w:rsid w:val="00EA52FC"/>
    <w:rsid w:val="00EA5357"/>
    <w:rsid w:val="00EA53C1"/>
    <w:rsid w:val="00EA53C2"/>
    <w:rsid w:val="00EA53CB"/>
    <w:rsid w:val="00EA544E"/>
    <w:rsid w:val="00EA545A"/>
    <w:rsid w:val="00EA5483"/>
    <w:rsid w:val="00EA54B0"/>
    <w:rsid w:val="00EA5571"/>
    <w:rsid w:val="00EA55AF"/>
    <w:rsid w:val="00EA55E7"/>
    <w:rsid w:val="00EA55F4"/>
    <w:rsid w:val="00EA55FA"/>
    <w:rsid w:val="00EA560E"/>
    <w:rsid w:val="00EA5666"/>
    <w:rsid w:val="00EA56D6"/>
    <w:rsid w:val="00EA5777"/>
    <w:rsid w:val="00EA57E9"/>
    <w:rsid w:val="00EA57FD"/>
    <w:rsid w:val="00EA581C"/>
    <w:rsid w:val="00EA5823"/>
    <w:rsid w:val="00EA5864"/>
    <w:rsid w:val="00EA58AB"/>
    <w:rsid w:val="00EA58BA"/>
    <w:rsid w:val="00EA590F"/>
    <w:rsid w:val="00EA594C"/>
    <w:rsid w:val="00EA5954"/>
    <w:rsid w:val="00EA5A04"/>
    <w:rsid w:val="00EA5A21"/>
    <w:rsid w:val="00EA5A23"/>
    <w:rsid w:val="00EA5A70"/>
    <w:rsid w:val="00EA5A99"/>
    <w:rsid w:val="00EA5ABB"/>
    <w:rsid w:val="00EA5ACE"/>
    <w:rsid w:val="00EA5AD5"/>
    <w:rsid w:val="00EA5B2F"/>
    <w:rsid w:val="00EA5B9D"/>
    <w:rsid w:val="00EA5BDB"/>
    <w:rsid w:val="00EA5C11"/>
    <w:rsid w:val="00EA5C26"/>
    <w:rsid w:val="00EA5C34"/>
    <w:rsid w:val="00EA5C5B"/>
    <w:rsid w:val="00EA5C66"/>
    <w:rsid w:val="00EA5CEF"/>
    <w:rsid w:val="00EA5CF4"/>
    <w:rsid w:val="00EA5D30"/>
    <w:rsid w:val="00EA5D46"/>
    <w:rsid w:val="00EA5D85"/>
    <w:rsid w:val="00EA5DA8"/>
    <w:rsid w:val="00EA5DAF"/>
    <w:rsid w:val="00EA5DF6"/>
    <w:rsid w:val="00EA5E90"/>
    <w:rsid w:val="00EA5EDB"/>
    <w:rsid w:val="00EA5F0C"/>
    <w:rsid w:val="00EA5FB7"/>
    <w:rsid w:val="00EA5FD6"/>
    <w:rsid w:val="00EA5FE6"/>
    <w:rsid w:val="00EA5FF0"/>
    <w:rsid w:val="00EA602A"/>
    <w:rsid w:val="00EA602B"/>
    <w:rsid w:val="00EA6071"/>
    <w:rsid w:val="00EA60C1"/>
    <w:rsid w:val="00EA60C9"/>
    <w:rsid w:val="00EA60FF"/>
    <w:rsid w:val="00EA6121"/>
    <w:rsid w:val="00EA613D"/>
    <w:rsid w:val="00EA61BB"/>
    <w:rsid w:val="00EA61F4"/>
    <w:rsid w:val="00EA6233"/>
    <w:rsid w:val="00EA62A1"/>
    <w:rsid w:val="00EA62B1"/>
    <w:rsid w:val="00EA6301"/>
    <w:rsid w:val="00EA6385"/>
    <w:rsid w:val="00EA63D0"/>
    <w:rsid w:val="00EA63DF"/>
    <w:rsid w:val="00EA63F2"/>
    <w:rsid w:val="00EA6449"/>
    <w:rsid w:val="00EA64E7"/>
    <w:rsid w:val="00EA65AA"/>
    <w:rsid w:val="00EA65EF"/>
    <w:rsid w:val="00EA6621"/>
    <w:rsid w:val="00EA6629"/>
    <w:rsid w:val="00EA6648"/>
    <w:rsid w:val="00EA670F"/>
    <w:rsid w:val="00EA6726"/>
    <w:rsid w:val="00EA6798"/>
    <w:rsid w:val="00EA6819"/>
    <w:rsid w:val="00EA6888"/>
    <w:rsid w:val="00EA6890"/>
    <w:rsid w:val="00EA68C3"/>
    <w:rsid w:val="00EA68C5"/>
    <w:rsid w:val="00EA68C9"/>
    <w:rsid w:val="00EA68DA"/>
    <w:rsid w:val="00EA68F0"/>
    <w:rsid w:val="00EA68F6"/>
    <w:rsid w:val="00EA692F"/>
    <w:rsid w:val="00EA693F"/>
    <w:rsid w:val="00EA6994"/>
    <w:rsid w:val="00EA69A9"/>
    <w:rsid w:val="00EA6A25"/>
    <w:rsid w:val="00EA6A6B"/>
    <w:rsid w:val="00EA6A92"/>
    <w:rsid w:val="00EA6A9E"/>
    <w:rsid w:val="00EA6AB0"/>
    <w:rsid w:val="00EA6AD5"/>
    <w:rsid w:val="00EA6AF3"/>
    <w:rsid w:val="00EA6AF5"/>
    <w:rsid w:val="00EA6B11"/>
    <w:rsid w:val="00EA6B74"/>
    <w:rsid w:val="00EA6B85"/>
    <w:rsid w:val="00EA6B9E"/>
    <w:rsid w:val="00EA6BB7"/>
    <w:rsid w:val="00EA6BB9"/>
    <w:rsid w:val="00EA6BD5"/>
    <w:rsid w:val="00EA6BDA"/>
    <w:rsid w:val="00EA6BE6"/>
    <w:rsid w:val="00EA6C60"/>
    <w:rsid w:val="00EA6C7C"/>
    <w:rsid w:val="00EA6C96"/>
    <w:rsid w:val="00EA6CDA"/>
    <w:rsid w:val="00EA6D42"/>
    <w:rsid w:val="00EA6D59"/>
    <w:rsid w:val="00EA6DA6"/>
    <w:rsid w:val="00EA6DA9"/>
    <w:rsid w:val="00EA6DAF"/>
    <w:rsid w:val="00EA6E2C"/>
    <w:rsid w:val="00EA6E7C"/>
    <w:rsid w:val="00EA6F1E"/>
    <w:rsid w:val="00EA6F27"/>
    <w:rsid w:val="00EA6F28"/>
    <w:rsid w:val="00EA6F8F"/>
    <w:rsid w:val="00EA6FD1"/>
    <w:rsid w:val="00EA7015"/>
    <w:rsid w:val="00EA7029"/>
    <w:rsid w:val="00EA7036"/>
    <w:rsid w:val="00EA7091"/>
    <w:rsid w:val="00EA70CA"/>
    <w:rsid w:val="00EA70FC"/>
    <w:rsid w:val="00EA715B"/>
    <w:rsid w:val="00EA717E"/>
    <w:rsid w:val="00EA717F"/>
    <w:rsid w:val="00EA7284"/>
    <w:rsid w:val="00EA72D4"/>
    <w:rsid w:val="00EA72D5"/>
    <w:rsid w:val="00EA72E0"/>
    <w:rsid w:val="00EA72ED"/>
    <w:rsid w:val="00EA72F1"/>
    <w:rsid w:val="00EA731A"/>
    <w:rsid w:val="00EA7367"/>
    <w:rsid w:val="00EA739C"/>
    <w:rsid w:val="00EA73B0"/>
    <w:rsid w:val="00EA73F3"/>
    <w:rsid w:val="00EA73F7"/>
    <w:rsid w:val="00EA74B7"/>
    <w:rsid w:val="00EA74DA"/>
    <w:rsid w:val="00EA7562"/>
    <w:rsid w:val="00EA7580"/>
    <w:rsid w:val="00EA7595"/>
    <w:rsid w:val="00EA75B0"/>
    <w:rsid w:val="00EA75D9"/>
    <w:rsid w:val="00EA75F5"/>
    <w:rsid w:val="00EA75FE"/>
    <w:rsid w:val="00EA7630"/>
    <w:rsid w:val="00EA7677"/>
    <w:rsid w:val="00EA768B"/>
    <w:rsid w:val="00EA76B8"/>
    <w:rsid w:val="00EA76C7"/>
    <w:rsid w:val="00EA76EE"/>
    <w:rsid w:val="00EA76FC"/>
    <w:rsid w:val="00EA7732"/>
    <w:rsid w:val="00EA7766"/>
    <w:rsid w:val="00EA7774"/>
    <w:rsid w:val="00EA7791"/>
    <w:rsid w:val="00EA77F2"/>
    <w:rsid w:val="00EA7882"/>
    <w:rsid w:val="00EA78BC"/>
    <w:rsid w:val="00EA78C5"/>
    <w:rsid w:val="00EA7932"/>
    <w:rsid w:val="00EA79E2"/>
    <w:rsid w:val="00EA79F6"/>
    <w:rsid w:val="00EA7A1B"/>
    <w:rsid w:val="00EA7A1D"/>
    <w:rsid w:val="00EA7A6A"/>
    <w:rsid w:val="00EA7BA6"/>
    <w:rsid w:val="00EA7BEB"/>
    <w:rsid w:val="00EA7C1E"/>
    <w:rsid w:val="00EA7C2A"/>
    <w:rsid w:val="00EA7C89"/>
    <w:rsid w:val="00EA7CB9"/>
    <w:rsid w:val="00EA7CC1"/>
    <w:rsid w:val="00EA7DD3"/>
    <w:rsid w:val="00EA7DE1"/>
    <w:rsid w:val="00EA7E5E"/>
    <w:rsid w:val="00EA7EB3"/>
    <w:rsid w:val="00EA7EB8"/>
    <w:rsid w:val="00EA7EF6"/>
    <w:rsid w:val="00EA7F28"/>
    <w:rsid w:val="00EAF32D"/>
    <w:rsid w:val="00EB0073"/>
    <w:rsid w:val="00EB0076"/>
    <w:rsid w:val="00EB00A1"/>
    <w:rsid w:val="00EB00DF"/>
    <w:rsid w:val="00EB0130"/>
    <w:rsid w:val="00EB01B5"/>
    <w:rsid w:val="00EB028C"/>
    <w:rsid w:val="00EB02D8"/>
    <w:rsid w:val="00EB034E"/>
    <w:rsid w:val="00EB03C8"/>
    <w:rsid w:val="00EB0413"/>
    <w:rsid w:val="00EB0418"/>
    <w:rsid w:val="00EB0423"/>
    <w:rsid w:val="00EB046B"/>
    <w:rsid w:val="00EB04B1"/>
    <w:rsid w:val="00EB04C3"/>
    <w:rsid w:val="00EB0534"/>
    <w:rsid w:val="00EB0558"/>
    <w:rsid w:val="00EB0564"/>
    <w:rsid w:val="00EB057E"/>
    <w:rsid w:val="00EB057F"/>
    <w:rsid w:val="00EB05B6"/>
    <w:rsid w:val="00EB0661"/>
    <w:rsid w:val="00EB067F"/>
    <w:rsid w:val="00EB0696"/>
    <w:rsid w:val="00EB069D"/>
    <w:rsid w:val="00EB06D5"/>
    <w:rsid w:val="00EB0712"/>
    <w:rsid w:val="00EB0722"/>
    <w:rsid w:val="00EB077B"/>
    <w:rsid w:val="00EB07DA"/>
    <w:rsid w:val="00EB080C"/>
    <w:rsid w:val="00EB0817"/>
    <w:rsid w:val="00EB0853"/>
    <w:rsid w:val="00EB08AD"/>
    <w:rsid w:val="00EB08D0"/>
    <w:rsid w:val="00EB0939"/>
    <w:rsid w:val="00EB095F"/>
    <w:rsid w:val="00EB09B6"/>
    <w:rsid w:val="00EB09DB"/>
    <w:rsid w:val="00EB0A1C"/>
    <w:rsid w:val="00EB0A54"/>
    <w:rsid w:val="00EB0A75"/>
    <w:rsid w:val="00EB0A91"/>
    <w:rsid w:val="00EB0B10"/>
    <w:rsid w:val="00EB0B32"/>
    <w:rsid w:val="00EB0B40"/>
    <w:rsid w:val="00EB0B41"/>
    <w:rsid w:val="00EB0BA4"/>
    <w:rsid w:val="00EB0BE0"/>
    <w:rsid w:val="00EB0C69"/>
    <w:rsid w:val="00EB0C7C"/>
    <w:rsid w:val="00EB0CB6"/>
    <w:rsid w:val="00EB0CD5"/>
    <w:rsid w:val="00EB0CE7"/>
    <w:rsid w:val="00EB0CF1"/>
    <w:rsid w:val="00EB0CFB"/>
    <w:rsid w:val="00EB0D1C"/>
    <w:rsid w:val="00EB0D2D"/>
    <w:rsid w:val="00EB0D69"/>
    <w:rsid w:val="00EB0D6E"/>
    <w:rsid w:val="00EB0DAD"/>
    <w:rsid w:val="00EB0DB9"/>
    <w:rsid w:val="00EB0DBF"/>
    <w:rsid w:val="00EB0E75"/>
    <w:rsid w:val="00EB0EB4"/>
    <w:rsid w:val="00EB0EC4"/>
    <w:rsid w:val="00EB0F0C"/>
    <w:rsid w:val="00EB0F24"/>
    <w:rsid w:val="00EB0F59"/>
    <w:rsid w:val="00EB0F6D"/>
    <w:rsid w:val="00EB0F75"/>
    <w:rsid w:val="00EB0F9A"/>
    <w:rsid w:val="00EB0FA4"/>
    <w:rsid w:val="00EB0FB7"/>
    <w:rsid w:val="00EB0FC4"/>
    <w:rsid w:val="00EB0FED"/>
    <w:rsid w:val="00EB1056"/>
    <w:rsid w:val="00EB1092"/>
    <w:rsid w:val="00EB10CC"/>
    <w:rsid w:val="00EB10DA"/>
    <w:rsid w:val="00EB10DD"/>
    <w:rsid w:val="00EB1102"/>
    <w:rsid w:val="00EB110E"/>
    <w:rsid w:val="00EB1150"/>
    <w:rsid w:val="00EB1231"/>
    <w:rsid w:val="00EB123F"/>
    <w:rsid w:val="00EB1263"/>
    <w:rsid w:val="00EB12E7"/>
    <w:rsid w:val="00EB131B"/>
    <w:rsid w:val="00EB1341"/>
    <w:rsid w:val="00EB13D7"/>
    <w:rsid w:val="00EB14B5"/>
    <w:rsid w:val="00EB1502"/>
    <w:rsid w:val="00EB1547"/>
    <w:rsid w:val="00EB1599"/>
    <w:rsid w:val="00EB168C"/>
    <w:rsid w:val="00EB16E1"/>
    <w:rsid w:val="00EB1727"/>
    <w:rsid w:val="00EB174B"/>
    <w:rsid w:val="00EB17CD"/>
    <w:rsid w:val="00EB17E2"/>
    <w:rsid w:val="00EB17FA"/>
    <w:rsid w:val="00EB1814"/>
    <w:rsid w:val="00EB1841"/>
    <w:rsid w:val="00EB1866"/>
    <w:rsid w:val="00EB18A4"/>
    <w:rsid w:val="00EB18B1"/>
    <w:rsid w:val="00EB1990"/>
    <w:rsid w:val="00EB19BC"/>
    <w:rsid w:val="00EB1A14"/>
    <w:rsid w:val="00EB1A18"/>
    <w:rsid w:val="00EB1A36"/>
    <w:rsid w:val="00EB1B73"/>
    <w:rsid w:val="00EB1B7F"/>
    <w:rsid w:val="00EB1BAE"/>
    <w:rsid w:val="00EB1C5C"/>
    <w:rsid w:val="00EB1C60"/>
    <w:rsid w:val="00EB1CA1"/>
    <w:rsid w:val="00EB1CBE"/>
    <w:rsid w:val="00EB1CED"/>
    <w:rsid w:val="00EB1D36"/>
    <w:rsid w:val="00EB1DBE"/>
    <w:rsid w:val="00EB1DEC"/>
    <w:rsid w:val="00EB1E7B"/>
    <w:rsid w:val="00EB1EA9"/>
    <w:rsid w:val="00EB1F21"/>
    <w:rsid w:val="00EB1F34"/>
    <w:rsid w:val="00EB1F89"/>
    <w:rsid w:val="00EB207B"/>
    <w:rsid w:val="00EB20BF"/>
    <w:rsid w:val="00EB20D9"/>
    <w:rsid w:val="00EB20DF"/>
    <w:rsid w:val="00EB210F"/>
    <w:rsid w:val="00EB2205"/>
    <w:rsid w:val="00EB220C"/>
    <w:rsid w:val="00EB222B"/>
    <w:rsid w:val="00EB2281"/>
    <w:rsid w:val="00EB22EE"/>
    <w:rsid w:val="00EB22FF"/>
    <w:rsid w:val="00EB230C"/>
    <w:rsid w:val="00EB235A"/>
    <w:rsid w:val="00EB2360"/>
    <w:rsid w:val="00EB2380"/>
    <w:rsid w:val="00EB23BA"/>
    <w:rsid w:val="00EB243C"/>
    <w:rsid w:val="00EB249C"/>
    <w:rsid w:val="00EB24D5"/>
    <w:rsid w:val="00EB24E9"/>
    <w:rsid w:val="00EB24ED"/>
    <w:rsid w:val="00EB24F5"/>
    <w:rsid w:val="00EB250E"/>
    <w:rsid w:val="00EB251C"/>
    <w:rsid w:val="00EB258E"/>
    <w:rsid w:val="00EB25F3"/>
    <w:rsid w:val="00EB2622"/>
    <w:rsid w:val="00EB2643"/>
    <w:rsid w:val="00EB267D"/>
    <w:rsid w:val="00EB2752"/>
    <w:rsid w:val="00EB27B7"/>
    <w:rsid w:val="00EB2827"/>
    <w:rsid w:val="00EB28B3"/>
    <w:rsid w:val="00EB2912"/>
    <w:rsid w:val="00EB2944"/>
    <w:rsid w:val="00EB29A0"/>
    <w:rsid w:val="00EB29D1"/>
    <w:rsid w:val="00EB2A11"/>
    <w:rsid w:val="00EB2A16"/>
    <w:rsid w:val="00EB2A31"/>
    <w:rsid w:val="00EB2A41"/>
    <w:rsid w:val="00EB2B4F"/>
    <w:rsid w:val="00EB2B5E"/>
    <w:rsid w:val="00EB2B6E"/>
    <w:rsid w:val="00EB2B79"/>
    <w:rsid w:val="00EB2BC0"/>
    <w:rsid w:val="00EB2C12"/>
    <w:rsid w:val="00EB2C23"/>
    <w:rsid w:val="00EB2C24"/>
    <w:rsid w:val="00EB2C62"/>
    <w:rsid w:val="00EB2CDF"/>
    <w:rsid w:val="00EB2CFA"/>
    <w:rsid w:val="00EB2D4E"/>
    <w:rsid w:val="00EB2D73"/>
    <w:rsid w:val="00EB2D8F"/>
    <w:rsid w:val="00EB2DE2"/>
    <w:rsid w:val="00EB2DF2"/>
    <w:rsid w:val="00EB2DF7"/>
    <w:rsid w:val="00EB2E57"/>
    <w:rsid w:val="00EB2E60"/>
    <w:rsid w:val="00EB2EFE"/>
    <w:rsid w:val="00EB2F07"/>
    <w:rsid w:val="00EB2F67"/>
    <w:rsid w:val="00EB303C"/>
    <w:rsid w:val="00EB3040"/>
    <w:rsid w:val="00EB30B6"/>
    <w:rsid w:val="00EB3107"/>
    <w:rsid w:val="00EB3110"/>
    <w:rsid w:val="00EB3123"/>
    <w:rsid w:val="00EB31A3"/>
    <w:rsid w:val="00EB321E"/>
    <w:rsid w:val="00EB3233"/>
    <w:rsid w:val="00EB323F"/>
    <w:rsid w:val="00EB3240"/>
    <w:rsid w:val="00EB325C"/>
    <w:rsid w:val="00EB32A8"/>
    <w:rsid w:val="00EB3321"/>
    <w:rsid w:val="00EB332E"/>
    <w:rsid w:val="00EB339E"/>
    <w:rsid w:val="00EB33F9"/>
    <w:rsid w:val="00EB3447"/>
    <w:rsid w:val="00EB3455"/>
    <w:rsid w:val="00EB346B"/>
    <w:rsid w:val="00EB34AD"/>
    <w:rsid w:val="00EB34C9"/>
    <w:rsid w:val="00EB3535"/>
    <w:rsid w:val="00EB35B4"/>
    <w:rsid w:val="00EB35BD"/>
    <w:rsid w:val="00EB36F5"/>
    <w:rsid w:val="00EB374C"/>
    <w:rsid w:val="00EB3786"/>
    <w:rsid w:val="00EB37B4"/>
    <w:rsid w:val="00EB37C3"/>
    <w:rsid w:val="00EB380F"/>
    <w:rsid w:val="00EB387E"/>
    <w:rsid w:val="00EB388F"/>
    <w:rsid w:val="00EB3892"/>
    <w:rsid w:val="00EB38BF"/>
    <w:rsid w:val="00EB38E1"/>
    <w:rsid w:val="00EB38EA"/>
    <w:rsid w:val="00EB3955"/>
    <w:rsid w:val="00EB395D"/>
    <w:rsid w:val="00EB3A56"/>
    <w:rsid w:val="00EB3A64"/>
    <w:rsid w:val="00EB3ACB"/>
    <w:rsid w:val="00EB3AD8"/>
    <w:rsid w:val="00EB3B12"/>
    <w:rsid w:val="00EB3B9C"/>
    <w:rsid w:val="00EB3B9D"/>
    <w:rsid w:val="00EB3C2A"/>
    <w:rsid w:val="00EB3CA6"/>
    <w:rsid w:val="00EB3D80"/>
    <w:rsid w:val="00EB3D84"/>
    <w:rsid w:val="00EB3DA1"/>
    <w:rsid w:val="00EB3DD3"/>
    <w:rsid w:val="00EB3DEB"/>
    <w:rsid w:val="00EB3DFD"/>
    <w:rsid w:val="00EB3E0A"/>
    <w:rsid w:val="00EB3E6B"/>
    <w:rsid w:val="00EB3E6D"/>
    <w:rsid w:val="00EB3F2B"/>
    <w:rsid w:val="00EB3F73"/>
    <w:rsid w:val="00EB3F8C"/>
    <w:rsid w:val="00EB3FA4"/>
    <w:rsid w:val="00EB3FD0"/>
    <w:rsid w:val="00EB3FE5"/>
    <w:rsid w:val="00EB4080"/>
    <w:rsid w:val="00EB409A"/>
    <w:rsid w:val="00EB40B2"/>
    <w:rsid w:val="00EB4108"/>
    <w:rsid w:val="00EB4130"/>
    <w:rsid w:val="00EB4149"/>
    <w:rsid w:val="00EB41D6"/>
    <w:rsid w:val="00EB41E2"/>
    <w:rsid w:val="00EB421C"/>
    <w:rsid w:val="00EB4238"/>
    <w:rsid w:val="00EB42DE"/>
    <w:rsid w:val="00EB42E2"/>
    <w:rsid w:val="00EB42F4"/>
    <w:rsid w:val="00EB430A"/>
    <w:rsid w:val="00EB4312"/>
    <w:rsid w:val="00EB434C"/>
    <w:rsid w:val="00EB4366"/>
    <w:rsid w:val="00EB4406"/>
    <w:rsid w:val="00EB441B"/>
    <w:rsid w:val="00EB444E"/>
    <w:rsid w:val="00EB44A9"/>
    <w:rsid w:val="00EB4533"/>
    <w:rsid w:val="00EB455A"/>
    <w:rsid w:val="00EB4563"/>
    <w:rsid w:val="00EB458B"/>
    <w:rsid w:val="00EB45CE"/>
    <w:rsid w:val="00EB45E7"/>
    <w:rsid w:val="00EB4694"/>
    <w:rsid w:val="00EB46DB"/>
    <w:rsid w:val="00EB46EF"/>
    <w:rsid w:val="00EB4754"/>
    <w:rsid w:val="00EB4766"/>
    <w:rsid w:val="00EB4787"/>
    <w:rsid w:val="00EB479B"/>
    <w:rsid w:val="00EB47B8"/>
    <w:rsid w:val="00EB47BD"/>
    <w:rsid w:val="00EB47C2"/>
    <w:rsid w:val="00EB4839"/>
    <w:rsid w:val="00EB485B"/>
    <w:rsid w:val="00EB48A2"/>
    <w:rsid w:val="00EB49AF"/>
    <w:rsid w:val="00EB49B6"/>
    <w:rsid w:val="00EB49CA"/>
    <w:rsid w:val="00EB4A8C"/>
    <w:rsid w:val="00EB4BA3"/>
    <w:rsid w:val="00EB4C1B"/>
    <w:rsid w:val="00EB4C6D"/>
    <w:rsid w:val="00EB4C90"/>
    <w:rsid w:val="00EB4CAF"/>
    <w:rsid w:val="00EB4D04"/>
    <w:rsid w:val="00EB4D63"/>
    <w:rsid w:val="00EB4E36"/>
    <w:rsid w:val="00EB4E51"/>
    <w:rsid w:val="00EB4E76"/>
    <w:rsid w:val="00EB4EAD"/>
    <w:rsid w:val="00EB4EDF"/>
    <w:rsid w:val="00EB4F19"/>
    <w:rsid w:val="00EB4F2F"/>
    <w:rsid w:val="00EB4F55"/>
    <w:rsid w:val="00EB4FD0"/>
    <w:rsid w:val="00EB4FEB"/>
    <w:rsid w:val="00EB5043"/>
    <w:rsid w:val="00EB5046"/>
    <w:rsid w:val="00EB505C"/>
    <w:rsid w:val="00EB506A"/>
    <w:rsid w:val="00EB506E"/>
    <w:rsid w:val="00EB5078"/>
    <w:rsid w:val="00EB508C"/>
    <w:rsid w:val="00EB508E"/>
    <w:rsid w:val="00EB50A7"/>
    <w:rsid w:val="00EB50C5"/>
    <w:rsid w:val="00EB50F3"/>
    <w:rsid w:val="00EB510C"/>
    <w:rsid w:val="00EB5194"/>
    <w:rsid w:val="00EB51AB"/>
    <w:rsid w:val="00EB5221"/>
    <w:rsid w:val="00EB525D"/>
    <w:rsid w:val="00EB526B"/>
    <w:rsid w:val="00EB52C2"/>
    <w:rsid w:val="00EB52D8"/>
    <w:rsid w:val="00EB52F2"/>
    <w:rsid w:val="00EB5306"/>
    <w:rsid w:val="00EB530C"/>
    <w:rsid w:val="00EB531B"/>
    <w:rsid w:val="00EB5362"/>
    <w:rsid w:val="00EB5368"/>
    <w:rsid w:val="00EB5386"/>
    <w:rsid w:val="00EB539F"/>
    <w:rsid w:val="00EB53FE"/>
    <w:rsid w:val="00EB547C"/>
    <w:rsid w:val="00EB54AD"/>
    <w:rsid w:val="00EB54D8"/>
    <w:rsid w:val="00EB5510"/>
    <w:rsid w:val="00EB5531"/>
    <w:rsid w:val="00EB5576"/>
    <w:rsid w:val="00EB55A6"/>
    <w:rsid w:val="00EB5707"/>
    <w:rsid w:val="00EB57B8"/>
    <w:rsid w:val="00EB57C0"/>
    <w:rsid w:val="00EB57C4"/>
    <w:rsid w:val="00EB57E6"/>
    <w:rsid w:val="00EB57F1"/>
    <w:rsid w:val="00EB5807"/>
    <w:rsid w:val="00EB580C"/>
    <w:rsid w:val="00EB5816"/>
    <w:rsid w:val="00EB5822"/>
    <w:rsid w:val="00EB584C"/>
    <w:rsid w:val="00EB5864"/>
    <w:rsid w:val="00EB58DE"/>
    <w:rsid w:val="00EB5902"/>
    <w:rsid w:val="00EB5913"/>
    <w:rsid w:val="00EB5917"/>
    <w:rsid w:val="00EB5952"/>
    <w:rsid w:val="00EB5980"/>
    <w:rsid w:val="00EB5997"/>
    <w:rsid w:val="00EB599D"/>
    <w:rsid w:val="00EB5A21"/>
    <w:rsid w:val="00EB5A3A"/>
    <w:rsid w:val="00EB5A7A"/>
    <w:rsid w:val="00EB5B21"/>
    <w:rsid w:val="00EB5B4C"/>
    <w:rsid w:val="00EB5B9D"/>
    <w:rsid w:val="00EB5BD2"/>
    <w:rsid w:val="00EB5C1C"/>
    <w:rsid w:val="00EB5C4F"/>
    <w:rsid w:val="00EB5CA4"/>
    <w:rsid w:val="00EB5CE3"/>
    <w:rsid w:val="00EB5CEE"/>
    <w:rsid w:val="00EB5D2C"/>
    <w:rsid w:val="00EB5D42"/>
    <w:rsid w:val="00EB5DE0"/>
    <w:rsid w:val="00EB5E96"/>
    <w:rsid w:val="00EB5EE5"/>
    <w:rsid w:val="00EB5F06"/>
    <w:rsid w:val="00EB5F1E"/>
    <w:rsid w:val="00EB5F67"/>
    <w:rsid w:val="00EB5F92"/>
    <w:rsid w:val="00EB5FAE"/>
    <w:rsid w:val="00EB5FD4"/>
    <w:rsid w:val="00EB60D7"/>
    <w:rsid w:val="00EB60F2"/>
    <w:rsid w:val="00EB60F6"/>
    <w:rsid w:val="00EB617B"/>
    <w:rsid w:val="00EB61F1"/>
    <w:rsid w:val="00EB6248"/>
    <w:rsid w:val="00EB62F5"/>
    <w:rsid w:val="00EB6320"/>
    <w:rsid w:val="00EB6342"/>
    <w:rsid w:val="00EB6347"/>
    <w:rsid w:val="00EB6376"/>
    <w:rsid w:val="00EB6388"/>
    <w:rsid w:val="00EB63DF"/>
    <w:rsid w:val="00EB641F"/>
    <w:rsid w:val="00EB6452"/>
    <w:rsid w:val="00EB645A"/>
    <w:rsid w:val="00EB6482"/>
    <w:rsid w:val="00EB6498"/>
    <w:rsid w:val="00EB64B2"/>
    <w:rsid w:val="00EB64BD"/>
    <w:rsid w:val="00EB64CE"/>
    <w:rsid w:val="00EB6505"/>
    <w:rsid w:val="00EB656E"/>
    <w:rsid w:val="00EB656F"/>
    <w:rsid w:val="00EB65AC"/>
    <w:rsid w:val="00EB65D6"/>
    <w:rsid w:val="00EB65FF"/>
    <w:rsid w:val="00EB6647"/>
    <w:rsid w:val="00EB671A"/>
    <w:rsid w:val="00EB671C"/>
    <w:rsid w:val="00EB6730"/>
    <w:rsid w:val="00EB678B"/>
    <w:rsid w:val="00EB67AA"/>
    <w:rsid w:val="00EB682A"/>
    <w:rsid w:val="00EB6833"/>
    <w:rsid w:val="00EB6871"/>
    <w:rsid w:val="00EB68F1"/>
    <w:rsid w:val="00EB6901"/>
    <w:rsid w:val="00EB6902"/>
    <w:rsid w:val="00EB690F"/>
    <w:rsid w:val="00EB6930"/>
    <w:rsid w:val="00EB6939"/>
    <w:rsid w:val="00EB6974"/>
    <w:rsid w:val="00EB69D6"/>
    <w:rsid w:val="00EB69DA"/>
    <w:rsid w:val="00EB6B01"/>
    <w:rsid w:val="00EB6B71"/>
    <w:rsid w:val="00EB6BBC"/>
    <w:rsid w:val="00EB6BCF"/>
    <w:rsid w:val="00EB6BD2"/>
    <w:rsid w:val="00EB6BD4"/>
    <w:rsid w:val="00EB6C31"/>
    <w:rsid w:val="00EB6C5B"/>
    <w:rsid w:val="00EB6C7C"/>
    <w:rsid w:val="00EB6D30"/>
    <w:rsid w:val="00EB6D9A"/>
    <w:rsid w:val="00EB6DC7"/>
    <w:rsid w:val="00EB6DD2"/>
    <w:rsid w:val="00EB6E02"/>
    <w:rsid w:val="00EB6E55"/>
    <w:rsid w:val="00EB6EB0"/>
    <w:rsid w:val="00EB6EB2"/>
    <w:rsid w:val="00EB6F1B"/>
    <w:rsid w:val="00EB6F48"/>
    <w:rsid w:val="00EB6F9C"/>
    <w:rsid w:val="00EB6FB5"/>
    <w:rsid w:val="00EB6FE9"/>
    <w:rsid w:val="00EB6FFB"/>
    <w:rsid w:val="00EB704C"/>
    <w:rsid w:val="00EB7054"/>
    <w:rsid w:val="00EB7062"/>
    <w:rsid w:val="00EB7073"/>
    <w:rsid w:val="00EB7074"/>
    <w:rsid w:val="00EB70AC"/>
    <w:rsid w:val="00EB70B9"/>
    <w:rsid w:val="00EB70D2"/>
    <w:rsid w:val="00EB70E5"/>
    <w:rsid w:val="00EB7110"/>
    <w:rsid w:val="00EB719F"/>
    <w:rsid w:val="00EB721F"/>
    <w:rsid w:val="00EB7276"/>
    <w:rsid w:val="00EB7292"/>
    <w:rsid w:val="00EB72D9"/>
    <w:rsid w:val="00EB745D"/>
    <w:rsid w:val="00EB74B9"/>
    <w:rsid w:val="00EB74C5"/>
    <w:rsid w:val="00EB752D"/>
    <w:rsid w:val="00EB754A"/>
    <w:rsid w:val="00EB7569"/>
    <w:rsid w:val="00EB7574"/>
    <w:rsid w:val="00EB7598"/>
    <w:rsid w:val="00EB75C3"/>
    <w:rsid w:val="00EB75D0"/>
    <w:rsid w:val="00EB7641"/>
    <w:rsid w:val="00EB76D8"/>
    <w:rsid w:val="00EB76D9"/>
    <w:rsid w:val="00EB76E6"/>
    <w:rsid w:val="00EB76F5"/>
    <w:rsid w:val="00EB7726"/>
    <w:rsid w:val="00EB772F"/>
    <w:rsid w:val="00EB7798"/>
    <w:rsid w:val="00EB77F2"/>
    <w:rsid w:val="00EB7865"/>
    <w:rsid w:val="00EB78F5"/>
    <w:rsid w:val="00EB791F"/>
    <w:rsid w:val="00EB7953"/>
    <w:rsid w:val="00EB797B"/>
    <w:rsid w:val="00EB7A6E"/>
    <w:rsid w:val="00EB7AD5"/>
    <w:rsid w:val="00EB7B1D"/>
    <w:rsid w:val="00EB7B32"/>
    <w:rsid w:val="00EB7B44"/>
    <w:rsid w:val="00EB7B55"/>
    <w:rsid w:val="00EB7B5B"/>
    <w:rsid w:val="00EB7B6D"/>
    <w:rsid w:val="00EB7BB6"/>
    <w:rsid w:val="00EB7C27"/>
    <w:rsid w:val="00EB7C4C"/>
    <w:rsid w:val="00EB7C6B"/>
    <w:rsid w:val="00EB7C82"/>
    <w:rsid w:val="00EB7CAD"/>
    <w:rsid w:val="00EB7CAE"/>
    <w:rsid w:val="00EB7D2E"/>
    <w:rsid w:val="00EB7D37"/>
    <w:rsid w:val="00EB7D53"/>
    <w:rsid w:val="00EB7D5A"/>
    <w:rsid w:val="00EB7D9A"/>
    <w:rsid w:val="00EB7DB2"/>
    <w:rsid w:val="00EB7DD8"/>
    <w:rsid w:val="00EB7DEC"/>
    <w:rsid w:val="00EB7E28"/>
    <w:rsid w:val="00EB7F0B"/>
    <w:rsid w:val="00EB7F0D"/>
    <w:rsid w:val="00EB7F91"/>
    <w:rsid w:val="00EB7FA8"/>
    <w:rsid w:val="00EC0013"/>
    <w:rsid w:val="00EC0024"/>
    <w:rsid w:val="00EC002C"/>
    <w:rsid w:val="00EC0063"/>
    <w:rsid w:val="00EC009E"/>
    <w:rsid w:val="00EC00A3"/>
    <w:rsid w:val="00EC00AA"/>
    <w:rsid w:val="00EC00EA"/>
    <w:rsid w:val="00EC00F7"/>
    <w:rsid w:val="00EC014B"/>
    <w:rsid w:val="00EC0157"/>
    <w:rsid w:val="00EC017D"/>
    <w:rsid w:val="00EC0265"/>
    <w:rsid w:val="00EC02E2"/>
    <w:rsid w:val="00EC0301"/>
    <w:rsid w:val="00EC0483"/>
    <w:rsid w:val="00EC0490"/>
    <w:rsid w:val="00EC04E8"/>
    <w:rsid w:val="00EC053E"/>
    <w:rsid w:val="00EC05BE"/>
    <w:rsid w:val="00EC0631"/>
    <w:rsid w:val="00EC068D"/>
    <w:rsid w:val="00EC06A4"/>
    <w:rsid w:val="00EC07CD"/>
    <w:rsid w:val="00EC07D3"/>
    <w:rsid w:val="00EC080A"/>
    <w:rsid w:val="00EC081C"/>
    <w:rsid w:val="00EC0891"/>
    <w:rsid w:val="00EC08C4"/>
    <w:rsid w:val="00EC08F2"/>
    <w:rsid w:val="00EC093B"/>
    <w:rsid w:val="00EC0966"/>
    <w:rsid w:val="00EC09D4"/>
    <w:rsid w:val="00EC0A16"/>
    <w:rsid w:val="00EC0A26"/>
    <w:rsid w:val="00EC0AA8"/>
    <w:rsid w:val="00EC0ADD"/>
    <w:rsid w:val="00EC0B05"/>
    <w:rsid w:val="00EC0B55"/>
    <w:rsid w:val="00EC0B76"/>
    <w:rsid w:val="00EC0BC1"/>
    <w:rsid w:val="00EC0C37"/>
    <w:rsid w:val="00EC0C3F"/>
    <w:rsid w:val="00EC0C43"/>
    <w:rsid w:val="00EC0C63"/>
    <w:rsid w:val="00EC0C8C"/>
    <w:rsid w:val="00EC0CC1"/>
    <w:rsid w:val="00EC0D4C"/>
    <w:rsid w:val="00EC0DA9"/>
    <w:rsid w:val="00EC0DC3"/>
    <w:rsid w:val="00EC0DDC"/>
    <w:rsid w:val="00EC0DDD"/>
    <w:rsid w:val="00EC0E1D"/>
    <w:rsid w:val="00EC0E4C"/>
    <w:rsid w:val="00EC0E4D"/>
    <w:rsid w:val="00EC0E5C"/>
    <w:rsid w:val="00EC0E95"/>
    <w:rsid w:val="00EC0EAA"/>
    <w:rsid w:val="00EC0EAC"/>
    <w:rsid w:val="00EC0ECC"/>
    <w:rsid w:val="00EC0EE9"/>
    <w:rsid w:val="00EC0F77"/>
    <w:rsid w:val="00EC0FA9"/>
    <w:rsid w:val="00EC0FE4"/>
    <w:rsid w:val="00EC1009"/>
    <w:rsid w:val="00EC1042"/>
    <w:rsid w:val="00EC1155"/>
    <w:rsid w:val="00EC1197"/>
    <w:rsid w:val="00EC11AC"/>
    <w:rsid w:val="00EC11E8"/>
    <w:rsid w:val="00EC11FC"/>
    <w:rsid w:val="00EC126C"/>
    <w:rsid w:val="00EC12A6"/>
    <w:rsid w:val="00EC12B5"/>
    <w:rsid w:val="00EC12BA"/>
    <w:rsid w:val="00EC12C2"/>
    <w:rsid w:val="00EC12E9"/>
    <w:rsid w:val="00EC1307"/>
    <w:rsid w:val="00EC1359"/>
    <w:rsid w:val="00EC136A"/>
    <w:rsid w:val="00EC136E"/>
    <w:rsid w:val="00EC1382"/>
    <w:rsid w:val="00EC138F"/>
    <w:rsid w:val="00EC14DF"/>
    <w:rsid w:val="00EC1522"/>
    <w:rsid w:val="00EC1523"/>
    <w:rsid w:val="00EC1568"/>
    <w:rsid w:val="00EC15BE"/>
    <w:rsid w:val="00EC15D7"/>
    <w:rsid w:val="00EC15E6"/>
    <w:rsid w:val="00EC1666"/>
    <w:rsid w:val="00EC16B1"/>
    <w:rsid w:val="00EC16B5"/>
    <w:rsid w:val="00EC1772"/>
    <w:rsid w:val="00EC1780"/>
    <w:rsid w:val="00EC1784"/>
    <w:rsid w:val="00EC17B1"/>
    <w:rsid w:val="00EC17BF"/>
    <w:rsid w:val="00EC17FE"/>
    <w:rsid w:val="00EC183F"/>
    <w:rsid w:val="00EC1876"/>
    <w:rsid w:val="00EC193E"/>
    <w:rsid w:val="00EC19A6"/>
    <w:rsid w:val="00EC19B1"/>
    <w:rsid w:val="00EC1A03"/>
    <w:rsid w:val="00EC1A40"/>
    <w:rsid w:val="00EC1A81"/>
    <w:rsid w:val="00EC1A8A"/>
    <w:rsid w:val="00EC1A9F"/>
    <w:rsid w:val="00EC1ADD"/>
    <w:rsid w:val="00EC1AF9"/>
    <w:rsid w:val="00EC1B06"/>
    <w:rsid w:val="00EC1B6C"/>
    <w:rsid w:val="00EC1BC2"/>
    <w:rsid w:val="00EC1C03"/>
    <w:rsid w:val="00EC1C09"/>
    <w:rsid w:val="00EC1C72"/>
    <w:rsid w:val="00EC1CB7"/>
    <w:rsid w:val="00EC1CD1"/>
    <w:rsid w:val="00EC1D71"/>
    <w:rsid w:val="00EC1DB7"/>
    <w:rsid w:val="00EC1DC0"/>
    <w:rsid w:val="00EC1E81"/>
    <w:rsid w:val="00EC1E9E"/>
    <w:rsid w:val="00EC1F21"/>
    <w:rsid w:val="00EC1F35"/>
    <w:rsid w:val="00EC1F9C"/>
    <w:rsid w:val="00EC2008"/>
    <w:rsid w:val="00EC2017"/>
    <w:rsid w:val="00EC2025"/>
    <w:rsid w:val="00EC205D"/>
    <w:rsid w:val="00EC213A"/>
    <w:rsid w:val="00EC2158"/>
    <w:rsid w:val="00EC21AC"/>
    <w:rsid w:val="00EC2214"/>
    <w:rsid w:val="00EC222A"/>
    <w:rsid w:val="00EC2260"/>
    <w:rsid w:val="00EC227D"/>
    <w:rsid w:val="00EC22F0"/>
    <w:rsid w:val="00EC2327"/>
    <w:rsid w:val="00EC2333"/>
    <w:rsid w:val="00EC2337"/>
    <w:rsid w:val="00EC23A4"/>
    <w:rsid w:val="00EC23FF"/>
    <w:rsid w:val="00EC2408"/>
    <w:rsid w:val="00EC2426"/>
    <w:rsid w:val="00EC24A4"/>
    <w:rsid w:val="00EC24D8"/>
    <w:rsid w:val="00EC24E7"/>
    <w:rsid w:val="00EC24E8"/>
    <w:rsid w:val="00EC2509"/>
    <w:rsid w:val="00EC25CD"/>
    <w:rsid w:val="00EC25D4"/>
    <w:rsid w:val="00EC25E7"/>
    <w:rsid w:val="00EC2680"/>
    <w:rsid w:val="00EC2689"/>
    <w:rsid w:val="00EC26A1"/>
    <w:rsid w:val="00EC26C3"/>
    <w:rsid w:val="00EC270A"/>
    <w:rsid w:val="00EC2854"/>
    <w:rsid w:val="00EC2893"/>
    <w:rsid w:val="00EC2899"/>
    <w:rsid w:val="00EC28EC"/>
    <w:rsid w:val="00EC2985"/>
    <w:rsid w:val="00EC299D"/>
    <w:rsid w:val="00EC2ABC"/>
    <w:rsid w:val="00EC2B15"/>
    <w:rsid w:val="00EC2B4A"/>
    <w:rsid w:val="00EC2B87"/>
    <w:rsid w:val="00EC2B95"/>
    <w:rsid w:val="00EC2BAD"/>
    <w:rsid w:val="00EC2BDA"/>
    <w:rsid w:val="00EC2C0D"/>
    <w:rsid w:val="00EC2C47"/>
    <w:rsid w:val="00EC2C51"/>
    <w:rsid w:val="00EC2C95"/>
    <w:rsid w:val="00EC2D3F"/>
    <w:rsid w:val="00EC2D8F"/>
    <w:rsid w:val="00EC2D9C"/>
    <w:rsid w:val="00EC2DD6"/>
    <w:rsid w:val="00EC2E6B"/>
    <w:rsid w:val="00EC2EAE"/>
    <w:rsid w:val="00EC2F71"/>
    <w:rsid w:val="00EC2F7A"/>
    <w:rsid w:val="00EC2F91"/>
    <w:rsid w:val="00EC2FB0"/>
    <w:rsid w:val="00EC2FC9"/>
    <w:rsid w:val="00EC3017"/>
    <w:rsid w:val="00EC3034"/>
    <w:rsid w:val="00EC30DF"/>
    <w:rsid w:val="00EC30EB"/>
    <w:rsid w:val="00EC310D"/>
    <w:rsid w:val="00EC3111"/>
    <w:rsid w:val="00EC311C"/>
    <w:rsid w:val="00EC3161"/>
    <w:rsid w:val="00EC3172"/>
    <w:rsid w:val="00EC31D2"/>
    <w:rsid w:val="00EC321A"/>
    <w:rsid w:val="00EC3229"/>
    <w:rsid w:val="00EC3265"/>
    <w:rsid w:val="00EC3272"/>
    <w:rsid w:val="00EC327F"/>
    <w:rsid w:val="00EC3288"/>
    <w:rsid w:val="00EC32D6"/>
    <w:rsid w:val="00EC3327"/>
    <w:rsid w:val="00EC3328"/>
    <w:rsid w:val="00EC332D"/>
    <w:rsid w:val="00EC332E"/>
    <w:rsid w:val="00EC334A"/>
    <w:rsid w:val="00EC3378"/>
    <w:rsid w:val="00EC341C"/>
    <w:rsid w:val="00EC3434"/>
    <w:rsid w:val="00EC3460"/>
    <w:rsid w:val="00EC3498"/>
    <w:rsid w:val="00EC34E7"/>
    <w:rsid w:val="00EC34F1"/>
    <w:rsid w:val="00EC34FC"/>
    <w:rsid w:val="00EC3500"/>
    <w:rsid w:val="00EC3517"/>
    <w:rsid w:val="00EC352C"/>
    <w:rsid w:val="00EC3539"/>
    <w:rsid w:val="00EC35DB"/>
    <w:rsid w:val="00EC3652"/>
    <w:rsid w:val="00EC3653"/>
    <w:rsid w:val="00EC3669"/>
    <w:rsid w:val="00EC369F"/>
    <w:rsid w:val="00EC36A7"/>
    <w:rsid w:val="00EC36F8"/>
    <w:rsid w:val="00EC372A"/>
    <w:rsid w:val="00EC3730"/>
    <w:rsid w:val="00EC3751"/>
    <w:rsid w:val="00EC375D"/>
    <w:rsid w:val="00EC3767"/>
    <w:rsid w:val="00EC3783"/>
    <w:rsid w:val="00EC37A2"/>
    <w:rsid w:val="00EC37BB"/>
    <w:rsid w:val="00EC3846"/>
    <w:rsid w:val="00EC38D4"/>
    <w:rsid w:val="00EC3902"/>
    <w:rsid w:val="00EC3938"/>
    <w:rsid w:val="00EC395F"/>
    <w:rsid w:val="00EC39A6"/>
    <w:rsid w:val="00EC3A2B"/>
    <w:rsid w:val="00EC3A5B"/>
    <w:rsid w:val="00EC3ACD"/>
    <w:rsid w:val="00EC3B27"/>
    <w:rsid w:val="00EC3BB8"/>
    <w:rsid w:val="00EC3BD6"/>
    <w:rsid w:val="00EC3BDC"/>
    <w:rsid w:val="00EC3C25"/>
    <w:rsid w:val="00EC3C2D"/>
    <w:rsid w:val="00EC3CC1"/>
    <w:rsid w:val="00EC3CF3"/>
    <w:rsid w:val="00EC3D11"/>
    <w:rsid w:val="00EC3D22"/>
    <w:rsid w:val="00EC3DB2"/>
    <w:rsid w:val="00EC3E53"/>
    <w:rsid w:val="00EC3E5B"/>
    <w:rsid w:val="00EC3F7B"/>
    <w:rsid w:val="00EC3F84"/>
    <w:rsid w:val="00EC3FCB"/>
    <w:rsid w:val="00EC3FD5"/>
    <w:rsid w:val="00EC3FDE"/>
    <w:rsid w:val="00EC3FFD"/>
    <w:rsid w:val="00EC4001"/>
    <w:rsid w:val="00EC405E"/>
    <w:rsid w:val="00EC407B"/>
    <w:rsid w:val="00EC408E"/>
    <w:rsid w:val="00EC40F1"/>
    <w:rsid w:val="00EC410D"/>
    <w:rsid w:val="00EC414C"/>
    <w:rsid w:val="00EC41B8"/>
    <w:rsid w:val="00EC41D9"/>
    <w:rsid w:val="00EC4207"/>
    <w:rsid w:val="00EC4243"/>
    <w:rsid w:val="00EC4256"/>
    <w:rsid w:val="00EC4276"/>
    <w:rsid w:val="00EC42CC"/>
    <w:rsid w:val="00EC4303"/>
    <w:rsid w:val="00EC4318"/>
    <w:rsid w:val="00EC4384"/>
    <w:rsid w:val="00EC43E6"/>
    <w:rsid w:val="00EC43E8"/>
    <w:rsid w:val="00EC4473"/>
    <w:rsid w:val="00EC448D"/>
    <w:rsid w:val="00EC44F1"/>
    <w:rsid w:val="00EC4507"/>
    <w:rsid w:val="00EC454B"/>
    <w:rsid w:val="00EC454D"/>
    <w:rsid w:val="00EC4560"/>
    <w:rsid w:val="00EC45AB"/>
    <w:rsid w:val="00EC462C"/>
    <w:rsid w:val="00EC466B"/>
    <w:rsid w:val="00EC467C"/>
    <w:rsid w:val="00EC468B"/>
    <w:rsid w:val="00EC4696"/>
    <w:rsid w:val="00EC46AE"/>
    <w:rsid w:val="00EC479F"/>
    <w:rsid w:val="00EC47A0"/>
    <w:rsid w:val="00EC47A1"/>
    <w:rsid w:val="00EC483A"/>
    <w:rsid w:val="00EC4888"/>
    <w:rsid w:val="00EC48B5"/>
    <w:rsid w:val="00EC48BF"/>
    <w:rsid w:val="00EC48CB"/>
    <w:rsid w:val="00EC4923"/>
    <w:rsid w:val="00EC492C"/>
    <w:rsid w:val="00EC49BA"/>
    <w:rsid w:val="00EC4A0B"/>
    <w:rsid w:val="00EC4A8F"/>
    <w:rsid w:val="00EC4A93"/>
    <w:rsid w:val="00EC4A97"/>
    <w:rsid w:val="00EC4AA3"/>
    <w:rsid w:val="00EC4ABF"/>
    <w:rsid w:val="00EC4AD2"/>
    <w:rsid w:val="00EC4B66"/>
    <w:rsid w:val="00EC4BBF"/>
    <w:rsid w:val="00EC4C68"/>
    <w:rsid w:val="00EC4C8F"/>
    <w:rsid w:val="00EC4D46"/>
    <w:rsid w:val="00EC4DA1"/>
    <w:rsid w:val="00EC4DEF"/>
    <w:rsid w:val="00EC4DF7"/>
    <w:rsid w:val="00EC4E53"/>
    <w:rsid w:val="00EC4E5B"/>
    <w:rsid w:val="00EC4E8D"/>
    <w:rsid w:val="00EC4ED7"/>
    <w:rsid w:val="00EC4F3E"/>
    <w:rsid w:val="00EC4F4B"/>
    <w:rsid w:val="00EC5000"/>
    <w:rsid w:val="00EC504E"/>
    <w:rsid w:val="00EC5055"/>
    <w:rsid w:val="00EC512B"/>
    <w:rsid w:val="00EC518D"/>
    <w:rsid w:val="00EC51DB"/>
    <w:rsid w:val="00EC520A"/>
    <w:rsid w:val="00EC520F"/>
    <w:rsid w:val="00EC522C"/>
    <w:rsid w:val="00EC525A"/>
    <w:rsid w:val="00EC5364"/>
    <w:rsid w:val="00EC5409"/>
    <w:rsid w:val="00EC542B"/>
    <w:rsid w:val="00EC5437"/>
    <w:rsid w:val="00EC5452"/>
    <w:rsid w:val="00EC54DB"/>
    <w:rsid w:val="00EC54F0"/>
    <w:rsid w:val="00EC5514"/>
    <w:rsid w:val="00EC551E"/>
    <w:rsid w:val="00EC557B"/>
    <w:rsid w:val="00EC558D"/>
    <w:rsid w:val="00EC55A1"/>
    <w:rsid w:val="00EC55A4"/>
    <w:rsid w:val="00EC55D5"/>
    <w:rsid w:val="00EC5648"/>
    <w:rsid w:val="00EC5652"/>
    <w:rsid w:val="00EC56AF"/>
    <w:rsid w:val="00EC56C1"/>
    <w:rsid w:val="00EC56C2"/>
    <w:rsid w:val="00EC5723"/>
    <w:rsid w:val="00EC5728"/>
    <w:rsid w:val="00EC5733"/>
    <w:rsid w:val="00EC577D"/>
    <w:rsid w:val="00EC577F"/>
    <w:rsid w:val="00EC5793"/>
    <w:rsid w:val="00EC579E"/>
    <w:rsid w:val="00EC57BE"/>
    <w:rsid w:val="00EC57C9"/>
    <w:rsid w:val="00EC57EA"/>
    <w:rsid w:val="00EC57EE"/>
    <w:rsid w:val="00EC5819"/>
    <w:rsid w:val="00EC5843"/>
    <w:rsid w:val="00EC5877"/>
    <w:rsid w:val="00EC58B0"/>
    <w:rsid w:val="00EC58CA"/>
    <w:rsid w:val="00EC58EF"/>
    <w:rsid w:val="00EC5909"/>
    <w:rsid w:val="00EC590A"/>
    <w:rsid w:val="00EC5987"/>
    <w:rsid w:val="00EC598D"/>
    <w:rsid w:val="00EC59DF"/>
    <w:rsid w:val="00EC5A2F"/>
    <w:rsid w:val="00EC5B7C"/>
    <w:rsid w:val="00EC5B81"/>
    <w:rsid w:val="00EC5BF5"/>
    <w:rsid w:val="00EC5D1C"/>
    <w:rsid w:val="00EC5DB6"/>
    <w:rsid w:val="00EC5E00"/>
    <w:rsid w:val="00EC5E43"/>
    <w:rsid w:val="00EC5E5E"/>
    <w:rsid w:val="00EC5E62"/>
    <w:rsid w:val="00EC5E97"/>
    <w:rsid w:val="00EC5EB6"/>
    <w:rsid w:val="00EC5ED2"/>
    <w:rsid w:val="00EC5EDE"/>
    <w:rsid w:val="00EC5F05"/>
    <w:rsid w:val="00EC5F26"/>
    <w:rsid w:val="00EC5FBE"/>
    <w:rsid w:val="00EC5FC0"/>
    <w:rsid w:val="00EC5FC1"/>
    <w:rsid w:val="00EC602C"/>
    <w:rsid w:val="00EC6038"/>
    <w:rsid w:val="00EC6148"/>
    <w:rsid w:val="00EC6172"/>
    <w:rsid w:val="00EC61F5"/>
    <w:rsid w:val="00EC624F"/>
    <w:rsid w:val="00EC631D"/>
    <w:rsid w:val="00EC6328"/>
    <w:rsid w:val="00EC636B"/>
    <w:rsid w:val="00EC63DD"/>
    <w:rsid w:val="00EC642E"/>
    <w:rsid w:val="00EC643F"/>
    <w:rsid w:val="00EC650D"/>
    <w:rsid w:val="00EC6590"/>
    <w:rsid w:val="00EC65D9"/>
    <w:rsid w:val="00EC6652"/>
    <w:rsid w:val="00EC665D"/>
    <w:rsid w:val="00EC6685"/>
    <w:rsid w:val="00EC66AB"/>
    <w:rsid w:val="00EC66B1"/>
    <w:rsid w:val="00EC66CC"/>
    <w:rsid w:val="00EC66E5"/>
    <w:rsid w:val="00EC6701"/>
    <w:rsid w:val="00EC673D"/>
    <w:rsid w:val="00EC6761"/>
    <w:rsid w:val="00EC67B9"/>
    <w:rsid w:val="00EC67D8"/>
    <w:rsid w:val="00EC6911"/>
    <w:rsid w:val="00EC6912"/>
    <w:rsid w:val="00EC695D"/>
    <w:rsid w:val="00EC69A4"/>
    <w:rsid w:val="00EC6A17"/>
    <w:rsid w:val="00EC6AE0"/>
    <w:rsid w:val="00EC6AE5"/>
    <w:rsid w:val="00EC6B99"/>
    <w:rsid w:val="00EC6BF0"/>
    <w:rsid w:val="00EC6C2A"/>
    <w:rsid w:val="00EC6C60"/>
    <w:rsid w:val="00EC6C70"/>
    <w:rsid w:val="00EC6CA9"/>
    <w:rsid w:val="00EC6CBE"/>
    <w:rsid w:val="00EC6D0D"/>
    <w:rsid w:val="00EC6D28"/>
    <w:rsid w:val="00EC6D9B"/>
    <w:rsid w:val="00EC6DC0"/>
    <w:rsid w:val="00EC6DCC"/>
    <w:rsid w:val="00EC6E39"/>
    <w:rsid w:val="00EC6E8C"/>
    <w:rsid w:val="00EC6ED4"/>
    <w:rsid w:val="00EC6F51"/>
    <w:rsid w:val="00EC6F5A"/>
    <w:rsid w:val="00EC6FA6"/>
    <w:rsid w:val="00EC6FDA"/>
    <w:rsid w:val="00EC6FF1"/>
    <w:rsid w:val="00EC7008"/>
    <w:rsid w:val="00EC70B0"/>
    <w:rsid w:val="00EC7116"/>
    <w:rsid w:val="00EC7118"/>
    <w:rsid w:val="00EC7128"/>
    <w:rsid w:val="00EC7142"/>
    <w:rsid w:val="00EC718D"/>
    <w:rsid w:val="00EC7222"/>
    <w:rsid w:val="00EC72B6"/>
    <w:rsid w:val="00EC72FC"/>
    <w:rsid w:val="00EC73E4"/>
    <w:rsid w:val="00EC73F1"/>
    <w:rsid w:val="00EC7441"/>
    <w:rsid w:val="00EC744F"/>
    <w:rsid w:val="00EC747A"/>
    <w:rsid w:val="00EC7496"/>
    <w:rsid w:val="00EC74AD"/>
    <w:rsid w:val="00EC7512"/>
    <w:rsid w:val="00EC757D"/>
    <w:rsid w:val="00EC75B4"/>
    <w:rsid w:val="00EC75E0"/>
    <w:rsid w:val="00EC7602"/>
    <w:rsid w:val="00EC7659"/>
    <w:rsid w:val="00EC76C0"/>
    <w:rsid w:val="00EC76EC"/>
    <w:rsid w:val="00EC770A"/>
    <w:rsid w:val="00EC771E"/>
    <w:rsid w:val="00EC776B"/>
    <w:rsid w:val="00EC779C"/>
    <w:rsid w:val="00EC7802"/>
    <w:rsid w:val="00EC784C"/>
    <w:rsid w:val="00EC7884"/>
    <w:rsid w:val="00EC7A46"/>
    <w:rsid w:val="00EC7AA2"/>
    <w:rsid w:val="00EC7AE5"/>
    <w:rsid w:val="00EC7B0C"/>
    <w:rsid w:val="00EC7B74"/>
    <w:rsid w:val="00EC7BB3"/>
    <w:rsid w:val="00EC7BFF"/>
    <w:rsid w:val="00EC7C81"/>
    <w:rsid w:val="00EC7D7C"/>
    <w:rsid w:val="00EC7DB9"/>
    <w:rsid w:val="00EC7DE1"/>
    <w:rsid w:val="00EC7DED"/>
    <w:rsid w:val="00EC7DFF"/>
    <w:rsid w:val="00EC7E2D"/>
    <w:rsid w:val="00EC7E61"/>
    <w:rsid w:val="00EC7EE4"/>
    <w:rsid w:val="00EC7F02"/>
    <w:rsid w:val="00EC7F46"/>
    <w:rsid w:val="00EC7F49"/>
    <w:rsid w:val="00EC7FE3"/>
    <w:rsid w:val="00ED0014"/>
    <w:rsid w:val="00ED0044"/>
    <w:rsid w:val="00ED009A"/>
    <w:rsid w:val="00ED00FD"/>
    <w:rsid w:val="00ED0116"/>
    <w:rsid w:val="00ED0136"/>
    <w:rsid w:val="00ED01F7"/>
    <w:rsid w:val="00ED0284"/>
    <w:rsid w:val="00ED029A"/>
    <w:rsid w:val="00ED02DD"/>
    <w:rsid w:val="00ED0381"/>
    <w:rsid w:val="00ED03B5"/>
    <w:rsid w:val="00ED03FC"/>
    <w:rsid w:val="00ED0402"/>
    <w:rsid w:val="00ED044C"/>
    <w:rsid w:val="00ED0458"/>
    <w:rsid w:val="00ED046B"/>
    <w:rsid w:val="00ED04BD"/>
    <w:rsid w:val="00ED04DB"/>
    <w:rsid w:val="00ED051D"/>
    <w:rsid w:val="00ED0607"/>
    <w:rsid w:val="00ED06AA"/>
    <w:rsid w:val="00ED06B7"/>
    <w:rsid w:val="00ED0700"/>
    <w:rsid w:val="00ED0826"/>
    <w:rsid w:val="00ED0829"/>
    <w:rsid w:val="00ED0831"/>
    <w:rsid w:val="00ED086C"/>
    <w:rsid w:val="00ED08E2"/>
    <w:rsid w:val="00ED0912"/>
    <w:rsid w:val="00ED0923"/>
    <w:rsid w:val="00ED093E"/>
    <w:rsid w:val="00ED094D"/>
    <w:rsid w:val="00ED095D"/>
    <w:rsid w:val="00ED09AB"/>
    <w:rsid w:val="00ED0A31"/>
    <w:rsid w:val="00ED0A6B"/>
    <w:rsid w:val="00ED0A76"/>
    <w:rsid w:val="00ED0AB4"/>
    <w:rsid w:val="00ED0B60"/>
    <w:rsid w:val="00ED0B8F"/>
    <w:rsid w:val="00ED0BF9"/>
    <w:rsid w:val="00ED0C2E"/>
    <w:rsid w:val="00ED0C3A"/>
    <w:rsid w:val="00ED0D07"/>
    <w:rsid w:val="00ED0D34"/>
    <w:rsid w:val="00ED0D92"/>
    <w:rsid w:val="00ED0D93"/>
    <w:rsid w:val="00ED0DA3"/>
    <w:rsid w:val="00ED0DF7"/>
    <w:rsid w:val="00ED0DFB"/>
    <w:rsid w:val="00ED0E07"/>
    <w:rsid w:val="00ED0E08"/>
    <w:rsid w:val="00ED0E23"/>
    <w:rsid w:val="00ED0E39"/>
    <w:rsid w:val="00ED0E63"/>
    <w:rsid w:val="00ED0E8C"/>
    <w:rsid w:val="00ED0E9A"/>
    <w:rsid w:val="00ED0F5B"/>
    <w:rsid w:val="00ED0FCC"/>
    <w:rsid w:val="00ED0FDF"/>
    <w:rsid w:val="00ED102C"/>
    <w:rsid w:val="00ED1064"/>
    <w:rsid w:val="00ED10F1"/>
    <w:rsid w:val="00ED1122"/>
    <w:rsid w:val="00ED1160"/>
    <w:rsid w:val="00ED1161"/>
    <w:rsid w:val="00ED116E"/>
    <w:rsid w:val="00ED11A4"/>
    <w:rsid w:val="00ED11CF"/>
    <w:rsid w:val="00ED11FB"/>
    <w:rsid w:val="00ED125B"/>
    <w:rsid w:val="00ED1270"/>
    <w:rsid w:val="00ED1285"/>
    <w:rsid w:val="00ED128C"/>
    <w:rsid w:val="00ED12A1"/>
    <w:rsid w:val="00ED12AF"/>
    <w:rsid w:val="00ED132C"/>
    <w:rsid w:val="00ED1337"/>
    <w:rsid w:val="00ED1339"/>
    <w:rsid w:val="00ED135B"/>
    <w:rsid w:val="00ED136D"/>
    <w:rsid w:val="00ED1393"/>
    <w:rsid w:val="00ED140D"/>
    <w:rsid w:val="00ED1431"/>
    <w:rsid w:val="00ED1449"/>
    <w:rsid w:val="00ED145D"/>
    <w:rsid w:val="00ED1464"/>
    <w:rsid w:val="00ED1487"/>
    <w:rsid w:val="00ED14B0"/>
    <w:rsid w:val="00ED1529"/>
    <w:rsid w:val="00ED1534"/>
    <w:rsid w:val="00ED154A"/>
    <w:rsid w:val="00ED1558"/>
    <w:rsid w:val="00ED157F"/>
    <w:rsid w:val="00ED15A6"/>
    <w:rsid w:val="00ED15FC"/>
    <w:rsid w:val="00ED161B"/>
    <w:rsid w:val="00ED1620"/>
    <w:rsid w:val="00ED1623"/>
    <w:rsid w:val="00ED162D"/>
    <w:rsid w:val="00ED165A"/>
    <w:rsid w:val="00ED1694"/>
    <w:rsid w:val="00ED1697"/>
    <w:rsid w:val="00ED16A3"/>
    <w:rsid w:val="00ED16F1"/>
    <w:rsid w:val="00ED1702"/>
    <w:rsid w:val="00ED171E"/>
    <w:rsid w:val="00ED1730"/>
    <w:rsid w:val="00ED174D"/>
    <w:rsid w:val="00ED1757"/>
    <w:rsid w:val="00ED17A2"/>
    <w:rsid w:val="00ED17ED"/>
    <w:rsid w:val="00ED183B"/>
    <w:rsid w:val="00ED1840"/>
    <w:rsid w:val="00ED1875"/>
    <w:rsid w:val="00ED1902"/>
    <w:rsid w:val="00ED191A"/>
    <w:rsid w:val="00ED1982"/>
    <w:rsid w:val="00ED198F"/>
    <w:rsid w:val="00ED19F7"/>
    <w:rsid w:val="00ED1A17"/>
    <w:rsid w:val="00ED1A1C"/>
    <w:rsid w:val="00ED1A5B"/>
    <w:rsid w:val="00ED1A74"/>
    <w:rsid w:val="00ED1AFC"/>
    <w:rsid w:val="00ED1B31"/>
    <w:rsid w:val="00ED1B97"/>
    <w:rsid w:val="00ED1BE9"/>
    <w:rsid w:val="00ED1BEC"/>
    <w:rsid w:val="00ED1BED"/>
    <w:rsid w:val="00ED1C17"/>
    <w:rsid w:val="00ED1C58"/>
    <w:rsid w:val="00ED1C8B"/>
    <w:rsid w:val="00ED1CD8"/>
    <w:rsid w:val="00ED1D23"/>
    <w:rsid w:val="00ED1D24"/>
    <w:rsid w:val="00ED1D84"/>
    <w:rsid w:val="00ED1D99"/>
    <w:rsid w:val="00ED1DC2"/>
    <w:rsid w:val="00ED1E07"/>
    <w:rsid w:val="00ED1E39"/>
    <w:rsid w:val="00ED1E49"/>
    <w:rsid w:val="00ED1EB2"/>
    <w:rsid w:val="00ED1EC7"/>
    <w:rsid w:val="00ED1F49"/>
    <w:rsid w:val="00ED1F56"/>
    <w:rsid w:val="00ED1F78"/>
    <w:rsid w:val="00ED1FBA"/>
    <w:rsid w:val="00ED1FE0"/>
    <w:rsid w:val="00ED2068"/>
    <w:rsid w:val="00ED20C1"/>
    <w:rsid w:val="00ED20EC"/>
    <w:rsid w:val="00ED2144"/>
    <w:rsid w:val="00ED21A8"/>
    <w:rsid w:val="00ED223A"/>
    <w:rsid w:val="00ED2257"/>
    <w:rsid w:val="00ED227A"/>
    <w:rsid w:val="00ED227F"/>
    <w:rsid w:val="00ED22C4"/>
    <w:rsid w:val="00ED22F3"/>
    <w:rsid w:val="00ED236A"/>
    <w:rsid w:val="00ED23D7"/>
    <w:rsid w:val="00ED2490"/>
    <w:rsid w:val="00ED24AF"/>
    <w:rsid w:val="00ED24B2"/>
    <w:rsid w:val="00ED24C4"/>
    <w:rsid w:val="00ED2504"/>
    <w:rsid w:val="00ED2510"/>
    <w:rsid w:val="00ED2523"/>
    <w:rsid w:val="00ED2593"/>
    <w:rsid w:val="00ED25A7"/>
    <w:rsid w:val="00ED25AE"/>
    <w:rsid w:val="00ED25BF"/>
    <w:rsid w:val="00ED25F3"/>
    <w:rsid w:val="00ED263C"/>
    <w:rsid w:val="00ED2649"/>
    <w:rsid w:val="00ED265F"/>
    <w:rsid w:val="00ED26B3"/>
    <w:rsid w:val="00ED27A3"/>
    <w:rsid w:val="00ED27CC"/>
    <w:rsid w:val="00ED283F"/>
    <w:rsid w:val="00ED2847"/>
    <w:rsid w:val="00ED2877"/>
    <w:rsid w:val="00ED288A"/>
    <w:rsid w:val="00ED288D"/>
    <w:rsid w:val="00ED2978"/>
    <w:rsid w:val="00ED298E"/>
    <w:rsid w:val="00ED29C8"/>
    <w:rsid w:val="00ED2A24"/>
    <w:rsid w:val="00ED2A41"/>
    <w:rsid w:val="00ED2A7C"/>
    <w:rsid w:val="00ED2ABC"/>
    <w:rsid w:val="00ED2B2F"/>
    <w:rsid w:val="00ED2B7F"/>
    <w:rsid w:val="00ED2BB8"/>
    <w:rsid w:val="00ED2C10"/>
    <w:rsid w:val="00ED2CAD"/>
    <w:rsid w:val="00ED2CB7"/>
    <w:rsid w:val="00ED2D4B"/>
    <w:rsid w:val="00ED2E07"/>
    <w:rsid w:val="00ED2E24"/>
    <w:rsid w:val="00ED2E4D"/>
    <w:rsid w:val="00ED2E81"/>
    <w:rsid w:val="00ED2EBA"/>
    <w:rsid w:val="00ED2EF4"/>
    <w:rsid w:val="00ED2F1E"/>
    <w:rsid w:val="00ED2F75"/>
    <w:rsid w:val="00ED3022"/>
    <w:rsid w:val="00ED30B3"/>
    <w:rsid w:val="00ED313A"/>
    <w:rsid w:val="00ED313C"/>
    <w:rsid w:val="00ED31D1"/>
    <w:rsid w:val="00ED3226"/>
    <w:rsid w:val="00ED32AB"/>
    <w:rsid w:val="00ED32C5"/>
    <w:rsid w:val="00ED32F4"/>
    <w:rsid w:val="00ED336C"/>
    <w:rsid w:val="00ED3387"/>
    <w:rsid w:val="00ED33A1"/>
    <w:rsid w:val="00ED3433"/>
    <w:rsid w:val="00ED3456"/>
    <w:rsid w:val="00ED349A"/>
    <w:rsid w:val="00ED349E"/>
    <w:rsid w:val="00ED34B1"/>
    <w:rsid w:val="00ED34FD"/>
    <w:rsid w:val="00ED3566"/>
    <w:rsid w:val="00ED3569"/>
    <w:rsid w:val="00ED35C1"/>
    <w:rsid w:val="00ED35FA"/>
    <w:rsid w:val="00ED3628"/>
    <w:rsid w:val="00ED3641"/>
    <w:rsid w:val="00ED36A2"/>
    <w:rsid w:val="00ED36C2"/>
    <w:rsid w:val="00ED36C9"/>
    <w:rsid w:val="00ED36EB"/>
    <w:rsid w:val="00ED36FD"/>
    <w:rsid w:val="00ED3750"/>
    <w:rsid w:val="00ED376F"/>
    <w:rsid w:val="00ED3779"/>
    <w:rsid w:val="00ED37D0"/>
    <w:rsid w:val="00ED37E7"/>
    <w:rsid w:val="00ED3802"/>
    <w:rsid w:val="00ED3803"/>
    <w:rsid w:val="00ED3815"/>
    <w:rsid w:val="00ED394C"/>
    <w:rsid w:val="00ED399C"/>
    <w:rsid w:val="00ED39A9"/>
    <w:rsid w:val="00ED39DF"/>
    <w:rsid w:val="00ED3A2D"/>
    <w:rsid w:val="00ED3A75"/>
    <w:rsid w:val="00ED3A7B"/>
    <w:rsid w:val="00ED3A89"/>
    <w:rsid w:val="00ED3A9C"/>
    <w:rsid w:val="00ED3B19"/>
    <w:rsid w:val="00ED3B1A"/>
    <w:rsid w:val="00ED3B23"/>
    <w:rsid w:val="00ED3B31"/>
    <w:rsid w:val="00ED3B76"/>
    <w:rsid w:val="00ED3C0C"/>
    <w:rsid w:val="00ED3C64"/>
    <w:rsid w:val="00ED3C7B"/>
    <w:rsid w:val="00ED3D35"/>
    <w:rsid w:val="00ED3D3A"/>
    <w:rsid w:val="00ED3D40"/>
    <w:rsid w:val="00ED3D55"/>
    <w:rsid w:val="00ED3D7F"/>
    <w:rsid w:val="00ED3D96"/>
    <w:rsid w:val="00ED3DB6"/>
    <w:rsid w:val="00ED3E2B"/>
    <w:rsid w:val="00ED3E4F"/>
    <w:rsid w:val="00ED3E6C"/>
    <w:rsid w:val="00ED3E83"/>
    <w:rsid w:val="00ED3ED9"/>
    <w:rsid w:val="00ED3EFC"/>
    <w:rsid w:val="00ED3F07"/>
    <w:rsid w:val="00ED3F0B"/>
    <w:rsid w:val="00ED3F48"/>
    <w:rsid w:val="00ED3F68"/>
    <w:rsid w:val="00ED3F8A"/>
    <w:rsid w:val="00ED3FD4"/>
    <w:rsid w:val="00ED3FD8"/>
    <w:rsid w:val="00ED40BA"/>
    <w:rsid w:val="00ED40EC"/>
    <w:rsid w:val="00ED410F"/>
    <w:rsid w:val="00ED4121"/>
    <w:rsid w:val="00ED4179"/>
    <w:rsid w:val="00ED4193"/>
    <w:rsid w:val="00ED41B0"/>
    <w:rsid w:val="00ED41C5"/>
    <w:rsid w:val="00ED41F2"/>
    <w:rsid w:val="00ED42DF"/>
    <w:rsid w:val="00ED4300"/>
    <w:rsid w:val="00ED439B"/>
    <w:rsid w:val="00ED439D"/>
    <w:rsid w:val="00ED43C8"/>
    <w:rsid w:val="00ED448A"/>
    <w:rsid w:val="00ED44A3"/>
    <w:rsid w:val="00ED44DB"/>
    <w:rsid w:val="00ED4508"/>
    <w:rsid w:val="00ED4546"/>
    <w:rsid w:val="00ED45B7"/>
    <w:rsid w:val="00ED45E5"/>
    <w:rsid w:val="00ED465A"/>
    <w:rsid w:val="00ED465E"/>
    <w:rsid w:val="00ED4672"/>
    <w:rsid w:val="00ED4769"/>
    <w:rsid w:val="00ED4794"/>
    <w:rsid w:val="00ED47E1"/>
    <w:rsid w:val="00ED484C"/>
    <w:rsid w:val="00ED48DF"/>
    <w:rsid w:val="00ED48FD"/>
    <w:rsid w:val="00ED4909"/>
    <w:rsid w:val="00ED492B"/>
    <w:rsid w:val="00ED492E"/>
    <w:rsid w:val="00ED494C"/>
    <w:rsid w:val="00ED4952"/>
    <w:rsid w:val="00ED4A06"/>
    <w:rsid w:val="00ED4A31"/>
    <w:rsid w:val="00ED4A58"/>
    <w:rsid w:val="00ED4A9E"/>
    <w:rsid w:val="00ED4B84"/>
    <w:rsid w:val="00ED4BFC"/>
    <w:rsid w:val="00ED4C67"/>
    <w:rsid w:val="00ED4C7A"/>
    <w:rsid w:val="00ED4CA6"/>
    <w:rsid w:val="00ED4CBE"/>
    <w:rsid w:val="00ED4CE6"/>
    <w:rsid w:val="00ED4D82"/>
    <w:rsid w:val="00ED4DFF"/>
    <w:rsid w:val="00ED4E30"/>
    <w:rsid w:val="00ED4E4E"/>
    <w:rsid w:val="00ED4EBD"/>
    <w:rsid w:val="00ED4ECD"/>
    <w:rsid w:val="00ED4EFF"/>
    <w:rsid w:val="00ED4F26"/>
    <w:rsid w:val="00ED4FC6"/>
    <w:rsid w:val="00ED500C"/>
    <w:rsid w:val="00ED5028"/>
    <w:rsid w:val="00ED506A"/>
    <w:rsid w:val="00ED5083"/>
    <w:rsid w:val="00ED50A1"/>
    <w:rsid w:val="00ED50AD"/>
    <w:rsid w:val="00ED50BA"/>
    <w:rsid w:val="00ED513E"/>
    <w:rsid w:val="00ED5156"/>
    <w:rsid w:val="00ED51A8"/>
    <w:rsid w:val="00ED5221"/>
    <w:rsid w:val="00ED5245"/>
    <w:rsid w:val="00ED528E"/>
    <w:rsid w:val="00ED5290"/>
    <w:rsid w:val="00ED52FF"/>
    <w:rsid w:val="00ED538D"/>
    <w:rsid w:val="00ED53BD"/>
    <w:rsid w:val="00ED53D8"/>
    <w:rsid w:val="00ED53F7"/>
    <w:rsid w:val="00ED546F"/>
    <w:rsid w:val="00ED54F1"/>
    <w:rsid w:val="00ED556B"/>
    <w:rsid w:val="00ED55C2"/>
    <w:rsid w:val="00ED560E"/>
    <w:rsid w:val="00ED562A"/>
    <w:rsid w:val="00ED5651"/>
    <w:rsid w:val="00ED569C"/>
    <w:rsid w:val="00ED57CC"/>
    <w:rsid w:val="00ED580A"/>
    <w:rsid w:val="00ED58AB"/>
    <w:rsid w:val="00ED5935"/>
    <w:rsid w:val="00ED5939"/>
    <w:rsid w:val="00ED595B"/>
    <w:rsid w:val="00ED5996"/>
    <w:rsid w:val="00ED59E2"/>
    <w:rsid w:val="00ED5A25"/>
    <w:rsid w:val="00ED5B29"/>
    <w:rsid w:val="00ED5B35"/>
    <w:rsid w:val="00ED5B86"/>
    <w:rsid w:val="00ED5BF1"/>
    <w:rsid w:val="00ED5C17"/>
    <w:rsid w:val="00ED5C72"/>
    <w:rsid w:val="00ED5C85"/>
    <w:rsid w:val="00ED5C88"/>
    <w:rsid w:val="00ED5CCC"/>
    <w:rsid w:val="00ED5D80"/>
    <w:rsid w:val="00ED5D81"/>
    <w:rsid w:val="00ED5DAC"/>
    <w:rsid w:val="00ED5DC8"/>
    <w:rsid w:val="00ED5DD7"/>
    <w:rsid w:val="00ED5DFE"/>
    <w:rsid w:val="00ED5E47"/>
    <w:rsid w:val="00ED5E6C"/>
    <w:rsid w:val="00ED5E7D"/>
    <w:rsid w:val="00ED5E9E"/>
    <w:rsid w:val="00ED5EB1"/>
    <w:rsid w:val="00ED5EB6"/>
    <w:rsid w:val="00ED5ECA"/>
    <w:rsid w:val="00ED5ED8"/>
    <w:rsid w:val="00ED5EF9"/>
    <w:rsid w:val="00ED5F0E"/>
    <w:rsid w:val="00ED5F5B"/>
    <w:rsid w:val="00ED5F7D"/>
    <w:rsid w:val="00ED5FB2"/>
    <w:rsid w:val="00ED605B"/>
    <w:rsid w:val="00ED609C"/>
    <w:rsid w:val="00ED60A7"/>
    <w:rsid w:val="00ED60B3"/>
    <w:rsid w:val="00ED60E9"/>
    <w:rsid w:val="00ED60F9"/>
    <w:rsid w:val="00ED6129"/>
    <w:rsid w:val="00ED6153"/>
    <w:rsid w:val="00ED61AE"/>
    <w:rsid w:val="00ED6230"/>
    <w:rsid w:val="00ED624F"/>
    <w:rsid w:val="00ED625C"/>
    <w:rsid w:val="00ED627F"/>
    <w:rsid w:val="00ED634E"/>
    <w:rsid w:val="00ED63FA"/>
    <w:rsid w:val="00ED643C"/>
    <w:rsid w:val="00ED6443"/>
    <w:rsid w:val="00ED6488"/>
    <w:rsid w:val="00ED6500"/>
    <w:rsid w:val="00ED651C"/>
    <w:rsid w:val="00ED654F"/>
    <w:rsid w:val="00ED6595"/>
    <w:rsid w:val="00ED6642"/>
    <w:rsid w:val="00ED6658"/>
    <w:rsid w:val="00ED66B8"/>
    <w:rsid w:val="00ED66C6"/>
    <w:rsid w:val="00ED6790"/>
    <w:rsid w:val="00ED67D2"/>
    <w:rsid w:val="00ED6863"/>
    <w:rsid w:val="00ED6871"/>
    <w:rsid w:val="00ED6879"/>
    <w:rsid w:val="00ED68CB"/>
    <w:rsid w:val="00ED68D6"/>
    <w:rsid w:val="00ED6930"/>
    <w:rsid w:val="00ED69F6"/>
    <w:rsid w:val="00ED69F9"/>
    <w:rsid w:val="00ED6A60"/>
    <w:rsid w:val="00ED6AB5"/>
    <w:rsid w:val="00ED6B75"/>
    <w:rsid w:val="00ED6BA6"/>
    <w:rsid w:val="00ED6BA7"/>
    <w:rsid w:val="00ED6BDA"/>
    <w:rsid w:val="00ED6C9B"/>
    <w:rsid w:val="00ED6CA8"/>
    <w:rsid w:val="00ED6D2E"/>
    <w:rsid w:val="00ED6DDD"/>
    <w:rsid w:val="00ED6E19"/>
    <w:rsid w:val="00ED6E68"/>
    <w:rsid w:val="00ED6E6B"/>
    <w:rsid w:val="00ED6EBB"/>
    <w:rsid w:val="00ED6F17"/>
    <w:rsid w:val="00ED6F2A"/>
    <w:rsid w:val="00ED6F96"/>
    <w:rsid w:val="00ED6FAD"/>
    <w:rsid w:val="00ED6FDB"/>
    <w:rsid w:val="00ED7009"/>
    <w:rsid w:val="00ED706E"/>
    <w:rsid w:val="00ED709A"/>
    <w:rsid w:val="00ED7109"/>
    <w:rsid w:val="00ED7138"/>
    <w:rsid w:val="00ED714A"/>
    <w:rsid w:val="00ED71A2"/>
    <w:rsid w:val="00ED71A7"/>
    <w:rsid w:val="00ED71A9"/>
    <w:rsid w:val="00ED721A"/>
    <w:rsid w:val="00ED7222"/>
    <w:rsid w:val="00ED7240"/>
    <w:rsid w:val="00ED7249"/>
    <w:rsid w:val="00ED7271"/>
    <w:rsid w:val="00ED7291"/>
    <w:rsid w:val="00ED7314"/>
    <w:rsid w:val="00ED7357"/>
    <w:rsid w:val="00ED736D"/>
    <w:rsid w:val="00ED7389"/>
    <w:rsid w:val="00ED73B2"/>
    <w:rsid w:val="00ED73DD"/>
    <w:rsid w:val="00ED73FE"/>
    <w:rsid w:val="00ED741A"/>
    <w:rsid w:val="00ED74CC"/>
    <w:rsid w:val="00ED7504"/>
    <w:rsid w:val="00ED75C7"/>
    <w:rsid w:val="00ED75EC"/>
    <w:rsid w:val="00ED7621"/>
    <w:rsid w:val="00ED762F"/>
    <w:rsid w:val="00ED767F"/>
    <w:rsid w:val="00ED7740"/>
    <w:rsid w:val="00ED7779"/>
    <w:rsid w:val="00ED778B"/>
    <w:rsid w:val="00ED77C7"/>
    <w:rsid w:val="00ED77D2"/>
    <w:rsid w:val="00ED784A"/>
    <w:rsid w:val="00ED7874"/>
    <w:rsid w:val="00ED788F"/>
    <w:rsid w:val="00ED78F0"/>
    <w:rsid w:val="00ED791D"/>
    <w:rsid w:val="00ED798A"/>
    <w:rsid w:val="00ED79DD"/>
    <w:rsid w:val="00ED7B28"/>
    <w:rsid w:val="00ED7B7B"/>
    <w:rsid w:val="00ED7C29"/>
    <w:rsid w:val="00ED7C34"/>
    <w:rsid w:val="00ED7C7E"/>
    <w:rsid w:val="00ED7C87"/>
    <w:rsid w:val="00ED7C93"/>
    <w:rsid w:val="00ED7D13"/>
    <w:rsid w:val="00ED7D4D"/>
    <w:rsid w:val="00ED7D69"/>
    <w:rsid w:val="00ED7D83"/>
    <w:rsid w:val="00ED7DBA"/>
    <w:rsid w:val="00ED7E25"/>
    <w:rsid w:val="00ED7E39"/>
    <w:rsid w:val="00ED7E42"/>
    <w:rsid w:val="00ED7E63"/>
    <w:rsid w:val="00ED7E8C"/>
    <w:rsid w:val="00ED7EB0"/>
    <w:rsid w:val="00ED7EC9"/>
    <w:rsid w:val="00ED7EEA"/>
    <w:rsid w:val="00ED7F3C"/>
    <w:rsid w:val="00ED7F73"/>
    <w:rsid w:val="00ED7FAC"/>
    <w:rsid w:val="00ED7FB6"/>
    <w:rsid w:val="00ED7FCC"/>
    <w:rsid w:val="00EE006A"/>
    <w:rsid w:val="00EE0080"/>
    <w:rsid w:val="00EE00AB"/>
    <w:rsid w:val="00EE00F0"/>
    <w:rsid w:val="00EE012D"/>
    <w:rsid w:val="00EE0189"/>
    <w:rsid w:val="00EE0200"/>
    <w:rsid w:val="00EE0231"/>
    <w:rsid w:val="00EE0264"/>
    <w:rsid w:val="00EE026E"/>
    <w:rsid w:val="00EE0321"/>
    <w:rsid w:val="00EE03AE"/>
    <w:rsid w:val="00EE03D9"/>
    <w:rsid w:val="00EE03DD"/>
    <w:rsid w:val="00EE0420"/>
    <w:rsid w:val="00EE045E"/>
    <w:rsid w:val="00EE04DD"/>
    <w:rsid w:val="00EE0536"/>
    <w:rsid w:val="00EE053A"/>
    <w:rsid w:val="00EE0540"/>
    <w:rsid w:val="00EE054E"/>
    <w:rsid w:val="00EE060C"/>
    <w:rsid w:val="00EE06B9"/>
    <w:rsid w:val="00EE079F"/>
    <w:rsid w:val="00EE07E4"/>
    <w:rsid w:val="00EE07F9"/>
    <w:rsid w:val="00EE081D"/>
    <w:rsid w:val="00EE0868"/>
    <w:rsid w:val="00EE0883"/>
    <w:rsid w:val="00EE08D4"/>
    <w:rsid w:val="00EE0914"/>
    <w:rsid w:val="00EE0919"/>
    <w:rsid w:val="00EE0985"/>
    <w:rsid w:val="00EE09CC"/>
    <w:rsid w:val="00EE0A56"/>
    <w:rsid w:val="00EE0AAE"/>
    <w:rsid w:val="00EE0B18"/>
    <w:rsid w:val="00EE0B73"/>
    <w:rsid w:val="00EE0CE7"/>
    <w:rsid w:val="00EE0CFF"/>
    <w:rsid w:val="00EE0D22"/>
    <w:rsid w:val="00EE0D26"/>
    <w:rsid w:val="00EE0D62"/>
    <w:rsid w:val="00EE0DDF"/>
    <w:rsid w:val="00EE0DE8"/>
    <w:rsid w:val="00EE0EB2"/>
    <w:rsid w:val="00EE0EC7"/>
    <w:rsid w:val="00EE0FA1"/>
    <w:rsid w:val="00EE0FC6"/>
    <w:rsid w:val="00EE0FF3"/>
    <w:rsid w:val="00EE1021"/>
    <w:rsid w:val="00EE105A"/>
    <w:rsid w:val="00EE10B8"/>
    <w:rsid w:val="00EE10D2"/>
    <w:rsid w:val="00EE10DD"/>
    <w:rsid w:val="00EE10E1"/>
    <w:rsid w:val="00EE1127"/>
    <w:rsid w:val="00EE11B6"/>
    <w:rsid w:val="00EE127E"/>
    <w:rsid w:val="00EE1288"/>
    <w:rsid w:val="00EE12BD"/>
    <w:rsid w:val="00EE12D0"/>
    <w:rsid w:val="00EE12DA"/>
    <w:rsid w:val="00EE12FE"/>
    <w:rsid w:val="00EE1384"/>
    <w:rsid w:val="00EE13D0"/>
    <w:rsid w:val="00EE13FC"/>
    <w:rsid w:val="00EE144D"/>
    <w:rsid w:val="00EE146B"/>
    <w:rsid w:val="00EE1477"/>
    <w:rsid w:val="00EE149C"/>
    <w:rsid w:val="00EE14C4"/>
    <w:rsid w:val="00EE14E3"/>
    <w:rsid w:val="00EE1518"/>
    <w:rsid w:val="00EE151E"/>
    <w:rsid w:val="00EE1520"/>
    <w:rsid w:val="00EE154E"/>
    <w:rsid w:val="00EE163E"/>
    <w:rsid w:val="00EE165C"/>
    <w:rsid w:val="00EE16AD"/>
    <w:rsid w:val="00EE17C4"/>
    <w:rsid w:val="00EE17C7"/>
    <w:rsid w:val="00EE17F4"/>
    <w:rsid w:val="00EE184A"/>
    <w:rsid w:val="00EE18C2"/>
    <w:rsid w:val="00EE18ED"/>
    <w:rsid w:val="00EE1923"/>
    <w:rsid w:val="00EE1958"/>
    <w:rsid w:val="00EE1976"/>
    <w:rsid w:val="00EE1983"/>
    <w:rsid w:val="00EE1A08"/>
    <w:rsid w:val="00EE1A38"/>
    <w:rsid w:val="00EE1A4E"/>
    <w:rsid w:val="00EE1A66"/>
    <w:rsid w:val="00EE1A67"/>
    <w:rsid w:val="00EE1A8B"/>
    <w:rsid w:val="00EE1AB9"/>
    <w:rsid w:val="00EE1B08"/>
    <w:rsid w:val="00EE1B24"/>
    <w:rsid w:val="00EE1B26"/>
    <w:rsid w:val="00EE1B2D"/>
    <w:rsid w:val="00EE1B79"/>
    <w:rsid w:val="00EE1B89"/>
    <w:rsid w:val="00EE1B99"/>
    <w:rsid w:val="00EE1BA6"/>
    <w:rsid w:val="00EE1BDA"/>
    <w:rsid w:val="00EE1BE6"/>
    <w:rsid w:val="00EE1C1B"/>
    <w:rsid w:val="00EE1D3E"/>
    <w:rsid w:val="00EE1D93"/>
    <w:rsid w:val="00EE1DB2"/>
    <w:rsid w:val="00EE1DB6"/>
    <w:rsid w:val="00EE1DEE"/>
    <w:rsid w:val="00EE1E77"/>
    <w:rsid w:val="00EE1E7D"/>
    <w:rsid w:val="00EE1E94"/>
    <w:rsid w:val="00EE1EAA"/>
    <w:rsid w:val="00EE1F1A"/>
    <w:rsid w:val="00EE1F27"/>
    <w:rsid w:val="00EE1F6B"/>
    <w:rsid w:val="00EE1F78"/>
    <w:rsid w:val="00EE1F79"/>
    <w:rsid w:val="00EE206C"/>
    <w:rsid w:val="00EE2138"/>
    <w:rsid w:val="00EE2220"/>
    <w:rsid w:val="00EE222A"/>
    <w:rsid w:val="00EE2233"/>
    <w:rsid w:val="00EE2261"/>
    <w:rsid w:val="00EE2271"/>
    <w:rsid w:val="00EE22D9"/>
    <w:rsid w:val="00EE234C"/>
    <w:rsid w:val="00EE2368"/>
    <w:rsid w:val="00EE2379"/>
    <w:rsid w:val="00EE2392"/>
    <w:rsid w:val="00EE2398"/>
    <w:rsid w:val="00EE23A2"/>
    <w:rsid w:val="00EE244C"/>
    <w:rsid w:val="00EE249C"/>
    <w:rsid w:val="00EE24CF"/>
    <w:rsid w:val="00EE24E7"/>
    <w:rsid w:val="00EE261F"/>
    <w:rsid w:val="00EE264D"/>
    <w:rsid w:val="00EE2672"/>
    <w:rsid w:val="00EE26A6"/>
    <w:rsid w:val="00EE26E0"/>
    <w:rsid w:val="00EE2718"/>
    <w:rsid w:val="00EE2752"/>
    <w:rsid w:val="00EE2781"/>
    <w:rsid w:val="00EE2798"/>
    <w:rsid w:val="00EE2807"/>
    <w:rsid w:val="00EE2836"/>
    <w:rsid w:val="00EE283E"/>
    <w:rsid w:val="00EE2842"/>
    <w:rsid w:val="00EE284A"/>
    <w:rsid w:val="00EE2877"/>
    <w:rsid w:val="00EE289A"/>
    <w:rsid w:val="00EE28D4"/>
    <w:rsid w:val="00EE28F8"/>
    <w:rsid w:val="00EE2948"/>
    <w:rsid w:val="00EE299E"/>
    <w:rsid w:val="00EE29CC"/>
    <w:rsid w:val="00EE29F5"/>
    <w:rsid w:val="00EE2AE7"/>
    <w:rsid w:val="00EE2AF2"/>
    <w:rsid w:val="00EE2B17"/>
    <w:rsid w:val="00EE2B25"/>
    <w:rsid w:val="00EE2B4B"/>
    <w:rsid w:val="00EE2B51"/>
    <w:rsid w:val="00EE2B67"/>
    <w:rsid w:val="00EE2BAD"/>
    <w:rsid w:val="00EE2BD9"/>
    <w:rsid w:val="00EE2C06"/>
    <w:rsid w:val="00EE2C3B"/>
    <w:rsid w:val="00EE2C68"/>
    <w:rsid w:val="00EE2C92"/>
    <w:rsid w:val="00EE2CAA"/>
    <w:rsid w:val="00EE2CD5"/>
    <w:rsid w:val="00EE2D27"/>
    <w:rsid w:val="00EE2D70"/>
    <w:rsid w:val="00EE2DC7"/>
    <w:rsid w:val="00EE2DF7"/>
    <w:rsid w:val="00EE2E92"/>
    <w:rsid w:val="00EE2EB9"/>
    <w:rsid w:val="00EE2F01"/>
    <w:rsid w:val="00EE2F37"/>
    <w:rsid w:val="00EE2F81"/>
    <w:rsid w:val="00EE2F90"/>
    <w:rsid w:val="00EE2FA0"/>
    <w:rsid w:val="00EE2FC9"/>
    <w:rsid w:val="00EE2FE6"/>
    <w:rsid w:val="00EE302C"/>
    <w:rsid w:val="00EE30A9"/>
    <w:rsid w:val="00EE313C"/>
    <w:rsid w:val="00EE314C"/>
    <w:rsid w:val="00EE31E5"/>
    <w:rsid w:val="00EE3206"/>
    <w:rsid w:val="00EE324C"/>
    <w:rsid w:val="00EE3286"/>
    <w:rsid w:val="00EE328B"/>
    <w:rsid w:val="00EE32A5"/>
    <w:rsid w:val="00EE32CB"/>
    <w:rsid w:val="00EE32F6"/>
    <w:rsid w:val="00EE331B"/>
    <w:rsid w:val="00EE332F"/>
    <w:rsid w:val="00EE334C"/>
    <w:rsid w:val="00EE33AA"/>
    <w:rsid w:val="00EE3433"/>
    <w:rsid w:val="00EE343E"/>
    <w:rsid w:val="00EE3466"/>
    <w:rsid w:val="00EE347F"/>
    <w:rsid w:val="00EE34AA"/>
    <w:rsid w:val="00EE34FD"/>
    <w:rsid w:val="00EE3567"/>
    <w:rsid w:val="00EE35A9"/>
    <w:rsid w:val="00EE35E1"/>
    <w:rsid w:val="00EE3640"/>
    <w:rsid w:val="00EE3655"/>
    <w:rsid w:val="00EE36D3"/>
    <w:rsid w:val="00EE36FF"/>
    <w:rsid w:val="00EE3762"/>
    <w:rsid w:val="00EE3870"/>
    <w:rsid w:val="00EE3875"/>
    <w:rsid w:val="00EE38C1"/>
    <w:rsid w:val="00EE390A"/>
    <w:rsid w:val="00EE3927"/>
    <w:rsid w:val="00EE395A"/>
    <w:rsid w:val="00EE3A94"/>
    <w:rsid w:val="00EE3AB3"/>
    <w:rsid w:val="00EE3BBB"/>
    <w:rsid w:val="00EE3BFE"/>
    <w:rsid w:val="00EE3C01"/>
    <w:rsid w:val="00EE3C94"/>
    <w:rsid w:val="00EE3CC1"/>
    <w:rsid w:val="00EE3CD4"/>
    <w:rsid w:val="00EE3CFE"/>
    <w:rsid w:val="00EE3D02"/>
    <w:rsid w:val="00EE3D1D"/>
    <w:rsid w:val="00EE3D87"/>
    <w:rsid w:val="00EE3E11"/>
    <w:rsid w:val="00EE3F16"/>
    <w:rsid w:val="00EE3F43"/>
    <w:rsid w:val="00EE3F47"/>
    <w:rsid w:val="00EE3F77"/>
    <w:rsid w:val="00EE3F78"/>
    <w:rsid w:val="00EE3F7A"/>
    <w:rsid w:val="00EE3FDB"/>
    <w:rsid w:val="00EE3FE0"/>
    <w:rsid w:val="00EE3FF9"/>
    <w:rsid w:val="00EE3FFC"/>
    <w:rsid w:val="00EE40B1"/>
    <w:rsid w:val="00EE40B6"/>
    <w:rsid w:val="00EE4102"/>
    <w:rsid w:val="00EE4106"/>
    <w:rsid w:val="00EE416F"/>
    <w:rsid w:val="00EE4180"/>
    <w:rsid w:val="00EE4200"/>
    <w:rsid w:val="00EE4212"/>
    <w:rsid w:val="00EE4215"/>
    <w:rsid w:val="00EE422A"/>
    <w:rsid w:val="00EE4237"/>
    <w:rsid w:val="00EE4263"/>
    <w:rsid w:val="00EE4270"/>
    <w:rsid w:val="00EE4285"/>
    <w:rsid w:val="00EE428B"/>
    <w:rsid w:val="00EE42F4"/>
    <w:rsid w:val="00EE4330"/>
    <w:rsid w:val="00EE4377"/>
    <w:rsid w:val="00EE439E"/>
    <w:rsid w:val="00EE4439"/>
    <w:rsid w:val="00EE445C"/>
    <w:rsid w:val="00EE4467"/>
    <w:rsid w:val="00EE4476"/>
    <w:rsid w:val="00EE44BF"/>
    <w:rsid w:val="00EE44F5"/>
    <w:rsid w:val="00EE44FB"/>
    <w:rsid w:val="00EE456A"/>
    <w:rsid w:val="00EE457B"/>
    <w:rsid w:val="00EE45CD"/>
    <w:rsid w:val="00EE45D6"/>
    <w:rsid w:val="00EE461E"/>
    <w:rsid w:val="00EE468D"/>
    <w:rsid w:val="00EE46A8"/>
    <w:rsid w:val="00EE470A"/>
    <w:rsid w:val="00EE472F"/>
    <w:rsid w:val="00EE474C"/>
    <w:rsid w:val="00EE47A2"/>
    <w:rsid w:val="00EE47B1"/>
    <w:rsid w:val="00EE4848"/>
    <w:rsid w:val="00EE48C7"/>
    <w:rsid w:val="00EE48F8"/>
    <w:rsid w:val="00EE4916"/>
    <w:rsid w:val="00EE494F"/>
    <w:rsid w:val="00EE4966"/>
    <w:rsid w:val="00EE4973"/>
    <w:rsid w:val="00EE49A0"/>
    <w:rsid w:val="00EE49EA"/>
    <w:rsid w:val="00EE4A1A"/>
    <w:rsid w:val="00EE4A1F"/>
    <w:rsid w:val="00EE4A2A"/>
    <w:rsid w:val="00EE4A3C"/>
    <w:rsid w:val="00EE4AA5"/>
    <w:rsid w:val="00EE4AAE"/>
    <w:rsid w:val="00EE4B26"/>
    <w:rsid w:val="00EE4B28"/>
    <w:rsid w:val="00EE4B2A"/>
    <w:rsid w:val="00EE4B32"/>
    <w:rsid w:val="00EE4B4D"/>
    <w:rsid w:val="00EE4BC1"/>
    <w:rsid w:val="00EE4BDF"/>
    <w:rsid w:val="00EE4BED"/>
    <w:rsid w:val="00EE4C50"/>
    <w:rsid w:val="00EE4C84"/>
    <w:rsid w:val="00EE4D01"/>
    <w:rsid w:val="00EE4D49"/>
    <w:rsid w:val="00EE4D6C"/>
    <w:rsid w:val="00EE4D72"/>
    <w:rsid w:val="00EE4DC0"/>
    <w:rsid w:val="00EE4DD2"/>
    <w:rsid w:val="00EE4DE2"/>
    <w:rsid w:val="00EE4E93"/>
    <w:rsid w:val="00EE4EAD"/>
    <w:rsid w:val="00EE4ECF"/>
    <w:rsid w:val="00EE4F3F"/>
    <w:rsid w:val="00EE4F5C"/>
    <w:rsid w:val="00EE507B"/>
    <w:rsid w:val="00EE50C1"/>
    <w:rsid w:val="00EE50C4"/>
    <w:rsid w:val="00EE516A"/>
    <w:rsid w:val="00EE5177"/>
    <w:rsid w:val="00EE51B3"/>
    <w:rsid w:val="00EE51D4"/>
    <w:rsid w:val="00EE521C"/>
    <w:rsid w:val="00EE5249"/>
    <w:rsid w:val="00EE524C"/>
    <w:rsid w:val="00EE524F"/>
    <w:rsid w:val="00EE52D2"/>
    <w:rsid w:val="00EE5306"/>
    <w:rsid w:val="00EE5398"/>
    <w:rsid w:val="00EE53BD"/>
    <w:rsid w:val="00EE53C4"/>
    <w:rsid w:val="00EE53D1"/>
    <w:rsid w:val="00EE53EE"/>
    <w:rsid w:val="00EE545A"/>
    <w:rsid w:val="00EE5481"/>
    <w:rsid w:val="00EE549D"/>
    <w:rsid w:val="00EE54C3"/>
    <w:rsid w:val="00EE558D"/>
    <w:rsid w:val="00EE55E6"/>
    <w:rsid w:val="00EE564A"/>
    <w:rsid w:val="00EE567D"/>
    <w:rsid w:val="00EE56A4"/>
    <w:rsid w:val="00EE56ED"/>
    <w:rsid w:val="00EE5704"/>
    <w:rsid w:val="00EE570F"/>
    <w:rsid w:val="00EE572E"/>
    <w:rsid w:val="00EE5736"/>
    <w:rsid w:val="00EE5742"/>
    <w:rsid w:val="00EE5793"/>
    <w:rsid w:val="00EE57A5"/>
    <w:rsid w:val="00EE57D2"/>
    <w:rsid w:val="00EE5837"/>
    <w:rsid w:val="00EE5870"/>
    <w:rsid w:val="00EE58D3"/>
    <w:rsid w:val="00EE58E1"/>
    <w:rsid w:val="00EE5945"/>
    <w:rsid w:val="00EE595E"/>
    <w:rsid w:val="00EE596C"/>
    <w:rsid w:val="00EE5A29"/>
    <w:rsid w:val="00EE5A3B"/>
    <w:rsid w:val="00EE5A5C"/>
    <w:rsid w:val="00EE5AA7"/>
    <w:rsid w:val="00EE5ACB"/>
    <w:rsid w:val="00EE5B16"/>
    <w:rsid w:val="00EE5B1B"/>
    <w:rsid w:val="00EE5B2E"/>
    <w:rsid w:val="00EE5BA3"/>
    <w:rsid w:val="00EE5BB5"/>
    <w:rsid w:val="00EE5BC1"/>
    <w:rsid w:val="00EE5BE3"/>
    <w:rsid w:val="00EE5BE8"/>
    <w:rsid w:val="00EE5C06"/>
    <w:rsid w:val="00EE5C0E"/>
    <w:rsid w:val="00EE5C37"/>
    <w:rsid w:val="00EE5CD1"/>
    <w:rsid w:val="00EE5D92"/>
    <w:rsid w:val="00EE5DBA"/>
    <w:rsid w:val="00EE5E0C"/>
    <w:rsid w:val="00EE5E2A"/>
    <w:rsid w:val="00EE5E44"/>
    <w:rsid w:val="00EE5E5A"/>
    <w:rsid w:val="00EE5EA7"/>
    <w:rsid w:val="00EE5F73"/>
    <w:rsid w:val="00EE5FBC"/>
    <w:rsid w:val="00EE5FCE"/>
    <w:rsid w:val="00EE5FF1"/>
    <w:rsid w:val="00EE6025"/>
    <w:rsid w:val="00EE6037"/>
    <w:rsid w:val="00EE606A"/>
    <w:rsid w:val="00EE6092"/>
    <w:rsid w:val="00EE6096"/>
    <w:rsid w:val="00EE60F7"/>
    <w:rsid w:val="00EE611A"/>
    <w:rsid w:val="00EE612D"/>
    <w:rsid w:val="00EE6139"/>
    <w:rsid w:val="00EE618F"/>
    <w:rsid w:val="00EE61EF"/>
    <w:rsid w:val="00EE61F4"/>
    <w:rsid w:val="00EE623C"/>
    <w:rsid w:val="00EE6248"/>
    <w:rsid w:val="00EE6270"/>
    <w:rsid w:val="00EE62A4"/>
    <w:rsid w:val="00EE62BB"/>
    <w:rsid w:val="00EE62C7"/>
    <w:rsid w:val="00EE62EC"/>
    <w:rsid w:val="00EE6304"/>
    <w:rsid w:val="00EE6373"/>
    <w:rsid w:val="00EE63D1"/>
    <w:rsid w:val="00EE63D6"/>
    <w:rsid w:val="00EE6424"/>
    <w:rsid w:val="00EE6434"/>
    <w:rsid w:val="00EE6453"/>
    <w:rsid w:val="00EE648B"/>
    <w:rsid w:val="00EE64EF"/>
    <w:rsid w:val="00EE6519"/>
    <w:rsid w:val="00EE6523"/>
    <w:rsid w:val="00EE657F"/>
    <w:rsid w:val="00EE659A"/>
    <w:rsid w:val="00EE65EF"/>
    <w:rsid w:val="00EE6617"/>
    <w:rsid w:val="00EE666C"/>
    <w:rsid w:val="00EE668A"/>
    <w:rsid w:val="00EE66E7"/>
    <w:rsid w:val="00EE6713"/>
    <w:rsid w:val="00EE6724"/>
    <w:rsid w:val="00EE6767"/>
    <w:rsid w:val="00EE679E"/>
    <w:rsid w:val="00EE67AC"/>
    <w:rsid w:val="00EE67F0"/>
    <w:rsid w:val="00EE67F6"/>
    <w:rsid w:val="00EE6821"/>
    <w:rsid w:val="00EE6856"/>
    <w:rsid w:val="00EE68C0"/>
    <w:rsid w:val="00EE68E9"/>
    <w:rsid w:val="00EE6912"/>
    <w:rsid w:val="00EE69A6"/>
    <w:rsid w:val="00EE69C6"/>
    <w:rsid w:val="00EE6A17"/>
    <w:rsid w:val="00EE6A3F"/>
    <w:rsid w:val="00EE6AA7"/>
    <w:rsid w:val="00EE6ADF"/>
    <w:rsid w:val="00EE6B0F"/>
    <w:rsid w:val="00EE6B43"/>
    <w:rsid w:val="00EE6B6B"/>
    <w:rsid w:val="00EE6BA2"/>
    <w:rsid w:val="00EE6BC6"/>
    <w:rsid w:val="00EE6BE5"/>
    <w:rsid w:val="00EE6BF1"/>
    <w:rsid w:val="00EE6BFE"/>
    <w:rsid w:val="00EE6C24"/>
    <w:rsid w:val="00EE6C5F"/>
    <w:rsid w:val="00EE6CC1"/>
    <w:rsid w:val="00EE6D0D"/>
    <w:rsid w:val="00EE6D28"/>
    <w:rsid w:val="00EE6D8E"/>
    <w:rsid w:val="00EE6DCD"/>
    <w:rsid w:val="00EE6DD8"/>
    <w:rsid w:val="00EE6DE9"/>
    <w:rsid w:val="00EE6E10"/>
    <w:rsid w:val="00EE6E2E"/>
    <w:rsid w:val="00EE6EC7"/>
    <w:rsid w:val="00EE6F33"/>
    <w:rsid w:val="00EE704E"/>
    <w:rsid w:val="00EE711D"/>
    <w:rsid w:val="00EE7138"/>
    <w:rsid w:val="00EE7174"/>
    <w:rsid w:val="00EE71CB"/>
    <w:rsid w:val="00EE71F7"/>
    <w:rsid w:val="00EE7215"/>
    <w:rsid w:val="00EE7231"/>
    <w:rsid w:val="00EE725E"/>
    <w:rsid w:val="00EE726A"/>
    <w:rsid w:val="00EE726D"/>
    <w:rsid w:val="00EE72D2"/>
    <w:rsid w:val="00EE72DF"/>
    <w:rsid w:val="00EE72F2"/>
    <w:rsid w:val="00EE7301"/>
    <w:rsid w:val="00EE73C4"/>
    <w:rsid w:val="00EE744B"/>
    <w:rsid w:val="00EE74C8"/>
    <w:rsid w:val="00EE74E1"/>
    <w:rsid w:val="00EE753D"/>
    <w:rsid w:val="00EE7571"/>
    <w:rsid w:val="00EE7574"/>
    <w:rsid w:val="00EE763E"/>
    <w:rsid w:val="00EE766E"/>
    <w:rsid w:val="00EE768A"/>
    <w:rsid w:val="00EE76C7"/>
    <w:rsid w:val="00EE76CB"/>
    <w:rsid w:val="00EE76D7"/>
    <w:rsid w:val="00EE7759"/>
    <w:rsid w:val="00EE7770"/>
    <w:rsid w:val="00EE7786"/>
    <w:rsid w:val="00EE77D3"/>
    <w:rsid w:val="00EE7800"/>
    <w:rsid w:val="00EE780F"/>
    <w:rsid w:val="00EE7887"/>
    <w:rsid w:val="00EE78B3"/>
    <w:rsid w:val="00EE78BA"/>
    <w:rsid w:val="00EE78BC"/>
    <w:rsid w:val="00EE7917"/>
    <w:rsid w:val="00EE7941"/>
    <w:rsid w:val="00EE79B2"/>
    <w:rsid w:val="00EE79DA"/>
    <w:rsid w:val="00EE7A93"/>
    <w:rsid w:val="00EE7B2E"/>
    <w:rsid w:val="00EE7B5D"/>
    <w:rsid w:val="00EE7B91"/>
    <w:rsid w:val="00EE7BAA"/>
    <w:rsid w:val="00EE7BBC"/>
    <w:rsid w:val="00EE7BC4"/>
    <w:rsid w:val="00EE7C19"/>
    <w:rsid w:val="00EE7C3B"/>
    <w:rsid w:val="00EE7C58"/>
    <w:rsid w:val="00EE7C64"/>
    <w:rsid w:val="00EE7C79"/>
    <w:rsid w:val="00EE7CC6"/>
    <w:rsid w:val="00EE7CCF"/>
    <w:rsid w:val="00EE7D01"/>
    <w:rsid w:val="00EE7D03"/>
    <w:rsid w:val="00EE7D17"/>
    <w:rsid w:val="00EE7E41"/>
    <w:rsid w:val="00EE7E6A"/>
    <w:rsid w:val="00EE7E7D"/>
    <w:rsid w:val="00EE7ECB"/>
    <w:rsid w:val="00EE7F79"/>
    <w:rsid w:val="00EE7F95"/>
    <w:rsid w:val="00EF0031"/>
    <w:rsid w:val="00EF0042"/>
    <w:rsid w:val="00EF00C7"/>
    <w:rsid w:val="00EF0109"/>
    <w:rsid w:val="00EF0114"/>
    <w:rsid w:val="00EF0115"/>
    <w:rsid w:val="00EF0172"/>
    <w:rsid w:val="00EF029D"/>
    <w:rsid w:val="00EF02DF"/>
    <w:rsid w:val="00EF0352"/>
    <w:rsid w:val="00EF03AD"/>
    <w:rsid w:val="00EF03BB"/>
    <w:rsid w:val="00EF0426"/>
    <w:rsid w:val="00EF046D"/>
    <w:rsid w:val="00EF0496"/>
    <w:rsid w:val="00EF049B"/>
    <w:rsid w:val="00EF0500"/>
    <w:rsid w:val="00EF054F"/>
    <w:rsid w:val="00EF055D"/>
    <w:rsid w:val="00EF0573"/>
    <w:rsid w:val="00EF0594"/>
    <w:rsid w:val="00EF05CA"/>
    <w:rsid w:val="00EF063C"/>
    <w:rsid w:val="00EF0645"/>
    <w:rsid w:val="00EF064F"/>
    <w:rsid w:val="00EF0658"/>
    <w:rsid w:val="00EF06C5"/>
    <w:rsid w:val="00EF0751"/>
    <w:rsid w:val="00EF0772"/>
    <w:rsid w:val="00EF07F0"/>
    <w:rsid w:val="00EF0829"/>
    <w:rsid w:val="00EF0870"/>
    <w:rsid w:val="00EF087C"/>
    <w:rsid w:val="00EF0890"/>
    <w:rsid w:val="00EF0946"/>
    <w:rsid w:val="00EF0996"/>
    <w:rsid w:val="00EF09B0"/>
    <w:rsid w:val="00EF09C5"/>
    <w:rsid w:val="00EF09D9"/>
    <w:rsid w:val="00EF0AA2"/>
    <w:rsid w:val="00EF0AA6"/>
    <w:rsid w:val="00EF0AB9"/>
    <w:rsid w:val="00EF0ACC"/>
    <w:rsid w:val="00EF0AE4"/>
    <w:rsid w:val="00EF0B90"/>
    <w:rsid w:val="00EF0BC6"/>
    <w:rsid w:val="00EF0BD9"/>
    <w:rsid w:val="00EF0BEA"/>
    <w:rsid w:val="00EF0BEE"/>
    <w:rsid w:val="00EF0BF3"/>
    <w:rsid w:val="00EF0C34"/>
    <w:rsid w:val="00EF0C65"/>
    <w:rsid w:val="00EF0CC5"/>
    <w:rsid w:val="00EF0D71"/>
    <w:rsid w:val="00EF0E3D"/>
    <w:rsid w:val="00EF0E43"/>
    <w:rsid w:val="00EF0E9A"/>
    <w:rsid w:val="00EF0EBE"/>
    <w:rsid w:val="00EF0EBF"/>
    <w:rsid w:val="00EF0EDA"/>
    <w:rsid w:val="00EF0F01"/>
    <w:rsid w:val="00EF0F4E"/>
    <w:rsid w:val="00EF0FBC"/>
    <w:rsid w:val="00EF0FEE"/>
    <w:rsid w:val="00EF1029"/>
    <w:rsid w:val="00EF10C8"/>
    <w:rsid w:val="00EF10FF"/>
    <w:rsid w:val="00EF1116"/>
    <w:rsid w:val="00EF114D"/>
    <w:rsid w:val="00EF119E"/>
    <w:rsid w:val="00EF11BC"/>
    <w:rsid w:val="00EF11F9"/>
    <w:rsid w:val="00EF123C"/>
    <w:rsid w:val="00EF1243"/>
    <w:rsid w:val="00EF1264"/>
    <w:rsid w:val="00EF129C"/>
    <w:rsid w:val="00EF12C9"/>
    <w:rsid w:val="00EF1314"/>
    <w:rsid w:val="00EF134C"/>
    <w:rsid w:val="00EF134F"/>
    <w:rsid w:val="00EF13C6"/>
    <w:rsid w:val="00EF13D7"/>
    <w:rsid w:val="00EF13E8"/>
    <w:rsid w:val="00EF1509"/>
    <w:rsid w:val="00EF1541"/>
    <w:rsid w:val="00EF154D"/>
    <w:rsid w:val="00EF15A6"/>
    <w:rsid w:val="00EF15B4"/>
    <w:rsid w:val="00EF161E"/>
    <w:rsid w:val="00EF1624"/>
    <w:rsid w:val="00EF1684"/>
    <w:rsid w:val="00EF16D3"/>
    <w:rsid w:val="00EF16E7"/>
    <w:rsid w:val="00EF1713"/>
    <w:rsid w:val="00EF171F"/>
    <w:rsid w:val="00EF1724"/>
    <w:rsid w:val="00EF176F"/>
    <w:rsid w:val="00EF1783"/>
    <w:rsid w:val="00EF1791"/>
    <w:rsid w:val="00EF1870"/>
    <w:rsid w:val="00EF1875"/>
    <w:rsid w:val="00EF1884"/>
    <w:rsid w:val="00EF18FC"/>
    <w:rsid w:val="00EF1911"/>
    <w:rsid w:val="00EF1952"/>
    <w:rsid w:val="00EF1977"/>
    <w:rsid w:val="00EF19D0"/>
    <w:rsid w:val="00EF1A17"/>
    <w:rsid w:val="00EF1A71"/>
    <w:rsid w:val="00EF1ADF"/>
    <w:rsid w:val="00EF1B08"/>
    <w:rsid w:val="00EF1B11"/>
    <w:rsid w:val="00EF1B23"/>
    <w:rsid w:val="00EF1B55"/>
    <w:rsid w:val="00EF1B8B"/>
    <w:rsid w:val="00EF1C3C"/>
    <w:rsid w:val="00EF1C4F"/>
    <w:rsid w:val="00EF1C62"/>
    <w:rsid w:val="00EF1C73"/>
    <w:rsid w:val="00EF1C8C"/>
    <w:rsid w:val="00EF1CB0"/>
    <w:rsid w:val="00EF1CFF"/>
    <w:rsid w:val="00EF1D33"/>
    <w:rsid w:val="00EF1D54"/>
    <w:rsid w:val="00EF1D5A"/>
    <w:rsid w:val="00EF1D63"/>
    <w:rsid w:val="00EF1DB1"/>
    <w:rsid w:val="00EF1DDC"/>
    <w:rsid w:val="00EF1E0E"/>
    <w:rsid w:val="00EF1EC7"/>
    <w:rsid w:val="00EF1ECC"/>
    <w:rsid w:val="00EF1ED0"/>
    <w:rsid w:val="00EF1F39"/>
    <w:rsid w:val="00EF1F62"/>
    <w:rsid w:val="00EF1F64"/>
    <w:rsid w:val="00EF1F9D"/>
    <w:rsid w:val="00EF1FCD"/>
    <w:rsid w:val="00EF1FD0"/>
    <w:rsid w:val="00EF202A"/>
    <w:rsid w:val="00EF2033"/>
    <w:rsid w:val="00EF203C"/>
    <w:rsid w:val="00EF2047"/>
    <w:rsid w:val="00EF2051"/>
    <w:rsid w:val="00EF2148"/>
    <w:rsid w:val="00EF218E"/>
    <w:rsid w:val="00EF21A5"/>
    <w:rsid w:val="00EF21C5"/>
    <w:rsid w:val="00EF21D3"/>
    <w:rsid w:val="00EF21DC"/>
    <w:rsid w:val="00EF21F9"/>
    <w:rsid w:val="00EF227F"/>
    <w:rsid w:val="00EF238C"/>
    <w:rsid w:val="00EF248C"/>
    <w:rsid w:val="00EF24AF"/>
    <w:rsid w:val="00EF24C7"/>
    <w:rsid w:val="00EF24E6"/>
    <w:rsid w:val="00EF24FC"/>
    <w:rsid w:val="00EF250C"/>
    <w:rsid w:val="00EF256E"/>
    <w:rsid w:val="00EF25C2"/>
    <w:rsid w:val="00EF25C9"/>
    <w:rsid w:val="00EF25EE"/>
    <w:rsid w:val="00EF261C"/>
    <w:rsid w:val="00EF2639"/>
    <w:rsid w:val="00EF2684"/>
    <w:rsid w:val="00EF268A"/>
    <w:rsid w:val="00EF269E"/>
    <w:rsid w:val="00EF2720"/>
    <w:rsid w:val="00EF273A"/>
    <w:rsid w:val="00EF273B"/>
    <w:rsid w:val="00EF2763"/>
    <w:rsid w:val="00EF2795"/>
    <w:rsid w:val="00EF27BB"/>
    <w:rsid w:val="00EF27C2"/>
    <w:rsid w:val="00EF27E1"/>
    <w:rsid w:val="00EF2810"/>
    <w:rsid w:val="00EF2832"/>
    <w:rsid w:val="00EF2873"/>
    <w:rsid w:val="00EF289B"/>
    <w:rsid w:val="00EF289D"/>
    <w:rsid w:val="00EF28E7"/>
    <w:rsid w:val="00EF28F0"/>
    <w:rsid w:val="00EF293B"/>
    <w:rsid w:val="00EF2941"/>
    <w:rsid w:val="00EF2A36"/>
    <w:rsid w:val="00EF2A67"/>
    <w:rsid w:val="00EF2BA2"/>
    <w:rsid w:val="00EF2BB8"/>
    <w:rsid w:val="00EF2C42"/>
    <w:rsid w:val="00EF2C6A"/>
    <w:rsid w:val="00EF2D9B"/>
    <w:rsid w:val="00EF2D9D"/>
    <w:rsid w:val="00EF2DB8"/>
    <w:rsid w:val="00EF2DC3"/>
    <w:rsid w:val="00EF2DD9"/>
    <w:rsid w:val="00EF2DDE"/>
    <w:rsid w:val="00EF2E04"/>
    <w:rsid w:val="00EF2E18"/>
    <w:rsid w:val="00EF2E54"/>
    <w:rsid w:val="00EF2F29"/>
    <w:rsid w:val="00EF2F73"/>
    <w:rsid w:val="00EF2F9C"/>
    <w:rsid w:val="00EF2FAC"/>
    <w:rsid w:val="00EF2FE1"/>
    <w:rsid w:val="00EF2FEA"/>
    <w:rsid w:val="00EF2FF2"/>
    <w:rsid w:val="00EF302C"/>
    <w:rsid w:val="00EF30D8"/>
    <w:rsid w:val="00EF30E1"/>
    <w:rsid w:val="00EF30E4"/>
    <w:rsid w:val="00EF30F8"/>
    <w:rsid w:val="00EF314D"/>
    <w:rsid w:val="00EF31EA"/>
    <w:rsid w:val="00EF324A"/>
    <w:rsid w:val="00EF326C"/>
    <w:rsid w:val="00EF32CE"/>
    <w:rsid w:val="00EF331E"/>
    <w:rsid w:val="00EF3325"/>
    <w:rsid w:val="00EF3339"/>
    <w:rsid w:val="00EF334A"/>
    <w:rsid w:val="00EF336A"/>
    <w:rsid w:val="00EF338B"/>
    <w:rsid w:val="00EF33AB"/>
    <w:rsid w:val="00EF33D3"/>
    <w:rsid w:val="00EF3418"/>
    <w:rsid w:val="00EF341B"/>
    <w:rsid w:val="00EF341C"/>
    <w:rsid w:val="00EF34D0"/>
    <w:rsid w:val="00EF34F6"/>
    <w:rsid w:val="00EF351B"/>
    <w:rsid w:val="00EF3539"/>
    <w:rsid w:val="00EF35A1"/>
    <w:rsid w:val="00EF35B1"/>
    <w:rsid w:val="00EF35DC"/>
    <w:rsid w:val="00EF35E4"/>
    <w:rsid w:val="00EF35FD"/>
    <w:rsid w:val="00EF3602"/>
    <w:rsid w:val="00EF3604"/>
    <w:rsid w:val="00EF3661"/>
    <w:rsid w:val="00EF3681"/>
    <w:rsid w:val="00EF3776"/>
    <w:rsid w:val="00EF378E"/>
    <w:rsid w:val="00EF3792"/>
    <w:rsid w:val="00EF3794"/>
    <w:rsid w:val="00EF37DC"/>
    <w:rsid w:val="00EF37FA"/>
    <w:rsid w:val="00EF3857"/>
    <w:rsid w:val="00EF3874"/>
    <w:rsid w:val="00EF38D9"/>
    <w:rsid w:val="00EF3902"/>
    <w:rsid w:val="00EF39CA"/>
    <w:rsid w:val="00EF39DC"/>
    <w:rsid w:val="00EF3A1C"/>
    <w:rsid w:val="00EF3B02"/>
    <w:rsid w:val="00EF3B43"/>
    <w:rsid w:val="00EF3B8F"/>
    <w:rsid w:val="00EF3C11"/>
    <w:rsid w:val="00EF3C9A"/>
    <w:rsid w:val="00EF3D54"/>
    <w:rsid w:val="00EF3DF1"/>
    <w:rsid w:val="00EF3E6C"/>
    <w:rsid w:val="00EF3EC7"/>
    <w:rsid w:val="00EF3ED2"/>
    <w:rsid w:val="00EF3F54"/>
    <w:rsid w:val="00EF3F86"/>
    <w:rsid w:val="00EF3FB4"/>
    <w:rsid w:val="00EF3FEF"/>
    <w:rsid w:val="00EF401F"/>
    <w:rsid w:val="00EF405E"/>
    <w:rsid w:val="00EF4070"/>
    <w:rsid w:val="00EF40A1"/>
    <w:rsid w:val="00EF40C3"/>
    <w:rsid w:val="00EF40E2"/>
    <w:rsid w:val="00EF410C"/>
    <w:rsid w:val="00EF412E"/>
    <w:rsid w:val="00EF4144"/>
    <w:rsid w:val="00EF41BB"/>
    <w:rsid w:val="00EF4249"/>
    <w:rsid w:val="00EF429E"/>
    <w:rsid w:val="00EF42A2"/>
    <w:rsid w:val="00EF42E3"/>
    <w:rsid w:val="00EF436E"/>
    <w:rsid w:val="00EF4396"/>
    <w:rsid w:val="00EF43D7"/>
    <w:rsid w:val="00EF443C"/>
    <w:rsid w:val="00EF4444"/>
    <w:rsid w:val="00EF444D"/>
    <w:rsid w:val="00EF446F"/>
    <w:rsid w:val="00EF4478"/>
    <w:rsid w:val="00EF44E9"/>
    <w:rsid w:val="00EF453B"/>
    <w:rsid w:val="00EF4573"/>
    <w:rsid w:val="00EF457A"/>
    <w:rsid w:val="00EF45A7"/>
    <w:rsid w:val="00EF462E"/>
    <w:rsid w:val="00EF4668"/>
    <w:rsid w:val="00EF469D"/>
    <w:rsid w:val="00EF4747"/>
    <w:rsid w:val="00EF4819"/>
    <w:rsid w:val="00EF4835"/>
    <w:rsid w:val="00EF4870"/>
    <w:rsid w:val="00EF4879"/>
    <w:rsid w:val="00EF48C5"/>
    <w:rsid w:val="00EF48FD"/>
    <w:rsid w:val="00EF498D"/>
    <w:rsid w:val="00EF49D6"/>
    <w:rsid w:val="00EF4A0C"/>
    <w:rsid w:val="00EF4A69"/>
    <w:rsid w:val="00EF4A6D"/>
    <w:rsid w:val="00EF4AB3"/>
    <w:rsid w:val="00EF4B47"/>
    <w:rsid w:val="00EF4B88"/>
    <w:rsid w:val="00EF4B9C"/>
    <w:rsid w:val="00EF4BC6"/>
    <w:rsid w:val="00EF4C0C"/>
    <w:rsid w:val="00EF4C1B"/>
    <w:rsid w:val="00EF4C6D"/>
    <w:rsid w:val="00EF4C78"/>
    <w:rsid w:val="00EF4CF5"/>
    <w:rsid w:val="00EF4CF8"/>
    <w:rsid w:val="00EF4D4D"/>
    <w:rsid w:val="00EF4D6B"/>
    <w:rsid w:val="00EF4D7E"/>
    <w:rsid w:val="00EF4D9D"/>
    <w:rsid w:val="00EF4E20"/>
    <w:rsid w:val="00EF4E47"/>
    <w:rsid w:val="00EF4EC1"/>
    <w:rsid w:val="00EF4EC2"/>
    <w:rsid w:val="00EF4F08"/>
    <w:rsid w:val="00EF4F12"/>
    <w:rsid w:val="00EF4F64"/>
    <w:rsid w:val="00EF5002"/>
    <w:rsid w:val="00EF5042"/>
    <w:rsid w:val="00EF5080"/>
    <w:rsid w:val="00EF5167"/>
    <w:rsid w:val="00EF51DF"/>
    <w:rsid w:val="00EF51FB"/>
    <w:rsid w:val="00EF5215"/>
    <w:rsid w:val="00EF521E"/>
    <w:rsid w:val="00EF5231"/>
    <w:rsid w:val="00EF5272"/>
    <w:rsid w:val="00EF5304"/>
    <w:rsid w:val="00EF5390"/>
    <w:rsid w:val="00EF5398"/>
    <w:rsid w:val="00EF5461"/>
    <w:rsid w:val="00EF54CD"/>
    <w:rsid w:val="00EF54EF"/>
    <w:rsid w:val="00EF5536"/>
    <w:rsid w:val="00EF55FE"/>
    <w:rsid w:val="00EF5682"/>
    <w:rsid w:val="00EF56CB"/>
    <w:rsid w:val="00EF56D2"/>
    <w:rsid w:val="00EF573D"/>
    <w:rsid w:val="00EF5767"/>
    <w:rsid w:val="00EF5782"/>
    <w:rsid w:val="00EF5783"/>
    <w:rsid w:val="00EF57D1"/>
    <w:rsid w:val="00EF5810"/>
    <w:rsid w:val="00EF58AA"/>
    <w:rsid w:val="00EF58B3"/>
    <w:rsid w:val="00EF58C6"/>
    <w:rsid w:val="00EF58CB"/>
    <w:rsid w:val="00EF58E4"/>
    <w:rsid w:val="00EF58EF"/>
    <w:rsid w:val="00EF593A"/>
    <w:rsid w:val="00EF59A2"/>
    <w:rsid w:val="00EF5A11"/>
    <w:rsid w:val="00EF5A16"/>
    <w:rsid w:val="00EF5ABB"/>
    <w:rsid w:val="00EF5AF5"/>
    <w:rsid w:val="00EF5B1F"/>
    <w:rsid w:val="00EF5B3D"/>
    <w:rsid w:val="00EF5B43"/>
    <w:rsid w:val="00EF5BA5"/>
    <w:rsid w:val="00EF5C5F"/>
    <w:rsid w:val="00EF5C83"/>
    <w:rsid w:val="00EF5CBD"/>
    <w:rsid w:val="00EF5DE6"/>
    <w:rsid w:val="00EF5DF5"/>
    <w:rsid w:val="00EF5E4B"/>
    <w:rsid w:val="00EF5E7C"/>
    <w:rsid w:val="00EF5E85"/>
    <w:rsid w:val="00EF5E89"/>
    <w:rsid w:val="00EF5EA5"/>
    <w:rsid w:val="00EF5EFF"/>
    <w:rsid w:val="00EF5F19"/>
    <w:rsid w:val="00EF5F47"/>
    <w:rsid w:val="00EF5F65"/>
    <w:rsid w:val="00EF5F68"/>
    <w:rsid w:val="00EF5F7E"/>
    <w:rsid w:val="00EF5F87"/>
    <w:rsid w:val="00EF5FD7"/>
    <w:rsid w:val="00EF600A"/>
    <w:rsid w:val="00EF6021"/>
    <w:rsid w:val="00EF603A"/>
    <w:rsid w:val="00EF603F"/>
    <w:rsid w:val="00EF60E0"/>
    <w:rsid w:val="00EF6176"/>
    <w:rsid w:val="00EF61AD"/>
    <w:rsid w:val="00EF61BE"/>
    <w:rsid w:val="00EF61F7"/>
    <w:rsid w:val="00EF620D"/>
    <w:rsid w:val="00EF62D1"/>
    <w:rsid w:val="00EF62E2"/>
    <w:rsid w:val="00EF631E"/>
    <w:rsid w:val="00EF63E0"/>
    <w:rsid w:val="00EF6418"/>
    <w:rsid w:val="00EF6443"/>
    <w:rsid w:val="00EF6460"/>
    <w:rsid w:val="00EF649C"/>
    <w:rsid w:val="00EF64C7"/>
    <w:rsid w:val="00EF65CF"/>
    <w:rsid w:val="00EF65E1"/>
    <w:rsid w:val="00EF662C"/>
    <w:rsid w:val="00EF664E"/>
    <w:rsid w:val="00EF66EB"/>
    <w:rsid w:val="00EF6769"/>
    <w:rsid w:val="00EF6799"/>
    <w:rsid w:val="00EF67C4"/>
    <w:rsid w:val="00EF687B"/>
    <w:rsid w:val="00EF6903"/>
    <w:rsid w:val="00EF6917"/>
    <w:rsid w:val="00EF692E"/>
    <w:rsid w:val="00EF6A0A"/>
    <w:rsid w:val="00EF6A2E"/>
    <w:rsid w:val="00EF6A50"/>
    <w:rsid w:val="00EF6A55"/>
    <w:rsid w:val="00EF6AAB"/>
    <w:rsid w:val="00EF6AD7"/>
    <w:rsid w:val="00EF6B39"/>
    <w:rsid w:val="00EF6B92"/>
    <w:rsid w:val="00EF6C1B"/>
    <w:rsid w:val="00EF6C3E"/>
    <w:rsid w:val="00EF6C5A"/>
    <w:rsid w:val="00EF6C68"/>
    <w:rsid w:val="00EF6C76"/>
    <w:rsid w:val="00EF6C8C"/>
    <w:rsid w:val="00EF6CE0"/>
    <w:rsid w:val="00EF6DBD"/>
    <w:rsid w:val="00EF6DC2"/>
    <w:rsid w:val="00EF6E11"/>
    <w:rsid w:val="00EF6E1D"/>
    <w:rsid w:val="00EF6E53"/>
    <w:rsid w:val="00EF6EAC"/>
    <w:rsid w:val="00EF6EDA"/>
    <w:rsid w:val="00EF6F2B"/>
    <w:rsid w:val="00EF6F32"/>
    <w:rsid w:val="00EF6F33"/>
    <w:rsid w:val="00EF6F9E"/>
    <w:rsid w:val="00EF6FD1"/>
    <w:rsid w:val="00EF6FF0"/>
    <w:rsid w:val="00EF704F"/>
    <w:rsid w:val="00EF7056"/>
    <w:rsid w:val="00EF7067"/>
    <w:rsid w:val="00EF7071"/>
    <w:rsid w:val="00EF7078"/>
    <w:rsid w:val="00EF7083"/>
    <w:rsid w:val="00EF70B4"/>
    <w:rsid w:val="00EF711D"/>
    <w:rsid w:val="00EF7127"/>
    <w:rsid w:val="00EF72DC"/>
    <w:rsid w:val="00EF734B"/>
    <w:rsid w:val="00EF73EA"/>
    <w:rsid w:val="00EF742D"/>
    <w:rsid w:val="00EF743A"/>
    <w:rsid w:val="00EF74DB"/>
    <w:rsid w:val="00EF74FB"/>
    <w:rsid w:val="00EF7509"/>
    <w:rsid w:val="00EF759B"/>
    <w:rsid w:val="00EF75A8"/>
    <w:rsid w:val="00EF7610"/>
    <w:rsid w:val="00EF7616"/>
    <w:rsid w:val="00EF761C"/>
    <w:rsid w:val="00EF7747"/>
    <w:rsid w:val="00EF775C"/>
    <w:rsid w:val="00EF77EC"/>
    <w:rsid w:val="00EF785F"/>
    <w:rsid w:val="00EF788C"/>
    <w:rsid w:val="00EF78BA"/>
    <w:rsid w:val="00EF7916"/>
    <w:rsid w:val="00EF791E"/>
    <w:rsid w:val="00EF7923"/>
    <w:rsid w:val="00EF79B5"/>
    <w:rsid w:val="00EF79D5"/>
    <w:rsid w:val="00EF7A31"/>
    <w:rsid w:val="00EF7A90"/>
    <w:rsid w:val="00EF7A9B"/>
    <w:rsid w:val="00EF7B14"/>
    <w:rsid w:val="00EF7B2B"/>
    <w:rsid w:val="00EF7B45"/>
    <w:rsid w:val="00EF7B51"/>
    <w:rsid w:val="00EF7B78"/>
    <w:rsid w:val="00EF7C5D"/>
    <w:rsid w:val="00EF7C68"/>
    <w:rsid w:val="00EF7CED"/>
    <w:rsid w:val="00EF7D2B"/>
    <w:rsid w:val="00EF7D8F"/>
    <w:rsid w:val="00EF7E0C"/>
    <w:rsid w:val="00EF7E3F"/>
    <w:rsid w:val="00EF7E5A"/>
    <w:rsid w:val="00EF7E94"/>
    <w:rsid w:val="00EF7F05"/>
    <w:rsid w:val="00EF7F0F"/>
    <w:rsid w:val="00EF7F18"/>
    <w:rsid w:val="00EF7F44"/>
    <w:rsid w:val="00EF7F89"/>
    <w:rsid w:val="00EF7FAB"/>
    <w:rsid w:val="00F00041"/>
    <w:rsid w:val="00F00063"/>
    <w:rsid w:val="00F0006E"/>
    <w:rsid w:val="00F00092"/>
    <w:rsid w:val="00F0009E"/>
    <w:rsid w:val="00F000A0"/>
    <w:rsid w:val="00F000B0"/>
    <w:rsid w:val="00F00171"/>
    <w:rsid w:val="00F001CB"/>
    <w:rsid w:val="00F001DC"/>
    <w:rsid w:val="00F001EF"/>
    <w:rsid w:val="00F0020B"/>
    <w:rsid w:val="00F00253"/>
    <w:rsid w:val="00F00259"/>
    <w:rsid w:val="00F002DD"/>
    <w:rsid w:val="00F00344"/>
    <w:rsid w:val="00F0037E"/>
    <w:rsid w:val="00F003AA"/>
    <w:rsid w:val="00F003C0"/>
    <w:rsid w:val="00F00455"/>
    <w:rsid w:val="00F00570"/>
    <w:rsid w:val="00F005EC"/>
    <w:rsid w:val="00F00689"/>
    <w:rsid w:val="00F006EA"/>
    <w:rsid w:val="00F00704"/>
    <w:rsid w:val="00F00714"/>
    <w:rsid w:val="00F007A3"/>
    <w:rsid w:val="00F007AB"/>
    <w:rsid w:val="00F007E5"/>
    <w:rsid w:val="00F007E6"/>
    <w:rsid w:val="00F0081D"/>
    <w:rsid w:val="00F0084D"/>
    <w:rsid w:val="00F0089C"/>
    <w:rsid w:val="00F00963"/>
    <w:rsid w:val="00F00977"/>
    <w:rsid w:val="00F009A6"/>
    <w:rsid w:val="00F009AC"/>
    <w:rsid w:val="00F009E1"/>
    <w:rsid w:val="00F009EC"/>
    <w:rsid w:val="00F00A25"/>
    <w:rsid w:val="00F00A28"/>
    <w:rsid w:val="00F00A8C"/>
    <w:rsid w:val="00F00B07"/>
    <w:rsid w:val="00F00B1A"/>
    <w:rsid w:val="00F00B3C"/>
    <w:rsid w:val="00F00B4D"/>
    <w:rsid w:val="00F00B5B"/>
    <w:rsid w:val="00F00BAC"/>
    <w:rsid w:val="00F00BBA"/>
    <w:rsid w:val="00F00C0C"/>
    <w:rsid w:val="00F00CC7"/>
    <w:rsid w:val="00F00CED"/>
    <w:rsid w:val="00F00D1E"/>
    <w:rsid w:val="00F00D9E"/>
    <w:rsid w:val="00F00DA0"/>
    <w:rsid w:val="00F00E12"/>
    <w:rsid w:val="00F00E3E"/>
    <w:rsid w:val="00F00E41"/>
    <w:rsid w:val="00F00E58"/>
    <w:rsid w:val="00F00E6D"/>
    <w:rsid w:val="00F00E82"/>
    <w:rsid w:val="00F00E86"/>
    <w:rsid w:val="00F00EF2"/>
    <w:rsid w:val="00F00F13"/>
    <w:rsid w:val="00F00F26"/>
    <w:rsid w:val="00F00F34"/>
    <w:rsid w:val="00F00F37"/>
    <w:rsid w:val="00F00F59"/>
    <w:rsid w:val="00F00F8B"/>
    <w:rsid w:val="00F00FCC"/>
    <w:rsid w:val="00F00FE8"/>
    <w:rsid w:val="00F01004"/>
    <w:rsid w:val="00F01005"/>
    <w:rsid w:val="00F01011"/>
    <w:rsid w:val="00F01098"/>
    <w:rsid w:val="00F0109D"/>
    <w:rsid w:val="00F010A3"/>
    <w:rsid w:val="00F010CF"/>
    <w:rsid w:val="00F0113A"/>
    <w:rsid w:val="00F011AD"/>
    <w:rsid w:val="00F011AF"/>
    <w:rsid w:val="00F011B0"/>
    <w:rsid w:val="00F011B6"/>
    <w:rsid w:val="00F011D0"/>
    <w:rsid w:val="00F01225"/>
    <w:rsid w:val="00F0123F"/>
    <w:rsid w:val="00F0124F"/>
    <w:rsid w:val="00F01254"/>
    <w:rsid w:val="00F01289"/>
    <w:rsid w:val="00F01298"/>
    <w:rsid w:val="00F012BA"/>
    <w:rsid w:val="00F01335"/>
    <w:rsid w:val="00F01336"/>
    <w:rsid w:val="00F0137C"/>
    <w:rsid w:val="00F01398"/>
    <w:rsid w:val="00F013B3"/>
    <w:rsid w:val="00F013D5"/>
    <w:rsid w:val="00F013E3"/>
    <w:rsid w:val="00F013FA"/>
    <w:rsid w:val="00F0145F"/>
    <w:rsid w:val="00F014D6"/>
    <w:rsid w:val="00F014D9"/>
    <w:rsid w:val="00F014E1"/>
    <w:rsid w:val="00F01525"/>
    <w:rsid w:val="00F0159B"/>
    <w:rsid w:val="00F015F6"/>
    <w:rsid w:val="00F01646"/>
    <w:rsid w:val="00F01682"/>
    <w:rsid w:val="00F016C0"/>
    <w:rsid w:val="00F016DD"/>
    <w:rsid w:val="00F0170B"/>
    <w:rsid w:val="00F0171F"/>
    <w:rsid w:val="00F01751"/>
    <w:rsid w:val="00F01757"/>
    <w:rsid w:val="00F0175E"/>
    <w:rsid w:val="00F0178A"/>
    <w:rsid w:val="00F017F3"/>
    <w:rsid w:val="00F01850"/>
    <w:rsid w:val="00F01859"/>
    <w:rsid w:val="00F018AF"/>
    <w:rsid w:val="00F018E2"/>
    <w:rsid w:val="00F01952"/>
    <w:rsid w:val="00F01960"/>
    <w:rsid w:val="00F01963"/>
    <w:rsid w:val="00F019CB"/>
    <w:rsid w:val="00F019DF"/>
    <w:rsid w:val="00F019F6"/>
    <w:rsid w:val="00F01A0D"/>
    <w:rsid w:val="00F01A15"/>
    <w:rsid w:val="00F01A2C"/>
    <w:rsid w:val="00F01A49"/>
    <w:rsid w:val="00F01A4D"/>
    <w:rsid w:val="00F01AA8"/>
    <w:rsid w:val="00F01AB2"/>
    <w:rsid w:val="00F01AB8"/>
    <w:rsid w:val="00F01AC4"/>
    <w:rsid w:val="00F01AF1"/>
    <w:rsid w:val="00F01B13"/>
    <w:rsid w:val="00F01B6A"/>
    <w:rsid w:val="00F01BBC"/>
    <w:rsid w:val="00F01C79"/>
    <w:rsid w:val="00F01C9A"/>
    <w:rsid w:val="00F01CBE"/>
    <w:rsid w:val="00F01D20"/>
    <w:rsid w:val="00F01D4D"/>
    <w:rsid w:val="00F01D5C"/>
    <w:rsid w:val="00F01DB1"/>
    <w:rsid w:val="00F01DB6"/>
    <w:rsid w:val="00F01DC8"/>
    <w:rsid w:val="00F01E88"/>
    <w:rsid w:val="00F01F10"/>
    <w:rsid w:val="00F01F13"/>
    <w:rsid w:val="00F01F5D"/>
    <w:rsid w:val="00F02029"/>
    <w:rsid w:val="00F0202C"/>
    <w:rsid w:val="00F020F6"/>
    <w:rsid w:val="00F02107"/>
    <w:rsid w:val="00F02159"/>
    <w:rsid w:val="00F02172"/>
    <w:rsid w:val="00F0219F"/>
    <w:rsid w:val="00F021B5"/>
    <w:rsid w:val="00F02230"/>
    <w:rsid w:val="00F0228F"/>
    <w:rsid w:val="00F022D0"/>
    <w:rsid w:val="00F02304"/>
    <w:rsid w:val="00F0230D"/>
    <w:rsid w:val="00F02330"/>
    <w:rsid w:val="00F02358"/>
    <w:rsid w:val="00F02379"/>
    <w:rsid w:val="00F023B3"/>
    <w:rsid w:val="00F023E3"/>
    <w:rsid w:val="00F0244A"/>
    <w:rsid w:val="00F024B2"/>
    <w:rsid w:val="00F024B9"/>
    <w:rsid w:val="00F02541"/>
    <w:rsid w:val="00F02569"/>
    <w:rsid w:val="00F0258F"/>
    <w:rsid w:val="00F02592"/>
    <w:rsid w:val="00F025BD"/>
    <w:rsid w:val="00F02673"/>
    <w:rsid w:val="00F026A2"/>
    <w:rsid w:val="00F026A7"/>
    <w:rsid w:val="00F026C9"/>
    <w:rsid w:val="00F026EA"/>
    <w:rsid w:val="00F0276C"/>
    <w:rsid w:val="00F027BE"/>
    <w:rsid w:val="00F027F3"/>
    <w:rsid w:val="00F028B2"/>
    <w:rsid w:val="00F028BB"/>
    <w:rsid w:val="00F0291A"/>
    <w:rsid w:val="00F0293D"/>
    <w:rsid w:val="00F029A5"/>
    <w:rsid w:val="00F029B1"/>
    <w:rsid w:val="00F029B9"/>
    <w:rsid w:val="00F02A79"/>
    <w:rsid w:val="00F02ABF"/>
    <w:rsid w:val="00F02B44"/>
    <w:rsid w:val="00F02B7B"/>
    <w:rsid w:val="00F02B9B"/>
    <w:rsid w:val="00F02BC0"/>
    <w:rsid w:val="00F02BC7"/>
    <w:rsid w:val="00F02C0A"/>
    <w:rsid w:val="00F02C3C"/>
    <w:rsid w:val="00F02D75"/>
    <w:rsid w:val="00F02D76"/>
    <w:rsid w:val="00F02D77"/>
    <w:rsid w:val="00F02D86"/>
    <w:rsid w:val="00F02DAA"/>
    <w:rsid w:val="00F02DE4"/>
    <w:rsid w:val="00F02DFA"/>
    <w:rsid w:val="00F02E25"/>
    <w:rsid w:val="00F02E73"/>
    <w:rsid w:val="00F02EC0"/>
    <w:rsid w:val="00F02F00"/>
    <w:rsid w:val="00F02F35"/>
    <w:rsid w:val="00F02F50"/>
    <w:rsid w:val="00F02FAE"/>
    <w:rsid w:val="00F02FBA"/>
    <w:rsid w:val="00F0300A"/>
    <w:rsid w:val="00F0303B"/>
    <w:rsid w:val="00F0303D"/>
    <w:rsid w:val="00F0308A"/>
    <w:rsid w:val="00F030BA"/>
    <w:rsid w:val="00F030EA"/>
    <w:rsid w:val="00F03100"/>
    <w:rsid w:val="00F03109"/>
    <w:rsid w:val="00F03167"/>
    <w:rsid w:val="00F031C2"/>
    <w:rsid w:val="00F031C7"/>
    <w:rsid w:val="00F031DF"/>
    <w:rsid w:val="00F031E2"/>
    <w:rsid w:val="00F03235"/>
    <w:rsid w:val="00F032C0"/>
    <w:rsid w:val="00F032F3"/>
    <w:rsid w:val="00F03303"/>
    <w:rsid w:val="00F03327"/>
    <w:rsid w:val="00F03366"/>
    <w:rsid w:val="00F03384"/>
    <w:rsid w:val="00F03388"/>
    <w:rsid w:val="00F033A6"/>
    <w:rsid w:val="00F033B2"/>
    <w:rsid w:val="00F03449"/>
    <w:rsid w:val="00F03479"/>
    <w:rsid w:val="00F034EF"/>
    <w:rsid w:val="00F0353D"/>
    <w:rsid w:val="00F0356A"/>
    <w:rsid w:val="00F03576"/>
    <w:rsid w:val="00F035AC"/>
    <w:rsid w:val="00F035ED"/>
    <w:rsid w:val="00F03688"/>
    <w:rsid w:val="00F0368F"/>
    <w:rsid w:val="00F036A7"/>
    <w:rsid w:val="00F036B0"/>
    <w:rsid w:val="00F036B1"/>
    <w:rsid w:val="00F036E9"/>
    <w:rsid w:val="00F0370B"/>
    <w:rsid w:val="00F03753"/>
    <w:rsid w:val="00F0378E"/>
    <w:rsid w:val="00F037B6"/>
    <w:rsid w:val="00F037E6"/>
    <w:rsid w:val="00F03824"/>
    <w:rsid w:val="00F03832"/>
    <w:rsid w:val="00F03856"/>
    <w:rsid w:val="00F0386F"/>
    <w:rsid w:val="00F038E0"/>
    <w:rsid w:val="00F03923"/>
    <w:rsid w:val="00F03942"/>
    <w:rsid w:val="00F039F9"/>
    <w:rsid w:val="00F03A1A"/>
    <w:rsid w:val="00F03A62"/>
    <w:rsid w:val="00F03A73"/>
    <w:rsid w:val="00F03AD1"/>
    <w:rsid w:val="00F03B22"/>
    <w:rsid w:val="00F03B31"/>
    <w:rsid w:val="00F03B3A"/>
    <w:rsid w:val="00F03B43"/>
    <w:rsid w:val="00F03BF2"/>
    <w:rsid w:val="00F03C2E"/>
    <w:rsid w:val="00F03C38"/>
    <w:rsid w:val="00F03C9F"/>
    <w:rsid w:val="00F03CB4"/>
    <w:rsid w:val="00F03D25"/>
    <w:rsid w:val="00F03D8E"/>
    <w:rsid w:val="00F03E2B"/>
    <w:rsid w:val="00F03E4A"/>
    <w:rsid w:val="00F03E58"/>
    <w:rsid w:val="00F03E92"/>
    <w:rsid w:val="00F03F09"/>
    <w:rsid w:val="00F03F30"/>
    <w:rsid w:val="00F03F8F"/>
    <w:rsid w:val="00F0405E"/>
    <w:rsid w:val="00F04091"/>
    <w:rsid w:val="00F0409B"/>
    <w:rsid w:val="00F040CC"/>
    <w:rsid w:val="00F0416E"/>
    <w:rsid w:val="00F041BD"/>
    <w:rsid w:val="00F041D8"/>
    <w:rsid w:val="00F041F4"/>
    <w:rsid w:val="00F04278"/>
    <w:rsid w:val="00F042EC"/>
    <w:rsid w:val="00F042FB"/>
    <w:rsid w:val="00F0430E"/>
    <w:rsid w:val="00F04337"/>
    <w:rsid w:val="00F04386"/>
    <w:rsid w:val="00F0439C"/>
    <w:rsid w:val="00F04466"/>
    <w:rsid w:val="00F04489"/>
    <w:rsid w:val="00F04491"/>
    <w:rsid w:val="00F044F8"/>
    <w:rsid w:val="00F04558"/>
    <w:rsid w:val="00F04580"/>
    <w:rsid w:val="00F04585"/>
    <w:rsid w:val="00F045D4"/>
    <w:rsid w:val="00F045FE"/>
    <w:rsid w:val="00F0463D"/>
    <w:rsid w:val="00F04677"/>
    <w:rsid w:val="00F04678"/>
    <w:rsid w:val="00F0469F"/>
    <w:rsid w:val="00F046E5"/>
    <w:rsid w:val="00F04751"/>
    <w:rsid w:val="00F0476F"/>
    <w:rsid w:val="00F047BD"/>
    <w:rsid w:val="00F047C3"/>
    <w:rsid w:val="00F047E1"/>
    <w:rsid w:val="00F047F2"/>
    <w:rsid w:val="00F04841"/>
    <w:rsid w:val="00F04849"/>
    <w:rsid w:val="00F04893"/>
    <w:rsid w:val="00F048BB"/>
    <w:rsid w:val="00F048F7"/>
    <w:rsid w:val="00F0490D"/>
    <w:rsid w:val="00F04950"/>
    <w:rsid w:val="00F0495D"/>
    <w:rsid w:val="00F04965"/>
    <w:rsid w:val="00F049A7"/>
    <w:rsid w:val="00F049D9"/>
    <w:rsid w:val="00F04A8F"/>
    <w:rsid w:val="00F04AB3"/>
    <w:rsid w:val="00F04ADA"/>
    <w:rsid w:val="00F04ADE"/>
    <w:rsid w:val="00F04B40"/>
    <w:rsid w:val="00F04BB7"/>
    <w:rsid w:val="00F04BCA"/>
    <w:rsid w:val="00F04BFB"/>
    <w:rsid w:val="00F04C14"/>
    <w:rsid w:val="00F04CB1"/>
    <w:rsid w:val="00F04CB5"/>
    <w:rsid w:val="00F04CB9"/>
    <w:rsid w:val="00F04CFE"/>
    <w:rsid w:val="00F04D7E"/>
    <w:rsid w:val="00F04DA1"/>
    <w:rsid w:val="00F04E20"/>
    <w:rsid w:val="00F04E23"/>
    <w:rsid w:val="00F04E7A"/>
    <w:rsid w:val="00F04ED7"/>
    <w:rsid w:val="00F04FB6"/>
    <w:rsid w:val="00F04FD2"/>
    <w:rsid w:val="00F04FFA"/>
    <w:rsid w:val="00F0501E"/>
    <w:rsid w:val="00F0506E"/>
    <w:rsid w:val="00F050A2"/>
    <w:rsid w:val="00F050C5"/>
    <w:rsid w:val="00F050DB"/>
    <w:rsid w:val="00F05136"/>
    <w:rsid w:val="00F0515D"/>
    <w:rsid w:val="00F051C9"/>
    <w:rsid w:val="00F05220"/>
    <w:rsid w:val="00F0523D"/>
    <w:rsid w:val="00F052DD"/>
    <w:rsid w:val="00F05429"/>
    <w:rsid w:val="00F05430"/>
    <w:rsid w:val="00F05441"/>
    <w:rsid w:val="00F05472"/>
    <w:rsid w:val="00F05491"/>
    <w:rsid w:val="00F054A6"/>
    <w:rsid w:val="00F054D3"/>
    <w:rsid w:val="00F054E4"/>
    <w:rsid w:val="00F0554B"/>
    <w:rsid w:val="00F0557A"/>
    <w:rsid w:val="00F055AD"/>
    <w:rsid w:val="00F05636"/>
    <w:rsid w:val="00F05684"/>
    <w:rsid w:val="00F05694"/>
    <w:rsid w:val="00F05695"/>
    <w:rsid w:val="00F056B2"/>
    <w:rsid w:val="00F056E8"/>
    <w:rsid w:val="00F0571C"/>
    <w:rsid w:val="00F05744"/>
    <w:rsid w:val="00F0578C"/>
    <w:rsid w:val="00F057C3"/>
    <w:rsid w:val="00F057D9"/>
    <w:rsid w:val="00F057FA"/>
    <w:rsid w:val="00F0584A"/>
    <w:rsid w:val="00F05862"/>
    <w:rsid w:val="00F058CB"/>
    <w:rsid w:val="00F05A04"/>
    <w:rsid w:val="00F05A15"/>
    <w:rsid w:val="00F05A4C"/>
    <w:rsid w:val="00F05A52"/>
    <w:rsid w:val="00F05A72"/>
    <w:rsid w:val="00F05A94"/>
    <w:rsid w:val="00F05ACD"/>
    <w:rsid w:val="00F05AF7"/>
    <w:rsid w:val="00F05B6B"/>
    <w:rsid w:val="00F05B96"/>
    <w:rsid w:val="00F05C0C"/>
    <w:rsid w:val="00F05C2C"/>
    <w:rsid w:val="00F05C31"/>
    <w:rsid w:val="00F05C3C"/>
    <w:rsid w:val="00F05C69"/>
    <w:rsid w:val="00F05CAB"/>
    <w:rsid w:val="00F05CC2"/>
    <w:rsid w:val="00F05CD9"/>
    <w:rsid w:val="00F05D11"/>
    <w:rsid w:val="00F05D71"/>
    <w:rsid w:val="00F05E25"/>
    <w:rsid w:val="00F05E7D"/>
    <w:rsid w:val="00F05EBB"/>
    <w:rsid w:val="00F05F05"/>
    <w:rsid w:val="00F05F10"/>
    <w:rsid w:val="00F05F33"/>
    <w:rsid w:val="00F05F4C"/>
    <w:rsid w:val="00F05F87"/>
    <w:rsid w:val="00F05FD8"/>
    <w:rsid w:val="00F05FEA"/>
    <w:rsid w:val="00F05FFB"/>
    <w:rsid w:val="00F0609E"/>
    <w:rsid w:val="00F060B3"/>
    <w:rsid w:val="00F06102"/>
    <w:rsid w:val="00F0614C"/>
    <w:rsid w:val="00F06180"/>
    <w:rsid w:val="00F061A0"/>
    <w:rsid w:val="00F061AB"/>
    <w:rsid w:val="00F0621A"/>
    <w:rsid w:val="00F06226"/>
    <w:rsid w:val="00F06276"/>
    <w:rsid w:val="00F06286"/>
    <w:rsid w:val="00F062C4"/>
    <w:rsid w:val="00F062E4"/>
    <w:rsid w:val="00F06306"/>
    <w:rsid w:val="00F06374"/>
    <w:rsid w:val="00F063B3"/>
    <w:rsid w:val="00F06454"/>
    <w:rsid w:val="00F0647C"/>
    <w:rsid w:val="00F06484"/>
    <w:rsid w:val="00F064C6"/>
    <w:rsid w:val="00F06513"/>
    <w:rsid w:val="00F06515"/>
    <w:rsid w:val="00F06554"/>
    <w:rsid w:val="00F06559"/>
    <w:rsid w:val="00F06563"/>
    <w:rsid w:val="00F0656C"/>
    <w:rsid w:val="00F065A1"/>
    <w:rsid w:val="00F06607"/>
    <w:rsid w:val="00F066CD"/>
    <w:rsid w:val="00F0673F"/>
    <w:rsid w:val="00F0674F"/>
    <w:rsid w:val="00F06806"/>
    <w:rsid w:val="00F06952"/>
    <w:rsid w:val="00F0695E"/>
    <w:rsid w:val="00F06964"/>
    <w:rsid w:val="00F0696D"/>
    <w:rsid w:val="00F0696F"/>
    <w:rsid w:val="00F069C7"/>
    <w:rsid w:val="00F069CA"/>
    <w:rsid w:val="00F069FE"/>
    <w:rsid w:val="00F06A9E"/>
    <w:rsid w:val="00F06ACF"/>
    <w:rsid w:val="00F06AD7"/>
    <w:rsid w:val="00F06AE3"/>
    <w:rsid w:val="00F06AE5"/>
    <w:rsid w:val="00F06B09"/>
    <w:rsid w:val="00F06B10"/>
    <w:rsid w:val="00F06B1F"/>
    <w:rsid w:val="00F06B3C"/>
    <w:rsid w:val="00F06B6D"/>
    <w:rsid w:val="00F06BE4"/>
    <w:rsid w:val="00F06C09"/>
    <w:rsid w:val="00F06C20"/>
    <w:rsid w:val="00F06C6E"/>
    <w:rsid w:val="00F06CAA"/>
    <w:rsid w:val="00F06CCA"/>
    <w:rsid w:val="00F06DCC"/>
    <w:rsid w:val="00F06DF1"/>
    <w:rsid w:val="00F06E2E"/>
    <w:rsid w:val="00F06E88"/>
    <w:rsid w:val="00F06E93"/>
    <w:rsid w:val="00F06EAC"/>
    <w:rsid w:val="00F06EC5"/>
    <w:rsid w:val="00F06EF0"/>
    <w:rsid w:val="00F06F21"/>
    <w:rsid w:val="00F06F44"/>
    <w:rsid w:val="00F06F63"/>
    <w:rsid w:val="00F06FB5"/>
    <w:rsid w:val="00F06FC9"/>
    <w:rsid w:val="00F07014"/>
    <w:rsid w:val="00F07059"/>
    <w:rsid w:val="00F0708F"/>
    <w:rsid w:val="00F070AB"/>
    <w:rsid w:val="00F070C4"/>
    <w:rsid w:val="00F070CD"/>
    <w:rsid w:val="00F07128"/>
    <w:rsid w:val="00F07165"/>
    <w:rsid w:val="00F07194"/>
    <w:rsid w:val="00F071A0"/>
    <w:rsid w:val="00F071B9"/>
    <w:rsid w:val="00F071BB"/>
    <w:rsid w:val="00F07290"/>
    <w:rsid w:val="00F072DB"/>
    <w:rsid w:val="00F0731D"/>
    <w:rsid w:val="00F0731E"/>
    <w:rsid w:val="00F07323"/>
    <w:rsid w:val="00F07384"/>
    <w:rsid w:val="00F07481"/>
    <w:rsid w:val="00F074C3"/>
    <w:rsid w:val="00F075BD"/>
    <w:rsid w:val="00F075D7"/>
    <w:rsid w:val="00F075E3"/>
    <w:rsid w:val="00F0760E"/>
    <w:rsid w:val="00F07672"/>
    <w:rsid w:val="00F0767B"/>
    <w:rsid w:val="00F07687"/>
    <w:rsid w:val="00F0768F"/>
    <w:rsid w:val="00F076A1"/>
    <w:rsid w:val="00F0771F"/>
    <w:rsid w:val="00F0773A"/>
    <w:rsid w:val="00F07788"/>
    <w:rsid w:val="00F077AA"/>
    <w:rsid w:val="00F077C8"/>
    <w:rsid w:val="00F07804"/>
    <w:rsid w:val="00F07818"/>
    <w:rsid w:val="00F07864"/>
    <w:rsid w:val="00F0789A"/>
    <w:rsid w:val="00F0789E"/>
    <w:rsid w:val="00F078B3"/>
    <w:rsid w:val="00F078F1"/>
    <w:rsid w:val="00F07903"/>
    <w:rsid w:val="00F07942"/>
    <w:rsid w:val="00F0794D"/>
    <w:rsid w:val="00F07961"/>
    <w:rsid w:val="00F0796C"/>
    <w:rsid w:val="00F07979"/>
    <w:rsid w:val="00F0799C"/>
    <w:rsid w:val="00F079AB"/>
    <w:rsid w:val="00F079B8"/>
    <w:rsid w:val="00F079B9"/>
    <w:rsid w:val="00F079C9"/>
    <w:rsid w:val="00F079FB"/>
    <w:rsid w:val="00F07A16"/>
    <w:rsid w:val="00F07A5A"/>
    <w:rsid w:val="00F07A7B"/>
    <w:rsid w:val="00F07A7D"/>
    <w:rsid w:val="00F07AAB"/>
    <w:rsid w:val="00F07ABE"/>
    <w:rsid w:val="00F07AF2"/>
    <w:rsid w:val="00F07AFC"/>
    <w:rsid w:val="00F07B4B"/>
    <w:rsid w:val="00F07B62"/>
    <w:rsid w:val="00F07B9A"/>
    <w:rsid w:val="00F07BDA"/>
    <w:rsid w:val="00F07C19"/>
    <w:rsid w:val="00F07D79"/>
    <w:rsid w:val="00F07D9D"/>
    <w:rsid w:val="00F07DE0"/>
    <w:rsid w:val="00F07E39"/>
    <w:rsid w:val="00F07EAA"/>
    <w:rsid w:val="00F07F16"/>
    <w:rsid w:val="00F07F3D"/>
    <w:rsid w:val="00F07F52"/>
    <w:rsid w:val="00F07F87"/>
    <w:rsid w:val="00F07FB7"/>
    <w:rsid w:val="00F07FDC"/>
    <w:rsid w:val="00F07FE0"/>
    <w:rsid w:val="00F10004"/>
    <w:rsid w:val="00F10014"/>
    <w:rsid w:val="00F10023"/>
    <w:rsid w:val="00F1005C"/>
    <w:rsid w:val="00F10085"/>
    <w:rsid w:val="00F1008C"/>
    <w:rsid w:val="00F1009A"/>
    <w:rsid w:val="00F100B0"/>
    <w:rsid w:val="00F100DF"/>
    <w:rsid w:val="00F100E7"/>
    <w:rsid w:val="00F100ED"/>
    <w:rsid w:val="00F10113"/>
    <w:rsid w:val="00F1017A"/>
    <w:rsid w:val="00F101AE"/>
    <w:rsid w:val="00F101DE"/>
    <w:rsid w:val="00F101F4"/>
    <w:rsid w:val="00F10221"/>
    <w:rsid w:val="00F10250"/>
    <w:rsid w:val="00F10299"/>
    <w:rsid w:val="00F102BD"/>
    <w:rsid w:val="00F102C4"/>
    <w:rsid w:val="00F10333"/>
    <w:rsid w:val="00F10370"/>
    <w:rsid w:val="00F10378"/>
    <w:rsid w:val="00F1037A"/>
    <w:rsid w:val="00F103B5"/>
    <w:rsid w:val="00F103C2"/>
    <w:rsid w:val="00F103CB"/>
    <w:rsid w:val="00F1045E"/>
    <w:rsid w:val="00F1048F"/>
    <w:rsid w:val="00F10490"/>
    <w:rsid w:val="00F104D7"/>
    <w:rsid w:val="00F10534"/>
    <w:rsid w:val="00F10585"/>
    <w:rsid w:val="00F1058D"/>
    <w:rsid w:val="00F105AF"/>
    <w:rsid w:val="00F105B7"/>
    <w:rsid w:val="00F105B8"/>
    <w:rsid w:val="00F1063A"/>
    <w:rsid w:val="00F10642"/>
    <w:rsid w:val="00F106AC"/>
    <w:rsid w:val="00F106FC"/>
    <w:rsid w:val="00F1070C"/>
    <w:rsid w:val="00F107CC"/>
    <w:rsid w:val="00F10815"/>
    <w:rsid w:val="00F1081E"/>
    <w:rsid w:val="00F10822"/>
    <w:rsid w:val="00F10898"/>
    <w:rsid w:val="00F108C7"/>
    <w:rsid w:val="00F108C9"/>
    <w:rsid w:val="00F10909"/>
    <w:rsid w:val="00F10931"/>
    <w:rsid w:val="00F10954"/>
    <w:rsid w:val="00F10963"/>
    <w:rsid w:val="00F10971"/>
    <w:rsid w:val="00F109C0"/>
    <w:rsid w:val="00F109D8"/>
    <w:rsid w:val="00F10ABA"/>
    <w:rsid w:val="00F10B07"/>
    <w:rsid w:val="00F10B21"/>
    <w:rsid w:val="00F10B3B"/>
    <w:rsid w:val="00F10B44"/>
    <w:rsid w:val="00F10B4E"/>
    <w:rsid w:val="00F10BC8"/>
    <w:rsid w:val="00F10BDD"/>
    <w:rsid w:val="00F10C07"/>
    <w:rsid w:val="00F10C3F"/>
    <w:rsid w:val="00F10C58"/>
    <w:rsid w:val="00F10C69"/>
    <w:rsid w:val="00F10CBE"/>
    <w:rsid w:val="00F10D2E"/>
    <w:rsid w:val="00F10D43"/>
    <w:rsid w:val="00F10D69"/>
    <w:rsid w:val="00F10D8C"/>
    <w:rsid w:val="00F10DE1"/>
    <w:rsid w:val="00F10E1E"/>
    <w:rsid w:val="00F10E37"/>
    <w:rsid w:val="00F10E63"/>
    <w:rsid w:val="00F10E9E"/>
    <w:rsid w:val="00F10EBE"/>
    <w:rsid w:val="00F10EF8"/>
    <w:rsid w:val="00F10F22"/>
    <w:rsid w:val="00F10F3F"/>
    <w:rsid w:val="00F10FE1"/>
    <w:rsid w:val="00F11051"/>
    <w:rsid w:val="00F1107A"/>
    <w:rsid w:val="00F110DE"/>
    <w:rsid w:val="00F11102"/>
    <w:rsid w:val="00F11129"/>
    <w:rsid w:val="00F1113F"/>
    <w:rsid w:val="00F11141"/>
    <w:rsid w:val="00F11159"/>
    <w:rsid w:val="00F111DC"/>
    <w:rsid w:val="00F11271"/>
    <w:rsid w:val="00F112AD"/>
    <w:rsid w:val="00F112C3"/>
    <w:rsid w:val="00F112E4"/>
    <w:rsid w:val="00F112ED"/>
    <w:rsid w:val="00F112FA"/>
    <w:rsid w:val="00F11331"/>
    <w:rsid w:val="00F11387"/>
    <w:rsid w:val="00F11390"/>
    <w:rsid w:val="00F11391"/>
    <w:rsid w:val="00F11435"/>
    <w:rsid w:val="00F11439"/>
    <w:rsid w:val="00F11463"/>
    <w:rsid w:val="00F1146A"/>
    <w:rsid w:val="00F114A5"/>
    <w:rsid w:val="00F114F6"/>
    <w:rsid w:val="00F114FA"/>
    <w:rsid w:val="00F1151A"/>
    <w:rsid w:val="00F1156E"/>
    <w:rsid w:val="00F1156F"/>
    <w:rsid w:val="00F1161C"/>
    <w:rsid w:val="00F116CC"/>
    <w:rsid w:val="00F11702"/>
    <w:rsid w:val="00F1171F"/>
    <w:rsid w:val="00F11739"/>
    <w:rsid w:val="00F11765"/>
    <w:rsid w:val="00F117C7"/>
    <w:rsid w:val="00F117E4"/>
    <w:rsid w:val="00F11818"/>
    <w:rsid w:val="00F1186C"/>
    <w:rsid w:val="00F1188B"/>
    <w:rsid w:val="00F118C6"/>
    <w:rsid w:val="00F11905"/>
    <w:rsid w:val="00F11947"/>
    <w:rsid w:val="00F11981"/>
    <w:rsid w:val="00F11A26"/>
    <w:rsid w:val="00F11A3C"/>
    <w:rsid w:val="00F11A54"/>
    <w:rsid w:val="00F11A9F"/>
    <w:rsid w:val="00F11AB1"/>
    <w:rsid w:val="00F11AC1"/>
    <w:rsid w:val="00F11ADF"/>
    <w:rsid w:val="00F11AF5"/>
    <w:rsid w:val="00F11B69"/>
    <w:rsid w:val="00F11B83"/>
    <w:rsid w:val="00F11BED"/>
    <w:rsid w:val="00F11C00"/>
    <w:rsid w:val="00F11C25"/>
    <w:rsid w:val="00F11C2C"/>
    <w:rsid w:val="00F11C95"/>
    <w:rsid w:val="00F11CB1"/>
    <w:rsid w:val="00F11CC0"/>
    <w:rsid w:val="00F11CFB"/>
    <w:rsid w:val="00F11D31"/>
    <w:rsid w:val="00F11D67"/>
    <w:rsid w:val="00F11D8E"/>
    <w:rsid w:val="00F11E00"/>
    <w:rsid w:val="00F11E83"/>
    <w:rsid w:val="00F11E8F"/>
    <w:rsid w:val="00F11EAD"/>
    <w:rsid w:val="00F11EEF"/>
    <w:rsid w:val="00F11EF7"/>
    <w:rsid w:val="00F11F31"/>
    <w:rsid w:val="00F11F66"/>
    <w:rsid w:val="00F11F92"/>
    <w:rsid w:val="00F11FC8"/>
    <w:rsid w:val="00F12055"/>
    <w:rsid w:val="00F120EA"/>
    <w:rsid w:val="00F1215F"/>
    <w:rsid w:val="00F1218B"/>
    <w:rsid w:val="00F121A2"/>
    <w:rsid w:val="00F121C1"/>
    <w:rsid w:val="00F12201"/>
    <w:rsid w:val="00F12210"/>
    <w:rsid w:val="00F12235"/>
    <w:rsid w:val="00F12296"/>
    <w:rsid w:val="00F122AE"/>
    <w:rsid w:val="00F122B7"/>
    <w:rsid w:val="00F1230A"/>
    <w:rsid w:val="00F1232C"/>
    <w:rsid w:val="00F123C3"/>
    <w:rsid w:val="00F123F3"/>
    <w:rsid w:val="00F12407"/>
    <w:rsid w:val="00F12410"/>
    <w:rsid w:val="00F12475"/>
    <w:rsid w:val="00F124C1"/>
    <w:rsid w:val="00F124C9"/>
    <w:rsid w:val="00F12519"/>
    <w:rsid w:val="00F1251F"/>
    <w:rsid w:val="00F12526"/>
    <w:rsid w:val="00F125CD"/>
    <w:rsid w:val="00F12682"/>
    <w:rsid w:val="00F1273D"/>
    <w:rsid w:val="00F1274A"/>
    <w:rsid w:val="00F127C4"/>
    <w:rsid w:val="00F127D0"/>
    <w:rsid w:val="00F127DA"/>
    <w:rsid w:val="00F127EE"/>
    <w:rsid w:val="00F12818"/>
    <w:rsid w:val="00F12860"/>
    <w:rsid w:val="00F128C4"/>
    <w:rsid w:val="00F12963"/>
    <w:rsid w:val="00F12980"/>
    <w:rsid w:val="00F129C0"/>
    <w:rsid w:val="00F129C9"/>
    <w:rsid w:val="00F129D7"/>
    <w:rsid w:val="00F129E4"/>
    <w:rsid w:val="00F12A0D"/>
    <w:rsid w:val="00F12A4F"/>
    <w:rsid w:val="00F12A73"/>
    <w:rsid w:val="00F12AA9"/>
    <w:rsid w:val="00F12AC1"/>
    <w:rsid w:val="00F12AE6"/>
    <w:rsid w:val="00F12B0D"/>
    <w:rsid w:val="00F12B38"/>
    <w:rsid w:val="00F12BB6"/>
    <w:rsid w:val="00F12BE5"/>
    <w:rsid w:val="00F12BEC"/>
    <w:rsid w:val="00F12BED"/>
    <w:rsid w:val="00F12BF8"/>
    <w:rsid w:val="00F12BFF"/>
    <w:rsid w:val="00F12D25"/>
    <w:rsid w:val="00F12D46"/>
    <w:rsid w:val="00F12D49"/>
    <w:rsid w:val="00F12D60"/>
    <w:rsid w:val="00F12D75"/>
    <w:rsid w:val="00F12D98"/>
    <w:rsid w:val="00F12DA7"/>
    <w:rsid w:val="00F12DC6"/>
    <w:rsid w:val="00F12DEC"/>
    <w:rsid w:val="00F12DF1"/>
    <w:rsid w:val="00F12EBB"/>
    <w:rsid w:val="00F12F2D"/>
    <w:rsid w:val="00F12FBD"/>
    <w:rsid w:val="00F13088"/>
    <w:rsid w:val="00F130B2"/>
    <w:rsid w:val="00F130C8"/>
    <w:rsid w:val="00F130DB"/>
    <w:rsid w:val="00F13100"/>
    <w:rsid w:val="00F1316F"/>
    <w:rsid w:val="00F1317E"/>
    <w:rsid w:val="00F131B9"/>
    <w:rsid w:val="00F13220"/>
    <w:rsid w:val="00F13253"/>
    <w:rsid w:val="00F1325D"/>
    <w:rsid w:val="00F13269"/>
    <w:rsid w:val="00F1329F"/>
    <w:rsid w:val="00F132B9"/>
    <w:rsid w:val="00F132ED"/>
    <w:rsid w:val="00F13301"/>
    <w:rsid w:val="00F13373"/>
    <w:rsid w:val="00F1338A"/>
    <w:rsid w:val="00F133AF"/>
    <w:rsid w:val="00F134BE"/>
    <w:rsid w:val="00F1356D"/>
    <w:rsid w:val="00F13572"/>
    <w:rsid w:val="00F1357A"/>
    <w:rsid w:val="00F1357C"/>
    <w:rsid w:val="00F1359B"/>
    <w:rsid w:val="00F135AA"/>
    <w:rsid w:val="00F135CF"/>
    <w:rsid w:val="00F135DF"/>
    <w:rsid w:val="00F1369E"/>
    <w:rsid w:val="00F1372F"/>
    <w:rsid w:val="00F13785"/>
    <w:rsid w:val="00F137E6"/>
    <w:rsid w:val="00F137F7"/>
    <w:rsid w:val="00F13854"/>
    <w:rsid w:val="00F138E4"/>
    <w:rsid w:val="00F13910"/>
    <w:rsid w:val="00F13967"/>
    <w:rsid w:val="00F139DE"/>
    <w:rsid w:val="00F13A5B"/>
    <w:rsid w:val="00F13A89"/>
    <w:rsid w:val="00F13AAA"/>
    <w:rsid w:val="00F13AF9"/>
    <w:rsid w:val="00F13B75"/>
    <w:rsid w:val="00F13BA2"/>
    <w:rsid w:val="00F13BB3"/>
    <w:rsid w:val="00F13BF4"/>
    <w:rsid w:val="00F13BFA"/>
    <w:rsid w:val="00F13C77"/>
    <w:rsid w:val="00F13C7E"/>
    <w:rsid w:val="00F13C9D"/>
    <w:rsid w:val="00F13CA7"/>
    <w:rsid w:val="00F13CC6"/>
    <w:rsid w:val="00F13D35"/>
    <w:rsid w:val="00F13D4B"/>
    <w:rsid w:val="00F13D78"/>
    <w:rsid w:val="00F13D7A"/>
    <w:rsid w:val="00F13DF8"/>
    <w:rsid w:val="00F13DFC"/>
    <w:rsid w:val="00F13E0C"/>
    <w:rsid w:val="00F13E45"/>
    <w:rsid w:val="00F13E51"/>
    <w:rsid w:val="00F13EC3"/>
    <w:rsid w:val="00F13EC9"/>
    <w:rsid w:val="00F13ED4"/>
    <w:rsid w:val="00F13F63"/>
    <w:rsid w:val="00F13F8C"/>
    <w:rsid w:val="00F13FC0"/>
    <w:rsid w:val="00F14048"/>
    <w:rsid w:val="00F140B0"/>
    <w:rsid w:val="00F14105"/>
    <w:rsid w:val="00F14174"/>
    <w:rsid w:val="00F141A7"/>
    <w:rsid w:val="00F141F2"/>
    <w:rsid w:val="00F14210"/>
    <w:rsid w:val="00F142E8"/>
    <w:rsid w:val="00F14334"/>
    <w:rsid w:val="00F14340"/>
    <w:rsid w:val="00F14386"/>
    <w:rsid w:val="00F143A2"/>
    <w:rsid w:val="00F143C8"/>
    <w:rsid w:val="00F14409"/>
    <w:rsid w:val="00F14418"/>
    <w:rsid w:val="00F14476"/>
    <w:rsid w:val="00F144C0"/>
    <w:rsid w:val="00F144F8"/>
    <w:rsid w:val="00F1451C"/>
    <w:rsid w:val="00F14560"/>
    <w:rsid w:val="00F14592"/>
    <w:rsid w:val="00F145B9"/>
    <w:rsid w:val="00F145E9"/>
    <w:rsid w:val="00F14622"/>
    <w:rsid w:val="00F146BA"/>
    <w:rsid w:val="00F146C5"/>
    <w:rsid w:val="00F146CF"/>
    <w:rsid w:val="00F146EE"/>
    <w:rsid w:val="00F1473A"/>
    <w:rsid w:val="00F14740"/>
    <w:rsid w:val="00F14750"/>
    <w:rsid w:val="00F14804"/>
    <w:rsid w:val="00F14831"/>
    <w:rsid w:val="00F14890"/>
    <w:rsid w:val="00F148CA"/>
    <w:rsid w:val="00F148F1"/>
    <w:rsid w:val="00F149BC"/>
    <w:rsid w:val="00F149C7"/>
    <w:rsid w:val="00F14A23"/>
    <w:rsid w:val="00F14A80"/>
    <w:rsid w:val="00F14AD7"/>
    <w:rsid w:val="00F14B00"/>
    <w:rsid w:val="00F14B08"/>
    <w:rsid w:val="00F14B13"/>
    <w:rsid w:val="00F14B68"/>
    <w:rsid w:val="00F14C5F"/>
    <w:rsid w:val="00F14CE0"/>
    <w:rsid w:val="00F14D21"/>
    <w:rsid w:val="00F14D45"/>
    <w:rsid w:val="00F14D51"/>
    <w:rsid w:val="00F14D91"/>
    <w:rsid w:val="00F14DA2"/>
    <w:rsid w:val="00F14DB0"/>
    <w:rsid w:val="00F14DC8"/>
    <w:rsid w:val="00F14DD3"/>
    <w:rsid w:val="00F14DE1"/>
    <w:rsid w:val="00F14E83"/>
    <w:rsid w:val="00F14E96"/>
    <w:rsid w:val="00F14ECF"/>
    <w:rsid w:val="00F14F1D"/>
    <w:rsid w:val="00F14F97"/>
    <w:rsid w:val="00F150B2"/>
    <w:rsid w:val="00F15104"/>
    <w:rsid w:val="00F15179"/>
    <w:rsid w:val="00F151F1"/>
    <w:rsid w:val="00F15217"/>
    <w:rsid w:val="00F1522C"/>
    <w:rsid w:val="00F1528D"/>
    <w:rsid w:val="00F152AB"/>
    <w:rsid w:val="00F152BB"/>
    <w:rsid w:val="00F152D6"/>
    <w:rsid w:val="00F15312"/>
    <w:rsid w:val="00F15336"/>
    <w:rsid w:val="00F15348"/>
    <w:rsid w:val="00F15364"/>
    <w:rsid w:val="00F153D3"/>
    <w:rsid w:val="00F153D4"/>
    <w:rsid w:val="00F153E5"/>
    <w:rsid w:val="00F1546A"/>
    <w:rsid w:val="00F154D8"/>
    <w:rsid w:val="00F154F3"/>
    <w:rsid w:val="00F15509"/>
    <w:rsid w:val="00F15544"/>
    <w:rsid w:val="00F155A8"/>
    <w:rsid w:val="00F155C5"/>
    <w:rsid w:val="00F155EA"/>
    <w:rsid w:val="00F15602"/>
    <w:rsid w:val="00F15636"/>
    <w:rsid w:val="00F15659"/>
    <w:rsid w:val="00F15668"/>
    <w:rsid w:val="00F15671"/>
    <w:rsid w:val="00F156A8"/>
    <w:rsid w:val="00F156C9"/>
    <w:rsid w:val="00F156DD"/>
    <w:rsid w:val="00F1577D"/>
    <w:rsid w:val="00F157B7"/>
    <w:rsid w:val="00F157FB"/>
    <w:rsid w:val="00F1583F"/>
    <w:rsid w:val="00F1584B"/>
    <w:rsid w:val="00F1585D"/>
    <w:rsid w:val="00F15990"/>
    <w:rsid w:val="00F15994"/>
    <w:rsid w:val="00F159BA"/>
    <w:rsid w:val="00F15A11"/>
    <w:rsid w:val="00F15A3E"/>
    <w:rsid w:val="00F15AA7"/>
    <w:rsid w:val="00F15AF3"/>
    <w:rsid w:val="00F15B05"/>
    <w:rsid w:val="00F15B09"/>
    <w:rsid w:val="00F15B1E"/>
    <w:rsid w:val="00F15B4A"/>
    <w:rsid w:val="00F15B9B"/>
    <w:rsid w:val="00F15C21"/>
    <w:rsid w:val="00F15C23"/>
    <w:rsid w:val="00F15C67"/>
    <w:rsid w:val="00F15CF0"/>
    <w:rsid w:val="00F15CF5"/>
    <w:rsid w:val="00F15CFA"/>
    <w:rsid w:val="00F15D06"/>
    <w:rsid w:val="00F15D07"/>
    <w:rsid w:val="00F15D5B"/>
    <w:rsid w:val="00F15D67"/>
    <w:rsid w:val="00F15DB7"/>
    <w:rsid w:val="00F15DFB"/>
    <w:rsid w:val="00F15E4E"/>
    <w:rsid w:val="00F15E65"/>
    <w:rsid w:val="00F15E92"/>
    <w:rsid w:val="00F15EC4"/>
    <w:rsid w:val="00F15ED7"/>
    <w:rsid w:val="00F15EFF"/>
    <w:rsid w:val="00F15F19"/>
    <w:rsid w:val="00F15F43"/>
    <w:rsid w:val="00F15F95"/>
    <w:rsid w:val="00F15FB2"/>
    <w:rsid w:val="00F15FD4"/>
    <w:rsid w:val="00F15FF5"/>
    <w:rsid w:val="00F15FF6"/>
    <w:rsid w:val="00F16000"/>
    <w:rsid w:val="00F1606D"/>
    <w:rsid w:val="00F16073"/>
    <w:rsid w:val="00F16098"/>
    <w:rsid w:val="00F160A5"/>
    <w:rsid w:val="00F160E3"/>
    <w:rsid w:val="00F16125"/>
    <w:rsid w:val="00F161F6"/>
    <w:rsid w:val="00F1620E"/>
    <w:rsid w:val="00F1625F"/>
    <w:rsid w:val="00F1628D"/>
    <w:rsid w:val="00F1628E"/>
    <w:rsid w:val="00F16291"/>
    <w:rsid w:val="00F162D7"/>
    <w:rsid w:val="00F16315"/>
    <w:rsid w:val="00F16321"/>
    <w:rsid w:val="00F16343"/>
    <w:rsid w:val="00F16345"/>
    <w:rsid w:val="00F1639C"/>
    <w:rsid w:val="00F163A1"/>
    <w:rsid w:val="00F163D2"/>
    <w:rsid w:val="00F16496"/>
    <w:rsid w:val="00F16536"/>
    <w:rsid w:val="00F16575"/>
    <w:rsid w:val="00F165CF"/>
    <w:rsid w:val="00F165E2"/>
    <w:rsid w:val="00F1669F"/>
    <w:rsid w:val="00F166FA"/>
    <w:rsid w:val="00F1673C"/>
    <w:rsid w:val="00F16756"/>
    <w:rsid w:val="00F167A0"/>
    <w:rsid w:val="00F1681B"/>
    <w:rsid w:val="00F16881"/>
    <w:rsid w:val="00F1688B"/>
    <w:rsid w:val="00F168A8"/>
    <w:rsid w:val="00F168B6"/>
    <w:rsid w:val="00F168E0"/>
    <w:rsid w:val="00F1690C"/>
    <w:rsid w:val="00F16935"/>
    <w:rsid w:val="00F169BE"/>
    <w:rsid w:val="00F169FE"/>
    <w:rsid w:val="00F16A05"/>
    <w:rsid w:val="00F16A0B"/>
    <w:rsid w:val="00F16A82"/>
    <w:rsid w:val="00F16A9E"/>
    <w:rsid w:val="00F16B37"/>
    <w:rsid w:val="00F16B41"/>
    <w:rsid w:val="00F16BEF"/>
    <w:rsid w:val="00F16C06"/>
    <w:rsid w:val="00F16CA2"/>
    <w:rsid w:val="00F16CBB"/>
    <w:rsid w:val="00F16CC2"/>
    <w:rsid w:val="00F16CD8"/>
    <w:rsid w:val="00F16D13"/>
    <w:rsid w:val="00F16D16"/>
    <w:rsid w:val="00F16D9D"/>
    <w:rsid w:val="00F16DFF"/>
    <w:rsid w:val="00F16E02"/>
    <w:rsid w:val="00F16E1B"/>
    <w:rsid w:val="00F16EC7"/>
    <w:rsid w:val="00F16F23"/>
    <w:rsid w:val="00F16F32"/>
    <w:rsid w:val="00F16FBC"/>
    <w:rsid w:val="00F16FE3"/>
    <w:rsid w:val="00F16FEC"/>
    <w:rsid w:val="00F17034"/>
    <w:rsid w:val="00F170AA"/>
    <w:rsid w:val="00F1710F"/>
    <w:rsid w:val="00F1711D"/>
    <w:rsid w:val="00F17171"/>
    <w:rsid w:val="00F17256"/>
    <w:rsid w:val="00F17258"/>
    <w:rsid w:val="00F1725D"/>
    <w:rsid w:val="00F17324"/>
    <w:rsid w:val="00F17330"/>
    <w:rsid w:val="00F17372"/>
    <w:rsid w:val="00F1737D"/>
    <w:rsid w:val="00F173A1"/>
    <w:rsid w:val="00F173A3"/>
    <w:rsid w:val="00F17591"/>
    <w:rsid w:val="00F1759F"/>
    <w:rsid w:val="00F175C3"/>
    <w:rsid w:val="00F17650"/>
    <w:rsid w:val="00F17658"/>
    <w:rsid w:val="00F17673"/>
    <w:rsid w:val="00F17679"/>
    <w:rsid w:val="00F17692"/>
    <w:rsid w:val="00F17694"/>
    <w:rsid w:val="00F176F9"/>
    <w:rsid w:val="00F176FC"/>
    <w:rsid w:val="00F17759"/>
    <w:rsid w:val="00F17785"/>
    <w:rsid w:val="00F177EF"/>
    <w:rsid w:val="00F178F2"/>
    <w:rsid w:val="00F17910"/>
    <w:rsid w:val="00F179D4"/>
    <w:rsid w:val="00F179ED"/>
    <w:rsid w:val="00F179EE"/>
    <w:rsid w:val="00F179FB"/>
    <w:rsid w:val="00F179FE"/>
    <w:rsid w:val="00F17A72"/>
    <w:rsid w:val="00F17AA6"/>
    <w:rsid w:val="00F17AF4"/>
    <w:rsid w:val="00F17B1C"/>
    <w:rsid w:val="00F17B23"/>
    <w:rsid w:val="00F17BE9"/>
    <w:rsid w:val="00F17C47"/>
    <w:rsid w:val="00F17C91"/>
    <w:rsid w:val="00F17CB6"/>
    <w:rsid w:val="00F17CB8"/>
    <w:rsid w:val="00F17CC4"/>
    <w:rsid w:val="00F17CD9"/>
    <w:rsid w:val="00F17DDC"/>
    <w:rsid w:val="00F17E83"/>
    <w:rsid w:val="00F17EB6"/>
    <w:rsid w:val="00F17F0C"/>
    <w:rsid w:val="00F17F40"/>
    <w:rsid w:val="00F17F44"/>
    <w:rsid w:val="00F17F78"/>
    <w:rsid w:val="00F20001"/>
    <w:rsid w:val="00F20014"/>
    <w:rsid w:val="00F20078"/>
    <w:rsid w:val="00F2009A"/>
    <w:rsid w:val="00F2009D"/>
    <w:rsid w:val="00F200E3"/>
    <w:rsid w:val="00F20135"/>
    <w:rsid w:val="00F2018B"/>
    <w:rsid w:val="00F201B1"/>
    <w:rsid w:val="00F201B4"/>
    <w:rsid w:val="00F20281"/>
    <w:rsid w:val="00F20298"/>
    <w:rsid w:val="00F202AB"/>
    <w:rsid w:val="00F202CE"/>
    <w:rsid w:val="00F202EA"/>
    <w:rsid w:val="00F202F9"/>
    <w:rsid w:val="00F20349"/>
    <w:rsid w:val="00F2034E"/>
    <w:rsid w:val="00F20362"/>
    <w:rsid w:val="00F2040A"/>
    <w:rsid w:val="00F204CE"/>
    <w:rsid w:val="00F2051A"/>
    <w:rsid w:val="00F20526"/>
    <w:rsid w:val="00F2057E"/>
    <w:rsid w:val="00F205BF"/>
    <w:rsid w:val="00F205C3"/>
    <w:rsid w:val="00F205DD"/>
    <w:rsid w:val="00F205EE"/>
    <w:rsid w:val="00F206F3"/>
    <w:rsid w:val="00F20716"/>
    <w:rsid w:val="00F20753"/>
    <w:rsid w:val="00F207FB"/>
    <w:rsid w:val="00F20824"/>
    <w:rsid w:val="00F20852"/>
    <w:rsid w:val="00F2089C"/>
    <w:rsid w:val="00F208F2"/>
    <w:rsid w:val="00F20930"/>
    <w:rsid w:val="00F2093C"/>
    <w:rsid w:val="00F20944"/>
    <w:rsid w:val="00F2095D"/>
    <w:rsid w:val="00F209AC"/>
    <w:rsid w:val="00F209D1"/>
    <w:rsid w:val="00F20A4B"/>
    <w:rsid w:val="00F20A97"/>
    <w:rsid w:val="00F20B21"/>
    <w:rsid w:val="00F20B26"/>
    <w:rsid w:val="00F20B74"/>
    <w:rsid w:val="00F20BFC"/>
    <w:rsid w:val="00F20C0C"/>
    <w:rsid w:val="00F20C7F"/>
    <w:rsid w:val="00F20CF2"/>
    <w:rsid w:val="00F20D01"/>
    <w:rsid w:val="00F20D5A"/>
    <w:rsid w:val="00F20D8F"/>
    <w:rsid w:val="00F20DA6"/>
    <w:rsid w:val="00F20E06"/>
    <w:rsid w:val="00F20E2A"/>
    <w:rsid w:val="00F20E49"/>
    <w:rsid w:val="00F20F79"/>
    <w:rsid w:val="00F20F9A"/>
    <w:rsid w:val="00F20FF7"/>
    <w:rsid w:val="00F21016"/>
    <w:rsid w:val="00F2104E"/>
    <w:rsid w:val="00F2106F"/>
    <w:rsid w:val="00F2109B"/>
    <w:rsid w:val="00F2109D"/>
    <w:rsid w:val="00F210A1"/>
    <w:rsid w:val="00F21107"/>
    <w:rsid w:val="00F2115D"/>
    <w:rsid w:val="00F21188"/>
    <w:rsid w:val="00F211E5"/>
    <w:rsid w:val="00F21236"/>
    <w:rsid w:val="00F21286"/>
    <w:rsid w:val="00F212B7"/>
    <w:rsid w:val="00F212E2"/>
    <w:rsid w:val="00F212F1"/>
    <w:rsid w:val="00F21329"/>
    <w:rsid w:val="00F21339"/>
    <w:rsid w:val="00F2135D"/>
    <w:rsid w:val="00F213A0"/>
    <w:rsid w:val="00F21485"/>
    <w:rsid w:val="00F21490"/>
    <w:rsid w:val="00F214BA"/>
    <w:rsid w:val="00F214BB"/>
    <w:rsid w:val="00F214D9"/>
    <w:rsid w:val="00F21548"/>
    <w:rsid w:val="00F215B0"/>
    <w:rsid w:val="00F2162C"/>
    <w:rsid w:val="00F216AD"/>
    <w:rsid w:val="00F2177F"/>
    <w:rsid w:val="00F217EB"/>
    <w:rsid w:val="00F21831"/>
    <w:rsid w:val="00F21911"/>
    <w:rsid w:val="00F21918"/>
    <w:rsid w:val="00F21923"/>
    <w:rsid w:val="00F21949"/>
    <w:rsid w:val="00F21A03"/>
    <w:rsid w:val="00F21A2A"/>
    <w:rsid w:val="00F21A36"/>
    <w:rsid w:val="00F21A81"/>
    <w:rsid w:val="00F21AB9"/>
    <w:rsid w:val="00F21AD6"/>
    <w:rsid w:val="00F21AF7"/>
    <w:rsid w:val="00F21B2C"/>
    <w:rsid w:val="00F21B92"/>
    <w:rsid w:val="00F21C84"/>
    <w:rsid w:val="00F21C8B"/>
    <w:rsid w:val="00F21CB9"/>
    <w:rsid w:val="00F21CDC"/>
    <w:rsid w:val="00F21D18"/>
    <w:rsid w:val="00F21D19"/>
    <w:rsid w:val="00F21D1C"/>
    <w:rsid w:val="00F21D23"/>
    <w:rsid w:val="00F21D4D"/>
    <w:rsid w:val="00F21D9C"/>
    <w:rsid w:val="00F21D9F"/>
    <w:rsid w:val="00F21E18"/>
    <w:rsid w:val="00F21E75"/>
    <w:rsid w:val="00F21EA7"/>
    <w:rsid w:val="00F21EAE"/>
    <w:rsid w:val="00F21EDD"/>
    <w:rsid w:val="00F21F53"/>
    <w:rsid w:val="00F22016"/>
    <w:rsid w:val="00F22017"/>
    <w:rsid w:val="00F2205E"/>
    <w:rsid w:val="00F2205F"/>
    <w:rsid w:val="00F22080"/>
    <w:rsid w:val="00F220A6"/>
    <w:rsid w:val="00F220B3"/>
    <w:rsid w:val="00F220CD"/>
    <w:rsid w:val="00F220D5"/>
    <w:rsid w:val="00F22149"/>
    <w:rsid w:val="00F2215D"/>
    <w:rsid w:val="00F221AD"/>
    <w:rsid w:val="00F2228F"/>
    <w:rsid w:val="00F22296"/>
    <w:rsid w:val="00F22298"/>
    <w:rsid w:val="00F222E8"/>
    <w:rsid w:val="00F22305"/>
    <w:rsid w:val="00F2232F"/>
    <w:rsid w:val="00F2236F"/>
    <w:rsid w:val="00F223F0"/>
    <w:rsid w:val="00F224E3"/>
    <w:rsid w:val="00F22502"/>
    <w:rsid w:val="00F22575"/>
    <w:rsid w:val="00F2260D"/>
    <w:rsid w:val="00F22618"/>
    <w:rsid w:val="00F22619"/>
    <w:rsid w:val="00F2263F"/>
    <w:rsid w:val="00F22645"/>
    <w:rsid w:val="00F22694"/>
    <w:rsid w:val="00F227C7"/>
    <w:rsid w:val="00F22839"/>
    <w:rsid w:val="00F2290E"/>
    <w:rsid w:val="00F2294F"/>
    <w:rsid w:val="00F2297C"/>
    <w:rsid w:val="00F22A79"/>
    <w:rsid w:val="00F22AA2"/>
    <w:rsid w:val="00F22AF0"/>
    <w:rsid w:val="00F22B44"/>
    <w:rsid w:val="00F22B69"/>
    <w:rsid w:val="00F22B88"/>
    <w:rsid w:val="00F22B98"/>
    <w:rsid w:val="00F22BF6"/>
    <w:rsid w:val="00F22C48"/>
    <w:rsid w:val="00F22CB6"/>
    <w:rsid w:val="00F22D1C"/>
    <w:rsid w:val="00F22D2F"/>
    <w:rsid w:val="00F22D38"/>
    <w:rsid w:val="00F22D3E"/>
    <w:rsid w:val="00F22E1B"/>
    <w:rsid w:val="00F22E30"/>
    <w:rsid w:val="00F22E77"/>
    <w:rsid w:val="00F22EAB"/>
    <w:rsid w:val="00F22EBD"/>
    <w:rsid w:val="00F22ED2"/>
    <w:rsid w:val="00F22EDF"/>
    <w:rsid w:val="00F22EE0"/>
    <w:rsid w:val="00F22F2D"/>
    <w:rsid w:val="00F22F44"/>
    <w:rsid w:val="00F22F8A"/>
    <w:rsid w:val="00F230B7"/>
    <w:rsid w:val="00F230CE"/>
    <w:rsid w:val="00F2312E"/>
    <w:rsid w:val="00F23139"/>
    <w:rsid w:val="00F23199"/>
    <w:rsid w:val="00F231EE"/>
    <w:rsid w:val="00F23246"/>
    <w:rsid w:val="00F2325B"/>
    <w:rsid w:val="00F2327D"/>
    <w:rsid w:val="00F23280"/>
    <w:rsid w:val="00F2331C"/>
    <w:rsid w:val="00F2331D"/>
    <w:rsid w:val="00F23343"/>
    <w:rsid w:val="00F2342A"/>
    <w:rsid w:val="00F23467"/>
    <w:rsid w:val="00F23497"/>
    <w:rsid w:val="00F234A9"/>
    <w:rsid w:val="00F234C8"/>
    <w:rsid w:val="00F2353D"/>
    <w:rsid w:val="00F23549"/>
    <w:rsid w:val="00F2357A"/>
    <w:rsid w:val="00F235A7"/>
    <w:rsid w:val="00F235BC"/>
    <w:rsid w:val="00F235C1"/>
    <w:rsid w:val="00F235F5"/>
    <w:rsid w:val="00F2361C"/>
    <w:rsid w:val="00F2361D"/>
    <w:rsid w:val="00F23639"/>
    <w:rsid w:val="00F23770"/>
    <w:rsid w:val="00F237F2"/>
    <w:rsid w:val="00F2384D"/>
    <w:rsid w:val="00F2385B"/>
    <w:rsid w:val="00F23884"/>
    <w:rsid w:val="00F23895"/>
    <w:rsid w:val="00F238B1"/>
    <w:rsid w:val="00F238D4"/>
    <w:rsid w:val="00F238D9"/>
    <w:rsid w:val="00F23963"/>
    <w:rsid w:val="00F2397D"/>
    <w:rsid w:val="00F239E8"/>
    <w:rsid w:val="00F23A1A"/>
    <w:rsid w:val="00F23AE8"/>
    <w:rsid w:val="00F23B7A"/>
    <w:rsid w:val="00F23B8F"/>
    <w:rsid w:val="00F23BA7"/>
    <w:rsid w:val="00F23BB7"/>
    <w:rsid w:val="00F23C23"/>
    <w:rsid w:val="00F23C39"/>
    <w:rsid w:val="00F23C70"/>
    <w:rsid w:val="00F23C80"/>
    <w:rsid w:val="00F23CB0"/>
    <w:rsid w:val="00F23CB9"/>
    <w:rsid w:val="00F23D0A"/>
    <w:rsid w:val="00F23D24"/>
    <w:rsid w:val="00F23D3D"/>
    <w:rsid w:val="00F23DF1"/>
    <w:rsid w:val="00F23DFB"/>
    <w:rsid w:val="00F23E0D"/>
    <w:rsid w:val="00F23E3D"/>
    <w:rsid w:val="00F23E4F"/>
    <w:rsid w:val="00F23E6B"/>
    <w:rsid w:val="00F23E89"/>
    <w:rsid w:val="00F23EB9"/>
    <w:rsid w:val="00F23FD3"/>
    <w:rsid w:val="00F24036"/>
    <w:rsid w:val="00F24057"/>
    <w:rsid w:val="00F240AA"/>
    <w:rsid w:val="00F240C6"/>
    <w:rsid w:val="00F2410D"/>
    <w:rsid w:val="00F24119"/>
    <w:rsid w:val="00F2418D"/>
    <w:rsid w:val="00F241D9"/>
    <w:rsid w:val="00F241DB"/>
    <w:rsid w:val="00F24278"/>
    <w:rsid w:val="00F2429A"/>
    <w:rsid w:val="00F242BC"/>
    <w:rsid w:val="00F242DE"/>
    <w:rsid w:val="00F2434B"/>
    <w:rsid w:val="00F24370"/>
    <w:rsid w:val="00F24392"/>
    <w:rsid w:val="00F24397"/>
    <w:rsid w:val="00F24398"/>
    <w:rsid w:val="00F2439D"/>
    <w:rsid w:val="00F243BB"/>
    <w:rsid w:val="00F24416"/>
    <w:rsid w:val="00F2442D"/>
    <w:rsid w:val="00F2443A"/>
    <w:rsid w:val="00F244C6"/>
    <w:rsid w:val="00F244D5"/>
    <w:rsid w:val="00F244DB"/>
    <w:rsid w:val="00F2453C"/>
    <w:rsid w:val="00F2455D"/>
    <w:rsid w:val="00F2457A"/>
    <w:rsid w:val="00F245B2"/>
    <w:rsid w:val="00F24675"/>
    <w:rsid w:val="00F24679"/>
    <w:rsid w:val="00F2468F"/>
    <w:rsid w:val="00F2469F"/>
    <w:rsid w:val="00F246CE"/>
    <w:rsid w:val="00F24760"/>
    <w:rsid w:val="00F247D4"/>
    <w:rsid w:val="00F2484B"/>
    <w:rsid w:val="00F24880"/>
    <w:rsid w:val="00F248D3"/>
    <w:rsid w:val="00F248DF"/>
    <w:rsid w:val="00F248F1"/>
    <w:rsid w:val="00F248F5"/>
    <w:rsid w:val="00F24901"/>
    <w:rsid w:val="00F24942"/>
    <w:rsid w:val="00F2494C"/>
    <w:rsid w:val="00F2498B"/>
    <w:rsid w:val="00F24A3E"/>
    <w:rsid w:val="00F24A5E"/>
    <w:rsid w:val="00F24A6D"/>
    <w:rsid w:val="00F24A6F"/>
    <w:rsid w:val="00F24A7E"/>
    <w:rsid w:val="00F24AA5"/>
    <w:rsid w:val="00F24ADC"/>
    <w:rsid w:val="00F24B04"/>
    <w:rsid w:val="00F24B08"/>
    <w:rsid w:val="00F24B48"/>
    <w:rsid w:val="00F24B55"/>
    <w:rsid w:val="00F24BBF"/>
    <w:rsid w:val="00F24C4E"/>
    <w:rsid w:val="00F24C5A"/>
    <w:rsid w:val="00F24CFF"/>
    <w:rsid w:val="00F24D0C"/>
    <w:rsid w:val="00F24D0E"/>
    <w:rsid w:val="00F24D22"/>
    <w:rsid w:val="00F24D35"/>
    <w:rsid w:val="00F24DC0"/>
    <w:rsid w:val="00F24E2A"/>
    <w:rsid w:val="00F24E74"/>
    <w:rsid w:val="00F24EFA"/>
    <w:rsid w:val="00F24F2F"/>
    <w:rsid w:val="00F24F7D"/>
    <w:rsid w:val="00F25027"/>
    <w:rsid w:val="00F25067"/>
    <w:rsid w:val="00F251F0"/>
    <w:rsid w:val="00F2527C"/>
    <w:rsid w:val="00F252DE"/>
    <w:rsid w:val="00F2530F"/>
    <w:rsid w:val="00F25364"/>
    <w:rsid w:val="00F25384"/>
    <w:rsid w:val="00F25423"/>
    <w:rsid w:val="00F2544A"/>
    <w:rsid w:val="00F25453"/>
    <w:rsid w:val="00F2547C"/>
    <w:rsid w:val="00F2548F"/>
    <w:rsid w:val="00F254A7"/>
    <w:rsid w:val="00F254F7"/>
    <w:rsid w:val="00F25532"/>
    <w:rsid w:val="00F2559A"/>
    <w:rsid w:val="00F255EA"/>
    <w:rsid w:val="00F2560D"/>
    <w:rsid w:val="00F2563D"/>
    <w:rsid w:val="00F25688"/>
    <w:rsid w:val="00F256AC"/>
    <w:rsid w:val="00F256E6"/>
    <w:rsid w:val="00F25708"/>
    <w:rsid w:val="00F25764"/>
    <w:rsid w:val="00F25782"/>
    <w:rsid w:val="00F257AD"/>
    <w:rsid w:val="00F257FB"/>
    <w:rsid w:val="00F25824"/>
    <w:rsid w:val="00F25832"/>
    <w:rsid w:val="00F25844"/>
    <w:rsid w:val="00F258AC"/>
    <w:rsid w:val="00F258CD"/>
    <w:rsid w:val="00F258DB"/>
    <w:rsid w:val="00F258EE"/>
    <w:rsid w:val="00F25965"/>
    <w:rsid w:val="00F25966"/>
    <w:rsid w:val="00F259A0"/>
    <w:rsid w:val="00F259BF"/>
    <w:rsid w:val="00F25A0E"/>
    <w:rsid w:val="00F25A3A"/>
    <w:rsid w:val="00F25A55"/>
    <w:rsid w:val="00F25A96"/>
    <w:rsid w:val="00F25AAE"/>
    <w:rsid w:val="00F25AB3"/>
    <w:rsid w:val="00F25B55"/>
    <w:rsid w:val="00F25B7C"/>
    <w:rsid w:val="00F25BB8"/>
    <w:rsid w:val="00F25C1A"/>
    <w:rsid w:val="00F25C5F"/>
    <w:rsid w:val="00F25C8D"/>
    <w:rsid w:val="00F25CDB"/>
    <w:rsid w:val="00F25D27"/>
    <w:rsid w:val="00F25D3D"/>
    <w:rsid w:val="00F25D9B"/>
    <w:rsid w:val="00F25DA7"/>
    <w:rsid w:val="00F25DAD"/>
    <w:rsid w:val="00F25DE8"/>
    <w:rsid w:val="00F25E61"/>
    <w:rsid w:val="00F25E83"/>
    <w:rsid w:val="00F25E9E"/>
    <w:rsid w:val="00F25F08"/>
    <w:rsid w:val="00F25F6B"/>
    <w:rsid w:val="00F25FBB"/>
    <w:rsid w:val="00F25FCF"/>
    <w:rsid w:val="00F25FEC"/>
    <w:rsid w:val="00F2605E"/>
    <w:rsid w:val="00F26069"/>
    <w:rsid w:val="00F26074"/>
    <w:rsid w:val="00F26087"/>
    <w:rsid w:val="00F260C1"/>
    <w:rsid w:val="00F260DD"/>
    <w:rsid w:val="00F260FC"/>
    <w:rsid w:val="00F26112"/>
    <w:rsid w:val="00F26128"/>
    <w:rsid w:val="00F261D3"/>
    <w:rsid w:val="00F2622C"/>
    <w:rsid w:val="00F26270"/>
    <w:rsid w:val="00F2631F"/>
    <w:rsid w:val="00F26334"/>
    <w:rsid w:val="00F263B8"/>
    <w:rsid w:val="00F26412"/>
    <w:rsid w:val="00F26430"/>
    <w:rsid w:val="00F2644F"/>
    <w:rsid w:val="00F26465"/>
    <w:rsid w:val="00F26489"/>
    <w:rsid w:val="00F264B1"/>
    <w:rsid w:val="00F264D3"/>
    <w:rsid w:val="00F2653C"/>
    <w:rsid w:val="00F265BA"/>
    <w:rsid w:val="00F26626"/>
    <w:rsid w:val="00F26632"/>
    <w:rsid w:val="00F26669"/>
    <w:rsid w:val="00F2666B"/>
    <w:rsid w:val="00F26686"/>
    <w:rsid w:val="00F2669A"/>
    <w:rsid w:val="00F266CA"/>
    <w:rsid w:val="00F2676F"/>
    <w:rsid w:val="00F267D8"/>
    <w:rsid w:val="00F267F0"/>
    <w:rsid w:val="00F26827"/>
    <w:rsid w:val="00F26847"/>
    <w:rsid w:val="00F26891"/>
    <w:rsid w:val="00F26899"/>
    <w:rsid w:val="00F268CE"/>
    <w:rsid w:val="00F26906"/>
    <w:rsid w:val="00F26925"/>
    <w:rsid w:val="00F26937"/>
    <w:rsid w:val="00F2695B"/>
    <w:rsid w:val="00F26961"/>
    <w:rsid w:val="00F2697A"/>
    <w:rsid w:val="00F2697C"/>
    <w:rsid w:val="00F269ED"/>
    <w:rsid w:val="00F269F9"/>
    <w:rsid w:val="00F26A74"/>
    <w:rsid w:val="00F26ACD"/>
    <w:rsid w:val="00F26B0C"/>
    <w:rsid w:val="00F26B48"/>
    <w:rsid w:val="00F26B4C"/>
    <w:rsid w:val="00F26BAE"/>
    <w:rsid w:val="00F26BB9"/>
    <w:rsid w:val="00F26BE7"/>
    <w:rsid w:val="00F26C02"/>
    <w:rsid w:val="00F26CBB"/>
    <w:rsid w:val="00F26D11"/>
    <w:rsid w:val="00F26D21"/>
    <w:rsid w:val="00F26DB5"/>
    <w:rsid w:val="00F26DB8"/>
    <w:rsid w:val="00F26DC7"/>
    <w:rsid w:val="00F26DE6"/>
    <w:rsid w:val="00F26DE7"/>
    <w:rsid w:val="00F26E0E"/>
    <w:rsid w:val="00F26E3B"/>
    <w:rsid w:val="00F26E44"/>
    <w:rsid w:val="00F26ECA"/>
    <w:rsid w:val="00F26F2C"/>
    <w:rsid w:val="00F26FE8"/>
    <w:rsid w:val="00F27052"/>
    <w:rsid w:val="00F27094"/>
    <w:rsid w:val="00F270B7"/>
    <w:rsid w:val="00F270F0"/>
    <w:rsid w:val="00F272E4"/>
    <w:rsid w:val="00F272F3"/>
    <w:rsid w:val="00F272FF"/>
    <w:rsid w:val="00F2733C"/>
    <w:rsid w:val="00F273B4"/>
    <w:rsid w:val="00F273E2"/>
    <w:rsid w:val="00F27410"/>
    <w:rsid w:val="00F27454"/>
    <w:rsid w:val="00F2746F"/>
    <w:rsid w:val="00F27482"/>
    <w:rsid w:val="00F2748E"/>
    <w:rsid w:val="00F27494"/>
    <w:rsid w:val="00F274C3"/>
    <w:rsid w:val="00F274F4"/>
    <w:rsid w:val="00F275A3"/>
    <w:rsid w:val="00F275B1"/>
    <w:rsid w:val="00F27643"/>
    <w:rsid w:val="00F27655"/>
    <w:rsid w:val="00F276B9"/>
    <w:rsid w:val="00F27700"/>
    <w:rsid w:val="00F27711"/>
    <w:rsid w:val="00F27728"/>
    <w:rsid w:val="00F27784"/>
    <w:rsid w:val="00F27787"/>
    <w:rsid w:val="00F27800"/>
    <w:rsid w:val="00F27864"/>
    <w:rsid w:val="00F27878"/>
    <w:rsid w:val="00F27884"/>
    <w:rsid w:val="00F27892"/>
    <w:rsid w:val="00F27893"/>
    <w:rsid w:val="00F278C9"/>
    <w:rsid w:val="00F278CD"/>
    <w:rsid w:val="00F27967"/>
    <w:rsid w:val="00F2796D"/>
    <w:rsid w:val="00F27978"/>
    <w:rsid w:val="00F279AC"/>
    <w:rsid w:val="00F279D3"/>
    <w:rsid w:val="00F27A05"/>
    <w:rsid w:val="00F27A4D"/>
    <w:rsid w:val="00F27A57"/>
    <w:rsid w:val="00F27A74"/>
    <w:rsid w:val="00F27AC5"/>
    <w:rsid w:val="00F27B50"/>
    <w:rsid w:val="00F27B80"/>
    <w:rsid w:val="00F27B93"/>
    <w:rsid w:val="00F27BE8"/>
    <w:rsid w:val="00F27BED"/>
    <w:rsid w:val="00F27C4D"/>
    <w:rsid w:val="00F27CA4"/>
    <w:rsid w:val="00F27CB3"/>
    <w:rsid w:val="00F27CE0"/>
    <w:rsid w:val="00F27D5F"/>
    <w:rsid w:val="00F27D66"/>
    <w:rsid w:val="00F27D67"/>
    <w:rsid w:val="00F27D97"/>
    <w:rsid w:val="00F27DB5"/>
    <w:rsid w:val="00F27DC8"/>
    <w:rsid w:val="00F27EAE"/>
    <w:rsid w:val="00F27ED2"/>
    <w:rsid w:val="00F27F1B"/>
    <w:rsid w:val="00F3000E"/>
    <w:rsid w:val="00F3008A"/>
    <w:rsid w:val="00F300E4"/>
    <w:rsid w:val="00F30211"/>
    <w:rsid w:val="00F30237"/>
    <w:rsid w:val="00F302B0"/>
    <w:rsid w:val="00F302B6"/>
    <w:rsid w:val="00F302C5"/>
    <w:rsid w:val="00F30334"/>
    <w:rsid w:val="00F303EA"/>
    <w:rsid w:val="00F3041D"/>
    <w:rsid w:val="00F30452"/>
    <w:rsid w:val="00F30471"/>
    <w:rsid w:val="00F304D7"/>
    <w:rsid w:val="00F304F9"/>
    <w:rsid w:val="00F3055C"/>
    <w:rsid w:val="00F3056C"/>
    <w:rsid w:val="00F305C3"/>
    <w:rsid w:val="00F305C9"/>
    <w:rsid w:val="00F305E8"/>
    <w:rsid w:val="00F305E9"/>
    <w:rsid w:val="00F30610"/>
    <w:rsid w:val="00F30632"/>
    <w:rsid w:val="00F30705"/>
    <w:rsid w:val="00F307A6"/>
    <w:rsid w:val="00F307BA"/>
    <w:rsid w:val="00F307C1"/>
    <w:rsid w:val="00F307E1"/>
    <w:rsid w:val="00F30841"/>
    <w:rsid w:val="00F30856"/>
    <w:rsid w:val="00F3085C"/>
    <w:rsid w:val="00F308A8"/>
    <w:rsid w:val="00F308E2"/>
    <w:rsid w:val="00F30962"/>
    <w:rsid w:val="00F3098B"/>
    <w:rsid w:val="00F30A30"/>
    <w:rsid w:val="00F30A76"/>
    <w:rsid w:val="00F30AE4"/>
    <w:rsid w:val="00F30AEC"/>
    <w:rsid w:val="00F30B07"/>
    <w:rsid w:val="00F30B84"/>
    <w:rsid w:val="00F30BB0"/>
    <w:rsid w:val="00F30C22"/>
    <w:rsid w:val="00F30C2A"/>
    <w:rsid w:val="00F30C8D"/>
    <w:rsid w:val="00F30CDD"/>
    <w:rsid w:val="00F30CE2"/>
    <w:rsid w:val="00F30D2B"/>
    <w:rsid w:val="00F30E1E"/>
    <w:rsid w:val="00F30E79"/>
    <w:rsid w:val="00F30F4D"/>
    <w:rsid w:val="00F30F88"/>
    <w:rsid w:val="00F30FDD"/>
    <w:rsid w:val="00F30FFD"/>
    <w:rsid w:val="00F310B1"/>
    <w:rsid w:val="00F310E5"/>
    <w:rsid w:val="00F3113E"/>
    <w:rsid w:val="00F3119A"/>
    <w:rsid w:val="00F311FA"/>
    <w:rsid w:val="00F31276"/>
    <w:rsid w:val="00F312B7"/>
    <w:rsid w:val="00F312E7"/>
    <w:rsid w:val="00F31301"/>
    <w:rsid w:val="00F31342"/>
    <w:rsid w:val="00F313D5"/>
    <w:rsid w:val="00F31422"/>
    <w:rsid w:val="00F314A4"/>
    <w:rsid w:val="00F314A6"/>
    <w:rsid w:val="00F314B2"/>
    <w:rsid w:val="00F314C3"/>
    <w:rsid w:val="00F314FD"/>
    <w:rsid w:val="00F31509"/>
    <w:rsid w:val="00F31520"/>
    <w:rsid w:val="00F31541"/>
    <w:rsid w:val="00F31599"/>
    <w:rsid w:val="00F31600"/>
    <w:rsid w:val="00F3163B"/>
    <w:rsid w:val="00F31791"/>
    <w:rsid w:val="00F31807"/>
    <w:rsid w:val="00F31862"/>
    <w:rsid w:val="00F31958"/>
    <w:rsid w:val="00F319FD"/>
    <w:rsid w:val="00F31A11"/>
    <w:rsid w:val="00F31A30"/>
    <w:rsid w:val="00F31A43"/>
    <w:rsid w:val="00F31A5D"/>
    <w:rsid w:val="00F31ACA"/>
    <w:rsid w:val="00F31B17"/>
    <w:rsid w:val="00F31BF2"/>
    <w:rsid w:val="00F31C58"/>
    <w:rsid w:val="00F31C62"/>
    <w:rsid w:val="00F31CBA"/>
    <w:rsid w:val="00F31D23"/>
    <w:rsid w:val="00F31DA9"/>
    <w:rsid w:val="00F31DD8"/>
    <w:rsid w:val="00F31E28"/>
    <w:rsid w:val="00F31EDC"/>
    <w:rsid w:val="00F31F02"/>
    <w:rsid w:val="00F31F41"/>
    <w:rsid w:val="00F31F44"/>
    <w:rsid w:val="00F31F4F"/>
    <w:rsid w:val="00F31F89"/>
    <w:rsid w:val="00F31FB2"/>
    <w:rsid w:val="00F31FB7"/>
    <w:rsid w:val="00F31FE9"/>
    <w:rsid w:val="00F31FF0"/>
    <w:rsid w:val="00F32031"/>
    <w:rsid w:val="00F32084"/>
    <w:rsid w:val="00F320F3"/>
    <w:rsid w:val="00F320F6"/>
    <w:rsid w:val="00F32142"/>
    <w:rsid w:val="00F32178"/>
    <w:rsid w:val="00F32219"/>
    <w:rsid w:val="00F3221E"/>
    <w:rsid w:val="00F3224B"/>
    <w:rsid w:val="00F32253"/>
    <w:rsid w:val="00F3225B"/>
    <w:rsid w:val="00F32294"/>
    <w:rsid w:val="00F322CF"/>
    <w:rsid w:val="00F322D6"/>
    <w:rsid w:val="00F3233D"/>
    <w:rsid w:val="00F32381"/>
    <w:rsid w:val="00F323C4"/>
    <w:rsid w:val="00F323CB"/>
    <w:rsid w:val="00F323D1"/>
    <w:rsid w:val="00F32412"/>
    <w:rsid w:val="00F324BE"/>
    <w:rsid w:val="00F32545"/>
    <w:rsid w:val="00F3257B"/>
    <w:rsid w:val="00F325E2"/>
    <w:rsid w:val="00F325F2"/>
    <w:rsid w:val="00F325F4"/>
    <w:rsid w:val="00F32683"/>
    <w:rsid w:val="00F326EB"/>
    <w:rsid w:val="00F32746"/>
    <w:rsid w:val="00F32785"/>
    <w:rsid w:val="00F32790"/>
    <w:rsid w:val="00F327C5"/>
    <w:rsid w:val="00F327D6"/>
    <w:rsid w:val="00F327DF"/>
    <w:rsid w:val="00F3286B"/>
    <w:rsid w:val="00F328AD"/>
    <w:rsid w:val="00F328EE"/>
    <w:rsid w:val="00F3297B"/>
    <w:rsid w:val="00F32A22"/>
    <w:rsid w:val="00F32A37"/>
    <w:rsid w:val="00F32A40"/>
    <w:rsid w:val="00F32A78"/>
    <w:rsid w:val="00F32A85"/>
    <w:rsid w:val="00F32AB4"/>
    <w:rsid w:val="00F32AD5"/>
    <w:rsid w:val="00F32AE5"/>
    <w:rsid w:val="00F32BAC"/>
    <w:rsid w:val="00F32C07"/>
    <w:rsid w:val="00F32C51"/>
    <w:rsid w:val="00F32CB2"/>
    <w:rsid w:val="00F32CC1"/>
    <w:rsid w:val="00F32D0D"/>
    <w:rsid w:val="00F32D0F"/>
    <w:rsid w:val="00F32D19"/>
    <w:rsid w:val="00F32D40"/>
    <w:rsid w:val="00F32D8F"/>
    <w:rsid w:val="00F32DB4"/>
    <w:rsid w:val="00F32DD0"/>
    <w:rsid w:val="00F32DF9"/>
    <w:rsid w:val="00F32E07"/>
    <w:rsid w:val="00F32ECF"/>
    <w:rsid w:val="00F32EE2"/>
    <w:rsid w:val="00F32F3F"/>
    <w:rsid w:val="00F32FC3"/>
    <w:rsid w:val="00F32FC9"/>
    <w:rsid w:val="00F32FF5"/>
    <w:rsid w:val="00F32FFB"/>
    <w:rsid w:val="00F33051"/>
    <w:rsid w:val="00F33063"/>
    <w:rsid w:val="00F33070"/>
    <w:rsid w:val="00F3308E"/>
    <w:rsid w:val="00F330B3"/>
    <w:rsid w:val="00F330CB"/>
    <w:rsid w:val="00F33106"/>
    <w:rsid w:val="00F3311A"/>
    <w:rsid w:val="00F33176"/>
    <w:rsid w:val="00F33177"/>
    <w:rsid w:val="00F33287"/>
    <w:rsid w:val="00F332DB"/>
    <w:rsid w:val="00F332F2"/>
    <w:rsid w:val="00F33333"/>
    <w:rsid w:val="00F33339"/>
    <w:rsid w:val="00F33406"/>
    <w:rsid w:val="00F33453"/>
    <w:rsid w:val="00F33494"/>
    <w:rsid w:val="00F334E0"/>
    <w:rsid w:val="00F334E2"/>
    <w:rsid w:val="00F33504"/>
    <w:rsid w:val="00F3353F"/>
    <w:rsid w:val="00F3354D"/>
    <w:rsid w:val="00F335E8"/>
    <w:rsid w:val="00F335F7"/>
    <w:rsid w:val="00F33624"/>
    <w:rsid w:val="00F33678"/>
    <w:rsid w:val="00F336F2"/>
    <w:rsid w:val="00F33733"/>
    <w:rsid w:val="00F33776"/>
    <w:rsid w:val="00F337A4"/>
    <w:rsid w:val="00F33832"/>
    <w:rsid w:val="00F33833"/>
    <w:rsid w:val="00F33855"/>
    <w:rsid w:val="00F3385B"/>
    <w:rsid w:val="00F338A9"/>
    <w:rsid w:val="00F338AE"/>
    <w:rsid w:val="00F338BB"/>
    <w:rsid w:val="00F338CE"/>
    <w:rsid w:val="00F33998"/>
    <w:rsid w:val="00F339E7"/>
    <w:rsid w:val="00F33A01"/>
    <w:rsid w:val="00F33A2F"/>
    <w:rsid w:val="00F33A86"/>
    <w:rsid w:val="00F33A8E"/>
    <w:rsid w:val="00F33AA7"/>
    <w:rsid w:val="00F33ABF"/>
    <w:rsid w:val="00F33BD5"/>
    <w:rsid w:val="00F33C33"/>
    <w:rsid w:val="00F33D26"/>
    <w:rsid w:val="00F33D31"/>
    <w:rsid w:val="00F33D49"/>
    <w:rsid w:val="00F33D63"/>
    <w:rsid w:val="00F33D7C"/>
    <w:rsid w:val="00F33DC0"/>
    <w:rsid w:val="00F33E0A"/>
    <w:rsid w:val="00F33E30"/>
    <w:rsid w:val="00F33E5B"/>
    <w:rsid w:val="00F33E87"/>
    <w:rsid w:val="00F33EB0"/>
    <w:rsid w:val="00F33F32"/>
    <w:rsid w:val="00F33F44"/>
    <w:rsid w:val="00F33F48"/>
    <w:rsid w:val="00F33F83"/>
    <w:rsid w:val="00F33F9D"/>
    <w:rsid w:val="00F33FA8"/>
    <w:rsid w:val="00F33FAA"/>
    <w:rsid w:val="00F33FBA"/>
    <w:rsid w:val="00F33FC4"/>
    <w:rsid w:val="00F34029"/>
    <w:rsid w:val="00F3404F"/>
    <w:rsid w:val="00F3405F"/>
    <w:rsid w:val="00F340AB"/>
    <w:rsid w:val="00F340C5"/>
    <w:rsid w:val="00F3411D"/>
    <w:rsid w:val="00F34184"/>
    <w:rsid w:val="00F341D4"/>
    <w:rsid w:val="00F34230"/>
    <w:rsid w:val="00F342D3"/>
    <w:rsid w:val="00F34372"/>
    <w:rsid w:val="00F34377"/>
    <w:rsid w:val="00F343EA"/>
    <w:rsid w:val="00F3445B"/>
    <w:rsid w:val="00F344B6"/>
    <w:rsid w:val="00F3453B"/>
    <w:rsid w:val="00F3457D"/>
    <w:rsid w:val="00F345B1"/>
    <w:rsid w:val="00F345C4"/>
    <w:rsid w:val="00F345FF"/>
    <w:rsid w:val="00F34615"/>
    <w:rsid w:val="00F346D3"/>
    <w:rsid w:val="00F34711"/>
    <w:rsid w:val="00F34783"/>
    <w:rsid w:val="00F3478A"/>
    <w:rsid w:val="00F347C6"/>
    <w:rsid w:val="00F347C9"/>
    <w:rsid w:val="00F347D7"/>
    <w:rsid w:val="00F34851"/>
    <w:rsid w:val="00F34975"/>
    <w:rsid w:val="00F34A04"/>
    <w:rsid w:val="00F34A38"/>
    <w:rsid w:val="00F34A4C"/>
    <w:rsid w:val="00F34A57"/>
    <w:rsid w:val="00F34A5D"/>
    <w:rsid w:val="00F34A69"/>
    <w:rsid w:val="00F34A70"/>
    <w:rsid w:val="00F34ABC"/>
    <w:rsid w:val="00F34B4E"/>
    <w:rsid w:val="00F34B56"/>
    <w:rsid w:val="00F34BAA"/>
    <w:rsid w:val="00F34BC1"/>
    <w:rsid w:val="00F34BED"/>
    <w:rsid w:val="00F34C22"/>
    <w:rsid w:val="00F34C76"/>
    <w:rsid w:val="00F34CDF"/>
    <w:rsid w:val="00F34CF6"/>
    <w:rsid w:val="00F34CF7"/>
    <w:rsid w:val="00F34CFB"/>
    <w:rsid w:val="00F34D73"/>
    <w:rsid w:val="00F34D8C"/>
    <w:rsid w:val="00F34DB3"/>
    <w:rsid w:val="00F34DB4"/>
    <w:rsid w:val="00F34E39"/>
    <w:rsid w:val="00F34E3C"/>
    <w:rsid w:val="00F34E6A"/>
    <w:rsid w:val="00F34E6D"/>
    <w:rsid w:val="00F34EAE"/>
    <w:rsid w:val="00F34F2E"/>
    <w:rsid w:val="00F34F70"/>
    <w:rsid w:val="00F34F89"/>
    <w:rsid w:val="00F34FD8"/>
    <w:rsid w:val="00F3509C"/>
    <w:rsid w:val="00F350C5"/>
    <w:rsid w:val="00F35124"/>
    <w:rsid w:val="00F3514E"/>
    <w:rsid w:val="00F35169"/>
    <w:rsid w:val="00F351E0"/>
    <w:rsid w:val="00F35239"/>
    <w:rsid w:val="00F35281"/>
    <w:rsid w:val="00F35290"/>
    <w:rsid w:val="00F352AD"/>
    <w:rsid w:val="00F3533B"/>
    <w:rsid w:val="00F35342"/>
    <w:rsid w:val="00F35351"/>
    <w:rsid w:val="00F3539E"/>
    <w:rsid w:val="00F35441"/>
    <w:rsid w:val="00F3548F"/>
    <w:rsid w:val="00F3556E"/>
    <w:rsid w:val="00F355A8"/>
    <w:rsid w:val="00F35783"/>
    <w:rsid w:val="00F3581C"/>
    <w:rsid w:val="00F35828"/>
    <w:rsid w:val="00F3582D"/>
    <w:rsid w:val="00F35881"/>
    <w:rsid w:val="00F35886"/>
    <w:rsid w:val="00F358A7"/>
    <w:rsid w:val="00F358CF"/>
    <w:rsid w:val="00F358F2"/>
    <w:rsid w:val="00F35926"/>
    <w:rsid w:val="00F3596F"/>
    <w:rsid w:val="00F359CD"/>
    <w:rsid w:val="00F359EF"/>
    <w:rsid w:val="00F35A3B"/>
    <w:rsid w:val="00F35A69"/>
    <w:rsid w:val="00F35A8F"/>
    <w:rsid w:val="00F35AF9"/>
    <w:rsid w:val="00F35AFD"/>
    <w:rsid w:val="00F35B3B"/>
    <w:rsid w:val="00F35B57"/>
    <w:rsid w:val="00F35C41"/>
    <w:rsid w:val="00F35C4B"/>
    <w:rsid w:val="00F35CEC"/>
    <w:rsid w:val="00F35D93"/>
    <w:rsid w:val="00F35DB2"/>
    <w:rsid w:val="00F35DB6"/>
    <w:rsid w:val="00F35DD0"/>
    <w:rsid w:val="00F35E4C"/>
    <w:rsid w:val="00F35E66"/>
    <w:rsid w:val="00F35E75"/>
    <w:rsid w:val="00F35EAC"/>
    <w:rsid w:val="00F35EB6"/>
    <w:rsid w:val="00F35EFD"/>
    <w:rsid w:val="00F35F10"/>
    <w:rsid w:val="00F35F6F"/>
    <w:rsid w:val="00F35F99"/>
    <w:rsid w:val="00F35F9F"/>
    <w:rsid w:val="00F35FBC"/>
    <w:rsid w:val="00F35FC0"/>
    <w:rsid w:val="00F35FED"/>
    <w:rsid w:val="00F36009"/>
    <w:rsid w:val="00F36022"/>
    <w:rsid w:val="00F36096"/>
    <w:rsid w:val="00F360D0"/>
    <w:rsid w:val="00F360E4"/>
    <w:rsid w:val="00F360EE"/>
    <w:rsid w:val="00F36118"/>
    <w:rsid w:val="00F3618D"/>
    <w:rsid w:val="00F361B0"/>
    <w:rsid w:val="00F36217"/>
    <w:rsid w:val="00F3628E"/>
    <w:rsid w:val="00F362A4"/>
    <w:rsid w:val="00F362D9"/>
    <w:rsid w:val="00F36312"/>
    <w:rsid w:val="00F36343"/>
    <w:rsid w:val="00F363B0"/>
    <w:rsid w:val="00F3640D"/>
    <w:rsid w:val="00F36445"/>
    <w:rsid w:val="00F3644C"/>
    <w:rsid w:val="00F36475"/>
    <w:rsid w:val="00F36497"/>
    <w:rsid w:val="00F364E3"/>
    <w:rsid w:val="00F364FB"/>
    <w:rsid w:val="00F36503"/>
    <w:rsid w:val="00F36541"/>
    <w:rsid w:val="00F36566"/>
    <w:rsid w:val="00F365A4"/>
    <w:rsid w:val="00F365B5"/>
    <w:rsid w:val="00F36620"/>
    <w:rsid w:val="00F36623"/>
    <w:rsid w:val="00F36624"/>
    <w:rsid w:val="00F36647"/>
    <w:rsid w:val="00F366A4"/>
    <w:rsid w:val="00F366A9"/>
    <w:rsid w:val="00F36729"/>
    <w:rsid w:val="00F36791"/>
    <w:rsid w:val="00F36797"/>
    <w:rsid w:val="00F367C9"/>
    <w:rsid w:val="00F36849"/>
    <w:rsid w:val="00F36895"/>
    <w:rsid w:val="00F368A5"/>
    <w:rsid w:val="00F368A8"/>
    <w:rsid w:val="00F368E3"/>
    <w:rsid w:val="00F36901"/>
    <w:rsid w:val="00F36922"/>
    <w:rsid w:val="00F3693C"/>
    <w:rsid w:val="00F3694D"/>
    <w:rsid w:val="00F3698B"/>
    <w:rsid w:val="00F369AE"/>
    <w:rsid w:val="00F36A0F"/>
    <w:rsid w:val="00F36A22"/>
    <w:rsid w:val="00F36A2D"/>
    <w:rsid w:val="00F36A73"/>
    <w:rsid w:val="00F36A8C"/>
    <w:rsid w:val="00F36B18"/>
    <w:rsid w:val="00F36B8D"/>
    <w:rsid w:val="00F36B90"/>
    <w:rsid w:val="00F36B92"/>
    <w:rsid w:val="00F36BBA"/>
    <w:rsid w:val="00F36C1A"/>
    <w:rsid w:val="00F36D37"/>
    <w:rsid w:val="00F36D40"/>
    <w:rsid w:val="00F36D7D"/>
    <w:rsid w:val="00F36DE8"/>
    <w:rsid w:val="00F36E3F"/>
    <w:rsid w:val="00F36E76"/>
    <w:rsid w:val="00F36EC5"/>
    <w:rsid w:val="00F36F33"/>
    <w:rsid w:val="00F36F78"/>
    <w:rsid w:val="00F36F8F"/>
    <w:rsid w:val="00F36FC9"/>
    <w:rsid w:val="00F370D3"/>
    <w:rsid w:val="00F370F5"/>
    <w:rsid w:val="00F3712B"/>
    <w:rsid w:val="00F3714C"/>
    <w:rsid w:val="00F3715E"/>
    <w:rsid w:val="00F37179"/>
    <w:rsid w:val="00F3719C"/>
    <w:rsid w:val="00F371CF"/>
    <w:rsid w:val="00F3724D"/>
    <w:rsid w:val="00F372BA"/>
    <w:rsid w:val="00F372FA"/>
    <w:rsid w:val="00F3732A"/>
    <w:rsid w:val="00F3742D"/>
    <w:rsid w:val="00F374E8"/>
    <w:rsid w:val="00F37500"/>
    <w:rsid w:val="00F3750D"/>
    <w:rsid w:val="00F37538"/>
    <w:rsid w:val="00F37603"/>
    <w:rsid w:val="00F37617"/>
    <w:rsid w:val="00F3762F"/>
    <w:rsid w:val="00F3763E"/>
    <w:rsid w:val="00F376B8"/>
    <w:rsid w:val="00F376C4"/>
    <w:rsid w:val="00F37707"/>
    <w:rsid w:val="00F3772D"/>
    <w:rsid w:val="00F3773A"/>
    <w:rsid w:val="00F37755"/>
    <w:rsid w:val="00F377E3"/>
    <w:rsid w:val="00F37845"/>
    <w:rsid w:val="00F3785C"/>
    <w:rsid w:val="00F378C3"/>
    <w:rsid w:val="00F378CC"/>
    <w:rsid w:val="00F378DB"/>
    <w:rsid w:val="00F378E3"/>
    <w:rsid w:val="00F37901"/>
    <w:rsid w:val="00F3790F"/>
    <w:rsid w:val="00F37996"/>
    <w:rsid w:val="00F379E5"/>
    <w:rsid w:val="00F37A1B"/>
    <w:rsid w:val="00F37A54"/>
    <w:rsid w:val="00F37A60"/>
    <w:rsid w:val="00F37A91"/>
    <w:rsid w:val="00F37AF7"/>
    <w:rsid w:val="00F37B04"/>
    <w:rsid w:val="00F37B13"/>
    <w:rsid w:val="00F37B17"/>
    <w:rsid w:val="00F37B19"/>
    <w:rsid w:val="00F37B8D"/>
    <w:rsid w:val="00F37C3C"/>
    <w:rsid w:val="00F37D4A"/>
    <w:rsid w:val="00F37D8E"/>
    <w:rsid w:val="00F37EDF"/>
    <w:rsid w:val="00F37F4C"/>
    <w:rsid w:val="00F37F85"/>
    <w:rsid w:val="00F40091"/>
    <w:rsid w:val="00F400A5"/>
    <w:rsid w:val="00F400D9"/>
    <w:rsid w:val="00F400F0"/>
    <w:rsid w:val="00F40152"/>
    <w:rsid w:val="00F401B4"/>
    <w:rsid w:val="00F401BE"/>
    <w:rsid w:val="00F40257"/>
    <w:rsid w:val="00F40262"/>
    <w:rsid w:val="00F40268"/>
    <w:rsid w:val="00F40272"/>
    <w:rsid w:val="00F4027A"/>
    <w:rsid w:val="00F40287"/>
    <w:rsid w:val="00F402B8"/>
    <w:rsid w:val="00F4030B"/>
    <w:rsid w:val="00F40366"/>
    <w:rsid w:val="00F40369"/>
    <w:rsid w:val="00F40390"/>
    <w:rsid w:val="00F403AB"/>
    <w:rsid w:val="00F403FD"/>
    <w:rsid w:val="00F40413"/>
    <w:rsid w:val="00F40461"/>
    <w:rsid w:val="00F4048C"/>
    <w:rsid w:val="00F404A4"/>
    <w:rsid w:val="00F404B3"/>
    <w:rsid w:val="00F40502"/>
    <w:rsid w:val="00F4053F"/>
    <w:rsid w:val="00F405C3"/>
    <w:rsid w:val="00F40683"/>
    <w:rsid w:val="00F406AD"/>
    <w:rsid w:val="00F406B2"/>
    <w:rsid w:val="00F406E6"/>
    <w:rsid w:val="00F40709"/>
    <w:rsid w:val="00F4073B"/>
    <w:rsid w:val="00F40770"/>
    <w:rsid w:val="00F4079A"/>
    <w:rsid w:val="00F407A9"/>
    <w:rsid w:val="00F4083A"/>
    <w:rsid w:val="00F40851"/>
    <w:rsid w:val="00F4096E"/>
    <w:rsid w:val="00F409D2"/>
    <w:rsid w:val="00F40A2B"/>
    <w:rsid w:val="00F40A48"/>
    <w:rsid w:val="00F40A4F"/>
    <w:rsid w:val="00F40ADE"/>
    <w:rsid w:val="00F40B33"/>
    <w:rsid w:val="00F40B51"/>
    <w:rsid w:val="00F40B8B"/>
    <w:rsid w:val="00F40B90"/>
    <w:rsid w:val="00F40B92"/>
    <w:rsid w:val="00F40BC4"/>
    <w:rsid w:val="00F40C15"/>
    <w:rsid w:val="00F40C36"/>
    <w:rsid w:val="00F40CD2"/>
    <w:rsid w:val="00F40D06"/>
    <w:rsid w:val="00F40D38"/>
    <w:rsid w:val="00F40D56"/>
    <w:rsid w:val="00F40DD2"/>
    <w:rsid w:val="00F40DD6"/>
    <w:rsid w:val="00F40DF9"/>
    <w:rsid w:val="00F40E28"/>
    <w:rsid w:val="00F40E94"/>
    <w:rsid w:val="00F40EA2"/>
    <w:rsid w:val="00F40F0F"/>
    <w:rsid w:val="00F40F53"/>
    <w:rsid w:val="00F40F65"/>
    <w:rsid w:val="00F40F75"/>
    <w:rsid w:val="00F40FF5"/>
    <w:rsid w:val="00F41002"/>
    <w:rsid w:val="00F410FE"/>
    <w:rsid w:val="00F41134"/>
    <w:rsid w:val="00F41165"/>
    <w:rsid w:val="00F411CC"/>
    <w:rsid w:val="00F411F3"/>
    <w:rsid w:val="00F411FD"/>
    <w:rsid w:val="00F41238"/>
    <w:rsid w:val="00F4123E"/>
    <w:rsid w:val="00F41278"/>
    <w:rsid w:val="00F4130E"/>
    <w:rsid w:val="00F4132C"/>
    <w:rsid w:val="00F41382"/>
    <w:rsid w:val="00F413DF"/>
    <w:rsid w:val="00F413EF"/>
    <w:rsid w:val="00F413FB"/>
    <w:rsid w:val="00F41411"/>
    <w:rsid w:val="00F4141F"/>
    <w:rsid w:val="00F4145C"/>
    <w:rsid w:val="00F4146F"/>
    <w:rsid w:val="00F4151B"/>
    <w:rsid w:val="00F415C3"/>
    <w:rsid w:val="00F415CC"/>
    <w:rsid w:val="00F415DA"/>
    <w:rsid w:val="00F41631"/>
    <w:rsid w:val="00F4163C"/>
    <w:rsid w:val="00F4163F"/>
    <w:rsid w:val="00F41655"/>
    <w:rsid w:val="00F41670"/>
    <w:rsid w:val="00F4167A"/>
    <w:rsid w:val="00F41688"/>
    <w:rsid w:val="00F416A1"/>
    <w:rsid w:val="00F416A7"/>
    <w:rsid w:val="00F416E2"/>
    <w:rsid w:val="00F4172E"/>
    <w:rsid w:val="00F41789"/>
    <w:rsid w:val="00F41844"/>
    <w:rsid w:val="00F41878"/>
    <w:rsid w:val="00F41883"/>
    <w:rsid w:val="00F41887"/>
    <w:rsid w:val="00F41888"/>
    <w:rsid w:val="00F41915"/>
    <w:rsid w:val="00F41933"/>
    <w:rsid w:val="00F4193A"/>
    <w:rsid w:val="00F41975"/>
    <w:rsid w:val="00F419A1"/>
    <w:rsid w:val="00F419D6"/>
    <w:rsid w:val="00F41A23"/>
    <w:rsid w:val="00F41A48"/>
    <w:rsid w:val="00F41A68"/>
    <w:rsid w:val="00F41AD5"/>
    <w:rsid w:val="00F41ADC"/>
    <w:rsid w:val="00F41AEA"/>
    <w:rsid w:val="00F41B3F"/>
    <w:rsid w:val="00F41B6A"/>
    <w:rsid w:val="00F41B6E"/>
    <w:rsid w:val="00F41B82"/>
    <w:rsid w:val="00F41C01"/>
    <w:rsid w:val="00F41CE5"/>
    <w:rsid w:val="00F41D28"/>
    <w:rsid w:val="00F41D77"/>
    <w:rsid w:val="00F41DB3"/>
    <w:rsid w:val="00F41DD6"/>
    <w:rsid w:val="00F41E00"/>
    <w:rsid w:val="00F41E01"/>
    <w:rsid w:val="00F41E18"/>
    <w:rsid w:val="00F41E2E"/>
    <w:rsid w:val="00F41E32"/>
    <w:rsid w:val="00F41E3E"/>
    <w:rsid w:val="00F41E43"/>
    <w:rsid w:val="00F41E6D"/>
    <w:rsid w:val="00F41ED0"/>
    <w:rsid w:val="00F41F8E"/>
    <w:rsid w:val="00F41FA0"/>
    <w:rsid w:val="00F41FE6"/>
    <w:rsid w:val="00F42051"/>
    <w:rsid w:val="00F42070"/>
    <w:rsid w:val="00F42092"/>
    <w:rsid w:val="00F420AF"/>
    <w:rsid w:val="00F420C8"/>
    <w:rsid w:val="00F4214B"/>
    <w:rsid w:val="00F42231"/>
    <w:rsid w:val="00F4226D"/>
    <w:rsid w:val="00F42274"/>
    <w:rsid w:val="00F42298"/>
    <w:rsid w:val="00F422AC"/>
    <w:rsid w:val="00F422B1"/>
    <w:rsid w:val="00F42307"/>
    <w:rsid w:val="00F42316"/>
    <w:rsid w:val="00F4232C"/>
    <w:rsid w:val="00F42337"/>
    <w:rsid w:val="00F42343"/>
    <w:rsid w:val="00F4234B"/>
    <w:rsid w:val="00F423D5"/>
    <w:rsid w:val="00F423E2"/>
    <w:rsid w:val="00F42413"/>
    <w:rsid w:val="00F42445"/>
    <w:rsid w:val="00F42451"/>
    <w:rsid w:val="00F424A1"/>
    <w:rsid w:val="00F42501"/>
    <w:rsid w:val="00F4255B"/>
    <w:rsid w:val="00F42572"/>
    <w:rsid w:val="00F4259B"/>
    <w:rsid w:val="00F425B9"/>
    <w:rsid w:val="00F425D7"/>
    <w:rsid w:val="00F425DF"/>
    <w:rsid w:val="00F4261A"/>
    <w:rsid w:val="00F4262D"/>
    <w:rsid w:val="00F42652"/>
    <w:rsid w:val="00F42665"/>
    <w:rsid w:val="00F426AA"/>
    <w:rsid w:val="00F426D3"/>
    <w:rsid w:val="00F426E5"/>
    <w:rsid w:val="00F427A8"/>
    <w:rsid w:val="00F427BE"/>
    <w:rsid w:val="00F427D3"/>
    <w:rsid w:val="00F42809"/>
    <w:rsid w:val="00F428A9"/>
    <w:rsid w:val="00F428C0"/>
    <w:rsid w:val="00F42963"/>
    <w:rsid w:val="00F42971"/>
    <w:rsid w:val="00F429A9"/>
    <w:rsid w:val="00F429B4"/>
    <w:rsid w:val="00F429C9"/>
    <w:rsid w:val="00F429D3"/>
    <w:rsid w:val="00F429EB"/>
    <w:rsid w:val="00F42A10"/>
    <w:rsid w:val="00F42A7C"/>
    <w:rsid w:val="00F42A98"/>
    <w:rsid w:val="00F42ACC"/>
    <w:rsid w:val="00F42B22"/>
    <w:rsid w:val="00F42B29"/>
    <w:rsid w:val="00F42BA2"/>
    <w:rsid w:val="00F42BC0"/>
    <w:rsid w:val="00F42C09"/>
    <w:rsid w:val="00F42C87"/>
    <w:rsid w:val="00F42C8F"/>
    <w:rsid w:val="00F42CDB"/>
    <w:rsid w:val="00F42D0F"/>
    <w:rsid w:val="00F42D5B"/>
    <w:rsid w:val="00F42D60"/>
    <w:rsid w:val="00F42D8A"/>
    <w:rsid w:val="00F42D98"/>
    <w:rsid w:val="00F42DDD"/>
    <w:rsid w:val="00F42DEE"/>
    <w:rsid w:val="00F42E38"/>
    <w:rsid w:val="00F42E55"/>
    <w:rsid w:val="00F42E6F"/>
    <w:rsid w:val="00F42E91"/>
    <w:rsid w:val="00F42F94"/>
    <w:rsid w:val="00F4301A"/>
    <w:rsid w:val="00F4305A"/>
    <w:rsid w:val="00F43095"/>
    <w:rsid w:val="00F430C2"/>
    <w:rsid w:val="00F43116"/>
    <w:rsid w:val="00F4312E"/>
    <w:rsid w:val="00F4314E"/>
    <w:rsid w:val="00F43156"/>
    <w:rsid w:val="00F43176"/>
    <w:rsid w:val="00F4328B"/>
    <w:rsid w:val="00F43296"/>
    <w:rsid w:val="00F4329F"/>
    <w:rsid w:val="00F432DC"/>
    <w:rsid w:val="00F43360"/>
    <w:rsid w:val="00F4338C"/>
    <w:rsid w:val="00F43397"/>
    <w:rsid w:val="00F433D8"/>
    <w:rsid w:val="00F43409"/>
    <w:rsid w:val="00F43417"/>
    <w:rsid w:val="00F434BD"/>
    <w:rsid w:val="00F434BF"/>
    <w:rsid w:val="00F434CD"/>
    <w:rsid w:val="00F434D3"/>
    <w:rsid w:val="00F434F5"/>
    <w:rsid w:val="00F4353B"/>
    <w:rsid w:val="00F4355E"/>
    <w:rsid w:val="00F43683"/>
    <w:rsid w:val="00F436DA"/>
    <w:rsid w:val="00F436E8"/>
    <w:rsid w:val="00F43721"/>
    <w:rsid w:val="00F43724"/>
    <w:rsid w:val="00F43727"/>
    <w:rsid w:val="00F43754"/>
    <w:rsid w:val="00F43758"/>
    <w:rsid w:val="00F43786"/>
    <w:rsid w:val="00F437D7"/>
    <w:rsid w:val="00F4384C"/>
    <w:rsid w:val="00F4386B"/>
    <w:rsid w:val="00F43879"/>
    <w:rsid w:val="00F438A9"/>
    <w:rsid w:val="00F438FD"/>
    <w:rsid w:val="00F438FF"/>
    <w:rsid w:val="00F43936"/>
    <w:rsid w:val="00F4393D"/>
    <w:rsid w:val="00F4397B"/>
    <w:rsid w:val="00F4397F"/>
    <w:rsid w:val="00F439A9"/>
    <w:rsid w:val="00F43A03"/>
    <w:rsid w:val="00F43AE0"/>
    <w:rsid w:val="00F43AE1"/>
    <w:rsid w:val="00F43B0B"/>
    <w:rsid w:val="00F43B0C"/>
    <w:rsid w:val="00F43BA6"/>
    <w:rsid w:val="00F43BB1"/>
    <w:rsid w:val="00F43BB5"/>
    <w:rsid w:val="00F43BC6"/>
    <w:rsid w:val="00F43CBE"/>
    <w:rsid w:val="00F43CC5"/>
    <w:rsid w:val="00F43CD9"/>
    <w:rsid w:val="00F43CE8"/>
    <w:rsid w:val="00F43D11"/>
    <w:rsid w:val="00F43D84"/>
    <w:rsid w:val="00F43DDE"/>
    <w:rsid w:val="00F43DF0"/>
    <w:rsid w:val="00F43E0E"/>
    <w:rsid w:val="00F43EA4"/>
    <w:rsid w:val="00F43EB9"/>
    <w:rsid w:val="00F43ECE"/>
    <w:rsid w:val="00F43ED3"/>
    <w:rsid w:val="00F43F1F"/>
    <w:rsid w:val="00F43F9D"/>
    <w:rsid w:val="00F43FFB"/>
    <w:rsid w:val="00F4401C"/>
    <w:rsid w:val="00F4406E"/>
    <w:rsid w:val="00F440E9"/>
    <w:rsid w:val="00F4415C"/>
    <w:rsid w:val="00F4416E"/>
    <w:rsid w:val="00F44196"/>
    <w:rsid w:val="00F441A5"/>
    <w:rsid w:val="00F441A6"/>
    <w:rsid w:val="00F441C3"/>
    <w:rsid w:val="00F44219"/>
    <w:rsid w:val="00F4422C"/>
    <w:rsid w:val="00F4425E"/>
    <w:rsid w:val="00F44270"/>
    <w:rsid w:val="00F44295"/>
    <w:rsid w:val="00F442D4"/>
    <w:rsid w:val="00F44320"/>
    <w:rsid w:val="00F4435E"/>
    <w:rsid w:val="00F44396"/>
    <w:rsid w:val="00F44399"/>
    <w:rsid w:val="00F443CF"/>
    <w:rsid w:val="00F443D0"/>
    <w:rsid w:val="00F44426"/>
    <w:rsid w:val="00F4442F"/>
    <w:rsid w:val="00F44449"/>
    <w:rsid w:val="00F4445F"/>
    <w:rsid w:val="00F44466"/>
    <w:rsid w:val="00F44467"/>
    <w:rsid w:val="00F4448D"/>
    <w:rsid w:val="00F4453A"/>
    <w:rsid w:val="00F44574"/>
    <w:rsid w:val="00F445F4"/>
    <w:rsid w:val="00F44646"/>
    <w:rsid w:val="00F44666"/>
    <w:rsid w:val="00F446AA"/>
    <w:rsid w:val="00F446BD"/>
    <w:rsid w:val="00F44749"/>
    <w:rsid w:val="00F4476F"/>
    <w:rsid w:val="00F44774"/>
    <w:rsid w:val="00F447BD"/>
    <w:rsid w:val="00F44827"/>
    <w:rsid w:val="00F4483A"/>
    <w:rsid w:val="00F44970"/>
    <w:rsid w:val="00F4498E"/>
    <w:rsid w:val="00F449A2"/>
    <w:rsid w:val="00F449D0"/>
    <w:rsid w:val="00F449DA"/>
    <w:rsid w:val="00F44A20"/>
    <w:rsid w:val="00F44A26"/>
    <w:rsid w:val="00F44A27"/>
    <w:rsid w:val="00F44A47"/>
    <w:rsid w:val="00F44A74"/>
    <w:rsid w:val="00F44AEA"/>
    <w:rsid w:val="00F44AF0"/>
    <w:rsid w:val="00F44B67"/>
    <w:rsid w:val="00F44C9E"/>
    <w:rsid w:val="00F44CE5"/>
    <w:rsid w:val="00F44CE8"/>
    <w:rsid w:val="00F44CEF"/>
    <w:rsid w:val="00F44D51"/>
    <w:rsid w:val="00F44DF7"/>
    <w:rsid w:val="00F44E08"/>
    <w:rsid w:val="00F44E10"/>
    <w:rsid w:val="00F44EDC"/>
    <w:rsid w:val="00F44EDD"/>
    <w:rsid w:val="00F44F47"/>
    <w:rsid w:val="00F44FE5"/>
    <w:rsid w:val="00F4500A"/>
    <w:rsid w:val="00F45017"/>
    <w:rsid w:val="00F45046"/>
    <w:rsid w:val="00F45066"/>
    <w:rsid w:val="00F4508B"/>
    <w:rsid w:val="00F450A1"/>
    <w:rsid w:val="00F450EA"/>
    <w:rsid w:val="00F450F2"/>
    <w:rsid w:val="00F4512F"/>
    <w:rsid w:val="00F451CF"/>
    <w:rsid w:val="00F452C1"/>
    <w:rsid w:val="00F452D4"/>
    <w:rsid w:val="00F4531B"/>
    <w:rsid w:val="00F45326"/>
    <w:rsid w:val="00F453B2"/>
    <w:rsid w:val="00F453CD"/>
    <w:rsid w:val="00F45479"/>
    <w:rsid w:val="00F4548E"/>
    <w:rsid w:val="00F4549D"/>
    <w:rsid w:val="00F454F7"/>
    <w:rsid w:val="00F45534"/>
    <w:rsid w:val="00F455B2"/>
    <w:rsid w:val="00F45621"/>
    <w:rsid w:val="00F4562C"/>
    <w:rsid w:val="00F4563F"/>
    <w:rsid w:val="00F45661"/>
    <w:rsid w:val="00F456D6"/>
    <w:rsid w:val="00F4570D"/>
    <w:rsid w:val="00F4574B"/>
    <w:rsid w:val="00F4581A"/>
    <w:rsid w:val="00F45879"/>
    <w:rsid w:val="00F45881"/>
    <w:rsid w:val="00F458C3"/>
    <w:rsid w:val="00F458D2"/>
    <w:rsid w:val="00F4593B"/>
    <w:rsid w:val="00F4594A"/>
    <w:rsid w:val="00F4595A"/>
    <w:rsid w:val="00F45997"/>
    <w:rsid w:val="00F4599D"/>
    <w:rsid w:val="00F459D2"/>
    <w:rsid w:val="00F45A82"/>
    <w:rsid w:val="00F45AAE"/>
    <w:rsid w:val="00F45B5B"/>
    <w:rsid w:val="00F45C61"/>
    <w:rsid w:val="00F45CBD"/>
    <w:rsid w:val="00F45D8B"/>
    <w:rsid w:val="00F45DA2"/>
    <w:rsid w:val="00F45DAA"/>
    <w:rsid w:val="00F45DB1"/>
    <w:rsid w:val="00F45DE3"/>
    <w:rsid w:val="00F45EA8"/>
    <w:rsid w:val="00F45EB2"/>
    <w:rsid w:val="00F45FA3"/>
    <w:rsid w:val="00F45FC3"/>
    <w:rsid w:val="00F45FC4"/>
    <w:rsid w:val="00F45FD5"/>
    <w:rsid w:val="00F4600B"/>
    <w:rsid w:val="00F46014"/>
    <w:rsid w:val="00F4604A"/>
    <w:rsid w:val="00F4604C"/>
    <w:rsid w:val="00F4608A"/>
    <w:rsid w:val="00F46090"/>
    <w:rsid w:val="00F460EB"/>
    <w:rsid w:val="00F46161"/>
    <w:rsid w:val="00F46168"/>
    <w:rsid w:val="00F46180"/>
    <w:rsid w:val="00F461E7"/>
    <w:rsid w:val="00F4621B"/>
    <w:rsid w:val="00F46220"/>
    <w:rsid w:val="00F4623D"/>
    <w:rsid w:val="00F46248"/>
    <w:rsid w:val="00F46253"/>
    <w:rsid w:val="00F4626D"/>
    <w:rsid w:val="00F4643A"/>
    <w:rsid w:val="00F464F5"/>
    <w:rsid w:val="00F4650C"/>
    <w:rsid w:val="00F46569"/>
    <w:rsid w:val="00F465C2"/>
    <w:rsid w:val="00F46618"/>
    <w:rsid w:val="00F46619"/>
    <w:rsid w:val="00F4666B"/>
    <w:rsid w:val="00F46678"/>
    <w:rsid w:val="00F466A2"/>
    <w:rsid w:val="00F466BF"/>
    <w:rsid w:val="00F466E0"/>
    <w:rsid w:val="00F46719"/>
    <w:rsid w:val="00F46762"/>
    <w:rsid w:val="00F46763"/>
    <w:rsid w:val="00F4678E"/>
    <w:rsid w:val="00F467CC"/>
    <w:rsid w:val="00F467D1"/>
    <w:rsid w:val="00F46807"/>
    <w:rsid w:val="00F4680D"/>
    <w:rsid w:val="00F46842"/>
    <w:rsid w:val="00F46867"/>
    <w:rsid w:val="00F46892"/>
    <w:rsid w:val="00F468E7"/>
    <w:rsid w:val="00F46916"/>
    <w:rsid w:val="00F469B4"/>
    <w:rsid w:val="00F46A07"/>
    <w:rsid w:val="00F46A3F"/>
    <w:rsid w:val="00F46A49"/>
    <w:rsid w:val="00F46A62"/>
    <w:rsid w:val="00F46A6F"/>
    <w:rsid w:val="00F46AAC"/>
    <w:rsid w:val="00F46AD2"/>
    <w:rsid w:val="00F46B36"/>
    <w:rsid w:val="00F46B4F"/>
    <w:rsid w:val="00F46B60"/>
    <w:rsid w:val="00F46BF5"/>
    <w:rsid w:val="00F46C3F"/>
    <w:rsid w:val="00F46C52"/>
    <w:rsid w:val="00F46CBC"/>
    <w:rsid w:val="00F46CC2"/>
    <w:rsid w:val="00F46CD5"/>
    <w:rsid w:val="00F46CEE"/>
    <w:rsid w:val="00F46CF6"/>
    <w:rsid w:val="00F46D49"/>
    <w:rsid w:val="00F46D52"/>
    <w:rsid w:val="00F46DA2"/>
    <w:rsid w:val="00F46DDB"/>
    <w:rsid w:val="00F46E3A"/>
    <w:rsid w:val="00F46E41"/>
    <w:rsid w:val="00F46EA6"/>
    <w:rsid w:val="00F46F58"/>
    <w:rsid w:val="00F46F9C"/>
    <w:rsid w:val="00F470B5"/>
    <w:rsid w:val="00F47129"/>
    <w:rsid w:val="00F4713C"/>
    <w:rsid w:val="00F47157"/>
    <w:rsid w:val="00F4723C"/>
    <w:rsid w:val="00F4729F"/>
    <w:rsid w:val="00F47313"/>
    <w:rsid w:val="00F47335"/>
    <w:rsid w:val="00F4735A"/>
    <w:rsid w:val="00F4739A"/>
    <w:rsid w:val="00F473A6"/>
    <w:rsid w:val="00F47416"/>
    <w:rsid w:val="00F4741F"/>
    <w:rsid w:val="00F47440"/>
    <w:rsid w:val="00F4752F"/>
    <w:rsid w:val="00F475DF"/>
    <w:rsid w:val="00F475E6"/>
    <w:rsid w:val="00F47602"/>
    <w:rsid w:val="00F47679"/>
    <w:rsid w:val="00F4769F"/>
    <w:rsid w:val="00F476A9"/>
    <w:rsid w:val="00F476C9"/>
    <w:rsid w:val="00F476D2"/>
    <w:rsid w:val="00F47703"/>
    <w:rsid w:val="00F477EF"/>
    <w:rsid w:val="00F4781B"/>
    <w:rsid w:val="00F4789F"/>
    <w:rsid w:val="00F478BB"/>
    <w:rsid w:val="00F478CC"/>
    <w:rsid w:val="00F4790D"/>
    <w:rsid w:val="00F47976"/>
    <w:rsid w:val="00F479B6"/>
    <w:rsid w:val="00F47A34"/>
    <w:rsid w:val="00F47A99"/>
    <w:rsid w:val="00F47AB4"/>
    <w:rsid w:val="00F47AF6"/>
    <w:rsid w:val="00F47BDC"/>
    <w:rsid w:val="00F47BE7"/>
    <w:rsid w:val="00F47C06"/>
    <w:rsid w:val="00F47CA1"/>
    <w:rsid w:val="00F47CAB"/>
    <w:rsid w:val="00F47CE7"/>
    <w:rsid w:val="00F47D2C"/>
    <w:rsid w:val="00F47D65"/>
    <w:rsid w:val="00F47D77"/>
    <w:rsid w:val="00F47E33"/>
    <w:rsid w:val="00F47E3B"/>
    <w:rsid w:val="00F47E4A"/>
    <w:rsid w:val="00F47E6E"/>
    <w:rsid w:val="00F47F19"/>
    <w:rsid w:val="00F47F6B"/>
    <w:rsid w:val="00F47F79"/>
    <w:rsid w:val="00F47FA5"/>
    <w:rsid w:val="00F47FBC"/>
    <w:rsid w:val="00F47FC7"/>
    <w:rsid w:val="00F47FDA"/>
    <w:rsid w:val="00F50083"/>
    <w:rsid w:val="00F5009C"/>
    <w:rsid w:val="00F500B4"/>
    <w:rsid w:val="00F500B6"/>
    <w:rsid w:val="00F500E5"/>
    <w:rsid w:val="00F50107"/>
    <w:rsid w:val="00F50143"/>
    <w:rsid w:val="00F5014D"/>
    <w:rsid w:val="00F501A4"/>
    <w:rsid w:val="00F501AE"/>
    <w:rsid w:val="00F501E5"/>
    <w:rsid w:val="00F501F0"/>
    <w:rsid w:val="00F5023D"/>
    <w:rsid w:val="00F5029E"/>
    <w:rsid w:val="00F502E1"/>
    <w:rsid w:val="00F502F6"/>
    <w:rsid w:val="00F5038E"/>
    <w:rsid w:val="00F503B1"/>
    <w:rsid w:val="00F50405"/>
    <w:rsid w:val="00F50429"/>
    <w:rsid w:val="00F5049C"/>
    <w:rsid w:val="00F504DE"/>
    <w:rsid w:val="00F5053B"/>
    <w:rsid w:val="00F50544"/>
    <w:rsid w:val="00F50587"/>
    <w:rsid w:val="00F505CD"/>
    <w:rsid w:val="00F505DA"/>
    <w:rsid w:val="00F505E8"/>
    <w:rsid w:val="00F505FD"/>
    <w:rsid w:val="00F5062C"/>
    <w:rsid w:val="00F50651"/>
    <w:rsid w:val="00F50657"/>
    <w:rsid w:val="00F5065B"/>
    <w:rsid w:val="00F50687"/>
    <w:rsid w:val="00F506B7"/>
    <w:rsid w:val="00F506D5"/>
    <w:rsid w:val="00F507CC"/>
    <w:rsid w:val="00F5080C"/>
    <w:rsid w:val="00F5084B"/>
    <w:rsid w:val="00F508C0"/>
    <w:rsid w:val="00F508F6"/>
    <w:rsid w:val="00F50956"/>
    <w:rsid w:val="00F50977"/>
    <w:rsid w:val="00F5097E"/>
    <w:rsid w:val="00F509C9"/>
    <w:rsid w:val="00F50B16"/>
    <w:rsid w:val="00F50BA3"/>
    <w:rsid w:val="00F50BA7"/>
    <w:rsid w:val="00F50C20"/>
    <w:rsid w:val="00F50CAC"/>
    <w:rsid w:val="00F50D38"/>
    <w:rsid w:val="00F50D57"/>
    <w:rsid w:val="00F50D98"/>
    <w:rsid w:val="00F50DB7"/>
    <w:rsid w:val="00F50DDE"/>
    <w:rsid w:val="00F50E66"/>
    <w:rsid w:val="00F50ECC"/>
    <w:rsid w:val="00F50F37"/>
    <w:rsid w:val="00F50F89"/>
    <w:rsid w:val="00F50FBE"/>
    <w:rsid w:val="00F50FCB"/>
    <w:rsid w:val="00F510A2"/>
    <w:rsid w:val="00F510D6"/>
    <w:rsid w:val="00F51164"/>
    <w:rsid w:val="00F5118D"/>
    <w:rsid w:val="00F5121A"/>
    <w:rsid w:val="00F51241"/>
    <w:rsid w:val="00F51257"/>
    <w:rsid w:val="00F51327"/>
    <w:rsid w:val="00F5133B"/>
    <w:rsid w:val="00F5135E"/>
    <w:rsid w:val="00F51363"/>
    <w:rsid w:val="00F51365"/>
    <w:rsid w:val="00F51392"/>
    <w:rsid w:val="00F513D1"/>
    <w:rsid w:val="00F51415"/>
    <w:rsid w:val="00F51432"/>
    <w:rsid w:val="00F5146C"/>
    <w:rsid w:val="00F514AA"/>
    <w:rsid w:val="00F514ED"/>
    <w:rsid w:val="00F51520"/>
    <w:rsid w:val="00F515B4"/>
    <w:rsid w:val="00F515C5"/>
    <w:rsid w:val="00F51609"/>
    <w:rsid w:val="00F51616"/>
    <w:rsid w:val="00F5161A"/>
    <w:rsid w:val="00F51624"/>
    <w:rsid w:val="00F51647"/>
    <w:rsid w:val="00F516A0"/>
    <w:rsid w:val="00F516F7"/>
    <w:rsid w:val="00F516FA"/>
    <w:rsid w:val="00F5178B"/>
    <w:rsid w:val="00F51822"/>
    <w:rsid w:val="00F51875"/>
    <w:rsid w:val="00F51882"/>
    <w:rsid w:val="00F518E9"/>
    <w:rsid w:val="00F51913"/>
    <w:rsid w:val="00F51975"/>
    <w:rsid w:val="00F51A18"/>
    <w:rsid w:val="00F51A28"/>
    <w:rsid w:val="00F51A6E"/>
    <w:rsid w:val="00F51B12"/>
    <w:rsid w:val="00F51B2E"/>
    <w:rsid w:val="00F51B32"/>
    <w:rsid w:val="00F51B44"/>
    <w:rsid w:val="00F51B82"/>
    <w:rsid w:val="00F51B88"/>
    <w:rsid w:val="00F51BA9"/>
    <w:rsid w:val="00F51BB3"/>
    <w:rsid w:val="00F51BC8"/>
    <w:rsid w:val="00F51BE1"/>
    <w:rsid w:val="00F51BE9"/>
    <w:rsid w:val="00F51C01"/>
    <w:rsid w:val="00F51C2E"/>
    <w:rsid w:val="00F51C33"/>
    <w:rsid w:val="00F51C88"/>
    <w:rsid w:val="00F51C8A"/>
    <w:rsid w:val="00F51D6C"/>
    <w:rsid w:val="00F51D9D"/>
    <w:rsid w:val="00F51DBA"/>
    <w:rsid w:val="00F51E2C"/>
    <w:rsid w:val="00F51EC2"/>
    <w:rsid w:val="00F51EFD"/>
    <w:rsid w:val="00F51F12"/>
    <w:rsid w:val="00F51F13"/>
    <w:rsid w:val="00F51F2B"/>
    <w:rsid w:val="00F51FA1"/>
    <w:rsid w:val="00F51FE5"/>
    <w:rsid w:val="00F51FEA"/>
    <w:rsid w:val="00F5203A"/>
    <w:rsid w:val="00F52063"/>
    <w:rsid w:val="00F52075"/>
    <w:rsid w:val="00F520CA"/>
    <w:rsid w:val="00F5214A"/>
    <w:rsid w:val="00F52195"/>
    <w:rsid w:val="00F521E4"/>
    <w:rsid w:val="00F52291"/>
    <w:rsid w:val="00F5229D"/>
    <w:rsid w:val="00F52342"/>
    <w:rsid w:val="00F5234D"/>
    <w:rsid w:val="00F523C4"/>
    <w:rsid w:val="00F523FD"/>
    <w:rsid w:val="00F5240D"/>
    <w:rsid w:val="00F5242E"/>
    <w:rsid w:val="00F52463"/>
    <w:rsid w:val="00F52484"/>
    <w:rsid w:val="00F524AE"/>
    <w:rsid w:val="00F524D1"/>
    <w:rsid w:val="00F524E6"/>
    <w:rsid w:val="00F5251F"/>
    <w:rsid w:val="00F5263A"/>
    <w:rsid w:val="00F52666"/>
    <w:rsid w:val="00F5271E"/>
    <w:rsid w:val="00F52730"/>
    <w:rsid w:val="00F52755"/>
    <w:rsid w:val="00F52780"/>
    <w:rsid w:val="00F527AE"/>
    <w:rsid w:val="00F527B5"/>
    <w:rsid w:val="00F52822"/>
    <w:rsid w:val="00F52886"/>
    <w:rsid w:val="00F528A6"/>
    <w:rsid w:val="00F52910"/>
    <w:rsid w:val="00F5291A"/>
    <w:rsid w:val="00F5295F"/>
    <w:rsid w:val="00F529A3"/>
    <w:rsid w:val="00F529F3"/>
    <w:rsid w:val="00F52A6A"/>
    <w:rsid w:val="00F52A81"/>
    <w:rsid w:val="00F52ACC"/>
    <w:rsid w:val="00F52B25"/>
    <w:rsid w:val="00F52B2D"/>
    <w:rsid w:val="00F52B36"/>
    <w:rsid w:val="00F52B47"/>
    <w:rsid w:val="00F52B7D"/>
    <w:rsid w:val="00F52B8B"/>
    <w:rsid w:val="00F52BB8"/>
    <w:rsid w:val="00F52C48"/>
    <w:rsid w:val="00F52CB7"/>
    <w:rsid w:val="00F52D65"/>
    <w:rsid w:val="00F52D86"/>
    <w:rsid w:val="00F52DB3"/>
    <w:rsid w:val="00F52DB7"/>
    <w:rsid w:val="00F52DC3"/>
    <w:rsid w:val="00F52E4F"/>
    <w:rsid w:val="00F52E6B"/>
    <w:rsid w:val="00F52E73"/>
    <w:rsid w:val="00F52EE0"/>
    <w:rsid w:val="00F52EEB"/>
    <w:rsid w:val="00F52F44"/>
    <w:rsid w:val="00F52F5B"/>
    <w:rsid w:val="00F52F6A"/>
    <w:rsid w:val="00F52F70"/>
    <w:rsid w:val="00F52FAA"/>
    <w:rsid w:val="00F52FE4"/>
    <w:rsid w:val="00F53025"/>
    <w:rsid w:val="00F53068"/>
    <w:rsid w:val="00F530D2"/>
    <w:rsid w:val="00F530D7"/>
    <w:rsid w:val="00F5313E"/>
    <w:rsid w:val="00F5313F"/>
    <w:rsid w:val="00F53150"/>
    <w:rsid w:val="00F531DC"/>
    <w:rsid w:val="00F531F3"/>
    <w:rsid w:val="00F5322B"/>
    <w:rsid w:val="00F53252"/>
    <w:rsid w:val="00F5333A"/>
    <w:rsid w:val="00F53360"/>
    <w:rsid w:val="00F53497"/>
    <w:rsid w:val="00F534C1"/>
    <w:rsid w:val="00F534EA"/>
    <w:rsid w:val="00F534F0"/>
    <w:rsid w:val="00F53529"/>
    <w:rsid w:val="00F53562"/>
    <w:rsid w:val="00F53593"/>
    <w:rsid w:val="00F53602"/>
    <w:rsid w:val="00F5360E"/>
    <w:rsid w:val="00F53624"/>
    <w:rsid w:val="00F53695"/>
    <w:rsid w:val="00F536C1"/>
    <w:rsid w:val="00F53717"/>
    <w:rsid w:val="00F53770"/>
    <w:rsid w:val="00F53775"/>
    <w:rsid w:val="00F537B2"/>
    <w:rsid w:val="00F53845"/>
    <w:rsid w:val="00F5384E"/>
    <w:rsid w:val="00F538C2"/>
    <w:rsid w:val="00F53944"/>
    <w:rsid w:val="00F53A0A"/>
    <w:rsid w:val="00F53A10"/>
    <w:rsid w:val="00F53A4C"/>
    <w:rsid w:val="00F53A4D"/>
    <w:rsid w:val="00F53A63"/>
    <w:rsid w:val="00F53A8A"/>
    <w:rsid w:val="00F53AAA"/>
    <w:rsid w:val="00F53B29"/>
    <w:rsid w:val="00F53B5F"/>
    <w:rsid w:val="00F53C51"/>
    <w:rsid w:val="00F53CCE"/>
    <w:rsid w:val="00F53CE7"/>
    <w:rsid w:val="00F53D16"/>
    <w:rsid w:val="00F53D99"/>
    <w:rsid w:val="00F53DFF"/>
    <w:rsid w:val="00F53E18"/>
    <w:rsid w:val="00F53E3C"/>
    <w:rsid w:val="00F53E76"/>
    <w:rsid w:val="00F53EAA"/>
    <w:rsid w:val="00F53ECB"/>
    <w:rsid w:val="00F53EE4"/>
    <w:rsid w:val="00F53EFC"/>
    <w:rsid w:val="00F53F42"/>
    <w:rsid w:val="00F53F78"/>
    <w:rsid w:val="00F53F80"/>
    <w:rsid w:val="00F54055"/>
    <w:rsid w:val="00F5413E"/>
    <w:rsid w:val="00F54157"/>
    <w:rsid w:val="00F541F3"/>
    <w:rsid w:val="00F5420B"/>
    <w:rsid w:val="00F5421B"/>
    <w:rsid w:val="00F5423C"/>
    <w:rsid w:val="00F5427B"/>
    <w:rsid w:val="00F542A0"/>
    <w:rsid w:val="00F542AE"/>
    <w:rsid w:val="00F54317"/>
    <w:rsid w:val="00F5431C"/>
    <w:rsid w:val="00F543A1"/>
    <w:rsid w:val="00F543FE"/>
    <w:rsid w:val="00F5441F"/>
    <w:rsid w:val="00F5445C"/>
    <w:rsid w:val="00F5447B"/>
    <w:rsid w:val="00F544AC"/>
    <w:rsid w:val="00F544B8"/>
    <w:rsid w:val="00F545EF"/>
    <w:rsid w:val="00F5462B"/>
    <w:rsid w:val="00F5467E"/>
    <w:rsid w:val="00F546A2"/>
    <w:rsid w:val="00F5471F"/>
    <w:rsid w:val="00F54746"/>
    <w:rsid w:val="00F54748"/>
    <w:rsid w:val="00F5476E"/>
    <w:rsid w:val="00F5482A"/>
    <w:rsid w:val="00F5485F"/>
    <w:rsid w:val="00F54894"/>
    <w:rsid w:val="00F548DA"/>
    <w:rsid w:val="00F548E5"/>
    <w:rsid w:val="00F548E6"/>
    <w:rsid w:val="00F549AD"/>
    <w:rsid w:val="00F549E1"/>
    <w:rsid w:val="00F549EA"/>
    <w:rsid w:val="00F54A07"/>
    <w:rsid w:val="00F54A2A"/>
    <w:rsid w:val="00F54A2D"/>
    <w:rsid w:val="00F54AAE"/>
    <w:rsid w:val="00F54AD0"/>
    <w:rsid w:val="00F54ADF"/>
    <w:rsid w:val="00F54B4C"/>
    <w:rsid w:val="00F54B6A"/>
    <w:rsid w:val="00F54B70"/>
    <w:rsid w:val="00F54B79"/>
    <w:rsid w:val="00F54BBB"/>
    <w:rsid w:val="00F54BC9"/>
    <w:rsid w:val="00F54BF7"/>
    <w:rsid w:val="00F54C37"/>
    <w:rsid w:val="00F54C69"/>
    <w:rsid w:val="00F54C98"/>
    <w:rsid w:val="00F54D06"/>
    <w:rsid w:val="00F54D53"/>
    <w:rsid w:val="00F54D87"/>
    <w:rsid w:val="00F54DA3"/>
    <w:rsid w:val="00F54DC5"/>
    <w:rsid w:val="00F54DD5"/>
    <w:rsid w:val="00F54DDF"/>
    <w:rsid w:val="00F54DF5"/>
    <w:rsid w:val="00F54E81"/>
    <w:rsid w:val="00F54EC0"/>
    <w:rsid w:val="00F54F22"/>
    <w:rsid w:val="00F54F59"/>
    <w:rsid w:val="00F55006"/>
    <w:rsid w:val="00F5502D"/>
    <w:rsid w:val="00F55099"/>
    <w:rsid w:val="00F550AD"/>
    <w:rsid w:val="00F550BA"/>
    <w:rsid w:val="00F550DF"/>
    <w:rsid w:val="00F5511C"/>
    <w:rsid w:val="00F55164"/>
    <w:rsid w:val="00F55174"/>
    <w:rsid w:val="00F5518C"/>
    <w:rsid w:val="00F55190"/>
    <w:rsid w:val="00F551A4"/>
    <w:rsid w:val="00F551AE"/>
    <w:rsid w:val="00F551C2"/>
    <w:rsid w:val="00F551EA"/>
    <w:rsid w:val="00F5520B"/>
    <w:rsid w:val="00F5521B"/>
    <w:rsid w:val="00F5521F"/>
    <w:rsid w:val="00F55223"/>
    <w:rsid w:val="00F552C1"/>
    <w:rsid w:val="00F552F6"/>
    <w:rsid w:val="00F5532A"/>
    <w:rsid w:val="00F553C6"/>
    <w:rsid w:val="00F55452"/>
    <w:rsid w:val="00F5546E"/>
    <w:rsid w:val="00F5548F"/>
    <w:rsid w:val="00F55490"/>
    <w:rsid w:val="00F554B4"/>
    <w:rsid w:val="00F554C3"/>
    <w:rsid w:val="00F55529"/>
    <w:rsid w:val="00F5559D"/>
    <w:rsid w:val="00F555B8"/>
    <w:rsid w:val="00F555BD"/>
    <w:rsid w:val="00F555C5"/>
    <w:rsid w:val="00F55625"/>
    <w:rsid w:val="00F556B4"/>
    <w:rsid w:val="00F55732"/>
    <w:rsid w:val="00F55786"/>
    <w:rsid w:val="00F5580D"/>
    <w:rsid w:val="00F5580E"/>
    <w:rsid w:val="00F55859"/>
    <w:rsid w:val="00F558CB"/>
    <w:rsid w:val="00F558EF"/>
    <w:rsid w:val="00F559BF"/>
    <w:rsid w:val="00F55A17"/>
    <w:rsid w:val="00F55A26"/>
    <w:rsid w:val="00F55A33"/>
    <w:rsid w:val="00F55A40"/>
    <w:rsid w:val="00F55AC4"/>
    <w:rsid w:val="00F55B7D"/>
    <w:rsid w:val="00F55B8C"/>
    <w:rsid w:val="00F55BA7"/>
    <w:rsid w:val="00F55BAD"/>
    <w:rsid w:val="00F55C24"/>
    <w:rsid w:val="00F55C34"/>
    <w:rsid w:val="00F55C8E"/>
    <w:rsid w:val="00F55C92"/>
    <w:rsid w:val="00F55CB0"/>
    <w:rsid w:val="00F55CBB"/>
    <w:rsid w:val="00F55CBC"/>
    <w:rsid w:val="00F55CC5"/>
    <w:rsid w:val="00F55CD1"/>
    <w:rsid w:val="00F55CDB"/>
    <w:rsid w:val="00F55D08"/>
    <w:rsid w:val="00F55D5A"/>
    <w:rsid w:val="00F55D6B"/>
    <w:rsid w:val="00F55D77"/>
    <w:rsid w:val="00F55DC3"/>
    <w:rsid w:val="00F55E46"/>
    <w:rsid w:val="00F55E76"/>
    <w:rsid w:val="00F55E7A"/>
    <w:rsid w:val="00F55E7C"/>
    <w:rsid w:val="00F55E82"/>
    <w:rsid w:val="00F55EF9"/>
    <w:rsid w:val="00F55F11"/>
    <w:rsid w:val="00F55F68"/>
    <w:rsid w:val="00F55FBD"/>
    <w:rsid w:val="00F56012"/>
    <w:rsid w:val="00F56020"/>
    <w:rsid w:val="00F56085"/>
    <w:rsid w:val="00F56094"/>
    <w:rsid w:val="00F560B6"/>
    <w:rsid w:val="00F560FF"/>
    <w:rsid w:val="00F56144"/>
    <w:rsid w:val="00F56155"/>
    <w:rsid w:val="00F561DA"/>
    <w:rsid w:val="00F56247"/>
    <w:rsid w:val="00F56273"/>
    <w:rsid w:val="00F56299"/>
    <w:rsid w:val="00F562B3"/>
    <w:rsid w:val="00F562CB"/>
    <w:rsid w:val="00F56348"/>
    <w:rsid w:val="00F5637E"/>
    <w:rsid w:val="00F56395"/>
    <w:rsid w:val="00F563B0"/>
    <w:rsid w:val="00F563C5"/>
    <w:rsid w:val="00F563DE"/>
    <w:rsid w:val="00F56405"/>
    <w:rsid w:val="00F56436"/>
    <w:rsid w:val="00F56466"/>
    <w:rsid w:val="00F564C4"/>
    <w:rsid w:val="00F564D0"/>
    <w:rsid w:val="00F564D2"/>
    <w:rsid w:val="00F56524"/>
    <w:rsid w:val="00F56573"/>
    <w:rsid w:val="00F56667"/>
    <w:rsid w:val="00F56697"/>
    <w:rsid w:val="00F56755"/>
    <w:rsid w:val="00F567AB"/>
    <w:rsid w:val="00F56818"/>
    <w:rsid w:val="00F5682E"/>
    <w:rsid w:val="00F5686D"/>
    <w:rsid w:val="00F568D4"/>
    <w:rsid w:val="00F56901"/>
    <w:rsid w:val="00F56929"/>
    <w:rsid w:val="00F5692E"/>
    <w:rsid w:val="00F5692F"/>
    <w:rsid w:val="00F569AA"/>
    <w:rsid w:val="00F569ED"/>
    <w:rsid w:val="00F56A7A"/>
    <w:rsid w:val="00F56A94"/>
    <w:rsid w:val="00F56AB1"/>
    <w:rsid w:val="00F56AC2"/>
    <w:rsid w:val="00F56ACF"/>
    <w:rsid w:val="00F56B01"/>
    <w:rsid w:val="00F56B46"/>
    <w:rsid w:val="00F56B6D"/>
    <w:rsid w:val="00F56B95"/>
    <w:rsid w:val="00F56BAF"/>
    <w:rsid w:val="00F56BE9"/>
    <w:rsid w:val="00F56C32"/>
    <w:rsid w:val="00F56C45"/>
    <w:rsid w:val="00F56CBA"/>
    <w:rsid w:val="00F56D28"/>
    <w:rsid w:val="00F56D6C"/>
    <w:rsid w:val="00F56D92"/>
    <w:rsid w:val="00F56DE4"/>
    <w:rsid w:val="00F56DEC"/>
    <w:rsid w:val="00F56E14"/>
    <w:rsid w:val="00F56E1D"/>
    <w:rsid w:val="00F56E77"/>
    <w:rsid w:val="00F56FB1"/>
    <w:rsid w:val="00F56FB4"/>
    <w:rsid w:val="00F56FCA"/>
    <w:rsid w:val="00F56FD4"/>
    <w:rsid w:val="00F56FE5"/>
    <w:rsid w:val="00F5702E"/>
    <w:rsid w:val="00F57030"/>
    <w:rsid w:val="00F57085"/>
    <w:rsid w:val="00F570B8"/>
    <w:rsid w:val="00F57114"/>
    <w:rsid w:val="00F57119"/>
    <w:rsid w:val="00F57149"/>
    <w:rsid w:val="00F57153"/>
    <w:rsid w:val="00F57194"/>
    <w:rsid w:val="00F5719F"/>
    <w:rsid w:val="00F571BC"/>
    <w:rsid w:val="00F57296"/>
    <w:rsid w:val="00F5729C"/>
    <w:rsid w:val="00F572E9"/>
    <w:rsid w:val="00F572ED"/>
    <w:rsid w:val="00F57305"/>
    <w:rsid w:val="00F5730F"/>
    <w:rsid w:val="00F5735A"/>
    <w:rsid w:val="00F573A4"/>
    <w:rsid w:val="00F574C8"/>
    <w:rsid w:val="00F574D4"/>
    <w:rsid w:val="00F574F7"/>
    <w:rsid w:val="00F574FC"/>
    <w:rsid w:val="00F57521"/>
    <w:rsid w:val="00F57537"/>
    <w:rsid w:val="00F57549"/>
    <w:rsid w:val="00F575BC"/>
    <w:rsid w:val="00F575BF"/>
    <w:rsid w:val="00F575C3"/>
    <w:rsid w:val="00F575FF"/>
    <w:rsid w:val="00F57615"/>
    <w:rsid w:val="00F57641"/>
    <w:rsid w:val="00F57647"/>
    <w:rsid w:val="00F5769D"/>
    <w:rsid w:val="00F576CC"/>
    <w:rsid w:val="00F576FF"/>
    <w:rsid w:val="00F57742"/>
    <w:rsid w:val="00F57749"/>
    <w:rsid w:val="00F57768"/>
    <w:rsid w:val="00F577B6"/>
    <w:rsid w:val="00F577ED"/>
    <w:rsid w:val="00F57808"/>
    <w:rsid w:val="00F57856"/>
    <w:rsid w:val="00F5787E"/>
    <w:rsid w:val="00F57886"/>
    <w:rsid w:val="00F578D2"/>
    <w:rsid w:val="00F57903"/>
    <w:rsid w:val="00F57950"/>
    <w:rsid w:val="00F5799C"/>
    <w:rsid w:val="00F579AD"/>
    <w:rsid w:val="00F57A21"/>
    <w:rsid w:val="00F57A35"/>
    <w:rsid w:val="00F57A87"/>
    <w:rsid w:val="00F57AAF"/>
    <w:rsid w:val="00F57AEE"/>
    <w:rsid w:val="00F57B0D"/>
    <w:rsid w:val="00F57B53"/>
    <w:rsid w:val="00F57B64"/>
    <w:rsid w:val="00F57B7F"/>
    <w:rsid w:val="00F57CDF"/>
    <w:rsid w:val="00F57CEC"/>
    <w:rsid w:val="00F57D4C"/>
    <w:rsid w:val="00F57D6B"/>
    <w:rsid w:val="00F57DAC"/>
    <w:rsid w:val="00F57DEF"/>
    <w:rsid w:val="00F57E35"/>
    <w:rsid w:val="00F57E69"/>
    <w:rsid w:val="00F57E9F"/>
    <w:rsid w:val="00F6005E"/>
    <w:rsid w:val="00F6007F"/>
    <w:rsid w:val="00F600E8"/>
    <w:rsid w:val="00F6012D"/>
    <w:rsid w:val="00F60156"/>
    <w:rsid w:val="00F601A1"/>
    <w:rsid w:val="00F601DC"/>
    <w:rsid w:val="00F6020F"/>
    <w:rsid w:val="00F6022D"/>
    <w:rsid w:val="00F60285"/>
    <w:rsid w:val="00F602A1"/>
    <w:rsid w:val="00F602D1"/>
    <w:rsid w:val="00F602F7"/>
    <w:rsid w:val="00F602FA"/>
    <w:rsid w:val="00F60389"/>
    <w:rsid w:val="00F603A9"/>
    <w:rsid w:val="00F603B1"/>
    <w:rsid w:val="00F6044E"/>
    <w:rsid w:val="00F604B3"/>
    <w:rsid w:val="00F604EF"/>
    <w:rsid w:val="00F604F1"/>
    <w:rsid w:val="00F60568"/>
    <w:rsid w:val="00F605DF"/>
    <w:rsid w:val="00F605F4"/>
    <w:rsid w:val="00F60612"/>
    <w:rsid w:val="00F60617"/>
    <w:rsid w:val="00F60664"/>
    <w:rsid w:val="00F60665"/>
    <w:rsid w:val="00F60683"/>
    <w:rsid w:val="00F6069F"/>
    <w:rsid w:val="00F606BE"/>
    <w:rsid w:val="00F606C3"/>
    <w:rsid w:val="00F606D1"/>
    <w:rsid w:val="00F60764"/>
    <w:rsid w:val="00F607B3"/>
    <w:rsid w:val="00F60855"/>
    <w:rsid w:val="00F6087E"/>
    <w:rsid w:val="00F60894"/>
    <w:rsid w:val="00F608B6"/>
    <w:rsid w:val="00F608F5"/>
    <w:rsid w:val="00F6092D"/>
    <w:rsid w:val="00F60965"/>
    <w:rsid w:val="00F609B1"/>
    <w:rsid w:val="00F609C6"/>
    <w:rsid w:val="00F60A5D"/>
    <w:rsid w:val="00F60A9D"/>
    <w:rsid w:val="00F60AA4"/>
    <w:rsid w:val="00F60BE7"/>
    <w:rsid w:val="00F60C20"/>
    <w:rsid w:val="00F60C25"/>
    <w:rsid w:val="00F60C6A"/>
    <w:rsid w:val="00F60C83"/>
    <w:rsid w:val="00F60C97"/>
    <w:rsid w:val="00F60C9A"/>
    <w:rsid w:val="00F60CA8"/>
    <w:rsid w:val="00F60D0A"/>
    <w:rsid w:val="00F60E4E"/>
    <w:rsid w:val="00F60E73"/>
    <w:rsid w:val="00F60E8D"/>
    <w:rsid w:val="00F60ECE"/>
    <w:rsid w:val="00F60EDD"/>
    <w:rsid w:val="00F60EE3"/>
    <w:rsid w:val="00F60EF6"/>
    <w:rsid w:val="00F60F2D"/>
    <w:rsid w:val="00F60FBF"/>
    <w:rsid w:val="00F61079"/>
    <w:rsid w:val="00F6111F"/>
    <w:rsid w:val="00F61131"/>
    <w:rsid w:val="00F6115A"/>
    <w:rsid w:val="00F61196"/>
    <w:rsid w:val="00F611B3"/>
    <w:rsid w:val="00F611B9"/>
    <w:rsid w:val="00F61273"/>
    <w:rsid w:val="00F61279"/>
    <w:rsid w:val="00F612A3"/>
    <w:rsid w:val="00F6131F"/>
    <w:rsid w:val="00F61329"/>
    <w:rsid w:val="00F613A1"/>
    <w:rsid w:val="00F613B1"/>
    <w:rsid w:val="00F613FA"/>
    <w:rsid w:val="00F6147A"/>
    <w:rsid w:val="00F614C7"/>
    <w:rsid w:val="00F614E8"/>
    <w:rsid w:val="00F614F3"/>
    <w:rsid w:val="00F614F6"/>
    <w:rsid w:val="00F6159E"/>
    <w:rsid w:val="00F615A6"/>
    <w:rsid w:val="00F615CD"/>
    <w:rsid w:val="00F61662"/>
    <w:rsid w:val="00F61685"/>
    <w:rsid w:val="00F616CD"/>
    <w:rsid w:val="00F616D7"/>
    <w:rsid w:val="00F61731"/>
    <w:rsid w:val="00F6175A"/>
    <w:rsid w:val="00F6175D"/>
    <w:rsid w:val="00F6176D"/>
    <w:rsid w:val="00F617E8"/>
    <w:rsid w:val="00F61894"/>
    <w:rsid w:val="00F6198A"/>
    <w:rsid w:val="00F619D4"/>
    <w:rsid w:val="00F61A38"/>
    <w:rsid w:val="00F61A71"/>
    <w:rsid w:val="00F61ACF"/>
    <w:rsid w:val="00F61B41"/>
    <w:rsid w:val="00F61BC0"/>
    <w:rsid w:val="00F61BD2"/>
    <w:rsid w:val="00F61C16"/>
    <w:rsid w:val="00F61C1E"/>
    <w:rsid w:val="00F61CB2"/>
    <w:rsid w:val="00F61CBB"/>
    <w:rsid w:val="00F61D4C"/>
    <w:rsid w:val="00F61D5B"/>
    <w:rsid w:val="00F61D9C"/>
    <w:rsid w:val="00F61DED"/>
    <w:rsid w:val="00F61E3B"/>
    <w:rsid w:val="00F61E3E"/>
    <w:rsid w:val="00F61E48"/>
    <w:rsid w:val="00F61E59"/>
    <w:rsid w:val="00F61EC9"/>
    <w:rsid w:val="00F61ED3"/>
    <w:rsid w:val="00F61F21"/>
    <w:rsid w:val="00F61F23"/>
    <w:rsid w:val="00F61F53"/>
    <w:rsid w:val="00F61F6E"/>
    <w:rsid w:val="00F61F74"/>
    <w:rsid w:val="00F61FCB"/>
    <w:rsid w:val="00F61FF0"/>
    <w:rsid w:val="00F6203C"/>
    <w:rsid w:val="00F62057"/>
    <w:rsid w:val="00F620A6"/>
    <w:rsid w:val="00F620EF"/>
    <w:rsid w:val="00F6211E"/>
    <w:rsid w:val="00F6216C"/>
    <w:rsid w:val="00F62283"/>
    <w:rsid w:val="00F622BA"/>
    <w:rsid w:val="00F6230E"/>
    <w:rsid w:val="00F62344"/>
    <w:rsid w:val="00F6235F"/>
    <w:rsid w:val="00F6236A"/>
    <w:rsid w:val="00F62387"/>
    <w:rsid w:val="00F623CE"/>
    <w:rsid w:val="00F623D5"/>
    <w:rsid w:val="00F6242E"/>
    <w:rsid w:val="00F62476"/>
    <w:rsid w:val="00F62492"/>
    <w:rsid w:val="00F62499"/>
    <w:rsid w:val="00F624D4"/>
    <w:rsid w:val="00F6252C"/>
    <w:rsid w:val="00F62657"/>
    <w:rsid w:val="00F62673"/>
    <w:rsid w:val="00F62676"/>
    <w:rsid w:val="00F626FB"/>
    <w:rsid w:val="00F62711"/>
    <w:rsid w:val="00F627F6"/>
    <w:rsid w:val="00F62824"/>
    <w:rsid w:val="00F62828"/>
    <w:rsid w:val="00F62875"/>
    <w:rsid w:val="00F62894"/>
    <w:rsid w:val="00F628B3"/>
    <w:rsid w:val="00F62902"/>
    <w:rsid w:val="00F62906"/>
    <w:rsid w:val="00F62946"/>
    <w:rsid w:val="00F629CB"/>
    <w:rsid w:val="00F629D0"/>
    <w:rsid w:val="00F62A32"/>
    <w:rsid w:val="00F62A53"/>
    <w:rsid w:val="00F62AB3"/>
    <w:rsid w:val="00F62AE2"/>
    <w:rsid w:val="00F62AF3"/>
    <w:rsid w:val="00F62AF6"/>
    <w:rsid w:val="00F62B89"/>
    <w:rsid w:val="00F62B8B"/>
    <w:rsid w:val="00F62B99"/>
    <w:rsid w:val="00F62BD4"/>
    <w:rsid w:val="00F62BE9"/>
    <w:rsid w:val="00F62C1B"/>
    <w:rsid w:val="00F62C22"/>
    <w:rsid w:val="00F62C42"/>
    <w:rsid w:val="00F62D57"/>
    <w:rsid w:val="00F62D5D"/>
    <w:rsid w:val="00F62D70"/>
    <w:rsid w:val="00F62DDA"/>
    <w:rsid w:val="00F62E0A"/>
    <w:rsid w:val="00F62E12"/>
    <w:rsid w:val="00F62E19"/>
    <w:rsid w:val="00F62E7C"/>
    <w:rsid w:val="00F62E85"/>
    <w:rsid w:val="00F62E9F"/>
    <w:rsid w:val="00F62EFB"/>
    <w:rsid w:val="00F62F16"/>
    <w:rsid w:val="00F62FB3"/>
    <w:rsid w:val="00F63033"/>
    <w:rsid w:val="00F630A1"/>
    <w:rsid w:val="00F630BE"/>
    <w:rsid w:val="00F630E4"/>
    <w:rsid w:val="00F63195"/>
    <w:rsid w:val="00F6319B"/>
    <w:rsid w:val="00F631CF"/>
    <w:rsid w:val="00F63223"/>
    <w:rsid w:val="00F63253"/>
    <w:rsid w:val="00F63275"/>
    <w:rsid w:val="00F63285"/>
    <w:rsid w:val="00F63289"/>
    <w:rsid w:val="00F632A3"/>
    <w:rsid w:val="00F632DA"/>
    <w:rsid w:val="00F63376"/>
    <w:rsid w:val="00F63381"/>
    <w:rsid w:val="00F633BF"/>
    <w:rsid w:val="00F633DE"/>
    <w:rsid w:val="00F633EA"/>
    <w:rsid w:val="00F63477"/>
    <w:rsid w:val="00F6348B"/>
    <w:rsid w:val="00F634DE"/>
    <w:rsid w:val="00F634E7"/>
    <w:rsid w:val="00F63550"/>
    <w:rsid w:val="00F635B1"/>
    <w:rsid w:val="00F635C3"/>
    <w:rsid w:val="00F6365A"/>
    <w:rsid w:val="00F6366D"/>
    <w:rsid w:val="00F63682"/>
    <w:rsid w:val="00F636B8"/>
    <w:rsid w:val="00F636B9"/>
    <w:rsid w:val="00F636E4"/>
    <w:rsid w:val="00F636EC"/>
    <w:rsid w:val="00F63768"/>
    <w:rsid w:val="00F6376C"/>
    <w:rsid w:val="00F637A5"/>
    <w:rsid w:val="00F637D8"/>
    <w:rsid w:val="00F6380B"/>
    <w:rsid w:val="00F63816"/>
    <w:rsid w:val="00F63872"/>
    <w:rsid w:val="00F63874"/>
    <w:rsid w:val="00F6391F"/>
    <w:rsid w:val="00F63934"/>
    <w:rsid w:val="00F6395A"/>
    <w:rsid w:val="00F63976"/>
    <w:rsid w:val="00F63980"/>
    <w:rsid w:val="00F63988"/>
    <w:rsid w:val="00F6399C"/>
    <w:rsid w:val="00F639DC"/>
    <w:rsid w:val="00F639EA"/>
    <w:rsid w:val="00F63B05"/>
    <w:rsid w:val="00F63B54"/>
    <w:rsid w:val="00F63B8F"/>
    <w:rsid w:val="00F63BC7"/>
    <w:rsid w:val="00F63BE4"/>
    <w:rsid w:val="00F63BE9"/>
    <w:rsid w:val="00F63C1E"/>
    <w:rsid w:val="00F63C24"/>
    <w:rsid w:val="00F63C46"/>
    <w:rsid w:val="00F63C60"/>
    <w:rsid w:val="00F63C78"/>
    <w:rsid w:val="00F63D14"/>
    <w:rsid w:val="00F63D5F"/>
    <w:rsid w:val="00F63D92"/>
    <w:rsid w:val="00F63E8D"/>
    <w:rsid w:val="00F63E91"/>
    <w:rsid w:val="00F63EAB"/>
    <w:rsid w:val="00F63EC7"/>
    <w:rsid w:val="00F63F06"/>
    <w:rsid w:val="00F63F1B"/>
    <w:rsid w:val="00F63FC3"/>
    <w:rsid w:val="00F63FF3"/>
    <w:rsid w:val="00F6401E"/>
    <w:rsid w:val="00F6404E"/>
    <w:rsid w:val="00F640FA"/>
    <w:rsid w:val="00F64112"/>
    <w:rsid w:val="00F6416C"/>
    <w:rsid w:val="00F641BC"/>
    <w:rsid w:val="00F641DD"/>
    <w:rsid w:val="00F641E8"/>
    <w:rsid w:val="00F6420A"/>
    <w:rsid w:val="00F6422F"/>
    <w:rsid w:val="00F6424F"/>
    <w:rsid w:val="00F6426F"/>
    <w:rsid w:val="00F64270"/>
    <w:rsid w:val="00F642EE"/>
    <w:rsid w:val="00F64306"/>
    <w:rsid w:val="00F6431E"/>
    <w:rsid w:val="00F643DC"/>
    <w:rsid w:val="00F643F8"/>
    <w:rsid w:val="00F64422"/>
    <w:rsid w:val="00F64436"/>
    <w:rsid w:val="00F644EB"/>
    <w:rsid w:val="00F644F0"/>
    <w:rsid w:val="00F64513"/>
    <w:rsid w:val="00F64531"/>
    <w:rsid w:val="00F6458A"/>
    <w:rsid w:val="00F64603"/>
    <w:rsid w:val="00F6466D"/>
    <w:rsid w:val="00F64683"/>
    <w:rsid w:val="00F646BA"/>
    <w:rsid w:val="00F646EE"/>
    <w:rsid w:val="00F64733"/>
    <w:rsid w:val="00F647D8"/>
    <w:rsid w:val="00F64807"/>
    <w:rsid w:val="00F64823"/>
    <w:rsid w:val="00F64888"/>
    <w:rsid w:val="00F648C2"/>
    <w:rsid w:val="00F648E5"/>
    <w:rsid w:val="00F64904"/>
    <w:rsid w:val="00F6497D"/>
    <w:rsid w:val="00F649DD"/>
    <w:rsid w:val="00F649F3"/>
    <w:rsid w:val="00F64A45"/>
    <w:rsid w:val="00F64A4C"/>
    <w:rsid w:val="00F64A5B"/>
    <w:rsid w:val="00F64A74"/>
    <w:rsid w:val="00F64A7F"/>
    <w:rsid w:val="00F64A80"/>
    <w:rsid w:val="00F64AA9"/>
    <w:rsid w:val="00F64ACA"/>
    <w:rsid w:val="00F64AE6"/>
    <w:rsid w:val="00F64AF6"/>
    <w:rsid w:val="00F64B42"/>
    <w:rsid w:val="00F64B57"/>
    <w:rsid w:val="00F64B6B"/>
    <w:rsid w:val="00F64C0C"/>
    <w:rsid w:val="00F64C96"/>
    <w:rsid w:val="00F64CC6"/>
    <w:rsid w:val="00F64CD4"/>
    <w:rsid w:val="00F64D25"/>
    <w:rsid w:val="00F64D2A"/>
    <w:rsid w:val="00F64DA6"/>
    <w:rsid w:val="00F64E1C"/>
    <w:rsid w:val="00F64E41"/>
    <w:rsid w:val="00F64E5A"/>
    <w:rsid w:val="00F64E9C"/>
    <w:rsid w:val="00F64EA6"/>
    <w:rsid w:val="00F64EF0"/>
    <w:rsid w:val="00F64F13"/>
    <w:rsid w:val="00F64FEF"/>
    <w:rsid w:val="00F64FF3"/>
    <w:rsid w:val="00F6504F"/>
    <w:rsid w:val="00F65070"/>
    <w:rsid w:val="00F65094"/>
    <w:rsid w:val="00F65103"/>
    <w:rsid w:val="00F651BE"/>
    <w:rsid w:val="00F651EC"/>
    <w:rsid w:val="00F6521A"/>
    <w:rsid w:val="00F6521F"/>
    <w:rsid w:val="00F65279"/>
    <w:rsid w:val="00F652F6"/>
    <w:rsid w:val="00F65320"/>
    <w:rsid w:val="00F6535D"/>
    <w:rsid w:val="00F653EF"/>
    <w:rsid w:val="00F654F4"/>
    <w:rsid w:val="00F65528"/>
    <w:rsid w:val="00F65545"/>
    <w:rsid w:val="00F65586"/>
    <w:rsid w:val="00F655D0"/>
    <w:rsid w:val="00F655FD"/>
    <w:rsid w:val="00F656E0"/>
    <w:rsid w:val="00F656E6"/>
    <w:rsid w:val="00F65738"/>
    <w:rsid w:val="00F657AD"/>
    <w:rsid w:val="00F65846"/>
    <w:rsid w:val="00F65859"/>
    <w:rsid w:val="00F6589B"/>
    <w:rsid w:val="00F658AC"/>
    <w:rsid w:val="00F65914"/>
    <w:rsid w:val="00F65917"/>
    <w:rsid w:val="00F6593F"/>
    <w:rsid w:val="00F65A80"/>
    <w:rsid w:val="00F65AC3"/>
    <w:rsid w:val="00F65AF5"/>
    <w:rsid w:val="00F65AFC"/>
    <w:rsid w:val="00F65B2D"/>
    <w:rsid w:val="00F65BE4"/>
    <w:rsid w:val="00F65C0B"/>
    <w:rsid w:val="00F65C11"/>
    <w:rsid w:val="00F65C3A"/>
    <w:rsid w:val="00F65C42"/>
    <w:rsid w:val="00F65CC7"/>
    <w:rsid w:val="00F65D09"/>
    <w:rsid w:val="00F65D1A"/>
    <w:rsid w:val="00F65D22"/>
    <w:rsid w:val="00F65D7C"/>
    <w:rsid w:val="00F65D8A"/>
    <w:rsid w:val="00F65E10"/>
    <w:rsid w:val="00F65E2B"/>
    <w:rsid w:val="00F65E32"/>
    <w:rsid w:val="00F65E79"/>
    <w:rsid w:val="00F65ECA"/>
    <w:rsid w:val="00F65F06"/>
    <w:rsid w:val="00F65F5D"/>
    <w:rsid w:val="00F66042"/>
    <w:rsid w:val="00F6608B"/>
    <w:rsid w:val="00F660BF"/>
    <w:rsid w:val="00F660CF"/>
    <w:rsid w:val="00F660DD"/>
    <w:rsid w:val="00F66112"/>
    <w:rsid w:val="00F66144"/>
    <w:rsid w:val="00F66180"/>
    <w:rsid w:val="00F661B9"/>
    <w:rsid w:val="00F661FC"/>
    <w:rsid w:val="00F66203"/>
    <w:rsid w:val="00F66205"/>
    <w:rsid w:val="00F66251"/>
    <w:rsid w:val="00F6629C"/>
    <w:rsid w:val="00F662B3"/>
    <w:rsid w:val="00F662B7"/>
    <w:rsid w:val="00F662F2"/>
    <w:rsid w:val="00F66318"/>
    <w:rsid w:val="00F6632E"/>
    <w:rsid w:val="00F66333"/>
    <w:rsid w:val="00F6633D"/>
    <w:rsid w:val="00F6634B"/>
    <w:rsid w:val="00F6639B"/>
    <w:rsid w:val="00F663D5"/>
    <w:rsid w:val="00F663E9"/>
    <w:rsid w:val="00F663EE"/>
    <w:rsid w:val="00F66459"/>
    <w:rsid w:val="00F6645E"/>
    <w:rsid w:val="00F66482"/>
    <w:rsid w:val="00F664A1"/>
    <w:rsid w:val="00F66527"/>
    <w:rsid w:val="00F66575"/>
    <w:rsid w:val="00F665DB"/>
    <w:rsid w:val="00F6661A"/>
    <w:rsid w:val="00F66682"/>
    <w:rsid w:val="00F66686"/>
    <w:rsid w:val="00F666BE"/>
    <w:rsid w:val="00F6671B"/>
    <w:rsid w:val="00F667AA"/>
    <w:rsid w:val="00F667B5"/>
    <w:rsid w:val="00F66837"/>
    <w:rsid w:val="00F66841"/>
    <w:rsid w:val="00F66853"/>
    <w:rsid w:val="00F66855"/>
    <w:rsid w:val="00F66947"/>
    <w:rsid w:val="00F6695D"/>
    <w:rsid w:val="00F6698F"/>
    <w:rsid w:val="00F66A13"/>
    <w:rsid w:val="00F66A30"/>
    <w:rsid w:val="00F66A7B"/>
    <w:rsid w:val="00F66BE2"/>
    <w:rsid w:val="00F66CCF"/>
    <w:rsid w:val="00F66D30"/>
    <w:rsid w:val="00F66D8E"/>
    <w:rsid w:val="00F66DDF"/>
    <w:rsid w:val="00F66E04"/>
    <w:rsid w:val="00F66E0A"/>
    <w:rsid w:val="00F66E0C"/>
    <w:rsid w:val="00F66E1D"/>
    <w:rsid w:val="00F66F13"/>
    <w:rsid w:val="00F66F20"/>
    <w:rsid w:val="00F66F42"/>
    <w:rsid w:val="00F66F88"/>
    <w:rsid w:val="00F67000"/>
    <w:rsid w:val="00F67039"/>
    <w:rsid w:val="00F67058"/>
    <w:rsid w:val="00F670DA"/>
    <w:rsid w:val="00F670E9"/>
    <w:rsid w:val="00F670F0"/>
    <w:rsid w:val="00F67135"/>
    <w:rsid w:val="00F67215"/>
    <w:rsid w:val="00F6722B"/>
    <w:rsid w:val="00F67253"/>
    <w:rsid w:val="00F67273"/>
    <w:rsid w:val="00F67356"/>
    <w:rsid w:val="00F6735A"/>
    <w:rsid w:val="00F67373"/>
    <w:rsid w:val="00F6738A"/>
    <w:rsid w:val="00F673A7"/>
    <w:rsid w:val="00F673C8"/>
    <w:rsid w:val="00F673F6"/>
    <w:rsid w:val="00F67414"/>
    <w:rsid w:val="00F67418"/>
    <w:rsid w:val="00F674A5"/>
    <w:rsid w:val="00F674F5"/>
    <w:rsid w:val="00F67516"/>
    <w:rsid w:val="00F67552"/>
    <w:rsid w:val="00F67564"/>
    <w:rsid w:val="00F6756B"/>
    <w:rsid w:val="00F675E5"/>
    <w:rsid w:val="00F675EB"/>
    <w:rsid w:val="00F6761B"/>
    <w:rsid w:val="00F6769D"/>
    <w:rsid w:val="00F676A8"/>
    <w:rsid w:val="00F676D9"/>
    <w:rsid w:val="00F676F1"/>
    <w:rsid w:val="00F6770E"/>
    <w:rsid w:val="00F677C3"/>
    <w:rsid w:val="00F677D9"/>
    <w:rsid w:val="00F677E3"/>
    <w:rsid w:val="00F67803"/>
    <w:rsid w:val="00F67823"/>
    <w:rsid w:val="00F6783A"/>
    <w:rsid w:val="00F6786F"/>
    <w:rsid w:val="00F678DB"/>
    <w:rsid w:val="00F678E5"/>
    <w:rsid w:val="00F678FB"/>
    <w:rsid w:val="00F67904"/>
    <w:rsid w:val="00F679F5"/>
    <w:rsid w:val="00F679F7"/>
    <w:rsid w:val="00F67A5E"/>
    <w:rsid w:val="00F67ABA"/>
    <w:rsid w:val="00F67ABD"/>
    <w:rsid w:val="00F67AC1"/>
    <w:rsid w:val="00F67B9C"/>
    <w:rsid w:val="00F67BC7"/>
    <w:rsid w:val="00F67BEE"/>
    <w:rsid w:val="00F67C30"/>
    <w:rsid w:val="00F67CA9"/>
    <w:rsid w:val="00F67CCF"/>
    <w:rsid w:val="00F67CF1"/>
    <w:rsid w:val="00F67CFF"/>
    <w:rsid w:val="00F67D0B"/>
    <w:rsid w:val="00F67D0D"/>
    <w:rsid w:val="00F67D13"/>
    <w:rsid w:val="00F67D16"/>
    <w:rsid w:val="00F67DD2"/>
    <w:rsid w:val="00F67DE4"/>
    <w:rsid w:val="00F67DF9"/>
    <w:rsid w:val="00F67EA9"/>
    <w:rsid w:val="00F67EB6"/>
    <w:rsid w:val="00F67ED2"/>
    <w:rsid w:val="00F67EE2"/>
    <w:rsid w:val="00F67F69"/>
    <w:rsid w:val="00F67F93"/>
    <w:rsid w:val="00F67FAC"/>
    <w:rsid w:val="00F67FE6"/>
    <w:rsid w:val="00F67FEA"/>
    <w:rsid w:val="00F70017"/>
    <w:rsid w:val="00F700B2"/>
    <w:rsid w:val="00F700BC"/>
    <w:rsid w:val="00F700CC"/>
    <w:rsid w:val="00F70107"/>
    <w:rsid w:val="00F70165"/>
    <w:rsid w:val="00F701A4"/>
    <w:rsid w:val="00F701B1"/>
    <w:rsid w:val="00F701C0"/>
    <w:rsid w:val="00F7021A"/>
    <w:rsid w:val="00F7025A"/>
    <w:rsid w:val="00F70282"/>
    <w:rsid w:val="00F7028B"/>
    <w:rsid w:val="00F70430"/>
    <w:rsid w:val="00F70446"/>
    <w:rsid w:val="00F7046E"/>
    <w:rsid w:val="00F704C1"/>
    <w:rsid w:val="00F704EA"/>
    <w:rsid w:val="00F704FB"/>
    <w:rsid w:val="00F70508"/>
    <w:rsid w:val="00F7055F"/>
    <w:rsid w:val="00F705C0"/>
    <w:rsid w:val="00F70671"/>
    <w:rsid w:val="00F706C3"/>
    <w:rsid w:val="00F706CB"/>
    <w:rsid w:val="00F7079C"/>
    <w:rsid w:val="00F7088D"/>
    <w:rsid w:val="00F708B6"/>
    <w:rsid w:val="00F708D2"/>
    <w:rsid w:val="00F708EE"/>
    <w:rsid w:val="00F70904"/>
    <w:rsid w:val="00F70A32"/>
    <w:rsid w:val="00F70A6B"/>
    <w:rsid w:val="00F70A7D"/>
    <w:rsid w:val="00F70ABD"/>
    <w:rsid w:val="00F70ACE"/>
    <w:rsid w:val="00F70B5D"/>
    <w:rsid w:val="00F70BA0"/>
    <w:rsid w:val="00F70BBB"/>
    <w:rsid w:val="00F70C3F"/>
    <w:rsid w:val="00F70C4B"/>
    <w:rsid w:val="00F70CEC"/>
    <w:rsid w:val="00F70D16"/>
    <w:rsid w:val="00F70D17"/>
    <w:rsid w:val="00F70D39"/>
    <w:rsid w:val="00F70D8F"/>
    <w:rsid w:val="00F70DBD"/>
    <w:rsid w:val="00F70E75"/>
    <w:rsid w:val="00F70F6B"/>
    <w:rsid w:val="00F70F85"/>
    <w:rsid w:val="00F71020"/>
    <w:rsid w:val="00F7102F"/>
    <w:rsid w:val="00F71084"/>
    <w:rsid w:val="00F7108B"/>
    <w:rsid w:val="00F710DC"/>
    <w:rsid w:val="00F7112D"/>
    <w:rsid w:val="00F7116C"/>
    <w:rsid w:val="00F71186"/>
    <w:rsid w:val="00F7125C"/>
    <w:rsid w:val="00F7127C"/>
    <w:rsid w:val="00F71283"/>
    <w:rsid w:val="00F712AD"/>
    <w:rsid w:val="00F712BE"/>
    <w:rsid w:val="00F712D8"/>
    <w:rsid w:val="00F7132C"/>
    <w:rsid w:val="00F71334"/>
    <w:rsid w:val="00F71337"/>
    <w:rsid w:val="00F7133C"/>
    <w:rsid w:val="00F7137A"/>
    <w:rsid w:val="00F713CB"/>
    <w:rsid w:val="00F71410"/>
    <w:rsid w:val="00F7141E"/>
    <w:rsid w:val="00F714A3"/>
    <w:rsid w:val="00F714B3"/>
    <w:rsid w:val="00F714B6"/>
    <w:rsid w:val="00F714D0"/>
    <w:rsid w:val="00F7151C"/>
    <w:rsid w:val="00F71629"/>
    <w:rsid w:val="00F71633"/>
    <w:rsid w:val="00F71649"/>
    <w:rsid w:val="00F716CE"/>
    <w:rsid w:val="00F7170B"/>
    <w:rsid w:val="00F71723"/>
    <w:rsid w:val="00F7172D"/>
    <w:rsid w:val="00F71788"/>
    <w:rsid w:val="00F717EB"/>
    <w:rsid w:val="00F7185F"/>
    <w:rsid w:val="00F718BD"/>
    <w:rsid w:val="00F71902"/>
    <w:rsid w:val="00F71949"/>
    <w:rsid w:val="00F71967"/>
    <w:rsid w:val="00F7196E"/>
    <w:rsid w:val="00F719C3"/>
    <w:rsid w:val="00F71A08"/>
    <w:rsid w:val="00F71A87"/>
    <w:rsid w:val="00F71AA3"/>
    <w:rsid w:val="00F71AB0"/>
    <w:rsid w:val="00F71B41"/>
    <w:rsid w:val="00F71B62"/>
    <w:rsid w:val="00F71C0B"/>
    <w:rsid w:val="00F71C3B"/>
    <w:rsid w:val="00F71C7B"/>
    <w:rsid w:val="00F71D9C"/>
    <w:rsid w:val="00F71DC1"/>
    <w:rsid w:val="00F71DF8"/>
    <w:rsid w:val="00F71E17"/>
    <w:rsid w:val="00F71E1B"/>
    <w:rsid w:val="00F71E37"/>
    <w:rsid w:val="00F71E8F"/>
    <w:rsid w:val="00F71E9D"/>
    <w:rsid w:val="00F71EB5"/>
    <w:rsid w:val="00F71EBF"/>
    <w:rsid w:val="00F71EED"/>
    <w:rsid w:val="00F71F8C"/>
    <w:rsid w:val="00F71FD7"/>
    <w:rsid w:val="00F71FEE"/>
    <w:rsid w:val="00F7204D"/>
    <w:rsid w:val="00F72055"/>
    <w:rsid w:val="00F7210D"/>
    <w:rsid w:val="00F7210F"/>
    <w:rsid w:val="00F7218E"/>
    <w:rsid w:val="00F7219D"/>
    <w:rsid w:val="00F721B3"/>
    <w:rsid w:val="00F721BD"/>
    <w:rsid w:val="00F721C7"/>
    <w:rsid w:val="00F721FA"/>
    <w:rsid w:val="00F7220B"/>
    <w:rsid w:val="00F7220C"/>
    <w:rsid w:val="00F72288"/>
    <w:rsid w:val="00F722D1"/>
    <w:rsid w:val="00F722D9"/>
    <w:rsid w:val="00F722E4"/>
    <w:rsid w:val="00F7232A"/>
    <w:rsid w:val="00F72346"/>
    <w:rsid w:val="00F723EC"/>
    <w:rsid w:val="00F723EF"/>
    <w:rsid w:val="00F72402"/>
    <w:rsid w:val="00F724B1"/>
    <w:rsid w:val="00F7250D"/>
    <w:rsid w:val="00F725B9"/>
    <w:rsid w:val="00F725C2"/>
    <w:rsid w:val="00F725C4"/>
    <w:rsid w:val="00F725C7"/>
    <w:rsid w:val="00F7260C"/>
    <w:rsid w:val="00F7262D"/>
    <w:rsid w:val="00F72653"/>
    <w:rsid w:val="00F72679"/>
    <w:rsid w:val="00F726BA"/>
    <w:rsid w:val="00F7274A"/>
    <w:rsid w:val="00F7274F"/>
    <w:rsid w:val="00F72776"/>
    <w:rsid w:val="00F727BB"/>
    <w:rsid w:val="00F7286B"/>
    <w:rsid w:val="00F728AB"/>
    <w:rsid w:val="00F72918"/>
    <w:rsid w:val="00F72AC5"/>
    <w:rsid w:val="00F72B06"/>
    <w:rsid w:val="00F72B15"/>
    <w:rsid w:val="00F72BBF"/>
    <w:rsid w:val="00F72BDC"/>
    <w:rsid w:val="00F72C35"/>
    <w:rsid w:val="00F72C60"/>
    <w:rsid w:val="00F72CAE"/>
    <w:rsid w:val="00F72CD2"/>
    <w:rsid w:val="00F72D18"/>
    <w:rsid w:val="00F72DBC"/>
    <w:rsid w:val="00F72E0A"/>
    <w:rsid w:val="00F72EBD"/>
    <w:rsid w:val="00F72EE6"/>
    <w:rsid w:val="00F72F2B"/>
    <w:rsid w:val="00F72F66"/>
    <w:rsid w:val="00F73011"/>
    <w:rsid w:val="00F7305E"/>
    <w:rsid w:val="00F730E2"/>
    <w:rsid w:val="00F730F0"/>
    <w:rsid w:val="00F730FE"/>
    <w:rsid w:val="00F7312B"/>
    <w:rsid w:val="00F73134"/>
    <w:rsid w:val="00F731AF"/>
    <w:rsid w:val="00F731B3"/>
    <w:rsid w:val="00F731B7"/>
    <w:rsid w:val="00F731C5"/>
    <w:rsid w:val="00F73214"/>
    <w:rsid w:val="00F7322F"/>
    <w:rsid w:val="00F73308"/>
    <w:rsid w:val="00F73328"/>
    <w:rsid w:val="00F73342"/>
    <w:rsid w:val="00F7336A"/>
    <w:rsid w:val="00F73375"/>
    <w:rsid w:val="00F73454"/>
    <w:rsid w:val="00F7348F"/>
    <w:rsid w:val="00F734B3"/>
    <w:rsid w:val="00F734DC"/>
    <w:rsid w:val="00F7350C"/>
    <w:rsid w:val="00F7352A"/>
    <w:rsid w:val="00F735AA"/>
    <w:rsid w:val="00F735D1"/>
    <w:rsid w:val="00F735DC"/>
    <w:rsid w:val="00F73618"/>
    <w:rsid w:val="00F7361B"/>
    <w:rsid w:val="00F7363F"/>
    <w:rsid w:val="00F73646"/>
    <w:rsid w:val="00F73679"/>
    <w:rsid w:val="00F73685"/>
    <w:rsid w:val="00F736AB"/>
    <w:rsid w:val="00F736B3"/>
    <w:rsid w:val="00F736C0"/>
    <w:rsid w:val="00F73716"/>
    <w:rsid w:val="00F7372C"/>
    <w:rsid w:val="00F73756"/>
    <w:rsid w:val="00F7386C"/>
    <w:rsid w:val="00F738EB"/>
    <w:rsid w:val="00F73968"/>
    <w:rsid w:val="00F73996"/>
    <w:rsid w:val="00F739A7"/>
    <w:rsid w:val="00F739BA"/>
    <w:rsid w:val="00F739FD"/>
    <w:rsid w:val="00F73A12"/>
    <w:rsid w:val="00F73A5C"/>
    <w:rsid w:val="00F73A67"/>
    <w:rsid w:val="00F73A8E"/>
    <w:rsid w:val="00F73AAE"/>
    <w:rsid w:val="00F73AC3"/>
    <w:rsid w:val="00F73AE2"/>
    <w:rsid w:val="00F73B02"/>
    <w:rsid w:val="00F73B6C"/>
    <w:rsid w:val="00F73B91"/>
    <w:rsid w:val="00F73B97"/>
    <w:rsid w:val="00F73BA3"/>
    <w:rsid w:val="00F73BFA"/>
    <w:rsid w:val="00F73C69"/>
    <w:rsid w:val="00F73C9D"/>
    <w:rsid w:val="00F73CE4"/>
    <w:rsid w:val="00F73D2A"/>
    <w:rsid w:val="00F73DB1"/>
    <w:rsid w:val="00F73DC6"/>
    <w:rsid w:val="00F73E03"/>
    <w:rsid w:val="00F73E06"/>
    <w:rsid w:val="00F73E42"/>
    <w:rsid w:val="00F73E7F"/>
    <w:rsid w:val="00F73ED0"/>
    <w:rsid w:val="00F73F0E"/>
    <w:rsid w:val="00F73F28"/>
    <w:rsid w:val="00F73F37"/>
    <w:rsid w:val="00F73FED"/>
    <w:rsid w:val="00F7401C"/>
    <w:rsid w:val="00F74060"/>
    <w:rsid w:val="00F740A4"/>
    <w:rsid w:val="00F740E3"/>
    <w:rsid w:val="00F7417D"/>
    <w:rsid w:val="00F741D8"/>
    <w:rsid w:val="00F74200"/>
    <w:rsid w:val="00F7423B"/>
    <w:rsid w:val="00F742A9"/>
    <w:rsid w:val="00F742FB"/>
    <w:rsid w:val="00F74315"/>
    <w:rsid w:val="00F743D9"/>
    <w:rsid w:val="00F74434"/>
    <w:rsid w:val="00F74453"/>
    <w:rsid w:val="00F744AB"/>
    <w:rsid w:val="00F744C3"/>
    <w:rsid w:val="00F74551"/>
    <w:rsid w:val="00F74556"/>
    <w:rsid w:val="00F745BB"/>
    <w:rsid w:val="00F74645"/>
    <w:rsid w:val="00F7469A"/>
    <w:rsid w:val="00F74741"/>
    <w:rsid w:val="00F74781"/>
    <w:rsid w:val="00F748F3"/>
    <w:rsid w:val="00F7492A"/>
    <w:rsid w:val="00F74954"/>
    <w:rsid w:val="00F7496D"/>
    <w:rsid w:val="00F74976"/>
    <w:rsid w:val="00F74980"/>
    <w:rsid w:val="00F749C5"/>
    <w:rsid w:val="00F749C6"/>
    <w:rsid w:val="00F749FA"/>
    <w:rsid w:val="00F74A0A"/>
    <w:rsid w:val="00F74A0F"/>
    <w:rsid w:val="00F74A27"/>
    <w:rsid w:val="00F74A91"/>
    <w:rsid w:val="00F74A9E"/>
    <w:rsid w:val="00F74AA1"/>
    <w:rsid w:val="00F74AAA"/>
    <w:rsid w:val="00F74AEA"/>
    <w:rsid w:val="00F74B98"/>
    <w:rsid w:val="00F74BFC"/>
    <w:rsid w:val="00F74C27"/>
    <w:rsid w:val="00F74D05"/>
    <w:rsid w:val="00F74D0F"/>
    <w:rsid w:val="00F74D4F"/>
    <w:rsid w:val="00F74D57"/>
    <w:rsid w:val="00F74D69"/>
    <w:rsid w:val="00F74D78"/>
    <w:rsid w:val="00F74E2E"/>
    <w:rsid w:val="00F74E3A"/>
    <w:rsid w:val="00F74E9D"/>
    <w:rsid w:val="00F74EC0"/>
    <w:rsid w:val="00F74EC9"/>
    <w:rsid w:val="00F74EEB"/>
    <w:rsid w:val="00F74EF3"/>
    <w:rsid w:val="00F74F10"/>
    <w:rsid w:val="00F74FB3"/>
    <w:rsid w:val="00F74FD5"/>
    <w:rsid w:val="00F75018"/>
    <w:rsid w:val="00F75031"/>
    <w:rsid w:val="00F7507D"/>
    <w:rsid w:val="00F7511D"/>
    <w:rsid w:val="00F75120"/>
    <w:rsid w:val="00F75144"/>
    <w:rsid w:val="00F751BD"/>
    <w:rsid w:val="00F751DE"/>
    <w:rsid w:val="00F7524F"/>
    <w:rsid w:val="00F75251"/>
    <w:rsid w:val="00F75253"/>
    <w:rsid w:val="00F752C2"/>
    <w:rsid w:val="00F752D6"/>
    <w:rsid w:val="00F752D7"/>
    <w:rsid w:val="00F7535F"/>
    <w:rsid w:val="00F75367"/>
    <w:rsid w:val="00F7544A"/>
    <w:rsid w:val="00F7549B"/>
    <w:rsid w:val="00F754B6"/>
    <w:rsid w:val="00F754D2"/>
    <w:rsid w:val="00F75543"/>
    <w:rsid w:val="00F7558E"/>
    <w:rsid w:val="00F7559E"/>
    <w:rsid w:val="00F755B5"/>
    <w:rsid w:val="00F755C1"/>
    <w:rsid w:val="00F755E9"/>
    <w:rsid w:val="00F755F0"/>
    <w:rsid w:val="00F7562E"/>
    <w:rsid w:val="00F75630"/>
    <w:rsid w:val="00F756BD"/>
    <w:rsid w:val="00F756DD"/>
    <w:rsid w:val="00F756FD"/>
    <w:rsid w:val="00F7572E"/>
    <w:rsid w:val="00F7574A"/>
    <w:rsid w:val="00F757C8"/>
    <w:rsid w:val="00F75846"/>
    <w:rsid w:val="00F7587F"/>
    <w:rsid w:val="00F758BA"/>
    <w:rsid w:val="00F758CC"/>
    <w:rsid w:val="00F758E7"/>
    <w:rsid w:val="00F75929"/>
    <w:rsid w:val="00F75999"/>
    <w:rsid w:val="00F759FB"/>
    <w:rsid w:val="00F75A33"/>
    <w:rsid w:val="00F75A55"/>
    <w:rsid w:val="00F75A7F"/>
    <w:rsid w:val="00F75AB1"/>
    <w:rsid w:val="00F75AC3"/>
    <w:rsid w:val="00F75AD3"/>
    <w:rsid w:val="00F75BBE"/>
    <w:rsid w:val="00F75BDB"/>
    <w:rsid w:val="00F75C5E"/>
    <w:rsid w:val="00F75CE9"/>
    <w:rsid w:val="00F75D00"/>
    <w:rsid w:val="00F75D11"/>
    <w:rsid w:val="00F75D49"/>
    <w:rsid w:val="00F75D6A"/>
    <w:rsid w:val="00F75E3C"/>
    <w:rsid w:val="00F75E5A"/>
    <w:rsid w:val="00F75E79"/>
    <w:rsid w:val="00F75F1D"/>
    <w:rsid w:val="00F75F2F"/>
    <w:rsid w:val="00F75FCF"/>
    <w:rsid w:val="00F7600C"/>
    <w:rsid w:val="00F76072"/>
    <w:rsid w:val="00F76087"/>
    <w:rsid w:val="00F7608C"/>
    <w:rsid w:val="00F760BB"/>
    <w:rsid w:val="00F760C4"/>
    <w:rsid w:val="00F760E0"/>
    <w:rsid w:val="00F76145"/>
    <w:rsid w:val="00F7614D"/>
    <w:rsid w:val="00F76209"/>
    <w:rsid w:val="00F762A5"/>
    <w:rsid w:val="00F7636C"/>
    <w:rsid w:val="00F7640A"/>
    <w:rsid w:val="00F7641E"/>
    <w:rsid w:val="00F76436"/>
    <w:rsid w:val="00F7648F"/>
    <w:rsid w:val="00F764FD"/>
    <w:rsid w:val="00F764FF"/>
    <w:rsid w:val="00F76570"/>
    <w:rsid w:val="00F7658E"/>
    <w:rsid w:val="00F76591"/>
    <w:rsid w:val="00F765A0"/>
    <w:rsid w:val="00F765D7"/>
    <w:rsid w:val="00F765DF"/>
    <w:rsid w:val="00F765F6"/>
    <w:rsid w:val="00F766D8"/>
    <w:rsid w:val="00F766F6"/>
    <w:rsid w:val="00F76784"/>
    <w:rsid w:val="00F7678F"/>
    <w:rsid w:val="00F767BB"/>
    <w:rsid w:val="00F767C5"/>
    <w:rsid w:val="00F76826"/>
    <w:rsid w:val="00F768B2"/>
    <w:rsid w:val="00F768C7"/>
    <w:rsid w:val="00F76904"/>
    <w:rsid w:val="00F76929"/>
    <w:rsid w:val="00F76953"/>
    <w:rsid w:val="00F769A3"/>
    <w:rsid w:val="00F76AD9"/>
    <w:rsid w:val="00F76AE4"/>
    <w:rsid w:val="00F76B9D"/>
    <w:rsid w:val="00F76B9E"/>
    <w:rsid w:val="00F76BAA"/>
    <w:rsid w:val="00F76BC9"/>
    <w:rsid w:val="00F76C1D"/>
    <w:rsid w:val="00F76C78"/>
    <w:rsid w:val="00F76DCD"/>
    <w:rsid w:val="00F76E02"/>
    <w:rsid w:val="00F76E4B"/>
    <w:rsid w:val="00F76E82"/>
    <w:rsid w:val="00F76E9F"/>
    <w:rsid w:val="00F76EA2"/>
    <w:rsid w:val="00F76EB4"/>
    <w:rsid w:val="00F76F1B"/>
    <w:rsid w:val="00F76F80"/>
    <w:rsid w:val="00F77054"/>
    <w:rsid w:val="00F7706E"/>
    <w:rsid w:val="00F7707D"/>
    <w:rsid w:val="00F7709A"/>
    <w:rsid w:val="00F770B1"/>
    <w:rsid w:val="00F770CE"/>
    <w:rsid w:val="00F770DF"/>
    <w:rsid w:val="00F77134"/>
    <w:rsid w:val="00F77136"/>
    <w:rsid w:val="00F77186"/>
    <w:rsid w:val="00F7718D"/>
    <w:rsid w:val="00F771BE"/>
    <w:rsid w:val="00F771DC"/>
    <w:rsid w:val="00F7725A"/>
    <w:rsid w:val="00F77298"/>
    <w:rsid w:val="00F772A1"/>
    <w:rsid w:val="00F772C9"/>
    <w:rsid w:val="00F772DB"/>
    <w:rsid w:val="00F77325"/>
    <w:rsid w:val="00F77393"/>
    <w:rsid w:val="00F7745C"/>
    <w:rsid w:val="00F7747D"/>
    <w:rsid w:val="00F77497"/>
    <w:rsid w:val="00F774B9"/>
    <w:rsid w:val="00F77567"/>
    <w:rsid w:val="00F775B9"/>
    <w:rsid w:val="00F776C7"/>
    <w:rsid w:val="00F776E2"/>
    <w:rsid w:val="00F776E4"/>
    <w:rsid w:val="00F77746"/>
    <w:rsid w:val="00F77788"/>
    <w:rsid w:val="00F777AF"/>
    <w:rsid w:val="00F777DB"/>
    <w:rsid w:val="00F77862"/>
    <w:rsid w:val="00F7788E"/>
    <w:rsid w:val="00F778DD"/>
    <w:rsid w:val="00F77948"/>
    <w:rsid w:val="00F77955"/>
    <w:rsid w:val="00F77958"/>
    <w:rsid w:val="00F77978"/>
    <w:rsid w:val="00F77986"/>
    <w:rsid w:val="00F7798A"/>
    <w:rsid w:val="00F779B3"/>
    <w:rsid w:val="00F779DF"/>
    <w:rsid w:val="00F779F4"/>
    <w:rsid w:val="00F77A44"/>
    <w:rsid w:val="00F77A50"/>
    <w:rsid w:val="00F77A62"/>
    <w:rsid w:val="00F77A6C"/>
    <w:rsid w:val="00F77A70"/>
    <w:rsid w:val="00F77AAE"/>
    <w:rsid w:val="00F77ACA"/>
    <w:rsid w:val="00F77AE3"/>
    <w:rsid w:val="00F77AE5"/>
    <w:rsid w:val="00F77B00"/>
    <w:rsid w:val="00F77B10"/>
    <w:rsid w:val="00F77BC2"/>
    <w:rsid w:val="00F77C71"/>
    <w:rsid w:val="00F77CC6"/>
    <w:rsid w:val="00F77D45"/>
    <w:rsid w:val="00F77D6E"/>
    <w:rsid w:val="00F77D89"/>
    <w:rsid w:val="00F77DDB"/>
    <w:rsid w:val="00F77E23"/>
    <w:rsid w:val="00F77E29"/>
    <w:rsid w:val="00F77E5F"/>
    <w:rsid w:val="00F77E6C"/>
    <w:rsid w:val="00F77E8C"/>
    <w:rsid w:val="00F77EAC"/>
    <w:rsid w:val="00F77EB7"/>
    <w:rsid w:val="00F77FAA"/>
    <w:rsid w:val="00F77FC3"/>
    <w:rsid w:val="00F8000C"/>
    <w:rsid w:val="00F80045"/>
    <w:rsid w:val="00F8005C"/>
    <w:rsid w:val="00F800B2"/>
    <w:rsid w:val="00F8014D"/>
    <w:rsid w:val="00F801DC"/>
    <w:rsid w:val="00F801EF"/>
    <w:rsid w:val="00F8025C"/>
    <w:rsid w:val="00F80271"/>
    <w:rsid w:val="00F802CB"/>
    <w:rsid w:val="00F802D1"/>
    <w:rsid w:val="00F802FC"/>
    <w:rsid w:val="00F80348"/>
    <w:rsid w:val="00F80362"/>
    <w:rsid w:val="00F80439"/>
    <w:rsid w:val="00F804DC"/>
    <w:rsid w:val="00F804E4"/>
    <w:rsid w:val="00F80524"/>
    <w:rsid w:val="00F80550"/>
    <w:rsid w:val="00F805D1"/>
    <w:rsid w:val="00F80614"/>
    <w:rsid w:val="00F8061F"/>
    <w:rsid w:val="00F80621"/>
    <w:rsid w:val="00F80652"/>
    <w:rsid w:val="00F8067A"/>
    <w:rsid w:val="00F8068D"/>
    <w:rsid w:val="00F806B6"/>
    <w:rsid w:val="00F8070B"/>
    <w:rsid w:val="00F8072F"/>
    <w:rsid w:val="00F80759"/>
    <w:rsid w:val="00F8077B"/>
    <w:rsid w:val="00F8083F"/>
    <w:rsid w:val="00F808A6"/>
    <w:rsid w:val="00F8091D"/>
    <w:rsid w:val="00F80931"/>
    <w:rsid w:val="00F8098B"/>
    <w:rsid w:val="00F80995"/>
    <w:rsid w:val="00F80A4B"/>
    <w:rsid w:val="00F80AA8"/>
    <w:rsid w:val="00F80ACC"/>
    <w:rsid w:val="00F80B38"/>
    <w:rsid w:val="00F80C05"/>
    <w:rsid w:val="00F80C0B"/>
    <w:rsid w:val="00F80C28"/>
    <w:rsid w:val="00F80CCC"/>
    <w:rsid w:val="00F80CD0"/>
    <w:rsid w:val="00F80CDA"/>
    <w:rsid w:val="00F80CEE"/>
    <w:rsid w:val="00F80D89"/>
    <w:rsid w:val="00F80DB8"/>
    <w:rsid w:val="00F80DC7"/>
    <w:rsid w:val="00F80E0C"/>
    <w:rsid w:val="00F80E3D"/>
    <w:rsid w:val="00F80E4E"/>
    <w:rsid w:val="00F80E6E"/>
    <w:rsid w:val="00F80E7F"/>
    <w:rsid w:val="00F80F90"/>
    <w:rsid w:val="00F80FB5"/>
    <w:rsid w:val="00F81011"/>
    <w:rsid w:val="00F81042"/>
    <w:rsid w:val="00F81056"/>
    <w:rsid w:val="00F8111A"/>
    <w:rsid w:val="00F81176"/>
    <w:rsid w:val="00F81186"/>
    <w:rsid w:val="00F8118B"/>
    <w:rsid w:val="00F8123E"/>
    <w:rsid w:val="00F81242"/>
    <w:rsid w:val="00F81273"/>
    <w:rsid w:val="00F812D6"/>
    <w:rsid w:val="00F8130F"/>
    <w:rsid w:val="00F81340"/>
    <w:rsid w:val="00F81342"/>
    <w:rsid w:val="00F81357"/>
    <w:rsid w:val="00F81375"/>
    <w:rsid w:val="00F813A5"/>
    <w:rsid w:val="00F813EA"/>
    <w:rsid w:val="00F8141A"/>
    <w:rsid w:val="00F8143D"/>
    <w:rsid w:val="00F814C4"/>
    <w:rsid w:val="00F81527"/>
    <w:rsid w:val="00F81571"/>
    <w:rsid w:val="00F815AE"/>
    <w:rsid w:val="00F815F1"/>
    <w:rsid w:val="00F8163E"/>
    <w:rsid w:val="00F8164A"/>
    <w:rsid w:val="00F8168F"/>
    <w:rsid w:val="00F816BB"/>
    <w:rsid w:val="00F816C9"/>
    <w:rsid w:val="00F81726"/>
    <w:rsid w:val="00F8172B"/>
    <w:rsid w:val="00F81757"/>
    <w:rsid w:val="00F81783"/>
    <w:rsid w:val="00F817B9"/>
    <w:rsid w:val="00F81828"/>
    <w:rsid w:val="00F81854"/>
    <w:rsid w:val="00F81893"/>
    <w:rsid w:val="00F818B1"/>
    <w:rsid w:val="00F818F8"/>
    <w:rsid w:val="00F81937"/>
    <w:rsid w:val="00F8197D"/>
    <w:rsid w:val="00F819B1"/>
    <w:rsid w:val="00F819FC"/>
    <w:rsid w:val="00F81A5D"/>
    <w:rsid w:val="00F81A8F"/>
    <w:rsid w:val="00F81AA9"/>
    <w:rsid w:val="00F81AAA"/>
    <w:rsid w:val="00F81AF0"/>
    <w:rsid w:val="00F81B1B"/>
    <w:rsid w:val="00F81B49"/>
    <w:rsid w:val="00F81B71"/>
    <w:rsid w:val="00F81C11"/>
    <w:rsid w:val="00F81C39"/>
    <w:rsid w:val="00F81C42"/>
    <w:rsid w:val="00F81C66"/>
    <w:rsid w:val="00F81C7A"/>
    <w:rsid w:val="00F81C85"/>
    <w:rsid w:val="00F81CDE"/>
    <w:rsid w:val="00F81D34"/>
    <w:rsid w:val="00F81D7C"/>
    <w:rsid w:val="00F81DD4"/>
    <w:rsid w:val="00F81E2B"/>
    <w:rsid w:val="00F81E49"/>
    <w:rsid w:val="00F81E9F"/>
    <w:rsid w:val="00F81EA5"/>
    <w:rsid w:val="00F81EB6"/>
    <w:rsid w:val="00F81F1B"/>
    <w:rsid w:val="00F8200F"/>
    <w:rsid w:val="00F82056"/>
    <w:rsid w:val="00F820A8"/>
    <w:rsid w:val="00F82139"/>
    <w:rsid w:val="00F821C1"/>
    <w:rsid w:val="00F821C4"/>
    <w:rsid w:val="00F8223F"/>
    <w:rsid w:val="00F822C2"/>
    <w:rsid w:val="00F822CA"/>
    <w:rsid w:val="00F822CF"/>
    <w:rsid w:val="00F8240D"/>
    <w:rsid w:val="00F82437"/>
    <w:rsid w:val="00F82485"/>
    <w:rsid w:val="00F8248B"/>
    <w:rsid w:val="00F8248C"/>
    <w:rsid w:val="00F824FE"/>
    <w:rsid w:val="00F8250F"/>
    <w:rsid w:val="00F8255B"/>
    <w:rsid w:val="00F8257D"/>
    <w:rsid w:val="00F825E8"/>
    <w:rsid w:val="00F825FC"/>
    <w:rsid w:val="00F82687"/>
    <w:rsid w:val="00F82690"/>
    <w:rsid w:val="00F826A1"/>
    <w:rsid w:val="00F826B1"/>
    <w:rsid w:val="00F826C8"/>
    <w:rsid w:val="00F82767"/>
    <w:rsid w:val="00F8278D"/>
    <w:rsid w:val="00F82796"/>
    <w:rsid w:val="00F827C0"/>
    <w:rsid w:val="00F827F9"/>
    <w:rsid w:val="00F827FC"/>
    <w:rsid w:val="00F8281C"/>
    <w:rsid w:val="00F828D9"/>
    <w:rsid w:val="00F8293C"/>
    <w:rsid w:val="00F8297E"/>
    <w:rsid w:val="00F82A54"/>
    <w:rsid w:val="00F82A69"/>
    <w:rsid w:val="00F82A9A"/>
    <w:rsid w:val="00F82AB2"/>
    <w:rsid w:val="00F82B0A"/>
    <w:rsid w:val="00F82B0F"/>
    <w:rsid w:val="00F82B18"/>
    <w:rsid w:val="00F82B24"/>
    <w:rsid w:val="00F82B44"/>
    <w:rsid w:val="00F82B4E"/>
    <w:rsid w:val="00F82BB3"/>
    <w:rsid w:val="00F82C02"/>
    <w:rsid w:val="00F82CB9"/>
    <w:rsid w:val="00F82CFF"/>
    <w:rsid w:val="00F82D5E"/>
    <w:rsid w:val="00F82E1C"/>
    <w:rsid w:val="00F82E1F"/>
    <w:rsid w:val="00F82E54"/>
    <w:rsid w:val="00F82E9A"/>
    <w:rsid w:val="00F82ED5"/>
    <w:rsid w:val="00F82F18"/>
    <w:rsid w:val="00F82F81"/>
    <w:rsid w:val="00F82F94"/>
    <w:rsid w:val="00F82FAB"/>
    <w:rsid w:val="00F82FC5"/>
    <w:rsid w:val="00F82FC6"/>
    <w:rsid w:val="00F8303C"/>
    <w:rsid w:val="00F830A6"/>
    <w:rsid w:val="00F83187"/>
    <w:rsid w:val="00F83189"/>
    <w:rsid w:val="00F8319E"/>
    <w:rsid w:val="00F831B4"/>
    <w:rsid w:val="00F831F5"/>
    <w:rsid w:val="00F831FA"/>
    <w:rsid w:val="00F83207"/>
    <w:rsid w:val="00F8321F"/>
    <w:rsid w:val="00F832D1"/>
    <w:rsid w:val="00F832DA"/>
    <w:rsid w:val="00F83367"/>
    <w:rsid w:val="00F83408"/>
    <w:rsid w:val="00F83422"/>
    <w:rsid w:val="00F83450"/>
    <w:rsid w:val="00F83452"/>
    <w:rsid w:val="00F83484"/>
    <w:rsid w:val="00F834A2"/>
    <w:rsid w:val="00F834BE"/>
    <w:rsid w:val="00F834ED"/>
    <w:rsid w:val="00F8351F"/>
    <w:rsid w:val="00F8356A"/>
    <w:rsid w:val="00F835CF"/>
    <w:rsid w:val="00F8363A"/>
    <w:rsid w:val="00F83692"/>
    <w:rsid w:val="00F836A5"/>
    <w:rsid w:val="00F836E7"/>
    <w:rsid w:val="00F83710"/>
    <w:rsid w:val="00F83744"/>
    <w:rsid w:val="00F83762"/>
    <w:rsid w:val="00F83791"/>
    <w:rsid w:val="00F837DB"/>
    <w:rsid w:val="00F837F7"/>
    <w:rsid w:val="00F837FF"/>
    <w:rsid w:val="00F83803"/>
    <w:rsid w:val="00F83845"/>
    <w:rsid w:val="00F8387C"/>
    <w:rsid w:val="00F83903"/>
    <w:rsid w:val="00F83941"/>
    <w:rsid w:val="00F839C2"/>
    <w:rsid w:val="00F839CB"/>
    <w:rsid w:val="00F83A3D"/>
    <w:rsid w:val="00F83A58"/>
    <w:rsid w:val="00F83A64"/>
    <w:rsid w:val="00F83A8F"/>
    <w:rsid w:val="00F83B14"/>
    <w:rsid w:val="00F83B47"/>
    <w:rsid w:val="00F83B7E"/>
    <w:rsid w:val="00F83BB5"/>
    <w:rsid w:val="00F83BC1"/>
    <w:rsid w:val="00F83C02"/>
    <w:rsid w:val="00F83C7E"/>
    <w:rsid w:val="00F83CAD"/>
    <w:rsid w:val="00F83CE7"/>
    <w:rsid w:val="00F83DA2"/>
    <w:rsid w:val="00F83EC8"/>
    <w:rsid w:val="00F83EFE"/>
    <w:rsid w:val="00F83F1E"/>
    <w:rsid w:val="00F83F7C"/>
    <w:rsid w:val="00F83FC5"/>
    <w:rsid w:val="00F84011"/>
    <w:rsid w:val="00F84067"/>
    <w:rsid w:val="00F840B5"/>
    <w:rsid w:val="00F840CC"/>
    <w:rsid w:val="00F8411A"/>
    <w:rsid w:val="00F84132"/>
    <w:rsid w:val="00F8413A"/>
    <w:rsid w:val="00F84144"/>
    <w:rsid w:val="00F841A5"/>
    <w:rsid w:val="00F841AF"/>
    <w:rsid w:val="00F841B2"/>
    <w:rsid w:val="00F841B8"/>
    <w:rsid w:val="00F841C5"/>
    <w:rsid w:val="00F841DC"/>
    <w:rsid w:val="00F841E3"/>
    <w:rsid w:val="00F842BB"/>
    <w:rsid w:val="00F842C9"/>
    <w:rsid w:val="00F842E9"/>
    <w:rsid w:val="00F84358"/>
    <w:rsid w:val="00F844BF"/>
    <w:rsid w:val="00F8452F"/>
    <w:rsid w:val="00F8453C"/>
    <w:rsid w:val="00F845BC"/>
    <w:rsid w:val="00F845CE"/>
    <w:rsid w:val="00F845E8"/>
    <w:rsid w:val="00F84606"/>
    <w:rsid w:val="00F84659"/>
    <w:rsid w:val="00F84686"/>
    <w:rsid w:val="00F8474D"/>
    <w:rsid w:val="00F8474F"/>
    <w:rsid w:val="00F84750"/>
    <w:rsid w:val="00F84777"/>
    <w:rsid w:val="00F84818"/>
    <w:rsid w:val="00F84851"/>
    <w:rsid w:val="00F84855"/>
    <w:rsid w:val="00F84872"/>
    <w:rsid w:val="00F84883"/>
    <w:rsid w:val="00F8489F"/>
    <w:rsid w:val="00F8492A"/>
    <w:rsid w:val="00F84951"/>
    <w:rsid w:val="00F8496E"/>
    <w:rsid w:val="00F84976"/>
    <w:rsid w:val="00F8498A"/>
    <w:rsid w:val="00F84A7B"/>
    <w:rsid w:val="00F84AA7"/>
    <w:rsid w:val="00F84AED"/>
    <w:rsid w:val="00F84B3A"/>
    <w:rsid w:val="00F84B60"/>
    <w:rsid w:val="00F84B9D"/>
    <w:rsid w:val="00F84B9E"/>
    <w:rsid w:val="00F84BEC"/>
    <w:rsid w:val="00F84C14"/>
    <w:rsid w:val="00F84C4B"/>
    <w:rsid w:val="00F84C9A"/>
    <w:rsid w:val="00F84D48"/>
    <w:rsid w:val="00F84D7B"/>
    <w:rsid w:val="00F84D7C"/>
    <w:rsid w:val="00F84DCD"/>
    <w:rsid w:val="00F84EDB"/>
    <w:rsid w:val="00F84EEB"/>
    <w:rsid w:val="00F84F85"/>
    <w:rsid w:val="00F84FBB"/>
    <w:rsid w:val="00F84FF5"/>
    <w:rsid w:val="00F85028"/>
    <w:rsid w:val="00F85043"/>
    <w:rsid w:val="00F85061"/>
    <w:rsid w:val="00F85076"/>
    <w:rsid w:val="00F850C0"/>
    <w:rsid w:val="00F850DC"/>
    <w:rsid w:val="00F850FA"/>
    <w:rsid w:val="00F85166"/>
    <w:rsid w:val="00F85179"/>
    <w:rsid w:val="00F8517A"/>
    <w:rsid w:val="00F85194"/>
    <w:rsid w:val="00F8519A"/>
    <w:rsid w:val="00F851A7"/>
    <w:rsid w:val="00F851E8"/>
    <w:rsid w:val="00F851EE"/>
    <w:rsid w:val="00F851FC"/>
    <w:rsid w:val="00F8520B"/>
    <w:rsid w:val="00F8520D"/>
    <w:rsid w:val="00F85241"/>
    <w:rsid w:val="00F85271"/>
    <w:rsid w:val="00F852A1"/>
    <w:rsid w:val="00F852C0"/>
    <w:rsid w:val="00F852F6"/>
    <w:rsid w:val="00F8533F"/>
    <w:rsid w:val="00F85355"/>
    <w:rsid w:val="00F85391"/>
    <w:rsid w:val="00F85395"/>
    <w:rsid w:val="00F853A5"/>
    <w:rsid w:val="00F853AD"/>
    <w:rsid w:val="00F853F1"/>
    <w:rsid w:val="00F8546A"/>
    <w:rsid w:val="00F85478"/>
    <w:rsid w:val="00F854E7"/>
    <w:rsid w:val="00F8553D"/>
    <w:rsid w:val="00F85562"/>
    <w:rsid w:val="00F855F2"/>
    <w:rsid w:val="00F85650"/>
    <w:rsid w:val="00F8565C"/>
    <w:rsid w:val="00F856E2"/>
    <w:rsid w:val="00F857B5"/>
    <w:rsid w:val="00F85832"/>
    <w:rsid w:val="00F858AD"/>
    <w:rsid w:val="00F858FC"/>
    <w:rsid w:val="00F85924"/>
    <w:rsid w:val="00F85992"/>
    <w:rsid w:val="00F859A9"/>
    <w:rsid w:val="00F859BC"/>
    <w:rsid w:val="00F859DB"/>
    <w:rsid w:val="00F85A15"/>
    <w:rsid w:val="00F85A38"/>
    <w:rsid w:val="00F85A52"/>
    <w:rsid w:val="00F85B4A"/>
    <w:rsid w:val="00F85B4F"/>
    <w:rsid w:val="00F85B67"/>
    <w:rsid w:val="00F85B84"/>
    <w:rsid w:val="00F85B96"/>
    <w:rsid w:val="00F85BAC"/>
    <w:rsid w:val="00F85BB6"/>
    <w:rsid w:val="00F85BC4"/>
    <w:rsid w:val="00F85BD6"/>
    <w:rsid w:val="00F85C21"/>
    <w:rsid w:val="00F85C8E"/>
    <w:rsid w:val="00F85CCF"/>
    <w:rsid w:val="00F85D33"/>
    <w:rsid w:val="00F85D83"/>
    <w:rsid w:val="00F85D8F"/>
    <w:rsid w:val="00F85D96"/>
    <w:rsid w:val="00F85DD4"/>
    <w:rsid w:val="00F85E5D"/>
    <w:rsid w:val="00F85E9E"/>
    <w:rsid w:val="00F85EA7"/>
    <w:rsid w:val="00F85ECF"/>
    <w:rsid w:val="00F85F0F"/>
    <w:rsid w:val="00F85F22"/>
    <w:rsid w:val="00F85F33"/>
    <w:rsid w:val="00F85F47"/>
    <w:rsid w:val="00F85F4B"/>
    <w:rsid w:val="00F85F7F"/>
    <w:rsid w:val="00F85FD6"/>
    <w:rsid w:val="00F85FFC"/>
    <w:rsid w:val="00F86023"/>
    <w:rsid w:val="00F86025"/>
    <w:rsid w:val="00F8608F"/>
    <w:rsid w:val="00F860AE"/>
    <w:rsid w:val="00F860B9"/>
    <w:rsid w:val="00F860BF"/>
    <w:rsid w:val="00F860C1"/>
    <w:rsid w:val="00F8614B"/>
    <w:rsid w:val="00F861D4"/>
    <w:rsid w:val="00F86208"/>
    <w:rsid w:val="00F86220"/>
    <w:rsid w:val="00F8626D"/>
    <w:rsid w:val="00F862D7"/>
    <w:rsid w:val="00F863A0"/>
    <w:rsid w:val="00F863B0"/>
    <w:rsid w:val="00F863B1"/>
    <w:rsid w:val="00F863BB"/>
    <w:rsid w:val="00F863D0"/>
    <w:rsid w:val="00F863DD"/>
    <w:rsid w:val="00F863E7"/>
    <w:rsid w:val="00F86404"/>
    <w:rsid w:val="00F8641A"/>
    <w:rsid w:val="00F8643B"/>
    <w:rsid w:val="00F8643E"/>
    <w:rsid w:val="00F86459"/>
    <w:rsid w:val="00F8645B"/>
    <w:rsid w:val="00F86482"/>
    <w:rsid w:val="00F865D1"/>
    <w:rsid w:val="00F8663A"/>
    <w:rsid w:val="00F8668D"/>
    <w:rsid w:val="00F866A2"/>
    <w:rsid w:val="00F866B7"/>
    <w:rsid w:val="00F866E7"/>
    <w:rsid w:val="00F86761"/>
    <w:rsid w:val="00F8680F"/>
    <w:rsid w:val="00F86855"/>
    <w:rsid w:val="00F8688C"/>
    <w:rsid w:val="00F868C4"/>
    <w:rsid w:val="00F868C9"/>
    <w:rsid w:val="00F86999"/>
    <w:rsid w:val="00F869A9"/>
    <w:rsid w:val="00F869BC"/>
    <w:rsid w:val="00F869C7"/>
    <w:rsid w:val="00F86A12"/>
    <w:rsid w:val="00F86A81"/>
    <w:rsid w:val="00F86B1C"/>
    <w:rsid w:val="00F86B77"/>
    <w:rsid w:val="00F86BC2"/>
    <w:rsid w:val="00F86C16"/>
    <w:rsid w:val="00F86C23"/>
    <w:rsid w:val="00F86C36"/>
    <w:rsid w:val="00F86C61"/>
    <w:rsid w:val="00F86CEA"/>
    <w:rsid w:val="00F86D6A"/>
    <w:rsid w:val="00F86D9F"/>
    <w:rsid w:val="00F86E0C"/>
    <w:rsid w:val="00F86E46"/>
    <w:rsid w:val="00F86E85"/>
    <w:rsid w:val="00F86EDC"/>
    <w:rsid w:val="00F86EE5"/>
    <w:rsid w:val="00F86F0F"/>
    <w:rsid w:val="00F86F14"/>
    <w:rsid w:val="00F86F48"/>
    <w:rsid w:val="00F86F55"/>
    <w:rsid w:val="00F86FA2"/>
    <w:rsid w:val="00F86FA5"/>
    <w:rsid w:val="00F86FAC"/>
    <w:rsid w:val="00F87017"/>
    <w:rsid w:val="00F87039"/>
    <w:rsid w:val="00F87052"/>
    <w:rsid w:val="00F87059"/>
    <w:rsid w:val="00F870EE"/>
    <w:rsid w:val="00F87108"/>
    <w:rsid w:val="00F87115"/>
    <w:rsid w:val="00F87163"/>
    <w:rsid w:val="00F871BF"/>
    <w:rsid w:val="00F871F6"/>
    <w:rsid w:val="00F871FA"/>
    <w:rsid w:val="00F87215"/>
    <w:rsid w:val="00F8721A"/>
    <w:rsid w:val="00F8728E"/>
    <w:rsid w:val="00F872BD"/>
    <w:rsid w:val="00F873A3"/>
    <w:rsid w:val="00F873F6"/>
    <w:rsid w:val="00F8742F"/>
    <w:rsid w:val="00F87445"/>
    <w:rsid w:val="00F87449"/>
    <w:rsid w:val="00F87458"/>
    <w:rsid w:val="00F87463"/>
    <w:rsid w:val="00F87491"/>
    <w:rsid w:val="00F874BC"/>
    <w:rsid w:val="00F87568"/>
    <w:rsid w:val="00F87596"/>
    <w:rsid w:val="00F875E5"/>
    <w:rsid w:val="00F875E8"/>
    <w:rsid w:val="00F87645"/>
    <w:rsid w:val="00F87689"/>
    <w:rsid w:val="00F87694"/>
    <w:rsid w:val="00F876D2"/>
    <w:rsid w:val="00F876E3"/>
    <w:rsid w:val="00F876F9"/>
    <w:rsid w:val="00F8770C"/>
    <w:rsid w:val="00F87732"/>
    <w:rsid w:val="00F87867"/>
    <w:rsid w:val="00F878A5"/>
    <w:rsid w:val="00F878BC"/>
    <w:rsid w:val="00F87940"/>
    <w:rsid w:val="00F8794C"/>
    <w:rsid w:val="00F87959"/>
    <w:rsid w:val="00F87998"/>
    <w:rsid w:val="00F879B4"/>
    <w:rsid w:val="00F879BE"/>
    <w:rsid w:val="00F87A08"/>
    <w:rsid w:val="00F87A37"/>
    <w:rsid w:val="00F87AFA"/>
    <w:rsid w:val="00F87B29"/>
    <w:rsid w:val="00F87B41"/>
    <w:rsid w:val="00F87B42"/>
    <w:rsid w:val="00F87B65"/>
    <w:rsid w:val="00F87B8E"/>
    <w:rsid w:val="00F87BA2"/>
    <w:rsid w:val="00F87BD6"/>
    <w:rsid w:val="00F87C57"/>
    <w:rsid w:val="00F87D00"/>
    <w:rsid w:val="00F87D2B"/>
    <w:rsid w:val="00F87D2E"/>
    <w:rsid w:val="00F87E4F"/>
    <w:rsid w:val="00F87E77"/>
    <w:rsid w:val="00F87F63"/>
    <w:rsid w:val="00F87F6D"/>
    <w:rsid w:val="00F90051"/>
    <w:rsid w:val="00F9006B"/>
    <w:rsid w:val="00F90082"/>
    <w:rsid w:val="00F9009A"/>
    <w:rsid w:val="00F900BE"/>
    <w:rsid w:val="00F90167"/>
    <w:rsid w:val="00F9019A"/>
    <w:rsid w:val="00F90277"/>
    <w:rsid w:val="00F90287"/>
    <w:rsid w:val="00F90299"/>
    <w:rsid w:val="00F902C4"/>
    <w:rsid w:val="00F902FF"/>
    <w:rsid w:val="00F90384"/>
    <w:rsid w:val="00F9039A"/>
    <w:rsid w:val="00F903A9"/>
    <w:rsid w:val="00F9045C"/>
    <w:rsid w:val="00F904C4"/>
    <w:rsid w:val="00F904EF"/>
    <w:rsid w:val="00F90524"/>
    <w:rsid w:val="00F90569"/>
    <w:rsid w:val="00F905EA"/>
    <w:rsid w:val="00F9063C"/>
    <w:rsid w:val="00F90644"/>
    <w:rsid w:val="00F90692"/>
    <w:rsid w:val="00F90699"/>
    <w:rsid w:val="00F90717"/>
    <w:rsid w:val="00F907A4"/>
    <w:rsid w:val="00F907E3"/>
    <w:rsid w:val="00F90835"/>
    <w:rsid w:val="00F9085A"/>
    <w:rsid w:val="00F908C7"/>
    <w:rsid w:val="00F908DB"/>
    <w:rsid w:val="00F908EC"/>
    <w:rsid w:val="00F908EE"/>
    <w:rsid w:val="00F90984"/>
    <w:rsid w:val="00F909CC"/>
    <w:rsid w:val="00F909EC"/>
    <w:rsid w:val="00F90A7F"/>
    <w:rsid w:val="00F90AA8"/>
    <w:rsid w:val="00F90ABB"/>
    <w:rsid w:val="00F90ABE"/>
    <w:rsid w:val="00F90B6D"/>
    <w:rsid w:val="00F90B72"/>
    <w:rsid w:val="00F90B79"/>
    <w:rsid w:val="00F90B7D"/>
    <w:rsid w:val="00F90C95"/>
    <w:rsid w:val="00F90CA6"/>
    <w:rsid w:val="00F90CA8"/>
    <w:rsid w:val="00F90CBE"/>
    <w:rsid w:val="00F90CEC"/>
    <w:rsid w:val="00F90CF7"/>
    <w:rsid w:val="00F90D4C"/>
    <w:rsid w:val="00F90D7E"/>
    <w:rsid w:val="00F90DB6"/>
    <w:rsid w:val="00F90DDC"/>
    <w:rsid w:val="00F90E2F"/>
    <w:rsid w:val="00F90E50"/>
    <w:rsid w:val="00F90EE1"/>
    <w:rsid w:val="00F90F98"/>
    <w:rsid w:val="00F90FA2"/>
    <w:rsid w:val="00F90FF0"/>
    <w:rsid w:val="00F90FF7"/>
    <w:rsid w:val="00F90FF9"/>
    <w:rsid w:val="00F91058"/>
    <w:rsid w:val="00F9109B"/>
    <w:rsid w:val="00F910AD"/>
    <w:rsid w:val="00F91103"/>
    <w:rsid w:val="00F91174"/>
    <w:rsid w:val="00F91186"/>
    <w:rsid w:val="00F911C0"/>
    <w:rsid w:val="00F911C9"/>
    <w:rsid w:val="00F91220"/>
    <w:rsid w:val="00F91226"/>
    <w:rsid w:val="00F9122A"/>
    <w:rsid w:val="00F91233"/>
    <w:rsid w:val="00F91235"/>
    <w:rsid w:val="00F91291"/>
    <w:rsid w:val="00F9130F"/>
    <w:rsid w:val="00F91351"/>
    <w:rsid w:val="00F913E7"/>
    <w:rsid w:val="00F9140F"/>
    <w:rsid w:val="00F9142C"/>
    <w:rsid w:val="00F9145D"/>
    <w:rsid w:val="00F9147E"/>
    <w:rsid w:val="00F91570"/>
    <w:rsid w:val="00F91573"/>
    <w:rsid w:val="00F9157A"/>
    <w:rsid w:val="00F915B0"/>
    <w:rsid w:val="00F915E8"/>
    <w:rsid w:val="00F91618"/>
    <w:rsid w:val="00F9167B"/>
    <w:rsid w:val="00F916E0"/>
    <w:rsid w:val="00F91797"/>
    <w:rsid w:val="00F917BA"/>
    <w:rsid w:val="00F917E1"/>
    <w:rsid w:val="00F917ED"/>
    <w:rsid w:val="00F91810"/>
    <w:rsid w:val="00F91828"/>
    <w:rsid w:val="00F91884"/>
    <w:rsid w:val="00F918A3"/>
    <w:rsid w:val="00F91907"/>
    <w:rsid w:val="00F91944"/>
    <w:rsid w:val="00F91971"/>
    <w:rsid w:val="00F91991"/>
    <w:rsid w:val="00F919E0"/>
    <w:rsid w:val="00F91A5C"/>
    <w:rsid w:val="00F91AA2"/>
    <w:rsid w:val="00F91AC7"/>
    <w:rsid w:val="00F91AF8"/>
    <w:rsid w:val="00F91B07"/>
    <w:rsid w:val="00F91B49"/>
    <w:rsid w:val="00F91B54"/>
    <w:rsid w:val="00F91B5A"/>
    <w:rsid w:val="00F91BBA"/>
    <w:rsid w:val="00F91BDD"/>
    <w:rsid w:val="00F91BEE"/>
    <w:rsid w:val="00F91C0E"/>
    <w:rsid w:val="00F91CF3"/>
    <w:rsid w:val="00F91D27"/>
    <w:rsid w:val="00F91D3A"/>
    <w:rsid w:val="00F91DA4"/>
    <w:rsid w:val="00F91DED"/>
    <w:rsid w:val="00F91E14"/>
    <w:rsid w:val="00F91E45"/>
    <w:rsid w:val="00F91E88"/>
    <w:rsid w:val="00F91EB0"/>
    <w:rsid w:val="00F91EC1"/>
    <w:rsid w:val="00F91EE0"/>
    <w:rsid w:val="00F91F33"/>
    <w:rsid w:val="00F91F64"/>
    <w:rsid w:val="00F91F76"/>
    <w:rsid w:val="00F92008"/>
    <w:rsid w:val="00F92036"/>
    <w:rsid w:val="00F92054"/>
    <w:rsid w:val="00F9205F"/>
    <w:rsid w:val="00F920CF"/>
    <w:rsid w:val="00F920F6"/>
    <w:rsid w:val="00F92214"/>
    <w:rsid w:val="00F92216"/>
    <w:rsid w:val="00F92218"/>
    <w:rsid w:val="00F9221F"/>
    <w:rsid w:val="00F922C1"/>
    <w:rsid w:val="00F9231D"/>
    <w:rsid w:val="00F923CB"/>
    <w:rsid w:val="00F923D7"/>
    <w:rsid w:val="00F923D9"/>
    <w:rsid w:val="00F924B6"/>
    <w:rsid w:val="00F924EB"/>
    <w:rsid w:val="00F92549"/>
    <w:rsid w:val="00F92561"/>
    <w:rsid w:val="00F9259C"/>
    <w:rsid w:val="00F925A2"/>
    <w:rsid w:val="00F925B8"/>
    <w:rsid w:val="00F92635"/>
    <w:rsid w:val="00F92697"/>
    <w:rsid w:val="00F926B6"/>
    <w:rsid w:val="00F926E3"/>
    <w:rsid w:val="00F926F6"/>
    <w:rsid w:val="00F927DE"/>
    <w:rsid w:val="00F927E3"/>
    <w:rsid w:val="00F9284E"/>
    <w:rsid w:val="00F92878"/>
    <w:rsid w:val="00F92899"/>
    <w:rsid w:val="00F928D8"/>
    <w:rsid w:val="00F92922"/>
    <w:rsid w:val="00F9294F"/>
    <w:rsid w:val="00F92954"/>
    <w:rsid w:val="00F9295A"/>
    <w:rsid w:val="00F9298A"/>
    <w:rsid w:val="00F9299A"/>
    <w:rsid w:val="00F92AB3"/>
    <w:rsid w:val="00F92B09"/>
    <w:rsid w:val="00F92B1A"/>
    <w:rsid w:val="00F92B36"/>
    <w:rsid w:val="00F92B75"/>
    <w:rsid w:val="00F92B7A"/>
    <w:rsid w:val="00F92BAA"/>
    <w:rsid w:val="00F92BE9"/>
    <w:rsid w:val="00F92C03"/>
    <w:rsid w:val="00F92C26"/>
    <w:rsid w:val="00F92C58"/>
    <w:rsid w:val="00F92C9F"/>
    <w:rsid w:val="00F92CA7"/>
    <w:rsid w:val="00F92CD8"/>
    <w:rsid w:val="00F92CED"/>
    <w:rsid w:val="00F92D8D"/>
    <w:rsid w:val="00F92DEE"/>
    <w:rsid w:val="00F92DF5"/>
    <w:rsid w:val="00F92E33"/>
    <w:rsid w:val="00F92E4C"/>
    <w:rsid w:val="00F92E5A"/>
    <w:rsid w:val="00F92ECB"/>
    <w:rsid w:val="00F92ED9"/>
    <w:rsid w:val="00F92F04"/>
    <w:rsid w:val="00F92F3E"/>
    <w:rsid w:val="00F92F4E"/>
    <w:rsid w:val="00F92FAB"/>
    <w:rsid w:val="00F92FB3"/>
    <w:rsid w:val="00F93042"/>
    <w:rsid w:val="00F93086"/>
    <w:rsid w:val="00F93092"/>
    <w:rsid w:val="00F9310E"/>
    <w:rsid w:val="00F93208"/>
    <w:rsid w:val="00F93221"/>
    <w:rsid w:val="00F93287"/>
    <w:rsid w:val="00F9328D"/>
    <w:rsid w:val="00F932B6"/>
    <w:rsid w:val="00F932ED"/>
    <w:rsid w:val="00F932F5"/>
    <w:rsid w:val="00F93335"/>
    <w:rsid w:val="00F93356"/>
    <w:rsid w:val="00F9336C"/>
    <w:rsid w:val="00F93381"/>
    <w:rsid w:val="00F933A1"/>
    <w:rsid w:val="00F933FC"/>
    <w:rsid w:val="00F93480"/>
    <w:rsid w:val="00F9348A"/>
    <w:rsid w:val="00F9349E"/>
    <w:rsid w:val="00F934BF"/>
    <w:rsid w:val="00F934CD"/>
    <w:rsid w:val="00F93528"/>
    <w:rsid w:val="00F93551"/>
    <w:rsid w:val="00F93557"/>
    <w:rsid w:val="00F93580"/>
    <w:rsid w:val="00F935EC"/>
    <w:rsid w:val="00F935ED"/>
    <w:rsid w:val="00F93601"/>
    <w:rsid w:val="00F93616"/>
    <w:rsid w:val="00F936AE"/>
    <w:rsid w:val="00F936B5"/>
    <w:rsid w:val="00F936BE"/>
    <w:rsid w:val="00F936FE"/>
    <w:rsid w:val="00F9374D"/>
    <w:rsid w:val="00F93776"/>
    <w:rsid w:val="00F937BE"/>
    <w:rsid w:val="00F9380F"/>
    <w:rsid w:val="00F9381D"/>
    <w:rsid w:val="00F93865"/>
    <w:rsid w:val="00F93917"/>
    <w:rsid w:val="00F93926"/>
    <w:rsid w:val="00F93958"/>
    <w:rsid w:val="00F9397A"/>
    <w:rsid w:val="00F9399C"/>
    <w:rsid w:val="00F939DF"/>
    <w:rsid w:val="00F939F2"/>
    <w:rsid w:val="00F93A50"/>
    <w:rsid w:val="00F93A9F"/>
    <w:rsid w:val="00F93AF4"/>
    <w:rsid w:val="00F93B7C"/>
    <w:rsid w:val="00F93C25"/>
    <w:rsid w:val="00F93C55"/>
    <w:rsid w:val="00F93CE1"/>
    <w:rsid w:val="00F93D54"/>
    <w:rsid w:val="00F93DD8"/>
    <w:rsid w:val="00F93DFE"/>
    <w:rsid w:val="00F93E17"/>
    <w:rsid w:val="00F93E79"/>
    <w:rsid w:val="00F93EB5"/>
    <w:rsid w:val="00F93F3B"/>
    <w:rsid w:val="00F93FBE"/>
    <w:rsid w:val="00F93FE7"/>
    <w:rsid w:val="00F93FF8"/>
    <w:rsid w:val="00F9405D"/>
    <w:rsid w:val="00F94081"/>
    <w:rsid w:val="00F940AC"/>
    <w:rsid w:val="00F940EE"/>
    <w:rsid w:val="00F94110"/>
    <w:rsid w:val="00F94117"/>
    <w:rsid w:val="00F94157"/>
    <w:rsid w:val="00F94200"/>
    <w:rsid w:val="00F94267"/>
    <w:rsid w:val="00F942D2"/>
    <w:rsid w:val="00F9434B"/>
    <w:rsid w:val="00F943B0"/>
    <w:rsid w:val="00F943D5"/>
    <w:rsid w:val="00F94452"/>
    <w:rsid w:val="00F9448E"/>
    <w:rsid w:val="00F944AD"/>
    <w:rsid w:val="00F944D9"/>
    <w:rsid w:val="00F94512"/>
    <w:rsid w:val="00F945EF"/>
    <w:rsid w:val="00F945F0"/>
    <w:rsid w:val="00F945F3"/>
    <w:rsid w:val="00F94674"/>
    <w:rsid w:val="00F946BE"/>
    <w:rsid w:val="00F946C9"/>
    <w:rsid w:val="00F946F5"/>
    <w:rsid w:val="00F9473B"/>
    <w:rsid w:val="00F94748"/>
    <w:rsid w:val="00F9477D"/>
    <w:rsid w:val="00F94820"/>
    <w:rsid w:val="00F94832"/>
    <w:rsid w:val="00F94906"/>
    <w:rsid w:val="00F9492B"/>
    <w:rsid w:val="00F94971"/>
    <w:rsid w:val="00F94982"/>
    <w:rsid w:val="00F949B3"/>
    <w:rsid w:val="00F94A15"/>
    <w:rsid w:val="00F94A16"/>
    <w:rsid w:val="00F94AA7"/>
    <w:rsid w:val="00F94AC6"/>
    <w:rsid w:val="00F94B39"/>
    <w:rsid w:val="00F94B4E"/>
    <w:rsid w:val="00F94B59"/>
    <w:rsid w:val="00F94B76"/>
    <w:rsid w:val="00F94CFC"/>
    <w:rsid w:val="00F94DA7"/>
    <w:rsid w:val="00F94E12"/>
    <w:rsid w:val="00F94E2F"/>
    <w:rsid w:val="00F94EA6"/>
    <w:rsid w:val="00F94ED7"/>
    <w:rsid w:val="00F94F9E"/>
    <w:rsid w:val="00F94FB7"/>
    <w:rsid w:val="00F94FBD"/>
    <w:rsid w:val="00F94FDE"/>
    <w:rsid w:val="00F95021"/>
    <w:rsid w:val="00F9506F"/>
    <w:rsid w:val="00F95090"/>
    <w:rsid w:val="00F950F3"/>
    <w:rsid w:val="00F95114"/>
    <w:rsid w:val="00F9512D"/>
    <w:rsid w:val="00F951F9"/>
    <w:rsid w:val="00F95216"/>
    <w:rsid w:val="00F95246"/>
    <w:rsid w:val="00F95252"/>
    <w:rsid w:val="00F95259"/>
    <w:rsid w:val="00F95298"/>
    <w:rsid w:val="00F95300"/>
    <w:rsid w:val="00F95309"/>
    <w:rsid w:val="00F95319"/>
    <w:rsid w:val="00F9535D"/>
    <w:rsid w:val="00F95377"/>
    <w:rsid w:val="00F95419"/>
    <w:rsid w:val="00F95426"/>
    <w:rsid w:val="00F95459"/>
    <w:rsid w:val="00F954E3"/>
    <w:rsid w:val="00F9551B"/>
    <w:rsid w:val="00F95549"/>
    <w:rsid w:val="00F9560E"/>
    <w:rsid w:val="00F95611"/>
    <w:rsid w:val="00F9563C"/>
    <w:rsid w:val="00F9563D"/>
    <w:rsid w:val="00F95727"/>
    <w:rsid w:val="00F95764"/>
    <w:rsid w:val="00F95770"/>
    <w:rsid w:val="00F957AD"/>
    <w:rsid w:val="00F957F6"/>
    <w:rsid w:val="00F95803"/>
    <w:rsid w:val="00F95877"/>
    <w:rsid w:val="00F958F8"/>
    <w:rsid w:val="00F95974"/>
    <w:rsid w:val="00F9598A"/>
    <w:rsid w:val="00F959A6"/>
    <w:rsid w:val="00F95A52"/>
    <w:rsid w:val="00F95AB8"/>
    <w:rsid w:val="00F95ABA"/>
    <w:rsid w:val="00F95AE3"/>
    <w:rsid w:val="00F95AEC"/>
    <w:rsid w:val="00F95B0A"/>
    <w:rsid w:val="00F95B0C"/>
    <w:rsid w:val="00F95B5B"/>
    <w:rsid w:val="00F95B6B"/>
    <w:rsid w:val="00F95BB6"/>
    <w:rsid w:val="00F95BF6"/>
    <w:rsid w:val="00F95C5A"/>
    <w:rsid w:val="00F95CA4"/>
    <w:rsid w:val="00F95CFA"/>
    <w:rsid w:val="00F95D69"/>
    <w:rsid w:val="00F95DE8"/>
    <w:rsid w:val="00F95DFF"/>
    <w:rsid w:val="00F95E09"/>
    <w:rsid w:val="00F95E54"/>
    <w:rsid w:val="00F95E9C"/>
    <w:rsid w:val="00F95EE8"/>
    <w:rsid w:val="00F95F10"/>
    <w:rsid w:val="00F95F37"/>
    <w:rsid w:val="00F95F53"/>
    <w:rsid w:val="00F95F64"/>
    <w:rsid w:val="00F95F94"/>
    <w:rsid w:val="00F95FA7"/>
    <w:rsid w:val="00F95FBC"/>
    <w:rsid w:val="00F9601C"/>
    <w:rsid w:val="00F9606D"/>
    <w:rsid w:val="00F96077"/>
    <w:rsid w:val="00F960CB"/>
    <w:rsid w:val="00F96164"/>
    <w:rsid w:val="00F96166"/>
    <w:rsid w:val="00F9618C"/>
    <w:rsid w:val="00F96196"/>
    <w:rsid w:val="00F961C4"/>
    <w:rsid w:val="00F96224"/>
    <w:rsid w:val="00F9626B"/>
    <w:rsid w:val="00F96334"/>
    <w:rsid w:val="00F96392"/>
    <w:rsid w:val="00F96394"/>
    <w:rsid w:val="00F963D6"/>
    <w:rsid w:val="00F96415"/>
    <w:rsid w:val="00F9647E"/>
    <w:rsid w:val="00F964AE"/>
    <w:rsid w:val="00F964D3"/>
    <w:rsid w:val="00F964D4"/>
    <w:rsid w:val="00F96506"/>
    <w:rsid w:val="00F96510"/>
    <w:rsid w:val="00F965D7"/>
    <w:rsid w:val="00F96609"/>
    <w:rsid w:val="00F9661F"/>
    <w:rsid w:val="00F96639"/>
    <w:rsid w:val="00F9663C"/>
    <w:rsid w:val="00F96649"/>
    <w:rsid w:val="00F966A6"/>
    <w:rsid w:val="00F966A7"/>
    <w:rsid w:val="00F966C6"/>
    <w:rsid w:val="00F967C0"/>
    <w:rsid w:val="00F967EA"/>
    <w:rsid w:val="00F967F7"/>
    <w:rsid w:val="00F9689F"/>
    <w:rsid w:val="00F968B1"/>
    <w:rsid w:val="00F968E3"/>
    <w:rsid w:val="00F9693A"/>
    <w:rsid w:val="00F96952"/>
    <w:rsid w:val="00F969B7"/>
    <w:rsid w:val="00F96A4C"/>
    <w:rsid w:val="00F96AAD"/>
    <w:rsid w:val="00F96ACA"/>
    <w:rsid w:val="00F96B46"/>
    <w:rsid w:val="00F96B79"/>
    <w:rsid w:val="00F96B81"/>
    <w:rsid w:val="00F96B8A"/>
    <w:rsid w:val="00F96BDA"/>
    <w:rsid w:val="00F96C0F"/>
    <w:rsid w:val="00F96C1C"/>
    <w:rsid w:val="00F96C4E"/>
    <w:rsid w:val="00F96C83"/>
    <w:rsid w:val="00F96C88"/>
    <w:rsid w:val="00F96CA2"/>
    <w:rsid w:val="00F96CAA"/>
    <w:rsid w:val="00F96CBB"/>
    <w:rsid w:val="00F96CD8"/>
    <w:rsid w:val="00F96D2E"/>
    <w:rsid w:val="00F96D82"/>
    <w:rsid w:val="00F96DE4"/>
    <w:rsid w:val="00F96E8E"/>
    <w:rsid w:val="00F96EBE"/>
    <w:rsid w:val="00F96F10"/>
    <w:rsid w:val="00F96F6C"/>
    <w:rsid w:val="00F96F94"/>
    <w:rsid w:val="00F96F98"/>
    <w:rsid w:val="00F96FF5"/>
    <w:rsid w:val="00F97021"/>
    <w:rsid w:val="00F97025"/>
    <w:rsid w:val="00F97043"/>
    <w:rsid w:val="00F9705C"/>
    <w:rsid w:val="00F97085"/>
    <w:rsid w:val="00F97087"/>
    <w:rsid w:val="00F9719A"/>
    <w:rsid w:val="00F971AD"/>
    <w:rsid w:val="00F971BD"/>
    <w:rsid w:val="00F971D3"/>
    <w:rsid w:val="00F97231"/>
    <w:rsid w:val="00F972C6"/>
    <w:rsid w:val="00F972E5"/>
    <w:rsid w:val="00F972F1"/>
    <w:rsid w:val="00F973A5"/>
    <w:rsid w:val="00F973D7"/>
    <w:rsid w:val="00F973DF"/>
    <w:rsid w:val="00F973F0"/>
    <w:rsid w:val="00F97454"/>
    <w:rsid w:val="00F974A4"/>
    <w:rsid w:val="00F974F1"/>
    <w:rsid w:val="00F9751B"/>
    <w:rsid w:val="00F9751F"/>
    <w:rsid w:val="00F97550"/>
    <w:rsid w:val="00F97557"/>
    <w:rsid w:val="00F9757F"/>
    <w:rsid w:val="00F97581"/>
    <w:rsid w:val="00F975A2"/>
    <w:rsid w:val="00F975BA"/>
    <w:rsid w:val="00F975E5"/>
    <w:rsid w:val="00F9763F"/>
    <w:rsid w:val="00F97658"/>
    <w:rsid w:val="00F97659"/>
    <w:rsid w:val="00F976A4"/>
    <w:rsid w:val="00F976C4"/>
    <w:rsid w:val="00F976CC"/>
    <w:rsid w:val="00F976D0"/>
    <w:rsid w:val="00F976E2"/>
    <w:rsid w:val="00F97733"/>
    <w:rsid w:val="00F9774F"/>
    <w:rsid w:val="00F9777B"/>
    <w:rsid w:val="00F977D8"/>
    <w:rsid w:val="00F977EB"/>
    <w:rsid w:val="00F97804"/>
    <w:rsid w:val="00F9781C"/>
    <w:rsid w:val="00F97849"/>
    <w:rsid w:val="00F9784C"/>
    <w:rsid w:val="00F9784F"/>
    <w:rsid w:val="00F9795C"/>
    <w:rsid w:val="00F9797A"/>
    <w:rsid w:val="00F979BA"/>
    <w:rsid w:val="00F979FA"/>
    <w:rsid w:val="00F979FD"/>
    <w:rsid w:val="00F97A0F"/>
    <w:rsid w:val="00F97A23"/>
    <w:rsid w:val="00F97A4F"/>
    <w:rsid w:val="00F97B2F"/>
    <w:rsid w:val="00F97B8D"/>
    <w:rsid w:val="00F97BA2"/>
    <w:rsid w:val="00F97BDC"/>
    <w:rsid w:val="00F97BE7"/>
    <w:rsid w:val="00F97C87"/>
    <w:rsid w:val="00F97C9C"/>
    <w:rsid w:val="00F97CC5"/>
    <w:rsid w:val="00F97CE6"/>
    <w:rsid w:val="00F97D0A"/>
    <w:rsid w:val="00F97D3B"/>
    <w:rsid w:val="00F97D4C"/>
    <w:rsid w:val="00F97DB8"/>
    <w:rsid w:val="00F97DC7"/>
    <w:rsid w:val="00F97E23"/>
    <w:rsid w:val="00F97E6B"/>
    <w:rsid w:val="00F97EB5"/>
    <w:rsid w:val="00F97EC7"/>
    <w:rsid w:val="00F97F3F"/>
    <w:rsid w:val="00F97F50"/>
    <w:rsid w:val="00F97F8F"/>
    <w:rsid w:val="00F99025"/>
    <w:rsid w:val="00FA0020"/>
    <w:rsid w:val="00FA0107"/>
    <w:rsid w:val="00FA0132"/>
    <w:rsid w:val="00FA013F"/>
    <w:rsid w:val="00FA0178"/>
    <w:rsid w:val="00FA01A6"/>
    <w:rsid w:val="00FA01ED"/>
    <w:rsid w:val="00FA01FF"/>
    <w:rsid w:val="00FA021C"/>
    <w:rsid w:val="00FA0271"/>
    <w:rsid w:val="00FA0274"/>
    <w:rsid w:val="00FA02EC"/>
    <w:rsid w:val="00FA02F3"/>
    <w:rsid w:val="00FA0350"/>
    <w:rsid w:val="00FA0352"/>
    <w:rsid w:val="00FA035E"/>
    <w:rsid w:val="00FA0363"/>
    <w:rsid w:val="00FA0393"/>
    <w:rsid w:val="00FA03F8"/>
    <w:rsid w:val="00FA0449"/>
    <w:rsid w:val="00FA0453"/>
    <w:rsid w:val="00FA048D"/>
    <w:rsid w:val="00FA049B"/>
    <w:rsid w:val="00FA04F9"/>
    <w:rsid w:val="00FA0506"/>
    <w:rsid w:val="00FA058F"/>
    <w:rsid w:val="00FA05A2"/>
    <w:rsid w:val="00FA05F5"/>
    <w:rsid w:val="00FA06BE"/>
    <w:rsid w:val="00FA06C0"/>
    <w:rsid w:val="00FA0724"/>
    <w:rsid w:val="00FA07B6"/>
    <w:rsid w:val="00FA0824"/>
    <w:rsid w:val="00FA0842"/>
    <w:rsid w:val="00FA0860"/>
    <w:rsid w:val="00FA08B7"/>
    <w:rsid w:val="00FA08CF"/>
    <w:rsid w:val="00FA0930"/>
    <w:rsid w:val="00FA0944"/>
    <w:rsid w:val="00FA0995"/>
    <w:rsid w:val="00FA09A1"/>
    <w:rsid w:val="00FA09FB"/>
    <w:rsid w:val="00FA09FD"/>
    <w:rsid w:val="00FA0A2C"/>
    <w:rsid w:val="00FA0A39"/>
    <w:rsid w:val="00FA0A68"/>
    <w:rsid w:val="00FA0A93"/>
    <w:rsid w:val="00FA0AE8"/>
    <w:rsid w:val="00FA0AEB"/>
    <w:rsid w:val="00FA0B45"/>
    <w:rsid w:val="00FA0B63"/>
    <w:rsid w:val="00FA0BF4"/>
    <w:rsid w:val="00FA0C2E"/>
    <w:rsid w:val="00FA0C8A"/>
    <w:rsid w:val="00FA0C8D"/>
    <w:rsid w:val="00FA0C9F"/>
    <w:rsid w:val="00FA0CD1"/>
    <w:rsid w:val="00FA0CD2"/>
    <w:rsid w:val="00FA0D43"/>
    <w:rsid w:val="00FA0D96"/>
    <w:rsid w:val="00FA0D9B"/>
    <w:rsid w:val="00FA0DAE"/>
    <w:rsid w:val="00FA0E14"/>
    <w:rsid w:val="00FA0E15"/>
    <w:rsid w:val="00FA0E17"/>
    <w:rsid w:val="00FA0E5D"/>
    <w:rsid w:val="00FA0E7C"/>
    <w:rsid w:val="00FA0F11"/>
    <w:rsid w:val="00FA0F19"/>
    <w:rsid w:val="00FA0F58"/>
    <w:rsid w:val="00FA0FCB"/>
    <w:rsid w:val="00FA0FEC"/>
    <w:rsid w:val="00FA102A"/>
    <w:rsid w:val="00FA1069"/>
    <w:rsid w:val="00FA106A"/>
    <w:rsid w:val="00FA10B8"/>
    <w:rsid w:val="00FA1174"/>
    <w:rsid w:val="00FA11CE"/>
    <w:rsid w:val="00FA11EC"/>
    <w:rsid w:val="00FA121C"/>
    <w:rsid w:val="00FA1228"/>
    <w:rsid w:val="00FA125B"/>
    <w:rsid w:val="00FA1267"/>
    <w:rsid w:val="00FA1294"/>
    <w:rsid w:val="00FA12B3"/>
    <w:rsid w:val="00FA12B4"/>
    <w:rsid w:val="00FA12CD"/>
    <w:rsid w:val="00FA12DB"/>
    <w:rsid w:val="00FA130E"/>
    <w:rsid w:val="00FA1313"/>
    <w:rsid w:val="00FA1329"/>
    <w:rsid w:val="00FA1340"/>
    <w:rsid w:val="00FA1350"/>
    <w:rsid w:val="00FA13A0"/>
    <w:rsid w:val="00FA13FB"/>
    <w:rsid w:val="00FA1450"/>
    <w:rsid w:val="00FA14CF"/>
    <w:rsid w:val="00FA14E8"/>
    <w:rsid w:val="00FA14FC"/>
    <w:rsid w:val="00FA1576"/>
    <w:rsid w:val="00FA157A"/>
    <w:rsid w:val="00FA1582"/>
    <w:rsid w:val="00FA15AC"/>
    <w:rsid w:val="00FA1606"/>
    <w:rsid w:val="00FA16AB"/>
    <w:rsid w:val="00FA1723"/>
    <w:rsid w:val="00FA172D"/>
    <w:rsid w:val="00FA17D6"/>
    <w:rsid w:val="00FA17E5"/>
    <w:rsid w:val="00FA1830"/>
    <w:rsid w:val="00FA1862"/>
    <w:rsid w:val="00FA1863"/>
    <w:rsid w:val="00FA1941"/>
    <w:rsid w:val="00FA196F"/>
    <w:rsid w:val="00FA1A1F"/>
    <w:rsid w:val="00FA1A7C"/>
    <w:rsid w:val="00FA1AA0"/>
    <w:rsid w:val="00FA1AA6"/>
    <w:rsid w:val="00FA1AAF"/>
    <w:rsid w:val="00FA1AE8"/>
    <w:rsid w:val="00FA1B14"/>
    <w:rsid w:val="00FA1B22"/>
    <w:rsid w:val="00FA1B61"/>
    <w:rsid w:val="00FA1BCC"/>
    <w:rsid w:val="00FA1C49"/>
    <w:rsid w:val="00FA1C61"/>
    <w:rsid w:val="00FA1D0E"/>
    <w:rsid w:val="00FA1E05"/>
    <w:rsid w:val="00FA1E2E"/>
    <w:rsid w:val="00FA1E37"/>
    <w:rsid w:val="00FA1E59"/>
    <w:rsid w:val="00FA1E69"/>
    <w:rsid w:val="00FA1E8A"/>
    <w:rsid w:val="00FA1E96"/>
    <w:rsid w:val="00FA1EB4"/>
    <w:rsid w:val="00FA1F01"/>
    <w:rsid w:val="00FA1FAC"/>
    <w:rsid w:val="00FA2020"/>
    <w:rsid w:val="00FA207B"/>
    <w:rsid w:val="00FA20C5"/>
    <w:rsid w:val="00FA2161"/>
    <w:rsid w:val="00FA218E"/>
    <w:rsid w:val="00FA2194"/>
    <w:rsid w:val="00FA2227"/>
    <w:rsid w:val="00FA2235"/>
    <w:rsid w:val="00FA2237"/>
    <w:rsid w:val="00FA22FA"/>
    <w:rsid w:val="00FA235C"/>
    <w:rsid w:val="00FA248E"/>
    <w:rsid w:val="00FA24E0"/>
    <w:rsid w:val="00FA24EF"/>
    <w:rsid w:val="00FA25A0"/>
    <w:rsid w:val="00FA25FA"/>
    <w:rsid w:val="00FA2610"/>
    <w:rsid w:val="00FA268F"/>
    <w:rsid w:val="00FA26A5"/>
    <w:rsid w:val="00FA26AC"/>
    <w:rsid w:val="00FA26EE"/>
    <w:rsid w:val="00FA2702"/>
    <w:rsid w:val="00FA276E"/>
    <w:rsid w:val="00FA2779"/>
    <w:rsid w:val="00FA27B8"/>
    <w:rsid w:val="00FA2853"/>
    <w:rsid w:val="00FA2887"/>
    <w:rsid w:val="00FA28B6"/>
    <w:rsid w:val="00FA2986"/>
    <w:rsid w:val="00FA2A12"/>
    <w:rsid w:val="00FA2A2B"/>
    <w:rsid w:val="00FA2A65"/>
    <w:rsid w:val="00FA2ABE"/>
    <w:rsid w:val="00FA2C11"/>
    <w:rsid w:val="00FA2C88"/>
    <w:rsid w:val="00FA2C95"/>
    <w:rsid w:val="00FA2CC6"/>
    <w:rsid w:val="00FA2D00"/>
    <w:rsid w:val="00FA2D76"/>
    <w:rsid w:val="00FA2DF8"/>
    <w:rsid w:val="00FA2E37"/>
    <w:rsid w:val="00FA2E96"/>
    <w:rsid w:val="00FA2F01"/>
    <w:rsid w:val="00FA2F5F"/>
    <w:rsid w:val="00FA3054"/>
    <w:rsid w:val="00FA306D"/>
    <w:rsid w:val="00FA3099"/>
    <w:rsid w:val="00FA3157"/>
    <w:rsid w:val="00FA31AC"/>
    <w:rsid w:val="00FA31BF"/>
    <w:rsid w:val="00FA31C8"/>
    <w:rsid w:val="00FA322F"/>
    <w:rsid w:val="00FA32B2"/>
    <w:rsid w:val="00FA32BA"/>
    <w:rsid w:val="00FA3324"/>
    <w:rsid w:val="00FA3331"/>
    <w:rsid w:val="00FA337F"/>
    <w:rsid w:val="00FA33DC"/>
    <w:rsid w:val="00FA34AE"/>
    <w:rsid w:val="00FA34E8"/>
    <w:rsid w:val="00FA35F1"/>
    <w:rsid w:val="00FA363D"/>
    <w:rsid w:val="00FA3653"/>
    <w:rsid w:val="00FA3682"/>
    <w:rsid w:val="00FA3696"/>
    <w:rsid w:val="00FA36A7"/>
    <w:rsid w:val="00FA36B4"/>
    <w:rsid w:val="00FA36C4"/>
    <w:rsid w:val="00FA36E0"/>
    <w:rsid w:val="00FA36E1"/>
    <w:rsid w:val="00FA3723"/>
    <w:rsid w:val="00FA3797"/>
    <w:rsid w:val="00FA379C"/>
    <w:rsid w:val="00FA37BA"/>
    <w:rsid w:val="00FA37E7"/>
    <w:rsid w:val="00FA383A"/>
    <w:rsid w:val="00FA385F"/>
    <w:rsid w:val="00FA3914"/>
    <w:rsid w:val="00FA392A"/>
    <w:rsid w:val="00FA397E"/>
    <w:rsid w:val="00FA39A3"/>
    <w:rsid w:val="00FA39A7"/>
    <w:rsid w:val="00FA39B8"/>
    <w:rsid w:val="00FA3AB9"/>
    <w:rsid w:val="00FA3AE4"/>
    <w:rsid w:val="00FA3B1E"/>
    <w:rsid w:val="00FA3BFB"/>
    <w:rsid w:val="00FA3C0C"/>
    <w:rsid w:val="00FA3C40"/>
    <w:rsid w:val="00FA3C6A"/>
    <w:rsid w:val="00FA3C83"/>
    <w:rsid w:val="00FA3CB6"/>
    <w:rsid w:val="00FA3CC2"/>
    <w:rsid w:val="00FA3D44"/>
    <w:rsid w:val="00FA3D4E"/>
    <w:rsid w:val="00FA3D72"/>
    <w:rsid w:val="00FA3DAA"/>
    <w:rsid w:val="00FA3DB8"/>
    <w:rsid w:val="00FA3DDA"/>
    <w:rsid w:val="00FA3E16"/>
    <w:rsid w:val="00FA3E19"/>
    <w:rsid w:val="00FA3E23"/>
    <w:rsid w:val="00FA3E2A"/>
    <w:rsid w:val="00FA3E34"/>
    <w:rsid w:val="00FA3E3F"/>
    <w:rsid w:val="00FA3E5E"/>
    <w:rsid w:val="00FA3E71"/>
    <w:rsid w:val="00FA3F29"/>
    <w:rsid w:val="00FA3F2B"/>
    <w:rsid w:val="00FA3F2E"/>
    <w:rsid w:val="00FA3F71"/>
    <w:rsid w:val="00FA3F7D"/>
    <w:rsid w:val="00FA4025"/>
    <w:rsid w:val="00FA4052"/>
    <w:rsid w:val="00FA4057"/>
    <w:rsid w:val="00FA4095"/>
    <w:rsid w:val="00FA40BB"/>
    <w:rsid w:val="00FA40C0"/>
    <w:rsid w:val="00FA40D4"/>
    <w:rsid w:val="00FA40DC"/>
    <w:rsid w:val="00FA4141"/>
    <w:rsid w:val="00FA42DB"/>
    <w:rsid w:val="00FA430C"/>
    <w:rsid w:val="00FA431D"/>
    <w:rsid w:val="00FA431E"/>
    <w:rsid w:val="00FA4326"/>
    <w:rsid w:val="00FA435A"/>
    <w:rsid w:val="00FA43E4"/>
    <w:rsid w:val="00FA43E5"/>
    <w:rsid w:val="00FA4477"/>
    <w:rsid w:val="00FA44A1"/>
    <w:rsid w:val="00FA44F5"/>
    <w:rsid w:val="00FA4522"/>
    <w:rsid w:val="00FA454A"/>
    <w:rsid w:val="00FA457C"/>
    <w:rsid w:val="00FA45AC"/>
    <w:rsid w:val="00FA45BC"/>
    <w:rsid w:val="00FA4677"/>
    <w:rsid w:val="00FA46BA"/>
    <w:rsid w:val="00FA46C8"/>
    <w:rsid w:val="00FA479F"/>
    <w:rsid w:val="00FA47C8"/>
    <w:rsid w:val="00FA47CE"/>
    <w:rsid w:val="00FA4875"/>
    <w:rsid w:val="00FA4877"/>
    <w:rsid w:val="00FA488C"/>
    <w:rsid w:val="00FA48B9"/>
    <w:rsid w:val="00FA48F9"/>
    <w:rsid w:val="00FA4909"/>
    <w:rsid w:val="00FA490A"/>
    <w:rsid w:val="00FA4929"/>
    <w:rsid w:val="00FA4964"/>
    <w:rsid w:val="00FA49AF"/>
    <w:rsid w:val="00FA49B6"/>
    <w:rsid w:val="00FA4A16"/>
    <w:rsid w:val="00FA4A22"/>
    <w:rsid w:val="00FA4A96"/>
    <w:rsid w:val="00FA4AEB"/>
    <w:rsid w:val="00FA4AF6"/>
    <w:rsid w:val="00FA4B0A"/>
    <w:rsid w:val="00FA4B2B"/>
    <w:rsid w:val="00FA4B49"/>
    <w:rsid w:val="00FA4B64"/>
    <w:rsid w:val="00FA4BCB"/>
    <w:rsid w:val="00FA4C77"/>
    <w:rsid w:val="00FA4C90"/>
    <w:rsid w:val="00FA4C9F"/>
    <w:rsid w:val="00FA4CB5"/>
    <w:rsid w:val="00FA4D0C"/>
    <w:rsid w:val="00FA4D30"/>
    <w:rsid w:val="00FA4D7C"/>
    <w:rsid w:val="00FA4D89"/>
    <w:rsid w:val="00FA4E49"/>
    <w:rsid w:val="00FA4E4F"/>
    <w:rsid w:val="00FA4EE6"/>
    <w:rsid w:val="00FA4EF1"/>
    <w:rsid w:val="00FA4F01"/>
    <w:rsid w:val="00FA4F38"/>
    <w:rsid w:val="00FA5006"/>
    <w:rsid w:val="00FA500C"/>
    <w:rsid w:val="00FA502E"/>
    <w:rsid w:val="00FA5049"/>
    <w:rsid w:val="00FA5063"/>
    <w:rsid w:val="00FA51B4"/>
    <w:rsid w:val="00FA5286"/>
    <w:rsid w:val="00FA5289"/>
    <w:rsid w:val="00FA52AF"/>
    <w:rsid w:val="00FA530A"/>
    <w:rsid w:val="00FA532D"/>
    <w:rsid w:val="00FA5353"/>
    <w:rsid w:val="00FA5383"/>
    <w:rsid w:val="00FA5393"/>
    <w:rsid w:val="00FA53A8"/>
    <w:rsid w:val="00FA53AC"/>
    <w:rsid w:val="00FA5426"/>
    <w:rsid w:val="00FA542C"/>
    <w:rsid w:val="00FA54CA"/>
    <w:rsid w:val="00FA5595"/>
    <w:rsid w:val="00FA55A3"/>
    <w:rsid w:val="00FA55F3"/>
    <w:rsid w:val="00FA5683"/>
    <w:rsid w:val="00FA5702"/>
    <w:rsid w:val="00FA5717"/>
    <w:rsid w:val="00FA5764"/>
    <w:rsid w:val="00FA5812"/>
    <w:rsid w:val="00FA58A1"/>
    <w:rsid w:val="00FA58E8"/>
    <w:rsid w:val="00FA5906"/>
    <w:rsid w:val="00FA590F"/>
    <w:rsid w:val="00FA5982"/>
    <w:rsid w:val="00FA59E3"/>
    <w:rsid w:val="00FA5A07"/>
    <w:rsid w:val="00FA5A2E"/>
    <w:rsid w:val="00FA5A5E"/>
    <w:rsid w:val="00FA5A8E"/>
    <w:rsid w:val="00FA5AA4"/>
    <w:rsid w:val="00FA5AC0"/>
    <w:rsid w:val="00FA5ACB"/>
    <w:rsid w:val="00FA5AD0"/>
    <w:rsid w:val="00FA5B18"/>
    <w:rsid w:val="00FA5B40"/>
    <w:rsid w:val="00FA5B61"/>
    <w:rsid w:val="00FA5C5A"/>
    <w:rsid w:val="00FA5C7A"/>
    <w:rsid w:val="00FA5C7E"/>
    <w:rsid w:val="00FA5D1D"/>
    <w:rsid w:val="00FA5D1E"/>
    <w:rsid w:val="00FA5D2B"/>
    <w:rsid w:val="00FA5D42"/>
    <w:rsid w:val="00FA5D98"/>
    <w:rsid w:val="00FA5DF4"/>
    <w:rsid w:val="00FA5E10"/>
    <w:rsid w:val="00FA5E5D"/>
    <w:rsid w:val="00FA5E5E"/>
    <w:rsid w:val="00FA5E62"/>
    <w:rsid w:val="00FA5E96"/>
    <w:rsid w:val="00FA5EB3"/>
    <w:rsid w:val="00FA5F2D"/>
    <w:rsid w:val="00FA5FCC"/>
    <w:rsid w:val="00FA5FDB"/>
    <w:rsid w:val="00FA5FE2"/>
    <w:rsid w:val="00FA6007"/>
    <w:rsid w:val="00FA6068"/>
    <w:rsid w:val="00FA6088"/>
    <w:rsid w:val="00FA60B8"/>
    <w:rsid w:val="00FA60D5"/>
    <w:rsid w:val="00FA6132"/>
    <w:rsid w:val="00FA6145"/>
    <w:rsid w:val="00FA614E"/>
    <w:rsid w:val="00FA615F"/>
    <w:rsid w:val="00FA6280"/>
    <w:rsid w:val="00FA631B"/>
    <w:rsid w:val="00FA638F"/>
    <w:rsid w:val="00FA63D8"/>
    <w:rsid w:val="00FA63DF"/>
    <w:rsid w:val="00FA63E9"/>
    <w:rsid w:val="00FA63F4"/>
    <w:rsid w:val="00FA6417"/>
    <w:rsid w:val="00FA642E"/>
    <w:rsid w:val="00FA645D"/>
    <w:rsid w:val="00FA64A2"/>
    <w:rsid w:val="00FA6510"/>
    <w:rsid w:val="00FA6522"/>
    <w:rsid w:val="00FA652F"/>
    <w:rsid w:val="00FA6548"/>
    <w:rsid w:val="00FA6583"/>
    <w:rsid w:val="00FA6586"/>
    <w:rsid w:val="00FA65E0"/>
    <w:rsid w:val="00FA65E2"/>
    <w:rsid w:val="00FA6604"/>
    <w:rsid w:val="00FA660C"/>
    <w:rsid w:val="00FA66AA"/>
    <w:rsid w:val="00FA66AC"/>
    <w:rsid w:val="00FA66DE"/>
    <w:rsid w:val="00FA6727"/>
    <w:rsid w:val="00FA6778"/>
    <w:rsid w:val="00FA67B8"/>
    <w:rsid w:val="00FA67C4"/>
    <w:rsid w:val="00FA67D2"/>
    <w:rsid w:val="00FA67F0"/>
    <w:rsid w:val="00FA680F"/>
    <w:rsid w:val="00FA6822"/>
    <w:rsid w:val="00FA6835"/>
    <w:rsid w:val="00FA6879"/>
    <w:rsid w:val="00FA687F"/>
    <w:rsid w:val="00FA68B8"/>
    <w:rsid w:val="00FA68FE"/>
    <w:rsid w:val="00FA690C"/>
    <w:rsid w:val="00FA6930"/>
    <w:rsid w:val="00FA6954"/>
    <w:rsid w:val="00FA6957"/>
    <w:rsid w:val="00FA6958"/>
    <w:rsid w:val="00FA6974"/>
    <w:rsid w:val="00FA698A"/>
    <w:rsid w:val="00FA69B3"/>
    <w:rsid w:val="00FA69F1"/>
    <w:rsid w:val="00FA69F3"/>
    <w:rsid w:val="00FA6A91"/>
    <w:rsid w:val="00FA6A95"/>
    <w:rsid w:val="00FA6A9A"/>
    <w:rsid w:val="00FA6AA9"/>
    <w:rsid w:val="00FA6B66"/>
    <w:rsid w:val="00FA6B70"/>
    <w:rsid w:val="00FA6B9B"/>
    <w:rsid w:val="00FA6C2F"/>
    <w:rsid w:val="00FA6C44"/>
    <w:rsid w:val="00FA6C51"/>
    <w:rsid w:val="00FA6C57"/>
    <w:rsid w:val="00FA6C68"/>
    <w:rsid w:val="00FA6CA9"/>
    <w:rsid w:val="00FA6D21"/>
    <w:rsid w:val="00FA6DBF"/>
    <w:rsid w:val="00FA6E66"/>
    <w:rsid w:val="00FA6E82"/>
    <w:rsid w:val="00FA6F0E"/>
    <w:rsid w:val="00FA6F6E"/>
    <w:rsid w:val="00FA6FA6"/>
    <w:rsid w:val="00FA6FC6"/>
    <w:rsid w:val="00FA701E"/>
    <w:rsid w:val="00FA7022"/>
    <w:rsid w:val="00FA704A"/>
    <w:rsid w:val="00FA70A6"/>
    <w:rsid w:val="00FA70B3"/>
    <w:rsid w:val="00FA70EA"/>
    <w:rsid w:val="00FA7122"/>
    <w:rsid w:val="00FA714F"/>
    <w:rsid w:val="00FA71C4"/>
    <w:rsid w:val="00FA71C9"/>
    <w:rsid w:val="00FA7207"/>
    <w:rsid w:val="00FA722B"/>
    <w:rsid w:val="00FA7237"/>
    <w:rsid w:val="00FA7277"/>
    <w:rsid w:val="00FA727E"/>
    <w:rsid w:val="00FA73F3"/>
    <w:rsid w:val="00FA74A2"/>
    <w:rsid w:val="00FA7512"/>
    <w:rsid w:val="00FA7561"/>
    <w:rsid w:val="00FA75C9"/>
    <w:rsid w:val="00FA75E9"/>
    <w:rsid w:val="00FA761F"/>
    <w:rsid w:val="00FA76A8"/>
    <w:rsid w:val="00FA76AB"/>
    <w:rsid w:val="00FA7704"/>
    <w:rsid w:val="00FA7729"/>
    <w:rsid w:val="00FA7778"/>
    <w:rsid w:val="00FA77D8"/>
    <w:rsid w:val="00FA77F1"/>
    <w:rsid w:val="00FA782B"/>
    <w:rsid w:val="00FA7833"/>
    <w:rsid w:val="00FA783C"/>
    <w:rsid w:val="00FA784D"/>
    <w:rsid w:val="00FA7856"/>
    <w:rsid w:val="00FA78A0"/>
    <w:rsid w:val="00FA78C5"/>
    <w:rsid w:val="00FA796C"/>
    <w:rsid w:val="00FA7983"/>
    <w:rsid w:val="00FA7A19"/>
    <w:rsid w:val="00FA7A33"/>
    <w:rsid w:val="00FA7A81"/>
    <w:rsid w:val="00FA7AB1"/>
    <w:rsid w:val="00FA7AB2"/>
    <w:rsid w:val="00FA7AD5"/>
    <w:rsid w:val="00FA7B24"/>
    <w:rsid w:val="00FA7B5D"/>
    <w:rsid w:val="00FA7B6B"/>
    <w:rsid w:val="00FA7C9A"/>
    <w:rsid w:val="00FA7D4B"/>
    <w:rsid w:val="00FA7D4D"/>
    <w:rsid w:val="00FA7D7A"/>
    <w:rsid w:val="00FA7DDD"/>
    <w:rsid w:val="00FA7E2F"/>
    <w:rsid w:val="00FA7E30"/>
    <w:rsid w:val="00FA7E88"/>
    <w:rsid w:val="00FA7EE6"/>
    <w:rsid w:val="00FA7EF0"/>
    <w:rsid w:val="00FA7F54"/>
    <w:rsid w:val="00FA7F5A"/>
    <w:rsid w:val="00FA7FB5"/>
    <w:rsid w:val="00FA7FD7"/>
    <w:rsid w:val="00FAB576"/>
    <w:rsid w:val="00FB0078"/>
    <w:rsid w:val="00FB0127"/>
    <w:rsid w:val="00FB014B"/>
    <w:rsid w:val="00FB01A9"/>
    <w:rsid w:val="00FB01C6"/>
    <w:rsid w:val="00FB01D2"/>
    <w:rsid w:val="00FB01E9"/>
    <w:rsid w:val="00FB01EB"/>
    <w:rsid w:val="00FB0205"/>
    <w:rsid w:val="00FB02C2"/>
    <w:rsid w:val="00FB02E3"/>
    <w:rsid w:val="00FB030D"/>
    <w:rsid w:val="00FB0340"/>
    <w:rsid w:val="00FB03BB"/>
    <w:rsid w:val="00FB03FC"/>
    <w:rsid w:val="00FB0475"/>
    <w:rsid w:val="00FB04B1"/>
    <w:rsid w:val="00FB04E0"/>
    <w:rsid w:val="00FB04EC"/>
    <w:rsid w:val="00FB04F1"/>
    <w:rsid w:val="00FB0507"/>
    <w:rsid w:val="00FB050D"/>
    <w:rsid w:val="00FB058A"/>
    <w:rsid w:val="00FB05AF"/>
    <w:rsid w:val="00FB05B4"/>
    <w:rsid w:val="00FB063D"/>
    <w:rsid w:val="00FB066E"/>
    <w:rsid w:val="00FB06E2"/>
    <w:rsid w:val="00FB0784"/>
    <w:rsid w:val="00FB082B"/>
    <w:rsid w:val="00FB0853"/>
    <w:rsid w:val="00FB0867"/>
    <w:rsid w:val="00FB086F"/>
    <w:rsid w:val="00FB089F"/>
    <w:rsid w:val="00FB08F1"/>
    <w:rsid w:val="00FB08FA"/>
    <w:rsid w:val="00FB0953"/>
    <w:rsid w:val="00FB0980"/>
    <w:rsid w:val="00FB0994"/>
    <w:rsid w:val="00FB09AC"/>
    <w:rsid w:val="00FB09C8"/>
    <w:rsid w:val="00FB09FF"/>
    <w:rsid w:val="00FB0A65"/>
    <w:rsid w:val="00FB0A8D"/>
    <w:rsid w:val="00FB0AB2"/>
    <w:rsid w:val="00FB0AB9"/>
    <w:rsid w:val="00FB0AC2"/>
    <w:rsid w:val="00FB0B5E"/>
    <w:rsid w:val="00FB0B6F"/>
    <w:rsid w:val="00FB0B79"/>
    <w:rsid w:val="00FB0BE0"/>
    <w:rsid w:val="00FB0C53"/>
    <w:rsid w:val="00FB0C54"/>
    <w:rsid w:val="00FB0C61"/>
    <w:rsid w:val="00FB0C8B"/>
    <w:rsid w:val="00FB0CEE"/>
    <w:rsid w:val="00FB0CF7"/>
    <w:rsid w:val="00FB0D05"/>
    <w:rsid w:val="00FB0D49"/>
    <w:rsid w:val="00FB0D60"/>
    <w:rsid w:val="00FB0E01"/>
    <w:rsid w:val="00FB0E7F"/>
    <w:rsid w:val="00FB0E97"/>
    <w:rsid w:val="00FB0EA3"/>
    <w:rsid w:val="00FB0F78"/>
    <w:rsid w:val="00FB101F"/>
    <w:rsid w:val="00FB104F"/>
    <w:rsid w:val="00FB1092"/>
    <w:rsid w:val="00FB10C9"/>
    <w:rsid w:val="00FB10D8"/>
    <w:rsid w:val="00FB10E5"/>
    <w:rsid w:val="00FB111F"/>
    <w:rsid w:val="00FB11EC"/>
    <w:rsid w:val="00FB1203"/>
    <w:rsid w:val="00FB124B"/>
    <w:rsid w:val="00FB1253"/>
    <w:rsid w:val="00FB128D"/>
    <w:rsid w:val="00FB12A2"/>
    <w:rsid w:val="00FB12C9"/>
    <w:rsid w:val="00FB12D0"/>
    <w:rsid w:val="00FB1302"/>
    <w:rsid w:val="00FB132D"/>
    <w:rsid w:val="00FB138D"/>
    <w:rsid w:val="00FB1392"/>
    <w:rsid w:val="00FB139C"/>
    <w:rsid w:val="00FB1467"/>
    <w:rsid w:val="00FB147A"/>
    <w:rsid w:val="00FB1541"/>
    <w:rsid w:val="00FB1563"/>
    <w:rsid w:val="00FB15E7"/>
    <w:rsid w:val="00FB164F"/>
    <w:rsid w:val="00FB166B"/>
    <w:rsid w:val="00FB16AC"/>
    <w:rsid w:val="00FB16B9"/>
    <w:rsid w:val="00FB16E8"/>
    <w:rsid w:val="00FB1739"/>
    <w:rsid w:val="00FB1770"/>
    <w:rsid w:val="00FB1772"/>
    <w:rsid w:val="00FB179E"/>
    <w:rsid w:val="00FB17D2"/>
    <w:rsid w:val="00FB17E6"/>
    <w:rsid w:val="00FB1863"/>
    <w:rsid w:val="00FB18B0"/>
    <w:rsid w:val="00FB18BE"/>
    <w:rsid w:val="00FB18CF"/>
    <w:rsid w:val="00FB1945"/>
    <w:rsid w:val="00FB194B"/>
    <w:rsid w:val="00FB1989"/>
    <w:rsid w:val="00FB19FA"/>
    <w:rsid w:val="00FB1A0C"/>
    <w:rsid w:val="00FB1A72"/>
    <w:rsid w:val="00FB1AC1"/>
    <w:rsid w:val="00FB1AE6"/>
    <w:rsid w:val="00FB1B24"/>
    <w:rsid w:val="00FB1B43"/>
    <w:rsid w:val="00FB1B88"/>
    <w:rsid w:val="00FB1BB9"/>
    <w:rsid w:val="00FB1BC6"/>
    <w:rsid w:val="00FB1BD6"/>
    <w:rsid w:val="00FB1BFE"/>
    <w:rsid w:val="00FB1C21"/>
    <w:rsid w:val="00FB1C33"/>
    <w:rsid w:val="00FB1CB8"/>
    <w:rsid w:val="00FB1CD2"/>
    <w:rsid w:val="00FB1CEA"/>
    <w:rsid w:val="00FB1D2C"/>
    <w:rsid w:val="00FB1D5D"/>
    <w:rsid w:val="00FB1DF6"/>
    <w:rsid w:val="00FB1E27"/>
    <w:rsid w:val="00FB1E46"/>
    <w:rsid w:val="00FB1ED8"/>
    <w:rsid w:val="00FB1EFA"/>
    <w:rsid w:val="00FB1F4A"/>
    <w:rsid w:val="00FB1FA4"/>
    <w:rsid w:val="00FB1FD7"/>
    <w:rsid w:val="00FB1FE8"/>
    <w:rsid w:val="00FB2010"/>
    <w:rsid w:val="00FB202C"/>
    <w:rsid w:val="00FB208C"/>
    <w:rsid w:val="00FB2092"/>
    <w:rsid w:val="00FB209A"/>
    <w:rsid w:val="00FB20EE"/>
    <w:rsid w:val="00FB210C"/>
    <w:rsid w:val="00FB212E"/>
    <w:rsid w:val="00FB2148"/>
    <w:rsid w:val="00FB21AB"/>
    <w:rsid w:val="00FB21B9"/>
    <w:rsid w:val="00FB2225"/>
    <w:rsid w:val="00FB2233"/>
    <w:rsid w:val="00FB2245"/>
    <w:rsid w:val="00FB2317"/>
    <w:rsid w:val="00FB2352"/>
    <w:rsid w:val="00FB2359"/>
    <w:rsid w:val="00FB2389"/>
    <w:rsid w:val="00FB2392"/>
    <w:rsid w:val="00FB23B9"/>
    <w:rsid w:val="00FB2437"/>
    <w:rsid w:val="00FB246F"/>
    <w:rsid w:val="00FB24C1"/>
    <w:rsid w:val="00FB2578"/>
    <w:rsid w:val="00FB2591"/>
    <w:rsid w:val="00FB25F7"/>
    <w:rsid w:val="00FB268C"/>
    <w:rsid w:val="00FB2698"/>
    <w:rsid w:val="00FB26AB"/>
    <w:rsid w:val="00FB2734"/>
    <w:rsid w:val="00FB2738"/>
    <w:rsid w:val="00FB278A"/>
    <w:rsid w:val="00FB2791"/>
    <w:rsid w:val="00FB27BC"/>
    <w:rsid w:val="00FB2808"/>
    <w:rsid w:val="00FB280E"/>
    <w:rsid w:val="00FB2827"/>
    <w:rsid w:val="00FB2856"/>
    <w:rsid w:val="00FB2865"/>
    <w:rsid w:val="00FB2888"/>
    <w:rsid w:val="00FB28E3"/>
    <w:rsid w:val="00FB2942"/>
    <w:rsid w:val="00FB2954"/>
    <w:rsid w:val="00FB2A19"/>
    <w:rsid w:val="00FB2A35"/>
    <w:rsid w:val="00FB2A36"/>
    <w:rsid w:val="00FB2A4D"/>
    <w:rsid w:val="00FB2AA7"/>
    <w:rsid w:val="00FB2B73"/>
    <w:rsid w:val="00FB2BCA"/>
    <w:rsid w:val="00FB2C1C"/>
    <w:rsid w:val="00FB2C3A"/>
    <w:rsid w:val="00FB2D58"/>
    <w:rsid w:val="00FB2D7E"/>
    <w:rsid w:val="00FB2E08"/>
    <w:rsid w:val="00FB2E0D"/>
    <w:rsid w:val="00FB2E49"/>
    <w:rsid w:val="00FB2EF2"/>
    <w:rsid w:val="00FB2F2A"/>
    <w:rsid w:val="00FB2F75"/>
    <w:rsid w:val="00FB2FC6"/>
    <w:rsid w:val="00FB3035"/>
    <w:rsid w:val="00FB30BE"/>
    <w:rsid w:val="00FB30F0"/>
    <w:rsid w:val="00FB3197"/>
    <w:rsid w:val="00FB31E9"/>
    <w:rsid w:val="00FB3213"/>
    <w:rsid w:val="00FB3216"/>
    <w:rsid w:val="00FB324F"/>
    <w:rsid w:val="00FB329E"/>
    <w:rsid w:val="00FB32BC"/>
    <w:rsid w:val="00FB32D0"/>
    <w:rsid w:val="00FB3302"/>
    <w:rsid w:val="00FB3311"/>
    <w:rsid w:val="00FB331E"/>
    <w:rsid w:val="00FB334C"/>
    <w:rsid w:val="00FB334F"/>
    <w:rsid w:val="00FB33DD"/>
    <w:rsid w:val="00FB3478"/>
    <w:rsid w:val="00FB34B1"/>
    <w:rsid w:val="00FB34BD"/>
    <w:rsid w:val="00FB34E8"/>
    <w:rsid w:val="00FB35A2"/>
    <w:rsid w:val="00FB360A"/>
    <w:rsid w:val="00FB3618"/>
    <w:rsid w:val="00FB3624"/>
    <w:rsid w:val="00FB3650"/>
    <w:rsid w:val="00FB3707"/>
    <w:rsid w:val="00FB372F"/>
    <w:rsid w:val="00FB378A"/>
    <w:rsid w:val="00FB379B"/>
    <w:rsid w:val="00FB3842"/>
    <w:rsid w:val="00FB3843"/>
    <w:rsid w:val="00FB3859"/>
    <w:rsid w:val="00FB3896"/>
    <w:rsid w:val="00FB39A5"/>
    <w:rsid w:val="00FB39BE"/>
    <w:rsid w:val="00FB3A04"/>
    <w:rsid w:val="00FB3A2B"/>
    <w:rsid w:val="00FB3A7E"/>
    <w:rsid w:val="00FB3A80"/>
    <w:rsid w:val="00FB3B1E"/>
    <w:rsid w:val="00FB3B7A"/>
    <w:rsid w:val="00FB3B85"/>
    <w:rsid w:val="00FB3BC5"/>
    <w:rsid w:val="00FB3C15"/>
    <w:rsid w:val="00FB3C20"/>
    <w:rsid w:val="00FB3C21"/>
    <w:rsid w:val="00FB3C2D"/>
    <w:rsid w:val="00FB3C66"/>
    <w:rsid w:val="00FB3D21"/>
    <w:rsid w:val="00FB3D24"/>
    <w:rsid w:val="00FB3D45"/>
    <w:rsid w:val="00FB3D54"/>
    <w:rsid w:val="00FB3D92"/>
    <w:rsid w:val="00FB3DEC"/>
    <w:rsid w:val="00FB3E42"/>
    <w:rsid w:val="00FB3E4C"/>
    <w:rsid w:val="00FB3E82"/>
    <w:rsid w:val="00FB3ED4"/>
    <w:rsid w:val="00FB3EDE"/>
    <w:rsid w:val="00FB3EF3"/>
    <w:rsid w:val="00FB3F14"/>
    <w:rsid w:val="00FB4018"/>
    <w:rsid w:val="00FB401C"/>
    <w:rsid w:val="00FB4021"/>
    <w:rsid w:val="00FB4023"/>
    <w:rsid w:val="00FB4066"/>
    <w:rsid w:val="00FB40E4"/>
    <w:rsid w:val="00FB40ED"/>
    <w:rsid w:val="00FB412A"/>
    <w:rsid w:val="00FB4152"/>
    <w:rsid w:val="00FB419E"/>
    <w:rsid w:val="00FB41B8"/>
    <w:rsid w:val="00FB424A"/>
    <w:rsid w:val="00FB424D"/>
    <w:rsid w:val="00FB427E"/>
    <w:rsid w:val="00FB433D"/>
    <w:rsid w:val="00FB4384"/>
    <w:rsid w:val="00FB438E"/>
    <w:rsid w:val="00FB445F"/>
    <w:rsid w:val="00FB44AF"/>
    <w:rsid w:val="00FB44E4"/>
    <w:rsid w:val="00FB4535"/>
    <w:rsid w:val="00FB4546"/>
    <w:rsid w:val="00FB4556"/>
    <w:rsid w:val="00FB4558"/>
    <w:rsid w:val="00FB4574"/>
    <w:rsid w:val="00FB45C1"/>
    <w:rsid w:val="00FB45D6"/>
    <w:rsid w:val="00FB4612"/>
    <w:rsid w:val="00FB4686"/>
    <w:rsid w:val="00FB46AE"/>
    <w:rsid w:val="00FB46BD"/>
    <w:rsid w:val="00FB46EC"/>
    <w:rsid w:val="00FB4727"/>
    <w:rsid w:val="00FB479D"/>
    <w:rsid w:val="00FB47B3"/>
    <w:rsid w:val="00FB47D5"/>
    <w:rsid w:val="00FB4867"/>
    <w:rsid w:val="00FB48AF"/>
    <w:rsid w:val="00FB48B9"/>
    <w:rsid w:val="00FB48E4"/>
    <w:rsid w:val="00FB491C"/>
    <w:rsid w:val="00FB497D"/>
    <w:rsid w:val="00FB4985"/>
    <w:rsid w:val="00FB49CD"/>
    <w:rsid w:val="00FB4A05"/>
    <w:rsid w:val="00FB4A97"/>
    <w:rsid w:val="00FB4B01"/>
    <w:rsid w:val="00FB4B17"/>
    <w:rsid w:val="00FB4B20"/>
    <w:rsid w:val="00FB4C17"/>
    <w:rsid w:val="00FB4C1E"/>
    <w:rsid w:val="00FB4C56"/>
    <w:rsid w:val="00FB4C6C"/>
    <w:rsid w:val="00FB4C97"/>
    <w:rsid w:val="00FB4C9A"/>
    <w:rsid w:val="00FB4CA9"/>
    <w:rsid w:val="00FB4CC5"/>
    <w:rsid w:val="00FB4CCF"/>
    <w:rsid w:val="00FB4D17"/>
    <w:rsid w:val="00FB4D88"/>
    <w:rsid w:val="00FB4DC3"/>
    <w:rsid w:val="00FB4E00"/>
    <w:rsid w:val="00FB4E2E"/>
    <w:rsid w:val="00FB4E40"/>
    <w:rsid w:val="00FB4F46"/>
    <w:rsid w:val="00FB4F84"/>
    <w:rsid w:val="00FB4FCD"/>
    <w:rsid w:val="00FB4FD5"/>
    <w:rsid w:val="00FB4FE3"/>
    <w:rsid w:val="00FB5094"/>
    <w:rsid w:val="00FB50F7"/>
    <w:rsid w:val="00FB5135"/>
    <w:rsid w:val="00FB5154"/>
    <w:rsid w:val="00FB515E"/>
    <w:rsid w:val="00FB516F"/>
    <w:rsid w:val="00FB51EE"/>
    <w:rsid w:val="00FB51F1"/>
    <w:rsid w:val="00FB5219"/>
    <w:rsid w:val="00FB5226"/>
    <w:rsid w:val="00FB5238"/>
    <w:rsid w:val="00FB526B"/>
    <w:rsid w:val="00FB52BD"/>
    <w:rsid w:val="00FB5323"/>
    <w:rsid w:val="00FB5339"/>
    <w:rsid w:val="00FB5370"/>
    <w:rsid w:val="00FB538A"/>
    <w:rsid w:val="00FB53D3"/>
    <w:rsid w:val="00FB53FD"/>
    <w:rsid w:val="00FB5456"/>
    <w:rsid w:val="00FB5482"/>
    <w:rsid w:val="00FB549D"/>
    <w:rsid w:val="00FB54D5"/>
    <w:rsid w:val="00FB54EF"/>
    <w:rsid w:val="00FB559F"/>
    <w:rsid w:val="00FB55A4"/>
    <w:rsid w:val="00FB55BF"/>
    <w:rsid w:val="00FB55E3"/>
    <w:rsid w:val="00FB56B7"/>
    <w:rsid w:val="00FB577C"/>
    <w:rsid w:val="00FB57DD"/>
    <w:rsid w:val="00FB585F"/>
    <w:rsid w:val="00FB588B"/>
    <w:rsid w:val="00FB5891"/>
    <w:rsid w:val="00FB58E8"/>
    <w:rsid w:val="00FB5925"/>
    <w:rsid w:val="00FB5956"/>
    <w:rsid w:val="00FB5AAD"/>
    <w:rsid w:val="00FB5AB3"/>
    <w:rsid w:val="00FB5AD5"/>
    <w:rsid w:val="00FB5B22"/>
    <w:rsid w:val="00FB5B86"/>
    <w:rsid w:val="00FB5BDB"/>
    <w:rsid w:val="00FB5C2C"/>
    <w:rsid w:val="00FB5C89"/>
    <w:rsid w:val="00FB5C8B"/>
    <w:rsid w:val="00FB5CC1"/>
    <w:rsid w:val="00FB5CCE"/>
    <w:rsid w:val="00FB5D0F"/>
    <w:rsid w:val="00FB5D16"/>
    <w:rsid w:val="00FB5DA6"/>
    <w:rsid w:val="00FB5DEF"/>
    <w:rsid w:val="00FB5F40"/>
    <w:rsid w:val="00FB5F56"/>
    <w:rsid w:val="00FB5F7B"/>
    <w:rsid w:val="00FB5FB0"/>
    <w:rsid w:val="00FB5FCA"/>
    <w:rsid w:val="00FB605B"/>
    <w:rsid w:val="00FB610B"/>
    <w:rsid w:val="00FB610D"/>
    <w:rsid w:val="00FB612D"/>
    <w:rsid w:val="00FB61A3"/>
    <w:rsid w:val="00FB61E4"/>
    <w:rsid w:val="00FB6228"/>
    <w:rsid w:val="00FB6256"/>
    <w:rsid w:val="00FB6259"/>
    <w:rsid w:val="00FB6362"/>
    <w:rsid w:val="00FB63BC"/>
    <w:rsid w:val="00FB63FA"/>
    <w:rsid w:val="00FB640F"/>
    <w:rsid w:val="00FB6413"/>
    <w:rsid w:val="00FB6436"/>
    <w:rsid w:val="00FB645E"/>
    <w:rsid w:val="00FB6461"/>
    <w:rsid w:val="00FB6466"/>
    <w:rsid w:val="00FB6471"/>
    <w:rsid w:val="00FB64CF"/>
    <w:rsid w:val="00FB651E"/>
    <w:rsid w:val="00FB6563"/>
    <w:rsid w:val="00FB6586"/>
    <w:rsid w:val="00FB667A"/>
    <w:rsid w:val="00FB66A1"/>
    <w:rsid w:val="00FB66F0"/>
    <w:rsid w:val="00FB6725"/>
    <w:rsid w:val="00FB67BE"/>
    <w:rsid w:val="00FB67FB"/>
    <w:rsid w:val="00FB68D2"/>
    <w:rsid w:val="00FB68F6"/>
    <w:rsid w:val="00FB694D"/>
    <w:rsid w:val="00FB6962"/>
    <w:rsid w:val="00FB698A"/>
    <w:rsid w:val="00FB69A2"/>
    <w:rsid w:val="00FB69C7"/>
    <w:rsid w:val="00FB6A08"/>
    <w:rsid w:val="00FB6A36"/>
    <w:rsid w:val="00FB6A3A"/>
    <w:rsid w:val="00FB6AB8"/>
    <w:rsid w:val="00FB6ADB"/>
    <w:rsid w:val="00FB6AE8"/>
    <w:rsid w:val="00FB6B50"/>
    <w:rsid w:val="00FB6B72"/>
    <w:rsid w:val="00FB6BAB"/>
    <w:rsid w:val="00FB6BC8"/>
    <w:rsid w:val="00FB6BE1"/>
    <w:rsid w:val="00FB6C4C"/>
    <w:rsid w:val="00FB6CA8"/>
    <w:rsid w:val="00FB6CA9"/>
    <w:rsid w:val="00FB6CB7"/>
    <w:rsid w:val="00FB6CD8"/>
    <w:rsid w:val="00FB6D41"/>
    <w:rsid w:val="00FB6D62"/>
    <w:rsid w:val="00FB6D76"/>
    <w:rsid w:val="00FB6D9D"/>
    <w:rsid w:val="00FB6E23"/>
    <w:rsid w:val="00FB6EF3"/>
    <w:rsid w:val="00FB6F2B"/>
    <w:rsid w:val="00FB6F38"/>
    <w:rsid w:val="00FB6F3B"/>
    <w:rsid w:val="00FB6F69"/>
    <w:rsid w:val="00FB6F8E"/>
    <w:rsid w:val="00FB6F8F"/>
    <w:rsid w:val="00FB6FD3"/>
    <w:rsid w:val="00FB705F"/>
    <w:rsid w:val="00FB7074"/>
    <w:rsid w:val="00FB707B"/>
    <w:rsid w:val="00FB7102"/>
    <w:rsid w:val="00FB7122"/>
    <w:rsid w:val="00FB7171"/>
    <w:rsid w:val="00FB717F"/>
    <w:rsid w:val="00FB71A5"/>
    <w:rsid w:val="00FB71B8"/>
    <w:rsid w:val="00FB722D"/>
    <w:rsid w:val="00FB7250"/>
    <w:rsid w:val="00FB725E"/>
    <w:rsid w:val="00FB7262"/>
    <w:rsid w:val="00FB72BA"/>
    <w:rsid w:val="00FB72BB"/>
    <w:rsid w:val="00FB72DF"/>
    <w:rsid w:val="00FB72E0"/>
    <w:rsid w:val="00FB7387"/>
    <w:rsid w:val="00FB7388"/>
    <w:rsid w:val="00FB73D7"/>
    <w:rsid w:val="00FB7442"/>
    <w:rsid w:val="00FB7461"/>
    <w:rsid w:val="00FB749A"/>
    <w:rsid w:val="00FB7512"/>
    <w:rsid w:val="00FB7540"/>
    <w:rsid w:val="00FB758A"/>
    <w:rsid w:val="00FB7590"/>
    <w:rsid w:val="00FB759C"/>
    <w:rsid w:val="00FB75BB"/>
    <w:rsid w:val="00FB75F6"/>
    <w:rsid w:val="00FB760A"/>
    <w:rsid w:val="00FB7662"/>
    <w:rsid w:val="00FB7671"/>
    <w:rsid w:val="00FB76D9"/>
    <w:rsid w:val="00FB76FF"/>
    <w:rsid w:val="00FB775A"/>
    <w:rsid w:val="00FB77AF"/>
    <w:rsid w:val="00FB77BE"/>
    <w:rsid w:val="00FB77D1"/>
    <w:rsid w:val="00FB7870"/>
    <w:rsid w:val="00FB788B"/>
    <w:rsid w:val="00FB78A9"/>
    <w:rsid w:val="00FB78AC"/>
    <w:rsid w:val="00FB78F6"/>
    <w:rsid w:val="00FB794B"/>
    <w:rsid w:val="00FB7999"/>
    <w:rsid w:val="00FB7A29"/>
    <w:rsid w:val="00FB7A5B"/>
    <w:rsid w:val="00FB7A76"/>
    <w:rsid w:val="00FB7A97"/>
    <w:rsid w:val="00FB7AD4"/>
    <w:rsid w:val="00FB7AD9"/>
    <w:rsid w:val="00FB7B1D"/>
    <w:rsid w:val="00FB7B84"/>
    <w:rsid w:val="00FB7B97"/>
    <w:rsid w:val="00FB7BB9"/>
    <w:rsid w:val="00FB7BEA"/>
    <w:rsid w:val="00FB7C2A"/>
    <w:rsid w:val="00FB7C2D"/>
    <w:rsid w:val="00FB7C7A"/>
    <w:rsid w:val="00FB7CAE"/>
    <w:rsid w:val="00FB7CB0"/>
    <w:rsid w:val="00FB7D5C"/>
    <w:rsid w:val="00FB7DB0"/>
    <w:rsid w:val="00FB7DDD"/>
    <w:rsid w:val="00FB7E27"/>
    <w:rsid w:val="00FB7E4F"/>
    <w:rsid w:val="00FB7E85"/>
    <w:rsid w:val="00FB7EB6"/>
    <w:rsid w:val="00FB7EBD"/>
    <w:rsid w:val="00FB7ED7"/>
    <w:rsid w:val="00FB7F39"/>
    <w:rsid w:val="00FB7F52"/>
    <w:rsid w:val="00FB7F6E"/>
    <w:rsid w:val="00FC0012"/>
    <w:rsid w:val="00FC0083"/>
    <w:rsid w:val="00FC00CA"/>
    <w:rsid w:val="00FC0105"/>
    <w:rsid w:val="00FC01B2"/>
    <w:rsid w:val="00FC029A"/>
    <w:rsid w:val="00FC02FF"/>
    <w:rsid w:val="00FC0361"/>
    <w:rsid w:val="00FC036B"/>
    <w:rsid w:val="00FC03D5"/>
    <w:rsid w:val="00FC0404"/>
    <w:rsid w:val="00FC0407"/>
    <w:rsid w:val="00FC0415"/>
    <w:rsid w:val="00FC043E"/>
    <w:rsid w:val="00FC0455"/>
    <w:rsid w:val="00FC0481"/>
    <w:rsid w:val="00FC0486"/>
    <w:rsid w:val="00FC0491"/>
    <w:rsid w:val="00FC04A8"/>
    <w:rsid w:val="00FC0555"/>
    <w:rsid w:val="00FC058C"/>
    <w:rsid w:val="00FC05BF"/>
    <w:rsid w:val="00FC05EE"/>
    <w:rsid w:val="00FC061D"/>
    <w:rsid w:val="00FC0684"/>
    <w:rsid w:val="00FC0703"/>
    <w:rsid w:val="00FC0735"/>
    <w:rsid w:val="00FC0846"/>
    <w:rsid w:val="00FC08A7"/>
    <w:rsid w:val="00FC08F6"/>
    <w:rsid w:val="00FC096D"/>
    <w:rsid w:val="00FC098C"/>
    <w:rsid w:val="00FC099A"/>
    <w:rsid w:val="00FC0AAB"/>
    <w:rsid w:val="00FC0B29"/>
    <w:rsid w:val="00FC0B57"/>
    <w:rsid w:val="00FC0B84"/>
    <w:rsid w:val="00FC0BF9"/>
    <w:rsid w:val="00FC0C06"/>
    <w:rsid w:val="00FC0C6C"/>
    <w:rsid w:val="00FC0CC5"/>
    <w:rsid w:val="00FC0CE2"/>
    <w:rsid w:val="00FC0CF4"/>
    <w:rsid w:val="00FC0CFB"/>
    <w:rsid w:val="00FC0D4E"/>
    <w:rsid w:val="00FC0DC5"/>
    <w:rsid w:val="00FC0F15"/>
    <w:rsid w:val="00FC0F53"/>
    <w:rsid w:val="00FC0FA5"/>
    <w:rsid w:val="00FC1026"/>
    <w:rsid w:val="00FC102C"/>
    <w:rsid w:val="00FC1051"/>
    <w:rsid w:val="00FC109E"/>
    <w:rsid w:val="00FC1102"/>
    <w:rsid w:val="00FC1138"/>
    <w:rsid w:val="00FC11FB"/>
    <w:rsid w:val="00FC1204"/>
    <w:rsid w:val="00FC1215"/>
    <w:rsid w:val="00FC1285"/>
    <w:rsid w:val="00FC128B"/>
    <w:rsid w:val="00FC129D"/>
    <w:rsid w:val="00FC12C5"/>
    <w:rsid w:val="00FC12FD"/>
    <w:rsid w:val="00FC13E0"/>
    <w:rsid w:val="00FC145B"/>
    <w:rsid w:val="00FC145C"/>
    <w:rsid w:val="00FC1481"/>
    <w:rsid w:val="00FC148D"/>
    <w:rsid w:val="00FC14AA"/>
    <w:rsid w:val="00FC1509"/>
    <w:rsid w:val="00FC1559"/>
    <w:rsid w:val="00FC1621"/>
    <w:rsid w:val="00FC1624"/>
    <w:rsid w:val="00FC1629"/>
    <w:rsid w:val="00FC1746"/>
    <w:rsid w:val="00FC176D"/>
    <w:rsid w:val="00FC1802"/>
    <w:rsid w:val="00FC1827"/>
    <w:rsid w:val="00FC184D"/>
    <w:rsid w:val="00FC1887"/>
    <w:rsid w:val="00FC1969"/>
    <w:rsid w:val="00FC19E7"/>
    <w:rsid w:val="00FC19F1"/>
    <w:rsid w:val="00FC1A1E"/>
    <w:rsid w:val="00FC1A33"/>
    <w:rsid w:val="00FC1A8F"/>
    <w:rsid w:val="00FC1A99"/>
    <w:rsid w:val="00FC1B12"/>
    <w:rsid w:val="00FC1BC8"/>
    <w:rsid w:val="00FC1BFC"/>
    <w:rsid w:val="00FC1CC9"/>
    <w:rsid w:val="00FC1D43"/>
    <w:rsid w:val="00FC1E09"/>
    <w:rsid w:val="00FC1E3A"/>
    <w:rsid w:val="00FC1E3B"/>
    <w:rsid w:val="00FC1E80"/>
    <w:rsid w:val="00FC1EC4"/>
    <w:rsid w:val="00FC1EE9"/>
    <w:rsid w:val="00FC1F15"/>
    <w:rsid w:val="00FC1F1A"/>
    <w:rsid w:val="00FC1F1B"/>
    <w:rsid w:val="00FC1F37"/>
    <w:rsid w:val="00FC1F46"/>
    <w:rsid w:val="00FC1F5C"/>
    <w:rsid w:val="00FC1F9B"/>
    <w:rsid w:val="00FC1FE0"/>
    <w:rsid w:val="00FC1FEA"/>
    <w:rsid w:val="00FC200A"/>
    <w:rsid w:val="00FC203D"/>
    <w:rsid w:val="00FC20B3"/>
    <w:rsid w:val="00FC20B6"/>
    <w:rsid w:val="00FC2106"/>
    <w:rsid w:val="00FC2130"/>
    <w:rsid w:val="00FC21A3"/>
    <w:rsid w:val="00FC21D7"/>
    <w:rsid w:val="00FC2207"/>
    <w:rsid w:val="00FC2247"/>
    <w:rsid w:val="00FC225B"/>
    <w:rsid w:val="00FC2265"/>
    <w:rsid w:val="00FC2299"/>
    <w:rsid w:val="00FC22F8"/>
    <w:rsid w:val="00FC2332"/>
    <w:rsid w:val="00FC2354"/>
    <w:rsid w:val="00FC23E1"/>
    <w:rsid w:val="00FC23EB"/>
    <w:rsid w:val="00FC2428"/>
    <w:rsid w:val="00FC24B2"/>
    <w:rsid w:val="00FC24FD"/>
    <w:rsid w:val="00FC2501"/>
    <w:rsid w:val="00FC251F"/>
    <w:rsid w:val="00FC2559"/>
    <w:rsid w:val="00FC2578"/>
    <w:rsid w:val="00FC261C"/>
    <w:rsid w:val="00FC2648"/>
    <w:rsid w:val="00FC26CA"/>
    <w:rsid w:val="00FC286E"/>
    <w:rsid w:val="00FC28F4"/>
    <w:rsid w:val="00FC293E"/>
    <w:rsid w:val="00FC29C7"/>
    <w:rsid w:val="00FC2A81"/>
    <w:rsid w:val="00FC2A9D"/>
    <w:rsid w:val="00FC2B38"/>
    <w:rsid w:val="00FC2B3D"/>
    <w:rsid w:val="00FC2BC3"/>
    <w:rsid w:val="00FC2C30"/>
    <w:rsid w:val="00FC2C34"/>
    <w:rsid w:val="00FC2C4D"/>
    <w:rsid w:val="00FC2C62"/>
    <w:rsid w:val="00FC2CA0"/>
    <w:rsid w:val="00FC2D24"/>
    <w:rsid w:val="00FC2D27"/>
    <w:rsid w:val="00FC2D78"/>
    <w:rsid w:val="00FC2DE6"/>
    <w:rsid w:val="00FC2DF8"/>
    <w:rsid w:val="00FC2E12"/>
    <w:rsid w:val="00FC2E35"/>
    <w:rsid w:val="00FC2E6E"/>
    <w:rsid w:val="00FC2EC1"/>
    <w:rsid w:val="00FC2EDE"/>
    <w:rsid w:val="00FC2F25"/>
    <w:rsid w:val="00FC2F7A"/>
    <w:rsid w:val="00FC3037"/>
    <w:rsid w:val="00FC3050"/>
    <w:rsid w:val="00FC310C"/>
    <w:rsid w:val="00FC3113"/>
    <w:rsid w:val="00FC3131"/>
    <w:rsid w:val="00FC3132"/>
    <w:rsid w:val="00FC314A"/>
    <w:rsid w:val="00FC315F"/>
    <w:rsid w:val="00FC3199"/>
    <w:rsid w:val="00FC31F7"/>
    <w:rsid w:val="00FC3241"/>
    <w:rsid w:val="00FC332E"/>
    <w:rsid w:val="00FC3345"/>
    <w:rsid w:val="00FC337B"/>
    <w:rsid w:val="00FC338A"/>
    <w:rsid w:val="00FC33BD"/>
    <w:rsid w:val="00FC33C8"/>
    <w:rsid w:val="00FC346C"/>
    <w:rsid w:val="00FC34CB"/>
    <w:rsid w:val="00FC34DB"/>
    <w:rsid w:val="00FC34EC"/>
    <w:rsid w:val="00FC3520"/>
    <w:rsid w:val="00FC35D2"/>
    <w:rsid w:val="00FC35D9"/>
    <w:rsid w:val="00FC364E"/>
    <w:rsid w:val="00FC36C1"/>
    <w:rsid w:val="00FC3721"/>
    <w:rsid w:val="00FC372B"/>
    <w:rsid w:val="00FC3747"/>
    <w:rsid w:val="00FC37A5"/>
    <w:rsid w:val="00FC381B"/>
    <w:rsid w:val="00FC3826"/>
    <w:rsid w:val="00FC387A"/>
    <w:rsid w:val="00FC38B8"/>
    <w:rsid w:val="00FC38C6"/>
    <w:rsid w:val="00FC38CE"/>
    <w:rsid w:val="00FC38D8"/>
    <w:rsid w:val="00FC38E8"/>
    <w:rsid w:val="00FC3915"/>
    <w:rsid w:val="00FC394B"/>
    <w:rsid w:val="00FC3A27"/>
    <w:rsid w:val="00FC3A59"/>
    <w:rsid w:val="00FC3A72"/>
    <w:rsid w:val="00FC3A79"/>
    <w:rsid w:val="00FC3AAE"/>
    <w:rsid w:val="00FC3B18"/>
    <w:rsid w:val="00FC3B94"/>
    <w:rsid w:val="00FC3BD7"/>
    <w:rsid w:val="00FC3BEB"/>
    <w:rsid w:val="00FC3C31"/>
    <w:rsid w:val="00FC3C46"/>
    <w:rsid w:val="00FC3CE4"/>
    <w:rsid w:val="00FC3CF9"/>
    <w:rsid w:val="00FC3D11"/>
    <w:rsid w:val="00FC3D15"/>
    <w:rsid w:val="00FC3D9C"/>
    <w:rsid w:val="00FC3E35"/>
    <w:rsid w:val="00FC3E8F"/>
    <w:rsid w:val="00FC3E9C"/>
    <w:rsid w:val="00FC3EA6"/>
    <w:rsid w:val="00FC3F39"/>
    <w:rsid w:val="00FC3F6E"/>
    <w:rsid w:val="00FC3F74"/>
    <w:rsid w:val="00FC3FF7"/>
    <w:rsid w:val="00FC4021"/>
    <w:rsid w:val="00FC402B"/>
    <w:rsid w:val="00FC4032"/>
    <w:rsid w:val="00FC4070"/>
    <w:rsid w:val="00FC40B3"/>
    <w:rsid w:val="00FC41C8"/>
    <w:rsid w:val="00FC41CF"/>
    <w:rsid w:val="00FC421E"/>
    <w:rsid w:val="00FC4273"/>
    <w:rsid w:val="00FC42CA"/>
    <w:rsid w:val="00FC42DB"/>
    <w:rsid w:val="00FC4326"/>
    <w:rsid w:val="00FC43CA"/>
    <w:rsid w:val="00FC43FE"/>
    <w:rsid w:val="00FC445F"/>
    <w:rsid w:val="00FC447D"/>
    <w:rsid w:val="00FC449F"/>
    <w:rsid w:val="00FC4511"/>
    <w:rsid w:val="00FC4582"/>
    <w:rsid w:val="00FC45AF"/>
    <w:rsid w:val="00FC461D"/>
    <w:rsid w:val="00FC4622"/>
    <w:rsid w:val="00FC4624"/>
    <w:rsid w:val="00FC4656"/>
    <w:rsid w:val="00FC468E"/>
    <w:rsid w:val="00FC46B5"/>
    <w:rsid w:val="00FC46E6"/>
    <w:rsid w:val="00FC473F"/>
    <w:rsid w:val="00FC4755"/>
    <w:rsid w:val="00FC47F0"/>
    <w:rsid w:val="00FC4837"/>
    <w:rsid w:val="00FC488E"/>
    <w:rsid w:val="00FC48C5"/>
    <w:rsid w:val="00FC48E0"/>
    <w:rsid w:val="00FC48EC"/>
    <w:rsid w:val="00FC4AD2"/>
    <w:rsid w:val="00FC4AED"/>
    <w:rsid w:val="00FC4B20"/>
    <w:rsid w:val="00FC4B2D"/>
    <w:rsid w:val="00FC4B33"/>
    <w:rsid w:val="00FC4B40"/>
    <w:rsid w:val="00FC4B4F"/>
    <w:rsid w:val="00FC4B6D"/>
    <w:rsid w:val="00FC4BC0"/>
    <w:rsid w:val="00FC4BC3"/>
    <w:rsid w:val="00FC4BE4"/>
    <w:rsid w:val="00FC4BF2"/>
    <w:rsid w:val="00FC4C2E"/>
    <w:rsid w:val="00FC4C72"/>
    <w:rsid w:val="00FC4CD5"/>
    <w:rsid w:val="00FC4CE4"/>
    <w:rsid w:val="00FC4CF8"/>
    <w:rsid w:val="00FC4CFE"/>
    <w:rsid w:val="00FC4D03"/>
    <w:rsid w:val="00FC4D37"/>
    <w:rsid w:val="00FC4D63"/>
    <w:rsid w:val="00FC4DD7"/>
    <w:rsid w:val="00FC4DE5"/>
    <w:rsid w:val="00FC4E4A"/>
    <w:rsid w:val="00FC4E5C"/>
    <w:rsid w:val="00FC4EA1"/>
    <w:rsid w:val="00FC4F5A"/>
    <w:rsid w:val="00FC4F88"/>
    <w:rsid w:val="00FC5029"/>
    <w:rsid w:val="00FC5033"/>
    <w:rsid w:val="00FC5075"/>
    <w:rsid w:val="00FC5086"/>
    <w:rsid w:val="00FC5113"/>
    <w:rsid w:val="00FC512C"/>
    <w:rsid w:val="00FC5174"/>
    <w:rsid w:val="00FC51D1"/>
    <w:rsid w:val="00FC51DB"/>
    <w:rsid w:val="00FC51FB"/>
    <w:rsid w:val="00FC5206"/>
    <w:rsid w:val="00FC520C"/>
    <w:rsid w:val="00FC5212"/>
    <w:rsid w:val="00FC5245"/>
    <w:rsid w:val="00FC5386"/>
    <w:rsid w:val="00FC5388"/>
    <w:rsid w:val="00FC53BF"/>
    <w:rsid w:val="00FC53FF"/>
    <w:rsid w:val="00FC544F"/>
    <w:rsid w:val="00FC5455"/>
    <w:rsid w:val="00FC549E"/>
    <w:rsid w:val="00FC54CF"/>
    <w:rsid w:val="00FC54DE"/>
    <w:rsid w:val="00FC5510"/>
    <w:rsid w:val="00FC5583"/>
    <w:rsid w:val="00FC55A7"/>
    <w:rsid w:val="00FC55E5"/>
    <w:rsid w:val="00FC561B"/>
    <w:rsid w:val="00FC5623"/>
    <w:rsid w:val="00FC5645"/>
    <w:rsid w:val="00FC5647"/>
    <w:rsid w:val="00FC5662"/>
    <w:rsid w:val="00FC566D"/>
    <w:rsid w:val="00FC571E"/>
    <w:rsid w:val="00FC5721"/>
    <w:rsid w:val="00FC5769"/>
    <w:rsid w:val="00FC57C6"/>
    <w:rsid w:val="00FC57C7"/>
    <w:rsid w:val="00FC57D6"/>
    <w:rsid w:val="00FC57D9"/>
    <w:rsid w:val="00FC57EE"/>
    <w:rsid w:val="00FC5889"/>
    <w:rsid w:val="00FC588D"/>
    <w:rsid w:val="00FC58C8"/>
    <w:rsid w:val="00FC58DE"/>
    <w:rsid w:val="00FC58E3"/>
    <w:rsid w:val="00FC58ED"/>
    <w:rsid w:val="00FC596E"/>
    <w:rsid w:val="00FC5982"/>
    <w:rsid w:val="00FC59AB"/>
    <w:rsid w:val="00FC5A01"/>
    <w:rsid w:val="00FC5A03"/>
    <w:rsid w:val="00FC5AC4"/>
    <w:rsid w:val="00FC5ADB"/>
    <w:rsid w:val="00FC5AF6"/>
    <w:rsid w:val="00FC5B0E"/>
    <w:rsid w:val="00FC5B34"/>
    <w:rsid w:val="00FC5B5F"/>
    <w:rsid w:val="00FC5BEC"/>
    <w:rsid w:val="00FC5C0D"/>
    <w:rsid w:val="00FC5C15"/>
    <w:rsid w:val="00FC5C19"/>
    <w:rsid w:val="00FC5C1C"/>
    <w:rsid w:val="00FC5C6B"/>
    <w:rsid w:val="00FC5CB6"/>
    <w:rsid w:val="00FC5D36"/>
    <w:rsid w:val="00FC5D57"/>
    <w:rsid w:val="00FC5D6B"/>
    <w:rsid w:val="00FC5D6E"/>
    <w:rsid w:val="00FC5DA6"/>
    <w:rsid w:val="00FC5E62"/>
    <w:rsid w:val="00FC5E75"/>
    <w:rsid w:val="00FC5E84"/>
    <w:rsid w:val="00FC5EBF"/>
    <w:rsid w:val="00FC5ED3"/>
    <w:rsid w:val="00FC5EDF"/>
    <w:rsid w:val="00FC5F03"/>
    <w:rsid w:val="00FC5F50"/>
    <w:rsid w:val="00FC5F78"/>
    <w:rsid w:val="00FC5FDF"/>
    <w:rsid w:val="00FC6035"/>
    <w:rsid w:val="00FC605A"/>
    <w:rsid w:val="00FC6097"/>
    <w:rsid w:val="00FC60B4"/>
    <w:rsid w:val="00FC6129"/>
    <w:rsid w:val="00FC6130"/>
    <w:rsid w:val="00FC6146"/>
    <w:rsid w:val="00FC6150"/>
    <w:rsid w:val="00FC6159"/>
    <w:rsid w:val="00FC618C"/>
    <w:rsid w:val="00FC61C4"/>
    <w:rsid w:val="00FC61F7"/>
    <w:rsid w:val="00FC6205"/>
    <w:rsid w:val="00FC620E"/>
    <w:rsid w:val="00FC622E"/>
    <w:rsid w:val="00FC6254"/>
    <w:rsid w:val="00FC6271"/>
    <w:rsid w:val="00FC6288"/>
    <w:rsid w:val="00FC6318"/>
    <w:rsid w:val="00FC6356"/>
    <w:rsid w:val="00FC63BB"/>
    <w:rsid w:val="00FC63BF"/>
    <w:rsid w:val="00FC63D6"/>
    <w:rsid w:val="00FC6413"/>
    <w:rsid w:val="00FC6495"/>
    <w:rsid w:val="00FC64C0"/>
    <w:rsid w:val="00FC64E6"/>
    <w:rsid w:val="00FC654B"/>
    <w:rsid w:val="00FC6565"/>
    <w:rsid w:val="00FC6580"/>
    <w:rsid w:val="00FC65CE"/>
    <w:rsid w:val="00FC65FD"/>
    <w:rsid w:val="00FC6620"/>
    <w:rsid w:val="00FC6630"/>
    <w:rsid w:val="00FC6640"/>
    <w:rsid w:val="00FC664C"/>
    <w:rsid w:val="00FC6663"/>
    <w:rsid w:val="00FC6681"/>
    <w:rsid w:val="00FC672E"/>
    <w:rsid w:val="00FC673C"/>
    <w:rsid w:val="00FC6755"/>
    <w:rsid w:val="00FC6818"/>
    <w:rsid w:val="00FC685A"/>
    <w:rsid w:val="00FC6879"/>
    <w:rsid w:val="00FC68A3"/>
    <w:rsid w:val="00FC68AE"/>
    <w:rsid w:val="00FC68F4"/>
    <w:rsid w:val="00FC6904"/>
    <w:rsid w:val="00FC6939"/>
    <w:rsid w:val="00FC6955"/>
    <w:rsid w:val="00FC6960"/>
    <w:rsid w:val="00FC699C"/>
    <w:rsid w:val="00FC69A0"/>
    <w:rsid w:val="00FC69A1"/>
    <w:rsid w:val="00FC6A17"/>
    <w:rsid w:val="00FC6A33"/>
    <w:rsid w:val="00FC6A55"/>
    <w:rsid w:val="00FC6A98"/>
    <w:rsid w:val="00FC6AE3"/>
    <w:rsid w:val="00FC6AF0"/>
    <w:rsid w:val="00FC6B07"/>
    <w:rsid w:val="00FC6B18"/>
    <w:rsid w:val="00FC6B5B"/>
    <w:rsid w:val="00FC6B7A"/>
    <w:rsid w:val="00FC6BD1"/>
    <w:rsid w:val="00FC6BE4"/>
    <w:rsid w:val="00FC6C20"/>
    <w:rsid w:val="00FC6C5B"/>
    <w:rsid w:val="00FC6CD4"/>
    <w:rsid w:val="00FC6CF8"/>
    <w:rsid w:val="00FC6D1B"/>
    <w:rsid w:val="00FC6D54"/>
    <w:rsid w:val="00FC6DEE"/>
    <w:rsid w:val="00FC6DFF"/>
    <w:rsid w:val="00FC6E43"/>
    <w:rsid w:val="00FC6E4C"/>
    <w:rsid w:val="00FC6E65"/>
    <w:rsid w:val="00FC6E7C"/>
    <w:rsid w:val="00FC6E8D"/>
    <w:rsid w:val="00FC6E9D"/>
    <w:rsid w:val="00FC6EB2"/>
    <w:rsid w:val="00FC6FA9"/>
    <w:rsid w:val="00FC6FCB"/>
    <w:rsid w:val="00FC7012"/>
    <w:rsid w:val="00FC7029"/>
    <w:rsid w:val="00FC7037"/>
    <w:rsid w:val="00FC7047"/>
    <w:rsid w:val="00FC7051"/>
    <w:rsid w:val="00FC70DF"/>
    <w:rsid w:val="00FC7172"/>
    <w:rsid w:val="00FC71A4"/>
    <w:rsid w:val="00FC71C1"/>
    <w:rsid w:val="00FC71C9"/>
    <w:rsid w:val="00FC71D1"/>
    <w:rsid w:val="00FC71E1"/>
    <w:rsid w:val="00FC723E"/>
    <w:rsid w:val="00FC72C1"/>
    <w:rsid w:val="00FC72E8"/>
    <w:rsid w:val="00FC72FA"/>
    <w:rsid w:val="00FC7360"/>
    <w:rsid w:val="00FC73BD"/>
    <w:rsid w:val="00FC73C1"/>
    <w:rsid w:val="00FC73EA"/>
    <w:rsid w:val="00FC73F1"/>
    <w:rsid w:val="00FC7435"/>
    <w:rsid w:val="00FC745E"/>
    <w:rsid w:val="00FC74BC"/>
    <w:rsid w:val="00FC752D"/>
    <w:rsid w:val="00FC754A"/>
    <w:rsid w:val="00FC75A9"/>
    <w:rsid w:val="00FC75E9"/>
    <w:rsid w:val="00FC75F7"/>
    <w:rsid w:val="00FC75FD"/>
    <w:rsid w:val="00FC7606"/>
    <w:rsid w:val="00FC766D"/>
    <w:rsid w:val="00FC76B5"/>
    <w:rsid w:val="00FC76CB"/>
    <w:rsid w:val="00FC76DA"/>
    <w:rsid w:val="00FC771B"/>
    <w:rsid w:val="00FC7721"/>
    <w:rsid w:val="00FC7738"/>
    <w:rsid w:val="00FC77A2"/>
    <w:rsid w:val="00FC7842"/>
    <w:rsid w:val="00FC78CB"/>
    <w:rsid w:val="00FC78D0"/>
    <w:rsid w:val="00FC791C"/>
    <w:rsid w:val="00FC7940"/>
    <w:rsid w:val="00FC7942"/>
    <w:rsid w:val="00FC7954"/>
    <w:rsid w:val="00FC79AE"/>
    <w:rsid w:val="00FC79B6"/>
    <w:rsid w:val="00FC7A5C"/>
    <w:rsid w:val="00FC7A78"/>
    <w:rsid w:val="00FC7A95"/>
    <w:rsid w:val="00FC7B29"/>
    <w:rsid w:val="00FC7BCD"/>
    <w:rsid w:val="00FC7C0F"/>
    <w:rsid w:val="00FC7C19"/>
    <w:rsid w:val="00FC7C1C"/>
    <w:rsid w:val="00FC7C5F"/>
    <w:rsid w:val="00FC7C93"/>
    <w:rsid w:val="00FC7CA1"/>
    <w:rsid w:val="00FC7CA4"/>
    <w:rsid w:val="00FC7CB7"/>
    <w:rsid w:val="00FC7CC0"/>
    <w:rsid w:val="00FC7D09"/>
    <w:rsid w:val="00FC7D11"/>
    <w:rsid w:val="00FC7D2B"/>
    <w:rsid w:val="00FC7D45"/>
    <w:rsid w:val="00FC7D59"/>
    <w:rsid w:val="00FC7DA5"/>
    <w:rsid w:val="00FC7E18"/>
    <w:rsid w:val="00FC7E29"/>
    <w:rsid w:val="00FC7E5E"/>
    <w:rsid w:val="00FC7EC4"/>
    <w:rsid w:val="00FC7ECC"/>
    <w:rsid w:val="00FC7EDE"/>
    <w:rsid w:val="00FC7EE9"/>
    <w:rsid w:val="00FC7F40"/>
    <w:rsid w:val="00FC7F5B"/>
    <w:rsid w:val="00FC7F89"/>
    <w:rsid w:val="00FC7F9A"/>
    <w:rsid w:val="00FC7FE5"/>
    <w:rsid w:val="00FCB0FE"/>
    <w:rsid w:val="00FD0003"/>
    <w:rsid w:val="00FD003B"/>
    <w:rsid w:val="00FD008A"/>
    <w:rsid w:val="00FD014E"/>
    <w:rsid w:val="00FD0162"/>
    <w:rsid w:val="00FD0184"/>
    <w:rsid w:val="00FD01AF"/>
    <w:rsid w:val="00FD021A"/>
    <w:rsid w:val="00FD0254"/>
    <w:rsid w:val="00FD0313"/>
    <w:rsid w:val="00FD0374"/>
    <w:rsid w:val="00FD0395"/>
    <w:rsid w:val="00FD045F"/>
    <w:rsid w:val="00FD0465"/>
    <w:rsid w:val="00FD04A6"/>
    <w:rsid w:val="00FD04AE"/>
    <w:rsid w:val="00FD04D0"/>
    <w:rsid w:val="00FD04FD"/>
    <w:rsid w:val="00FD0540"/>
    <w:rsid w:val="00FD0553"/>
    <w:rsid w:val="00FD0560"/>
    <w:rsid w:val="00FD0569"/>
    <w:rsid w:val="00FD056F"/>
    <w:rsid w:val="00FD05AF"/>
    <w:rsid w:val="00FD05EE"/>
    <w:rsid w:val="00FD05F1"/>
    <w:rsid w:val="00FD0619"/>
    <w:rsid w:val="00FD0635"/>
    <w:rsid w:val="00FD0642"/>
    <w:rsid w:val="00FD0676"/>
    <w:rsid w:val="00FD068D"/>
    <w:rsid w:val="00FD06D9"/>
    <w:rsid w:val="00FD0751"/>
    <w:rsid w:val="00FD0753"/>
    <w:rsid w:val="00FD07C3"/>
    <w:rsid w:val="00FD07FC"/>
    <w:rsid w:val="00FD0824"/>
    <w:rsid w:val="00FD08D6"/>
    <w:rsid w:val="00FD08E6"/>
    <w:rsid w:val="00FD08FA"/>
    <w:rsid w:val="00FD0927"/>
    <w:rsid w:val="00FD0946"/>
    <w:rsid w:val="00FD097A"/>
    <w:rsid w:val="00FD09AA"/>
    <w:rsid w:val="00FD0A04"/>
    <w:rsid w:val="00FD0A19"/>
    <w:rsid w:val="00FD0A81"/>
    <w:rsid w:val="00FD0B52"/>
    <w:rsid w:val="00FD0BC4"/>
    <w:rsid w:val="00FD0BDB"/>
    <w:rsid w:val="00FD0BF0"/>
    <w:rsid w:val="00FD0C86"/>
    <w:rsid w:val="00FD0C88"/>
    <w:rsid w:val="00FD0CFE"/>
    <w:rsid w:val="00FD0D08"/>
    <w:rsid w:val="00FD0D24"/>
    <w:rsid w:val="00FD0D6C"/>
    <w:rsid w:val="00FD0E22"/>
    <w:rsid w:val="00FD0E5D"/>
    <w:rsid w:val="00FD0E89"/>
    <w:rsid w:val="00FD0EB6"/>
    <w:rsid w:val="00FD0EE8"/>
    <w:rsid w:val="00FD0EF7"/>
    <w:rsid w:val="00FD0F68"/>
    <w:rsid w:val="00FD0F78"/>
    <w:rsid w:val="00FD0FC1"/>
    <w:rsid w:val="00FD1083"/>
    <w:rsid w:val="00FD108D"/>
    <w:rsid w:val="00FD112C"/>
    <w:rsid w:val="00FD113D"/>
    <w:rsid w:val="00FD1154"/>
    <w:rsid w:val="00FD115C"/>
    <w:rsid w:val="00FD1168"/>
    <w:rsid w:val="00FD116C"/>
    <w:rsid w:val="00FD11AA"/>
    <w:rsid w:val="00FD11CD"/>
    <w:rsid w:val="00FD1241"/>
    <w:rsid w:val="00FD12B4"/>
    <w:rsid w:val="00FD148F"/>
    <w:rsid w:val="00FD14C0"/>
    <w:rsid w:val="00FD14D7"/>
    <w:rsid w:val="00FD14DC"/>
    <w:rsid w:val="00FD1506"/>
    <w:rsid w:val="00FD1582"/>
    <w:rsid w:val="00FD15C0"/>
    <w:rsid w:val="00FD1686"/>
    <w:rsid w:val="00FD16A2"/>
    <w:rsid w:val="00FD170C"/>
    <w:rsid w:val="00FD1719"/>
    <w:rsid w:val="00FD1829"/>
    <w:rsid w:val="00FD1856"/>
    <w:rsid w:val="00FD186A"/>
    <w:rsid w:val="00FD1882"/>
    <w:rsid w:val="00FD18C0"/>
    <w:rsid w:val="00FD1901"/>
    <w:rsid w:val="00FD1950"/>
    <w:rsid w:val="00FD1958"/>
    <w:rsid w:val="00FD1990"/>
    <w:rsid w:val="00FD1995"/>
    <w:rsid w:val="00FD1A05"/>
    <w:rsid w:val="00FD1A16"/>
    <w:rsid w:val="00FD1A6C"/>
    <w:rsid w:val="00FD1A96"/>
    <w:rsid w:val="00FD1AB8"/>
    <w:rsid w:val="00FD1BCC"/>
    <w:rsid w:val="00FD1BED"/>
    <w:rsid w:val="00FD1C06"/>
    <w:rsid w:val="00FD1C33"/>
    <w:rsid w:val="00FD1CDF"/>
    <w:rsid w:val="00FD1CF8"/>
    <w:rsid w:val="00FD1DA5"/>
    <w:rsid w:val="00FD1DC2"/>
    <w:rsid w:val="00FD1E11"/>
    <w:rsid w:val="00FD1E46"/>
    <w:rsid w:val="00FD1E8D"/>
    <w:rsid w:val="00FD1E96"/>
    <w:rsid w:val="00FD1F9D"/>
    <w:rsid w:val="00FD1FA9"/>
    <w:rsid w:val="00FD1FC1"/>
    <w:rsid w:val="00FD1FF9"/>
    <w:rsid w:val="00FD2017"/>
    <w:rsid w:val="00FD201D"/>
    <w:rsid w:val="00FD2028"/>
    <w:rsid w:val="00FD20A2"/>
    <w:rsid w:val="00FD20CD"/>
    <w:rsid w:val="00FD20D5"/>
    <w:rsid w:val="00FD20D7"/>
    <w:rsid w:val="00FD20E9"/>
    <w:rsid w:val="00FD20F3"/>
    <w:rsid w:val="00FD214F"/>
    <w:rsid w:val="00FD2167"/>
    <w:rsid w:val="00FD2197"/>
    <w:rsid w:val="00FD21B2"/>
    <w:rsid w:val="00FD21E8"/>
    <w:rsid w:val="00FD2254"/>
    <w:rsid w:val="00FD2281"/>
    <w:rsid w:val="00FD22F1"/>
    <w:rsid w:val="00FD2301"/>
    <w:rsid w:val="00FD2308"/>
    <w:rsid w:val="00FD230A"/>
    <w:rsid w:val="00FD231F"/>
    <w:rsid w:val="00FD232F"/>
    <w:rsid w:val="00FD2333"/>
    <w:rsid w:val="00FD2342"/>
    <w:rsid w:val="00FD23BB"/>
    <w:rsid w:val="00FD2459"/>
    <w:rsid w:val="00FD248C"/>
    <w:rsid w:val="00FD2496"/>
    <w:rsid w:val="00FD2497"/>
    <w:rsid w:val="00FD24D4"/>
    <w:rsid w:val="00FD2504"/>
    <w:rsid w:val="00FD25A9"/>
    <w:rsid w:val="00FD25AD"/>
    <w:rsid w:val="00FD25BE"/>
    <w:rsid w:val="00FD25E3"/>
    <w:rsid w:val="00FD2611"/>
    <w:rsid w:val="00FD261F"/>
    <w:rsid w:val="00FD264B"/>
    <w:rsid w:val="00FD266D"/>
    <w:rsid w:val="00FD268B"/>
    <w:rsid w:val="00FD2694"/>
    <w:rsid w:val="00FD26A1"/>
    <w:rsid w:val="00FD26F2"/>
    <w:rsid w:val="00FD272D"/>
    <w:rsid w:val="00FD2731"/>
    <w:rsid w:val="00FD2767"/>
    <w:rsid w:val="00FD27A9"/>
    <w:rsid w:val="00FD2838"/>
    <w:rsid w:val="00FD288D"/>
    <w:rsid w:val="00FD28DC"/>
    <w:rsid w:val="00FD290C"/>
    <w:rsid w:val="00FD293C"/>
    <w:rsid w:val="00FD2980"/>
    <w:rsid w:val="00FD2991"/>
    <w:rsid w:val="00FD29F2"/>
    <w:rsid w:val="00FD2A19"/>
    <w:rsid w:val="00FD2A8F"/>
    <w:rsid w:val="00FD2A9F"/>
    <w:rsid w:val="00FD2AA6"/>
    <w:rsid w:val="00FD2AA9"/>
    <w:rsid w:val="00FD2AC6"/>
    <w:rsid w:val="00FD2B92"/>
    <w:rsid w:val="00FD2BCF"/>
    <w:rsid w:val="00FD2C1F"/>
    <w:rsid w:val="00FD2C74"/>
    <w:rsid w:val="00FD2C9E"/>
    <w:rsid w:val="00FD2CBF"/>
    <w:rsid w:val="00FD2D2A"/>
    <w:rsid w:val="00FD2D2D"/>
    <w:rsid w:val="00FD2E67"/>
    <w:rsid w:val="00FD2EBC"/>
    <w:rsid w:val="00FD2EBF"/>
    <w:rsid w:val="00FD2EE3"/>
    <w:rsid w:val="00FD2F23"/>
    <w:rsid w:val="00FD2F5B"/>
    <w:rsid w:val="00FD300D"/>
    <w:rsid w:val="00FD3118"/>
    <w:rsid w:val="00FD3163"/>
    <w:rsid w:val="00FD31E2"/>
    <w:rsid w:val="00FD321B"/>
    <w:rsid w:val="00FD321D"/>
    <w:rsid w:val="00FD323A"/>
    <w:rsid w:val="00FD3246"/>
    <w:rsid w:val="00FD3298"/>
    <w:rsid w:val="00FD32A6"/>
    <w:rsid w:val="00FD32F2"/>
    <w:rsid w:val="00FD3314"/>
    <w:rsid w:val="00FD3338"/>
    <w:rsid w:val="00FD3349"/>
    <w:rsid w:val="00FD334E"/>
    <w:rsid w:val="00FD3383"/>
    <w:rsid w:val="00FD340B"/>
    <w:rsid w:val="00FD342B"/>
    <w:rsid w:val="00FD3488"/>
    <w:rsid w:val="00FD348E"/>
    <w:rsid w:val="00FD34A5"/>
    <w:rsid w:val="00FD34B6"/>
    <w:rsid w:val="00FD34CC"/>
    <w:rsid w:val="00FD34F7"/>
    <w:rsid w:val="00FD3504"/>
    <w:rsid w:val="00FD3506"/>
    <w:rsid w:val="00FD3515"/>
    <w:rsid w:val="00FD354A"/>
    <w:rsid w:val="00FD3558"/>
    <w:rsid w:val="00FD3566"/>
    <w:rsid w:val="00FD35B3"/>
    <w:rsid w:val="00FD35FF"/>
    <w:rsid w:val="00FD360B"/>
    <w:rsid w:val="00FD360F"/>
    <w:rsid w:val="00FD3656"/>
    <w:rsid w:val="00FD3700"/>
    <w:rsid w:val="00FD370D"/>
    <w:rsid w:val="00FD3720"/>
    <w:rsid w:val="00FD373F"/>
    <w:rsid w:val="00FD3749"/>
    <w:rsid w:val="00FD3783"/>
    <w:rsid w:val="00FD3784"/>
    <w:rsid w:val="00FD37A5"/>
    <w:rsid w:val="00FD37DE"/>
    <w:rsid w:val="00FD37F4"/>
    <w:rsid w:val="00FD3818"/>
    <w:rsid w:val="00FD3848"/>
    <w:rsid w:val="00FD3894"/>
    <w:rsid w:val="00FD38C5"/>
    <w:rsid w:val="00FD3937"/>
    <w:rsid w:val="00FD39A4"/>
    <w:rsid w:val="00FD39E0"/>
    <w:rsid w:val="00FD3A06"/>
    <w:rsid w:val="00FD3A64"/>
    <w:rsid w:val="00FD3A86"/>
    <w:rsid w:val="00FD3AA8"/>
    <w:rsid w:val="00FD3B0E"/>
    <w:rsid w:val="00FD3B5D"/>
    <w:rsid w:val="00FD3BFF"/>
    <w:rsid w:val="00FD3D66"/>
    <w:rsid w:val="00FD3D7E"/>
    <w:rsid w:val="00FD3D81"/>
    <w:rsid w:val="00FD3DBC"/>
    <w:rsid w:val="00FD3EE9"/>
    <w:rsid w:val="00FD3F0A"/>
    <w:rsid w:val="00FD3F37"/>
    <w:rsid w:val="00FD3F8F"/>
    <w:rsid w:val="00FD3F94"/>
    <w:rsid w:val="00FD3FD9"/>
    <w:rsid w:val="00FD3FDB"/>
    <w:rsid w:val="00FD4067"/>
    <w:rsid w:val="00FD40DF"/>
    <w:rsid w:val="00FD4120"/>
    <w:rsid w:val="00FD41CF"/>
    <w:rsid w:val="00FD41DC"/>
    <w:rsid w:val="00FD4222"/>
    <w:rsid w:val="00FD4229"/>
    <w:rsid w:val="00FD422C"/>
    <w:rsid w:val="00FD4262"/>
    <w:rsid w:val="00FD42AE"/>
    <w:rsid w:val="00FD42E1"/>
    <w:rsid w:val="00FD439F"/>
    <w:rsid w:val="00FD43B4"/>
    <w:rsid w:val="00FD43BA"/>
    <w:rsid w:val="00FD443B"/>
    <w:rsid w:val="00FD4486"/>
    <w:rsid w:val="00FD44D0"/>
    <w:rsid w:val="00FD44D1"/>
    <w:rsid w:val="00FD44EF"/>
    <w:rsid w:val="00FD4569"/>
    <w:rsid w:val="00FD4599"/>
    <w:rsid w:val="00FD45C5"/>
    <w:rsid w:val="00FD45CF"/>
    <w:rsid w:val="00FD462E"/>
    <w:rsid w:val="00FD46A8"/>
    <w:rsid w:val="00FD46C3"/>
    <w:rsid w:val="00FD46E3"/>
    <w:rsid w:val="00FD474F"/>
    <w:rsid w:val="00FD47A7"/>
    <w:rsid w:val="00FD47B7"/>
    <w:rsid w:val="00FD47C6"/>
    <w:rsid w:val="00FD4816"/>
    <w:rsid w:val="00FD4847"/>
    <w:rsid w:val="00FD48F7"/>
    <w:rsid w:val="00FD4943"/>
    <w:rsid w:val="00FD496A"/>
    <w:rsid w:val="00FD4A6C"/>
    <w:rsid w:val="00FD4AC5"/>
    <w:rsid w:val="00FD4AE0"/>
    <w:rsid w:val="00FD4B24"/>
    <w:rsid w:val="00FD4B48"/>
    <w:rsid w:val="00FD4B76"/>
    <w:rsid w:val="00FD4B91"/>
    <w:rsid w:val="00FD4BF3"/>
    <w:rsid w:val="00FD4C59"/>
    <w:rsid w:val="00FD4CAA"/>
    <w:rsid w:val="00FD4CB8"/>
    <w:rsid w:val="00FD4CC4"/>
    <w:rsid w:val="00FD4CCC"/>
    <w:rsid w:val="00FD4CF0"/>
    <w:rsid w:val="00FD4CFE"/>
    <w:rsid w:val="00FD4D13"/>
    <w:rsid w:val="00FD4D4E"/>
    <w:rsid w:val="00FD4D62"/>
    <w:rsid w:val="00FD4D72"/>
    <w:rsid w:val="00FD4DAA"/>
    <w:rsid w:val="00FD4DE0"/>
    <w:rsid w:val="00FD4DEB"/>
    <w:rsid w:val="00FD4E71"/>
    <w:rsid w:val="00FD4E79"/>
    <w:rsid w:val="00FD4E9C"/>
    <w:rsid w:val="00FD4EDA"/>
    <w:rsid w:val="00FD4F85"/>
    <w:rsid w:val="00FD4FC1"/>
    <w:rsid w:val="00FD5045"/>
    <w:rsid w:val="00FD50FA"/>
    <w:rsid w:val="00FD5100"/>
    <w:rsid w:val="00FD51E2"/>
    <w:rsid w:val="00FD51ED"/>
    <w:rsid w:val="00FD522F"/>
    <w:rsid w:val="00FD524F"/>
    <w:rsid w:val="00FD5262"/>
    <w:rsid w:val="00FD5290"/>
    <w:rsid w:val="00FD529B"/>
    <w:rsid w:val="00FD52EF"/>
    <w:rsid w:val="00FD5437"/>
    <w:rsid w:val="00FD5464"/>
    <w:rsid w:val="00FD5469"/>
    <w:rsid w:val="00FD5475"/>
    <w:rsid w:val="00FD555D"/>
    <w:rsid w:val="00FD55A5"/>
    <w:rsid w:val="00FD55A7"/>
    <w:rsid w:val="00FD55F4"/>
    <w:rsid w:val="00FD561A"/>
    <w:rsid w:val="00FD562C"/>
    <w:rsid w:val="00FD5696"/>
    <w:rsid w:val="00FD569C"/>
    <w:rsid w:val="00FD56B4"/>
    <w:rsid w:val="00FD56F0"/>
    <w:rsid w:val="00FD5712"/>
    <w:rsid w:val="00FD5723"/>
    <w:rsid w:val="00FD5729"/>
    <w:rsid w:val="00FD5756"/>
    <w:rsid w:val="00FD5824"/>
    <w:rsid w:val="00FD589D"/>
    <w:rsid w:val="00FD58BD"/>
    <w:rsid w:val="00FD58CA"/>
    <w:rsid w:val="00FD590C"/>
    <w:rsid w:val="00FD5954"/>
    <w:rsid w:val="00FD5971"/>
    <w:rsid w:val="00FD598E"/>
    <w:rsid w:val="00FD59AA"/>
    <w:rsid w:val="00FD5A16"/>
    <w:rsid w:val="00FD5A2C"/>
    <w:rsid w:val="00FD5A58"/>
    <w:rsid w:val="00FD5AE0"/>
    <w:rsid w:val="00FD5B63"/>
    <w:rsid w:val="00FD5C47"/>
    <w:rsid w:val="00FD5CD8"/>
    <w:rsid w:val="00FD5D2F"/>
    <w:rsid w:val="00FD5D4F"/>
    <w:rsid w:val="00FD5D9A"/>
    <w:rsid w:val="00FD5DA4"/>
    <w:rsid w:val="00FD5DA5"/>
    <w:rsid w:val="00FD5DF0"/>
    <w:rsid w:val="00FD5E12"/>
    <w:rsid w:val="00FD5E41"/>
    <w:rsid w:val="00FD5E61"/>
    <w:rsid w:val="00FD5E87"/>
    <w:rsid w:val="00FD5E88"/>
    <w:rsid w:val="00FD5E98"/>
    <w:rsid w:val="00FD5EB4"/>
    <w:rsid w:val="00FD5F0A"/>
    <w:rsid w:val="00FD5FF1"/>
    <w:rsid w:val="00FD601F"/>
    <w:rsid w:val="00FD6034"/>
    <w:rsid w:val="00FD60E5"/>
    <w:rsid w:val="00FD611C"/>
    <w:rsid w:val="00FD6122"/>
    <w:rsid w:val="00FD6136"/>
    <w:rsid w:val="00FD613D"/>
    <w:rsid w:val="00FD6155"/>
    <w:rsid w:val="00FD616D"/>
    <w:rsid w:val="00FD6173"/>
    <w:rsid w:val="00FD6186"/>
    <w:rsid w:val="00FD618A"/>
    <w:rsid w:val="00FD61B3"/>
    <w:rsid w:val="00FD622C"/>
    <w:rsid w:val="00FD62D9"/>
    <w:rsid w:val="00FD634A"/>
    <w:rsid w:val="00FD6363"/>
    <w:rsid w:val="00FD63A1"/>
    <w:rsid w:val="00FD640E"/>
    <w:rsid w:val="00FD6410"/>
    <w:rsid w:val="00FD6427"/>
    <w:rsid w:val="00FD646D"/>
    <w:rsid w:val="00FD64BB"/>
    <w:rsid w:val="00FD64DA"/>
    <w:rsid w:val="00FD64FC"/>
    <w:rsid w:val="00FD6501"/>
    <w:rsid w:val="00FD6507"/>
    <w:rsid w:val="00FD651A"/>
    <w:rsid w:val="00FD654F"/>
    <w:rsid w:val="00FD655F"/>
    <w:rsid w:val="00FD6580"/>
    <w:rsid w:val="00FD65CB"/>
    <w:rsid w:val="00FD65F1"/>
    <w:rsid w:val="00FD6607"/>
    <w:rsid w:val="00FD6669"/>
    <w:rsid w:val="00FD6737"/>
    <w:rsid w:val="00FD6747"/>
    <w:rsid w:val="00FD677B"/>
    <w:rsid w:val="00FD67C1"/>
    <w:rsid w:val="00FD6813"/>
    <w:rsid w:val="00FD6895"/>
    <w:rsid w:val="00FD689A"/>
    <w:rsid w:val="00FD68BC"/>
    <w:rsid w:val="00FD68C0"/>
    <w:rsid w:val="00FD68C3"/>
    <w:rsid w:val="00FD68D1"/>
    <w:rsid w:val="00FD6968"/>
    <w:rsid w:val="00FD6A27"/>
    <w:rsid w:val="00FD6AAD"/>
    <w:rsid w:val="00FD6ACC"/>
    <w:rsid w:val="00FD6AD1"/>
    <w:rsid w:val="00FD6AD4"/>
    <w:rsid w:val="00FD6AF5"/>
    <w:rsid w:val="00FD6B01"/>
    <w:rsid w:val="00FD6B59"/>
    <w:rsid w:val="00FD6BCD"/>
    <w:rsid w:val="00FD6C0E"/>
    <w:rsid w:val="00FD6C63"/>
    <w:rsid w:val="00FD6D1A"/>
    <w:rsid w:val="00FD6D1E"/>
    <w:rsid w:val="00FD6D47"/>
    <w:rsid w:val="00FD6D6E"/>
    <w:rsid w:val="00FD6DC5"/>
    <w:rsid w:val="00FD6E79"/>
    <w:rsid w:val="00FD6E87"/>
    <w:rsid w:val="00FD6EAA"/>
    <w:rsid w:val="00FD6EBA"/>
    <w:rsid w:val="00FD6EED"/>
    <w:rsid w:val="00FD6EFC"/>
    <w:rsid w:val="00FD6F00"/>
    <w:rsid w:val="00FD6F3B"/>
    <w:rsid w:val="00FD6F6D"/>
    <w:rsid w:val="00FD6FAE"/>
    <w:rsid w:val="00FD6FF4"/>
    <w:rsid w:val="00FD7012"/>
    <w:rsid w:val="00FD70B1"/>
    <w:rsid w:val="00FD70D9"/>
    <w:rsid w:val="00FD70DC"/>
    <w:rsid w:val="00FD715F"/>
    <w:rsid w:val="00FD71C8"/>
    <w:rsid w:val="00FD7265"/>
    <w:rsid w:val="00FD7272"/>
    <w:rsid w:val="00FD729A"/>
    <w:rsid w:val="00FD729E"/>
    <w:rsid w:val="00FD72C6"/>
    <w:rsid w:val="00FD72D9"/>
    <w:rsid w:val="00FD72DD"/>
    <w:rsid w:val="00FD72E8"/>
    <w:rsid w:val="00FD72F9"/>
    <w:rsid w:val="00FD735C"/>
    <w:rsid w:val="00FD739B"/>
    <w:rsid w:val="00FD739F"/>
    <w:rsid w:val="00FD74CA"/>
    <w:rsid w:val="00FD750D"/>
    <w:rsid w:val="00FD7597"/>
    <w:rsid w:val="00FD75AE"/>
    <w:rsid w:val="00FD75BC"/>
    <w:rsid w:val="00FD75C0"/>
    <w:rsid w:val="00FD75CE"/>
    <w:rsid w:val="00FD76E0"/>
    <w:rsid w:val="00FD7787"/>
    <w:rsid w:val="00FD77A3"/>
    <w:rsid w:val="00FD77BB"/>
    <w:rsid w:val="00FD77E6"/>
    <w:rsid w:val="00FD784A"/>
    <w:rsid w:val="00FD786B"/>
    <w:rsid w:val="00FD7897"/>
    <w:rsid w:val="00FD78C4"/>
    <w:rsid w:val="00FD78CE"/>
    <w:rsid w:val="00FD792B"/>
    <w:rsid w:val="00FD794A"/>
    <w:rsid w:val="00FD7956"/>
    <w:rsid w:val="00FD79B3"/>
    <w:rsid w:val="00FD79BE"/>
    <w:rsid w:val="00FD79FF"/>
    <w:rsid w:val="00FD7A86"/>
    <w:rsid w:val="00FD7AE4"/>
    <w:rsid w:val="00FD7B18"/>
    <w:rsid w:val="00FD7B94"/>
    <w:rsid w:val="00FD7BB8"/>
    <w:rsid w:val="00FD7BC1"/>
    <w:rsid w:val="00FD7C5B"/>
    <w:rsid w:val="00FD7C84"/>
    <w:rsid w:val="00FD7D92"/>
    <w:rsid w:val="00FD7E68"/>
    <w:rsid w:val="00FD7E94"/>
    <w:rsid w:val="00FD7EAA"/>
    <w:rsid w:val="00FD7EC9"/>
    <w:rsid w:val="00FD7EF8"/>
    <w:rsid w:val="00FD7F07"/>
    <w:rsid w:val="00FD7F45"/>
    <w:rsid w:val="00FD7FAF"/>
    <w:rsid w:val="00FD7FB0"/>
    <w:rsid w:val="00FD7FCC"/>
    <w:rsid w:val="00FD7FE0"/>
    <w:rsid w:val="00FE0034"/>
    <w:rsid w:val="00FE0046"/>
    <w:rsid w:val="00FE00B7"/>
    <w:rsid w:val="00FE00DB"/>
    <w:rsid w:val="00FE00F4"/>
    <w:rsid w:val="00FE01BD"/>
    <w:rsid w:val="00FE0214"/>
    <w:rsid w:val="00FE0230"/>
    <w:rsid w:val="00FE0292"/>
    <w:rsid w:val="00FE02B5"/>
    <w:rsid w:val="00FE02EB"/>
    <w:rsid w:val="00FE0314"/>
    <w:rsid w:val="00FE03BF"/>
    <w:rsid w:val="00FE03C4"/>
    <w:rsid w:val="00FE03EE"/>
    <w:rsid w:val="00FE045B"/>
    <w:rsid w:val="00FE046A"/>
    <w:rsid w:val="00FE0475"/>
    <w:rsid w:val="00FE048B"/>
    <w:rsid w:val="00FE0497"/>
    <w:rsid w:val="00FE049A"/>
    <w:rsid w:val="00FE04E0"/>
    <w:rsid w:val="00FE0511"/>
    <w:rsid w:val="00FE05D5"/>
    <w:rsid w:val="00FE06AA"/>
    <w:rsid w:val="00FE0705"/>
    <w:rsid w:val="00FE0754"/>
    <w:rsid w:val="00FE0795"/>
    <w:rsid w:val="00FE07A2"/>
    <w:rsid w:val="00FE07A5"/>
    <w:rsid w:val="00FE07C4"/>
    <w:rsid w:val="00FE07ED"/>
    <w:rsid w:val="00FE07EE"/>
    <w:rsid w:val="00FE0813"/>
    <w:rsid w:val="00FE0878"/>
    <w:rsid w:val="00FE08AB"/>
    <w:rsid w:val="00FE08CE"/>
    <w:rsid w:val="00FE08DD"/>
    <w:rsid w:val="00FE08DE"/>
    <w:rsid w:val="00FE08F8"/>
    <w:rsid w:val="00FE0904"/>
    <w:rsid w:val="00FE095F"/>
    <w:rsid w:val="00FE09CB"/>
    <w:rsid w:val="00FE09F0"/>
    <w:rsid w:val="00FE0A8F"/>
    <w:rsid w:val="00FE0AAA"/>
    <w:rsid w:val="00FE0AFE"/>
    <w:rsid w:val="00FE0B9B"/>
    <w:rsid w:val="00FE0BD2"/>
    <w:rsid w:val="00FE0BD5"/>
    <w:rsid w:val="00FE0BE4"/>
    <w:rsid w:val="00FE0C0F"/>
    <w:rsid w:val="00FE0C2E"/>
    <w:rsid w:val="00FE0C6E"/>
    <w:rsid w:val="00FE0C89"/>
    <w:rsid w:val="00FE0C90"/>
    <w:rsid w:val="00FE0CC7"/>
    <w:rsid w:val="00FE0D2E"/>
    <w:rsid w:val="00FE0DD1"/>
    <w:rsid w:val="00FE0F06"/>
    <w:rsid w:val="00FE0F0C"/>
    <w:rsid w:val="00FE0F17"/>
    <w:rsid w:val="00FE0F65"/>
    <w:rsid w:val="00FE0F6D"/>
    <w:rsid w:val="00FE0FD2"/>
    <w:rsid w:val="00FE1029"/>
    <w:rsid w:val="00FE1099"/>
    <w:rsid w:val="00FE10A9"/>
    <w:rsid w:val="00FE10FA"/>
    <w:rsid w:val="00FE112D"/>
    <w:rsid w:val="00FE1132"/>
    <w:rsid w:val="00FE117F"/>
    <w:rsid w:val="00FE1193"/>
    <w:rsid w:val="00FE11DB"/>
    <w:rsid w:val="00FE11EE"/>
    <w:rsid w:val="00FE1291"/>
    <w:rsid w:val="00FE12A5"/>
    <w:rsid w:val="00FE12B3"/>
    <w:rsid w:val="00FE12C5"/>
    <w:rsid w:val="00FE1312"/>
    <w:rsid w:val="00FE131B"/>
    <w:rsid w:val="00FE13E2"/>
    <w:rsid w:val="00FE140A"/>
    <w:rsid w:val="00FE1410"/>
    <w:rsid w:val="00FE1467"/>
    <w:rsid w:val="00FE14A7"/>
    <w:rsid w:val="00FE14C8"/>
    <w:rsid w:val="00FE153F"/>
    <w:rsid w:val="00FE157E"/>
    <w:rsid w:val="00FE15A8"/>
    <w:rsid w:val="00FE15F6"/>
    <w:rsid w:val="00FE160B"/>
    <w:rsid w:val="00FE1697"/>
    <w:rsid w:val="00FE16EA"/>
    <w:rsid w:val="00FE1701"/>
    <w:rsid w:val="00FE179E"/>
    <w:rsid w:val="00FE17A6"/>
    <w:rsid w:val="00FE17E7"/>
    <w:rsid w:val="00FE1865"/>
    <w:rsid w:val="00FE18E9"/>
    <w:rsid w:val="00FE1947"/>
    <w:rsid w:val="00FE196A"/>
    <w:rsid w:val="00FE1979"/>
    <w:rsid w:val="00FE1A14"/>
    <w:rsid w:val="00FE1A17"/>
    <w:rsid w:val="00FE1A2F"/>
    <w:rsid w:val="00FE1A93"/>
    <w:rsid w:val="00FE1B24"/>
    <w:rsid w:val="00FE1B3B"/>
    <w:rsid w:val="00FE1B42"/>
    <w:rsid w:val="00FE1B77"/>
    <w:rsid w:val="00FE1BCD"/>
    <w:rsid w:val="00FE1BDE"/>
    <w:rsid w:val="00FE1C51"/>
    <w:rsid w:val="00FE1C9A"/>
    <w:rsid w:val="00FE1CA8"/>
    <w:rsid w:val="00FE1CCB"/>
    <w:rsid w:val="00FE1CE4"/>
    <w:rsid w:val="00FE1D80"/>
    <w:rsid w:val="00FE1DD2"/>
    <w:rsid w:val="00FE1DDD"/>
    <w:rsid w:val="00FE1DF9"/>
    <w:rsid w:val="00FE1E33"/>
    <w:rsid w:val="00FE1E9E"/>
    <w:rsid w:val="00FE1EB7"/>
    <w:rsid w:val="00FE1EC8"/>
    <w:rsid w:val="00FE1ECA"/>
    <w:rsid w:val="00FE1EE1"/>
    <w:rsid w:val="00FE1EF2"/>
    <w:rsid w:val="00FE1F01"/>
    <w:rsid w:val="00FE1F12"/>
    <w:rsid w:val="00FE1F5C"/>
    <w:rsid w:val="00FE1F73"/>
    <w:rsid w:val="00FE2007"/>
    <w:rsid w:val="00FE2034"/>
    <w:rsid w:val="00FE20A2"/>
    <w:rsid w:val="00FE20B7"/>
    <w:rsid w:val="00FE20C9"/>
    <w:rsid w:val="00FE20FF"/>
    <w:rsid w:val="00FE218B"/>
    <w:rsid w:val="00FE21BD"/>
    <w:rsid w:val="00FE21D1"/>
    <w:rsid w:val="00FE21F0"/>
    <w:rsid w:val="00FE22A2"/>
    <w:rsid w:val="00FE22A8"/>
    <w:rsid w:val="00FE22E0"/>
    <w:rsid w:val="00FE22F5"/>
    <w:rsid w:val="00FE2322"/>
    <w:rsid w:val="00FE232A"/>
    <w:rsid w:val="00FE23F2"/>
    <w:rsid w:val="00FE24D6"/>
    <w:rsid w:val="00FE2571"/>
    <w:rsid w:val="00FE2612"/>
    <w:rsid w:val="00FE2630"/>
    <w:rsid w:val="00FE2644"/>
    <w:rsid w:val="00FE2662"/>
    <w:rsid w:val="00FE26E8"/>
    <w:rsid w:val="00FE26EB"/>
    <w:rsid w:val="00FE275F"/>
    <w:rsid w:val="00FE2786"/>
    <w:rsid w:val="00FE2799"/>
    <w:rsid w:val="00FE27EC"/>
    <w:rsid w:val="00FE280D"/>
    <w:rsid w:val="00FE2897"/>
    <w:rsid w:val="00FE28A2"/>
    <w:rsid w:val="00FE28FA"/>
    <w:rsid w:val="00FE29F1"/>
    <w:rsid w:val="00FE2A66"/>
    <w:rsid w:val="00FE2AD8"/>
    <w:rsid w:val="00FE2B37"/>
    <w:rsid w:val="00FE2B87"/>
    <w:rsid w:val="00FE2B8A"/>
    <w:rsid w:val="00FE2B93"/>
    <w:rsid w:val="00FE2BA8"/>
    <w:rsid w:val="00FE2C1D"/>
    <w:rsid w:val="00FE2C65"/>
    <w:rsid w:val="00FE2C80"/>
    <w:rsid w:val="00FE2CB2"/>
    <w:rsid w:val="00FE2CF5"/>
    <w:rsid w:val="00FE2D32"/>
    <w:rsid w:val="00FE2D53"/>
    <w:rsid w:val="00FE2D79"/>
    <w:rsid w:val="00FE2DA1"/>
    <w:rsid w:val="00FE2F50"/>
    <w:rsid w:val="00FE2F71"/>
    <w:rsid w:val="00FE2FAD"/>
    <w:rsid w:val="00FE2FFA"/>
    <w:rsid w:val="00FE3010"/>
    <w:rsid w:val="00FE3013"/>
    <w:rsid w:val="00FE303E"/>
    <w:rsid w:val="00FE305A"/>
    <w:rsid w:val="00FE3093"/>
    <w:rsid w:val="00FE30A0"/>
    <w:rsid w:val="00FE30F2"/>
    <w:rsid w:val="00FE3163"/>
    <w:rsid w:val="00FE3187"/>
    <w:rsid w:val="00FE3192"/>
    <w:rsid w:val="00FE31F0"/>
    <w:rsid w:val="00FE3255"/>
    <w:rsid w:val="00FE3269"/>
    <w:rsid w:val="00FE32DF"/>
    <w:rsid w:val="00FE333A"/>
    <w:rsid w:val="00FE3357"/>
    <w:rsid w:val="00FE3382"/>
    <w:rsid w:val="00FE33A0"/>
    <w:rsid w:val="00FE33F0"/>
    <w:rsid w:val="00FE346E"/>
    <w:rsid w:val="00FE3583"/>
    <w:rsid w:val="00FE3599"/>
    <w:rsid w:val="00FE35E8"/>
    <w:rsid w:val="00FE3619"/>
    <w:rsid w:val="00FE361B"/>
    <w:rsid w:val="00FE366A"/>
    <w:rsid w:val="00FE3683"/>
    <w:rsid w:val="00FE371C"/>
    <w:rsid w:val="00FE3726"/>
    <w:rsid w:val="00FE3799"/>
    <w:rsid w:val="00FE37FE"/>
    <w:rsid w:val="00FE381F"/>
    <w:rsid w:val="00FE384B"/>
    <w:rsid w:val="00FE3861"/>
    <w:rsid w:val="00FE3867"/>
    <w:rsid w:val="00FE3876"/>
    <w:rsid w:val="00FE387F"/>
    <w:rsid w:val="00FE389D"/>
    <w:rsid w:val="00FE38AA"/>
    <w:rsid w:val="00FE38EA"/>
    <w:rsid w:val="00FE38F9"/>
    <w:rsid w:val="00FE398C"/>
    <w:rsid w:val="00FE39D6"/>
    <w:rsid w:val="00FE3AA0"/>
    <w:rsid w:val="00FE3AB9"/>
    <w:rsid w:val="00FE3AE3"/>
    <w:rsid w:val="00FE3B20"/>
    <w:rsid w:val="00FE3B49"/>
    <w:rsid w:val="00FE3B7C"/>
    <w:rsid w:val="00FE3BB2"/>
    <w:rsid w:val="00FE3C15"/>
    <w:rsid w:val="00FE3C1D"/>
    <w:rsid w:val="00FE3C2B"/>
    <w:rsid w:val="00FE3C44"/>
    <w:rsid w:val="00FE3CA9"/>
    <w:rsid w:val="00FE3D33"/>
    <w:rsid w:val="00FE3D38"/>
    <w:rsid w:val="00FE3D47"/>
    <w:rsid w:val="00FE3D52"/>
    <w:rsid w:val="00FE3D69"/>
    <w:rsid w:val="00FE3D6F"/>
    <w:rsid w:val="00FE3E3B"/>
    <w:rsid w:val="00FE3EED"/>
    <w:rsid w:val="00FE3EF1"/>
    <w:rsid w:val="00FE3F30"/>
    <w:rsid w:val="00FE3F77"/>
    <w:rsid w:val="00FE3FC8"/>
    <w:rsid w:val="00FE3FEE"/>
    <w:rsid w:val="00FE3FFB"/>
    <w:rsid w:val="00FE3FFE"/>
    <w:rsid w:val="00FE4038"/>
    <w:rsid w:val="00FE4040"/>
    <w:rsid w:val="00FE40B8"/>
    <w:rsid w:val="00FE40D5"/>
    <w:rsid w:val="00FE413C"/>
    <w:rsid w:val="00FE4188"/>
    <w:rsid w:val="00FE41B7"/>
    <w:rsid w:val="00FE41D1"/>
    <w:rsid w:val="00FE41EC"/>
    <w:rsid w:val="00FE41F4"/>
    <w:rsid w:val="00FE41F6"/>
    <w:rsid w:val="00FE420B"/>
    <w:rsid w:val="00FE4245"/>
    <w:rsid w:val="00FE42CF"/>
    <w:rsid w:val="00FE4321"/>
    <w:rsid w:val="00FE4354"/>
    <w:rsid w:val="00FE4368"/>
    <w:rsid w:val="00FE438C"/>
    <w:rsid w:val="00FE43F6"/>
    <w:rsid w:val="00FE44C7"/>
    <w:rsid w:val="00FE44FC"/>
    <w:rsid w:val="00FE4575"/>
    <w:rsid w:val="00FE4583"/>
    <w:rsid w:val="00FE458C"/>
    <w:rsid w:val="00FE45B1"/>
    <w:rsid w:val="00FE4626"/>
    <w:rsid w:val="00FE4636"/>
    <w:rsid w:val="00FE4693"/>
    <w:rsid w:val="00FE46E2"/>
    <w:rsid w:val="00FE473D"/>
    <w:rsid w:val="00FE47FD"/>
    <w:rsid w:val="00FE4829"/>
    <w:rsid w:val="00FE4831"/>
    <w:rsid w:val="00FE489E"/>
    <w:rsid w:val="00FE48D9"/>
    <w:rsid w:val="00FE48E4"/>
    <w:rsid w:val="00FE48F3"/>
    <w:rsid w:val="00FE4929"/>
    <w:rsid w:val="00FE4981"/>
    <w:rsid w:val="00FE4989"/>
    <w:rsid w:val="00FE49F8"/>
    <w:rsid w:val="00FE4A0C"/>
    <w:rsid w:val="00FE4A42"/>
    <w:rsid w:val="00FE4A6F"/>
    <w:rsid w:val="00FE4BAE"/>
    <w:rsid w:val="00FE4BC5"/>
    <w:rsid w:val="00FE4BE7"/>
    <w:rsid w:val="00FE4C39"/>
    <w:rsid w:val="00FE4C40"/>
    <w:rsid w:val="00FE4CE7"/>
    <w:rsid w:val="00FE4D2E"/>
    <w:rsid w:val="00FE4D2F"/>
    <w:rsid w:val="00FE4D68"/>
    <w:rsid w:val="00FE4DFD"/>
    <w:rsid w:val="00FE4E04"/>
    <w:rsid w:val="00FE4E14"/>
    <w:rsid w:val="00FE4E3C"/>
    <w:rsid w:val="00FE4E3E"/>
    <w:rsid w:val="00FE4E4B"/>
    <w:rsid w:val="00FE4E58"/>
    <w:rsid w:val="00FE4E5F"/>
    <w:rsid w:val="00FE4EBA"/>
    <w:rsid w:val="00FE4F1E"/>
    <w:rsid w:val="00FE4F29"/>
    <w:rsid w:val="00FE4FD4"/>
    <w:rsid w:val="00FE4FEB"/>
    <w:rsid w:val="00FE5030"/>
    <w:rsid w:val="00FE5031"/>
    <w:rsid w:val="00FE5064"/>
    <w:rsid w:val="00FE5078"/>
    <w:rsid w:val="00FE507A"/>
    <w:rsid w:val="00FE507F"/>
    <w:rsid w:val="00FE50D5"/>
    <w:rsid w:val="00FE50F8"/>
    <w:rsid w:val="00FE50FD"/>
    <w:rsid w:val="00FE515D"/>
    <w:rsid w:val="00FE5162"/>
    <w:rsid w:val="00FE51EC"/>
    <w:rsid w:val="00FE52CF"/>
    <w:rsid w:val="00FE52DC"/>
    <w:rsid w:val="00FE5311"/>
    <w:rsid w:val="00FE53A9"/>
    <w:rsid w:val="00FE53CB"/>
    <w:rsid w:val="00FE53F3"/>
    <w:rsid w:val="00FE5437"/>
    <w:rsid w:val="00FE548E"/>
    <w:rsid w:val="00FE54A7"/>
    <w:rsid w:val="00FE54C0"/>
    <w:rsid w:val="00FE54DE"/>
    <w:rsid w:val="00FE54F2"/>
    <w:rsid w:val="00FE554D"/>
    <w:rsid w:val="00FE5566"/>
    <w:rsid w:val="00FE55BB"/>
    <w:rsid w:val="00FE55E8"/>
    <w:rsid w:val="00FE5654"/>
    <w:rsid w:val="00FE5698"/>
    <w:rsid w:val="00FE5723"/>
    <w:rsid w:val="00FE5777"/>
    <w:rsid w:val="00FE577A"/>
    <w:rsid w:val="00FE579E"/>
    <w:rsid w:val="00FE57C2"/>
    <w:rsid w:val="00FE57DD"/>
    <w:rsid w:val="00FE5801"/>
    <w:rsid w:val="00FE5840"/>
    <w:rsid w:val="00FE5846"/>
    <w:rsid w:val="00FE5852"/>
    <w:rsid w:val="00FE586E"/>
    <w:rsid w:val="00FE5879"/>
    <w:rsid w:val="00FE5913"/>
    <w:rsid w:val="00FE5923"/>
    <w:rsid w:val="00FE5972"/>
    <w:rsid w:val="00FE597E"/>
    <w:rsid w:val="00FE59CA"/>
    <w:rsid w:val="00FE5A34"/>
    <w:rsid w:val="00FE5A54"/>
    <w:rsid w:val="00FE5A82"/>
    <w:rsid w:val="00FE5BD9"/>
    <w:rsid w:val="00FE5C05"/>
    <w:rsid w:val="00FE5C54"/>
    <w:rsid w:val="00FE5D16"/>
    <w:rsid w:val="00FE5D7F"/>
    <w:rsid w:val="00FE5D92"/>
    <w:rsid w:val="00FE5DB4"/>
    <w:rsid w:val="00FE5DB9"/>
    <w:rsid w:val="00FE5DBE"/>
    <w:rsid w:val="00FE5DE4"/>
    <w:rsid w:val="00FE5E38"/>
    <w:rsid w:val="00FE5E81"/>
    <w:rsid w:val="00FE5E98"/>
    <w:rsid w:val="00FE5F0A"/>
    <w:rsid w:val="00FE5F29"/>
    <w:rsid w:val="00FE5F34"/>
    <w:rsid w:val="00FE5F4F"/>
    <w:rsid w:val="00FE5F93"/>
    <w:rsid w:val="00FE5FD4"/>
    <w:rsid w:val="00FE5FD7"/>
    <w:rsid w:val="00FE602E"/>
    <w:rsid w:val="00FE6063"/>
    <w:rsid w:val="00FE608D"/>
    <w:rsid w:val="00FE60A9"/>
    <w:rsid w:val="00FE6168"/>
    <w:rsid w:val="00FE619D"/>
    <w:rsid w:val="00FE6220"/>
    <w:rsid w:val="00FE6248"/>
    <w:rsid w:val="00FE6276"/>
    <w:rsid w:val="00FE62F0"/>
    <w:rsid w:val="00FE6335"/>
    <w:rsid w:val="00FE63CA"/>
    <w:rsid w:val="00FE63CE"/>
    <w:rsid w:val="00FE63D2"/>
    <w:rsid w:val="00FE63EE"/>
    <w:rsid w:val="00FE641A"/>
    <w:rsid w:val="00FE647D"/>
    <w:rsid w:val="00FE6513"/>
    <w:rsid w:val="00FE651E"/>
    <w:rsid w:val="00FE6606"/>
    <w:rsid w:val="00FE6614"/>
    <w:rsid w:val="00FE663C"/>
    <w:rsid w:val="00FE6642"/>
    <w:rsid w:val="00FE6656"/>
    <w:rsid w:val="00FE6688"/>
    <w:rsid w:val="00FE66AC"/>
    <w:rsid w:val="00FE66D9"/>
    <w:rsid w:val="00FE6707"/>
    <w:rsid w:val="00FE672B"/>
    <w:rsid w:val="00FE6741"/>
    <w:rsid w:val="00FE674D"/>
    <w:rsid w:val="00FE6835"/>
    <w:rsid w:val="00FE683D"/>
    <w:rsid w:val="00FE6899"/>
    <w:rsid w:val="00FE68C9"/>
    <w:rsid w:val="00FE68DE"/>
    <w:rsid w:val="00FE68F5"/>
    <w:rsid w:val="00FE6955"/>
    <w:rsid w:val="00FE6970"/>
    <w:rsid w:val="00FE69C0"/>
    <w:rsid w:val="00FE6A2B"/>
    <w:rsid w:val="00FE6A7D"/>
    <w:rsid w:val="00FE6AA2"/>
    <w:rsid w:val="00FE6AC7"/>
    <w:rsid w:val="00FE6ACB"/>
    <w:rsid w:val="00FE6B44"/>
    <w:rsid w:val="00FE6B79"/>
    <w:rsid w:val="00FE6BC1"/>
    <w:rsid w:val="00FE6BE4"/>
    <w:rsid w:val="00FE6BED"/>
    <w:rsid w:val="00FE6BF8"/>
    <w:rsid w:val="00FE6C09"/>
    <w:rsid w:val="00FE6C6A"/>
    <w:rsid w:val="00FE6C8F"/>
    <w:rsid w:val="00FE6D31"/>
    <w:rsid w:val="00FE6D74"/>
    <w:rsid w:val="00FE6DA4"/>
    <w:rsid w:val="00FE6DE5"/>
    <w:rsid w:val="00FE6E8E"/>
    <w:rsid w:val="00FE6F0B"/>
    <w:rsid w:val="00FE6F70"/>
    <w:rsid w:val="00FE6FD9"/>
    <w:rsid w:val="00FE7000"/>
    <w:rsid w:val="00FE7017"/>
    <w:rsid w:val="00FE709B"/>
    <w:rsid w:val="00FE7116"/>
    <w:rsid w:val="00FE7128"/>
    <w:rsid w:val="00FE717B"/>
    <w:rsid w:val="00FE722F"/>
    <w:rsid w:val="00FE723F"/>
    <w:rsid w:val="00FE72CF"/>
    <w:rsid w:val="00FE7321"/>
    <w:rsid w:val="00FE7346"/>
    <w:rsid w:val="00FE74B6"/>
    <w:rsid w:val="00FE74C8"/>
    <w:rsid w:val="00FE74D2"/>
    <w:rsid w:val="00FE7521"/>
    <w:rsid w:val="00FE755F"/>
    <w:rsid w:val="00FE75D3"/>
    <w:rsid w:val="00FE75D6"/>
    <w:rsid w:val="00FE75DE"/>
    <w:rsid w:val="00FE75EF"/>
    <w:rsid w:val="00FE7665"/>
    <w:rsid w:val="00FE767F"/>
    <w:rsid w:val="00FE7747"/>
    <w:rsid w:val="00FE77B8"/>
    <w:rsid w:val="00FE7813"/>
    <w:rsid w:val="00FE78E3"/>
    <w:rsid w:val="00FE78EF"/>
    <w:rsid w:val="00FE7902"/>
    <w:rsid w:val="00FE7949"/>
    <w:rsid w:val="00FE794F"/>
    <w:rsid w:val="00FE7955"/>
    <w:rsid w:val="00FE797C"/>
    <w:rsid w:val="00FE79EC"/>
    <w:rsid w:val="00FE7A1D"/>
    <w:rsid w:val="00FE7A22"/>
    <w:rsid w:val="00FE7A38"/>
    <w:rsid w:val="00FE7AAF"/>
    <w:rsid w:val="00FE7AD3"/>
    <w:rsid w:val="00FE7B73"/>
    <w:rsid w:val="00FE7BD1"/>
    <w:rsid w:val="00FE7BD7"/>
    <w:rsid w:val="00FE7C14"/>
    <w:rsid w:val="00FE7C3C"/>
    <w:rsid w:val="00FE7C5D"/>
    <w:rsid w:val="00FE7C63"/>
    <w:rsid w:val="00FE7CAF"/>
    <w:rsid w:val="00FE7D1C"/>
    <w:rsid w:val="00FE7D68"/>
    <w:rsid w:val="00FE7DBF"/>
    <w:rsid w:val="00FE7DD4"/>
    <w:rsid w:val="00FE7DFC"/>
    <w:rsid w:val="00FE7E44"/>
    <w:rsid w:val="00FE7E66"/>
    <w:rsid w:val="00FE7E91"/>
    <w:rsid w:val="00FE7F26"/>
    <w:rsid w:val="00FE7F42"/>
    <w:rsid w:val="00FE7F46"/>
    <w:rsid w:val="00FE7F58"/>
    <w:rsid w:val="00FE7F9D"/>
    <w:rsid w:val="00FE7F9F"/>
    <w:rsid w:val="00FE7FAA"/>
    <w:rsid w:val="00FE7FBC"/>
    <w:rsid w:val="00FE7FEB"/>
    <w:rsid w:val="00FE916D"/>
    <w:rsid w:val="00FF0004"/>
    <w:rsid w:val="00FF001C"/>
    <w:rsid w:val="00FF0023"/>
    <w:rsid w:val="00FF002D"/>
    <w:rsid w:val="00FF0073"/>
    <w:rsid w:val="00FF00B5"/>
    <w:rsid w:val="00FF0131"/>
    <w:rsid w:val="00FF015E"/>
    <w:rsid w:val="00FF01C6"/>
    <w:rsid w:val="00FF01ED"/>
    <w:rsid w:val="00FF022C"/>
    <w:rsid w:val="00FF0289"/>
    <w:rsid w:val="00FF029F"/>
    <w:rsid w:val="00FF0313"/>
    <w:rsid w:val="00FF0360"/>
    <w:rsid w:val="00FF0416"/>
    <w:rsid w:val="00FF0425"/>
    <w:rsid w:val="00FF0458"/>
    <w:rsid w:val="00FF0498"/>
    <w:rsid w:val="00FF0505"/>
    <w:rsid w:val="00FF057F"/>
    <w:rsid w:val="00FF05FB"/>
    <w:rsid w:val="00FF0604"/>
    <w:rsid w:val="00FF0609"/>
    <w:rsid w:val="00FF0677"/>
    <w:rsid w:val="00FF0688"/>
    <w:rsid w:val="00FF06CC"/>
    <w:rsid w:val="00FF06FF"/>
    <w:rsid w:val="00FF0820"/>
    <w:rsid w:val="00FF0891"/>
    <w:rsid w:val="00FF0922"/>
    <w:rsid w:val="00FF0923"/>
    <w:rsid w:val="00FF0944"/>
    <w:rsid w:val="00FF0954"/>
    <w:rsid w:val="00FF0973"/>
    <w:rsid w:val="00FF098C"/>
    <w:rsid w:val="00FF0A32"/>
    <w:rsid w:val="00FF0A46"/>
    <w:rsid w:val="00FF0AC4"/>
    <w:rsid w:val="00FF0BE1"/>
    <w:rsid w:val="00FF0BFF"/>
    <w:rsid w:val="00FF0C25"/>
    <w:rsid w:val="00FF0CAB"/>
    <w:rsid w:val="00FF0CEB"/>
    <w:rsid w:val="00FF0CF6"/>
    <w:rsid w:val="00FF0D50"/>
    <w:rsid w:val="00FF0D7B"/>
    <w:rsid w:val="00FF0DB6"/>
    <w:rsid w:val="00FF0E23"/>
    <w:rsid w:val="00FF0E2E"/>
    <w:rsid w:val="00FF0E6B"/>
    <w:rsid w:val="00FF0E84"/>
    <w:rsid w:val="00FF0E96"/>
    <w:rsid w:val="00FF0EB7"/>
    <w:rsid w:val="00FF0F25"/>
    <w:rsid w:val="00FF0F40"/>
    <w:rsid w:val="00FF0FAD"/>
    <w:rsid w:val="00FF0FC9"/>
    <w:rsid w:val="00FF0FD1"/>
    <w:rsid w:val="00FF0FD4"/>
    <w:rsid w:val="00FF1001"/>
    <w:rsid w:val="00FF103F"/>
    <w:rsid w:val="00FF1086"/>
    <w:rsid w:val="00FF1117"/>
    <w:rsid w:val="00FF1128"/>
    <w:rsid w:val="00FF1165"/>
    <w:rsid w:val="00FF1167"/>
    <w:rsid w:val="00FF117F"/>
    <w:rsid w:val="00FF11C7"/>
    <w:rsid w:val="00FF11D8"/>
    <w:rsid w:val="00FF1259"/>
    <w:rsid w:val="00FF12A3"/>
    <w:rsid w:val="00FF12E5"/>
    <w:rsid w:val="00FF1309"/>
    <w:rsid w:val="00FF1335"/>
    <w:rsid w:val="00FF13BC"/>
    <w:rsid w:val="00FF13E9"/>
    <w:rsid w:val="00FF1456"/>
    <w:rsid w:val="00FF150C"/>
    <w:rsid w:val="00FF1572"/>
    <w:rsid w:val="00FF1580"/>
    <w:rsid w:val="00FF159A"/>
    <w:rsid w:val="00FF15C6"/>
    <w:rsid w:val="00FF1616"/>
    <w:rsid w:val="00FF16A3"/>
    <w:rsid w:val="00FF16CB"/>
    <w:rsid w:val="00FF16F2"/>
    <w:rsid w:val="00FF174E"/>
    <w:rsid w:val="00FF175E"/>
    <w:rsid w:val="00FF184D"/>
    <w:rsid w:val="00FF186E"/>
    <w:rsid w:val="00FF189D"/>
    <w:rsid w:val="00FF18D9"/>
    <w:rsid w:val="00FF18EF"/>
    <w:rsid w:val="00FF190E"/>
    <w:rsid w:val="00FF1950"/>
    <w:rsid w:val="00FF196A"/>
    <w:rsid w:val="00FF19D9"/>
    <w:rsid w:val="00FF1BCB"/>
    <w:rsid w:val="00FF1C03"/>
    <w:rsid w:val="00FF1C62"/>
    <w:rsid w:val="00FF1C77"/>
    <w:rsid w:val="00FF1C8D"/>
    <w:rsid w:val="00FF1D23"/>
    <w:rsid w:val="00FF1D5A"/>
    <w:rsid w:val="00FF1DA6"/>
    <w:rsid w:val="00FF1DE0"/>
    <w:rsid w:val="00FF1E07"/>
    <w:rsid w:val="00FF1EFB"/>
    <w:rsid w:val="00FF1F5C"/>
    <w:rsid w:val="00FF1FB1"/>
    <w:rsid w:val="00FF1FD2"/>
    <w:rsid w:val="00FF200D"/>
    <w:rsid w:val="00FF2084"/>
    <w:rsid w:val="00FF208D"/>
    <w:rsid w:val="00FF2103"/>
    <w:rsid w:val="00FF217F"/>
    <w:rsid w:val="00FF2189"/>
    <w:rsid w:val="00FF21B0"/>
    <w:rsid w:val="00FF21C5"/>
    <w:rsid w:val="00FF21F4"/>
    <w:rsid w:val="00FF2258"/>
    <w:rsid w:val="00FF228A"/>
    <w:rsid w:val="00FF230B"/>
    <w:rsid w:val="00FF23E3"/>
    <w:rsid w:val="00FF244C"/>
    <w:rsid w:val="00FF24B2"/>
    <w:rsid w:val="00FF253C"/>
    <w:rsid w:val="00FF2579"/>
    <w:rsid w:val="00FF25A8"/>
    <w:rsid w:val="00FF25B4"/>
    <w:rsid w:val="00FF2710"/>
    <w:rsid w:val="00FF273A"/>
    <w:rsid w:val="00FF27FE"/>
    <w:rsid w:val="00FF2888"/>
    <w:rsid w:val="00FF28A8"/>
    <w:rsid w:val="00FF28FD"/>
    <w:rsid w:val="00FF294D"/>
    <w:rsid w:val="00FF2972"/>
    <w:rsid w:val="00FF29AE"/>
    <w:rsid w:val="00FF29D7"/>
    <w:rsid w:val="00FF2A16"/>
    <w:rsid w:val="00FF2B9A"/>
    <w:rsid w:val="00FF2BA4"/>
    <w:rsid w:val="00FF2BCC"/>
    <w:rsid w:val="00FF2BF6"/>
    <w:rsid w:val="00FF2BFA"/>
    <w:rsid w:val="00FF2C09"/>
    <w:rsid w:val="00FF2C1E"/>
    <w:rsid w:val="00FF2C4E"/>
    <w:rsid w:val="00FF2C66"/>
    <w:rsid w:val="00FF2CA9"/>
    <w:rsid w:val="00FF2CEB"/>
    <w:rsid w:val="00FF2DA6"/>
    <w:rsid w:val="00FF2DC5"/>
    <w:rsid w:val="00FF2E1D"/>
    <w:rsid w:val="00FF2E3B"/>
    <w:rsid w:val="00FF2E62"/>
    <w:rsid w:val="00FF2F30"/>
    <w:rsid w:val="00FF2F8D"/>
    <w:rsid w:val="00FF300B"/>
    <w:rsid w:val="00FF3081"/>
    <w:rsid w:val="00FF31F4"/>
    <w:rsid w:val="00FF3219"/>
    <w:rsid w:val="00FF3221"/>
    <w:rsid w:val="00FF3265"/>
    <w:rsid w:val="00FF326C"/>
    <w:rsid w:val="00FF32CB"/>
    <w:rsid w:val="00FF32D9"/>
    <w:rsid w:val="00FF3311"/>
    <w:rsid w:val="00FF341F"/>
    <w:rsid w:val="00FF3444"/>
    <w:rsid w:val="00FF3529"/>
    <w:rsid w:val="00FF353C"/>
    <w:rsid w:val="00FF355E"/>
    <w:rsid w:val="00FF357F"/>
    <w:rsid w:val="00FF35B1"/>
    <w:rsid w:val="00FF35E6"/>
    <w:rsid w:val="00FF36CC"/>
    <w:rsid w:val="00FF36E4"/>
    <w:rsid w:val="00FF370B"/>
    <w:rsid w:val="00FF37D7"/>
    <w:rsid w:val="00FF37FA"/>
    <w:rsid w:val="00FF3809"/>
    <w:rsid w:val="00FF3832"/>
    <w:rsid w:val="00FF3891"/>
    <w:rsid w:val="00FF38A3"/>
    <w:rsid w:val="00FF38D7"/>
    <w:rsid w:val="00FF393D"/>
    <w:rsid w:val="00FF3A12"/>
    <w:rsid w:val="00FF3A3D"/>
    <w:rsid w:val="00FF3A57"/>
    <w:rsid w:val="00FF3AA8"/>
    <w:rsid w:val="00FF3AAB"/>
    <w:rsid w:val="00FF3B2F"/>
    <w:rsid w:val="00FF3B62"/>
    <w:rsid w:val="00FF3B9D"/>
    <w:rsid w:val="00FF3BB8"/>
    <w:rsid w:val="00FF3BC7"/>
    <w:rsid w:val="00FF3BE2"/>
    <w:rsid w:val="00FF3BE8"/>
    <w:rsid w:val="00FF3C08"/>
    <w:rsid w:val="00FF3C41"/>
    <w:rsid w:val="00FF3C58"/>
    <w:rsid w:val="00FF3CAC"/>
    <w:rsid w:val="00FF3D0F"/>
    <w:rsid w:val="00FF3D24"/>
    <w:rsid w:val="00FF3D40"/>
    <w:rsid w:val="00FF3DAB"/>
    <w:rsid w:val="00FF3DC7"/>
    <w:rsid w:val="00FF3E09"/>
    <w:rsid w:val="00FF3E29"/>
    <w:rsid w:val="00FF3E7E"/>
    <w:rsid w:val="00FF3E81"/>
    <w:rsid w:val="00FF3EFE"/>
    <w:rsid w:val="00FF3F00"/>
    <w:rsid w:val="00FF3F16"/>
    <w:rsid w:val="00FF3F1A"/>
    <w:rsid w:val="00FF3F89"/>
    <w:rsid w:val="00FF3F91"/>
    <w:rsid w:val="00FF3F92"/>
    <w:rsid w:val="00FF4014"/>
    <w:rsid w:val="00FF4053"/>
    <w:rsid w:val="00FF4080"/>
    <w:rsid w:val="00FF411B"/>
    <w:rsid w:val="00FF4120"/>
    <w:rsid w:val="00FF4167"/>
    <w:rsid w:val="00FF416C"/>
    <w:rsid w:val="00FF4173"/>
    <w:rsid w:val="00FF417E"/>
    <w:rsid w:val="00FF41AB"/>
    <w:rsid w:val="00FF41AC"/>
    <w:rsid w:val="00FF4232"/>
    <w:rsid w:val="00FF424A"/>
    <w:rsid w:val="00FF4258"/>
    <w:rsid w:val="00FF42CE"/>
    <w:rsid w:val="00FF437E"/>
    <w:rsid w:val="00FF43B7"/>
    <w:rsid w:val="00FF43B9"/>
    <w:rsid w:val="00FF43C7"/>
    <w:rsid w:val="00FF4474"/>
    <w:rsid w:val="00FF44C1"/>
    <w:rsid w:val="00FF44D6"/>
    <w:rsid w:val="00FF44EF"/>
    <w:rsid w:val="00FF44F9"/>
    <w:rsid w:val="00FF451B"/>
    <w:rsid w:val="00FF4561"/>
    <w:rsid w:val="00FF456E"/>
    <w:rsid w:val="00FF45AB"/>
    <w:rsid w:val="00FF45CA"/>
    <w:rsid w:val="00FF45D3"/>
    <w:rsid w:val="00FF464C"/>
    <w:rsid w:val="00FF4659"/>
    <w:rsid w:val="00FF4697"/>
    <w:rsid w:val="00FF469E"/>
    <w:rsid w:val="00FF46ED"/>
    <w:rsid w:val="00FF474F"/>
    <w:rsid w:val="00FF476B"/>
    <w:rsid w:val="00FF4771"/>
    <w:rsid w:val="00FF47AA"/>
    <w:rsid w:val="00FF47B1"/>
    <w:rsid w:val="00FF481C"/>
    <w:rsid w:val="00FF4835"/>
    <w:rsid w:val="00FF4867"/>
    <w:rsid w:val="00FF4879"/>
    <w:rsid w:val="00FF4907"/>
    <w:rsid w:val="00FF4994"/>
    <w:rsid w:val="00FF49C5"/>
    <w:rsid w:val="00FF49EA"/>
    <w:rsid w:val="00FF4A75"/>
    <w:rsid w:val="00FF4A98"/>
    <w:rsid w:val="00FF4AB5"/>
    <w:rsid w:val="00FF4B29"/>
    <w:rsid w:val="00FF4B7C"/>
    <w:rsid w:val="00FF4BFA"/>
    <w:rsid w:val="00FF4C99"/>
    <w:rsid w:val="00FF4CB4"/>
    <w:rsid w:val="00FF4CD3"/>
    <w:rsid w:val="00FF4D3C"/>
    <w:rsid w:val="00FF4D8B"/>
    <w:rsid w:val="00FF4DCB"/>
    <w:rsid w:val="00FF4DCF"/>
    <w:rsid w:val="00FF4DF1"/>
    <w:rsid w:val="00FF4DF8"/>
    <w:rsid w:val="00FF4E71"/>
    <w:rsid w:val="00FF4E7F"/>
    <w:rsid w:val="00FF4EA5"/>
    <w:rsid w:val="00FF4ED4"/>
    <w:rsid w:val="00FF4EFD"/>
    <w:rsid w:val="00FF4F14"/>
    <w:rsid w:val="00FF4F50"/>
    <w:rsid w:val="00FF4F5A"/>
    <w:rsid w:val="00FF4F5E"/>
    <w:rsid w:val="00FF4F5F"/>
    <w:rsid w:val="00FF4F7A"/>
    <w:rsid w:val="00FF4FEC"/>
    <w:rsid w:val="00FF4FF0"/>
    <w:rsid w:val="00FF5054"/>
    <w:rsid w:val="00FF505B"/>
    <w:rsid w:val="00FF50C1"/>
    <w:rsid w:val="00FF514D"/>
    <w:rsid w:val="00FF51F4"/>
    <w:rsid w:val="00FF520A"/>
    <w:rsid w:val="00FF5225"/>
    <w:rsid w:val="00FF5236"/>
    <w:rsid w:val="00FF529C"/>
    <w:rsid w:val="00FF536B"/>
    <w:rsid w:val="00FF53A2"/>
    <w:rsid w:val="00FF53D6"/>
    <w:rsid w:val="00FF5411"/>
    <w:rsid w:val="00FF5424"/>
    <w:rsid w:val="00FF543D"/>
    <w:rsid w:val="00FF5440"/>
    <w:rsid w:val="00FF546F"/>
    <w:rsid w:val="00FF548B"/>
    <w:rsid w:val="00FF5492"/>
    <w:rsid w:val="00FF54A4"/>
    <w:rsid w:val="00FF55B3"/>
    <w:rsid w:val="00FF562F"/>
    <w:rsid w:val="00FF5633"/>
    <w:rsid w:val="00FF565B"/>
    <w:rsid w:val="00FF5664"/>
    <w:rsid w:val="00FF56BD"/>
    <w:rsid w:val="00FF56C2"/>
    <w:rsid w:val="00FF5753"/>
    <w:rsid w:val="00FF5758"/>
    <w:rsid w:val="00FF576E"/>
    <w:rsid w:val="00FF57B0"/>
    <w:rsid w:val="00FF5804"/>
    <w:rsid w:val="00FF5835"/>
    <w:rsid w:val="00FF584D"/>
    <w:rsid w:val="00FF58B4"/>
    <w:rsid w:val="00FF591E"/>
    <w:rsid w:val="00FF5927"/>
    <w:rsid w:val="00FF596D"/>
    <w:rsid w:val="00FF5991"/>
    <w:rsid w:val="00FF59B6"/>
    <w:rsid w:val="00FF59C1"/>
    <w:rsid w:val="00FF59E4"/>
    <w:rsid w:val="00FF5A06"/>
    <w:rsid w:val="00FF5A12"/>
    <w:rsid w:val="00FF5A60"/>
    <w:rsid w:val="00FF5A8C"/>
    <w:rsid w:val="00FF5AB3"/>
    <w:rsid w:val="00FF5ABA"/>
    <w:rsid w:val="00FF5B4E"/>
    <w:rsid w:val="00FF5B6A"/>
    <w:rsid w:val="00FF5B7F"/>
    <w:rsid w:val="00FF5BD5"/>
    <w:rsid w:val="00FF5BD8"/>
    <w:rsid w:val="00FF5C02"/>
    <w:rsid w:val="00FF5C2D"/>
    <w:rsid w:val="00FF5C3A"/>
    <w:rsid w:val="00FF5C5F"/>
    <w:rsid w:val="00FF5C65"/>
    <w:rsid w:val="00FF5CA8"/>
    <w:rsid w:val="00FF5CF6"/>
    <w:rsid w:val="00FF5CFE"/>
    <w:rsid w:val="00FF5D05"/>
    <w:rsid w:val="00FF5D51"/>
    <w:rsid w:val="00FF5D53"/>
    <w:rsid w:val="00FF5D84"/>
    <w:rsid w:val="00FF5DF9"/>
    <w:rsid w:val="00FF5E8F"/>
    <w:rsid w:val="00FF5EBD"/>
    <w:rsid w:val="00FF5F6B"/>
    <w:rsid w:val="00FF5F85"/>
    <w:rsid w:val="00FF5F8F"/>
    <w:rsid w:val="00FF5F90"/>
    <w:rsid w:val="00FF5F95"/>
    <w:rsid w:val="00FF5FDD"/>
    <w:rsid w:val="00FF6068"/>
    <w:rsid w:val="00FF6078"/>
    <w:rsid w:val="00FF6147"/>
    <w:rsid w:val="00FF6151"/>
    <w:rsid w:val="00FF615B"/>
    <w:rsid w:val="00FF6187"/>
    <w:rsid w:val="00FF61D4"/>
    <w:rsid w:val="00FF61D9"/>
    <w:rsid w:val="00FF62A8"/>
    <w:rsid w:val="00FF62D3"/>
    <w:rsid w:val="00FF6313"/>
    <w:rsid w:val="00FF635E"/>
    <w:rsid w:val="00FF637E"/>
    <w:rsid w:val="00FF6396"/>
    <w:rsid w:val="00FF6397"/>
    <w:rsid w:val="00FF639F"/>
    <w:rsid w:val="00FF640D"/>
    <w:rsid w:val="00FF641A"/>
    <w:rsid w:val="00FF642B"/>
    <w:rsid w:val="00FF643E"/>
    <w:rsid w:val="00FF6466"/>
    <w:rsid w:val="00FF6494"/>
    <w:rsid w:val="00FF64A7"/>
    <w:rsid w:val="00FF657F"/>
    <w:rsid w:val="00FF659A"/>
    <w:rsid w:val="00FF65CC"/>
    <w:rsid w:val="00FF65D5"/>
    <w:rsid w:val="00FF65E6"/>
    <w:rsid w:val="00FF6622"/>
    <w:rsid w:val="00FF663D"/>
    <w:rsid w:val="00FF665B"/>
    <w:rsid w:val="00FF669D"/>
    <w:rsid w:val="00FF66BB"/>
    <w:rsid w:val="00FF6741"/>
    <w:rsid w:val="00FF675D"/>
    <w:rsid w:val="00FF67FE"/>
    <w:rsid w:val="00FF680C"/>
    <w:rsid w:val="00FF6810"/>
    <w:rsid w:val="00FF6857"/>
    <w:rsid w:val="00FF68E1"/>
    <w:rsid w:val="00FF6911"/>
    <w:rsid w:val="00FF692B"/>
    <w:rsid w:val="00FF6946"/>
    <w:rsid w:val="00FF6952"/>
    <w:rsid w:val="00FF695B"/>
    <w:rsid w:val="00FF6971"/>
    <w:rsid w:val="00FF6989"/>
    <w:rsid w:val="00FF6A03"/>
    <w:rsid w:val="00FF6AF9"/>
    <w:rsid w:val="00FF6B5A"/>
    <w:rsid w:val="00FF6B7A"/>
    <w:rsid w:val="00FF6BC8"/>
    <w:rsid w:val="00FF6C29"/>
    <w:rsid w:val="00FF6C9D"/>
    <w:rsid w:val="00FF6CA1"/>
    <w:rsid w:val="00FF6CB3"/>
    <w:rsid w:val="00FF6CE3"/>
    <w:rsid w:val="00FF6DA7"/>
    <w:rsid w:val="00FF6E05"/>
    <w:rsid w:val="00FF6E16"/>
    <w:rsid w:val="00FF6E4B"/>
    <w:rsid w:val="00FF6E6C"/>
    <w:rsid w:val="00FF6F2A"/>
    <w:rsid w:val="00FF6F35"/>
    <w:rsid w:val="00FF6FB1"/>
    <w:rsid w:val="00FF6FCB"/>
    <w:rsid w:val="00FF6FE1"/>
    <w:rsid w:val="00FF709D"/>
    <w:rsid w:val="00FF70DD"/>
    <w:rsid w:val="00FF70FB"/>
    <w:rsid w:val="00FF7134"/>
    <w:rsid w:val="00FF7157"/>
    <w:rsid w:val="00FF7228"/>
    <w:rsid w:val="00FF726E"/>
    <w:rsid w:val="00FF7276"/>
    <w:rsid w:val="00FF72AB"/>
    <w:rsid w:val="00FF72AC"/>
    <w:rsid w:val="00FF72BC"/>
    <w:rsid w:val="00FF72C1"/>
    <w:rsid w:val="00FF72F9"/>
    <w:rsid w:val="00FF7322"/>
    <w:rsid w:val="00FF7333"/>
    <w:rsid w:val="00FF735F"/>
    <w:rsid w:val="00FF7391"/>
    <w:rsid w:val="00FF73A0"/>
    <w:rsid w:val="00FF73BC"/>
    <w:rsid w:val="00FF7412"/>
    <w:rsid w:val="00FF747D"/>
    <w:rsid w:val="00FF74AE"/>
    <w:rsid w:val="00FF74E0"/>
    <w:rsid w:val="00FF757B"/>
    <w:rsid w:val="00FF75D0"/>
    <w:rsid w:val="00FF75D4"/>
    <w:rsid w:val="00FF7660"/>
    <w:rsid w:val="00FF7686"/>
    <w:rsid w:val="00FF769F"/>
    <w:rsid w:val="00FF76EC"/>
    <w:rsid w:val="00FF76ED"/>
    <w:rsid w:val="00FF779C"/>
    <w:rsid w:val="00FF77A1"/>
    <w:rsid w:val="00FF77CC"/>
    <w:rsid w:val="00FF7820"/>
    <w:rsid w:val="00FF7842"/>
    <w:rsid w:val="00FF7864"/>
    <w:rsid w:val="00FF7870"/>
    <w:rsid w:val="00FF7896"/>
    <w:rsid w:val="00FF78CB"/>
    <w:rsid w:val="00FF793D"/>
    <w:rsid w:val="00FF7968"/>
    <w:rsid w:val="00FF79FB"/>
    <w:rsid w:val="00FF7A21"/>
    <w:rsid w:val="00FF7A69"/>
    <w:rsid w:val="00FF7A71"/>
    <w:rsid w:val="00FF7AAA"/>
    <w:rsid w:val="00FF7AB3"/>
    <w:rsid w:val="00FF7B01"/>
    <w:rsid w:val="00FF7B89"/>
    <w:rsid w:val="00FF7BD3"/>
    <w:rsid w:val="00FF7C1A"/>
    <w:rsid w:val="00FF7C1F"/>
    <w:rsid w:val="00FF7C28"/>
    <w:rsid w:val="00FF7D1B"/>
    <w:rsid w:val="00FF7D89"/>
    <w:rsid w:val="00FF7DA9"/>
    <w:rsid w:val="00FF7DD4"/>
    <w:rsid w:val="00FF7DE1"/>
    <w:rsid w:val="00FF7E03"/>
    <w:rsid w:val="00FF7E4C"/>
    <w:rsid w:val="00FF7ECF"/>
    <w:rsid w:val="00FF7EE1"/>
    <w:rsid w:val="00FF7F19"/>
    <w:rsid w:val="00FF7F98"/>
    <w:rsid w:val="00FF7FD5"/>
    <w:rsid w:val="00FF7FF0"/>
    <w:rsid w:val="00FF7FF1"/>
    <w:rsid w:val="010010D3"/>
    <w:rsid w:val="0103C9B9"/>
    <w:rsid w:val="01097E79"/>
    <w:rsid w:val="011AB656"/>
    <w:rsid w:val="011B35ED"/>
    <w:rsid w:val="012155B9"/>
    <w:rsid w:val="0126B2BF"/>
    <w:rsid w:val="01272AD6"/>
    <w:rsid w:val="012A386F"/>
    <w:rsid w:val="012C275B"/>
    <w:rsid w:val="01304957"/>
    <w:rsid w:val="013181BD"/>
    <w:rsid w:val="013237C2"/>
    <w:rsid w:val="01345C65"/>
    <w:rsid w:val="01369D36"/>
    <w:rsid w:val="01376C92"/>
    <w:rsid w:val="013A406D"/>
    <w:rsid w:val="01472090"/>
    <w:rsid w:val="01478ECC"/>
    <w:rsid w:val="01503003"/>
    <w:rsid w:val="0151A960"/>
    <w:rsid w:val="0153F25E"/>
    <w:rsid w:val="015DC200"/>
    <w:rsid w:val="0167098F"/>
    <w:rsid w:val="0168D7B1"/>
    <w:rsid w:val="016F5AC2"/>
    <w:rsid w:val="01726031"/>
    <w:rsid w:val="01727AD7"/>
    <w:rsid w:val="018BC05C"/>
    <w:rsid w:val="019BF457"/>
    <w:rsid w:val="019CEC13"/>
    <w:rsid w:val="019DA9F1"/>
    <w:rsid w:val="019DB31A"/>
    <w:rsid w:val="01A0C57C"/>
    <w:rsid w:val="01A8117C"/>
    <w:rsid w:val="01A8B14F"/>
    <w:rsid w:val="01A9B81A"/>
    <w:rsid w:val="01AE00A3"/>
    <w:rsid w:val="01AF6215"/>
    <w:rsid w:val="01BA02FF"/>
    <w:rsid w:val="01BF1662"/>
    <w:rsid w:val="01C129BF"/>
    <w:rsid w:val="01C66C30"/>
    <w:rsid w:val="01C81117"/>
    <w:rsid w:val="01C85DCC"/>
    <w:rsid w:val="01C89B2D"/>
    <w:rsid w:val="01C9C2B6"/>
    <w:rsid w:val="01C9FDE6"/>
    <w:rsid w:val="01CC3FC7"/>
    <w:rsid w:val="01D7C387"/>
    <w:rsid w:val="01DE94C8"/>
    <w:rsid w:val="01DF9BD5"/>
    <w:rsid w:val="01DFB453"/>
    <w:rsid w:val="01E03F44"/>
    <w:rsid w:val="01E5F5B6"/>
    <w:rsid w:val="01F1F579"/>
    <w:rsid w:val="01F7FBCF"/>
    <w:rsid w:val="01F846ED"/>
    <w:rsid w:val="01FC4FC6"/>
    <w:rsid w:val="020201A0"/>
    <w:rsid w:val="020EF3F4"/>
    <w:rsid w:val="0210F8B6"/>
    <w:rsid w:val="02115375"/>
    <w:rsid w:val="021305B4"/>
    <w:rsid w:val="02150EFD"/>
    <w:rsid w:val="0217C5D0"/>
    <w:rsid w:val="02199842"/>
    <w:rsid w:val="021A6191"/>
    <w:rsid w:val="021D031E"/>
    <w:rsid w:val="02210486"/>
    <w:rsid w:val="02239B74"/>
    <w:rsid w:val="022BE754"/>
    <w:rsid w:val="02363A0B"/>
    <w:rsid w:val="0238CED5"/>
    <w:rsid w:val="023994B4"/>
    <w:rsid w:val="02455B59"/>
    <w:rsid w:val="0246C058"/>
    <w:rsid w:val="0248795E"/>
    <w:rsid w:val="0249758E"/>
    <w:rsid w:val="024D3BD3"/>
    <w:rsid w:val="0251C4AE"/>
    <w:rsid w:val="02547D84"/>
    <w:rsid w:val="02570929"/>
    <w:rsid w:val="025B8834"/>
    <w:rsid w:val="0266D900"/>
    <w:rsid w:val="026740B6"/>
    <w:rsid w:val="026B470F"/>
    <w:rsid w:val="026C150D"/>
    <w:rsid w:val="0272898E"/>
    <w:rsid w:val="02741947"/>
    <w:rsid w:val="02756713"/>
    <w:rsid w:val="027AAAAE"/>
    <w:rsid w:val="027C8F14"/>
    <w:rsid w:val="027F5ABA"/>
    <w:rsid w:val="02812890"/>
    <w:rsid w:val="02844780"/>
    <w:rsid w:val="02876599"/>
    <w:rsid w:val="028ABDAF"/>
    <w:rsid w:val="028C3091"/>
    <w:rsid w:val="02934062"/>
    <w:rsid w:val="029886A9"/>
    <w:rsid w:val="0299FB08"/>
    <w:rsid w:val="029DD065"/>
    <w:rsid w:val="02A0C3F6"/>
    <w:rsid w:val="02A52406"/>
    <w:rsid w:val="02A6C7E4"/>
    <w:rsid w:val="02A87B34"/>
    <w:rsid w:val="02A8AC0E"/>
    <w:rsid w:val="02B2FDC7"/>
    <w:rsid w:val="02B389A8"/>
    <w:rsid w:val="02B39AFE"/>
    <w:rsid w:val="02B80B1A"/>
    <w:rsid w:val="02C51328"/>
    <w:rsid w:val="02C54449"/>
    <w:rsid w:val="02C62EF1"/>
    <w:rsid w:val="02C6DD01"/>
    <w:rsid w:val="02C938FB"/>
    <w:rsid w:val="02CA8B21"/>
    <w:rsid w:val="02CCF024"/>
    <w:rsid w:val="02D03B66"/>
    <w:rsid w:val="02D3E894"/>
    <w:rsid w:val="02D4A6E3"/>
    <w:rsid w:val="02DAEE24"/>
    <w:rsid w:val="02DB18AB"/>
    <w:rsid w:val="02E09FE5"/>
    <w:rsid w:val="02E42EEF"/>
    <w:rsid w:val="02E83306"/>
    <w:rsid w:val="02E8DDF8"/>
    <w:rsid w:val="02EC4C52"/>
    <w:rsid w:val="02ED9733"/>
    <w:rsid w:val="02F0C6FC"/>
    <w:rsid w:val="02F29E6C"/>
    <w:rsid w:val="02F304D6"/>
    <w:rsid w:val="02F65A79"/>
    <w:rsid w:val="02F7330F"/>
    <w:rsid w:val="0302BCFA"/>
    <w:rsid w:val="0302C58B"/>
    <w:rsid w:val="0303CE3C"/>
    <w:rsid w:val="0306B362"/>
    <w:rsid w:val="030808D1"/>
    <w:rsid w:val="0311DE0C"/>
    <w:rsid w:val="0313DA67"/>
    <w:rsid w:val="031A07E3"/>
    <w:rsid w:val="031A4A2C"/>
    <w:rsid w:val="031AD42B"/>
    <w:rsid w:val="031B05D9"/>
    <w:rsid w:val="032174DC"/>
    <w:rsid w:val="032546B7"/>
    <w:rsid w:val="0326EC7A"/>
    <w:rsid w:val="03274883"/>
    <w:rsid w:val="032A3616"/>
    <w:rsid w:val="03335131"/>
    <w:rsid w:val="0337E24C"/>
    <w:rsid w:val="033A4C30"/>
    <w:rsid w:val="033BE2A1"/>
    <w:rsid w:val="03444208"/>
    <w:rsid w:val="034547C5"/>
    <w:rsid w:val="034AE77D"/>
    <w:rsid w:val="034C232C"/>
    <w:rsid w:val="035514FD"/>
    <w:rsid w:val="035A07E1"/>
    <w:rsid w:val="035AA9B5"/>
    <w:rsid w:val="035FEE13"/>
    <w:rsid w:val="0360C6F0"/>
    <w:rsid w:val="03697706"/>
    <w:rsid w:val="037101D6"/>
    <w:rsid w:val="03717422"/>
    <w:rsid w:val="0375AFAC"/>
    <w:rsid w:val="039109BE"/>
    <w:rsid w:val="0396D20D"/>
    <w:rsid w:val="039A91C1"/>
    <w:rsid w:val="039E9CDB"/>
    <w:rsid w:val="03A174F7"/>
    <w:rsid w:val="03A39928"/>
    <w:rsid w:val="03A58E85"/>
    <w:rsid w:val="03AC4054"/>
    <w:rsid w:val="03AC41F0"/>
    <w:rsid w:val="03B6E6D7"/>
    <w:rsid w:val="03B95E75"/>
    <w:rsid w:val="03BB9D1A"/>
    <w:rsid w:val="03BEAA73"/>
    <w:rsid w:val="03BFCA31"/>
    <w:rsid w:val="03C02CE2"/>
    <w:rsid w:val="03C099B1"/>
    <w:rsid w:val="03C16DE6"/>
    <w:rsid w:val="03CEEE45"/>
    <w:rsid w:val="03CFAE05"/>
    <w:rsid w:val="03D1132C"/>
    <w:rsid w:val="03D4256E"/>
    <w:rsid w:val="03D5A728"/>
    <w:rsid w:val="03D74AD9"/>
    <w:rsid w:val="03D87095"/>
    <w:rsid w:val="03DA9B04"/>
    <w:rsid w:val="03DD19F2"/>
    <w:rsid w:val="03E53293"/>
    <w:rsid w:val="03E5BA50"/>
    <w:rsid w:val="03E99B29"/>
    <w:rsid w:val="03E99F11"/>
    <w:rsid w:val="03EF365B"/>
    <w:rsid w:val="03F0B84E"/>
    <w:rsid w:val="03F3B7AC"/>
    <w:rsid w:val="0402A620"/>
    <w:rsid w:val="040BB3DB"/>
    <w:rsid w:val="040BBDA9"/>
    <w:rsid w:val="040DDC65"/>
    <w:rsid w:val="04121E35"/>
    <w:rsid w:val="04143FBD"/>
    <w:rsid w:val="04158E57"/>
    <w:rsid w:val="041869E0"/>
    <w:rsid w:val="0421FC36"/>
    <w:rsid w:val="042376DB"/>
    <w:rsid w:val="042970F3"/>
    <w:rsid w:val="042FB466"/>
    <w:rsid w:val="04317846"/>
    <w:rsid w:val="043F395D"/>
    <w:rsid w:val="04436D50"/>
    <w:rsid w:val="04442086"/>
    <w:rsid w:val="0445BD13"/>
    <w:rsid w:val="044B056A"/>
    <w:rsid w:val="044CC3E8"/>
    <w:rsid w:val="044EBD9F"/>
    <w:rsid w:val="04543E1C"/>
    <w:rsid w:val="0457F109"/>
    <w:rsid w:val="045B6BCA"/>
    <w:rsid w:val="045D8D85"/>
    <w:rsid w:val="045E214A"/>
    <w:rsid w:val="046246A4"/>
    <w:rsid w:val="0465174F"/>
    <w:rsid w:val="046BA549"/>
    <w:rsid w:val="046BADD8"/>
    <w:rsid w:val="0479A358"/>
    <w:rsid w:val="047B9A9D"/>
    <w:rsid w:val="0480BB4A"/>
    <w:rsid w:val="0482C228"/>
    <w:rsid w:val="0482F89E"/>
    <w:rsid w:val="04868EA3"/>
    <w:rsid w:val="04896014"/>
    <w:rsid w:val="048D76B0"/>
    <w:rsid w:val="048E1E8F"/>
    <w:rsid w:val="048E8048"/>
    <w:rsid w:val="0494EB69"/>
    <w:rsid w:val="04978FD8"/>
    <w:rsid w:val="0499CF66"/>
    <w:rsid w:val="04A1F684"/>
    <w:rsid w:val="04A782E1"/>
    <w:rsid w:val="04A98AD9"/>
    <w:rsid w:val="04BAD970"/>
    <w:rsid w:val="04BCCAAE"/>
    <w:rsid w:val="04BCE20B"/>
    <w:rsid w:val="04BE9C39"/>
    <w:rsid w:val="04C19788"/>
    <w:rsid w:val="04CBAD1D"/>
    <w:rsid w:val="04D9D573"/>
    <w:rsid w:val="04DE2A33"/>
    <w:rsid w:val="04E25F72"/>
    <w:rsid w:val="04E3BC64"/>
    <w:rsid w:val="04E3CA19"/>
    <w:rsid w:val="04E48D0E"/>
    <w:rsid w:val="04EA50B2"/>
    <w:rsid w:val="04EDCB7E"/>
    <w:rsid w:val="04EE296F"/>
    <w:rsid w:val="04EFC793"/>
    <w:rsid w:val="04EFE2FB"/>
    <w:rsid w:val="04F19F2C"/>
    <w:rsid w:val="04F8391B"/>
    <w:rsid w:val="04FB0B34"/>
    <w:rsid w:val="04FB232B"/>
    <w:rsid w:val="0504141C"/>
    <w:rsid w:val="0509DB21"/>
    <w:rsid w:val="050AA204"/>
    <w:rsid w:val="050D85F4"/>
    <w:rsid w:val="050EC8DE"/>
    <w:rsid w:val="051041B1"/>
    <w:rsid w:val="05123A28"/>
    <w:rsid w:val="051CC3B5"/>
    <w:rsid w:val="051DB63D"/>
    <w:rsid w:val="052BA93F"/>
    <w:rsid w:val="052C46DB"/>
    <w:rsid w:val="052F6F63"/>
    <w:rsid w:val="0530C787"/>
    <w:rsid w:val="05374BFA"/>
    <w:rsid w:val="053A3571"/>
    <w:rsid w:val="053E60AF"/>
    <w:rsid w:val="05400664"/>
    <w:rsid w:val="05404E35"/>
    <w:rsid w:val="0546B6D3"/>
    <w:rsid w:val="05484F9A"/>
    <w:rsid w:val="05489F03"/>
    <w:rsid w:val="0549934C"/>
    <w:rsid w:val="054DD89A"/>
    <w:rsid w:val="0558A560"/>
    <w:rsid w:val="0559EF3F"/>
    <w:rsid w:val="055C648B"/>
    <w:rsid w:val="055FA4D7"/>
    <w:rsid w:val="05609B08"/>
    <w:rsid w:val="0567CDA3"/>
    <w:rsid w:val="056FC7F7"/>
    <w:rsid w:val="0572D818"/>
    <w:rsid w:val="0574C05B"/>
    <w:rsid w:val="05750EE6"/>
    <w:rsid w:val="0577C03E"/>
    <w:rsid w:val="057DFE5F"/>
    <w:rsid w:val="057E6D5C"/>
    <w:rsid w:val="05897E6B"/>
    <w:rsid w:val="058D21BD"/>
    <w:rsid w:val="05966E81"/>
    <w:rsid w:val="05974E1C"/>
    <w:rsid w:val="059A6EAC"/>
    <w:rsid w:val="059F7E71"/>
    <w:rsid w:val="059FD036"/>
    <w:rsid w:val="05A00888"/>
    <w:rsid w:val="05A032DC"/>
    <w:rsid w:val="05A3F7EC"/>
    <w:rsid w:val="05A63CCA"/>
    <w:rsid w:val="05ABD6CD"/>
    <w:rsid w:val="05ADFC5E"/>
    <w:rsid w:val="05AE621F"/>
    <w:rsid w:val="05B73C68"/>
    <w:rsid w:val="05BF1197"/>
    <w:rsid w:val="05C0C7AB"/>
    <w:rsid w:val="05C21B03"/>
    <w:rsid w:val="05CA5C0C"/>
    <w:rsid w:val="05CC64DA"/>
    <w:rsid w:val="05D50AB9"/>
    <w:rsid w:val="05D5572F"/>
    <w:rsid w:val="05DD8153"/>
    <w:rsid w:val="05DFAA99"/>
    <w:rsid w:val="05E11185"/>
    <w:rsid w:val="05E23706"/>
    <w:rsid w:val="05E29BDF"/>
    <w:rsid w:val="05E4FAA6"/>
    <w:rsid w:val="05E77BBA"/>
    <w:rsid w:val="05E8F0A1"/>
    <w:rsid w:val="05E9D607"/>
    <w:rsid w:val="05ECD7C3"/>
    <w:rsid w:val="05EE385B"/>
    <w:rsid w:val="05F04B47"/>
    <w:rsid w:val="05F34655"/>
    <w:rsid w:val="05F46319"/>
    <w:rsid w:val="05F7048B"/>
    <w:rsid w:val="05F7247D"/>
    <w:rsid w:val="06003E27"/>
    <w:rsid w:val="060ACA19"/>
    <w:rsid w:val="060BB228"/>
    <w:rsid w:val="06125263"/>
    <w:rsid w:val="0617C79F"/>
    <w:rsid w:val="061AD153"/>
    <w:rsid w:val="061F3110"/>
    <w:rsid w:val="06296F2F"/>
    <w:rsid w:val="062A2925"/>
    <w:rsid w:val="062E7191"/>
    <w:rsid w:val="062FE7F5"/>
    <w:rsid w:val="0630BA6B"/>
    <w:rsid w:val="06355381"/>
    <w:rsid w:val="063DA561"/>
    <w:rsid w:val="0644F1ED"/>
    <w:rsid w:val="0644FA1A"/>
    <w:rsid w:val="06456C7A"/>
    <w:rsid w:val="0646CBAE"/>
    <w:rsid w:val="0649C87E"/>
    <w:rsid w:val="064AB454"/>
    <w:rsid w:val="064DA7A1"/>
    <w:rsid w:val="064EEEC2"/>
    <w:rsid w:val="064F37A6"/>
    <w:rsid w:val="064FDF0B"/>
    <w:rsid w:val="0655CA70"/>
    <w:rsid w:val="0656BFF9"/>
    <w:rsid w:val="06606FC1"/>
    <w:rsid w:val="0661563D"/>
    <w:rsid w:val="0661B485"/>
    <w:rsid w:val="066A44DE"/>
    <w:rsid w:val="066B25D2"/>
    <w:rsid w:val="066F4FDA"/>
    <w:rsid w:val="066F73BC"/>
    <w:rsid w:val="0670F94C"/>
    <w:rsid w:val="0675A152"/>
    <w:rsid w:val="0676B60E"/>
    <w:rsid w:val="067765C3"/>
    <w:rsid w:val="067F0A7A"/>
    <w:rsid w:val="0683D732"/>
    <w:rsid w:val="0688D98E"/>
    <w:rsid w:val="068C72B6"/>
    <w:rsid w:val="068FD552"/>
    <w:rsid w:val="069401E6"/>
    <w:rsid w:val="06951173"/>
    <w:rsid w:val="069BE92C"/>
    <w:rsid w:val="06A2A7AF"/>
    <w:rsid w:val="06A765FD"/>
    <w:rsid w:val="06A7B48B"/>
    <w:rsid w:val="06A7B98F"/>
    <w:rsid w:val="06A84499"/>
    <w:rsid w:val="06A847B1"/>
    <w:rsid w:val="06ADF894"/>
    <w:rsid w:val="06AF3485"/>
    <w:rsid w:val="06B252B9"/>
    <w:rsid w:val="06B80AB6"/>
    <w:rsid w:val="06B914FC"/>
    <w:rsid w:val="06BCA1BF"/>
    <w:rsid w:val="06C37FAD"/>
    <w:rsid w:val="06C75773"/>
    <w:rsid w:val="06D04D33"/>
    <w:rsid w:val="06D6F255"/>
    <w:rsid w:val="06DB9FB8"/>
    <w:rsid w:val="06E0C102"/>
    <w:rsid w:val="06E5B307"/>
    <w:rsid w:val="06E5B835"/>
    <w:rsid w:val="06E9AD59"/>
    <w:rsid w:val="06EE9884"/>
    <w:rsid w:val="06F16A82"/>
    <w:rsid w:val="06F52347"/>
    <w:rsid w:val="06FC55F8"/>
    <w:rsid w:val="0703F47F"/>
    <w:rsid w:val="0708BE17"/>
    <w:rsid w:val="0709189A"/>
    <w:rsid w:val="07127826"/>
    <w:rsid w:val="0736B919"/>
    <w:rsid w:val="073AB24C"/>
    <w:rsid w:val="073C37B3"/>
    <w:rsid w:val="0741FB88"/>
    <w:rsid w:val="0754046D"/>
    <w:rsid w:val="0757C5DB"/>
    <w:rsid w:val="0759ED5C"/>
    <w:rsid w:val="075F6925"/>
    <w:rsid w:val="075FA56B"/>
    <w:rsid w:val="07677D54"/>
    <w:rsid w:val="076EF742"/>
    <w:rsid w:val="0789D309"/>
    <w:rsid w:val="078A84C0"/>
    <w:rsid w:val="078BEED1"/>
    <w:rsid w:val="078EAFB4"/>
    <w:rsid w:val="0790A924"/>
    <w:rsid w:val="0792056B"/>
    <w:rsid w:val="0792B631"/>
    <w:rsid w:val="0795A8B2"/>
    <w:rsid w:val="079DE18C"/>
    <w:rsid w:val="079E87B5"/>
    <w:rsid w:val="07A3C595"/>
    <w:rsid w:val="07A7E8A0"/>
    <w:rsid w:val="07A7F955"/>
    <w:rsid w:val="07AB230E"/>
    <w:rsid w:val="07BFA36B"/>
    <w:rsid w:val="07C02C57"/>
    <w:rsid w:val="07C497EA"/>
    <w:rsid w:val="07C65497"/>
    <w:rsid w:val="07CD274F"/>
    <w:rsid w:val="07D26FCC"/>
    <w:rsid w:val="07D64975"/>
    <w:rsid w:val="07D70C4F"/>
    <w:rsid w:val="07D91F8F"/>
    <w:rsid w:val="07DBCAE5"/>
    <w:rsid w:val="07DFB895"/>
    <w:rsid w:val="07E50FC3"/>
    <w:rsid w:val="07EC6EAB"/>
    <w:rsid w:val="07F2C973"/>
    <w:rsid w:val="07F6CF00"/>
    <w:rsid w:val="07FBCCA6"/>
    <w:rsid w:val="080024EF"/>
    <w:rsid w:val="0804332C"/>
    <w:rsid w:val="0804C796"/>
    <w:rsid w:val="080D80CB"/>
    <w:rsid w:val="08161759"/>
    <w:rsid w:val="0827189C"/>
    <w:rsid w:val="082CAAC8"/>
    <w:rsid w:val="082E8873"/>
    <w:rsid w:val="0830A6AA"/>
    <w:rsid w:val="0838DE84"/>
    <w:rsid w:val="0843C8C9"/>
    <w:rsid w:val="0844590B"/>
    <w:rsid w:val="08450F59"/>
    <w:rsid w:val="0845DB69"/>
    <w:rsid w:val="0848DE62"/>
    <w:rsid w:val="084932CC"/>
    <w:rsid w:val="085033EA"/>
    <w:rsid w:val="0854B861"/>
    <w:rsid w:val="0859902C"/>
    <w:rsid w:val="085BD811"/>
    <w:rsid w:val="085ED6E0"/>
    <w:rsid w:val="08606F86"/>
    <w:rsid w:val="0860E688"/>
    <w:rsid w:val="08637876"/>
    <w:rsid w:val="086495B9"/>
    <w:rsid w:val="08677503"/>
    <w:rsid w:val="086CB12B"/>
    <w:rsid w:val="086EDE60"/>
    <w:rsid w:val="0872E734"/>
    <w:rsid w:val="08755518"/>
    <w:rsid w:val="087F212B"/>
    <w:rsid w:val="0882AC62"/>
    <w:rsid w:val="08838BEE"/>
    <w:rsid w:val="08876C99"/>
    <w:rsid w:val="0887FC5B"/>
    <w:rsid w:val="088AF9AF"/>
    <w:rsid w:val="088B6F48"/>
    <w:rsid w:val="089B113F"/>
    <w:rsid w:val="089D48A4"/>
    <w:rsid w:val="08A23EAD"/>
    <w:rsid w:val="08A4246E"/>
    <w:rsid w:val="08A9BC62"/>
    <w:rsid w:val="08ACBF39"/>
    <w:rsid w:val="08B1DD89"/>
    <w:rsid w:val="08B26475"/>
    <w:rsid w:val="08B82E1E"/>
    <w:rsid w:val="08BA4442"/>
    <w:rsid w:val="08BB0C1E"/>
    <w:rsid w:val="08BC848C"/>
    <w:rsid w:val="08C57190"/>
    <w:rsid w:val="08CBAB56"/>
    <w:rsid w:val="08CC0F2A"/>
    <w:rsid w:val="08CFC136"/>
    <w:rsid w:val="08D0DD5B"/>
    <w:rsid w:val="08D13AA9"/>
    <w:rsid w:val="08D35AC2"/>
    <w:rsid w:val="08D44C02"/>
    <w:rsid w:val="08DE5047"/>
    <w:rsid w:val="08E07309"/>
    <w:rsid w:val="08E6C1C0"/>
    <w:rsid w:val="08F5DE99"/>
    <w:rsid w:val="08F8CA57"/>
    <w:rsid w:val="08F970B7"/>
    <w:rsid w:val="08FFC069"/>
    <w:rsid w:val="09005C36"/>
    <w:rsid w:val="09015844"/>
    <w:rsid w:val="090184D7"/>
    <w:rsid w:val="0902F0EA"/>
    <w:rsid w:val="090794C9"/>
    <w:rsid w:val="090D0D34"/>
    <w:rsid w:val="090F194E"/>
    <w:rsid w:val="0912D5D7"/>
    <w:rsid w:val="0913EE95"/>
    <w:rsid w:val="0914F57C"/>
    <w:rsid w:val="0915DC87"/>
    <w:rsid w:val="091DF3D7"/>
    <w:rsid w:val="0921F504"/>
    <w:rsid w:val="092227F2"/>
    <w:rsid w:val="09272AAC"/>
    <w:rsid w:val="092C119D"/>
    <w:rsid w:val="093ACC5E"/>
    <w:rsid w:val="093E6A6A"/>
    <w:rsid w:val="093ED7D1"/>
    <w:rsid w:val="0940437E"/>
    <w:rsid w:val="0940D222"/>
    <w:rsid w:val="09434BC8"/>
    <w:rsid w:val="0946FC91"/>
    <w:rsid w:val="0948FC62"/>
    <w:rsid w:val="094B21FB"/>
    <w:rsid w:val="094C21B8"/>
    <w:rsid w:val="0959EA88"/>
    <w:rsid w:val="0961DCFA"/>
    <w:rsid w:val="09634CF0"/>
    <w:rsid w:val="096D5190"/>
    <w:rsid w:val="096DEC23"/>
    <w:rsid w:val="0972964B"/>
    <w:rsid w:val="09799FCE"/>
    <w:rsid w:val="097D09E4"/>
    <w:rsid w:val="097D9A5B"/>
    <w:rsid w:val="09846319"/>
    <w:rsid w:val="098BFD70"/>
    <w:rsid w:val="09982CE2"/>
    <w:rsid w:val="0998841C"/>
    <w:rsid w:val="099E360E"/>
    <w:rsid w:val="099E4F70"/>
    <w:rsid w:val="09A07D08"/>
    <w:rsid w:val="09A24B96"/>
    <w:rsid w:val="09A38497"/>
    <w:rsid w:val="09AB81D8"/>
    <w:rsid w:val="09AF78C0"/>
    <w:rsid w:val="09B42A40"/>
    <w:rsid w:val="09B6AABB"/>
    <w:rsid w:val="09B6C4CE"/>
    <w:rsid w:val="09BD9CC7"/>
    <w:rsid w:val="09BE1984"/>
    <w:rsid w:val="09C1A9C6"/>
    <w:rsid w:val="09C2137E"/>
    <w:rsid w:val="09C57AEA"/>
    <w:rsid w:val="09C72CAD"/>
    <w:rsid w:val="09D653D8"/>
    <w:rsid w:val="09D8BEC6"/>
    <w:rsid w:val="09DF51AF"/>
    <w:rsid w:val="09DF92FF"/>
    <w:rsid w:val="09DFAE4E"/>
    <w:rsid w:val="09E0B978"/>
    <w:rsid w:val="09E25AE8"/>
    <w:rsid w:val="09E679C2"/>
    <w:rsid w:val="09EAA572"/>
    <w:rsid w:val="09EC052F"/>
    <w:rsid w:val="09F2865C"/>
    <w:rsid w:val="09F7EC1C"/>
    <w:rsid w:val="0A01CB62"/>
    <w:rsid w:val="0A0BE440"/>
    <w:rsid w:val="0A0E90F5"/>
    <w:rsid w:val="0A143561"/>
    <w:rsid w:val="0A19F113"/>
    <w:rsid w:val="0A1CC520"/>
    <w:rsid w:val="0A1EAAF9"/>
    <w:rsid w:val="0A1F1659"/>
    <w:rsid w:val="0A21745C"/>
    <w:rsid w:val="0A21E581"/>
    <w:rsid w:val="0A288AB7"/>
    <w:rsid w:val="0A2F0C90"/>
    <w:rsid w:val="0A36757D"/>
    <w:rsid w:val="0A384990"/>
    <w:rsid w:val="0A40E9DF"/>
    <w:rsid w:val="0A4724C1"/>
    <w:rsid w:val="0A4F776E"/>
    <w:rsid w:val="0A583403"/>
    <w:rsid w:val="0A59E9C7"/>
    <w:rsid w:val="0A5CD578"/>
    <w:rsid w:val="0A5FA868"/>
    <w:rsid w:val="0A675780"/>
    <w:rsid w:val="0A67C2AF"/>
    <w:rsid w:val="0A6A96CD"/>
    <w:rsid w:val="0A6ED42E"/>
    <w:rsid w:val="0A77DD2C"/>
    <w:rsid w:val="0A783592"/>
    <w:rsid w:val="0A7ED84C"/>
    <w:rsid w:val="0A8499C4"/>
    <w:rsid w:val="0A87911E"/>
    <w:rsid w:val="0A8C104C"/>
    <w:rsid w:val="0A949D38"/>
    <w:rsid w:val="0A991B71"/>
    <w:rsid w:val="0AA0EEA4"/>
    <w:rsid w:val="0AA2A905"/>
    <w:rsid w:val="0AA5994F"/>
    <w:rsid w:val="0AA73D03"/>
    <w:rsid w:val="0AAD3146"/>
    <w:rsid w:val="0AAF575A"/>
    <w:rsid w:val="0AB134BD"/>
    <w:rsid w:val="0AB35B32"/>
    <w:rsid w:val="0AB529B5"/>
    <w:rsid w:val="0AB6B22B"/>
    <w:rsid w:val="0AB96CB1"/>
    <w:rsid w:val="0ABC48C7"/>
    <w:rsid w:val="0AC0A72A"/>
    <w:rsid w:val="0AC44FFB"/>
    <w:rsid w:val="0AC4D0BF"/>
    <w:rsid w:val="0AC6404D"/>
    <w:rsid w:val="0AC6EA64"/>
    <w:rsid w:val="0AC75518"/>
    <w:rsid w:val="0AC7DE8B"/>
    <w:rsid w:val="0ACC8755"/>
    <w:rsid w:val="0ACCA0BC"/>
    <w:rsid w:val="0ACE15D2"/>
    <w:rsid w:val="0ACFA845"/>
    <w:rsid w:val="0AD06349"/>
    <w:rsid w:val="0AD279FA"/>
    <w:rsid w:val="0AD31377"/>
    <w:rsid w:val="0AD37766"/>
    <w:rsid w:val="0AD385BE"/>
    <w:rsid w:val="0AD479A6"/>
    <w:rsid w:val="0ADC4611"/>
    <w:rsid w:val="0AE59131"/>
    <w:rsid w:val="0AE9B4ED"/>
    <w:rsid w:val="0AF4CBBE"/>
    <w:rsid w:val="0AF57BFC"/>
    <w:rsid w:val="0AF8B3F4"/>
    <w:rsid w:val="0AF9FEA0"/>
    <w:rsid w:val="0AFB30D1"/>
    <w:rsid w:val="0AFC2F57"/>
    <w:rsid w:val="0AFC7280"/>
    <w:rsid w:val="0B030447"/>
    <w:rsid w:val="0B04EBB6"/>
    <w:rsid w:val="0B193A8C"/>
    <w:rsid w:val="0B210931"/>
    <w:rsid w:val="0B270458"/>
    <w:rsid w:val="0B2AA995"/>
    <w:rsid w:val="0B2D3445"/>
    <w:rsid w:val="0B2EE3DC"/>
    <w:rsid w:val="0B344AA9"/>
    <w:rsid w:val="0B3678B0"/>
    <w:rsid w:val="0B3E0569"/>
    <w:rsid w:val="0B3EB5DE"/>
    <w:rsid w:val="0B49E0E0"/>
    <w:rsid w:val="0B4E28F3"/>
    <w:rsid w:val="0B4FDF89"/>
    <w:rsid w:val="0B589B2C"/>
    <w:rsid w:val="0B5FFC33"/>
    <w:rsid w:val="0B613711"/>
    <w:rsid w:val="0B618A45"/>
    <w:rsid w:val="0B62856B"/>
    <w:rsid w:val="0B64FF93"/>
    <w:rsid w:val="0B6A7799"/>
    <w:rsid w:val="0B6C58B1"/>
    <w:rsid w:val="0B6CA509"/>
    <w:rsid w:val="0B6CAE83"/>
    <w:rsid w:val="0B6DCE8F"/>
    <w:rsid w:val="0B6E04D6"/>
    <w:rsid w:val="0B71E352"/>
    <w:rsid w:val="0B724CEA"/>
    <w:rsid w:val="0B76FCFC"/>
    <w:rsid w:val="0B7B7C71"/>
    <w:rsid w:val="0B7FFC46"/>
    <w:rsid w:val="0B813674"/>
    <w:rsid w:val="0B835820"/>
    <w:rsid w:val="0B85530A"/>
    <w:rsid w:val="0B8E58FE"/>
    <w:rsid w:val="0B8E721E"/>
    <w:rsid w:val="0B922AFF"/>
    <w:rsid w:val="0B9A4F7C"/>
    <w:rsid w:val="0B9A683E"/>
    <w:rsid w:val="0BA1CF49"/>
    <w:rsid w:val="0BA2210D"/>
    <w:rsid w:val="0BA5B51F"/>
    <w:rsid w:val="0BA9577E"/>
    <w:rsid w:val="0BA9BCD1"/>
    <w:rsid w:val="0BAA477D"/>
    <w:rsid w:val="0BADBACA"/>
    <w:rsid w:val="0BAFD556"/>
    <w:rsid w:val="0BB1EB25"/>
    <w:rsid w:val="0BBF4320"/>
    <w:rsid w:val="0BC094EF"/>
    <w:rsid w:val="0BD3A3C6"/>
    <w:rsid w:val="0BDD708E"/>
    <w:rsid w:val="0BDE8866"/>
    <w:rsid w:val="0BE44938"/>
    <w:rsid w:val="0BE5FBDD"/>
    <w:rsid w:val="0BE7E732"/>
    <w:rsid w:val="0BF2E1C2"/>
    <w:rsid w:val="0BF5E878"/>
    <w:rsid w:val="0BF66525"/>
    <w:rsid w:val="0BFB79EF"/>
    <w:rsid w:val="0C0145E4"/>
    <w:rsid w:val="0C02DBC4"/>
    <w:rsid w:val="0C0356BC"/>
    <w:rsid w:val="0C049906"/>
    <w:rsid w:val="0C072BFA"/>
    <w:rsid w:val="0C0E108B"/>
    <w:rsid w:val="0C0FF06A"/>
    <w:rsid w:val="0C121049"/>
    <w:rsid w:val="0C1A9C20"/>
    <w:rsid w:val="0C1B7B45"/>
    <w:rsid w:val="0C1D6A9E"/>
    <w:rsid w:val="0C1D793B"/>
    <w:rsid w:val="0C1FAEF8"/>
    <w:rsid w:val="0C20C916"/>
    <w:rsid w:val="0C228D66"/>
    <w:rsid w:val="0C38D0A1"/>
    <w:rsid w:val="0C38DFA4"/>
    <w:rsid w:val="0C3A3A78"/>
    <w:rsid w:val="0C3BD599"/>
    <w:rsid w:val="0C404C37"/>
    <w:rsid w:val="0C493667"/>
    <w:rsid w:val="0C497702"/>
    <w:rsid w:val="0C4B4795"/>
    <w:rsid w:val="0C4DBB2F"/>
    <w:rsid w:val="0C54CCB4"/>
    <w:rsid w:val="0C5FBF2B"/>
    <w:rsid w:val="0C6929AD"/>
    <w:rsid w:val="0C697C55"/>
    <w:rsid w:val="0C6A8476"/>
    <w:rsid w:val="0C6B37D0"/>
    <w:rsid w:val="0C6EF757"/>
    <w:rsid w:val="0C6FE7AA"/>
    <w:rsid w:val="0C797311"/>
    <w:rsid w:val="0C7BD04E"/>
    <w:rsid w:val="0C80E025"/>
    <w:rsid w:val="0C878442"/>
    <w:rsid w:val="0C88F5AC"/>
    <w:rsid w:val="0C892B71"/>
    <w:rsid w:val="0C8EC176"/>
    <w:rsid w:val="0C908046"/>
    <w:rsid w:val="0C93A515"/>
    <w:rsid w:val="0C9805AE"/>
    <w:rsid w:val="0C982C81"/>
    <w:rsid w:val="0C987180"/>
    <w:rsid w:val="0CA8F743"/>
    <w:rsid w:val="0CAD24EE"/>
    <w:rsid w:val="0CAE6039"/>
    <w:rsid w:val="0CAEF407"/>
    <w:rsid w:val="0CB595CA"/>
    <w:rsid w:val="0CB91A11"/>
    <w:rsid w:val="0CC65B42"/>
    <w:rsid w:val="0CC8B38A"/>
    <w:rsid w:val="0CD19B41"/>
    <w:rsid w:val="0CD7A8F0"/>
    <w:rsid w:val="0CD9C6E5"/>
    <w:rsid w:val="0CDB5C71"/>
    <w:rsid w:val="0CDBCFDD"/>
    <w:rsid w:val="0CDD98FD"/>
    <w:rsid w:val="0CDDC47D"/>
    <w:rsid w:val="0CE87A44"/>
    <w:rsid w:val="0CF173CE"/>
    <w:rsid w:val="0CF22B2C"/>
    <w:rsid w:val="0CF39D1B"/>
    <w:rsid w:val="0CF55F90"/>
    <w:rsid w:val="0CFE6406"/>
    <w:rsid w:val="0CFF9C47"/>
    <w:rsid w:val="0D03C0F5"/>
    <w:rsid w:val="0D08E34A"/>
    <w:rsid w:val="0D0D2305"/>
    <w:rsid w:val="0D1A5F47"/>
    <w:rsid w:val="0D2275DB"/>
    <w:rsid w:val="0D2BC825"/>
    <w:rsid w:val="0D3148E9"/>
    <w:rsid w:val="0D376FB6"/>
    <w:rsid w:val="0D3E37C1"/>
    <w:rsid w:val="0D432871"/>
    <w:rsid w:val="0D43863E"/>
    <w:rsid w:val="0D45BFFF"/>
    <w:rsid w:val="0D4AC206"/>
    <w:rsid w:val="0D4BE721"/>
    <w:rsid w:val="0D4F202F"/>
    <w:rsid w:val="0D593130"/>
    <w:rsid w:val="0D5AFEFE"/>
    <w:rsid w:val="0D5EAAEA"/>
    <w:rsid w:val="0D63E0F5"/>
    <w:rsid w:val="0D68EE3D"/>
    <w:rsid w:val="0D68FC30"/>
    <w:rsid w:val="0D6981AE"/>
    <w:rsid w:val="0D6D2315"/>
    <w:rsid w:val="0D6D7850"/>
    <w:rsid w:val="0D72874A"/>
    <w:rsid w:val="0D76571D"/>
    <w:rsid w:val="0D837443"/>
    <w:rsid w:val="0D8C0173"/>
    <w:rsid w:val="0D8E4691"/>
    <w:rsid w:val="0D90AFC0"/>
    <w:rsid w:val="0D91E097"/>
    <w:rsid w:val="0D9295A7"/>
    <w:rsid w:val="0D92EB4F"/>
    <w:rsid w:val="0D9A4F2D"/>
    <w:rsid w:val="0D9E73E2"/>
    <w:rsid w:val="0DA10FF5"/>
    <w:rsid w:val="0DA17D1F"/>
    <w:rsid w:val="0DA49B2F"/>
    <w:rsid w:val="0DA8DF42"/>
    <w:rsid w:val="0DAC2E58"/>
    <w:rsid w:val="0DAC306C"/>
    <w:rsid w:val="0DAE6569"/>
    <w:rsid w:val="0DB36A86"/>
    <w:rsid w:val="0DC0B49B"/>
    <w:rsid w:val="0DC7A1E3"/>
    <w:rsid w:val="0DCB0947"/>
    <w:rsid w:val="0DCF5C90"/>
    <w:rsid w:val="0DCFC077"/>
    <w:rsid w:val="0DD5B6E9"/>
    <w:rsid w:val="0DD6A0ED"/>
    <w:rsid w:val="0DD701C2"/>
    <w:rsid w:val="0DD7EEA7"/>
    <w:rsid w:val="0DDF56D0"/>
    <w:rsid w:val="0DE6A9C9"/>
    <w:rsid w:val="0DF0D404"/>
    <w:rsid w:val="0DF21535"/>
    <w:rsid w:val="0DF4BA99"/>
    <w:rsid w:val="0DF8ED56"/>
    <w:rsid w:val="0DFF648B"/>
    <w:rsid w:val="0E0096C2"/>
    <w:rsid w:val="0E054E40"/>
    <w:rsid w:val="0E0750A5"/>
    <w:rsid w:val="0E099D74"/>
    <w:rsid w:val="0E0E7FF9"/>
    <w:rsid w:val="0E1097E4"/>
    <w:rsid w:val="0E10D53B"/>
    <w:rsid w:val="0E112FD3"/>
    <w:rsid w:val="0E118EEB"/>
    <w:rsid w:val="0E119762"/>
    <w:rsid w:val="0E152CE8"/>
    <w:rsid w:val="0E19EC87"/>
    <w:rsid w:val="0E261550"/>
    <w:rsid w:val="0E27AF7F"/>
    <w:rsid w:val="0E2C8AD6"/>
    <w:rsid w:val="0E2DE495"/>
    <w:rsid w:val="0E300B8B"/>
    <w:rsid w:val="0E3911DE"/>
    <w:rsid w:val="0E3942B6"/>
    <w:rsid w:val="0E3B683E"/>
    <w:rsid w:val="0E3C2950"/>
    <w:rsid w:val="0E4260C2"/>
    <w:rsid w:val="0E429B9D"/>
    <w:rsid w:val="0E433EDE"/>
    <w:rsid w:val="0E46F7A6"/>
    <w:rsid w:val="0E4A01B3"/>
    <w:rsid w:val="0E4D4BB4"/>
    <w:rsid w:val="0E57EDCC"/>
    <w:rsid w:val="0E5B5E2A"/>
    <w:rsid w:val="0E65099A"/>
    <w:rsid w:val="0E65A255"/>
    <w:rsid w:val="0E663999"/>
    <w:rsid w:val="0E6F598C"/>
    <w:rsid w:val="0E712786"/>
    <w:rsid w:val="0E72541F"/>
    <w:rsid w:val="0E740773"/>
    <w:rsid w:val="0E7AD165"/>
    <w:rsid w:val="0E82E930"/>
    <w:rsid w:val="0E898BE8"/>
    <w:rsid w:val="0E89EDF1"/>
    <w:rsid w:val="0E8D5F3F"/>
    <w:rsid w:val="0E8E2A4B"/>
    <w:rsid w:val="0E912A6B"/>
    <w:rsid w:val="0E92494B"/>
    <w:rsid w:val="0E92A38C"/>
    <w:rsid w:val="0E93D85A"/>
    <w:rsid w:val="0E99A945"/>
    <w:rsid w:val="0E9BB925"/>
    <w:rsid w:val="0E9BFA53"/>
    <w:rsid w:val="0E9E0150"/>
    <w:rsid w:val="0E9E069C"/>
    <w:rsid w:val="0EA17214"/>
    <w:rsid w:val="0EA5C49A"/>
    <w:rsid w:val="0EA7E7BD"/>
    <w:rsid w:val="0EA91A04"/>
    <w:rsid w:val="0EAC6240"/>
    <w:rsid w:val="0EACD357"/>
    <w:rsid w:val="0EAD8115"/>
    <w:rsid w:val="0EAFB26E"/>
    <w:rsid w:val="0EB2C198"/>
    <w:rsid w:val="0EB4D027"/>
    <w:rsid w:val="0EB8F34A"/>
    <w:rsid w:val="0EBBC747"/>
    <w:rsid w:val="0EBE28AF"/>
    <w:rsid w:val="0ECE79AA"/>
    <w:rsid w:val="0ED558A2"/>
    <w:rsid w:val="0ED8E825"/>
    <w:rsid w:val="0EDBF61B"/>
    <w:rsid w:val="0EE0E758"/>
    <w:rsid w:val="0EE11047"/>
    <w:rsid w:val="0EF03B48"/>
    <w:rsid w:val="0EF6AFCA"/>
    <w:rsid w:val="0EF716BC"/>
    <w:rsid w:val="0EF9FA43"/>
    <w:rsid w:val="0EFCD292"/>
    <w:rsid w:val="0EFDBB6B"/>
    <w:rsid w:val="0F02743C"/>
    <w:rsid w:val="0F055428"/>
    <w:rsid w:val="0F0D8EBA"/>
    <w:rsid w:val="0F143F42"/>
    <w:rsid w:val="0F210313"/>
    <w:rsid w:val="0F2E7A6B"/>
    <w:rsid w:val="0F300FC7"/>
    <w:rsid w:val="0F3DC2EF"/>
    <w:rsid w:val="0F3F5003"/>
    <w:rsid w:val="0F4BF410"/>
    <w:rsid w:val="0F50F6CB"/>
    <w:rsid w:val="0F5600FA"/>
    <w:rsid w:val="0F56646D"/>
    <w:rsid w:val="0F583EC0"/>
    <w:rsid w:val="0F5E00B1"/>
    <w:rsid w:val="0F654E2D"/>
    <w:rsid w:val="0F667A45"/>
    <w:rsid w:val="0F68B2CC"/>
    <w:rsid w:val="0F6E1C86"/>
    <w:rsid w:val="0F738A82"/>
    <w:rsid w:val="0F7BE386"/>
    <w:rsid w:val="0F7FFBE8"/>
    <w:rsid w:val="0F8E5D14"/>
    <w:rsid w:val="0F950B3F"/>
    <w:rsid w:val="0F996B76"/>
    <w:rsid w:val="0F9E3B87"/>
    <w:rsid w:val="0FA009FB"/>
    <w:rsid w:val="0FA0A1C0"/>
    <w:rsid w:val="0FA79581"/>
    <w:rsid w:val="0FB8AC11"/>
    <w:rsid w:val="0FC2BA68"/>
    <w:rsid w:val="0FC7F7B7"/>
    <w:rsid w:val="0FCC0760"/>
    <w:rsid w:val="0FD01EA9"/>
    <w:rsid w:val="0FD0F3CB"/>
    <w:rsid w:val="0FD16B3E"/>
    <w:rsid w:val="0FD65A93"/>
    <w:rsid w:val="0FE1CCF6"/>
    <w:rsid w:val="0FE25097"/>
    <w:rsid w:val="0FE3B7DE"/>
    <w:rsid w:val="0FE4AC82"/>
    <w:rsid w:val="0FEAC18D"/>
    <w:rsid w:val="0FEC60C1"/>
    <w:rsid w:val="0FF26096"/>
    <w:rsid w:val="0FFABC50"/>
    <w:rsid w:val="0FFB97F0"/>
    <w:rsid w:val="10026733"/>
    <w:rsid w:val="10075FB1"/>
    <w:rsid w:val="100A092D"/>
    <w:rsid w:val="100A67A2"/>
    <w:rsid w:val="100BD641"/>
    <w:rsid w:val="101672D6"/>
    <w:rsid w:val="102539DE"/>
    <w:rsid w:val="10257403"/>
    <w:rsid w:val="102D0FB7"/>
    <w:rsid w:val="10307F6A"/>
    <w:rsid w:val="1033F9C6"/>
    <w:rsid w:val="103A6B2E"/>
    <w:rsid w:val="103AFDDA"/>
    <w:rsid w:val="103C8A2E"/>
    <w:rsid w:val="103F1045"/>
    <w:rsid w:val="10416046"/>
    <w:rsid w:val="104208ED"/>
    <w:rsid w:val="10546483"/>
    <w:rsid w:val="1055F91A"/>
    <w:rsid w:val="10575378"/>
    <w:rsid w:val="10696386"/>
    <w:rsid w:val="1071C9C7"/>
    <w:rsid w:val="107F806E"/>
    <w:rsid w:val="1080BBDD"/>
    <w:rsid w:val="1081A346"/>
    <w:rsid w:val="1086A6A7"/>
    <w:rsid w:val="1086FAE6"/>
    <w:rsid w:val="10881EAE"/>
    <w:rsid w:val="108B6600"/>
    <w:rsid w:val="108C40AB"/>
    <w:rsid w:val="10900AB8"/>
    <w:rsid w:val="109326E0"/>
    <w:rsid w:val="1095E130"/>
    <w:rsid w:val="109F12E0"/>
    <w:rsid w:val="10AE6ACE"/>
    <w:rsid w:val="10AE6D23"/>
    <w:rsid w:val="10B66D48"/>
    <w:rsid w:val="10BE316C"/>
    <w:rsid w:val="10C56CF3"/>
    <w:rsid w:val="10CB0C70"/>
    <w:rsid w:val="10CE9D33"/>
    <w:rsid w:val="10D1AC54"/>
    <w:rsid w:val="10D3C23A"/>
    <w:rsid w:val="10D51CE5"/>
    <w:rsid w:val="10DD6220"/>
    <w:rsid w:val="10E67F25"/>
    <w:rsid w:val="10E9EE92"/>
    <w:rsid w:val="10F42DB6"/>
    <w:rsid w:val="10F48D20"/>
    <w:rsid w:val="10FA920D"/>
    <w:rsid w:val="10FB61D2"/>
    <w:rsid w:val="10FF7125"/>
    <w:rsid w:val="10FFD3F4"/>
    <w:rsid w:val="11005E2E"/>
    <w:rsid w:val="110748F0"/>
    <w:rsid w:val="110A2793"/>
    <w:rsid w:val="110C5939"/>
    <w:rsid w:val="1120E82C"/>
    <w:rsid w:val="1122E768"/>
    <w:rsid w:val="1126D1EB"/>
    <w:rsid w:val="113207DF"/>
    <w:rsid w:val="11374347"/>
    <w:rsid w:val="113C8C91"/>
    <w:rsid w:val="113DF5E6"/>
    <w:rsid w:val="113F51B7"/>
    <w:rsid w:val="11404DC0"/>
    <w:rsid w:val="114B11F5"/>
    <w:rsid w:val="114F0F8B"/>
    <w:rsid w:val="1154FDF3"/>
    <w:rsid w:val="11594067"/>
    <w:rsid w:val="115F2B25"/>
    <w:rsid w:val="116707B5"/>
    <w:rsid w:val="116F89C5"/>
    <w:rsid w:val="116FA76E"/>
    <w:rsid w:val="1172F59A"/>
    <w:rsid w:val="1174AC8A"/>
    <w:rsid w:val="1174F4CE"/>
    <w:rsid w:val="11779A02"/>
    <w:rsid w:val="117B2D10"/>
    <w:rsid w:val="1181B754"/>
    <w:rsid w:val="1186049A"/>
    <w:rsid w:val="1188B966"/>
    <w:rsid w:val="118AFD77"/>
    <w:rsid w:val="118DBE37"/>
    <w:rsid w:val="1194A592"/>
    <w:rsid w:val="119946D4"/>
    <w:rsid w:val="119D7197"/>
    <w:rsid w:val="119DA3B6"/>
    <w:rsid w:val="119F1CCA"/>
    <w:rsid w:val="11A5FD86"/>
    <w:rsid w:val="11A65388"/>
    <w:rsid w:val="11AFFCDD"/>
    <w:rsid w:val="11B4E940"/>
    <w:rsid w:val="11B51EF3"/>
    <w:rsid w:val="11BA211F"/>
    <w:rsid w:val="11BA2BD3"/>
    <w:rsid w:val="11BCD5BD"/>
    <w:rsid w:val="11C7CEB5"/>
    <w:rsid w:val="11C7F69A"/>
    <w:rsid w:val="11D6C052"/>
    <w:rsid w:val="11D89378"/>
    <w:rsid w:val="11E54CE6"/>
    <w:rsid w:val="11E64771"/>
    <w:rsid w:val="11E6DE81"/>
    <w:rsid w:val="11E8AA6C"/>
    <w:rsid w:val="11EC8336"/>
    <w:rsid w:val="11EE3402"/>
    <w:rsid w:val="11F25B92"/>
    <w:rsid w:val="11F480AA"/>
    <w:rsid w:val="11F4E235"/>
    <w:rsid w:val="11F73E63"/>
    <w:rsid w:val="11FC108D"/>
    <w:rsid w:val="11FDB135"/>
    <w:rsid w:val="12005CCF"/>
    <w:rsid w:val="1200F2A9"/>
    <w:rsid w:val="12024919"/>
    <w:rsid w:val="1202FB29"/>
    <w:rsid w:val="12124B6E"/>
    <w:rsid w:val="121252D7"/>
    <w:rsid w:val="12154741"/>
    <w:rsid w:val="12199E98"/>
    <w:rsid w:val="121C551C"/>
    <w:rsid w:val="12215495"/>
    <w:rsid w:val="122C758F"/>
    <w:rsid w:val="122E6767"/>
    <w:rsid w:val="1230B2B9"/>
    <w:rsid w:val="1230BECC"/>
    <w:rsid w:val="12314BC6"/>
    <w:rsid w:val="1239C42E"/>
    <w:rsid w:val="123AFB96"/>
    <w:rsid w:val="1254932B"/>
    <w:rsid w:val="126111ED"/>
    <w:rsid w:val="1262853C"/>
    <w:rsid w:val="127EDE1F"/>
    <w:rsid w:val="1282235F"/>
    <w:rsid w:val="12864B1D"/>
    <w:rsid w:val="128F18BA"/>
    <w:rsid w:val="129F53A3"/>
    <w:rsid w:val="12A27133"/>
    <w:rsid w:val="12B05B5A"/>
    <w:rsid w:val="12B249A7"/>
    <w:rsid w:val="12B36008"/>
    <w:rsid w:val="12B4C365"/>
    <w:rsid w:val="12B4C473"/>
    <w:rsid w:val="12BA4A03"/>
    <w:rsid w:val="12C0D4AB"/>
    <w:rsid w:val="12C40BF4"/>
    <w:rsid w:val="12C4806A"/>
    <w:rsid w:val="12CC1DDF"/>
    <w:rsid w:val="12CD6A0F"/>
    <w:rsid w:val="12D2EC29"/>
    <w:rsid w:val="12D3BDFC"/>
    <w:rsid w:val="12D5B5BF"/>
    <w:rsid w:val="12D8CD21"/>
    <w:rsid w:val="12E0345A"/>
    <w:rsid w:val="12E2A11E"/>
    <w:rsid w:val="12E50064"/>
    <w:rsid w:val="12E64DBB"/>
    <w:rsid w:val="12E75B97"/>
    <w:rsid w:val="12F253FC"/>
    <w:rsid w:val="12F604F2"/>
    <w:rsid w:val="12FEBE22"/>
    <w:rsid w:val="13097F22"/>
    <w:rsid w:val="130A702A"/>
    <w:rsid w:val="130A8711"/>
    <w:rsid w:val="130ADB03"/>
    <w:rsid w:val="1310CAC2"/>
    <w:rsid w:val="131E6818"/>
    <w:rsid w:val="13213F6C"/>
    <w:rsid w:val="13244331"/>
    <w:rsid w:val="13278CA4"/>
    <w:rsid w:val="132B55F4"/>
    <w:rsid w:val="132D031C"/>
    <w:rsid w:val="132EECF1"/>
    <w:rsid w:val="13320E13"/>
    <w:rsid w:val="13382786"/>
    <w:rsid w:val="133FFA94"/>
    <w:rsid w:val="13414B61"/>
    <w:rsid w:val="1344A221"/>
    <w:rsid w:val="1348039F"/>
    <w:rsid w:val="134CF68F"/>
    <w:rsid w:val="134E2F63"/>
    <w:rsid w:val="1357E9A8"/>
    <w:rsid w:val="135B2F8E"/>
    <w:rsid w:val="1364285B"/>
    <w:rsid w:val="13656FB5"/>
    <w:rsid w:val="1365E29B"/>
    <w:rsid w:val="1366A673"/>
    <w:rsid w:val="1368201D"/>
    <w:rsid w:val="136A5024"/>
    <w:rsid w:val="136D1B04"/>
    <w:rsid w:val="136D4319"/>
    <w:rsid w:val="136F1041"/>
    <w:rsid w:val="136FABD5"/>
    <w:rsid w:val="13771B6E"/>
    <w:rsid w:val="1383EC2B"/>
    <w:rsid w:val="138404ED"/>
    <w:rsid w:val="13874DA9"/>
    <w:rsid w:val="138893F0"/>
    <w:rsid w:val="138C6554"/>
    <w:rsid w:val="138DD068"/>
    <w:rsid w:val="1394BDC0"/>
    <w:rsid w:val="139752C8"/>
    <w:rsid w:val="13984902"/>
    <w:rsid w:val="1398FCB8"/>
    <w:rsid w:val="13A215B4"/>
    <w:rsid w:val="13A2DC76"/>
    <w:rsid w:val="13A4C995"/>
    <w:rsid w:val="13A51A8E"/>
    <w:rsid w:val="13AC7F2E"/>
    <w:rsid w:val="13AD66A1"/>
    <w:rsid w:val="13ADDEBE"/>
    <w:rsid w:val="13B030B8"/>
    <w:rsid w:val="13C2A733"/>
    <w:rsid w:val="13C69E7C"/>
    <w:rsid w:val="13C833C2"/>
    <w:rsid w:val="13C8DC4F"/>
    <w:rsid w:val="13CA8E73"/>
    <w:rsid w:val="13CF83A0"/>
    <w:rsid w:val="13CF8AC8"/>
    <w:rsid w:val="13D00DFD"/>
    <w:rsid w:val="13D137BB"/>
    <w:rsid w:val="13D55233"/>
    <w:rsid w:val="13D6BB30"/>
    <w:rsid w:val="13DB2260"/>
    <w:rsid w:val="13DBA34F"/>
    <w:rsid w:val="13DC0704"/>
    <w:rsid w:val="13DDB67A"/>
    <w:rsid w:val="13E33BA5"/>
    <w:rsid w:val="13E36B1F"/>
    <w:rsid w:val="13E666E2"/>
    <w:rsid w:val="13F09F31"/>
    <w:rsid w:val="13F204DD"/>
    <w:rsid w:val="13F6B257"/>
    <w:rsid w:val="13FB8A1A"/>
    <w:rsid w:val="140289D4"/>
    <w:rsid w:val="14034359"/>
    <w:rsid w:val="1409A666"/>
    <w:rsid w:val="140CA8CA"/>
    <w:rsid w:val="140EFCA9"/>
    <w:rsid w:val="1410EF59"/>
    <w:rsid w:val="14115984"/>
    <w:rsid w:val="14116364"/>
    <w:rsid w:val="1412E40A"/>
    <w:rsid w:val="141662EB"/>
    <w:rsid w:val="141EC555"/>
    <w:rsid w:val="14273B3B"/>
    <w:rsid w:val="142A5279"/>
    <w:rsid w:val="1438268F"/>
    <w:rsid w:val="14414747"/>
    <w:rsid w:val="1442398F"/>
    <w:rsid w:val="144C657E"/>
    <w:rsid w:val="1456A684"/>
    <w:rsid w:val="14610DD9"/>
    <w:rsid w:val="146771B9"/>
    <w:rsid w:val="14695BFD"/>
    <w:rsid w:val="146F2ABD"/>
    <w:rsid w:val="14743A79"/>
    <w:rsid w:val="147743EA"/>
    <w:rsid w:val="147B6A53"/>
    <w:rsid w:val="147FFA6F"/>
    <w:rsid w:val="14821DDA"/>
    <w:rsid w:val="14842E38"/>
    <w:rsid w:val="14853B0B"/>
    <w:rsid w:val="14882C51"/>
    <w:rsid w:val="148AA3A0"/>
    <w:rsid w:val="148EA0A1"/>
    <w:rsid w:val="1490390F"/>
    <w:rsid w:val="149A569B"/>
    <w:rsid w:val="149EB4F4"/>
    <w:rsid w:val="14A23B15"/>
    <w:rsid w:val="14A96C90"/>
    <w:rsid w:val="14B0FF88"/>
    <w:rsid w:val="14B6B9FF"/>
    <w:rsid w:val="14BC0331"/>
    <w:rsid w:val="14BDA62A"/>
    <w:rsid w:val="14BEFB8E"/>
    <w:rsid w:val="14BFB875"/>
    <w:rsid w:val="14C7C145"/>
    <w:rsid w:val="14CF9528"/>
    <w:rsid w:val="14D68035"/>
    <w:rsid w:val="14D95A2C"/>
    <w:rsid w:val="14DD9747"/>
    <w:rsid w:val="14F07319"/>
    <w:rsid w:val="14F21A6C"/>
    <w:rsid w:val="150346EC"/>
    <w:rsid w:val="1503BFC7"/>
    <w:rsid w:val="1507CD65"/>
    <w:rsid w:val="150C52E2"/>
    <w:rsid w:val="150D184E"/>
    <w:rsid w:val="150DDAA0"/>
    <w:rsid w:val="150E86CF"/>
    <w:rsid w:val="1511D78C"/>
    <w:rsid w:val="1513D86A"/>
    <w:rsid w:val="151D751A"/>
    <w:rsid w:val="15217C60"/>
    <w:rsid w:val="1521DC6C"/>
    <w:rsid w:val="15252D10"/>
    <w:rsid w:val="15358E76"/>
    <w:rsid w:val="1536C654"/>
    <w:rsid w:val="153A64AC"/>
    <w:rsid w:val="153D3FDB"/>
    <w:rsid w:val="153E042F"/>
    <w:rsid w:val="1546E6BF"/>
    <w:rsid w:val="154E44A8"/>
    <w:rsid w:val="15500D90"/>
    <w:rsid w:val="1554AC62"/>
    <w:rsid w:val="155986BE"/>
    <w:rsid w:val="15634755"/>
    <w:rsid w:val="156735A8"/>
    <w:rsid w:val="1569DBC9"/>
    <w:rsid w:val="156B1E86"/>
    <w:rsid w:val="156B2A4E"/>
    <w:rsid w:val="156CB571"/>
    <w:rsid w:val="156F06D0"/>
    <w:rsid w:val="157006B5"/>
    <w:rsid w:val="1577399B"/>
    <w:rsid w:val="1579F043"/>
    <w:rsid w:val="157D4C6A"/>
    <w:rsid w:val="15819932"/>
    <w:rsid w:val="1586681E"/>
    <w:rsid w:val="1586DE42"/>
    <w:rsid w:val="158AFC53"/>
    <w:rsid w:val="158C2190"/>
    <w:rsid w:val="15978EE0"/>
    <w:rsid w:val="159BD4AB"/>
    <w:rsid w:val="15A08CF3"/>
    <w:rsid w:val="15A1E559"/>
    <w:rsid w:val="15A86BEA"/>
    <w:rsid w:val="15B1EC1B"/>
    <w:rsid w:val="15B7390D"/>
    <w:rsid w:val="15C094A0"/>
    <w:rsid w:val="15C53EBF"/>
    <w:rsid w:val="15C82019"/>
    <w:rsid w:val="15C8B13E"/>
    <w:rsid w:val="15D36FB6"/>
    <w:rsid w:val="15D47B4A"/>
    <w:rsid w:val="15E90FA8"/>
    <w:rsid w:val="15EDB002"/>
    <w:rsid w:val="15EDD678"/>
    <w:rsid w:val="15EF2586"/>
    <w:rsid w:val="15EF5FAE"/>
    <w:rsid w:val="15EFB56A"/>
    <w:rsid w:val="15F18D9D"/>
    <w:rsid w:val="15F82476"/>
    <w:rsid w:val="15F865EC"/>
    <w:rsid w:val="15FADF28"/>
    <w:rsid w:val="16009E21"/>
    <w:rsid w:val="1614029E"/>
    <w:rsid w:val="1617720A"/>
    <w:rsid w:val="161A5D65"/>
    <w:rsid w:val="161CD53A"/>
    <w:rsid w:val="162532F4"/>
    <w:rsid w:val="162FD29E"/>
    <w:rsid w:val="162FF6EA"/>
    <w:rsid w:val="163FE678"/>
    <w:rsid w:val="16446E04"/>
    <w:rsid w:val="16470B3B"/>
    <w:rsid w:val="1648441E"/>
    <w:rsid w:val="164F99C6"/>
    <w:rsid w:val="16560B19"/>
    <w:rsid w:val="1657ACAD"/>
    <w:rsid w:val="16595945"/>
    <w:rsid w:val="1660FF79"/>
    <w:rsid w:val="1661027A"/>
    <w:rsid w:val="1663B82F"/>
    <w:rsid w:val="167C7E88"/>
    <w:rsid w:val="168AA954"/>
    <w:rsid w:val="168BB8BA"/>
    <w:rsid w:val="168DBBE8"/>
    <w:rsid w:val="168ECD2B"/>
    <w:rsid w:val="1691353A"/>
    <w:rsid w:val="16926251"/>
    <w:rsid w:val="1696081C"/>
    <w:rsid w:val="1697617E"/>
    <w:rsid w:val="169776DF"/>
    <w:rsid w:val="1697B757"/>
    <w:rsid w:val="16A5385C"/>
    <w:rsid w:val="16A5E891"/>
    <w:rsid w:val="16A61F72"/>
    <w:rsid w:val="16AA8551"/>
    <w:rsid w:val="16AAFD1B"/>
    <w:rsid w:val="16AB429D"/>
    <w:rsid w:val="16B6AB5B"/>
    <w:rsid w:val="16BEE45E"/>
    <w:rsid w:val="16C19F60"/>
    <w:rsid w:val="16C5DF0F"/>
    <w:rsid w:val="16D2286D"/>
    <w:rsid w:val="16D297C1"/>
    <w:rsid w:val="16D752DD"/>
    <w:rsid w:val="16DD8EDC"/>
    <w:rsid w:val="16E14321"/>
    <w:rsid w:val="16E38CF7"/>
    <w:rsid w:val="16EC99DE"/>
    <w:rsid w:val="16EF4D1D"/>
    <w:rsid w:val="16F129FE"/>
    <w:rsid w:val="16F30FF3"/>
    <w:rsid w:val="1701C3B6"/>
    <w:rsid w:val="1704A43B"/>
    <w:rsid w:val="1707EB4D"/>
    <w:rsid w:val="17089A75"/>
    <w:rsid w:val="1710C4C2"/>
    <w:rsid w:val="17297952"/>
    <w:rsid w:val="172B2762"/>
    <w:rsid w:val="172D0C9B"/>
    <w:rsid w:val="1731C924"/>
    <w:rsid w:val="1734C2A2"/>
    <w:rsid w:val="1738B326"/>
    <w:rsid w:val="173EEC15"/>
    <w:rsid w:val="173F07CE"/>
    <w:rsid w:val="174208F9"/>
    <w:rsid w:val="174C00EA"/>
    <w:rsid w:val="174C86C0"/>
    <w:rsid w:val="174FE136"/>
    <w:rsid w:val="17554D24"/>
    <w:rsid w:val="175A1D25"/>
    <w:rsid w:val="175D492B"/>
    <w:rsid w:val="1766E38E"/>
    <w:rsid w:val="176700A0"/>
    <w:rsid w:val="176938C8"/>
    <w:rsid w:val="17694BF2"/>
    <w:rsid w:val="176E7D53"/>
    <w:rsid w:val="1776B973"/>
    <w:rsid w:val="177BCD6E"/>
    <w:rsid w:val="177EF3D7"/>
    <w:rsid w:val="1782978F"/>
    <w:rsid w:val="1782E3BC"/>
    <w:rsid w:val="178D10EF"/>
    <w:rsid w:val="178E6CB2"/>
    <w:rsid w:val="1790E8C6"/>
    <w:rsid w:val="17949FE4"/>
    <w:rsid w:val="179AEF3B"/>
    <w:rsid w:val="179BB5E1"/>
    <w:rsid w:val="179C88C3"/>
    <w:rsid w:val="179EBEB3"/>
    <w:rsid w:val="17A85D86"/>
    <w:rsid w:val="17B288C1"/>
    <w:rsid w:val="17B37E6A"/>
    <w:rsid w:val="17B96C87"/>
    <w:rsid w:val="17BA1DC0"/>
    <w:rsid w:val="17BAF7CE"/>
    <w:rsid w:val="17BB290C"/>
    <w:rsid w:val="17BD14E8"/>
    <w:rsid w:val="17C455DE"/>
    <w:rsid w:val="17CBF2FB"/>
    <w:rsid w:val="17CC0230"/>
    <w:rsid w:val="17CE0CEF"/>
    <w:rsid w:val="17CE7B23"/>
    <w:rsid w:val="17D66C62"/>
    <w:rsid w:val="17D92AF5"/>
    <w:rsid w:val="17DA3A1B"/>
    <w:rsid w:val="17DC7BFD"/>
    <w:rsid w:val="17E486F2"/>
    <w:rsid w:val="17E6D713"/>
    <w:rsid w:val="17E8EA69"/>
    <w:rsid w:val="17E9C2A6"/>
    <w:rsid w:val="17F114F0"/>
    <w:rsid w:val="17F38E60"/>
    <w:rsid w:val="17F5EE2F"/>
    <w:rsid w:val="17FB97A9"/>
    <w:rsid w:val="17FCE54D"/>
    <w:rsid w:val="17FF7E9E"/>
    <w:rsid w:val="18002BD6"/>
    <w:rsid w:val="18007FF7"/>
    <w:rsid w:val="18029D21"/>
    <w:rsid w:val="1802A49D"/>
    <w:rsid w:val="1803004E"/>
    <w:rsid w:val="18032E38"/>
    <w:rsid w:val="18038C8B"/>
    <w:rsid w:val="1804D97F"/>
    <w:rsid w:val="180CBBBA"/>
    <w:rsid w:val="180FD0D1"/>
    <w:rsid w:val="181B4C67"/>
    <w:rsid w:val="1824852D"/>
    <w:rsid w:val="1832641D"/>
    <w:rsid w:val="183B99DE"/>
    <w:rsid w:val="183E4A14"/>
    <w:rsid w:val="1843F31F"/>
    <w:rsid w:val="18498683"/>
    <w:rsid w:val="184A5931"/>
    <w:rsid w:val="185142D2"/>
    <w:rsid w:val="185549BA"/>
    <w:rsid w:val="1856A14A"/>
    <w:rsid w:val="185A3BC7"/>
    <w:rsid w:val="185B772A"/>
    <w:rsid w:val="185E509C"/>
    <w:rsid w:val="185F8CE9"/>
    <w:rsid w:val="18605327"/>
    <w:rsid w:val="18611EFA"/>
    <w:rsid w:val="1861B1F0"/>
    <w:rsid w:val="18624A95"/>
    <w:rsid w:val="186816E0"/>
    <w:rsid w:val="186AFD82"/>
    <w:rsid w:val="18796C1C"/>
    <w:rsid w:val="18838FFB"/>
    <w:rsid w:val="18841351"/>
    <w:rsid w:val="188541CF"/>
    <w:rsid w:val="18875E24"/>
    <w:rsid w:val="188CF1C2"/>
    <w:rsid w:val="188D0A00"/>
    <w:rsid w:val="1892289B"/>
    <w:rsid w:val="189432D4"/>
    <w:rsid w:val="189C9E71"/>
    <w:rsid w:val="18A0CE7E"/>
    <w:rsid w:val="18A3E661"/>
    <w:rsid w:val="18ADC1C2"/>
    <w:rsid w:val="18B9C99D"/>
    <w:rsid w:val="18BAAAB0"/>
    <w:rsid w:val="18BDF17F"/>
    <w:rsid w:val="18C07F2F"/>
    <w:rsid w:val="18C1C1A2"/>
    <w:rsid w:val="18C22E79"/>
    <w:rsid w:val="18CECAD7"/>
    <w:rsid w:val="18D0896F"/>
    <w:rsid w:val="18D183A7"/>
    <w:rsid w:val="18D84F3E"/>
    <w:rsid w:val="18E45955"/>
    <w:rsid w:val="18EB8317"/>
    <w:rsid w:val="18F1C447"/>
    <w:rsid w:val="18F2AF5D"/>
    <w:rsid w:val="18F30B70"/>
    <w:rsid w:val="18F40A7A"/>
    <w:rsid w:val="18F99D4C"/>
    <w:rsid w:val="18FCFB58"/>
    <w:rsid w:val="18FF7CBA"/>
    <w:rsid w:val="1906DAF7"/>
    <w:rsid w:val="190A40D2"/>
    <w:rsid w:val="190D363E"/>
    <w:rsid w:val="19148B0E"/>
    <w:rsid w:val="19163CB4"/>
    <w:rsid w:val="1918736F"/>
    <w:rsid w:val="19240F60"/>
    <w:rsid w:val="1925818D"/>
    <w:rsid w:val="19264531"/>
    <w:rsid w:val="192BBCDE"/>
    <w:rsid w:val="193BBDC5"/>
    <w:rsid w:val="193CA165"/>
    <w:rsid w:val="193FACCE"/>
    <w:rsid w:val="19474BAF"/>
    <w:rsid w:val="1947831E"/>
    <w:rsid w:val="1949622E"/>
    <w:rsid w:val="1949B710"/>
    <w:rsid w:val="19543FC9"/>
    <w:rsid w:val="1963CF24"/>
    <w:rsid w:val="1963FA69"/>
    <w:rsid w:val="196ABF06"/>
    <w:rsid w:val="196AFED6"/>
    <w:rsid w:val="196E2D63"/>
    <w:rsid w:val="1971B879"/>
    <w:rsid w:val="1974CF05"/>
    <w:rsid w:val="1974D78B"/>
    <w:rsid w:val="19750230"/>
    <w:rsid w:val="19752042"/>
    <w:rsid w:val="197779DF"/>
    <w:rsid w:val="197B488D"/>
    <w:rsid w:val="197CEC66"/>
    <w:rsid w:val="197D7C6B"/>
    <w:rsid w:val="1994C056"/>
    <w:rsid w:val="199900CA"/>
    <w:rsid w:val="19996207"/>
    <w:rsid w:val="19A433CA"/>
    <w:rsid w:val="19A4D9B6"/>
    <w:rsid w:val="19A52466"/>
    <w:rsid w:val="19A52F17"/>
    <w:rsid w:val="19A73AD3"/>
    <w:rsid w:val="19A794AA"/>
    <w:rsid w:val="19AA521B"/>
    <w:rsid w:val="19B0563E"/>
    <w:rsid w:val="19B15EA4"/>
    <w:rsid w:val="19B2A51E"/>
    <w:rsid w:val="19B8B130"/>
    <w:rsid w:val="19BADD39"/>
    <w:rsid w:val="19BBD830"/>
    <w:rsid w:val="19BE6FF9"/>
    <w:rsid w:val="19C90B4D"/>
    <w:rsid w:val="19D07F99"/>
    <w:rsid w:val="19D5C6F1"/>
    <w:rsid w:val="19D68346"/>
    <w:rsid w:val="19DBAE72"/>
    <w:rsid w:val="19DD1832"/>
    <w:rsid w:val="19DE0ECF"/>
    <w:rsid w:val="19E23B1C"/>
    <w:rsid w:val="19E23CDD"/>
    <w:rsid w:val="19EBF64C"/>
    <w:rsid w:val="19ECAE48"/>
    <w:rsid w:val="19ED6257"/>
    <w:rsid w:val="19F490A0"/>
    <w:rsid w:val="19F746DA"/>
    <w:rsid w:val="19FF3E14"/>
    <w:rsid w:val="1A0821B6"/>
    <w:rsid w:val="1A0C9488"/>
    <w:rsid w:val="1A188D37"/>
    <w:rsid w:val="1A1BE956"/>
    <w:rsid w:val="1A1F91C3"/>
    <w:rsid w:val="1A267F9C"/>
    <w:rsid w:val="1A278DAA"/>
    <w:rsid w:val="1A29AB24"/>
    <w:rsid w:val="1A2C23D7"/>
    <w:rsid w:val="1A3025F5"/>
    <w:rsid w:val="1A354402"/>
    <w:rsid w:val="1A3AC3EC"/>
    <w:rsid w:val="1A3C1CAE"/>
    <w:rsid w:val="1A3DBA21"/>
    <w:rsid w:val="1A446C70"/>
    <w:rsid w:val="1A50A55B"/>
    <w:rsid w:val="1A53EC3A"/>
    <w:rsid w:val="1A550E93"/>
    <w:rsid w:val="1A57903C"/>
    <w:rsid w:val="1A6311A4"/>
    <w:rsid w:val="1A63DC94"/>
    <w:rsid w:val="1A66F2AB"/>
    <w:rsid w:val="1A67AD27"/>
    <w:rsid w:val="1A69E17C"/>
    <w:rsid w:val="1A72741B"/>
    <w:rsid w:val="1A7504B6"/>
    <w:rsid w:val="1A775B15"/>
    <w:rsid w:val="1A784D56"/>
    <w:rsid w:val="1A7DDD37"/>
    <w:rsid w:val="1A8029F1"/>
    <w:rsid w:val="1A81C192"/>
    <w:rsid w:val="1A82F076"/>
    <w:rsid w:val="1A847075"/>
    <w:rsid w:val="1A87C8EC"/>
    <w:rsid w:val="1A8A2C89"/>
    <w:rsid w:val="1A8B7576"/>
    <w:rsid w:val="1A8DD6A1"/>
    <w:rsid w:val="1A93066B"/>
    <w:rsid w:val="1A96809D"/>
    <w:rsid w:val="1A9E151A"/>
    <w:rsid w:val="1A9EA389"/>
    <w:rsid w:val="1AA2214F"/>
    <w:rsid w:val="1AA49AC8"/>
    <w:rsid w:val="1AA5DE91"/>
    <w:rsid w:val="1AACFA4B"/>
    <w:rsid w:val="1AAE2A7C"/>
    <w:rsid w:val="1AB1142F"/>
    <w:rsid w:val="1AB38CE1"/>
    <w:rsid w:val="1AB4D2B2"/>
    <w:rsid w:val="1AB5CA9C"/>
    <w:rsid w:val="1AB85276"/>
    <w:rsid w:val="1ABAAB82"/>
    <w:rsid w:val="1AC001CD"/>
    <w:rsid w:val="1AC27646"/>
    <w:rsid w:val="1AC9756F"/>
    <w:rsid w:val="1AD0E903"/>
    <w:rsid w:val="1AD1B801"/>
    <w:rsid w:val="1ADB83C0"/>
    <w:rsid w:val="1ADCFCFA"/>
    <w:rsid w:val="1AE03C41"/>
    <w:rsid w:val="1AE83159"/>
    <w:rsid w:val="1AE86167"/>
    <w:rsid w:val="1AE9AB64"/>
    <w:rsid w:val="1AED010E"/>
    <w:rsid w:val="1AF2B10F"/>
    <w:rsid w:val="1AF32BE0"/>
    <w:rsid w:val="1AFD46BC"/>
    <w:rsid w:val="1B00CB11"/>
    <w:rsid w:val="1B04CE1F"/>
    <w:rsid w:val="1B06A444"/>
    <w:rsid w:val="1B078C4C"/>
    <w:rsid w:val="1B07D884"/>
    <w:rsid w:val="1B1898F1"/>
    <w:rsid w:val="1B1951DB"/>
    <w:rsid w:val="1B198875"/>
    <w:rsid w:val="1B1A3259"/>
    <w:rsid w:val="1B1FD999"/>
    <w:rsid w:val="1B231EA9"/>
    <w:rsid w:val="1B263652"/>
    <w:rsid w:val="1B28DF7A"/>
    <w:rsid w:val="1B30C090"/>
    <w:rsid w:val="1B374A09"/>
    <w:rsid w:val="1B4AA649"/>
    <w:rsid w:val="1B4F1C0D"/>
    <w:rsid w:val="1B53E3A7"/>
    <w:rsid w:val="1B5A9F75"/>
    <w:rsid w:val="1B5B1E49"/>
    <w:rsid w:val="1B613ED9"/>
    <w:rsid w:val="1B71F7A0"/>
    <w:rsid w:val="1B74367B"/>
    <w:rsid w:val="1B793CAB"/>
    <w:rsid w:val="1B7C6E53"/>
    <w:rsid w:val="1B80C1E7"/>
    <w:rsid w:val="1B89CB43"/>
    <w:rsid w:val="1B8C4C2E"/>
    <w:rsid w:val="1B8C73D2"/>
    <w:rsid w:val="1B90ACF1"/>
    <w:rsid w:val="1B926592"/>
    <w:rsid w:val="1B9877AA"/>
    <w:rsid w:val="1BA26F35"/>
    <w:rsid w:val="1BA5693E"/>
    <w:rsid w:val="1BA94E4D"/>
    <w:rsid w:val="1BBB31C9"/>
    <w:rsid w:val="1BBBDB85"/>
    <w:rsid w:val="1BBC5B40"/>
    <w:rsid w:val="1BBF44A5"/>
    <w:rsid w:val="1BC862A4"/>
    <w:rsid w:val="1BCBDD76"/>
    <w:rsid w:val="1BCD1C6A"/>
    <w:rsid w:val="1BCF1E45"/>
    <w:rsid w:val="1BD81415"/>
    <w:rsid w:val="1BDA5DF5"/>
    <w:rsid w:val="1BDB4CF8"/>
    <w:rsid w:val="1BDC2707"/>
    <w:rsid w:val="1BDC89D1"/>
    <w:rsid w:val="1BE6B273"/>
    <w:rsid w:val="1BEA92BA"/>
    <w:rsid w:val="1BEAAC80"/>
    <w:rsid w:val="1BEBCBDE"/>
    <w:rsid w:val="1BF063C0"/>
    <w:rsid w:val="1BFB2252"/>
    <w:rsid w:val="1BFEF382"/>
    <w:rsid w:val="1BFF2AED"/>
    <w:rsid w:val="1C048BDF"/>
    <w:rsid w:val="1C04FFA6"/>
    <w:rsid w:val="1C06D950"/>
    <w:rsid w:val="1C0D2C25"/>
    <w:rsid w:val="1C14EF4B"/>
    <w:rsid w:val="1C169880"/>
    <w:rsid w:val="1C1BB755"/>
    <w:rsid w:val="1C1C561E"/>
    <w:rsid w:val="1C1E8021"/>
    <w:rsid w:val="1C2A2B89"/>
    <w:rsid w:val="1C312176"/>
    <w:rsid w:val="1C33EEC8"/>
    <w:rsid w:val="1C3A5D9B"/>
    <w:rsid w:val="1C3C96E7"/>
    <w:rsid w:val="1C4017C6"/>
    <w:rsid w:val="1C48D624"/>
    <w:rsid w:val="1C4934DD"/>
    <w:rsid w:val="1C509216"/>
    <w:rsid w:val="1C50A98B"/>
    <w:rsid w:val="1C529E02"/>
    <w:rsid w:val="1C5B4F59"/>
    <w:rsid w:val="1C5FF582"/>
    <w:rsid w:val="1C60D4C3"/>
    <w:rsid w:val="1C67954F"/>
    <w:rsid w:val="1C6EA1CE"/>
    <w:rsid w:val="1C77A9CE"/>
    <w:rsid w:val="1C79D43C"/>
    <w:rsid w:val="1C7C9513"/>
    <w:rsid w:val="1C7CBC1D"/>
    <w:rsid w:val="1C7CF09E"/>
    <w:rsid w:val="1C7FD80F"/>
    <w:rsid w:val="1C805BA5"/>
    <w:rsid w:val="1C87F6E5"/>
    <w:rsid w:val="1C893DB3"/>
    <w:rsid w:val="1C8BA9C0"/>
    <w:rsid w:val="1C8CA2F8"/>
    <w:rsid w:val="1C8DAD62"/>
    <w:rsid w:val="1C8E4268"/>
    <w:rsid w:val="1C937834"/>
    <w:rsid w:val="1C938405"/>
    <w:rsid w:val="1C9415AC"/>
    <w:rsid w:val="1C966AB3"/>
    <w:rsid w:val="1C9FEB02"/>
    <w:rsid w:val="1CA1C292"/>
    <w:rsid w:val="1CA75916"/>
    <w:rsid w:val="1CB62ADD"/>
    <w:rsid w:val="1CBEA5DE"/>
    <w:rsid w:val="1CC1808C"/>
    <w:rsid w:val="1CCA1406"/>
    <w:rsid w:val="1CCD4101"/>
    <w:rsid w:val="1CD40B0B"/>
    <w:rsid w:val="1CD70790"/>
    <w:rsid w:val="1CD77955"/>
    <w:rsid w:val="1CD99E2D"/>
    <w:rsid w:val="1CDC2AA3"/>
    <w:rsid w:val="1CDF6023"/>
    <w:rsid w:val="1CE258F2"/>
    <w:rsid w:val="1CE325EC"/>
    <w:rsid w:val="1CE53657"/>
    <w:rsid w:val="1CF77393"/>
    <w:rsid w:val="1D00BF75"/>
    <w:rsid w:val="1D0A59FD"/>
    <w:rsid w:val="1D12FCBE"/>
    <w:rsid w:val="1D164745"/>
    <w:rsid w:val="1D16B320"/>
    <w:rsid w:val="1D1C4ECC"/>
    <w:rsid w:val="1D1CD2D0"/>
    <w:rsid w:val="1D212FE8"/>
    <w:rsid w:val="1D217058"/>
    <w:rsid w:val="1D2D7ACE"/>
    <w:rsid w:val="1D2DB34B"/>
    <w:rsid w:val="1D3736BD"/>
    <w:rsid w:val="1D39C0D8"/>
    <w:rsid w:val="1D3BC562"/>
    <w:rsid w:val="1D409641"/>
    <w:rsid w:val="1D454251"/>
    <w:rsid w:val="1D4BDEEA"/>
    <w:rsid w:val="1D4EB26C"/>
    <w:rsid w:val="1D4F0521"/>
    <w:rsid w:val="1D51CD42"/>
    <w:rsid w:val="1D537CE8"/>
    <w:rsid w:val="1D577097"/>
    <w:rsid w:val="1D57ABF8"/>
    <w:rsid w:val="1D583114"/>
    <w:rsid w:val="1D602253"/>
    <w:rsid w:val="1D65B75F"/>
    <w:rsid w:val="1D691490"/>
    <w:rsid w:val="1D6C0690"/>
    <w:rsid w:val="1D724AD9"/>
    <w:rsid w:val="1D75EA2B"/>
    <w:rsid w:val="1D7949AF"/>
    <w:rsid w:val="1D7BB956"/>
    <w:rsid w:val="1D7C0486"/>
    <w:rsid w:val="1D7DAFE2"/>
    <w:rsid w:val="1D86EA67"/>
    <w:rsid w:val="1D8EC77E"/>
    <w:rsid w:val="1D93215C"/>
    <w:rsid w:val="1D969702"/>
    <w:rsid w:val="1D98DE56"/>
    <w:rsid w:val="1D9E6D3E"/>
    <w:rsid w:val="1DA05AF1"/>
    <w:rsid w:val="1DA30470"/>
    <w:rsid w:val="1DA806ED"/>
    <w:rsid w:val="1DA8AB29"/>
    <w:rsid w:val="1DA90920"/>
    <w:rsid w:val="1DAC51AF"/>
    <w:rsid w:val="1DB219E3"/>
    <w:rsid w:val="1DB2F9F6"/>
    <w:rsid w:val="1DB74FEA"/>
    <w:rsid w:val="1DB9E5CD"/>
    <w:rsid w:val="1DBFC1AB"/>
    <w:rsid w:val="1DCEEB49"/>
    <w:rsid w:val="1DD1933F"/>
    <w:rsid w:val="1DD62727"/>
    <w:rsid w:val="1DDF5120"/>
    <w:rsid w:val="1DE11510"/>
    <w:rsid w:val="1DE5DD16"/>
    <w:rsid w:val="1DED0CFF"/>
    <w:rsid w:val="1DEDED69"/>
    <w:rsid w:val="1DF2A31C"/>
    <w:rsid w:val="1DF50E7E"/>
    <w:rsid w:val="1DF71DEA"/>
    <w:rsid w:val="1DF79C7E"/>
    <w:rsid w:val="1DFA0CCB"/>
    <w:rsid w:val="1DFAF3E7"/>
    <w:rsid w:val="1DFBE22C"/>
    <w:rsid w:val="1DFD8DF5"/>
    <w:rsid w:val="1E032637"/>
    <w:rsid w:val="1E0D2C37"/>
    <w:rsid w:val="1E11131B"/>
    <w:rsid w:val="1E27D19A"/>
    <w:rsid w:val="1E2E27D7"/>
    <w:rsid w:val="1E320810"/>
    <w:rsid w:val="1E33C088"/>
    <w:rsid w:val="1E3865B9"/>
    <w:rsid w:val="1E3C702D"/>
    <w:rsid w:val="1E3CC2EF"/>
    <w:rsid w:val="1E40B60B"/>
    <w:rsid w:val="1E4155D8"/>
    <w:rsid w:val="1E4191FD"/>
    <w:rsid w:val="1E48E2E9"/>
    <w:rsid w:val="1E49786E"/>
    <w:rsid w:val="1E4D1732"/>
    <w:rsid w:val="1E4FA704"/>
    <w:rsid w:val="1E54AF62"/>
    <w:rsid w:val="1E554F01"/>
    <w:rsid w:val="1E658C25"/>
    <w:rsid w:val="1E6E29E0"/>
    <w:rsid w:val="1E6E4DD7"/>
    <w:rsid w:val="1E6F2D73"/>
    <w:rsid w:val="1E72C2A6"/>
    <w:rsid w:val="1E73780F"/>
    <w:rsid w:val="1E74641A"/>
    <w:rsid w:val="1E77B126"/>
    <w:rsid w:val="1E7F38FB"/>
    <w:rsid w:val="1E800692"/>
    <w:rsid w:val="1E83ABDC"/>
    <w:rsid w:val="1E954767"/>
    <w:rsid w:val="1E96A494"/>
    <w:rsid w:val="1E96B798"/>
    <w:rsid w:val="1E9BDDD9"/>
    <w:rsid w:val="1E9CE1BC"/>
    <w:rsid w:val="1EA1558A"/>
    <w:rsid w:val="1EA88288"/>
    <w:rsid w:val="1EAD202D"/>
    <w:rsid w:val="1EAFF462"/>
    <w:rsid w:val="1EBF8F93"/>
    <w:rsid w:val="1EC2A785"/>
    <w:rsid w:val="1EC8D8B6"/>
    <w:rsid w:val="1ECCBD79"/>
    <w:rsid w:val="1ED4180B"/>
    <w:rsid w:val="1ED492BC"/>
    <w:rsid w:val="1EDC7BAB"/>
    <w:rsid w:val="1EE0230C"/>
    <w:rsid w:val="1EE3A877"/>
    <w:rsid w:val="1EEBCC53"/>
    <w:rsid w:val="1EED6625"/>
    <w:rsid w:val="1EF0428C"/>
    <w:rsid w:val="1EF1894B"/>
    <w:rsid w:val="1EF32111"/>
    <w:rsid w:val="1EFCFC50"/>
    <w:rsid w:val="1EFEB7C3"/>
    <w:rsid w:val="1F027899"/>
    <w:rsid w:val="1F036509"/>
    <w:rsid w:val="1F08BBD6"/>
    <w:rsid w:val="1F0A7092"/>
    <w:rsid w:val="1F0CB386"/>
    <w:rsid w:val="1F0F84A9"/>
    <w:rsid w:val="1F1A7E6E"/>
    <w:rsid w:val="1F1E4BE9"/>
    <w:rsid w:val="1F1F6482"/>
    <w:rsid w:val="1F2121F3"/>
    <w:rsid w:val="1F22AC1D"/>
    <w:rsid w:val="1F233400"/>
    <w:rsid w:val="1F23ABD6"/>
    <w:rsid w:val="1F27CD26"/>
    <w:rsid w:val="1F2C1433"/>
    <w:rsid w:val="1F2C46ED"/>
    <w:rsid w:val="1F2F8B08"/>
    <w:rsid w:val="1F33462B"/>
    <w:rsid w:val="1F358AA8"/>
    <w:rsid w:val="1F3BE320"/>
    <w:rsid w:val="1F3E1037"/>
    <w:rsid w:val="1F418064"/>
    <w:rsid w:val="1F43F9A2"/>
    <w:rsid w:val="1F44E079"/>
    <w:rsid w:val="1F4520CA"/>
    <w:rsid w:val="1F47AD02"/>
    <w:rsid w:val="1F4837A9"/>
    <w:rsid w:val="1F4F803C"/>
    <w:rsid w:val="1F4FA98D"/>
    <w:rsid w:val="1F52A476"/>
    <w:rsid w:val="1F58CC20"/>
    <w:rsid w:val="1F5965F2"/>
    <w:rsid w:val="1F59A3B9"/>
    <w:rsid w:val="1F5BE929"/>
    <w:rsid w:val="1F5C0D94"/>
    <w:rsid w:val="1F5DFCE7"/>
    <w:rsid w:val="1F62F448"/>
    <w:rsid w:val="1F6331B6"/>
    <w:rsid w:val="1F63BE70"/>
    <w:rsid w:val="1F648EC9"/>
    <w:rsid w:val="1F6A680E"/>
    <w:rsid w:val="1F6C9E40"/>
    <w:rsid w:val="1F732142"/>
    <w:rsid w:val="1F7634AF"/>
    <w:rsid w:val="1F76820A"/>
    <w:rsid w:val="1F797EB0"/>
    <w:rsid w:val="1F7A3FA0"/>
    <w:rsid w:val="1F7B186C"/>
    <w:rsid w:val="1F7CB989"/>
    <w:rsid w:val="1F7D7F8E"/>
    <w:rsid w:val="1F816535"/>
    <w:rsid w:val="1F8EBBC7"/>
    <w:rsid w:val="1F90A10B"/>
    <w:rsid w:val="1F90A7D7"/>
    <w:rsid w:val="1F9C6CF4"/>
    <w:rsid w:val="1F9DB05B"/>
    <w:rsid w:val="1FA0252F"/>
    <w:rsid w:val="1FA1B92F"/>
    <w:rsid w:val="1FA3D089"/>
    <w:rsid w:val="1FA6E742"/>
    <w:rsid w:val="1FA77A1D"/>
    <w:rsid w:val="1FABD48A"/>
    <w:rsid w:val="1FAF2DC5"/>
    <w:rsid w:val="1FB341D5"/>
    <w:rsid w:val="1FBBEF90"/>
    <w:rsid w:val="1FBED64B"/>
    <w:rsid w:val="1FC28CF2"/>
    <w:rsid w:val="1FC84072"/>
    <w:rsid w:val="1FD2F924"/>
    <w:rsid w:val="1FD34E99"/>
    <w:rsid w:val="1FD5A24C"/>
    <w:rsid w:val="1FD88463"/>
    <w:rsid w:val="1FD96220"/>
    <w:rsid w:val="1FF7A236"/>
    <w:rsid w:val="1FF9204F"/>
    <w:rsid w:val="1FFD2AFD"/>
    <w:rsid w:val="1FFEA8E4"/>
    <w:rsid w:val="20002C13"/>
    <w:rsid w:val="200568C2"/>
    <w:rsid w:val="200B4A1B"/>
    <w:rsid w:val="200C2E57"/>
    <w:rsid w:val="201A0690"/>
    <w:rsid w:val="201B4C79"/>
    <w:rsid w:val="20229A6D"/>
    <w:rsid w:val="2024AAE8"/>
    <w:rsid w:val="2025525B"/>
    <w:rsid w:val="202816BB"/>
    <w:rsid w:val="20293E30"/>
    <w:rsid w:val="20304A9E"/>
    <w:rsid w:val="2032DF70"/>
    <w:rsid w:val="20386505"/>
    <w:rsid w:val="2038C2A3"/>
    <w:rsid w:val="203BDEFC"/>
    <w:rsid w:val="20462079"/>
    <w:rsid w:val="2048A9A1"/>
    <w:rsid w:val="204ED535"/>
    <w:rsid w:val="2051C02A"/>
    <w:rsid w:val="2052725E"/>
    <w:rsid w:val="2053102E"/>
    <w:rsid w:val="20553FA2"/>
    <w:rsid w:val="20588A09"/>
    <w:rsid w:val="2058C857"/>
    <w:rsid w:val="205C3096"/>
    <w:rsid w:val="205D171E"/>
    <w:rsid w:val="205D4EB6"/>
    <w:rsid w:val="205DE193"/>
    <w:rsid w:val="205F1CFC"/>
    <w:rsid w:val="2063F20A"/>
    <w:rsid w:val="20648E1A"/>
    <w:rsid w:val="2066D2E6"/>
    <w:rsid w:val="20678FD9"/>
    <w:rsid w:val="206E1817"/>
    <w:rsid w:val="2070ABE8"/>
    <w:rsid w:val="20712A0F"/>
    <w:rsid w:val="2076776F"/>
    <w:rsid w:val="20797ECC"/>
    <w:rsid w:val="207E1726"/>
    <w:rsid w:val="2086D2F9"/>
    <w:rsid w:val="2098A16E"/>
    <w:rsid w:val="209FC123"/>
    <w:rsid w:val="20A2351A"/>
    <w:rsid w:val="20A27842"/>
    <w:rsid w:val="20B0C0E7"/>
    <w:rsid w:val="20B60D3F"/>
    <w:rsid w:val="20B7177E"/>
    <w:rsid w:val="20B802C5"/>
    <w:rsid w:val="20BE9D8C"/>
    <w:rsid w:val="20BEB55A"/>
    <w:rsid w:val="20BFFC61"/>
    <w:rsid w:val="20C008E5"/>
    <w:rsid w:val="20C78DD8"/>
    <w:rsid w:val="20CF4FFB"/>
    <w:rsid w:val="20D44C1B"/>
    <w:rsid w:val="20E1850D"/>
    <w:rsid w:val="20E43032"/>
    <w:rsid w:val="20E82331"/>
    <w:rsid w:val="20E99E6B"/>
    <w:rsid w:val="20E9A9F2"/>
    <w:rsid w:val="20F0C734"/>
    <w:rsid w:val="20F3C8AA"/>
    <w:rsid w:val="20F3EE91"/>
    <w:rsid w:val="20F4D67A"/>
    <w:rsid w:val="2100D767"/>
    <w:rsid w:val="21018534"/>
    <w:rsid w:val="21046384"/>
    <w:rsid w:val="21061776"/>
    <w:rsid w:val="210C1653"/>
    <w:rsid w:val="2110422E"/>
    <w:rsid w:val="2113EAE0"/>
    <w:rsid w:val="2114CB1B"/>
    <w:rsid w:val="2116E886"/>
    <w:rsid w:val="21187DC8"/>
    <w:rsid w:val="211B8FA6"/>
    <w:rsid w:val="211F3A1E"/>
    <w:rsid w:val="211F4708"/>
    <w:rsid w:val="2124AF4B"/>
    <w:rsid w:val="2134CCE8"/>
    <w:rsid w:val="213502B5"/>
    <w:rsid w:val="21370FC0"/>
    <w:rsid w:val="213AA5F8"/>
    <w:rsid w:val="213DD207"/>
    <w:rsid w:val="21441106"/>
    <w:rsid w:val="21446E1D"/>
    <w:rsid w:val="21454830"/>
    <w:rsid w:val="21465904"/>
    <w:rsid w:val="21465B16"/>
    <w:rsid w:val="21503CD7"/>
    <w:rsid w:val="215294DC"/>
    <w:rsid w:val="21584F05"/>
    <w:rsid w:val="2159E891"/>
    <w:rsid w:val="215B20A4"/>
    <w:rsid w:val="215CA966"/>
    <w:rsid w:val="215F7681"/>
    <w:rsid w:val="21600859"/>
    <w:rsid w:val="21606218"/>
    <w:rsid w:val="2166E191"/>
    <w:rsid w:val="21674AAB"/>
    <w:rsid w:val="2169589E"/>
    <w:rsid w:val="216B1775"/>
    <w:rsid w:val="216BC5EE"/>
    <w:rsid w:val="216D487E"/>
    <w:rsid w:val="217775D0"/>
    <w:rsid w:val="217CC135"/>
    <w:rsid w:val="217FD574"/>
    <w:rsid w:val="21834819"/>
    <w:rsid w:val="2189E02A"/>
    <w:rsid w:val="218EA012"/>
    <w:rsid w:val="219374C2"/>
    <w:rsid w:val="219AB4C1"/>
    <w:rsid w:val="219EE602"/>
    <w:rsid w:val="219F1C95"/>
    <w:rsid w:val="21A65721"/>
    <w:rsid w:val="21ACC0DF"/>
    <w:rsid w:val="21B8ED22"/>
    <w:rsid w:val="21B9E78F"/>
    <w:rsid w:val="21BCDB39"/>
    <w:rsid w:val="21BF8CCE"/>
    <w:rsid w:val="21C29E1A"/>
    <w:rsid w:val="21C387FD"/>
    <w:rsid w:val="21C389FA"/>
    <w:rsid w:val="21C56193"/>
    <w:rsid w:val="21C9ACC4"/>
    <w:rsid w:val="21D3F212"/>
    <w:rsid w:val="21E0C41B"/>
    <w:rsid w:val="21E91935"/>
    <w:rsid w:val="21ED8C67"/>
    <w:rsid w:val="21F4A531"/>
    <w:rsid w:val="21F717CE"/>
    <w:rsid w:val="21F761A1"/>
    <w:rsid w:val="21FB33CF"/>
    <w:rsid w:val="220368A2"/>
    <w:rsid w:val="220ADF95"/>
    <w:rsid w:val="2211FFBA"/>
    <w:rsid w:val="221D9B3B"/>
    <w:rsid w:val="2222A17E"/>
    <w:rsid w:val="2224043A"/>
    <w:rsid w:val="222795B9"/>
    <w:rsid w:val="2227F45A"/>
    <w:rsid w:val="222A982F"/>
    <w:rsid w:val="222AAA8D"/>
    <w:rsid w:val="22335931"/>
    <w:rsid w:val="223506BE"/>
    <w:rsid w:val="223A1721"/>
    <w:rsid w:val="223B055C"/>
    <w:rsid w:val="223B5CAE"/>
    <w:rsid w:val="224649C8"/>
    <w:rsid w:val="224796B3"/>
    <w:rsid w:val="2248578F"/>
    <w:rsid w:val="22490E72"/>
    <w:rsid w:val="224C2D9B"/>
    <w:rsid w:val="224DEC54"/>
    <w:rsid w:val="22514C86"/>
    <w:rsid w:val="22557AF4"/>
    <w:rsid w:val="225E7422"/>
    <w:rsid w:val="22618070"/>
    <w:rsid w:val="22684DAE"/>
    <w:rsid w:val="226CB152"/>
    <w:rsid w:val="2273511C"/>
    <w:rsid w:val="227376F8"/>
    <w:rsid w:val="227AA8AD"/>
    <w:rsid w:val="227E9479"/>
    <w:rsid w:val="227F9032"/>
    <w:rsid w:val="2282B60F"/>
    <w:rsid w:val="228FDF10"/>
    <w:rsid w:val="2293DA1E"/>
    <w:rsid w:val="229D2DA7"/>
    <w:rsid w:val="22B1D5F7"/>
    <w:rsid w:val="22B2A967"/>
    <w:rsid w:val="22B39860"/>
    <w:rsid w:val="22B7E4B2"/>
    <w:rsid w:val="22BB24AC"/>
    <w:rsid w:val="22BD530B"/>
    <w:rsid w:val="22BF5970"/>
    <w:rsid w:val="22C300BA"/>
    <w:rsid w:val="22C358C2"/>
    <w:rsid w:val="22C3EF10"/>
    <w:rsid w:val="22C41E90"/>
    <w:rsid w:val="22C4D38B"/>
    <w:rsid w:val="22C85040"/>
    <w:rsid w:val="22C9BC97"/>
    <w:rsid w:val="22CC49BD"/>
    <w:rsid w:val="22CCD11B"/>
    <w:rsid w:val="22D7ECD0"/>
    <w:rsid w:val="22D9318B"/>
    <w:rsid w:val="22D96F25"/>
    <w:rsid w:val="22E7FEBF"/>
    <w:rsid w:val="22F178B2"/>
    <w:rsid w:val="22F73644"/>
    <w:rsid w:val="22FF16E7"/>
    <w:rsid w:val="230206E4"/>
    <w:rsid w:val="2303433E"/>
    <w:rsid w:val="23047E7E"/>
    <w:rsid w:val="230AFBCE"/>
    <w:rsid w:val="230BC38C"/>
    <w:rsid w:val="2311E728"/>
    <w:rsid w:val="2313DAB2"/>
    <w:rsid w:val="231871EF"/>
    <w:rsid w:val="231E5990"/>
    <w:rsid w:val="23233A8E"/>
    <w:rsid w:val="2323D6FC"/>
    <w:rsid w:val="232A101D"/>
    <w:rsid w:val="232A6A6C"/>
    <w:rsid w:val="232C79D7"/>
    <w:rsid w:val="233095A7"/>
    <w:rsid w:val="2331B6F5"/>
    <w:rsid w:val="233DEA3D"/>
    <w:rsid w:val="23438C3F"/>
    <w:rsid w:val="234C99FC"/>
    <w:rsid w:val="234DEAF9"/>
    <w:rsid w:val="23520823"/>
    <w:rsid w:val="235806B3"/>
    <w:rsid w:val="235B33C5"/>
    <w:rsid w:val="235E6C5E"/>
    <w:rsid w:val="235F2256"/>
    <w:rsid w:val="2368F9F7"/>
    <w:rsid w:val="236ED63C"/>
    <w:rsid w:val="2370E1C1"/>
    <w:rsid w:val="23758376"/>
    <w:rsid w:val="237E1C37"/>
    <w:rsid w:val="237F2BD6"/>
    <w:rsid w:val="2386C6E3"/>
    <w:rsid w:val="238AE789"/>
    <w:rsid w:val="238D5826"/>
    <w:rsid w:val="238FEDE7"/>
    <w:rsid w:val="239496A8"/>
    <w:rsid w:val="2398927E"/>
    <w:rsid w:val="239BF397"/>
    <w:rsid w:val="239D221E"/>
    <w:rsid w:val="239D4B99"/>
    <w:rsid w:val="23A16AD1"/>
    <w:rsid w:val="23A26D46"/>
    <w:rsid w:val="23AA4AB0"/>
    <w:rsid w:val="23AF1A6B"/>
    <w:rsid w:val="23AF1F0A"/>
    <w:rsid w:val="23B1E4C9"/>
    <w:rsid w:val="23B54A4A"/>
    <w:rsid w:val="23B8D9BE"/>
    <w:rsid w:val="23B98A73"/>
    <w:rsid w:val="23BA1C1E"/>
    <w:rsid w:val="23CADED4"/>
    <w:rsid w:val="23CDEB35"/>
    <w:rsid w:val="23D1FC6E"/>
    <w:rsid w:val="23D6E7D3"/>
    <w:rsid w:val="23D7CD48"/>
    <w:rsid w:val="23E31D26"/>
    <w:rsid w:val="23F2C998"/>
    <w:rsid w:val="23F5BF51"/>
    <w:rsid w:val="23F6A792"/>
    <w:rsid w:val="23F73D4F"/>
    <w:rsid w:val="23F9002E"/>
    <w:rsid w:val="23FC9989"/>
    <w:rsid w:val="24023748"/>
    <w:rsid w:val="2405FE34"/>
    <w:rsid w:val="240727E4"/>
    <w:rsid w:val="2408CF26"/>
    <w:rsid w:val="240E376D"/>
    <w:rsid w:val="24121640"/>
    <w:rsid w:val="241262A8"/>
    <w:rsid w:val="24176512"/>
    <w:rsid w:val="24188F75"/>
    <w:rsid w:val="24193EB9"/>
    <w:rsid w:val="241D8A55"/>
    <w:rsid w:val="241EB63A"/>
    <w:rsid w:val="242624E5"/>
    <w:rsid w:val="2426B3D3"/>
    <w:rsid w:val="242C1830"/>
    <w:rsid w:val="242E33A7"/>
    <w:rsid w:val="24349D01"/>
    <w:rsid w:val="243839BE"/>
    <w:rsid w:val="2438AE93"/>
    <w:rsid w:val="24459B15"/>
    <w:rsid w:val="244853B9"/>
    <w:rsid w:val="2452E0A5"/>
    <w:rsid w:val="24536DA3"/>
    <w:rsid w:val="2459B95E"/>
    <w:rsid w:val="245B098E"/>
    <w:rsid w:val="2465CB1D"/>
    <w:rsid w:val="2467AC10"/>
    <w:rsid w:val="246FD395"/>
    <w:rsid w:val="2470F830"/>
    <w:rsid w:val="24712591"/>
    <w:rsid w:val="24718FE0"/>
    <w:rsid w:val="24797584"/>
    <w:rsid w:val="24869015"/>
    <w:rsid w:val="24895E0E"/>
    <w:rsid w:val="248C3A39"/>
    <w:rsid w:val="24918D08"/>
    <w:rsid w:val="2491A511"/>
    <w:rsid w:val="249BB12E"/>
    <w:rsid w:val="24A02E96"/>
    <w:rsid w:val="24A6AFE0"/>
    <w:rsid w:val="24AD6EB2"/>
    <w:rsid w:val="24AF2DF7"/>
    <w:rsid w:val="24B40133"/>
    <w:rsid w:val="24B41EAD"/>
    <w:rsid w:val="24B766CE"/>
    <w:rsid w:val="24B83365"/>
    <w:rsid w:val="24BDF4E3"/>
    <w:rsid w:val="24C2517A"/>
    <w:rsid w:val="24C2DCC3"/>
    <w:rsid w:val="24C9B52B"/>
    <w:rsid w:val="24D1E177"/>
    <w:rsid w:val="24D4F0CC"/>
    <w:rsid w:val="24DA372C"/>
    <w:rsid w:val="24DCA802"/>
    <w:rsid w:val="24DDF86D"/>
    <w:rsid w:val="24DF1E62"/>
    <w:rsid w:val="24DF78EC"/>
    <w:rsid w:val="24E25BA7"/>
    <w:rsid w:val="24E8E306"/>
    <w:rsid w:val="24E97F07"/>
    <w:rsid w:val="24EBA6AB"/>
    <w:rsid w:val="24EF3260"/>
    <w:rsid w:val="24EF523E"/>
    <w:rsid w:val="24F215C0"/>
    <w:rsid w:val="24F2E5B9"/>
    <w:rsid w:val="24F93B5C"/>
    <w:rsid w:val="24FF7C6E"/>
    <w:rsid w:val="25003F7E"/>
    <w:rsid w:val="2502D2C0"/>
    <w:rsid w:val="2508EDA9"/>
    <w:rsid w:val="250AA853"/>
    <w:rsid w:val="250D9E68"/>
    <w:rsid w:val="250E4501"/>
    <w:rsid w:val="251607BB"/>
    <w:rsid w:val="25261C02"/>
    <w:rsid w:val="2528248A"/>
    <w:rsid w:val="252A1012"/>
    <w:rsid w:val="252C17AE"/>
    <w:rsid w:val="252E8870"/>
    <w:rsid w:val="253EAAD2"/>
    <w:rsid w:val="254C4F9A"/>
    <w:rsid w:val="254D8D89"/>
    <w:rsid w:val="254F8511"/>
    <w:rsid w:val="2564C2D3"/>
    <w:rsid w:val="25651144"/>
    <w:rsid w:val="25694696"/>
    <w:rsid w:val="256D7E4D"/>
    <w:rsid w:val="256FBB34"/>
    <w:rsid w:val="2571517D"/>
    <w:rsid w:val="2571B90E"/>
    <w:rsid w:val="25732B60"/>
    <w:rsid w:val="257776DE"/>
    <w:rsid w:val="257BA26E"/>
    <w:rsid w:val="257C7247"/>
    <w:rsid w:val="257E0940"/>
    <w:rsid w:val="2580BD62"/>
    <w:rsid w:val="258232A5"/>
    <w:rsid w:val="2584FB9F"/>
    <w:rsid w:val="258583E7"/>
    <w:rsid w:val="258C0132"/>
    <w:rsid w:val="258F8FA4"/>
    <w:rsid w:val="2591610F"/>
    <w:rsid w:val="25927619"/>
    <w:rsid w:val="259282E1"/>
    <w:rsid w:val="259454E8"/>
    <w:rsid w:val="2598BE72"/>
    <w:rsid w:val="259C2214"/>
    <w:rsid w:val="25A340F1"/>
    <w:rsid w:val="25A34C91"/>
    <w:rsid w:val="25A628AD"/>
    <w:rsid w:val="25A8F577"/>
    <w:rsid w:val="25A8FC92"/>
    <w:rsid w:val="25B1554B"/>
    <w:rsid w:val="25B25B86"/>
    <w:rsid w:val="25BA8049"/>
    <w:rsid w:val="25C104EB"/>
    <w:rsid w:val="25C75291"/>
    <w:rsid w:val="25CA0958"/>
    <w:rsid w:val="25CF5788"/>
    <w:rsid w:val="25D184B6"/>
    <w:rsid w:val="25D26150"/>
    <w:rsid w:val="25DE4CB2"/>
    <w:rsid w:val="25DF4327"/>
    <w:rsid w:val="25E80C49"/>
    <w:rsid w:val="25E926D3"/>
    <w:rsid w:val="25F4D243"/>
    <w:rsid w:val="25FB981C"/>
    <w:rsid w:val="25FE8A8A"/>
    <w:rsid w:val="25FF8883"/>
    <w:rsid w:val="2600F768"/>
    <w:rsid w:val="2602ACE4"/>
    <w:rsid w:val="260ACDDF"/>
    <w:rsid w:val="260BCDBA"/>
    <w:rsid w:val="260E7F06"/>
    <w:rsid w:val="26126060"/>
    <w:rsid w:val="2612BB8F"/>
    <w:rsid w:val="261C5169"/>
    <w:rsid w:val="261ECF07"/>
    <w:rsid w:val="26241CF6"/>
    <w:rsid w:val="262662CF"/>
    <w:rsid w:val="2627415B"/>
    <w:rsid w:val="2629F2BB"/>
    <w:rsid w:val="262A2BA4"/>
    <w:rsid w:val="262F2062"/>
    <w:rsid w:val="2641177B"/>
    <w:rsid w:val="2644D265"/>
    <w:rsid w:val="2644D42A"/>
    <w:rsid w:val="2645455E"/>
    <w:rsid w:val="2646499D"/>
    <w:rsid w:val="2649DF3B"/>
    <w:rsid w:val="264BC758"/>
    <w:rsid w:val="264F303F"/>
    <w:rsid w:val="265660FA"/>
    <w:rsid w:val="265B7ABC"/>
    <w:rsid w:val="265C36F4"/>
    <w:rsid w:val="266104D8"/>
    <w:rsid w:val="2661D3BE"/>
    <w:rsid w:val="2666F024"/>
    <w:rsid w:val="2673327C"/>
    <w:rsid w:val="267A6E37"/>
    <w:rsid w:val="267F48C6"/>
    <w:rsid w:val="2688CB0A"/>
    <w:rsid w:val="268ACA0F"/>
    <w:rsid w:val="268CB44C"/>
    <w:rsid w:val="268F56CE"/>
    <w:rsid w:val="268F7908"/>
    <w:rsid w:val="2696215E"/>
    <w:rsid w:val="269CB736"/>
    <w:rsid w:val="26A665F3"/>
    <w:rsid w:val="26A856E1"/>
    <w:rsid w:val="26B52C2D"/>
    <w:rsid w:val="26B65A7C"/>
    <w:rsid w:val="26BCEE5A"/>
    <w:rsid w:val="26C2E9CE"/>
    <w:rsid w:val="26C5C44D"/>
    <w:rsid w:val="26C9E3F3"/>
    <w:rsid w:val="26D2EF09"/>
    <w:rsid w:val="26D76FBA"/>
    <w:rsid w:val="26DD05C5"/>
    <w:rsid w:val="26DF5818"/>
    <w:rsid w:val="26E48461"/>
    <w:rsid w:val="26ED3133"/>
    <w:rsid w:val="26F37C6B"/>
    <w:rsid w:val="26F76DF5"/>
    <w:rsid w:val="26FCF184"/>
    <w:rsid w:val="2702795F"/>
    <w:rsid w:val="2714C5D6"/>
    <w:rsid w:val="271B0759"/>
    <w:rsid w:val="271D3D94"/>
    <w:rsid w:val="271EDFCD"/>
    <w:rsid w:val="27325F3A"/>
    <w:rsid w:val="273A23C0"/>
    <w:rsid w:val="273ACBDD"/>
    <w:rsid w:val="273C2D3C"/>
    <w:rsid w:val="273C51D3"/>
    <w:rsid w:val="273CCF6A"/>
    <w:rsid w:val="273F691C"/>
    <w:rsid w:val="27412DB2"/>
    <w:rsid w:val="274B6B77"/>
    <w:rsid w:val="274EC1EA"/>
    <w:rsid w:val="2752FB3C"/>
    <w:rsid w:val="275FE473"/>
    <w:rsid w:val="2760E8E2"/>
    <w:rsid w:val="27676B3F"/>
    <w:rsid w:val="276821D4"/>
    <w:rsid w:val="276A08CD"/>
    <w:rsid w:val="276F55AE"/>
    <w:rsid w:val="276F6323"/>
    <w:rsid w:val="27748745"/>
    <w:rsid w:val="27756341"/>
    <w:rsid w:val="277A4BDC"/>
    <w:rsid w:val="277A904D"/>
    <w:rsid w:val="277D5A9E"/>
    <w:rsid w:val="27969853"/>
    <w:rsid w:val="2799F686"/>
    <w:rsid w:val="27A4CB3A"/>
    <w:rsid w:val="27A7DDE6"/>
    <w:rsid w:val="27A8A348"/>
    <w:rsid w:val="27AA36BF"/>
    <w:rsid w:val="27AB6CDE"/>
    <w:rsid w:val="27BB94CF"/>
    <w:rsid w:val="27BBCE71"/>
    <w:rsid w:val="27C565F8"/>
    <w:rsid w:val="27C8C858"/>
    <w:rsid w:val="27D5155A"/>
    <w:rsid w:val="27D84DC7"/>
    <w:rsid w:val="27D94B04"/>
    <w:rsid w:val="27DAC298"/>
    <w:rsid w:val="27DAC36C"/>
    <w:rsid w:val="27DEA9EB"/>
    <w:rsid w:val="27E27B96"/>
    <w:rsid w:val="27E4CB4D"/>
    <w:rsid w:val="27F2466D"/>
    <w:rsid w:val="27F6F566"/>
    <w:rsid w:val="27FB7B48"/>
    <w:rsid w:val="2805052A"/>
    <w:rsid w:val="2809917F"/>
    <w:rsid w:val="2811B272"/>
    <w:rsid w:val="28127556"/>
    <w:rsid w:val="281916D8"/>
    <w:rsid w:val="2821B0BB"/>
    <w:rsid w:val="2828D56D"/>
    <w:rsid w:val="282EB0F9"/>
    <w:rsid w:val="282FCA4D"/>
    <w:rsid w:val="28328C4C"/>
    <w:rsid w:val="283350E2"/>
    <w:rsid w:val="28336BB6"/>
    <w:rsid w:val="28345A57"/>
    <w:rsid w:val="2834DF3F"/>
    <w:rsid w:val="283A2E95"/>
    <w:rsid w:val="283AC097"/>
    <w:rsid w:val="283BEA52"/>
    <w:rsid w:val="283C187C"/>
    <w:rsid w:val="28413A4F"/>
    <w:rsid w:val="28421C9F"/>
    <w:rsid w:val="28447B81"/>
    <w:rsid w:val="2848F16F"/>
    <w:rsid w:val="284BC678"/>
    <w:rsid w:val="284DF643"/>
    <w:rsid w:val="28580F7F"/>
    <w:rsid w:val="2859764D"/>
    <w:rsid w:val="285D9DB5"/>
    <w:rsid w:val="285DB939"/>
    <w:rsid w:val="2865D086"/>
    <w:rsid w:val="28678A8B"/>
    <w:rsid w:val="28682CD4"/>
    <w:rsid w:val="286C5EAC"/>
    <w:rsid w:val="286D801F"/>
    <w:rsid w:val="286E5F83"/>
    <w:rsid w:val="286FBB0D"/>
    <w:rsid w:val="287A25CC"/>
    <w:rsid w:val="287B69B4"/>
    <w:rsid w:val="287FCB98"/>
    <w:rsid w:val="288178E7"/>
    <w:rsid w:val="2883EDE5"/>
    <w:rsid w:val="288724BF"/>
    <w:rsid w:val="2888062D"/>
    <w:rsid w:val="288ACB77"/>
    <w:rsid w:val="289E5DB2"/>
    <w:rsid w:val="28A71DDA"/>
    <w:rsid w:val="28A82724"/>
    <w:rsid w:val="28A8708C"/>
    <w:rsid w:val="28AC1525"/>
    <w:rsid w:val="28AC3F74"/>
    <w:rsid w:val="28AD34FE"/>
    <w:rsid w:val="28AEEEF8"/>
    <w:rsid w:val="28AFBC4B"/>
    <w:rsid w:val="28B19E37"/>
    <w:rsid w:val="28BBAC42"/>
    <w:rsid w:val="28BCFC57"/>
    <w:rsid w:val="28BE3107"/>
    <w:rsid w:val="28C2FF3C"/>
    <w:rsid w:val="28CA571C"/>
    <w:rsid w:val="28D5650B"/>
    <w:rsid w:val="28D71031"/>
    <w:rsid w:val="28D75FA5"/>
    <w:rsid w:val="28E18235"/>
    <w:rsid w:val="28E23AA1"/>
    <w:rsid w:val="28ED7633"/>
    <w:rsid w:val="28F446F1"/>
    <w:rsid w:val="28F8ADD1"/>
    <w:rsid w:val="28FC603B"/>
    <w:rsid w:val="28FDB998"/>
    <w:rsid w:val="2901A213"/>
    <w:rsid w:val="2902EE33"/>
    <w:rsid w:val="29039C7C"/>
    <w:rsid w:val="2903ACFF"/>
    <w:rsid w:val="2906B195"/>
    <w:rsid w:val="2906BB76"/>
    <w:rsid w:val="290DCE17"/>
    <w:rsid w:val="2912774D"/>
    <w:rsid w:val="291F24C5"/>
    <w:rsid w:val="29240A8F"/>
    <w:rsid w:val="292805F1"/>
    <w:rsid w:val="292A49AE"/>
    <w:rsid w:val="292E76F7"/>
    <w:rsid w:val="29357AD9"/>
    <w:rsid w:val="2935C7CE"/>
    <w:rsid w:val="29373DC4"/>
    <w:rsid w:val="2937F988"/>
    <w:rsid w:val="294AA210"/>
    <w:rsid w:val="294CB2EE"/>
    <w:rsid w:val="294CE423"/>
    <w:rsid w:val="294CFC70"/>
    <w:rsid w:val="294E0AF5"/>
    <w:rsid w:val="294E3D4C"/>
    <w:rsid w:val="294FA896"/>
    <w:rsid w:val="2950D3D5"/>
    <w:rsid w:val="29512DFD"/>
    <w:rsid w:val="295AB9DE"/>
    <w:rsid w:val="2966A100"/>
    <w:rsid w:val="296D231E"/>
    <w:rsid w:val="29731F32"/>
    <w:rsid w:val="2976195E"/>
    <w:rsid w:val="297C62AB"/>
    <w:rsid w:val="297E61DB"/>
    <w:rsid w:val="297E9B1F"/>
    <w:rsid w:val="29820E1F"/>
    <w:rsid w:val="29829004"/>
    <w:rsid w:val="29870805"/>
    <w:rsid w:val="298E1684"/>
    <w:rsid w:val="29992F9A"/>
    <w:rsid w:val="299AC860"/>
    <w:rsid w:val="299E0DD6"/>
    <w:rsid w:val="29A3794C"/>
    <w:rsid w:val="29A4DB77"/>
    <w:rsid w:val="29AE3715"/>
    <w:rsid w:val="29B2C278"/>
    <w:rsid w:val="29B7D808"/>
    <w:rsid w:val="29B7E6BC"/>
    <w:rsid w:val="29BC6B1B"/>
    <w:rsid w:val="29C7DAFE"/>
    <w:rsid w:val="29C7F6E3"/>
    <w:rsid w:val="29C9C3CD"/>
    <w:rsid w:val="29C9D584"/>
    <w:rsid w:val="29CAC6D7"/>
    <w:rsid w:val="29D225A0"/>
    <w:rsid w:val="29D37354"/>
    <w:rsid w:val="29DB4E4C"/>
    <w:rsid w:val="29E28DB7"/>
    <w:rsid w:val="29E8985B"/>
    <w:rsid w:val="29ED193F"/>
    <w:rsid w:val="29EF31C7"/>
    <w:rsid w:val="29F0BA2F"/>
    <w:rsid w:val="2A04137F"/>
    <w:rsid w:val="2A0714FB"/>
    <w:rsid w:val="2A0ADF04"/>
    <w:rsid w:val="2A0DEE72"/>
    <w:rsid w:val="2A138645"/>
    <w:rsid w:val="2A16B4AC"/>
    <w:rsid w:val="2A171910"/>
    <w:rsid w:val="2A188C25"/>
    <w:rsid w:val="2A1FE15E"/>
    <w:rsid w:val="2A214B08"/>
    <w:rsid w:val="2A2306E5"/>
    <w:rsid w:val="2A24CD3B"/>
    <w:rsid w:val="2A2535A9"/>
    <w:rsid w:val="2A253A30"/>
    <w:rsid w:val="2A2A33F9"/>
    <w:rsid w:val="2A2ABDA5"/>
    <w:rsid w:val="2A363AF7"/>
    <w:rsid w:val="2A38B53B"/>
    <w:rsid w:val="2A3A1849"/>
    <w:rsid w:val="2A3A7EAE"/>
    <w:rsid w:val="2A429A98"/>
    <w:rsid w:val="2A542255"/>
    <w:rsid w:val="2A56EF96"/>
    <w:rsid w:val="2A588CB7"/>
    <w:rsid w:val="2A60CCF2"/>
    <w:rsid w:val="2A611F7D"/>
    <w:rsid w:val="2A699B2C"/>
    <w:rsid w:val="2A6BAC09"/>
    <w:rsid w:val="2A718B81"/>
    <w:rsid w:val="2A75E835"/>
    <w:rsid w:val="2A76C7F2"/>
    <w:rsid w:val="2A7AE6B1"/>
    <w:rsid w:val="2A7CFB15"/>
    <w:rsid w:val="2A8C7CEA"/>
    <w:rsid w:val="2A967299"/>
    <w:rsid w:val="2A9D6A82"/>
    <w:rsid w:val="2AA102E4"/>
    <w:rsid w:val="2AA40B92"/>
    <w:rsid w:val="2AA728FF"/>
    <w:rsid w:val="2AAC623D"/>
    <w:rsid w:val="2AAE6E62"/>
    <w:rsid w:val="2AB6D9E0"/>
    <w:rsid w:val="2AB76CE0"/>
    <w:rsid w:val="2ABB4300"/>
    <w:rsid w:val="2ABD7E03"/>
    <w:rsid w:val="2AC0ED40"/>
    <w:rsid w:val="2AC67429"/>
    <w:rsid w:val="2AC8D4AF"/>
    <w:rsid w:val="2AD57E89"/>
    <w:rsid w:val="2AD92DC0"/>
    <w:rsid w:val="2AD93EE7"/>
    <w:rsid w:val="2AE16D45"/>
    <w:rsid w:val="2AE84386"/>
    <w:rsid w:val="2AECE3B1"/>
    <w:rsid w:val="2AEEE0F0"/>
    <w:rsid w:val="2AEEF6B1"/>
    <w:rsid w:val="2AF0DD60"/>
    <w:rsid w:val="2AF80894"/>
    <w:rsid w:val="2AFA31F5"/>
    <w:rsid w:val="2AFB49B8"/>
    <w:rsid w:val="2AFBB9F1"/>
    <w:rsid w:val="2AFC2A6D"/>
    <w:rsid w:val="2B01E928"/>
    <w:rsid w:val="2B060BBA"/>
    <w:rsid w:val="2B0A1256"/>
    <w:rsid w:val="2B13A3C7"/>
    <w:rsid w:val="2B193F1B"/>
    <w:rsid w:val="2B1A0BD4"/>
    <w:rsid w:val="2B1EA50F"/>
    <w:rsid w:val="2B2444E1"/>
    <w:rsid w:val="2B386C74"/>
    <w:rsid w:val="2B3D3651"/>
    <w:rsid w:val="2B461C54"/>
    <w:rsid w:val="2B4B7ABB"/>
    <w:rsid w:val="2B4E4B40"/>
    <w:rsid w:val="2B50527F"/>
    <w:rsid w:val="2B528C1E"/>
    <w:rsid w:val="2B5360CD"/>
    <w:rsid w:val="2B5454B3"/>
    <w:rsid w:val="2B55CCB7"/>
    <w:rsid w:val="2B56D368"/>
    <w:rsid w:val="2B57533E"/>
    <w:rsid w:val="2B5884AB"/>
    <w:rsid w:val="2B5C0519"/>
    <w:rsid w:val="2B64CF57"/>
    <w:rsid w:val="2B662EB3"/>
    <w:rsid w:val="2B72A476"/>
    <w:rsid w:val="2B72E744"/>
    <w:rsid w:val="2B73AE71"/>
    <w:rsid w:val="2B73F0A3"/>
    <w:rsid w:val="2B740FA4"/>
    <w:rsid w:val="2B774B1A"/>
    <w:rsid w:val="2B7760EF"/>
    <w:rsid w:val="2B835A94"/>
    <w:rsid w:val="2B837028"/>
    <w:rsid w:val="2B8B7646"/>
    <w:rsid w:val="2B8C13E7"/>
    <w:rsid w:val="2BA111FB"/>
    <w:rsid w:val="2BA2A11B"/>
    <w:rsid w:val="2BA7B61F"/>
    <w:rsid w:val="2BAAA270"/>
    <w:rsid w:val="2BAB1122"/>
    <w:rsid w:val="2BAFEEA2"/>
    <w:rsid w:val="2BB0C2FB"/>
    <w:rsid w:val="2BB8CFB0"/>
    <w:rsid w:val="2BB904C1"/>
    <w:rsid w:val="2BBE05E8"/>
    <w:rsid w:val="2BC7349D"/>
    <w:rsid w:val="2BD6AC57"/>
    <w:rsid w:val="2BD71BFA"/>
    <w:rsid w:val="2BDE3857"/>
    <w:rsid w:val="2BE20FB4"/>
    <w:rsid w:val="2BF131D7"/>
    <w:rsid w:val="2BF4799D"/>
    <w:rsid w:val="2BF68A05"/>
    <w:rsid w:val="2BFBCB32"/>
    <w:rsid w:val="2BFF7EC0"/>
    <w:rsid w:val="2C0012DC"/>
    <w:rsid w:val="2C00748A"/>
    <w:rsid w:val="2C00A436"/>
    <w:rsid w:val="2C00ABDE"/>
    <w:rsid w:val="2C07285D"/>
    <w:rsid w:val="2C0999F2"/>
    <w:rsid w:val="2C0A326B"/>
    <w:rsid w:val="2C0B0F4E"/>
    <w:rsid w:val="2C0DE1D9"/>
    <w:rsid w:val="2C0E51B8"/>
    <w:rsid w:val="2C155F3B"/>
    <w:rsid w:val="2C1845CC"/>
    <w:rsid w:val="2C1F0724"/>
    <w:rsid w:val="2C1FAE35"/>
    <w:rsid w:val="2C298910"/>
    <w:rsid w:val="2C2FCFF7"/>
    <w:rsid w:val="2C30C8D8"/>
    <w:rsid w:val="2C3832AC"/>
    <w:rsid w:val="2C41AC9E"/>
    <w:rsid w:val="2C41E33C"/>
    <w:rsid w:val="2C4342BB"/>
    <w:rsid w:val="2C440BD1"/>
    <w:rsid w:val="2C47962C"/>
    <w:rsid w:val="2C4B80CE"/>
    <w:rsid w:val="2C55B922"/>
    <w:rsid w:val="2C61C361"/>
    <w:rsid w:val="2C627FA9"/>
    <w:rsid w:val="2C65A05E"/>
    <w:rsid w:val="2C674BBA"/>
    <w:rsid w:val="2C6A99CB"/>
    <w:rsid w:val="2C6B90C9"/>
    <w:rsid w:val="2C6D97B7"/>
    <w:rsid w:val="2C717E44"/>
    <w:rsid w:val="2C71DE94"/>
    <w:rsid w:val="2C76E724"/>
    <w:rsid w:val="2C7C20E9"/>
    <w:rsid w:val="2C81A0AB"/>
    <w:rsid w:val="2C81C1A4"/>
    <w:rsid w:val="2C82C762"/>
    <w:rsid w:val="2C835041"/>
    <w:rsid w:val="2C869C53"/>
    <w:rsid w:val="2C890FFE"/>
    <w:rsid w:val="2C89C8DA"/>
    <w:rsid w:val="2C8DB0C1"/>
    <w:rsid w:val="2C95509E"/>
    <w:rsid w:val="2C9ECF91"/>
    <w:rsid w:val="2C9FD59C"/>
    <w:rsid w:val="2CA7AACC"/>
    <w:rsid w:val="2CA8C6D6"/>
    <w:rsid w:val="2CAAB871"/>
    <w:rsid w:val="2CAABF54"/>
    <w:rsid w:val="2CAACF3B"/>
    <w:rsid w:val="2CAC464C"/>
    <w:rsid w:val="2CAFCDD8"/>
    <w:rsid w:val="2CAFEFAC"/>
    <w:rsid w:val="2CB0BF71"/>
    <w:rsid w:val="2CB39493"/>
    <w:rsid w:val="2CB60A87"/>
    <w:rsid w:val="2CC1504C"/>
    <w:rsid w:val="2CC3CD70"/>
    <w:rsid w:val="2CCC2990"/>
    <w:rsid w:val="2CCD673D"/>
    <w:rsid w:val="2CCD96FE"/>
    <w:rsid w:val="2CD15F2A"/>
    <w:rsid w:val="2CD4F428"/>
    <w:rsid w:val="2CD54550"/>
    <w:rsid w:val="2CD5BBCD"/>
    <w:rsid w:val="2CD6413E"/>
    <w:rsid w:val="2CE1EE08"/>
    <w:rsid w:val="2CE7D3F2"/>
    <w:rsid w:val="2CE87C02"/>
    <w:rsid w:val="2CE90BB0"/>
    <w:rsid w:val="2CE95365"/>
    <w:rsid w:val="2CEA92F0"/>
    <w:rsid w:val="2CF24682"/>
    <w:rsid w:val="2CF41111"/>
    <w:rsid w:val="2CF53CE2"/>
    <w:rsid w:val="2CF6335C"/>
    <w:rsid w:val="2D021EFF"/>
    <w:rsid w:val="2D024960"/>
    <w:rsid w:val="2D05FCFF"/>
    <w:rsid w:val="2D073291"/>
    <w:rsid w:val="2D087BCB"/>
    <w:rsid w:val="2D09292A"/>
    <w:rsid w:val="2D0A27B9"/>
    <w:rsid w:val="2D0D27D5"/>
    <w:rsid w:val="2D106BDF"/>
    <w:rsid w:val="2D186139"/>
    <w:rsid w:val="2D2397E8"/>
    <w:rsid w:val="2D23D781"/>
    <w:rsid w:val="2D26B8F6"/>
    <w:rsid w:val="2D2F1DEA"/>
    <w:rsid w:val="2D31FF1E"/>
    <w:rsid w:val="2D376CA6"/>
    <w:rsid w:val="2D3C0E96"/>
    <w:rsid w:val="2D4240A9"/>
    <w:rsid w:val="2D469864"/>
    <w:rsid w:val="2D473FA2"/>
    <w:rsid w:val="2D4B87B2"/>
    <w:rsid w:val="2D4FE56B"/>
    <w:rsid w:val="2D583474"/>
    <w:rsid w:val="2D58A3D7"/>
    <w:rsid w:val="2D5A21F8"/>
    <w:rsid w:val="2D609978"/>
    <w:rsid w:val="2D6891B5"/>
    <w:rsid w:val="2D6943E8"/>
    <w:rsid w:val="2D6B97F5"/>
    <w:rsid w:val="2D6BCD29"/>
    <w:rsid w:val="2D6DE8EA"/>
    <w:rsid w:val="2D6F5AC1"/>
    <w:rsid w:val="2D729440"/>
    <w:rsid w:val="2D744DCF"/>
    <w:rsid w:val="2D7A90C7"/>
    <w:rsid w:val="2D84F552"/>
    <w:rsid w:val="2D930108"/>
    <w:rsid w:val="2D946F9B"/>
    <w:rsid w:val="2D95D7AB"/>
    <w:rsid w:val="2D978D6B"/>
    <w:rsid w:val="2D9D6604"/>
    <w:rsid w:val="2D9EEB9A"/>
    <w:rsid w:val="2DA81185"/>
    <w:rsid w:val="2DA845CE"/>
    <w:rsid w:val="2DA85586"/>
    <w:rsid w:val="2DB4E5EA"/>
    <w:rsid w:val="2DB8B726"/>
    <w:rsid w:val="2DBAFAF8"/>
    <w:rsid w:val="2DBC46E7"/>
    <w:rsid w:val="2DBF3F6B"/>
    <w:rsid w:val="2DC10F18"/>
    <w:rsid w:val="2DC316CD"/>
    <w:rsid w:val="2DC5351B"/>
    <w:rsid w:val="2DD14EB9"/>
    <w:rsid w:val="2DD4E764"/>
    <w:rsid w:val="2DD4FDB5"/>
    <w:rsid w:val="2DD6A886"/>
    <w:rsid w:val="2DE0673A"/>
    <w:rsid w:val="2DE6BD7F"/>
    <w:rsid w:val="2DE9D0A5"/>
    <w:rsid w:val="2DEDD2A5"/>
    <w:rsid w:val="2DF2A620"/>
    <w:rsid w:val="2DF932F6"/>
    <w:rsid w:val="2DFDFBC3"/>
    <w:rsid w:val="2DFE4CFD"/>
    <w:rsid w:val="2E0694EB"/>
    <w:rsid w:val="2E07E06B"/>
    <w:rsid w:val="2E0C1AAB"/>
    <w:rsid w:val="2E0C6ACF"/>
    <w:rsid w:val="2E105C22"/>
    <w:rsid w:val="2E19AC8F"/>
    <w:rsid w:val="2E1C4D78"/>
    <w:rsid w:val="2E1F880B"/>
    <w:rsid w:val="2E1FD090"/>
    <w:rsid w:val="2E205FE1"/>
    <w:rsid w:val="2E2561E3"/>
    <w:rsid w:val="2E34CC21"/>
    <w:rsid w:val="2E37D623"/>
    <w:rsid w:val="2E390BDF"/>
    <w:rsid w:val="2E3B8FFC"/>
    <w:rsid w:val="2E3F9C65"/>
    <w:rsid w:val="2E3FC5C8"/>
    <w:rsid w:val="2E4002D5"/>
    <w:rsid w:val="2E45DDEE"/>
    <w:rsid w:val="2E4B3847"/>
    <w:rsid w:val="2E4BC5F9"/>
    <w:rsid w:val="2E4BD5C0"/>
    <w:rsid w:val="2E4CEEE0"/>
    <w:rsid w:val="2E4DA7E2"/>
    <w:rsid w:val="2E4EB11E"/>
    <w:rsid w:val="2E51D675"/>
    <w:rsid w:val="2E55246B"/>
    <w:rsid w:val="2E581116"/>
    <w:rsid w:val="2E5C477F"/>
    <w:rsid w:val="2E5FB832"/>
    <w:rsid w:val="2E645754"/>
    <w:rsid w:val="2E682448"/>
    <w:rsid w:val="2E68740A"/>
    <w:rsid w:val="2E6E884F"/>
    <w:rsid w:val="2E702DBF"/>
    <w:rsid w:val="2E75DDE2"/>
    <w:rsid w:val="2E7680B8"/>
    <w:rsid w:val="2E79780E"/>
    <w:rsid w:val="2E7D94A5"/>
    <w:rsid w:val="2E7F8E16"/>
    <w:rsid w:val="2E877794"/>
    <w:rsid w:val="2E8E5A2F"/>
    <w:rsid w:val="2EA082E2"/>
    <w:rsid w:val="2EA1AB54"/>
    <w:rsid w:val="2EB332B0"/>
    <w:rsid w:val="2EB41EC5"/>
    <w:rsid w:val="2EB48FD2"/>
    <w:rsid w:val="2EB715FE"/>
    <w:rsid w:val="2EB857D5"/>
    <w:rsid w:val="2EC0CF06"/>
    <w:rsid w:val="2EC2D60D"/>
    <w:rsid w:val="2EC394C4"/>
    <w:rsid w:val="2EC41B9A"/>
    <w:rsid w:val="2EC745ED"/>
    <w:rsid w:val="2EC7468C"/>
    <w:rsid w:val="2EC8EE66"/>
    <w:rsid w:val="2ECB2B59"/>
    <w:rsid w:val="2ED2745C"/>
    <w:rsid w:val="2ED3C973"/>
    <w:rsid w:val="2ED6AB40"/>
    <w:rsid w:val="2EDA94DC"/>
    <w:rsid w:val="2EE7C79E"/>
    <w:rsid w:val="2EEEA3AE"/>
    <w:rsid w:val="2EF102DC"/>
    <w:rsid w:val="2EF5B89C"/>
    <w:rsid w:val="2EF65228"/>
    <w:rsid w:val="2EFE0ABB"/>
    <w:rsid w:val="2F031840"/>
    <w:rsid w:val="2F044196"/>
    <w:rsid w:val="2F04B007"/>
    <w:rsid w:val="2F0E1FB9"/>
    <w:rsid w:val="2F147D87"/>
    <w:rsid w:val="2F150C88"/>
    <w:rsid w:val="2F178A8E"/>
    <w:rsid w:val="2F1E4E9C"/>
    <w:rsid w:val="2F1E5143"/>
    <w:rsid w:val="2F1F4BBF"/>
    <w:rsid w:val="2F244218"/>
    <w:rsid w:val="2F28CE97"/>
    <w:rsid w:val="2F2B06D2"/>
    <w:rsid w:val="2F2E5429"/>
    <w:rsid w:val="2F316CA6"/>
    <w:rsid w:val="2F3262BE"/>
    <w:rsid w:val="2F33BCE0"/>
    <w:rsid w:val="2F354E97"/>
    <w:rsid w:val="2F359997"/>
    <w:rsid w:val="2F3BF697"/>
    <w:rsid w:val="2F40672B"/>
    <w:rsid w:val="2F459F02"/>
    <w:rsid w:val="2F4654C6"/>
    <w:rsid w:val="2F4B5476"/>
    <w:rsid w:val="2F4E8112"/>
    <w:rsid w:val="2F536A85"/>
    <w:rsid w:val="2F5AC373"/>
    <w:rsid w:val="2F5BD2D2"/>
    <w:rsid w:val="2F5C8CE9"/>
    <w:rsid w:val="2F63C0C4"/>
    <w:rsid w:val="2F6435C0"/>
    <w:rsid w:val="2F6AD1A7"/>
    <w:rsid w:val="2F706B4D"/>
    <w:rsid w:val="2F7C49B2"/>
    <w:rsid w:val="2F7DFB25"/>
    <w:rsid w:val="2F7E89B9"/>
    <w:rsid w:val="2F82D931"/>
    <w:rsid w:val="2F858A49"/>
    <w:rsid w:val="2F881EB9"/>
    <w:rsid w:val="2F8B461A"/>
    <w:rsid w:val="2F8CC2DF"/>
    <w:rsid w:val="2F8FEF37"/>
    <w:rsid w:val="2F93248A"/>
    <w:rsid w:val="2F947782"/>
    <w:rsid w:val="2F95113F"/>
    <w:rsid w:val="2F95373F"/>
    <w:rsid w:val="2F9AB833"/>
    <w:rsid w:val="2F9E8257"/>
    <w:rsid w:val="2F9EFDAC"/>
    <w:rsid w:val="2FA31031"/>
    <w:rsid w:val="2FAADE90"/>
    <w:rsid w:val="2FAB855C"/>
    <w:rsid w:val="2FAD6E7E"/>
    <w:rsid w:val="2FADFDD1"/>
    <w:rsid w:val="2FB03F23"/>
    <w:rsid w:val="2FB11B1C"/>
    <w:rsid w:val="2FB5B506"/>
    <w:rsid w:val="2FBC6C21"/>
    <w:rsid w:val="2FBCF6FB"/>
    <w:rsid w:val="2FC0C178"/>
    <w:rsid w:val="2FC14522"/>
    <w:rsid w:val="2FC14CD8"/>
    <w:rsid w:val="2FC3109E"/>
    <w:rsid w:val="2FC35CFA"/>
    <w:rsid w:val="2FCA7408"/>
    <w:rsid w:val="2FD2A454"/>
    <w:rsid w:val="2FD4DC57"/>
    <w:rsid w:val="2FD5584C"/>
    <w:rsid w:val="2FD95400"/>
    <w:rsid w:val="2FDE4136"/>
    <w:rsid w:val="2FDF1C06"/>
    <w:rsid w:val="2FE0445C"/>
    <w:rsid w:val="2FE49BFE"/>
    <w:rsid w:val="2FE61B0B"/>
    <w:rsid w:val="2FF6DCCB"/>
    <w:rsid w:val="2FFBE65B"/>
    <w:rsid w:val="2FFED200"/>
    <w:rsid w:val="3000B74C"/>
    <w:rsid w:val="300C2D71"/>
    <w:rsid w:val="301359D4"/>
    <w:rsid w:val="301756EC"/>
    <w:rsid w:val="301BC993"/>
    <w:rsid w:val="301D1F69"/>
    <w:rsid w:val="302C744D"/>
    <w:rsid w:val="302DB20A"/>
    <w:rsid w:val="3034A4B9"/>
    <w:rsid w:val="3036AD03"/>
    <w:rsid w:val="30385CFF"/>
    <w:rsid w:val="30420707"/>
    <w:rsid w:val="304438B7"/>
    <w:rsid w:val="3044AF58"/>
    <w:rsid w:val="3046D49B"/>
    <w:rsid w:val="304B545F"/>
    <w:rsid w:val="305318CA"/>
    <w:rsid w:val="3054EF32"/>
    <w:rsid w:val="305716DB"/>
    <w:rsid w:val="306248CC"/>
    <w:rsid w:val="30643B47"/>
    <w:rsid w:val="3066505A"/>
    <w:rsid w:val="307B585D"/>
    <w:rsid w:val="307D55D5"/>
    <w:rsid w:val="308134E9"/>
    <w:rsid w:val="30814E51"/>
    <w:rsid w:val="30833A24"/>
    <w:rsid w:val="3087C210"/>
    <w:rsid w:val="30896B88"/>
    <w:rsid w:val="308CBCD6"/>
    <w:rsid w:val="308D964E"/>
    <w:rsid w:val="30912162"/>
    <w:rsid w:val="30945CF7"/>
    <w:rsid w:val="309824E9"/>
    <w:rsid w:val="309DAE42"/>
    <w:rsid w:val="30A22738"/>
    <w:rsid w:val="30A721C2"/>
    <w:rsid w:val="30A999DE"/>
    <w:rsid w:val="30AA3DDC"/>
    <w:rsid w:val="30AE9197"/>
    <w:rsid w:val="30B124BB"/>
    <w:rsid w:val="30B23399"/>
    <w:rsid w:val="30BC0811"/>
    <w:rsid w:val="30BDD4A7"/>
    <w:rsid w:val="30C0556E"/>
    <w:rsid w:val="30C2738D"/>
    <w:rsid w:val="30C95C06"/>
    <w:rsid w:val="30CDED8C"/>
    <w:rsid w:val="30DC7E00"/>
    <w:rsid w:val="30DFB7F2"/>
    <w:rsid w:val="30E6081E"/>
    <w:rsid w:val="30E64FB2"/>
    <w:rsid w:val="30E78BAA"/>
    <w:rsid w:val="30EA4C9B"/>
    <w:rsid w:val="30EA9FDD"/>
    <w:rsid w:val="30EAECD9"/>
    <w:rsid w:val="30F3261F"/>
    <w:rsid w:val="30F640BC"/>
    <w:rsid w:val="30FB52FC"/>
    <w:rsid w:val="30FC7E40"/>
    <w:rsid w:val="30FDF5A5"/>
    <w:rsid w:val="30FF3FC4"/>
    <w:rsid w:val="3105FD00"/>
    <w:rsid w:val="3109B396"/>
    <w:rsid w:val="310D47CE"/>
    <w:rsid w:val="310DB0CD"/>
    <w:rsid w:val="311AA301"/>
    <w:rsid w:val="311AD66A"/>
    <w:rsid w:val="31266FA0"/>
    <w:rsid w:val="3127A7EF"/>
    <w:rsid w:val="312C70B4"/>
    <w:rsid w:val="3133E459"/>
    <w:rsid w:val="3141C8F7"/>
    <w:rsid w:val="314755F0"/>
    <w:rsid w:val="314CD42D"/>
    <w:rsid w:val="3153255A"/>
    <w:rsid w:val="315CC6D8"/>
    <w:rsid w:val="315EA26D"/>
    <w:rsid w:val="31615546"/>
    <w:rsid w:val="3170C0C3"/>
    <w:rsid w:val="31730867"/>
    <w:rsid w:val="3179D374"/>
    <w:rsid w:val="317AD5D5"/>
    <w:rsid w:val="317FBA89"/>
    <w:rsid w:val="31802821"/>
    <w:rsid w:val="3185EAFE"/>
    <w:rsid w:val="318689F0"/>
    <w:rsid w:val="318D1175"/>
    <w:rsid w:val="319153E6"/>
    <w:rsid w:val="31920253"/>
    <w:rsid w:val="31952D1A"/>
    <w:rsid w:val="319627ED"/>
    <w:rsid w:val="31993C8C"/>
    <w:rsid w:val="319B94FC"/>
    <w:rsid w:val="319EF8DE"/>
    <w:rsid w:val="31A271EE"/>
    <w:rsid w:val="31A2BE29"/>
    <w:rsid w:val="31AB2D98"/>
    <w:rsid w:val="31B4CD40"/>
    <w:rsid w:val="31BCA168"/>
    <w:rsid w:val="31BCF4CD"/>
    <w:rsid w:val="31C429C6"/>
    <w:rsid w:val="31C4E2A5"/>
    <w:rsid w:val="31CAE7F6"/>
    <w:rsid w:val="31CE8959"/>
    <w:rsid w:val="31CFD0C2"/>
    <w:rsid w:val="31D8589C"/>
    <w:rsid w:val="31D9D66B"/>
    <w:rsid w:val="31DB5248"/>
    <w:rsid w:val="31DE0192"/>
    <w:rsid w:val="31DE4B9F"/>
    <w:rsid w:val="31E09FD3"/>
    <w:rsid w:val="31E156CD"/>
    <w:rsid w:val="31EAAA23"/>
    <w:rsid w:val="31F07BF4"/>
    <w:rsid w:val="3204A930"/>
    <w:rsid w:val="32088791"/>
    <w:rsid w:val="320E5A46"/>
    <w:rsid w:val="320F6749"/>
    <w:rsid w:val="3214EA47"/>
    <w:rsid w:val="32153EED"/>
    <w:rsid w:val="32187982"/>
    <w:rsid w:val="321F8D86"/>
    <w:rsid w:val="32201BA9"/>
    <w:rsid w:val="32223A38"/>
    <w:rsid w:val="3227F0A7"/>
    <w:rsid w:val="32318A98"/>
    <w:rsid w:val="323F3CD9"/>
    <w:rsid w:val="3240C669"/>
    <w:rsid w:val="32462236"/>
    <w:rsid w:val="325672A3"/>
    <w:rsid w:val="3260F2DC"/>
    <w:rsid w:val="32614B74"/>
    <w:rsid w:val="32631636"/>
    <w:rsid w:val="3263236B"/>
    <w:rsid w:val="3264909F"/>
    <w:rsid w:val="326B428E"/>
    <w:rsid w:val="326D6433"/>
    <w:rsid w:val="32723DAA"/>
    <w:rsid w:val="3272566E"/>
    <w:rsid w:val="3276CB60"/>
    <w:rsid w:val="3276D5C4"/>
    <w:rsid w:val="3278989C"/>
    <w:rsid w:val="3279864E"/>
    <w:rsid w:val="3283E154"/>
    <w:rsid w:val="32852BD5"/>
    <w:rsid w:val="328627D8"/>
    <w:rsid w:val="32864FFF"/>
    <w:rsid w:val="328EA842"/>
    <w:rsid w:val="3290D081"/>
    <w:rsid w:val="32A57016"/>
    <w:rsid w:val="32A62E3F"/>
    <w:rsid w:val="32A6B213"/>
    <w:rsid w:val="32A728F0"/>
    <w:rsid w:val="32AB313C"/>
    <w:rsid w:val="32ACF633"/>
    <w:rsid w:val="32B19B63"/>
    <w:rsid w:val="32B8BF01"/>
    <w:rsid w:val="32C2058A"/>
    <w:rsid w:val="32C2FF1B"/>
    <w:rsid w:val="32C38D11"/>
    <w:rsid w:val="32C3EE31"/>
    <w:rsid w:val="32C5432A"/>
    <w:rsid w:val="32CAE3FF"/>
    <w:rsid w:val="32CC9296"/>
    <w:rsid w:val="32CDB86F"/>
    <w:rsid w:val="32D3A74D"/>
    <w:rsid w:val="32D6A103"/>
    <w:rsid w:val="32E38D5D"/>
    <w:rsid w:val="32E682FE"/>
    <w:rsid w:val="32E88E89"/>
    <w:rsid w:val="32F2FCF4"/>
    <w:rsid w:val="32F3F0F3"/>
    <w:rsid w:val="32F55081"/>
    <w:rsid w:val="32F8D878"/>
    <w:rsid w:val="32F95303"/>
    <w:rsid w:val="32FC6173"/>
    <w:rsid w:val="32FDF469"/>
    <w:rsid w:val="330281D6"/>
    <w:rsid w:val="33083C2C"/>
    <w:rsid w:val="3308FB70"/>
    <w:rsid w:val="3309D91E"/>
    <w:rsid w:val="330E4863"/>
    <w:rsid w:val="3310FDEE"/>
    <w:rsid w:val="33123A4C"/>
    <w:rsid w:val="3317A016"/>
    <w:rsid w:val="33193A9D"/>
    <w:rsid w:val="331FB63A"/>
    <w:rsid w:val="33231D1F"/>
    <w:rsid w:val="33246635"/>
    <w:rsid w:val="33292CA8"/>
    <w:rsid w:val="332A3606"/>
    <w:rsid w:val="332A9C06"/>
    <w:rsid w:val="332DB8F1"/>
    <w:rsid w:val="332FF263"/>
    <w:rsid w:val="3332AC62"/>
    <w:rsid w:val="3333F174"/>
    <w:rsid w:val="33364785"/>
    <w:rsid w:val="3337E363"/>
    <w:rsid w:val="3343B1EF"/>
    <w:rsid w:val="3346B105"/>
    <w:rsid w:val="33488911"/>
    <w:rsid w:val="334D1511"/>
    <w:rsid w:val="334D87EF"/>
    <w:rsid w:val="334EFC50"/>
    <w:rsid w:val="33512465"/>
    <w:rsid w:val="3353D969"/>
    <w:rsid w:val="33664A64"/>
    <w:rsid w:val="336DECFB"/>
    <w:rsid w:val="336E6DF7"/>
    <w:rsid w:val="337288E9"/>
    <w:rsid w:val="3374BCD9"/>
    <w:rsid w:val="337E2542"/>
    <w:rsid w:val="337F7898"/>
    <w:rsid w:val="338071E3"/>
    <w:rsid w:val="338999DF"/>
    <w:rsid w:val="338C5C8A"/>
    <w:rsid w:val="338D35A1"/>
    <w:rsid w:val="338E6635"/>
    <w:rsid w:val="338FDAAD"/>
    <w:rsid w:val="33940352"/>
    <w:rsid w:val="33985564"/>
    <w:rsid w:val="339912EC"/>
    <w:rsid w:val="339E8F84"/>
    <w:rsid w:val="339FF831"/>
    <w:rsid w:val="33A16275"/>
    <w:rsid w:val="33A46FAD"/>
    <w:rsid w:val="33A743C8"/>
    <w:rsid w:val="33A7FD02"/>
    <w:rsid w:val="33ABA196"/>
    <w:rsid w:val="33AC1DA1"/>
    <w:rsid w:val="33BADD32"/>
    <w:rsid w:val="33C330F0"/>
    <w:rsid w:val="33C5C7D1"/>
    <w:rsid w:val="33C78677"/>
    <w:rsid w:val="33C8C19C"/>
    <w:rsid w:val="33CA739E"/>
    <w:rsid w:val="33CB726F"/>
    <w:rsid w:val="33D248FD"/>
    <w:rsid w:val="33D488DC"/>
    <w:rsid w:val="33D514D9"/>
    <w:rsid w:val="33DD2D09"/>
    <w:rsid w:val="33F4A24E"/>
    <w:rsid w:val="33F87EDC"/>
    <w:rsid w:val="33FC5003"/>
    <w:rsid w:val="33FCE2C6"/>
    <w:rsid w:val="340560D5"/>
    <w:rsid w:val="3406FA54"/>
    <w:rsid w:val="34087A21"/>
    <w:rsid w:val="340B97B9"/>
    <w:rsid w:val="340F6196"/>
    <w:rsid w:val="34169E11"/>
    <w:rsid w:val="34203361"/>
    <w:rsid w:val="342839A3"/>
    <w:rsid w:val="3428BC0B"/>
    <w:rsid w:val="342E5FB8"/>
    <w:rsid w:val="342F4E68"/>
    <w:rsid w:val="343452E3"/>
    <w:rsid w:val="343D2F90"/>
    <w:rsid w:val="344081E1"/>
    <w:rsid w:val="34489293"/>
    <w:rsid w:val="344A4B84"/>
    <w:rsid w:val="344A4CC7"/>
    <w:rsid w:val="344A7E79"/>
    <w:rsid w:val="3453BA73"/>
    <w:rsid w:val="3455E8C2"/>
    <w:rsid w:val="345835F2"/>
    <w:rsid w:val="345874CD"/>
    <w:rsid w:val="345FE3E1"/>
    <w:rsid w:val="34607D6F"/>
    <w:rsid w:val="3466B131"/>
    <w:rsid w:val="3466CED2"/>
    <w:rsid w:val="34774366"/>
    <w:rsid w:val="347AD9E4"/>
    <w:rsid w:val="347BE306"/>
    <w:rsid w:val="347D1FC4"/>
    <w:rsid w:val="3487E2D5"/>
    <w:rsid w:val="34888B77"/>
    <w:rsid w:val="348CF315"/>
    <w:rsid w:val="348D8159"/>
    <w:rsid w:val="349F79B8"/>
    <w:rsid w:val="349F8B14"/>
    <w:rsid w:val="34A1B2E6"/>
    <w:rsid w:val="34A6C1F2"/>
    <w:rsid w:val="34AC7365"/>
    <w:rsid w:val="34AE603C"/>
    <w:rsid w:val="34AF2A41"/>
    <w:rsid w:val="34B06FFA"/>
    <w:rsid w:val="34B66CDB"/>
    <w:rsid w:val="34BE6575"/>
    <w:rsid w:val="34C1C84D"/>
    <w:rsid w:val="34D1406E"/>
    <w:rsid w:val="34D1A3BA"/>
    <w:rsid w:val="34D94FD8"/>
    <w:rsid w:val="34E03D78"/>
    <w:rsid w:val="34EAD5D7"/>
    <w:rsid w:val="34EB3F86"/>
    <w:rsid w:val="34ED7160"/>
    <w:rsid w:val="34F48235"/>
    <w:rsid w:val="34F6BD63"/>
    <w:rsid w:val="34F8F74E"/>
    <w:rsid w:val="34F8FFB4"/>
    <w:rsid w:val="34FA6F67"/>
    <w:rsid w:val="35021A49"/>
    <w:rsid w:val="3504356B"/>
    <w:rsid w:val="350B7910"/>
    <w:rsid w:val="350DEB67"/>
    <w:rsid w:val="350E5AC1"/>
    <w:rsid w:val="351131B7"/>
    <w:rsid w:val="3511E026"/>
    <w:rsid w:val="351C1294"/>
    <w:rsid w:val="3520E744"/>
    <w:rsid w:val="352797C2"/>
    <w:rsid w:val="352AA5A7"/>
    <w:rsid w:val="353294EB"/>
    <w:rsid w:val="35377937"/>
    <w:rsid w:val="353F83F2"/>
    <w:rsid w:val="3541EF99"/>
    <w:rsid w:val="3542C2C8"/>
    <w:rsid w:val="3542DE4C"/>
    <w:rsid w:val="35435317"/>
    <w:rsid w:val="3546954F"/>
    <w:rsid w:val="354B1C00"/>
    <w:rsid w:val="354EF6BA"/>
    <w:rsid w:val="3558B3C2"/>
    <w:rsid w:val="355916D3"/>
    <w:rsid w:val="355C0C8C"/>
    <w:rsid w:val="355C9779"/>
    <w:rsid w:val="355D165E"/>
    <w:rsid w:val="355E2B66"/>
    <w:rsid w:val="35623608"/>
    <w:rsid w:val="356277D3"/>
    <w:rsid w:val="35686D82"/>
    <w:rsid w:val="3568C7E1"/>
    <w:rsid w:val="356D0789"/>
    <w:rsid w:val="3570F106"/>
    <w:rsid w:val="35715447"/>
    <w:rsid w:val="35725E08"/>
    <w:rsid w:val="3574ADE4"/>
    <w:rsid w:val="35792588"/>
    <w:rsid w:val="357C95CC"/>
    <w:rsid w:val="3580C51B"/>
    <w:rsid w:val="358B49CB"/>
    <w:rsid w:val="35921FBA"/>
    <w:rsid w:val="3592A501"/>
    <w:rsid w:val="3596C595"/>
    <w:rsid w:val="35992EA7"/>
    <w:rsid w:val="359AC83C"/>
    <w:rsid w:val="35A357B9"/>
    <w:rsid w:val="35A3E49B"/>
    <w:rsid w:val="35A5B356"/>
    <w:rsid w:val="35AC332B"/>
    <w:rsid w:val="35AF6CED"/>
    <w:rsid w:val="35B0533D"/>
    <w:rsid w:val="35B23D3C"/>
    <w:rsid w:val="35B26178"/>
    <w:rsid w:val="35B93F6E"/>
    <w:rsid w:val="35B94D47"/>
    <w:rsid w:val="35BCBCEE"/>
    <w:rsid w:val="35BD43DC"/>
    <w:rsid w:val="35C0051E"/>
    <w:rsid w:val="35C15A54"/>
    <w:rsid w:val="35C3A4DC"/>
    <w:rsid w:val="35CFAC9F"/>
    <w:rsid w:val="35D7EAB0"/>
    <w:rsid w:val="35D8394D"/>
    <w:rsid w:val="35DBD0CA"/>
    <w:rsid w:val="35DCF0F9"/>
    <w:rsid w:val="35E46EB8"/>
    <w:rsid w:val="35EBF5ED"/>
    <w:rsid w:val="35F4A59D"/>
    <w:rsid w:val="35F9CEBC"/>
    <w:rsid w:val="36023E37"/>
    <w:rsid w:val="360459C3"/>
    <w:rsid w:val="36097FA3"/>
    <w:rsid w:val="36099D4B"/>
    <w:rsid w:val="360CBD0B"/>
    <w:rsid w:val="3615A1CF"/>
    <w:rsid w:val="36160F75"/>
    <w:rsid w:val="3618EC92"/>
    <w:rsid w:val="361B65EC"/>
    <w:rsid w:val="361C2E0C"/>
    <w:rsid w:val="362E1E4C"/>
    <w:rsid w:val="363403B8"/>
    <w:rsid w:val="3637C918"/>
    <w:rsid w:val="363A0169"/>
    <w:rsid w:val="364DEC91"/>
    <w:rsid w:val="364FC076"/>
    <w:rsid w:val="36524286"/>
    <w:rsid w:val="36529170"/>
    <w:rsid w:val="365364C7"/>
    <w:rsid w:val="36548AD8"/>
    <w:rsid w:val="3654A3A2"/>
    <w:rsid w:val="3669B907"/>
    <w:rsid w:val="366D5A30"/>
    <w:rsid w:val="366EEF89"/>
    <w:rsid w:val="36792930"/>
    <w:rsid w:val="3680FB42"/>
    <w:rsid w:val="36945536"/>
    <w:rsid w:val="36AD2832"/>
    <w:rsid w:val="36ADCEB7"/>
    <w:rsid w:val="36B16F74"/>
    <w:rsid w:val="36BC58B0"/>
    <w:rsid w:val="36BDE0CA"/>
    <w:rsid w:val="36C2FA60"/>
    <w:rsid w:val="36C3CBA1"/>
    <w:rsid w:val="36CA9329"/>
    <w:rsid w:val="36CEE1AB"/>
    <w:rsid w:val="36CF92DF"/>
    <w:rsid w:val="36D18B36"/>
    <w:rsid w:val="36D3A39C"/>
    <w:rsid w:val="36D7EE9F"/>
    <w:rsid w:val="36DCBDEA"/>
    <w:rsid w:val="36E5D9E8"/>
    <w:rsid w:val="36E79608"/>
    <w:rsid w:val="36F566E8"/>
    <w:rsid w:val="36F73B59"/>
    <w:rsid w:val="37014B72"/>
    <w:rsid w:val="37040D41"/>
    <w:rsid w:val="3705F744"/>
    <w:rsid w:val="370BE620"/>
    <w:rsid w:val="370E08DD"/>
    <w:rsid w:val="370EDDBA"/>
    <w:rsid w:val="370EF97B"/>
    <w:rsid w:val="37140AD0"/>
    <w:rsid w:val="371B5E16"/>
    <w:rsid w:val="371D2DB5"/>
    <w:rsid w:val="371E03EA"/>
    <w:rsid w:val="371E9964"/>
    <w:rsid w:val="371EC9D2"/>
    <w:rsid w:val="37211866"/>
    <w:rsid w:val="3721488E"/>
    <w:rsid w:val="372321A4"/>
    <w:rsid w:val="3723FA77"/>
    <w:rsid w:val="37256DD8"/>
    <w:rsid w:val="3729615E"/>
    <w:rsid w:val="372ACBA3"/>
    <w:rsid w:val="372B9AC3"/>
    <w:rsid w:val="3732D8AF"/>
    <w:rsid w:val="3738B742"/>
    <w:rsid w:val="373C3D97"/>
    <w:rsid w:val="3742C08C"/>
    <w:rsid w:val="3744C3CB"/>
    <w:rsid w:val="37486D7F"/>
    <w:rsid w:val="3751A40D"/>
    <w:rsid w:val="3758B0D7"/>
    <w:rsid w:val="375DED87"/>
    <w:rsid w:val="375E665C"/>
    <w:rsid w:val="37618A8D"/>
    <w:rsid w:val="37630FDB"/>
    <w:rsid w:val="3765CD52"/>
    <w:rsid w:val="376AD27A"/>
    <w:rsid w:val="376CFD3D"/>
    <w:rsid w:val="376F495E"/>
    <w:rsid w:val="37747FEA"/>
    <w:rsid w:val="377984BB"/>
    <w:rsid w:val="3779C9B1"/>
    <w:rsid w:val="377FC397"/>
    <w:rsid w:val="379694FF"/>
    <w:rsid w:val="37980480"/>
    <w:rsid w:val="3798E189"/>
    <w:rsid w:val="379B2EA0"/>
    <w:rsid w:val="37A3254F"/>
    <w:rsid w:val="37A36272"/>
    <w:rsid w:val="37AA8295"/>
    <w:rsid w:val="37AB4970"/>
    <w:rsid w:val="37B1DFEB"/>
    <w:rsid w:val="37B2790F"/>
    <w:rsid w:val="37B57CF2"/>
    <w:rsid w:val="37B64A67"/>
    <w:rsid w:val="37BBD2FA"/>
    <w:rsid w:val="37C6EBFE"/>
    <w:rsid w:val="37CFA96C"/>
    <w:rsid w:val="37D8D5E9"/>
    <w:rsid w:val="37D93A28"/>
    <w:rsid w:val="37DB03F7"/>
    <w:rsid w:val="37DEBA69"/>
    <w:rsid w:val="37DF4050"/>
    <w:rsid w:val="37E02B32"/>
    <w:rsid w:val="37E2D4D5"/>
    <w:rsid w:val="37EF06FE"/>
    <w:rsid w:val="37EF2F3F"/>
    <w:rsid w:val="37EFB0D4"/>
    <w:rsid w:val="37F96BC6"/>
    <w:rsid w:val="37FCE83B"/>
    <w:rsid w:val="380690BB"/>
    <w:rsid w:val="380A4932"/>
    <w:rsid w:val="3817ABED"/>
    <w:rsid w:val="3819990E"/>
    <w:rsid w:val="381ADD90"/>
    <w:rsid w:val="381BD87D"/>
    <w:rsid w:val="381CF28D"/>
    <w:rsid w:val="381FAF17"/>
    <w:rsid w:val="381FF4DC"/>
    <w:rsid w:val="38208FFF"/>
    <w:rsid w:val="3820CA64"/>
    <w:rsid w:val="382A62F5"/>
    <w:rsid w:val="382AB70E"/>
    <w:rsid w:val="382DC936"/>
    <w:rsid w:val="382EEAC3"/>
    <w:rsid w:val="383899DA"/>
    <w:rsid w:val="383B54DB"/>
    <w:rsid w:val="383EE113"/>
    <w:rsid w:val="38402D7D"/>
    <w:rsid w:val="38476BCB"/>
    <w:rsid w:val="384773C1"/>
    <w:rsid w:val="384AE5AE"/>
    <w:rsid w:val="384C20F2"/>
    <w:rsid w:val="38538B5C"/>
    <w:rsid w:val="38554DFE"/>
    <w:rsid w:val="385926A1"/>
    <w:rsid w:val="3859A777"/>
    <w:rsid w:val="385C86E3"/>
    <w:rsid w:val="385D5DB1"/>
    <w:rsid w:val="385F30EC"/>
    <w:rsid w:val="3860CEBB"/>
    <w:rsid w:val="3861405D"/>
    <w:rsid w:val="38638921"/>
    <w:rsid w:val="3865BD5C"/>
    <w:rsid w:val="386DBC0A"/>
    <w:rsid w:val="386EE3CE"/>
    <w:rsid w:val="3876482F"/>
    <w:rsid w:val="387654C2"/>
    <w:rsid w:val="387AD91A"/>
    <w:rsid w:val="387EE62D"/>
    <w:rsid w:val="3881A9E1"/>
    <w:rsid w:val="388DA1B0"/>
    <w:rsid w:val="389127C1"/>
    <w:rsid w:val="3894B351"/>
    <w:rsid w:val="389C479A"/>
    <w:rsid w:val="38A383C5"/>
    <w:rsid w:val="38A9D2AA"/>
    <w:rsid w:val="38AF7490"/>
    <w:rsid w:val="38B56AAE"/>
    <w:rsid w:val="38B890F2"/>
    <w:rsid w:val="38C25229"/>
    <w:rsid w:val="38C43A39"/>
    <w:rsid w:val="38C69D02"/>
    <w:rsid w:val="38CDC3D8"/>
    <w:rsid w:val="38CFA00D"/>
    <w:rsid w:val="38CFF7CF"/>
    <w:rsid w:val="38D439E8"/>
    <w:rsid w:val="38D64E7A"/>
    <w:rsid w:val="38DDA5D1"/>
    <w:rsid w:val="38E0D1DE"/>
    <w:rsid w:val="38EE1D35"/>
    <w:rsid w:val="38EE6DC2"/>
    <w:rsid w:val="38F051A5"/>
    <w:rsid w:val="38F10946"/>
    <w:rsid w:val="38F92ACA"/>
    <w:rsid w:val="38FB3BF5"/>
    <w:rsid w:val="38FCF68C"/>
    <w:rsid w:val="38FD013B"/>
    <w:rsid w:val="38FF5D76"/>
    <w:rsid w:val="390296E8"/>
    <w:rsid w:val="3909BFDA"/>
    <w:rsid w:val="390BA022"/>
    <w:rsid w:val="390ECF3E"/>
    <w:rsid w:val="39112098"/>
    <w:rsid w:val="3919AC2B"/>
    <w:rsid w:val="391ADECB"/>
    <w:rsid w:val="391F86D3"/>
    <w:rsid w:val="39235A82"/>
    <w:rsid w:val="3924D7B8"/>
    <w:rsid w:val="39264F53"/>
    <w:rsid w:val="392F0B84"/>
    <w:rsid w:val="392F61D1"/>
    <w:rsid w:val="39350321"/>
    <w:rsid w:val="393EAA0B"/>
    <w:rsid w:val="39401F4A"/>
    <w:rsid w:val="394463F3"/>
    <w:rsid w:val="394915F4"/>
    <w:rsid w:val="39494BEA"/>
    <w:rsid w:val="394E4198"/>
    <w:rsid w:val="3951336F"/>
    <w:rsid w:val="395478B3"/>
    <w:rsid w:val="39596EBA"/>
    <w:rsid w:val="395A8373"/>
    <w:rsid w:val="395DE79F"/>
    <w:rsid w:val="395E0143"/>
    <w:rsid w:val="39679887"/>
    <w:rsid w:val="396B0A18"/>
    <w:rsid w:val="396CA8DC"/>
    <w:rsid w:val="396D3C23"/>
    <w:rsid w:val="397079BF"/>
    <w:rsid w:val="3971D718"/>
    <w:rsid w:val="39748F3F"/>
    <w:rsid w:val="39750264"/>
    <w:rsid w:val="397524AD"/>
    <w:rsid w:val="3979C364"/>
    <w:rsid w:val="397FAD01"/>
    <w:rsid w:val="3983FF81"/>
    <w:rsid w:val="398C8F7C"/>
    <w:rsid w:val="3990AFD0"/>
    <w:rsid w:val="3992784D"/>
    <w:rsid w:val="39936FDB"/>
    <w:rsid w:val="3995D5E6"/>
    <w:rsid w:val="3999239D"/>
    <w:rsid w:val="399A6C69"/>
    <w:rsid w:val="399C4A15"/>
    <w:rsid w:val="39A045CA"/>
    <w:rsid w:val="39A13312"/>
    <w:rsid w:val="39A6D23F"/>
    <w:rsid w:val="39AB376E"/>
    <w:rsid w:val="39B2EFB5"/>
    <w:rsid w:val="39B40AB2"/>
    <w:rsid w:val="39B6AEAD"/>
    <w:rsid w:val="39B7E977"/>
    <w:rsid w:val="39C098CC"/>
    <w:rsid w:val="39C4820B"/>
    <w:rsid w:val="39C6D106"/>
    <w:rsid w:val="39D0F712"/>
    <w:rsid w:val="39D464C8"/>
    <w:rsid w:val="39D55575"/>
    <w:rsid w:val="39D65C3C"/>
    <w:rsid w:val="39D89940"/>
    <w:rsid w:val="39DBE980"/>
    <w:rsid w:val="39DD5B56"/>
    <w:rsid w:val="39EC8D2B"/>
    <w:rsid w:val="39ECDE13"/>
    <w:rsid w:val="39ED3821"/>
    <w:rsid w:val="39F3FC5C"/>
    <w:rsid w:val="39F51A6D"/>
    <w:rsid w:val="39FA3A06"/>
    <w:rsid w:val="39FF93CA"/>
    <w:rsid w:val="3A0147FC"/>
    <w:rsid w:val="3A0266E0"/>
    <w:rsid w:val="3A02D25C"/>
    <w:rsid w:val="3A054460"/>
    <w:rsid w:val="3A06FFC8"/>
    <w:rsid w:val="3A0BCF44"/>
    <w:rsid w:val="3A0EEF41"/>
    <w:rsid w:val="3A101167"/>
    <w:rsid w:val="3A1292E7"/>
    <w:rsid w:val="3A12BFE7"/>
    <w:rsid w:val="3A163252"/>
    <w:rsid w:val="3A1AF0CB"/>
    <w:rsid w:val="3A1BD984"/>
    <w:rsid w:val="3A1D2F73"/>
    <w:rsid w:val="3A26B3CD"/>
    <w:rsid w:val="3A30F0D3"/>
    <w:rsid w:val="3A3718E2"/>
    <w:rsid w:val="3A3EA87F"/>
    <w:rsid w:val="3A494C63"/>
    <w:rsid w:val="3A51A27B"/>
    <w:rsid w:val="3A5584E9"/>
    <w:rsid w:val="3A55AD13"/>
    <w:rsid w:val="3A5997F9"/>
    <w:rsid w:val="3A5B9A8F"/>
    <w:rsid w:val="3A5D059E"/>
    <w:rsid w:val="3A5F62D5"/>
    <w:rsid w:val="3A604AF7"/>
    <w:rsid w:val="3A6714E3"/>
    <w:rsid w:val="3A6E0060"/>
    <w:rsid w:val="3A72BA2F"/>
    <w:rsid w:val="3A7458F2"/>
    <w:rsid w:val="3A79C0CD"/>
    <w:rsid w:val="3A8EDF8E"/>
    <w:rsid w:val="3A936663"/>
    <w:rsid w:val="3A950837"/>
    <w:rsid w:val="3A95B739"/>
    <w:rsid w:val="3A9E6EF3"/>
    <w:rsid w:val="3A9E8166"/>
    <w:rsid w:val="3AA152EE"/>
    <w:rsid w:val="3AA22070"/>
    <w:rsid w:val="3AAC13F2"/>
    <w:rsid w:val="3AAECD6D"/>
    <w:rsid w:val="3AAFD045"/>
    <w:rsid w:val="3AB3AF25"/>
    <w:rsid w:val="3AB6F712"/>
    <w:rsid w:val="3ABFDF10"/>
    <w:rsid w:val="3AC0892B"/>
    <w:rsid w:val="3AC61B3F"/>
    <w:rsid w:val="3ACB8EB4"/>
    <w:rsid w:val="3ACCCC38"/>
    <w:rsid w:val="3AD0DC82"/>
    <w:rsid w:val="3AD43815"/>
    <w:rsid w:val="3AD4BEF3"/>
    <w:rsid w:val="3AD671FC"/>
    <w:rsid w:val="3AD88C62"/>
    <w:rsid w:val="3ADB8179"/>
    <w:rsid w:val="3ADE4F85"/>
    <w:rsid w:val="3AE20180"/>
    <w:rsid w:val="3AEA21CD"/>
    <w:rsid w:val="3AECAD4E"/>
    <w:rsid w:val="3AFE9E15"/>
    <w:rsid w:val="3AFF5F18"/>
    <w:rsid w:val="3B088613"/>
    <w:rsid w:val="3B197944"/>
    <w:rsid w:val="3B1AA076"/>
    <w:rsid w:val="3B27A713"/>
    <w:rsid w:val="3B288290"/>
    <w:rsid w:val="3B29224A"/>
    <w:rsid w:val="3B2A6053"/>
    <w:rsid w:val="3B2DCEB5"/>
    <w:rsid w:val="3B2F74A4"/>
    <w:rsid w:val="3B35EC6D"/>
    <w:rsid w:val="3B365A64"/>
    <w:rsid w:val="3B38D01A"/>
    <w:rsid w:val="3B43DDAB"/>
    <w:rsid w:val="3B4939D1"/>
    <w:rsid w:val="3B4A6B9C"/>
    <w:rsid w:val="3B5062F1"/>
    <w:rsid w:val="3B53F0B7"/>
    <w:rsid w:val="3B57A044"/>
    <w:rsid w:val="3B57ED50"/>
    <w:rsid w:val="3B583E88"/>
    <w:rsid w:val="3B584066"/>
    <w:rsid w:val="3B585FC6"/>
    <w:rsid w:val="3B5AD535"/>
    <w:rsid w:val="3B5FBB11"/>
    <w:rsid w:val="3B63E79A"/>
    <w:rsid w:val="3B67457F"/>
    <w:rsid w:val="3B685582"/>
    <w:rsid w:val="3B6A1243"/>
    <w:rsid w:val="3B6FDC20"/>
    <w:rsid w:val="3B737619"/>
    <w:rsid w:val="3B762EAC"/>
    <w:rsid w:val="3B7D2174"/>
    <w:rsid w:val="3B86EA75"/>
    <w:rsid w:val="3B8B650F"/>
    <w:rsid w:val="3B9113D0"/>
    <w:rsid w:val="3B9AF925"/>
    <w:rsid w:val="3B9E308A"/>
    <w:rsid w:val="3B9F5CD5"/>
    <w:rsid w:val="3BA0BF3F"/>
    <w:rsid w:val="3BA0ED53"/>
    <w:rsid w:val="3BA1DCC4"/>
    <w:rsid w:val="3BA8CF69"/>
    <w:rsid w:val="3BAA6C67"/>
    <w:rsid w:val="3BAAEEBA"/>
    <w:rsid w:val="3BB26E57"/>
    <w:rsid w:val="3BB3E0E1"/>
    <w:rsid w:val="3BB4477B"/>
    <w:rsid w:val="3BB7470D"/>
    <w:rsid w:val="3BBA4043"/>
    <w:rsid w:val="3BBF77C6"/>
    <w:rsid w:val="3BC5CCE6"/>
    <w:rsid w:val="3BD2FED3"/>
    <w:rsid w:val="3BD78AB1"/>
    <w:rsid w:val="3BDA720D"/>
    <w:rsid w:val="3BDAA887"/>
    <w:rsid w:val="3BDD7466"/>
    <w:rsid w:val="3BDE5667"/>
    <w:rsid w:val="3BE24BFA"/>
    <w:rsid w:val="3BE2C75A"/>
    <w:rsid w:val="3BE9D0BB"/>
    <w:rsid w:val="3BECAB4F"/>
    <w:rsid w:val="3BED0C24"/>
    <w:rsid w:val="3BEE2CF2"/>
    <w:rsid w:val="3BF14316"/>
    <w:rsid w:val="3BF69E33"/>
    <w:rsid w:val="3BFA511B"/>
    <w:rsid w:val="3BFBB2BF"/>
    <w:rsid w:val="3BFDEB22"/>
    <w:rsid w:val="3BFEAF9E"/>
    <w:rsid w:val="3C0266B5"/>
    <w:rsid w:val="3C0A6763"/>
    <w:rsid w:val="3C0B7C93"/>
    <w:rsid w:val="3C0E5563"/>
    <w:rsid w:val="3C0F035A"/>
    <w:rsid w:val="3C0FEC54"/>
    <w:rsid w:val="3C110258"/>
    <w:rsid w:val="3C133971"/>
    <w:rsid w:val="3C1C1E0B"/>
    <w:rsid w:val="3C1D133F"/>
    <w:rsid w:val="3C1D5BB0"/>
    <w:rsid w:val="3C1E35A2"/>
    <w:rsid w:val="3C200171"/>
    <w:rsid w:val="3C251F90"/>
    <w:rsid w:val="3C2A8850"/>
    <w:rsid w:val="3C30D6DB"/>
    <w:rsid w:val="3C343AB2"/>
    <w:rsid w:val="3C386A4E"/>
    <w:rsid w:val="3C40E295"/>
    <w:rsid w:val="3C42ACDA"/>
    <w:rsid w:val="3C4A325E"/>
    <w:rsid w:val="3C4ABD32"/>
    <w:rsid w:val="3C4F9015"/>
    <w:rsid w:val="3C536F10"/>
    <w:rsid w:val="3C537D57"/>
    <w:rsid w:val="3C59FE5F"/>
    <w:rsid w:val="3C5A7270"/>
    <w:rsid w:val="3C60EFDF"/>
    <w:rsid w:val="3C64124D"/>
    <w:rsid w:val="3C6FE3A4"/>
    <w:rsid w:val="3C720C89"/>
    <w:rsid w:val="3C73D438"/>
    <w:rsid w:val="3C78639E"/>
    <w:rsid w:val="3C7915BC"/>
    <w:rsid w:val="3C7B672C"/>
    <w:rsid w:val="3C7BC8F0"/>
    <w:rsid w:val="3C80A65F"/>
    <w:rsid w:val="3C83DB5F"/>
    <w:rsid w:val="3C86D505"/>
    <w:rsid w:val="3C8C1394"/>
    <w:rsid w:val="3C8C7003"/>
    <w:rsid w:val="3C8CCABC"/>
    <w:rsid w:val="3C8D3E25"/>
    <w:rsid w:val="3C8E8DEB"/>
    <w:rsid w:val="3C95E0DC"/>
    <w:rsid w:val="3C973519"/>
    <w:rsid w:val="3C975A33"/>
    <w:rsid w:val="3C9EB382"/>
    <w:rsid w:val="3C9F5B4C"/>
    <w:rsid w:val="3CA00D89"/>
    <w:rsid w:val="3CA192BD"/>
    <w:rsid w:val="3CA55935"/>
    <w:rsid w:val="3CA7ACFC"/>
    <w:rsid w:val="3CAC017C"/>
    <w:rsid w:val="3CAEC436"/>
    <w:rsid w:val="3CAF7ABF"/>
    <w:rsid w:val="3CB1D226"/>
    <w:rsid w:val="3CB474D4"/>
    <w:rsid w:val="3CB60324"/>
    <w:rsid w:val="3CB6938B"/>
    <w:rsid w:val="3CBBE37F"/>
    <w:rsid w:val="3CC47D38"/>
    <w:rsid w:val="3CC88716"/>
    <w:rsid w:val="3CCE84F0"/>
    <w:rsid w:val="3CD34399"/>
    <w:rsid w:val="3CD5B10C"/>
    <w:rsid w:val="3CD8724C"/>
    <w:rsid w:val="3CD88C44"/>
    <w:rsid w:val="3CDCD120"/>
    <w:rsid w:val="3CDFC366"/>
    <w:rsid w:val="3CE6D9B8"/>
    <w:rsid w:val="3CE9C43A"/>
    <w:rsid w:val="3CEAD3F8"/>
    <w:rsid w:val="3CEF1E75"/>
    <w:rsid w:val="3CF23917"/>
    <w:rsid w:val="3CF2ACB4"/>
    <w:rsid w:val="3CF2F7D4"/>
    <w:rsid w:val="3CF57948"/>
    <w:rsid w:val="3D086AAD"/>
    <w:rsid w:val="3D09CFDF"/>
    <w:rsid w:val="3D0F97D1"/>
    <w:rsid w:val="3D11C337"/>
    <w:rsid w:val="3D12275C"/>
    <w:rsid w:val="3D134801"/>
    <w:rsid w:val="3D16EC70"/>
    <w:rsid w:val="3D1F88C2"/>
    <w:rsid w:val="3D1FBC98"/>
    <w:rsid w:val="3D21FAFE"/>
    <w:rsid w:val="3D223C3F"/>
    <w:rsid w:val="3D22C5B5"/>
    <w:rsid w:val="3D2A99CB"/>
    <w:rsid w:val="3D2D81F1"/>
    <w:rsid w:val="3D39C9E4"/>
    <w:rsid w:val="3D3CC622"/>
    <w:rsid w:val="3D3D875A"/>
    <w:rsid w:val="3D411539"/>
    <w:rsid w:val="3D454296"/>
    <w:rsid w:val="3D4C68AE"/>
    <w:rsid w:val="3D4E1E3C"/>
    <w:rsid w:val="3D566785"/>
    <w:rsid w:val="3D568183"/>
    <w:rsid w:val="3D69D41E"/>
    <w:rsid w:val="3D729C03"/>
    <w:rsid w:val="3D7D3C87"/>
    <w:rsid w:val="3D7DA116"/>
    <w:rsid w:val="3D7E361B"/>
    <w:rsid w:val="3D84865E"/>
    <w:rsid w:val="3D8B0ABF"/>
    <w:rsid w:val="3D8EBA2A"/>
    <w:rsid w:val="3D936657"/>
    <w:rsid w:val="3D955FF7"/>
    <w:rsid w:val="3D9AE2AF"/>
    <w:rsid w:val="3D9B3E5D"/>
    <w:rsid w:val="3D9D3A37"/>
    <w:rsid w:val="3D9E1AB8"/>
    <w:rsid w:val="3D9F89D1"/>
    <w:rsid w:val="3DA05EAD"/>
    <w:rsid w:val="3DA072D3"/>
    <w:rsid w:val="3DA1EB61"/>
    <w:rsid w:val="3DC0EB0F"/>
    <w:rsid w:val="3DC832B9"/>
    <w:rsid w:val="3DCCB945"/>
    <w:rsid w:val="3DCFB98B"/>
    <w:rsid w:val="3DD0AD6B"/>
    <w:rsid w:val="3DD5E17F"/>
    <w:rsid w:val="3DDE8306"/>
    <w:rsid w:val="3DE0C6E9"/>
    <w:rsid w:val="3DE15BEE"/>
    <w:rsid w:val="3DE47B6E"/>
    <w:rsid w:val="3DEC6045"/>
    <w:rsid w:val="3E0A1CF5"/>
    <w:rsid w:val="3E120E15"/>
    <w:rsid w:val="3E13945D"/>
    <w:rsid w:val="3E1AE9E9"/>
    <w:rsid w:val="3E1AF424"/>
    <w:rsid w:val="3E1C6596"/>
    <w:rsid w:val="3E1C8B9D"/>
    <w:rsid w:val="3E219B4B"/>
    <w:rsid w:val="3E228A41"/>
    <w:rsid w:val="3E255E29"/>
    <w:rsid w:val="3E28F9C6"/>
    <w:rsid w:val="3E2E13E5"/>
    <w:rsid w:val="3E2E8885"/>
    <w:rsid w:val="3E34B99B"/>
    <w:rsid w:val="3E3AB2EE"/>
    <w:rsid w:val="3E3BA3CA"/>
    <w:rsid w:val="3E3FCEC8"/>
    <w:rsid w:val="3E426B29"/>
    <w:rsid w:val="3E42E95A"/>
    <w:rsid w:val="3E46EE8B"/>
    <w:rsid w:val="3E4830EA"/>
    <w:rsid w:val="3E48BEAB"/>
    <w:rsid w:val="3E57CF9C"/>
    <w:rsid w:val="3E5AF855"/>
    <w:rsid w:val="3E5EAF81"/>
    <w:rsid w:val="3E61E85A"/>
    <w:rsid w:val="3E630E13"/>
    <w:rsid w:val="3E67E214"/>
    <w:rsid w:val="3E68D4EA"/>
    <w:rsid w:val="3E6C85F9"/>
    <w:rsid w:val="3E6DCD06"/>
    <w:rsid w:val="3E708E9B"/>
    <w:rsid w:val="3E742BAA"/>
    <w:rsid w:val="3E78105D"/>
    <w:rsid w:val="3E782273"/>
    <w:rsid w:val="3E79032D"/>
    <w:rsid w:val="3E79A9E5"/>
    <w:rsid w:val="3E852280"/>
    <w:rsid w:val="3E8E6DBC"/>
    <w:rsid w:val="3E966E3E"/>
    <w:rsid w:val="3E971636"/>
    <w:rsid w:val="3E984795"/>
    <w:rsid w:val="3E9F405C"/>
    <w:rsid w:val="3EA0571B"/>
    <w:rsid w:val="3EAA307E"/>
    <w:rsid w:val="3EAA8471"/>
    <w:rsid w:val="3EADF138"/>
    <w:rsid w:val="3EB908C8"/>
    <w:rsid w:val="3EBA7088"/>
    <w:rsid w:val="3EBF5EBE"/>
    <w:rsid w:val="3EBF80C3"/>
    <w:rsid w:val="3EC2816C"/>
    <w:rsid w:val="3EC9B364"/>
    <w:rsid w:val="3ECBCCCC"/>
    <w:rsid w:val="3ED2CFE6"/>
    <w:rsid w:val="3EDA6C8A"/>
    <w:rsid w:val="3EDB6E06"/>
    <w:rsid w:val="3EDD3EC3"/>
    <w:rsid w:val="3EE6854C"/>
    <w:rsid w:val="3EEBCDBE"/>
    <w:rsid w:val="3EF47AA3"/>
    <w:rsid w:val="3F058A27"/>
    <w:rsid w:val="3F08D57E"/>
    <w:rsid w:val="3F0AB1FA"/>
    <w:rsid w:val="3F0E0CB1"/>
    <w:rsid w:val="3F0EB1F5"/>
    <w:rsid w:val="3F10790A"/>
    <w:rsid w:val="3F174C81"/>
    <w:rsid w:val="3F187139"/>
    <w:rsid w:val="3F1A845E"/>
    <w:rsid w:val="3F1B15EC"/>
    <w:rsid w:val="3F1B5025"/>
    <w:rsid w:val="3F1F9C7A"/>
    <w:rsid w:val="3F22B66F"/>
    <w:rsid w:val="3F261B28"/>
    <w:rsid w:val="3F2CB507"/>
    <w:rsid w:val="3F306F46"/>
    <w:rsid w:val="3F320F15"/>
    <w:rsid w:val="3F3A31F7"/>
    <w:rsid w:val="3F3DDCC1"/>
    <w:rsid w:val="3F47B706"/>
    <w:rsid w:val="3F5261E6"/>
    <w:rsid w:val="3F556A41"/>
    <w:rsid w:val="3F599590"/>
    <w:rsid w:val="3F603EED"/>
    <w:rsid w:val="3F64F4AD"/>
    <w:rsid w:val="3F68F81E"/>
    <w:rsid w:val="3F6A9A54"/>
    <w:rsid w:val="3F6F745C"/>
    <w:rsid w:val="3F702EF3"/>
    <w:rsid w:val="3F71C77B"/>
    <w:rsid w:val="3F729134"/>
    <w:rsid w:val="3F7527C9"/>
    <w:rsid w:val="3F786174"/>
    <w:rsid w:val="3F7C748D"/>
    <w:rsid w:val="3F7CF4D1"/>
    <w:rsid w:val="3F815953"/>
    <w:rsid w:val="3F84FF03"/>
    <w:rsid w:val="3F86AB35"/>
    <w:rsid w:val="3F8895E1"/>
    <w:rsid w:val="3F8E0763"/>
    <w:rsid w:val="3F92FB63"/>
    <w:rsid w:val="3F9E7AE9"/>
    <w:rsid w:val="3F9F2469"/>
    <w:rsid w:val="3FA2B87E"/>
    <w:rsid w:val="3FA34036"/>
    <w:rsid w:val="3FA8012B"/>
    <w:rsid w:val="3FA8F5BD"/>
    <w:rsid w:val="3FAC0D97"/>
    <w:rsid w:val="3FAC39DA"/>
    <w:rsid w:val="3FC25391"/>
    <w:rsid w:val="3FC3696A"/>
    <w:rsid w:val="3FC44D5D"/>
    <w:rsid w:val="3FC4CB3F"/>
    <w:rsid w:val="3FC580AD"/>
    <w:rsid w:val="3FC98AB4"/>
    <w:rsid w:val="3FCE7F43"/>
    <w:rsid w:val="3FD0A844"/>
    <w:rsid w:val="3FD610A3"/>
    <w:rsid w:val="3FDB2E1D"/>
    <w:rsid w:val="3FDB74CB"/>
    <w:rsid w:val="3FE70B95"/>
    <w:rsid w:val="3FE7E97B"/>
    <w:rsid w:val="3FE9F26A"/>
    <w:rsid w:val="3FEC0388"/>
    <w:rsid w:val="3FEC7B23"/>
    <w:rsid w:val="3FF67239"/>
    <w:rsid w:val="3FF79C64"/>
    <w:rsid w:val="3FF8940D"/>
    <w:rsid w:val="3FFEFD3C"/>
    <w:rsid w:val="40017F34"/>
    <w:rsid w:val="4001FF33"/>
    <w:rsid w:val="40030CFF"/>
    <w:rsid w:val="40055D7A"/>
    <w:rsid w:val="40087B81"/>
    <w:rsid w:val="4008A7E5"/>
    <w:rsid w:val="400E28A9"/>
    <w:rsid w:val="400E846A"/>
    <w:rsid w:val="40147BD5"/>
    <w:rsid w:val="4014FD11"/>
    <w:rsid w:val="4016A2BC"/>
    <w:rsid w:val="401981FF"/>
    <w:rsid w:val="40256E6D"/>
    <w:rsid w:val="40365DEC"/>
    <w:rsid w:val="4039829A"/>
    <w:rsid w:val="404055CD"/>
    <w:rsid w:val="4040602C"/>
    <w:rsid w:val="40414132"/>
    <w:rsid w:val="40491D73"/>
    <w:rsid w:val="4049C667"/>
    <w:rsid w:val="404F5A7D"/>
    <w:rsid w:val="4052EE1E"/>
    <w:rsid w:val="4057766F"/>
    <w:rsid w:val="4059827F"/>
    <w:rsid w:val="405C5F3E"/>
    <w:rsid w:val="4067F137"/>
    <w:rsid w:val="406DBF34"/>
    <w:rsid w:val="40793D6D"/>
    <w:rsid w:val="40842BD9"/>
    <w:rsid w:val="408639A3"/>
    <w:rsid w:val="409395A0"/>
    <w:rsid w:val="40953E45"/>
    <w:rsid w:val="40970553"/>
    <w:rsid w:val="409856B5"/>
    <w:rsid w:val="40A1D2DF"/>
    <w:rsid w:val="40A464ED"/>
    <w:rsid w:val="40B3EB95"/>
    <w:rsid w:val="40B42659"/>
    <w:rsid w:val="40B4B71F"/>
    <w:rsid w:val="40CB554B"/>
    <w:rsid w:val="40D88F66"/>
    <w:rsid w:val="40D899EE"/>
    <w:rsid w:val="40D99211"/>
    <w:rsid w:val="40E21E21"/>
    <w:rsid w:val="40E7B249"/>
    <w:rsid w:val="40EE36A0"/>
    <w:rsid w:val="40EF5168"/>
    <w:rsid w:val="40F2F854"/>
    <w:rsid w:val="40FAB76D"/>
    <w:rsid w:val="40FBC635"/>
    <w:rsid w:val="41014E84"/>
    <w:rsid w:val="41117E42"/>
    <w:rsid w:val="4112D1FC"/>
    <w:rsid w:val="4116E9E8"/>
    <w:rsid w:val="4118A12D"/>
    <w:rsid w:val="411B26C2"/>
    <w:rsid w:val="411C196C"/>
    <w:rsid w:val="411DDF80"/>
    <w:rsid w:val="41256ED9"/>
    <w:rsid w:val="412BBD27"/>
    <w:rsid w:val="412C5698"/>
    <w:rsid w:val="413CD6A7"/>
    <w:rsid w:val="4142246F"/>
    <w:rsid w:val="414423A6"/>
    <w:rsid w:val="4146595C"/>
    <w:rsid w:val="414DFCA1"/>
    <w:rsid w:val="41508AF8"/>
    <w:rsid w:val="41535D9D"/>
    <w:rsid w:val="41596C7C"/>
    <w:rsid w:val="415B2904"/>
    <w:rsid w:val="4171BCE2"/>
    <w:rsid w:val="417FF808"/>
    <w:rsid w:val="418F23C3"/>
    <w:rsid w:val="41927B3E"/>
    <w:rsid w:val="41948166"/>
    <w:rsid w:val="4197BABE"/>
    <w:rsid w:val="41A12BD9"/>
    <w:rsid w:val="41A21C75"/>
    <w:rsid w:val="41A65335"/>
    <w:rsid w:val="41AAAC18"/>
    <w:rsid w:val="41AD5C05"/>
    <w:rsid w:val="41B29042"/>
    <w:rsid w:val="41B6C3C1"/>
    <w:rsid w:val="41B72792"/>
    <w:rsid w:val="41BC5371"/>
    <w:rsid w:val="41C0E539"/>
    <w:rsid w:val="41C50883"/>
    <w:rsid w:val="41CC24EB"/>
    <w:rsid w:val="41CD72CA"/>
    <w:rsid w:val="41CE45A8"/>
    <w:rsid w:val="41D09132"/>
    <w:rsid w:val="41D3342F"/>
    <w:rsid w:val="41D9730D"/>
    <w:rsid w:val="41DAC4AF"/>
    <w:rsid w:val="41DFD336"/>
    <w:rsid w:val="41E34FAA"/>
    <w:rsid w:val="41E67460"/>
    <w:rsid w:val="41F311EC"/>
    <w:rsid w:val="41F3CA78"/>
    <w:rsid w:val="41FC7561"/>
    <w:rsid w:val="41FD774A"/>
    <w:rsid w:val="41FF8241"/>
    <w:rsid w:val="4206C843"/>
    <w:rsid w:val="420DD61F"/>
    <w:rsid w:val="4210A262"/>
    <w:rsid w:val="4210BA4E"/>
    <w:rsid w:val="421508DE"/>
    <w:rsid w:val="421DFC70"/>
    <w:rsid w:val="421E3DD8"/>
    <w:rsid w:val="422001E8"/>
    <w:rsid w:val="42280AD4"/>
    <w:rsid w:val="42283347"/>
    <w:rsid w:val="422C77FA"/>
    <w:rsid w:val="422D666E"/>
    <w:rsid w:val="422FE972"/>
    <w:rsid w:val="42422225"/>
    <w:rsid w:val="42481E57"/>
    <w:rsid w:val="424D83A4"/>
    <w:rsid w:val="42549F7F"/>
    <w:rsid w:val="42589EE8"/>
    <w:rsid w:val="4258BEA1"/>
    <w:rsid w:val="425A9B39"/>
    <w:rsid w:val="425F7E80"/>
    <w:rsid w:val="4267B1DE"/>
    <w:rsid w:val="426ECD6F"/>
    <w:rsid w:val="42862A3E"/>
    <w:rsid w:val="4286C07A"/>
    <w:rsid w:val="428C81A7"/>
    <w:rsid w:val="428D2BAA"/>
    <w:rsid w:val="428EC277"/>
    <w:rsid w:val="42900260"/>
    <w:rsid w:val="4293619A"/>
    <w:rsid w:val="429F6E39"/>
    <w:rsid w:val="42AE5F3C"/>
    <w:rsid w:val="42B145A9"/>
    <w:rsid w:val="42B5E27C"/>
    <w:rsid w:val="42B98A9F"/>
    <w:rsid w:val="42BA7E27"/>
    <w:rsid w:val="42BC1DEE"/>
    <w:rsid w:val="42C22143"/>
    <w:rsid w:val="42D2F6C2"/>
    <w:rsid w:val="42D527CB"/>
    <w:rsid w:val="42DA03C3"/>
    <w:rsid w:val="42E04886"/>
    <w:rsid w:val="42E26ED8"/>
    <w:rsid w:val="42E6D28B"/>
    <w:rsid w:val="42E94450"/>
    <w:rsid w:val="42ECF1EE"/>
    <w:rsid w:val="42EE1D0F"/>
    <w:rsid w:val="42F1D33B"/>
    <w:rsid w:val="42F540BC"/>
    <w:rsid w:val="42F7C2D7"/>
    <w:rsid w:val="42F810F5"/>
    <w:rsid w:val="42FAC694"/>
    <w:rsid w:val="42FD2B95"/>
    <w:rsid w:val="42FE262A"/>
    <w:rsid w:val="4305B6AD"/>
    <w:rsid w:val="4306C154"/>
    <w:rsid w:val="4314FC1F"/>
    <w:rsid w:val="43156BCD"/>
    <w:rsid w:val="4317E9A1"/>
    <w:rsid w:val="431D99D4"/>
    <w:rsid w:val="432097FB"/>
    <w:rsid w:val="432103A7"/>
    <w:rsid w:val="43214273"/>
    <w:rsid w:val="4322012A"/>
    <w:rsid w:val="432235DA"/>
    <w:rsid w:val="432ED192"/>
    <w:rsid w:val="432F4A08"/>
    <w:rsid w:val="4330045D"/>
    <w:rsid w:val="4334BECA"/>
    <w:rsid w:val="43372661"/>
    <w:rsid w:val="433758B4"/>
    <w:rsid w:val="4339C6F3"/>
    <w:rsid w:val="434137D5"/>
    <w:rsid w:val="43421463"/>
    <w:rsid w:val="4349D4F0"/>
    <w:rsid w:val="434B914E"/>
    <w:rsid w:val="434D8233"/>
    <w:rsid w:val="43509F2C"/>
    <w:rsid w:val="435246C1"/>
    <w:rsid w:val="435C2561"/>
    <w:rsid w:val="435E0828"/>
    <w:rsid w:val="435F9D71"/>
    <w:rsid w:val="43665247"/>
    <w:rsid w:val="437949E0"/>
    <w:rsid w:val="4379AB31"/>
    <w:rsid w:val="437B6FF0"/>
    <w:rsid w:val="437FA07B"/>
    <w:rsid w:val="438804A9"/>
    <w:rsid w:val="438B7D27"/>
    <w:rsid w:val="438B8D5B"/>
    <w:rsid w:val="438D4A38"/>
    <w:rsid w:val="438F138A"/>
    <w:rsid w:val="43902632"/>
    <w:rsid w:val="43908211"/>
    <w:rsid w:val="4393EFC8"/>
    <w:rsid w:val="43A60AB3"/>
    <w:rsid w:val="43A66F4D"/>
    <w:rsid w:val="43BCD501"/>
    <w:rsid w:val="43C1B460"/>
    <w:rsid w:val="43C6A382"/>
    <w:rsid w:val="43D2747B"/>
    <w:rsid w:val="43D67528"/>
    <w:rsid w:val="43D9154C"/>
    <w:rsid w:val="43D9C328"/>
    <w:rsid w:val="43DC4F26"/>
    <w:rsid w:val="43E28915"/>
    <w:rsid w:val="43E777D7"/>
    <w:rsid w:val="43EFC639"/>
    <w:rsid w:val="43F107BF"/>
    <w:rsid w:val="43F43497"/>
    <w:rsid w:val="43FB0AB8"/>
    <w:rsid w:val="43FE7956"/>
    <w:rsid w:val="43FF9999"/>
    <w:rsid w:val="4406DAE1"/>
    <w:rsid w:val="440A2392"/>
    <w:rsid w:val="44109DE7"/>
    <w:rsid w:val="4411F1E3"/>
    <w:rsid w:val="4415C4C2"/>
    <w:rsid w:val="441DB1FE"/>
    <w:rsid w:val="441E111C"/>
    <w:rsid w:val="441E6615"/>
    <w:rsid w:val="441E9316"/>
    <w:rsid w:val="442B111A"/>
    <w:rsid w:val="442D7DFD"/>
    <w:rsid w:val="4431542B"/>
    <w:rsid w:val="443ED4C9"/>
    <w:rsid w:val="443FB2FE"/>
    <w:rsid w:val="44530CBA"/>
    <w:rsid w:val="4453D059"/>
    <w:rsid w:val="44550797"/>
    <w:rsid w:val="44599FB0"/>
    <w:rsid w:val="445F521F"/>
    <w:rsid w:val="4461D863"/>
    <w:rsid w:val="4463684F"/>
    <w:rsid w:val="4466EFC8"/>
    <w:rsid w:val="446B4615"/>
    <w:rsid w:val="446D0AFB"/>
    <w:rsid w:val="44721928"/>
    <w:rsid w:val="44768F88"/>
    <w:rsid w:val="447940F3"/>
    <w:rsid w:val="4485F220"/>
    <w:rsid w:val="448EA2E9"/>
    <w:rsid w:val="449775F1"/>
    <w:rsid w:val="44A23795"/>
    <w:rsid w:val="44AB20DD"/>
    <w:rsid w:val="44B1BBA6"/>
    <w:rsid w:val="44B3C0C3"/>
    <w:rsid w:val="44B59180"/>
    <w:rsid w:val="44B6068A"/>
    <w:rsid w:val="44BB41C1"/>
    <w:rsid w:val="44C04E7B"/>
    <w:rsid w:val="44C59471"/>
    <w:rsid w:val="44C5AEF0"/>
    <w:rsid w:val="44C881F7"/>
    <w:rsid w:val="44CB011B"/>
    <w:rsid w:val="44CB33DB"/>
    <w:rsid w:val="44CC0409"/>
    <w:rsid w:val="44D10E09"/>
    <w:rsid w:val="44D13F46"/>
    <w:rsid w:val="44D61AA7"/>
    <w:rsid w:val="44D956EC"/>
    <w:rsid w:val="44D9BEDE"/>
    <w:rsid w:val="44DC644F"/>
    <w:rsid w:val="44DDEF4D"/>
    <w:rsid w:val="44E09E0C"/>
    <w:rsid w:val="44E26E50"/>
    <w:rsid w:val="44E27EEC"/>
    <w:rsid w:val="44E620C7"/>
    <w:rsid w:val="44E9AB19"/>
    <w:rsid w:val="44F0D5C0"/>
    <w:rsid w:val="44F2DFCD"/>
    <w:rsid w:val="44F2F9AD"/>
    <w:rsid w:val="44F45E70"/>
    <w:rsid w:val="44F530A0"/>
    <w:rsid w:val="44F938BB"/>
    <w:rsid w:val="44FD57FA"/>
    <w:rsid w:val="4500417F"/>
    <w:rsid w:val="45015C5E"/>
    <w:rsid w:val="45039217"/>
    <w:rsid w:val="450B8F26"/>
    <w:rsid w:val="450CEBEF"/>
    <w:rsid w:val="450F2438"/>
    <w:rsid w:val="45129B59"/>
    <w:rsid w:val="4517BEC6"/>
    <w:rsid w:val="45186A68"/>
    <w:rsid w:val="451AECC2"/>
    <w:rsid w:val="451B113E"/>
    <w:rsid w:val="451E55CA"/>
    <w:rsid w:val="451FDBD4"/>
    <w:rsid w:val="4527123C"/>
    <w:rsid w:val="452805A9"/>
    <w:rsid w:val="45305FB9"/>
    <w:rsid w:val="453E4172"/>
    <w:rsid w:val="4542E06C"/>
    <w:rsid w:val="45452950"/>
    <w:rsid w:val="45472AA6"/>
    <w:rsid w:val="454AB41A"/>
    <w:rsid w:val="454BB5AC"/>
    <w:rsid w:val="454C8733"/>
    <w:rsid w:val="454E2F32"/>
    <w:rsid w:val="454F54E7"/>
    <w:rsid w:val="4550F1F4"/>
    <w:rsid w:val="4551541B"/>
    <w:rsid w:val="4558926E"/>
    <w:rsid w:val="4558997B"/>
    <w:rsid w:val="4558E0F6"/>
    <w:rsid w:val="455D8AB7"/>
    <w:rsid w:val="455E4E07"/>
    <w:rsid w:val="4560A2B8"/>
    <w:rsid w:val="45610551"/>
    <w:rsid w:val="45677087"/>
    <w:rsid w:val="4567BEC0"/>
    <w:rsid w:val="4570A626"/>
    <w:rsid w:val="4577AF45"/>
    <w:rsid w:val="4587977F"/>
    <w:rsid w:val="458855E3"/>
    <w:rsid w:val="458B00AA"/>
    <w:rsid w:val="459657E7"/>
    <w:rsid w:val="45A714D6"/>
    <w:rsid w:val="45A76DB9"/>
    <w:rsid w:val="45ABE9AE"/>
    <w:rsid w:val="45BCE734"/>
    <w:rsid w:val="45CCF846"/>
    <w:rsid w:val="45D7FB8A"/>
    <w:rsid w:val="45D8C74F"/>
    <w:rsid w:val="45E1AE25"/>
    <w:rsid w:val="45E1C73C"/>
    <w:rsid w:val="45E22EB8"/>
    <w:rsid w:val="45E731E6"/>
    <w:rsid w:val="45ECCA38"/>
    <w:rsid w:val="45EF2C6C"/>
    <w:rsid w:val="45F5E212"/>
    <w:rsid w:val="45F99116"/>
    <w:rsid w:val="45FEAE57"/>
    <w:rsid w:val="46067014"/>
    <w:rsid w:val="46070397"/>
    <w:rsid w:val="460A0BE7"/>
    <w:rsid w:val="460A778A"/>
    <w:rsid w:val="4610EF3D"/>
    <w:rsid w:val="4629B28C"/>
    <w:rsid w:val="462B6F3C"/>
    <w:rsid w:val="46329A9E"/>
    <w:rsid w:val="46359065"/>
    <w:rsid w:val="463823F2"/>
    <w:rsid w:val="4640D432"/>
    <w:rsid w:val="4642953C"/>
    <w:rsid w:val="464550CD"/>
    <w:rsid w:val="46461766"/>
    <w:rsid w:val="46496BF3"/>
    <w:rsid w:val="464B94B5"/>
    <w:rsid w:val="4655023F"/>
    <w:rsid w:val="4655741E"/>
    <w:rsid w:val="4657EA4F"/>
    <w:rsid w:val="465ACA64"/>
    <w:rsid w:val="465F8C4D"/>
    <w:rsid w:val="466115C7"/>
    <w:rsid w:val="4661E1A3"/>
    <w:rsid w:val="466499C7"/>
    <w:rsid w:val="4668C56F"/>
    <w:rsid w:val="4668D33B"/>
    <w:rsid w:val="466B150D"/>
    <w:rsid w:val="466C50E0"/>
    <w:rsid w:val="466F2B7A"/>
    <w:rsid w:val="466F3CAA"/>
    <w:rsid w:val="4670CC59"/>
    <w:rsid w:val="4673F76A"/>
    <w:rsid w:val="46795764"/>
    <w:rsid w:val="467D742C"/>
    <w:rsid w:val="46814A5B"/>
    <w:rsid w:val="4686F69A"/>
    <w:rsid w:val="4696D250"/>
    <w:rsid w:val="469B802E"/>
    <w:rsid w:val="46A0C443"/>
    <w:rsid w:val="46A21B07"/>
    <w:rsid w:val="46A38C3B"/>
    <w:rsid w:val="46A5247F"/>
    <w:rsid w:val="46A779B4"/>
    <w:rsid w:val="46A89760"/>
    <w:rsid w:val="46AA7778"/>
    <w:rsid w:val="46B00F63"/>
    <w:rsid w:val="46B3201F"/>
    <w:rsid w:val="46B9E632"/>
    <w:rsid w:val="46BBFA4F"/>
    <w:rsid w:val="46BC736D"/>
    <w:rsid w:val="46CEAE60"/>
    <w:rsid w:val="46D5C16C"/>
    <w:rsid w:val="46DDDE6A"/>
    <w:rsid w:val="46DDFA02"/>
    <w:rsid w:val="46E0A2CB"/>
    <w:rsid w:val="46E6866A"/>
    <w:rsid w:val="46EC1BB3"/>
    <w:rsid w:val="46F39599"/>
    <w:rsid w:val="46F65525"/>
    <w:rsid w:val="46F76F02"/>
    <w:rsid w:val="46F774C0"/>
    <w:rsid w:val="46F8DC39"/>
    <w:rsid w:val="4705F2BC"/>
    <w:rsid w:val="4706B169"/>
    <w:rsid w:val="470A554F"/>
    <w:rsid w:val="470E4B29"/>
    <w:rsid w:val="4710E1B2"/>
    <w:rsid w:val="47135CBE"/>
    <w:rsid w:val="4716DC42"/>
    <w:rsid w:val="471A6BCE"/>
    <w:rsid w:val="471C9B3A"/>
    <w:rsid w:val="471CD030"/>
    <w:rsid w:val="471F37B0"/>
    <w:rsid w:val="4722F6B4"/>
    <w:rsid w:val="47283610"/>
    <w:rsid w:val="472B9F20"/>
    <w:rsid w:val="4733FADA"/>
    <w:rsid w:val="473BD2F1"/>
    <w:rsid w:val="47402873"/>
    <w:rsid w:val="4741A75F"/>
    <w:rsid w:val="4743740C"/>
    <w:rsid w:val="474611CC"/>
    <w:rsid w:val="47489FE9"/>
    <w:rsid w:val="474B694A"/>
    <w:rsid w:val="474CB80B"/>
    <w:rsid w:val="474CC1CD"/>
    <w:rsid w:val="47515AD0"/>
    <w:rsid w:val="475A394D"/>
    <w:rsid w:val="475EF714"/>
    <w:rsid w:val="476106EE"/>
    <w:rsid w:val="476A3389"/>
    <w:rsid w:val="476FEAA2"/>
    <w:rsid w:val="47700B2C"/>
    <w:rsid w:val="477132ED"/>
    <w:rsid w:val="4771AD87"/>
    <w:rsid w:val="4772F524"/>
    <w:rsid w:val="47789B2D"/>
    <w:rsid w:val="47794928"/>
    <w:rsid w:val="478429D8"/>
    <w:rsid w:val="478B6426"/>
    <w:rsid w:val="478D75BE"/>
    <w:rsid w:val="478F4C67"/>
    <w:rsid w:val="4797655A"/>
    <w:rsid w:val="47A2B7CE"/>
    <w:rsid w:val="47A84EAB"/>
    <w:rsid w:val="47B0EC8A"/>
    <w:rsid w:val="47B4726B"/>
    <w:rsid w:val="47B77397"/>
    <w:rsid w:val="47BA3779"/>
    <w:rsid w:val="47BBD4DE"/>
    <w:rsid w:val="47C26E73"/>
    <w:rsid w:val="47C37761"/>
    <w:rsid w:val="47C40982"/>
    <w:rsid w:val="47CC8104"/>
    <w:rsid w:val="47D41315"/>
    <w:rsid w:val="47D56127"/>
    <w:rsid w:val="47D8EB40"/>
    <w:rsid w:val="47D97CE9"/>
    <w:rsid w:val="47DE829E"/>
    <w:rsid w:val="47E259B3"/>
    <w:rsid w:val="47E8AF02"/>
    <w:rsid w:val="47ED2F5C"/>
    <w:rsid w:val="47FE87F5"/>
    <w:rsid w:val="47FF58A0"/>
    <w:rsid w:val="48016F2D"/>
    <w:rsid w:val="480C0CF4"/>
    <w:rsid w:val="480F188F"/>
    <w:rsid w:val="480F78C3"/>
    <w:rsid w:val="4813A7F8"/>
    <w:rsid w:val="48179565"/>
    <w:rsid w:val="481C4337"/>
    <w:rsid w:val="4821EFC3"/>
    <w:rsid w:val="482F9C2E"/>
    <w:rsid w:val="4833A9DF"/>
    <w:rsid w:val="48387887"/>
    <w:rsid w:val="483A3A47"/>
    <w:rsid w:val="483A76CD"/>
    <w:rsid w:val="4842F0F7"/>
    <w:rsid w:val="48432024"/>
    <w:rsid w:val="4846980E"/>
    <w:rsid w:val="4847DEDE"/>
    <w:rsid w:val="4848380D"/>
    <w:rsid w:val="48493181"/>
    <w:rsid w:val="484AE6BB"/>
    <w:rsid w:val="48520C0F"/>
    <w:rsid w:val="48565E7E"/>
    <w:rsid w:val="4858FEE0"/>
    <w:rsid w:val="485E4875"/>
    <w:rsid w:val="485EB648"/>
    <w:rsid w:val="4864CFCD"/>
    <w:rsid w:val="48672724"/>
    <w:rsid w:val="4869AA65"/>
    <w:rsid w:val="486E46DE"/>
    <w:rsid w:val="487251DC"/>
    <w:rsid w:val="487D5A19"/>
    <w:rsid w:val="48894657"/>
    <w:rsid w:val="48903392"/>
    <w:rsid w:val="4891C076"/>
    <w:rsid w:val="489505D5"/>
    <w:rsid w:val="4895A141"/>
    <w:rsid w:val="48979755"/>
    <w:rsid w:val="48A164AA"/>
    <w:rsid w:val="48A32E91"/>
    <w:rsid w:val="48AB56E4"/>
    <w:rsid w:val="48AC254D"/>
    <w:rsid w:val="48B4D159"/>
    <w:rsid w:val="48B5CCD2"/>
    <w:rsid w:val="48B8F335"/>
    <w:rsid w:val="48BA2913"/>
    <w:rsid w:val="48BDED96"/>
    <w:rsid w:val="48C49F7C"/>
    <w:rsid w:val="48C8508C"/>
    <w:rsid w:val="48CA3E74"/>
    <w:rsid w:val="48CD6337"/>
    <w:rsid w:val="48CFF247"/>
    <w:rsid w:val="48D4D9BF"/>
    <w:rsid w:val="48DB3C71"/>
    <w:rsid w:val="48DFCCAB"/>
    <w:rsid w:val="48E031F2"/>
    <w:rsid w:val="48E2F73F"/>
    <w:rsid w:val="48E5E8FE"/>
    <w:rsid w:val="48EAC94D"/>
    <w:rsid w:val="48EAE5E6"/>
    <w:rsid w:val="48F3C3AE"/>
    <w:rsid w:val="48FC11F5"/>
    <w:rsid w:val="48FD0B6B"/>
    <w:rsid w:val="48FF18B5"/>
    <w:rsid w:val="49002B94"/>
    <w:rsid w:val="490190CD"/>
    <w:rsid w:val="49036F52"/>
    <w:rsid w:val="490387F4"/>
    <w:rsid w:val="49050E1D"/>
    <w:rsid w:val="4906F2F7"/>
    <w:rsid w:val="491646BA"/>
    <w:rsid w:val="4922DB4F"/>
    <w:rsid w:val="492424C3"/>
    <w:rsid w:val="4924DA4D"/>
    <w:rsid w:val="4933B3CB"/>
    <w:rsid w:val="4936B455"/>
    <w:rsid w:val="4937B85C"/>
    <w:rsid w:val="494A27C6"/>
    <w:rsid w:val="494A4961"/>
    <w:rsid w:val="494AFF36"/>
    <w:rsid w:val="494DB1D9"/>
    <w:rsid w:val="494F4C82"/>
    <w:rsid w:val="495A364C"/>
    <w:rsid w:val="495AC606"/>
    <w:rsid w:val="495C8871"/>
    <w:rsid w:val="495D4DD6"/>
    <w:rsid w:val="496AD8BE"/>
    <w:rsid w:val="496FE589"/>
    <w:rsid w:val="4973F262"/>
    <w:rsid w:val="497C1B1D"/>
    <w:rsid w:val="497C976B"/>
    <w:rsid w:val="497E2DAD"/>
    <w:rsid w:val="49809627"/>
    <w:rsid w:val="4993F131"/>
    <w:rsid w:val="49958EA0"/>
    <w:rsid w:val="49993A98"/>
    <w:rsid w:val="4999F4E8"/>
    <w:rsid w:val="499BAC00"/>
    <w:rsid w:val="49A529CF"/>
    <w:rsid w:val="49A92A53"/>
    <w:rsid w:val="49B5F4A1"/>
    <w:rsid w:val="49BC0CD4"/>
    <w:rsid w:val="49BD4C72"/>
    <w:rsid w:val="49C26A2F"/>
    <w:rsid w:val="49C5D123"/>
    <w:rsid w:val="49D1DB23"/>
    <w:rsid w:val="49E732FD"/>
    <w:rsid w:val="49EA7509"/>
    <w:rsid w:val="49EA8A1C"/>
    <w:rsid w:val="49ED1CF5"/>
    <w:rsid w:val="49F6763B"/>
    <w:rsid w:val="49F96982"/>
    <w:rsid w:val="49FAD79B"/>
    <w:rsid w:val="49FDA975"/>
    <w:rsid w:val="4A004032"/>
    <w:rsid w:val="4A00457A"/>
    <w:rsid w:val="4A024C76"/>
    <w:rsid w:val="4A025035"/>
    <w:rsid w:val="4A03A4ED"/>
    <w:rsid w:val="4A099232"/>
    <w:rsid w:val="4A0A4866"/>
    <w:rsid w:val="4A0B1725"/>
    <w:rsid w:val="4A0FD073"/>
    <w:rsid w:val="4A118B41"/>
    <w:rsid w:val="4A17A866"/>
    <w:rsid w:val="4A1DBADF"/>
    <w:rsid w:val="4A23D734"/>
    <w:rsid w:val="4A2510AC"/>
    <w:rsid w:val="4A27C4E2"/>
    <w:rsid w:val="4A28C47F"/>
    <w:rsid w:val="4A31259E"/>
    <w:rsid w:val="4A312DFD"/>
    <w:rsid w:val="4A31F0EC"/>
    <w:rsid w:val="4A32807E"/>
    <w:rsid w:val="4A33E121"/>
    <w:rsid w:val="4A35AF12"/>
    <w:rsid w:val="4A4257BD"/>
    <w:rsid w:val="4A44ED6D"/>
    <w:rsid w:val="4A47FAC5"/>
    <w:rsid w:val="4A537CF3"/>
    <w:rsid w:val="4A53BE22"/>
    <w:rsid w:val="4A54C0C7"/>
    <w:rsid w:val="4A586BB1"/>
    <w:rsid w:val="4A59CF81"/>
    <w:rsid w:val="4A5AD791"/>
    <w:rsid w:val="4A6FB056"/>
    <w:rsid w:val="4A736E72"/>
    <w:rsid w:val="4A7828CC"/>
    <w:rsid w:val="4A796D30"/>
    <w:rsid w:val="4A814754"/>
    <w:rsid w:val="4A83234E"/>
    <w:rsid w:val="4A83C130"/>
    <w:rsid w:val="4A874771"/>
    <w:rsid w:val="4A875227"/>
    <w:rsid w:val="4A886C68"/>
    <w:rsid w:val="4A929F6F"/>
    <w:rsid w:val="4A97A777"/>
    <w:rsid w:val="4A9E75D3"/>
    <w:rsid w:val="4A9FA4C4"/>
    <w:rsid w:val="4A9FBB18"/>
    <w:rsid w:val="4AA1B7CB"/>
    <w:rsid w:val="4AA2B8B5"/>
    <w:rsid w:val="4AA51D8A"/>
    <w:rsid w:val="4AA8069F"/>
    <w:rsid w:val="4AB1CD28"/>
    <w:rsid w:val="4ABA041D"/>
    <w:rsid w:val="4ABEBC02"/>
    <w:rsid w:val="4AC77983"/>
    <w:rsid w:val="4ACD297E"/>
    <w:rsid w:val="4ACF2AB3"/>
    <w:rsid w:val="4AD436DB"/>
    <w:rsid w:val="4AD6CD47"/>
    <w:rsid w:val="4AD81A60"/>
    <w:rsid w:val="4AD88721"/>
    <w:rsid w:val="4AD8AB31"/>
    <w:rsid w:val="4ADE6B49"/>
    <w:rsid w:val="4AE16215"/>
    <w:rsid w:val="4AE17384"/>
    <w:rsid w:val="4AE20F48"/>
    <w:rsid w:val="4AE3B9BA"/>
    <w:rsid w:val="4AE89722"/>
    <w:rsid w:val="4AE99726"/>
    <w:rsid w:val="4AEA6FA8"/>
    <w:rsid w:val="4AEAA09B"/>
    <w:rsid w:val="4AF48584"/>
    <w:rsid w:val="4AFCB538"/>
    <w:rsid w:val="4B030C8D"/>
    <w:rsid w:val="4B05FF07"/>
    <w:rsid w:val="4B075CE3"/>
    <w:rsid w:val="4B090127"/>
    <w:rsid w:val="4B097E2B"/>
    <w:rsid w:val="4B0E2129"/>
    <w:rsid w:val="4B11F5F6"/>
    <w:rsid w:val="4B160A58"/>
    <w:rsid w:val="4B1BF3BE"/>
    <w:rsid w:val="4B1EB72C"/>
    <w:rsid w:val="4B21342E"/>
    <w:rsid w:val="4B21C1BD"/>
    <w:rsid w:val="4B279FD6"/>
    <w:rsid w:val="4B2C31B2"/>
    <w:rsid w:val="4B2D9506"/>
    <w:rsid w:val="4B3566A6"/>
    <w:rsid w:val="4B43F375"/>
    <w:rsid w:val="4B4641AA"/>
    <w:rsid w:val="4B4DADC5"/>
    <w:rsid w:val="4B4F8481"/>
    <w:rsid w:val="4B50888F"/>
    <w:rsid w:val="4B58BB6B"/>
    <w:rsid w:val="4B5BB956"/>
    <w:rsid w:val="4B5CA88E"/>
    <w:rsid w:val="4B5CB172"/>
    <w:rsid w:val="4B5FB3A1"/>
    <w:rsid w:val="4B6258B2"/>
    <w:rsid w:val="4B65BB9B"/>
    <w:rsid w:val="4B682339"/>
    <w:rsid w:val="4B6D67BF"/>
    <w:rsid w:val="4B7745E0"/>
    <w:rsid w:val="4B7F0C66"/>
    <w:rsid w:val="4B821D31"/>
    <w:rsid w:val="4B8A34B1"/>
    <w:rsid w:val="4B91635C"/>
    <w:rsid w:val="4B960408"/>
    <w:rsid w:val="4B9A5957"/>
    <w:rsid w:val="4B9BC936"/>
    <w:rsid w:val="4B9DA463"/>
    <w:rsid w:val="4B9E9934"/>
    <w:rsid w:val="4B9E9B1F"/>
    <w:rsid w:val="4BA3C338"/>
    <w:rsid w:val="4BA59699"/>
    <w:rsid w:val="4BA6C58A"/>
    <w:rsid w:val="4BAA2E6F"/>
    <w:rsid w:val="4BAFA945"/>
    <w:rsid w:val="4BB16520"/>
    <w:rsid w:val="4BB2D12A"/>
    <w:rsid w:val="4BB6938A"/>
    <w:rsid w:val="4BC258BA"/>
    <w:rsid w:val="4BC3D3F5"/>
    <w:rsid w:val="4BC7DD62"/>
    <w:rsid w:val="4BCAFC31"/>
    <w:rsid w:val="4BCEB0B0"/>
    <w:rsid w:val="4BD02158"/>
    <w:rsid w:val="4BD132FE"/>
    <w:rsid w:val="4BD2A807"/>
    <w:rsid w:val="4BD88F04"/>
    <w:rsid w:val="4BDB3F07"/>
    <w:rsid w:val="4BE1B193"/>
    <w:rsid w:val="4BE1F4A5"/>
    <w:rsid w:val="4BE51062"/>
    <w:rsid w:val="4BE530C2"/>
    <w:rsid w:val="4BF12056"/>
    <w:rsid w:val="4BF4ED3D"/>
    <w:rsid w:val="4BF654B7"/>
    <w:rsid w:val="4BF7903D"/>
    <w:rsid w:val="4BFADEB6"/>
    <w:rsid w:val="4C01EBAC"/>
    <w:rsid w:val="4C020036"/>
    <w:rsid w:val="4C031690"/>
    <w:rsid w:val="4C0763E0"/>
    <w:rsid w:val="4C0AC55B"/>
    <w:rsid w:val="4C0CC8BE"/>
    <w:rsid w:val="4C0E08E6"/>
    <w:rsid w:val="4C21CFAF"/>
    <w:rsid w:val="4C288FB7"/>
    <w:rsid w:val="4C29E329"/>
    <w:rsid w:val="4C3074FD"/>
    <w:rsid w:val="4C30C14E"/>
    <w:rsid w:val="4C323208"/>
    <w:rsid w:val="4C341FF5"/>
    <w:rsid w:val="4C361DEF"/>
    <w:rsid w:val="4C37258F"/>
    <w:rsid w:val="4C40580B"/>
    <w:rsid w:val="4C40BD75"/>
    <w:rsid w:val="4C4401FF"/>
    <w:rsid w:val="4C44EB3E"/>
    <w:rsid w:val="4C544DA1"/>
    <w:rsid w:val="4C5E2633"/>
    <w:rsid w:val="4C66229F"/>
    <w:rsid w:val="4C66AB59"/>
    <w:rsid w:val="4C6988BE"/>
    <w:rsid w:val="4C7169CF"/>
    <w:rsid w:val="4C71A545"/>
    <w:rsid w:val="4C7244B2"/>
    <w:rsid w:val="4C72A30B"/>
    <w:rsid w:val="4C836B7E"/>
    <w:rsid w:val="4C8AE025"/>
    <w:rsid w:val="4C8F104C"/>
    <w:rsid w:val="4C913C8F"/>
    <w:rsid w:val="4C91FDE3"/>
    <w:rsid w:val="4C9255B2"/>
    <w:rsid w:val="4C9298D1"/>
    <w:rsid w:val="4CAB7449"/>
    <w:rsid w:val="4CAC75F8"/>
    <w:rsid w:val="4CB298D7"/>
    <w:rsid w:val="4CB40011"/>
    <w:rsid w:val="4CBB7BE1"/>
    <w:rsid w:val="4CBEAD5C"/>
    <w:rsid w:val="4CCDA0DE"/>
    <w:rsid w:val="4CCDC8F1"/>
    <w:rsid w:val="4CCE9251"/>
    <w:rsid w:val="4CD19A95"/>
    <w:rsid w:val="4CD250AD"/>
    <w:rsid w:val="4CE08AB6"/>
    <w:rsid w:val="4CE3872D"/>
    <w:rsid w:val="4CE73A6D"/>
    <w:rsid w:val="4CEA5F4A"/>
    <w:rsid w:val="4CED6A73"/>
    <w:rsid w:val="4CF22E1C"/>
    <w:rsid w:val="4CF3D27D"/>
    <w:rsid w:val="4CF4643A"/>
    <w:rsid w:val="4CF50363"/>
    <w:rsid w:val="4CF58A31"/>
    <w:rsid w:val="4CF9EDC1"/>
    <w:rsid w:val="4CFE081F"/>
    <w:rsid w:val="4D01E09D"/>
    <w:rsid w:val="4D03B007"/>
    <w:rsid w:val="4D05A81F"/>
    <w:rsid w:val="4D087947"/>
    <w:rsid w:val="4D0AD8E1"/>
    <w:rsid w:val="4D0C78E6"/>
    <w:rsid w:val="4D0D0CB8"/>
    <w:rsid w:val="4D0F511C"/>
    <w:rsid w:val="4D0FB842"/>
    <w:rsid w:val="4D14F8ED"/>
    <w:rsid w:val="4D1985CF"/>
    <w:rsid w:val="4D1D7E7E"/>
    <w:rsid w:val="4D1DBE6F"/>
    <w:rsid w:val="4D1DFF8C"/>
    <w:rsid w:val="4D1F257C"/>
    <w:rsid w:val="4D22B01A"/>
    <w:rsid w:val="4D23BB5C"/>
    <w:rsid w:val="4D23DE24"/>
    <w:rsid w:val="4D2A6B06"/>
    <w:rsid w:val="4D2AB2D9"/>
    <w:rsid w:val="4D2AD29C"/>
    <w:rsid w:val="4D2B8DF0"/>
    <w:rsid w:val="4D2EE24F"/>
    <w:rsid w:val="4D356147"/>
    <w:rsid w:val="4D3913A6"/>
    <w:rsid w:val="4D3A209F"/>
    <w:rsid w:val="4D428EFD"/>
    <w:rsid w:val="4D43A410"/>
    <w:rsid w:val="4D4F20D2"/>
    <w:rsid w:val="4D4FD2F5"/>
    <w:rsid w:val="4D53246F"/>
    <w:rsid w:val="4D5891B9"/>
    <w:rsid w:val="4D58E602"/>
    <w:rsid w:val="4D593D9C"/>
    <w:rsid w:val="4D5C59E4"/>
    <w:rsid w:val="4D5D810D"/>
    <w:rsid w:val="4D5F74E9"/>
    <w:rsid w:val="4D62A8CA"/>
    <w:rsid w:val="4D63EF00"/>
    <w:rsid w:val="4D66DB5A"/>
    <w:rsid w:val="4D688929"/>
    <w:rsid w:val="4D78C849"/>
    <w:rsid w:val="4D84377F"/>
    <w:rsid w:val="4D8611B1"/>
    <w:rsid w:val="4D86B32E"/>
    <w:rsid w:val="4D8D7655"/>
    <w:rsid w:val="4D929EC5"/>
    <w:rsid w:val="4D990E8F"/>
    <w:rsid w:val="4D9A56DA"/>
    <w:rsid w:val="4D9B648B"/>
    <w:rsid w:val="4D9B85B9"/>
    <w:rsid w:val="4D9EBD25"/>
    <w:rsid w:val="4DA31F68"/>
    <w:rsid w:val="4DA5D1E6"/>
    <w:rsid w:val="4DA7EC34"/>
    <w:rsid w:val="4DA94040"/>
    <w:rsid w:val="4DAEC421"/>
    <w:rsid w:val="4DAF671E"/>
    <w:rsid w:val="4DB0C74A"/>
    <w:rsid w:val="4DB94811"/>
    <w:rsid w:val="4DBCF87D"/>
    <w:rsid w:val="4DBCFE02"/>
    <w:rsid w:val="4DBF21EC"/>
    <w:rsid w:val="4DC0B55E"/>
    <w:rsid w:val="4DC1E662"/>
    <w:rsid w:val="4DC2831F"/>
    <w:rsid w:val="4DC5D136"/>
    <w:rsid w:val="4DC731DB"/>
    <w:rsid w:val="4DC8829D"/>
    <w:rsid w:val="4DC89D9F"/>
    <w:rsid w:val="4DC9C2C5"/>
    <w:rsid w:val="4DCEB474"/>
    <w:rsid w:val="4DD196BB"/>
    <w:rsid w:val="4DD4F534"/>
    <w:rsid w:val="4DD56981"/>
    <w:rsid w:val="4DD5E2AB"/>
    <w:rsid w:val="4DD76412"/>
    <w:rsid w:val="4DD80D1D"/>
    <w:rsid w:val="4DD89740"/>
    <w:rsid w:val="4DEAAC71"/>
    <w:rsid w:val="4DEB84B8"/>
    <w:rsid w:val="4DF20F51"/>
    <w:rsid w:val="4DFC0289"/>
    <w:rsid w:val="4DFFCD02"/>
    <w:rsid w:val="4E0295B9"/>
    <w:rsid w:val="4E08361D"/>
    <w:rsid w:val="4E0AAFC9"/>
    <w:rsid w:val="4E1DF96B"/>
    <w:rsid w:val="4E230DBF"/>
    <w:rsid w:val="4E25017F"/>
    <w:rsid w:val="4E2651BE"/>
    <w:rsid w:val="4E29D9FA"/>
    <w:rsid w:val="4E323EC4"/>
    <w:rsid w:val="4E388BCF"/>
    <w:rsid w:val="4E41F2B8"/>
    <w:rsid w:val="4E423E9D"/>
    <w:rsid w:val="4E45FB4C"/>
    <w:rsid w:val="4E49DD6E"/>
    <w:rsid w:val="4E4D28B7"/>
    <w:rsid w:val="4E4E1EB4"/>
    <w:rsid w:val="4E4FAF76"/>
    <w:rsid w:val="4E5092D8"/>
    <w:rsid w:val="4E512F80"/>
    <w:rsid w:val="4E560264"/>
    <w:rsid w:val="4E57C107"/>
    <w:rsid w:val="4E61C94D"/>
    <w:rsid w:val="4E64D887"/>
    <w:rsid w:val="4E661A87"/>
    <w:rsid w:val="4E6C3347"/>
    <w:rsid w:val="4E6F9B20"/>
    <w:rsid w:val="4E73F1AF"/>
    <w:rsid w:val="4E7676E4"/>
    <w:rsid w:val="4E7892C0"/>
    <w:rsid w:val="4E7FCB1D"/>
    <w:rsid w:val="4E855443"/>
    <w:rsid w:val="4E85AF4A"/>
    <w:rsid w:val="4E899A7E"/>
    <w:rsid w:val="4E8C01EA"/>
    <w:rsid w:val="4E90617D"/>
    <w:rsid w:val="4E931422"/>
    <w:rsid w:val="4E94770E"/>
    <w:rsid w:val="4E9B516A"/>
    <w:rsid w:val="4EA07ADF"/>
    <w:rsid w:val="4EA56625"/>
    <w:rsid w:val="4EA5C001"/>
    <w:rsid w:val="4EA6E9E7"/>
    <w:rsid w:val="4EAF17B9"/>
    <w:rsid w:val="4EBAFE8D"/>
    <w:rsid w:val="4EBF9093"/>
    <w:rsid w:val="4EBFB984"/>
    <w:rsid w:val="4EC29EEB"/>
    <w:rsid w:val="4EC9BD0D"/>
    <w:rsid w:val="4ECB377F"/>
    <w:rsid w:val="4EE4C296"/>
    <w:rsid w:val="4EE8E9E4"/>
    <w:rsid w:val="4EE9617F"/>
    <w:rsid w:val="4EEA904D"/>
    <w:rsid w:val="4EEE91B8"/>
    <w:rsid w:val="4EF03BE7"/>
    <w:rsid w:val="4EF0DE72"/>
    <w:rsid w:val="4EF1B6F8"/>
    <w:rsid w:val="4EFBE9DC"/>
    <w:rsid w:val="4F00494E"/>
    <w:rsid w:val="4F02CCBB"/>
    <w:rsid w:val="4F0A74C4"/>
    <w:rsid w:val="4F0D1607"/>
    <w:rsid w:val="4F0E5255"/>
    <w:rsid w:val="4F106A33"/>
    <w:rsid w:val="4F171D93"/>
    <w:rsid w:val="4F1E01A2"/>
    <w:rsid w:val="4F21AB2A"/>
    <w:rsid w:val="4F26550A"/>
    <w:rsid w:val="4F265C15"/>
    <w:rsid w:val="4F2718B0"/>
    <w:rsid w:val="4F2729CE"/>
    <w:rsid w:val="4F2B2F1E"/>
    <w:rsid w:val="4F2CEAA0"/>
    <w:rsid w:val="4F3044C1"/>
    <w:rsid w:val="4F32C2F4"/>
    <w:rsid w:val="4F36CB97"/>
    <w:rsid w:val="4F38AEC9"/>
    <w:rsid w:val="4F4318CF"/>
    <w:rsid w:val="4F438200"/>
    <w:rsid w:val="4F4A07B3"/>
    <w:rsid w:val="4F4B2F9E"/>
    <w:rsid w:val="4F4BA918"/>
    <w:rsid w:val="4F51B9A3"/>
    <w:rsid w:val="4F521D97"/>
    <w:rsid w:val="4F52F45E"/>
    <w:rsid w:val="4F5C0177"/>
    <w:rsid w:val="4F5CB2D1"/>
    <w:rsid w:val="4F5D6646"/>
    <w:rsid w:val="4F6262C1"/>
    <w:rsid w:val="4F642CF3"/>
    <w:rsid w:val="4F665C93"/>
    <w:rsid w:val="4F6A557F"/>
    <w:rsid w:val="4F7568CA"/>
    <w:rsid w:val="4F79521C"/>
    <w:rsid w:val="4F79F2E7"/>
    <w:rsid w:val="4F7A0CE4"/>
    <w:rsid w:val="4F82FBAC"/>
    <w:rsid w:val="4F851FFD"/>
    <w:rsid w:val="4F869AEA"/>
    <w:rsid w:val="4F877B78"/>
    <w:rsid w:val="4F8EEDDE"/>
    <w:rsid w:val="4F964FB9"/>
    <w:rsid w:val="4F9798B3"/>
    <w:rsid w:val="4FA061E1"/>
    <w:rsid w:val="4FA2AD67"/>
    <w:rsid w:val="4FA78ACE"/>
    <w:rsid w:val="4FA92954"/>
    <w:rsid w:val="4FA94A58"/>
    <w:rsid w:val="4FAADEF7"/>
    <w:rsid w:val="4FAFA682"/>
    <w:rsid w:val="4FB8722C"/>
    <w:rsid w:val="4FB902D0"/>
    <w:rsid w:val="4FC932D9"/>
    <w:rsid w:val="4FD15318"/>
    <w:rsid w:val="4FD335F9"/>
    <w:rsid w:val="4FD51CD3"/>
    <w:rsid w:val="4FD9D577"/>
    <w:rsid w:val="4FE1AEBE"/>
    <w:rsid w:val="4FE338CD"/>
    <w:rsid w:val="4FE97229"/>
    <w:rsid w:val="4FE99FB9"/>
    <w:rsid w:val="4FEAB1FC"/>
    <w:rsid w:val="4FEFB83B"/>
    <w:rsid w:val="4FF50EA1"/>
    <w:rsid w:val="4FF61FE9"/>
    <w:rsid w:val="4FFAE42A"/>
    <w:rsid w:val="4FFB8392"/>
    <w:rsid w:val="50044355"/>
    <w:rsid w:val="50070AE3"/>
    <w:rsid w:val="500849A5"/>
    <w:rsid w:val="500EA0CF"/>
    <w:rsid w:val="50119173"/>
    <w:rsid w:val="50120B6A"/>
    <w:rsid w:val="5015306C"/>
    <w:rsid w:val="5015F8B2"/>
    <w:rsid w:val="501F02B9"/>
    <w:rsid w:val="50239EE1"/>
    <w:rsid w:val="502AC049"/>
    <w:rsid w:val="502E727C"/>
    <w:rsid w:val="5032D59C"/>
    <w:rsid w:val="503588A5"/>
    <w:rsid w:val="503DD313"/>
    <w:rsid w:val="50427AA0"/>
    <w:rsid w:val="5048F0F8"/>
    <w:rsid w:val="504B683D"/>
    <w:rsid w:val="504E79DC"/>
    <w:rsid w:val="5051B908"/>
    <w:rsid w:val="50566EFF"/>
    <w:rsid w:val="5056A4BE"/>
    <w:rsid w:val="505BBA18"/>
    <w:rsid w:val="50731612"/>
    <w:rsid w:val="5078389A"/>
    <w:rsid w:val="507A515D"/>
    <w:rsid w:val="507C93C2"/>
    <w:rsid w:val="5089A5D7"/>
    <w:rsid w:val="508A095F"/>
    <w:rsid w:val="508A616C"/>
    <w:rsid w:val="508C76EB"/>
    <w:rsid w:val="508C9A86"/>
    <w:rsid w:val="508DE18D"/>
    <w:rsid w:val="508EABB5"/>
    <w:rsid w:val="5092212D"/>
    <w:rsid w:val="50930B51"/>
    <w:rsid w:val="5093ACF3"/>
    <w:rsid w:val="50958719"/>
    <w:rsid w:val="509F7446"/>
    <w:rsid w:val="50A1BB2B"/>
    <w:rsid w:val="50A7C449"/>
    <w:rsid w:val="50AD9EE7"/>
    <w:rsid w:val="50B4A111"/>
    <w:rsid w:val="50C126DD"/>
    <w:rsid w:val="50C26B0E"/>
    <w:rsid w:val="50C5FB52"/>
    <w:rsid w:val="50C74FDF"/>
    <w:rsid w:val="50CE90D0"/>
    <w:rsid w:val="50D14589"/>
    <w:rsid w:val="50DB1B4C"/>
    <w:rsid w:val="50DDF985"/>
    <w:rsid w:val="50E2AFAD"/>
    <w:rsid w:val="50E54838"/>
    <w:rsid w:val="50E5F4FA"/>
    <w:rsid w:val="50EC8A97"/>
    <w:rsid w:val="50F351B8"/>
    <w:rsid w:val="50FD7233"/>
    <w:rsid w:val="50FD7EA6"/>
    <w:rsid w:val="50FE414E"/>
    <w:rsid w:val="5101CC69"/>
    <w:rsid w:val="510534CB"/>
    <w:rsid w:val="5105BEED"/>
    <w:rsid w:val="51064A49"/>
    <w:rsid w:val="5109ABC2"/>
    <w:rsid w:val="51103E49"/>
    <w:rsid w:val="5117549B"/>
    <w:rsid w:val="5118C49A"/>
    <w:rsid w:val="51220D42"/>
    <w:rsid w:val="512795F8"/>
    <w:rsid w:val="512823EA"/>
    <w:rsid w:val="51282B2B"/>
    <w:rsid w:val="5129E902"/>
    <w:rsid w:val="512ED895"/>
    <w:rsid w:val="513866DE"/>
    <w:rsid w:val="513C560C"/>
    <w:rsid w:val="5148AD87"/>
    <w:rsid w:val="514F4B06"/>
    <w:rsid w:val="5157687D"/>
    <w:rsid w:val="515907C6"/>
    <w:rsid w:val="51600A96"/>
    <w:rsid w:val="5162366C"/>
    <w:rsid w:val="51646039"/>
    <w:rsid w:val="5164C570"/>
    <w:rsid w:val="51650B35"/>
    <w:rsid w:val="5165C54B"/>
    <w:rsid w:val="5166325F"/>
    <w:rsid w:val="516C5CCB"/>
    <w:rsid w:val="51715D2A"/>
    <w:rsid w:val="5182D8A5"/>
    <w:rsid w:val="518363F1"/>
    <w:rsid w:val="518547AD"/>
    <w:rsid w:val="5185908D"/>
    <w:rsid w:val="5192D61F"/>
    <w:rsid w:val="5199A5D5"/>
    <w:rsid w:val="519DFAC3"/>
    <w:rsid w:val="51AE424A"/>
    <w:rsid w:val="51B1A66A"/>
    <w:rsid w:val="51B46DBB"/>
    <w:rsid w:val="51B551E8"/>
    <w:rsid w:val="51BBD6DF"/>
    <w:rsid w:val="51BCC12E"/>
    <w:rsid w:val="51BE89BF"/>
    <w:rsid w:val="51CFEADF"/>
    <w:rsid w:val="51D635FB"/>
    <w:rsid w:val="51D86227"/>
    <w:rsid w:val="51D923E6"/>
    <w:rsid w:val="51E0D468"/>
    <w:rsid w:val="51E64E20"/>
    <w:rsid w:val="51EDF760"/>
    <w:rsid w:val="51EEB4B0"/>
    <w:rsid w:val="51F0427C"/>
    <w:rsid w:val="51F3BD93"/>
    <w:rsid w:val="51F3CB08"/>
    <w:rsid w:val="51F4E1F1"/>
    <w:rsid w:val="52005B6B"/>
    <w:rsid w:val="5200B5F8"/>
    <w:rsid w:val="520D5480"/>
    <w:rsid w:val="5212B494"/>
    <w:rsid w:val="5214432E"/>
    <w:rsid w:val="5218069C"/>
    <w:rsid w:val="521DE269"/>
    <w:rsid w:val="52203F93"/>
    <w:rsid w:val="5222CF90"/>
    <w:rsid w:val="52240467"/>
    <w:rsid w:val="5224E714"/>
    <w:rsid w:val="522FE230"/>
    <w:rsid w:val="5230A8FB"/>
    <w:rsid w:val="52323BEC"/>
    <w:rsid w:val="52389444"/>
    <w:rsid w:val="5239F446"/>
    <w:rsid w:val="523E33FD"/>
    <w:rsid w:val="523EE18C"/>
    <w:rsid w:val="524723D3"/>
    <w:rsid w:val="5248B99A"/>
    <w:rsid w:val="524AD40B"/>
    <w:rsid w:val="524BA31C"/>
    <w:rsid w:val="52526EF0"/>
    <w:rsid w:val="5252E0EB"/>
    <w:rsid w:val="5257A08D"/>
    <w:rsid w:val="5257CBD3"/>
    <w:rsid w:val="525C9133"/>
    <w:rsid w:val="5262618E"/>
    <w:rsid w:val="52656300"/>
    <w:rsid w:val="526A04A3"/>
    <w:rsid w:val="526BB2E6"/>
    <w:rsid w:val="5277DAC9"/>
    <w:rsid w:val="527B837B"/>
    <w:rsid w:val="527C970B"/>
    <w:rsid w:val="5284411F"/>
    <w:rsid w:val="52866D24"/>
    <w:rsid w:val="528E4F44"/>
    <w:rsid w:val="528E7D8E"/>
    <w:rsid w:val="5290D7DE"/>
    <w:rsid w:val="52932348"/>
    <w:rsid w:val="529B7798"/>
    <w:rsid w:val="529D5558"/>
    <w:rsid w:val="52A4C89C"/>
    <w:rsid w:val="52A7F13C"/>
    <w:rsid w:val="52AF05AF"/>
    <w:rsid w:val="52AF884A"/>
    <w:rsid w:val="52B4B235"/>
    <w:rsid w:val="52B649B9"/>
    <w:rsid w:val="52BCB907"/>
    <w:rsid w:val="52C9C39C"/>
    <w:rsid w:val="52CAA87A"/>
    <w:rsid w:val="52CCC264"/>
    <w:rsid w:val="52CD7294"/>
    <w:rsid w:val="52D1AB1B"/>
    <w:rsid w:val="52D66C55"/>
    <w:rsid w:val="52DA480A"/>
    <w:rsid w:val="52DC3A78"/>
    <w:rsid w:val="52DD1796"/>
    <w:rsid w:val="52DE24A9"/>
    <w:rsid w:val="52E31078"/>
    <w:rsid w:val="52E770DF"/>
    <w:rsid w:val="52E7A886"/>
    <w:rsid w:val="52EA1FDB"/>
    <w:rsid w:val="52F65EBD"/>
    <w:rsid w:val="52FF7632"/>
    <w:rsid w:val="530A0ED8"/>
    <w:rsid w:val="530D0499"/>
    <w:rsid w:val="53170AB0"/>
    <w:rsid w:val="531D0408"/>
    <w:rsid w:val="531F1A45"/>
    <w:rsid w:val="53220CCA"/>
    <w:rsid w:val="532D25B5"/>
    <w:rsid w:val="53384516"/>
    <w:rsid w:val="533C897D"/>
    <w:rsid w:val="5343D687"/>
    <w:rsid w:val="53458A18"/>
    <w:rsid w:val="53555355"/>
    <w:rsid w:val="5355B588"/>
    <w:rsid w:val="5359D33B"/>
    <w:rsid w:val="535A0392"/>
    <w:rsid w:val="53632B80"/>
    <w:rsid w:val="5368B604"/>
    <w:rsid w:val="53715A3F"/>
    <w:rsid w:val="5375572D"/>
    <w:rsid w:val="537874D2"/>
    <w:rsid w:val="537917C7"/>
    <w:rsid w:val="53833231"/>
    <w:rsid w:val="5383B999"/>
    <w:rsid w:val="53884094"/>
    <w:rsid w:val="538CD00A"/>
    <w:rsid w:val="5391D737"/>
    <w:rsid w:val="5392F609"/>
    <w:rsid w:val="5396464E"/>
    <w:rsid w:val="539695DA"/>
    <w:rsid w:val="53A1146E"/>
    <w:rsid w:val="53A4568B"/>
    <w:rsid w:val="53AA6878"/>
    <w:rsid w:val="53B57424"/>
    <w:rsid w:val="53B7007F"/>
    <w:rsid w:val="53B71EE1"/>
    <w:rsid w:val="53B83B93"/>
    <w:rsid w:val="53B9F123"/>
    <w:rsid w:val="53BEC1E5"/>
    <w:rsid w:val="53C511F8"/>
    <w:rsid w:val="53CACBF1"/>
    <w:rsid w:val="53CACD3F"/>
    <w:rsid w:val="53CEF453"/>
    <w:rsid w:val="53D82026"/>
    <w:rsid w:val="53DF00AC"/>
    <w:rsid w:val="53E95F8B"/>
    <w:rsid w:val="53EDC36D"/>
    <w:rsid w:val="53F1AF08"/>
    <w:rsid w:val="53F55375"/>
    <w:rsid w:val="53F5A9D9"/>
    <w:rsid w:val="53F8CB1A"/>
    <w:rsid w:val="53F9D37B"/>
    <w:rsid w:val="53FDF959"/>
    <w:rsid w:val="5402F5DE"/>
    <w:rsid w:val="540C32B0"/>
    <w:rsid w:val="54152B68"/>
    <w:rsid w:val="54164693"/>
    <w:rsid w:val="5416CD22"/>
    <w:rsid w:val="541FC4E1"/>
    <w:rsid w:val="542251D6"/>
    <w:rsid w:val="5425102C"/>
    <w:rsid w:val="542531A1"/>
    <w:rsid w:val="54309C80"/>
    <w:rsid w:val="543756A7"/>
    <w:rsid w:val="5440AE74"/>
    <w:rsid w:val="5442A9FA"/>
    <w:rsid w:val="544524CC"/>
    <w:rsid w:val="54464066"/>
    <w:rsid w:val="544873B4"/>
    <w:rsid w:val="54488411"/>
    <w:rsid w:val="544A4F3D"/>
    <w:rsid w:val="544DC54C"/>
    <w:rsid w:val="544E2F24"/>
    <w:rsid w:val="54503A0C"/>
    <w:rsid w:val="54525E84"/>
    <w:rsid w:val="545D4F01"/>
    <w:rsid w:val="5460F168"/>
    <w:rsid w:val="546F6ED6"/>
    <w:rsid w:val="5473B5AB"/>
    <w:rsid w:val="547776A1"/>
    <w:rsid w:val="54787645"/>
    <w:rsid w:val="547A38D1"/>
    <w:rsid w:val="547C1C12"/>
    <w:rsid w:val="547C2109"/>
    <w:rsid w:val="547F6B4B"/>
    <w:rsid w:val="54873D20"/>
    <w:rsid w:val="548D112F"/>
    <w:rsid w:val="548EC3C3"/>
    <w:rsid w:val="5492DA93"/>
    <w:rsid w:val="549AD0D2"/>
    <w:rsid w:val="549C7212"/>
    <w:rsid w:val="549CFABA"/>
    <w:rsid w:val="549F44FD"/>
    <w:rsid w:val="549F95BB"/>
    <w:rsid w:val="54A6CCDD"/>
    <w:rsid w:val="54AC6754"/>
    <w:rsid w:val="54ADE0BF"/>
    <w:rsid w:val="54B2B98E"/>
    <w:rsid w:val="54BC0004"/>
    <w:rsid w:val="54BCB91A"/>
    <w:rsid w:val="54BCDEC0"/>
    <w:rsid w:val="54C65942"/>
    <w:rsid w:val="54CDDAD2"/>
    <w:rsid w:val="54D34831"/>
    <w:rsid w:val="54D35DDA"/>
    <w:rsid w:val="54D64A42"/>
    <w:rsid w:val="54D7A480"/>
    <w:rsid w:val="54DE296C"/>
    <w:rsid w:val="54E1A827"/>
    <w:rsid w:val="54E2F8CC"/>
    <w:rsid w:val="54F397BB"/>
    <w:rsid w:val="54FA6F8E"/>
    <w:rsid w:val="54FD4B3D"/>
    <w:rsid w:val="5501861D"/>
    <w:rsid w:val="55036075"/>
    <w:rsid w:val="5507E049"/>
    <w:rsid w:val="5507ECDC"/>
    <w:rsid w:val="550850A7"/>
    <w:rsid w:val="550890F3"/>
    <w:rsid w:val="551CC3D5"/>
    <w:rsid w:val="55205172"/>
    <w:rsid w:val="5520554E"/>
    <w:rsid w:val="5521D1EE"/>
    <w:rsid w:val="55239CD4"/>
    <w:rsid w:val="5526AD0F"/>
    <w:rsid w:val="55325267"/>
    <w:rsid w:val="5534F851"/>
    <w:rsid w:val="5536B795"/>
    <w:rsid w:val="553F060D"/>
    <w:rsid w:val="5543C1F2"/>
    <w:rsid w:val="5546E630"/>
    <w:rsid w:val="554B8CDC"/>
    <w:rsid w:val="5550EED2"/>
    <w:rsid w:val="5553E31E"/>
    <w:rsid w:val="5554772D"/>
    <w:rsid w:val="555489AB"/>
    <w:rsid w:val="55562147"/>
    <w:rsid w:val="5560E4BB"/>
    <w:rsid w:val="55688C36"/>
    <w:rsid w:val="556AF16C"/>
    <w:rsid w:val="556BC74D"/>
    <w:rsid w:val="55746982"/>
    <w:rsid w:val="557D9DC8"/>
    <w:rsid w:val="557EA555"/>
    <w:rsid w:val="558102E9"/>
    <w:rsid w:val="5583C935"/>
    <w:rsid w:val="55872675"/>
    <w:rsid w:val="5588064B"/>
    <w:rsid w:val="5591FF3F"/>
    <w:rsid w:val="559848A4"/>
    <w:rsid w:val="559D4BBE"/>
    <w:rsid w:val="55A7269E"/>
    <w:rsid w:val="55A9F8EF"/>
    <w:rsid w:val="55AC2305"/>
    <w:rsid w:val="55B3721E"/>
    <w:rsid w:val="55B65339"/>
    <w:rsid w:val="55C38926"/>
    <w:rsid w:val="55C46543"/>
    <w:rsid w:val="55C5A35E"/>
    <w:rsid w:val="55CC1E8C"/>
    <w:rsid w:val="55CC78C4"/>
    <w:rsid w:val="55CFD987"/>
    <w:rsid w:val="55E135DC"/>
    <w:rsid w:val="55E140A9"/>
    <w:rsid w:val="55E3D14E"/>
    <w:rsid w:val="55E9F4C3"/>
    <w:rsid w:val="55EA3018"/>
    <w:rsid w:val="55EAF7F1"/>
    <w:rsid w:val="55ED53B9"/>
    <w:rsid w:val="55EF589A"/>
    <w:rsid w:val="55F2354E"/>
    <w:rsid w:val="55F2BAEB"/>
    <w:rsid w:val="55F4921B"/>
    <w:rsid w:val="55F551BC"/>
    <w:rsid w:val="55F7769D"/>
    <w:rsid w:val="55FD59D3"/>
    <w:rsid w:val="55FF6700"/>
    <w:rsid w:val="560222ED"/>
    <w:rsid w:val="56065DED"/>
    <w:rsid w:val="561446A0"/>
    <w:rsid w:val="56148F1F"/>
    <w:rsid w:val="561B550B"/>
    <w:rsid w:val="561C7E6C"/>
    <w:rsid w:val="56219A43"/>
    <w:rsid w:val="56230904"/>
    <w:rsid w:val="5625B17B"/>
    <w:rsid w:val="5625D0F1"/>
    <w:rsid w:val="562767F1"/>
    <w:rsid w:val="562D68CC"/>
    <w:rsid w:val="5631C029"/>
    <w:rsid w:val="563435B2"/>
    <w:rsid w:val="56350958"/>
    <w:rsid w:val="564C28F4"/>
    <w:rsid w:val="564E48AA"/>
    <w:rsid w:val="564E55D6"/>
    <w:rsid w:val="564EECCE"/>
    <w:rsid w:val="565A7865"/>
    <w:rsid w:val="5667CF37"/>
    <w:rsid w:val="566E4D53"/>
    <w:rsid w:val="566E7307"/>
    <w:rsid w:val="566EE7E2"/>
    <w:rsid w:val="5671F632"/>
    <w:rsid w:val="5673620E"/>
    <w:rsid w:val="567DA8AC"/>
    <w:rsid w:val="567F743B"/>
    <w:rsid w:val="56815B82"/>
    <w:rsid w:val="5688AEAF"/>
    <w:rsid w:val="568DB259"/>
    <w:rsid w:val="568DF692"/>
    <w:rsid w:val="5694CEF0"/>
    <w:rsid w:val="5697ACBC"/>
    <w:rsid w:val="5697CC81"/>
    <w:rsid w:val="569B05EE"/>
    <w:rsid w:val="569BFAC2"/>
    <w:rsid w:val="569D8807"/>
    <w:rsid w:val="56A1EC4D"/>
    <w:rsid w:val="56A6C0E5"/>
    <w:rsid w:val="56B44DD8"/>
    <w:rsid w:val="56B81AE4"/>
    <w:rsid w:val="56BCA334"/>
    <w:rsid w:val="56C145D4"/>
    <w:rsid w:val="56C15B45"/>
    <w:rsid w:val="56C35488"/>
    <w:rsid w:val="56C84517"/>
    <w:rsid w:val="56C961C4"/>
    <w:rsid w:val="56CAA3A7"/>
    <w:rsid w:val="56DCF88F"/>
    <w:rsid w:val="56E18BA9"/>
    <w:rsid w:val="56E2160F"/>
    <w:rsid w:val="56E97F4D"/>
    <w:rsid w:val="56ED86CF"/>
    <w:rsid w:val="56F02D5D"/>
    <w:rsid w:val="56F20F8D"/>
    <w:rsid w:val="56F3BA73"/>
    <w:rsid w:val="56F7ED3F"/>
    <w:rsid w:val="56F9304D"/>
    <w:rsid w:val="56FD6AC2"/>
    <w:rsid w:val="57025861"/>
    <w:rsid w:val="57047AB6"/>
    <w:rsid w:val="57094C0E"/>
    <w:rsid w:val="570B38C9"/>
    <w:rsid w:val="570F20DB"/>
    <w:rsid w:val="5710E395"/>
    <w:rsid w:val="57135D6A"/>
    <w:rsid w:val="571429D7"/>
    <w:rsid w:val="57183BB8"/>
    <w:rsid w:val="571A4B39"/>
    <w:rsid w:val="5723465C"/>
    <w:rsid w:val="5728775E"/>
    <w:rsid w:val="572AB9F4"/>
    <w:rsid w:val="572B84D9"/>
    <w:rsid w:val="572C9864"/>
    <w:rsid w:val="572C9CC4"/>
    <w:rsid w:val="572EA654"/>
    <w:rsid w:val="5732CB83"/>
    <w:rsid w:val="5737ADF2"/>
    <w:rsid w:val="57397680"/>
    <w:rsid w:val="5739ED9C"/>
    <w:rsid w:val="573EB511"/>
    <w:rsid w:val="57410D7F"/>
    <w:rsid w:val="574250E1"/>
    <w:rsid w:val="5742E1EA"/>
    <w:rsid w:val="57439B70"/>
    <w:rsid w:val="574AEA27"/>
    <w:rsid w:val="574D7051"/>
    <w:rsid w:val="5754AB4C"/>
    <w:rsid w:val="575C1F31"/>
    <w:rsid w:val="575D71DD"/>
    <w:rsid w:val="5760B41F"/>
    <w:rsid w:val="57613ED3"/>
    <w:rsid w:val="576C21A7"/>
    <w:rsid w:val="577361E7"/>
    <w:rsid w:val="577788A0"/>
    <w:rsid w:val="57815B43"/>
    <w:rsid w:val="578731D2"/>
    <w:rsid w:val="5788DBF6"/>
    <w:rsid w:val="57897CBE"/>
    <w:rsid w:val="578F3AEB"/>
    <w:rsid w:val="57950768"/>
    <w:rsid w:val="57A6BB5B"/>
    <w:rsid w:val="57B45A2A"/>
    <w:rsid w:val="57C5232D"/>
    <w:rsid w:val="57C5725E"/>
    <w:rsid w:val="57C5A1F3"/>
    <w:rsid w:val="57C6D955"/>
    <w:rsid w:val="57CBB26B"/>
    <w:rsid w:val="57CC7492"/>
    <w:rsid w:val="57D4D990"/>
    <w:rsid w:val="57D8CFF5"/>
    <w:rsid w:val="57DA670C"/>
    <w:rsid w:val="57DCDC27"/>
    <w:rsid w:val="57DE9860"/>
    <w:rsid w:val="57E57746"/>
    <w:rsid w:val="57F0D5C4"/>
    <w:rsid w:val="57F83FA6"/>
    <w:rsid w:val="57FFC707"/>
    <w:rsid w:val="58089BD5"/>
    <w:rsid w:val="581084CC"/>
    <w:rsid w:val="58141B38"/>
    <w:rsid w:val="58152839"/>
    <w:rsid w:val="581E90D5"/>
    <w:rsid w:val="5822F77F"/>
    <w:rsid w:val="5830C721"/>
    <w:rsid w:val="5831DDDB"/>
    <w:rsid w:val="58349841"/>
    <w:rsid w:val="583C8D7F"/>
    <w:rsid w:val="583D10EF"/>
    <w:rsid w:val="5841F779"/>
    <w:rsid w:val="584477DE"/>
    <w:rsid w:val="584E602A"/>
    <w:rsid w:val="58508FAA"/>
    <w:rsid w:val="58515BF1"/>
    <w:rsid w:val="5852564D"/>
    <w:rsid w:val="58530954"/>
    <w:rsid w:val="585C017F"/>
    <w:rsid w:val="586542AE"/>
    <w:rsid w:val="5867481E"/>
    <w:rsid w:val="58698323"/>
    <w:rsid w:val="586F9C6C"/>
    <w:rsid w:val="587095E0"/>
    <w:rsid w:val="58712E89"/>
    <w:rsid w:val="5877ED54"/>
    <w:rsid w:val="5878C048"/>
    <w:rsid w:val="587A577B"/>
    <w:rsid w:val="587E066A"/>
    <w:rsid w:val="587F8B0F"/>
    <w:rsid w:val="588838D8"/>
    <w:rsid w:val="5889A32A"/>
    <w:rsid w:val="588A07E8"/>
    <w:rsid w:val="588BCA3F"/>
    <w:rsid w:val="588D690E"/>
    <w:rsid w:val="589069DA"/>
    <w:rsid w:val="589249DF"/>
    <w:rsid w:val="589935B7"/>
    <w:rsid w:val="589D1575"/>
    <w:rsid w:val="589E1FEB"/>
    <w:rsid w:val="589E212E"/>
    <w:rsid w:val="58A0E72D"/>
    <w:rsid w:val="58AE43D8"/>
    <w:rsid w:val="58B37395"/>
    <w:rsid w:val="58B7BB55"/>
    <w:rsid w:val="58B86C8A"/>
    <w:rsid w:val="58B96E5E"/>
    <w:rsid w:val="58BB8995"/>
    <w:rsid w:val="58BC637F"/>
    <w:rsid w:val="58BD0099"/>
    <w:rsid w:val="58C2C778"/>
    <w:rsid w:val="58CD03FF"/>
    <w:rsid w:val="58D867F1"/>
    <w:rsid w:val="58D97F35"/>
    <w:rsid w:val="58DA9D7B"/>
    <w:rsid w:val="58E3AB95"/>
    <w:rsid w:val="58F2073F"/>
    <w:rsid w:val="58F44BFC"/>
    <w:rsid w:val="58F79C79"/>
    <w:rsid w:val="5901E112"/>
    <w:rsid w:val="590553D8"/>
    <w:rsid w:val="590618C0"/>
    <w:rsid w:val="5908D2DB"/>
    <w:rsid w:val="59093BCE"/>
    <w:rsid w:val="590E1AE7"/>
    <w:rsid w:val="591A886A"/>
    <w:rsid w:val="59201FC0"/>
    <w:rsid w:val="592208A4"/>
    <w:rsid w:val="59268CCB"/>
    <w:rsid w:val="59270438"/>
    <w:rsid w:val="5928CED3"/>
    <w:rsid w:val="592FC129"/>
    <w:rsid w:val="5936E5B3"/>
    <w:rsid w:val="593850B7"/>
    <w:rsid w:val="5938C1A0"/>
    <w:rsid w:val="593AD917"/>
    <w:rsid w:val="593D6B45"/>
    <w:rsid w:val="5947F2D3"/>
    <w:rsid w:val="594FC6A4"/>
    <w:rsid w:val="59518D95"/>
    <w:rsid w:val="5958F3A4"/>
    <w:rsid w:val="5959CC8E"/>
    <w:rsid w:val="5961A7E4"/>
    <w:rsid w:val="59677107"/>
    <w:rsid w:val="59682020"/>
    <w:rsid w:val="596A591B"/>
    <w:rsid w:val="596E0F8F"/>
    <w:rsid w:val="59713CD0"/>
    <w:rsid w:val="59787189"/>
    <w:rsid w:val="59791A87"/>
    <w:rsid w:val="597DBE9F"/>
    <w:rsid w:val="597F8303"/>
    <w:rsid w:val="59883CE8"/>
    <w:rsid w:val="5992AAD0"/>
    <w:rsid w:val="5999795E"/>
    <w:rsid w:val="599B99C4"/>
    <w:rsid w:val="59A1DCE8"/>
    <w:rsid w:val="59A23A38"/>
    <w:rsid w:val="59A29DCA"/>
    <w:rsid w:val="59A47FBC"/>
    <w:rsid w:val="59A9956C"/>
    <w:rsid w:val="59AB2A52"/>
    <w:rsid w:val="59B9F190"/>
    <w:rsid w:val="59BE0097"/>
    <w:rsid w:val="59BE0F42"/>
    <w:rsid w:val="59C26555"/>
    <w:rsid w:val="59C7B690"/>
    <w:rsid w:val="59C8E416"/>
    <w:rsid w:val="59C9BAFB"/>
    <w:rsid w:val="59D28A0C"/>
    <w:rsid w:val="59D2A74C"/>
    <w:rsid w:val="59DF845C"/>
    <w:rsid w:val="59DFCDA0"/>
    <w:rsid w:val="59E104C0"/>
    <w:rsid w:val="59E1BC00"/>
    <w:rsid w:val="59E73E65"/>
    <w:rsid w:val="59EB5C3A"/>
    <w:rsid w:val="59EBD0AE"/>
    <w:rsid w:val="59F14650"/>
    <w:rsid w:val="59FBED1F"/>
    <w:rsid w:val="59FC25D0"/>
    <w:rsid w:val="59FE05C1"/>
    <w:rsid w:val="5A040E03"/>
    <w:rsid w:val="5A06D29F"/>
    <w:rsid w:val="5A08CC5D"/>
    <w:rsid w:val="5A0C80FA"/>
    <w:rsid w:val="5A1C7481"/>
    <w:rsid w:val="5A1F457D"/>
    <w:rsid w:val="5A38CD64"/>
    <w:rsid w:val="5A4037FC"/>
    <w:rsid w:val="5A4F4B33"/>
    <w:rsid w:val="5A5E8940"/>
    <w:rsid w:val="5A5ED9F4"/>
    <w:rsid w:val="5A5F3D58"/>
    <w:rsid w:val="5A648A88"/>
    <w:rsid w:val="5A65D066"/>
    <w:rsid w:val="5A66E54F"/>
    <w:rsid w:val="5A6C0A1D"/>
    <w:rsid w:val="5A6E99DB"/>
    <w:rsid w:val="5A721BE9"/>
    <w:rsid w:val="5A8827F7"/>
    <w:rsid w:val="5A8F7909"/>
    <w:rsid w:val="5A9B8146"/>
    <w:rsid w:val="5A9DCE60"/>
    <w:rsid w:val="5A9DDB0B"/>
    <w:rsid w:val="5A9EA81D"/>
    <w:rsid w:val="5A9F3FCB"/>
    <w:rsid w:val="5AA1B13B"/>
    <w:rsid w:val="5AA4734F"/>
    <w:rsid w:val="5AAB1AA3"/>
    <w:rsid w:val="5AB1AF0C"/>
    <w:rsid w:val="5AB4EA40"/>
    <w:rsid w:val="5AC1D99B"/>
    <w:rsid w:val="5AC38455"/>
    <w:rsid w:val="5AC81F01"/>
    <w:rsid w:val="5ACD2DE2"/>
    <w:rsid w:val="5AD0787D"/>
    <w:rsid w:val="5ADD2836"/>
    <w:rsid w:val="5ADDDE6B"/>
    <w:rsid w:val="5AE137BA"/>
    <w:rsid w:val="5AE71E52"/>
    <w:rsid w:val="5AE94561"/>
    <w:rsid w:val="5AF1E89F"/>
    <w:rsid w:val="5AF5F5FE"/>
    <w:rsid w:val="5AFC5A0B"/>
    <w:rsid w:val="5AFFE688"/>
    <w:rsid w:val="5B01BB0F"/>
    <w:rsid w:val="5B0292E8"/>
    <w:rsid w:val="5B07F893"/>
    <w:rsid w:val="5B0D7C28"/>
    <w:rsid w:val="5B106049"/>
    <w:rsid w:val="5B157AB3"/>
    <w:rsid w:val="5B1C2798"/>
    <w:rsid w:val="5B1E8B5E"/>
    <w:rsid w:val="5B24F6BA"/>
    <w:rsid w:val="5B25E8E2"/>
    <w:rsid w:val="5B33A64D"/>
    <w:rsid w:val="5B3475AB"/>
    <w:rsid w:val="5B36BAB3"/>
    <w:rsid w:val="5B3892C1"/>
    <w:rsid w:val="5B3F5762"/>
    <w:rsid w:val="5B4061DC"/>
    <w:rsid w:val="5B41159E"/>
    <w:rsid w:val="5B41D435"/>
    <w:rsid w:val="5B41F017"/>
    <w:rsid w:val="5B42F30C"/>
    <w:rsid w:val="5B47EC2F"/>
    <w:rsid w:val="5B492D22"/>
    <w:rsid w:val="5B4B9AD5"/>
    <w:rsid w:val="5B5234B0"/>
    <w:rsid w:val="5B57E907"/>
    <w:rsid w:val="5B5A14C3"/>
    <w:rsid w:val="5B5F8506"/>
    <w:rsid w:val="5B604576"/>
    <w:rsid w:val="5B6095B9"/>
    <w:rsid w:val="5B62AE86"/>
    <w:rsid w:val="5B6666CC"/>
    <w:rsid w:val="5B6DCDE5"/>
    <w:rsid w:val="5B7015C9"/>
    <w:rsid w:val="5B745703"/>
    <w:rsid w:val="5B7BF486"/>
    <w:rsid w:val="5B7E1358"/>
    <w:rsid w:val="5B879416"/>
    <w:rsid w:val="5B885B4F"/>
    <w:rsid w:val="5B891E9A"/>
    <w:rsid w:val="5B8FA6E4"/>
    <w:rsid w:val="5B919AB0"/>
    <w:rsid w:val="5B957B40"/>
    <w:rsid w:val="5B9AC812"/>
    <w:rsid w:val="5B9BD38E"/>
    <w:rsid w:val="5BA584DD"/>
    <w:rsid w:val="5BAAF748"/>
    <w:rsid w:val="5BAD482B"/>
    <w:rsid w:val="5BB02702"/>
    <w:rsid w:val="5BB5D4E3"/>
    <w:rsid w:val="5BBB1BE2"/>
    <w:rsid w:val="5BBBA52D"/>
    <w:rsid w:val="5BBC1187"/>
    <w:rsid w:val="5BC750CA"/>
    <w:rsid w:val="5BC8429A"/>
    <w:rsid w:val="5BCCF269"/>
    <w:rsid w:val="5BD47C80"/>
    <w:rsid w:val="5BE4F2E8"/>
    <w:rsid w:val="5BEE7114"/>
    <w:rsid w:val="5BF00C26"/>
    <w:rsid w:val="5BF0A293"/>
    <w:rsid w:val="5BF4832B"/>
    <w:rsid w:val="5BF8ADC1"/>
    <w:rsid w:val="5BF9175E"/>
    <w:rsid w:val="5C051357"/>
    <w:rsid w:val="5C06B042"/>
    <w:rsid w:val="5C108846"/>
    <w:rsid w:val="5C10CBA1"/>
    <w:rsid w:val="5C142EA4"/>
    <w:rsid w:val="5C159F9E"/>
    <w:rsid w:val="5C163D37"/>
    <w:rsid w:val="5C20340B"/>
    <w:rsid w:val="5C22189B"/>
    <w:rsid w:val="5C24C911"/>
    <w:rsid w:val="5C25993B"/>
    <w:rsid w:val="5C26E046"/>
    <w:rsid w:val="5C27E6F2"/>
    <w:rsid w:val="5C2B1645"/>
    <w:rsid w:val="5C313FB0"/>
    <w:rsid w:val="5C32A263"/>
    <w:rsid w:val="5C331079"/>
    <w:rsid w:val="5C409345"/>
    <w:rsid w:val="5C49B233"/>
    <w:rsid w:val="5C4B1373"/>
    <w:rsid w:val="5C4E43A6"/>
    <w:rsid w:val="5C500303"/>
    <w:rsid w:val="5C5085C0"/>
    <w:rsid w:val="5C513478"/>
    <w:rsid w:val="5C529920"/>
    <w:rsid w:val="5C565F5F"/>
    <w:rsid w:val="5C5B4292"/>
    <w:rsid w:val="5C66B6FD"/>
    <w:rsid w:val="5C75C3E0"/>
    <w:rsid w:val="5C7972E3"/>
    <w:rsid w:val="5C7ADA7E"/>
    <w:rsid w:val="5C7DBBC0"/>
    <w:rsid w:val="5C8433E4"/>
    <w:rsid w:val="5C896C40"/>
    <w:rsid w:val="5C8B674F"/>
    <w:rsid w:val="5C8CF28D"/>
    <w:rsid w:val="5C925382"/>
    <w:rsid w:val="5C92CD6C"/>
    <w:rsid w:val="5C93E4F0"/>
    <w:rsid w:val="5C9DCDA9"/>
    <w:rsid w:val="5CA4ADBD"/>
    <w:rsid w:val="5CADA71A"/>
    <w:rsid w:val="5CB35D79"/>
    <w:rsid w:val="5CB8E5CC"/>
    <w:rsid w:val="5CB9C844"/>
    <w:rsid w:val="5CC12B5A"/>
    <w:rsid w:val="5CC4FFB1"/>
    <w:rsid w:val="5CC635A0"/>
    <w:rsid w:val="5CCEBF35"/>
    <w:rsid w:val="5CD10F9C"/>
    <w:rsid w:val="5CD440E9"/>
    <w:rsid w:val="5CD48AA1"/>
    <w:rsid w:val="5CD84402"/>
    <w:rsid w:val="5CDA44FB"/>
    <w:rsid w:val="5CDA979D"/>
    <w:rsid w:val="5CE40543"/>
    <w:rsid w:val="5CE65AE0"/>
    <w:rsid w:val="5CF2A4C2"/>
    <w:rsid w:val="5CF94774"/>
    <w:rsid w:val="5CFF606D"/>
    <w:rsid w:val="5D0BB9ED"/>
    <w:rsid w:val="5D0C7697"/>
    <w:rsid w:val="5D0EC101"/>
    <w:rsid w:val="5D0F2FC7"/>
    <w:rsid w:val="5D0F5036"/>
    <w:rsid w:val="5D10EF43"/>
    <w:rsid w:val="5D123D7E"/>
    <w:rsid w:val="5D153E9E"/>
    <w:rsid w:val="5D181104"/>
    <w:rsid w:val="5D18BE6E"/>
    <w:rsid w:val="5D191E91"/>
    <w:rsid w:val="5D1BBD90"/>
    <w:rsid w:val="5D1DE290"/>
    <w:rsid w:val="5D2343A4"/>
    <w:rsid w:val="5D390A2C"/>
    <w:rsid w:val="5D404649"/>
    <w:rsid w:val="5D4F7399"/>
    <w:rsid w:val="5D537A68"/>
    <w:rsid w:val="5D619293"/>
    <w:rsid w:val="5D64E26B"/>
    <w:rsid w:val="5D659113"/>
    <w:rsid w:val="5D68F669"/>
    <w:rsid w:val="5D6A9A65"/>
    <w:rsid w:val="5D6C82E1"/>
    <w:rsid w:val="5D6F6463"/>
    <w:rsid w:val="5D771C8E"/>
    <w:rsid w:val="5D77B5CA"/>
    <w:rsid w:val="5D77CACA"/>
    <w:rsid w:val="5D79F7C1"/>
    <w:rsid w:val="5D7D85D1"/>
    <w:rsid w:val="5D88401C"/>
    <w:rsid w:val="5D88A310"/>
    <w:rsid w:val="5D8CFAAB"/>
    <w:rsid w:val="5D8D41F4"/>
    <w:rsid w:val="5D8D5884"/>
    <w:rsid w:val="5D8F347F"/>
    <w:rsid w:val="5D920446"/>
    <w:rsid w:val="5D9C804D"/>
    <w:rsid w:val="5D9D306E"/>
    <w:rsid w:val="5D9EC884"/>
    <w:rsid w:val="5DA18E6B"/>
    <w:rsid w:val="5DA27EC6"/>
    <w:rsid w:val="5DA9190F"/>
    <w:rsid w:val="5DAAFA14"/>
    <w:rsid w:val="5DB0F183"/>
    <w:rsid w:val="5DB113E5"/>
    <w:rsid w:val="5DBA3CDE"/>
    <w:rsid w:val="5DC24997"/>
    <w:rsid w:val="5DCC7916"/>
    <w:rsid w:val="5DCDFC44"/>
    <w:rsid w:val="5DCFB86B"/>
    <w:rsid w:val="5DD5B679"/>
    <w:rsid w:val="5DE049F0"/>
    <w:rsid w:val="5DE82058"/>
    <w:rsid w:val="5DF0F133"/>
    <w:rsid w:val="5DF49F0E"/>
    <w:rsid w:val="5DF5F554"/>
    <w:rsid w:val="5DF93F38"/>
    <w:rsid w:val="5DFE7AE7"/>
    <w:rsid w:val="5DFFB516"/>
    <w:rsid w:val="5E0054B8"/>
    <w:rsid w:val="5E00D5C0"/>
    <w:rsid w:val="5E011E47"/>
    <w:rsid w:val="5E016ECC"/>
    <w:rsid w:val="5E02B334"/>
    <w:rsid w:val="5E04582A"/>
    <w:rsid w:val="5E04D2D6"/>
    <w:rsid w:val="5E0D1808"/>
    <w:rsid w:val="5E10459D"/>
    <w:rsid w:val="5E13A832"/>
    <w:rsid w:val="5E14E23C"/>
    <w:rsid w:val="5E1AA8CE"/>
    <w:rsid w:val="5E1D9B5E"/>
    <w:rsid w:val="5E21F536"/>
    <w:rsid w:val="5E26BF99"/>
    <w:rsid w:val="5E2A3D87"/>
    <w:rsid w:val="5E2BE531"/>
    <w:rsid w:val="5E33739B"/>
    <w:rsid w:val="5E3A9782"/>
    <w:rsid w:val="5E4903BD"/>
    <w:rsid w:val="5E4A258D"/>
    <w:rsid w:val="5E4A723E"/>
    <w:rsid w:val="5E512A18"/>
    <w:rsid w:val="5E58D06B"/>
    <w:rsid w:val="5E6F7778"/>
    <w:rsid w:val="5E760376"/>
    <w:rsid w:val="5E778A8E"/>
    <w:rsid w:val="5E77C781"/>
    <w:rsid w:val="5E7E55FD"/>
    <w:rsid w:val="5E817DF5"/>
    <w:rsid w:val="5E97129C"/>
    <w:rsid w:val="5E97434F"/>
    <w:rsid w:val="5E9D7FA3"/>
    <w:rsid w:val="5EA0939A"/>
    <w:rsid w:val="5EAD0AA6"/>
    <w:rsid w:val="5EAD1AC6"/>
    <w:rsid w:val="5EB5E87A"/>
    <w:rsid w:val="5EB6E1A7"/>
    <w:rsid w:val="5EBC4A50"/>
    <w:rsid w:val="5EC17F7D"/>
    <w:rsid w:val="5EC44E63"/>
    <w:rsid w:val="5EC861EC"/>
    <w:rsid w:val="5EC9C40C"/>
    <w:rsid w:val="5ED2B7C6"/>
    <w:rsid w:val="5ED549B6"/>
    <w:rsid w:val="5EDFD5E4"/>
    <w:rsid w:val="5EE5D70A"/>
    <w:rsid w:val="5EF0CCEF"/>
    <w:rsid w:val="5EF6B4A3"/>
    <w:rsid w:val="5EFA6FA9"/>
    <w:rsid w:val="5EFE3800"/>
    <w:rsid w:val="5F02B7D9"/>
    <w:rsid w:val="5F02ECF0"/>
    <w:rsid w:val="5F03FD47"/>
    <w:rsid w:val="5F08E1B0"/>
    <w:rsid w:val="5F090553"/>
    <w:rsid w:val="5F0BF36C"/>
    <w:rsid w:val="5F0D3C5B"/>
    <w:rsid w:val="5F137F89"/>
    <w:rsid w:val="5F2376A2"/>
    <w:rsid w:val="5F279B02"/>
    <w:rsid w:val="5F345679"/>
    <w:rsid w:val="5F3732B8"/>
    <w:rsid w:val="5F3BA490"/>
    <w:rsid w:val="5F3D2982"/>
    <w:rsid w:val="5F4088B8"/>
    <w:rsid w:val="5F43B814"/>
    <w:rsid w:val="5F4AB3F7"/>
    <w:rsid w:val="5F4BC740"/>
    <w:rsid w:val="5F53755F"/>
    <w:rsid w:val="5F56D93B"/>
    <w:rsid w:val="5F5FC92D"/>
    <w:rsid w:val="5F680342"/>
    <w:rsid w:val="5F69885E"/>
    <w:rsid w:val="5F6D02DC"/>
    <w:rsid w:val="5F7926CA"/>
    <w:rsid w:val="5F7B5A76"/>
    <w:rsid w:val="5F813373"/>
    <w:rsid w:val="5F821876"/>
    <w:rsid w:val="5F875CCC"/>
    <w:rsid w:val="5F8D19FA"/>
    <w:rsid w:val="5F9C9E64"/>
    <w:rsid w:val="5FA0E1F5"/>
    <w:rsid w:val="5FA1249E"/>
    <w:rsid w:val="5FA345C1"/>
    <w:rsid w:val="5FA7A799"/>
    <w:rsid w:val="5FABC5B4"/>
    <w:rsid w:val="5FAD44C6"/>
    <w:rsid w:val="5FBFFC95"/>
    <w:rsid w:val="5FC03009"/>
    <w:rsid w:val="5FC65C82"/>
    <w:rsid w:val="5FCD3B2B"/>
    <w:rsid w:val="5FCDA0DE"/>
    <w:rsid w:val="5FCFD13F"/>
    <w:rsid w:val="5FD63420"/>
    <w:rsid w:val="5FD718C2"/>
    <w:rsid w:val="5FDE6292"/>
    <w:rsid w:val="5FDE8E6A"/>
    <w:rsid w:val="5FE761E1"/>
    <w:rsid w:val="5FE8A7B5"/>
    <w:rsid w:val="5FE9B6DE"/>
    <w:rsid w:val="5FEBB242"/>
    <w:rsid w:val="5FEE2B8C"/>
    <w:rsid w:val="5FF1274C"/>
    <w:rsid w:val="5FF25DB2"/>
    <w:rsid w:val="5FF6DE4A"/>
    <w:rsid w:val="6000FC69"/>
    <w:rsid w:val="6003ACB2"/>
    <w:rsid w:val="6006A66A"/>
    <w:rsid w:val="600A4A32"/>
    <w:rsid w:val="600D1755"/>
    <w:rsid w:val="600E807C"/>
    <w:rsid w:val="600F8134"/>
    <w:rsid w:val="601187FC"/>
    <w:rsid w:val="601450A2"/>
    <w:rsid w:val="60197938"/>
    <w:rsid w:val="6021E78C"/>
    <w:rsid w:val="60227C25"/>
    <w:rsid w:val="6022BC56"/>
    <w:rsid w:val="60262DEB"/>
    <w:rsid w:val="60291880"/>
    <w:rsid w:val="60307DF3"/>
    <w:rsid w:val="603609B4"/>
    <w:rsid w:val="6038B315"/>
    <w:rsid w:val="603E016A"/>
    <w:rsid w:val="6040ECAF"/>
    <w:rsid w:val="60423512"/>
    <w:rsid w:val="6045498C"/>
    <w:rsid w:val="604EBCFD"/>
    <w:rsid w:val="605087FF"/>
    <w:rsid w:val="60528000"/>
    <w:rsid w:val="60529BB3"/>
    <w:rsid w:val="6053C7AC"/>
    <w:rsid w:val="605405F2"/>
    <w:rsid w:val="6059E900"/>
    <w:rsid w:val="6060FDC1"/>
    <w:rsid w:val="606BC6CC"/>
    <w:rsid w:val="606DC063"/>
    <w:rsid w:val="606DF1C5"/>
    <w:rsid w:val="60713A73"/>
    <w:rsid w:val="6072202C"/>
    <w:rsid w:val="6076A30D"/>
    <w:rsid w:val="60798340"/>
    <w:rsid w:val="6080838F"/>
    <w:rsid w:val="60894ECD"/>
    <w:rsid w:val="609BD9EB"/>
    <w:rsid w:val="609EA1D4"/>
    <w:rsid w:val="60A419D4"/>
    <w:rsid w:val="60A8B1E3"/>
    <w:rsid w:val="60AA0D6E"/>
    <w:rsid w:val="60AF516C"/>
    <w:rsid w:val="60AFF02C"/>
    <w:rsid w:val="60B75000"/>
    <w:rsid w:val="60B880ED"/>
    <w:rsid w:val="60B99F1A"/>
    <w:rsid w:val="60C19EB0"/>
    <w:rsid w:val="60C41BAE"/>
    <w:rsid w:val="60CA07FD"/>
    <w:rsid w:val="60D6A1A4"/>
    <w:rsid w:val="60DBBEEE"/>
    <w:rsid w:val="60DD1BED"/>
    <w:rsid w:val="60E288C3"/>
    <w:rsid w:val="60E7AB62"/>
    <w:rsid w:val="60F18505"/>
    <w:rsid w:val="60F6678A"/>
    <w:rsid w:val="60F667E9"/>
    <w:rsid w:val="60F69CA7"/>
    <w:rsid w:val="6100357D"/>
    <w:rsid w:val="6101497C"/>
    <w:rsid w:val="6103A7C1"/>
    <w:rsid w:val="6106A36C"/>
    <w:rsid w:val="610D7998"/>
    <w:rsid w:val="61108F85"/>
    <w:rsid w:val="6110B7C0"/>
    <w:rsid w:val="6110D880"/>
    <w:rsid w:val="61129BC6"/>
    <w:rsid w:val="6114D217"/>
    <w:rsid w:val="6114FAE5"/>
    <w:rsid w:val="611DA283"/>
    <w:rsid w:val="611E984C"/>
    <w:rsid w:val="611EB564"/>
    <w:rsid w:val="612811F5"/>
    <w:rsid w:val="612933AE"/>
    <w:rsid w:val="61324563"/>
    <w:rsid w:val="6133E5D2"/>
    <w:rsid w:val="613793DE"/>
    <w:rsid w:val="6138ACBF"/>
    <w:rsid w:val="614C7480"/>
    <w:rsid w:val="614C9327"/>
    <w:rsid w:val="615B590D"/>
    <w:rsid w:val="615DDA0B"/>
    <w:rsid w:val="6160799C"/>
    <w:rsid w:val="6169DDCC"/>
    <w:rsid w:val="61705E8C"/>
    <w:rsid w:val="617285DF"/>
    <w:rsid w:val="61769DDC"/>
    <w:rsid w:val="61775965"/>
    <w:rsid w:val="617D69C9"/>
    <w:rsid w:val="617DF7DE"/>
    <w:rsid w:val="617E4CA8"/>
    <w:rsid w:val="6180F14C"/>
    <w:rsid w:val="6186C117"/>
    <w:rsid w:val="618D5345"/>
    <w:rsid w:val="6192DE27"/>
    <w:rsid w:val="619D639F"/>
    <w:rsid w:val="61A09894"/>
    <w:rsid w:val="61A5E9D4"/>
    <w:rsid w:val="61A8D82F"/>
    <w:rsid w:val="61AD7A65"/>
    <w:rsid w:val="61AFC286"/>
    <w:rsid w:val="61B563F9"/>
    <w:rsid w:val="61B7D04E"/>
    <w:rsid w:val="61B90268"/>
    <w:rsid w:val="61BB90B4"/>
    <w:rsid w:val="61BBBA64"/>
    <w:rsid w:val="61BE3C23"/>
    <w:rsid w:val="61BF36DB"/>
    <w:rsid w:val="61C7E777"/>
    <w:rsid w:val="61D6EB78"/>
    <w:rsid w:val="61D98F16"/>
    <w:rsid w:val="61E40252"/>
    <w:rsid w:val="61E44EC5"/>
    <w:rsid w:val="61EC0062"/>
    <w:rsid w:val="61F05B0A"/>
    <w:rsid w:val="61F82705"/>
    <w:rsid w:val="61F84943"/>
    <w:rsid w:val="62000C1D"/>
    <w:rsid w:val="6200849A"/>
    <w:rsid w:val="620A3204"/>
    <w:rsid w:val="620D5DBC"/>
    <w:rsid w:val="621AA5B8"/>
    <w:rsid w:val="621C399C"/>
    <w:rsid w:val="6221A7C9"/>
    <w:rsid w:val="6223A220"/>
    <w:rsid w:val="622DF5C2"/>
    <w:rsid w:val="622E93CA"/>
    <w:rsid w:val="622F7EFA"/>
    <w:rsid w:val="62396692"/>
    <w:rsid w:val="624033BD"/>
    <w:rsid w:val="62408935"/>
    <w:rsid w:val="6242AD34"/>
    <w:rsid w:val="6244DEE5"/>
    <w:rsid w:val="62493656"/>
    <w:rsid w:val="6249DDC0"/>
    <w:rsid w:val="624AB0EB"/>
    <w:rsid w:val="624B009F"/>
    <w:rsid w:val="624F1000"/>
    <w:rsid w:val="62561DF2"/>
    <w:rsid w:val="625C8568"/>
    <w:rsid w:val="626199D6"/>
    <w:rsid w:val="626567EE"/>
    <w:rsid w:val="6265BB6B"/>
    <w:rsid w:val="6265E802"/>
    <w:rsid w:val="626F5370"/>
    <w:rsid w:val="626F98BE"/>
    <w:rsid w:val="627A2F15"/>
    <w:rsid w:val="628599AE"/>
    <w:rsid w:val="628CA1DF"/>
    <w:rsid w:val="628E60A5"/>
    <w:rsid w:val="628F4F9D"/>
    <w:rsid w:val="6294DB27"/>
    <w:rsid w:val="62A3C4F5"/>
    <w:rsid w:val="62B08397"/>
    <w:rsid w:val="62B17EAC"/>
    <w:rsid w:val="62BC9CBE"/>
    <w:rsid w:val="62C65234"/>
    <w:rsid w:val="62C78C90"/>
    <w:rsid w:val="62C8FCB0"/>
    <w:rsid w:val="62D0F89A"/>
    <w:rsid w:val="62D27B14"/>
    <w:rsid w:val="62DA9DF6"/>
    <w:rsid w:val="62DBD485"/>
    <w:rsid w:val="62DD9BFD"/>
    <w:rsid w:val="62E32AA4"/>
    <w:rsid w:val="62E488DC"/>
    <w:rsid w:val="62E5F1C9"/>
    <w:rsid w:val="62EA52D1"/>
    <w:rsid w:val="62EE4477"/>
    <w:rsid w:val="62F749F2"/>
    <w:rsid w:val="62F94074"/>
    <w:rsid w:val="62FC97B7"/>
    <w:rsid w:val="63002FA1"/>
    <w:rsid w:val="6300517F"/>
    <w:rsid w:val="630B224A"/>
    <w:rsid w:val="6314074B"/>
    <w:rsid w:val="6316AB70"/>
    <w:rsid w:val="631C75BD"/>
    <w:rsid w:val="6322DB7D"/>
    <w:rsid w:val="63256F09"/>
    <w:rsid w:val="6336806E"/>
    <w:rsid w:val="6336BA07"/>
    <w:rsid w:val="6338ED75"/>
    <w:rsid w:val="633E2702"/>
    <w:rsid w:val="634285C9"/>
    <w:rsid w:val="634BE5C6"/>
    <w:rsid w:val="635178C5"/>
    <w:rsid w:val="63575927"/>
    <w:rsid w:val="635B786A"/>
    <w:rsid w:val="63674F81"/>
    <w:rsid w:val="636ACA7A"/>
    <w:rsid w:val="6379BE90"/>
    <w:rsid w:val="637B9740"/>
    <w:rsid w:val="6380AA05"/>
    <w:rsid w:val="638A41E2"/>
    <w:rsid w:val="638C13CC"/>
    <w:rsid w:val="638D65E3"/>
    <w:rsid w:val="6396DA0D"/>
    <w:rsid w:val="6398B4C8"/>
    <w:rsid w:val="639AFA88"/>
    <w:rsid w:val="63A54E0A"/>
    <w:rsid w:val="63A89B88"/>
    <w:rsid w:val="63B3385A"/>
    <w:rsid w:val="63B6F242"/>
    <w:rsid w:val="63B89968"/>
    <w:rsid w:val="63B9EF7C"/>
    <w:rsid w:val="63BA3EE4"/>
    <w:rsid w:val="63C151F4"/>
    <w:rsid w:val="63CE5445"/>
    <w:rsid w:val="63D2AC14"/>
    <w:rsid w:val="63D89E34"/>
    <w:rsid w:val="63D8F996"/>
    <w:rsid w:val="63DA1588"/>
    <w:rsid w:val="63DD96DB"/>
    <w:rsid w:val="63E0A232"/>
    <w:rsid w:val="63E226B3"/>
    <w:rsid w:val="63E4ADD4"/>
    <w:rsid w:val="63EAE2AD"/>
    <w:rsid w:val="63EF7B7B"/>
    <w:rsid w:val="63EF91F0"/>
    <w:rsid w:val="63F9B709"/>
    <w:rsid w:val="63FA03FB"/>
    <w:rsid w:val="63FCB1C0"/>
    <w:rsid w:val="63FDFE8F"/>
    <w:rsid w:val="640144BE"/>
    <w:rsid w:val="6401E747"/>
    <w:rsid w:val="64054D32"/>
    <w:rsid w:val="64059AAE"/>
    <w:rsid w:val="640D7285"/>
    <w:rsid w:val="640ED62C"/>
    <w:rsid w:val="6411FCE1"/>
    <w:rsid w:val="64128533"/>
    <w:rsid w:val="641E1ADA"/>
    <w:rsid w:val="642389D5"/>
    <w:rsid w:val="64253999"/>
    <w:rsid w:val="6427DF88"/>
    <w:rsid w:val="642A6C2E"/>
    <w:rsid w:val="642B3456"/>
    <w:rsid w:val="642EE693"/>
    <w:rsid w:val="643030EE"/>
    <w:rsid w:val="6437069A"/>
    <w:rsid w:val="643994BF"/>
    <w:rsid w:val="64399B6A"/>
    <w:rsid w:val="64407790"/>
    <w:rsid w:val="6447F02E"/>
    <w:rsid w:val="644B7397"/>
    <w:rsid w:val="644CE3CB"/>
    <w:rsid w:val="645A5204"/>
    <w:rsid w:val="6464AD9E"/>
    <w:rsid w:val="64668FE4"/>
    <w:rsid w:val="6469B4F7"/>
    <w:rsid w:val="646FEABA"/>
    <w:rsid w:val="6478ACBC"/>
    <w:rsid w:val="647AFE4F"/>
    <w:rsid w:val="647B47E2"/>
    <w:rsid w:val="647FF463"/>
    <w:rsid w:val="64883ED7"/>
    <w:rsid w:val="6488D3CC"/>
    <w:rsid w:val="64895D5C"/>
    <w:rsid w:val="648A0508"/>
    <w:rsid w:val="648E7B42"/>
    <w:rsid w:val="648EE0B2"/>
    <w:rsid w:val="64911DB9"/>
    <w:rsid w:val="64943323"/>
    <w:rsid w:val="6494ABDD"/>
    <w:rsid w:val="6496EF2C"/>
    <w:rsid w:val="64979512"/>
    <w:rsid w:val="6498368A"/>
    <w:rsid w:val="649A9DE8"/>
    <w:rsid w:val="649AB0B7"/>
    <w:rsid w:val="649CA15D"/>
    <w:rsid w:val="649D79CB"/>
    <w:rsid w:val="64A24F45"/>
    <w:rsid w:val="64A47A62"/>
    <w:rsid w:val="64AD3900"/>
    <w:rsid w:val="64B00AC7"/>
    <w:rsid w:val="64B6C044"/>
    <w:rsid w:val="64BC402F"/>
    <w:rsid w:val="64C47D9F"/>
    <w:rsid w:val="64CC7D86"/>
    <w:rsid w:val="64D349C9"/>
    <w:rsid w:val="64DC089A"/>
    <w:rsid w:val="64DCAFA7"/>
    <w:rsid w:val="64DF59EF"/>
    <w:rsid w:val="64E5F9C4"/>
    <w:rsid w:val="64EDD4E7"/>
    <w:rsid w:val="64EE93CF"/>
    <w:rsid w:val="64F8D1D2"/>
    <w:rsid w:val="65043FF5"/>
    <w:rsid w:val="650AE5D5"/>
    <w:rsid w:val="650AF887"/>
    <w:rsid w:val="650BFF18"/>
    <w:rsid w:val="650DBD68"/>
    <w:rsid w:val="650FEA2B"/>
    <w:rsid w:val="65104E83"/>
    <w:rsid w:val="651A5B18"/>
    <w:rsid w:val="65218C4E"/>
    <w:rsid w:val="65225B3D"/>
    <w:rsid w:val="6526A241"/>
    <w:rsid w:val="65286A89"/>
    <w:rsid w:val="652E7268"/>
    <w:rsid w:val="65364057"/>
    <w:rsid w:val="6536DA75"/>
    <w:rsid w:val="65387B54"/>
    <w:rsid w:val="65396EC3"/>
    <w:rsid w:val="653D2345"/>
    <w:rsid w:val="6540EF10"/>
    <w:rsid w:val="6545B589"/>
    <w:rsid w:val="6548DD05"/>
    <w:rsid w:val="6552E452"/>
    <w:rsid w:val="655316C9"/>
    <w:rsid w:val="6556E083"/>
    <w:rsid w:val="65597687"/>
    <w:rsid w:val="655D2002"/>
    <w:rsid w:val="655E949A"/>
    <w:rsid w:val="656D1982"/>
    <w:rsid w:val="656FF08E"/>
    <w:rsid w:val="6573C7BE"/>
    <w:rsid w:val="65770E68"/>
    <w:rsid w:val="65800E36"/>
    <w:rsid w:val="6586476D"/>
    <w:rsid w:val="65866E7D"/>
    <w:rsid w:val="65879958"/>
    <w:rsid w:val="658F5875"/>
    <w:rsid w:val="6591FC7C"/>
    <w:rsid w:val="65954BD8"/>
    <w:rsid w:val="659841B4"/>
    <w:rsid w:val="6599D0CD"/>
    <w:rsid w:val="65A17A97"/>
    <w:rsid w:val="65A19D77"/>
    <w:rsid w:val="65AB915C"/>
    <w:rsid w:val="65B20FF1"/>
    <w:rsid w:val="65B3EAF5"/>
    <w:rsid w:val="65B67FC6"/>
    <w:rsid w:val="65B802F2"/>
    <w:rsid w:val="65B98C18"/>
    <w:rsid w:val="65C8FBDB"/>
    <w:rsid w:val="65D5EB91"/>
    <w:rsid w:val="65D71770"/>
    <w:rsid w:val="65DEDB42"/>
    <w:rsid w:val="65E4D866"/>
    <w:rsid w:val="65E6EF9F"/>
    <w:rsid w:val="65EF5EDE"/>
    <w:rsid w:val="65F7BCB7"/>
    <w:rsid w:val="65F8EF96"/>
    <w:rsid w:val="65FCBFE0"/>
    <w:rsid w:val="65FFDE2D"/>
    <w:rsid w:val="660CD647"/>
    <w:rsid w:val="660D2BA1"/>
    <w:rsid w:val="660F4DAE"/>
    <w:rsid w:val="6611CDAC"/>
    <w:rsid w:val="6615CF2D"/>
    <w:rsid w:val="66174B80"/>
    <w:rsid w:val="661DE168"/>
    <w:rsid w:val="6625C20C"/>
    <w:rsid w:val="66277B60"/>
    <w:rsid w:val="6628ED5A"/>
    <w:rsid w:val="662D34F7"/>
    <w:rsid w:val="662F8153"/>
    <w:rsid w:val="66385CAE"/>
    <w:rsid w:val="6638C86A"/>
    <w:rsid w:val="663D0D02"/>
    <w:rsid w:val="663FABCF"/>
    <w:rsid w:val="6640C0EA"/>
    <w:rsid w:val="664375ED"/>
    <w:rsid w:val="6645B6B2"/>
    <w:rsid w:val="664A19B3"/>
    <w:rsid w:val="664A457A"/>
    <w:rsid w:val="664D383C"/>
    <w:rsid w:val="66519C68"/>
    <w:rsid w:val="6654FADE"/>
    <w:rsid w:val="665F7BE8"/>
    <w:rsid w:val="66612C29"/>
    <w:rsid w:val="666C213A"/>
    <w:rsid w:val="666E9A03"/>
    <w:rsid w:val="6674323F"/>
    <w:rsid w:val="66752CBF"/>
    <w:rsid w:val="667BD634"/>
    <w:rsid w:val="667E0251"/>
    <w:rsid w:val="668268E7"/>
    <w:rsid w:val="66860605"/>
    <w:rsid w:val="668D1FF3"/>
    <w:rsid w:val="668D4E81"/>
    <w:rsid w:val="668DE64D"/>
    <w:rsid w:val="66987C13"/>
    <w:rsid w:val="6699C998"/>
    <w:rsid w:val="669A2526"/>
    <w:rsid w:val="669A9389"/>
    <w:rsid w:val="66A18DD3"/>
    <w:rsid w:val="66A50E96"/>
    <w:rsid w:val="66A6CA7C"/>
    <w:rsid w:val="66A88C05"/>
    <w:rsid w:val="66AD9505"/>
    <w:rsid w:val="66B60CBC"/>
    <w:rsid w:val="66B8FF6E"/>
    <w:rsid w:val="66B94B0D"/>
    <w:rsid w:val="66BADC48"/>
    <w:rsid w:val="66BE97E5"/>
    <w:rsid w:val="66C0F320"/>
    <w:rsid w:val="66C57A4F"/>
    <w:rsid w:val="66C65068"/>
    <w:rsid w:val="66C988EF"/>
    <w:rsid w:val="66CB5866"/>
    <w:rsid w:val="66D69F01"/>
    <w:rsid w:val="66DACCE2"/>
    <w:rsid w:val="66DBB211"/>
    <w:rsid w:val="66DDFC5A"/>
    <w:rsid w:val="66DF3170"/>
    <w:rsid w:val="66DF3777"/>
    <w:rsid w:val="66E076CA"/>
    <w:rsid w:val="66E2C781"/>
    <w:rsid w:val="66F8445A"/>
    <w:rsid w:val="66FC77DB"/>
    <w:rsid w:val="6704AE6A"/>
    <w:rsid w:val="67088356"/>
    <w:rsid w:val="670F2C93"/>
    <w:rsid w:val="671B15A2"/>
    <w:rsid w:val="6723009E"/>
    <w:rsid w:val="67231361"/>
    <w:rsid w:val="6724848E"/>
    <w:rsid w:val="672AFECA"/>
    <w:rsid w:val="672B9E5C"/>
    <w:rsid w:val="673171E4"/>
    <w:rsid w:val="6736E4C9"/>
    <w:rsid w:val="673B02A6"/>
    <w:rsid w:val="6743B897"/>
    <w:rsid w:val="6744D5C8"/>
    <w:rsid w:val="67451AA2"/>
    <w:rsid w:val="6757AF56"/>
    <w:rsid w:val="675AE4E9"/>
    <w:rsid w:val="67604E3B"/>
    <w:rsid w:val="67618C45"/>
    <w:rsid w:val="676BB8A0"/>
    <w:rsid w:val="677AA2C9"/>
    <w:rsid w:val="677FD687"/>
    <w:rsid w:val="67822911"/>
    <w:rsid w:val="67847FE3"/>
    <w:rsid w:val="6790B32E"/>
    <w:rsid w:val="67929E98"/>
    <w:rsid w:val="679AA12B"/>
    <w:rsid w:val="67A46658"/>
    <w:rsid w:val="67A84E27"/>
    <w:rsid w:val="67A85694"/>
    <w:rsid w:val="67AA7C07"/>
    <w:rsid w:val="67AFD9C3"/>
    <w:rsid w:val="67B87920"/>
    <w:rsid w:val="67BCF9DC"/>
    <w:rsid w:val="67BED08A"/>
    <w:rsid w:val="67CD16AD"/>
    <w:rsid w:val="67CE00E0"/>
    <w:rsid w:val="67CF7141"/>
    <w:rsid w:val="67D16BE0"/>
    <w:rsid w:val="67D28211"/>
    <w:rsid w:val="67DAB0B9"/>
    <w:rsid w:val="67DD264F"/>
    <w:rsid w:val="67E06222"/>
    <w:rsid w:val="67E4C533"/>
    <w:rsid w:val="67E4E1FF"/>
    <w:rsid w:val="67E55563"/>
    <w:rsid w:val="67EC6B9D"/>
    <w:rsid w:val="67EE20D0"/>
    <w:rsid w:val="67EFF4BF"/>
    <w:rsid w:val="67F09A96"/>
    <w:rsid w:val="67F2E11C"/>
    <w:rsid w:val="67F2E797"/>
    <w:rsid w:val="67F45478"/>
    <w:rsid w:val="67F6C70C"/>
    <w:rsid w:val="67F7FCB5"/>
    <w:rsid w:val="67FD5FCB"/>
    <w:rsid w:val="68026510"/>
    <w:rsid w:val="68071425"/>
    <w:rsid w:val="68089640"/>
    <w:rsid w:val="680B0B49"/>
    <w:rsid w:val="680B7C88"/>
    <w:rsid w:val="680D6246"/>
    <w:rsid w:val="680F93A0"/>
    <w:rsid w:val="68108A75"/>
    <w:rsid w:val="68109434"/>
    <w:rsid w:val="6811789C"/>
    <w:rsid w:val="68125388"/>
    <w:rsid w:val="68143266"/>
    <w:rsid w:val="6814E7DF"/>
    <w:rsid w:val="6819DDC1"/>
    <w:rsid w:val="6819E840"/>
    <w:rsid w:val="682201E2"/>
    <w:rsid w:val="682BE2A0"/>
    <w:rsid w:val="68350EB5"/>
    <w:rsid w:val="6840AD92"/>
    <w:rsid w:val="684603BD"/>
    <w:rsid w:val="6848DDE1"/>
    <w:rsid w:val="6849728A"/>
    <w:rsid w:val="684B90DA"/>
    <w:rsid w:val="684BD058"/>
    <w:rsid w:val="684C8E1B"/>
    <w:rsid w:val="684D9CD6"/>
    <w:rsid w:val="685476AF"/>
    <w:rsid w:val="68579B70"/>
    <w:rsid w:val="685F7195"/>
    <w:rsid w:val="68620AEA"/>
    <w:rsid w:val="6862826A"/>
    <w:rsid w:val="686394D3"/>
    <w:rsid w:val="68647F39"/>
    <w:rsid w:val="6864C961"/>
    <w:rsid w:val="68671EB6"/>
    <w:rsid w:val="6868BFE8"/>
    <w:rsid w:val="686B5EF6"/>
    <w:rsid w:val="686CF517"/>
    <w:rsid w:val="686E9FFD"/>
    <w:rsid w:val="68701D36"/>
    <w:rsid w:val="68727931"/>
    <w:rsid w:val="687504E3"/>
    <w:rsid w:val="687BF5DB"/>
    <w:rsid w:val="6884290B"/>
    <w:rsid w:val="688467CB"/>
    <w:rsid w:val="6884FAF7"/>
    <w:rsid w:val="688E4C28"/>
    <w:rsid w:val="6893560E"/>
    <w:rsid w:val="689711C4"/>
    <w:rsid w:val="68973386"/>
    <w:rsid w:val="68974F21"/>
    <w:rsid w:val="68988E34"/>
    <w:rsid w:val="68A8BE85"/>
    <w:rsid w:val="68A9794C"/>
    <w:rsid w:val="68AE1DE7"/>
    <w:rsid w:val="68AF7AD0"/>
    <w:rsid w:val="68B05A4C"/>
    <w:rsid w:val="68B06AE8"/>
    <w:rsid w:val="68B5DF2E"/>
    <w:rsid w:val="68B89CDE"/>
    <w:rsid w:val="68C1AC0F"/>
    <w:rsid w:val="68C6BBBD"/>
    <w:rsid w:val="68C6DD3E"/>
    <w:rsid w:val="68CE6702"/>
    <w:rsid w:val="68D96D81"/>
    <w:rsid w:val="68DF5424"/>
    <w:rsid w:val="68E1662F"/>
    <w:rsid w:val="68E4C4BC"/>
    <w:rsid w:val="68E58161"/>
    <w:rsid w:val="68E64FF0"/>
    <w:rsid w:val="68E67F43"/>
    <w:rsid w:val="68E8CA4F"/>
    <w:rsid w:val="68EC8C3A"/>
    <w:rsid w:val="68ED0089"/>
    <w:rsid w:val="68EE96FD"/>
    <w:rsid w:val="68F15C8F"/>
    <w:rsid w:val="68F9398B"/>
    <w:rsid w:val="68FF7899"/>
    <w:rsid w:val="68FFC45F"/>
    <w:rsid w:val="69021949"/>
    <w:rsid w:val="6902BD4C"/>
    <w:rsid w:val="6904955F"/>
    <w:rsid w:val="6908304C"/>
    <w:rsid w:val="690C05DE"/>
    <w:rsid w:val="691AC4B1"/>
    <w:rsid w:val="691E6E1A"/>
    <w:rsid w:val="6927B62A"/>
    <w:rsid w:val="6928822A"/>
    <w:rsid w:val="69307D3C"/>
    <w:rsid w:val="69320E09"/>
    <w:rsid w:val="6939E658"/>
    <w:rsid w:val="693C1111"/>
    <w:rsid w:val="693CFA52"/>
    <w:rsid w:val="6942AFBA"/>
    <w:rsid w:val="69457301"/>
    <w:rsid w:val="6951B0C8"/>
    <w:rsid w:val="695FD382"/>
    <w:rsid w:val="696018E2"/>
    <w:rsid w:val="69609287"/>
    <w:rsid w:val="69611649"/>
    <w:rsid w:val="6963A705"/>
    <w:rsid w:val="6965C09D"/>
    <w:rsid w:val="69666F13"/>
    <w:rsid w:val="696B9559"/>
    <w:rsid w:val="696CD2B2"/>
    <w:rsid w:val="696DBFB6"/>
    <w:rsid w:val="696E95FE"/>
    <w:rsid w:val="696FFBF8"/>
    <w:rsid w:val="6975E949"/>
    <w:rsid w:val="69763AE4"/>
    <w:rsid w:val="697E5145"/>
    <w:rsid w:val="69809824"/>
    <w:rsid w:val="6981BECD"/>
    <w:rsid w:val="69835944"/>
    <w:rsid w:val="69872E21"/>
    <w:rsid w:val="698C9514"/>
    <w:rsid w:val="698EAD70"/>
    <w:rsid w:val="6991FFBC"/>
    <w:rsid w:val="69953A6B"/>
    <w:rsid w:val="69AD40FE"/>
    <w:rsid w:val="69B2A5B4"/>
    <w:rsid w:val="69B7F37F"/>
    <w:rsid w:val="69BD66BC"/>
    <w:rsid w:val="69BE330E"/>
    <w:rsid w:val="69BEE84D"/>
    <w:rsid w:val="69C0EE2C"/>
    <w:rsid w:val="69C69157"/>
    <w:rsid w:val="69CA7BC4"/>
    <w:rsid w:val="69CABA92"/>
    <w:rsid w:val="69CB8672"/>
    <w:rsid w:val="69D8F2FA"/>
    <w:rsid w:val="69D9308D"/>
    <w:rsid w:val="69DB2364"/>
    <w:rsid w:val="69DD0D0B"/>
    <w:rsid w:val="69DF8560"/>
    <w:rsid w:val="69E3FAE7"/>
    <w:rsid w:val="69E50157"/>
    <w:rsid w:val="69E89C49"/>
    <w:rsid w:val="69E8BB0B"/>
    <w:rsid w:val="69E96FA8"/>
    <w:rsid w:val="69EFEFA5"/>
    <w:rsid w:val="69F7562B"/>
    <w:rsid w:val="69FA4776"/>
    <w:rsid w:val="69FF4323"/>
    <w:rsid w:val="6A046333"/>
    <w:rsid w:val="6A061648"/>
    <w:rsid w:val="6A0B65D9"/>
    <w:rsid w:val="6A104E71"/>
    <w:rsid w:val="6A1AA73E"/>
    <w:rsid w:val="6A1F95F8"/>
    <w:rsid w:val="6A20A883"/>
    <w:rsid w:val="6A22E337"/>
    <w:rsid w:val="6A245860"/>
    <w:rsid w:val="6A24AD2B"/>
    <w:rsid w:val="6A26D46C"/>
    <w:rsid w:val="6A2C4AFB"/>
    <w:rsid w:val="6A2F4BC0"/>
    <w:rsid w:val="6A362FD8"/>
    <w:rsid w:val="6A373C16"/>
    <w:rsid w:val="6A3CFFF3"/>
    <w:rsid w:val="6A3F9D28"/>
    <w:rsid w:val="6A4140F4"/>
    <w:rsid w:val="6A431961"/>
    <w:rsid w:val="6A50F3E2"/>
    <w:rsid w:val="6A52F910"/>
    <w:rsid w:val="6A53C16B"/>
    <w:rsid w:val="6A58A781"/>
    <w:rsid w:val="6A58DAF3"/>
    <w:rsid w:val="6A5CAFE7"/>
    <w:rsid w:val="6A61827C"/>
    <w:rsid w:val="6A631CF8"/>
    <w:rsid w:val="6A649BC4"/>
    <w:rsid w:val="6A657719"/>
    <w:rsid w:val="6A6656B1"/>
    <w:rsid w:val="6A6858EB"/>
    <w:rsid w:val="6A68C876"/>
    <w:rsid w:val="6A6A99A5"/>
    <w:rsid w:val="6A6E6EE8"/>
    <w:rsid w:val="6A77D99B"/>
    <w:rsid w:val="6A7C9F0D"/>
    <w:rsid w:val="6A7FEFFD"/>
    <w:rsid w:val="6A831A74"/>
    <w:rsid w:val="6A848B69"/>
    <w:rsid w:val="6A85CA0E"/>
    <w:rsid w:val="6A86F9E4"/>
    <w:rsid w:val="6A8EF270"/>
    <w:rsid w:val="6A9470BE"/>
    <w:rsid w:val="6A9625B2"/>
    <w:rsid w:val="6A9626CC"/>
    <w:rsid w:val="6A96E064"/>
    <w:rsid w:val="6A978AFD"/>
    <w:rsid w:val="6A98ABE7"/>
    <w:rsid w:val="6A990025"/>
    <w:rsid w:val="6AA11EBC"/>
    <w:rsid w:val="6AA148B3"/>
    <w:rsid w:val="6AA2F265"/>
    <w:rsid w:val="6AA690A2"/>
    <w:rsid w:val="6AA7D05B"/>
    <w:rsid w:val="6AAC9902"/>
    <w:rsid w:val="6AAF28C2"/>
    <w:rsid w:val="6AB20E3E"/>
    <w:rsid w:val="6AC00636"/>
    <w:rsid w:val="6AC1B9AD"/>
    <w:rsid w:val="6AC3C5B1"/>
    <w:rsid w:val="6AC69489"/>
    <w:rsid w:val="6ACD7828"/>
    <w:rsid w:val="6AD8652E"/>
    <w:rsid w:val="6AE5C3CD"/>
    <w:rsid w:val="6AE61824"/>
    <w:rsid w:val="6AE7B1A8"/>
    <w:rsid w:val="6AE92331"/>
    <w:rsid w:val="6AE9A1F2"/>
    <w:rsid w:val="6AE9DC2F"/>
    <w:rsid w:val="6AEE8D0B"/>
    <w:rsid w:val="6AEEE85C"/>
    <w:rsid w:val="6AF17B1A"/>
    <w:rsid w:val="6AF9708D"/>
    <w:rsid w:val="6B0B5320"/>
    <w:rsid w:val="6B12D381"/>
    <w:rsid w:val="6B167D08"/>
    <w:rsid w:val="6B1C3B61"/>
    <w:rsid w:val="6B21F015"/>
    <w:rsid w:val="6B233281"/>
    <w:rsid w:val="6B2E51D5"/>
    <w:rsid w:val="6B323813"/>
    <w:rsid w:val="6B36D911"/>
    <w:rsid w:val="6B3904CF"/>
    <w:rsid w:val="6B3D0A40"/>
    <w:rsid w:val="6B3E372C"/>
    <w:rsid w:val="6B3FABFC"/>
    <w:rsid w:val="6B448A9D"/>
    <w:rsid w:val="6B4496D7"/>
    <w:rsid w:val="6B46FAC7"/>
    <w:rsid w:val="6B47D536"/>
    <w:rsid w:val="6B48A518"/>
    <w:rsid w:val="6B4D4D6D"/>
    <w:rsid w:val="6B4E7921"/>
    <w:rsid w:val="6B4F48BB"/>
    <w:rsid w:val="6B59CDB2"/>
    <w:rsid w:val="6B5CC758"/>
    <w:rsid w:val="6B5D0865"/>
    <w:rsid w:val="6B5EDEDB"/>
    <w:rsid w:val="6B602D98"/>
    <w:rsid w:val="6B66B171"/>
    <w:rsid w:val="6B68CA98"/>
    <w:rsid w:val="6B695070"/>
    <w:rsid w:val="6B77F9CA"/>
    <w:rsid w:val="6B7C6C4C"/>
    <w:rsid w:val="6B7D4055"/>
    <w:rsid w:val="6B8139A9"/>
    <w:rsid w:val="6B824246"/>
    <w:rsid w:val="6B8433BC"/>
    <w:rsid w:val="6B96A6E2"/>
    <w:rsid w:val="6B9B0795"/>
    <w:rsid w:val="6B9F7C11"/>
    <w:rsid w:val="6BA55B4E"/>
    <w:rsid w:val="6BA76A4E"/>
    <w:rsid w:val="6BA8D69F"/>
    <w:rsid w:val="6BA925B4"/>
    <w:rsid w:val="6BAA29E1"/>
    <w:rsid w:val="6BACE493"/>
    <w:rsid w:val="6BAD6098"/>
    <w:rsid w:val="6BB12350"/>
    <w:rsid w:val="6BB13CEF"/>
    <w:rsid w:val="6BB75DFE"/>
    <w:rsid w:val="6BBA69F0"/>
    <w:rsid w:val="6BD89677"/>
    <w:rsid w:val="6BDBB919"/>
    <w:rsid w:val="6BDCC29B"/>
    <w:rsid w:val="6BDE38A0"/>
    <w:rsid w:val="6BDF616C"/>
    <w:rsid w:val="6BE4D645"/>
    <w:rsid w:val="6BE628EA"/>
    <w:rsid w:val="6BE742AC"/>
    <w:rsid w:val="6BEE3A6D"/>
    <w:rsid w:val="6BF12CAD"/>
    <w:rsid w:val="6BF9A5EA"/>
    <w:rsid w:val="6C041351"/>
    <w:rsid w:val="6C06F116"/>
    <w:rsid w:val="6C08946A"/>
    <w:rsid w:val="6C0A4C70"/>
    <w:rsid w:val="6C0DFD01"/>
    <w:rsid w:val="6C13ABE6"/>
    <w:rsid w:val="6C1987FF"/>
    <w:rsid w:val="6C1B1DD3"/>
    <w:rsid w:val="6C1C1A3A"/>
    <w:rsid w:val="6C1F7372"/>
    <w:rsid w:val="6C1FDD1D"/>
    <w:rsid w:val="6C208AE8"/>
    <w:rsid w:val="6C27FE36"/>
    <w:rsid w:val="6C2A02EC"/>
    <w:rsid w:val="6C2D91D7"/>
    <w:rsid w:val="6C317B17"/>
    <w:rsid w:val="6C3DC8C7"/>
    <w:rsid w:val="6C3EC52C"/>
    <w:rsid w:val="6C3FCEA3"/>
    <w:rsid w:val="6C48B235"/>
    <w:rsid w:val="6C4C0164"/>
    <w:rsid w:val="6C53D777"/>
    <w:rsid w:val="6C5F8CAF"/>
    <w:rsid w:val="6C6511BC"/>
    <w:rsid w:val="6C65FD05"/>
    <w:rsid w:val="6C685D26"/>
    <w:rsid w:val="6C69EC02"/>
    <w:rsid w:val="6C6A30F5"/>
    <w:rsid w:val="6C6BC7DE"/>
    <w:rsid w:val="6C6C9FA5"/>
    <w:rsid w:val="6C77DC11"/>
    <w:rsid w:val="6C78A272"/>
    <w:rsid w:val="6C78A4CC"/>
    <w:rsid w:val="6C7CD065"/>
    <w:rsid w:val="6C7E422F"/>
    <w:rsid w:val="6C831E5D"/>
    <w:rsid w:val="6C884B74"/>
    <w:rsid w:val="6C8995CB"/>
    <w:rsid w:val="6C8F4C16"/>
    <w:rsid w:val="6C964DB0"/>
    <w:rsid w:val="6C9A7691"/>
    <w:rsid w:val="6C9E35FB"/>
    <w:rsid w:val="6CABB6AE"/>
    <w:rsid w:val="6CAC3105"/>
    <w:rsid w:val="6CACC49B"/>
    <w:rsid w:val="6CAD9117"/>
    <w:rsid w:val="6CB12632"/>
    <w:rsid w:val="6CB4615F"/>
    <w:rsid w:val="6CB46FEF"/>
    <w:rsid w:val="6CB494B8"/>
    <w:rsid w:val="6CB80975"/>
    <w:rsid w:val="6CB890AD"/>
    <w:rsid w:val="6CBA221E"/>
    <w:rsid w:val="6CBBFD53"/>
    <w:rsid w:val="6CBCFD4B"/>
    <w:rsid w:val="6CC58826"/>
    <w:rsid w:val="6CC9A0D6"/>
    <w:rsid w:val="6CCC6E33"/>
    <w:rsid w:val="6CCD38F8"/>
    <w:rsid w:val="6CE9918A"/>
    <w:rsid w:val="6CED9331"/>
    <w:rsid w:val="6CF2F6DA"/>
    <w:rsid w:val="6CF6A69D"/>
    <w:rsid w:val="6CFD66AF"/>
    <w:rsid w:val="6D002BA0"/>
    <w:rsid w:val="6D006247"/>
    <w:rsid w:val="6D015B35"/>
    <w:rsid w:val="6D020DBB"/>
    <w:rsid w:val="6D03B3C6"/>
    <w:rsid w:val="6D0C0934"/>
    <w:rsid w:val="6D119DB8"/>
    <w:rsid w:val="6D11FF13"/>
    <w:rsid w:val="6D140D65"/>
    <w:rsid w:val="6D175E0D"/>
    <w:rsid w:val="6D1A9B1B"/>
    <w:rsid w:val="6D1AE6BD"/>
    <w:rsid w:val="6D2B7261"/>
    <w:rsid w:val="6D3106DA"/>
    <w:rsid w:val="6D33B85C"/>
    <w:rsid w:val="6D349C45"/>
    <w:rsid w:val="6D3C1263"/>
    <w:rsid w:val="6D3C4EA3"/>
    <w:rsid w:val="6D3CC40F"/>
    <w:rsid w:val="6D3F7508"/>
    <w:rsid w:val="6D4E311B"/>
    <w:rsid w:val="6D4EF4A6"/>
    <w:rsid w:val="6D53927E"/>
    <w:rsid w:val="6D55DC0C"/>
    <w:rsid w:val="6D5978EC"/>
    <w:rsid w:val="6D5A7704"/>
    <w:rsid w:val="6D5D6D09"/>
    <w:rsid w:val="6D5FBFC3"/>
    <w:rsid w:val="6D62E40A"/>
    <w:rsid w:val="6D6703DA"/>
    <w:rsid w:val="6D69204B"/>
    <w:rsid w:val="6D72F027"/>
    <w:rsid w:val="6D84C693"/>
    <w:rsid w:val="6D878074"/>
    <w:rsid w:val="6D912E97"/>
    <w:rsid w:val="6D931736"/>
    <w:rsid w:val="6D946CB4"/>
    <w:rsid w:val="6D94F8DB"/>
    <w:rsid w:val="6D9735CB"/>
    <w:rsid w:val="6D9D77DA"/>
    <w:rsid w:val="6DA01104"/>
    <w:rsid w:val="6DA0788C"/>
    <w:rsid w:val="6DA87DE4"/>
    <w:rsid w:val="6DADA555"/>
    <w:rsid w:val="6DB02FCE"/>
    <w:rsid w:val="6DB3D04F"/>
    <w:rsid w:val="6DB96099"/>
    <w:rsid w:val="6DC1A129"/>
    <w:rsid w:val="6DC1C113"/>
    <w:rsid w:val="6DC3ACF3"/>
    <w:rsid w:val="6DC5D5E3"/>
    <w:rsid w:val="6DC64204"/>
    <w:rsid w:val="6DCA7C95"/>
    <w:rsid w:val="6DCBD550"/>
    <w:rsid w:val="6DCC3B65"/>
    <w:rsid w:val="6DD69D64"/>
    <w:rsid w:val="6DDA8DF4"/>
    <w:rsid w:val="6DDFD6BC"/>
    <w:rsid w:val="6DE000D7"/>
    <w:rsid w:val="6DE1E20D"/>
    <w:rsid w:val="6DE1FA71"/>
    <w:rsid w:val="6DE25D31"/>
    <w:rsid w:val="6DE2E31B"/>
    <w:rsid w:val="6DE35B05"/>
    <w:rsid w:val="6DE3D27C"/>
    <w:rsid w:val="6DE7B677"/>
    <w:rsid w:val="6DE8D795"/>
    <w:rsid w:val="6DF7A915"/>
    <w:rsid w:val="6DFF57F6"/>
    <w:rsid w:val="6DFFA864"/>
    <w:rsid w:val="6E02D6BA"/>
    <w:rsid w:val="6E0C239C"/>
    <w:rsid w:val="6E0CC1BA"/>
    <w:rsid w:val="6E0CED3C"/>
    <w:rsid w:val="6E0EABA2"/>
    <w:rsid w:val="6E11BC98"/>
    <w:rsid w:val="6E14B604"/>
    <w:rsid w:val="6E14E5BD"/>
    <w:rsid w:val="6E17BAD5"/>
    <w:rsid w:val="6E185C37"/>
    <w:rsid w:val="6E18AEFE"/>
    <w:rsid w:val="6E19D4F3"/>
    <w:rsid w:val="6E1A28D4"/>
    <w:rsid w:val="6E1A5959"/>
    <w:rsid w:val="6E20107D"/>
    <w:rsid w:val="6E201BF0"/>
    <w:rsid w:val="6E208C35"/>
    <w:rsid w:val="6E26FAF2"/>
    <w:rsid w:val="6E31777F"/>
    <w:rsid w:val="6E31C67A"/>
    <w:rsid w:val="6E336336"/>
    <w:rsid w:val="6E33E96A"/>
    <w:rsid w:val="6E35EF92"/>
    <w:rsid w:val="6E43AD54"/>
    <w:rsid w:val="6E479255"/>
    <w:rsid w:val="6E495EE8"/>
    <w:rsid w:val="6E4976BC"/>
    <w:rsid w:val="6E4A2633"/>
    <w:rsid w:val="6E5337EB"/>
    <w:rsid w:val="6E5623A2"/>
    <w:rsid w:val="6E5B2336"/>
    <w:rsid w:val="6E61AA9B"/>
    <w:rsid w:val="6E72913B"/>
    <w:rsid w:val="6E72CE2B"/>
    <w:rsid w:val="6E75E32A"/>
    <w:rsid w:val="6E7751E5"/>
    <w:rsid w:val="6E7B4329"/>
    <w:rsid w:val="6E7D11EE"/>
    <w:rsid w:val="6E7D215A"/>
    <w:rsid w:val="6E87E4DF"/>
    <w:rsid w:val="6E8A97E1"/>
    <w:rsid w:val="6E98F035"/>
    <w:rsid w:val="6E9A0D11"/>
    <w:rsid w:val="6E9C7F67"/>
    <w:rsid w:val="6EA2133D"/>
    <w:rsid w:val="6EA38F1C"/>
    <w:rsid w:val="6EA57021"/>
    <w:rsid w:val="6EA85102"/>
    <w:rsid w:val="6EAA5EB4"/>
    <w:rsid w:val="6EAB6E3C"/>
    <w:rsid w:val="6EABBCEC"/>
    <w:rsid w:val="6EB29059"/>
    <w:rsid w:val="6EB3624D"/>
    <w:rsid w:val="6EB6C533"/>
    <w:rsid w:val="6EB77B87"/>
    <w:rsid w:val="6EBA43BB"/>
    <w:rsid w:val="6EBDED00"/>
    <w:rsid w:val="6EBE44A5"/>
    <w:rsid w:val="6EBF602A"/>
    <w:rsid w:val="6EC13E5B"/>
    <w:rsid w:val="6EC2379B"/>
    <w:rsid w:val="6EC26345"/>
    <w:rsid w:val="6EC37BEB"/>
    <w:rsid w:val="6ECA991F"/>
    <w:rsid w:val="6ECC3106"/>
    <w:rsid w:val="6ED0053A"/>
    <w:rsid w:val="6ED7EA16"/>
    <w:rsid w:val="6ED8B3B1"/>
    <w:rsid w:val="6EE17CE4"/>
    <w:rsid w:val="6EE3DF6C"/>
    <w:rsid w:val="6EE6EA67"/>
    <w:rsid w:val="6EE883A5"/>
    <w:rsid w:val="6EF6E520"/>
    <w:rsid w:val="6EFB8A37"/>
    <w:rsid w:val="6EFE2E05"/>
    <w:rsid w:val="6F00ED4B"/>
    <w:rsid w:val="6F013674"/>
    <w:rsid w:val="6F066637"/>
    <w:rsid w:val="6F06D913"/>
    <w:rsid w:val="6F07F56A"/>
    <w:rsid w:val="6F084B36"/>
    <w:rsid w:val="6F0DBAC7"/>
    <w:rsid w:val="6F0F0CDD"/>
    <w:rsid w:val="6F101DFA"/>
    <w:rsid w:val="6F1600F9"/>
    <w:rsid w:val="6F1D4789"/>
    <w:rsid w:val="6F1E8FD0"/>
    <w:rsid w:val="6F24D714"/>
    <w:rsid w:val="6F2963A9"/>
    <w:rsid w:val="6F2F7F57"/>
    <w:rsid w:val="6F376B01"/>
    <w:rsid w:val="6F4164C1"/>
    <w:rsid w:val="6F41D920"/>
    <w:rsid w:val="6F46F261"/>
    <w:rsid w:val="6F472C21"/>
    <w:rsid w:val="6F4847AC"/>
    <w:rsid w:val="6F486E67"/>
    <w:rsid w:val="6F48ED1F"/>
    <w:rsid w:val="6F4A2B63"/>
    <w:rsid w:val="6F4A7FC8"/>
    <w:rsid w:val="6F4C7BC9"/>
    <w:rsid w:val="6F5014EA"/>
    <w:rsid w:val="6F50CB94"/>
    <w:rsid w:val="6F520F62"/>
    <w:rsid w:val="6F551811"/>
    <w:rsid w:val="6F558715"/>
    <w:rsid w:val="6F586300"/>
    <w:rsid w:val="6F65C3DB"/>
    <w:rsid w:val="6F680712"/>
    <w:rsid w:val="6F69C8E1"/>
    <w:rsid w:val="6F6CC7D3"/>
    <w:rsid w:val="6F7084FC"/>
    <w:rsid w:val="6F7F6704"/>
    <w:rsid w:val="6F835FBA"/>
    <w:rsid w:val="6F8E8074"/>
    <w:rsid w:val="6F927B3C"/>
    <w:rsid w:val="6FA5A429"/>
    <w:rsid w:val="6FA80DB0"/>
    <w:rsid w:val="6FA9C543"/>
    <w:rsid w:val="6FAC401C"/>
    <w:rsid w:val="6FAF86B4"/>
    <w:rsid w:val="6FB080F9"/>
    <w:rsid w:val="6FB18616"/>
    <w:rsid w:val="6FB70D18"/>
    <w:rsid w:val="6FC10EA4"/>
    <w:rsid w:val="6FC21EBE"/>
    <w:rsid w:val="6FC5F4B3"/>
    <w:rsid w:val="6FC80939"/>
    <w:rsid w:val="6FCB53F5"/>
    <w:rsid w:val="6FCC2F0B"/>
    <w:rsid w:val="6FD0AADC"/>
    <w:rsid w:val="6FD6FD84"/>
    <w:rsid w:val="6FE7886D"/>
    <w:rsid w:val="6FEE507E"/>
    <w:rsid w:val="6FF19E09"/>
    <w:rsid w:val="6FF28803"/>
    <w:rsid w:val="6FF3E114"/>
    <w:rsid w:val="6FF94842"/>
    <w:rsid w:val="6FFD135F"/>
    <w:rsid w:val="70002C24"/>
    <w:rsid w:val="700730CA"/>
    <w:rsid w:val="70081140"/>
    <w:rsid w:val="70157D54"/>
    <w:rsid w:val="7016841B"/>
    <w:rsid w:val="701B3185"/>
    <w:rsid w:val="701D5881"/>
    <w:rsid w:val="701F072D"/>
    <w:rsid w:val="70223B25"/>
    <w:rsid w:val="7026D068"/>
    <w:rsid w:val="7026D8D6"/>
    <w:rsid w:val="70282A7A"/>
    <w:rsid w:val="70295E4E"/>
    <w:rsid w:val="7029D877"/>
    <w:rsid w:val="7035DFA4"/>
    <w:rsid w:val="7036364D"/>
    <w:rsid w:val="7040184B"/>
    <w:rsid w:val="70481914"/>
    <w:rsid w:val="704B1DA7"/>
    <w:rsid w:val="704BF4F3"/>
    <w:rsid w:val="704D364F"/>
    <w:rsid w:val="7053B54A"/>
    <w:rsid w:val="705EF6FC"/>
    <w:rsid w:val="7062577F"/>
    <w:rsid w:val="70660AC0"/>
    <w:rsid w:val="706BFB72"/>
    <w:rsid w:val="707415F8"/>
    <w:rsid w:val="7077D871"/>
    <w:rsid w:val="707A9474"/>
    <w:rsid w:val="707EF359"/>
    <w:rsid w:val="70821070"/>
    <w:rsid w:val="70842213"/>
    <w:rsid w:val="7089D21F"/>
    <w:rsid w:val="708C46BF"/>
    <w:rsid w:val="70913687"/>
    <w:rsid w:val="7092AA9C"/>
    <w:rsid w:val="7092C744"/>
    <w:rsid w:val="70944495"/>
    <w:rsid w:val="70947314"/>
    <w:rsid w:val="709B1C14"/>
    <w:rsid w:val="70A390A5"/>
    <w:rsid w:val="70AD6EFE"/>
    <w:rsid w:val="70B284F1"/>
    <w:rsid w:val="70B5934D"/>
    <w:rsid w:val="70B9E7BF"/>
    <w:rsid w:val="70BC39D8"/>
    <w:rsid w:val="70BE2F35"/>
    <w:rsid w:val="70BFCB51"/>
    <w:rsid w:val="70C43BB7"/>
    <w:rsid w:val="70C5ED31"/>
    <w:rsid w:val="70C90160"/>
    <w:rsid w:val="70CC2246"/>
    <w:rsid w:val="70D25BA5"/>
    <w:rsid w:val="70D55C2C"/>
    <w:rsid w:val="70DA717E"/>
    <w:rsid w:val="70DB5F68"/>
    <w:rsid w:val="70E71E56"/>
    <w:rsid w:val="70E8742E"/>
    <w:rsid w:val="70EE33FD"/>
    <w:rsid w:val="70F3085A"/>
    <w:rsid w:val="70F4D70E"/>
    <w:rsid w:val="70FC4889"/>
    <w:rsid w:val="70FEB6B8"/>
    <w:rsid w:val="7104329E"/>
    <w:rsid w:val="71047772"/>
    <w:rsid w:val="710764EF"/>
    <w:rsid w:val="710EC2D6"/>
    <w:rsid w:val="711D7D88"/>
    <w:rsid w:val="711FA8E5"/>
    <w:rsid w:val="711FE876"/>
    <w:rsid w:val="71234882"/>
    <w:rsid w:val="71250582"/>
    <w:rsid w:val="712E1031"/>
    <w:rsid w:val="712F34F3"/>
    <w:rsid w:val="713DCEDF"/>
    <w:rsid w:val="7144431A"/>
    <w:rsid w:val="71466F72"/>
    <w:rsid w:val="715AD590"/>
    <w:rsid w:val="71603DB3"/>
    <w:rsid w:val="7160A3ED"/>
    <w:rsid w:val="716246D2"/>
    <w:rsid w:val="716CF712"/>
    <w:rsid w:val="716DA69D"/>
    <w:rsid w:val="7170A78A"/>
    <w:rsid w:val="71720A0C"/>
    <w:rsid w:val="717482E5"/>
    <w:rsid w:val="71753B44"/>
    <w:rsid w:val="71787B13"/>
    <w:rsid w:val="717B0073"/>
    <w:rsid w:val="7180C59A"/>
    <w:rsid w:val="7183EF04"/>
    <w:rsid w:val="718D263A"/>
    <w:rsid w:val="718E5A51"/>
    <w:rsid w:val="71930F80"/>
    <w:rsid w:val="71988B3E"/>
    <w:rsid w:val="71993854"/>
    <w:rsid w:val="71A144A6"/>
    <w:rsid w:val="71A6E19B"/>
    <w:rsid w:val="71B0C40F"/>
    <w:rsid w:val="71BAB311"/>
    <w:rsid w:val="71BCA62D"/>
    <w:rsid w:val="71C42F18"/>
    <w:rsid w:val="71CA792B"/>
    <w:rsid w:val="71D18AE7"/>
    <w:rsid w:val="71DCE760"/>
    <w:rsid w:val="71DE1D74"/>
    <w:rsid w:val="71E072C7"/>
    <w:rsid w:val="71E112DC"/>
    <w:rsid w:val="71E17BE7"/>
    <w:rsid w:val="71E2A6C1"/>
    <w:rsid w:val="71E36BF7"/>
    <w:rsid w:val="71E79E5D"/>
    <w:rsid w:val="71E8EEAC"/>
    <w:rsid w:val="71E9B56F"/>
    <w:rsid w:val="71EA4058"/>
    <w:rsid w:val="71EC508E"/>
    <w:rsid w:val="71EE94D7"/>
    <w:rsid w:val="71EFA2F1"/>
    <w:rsid w:val="71F6A637"/>
    <w:rsid w:val="71F8BD46"/>
    <w:rsid w:val="71F9668A"/>
    <w:rsid w:val="71FD7686"/>
    <w:rsid w:val="71FE56DC"/>
    <w:rsid w:val="7203494E"/>
    <w:rsid w:val="72056B3A"/>
    <w:rsid w:val="72058F45"/>
    <w:rsid w:val="72077789"/>
    <w:rsid w:val="720839F7"/>
    <w:rsid w:val="7209DC43"/>
    <w:rsid w:val="72116F67"/>
    <w:rsid w:val="721999A7"/>
    <w:rsid w:val="722673DF"/>
    <w:rsid w:val="722F7072"/>
    <w:rsid w:val="7238038A"/>
    <w:rsid w:val="723EE214"/>
    <w:rsid w:val="724114A8"/>
    <w:rsid w:val="7242FEE7"/>
    <w:rsid w:val="7244D6A6"/>
    <w:rsid w:val="7244F74F"/>
    <w:rsid w:val="7249BD15"/>
    <w:rsid w:val="724D2A5A"/>
    <w:rsid w:val="725CFE6B"/>
    <w:rsid w:val="725F4E6E"/>
    <w:rsid w:val="7263EC65"/>
    <w:rsid w:val="727323BA"/>
    <w:rsid w:val="727A0FE0"/>
    <w:rsid w:val="72843192"/>
    <w:rsid w:val="72896074"/>
    <w:rsid w:val="728E3179"/>
    <w:rsid w:val="728FA51F"/>
    <w:rsid w:val="7292E2F7"/>
    <w:rsid w:val="72943EFF"/>
    <w:rsid w:val="729C59CB"/>
    <w:rsid w:val="72A8555C"/>
    <w:rsid w:val="72A96C34"/>
    <w:rsid w:val="72AD4D90"/>
    <w:rsid w:val="72B082DE"/>
    <w:rsid w:val="72B652DD"/>
    <w:rsid w:val="72B69EC2"/>
    <w:rsid w:val="72B9BE07"/>
    <w:rsid w:val="72C01A28"/>
    <w:rsid w:val="72C0E373"/>
    <w:rsid w:val="72C13E14"/>
    <w:rsid w:val="72CEC40B"/>
    <w:rsid w:val="72CF1F81"/>
    <w:rsid w:val="72DB9506"/>
    <w:rsid w:val="72DBC1D9"/>
    <w:rsid w:val="72DBFE48"/>
    <w:rsid w:val="72DC1B50"/>
    <w:rsid w:val="72DDF170"/>
    <w:rsid w:val="72DE0A3A"/>
    <w:rsid w:val="72E51FBD"/>
    <w:rsid w:val="72F75E09"/>
    <w:rsid w:val="73002D23"/>
    <w:rsid w:val="730A8423"/>
    <w:rsid w:val="73115B37"/>
    <w:rsid w:val="73181227"/>
    <w:rsid w:val="7318D7AC"/>
    <w:rsid w:val="73219C95"/>
    <w:rsid w:val="732A3CDC"/>
    <w:rsid w:val="732E4A38"/>
    <w:rsid w:val="73311370"/>
    <w:rsid w:val="73317527"/>
    <w:rsid w:val="7333796A"/>
    <w:rsid w:val="7334E422"/>
    <w:rsid w:val="7337E68F"/>
    <w:rsid w:val="733B16D8"/>
    <w:rsid w:val="733E13BC"/>
    <w:rsid w:val="733E2B9B"/>
    <w:rsid w:val="7347CA69"/>
    <w:rsid w:val="734C4047"/>
    <w:rsid w:val="734FEF28"/>
    <w:rsid w:val="7355DA32"/>
    <w:rsid w:val="7356D2EF"/>
    <w:rsid w:val="7365AA9A"/>
    <w:rsid w:val="7367D579"/>
    <w:rsid w:val="736E3BDB"/>
    <w:rsid w:val="7375D51B"/>
    <w:rsid w:val="737B4159"/>
    <w:rsid w:val="737BE7CB"/>
    <w:rsid w:val="737E67DF"/>
    <w:rsid w:val="73837DB1"/>
    <w:rsid w:val="73859F85"/>
    <w:rsid w:val="73878AD6"/>
    <w:rsid w:val="7389EABF"/>
    <w:rsid w:val="738FFD10"/>
    <w:rsid w:val="73910410"/>
    <w:rsid w:val="7398CD88"/>
    <w:rsid w:val="739B8F88"/>
    <w:rsid w:val="73A1654A"/>
    <w:rsid w:val="73A2A02E"/>
    <w:rsid w:val="73A9DE5A"/>
    <w:rsid w:val="73AB94D1"/>
    <w:rsid w:val="73AC72FE"/>
    <w:rsid w:val="73B22DCD"/>
    <w:rsid w:val="73BD0061"/>
    <w:rsid w:val="73BD4F4D"/>
    <w:rsid w:val="73C05BC4"/>
    <w:rsid w:val="73C49708"/>
    <w:rsid w:val="73C7448F"/>
    <w:rsid w:val="73D3BCD4"/>
    <w:rsid w:val="73D4328C"/>
    <w:rsid w:val="73D47947"/>
    <w:rsid w:val="73D67931"/>
    <w:rsid w:val="73E164BC"/>
    <w:rsid w:val="73E59548"/>
    <w:rsid w:val="73E68606"/>
    <w:rsid w:val="73EB409C"/>
    <w:rsid w:val="73ECEF5B"/>
    <w:rsid w:val="73ED6B9C"/>
    <w:rsid w:val="73EEC3DF"/>
    <w:rsid w:val="73F0A13B"/>
    <w:rsid w:val="73F42961"/>
    <w:rsid w:val="73F4F563"/>
    <w:rsid w:val="73F76C6F"/>
    <w:rsid w:val="73FAC0F6"/>
    <w:rsid w:val="73FE3319"/>
    <w:rsid w:val="7402D81B"/>
    <w:rsid w:val="7408F005"/>
    <w:rsid w:val="740F0984"/>
    <w:rsid w:val="7414F935"/>
    <w:rsid w:val="7415D505"/>
    <w:rsid w:val="7417FC97"/>
    <w:rsid w:val="741817DB"/>
    <w:rsid w:val="74202245"/>
    <w:rsid w:val="7420CEBA"/>
    <w:rsid w:val="742145CF"/>
    <w:rsid w:val="74279BAD"/>
    <w:rsid w:val="74284788"/>
    <w:rsid w:val="7428B87F"/>
    <w:rsid w:val="74392FE3"/>
    <w:rsid w:val="7445B7D1"/>
    <w:rsid w:val="744CF0DC"/>
    <w:rsid w:val="744FD532"/>
    <w:rsid w:val="74506C3A"/>
    <w:rsid w:val="74573D18"/>
    <w:rsid w:val="7460B52A"/>
    <w:rsid w:val="74658B8D"/>
    <w:rsid w:val="74765200"/>
    <w:rsid w:val="747689A6"/>
    <w:rsid w:val="747CE05F"/>
    <w:rsid w:val="7484DD8B"/>
    <w:rsid w:val="7484DDEF"/>
    <w:rsid w:val="748B57DF"/>
    <w:rsid w:val="748FFB84"/>
    <w:rsid w:val="74917DF8"/>
    <w:rsid w:val="74A23E5F"/>
    <w:rsid w:val="74A70F05"/>
    <w:rsid w:val="74AE4952"/>
    <w:rsid w:val="74B346CE"/>
    <w:rsid w:val="74B5E5AF"/>
    <w:rsid w:val="74B71CED"/>
    <w:rsid w:val="74C12E4F"/>
    <w:rsid w:val="74C351BF"/>
    <w:rsid w:val="74CCECF8"/>
    <w:rsid w:val="74CEF207"/>
    <w:rsid w:val="74D1A927"/>
    <w:rsid w:val="74D26EFB"/>
    <w:rsid w:val="74D69CC4"/>
    <w:rsid w:val="74DB5CE3"/>
    <w:rsid w:val="74DC5186"/>
    <w:rsid w:val="74DEBBB9"/>
    <w:rsid w:val="74E2CC26"/>
    <w:rsid w:val="74E4DD7E"/>
    <w:rsid w:val="74E5E969"/>
    <w:rsid w:val="74E7A855"/>
    <w:rsid w:val="74E7E8EA"/>
    <w:rsid w:val="74E8C541"/>
    <w:rsid w:val="74EAC9A6"/>
    <w:rsid w:val="74EDBE08"/>
    <w:rsid w:val="74FA9F29"/>
    <w:rsid w:val="7504A719"/>
    <w:rsid w:val="7505CE76"/>
    <w:rsid w:val="75136258"/>
    <w:rsid w:val="7518640B"/>
    <w:rsid w:val="751EA0CE"/>
    <w:rsid w:val="751F92EB"/>
    <w:rsid w:val="752539B5"/>
    <w:rsid w:val="75312B27"/>
    <w:rsid w:val="75332778"/>
    <w:rsid w:val="75428DCB"/>
    <w:rsid w:val="7542E368"/>
    <w:rsid w:val="75441816"/>
    <w:rsid w:val="754627B5"/>
    <w:rsid w:val="754EBB5F"/>
    <w:rsid w:val="7550D55C"/>
    <w:rsid w:val="7551854A"/>
    <w:rsid w:val="75547C05"/>
    <w:rsid w:val="75550C7F"/>
    <w:rsid w:val="755EE8BE"/>
    <w:rsid w:val="75609BA8"/>
    <w:rsid w:val="7561E325"/>
    <w:rsid w:val="7563CE07"/>
    <w:rsid w:val="7573AA42"/>
    <w:rsid w:val="7575A4C7"/>
    <w:rsid w:val="7578350F"/>
    <w:rsid w:val="757C2E57"/>
    <w:rsid w:val="757F3647"/>
    <w:rsid w:val="758A6A00"/>
    <w:rsid w:val="759350D9"/>
    <w:rsid w:val="7597018D"/>
    <w:rsid w:val="759770EC"/>
    <w:rsid w:val="7599B21E"/>
    <w:rsid w:val="75A04B4F"/>
    <w:rsid w:val="75A412C0"/>
    <w:rsid w:val="75A6BC1F"/>
    <w:rsid w:val="75A923B1"/>
    <w:rsid w:val="75AD0978"/>
    <w:rsid w:val="75ADBAD5"/>
    <w:rsid w:val="75BE38E1"/>
    <w:rsid w:val="75C59B05"/>
    <w:rsid w:val="75C6099B"/>
    <w:rsid w:val="75C6125B"/>
    <w:rsid w:val="75C8F4B2"/>
    <w:rsid w:val="75CD0FAB"/>
    <w:rsid w:val="75CD1FF3"/>
    <w:rsid w:val="75CEAF29"/>
    <w:rsid w:val="75D17D6F"/>
    <w:rsid w:val="75D345D9"/>
    <w:rsid w:val="75D6F1BC"/>
    <w:rsid w:val="75D7A656"/>
    <w:rsid w:val="75D8E3ED"/>
    <w:rsid w:val="75DA4EA9"/>
    <w:rsid w:val="75DB0444"/>
    <w:rsid w:val="75DE72BA"/>
    <w:rsid w:val="75DF9EF4"/>
    <w:rsid w:val="75E597FC"/>
    <w:rsid w:val="75F59F00"/>
    <w:rsid w:val="75F8B213"/>
    <w:rsid w:val="7601E58C"/>
    <w:rsid w:val="76031123"/>
    <w:rsid w:val="7607596E"/>
    <w:rsid w:val="76077698"/>
    <w:rsid w:val="760B4CFD"/>
    <w:rsid w:val="760CE1E5"/>
    <w:rsid w:val="760ECC0C"/>
    <w:rsid w:val="760FE001"/>
    <w:rsid w:val="761379E8"/>
    <w:rsid w:val="7614D6C4"/>
    <w:rsid w:val="761B2516"/>
    <w:rsid w:val="761BB028"/>
    <w:rsid w:val="761BF72B"/>
    <w:rsid w:val="761CF458"/>
    <w:rsid w:val="7620BE8B"/>
    <w:rsid w:val="762515E5"/>
    <w:rsid w:val="7627F12C"/>
    <w:rsid w:val="762E29E1"/>
    <w:rsid w:val="762E948D"/>
    <w:rsid w:val="762FA96D"/>
    <w:rsid w:val="763341F5"/>
    <w:rsid w:val="763A0234"/>
    <w:rsid w:val="763CC419"/>
    <w:rsid w:val="763FC07C"/>
    <w:rsid w:val="7643D0EB"/>
    <w:rsid w:val="76464DAB"/>
    <w:rsid w:val="76498E3F"/>
    <w:rsid w:val="764FD2A3"/>
    <w:rsid w:val="7652DC70"/>
    <w:rsid w:val="76598608"/>
    <w:rsid w:val="765A7E8A"/>
    <w:rsid w:val="765A9898"/>
    <w:rsid w:val="76633258"/>
    <w:rsid w:val="76652F67"/>
    <w:rsid w:val="766AC25E"/>
    <w:rsid w:val="766C8FD4"/>
    <w:rsid w:val="766EC3F4"/>
    <w:rsid w:val="767B682B"/>
    <w:rsid w:val="768249C1"/>
    <w:rsid w:val="76856743"/>
    <w:rsid w:val="76931075"/>
    <w:rsid w:val="76979EA8"/>
    <w:rsid w:val="7698F395"/>
    <w:rsid w:val="76993312"/>
    <w:rsid w:val="76998EB2"/>
    <w:rsid w:val="7699B8DE"/>
    <w:rsid w:val="76A0055C"/>
    <w:rsid w:val="76A7463A"/>
    <w:rsid w:val="76A95442"/>
    <w:rsid w:val="76AD0AC0"/>
    <w:rsid w:val="76B4EC48"/>
    <w:rsid w:val="76B61AD4"/>
    <w:rsid w:val="76B97A33"/>
    <w:rsid w:val="76BCF92D"/>
    <w:rsid w:val="76C1AB41"/>
    <w:rsid w:val="76C52341"/>
    <w:rsid w:val="76C90BEF"/>
    <w:rsid w:val="76CA1233"/>
    <w:rsid w:val="76D34BCF"/>
    <w:rsid w:val="76D74C71"/>
    <w:rsid w:val="76DDB0ED"/>
    <w:rsid w:val="76E110EF"/>
    <w:rsid w:val="76E1BF0B"/>
    <w:rsid w:val="76E76EAC"/>
    <w:rsid w:val="76E905EA"/>
    <w:rsid w:val="76EF574D"/>
    <w:rsid w:val="76F57B7C"/>
    <w:rsid w:val="76F87310"/>
    <w:rsid w:val="770B497B"/>
    <w:rsid w:val="77170B1A"/>
    <w:rsid w:val="7719D096"/>
    <w:rsid w:val="771A6AAA"/>
    <w:rsid w:val="771A9C2A"/>
    <w:rsid w:val="771AB681"/>
    <w:rsid w:val="771EAE58"/>
    <w:rsid w:val="771FA9A0"/>
    <w:rsid w:val="77257482"/>
    <w:rsid w:val="7728C654"/>
    <w:rsid w:val="772EC978"/>
    <w:rsid w:val="77319E1D"/>
    <w:rsid w:val="7732E197"/>
    <w:rsid w:val="77389110"/>
    <w:rsid w:val="7738CC43"/>
    <w:rsid w:val="77468FD9"/>
    <w:rsid w:val="774C876E"/>
    <w:rsid w:val="774CA0B4"/>
    <w:rsid w:val="774E49B6"/>
    <w:rsid w:val="77501050"/>
    <w:rsid w:val="775047C7"/>
    <w:rsid w:val="775B6565"/>
    <w:rsid w:val="775DBB4F"/>
    <w:rsid w:val="775DEB49"/>
    <w:rsid w:val="7761875B"/>
    <w:rsid w:val="776259E3"/>
    <w:rsid w:val="7765BB67"/>
    <w:rsid w:val="77663B2D"/>
    <w:rsid w:val="7767B931"/>
    <w:rsid w:val="7769D437"/>
    <w:rsid w:val="776D6FF1"/>
    <w:rsid w:val="7771C2B8"/>
    <w:rsid w:val="7776BCBA"/>
    <w:rsid w:val="7778A146"/>
    <w:rsid w:val="777B2E30"/>
    <w:rsid w:val="778252AB"/>
    <w:rsid w:val="778AF772"/>
    <w:rsid w:val="778BC50B"/>
    <w:rsid w:val="778DB166"/>
    <w:rsid w:val="7792BBCA"/>
    <w:rsid w:val="77935811"/>
    <w:rsid w:val="7794FF89"/>
    <w:rsid w:val="779A04E7"/>
    <w:rsid w:val="779D3E90"/>
    <w:rsid w:val="779DD8E2"/>
    <w:rsid w:val="77A812DE"/>
    <w:rsid w:val="77A97D1A"/>
    <w:rsid w:val="77AB9A7B"/>
    <w:rsid w:val="77AC9E4F"/>
    <w:rsid w:val="77AD367C"/>
    <w:rsid w:val="77B69152"/>
    <w:rsid w:val="77B8D2E1"/>
    <w:rsid w:val="77BA6BA4"/>
    <w:rsid w:val="77BB2725"/>
    <w:rsid w:val="77C66874"/>
    <w:rsid w:val="77C727FD"/>
    <w:rsid w:val="77D06180"/>
    <w:rsid w:val="77D0912B"/>
    <w:rsid w:val="77D1F317"/>
    <w:rsid w:val="77D1FFAD"/>
    <w:rsid w:val="77D92480"/>
    <w:rsid w:val="77D9E2C5"/>
    <w:rsid w:val="77DB9A29"/>
    <w:rsid w:val="77E0C837"/>
    <w:rsid w:val="77E29CAF"/>
    <w:rsid w:val="77E41B47"/>
    <w:rsid w:val="77E843BD"/>
    <w:rsid w:val="77EBD3C6"/>
    <w:rsid w:val="77EDFBF9"/>
    <w:rsid w:val="77F084F6"/>
    <w:rsid w:val="77F0F00E"/>
    <w:rsid w:val="77F5D0B9"/>
    <w:rsid w:val="78024033"/>
    <w:rsid w:val="78054FC1"/>
    <w:rsid w:val="78074118"/>
    <w:rsid w:val="780772F1"/>
    <w:rsid w:val="7808D5AF"/>
    <w:rsid w:val="78092FC6"/>
    <w:rsid w:val="780F0FAB"/>
    <w:rsid w:val="781D2CF4"/>
    <w:rsid w:val="7822BB56"/>
    <w:rsid w:val="7822C107"/>
    <w:rsid w:val="7822CE6C"/>
    <w:rsid w:val="7824719B"/>
    <w:rsid w:val="782966F4"/>
    <w:rsid w:val="783149A8"/>
    <w:rsid w:val="783957F6"/>
    <w:rsid w:val="7839F9BC"/>
    <w:rsid w:val="783AC814"/>
    <w:rsid w:val="783DA2D8"/>
    <w:rsid w:val="783EC2AE"/>
    <w:rsid w:val="78421B66"/>
    <w:rsid w:val="78448AD7"/>
    <w:rsid w:val="784BCE55"/>
    <w:rsid w:val="784F8F0D"/>
    <w:rsid w:val="7856D214"/>
    <w:rsid w:val="7857138C"/>
    <w:rsid w:val="785B7035"/>
    <w:rsid w:val="785C95D3"/>
    <w:rsid w:val="785DBD4A"/>
    <w:rsid w:val="785DE7CC"/>
    <w:rsid w:val="786283DF"/>
    <w:rsid w:val="7864DA1D"/>
    <w:rsid w:val="786A0FAB"/>
    <w:rsid w:val="78718FF1"/>
    <w:rsid w:val="78758C7A"/>
    <w:rsid w:val="787B11C3"/>
    <w:rsid w:val="78856E3F"/>
    <w:rsid w:val="78867D2E"/>
    <w:rsid w:val="7886A9B7"/>
    <w:rsid w:val="7886E2E2"/>
    <w:rsid w:val="7890D658"/>
    <w:rsid w:val="7895FF1F"/>
    <w:rsid w:val="78A1246B"/>
    <w:rsid w:val="78A5672E"/>
    <w:rsid w:val="78B60481"/>
    <w:rsid w:val="78B67971"/>
    <w:rsid w:val="78B8CB5E"/>
    <w:rsid w:val="78BA638D"/>
    <w:rsid w:val="78BE5C91"/>
    <w:rsid w:val="78BF7AA4"/>
    <w:rsid w:val="78C7B3CF"/>
    <w:rsid w:val="78CD86F6"/>
    <w:rsid w:val="78CF3C37"/>
    <w:rsid w:val="78D1FB50"/>
    <w:rsid w:val="78E61CE7"/>
    <w:rsid w:val="78E8DDC5"/>
    <w:rsid w:val="78F166C7"/>
    <w:rsid w:val="78F3B030"/>
    <w:rsid w:val="78FD7BE3"/>
    <w:rsid w:val="78FEF6F1"/>
    <w:rsid w:val="79040B3E"/>
    <w:rsid w:val="790852FD"/>
    <w:rsid w:val="790B778D"/>
    <w:rsid w:val="79125CB9"/>
    <w:rsid w:val="79130BCC"/>
    <w:rsid w:val="79149CE2"/>
    <w:rsid w:val="791911B7"/>
    <w:rsid w:val="7919913A"/>
    <w:rsid w:val="79258AB5"/>
    <w:rsid w:val="792D46C3"/>
    <w:rsid w:val="79318341"/>
    <w:rsid w:val="7936FE30"/>
    <w:rsid w:val="793C4C89"/>
    <w:rsid w:val="793C7C8F"/>
    <w:rsid w:val="79437718"/>
    <w:rsid w:val="79444AB8"/>
    <w:rsid w:val="794D0786"/>
    <w:rsid w:val="794E446C"/>
    <w:rsid w:val="795980FA"/>
    <w:rsid w:val="795C424D"/>
    <w:rsid w:val="79610B05"/>
    <w:rsid w:val="7961217E"/>
    <w:rsid w:val="796D8520"/>
    <w:rsid w:val="79744F1E"/>
    <w:rsid w:val="7974AA51"/>
    <w:rsid w:val="7986B076"/>
    <w:rsid w:val="798773A7"/>
    <w:rsid w:val="798B354F"/>
    <w:rsid w:val="798B88AD"/>
    <w:rsid w:val="798CD086"/>
    <w:rsid w:val="798E974D"/>
    <w:rsid w:val="7994CB1C"/>
    <w:rsid w:val="7997D481"/>
    <w:rsid w:val="7998E182"/>
    <w:rsid w:val="7999EB0F"/>
    <w:rsid w:val="799F77C6"/>
    <w:rsid w:val="79A2C4C8"/>
    <w:rsid w:val="79A37AA4"/>
    <w:rsid w:val="79B30910"/>
    <w:rsid w:val="79B5F28A"/>
    <w:rsid w:val="79B702AA"/>
    <w:rsid w:val="79B7AAA6"/>
    <w:rsid w:val="79B9B2D6"/>
    <w:rsid w:val="79BD76DA"/>
    <w:rsid w:val="79C03A6F"/>
    <w:rsid w:val="79C65DF1"/>
    <w:rsid w:val="79C86F82"/>
    <w:rsid w:val="79CB1304"/>
    <w:rsid w:val="79D46D85"/>
    <w:rsid w:val="79D98C45"/>
    <w:rsid w:val="79E02C1B"/>
    <w:rsid w:val="79E41A69"/>
    <w:rsid w:val="79E4DA73"/>
    <w:rsid w:val="79F4DCEF"/>
    <w:rsid w:val="79F62B62"/>
    <w:rsid w:val="79F76719"/>
    <w:rsid w:val="79F7D0C6"/>
    <w:rsid w:val="79FA5B13"/>
    <w:rsid w:val="79FA613E"/>
    <w:rsid w:val="79FC59EE"/>
    <w:rsid w:val="79FCA75E"/>
    <w:rsid w:val="79FEFA99"/>
    <w:rsid w:val="7A03A1C7"/>
    <w:rsid w:val="7A0A775C"/>
    <w:rsid w:val="7A0D0080"/>
    <w:rsid w:val="7A0F0E63"/>
    <w:rsid w:val="7A1C4306"/>
    <w:rsid w:val="7A1F024D"/>
    <w:rsid w:val="7A212CDD"/>
    <w:rsid w:val="7A2240FB"/>
    <w:rsid w:val="7A2A352C"/>
    <w:rsid w:val="7A2A4600"/>
    <w:rsid w:val="7A2B276E"/>
    <w:rsid w:val="7A3406A7"/>
    <w:rsid w:val="7A3BB55C"/>
    <w:rsid w:val="7A402A67"/>
    <w:rsid w:val="7A4C33F2"/>
    <w:rsid w:val="7A532504"/>
    <w:rsid w:val="7A5510D4"/>
    <w:rsid w:val="7A5E28F0"/>
    <w:rsid w:val="7A5E9B13"/>
    <w:rsid w:val="7A602989"/>
    <w:rsid w:val="7A62C4D8"/>
    <w:rsid w:val="7A6331C0"/>
    <w:rsid w:val="7A699FFF"/>
    <w:rsid w:val="7A6ADFB4"/>
    <w:rsid w:val="7A6E0437"/>
    <w:rsid w:val="7A71C42C"/>
    <w:rsid w:val="7A7375B5"/>
    <w:rsid w:val="7A8541EF"/>
    <w:rsid w:val="7A88FE44"/>
    <w:rsid w:val="7A8D3200"/>
    <w:rsid w:val="7A907674"/>
    <w:rsid w:val="7A907910"/>
    <w:rsid w:val="7A91A160"/>
    <w:rsid w:val="7A9206BA"/>
    <w:rsid w:val="7A92FD61"/>
    <w:rsid w:val="7A9BAA60"/>
    <w:rsid w:val="7A9C5203"/>
    <w:rsid w:val="7A9E43EC"/>
    <w:rsid w:val="7AA0F6E1"/>
    <w:rsid w:val="7AA4ABFD"/>
    <w:rsid w:val="7AA77DB9"/>
    <w:rsid w:val="7AA920C1"/>
    <w:rsid w:val="7AADFCF1"/>
    <w:rsid w:val="7AB29C80"/>
    <w:rsid w:val="7AB3D774"/>
    <w:rsid w:val="7ABDD4D4"/>
    <w:rsid w:val="7ABDF84F"/>
    <w:rsid w:val="7ABECA5D"/>
    <w:rsid w:val="7AC4EF3E"/>
    <w:rsid w:val="7AC9436A"/>
    <w:rsid w:val="7ACBC65C"/>
    <w:rsid w:val="7ACF9DDC"/>
    <w:rsid w:val="7AD17186"/>
    <w:rsid w:val="7AD2DF3E"/>
    <w:rsid w:val="7AD5DA4B"/>
    <w:rsid w:val="7ADC58DF"/>
    <w:rsid w:val="7ADCB542"/>
    <w:rsid w:val="7ADE0E0F"/>
    <w:rsid w:val="7ADF9F37"/>
    <w:rsid w:val="7AE43D69"/>
    <w:rsid w:val="7AEB02BF"/>
    <w:rsid w:val="7AEE00B7"/>
    <w:rsid w:val="7AEF49C3"/>
    <w:rsid w:val="7AF11957"/>
    <w:rsid w:val="7AF27398"/>
    <w:rsid w:val="7AF8FA78"/>
    <w:rsid w:val="7AFC3983"/>
    <w:rsid w:val="7AFC39B2"/>
    <w:rsid w:val="7B0EEA8A"/>
    <w:rsid w:val="7B15C7F4"/>
    <w:rsid w:val="7B1745F2"/>
    <w:rsid w:val="7B1E20C8"/>
    <w:rsid w:val="7B203B0D"/>
    <w:rsid w:val="7B239359"/>
    <w:rsid w:val="7B2402BA"/>
    <w:rsid w:val="7B29D577"/>
    <w:rsid w:val="7B2F5998"/>
    <w:rsid w:val="7B36464B"/>
    <w:rsid w:val="7B366676"/>
    <w:rsid w:val="7B39ECBE"/>
    <w:rsid w:val="7B3EC5F9"/>
    <w:rsid w:val="7B3F2B7B"/>
    <w:rsid w:val="7B409A6E"/>
    <w:rsid w:val="7B4C70BB"/>
    <w:rsid w:val="7B539D4D"/>
    <w:rsid w:val="7B57186B"/>
    <w:rsid w:val="7B611DF1"/>
    <w:rsid w:val="7B62A117"/>
    <w:rsid w:val="7B62D5EA"/>
    <w:rsid w:val="7B6929C2"/>
    <w:rsid w:val="7B6C5E09"/>
    <w:rsid w:val="7B73A3FA"/>
    <w:rsid w:val="7B76C6C5"/>
    <w:rsid w:val="7B797CA8"/>
    <w:rsid w:val="7B7F3A68"/>
    <w:rsid w:val="7B80468E"/>
    <w:rsid w:val="7B822C6A"/>
    <w:rsid w:val="7B84D90B"/>
    <w:rsid w:val="7B856176"/>
    <w:rsid w:val="7B8AAE3F"/>
    <w:rsid w:val="7B8B497A"/>
    <w:rsid w:val="7B8D0B12"/>
    <w:rsid w:val="7B8DE226"/>
    <w:rsid w:val="7B8DEC41"/>
    <w:rsid w:val="7B910900"/>
    <w:rsid w:val="7B9614D3"/>
    <w:rsid w:val="7B96DBAB"/>
    <w:rsid w:val="7B976702"/>
    <w:rsid w:val="7B99168F"/>
    <w:rsid w:val="7BA8206D"/>
    <w:rsid w:val="7BAA7EEE"/>
    <w:rsid w:val="7BADBA6D"/>
    <w:rsid w:val="7BAE554E"/>
    <w:rsid w:val="7BB0B2E0"/>
    <w:rsid w:val="7BB18C93"/>
    <w:rsid w:val="7BB29459"/>
    <w:rsid w:val="7BB58B33"/>
    <w:rsid w:val="7BB9F38F"/>
    <w:rsid w:val="7BBE78E2"/>
    <w:rsid w:val="7BBE84D7"/>
    <w:rsid w:val="7BBF6607"/>
    <w:rsid w:val="7BD2F72D"/>
    <w:rsid w:val="7BD398B2"/>
    <w:rsid w:val="7BD43EDA"/>
    <w:rsid w:val="7BD716A4"/>
    <w:rsid w:val="7BD873FC"/>
    <w:rsid w:val="7BD9B276"/>
    <w:rsid w:val="7BDD6666"/>
    <w:rsid w:val="7BDDBAFA"/>
    <w:rsid w:val="7BE0A79E"/>
    <w:rsid w:val="7BF08ABB"/>
    <w:rsid w:val="7BF374A0"/>
    <w:rsid w:val="7BF55175"/>
    <w:rsid w:val="7BF5CFE9"/>
    <w:rsid w:val="7BF6C596"/>
    <w:rsid w:val="7BF9DAF4"/>
    <w:rsid w:val="7BF9DC8F"/>
    <w:rsid w:val="7C0D3873"/>
    <w:rsid w:val="7C0E3157"/>
    <w:rsid w:val="7C110FAC"/>
    <w:rsid w:val="7C1A5CBC"/>
    <w:rsid w:val="7C1C7BCC"/>
    <w:rsid w:val="7C241D46"/>
    <w:rsid w:val="7C24B21D"/>
    <w:rsid w:val="7C2B646F"/>
    <w:rsid w:val="7C3F377C"/>
    <w:rsid w:val="7C440B91"/>
    <w:rsid w:val="7C447CB4"/>
    <w:rsid w:val="7C51A350"/>
    <w:rsid w:val="7C550D82"/>
    <w:rsid w:val="7C551038"/>
    <w:rsid w:val="7C59C48D"/>
    <w:rsid w:val="7C5B6B23"/>
    <w:rsid w:val="7C5C65E8"/>
    <w:rsid w:val="7C665053"/>
    <w:rsid w:val="7C6FC641"/>
    <w:rsid w:val="7C75C218"/>
    <w:rsid w:val="7C75EE71"/>
    <w:rsid w:val="7C7A6D62"/>
    <w:rsid w:val="7C81B63A"/>
    <w:rsid w:val="7C822B6F"/>
    <w:rsid w:val="7C87CF39"/>
    <w:rsid w:val="7C8D7342"/>
    <w:rsid w:val="7C8DFCF2"/>
    <w:rsid w:val="7C8E5A76"/>
    <w:rsid w:val="7C96F611"/>
    <w:rsid w:val="7C97764D"/>
    <w:rsid w:val="7C988BDC"/>
    <w:rsid w:val="7C9936C8"/>
    <w:rsid w:val="7CA6A404"/>
    <w:rsid w:val="7CA6C527"/>
    <w:rsid w:val="7CB68573"/>
    <w:rsid w:val="7CBA624D"/>
    <w:rsid w:val="7CBD85A8"/>
    <w:rsid w:val="7CBF8147"/>
    <w:rsid w:val="7CC407FC"/>
    <w:rsid w:val="7CC899F6"/>
    <w:rsid w:val="7CC942CC"/>
    <w:rsid w:val="7CD13F55"/>
    <w:rsid w:val="7CD19BD7"/>
    <w:rsid w:val="7CD6DF0C"/>
    <w:rsid w:val="7CDFBEAE"/>
    <w:rsid w:val="7CE08970"/>
    <w:rsid w:val="7CE427BE"/>
    <w:rsid w:val="7CE7E5FE"/>
    <w:rsid w:val="7CEC1E72"/>
    <w:rsid w:val="7CF95EAC"/>
    <w:rsid w:val="7CFB584C"/>
    <w:rsid w:val="7CFEF083"/>
    <w:rsid w:val="7D03EFDD"/>
    <w:rsid w:val="7D09CACE"/>
    <w:rsid w:val="7D15C4EF"/>
    <w:rsid w:val="7D192F69"/>
    <w:rsid w:val="7D1EA774"/>
    <w:rsid w:val="7D2559F8"/>
    <w:rsid w:val="7D2B540B"/>
    <w:rsid w:val="7D2CAA44"/>
    <w:rsid w:val="7D2D1973"/>
    <w:rsid w:val="7D2F13BD"/>
    <w:rsid w:val="7D32AED4"/>
    <w:rsid w:val="7D32DEC9"/>
    <w:rsid w:val="7D34F04B"/>
    <w:rsid w:val="7D3B52FD"/>
    <w:rsid w:val="7D3C63A0"/>
    <w:rsid w:val="7D3E1757"/>
    <w:rsid w:val="7D3E7F3D"/>
    <w:rsid w:val="7D409BCF"/>
    <w:rsid w:val="7D427495"/>
    <w:rsid w:val="7D42995E"/>
    <w:rsid w:val="7D438C8A"/>
    <w:rsid w:val="7D4545B4"/>
    <w:rsid w:val="7D473993"/>
    <w:rsid w:val="7D4A1A87"/>
    <w:rsid w:val="7D4B08AC"/>
    <w:rsid w:val="7D50AA97"/>
    <w:rsid w:val="7D5928A5"/>
    <w:rsid w:val="7D5D3459"/>
    <w:rsid w:val="7D5F6AF6"/>
    <w:rsid w:val="7D60B4A9"/>
    <w:rsid w:val="7D60DF1B"/>
    <w:rsid w:val="7D66B8CB"/>
    <w:rsid w:val="7D6A4306"/>
    <w:rsid w:val="7D6BAF11"/>
    <w:rsid w:val="7D6CBD2E"/>
    <w:rsid w:val="7D6DAE14"/>
    <w:rsid w:val="7D7222E7"/>
    <w:rsid w:val="7D7378E0"/>
    <w:rsid w:val="7D883C1D"/>
    <w:rsid w:val="7D89E831"/>
    <w:rsid w:val="7D8C0EBB"/>
    <w:rsid w:val="7D8D4466"/>
    <w:rsid w:val="7D8F4AD1"/>
    <w:rsid w:val="7D8FE621"/>
    <w:rsid w:val="7D9165A8"/>
    <w:rsid w:val="7D9258E9"/>
    <w:rsid w:val="7D92E05A"/>
    <w:rsid w:val="7D940254"/>
    <w:rsid w:val="7D9644A6"/>
    <w:rsid w:val="7D97225A"/>
    <w:rsid w:val="7D98E220"/>
    <w:rsid w:val="7D9A933C"/>
    <w:rsid w:val="7D9AC8F4"/>
    <w:rsid w:val="7DA2986A"/>
    <w:rsid w:val="7DB17F33"/>
    <w:rsid w:val="7DB24CA5"/>
    <w:rsid w:val="7DB6121D"/>
    <w:rsid w:val="7DBA0109"/>
    <w:rsid w:val="7DBC41CE"/>
    <w:rsid w:val="7DCB744A"/>
    <w:rsid w:val="7DD0F54F"/>
    <w:rsid w:val="7DD23FD6"/>
    <w:rsid w:val="7DD86F4E"/>
    <w:rsid w:val="7DDD806B"/>
    <w:rsid w:val="7DE04181"/>
    <w:rsid w:val="7DE5135E"/>
    <w:rsid w:val="7DE7351B"/>
    <w:rsid w:val="7DEBEF86"/>
    <w:rsid w:val="7DF05029"/>
    <w:rsid w:val="7DFFE639"/>
    <w:rsid w:val="7E0B3DCF"/>
    <w:rsid w:val="7E12D421"/>
    <w:rsid w:val="7E133960"/>
    <w:rsid w:val="7E1616AB"/>
    <w:rsid w:val="7E1A0077"/>
    <w:rsid w:val="7E32BB01"/>
    <w:rsid w:val="7E35F99A"/>
    <w:rsid w:val="7E37BEFA"/>
    <w:rsid w:val="7E380C4A"/>
    <w:rsid w:val="7E3E47B2"/>
    <w:rsid w:val="7E41EE44"/>
    <w:rsid w:val="7E42049A"/>
    <w:rsid w:val="7E4EA285"/>
    <w:rsid w:val="7E4F5E00"/>
    <w:rsid w:val="7E500AA4"/>
    <w:rsid w:val="7E500F8D"/>
    <w:rsid w:val="7E525EF8"/>
    <w:rsid w:val="7E539E8D"/>
    <w:rsid w:val="7E578A0E"/>
    <w:rsid w:val="7E5D19D4"/>
    <w:rsid w:val="7E5FA179"/>
    <w:rsid w:val="7E6520C5"/>
    <w:rsid w:val="7E6586BD"/>
    <w:rsid w:val="7E68C7AD"/>
    <w:rsid w:val="7E6D4AC0"/>
    <w:rsid w:val="7E6D58BA"/>
    <w:rsid w:val="7E6DD592"/>
    <w:rsid w:val="7E6F3190"/>
    <w:rsid w:val="7E703AE7"/>
    <w:rsid w:val="7E72E92B"/>
    <w:rsid w:val="7E7BF426"/>
    <w:rsid w:val="7E7C2DC3"/>
    <w:rsid w:val="7E833A07"/>
    <w:rsid w:val="7E857E44"/>
    <w:rsid w:val="7E8836C7"/>
    <w:rsid w:val="7E8AD577"/>
    <w:rsid w:val="7E921F29"/>
    <w:rsid w:val="7E95FD3A"/>
    <w:rsid w:val="7E9CEEAF"/>
    <w:rsid w:val="7EA8B4F7"/>
    <w:rsid w:val="7EA9371C"/>
    <w:rsid w:val="7EB07691"/>
    <w:rsid w:val="7EBCA9D1"/>
    <w:rsid w:val="7ED797B0"/>
    <w:rsid w:val="7ED9B551"/>
    <w:rsid w:val="7EDB6FD4"/>
    <w:rsid w:val="7EDBBCDD"/>
    <w:rsid w:val="7EDCC750"/>
    <w:rsid w:val="7EE1C0E2"/>
    <w:rsid w:val="7EE2A924"/>
    <w:rsid w:val="7EE4EEBB"/>
    <w:rsid w:val="7EE6235C"/>
    <w:rsid w:val="7EE79E89"/>
    <w:rsid w:val="7EE8DFE9"/>
    <w:rsid w:val="7EEA31B0"/>
    <w:rsid w:val="7EEDFEA6"/>
    <w:rsid w:val="7EF49682"/>
    <w:rsid w:val="7EFD20E7"/>
    <w:rsid w:val="7F0586D8"/>
    <w:rsid w:val="7F08BC13"/>
    <w:rsid w:val="7F0AF9A6"/>
    <w:rsid w:val="7F1BF032"/>
    <w:rsid w:val="7F2A19BD"/>
    <w:rsid w:val="7F2C4D7F"/>
    <w:rsid w:val="7F31D608"/>
    <w:rsid w:val="7F32B8C8"/>
    <w:rsid w:val="7F3B053D"/>
    <w:rsid w:val="7F3EE372"/>
    <w:rsid w:val="7F3EF119"/>
    <w:rsid w:val="7F42167B"/>
    <w:rsid w:val="7F425669"/>
    <w:rsid w:val="7F48B7C7"/>
    <w:rsid w:val="7F5046C1"/>
    <w:rsid w:val="7F50A18C"/>
    <w:rsid w:val="7F51C2D6"/>
    <w:rsid w:val="7F52D530"/>
    <w:rsid w:val="7F5B8145"/>
    <w:rsid w:val="7F6D91F2"/>
    <w:rsid w:val="7F6DEF49"/>
    <w:rsid w:val="7F736B42"/>
    <w:rsid w:val="7F82E32F"/>
    <w:rsid w:val="7F8300EF"/>
    <w:rsid w:val="7F83220D"/>
    <w:rsid w:val="7F9363E9"/>
    <w:rsid w:val="7F972B0D"/>
    <w:rsid w:val="7FA22C90"/>
    <w:rsid w:val="7FA6631D"/>
    <w:rsid w:val="7FA980DA"/>
    <w:rsid w:val="7FA99A3C"/>
    <w:rsid w:val="7FB7A036"/>
    <w:rsid w:val="7FB9A6F5"/>
    <w:rsid w:val="7FBB8CAC"/>
    <w:rsid w:val="7FC4E271"/>
    <w:rsid w:val="7FC8307E"/>
    <w:rsid w:val="7FCD0138"/>
    <w:rsid w:val="7FCECC00"/>
    <w:rsid w:val="7FD4FD48"/>
    <w:rsid w:val="7FDEF4BB"/>
    <w:rsid w:val="7FE243CE"/>
    <w:rsid w:val="7FE3CC2A"/>
    <w:rsid w:val="7FE4E363"/>
    <w:rsid w:val="7FF94ED3"/>
    <w:rsid w:val="7FF9BD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B4DC21"/>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1719"/>
    <w:rPr>
      <w:rFonts w:ascii="Arial" w:hAnsi="Arial"/>
      <w:sz w:val="22"/>
    </w:rPr>
  </w:style>
  <w:style w:type="paragraph" w:styleId="Heading1">
    <w:name w:val="heading 1"/>
    <w:basedOn w:val="Normal"/>
    <w:next w:val="Normal"/>
    <w:link w:val="Heading1Char"/>
    <w:uiPriority w:val="9"/>
    <w:qFormat/>
    <w:rsid w:val="00605211"/>
    <w:pPr>
      <w:keepNext/>
      <w:keepLines/>
      <w:outlineLvl w:val="0"/>
    </w:pPr>
    <w:rPr>
      <w:rFonts w:eastAsiaTheme="majorEastAsia" w:cstheme="majorBidi"/>
      <w:sz w:val="48"/>
      <w:szCs w:val="32"/>
    </w:rPr>
  </w:style>
  <w:style w:type="paragraph" w:styleId="Heading2">
    <w:name w:val="heading 2"/>
    <w:aliases w:val="QBCC Sub"/>
    <w:basedOn w:val="NoSpacing"/>
    <w:next w:val="Normal"/>
    <w:link w:val="Heading2Char"/>
    <w:autoRedefine/>
    <w:uiPriority w:val="9"/>
    <w:unhideWhenUsed/>
    <w:qFormat/>
    <w:rsid w:val="007C3502"/>
    <w:pPr>
      <w:keepNext/>
      <w:keepLines/>
      <w:outlineLvl w:val="1"/>
    </w:pPr>
    <w:rPr>
      <w:rFonts w:ascii="Arial" w:eastAsiaTheme="majorEastAsia" w:hAnsi="Arial" w:cstheme="majorBidi"/>
      <w:bCs/>
      <w:sz w:val="32"/>
      <w:szCs w:val="32"/>
    </w:rPr>
  </w:style>
  <w:style w:type="paragraph" w:styleId="Heading3">
    <w:name w:val="heading 3"/>
    <w:basedOn w:val="Normal"/>
    <w:next w:val="Normal"/>
    <w:link w:val="Heading3Char"/>
    <w:uiPriority w:val="9"/>
    <w:unhideWhenUsed/>
    <w:qFormat/>
    <w:rsid w:val="0085433D"/>
    <w:pPr>
      <w:keepNext/>
      <w:keepLines/>
      <w:outlineLvl w:val="2"/>
    </w:pPr>
    <w:rPr>
      <w:rFonts w:eastAsiaTheme="majorEastAsia" w:cstheme="majorBidi"/>
      <w:b/>
      <w:sz w:val="28"/>
    </w:rPr>
  </w:style>
  <w:style w:type="paragraph" w:styleId="Heading4">
    <w:name w:val="heading 4"/>
    <w:basedOn w:val="Normal"/>
    <w:next w:val="Normal"/>
    <w:link w:val="Heading4Char"/>
    <w:uiPriority w:val="9"/>
    <w:unhideWhenUsed/>
    <w:qFormat/>
    <w:rsid w:val="00984C7C"/>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7B2119"/>
    <w:pPr>
      <w:keepNext/>
      <w:keepLines/>
      <w:outlineLvl w:val="4"/>
    </w:pPr>
    <w:rPr>
      <w:rFonts w:eastAsiaTheme="majorEastAsia" w:cstheme="majorBidi"/>
      <w:b/>
    </w:rPr>
  </w:style>
  <w:style w:type="paragraph" w:styleId="Heading6">
    <w:name w:val="heading 6"/>
    <w:basedOn w:val="Normal"/>
    <w:next w:val="Normal"/>
    <w:link w:val="Heading6Char"/>
    <w:uiPriority w:val="9"/>
    <w:unhideWhenUsed/>
    <w:qFormat/>
    <w:rsid w:val="00BF5F55"/>
    <w:pPr>
      <w:keepNext/>
      <w:keepLines/>
      <w:spacing w:before="40"/>
      <w:outlineLvl w:val="5"/>
    </w:pPr>
    <w:rPr>
      <w:rFonts w:ascii="Gotham Medium" w:eastAsiaTheme="majorEastAsia" w:hAnsi="Gotham Medium" w:cstheme="majorBidi"/>
      <w:color w:val="020A0A" w:themeColor="text1"/>
    </w:rPr>
  </w:style>
  <w:style w:type="paragraph" w:styleId="Heading7">
    <w:name w:val="heading 7"/>
    <w:basedOn w:val="Normal"/>
    <w:next w:val="Normal"/>
    <w:link w:val="Heading7Char"/>
    <w:uiPriority w:val="9"/>
    <w:unhideWhenUsed/>
    <w:qFormat/>
    <w:rsid w:val="00AB703E"/>
    <w:pPr>
      <w:keepNext/>
      <w:keepLines/>
      <w:spacing w:before="40"/>
      <w:outlineLvl w:val="6"/>
    </w:pPr>
    <w:rPr>
      <w:rFonts w:asciiTheme="majorHAnsi" w:eastAsiaTheme="majorEastAsia" w:hAnsiTheme="majorHAnsi" w:cstheme="majorBidi"/>
      <w:i/>
      <w:iCs/>
      <w:color w:val="00475C" w:themeColor="accent1" w:themeShade="7F"/>
    </w:rPr>
  </w:style>
  <w:style w:type="paragraph" w:styleId="Heading8">
    <w:name w:val="heading 8"/>
    <w:basedOn w:val="Normal"/>
    <w:next w:val="Normal"/>
    <w:link w:val="Heading8Char"/>
    <w:uiPriority w:val="9"/>
    <w:unhideWhenUsed/>
    <w:qFormat/>
    <w:rsid w:val="00AB703E"/>
    <w:pPr>
      <w:keepNext/>
      <w:keepLines/>
      <w:spacing w:before="40"/>
      <w:outlineLvl w:val="7"/>
    </w:pPr>
    <w:rPr>
      <w:rFonts w:asciiTheme="majorHAnsi" w:eastAsiaTheme="majorEastAsia" w:hAnsiTheme="majorHAnsi" w:cstheme="majorBidi"/>
      <w:color w:val="0E4949" w:themeColor="text1" w:themeTint="D8"/>
      <w:sz w:val="21"/>
      <w:szCs w:val="21"/>
    </w:rPr>
  </w:style>
  <w:style w:type="paragraph" w:styleId="Heading9">
    <w:name w:val="heading 9"/>
    <w:basedOn w:val="Normal"/>
    <w:next w:val="Normal"/>
    <w:link w:val="Heading9Char"/>
    <w:uiPriority w:val="9"/>
    <w:semiHidden/>
    <w:unhideWhenUsed/>
    <w:qFormat/>
    <w:rsid w:val="005D441E"/>
    <w:pPr>
      <w:keepNext/>
      <w:keepLines/>
      <w:spacing w:before="40"/>
      <w:outlineLvl w:val="8"/>
    </w:pPr>
    <w:rPr>
      <w:rFonts w:asciiTheme="majorHAnsi" w:eastAsiaTheme="majorEastAsia" w:hAnsiTheme="majorHAnsi" w:cstheme="majorBidi"/>
      <w:i/>
      <w:iCs/>
      <w:color w:val="0E4949"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474"/>
    <w:pPr>
      <w:tabs>
        <w:tab w:val="center" w:pos="4320"/>
        <w:tab w:val="right" w:pos="8640"/>
      </w:tabs>
    </w:pPr>
  </w:style>
  <w:style w:type="character" w:customStyle="1" w:styleId="HeaderChar">
    <w:name w:val="Header Char"/>
    <w:basedOn w:val="DefaultParagraphFont"/>
    <w:link w:val="Header"/>
    <w:uiPriority w:val="99"/>
    <w:rsid w:val="007D3474"/>
  </w:style>
  <w:style w:type="paragraph" w:styleId="Footer">
    <w:name w:val="footer"/>
    <w:basedOn w:val="Normal"/>
    <w:link w:val="FooterChar"/>
    <w:uiPriority w:val="99"/>
    <w:unhideWhenUsed/>
    <w:rsid w:val="007D3474"/>
    <w:pPr>
      <w:tabs>
        <w:tab w:val="center" w:pos="4320"/>
        <w:tab w:val="right" w:pos="8640"/>
      </w:tabs>
    </w:pPr>
  </w:style>
  <w:style w:type="character" w:customStyle="1" w:styleId="FooterChar">
    <w:name w:val="Footer Char"/>
    <w:basedOn w:val="DefaultParagraphFont"/>
    <w:link w:val="Footer"/>
    <w:uiPriority w:val="99"/>
    <w:rsid w:val="007D3474"/>
  </w:style>
  <w:style w:type="paragraph" w:styleId="BalloonText">
    <w:name w:val="Balloon Text"/>
    <w:basedOn w:val="Normal"/>
    <w:link w:val="BalloonTextChar"/>
    <w:uiPriority w:val="99"/>
    <w:semiHidden/>
    <w:unhideWhenUsed/>
    <w:rsid w:val="007D34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3474"/>
    <w:rPr>
      <w:rFonts w:ascii="Lucida Grande" w:hAnsi="Lucida Grande" w:cs="Lucida Grande"/>
      <w:sz w:val="18"/>
      <w:szCs w:val="18"/>
    </w:rPr>
  </w:style>
  <w:style w:type="paragraph" w:customStyle="1" w:styleId="BasicParagraph">
    <w:name w:val="[Basic Paragraph]"/>
    <w:basedOn w:val="Normal"/>
    <w:uiPriority w:val="99"/>
    <w:rsid w:val="007D3474"/>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NormalWeb">
    <w:name w:val="Normal (Web)"/>
    <w:basedOn w:val="Normal"/>
    <w:uiPriority w:val="99"/>
    <w:unhideWhenUsed/>
    <w:rsid w:val="005F7BD0"/>
    <w:rPr>
      <w:rFonts w:ascii="Times New Roman" w:hAnsi="Times New Roman" w:cs="Times New Roman"/>
    </w:rPr>
  </w:style>
  <w:style w:type="character" w:customStyle="1" w:styleId="Heading2Char">
    <w:name w:val="Heading 2 Char"/>
    <w:aliases w:val="QBCC Sub Char"/>
    <w:basedOn w:val="DefaultParagraphFont"/>
    <w:link w:val="Heading2"/>
    <w:uiPriority w:val="9"/>
    <w:rsid w:val="007C3502"/>
    <w:rPr>
      <w:rFonts w:ascii="Arial" w:eastAsiaTheme="majorEastAsia" w:hAnsi="Arial" w:cstheme="majorBidi"/>
      <w:bCs/>
      <w:sz w:val="32"/>
      <w:szCs w:val="32"/>
    </w:rPr>
  </w:style>
  <w:style w:type="paragraph" w:styleId="NoSpacing">
    <w:name w:val="No Spacing"/>
    <w:uiPriority w:val="1"/>
    <w:qFormat/>
    <w:rsid w:val="005F7BD0"/>
  </w:style>
  <w:style w:type="character" w:styleId="SubtleEmphasis">
    <w:name w:val="Subtle Emphasis"/>
    <w:basedOn w:val="DefaultParagraphFont"/>
    <w:uiPriority w:val="19"/>
    <w:rsid w:val="00CC0640"/>
    <w:rPr>
      <w:i/>
      <w:iCs/>
      <w:color w:val="30D5D5" w:themeColor="text1" w:themeTint="7F"/>
    </w:rPr>
  </w:style>
  <w:style w:type="table" w:styleId="TableGrid">
    <w:name w:val="Table Grid"/>
    <w:basedOn w:val="TableNormal"/>
    <w:uiPriority w:val="39"/>
    <w:rsid w:val="00CC0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6B78"/>
    <w:rPr>
      <w:rFonts w:ascii="Arial" w:eastAsiaTheme="majorEastAsia" w:hAnsi="Arial" w:cstheme="majorBidi"/>
      <w:sz w:val="48"/>
      <w:szCs w:val="32"/>
    </w:rPr>
  </w:style>
  <w:style w:type="paragraph" w:styleId="ListParagraph">
    <w:name w:val="List Paragraph"/>
    <w:aliases w:val="Bullet List,FooterText,numbered,List Paragraph1,Paragraphe de liste1,Bulletr List Paragraph,列出段落,列出段落1,List Paragraph2,List Paragraph21,Listeafsnit1,Parágrafo da Lista1,Bullet list,Párrafo de lista1,リスト段落1,List Paragraph11,Foot,Table Txt"/>
    <w:basedOn w:val="Normal"/>
    <w:link w:val="ListParagraphChar"/>
    <w:uiPriority w:val="34"/>
    <w:qFormat/>
    <w:rsid w:val="00D9660A"/>
    <w:pPr>
      <w:ind w:left="720"/>
      <w:contextualSpacing/>
    </w:pPr>
  </w:style>
  <w:style w:type="character" w:styleId="CommentReference">
    <w:name w:val="annotation reference"/>
    <w:basedOn w:val="DefaultParagraphFont"/>
    <w:uiPriority w:val="99"/>
    <w:unhideWhenUsed/>
    <w:rsid w:val="001726BB"/>
    <w:rPr>
      <w:sz w:val="16"/>
      <w:szCs w:val="16"/>
    </w:rPr>
  </w:style>
  <w:style w:type="paragraph" w:styleId="CommentText">
    <w:name w:val="annotation text"/>
    <w:basedOn w:val="Normal"/>
    <w:link w:val="CommentTextChar"/>
    <w:uiPriority w:val="99"/>
    <w:unhideWhenUsed/>
    <w:rsid w:val="001726BB"/>
    <w:rPr>
      <w:szCs w:val="20"/>
    </w:rPr>
  </w:style>
  <w:style w:type="character" w:customStyle="1" w:styleId="CommentTextChar">
    <w:name w:val="Comment Text Char"/>
    <w:basedOn w:val="DefaultParagraphFont"/>
    <w:link w:val="CommentText"/>
    <w:uiPriority w:val="99"/>
    <w:rsid w:val="001726BB"/>
    <w:rPr>
      <w:rFonts w:ascii="Gotham Light" w:hAnsi="Gotham Light"/>
      <w:sz w:val="20"/>
      <w:szCs w:val="20"/>
    </w:rPr>
  </w:style>
  <w:style w:type="paragraph" w:styleId="CommentSubject">
    <w:name w:val="annotation subject"/>
    <w:basedOn w:val="CommentText"/>
    <w:next w:val="CommentText"/>
    <w:link w:val="CommentSubjectChar"/>
    <w:uiPriority w:val="99"/>
    <w:semiHidden/>
    <w:unhideWhenUsed/>
    <w:rsid w:val="001726BB"/>
    <w:rPr>
      <w:b/>
      <w:bCs/>
    </w:rPr>
  </w:style>
  <w:style w:type="character" w:customStyle="1" w:styleId="CommentSubjectChar">
    <w:name w:val="Comment Subject Char"/>
    <w:basedOn w:val="CommentTextChar"/>
    <w:link w:val="CommentSubject"/>
    <w:uiPriority w:val="99"/>
    <w:semiHidden/>
    <w:rsid w:val="001726BB"/>
    <w:rPr>
      <w:rFonts w:ascii="Arial" w:hAnsi="Arial"/>
      <w:b/>
      <w:bCs/>
      <w:sz w:val="20"/>
      <w:szCs w:val="20"/>
    </w:rPr>
  </w:style>
  <w:style w:type="character" w:customStyle="1" w:styleId="Heading3Char">
    <w:name w:val="Heading 3 Char"/>
    <w:basedOn w:val="DefaultParagraphFont"/>
    <w:link w:val="Heading3"/>
    <w:uiPriority w:val="9"/>
    <w:rsid w:val="00DD7C20"/>
    <w:rPr>
      <w:rFonts w:ascii="Arial" w:eastAsiaTheme="majorEastAsia" w:hAnsi="Arial" w:cstheme="majorBidi"/>
      <w:b/>
      <w:sz w:val="28"/>
    </w:rPr>
  </w:style>
  <w:style w:type="paragraph" w:styleId="TOCHeading">
    <w:name w:val="TOC Heading"/>
    <w:basedOn w:val="Heading1"/>
    <w:next w:val="Normal"/>
    <w:uiPriority w:val="39"/>
    <w:unhideWhenUsed/>
    <w:qFormat/>
    <w:rsid w:val="002C090F"/>
    <w:pPr>
      <w:spacing w:line="259" w:lineRule="auto"/>
      <w:outlineLvl w:val="9"/>
    </w:pPr>
    <w:rPr>
      <w:rFonts w:asciiTheme="majorHAnsi" w:hAnsiTheme="majorHAnsi"/>
      <w:color w:val="006B8B" w:themeColor="accent1" w:themeShade="BF"/>
      <w:sz w:val="32"/>
      <w:lang w:val="en-US"/>
    </w:rPr>
  </w:style>
  <w:style w:type="paragraph" w:styleId="TOC1">
    <w:name w:val="toc 1"/>
    <w:basedOn w:val="Normal"/>
    <w:next w:val="Normal"/>
    <w:autoRedefine/>
    <w:uiPriority w:val="39"/>
    <w:unhideWhenUsed/>
    <w:rsid w:val="0015799E"/>
    <w:pPr>
      <w:tabs>
        <w:tab w:val="right" w:leader="dot" w:pos="10440"/>
      </w:tabs>
      <w:spacing w:after="100"/>
    </w:pPr>
    <w:rPr>
      <w:noProof/>
    </w:rPr>
  </w:style>
  <w:style w:type="paragraph" w:styleId="TOC2">
    <w:name w:val="toc 2"/>
    <w:basedOn w:val="Normal"/>
    <w:next w:val="Normal"/>
    <w:autoRedefine/>
    <w:uiPriority w:val="39"/>
    <w:unhideWhenUsed/>
    <w:rsid w:val="002C090F"/>
    <w:pPr>
      <w:spacing w:after="100"/>
      <w:ind w:left="200"/>
    </w:pPr>
  </w:style>
  <w:style w:type="paragraph" w:styleId="TOC3">
    <w:name w:val="toc 3"/>
    <w:basedOn w:val="Normal"/>
    <w:next w:val="Normal"/>
    <w:autoRedefine/>
    <w:uiPriority w:val="39"/>
    <w:unhideWhenUsed/>
    <w:rsid w:val="002C090F"/>
    <w:pPr>
      <w:spacing w:after="100"/>
      <w:ind w:left="400"/>
    </w:pPr>
  </w:style>
  <w:style w:type="character" w:styleId="Hyperlink">
    <w:name w:val="Hyperlink"/>
    <w:basedOn w:val="DefaultParagraphFont"/>
    <w:uiPriority w:val="99"/>
    <w:unhideWhenUsed/>
    <w:rsid w:val="00216E6A"/>
    <w:rPr>
      <w:color w:val="0000FF"/>
      <w:u w:val="single"/>
    </w:rPr>
  </w:style>
  <w:style w:type="character" w:customStyle="1" w:styleId="Heading4Char">
    <w:name w:val="Heading 4 Char"/>
    <w:basedOn w:val="DefaultParagraphFont"/>
    <w:link w:val="Heading4"/>
    <w:uiPriority w:val="9"/>
    <w:rsid w:val="00E5494D"/>
    <w:rPr>
      <w:rFonts w:ascii="Arial" w:eastAsiaTheme="majorEastAsia" w:hAnsi="Arial" w:cstheme="majorBidi"/>
      <w:b/>
      <w:iCs/>
      <w:sz w:val="20"/>
    </w:rPr>
  </w:style>
  <w:style w:type="paragraph" w:styleId="FootnoteText">
    <w:name w:val="footnote text"/>
    <w:basedOn w:val="Normal"/>
    <w:link w:val="FootnoteTextChar"/>
    <w:uiPriority w:val="99"/>
    <w:semiHidden/>
    <w:unhideWhenUsed/>
    <w:rsid w:val="00522370"/>
    <w:rPr>
      <w:szCs w:val="20"/>
    </w:rPr>
  </w:style>
  <w:style w:type="character" w:customStyle="1" w:styleId="FootnoteTextChar">
    <w:name w:val="Footnote Text Char"/>
    <w:basedOn w:val="DefaultParagraphFont"/>
    <w:link w:val="FootnoteText"/>
    <w:uiPriority w:val="99"/>
    <w:semiHidden/>
    <w:rsid w:val="00522370"/>
    <w:rPr>
      <w:rFonts w:ascii="Gotham Light" w:hAnsi="Gotham Light"/>
      <w:sz w:val="20"/>
      <w:szCs w:val="20"/>
    </w:rPr>
  </w:style>
  <w:style w:type="character" w:styleId="FootnoteReference">
    <w:name w:val="footnote reference"/>
    <w:basedOn w:val="DefaultParagraphFont"/>
    <w:uiPriority w:val="99"/>
    <w:semiHidden/>
    <w:unhideWhenUsed/>
    <w:rsid w:val="00522370"/>
    <w:rPr>
      <w:vertAlign w:val="superscript"/>
    </w:rPr>
  </w:style>
  <w:style w:type="character" w:styleId="UnresolvedMention">
    <w:name w:val="Unresolved Mention"/>
    <w:basedOn w:val="DefaultParagraphFont"/>
    <w:uiPriority w:val="99"/>
    <w:rsid w:val="006E50F9"/>
    <w:rPr>
      <w:color w:val="605E5C"/>
      <w:shd w:val="clear" w:color="auto" w:fill="E1DFDD"/>
    </w:rPr>
  </w:style>
  <w:style w:type="character" w:styleId="Mention">
    <w:name w:val="Mention"/>
    <w:basedOn w:val="DefaultParagraphFont"/>
    <w:uiPriority w:val="99"/>
    <w:unhideWhenUsed/>
    <w:rsid w:val="00095F30"/>
    <w:rPr>
      <w:color w:val="2B579A"/>
      <w:shd w:val="clear" w:color="auto" w:fill="E1DFDD"/>
    </w:rPr>
  </w:style>
  <w:style w:type="paragraph" w:styleId="Revision">
    <w:name w:val="Revision"/>
    <w:hidden/>
    <w:uiPriority w:val="99"/>
    <w:semiHidden/>
    <w:rsid w:val="008C2DB8"/>
    <w:rPr>
      <w:rFonts w:ascii="Gotham Light" w:hAnsi="Gotham Light"/>
      <w:sz w:val="20"/>
    </w:rPr>
  </w:style>
  <w:style w:type="character" w:customStyle="1" w:styleId="ListParagraphChar">
    <w:name w:val="List Paragraph Char"/>
    <w:aliases w:val="Bullet List Char,FooterText Char,numbered Char,List Paragraph1 Char,Paragraphe de liste1 Char,Bulletr List Paragraph Char,列出段落 Char,列出段落1 Char,List Paragraph2 Char,List Paragraph21 Char,Listeafsnit1 Char,Parágrafo da Lista1 Char"/>
    <w:basedOn w:val="DefaultParagraphFont"/>
    <w:link w:val="ListParagraph"/>
    <w:uiPriority w:val="34"/>
    <w:qFormat/>
    <w:rsid w:val="003101F4"/>
    <w:rPr>
      <w:rFonts w:ascii="Gotham Light" w:hAnsi="Gotham Light"/>
      <w:sz w:val="20"/>
    </w:rPr>
  </w:style>
  <w:style w:type="character" w:styleId="FollowedHyperlink">
    <w:name w:val="FollowedHyperlink"/>
    <w:basedOn w:val="DefaultParagraphFont"/>
    <w:uiPriority w:val="99"/>
    <w:semiHidden/>
    <w:unhideWhenUsed/>
    <w:rsid w:val="006D0C8A"/>
    <w:rPr>
      <w:color w:val="A51D36" w:themeColor="followedHyperlink"/>
      <w:u w:val="single"/>
    </w:rPr>
  </w:style>
  <w:style w:type="paragraph" w:styleId="Caption">
    <w:name w:val="caption"/>
    <w:basedOn w:val="Normal"/>
    <w:next w:val="Normal"/>
    <w:uiPriority w:val="35"/>
    <w:unhideWhenUsed/>
    <w:qFormat/>
    <w:rsid w:val="00C423D9"/>
    <w:rPr>
      <w:rFonts w:cs="Arial"/>
      <w:b/>
      <w:szCs w:val="22"/>
    </w:rPr>
  </w:style>
  <w:style w:type="character" w:customStyle="1" w:styleId="Heading5Char">
    <w:name w:val="Heading 5 Char"/>
    <w:basedOn w:val="DefaultParagraphFont"/>
    <w:link w:val="Heading5"/>
    <w:uiPriority w:val="9"/>
    <w:rsid w:val="005E54BA"/>
    <w:rPr>
      <w:rFonts w:ascii="Arial" w:eastAsiaTheme="majorEastAsia" w:hAnsi="Arial" w:cstheme="majorBidi"/>
      <w:b/>
      <w:sz w:val="20"/>
    </w:rPr>
  </w:style>
  <w:style w:type="character" w:customStyle="1" w:styleId="Heading6Char">
    <w:name w:val="Heading 6 Char"/>
    <w:basedOn w:val="DefaultParagraphFont"/>
    <w:link w:val="Heading6"/>
    <w:uiPriority w:val="9"/>
    <w:rsid w:val="00BF5F55"/>
    <w:rPr>
      <w:rFonts w:ascii="Gotham Medium" w:eastAsiaTheme="majorEastAsia" w:hAnsi="Gotham Medium" w:cstheme="majorBidi"/>
      <w:color w:val="020A0A" w:themeColor="text1"/>
      <w:sz w:val="20"/>
    </w:rPr>
  </w:style>
  <w:style w:type="paragraph" w:styleId="Subtitle">
    <w:name w:val="Subtitle"/>
    <w:basedOn w:val="Normal"/>
    <w:next w:val="Normal"/>
    <w:link w:val="SubtitleChar"/>
    <w:uiPriority w:val="11"/>
    <w:qFormat/>
    <w:rsid w:val="00BF5F55"/>
    <w:pPr>
      <w:numPr>
        <w:ilvl w:val="1"/>
      </w:numPr>
      <w:spacing w:after="160"/>
    </w:pPr>
    <w:rPr>
      <w:rFonts w:asciiTheme="minorHAnsi" w:hAnsiTheme="minorHAnsi"/>
      <w:color w:val="1F9C9C" w:themeColor="text1" w:themeTint="A5"/>
      <w:spacing w:val="15"/>
      <w:szCs w:val="22"/>
    </w:rPr>
  </w:style>
  <w:style w:type="character" w:customStyle="1" w:styleId="SubtitleChar">
    <w:name w:val="Subtitle Char"/>
    <w:basedOn w:val="DefaultParagraphFont"/>
    <w:link w:val="Subtitle"/>
    <w:uiPriority w:val="11"/>
    <w:rsid w:val="00BF5F55"/>
    <w:rPr>
      <w:color w:val="1F9C9C" w:themeColor="text1" w:themeTint="A5"/>
      <w:spacing w:val="15"/>
      <w:sz w:val="22"/>
      <w:szCs w:val="22"/>
    </w:rPr>
  </w:style>
  <w:style w:type="character" w:customStyle="1" w:styleId="normaltextrun">
    <w:name w:val="normaltextrun"/>
    <w:basedOn w:val="DefaultParagraphFont"/>
    <w:rsid w:val="00A37D2C"/>
  </w:style>
  <w:style w:type="paragraph" w:customStyle="1" w:styleId="PulloutBullet">
    <w:name w:val="Pullout Bullet"/>
    <w:basedOn w:val="Normal"/>
    <w:link w:val="PulloutBulletChar"/>
    <w:uiPriority w:val="8"/>
    <w:qFormat/>
    <w:rsid w:val="004606FC"/>
    <w:pPr>
      <w:numPr>
        <w:numId w:val="2"/>
      </w:numPr>
      <w:spacing w:before="60" w:after="60" w:line="254" w:lineRule="auto"/>
    </w:pPr>
    <w:rPr>
      <w:rFonts w:asciiTheme="minorHAnsi" w:eastAsiaTheme="minorHAnsi" w:hAnsiTheme="minorHAnsi"/>
      <w:sz w:val="16"/>
      <w:szCs w:val="22"/>
    </w:rPr>
  </w:style>
  <w:style w:type="paragraph" w:customStyle="1" w:styleId="PulloutBullet2">
    <w:name w:val="Pullout Bullet 2"/>
    <w:basedOn w:val="PulloutBullet"/>
    <w:uiPriority w:val="8"/>
    <w:qFormat/>
    <w:rsid w:val="004606FC"/>
    <w:pPr>
      <w:numPr>
        <w:ilvl w:val="1"/>
      </w:numPr>
    </w:pPr>
  </w:style>
  <w:style w:type="character" w:customStyle="1" w:styleId="PulloutBulletChar">
    <w:name w:val="Pullout Bullet Char"/>
    <w:basedOn w:val="DefaultParagraphFont"/>
    <w:link w:val="PulloutBullet"/>
    <w:uiPriority w:val="8"/>
    <w:rsid w:val="00464662"/>
    <w:rPr>
      <w:rFonts w:eastAsiaTheme="minorHAnsi"/>
      <w:sz w:val="16"/>
      <w:szCs w:val="22"/>
    </w:rPr>
  </w:style>
  <w:style w:type="character" w:customStyle="1" w:styleId="Heading9Char">
    <w:name w:val="Heading 9 Char"/>
    <w:basedOn w:val="DefaultParagraphFont"/>
    <w:link w:val="Heading9"/>
    <w:uiPriority w:val="9"/>
    <w:semiHidden/>
    <w:rsid w:val="005D441E"/>
    <w:rPr>
      <w:rFonts w:asciiTheme="majorHAnsi" w:eastAsiaTheme="majorEastAsia" w:hAnsiTheme="majorHAnsi" w:cstheme="majorBidi"/>
      <w:i/>
      <w:iCs/>
      <w:color w:val="0E4949" w:themeColor="text1" w:themeTint="D8"/>
      <w:sz w:val="21"/>
      <w:szCs w:val="21"/>
    </w:rPr>
  </w:style>
  <w:style w:type="paragraph" w:customStyle="1" w:styleId="Subheading">
    <w:name w:val="Sub heading"/>
    <w:basedOn w:val="Normal"/>
    <w:next w:val="Heading3"/>
    <w:link w:val="SubheadingChar"/>
    <w:qFormat/>
    <w:rsid w:val="005D441E"/>
    <w:pPr>
      <w:autoSpaceDE w:val="0"/>
      <w:autoSpaceDN w:val="0"/>
      <w:adjustRightInd w:val="0"/>
      <w:spacing w:after="120"/>
    </w:pPr>
    <w:rPr>
      <w:rFonts w:ascii="Gotham Medium" w:hAnsi="Gotham Medium"/>
      <w:bCs/>
      <w:iCs/>
      <w:color w:val="020A0A" w:themeColor="text1"/>
      <w:szCs w:val="22"/>
    </w:rPr>
  </w:style>
  <w:style w:type="character" w:customStyle="1" w:styleId="SubheadingChar">
    <w:name w:val="Sub heading Char"/>
    <w:basedOn w:val="DefaultParagraphFont"/>
    <w:link w:val="Subheading"/>
    <w:rsid w:val="005D441E"/>
    <w:rPr>
      <w:rFonts w:ascii="Gotham Medium" w:hAnsi="Gotham Medium"/>
      <w:bCs/>
      <w:iCs/>
      <w:color w:val="020A0A" w:themeColor="text1"/>
      <w:sz w:val="22"/>
      <w:szCs w:val="22"/>
    </w:rPr>
  </w:style>
  <w:style w:type="paragraph" w:customStyle="1" w:styleId="TableTextHeading">
    <w:name w:val="Table Text Heading"/>
    <w:basedOn w:val="Normal"/>
    <w:link w:val="TableTextHeadingChar"/>
    <w:uiPriority w:val="13"/>
    <w:rsid w:val="007147A1"/>
    <w:pPr>
      <w:spacing w:before="60" w:after="60" w:line="264" w:lineRule="auto"/>
      <w:jc w:val="center"/>
    </w:pPr>
    <w:rPr>
      <w:rFonts w:eastAsiaTheme="minorHAnsi"/>
      <w:b/>
      <w:sz w:val="19"/>
      <w:szCs w:val="18"/>
    </w:rPr>
  </w:style>
  <w:style w:type="paragraph" w:customStyle="1" w:styleId="TableText">
    <w:name w:val="Table Text"/>
    <w:basedOn w:val="Normal"/>
    <w:link w:val="TableTextChar"/>
    <w:autoRedefine/>
    <w:uiPriority w:val="14"/>
    <w:qFormat/>
    <w:rsid w:val="007147A1"/>
    <w:pPr>
      <w:spacing w:before="60" w:after="60" w:line="264" w:lineRule="auto"/>
    </w:pPr>
    <w:rPr>
      <w:rFonts w:eastAsiaTheme="minorHAnsi"/>
      <w:sz w:val="19"/>
      <w:szCs w:val="19"/>
    </w:rPr>
  </w:style>
  <w:style w:type="paragraph" w:customStyle="1" w:styleId="TableTextRight">
    <w:name w:val="Table Text Right"/>
    <w:basedOn w:val="Normal"/>
    <w:uiPriority w:val="16"/>
    <w:qFormat/>
    <w:rsid w:val="007147A1"/>
    <w:pPr>
      <w:spacing w:before="60" w:after="60" w:line="264" w:lineRule="auto"/>
      <w:jc w:val="right"/>
    </w:pPr>
    <w:rPr>
      <w:rFonts w:eastAsiaTheme="minorHAnsi"/>
      <w:sz w:val="19"/>
      <w:szCs w:val="18"/>
    </w:rPr>
  </w:style>
  <w:style w:type="character" w:customStyle="1" w:styleId="Bold">
    <w:name w:val="Bold"/>
    <w:basedOn w:val="DefaultParagraphFont"/>
    <w:uiPriority w:val="1"/>
    <w:qFormat/>
    <w:rsid w:val="007147A1"/>
    <w:rPr>
      <w:rFonts w:ascii="Arial Bold" w:hAnsi="Arial Bold"/>
      <w:b/>
      <w:sz w:val="19"/>
    </w:rPr>
  </w:style>
  <w:style w:type="character" w:customStyle="1" w:styleId="TableTextHeadingChar">
    <w:name w:val="Table Text Heading Char"/>
    <w:basedOn w:val="DefaultParagraphFont"/>
    <w:link w:val="TableTextHeading"/>
    <w:uiPriority w:val="13"/>
    <w:rsid w:val="007147A1"/>
    <w:rPr>
      <w:rFonts w:ascii="Arial" w:eastAsiaTheme="minorHAnsi" w:hAnsi="Arial"/>
      <w:b/>
      <w:sz w:val="19"/>
      <w:szCs w:val="18"/>
    </w:rPr>
  </w:style>
  <w:style w:type="character" w:customStyle="1" w:styleId="TableTextChar">
    <w:name w:val="Table Text Char"/>
    <w:basedOn w:val="DefaultParagraphFont"/>
    <w:link w:val="TableText"/>
    <w:uiPriority w:val="14"/>
    <w:rsid w:val="007147A1"/>
    <w:rPr>
      <w:rFonts w:ascii="Arial" w:eastAsiaTheme="minorHAnsi" w:hAnsi="Arial"/>
      <w:sz w:val="19"/>
      <w:szCs w:val="19"/>
    </w:rPr>
  </w:style>
  <w:style w:type="paragraph" w:customStyle="1" w:styleId="EstimatesBullet1">
    <w:name w:val="Estimates_Bullet 1"/>
    <w:basedOn w:val="Normal"/>
    <w:rsid w:val="0052073B"/>
    <w:pPr>
      <w:numPr>
        <w:numId w:val="6"/>
      </w:numPr>
      <w:ind w:right="-143"/>
    </w:pPr>
    <w:rPr>
      <w:rFonts w:eastAsia="Times New Roman" w:cs="Times New Roman"/>
      <w:spacing w:val="-3"/>
      <w:sz w:val="24"/>
      <w:lang w:eastAsia="en-AU"/>
    </w:rPr>
  </w:style>
  <w:style w:type="character" w:customStyle="1" w:styleId="ui-provider">
    <w:name w:val="ui-provider"/>
    <w:basedOn w:val="DefaultParagraphFont"/>
    <w:rsid w:val="0052073B"/>
  </w:style>
  <w:style w:type="paragraph" w:customStyle="1" w:styleId="paragraph">
    <w:name w:val="paragraph"/>
    <w:basedOn w:val="Normal"/>
    <w:rsid w:val="004B69EC"/>
    <w:pPr>
      <w:spacing w:before="100" w:beforeAutospacing="1" w:after="100" w:afterAutospacing="1"/>
    </w:pPr>
    <w:rPr>
      <w:rFonts w:ascii="Times New Roman" w:eastAsia="Times New Roman" w:hAnsi="Times New Roman" w:cs="Times New Roman"/>
      <w:sz w:val="24"/>
      <w:lang w:eastAsia="en-AU"/>
    </w:rPr>
  </w:style>
  <w:style w:type="character" w:customStyle="1" w:styleId="eop">
    <w:name w:val="eop"/>
    <w:basedOn w:val="DefaultParagraphFont"/>
    <w:rsid w:val="004B69EC"/>
  </w:style>
  <w:style w:type="character" w:styleId="Strong">
    <w:name w:val="Strong"/>
    <w:basedOn w:val="DefaultParagraphFont"/>
    <w:uiPriority w:val="22"/>
    <w:qFormat/>
    <w:rsid w:val="005C6A07"/>
    <w:rPr>
      <w:b/>
      <w:bCs/>
    </w:rPr>
  </w:style>
  <w:style w:type="paragraph" w:styleId="Title">
    <w:name w:val="Title"/>
    <w:basedOn w:val="Normal"/>
    <w:next w:val="Normal"/>
    <w:link w:val="TitleChar"/>
    <w:uiPriority w:val="10"/>
    <w:qFormat/>
    <w:rsid w:val="003F20F2"/>
    <w:pPr>
      <w:spacing w:after="80"/>
      <w:contextualSpacing/>
    </w:pPr>
    <w:rPr>
      <w:rFonts w:eastAsiaTheme="majorEastAsia" w:cstheme="majorBidi"/>
      <w:b/>
      <w:spacing w:val="-10"/>
      <w:kern w:val="28"/>
      <w:sz w:val="56"/>
      <w:szCs w:val="56"/>
      <w14:ligatures w14:val="standardContextual"/>
    </w:rPr>
  </w:style>
  <w:style w:type="character" w:customStyle="1" w:styleId="TitleChar">
    <w:name w:val="Title Char"/>
    <w:basedOn w:val="DefaultParagraphFont"/>
    <w:link w:val="Title"/>
    <w:uiPriority w:val="10"/>
    <w:rsid w:val="006E7141"/>
    <w:rPr>
      <w:rFonts w:ascii="Arial" w:eastAsiaTheme="majorEastAsia" w:hAnsi="Arial" w:cstheme="majorBidi"/>
      <w:b/>
      <w:spacing w:val="-10"/>
      <w:kern w:val="28"/>
      <w:sz w:val="56"/>
      <w:szCs w:val="56"/>
      <w14:ligatures w14:val="standardContextual"/>
    </w:rPr>
  </w:style>
  <w:style w:type="character" w:customStyle="1" w:styleId="Heading7Char">
    <w:name w:val="Heading 7 Char"/>
    <w:basedOn w:val="DefaultParagraphFont"/>
    <w:link w:val="Heading7"/>
    <w:uiPriority w:val="9"/>
    <w:rsid w:val="00AB703E"/>
    <w:rPr>
      <w:rFonts w:asciiTheme="majorHAnsi" w:eastAsiaTheme="majorEastAsia" w:hAnsiTheme="majorHAnsi" w:cstheme="majorBidi"/>
      <w:i/>
      <w:iCs/>
      <w:color w:val="00475C" w:themeColor="accent1" w:themeShade="7F"/>
      <w:sz w:val="20"/>
    </w:rPr>
  </w:style>
  <w:style w:type="character" w:customStyle="1" w:styleId="Heading8Char">
    <w:name w:val="Heading 8 Char"/>
    <w:basedOn w:val="DefaultParagraphFont"/>
    <w:link w:val="Heading8"/>
    <w:uiPriority w:val="9"/>
    <w:rsid w:val="00AB703E"/>
    <w:rPr>
      <w:rFonts w:asciiTheme="majorHAnsi" w:eastAsiaTheme="majorEastAsia" w:hAnsiTheme="majorHAnsi" w:cstheme="majorBidi"/>
      <w:color w:val="0E4949" w:themeColor="text1" w:themeTint="D8"/>
      <w:sz w:val="21"/>
      <w:szCs w:val="21"/>
    </w:rPr>
  </w:style>
  <w:style w:type="paragraph" w:styleId="ListBullet">
    <w:name w:val="List Bullet"/>
    <w:basedOn w:val="Normal"/>
    <w:uiPriority w:val="9"/>
    <w:rsid w:val="008217FE"/>
    <w:pPr>
      <w:numPr>
        <w:numId w:val="15"/>
      </w:numPr>
      <w:spacing w:before="60" w:after="60" w:line="264" w:lineRule="auto"/>
    </w:pPr>
    <w:rPr>
      <w:rFonts w:eastAsiaTheme="minorHAnsi"/>
      <w:sz w:val="19"/>
      <w:szCs w:val="18"/>
    </w:rPr>
  </w:style>
  <w:style w:type="table" w:styleId="TableGridLight">
    <w:name w:val="Grid Table Light"/>
    <w:basedOn w:val="TableNormal"/>
    <w:uiPriority w:val="40"/>
    <w:rsid w:val="00A44B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C106A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BA166B"/>
  </w:style>
  <w:style w:type="table" w:styleId="PlainTable1">
    <w:name w:val="Plain Table 1"/>
    <w:basedOn w:val="TableNormal"/>
    <w:uiPriority w:val="41"/>
    <w:rsid w:val="00C267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3C1809"/>
    <w:rPr>
      <w:sz w:val="20"/>
      <w:szCs w:val="20"/>
    </w:rPr>
  </w:style>
  <w:style w:type="character" w:customStyle="1" w:styleId="EndnoteTextChar">
    <w:name w:val="Endnote Text Char"/>
    <w:basedOn w:val="DefaultParagraphFont"/>
    <w:link w:val="EndnoteText"/>
    <w:uiPriority w:val="99"/>
    <w:semiHidden/>
    <w:rsid w:val="003C1809"/>
    <w:rPr>
      <w:rFonts w:ascii="Arial" w:hAnsi="Arial"/>
      <w:sz w:val="20"/>
      <w:szCs w:val="20"/>
    </w:rPr>
  </w:style>
  <w:style w:type="character" w:styleId="EndnoteReference">
    <w:name w:val="endnote reference"/>
    <w:basedOn w:val="DefaultParagraphFont"/>
    <w:uiPriority w:val="99"/>
    <w:semiHidden/>
    <w:unhideWhenUsed/>
    <w:rsid w:val="003C1809"/>
    <w:rPr>
      <w:vertAlign w:val="superscript"/>
    </w:rPr>
  </w:style>
  <w:style w:type="paragraph" w:customStyle="1" w:styleId="TableParagraph">
    <w:name w:val="Table Paragraph"/>
    <w:basedOn w:val="Normal"/>
    <w:uiPriority w:val="1"/>
    <w:qFormat/>
    <w:rsid w:val="004C1897"/>
    <w:pPr>
      <w:widowControl w:val="0"/>
      <w:autoSpaceDE w:val="0"/>
      <w:autoSpaceDN w:val="0"/>
      <w:spacing w:before="100"/>
      <w:ind w:left="104"/>
    </w:pPr>
    <w:rPr>
      <w:rFonts w:eastAsia="Arial" w:cs="Arial"/>
      <w:szCs w:val="22"/>
      <w:lang w:val="en-US"/>
    </w:rPr>
  </w:style>
  <w:style w:type="paragraph" w:styleId="BodyText">
    <w:name w:val="Body Text"/>
    <w:basedOn w:val="Normal"/>
    <w:link w:val="BodyTextChar"/>
    <w:uiPriority w:val="1"/>
    <w:qFormat/>
    <w:rsid w:val="00C55868"/>
    <w:pPr>
      <w:widowControl w:val="0"/>
      <w:autoSpaceDE w:val="0"/>
      <w:autoSpaceDN w:val="0"/>
    </w:pPr>
    <w:rPr>
      <w:rFonts w:eastAsia="Arial" w:cs="Arial"/>
      <w:i/>
      <w:iCs/>
      <w:sz w:val="16"/>
      <w:szCs w:val="16"/>
      <w:lang w:val="en-US"/>
    </w:rPr>
  </w:style>
  <w:style w:type="character" w:customStyle="1" w:styleId="BodyTextChar">
    <w:name w:val="Body Text Char"/>
    <w:basedOn w:val="DefaultParagraphFont"/>
    <w:link w:val="BodyText"/>
    <w:uiPriority w:val="1"/>
    <w:rsid w:val="00C55868"/>
    <w:rPr>
      <w:rFonts w:ascii="Arial" w:eastAsia="Arial" w:hAnsi="Arial" w:cs="Arial"/>
      <w:i/>
      <w:iCs/>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4247">
      <w:bodyDiv w:val="1"/>
      <w:marLeft w:val="0"/>
      <w:marRight w:val="0"/>
      <w:marTop w:val="0"/>
      <w:marBottom w:val="0"/>
      <w:divBdr>
        <w:top w:val="none" w:sz="0" w:space="0" w:color="auto"/>
        <w:left w:val="none" w:sz="0" w:space="0" w:color="auto"/>
        <w:bottom w:val="none" w:sz="0" w:space="0" w:color="auto"/>
        <w:right w:val="none" w:sz="0" w:space="0" w:color="auto"/>
      </w:divBdr>
    </w:div>
    <w:div w:id="5792483">
      <w:bodyDiv w:val="1"/>
      <w:marLeft w:val="0"/>
      <w:marRight w:val="0"/>
      <w:marTop w:val="0"/>
      <w:marBottom w:val="0"/>
      <w:divBdr>
        <w:top w:val="none" w:sz="0" w:space="0" w:color="auto"/>
        <w:left w:val="none" w:sz="0" w:space="0" w:color="auto"/>
        <w:bottom w:val="none" w:sz="0" w:space="0" w:color="auto"/>
        <w:right w:val="none" w:sz="0" w:space="0" w:color="auto"/>
      </w:divBdr>
    </w:div>
    <w:div w:id="15544180">
      <w:bodyDiv w:val="1"/>
      <w:marLeft w:val="0"/>
      <w:marRight w:val="0"/>
      <w:marTop w:val="0"/>
      <w:marBottom w:val="0"/>
      <w:divBdr>
        <w:top w:val="none" w:sz="0" w:space="0" w:color="auto"/>
        <w:left w:val="none" w:sz="0" w:space="0" w:color="auto"/>
        <w:bottom w:val="none" w:sz="0" w:space="0" w:color="auto"/>
        <w:right w:val="none" w:sz="0" w:space="0" w:color="auto"/>
      </w:divBdr>
    </w:div>
    <w:div w:id="18241130">
      <w:bodyDiv w:val="1"/>
      <w:marLeft w:val="0"/>
      <w:marRight w:val="0"/>
      <w:marTop w:val="0"/>
      <w:marBottom w:val="0"/>
      <w:divBdr>
        <w:top w:val="none" w:sz="0" w:space="0" w:color="auto"/>
        <w:left w:val="none" w:sz="0" w:space="0" w:color="auto"/>
        <w:bottom w:val="none" w:sz="0" w:space="0" w:color="auto"/>
        <w:right w:val="none" w:sz="0" w:space="0" w:color="auto"/>
      </w:divBdr>
      <w:divsChild>
        <w:div w:id="722026587">
          <w:marLeft w:val="0"/>
          <w:marRight w:val="0"/>
          <w:marTop w:val="0"/>
          <w:marBottom w:val="0"/>
          <w:divBdr>
            <w:top w:val="none" w:sz="0" w:space="0" w:color="auto"/>
            <w:left w:val="none" w:sz="0" w:space="0" w:color="auto"/>
            <w:bottom w:val="none" w:sz="0" w:space="0" w:color="auto"/>
            <w:right w:val="none" w:sz="0" w:space="0" w:color="auto"/>
          </w:divBdr>
          <w:divsChild>
            <w:div w:id="1364210155">
              <w:marLeft w:val="0"/>
              <w:marRight w:val="0"/>
              <w:marTop w:val="0"/>
              <w:marBottom w:val="0"/>
              <w:divBdr>
                <w:top w:val="none" w:sz="0" w:space="0" w:color="auto"/>
                <w:left w:val="none" w:sz="0" w:space="0" w:color="auto"/>
                <w:bottom w:val="none" w:sz="0" w:space="0" w:color="auto"/>
                <w:right w:val="none" w:sz="0" w:space="0" w:color="auto"/>
              </w:divBdr>
              <w:divsChild>
                <w:div w:id="1651252645">
                  <w:marLeft w:val="0"/>
                  <w:marRight w:val="0"/>
                  <w:marTop w:val="0"/>
                  <w:marBottom w:val="0"/>
                  <w:divBdr>
                    <w:top w:val="none" w:sz="0" w:space="0" w:color="auto"/>
                    <w:left w:val="none" w:sz="0" w:space="0" w:color="auto"/>
                    <w:bottom w:val="none" w:sz="0" w:space="0" w:color="auto"/>
                    <w:right w:val="none" w:sz="0" w:space="0" w:color="auto"/>
                  </w:divBdr>
                  <w:divsChild>
                    <w:div w:id="851064625">
                      <w:marLeft w:val="0"/>
                      <w:marRight w:val="0"/>
                      <w:marTop w:val="0"/>
                      <w:marBottom w:val="0"/>
                      <w:divBdr>
                        <w:top w:val="none" w:sz="0" w:space="0" w:color="auto"/>
                        <w:left w:val="none" w:sz="0" w:space="0" w:color="auto"/>
                        <w:bottom w:val="none" w:sz="0" w:space="0" w:color="auto"/>
                        <w:right w:val="none" w:sz="0" w:space="0" w:color="auto"/>
                      </w:divBdr>
                      <w:divsChild>
                        <w:div w:id="685910357">
                          <w:marLeft w:val="0"/>
                          <w:marRight w:val="0"/>
                          <w:marTop w:val="0"/>
                          <w:marBottom w:val="0"/>
                          <w:divBdr>
                            <w:top w:val="none" w:sz="0" w:space="0" w:color="auto"/>
                            <w:left w:val="none" w:sz="0" w:space="0" w:color="auto"/>
                            <w:bottom w:val="none" w:sz="0" w:space="0" w:color="auto"/>
                            <w:right w:val="none" w:sz="0" w:space="0" w:color="auto"/>
                          </w:divBdr>
                          <w:divsChild>
                            <w:div w:id="6552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08284">
      <w:bodyDiv w:val="1"/>
      <w:marLeft w:val="0"/>
      <w:marRight w:val="0"/>
      <w:marTop w:val="0"/>
      <w:marBottom w:val="0"/>
      <w:divBdr>
        <w:top w:val="none" w:sz="0" w:space="0" w:color="auto"/>
        <w:left w:val="none" w:sz="0" w:space="0" w:color="auto"/>
        <w:bottom w:val="none" w:sz="0" w:space="0" w:color="auto"/>
        <w:right w:val="none" w:sz="0" w:space="0" w:color="auto"/>
      </w:divBdr>
    </w:div>
    <w:div w:id="24840291">
      <w:bodyDiv w:val="1"/>
      <w:marLeft w:val="0"/>
      <w:marRight w:val="0"/>
      <w:marTop w:val="0"/>
      <w:marBottom w:val="0"/>
      <w:divBdr>
        <w:top w:val="none" w:sz="0" w:space="0" w:color="auto"/>
        <w:left w:val="none" w:sz="0" w:space="0" w:color="auto"/>
        <w:bottom w:val="none" w:sz="0" w:space="0" w:color="auto"/>
        <w:right w:val="none" w:sz="0" w:space="0" w:color="auto"/>
      </w:divBdr>
    </w:div>
    <w:div w:id="31544440">
      <w:bodyDiv w:val="1"/>
      <w:marLeft w:val="0"/>
      <w:marRight w:val="0"/>
      <w:marTop w:val="0"/>
      <w:marBottom w:val="0"/>
      <w:divBdr>
        <w:top w:val="none" w:sz="0" w:space="0" w:color="auto"/>
        <w:left w:val="none" w:sz="0" w:space="0" w:color="auto"/>
        <w:bottom w:val="none" w:sz="0" w:space="0" w:color="auto"/>
        <w:right w:val="none" w:sz="0" w:space="0" w:color="auto"/>
      </w:divBdr>
      <w:divsChild>
        <w:div w:id="637036107">
          <w:marLeft w:val="0"/>
          <w:marRight w:val="0"/>
          <w:marTop w:val="0"/>
          <w:marBottom w:val="0"/>
          <w:divBdr>
            <w:top w:val="none" w:sz="0" w:space="0" w:color="auto"/>
            <w:left w:val="none" w:sz="0" w:space="0" w:color="auto"/>
            <w:bottom w:val="none" w:sz="0" w:space="0" w:color="auto"/>
            <w:right w:val="none" w:sz="0" w:space="0" w:color="auto"/>
          </w:divBdr>
        </w:div>
        <w:div w:id="724568489">
          <w:marLeft w:val="0"/>
          <w:marRight w:val="0"/>
          <w:marTop w:val="0"/>
          <w:marBottom w:val="0"/>
          <w:divBdr>
            <w:top w:val="none" w:sz="0" w:space="0" w:color="auto"/>
            <w:left w:val="none" w:sz="0" w:space="0" w:color="auto"/>
            <w:bottom w:val="none" w:sz="0" w:space="0" w:color="auto"/>
            <w:right w:val="none" w:sz="0" w:space="0" w:color="auto"/>
          </w:divBdr>
        </w:div>
        <w:div w:id="930040536">
          <w:marLeft w:val="0"/>
          <w:marRight w:val="0"/>
          <w:marTop w:val="0"/>
          <w:marBottom w:val="0"/>
          <w:divBdr>
            <w:top w:val="none" w:sz="0" w:space="0" w:color="auto"/>
            <w:left w:val="none" w:sz="0" w:space="0" w:color="auto"/>
            <w:bottom w:val="none" w:sz="0" w:space="0" w:color="auto"/>
            <w:right w:val="none" w:sz="0" w:space="0" w:color="auto"/>
          </w:divBdr>
        </w:div>
        <w:div w:id="1723560778">
          <w:marLeft w:val="0"/>
          <w:marRight w:val="0"/>
          <w:marTop w:val="0"/>
          <w:marBottom w:val="0"/>
          <w:divBdr>
            <w:top w:val="none" w:sz="0" w:space="0" w:color="auto"/>
            <w:left w:val="none" w:sz="0" w:space="0" w:color="auto"/>
            <w:bottom w:val="none" w:sz="0" w:space="0" w:color="auto"/>
            <w:right w:val="none" w:sz="0" w:space="0" w:color="auto"/>
          </w:divBdr>
        </w:div>
        <w:div w:id="1728406930">
          <w:marLeft w:val="0"/>
          <w:marRight w:val="0"/>
          <w:marTop w:val="0"/>
          <w:marBottom w:val="0"/>
          <w:divBdr>
            <w:top w:val="none" w:sz="0" w:space="0" w:color="auto"/>
            <w:left w:val="none" w:sz="0" w:space="0" w:color="auto"/>
            <w:bottom w:val="none" w:sz="0" w:space="0" w:color="auto"/>
            <w:right w:val="none" w:sz="0" w:space="0" w:color="auto"/>
          </w:divBdr>
          <w:divsChild>
            <w:div w:id="191185470">
              <w:marLeft w:val="-75"/>
              <w:marRight w:val="0"/>
              <w:marTop w:val="30"/>
              <w:marBottom w:val="30"/>
              <w:divBdr>
                <w:top w:val="none" w:sz="0" w:space="0" w:color="auto"/>
                <w:left w:val="none" w:sz="0" w:space="0" w:color="auto"/>
                <w:bottom w:val="none" w:sz="0" w:space="0" w:color="auto"/>
                <w:right w:val="none" w:sz="0" w:space="0" w:color="auto"/>
              </w:divBdr>
              <w:divsChild>
                <w:div w:id="7565749">
                  <w:marLeft w:val="0"/>
                  <w:marRight w:val="0"/>
                  <w:marTop w:val="0"/>
                  <w:marBottom w:val="0"/>
                  <w:divBdr>
                    <w:top w:val="none" w:sz="0" w:space="0" w:color="auto"/>
                    <w:left w:val="none" w:sz="0" w:space="0" w:color="auto"/>
                    <w:bottom w:val="none" w:sz="0" w:space="0" w:color="auto"/>
                    <w:right w:val="none" w:sz="0" w:space="0" w:color="auto"/>
                  </w:divBdr>
                  <w:divsChild>
                    <w:div w:id="901066568">
                      <w:marLeft w:val="0"/>
                      <w:marRight w:val="0"/>
                      <w:marTop w:val="0"/>
                      <w:marBottom w:val="0"/>
                      <w:divBdr>
                        <w:top w:val="none" w:sz="0" w:space="0" w:color="auto"/>
                        <w:left w:val="none" w:sz="0" w:space="0" w:color="auto"/>
                        <w:bottom w:val="none" w:sz="0" w:space="0" w:color="auto"/>
                        <w:right w:val="none" w:sz="0" w:space="0" w:color="auto"/>
                      </w:divBdr>
                    </w:div>
                  </w:divsChild>
                </w:div>
                <w:div w:id="48765833">
                  <w:marLeft w:val="0"/>
                  <w:marRight w:val="0"/>
                  <w:marTop w:val="0"/>
                  <w:marBottom w:val="0"/>
                  <w:divBdr>
                    <w:top w:val="none" w:sz="0" w:space="0" w:color="auto"/>
                    <w:left w:val="none" w:sz="0" w:space="0" w:color="auto"/>
                    <w:bottom w:val="none" w:sz="0" w:space="0" w:color="auto"/>
                    <w:right w:val="none" w:sz="0" w:space="0" w:color="auto"/>
                  </w:divBdr>
                  <w:divsChild>
                    <w:div w:id="1486893783">
                      <w:marLeft w:val="0"/>
                      <w:marRight w:val="0"/>
                      <w:marTop w:val="0"/>
                      <w:marBottom w:val="0"/>
                      <w:divBdr>
                        <w:top w:val="none" w:sz="0" w:space="0" w:color="auto"/>
                        <w:left w:val="none" w:sz="0" w:space="0" w:color="auto"/>
                        <w:bottom w:val="none" w:sz="0" w:space="0" w:color="auto"/>
                        <w:right w:val="none" w:sz="0" w:space="0" w:color="auto"/>
                      </w:divBdr>
                    </w:div>
                  </w:divsChild>
                </w:div>
                <w:div w:id="55058229">
                  <w:marLeft w:val="0"/>
                  <w:marRight w:val="0"/>
                  <w:marTop w:val="0"/>
                  <w:marBottom w:val="0"/>
                  <w:divBdr>
                    <w:top w:val="none" w:sz="0" w:space="0" w:color="auto"/>
                    <w:left w:val="none" w:sz="0" w:space="0" w:color="auto"/>
                    <w:bottom w:val="none" w:sz="0" w:space="0" w:color="auto"/>
                    <w:right w:val="none" w:sz="0" w:space="0" w:color="auto"/>
                  </w:divBdr>
                  <w:divsChild>
                    <w:div w:id="1000352888">
                      <w:marLeft w:val="0"/>
                      <w:marRight w:val="0"/>
                      <w:marTop w:val="0"/>
                      <w:marBottom w:val="0"/>
                      <w:divBdr>
                        <w:top w:val="none" w:sz="0" w:space="0" w:color="auto"/>
                        <w:left w:val="none" w:sz="0" w:space="0" w:color="auto"/>
                        <w:bottom w:val="none" w:sz="0" w:space="0" w:color="auto"/>
                        <w:right w:val="none" w:sz="0" w:space="0" w:color="auto"/>
                      </w:divBdr>
                    </w:div>
                  </w:divsChild>
                </w:div>
                <w:div w:id="63644121">
                  <w:marLeft w:val="0"/>
                  <w:marRight w:val="0"/>
                  <w:marTop w:val="0"/>
                  <w:marBottom w:val="0"/>
                  <w:divBdr>
                    <w:top w:val="none" w:sz="0" w:space="0" w:color="auto"/>
                    <w:left w:val="none" w:sz="0" w:space="0" w:color="auto"/>
                    <w:bottom w:val="none" w:sz="0" w:space="0" w:color="auto"/>
                    <w:right w:val="none" w:sz="0" w:space="0" w:color="auto"/>
                  </w:divBdr>
                  <w:divsChild>
                    <w:div w:id="915625376">
                      <w:marLeft w:val="0"/>
                      <w:marRight w:val="0"/>
                      <w:marTop w:val="0"/>
                      <w:marBottom w:val="0"/>
                      <w:divBdr>
                        <w:top w:val="none" w:sz="0" w:space="0" w:color="auto"/>
                        <w:left w:val="none" w:sz="0" w:space="0" w:color="auto"/>
                        <w:bottom w:val="none" w:sz="0" w:space="0" w:color="auto"/>
                        <w:right w:val="none" w:sz="0" w:space="0" w:color="auto"/>
                      </w:divBdr>
                    </w:div>
                  </w:divsChild>
                </w:div>
                <w:div w:id="80302961">
                  <w:marLeft w:val="0"/>
                  <w:marRight w:val="0"/>
                  <w:marTop w:val="0"/>
                  <w:marBottom w:val="0"/>
                  <w:divBdr>
                    <w:top w:val="none" w:sz="0" w:space="0" w:color="auto"/>
                    <w:left w:val="none" w:sz="0" w:space="0" w:color="auto"/>
                    <w:bottom w:val="none" w:sz="0" w:space="0" w:color="auto"/>
                    <w:right w:val="none" w:sz="0" w:space="0" w:color="auto"/>
                  </w:divBdr>
                  <w:divsChild>
                    <w:div w:id="1112746440">
                      <w:marLeft w:val="0"/>
                      <w:marRight w:val="0"/>
                      <w:marTop w:val="0"/>
                      <w:marBottom w:val="0"/>
                      <w:divBdr>
                        <w:top w:val="none" w:sz="0" w:space="0" w:color="auto"/>
                        <w:left w:val="none" w:sz="0" w:space="0" w:color="auto"/>
                        <w:bottom w:val="none" w:sz="0" w:space="0" w:color="auto"/>
                        <w:right w:val="none" w:sz="0" w:space="0" w:color="auto"/>
                      </w:divBdr>
                    </w:div>
                  </w:divsChild>
                </w:div>
                <w:div w:id="116991512">
                  <w:marLeft w:val="0"/>
                  <w:marRight w:val="0"/>
                  <w:marTop w:val="0"/>
                  <w:marBottom w:val="0"/>
                  <w:divBdr>
                    <w:top w:val="none" w:sz="0" w:space="0" w:color="auto"/>
                    <w:left w:val="none" w:sz="0" w:space="0" w:color="auto"/>
                    <w:bottom w:val="none" w:sz="0" w:space="0" w:color="auto"/>
                    <w:right w:val="none" w:sz="0" w:space="0" w:color="auto"/>
                  </w:divBdr>
                  <w:divsChild>
                    <w:div w:id="1467041817">
                      <w:marLeft w:val="0"/>
                      <w:marRight w:val="0"/>
                      <w:marTop w:val="0"/>
                      <w:marBottom w:val="0"/>
                      <w:divBdr>
                        <w:top w:val="none" w:sz="0" w:space="0" w:color="auto"/>
                        <w:left w:val="none" w:sz="0" w:space="0" w:color="auto"/>
                        <w:bottom w:val="none" w:sz="0" w:space="0" w:color="auto"/>
                        <w:right w:val="none" w:sz="0" w:space="0" w:color="auto"/>
                      </w:divBdr>
                    </w:div>
                  </w:divsChild>
                </w:div>
                <w:div w:id="159586310">
                  <w:marLeft w:val="0"/>
                  <w:marRight w:val="0"/>
                  <w:marTop w:val="0"/>
                  <w:marBottom w:val="0"/>
                  <w:divBdr>
                    <w:top w:val="none" w:sz="0" w:space="0" w:color="auto"/>
                    <w:left w:val="none" w:sz="0" w:space="0" w:color="auto"/>
                    <w:bottom w:val="none" w:sz="0" w:space="0" w:color="auto"/>
                    <w:right w:val="none" w:sz="0" w:space="0" w:color="auto"/>
                  </w:divBdr>
                  <w:divsChild>
                    <w:div w:id="875122550">
                      <w:marLeft w:val="0"/>
                      <w:marRight w:val="0"/>
                      <w:marTop w:val="0"/>
                      <w:marBottom w:val="0"/>
                      <w:divBdr>
                        <w:top w:val="none" w:sz="0" w:space="0" w:color="auto"/>
                        <w:left w:val="none" w:sz="0" w:space="0" w:color="auto"/>
                        <w:bottom w:val="none" w:sz="0" w:space="0" w:color="auto"/>
                        <w:right w:val="none" w:sz="0" w:space="0" w:color="auto"/>
                      </w:divBdr>
                    </w:div>
                  </w:divsChild>
                </w:div>
                <w:div w:id="219823871">
                  <w:marLeft w:val="0"/>
                  <w:marRight w:val="0"/>
                  <w:marTop w:val="0"/>
                  <w:marBottom w:val="0"/>
                  <w:divBdr>
                    <w:top w:val="none" w:sz="0" w:space="0" w:color="auto"/>
                    <w:left w:val="none" w:sz="0" w:space="0" w:color="auto"/>
                    <w:bottom w:val="none" w:sz="0" w:space="0" w:color="auto"/>
                    <w:right w:val="none" w:sz="0" w:space="0" w:color="auto"/>
                  </w:divBdr>
                  <w:divsChild>
                    <w:div w:id="804203934">
                      <w:marLeft w:val="0"/>
                      <w:marRight w:val="0"/>
                      <w:marTop w:val="0"/>
                      <w:marBottom w:val="0"/>
                      <w:divBdr>
                        <w:top w:val="none" w:sz="0" w:space="0" w:color="auto"/>
                        <w:left w:val="none" w:sz="0" w:space="0" w:color="auto"/>
                        <w:bottom w:val="none" w:sz="0" w:space="0" w:color="auto"/>
                        <w:right w:val="none" w:sz="0" w:space="0" w:color="auto"/>
                      </w:divBdr>
                    </w:div>
                  </w:divsChild>
                </w:div>
                <w:div w:id="308635516">
                  <w:marLeft w:val="0"/>
                  <w:marRight w:val="0"/>
                  <w:marTop w:val="0"/>
                  <w:marBottom w:val="0"/>
                  <w:divBdr>
                    <w:top w:val="none" w:sz="0" w:space="0" w:color="auto"/>
                    <w:left w:val="none" w:sz="0" w:space="0" w:color="auto"/>
                    <w:bottom w:val="none" w:sz="0" w:space="0" w:color="auto"/>
                    <w:right w:val="none" w:sz="0" w:space="0" w:color="auto"/>
                  </w:divBdr>
                  <w:divsChild>
                    <w:div w:id="1924103404">
                      <w:marLeft w:val="0"/>
                      <w:marRight w:val="0"/>
                      <w:marTop w:val="0"/>
                      <w:marBottom w:val="0"/>
                      <w:divBdr>
                        <w:top w:val="none" w:sz="0" w:space="0" w:color="auto"/>
                        <w:left w:val="none" w:sz="0" w:space="0" w:color="auto"/>
                        <w:bottom w:val="none" w:sz="0" w:space="0" w:color="auto"/>
                        <w:right w:val="none" w:sz="0" w:space="0" w:color="auto"/>
                      </w:divBdr>
                    </w:div>
                  </w:divsChild>
                </w:div>
                <w:div w:id="370155939">
                  <w:marLeft w:val="0"/>
                  <w:marRight w:val="0"/>
                  <w:marTop w:val="0"/>
                  <w:marBottom w:val="0"/>
                  <w:divBdr>
                    <w:top w:val="none" w:sz="0" w:space="0" w:color="auto"/>
                    <w:left w:val="none" w:sz="0" w:space="0" w:color="auto"/>
                    <w:bottom w:val="none" w:sz="0" w:space="0" w:color="auto"/>
                    <w:right w:val="none" w:sz="0" w:space="0" w:color="auto"/>
                  </w:divBdr>
                  <w:divsChild>
                    <w:div w:id="1580167013">
                      <w:marLeft w:val="0"/>
                      <w:marRight w:val="0"/>
                      <w:marTop w:val="0"/>
                      <w:marBottom w:val="0"/>
                      <w:divBdr>
                        <w:top w:val="none" w:sz="0" w:space="0" w:color="auto"/>
                        <w:left w:val="none" w:sz="0" w:space="0" w:color="auto"/>
                        <w:bottom w:val="none" w:sz="0" w:space="0" w:color="auto"/>
                        <w:right w:val="none" w:sz="0" w:space="0" w:color="auto"/>
                      </w:divBdr>
                    </w:div>
                  </w:divsChild>
                </w:div>
                <w:div w:id="409809795">
                  <w:marLeft w:val="0"/>
                  <w:marRight w:val="0"/>
                  <w:marTop w:val="0"/>
                  <w:marBottom w:val="0"/>
                  <w:divBdr>
                    <w:top w:val="none" w:sz="0" w:space="0" w:color="auto"/>
                    <w:left w:val="none" w:sz="0" w:space="0" w:color="auto"/>
                    <w:bottom w:val="none" w:sz="0" w:space="0" w:color="auto"/>
                    <w:right w:val="none" w:sz="0" w:space="0" w:color="auto"/>
                  </w:divBdr>
                  <w:divsChild>
                    <w:div w:id="2040934764">
                      <w:marLeft w:val="0"/>
                      <w:marRight w:val="0"/>
                      <w:marTop w:val="0"/>
                      <w:marBottom w:val="0"/>
                      <w:divBdr>
                        <w:top w:val="none" w:sz="0" w:space="0" w:color="auto"/>
                        <w:left w:val="none" w:sz="0" w:space="0" w:color="auto"/>
                        <w:bottom w:val="none" w:sz="0" w:space="0" w:color="auto"/>
                        <w:right w:val="none" w:sz="0" w:space="0" w:color="auto"/>
                      </w:divBdr>
                    </w:div>
                  </w:divsChild>
                </w:div>
                <w:div w:id="422801675">
                  <w:marLeft w:val="0"/>
                  <w:marRight w:val="0"/>
                  <w:marTop w:val="0"/>
                  <w:marBottom w:val="0"/>
                  <w:divBdr>
                    <w:top w:val="none" w:sz="0" w:space="0" w:color="auto"/>
                    <w:left w:val="none" w:sz="0" w:space="0" w:color="auto"/>
                    <w:bottom w:val="none" w:sz="0" w:space="0" w:color="auto"/>
                    <w:right w:val="none" w:sz="0" w:space="0" w:color="auto"/>
                  </w:divBdr>
                  <w:divsChild>
                    <w:div w:id="1409959094">
                      <w:marLeft w:val="0"/>
                      <w:marRight w:val="0"/>
                      <w:marTop w:val="0"/>
                      <w:marBottom w:val="0"/>
                      <w:divBdr>
                        <w:top w:val="none" w:sz="0" w:space="0" w:color="auto"/>
                        <w:left w:val="none" w:sz="0" w:space="0" w:color="auto"/>
                        <w:bottom w:val="none" w:sz="0" w:space="0" w:color="auto"/>
                        <w:right w:val="none" w:sz="0" w:space="0" w:color="auto"/>
                      </w:divBdr>
                    </w:div>
                  </w:divsChild>
                </w:div>
                <w:div w:id="461004824">
                  <w:marLeft w:val="0"/>
                  <w:marRight w:val="0"/>
                  <w:marTop w:val="0"/>
                  <w:marBottom w:val="0"/>
                  <w:divBdr>
                    <w:top w:val="none" w:sz="0" w:space="0" w:color="auto"/>
                    <w:left w:val="none" w:sz="0" w:space="0" w:color="auto"/>
                    <w:bottom w:val="none" w:sz="0" w:space="0" w:color="auto"/>
                    <w:right w:val="none" w:sz="0" w:space="0" w:color="auto"/>
                  </w:divBdr>
                  <w:divsChild>
                    <w:div w:id="174730874">
                      <w:marLeft w:val="0"/>
                      <w:marRight w:val="0"/>
                      <w:marTop w:val="0"/>
                      <w:marBottom w:val="0"/>
                      <w:divBdr>
                        <w:top w:val="none" w:sz="0" w:space="0" w:color="auto"/>
                        <w:left w:val="none" w:sz="0" w:space="0" w:color="auto"/>
                        <w:bottom w:val="none" w:sz="0" w:space="0" w:color="auto"/>
                        <w:right w:val="none" w:sz="0" w:space="0" w:color="auto"/>
                      </w:divBdr>
                    </w:div>
                  </w:divsChild>
                </w:div>
                <w:div w:id="470755495">
                  <w:marLeft w:val="0"/>
                  <w:marRight w:val="0"/>
                  <w:marTop w:val="0"/>
                  <w:marBottom w:val="0"/>
                  <w:divBdr>
                    <w:top w:val="none" w:sz="0" w:space="0" w:color="auto"/>
                    <w:left w:val="none" w:sz="0" w:space="0" w:color="auto"/>
                    <w:bottom w:val="none" w:sz="0" w:space="0" w:color="auto"/>
                    <w:right w:val="none" w:sz="0" w:space="0" w:color="auto"/>
                  </w:divBdr>
                  <w:divsChild>
                    <w:div w:id="636379303">
                      <w:marLeft w:val="0"/>
                      <w:marRight w:val="0"/>
                      <w:marTop w:val="0"/>
                      <w:marBottom w:val="0"/>
                      <w:divBdr>
                        <w:top w:val="none" w:sz="0" w:space="0" w:color="auto"/>
                        <w:left w:val="none" w:sz="0" w:space="0" w:color="auto"/>
                        <w:bottom w:val="none" w:sz="0" w:space="0" w:color="auto"/>
                        <w:right w:val="none" w:sz="0" w:space="0" w:color="auto"/>
                      </w:divBdr>
                    </w:div>
                  </w:divsChild>
                </w:div>
                <w:div w:id="490947487">
                  <w:marLeft w:val="0"/>
                  <w:marRight w:val="0"/>
                  <w:marTop w:val="0"/>
                  <w:marBottom w:val="0"/>
                  <w:divBdr>
                    <w:top w:val="none" w:sz="0" w:space="0" w:color="auto"/>
                    <w:left w:val="none" w:sz="0" w:space="0" w:color="auto"/>
                    <w:bottom w:val="none" w:sz="0" w:space="0" w:color="auto"/>
                    <w:right w:val="none" w:sz="0" w:space="0" w:color="auto"/>
                  </w:divBdr>
                  <w:divsChild>
                    <w:div w:id="1503397065">
                      <w:marLeft w:val="0"/>
                      <w:marRight w:val="0"/>
                      <w:marTop w:val="0"/>
                      <w:marBottom w:val="0"/>
                      <w:divBdr>
                        <w:top w:val="none" w:sz="0" w:space="0" w:color="auto"/>
                        <w:left w:val="none" w:sz="0" w:space="0" w:color="auto"/>
                        <w:bottom w:val="none" w:sz="0" w:space="0" w:color="auto"/>
                        <w:right w:val="none" w:sz="0" w:space="0" w:color="auto"/>
                      </w:divBdr>
                    </w:div>
                  </w:divsChild>
                </w:div>
                <w:div w:id="514923954">
                  <w:marLeft w:val="0"/>
                  <w:marRight w:val="0"/>
                  <w:marTop w:val="0"/>
                  <w:marBottom w:val="0"/>
                  <w:divBdr>
                    <w:top w:val="none" w:sz="0" w:space="0" w:color="auto"/>
                    <w:left w:val="none" w:sz="0" w:space="0" w:color="auto"/>
                    <w:bottom w:val="none" w:sz="0" w:space="0" w:color="auto"/>
                    <w:right w:val="none" w:sz="0" w:space="0" w:color="auto"/>
                  </w:divBdr>
                  <w:divsChild>
                    <w:div w:id="2045326434">
                      <w:marLeft w:val="0"/>
                      <w:marRight w:val="0"/>
                      <w:marTop w:val="0"/>
                      <w:marBottom w:val="0"/>
                      <w:divBdr>
                        <w:top w:val="none" w:sz="0" w:space="0" w:color="auto"/>
                        <w:left w:val="none" w:sz="0" w:space="0" w:color="auto"/>
                        <w:bottom w:val="none" w:sz="0" w:space="0" w:color="auto"/>
                        <w:right w:val="none" w:sz="0" w:space="0" w:color="auto"/>
                      </w:divBdr>
                    </w:div>
                  </w:divsChild>
                </w:div>
                <w:div w:id="527064357">
                  <w:marLeft w:val="0"/>
                  <w:marRight w:val="0"/>
                  <w:marTop w:val="0"/>
                  <w:marBottom w:val="0"/>
                  <w:divBdr>
                    <w:top w:val="none" w:sz="0" w:space="0" w:color="auto"/>
                    <w:left w:val="none" w:sz="0" w:space="0" w:color="auto"/>
                    <w:bottom w:val="none" w:sz="0" w:space="0" w:color="auto"/>
                    <w:right w:val="none" w:sz="0" w:space="0" w:color="auto"/>
                  </w:divBdr>
                  <w:divsChild>
                    <w:div w:id="1519387689">
                      <w:marLeft w:val="0"/>
                      <w:marRight w:val="0"/>
                      <w:marTop w:val="0"/>
                      <w:marBottom w:val="0"/>
                      <w:divBdr>
                        <w:top w:val="none" w:sz="0" w:space="0" w:color="auto"/>
                        <w:left w:val="none" w:sz="0" w:space="0" w:color="auto"/>
                        <w:bottom w:val="none" w:sz="0" w:space="0" w:color="auto"/>
                        <w:right w:val="none" w:sz="0" w:space="0" w:color="auto"/>
                      </w:divBdr>
                    </w:div>
                  </w:divsChild>
                </w:div>
                <w:div w:id="555622830">
                  <w:marLeft w:val="0"/>
                  <w:marRight w:val="0"/>
                  <w:marTop w:val="0"/>
                  <w:marBottom w:val="0"/>
                  <w:divBdr>
                    <w:top w:val="none" w:sz="0" w:space="0" w:color="auto"/>
                    <w:left w:val="none" w:sz="0" w:space="0" w:color="auto"/>
                    <w:bottom w:val="none" w:sz="0" w:space="0" w:color="auto"/>
                    <w:right w:val="none" w:sz="0" w:space="0" w:color="auto"/>
                  </w:divBdr>
                  <w:divsChild>
                    <w:div w:id="448743843">
                      <w:marLeft w:val="0"/>
                      <w:marRight w:val="0"/>
                      <w:marTop w:val="0"/>
                      <w:marBottom w:val="0"/>
                      <w:divBdr>
                        <w:top w:val="none" w:sz="0" w:space="0" w:color="auto"/>
                        <w:left w:val="none" w:sz="0" w:space="0" w:color="auto"/>
                        <w:bottom w:val="none" w:sz="0" w:space="0" w:color="auto"/>
                        <w:right w:val="none" w:sz="0" w:space="0" w:color="auto"/>
                      </w:divBdr>
                    </w:div>
                  </w:divsChild>
                </w:div>
                <w:div w:id="627005546">
                  <w:marLeft w:val="0"/>
                  <w:marRight w:val="0"/>
                  <w:marTop w:val="0"/>
                  <w:marBottom w:val="0"/>
                  <w:divBdr>
                    <w:top w:val="none" w:sz="0" w:space="0" w:color="auto"/>
                    <w:left w:val="none" w:sz="0" w:space="0" w:color="auto"/>
                    <w:bottom w:val="none" w:sz="0" w:space="0" w:color="auto"/>
                    <w:right w:val="none" w:sz="0" w:space="0" w:color="auto"/>
                  </w:divBdr>
                  <w:divsChild>
                    <w:div w:id="518004959">
                      <w:marLeft w:val="0"/>
                      <w:marRight w:val="0"/>
                      <w:marTop w:val="0"/>
                      <w:marBottom w:val="0"/>
                      <w:divBdr>
                        <w:top w:val="none" w:sz="0" w:space="0" w:color="auto"/>
                        <w:left w:val="none" w:sz="0" w:space="0" w:color="auto"/>
                        <w:bottom w:val="none" w:sz="0" w:space="0" w:color="auto"/>
                        <w:right w:val="none" w:sz="0" w:space="0" w:color="auto"/>
                      </w:divBdr>
                    </w:div>
                  </w:divsChild>
                </w:div>
                <w:div w:id="673805154">
                  <w:marLeft w:val="0"/>
                  <w:marRight w:val="0"/>
                  <w:marTop w:val="0"/>
                  <w:marBottom w:val="0"/>
                  <w:divBdr>
                    <w:top w:val="none" w:sz="0" w:space="0" w:color="auto"/>
                    <w:left w:val="none" w:sz="0" w:space="0" w:color="auto"/>
                    <w:bottom w:val="none" w:sz="0" w:space="0" w:color="auto"/>
                    <w:right w:val="none" w:sz="0" w:space="0" w:color="auto"/>
                  </w:divBdr>
                  <w:divsChild>
                    <w:div w:id="1661498924">
                      <w:marLeft w:val="0"/>
                      <w:marRight w:val="0"/>
                      <w:marTop w:val="0"/>
                      <w:marBottom w:val="0"/>
                      <w:divBdr>
                        <w:top w:val="none" w:sz="0" w:space="0" w:color="auto"/>
                        <w:left w:val="none" w:sz="0" w:space="0" w:color="auto"/>
                        <w:bottom w:val="none" w:sz="0" w:space="0" w:color="auto"/>
                        <w:right w:val="none" w:sz="0" w:space="0" w:color="auto"/>
                      </w:divBdr>
                    </w:div>
                  </w:divsChild>
                </w:div>
                <w:div w:id="721565567">
                  <w:marLeft w:val="0"/>
                  <w:marRight w:val="0"/>
                  <w:marTop w:val="0"/>
                  <w:marBottom w:val="0"/>
                  <w:divBdr>
                    <w:top w:val="none" w:sz="0" w:space="0" w:color="auto"/>
                    <w:left w:val="none" w:sz="0" w:space="0" w:color="auto"/>
                    <w:bottom w:val="none" w:sz="0" w:space="0" w:color="auto"/>
                    <w:right w:val="none" w:sz="0" w:space="0" w:color="auto"/>
                  </w:divBdr>
                  <w:divsChild>
                    <w:div w:id="1900245468">
                      <w:marLeft w:val="0"/>
                      <w:marRight w:val="0"/>
                      <w:marTop w:val="0"/>
                      <w:marBottom w:val="0"/>
                      <w:divBdr>
                        <w:top w:val="none" w:sz="0" w:space="0" w:color="auto"/>
                        <w:left w:val="none" w:sz="0" w:space="0" w:color="auto"/>
                        <w:bottom w:val="none" w:sz="0" w:space="0" w:color="auto"/>
                        <w:right w:val="none" w:sz="0" w:space="0" w:color="auto"/>
                      </w:divBdr>
                    </w:div>
                  </w:divsChild>
                </w:div>
                <w:div w:id="733743547">
                  <w:marLeft w:val="0"/>
                  <w:marRight w:val="0"/>
                  <w:marTop w:val="0"/>
                  <w:marBottom w:val="0"/>
                  <w:divBdr>
                    <w:top w:val="none" w:sz="0" w:space="0" w:color="auto"/>
                    <w:left w:val="none" w:sz="0" w:space="0" w:color="auto"/>
                    <w:bottom w:val="none" w:sz="0" w:space="0" w:color="auto"/>
                    <w:right w:val="none" w:sz="0" w:space="0" w:color="auto"/>
                  </w:divBdr>
                  <w:divsChild>
                    <w:div w:id="523829539">
                      <w:marLeft w:val="0"/>
                      <w:marRight w:val="0"/>
                      <w:marTop w:val="0"/>
                      <w:marBottom w:val="0"/>
                      <w:divBdr>
                        <w:top w:val="none" w:sz="0" w:space="0" w:color="auto"/>
                        <w:left w:val="none" w:sz="0" w:space="0" w:color="auto"/>
                        <w:bottom w:val="none" w:sz="0" w:space="0" w:color="auto"/>
                        <w:right w:val="none" w:sz="0" w:space="0" w:color="auto"/>
                      </w:divBdr>
                    </w:div>
                  </w:divsChild>
                </w:div>
                <w:div w:id="758062065">
                  <w:marLeft w:val="0"/>
                  <w:marRight w:val="0"/>
                  <w:marTop w:val="0"/>
                  <w:marBottom w:val="0"/>
                  <w:divBdr>
                    <w:top w:val="none" w:sz="0" w:space="0" w:color="auto"/>
                    <w:left w:val="none" w:sz="0" w:space="0" w:color="auto"/>
                    <w:bottom w:val="none" w:sz="0" w:space="0" w:color="auto"/>
                    <w:right w:val="none" w:sz="0" w:space="0" w:color="auto"/>
                  </w:divBdr>
                  <w:divsChild>
                    <w:div w:id="210385985">
                      <w:marLeft w:val="0"/>
                      <w:marRight w:val="0"/>
                      <w:marTop w:val="0"/>
                      <w:marBottom w:val="0"/>
                      <w:divBdr>
                        <w:top w:val="none" w:sz="0" w:space="0" w:color="auto"/>
                        <w:left w:val="none" w:sz="0" w:space="0" w:color="auto"/>
                        <w:bottom w:val="none" w:sz="0" w:space="0" w:color="auto"/>
                        <w:right w:val="none" w:sz="0" w:space="0" w:color="auto"/>
                      </w:divBdr>
                    </w:div>
                  </w:divsChild>
                </w:div>
                <w:div w:id="775753707">
                  <w:marLeft w:val="0"/>
                  <w:marRight w:val="0"/>
                  <w:marTop w:val="0"/>
                  <w:marBottom w:val="0"/>
                  <w:divBdr>
                    <w:top w:val="none" w:sz="0" w:space="0" w:color="auto"/>
                    <w:left w:val="none" w:sz="0" w:space="0" w:color="auto"/>
                    <w:bottom w:val="none" w:sz="0" w:space="0" w:color="auto"/>
                    <w:right w:val="none" w:sz="0" w:space="0" w:color="auto"/>
                  </w:divBdr>
                  <w:divsChild>
                    <w:div w:id="223031537">
                      <w:marLeft w:val="0"/>
                      <w:marRight w:val="0"/>
                      <w:marTop w:val="0"/>
                      <w:marBottom w:val="0"/>
                      <w:divBdr>
                        <w:top w:val="none" w:sz="0" w:space="0" w:color="auto"/>
                        <w:left w:val="none" w:sz="0" w:space="0" w:color="auto"/>
                        <w:bottom w:val="none" w:sz="0" w:space="0" w:color="auto"/>
                        <w:right w:val="none" w:sz="0" w:space="0" w:color="auto"/>
                      </w:divBdr>
                    </w:div>
                  </w:divsChild>
                </w:div>
                <w:div w:id="812793929">
                  <w:marLeft w:val="0"/>
                  <w:marRight w:val="0"/>
                  <w:marTop w:val="0"/>
                  <w:marBottom w:val="0"/>
                  <w:divBdr>
                    <w:top w:val="none" w:sz="0" w:space="0" w:color="auto"/>
                    <w:left w:val="none" w:sz="0" w:space="0" w:color="auto"/>
                    <w:bottom w:val="none" w:sz="0" w:space="0" w:color="auto"/>
                    <w:right w:val="none" w:sz="0" w:space="0" w:color="auto"/>
                  </w:divBdr>
                  <w:divsChild>
                    <w:div w:id="887227727">
                      <w:marLeft w:val="0"/>
                      <w:marRight w:val="0"/>
                      <w:marTop w:val="0"/>
                      <w:marBottom w:val="0"/>
                      <w:divBdr>
                        <w:top w:val="none" w:sz="0" w:space="0" w:color="auto"/>
                        <w:left w:val="none" w:sz="0" w:space="0" w:color="auto"/>
                        <w:bottom w:val="none" w:sz="0" w:space="0" w:color="auto"/>
                        <w:right w:val="none" w:sz="0" w:space="0" w:color="auto"/>
                      </w:divBdr>
                    </w:div>
                  </w:divsChild>
                </w:div>
                <w:div w:id="820930282">
                  <w:marLeft w:val="0"/>
                  <w:marRight w:val="0"/>
                  <w:marTop w:val="0"/>
                  <w:marBottom w:val="0"/>
                  <w:divBdr>
                    <w:top w:val="none" w:sz="0" w:space="0" w:color="auto"/>
                    <w:left w:val="none" w:sz="0" w:space="0" w:color="auto"/>
                    <w:bottom w:val="none" w:sz="0" w:space="0" w:color="auto"/>
                    <w:right w:val="none" w:sz="0" w:space="0" w:color="auto"/>
                  </w:divBdr>
                  <w:divsChild>
                    <w:div w:id="1442145098">
                      <w:marLeft w:val="0"/>
                      <w:marRight w:val="0"/>
                      <w:marTop w:val="0"/>
                      <w:marBottom w:val="0"/>
                      <w:divBdr>
                        <w:top w:val="none" w:sz="0" w:space="0" w:color="auto"/>
                        <w:left w:val="none" w:sz="0" w:space="0" w:color="auto"/>
                        <w:bottom w:val="none" w:sz="0" w:space="0" w:color="auto"/>
                        <w:right w:val="none" w:sz="0" w:space="0" w:color="auto"/>
                      </w:divBdr>
                    </w:div>
                  </w:divsChild>
                </w:div>
                <w:div w:id="862860735">
                  <w:marLeft w:val="0"/>
                  <w:marRight w:val="0"/>
                  <w:marTop w:val="0"/>
                  <w:marBottom w:val="0"/>
                  <w:divBdr>
                    <w:top w:val="none" w:sz="0" w:space="0" w:color="auto"/>
                    <w:left w:val="none" w:sz="0" w:space="0" w:color="auto"/>
                    <w:bottom w:val="none" w:sz="0" w:space="0" w:color="auto"/>
                    <w:right w:val="none" w:sz="0" w:space="0" w:color="auto"/>
                  </w:divBdr>
                  <w:divsChild>
                    <w:div w:id="891112274">
                      <w:marLeft w:val="0"/>
                      <w:marRight w:val="0"/>
                      <w:marTop w:val="0"/>
                      <w:marBottom w:val="0"/>
                      <w:divBdr>
                        <w:top w:val="none" w:sz="0" w:space="0" w:color="auto"/>
                        <w:left w:val="none" w:sz="0" w:space="0" w:color="auto"/>
                        <w:bottom w:val="none" w:sz="0" w:space="0" w:color="auto"/>
                        <w:right w:val="none" w:sz="0" w:space="0" w:color="auto"/>
                      </w:divBdr>
                    </w:div>
                  </w:divsChild>
                </w:div>
                <w:div w:id="938878498">
                  <w:marLeft w:val="0"/>
                  <w:marRight w:val="0"/>
                  <w:marTop w:val="0"/>
                  <w:marBottom w:val="0"/>
                  <w:divBdr>
                    <w:top w:val="none" w:sz="0" w:space="0" w:color="auto"/>
                    <w:left w:val="none" w:sz="0" w:space="0" w:color="auto"/>
                    <w:bottom w:val="none" w:sz="0" w:space="0" w:color="auto"/>
                    <w:right w:val="none" w:sz="0" w:space="0" w:color="auto"/>
                  </w:divBdr>
                  <w:divsChild>
                    <w:div w:id="351417502">
                      <w:marLeft w:val="0"/>
                      <w:marRight w:val="0"/>
                      <w:marTop w:val="0"/>
                      <w:marBottom w:val="0"/>
                      <w:divBdr>
                        <w:top w:val="none" w:sz="0" w:space="0" w:color="auto"/>
                        <w:left w:val="none" w:sz="0" w:space="0" w:color="auto"/>
                        <w:bottom w:val="none" w:sz="0" w:space="0" w:color="auto"/>
                        <w:right w:val="none" w:sz="0" w:space="0" w:color="auto"/>
                      </w:divBdr>
                    </w:div>
                  </w:divsChild>
                </w:div>
                <w:div w:id="970861638">
                  <w:marLeft w:val="0"/>
                  <w:marRight w:val="0"/>
                  <w:marTop w:val="0"/>
                  <w:marBottom w:val="0"/>
                  <w:divBdr>
                    <w:top w:val="none" w:sz="0" w:space="0" w:color="auto"/>
                    <w:left w:val="none" w:sz="0" w:space="0" w:color="auto"/>
                    <w:bottom w:val="none" w:sz="0" w:space="0" w:color="auto"/>
                    <w:right w:val="none" w:sz="0" w:space="0" w:color="auto"/>
                  </w:divBdr>
                  <w:divsChild>
                    <w:div w:id="1448354997">
                      <w:marLeft w:val="0"/>
                      <w:marRight w:val="0"/>
                      <w:marTop w:val="0"/>
                      <w:marBottom w:val="0"/>
                      <w:divBdr>
                        <w:top w:val="none" w:sz="0" w:space="0" w:color="auto"/>
                        <w:left w:val="none" w:sz="0" w:space="0" w:color="auto"/>
                        <w:bottom w:val="none" w:sz="0" w:space="0" w:color="auto"/>
                        <w:right w:val="none" w:sz="0" w:space="0" w:color="auto"/>
                      </w:divBdr>
                    </w:div>
                  </w:divsChild>
                </w:div>
                <w:div w:id="1003553071">
                  <w:marLeft w:val="0"/>
                  <w:marRight w:val="0"/>
                  <w:marTop w:val="0"/>
                  <w:marBottom w:val="0"/>
                  <w:divBdr>
                    <w:top w:val="none" w:sz="0" w:space="0" w:color="auto"/>
                    <w:left w:val="none" w:sz="0" w:space="0" w:color="auto"/>
                    <w:bottom w:val="none" w:sz="0" w:space="0" w:color="auto"/>
                    <w:right w:val="none" w:sz="0" w:space="0" w:color="auto"/>
                  </w:divBdr>
                  <w:divsChild>
                    <w:div w:id="1783837915">
                      <w:marLeft w:val="0"/>
                      <w:marRight w:val="0"/>
                      <w:marTop w:val="0"/>
                      <w:marBottom w:val="0"/>
                      <w:divBdr>
                        <w:top w:val="none" w:sz="0" w:space="0" w:color="auto"/>
                        <w:left w:val="none" w:sz="0" w:space="0" w:color="auto"/>
                        <w:bottom w:val="none" w:sz="0" w:space="0" w:color="auto"/>
                        <w:right w:val="none" w:sz="0" w:space="0" w:color="auto"/>
                      </w:divBdr>
                    </w:div>
                  </w:divsChild>
                </w:div>
                <w:div w:id="1003777124">
                  <w:marLeft w:val="0"/>
                  <w:marRight w:val="0"/>
                  <w:marTop w:val="0"/>
                  <w:marBottom w:val="0"/>
                  <w:divBdr>
                    <w:top w:val="none" w:sz="0" w:space="0" w:color="auto"/>
                    <w:left w:val="none" w:sz="0" w:space="0" w:color="auto"/>
                    <w:bottom w:val="none" w:sz="0" w:space="0" w:color="auto"/>
                    <w:right w:val="none" w:sz="0" w:space="0" w:color="auto"/>
                  </w:divBdr>
                  <w:divsChild>
                    <w:div w:id="1372147188">
                      <w:marLeft w:val="0"/>
                      <w:marRight w:val="0"/>
                      <w:marTop w:val="0"/>
                      <w:marBottom w:val="0"/>
                      <w:divBdr>
                        <w:top w:val="none" w:sz="0" w:space="0" w:color="auto"/>
                        <w:left w:val="none" w:sz="0" w:space="0" w:color="auto"/>
                        <w:bottom w:val="none" w:sz="0" w:space="0" w:color="auto"/>
                        <w:right w:val="none" w:sz="0" w:space="0" w:color="auto"/>
                      </w:divBdr>
                    </w:div>
                  </w:divsChild>
                </w:div>
                <w:div w:id="1009714991">
                  <w:marLeft w:val="0"/>
                  <w:marRight w:val="0"/>
                  <w:marTop w:val="0"/>
                  <w:marBottom w:val="0"/>
                  <w:divBdr>
                    <w:top w:val="none" w:sz="0" w:space="0" w:color="auto"/>
                    <w:left w:val="none" w:sz="0" w:space="0" w:color="auto"/>
                    <w:bottom w:val="none" w:sz="0" w:space="0" w:color="auto"/>
                    <w:right w:val="none" w:sz="0" w:space="0" w:color="auto"/>
                  </w:divBdr>
                  <w:divsChild>
                    <w:div w:id="991912014">
                      <w:marLeft w:val="0"/>
                      <w:marRight w:val="0"/>
                      <w:marTop w:val="0"/>
                      <w:marBottom w:val="0"/>
                      <w:divBdr>
                        <w:top w:val="none" w:sz="0" w:space="0" w:color="auto"/>
                        <w:left w:val="none" w:sz="0" w:space="0" w:color="auto"/>
                        <w:bottom w:val="none" w:sz="0" w:space="0" w:color="auto"/>
                        <w:right w:val="none" w:sz="0" w:space="0" w:color="auto"/>
                      </w:divBdr>
                    </w:div>
                  </w:divsChild>
                </w:div>
                <w:div w:id="1056783684">
                  <w:marLeft w:val="0"/>
                  <w:marRight w:val="0"/>
                  <w:marTop w:val="0"/>
                  <w:marBottom w:val="0"/>
                  <w:divBdr>
                    <w:top w:val="none" w:sz="0" w:space="0" w:color="auto"/>
                    <w:left w:val="none" w:sz="0" w:space="0" w:color="auto"/>
                    <w:bottom w:val="none" w:sz="0" w:space="0" w:color="auto"/>
                    <w:right w:val="none" w:sz="0" w:space="0" w:color="auto"/>
                  </w:divBdr>
                  <w:divsChild>
                    <w:div w:id="658847022">
                      <w:marLeft w:val="0"/>
                      <w:marRight w:val="0"/>
                      <w:marTop w:val="0"/>
                      <w:marBottom w:val="0"/>
                      <w:divBdr>
                        <w:top w:val="none" w:sz="0" w:space="0" w:color="auto"/>
                        <w:left w:val="none" w:sz="0" w:space="0" w:color="auto"/>
                        <w:bottom w:val="none" w:sz="0" w:space="0" w:color="auto"/>
                        <w:right w:val="none" w:sz="0" w:space="0" w:color="auto"/>
                      </w:divBdr>
                    </w:div>
                  </w:divsChild>
                </w:div>
                <w:div w:id="1074232155">
                  <w:marLeft w:val="0"/>
                  <w:marRight w:val="0"/>
                  <w:marTop w:val="0"/>
                  <w:marBottom w:val="0"/>
                  <w:divBdr>
                    <w:top w:val="none" w:sz="0" w:space="0" w:color="auto"/>
                    <w:left w:val="none" w:sz="0" w:space="0" w:color="auto"/>
                    <w:bottom w:val="none" w:sz="0" w:space="0" w:color="auto"/>
                    <w:right w:val="none" w:sz="0" w:space="0" w:color="auto"/>
                  </w:divBdr>
                  <w:divsChild>
                    <w:div w:id="580796759">
                      <w:marLeft w:val="0"/>
                      <w:marRight w:val="0"/>
                      <w:marTop w:val="0"/>
                      <w:marBottom w:val="0"/>
                      <w:divBdr>
                        <w:top w:val="none" w:sz="0" w:space="0" w:color="auto"/>
                        <w:left w:val="none" w:sz="0" w:space="0" w:color="auto"/>
                        <w:bottom w:val="none" w:sz="0" w:space="0" w:color="auto"/>
                        <w:right w:val="none" w:sz="0" w:space="0" w:color="auto"/>
                      </w:divBdr>
                    </w:div>
                  </w:divsChild>
                </w:div>
                <w:div w:id="1115562863">
                  <w:marLeft w:val="0"/>
                  <w:marRight w:val="0"/>
                  <w:marTop w:val="0"/>
                  <w:marBottom w:val="0"/>
                  <w:divBdr>
                    <w:top w:val="none" w:sz="0" w:space="0" w:color="auto"/>
                    <w:left w:val="none" w:sz="0" w:space="0" w:color="auto"/>
                    <w:bottom w:val="none" w:sz="0" w:space="0" w:color="auto"/>
                    <w:right w:val="none" w:sz="0" w:space="0" w:color="auto"/>
                  </w:divBdr>
                  <w:divsChild>
                    <w:div w:id="21439185">
                      <w:marLeft w:val="0"/>
                      <w:marRight w:val="0"/>
                      <w:marTop w:val="0"/>
                      <w:marBottom w:val="0"/>
                      <w:divBdr>
                        <w:top w:val="none" w:sz="0" w:space="0" w:color="auto"/>
                        <w:left w:val="none" w:sz="0" w:space="0" w:color="auto"/>
                        <w:bottom w:val="none" w:sz="0" w:space="0" w:color="auto"/>
                        <w:right w:val="none" w:sz="0" w:space="0" w:color="auto"/>
                      </w:divBdr>
                    </w:div>
                  </w:divsChild>
                </w:div>
                <w:div w:id="1120412915">
                  <w:marLeft w:val="0"/>
                  <w:marRight w:val="0"/>
                  <w:marTop w:val="0"/>
                  <w:marBottom w:val="0"/>
                  <w:divBdr>
                    <w:top w:val="none" w:sz="0" w:space="0" w:color="auto"/>
                    <w:left w:val="none" w:sz="0" w:space="0" w:color="auto"/>
                    <w:bottom w:val="none" w:sz="0" w:space="0" w:color="auto"/>
                    <w:right w:val="none" w:sz="0" w:space="0" w:color="auto"/>
                  </w:divBdr>
                  <w:divsChild>
                    <w:div w:id="467674380">
                      <w:marLeft w:val="0"/>
                      <w:marRight w:val="0"/>
                      <w:marTop w:val="0"/>
                      <w:marBottom w:val="0"/>
                      <w:divBdr>
                        <w:top w:val="none" w:sz="0" w:space="0" w:color="auto"/>
                        <w:left w:val="none" w:sz="0" w:space="0" w:color="auto"/>
                        <w:bottom w:val="none" w:sz="0" w:space="0" w:color="auto"/>
                        <w:right w:val="none" w:sz="0" w:space="0" w:color="auto"/>
                      </w:divBdr>
                    </w:div>
                  </w:divsChild>
                </w:div>
                <w:div w:id="1121612561">
                  <w:marLeft w:val="0"/>
                  <w:marRight w:val="0"/>
                  <w:marTop w:val="0"/>
                  <w:marBottom w:val="0"/>
                  <w:divBdr>
                    <w:top w:val="none" w:sz="0" w:space="0" w:color="auto"/>
                    <w:left w:val="none" w:sz="0" w:space="0" w:color="auto"/>
                    <w:bottom w:val="none" w:sz="0" w:space="0" w:color="auto"/>
                    <w:right w:val="none" w:sz="0" w:space="0" w:color="auto"/>
                  </w:divBdr>
                  <w:divsChild>
                    <w:div w:id="244731244">
                      <w:marLeft w:val="0"/>
                      <w:marRight w:val="0"/>
                      <w:marTop w:val="0"/>
                      <w:marBottom w:val="0"/>
                      <w:divBdr>
                        <w:top w:val="none" w:sz="0" w:space="0" w:color="auto"/>
                        <w:left w:val="none" w:sz="0" w:space="0" w:color="auto"/>
                        <w:bottom w:val="none" w:sz="0" w:space="0" w:color="auto"/>
                        <w:right w:val="none" w:sz="0" w:space="0" w:color="auto"/>
                      </w:divBdr>
                    </w:div>
                  </w:divsChild>
                </w:div>
                <w:div w:id="1202787855">
                  <w:marLeft w:val="0"/>
                  <w:marRight w:val="0"/>
                  <w:marTop w:val="0"/>
                  <w:marBottom w:val="0"/>
                  <w:divBdr>
                    <w:top w:val="none" w:sz="0" w:space="0" w:color="auto"/>
                    <w:left w:val="none" w:sz="0" w:space="0" w:color="auto"/>
                    <w:bottom w:val="none" w:sz="0" w:space="0" w:color="auto"/>
                    <w:right w:val="none" w:sz="0" w:space="0" w:color="auto"/>
                  </w:divBdr>
                  <w:divsChild>
                    <w:div w:id="1887642194">
                      <w:marLeft w:val="0"/>
                      <w:marRight w:val="0"/>
                      <w:marTop w:val="0"/>
                      <w:marBottom w:val="0"/>
                      <w:divBdr>
                        <w:top w:val="none" w:sz="0" w:space="0" w:color="auto"/>
                        <w:left w:val="none" w:sz="0" w:space="0" w:color="auto"/>
                        <w:bottom w:val="none" w:sz="0" w:space="0" w:color="auto"/>
                        <w:right w:val="none" w:sz="0" w:space="0" w:color="auto"/>
                      </w:divBdr>
                    </w:div>
                  </w:divsChild>
                </w:div>
                <w:div w:id="1205212194">
                  <w:marLeft w:val="0"/>
                  <w:marRight w:val="0"/>
                  <w:marTop w:val="0"/>
                  <w:marBottom w:val="0"/>
                  <w:divBdr>
                    <w:top w:val="none" w:sz="0" w:space="0" w:color="auto"/>
                    <w:left w:val="none" w:sz="0" w:space="0" w:color="auto"/>
                    <w:bottom w:val="none" w:sz="0" w:space="0" w:color="auto"/>
                    <w:right w:val="none" w:sz="0" w:space="0" w:color="auto"/>
                  </w:divBdr>
                  <w:divsChild>
                    <w:div w:id="1399935811">
                      <w:marLeft w:val="0"/>
                      <w:marRight w:val="0"/>
                      <w:marTop w:val="0"/>
                      <w:marBottom w:val="0"/>
                      <w:divBdr>
                        <w:top w:val="none" w:sz="0" w:space="0" w:color="auto"/>
                        <w:left w:val="none" w:sz="0" w:space="0" w:color="auto"/>
                        <w:bottom w:val="none" w:sz="0" w:space="0" w:color="auto"/>
                        <w:right w:val="none" w:sz="0" w:space="0" w:color="auto"/>
                      </w:divBdr>
                    </w:div>
                  </w:divsChild>
                </w:div>
                <w:div w:id="1253511864">
                  <w:marLeft w:val="0"/>
                  <w:marRight w:val="0"/>
                  <w:marTop w:val="0"/>
                  <w:marBottom w:val="0"/>
                  <w:divBdr>
                    <w:top w:val="none" w:sz="0" w:space="0" w:color="auto"/>
                    <w:left w:val="none" w:sz="0" w:space="0" w:color="auto"/>
                    <w:bottom w:val="none" w:sz="0" w:space="0" w:color="auto"/>
                    <w:right w:val="none" w:sz="0" w:space="0" w:color="auto"/>
                  </w:divBdr>
                  <w:divsChild>
                    <w:div w:id="799570698">
                      <w:marLeft w:val="0"/>
                      <w:marRight w:val="0"/>
                      <w:marTop w:val="0"/>
                      <w:marBottom w:val="0"/>
                      <w:divBdr>
                        <w:top w:val="none" w:sz="0" w:space="0" w:color="auto"/>
                        <w:left w:val="none" w:sz="0" w:space="0" w:color="auto"/>
                        <w:bottom w:val="none" w:sz="0" w:space="0" w:color="auto"/>
                        <w:right w:val="none" w:sz="0" w:space="0" w:color="auto"/>
                      </w:divBdr>
                    </w:div>
                  </w:divsChild>
                </w:div>
                <w:div w:id="1255239734">
                  <w:marLeft w:val="0"/>
                  <w:marRight w:val="0"/>
                  <w:marTop w:val="0"/>
                  <w:marBottom w:val="0"/>
                  <w:divBdr>
                    <w:top w:val="none" w:sz="0" w:space="0" w:color="auto"/>
                    <w:left w:val="none" w:sz="0" w:space="0" w:color="auto"/>
                    <w:bottom w:val="none" w:sz="0" w:space="0" w:color="auto"/>
                    <w:right w:val="none" w:sz="0" w:space="0" w:color="auto"/>
                  </w:divBdr>
                  <w:divsChild>
                    <w:div w:id="576550986">
                      <w:marLeft w:val="0"/>
                      <w:marRight w:val="0"/>
                      <w:marTop w:val="0"/>
                      <w:marBottom w:val="0"/>
                      <w:divBdr>
                        <w:top w:val="none" w:sz="0" w:space="0" w:color="auto"/>
                        <w:left w:val="none" w:sz="0" w:space="0" w:color="auto"/>
                        <w:bottom w:val="none" w:sz="0" w:space="0" w:color="auto"/>
                        <w:right w:val="none" w:sz="0" w:space="0" w:color="auto"/>
                      </w:divBdr>
                    </w:div>
                  </w:divsChild>
                </w:div>
                <w:div w:id="1266881168">
                  <w:marLeft w:val="0"/>
                  <w:marRight w:val="0"/>
                  <w:marTop w:val="0"/>
                  <w:marBottom w:val="0"/>
                  <w:divBdr>
                    <w:top w:val="none" w:sz="0" w:space="0" w:color="auto"/>
                    <w:left w:val="none" w:sz="0" w:space="0" w:color="auto"/>
                    <w:bottom w:val="none" w:sz="0" w:space="0" w:color="auto"/>
                    <w:right w:val="none" w:sz="0" w:space="0" w:color="auto"/>
                  </w:divBdr>
                  <w:divsChild>
                    <w:div w:id="1376999912">
                      <w:marLeft w:val="0"/>
                      <w:marRight w:val="0"/>
                      <w:marTop w:val="0"/>
                      <w:marBottom w:val="0"/>
                      <w:divBdr>
                        <w:top w:val="none" w:sz="0" w:space="0" w:color="auto"/>
                        <w:left w:val="none" w:sz="0" w:space="0" w:color="auto"/>
                        <w:bottom w:val="none" w:sz="0" w:space="0" w:color="auto"/>
                        <w:right w:val="none" w:sz="0" w:space="0" w:color="auto"/>
                      </w:divBdr>
                    </w:div>
                  </w:divsChild>
                </w:div>
                <w:div w:id="1274677538">
                  <w:marLeft w:val="0"/>
                  <w:marRight w:val="0"/>
                  <w:marTop w:val="0"/>
                  <w:marBottom w:val="0"/>
                  <w:divBdr>
                    <w:top w:val="none" w:sz="0" w:space="0" w:color="auto"/>
                    <w:left w:val="none" w:sz="0" w:space="0" w:color="auto"/>
                    <w:bottom w:val="none" w:sz="0" w:space="0" w:color="auto"/>
                    <w:right w:val="none" w:sz="0" w:space="0" w:color="auto"/>
                  </w:divBdr>
                  <w:divsChild>
                    <w:div w:id="110057994">
                      <w:marLeft w:val="0"/>
                      <w:marRight w:val="0"/>
                      <w:marTop w:val="0"/>
                      <w:marBottom w:val="0"/>
                      <w:divBdr>
                        <w:top w:val="none" w:sz="0" w:space="0" w:color="auto"/>
                        <w:left w:val="none" w:sz="0" w:space="0" w:color="auto"/>
                        <w:bottom w:val="none" w:sz="0" w:space="0" w:color="auto"/>
                        <w:right w:val="none" w:sz="0" w:space="0" w:color="auto"/>
                      </w:divBdr>
                    </w:div>
                  </w:divsChild>
                </w:div>
                <w:div w:id="1292518855">
                  <w:marLeft w:val="0"/>
                  <w:marRight w:val="0"/>
                  <w:marTop w:val="0"/>
                  <w:marBottom w:val="0"/>
                  <w:divBdr>
                    <w:top w:val="none" w:sz="0" w:space="0" w:color="auto"/>
                    <w:left w:val="none" w:sz="0" w:space="0" w:color="auto"/>
                    <w:bottom w:val="none" w:sz="0" w:space="0" w:color="auto"/>
                    <w:right w:val="none" w:sz="0" w:space="0" w:color="auto"/>
                  </w:divBdr>
                  <w:divsChild>
                    <w:div w:id="1815684014">
                      <w:marLeft w:val="0"/>
                      <w:marRight w:val="0"/>
                      <w:marTop w:val="0"/>
                      <w:marBottom w:val="0"/>
                      <w:divBdr>
                        <w:top w:val="none" w:sz="0" w:space="0" w:color="auto"/>
                        <w:left w:val="none" w:sz="0" w:space="0" w:color="auto"/>
                        <w:bottom w:val="none" w:sz="0" w:space="0" w:color="auto"/>
                        <w:right w:val="none" w:sz="0" w:space="0" w:color="auto"/>
                      </w:divBdr>
                    </w:div>
                  </w:divsChild>
                </w:div>
                <w:div w:id="1304038229">
                  <w:marLeft w:val="0"/>
                  <w:marRight w:val="0"/>
                  <w:marTop w:val="0"/>
                  <w:marBottom w:val="0"/>
                  <w:divBdr>
                    <w:top w:val="none" w:sz="0" w:space="0" w:color="auto"/>
                    <w:left w:val="none" w:sz="0" w:space="0" w:color="auto"/>
                    <w:bottom w:val="none" w:sz="0" w:space="0" w:color="auto"/>
                    <w:right w:val="none" w:sz="0" w:space="0" w:color="auto"/>
                  </w:divBdr>
                  <w:divsChild>
                    <w:div w:id="208155990">
                      <w:marLeft w:val="0"/>
                      <w:marRight w:val="0"/>
                      <w:marTop w:val="0"/>
                      <w:marBottom w:val="0"/>
                      <w:divBdr>
                        <w:top w:val="none" w:sz="0" w:space="0" w:color="auto"/>
                        <w:left w:val="none" w:sz="0" w:space="0" w:color="auto"/>
                        <w:bottom w:val="none" w:sz="0" w:space="0" w:color="auto"/>
                        <w:right w:val="none" w:sz="0" w:space="0" w:color="auto"/>
                      </w:divBdr>
                    </w:div>
                  </w:divsChild>
                </w:div>
                <w:div w:id="1307515598">
                  <w:marLeft w:val="0"/>
                  <w:marRight w:val="0"/>
                  <w:marTop w:val="0"/>
                  <w:marBottom w:val="0"/>
                  <w:divBdr>
                    <w:top w:val="none" w:sz="0" w:space="0" w:color="auto"/>
                    <w:left w:val="none" w:sz="0" w:space="0" w:color="auto"/>
                    <w:bottom w:val="none" w:sz="0" w:space="0" w:color="auto"/>
                    <w:right w:val="none" w:sz="0" w:space="0" w:color="auto"/>
                  </w:divBdr>
                  <w:divsChild>
                    <w:div w:id="1083723790">
                      <w:marLeft w:val="0"/>
                      <w:marRight w:val="0"/>
                      <w:marTop w:val="0"/>
                      <w:marBottom w:val="0"/>
                      <w:divBdr>
                        <w:top w:val="none" w:sz="0" w:space="0" w:color="auto"/>
                        <w:left w:val="none" w:sz="0" w:space="0" w:color="auto"/>
                        <w:bottom w:val="none" w:sz="0" w:space="0" w:color="auto"/>
                        <w:right w:val="none" w:sz="0" w:space="0" w:color="auto"/>
                      </w:divBdr>
                    </w:div>
                  </w:divsChild>
                </w:div>
                <w:div w:id="1313414410">
                  <w:marLeft w:val="0"/>
                  <w:marRight w:val="0"/>
                  <w:marTop w:val="0"/>
                  <w:marBottom w:val="0"/>
                  <w:divBdr>
                    <w:top w:val="none" w:sz="0" w:space="0" w:color="auto"/>
                    <w:left w:val="none" w:sz="0" w:space="0" w:color="auto"/>
                    <w:bottom w:val="none" w:sz="0" w:space="0" w:color="auto"/>
                    <w:right w:val="none" w:sz="0" w:space="0" w:color="auto"/>
                  </w:divBdr>
                  <w:divsChild>
                    <w:div w:id="408427330">
                      <w:marLeft w:val="0"/>
                      <w:marRight w:val="0"/>
                      <w:marTop w:val="0"/>
                      <w:marBottom w:val="0"/>
                      <w:divBdr>
                        <w:top w:val="none" w:sz="0" w:space="0" w:color="auto"/>
                        <w:left w:val="none" w:sz="0" w:space="0" w:color="auto"/>
                        <w:bottom w:val="none" w:sz="0" w:space="0" w:color="auto"/>
                        <w:right w:val="none" w:sz="0" w:space="0" w:color="auto"/>
                      </w:divBdr>
                    </w:div>
                  </w:divsChild>
                </w:div>
                <w:div w:id="1343821327">
                  <w:marLeft w:val="0"/>
                  <w:marRight w:val="0"/>
                  <w:marTop w:val="0"/>
                  <w:marBottom w:val="0"/>
                  <w:divBdr>
                    <w:top w:val="none" w:sz="0" w:space="0" w:color="auto"/>
                    <w:left w:val="none" w:sz="0" w:space="0" w:color="auto"/>
                    <w:bottom w:val="none" w:sz="0" w:space="0" w:color="auto"/>
                    <w:right w:val="none" w:sz="0" w:space="0" w:color="auto"/>
                  </w:divBdr>
                  <w:divsChild>
                    <w:div w:id="27722611">
                      <w:marLeft w:val="0"/>
                      <w:marRight w:val="0"/>
                      <w:marTop w:val="0"/>
                      <w:marBottom w:val="0"/>
                      <w:divBdr>
                        <w:top w:val="none" w:sz="0" w:space="0" w:color="auto"/>
                        <w:left w:val="none" w:sz="0" w:space="0" w:color="auto"/>
                        <w:bottom w:val="none" w:sz="0" w:space="0" w:color="auto"/>
                        <w:right w:val="none" w:sz="0" w:space="0" w:color="auto"/>
                      </w:divBdr>
                    </w:div>
                  </w:divsChild>
                </w:div>
                <w:div w:id="1354184550">
                  <w:marLeft w:val="0"/>
                  <w:marRight w:val="0"/>
                  <w:marTop w:val="0"/>
                  <w:marBottom w:val="0"/>
                  <w:divBdr>
                    <w:top w:val="none" w:sz="0" w:space="0" w:color="auto"/>
                    <w:left w:val="none" w:sz="0" w:space="0" w:color="auto"/>
                    <w:bottom w:val="none" w:sz="0" w:space="0" w:color="auto"/>
                    <w:right w:val="none" w:sz="0" w:space="0" w:color="auto"/>
                  </w:divBdr>
                  <w:divsChild>
                    <w:div w:id="898907816">
                      <w:marLeft w:val="0"/>
                      <w:marRight w:val="0"/>
                      <w:marTop w:val="0"/>
                      <w:marBottom w:val="0"/>
                      <w:divBdr>
                        <w:top w:val="none" w:sz="0" w:space="0" w:color="auto"/>
                        <w:left w:val="none" w:sz="0" w:space="0" w:color="auto"/>
                        <w:bottom w:val="none" w:sz="0" w:space="0" w:color="auto"/>
                        <w:right w:val="none" w:sz="0" w:space="0" w:color="auto"/>
                      </w:divBdr>
                    </w:div>
                  </w:divsChild>
                </w:div>
                <w:div w:id="1376153576">
                  <w:marLeft w:val="0"/>
                  <w:marRight w:val="0"/>
                  <w:marTop w:val="0"/>
                  <w:marBottom w:val="0"/>
                  <w:divBdr>
                    <w:top w:val="none" w:sz="0" w:space="0" w:color="auto"/>
                    <w:left w:val="none" w:sz="0" w:space="0" w:color="auto"/>
                    <w:bottom w:val="none" w:sz="0" w:space="0" w:color="auto"/>
                    <w:right w:val="none" w:sz="0" w:space="0" w:color="auto"/>
                  </w:divBdr>
                  <w:divsChild>
                    <w:div w:id="819345250">
                      <w:marLeft w:val="0"/>
                      <w:marRight w:val="0"/>
                      <w:marTop w:val="0"/>
                      <w:marBottom w:val="0"/>
                      <w:divBdr>
                        <w:top w:val="none" w:sz="0" w:space="0" w:color="auto"/>
                        <w:left w:val="none" w:sz="0" w:space="0" w:color="auto"/>
                        <w:bottom w:val="none" w:sz="0" w:space="0" w:color="auto"/>
                        <w:right w:val="none" w:sz="0" w:space="0" w:color="auto"/>
                      </w:divBdr>
                    </w:div>
                  </w:divsChild>
                </w:div>
                <w:div w:id="1383824563">
                  <w:marLeft w:val="0"/>
                  <w:marRight w:val="0"/>
                  <w:marTop w:val="0"/>
                  <w:marBottom w:val="0"/>
                  <w:divBdr>
                    <w:top w:val="none" w:sz="0" w:space="0" w:color="auto"/>
                    <w:left w:val="none" w:sz="0" w:space="0" w:color="auto"/>
                    <w:bottom w:val="none" w:sz="0" w:space="0" w:color="auto"/>
                    <w:right w:val="none" w:sz="0" w:space="0" w:color="auto"/>
                  </w:divBdr>
                  <w:divsChild>
                    <w:div w:id="1932079530">
                      <w:marLeft w:val="0"/>
                      <w:marRight w:val="0"/>
                      <w:marTop w:val="0"/>
                      <w:marBottom w:val="0"/>
                      <w:divBdr>
                        <w:top w:val="none" w:sz="0" w:space="0" w:color="auto"/>
                        <w:left w:val="none" w:sz="0" w:space="0" w:color="auto"/>
                        <w:bottom w:val="none" w:sz="0" w:space="0" w:color="auto"/>
                        <w:right w:val="none" w:sz="0" w:space="0" w:color="auto"/>
                      </w:divBdr>
                    </w:div>
                  </w:divsChild>
                </w:div>
                <w:div w:id="1442649625">
                  <w:marLeft w:val="0"/>
                  <w:marRight w:val="0"/>
                  <w:marTop w:val="0"/>
                  <w:marBottom w:val="0"/>
                  <w:divBdr>
                    <w:top w:val="none" w:sz="0" w:space="0" w:color="auto"/>
                    <w:left w:val="none" w:sz="0" w:space="0" w:color="auto"/>
                    <w:bottom w:val="none" w:sz="0" w:space="0" w:color="auto"/>
                    <w:right w:val="none" w:sz="0" w:space="0" w:color="auto"/>
                  </w:divBdr>
                  <w:divsChild>
                    <w:div w:id="1247306648">
                      <w:marLeft w:val="0"/>
                      <w:marRight w:val="0"/>
                      <w:marTop w:val="0"/>
                      <w:marBottom w:val="0"/>
                      <w:divBdr>
                        <w:top w:val="none" w:sz="0" w:space="0" w:color="auto"/>
                        <w:left w:val="none" w:sz="0" w:space="0" w:color="auto"/>
                        <w:bottom w:val="none" w:sz="0" w:space="0" w:color="auto"/>
                        <w:right w:val="none" w:sz="0" w:space="0" w:color="auto"/>
                      </w:divBdr>
                    </w:div>
                  </w:divsChild>
                </w:div>
                <w:div w:id="1449663934">
                  <w:marLeft w:val="0"/>
                  <w:marRight w:val="0"/>
                  <w:marTop w:val="0"/>
                  <w:marBottom w:val="0"/>
                  <w:divBdr>
                    <w:top w:val="none" w:sz="0" w:space="0" w:color="auto"/>
                    <w:left w:val="none" w:sz="0" w:space="0" w:color="auto"/>
                    <w:bottom w:val="none" w:sz="0" w:space="0" w:color="auto"/>
                    <w:right w:val="none" w:sz="0" w:space="0" w:color="auto"/>
                  </w:divBdr>
                  <w:divsChild>
                    <w:div w:id="1339111870">
                      <w:marLeft w:val="0"/>
                      <w:marRight w:val="0"/>
                      <w:marTop w:val="0"/>
                      <w:marBottom w:val="0"/>
                      <w:divBdr>
                        <w:top w:val="none" w:sz="0" w:space="0" w:color="auto"/>
                        <w:left w:val="none" w:sz="0" w:space="0" w:color="auto"/>
                        <w:bottom w:val="none" w:sz="0" w:space="0" w:color="auto"/>
                        <w:right w:val="none" w:sz="0" w:space="0" w:color="auto"/>
                      </w:divBdr>
                    </w:div>
                  </w:divsChild>
                </w:div>
                <w:div w:id="1467704167">
                  <w:marLeft w:val="0"/>
                  <w:marRight w:val="0"/>
                  <w:marTop w:val="0"/>
                  <w:marBottom w:val="0"/>
                  <w:divBdr>
                    <w:top w:val="none" w:sz="0" w:space="0" w:color="auto"/>
                    <w:left w:val="none" w:sz="0" w:space="0" w:color="auto"/>
                    <w:bottom w:val="none" w:sz="0" w:space="0" w:color="auto"/>
                    <w:right w:val="none" w:sz="0" w:space="0" w:color="auto"/>
                  </w:divBdr>
                  <w:divsChild>
                    <w:div w:id="267926905">
                      <w:marLeft w:val="0"/>
                      <w:marRight w:val="0"/>
                      <w:marTop w:val="0"/>
                      <w:marBottom w:val="0"/>
                      <w:divBdr>
                        <w:top w:val="none" w:sz="0" w:space="0" w:color="auto"/>
                        <w:left w:val="none" w:sz="0" w:space="0" w:color="auto"/>
                        <w:bottom w:val="none" w:sz="0" w:space="0" w:color="auto"/>
                        <w:right w:val="none" w:sz="0" w:space="0" w:color="auto"/>
                      </w:divBdr>
                    </w:div>
                  </w:divsChild>
                </w:div>
                <w:div w:id="1472093361">
                  <w:marLeft w:val="0"/>
                  <w:marRight w:val="0"/>
                  <w:marTop w:val="0"/>
                  <w:marBottom w:val="0"/>
                  <w:divBdr>
                    <w:top w:val="none" w:sz="0" w:space="0" w:color="auto"/>
                    <w:left w:val="none" w:sz="0" w:space="0" w:color="auto"/>
                    <w:bottom w:val="none" w:sz="0" w:space="0" w:color="auto"/>
                    <w:right w:val="none" w:sz="0" w:space="0" w:color="auto"/>
                  </w:divBdr>
                  <w:divsChild>
                    <w:div w:id="158498083">
                      <w:marLeft w:val="0"/>
                      <w:marRight w:val="0"/>
                      <w:marTop w:val="0"/>
                      <w:marBottom w:val="0"/>
                      <w:divBdr>
                        <w:top w:val="none" w:sz="0" w:space="0" w:color="auto"/>
                        <w:left w:val="none" w:sz="0" w:space="0" w:color="auto"/>
                        <w:bottom w:val="none" w:sz="0" w:space="0" w:color="auto"/>
                        <w:right w:val="none" w:sz="0" w:space="0" w:color="auto"/>
                      </w:divBdr>
                    </w:div>
                  </w:divsChild>
                </w:div>
                <w:div w:id="1488325548">
                  <w:marLeft w:val="0"/>
                  <w:marRight w:val="0"/>
                  <w:marTop w:val="0"/>
                  <w:marBottom w:val="0"/>
                  <w:divBdr>
                    <w:top w:val="none" w:sz="0" w:space="0" w:color="auto"/>
                    <w:left w:val="none" w:sz="0" w:space="0" w:color="auto"/>
                    <w:bottom w:val="none" w:sz="0" w:space="0" w:color="auto"/>
                    <w:right w:val="none" w:sz="0" w:space="0" w:color="auto"/>
                  </w:divBdr>
                  <w:divsChild>
                    <w:div w:id="475535110">
                      <w:marLeft w:val="0"/>
                      <w:marRight w:val="0"/>
                      <w:marTop w:val="0"/>
                      <w:marBottom w:val="0"/>
                      <w:divBdr>
                        <w:top w:val="none" w:sz="0" w:space="0" w:color="auto"/>
                        <w:left w:val="none" w:sz="0" w:space="0" w:color="auto"/>
                        <w:bottom w:val="none" w:sz="0" w:space="0" w:color="auto"/>
                        <w:right w:val="none" w:sz="0" w:space="0" w:color="auto"/>
                      </w:divBdr>
                    </w:div>
                  </w:divsChild>
                </w:div>
                <w:div w:id="1504658956">
                  <w:marLeft w:val="0"/>
                  <w:marRight w:val="0"/>
                  <w:marTop w:val="0"/>
                  <w:marBottom w:val="0"/>
                  <w:divBdr>
                    <w:top w:val="none" w:sz="0" w:space="0" w:color="auto"/>
                    <w:left w:val="none" w:sz="0" w:space="0" w:color="auto"/>
                    <w:bottom w:val="none" w:sz="0" w:space="0" w:color="auto"/>
                    <w:right w:val="none" w:sz="0" w:space="0" w:color="auto"/>
                  </w:divBdr>
                  <w:divsChild>
                    <w:div w:id="1892425252">
                      <w:marLeft w:val="0"/>
                      <w:marRight w:val="0"/>
                      <w:marTop w:val="0"/>
                      <w:marBottom w:val="0"/>
                      <w:divBdr>
                        <w:top w:val="none" w:sz="0" w:space="0" w:color="auto"/>
                        <w:left w:val="none" w:sz="0" w:space="0" w:color="auto"/>
                        <w:bottom w:val="none" w:sz="0" w:space="0" w:color="auto"/>
                        <w:right w:val="none" w:sz="0" w:space="0" w:color="auto"/>
                      </w:divBdr>
                    </w:div>
                  </w:divsChild>
                </w:div>
                <w:div w:id="1521893685">
                  <w:marLeft w:val="0"/>
                  <w:marRight w:val="0"/>
                  <w:marTop w:val="0"/>
                  <w:marBottom w:val="0"/>
                  <w:divBdr>
                    <w:top w:val="none" w:sz="0" w:space="0" w:color="auto"/>
                    <w:left w:val="none" w:sz="0" w:space="0" w:color="auto"/>
                    <w:bottom w:val="none" w:sz="0" w:space="0" w:color="auto"/>
                    <w:right w:val="none" w:sz="0" w:space="0" w:color="auto"/>
                  </w:divBdr>
                  <w:divsChild>
                    <w:div w:id="132412887">
                      <w:marLeft w:val="0"/>
                      <w:marRight w:val="0"/>
                      <w:marTop w:val="0"/>
                      <w:marBottom w:val="0"/>
                      <w:divBdr>
                        <w:top w:val="none" w:sz="0" w:space="0" w:color="auto"/>
                        <w:left w:val="none" w:sz="0" w:space="0" w:color="auto"/>
                        <w:bottom w:val="none" w:sz="0" w:space="0" w:color="auto"/>
                        <w:right w:val="none" w:sz="0" w:space="0" w:color="auto"/>
                      </w:divBdr>
                    </w:div>
                  </w:divsChild>
                </w:div>
                <w:div w:id="1537541370">
                  <w:marLeft w:val="0"/>
                  <w:marRight w:val="0"/>
                  <w:marTop w:val="0"/>
                  <w:marBottom w:val="0"/>
                  <w:divBdr>
                    <w:top w:val="none" w:sz="0" w:space="0" w:color="auto"/>
                    <w:left w:val="none" w:sz="0" w:space="0" w:color="auto"/>
                    <w:bottom w:val="none" w:sz="0" w:space="0" w:color="auto"/>
                    <w:right w:val="none" w:sz="0" w:space="0" w:color="auto"/>
                  </w:divBdr>
                  <w:divsChild>
                    <w:div w:id="146558163">
                      <w:marLeft w:val="0"/>
                      <w:marRight w:val="0"/>
                      <w:marTop w:val="0"/>
                      <w:marBottom w:val="0"/>
                      <w:divBdr>
                        <w:top w:val="none" w:sz="0" w:space="0" w:color="auto"/>
                        <w:left w:val="none" w:sz="0" w:space="0" w:color="auto"/>
                        <w:bottom w:val="none" w:sz="0" w:space="0" w:color="auto"/>
                        <w:right w:val="none" w:sz="0" w:space="0" w:color="auto"/>
                      </w:divBdr>
                    </w:div>
                  </w:divsChild>
                </w:div>
                <w:div w:id="1555308533">
                  <w:marLeft w:val="0"/>
                  <w:marRight w:val="0"/>
                  <w:marTop w:val="0"/>
                  <w:marBottom w:val="0"/>
                  <w:divBdr>
                    <w:top w:val="none" w:sz="0" w:space="0" w:color="auto"/>
                    <w:left w:val="none" w:sz="0" w:space="0" w:color="auto"/>
                    <w:bottom w:val="none" w:sz="0" w:space="0" w:color="auto"/>
                    <w:right w:val="none" w:sz="0" w:space="0" w:color="auto"/>
                  </w:divBdr>
                  <w:divsChild>
                    <w:div w:id="849641059">
                      <w:marLeft w:val="0"/>
                      <w:marRight w:val="0"/>
                      <w:marTop w:val="0"/>
                      <w:marBottom w:val="0"/>
                      <w:divBdr>
                        <w:top w:val="none" w:sz="0" w:space="0" w:color="auto"/>
                        <w:left w:val="none" w:sz="0" w:space="0" w:color="auto"/>
                        <w:bottom w:val="none" w:sz="0" w:space="0" w:color="auto"/>
                        <w:right w:val="none" w:sz="0" w:space="0" w:color="auto"/>
                      </w:divBdr>
                    </w:div>
                  </w:divsChild>
                </w:div>
                <w:div w:id="1673290944">
                  <w:marLeft w:val="0"/>
                  <w:marRight w:val="0"/>
                  <w:marTop w:val="0"/>
                  <w:marBottom w:val="0"/>
                  <w:divBdr>
                    <w:top w:val="none" w:sz="0" w:space="0" w:color="auto"/>
                    <w:left w:val="none" w:sz="0" w:space="0" w:color="auto"/>
                    <w:bottom w:val="none" w:sz="0" w:space="0" w:color="auto"/>
                    <w:right w:val="none" w:sz="0" w:space="0" w:color="auto"/>
                  </w:divBdr>
                  <w:divsChild>
                    <w:div w:id="2143421012">
                      <w:marLeft w:val="0"/>
                      <w:marRight w:val="0"/>
                      <w:marTop w:val="0"/>
                      <w:marBottom w:val="0"/>
                      <w:divBdr>
                        <w:top w:val="none" w:sz="0" w:space="0" w:color="auto"/>
                        <w:left w:val="none" w:sz="0" w:space="0" w:color="auto"/>
                        <w:bottom w:val="none" w:sz="0" w:space="0" w:color="auto"/>
                        <w:right w:val="none" w:sz="0" w:space="0" w:color="auto"/>
                      </w:divBdr>
                    </w:div>
                  </w:divsChild>
                </w:div>
                <w:div w:id="1722055890">
                  <w:marLeft w:val="0"/>
                  <w:marRight w:val="0"/>
                  <w:marTop w:val="0"/>
                  <w:marBottom w:val="0"/>
                  <w:divBdr>
                    <w:top w:val="none" w:sz="0" w:space="0" w:color="auto"/>
                    <w:left w:val="none" w:sz="0" w:space="0" w:color="auto"/>
                    <w:bottom w:val="none" w:sz="0" w:space="0" w:color="auto"/>
                    <w:right w:val="none" w:sz="0" w:space="0" w:color="auto"/>
                  </w:divBdr>
                  <w:divsChild>
                    <w:div w:id="163209435">
                      <w:marLeft w:val="0"/>
                      <w:marRight w:val="0"/>
                      <w:marTop w:val="0"/>
                      <w:marBottom w:val="0"/>
                      <w:divBdr>
                        <w:top w:val="none" w:sz="0" w:space="0" w:color="auto"/>
                        <w:left w:val="none" w:sz="0" w:space="0" w:color="auto"/>
                        <w:bottom w:val="none" w:sz="0" w:space="0" w:color="auto"/>
                        <w:right w:val="none" w:sz="0" w:space="0" w:color="auto"/>
                      </w:divBdr>
                    </w:div>
                  </w:divsChild>
                </w:div>
                <w:div w:id="1802838724">
                  <w:marLeft w:val="0"/>
                  <w:marRight w:val="0"/>
                  <w:marTop w:val="0"/>
                  <w:marBottom w:val="0"/>
                  <w:divBdr>
                    <w:top w:val="none" w:sz="0" w:space="0" w:color="auto"/>
                    <w:left w:val="none" w:sz="0" w:space="0" w:color="auto"/>
                    <w:bottom w:val="none" w:sz="0" w:space="0" w:color="auto"/>
                    <w:right w:val="none" w:sz="0" w:space="0" w:color="auto"/>
                  </w:divBdr>
                  <w:divsChild>
                    <w:div w:id="729840912">
                      <w:marLeft w:val="0"/>
                      <w:marRight w:val="0"/>
                      <w:marTop w:val="0"/>
                      <w:marBottom w:val="0"/>
                      <w:divBdr>
                        <w:top w:val="none" w:sz="0" w:space="0" w:color="auto"/>
                        <w:left w:val="none" w:sz="0" w:space="0" w:color="auto"/>
                        <w:bottom w:val="none" w:sz="0" w:space="0" w:color="auto"/>
                        <w:right w:val="none" w:sz="0" w:space="0" w:color="auto"/>
                      </w:divBdr>
                    </w:div>
                  </w:divsChild>
                </w:div>
                <w:div w:id="1829974774">
                  <w:marLeft w:val="0"/>
                  <w:marRight w:val="0"/>
                  <w:marTop w:val="0"/>
                  <w:marBottom w:val="0"/>
                  <w:divBdr>
                    <w:top w:val="none" w:sz="0" w:space="0" w:color="auto"/>
                    <w:left w:val="none" w:sz="0" w:space="0" w:color="auto"/>
                    <w:bottom w:val="none" w:sz="0" w:space="0" w:color="auto"/>
                    <w:right w:val="none" w:sz="0" w:space="0" w:color="auto"/>
                  </w:divBdr>
                  <w:divsChild>
                    <w:div w:id="121316361">
                      <w:marLeft w:val="0"/>
                      <w:marRight w:val="0"/>
                      <w:marTop w:val="0"/>
                      <w:marBottom w:val="0"/>
                      <w:divBdr>
                        <w:top w:val="none" w:sz="0" w:space="0" w:color="auto"/>
                        <w:left w:val="none" w:sz="0" w:space="0" w:color="auto"/>
                        <w:bottom w:val="none" w:sz="0" w:space="0" w:color="auto"/>
                        <w:right w:val="none" w:sz="0" w:space="0" w:color="auto"/>
                      </w:divBdr>
                    </w:div>
                  </w:divsChild>
                </w:div>
                <w:div w:id="1910341271">
                  <w:marLeft w:val="0"/>
                  <w:marRight w:val="0"/>
                  <w:marTop w:val="0"/>
                  <w:marBottom w:val="0"/>
                  <w:divBdr>
                    <w:top w:val="none" w:sz="0" w:space="0" w:color="auto"/>
                    <w:left w:val="none" w:sz="0" w:space="0" w:color="auto"/>
                    <w:bottom w:val="none" w:sz="0" w:space="0" w:color="auto"/>
                    <w:right w:val="none" w:sz="0" w:space="0" w:color="auto"/>
                  </w:divBdr>
                  <w:divsChild>
                    <w:div w:id="282075795">
                      <w:marLeft w:val="0"/>
                      <w:marRight w:val="0"/>
                      <w:marTop w:val="0"/>
                      <w:marBottom w:val="0"/>
                      <w:divBdr>
                        <w:top w:val="none" w:sz="0" w:space="0" w:color="auto"/>
                        <w:left w:val="none" w:sz="0" w:space="0" w:color="auto"/>
                        <w:bottom w:val="none" w:sz="0" w:space="0" w:color="auto"/>
                        <w:right w:val="none" w:sz="0" w:space="0" w:color="auto"/>
                      </w:divBdr>
                    </w:div>
                  </w:divsChild>
                </w:div>
                <w:div w:id="1912307007">
                  <w:marLeft w:val="0"/>
                  <w:marRight w:val="0"/>
                  <w:marTop w:val="0"/>
                  <w:marBottom w:val="0"/>
                  <w:divBdr>
                    <w:top w:val="none" w:sz="0" w:space="0" w:color="auto"/>
                    <w:left w:val="none" w:sz="0" w:space="0" w:color="auto"/>
                    <w:bottom w:val="none" w:sz="0" w:space="0" w:color="auto"/>
                    <w:right w:val="none" w:sz="0" w:space="0" w:color="auto"/>
                  </w:divBdr>
                  <w:divsChild>
                    <w:div w:id="211816358">
                      <w:marLeft w:val="0"/>
                      <w:marRight w:val="0"/>
                      <w:marTop w:val="0"/>
                      <w:marBottom w:val="0"/>
                      <w:divBdr>
                        <w:top w:val="none" w:sz="0" w:space="0" w:color="auto"/>
                        <w:left w:val="none" w:sz="0" w:space="0" w:color="auto"/>
                        <w:bottom w:val="none" w:sz="0" w:space="0" w:color="auto"/>
                        <w:right w:val="none" w:sz="0" w:space="0" w:color="auto"/>
                      </w:divBdr>
                    </w:div>
                  </w:divsChild>
                </w:div>
                <w:div w:id="1923832855">
                  <w:marLeft w:val="0"/>
                  <w:marRight w:val="0"/>
                  <w:marTop w:val="0"/>
                  <w:marBottom w:val="0"/>
                  <w:divBdr>
                    <w:top w:val="none" w:sz="0" w:space="0" w:color="auto"/>
                    <w:left w:val="none" w:sz="0" w:space="0" w:color="auto"/>
                    <w:bottom w:val="none" w:sz="0" w:space="0" w:color="auto"/>
                    <w:right w:val="none" w:sz="0" w:space="0" w:color="auto"/>
                  </w:divBdr>
                  <w:divsChild>
                    <w:div w:id="359210126">
                      <w:marLeft w:val="0"/>
                      <w:marRight w:val="0"/>
                      <w:marTop w:val="0"/>
                      <w:marBottom w:val="0"/>
                      <w:divBdr>
                        <w:top w:val="none" w:sz="0" w:space="0" w:color="auto"/>
                        <w:left w:val="none" w:sz="0" w:space="0" w:color="auto"/>
                        <w:bottom w:val="none" w:sz="0" w:space="0" w:color="auto"/>
                        <w:right w:val="none" w:sz="0" w:space="0" w:color="auto"/>
                      </w:divBdr>
                    </w:div>
                  </w:divsChild>
                </w:div>
                <w:div w:id="1928614706">
                  <w:marLeft w:val="0"/>
                  <w:marRight w:val="0"/>
                  <w:marTop w:val="0"/>
                  <w:marBottom w:val="0"/>
                  <w:divBdr>
                    <w:top w:val="none" w:sz="0" w:space="0" w:color="auto"/>
                    <w:left w:val="none" w:sz="0" w:space="0" w:color="auto"/>
                    <w:bottom w:val="none" w:sz="0" w:space="0" w:color="auto"/>
                    <w:right w:val="none" w:sz="0" w:space="0" w:color="auto"/>
                  </w:divBdr>
                  <w:divsChild>
                    <w:div w:id="1504391001">
                      <w:marLeft w:val="0"/>
                      <w:marRight w:val="0"/>
                      <w:marTop w:val="0"/>
                      <w:marBottom w:val="0"/>
                      <w:divBdr>
                        <w:top w:val="none" w:sz="0" w:space="0" w:color="auto"/>
                        <w:left w:val="none" w:sz="0" w:space="0" w:color="auto"/>
                        <w:bottom w:val="none" w:sz="0" w:space="0" w:color="auto"/>
                        <w:right w:val="none" w:sz="0" w:space="0" w:color="auto"/>
                      </w:divBdr>
                    </w:div>
                  </w:divsChild>
                </w:div>
                <w:div w:id="1966737344">
                  <w:marLeft w:val="0"/>
                  <w:marRight w:val="0"/>
                  <w:marTop w:val="0"/>
                  <w:marBottom w:val="0"/>
                  <w:divBdr>
                    <w:top w:val="none" w:sz="0" w:space="0" w:color="auto"/>
                    <w:left w:val="none" w:sz="0" w:space="0" w:color="auto"/>
                    <w:bottom w:val="none" w:sz="0" w:space="0" w:color="auto"/>
                    <w:right w:val="none" w:sz="0" w:space="0" w:color="auto"/>
                  </w:divBdr>
                  <w:divsChild>
                    <w:div w:id="136996494">
                      <w:marLeft w:val="0"/>
                      <w:marRight w:val="0"/>
                      <w:marTop w:val="0"/>
                      <w:marBottom w:val="0"/>
                      <w:divBdr>
                        <w:top w:val="none" w:sz="0" w:space="0" w:color="auto"/>
                        <w:left w:val="none" w:sz="0" w:space="0" w:color="auto"/>
                        <w:bottom w:val="none" w:sz="0" w:space="0" w:color="auto"/>
                        <w:right w:val="none" w:sz="0" w:space="0" w:color="auto"/>
                      </w:divBdr>
                    </w:div>
                  </w:divsChild>
                </w:div>
                <w:div w:id="2005157631">
                  <w:marLeft w:val="0"/>
                  <w:marRight w:val="0"/>
                  <w:marTop w:val="0"/>
                  <w:marBottom w:val="0"/>
                  <w:divBdr>
                    <w:top w:val="none" w:sz="0" w:space="0" w:color="auto"/>
                    <w:left w:val="none" w:sz="0" w:space="0" w:color="auto"/>
                    <w:bottom w:val="none" w:sz="0" w:space="0" w:color="auto"/>
                    <w:right w:val="none" w:sz="0" w:space="0" w:color="auto"/>
                  </w:divBdr>
                  <w:divsChild>
                    <w:div w:id="1312178901">
                      <w:marLeft w:val="0"/>
                      <w:marRight w:val="0"/>
                      <w:marTop w:val="0"/>
                      <w:marBottom w:val="0"/>
                      <w:divBdr>
                        <w:top w:val="none" w:sz="0" w:space="0" w:color="auto"/>
                        <w:left w:val="none" w:sz="0" w:space="0" w:color="auto"/>
                        <w:bottom w:val="none" w:sz="0" w:space="0" w:color="auto"/>
                        <w:right w:val="none" w:sz="0" w:space="0" w:color="auto"/>
                      </w:divBdr>
                    </w:div>
                  </w:divsChild>
                </w:div>
                <w:div w:id="2016497987">
                  <w:marLeft w:val="0"/>
                  <w:marRight w:val="0"/>
                  <w:marTop w:val="0"/>
                  <w:marBottom w:val="0"/>
                  <w:divBdr>
                    <w:top w:val="none" w:sz="0" w:space="0" w:color="auto"/>
                    <w:left w:val="none" w:sz="0" w:space="0" w:color="auto"/>
                    <w:bottom w:val="none" w:sz="0" w:space="0" w:color="auto"/>
                    <w:right w:val="none" w:sz="0" w:space="0" w:color="auto"/>
                  </w:divBdr>
                  <w:divsChild>
                    <w:div w:id="907963780">
                      <w:marLeft w:val="0"/>
                      <w:marRight w:val="0"/>
                      <w:marTop w:val="0"/>
                      <w:marBottom w:val="0"/>
                      <w:divBdr>
                        <w:top w:val="none" w:sz="0" w:space="0" w:color="auto"/>
                        <w:left w:val="none" w:sz="0" w:space="0" w:color="auto"/>
                        <w:bottom w:val="none" w:sz="0" w:space="0" w:color="auto"/>
                        <w:right w:val="none" w:sz="0" w:space="0" w:color="auto"/>
                      </w:divBdr>
                    </w:div>
                  </w:divsChild>
                </w:div>
                <w:div w:id="2020110030">
                  <w:marLeft w:val="0"/>
                  <w:marRight w:val="0"/>
                  <w:marTop w:val="0"/>
                  <w:marBottom w:val="0"/>
                  <w:divBdr>
                    <w:top w:val="none" w:sz="0" w:space="0" w:color="auto"/>
                    <w:left w:val="none" w:sz="0" w:space="0" w:color="auto"/>
                    <w:bottom w:val="none" w:sz="0" w:space="0" w:color="auto"/>
                    <w:right w:val="none" w:sz="0" w:space="0" w:color="auto"/>
                  </w:divBdr>
                  <w:divsChild>
                    <w:div w:id="12326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
        <w:div w:id="1773354251">
          <w:marLeft w:val="0"/>
          <w:marRight w:val="0"/>
          <w:marTop w:val="0"/>
          <w:marBottom w:val="0"/>
          <w:divBdr>
            <w:top w:val="none" w:sz="0" w:space="0" w:color="auto"/>
            <w:left w:val="none" w:sz="0" w:space="0" w:color="auto"/>
            <w:bottom w:val="none" w:sz="0" w:space="0" w:color="auto"/>
            <w:right w:val="none" w:sz="0" w:space="0" w:color="auto"/>
          </w:divBdr>
        </w:div>
        <w:div w:id="1851065519">
          <w:marLeft w:val="0"/>
          <w:marRight w:val="0"/>
          <w:marTop w:val="0"/>
          <w:marBottom w:val="0"/>
          <w:divBdr>
            <w:top w:val="none" w:sz="0" w:space="0" w:color="auto"/>
            <w:left w:val="none" w:sz="0" w:space="0" w:color="auto"/>
            <w:bottom w:val="none" w:sz="0" w:space="0" w:color="auto"/>
            <w:right w:val="none" w:sz="0" w:space="0" w:color="auto"/>
          </w:divBdr>
        </w:div>
      </w:divsChild>
    </w:div>
    <w:div w:id="32342010">
      <w:bodyDiv w:val="1"/>
      <w:marLeft w:val="0"/>
      <w:marRight w:val="0"/>
      <w:marTop w:val="0"/>
      <w:marBottom w:val="0"/>
      <w:divBdr>
        <w:top w:val="none" w:sz="0" w:space="0" w:color="auto"/>
        <w:left w:val="none" w:sz="0" w:space="0" w:color="auto"/>
        <w:bottom w:val="none" w:sz="0" w:space="0" w:color="auto"/>
        <w:right w:val="none" w:sz="0" w:space="0" w:color="auto"/>
      </w:divBdr>
    </w:div>
    <w:div w:id="41830621">
      <w:bodyDiv w:val="1"/>
      <w:marLeft w:val="0"/>
      <w:marRight w:val="0"/>
      <w:marTop w:val="0"/>
      <w:marBottom w:val="0"/>
      <w:divBdr>
        <w:top w:val="none" w:sz="0" w:space="0" w:color="auto"/>
        <w:left w:val="none" w:sz="0" w:space="0" w:color="auto"/>
        <w:bottom w:val="none" w:sz="0" w:space="0" w:color="auto"/>
        <w:right w:val="none" w:sz="0" w:space="0" w:color="auto"/>
      </w:divBdr>
    </w:div>
    <w:div w:id="42414499">
      <w:bodyDiv w:val="1"/>
      <w:marLeft w:val="0"/>
      <w:marRight w:val="0"/>
      <w:marTop w:val="0"/>
      <w:marBottom w:val="0"/>
      <w:divBdr>
        <w:top w:val="none" w:sz="0" w:space="0" w:color="auto"/>
        <w:left w:val="none" w:sz="0" w:space="0" w:color="auto"/>
        <w:bottom w:val="none" w:sz="0" w:space="0" w:color="auto"/>
        <w:right w:val="none" w:sz="0" w:space="0" w:color="auto"/>
      </w:divBdr>
    </w:div>
    <w:div w:id="60446261">
      <w:bodyDiv w:val="1"/>
      <w:marLeft w:val="0"/>
      <w:marRight w:val="0"/>
      <w:marTop w:val="0"/>
      <w:marBottom w:val="0"/>
      <w:divBdr>
        <w:top w:val="none" w:sz="0" w:space="0" w:color="auto"/>
        <w:left w:val="none" w:sz="0" w:space="0" w:color="auto"/>
        <w:bottom w:val="none" w:sz="0" w:space="0" w:color="auto"/>
        <w:right w:val="none" w:sz="0" w:space="0" w:color="auto"/>
      </w:divBdr>
    </w:div>
    <w:div w:id="66878118">
      <w:bodyDiv w:val="1"/>
      <w:marLeft w:val="0"/>
      <w:marRight w:val="0"/>
      <w:marTop w:val="0"/>
      <w:marBottom w:val="0"/>
      <w:divBdr>
        <w:top w:val="none" w:sz="0" w:space="0" w:color="auto"/>
        <w:left w:val="none" w:sz="0" w:space="0" w:color="auto"/>
        <w:bottom w:val="none" w:sz="0" w:space="0" w:color="auto"/>
        <w:right w:val="none" w:sz="0" w:space="0" w:color="auto"/>
      </w:divBdr>
      <w:divsChild>
        <w:div w:id="2127580462">
          <w:marLeft w:val="0"/>
          <w:marRight w:val="0"/>
          <w:marTop w:val="0"/>
          <w:marBottom w:val="0"/>
          <w:divBdr>
            <w:top w:val="none" w:sz="0" w:space="0" w:color="auto"/>
            <w:left w:val="none" w:sz="0" w:space="0" w:color="auto"/>
            <w:bottom w:val="none" w:sz="0" w:space="0" w:color="auto"/>
            <w:right w:val="none" w:sz="0" w:space="0" w:color="auto"/>
          </w:divBdr>
          <w:divsChild>
            <w:div w:id="860244817">
              <w:marLeft w:val="0"/>
              <w:marRight w:val="0"/>
              <w:marTop w:val="0"/>
              <w:marBottom w:val="0"/>
              <w:divBdr>
                <w:top w:val="none" w:sz="0" w:space="0" w:color="auto"/>
                <w:left w:val="none" w:sz="0" w:space="0" w:color="auto"/>
                <w:bottom w:val="none" w:sz="0" w:space="0" w:color="auto"/>
                <w:right w:val="none" w:sz="0" w:space="0" w:color="auto"/>
              </w:divBdr>
              <w:divsChild>
                <w:div w:id="898247684">
                  <w:marLeft w:val="0"/>
                  <w:marRight w:val="0"/>
                  <w:marTop w:val="0"/>
                  <w:marBottom w:val="0"/>
                  <w:divBdr>
                    <w:top w:val="none" w:sz="0" w:space="0" w:color="auto"/>
                    <w:left w:val="none" w:sz="0" w:space="0" w:color="auto"/>
                    <w:bottom w:val="none" w:sz="0" w:space="0" w:color="auto"/>
                    <w:right w:val="none" w:sz="0" w:space="0" w:color="auto"/>
                  </w:divBdr>
                  <w:divsChild>
                    <w:div w:id="1796636085">
                      <w:marLeft w:val="0"/>
                      <w:marRight w:val="0"/>
                      <w:marTop w:val="0"/>
                      <w:marBottom w:val="0"/>
                      <w:divBdr>
                        <w:top w:val="none" w:sz="0" w:space="0" w:color="auto"/>
                        <w:left w:val="none" w:sz="0" w:space="0" w:color="auto"/>
                        <w:bottom w:val="none" w:sz="0" w:space="0" w:color="auto"/>
                        <w:right w:val="none" w:sz="0" w:space="0" w:color="auto"/>
                      </w:divBdr>
                      <w:divsChild>
                        <w:div w:id="727460840">
                          <w:marLeft w:val="0"/>
                          <w:marRight w:val="0"/>
                          <w:marTop w:val="0"/>
                          <w:marBottom w:val="0"/>
                          <w:divBdr>
                            <w:top w:val="none" w:sz="0" w:space="0" w:color="auto"/>
                            <w:left w:val="none" w:sz="0" w:space="0" w:color="auto"/>
                            <w:bottom w:val="none" w:sz="0" w:space="0" w:color="auto"/>
                            <w:right w:val="none" w:sz="0" w:space="0" w:color="auto"/>
                          </w:divBdr>
                          <w:divsChild>
                            <w:div w:id="11201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08976">
      <w:bodyDiv w:val="1"/>
      <w:marLeft w:val="0"/>
      <w:marRight w:val="0"/>
      <w:marTop w:val="0"/>
      <w:marBottom w:val="0"/>
      <w:divBdr>
        <w:top w:val="none" w:sz="0" w:space="0" w:color="auto"/>
        <w:left w:val="none" w:sz="0" w:space="0" w:color="auto"/>
        <w:bottom w:val="none" w:sz="0" w:space="0" w:color="auto"/>
        <w:right w:val="none" w:sz="0" w:space="0" w:color="auto"/>
      </w:divBdr>
    </w:div>
    <w:div w:id="81293356">
      <w:bodyDiv w:val="1"/>
      <w:marLeft w:val="0"/>
      <w:marRight w:val="0"/>
      <w:marTop w:val="0"/>
      <w:marBottom w:val="0"/>
      <w:divBdr>
        <w:top w:val="none" w:sz="0" w:space="0" w:color="auto"/>
        <w:left w:val="none" w:sz="0" w:space="0" w:color="auto"/>
        <w:bottom w:val="none" w:sz="0" w:space="0" w:color="auto"/>
        <w:right w:val="none" w:sz="0" w:space="0" w:color="auto"/>
      </w:divBdr>
    </w:div>
    <w:div w:id="85929027">
      <w:bodyDiv w:val="1"/>
      <w:marLeft w:val="0"/>
      <w:marRight w:val="0"/>
      <w:marTop w:val="0"/>
      <w:marBottom w:val="0"/>
      <w:divBdr>
        <w:top w:val="none" w:sz="0" w:space="0" w:color="auto"/>
        <w:left w:val="none" w:sz="0" w:space="0" w:color="auto"/>
        <w:bottom w:val="none" w:sz="0" w:space="0" w:color="auto"/>
        <w:right w:val="none" w:sz="0" w:space="0" w:color="auto"/>
      </w:divBdr>
    </w:div>
    <w:div w:id="96681421">
      <w:bodyDiv w:val="1"/>
      <w:marLeft w:val="0"/>
      <w:marRight w:val="0"/>
      <w:marTop w:val="0"/>
      <w:marBottom w:val="0"/>
      <w:divBdr>
        <w:top w:val="none" w:sz="0" w:space="0" w:color="auto"/>
        <w:left w:val="none" w:sz="0" w:space="0" w:color="auto"/>
        <w:bottom w:val="none" w:sz="0" w:space="0" w:color="auto"/>
        <w:right w:val="none" w:sz="0" w:space="0" w:color="auto"/>
      </w:divBdr>
    </w:div>
    <w:div w:id="113184152">
      <w:bodyDiv w:val="1"/>
      <w:marLeft w:val="0"/>
      <w:marRight w:val="0"/>
      <w:marTop w:val="0"/>
      <w:marBottom w:val="0"/>
      <w:divBdr>
        <w:top w:val="none" w:sz="0" w:space="0" w:color="auto"/>
        <w:left w:val="none" w:sz="0" w:space="0" w:color="auto"/>
        <w:bottom w:val="none" w:sz="0" w:space="0" w:color="auto"/>
        <w:right w:val="none" w:sz="0" w:space="0" w:color="auto"/>
      </w:divBdr>
    </w:div>
    <w:div w:id="132531542">
      <w:bodyDiv w:val="1"/>
      <w:marLeft w:val="0"/>
      <w:marRight w:val="0"/>
      <w:marTop w:val="0"/>
      <w:marBottom w:val="0"/>
      <w:divBdr>
        <w:top w:val="none" w:sz="0" w:space="0" w:color="auto"/>
        <w:left w:val="none" w:sz="0" w:space="0" w:color="auto"/>
        <w:bottom w:val="none" w:sz="0" w:space="0" w:color="auto"/>
        <w:right w:val="none" w:sz="0" w:space="0" w:color="auto"/>
      </w:divBdr>
    </w:div>
    <w:div w:id="134184805">
      <w:bodyDiv w:val="1"/>
      <w:marLeft w:val="0"/>
      <w:marRight w:val="0"/>
      <w:marTop w:val="0"/>
      <w:marBottom w:val="0"/>
      <w:divBdr>
        <w:top w:val="none" w:sz="0" w:space="0" w:color="auto"/>
        <w:left w:val="none" w:sz="0" w:space="0" w:color="auto"/>
        <w:bottom w:val="none" w:sz="0" w:space="0" w:color="auto"/>
        <w:right w:val="none" w:sz="0" w:space="0" w:color="auto"/>
      </w:divBdr>
    </w:div>
    <w:div w:id="136849334">
      <w:bodyDiv w:val="1"/>
      <w:marLeft w:val="0"/>
      <w:marRight w:val="0"/>
      <w:marTop w:val="0"/>
      <w:marBottom w:val="0"/>
      <w:divBdr>
        <w:top w:val="none" w:sz="0" w:space="0" w:color="auto"/>
        <w:left w:val="none" w:sz="0" w:space="0" w:color="auto"/>
        <w:bottom w:val="none" w:sz="0" w:space="0" w:color="auto"/>
        <w:right w:val="none" w:sz="0" w:space="0" w:color="auto"/>
      </w:divBdr>
    </w:div>
    <w:div w:id="141195969">
      <w:bodyDiv w:val="1"/>
      <w:marLeft w:val="0"/>
      <w:marRight w:val="0"/>
      <w:marTop w:val="0"/>
      <w:marBottom w:val="0"/>
      <w:divBdr>
        <w:top w:val="none" w:sz="0" w:space="0" w:color="auto"/>
        <w:left w:val="none" w:sz="0" w:space="0" w:color="auto"/>
        <w:bottom w:val="none" w:sz="0" w:space="0" w:color="auto"/>
        <w:right w:val="none" w:sz="0" w:space="0" w:color="auto"/>
      </w:divBdr>
    </w:div>
    <w:div w:id="168838993">
      <w:bodyDiv w:val="1"/>
      <w:marLeft w:val="0"/>
      <w:marRight w:val="0"/>
      <w:marTop w:val="0"/>
      <w:marBottom w:val="0"/>
      <w:divBdr>
        <w:top w:val="none" w:sz="0" w:space="0" w:color="auto"/>
        <w:left w:val="none" w:sz="0" w:space="0" w:color="auto"/>
        <w:bottom w:val="none" w:sz="0" w:space="0" w:color="auto"/>
        <w:right w:val="none" w:sz="0" w:space="0" w:color="auto"/>
      </w:divBdr>
      <w:divsChild>
        <w:div w:id="65878430">
          <w:marLeft w:val="0"/>
          <w:marRight w:val="0"/>
          <w:marTop w:val="0"/>
          <w:marBottom w:val="0"/>
          <w:divBdr>
            <w:top w:val="none" w:sz="0" w:space="0" w:color="auto"/>
            <w:left w:val="none" w:sz="0" w:space="0" w:color="auto"/>
            <w:bottom w:val="none" w:sz="0" w:space="0" w:color="auto"/>
            <w:right w:val="none" w:sz="0" w:space="0" w:color="auto"/>
          </w:divBdr>
          <w:divsChild>
            <w:div w:id="210701636">
              <w:marLeft w:val="0"/>
              <w:marRight w:val="0"/>
              <w:marTop w:val="0"/>
              <w:marBottom w:val="0"/>
              <w:divBdr>
                <w:top w:val="none" w:sz="0" w:space="0" w:color="auto"/>
                <w:left w:val="none" w:sz="0" w:space="0" w:color="auto"/>
                <w:bottom w:val="none" w:sz="0" w:space="0" w:color="auto"/>
                <w:right w:val="none" w:sz="0" w:space="0" w:color="auto"/>
              </w:divBdr>
              <w:divsChild>
                <w:div w:id="847251003">
                  <w:marLeft w:val="0"/>
                  <w:marRight w:val="0"/>
                  <w:marTop w:val="0"/>
                  <w:marBottom w:val="0"/>
                  <w:divBdr>
                    <w:top w:val="none" w:sz="0" w:space="0" w:color="auto"/>
                    <w:left w:val="none" w:sz="0" w:space="0" w:color="auto"/>
                    <w:bottom w:val="none" w:sz="0" w:space="0" w:color="auto"/>
                    <w:right w:val="none" w:sz="0" w:space="0" w:color="auto"/>
                  </w:divBdr>
                  <w:divsChild>
                    <w:div w:id="1628000473">
                      <w:marLeft w:val="0"/>
                      <w:marRight w:val="0"/>
                      <w:marTop w:val="0"/>
                      <w:marBottom w:val="0"/>
                      <w:divBdr>
                        <w:top w:val="none" w:sz="0" w:space="0" w:color="auto"/>
                        <w:left w:val="none" w:sz="0" w:space="0" w:color="auto"/>
                        <w:bottom w:val="none" w:sz="0" w:space="0" w:color="auto"/>
                        <w:right w:val="none" w:sz="0" w:space="0" w:color="auto"/>
                      </w:divBdr>
                      <w:divsChild>
                        <w:div w:id="733549912">
                          <w:marLeft w:val="0"/>
                          <w:marRight w:val="0"/>
                          <w:marTop w:val="0"/>
                          <w:marBottom w:val="0"/>
                          <w:divBdr>
                            <w:top w:val="none" w:sz="0" w:space="0" w:color="auto"/>
                            <w:left w:val="none" w:sz="0" w:space="0" w:color="auto"/>
                            <w:bottom w:val="none" w:sz="0" w:space="0" w:color="auto"/>
                            <w:right w:val="none" w:sz="0" w:space="0" w:color="auto"/>
                          </w:divBdr>
                          <w:divsChild>
                            <w:div w:id="1677002737">
                              <w:marLeft w:val="0"/>
                              <w:marRight w:val="0"/>
                              <w:marTop w:val="0"/>
                              <w:marBottom w:val="0"/>
                              <w:divBdr>
                                <w:top w:val="none" w:sz="0" w:space="0" w:color="auto"/>
                                <w:left w:val="none" w:sz="0" w:space="0" w:color="auto"/>
                                <w:bottom w:val="none" w:sz="0" w:space="0" w:color="auto"/>
                                <w:right w:val="none" w:sz="0" w:space="0" w:color="auto"/>
                              </w:divBdr>
                              <w:divsChild>
                                <w:div w:id="989099406">
                                  <w:marLeft w:val="0"/>
                                  <w:marRight w:val="0"/>
                                  <w:marTop w:val="0"/>
                                  <w:marBottom w:val="0"/>
                                  <w:divBdr>
                                    <w:top w:val="none" w:sz="0" w:space="0" w:color="auto"/>
                                    <w:left w:val="none" w:sz="0" w:space="0" w:color="auto"/>
                                    <w:bottom w:val="none" w:sz="0" w:space="0" w:color="auto"/>
                                    <w:right w:val="none" w:sz="0" w:space="0" w:color="auto"/>
                                  </w:divBdr>
                                  <w:divsChild>
                                    <w:div w:id="276065135">
                                      <w:marLeft w:val="0"/>
                                      <w:marRight w:val="0"/>
                                      <w:marTop w:val="0"/>
                                      <w:marBottom w:val="0"/>
                                      <w:divBdr>
                                        <w:top w:val="none" w:sz="0" w:space="0" w:color="auto"/>
                                        <w:left w:val="none" w:sz="0" w:space="0" w:color="auto"/>
                                        <w:bottom w:val="none" w:sz="0" w:space="0" w:color="auto"/>
                                        <w:right w:val="none" w:sz="0" w:space="0" w:color="auto"/>
                                      </w:divBdr>
                                      <w:divsChild>
                                        <w:div w:id="93633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27472">
          <w:marLeft w:val="0"/>
          <w:marRight w:val="0"/>
          <w:marTop w:val="0"/>
          <w:marBottom w:val="0"/>
          <w:divBdr>
            <w:top w:val="none" w:sz="0" w:space="0" w:color="auto"/>
            <w:left w:val="none" w:sz="0" w:space="0" w:color="auto"/>
            <w:bottom w:val="none" w:sz="0" w:space="0" w:color="auto"/>
            <w:right w:val="none" w:sz="0" w:space="0" w:color="auto"/>
          </w:divBdr>
          <w:divsChild>
            <w:div w:id="1144470446">
              <w:marLeft w:val="0"/>
              <w:marRight w:val="0"/>
              <w:marTop w:val="0"/>
              <w:marBottom w:val="0"/>
              <w:divBdr>
                <w:top w:val="none" w:sz="0" w:space="0" w:color="auto"/>
                <w:left w:val="none" w:sz="0" w:space="0" w:color="auto"/>
                <w:bottom w:val="none" w:sz="0" w:space="0" w:color="auto"/>
                <w:right w:val="none" w:sz="0" w:space="0" w:color="auto"/>
              </w:divBdr>
              <w:divsChild>
                <w:div w:id="36243746">
                  <w:marLeft w:val="0"/>
                  <w:marRight w:val="0"/>
                  <w:marTop w:val="0"/>
                  <w:marBottom w:val="0"/>
                  <w:divBdr>
                    <w:top w:val="none" w:sz="0" w:space="0" w:color="auto"/>
                    <w:left w:val="none" w:sz="0" w:space="0" w:color="auto"/>
                    <w:bottom w:val="none" w:sz="0" w:space="0" w:color="auto"/>
                    <w:right w:val="none" w:sz="0" w:space="0" w:color="auto"/>
                  </w:divBdr>
                  <w:divsChild>
                    <w:div w:id="1164660104">
                      <w:marLeft w:val="0"/>
                      <w:marRight w:val="0"/>
                      <w:marTop w:val="0"/>
                      <w:marBottom w:val="0"/>
                      <w:divBdr>
                        <w:top w:val="none" w:sz="0" w:space="0" w:color="auto"/>
                        <w:left w:val="none" w:sz="0" w:space="0" w:color="auto"/>
                        <w:bottom w:val="none" w:sz="0" w:space="0" w:color="auto"/>
                        <w:right w:val="none" w:sz="0" w:space="0" w:color="auto"/>
                      </w:divBdr>
                      <w:divsChild>
                        <w:div w:id="2110461722">
                          <w:marLeft w:val="0"/>
                          <w:marRight w:val="0"/>
                          <w:marTop w:val="0"/>
                          <w:marBottom w:val="0"/>
                          <w:divBdr>
                            <w:top w:val="none" w:sz="0" w:space="0" w:color="auto"/>
                            <w:left w:val="none" w:sz="0" w:space="0" w:color="auto"/>
                            <w:bottom w:val="none" w:sz="0" w:space="0" w:color="auto"/>
                            <w:right w:val="none" w:sz="0" w:space="0" w:color="auto"/>
                          </w:divBdr>
                          <w:divsChild>
                            <w:div w:id="720863231">
                              <w:marLeft w:val="0"/>
                              <w:marRight w:val="0"/>
                              <w:marTop w:val="0"/>
                              <w:marBottom w:val="0"/>
                              <w:divBdr>
                                <w:top w:val="none" w:sz="0" w:space="0" w:color="auto"/>
                                <w:left w:val="none" w:sz="0" w:space="0" w:color="auto"/>
                                <w:bottom w:val="none" w:sz="0" w:space="0" w:color="auto"/>
                                <w:right w:val="none" w:sz="0" w:space="0" w:color="auto"/>
                              </w:divBdr>
                              <w:divsChild>
                                <w:div w:id="16598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213298">
                  <w:marLeft w:val="0"/>
                  <w:marRight w:val="0"/>
                  <w:marTop w:val="0"/>
                  <w:marBottom w:val="0"/>
                  <w:divBdr>
                    <w:top w:val="none" w:sz="0" w:space="0" w:color="auto"/>
                    <w:left w:val="none" w:sz="0" w:space="0" w:color="auto"/>
                    <w:bottom w:val="none" w:sz="0" w:space="0" w:color="auto"/>
                    <w:right w:val="none" w:sz="0" w:space="0" w:color="auto"/>
                  </w:divBdr>
                  <w:divsChild>
                    <w:div w:id="1374621906">
                      <w:marLeft w:val="0"/>
                      <w:marRight w:val="0"/>
                      <w:marTop w:val="0"/>
                      <w:marBottom w:val="0"/>
                      <w:divBdr>
                        <w:top w:val="none" w:sz="0" w:space="0" w:color="auto"/>
                        <w:left w:val="none" w:sz="0" w:space="0" w:color="auto"/>
                        <w:bottom w:val="none" w:sz="0" w:space="0" w:color="auto"/>
                        <w:right w:val="none" w:sz="0" w:space="0" w:color="auto"/>
                      </w:divBdr>
                      <w:divsChild>
                        <w:div w:id="1913616618">
                          <w:marLeft w:val="0"/>
                          <w:marRight w:val="0"/>
                          <w:marTop w:val="0"/>
                          <w:marBottom w:val="0"/>
                          <w:divBdr>
                            <w:top w:val="none" w:sz="0" w:space="0" w:color="auto"/>
                            <w:left w:val="none" w:sz="0" w:space="0" w:color="auto"/>
                            <w:bottom w:val="none" w:sz="0" w:space="0" w:color="auto"/>
                            <w:right w:val="none" w:sz="0" w:space="0" w:color="auto"/>
                          </w:divBdr>
                          <w:divsChild>
                            <w:div w:id="1651254141">
                              <w:marLeft w:val="0"/>
                              <w:marRight w:val="0"/>
                              <w:marTop w:val="0"/>
                              <w:marBottom w:val="0"/>
                              <w:divBdr>
                                <w:top w:val="none" w:sz="0" w:space="0" w:color="auto"/>
                                <w:left w:val="none" w:sz="0" w:space="0" w:color="auto"/>
                                <w:bottom w:val="none" w:sz="0" w:space="0" w:color="auto"/>
                                <w:right w:val="none" w:sz="0" w:space="0" w:color="auto"/>
                              </w:divBdr>
                              <w:divsChild>
                                <w:div w:id="1902326830">
                                  <w:marLeft w:val="0"/>
                                  <w:marRight w:val="0"/>
                                  <w:marTop w:val="0"/>
                                  <w:marBottom w:val="0"/>
                                  <w:divBdr>
                                    <w:top w:val="none" w:sz="0" w:space="0" w:color="auto"/>
                                    <w:left w:val="none" w:sz="0" w:space="0" w:color="auto"/>
                                    <w:bottom w:val="none" w:sz="0" w:space="0" w:color="auto"/>
                                    <w:right w:val="none" w:sz="0" w:space="0" w:color="auto"/>
                                  </w:divBdr>
                                  <w:divsChild>
                                    <w:div w:id="2044017441">
                                      <w:marLeft w:val="0"/>
                                      <w:marRight w:val="0"/>
                                      <w:marTop w:val="0"/>
                                      <w:marBottom w:val="0"/>
                                      <w:divBdr>
                                        <w:top w:val="none" w:sz="0" w:space="0" w:color="auto"/>
                                        <w:left w:val="none" w:sz="0" w:space="0" w:color="auto"/>
                                        <w:bottom w:val="none" w:sz="0" w:space="0" w:color="auto"/>
                                        <w:right w:val="none" w:sz="0" w:space="0" w:color="auto"/>
                                      </w:divBdr>
                                    </w:div>
                                  </w:divsChild>
                                </w:div>
                                <w:div w:id="1932541282">
                                  <w:marLeft w:val="0"/>
                                  <w:marRight w:val="0"/>
                                  <w:marTop w:val="0"/>
                                  <w:marBottom w:val="0"/>
                                  <w:divBdr>
                                    <w:top w:val="none" w:sz="0" w:space="0" w:color="auto"/>
                                    <w:left w:val="none" w:sz="0" w:space="0" w:color="auto"/>
                                    <w:bottom w:val="none" w:sz="0" w:space="0" w:color="auto"/>
                                    <w:right w:val="none" w:sz="0" w:space="0" w:color="auto"/>
                                  </w:divBdr>
                                  <w:divsChild>
                                    <w:div w:id="3635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49157">
                          <w:marLeft w:val="0"/>
                          <w:marRight w:val="0"/>
                          <w:marTop w:val="0"/>
                          <w:marBottom w:val="0"/>
                          <w:divBdr>
                            <w:top w:val="none" w:sz="0" w:space="0" w:color="auto"/>
                            <w:left w:val="none" w:sz="0" w:space="0" w:color="auto"/>
                            <w:bottom w:val="none" w:sz="0" w:space="0" w:color="auto"/>
                            <w:right w:val="none" w:sz="0" w:space="0" w:color="auto"/>
                          </w:divBdr>
                          <w:divsChild>
                            <w:div w:id="1223298679">
                              <w:marLeft w:val="0"/>
                              <w:marRight w:val="0"/>
                              <w:marTop w:val="0"/>
                              <w:marBottom w:val="0"/>
                              <w:divBdr>
                                <w:top w:val="none" w:sz="0" w:space="0" w:color="auto"/>
                                <w:left w:val="none" w:sz="0" w:space="0" w:color="auto"/>
                                <w:bottom w:val="none" w:sz="0" w:space="0" w:color="auto"/>
                                <w:right w:val="none" w:sz="0" w:space="0" w:color="auto"/>
                              </w:divBdr>
                              <w:divsChild>
                                <w:div w:id="555315767">
                                  <w:marLeft w:val="0"/>
                                  <w:marRight w:val="0"/>
                                  <w:marTop w:val="0"/>
                                  <w:marBottom w:val="0"/>
                                  <w:divBdr>
                                    <w:top w:val="none" w:sz="0" w:space="0" w:color="auto"/>
                                    <w:left w:val="none" w:sz="0" w:space="0" w:color="auto"/>
                                    <w:bottom w:val="none" w:sz="0" w:space="0" w:color="auto"/>
                                    <w:right w:val="none" w:sz="0" w:space="0" w:color="auto"/>
                                  </w:divBdr>
                                  <w:divsChild>
                                    <w:div w:id="15327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01842">
          <w:marLeft w:val="0"/>
          <w:marRight w:val="0"/>
          <w:marTop w:val="0"/>
          <w:marBottom w:val="0"/>
          <w:divBdr>
            <w:top w:val="none" w:sz="0" w:space="0" w:color="auto"/>
            <w:left w:val="none" w:sz="0" w:space="0" w:color="auto"/>
            <w:bottom w:val="none" w:sz="0" w:space="0" w:color="auto"/>
            <w:right w:val="none" w:sz="0" w:space="0" w:color="auto"/>
          </w:divBdr>
          <w:divsChild>
            <w:div w:id="1059399997">
              <w:marLeft w:val="0"/>
              <w:marRight w:val="0"/>
              <w:marTop w:val="0"/>
              <w:marBottom w:val="0"/>
              <w:divBdr>
                <w:top w:val="none" w:sz="0" w:space="0" w:color="auto"/>
                <w:left w:val="none" w:sz="0" w:space="0" w:color="auto"/>
                <w:bottom w:val="none" w:sz="0" w:space="0" w:color="auto"/>
                <w:right w:val="none" w:sz="0" w:space="0" w:color="auto"/>
              </w:divBdr>
              <w:divsChild>
                <w:div w:id="1148984243">
                  <w:marLeft w:val="0"/>
                  <w:marRight w:val="0"/>
                  <w:marTop w:val="0"/>
                  <w:marBottom w:val="0"/>
                  <w:divBdr>
                    <w:top w:val="none" w:sz="0" w:space="0" w:color="auto"/>
                    <w:left w:val="none" w:sz="0" w:space="0" w:color="auto"/>
                    <w:bottom w:val="none" w:sz="0" w:space="0" w:color="auto"/>
                    <w:right w:val="none" w:sz="0" w:space="0" w:color="auto"/>
                  </w:divBdr>
                  <w:divsChild>
                    <w:div w:id="330911975">
                      <w:marLeft w:val="0"/>
                      <w:marRight w:val="0"/>
                      <w:marTop w:val="0"/>
                      <w:marBottom w:val="0"/>
                      <w:divBdr>
                        <w:top w:val="none" w:sz="0" w:space="0" w:color="auto"/>
                        <w:left w:val="none" w:sz="0" w:space="0" w:color="auto"/>
                        <w:bottom w:val="none" w:sz="0" w:space="0" w:color="auto"/>
                        <w:right w:val="none" w:sz="0" w:space="0" w:color="auto"/>
                      </w:divBdr>
                      <w:divsChild>
                        <w:div w:id="1091043412">
                          <w:marLeft w:val="0"/>
                          <w:marRight w:val="0"/>
                          <w:marTop w:val="0"/>
                          <w:marBottom w:val="0"/>
                          <w:divBdr>
                            <w:top w:val="none" w:sz="0" w:space="0" w:color="auto"/>
                            <w:left w:val="none" w:sz="0" w:space="0" w:color="auto"/>
                            <w:bottom w:val="none" w:sz="0" w:space="0" w:color="auto"/>
                            <w:right w:val="none" w:sz="0" w:space="0" w:color="auto"/>
                          </w:divBdr>
                          <w:divsChild>
                            <w:div w:id="952899354">
                              <w:marLeft w:val="0"/>
                              <w:marRight w:val="0"/>
                              <w:marTop w:val="0"/>
                              <w:marBottom w:val="0"/>
                              <w:divBdr>
                                <w:top w:val="none" w:sz="0" w:space="0" w:color="auto"/>
                                <w:left w:val="none" w:sz="0" w:space="0" w:color="auto"/>
                                <w:bottom w:val="none" w:sz="0" w:space="0" w:color="auto"/>
                                <w:right w:val="none" w:sz="0" w:space="0" w:color="auto"/>
                              </w:divBdr>
                              <w:divsChild>
                                <w:div w:id="533349195">
                                  <w:marLeft w:val="0"/>
                                  <w:marRight w:val="0"/>
                                  <w:marTop w:val="0"/>
                                  <w:marBottom w:val="0"/>
                                  <w:divBdr>
                                    <w:top w:val="none" w:sz="0" w:space="0" w:color="auto"/>
                                    <w:left w:val="none" w:sz="0" w:space="0" w:color="auto"/>
                                    <w:bottom w:val="none" w:sz="0" w:space="0" w:color="auto"/>
                                    <w:right w:val="none" w:sz="0" w:space="0" w:color="auto"/>
                                  </w:divBdr>
                                  <w:divsChild>
                                    <w:div w:id="1435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68513">
                          <w:marLeft w:val="0"/>
                          <w:marRight w:val="0"/>
                          <w:marTop w:val="0"/>
                          <w:marBottom w:val="0"/>
                          <w:divBdr>
                            <w:top w:val="none" w:sz="0" w:space="0" w:color="auto"/>
                            <w:left w:val="none" w:sz="0" w:space="0" w:color="auto"/>
                            <w:bottom w:val="none" w:sz="0" w:space="0" w:color="auto"/>
                            <w:right w:val="none" w:sz="0" w:space="0" w:color="auto"/>
                          </w:divBdr>
                          <w:divsChild>
                            <w:div w:id="996496496">
                              <w:marLeft w:val="0"/>
                              <w:marRight w:val="0"/>
                              <w:marTop w:val="0"/>
                              <w:marBottom w:val="0"/>
                              <w:divBdr>
                                <w:top w:val="none" w:sz="0" w:space="0" w:color="auto"/>
                                <w:left w:val="none" w:sz="0" w:space="0" w:color="auto"/>
                                <w:bottom w:val="none" w:sz="0" w:space="0" w:color="auto"/>
                                <w:right w:val="none" w:sz="0" w:space="0" w:color="auto"/>
                              </w:divBdr>
                              <w:divsChild>
                                <w:div w:id="1487043624">
                                  <w:marLeft w:val="0"/>
                                  <w:marRight w:val="0"/>
                                  <w:marTop w:val="0"/>
                                  <w:marBottom w:val="0"/>
                                  <w:divBdr>
                                    <w:top w:val="none" w:sz="0" w:space="0" w:color="auto"/>
                                    <w:left w:val="none" w:sz="0" w:space="0" w:color="auto"/>
                                    <w:bottom w:val="none" w:sz="0" w:space="0" w:color="auto"/>
                                    <w:right w:val="none" w:sz="0" w:space="0" w:color="auto"/>
                                  </w:divBdr>
                                  <w:divsChild>
                                    <w:div w:id="2811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781">
                  <w:marLeft w:val="0"/>
                  <w:marRight w:val="0"/>
                  <w:marTop w:val="0"/>
                  <w:marBottom w:val="0"/>
                  <w:divBdr>
                    <w:top w:val="none" w:sz="0" w:space="0" w:color="auto"/>
                    <w:left w:val="none" w:sz="0" w:space="0" w:color="auto"/>
                    <w:bottom w:val="none" w:sz="0" w:space="0" w:color="auto"/>
                    <w:right w:val="none" w:sz="0" w:space="0" w:color="auto"/>
                  </w:divBdr>
                  <w:divsChild>
                    <w:div w:id="1048341347">
                      <w:marLeft w:val="0"/>
                      <w:marRight w:val="0"/>
                      <w:marTop w:val="0"/>
                      <w:marBottom w:val="0"/>
                      <w:divBdr>
                        <w:top w:val="none" w:sz="0" w:space="0" w:color="auto"/>
                        <w:left w:val="none" w:sz="0" w:space="0" w:color="auto"/>
                        <w:bottom w:val="none" w:sz="0" w:space="0" w:color="auto"/>
                        <w:right w:val="none" w:sz="0" w:space="0" w:color="auto"/>
                      </w:divBdr>
                      <w:divsChild>
                        <w:div w:id="53356185">
                          <w:marLeft w:val="0"/>
                          <w:marRight w:val="0"/>
                          <w:marTop w:val="0"/>
                          <w:marBottom w:val="0"/>
                          <w:divBdr>
                            <w:top w:val="none" w:sz="0" w:space="0" w:color="auto"/>
                            <w:left w:val="none" w:sz="0" w:space="0" w:color="auto"/>
                            <w:bottom w:val="none" w:sz="0" w:space="0" w:color="auto"/>
                            <w:right w:val="none" w:sz="0" w:space="0" w:color="auto"/>
                          </w:divBdr>
                          <w:divsChild>
                            <w:div w:id="1349209700">
                              <w:marLeft w:val="0"/>
                              <w:marRight w:val="0"/>
                              <w:marTop w:val="0"/>
                              <w:marBottom w:val="0"/>
                              <w:divBdr>
                                <w:top w:val="none" w:sz="0" w:space="0" w:color="auto"/>
                                <w:left w:val="none" w:sz="0" w:space="0" w:color="auto"/>
                                <w:bottom w:val="none" w:sz="0" w:space="0" w:color="auto"/>
                                <w:right w:val="none" w:sz="0" w:space="0" w:color="auto"/>
                              </w:divBdr>
                              <w:divsChild>
                                <w:div w:id="20221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539290">
          <w:marLeft w:val="0"/>
          <w:marRight w:val="0"/>
          <w:marTop w:val="0"/>
          <w:marBottom w:val="0"/>
          <w:divBdr>
            <w:top w:val="none" w:sz="0" w:space="0" w:color="auto"/>
            <w:left w:val="none" w:sz="0" w:space="0" w:color="auto"/>
            <w:bottom w:val="none" w:sz="0" w:space="0" w:color="auto"/>
            <w:right w:val="none" w:sz="0" w:space="0" w:color="auto"/>
          </w:divBdr>
          <w:divsChild>
            <w:div w:id="911741463">
              <w:marLeft w:val="0"/>
              <w:marRight w:val="0"/>
              <w:marTop w:val="0"/>
              <w:marBottom w:val="0"/>
              <w:divBdr>
                <w:top w:val="none" w:sz="0" w:space="0" w:color="auto"/>
                <w:left w:val="none" w:sz="0" w:space="0" w:color="auto"/>
                <w:bottom w:val="none" w:sz="0" w:space="0" w:color="auto"/>
                <w:right w:val="none" w:sz="0" w:space="0" w:color="auto"/>
              </w:divBdr>
              <w:divsChild>
                <w:div w:id="375349488">
                  <w:marLeft w:val="0"/>
                  <w:marRight w:val="0"/>
                  <w:marTop w:val="0"/>
                  <w:marBottom w:val="0"/>
                  <w:divBdr>
                    <w:top w:val="none" w:sz="0" w:space="0" w:color="auto"/>
                    <w:left w:val="none" w:sz="0" w:space="0" w:color="auto"/>
                    <w:bottom w:val="none" w:sz="0" w:space="0" w:color="auto"/>
                    <w:right w:val="none" w:sz="0" w:space="0" w:color="auto"/>
                  </w:divBdr>
                  <w:divsChild>
                    <w:div w:id="551700465">
                      <w:marLeft w:val="0"/>
                      <w:marRight w:val="0"/>
                      <w:marTop w:val="0"/>
                      <w:marBottom w:val="0"/>
                      <w:divBdr>
                        <w:top w:val="none" w:sz="0" w:space="0" w:color="auto"/>
                        <w:left w:val="none" w:sz="0" w:space="0" w:color="auto"/>
                        <w:bottom w:val="none" w:sz="0" w:space="0" w:color="auto"/>
                        <w:right w:val="none" w:sz="0" w:space="0" w:color="auto"/>
                      </w:divBdr>
                      <w:divsChild>
                        <w:div w:id="1650860545">
                          <w:marLeft w:val="0"/>
                          <w:marRight w:val="0"/>
                          <w:marTop w:val="0"/>
                          <w:marBottom w:val="0"/>
                          <w:divBdr>
                            <w:top w:val="none" w:sz="0" w:space="0" w:color="auto"/>
                            <w:left w:val="none" w:sz="0" w:space="0" w:color="auto"/>
                            <w:bottom w:val="none" w:sz="0" w:space="0" w:color="auto"/>
                            <w:right w:val="none" w:sz="0" w:space="0" w:color="auto"/>
                          </w:divBdr>
                          <w:divsChild>
                            <w:div w:id="432283863">
                              <w:marLeft w:val="0"/>
                              <w:marRight w:val="0"/>
                              <w:marTop w:val="0"/>
                              <w:marBottom w:val="0"/>
                              <w:divBdr>
                                <w:top w:val="none" w:sz="0" w:space="0" w:color="auto"/>
                                <w:left w:val="none" w:sz="0" w:space="0" w:color="auto"/>
                                <w:bottom w:val="none" w:sz="0" w:space="0" w:color="auto"/>
                                <w:right w:val="none" w:sz="0" w:space="0" w:color="auto"/>
                              </w:divBdr>
                              <w:divsChild>
                                <w:div w:id="12609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569883">
                  <w:marLeft w:val="0"/>
                  <w:marRight w:val="0"/>
                  <w:marTop w:val="0"/>
                  <w:marBottom w:val="0"/>
                  <w:divBdr>
                    <w:top w:val="none" w:sz="0" w:space="0" w:color="auto"/>
                    <w:left w:val="none" w:sz="0" w:space="0" w:color="auto"/>
                    <w:bottom w:val="none" w:sz="0" w:space="0" w:color="auto"/>
                    <w:right w:val="none" w:sz="0" w:space="0" w:color="auto"/>
                  </w:divBdr>
                  <w:divsChild>
                    <w:div w:id="704134130">
                      <w:marLeft w:val="0"/>
                      <w:marRight w:val="0"/>
                      <w:marTop w:val="0"/>
                      <w:marBottom w:val="0"/>
                      <w:divBdr>
                        <w:top w:val="none" w:sz="0" w:space="0" w:color="auto"/>
                        <w:left w:val="none" w:sz="0" w:space="0" w:color="auto"/>
                        <w:bottom w:val="none" w:sz="0" w:space="0" w:color="auto"/>
                        <w:right w:val="none" w:sz="0" w:space="0" w:color="auto"/>
                      </w:divBdr>
                      <w:divsChild>
                        <w:div w:id="363292790">
                          <w:marLeft w:val="0"/>
                          <w:marRight w:val="0"/>
                          <w:marTop w:val="0"/>
                          <w:marBottom w:val="0"/>
                          <w:divBdr>
                            <w:top w:val="none" w:sz="0" w:space="0" w:color="auto"/>
                            <w:left w:val="none" w:sz="0" w:space="0" w:color="auto"/>
                            <w:bottom w:val="none" w:sz="0" w:space="0" w:color="auto"/>
                            <w:right w:val="none" w:sz="0" w:space="0" w:color="auto"/>
                          </w:divBdr>
                          <w:divsChild>
                            <w:div w:id="540285537">
                              <w:marLeft w:val="0"/>
                              <w:marRight w:val="0"/>
                              <w:marTop w:val="0"/>
                              <w:marBottom w:val="0"/>
                              <w:divBdr>
                                <w:top w:val="none" w:sz="0" w:space="0" w:color="auto"/>
                                <w:left w:val="none" w:sz="0" w:space="0" w:color="auto"/>
                                <w:bottom w:val="none" w:sz="0" w:space="0" w:color="auto"/>
                                <w:right w:val="none" w:sz="0" w:space="0" w:color="auto"/>
                              </w:divBdr>
                              <w:divsChild>
                                <w:div w:id="643700555">
                                  <w:marLeft w:val="0"/>
                                  <w:marRight w:val="0"/>
                                  <w:marTop w:val="0"/>
                                  <w:marBottom w:val="0"/>
                                  <w:divBdr>
                                    <w:top w:val="none" w:sz="0" w:space="0" w:color="auto"/>
                                    <w:left w:val="none" w:sz="0" w:space="0" w:color="auto"/>
                                    <w:bottom w:val="none" w:sz="0" w:space="0" w:color="auto"/>
                                    <w:right w:val="none" w:sz="0" w:space="0" w:color="auto"/>
                                  </w:divBdr>
                                  <w:divsChild>
                                    <w:div w:id="3686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01378">
                          <w:marLeft w:val="0"/>
                          <w:marRight w:val="0"/>
                          <w:marTop w:val="0"/>
                          <w:marBottom w:val="0"/>
                          <w:divBdr>
                            <w:top w:val="none" w:sz="0" w:space="0" w:color="auto"/>
                            <w:left w:val="none" w:sz="0" w:space="0" w:color="auto"/>
                            <w:bottom w:val="none" w:sz="0" w:space="0" w:color="auto"/>
                            <w:right w:val="none" w:sz="0" w:space="0" w:color="auto"/>
                          </w:divBdr>
                          <w:divsChild>
                            <w:div w:id="1285625045">
                              <w:marLeft w:val="0"/>
                              <w:marRight w:val="0"/>
                              <w:marTop w:val="0"/>
                              <w:marBottom w:val="0"/>
                              <w:divBdr>
                                <w:top w:val="none" w:sz="0" w:space="0" w:color="auto"/>
                                <w:left w:val="none" w:sz="0" w:space="0" w:color="auto"/>
                                <w:bottom w:val="none" w:sz="0" w:space="0" w:color="auto"/>
                                <w:right w:val="none" w:sz="0" w:space="0" w:color="auto"/>
                              </w:divBdr>
                              <w:divsChild>
                                <w:div w:id="1480615104">
                                  <w:marLeft w:val="0"/>
                                  <w:marRight w:val="0"/>
                                  <w:marTop w:val="0"/>
                                  <w:marBottom w:val="0"/>
                                  <w:divBdr>
                                    <w:top w:val="none" w:sz="0" w:space="0" w:color="auto"/>
                                    <w:left w:val="none" w:sz="0" w:space="0" w:color="auto"/>
                                    <w:bottom w:val="none" w:sz="0" w:space="0" w:color="auto"/>
                                    <w:right w:val="none" w:sz="0" w:space="0" w:color="auto"/>
                                  </w:divBdr>
                                  <w:divsChild>
                                    <w:div w:id="17998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668214">
          <w:marLeft w:val="0"/>
          <w:marRight w:val="0"/>
          <w:marTop w:val="0"/>
          <w:marBottom w:val="0"/>
          <w:divBdr>
            <w:top w:val="none" w:sz="0" w:space="0" w:color="auto"/>
            <w:left w:val="none" w:sz="0" w:space="0" w:color="auto"/>
            <w:bottom w:val="none" w:sz="0" w:space="0" w:color="auto"/>
            <w:right w:val="none" w:sz="0" w:space="0" w:color="auto"/>
          </w:divBdr>
          <w:divsChild>
            <w:div w:id="2111273456">
              <w:marLeft w:val="0"/>
              <w:marRight w:val="0"/>
              <w:marTop w:val="0"/>
              <w:marBottom w:val="0"/>
              <w:divBdr>
                <w:top w:val="none" w:sz="0" w:space="0" w:color="auto"/>
                <w:left w:val="none" w:sz="0" w:space="0" w:color="auto"/>
                <w:bottom w:val="none" w:sz="0" w:space="0" w:color="auto"/>
                <w:right w:val="none" w:sz="0" w:space="0" w:color="auto"/>
              </w:divBdr>
              <w:divsChild>
                <w:div w:id="889457595">
                  <w:marLeft w:val="0"/>
                  <w:marRight w:val="0"/>
                  <w:marTop w:val="0"/>
                  <w:marBottom w:val="0"/>
                  <w:divBdr>
                    <w:top w:val="none" w:sz="0" w:space="0" w:color="auto"/>
                    <w:left w:val="none" w:sz="0" w:space="0" w:color="auto"/>
                    <w:bottom w:val="none" w:sz="0" w:space="0" w:color="auto"/>
                    <w:right w:val="none" w:sz="0" w:space="0" w:color="auto"/>
                  </w:divBdr>
                  <w:divsChild>
                    <w:div w:id="1084033082">
                      <w:marLeft w:val="0"/>
                      <w:marRight w:val="0"/>
                      <w:marTop w:val="0"/>
                      <w:marBottom w:val="0"/>
                      <w:divBdr>
                        <w:top w:val="none" w:sz="0" w:space="0" w:color="auto"/>
                        <w:left w:val="none" w:sz="0" w:space="0" w:color="auto"/>
                        <w:bottom w:val="none" w:sz="0" w:space="0" w:color="auto"/>
                        <w:right w:val="none" w:sz="0" w:space="0" w:color="auto"/>
                      </w:divBdr>
                      <w:divsChild>
                        <w:div w:id="1570727808">
                          <w:marLeft w:val="0"/>
                          <w:marRight w:val="0"/>
                          <w:marTop w:val="0"/>
                          <w:marBottom w:val="0"/>
                          <w:divBdr>
                            <w:top w:val="none" w:sz="0" w:space="0" w:color="auto"/>
                            <w:left w:val="none" w:sz="0" w:space="0" w:color="auto"/>
                            <w:bottom w:val="none" w:sz="0" w:space="0" w:color="auto"/>
                            <w:right w:val="none" w:sz="0" w:space="0" w:color="auto"/>
                          </w:divBdr>
                          <w:divsChild>
                            <w:div w:id="374890415">
                              <w:marLeft w:val="0"/>
                              <w:marRight w:val="0"/>
                              <w:marTop w:val="0"/>
                              <w:marBottom w:val="0"/>
                              <w:divBdr>
                                <w:top w:val="none" w:sz="0" w:space="0" w:color="auto"/>
                                <w:left w:val="none" w:sz="0" w:space="0" w:color="auto"/>
                                <w:bottom w:val="none" w:sz="0" w:space="0" w:color="auto"/>
                                <w:right w:val="none" w:sz="0" w:space="0" w:color="auto"/>
                              </w:divBdr>
                              <w:divsChild>
                                <w:div w:id="1458720087">
                                  <w:marLeft w:val="0"/>
                                  <w:marRight w:val="0"/>
                                  <w:marTop w:val="0"/>
                                  <w:marBottom w:val="0"/>
                                  <w:divBdr>
                                    <w:top w:val="none" w:sz="0" w:space="0" w:color="auto"/>
                                    <w:left w:val="none" w:sz="0" w:space="0" w:color="auto"/>
                                    <w:bottom w:val="none" w:sz="0" w:space="0" w:color="auto"/>
                                    <w:right w:val="none" w:sz="0" w:space="0" w:color="auto"/>
                                  </w:divBdr>
                                  <w:divsChild>
                                    <w:div w:id="1674993790">
                                      <w:marLeft w:val="0"/>
                                      <w:marRight w:val="0"/>
                                      <w:marTop w:val="0"/>
                                      <w:marBottom w:val="0"/>
                                      <w:divBdr>
                                        <w:top w:val="none" w:sz="0" w:space="0" w:color="auto"/>
                                        <w:left w:val="none" w:sz="0" w:space="0" w:color="auto"/>
                                        <w:bottom w:val="none" w:sz="0" w:space="0" w:color="auto"/>
                                        <w:right w:val="none" w:sz="0" w:space="0" w:color="auto"/>
                                      </w:divBdr>
                                      <w:divsChild>
                                        <w:div w:id="201209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888706">
          <w:marLeft w:val="0"/>
          <w:marRight w:val="0"/>
          <w:marTop w:val="0"/>
          <w:marBottom w:val="0"/>
          <w:divBdr>
            <w:top w:val="none" w:sz="0" w:space="0" w:color="auto"/>
            <w:left w:val="none" w:sz="0" w:space="0" w:color="auto"/>
            <w:bottom w:val="none" w:sz="0" w:space="0" w:color="auto"/>
            <w:right w:val="none" w:sz="0" w:space="0" w:color="auto"/>
          </w:divBdr>
          <w:divsChild>
            <w:div w:id="1500736530">
              <w:marLeft w:val="0"/>
              <w:marRight w:val="0"/>
              <w:marTop w:val="0"/>
              <w:marBottom w:val="0"/>
              <w:divBdr>
                <w:top w:val="none" w:sz="0" w:space="0" w:color="auto"/>
                <w:left w:val="none" w:sz="0" w:space="0" w:color="auto"/>
                <w:bottom w:val="none" w:sz="0" w:space="0" w:color="auto"/>
                <w:right w:val="none" w:sz="0" w:space="0" w:color="auto"/>
              </w:divBdr>
              <w:divsChild>
                <w:div w:id="506099222">
                  <w:marLeft w:val="0"/>
                  <w:marRight w:val="0"/>
                  <w:marTop w:val="0"/>
                  <w:marBottom w:val="0"/>
                  <w:divBdr>
                    <w:top w:val="none" w:sz="0" w:space="0" w:color="auto"/>
                    <w:left w:val="none" w:sz="0" w:space="0" w:color="auto"/>
                    <w:bottom w:val="none" w:sz="0" w:space="0" w:color="auto"/>
                    <w:right w:val="none" w:sz="0" w:space="0" w:color="auto"/>
                  </w:divBdr>
                  <w:divsChild>
                    <w:div w:id="1943563462">
                      <w:marLeft w:val="0"/>
                      <w:marRight w:val="0"/>
                      <w:marTop w:val="0"/>
                      <w:marBottom w:val="0"/>
                      <w:divBdr>
                        <w:top w:val="none" w:sz="0" w:space="0" w:color="auto"/>
                        <w:left w:val="none" w:sz="0" w:space="0" w:color="auto"/>
                        <w:bottom w:val="none" w:sz="0" w:space="0" w:color="auto"/>
                        <w:right w:val="none" w:sz="0" w:space="0" w:color="auto"/>
                      </w:divBdr>
                      <w:divsChild>
                        <w:div w:id="86735827">
                          <w:marLeft w:val="0"/>
                          <w:marRight w:val="0"/>
                          <w:marTop w:val="0"/>
                          <w:marBottom w:val="0"/>
                          <w:divBdr>
                            <w:top w:val="none" w:sz="0" w:space="0" w:color="auto"/>
                            <w:left w:val="none" w:sz="0" w:space="0" w:color="auto"/>
                            <w:bottom w:val="none" w:sz="0" w:space="0" w:color="auto"/>
                            <w:right w:val="none" w:sz="0" w:space="0" w:color="auto"/>
                          </w:divBdr>
                          <w:divsChild>
                            <w:div w:id="228687300">
                              <w:marLeft w:val="0"/>
                              <w:marRight w:val="0"/>
                              <w:marTop w:val="0"/>
                              <w:marBottom w:val="0"/>
                              <w:divBdr>
                                <w:top w:val="none" w:sz="0" w:space="0" w:color="auto"/>
                                <w:left w:val="none" w:sz="0" w:space="0" w:color="auto"/>
                                <w:bottom w:val="none" w:sz="0" w:space="0" w:color="auto"/>
                                <w:right w:val="none" w:sz="0" w:space="0" w:color="auto"/>
                              </w:divBdr>
                              <w:divsChild>
                                <w:div w:id="798915506">
                                  <w:marLeft w:val="0"/>
                                  <w:marRight w:val="0"/>
                                  <w:marTop w:val="0"/>
                                  <w:marBottom w:val="0"/>
                                  <w:divBdr>
                                    <w:top w:val="none" w:sz="0" w:space="0" w:color="auto"/>
                                    <w:left w:val="none" w:sz="0" w:space="0" w:color="auto"/>
                                    <w:bottom w:val="none" w:sz="0" w:space="0" w:color="auto"/>
                                    <w:right w:val="none" w:sz="0" w:space="0" w:color="auto"/>
                                  </w:divBdr>
                                  <w:divsChild>
                                    <w:div w:id="813719340">
                                      <w:marLeft w:val="0"/>
                                      <w:marRight w:val="0"/>
                                      <w:marTop w:val="0"/>
                                      <w:marBottom w:val="0"/>
                                      <w:divBdr>
                                        <w:top w:val="none" w:sz="0" w:space="0" w:color="auto"/>
                                        <w:left w:val="none" w:sz="0" w:space="0" w:color="auto"/>
                                        <w:bottom w:val="none" w:sz="0" w:space="0" w:color="auto"/>
                                        <w:right w:val="none" w:sz="0" w:space="0" w:color="auto"/>
                                      </w:divBdr>
                                      <w:divsChild>
                                        <w:div w:id="16343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89696">
          <w:marLeft w:val="0"/>
          <w:marRight w:val="0"/>
          <w:marTop w:val="0"/>
          <w:marBottom w:val="0"/>
          <w:divBdr>
            <w:top w:val="none" w:sz="0" w:space="0" w:color="auto"/>
            <w:left w:val="none" w:sz="0" w:space="0" w:color="auto"/>
            <w:bottom w:val="none" w:sz="0" w:space="0" w:color="auto"/>
            <w:right w:val="none" w:sz="0" w:space="0" w:color="auto"/>
          </w:divBdr>
          <w:divsChild>
            <w:div w:id="1420054007">
              <w:marLeft w:val="0"/>
              <w:marRight w:val="0"/>
              <w:marTop w:val="0"/>
              <w:marBottom w:val="0"/>
              <w:divBdr>
                <w:top w:val="none" w:sz="0" w:space="0" w:color="auto"/>
                <w:left w:val="none" w:sz="0" w:space="0" w:color="auto"/>
                <w:bottom w:val="none" w:sz="0" w:space="0" w:color="auto"/>
                <w:right w:val="none" w:sz="0" w:space="0" w:color="auto"/>
              </w:divBdr>
              <w:divsChild>
                <w:div w:id="167253156">
                  <w:marLeft w:val="0"/>
                  <w:marRight w:val="0"/>
                  <w:marTop w:val="0"/>
                  <w:marBottom w:val="0"/>
                  <w:divBdr>
                    <w:top w:val="none" w:sz="0" w:space="0" w:color="auto"/>
                    <w:left w:val="none" w:sz="0" w:space="0" w:color="auto"/>
                    <w:bottom w:val="none" w:sz="0" w:space="0" w:color="auto"/>
                    <w:right w:val="none" w:sz="0" w:space="0" w:color="auto"/>
                  </w:divBdr>
                  <w:divsChild>
                    <w:div w:id="1124618366">
                      <w:marLeft w:val="0"/>
                      <w:marRight w:val="0"/>
                      <w:marTop w:val="0"/>
                      <w:marBottom w:val="0"/>
                      <w:divBdr>
                        <w:top w:val="none" w:sz="0" w:space="0" w:color="auto"/>
                        <w:left w:val="none" w:sz="0" w:space="0" w:color="auto"/>
                        <w:bottom w:val="none" w:sz="0" w:space="0" w:color="auto"/>
                        <w:right w:val="none" w:sz="0" w:space="0" w:color="auto"/>
                      </w:divBdr>
                      <w:divsChild>
                        <w:div w:id="767315111">
                          <w:marLeft w:val="0"/>
                          <w:marRight w:val="0"/>
                          <w:marTop w:val="0"/>
                          <w:marBottom w:val="0"/>
                          <w:divBdr>
                            <w:top w:val="none" w:sz="0" w:space="0" w:color="auto"/>
                            <w:left w:val="none" w:sz="0" w:space="0" w:color="auto"/>
                            <w:bottom w:val="none" w:sz="0" w:space="0" w:color="auto"/>
                            <w:right w:val="none" w:sz="0" w:space="0" w:color="auto"/>
                          </w:divBdr>
                          <w:divsChild>
                            <w:div w:id="630019840">
                              <w:marLeft w:val="0"/>
                              <w:marRight w:val="0"/>
                              <w:marTop w:val="0"/>
                              <w:marBottom w:val="0"/>
                              <w:divBdr>
                                <w:top w:val="none" w:sz="0" w:space="0" w:color="auto"/>
                                <w:left w:val="none" w:sz="0" w:space="0" w:color="auto"/>
                                <w:bottom w:val="none" w:sz="0" w:space="0" w:color="auto"/>
                                <w:right w:val="none" w:sz="0" w:space="0" w:color="auto"/>
                              </w:divBdr>
                              <w:divsChild>
                                <w:div w:id="1175539408">
                                  <w:marLeft w:val="0"/>
                                  <w:marRight w:val="0"/>
                                  <w:marTop w:val="0"/>
                                  <w:marBottom w:val="0"/>
                                  <w:divBdr>
                                    <w:top w:val="none" w:sz="0" w:space="0" w:color="auto"/>
                                    <w:left w:val="none" w:sz="0" w:space="0" w:color="auto"/>
                                    <w:bottom w:val="none" w:sz="0" w:space="0" w:color="auto"/>
                                    <w:right w:val="none" w:sz="0" w:space="0" w:color="auto"/>
                                  </w:divBdr>
                                  <w:divsChild>
                                    <w:div w:id="426007050">
                                      <w:marLeft w:val="0"/>
                                      <w:marRight w:val="0"/>
                                      <w:marTop w:val="0"/>
                                      <w:marBottom w:val="0"/>
                                      <w:divBdr>
                                        <w:top w:val="none" w:sz="0" w:space="0" w:color="auto"/>
                                        <w:left w:val="none" w:sz="0" w:space="0" w:color="auto"/>
                                        <w:bottom w:val="none" w:sz="0" w:space="0" w:color="auto"/>
                                        <w:right w:val="none" w:sz="0" w:space="0" w:color="auto"/>
                                      </w:divBdr>
                                      <w:divsChild>
                                        <w:div w:id="17502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451125">
          <w:marLeft w:val="0"/>
          <w:marRight w:val="0"/>
          <w:marTop w:val="0"/>
          <w:marBottom w:val="0"/>
          <w:divBdr>
            <w:top w:val="none" w:sz="0" w:space="0" w:color="auto"/>
            <w:left w:val="none" w:sz="0" w:space="0" w:color="auto"/>
            <w:bottom w:val="none" w:sz="0" w:space="0" w:color="auto"/>
            <w:right w:val="none" w:sz="0" w:space="0" w:color="auto"/>
          </w:divBdr>
          <w:divsChild>
            <w:div w:id="1396196160">
              <w:marLeft w:val="0"/>
              <w:marRight w:val="0"/>
              <w:marTop w:val="0"/>
              <w:marBottom w:val="0"/>
              <w:divBdr>
                <w:top w:val="none" w:sz="0" w:space="0" w:color="auto"/>
                <w:left w:val="none" w:sz="0" w:space="0" w:color="auto"/>
                <w:bottom w:val="none" w:sz="0" w:space="0" w:color="auto"/>
                <w:right w:val="none" w:sz="0" w:space="0" w:color="auto"/>
              </w:divBdr>
              <w:divsChild>
                <w:div w:id="715736477">
                  <w:marLeft w:val="0"/>
                  <w:marRight w:val="0"/>
                  <w:marTop w:val="0"/>
                  <w:marBottom w:val="0"/>
                  <w:divBdr>
                    <w:top w:val="none" w:sz="0" w:space="0" w:color="auto"/>
                    <w:left w:val="none" w:sz="0" w:space="0" w:color="auto"/>
                    <w:bottom w:val="none" w:sz="0" w:space="0" w:color="auto"/>
                    <w:right w:val="none" w:sz="0" w:space="0" w:color="auto"/>
                  </w:divBdr>
                  <w:divsChild>
                    <w:div w:id="679241336">
                      <w:marLeft w:val="0"/>
                      <w:marRight w:val="0"/>
                      <w:marTop w:val="0"/>
                      <w:marBottom w:val="0"/>
                      <w:divBdr>
                        <w:top w:val="none" w:sz="0" w:space="0" w:color="auto"/>
                        <w:left w:val="none" w:sz="0" w:space="0" w:color="auto"/>
                        <w:bottom w:val="none" w:sz="0" w:space="0" w:color="auto"/>
                        <w:right w:val="none" w:sz="0" w:space="0" w:color="auto"/>
                      </w:divBdr>
                      <w:divsChild>
                        <w:div w:id="607666945">
                          <w:marLeft w:val="0"/>
                          <w:marRight w:val="0"/>
                          <w:marTop w:val="0"/>
                          <w:marBottom w:val="0"/>
                          <w:divBdr>
                            <w:top w:val="none" w:sz="0" w:space="0" w:color="auto"/>
                            <w:left w:val="none" w:sz="0" w:space="0" w:color="auto"/>
                            <w:bottom w:val="none" w:sz="0" w:space="0" w:color="auto"/>
                            <w:right w:val="none" w:sz="0" w:space="0" w:color="auto"/>
                          </w:divBdr>
                          <w:divsChild>
                            <w:div w:id="381292439">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9531">
                  <w:marLeft w:val="0"/>
                  <w:marRight w:val="0"/>
                  <w:marTop w:val="0"/>
                  <w:marBottom w:val="0"/>
                  <w:divBdr>
                    <w:top w:val="none" w:sz="0" w:space="0" w:color="auto"/>
                    <w:left w:val="none" w:sz="0" w:space="0" w:color="auto"/>
                    <w:bottom w:val="none" w:sz="0" w:space="0" w:color="auto"/>
                    <w:right w:val="none" w:sz="0" w:space="0" w:color="auto"/>
                  </w:divBdr>
                  <w:divsChild>
                    <w:div w:id="402990528">
                      <w:marLeft w:val="0"/>
                      <w:marRight w:val="0"/>
                      <w:marTop w:val="0"/>
                      <w:marBottom w:val="0"/>
                      <w:divBdr>
                        <w:top w:val="none" w:sz="0" w:space="0" w:color="auto"/>
                        <w:left w:val="none" w:sz="0" w:space="0" w:color="auto"/>
                        <w:bottom w:val="none" w:sz="0" w:space="0" w:color="auto"/>
                        <w:right w:val="none" w:sz="0" w:space="0" w:color="auto"/>
                      </w:divBdr>
                      <w:divsChild>
                        <w:div w:id="792989100">
                          <w:marLeft w:val="0"/>
                          <w:marRight w:val="0"/>
                          <w:marTop w:val="0"/>
                          <w:marBottom w:val="0"/>
                          <w:divBdr>
                            <w:top w:val="none" w:sz="0" w:space="0" w:color="auto"/>
                            <w:left w:val="none" w:sz="0" w:space="0" w:color="auto"/>
                            <w:bottom w:val="none" w:sz="0" w:space="0" w:color="auto"/>
                            <w:right w:val="none" w:sz="0" w:space="0" w:color="auto"/>
                          </w:divBdr>
                          <w:divsChild>
                            <w:div w:id="932325056">
                              <w:marLeft w:val="0"/>
                              <w:marRight w:val="0"/>
                              <w:marTop w:val="0"/>
                              <w:marBottom w:val="0"/>
                              <w:divBdr>
                                <w:top w:val="none" w:sz="0" w:space="0" w:color="auto"/>
                                <w:left w:val="none" w:sz="0" w:space="0" w:color="auto"/>
                                <w:bottom w:val="none" w:sz="0" w:space="0" w:color="auto"/>
                                <w:right w:val="none" w:sz="0" w:space="0" w:color="auto"/>
                              </w:divBdr>
                              <w:divsChild>
                                <w:div w:id="1075398088">
                                  <w:marLeft w:val="0"/>
                                  <w:marRight w:val="0"/>
                                  <w:marTop w:val="0"/>
                                  <w:marBottom w:val="0"/>
                                  <w:divBdr>
                                    <w:top w:val="none" w:sz="0" w:space="0" w:color="auto"/>
                                    <w:left w:val="none" w:sz="0" w:space="0" w:color="auto"/>
                                    <w:bottom w:val="none" w:sz="0" w:space="0" w:color="auto"/>
                                    <w:right w:val="none" w:sz="0" w:space="0" w:color="auto"/>
                                  </w:divBdr>
                                  <w:divsChild>
                                    <w:div w:id="69789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9630">
                          <w:marLeft w:val="0"/>
                          <w:marRight w:val="0"/>
                          <w:marTop w:val="0"/>
                          <w:marBottom w:val="0"/>
                          <w:divBdr>
                            <w:top w:val="none" w:sz="0" w:space="0" w:color="auto"/>
                            <w:left w:val="none" w:sz="0" w:space="0" w:color="auto"/>
                            <w:bottom w:val="none" w:sz="0" w:space="0" w:color="auto"/>
                            <w:right w:val="none" w:sz="0" w:space="0" w:color="auto"/>
                          </w:divBdr>
                          <w:divsChild>
                            <w:div w:id="1519343965">
                              <w:marLeft w:val="0"/>
                              <w:marRight w:val="0"/>
                              <w:marTop w:val="0"/>
                              <w:marBottom w:val="0"/>
                              <w:divBdr>
                                <w:top w:val="none" w:sz="0" w:space="0" w:color="auto"/>
                                <w:left w:val="none" w:sz="0" w:space="0" w:color="auto"/>
                                <w:bottom w:val="none" w:sz="0" w:space="0" w:color="auto"/>
                                <w:right w:val="none" w:sz="0" w:space="0" w:color="auto"/>
                              </w:divBdr>
                              <w:divsChild>
                                <w:div w:id="1618754199">
                                  <w:marLeft w:val="0"/>
                                  <w:marRight w:val="0"/>
                                  <w:marTop w:val="0"/>
                                  <w:marBottom w:val="0"/>
                                  <w:divBdr>
                                    <w:top w:val="none" w:sz="0" w:space="0" w:color="auto"/>
                                    <w:left w:val="none" w:sz="0" w:space="0" w:color="auto"/>
                                    <w:bottom w:val="none" w:sz="0" w:space="0" w:color="auto"/>
                                    <w:right w:val="none" w:sz="0" w:space="0" w:color="auto"/>
                                  </w:divBdr>
                                  <w:divsChild>
                                    <w:div w:id="20993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624935">
          <w:marLeft w:val="0"/>
          <w:marRight w:val="0"/>
          <w:marTop w:val="0"/>
          <w:marBottom w:val="0"/>
          <w:divBdr>
            <w:top w:val="none" w:sz="0" w:space="0" w:color="auto"/>
            <w:left w:val="none" w:sz="0" w:space="0" w:color="auto"/>
            <w:bottom w:val="none" w:sz="0" w:space="0" w:color="auto"/>
            <w:right w:val="none" w:sz="0" w:space="0" w:color="auto"/>
          </w:divBdr>
          <w:divsChild>
            <w:div w:id="154535834">
              <w:marLeft w:val="0"/>
              <w:marRight w:val="0"/>
              <w:marTop w:val="0"/>
              <w:marBottom w:val="0"/>
              <w:divBdr>
                <w:top w:val="none" w:sz="0" w:space="0" w:color="auto"/>
                <w:left w:val="none" w:sz="0" w:space="0" w:color="auto"/>
                <w:bottom w:val="none" w:sz="0" w:space="0" w:color="auto"/>
                <w:right w:val="none" w:sz="0" w:space="0" w:color="auto"/>
              </w:divBdr>
              <w:divsChild>
                <w:div w:id="1356955130">
                  <w:marLeft w:val="0"/>
                  <w:marRight w:val="0"/>
                  <w:marTop w:val="0"/>
                  <w:marBottom w:val="0"/>
                  <w:divBdr>
                    <w:top w:val="none" w:sz="0" w:space="0" w:color="auto"/>
                    <w:left w:val="none" w:sz="0" w:space="0" w:color="auto"/>
                    <w:bottom w:val="none" w:sz="0" w:space="0" w:color="auto"/>
                    <w:right w:val="none" w:sz="0" w:space="0" w:color="auto"/>
                  </w:divBdr>
                  <w:divsChild>
                    <w:div w:id="38481655">
                      <w:marLeft w:val="0"/>
                      <w:marRight w:val="0"/>
                      <w:marTop w:val="0"/>
                      <w:marBottom w:val="0"/>
                      <w:divBdr>
                        <w:top w:val="none" w:sz="0" w:space="0" w:color="auto"/>
                        <w:left w:val="none" w:sz="0" w:space="0" w:color="auto"/>
                        <w:bottom w:val="none" w:sz="0" w:space="0" w:color="auto"/>
                        <w:right w:val="none" w:sz="0" w:space="0" w:color="auto"/>
                      </w:divBdr>
                      <w:divsChild>
                        <w:div w:id="653338370">
                          <w:marLeft w:val="0"/>
                          <w:marRight w:val="0"/>
                          <w:marTop w:val="0"/>
                          <w:marBottom w:val="0"/>
                          <w:divBdr>
                            <w:top w:val="none" w:sz="0" w:space="0" w:color="auto"/>
                            <w:left w:val="none" w:sz="0" w:space="0" w:color="auto"/>
                            <w:bottom w:val="none" w:sz="0" w:space="0" w:color="auto"/>
                            <w:right w:val="none" w:sz="0" w:space="0" w:color="auto"/>
                          </w:divBdr>
                          <w:divsChild>
                            <w:div w:id="404189283">
                              <w:marLeft w:val="0"/>
                              <w:marRight w:val="0"/>
                              <w:marTop w:val="0"/>
                              <w:marBottom w:val="0"/>
                              <w:divBdr>
                                <w:top w:val="none" w:sz="0" w:space="0" w:color="auto"/>
                                <w:left w:val="none" w:sz="0" w:space="0" w:color="auto"/>
                                <w:bottom w:val="none" w:sz="0" w:space="0" w:color="auto"/>
                                <w:right w:val="none" w:sz="0" w:space="0" w:color="auto"/>
                              </w:divBdr>
                              <w:divsChild>
                                <w:div w:id="2098136472">
                                  <w:marLeft w:val="0"/>
                                  <w:marRight w:val="0"/>
                                  <w:marTop w:val="0"/>
                                  <w:marBottom w:val="0"/>
                                  <w:divBdr>
                                    <w:top w:val="none" w:sz="0" w:space="0" w:color="auto"/>
                                    <w:left w:val="none" w:sz="0" w:space="0" w:color="auto"/>
                                    <w:bottom w:val="none" w:sz="0" w:space="0" w:color="auto"/>
                                    <w:right w:val="none" w:sz="0" w:space="0" w:color="auto"/>
                                  </w:divBdr>
                                  <w:divsChild>
                                    <w:div w:id="851575758">
                                      <w:marLeft w:val="0"/>
                                      <w:marRight w:val="0"/>
                                      <w:marTop w:val="0"/>
                                      <w:marBottom w:val="0"/>
                                      <w:divBdr>
                                        <w:top w:val="none" w:sz="0" w:space="0" w:color="auto"/>
                                        <w:left w:val="none" w:sz="0" w:space="0" w:color="auto"/>
                                        <w:bottom w:val="none" w:sz="0" w:space="0" w:color="auto"/>
                                        <w:right w:val="none" w:sz="0" w:space="0" w:color="auto"/>
                                      </w:divBdr>
                                      <w:divsChild>
                                        <w:div w:id="12465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424453">
          <w:marLeft w:val="0"/>
          <w:marRight w:val="0"/>
          <w:marTop w:val="0"/>
          <w:marBottom w:val="0"/>
          <w:divBdr>
            <w:top w:val="none" w:sz="0" w:space="0" w:color="auto"/>
            <w:left w:val="none" w:sz="0" w:space="0" w:color="auto"/>
            <w:bottom w:val="none" w:sz="0" w:space="0" w:color="auto"/>
            <w:right w:val="none" w:sz="0" w:space="0" w:color="auto"/>
          </w:divBdr>
          <w:divsChild>
            <w:div w:id="922883902">
              <w:marLeft w:val="0"/>
              <w:marRight w:val="0"/>
              <w:marTop w:val="0"/>
              <w:marBottom w:val="0"/>
              <w:divBdr>
                <w:top w:val="none" w:sz="0" w:space="0" w:color="auto"/>
                <w:left w:val="none" w:sz="0" w:space="0" w:color="auto"/>
                <w:bottom w:val="none" w:sz="0" w:space="0" w:color="auto"/>
                <w:right w:val="none" w:sz="0" w:space="0" w:color="auto"/>
              </w:divBdr>
              <w:divsChild>
                <w:div w:id="2108962314">
                  <w:marLeft w:val="0"/>
                  <w:marRight w:val="0"/>
                  <w:marTop w:val="0"/>
                  <w:marBottom w:val="0"/>
                  <w:divBdr>
                    <w:top w:val="none" w:sz="0" w:space="0" w:color="auto"/>
                    <w:left w:val="none" w:sz="0" w:space="0" w:color="auto"/>
                    <w:bottom w:val="none" w:sz="0" w:space="0" w:color="auto"/>
                    <w:right w:val="none" w:sz="0" w:space="0" w:color="auto"/>
                  </w:divBdr>
                  <w:divsChild>
                    <w:div w:id="1832984912">
                      <w:marLeft w:val="0"/>
                      <w:marRight w:val="0"/>
                      <w:marTop w:val="0"/>
                      <w:marBottom w:val="0"/>
                      <w:divBdr>
                        <w:top w:val="none" w:sz="0" w:space="0" w:color="auto"/>
                        <w:left w:val="none" w:sz="0" w:space="0" w:color="auto"/>
                        <w:bottom w:val="none" w:sz="0" w:space="0" w:color="auto"/>
                        <w:right w:val="none" w:sz="0" w:space="0" w:color="auto"/>
                      </w:divBdr>
                      <w:divsChild>
                        <w:div w:id="910851927">
                          <w:marLeft w:val="0"/>
                          <w:marRight w:val="0"/>
                          <w:marTop w:val="0"/>
                          <w:marBottom w:val="0"/>
                          <w:divBdr>
                            <w:top w:val="none" w:sz="0" w:space="0" w:color="auto"/>
                            <w:left w:val="none" w:sz="0" w:space="0" w:color="auto"/>
                            <w:bottom w:val="none" w:sz="0" w:space="0" w:color="auto"/>
                            <w:right w:val="none" w:sz="0" w:space="0" w:color="auto"/>
                          </w:divBdr>
                          <w:divsChild>
                            <w:div w:id="1716463076">
                              <w:marLeft w:val="0"/>
                              <w:marRight w:val="0"/>
                              <w:marTop w:val="0"/>
                              <w:marBottom w:val="0"/>
                              <w:divBdr>
                                <w:top w:val="none" w:sz="0" w:space="0" w:color="auto"/>
                                <w:left w:val="none" w:sz="0" w:space="0" w:color="auto"/>
                                <w:bottom w:val="none" w:sz="0" w:space="0" w:color="auto"/>
                                <w:right w:val="none" w:sz="0" w:space="0" w:color="auto"/>
                              </w:divBdr>
                              <w:divsChild>
                                <w:div w:id="1830290235">
                                  <w:marLeft w:val="0"/>
                                  <w:marRight w:val="0"/>
                                  <w:marTop w:val="0"/>
                                  <w:marBottom w:val="0"/>
                                  <w:divBdr>
                                    <w:top w:val="none" w:sz="0" w:space="0" w:color="auto"/>
                                    <w:left w:val="none" w:sz="0" w:space="0" w:color="auto"/>
                                    <w:bottom w:val="none" w:sz="0" w:space="0" w:color="auto"/>
                                    <w:right w:val="none" w:sz="0" w:space="0" w:color="auto"/>
                                  </w:divBdr>
                                  <w:divsChild>
                                    <w:div w:id="827013033">
                                      <w:marLeft w:val="0"/>
                                      <w:marRight w:val="0"/>
                                      <w:marTop w:val="0"/>
                                      <w:marBottom w:val="0"/>
                                      <w:divBdr>
                                        <w:top w:val="none" w:sz="0" w:space="0" w:color="auto"/>
                                        <w:left w:val="none" w:sz="0" w:space="0" w:color="auto"/>
                                        <w:bottom w:val="none" w:sz="0" w:space="0" w:color="auto"/>
                                        <w:right w:val="none" w:sz="0" w:space="0" w:color="auto"/>
                                      </w:divBdr>
                                      <w:divsChild>
                                        <w:div w:id="12042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465630">
          <w:marLeft w:val="0"/>
          <w:marRight w:val="0"/>
          <w:marTop w:val="0"/>
          <w:marBottom w:val="0"/>
          <w:divBdr>
            <w:top w:val="none" w:sz="0" w:space="0" w:color="auto"/>
            <w:left w:val="none" w:sz="0" w:space="0" w:color="auto"/>
            <w:bottom w:val="none" w:sz="0" w:space="0" w:color="auto"/>
            <w:right w:val="none" w:sz="0" w:space="0" w:color="auto"/>
          </w:divBdr>
          <w:divsChild>
            <w:div w:id="1190294724">
              <w:marLeft w:val="0"/>
              <w:marRight w:val="0"/>
              <w:marTop w:val="0"/>
              <w:marBottom w:val="0"/>
              <w:divBdr>
                <w:top w:val="none" w:sz="0" w:space="0" w:color="auto"/>
                <w:left w:val="none" w:sz="0" w:space="0" w:color="auto"/>
                <w:bottom w:val="none" w:sz="0" w:space="0" w:color="auto"/>
                <w:right w:val="none" w:sz="0" w:space="0" w:color="auto"/>
              </w:divBdr>
              <w:divsChild>
                <w:div w:id="1289895894">
                  <w:marLeft w:val="0"/>
                  <w:marRight w:val="0"/>
                  <w:marTop w:val="0"/>
                  <w:marBottom w:val="0"/>
                  <w:divBdr>
                    <w:top w:val="none" w:sz="0" w:space="0" w:color="auto"/>
                    <w:left w:val="none" w:sz="0" w:space="0" w:color="auto"/>
                    <w:bottom w:val="none" w:sz="0" w:space="0" w:color="auto"/>
                    <w:right w:val="none" w:sz="0" w:space="0" w:color="auto"/>
                  </w:divBdr>
                  <w:divsChild>
                    <w:div w:id="226692209">
                      <w:marLeft w:val="0"/>
                      <w:marRight w:val="0"/>
                      <w:marTop w:val="0"/>
                      <w:marBottom w:val="0"/>
                      <w:divBdr>
                        <w:top w:val="none" w:sz="0" w:space="0" w:color="auto"/>
                        <w:left w:val="none" w:sz="0" w:space="0" w:color="auto"/>
                        <w:bottom w:val="none" w:sz="0" w:space="0" w:color="auto"/>
                        <w:right w:val="none" w:sz="0" w:space="0" w:color="auto"/>
                      </w:divBdr>
                      <w:divsChild>
                        <w:div w:id="1401363278">
                          <w:marLeft w:val="0"/>
                          <w:marRight w:val="0"/>
                          <w:marTop w:val="0"/>
                          <w:marBottom w:val="0"/>
                          <w:divBdr>
                            <w:top w:val="none" w:sz="0" w:space="0" w:color="auto"/>
                            <w:left w:val="none" w:sz="0" w:space="0" w:color="auto"/>
                            <w:bottom w:val="none" w:sz="0" w:space="0" w:color="auto"/>
                            <w:right w:val="none" w:sz="0" w:space="0" w:color="auto"/>
                          </w:divBdr>
                          <w:divsChild>
                            <w:div w:id="1101487606">
                              <w:marLeft w:val="0"/>
                              <w:marRight w:val="0"/>
                              <w:marTop w:val="0"/>
                              <w:marBottom w:val="0"/>
                              <w:divBdr>
                                <w:top w:val="none" w:sz="0" w:space="0" w:color="auto"/>
                                <w:left w:val="none" w:sz="0" w:space="0" w:color="auto"/>
                                <w:bottom w:val="none" w:sz="0" w:space="0" w:color="auto"/>
                                <w:right w:val="none" w:sz="0" w:space="0" w:color="auto"/>
                              </w:divBdr>
                              <w:divsChild>
                                <w:div w:id="53696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3337">
                  <w:marLeft w:val="0"/>
                  <w:marRight w:val="0"/>
                  <w:marTop w:val="0"/>
                  <w:marBottom w:val="0"/>
                  <w:divBdr>
                    <w:top w:val="none" w:sz="0" w:space="0" w:color="auto"/>
                    <w:left w:val="none" w:sz="0" w:space="0" w:color="auto"/>
                    <w:bottom w:val="none" w:sz="0" w:space="0" w:color="auto"/>
                    <w:right w:val="none" w:sz="0" w:space="0" w:color="auto"/>
                  </w:divBdr>
                  <w:divsChild>
                    <w:div w:id="426848228">
                      <w:marLeft w:val="0"/>
                      <w:marRight w:val="0"/>
                      <w:marTop w:val="0"/>
                      <w:marBottom w:val="0"/>
                      <w:divBdr>
                        <w:top w:val="none" w:sz="0" w:space="0" w:color="auto"/>
                        <w:left w:val="none" w:sz="0" w:space="0" w:color="auto"/>
                        <w:bottom w:val="none" w:sz="0" w:space="0" w:color="auto"/>
                        <w:right w:val="none" w:sz="0" w:space="0" w:color="auto"/>
                      </w:divBdr>
                      <w:divsChild>
                        <w:div w:id="600263472">
                          <w:marLeft w:val="0"/>
                          <w:marRight w:val="0"/>
                          <w:marTop w:val="0"/>
                          <w:marBottom w:val="0"/>
                          <w:divBdr>
                            <w:top w:val="none" w:sz="0" w:space="0" w:color="auto"/>
                            <w:left w:val="none" w:sz="0" w:space="0" w:color="auto"/>
                            <w:bottom w:val="none" w:sz="0" w:space="0" w:color="auto"/>
                            <w:right w:val="none" w:sz="0" w:space="0" w:color="auto"/>
                          </w:divBdr>
                          <w:divsChild>
                            <w:div w:id="328943442">
                              <w:marLeft w:val="0"/>
                              <w:marRight w:val="0"/>
                              <w:marTop w:val="0"/>
                              <w:marBottom w:val="0"/>
                              <w:divBdr>
                                <w:top w:val="none" w:sz="0" w:space="0" w:color="auto"/>
                                <w:left w:val="none" w:sz="0" w:space="0" w:color="auto"/>
                                <w:bottom w:val="none" w:sz="0" w:space="0" w:color="auto"/>
                                <w:right w:val="none" w:sz="0" w:space="0" w:color="auto"/>
                              </w:divBdr>
                              <w:divsChild>
                                <w:div w:id="1038433375">
                                  <w:marLeft w:val="0"/>
                                  <w:marRight w:val="0"/>
                                  <w:marTop w:val="0"/>
                                  <w:marBottom w:val="0"/>
                                  <w:divBdr>
                                    <w:top w:val="none" w:sz="0" w:space="0" w:color="auto"/>
                                    <w:left w:val="none" w:sz="0" w:space="0" w:color="auto"/>
                                    <w:bottom w:val="none" w:sz="0" w:space="0" w:color="auto"/>
                                    <w:right w:val="none" w:sz="0" w:space="0" w:color="auto"/>
                                  </w:divBdr>
                                  <w:divsChild>
                                    <w:div w:id="1086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63261">
                          <w:marLeft w:val="0"/>
                          <w:marRight w:val="0"/>
                          <w:marTop w:val="0"/>
                          <w:marBottom w:val="0"/>
                          <w:divBdr>
                            <w:top w:val="none" w:sz="0" w:space="0" w:color="auto"/>
                            <w:left w:val="none" w:sz="0" w:space="0" w:color="auto"/>
                            <w:bottom w:val="none" w:sz="0" w:space="0" w:color="auto"/>
                            <w:right w:val="none" w:sz="0" w:space="0" w:color="auto"/>
                          </w:divBdr>
                          <w:divsChild>
                            <w:div w:id="853760729">
                              <w:marLeft w:val="0"/>
                              <w:marRight w:val="0"/>
                              <w:marTop w:val="0"/>
                              <w:marBottom w:val="0"/>
                              <w:divBdr>
                                <w:top w:val="none" w:sz="0" w:space="0" w:color="auto"/>
                                <w:left w:val="none" w:sz="0" w:space="0" w:color="auto"/>
                                <w:bottom w:val="none" w:sz="0" w:space="0" w:color="auto"/>
                                <w:right w:val="none" w:sz="0" w:space="0" w:color="auto"/>
                              </w:divBdr>
                              <w:divsChild>
                                <w:div w:id="1364938188">
                                  <w:marLeft w:val="0"/>
                                  <w:marRight w:val="0"/>
                                  <w:marTop w:val="0"/>
                                  <w:marBottom w:val="0"/>
                                  <w:divBdr>
                                    <w:top w:val="none" w:sz="0" w:space="0" w:color="auto"/>
                                    <w:left w:val="none" w:sz="0" w:space="0" w:color="auto"/>
                                    <w:bottom w:val="none" w:sz="0" w:space="0" w:color="auto"/>
                                    <w:right w:val="none" w:sz="0" w:space="0" w:color="auto"/>
                                  </w:divBdr>
                                  <w:divsChild>
                                    <w:div w:id="4858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975724">
          <w:marLeft w:val="0"/>
          <w:marRight w:val="0"/>
          <w:marTop w:val="0"/>
          <w:marBottom w:val="0"/>
          <w:divBdr>
            <w:top w:val="none" w:sz="0" w:space="0" w:color="auto"/>
            <w:left w:val="none" w:sz="0" w:space="0" w:color="auto"/>
            <w:bottom w:val="none" w:sz="0" w:space="0" w:color="auto"/>
            <w:right w:val="none" w:sz="0" w:space="0" w:color="auto"/>
          </w:divBdr>
          <w:divsChild>
            <w:div w:id="1623614422">
              <w:marLeft w:val="0"/>
              <w:marRight w:val="0"/>
              <w:marTop w:val="0"/>
              <w:marBottom w:val="0"/>
              <w:divBdr>
                <w:top w:val="none" w:sz="0" w:space="0" w:color="auto"/>
                <w:left w:val="none" w:sz="0" w:space="0" w:color="auto"/>
                <w:bottom w:val="none" w:sz="0" w:space="0" w:color="auto"/>
                <w:right w:val="none" w:sz="0" w:space="0" w:color="auto"/>
              </w:divBdr>
              <w:divsChild>
                <w:div w:id="492062717">
                  <w:marLeft w:val="0"/>
                  <w:marRight w:val="0"/>
                  <w:marTop w:val="0"/>
                  <w:marBottom w:val="0"/>
                  <w:divBdr>
                    <w:top w:val="none" w:sz="0" w:space="0" w:color="auto"/>
                    <w:left w:val="none" w:sz="0" w:space="0" w:color="auto"/>
                    <w:bottom w:val="none" w:sz="0" w:space="0" w:color="auto"/>
                    <w:right w:val="none" w:sz="0" w:space="0" w:color="auto"/>
                  </w:divBdr>
                  <w:divsChild>
                    <w:div w:id="210725272">
                      <w:marLeft w:val="0"/>
                      <w:marRight w:val="0"/>
                      <w:marTop w:val="0"/>
                      <w:marBottom w:val="0"/>
                      <w:divBdr>
                        <w:top w:val="none" w:sz="0" w:space="0" w:color="auto"/>
                        <w:left w:val="none" w:sz="0" w:space="0" w:color="auto"/>
                        <w:bottom w:val="none" w:sz="0" w:space="0" w:color="auto"/>
                        <w:right w:val="none" w:sz="0" w:space="0" w:color="auto"/>
                      </w:divBdr>
                    </w:div>
                    <w:div w:id="17190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359678">
          <w:marLeft w:val="0"/>
          <w:marRight w:val="0"/>
          <w:marTop w:val="0"/>
          <w:marBottom w:val="0"/>
          <w:divBdr>
            <w:top w:val="none" w:sz="0" w:space="0" w:color="auto"/>
            <w:left w:val="none" w:sz="0" w:space="0" w:color="auto"/>
            <w:bottom w:val="none" w:sz="0" w:space="0" w:color="auto"/>
            <w:right w:val="none" w:sz="0" w:space="0" w:color="auto"/>
          </w:divBdr>
          <w:divsChild>
            <w:div w:id="27342206">
              <w:marLeft w:val="0"/>
              <w:marRight w:val="0"/>
              <w:marTop w:val="0"/>
              <w:marBottom w:val="0"/>
              <w:divBdr>
                <w:top w:val="none" w:sz="0" w:space="0" w:color="auto"/>
                <w:left w:val="none" w:sz="0" w:space="0" w:color="auto"/>
                <w:bottom w:val="none" w:sz="0" w:space="0" w:color="auto"/>
                <w:right w:val="none" w:sz="0" w:space="0" w:color="auto"/>
              </w:divBdr>
              <w:divsChild>
                <w:div w:id="414520622">
                  <w:marLeft w:val="0"/>
                  <w:marRight w:val="0"/>
                  <w:marTop w:val="0"/>
                  <w:marBottom w:val="0"/>
                  <w:divBdr>
                    <w:top w:val="none" w:sz="0" w:space="0" w:color="auto"/>
                    <w:left w:val="none" w:sz="0" w:space="0" w:color="auto"/>
                    <w:bottom w:val="none" w:sz="0" w:space="0" w:color="auto"/>
                    <w:right w:val="none" w:sz="0" w:space="0" w:color="auto"/>
                  </w:divBdr>
                  <w:divsChild>
                    <w:div w:id="1679455104">
                      <w:marLeft w:val="0"/>
                      <w:marRight w:val="0"/>
                      <w:marTop w:val="0"/>
                      <w:marBottom w:val="0"/>
                      <w:divBdr>
                        <w:top w:val="none" w:sz="0" w:space="0" w:color="auto"/>
                        <w:left w:val="none" w:sz="0" w:space="0" w:color="auto"/>
                        <w:bottom w:val="none" w:sz="0" w:space="0" w:color="auto"/>
                        <w:right w:val="none" w:sz="0" w:space="0" w:color="auto"/>
                      </w:divBdr>
                      <w:divsChild>
                        <w:div w:id="1293830882">
                          <w:marLeft w:val="0"/>
                          <w:marRight w:val="0"/>
                          <w:marTop w:val="0"/>
                          <w:marBottom w:val="0"/>
                          <w:divBdr>
                            <w:top w:val="none" w:sz="0" w:space="0" w:color="auto"/>
                            <w:left w:val="none" w:sz="0" w:space="0" w:color="auto"/>
                            <w:bottom w:val="none" w:sz="0" w:space="0" w:color="auto"/>
                            <w:right w:val="none" w:sz="0" w:space="0" w:color="auto"/>
                          </w:divBdr>
                          <w:divsChild>
                            <w:div w:id="1908415785">
                              <w:marLeft w:val="0"/>
                              <w:marRight w:val="0"/>
                              <w:marTop w:val="0"/>
                              <w:marBottom w:val="0"/>
                              <w:divBdr>
                                <w:top w:val="none" w:sz="0" w:space="0" w:color="auto"/>
                                <w:left w:val="none" w:sz="0" w:space="0" w:color="auto"/>
                                <w:bottom w:val="none" w:sz="0" w:space="0" w:color="auto"/>
                                <w:right w:val="none" w:sz="0" w:space="0" w:color="auto"/>
                              </w:divBdr>
                              <w:divsChild>
                                <w:div w:id="1729916702">
                                  <w:marLeft w:val="0"/>
                                  <w:marRight w:val="0"/>
                                  <w:marTop w:val="0"/>
                                  <w:marBottom w:val="0"/>
                                  <w:divBdr>
                                    <w:top w:val="none" w:sz="0" w:space="0" w:color="auto"/>
                                    <w:left w:val="none" w:sz="0" w:space="0" w:color="auto"/>
                                    <w:bottom w:val="none" w:sz="0" w:space="0" w:color="auto"/>
                                    <w:right w:val="none" w:sz="0" w:space="0" w:color="auto"/>
                                  </w:divBdr>
                                  <w:divsChild>
                                    <w:div w:id="1418937882">
                                      <w:marLeft w:val="0"/>
                                      <w:marRight w:val="0"/>
                                      <w:marTop w:val="0"/>
                                      <w:marBottom w:val="0"/>
                                      <w:divBdr>
                                        <w:top w:val="none" w:sz="0" w:space="0" w:color="auto"/>
                                        <w:left w:val="none" w:sz="0" w:space="0" w:color="auto"/>
                                        <w:bottom w:val="none" w:sz="0" w:space="0" w:color="auto"/>
                                        <w:right w:val="none" w:sz="0" w:space="0" w:color="auto"/>
                                      </w:divBdr>
                                      <w:divsChild>
                                        <w:div w:id="14867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275015">
          <w:marLeft w:val="0"/>
          <w:marRight w:val="0"/>
          <w:marTop w:val="0"/>
          <w:marBottom w:val="0"/>
          <w:divBdr>
            <w:top w:val="none" w:sz="0" w:space="0" w:color="auto"/>
            <w:left w:val="none" w:sz="0" w:space="0" w:color="auto"/>
            <w:bottom w:val="none" w:sz="0" w:space="0" w:color="auto"/>
            <w:right w:val="none" w:sz="0" w:space="0" w:color="auto"/>
          </w:divBdr>
          <w:divsChild>
            <w:div w:id="1828936648">
              <w:marLeft w:val="0"/>
              <w:marRight w:val="0"/>
              <w:marTop w:val="0"/>
              <w:marBottom w:val="0"/>
              <w:divBdr>
                <w:top w:val="none" w:sz="0" w:space="0" w:color="auto"/>
                <w:left w:val="none" w:sz="0" w:space="0" w:color="auto"/>
                <w:bottom w:val="none" w:sz="0" w:space="0" w:color="auto"/>
                <w:right w:val="none" w:sz="0" w:space="0" w:color="auto"/>
              </w:divBdr>
              <w:divsChild>
                <w:div w:id="1432773418">
                  <w:marLeft w:val="0"/>
                  <w:marRight w:val="0"/>
                  <w:marTop w:val="0"/>
                  <w:marBottom w:val="0"/>
                  <w:divBdr>
                    <w:top w:val="none" w:sz="0" w:space="0" w:color="auto"/>
                    <w:left w:val="none" w:sz="0" w:space="0" w:color="auto"/>
                    <w:bottom w:val="none" w:sz="0" w:space="0" w:color="auto"/>
                    <w:right w:val="none" w:sz="0" w:space="0" w:color="auto"/>
                  </w:divBdr>
                  <w:divsChild>
                    <w:div w:id="1560550434">
                      <w:marLeft w:val="0"/>
                      <w:marRight w:val="0"/>
                      <w:marTop w:val="0"/>
                      <w:marBottom w:val="0"/>
                      <w:divBdr>
                        <w:top w:val="none" w:sz="0" w:space="0" w:color="auto"/>
                        <w:left w:val="none" w:sz="0" w:space="0" w:color="auto"/>
                        <w:bottom w:val="none" w:sz="0" w:space="0" w:color="auto"/>
                        <w:right w:val="none" w:sz="0" w:space="0" w:color="auto"/>
                      </w:divBdr>
                      <w:divsChild>
                        <w:div w:id="1494839203">
                          <w:marLeft w:val="0"/>
                          <w:marRight w:val="0"/>
                          <w:marTop w:val="0"/>
                          <w:marBottom w:val="0"/>
                          <w:divBdr>
                            <w:top w:val="none" w:sz="0" w:space="0" w:color="auto"/>
                            <w:left w:val="none" w:sz="0" w:space="0" w:color="auto"/>
                            <w:bottom w:val="none" w:sz="0" w:space="0" w:color="auto"/>
                            <w:right w:val="none" w:sz="0" w:space="0" w:color="auto"/>
                          </w:divBdr>
                          <w:divsChild>
                            <w:div w:id="1637225215">
                              <w:marLeft w:val="0"/>
                              <w:marRight w:val="0"/>
                              <w:marTop w:val="0"/>
                              <w:marBottom w:val="0"/>
                              <w:divBdr>
                                <w:top w:val="none" w:sz="0" w:space="0" w:color="auto"/>
                                <w:left w:val="none" w:sz="0" w:space="0" w:color="auto"/>
                                <w:bottom w:val="none" w:sz="0" w:space="0" w:color="auto"/>
                                <w:right w:val="none" w:sz="0" w:space="0" w:color="auto"/>
                              </w:divBdr>
                              <w:divsChild>
                                <w:div w:id="1647323545">
                                  <w:marLeft w:val="0"/>
                                  <w:marRight w:val="0"/>
                                  <w:marTop w:val="0"/>
                                  <w:marBottom w:val="0"/>
                                  <w:divBdr>
                                    <w:top w:val="none" w:sz="0" w:space="0" w:color="auto"/>
                                    <w:left w:val="none" w:sz="0" w:space="0" w:color="auto"/>
                                    <w:bottom w:val="none" w:sz="0" w:space="0" w:color="auto"/>
                                    <w:right w:val="none" w:sz="0" w:space="0" w:color="auto"/>
                                  </w:divBdr>
                                  <w:divsChild>
                                    <w:div w:id="1568302426">
                                      <w:marLeft w:val="0"/>
                                      <w:marRight w:val="0"/>
                                      <w:marTop w:val="0"/>
                                      <w:marBottom w:val="0"/>
                                      <w:divBdr>
                                        <w:top w:val="none" w:sz="0" w:space="0" w:color="auto"/>
                                        <w:left w:val="none" w:sz="0" w:space="0" w:color="auto"/>
                                        <w:bottom w:val="none" w:sz="0" w:space="0" w:color="auto"/>
                                        <w:right w:val="none" w:sz="0" w:space="0" w:color="auto"/>
                                      </w:divBdr>
                                      <w:divsChild>
                                        <w:div w:id="19393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759428">
          <w:marLeft w:val="0"/>
          <w:marRight w:val="0"/>
          <w:marTop w:val="0"/>
          <w:marBottom w:val="0"/>
          <w:divBdr>
            <w:top w:val="none" w:sz="0" w:space="0" w:color="auto"/>
            <w:left w:val="none" w:sz="0" w:space="0" w:color="auto"/>
            <w:bottom w:val="none" w:sz="0" w:space="0" w:color="auto"/>
            <w:right w:val="none" w:sz="0" w:space="0" w:color="auto"/>
          </w:divBdr>
          <w:divsChild>
            <w:div w:id="722414660">
              <w:marLeft w:val="0"/>
              <w:marRight w:val="0"/>
              <w:marTop w:val="0"/>
              <w:marBottom w:val="0"/>
              <w:divBdr>
                <w:top w:val="none" w:sz="0" w:space="0" w:color="auto"/>
                <w:left w:val="none" w:sz="0" w:space="0" w:color="auto"/>
                <w:bottom w:val="none" w:sz="0" w:space="0" w:color="auto"/>
                <w:right w:val="none" w:sz="0" w:space="0" w:color="auto"/>
              </w:divBdr>
              <w:divsChild>
                <w:div w:id="5062598">
                  <w:marLeft w:val="0"/>
                  <w:marRight w:val="0"/>
                  <w:marTop w:val="0"/>
                  <w:marBottom w:val="0"/>
                  <w:divBdr>
                    <w:top w:val="none" w:sz="0" w:space="0" w:color="auto"/>
                    <w:left w:val="none" w:sz="0" w:space="0" w:color="auto"/>
                    <w:bottom w:val="none" w:sz="0" w:space="0" w:color="auto"/>
                    <w:right w:val="none" w:sz="0" w:space="0" w:color="auto"/>
                  </w:divBdr>
                  <w:divsChild>
                    <w:div w:id="688993053">
                      <w:marLeft w:val="0"/>
                      <w:marRight w:val="0"/>
                      <w:marTop w:val="0"/>
                      <w:marBottom w:val="0"/>
                      <w:divBdr>
                        <w:top w:val="none" w:sz="0" w:space="0" w:color="auto"/>
                        <w:left w:val="none" w:sz="0" w:space="0" w:color="auto"/>
                        <w:bottom w:val="none" w:sz="0" w:space="0" w:color="auto"/>
                        <w:right w:val="none" w:sz="0" w:space="0" w:color="auto"/>
                      </w:divBdr>
                      <w:divsChild>
                        <w:div w:id="1209803470">
                          <w:marLeft w:val="0"/>
                          <w:marRight w:val="0"/>
                          <w:marTop w:val="0"/>
                          <w:marBottom w:val="0"/>
                          <w:divBdr>
                            <w:top w:val="none" w:sz="0" w:space="0" w:color="auto"/>
                            <w:left w:val="none" w:sz="0" w:space="0" w:color="auto"/>
                            <w:bottom w:val="none" w:sz="0" w:space="0" w:color="auto"/>
                            <w:right w:val="none" w:sz="0" w:space="0" w:color="auto"/>
                          </w:divBdr>
                          <w:divsChild>
                            <w:div w:id="56710355">
                              <w:marLeft w:val="0"/>
                              <w:marRight w:val="0"/>
                              <w:marTop w:val="0"/>
                              <w:marBottom w:val="0"/>
                              <w:divBdr>
                                <w:top w:val="none" w:sz="0" w:space="0" w:color="auto"/>
                                <w:left w:val="none" w:sz="0" w:space="0" w:color="auto"/>
                                <w:bottom w:val="none" w:sz="0" w:space="0" w:color="auto"/>
                                <w:right w:val="none" w:sz="0" w:space="0" w:color="auto"/>
                              </w:divBdr>
                              <w:divsChild>
                                <w:div w:id="1510949616">
                                  <w:marLeft w:val="0"/>
                                  <w:marRight w:val="0"/>
                                  <w:marTop w:val="0"/>
                                  <w:marBottom w:val="0"/>
                                  <w:divBdr>
                                    <w:top w:val="none" w:sz="0" w:space="0" w:color="auto"/>
                                    <w:left w:val="none" w:sz="0" w:space="0" w:color="auto"/>
                                    <w:bottom w:val="none" w:sz="0" w:space="0" w:color="auto"/>
                                    <w:right w:val="none" w:sz="0" w:space="0" w:color="auto"/>
                                  </w:divBdr>
                                  <w:divsChild>
                                    <w:div w:id="83187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6197">
                          <w:marLeft w:val="0"/>
                          <w:marRight w:val="0"/>
                          <w:marTop w:val="0"/>
                          <w:marBottom w:val="0"/>
                          <w:divBdr>
                            <w:top w:val="none" w:sz="0" w:space="0" w:color="auto"/>
                            <w:left w:val="none" w:sz="0" w:space="0" w:color="auto"/>
                            <w:bottom w:val="none" w:sz="0" w:space="0" w:color="auto"/>
                            <w:right w:val="none" w:sz="0" w:space="0" w:color="auto"/>
                          </w:divBdr>
                          <w:divsChild>
                            <w:div w:id="1967927852">
                              <w:marLeft w:val="0"/>
                              <w:marRight w:val="0"/>
                              <w:marTop w:val="0"/>
                              <w:marBottom w:val="0"/>
                              <w:divBdr>
                                <w:top w:val="none" w:sz="0" w:space="0" w:color="auto"/>
                                <w:left w:val="none" w:sz="0" w:space="0" w:color="auto"/>
                                <w:bottom w:val="none" w:sz="0" w:space="0" w:color="auto"/>
                                <w:right w:val="none" w:sz="0" w:space="0" w:color="auto"/>
                              </w:divBdr>
                              <w:divsChild>
                                <w:div w:id="138309850">
                                  <w:marLeft w:val="0"/>
                                  <w:marRight w:val="0"/>
                                  <w:marTop w:val="0"/>
                                  <w:marBottom w:val="0"/>
                                  <w:divBdr>
                                    <w:top w:val="none" w:sz="0" w:space="0" w:color="auto"/>
                                    <w:left w:val="none" w:sz="0" w:space="0" w:color="auto"/>
                                    <w:bottom w:val="none" w:sz="0" w:space="0" w:color="auto"/>
                                    <w:right w:val="none" w:sz="0" w:space="0" w:color="auto"/>
                                  </w:divBdr>
                                  <w:divsChild>
                                    <w:div w:id="10923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05177">
                  <w:marLeft w:val="0"/>
                  <w:marRight w:val="0"/>
                  <w:marTop w:val="0"/>
                  <w:marBottom w:val="0"/>
                  <w:divBdr>
                    <w:top w:val="none" w:sz="0" w:space="0" w:color="auto"/>
                    <w:left w:val="none" w:sz="0" w:space="0" w:color="auto"/>
                    <w:bottom w:val="none" w:sz="0" w:space="0" w:color="auto"/>
                    <w:right w:val="none" w:sz="0" w:space="0" w:color="auto"/>
                  </w:divBdr>
                  <w:divsChild>
                    <w:div w:id="591163256">
                      <w:marLeft w:val="0"/>
                      <w:marRight w:val="0"/>
                      <w:marTop w:val="0"/>
                      <w:marBottom w:val="0"/>
                      <w:divBdr>
                        <w:top w:val="none" w:sz="0" w:space="0" w:color="auto"/>
                        <w:left w:val="none" w:sz="0" w:space="0" w:color="auto"/>
                        <w:bottom w:val="none" w:sz="0" w:space="0" w:color="auto"/>
                        <w:right w:val="none" w:sz="0" w:space="0" w:color="auto"/>
                      </w:divBdr>
                      <w:divsChild>
                        <w:div w:id="1840390667">
                          <w:marLeft w:val="0"/>
                          <w:marRight w:val="0"/>
                          <w:marTop w:val="0"/>
                          <w:marBottom w:val="0"/>
                          <w:divBdr>
                            <w:top w:val="none" w:sz="0" w:space="0" w:color="auto"/>
                            <w:left w:val="none" w:sz="0" w:space="0" w:color="auto"/>
                            <w:bottom w:val="none" w:sz="0" w:space="0" w:color="auto"/>
                            <w:right w:val="none" w:sz="0" w:space="0" w:color="auto"/>
                          </w:divBdr>
                          <w:divsChild>
                            <w:div w:id="2139644854">
                              <w:marLeft w:val="0"/>
                              <w:marRight w:val="0"/>
                              <w:marTop w:val="0"/>
                              <w:marBottom w:val="0"/>
                              <w:divBdr>
                                <w:top w:val="none" w:sz="0" w:space="0" w:color="auto"/>
                                <w:left w:val="none" w:sz="0" w:space="0" w:color="auto"/>
                                <w:bottom w:val="none" w:sz="0" w:space="0" w:color="auto"/>
                                <w:right w:val="none" w:sz="0" w:space="0" w:color="auto"/>
                              </w:divBdr>
                              <w:divsChild>
                                <w:div w:id="5681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96067">
          <w:marLeft w:val="0"/>
          <w:marRight w:val="0"/>
          <w:marTop w:val="0"/>
          <w:marBottom w:val="0"/>
          <w:divBdr>
            <w:top w:val="none" w:sz="0" w:space="0" w:color="auto"/>
            <w:left w:val="none" w:sz="0" w:space="0" w:color="auto"/>
            <w:bottom w:val="none" w:sz="0" w:space="0" w:color="auto"/>
            <w:right w:val="none" w:sz="0" w:space="0" w:color="auto"/>
          </w:divBdr>
          <w:divsChild>
            <w:div w:id="1510217364">
              <w:marLeft w:val="0"/>
              <w:marRight w:val="0"/>
              <w:marTop w:val="0"/>
              <w:marBottom w:val="0"/>
              <w:divBdr>
                <w:top w:val="none" w:sz="0" w:space="0" w:color="auto"/>
                <w:left w:val="none" w:sz="0" w:space="0" w:color="auto"/>
                <w:bottom w:val="none" w:sz="0" w:space="0" w:color="auto"/>
                <w:right w:val="none" w:sz="0" w:space="0" w:color="auto"/>
              </w:divBdr>
              <w:divsChild>
                <w:div w:id="955678174">
                  <w:marLeft w:val="0"/>
                  <w:marRight w:val="0"/>
                  <w:marTop w:val="0"/>
                  <w:marBottom w:val="0"/>
                  <w:divBdr>
                    <w:top w:val="none" w:sz="0" w:space="0" w:color="auto"/>
                    <w:left w:val="none" w:sz="0" w:space="0" w:color="auto"/>
                    <w:bottom w:val="none" w:sz="0" w:space="0" w:color="auto"/>
                    <w:right w:val="none" w:sz="0" w:space="0" w:color="auto"/>
                  </w:divBdr>
                  <w:divsChild>
                    <w:div w:id="783965329">
                      <w:marLeft w:val="0"/>
                      <w:marRight w:val="0"/>
                      <w:marTop w:val="0"/>
                      <w:marBottom w:val="0"/>
                      <w:divBdr>
                        <w:top w:val="none" w:sz="0" w:space="0" w:color="auto"/>
                        <w:left w:val="none" w:sz="0" w:space="0" w:color="auto"/>
                        <w:bottom w:val="none" w:sz="0" w:space="0" w:color="auto"/>
                        <w:right w:val="none" w:sz="0" w:space="0" w:color="auto"/>
                      </w:divBdr>
                      <w:divsChild>
                        <w:div w:id="484009297">
                          <w:marLeft w:val="0"/>
                          <w:marRight w:val="0"/>
                          <w:marTop w:val="0"/>
                          <w:marBottom w:val="0"/>
                          <w:divBdr>
                            <w:top w:val="none" w:sz="0" w:space="0" w:color="auto"/>
                            <w:left w:val="none" w:sz="0" w:space="0" w:color="auto"/>
                            <w:bottom w:val="none" w:sz="0" w:space="0" w:color="auto"/>
                            <w:right w:val="none" w:sz="0" w:space="0" w:color="auto"/>
                          </w:divBdr>
                          <w:divsChild>
                            <w:div w:id="1325166994">
                              <w:marLeft w:val="0"/>
                              <w:marRight w:val="0"/>
                              <w:marTop w:val="0"/>
                              <w:marBottom w:val="0"/>
                              <w:divBdr>
                                <w:top w:val="none" w:sz="0" w:space="0" w:color="auto"/>
                                <w:left w:val="none" w:sz="0" w:space="0" w:color="auto"/>
                                <w:bottom w:val="none" w:sz="0" w:space="0" w:color="auto"/>
                                <w:right w:val="none" w:sz="0" w:space="0" w:color="auto"/>
                              </w:divBdr>
                              <w:divsChild>
                                <w:div w:id="1814327382">
                                  <w:marLeft w:val="0"/>
                                  <w:marRight w:val="0"/>
                                  <w:marTop w:val="0"/>
                                  <w:marBottom w:val="0"/>
                                  <w:divBdr>
                                    <w:top w:val="none" w:sz="0" w:space="0" w:color="auto"/>
                                    <w:left w:val="none" w:sz="0" w:space="0" w:color="auto"/>
                                    <w:bottom w:val="none" w:sz="0" w:space="0" w:color="auto"/>
                                    <w:right w:val="none" w:sz="0" w:space="0" w:color="auto"/>
                                  </w:divBdr>
                                  <w:divsChild>
                                    <w:div w:id="12786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76833">
                          <w:marLeft w:val="0"/>
                          <w:marRight w:val="0"/>
                          <w:marTop w:val="0"/>
                          <w:marBottom w:val="0"/>
                          <w:divBdr>
                            <w:top w:val="none" w:sz="0" w:space="0" w:color="auto"/>
                            <w:left w:val="none" w:sz="0" w:space="0" w:color="auto"/>
                            <w:bottom w:val="none" w:sz="0" w:space="0" w:color="auto"/>
                            <w:right w:val="none" w:sz="0" w:space="0" w:color="auto"/>
                          </w:divBdr>
                          <w:divsChild>
                            <w:div w:id="1238637351">
                              <w:marLeft w:val="0"/>
                              <w:marRight w:val="0"/>
                              <w:marTop w:val="0"/>
                              <w:marBottom w:val="0"/>
                              <w:divBdr>
                                <w:top w:val="none" w:sz="0" w:space="0" w:color="auto"/>
                                <w:left w:val="none" w:sz="0" w:space="0" w:color="auto"/>
                                <w:bottom w:val="none" w:sz="0" w:space="0" w:color="auto"/>
                                <w:right w:val="none" w:sz="0" w:space="0" w:color="auto"/>
                              </w:divBdr>
                              <w:divsChild>
                                <w:div w:id="1646932660">
                                  <w:marLeft w:val="0"/>
                                  <w:marRight w:val="0"/>
                                  <w:marTop w:val="0"/>
                                  <w:marBottom w:val="0"/>
                                  <w:divBdr>
                                    <w:top w:val="none" w:sz="0" w:space="0" w:color="auto"/>
                                    <w:left w:val="none" w:sz="0" w:space="0" w:color="auto"/>
                                    <w:bottom w:val="none" w:sz="0" w:space="0" w:color="auto"/>
                                    <w:right w:val="none" w:sz="0" w:space="0" w:color="auto"/>
                                  </w:divBdr>
                                  <w:divsChild>
                                    <w:div w:id="18765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763218">
                  <w:marLeft w:val="0"/>
                  <w:marRight w:val="0"/>
                  <w:marTop w:val="0"/>
                  <w:marBottom w:val="0"/>
                  <w:divBdr>
                    <w:top w:val="none" w:sz="0" w:space="0" w:color="auto"/>
                    <w:left w:val="none" w:sz="0" w:space="0" w:color="auto"/>
                    <w:bottom w:val="none" w:sz="0" w:space="0" w:color="auto"/>
                    <w:right w:val="none" w:sz="0" w:space="0" w:color="auto"/>
                  </w:divBdr>
                  <w:divsChild>
                    <w:div w:id="250168928">
                      <w:marLeft w:val="0"/>
                      <w:marRight w:val="0"/>
                      <w:marTop w:val="0"/>
                      <w:marBottom w:val="0"/>
                      <w:divBdr>
                        <w:top w:val="none" w:sz="0" w:space="0" w:color="auto"/>
                        <w:left w:val="none" w:sz="0" w:space="0" w:color="auto"/>
                        <w:bottom w:val="none" w:sz="0" w:space="0" w:color="auto"/>
                        <w:right w:val="none" w:sz="0" w:space="0" w:color="auto"/>
                      </w:divBdr>
                      <w:divsChild>
                        <w:div w:id="1951665033">
                          <w:marLeft w:val="0"/>
                          <w:marRight w:val="0"/>
                          <w:marTop w:val="0"/>
                          <w:marBottom w:val="0"/>
                          <w:divBdr>
                            <w:top w:val="none" w:sz="0" w:space="0" w:color="auto"/>
                            <w:left w:val="none" w:sz="0" w:space="0" w:color="auto"/>
                            <w:bottom w:val="none" w:sz="0" w:space="0" w:color="auto"/>
                            <w:right w:val="none" w:sz="0" w:space="0" w:color="auto"/>
                          </w:divBdr>
                          <w:divsChild>
                            <w:div w:id="1737630682">
                              <w:marLeft w:val="0"/>
                              <w:marRight w:val="0"/>
                              <w:marTop w:val="0"/>
                              <w:marBottom w:val="0"/>
                              <w:divBdr>
                                <w:top w:val="none" w:sz="0" w:space="0" w:color="auto"/>
                                <w:left w:val="none" w:sz="0" w:space="0" w:color="auto"/>
                                <w:bottom w:val="none" w:sz="0" w:space="0" w:color="auto"/>
                                <w:right w:val="none" w:sz="0" w:space="0" w:color="auto"/>
                              </w:divBdr>
                              <w:divsChild>
                                <w:div w:id="7488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671729">
          <w:marLeft w:val="0"/>
          <w:marRight w:val="0"/>
          <w:marTop w:val="0"/>
          <w:marBottom w:val="0"/>
          <w:divBdr>
            <w:top w:val="none" w:sz="0" w:space="0" w:color="auto"/>
            <w:left w:val="none" w:sz="0" w:space="0" w:color="auto"/>
            <w:bottom w:val="none" w:sz="0" w:space="0" w:color="auto"/>
            <w:right w:val="none" w:sz="0" w:space="0" w:color="auto"/>
          </w:divBdr>
          <w:divsChild>
            <w:div w:id="38285036">
              <w:marLeft w:val="0"/>
              <w:marRight w:val="0"/>
              <w:marTop w:val="0"/>
              <w:marBottom w:val="0"/>
              <w:divBdr>
                <w:top w:val="none" w:sz="0" w:space="0" w:color="auto"/>
                <w:left w:val="none" w:sz="0" w:space="0" w:color="auto"/>
                <w:bottom w:val="none" w:sz="0" w:space="0" w:color="auto"/>
                <w:right w:val="none" w:sz="0" w:space="0" w:color="auto"/>
              </w:divBdr>
              <w:divsChild>
                <w:div w:id="1893231917">
                  <w:marLeft w:val="0"/>
                  <w:marRight w:val="0"/>
                  <w:marTop w:val="0"/>
                  <w:marBottom w:val="0"/>
                  <w:divBdr>
                    <w:top w:val="none" w:sz="0" w:space="0" w:color="auto"/>
                    <w:left w:val="none" w:sz="0" w:space="0" w:color="auto"/>
                    <w:bottom w:val="none" w:sz="0" w:space="0" w:color="auto"/>
                    <w:right w:val="none" w:sz="0" w:space="0" w:color="auto"/>
                  </w:divBdr>
                  <w:divsChild>
                    <w:div w:id="324864424">
                      <w:marLeft w:val="0"/>
                      <w:marRight w:val="0"/>
                      <w:marTop w:val="0"/>
                      <w:marBottom w:val="0"/>
                      <w:divBdr>
                        <w:top w:val="none" w:sz="0" w:space="0" w:color="auto"/>
                        <w:left w:val="none" w:sz="0" w:space="0" w:color="auto"/>
                        <w:bottom w:val="none" w:sz="0" w:space="0" w:color="auto"/>
                        <w:right w:val="none" w:sz="0" w:space="0" w:color="auto"/>
                      </w:divBdr>
                      <w:divsChild>
                        <w:div w:id="1290042234">
                          <w:marLeft w:val="0"/>
                          <w:marRight w:val="0"/>
                          <w:marTop w:val="0"/>
                          <w:marBottom w:val="0"/>
                          <w:divBdr>
                            <w:top w:val="none" w:sz="0" w:space="0" w:color="auto"/>
                            <w:left w:val="none" w:sz="0" w:space="0" w:color="auto"/>
                            <w:bottom w:val="none" w:sz="0" w:space="0" w:color="auto"/>
                            <w:right w:val="none" w:sz="0" w:space="0" w:color="auto"/>
                          </w:divBdr>
                          <w:divsChild>
                            <w:div w:id="1762873325">
                              <w:marLeft w:val="0"/>
                              <w:marRight w:val="0"/>
                              <w:marTop w:val="0"/>
                              <w:marBottom w:val="0"/>
                              <w:divBdr>
                                <w:top w:val="none" w:sz="0" w:space="0" w:color="auto"/>
                                <w:left w:val="none" w:sz="0" w:space="0" w:color="auto"/>
                                <w:bottom w:val="none" w:sz="0" w:space="0" w:color="auto"/>
                                <w:right w:val="none" w:sz="0" w:space="0" w:color="auto"/>
                              </w:divBdr>
                              <w:divsChild>
                                <w:div w:id="111562420">
                                  <w:marLeft w:val="0"/>
                                  <w:marRight w:val="0"/>
                                  <w:marTop w:val="0"/>
                                  <w:marBottom w:val="0"/>
                                  <w:divBdr>
                                    <w:top w:val="none" w:sz="0" w:space="0" w:color="auto"/>
                                    <w:left w:val="none" w:sz="0" w:space="0" w:color="auto"/>
                                    <w:bottom w:val="none" w:sz="0" w:space="0" w:color="auto"/>
                                    <w:right w:val="none" w:sz="0" w:space="0" w:color="auto"/>
                                  </w:divBdr>
                                  <w:divsChild>
                                    <w:div w:id="1545024462">
                                      <w:marLeft w:val="0"/>
                                      <w:marRight w:val="0"/>
                                      <w:marTop w:val="0"/>
                                      <w:marBottom w:val="0"/>
                                      <w:divBdr>
                                        <w:top w:val="none" w:sz="0" w:space="0" w:color="auto"/>
                                        <w:left w:val="none" w:sz="0" w:space="0" w:color="auto"/>
                                        <w:bottom w:val="none" w:sz="0" w:space="0" w:color="auto"/>
                                        <w:right w:val="none" w:sz="0" w:space="0" w:color="auto"/>
                                      </w:divBdr>
                                      <w:divsChild>
                                        <w:div w:id="949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398138">
          <w:marLeft w:val="0"/>
          <w:marRight w:val="0"/>
          <w:marTop w:val="0"/>
          <w:marBottom w:val="0"/>
          <w:divBdr>
            <w:top w:val="none" w:sz="0" w:space="0" w:color="auto"/>
            <w:left w:val="none" w:sz="0" w:space="0" w:color="auto"/>
            <w:bottom w:val="none" w:sz="0" w:space="0" w:color="auto"/>
            <w:right w:val="none" w:sz="0" w:space="0" w:color="auto"/>
          </w:divBdr>
          <w:divsChild>
            <w:div w:id="177279322">
              <w:marLeft w:val="0"/>
              <w:marRight w:val="0"/>
              <w:marTop w:val="0"/>
              <w:marBottom w:val="0"/>
              <w:divBdr>
                <w:top w:val="none" w:sz="0" w:space="0" w:color="auto"/>
                <w:left w:val="none" w:sz="0" w:space="0" w:color="auto"/>
                <w:bottom w:val="none" w:sz="0" w:space="0" w:color="auto"/>
                <w:right w:val="none" w:sz="0" w:space="0" w:color="auto"/>
              </w:divBdr>
              <w:divsChild>
                <w:div w:id="332152346">
                  <w:marLeft w:val="0"/>
                  <w:marRight w:val="0"/>
                  <w:marTop w:val="0"/>
                  <w:marBottom w:val="0"/>
                  <w:divBdr>
                    <w:top w:val="none" w:sz="0" w:space="0" w:color="auto"/>
                    <w:left w:val="none" w:sz="0" w:space="0" w:color="auto"/>
                    <w:bottom w:val="none" w:sz="0" w:space="0" w:color="auto"/>
                    <w:right w:val="none" w:sz="0" w:space="0" w:color="auto"/>
                  </w:divBdr>
                  <w:divsChild>
                    <w:div w:id="1440756503">
                      <w:marLeft w:val="0"/>
                      <w:marRight w:val="0"/>
                      <w:marTop w:val="0"/>
                      <w:marBottom w:val="0"/>
                      <w:divBdr>
                        <w:top w:val="none" w:sz="0" w:space="0" w:color="auto"/>
                        <w:left w:val="none" w:sz="0" w:space="0" w:color="auto"/>
                        <w:bottom w:val="none" w:sz="0" w:space="0" w:color="auto"/>
                        <w:right w:val="none" w:sz="0" w:space="0" w:color="auto"/>
                      </w:divBdr>
                      <w:divsChild>
                        <w:div w:id="1275363322">
                          <w:marLeft w:val="0"/>
                          <w:marRight w:val="0"/>
                          <w:marTop w:val="0"/>
                          <w:marBottom w:val="0"/>
                          <w:divBdr>
                            <w:top w:val="none" w:sz="0" w:space="0" w:color="auto"/>
                            <w:left w:val="none" w:sz="0" w:space="0" w:color="auto"/>
                            <w:bottom w:val="none" w:sz="0" w:space="0" w:color="auto"/>
                            <w:right w:val="none" w:sz="0" w:space="0" w:color="auto"/>
                          </w:divBdr>
                          <w:divsChild>
                            <w:div w:id="47922002">
                              <w:marLeft w:val="0"/>
                              <w:marRight w:val="0"/>
                              <w:marTop w:val="0"/>
                              <w:marBottom w:val="0"/>
                              <w:divBdr>
                                <w:top w:val="none" w:sz="0" w:space="0" w:color="auto"/>
                                <w:left w:val="none" w:sz="0" w:space="0" w:color="auto"/>
                                <w:bottom w:val="none" w:sz="0" w:space="0" w:color="auto"/>
                                <w:right w:val="none" w:sz="0" w:space="0" w:color="auto"/>
                              </w:divBdr>
                              <w:divsChild>
                                <w:div w:id="1313831287">
                                  <w:marLeft w:val="0"/>
                                  <w:marRight w:val="0"/>
                                  <w:marTop w:val="0"/>
                                  <w:marBottom w:val="0"/>
                                  <w:divBdr>
                                    <w:top w:val="none" w:sz="0" w:space="0" w:color="auto"/>
                                    <w:left w:val="none" w:sz="0" w:space="0" w:color="auto"/>
                                    <w:bottom w:val="none" w:sz="0" w:space="0" w:color="auto"/>
                                    <w:right w:val="none" w:sz="0" w:space="0" w:color="auto"/>
                                  </w:divBdr>
                                  <w:divsChild>
                                    <w:div w:id="993491745">
                                      <w:marLeft w:val="0"/>
                                      <w:marRight w:val="0"/>
                                      <w:marTop w:val="0"/>
                                      <w:marBottom w:val="0"/>
                                      <w:divBdr>
                                        <w:top w:val="none" w:sz="0" w:space="0" w:color="auto"/>
                                        <w:left w:val="none" w:sz="0" w:space="0" w:color="auto"/>
                                        <w:bottom w:val="none" w:sz="0" w:space="0" w:color="auto"/>
                                        <w:right w:val="none" w:sz="0" w:space="0" w:color="auto"/>
                                      </w:divBdr>
                                      <w:divsChild>
                                        <w:div w:id="16006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374886">
          <w:marLeft w:val="0"/>
          <w:marRight w:val="0"/>
          <w:marTop w:val="0"/>
          <w:marBottom w:val="0"/>
          <w:divBdr>
            <w:top w:val="none" w:sz="0" w:space="0" w:color="auto"/>
            <w:left w:val="none" w:sz="0" w:space="0" w:color="auto"/>
            <w:bottom w:val="none" w:sz="0" w:space="0" w:color="auto"/>
            <w:right w:val="none" w:sz="0" w:space="0" w:color="auto"/>
          </w:divBdr>
          <w:divsChild>
            <w:div w:id="217863806">
              <w:marLeft w:val="0"/>
              <w:marRight w:val="0"/>
              <w:marTop w:val="0"/>
              <w:marBottom w:val="0"/>
              <w:divBdr>
                <w:top w:val="none" w:sz="0" w:space="0" w:color="auto"/>
                <w:left w:val="none" w:sz="0" w:space="0" w:color="auto"/>
                <w:bottom w:val="none" w:sz="0" w:space="0" w:color="auto"/>
                <w:right w:val="none" w:sz="0" w:space="0" w:color="auto"/>
              </w:divBdr>
              <w:divsChild>
                <w:div w:id="1781102931">
                  <w:marLeft w:val="0"/>
                  <w:marRight w:val="0"/>
                  <w:marTop w:val="0"/>
                  <w:marBottom w:val="0"/>
                  <w:divBdr>
                    <w:top w:val="none" w:sz="0" w:space="0" w:color="auto"/>
                    <w:left w:val="none" w:sz="0" w:space="0" w:color="auto"/>
                    <w:bottom w:val="none" w:sz="0" w:space="0" w:color="auto"/>
                    <w:right w:val="none" w:sz="0" w:space="0" w:color="auto"/>
                  </w:divBdr>
                  <w:divsChild>
                    <w:div w:id="2100179717">
                      <w:marLeft w:val="0"/>
                      <w:marRight w:val="0"/>
                      <w:marTop w:val="0"/>
                      <w:marBottom w:val="0"/>
                      <w:divBdr>
                        <w:top w:val="none" w:sz="0" w:space="0" w:color="auto"/>
                        <w:left w:val="none" w:sz="0" w:space="0" w:color="auto"/>
                        <w:bottom w:val="none" w:sz="0" w:space="0" w:color="auto"/>
                        <w:right w:val="none" w:sz="0" w:space="0" w:color="auto"/>
                      </w:divBdr>
                      <w:divsChild>
                        <w:div w:id="133761708">
                          <w:marLeft w:val="0"/>
                          <w:marRight w:val="0"/>
                          <w:marTop w:val="0"/>
                          <w:marBottom w:val="0"/>
                          <w:divBdr>
                            <w:top w:val="none" w:sz="0" w:space="0" w:color="auto"/>
                            <w:left w:val="none" w:sz="0" w:space="0" w:color="auto"/>
                            <w:bottom w:val="none" w:sz="0" w:space="0" w:color="auto"/>
                            <w:right w:val="none" w:sz="0" w:space="0" w:color="auto"/>
                          </w:divBdr>
                          <w:divsChild>
                            <w:div w:id="333385959">
                              <w:marLeft w:val="0"/>
                              <w:marRight w:val="0"/>
                              <w:marTop w:val="0"/>
                              <w:marBottom w:val="0"/>
                              <w:divBdr>
                                <w:top w:val="none" w:sz="0" w:space="0" w:color="auto"/>
                                <w:left w:val="none" w:sz="0" w:space="0" w:color="auto"/>
                                <w:bottom w:val="none" w:sz="0" w:space="0" w:color="auto"/>
                                <w:right w:val="none" w:sz="0" w:space="0" w:color="auto"/>
                              </w:divBdr>
                              <w:divsChild>
                                <w:div w:id="912544004">
                                  <w:marLeft w:val="0"/>
                                  <w:marRight w:val="0"/>
                                  <w:marTop w:val="0"/>
                                  <w:marBottom w:val="0"/>
                                  <w:divBdr>
                                    <w:top w:val="none" w:sz="0" w:space="0" w:color="auto"/>
                                    <w:left w:val="none" w:sz="0" w:space="0" w:color="auto"/>
                                    <w:bottom w:val="none" w:sz="0" w:space="0" w:color="auto"/>
                                    <w:right w:val="none" w:sz="0" w:space="0" w:color="auto"/>
                                  </w:divBdr>
                                  <w:divsChild>
                                    <w:div w:id="31997320">
                                      <w:marLeft w:val="0"/>
                                      <w:marRight w:val="0"/>
                                      <w:marTop w:val="0"/>
                                      <w:marBottom w:val="0"/>
                                      <w:divBdr>
                                        <w:top w:val="none" w:sz="0" w:space="0" w:color="auto"/>
                                        <w:left w:val="none" w:sz="0" w:space="0" w:color="auto"/>
                                        <w:bottom w:val="none" w:sz="0" w:space="0" w:color="auto"/>
                                        <w:right w:val="none" w:sz="0" w:space="0" w:color="auto"/>
                                      </w:divBdr>
                                      <w:divsChild>
                                        <w:div w:id="18423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857737">
          <w:marLeft w:val="0"/>
          <w:marRight w:val="0"/>
          <w:marTop w:val="0"/>
          <w:marBottom w:val="0"/>
          <w:divBdr>
            <w:top w:val="none" w:sz="0" w:space="0" w:color="auto"/>
            <w:left w:val="none" w:sz="0" w:space="0" w:color="auto"/>
            <w:bottom w:val="none" w:sz="0" w:space="0" w:color="auto"/>
            <w:right w:val="none" w:sz="0" w:space="0" w:color="auto"/>
          </w:divBdr>
          <w:divsChild>
            <w:div w:id="543641564">
              <w:marLeft w:val="0"/>
              <w:marRight w:val="0"/>
              <w:marTop w:val="0"/>
              <w:marBottom w:val="0"/>
              <w:divBdr>
                <w:top w:val="none" w:sz="0" w:space="0" w:color="auto"/>
                <w:left w:val="none" w:sz="0" w:space="0" w:color="auto"/>
                <w:bottom w:val="none" w:sz="0" w:space="0" w:color="auto"/>
                <w:right w:val="none" w:sz="0" w:space="0" w:color="auto"/>
              </w:divBdr>
              <w:divsChild>
                <w:div w:id="374619124">
                  <w:marLeft w:val="0"/>
                  <w:marRight w:val="0"/>
                  <w:marTop w:val="0"/>
                  <w:marBottom w:val="0"/>
                  <w:divBdr>
                    <w:top w:val="none" w:sz="0" w:space="0" w:color="auto"/>
                    <w:left w:val="none" w:sz="0" w:space="0" w:color="auto"/>
                    <w:bottom w:val="none" w:sz="0" w:space="0" w:color="auto"/>
                    <w:right w:val="none" w:sz="0" w:space="0" w:color="auto"/>
                  </w:divBdr>
                  <w:divsChild>
                    <w:div w:id="64645808">
                      <w:marLeft w:val="0"/>
                      <w:marRight w:val="0"/>
                      <w:marTop w:val="0"/>
                      <w:marBottom w:val="0"/>
                      <w:divBdr>
                        <w:top w:val="none" w:sz="0" w:space="0" w:color="auto"/>
                        <w:left w:val="none" w:sz="0" w:space="0" w:color="auto"/>
                        <w:bottom w:val="none" w:sz="0" w:space="0" w:color="auto"/>
                        <w:right w:val="none" w:sz="0" w:space="0" w:color="auto"/>
                      </w:divBdr>
                      <w:divsChild>
                        <w:div w:id="15231024">
                          <w:marLeft w:val="0"/>
                          <w:marRight w:val="0"/>
                          <w:marTop w:val="0"/>
                          <w:marBottom w:val="0"/>
                          <w:divBdr>
                            <w:top w:val="none" w:sz="0" w:space="0" w:color="auto"/>
                            <w:left w:val="none" w:sz="0" w:space="0" w:color="auto"/>
                            <w:bottom w:val="none" w:sz="0" w:space="0" w:color="auto"/>
                            <w:right w:val="none" w:sz="0" w:space="0" w:color="auto"/>
                          </w:divBdr>
                          <w:divsChild>
                            <w:div w:id="349644299">
                              <w:marLeft w:val="0"/>
                              <w:marRight w:val="0"/>
                              <w:marTop w:val="0"/>
                              <w:marBottom w:val="0"/>
                              <w:divBdr>
                                <w:top w:val="none" w:sz="0" w:space="0" w:color="auto"/>
                                <w:left w:val="none" w:sz="0" w:space="0" w:color="auto"/>
                                <w:bottom w:val="none" w:sz="0" w:space="0" w:color="auto"/>
                                <w:right w:val="none" w:sz="0" w:space="0" w:color="auto"/>
                              </w:divBdr>
                              <w:divsChild>
                                <w:div w:id="1017387958">
                                  <w:marLeft w:val="0"/>
                                  <w:marRight w:val="0"/>
                                  <w:marTop w:val="0"/>
                                  <w:marBottom w:val="0"/>
                                  <w:divBdr>
                                    <w:top w:val="none" w:sz="0" w:space="0" w:color="auto"/>
                                    <w:left w:val="none" w:sz="0" w:space="0" w:color="auto"/>
                                    <w:bottom w:val="none" w:sz="0" w:space="0" w:color="auto"/>
                                    <w:right w:val="none" w:sz="0" w:space="0" w:color="auto"/>
                                  </w:divBdr>
                                  <w:divsChild>
                                    <w:div w:id="8810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91824">
                          <w:marLeft w:val="0"/>
                          <w:marRight w:val="0"/>
                          <w:marTop w:val="0"/>
                          <w:marBottom w:val="0"/>
                          <w:divBdr>
                            <w:top w:val="none" w:sz="0" w:space="0" w:color="auto"/>
                            <w:left w:val="none" w:sz="0" w:space="0" w:color="auto"/>
                            <w:bottom w:val="none" w:sz="0" w:space="0" w:color="auto"/>
                            <w:right w:val="none" w:sz="0" w:space="0" w:color="auto"/>
                          </w:divBdr>
                          <w:divsChild>
                            <w:div w:id="91166177">
                              <w:marLeft w:val="0"/>
                              <w:marRight w:val="0"/>
                              <w:marTop w:val="0"/>
                              <w:marBottom w:val="0"/>
                              <w:divBdr>
                                <w:top w:val="none" w:sz="0" w:space="0" w:color="auto"/>
                                <w:left w:val="none" w:sz="0" w:space="0" w:color="auto"/>
                                <w:bottom w:val="none" w:sz="0" w:space="0" w:color="auto"/>
                                <w:right w:val="none" w:sz="0" w:space="0" w:color="auto"/>
                              </w:divBdr>
                              <w:divsChild>
                                <w:div w:id="473760318">
                                  <w:marLeft w:val="0"/>
                                  <w:marRight w:val="0"/>
                                  <w:marTop w:val="0"/>
                                  <w:marBottom w:val="0"/>
                                  <w:divBdr>
                                    <w:top w:val="none" w:sz="0" w:space="0" w:color="auto"/>
                                    <w:left w:val="none" w:sz="0" w:space="0" w:color="auto"/>
                                    <w:bottom w:val="none" w:sz="0" w:space="0" w:color="auto"/>
                                    <w:right w:val="none" w:sz="0" w:space="0" w:color="auto"/>
                                  </w:divBdr>
                                  <w:divsChild>
                                    <w:div w:id="7893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740148">
                  <w:marLeft w:val="0"/>
                  <w:marRight w:val="0"/>
                  <w:marTop w:val="0"/>
                  <w:marBottom w:val="0"/>
                  <w:divBdr>
                    <w:top w:val="none" w:sz="0" w:space="0" w:color="auto"/>
                    <w:left w:val="none" w:sz="0" w:space="0" w:color="auto"/>
                    <w:bottom w:val="none" w:sz="0" w:space="0" w:color="auto"/>
                    <w:right w:val="none" w:sz="0" w:space="0" w:color="auto"/>
                  </w:divBdr>
                  <w:divsChild>
                    <w:div w:id="1872766059">
                      <w:marLeft w:val="0"/>
                      <w:marRight w:val="0"/>
                      <w:marTop w:val="0"/>
                      <w:marBottom w:val="0"/>
                      <w:divBdr>
                        <w:top w:val="none" w:sz="0" w:space="0" w:color="auto"/>
                        <w:left w:val="none" w:sz="0" w:space="0" w:color="auto"/>
                        <w:bottom w:val="none" w:sz="0" w:space="0" w:color="auto"/>
                        <w:right w:val="none" w:sz="0" w:space="0" w:color="auto"/>
                      </w:divBdr>
                      <w:divsChild>
                        <w:div w:id="1133477326">
                          <w:marLeft w:val="0"/>
                          <w:marRight w:val="0"/>
                          <w:marTop w:val="0"/>
                          <w:marBottom w:val="0"/>
                          <w:divBdr>
                            <w:top w:val="none" w:sz="0" w:space="0" w:color="auto"/>
                            <w:left w:val="none" w:sz="0" w:space="0" w:color="auto"/>
                            <w:bottom w:val="none" w:sz="0" w:space="0" w:color="auto"/>
                            <w:right w:val="none" w:sz="0" w:space="0" w:color="auto"/>
                          </w:divBdr>
                          <w:divsChild>
                            <w:div w:id="1379937879">
                              <w:marLeft w:val="0"/>
                              <w:marRight w:val="0"/>
                              <w:marTop w:val="0"/>
                              <w:marBottom w:val="0"/>
                              <w:divBdr>
                                <w:top w:val="none" w:sz="0" w:space="0" w:color="auto"/>
                                <w:left w:val="none" w:sz="0" w:space="0" w:color="auto"/>
                                <w:bottom w:val="none" w:sz="0" w:space="0" w:color="auto"/>
                                <w:right w:val="none" w:sz="0" w:space="0" w:color="auto"/>
                              </w:divBdr>
                              <w:divsChild>
                                <w:div w:id="1841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425664">
          <w:marLeft w:val="0"/>
          <w:marRight w:val="0"/>
          <w:marTop w:val="0"/>
          <w:marBottom w:val="0"/>
          <w:divBdr>
            <w:top w:val="none" w:sz="0" w:space="0" w:color="auto"/>
            <w:left w:val="none" w:sz="0" w:space="0" w:color="auto"/>
            <w:bottom w:val="none" w:sz="0" w:space="0" w:color="auto"/>
            <w:right w:val="none" w:sz="0" w:space="0" w:color="auto"/>
          </w:divBdr>
          <w:divsChild>
            <w:div w:id="1198279300">
              <w:marLeft w:val="0"/>
              <w:marRight w:val="0"/>
              <w:marTop w:val="0"/>
              <w:marBottom w:val="0"/>
              <w:divBdr>
                <w:top w:val="none" w:sz="0" w:space="0" w:color="auto"/>
                <w:left w:val="none" w:sz="0" w:space="0" w:color="auto"/>
                <w:bottom w:val="none" w:sz="0" w:space="0" w:color="auto"/>
                <w:right w:val="none" w:sz="0" w:space="0" w:color="auto"/>
              </w:divBdr>
              <w:divsChild>
                <w:div w:id="1013074687">
                  <w:marLeft w:val="0"/>
                  <w:marRight w:val="0"/>
                  <w:marTop w:val="0"/>
                  <w:marBottom w:val="0"/>
                  <w:divBdr>
                    <w:top w:val="none" w:sz="0" w:space="0" w:color="auto"/>
                    <w:left w:val="none" w:sz="0" w:space="0" w:color="auto"/>
                    <w:bottom w:val="none" w:sz="0" w:space="0" w:color="auto"/>
                    <w:right w:val="none" w:sz="0" w:space="0" w:color="auto"/>
                  </w:divBdr>
                  <w:divsChild>
                    <w:div w:id="508521618">
                      <w:marLeft w:val="0"/>
                      <w:marRight w:val="0"/>
                      <w:marTop w:val="0"/>
                      <w:marBottom w:val="0"/>
                      <w:divBdr>
                        <w:top w:val="none" w:sz="0" w:space="0" w:color="auto"/>
                        <w:left w:val="none" w:sz="0" w:space="0" w:color="auto"/>
                        <w:bottom w:val="none" w:sz="0" w:space="0" w:color="auto"/>
                        <w:right w:val="none" w:sz="0" w:space="0" w:color="auto"/>
                      </w:divBdr>
                      <w:divsChild>
                        <w:div w:id="511069090">
                          <w:marLeft w:val="0"/>
                          <w:marRight w:val="0"/>
                          <w:marTop w:val="0"/>
                          <w:marBottom w:val="0"/>
                          <w:divBdr>
                            <w:top w:val="none" w:sz="0" w:space="0" w:color="auto"/>
                            <w:left w:val="none" w:sz="0" w:space="0" w:color="auto"/>
                            <w:bottom w:val="none" w:sz="0" w:space="0" w:color="auto"/>
                            <w:right w:val="none" w:sz="0" w:space="0" w:color="auto"/>
                          </w:divBdr>
                          <w:divsChild>
                            <w:div w:id="483594525">
                              <w:marLeft w:val="0"/>
                              <w:marRight w:val="0"/>
                              <w:marTop w:val="0"/>
                              <w:marBottom w:val="0"/>
                              <w:divBdr>
                                <w:top w:val="none" w:sz="0" w:space="0" w:color="auto"/>
                                <w:left w:val="none" w:sz="0" w:space="0" w:color="auto"/>
                                <w:bottom w:val="none" w:sz="0" w:space="0" w:color="auto"/>
                                <w:right w:val="none" w:sz="0" w:space="0" w:color="auto"/>
                              </w:divBdr>
                              <w:divsChild>
                                <w:div w:id="396318617">
                                  <w:marLeft w:val="0"/>
                                  <w:marRight w:val="0"/>
                                  <w:marTop w:val="0"/>
                                  <w:marBottom w:val="0"/>
                                  <w:divBdr>
                                    <w:top w:val="none" w:sz="0" w:space="0" w:color="auto"/>
                                    <w:left w:val="none" w:sz="0" w:space="0" w:color="auto"/>
                                    <w:bottom w:val="none" w:sz="0" w:space="0" w:color="auto"/>
                                    <w:right w:val="none" w:sz="0" w:space="0" w:color="auto"/>
                                  </w:divBdr>
                                  <w:divsChild>
                                    <w:div w:id="926620287">
                                      <w:marLeft w:val="0"/>
                                      <w:marRight w:val="0"/>
                                      <w:marTop w:val="0"/>
                                      <w:marBottom w:val="0"/>
                                      <w:divBdr>
                                        <w:top w:val="none" w:sz="0" w:space="0" w:color="auto"/>
                                        <w:left w:val="none" w:sz="0" w:space="0" w:color="auto"/>
                                        <w:bottom w:val="none" w:sz="0" w:space="0" w:color="auto"/>
                                        <w:right w:val="none" w:sz="0" w:space="0" w:color="auto"/>
                                      </w:divBdr>
                                      <w:divsChild>
                                        <w:div w:id="21123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538255">
          <w:marLeft w:val="0"/>
          <w:marRight w:val="0"/>
          <w:marTop w:val="0"/>
          <w:marBottom w:val="0"/>
          <w:divBdr>
            <w:top w:val="none" w:sz="0" w:space="0" w:color="auto"/>
            <w:left w:val="none" w:sz="0" w:space="0" w:color="auto"/>
            <w:bottom w:val="none" w:sz="0" w:space="0" w:color="auto"/>
            <w:right w:val="none" w:sz="0" w:space="0" w:color="auto"/>
          </w:divBdr>
          <w:divsChild>
            <w:div w:id="1930842717">
              <w:marLeft w:val="0"/>
              <w:marRight w:val="0"/>
              <w:marTop w:val="0"/>
              <w:marBottom w:val="0"/>
              <w:divBdr>
                <w:top w:val="none" w:sz="0" w:space="0" w:color="auto"/>
                <w:left w:val="none" w:sz="0" w:space="0" w:color="auto"/>
                <w:bottom w:val="none" w:sz="0" w:space="0" w:color="auto"/>
                <w:right w:val="none" w:sz="0" w:space="0" w:color="auto"/>
              </w:divBdr>
              <w:divsChild>
                <w:div w:id="1103767798">
                  <w:marLeft w:val="0"/>
                  <w:marRight w:val="0"/>
                  <w:marTop w:val="0"/>
                  <w:marBottom w:val="0"/>
                  <w:divBdr>
                    <w:top w:val="none" w:sz="0" w:space="0" w:color="auto"/>
                    <w:left w:val="none" w:sz="0" w:space="0" w:color="auto"/>
                    <w:bottom w:val="none" w:sz="0" w:space="0" w:color="auto"/>
                    <w:right w:val="none" w:sz="0" w:space="0" w:color="auto"/>
                  </w:divBdr>
                  <w:divsChild>
                    <w:div w:id="325671934">
                      <w:marLeft w:val="0"/>
                      <w:marRight w:val="0"/>
                      <w:marTop w:val="0"/>
                      <w:marBottom w:val="0"/>
                      <w:divBdr>
                        <w:top w:val="none" w:sz="0" w:space="0" w:color="auto"/>
                        <w:left w:val="none" w:sz="0" w:space="0" w:color="auto"/>
                        <w:bottom w:val="none" w:sz="0" w:space="0" w:color="auto"/>
                        <w:right w:val="none" w:sz="0" w:space="0" w:color="auto"/>
                      </w:divBdr>
                      <w:divsChild>
                        <w:div w:id="1128933045">
                          <w:marLeft w:val="0"/>
                          <w:marRight w:val="0"/>
                          <w:marTop w:val="0"/>
                          <w:marBottom w:val="0"/>
                          <w:divBdr>
                            <w:top w:val="none" w:sz="0" w:space="0" w:color="auto"/>
                            <w:left w:val="none" w:sz="0" w:space="0" w:color="auto"/>
                            <w:bottom w:val="none" w:sz="0" w:space="0" w:color="auto"/>
                            <w:right w:val="none" w:sz="0" w:space="0" w:color="auto"/>
                          </w:divBdr>
                          <w:divsChild>
                            <w:div w:id="637997773">
                              <w:marLeft w:val="0"/>
                              <w:marRight w:val="0"/>
                              <w:marTop w:val="0"/>
                              <w:marBottom w:val="0"/>
                              <w:divBdr>
                                <w:top w:val="none" w:sz="0" w:space="0" w:color="auto"/>
                                <w:left w:val="none" w:sz="0" w:space="0" w:color="auto"/>
                                <w:bottom w:val="none" w:sz="0" w:space="0" w:color="auto"/>
                                <w:right w:val="none" w:sz="0" w:space="0" w:color="auto"/>
                              </w:divBdr>
                              <w:divsChild>
                                <w:div w:id="1568102314">
                                  <w:marLeft w:val="0"/>
                                  <w:marRight w:val="0"/>
                                  <w:marTop w:val="0"/>
                                  <w:marBottom w:val="0"/>
                                  <w:divBdr>
                                    <w:top w:val="none" w:sz="0" w:space="0" w:color="auto"/>
                                    <w:left w:val="none" w:sz="0" w:space="0" w:color="auto"/>
                                    <w:bottom w:val="none" w:sz="0" w:space="0" w:color="auto"/>
                                    <w:right w:val="none" w:sz="0" w:space="0" w:color="auto"/>
                                  </w:divBdr>
                                  <w:divsChild>
                                    <w:div w:id="12640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4384">
                          <w:marLeft w:val="0"/>
                          <w:marRight w:val="0"/>
                          <w:marTop w:val="0"/>
                          <w:marBottom w:val="0"/>
                          <w:divBdr>
                            <w:top w:val="none" w:sz="0" w:space="0" w:color="auto"/>
                            <w:left w:val="none" w:sz="0" w:space="0" w:color="auto"/>
                            <w:bottom w:val="none" w:sz="0" w:space="0" w:color="auto"/>
                            <w:right w:val="none" w:sz="0" w:space="0" w:color="auto"/>
                          </w:divBdr>
                          <w:divsChild>
                            <w:div w:id="1559395489">
                              <w:marLeft w:val="0"/>
                              <w:marRight w:val="0"/>
                              <w:marTop w:val="0"/>
                              <w:marBottom w:val="0"/>
                              <w:divBdr>
                                <w:top w:val="none" w:sz="0" w:space="0" w:color="auto"/>
                                <w:left w:val="none" w:sz="0" w:space="0" w:color="auto"/>
                                <w:bottom w:val="none" w:sz="0" w:space="0" w:color="auto"/>
                                <w:right w:val="none" w:sz="0" w:space="0" w:color="auto"/>
                              </w:divBdr>
                              <w:divsChild>
                                <w:div w:id="1900049435">
                                  <w:marLeft w:val="0"/>
                                  <w:marRight w:val="0"/>
                                  <w:marTop w:val="0"/>
                                  <w:marBottom w:val="0"/>
                                  <w:divBdr>
                                    <w:top w:val="none" w:sz="0" w:space="0" w:color="auto"/>
                                    <w:left w:val="none" w:sz="0" w:space="0" w:color="auto"/>
                                    <w:bottom w:val="none" w:sz="0" w:space="0" w:color="auto"/>
                                    <w:right w:val="none" w:sz="0" w:space="0" w:color="auto"/>
                                  </w:divBdr>
                                  <w:divsChild>
                                    <w:div w:id="1045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859994">
                  <w:marLeft w:val="0"/>
                  <w:marRight w:val="0"/>
                  <w:marTop w:val="0"/>
                  <w:marBottom w:val="0"/>
                  <w:divBdr>
                    <w:top w:val="none" w:sz="0" w:space="0" w:color="auto"/>
                    <w:left w:val="none" w:sz="0" w:space="0" w:color="auto"/>
                    <w:bottom w:val="none" w:sz="0" w:space="0" w:color="auto"/>
                    <w:right w:val="none" w:sz="0" w:space="0" w:color="auto"/>
                  </w:divBdr>
                  <w:divsChild>
                    <w:div w:id="11808693">
                      <w:marLeft w:val="0"/>
                      <w:marRight w:val="0"/>
                      <w:marTop w:val="0"/>
                      <w:marBottom w:val="0"/>
                      <w:divBdr>
                        <w:top w:val="none" w:sz="0" w:space="0" w:color="auto"/>
                        <w:left w:val="none" w:sz="0" w:space="0" w:color="auto"/>
                        <w:bottom w:val="none" w:sz="0" w:space="0" w:color="auto"/>
                        <w:right w:val="none" w:sz="0" w:space="0" w:color="auto"/>
                      </w:divBdr>
                      <w:divsChild>
                        <w:div w:id="245237277">
                          <w:marLeft w:val="0"/>
                          <w:marRight w:val="0"/>
                          <w:marTop w:val="0"/>
                          <w:marBottom w:val="0"/>
                          <w:divBdr>
                            <w:top w:val="none" w:sz="0" w:space="0" w:color="auto"/>
                            <w:left w:val="none" w:sz="0" w:space="0" w:color="auto"/>
                            <w:bottom w:val="none" w:sz="0" w:space="0" w:color="auto"/>
                            <w:right w:val="none" w:sz="0" w:space="0" w:color="auto"/>
                          </w:divBdr>
                          <w:divsChild>
                            <w:div w:id="523905878">
                              <w:marLeft w:val="0"/>
                              <w:marRight w:val="0"/>
                              <w:marTop w:val="0"/>
                              <w:marBottom w:val="0"/>
                              <w:divBdr>
                                <w:top w:val="none" w:sz="0" w:space="0" w:color="auto"/>
                                <w:left w:val="none" w:sz="0" w:space="0" w:color="auto"/>
                                <w:bottom w:val="none" w:sz="0" w:space="0" w:color="auto"/>
                                <w:right w:val="none" w:sz="0" w:space="0" w:color="auto"/>
                              </w:divBdr>
                              <w:divsChild>
                                <w:div w:id="81861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407962">
          <w:marLeft w:val="0"/>
          <w:marRight w:val="0"/>
          <w:marTop w:val="0"/>
          <w:marBottom w:val="0"/>
          <w:divBdr>
            <w:top w:val="none" w:sz="0" w:space="0" w:color="auto"/>
            <w:left w:val="none" w:sz="0" w:space="0" w:color="auto"/>
            <w:bottom w:val="none" w:sz="0" w:space="0" w:color="auto"/>
            <w:right w:val="none" w:sz="0" w:space="0" w:color="auto"/>
          </w:divBdr>
          <w:divsChild>
            <w:div w:id="705833736">
              <w:marLeft w:val="0"/>
              <w:marRight w:val="0"/>
              <w:marTop w:val="0"/>
              <w:marBottom w:val="0"/>
              <w:divBdr>
                <w:top w:val="none" w:sz="0" w:space="0" w:color="auto"/>
                <w:left w:val="none" w:sz="0" w:space="0" w:color="auto"/>
                <w:bottom w:val="none" w:sz="0" w:space="0" w:color="auto"/>
                <w:right w:val="none" w:sz="0" w:space="0" w:color="auto"/>
              </w:divBdr>
              <w:divsChild>
                <w:div w:id="418720208">
                  <w:marLeft w:val="0"/>
                  <w:marRight w:val="0"/>
                  <w:marTop w:val="0"/>
                  <w:marBottom w:val="0"/>
                  <w:divBdr>
                    <w:top w:val="none" w:sz="0" w:space="0" w:color="auto"/>
                    <w:left w:val="none" w:sz="0" w:space="0" w:color="auto"/>
                    <w:bottom w:val="none" w:sz="0" w:space="0" w:color="auto"/>
                    <w:right w:val="none" w:sz="0" w:space="0" w:color="auto"/>
                  </w:divBdr>
                  <w:divsChild>
                    <w:div w:id="669066700">
                      <w:marLeft w:val="0"/>
                      <w:marRight w:val="0"/>
                      <w:marTop w:val="0"/>
                      <w:marBottom w:val="0"/>
                      <w:divBdr>
                        <w:top w:val="none" w:sz="0" w:space="0" w:color="auto"/>
                        <w:left w:val="none" w:sz="0" w:space="0" w:color="auto"/>
                        <w:bottom w:val="none" w:sz="0" w:space="0" w:color="auto"/>
                        <w:right w:val="none" w:sz="0" w:space="0" w:color="auto"/>
                      </w:divBdr>
                      <w:divsChild>
                        <w:div w:id="350760313">
                          <w:marLeft w:val="0"/>
                          <w:marRight w:val="0"/>
                          <w:marTop w:val="0"/>
                          <w:marBottom w:val="0"/>
                          <w:divBdr>
                            <w:top w:val="none" w:sz="0" w:space="0" w:color="auto"/>
                            <w:left w:val="none" w:sz="0" w:space="0" w:color="auto"/>
                            <w:bottom w:val="none" w:sz="0" w:space="0" w:color="auto"/>
                            <w:right w:val="none" w:sz="0" w:space="0" w:color="auto"/>
                          </w:divBdr>
                          <w:divsChild>
                            <w:div w:id="1892689533">
                              <w:marLeft w:val="0"/>
                              <w:marRight w:val="0"/>
                              <w:marTop w:val="0"/>
                              <w:marBottom w:val="0"/>
                              <w:divBdr>
                                <w:top w:val="none" w:sz="0" w:space="0" w:color="auto"/>
                                <w:left w:val="none" w:sz="0" w:space="0" w:color="auto"/>
                                <w:bottom w:val="none" w:sz="0" w:space="0" w:color="auto"/>
                                <w:right w:val="none" w:sz="0" w:space="0" w:color="auto"/>
                              </w:divBdr>
                              <w:divsChild>
                                <w:div w:id="909077361">
                                  <w:marLeft w:val="0"/>
                                  <w:marRight w:val="0"/>
                                  <w:marTop w:val="0"/>
                                  <w:marBottom w:val="0"/>
                                  <w:divBdr>
                                    <w:top w:val="none" w:sz="0" w:space="0" w:color="auto"/>
                                    <w:left w:val="none" w:sz="0" w:space="0" w:color="auto"/>
                                    <w:bottom w:val="none" w:sz="0" w:space="0" w:color="auto"/>
                                    <w:right w:val="none" w:sz="0" w:space="0" w:color="auto"/>
                                  </w:divBdr>
                                  <w:divsChild>
                                    <w:div w:id="113941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89121">
                          <w:marLeft w:val="0"/>
                          <w:marRight w:val="0"/>
                          <w:marTop w:val="0"/>
                          <w:marBottom w:val="0"/>
                          <w:divBdr>
                            <w:top w:val="none" w:sz="0" w:space="0" w:color="auto"/>
                            <w:left w:val="none" w:sz="0" w:space="0" w:color="auto"/>
                            <w:bottom w:val="none" w:sz="0" w:space="0" w:color="auto"/>
                            <w:right w:val="none" w:sz="0" w:space="0" w:color="auto"/>
                          </w:divBdr>
                          <w:divsChild>
                            <w:div w:id="1683311797">
                              <w:marLeft w:val="0"/>
                              <w:marRight w:val="0"/>
                              <w:marTop w:val="0"/>
                              <w:marBottom w:val="0"/>
                              <w:divBdr>
                                <w:top w:val="none" w:sz="0" w:space="0" w:color="auto"/>
                                <w:left w:val="none" w:sz="0" w:space="0" w:color="auto"/>
                                <w:bottom w:val="none" w:sz="0" w:space="0" w:color="auto"/>
                                <w:right w:val="none" w:sz="0" w:space="0" w:color="auto"/>
                              </w:divBdr>
                              <w:divsChild>
                                <w:div w:id="194123026">
                                  <w:marLeft w:val="0"/>
                                  <w:marRight w:val="0"/>
                                  <w:marTop w:val="0"/>
                                  <w:marBottom w:val="0"/>
                                  <w:divBdr>
                                    <w:top w:val="none" w:sz="0" w:space="0" w:color="auto"/>
                                    <w:left w:val="none" w:sz="0" w:space="0" w:color="auto"/>
                                    <w:bottom w:val="none" w:sz="0" w:space="0" w:color="auto"/>
                                    <w:right w:val="none" w:sz="0" w:space="0" w:color="auto"/>
                                  </w:divBdr>
                                  <w:divsChild>
                                    <w:div w:id="5750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006294">
                  <w:marLeft w:val="0"/>
                  <w:marRight w:val="0"/>
                  <w:marTop w:val="0"/>
                  <w:marBottom w:val="0"/>
                  <w:divBdr>
                    <w:top w:val="none" w:sz="0" w:space="0" w:color="auto"/>
                    <w:left w:val="none" w:sz="0" w:space="0" w:color="auto"/>
                    <w:bottom w:val="none" w:sz="0" w:space="0" w:color="auto"/>
                    <w:right w:val="none" w:sz="0" w:space="0" w:color="auto"/>
                  </w:divBdr>
                  <w:divsChild>
                    <w:div w:id="1614701915">
                      <w:marLeft w:val="0"/>
                      <w:marRight w:val="0"/>
                      <w:marTop w:val="0"/>
                      <w:marBottom w:val="0"/>
                      <w:divBdr>
                        <w:top w:val="none" w:sz="0" w:space="0" w:color="auto"/>
                        <w:left w:val="none" w:sz="0" w:space="0" w:color="auto"/>
                        <w:bottom w:val="none" w:sz="0" w:space="0" w:color="auto"/>
                        <w:right w:val="none" w:sz="0" w:space="0" w:color="auto"/>
                      </w:divBdr>
                      <w:divsChild>
                        <w:div w:id="312832888">
                          <w:marLeft w:val="0"/>
                          <w:marRight w:val="0"/>
                          <w:marTop w:val="0"/>
                          <w:marBottom w:val="0"/>
                          <w:divBdr>
                            <w:top w:val="none" w:sz="0" w:space="0" w:color="auto"/>
                            <w:left w:val="none" w:sz="0" w:space="0" w:color="auto"/>
                            <w:bottom w:val="none" w:sz="0" w:space="0" w:color="auto"/>
                            <w:right w:val="none" w:sz="0" w:space="0" w:color="auto"/>
                          </w:divBdr>
                          <w:divsChild>
                            <w:div w:id="1344747808">
                              <w:marLeft w:val="0"/>
                              <w:marRight w:val="0"/>
                              <w:marTop w:val="0"/>
                              <w:marBottom w:val="0"/>
                              <w:divBdr>
                                <w:top w:val="none" w:sz="0" w:space="0" w:color="auto"/>
                                <w:left w:val="none" w:sz="0" w:space="0" w:color="auto"/>
                                <w:bottom w:val="none" w:sz="0" w:space="0" w:color="auto"/>
                                <w:right w:val="none" w:sz="0" w:space="0" w:color="auto"/>
                              </w:divBdr>
                              <w:divsChild>
                                <w:div w:id="7742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74590">
          <w:marLeft w:val="0"/>
          <w:marRight w:val="0"/>
          <w:marTop w:val="0"/>
          <w:marBottom w:val="0"/>
          <w:divBdr>
            <w:top w:val="none" w:sz="0" w:space="0" w:color="auto"/>
            <w:left w:val="none" w:sz="0" w:space="0" w:color="auto"/>
            <w:bottom w:val="none" w:sz="0" w:space="0" w:color="auto"/>
            <w:right w:val="none" w:sz="0" w:space="0" w:color="auto"/>
          </w:divBdr>
          <w:divsChild>
            <w:div w:id="310984444">
              <w:marLeft w:val="0"/>
              <w:marRight w:val="0"/>
              <w:marTop w:val="0"/>
              <w:marBottom w:val="0"/>
              <w:divBdr>
                <w:top w:val="none" w:sz="0" w:space="0" w:color="auto"/>
                <w:left w:val="none" w:sz="0" w:space="0" w:color="auto"/>
                <w:bottom w:val="none" w:sz="0" w:space="0" w:color="auto"/>
                <w:right w:val="none" w:sz="0" w:space="0" w:color="auto"/>
              </w:divBdr>
              <w:divsChild>
                <w:div w:id="1351570675">
                  <w:marLeft w:val="0"/>
                  <w:marRight w:val="0"/>
                  <w:marTop w:val="0"/>
                  <w:marBottom w:val="0"/>
                  <w:divBdr>
                    <w:top w:val="none" w:sz="0" w:space="0" w:color="auto"/>
                    <w:left w:val="none" w:sz="0" w:space="0" w:color="auto"/>
                    <w:bottom w:val="none" w:sz="0" w:space="0" w:color="auto"/>
                    <w:right w:val="none" w:sz="0" w:space="0" w:color="auto"/>
                  </w:divBdr>
                  <w:divsChild>
                    <w:div w:id="1946572952">
                      <w:marLeft w:val="0"/>
                      <w:marRight w:val="0"/>
                      <w:marTop w:val="0"/>
                      <w:marBottom w:val="0"/>
                      <w:divBdr>
                        <w:top w:val="none" w:sz="0" w:space="0" w:color="auto"/>
                        <w:left w:val="none" w:sz="0" w:space="0" w:color="auto"/>
                        <w:bottom w:val="none" w:sz="0" w:space="0" w:color="auto"/>
                        <w:right w:val="none" w:sz="0" w:space="0" w:color="auto"/>
                      </w:divBdr>
                      <w:divsChild>
                        <w:div w:id="1738674393">
                          <w:marLeft w:val="0"/>
                          <w:marRight w:val="0"/>
                          <w:marTop w:val="0"/>
                          <w:marBottom w:val="0"/>
                          <w:divBdr>
                            <w:top w:val="none" w:sz="0" w:space="0" w:color="auto"/>
                            <w:left w:val="none" w:sz="0" w:space="0" w:color="auto"/>
                            <w:bottom w:val="none" w:sz="0" w:space="0" w:color="auto"/>
                            <w:right w:val="none" w:sz="0" w:space="0" w:color="auto"/>
                          </w:divBdr>
                          <w:divsChild>
                            <w:div w:id="1851601469">
                              <w:marLeft w:val="0"/>
                              <w:marRight w:val="0"/>
                              <w:marTop w:val="0"/>
                              <w:marBottom w:val="0"/>
                              <w:divBdr>
                                <w:top w:val="none" w:sz="0" w:space="0" w:color="auto"/>
                                <w:left w:val="none" w:sz="0" w:space="0" w:color="auto"/>
                                <w:bottom w:val="none" w:sz="0" w:space="0" w:color="auto"/>
                                <w:right w:val="none" w:sz="0" w:space="0" w:color="auto"/>
                              </w:divBdr>
                              <w:divsChild>
                                <w:div w:id="1342781957">
                                  <w:marLeft w:val="0"/>
                                  <w:marRight w:val="0"/>
                                  <w:marTop w:val="0"/>
                                  <w:marBottom w:val="0"/>
                                  <w:divBdr>
                                    <w:top w:val="none" w:sz="0" w:space="0" w:color="auto"/>
                                    <w:left w:val="none" w:sz="0" w:space="0" w:color="auto"/>
                                    <w:bottom w:val="none" w:sz="0" w:space="0" w:color="auto"/>
                                    <w:right w:val="none" w:sz="0" w:space="0" w:color="auto"/>
                                  </w:divBdr>
                                  <w:divsChild>
                                    <w:div w:id="1785952480">
                                      <w:marLeft w:val="0"/>
                                      <w:marRight w:val="0"/>
                                      <w:marTop w:val="0"/>
                                      <w:marBottom w:val="0"/>
                                      <w:divBdr>
                                        <w:top w:val="none" w:sz="0" w:space="0" w:color="auto"/>
                                        <w:left w:val="none" w:sz="0" w:space="0" w:color="auto"/>
                                        <w:bottom w:val="none" w:sz="0" w:space="0" w:color="auto"/>
                                        <w:right w:val="none" w:sz="0" w:space="0" w:color="auto"/>
                                      </w:divBdr>
                                      <w:divsChild>
                                        <w:div w:id="7258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977736">
          <w:marLeft w:val="0"/>
          <w:marRight w:val="0"/>
          <w:marTop w:val="0"/>
          <w:marBottom w:val="0"/>
          <w:divBdr>
            <w:top w:val="none" w:sz="0" w:space="0" w:color="auto"/>
            <w:left w:val="none" w:sz="0" w:space="0" w:color="auto"/>
            <w:bottom w:val="none" w:sz="0" w:space="0" w:color="auto"/>
            <w:right w:val="none" w:sz="0" w:space="0" w:color="auto"/>
          </w:divBdr>
          <w:divsChild>
            <w:div w:id="894700061">
              <w:marLeft w:val="0"/>
              <w:marRight w:val="0"/>
              <w:marTop w:val="0"/>
              <w:marBottom w:val="0"/>
              <w:divBdr>
                <w:top w:val="none" w:sz="0" w:space="0" w:color="auto"/>
                <w:left w:val="none" w:sz="0" w:space="0" w:color="auto"/>
                <w:bottom w:val="none" w:sz="0" w:space="0" w:color="auto"/>
                <w:right w:val="none" w:sz="0" w:space="0" w:color="auto"/>
              </w:divBdr>
              <w:divsChild>
                <w:div w:id="646204666">
                  <w:marLeft w:val="0"/>
                  <w:marRight w:val="0"/>
                  <w:marTop w:val="0"/>
                  <w:marBottom w:val="0"/>
                  <w:divBdr>
                    <w:top w:val="none" w:sz="0" w:space="0" w:color="auto"/>
                    <w:left w:val="none" w:sz="0" w:space="0" w:color="auto"/>
                    <w:bottom w:val="none" w:sz="0" w:space="0" w:color="auto"/>
                    <w:right w:val="none" w:sz="0" w:space="0" w:color="auto"/>
                  </w:divBdr>
                  <w:divsChild>
                    <w:div w:id="1199657967">
                      <w:marLeft w:val="0"/>
                      <w:marRight w:val="0"/>
                      <w:marTop w:val="0"/>
                      <w:marBottom w:val="0"/>
                      <w:divBdr>
                        <w:top w:val="none" w:sz="0" w:space="0" w:color="auto"/>
                        <w:left w:val="none" w:sz="0" w:space="0" w:color="auto"/>
                        <w:bottom w:val="none" w:sz="0" w:space="0" w:color="auto"/>
                        <w:right w:val="none" w:sz="0" w:space="0" w:color="auto"/>
                      </w:divBdr>
                      <w:divsChild>
                        <w:div w:id="1622110771">
                          <w:marLeft w:val="0"/>
                          <w:marRight w:val="0"/>
                          <w:marTop w:val="0"/>
                          <w:marBottom w:val="0"/>
                          <w:divBdr>
                            <w:top w:val="none" w:sz="0" w:space="0" w:color="auto"/>
                            <w:left w:val="none" w:sz="0" w:space="0" w:color="auto"/>
                            <w:bottom w:val="none" w:sz="0" w:space="0" w:color="auto"/>
                            <w:right w:val="none" w:sz="0" w:space="0" w:color="auto"/>
                          </w:divBdr>
                          <w:divsChild>
                            <w:div w:id="412359361">
                              <w:marLeft w:val="0"/>
                              <w:marRight w:val="0"/>
                              <w:marTop w:val="0"/>
                              <w:marBottom w:val="0"/>
                              <w:divBdr>
                                <w:top w:val="none" w:sz="0" w:space="0" w:color="auto"/>
                                <w:left w:val="none" w:sz="0" w:space="0" w:color="auto"/>
                                <w:bottom w:val="none" w:sz="0" w:space="0" w:color="auto"/>
                                <w:right w:val="none" w:sz="0" w:space="0" w:color="auto"/>
                              </w:divBdr>
                              <w:divsChild>
                                <w:div w:id="14085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948634">
                  <w:marLeft w:val="0"/>
                  <w:marRight w:val="0"/>
                  <w:marTop w:val="0"/>
                  <w:marBottom w:val="0"/>
                  <w:divBdr>
                    <w:top w:val="none" w:sz="0" w:space="0" w:color="auto"/>
                    <w:left w:val="none" w:sz="0" w:space="0" w:color="auto"/>
                    <w:bottom w:val="none" w:sz="0" w:space="0" w:color="auto"/>
                    <w:right w:val="none" w:sz="0" w:space="0" w:color="auto"/>
                  </w:divBdr>
                  <w:divsChild>
                    <w:div w:id="687101530">
                      <w:marLeft w:val="0"/>
                      <w:marRight w:val="0"/>
                      <w:marTop w:val="0"/>
                      <w:marBottom w:val="0"/>
                      <w:divBdr>
                        <w:top w:val="none" w:sz="0" w:space="0" w:color="auto"/>
                        <w:left w:val="none" w:sz="0" w:space="0" w:color="auto"/>
                        <w:bottom w:val="none" w:sz="0" w:space="0" w:color="auto"/>
                        <w:right w:val="none" w:sz="0" w:space="0" w:color="auto"/>
                      </w:divBdr>
                      <w:divsChild>
                        <w:div w:id="225604397">
                          <w:marLeft w:val="0"/>
                          <w:marRight w:val="0"/>
                          <w:marTop w:val="0"/>
                          <w:marBottom w:val="0"/>
                          <w:divBdr>
                            <w:top w:val="none" w:sz="0" w:space="0" w:color="auto"/>
                            <w:left w:val="none" w:sz="0" w:space="0" w:color="auto"/>
                            <w:bottom w:val="none" w:sz="0" w:space="0" w:color="auto"/>
                            <w:right w:val="none" w:sz="0" w:space="0" w:color="auto"/>
                          </w:divBdr>
                          <w:divsChild>
                            <w:div w:id="642462407">
                              <w:marLeft w:val="0"/>
                              <w:marRight w:val="0"/>
                              <w:marTop w:val="0"/>
                              <w:marBottom w:val="0"/>
                              <w:divBdr>
                                <w:top w:val="none" w:sz="0" w:space="0" w:color="auto"/>
                                <w:left w:val="none" w:sz="0" w:space="0" w:color="auto"/>
                                <w:bottom w:val="none" w:sz="0" w:space="0" w:color="auto"/>
                                <w:right w:val="none" w:sz="0" w:space="0" w:color="auto"/>
                              </w:divBdr>
                              <w:divsChild>
                                <w:div w:id="909583180">
                                  <w:marLeft w:val="0"/>
                                  <w:marRight w:val="0"/>
                                  <w:marTop w:val="0"/>
                                  <w:marBottom w:val="0"/>
                                  <w:divBdr>
                                    <w:top w:val="none" w:sz="0" w:space="0" w:color="auto"/>
                                    <w:left w:val="none" w:sz="0" w:space="0" w:color="auto"/>
                                    <w:bottom w:val="none" w:sz="0" w:space="0" w:color="auto"/>
                                    <w:right w:val="none" w:sz="0" w:space="0" w:color="auto"/>
                                  </w:divBdr>
                                  <w:divsChild>
                                    <w:div w:id="4193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15662">
                          <w:marLeft w:val="0"/>
                          <w:marRight w:val="0"/>
                          <w:marTop w:val="0"/>
                          <w:marBottom w:val="0"/>
                          <w:divBdr>
                            <w:top w:val="none" w:sz="0" w:space="0" w:color="auto"/>
                            <w:left w:val="none" w:sz="0" w:space="0" w:color="auto"/>
                            <w:bottom w:val="none" w:sz="0" w:space="0" w:color="auto"/>
                            <w:right w:val="none" w:sz="0" w:space="0" w:color="auto"/>
                          </w:divBdr>
                          <w:divsChild>
                            <w:div w:id="763723730">
                              <w:marLeft w:val="0"/>
                              <w:marRight w:val="0"/>
                              <w:marTop w:val="0"/>
                              <w:marBottom w:val="0"/>
                              <w:divBdr>
                                <w:top w:val="none" w:sz="0" w:space="0" w:color="auto"/>
                                <w:left w:val="none" w:sz="0" w:space="0" w:color="auto"/>
                                <w:bottom w:val="none" w:sz="0" w:space="0" w:color="auto"/>
                                <w:right w:val="none" w:sz="0" w:space="0" w:color="auto"/>
                              </w:divBdr>
                              <w:divsChild>
                                <w:div w:id="932395804">
                                  <w:marLeft w:val="0"/>
                                  <w:marRight w:val="0"/>
                                  <w:marTop w:val="0"/>
                                  <w:marBottom w:val="0"/>
                                  <w:divBdr>
                                    <w:top w:val="none" w:sz="0" w:space="0" w:color="auto"/>
                                    <w:left w:val="none" w:sz="0" w:space="0" w:color="auto"/>
                                    <w:bottom w:val="none" w:sz="0" w:space="0" w:color="auto"/>
                                    <w:right w:val="none" w:sz="0" w:space="0" w:color="auto"/>
                                  </w:divBdr>
                                  <w:divsChild>
                                    <w:div w:id="56033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714195">
          <w:marLeft w:val="0"/>
          <w:marRight w:val="0"/>
          <w:marTop w:val="0"/>
          <w:marBottom w:val="0"/>
          <w:divBdr>
            <w:top w:val="none" w:sz="0" w:space="0" w:color="auto"/>
            <w:left w:val="none" w:sz="0" w:space="0" w:color="auto"/>
            <w:bottom w:val="none" w:sz="0" w:space="0" w:color="auto"/>
            <w:right w:val="none" w:sz="0" w:space="0" w:color="auto"/>
          </w:divBdr>
          <w:divsChild>
            <w:div w:id="418671493">
              <w:marLeft w:val="0"/>
              <w:marRight w:val="0"/>
              <w:marTop w:val="0"/>
              <w:marBottom w:val="0"/>
              <w:divBdr>
                <w:top w:val="none" w:sz="0" w:space="0" w:color="auto"/>
                <w:left w:val="none" w:sz="0" w:space="0" w:color="auto"/>
                <w:bottom w:val="none" w:sz="0" w:space="0" w:color="auto"/>
                <w:right w:val="none" w:sz="0" w:space="0" w:color="auto"/>
              </w:divBdr>
              <w:divsChild>
                <w:div w:id="1288198381">
                  <w:marLeft w:val="0"/>
                  <w:marRight w:val="0"/>
                  <w:marTop w:val="0"/>
                  <w:marBottom w:val="0"/>
                  <w:divBdr>
                    <w:top w:val="none" w:sz="0" w:space="0" w:color="auto"/>
                    <w:left w:val="none" w:sz="0" w:space="0" w:color="auto"/>
                    <w:bottom w:val="none" w:sz="0" w:space="0" w:color="auto"/>
                    <w:right w:val="none" w:sz="0" w:space="0" w:color="auto"/>
                  </w:divBdr>
                  <w:divsChild>
                    <w:div w:id="1561596501">
                      <w:marLeft w:val="0"/>
                      <w:marRight w:val="0"/>
                      <w:marTop w:val="0"/>
                      <w:marBottom w:val="0"/>
                      <w:divBdr>
                        <w:top w:val="none" w:sz="0" w:space="0" w:color="auto"/>
                        <w:left w:val="none" w:sz="0" w:space="0" w:color="auto"/>
                        <w:bottom w:val="none" w:sz="0" w:space="0" w:color="auto"/>
                        <w:right w:val="none" w:sz="0" w:space="0" w:color="auto"/>
                      </w:divBdr>
                      <w:divsChild>
                        <w:div w:id="212468478">
                          <w:marLeft w:val="0"/>
                          <w:marRight w:val="0"/>
                          <w:marTop w:val="0"/>
                          <w:marBottom w:val="0"/>
                          <w:divBdr>
                            <w:top w:val="none" w:sz="0" w:space="0" w:color="auto"/>
                            <w:left w:val="none" w:sz="0" w:space="0" w:color="auto"/>
                            <w:bottom w:val="none" w:sz="0" w:space="0" w:color="auto"/>
                            <w:right w:val="none" w:sz="0" w:space="0" w:color="auto"/>
                          </w:divBdr>
                          <w:divsChild>
                            <w:div w:id="1247423271">
                              <w:marLeft w:val="0"/>
                              <w:marRight w:val="0"/>
                              <w:marTop w:val="0"/>
                              <w:marBottom w:val="0"/>
                              <w:divBdr>
                                <w:top w:val="none" w:sz="0" w:space="0" w:color="auto"/>
                                <w:left w:val="none" w:sz="0" w:space="0" w:color="auto"/>
                                <w:bottom w:val="none" w:sz="0" w:space="0" w:color="auto"/>
                                <w:right w:val="none" w:sz="0" w:space="0" w:color="auto"/>
                              </w:divBdr>
                              <w:divsChild>
                                <w:div w:id="211189113">
                                  <w:marLeft w:val="0"/>
                                  <w:marRight w:val="0"/>
                                  <w:marTop w:val="0"/>
                                  <w:marBottom w:val="0"/>
                                  <w:divBdr>
                                    <w:top w:val="none" w:sz="0" w:space="0" w:color="auto"/>
                                    <w:left w:val="none" w:sz="0" w:space="0" w:color="auto"/>
                                    <w:bottom w:val="none" w:sz="0" w:space="0" w:color="auto"/>
                                    <w:right w:val="none" w:sz="0" w:space="0" w:color="auto"/>
                                  </w:divBdr>
                                  <w:divsChild>
                                    <w:div w:id="1787458992">
                                      <w:marLeft w:val="0"/>
                                      <w:marRight w:val="0"/>
                                      <w:marTop w:val="0"/>
                                      <w:marBottom w:val="0"/>
                                      <w:divBdr>
                                        <w:top w:val="none" w:sz="0" w:space="0" w:color="auto"/>
                                        <w:left w:val="none" w:sz="0" w:space="0" w:color="auto"/>
                                        <w:bottom w:val="none" w:sz="0" w:space="0" w:color="auto"/>
                                        <w:right w:val="none" w:sz="0" w:space="0" w:color="auto"/>
                                      </w:divBdr>
                                      <w:divsChild>
                                        <w:div w:id="9966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762068">
          <w:marLeft w:val="0"/>
          <w:marRight w:val="0"/>
          <w:marTop w:val="0"/>
          <w:marBottom w:val="0"/>
          <w:divBdr>
            <w:top w:val="none" w:sz="0" w:space="0" w:color="auto"/>
            <w:left w:val="none" w:sz="0" w:space="0" w:color="auto"/>
            <w:bottom w:val="none" w:sz="0" w:space="0" w:color="auto"/>
            <w:right w:val="none" w:sz="0" w:space="0" w:color="auto"/>
          </w:divBdr>
          <w:divsChild>
            <w:div w:id="634528183">
              <w:marLeft w:val="0"/>
              <w:marRight w:val="0"/>
              <w:marTop w:val="0"/>
              <w:marBottom w:val="0"/>
              <w:divBdr>
                <w:top w:val="none" w:sz="0" w:space="0" w:color="auto"/>
                <w:left w:val="none" w:sz="0" w:space="0" w:color="auto"/>
                <w:bottom w:val="none" w:sz="0" w:space="0" w:color="auto"/>
                <w:right w:val="none" w:sz="0" w:space="0" w:color="auto"/>
              </w:divBdr>
              <w:divsChild>
                <w:div w:id="782500385">
                  <w:marLeft w:val="0"/>
                  <w:marRight w:val="0"/>
                  <w:marTop w:val="0"/>
                  <w:marBottom w:val="0"/>
                  <w:divBdr>
                    <w:top w:val="none" w:sz="0" w:space="0" w:color="auto"/>
                    <w:left w:val="none" w:sz="0" w:space="0" w:color="auto"/>
                    <w:bottom w:val="none" w:sz="0" w:space="0" w:color="auto"/>
                    <w:right w:val="none" w:sz="0" w:space="0" w:color="auto"/>
                  </w:divBdr>
                  <w:divsChild>
                    <w:div w:id="2122066765">
                      <w:marLeft w:val="0"/>
                      <w:marRight w:val="0"/>
                      <w:marTop w:val="0"/>
                      <w:marBottom w:val="0"/>
                      <w:divBdr>
                        <w:top w:val="none" w:sz="0" w:space="0" w:color="auto"/>
                        <w:left w:val="none" w:sz="0" w:space="0" w:color="auto"/>
                        <w:bottom w:val="none" w:sz="0" w:space="0" w:color="auto"/>
                        <w:right w:val="none" w:sz="0" w:space="0" w:color="auto"/>
                      </w:divBdr>
                      <w:divsChild>
                        <w:div w:id="1370643182">
                          <w:marLeft w:val="0"/>
                          <w:marRight w:val="0"/>
                          <w:marTop w:val="0"/>
                          <w:marBottom w:val="0"/>
                          <w:divBdr>
                            <w:top w:val="none" w:sz="0" w:space="0" w:color="auto"/>
                            <w:left w:val="none" w:sz="0" w:space="0" w:color="auto"/>
                            <w:bottom w:val="none" w:sz="0" w:space="0" w:color="auto"/>
                            <w:right w:val="none" w:sz="0" w:space="0" w:color="auto"/>
                          </w:divBdr>
                          <w:divsChild>
                            <w:div w:id="1397389463">
                              <w:marLeft w:val="0"/>
                              <w:marRight w:val="0"/>
                              <w:marTop w:val="0"/>
                              <w:marBottom w:val="0"/>
                              <w:divBdr>
                                <w:top w:val="none" w:sz="0" w:space="0" w:color="auto"/>
                                <w:left w:val="none" w:sz="0" w:space="0" w:color="auto"/>
                                <w:bottom w:val="none" w:sz="0" w:space="0" w:color="auto"/>
                                <w:right w:val="none" w:sz="0" w:space="0" w:color="auto"/>
                              </w:divBdr>
                              <w:divsChild>
                                <w:div w:id="106849766">
                                  <w:marLeft w:val="0"/>
                                  <w:marRight w:val="0"/>
                                  <w:marTop w:val="0"/>
                                  <w:marBottom w:val="0"/>
                                  <w:divBdr>
                                    <w:top w:val="none" w:sz="0" w:space="0" w:color="auto"/>
                                    <w:left w:val="none" w:sz="0" w:space="0" w:color="auto"/>
                                    <w:bottom w:val="none" w:sz="0" w:space="0" w:color="auto"/>
                                    <w:right w:val="none" w:sz="0" w:space="0" w:color="auto"/>
                                  </w:divBdr>
                                  <w:divsChild>
                                    <w:div w:id="949824765">
                                      <w:marLeft w:val="0"/>
                                      <w:marRight w:val="0"/>
                                      <w:marTop w:val="0"/>
                                      <w:marBottom w:val="0"/>
                                      <w:divBdr>
                                        <w:top w:val="none" w:sz="0" w:space="0" w:color="auto"/>
                                        <w:left w:val="none" w:sz="0" w:space="0" w:color="auto"/>
                                        <w:bottom w:val="none" w:sz="0" w:space="0" w:color="auto"/>
                                        <w:right w:val="none" w:sz="0" w:space="0" w:color="auto"/>
                                      </w:divBdr>
                                      <w:divsChild>
                                        <w:div w:id="78951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249946">
          <w:marLeft w:val="0"/>
          <w:marRight w:val="0"/>
          <w:marTop w:val="0"/>
          <w:marBottom w:val="0"/>
          <w:divBdr>
            <w:top w:val="none" w:sz="0" w:space="0" w:color="auto"/>
            <w:left w:val="none" w:sz="0" w:space="0" w:color="auto"/>
            <w:bottom w:val="none" w:sz="0" w:space="0" w:color="auto"/>
            <w:right w:val="none" w:sz="0" w:space="0" w:color="auto"/>
          </w:divBdr>
          <w:divsChild>
            <w:div w:id="190191778">
              <w:marLeft w:val="0"/>
              <w:marRight w:val="0"/>
              <w:marTop w:val="0"/>
              <w:marBottom w:val="0"/>
              <w:divBdr>
                <w:top w:val="none" w:sz="0" w:space="0" w:color="auto"/>
                <w:left w:val="none" w:sz="0" w:space="0" w:color="auto"/>
                <w:bottom w:val="none" w:sz="0" w:space="0" w:color="auto"/>
                <w:right w:val="none" w:sz="0" w:space="0" w:color="auto"/>
              </w:divBdr>
              <w:divsChild>
                <w:div w:id="1161236241">
                  <w:marLeft w:val="0"/>
                  <w:marRight w:val="0"/>
                  <w:marTop w:val="0"/>
                  <w:marBottom w:val="0"/>
                  <w:divBdr>
                    <w:top w:val="none" w:sz="0" w:space="0" w:color="auto"/>
                    <w:left w:val="none" w:sz="0" w:space="0" w:color="auto"/>
                    <w:bottom w:val="none" w:sz="0" w:space="0" w:color="auto"/>
                    <w:right w:val="none" w:sz="0" w:space="0" w:color="auto"/>
                  </w:divBdr>
                  <w:divsChild>
                    <w:div w:id="1013653605">
                      <w:marLeft w:val="0"/>
                      <w:marRight w:val="0"/>
                      <w:marTop w:val="0"/>
                      <w:marBottom w:val="0"/>
                      <w:divBdr>
                        <w:top w:val="none" w:sz="0" w:space="0" w:color="auto"/>
                        <w:left w:val="none" w:sz="0" w:space="0" w:color="auto"/>
                        <w:bottom w:val="none" w:sz="0" w:space="0" w:color="auto"/>
                        <w:right w:val="none" w:sz="0" w:space="0" w:color="auto"/>
                      </w:divBdr>
                      <w:divsChild>
                        <w:div w:id="41104282">
                          <w:marLeft w:val="0"/>
                          <w:marRight w:val="0"/>
                          <w:marTop w:val="0"/>
                          <w:marBottom w:val="0"/>
                          <w:divBdr>
                            <w:top w:val="none" w:sz="0" w:space="0" w:color="auto"/>
                            <w:left w:val="none" w:sz="0" w:space="0" w:color="auto"/>
                            <w:bottom w:val="none" w:sz="0" w:space="0" w:color="auto"/>
                            <w:right w:val="none" w:sz="0" w:space="0" w:color="auto"/>
                          </w:divBdr>
                          <w:divsChild>
                            <w:div w:id="1696224265">
                              <w:marLeft w:val="0"/>
                              <w:marRight w:val="0"/>
                              <w:marTop w:val="0"/>
                              <w:marBottom w:val="0"/>
                              <w:divBdr>
                                <w:top w:val="none" w:sz="0" w:space="0" w:color="auto"/>
                                <w:left w:val="none" w:sz="0" w:space="0" w:color="auto"/>
                                <w:bottom w:val="none" w:sz="0" w:space="0" w:color="auto"/>
                                <w:right w:val="none" w:sz="0" w:space="0" w:color="auto"/>
                              </w:divBdr>
                              <w:divsChild>
                                <w:div w:id="6053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736909">
                  <w:marLeft w:val="0"/>
                  <w:marRight w:val="0"/>
                  <w:marTop w:val="0"/>
                  <w:marBottom w:val="0"/>
                  <w:divBdr>
                    <w:top w:val="none" w:sz="0" w:space="0" w:color="auto"/>
                    <w:left w:val="none" w:sz="0" w:space="0" w:color="auto"/>
                    <w:bottom w:val="none" w:sz="0" w:space="0" w:color="auto"/>
                    <w:right w:val="none" w:sz="0" w:space="0" w:color="auto"/>
                  </w:divBdr>
                  <w:divsChild>
                    <w:div w:id="674460805">
                      <w:marLeft w:val="0"/>
                      <w:marRight w:val="0"/>
                      <w:marTop w:val="0"/>
                      <w:marBottom w:val="0"/>
                      <w:divBdr>
                        <w:top w:val="none" w:sz="0" w:space="0" w:color="auto"/>
                        <w:left w:val="none" w:sz="0" w:space="0" w:color="auto"/>
                        <w:bottom w:val="none" w:sz="0" w:space="0" w:color="auto"/>
                        <w:right w:val="none" w:sz="0" w:space="0" w:color="auto"/>
                      </w:divBdr>
                      <w:divsChild>
                        <w:div w:id="161553537">
                          <w:marLeft w:val="0"/>
                          <w:marRight w:val="0"/>
                          <w:marTop w:val="0"/>
                          <w:marBottom w:val="0"/>
                          <w:divBdr>
                            <w:top w:val="none" w:sz="0" w:space="0" w:color="auto"/>
                            <w:left w:val="none" w:sz="0" w:space="0" w:color="auto"/>
                            <w:bottom w:val="none" w:sz="0" w:space="0" w:color="auto"/>
                            <w:right w:val="none" w:sz="0" w:space="0" w:color="auto"/>
                          </w:divBdr>
                          <w:divsChild>
                            <w:div w:id="2087143176">
                              <w:marLeft w:val="0"/>
                              <w:marRight w:val="0"/>
                              <w:marTop w:val="0"/>
                              <w:marBottom w:val="0"/>
                              <w:divBdr>
                                <w:top w:val="none" w:sz="0" w:space="0" w:color="auto"/>
                                <w:left w:val="none" w:sz="0" w:space="0" w:color="auto"/>
                                <w:bottom w:val="none" w:sz="0" w:space="0" w:color="auto"/>
                                <w:right w:val="none" w:sz="0" w:space="0" w:color="auto"/>
                              </w:divBdr>
                              <w:divsChild>
                                <w:div w:id="751660897">
                                  <w:marLeft w:val="0"/>
                                  <w:marRight w:val="0"/>
                                  <w:marTop w:val="0"/>
                                  <w:marBottom w:val="0"/>
                                  <w:divBdr>
                                    <w:top w:val="none" w:sz="0" w:space="0" w:color="auto"/>
                                    <w:left w:val="none" w:sz="0" w:space="0" w:color="auto"/>
                                    <w:bottom w:val="none" w:sz="0" w:space="0" w:color="auto"/>
                                    <w:right w:val="none" w:sz="0" w:space="0" w:color="auto"/>
                                  </w:divBdr>
                                  <w:divsChild>
                                    <w:div w:id="26057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0976">
                          <w:marLeft w:val="0"/>
                          <w:marRight w:val="0"/>
                          <w:marTop w:val="0"/>
                          <w:marBottom w:val="0"/>
                          <w:divBdr>
                            <w:top w:val="none" w:sz="0" w:space="0" w:color="auto"/>
                            <w:left w:val="none" w:sz="0" w:space="0" w:color="auto"/>
                            <w:bottom w:val="none" w:sz="0" w:space="0" w:color="auto"/>
                            <w:right w:val="none" w:sz="0" w:space="0" w:color="auto"/>
                          </w:divBdr>
                          <w:divsChild>
                            <w:div w:id="1440830793">
                              <w:marLeft w:val="0"/>
                              <w:marRight w:val="0"/>
                              <w:marTop w:val="0"/>
                              <w:marBottom w:val="0"/>
                              <w:divBdr>
                                <w:top w:val="none" w:sz="0" w:space="0" w:color="auto"/>
                                <w:left w:val="none" w:sz="0" w:space="0" w:color="auto"/>
                                <w:bottom w:val="none" w:sz="0" w:space="0" w:color="auto"/>
                                <w:right w:val="none" w:sz="0" w:space="0" w:color="auto"/>
                              </w:divBdr>
                              <w:divsChild>
                                <w:div w:id="544215670">
                                  <w:marLeft w:val="0"/>
                                  <w:marRight w:val="0"/>
                                  <w:marTop w:val="0"/>
                                  <w:marBottom w:val="0"/>
                                  <w:divBdr>
                                    <w:top w:val="none" w:sz="0" w:space="0" w:color="auto"/>
                                    <w:left w:val="none" w:sz="0" w:space="0" w:color="auto"/>
                                    <w:bottom w:val="none" w:sz="0" w:space="0" w:color="auto"/>
                                    <w:right w:val="none" w:sz="0" w:space="0" w:color="auto"/>
                                  </w:divBdr>
                                  <w:divsChild>
                                    <w:div w:id="249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564300">
          <w:marLeft w:val="0"/>
          <w:marRight w:val="0"/>
          <w:marTop w:val="0"/>
          <w:marBottom w:val="0"/>
          <w:divBdr>
            <w:top w:val="none" w:sz="0" w:space="0" w:color="auto"/>
            <w:left w:val="none" w:sz="0" w:space="0" w:color="auto"/>
            <w:bottom w:val="none" w:sz="0" w:space="0" w:color="auto"/>
            <w:right w:val="none" w:sz="0" w:space="0" w:color="auto"/>
          </w:divBdr>
          <w:divsChild>
            <w:div w:id="1022321401">
              <w:marLeft w:val="0"/>
              <w:marRight w:val="0"/>
              <w:marTop w:val="0"/>
              <w:marBottom w:val="0"/>
              <w:divBdr>
                <w:top w:val="none" w:sz="0" w:space="0" w:color="auto"/>
                <w:left w:val="none" w:sz="0" w:space="0" w:color="auto"/>
                <w:bottom w:val="none" w:sz="0" w:space="0" w:color="auto"/>
                <w:right w:val="none" w:sz="0" w:space="0" w:color="auto"/>
              </w:divBdr>
              <w:divsChild>
                <w:div w:id="754592761">
                  <w:marLeft w:val="0"/>
                  <w:marRight w:val="0"/>
                  <w:marTop w:val="0"/>
                  <w:marBottom w:val="0"/>
                  <w:divBdr>
                    <w:top w:val="none" w:sz="0" w:space="0" w:color="auto"/>
                    <w:left w:val="none" w:sz="0" w:space="0" w:color="auto"/>
                    <w:bottom w:val="none" w:sz="0" w:space="0" w:color="auto"/>
                    <w:right w:val="none" w:sz="0" w:space="0" w:color="auto"/>
                  </w:divBdr>
                  <w:divsChild>
                    <w:div w:id="627976176">
                      <w:marLeft w:val="0"/>
                      <w:marRight w:val="0"/>
                      <w:marTop w:val="0"/>
                      <w:marBottom w:val="0"/>
                      <w:divBdr>
                        <w:top w:val="none" w:sz="0" w:space="0" w:color="auto"/>
                        <w:left w:val="none" w:sz="0" w:space="0" w:color="auto"/>
                        <w:bottom w:val="none" w:sz="0" w:space="0" w:color="auto"/>
                        <w:right w:val="none" w:sz="0" w:space="0" w:color="auto"/>
                      </w:divBdr>
                      <w:divsChild>
                        <w:div w:id="247882269">
                          <w:marLeft w:val="0"/>
                          <w:marRight w:val="0"/>
                          <w:marTop w:val="0"/>
                          <w:marBottom w:val="0"/>
                          <w:divBdr>
                            <w:top w:val="none" w:sz="0" w:space="0" w:color="auto"/>
                            <w:left w:val="none" w:sz="0" w:space="0" w:color="auto"/>
                            <w:bottom w:val="none" w:sz="0" w:space="0" w:color="auto"/>
                            <w:right w:val="none" w:sz="0" w:space="0" w:color="auto"/>
                          </w:divBdr>
                          <w:divsChild>
                            <w:div w:id="873230965">
                              <w:marLeft w:val="0"/>
                              <w:marRight w:val="0"/>
                              <w:marTop w:val="0"/>
                              <w:marBottom w:val="0"/>
                              <w:divBdr>
                                <w:top w:val="none" w:sz="0" w:space="0" w:color="auto"/>
                                <w:left w:val="none" w:sz="0" w:space="0" w:color="auto"/>
                                <w:bottom w:val="none" w:sz="0" w:space="0" w:color="auto"/>
                                <w:right w:val="none" w:sz="0" w:space="0" w:color="auto"/>
                              </w:divBdr>
                              <w:divsChild>
                                <w:div w:id="209998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81277">
                  <w:marLeft w:val="0"/>
                  <w:marRight w:val="0"/>
                  <w:marTop w:val="0"/>
                  <w:marBottom w:val="0"/>
                  <w:divBdr>
                    <w:top w:val="none" w:sz="0" w:space="0" w:color="auto"/>
                    <w:left w:val="none" w:sz="0" w:space="0" w:color="auto"/>
                    <w:bottom w:val="none" w:sz="0" w:space="0" w:color="auto"/>
                    <w:right w:val="none" w:sz="0" w:space="0" w:color="auto"/>
                  </w:divBdr>
                  <w:divsChild>
                    <w:div w:id="1348600258">
                      <w:marLeft w:val="0"/>
                      <w:marRight w:val="0"/>
                      <w:marTop w:val="0"/>
                      <w:marBottom w:val="0"/>
                      <w:divBdr>
                        <w:top w:val="none" w:sz="0" w:space="0" w:color="auto"/>
                        <w:left w:val="none" w:sz="0" w:space="0" w:color="auto"/>
                        <w:bottom w:val="none" w:sz="0" w:space="0" w:color="auto"/>
                        <w:right w:val="none" w:sz="0" w:space="0" w:color="auto"/>
                      </w:divBdr>
                      <w:divsChild>
                        <w:div w:id="2103337603">
                          <w:marLeft w:val="0"/>
                          <w:marRight w:val="0"/>
                          <w:marTop w:val="0"/>
                          <w:marBottom w:val="0"/>
                          <w:divBdr>
                            <w:top w:val="none" w:sz="0" w:space="0" w:color="auto"/>
                            <w:left w:val="none" w:sz="0" w:space="0" w:color="auto"/>
                            <w:bottom w:val="none" w:sz="0" w:space="0" w:color="auto"/>
                            <w:right w:val="none" w:sz="0" w:space="0" w:color="auto"/>
                          </w:divBdr>
                          <w:divsChild>
                            <w:div w:id="1087262595">
                              <w:marLeft w:val="0"/>
                              <w:marRight w:val="0"/>
                              <w:marTop w:val="0"/>
                              <w:marBottom w:val="0"/>
                              <w:divBdr>
                                <w:top w:val="none" w:sz="0" w:space="0" w:color="auto"/>
                                <w:left w:val="none" w:sz="0" w:space="0" w:color="auto"/>
                                <w:bottom w:val="none" w:sz="0" w:space="0" w:color="auto"/>
                                <w:right w:val="none" w:sz="0" w:space="0" w:color="auto"/>
                              </w:divBdr>
                              <w:divsChild>
                                <w:div w:id="1254171765">
                                  <w:marLeft w:val="0"/>
                                  <w:marRight w:val="0"/>
                                  <w:marTop w:val="0"/>
                                  <w:marBottom w:val="0"/>
                                  <w:divBdr>
                                    <w:top w:val="none" w:sz="0" w:space="0" w:color="auto"/>
                                    <w:left w:val="none" w:sz="0" w:space="0" w:color="auto"/>
                                    <w:bottom w:val="none" w:sz="0" w:space="0" w:color="auto"/>
                                    <w:right w:val="none" w:sz="0" w:space="0" w:color="auto"/>
                                  </w:divBdr>
                                  <w:divsChild>
                                    <w:div w:id="30632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135378">
          <w:marLeft w:val="0"/>
          <w:marRight w:val="0"/>
          <w:marTop w:val="0"/>
          <w:marBottom w:val="0"/>
          <w:divBdr>
            <w:top w:val="none" w:sz="0" w:space="0" w:color="auto"/>
            <w:left w:val="none" w:sz="0" w:space="0" w:color="auto"/>
            <w:bottom w:val="none" w:sz="0" w:space="0" w:color="auto"/>
            <w:right w:val="none" w:sz="0" w:space="0" w:color="auto"/>
          </w:divBdr>
          <w:divsChild>
            <w:div w:id="329795025">
              <w:marLeft w:val="0"/>
              <w:marRight w:val="0"/>
              <w:marTop w:val="0"/>
              <w:marBottom w:val="0"/>
              <w:divBdr>
                <w:top w:val="none" w:sz="0" w:space="0" w:color="auto"/>
                <w:left w:val="none" w:sz="0" w:space="0" w:color="auto"/>
                <w:bottom w:val="none" w:sz="0" w:space="0" w:color="auto"/>
                <w:right w:val="none" w:sz="0" w:space="0" w:color="auto"/>
              </w:divBdr>
              <w:divsChild>
                <w:div w:id="1313212784">
                  <w:marLeft w:val="0"/>
                  <w:marRight w:val="0"/>
                  <w:marTop w:val="0"/>
                  <w:marBottom w:val="0"/>
                  <w:divBdr>
                    <w:top w:val="none" w:sz="0" w:space="0" w:color="auto"/>
                    <w:left w:val="none" w:sz="0" w:space="0" w:color="auto"/>
                    <w:bottom w:val="none" w:sz="0" w:space="0" w:color="auto"/>
                    <w:right w:val="none" w:sz="0" w:space="0" w:color="auto"/>
                  </w:divBdr>
                  <w:divsChild>
                    <w:div w:id="1375931602">
                      <w:marLeft w:val="0"/>
                      <w:marRight w:val="0"/>
                      <w:marTop w:val="0"/>
                      <w:marBottom w:val="0"/>
                      <w:divBdr>
                        <w:top w:val="none" w:sz="0" w:space="0" w:color="auto"/>
                        <w:left w:val="none" w:sz="0" w:space="0" w:color="auto"/>
                        <w:bottom w:val="none" w:sz="0" w:space="0" w:color="auto"/>
                        <w:right w:val="none" w:sz="0" w:space="0" w:color="auto"/>
                      </w:divBdr>
                      <w:divsChild>
                        <w:div w:id="899946395">
                          <w:marLeft w:val="0"/>
                          <w:marRight w:val="0"/>
                          <w:marTop w:val="0"/>
                          <w:marBottom w:val="0"/>
                          <w:divBdr>
                            <w:top w:val="none" w:sz="0" w:space="0" w:color="auto"/>
                            <w:left w:val="none" w:sz="0" w:space="0" w:color="auto"/>
                            <w:bottom w:val="none" w:sz="0" w:space="0" w:color="auto"/>
                            <w:right w:val="none" w:sz="0" w:space="0" w:color="auto"/>
                          </w:divBdr>
                          <w:divsChild>
                            <w:div w:id="522402147">
                              <w:marLeft w:val="0"/>
                              <w:marRight w:val="0"/>
                              <w:marTop w:val="0"/>
                              <w:marBottom w:val="0"/>
                              <w:divBdr>
                                <w:top w:val="none" w:sz="0" w:space="0" w:color="auto"/>
                                <w:left w:val="none" w:sz="0" w:space="0" w:color="auto"/>
                                <w:bottom w:val="none" w:sz="0" w:space="0" w:color="auto"/>
                                <w:right w:val="none" w:sz="0" w:space="0" w:color="auto"/>
                              </w:divBdr>
                              <w:divsChild>
                                <w:div w:id="632751529">
                                  <w:marLeft w:val="0"/>
                                  <w:marRight w:val="0"/>
                                  <w:marTop w:val="0"/>
                                  <w:marBottom w:val="0"/>
                                  <w:divBdr>
                                    <w:top w:val="none" w:sz="0" w:space="0" w:color="auto"/>
                                    <w:left w:val="none" w:sz="0" w:space="0" w:color="auto"/>
                                    <w:bottom w:val="none" w:sz="0" w:space="0" w:color="auto"/>
                                    <w:right w:val="none" w:sz="0" w:space="0" w:color="auto"/>
                                  </w:divBdr>
                                  <w:divsChild>
                                    <w:div w:id="464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9413">
                          <w:marLeft w:val="0"/>
                          <w:marRight w:val="0"/>
                          <w:marTop w:val="0"/>
                          <w:marBottom w:val="0"/>
                          <w:divBdr>
                            <w:top w:val="none" w:sz="0" w:space="0" w:color="auto"/>
                            <w:left w:val="none" w:sz="0" w:space="0" w:color="auto"/>
                            <w:bottom w:val="none" w:sz="0" w:space="0" w:color="auto"/>
                            <w:right w:val="none" w:sz="0" w:space="0" w:color="auto"/>
                          </w:divBdr>
                          <w:divsChild>
                            <w:div w:id="417211137">
                              <w:marLeft w:val="0"/>
                              <w:marRight w:val="0"/>
                              <w:marTop w:val="0"/>
                              <w:marBottom w:val="0"/>
                              <w:divBdr>
                                <w:top w:val="none" w:sz="0" w:space="0" w:color="auto"/>
                                <w:left w:val="none" w:sz="0" w:space="0" w:color="auto"/>
                                <w:bottom w:val="none" w:sz="0" w:space="0" w:color="auto"/>
                                <w:right w:val="none" w:sz="0" w:space="0" w:color="auto"/>
                              </w:divBdr>
                              <w:divsChild>
                                <w:div w:id="1471820457">
                                  <w:marLeft w:val="0"/>
                                  <w:marRight w:val="0"/>
                                  <w:marTop w:val="0"/>
                                  <w:marBottom w:val="0"/>
                                  <w:divBdr>
                                    <w:top w:val="none" w:sz="0" w:space="0" w:color="auto"/>
                                    <w:left w:val="none" w:sz="0" w:space="0" w:color="auto"/>
                                    <w:bottom w:val="none" w:sz="0" w:space="0" w:color="auto"/>
                                    <w:right w:val="none" w:sz="0" w:space="0" w:color="auto"/>
                                  </w:divBdr>
                                  <w:divsChild>
                                    <w:div w:id="7842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51358">
                  <w:marLeft w:val="0"/>
                  <w:marRight w:val="0"/>
                  <w:marTop w:val="0"/>
                  <w:marBottom w:val="0"/>
                  <w:divBdr>
                    <w:top w:val="none" w:sz="0" w:space="0" w:color="auto"/>
                    <w:left w:val="none" w:sz="0" w:space="0" w:color="auto"/>
                    <w:bottom w:val="none" w:sz="0" w:space="0" w:color="auto"/>
                    <w:right w:val="none" w:sz="0" w:space="0" w:color="auto"/>
                  </w:divBdr>
                  <w:divsChild>
                    <w:div w:id="75635627">
                      <w:marLeft w:val="0"/>
                      <w:marRight w:val="0"/>
                      <w:marTop w:val="0"/>
                      <w:marBottom w:val="0"/>
                      <w:divBdr>
                        <w:top w:val="none" w:sz="0" w:space="0" w:color="auto"/>
                        <w:left w:val="none" w:sz="0" w:space="0" w:color="auto"/>
                        <w:bottom w:val="none" w:sz="0" w:space="0" w:color="auto"/>
                        <w:right w:val="none" w:sz="0" w:space="0" w:color="auto"/>
                      </w:divBdr>
                      <w:divsChild>
                        <w:div w:id="1512795294">
                          <w:marLeft w:val="0"/>
                          <w:marRight w:val="0"/>
                          <w:marTop w:val="0"/>
                          <w:marBottom w:val="0"/>
                          <w:divBdr>
                            <w:top w:val="none" w:sz="0" w:space="0" w:color="auto"/>
                            <w:left w:val="none" w:sz="0" w:space="0" w:color="auto"/>
                            <w:bottom w:val="none" w:sz="0" w:space="0" w:color="auto"/>
                            <w:right w:val="none" w:sz="0" w:space="0" w:color="auto"/>
                          </w:divBdr>
                          <w:divsChild>
                            <w:div w:id="1342853825">
                              <w:marLeft w:val="0"/>
                              <w:marRight w:val="0"/>
                              <w:marTop w:val="0"/>
                              <w:marBottom w:val="0"/>
                              <w:divBdr>
                                <w:top w:val="none" w:sz="0" w:space="0" w:color="auto"/>
                                <w:left w:val="none" w:sz="0" w:space="0" w:color="auto"/>
                                <w:bottom w:val="none" w:sz="0" w:space="0" w:color="auto"/>
                                <w:right w:val="none" w:sz="0" w:space="0" w:color="auto"/>
                              </w:divBdr>
                              <w:divsChild>
                                <w:div w:id="1341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98649">
          <w:marLeft w:val="0"/>
          <w:marRight w:val="0"/>
          <w:marTop w:val="0"/>
          <w:marBottom w:val="0"/>
          <w:divBdr>
            <w:top w:val="none" w:sz="0" w:space="0" w:color="auto"/>
            <w:left w:val="none" w:sz="0" w:space="0" w:color="auto"/>
            <w:bottom w:val="none" w:sz="0" w:space="0" w:color="auto"/>
            <w:right w:val="none" w:sz="0" w:space="0" w:color="auto"/>
          </w:divBdr>
          <w:divsChild>
            <w:div w:id="1132215554">
              <w:marLeft w:val="0"/>
              <w:marRight w:val="0"/>
              <w:marTop w:val="0"/>
              <w:marBottom w:val="0"/>
              <w:divBdr>
                <w:top w:val="none" w:sz="0" w:space="0" w:color="auto"/>
                <w:left w:val="none" w:sz="0" w:space="0" w:color="auto"/>
                <w:bottom w:val="none" w:sz="0" w:space="0" w:color="auto"/>
                <w:right w:val="none" w:sz="0" w:space="0" w:color="auto"/>
              </w:divBdr>
              <w:divsChild>
                <w:div w:id="377752385">
                  <w:marLeft w:val="0"/>
                  <w:marRight w:val="0"/>
                  <w:marTop w:val="0"/>
                  <w:marBottom w:val="0"/>
                  <w:divBdr>
                    <w:top w:val="none" w:sz="0" w:space="0" w:color="auto"/>
                    <w:left w:val="none" w:sz="0" w:space="0" w:color="auto"/>
                    <w:bottom w:val="none" w:sz="0" w:space="0" w:color="auto"/>
                    <w:right w:val="none" w:sz="0" w:space="0" w:color="auto"/>
                  </w:divBdr>
                  <w:divsChild>
                    <w:div w:id="964966321">
                      <w:marLeft w:val="0"/>
                      <w:marRight w:val="0"/>
                      <w:marTop w:val="0"/>
                      <w:marBottom w:val="0"/>
                      <w:divBdr>
                        <w:top w:val="none" w:sz="0" w:space="0" w:color="auto"/>
                        <w:left w:val="none" w:sz="0" w:space="0" w:color="auto"/>
                        <w:bottom w:val="none" w:sz="0" w:space="0" w:color="auto"/>
                        <w:right w:val="none" w:sz="0" w:space="0" w:color="auto"/>
                      </w:divBdr>
                      <w:divsChild>
                        <w:div w:id="123427975">
                          <w:marLeft w:val="0"/>
                          <w:marRight w:val="0"/>
                          <w:marTop w:val="0"/>
                          <w:marBottom w:val="0"/>
                          <w:divBdr>
                            <w:top w:val="none" w:sz="0" w:space="0" w:color="auto"/>
                            <w:left w:val="none" w:sz="0" w:space="0" w:color="auto"/>
                            <w:bottom w:val="none" w:sz="0" w:space="0" w:color="auto"/>
                            <w:right w:val="none" w:sz="0" w:space="0" w:color="auto"/>
                          </w:divBdr>
                          <w:divsChild>
                            <w:div w:id="1506045102">
                              <w:marLeft w:val="0"/>
                              <w:marRight w:val="0"/>
                              <w:marTop w:val="0"/>
                              <w:marBottom w:val="0"/>
                              <w:divBdr>
                                <w:top w:val="none" w:sz="0" w:space="0" w:color="auto"/>
                                <w:left w:val="none" w:sz="0" w:space="0" w:color="auto"/>
                                <w:bottom w:val="none" w:sz="0" w:space="0" w:color="auto"/>
                                <w:right w:val="none" w:sz="0" w:space="0" w:color="auto"/>
                              </w:divBdr>
                              <w:divsChild>
                                <w:div w:id="2136678615">
                                  <w:marLeft w:val="0"/>
                                  <w:marRight w:val="0"/>
                                  <w:marTop w:val="0"/>
                                  <w:marBottom w:val="0"/>
                                  <w:divBdr>
                                    <w:top w:val="none" w:sz="0" w:space="0" w:color="auto"/>
                                    <w:left w:val="none" w:sz="0" w:space="0" w:color="auto"/>
                                    <w:bottom w:val="none" w:sz="0" w:space="0" w:color="auto"/>
                                    <w:right w:val="none" w:sz="0" w:space="0" w:color="auto"/>
                                  </w:divBdr>
                                  <w:divsChild>
                                    <w:div w:id="11482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92218">
                          <w:marLeft w:val="0"/>
                          <w:marRight w:val="0"/>
                          <w:marTop w:val="0"/>
                          <w:marBottom w:val="0"/>
                          <w:divBdr>
                            <w:top w:val="none" w:sz="0" w:space="0" w:color="auto"/>
                            <w:left w:val="none" w:sz="0" w:space="0" w:color="auto"/>
                            <w:bottom w:val="none" w:sz="0" w:space="0" w:color="auto"/>
                            <w:right w:val="none" w:sz="0" w:space="0" w:color="auto"/>
                          </w:divBdr>
                          <w:divsChild>
                            <w:div w:id="180097644">
                              <w:marLeft w:val="0"/>
                              <w:marRight w:val="0"/>
                              <w:marTop w:val="0"/>
                              <w:marBottom w:val="0"/>
                              <w:divBdr>
                                <w:top w:val="none" w:sz="0" w:space="0" w:color="auto"/>
                                <w:left w:val="none" w:sz="0" w:space="0" w:color="auto"/>
                                <w:bottom w:val="none" w:sz="0" w:space="0" w:color="auto"/>
                                <w:right w:val="none" w:sz="0" w:space="0" w:color="auto"/>
                              </w:divBdr>
                              <w:divsChild>
                                <w:div w:id="633411699">
                                  <w:marLeft w:val="0"/>
                                  <w:marRight w:val="0"/>
                                  <w:marTop w:val="0"/>
                                  <w:marBottom w:val="0"/>
                                  <w:divBdr>
                                    <w:top w:val="none" w:sz="0" w:space="0" w:color="auto"/>
                                    <w:left w:val="none" w:sz="0" w:space="0" w:color="auto"/>
                                    <w:bottom w:val="none" w:sz="0" w:space="0" w:color="auto"/>
                                    <w:right w:val="none" w:sz="0" w:space="0" w:color="auto"/>
                                  </w:divBdr>
                                  <w:divsChild>
                                    <w:div w:id="21308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660769">
                  <w:marLeft w:val="0"/>
                  <w:marRight w:val="0"/>
                  <w:marTop w:val="0"/>
                  <w:marBottom w:val="0"/>
                  <w:divBdr>
                    <w:top w:val="none" w:sz="0" w:space="0" w:color="auto"/>
                    <w:left w:val="none" w:sz="0" w:space="0" w:color="auto"/>
                    <w:bottom w:val="none" w:sz="0" w:space="0" w:color="auto"/>
                    <w:right w:val="none" w:sz="0" w:space="0" w:color="auto"/>
                  </w:divBdr>
                  <w:divsChild>
                    <w:div w:id="1146245383">
                      <w:marLeft w:val="0"/>
                      <w:marRight w:val="0"/>
                      <w:marTop w:val="0"/>
                      <w:marBottom w:val="0"/>
                      <w:divBdr>
                        <w:top w:val="none" w:sz="0" w:space="0" w:color="auto"/>
                        <w:left w:val="none" w:sz="0" w:space="0" w:color="auto"/>
                        <w:bottom w:val="none" w:sz="0" w:space="0" w:color="auto"/>
                        <w:right w:val="none" w:sz="0" w:space="0" w:color="auto"/>
                      </w:divBdr>
                      <w:divsChild>
                        <w:div w:id="1030378674">
                          <w:marLeft w:val="0"/>
                          <w:marRight w:val="0"/>
                          <w:marTop w:val="0"/>
                          <w:marBottom w:val="0"/>
                          <w:divBdr>
                            <w:top w:val="none" w:sz="0" w:space="0" w:color="auto"/>
                            <w:left w:val="none" w:sz="0" w:space="0" w:color="auto"/>
                            <w:bottom w:val="none" w:sz="0" w:space="0" w:color="auto"/>
                            <w:right w:val="none" w:sz="0" w:space="0" w:color="auto"/>
                          </w:divBdr>
                          <w:divsChild>
                            <w:div w:id="1780105762">
                              <w:marLeft w:val="0"/>
                              <w:marRight w:val="0"/>
                              <w:marTop w:val="0"/>
                              <w:marBottom w:val="0"/>
                              <w:divBdr>
                                <w:top w:val="none" w:sz="0" w:space="0" w:color="auto"/>
                                <w:left w:val="none" w:sz="0" w:space="0" w:color="auto"/>
                                <w:bottom w:val="none" w:sz="0" w:space="0" w:color="auto"/>
                                <w:right w:val="none" w:sz="0" w:space="0" w:color="auto"/>
                              </w:divBdr>
                              <w:divsChild>
                                <w:div w:id="7943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56792">
      <w:bodyDiv w:val="1"/>
      <w:marLeft w:val="0"/>
      <w:marRight w:val="0"/>
      <w:marTop w:val="0"/>
      <w:marBottom w:val="0"/>
      <w:divBdr>
        <w:top w:val="none" w:sz="0" w:space="0" w:color="auto"/>
        <w:left w:val="none" w:sz="0" w:space="0" w:color="auto"/>
        <w:bottom w:val="none" w:sz="0" w:space="0" w:color="auto"/>
        <w:right w:val="none" w:sz="0" w:space="0" w:color="auto"/>
      </w:divBdr>
    </w:div>
    <w:div w:id="186413665">
      <w:bodyDiv w:val="1"/>
      <w:marLeft w:val="0"/>
      <w:marRight w:val="0"/>
      <w:marTop w:val="0"/>
      <w:marBottom w:val="0"/>
      <w:divBdr>
        <w:top w:val="none" w:sz="0" w:space="0" w:color="auto"/>
        <w:left w:val="none" w:sz="0" w:space="0" w:color="auto"/>
        <w:bottom w:val="none" w:sz="0" w:space="0" w:color="auto"/>
        <w:right w:val="none" w:sz="0" w:space="0" w:color="auto"/>
      </w:divBdr>
    </w:div>
    <w:div w:id="189150371">
      <w:bodyDiv w:val="1"/>
      <w:marLeft w:val="0"/>
      <w:marRight w:val="0"/>
      <w:marTop w:val="0"/>
      <w:marBottom w:val="0"/>
      <w:divBdr>
        <w:top w:val="none" w:sz="0" w:space="0" w:color="auto"/>
        <w:left w:val="none" w:sz="0" w:space="0" w:color="auto"/>
        <w:bottom w:val="none" w:sz="0" w:space="0" w:color="auto"/>
        <w:right w:val="none" w:sz="0" w:space="0" w:color="auto"/>
      </w:divBdr>
    </w:div>
    <w:div w:id="189688013">
      <w:bodyDiv w:val="1"/>
      <w:marLeft w:val="0"/>
      <w:marRight w:val="0"/>
      <w:marTop w:val="0"/>
      <w:marBottom w:val="0"/>
      <w:divBdr>
        <w:top w:val="none" w:sz="0" w:space="0" w:color="auto"/>
        <w:left w:val="none" w:sz="0" w:space="0" w:color="auto"/>
        <w:bottom w:val="none" w:sz="0" w:space="0" w:color="auto"/>
        <w:right w:val="none" w:sz="0" w:space="0" w:color="auto"/>
      </w:divBdr>
    </w:div>
    <w:div w:id="189883847">
      <w:bodyDiv w:val="1"/>
      <w:marLeft w:val="0"/>
      <w:marRight w:val="0"/>
      <w:marTop w:val="0"/>
      <w:marBottom w:val="0"/>
      <w:divBdr>
        <w:top w:val="none" w:sz="0" w:space="0" w:color="auto"/>
        <w:left w:val="none" w:sz="0" w:space="0" w:color="auto"/>
        <w:bottom w:val="none" w:sz="0" w:space="0" w:color="auto"/>
        <w:right w:val="none" w:sz="0" w:space="0" w:color="auto"/>
      </w:divBdr>
    </w:div>
    <w:div w:id="194076547">
      <w:bodyDiv w:val="1"/>
      <w:marLeft w:val="0"/>
      <w:marRight w:val="0"/>
      <w:marTop w:val="0"/>
      <w:marBottom w:val="0"/>
      <w:divBdr>
        <w:top w:val="none" w:sz="0" w:space="0" w:color="auto"/>
        <w:left w:val="none" w:sz="0" w:space="0" w:color="auto"/>
        <w:bottom w:val="none" w:sz="0" w:space="0" w:color="auto"/>
        <w:right w:val="none" w:sz="0" w:space="0" w:color="auto"/>
      </w:divBdr>
    </w:div>
    <w:div w:id="201523765">
      <w:bodyDiv w:val="1"/>
      <w:marLeft w:val="0"/>
      <w:marRight w:val="0"/>
      <w:marTop w:val="0"/>
      <w:marBottom w:val="0"/>
      <w:divBdr>
        <w:top w:val="none" w:sz="0" w:space="0" w:color="auto"/>
        <w:left w:val="none" w:sz="0" w:space="0" w:color="auto"/>
        <w:bottom w:val="none" w:sz="0" w:space="0" w:color="auto"/>
        <w:right w:val="none" w:sz="0" w:space="0" w:color="auto"/>
      </w:divBdr>
    </w:div>
    <w:div w:id="210770087">
      <w:bodyDiv w:val="1"/>
      <w:marLeft w:val="0"/>
      <w:marRight w:val="0"/>
      <w:marTop w:val="0"/>
      <w:marBottom w:val="0"/>
      <w:divBdr>
        <w:top w:val="none" w:sz="0" w:space="0" w:color="auto"/>
        <w:left w:val="none" w:sz="0" w:space="0" w:color="auto"/>
        <w:bottom w:val="none" w:sz="0" w:space="0" w:color="auto"/>
        <w:right w:val="none" w:sz="0" w:space="0" w:color="auto"/>
      </w:divBdr>
      <w:divsChild>
        <w:div w:id="1156915406">
          <w:marLeft w:val="0"/>
          <w:marRight w:val="0"/>
          <w:marTop w:val="0"/>
          <w:marBottom w:val="0"/>
          <w:divBdr>
            <w:top w:val="none" w:sz="0" w:space="0" w:color="auto"/>
            <w:left w:val="none" w:sz="0" w:space="0" w:color="auto"/>
            <w:bottom w:val="none" w:sz="0" w:space="0" w:color="auto"/>
            <w:right w:val="none" w:sz="0" w:space="0" w:color="auto"/>
          </w:divBdr>
          <w:divsChild>
            <w:div w:id="1099642035">
              <w:marLeft w:val="0"/>
              <w:marRight w:val="0"/>
              <w:marTop w:val="0"/>
              <w:marBottom w:val="0"/>
              <w:divBdr>
                <w:top w:val="none" w:sz="0" w:space="0" w:color="auto"/>
                <w:left w:val="none" w:sz="0" w:space="0" w:color="auto"/>
                <w:bottom w:val="none" w:sz="0" w:space="0" w:color="auto"/>
                <w:right w:val="none" w:sz="0" w:space="0" w:color="auto"/>
              </w:divBdr>
              <w:divsChild>
                <w:div w:id="1634679630">
                  <w:marLeft w:val="0"/>
                  <w:marRight w:val="0"/>
                  <w:marTop w:val="0"/>
                  <w:marBottom w:val="0"/>
                  <w:divBdr>
                    <w:top w:val="none" w:sz="0" w:space="0" w:color="auto"/>
                    <w:left w:val="none" w:sz="0" w:space="0" w:color="auto"/>
                    <w:bottom w:val="none" w:sz="0" w:space="0" w:color="auto"/>
                    <w:right w:val="none" w:sz="0" w:space="0" w:color="auto"/>
                  </w:divBdr>
                  <w:divsChild>
                    <w:div w:id="320086017">
                      <w:marLeft w:val="0"/>
                      <w:marRight w:val="0"/>
                      <w:marTop w:val="0"/>
                      <w:marBottom w:val="0"/>
                      <w:divBdr>
                        <w:top w:val="none" w:sz="0" w:space="0" w:color="auto"/>
                        <w:left w:val="none" w:sz="0" w:space="0" w:color="auto"/>
                        <w:bottom w:val="none" w:sz="0" w:space="0" w:color="auto"/>
                        <w:right w:val="none" w:sz="0" w:space="0" w:color="auto"/>
                      </w:divBdr>
                      <w:divsChild>
                        <w:div w:id="1139034284">
                          <w:marLeft w:val="0"/>
                          <w:marRight w:val="0"/>
                          <w:marTop w:val="0"/>
                          <w:marBottom w:val="0"/>
                          <w:divBdr>
                            <w:top w:val="none" w:sz="0" w:space="0" w:color="auto"/>
                            <w:left w:val="none" w:sz="0" w:space="0" w:color="auto"/>
                            <w:bottom w:val="none" w:sz="0" w:space="0" w:color="auto"/>
                            <w:right w:val="none" w:sz="0" w:space="0" w:color="auto"/>
                          </w:divBdr>
                          <w:divsChild>
                            <w:div w:id="15655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37602">
      <w:bodyDiv w:val="1"/>
      <w:marLeft w:val="0"/>
      <w:marRight w:val="0"/>
      <w:marTop w:val="0"/>
      <w:marBottom w:val="0"/>
      <w:divBdr>
        <w:top w:val="none" w:sz="0" w:space="0" w:color="auto"/>
        <w:left w:val="none" w:sz="0" w:space="0" w:color="auto"/>
        <w:bottom w:val="none" w:sz="0" w:space="0" w:color="auto"/>
        <w:right w:val="none" w:sz="0" w:space="0" w:color="auto"/>
      </w:divBdr>
    </w:div>
    <w:div w:id="218245105">
      <w:bodyDiv w:val="1"/>
      <w:marLeft w:val="0"/>
      <w:marRight w:val="0"/>
      <w:marTop w:val="0"/>
      <w:marBottom w:val="0"/>
      <w:divBdr>
        <w:top w:val="none" w:sz="0" w:space="0" w:color="auto"/>
        <w:left w:val="none" w:sz="0" w:space="0" w:color="auto"/>
        <w:bottom w:val="none" w:sz="0" w:space="0" w:color="auto"/>
        <w:right w:val="none" w:sz="0" w:space="0" w:color="auto"/>
      </w:divBdr>
    </w:div>
    <w:div w:id="225263682">
      <w:bodyDiv w:val="1"/>
      <w:marLeft w:val="0"/>
      <w:marRight w:val="0"/>
      <w:marTop w:val="0"/>
      <w:marBottom w:val="0"/>
      <w:divBdr>
        <w:top w:val="none" w:sz="0" w:space="0" w:color="auto"/>
        <w:left w:val="none" w:sz="0" w:space="0" w:color="auto"/>
        <w:bottom w:val="none" w:sz="0" w:space="0" w:color="auto"/>
        <w:right w:val="none" w:sz="0" w:space="0" w:color="auto"/>
      </w:divBdr>
      <w:divsChild>
        <w:div w:id="2132284828">
          <w:marLeft w:val="0"/>
          <w:marRight w:val="0"/>
          <w:marTop w:val="0"/>
          <w:marBottom w:val="0"/>
          <w:divBdr>
            <w:top w:val="none" w:sz="0" w:space="0" w:color="auto"/>
            <w:left w:val="none" w:sz="0" w:space="0" w:color="auto"/>
            <w:bottom w:val="none" w:sz="0" w:space="0" w:color="auto"/>
            <w:right w:val="none" w:sz="0" w:space="0" w:color="auto"/>
          </w:divBdr>
          <w:divsChild>
            <w:div w:id="1556892307">
              <w:marLeft w:val="0"/>
              <w:marRight w:val="0"/>
              <w:marTop w:val="0"/>
              <w:marBottom w:val="0"/>
              <w:divBdr>
                <w:top w:val="none" w:sz="0" w:space="0" w:color="auto"/>
                <w:left w:val="none" w:sz="0" w:space="0" w:color="auto"/>
                <w:bottom w:val="none" w:sz="0" w:space="0" w:color="auto"/>
                <w:right w:val="none" w:sz="0" w:space="0" w:color="auto"/>
              </w:divBdr>
              <w:divsChild>
                <w:div w:id="1030840402">
                  <w:marLeft w:val="0"/>
                  <w:marRight w:val="0"/>
                  <w:marTop w:val="0"/>
                  <w:marBottom w:val="0"/>
                  <w:divBdr>
                    <w:top w:val="none" w:sz="0" w:space="0" w:color="auto"/>
                    <w:left w:val="none" w:sz="0" w:space="0" w:color="auto"/>
                    <w:bottom w:val="none" w:sz="0" w:space="0" w:color="auto"/>
                    <w:right w:val="none" w:sz="0" w:space="0" w:color="auto"/>
                  </w:divBdr>
                  <w:divsChild>
                    <w:div w:id="1093820644">
                      <w:marLeft w:val="0"/>
                      <w:marRight w:val="0"/>
                      <w:marTop w:val="0"/>
                      <w:marBottom w:val="0"/>
                      <w:divBdr>
                        <w:top w:val="none" w:sz="0" w:space="0" w:color="auto"/>
                        <w:left w:val="none" w:sz="0" w:space="0" w:color="auto"/>
                        <w:bottom w:val="none" w:sz="0" w:space="0" w:color="auto"/>
                        <w:right w:val="none" w:sz="0" w:space="0" w:color="auto"/>
                      </w:divBdr>
                      <w:divsChild>
                        <w:div w:id="104467518">
                          <w:marLeft w:val="0"/>
                          <w:marRight w:val="0"/>
                          <w:marTop w:val="0"/>
                          <w:marBottom w:val="0"/>
                          <w:divBdr>
                            <w:top w:val="none" w:sz="0" w:space="0" w:color="auto"/>
                            <w:left w:val="none" w:sz="0" w:space="0" w:color="auto"/>
                            <w:bottom w:val="none" w:sz="0" w:space="0" w:color="auto"/>
                            <w:right w:val="none" w:sz="0" w:space="0" w:color="auto"/>
                          </w:divBdr>
                          <w:divsChild>
                            <w:div w:id="13028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027177">
      <w:bodyDiv w:val="1"/>
      <w:marLeft w:val="0"/>
      <w:marRight w:val="0"/>
      <w:marTop w:val="0"/>
      <w:marBottom w:val="0"/>
      <w:divBdr>
        <w:top w:val="none" w:sz="0" w:space="0" w:color="auto"/>
        <w:left w:val="none" w:sz="0" w:space="0" w:color="auto"/>
        <w:bottom w:val="none" w:sz="0" w:space="0" w:color="auto"/>
        <w:right w:val="none" w:sz="0" w:space="0" w:color="auto"/>
      </w:divBdr>
    </w:div>
    <w:div w:id="247347949">
      <w:bodyDiv w:val="1"/>
      <w:marLeft w:val="0"/>
      <w:marRight w:val="0"/>
      <w:marTop w:val="0"/>
      <w:marBottom w:val="0"/>
      <w:divBdr>
        <w:top w:val="none" w:sz="0" w:space="0" w:color="auto"/>
        <w:left w:val="none" w:sz="0" w:space="0" w:color="auto"/>
        <w:bottom w:val="none" w:sz="0" w:space="0" w:color="auto"/>
        <w:right w:val="none" w:sz="0" w:space="0" w:color="auto"/>
      </w:divBdr>
    </w:div>
    <w:div w:id="258220189">
      <w:bodyDiv w:val="1"/>
      <w:marLeft w:val="0"/>
      <w:marRight w:val="0"/>
      <w:marTop w:val="0"/>
      <w:marBottom w:val="0"/>
      <w:divBdr>
        <w:top w:val="none" w:sz="0" w:space="0" w:color="auto"/>
        <w:left w:val="none" w:sz="0" w:space="0" w:color="auto"/>
        <w:bottom w:val="none" w:sz="0" w:space="0" w:color="auto"/>
        <w:right w:val="none" w:sz="0" w:space="0" w:color="auto"/>
      </w:divBdr>
    </w:div>
    <w:div w:id="258686841">
      <w:bodyDiv w:val="1"/>
      <w:marLeft w:val="0"/>
      <w:marRight w:val="0"/>
      <w:marTop w:val="0"/>
      <w:marBottom w:val="0"/>
      <w:divBdr>
        <w:top w:val="none" w:sz="0" w:space="0" w:color="auto"/>
        <w:left w:val="none" w:sz="0" w:space="0" w:color="auto"/>
        <w:bottom w:val="none" w:sz="0" w:space="0" w:color="auto"/>
        <w:right w:val="none" w:sz="0" w:space="0" w:color="auto"/>
      </w:divBdr>
    </w:div>
    <w:div w:id="264730179">
      <w:bodyDiv w:val="1"/>
      <w:marLeft w:val="0"/>
      <w:marRight w:val="0"/>
      <w:marTop w:val="0"/>
      <w:marBottom w:val="0"/>
      <w:divBdr>
        <w:top w:val="none" w:sz="0" w:space="0" w:color="auto"/>
        <w:left w:val="none" w:sz="0" w:space="0" w:color="auto"/>
        <w:bottom w:val="none" w:sz="0" w:space="0" w:color="auto"/>
        <w:right w:val="none" w:sz="0" w:space="0" w:color="auto"/>
      </w:divBdr>
      <w:divsChild>
        <w:div w:id="426315037">
          <w:marLeft w:val="0"/>
          <w:marRight w:val="0"/>
          <w:marTop w:val="0"/>
          <w:marBottom w:val="0"/>
          <w:divBdr>
            <w:top w:val="none" w:sz="0" w:space="0" w:color="auto"/>
            <w:left w:val="none" w:sz="0" w:space="0" w:color="auto"/>
            <w:bottom w:val="none" w:sz="0" w:space="0" w:color="auto"/>
            <w:right w:val="none" w:sz="0" w:space="0" w:color="auto"/>
          </w:divBdr>
          <w:divsChild>
            <w:div w:id="1542863586">
              <w:marLeft w:val="0"/>
              <w:marRight w:val="0"/>
              <w:marTop w:val="0"/>
              <w:marBottom w:val="0"/>
              <w:divBdr>
                <w:top w:val="none" w:sz="0" w:space="0" w:color="auto"/>
                <w:left w:val="none" w:sz="0" w:space="0" w:color="auto"/>
                <w:bottom w:val="none" w:sz="0" w:space="0" w:color="auto"/>
                <w:right w:val="none" w:sz="0" w:space="0" w:color="auto"/>
              </w:divBdr>
              <w:divsChild>
                <w:div w:id="112210620">
                  <w:marLeft w:val="0"/>
                  <w:marRight w:val="0"/>
                  <w:marTop w:val="0"/>
                  <w:marBottom w:val="0"/>
                  <w:divBdr>
                    <w:top w:val="none" w:sz="0" w:space="0" w:color="auto"/>
                    <w:left w:val="none" w:sz="0" w:space="0" w:color="auto"/>
                    <w:bottom w:val="none" w:sz="0" w:space="0" w:color="auto"/>
                    <w:right w:val="none" w:sz="0" w:space="0" w:color="auto"/>
                  </w:divBdr>
                  <w:divsChild>
                    <w:div w:id="225456902">
                      <w:marLeft w:val="0"/>
                      <w:marRight w:val="0"/>
                      <w:marTop w:val="0"/>
                      <w:marBottom w:val="0"/>
                      <w:divBdr>
                        <w:top w:val="none" w:sz="0" w:space="0" w:color="auto"/>
                        <w:left w:val="none" w:sz="0" w:space="0" w:color="auto"/>
                        <w:bottom w:val="none" w:sz="0" w:space="0" w:color="auto"/>
                        <w:right w:val="none" w:sz="0" w:space="0" w:color="auto"/>
                      </w:divBdr>
                      <w:divsChild>
                        <w:div w:id="505750387">
                          <w:marLeft w:val="0"/>
                          <w:marRight w:val="0"/>
                          <w:marTop w:val="0"/>
                          <w:marBottom w:val="0"/>
                          <w:divBdr>
                            <w:top w:val="none" w:sz="0" w:space="0" w:color="auto"/>
                            <w:left w:val="none" w:sz="0" w:space="0" w:color="auto"/>
                            <w:bottom w:val="none" w:sz="0" w:space="0" w:color="auto"/>
                            <w:right w:val="none" w:sz="0" w:space="0" w:color="auto"/>
                          </w:divBdr>
                          <w:divsChild>
                            <w:div w:id="91165081">
                              <w:marLeft w:val="0"/>
                              <w:marRight w:val="0"/>
                              <w:marTop w:val="0"/>
                              <w:marBottom w:val="0"/>
                              <w:divBdr>
                                <w:top w:val="none" w:sz="0" w:space="0" w:color="auto"/>
                                <w:left w:val="none" w:sz="0" w:space="0" w:color="auto"/>
                                <w:bottom w:val="none" w:sz="0" w:space="0" w:color="auto"/>
                                <w:right w:val="none" w:sz="0" w:space="0" w:color="auto"/>
                              </w:divBdr>
                              <w:divsChild>
                                <w:div w:id="1726636729">
                                  <w:marLeft w:val="0"/>
                                  <w:marRight w:val="0"/>
                                  <w:marTop w:val="0"/>
                                  <w:marBottom w:val="0"/>
                                  <w:divBdr>
                                    <w:top w:val="none" w:sz="0" w:space="0" w:color="auto"/>
                                    <w:left w:val="none" w:sz="0" w:space="0" w:color="auto"/>
                                    <w:bottom w:val="none" w:sz="0" w:space="0" w:color="auto"/>
                                    <w:right w:val="none" w:sz="0" w:space="0" w:color="auto"/>
                                  </w:divBdr>
                                  <w:divsChild>
                                    <w:div w:id="74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237481">
      <w:bodyDiv w:val="1"/>
      <w:marLeft w:val="0"/>
      <w:marRight w:val="0"/>
      <w:marTop w:val="0"/>
      <w:marBottom w:val="0"/>
      <w:divBdr>
        <w:top w:val="none" w:sz="0" w:space="0" w:color="auto"/>
        <w:left w:val="none" w:sz="0" w:space="0" w:color="auto"/>
        <w:bottom w:val="none" w:sz="0" w:space="0" w:color="auto"/>
        <w:right w:val="none" w:sz="0" w:space="0" w:color="auto"/>
      </w:divBdr>
    </w:div>
    <w:div w:id="269555806">
      <w:bodyDiv w:val="1"/>
      <w:marLeft w:val="0"/>
      <w:marRight w:val="0"/>
      <w:marTop w:val="0"/>
      <w:marBottom w:val="0"/>
      <w:divBdr>
        <w:top w:val="none" w:sz="0" w:space="0" w:color="auto"/>
        <w:left w:val="none" w:sz="0" w:space="0" w:color="auto"/>
        <w:bottom w:val="none" w:sz="0" w:space="0" w:color="auto"/>
        <w:right w:val="none" w:sz="0" w:space="0" w:color="auto"/>
      </w:divBdr>
    </w:div>
    <w:div w:id="270626600">
      <w:bodyDiv w:val="1"/>
      <w:marLeft w:val="0"/>
      <w:marRight w:val="0"/>
      <w:marTop w:val="0"/>
      <w:marBottom w:val="0"/>
      <w:divBdr>
        <w:top w:val="none" w:sz="0" w:space="0" w:color="auto"/>
        <w:left w:val="none" w:sz="0" w:space="0" w:color="auto"/>
        <w:bottom w:val="none" w:sz="0" w:space="0" w:color="auto"/>
        <w:right w:val="none" w:sz="0" w:space="0" w:color="auto"/>
      </w:divBdr>
    </w:div>
    <w:div w:id="272127640">
      <w:bodyDiv w:val="1"/>
      <w:marLeft w:val="0"/>
      <w:marRight w:val="0"/>
      <w:marTop w:val="0"/>
      <w:marBottom w:val="0"/>
      <w:divBdr>
        <w:top w:val="none" w:sz="0" w:space="0" w:color="auto"/>
        <w:left w:val="none" w:sz="0" w:space="0" w:color="auto"/>
        <w:bottom w:val="none" w:sz="0" w:space="0" w:color="auto"/>
        <w:right w:val="none" w:sz="0" w:space="0" w:color="auto"/>
      </w:divBdr>
    </w:div>
    <w:div w:id="277681944">
      <w:bodyDiv w:val="1"/>
      <w:marLeft w:val="0"/>
      <w:marRight w:val="0"/>
      <w:marTop w:val="0"/>
      <w:marBottom w:val="0"/>
      <w:divBdr>
        <w:top w:val="none" w:sz="0" w:space="0" w:color="auto"/>
        <w:left w:val="none" w:sz="0" w:space="0" w:color="auto"/>
        <w:bottom w:val="none" w:sz="0" w:space="0" w:color="auto"/>
        <w:right w:val="none" w:sz="0" w:space="0" w:color="auto"/>
      </w:divBdr>
    </w:div>
    <w:div w:id="280234161">
      <w:bodyDiv w:val="1"/>
      <w:marLeft w:val="0"/>
      <w:marRight w:val="0"/>
      <w:marTop w:val="0"/>
      <w:marBottom w:val="0"/>
      <w:divBdr>
        <w:top w:val="none" w:sz="0" w:space="0" w:color="auto"/>
        <w:left w:val="none" w:sz="0" w:space="0" w:color="auto"/>
        <w:bottom w:val="none" w:sz="0" w:space="0" w:color="auto"/>
        <w:right w:val="none" w:sz="0" w:space="0" w:color="auto"/>
      </w:divBdr>
      <w:divsChild>
        <w:div w:id="234323677">
          <w:marLeft w:val="0"/>
          <w:marRight w:val="0"/>
          <w:marTop w:val="0"/>
          <w:marBottom w:val="0"/>
          <w:divBdr>
            <w:top w:val="none" w:sz="0" w:space="0" w:color="auto"/>
            <w:left w:val="none" w:sz="0" w:space="0" w:color="auto"/>
            <w:bottom w:val="none" w:sz="0" w:space="0" w:color="auto"/>
            <w:right w:val="none" w:sz="0" w:space="0" w:color="auto"/>
          </w:divBdr>
          <w:divsChild>
            <w:div w:id="848450319">
              <w:marLeft w:val="-75"/>
              <w:marRight w:val="0"/>
              <w:marTop w:val="30"/>
              <w:marBottom w:val="30"/>
              <w:divBdr>
                <w:top w:val="none" w:sz="0" w:space="0" w:color="auto"/>
                <w:left w:val="none" w:sz="0" w:space="0" w:color="auto"/>
                <w:bottom w:val="none" w:sz="0" w:space="0" w:color="auto"/>
                <w:right w:val="none" w:sz="0" w:space="0" w:color="auto"/>
              </w:divBdr>
              <w:divsChild>
                <w:div w:id="42103918">
                  <w:marLeft w:val="0"/>
                  <w:marRight w:val="0"/>
                  <w:marTop w:val="0"/>
                  <w:marBottom w:val="0"/>
                  <w:divBdr>
                    <w:top w:val="none" w:sz="0" w:space="0" w:color="auto"/>
                    <w:left w:val="none" w:sz="0" w:space="0" w:color="auto"/>
                    <w:bottom w:val="none" w:sz="0" w:space="0" w:color="auto"/>
                    <w:right w:val="none" w:sz="0" w:space="0" w:color="auto"/>
                  </w:divBdr>
                  <w:divsChild>
                    <w:div w:id="1296906848">
                      <w:marLeft w:val="0"/>
                      <w:marRight w:val="0"/>
                      <w:marTop w:val="0"/>
                      <w:marBottom w:val="0"/>
                      <w:divBdr>
                        <w:top w:val="none" w:sz="0" w:space="0" w:color="auto"/>
                        <w:left w:val="none" w:sz="0" w:space="0" w:color="auto"/>
                        <w:bottom w:val="none" w:sz="0" w:space="0" w:color="auto"/>
                        <w:right w:val="none" w:sz="0" w:space="0" w:color="auto"/>
                      </w:divBdr>
                    </w:div>
                  </w:divsChild>
                </w:div>
                <w:div w:id="42337120">
                  <w:marLeft w:val="0"/>
                  <w:marRight w:val="0"/>
                  <w:marTop w:val="0"/>
                  <w:marBottom w:val="0"/>
                  <w:divBdr>
                    <w:top w:val="none" w:sz="0" w:space="0" w:color="auto"/>
                    <w:left w:val="none" w:sz="0" w:space="0" w:color="auto"/>
                    <w:bottom w:val="none" w:sz="0" w:space="0" w:color="auto"/>
                    <w:right w:val="none" w:sz="0" w:space="0" w:color="auto"/>
                  </w:divBdr>
                  <w:divsChild>
                    <w:div w:id="939682390">
                      <w:marLeft w:val="0"/>
                      <w:marRight w:val="0"/>
                      <w:marTop w:val="0"/>
                      <w:marBottom w:val="0"/>
                      <w:divBdr>
                        <w:top w:val="none" w:sz="0" w:space="0" w:color="auto"/>
                        <w:left w:val="none" w:sz="0" w:space="0" w:color="auto"/>
                        <w:bottom w:val="none" w:sz="0" w:space="0" w:color="auto"/>
                        <w:right w:val="none" w:sz="0" w:space="0" w:color="auto"/>
                      </w:divBdr>
                    </w:div>
                  </w:divsChild>
                </w:div>
                <w:div w:id="53968860">
                  <w:marLeft w:val="0"/>
                  <w:marRight w:val="0"/>
                  <w:marTop w:val="0"/>
                  <w:marBottom w:val="0"/>
                  <w:divBdr>
                    <w:top w:val="none" w:sz="0" w:space="0" w:color="auto"/>
                    <w:left w:val="none" w:sz="0" w:space="0" w:color="auto"/>
                    <w:bottom w:val="none" w:sz="0" w:space="0" w:color="auto"/>
                    <w:right w:val="none" w:sz="0" w:space="0" w:color="auto"/>
                  </w:divBdr>
                  <w:divsChild>
                    <w:div w:id="774593779">
                      <w:marLeft w:val="0"/>
                      <w:marRight w:val="0"/>
                      <w:marTop w:val="0"/>
                      <w:marBottom w:val="0"/>
                      <w:divBdr>
                        <w:top w:val="none" w:sz="0" w:space="0" w:color="auto"/>
                        <w:left w:val="none" w:sz="0" w:space="0" w:color="auto"/>
                        <w:bottom w:val="none" w:sz="0" w:space="0" w:color="auto"/>
                        <w:right w:val="none" w:sz="0" w:space="0" w:color="auto"/>
                      </w:divBdr>
                    </w:div>
                  </w:divsChild>
                </w:div>
                <w:div w:id="56903500">
                  <w:marLeft w:val="0"/>
                  <w:marRight w:val="0"/>
                  <w:marTop w:val="0"/>
                  <w:marBottom w:val="0"/>
                  <w:divBdr>
                    <w:top w:val="none" w:sz="0" w:space="0" w:color="auto"/>
                    <w:left w:val="none" w:sz="0" w:space="0" w:color="auto"/>
                    <w:bottom w:val="none" w:sz="0" w:space="0" w:color="auto"/>
                    <w:right w:val="none" w:sz="0" w:space="0" w:color="auto"/>
                  </w:divBdr>
                  <w:divsChild>
                    <w:div w:id="1623851161">
                      <w:marLeft w:val="0"/>
                      <w:marRight w:val="0"/>
                      <w:marTop w:val="0"/>
                      <w:marBottom w:val="0"/>
                      <w:divBdr>
                        <w:top w:val="none" w:sz="0" w:space="0" w:color="auto"/>
                        <w:left w:val="none" w:sz="0" w:space="0" w:color="auto"/>
                        <w:bottom w:val="none" w:sz="0" w:space="0" w:color="auto"/>
                        <w:right w:val="none" w:sz="0" w:space="0" w:color="auto"/>
                      </w:divBdr>
                    </w:div>
                  </w:divsChild>
                </w:div>
                <w:div w:id="67728197">
                  <w:marLeft w:val="0"/>
                  <w:marRight w:val="0"/>
                  <w:marTop w:val="0"/>
                  <w:marBottom w:val="0"/>
                  <w:divBdr>
                    <w:top w:val="none" w:sz="0" w:space="0" w:color="auto"/>
                    <w:left w:val="none" w:sz="0" w:space="0" w:color="auto"/>
                    <w:bottom w:val="none" w:sz="0" w:space="0" w:color="auto"/>
                    <w:right w:val="none" w:sz="0" w:space="0" w:color="auto"/>
                  </w:divBdr>
                  <w:divsChild>
                    <w:div w:id="73204049">
                      <w:marLeft w:val="0"/>
                      <w:marRight w:val="0"/>
                      <w:marTop w:val="0"/>
                      <w:marBottom w:val="0"/>
                      <w:divBdr>
                        <w:top w:val="none" w:sz="0" w:space="0" w:color="auto"/>
                        <w:left w:val="none" w:sz="0" w:space="0" w:color="auto"/>
                        <w:bottom w:val="none" w:sz="0" w:space="0" w:color="auto"/>
                        <w:right w:val="none" w:sz="0" w:space="0" w:color="auto"/>
                      </w:divBdr>
                    </w:div>
                  </w:divsChild>
                </w:div>
                <w:div w:id="73623496">
                  <w:marLeft w:val="0"/>
                  <w:marRight w:val="0"/>
                  <w:marTop w:val="0"/>
                  <w:marBottom w:val="0"/>
                  <w:divBdr>
                    <w:top w:val="none" w:sz="0" w:space="0" w:color="auto"/>
                    <w:left w:val="none" w:sz="0" w:space="0" w:color="auto"/>
                    <w:bottom w:val="none" w:sz="0" w:space="0" w:color="auto"/>
                    <w:right w:val="none" w:sz="0" w:space="0" w:color="auto"/>
                  </w:divBdr>
                  <w:divsChild>
                    <w:div w:id="1711609370">
                      <w:marLeft w:val="0"/>
                      <w:marRight w:val="0"/>
                      <w:marTop w:val="0"/>
                      <w:marBottom w:val="0"/>
                      <w:divBdr>
                        <w:top w:val="none" w:sz="0" w:space="0" w:color="auto"/>
                        <w:left w:val="none" w:sz="0" w:space="0" w:color="auto"/>
                        <w:bottom w:val="none" w:sz="0" w:space="0" w:color="auto"/>
                        <w:right w:val="none" w:sz="0" w:space="0" w:color="auto"/>
                      </w:divBdr>
                    </w:div>
                  </w:divsChild>
                </w:div>
                <w:div w:id="95058764">
                  <w:marLeft w:val="0"/>
                  <w:marRight w:val="0"/>
                  <w:marTop w:val="0"/>
                  <w:marBottom w:val="0"/>
                  <w:divBdr>
                    <w:top w:val="none" w:sz="0" w:space="0" w:color="auto"/>
                    <w:left w:val="none" w:sz="0" w:space="0" w:color="auto"/>
                    <w:bottom w:val="none" w:sz="0" w:space="0" w:color="auto"/>
                    <w:right w:val="none" w:sz="0" w:space="0" w:color="auto"/>
                  </w:divBdr>
                  <w:divsChild>
                    <w:div w:id="1017777934">
                      <w:marLeft w:val="0"/>
                      <w:marRight w:val="0"/>
                      <w:marTop w:val="0"/>
                      <w:marBottom w:val="0"/>
                      <w:divBdr>
                        <w:top w:val="none" w:sz="0" w:space="0" w:color="auto"/>
                        <w:left w:val="none" w:sz="0" w:space="0" w:color="auto"/>
                        <w:bottom w:val="none" w:sz="0" w:space="0" w:color="auto"/>
                        <w:right w:val="none" w:sz="0" w:space="0" w:color="auto"/>
                      </w:divBdr>
                    </w:div>
                  </w:divsChild>
                </w:div>
                <w:div w:id="130484726">
                  <w:marLeft w:val="0"/>
                  <w:marRight w:val="0"/>
                  <w:marTop w:val="0"/>
                  <w:marBottom w:val="0"/>
                  <w:divBdr>
                    <w:top w:val="none" w:sz="0" w:space="0" w:color="auto"/>
                    <w:left w:val="none" w:sz="0" w:space="0" w:color="auto"/>
                    <w:bottom w:val="none" w:sz="0" w:space="0" w:color="auto"/>
                    <w:right w:val="none" w:sz="0" w:space="0" w:color="auto"/>
                  </w:divBdr>
                  <w:divsChild>
                    <w:div w:id="1340037083">
                      <w:marLeft w:val="0"/>
                      <w:marRight w:val="0"/>
                      <w:marTop w:val="0"/>
                      <w:marBottom w:val="0"/>
                      <w:divBdr>
                        <w:top w:val="none" w:sz="0" w:space="0" w:color="auto"/>
                        <w:left w:val="none" w:sz="0" w:space="0" w:color="auto"/>
                        <w:bottom w:val="none" w:sz="0" w:space="0" w:color="auto"/>
                        <w:right w:val="none" w:sz="0" w:space="0" w:color="auto"/>
                      </w:divBdr>
                    </w:div>
                  </w:divsChild>
                </w:div>
                <w:div w:id="131603677">
                  <w:marLeft w:val="0"/>
                  <w:marRight w:val="0"/>
                  <w:marTop w:val="0"/>
                  <w:marBottom w:val="0"/>
                  <w:divBdr>
                    <w:top w:val="none" w:sz="0" w:space="0" w:color="auto"/>
                    <w:left w:val="none" w:sz="0" w:space="0" w:color="auto"/>
                    <w:bottom w:val="none" w:sz="0" w:space="0" w:color="auto"/>
                    <w:right w:val="none" w:sz="0" w:space="0" w:color="auto"/>
                  </w:divBdr>
                  <w:divsChild>
                    <w:div w:id="1323851533">
                      <w:marLeft w:val="0"/>
                      <w:marRight w:val="0"/>
                      <w:marTop w:val="0"/>
                      <w:marBottom w:val="0"/>
                      <w:divBdr>
                        <w:top w:val="none" w:sz="0" w:space="0" w:color="auto"/>
                        <w:left w:val="none" w:sz="0" w:space="0" w:color="auto"/>
                        <w:bottom w:val="none" w:sz="0" w:space="0" w:color="auto"/>
                        <w:right w:val="none" w:sz="0" w:space="0" w:color="auto"/>
                      </w:divBdr>
                    </w:div>
                  </w:divsChild>
                </w:div>
                <w:div w:id="143087490">
                  <w:marLeft w:val="0"/>
                  <w:marRight w:val="0"/>
                  <w:marTop w:val="0"/>
                  <w:marBottom w:val="0"/>
                  <w:divBdr>
                    <w:top w:val="none" w:sz="0" w:space="0" w:color="auto"/>
                    <w:left w:val="none" w:sz="0" w:space="0" w:color="auto"/>
                    <w:bottom w:val="none" w:sz="0" w:space="0" w:color="auto"/>
                    <w:right w:val="none" w:sz="0" w:space="0" w:color="auto"/>
                  </w:divBdr>
                  <w:divsChild>
                    <w:div w:id="2006399591">
                      <w:marLeft w:val="0"/>
                      <w:marRight w:val="0"/>
                      <w:marTop w:val="0"/>
                      <w:marBottom w:val="0"/>
                      <w:divBdr>
                        <w:top w:val="none" w:sz="0" w:space="0" w:color="auto"/>
                        <w:left w:val="none" w:sz="0" w:space="0" w:color="auto"/>
                        <w:bottom w:val="none" w:sz="0" w:space="0" w:color="auto"/>
                        <w:right w:val="none" w:sz="0" w:space="0" w:color="auto"/>
                      </w:divBdr>
                    </w:div>
                  </w:divsChild>
                </w:div>
                <w:div w:id="182716199">
                  <w:marLeft w:val="0"/>
                  <w:marRight w:val="0"/>
                  <w:marTop w:val="0"/>
                  <w:marBottom w:val="0"/>
                  <w:divBdr>
                    <w:top w:val="none" w:sz="0" w:space="0" w:color="auto"/>
                    <w:left w:val="none" w:sz="0" w:space="0" w:color="auto"/>
                    <w:bottom w:val="none" w:sz="0" w:space="0" w:color="auto"/>
                    <w:right w:val="none" w:sz="0" w:space="0" w:color="auto"/>
                  </w:divBdr>
                  <w:divsChild>
                    <w:div w:id="94833812">
                      <w:marLeft w:val="0"/>
                      <w:marRight w:val="0"/>
                      <w:marTop w:val="0"/>
                      <w:marBottom w:val="0"/>
                      <w:divBdr>
                        <w:top w:val="none" w:sz="0" w:space="0" w:color="auto"/>
                        <w:left w:val="none" w:sz="0" w:space="0" w:color="auto"/>
                        <w:bottom w:val="none" w:sz="0" w:space="0" w:color="auto"/>
                        <w:right w:val="none" w:sz="0" w:space="0" w:color="auto"/>
                      </w:divBdr>
                    </w:div>
                  </w:divsChild>
                </w:div>
                <w:div w:id="186910540">
                  <w:marLeft w:val="0"/>
                  <w:marRight w:val="0"/>
                  <w:marTop w:val="0"/>
                  <w:marBottom w:val="0"/>
                  <w:divBdr>
                    <w:top w:val="none" w:sz="0" w:space="0" w:color="auto"/>
                    <w:left w:val="none" w:sz="0" w:space="0" w:color="auto"/>
                    <w:bottom w:val="none" w:sz="0" w:space="0" w:color="auto"/>
                    <w:right w:val="none" w:sz="0" w:space="0" w:color="auto"/>
                  </w:divBdr>
                  <w:divsChild>
                    <w:div w:id="1953588925">
                      <w:marLeft w:val="0"/>
                      <w:marRight w:val="0"/>
                      <w:marTop w:val="0"/>
                      <w:marBottom w:val="0"/>
                      <w:divBdr>
                        <w:top w:val="none" w:sz="0" w:space="0" w:color="auto"/>
                        <w:left w:val="none" w:sz="0" w:space="0" w:color="auto"/>
                        <w:bottom w:val="none" w:sz="0" w:space="0" w:color="auto"/>
                        <w:right w:val="none" w:sz="0" w:space="0" w:color="auto"/>
                      </w:divBdr>
                    </w:div>
                  </w:divsChild>
                </w:div>
                <w:div w:id="202711687">
                  <w:marLeft w:val="0"/>
                  <w:marRight w:val="0"/>
                  <w:marTop w:val="0"/>
                  <w:marBottom w:val="0"/>
                  <w:divBdr>
                    <w:top w:val="none" w:sz="0" w:space="0" w:color="auto"/>
                    <w:left w:val="none" w:sz="0" w:space="0" w:color="auto"/>
                    <w:bottom w:val="none" w:sz="0" w:space="0" w:color="auto"/>
                    <w:right w:val="none" w:sz="0" w:space="0" w:color="auto"/>
                  </w:divBdr>
                  <w:divsChild>
                    <w:div w:id="1755202705">
                      <w:marLeft w:val="0"/>
                      <w:marRight w:val="0"/>
                      <w:marTop w:val="0"/>
                      <w:marBottom w:val="0"/>
                      <w:divBdr>
                        <w:top w:val="none" w:sz="0" w:space="0" w:color="auto"/>
                        <w:left w:val="none" w:sz="0" w:space="0" w:color="auto"/>
                        <w:bottom w:val="none" w:sz="0" w:space="0" w:color="auto"/>
                        <w:right w:val="none" w:sz="0" w:space="0" w:color="auto"/>
                      </w:divBdr>
                    </w:div>
                  </w:divsChild>
                </w:div>
                <w:div w:id="214850556">
                  <w:marLeft w:val="0"/>
                  <w:marRight w:val="0"/>
                  <w:marTop w:val="0"/>
                  <w:marBottom w:val="0"/>
                  <w:divBdr>
                    <w:top w:val="none" w:sz="0" w:space="0" w:color="auto"/>
                    <w:left w:val="none" w:sz="0" w:space="0" w:color="auto"/>
                    <w:bottom w:val="none" w:sz="0" w:space="0" w:color="auto"/>
                    <w:right w:val="none" w:sz="0" w:space="0" w:color="auto"/>
                  </w:divBdr>
                  <w:divsChild>
                    <w:div w:id="1413891227">
                      <w:marLeft w:val="0"/>
                      <w:marRight w:val="0"/>
                      <w:marTop w:val="0"/>
                      <w:marBottom w:val="0"/>
                      <w:divBdr>
                        <w:top w:val="none" w:sz="0" w:space="0" w:color="auto"/>
                        <w:left w:val="none" w:sz="0" w:space="0" w:color="auto"/>
                        <w:bottom w:val="none" w:sz="0" w:space="0" w:color="auto"/>
                        <w:right w:val="none" w:sz="0" w:space="0" w:color="auto"/>
                      </w:divBdr>
                    </w:div>
                  </w:divsChild>
                </w:div>
                <w:div w:id="285239383">
                  <w:marLeft w:val="0"/>
                  <w:marRight w:val="0"/>
                  <w:marTop w:val="0"/>
                  <w:marBottom w:val="0"/>
                  <w:divBdr>
                    <w:top w:val="none" w:sz="0" w:space="0" w:color="auto"/>
                    <w:left w:val="none" w:sz="0" w:space="0" w:color="auto"/>
                    <w:bottom w:val="none" w:sz="0" w:space="0" w:color="auto"/>
                    <w:right w:val="none" w:sz="0" w:space="0" w:color="auto"/>
                  </w:divBdr>
                  <w:divsChild>
                    <w:div w:id="1032606863">
                      <w:marLeft w:val="0"/>
                      <w:marRight w:val="0"/>
                      <w:marTop w:val="0"/>
                      <w:marBottom w:val="0"/>
                      <w:divBdr>
                        <w:top w:val="none" w:sz="0" w:space="0" w:color="auto"/>
                        <w:left w:val="none" w:sz="0" w:space="0" w:color="auto"/>
                        <w:bottom w:val="none" w:sz="0" w:space="0" w:color="auto"/>
                        <w:right w:val="none" w:sz="0" w:space="0" w:color="auto"/>
                      </w:divBdr>
                    </w:div>
                  </w:divsChild>
                </w:div>
                <w:div w:id="309671316">
                  <w:marLeft w:val="0"/>
                  <w:marRight w:val="0"/>
                  <w:marTop w:val="0"/>
                  <w:marBottom w:val="0"/>
                  <w:divBdr>
                    <w:top w:val="none" w:sz="0" w:space="0" w:color="auto"/>
                    <w:left w:val="none" w:sz="0" w:space="0" w:color="auto"/>
                    <w:bottom w:val="none" w:sz="0" w:space="0" w:color="auto"/>
                    <w:right w:val="none" w:sz="0" w:space="0" w:color="auto"/>
                  </w:divBdr>
                  <w:divsChild>
                    <w:div w:id="975331489">
                      <w:marLeft w:val="0"/>
                      <w:marRight w:val="0"/>
                      <w:marTop w:val="0"/>
                      <w:marBottom w:val="0"/>
                      <w:divBdr>
                        <w:top w:val="none" w:sz="0" w:space="0" w:color="auto"/>
                        <w:left w:val="none" w:sz="0" w:space="0" w:color="auto"/>
                        <w:bottom w:val="none" w:sz="0" w:space="0" w:color="auto"/>
                        <w:right w:val="none" w:sz="0" w:space="0" w:color="auto"/>
                      </w:divBdr>
                    </w:div>
                  </w:divsChild>
                </w:div>
                <w:div w:id="311104871">
                  <w:marLeft w:val="0"/>
                  <w:marRight w:val="0"/>
                  <w:marTop w:val="0"/>
                  <w:marBottom w:val="0"/>
                  <w:divBdr>
                    <w:top w:val="none" w:sz="0" w:space="0" w:color="auto"/>
                    <w:left w:val="none" w:sz="0" w:space="0" w:color="auto"/>
                    <w:bottom w:val="none" w:sz="0" w:space="0" w:color="auto"/>
                    <w:right w:val="none" w:sz="0" w:space="0" w:color="auto"/>
                  </w:divBdr>
                  <w:divsChild>
                    <w:div w:id="243296464">
                      <w:marLeft w:val="0"/>
                      <w:marRight w:val="0"/>
                      <w:marTop w:val="0"/>
                      <w:marBottom w:val="0"/>
                      <w:divBdr>
                        <w:top w:val="none" w:sz="0" w:space="0" w:color="auto"/>
                        <w:left w:val="none" w:sz="0" w:space="0" w:color="auto"/>
                        <w:bottom w:val="none" w:sz="0" w:space="0" w:color="auto"/>
                        <w:right w:val="none" w:sz="0" w:space="0" w:color="auto"/>
                      </w:divBdr>
                    </w:div>
                  </w:divsChild>
                </w:div>
                <w:div w:id="337998464">
                  <w:marLeft w:val="0"/>
                  <w:marRight w:val="0"/>
                  <w:marTop w:val="0"/>
                  <w:marBottom w:val="0"/>
                  <w:divBdr>
                    <w:top w:val="none" w:sz="0" w:space="0" w:color="auto"/>
                    <w:left w:val="none" w:sz="0" w:space="0" w:color="auto"/>
                    <w:bottom w:val="none" w:sz="0" w:space="0" w:color="auto"/>
                    <w:right w:val="none" w:sz="0" w:space="0" w:color="auto"/>
                  </w:divBdr>
                  <w:divsChild>
                    <w:div w:id="1097141549">
                      <w:marLeft w:val="0"/>
                      <w:marRight w:val="0"/>
                      <w:marTop w:val="0"/>
                      <w:marBottom w:val="0"/>
                      <w:divBdr>
                        <w:top w:val="none" w:sz="0" w:space="0" w:color="auto"/>
                        <w:left w:val="none" w:sz="0" w:space="0" w:color="auto"/>
                        <w:bottom w:val="none" w:sz="0" w:space="0" w:color="auto"/>
                        <w:right w:val="none" w:sz="0" w:space="0" w:color="auto"/>
                      </w:divBdr>
                    </w:div>
                  </w:divsChild>
                </w:div>
                <w:div w:id="402223904">
                  <w:marLeft w:val="0"/>
                  <w:marRight w:val="0"/>
                  <w:marTop w:val="0"/>
                  <w:marBottom w:val="0"/>
                  <w:divBdr>
                    <w:top w:val="none" w:sz="0" w:space="0" w:color="auto"/>
                    <w:left w:val="none" w:sz="0" w:space="0" w:color="auto"/>
                    <w:bottom w:val="none" w:sz="0" w:space="0" w:color="auto"/>
                    <w:right w:val="none" w:sz="0" w:space="0" w:color="auto"/>
                  </w:divBdr>
                  <w:divsChild>
                    <w:div w:id="2075543404">
                      <w:marLeft w:val="0"/>
                      <w:marRight w:val="0"/>
                      <w:marTop w:val="0"/>
                      <w:marBottom w:val="0"/>
                      <w:divBdr>
                        <w:top w:val="none" w:sz="0" w:space="0" w:color="auto"/>
                        <w:left w:val="none" w:sz="0" w:space="0" w:color="auto"/>
                        <w:bottom w:val="none" w:sz="0" w:space="0" w:color="auto"/>
                        <w:right w:val="none" w:sz="0" w:space="0" w:color="auto"/>
                      </w:divBdr>
                    </w:div>
                  </w:divsChild>
                </w:div>
                <w:div w:id="440228155">
                  <w:marLeft w:val="0"/>
                  <w:marRight w:val="0"/>
                  <w:marTop w:val="0"/>
                  <w:marBottom w:val="0"/>
                  <w:divBdr>
                    <w:top w:val="none" w:sz="0" w:space="0" w:color="auto"/>
                    <w:left w:val="none" w:sz="0" w:space="0" w:color="auto"/>
                    <w:bottom w:val="none" w:sz="0" w:space="0" w:color="auto"/>
                    <w:right w:val="none" w:sz="0" w:space="0" w:color="auto"/>
                  </w:divBdr>
                  <w:divsChild>
                    <w:div w:id="863445188">
                      <w:marLeft w:val="0"/>
                      <w:marRight w:val="0"/>
                      <w:marTop w:val="0"/>
                      <w:marBottom w:val="0"/>
                      <w:divBdr>
                        <w:top w:val="none" w:sz="0" w:space="0" w:color="auto"/>
                        <w:left w:val="none" w:sz="0" w:space="0" w:color="auto"/>
                        <w:bottom w:val="none" w:sz="0" w:space="0" w:color="auto"/>
                        <w:right w:val="none" w:sz="0" w:space="0" w:color="auto"/>
                      </w:divBdr>
                    </w:div>
                  </w:divsChild>
                </w:div>
                <w:div w:id="472257717">
                  <w:marLeft w:val="0"/>
                  <w:marRight w:val="0"/>
                  <w:marTop w:val="0"/>
                  <w:marBottom w:val="0"/>
                  <w:divBdr>
                    <w:top w:val="none" w:sz="0" w:space="0" w:color="auto"/>
                    <w:left w:val="none" w:sz="0" w:space="0" w:color="auto"/>
                    <w:bottom w:val="none" w:sz="0" w:space="0" w:color="auto"/>
                    <w:right w:val="none" w:sz="0" w:space="0" w:color="auto"/>
                  </w:divBdr>
                  <w:divsChild>
                    <w:div w:id="18482143">
                      <w:marLeft w:val="0"/>
                      <w:marRight w:val="0"/>
                      <w:marTop w:val="0"/>
                      <w:marBottom w:val="0"/>
                      <w:divBdr>
                        <w:top w:val="none" w:sz="0" w:space="0" w:color="auto"/>
                        <w:left w:val="none" w:sz="0" w:space="0" w:color="auto"/>
                        <w:bottom w:val="none" w:sz="0" w:space="0" w:color="auto"/>
                        <w:right w:val="none" w:sz="0" w:space="0" w:color="auto"/>
                      </w:divBdr>
                    </w:div>
                  </w:divsChild>
                </w:div>
                <w:div w:id="510072044">
                  <w:marLeft w:val="0"/>
                  <w:marRight w:val="0"/>
                  <w:marTop w:val="0"/>
                  <w:marBottom w:val="0"/>
                  <w:divBdr>
                    <w:top w:val="none" w:sz="0" w:space="0" w:color="auto"/>
                    <w:left w:val="none" w:sz="0" w:space="0" w:color="auto"/>
                    <w:bottom w:val="none" w:sz="0" w:space="0" w:color="auto"/>
                    <w:right w:val="none" w:sz="0" w:space="0" w:color="auto"/>
                  </w:divBdr>
                  <w:divsChild>
                    <w:div w:id="1300497222">
                      <w:marLeft w:val="0"/>
                      <w:marRight w:val="0"/>
                      <w:marTop w:val="0"/>
                      <w:marBottom w:val="0"/>
                      <w:divBdr>
                        <w:top w:val="none" w:sz="0" w:space="0" w:color="auto"/>
                        <w:left w:val="none" w:sz="0" w:space="0" w:color="auto"/>
                        <w:bottom w:val="none" w:sz="0" w:space="0" w:color="auto"/>
                        <w:right w:val="none" w:sz="0" w:space="0" w:color="auto"/>
                      </w:divBdr>
                    </w:div>
                  </w:divsChild>
                </w:div>
                <w:div w:id="566956527">
                  <w:marLeft w:val="0"/>
                  <w:marRight w:val="0"/>
                  <w:marTop w:val="0"/>
                  <w:marBottom w:val="0"/>
                  <w:divBdr>
                    <w:top w:val="none" w:sz="0" w:space="0" w:color="auto"/>
                    <w:left w:val="none" w:sz="0" w:space="0" w:color="auto"/>
                    <w:bottom w:val="none" w:sz="0" w:space="0" w:color="auto"/>
                    <w:right w:val="none" w:sz="0" w:space="0" w:color="auto"/>
                  </w:divBdr>
                  <w:divsChild>
                    <w:div w:id="1588534018">
                      <w:marLeft w:val="0"/>
                      <w:marRight w:val="0"/>
                      <w:marTop w:val="0"/>
                      <w:marBottom w:val="0"/>
                      <w:divBdr>
                        <w:top w:val="none" w:sz="0" w:space="0" w:color="auto"/>
                        <w:left w:val="none" w:sz="0" w:space="0" w:color="auto"/>
                        <w:bottom w:val="none" w:sz="0" w:space="0" w:color="auto"/>
                        <w:right w:val="none" w:sz="0" w:space="0" w:color="auto"/>
                      </w:divBdr>
                    </w:div>
                  </w:divsChild>
                </w:div>
                <w:div w:id="567230876">
                  <w:marLeft w:val="0"/>
                  <w:marRight w:val="0"/>
                  <w:marTop w:val="0"/>
                  <w:marBottom w:val="0"/>
                  <w:divBdr>
                    <w:top w:val="none" w:sz="0" w:space="0" w:color="auto"/>
                    <w:left w:val="none" w:sz="0" w:space="0" w:color="auto"/>
                    <w:bottom w:val="none" w:sz="0" w:space="0" w:color="auto"/>
                    <w:right w:val="none" w:sz="0" w:space="0" w:color="auto"/>
                  </w:divBdr>
                  <w:divsChild>
                    <w:div w:id="1959020760">
                      <w:marLeft w:val="0"/>
                      <w:marRight w:val="0"/>
                      <w:marTop w:val="0"/>
                      <w:marBottom w:val="0"/>
                      <w:divBdr>
                        <w:top w:val="none" w:sz="0" w:space="0" w:color="auto"/>
                        <w:left w:val="none" w:sz="0" w:space="0" w:color="auto"/>
                        <w:bottom w:val="none" w:sz="0" w:space="0" w:color="auto"/>
                        <w:right w:val="none" w:sz="0" w:space="0" w:color="auto"/>
                      </w:divBdr>
                    </w:div>
                  </w:divsChild>
                </w:div>
                <w:div w:id="656105891">
                  <w:marLeft w:val="0"/>
                  <w:marRight w:val="0"/>
                  <w:marTop w:val="0"/>
                  <w:marBottom w:val="0"/>
                  <w:divBdr>
                    <w:top w:val="none" w:sz="0" w:space="0" w:color="auto"/>
                    <w:left w:val="none" w:sz="0" w:space="0" w:color="auto"/>
                    <w:bottom w:val="none" w:sz="0" w:space="0" w:color="auto"/>
                    <w:right w:val="none" w:sz="0" w:space="0" w:color="auto"/>
                  </w:divBdr>
                  <w:divsChild>
                    <w:div w:id="1825270002">
                      <w:marLeft w:val="0"/>
                      <w:marRight w:val="0"/>
                      <w:marTop w:val="0"/>
                      <w:marBottom w:val="0"/>
                      <w:divBdr>
                        <w:top w:val="none" w:sz="0" w:space="0" w:color="auto"/>
                        <w:left w:val="none" w:sz="0" w:space="0" w:color="auto"/>
                        <w:bottom w:val="none" w:sz="0" w:space="0" w:color="auto"/>
                        <w:right w:val="none" w:sz="0" w:space="0" w:color="auto"/>
                      </w:divBdr>
                    </w:div>
                  </w:divsChild>
                </w:div>
                <w:div w:id="680929848">
                  <w:marLeft w:val="0"/>
                  <w:marRight w:val="0"/>
                  <w:marTop w:val="0"/>
                  <w:marBottom w:val="0"/>
                  <w:divBdr>
                    <w:top w:val="none" w:sz="0" w:space="0" w:color="auto"/>
                    <w:left w:val="none" w:sz="0" w:space="0" w:color="auto"/>
                    <w:bottom w:val="none" w:sz="0" w:space="0" w:color="auto"/>
                    <w:right w:val="none" w:sz="0" w:space="0" w:color="auto"/>
                  </w:divBdr>
                  <w:divsChild>
                    <w:div w:id="2144033049">
                      <w:marLeft w:val="0"/>
                      <w:marRight w:val="0"/>
                      <w:marTop w:val="0"/>
                      <w:marBottom w:val="0"/>
                      <w:divBdr>
                        <w:top w:val="none" w:sz="0" w:space="0" w:color="auto"/>
                        <w:left w:val="none" w:sz="0" w:space="0" w:color="auto"/>
                        <w:bottom w:val="none" w:sz="0" w:space="0" w:color="auto"/>
                        <w:right w:val="none" w:sz="0" w:space="0" w:color="auto"/>
                      </w:divBdr>
                    </w:div>
                  </w:divsChild>
                </w:div>
                <w:div w:id="747269226">
                  <w:marLeft w:val="0"/>
                  <w:marRight w:val="0"/>
                  <w:marTop w:val="0"/>
                  <w:marBottom w:val="0"/>
                  <w:divBdr>
                    <w:top w:val="none" w:sz="0" w:space="0" w:color="auto"/>
                    <w:left w:val="none" w:sz="0" w:space="0" w:color="auto"/>
                    <w:bottom w:val="none" w:sz="0" w:space="0" w:color="auto"/>
                    <w:right w:val="none" w:sz="0" w:space="0" w:color="auto"/>
                  </w:divBdr>
                  <w:divsChild>
                    <w:div w:id="828179754">
                      <w:marLeft w:val="0"/>
                      <w:marRight w:val="0"/>
                      <w:marTop w:val="0"/>
                      <w:marBottom w:val="0"/>
                      <w:divBdr>
                        <w:top w:val="none" w:sz="0" w:space="0" w:color="auto"/>
                        <w:left w:val="none" w:sz="0" w:space="0" w:color="auto"/>
                        <w:bottom w:val="none" w:sz="0" w:space="0" w:color="auto"/>
                        <w:right w:val="none" w:sz="0" w:space="0" w:color="auto"/>
                      </w:divBdr>
                    </w:div>
                  </w:divsChild>
                </w:div>
                <w:div w:id="819687672">
                  <w:marLeft w:val="0"/>
                  <w:marRight w:val="0"/>
                  <w:marTop w:val="0"/>
                  <w:marBottom w:val="0"/>
                  <w:divBdr>
                    <w:top w:val="none" w:sz="0" w:space="0" w:color="auto"/>
                    <w:left w:val="none" w:sz="0" w:space="0" w:color="auto"/>
                    <w:bottom w:val="none" w:sz="0" w:space="0" w:color="auto"/>
                    <w:right w:val="none" w:sz="0" w:space="0" w:color="auto"/>
                  </w:divBdr>
                  <w:divsChild>
                    <w:div w:id="1494762939">
                      <w:marLeft w:val="0"/>
                      <w:marRight w:val="0"/>
                      <w:marTop w:val="0"/>
                      <w:marBottom w:val="0"/>
                      <w:divBdr>
                        <w:top w:val="none" w:sz="0" w:space="0" w:color="auto"/>
                        <w:left w:val="none" w:sz="0" w:space="0" w:color="auto"/>
                        <w:bottom w:val="none" w:sz="0" w:space="0" w:color="auto"/>
                        <w:right w:val="none" w:sz="0" w:space="0" w:color="auto"/>
                      </w:divBdr>
                    </w:div>
                  </w:divsChild>
                </w:div>
                <w:div w:id="822550452">
                  <w:marLeft w:val="0"/>
                  <w:marRight w:val="0"/>
                  <w:marTop w:val="0"/>
                  <w:marBottom w:val="0"/>
                  <w:divBdr>
                    <w:top w:val="none" w:sz="0" w:space="0" w:color="auto"/>
                    <w:left w:val="none" w:sz="0" w:space="0" w:color="auto"/>
                    <w:bottom w:val="none" w:sz="0" w:space="0" w:color="auto"/>
                    <w:right w:val="none" w:sz="0" w:space="0" w:color="auto"/>
                  </w:divBdr>
                  <w:divsChild>
                    <w:div w:id="116997215">
                      <w:marLeft w:val="0"/>
                      <w:marRight w:val="0"/>
                      <w:marTop w:val="0"/>
                      <w:marBottom w:val="0"/>
                      <w:divBdr>
                        <w:top w:val="none" w:sz="0" w:space="0" w:color="auto"/>
                        <w:left w:val="none" w:sz="0" w:space="0" w:color="auto"/>
                        <w:bottom w:val="none" w:sz="0" w:space="0" w:color="auto"/>
                        <w:right w:val="none" w:sz="0" w:space="0" w:color="auto"/>
                      </w:divBdr>
                    </w:div>
                  </w:divsChild>
                </w:div>
                <w:div w:id="830176346">
                  <w:marLeft w:val="0"/>
                  <w:marRight w:val="0"/>
                  <w:marTop w:val="0"/>
                  <w:marBottom w:val="0"/>
                  <w:divBdr>
                    <w:top w:val="none" w:sz="0" w:space="0" w:color="auto"/>
                    <w:left w:val="none" w:sz="0" w:space="0" w:color="auto"/>
                    <w:bottom w:val="none" w:sz="0" w:space="0" w:color="auto"/>
                    <w:right w:val="none" w:sz="0" w:space="0" w:color="auto"/>
                  </w:divBdr>
                  <w:divsChild>
                    <w:div w:id="949358484">
                      <w:marLeft w:val="0"/>
                      <w:marRight w:val="0"/>
                      <w:marTop w:val="0"/>
                      <w:marBottom w:val="0"/>
                      <w:divBdr>
                        <w:top w:val="none" w:sz="0" w:space="0" w:color="auto"/>
                        <w:left w:val="none" w:sz="0" w:space="0" w:color="auto"/>
                        <w:bottom w:val="none" w:sz="0" w:space="0" w:color="auto"/>
                        <w:right w:val="none" w:sz="0" w:space="0" w:color="auto"/>
                      </w:divBdr>
                    </w:div>
                  </w:divsChild>
                </w:div>
                <w:div w:id="842279237">
                  <w:marLeft w:val="0"/>
                  <w:marRight w:val="0"/>
                  <w:marTop w:val="0"/>
                  <w:marBottom w:val="0"/>
                  <w:divBdr>
                    <w:top w:val="none" w:sz="0" w:space="0" w:color="auto"/>
                    <w:left w:val="none" w:sz="0" w:space="0" w:color="auto"/>
                    <w:bottom w:val="none" w:sz="0" w:space="0" w:color="auto"/>
                    <w:right w:val="none" w:sz="0" w:space="0" w:color="auto"/>
                  </w:divBdr>
                  <w:divsChild>
                    <w:div w:id="783305081">
                      <w:marLeft w:val="0"/>
                      <w:marRight w:val="0"/>
                      <w:marTop w:val="0"/>
                      <w:marBottom w:val="0"/>
                      <w:divBdr>
                        <w:top w:val="none" w:sz="0" w:space="0" w:color="auto"/>
                        <w:left w:val="none" w:sz="0" w:space="0" w:color="auto"/>
                        <w:bottom w:val="none" w:sz="0" w:space="0" w:color="auto"/>
                        <w:right w:val="none" w:sz="0" w:space="0" w:color="auto"/>
                      </w:divBdr>
                    </w:div>
                  </w:divsChild>
                </w:div>
                <w:div w:id="894664067">
                  <w:marLeft w:val="0"/>
                  <w:marRight w:val="0"/>
                  <w:marTop w:val="0"/>
                  <w:marBottom w:val="0"/>
                  <w:divBdr>
                    <w:top w:val="none" w:sz="0" w:space="0" w:color="auto"/>
                    <w:left w:val="none" w:sz="0" w:space="0" w:color="auto"/>
                    <w:bottom w:val="none" w:sz="0" w:space="0" w:color="auto"/>
                    <w:right w:val="none" w:sz="0" w:space="0" w:color="auto"/>
                  </w:divBdr>
                  <w:divsChild>
                    <w:div w:id="112403920">
                      <w:marLeft w:val="0"/>
                      <w:marRight w:val="0"/>
                      <w:marTop w:val="0"/>
                      <w:marBottom w:val="0"/>
                      <w:divBdr>
                        <w:top w:val="none" w:sz="0" w:space="0" w:color="auto"/>
                        <w:left w:val="none" w:sz="0" w:space="0" w:color="auto"/>
                        <w:bottom w:val="none" w:sz="0" w:space="0" w:color="auto"/>
                        <w:right w:val="none" w:sz="0" w:space="0" w:color="auto"/>
                      </w:divBdr>
                    </w:div>
                  </w:divsChild>
                </w:div>
                <w:div w:id="965743702">
                  <w:marLeft w:val="0"/>
                  <w:marRight w:val="0"/>
                  <w:marTop w:val="0"/>
                  <w:marBottom w:val="0"/>
                  <w:divBdr>
                    <w:top w:val="none" w:sz="0" w:space="0" w:color="auto"/>
                    <w:left w:val="none" w:sz="0" w:space="0" w:color="auto"/>
                    <w:bottom w:val="none" w:sz="0" w:space="0" w:color="auto"/>
                    <w:right w:val="none" w:sz="0" w:space="0" w:color="auto"/>
                  </w:divBdr>
                  <w:divsChild>
                    <w:div w:id="1250777796">
                      <w:marLeft w:val="0"/>
                      <w:marRight w:val="0"/>
                      <w:marTop w:val="0"/>
                      <w:marBottom w:val="0"/>
                      <w:divBdr>
                        <w:top w:val="none" w:sz="0" w:space="0" w:color="auto"/>
                        <w:left w:val="none" w:sz="0" w:space="0" w:color="auto"/>
                        <w:bottom w:val="none" w:sz="0" w:space="0" w:color="auto"/>
                        <w:right w:val="none" w:sz="0" w:space="0" w:color="auto"/>
                      </w:divBdr>
                    </w:div>
                  </w:divsChild>
                </w:div>
                <w:div w:id="999578454">
                  <w:marLeft w:val="0"/>
                  <w:marRight w:val="0"/>
                  <w:marTop w:val="0"/>
                  <w:marBottom w:val="0"/>
                  <w:divBdr>
                    <w:top w:val="none" w:sz="0" w:space="0" w:color="auto"/>
                    <w:left w:val="none" w:sz="0" w:space="0" w:color="auto"/>
                    <w:bottom w:val="none" w:sz="0" w:space="0" w:color="auto"/>
                    <w:right w:val="none" w:sz="0" w:space="0" w:color="auto"/>
                  </w:divBdr>
                  <w:divsChild>
                    <w:div w:id="1253205341">
                      <w:marLeft w:val="0"/>
                      <w:marRight w:val="0"/>
                      <w:marTop w:val="0"/>
                      <w:marBottom w:val="0"/>
                      <w:divBdr>
                        <w:top w:val="none" w:sz="0" w:space="0" w:color="auto"/>
                        <w:left w:val="none" w:sz="0" w:space="0" w:color="auto"/>
                        <w:bottom w:val="none" w:sz="0" w:space="0" w:color="auto"/>
                        <w:right w:val="none" w:sz="0" w:space="0" w:color="auto"/>
                      </w:divBdr>
                    </w:div>
                  </w:divsChild>
                </w:div>
                <w:div w:id="1048724484">
                  <w:marLeft w:val="0"/>
                  <w:marRight w:val="0"/>
                  <w:marTop w:val="0"/>
                  <w:marBottom w:val="0"/>
                  <w:divBdr>
                    <w:top w:val="none" w:sz="0" w:space="0" w:color="auto"/>
                    <w:left w:val="none" w:sz="0" w:space="0" w:color="auto"/>
                    <w:bottom w:val="none" w:sz="0" w:space="0" w:color="auto"/>
                    <w:right w:val="none" w:sz="0" w:space="0" w:color="auto"/>
                  </w:divBdr>
                  <w:divsChild>
                    <w:div w:id="1166558254">
                      <w:marLeft w:val="0"/>
                      <w:marRight w:val="0"/>
                      <w:marTop w:val="0"/>
                      <w:marBottom w:val="0"/>
                      <w:divBdr>
                        <w:top w:val="none" w:sz="0" w:space="0" w:color="auto"/>
                        <w:left w:val="none" w:sz="0" w:space="0" w:color="auto"/>
                        <w:bottom w:val="none" w:sz="0" w:space="0" w:color="auto"/>
                        <w:right w:val="none" w:sz="0" w:space="0" w:color="auto"/>
                      </w:divBdr>
                    </w:div>
                  </w:divsChild>
                </w:div>
                <w:div w:id="1054741807">
                  <w:marLeft w:val="0"/>
                  <w:marRight w:val="0"/>
                  <w:marTop w:val="0"/>
                  <w:marBottom w:val="0"/>
                  <w:divBdr>
                    <w:top w:val="none" w:sz="0" w:space="0" w:color="auto"/>
                    <w:left w:val="none" w:sz="0" w:space="0" w:color="auto"/>
                    <w:bottom w:val="none" w:sz="0" w:space="0" w:color="auto"/>
                    <w:right w:val="none" w:sz="0" w:space="0" w:color="auto"/>
                  </w:divBdr>
                  <w:divsChild>
                    <w:div w:id="533083742">
                      <w:marLeft w:val="0"/>
                      <w:marRight w:val="0"/>
                      <w:marTop w:val="0"/>
                      <w:marBottom w:val="0"/>
                      <w:divBdr>
                        <w:top w:val="none" w:sz="0" w:space="0" w:color="auto"/>
                        <w:left w:val="none" w:sz="0" w:space="0" w:color="auto"/>
                        <w:bottom w:val="none" w:sz="0" w:space="0" w:color="auto"/>
                        <w:right w:val="none" w:sz="0" w:space="0" w:color="auto"/>
                      </w:divBdr>
                    </w:div>
                  </w:divsChild>
                </w:div>
                <w:div w:id="1070542738">
                  <w:marLeft w:val="0"/>
                  <w:marRight w:val="0"/>
                  <w:marTop w:val="0"/>
                  <w:marBottom w:val="0"/>
                  <w:divBdr>
                    <w:top w:val="none" w:sz="0" w:space="0" w:color="auto"/>
                    <w:left w:val="none" w:sz="0" w:space="0" w:color="auto"/>
                    <w:bottom w:val="none" w:sz="0" w:space="0" w:color="auto"/>
                    <w:right w:val="none" w:sz="0" w:space="0" w:color="auto"/>
                  </w:divBdr>
                  <w:divsChild>
                    <w:div w:id="563831046">
                      <w:marLeft w:val="0"/>
                      <w:marRight w:val="0"/>
                      <w:marTop w:val="0"/>
                      <w:marBottom w:val="0"/>
                      <w:divBdr>
                        <w:top w:val="none" w:sz="0" w:space="0" w:color="auto"/>
                        <w:left w:val="none" w:sz="0" w:space="0" w:color="auto"/>
                        <w:bottom w:val="none" w:sz="0" w:space="0" w:color="auto"/>
                        <w:right w:val="none" w:sz="0" w:space="0" w:color="auto"/>
                      </w:divBdr>
                    </w:div>
                  </w:divsChild>
                </w:div>
                <w:div w:id="1079986214">
                  <w:marLeft w:val="0"/>
                  <w:marRight w:val="0"/>
                  <w:marTop w:val="0"/>
                  <w:marBottom w:val="0"/>
                  <w:divBdr>
                    <w:top w:val="none" w:sz="0" w:space="0" w:color="auto"/>
                    <w:left w:val="none" w:sz="0" w:space="0" w:color="auto"/>
                    <w:bottom w:val="none" w:sz="0" w:space="0" w:color="auto"/>
                    <w:right w:val="none" w:sz="0" w:space="0" w:color="auto"/>
                  </w:divBdr>
                  <w:divsChild>
                    <w:div w:id="1012225922">
                      <w:marLeft w:val="0"/>
                      <w:marRight w:val="0"/>
                      <w:marTop w:val="0"/>
                      <w:marBottom w:val="0"/>
                      <w:divBdr>
                        <w:top w:val="none" w:sz="0" w:space="0" w:color="auto"/>
                        <w:left w:val="none" w:sz="0" w:space="0" w:color="auto"/>
                        <w:bottom w:val="none" w:sz="0" w:space="0" w:color="auto"/>
                        <w:right w:val="none" w:sz="0" w:space="0" w:color="auto"/>
                      </w:divBdr>
                    </w:div>
                  </w:divsChild>
                </w:div>
                <w:div w:id="1092551707">
                  <w:marLeft w:val="0"/>
                  <w:marRight w:val="0"/>
                  <w:marTop w:val="0"/>
                  <w:marBottom w:val="0"/>
                  <w:divBdr>
                    <w:top w:val="none" w:sz="0" w:space="0" w:color="auto"/>
                    <w:left w:val="none" w:sz="0" w:space="0" w:color="auto"/>
                    <w:bottom w:val="none" w:sz="0" w:space="0" w:color="auto"/>
                    <w:right w:val="none" w:sz="0" w:space="0" w:color="auto"/>
                  </w:divBdr>
                  <w:divsChild>
                    <w:div w:id="761948843">
                      <w:marLeft w:val="0"/>
                      <w:marRight w:val="0"/>
                      <w:marTop w:val="0"/>
                      <w:marBottom w:val="0"/>
                      <w:divBdr>
                        <w:top w:val="none" w:sz="0" w:space="0" w:color="auto"/>
                        <w:left w:val="none" w:sz="0" w:space="0" w:color="auto"/>
                        <w:bottom w:val="none" w:sz="0" w:space="0" w:color="auto"/>
                        <w:right w:val="none" w:sz="0" w:space="0" w:color="auto"/>
                      </w:divBdr>
                    </w:div>
                  </w:divsChild>
                </w:div>
                <w:div w:id="1096561134">
                  <w:marLeft w:val="0"/>
                  <w:marRight w:val="0"/>
                  <w:marTop w:val="0"/>
                  <w:marBottom w:val="0"/>
                  <w:divBdr>
                    <w:top w:val="none" w:sz="0" w:space="0" w:color="auto"/>
                    <w:left w:val="none" w:sz="0" w:space="0" w:color="auto"/>
                    <w:bottom w:val="none" w:sz="0" w:space="0" w:color="auto"/>
                    <w:right w:val="none" w:sz="0" w:space="0" w:color="auto"/>
                  </w:divBdr>
                  <w:divsChild>
                    <w:div w:id="308675919">
                      <w:marLeft w:val="0"/>
                      <w:marRight w:val="0"/>
                      <w:marTop w:val="0"/>
                      <w:marBottom w:val="0"/>
                      <w:divBdr>
                        <w:top w:val="none" w:sz="0" w:space="0" w:color="auto"/>
                        <w:left w:val="none" w:sz="0" w:space="0" w:color="auto"/>
                        <w:bottom w:val="none" w:sz="0" w:space="0" w:color="auto"/>
                        <w:right w:val="none" w:sz="0" w:space="0" w:color="auto"/>
                      </w:divBdr>
                    </w:div>
                  </w:divsChild>
                </w:div>
                <w:div w:id="1108086864">
                  <w:marLeft w:val="0"/>
                  <w:marRight w:val="0"/>
                  <w:marTop w:val="0"/>
                  <w:marBottom w:val="0"/>
                  <w:divBdr>
                    <w:top w:val="none" w:sz="0" w:space="0" w:color="auto"/>
                    <w:left w:val="none" w:sz="0" w:space="0" w:color="auto"/>
                    <w:bottom w:val="none" w:sz="0" w:space="0" w:color="auto"/>
                    <w:right w:val="none" w:sz="0" w:space="0" w:color="auto"/>
                  </w:divBdr>
                  <w:divsChild>
                    <w:div w:id="2044669803">
                      <w:marLeft w:val="0"/>
                      <w:marRight w:val="0"/>
                      <w:marTop w:val="0"/>
                      <w:marBottom w:val="0"/>
                      <w:divBdr>
                        <w:top w:val="none" w:sz="0" w:space="0" w:color="auto"/>
                        <w:left w:val="none" w:sz="0" w:space="0" w:color="auto"/>
                        <w:bottom w:val="none" w:sz="0" w:space="0" w:color="auto"/>
                        <w:right w:val="none" w:sz="0" w:space="0" w:color="auto"/>
                      </w:divBdr>
                    </w:div>
                  </w:divsChild>
                </w:div>
                <w:div w:id="1122118322">
                  <w:marLeft w:val="0"/>
                  <w:marRight w:val="0"/>
                  <w:marTop w:val="0"/>
                  <w:marBottom w:val="0"/>
                  <w:divBdr>
                    <w:top w:val="none" w:sz="0" w:space="0" w:color="auto"/>
                    <w:left w:val="none" w:sz="0" w:space="0" w:color="auto"/>
                    <w:bottom w:val="none" w:sz="0" w:space="0" w:color="auto"/>
                    <w:right w:val="none" w:sz="0" w:space="0" w:color="auto"/>
                  </w:divBdr>
                  <w:divsChild>
                    <w:div w:id="1890994129">
                      <w:marLeft w:val="0"/>
                      <w:marRight w:val="0"/>
                      <w:marTop w:val="0"/>
                      <w:marBottom w:val="0"/>
                      <w:divBdr>
                        <w:top w:val="none" w:sz="0" w:space="0" w:color="auto"/>
                        <w:left w:val="none" w:sz="0" w:space="0" w:color="auto"/>
                        <w:bottom w:val="none" w:sz="0" w:space="0" w:color="auto"/>
                        <w:right w:val="none" w:sz="0" w:space="0" w:color="auto"/>
                      </w:divBdr>
                    </w:div>
                  </w:divsChild>
                </w:div>
                <w:div w:id="1177693475">
                  <w:marLeft w:val="0"/>
                  <w:marRight w:val="0"/>
                  <w:marTop w:val="0"/>
                  <w:marBottom w:val="0"/>
                  <w:divBdr>
                    <w:top w:val="none" w:sz="0" w:space="0" w:color="auto"/>
                    <w:left w:val="none" w:sz="0" w:space="0" w:color="auto"/>
                    <w:bottom w:val="none" w:sz="0" w:space="0" w:color="auto"/>
                    <w:right w:val="none" w:sz="0" w:space="0" w:color="auto"/>
                  </w:divBdr>
                  <w:divsChild>
                    <w:div w:id="296910158">
                      <w:marLeft w:val="0"/>
                      <w:marRight w:val="0"/>
                      <w:marTop w:val="0"/>
                      <w:marBottom w:val="0"/>
                      <w:divBdr>
                        <w:top w:val="none" w:sz="0" w:space="0" w:color="auto"/>
                        <w:left w:val="none" w:sz="0" w:space="0" w:color="auto"/>
                        <w:bottom w:val="none" w:sz="0" w:space="0" w:color="auto"/>
                        <w:right w:val="none" w:sz="0" w:space="0" w:color="auto"/>
                      </w:divBdr>
                    </w:div>
                  </w:divsChild>
                </w:div>
                <w:div w:id="1309016869">
                  <w:marLeft w:val="0"/>
                  <w:marRight w:val="0"/>
                  <w:marTop w:val="0"/>
                  <w:marBottom w:val="0"/>
                  <w:divBdr>
                    <w:top w:val="none" w:sz="0" w:space="0" w:color="auto"/>
                    <w:left w:val="none" w:sz="0" w:space="0" w:color="auto"/>
                    <w:bottom w:val="none" w:sz="0" w:space="0" w:color="auto"/>
                    <w:right w:val="none" w:sz="0" w:space="0" w:color="auto"/>
                  </w:divBdr>
                  <w:divsChild>
                    <w:div w:id="1591549192">
                      <w:marLeft w:val="0"/>
                      <w:marRight w:val="0"/>
                      <w:marTop w:val="0"/>
                      <w:marBottom w:val="0"/>
                      <w:divBdr>
                        <w:top w:val="none" w:sz="0" w:space="0" w:color="auto"/>
                        <w:left w:val="none" w:sz="0" w:space="0" w:color="auto"/>
                        <w:bottom w:val="none" w:sz="0" w:space="0" w:color="auto"/>
                        <w:right w:val="none" w:sz="0" w:space="0" w:color="auto"/>
                      </w:divBdr>
                    </w:div>
                  </w:divsChild>
                </w:div>
                <w:div w:id="1388995822">
                  <w:marLeft w:val="0"/>
                  <w:marRight w:val="0"/>
                  <w:marTop w:val="0"/>
                  <w:marBottom w:val="0"/>
                  <w:divBdr>
                    <w:top w:val="none" w:sz="0" w:space="0" w:color="auto"/>
                    <w:left w:val="none" w:sz="0" w:space="0" w:color="auto"/>
                    <w:bottom w:val="none" w:sz="0" w:space="0" w:color="auto"/>
                    <w:right w:val="none" w:sz="0" w:space="0" w:color="auto"/>
                  </w:divBdr>
                  <w:divsChild>
                    <w:div w:id="1257859258">
                      <w:marLeft w:val="0"/>
                      <w:marRight w:val="0"/>
                      <w:marTop w:val="0"/>
                      <w:marBottom w:val="0"/>
                      <w:divBdr>
                        <w:top w:val="none" w:sz="0" w:space="0" w:color="auto"/>
                        <w:left w:val="none" w:sz="0" w:space="0" w:color="auto"/>
                        <w:bottom w:val="none" w:sz="0" w:space="0" w:color="auto"/>
                        <w:right w:val="none" w:sz="0" w:space="0" w:color="auto"/>
                      </w:divBdr>
                    </w:div>
                  </w:divsChild>
                </w:div>
                <w:div w:id="1399017426">
                  <w:marLeft w:val="0"/>
                  <w:marRight w:val="0"/>
                  <w:marTop w:val="0"/>
                  <w:marBottom w:val="0"/>
                  <w:divBdr>
                    <w:top w:val="none" w:sz="0" w:space="0" w:color="auto"/>
                    <w:left w:val="none" w:sz="0" w:space="0" w:color="auto"/>
                    <w:bottom w:val="none" w:sz="0" w:space="0" w:color="auto"/>
                    <w:right w:val="none" w:sz="0" w:space="0" w:color="auto"/>
                  </w:divBdr>
                  <w:divsChild>
                    <w:div w:id="1973631883">
                      <w:marLeft w:val="0"/>
                      <w:marRight w:val="0"/>
                      <w:marTop w:val="0"/>
                      <w:marBottom w:val="0"/>
                      <w:divBdr>
                        <w:top w:val="none" w:sz="0" w:space="0" w:color="auto"/>
                        <w:left w:val="none" w:sz="0" w:space="0" w:color="auto"/>
                        <w:bottom w:val="none" w:sz="0" w:space="0" w:color="auto"/>
                        <w:right w:val="none" w:sz="0" w:space="0" w:color="auto"/>
                      </w:divBdr>
                    </w:div>
                  </w:divsChild>
                </w:div>
                <w:div w:id="1448740373">
                  <w:marLeft w:val="0"/>
                  <w:marRight w:val="0"/>
                  <w:marTop w:val="0"/>
                  <w:marBottom w:val="0"/>
                  <w:divBdr>
                    <w:top w:val="none" w:sz="0" w:space="0" w:color="auto"/>
                    <w:left w:val="none" w:sz="0" w:space="0" w:color="auto"/>
                    <w:bottom w:val="none" w:sz="0" w:space="0" w:color="auto"/>
                    <w:right w:val="none" w:sz="0" w:space="0" w:color="auto"/>
                  </w:divBdr>
                  <w:divsChild>
                    <w:div w:id="1322809685">
                      <w:marLeft w:val="0"/>
                      <w:marRight w:val="0"/>
                      <w:marTop w:val="0"/>
                      <w:marBottom w:val="0"/>
                      <w:divBdr>
                        <w:top w:val="none" w:sz="0" w:space="0" w:color="auto"/>
                        <w:left w:val="none" w:sz="0" w:space="0" w:color="auto"/>
                        <w:bottom w:val="none" w:sz="0" w:space="0" w:color="auto"/>
                        <w:right w:val="none" w:sz="0" w:space="0" w:color="auto"/>
                      </w:divBdr>
                    </w:div>
                  </w:divsChild>
                </w:div>
                <w:div w:id="1475949614">
                  <w:marLeft w:val="0"/>
                  <w:marRight w:val="0"/>
                  <w:marTop w:val="0"/>
                  <w:marBottom w:val="0"/>
                  <w:divBdr>
                    <w:top w:val="none" w:sz="0" w:space="0" w:color="auto"/>
                    <w:left w:val="none" w:sz="0" w:space="0" w:color="auto"/>
                    <w:bottom w:val="none" w:sz="0" w:space="0" w:color="auto"/>
                    <w:right w:val="none" w:sz="0" w:space="0" w:color="auto"/>
                  </w:divBdr>
                  <w:divsChild>
                    <w:div w:id="215700712">
                      <w:marLeft w:val="0"/>
                      <w:marRight w:val="0"/>
                      <w:marTop w:val="0"/>
                      <w:marBottom w:val="0"/>
                      <w:divBdr>
                        <w:top w:val="none" w:sz="0" w:space="0" w:color="auto"/>
                        <w:left w:val="none" w:sz="0" w:space="0" w:color="auto"/>
                        <w:bottom w:val="none" w:sz="0" w:space="0" w:color="auto"/>
                        <w:right w:val="none" w:sz="0" w:space="0" w:color="auto"/>
                      </w:divBdr>
                    </w:div>
                  </w:divsChild>
                </w:div>
                <w:div w:id="1524782563">
                  <w:marLeft w:val="0"/>
                  <w:marRight w:val="0"/>
                  <w:marTop w:val="0"/>
                  <w:marBottom w:val="0"/>
                  <w:divBdr>
                    <w:top w:val="none" w:sz="0" w:space="0" w:color="auto"/>
                    <w:left w:val="none" w:sz="0" w:space="0" w:color="auto"/>
                    <w:bottom w:val="none" w:sz="0" w:space="0" w:color="auto"/>
                    <w:right w:val="none" w:sz="0" w:space="0" w:color="auto"/>
                  </w:divBdr>
                  <w:divsChild>
                    <w:div w:id="2001542258">
                      <w:marLeft w:val="0"/>
                      <w:marRight w:val="0"/>
                      <w:marTop w:val="0"/>
                      <w:marBottom w:val="0"/>
                      <w:divBdr>
                        <w:top w:val="none" w:sz="0" w:space="0" w:color="auto"/>
                        <w:left w:val="none" w:sz="0" w:space="0" w:color="auto"/>
                        <w:bottom w:val="none" w:sz="0" w:space="0" w:color="auto"/>
                        <w:right w:val="none" w:sz="0" w:space="0" w:color="auto"/>
                      </w:divBdr>
                    </w:div>
                  </w:divsChild>
                </w:div>
                <w:div w:id="1524899857">
                  <w:marLeft w:val="0"/>
                  <w:marRight w:val="0"/>
                  <w:marTop w:val="0"/>
                  <w:marBottom w:val="0"/>
                  <w:divBdr>
                    <w:top w:val="none" w:sz="0" w:space="0" w:color="auto"/>
                    <w:left w:val="none" w:sz="0" w:space="0" w:color="auto"/>
                    <w:bottom w:val="none" w:sz="0" w:space="0" w:color="auto"/>
                    <w:right w:val="none" w:sz="0" w:space="0" w:color="auto"/>
                  </w:divBdr>
                  <w:divsChild>
                    <w:div w:id="1899436470">
                      <w:marLeft w:val="0"/>
                      <w:marRight w:val="0"/>
                      <w:marTop w:val="0"/>
                      <w:marBottom w:val="0"/>
                      <w:divBdr>
                        <w:top w:val="none" w:sz="0" w:space="0" w:color="auto"/>
                        <w:left w:val="none" w:sz="0" w:space="0" w:color="auto"/>
                        <w:bottom w:val="none" w:sz="0" w:space="0" w:color="auto"/>
                        <w:right w:val="none" w:sz="0" w:space="0" w:color="auto"/>
                      </w:divBdr>
                    </w:div>
                  </w:divsChild>
                </w:div>
                <w:div w:id="1525099245">
                  <w:marLeft w:val="0"/>
                  <w:marRight w:val="0"/>
                  <w:marTop w:val="0"/>
                  <w:marBottom w:val="0"/>
                  <w:divBdr>
                    <w:top w:val="none" w:sz="0" w:space="0" w:color="auto"/>
                    <w:left w:val="none" w:sz="0" w:space="0" w:color="auto"/>
                    <w:bottom w:val="none" w:sz="0" w:space="0" w:color="auto"/>
                    <w:right w:val="none" w:sz="0" w:space="0" w:color="auto"/>
                  </w:divBdr>
                  <w:divsChild>
                    <w:div w:id="68507513">
                      <w:marLeft w:val="0"/>
                      <w:marRight w:val="0"/>
                      <w:marTop w:val="0"/>
                      <w:marBottom w:val="0"/>
                      <w:divBdr>
                        <w:top w:val="none" w:sz="0" w:space="0" w:color="auto"/>
                        <w:left w:val="none" w:sz="0" w:space="0" w:color="auto"/>
                        <w:bottom w:val="none" w:sz="0" w:space="0" w:color="auto"/>
                        <w:right w:val="none" w:sz="0" w:space="0" w:color="auto"/>
                      </w:divBdr>
                    </w:div>
                  </w:divsChild>
                </w:div>
                <w:div w:id="1558084675">
                  <w:marLeft w:val="0"/>
                  <w:marRight w:val="0"/>
                  <w:marTop w:val="0"/>
                  <w:marBottom w:val="0"/>
                  <w:divBdr>
                    <w:top w:val="none" w:sz="0" w:space="0" w:color="auto"/>
                    <w:left w:val="none" w:sz="0" w:space="0" w:color="auto"/>
                    <w:bottom w:val="none" w:sz="0" w:space="0" w:color="auto"/>
                    <w:right w:val="none" w:sz="0" w:space="0" w:color="auto"/>
                  </w:divBdr>
                  <w:divsChild>
                    <w:div w:id="1113863030">
                      <w:marLeft w:val="0"/>
                      <w:marRight w:val="0"/>
                      <w:marTop w:val="0"/>
                      <w:marBottom w:val="0"/>
                      <w:divBdr>
                        <w:top w:val="none" w:sz="0" w:space="0" w:color="auto"/>
                        <w:left w:val="none" w:sz="0" w:space="0" w:color="auto"/>
                        <w:bottom w:val="none" w:sz="0" w:space="0" w:color="auto"/>
                        <w:right w:val="none" w:sz="0" w:space="0" w:color="auto"/>
                      </w:divBdr>
                    </w:div>
                  </w:divsChild>
                </w:div>
                <w:div w:id="1582761291">
                  <w:marLeft w:val="0"/>
                  <w:marRight w:val="0"/>
                  <w:marTop w:val="0"/>
                  <w:marBottom w:val="0"/>
                  <w:divBdr>
                    <w:top w:val="none" w:sz="0" w:space="0" w:color="auto"/>
                    <w:left w:val="none" w:sz="0" w:space="0" w:color="auto"/>
                    <w:bottom w:val="none" w:sz="0" w:space="0" w:color="auto"/>
                    <w:right w:val="none" w:sz="0" w:space="0" w:color="auto"/>
                  </w:divBdr>
                  <w:divsChild>
                    <w:div w:id="843976874">
                      <w:marLeft w:val="0"/>
                      <w:marRight w:val="0"/>
                      <w:marTop w:val="0"/>
                      <w:marBottom w:val="0"/>
                      <w:divBdr>
                        <w:top w:val="none" w:sz="0" w:space="0" w:color="auto"/>
                        <w:left w:val="none" w:sz="0" w:space="0" w:color="auto"/>
                        <w:bottom w:val="none" w:sz="0" w:space="0" w:color="auto"/>
                        <w:right w:val="none" w:sz="0" w:space="0" w:color="auto"/>
                      </w:divBdr>
                    </w:div>
                  </w:divsChild>
                </w:div>
                <w:div w:id="1606961431">
                  <w:marLeft w:val="0"/>
                  <w:marRight w:val="0"/>
                  <w:marTop w:val="0"/>
                  <w:marBottom w:val="0"/>
                  <w:divBdr>
                    <w:top w:val="none" w:sz="0" w:space="0" w:color="auto"/>
                    <w:left w:val="none" w:sz="0" w:space="0" w:color="auto"/>
                    <w:bottom w:val="none" w:sz="0" w:space="0" w:color="auto"/>
                    <w:right w:val="none" w:sz="0" w:space="0" w:color="auto"/>
                  </w:divBdr>
                  <w:divsChild>
                    <w:div w:id="1151214510">
                      <w:marLeft w:val="0"/>
                      <w:marRight w:val="0"/>
                      <w:marTop w:val="0"/>
                      <w:marBottom w:val="0"/>
                      <w:divBdr>
                        <w:top w:val="none" w:sz="0" w:space="0" w:color="auto"/>
                        <w:left w:val="none" w:sz="0" w:space="0" w:color="auto"/>
                        <w:bottom w:val="none" w:sz="0" w:space="0" w:color="auto"/>
                        <w:right w:val="none" w:sz="0" w:space="0" w:color="auto"/>
                      </w:divBdr>
                    </w:div>
                  </w:divsChild>
                </w:div>
                <w:div w:id="1644264460">
                  <w:marLeft w:val="0"/>
                  <w:marRight w:val="0"/>
                  <w:marTop w:val="0"/>
                  <w:marBottom w:val="0"/>
                  <w:divBdr>
                    <w:top w:val="none" w:sz="0" w:space="0" w:color="auto"/>
                    <w:left w:val="none" w:sz="0" w:space="0" w:color="auto"/>
                    <w:bottom w:val="none" w:sz="0" w:space="0" w:color="auto"/>
                    <w:right w:val="none" w:sz="0" w:space="0" w:color="auto"/>
                  </w:divBdr>
                  <w:divsChild>
                    <w:div w:id="461118465">
                      <w:marLeft w:val="0"/>
                      <w:marRight w:val="0"/>
                      <w:marTop w:val="0"/>
                      <w:marBottom w:val="0"/>
                      <w:divBdr>
                        <w:top w:val="none" w:sz="0" w:space="0" w:color="auto"/>
                        <w:left w:val="none" w:sz="0" w:space="0" w:color="auto"/>
                        <w:bottom w:val="none" w:sz="0" w:space="0" w:color="auto"/>
                        <w:right w:val="none" w:sz="0" w:space="0" w:color="auto"/>
                      </w:divBdr>
                    </w:div>
                  </w:divsChild>
                </w:div>
                <w:div w:id="1661734195">
                  <w:marLeft w:val="0"/>
                  <w:marRight w:val="0"/>
                  <w:marTop w:val="0"/>
                  <w:marBottom w:val="0"/>
                  <w:divBdr>
                    <w:top w:val="none" w:sz="0" w:space="0" w:color="auto"/>
                    <w:left w:val="none" w:sz="0" w:space="0" w:color="auto"/>
                    <w:bottom w:val="none" w:sz="0" w:space="0" w:color="auto"/>
                    <w:right w:val="none" w:sz="0" w:space="0" w:color="auto"/>
                  </w:divBdr>
                  <w:divsChild>
                    <w:div w:id="794104822">
                      <w:marLeft w:val="0"/>
                      <w:marRight w:val="0"/>
                      <w:marTop w:val="0"/>
                      <w:marBottom w:val="0"/>
                      <w:divBdr>
                        <w:top w:val="none" w:sz="0" w:space="0" w:color="auto"/>
                        <w:left w:val="none" w:sz="0" w:space="0" w:color="auto"/>
                        <w:bottom w:val="none" w:sz="0" w:space="0" w:color="auto"/>
                        <w:right w:val="none" w:sz="0" w:space="0" w:color="auto"/>
                      </w:divBdr>
                    </w:div>
                  </w:divsChild>
                </w:div>
                <w:div w:id="1706518672">
                  <w:marLeft w:val="0"/>
                  <w:marRight w:val="0"/>
                  <w:marTop w:val="0"/>
                  <w:marBottom w:val="0"/>
                  <w:divBdr>
                    <w:top w:val="none" w:sz="0" w:space="0" w:color="auto"/>
                    <w:left w:val="none" w:sz="0" w:space="0" w:color="auto"/>
                    <w:bottom w:val="none" w:sz="0" w:space="0" w:color="auto"/>
                    <w:right w:val="none" w:sz="0" w:space="0" w:color="auto"/>
                  </w:divBdr>
                  <w:divsChild>
                    <w:div w:id="573777492">
                      <w:marLeft w:val="0"/>
                      <w:marRight w:val="0"/>
                      <w:marTop w:val="0"/>
                      <w:marBottom w:val="0"/>
                      <w:divBdr>
                        <w:top w:val="none" w:sz="0" w:space="0" w:color="auto"/>
                        <w:left w:val="none" w:sz="0" w:space="0" w:color="auto"/>
                        <w:bottom w:val="none" w:sz="0" w:space="0" w:color="auto"/>
                        <w:right w:val="none" w:sz="0" w:space="0" w:color="auto"/>
                      </w:divBdr>
                    </w:div>
                  </w:divsChild>
                </w:div>
                <w:div w:id="1851948462">
                  <w:marLeft w:val="0"/>
                  <w:marRight w:val="0"/>
                  <w:marTop w:val="0"/>
                  <w:marBottom w:val="0"/>
                  <w:divBdr>
                    <w:top w:val="none" w:sz="0" w:space="0" w:color="auto"/>
                    <w:left w:val="none" w:sz="0" w:space="0" w:color="auto"/>
                    <w:bottom w:val="none" w:sz="0" w:space="0" w:color="auto"/>
                    <w:right w:val="none" w:sz="0" w:space="0" w:color="auto"/>
                  </w:divBdr>
                  <w:divsChild>
                    <w:div w:id="1594784199">
                      <w:marLeft w:val="0"/>
                      <w:marRight w:val="0"/>
                      <w:marTop w:val="0"/>
                      <w:marBottom w:val="0"/>
                      <w:divBdr>
                        <w:top w:val="none" w:sz="0" w:space="0" w:color="auto"/>
                        <w:left w:val="none" w:sz="0" w:space="0" w:color="auto"/>
                        <w:bottom w:val="none" w:sz="0" w:space="0" w:color="auto"/>
                        <w:right w:val="none" w:sz="0" w:space="0" w:color="auto"/>
                      </w:divBdr>
                    </w:div>
                  </w:divsChild>
                </w:div>
                <w:div w:id="1884442338">
                  <w:marLeft w:val="0"/>
                  <w:marRight w:val="0"/>
                  <w:marTop w:val="0"/>
                  <w:marBottom w:val="0"/>
                  <w:divBdr>
                    <w:top w:val="none" w:sz="0" w:space="0" w:color="auto"/>
                    <w:left w:val="none" w:sz="0" w:space="0" w:color="auto"/>
                    <w:bottom w:val="none" w:sz="0" w:space="0" w:color="auto"/>
                    <w:right w:val="none" w:sz="0" w:space="0" w:color="auto"/>
                  </w:divBdr>
                  <w:divsChild>
                    <w:div w:id="631013274">
                      <w:marLeft w:val="0"/>
                      <w:marRight w:val="0"/>
                      <w:marTop w:val="0"/>
                      <w:marBottom w:val="0"/>
                      <w:divBdr>
                        <w:top w:val="none" w:sz="0" w:space="0" w:color="auto"/>
                        <w:left w:val="none" w:sz="0" w:space="0" w:color="auto"/>
                        <w:bottom w:val="none" w:sz="0" w:space="0" w:color="auto"/>
                        <w:right w:val="none" w:sz="0" w:space="0" w:color="auto"/>
                      </w:divBdr>
                    </w:div>
                  </w:divsChild>
                </w:div>
                <w:div w:id="1888951395">
                  <w:marLeft w:val="0"/>
                  <w:marRight w:val="0"/>
                  <w:marTop w:val="0"/>
                  <w:marBottom w:val="0"/>
                  <w:divBdr>
                    <w:top w:val="none" w:sz="0" w:space="0" w:color="auto"/>
                    <w:left w:val="none" w:sz="0" w:space="0" w:color="auto"/>
                    <w:bottom w:val="none" w:sz="0" w:space="0" w:color="auto"/>
                    <w:right w:val="none" w:sz="0" w:space="0" w:color="auto"/>
                  </w:divBdr>
                  <w:divsChild>
                    <w:div w:id="97872276">
                      <w:marLeft w:val="0"/>
                      <w:marRight w:val="0"/>
                      <w:marTop w:val="0"/>
                      <w:marBottom w:val="0"/>
                      <w:divBdr>
                        <w:top w:val="none" w:sz="0" w:space="0" w:color="auto"/>
                        <w:left w:val="none" w:sz="0" w:space="0" w:color="auto"/>
                        <w:bottom w:val="none" w:sz="0" w:space="0" w:color="auto"/>
                        <w:right w:val="none" w:sz="0" w:space="0" w:color="auto"/>
                      </w:divBdr>
                    </w:div>
                  </w:divsChild>
                </w:div>
                <w:div w:id="1915046017">
                  <w:marLeft w:val="0"/>
                  <w:marRight w:val="0"/>
                  <w:marTop w:val="0"/>
                  <w:marBottom w:val="0"/>
                  <w:divBdr>
                    <w:top w:val="none" w:sz="0" w:space="0" w:color="auto"/>
                    <w:left w:val="none" w:sz="0" w:space="0" w:color="auto"/>
                    <w:bottom w:val="none" w:sz="0" w:space="0" w:color="auto"/>
                    <w:right w:val="none" w:sz="0" w:space="0" w:color="auto"/>
                  </w:divBdr>
                  <w:divsChild>
                    <w:div w:id="912199887">
                      <w:marLeft w:val="0"/>
                      <w:marRight w:val="0"/>
                      <w:marTop w:val="0"/>
                      <w:marBottom w:val="0"/>
                      <w:divBdr>
                        <w:top w:val="none" w:sz="0" w:space="0" w:color="auto"/>
                        <w:left w:val="none" w:sz="0" w:space="0" w:color="auto"/>
                        <w:bottom w:val="none" w:sz="0" w:space="0" w:color="auto"/>
                        <w:right w:val="none" w:sz="0" w:space="0" w:color="auto"/>
                      </w:divBdr>
                    </w:div>
                  </w:divsChild>
                </w:div>
                <w:div w:id="1929148390">
                  <w:marLeft w:val="0"/>
                  <w:marRight w:val="0"/>
                  <w:marTop w:val="0"/>
                  <w:marBottom w:val="0"/>
                  <w:divBdr>
                    <w:top w:val="none" w:sz="0" w:space="0" w:color="auto"/>
                    <w:left w:val="none" w:sz="0" w:space="0" w:color="auto"/>
                    <w:bottom w:val="none" w:sz="0" w:space="0" w:color="auto"/>
                    <w:right w:val="none" w:sz="0" w:space="0" w:color="auto"/>
                  </w:divBdr>
                  <w:divsChild>
                    <w:div w:id="577793321">
                      <w:marLeft w:val="0"/>
                      <w:marRight w:val="0"/>
                      <w:marTop w:val="0"/>
                      <w:marBottom w:val="0"/>
                      <w:divBdr>
                        <w:top w:val="none" w:sz="0" w:space="0" w:color="auto"/>
                        <w:left w:val="none" w:sz="0" w:space="0" w:color="auto"/>
                        <w:bottom w:val="none" w:sz="0" w:space="0" w:color="auto"/>
                        <w:right w:val="none" w:sz="0" w:space="0" w:color="auto"/>
                      </w:divBdr>
                    </w:div>
                  </w:divsChild>
                </w:div>
                <w:div w:id="1937589980">
                  <w:marLeft w:val="0"/>
                  <w:marRight w:val="0"/>
                  <w:marTop w:val="0"/>
                  <w:marBottom w:val="0"/>
                  <w:divBdr>
                    <w:top w:val="none" w:sz="0" w:space="0" w:color="auto"/>
                    <w:left w:val="none" w:sz="0" w:space="0" w:color="auto"/>
                    <w:bottom w:val="none" w:sz="0" w:space="0" w:color="auto"/>
                    <w:right w:val="none" w:sz="0" w:space="0" w:color="auto"/>
                  </w:divBdr>
                  <w:divsChild>
                    <w:div w:id="805393844">
                      <w:marLeft w:val="0"/>
                      <w:marRight w:val="0"/>
                      <w:marTop w:val="0"/>
                      <w:marBottom w:val="0"/>
                      <w:divBdr>
                        <w:top w:val="none" w:sz="0" w:space="0" w:color="auto"/>
                        <w:left w:val="none" w:sz="0" w:space="0" w:color="auto"/>
                        <w:bottom w:val="none" w:sz="0" w:space="0" w:color="auto"/>
                        <w:right w:val="none" w:sz="0" w:space="0" w:color="auto"/>
                      </w:divBdr>
                    </w:div>
                  </w:divsChild>
                </w:div>
                <w:div w:id="1957716555">
                  <w:marLeft w:val="0"/>
                  <w:marRight w:val="0"/>
                  <w:marTop w:val="0"/>
                  <w:marBottom w:val="0"/>
                  <w:divBdr>
                    <w:top w:val="none" w:sz="0" w:space="0" w:color="auto"/>
                    <w:left w:val="none" w:sz="0" w:space="0" w:color="auto"/>
                    <w:bottom w:val="none" w:sz="0" w:space="0" w:color="auto"/>
                    <w:right w:val="none" w:sz="0" w:space="0" w:color="auto"/>
                  </w:divBdr>
                  <w:divsChild>
                    <w:div w:id="152263369">
                      <w:marLeft w:val="0"/>
                      <w:marRight w:val="0"/>
                      <w:marTop w:val="0"/>
                      <w:marBottom w:val="0"/>
                      <w:divBdr>
                        <w:top w:val="none" w:sz="0" w:space="0" w:color="auto"/>
                        <w:left w:val="none" w:sz="0" w:space="0" w:color="auto"/>
                        <w:bottom w:val="none" w:sz="0" w:space="0" w:color="auto"/>
                        <w:right w:val="none" w:sz="0" w:space="0" w:color="auto"/>
                      </w:divBdr>
                    </w:div>
                  </w:divsChild>
                </w:div>
                <w:div w:id="1979332959">
                  <w:marLeft w:val="0"/>
                  <w:marRight w:val="0"/>
                  <w:marTop w:val="0"/>
                  <w:marBottom w:val="0"/>
                  <w:divBdr>
                    <w:top w:val="none" w:sz="0" w:space="0" w:color="auto"/>
                    <w:left w:val="none" w:sz="0" w:space="0" w:color="auto"/>
                    <w:bottom w:val="none" w:sz="0" w:space="0" w:color="auto"/>
                    <w:right w:val="none" w:sz="0" w:space="0" w:color="auto"/>
                  </w:divBdr>
                  <w:divsChild>
                    <w:div w:id="1365251777">
                      <w:marLeft w:val="0"/>
                      <w:marRight w:val="0"/>
                      <w:marTop w:val="0"/>
                      <w:marBottom w:val="0"/>
                      <w:divBdr>
                        <w:top w:val="none" w:sz="0" w:space="0" w:color="auto"/>
                        <w:left w:val="none" w:sz="0" w:space="0" w:color="auto"/>
                        <w:bottom w:val="none" w:sz="0" w:space="0" w:color="auto"/>
                        <w:right w:val="none" w:sz="0" w:space="0" w:color="auto"/>
                      </w:divBdr>
                    </w:div>
                  </w:divsChild>
                </w:div>
                <w:div w:id="1984265822">
                  <w:marLeft w:val="0"/>
                  <w:marRight w:val="0"/>
                  <w:marTop w:val="0"/>
                  <w:marBottom w:val="0"/>
                  <w:divBdr>
                    <w:top w:val="none" w:sz="0" w:space="0" w:color="auto"/>
                    <w:left w:val="none" w:sz="0" w:space="0" w:color="auto"/>
                    <w:bottom w:val="none" w:sz="0" w:space="0" w:color="auto"/>
                    <w:right w:val="none" w:sz="0" w:space="0" w:color="auto"/>
                  </w:divBdr>
                  <w:divsChild>
                    <w:div w:id="1974824711">
                      <w:marLeft w:val="0"/>
                      <w:marRight w:val="0"/>
                      <w:marTop w:val="0"/>
                      <w:marBottom w:val="0"/>
                      <w:divBdr>
                        <w:top w:val="none" w:sz="0" w:space="0" w:color="auto"/>
                        <w:left w:val="none" w:sz="0" w:space="0" w:color="auto"/>
                        <w:bottom w:val="none" w:sz="0" w:space="0" w:color="auto"/>
                        <w:right w:val="none" w:sz="0" w:space="0" w:color="auto"/>
                      </w:divBdr>
                    </w:div>
                  </w:divsChild>
                </w:div>
                <w:div w:id="1995907294">
                  <w:marLeft w:val="0"/>
                  <w:marRight w:val="0"/>
                  <w:marTop w:val="0"/>
                  <w:marBottom w:val="0"/>
                  <w:divBdr>
                    <w:top w:val="none" w:sz="0" w:space="0" w:color="auto"/>
                    <w:left w:val="none" w:sz="0" w:space="0" w:color="auto"/>
                    <w:bottom w:val="none" w:sz="0" w:space="0" w:color="auto"/>
                    <w:right w:val="none" w:sz="0" w:space="0" w:color="auto"/>
                  </w:divBdr>
                  <w:divsChild>
                    <w:div w:id="618412366">
                      <w:marLeft w:val="0"/>
                      <w:marRight w:val="0"/>
                      <w:marTop w:val="0"/>
                      <w:marBottom w:val="0"/>
                      <w:divBdr>
                        <w:top w:val="none" w:sz="0" w:space="0" w:color="auto"/>
                        <w:left w:val="none" w:sz="0" w:space="0" w:color="auto"/>
                        <w:bottom w:val="none" w:sz="0" w:space="0" w:color="auto"/>
                        <w:right w:val="none" w:sz="0" w:space="0" w:color="auto"/>
                      </w:divBdr>
                    </w:div>
                  </w:divsChild>
                </w:div>
                <w:div w:id="2020424697">
                  <w:marLeft w:val="0"/>
                  <w:marRight w:val="0"/>
                  <w:marTop w:val="0"/>
                  <w:marBottom w:val="0"/>
                  <w:divBdr>
                    <w:top w:val="none" w:sz="0" w:space="0" w:color="auto"/>
                    <w:left w:val="none" w:sz="0" w:space="0" w:color="auto"/>
                    <w:bottom w:val="none" w:sz="0" w:space="0" w:color="auto"/>
                    <w:right w:val="none" w:sz="0" w:space="0" w:color="auto"/>
                  </w:divBdr>
                  <w:divsChild>
                    <w:div w:id="136145123">
                      <w:marLeft w:val="0"/>
                      <w:marRight w:val="0"/>
                      <w:marTop w:val="0"/>
                      <w:marBottom w:val="0"/>
                      <w:divBdr>
                        <w:top w:val="none" w:sz="0" w:space="0" w:color="auto"/>
                        <w:left w:val="none" w:sz="0" w:space="0" w:color="auto"/>
                        <w:bottom w:val="none" w:sz="0" w:space="0" w:color="auto"/>
                        <w:right w:val="none" w:sz="0" w:space="0" w:color="auto"/>
                      </w:divBdr>
                    </w:div>
                  </w:divsChild>
                </w:div>
                <w:div w:id="2042657362">
                  <w:marLeft w:val="0"/>
                  <w:marRight w:val="0"/>
                  <w:marTop w:val="0"/>
                  <w:marBottom w:val="0"/>
                  <w:divBdr>
                    <w:top w:val="none" w:sz="0" w:space="0" w:color="auto"/>
                    <w:left w:val="none" w:sz="0" w:space="0" w:color="auto"/>
                    <w:bottom w:val="none" w:sz="0" w:space="0" w:color="auto"/>
                    <w:right w:val="none" w:sz="0" w:space="0" w:color="auto"/>
                  </w:divBdr>
                  <w:divsChild>
                    <w:div w:id="2016951303">
                      <w:marLeft w:val="0"/>
                      <w:marRight w:val="0"/>
                      <w:marTop w:val="0"/>
                      <w:marBottom w:val="0"/>
                      <w:divBdr>
                        <w:top w:val="none" w:sz="0" w:space="0" w:color="auto"/>
                        <w:left w:val="none" w:sz="0" w:space="0" w:color="auto"/>
                        <w:bottom w:val="none" w:sz="0" w:space="0" w:color="auto"/>
                        <w:right w:val="none" w:sz="0" w:space="0" w:color="auto"/>
                      </w:divBdr>
                    </w:div>
                  </w:divsChild>
                </w:div>
                <w:div w:id="2079788366">
                  <w:marLeft w:val="0"/>
                  <w:marRight w:val="0"/>
                  <w:marTop w:val="0"/>
                  <w:marBottom w:val="0"/>
                  <w:divBdr>
                    <w:top w:val="none" w:sz="0" w:space="0" w:color="auto"/>
                    <w:left w:val="none" w:sz="0" w:space="0" w:color="auto"/>
                    <w:bottom w:val="none" w:sz="0" w:space="0" w:color="auto"/>
                    <w:right w:val="none" w:sz="0" w:space="0" w:color="auto"/>
                  </w:divBdr>
                  <w:divsChild>
                    <w:div w:id="2028798299">
                      <w:marLeft w:val="0"/>
                      <w:marRight w:val="0"/>
                      <w:marTop w:val="0"/>
                      <w:marBottom w:val="0"/>
                      <w:divBdr>
                        <w:top w:val="none" w:sz="0" w:space="0" w:color="auto"/>
                        <w:left w:val="none" w:sz="0" w:space="0" w:color="auto"/>
                        <w:bottom w:val="none" w:sz="0" w:space="0" w:color="auto"/>
                        <w:right w:val="none" w:sz="0" w:space="0" w:color="auto"/>
                      </w:divBdr>
                    </w:div>
                  </w:divsChild>
                </w:div>
                <w:div w:id="2084595244">
                  <w:marLeft w:val="0"/>
                  <w:marRight w:val="0"/>
                  <w:marTop w:val="0"/>
                  <w:marBottom w:val="0"/>
                  <w:divBdr>
                    <w:top w:val="none" w:sz="0" w:space="0" w:color="auto"/>
                    <w:left w:val="none" w:sz="0" w:space="0" w:color="auto"/>
                    <w:bottom w:val="none" w:sz="0" w:space="0" w:color="auto"/>
                    <w:right w:val="none" w:sz="0" w:space="0" w:color="auto"/>
                  </w:divBdr>
                  <w:divsChild>
                    <w:div w:id="1094983829">
                      <w:marLeft w:val="0"/>
                      <w:marRight w:val="0"/>
                      <w:marTop w:val="0"/>
                      <w:marBottom w:val="0"/>
                      <w:divBdr>
                        <w:top w:val="none" w:sz="0" w:space="0" w:color="auto"/>
                        <w:left w:val="none" w:sz="0" w:space="0" w:color="auto"/>
                        <w:bottom w:val="none" w:sz="0" w:space="0" w:color="auto"/>
                        <w:right w:val="none" w:sz="0" w:space="0" w:color="auto"/>
                      </w:divBdr>
                    </w:div>
                  </w:divsChild>
                </w:div>
                <w:div w:id="2088072719">
                  <w:marLeft w:val="0"/>
                  <w:marRight w:val="0"/>
                  <w:marTop w:val="0"/>
                  <w:marBottom w:val="0"/>
                  <w:divBdr>
                    <w:top w:val="none" w:sz="0" w:space="0" w:color="auto"/>
                    <w:left w:val="none" w:sz="0" w:space="0" w:color="auto"/>
                    <w:bottom w:val="none" w:sz="0" w:space="0" w:color="auto"/>
                    <w:right w:val="none" w:sz="0" w:space="0" w:color="auto"/>
                  </w:divBdr>
                  <w:divsChild>
                    <w:div w:id="6329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21587">
          <w:marLeft w:val="0"/>
          <w:marRight w:val="0"/>
          <w:marTop w:val="0"/>
          <w:marBottom w:val="0"/>
          <w:divBdr>
            <w:top w:val="none" w:sz="0" w:space="0" w:color="auto"/>
            <w:left w:val="none" w:sz="0" w:space="0" w:color="auto"/>
            <w:bottom w:val="none" w:sz="0" w:space="0" w:color="auto"/>
            <w:right w:val="none" w:sz="0" w:space="0" w:color="auto"/>
          </w:divBdr>
        </w:div>
        <w:div w:id="432290540">
          <w:marLeft w:val="0"/>
          <w:marRight w:val="0"/>
          <w:marTop w:val="0"/>
          <w:marBottom w:val="0"/>
          <w:divBdr>
            <w:top w:val="none" w:sz="0" w:space="0" w:color="auto"/>
            <w:left w:val="none" w:sz="0" w:space="0" w:color="auto"/>
            <w:bottom w:val="none" w:sz="0" w:space="0" w:color="auto"/>
            <w:right w:val="none" w:sz="0" w:space="0" w:color="auto"/>
          </w:divBdr>
        </w:div>
        <w:div w:id="602420086">
          <w:marLeft w:val="0"/>
          <w:marRight w:val="0"/>
          <w:marTop w:val="0"/>
          <w:marBottom w:val="0"/>
          <w:divBdr>
            <w:top w:val="none" w:sz="0" w:space="0" w:color="auto"/>
            <w:left w:val="none" w:sz="0" w:space="0" w:color="auto"/>
            <w:bottom w:val="none" w:sz="0" w:space="0" w:color="auto"/>
            <w:right w:val="none" w:sz="0" w:space="0" w:color="auto"/>
          </w:divBdr>
        </w:div>
        <w:div w:id="790052220">
          <w:marLeft w:val="0"/>
          <w:marRight w:val="0"/>
          <w:marTop w:val="0"/>
          <w:marBottom w:val="0"/>
          <w:divBdr>
            <w:top w:val="none" w:sz="0" w:space="0" w:color="auto"/>
            <w:left w:val="none" w:sz="0" w:space="0" w:color="auto"/>
            <w:bottom w:val="none" w:sz="0" w:space="0" w:color="auto"/>
            <w:right w:val="none" w:sz="0" w:space="0" w:color="auto"/>
          </w:divBdr>
        </w:div>
        <w:div w:id="1379739685">
          <w:marLeft w:val="0"/>
          <w:marRight w:val="0"/>
          <w:marTop w:val="0"/>
          <w:marBottom w:val="0"/>
          <w:divBdr>
            <w:top w:val="none" w:sz="0" w:space="0" w:color="auto"/>
            <w:left w:val="none" w:sz="0" w:space="0" w:color="auto"/>
            <w:bottom w:val="none" w:sz="0" w:space="0" w:color="auto"/>
            <w:right w:val="none" w:sz="0" w:space="0" w:color="auto"/>
          </w:divBdr>
        </w:div>
        <w:div w:id="1501657859">
          <w:marLeft w:val="0"/>
          <w:marRight w:val="0"/>
          <w:marTop w:val="0"/>
          <w:marBottom w:val="0"/>
          <w:divBdr>
            <w:top w:val="none" w:sz="0" w:space="0" w:color="auto"/>
            <w:left w:val="none" w:sz="0" w:space="0" w:color="auto"/>
            <w:bottom w:val="none" w:sz="0" w:space="0" w:color="auto"/>
            <w:right w:val="none" w:sz="0" w:space="0" w:color="auto"/>
          </w:divBdr>
        </w:div>
        <w:div w:id="1621261972">
          <w:marLeft w:val="0"/>
          <w:marRight w:val="0"/>
          <w:marTop w:val="0"/>
          <w:marBottom w:val="0"/>
          <w:divBdr>
            <w:top w:val="none" w:sz="0" w:space="0" w:color="auto"/>
            <w:left w:val="none" w:sz="0" w:space="0" w:color="auto"/>
            <w:bottom w:val="none" w:sz="0" w:space="0" w:color="auto"/>
            <w:right w:val="none" w:sz="0" w:space="0" w:color="auto"/>
          </w:divBdr>
        </w:div>
      </w:divsChild>
    </w:div>
    <w:div w:id="284119188">
      <w:bodyDiv w:val="1"/>
      <w:marLeft w:val="0"/>
      <w:marRight w:val="0"/>
      <w:marTop w:val="0"/>
      <w:marBottom w:val="0"/>
      <w:divBdr>
        <w:top w:val="none" w:sz="0" w:space="0" w:color="auto"/>
        <w:left w:val="none" w:sz="0" w:space="0" w:color="auto"/>
        <w:bottom w:val="none" w:sz="0" w:space="0" w:color="auto"/>
        <w:right w:val="none" w:sz="0" w:space="0" w:color="auto"/>
      </w:divBdr>
    </w:div>
    <w:div w:id="289408280">
      <w:bodyDiv w:val="1"/>
      <w:marLeft w:val="0"/>
      <w:marRight w:val="0"/>
      <w:marTop w:val="0"/>
      <w:marBottom w:val="0"/>
      <w:divBdr>
        <w:top w:val="none" w:sz="0" w:space="0" w:color="auto"/>
        <w:left w:val="none" w:sz="0" w:space="0" w:color="auto"/>
        <w:bottom w:val="none" w:sz="0" w:space="0" w:color="auto"/>
        <w:right w:val="none" w:sz="0" w:space="0" w:color="auto"/>
      </w:divBdr>
    </w:div>
    <w:div w:id="295382432">
      <w:bodyDiv w:val="1"/>
      <w:marLeft w:val="0"/>
      <w:marRight w:val="0"/>
      <w:marTop w:val="0"/>
      <w:marBottom w:val="0"/>
      <w:divBdr>
        <w:top w:val="none" w:sz="0" w:space="0" w:color="auto"/>
        <w:left w:val="none" w:sz="0" w:space="0" w:color="auto"/>
        <w:bottom w:val="none" w:sz="0" w:space="0" w:color="auto"/>
        <w:right w:val="none" w:sz="0" w:space="0" w:color="auto"/>
      </w:divBdr>
    </w:div>
    <w:div w:id="296298326">
      <w:bodyDiv w:val="1"/>
      <w:marLeft w:val="0"/>
      <w:marRight w:val="0"/>
      <w:marTop w:val="0"/>
      <w:marBottom w:val="0"/>
      <w:divBdr>
        <w:top w:val="none" w:sz="0" w:space="0" w:color="auto"/>
        <w:left w:val="none" w:sz="0" w:space="0" w:color="auto"/>
        <w:bottom w:val="none" w:sz="0" w:space="0" w:color="auto"/>
        <w:right w:val="none" w:sz="0" w:space="0" w:color="auto"/>
      </w:divBdr>
    </w:div>
    <w:div w:id="297608215">
      <w:bodyDiv w:val="1"/>
      <w:marLeft w:val="0"/>
      <w:marRight w:val="0"/>
      <w:marTop w:val="0"/>
      <w:marBottom w:val="0"/>
      <w:divBdr>
        <w:top w:val="none" w:sz="0" w:space="0" w:color="auto"/>
        <w:left w:val="none" w:sz="0" w:space="0" w:color="auto"/>
        <w:bottom w:val="none" w:sz="0" w:space="0" w:color="auto"/>
        <w:right w:val="none" w:sz="0" w:space="0" w:color="auto"/>
      </w:divBdr>
    </w:div>
    <w:div w:id="305478024">
      <w:bodyDiv w:val="1"/>
      <w:marLeft w:val="0"/>
      <w:marRight w:val="0"/>
      <w:marTop w:val="0"/>
      <w:marBottom w:val="0"/>
      <w:divBdr>
        <w:top w:val="none" w:sz="0" w:space="0" w:color="auto"/>
        <w:left w:val="none" w:sz="0" w:space="0" w:color="auto"/>
        <w:bottom w:val="none" w:sz="0" w:space="0" w:color="auto"/>
        <w:right w:val="none" w:sz="0" w:space="0" w:color="auto"/>
      </w:divBdr>
    </w:div>
    <w:div w:id="308285866">
      <w:bodyDiv w:val="1"/>
      <w:marLeft w:val="0"/>
      <w:marRight w:val="0"/>
      <w:marTop w:val="0"/>
      <w:marBottom w:val="0"/>
      <w:divBdr>
        <w:top w:val="none" w:sz="0" w:space="0" w:color="auto"/>
        <w:left w:val="none" w:sz="0" w:space="0" w:color="auto"/>
        <w:bottom w:val="none" w:sz="0" w:space="0" w:color="auto"/>
        <w:right w:val="none" w:sz="0" w:space="0" w:color="auto"/>
      </w:divBdr>
    </w:div>
    <w:div w:id="325666027">
      <w:bodyDiv w:val="1"/>
      <w:marLeft w:val="0"/>
      <w:marRight w:val="0"/>
      <w:marTop w:val="0"/>
      <w:marBottom w:val="0"/>
      <w:divBdr>
        <w:top w:val="none" w:sz="0" w:space="0" w:color="auto"/>
        <w:left w:val="none" w:sz="0" w:space="0" w:color="auto"/>
        <w:bottom w:val="none" w:sz="0" w:space="0" w:color="auto"/>
        <w:right w:val="none" w:sz="0" w:space="0" w:color="auto"/>
      </w:divBdr>
    </w:div>
    <w:div w:id="327485376">
      <w:bodyDiv w:val="1"/>
      <w:marLeft w:val="0"/>
      <w:marRight w:val="0"/>
      <w:marTop w:val="0"/>
      <w:marBottom w:val="0"/>
      <w:divBdr>
        <w:top w:val="none" w:sz="0" w:space="0" w:color="auto"/>
        <w:left w:val="none" w:sz="0" w:space="0" w:color="auto"/>
        <w:bottom w:val="none" w:sz="0" w:space="0" w:color="auto"/>
        <w:right w:val="none" w:sz="0" w:space="0" w:color="auto"/>
      </w:divBdr>
    </w:div>
    <w:div w:id="335426722">
      <w:bodyDiv w:val="1"/>
      <w:marLeft w:val="0"/>
      <w:marRight w:val="0"/>
      <w:marTop w:val="0"/>
      <w:marBottom w:val="0"/>
      <w:divBdr>
        <w:top w:val="none" w:sz="0" w:space="0" w:color="auto"/>
        <w:left w:val="none" w:sz="0" w:space="0" w:color="auto"/>
        <w:bottom w:val="none" w:sz="0" w:space="0" w:color="auto"/>
        <w:right w:val="none" w:sz="0" w:space="0" w:color="auto"/>
      </w:divBdr>
    </w:div>
    <w:div w:id="338428835">
      <w:bodyDiv w:val="1"/>
      <w:marLeft w:val="0"/>
      <w:marRight w:val="0"/>
      <w:marTop w:val="0"/>
      <w:marBottom w:val="0"/>
      <w:divBdr>
        <w:top w:val="none" w:sz="0" w:space="0" w:color="auto"/>
        <w:left w:val="none" w:sz="0" w:space="0" w:color="auto"/>
        <w:bottom w:val="none" w:sz="0" w:space="0" w:color="auto"/>
        <w:right w:val="none" w:sz="0" w:space="0" w:color="auto"/>
      </w:divBdr>
    </w:div>
    <w:div w:id="338434226">
      <w:bodyDiv w:val="1"/>
      <w:marLeft w:val="0"/>
      <w:marRight w:val="0"/>
      <w:marTop w:val="0"/>
      <w:marBottom w:val="0"/>
      <w:divBdr>
        <w:top w:val="none" w:sz="0" w:space="0" w:color="auto"/>
        <w:left w:val="none" w:sz="0" w:space="0" w:color="auto"/>
        <w:bottom w:val="none" w:sz="0" w:space="0" w:color="auto"/>
        <w:right w:val="none" w:sz="0" w:space="0" w:color="auto"/>
      </w:divBdr>
    </w:div>
    <w:div w:id="342321944">
      <w:bodyDiv w:val="1"/>
      <w:marLeft w:val="0"/>
      <w:marRight w:val="0"/>
      <w:marTop w:val="0"/>
      <w:marBottom w:val="0"/>
      <w:divBdr>
        <w:top w:val="none" w:sz="0" w:space="0" w:color="auto"/>
        <w:left w:val="none" w:sz="0" w:space="0" w:color="auto"/>
        <w:bottom w:val="none" w:sz="0" w:space="0" w:color="auto"/>
        <w:right w:val="none" w:sz="0" w:space="0" w:color="auto"/>
      </w:divBdr>
    </w:div>
    <w:div w:id="342904295">
      <w:bodyDiv w:val="1"/>
      <w:marLeft w:val="0"/>
      <w:marRight w:val="0"/>
      <w:marTop w:val="0"/>
      <w:marBottom w:val="0"/>
      <w:divBdr>
        <w:top w:val="none" w:sz="0" w:space="0" w:color="auto"/>
        <w:left w:val="none" w:sz="0" w:space="0" w:color="auto"/>
        <w:bottom w:val="none" w:sz="0" w:space="0" w:color="auto"/>
        <w:right w:val="none" w:sz="0" w:space="0" w:color="auto"/>
      </w:divBdr>
    </w:div>
    <w:div w:id="345638669">
      <w:bodyDiv w:val="1"/>
      <w:marLeft w:val="0"/>
      <w:marRight w:val="0"/>
      <w:marTop w:val="0"/>
      <w:marBottom w:val="0"/>
      <w:divBdr>
        <w:top w:val="none" w:sz="0" w:space="0" w:color="auto"/>
        <w:left w:val="none" w:sz="0" w:space="0" w:color="auto"/>
        <w:bottom w:val="none" w:sz="0" w:space="0" w:color="auto"/>
        <w:right w:val="none" w:sz="0" w:space="0" w:color="auto"/>
      </w:divBdr>
    </w:div>
    <w:div w:id="351035884">
      <w:bodyDiv w:val="1"/>
      <w:marLeft w:val="0"/>
      <w:marRight w:val="0"/>
      <w:marTop w:val="0"/>
      <w:marBottom w:val="0"/>
      <w:divBdr>
        <w:top w:val="none" w:sz="0" w:space="0" w:color="auto"/>
        <w:left w:val="none" w:sz="0" w:space="0" w:color="auto"/>
        <w:bottom w:val="none" w:sz="0" w:space="0" w:color="auto"/>
        <w:right w:val="none" w:sz="0" w:space="0" w:color="auto"/>
      </w:divBdr>
    </w:div>
    <w:div w:id="374165485">
      <w:bodyDiv w:val="1"/>
      <w:marLeft w:val="0"/>
      <w:marRight w:val="0"/>
      <w:marTop w:val="0"/>
      <w:marBottom w:val="0"/>
      <w:divBdr>
        <w:top w:val="none" w:sz="0" w:space="0" w:color="auto"/>
        <w:left w:val="none" w:sz="0" w:space="0" w:color="auto"/>
        <w:bottom w:val="none" w:sz="0" w:space="0" w:color="auto"/>
        <w:right w:val="none" w:sz="0" w:space="0" w:color="auto"/>
      </w:divBdr>
      <w:divsChild>
        <w:div w:id="209152558">
          <w:marLeft w:val="0"/>
          <w:marRight w:val="0"/>
          <w:marTop w:val="0"/>
          <w:marBottom w:val="0"/>
          <w:divBdr>
            <w:top w:val="none" w:sz="0" w:space="0" w:color="auto"/>
            <w:left w:val="none" w:sz="0" w:space="0" w:color="auto"/>
            <w:bottom w:val="none" w:sz="0" w:space="0" w:color="auto"/>
            <w:right w:val="none" w:sz="0" w:space="0" w:color="auto"/>
          </w:divBdr>
          <w:divsChild>
            <w:div w:id="1029068589">
              <w:marLeft w:val="0"/>
              <w:marRight w:val="0"/>
              <w:marTop w:val="0"/>
              <w:marBottom w:val="0"/>
              <w:divBdr>
                <w:top w:val="none" w:sz="0" w:space="0" w:color="auto"/>
                <w:left w:val="none" w:sz="0" w:space="0" w:color="auto"/>
                <w:bottom w:val="none" w:sz="0" w:space="0" w:color="auto"/>
                <w:right w:val="none" w:sz="0" w:space="0" w:color="auto"/>
              </w:divBdr>
              <w:divsChild>
                <w:div w:id="49159955">
                  <w:marLeft w:val="0"/>
                  <w:marRight w:val="0"/>
                  <w:marTop w:val="0"/>
                  <w:marBottom w:val="0"/>
                  <w:divBdr>
                    <w:top w:val="none" w:sz="0" w:space="0" w:color="auto"/>
                    <w:left w:val="none" w:sz="0" w:space="0" w:color="auto"/>
                    <w:bottom w:val="none" w:sz="0" w:space="0" w:color="auto"/>
                    <w:right w:val="none" w:sz="0" w:space="0" w:color="auto"/>
                  </w:divBdr>
                  <w:divsChild>
                    <w:div w:id="102694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538017">
      <w:bodyDiv w:val="1"/>
      <w:marLeft w:val="0"/>
      <w:marRight w:val="0"/>
      <w:marTop w:val="0"/>
      <w:marBottom w:val="0"/>
      <w:divBdr>
        <w:top w:val="none" w:sz="0" w:space="0" w:color="auto"/>
        <w:left w:val="none" w:sz="0" w:space="0" w:color="auto"/>
        <w:bottom w:val="none" w:sz="0" w:space="0" w:color="auto"/>
        <w:right w:val="none" w:sz="0" w:space="0" w:color="auto"/>
      </w:divBdr>
    </w:div>
    <w:div w:id="404037284">
      <w:bodyDiv w:val="1"/>
      <w:marLeft w:val="0"/>
      <w:marRight w:val="0"/>
      <w:marTop w:val="0"/>
      <w:marBottom w:val="0"/>
      <w:divBdr>
        <w:top w:val="none" w:sz="0" w:space="0" w:color="auto"/>
        <w:left w:val="none" w:sz="0" w:space="0" w:color="auto"/>
        <w:bottom w:val="none" w:sz="0" w:space="0" w:color="auto"/>
        <w:right w:val="none" w:sz="0" w:space="0" w:color="auto"/>
      </w:divBdr>
    </w:div>
    <w:div w:id="410390257">
      <w:bodyDiv w:val="1"/>
      <w:marLeft w:val="0"/>
      <w:marRight w:val="0"/>
      <w:marTop w:val="0"/>
      <w:marBottom w:val="0"/>
      <w:divBdr>
        <w:top w:val="none" w:sz="0" w:space="0" w:color="auto"/>
        <w:left w:val="none" w:sz="0" w:space="0" w:color="auto"/>
        <w:bottom w:val="none" w:sz="0" w:space="0" w:color="auto"/>
        <w:right w:val="none" w:sz="0" w:space="0" w:color="auto"/>
      </w:divBdr>
    </w:div>
    <w:div w:id="458496783">
      <w:bodyDiv w:val="1"/>
      <w:marLeft w:val="0"/>
      <w:marRight w:val="0"/>
      <w:marTop w:val="0"/>
      <w:marBottom w:val="0"/>
      <w:divBdr>
        <w:top w:val="none" w:sz="0" w:space="0" w:color="auto"/>
        <w:left w:val="none" w:sz="0" w:space="0" w:color="auto"/>
        <w:bottom w:val="none" w:sz="0" w:space="0" w:color="auto"/>
        <w:right w:val="none" w:sz="0" w:space="0" w:color="auto"/>
      </w:divBdr>
    </w:div>
    <w:div w:id="471946997">
      <w:bodyDiv w:val="1"/>
      <w:marLeft w:val="0"/>
      <w:marRight w:val="0"/>
      <w:marTop w:val="0"/>
      <w:marBottom w:val="0"/>
      <w:divBdr>
        <w:top w:val="none" w:sz="0" w:space="0" w:color="auto"/>
        <w:left w:val="none" w:sz="0" w:space="0" w:color="auto"/>
        <w:bottom w:val="none" w:sz="0" w:space="0" w:color="auto"/>
        <w:right w:val="none" w:sz="0" w:space="0" w:color="auto"/>
      </w:divBdr>
    </w:div>
    <w:div w:id="483161277">
      <w:bodyDiv w:val="1"/>
      <w:marLeft w:val="0"/>
      <w:marRight w:val="0"/>
      <w:marTop w:val="0"/>
      <w:marBottom w:val="0"/>
      <w:divBdr>
        <w:top w:val="none" w:sz="0" w:space="0" w:color="auto"/>
        <w:left w:val="none" w:sz="0" w:space="0" w:color="auto"/>
        <w:bottom w:val="none" w:sz="0" w:space="0" w:color="auto"/>
        <w:right w:val="none" w:sz="0" w:space="0" w:color="auto"/>
      </w:divBdr>
    </w:div>
    <w:div w:id="512455602">
      <w:bodyDiv w:val="1"/>
      <w:marLeft w:val="0"/>
      <w:marRight w:val="0"/>
      <w:marTop w:val="0"/>
      <w:marBottom w:val="0"/>
      <w:divBdr>
        <w:top w:val="none" w:sz="0" w:space="0" w:color="auto"/>
        <w:left w:val="none" w:sz="0" w:space="0" w:color="auto"/>
        <w:bottom w:val="none" w:sz="0" w:space="0" w:color="auto"/>
        <w:right w:val="none" w:sz="0" w:space="0" w:color="auto"/>
      </w:divBdr>
    </w:div>
    <w:div w:id="532889837">
      <w:bodyDiv w:val="1"/>
      <w:marLeft w:val="0"/>
      <w:marRight w:val="0"/>
      <w:marTop w:val="0"/>
      <w:marBottom w:val="0"/>
      <w:divBdr>
        <w:top w:val="none" w:sz="0" w:space="0" w:color="auto"/>
        <w:left w:val="none" w:sz="0" w:space="0" w:color="auto"/>
        <w:bottom w:val="none" w:sz="0" w:space="0" w:color="auto"/>
        <w:right w:val="none" w:sz="0" w:space="0" w:color="auto"/>
      </w:divBdr>
    </w:div>
    <w:div w:id="539244981">
      <w:bodyDiv w:val="1"/>
      <w:marLeft w:val="0"/>
      <w:marRight w:val="0"/>
      <w:marTop w:val="0"/>
      <w:marBottom w:val="0"/>
      <w:divBdr>
        <w:top w:val="none" w:sz="0" w:space="0" w:color="auto"/>
        <w:left w:val="none" w:sz="0" w:space="0" w:color="auto"/>
        <w:bottom w:val="none" w:sz="0" w:space="0" w:color="auto"/>
        <w:right w:val="none" w:sz="0" w:space="0" w:color="auto"/>
      </w:divBdr>
      <w:divsChild>
        <w:div w:id="959602999">
          <w:marLeft w:val="0"/>
          <w:marRight w:val="0"/>
          <w:marTop w:val="0"/>
          <w:marBottom w:val="0"/>
          <w:divBdr>
            <w:top w:val="none" w:sz="0" w:space="0" w:color="auto"/>
            <w:left w:val="none" w:sz="0" w:space="0" w:color="auto"/>
            <w:bottom w:val="none" w:sz="0" w:space="0" w:color="auto"/>
            <w:right w:val="none" w:sz="0" w:space="0" w:color="auto"/>
          </w:divBdr>
          <w:divsChild>
            <w:div w:id="665477365">
              <w:marLeft w:val="0"/>
              <w:marRight w:val="0"/>
              <w:marTop w:val="0"/>
              <w:marBottom w:val="0"/>
              <w:divBdr>
                <w:top w:val="none" w:sz="0" w:space="0" w:color="auto"/>
                <w:left w:val="none" w:sz="0" w:space="0" w:color="auto"/>
                <w:bottom w:val="none" w:sz="0" w:space="0" w:color="auto"/>
                <w:right w:val="none" w:sz="0" w:space="0" w:color="auto"/>
              </w:divBdr>
              <w:divsChild>
                <w:div w:id="1626501349">
                  <w:marLeft w:val="0"/>
                  <w:marRight w:val="0"/>
                  <w:marTop w:val="0"/>
                  <w:marBottom w:val="0"/>
                  <w:divBdr>
                    <w:top w:val="none" w:sz="0" w:space="0" w:color="auto"/>
                    <w:left w:val="none" w:sz="0" w:space="0" w:color="auto"/>
                    <w:bottom w:val="none" w:sz="0" w:space="0" w:color="auto"/>
                    <w:right w:val="none" w:sz="0" w:space="0" w:color="auto"/>
                  </w:divBdr>
                  <w:divsChild>
                    <w:div w:id="41559645">
                      <w:marLeft w:val="0"/>
                      <w:marRight w:val="0"/>
                      <w:marTop w:val="0"/>
                      <w:marBottom w:val="0"/>
                      <w:divBdr>
                        <w:top w:val="none" w:sz="0" w:space="0" w:color="auto"/>
                        <w:left w:val="none" w:sz="0" w:space="0" w:color="auto"/>
                        <w:bottom w:val="none" w:sz="0" w:space="0" w:color="auto"/>
                        <w:right w:val="none" w:sz="0" w:space="0" w:color="auto"/>
                      </w:divBdr>
                      <w:divsChild>
                        <w:div w:id="1111556316">
                          <w:marLeft w:val="0"/>
                          <w:marRight w:val="0"/>
                          <w:marTop w:val="0"/>
                          <w:marBottom w:val="0"/>
                          <w:divBdr>
                            <w:top w:val="none" w:sz="0" w:space="0" w:color="auto"/>
                            <w:left w:val="none" w:sz="0" w:space="0" w:color="auto"/>
                            <w:bottom w:val="none" w:sz="0" w:space="0" w:color="auto"/>
                            <w:right w:val="none" w:sz="0" w:space="0" w:color="auto"/>
                          </w:divBdr>
                          <w:divsChild>
                            <w:div w:id="21060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013511">
      <w:bodyDiv w:val="1"/>
      <w:marLeft w:val="0"/>
      <w:marRight w:val="0"/>
      <w:marTop w:val="0"/>
      <w:marBottom w:val="0"/>
      <w:divBdr>
        <w:top w:val="none" w:sz="0" w:space="0" w:color="auto"/>
        <w:left w:val="none" w:sz="0" w:space="0" w:color="auto"/>
        <w:bottom w:val="none" w:sz="0" w:space="0" w:color="auto"/>
        <w:right w:val="none" w:sz="0" w:space="0" w:color="auto"/>
      </w:divBdr>
    </w:div>
    <w:div w:id="582034340">
      <w:bodyDiv w:val="1"/>
      <w:marLeft w:val="0"/>
      <w:marRight w:val="0"/>
      <w:marTop w:val="0"/>
      <w:marBottom w:val="0"/>
      <w:divBdr>
        <w:top w:val="none" w:sz="0" w:space="0" w:color="auto"/>
        <w:left w:val="none" w:sz="0" w:space="0" w:color="auto"/>
        <w:bottom w:val="none" w:sz="0" w:space="0" w:color="auto"/>
        <w:right w:val="none" w:sz="0" w:space="0" w:color="auto"/>
      </w:divBdr>
    </w:div>
    <w:div w:id="593437502">
      <w:bodyDiv w:val="1"/>
      <w:marLeft w:val="0"/>
      <w:marRight w:val="0"/>
      <w:marTop w:val="0"/>
      <w:marBottom w:val="0"/>
      <w:divBdr>
        <w:top w:val="none" w:sz="0" w:space="0" w:color="auto"/>
        <w:left w:val="none" w:sz="0" w:space="0" w:color="auto"/>
        <w:bottom w:val="none" w:sz="0" w:space="0" w:color="auto"/>
        <w:right w:val="none" w:sz="0" w:space="0" w:color="auto"/>
      </w:divBdr>
      <w:divsChild>
        <w:div w:id="89814479">
          <w:marLeft w:val="0"/>
          <w:marRight w:val="0"/>
          <w:marTop w:val="0"/>
          <w:marBottom w:val="0"/>
          <w:divBdr>
            <w:top w:val="none" w:sz="0" w:space="0" w:color="auto"/>
            <w:left w:val="none" w:sz="0" w:space="0" w:color="auto"/>
            <w:bottom w:val="none" w:sz="0" w:space="0" w:color="auto"/>
            <w:right w:val="none" w:sz="0" w:space="0" w:color="auto"/>
          </w:divBdr>
        </w:div>
        <w:div w:id="582571496">
          <w:marLeft w:val="0"/>
          <w:marRight w:val="0"/>
          <w:marTop w:val="0"/>
          <w:marBottom w:val="0"/>
          <w:divBdr>
            <w:top w:val="none" w:sz="0" w:space="0" w:color="auto"/>
            <w:left w:val="none" w:sz="0" w:space="0" w:color="auto"/>
            <w:bottom w:val="none" w:sz="0" w:space="0" w:color="auto"/>
            <w:right w:val="none" w:sz="0" w:space="0" w:color="auto"/>
          </w:divBdr>
        </w:div>
        <w:div w:id="1100220405">
          <w:marLeft w:val="0"/>
          <w:marRight w:val="0"/>
          <w:marTop w:val="0"/>
          <w:marBottom w:val="0"/>
          <w:divBdr>
            <w:top w:val="none" w:sz="0" w:space="0" w:color="auto"/>
            <w:left w:val="none" w:sz="0" w:space="0" w:color="auto"/>
            <w:bottom w:val="none" w:sz="0" w:space="0" w:color="auto"/>
            <w:right w:val="none" w:sz="0" w:space="0" w:color="auto"/>
          </w:divBdr>
        </w:div>
        <w:div w:id="1173841098">
          <w:marLeft w:val="0"/>
          <w:marRight w:val="0"/>
          <w:marTop w:val="0"/>
          <w:marBottom w:val="0"/>
          <w:divBdr>
            <w:top w:val="none" w:sz="0" w:space="0" w:color="auto"/>
            <w:left w:val="none" w:sz="0" w:space="0" w:color="auto"/>
            <w:bottom w:val="none" w:sz="0" w:space="0" w:color="auto"/>
            <w:right w:val="none" w:sz="0" w:space="0" w:color="auto"/>
          </w:divBdr>
        </w:div>
        <w:div w:id="1466312480">
          <w:marLeft w:val="0"/>
          <w:marRight w:val="0"/>
          <w:marTop w:val="0"/>
          <w:marBottom w:val="0"/>
          <w:divBdr>
            <w:top w:val="none" w:sz="0" w:space="0" w:color="auto"/>
            <w:left w:val="none" w:sz="0" w:space="0" w:color="auto"/>
            <w:bottom w:val="none" w:sz="0" w:space="0" w:color="auto"/>
            <w:right w:val="none" w:sz="0" w:space="0" w:color="auto"/>
          </w:divBdr>
        </w:div>
        <w:div w:id="1740130783">
          <w:marLeft w:val="0"/>
          <w:marRight w:val="0"/>
          <w:marTop w:val="0"/>
          <w:marBottom w:val="0"/>
          <w:divBdr>
            <w:top w:val="none" w:sz="0" w:space="0" w:color="auto"/>
            <w:left w:val="none" w:sz="0" w:space="0" w:color="auto"/>
            <w:bottom w:val="none" w:sz="0" w:space="0" w:color="auto"/>
            <w:right w:val="none" w:sz="0" w:space="0" w:color="auto"/>
          </w:divBdr>
        </w:div>
        <w:div w:id="1902134043">
          <w:marLeft w:val="0"/>
          <w:marRight w:val="0"/>
          <w:marTop w:val="0"/>
          <w:marBottom w:val="0"/>
          <w:divBdr>
            <w:top w:val="none" w:sz="0" w:space="0" w:color="auto"/>
            <w:left w:val="none" w:sz="0" w:space="0" w:color="auto"/>
            <w:bottom w:val="none" w:sz="0" w:space="0" w:color="auto"/>
            <w:right w:val="none" w:sz="0" w:space="0" w:color="auto"/>
          </w:divBdr>
          <w:divsChild>
            <w:div w:id="1360087361">
              <w:marLeft w:val="-75"/>
              <w:marRight w:val="0"/>
              <w:marTop w:val="30"/>
              <w:marBottom w:val="30"/>
              <w:divBdr>
                <w:top w:val="none" w:sz="0" w:space="0" w:color="auto"/>
                <w:left w:val="none" w:sz="0" w:space="0" w:color="auto"/>
                <w:bottom w:val="none" w:sz="0" w:space="0" w:color="auto"/>
                <w:right w:val="none" w:sz="0" w:space="0" w:color="auto"/>
              </w:divBdr>
              <w:divsChild>
                <w:div w:id="15885053">
                  <w:marLeft w:val="0"/>
                  <w:marRight w:val="0"/>
                  <w:marTop w:val="0"/>
                  <w:marBottom w:val="0"/>
                  <w:divBdr>
                    <w:top w:val="none" w:sz="0" w:space="0" w:color="auto"/>
                    <w:left w:val="none" w:sz="0" w:space="0" w:color="auto"/>
                    <w:bottom w:val="none" w:sz="0" w:space="0" w:color="auto"/>
                    <w:right w:val="none" w:sz="0" w:space="0" w:color="auto"/>
                  </w:divBdr>
                  <w:divsChild>
                    <w:div w:id="1827554626">
                      <w:marLeft w:val="0"/>
                      <w:marRight w:val="0"/>
                      <w:marTop w:val="0"/>
                      <w:marBottom w:val="0"/>
                      <w:divBdr>
                        <w:top w:val="none" w:sz="0" w:space="0" w:color="auto"/>
                        <w:left w:val="none" w:sz="0" w:space="0" w:color="auto"/>
                        <w:bottom w:val="none" w:sz="0" w:space="0" w:color="auto"/>
                        <w:right w:val="none" w:sz="0" w:space="0" w:color="auto"/>
                      </w:divBdr>
                    </w:div>
                  </w:divsChild>
                </w:div>
                <w:div w:id="90898794">
                  <w:marLeft w:val="0"/>
                  <w:marRight w:val="0"/>
                  <w:marTop w:val="0"/>
                  <w:marBottom w:val="0"/>
                  <w:divBdr>
                    <w:top w:val="none" w:sz="0" w:space="0" w:color="auto"/>
                    <w:left w:val="none" w:sz="0" w:space="0" w:color="auto"/>
                    <w:bottom w:val="none" w:sz="0" w:space="0" w:color="auto"/>
                    <w:right w:val="none" w:sz="0" w:space="0" w:color="auto"/>
                  </w:divBdr>
                  <w:divsChild>
                    <w:div w:id="990018102">
                      <w:marLeft w:val="0"/>
                      <w:marRight w:val="0"/>
                      <w:marTop w:val="0"/>
                      <w:marBottom w:val="0"/>
                      <w:divBdr>
                        <w:top w:val="none" w:sz="0" w:space="0" w:color="auto"/>
                        <w:left w:val="none" w:sz="0" w:space="0" w:color="auto"/>
                        <w:bottom w:val="none" w:sz="0" w:space="0" w:color="auto"/>
                        <w:right w:val="none" w:sz="0" w:space="0" w:color="auto"/>
                      </w:divBdr>
                    </w:div>
                  </w:divsChild>
                </w:div>
                <w:div w:id="116031352">
                  <w:marLeft w:val="0"/>
                  <w:marRight w:val="0"/>
                  <w:marTop w:val="0"/>
                  <w:marBottom w:val="0"/>
                  <w:divBdr>
                    <w:top w:val="none" w:sz="0" w:space="0" w:color="auto"/>
                    <w:left w:val="none" w:sz="0" w:space="0" w:color="auto"/>
                    <w:bottom w:val="none" w:sz="0" w:space="0" w:color="auto"/>
                    <w:right w:val="none" w:sz="0" w:space="0" w:color="auto"/>
                  </w:divBdr>
                  <w:divsChild>
                    <w:div w:id="1517887317">
                      <w:marLeft w:val="0"/>
                      <w:marRight w:val="0"/>
                      <w:marTop w:val="0"/>
                      <w:marBottom w:val="0"/>
                      <w:divBdr>
                        <w:top w:val="none" w:sz="0" w:space="0" w:color="auto"/>
                        <w:left w:val="none" w:sz="0" w:space="0" w:color="auto"/>
                        <w:bottom w:val="none" w:sz="0" w:space="0" w:color="auto"/>
                        <w:right w:val="none" w:sz="0" w:space="0" w:color="auto"/>
                      </w:divBdr>
                    </w:div>
                  </w:divsChild>
                </w:div>
                <w:div w:id="131287578">
                  <w:marLeft w:val="0"/>
                  <w:marRight w:val="0"/>
                  <w:marTop w:val="0"/>
                  <w:marBottom w:val="0"/>
                  <w:divBdr>
                    <w:top w:val="none" w:sz="0" w:space="0" w:color="auto"/>
                    <w:left w:val="none" w:sz="0" w:space="0" w:color="auto"/>
                    <w:bottom w:val="none" w:sz="0" w:space="0" w:color="auto"/>
                    <w:right w:val="none" w:sz="0" w:space="0" w:color="auto"/>
                  </w:divBdr>
                  <w:divsChild>
                    <w:div w:id="326566762">
                      <w:marLeft w:val="0"/>
                      <w:marRight w:val="0"/>
                      <w:marTop w:val="0"/>
                      <w:marBottom w:val="0"/>
                      <w:divBdr>
                        <w:top w:val="none" w:sz="0" w:space="0" w:color="auto"/>
                        <w:left w:val="none" w:sz="0" w:space="0" w:color="auto"/>
                        <w:bottom w:val="none" w:sz="0" w:space="0" w:color="auto"/>
                        <w:right w:val="none" w:sz="0" w:space="0" w:color="auto"/>
                      </w:divBdr>
                    </w:div>
                  </w:divsChild>
                </w:div>
                <w:div w:id="145634283">
                  <w:marLeft w:val="0"/>
                  <w:marRight w:val="0"/>
                  <w:marTop w:val="0"/>
                  <w:marBottom w:val="0"/>
                  <w:divBdr>
                    <w:top w:val="none" w:sz="0" w:space="0" w:color="auto"/>
                    <w:left w:val="none" w:sz="0" w:space="0" w:color="auto"/>
                    <w:bottom w:val="none" w:sz="0" w:space="0" w:color="auto"/>
                    <w:right w:val="none" w:sz="0" w:space="0" w:color="auto"/>
                  </w:divBdr>
                  <w:divsChild>
                    <w:div w:id="1581403672">
                      <w:marLeft w:val="0"/>
                      <w:marRight w:val="0"/>
                      <w:marTop w:val="0"/>
                      <w:marBottom w:val="0"/>
                      <w:divBdr>
                        <w:top w:val="none" w:sz="0" w:space="0" w:color="auto"/>
                        <w:left w:val="none" w:sz="0" w:space="0" w:color="auto"/>
                        <w:bottom w:val="none" w:sz="0" w:space="0" w:color="auto"/>
                        <w:right w:val="none" w:sz="0" w:space="0" w:color="auto"/>
                      </w:divBdr>
                    </w:div>
                  </w:divsChild>
                </w:div>
                <w:div w:id="156269670">
                  <w:marLeft w:val="0"/>
                  <w:marRight w:val="0"/>
                  <w:marTop w:val="0"/>
                  <w:marBottom w:val="0"/>
                  <w:divBdr>
                    <w:top w:val="none" w:sz="0" w:space="0" w:color="auto"/>
                    <w:left w:val="none" w:sz="0" w:space="0" w:color="auto"/>
                    <w:bottom w:val="none" w:sz="0" w:space="0" w:color="auto"/>
                    <w:right w:val="none" w:sz="0" w:space="0" w:color="auto"/>
                  </w:divBdr>
                  <w:divsChild>
                    <w:div w:id="1903060616">
                      <w:marLeft w:val="0"/>
                      <w:marRight w:val="0"/>
                      <w:marTop w:val="0"/>
                      <w:marBottom w:val="0"/>
                      <w:divBdr>
                        <w:top w:val="none" w:sz="0" w:space="0" w:color="auto"/>
                        <w:left w:val="none" w:sz="0" w:space="0" w:color="auto"/>
                        <w:bottom w:val="none" w:sz="0" w:space="0" w:color="auto"/>
                        <w:right w:val="none" w:sz="0" w:space="0" w:color="auto"/>
                      </w:divBdr>
                    </w:div>
                  </w:divsChild>
                </w:div>
                <w:div w:id="232814203">
                  <w:marLeft w:val="0"/>
                  <w:marRight w:val="0"/>
                  <w:marTop w:val="0"/>
                  <w:marBottom w:val="0"/>
                  <w:divBdr>
                    <w:top w:val="none" w:sz="0" w:space="0" w:color="auto"/>
                    <w:left w:val="none" w:sz="0" w:space="0" w:color="auto"/>
                    <w:bottom w:val="none" w:sz="0" w:space="0" w:color="auto"/>
                    <w:right w:val="none" w:sz="0" w:space="0" w:color="auto"/>
                  </w:divBdr>
                  <w:divsChild>
                    <w:div w:id="1892688025">
                      <w:marLeft w:val="0"/>
                      <w:marRight w:val="0"/>
                      <w:marTop w:val="0"/>
                      <w:marBottom w:val="0"/>
                      <w:divBdr>
                        <w:top w:val="none" w:sz="0" w:space="0" w:color="auto"/>
                        <w:left w:val="none" w:sz="0" w:space="0" w:color="auto"/>
                        <w:bottom w:val="none" w:sz="0" w:space="0" w:color="auto"/>
                        <w:right w:val="none" w:sz="0" w:space="0" w:color="auto"/>
                      </w:divBdr>
                    </w:div>
                  </w:divsChild>
                </w:div>
                <w:div w:id="247465050">
                  <w:marLeft w:val="0"/>
                  <w:marRight w:val="0"/>
                  <w:marTop w:val="0"/>
                  <w:marBottom w:val="0"/>
                  <w:divBdr>
                    <w:top w:val="none" w:sz="0" w:space="0" w:color="auto"/>
                    <w:left w:val="none" w:sz="0" w:space="0" w:color="auto"/>
                    <w:bottom w:val="none" w:sz="0" w:space="0" w:color="auto"/>
                    <w:right w:val="none" w:sz="0" w:space="0" w:color="auto"/>
                  </w:divBdr>
                  <w:divsChild>
                    <w:div w:id="830407454">
                      <w:marLeft w:val="0"/>
                      <w:marRight w:val="0"/>
                      <w:marTop w:val="0"/>
                      <w:marBottom w:val="0"/>
                      <w:divBdr>
                        <w:top w:val="none" w:sz="0" w:space="0" w:color="auto"/>
                        <w:left w:val="none" w:sz="0" w:space="0" w:color="auto"/>
                        <w:bottom w:val="none" w:sz="0" w:space="0" w:color="auto"/>
                        <w:right w:val="none" w:sz="0" w:space="0" w:color="auto"/>
                      </w:divBdr>
                    </w:div>
                  </w:divsChild>
                </w:div>
                <w:div w:id="251546025">
                  <w:marLeft w:val="0"/>
                  <w:marRight w:val="0"/>
                  <w:marTop w:val="0"/>
                  <w:marBottom w:val="0"/>
                  <w:divBdr>
                    <w:top w:val="none" w:sz="0" w:space="0" w:color="auto"/>
                    <w:left w:val="none" w:sz="0" w:space="0" w:color="auto"/>
                    <w:bottom w:val="none" w:sz="0" w:space="0" w:color="auto"/>
                    <w:right w:val="none" w:sz="0" w:space="0" w:color="auto"/>
                  </w:divBdr>
                  <w:divsChild>
                    <w:div w:id="1645815347">
                      <w:marLeft w:val="0"/>
                      <w:marRight w:val="0"/>
                      <w:marTop w:val="0"/>
                      <w:marBottom w:val="0"/>
                      <w:divBdr>
                        <w:top w:val="none" w:sz="0" w:space="0" w:color="auto"/>
                        <w:left w:val="none" w:sz="0" w:space="0" w:color="auto"/>
                        <w:bottom w:val="none" w:sz="0" w:space="0" w:color="auto"/>
                        <w:right w:val="none" w:sz="0" w:space="0" w:color="auto"/>
                      </w:divBdr>
                    </w:div>
                  </w:divsChild>
                </w:div>
                <w:div w:id="264776765">
                  <w:marLeft w:val="0"/>
                  <w:marRight w:val="0"/>
                  <w:marTop w:val="0"/>
                  <w:marBottom w:val="0"/>
                  <w:divBdr>
                    <w:top w:val="none" w:sz="0" w:space="0" w:color="auto"/>
                    <w:left w:val="none" w:sz="0" w:space="0" w:color="auto"/>
                    <w:bottom w:val="none" w:sz="0" w:space="0" w:color="auto"/>
                    <w:right w:val="none" w:sz="0" w:space="0" w:color="auto"/>
                  </w:divBdr>
                  <w:divsChild>
                    <w:div w:id="1809738740">
                      <w:marLeft w:val="0"/>
                      <w:marRight w:val="0"/>
                      <w:marTop w:val="0"/>
                      <w:marBottom w:val="0"/>
                      <w:divBdr>
                        <w:top w:val="none" w:sz="0" w:space="0" w:color="auto"/>
                        <w:left w:val="none" w:sz="0" w:space="0" w:color="auto"/>
                        <w:bottom w:val="none" w:sz="0" w:space="0" w:color="auto"/>
                        <w:right w:val="none" w:sz="0" w:space="0" w:color="auto"/>
                      </w:divBdr>
                    </w:div>
                  </w:divsChild>
                </w:div>
                <w:div w:id="274558154">
                  <w:marLeft w:val="0"/>
                  <w:marRight w:val="0"/>
                  <w:marTop w:val="0"/>
                  <w:marBottom w:val="0"/>
                  <w:divBdr>
                    <w:top w:val="none" w:sz="0" w:space="0" w:color="auto"/>
                    <w:left w:val="none" w:sz="0" w:space="0" w:color="auto"/>
                    <w:bottom w:val="none" w:sz="0" w:space="0" w:color="auto"/>
                    <w:right w:val="none" w:sz="0" w:space="0" w:color="auto"/>
                  </w:divBdr>
                  <w:divsChild>
                    <w:div w:id="1951473480">
                      <w:marLeft w:val="0"/>
                      <w:marRight w:val="0"/>
                      <w:marTop w:val="0"/>
                      <w:marBottom w:val="0"/>
                      <w:divBdr>
                        <w:top w:val="none" w:sz="0" w:space="0" w:color="auto"/>
                        <w:left w:val="none" w:sz="0" w:space="0" w:color="auto"/>
                        <w:bottom w:val="none" w:sz="0" w:space="0" w:color="auto"/>
                        <w:right w:val="none" w:sz="0" w:space="0" w:color="auto"/>
                      </w:divBdr>
                    </w:div>
                  </w:divsChild>
                </w:div>
                <w:div w:id="291593790">
                  <w:marLeft w:val="0"/>
                  <w:marRight w:val="0"/>
                  <w:marTop w:val="0"/>
                  <w:marBottom w:val="0"/>
                  <w:divBdr>
                    <w:top w:val="none" w:sz="0" w:space="0" w:color="auto"/>
                    <w:left w:val="none" w:sz="0" w:space="0" w:color="auto"/>
                    <w:bottom w:val="none" w:sz="0" w:space="0" w:color="auto"/>
                    <w:right w:val="none" w:sz="0" w:space="0" w:color="auto"/>
                  </w:divBdr>
                  <w:divsChild>
                    <w:div w:id="780607337">
                      <w:marLeft w:val="0"/>
                      <w:marRight w:val="0"/>
                      <w:marTop w:val="0"/>
                      <w:marBottom w:val="0"/>
                      <w:divBdr>
                        <w:top w:val="none" w:sz="0" w:space="0" w:color="auto"/>
                        <w:left w:val="none" w:sz="0" w:space="0" w:color="auto"/>
                        <w:bottom w:val="none" w:sz="0" w:space="0" w:color="auto"/>
                        <w:right w:val="none" w:sz="0" w:space="0" w:color="auto"/>
                      </w:divBdr>
                    </w:div>
                  </w:divsChild>
                </w:div>
                <w:div w:id="311521415">
                  <w:marLeft w:val="0"/>
                  <w:marRight w:val="0"/>
                  <w:marTop w:val="0"/>
                  <w:marBottom w:val="0"/>
                  <w:divBdr>
                    <w:top w:val="none" w:sz="0" w:space="0" w:color="auto"/>
                    <w:left w:val="none" w:sz="0" w:space="0" w:color="auto"/>
                    <w:bottom w:val="none" w:sz="0" w:space="0" w:color="auto"/>
                    <w:right w:val="none" w:sz="0" w:space="0" w:color="auto"/>
                  </w:divBdr>
                  <w:divsChild>
                    <w:div w:id="1374620289">
                      <w:marLeft w:val="0"/>
                      <w:marRight w:val="0"/>
                      <w:marTop w:val="0"/>
                      <w:marBottom w:val="0"/>
                      <w:divBdr>
                        <w:top w:val="none" w:sz="0" w:space="0" w:color="auto"/>
                        <w:left w:val="none" w:sz="0" w:space="0" w:color="auto"/>
                        <w:bottom w:val="none" w:sz="0" w:space="0" w:color="auto"/>
                        <w:right w:val="none" w:sz="0" w:space="0" w:color="auto"/>
                      </w:divBdr>
                    </w:div>
                  </w:divsChild>
                </w:div>
                <w:div w:id="321397075">
                  <w:marLeft w:val="0"/>
                  <w:marRight w:val="0"/>
                  <w:marTop w:val="0"/>
                  <w:marBottom w:val="0"/>
                  <w:divBdr>
                    <w:top w:val="none" w:sz="0" w:space="0" w:color="auto"/>
                    <w:left w:val="none" w:sz="0" w:space="0" w:color="auto"/>
                    <w:bottom w:val="none" w:sz="0" w:space="0" w:color="auto"/>
                    <w:right w:val="none" w:sz="0" w:space="0" w:color="auto"/>
                  </w:divBdr>
                  <w:divsChild>
                    <w:div w:id="1939437854">
                      <w:marLeft w:val="0"/>
                      <w:marRight w:val="0"/>
                      <w:marTop w:val="0"/>
                      <w:marBottom w:val="0"/>
                      <w:divBdr>
                        <w:top w:val="none" w:sz="0" w:space="0" w:color="auto"/>
                        <w:left w:val="none" w:sz="0" w:space="0" w:color="auto"/>
                        <w:bottom w:val="none" w:sz="0" w:space="0" w:color="auto"/>
                        <w:right w:val="none" w:sz="0" w:space="0" w:color="auto"/>
                      </w:divBdr>
                    </w:div>
                  </w:divsChild>
                </w:div>
                <w:div w:id="352996592">
                  <w:marLeft w:val="0"/>
                  <w:marRight w:val="0"/>
                  <w:marTop w:val="0"/>
                  <w:marBottom w:val="0"/>
                  <w:divBdr>
                    <w:top w:val="none" w:sz="0" w:space="0" w:color="auto"/>
                    <w:left w:val="none" w:sz="0" w:space="0" w:color="auto"/>
                    <w:bottom w:val="none" w:sz="0" w:space="0" w:color="auto"/>
                    <w:right w:val="none" w:sz="0" w:space="0" w:color="auto"/>
                  </w:divBdr>
                  <w:divsChild>
                    <w:div w:id="122819045">
                      <w:marLeft w:val="0"/>
                      <w:marRight w:val="0"/>
                      <w:marTop w:val="0"/>
                      <w:marBottom w:val="0"/>
                      <w:divBdr>
                        <w:top w:val="none" w:sz="0" w:space="0" w:color="auto"/>
                        <w:left w:val="none" w:sz="0" w:space="0" w:color="auto"/>
                        <w:bottom w:val="none" w:sz="0" w:space="0" w:color="auto"/>
                        <w:right w:val="none" w:sz="0" w:space="0" w:color="auto"/>
                      </w:divBdr>
                    </w:div>
                  </w:divsChild>
                </w:div>
                <w:div w:id="366176934">
                  <w:marLeft w:val="0"/>
                  <w:marRight w:val="0"/>
                  <w:marTop w:val="0"/>
                  <w:marBottom w:val="0"/>
                  <w:divBdr>
                    <w:top w:val="none" w:sz="0" w:space="0" w:color="auto"/>
                    <w:left w:val="none" w:sz="0" w:space="0" w:color="auto"/>
                    <w:bottom w:val="none" w:sz="0" w:space="0" w:color="auto"/>
                    <w:right w:val="none" w:sz="0" w:space="0" w:color="auto"/>
                  </w:divBdr>
                  <w:divsChild>
                    <w:div w:id="533005650">
                      <w:marLeft w:val="0"/>
                      <w:marRight w:val="0"/>
                      <w:marTop w:val="0"/>
                      <w:marBottom w:val="0"/>
                      <w:divBdr>
                        <w:top w:val="none" w:sz="0" w:space="0" w:color="auto"/>
                        <w:left w:val="none" w:sz="0" w:space="0" w:color="auto"/>
                        <w:bottom w:val="none" w:sz="0" w:space="0" w:color="auto"/>
                        <w:right w:val="none" w:sz="0" w:space="0" w:color="auto"/>
                      </w:divBdr>
                    </w:div>
                  </w:divsChild>
                </w:div>
                <w:div w:id="383219633">
                  <w:marLeft w:val="0"/>
                  <w:marRight w:val="0"/>
                  <w:marTop w:val="0"/>
                  <w:marBottom w:val="0"/>
                  <w:divBdr>
                    <w:top w:val="none" w:sz="0" w:space="0" w:color="auto"/>
                    <w:left w:val="none" w:sz="0" w:space="0" w:color="auto"/>
                    <w:bottom w:val="none" w:sz="0" w:space="0" w:color="auto"/>
                    <w:right w:val="none" w:sz="0" w:space="0" w:color="auto"/>
                  </w:divBdr>
                  <w:divsChild>
                    <w:div w:id="2042516446">
                      <w:marLeft w:val="0"/>
                      <w:marRight w:val="0"/>
                      <w:marTop w:val="0"/>
                      <w:marBottom w:val="0"/>
                      <w:divBdr>
                        <w:top w:val="none" w:sz="0" w:space="0" w:color="auto"/>
                        <w:left w:val="none" w:sz="0" w:space="0" w:color="auto"/>
                        <w:bottom w:val="none" w:sz="0" w:space="0" w:color="auto"/>
                        <w:right w:val="none" w:sz="0" w:space="0" w:color="auto"/>
                      </w:divBdr>
                    </w:div>
                  </w:divsChild>
                </w:div>
                <w:div w:id="409154203">
                  <w:marLeft w:val="0"/>
                  <w:marRight w:val="0"/>
                  <w:marTop w:val="0"/>
                  <w:marBottom w:val="0"/>
                  <w:divBdr>
                    <w:top w:val="none" w:sz="0" w:space="0" w:color="auto"/>
                    <w:left w:val="none" w:sz="0" w:space="0" w:color="auto"/>
                    <w:bottom w:val="none" w:sz="0" w:space="0" w:color="auto"/>
                    <w:right w:val="none" w:sz="0" w:space="0" w:color="auto"/>
                  </w:divBdr>
                  <w:divsChild>
                    <w:div w:id="1507092608">
                      <w:marLeft w:val="0"/>
                      <w:marRight w:val="0"/>
                      <w:marTop w:val="0"/>
                      <w:marBottom w:val="0"/>
                      <w:divBdr>
                        <w:top w:val="none" w:sz="0" w:space="0" w:color="auto"/>
                        <w:left w:val="none" w:sz="0" w:space="0" w:color="auto"/>
                        <w:bottom w:val="none" w:sz="0" w:space="0" w:color="auto"/>
                        <w:right w:val="none" w:sz="0" w:space="0" w:color="auto"/>
                      </w:divBdr>
                    </w:div>
                  </w:divsChild>
                </w:div>
                <w:div w:id="413211946">
                  <w:marLeft w:val="0"/>
                  <w:marRight w:val="0"/>
                  <w:marTop w:val="0"/>
                  <w:marBottom w:val="0"/>
                  <w:divBdr>
                    <w:top w:val="none" w:sz="0" w:space="0" w:color="auto"/>
                    <w:left w:val="none" w:sz="0" w:space="0" w:color="auto"/>
                    <w:bottom w:val="none" w:sz="0" w:space="0" w:color="auto"/>
                    <w:right w:val="none" w:sz="0" w:space="0" w:color="auto"/>
                  </w:divBdr>
                  <w:divsChild>
                    <w:div w:id="66811422">
                      <w:marLeft w:val="0"/>
                      <w:marRight w:val="0"/>
                      <w:marTop w:val="0"/>
                      <w:marBottom w:val="0"/>
                      <w:divBdr>
                        <w:top w:val="none" w:sz="0" w:space="0" w:color="auto"/>
                        <w:left w:val="none" w:sz="0" w:space="0" w:color="auto"/>
                        <w:bottom w:val="none" w:sz="0" w:space="0" w:color="auto"/>
                        <w:right w:val="none" w:sz="0" w:space="0" w:color="auto"/>
                      </w:divBdr>
                    </w:div>
                  </w:divsChild>
                </w:div>
                <w:div w:id="416833318">
                  <w:marLeft w:val="0"/>
                  <w:marRight w:val="0"/>
                  <w:marTop w:val="0"/>
                  <w:marBottom w:val="0"/>
                  <w:divBdr>
                    <w:top w:val="none" w:sz="0" w:space="0" w:color="auto"/>
                    <w:left w:val="none" w:sz="0" w:space="0" w:color="auto"/>
                    <w:bottom w:val="none" w:sz="0" w:space="0" w:color="auto"/>
                    <w:right w:val="none" w:sz="0" w:space="0" w:color="auto"/>
                  </w:divBdr>
                  <w:divsChild>
                    <w:div w:id="1086727925">
                      <w:marLeft w:val="0"/>
                      <w:marRight w:val="0"/>
                      <w:marTop w:val="0"/>
                      <w:marBottom w:val="0"/>
                      <w:divBdr>
                        <w:top w:val="none" w:sz="0" w:space="0" w:color="auto"/>
                        <w:left w:val="none" w:sz="0" w:space="0" w:color="auto"/>
                        <w:bottom w:val="none" w:sz="0" w:space="0" w:color="auto"/>
                        <w:right w:val="none" w:sz="0" w:space="0" w:color="auto"/>
                      </w:divBdr>
                    </w:div>
                  </w:divsChild>
                </w:div>
                <w:div w:id="428938936">
                  <w:marLeft w:val="0"/>
                  <w:marRight w:val="0"/>
                  <w:marTop w:val="0"/>
                  <w:marBottom w:val="0"/>
                  <w:divBdr>
                    <w:top w:val="none" w:sz="0" w:space="0" w:color="auto"/>
                    <w:left w:val="none" w:sz="0" w:space="0" w:color="auto"/>
                    <w:bottom w:val="none" w:sz="0" w:space="0" w:color="auto"/>
                    <w:right w:val="none" w:sz="0" w:space="0" w:color="auto"/>
                  </w:divBdr>
                  <w:divsChild>
                    <w:div w:id="640816053">
                      <w:marLeft w:val="0"/>
                      <w:marRight w:val="0"/>
                      <w:marTop w:val="0"/>
                      <w:marBottom w:val="0"/>
                      <w:divBdr>
                        <w:top w:val="none" w:sz="0" w:space="0" w:color="auto"/>
                        <w:left w:val="none" w:sz="0" w:space="0" w:color="auto"/>
                        <w:bottom w:val="none" w:sz="0" w:space="0" w:color="auto"/>
                        <w:right w:val="none" w:sz="0" w:space="0" w:color="auto"/>
                      </w:divBdr>
                    </w:div>
                  </w:divsChild>
                </w:div>
                <w:div w:id="503057056">
                  <w:marLeft w:val="0"/>
                  <w:marRight w:val="0"/>
                  <w:marTop w:val="0"/>
                  <w:marBottom w:val="0"/>
                  <w:divBdr>
                    <w:top w:val="none" w:sz="0" w:space="0" w:color="auto"/>
                    <w:left w:val="none" w:sz="0" w:space="0" w:color="auto"/>
                    <w:bottom w:val="none" w:sz="0" w:space="0" w:color="auto"/>
                    <w:right w:val="none" w:sz="0" w:space="0" w:color="auto"/>
                  </w:divBdr>
                  <w:divsChild>
                    <w:div w:id="1126194513">
                      <w:marLeft w:val="0"/>
                      <w:marRight w:val="0"/>
                      <w:marTop w:val="0"/>
                      <w:marBottom w:val="0"/>
                      <w:divBdr>
                        <w:top w:val="none" w:sz="0" w:space="0" w:color="auto"/>
                        <w:left w:val="none" w:sz="0" w:space="0" w:color="auto"/>
                        <w:bottom w:val="none" w:sz="0" w:space="0" w:color="auto"/>
                        <w:right w:val="none" w:sz="0" w:space="0" w:color="auto"/>
                      </w:divBdr>
                    </w:div>
                  </w:divsChild>
                </w:div>
                <w:div w:id="510877881">
                  <w:marLeft w:val="0"/>
                  <w:marRight w:val="0"/>
                  <w:marTop w:val="0"/>
                  <w:marBottom w:val="0"/>
                  <w:divBdr>
                    <w:top w:val="none" w:sz="0" w:space="0" w:color="auto"/>
                    <w:left w:val="none" w:sz="0" w:space="0" w:color="auto"/>
                    <w:bottom w:val="none" w:sz="0" w:space="0" w:color="auto"/>
                    <w:right w:val="none" w:sz="0" w:space="0" w:color="auto"/>
                  </w:divBdr>
                  <w:divsChild>
                    <w:div w:id="1227304901">
                      <w:marLeft w:val="0"/>
                      <w:marRight w:val="0"/>
                      <w:marTop w:val="0"/>
                      <w:marBottom w:val="0"/>
                      <w:divBdr>
                        <w:top w:val="none" w:sz="0" w:space="0" w:color="auto"/>
                        <w:left w:val="none" w:sz="0" w:space="0" w:color="auto"/>
                        <w:bottom w:val="none" w:sz="0" w:space="0" w:color="auto"/>
                        <w:right w:val="none" w:sz="0" w:space="0" w:color="auto"/>
                      </w:divBdr>
                    </w:div>
                  </w:divsChild>
                </w:div>
                <w:div w:id="514851571">
                  <w:marLeft w:val="0"/>
                  <w:marRight w:val="0"/>
                  <w:marTop w:val="0"/>
                  <w:marBottom w:val="0"/>
                  <w:divBdr>
                    <w:top w:val="none" w:sz="0" w:space="0" w:color="auto"/>
                    <w:left w:val="none" w:sz="0" w:space="0" w:color="auto"/>
                    <w:bottom w:val="none" w:sz="0" w:space="0" w:color="auto"/>
                    <w:right w:val="none" w:sz="0" w:space="0" w:color="auto"/>
                  </w:divBdr>
                  <w:divsChild>
                    <w:div w:id="1163199726">
                      <w:marLeft w:val="0"/>
                      <w:marRight w:val="0"/>
                      <w:marTop w:val="0"/>
                      <w:marBottom w:val="0"/>
                      <w:divBdr>
                        <w:top w:val="none" w:sz="0" w:space="0" w:color="auto"/>
                        <w:left w:val="none" w:sz="0" w:space="0" w:color="auto"/>
                        <w:bottom w:val="none" w:sz="0" w:space="0" w:color="auto"/>
                        <w:right w:val="none" w:sz="0" w:space="0" w:color="auto"/>
                      </w:divBdr>
                    </w:div>
                  </w:divsChild>
                </w:div>
                <w:div w:id="545945549">
                  <w:marLeft w:val="0"/>
                  <w:marRight w:val="0"/>
                  <w:marTop w:val="0"/>
                  <w:marBottom w:val="0"/>
                  <w:divBdr>
                    <w:top w:val="none" w:sz="0" w:space="0" w:color="auto"/>
                    <w:left w:val="none" w:sz="0" w:space="0" w:color="auto"/>
                    <w:bottom w:val="none" w:sz="0" w:space="0" w:color="auto"/>
                    <w:right w:val="none" w:sz="0" w:space="0" w:color="auto"/>
                  </w:divBdr>
                  <w:divsChild>
                    <w:div w:id="1219896156">
                      <w:marLeft w:val="0"/>
                      <w:marRight w:val="0"/>
                      <w:marTop w:val="0"/>
                      <w:marBottom w:val="0"/>
                      <w:divBdr>
                        <w:top w:val="none" w:sz="0" w:space="0" w:color="auto"/>
                        <w:left w:val="none" w:sz="0" w:space="0" w:color="auto"/>
                        <w:bottom w:val="none" w:sz="0" w:space="0" w:color="auto"/>
                        <w:right w:val="none" w:sz="0" w:space="0" w:color="auto"/>
                      </w:divBdr>
                    </w:div>
                  </w:divsChild>
                </w:div>
                <w:div w:id="688025939">
                  <w:marLeft w:val="0"/>
                  <w:marRight w:val="0"/>
                  <w:marTop w:val="0"/>
                  <w:marBottom w:val="0"/>
                  <w:divBdr>
                    <w:top w:val="none" w:sz="0" w:space="0" w:color="auto"/>
                    <w:left w:val="none" w:sz="0" w:space="0" w:color="auto"/>
                    <w:bottom w:val="none" w:sz="0" w:space="0" w:color="auto"/>
                    <w:right w:val="none" w:sz="0" w:space="0" w:color="auto"/>
                  </w:divBdr>
                  <w:divsChild>
                    <w:div w:id="979305740">
                      <w:marLeft w:val="0"/>
                      <w:marRight w:val="0"/>
                      <w:marTop w:val="0"/>
                      <w:marBottom w:val="0"/>
                      <w:divBdr>
                        <w:top w:val="none" w:sz="0" w:space="0" w:color="auto"/>
                        <w:left w:val="none" w:sz="0" w:space="0" w:color="auto"/>
                        <w:bottom w:val="none" w:sz="0" w:space="0" w:color="auto"/>
                        <w:right w:val="none" w:sz="0" w:space="0" w:color="auto"/>
                      </w:divBdr>
                    </w:div>
                  </w:divsChild>
                </w:div>
                <w:div w:id="722481738">
                  <w:marLeft w:val="0"/>
                  <w:marRight w:val="0"/>
                  <w:marTop w:val="0"/>
                  <w:marBottom w:val="0"/>
                  <w:divBdr>
                    <w:top w:val="none" w:sz="0" w:space="0" w:color="auto"/>
                    <w:left w:val="none" w:sz="0" w:space="0" w:color="auto"/>
                    <w:bottom w:val="none" w:sz="0" w:space="0" w:color="auto"/>
                    <w:right w:val="none" w:sz="0" w:space="0" w:color="auto"/>
                  </w:divBdr>
                  <w:divsChild>
                    <w:div w:id="496656358">
                      <w:marLeft w:val="0"/>
                      <w:marRight w:val="0"/>
                      <w:marTop w:val="0"/>
                      <w:marBottom w:val="0"/>
                      <w:divBdr>
                        <w:top w:val="none" w:sz="0" w:space="0" w:color="auto"/>
                        <w:left w:val="none" w:sz="0" w:space="0" w:color="auto"/>
                        <w:bottom w:val="none" w:sz="0" w:space="0" w:color="auto"/>
                        <w:right w:val="none" w:sz="0" w:space="0" w:color="auto"/>
                      </w:divBdr>
                    </w:div>
                  </w:divsChild>
                </w:div>
                <w:div w:id="737943854">
                  <w:marLeft w:val="0"/>
                  <w:marRight w:val="0"/>
                  <w:marTop w:val="0"/>
                  <w:marBottom w:val="0"/>
                  <w:divBdr>
                    <w:top w:val="none" w:sz="0" w:space="0" w:color="auto"/>
                    <w:left w:val="none" w:sz="0" w:space="0" w:color="auto"/>
                    <w:bottom w:val="none" w:sz="0" w:space="0" w:color="auto"/>
                    <w:right w:val="none" w:sz="0" w:space="0" w:color="auto"/>
                  </w:divBdr>
                  <w:divsChild>
                    <w:div w:id="279453609">
                      <w:marLeft w:val="0"/>
                      <w:marRight w:val="0"/>
                      <w:marTop w:val="0"/>
                      <w:marBottom w:val="0"/>
                      <w:divBdr>
                        <w:top w:val="none" w:sz="0" w:space="0" w:color="auto"/>
                        <w:left w:val="none" w:sz="0" w:space="0" w:color="auto"/>
                        <w:bottom w:val="none" w:sz="0" w:space="0" w:color="auto"/>
                        <w:right w:val="none" w:sz="0" w:space="0" w:color="auto"/>
                      </w:divBdr>
                    </w:div>
                  </w:divsChild>
                </w:div>
                <w:div w:id="738207468">
                  <w:marLeft w:val="0"/>
                  <w:marRight w:val="0"/>
                  <w:marTop w:val="0"/>
                  <w:marBottom w:val="0"/>
                  <w:divBdr>
                    <w:top w:val="none" w:sz="0" w:space="0" w:color="auto"/>
                    <w:left w:val="none" w:sz="0" w:space="0" w:color="auto"/>
                    <w:bottom w:val="none" w:sz="0" w:space="0" w:color="auto"/>
                    <w:right w:val="none" w:sz="0" w:space="0" w:color="auto"/>
                  </w:divBdr>
                  <w:divsChild>
                    <w:div w:id="500051098">
                      <w:marLeft w:val="0"/>
                      <w:marRight w:val="0"/>
                      <w:marTop w:val="0"/>
                      <w:marBottom w:val="0"/>
                      <w:divBdr>
                        <w:top w:val="none" w:sz="0" w:space="0" w:color="auto"/>
                        <w:left w:val="none" w:sz="0" w:space="0" w:color="auto"/>
                        <w:bottom w:val="none" w:sz="0" w:space="0" w:color="auto"/>
                        <w:right w:val="none" w:sz="0" w:space="0" w:color="auto"/>
                      </w:divBdr>
                    </w:div>
                  </w:divsChild>
                </w:div>
                <w:div w:id="751855845">
                  <w:marLeft w:val="0"/>
                  <w:marRight w:val="0"/>
                  <w:marTop w:val="0"/>
                  <w:marBottom w:val="0"/>
                  <w:divBdr>
                    <w:top w:val="none" w:sz="0" w:space="0" w:color="auto"/>
                    <w:left w:val="none" w:sz="0" w:space="0" w:color="auto"/>
                    <w:bottom w:val="none" w:sz="0" w:space="0" w:color="auto"/>
                    <w:right w:val="none" w:sz="0" w:space="0" w:color="auto"/>
                  </w:divBdr>
                  <w:divsChild>
                    <w:div w:id="1988969404">
                      <w:marLeft w:val="0"/>
                      <w:marRight w:val="0"/>
                      <w:marTop w:val="0"/>
                      <w:marBottom w:val="0"/>
                      <w:divBdr>
                        <w:top w:val="none" w:sz="0" w:space="0" w:color="auto"/>
                        <w:left w:val="none" w:sz="0" w:space="0" w:color="auto"/>
                        <w:bottom w:val="none" w:sz="0" w:space="0" w:color="auto"/>
                        <w:right w:val="none" w:sz="0" w:space="0" w:color="auto"/>
                      </w:divBdr>
                    </w:div>
                  </w:divsChild>
                </w:div>
                <w:div w:id="805199655">
                  <w:marLeft w:val="0"/>
                  <w:marRight w:val="0"/>
                  <w:marTop w:val="0"/>
                  <w:marBottom w:val="0"/>
                  <w:divBdr>
                    <w:top w:val="none" w:sz="0" w:space="0" w:color="auto"/>
                    <w:left w:val="none" w:sz="0" w:space="0" w:color="auto"/>
                    <w:bottom w:val="none" w:sz="0" w:space="0" w:color="auto"/>
                    <w:right w:val="none" w:sz="0" w:space="0" w:color="auto"/>
                  </w:divBdr>
                  <w:divsChild>
                    <w:div w:id="568617496">
                      <w:marLeft w:val="0"/>
                      <w:marRight w:val="0"/>
                      <w:marTop w:val="0"/>
                      <w:marBottom w:val="0"/>
                      <w:divBdr>
                        <w:top w:val="none" w:sz="0" w:space="0" w:color="auto"/>
                        <w:left w:val="none" w:sz="0" w:space="0" w:color="auto"/>
                        <w:bottom w:val="none" w:sz="0" w:space="0" w:color="auto"/>
                        <w:right w:val="none" w:sz="0" w:space="0" w:color="auto"/>
                      </w:divBdr>
                    </w:div>
                  </w:divsChild>
                </w:div>
                <w:div w:id="808207702">
                  <w:marLeft w:val="0"/>
                  <w:marRight w:val="0"/>
                  <w:marTop w:val="0"/>
                  <w:marBottom w:val="0"/>
                  <w:divBdr>
                    <w:top w:val="none" w:sz="0" w:space="0" w:color="auto"/>
                    <w:left w:val="none" w:sz="0" w:space="0" w:color="auto"/>
                    <w:bottom w:val="none" w:sz="0" w:space="0" w:color="auto"/>
                    <w:right w:val="none" w:sz="0" w:space="0" w:color="auto"/>
                  </w:divBdr>
                  <w:divsChild>
                    <w:div w:id="337585396">
                      <w:marLeft w:val="0"/>
                      <w:marRight w:val="0"/>
                      <w:marTop w:val="0"/>
                      <w:marBottom w:val="0"/>
                      <w:divBdr>
                        <w:top w:val="none" w:sz="0" w:space="0" w:color="auto"/>
                        <w:left w:val="none" w:sz="0" w:space="0" w:color="auto"/>
                        <w:bottom w:val="none" w:sz="0" w:space="0" w:color="auto"/>
                        <w:right w:val="none" w:sz="0" w:space="0" w:color="auto"/>
                      </w:divBdr>
                    </w:div>
                  </w:divsChild>
                </w:div>
                <w:div w:id="846361028">
                  <w:marLeft w:val="0"/>
                  <w:marRight w:val="0"/>
                  <w:marTop w:val="0"/>
                  <w:marBottom w:val="0"/>
                  <w:divBdr>
                    <w:top w:val="none" w:sz="0" w:space="0" w:color="auto"/>
                    <w:left w:val="none" w:sz="0" w:space="0" w:color="auto"/>
                    <w:bottom w:val="none" w:sz="0" w:space="0" w:color="auto"/>
                    <w:right w:val="none" w:sz="0" w:space="0" w:color="auto"/>
                  </w:divBdr>
                  <w:divsChild>
                    <w:div w:id="1995178165">
                      <w:marLeft w:val="0"/>
                      <w:marRight w:val="0"/>
                      <w:marTop w:val="0"/>
                      <w:marBottom w:val="0"/>
                      <w:divBdr>
                        <w:top w:val="none" w:sz="0" w:space="0" w:color="auto"/>
                        <w:left w:val="none" w:sz="0" w:space="0" w:color="auto"/>
                        <w:bottom w:val="none" w:sz="0" w:space="0" w:color="auto"/>
                        <w:right w:val="none" w:sz="0" w:space="0" w:color="auto"/>
                      </w:divBdr>
                    </w:div>
                  </w:divsChild>
                </w:div>
                <w:div w:id="869954681">
                  <w:marLeft w:val="0"/>
                  <w:marRight w:val="0"/>
                  <w:marTop w:val="0"/>
                  <w:marBottom w:val="0"/>
                  <w:divBdr>
                    <w:top w:val="none" w:sz="0" w:space="0" w:color="auto"/>
                    <w:left w:val="none" w:sz="0" w:space="0" w:color="auto"/>
                    <w:bottom w:val="none" w:sz="0" w:space="0" w:color="auto"/>
                    <w:right w:val="none" w:sz="0" w:space="0" w:color="auto"/>
                  </w:divBdr>
                  <w:divsChild>
                    <w:div w:id="802042815">
                      <w:marLeft w:val="0"/>
                      <w:marRight w:val="0"/>
                      <w:marTop w:val="0"/>
                      <w:marBottom w:val="0"/>
                      <w:divBdr>
                        <w:top w:val="none" w:sz="0" w:space="0" w:color="auto"/>
                        <w:left w:val="none" w:sz="0" w:space="0" w:color="auto"/>
                        <w:bottom w:val="none" w:sz="0" w:space="0" w:color="auto"/>
                        <w:right w:val="none" w:sz="0" w:space="0" w:color="auto"/>
                      </w:divBdr>
                    </w:div>
                  </w:divsChild>
                </w:div>
                <w:div w:id="888687799">
                  <w:marLeft w:val="0"/>
                  <w:marRight w:val="0"/>
                  <w:marTop w:val="0"/>
                  <w:marBottom w:val="0"/>
                  <w:divBdr>
                    <w:top w:val="none" w:sz="0" w:space="0" w:color="auto"/>
                    <w:left w:val="none" w:sz="0" w:space="0" w:color="auto"/>
                    <w:bottom w:val="none" w:sz="0" w:space="0" w:color="auto"/>
                    <w:right w:val="none" w:sz="0" w:space="0" w:color="auto"/>
                  </w:divBdr>
                  <w:divsChild>
                    <w:div w:id="426924056">
                      <w:marLeft w:val="0"/>
                      <w:marRight w:val="0"/>
                      <w:marTop w:val="0"/>
                      <w:marBottom w:val="0"/>
                      <w:divBdr>
                        <w:top w:val="none" w:sz="0" w:space="0" w:color="auto"/>
                        <w:left w:val="none" w:sz="0" w:space="0" w:color="auto"/>
                        <w:bottom w:val="none" w:sz="0" w:space="0" w:color="auto"/>
                        <w:right w:val="none" w:sz="0" w:space="0" w:color="auto"/>
                      </w:divBdr>
                    </w:div>
                  </w:divsChild>
                </w:div>
                <w:div w:id="912397789">
                  <w:marLeft w:val="0"/>
                  <w:marRight w:val="0"/>
                  <w:marTop w:val="0"/>
                  <w:marBottom w:val="0"/>
                  <w:divBdr>
                    <w:top w:val="none" w:sz="0" w:space="0" w:color="auto"/>
                    <w:left w:val="none" w:sz="0" w:space="0" w:color="auto"/>
                    <w:bottom w:val="none" w:sz="0" w:space="0" w:color="auto"/>
                    <w:right w:val="none" w:sz="0" w:space="0" w:color="auto"/>
                  </w:divBdr>
                  <w:divsChild>
                    <w:div w:id="109857812">
                      <w:marLeft w:val="0"/>
                      <w:marRight w:val="0"/>
                      <w:marTop w:val="0"/>
                      <w:marBottom w:val="0"/>
                      <w:divBdr>
                        <w:top w:val="none" w:sz="0" w:space="0" w:color="auto"/>
                        <w:left w:val="none" w:sz="0" w:space="0" w:color="auto"/>
                        <w:bottom w:val="none" w:sz="0" w:space="0" w:color="auto"/>
                        <w:right w:val="none" w:sz="0" w:space="0" w:color="auto"/>
                      </w:divBdr>
                    </w:div>
                  </w:divsChild>
                </w:div>
                <w:div w:id="916866300">
                  <w:marLeft w:val="0"/>
                  <w:marRight w:val="0"/>
                  <w:marTop w:val="0"/>
                  <w:marBottom w:val="0"/>
                  <w:divBdr>
                    <w:top w:val="none" w:sz="0" w:space="0" w:color="auto"/>
                    <w:left w:val="none" w:sz="0" w:space="0" w:color="auto"/>
                    <w:bottom w:val="none" w:sz="0" w:space="0" w:color="auto"/>
                    <w:right w:val="none" w:sz="0" w:space="0" w:color="auto"/>
                  </w:divBdr>
                  <w:divsChild>
                    <w:div w:id="1300266905">
                      <w:marLeft w:val="0"/>
                      <w:marRight w:val="0"/>
                      <w:marTop w:val="0"/>
                      <w:marBottom w:val="0"/>
                      <w:divBdr>
                        <w:top w:val="none" w:sz="0" w:space="0" w:color="auto"/>
                        <w:left w:val="none" w:sz="0" w:space="0" w:color="auto"/>
                        <w:bottom w:val="none" w:sz="0" w:space="0" w:color="auto"/>
                        <w:right w:val="none" w:sz="0" w:space="0" w:color="auto"/>
                      </w:divBdr>
                    </w:div>
                  </w:divsChild>
                </w:div>
                <w:div w:id="917052989">
                  <w:marLeft w:val="0"/>
                  <w:marRight w:val="0"/>
                  <w:marTop w:val="0"/>
                  <w:marBottom w:val="0"/>
                  <w:divBdr>
                    <w:top w:val="none" w:sz="0" w:space="0" w:color="auto"/>
                    <w:left w:val="none" w:sz="0" w:space="0" w:color="auto"/>
                    <w:bottom w:val="none" w:sz="0" w:space="0" w:color="auto"/>
                    <w:right w:val="none" w:sz="0" w:space="0" w:color="auto"/>
                  </w:divBdr>
                  <w:divsChild>
                    <w:div w:id="1740205265">
                      <w:marLeft w:val="0"/>
                      <w:marRight w:val="0"/>
                      <w:marTop w:val="0"/>
                      <w:marBottom w:val="0"/>
                      <w:divBdr>
                        <w:top w:val="none" w:sz="0" w:space="0" w:color="auto"/>
                        <w:left w:val="none" w:sz="0" w:space="0" w:color="auto"/>
                        <w:bottom w:val="none" w:sz="0" w:space="0" w:color="auto"/>
                        <w:right w:val="none" w:sz="0" w:space="0" w:color="auto"/>
                      </w:divBdr>
                    </w:div>
                  </w:divsChild>
                </w:div>
                <w:div w:id="984775357">
                  <w:marLeft w:val="0"/>
                  <w:marRight w:val="0"/>
                  <w:marTop w:val="0"/>
                  <w:marBottom w:val="0"/>
                  <w:divBdr>
                    <w:top w:val="none" w:sz="0" w:space="0" w:color="auto"/>
                    <w:left w:val="none" w:sz="0" w:space="0" w:color="auto"/>
                    <w:bottom w:val="none" w:sz="0" w:space="0" w:color="auto"/>
                    <w:right w:val="none" w:sz="0" w:space="0" w:color="auto"/>
                  </w:divBdr>
                  <w:divsChild>
                    <w:div w:id="328170963">
                      <w:marLeft w:val="0"/>
                      <w:marRight w:val="0"/>
                      <w:marTop w:val="0"/>
                      <w:marBottom w:val="0"/>
                      <w:divBdr>
                        <w:top w:val="none" w:sz="0" w:space="0" w:color="auto"/>
                        <w:left w:val="none" w:sz="0" w:space="0" w:color="auto"/>
                        <w:bottom w:val="none" w:sz="0" w:space="0" w:color="auto"/>
                        <w:right w:val="none" w:sz="0" w:space="0" w:color="auto"/>
                      </w:divBdr>
                    </w:div>
                  </w:divsChild>
                </w:div>
                <w:div w:id="997155208">
                  <w:marLeft w:val="0"/>
                  <w:marRight w:val="0"/>
                  <w:marTop w:val="0"/>
                  <w:marBottom w:val="0"/>
                  <w:divBdr>
                    <w:top w:val="none" w:sz="0" w:space="0" w:color="auto"/>
                    <w:left w:val="none" w:sz="0" w:space="0" w:color="auto"/>
                    <w:bottom w:val="none" w:sz="0" w:space="0" w:color="auto"/>
                    <w:right w:val="none" w:sz="0" w:space="0" w:color="auto"/>
                  </w:divBdr>
                  <w:divsChild>
                    <w:div w:id="333460835">
                      <w:marLeft w:val="0"/>
                      <w:marRight w:val="0"/>
                      <w:marTop w:val="0"/>
                      <w:marBottom w:val="0"/>
                      <w:divBdr>
                        <w:top w:val="none" w:sz="0" w:space="0" w:color="auto"/>
                        <w:left w:val="none" w:sz="0" w:space="0" w:color="auto"/>
                        <w:bottom w:val="none" w:sz="0" w:space="0" w:color="auto"/>
                        <w:right w:val="none" w:sz="0" w:space="0" w:color="auto"/>
                      </w:divBdr>
                    </w:div>
                  </w:divsChild>
                </w:div>
                <w:div w:id="1045570202">
                  <w:marLeft w:val="0"/>
                  <w:marRight w:val="0"/>
                  <w:marTop w:val="0"/>
                  <w:marBottom w:val="0"/>
                  <w:divBdr>
                    <w:top w:val="none" w:sz="0" w:space="0" w:color="auto"/>
                    <w:left w:val="none" w:sz="0" w:space="0" w:color="auto"/>
                    <w:bottom w:val="none" w:sz="0" w:space="0" w:color="auto"/>
                    <w:right w:val="none" w:sz="0" w:space="0" w:color="auto"/>
                  </w:divBdr>
                  <w:divsChild>
                    <w:div w:id="1378316918">
                      <w:marLeft w:val="0"/>
                      <w:marRight w:val="0"/>
                      <w:marTop w:val="0"/>
                      <w:marBottom w:val="0"/>
                      <w:divBdr>
                        <w:top w:val="none" w:sz="0" w:space="0" w:color="auto"/>
                        <w:left w:val="none" w:sz="0" w:space="0" w:color="auto"/>
                        <w:bottom w:val="none" w:sz="0" w:space="0" w:color="auto"/>
                        <w:right w:val="none" w:sz="0" w:space="0" w:color="auto"/>
                      </w:divBdr>
                    </w:div>
                  </w:divsChild>
                </w:div>
                <w:div w:id="1093546260">
                  <w:marLeft w:val="0"/>
                  <w:marRight w:val="0"/>
                  <w:marTop w:val="0"/>
                  <w:marBottom w:val="0"/>
                  <w:divBdr>
                    <w:top w:val="none" w:sz="0" w:space="0" w:color="auto"/>
                    <w:left w:val="none" w:sz="0" w:space="0" w:color="auto"/>
                    <w:bottom w:val="none" w:sz="0" w:space="0" w:color="auto"/>
                    <w:right w:val="none" w:sz="0" w:space="0" w:color="auto"/>
                  </w:divBdr>
                  <w:divsChild>
                    <w:div w:id="2082092267">
                      <w:marLeft w:val="0"/>
                      <w:marRight w:val="0"/>
                      <w:marTop w:val="0"/>
                      <w:marBottom w:val="0"/>
                      <w:divBdr>
                        <w:top w:val="none" w:sz="0" w:space="0" w:color="auto"/>
                        <w:left w:val="none" w:sz="0" w:space="0" w:color="auto"/>
                        <w:bottom w:val="none" w:sz="0" w:space="0" w:color="auto"/>
                        <w:right w:val="none" w:sz="0" w:space="0" w:color="auto"/>
                      </w:divBdr>
                    </w:div>
                  </w:divsChild>
                </w:div>
                <w:div w:id="1111898492">
                  <w:marLeft w:val="0"/>
                  <w:marRight w:val="0"/>
                  <w:marTop w:val="0"/>
                  <w:marBottom w:val="0"/>
                  <w:divBdr>
                    <w:top w:val="none" w:sz="0" w:space="0" w:color="auto"/>
                    <w:left w:val="none" w:sz="0" w:space="0" w:color="auto"/>
                    <w:bottom w:val="none" w:sz="0" w:space="0" w:color="auto"/>
                    <w:right w:val="none" w:sz="0" w:space="0" w:color="auto"/>
                  </w:divBdr>
                  <w:divsChild>
                    <w:div w:id="622884410">
                      <w:marLeft w:val="0"/>
                      <w:marRight w:val="0"/>
                      <w:marTop w:val="0"/>
                      <w:marBottom w:val="0"/>
                      <w:divBdr>
                        <w:top w:val="none" w:sz="0" w:space="0" w:color="auto"/>
                        <w:left w:val="none" w:sz="0" w:space="0" w:color="auto"/>
                        <w:bottom w:val="none" w:sz="0" w:space="0" w:color="auto"/>
                        <w:right w:val="none" w:sz="0" w:space="0" w:color="auto"/>
                      </w:divBdr>
                    </w:div>
                  </w:divsChild>
                </w:div>
                <w:div w:id="1121848931">
                  <w:marLeft w:val="0"/>
                  <w:marRight w:val="0"/>
                  <w:marTop w:val="0"/>
                  <w:marBottom w:val="0"/>
                  <w:divBdr>
                    <w:top w:val="none" w:sz="0" w:space="0" w:color="auto"/>
                    <w:left w:val="none" w:sz="0" w:space="0" w:color="auto"/>
                    <w:bottom w:val="none" w:sz="0" w:space="0" w:color="auto"/>
                    <w:right w:val="none" w:sz="0" w:space="0" w:color="auto"/>
                  </w:divBdr>
                  <w:divsChild>
                    <w:div w:id="496001469">
                      <w:marLeft w:val="0"/>
                      <w:marRight w:val="0"/>
                      <w:marTop w:val="0"/>
                      <w:marBottom w:val="0"/>
                      <w:divBdr>
                        <w:top w:val="none" w:sz="0" w:space="0" w:color="auto"/>
                        <w:left w:val="none" w:sz="0" w:space="0" w:color="auto"/>
                        <w:bottom w:val="none" w:sz="0" w:space="0" w:color="auto"/>
                        <w:right w:val="none" w:sz="0" w:space="0" w:color="auto"/>
                      </w:divBdr>
                    </w:div>
                  </w:divsChild>
                </w:div>
                <w:div w:id="1180197520">
                  <w:marLeft w:val="0"/>
                  <w:marRight w:val="0"/>
                  <w:marTop w:val="0"/>
                  <w:marBottom w:val="0"/>
                  <w:divBdr>
                    <w:top w:val="none" w:sz="0" w:space="0" w:color="auto"/>
                    <w:left w:val="none" w:sz="0" w:space="0" w:color="auto"/>
                    <w:bottom w:val="none" w:sz="0" w:space="0" w:color="auto"/>
                    <w:right w:val="none" w:sz="0" w:space="0" w:color="auto"/>
                  </w:divBdr>
                  <w:divsChild>
                    <w:div w:id="2097820811">
                      <w:marLeft w:val="0"/>
                      <w:marRight w:val="0"/>
                      <w:marTop w:val="0"/>
                      <w:marBottom w:val="0"/>
                      <w:divBdr>
                        <w:top w:val="none" w:sz="0" w:space="0" w:color="auto"/>
                        <w:left w:val="none" w:sz="0" w:space="0" w:color="auto"/>
                        <w:bottom w:val="none" w:sz="0" w:space="0" w:color="auto"/>
                        <w:right w:val="none" w:sz="0" w:space="0" w:color="auto"/>
                      </w:divBdr>
                    </w:div>
                  </w:divsChild>
                </w:div>
                <w:div w:id="1224364104">
                  <w:marLeft w:val="0"/>
                  <w:marRight w:val="0"/>
                  <w:marTop w:val="0"/>
                  <w:marBottom w:val="0"/>
                  <w:divBdr>
                    <w:top w:val="none" w:sz="0" w:space="0" w:color="auto"/>
                    <w:left w:val="none" w:sz="0" w:space="0" w:color="auto"/>
                    <w:bottom w:val="none" w:sz="0" w:space="0" w:color="auto"/>
                    <w:right w:val="none" w:sz="0" w:space="0" w:color="auto"/>
                  </w:divBdr>
                  <w:divsChild>
                    <w:div w:id="665015647">
                      <w:marLeft w:val="0"/>
                      <w:marRight w:val="0"/>
                      <w:marTop w:val="0"/>
                      <w:marBottom w:val="0"/>
                      <w:divBdr>
                        <w:top w:val="none" w:sz="0" w:space="0" w:color="auto"/>
                        <w:left w:val="none" w:sz="0" w:space="0" w:color="auto"/>
                        <w:bottom w:val="none" w:sz="0" w:space="0" w:color="auto"/>
                        <w:right w:val="none" w:sz="0" w:space="0" w:color="auto"/>
                      </w:divBdr>
                    </w:div>
                  </w:divsChild>
                </w:div>
                <w:div w:id="1236553332">
                  <w:marLeft w:val="0"/>
                  <w:marRight w:val="0"/>
                  <w:marTop w:val="0"/>
                  <w:marBottom w:val="0"/>
                  <w:divBdr>
                    <w:top w:val="none" w:sz="0" w:space="0" w:color="auto"/>
                    <w:left w:val="none" w:sz="0" w:space="0" w:color="auto"/>
                    <w:bottom w:val="none" w:sz="0" w:space="0" w:color="auto"/>
                    <w:right w:val="none" w:sz="0" w:space="0" w:color="auto"/>
                  </w:divBdr>
                  <w:divsChild>
                    <w:div w:id="259526622">
                      <w:marLeft w:val="0"/>
                      <w:marRight w:val="0"/>
                      <w:marTop w:val="0"/>
                      <w:marBottom w:val="0"/>
                      <w:divBdr>
                        <w:top w:val="none" w:sz="0" w:space="0" w:color="auto"/>
                        <w:left w:val="none" w:sz="0" w:space="0" w:color="auto"/>
                        <w:bottom w:val="none" w:sz="0" w:space="0" w:color="auto"/>
                        <w:right w:val="none" w:sz="0" w:space="0" w:color="auto"/>
                      </w:divBdr>
                    </w:div>
                  </w:divsChild>
                </w:div>
                <w:div w:id="1249117340">
                  <w:marLeft w:val="0"/>
                  <w:marRight w:val="0"/>
                  <w:marTop w:val="0"/>
                  <w:marBottom w:val="0"/>
                  <w:divBdr>
                    <w:top w:val="none" w:sz="0" w:space="0" w:color="auto"/>
                    <w:left w:val="none" w:sz="0" w:space="0" w:color="auto"/>
                    <w:bottom w:val="none" w:sz="0" w:space="0" w:color="auto"/>
                    <w:right w:val="none" w:sz="0" w:space="0" w:color="auto"/>
                  </w:divBdr>
                  <w:divsChild>
                    <w:div w:id="189994841">
                      <w:marLeft w:val="0"/>
                      <w:marRight w:val="0"/>
                      <w:marTop w:val="0"/>
                      <w:marBottom w:val="0"/>
                      <w:divBdr>
                        <w:top w:val="none" w:sz="0" w:space="0" w:color="auto"/>
                        <w:left w:val="none" w:sz="0" w:space="0" w:color="auto"/>
                        <w:bottom w:val="none" w:sz="0" w:space="0" w:color="auto"/>
                        <w:right w:val="none" w:sz="0" w:space="0" w:color="auto"/>
                      </w:divBdr>
                    </w:div>
                  </w:divsChild>
                </w:div>
                <w:div w:id="1352950775">
                  <w:marLeft w:val="0"/>
                  <w:marRight w:val="0"/>
                  <w:marTop w:val="0"/>
                  <w:marBottom w:val="0"/>
                  <w:divBdr>
                    <w:top w:val="none" w:sz="0" w:space="0" w:color="auto"/>
                    <w:left w:val="none" w:sz="0" w:space="0" w:color="auto"/>
                    <w:bottom w:val="none" w:sz="0" w:space="0" w:color="auto"/>
                    <w:right w:val="none" w:sz="0" w:space="0" w:color="auto"/>
                  </w:divBdr>
                  <w:divsChild>
                    <w:div w:id="1753040062">
                      <w:marLeft w:val="0"/>
                      <w:marRight w:val="0"/>
                      <w:marTop w:val="0"/>
                      <w:marBottom w:val="0"/>
                      <w:divBdr>
                        <w:top w:val="none" w:sz="0" w:space="0" w:color="auto"/>
                        <w:left w:val="none" w:sz="0" w:space="0" w:color="auto"/>
                        <w:bottom w:val="none" w:sz="0" w:space="0" w:color="auto"/>
                        <w:right w:val="none" w:sz="0" w:space="0" w:color="auto"/>
                      </w:divBdr>
                    </w:div>
                  </w:divsChild>
                </w:div>
                <w:div w:id="1367754333">
                  <w:marLeft w:val="0"/>
                  <w:marRight w:val="0"/>
                  <w:marTop w:val="0"/>
                  <w:marBottom w:val="0"/>
                  <w:divBdr>
                    <w:top w:val="none" w:sz="0" w:space="0" w:color="auto"/>
                    <w:left w:val="none" w:sz="0" w:space="0" w:color="auto"/>
                    <w:bottom w:val="none" w:sz="0" w:space="0" w:color="auto"/>
                    <w:right w:val="none" w:sz="0" w:space="0" w:color="auto"/>
                  </w:divBdr>
                  <w:divsChild>
                    <w:div w:id="1795559794">
                      <w:marLeft w:val="0"/>
                      <w:marRight w:val="0"/>
                      <w:marTop w:val="0"/>
                      <w:marBottom w:val="0"/>
                      <w:divBdr>
                        <w:top w:val="none" w:sz="0" w:space="0" w:color="auto"/>
                        <w:left w:val="none" w:sz="0" w:space="0" w:color="auto"/>
                        <w:bottom w:val="none" w:sz="0" w:space="0" w:color="auto"/>
                        <w:right w:val="none" w:sz="0" w:space="0" w:color="auto"/>
                      </w:divBdr>
                    </w:div>
                  </w:divsChild>
                </w:div>
                <w:div w:id="1420326333">
                  <w:marLeft w:val="0"/>
                  <w:marRight w:val="0"/>
                  <w:marTop w:val="0"/>
                  <w:marBottom w:val="0"/>
                  <w:divBdr>
                    <w:top w:val="none" w:sz="0" w:space="0" w:color="auto"/>
                    <w:left w:val="none" w:sz="0" w:space="0" w:color="auto"/>
                    <w:bottom w:val="none" w:sz="0" w:space="0" w:color="auto"/>
                    <w:right w:val="none" w:sz="0" w:space="0" w:color="auto"/>
                  </w:divBdr>
                  <w:divsChild>
                    <w:div w:id="1947152066">
                      <w:marLeft w:val="0"/>
                      <w:marRight w:val="0"/>
                      <w:marTop w:val="0"/>
                      <w:marBottom w:val="0"/>
                      <w:divBdr>
                        <w:top w:val="none" w:sz="0" w:space="0" w:color="auto"/>
                        <w:left w:val="none" w:sz="0" w:space="0" w:color="auto"/>
                        <w:bottom w:val="none" w:sz="0" w:space="0" w:color="auto"/>
                        <w:right w:val="none" w:sz="0" w:space="0" w:color="auto"/>
                      </w:divBdr>
                    </w:div>
                  </w:divsChild>
                </w:div>
                <w:div w:id="1421683989">
                  <w:marLeft w:val="0"/>
                  <w:marRight w:val="0"/>
                  <w:marTop w:val="0"/>
                  <w:marBottom w:val="0"/>
                  <w:divBdr>
                    <w:top w:val="none" w:sz="0" w:space="0" w:color="auto"/>
                    <w:left w:val="none" w:sz="0" w:space="0" w:color="auto"/>
                    <w:bottom w:val="none" w:sz="0" w:space="0" w:color="auto"/>
                    <w:right w:val="none" w:sz="0" w:space="0" w:color="auto"/>
                  </w:divBdr>
                  <w:divsChild>
                    <w:div w:id="2006395362">
                      <w:marLeft w:val="0"/>
                      <w:marRight w:val="0"/>
                      <w:marTop w:val="0"/>
                      <w:marBottom w:val="0"/>
                      <w:divBdr>
                        <w:top w:val="none" w:sz="0" w:space="0" w:color="auto"/>
                        <w:left w:val="none" w:sz="0" w:space="0" w:color="auto"/>
                        <w:bottom w:val="none" w:sz="0" w:space="0" w:color="auto"/>
                        <w:right w:val="none" w:sz="0" w:space="0" w:color="auto"/>
                      </w:divBdr>
                    </w:div>
                  </w:divsChild>
                </w:div>
                <w:div w:id="1426028722">
                  <w:marLeft w:val="0"/>
                  <w:marRight w:val="0"/>
                  <w:marTop w:val="0"/>
                  <w:marBottom w:val="0"/>
                  <w:divBdr>
                    <w:top w:val="none" w:sz="0" w:space="0" w:color="auto"/>
                    <w:left w:val="none" w:sz="0" w:space="0" w:color="auto"/>
                    <w:bottom w:val="none" w:sz="0" w:space="0" w:color="auto"/>
                    <w:right w:val="none" w:sz="0" w:space="0" w:color="auto"/>
                  </w:divBdr>
                  <w:divsChild>
                    <w:div w:id="1267424451">
                      <w:marLeft w:val="0"/>
                      <w:marRight w:val="0"/>
                      <w:marTop w:val="0"/>
                      <w:marBottom w:val="0"/>
                      <w:divBdr>
                        <w:top w:val="none" w:sz="0" w:space="0" w:color="auto"/>
                        <w:left w:val="none" w:sz="0" w:space="0" w:color="auto"/>
                        <w:bottom w:val="none" w:sz="0" w:space="0" w:color="auto"/>
                        <w:right w:val="none" w:sz="0" w:space="0" w:color="auto"/>
                      </w:divBdr>
                    </w:div>
                  </w:divsChild>
                </w:div>
                <w:div w:id="1429345315">
                  <w:marLeft w:val="0"/>
                  <w:marRight w:val="0"/>
                  <w:marTop w:val="0"/>
                  <w:marBottom w:val="0"/>
                  <w:divBdr>
                    <w:top w:val="none" w:sz="0" w:space="0" w:color="auto"/>
                    <w:left w:val="none" w:sz="0" w:space="0" w:color="auto"/>
                    <w:bottom w:val="none" w:sz="0" w:space="0" w:color="auto"/>
                    <w:right w:val="none" w:sz="0" w:space="0" w:color="auto"/>
                  </w:divBdr>
                  <w:divsChild>
                    <w:div w:id="2143575045">
                      <w:marLeft w:val="0"/>
                      <w:marRight w:val="0"/>
                      <w:marTop w:val="0"/>
                      <w:marBottom w:val="0"/>
                      <w:divBdr>
                        <w:top w:val="none" w:sz="0" w:space="0" w:color="auto"/>
                        <w:left w:val="none" w:sz="0" w:space="0" w:color="auto"/>
                        <w:bottom w:val="none" w:sz="0" w:space="0" w:color="auto"/>
                        <w:right w:val="none" w:sz="0" w:space="0" w:color="auto"/>
                      </w:divBdr>
                    </w:div>
                  </w:divsChild>
                </w:div>
                <w:div w:id="1469397466">
                  <w:marLeft w:val="0"/>
                  <w:marRight w:val="0"/>
                  <w:marTop w:val="0"/>
                  <w:marBottom w:val="0"/>
                  <w:divBdr>
                    <w:top w:val="none" w:sz="0" w:space="0" w:color="auto"/>
                    <w:left w:val="none" w:sz="0" w:space="0" w:color="auto"/>
                    <w:bottom w:val="none" w:sz="0" w:space="0" w:color="auto"/>
                    <w:right w:val="none" w:sz="0" w:space="0" w:color="auto"/>
                  </w:divBdr>
                  <w:divsChild>
                    <w:div w:id="9262745">
                      <w:marLeft w:val="0"/>
                      <w:marRight w:val="0"/>
                      <w:marTop w:val="0"/>
                      <w:marBottom w:val="0"/>
                      <w:divBdr>
                        <w:top w:val="none" w:sz="0" w:space="0" w:color="auto"/>
                        <w:left w:val="none" w:sz="0" w:space="0" w:color="auto"/>
                        <w:bottom w:val="none" w:sz="0" w:space="0" w:color="auto"/>
                        <w:right w:val="none" w:sz="0" w:space="0" w:color="auto"/>
                      </w:divBdr>
                    </w:div>
                  </w:divsChild>
                </w:div>
                <w:div w:id="1469401292">
                  <w:marLeft w:val="0"/>
                  <w:marRight w:val="0"/>
                  <w:marTop w:val="0"/>
                  <w:marBottom w:val="0"/>
                  <w:divBdr>
                    <w:top w:val="none" w:sz="0" w:space="0" w:color="auto"/>
                    <w:left w:val="none" w:sz="0" w:space="0" w:color="auto"/>
                    <w:bottom w:val="none" w:sz="0" w:space="0" w:color="auto"/>
                    <w:right w:val="none" w:sz="0" w:space="0" w:color="auto"/>
                  </w:divBdr>
                  <w:divsChild>
                    <w:div w:id="294064758">
                      <w:marLeft w:val="0"/>
                      <w:marRight w:val="0"/>
                      <w:marTop w:val="0"/>
                      <w:marBottom w:val="0"/>
                      <w:divBdr>
                        <w:top w:val="none" w:sz="0" w:space="0" w:color="auto"/>
                        <w:left w:val="none" w:sz="0" w:space="0" w:color="auto"/>
                        <w:bottom w:val="none" w:sz="0" w:space="0" w:color="auto"/>
                        <w:right w:val="none" w:sz="0" w:space="0" w:color="auto"/>
                      </w:divBdr>
                    </w:div>
                  </w:divsChild>
                </w:div>
                <w:div w:id="1519352203">
                  <w:marLeft w:val="0"/>
                  <w:marRight w:val="0"/>
                  <w:marTop w:val="0"/>
                  <w:marBottom w:val="0"/>
                  <w:divBdr>
                    <w:top w:val="none" w:sz="0" w:space="0" w:color="auto"/>
                    <w:left w:val="none" w:sz="0" w:space="0" w:color="auto"/>
                    <w:bottom w:val="none" w:sz="0" w:space="0" w:color="auto"/>
                    <w:right w:val="none" w:sz="0" w:space="0" w:color="auto"/>
                  </w:divBdr>
                  <w:divsChild>
                    <w:div w:id="258761657">
                      <w:marLeft w:val="0"/>
                      <w:marRight w:val="0"/>
                      <w:marTop w:val="0"/>
                      <w:marBottom w:val="0"/>
                      <w:divBdr>
                        <w:top w:val="none" w:sz="0" w:space="0" w:color="auto"/>
                        <w:left w:val="none" w:sz="0" w:space="0" w:color="auto"/>
                        <w:bottom w:val="none" w:sz="0" w:space="0" w:color="auto"/>
                        <w:right w:val="none" w:sz="0" w:space="0" w:color="auto"/>
                      </w:divBdr>
                    </w:div>
                  </w:divsChild>
                </w:div>
                <w:div w:id="1530223069">
                  <w:marLeft w:val="0"/>
                  <w:marRight w:val="0"/>
                  <w:marTop w:val="0"/>
                  <w:marBottom w:val="0"/>
                  <w:divBdr>
                    <w:top w:val="none" w:sz="0" w:space="0" w:color="auto"/>
                    <w:left w:val="none" w:sz="0" w:space="0" w:color="auto"/>
                    <w:bottom w:val="none" w:sz="0" w:space="0" w:color="auto"/>
                    <w:right w:val="none" w:sz="0" w:space="0" w:color="auto"/>
                  </w:divBdr>
                  <w:divsChild>
                    <w:div w:id="1472093289">
                      <w:marLeft w:val="0"/>
                      <w:marRight w:val="0"/>
                      <w:marTop w:val="0"/>
                      <w:marBottom w:val="0"/>
                      <w:divBdr>
                        <w:top w:val="none" w:sz="0" w:space="0" w:color="auto"/>
                        <w:left w:val="none" w:sz="0" w:space="0" w:color="auto"/>
                        <w:bottom w:val="none" w:sz="0" w:space="0" w:color="auto"/>
                        <w:right w:val="none" w:sz="0" w:space="0" w:color="auto"/>
                      </w:divBdr>
                    </w:div>
                  </w:divsChild>
                </w:div>
                <w:div w:id="1563174956">
                  <w:marLeft w:val="0"/>
                  <w:marRight w:val="0"/>
                  <w:marTop w:val="0"/>
                  <w:marBottom w:val="0"/>
                  <w:divBdr>
                    <w:top w:val="none" w:sz="0" w:space="0" w:color="auto"/>
                    <w:left w:val="none" w:sz="0" w:space="0" w:color="auto"/>
                    <w:bottom w:val="none" w:sz="0" w:space="0" w:color="auto"/>
                    <w:right w:val="none" w:sz="0" w:space="0" w:color="auto"/>
                  </w:divBdr>
                  <w:divsChild>
                    <w:div w:id="348142108">
                      <w:marLeft w:val="0"/>
                      <w:marRight w:val="0"/>
                      <w:marTop w:val="0"/>
                      <w:marBottom w:val="0"/>
                      <w:divBdr>
                        <w:top w:val="none" w:sz="0" w:space="0" w:color="auto"/>
                        <w:left w:val="none" w:sz="0" w:space="0" w:color="auto"/>
                        <w:bottom w:val="none" w:sz="0" w:space="0" w:color="auto"/>
                        <w:right w:val="none" w:sz="0" w:space="0" w:color="auto"/>
                      </w:divBdr>
                    </w:div>
                  </w:divsChild>
                </w:div>
                <w:div w:id="1576667806">
                  <w:marLeft w:val="0"/>
                  <w:marRight w:val="0"/>
                  <w:marTop w:val="0"/>
                  <w:marBottom w:val="0"/>
                  <w:divBdr>
                    <w:top w:val="none" w:sz="0" w:space="0" w:color="auto"/>
                    <w:left w:val="none" w:sz="0" w:space="0" w:color="auto"/>
                    <w:bottom w:val="none" w:sz="0" w:space="0" w:color="auto"/>
                    <w:right w:val="none" w:sz="0" w:space="0" w:color="auto"/>
                  </w:divBdr>
                  <w:divsChild>
                    <w:div w:id="1324552999">
                      <w:marLeft w:val="0"/>
                      <w:marRight w:val="0"/>
                      <w:marTop w:val="0"/>
                      <w:marBottom w:val="0"/>
                      <w:divBdr>
                        <w:top w:val="none" w:sz="0" w:space="0" w:color="auto"/>
                        <w:left w:val="none" w:sz="0" w:space="0" w:color="auto"/>
                        <w:bottom w:val="none" w:sz="0" w:space="0" w:color="auto"/>
                        <w:right w:val="none" w:sz="0" w:space="0" w:color="auto"/>
                      </w:divBdr>
                    </w:div>
                  </w:divsChild>
                </w:div>
                <w:div w:id="1612011099">
                  <w:marLeft w:val="0"/>
                  <w:marRight w:val="0"/>
                  <w:marTop w:val="0"/>
                  <w:marBottom w:val="0"/>
                  <w:divBdr>
                    <w:top w:val="none" w:sz="0" w:space="0" w:color="auto"/>
                    <w:left w:val="none" w:sz="0" w:space="0" w:color="auto"/>
                    <w:bottom w:val="none" w:sz="0" w:space="0" w:color="auto"/>
                    <w:right w:val="none" w:sz="0" w:space="0" w:color="auto"/>
                  </w:divBdr>
                  <w:divsChild>
                    <w:div w:id="2121139546">
                      <w:marLeft w:val="0"/>
                      <w:marRight w:val="0"/>
                      <w:marTop w:val="0"/>
                      <w:marBottom w:val="0"/>
                      <w:divBdr>
                        <w:top w:val="none" w:sz="0" w:space="0" w:color="auto"/>
                        <w:left w:val="none" w:sz="0" w:space="0" w:color="auto"/>
                        <w:bottom w:val="none" w:sz="0" w:space="0" w:color="auto"/>
                        <w:right w:val="none" w:sz="0" w:space="0" w:color="auto"/>
                      </w:divBdr>
                    </w:div>
                  </w:divsChild>
                </w:div>
                <w:div w:id="1612935383">
                  <w:marLeft w:val="0"/>
                  <w:marRight w:val="0"/>
                  <w:marTop w:val="0"/>
                  <w:marBottom w:val="0"/>
                  <w:divBdr>
                    <w:top w:val="none" w:sz="0" w:space="0" w:color="auto"/>
                    <w:left w:val="none" w:sz="0" w:space="0" w:color="auto"/>
                    <w:bottom w:val="none" w:sz="0" w:space="0" w:color="auto"/>
                    <w:right w:val="none" w:sz="0" w:space="0" w:color="auto"/>
                  </w:divBdr>
                  <w:divsChild>
                    <w:div w:id="392318513">
                      <w:marLeft w:val="0"/>
                      <w:marRight w:val="0"/>
                      <w:marTop w:val="0"/>
                      <w:marBottom w:val="0"/>
                      <w:divBdr>
                        <w:top w:val="none" w:sz="0" w:space="0" w:color="auto"/>
                        <w:left w:val="none" w:sz="0" w:space="0" w:color="auto"/>
                        <w:bottom w:val="none" w:sz="0" w:space="0" w:color="auto"/>
                        <w:right w:val="none" w:sz="0" w:space="0" w:color="auto"/>
                      </w:divBdr>
                    </w:div>
                  </w:divsChild>
                </w:div>
                <w:div w:id="1627151685">
                  <w:marLeft w:val="0"/>
                  <w:marRight w:val="0"/>
                  <w:marTop w:val="0"/>
                  <w:marBottom w:val="0"/>
                  <w:divBdr>
                    <w:top w:val="none" w:sz="0" w:space="0" w:color="auto"/>
                    <w:left w:val="none" w:sz="0" w:space="0" w:color="auto"/>
                    <w:bottom w:val="none" w:sz="0" w:space="0" w:color="auto"/>
                    <w:right w:val="none" w:sz="0" w:space="0" w:color="auto"/>
                  </w:divBdr>
                  <w:divsChild>
                    <w:div w:id="304236485">
                      <w:marLeft w:val="0"/>
                      <w:marRight w:val="0"/>
                      <w:marTop w:val="0"/>
                      <w:marBottom w:val="0"/>
                      <w:divBdr>
                        <w:top w:val="none" w:sz="0" w:space="0" w:color="auto"/>
                        <w:left w:val="none" w:sz="0" w:space="0" w:color="auto"/>
                        <w:bottom w:val="none" w:sz="0" w:space="0" w:color="auto"/>
                        <w:right w:val="none" w:sz="0" w:space="0" w:color="auto"/>
                      </w:divBdr>
                    </w:div>
                  </w:divsChild>
                </w:div>
                <w:div w:id="1636330971">
                  <w:marLeft w:val="0"/>
                  <w:marRight w:val="0"/>
                  <w:marTop w:val="0"/>
                  <w:marBottom w:val="0"/>
                  <w:divBdr>
                    <w:top w:val="none" w:sz="0" w:space="0" w:color="auto"/>
                    <w:left w:val="none" w:sz="0" w:space="0" w:color="auto"/>
                    <w:bottom w:val="none" w:sz="0" w:space="0" w:color="auto"/>
                    <w:right w:val="none" w:sz="0" w:space="0" w:color="auto"/>
                  </w:divBdr>
                  <w:divsChild>
                    <w:div w:id="1472595123">
                      <w:marLeft w:val="0"/>
                      <w:marRight w:val="0"/>
                      <w:marTop w:val="0"/>
                      <w:marBottom w:val="0"/>
                      <w:divBdr>
                        <w:top w:val="none" w:sz="0" w:space="0" w:color="auto"/>
                        <w:left w:val="none" w:sz="0" w:space="0" w:color="auto"/>
                        <w:bottom w:val="none" w:sz="0" w:space="0" w:color="auto"/>
                        <w:right w:val="none" w:sz="0" w:space="0" w:color="auto"/>
                      </w:divBdr>
                    </w:div>
                  </w:divsChild>
                </w:div>
                <w:div w:id="1638946425">
                  <w:marLeft w:val="0"/>
                  <w:marRight w:val="0"/>
                  <w:marTop w:val="0"/>
                  <w:marBottom w:val="0"/>
                  <w:divBdr>
                    <w:top w:val="none" w:sz="0" w:space="0" w:color="auto"/>
                    <w:left w:val="none" w:sz="0" w:space="0" w:color="auto"/>
                    <w:bottom w:val="none" w:sz="0" w:space="0" w:color="auto"/>
                    <w:right w:val="none" w:sz="0" w:space="0" w:color="auto"/>
                  </w:divBdr>
                  <w:divsChild>
                    <w:div w:id="1225216829">
                      <w:marLeft w:val="0"/>
                      <w:marRight w:val="0"/>
                      <w:marTop w:val="0"/>
                      <w:marBottom w:val="0"/>
                      <w:divBdr>
                        <w:top w:val="none" w:sz="0" w:space="0" w:color="auto"/>
                        <w:left w:val="none" w:sz="0" w:space="0" w:color="auto"/>
                        <w:bottom w:val="none" w:sz="0" w:space="0" w:color="auto"/>
                        <w:right w:val="none" w:sz="0" w:space="0" w:color="auto"/>
                      </w:divBdr>
                    </w:div>
                  </w:divsChild>
                </w:div>
                <w:div w:id="1745377885">
                  <w:marLeft w:val="0"/>
                  <w:marRight w:val="0"/>
                  <w:marTop w:val="0"/>
                  <w:marBottom w:val="0"/>
                  <w:divBdr>
                    <w:top w:val="none" w:sz="0" w:space="0" w:color="auto"/>
                    <w:left w:val="none" w:sz="0" w:space="0" w:color="auto"/>
                    <w:bottom w:val="none" w:sz="0" w:space="0" w:color="auto"/>
                    <w:right w:val="none" w:sz="0" w:space="0" w:color="auto"/>
                  </w:divBdr>
                  <w:divsChild>
                    <w:div w:id="1815758268">
                      <w:marLeft w:val="0"/>
                      <w:marRight w:val="0"/>
                      <w:marTop w:val="0"/>
                      <w:marBottom w:val="0"/>
                      <w:divBdr>
                        <w:top w:val="none" w:sz="0" w:space="0" w:color="auto"/>
                        <w:left w:val="none" w:sz="0" w:space="0" w:color="auto"/>
                        <w:bottom w:val="none" w:sz="0" w:space="0" w:color="auto"/>
                        <w:right w:val="none" w:sz="0" w:space="0" w:color="auto"/>
                      </w:divBdr>
                    </w:div>
                  </w:divsChild>
                </w:div>
                <w:div w:id="1796439930">
                  <w:marLeft w:val="0"/>
                  <w:marRight w:val="0"/>
                  <w:marTop w:val="0"/>
                  <w:marBottom w:val="0"/>
                  <w:divBdr>
                    <w:top w:val="none" w:sz="0" w:space="0" w:color="auto"/>
                    <w:left w:val="none" w:sz="0" w:space="0" w:color="auto"/>
                    <w:bottom w:val="none" w:sz="0" w:space="0" w:color="auto"/>
                    <w:right w:val="none" w:sz="0" w:space="0" w:color="auto"/>
                  </w:divBdr>
                  <w:divsChild>
                    <w:div w:id="1609581068">
                      <w:marLeft w:val="0"/>
                      <w:marRight w:val="0"/>
                      <w:marTop w:val="0"/>
                      <w:marBottom w:val="0"/>
                      <w:divBdr>
                        <w:top w:val="none" w:sz="0" w:space="0" w:color="auto"/>
                        <w:left w:val="none" w:sz="0" w:space="0" w:color="auto"/>
                        <w:bottom w:val="none" w:sz="0" w:space="0" w:color="auto"/>
                        <w:right w:val="none" w:sz="0" w:space="0" w:color="auto"/>
                      </w:divBdr>
                    </w:div>
                  </w:divsChild>
                </w:div>
                <w:div w:id="1977181794">
                  <w:marLeft w:val="0"/>
                  <w:marRight w:val="0"/>
                  <w:marTop w:val="0"/>
                  <w:marBottom w:val="0"/>
                  <w:divBdr>
                    <w:top w:val="none" w:sz="0" w:space="0" w:color="auto"/>
                    <w:left w:val="none" w:sz="0" w:space="0" w:color="auto"/>
                    <w:bottom w:val="none" w:sz="0" w:space="0" w:color="auto"/>
                    <w:right w:val="none" w:sz="0" w:space="0" w:color="auto"/>
                  </w:divBdr>
                  <w:divsChild>
                    <w:div w:id="1998415315">
                      <w:marLeft w:val="0"/>
                      <w:marRight w:val="0"/>
                      <w:marTop w:val="0"/>
                      <w:marBottom w:val="0"/>
                      <w:divBdr>
                        <w:top w:val="none" w:sz="0" w:space="0" w:color="auto"/>
                        <w:left w:val="none" w:sz="0" w:space="0" w:color="auto"/>
                        <w:bottom w:val="none" w:sz="0" w:space="0" w:color="auto"/>
                        <w:right w:val="none" w:sz="0" w:space="0" w:color="auto"/>
                      </w:divBdr>
                    </w:div>
                  </w:divsChild>
                </w:div>
                <w:div w:id="2024238705">
                  <w:marLeft w:val="0"/>
                  <w:marRight w:val="0"/>
                  <w:marTop w:val="0"/>
                  <w:marBottom w:val="0"/>
                  <w:divBdr>
                    <w:top w:val="none" w:sz="0" w:space="0" w:color="auto"/>
                    <w:left w:val="none" w:sz="0" w:space="0" w:color="auto"/>
                    <w:bottom w:val="none" w:sz="0" w:space="0" w:color="auto"/>
                    <w:right w:val="none" w:sz="0" w:space="0" w:color="auto"/>
                  </w:divBdr>
                  <w:divsChild>
                    <w:div w:id="543713143">
                      <w:marLeft w:val="0"/>
                      <w:marRight w:val="0"/>
                      <w:marTop w:val="0"/>
                      <w:marBottom w:val="0"/>
                      <w:divBdr>
                        <w:top w:val="none" w:sz="0" w:space="0" w:color="auto"/>
                        <w:left w:val="none" w:sz="0" w:space="0" w:color="auto"/>
                        <w:bottom w:val="none" w:sz="0" w:space="0" w:color="auto"/>
                        <w:right w:val="none" w:sz="0" w:space="0" w:color="auto"/>
                      </w:divBdr>
                    </w:div>
                  </w:divsChild>
                </w:div>
                <w:div w:id="2054309987">
                  <w:marLeft w:val="0"/>
                  <w:marRight w:val="0"/>
                  <w:marTop w:val="0"/>
                  <w:marBottom w:val="0"/>
                  <w:divBdr>
                    <w:top w:val="none" w:sz="0" w:space="0" w:color="auto"/>
                    <w:left w:val="none" w:sz="0" w:space="0" w:color="auto"/>
                    <w:bottom w:val="none" w:sz="0" w:space="0" w:color="auto"/>
                    <w:right w:val="none" w:sz="0" w:space="0" w:color="auto"/>
                  </w:divBdr>
                  <w:divsChild>
                    <w:div w:id="1001860342">
                      <w:marLeft w:val="0"/>
                      <w:marRight w:val="0"/>
                      <w:marTop w:val="0"/>
                      <w:marBottom w:val="0"/>
                      <w:divBdr>
                        <w:top w:val="none" w:sz="0" w:space="0" w:color="auto"/>
                        <w:left w:val="none" w:sz="0" w:space="0" w:color="auto"/>
                        <w:bottom w:val="none" w:sz="0" w:space="0" w:color="auto"/>
                        <w:right w:val="none" w:sz="0" w:space="0" w:color="auto"/>
                      </w:divBdr>
                    </w:div>
                  </w:divsChild>
                </w:div>
                <w:div w:id="2074573982">
                  <w:marLeft w:val="0"/>
                  <w:marRight w:val="0"/>
                  <w:marTop w:val="0"/>
                  <w:marBottom w:val="0"/>
                  <w:divBdr>
                    <w:top w:val="none" w:sz="0" w:space="0" w:color="auto"/>
                    <w:left w:val="none" w:sz="0" w:space="0" w:color="auto"/>
                    <w:bottom w:val="none" w:sz="0" w:space="0" w:color="auto"/>
                    <w:right w:val="none" w:sz="0" w:space="0" w:color="auto"/>
                  </w:divBdr>
                  <w:divsChild>
                    <w:div w:id="1592810115">
                      <w:marLeft w:val="0"/>
                      <w:marRight w:val="0"/>
                      <w:marTop w:val="0"/>
                      <w:marBottom w:val="0"/>
                      <w:divBdr>
                        <w:top w:val="none" w:sz="0" w:space="0" w:color="auto"/>
                        <w:left w:val="none" w:sz="0" w:space="0" w:color="auto"/>
                        <w:bottom w:val="none" w:sz="0" w:space="0" w:color="auto"/>
                        <w:right w:val="none" w:sz="0" w:space="0" w:color="auto"/>
                      </w:divBdr>
                    </w:div>
                  </w:divsChild>
                </w:div>
                <w:div w:id="2130127807">
                  <w:marLeft w:val="0"/>
                  <w:marRight w:val="0"/>
                  <w:marTop w:val="0"/>
                  <w:marBottom w:val="0"/>
                  <w:divBdr>
                    <w:top w:val="none" w:sz="0" w:space="0" w:color="auto"/>
                    <w:left w:val="none" w:sz="0" w:space="0" w:color="auto"/>
                    <w:bottom w:val="none" w:sz="0" w:space="0" w:color="auto"/>
                    <w:right w:val="none" w:sz="0" w:space="0" w:color="auto"/>
                  </w:divBdr>
                  <w:divsChild>
                    <w:div w:id="3694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80705">
          <w:marLeft w:val="0"/>
          <w:marRight w:val="0"/>
          <w:marTop w:val="0"/>
          <w:marBottom w:val="0"/>
          <w:divBdr>
            <w:top w:val="none" w:sz="0" w:space="0" w:color="auto"/>
            <w:left w:val="none" w:sz="0" w:space="0" w:color="auto"/>
            <w:bottom w:val="none" w:sz="0" w:space="0" w:color="auto"/>
            <w:right w:val="none" w:sz="0" w:space="0" w:color="auto"/>
          </w:divBdr>
        </w:div>
      </w:divsChild>
    </w:div>
    <w:div w:id="598634695">
      <w:bodyDiv w:val="1"/>
      <w:marLeft w:val="0"/>
      <w:marRight w:val="0"/>
      <w:marTop w:val="0"/>
      <w:marBottom w:val="0"/>
      <w:divBdr>
        <w:top w:val="none" w:sz="0" w:space="0" w:color="auto"/>
        <w:left w:val="none" w:sz="0" w:space="0" w:color="auto"/>
        <w:bottom w:val="none" w:sz="0" w:space="0" w:color="auto"/>
        <w:right w:val="none" w:sz="0" w:space="0" w:color="auto"/>
      </w:divBdr>
    </w:div>
    <w:div w:id="601425163">
      <w:bodyDiv w:val="1"/>
      <w:marLeft w:val="0"/>
      <w:marRight w:val="0"/>
      <w:marTop w:val="0"/>
      <w:marBottom w:val="0"/>
      <w:divBdr>
        <w:top w:val="none" w:sz="0" w:space="0" w:color="auto"/>
        <w:left w:val="none" w:sz="0" w:space="0" w:color="auto"/>
        <w:bottom w:val="none" w:sz="0" w:space="0" w:color="auto"/>
        <w:right w:val="none" w:sz="0" w:space="0" w:color="auto"/>
      </w:divBdr>
    </w:div>
    <w:div w:id="601569454">
      <w:bodyDiv w:val="1"/>
      <w:marLeft w:val="0"/>
      <w:marRight w:val="0"/>
      <w:marTop w:val="0"/>
      <w:marBottom w:val="0"/>
      <w:divBdr>
        <w:top w:val="none" w:sz="0" w:space="0" w:color="auto"/>
        <w:left w:val="none" w:sz="0" w:space="0" w:color="auto"/>
        <w:bottom w:val="none" w:sz="0" w:space="0" w:color="auto"/>
        <w:right w:val="none" w:sz="0" w:space="0" w:color="auto"/>
      </w:divBdr>
    </w:div>
    <w:div w:id="615526574">
      <w:bodyDiv w:val="1"/>
      <w:marLeft w:val="0"/>
      <w:marRight w:val="0"/>
      <w:marTop w:val="0"/>
      <w:marBottom w:val="0"/>
      <w:divBdr>
        <w:top w:val="none" w:sz="0" w:space="0" w:color="auto"/>
        <w:left w:val="none" w:sz="0" w:space="0" w:color="auto"/>
        <w:bottom w:val="none" w:sz="0" w:space="0" w:color="auto"/>
        <w:right w:val="none" w:sz="0" w:space="0" w:color="auto"/>
      </w:divBdr>
    </w:div>
    <w:div w:id="616761939">
      <w:bodyDiv w:val="1"/>
      <w:marLeft w:val="0"/>
      <w:marRight w:val="0"/>
      <w:marTop w:val="0"/>
      <w:marBottom w:val="0"/>
      <w:divBdr>
        <w:top w:val="none" w:sz="0" w:space="0" w:color="auto"/>
        <w:left w:val="none" w:sz="0" w:space="0" w:color="auto"/>
        <w:bottom w:val="none" w:sz="0" w:space="0" w:color="auto"/>
        <w:right w:val="none" w:sz="0" w:space="0" w:color="auto"/>
      </w:divBdr>
      <w:divsChild>
        <w:div w:id="655958563">
          <w:marLeft w:val="0"/>
          <w:marRight w:val="0"/>
          <w:marTop w:val="0"/>
          <w:marBottom w:val="0"/>
          <w:divBdr>
            <w:top w:val="none" w:sz="0" w:space="0" w:color="auto"/>
            <w:left w:val="none" w:sz="0" w:space="0" w:color="auto"/>
            <w:bottom w:val="none" w:sz="0" w:space="0" w:color="auto"/>
            <w:right w:val="none" w:sz="0" w:space="0" w:color="auto"/>
          </w:divBdr>
          <w:divsChild>
            <w:div w:id="1925067707">
              <w:marLeft w:val="0"/>
              <w:marRight w:val="0"/>
              <w:marTop w:val="0"/>
              <w:marBottom w:val="0"/>
              <w:divBdr>
                <w:top w:val="none" w:sz="0" w:space="0" w:color="auto"/>
                <w:left w:val="none" w:sz="0" w:space="0" w:color="auto"/>
                <w:bottom w:val="none" w:sz="0" w:space="0" w:color="auto"/>
                <w:right w:val="none" w:sz="0" w:space="0" w:color="auto"/>
              </w:divBdr>
              <w:divsChild>
                <w:div w:id="1905990454">
                  <w:marLeft w:val="0"/>
                  <w:marRight w:val="0"/>
                  <w:marTop w:val="0"/>
                  <w:marBottom w:val="0"/>
                  <w:divBdr>
                    <w:top w:val="none" w:sz="0" w:space="0" w:color="auto"/>
                    <w:left w:val="none" w:sz="0" w:space="0" w:color="auto"/>
                    <w:bottom w:val="none" w:sz="0" w:space="0" w:color="auto"/>
                    <w:right w:val="none" w:sz="0" w:space="0" w:color="auto"/>
                  </w:divBdr>
                  <w:divsChild>
                    <w:div w:id="590700503">
                      <w:marLeft w:val="0"/>
                      <w:marRight w:val="0"/>
                      <w:marTop w:val="0"/>
                      <w:marBottom w:val="0"/>
                      <w:divBdr>
                        <w:top w:val="none" w:sz="0" w:space="0" w:color="auto"/>
                        <w:left w:val="none" w:sz="0" w:space="0" w:color="auto"/>
                        <w:bottom w:val="none" w:sz="0" w:space="0" w:color="auto"/>
                        <w:right w:val="none" w:sz="0" w:space="0" w:color="auto"/>
                      </w:divBdr>
                      <w:divsChild>
                        <w:div w:id="364840684">
                          <w:marLeft w:val="0"/>
                          <w:marRight w:val="0"/>
                          <w:marTop w:val="0"/>
                          <w:marBottom w:val="0"/>
                          <w:divBdr>
                            <w:top w:val="none" w:sz="0" w:space="0" w:color="auto"/>
                            <w:left w:val="none" w:sz="0" w:space="0" w:color="auto"/>
                            <w:bottom w:val="none" w:sz="0" w:space="0" w:color="auto"/>
                            <w:right w:val="none" w:sz="0" w:space="0" w:color="auto"/>
                          </w:divBdr>
                          <w:divsChild>
                            <w:div w:id="17610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841325">
      <w:bodyDiv w:val="1"/>
      <w:marLeft w:val="0"/>
      <w:marRight w:val="0"/>
      <w:marTop w:val="0"/>
      <w:marBottom w:val="0"/>
      <w:divBdr>
        <w:top w:val="none" w:sz="0" w:space="0" w:color="auto"/>
        <w:left w:val="none" w:sz="0" w:space="0" w:color="auto"/>
        <w:bottom w:val="none" w:sz="0" w:space="0" w:color="auto"/>
        <w:right w:val="none" w:sz="0" w:space="0" w:color="auto"/>
      </w:divBdr>
    </w:div>
    <w:div w:id="622158367">
      <w:bodyDiv w:val="1"/>
      <w:marLeft w:val="0"/>
      <w:marRight w:val="0"/>
      <w:marTop w:val="0"/>
      <w:marBottom w:val="0"/>
      <w:divBdr>
        <w:top w:val="none" w:sz="0" w:space="0" w:color="auto"/>
        <w:left w:val="none" w:sz="0" w:space="0" w:color="auto"/>
        <w:bottom w:val="none" w:sz="0" w:space="0" w:color="auto"/>
        <w:right w:val="none" w:sz="0" w:space="0" w:color="auto"/>
      </w:divBdr>
    </w:div>
    <w:div w:id="624428096">
      <w:bodyDiv w:val="1"/>
      <w:marLeft w:val="0"/>
      <w:marRight w:val="0"/>
      <w:marTop w:val="0"/>
      <w:marBottom w:val="0"/>
      <w:divBdr>
        <w:top w:val="none" w:sz="0" w:space="0" w:color="auto"/>
        <w:left w:val="none" w:sz="0" w:space="0" w:color="auto"/>
        <w:bottom w:val="none" w:sz="0" w:space="0" w:color="auto"/>
        <w:right w:val="none" w:sz="0" w:space="0" w:color="auto"/>
      </w:divBdr>
    </w:div>
    <w:div w:id="624583685">
      <w:bodyDiv w:val="1"/>
      <w:marLeft w:val="0"/>
      <w:marRight w:val="0"/>
      <w:marTop w:val="0"/>
      <w:marBottom w:val="0"/>
      <w:divBdr>
        <w:top w:val="none" w:sz="0" w:space="0" w:color="auto"/>
        <w:left w:val="none" w:sz="0" w:space="0" w:color="auto"/>
        <w:bottom w:val="none" w:sz="0" w:space="0" w:color="auto"/>
        <w:right w:val="none" w:sz="0" w:space="0" w:color="auto"/>
      </w:divBdr>
    </w:div>
    <w:div w:id="626207834">
      <w:bodyDiv w:val="1"/>
      <w:marLeft w:val="0"/>
      <w:marRight w:val="0"/>
      <w:marTop w:val="0"/>
      <w:marBottom w:val="0"/>
      <w:divBdr>
        <w:top w:val="none" w:sz="0" w:space="0" w:color="auto"/>
        <w:left w:val="none" w:sz="0" w:space="0" w:color="auto"/>
        <w:bottom w:val="none" w:sz="0" w:space="0" w:color="auto"/>
        <w:right w:val="none" w:sz="0" w:space="0" w:color="auto"/>
      </w:divBdr>
    </w:div>
    <w:div w:id="629478748">
      <w:bodyDiv w:val="1"/>
      <w:marLeft w:val="0"/>
      <w:marRight w:val="0"/>
      <w:marTop w:val="0"/>
      <w:marBottom w:val="0"/>
      <w:divBdr>
        <w:top w:val="none" w:sz="0" w:space="0" w:color="auto"/>
        <w:left w:val="none" w:sz="0" w:space="0" w:color="auto"/>
        <w:bottom w:val="none" w:sz="0" w:space="0" w:color="auto"/>
        <w:right w:val="none" w:sz="0" w:space="0" w:color="auto"/>
      </w:divBdr>
    </w:div>
    <w:div w:id="636255375">
      <w:bodyDiv w:val="1"/>
      <w:marLeft w:val="0"/>
      <w:marRight w:val="0"/>
      <w:marTop w:val="0"/>
      <w:marBottom w:val="0"/>
      <w:divBdr>
        <w:top w:val="none" w:sz="0" w:space="0" w:color="auto"/>
        <w:left w:val="none" w:sz="0" w:space="0" w:color="auto"/>
        <w:bottom w:val="none" w:sz="0" w:space="0" w:color="auto"/>
        <w:right w:val="none" w:sz="0" w:space="0" w:color="auto"/>
      </w:divBdr>
    </w:div>
    <w:div w:id="645549728">
      <w:bodyDiv w:val="1"/>
      <w:marLeft w:val="0"/>
      <w:marRight w:val="0"/>
      <w:marTop w:val="0"/>
      <w:marBottom w:val="0"/>
      <w:divBdr>
        <w:top w:val="none" w:sz="0" w:space="0" w:color="auto"/>
        <w:left w:val="none" w:sz="0" w:space="0" w:color="auto"/>
        <w:bottom w:val="none" w:sz="0" w:space="0" w:color="auto"/>
        <w:right w:val="none" w:sz="0" w:space="0" w:color="auto"/>
      </w:divBdr>
    </w:div>
    <w:div w:id="653797070">
      <w:bodyDiv w:val="1"/>
      <w:marLeft w:val="0"/>
      <w:marRight w:val="0"/>
      <w:marTop w:val="0"/>
      <w:marBottom w:val="0"/>
      <w:divBdr>
        <w:top w:val="none" w:sz="0" w:space="0" w:color="auto"/>
        <w:left w:val="none" w:sz="0" w:space="0" w:color="auto"/>
        <w:bottom w:val="none" w:sz="0" w:space="0" w:color="auto"/>
        <w:right w:val="none" w:sz="0" w:space="0" w:color="auto"/>
      </w:divBdr>
    </w:div>
    <w:div w:id="654184802">
      <w:bodyDiv w:val="1"/>
      <w:marLeft w:val="0"/>
      <w:marRight w:val="0"/>
      <w:marTop w:val="0"/>
      <w:marBottom w:val="0"/>
      <w:divBdr>
        <w:top w:val="none" w:sz="0" w:space="0" w:color="auto"/>
        <w:left w:val="none" w:sz="0" w:space="0" w:color="auto"/>
        <w:bottom w:val="none" w:sz="0" w:space="0" w:color="auto"/>
        <w:right w:val="none" w:sz="0" w:space="0" w:color="auto"/>
      </w:divBdr>
    </w:div>
    <w:div w:id="674579518">
      <w:bodyDiv w:val="1"/>
      <w:marLeft w:val="0"/>
      <w:marRight w:val="0"/>
      <w:marTop w:val="0"/>
      <w:marBottom w:val="0"/>
      <w:divBdr>
        <w:top w:val="none" w:sz="0" w:space="0" w:color="auto"/>
        <w:left w:val="none" w:sz="0" w:space="0" w:color="auto"/>
        <w:bottom w:val="none" w:sz="0" w:space="0" w:color="auto"/>
        <w:right w:val="none" w:sz="0" w:space="0" w:color="auto"/>
      </w:divBdr>
    </w:div>
    <w:div w:id="684402112">
      <w:bodyDiv w:val="1"/>
      <w:marLeft w:val="0"/>
      <w:marRight w:val="0"/>
      <w:marTop w:val="0"/>
      <w:marBottom w:val="0"/>
      <w:divBdr>
        <w:top w:val="none" w:sz="0" w:space="0" w:color="auto"/>
        <w:left w:val="none" w:sz="0" w:space="0" w:color="auto"/>
        <w:bottom w:val="none" w:sz="0" w:space="0" w:color="auto"/>
        <w:right w:val="none" w:sz="0" w:space="0" w:color="auto"/>
      </w:divBdr>
      <w:divsChild>
        <w:div w:id="8263992">
          <w:blockQuote w:val="1"/>
          <w:marLeft w:val="600"/>
          <w:marRight w:val="0"/>
          <w:marTop w:val="120"/>
          <w:marBottom w:val="120"/>
          <w:divBdr>
            <w:top w:val="none" w:sz="0" w:space="0" w:color="auto"/>
            <w:left w:val="none" w:sz="0" w:space="0" w:color="auto"/>
            <w:bottom w:val="none" w:sz="0" w:space="0" w:color="auto"/>
            <w:right w:val="none" w:sz="0" w:space="0" w:color="auto"/>
          </w:divBdr>
        </w:div>
        <w:div w:id="88429813">
          <w:blockQuote w:val="1"/>
          <w:marLeft w:val="600"/>
          <w:marRight w:val="0"/>
          <w:marTop w:val="120"/>
          <w:marBottom w:val="120"/>
          <w:divBdr>
            <w:top w:val="none" w:sz="0" w:space="0" w:color="auto"/>
            <w:left w:val="none" w:sz="0" w:space="0" w:color="auto"/>
            <w:bottom w:val="none" w:sz="0" w:space="0" w:color="auto"/>
            <w:right w:val="none" w:sz="0" w:space="0" w:color="auto"/>
          </w:divBdr>
        </w:div>
        <w:div w:id="158666633">
          <w:blockQuote w:val="1"/>
          <w:marLeft w:val="600"/>
          <w:marRight w:val="0"/>
          <w:marTop w:val="120"/>
          <w:marBottom w:val="120"/>
          <w:divBdr>
            <w:top w:val="none" w:sz="0" w:space="0" w:color="auto"/>
            <w:left w:val="none" w:sz="0" w:space="0" w:color="auto"/>
            <w:bottom w:val="none" w:sz="0" w:space="0" w:color="auto"/>
            <w:right w:val="none" w:sz="0" w:space="0" w:color="auto"/>
          </w:divBdr>
        </w:div>
        <w:div w:id="752241337">
          <w:blockQuote w:val="1"/>
          <w:marLeft w:val="600"/>
          <w:marRight w:val="0"/>
          <w:marTop w:val="120"/>
          <w:marBottom w:val="120"/>
          <w:divBdr>
            <w:top w:val="none" w:sz="0" w:space="0" w:color="auto"/>
            <w:left w:val="none" w:sz="0" w:space="0" w:color="auto"/>
            <w:bottom w:val="none" w:sz="0" w:space="0" w:color="auto"/>
            <w:right w:val="none" w:sz="0" w:space="0" w:color="auto"/>
          </w:divBdr>
        </w:div>
        <w:div w:id="1060325495">
          <w:blockQuote w:val="1"/>
          <w:marLeft w:val="600"/>
          <w:marRight w:val="0"/>
          <w:marTop w:val="120"/>
          <w:marBottom w:val="120"/>
          <w:divBdr>
            <w:top w:val="none" w:sz="0" w:space="0" w:color="auto"/>
            <w:left w:val="none" w:sz="0" w:space="0" w:color="auto"/>
            <w:bottom w:val="none" w:sz="0" w:space="0" w:color="auto"/>
            <w:right w:val="none" w:sz="0" w:space="0" w:color="auto"/>
          </w:divBdr>
        </w:div>
        <w:div w:id="1243830688">
          <w:blockQuote w:val="1"/>
          <w:marLeft w:val="600"/>
          <w:marRight w:val="0"/>
          <w:marTop w:val="120"/>
          <w:marBottom w:val="120"/>
          <w:divBdr>
            <w:top w:val="none" w:sz="0" w:space="0" w:color="auto"/>
            <w:left w:val="none" w:sz="0" w:space="0" w:color="auto"/>
            <w:bottom w:val="none" w:sz="0" w:space="0" w:color="auto"/>
            <w:right w:val="none" w:sz="0" w:space="0" w:color="auto"/>
          </w:divBdr>
        </w:div>
        <w:div w:id="1881749081">
          <w:blockQuote w:val="1"/>
          <w:marLeft w:val="600"/>
          <w:marRight w:val="0"/>
          <w:marTop w:val="120"/>
          <w:marBottom w:val="120"/>
          <w:divBdr>
            <w:top w:val="none" w:sz="0" w:space="0" w:color="auto"/>
            <w:left w:val="none" w:sz="0" w:space="0" w:color="auto"/>
            <w:bottom w:val="none" w:sz="0" w:space="0" w:color="auto"/>
            <w:right w:val="none" w:sz="0" w:space="0" w:color="auto"/>
          </w:divBdr>
        </w:div>
        <w:div w:id="201969309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687482504">
      <w:bodyDiv w:val="1"/>
      <w:marLeft w:val="0"/>
      <w:marRight w:val="0"/>
      <w:marTop w:val="0"/>
      <w:marBottom w:val="0"/>
      <w:divBdr>
        <w:top w:val="none" w:sz="0" w:space="0" w:color="auto"/>
        <w:left w:val="none" w:sz="0" w:space="0" w:color="auto"/>
        <w:bottom w:val="none" w:sz="0" w:space="0" w:color="auto"/>
        <w:right w:val="none" w:sz="0" w:space="0" w:color="auto"/>
      </w:divBdr>
      <w:divsChild>
        <w:div w:id="1560021998">
          <w:marLeft w:val="0"/>
          <w:marRight w:val="0"/>
          <w:marTop w:val="0"/>
          <w:marBottom w:val="0"/>
          <w:divBdr>
            <w:top w:val="none" w:sz="0" w:space="0" w:color="auto"/>
            <w:left w:val="none" w:sz="0" w:space="0" w:color="auto"/>
            <w:bottom w:val="none" w:sz="0" w:space="0" w:color="auto"/>
            <w:right w:val="none" w:sz="0" w:space="0" w:color="auto"/>
          </w:divBdr>
          <w:divsChild>
            <w:div w:id="478309342">
              <w:marLeft w:val="0"/>
              <w:marRight w:val="0"/>
              <w:marTop w:val="0"/>
              <w:marBottom w:val="0"/>
              <w:divBdr>
                <w:top w:val="none" w:sz="0" w:space="0" w:color="auto"/>
                <w:left w:val="none" w:sz="0" w:space="0" w:color="auto"/>
                <w:bottom w:val="none" w:sz="0" w:space="0" w:color="auto"/>
                <w:right w:val="none" w:sz="0" w:space="0" w:color="auto"/>
              </w:divBdr>
              <w:divsChild>
                <w:div w:id="109012806">
                  <w:marLeft w:val="0"/>
                  <w:marRight w:val="0"/>
                  <w:marTop w:val="0"/>
                  <w:marBottom w:val="0"/>
                  <w:divBdr>
                    <w:top w:val="none" w:sz="0" w:space="0" w:color="auto"/>
                    <w:left w:val="none" w:sz="0" w:space="0" w:color="auto"/>
                    <w:bottom w:val="none" w:sz="0" w:space="0" w:color="auto"/>
                    <w:right w:val="none" w:sz="0" w:space="0" w:color="auto"/>
                  </w:divBdr>
                  <w:divsChild>
                    <w:div w:id="1375812162">
                      <w:marLeft w:val="0"/>
                      <w:marRight w:val="0"/>
                      <w:marTop w:val="0"/>
                      <w:marBottom w:val="0"/>
                      <w:divBdr>
                        <w:top w:val="none" w:sz="0" w:space="0" w:color="auto"/>
                        <w:left w:val="none" w:sz="0" w:space="0" w:color="auto"/>
                        <w:bottom w:val="none" w:sz="0" w:space="0" w:color="auto"/>
                        <w:right w:val="none" w:sz="0" w:space="0" w:color="auto"/>
                      </w:divBdr>
                      <w:divsChild>
                        <w:div w:id="1691102637">
                          <w:marLeft w:val="0"/>
                          <w:marRight w:val="0"/>
                          <w:marTop w:val="0"/>
                          <w:marBottom w:val="0"/>
                          <w:divBdr>
                            <w:top w:val="none" w:sz="0" w:space="0" w:color="auto"/>
                            <w:left w:val="none" w:sz="0" w:space="0" w:color="auto"/>
                            <w:bottom w:val="none" w:sz="0" w:space="0" w:color="auto"/>
                            <w:right w:val="none" w:sz="0" w:space="0" w:color="auto"/>
                          </w:divBdr>
                          <w:divsChild>
                            <w:div w:id="27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98858">
      <w:bodyDiv w:val="1"/>
      <w:marLeft w:val="0"/>
      <w:marRight w:val="0"/>
      <w:marTop w:val="0"/>
      <w:marBottom w:val="0"/>
      <w:divBdr>
        <w:top w:val="none" w:sz="0" w:space="0" w:color="auto"/>
        <w:left w:val="none" w:sz="0" w:space="0" w:color="auto"/>
        <w:bottom w:val="none" w:sz="0" w:space="0" w:color="auto"/>
        <w:right w:val="none" w:sz="0" w:space="0" w:color="auto"/>
      </w:divBdr>
    </w:div>
    <w:div w:id="731081443">
      <w:bodyDiv w:val="1"/>
      <w:marLeft w:val="0"/>
      <w:marRight w:val="0"/>
      <w:marTop w:val="0"/>
      <w:marBottom w:val="0"/>
      <w:divBdr>
        <w:top w:val="none" w:sz="0" w:space="0" w:color="auto"/>
        <w:left w:val="none" w:sz="0" w:space="0" w:color="auto"/>
        <w:bottom w:val="none" w:sz="0" w:space="0" w:color="auto"/>
        <w:right w:val="none" w:sz="0" w:space="0" w:color="auto"/>
      </w:divBdr>
      <w:divsChild>
        <w:div w:id="1941835084">
          <w:marLeft w:val="0"/>
          <w:marRight w:val="0"/>
          <w:marTop w:val="0"/>
          <w:marBottom w:val="0"/>
          <w:divBdr>
            <w:top w:val="none" w:sz="0" w:space="0" w:color="auto"/>
            <w:left w:val="none" w:sz="0" w:space="0" w:color="auto"/>
            <w:bottom w:val="none" w:sz="0" w:space="0" w:color="auto"/>
            <w:right w:val="none" w:sz="0" w:space="0" w:color="auto"/>
          </w:divBdr>
          <w:divsChild>
            <w:div w:id="1357316379">
              <w:marLeft w:val="0"/>
              <w:marRight w:val="0"/>
              <w:marTop w:val="0"/>
              <w:marBottom w:val="0"/>
              <w:divBdr>
                <w:top w:val="none" w:sz="0" w:space="0" w:color="auto"/>
                <w:left w:val="none" w:sz="0" w:space="0" w:color="auto"/>
                <w:bottom w:val="none" w:sz="0" w:space="0" w:color="auto"/>
                <w:right w:val="none" w:sz="0" w:space="0" w:color="auto"/>
              </w:divBdr>
              <w:divsChild>
                <w:div w:id="1343044567">
                  <w:marLeft w:val="0"/>
                  <w:marRight w:val="0"/>
                  <w:marTop w:val="0"/>
                  <w:marBottom w:val="0"/>
                  <w:divBdr>
                    <w:top w:val="none" w:sz="0" w:space="0" w:color="auto"/>
                    <w:left w:val="none" w:sz="0" w:space="0" w:color="auto"/>
                    <w:bottom w:val="none" w:sz="0" w:space="0" w:color="auto"/>
                    <w:right w:val="none" w:sz="0" w:space="0" w:color="auto"/>
                  </w:divBdr>
                  <w:divsChild>
                    <w:div w:id="706219648">
                      <w:marLeft w:val="0"/>
                      <w:marRight w:val="0"/>
                      <w:marTop w:val="0"/>
                      <w:marBottom w:val="0"/>
                      <w:divBdr>
                        <w:top w:val="none" w:sz="0" w:space="0" w:color="auto"/>
                        <w:left w:val="none" w:sz="0" w:space="0" w:color="auto"/>
                        <w:bottom w:val="none" w:sz="0" w:space="0" w:color="auto"/>
                        <w:right w:val="none" w:sz="0" w:space="0" w:color="auto"/>
                      </w:divBdr>
                      <w:divsChild>
                        <w:div w:id="1305352051">
                          <w:marLeft w:val="0"/>
                          <w:marRight w:val="0"/>
                          <w:marTop w:val="0"/>
                          <w:marBottom w:val="0"/>
                          <w:divBdr>
                            <w:top w:val="none" w:sz="0" w:space="0" w:color="auto"/>
                            <w:left w:val="none" w:sz="0" w:space="0" w:color="auto"/>
                            <w:bottom w:val="none" w:sz="0" w:space="0" w:color="auto"/>
                            <w:right w:val="none" w:sz="0" w:space="0" w:color="auto"/>
                          </w:divBdr>
                          <w:divsChild>
                            <w:div w:id="20248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602926">
      <w:bodyDiv w:val="1"/>
      <w:marLeft w:val="0"/>
      <w:marRight w:val="0"/>
      <w:marTop w:val="0"/>
      <w:marBottom w:val="0"/>
      <w:divBdr>
        <w:top w:val="none" w:sz="0" w:space="0" w:color="auto"/>
        <w:left w:val="none" w:sz="0" w:space="0" w:color="auto"/>
        <w:bottom w:val="none" w:sz="0" w:space="0" w:color="auto"/>
        <w:right w:val="none" w:sz="0" w:space="0" w:color="auto"/>
      </w:divBdr>
    </w:div>
    <w:div w:id="780298092">
      <w:bodyDiv w:val="1"/>
      <w:marLeft w:val="0"/>
      <w:marRight w:val="0"/>
      <w:marTop w:val="0"/>
      <w:marBottom w:val="0"/>
      <w:divBdr>
        <w:top w:val="none" w:sz="0" w:space="0" w:color="auto"/>
        <w:left w:val="none" w:sz="0" w:space="0" w:color="auto"/>
        <w:bottom w:val="none" w:sz="0" w:space="0" w:color="auto"/>
        <w:right w:val="none" w:sz="0" w:space="0" w:color="auto"/>
      </w:divBdr>
    </w:div>
    <w:div w:id="792678888">
      <w:bodyDiv w:val="1"/>
      <w:marLeft w:val="0"/>
      <w:marRight w:val="0"/>
      <w:marTop w:val="0"/>
      <w:marBottom w:val="0"/>
      <w:divBdr>
        <w:top w:val="none" w:sz="0" w:space="0" w:color="auto"/>
        <w:left w:val="none" w:sz="0" w:space="0" w:color="auto"/>
        <w:bottom w:val="none" w:sz="0" w:space="0" w:color="auto"/>
        <w:right w:val="none" w:sz="0" w:space="0" w:color="auto"/>
      </w:divBdr>
    </w:div>
    <w:div w:id="793862616">
      <w:bodyDiv w:val="1"/>
      <w:marLeft w:val="0"/>
      <w:marRight w:val="0"/>
      <w:marTop w:val="0"/>
      <w:marBottom w:val="0"/>
      <w:divBdr>
        <w:top w:val="none" w:sz="0" w:space="0" w:color="auto"/>
        <w:left w:val="none" w:sz="0" w:space="0" w:color="auto"/>
        <w:bottom w:val="none" w:sz="0" w:space="0" w:color="auto"/>
        <w:right w:val="none" w:sz="0" w:space="0" w:color="auto"/>
      </w:divBdr>
    </w:div>
    <w:div w:id="795411434">
      <w:bodyDiv w:val="1"/>
      <w:marLeft w:val="0"/>
      <w:marRight w:val="0"/>
      <w:marTop w:val="0"/>
      <w:marBottom w:val="0"/>
      <w:divBdr>
        <w:top w:val="none" w:sz="0" w:space="0" w:color="auto"/>
        <w:left w:val="none" w:sz="0" w:space="0" w:color="auto"/>
        <w:bottom w:val="none" w:sz="0" w:space="0" w:color="auto"/>
        <w:right w:val="none" w:sz="0" w:space="0" w:color="auto"/>
      </w:divBdr>
    </w:div>
    <w:div w:id="797991013">
      <w:bodyDiv w:val="1"/>
      <w:marLeft w:val="0"/>
      <w:marRight w:val="0"/>
      <w:marTop w:val="0"/>
      <w:marBottom w:val="0"/>
      <w:divBdr>
        <w:top w:val="none" w:sz="0" w:space="0" w:color="auto"/>
        <w:left w:val="none" w:sz="0" w:space="0" w:color="auto"/>
        <w:bottom w:val="none" w:sz="0" w:space="0" w:color="auto"/>
        <w:right w:val="none" w:sz="0" w:space="0" w:color="auto"/>
      </w:divBdr>
    </w:div>
    <w:div w:id="799419275">
      <w:bodyDiv w:val="1"/>
      <w:marLeft w:val="0"/>
      <w:marRight w:val="0"/>
      <w:marTop w:val="0"/>
      <w:marBottom w:val="0"/>
      <w:divBdr>
        <w:top w:val="none" w:sz="0" w:space="0" w:color="auto"/>
        <w:left w:val="none" w:sz="0" w:space="0" w:color="auto"/>
        <w:bottom w:val="none" w:sz="0" w:space="0" w:color="auto"/>
        <w:right w:val="none" w:sz="0" w:space="0" w:color="auto"/>
      </w:divBdr>
    </w:div>
    <w:div w:id="803040657">
      <w:bodyDiv w:val="1"/>
      <w:marLeft w:val="0"/>
      <w:marRight w:val="0"/>
      <w:marTop w:val="0"/>
      <w:marBottom w:val="0"/>
      <w:divBdr>
        <w:top w:val="none" w:sz="0" w:space="0" w:color="auto"/>
        <w:left w:val="none" w:sz="0" w:space="0" w:color="auto"/>
        <w:bottom w:val="none" w:sz="0" w:space="0" w:color="auto"/>
        <w:right w:val="none" w:sz="0" w:space="0" w:color="auto"/>
      </w:divBdr>
    </w:div>
    <w:div w:id="804658362">
      <w:bodyDiv w:val="1"/>
      <w:marLeft w:val="0"/>
      <w:marRight w:val="0"/>
      <w:marTop w:val="0"/>
      <w:marBottom w:val="0"/>
      <w:divBdr>
        <w:top w:val="none" w:sz="0" w:space="0" w:color="auto"/>
        <w:left w:val="none" w:sz="0" w:space="0" w:color="auto"/>
        <w:bottom w:val="none" w:sz="0" w:space="0" w:color="auto"/>
        <w:right w:val="none" w:sz="0" w:space="0" w:color="auto"/>
      </w:divBdr>
    </w:div>
    <w:div w:id="821847125">
      <w:bodyDiv w:val="1"/>
      <w:marLeft w:val="0"/>
      <w:marRight w:val="0"/>
      <w:marTop w:val="0"/>
      <w:marBottom w:val="0"/>
      <w:divBdr>
        <w:top w:val="none" w:sz="0" w:space="0" w:color="auto"/>
        <w:left w:val="none" w:sz="0" w:space="0" w:color="auto"/>
        <w:bottom w:val="none" w:sz="0" w:space="0" w:color="auto"/>
        <w:right w:val="none" w:sz="0" w:space="0" w:color="auto"/>
      </w:divBdr>
    </w:div>
    <w:div w:id="834690574">
      <w:bodyDiv w:val="1"/>
      <w:marLeft w:val="0"/>
      <w:marRight w:val="0"/>
      <w:marTop w:val="0"/>
      <w:marBottom w:val="0"/>
      <w:divBdr>
        <w:top w:val="none" w:sz="0" w:space="0" w:color="auto"/>
        <w:left w:val="none" w:sz="0" w:space="0" w:color="auto"/>
        <w:bottom w:val="none" w:sz="0" w:space="0" w:color="auto"/>
        <w:right w:val="none" w:sz="0" w:space="0" w:color="auto"/>
      </w:divBdr>
      <w:divsChild>
        <w:div w:id="1143352618">
          <w:marLeft w:val="0"/>
          <w:marRight w:val="0"/>
          <w:marTop w:val="0"/>
          <w:marBottom w:val="0"/>
          <w:divBdr>
            <w:top w:val="none" w:sz="0" w:space="0" w:color="auto"/>
            <w:left w:val="none" w:sz="0" w:space="0" w:color="auto"/>
            <w:bottom w:val="none" w:sz="0" w:space="0" w:color="auto"/>
            <w:right w:val="none" w:sz="0" w:space="0" w:color="auto"/>
          </w:divBdr>
          <w:divsChild>
            <w:div w:id="1488863452">
              <w:marLeft w:val="0"/>
              <w:marRight w:val="0"/>
              <w:marTop w:val="0"/>
              <w:marBottom w:val="0"/>
              <w:divBdr>
                <w:top w:val="none" w:sz="0" w:space="0" w:color="auto"/>
                <w:left w:val="none" w:sz="0" w:space="0" w:color="auto"/>
                <w:bottom w:val="none" w:sz="0" w:space="0" w:color="auto"/>
                <w:right w:val="none" w:sz="0" w:space="0" w:color="auto"/>
              </w:divBdr>
              <w:divsChild>
                <w:div w:id="1640652929">
                  <w:marLeft w:val="0"/>
                  <w:marRight w:val="0"/>
                  <w:marTop w:val="0"/>
                  <w:marBottom w:val="0"/>
                  <w:divBdr>
                    <w:top w:val="none" w:sz="0" w:space="0" w:color="auto"/>
                    <w:left w:val="none" w:sz="0" w:space="0" w:color="auto"/>
                    <w:bottom w:val="none" w:sz="0" w:space="0" w:color="auto"/>
                    <w:right w:val="none" w:sz="0" w:space="0" w:color="auto"/>
                  </w:divBdr>
                  <w:divsChild>
                    <w:div w:id="1238323148">
                      <w:marLeft w:val="0"/>
                      <w:marRight w:val="0"/>
                      <w:marTop w:val="0"/>
                      <w:marBottom w:val="0"/>
                      <w:divBdr>
                        <w:top w:val="none" w:sz="0" w:space="0" w:color="auto"/>
                        <w:left w:val="none" w:sz="0" w:space="0" w:color="auto"/>
                        <w:bottom w:val="none" w:sz="0" w:space="0" w:color="auto"/>
                        <w:right w:val="none" w:sz="0" w:space="0" w:color="auto"/>
                      </w:divBdr>
                      <w:divsChild>
                        <w:div w:id="1607541948">
                          <w:marLeft w:val="0"/>
                          <w:marRight w:val="0"/>
                          <w:marTop w:val="0"/>
                          <w:marBottom w:val="0"/>
                          <w:divBdr>
                            <w:top w:val="none" w:sz="0" w:space="0" w:color="auto"/>
                            <w:left w:val="none" w:sz="0" w:space="0" w:color="auto"/>
                            <w:bottom w:val="none" w:sz="0" w:space="0" w:color="auto"/>
                            <w:right w:val="none" w:sz="0" w:space="0" w:color="auto"/>
                          </w:divBdr>
                          <w:divsChild>
                            <w:div w:id="99445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807501">
      <w:bodyDiv w:val="1"/>
      <w:marLeft w:val="0"/>
      <w:marRight w:val="0"/>
      <w:marTop w:val="0"/>
      <w:marBottom w:val="0"/>
      <w:divBdr>
        <w:top w:val="none" w:sz="0" w:space="0" w:color="auto"/>
        <w:left w:val="none" w:sz="0" w:space="0" w:color="auto"/>
        <w:bottom w:val="none" w:sz="0" w:space="0" w:color="auto"/>
        <w:right w:val="none" w:sz="0" w:space="0" w:color="auto"/>
      </w:divBdr>
    </w:div>
    <w:div w:id="841163460">
      <w:bodyDiv w:val="1"/>
      <w:marLeft w:val="0"/>
      <w:marRight w:val="0"/>
      <w:marTop w:val="0"/>
      <w:marBottom w:val="0"/>
      <w:divBdr>
        <w:top w:val="none" w:sz="0" w:space="0" w:color="auto"/>
        <w:left w:val="none" w:sz="0" w:space="0" w:color="auto"/>
        <w:bottom w:val="none" w:sz="0" w:space="0" w:color="auto"/>
        <w:right w:val="none" w:sz="0" w:space="0" w:color="auto"/>
      </w:divBdr>
    </w:div>
    <w:div w:id="861019677">
      <w:bodyDiv w:val="1"/>
      <w:marLeft w:val="0"/>
      <w:marRight w:val="0"/>
      <w:marTop w:val="0"/>
      <w:marBottom w:val="0"/>
      <w:divBdr>
        <w:top w:val="none" w:sz="0" w:space="0" w:color="auto"/>
        <w:left w:val="none" w:sz="0" w:space="0" w:color="auto"/>
        <w:bottom w:val="none" w:sz="0" w:space="0" w:color="auto"/>
        <w:right w:val="none" w:sz="0" w:space="0" w:color="auto"/>
      </w:divBdr>
    </w:div>
    <w:div w:id="869416086">
      <w:bodyDiv w:val="1"/>
      <w:marLeft w:val="0"/>
      <w:marRight w:val="0"/>
      <w:marTop w:val="0"/>
      <w:marBottom w:val="0"/>
      <w:divBdr>
        <w:top w:val="none" w:sz="0" w:space="0" w:color="auto"/>
        <w:left w:val="none" w:sz="0" w:space="0" w:color="auto"/>
        <w:bottom w:val="none" w:sz="0" w:space="0" w:color="auto"/>
        <w:right w:val="none" w:sz="0" w:space="0" w:color="auto"/>
      </w:divBdr>
    </w:div>
    <w:div w:id="879586760">
      <w:bodyDiv w:val="1"/>
      <w:marLeft w:val="0"/>
      <w:marRight w:val="0"/>
      <w:marTop w:val="0"/>
      <w:marBottom w:val="0"/>
      <w:divBdr>
        <w:top w:val="none" w:sz="0" w:space="0" w:color="auto"/>
        <w:left w:val="none" w:sz="0" w:space="0" w:color="auto"/>
        <w:bottom w:val="none" w:sz="0" w:space="0" w:color="auto"/>
        <w:right w:val="none" w:sz="0" w:space="0" w:color="auto"/>
      </w:divBdr>
    </w:div>
    <w:div w:id="881526618">
      <w:bodyDiv w:val="1"/>
      <w:marLeft w:val="0"/>
      <w:marRight w:val="0"/>
      <w:marTop w:val="0"/>
      <w:marBottom w:val="0"/>
      <w:divBdr>
        <w:top w:val="none" w:sz="0" w:space="0" w:color="auto"/>
        <w:left w:val="none" w:sz="0" w:space="0" w:color="auto"/>
        <w:bottom w:val="none" w:sz="0" w:space="0" w:color="auto"/>
        <w:right w:val="none" w:sz="0" w:space="0" w:color="auto"/>
      </w:divBdr>
    </w:div>
    <w:div w:id="884298826">
      <w:bodyDiv w:val="1"/>
      <w:marLeft w:val="0"/>
      <w:marRight w:val="0"/>
      <w:marTop w:val="0"/>
      <w:marBottom w:val="0"/>
      <w:divBdr>
        <w:top w:val="none" w:sz="0" w:space="0" w:color="auto"/>
        <w:left w:val="none" w:sz="0" w:space="0" w:color="auto"/>
        <w:bottom w:val="none" w:sz="0" w:space="0" w:color="auto"/>
        <w:right w:val="none" w:sz="0" w:space="0" w:color="auto"/>
      </w:divBdr>
    </w:div>
    <w:div w:id="894780899">
      <w:bodyDiv w:val="1"/>
      <w:marLeft w:val="0"/>
      <w:marRight w:val="0"/>
      <w:marTop w:val="0"/>
      <w:marBottom w:val="0"/>
      <w:divBdr>
        <w:top w:val="none" w:sz="0" w:space="0" w:color="auto"/>
        <w:left w:val="none" w:sz="0" w:space="0" w:color="auto"/>
        <w:bottom w:val="none" w:sz="0" w:space="0" w:color="auto"/>
        <w:right w:val="none" w:sz="0" w:space="0" w:color="auto"/>
      </w:divBdr>
    </w:div>
    <w:div w:id="901910067">
      <w:bodyDiv w:val="1"/>
      <w:marLeft w:val="0"/>
      <w:marRight w:val="0"/>
      <w:marTop w:val="0"/>
      <w:marBottom w:val="0"/>
      <w:divBdr>
        <w:top w:val="none" w:sz="0" w:space="0" w:color="auto"/>
        <w:left w:val="none" w:sz="0" w:space="0" w:color="auto"/>
        <w:bottom w:val="none" w:sz="0" w:space="0" w:color="auto"/>
        <w:right w:val="none" w:sz="0" w:space="0" w:color="auto"/>
      </w:divBdr>
    </w:div>
    <w:div w:id="920060490">
      <w:bodyDiv w:val="1"/>
      <w:marLeft w:val="0"/>
      <w:marRight w:val="0"/>
      <w:marTop w:val="0"/>
      <w:marBottom w:val="0"/>
      <w:divBdr>
        <w:top w:val="none" w:sz="0" w:space="0" w:color="auto"/>
        <w:left w:val="none" w:sz="0" w:space="0" w:color="auto"/>
        <w:bottom w:val="none" w:sz="0" w:space="0" w:color="auto"/>
        <w:right w:val="none" w:sz="0" w:space="0" w:color="auto"/>
      </w:divBdr>
      <w:divsChild>
        <w:div w:id="1311864825">
          <w:marLeft w:val="0"/>
          <w:marRight w:val="0"/>
          <w:marTop w:val="0"/>
          <w:marBottom w:val="0"/>
          <w:divBdr>
            <w:top w:val="none" w:sz="0" w:space="0" w:color="auto"/>
            <w:left w:val="none" w:sz="0" w:space="0" w:color="auto"/>
            <w:bottom w:val="none" w:sz="0" w:space="0" w:color="auto"/>
            <w:right w:val="none" w:sz="0" w:space="0" w:color="auto"/>
          </w:divBdr>
          <w:divsChild>
            <w:div w:id="580411097">
              <w:marLeft w:val="0"/>
              <w:marRight w:val="0"/>
              <w:marTop w:val="0"/>
              <w:marBottom w:val="0"/>
              <w:divBdr>
                <w:top w:val="none" w:sz="0" w:space="0" w:color="auto"/>
                <w:left w:val="none" w:sz="0" w:space="0" w:color="auto"/>
                <w:bottom w:val="none" w:sz="0" w:space="0" w:color="auto"/>
                <w:right w:val="none" w:sz="0" w:space="0" w:color="auto"/>
              </w:divBdr>
              <w:divsChild>
                <w:div w:id="1677926003">
                  <w:marLeft w:val="0"/>
                  <w:marRight w:val="0"/>
                  <w:marTop w:val="0"/>
                  <w:marBottom w:val="0"/>
                  <w:divBdr>
                    <w:top w:val="none" w:sz="0" w:space="0" w:color="auto"/>
                    <w:left w:val="none" w:sz="0" w:space="0" w:color="auto"/>
                    <w:bottom w:val="none" w:sz="0" w:space="0" w:color="auto"/>
                    <w:right w:val="none" w:sz="0" w:space="0" w:color="auto"/>
                  </w:divBdr>
                  <w:divsChild>
                    <w:div w:id="1401169808">
                      <w:marLeft w:val="0"/>
                      <w:marRight w:val="0"/>
                      <w:marTop w:val="0"/>
                      <w:marBottom w:val="0"/>
                      <w:divBdr>
                        <w:top w:val="none" w:sz="0" w:space="0" w:color="auto"/>
                        <w:left w:val="none" w:sz="0" w:space="0" w:color="auto"/>
                        <w:bottom w:val="none" w:sz="0" w:space="0" w:color="auto"/>
                        <w:right w:val="none" w:sz="0" w:space="0" w:color="auto"/>
                      </w:divBdr>
                      <w:divsChild>
                        <w:div w:id="219053597">
                          <w:marLeft w:val="0"/>
                          <w:marRight w:val="0"/>
                          <w:marTop w:val="0"/>
                          <w:marBottom w:val="0"/>
                          <w:divBdr>
                            <w:top w:val="none" w:sz="0" w:space="0" w:color="auto"/>
                            <w:left w:val="none" w:sz="0" w:space="0" w:color="auto"/>
                            <w:bottom w:val="none" w:sz="0" w:space="0" w:color="auto"/>
                            <w:right w:val="none" w:sz="0" w:space="0" w:color="auto"/>
                          </w:divBdr>
                          <w:divsChild>
                            <w:div w:id="1139885201">
                              <w:marLeft w:val="0"/>
                              <w:marRight w:val="0"/>
                              <w:marTop w:val="0"/>
                              <w:marBottom w:val="0"/>
                              <w:divBdr>
                                <w:top w:val="none" w:sz="0" w:space="0" w:color="auto"/>
                                <w:left w:val="none" w:sz="0" w:space="0" w:color="auto"/>
                                <w:bottom w:val="none" w:sz="0" w:space="0" w:color="auto"/>
                                <w:right w:val="none" w:sz="0" w:space="0" w:color="auto"/>
                              </w:divBdr>
                              <w:divsChild>
                                <w:div w:id="1658146983">
                                  <w:marLeft w:val="0"/>
                                  <w:marRight w:val="0"/>
                                  <w:marTop w:val="0"/>
                                  <w:marBottom w:val="0"/>
                                  <w:divBdr>
                                    <w:top w:val="none" w:sz="0" w:space="0" w:color="auto"/>
                                    <w:left w:val="none" w:sz="0" w:space="0" w:color="auto"/>
                                    <w:bottom w:val="none" w:sz="0" w:space="0" w:color="auto"/>
                                    <w:right w:val="none" w:sz="0" w:space="0" w:color="auto"/>
                                  </w:divBdr>
                                  <w:divsChild>
                                    <w:div w:id="43132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588789">
      <w:bodyDiv w:val="1"/>
      <w:marLeft w:val="0"/>
      <w:marRight w:val="0"/>
      <w:marTop w:val="0"/>
      <w:marBottom w:val="0"/>
      <w:divBdr>
        <w:top w:val="none" w:sz="0" w:space="0" w:color="auto"/>
        <w:left w:val="none" w:sz="0" w:space="0" w:color="auto"/>
        <w:bottom w:val="none" w:sz="0" w:space="0" w:color="auto"/>
        <w:right w:val="none" w:sz="0" w:space="0" w:color="auto"/>
      </w:divBdr>
    </w:div>
    <w:div w:id="935210292">
      <w:bodyDiv w:val="1"/>
      <w:marLeft w:val="0"/>
      <w:marRight w:val="0"/>
      <w:marTop w:val="0"/>
      <w:marBottom w:val="0"/>
      <w:divBdr>
        <w:top w:val="none" w:sz="0" w:space="0" w:color="auto"/>
        <w:left w:val="none" w:sz="0" w:space="0" w:color="auto"/>
        <w:bottom w:val="none" w:sz="0" w:space="0" w:color="auto"/>
        <w:right w:val="none" w:sz="0" w:space="0" w:color="auto"/>
      </w:divBdr>
    </w:div>
    <w:div w:id="941915004">
      <w:bodyDiv w:val="1"/>
      <w:marLeft w:val="0"/>
      <w:marRight w:val="0"/>
      <w:marTop w:val="0"/>
      <w:marBottom w:val="0"/>
      <w:divBdr>
        <w:top w:val="none" w:sz="0" w:space="0" w:color="auto"/>
        <w:left w:val="none" w:sz="0" w:space="0" w:color="auto"/>
        <w:bottom w:val="none" w:sz="0" w:space="0" w:color="auto"/>
        <w:right w:val="none" w:sz="0" w:space="0" w:color="auto"/>
      </w:divBdr>
    </w:div>
    <w:div w:id="944574614">
      <w:bodyDiv w:val="1"/>
      <w:marLeft w:val="0"/>
      <w:marRight w:val="0"/>
      <w:marTop w:val="0"/>
      <w:marBottom w:val="0"/>
      <w:divBdr>
        <w:top w:val="none" w:sz="0" w:space="0" w:color="auto"/>
        <w:left w:val="none" w:sz="0" w:space="0" w:color="auto"/>
        <w:bottom w:val="none" w:sz="0" w:space="0" w:color="auto"/>
        <w:right w:val="none" w:sz="0" w:space="0" w:color="auto"/>
      </w:divBdr>
      <w:divsChild>
        <w:div w:id="60031807">
          <w:marLeft w:val="0"/>
          <w:marRight w:val="0"/>
          <w:marTop w:val="0"/>
          <w:marBottom w:val="0"/>
          <w:divBdr>
            <w:top w:val="none" w:sz="0" w:space="0" w:color="auto"/>
            <w:left w:val="none" w:sz="0" w:space="0" w:color="auto"/>
            <w:bottom w:val="none" w:sz="0" w:space="0" w:color="auto"/>
            <w:right w:val="none" w:sz="0" w:space="0" w:color="auto"/>
          </w:divBdr>
          <w:divsChild>
            <w:div w:id="906308291">
              <w:marLeft w:val="0"/>
              <w:marRight w:val="0"/>
              <w:marTop w:val="0"/>
              <w:marBottom w:val="0"/>
              <w:divBdr>
                <w:top w:val="none" w:sz="0" w:space="0" w:color="auto"/>
                <w:left w:val="none" w:sz="0" w:space="0" w:color="auto"/>
                <w:bottom w:val="none" w:sz="0" w:space="0" w:color="auto"/>
                <w:right w:val="none" w:sz="0" w:space="0" w:color="auto"/>
              </w:divBdr>
              <w:divsChild>
                <w:div w:id="321936679">
                  <w:marLeft w:val="0"/>
                  <w:marRight w:val="0"/>
                  <w:marTop w:val="0"/>
                  <w:marBottom w:val="0"/>
                  <w:divBdr>
                    <w:top w:val="none" w:sz="0" w:space="0" w:color="auto"/>
                    <w:left w:val="none" w:sz="0" w:space="0" w:color="auto"/>
                    <w:bottom w:val="none" w:sz="0" w:space="0" w:color="auto"/>
                    <w:right w:val="none" w:sz="0" w:space="0" w:color="auto"/>
                  </w:divBdr>
                  <w:divsChild>
                    <w:div w:id="1665011380">
                      <w:marLeft w:val="0"/>
                      <w:marRight w:val="0"/>
                      <w:marTop w:val="0"/>
                      <w:marBottom w:val="0"/>
                      <w:divBdr>
                        <w:top w:val="none" w:sz="0" w:space="0" w:color="auto"/>
                        <w:left w:val="none" w:sz="0" w:space="0" w:color="auto"/>
                        <w:bottom w:val="none" w:sz="0" w:space="0" w:color="auto"/>
                        <w:right w:val="none" w:sz="0" w:space="0" w:color="auto"/>
                      </w:divBdr>
                      <w:divsChild>
                        <w:div w:id="1515218597">
                          <w:marLeft w:val="0"/>
                          <w:marRight w:val="0"/>
                          <w:marTop w:val="0"/>
                          <w:marBottom w:val="0"/>
                          <w:divBdr>
                            <w:top w:val="none" w:sz="0" w:space="0" w:color="auto"/>
                            <w:left w:val="none" w:sz="0" w:space="0" w:color="auto"/>
                            <w:bottom w:val="none" w:sz="0" w:space="0" w:color="auto"/>
                            <w:right w:val="none" w:sz="0" w:space="0" w:color="auto"/>
                          </w:divBdr>
                          <w:divsChild>
                            <w:div w:id="1054542117">
                              <w:marLeft w:val="0"/>
                              <w:marRight w:val="0"/>
                              <w:marTop w:val="0"/>
                              <w:marBottom w:val="0"/>
                              <w:divBdr>
                                <w:top w:val="none" w:sz="0" w:space="0" w:color="auto"/>
                                <w:left w:val="none" w:sz="0" w:space="0" w:color="auto"/>
                                <w:bottom w:val="none" w:sz="0" w:space="0" w:color="auto"/>
                                <w:right w:val="none" w:sz="0" w:space="0" w:color="auto"/>
                              </w:divBdr>
                              <w:divsChild>
                                <w:div w:id="957758403">
                                  <w:marLeft w:val="0"/>
                                  <w:marRight w:val="0"/>
                                  <w:marTop w:val="0"/>
                                  <w:marBottom w:val="0"/>
                                  <w:divBdr>
                                    <w:top w:val="none" w:sz="0" w:space="0" w:color="auto"/>
                                    <w:left w:val="none" w:sz="0" w:space="0" w:color="auto"/>
                                    <w:bottom w:val="none" w:sz="0" w:space="0" w:color="auto"/>
                                    <w:right w:val="none" w:sz="0" w:space="0" w:color="auto"/>
                                  </w:divBdr>
                                  <w:divsChild>
                                    <w:div w:id="650404992">
                                      <w:marLeft w:val="0"/>
                                      <w:marRight w:val="0"/>
                                      <w:marTop w:val="0"/>
                                      <w:marBottom w:val="0"/>
                                      <w:divBdr>
                                        <w:top w:val="none" w:sz="0" w:space="0" w:color="auto"/>
                                        <w:left w:val="none" w:sz="0" w:space="0" w:color="auto"/>
                                        <w:bottom w:val="none" w:sz="0" w:space="0" w:color="auto"/>
                                        <w:right w:val="none" w:sz="0" w:space="0" w:color="auto"/>
                                      </w:divBdr>
                                      <w:divsChild>
                                        <w:div w:id="18929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22465">
          <w:marLeft w:val="0"/>
          <w:marRight w:val="0"/>
          <w:marTop w:val="0"/>
          <w:marBottom w:val="0"/>
          <w:divBdr>
            <w:top w:val="none" w:sz="0" w:space="0" w:color="auto"/>
            <w:left w:val="none" w:sz="0" w:space="0" w:color="auto"/>
            <w:bottom w:val="none" w:sz="0" w:space="0" w:color="auto"/>
            <w:right w:val="none" w:sz="0" w:space="0" w:color="auto"/>
          </w:divBdr>
          <w:divsChild>
            <w:div w:id="387340648">
              <w:marLeft w:val="0"/>
              <w:marRight w:val="0"/>
              <w:marTop w:val="0"/>
              <w:marBottom w:val="0"/>
              <w:divBdr>
                <w:top w:val="none" w:sz="0" w:space="0" w:color="auto"/>
                <w:left w:val="none" w:sz="0" w:space="0" w:color="auto"/>
                <w:bottom w:val="none" w:sz="0" w:space="0" w:color="auto"/>
                <w:right w:val="none" w:sz="0" w:space="0" w:color="auto"/>
              </w:divBdr>
              <w:divsChild>
                <w:div w:id="55015766">
                  <w:marLeft w:val="0"/>
                  <w:marRight w:val="0"/>
                  <w:marTop w:val="0"/>
                  <w:marBottom w:val="0"/>
                  <w:divBdr>
                    <w:top w:val="none" w:sz="0" w:space="0" w:color="auto"/>
                    <w:left w:val="none" w:sz="0" w:space="0" w:color="auto"/>
                    <w:bottom w:val="none" w:sz="0" w:space="0" w:color="auto"/>
                    <w:right w:val="none" w:sz="0" w:space="0" w:color="auto"/>
                  </w:divBdr>
                  <w:divsChild>
                    <w:div w:id="2085711967">
                      <w:marLeft w:val="0"/>
                      <w:marRight w:val="0"/>
                      <w:marTop w:val="0"/>
                      <w:marBottom w:val="0"/>
                      <w:divBdr>
                        <w:top w:val="none" w:sz="0" w:space="0" w:color="auto"/>
                        <w:left w:val="none" w:sz="0" w:space="0" w:color="auto"/>
                        <w:bottom w:val="none" w:sz="0" w:space="0" w:color="auto"/>
                        <w:right w:val="none" w:sz="0" w:space="0" w:color="auto"/>
                      </w:divBdr>
                      <w:divsChild>
                        <w:div w:id="559901593">
                          <w:marLeft w:val="0"/>
                          <w:marRight w:val="0"/>
                          <w:marTop w:val="0"/>
                          <w:marBottom w:val="0"/>
                          <w:divBdr>
                            <w:top w:val="none" w:sz="0" w:space="0" w:color="auto"/>
                            <w:left w:val="none" w:sz="0" w:space="0" w:color="auto"/>
                            <w:bottom w:val="none" w:sz="0" w:space="0" w:color="auto"/>
                            <w:right w:val="none" w:sz="0" w:space="0" w:color="auto"/>
                          </w:divBdr>
                          <w:divsChild>
                            <w:div w:id="52781140">
                              <w:marLeft w:val="0"/>
                              <w:marRight w:val="0"/>
                              <w:marTop w:val="0"/>
                              <w:marBottom w:val="0"/>
                              <w:divBdr>
                                <w:top w:val="none" w:sz="0" w:space="0" w:color="auto"/>
                                <w:left w:val="none" w:sz="0" w:space="0" w:color="auto"/>
                                <w:bottom w:val="none" w:sz="0" w:space="0" w:color="auto"/>
                                <w:right w:val="none" w:sz="0" w:space="0" w:color="auto"/>
                              </w:divBdr>
                              <w:divsChild>
                                <w:div w:id="1481651267">
                                  <w:marLeft w:val="0"/>
                                  <w:marRight w:val="0"/>
                                  <w:marTop w:val="0"/>
                                  <w:marBottom w:val="0"/>
                                  <w:divBdr>
                                    <w:top w:val="none" w:sz="0" w:space="0" w:color="auto"/>
                                    <w:left w:val="none" w:sz="0" w:space="0" w:color="auto"/>
                                    <w:bottom w:val="none" w:sz="0" w:space="0" w:color="auto"/>
                                    <w:right w:val="none" w:sz="0" w:space="0" w:color="auto"/>
                                  </w:divBdr>
                                  <w:divsChild>
                                    <w:div w:id="17523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151677">
                          <w:marLeft w:val="0"/>
                          <w:marRight w:val="0"/>
                          <w:marTop w:val="0"/>
                          <w:marBottom w:val="0"/>
                          <w:divBdr>
                            <w:top w:val="none" w:sz="0" w:space="0" w:color="auto"/>
                            <w:left w:val="none" w:sz="0" w:space="0" w:color="auto"/>
                            <w:bottom w:val="none" w:sz="0" w:space="0" w:color="auto"/>
                            <w:right w:val="none" w:sz="0" w:space="0" w:color="auto"/>
                          </w:divBdr>
                          <w:divsChild>
                            <w:div w:id="1305693464">
                              <w:marLeft w:val="0"/>
                              <w:marRight w:val="0"/>
                              <w:marTop w:val="0"/>
                              <w:marBottom w:val="0"/>
                              <w:divBdr>
                                <w:top w:val="none" w:sz="0" w:space="0" w:color="auto"/>
                                <w:left w:val="none" w:sz="0" w:space="0" w:color="auto"/>
                                <w:bottom w:val="none" w:sz="0" w:space="0" w:color="auto"/>
                                <w:right w:val="none" w:sz="0" w:space="0" w:color="auto"/>
                              </w:divBdr>
                              <w:divsChild>
                                <w:div w:id="1871720683">
                                  <w:marLeft w:val="0"/>
                                  <w:marRight w:val="0"/>
                                  <w:marTop w:val="0"/>
                                  <w:marBottom w:val="0"/>
                                  <w:divBdr>
                                    <w:top w:val="none" w:sz="0" w:space="0" w:color="auto"/>
                                    <w:left w:val="none" w:sz="0" w:space="0" w:color="auto"/>
                                    <w:bottom w:val="none" w:sz="0" w:space="0" w:color="auto"/>
                                    <w:right w:val="none" w:sz="0" w:space="0" w:color="auto"/>
                                  </w:divBdr>
                                  <w:divsChild>
                                    <w:div w:id="89338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7028">
                  <w:marLeft w:val="0"/>
                  <w:marRight w:val="0"/>
                  <w:marTop w:val="0"/>
                  <w:marBottom w:val="0"/>
                  <w:divBdr>
                    <w:top w:val="none" w:sz="0" w:space="0" w:color="auto"/>
                    <w:left w:val="none" w:sz="0" w:space="0" w:color="auto"/>
                    <w:bottom w:val="none" w:sz="0" w:space="0" w:color="auto"/>
                    <w:right w:val="none" w:sz="0" w:space="0" w:color="auto"/>
                  </w:divBdr>
                  <w:divsChild>
                    <w:div w:id="1870098643">
                      <w:marLeft w:val="0"/>
                      <w:marRight w:val="0"/>
                      <w:marTop w:val="0"/>
                      <w:marBottom w:val="0"/>
                      <w:divBdr>
                        <w:top w:val="none" w:sz="0" w:space="0" w:color="auto"/>
                        <w:left w:val="none" w:sz="0" w:space="0" w:color="auto"/>
                        <w:bottom w:val="none" w:sz="0" w:space="0" w:color="auto"/>
                        <w:right w:val="none" w:sz="0" w:space="0" w:color="auto"/>
                      </w:divBdr>
                      <w:divsChild>
                        <w:div w:id="2097436197">
                          <w:marLeft w:val="0"/>
                          <w:marRight w:val="0"/>
                          <w:marTop w:val="0"/>
                          <w:marBottom w:val="0"/>
                          <w:divBdr>
                            <w:top w:val="none" w:sz="0" w:space="0" w:color="auto"/>
                            <w:left w:val="none" w:sz="0" w:space="0" w:color="auto"/>
                            <w:bottom w:val="none" w:sz="0" w:space="0" w:color="auto"/>
                            <w:right w:val="none" w:sz="0" w:space="0" w:color="auto"/>
                          </w:divBdr>
                          <w:divsChild>
                            <w:div w:id="48652895">
                              <w:marLeft w:val="0"/>
                              <w:marRight w:val="0"/>
                              <w:marTop w:val="0"/>
                              <w:marBottom w:val="0"/>
                              <w:divBdr>
                                <w:top w:val="none" w:sz="0" w:space="0" w:color="auto"/>
                                <w:left w:val="none" w:sz="0" w:space="0" w:color="auto"/>
                                <w:bottom w:val="none" w:sz="0" w:space="0" w:color="auto"/>
                                <w:right w:val="none" w:sz="0" w:space="0" w:color="auto"/>
                              </w:divBdr>
                              <w:divsChild>
                                <w:div w:id="19118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3788">
          <w:marLeft w:val="0"/>
          <w:marRight w:val="0"/>
          <w:marTop w:val="0"/>
          <w:marBottom w:val="0"/>
          <w:divBdr>
            <w:top w:val="none" w:sz="0" w:space="0" w:color="auto"/>
            <w:left w:val="none" w:sz="0" w:space="0" w:color="auto"/>
            <w:bottom w:val="none" w:sz="0" w:space="0" w:color="auto"/>
            <w:right w:val="none" w:sz="0" w:space="0" w:color="auto"/>
          </w:divBdr>
          <w:divsChild>
            <w:div w:id="1573084724">
              <w:marLeft w:val="0"/>
              <w:marRight w:val="0"/>
              <w:marTop w:val="0"/>
              <w:marBottom w:val="0"/>
              <w:divBdr>
                <w:top w:val="none" w:sz="0" w:space="0" w:color="auto"/>
                <w:left w:val="none" w:sz="0" w:space="0" w:color="auto"/>
                <w:bottom w:val="none" w:sz="0" w:space="0" w:color="auto"/>
                <w:right w:val="none" w:sz="0" w:space="0" w:color="auto"/>
              </w:divBdr>
              <w:divsChild>
                <w:div w:id="1743214704">
                  <w:marLeft w:val="0"/>
                  <w:marRight w:val="0"/>
                  <w:marTop w:val="0"/>
                  <w:marBottom w:val="0"/>
                  <w:divBdr>
                    <w:top w:val="none" w:sz="0" w:space="0" w:color="auto"/>
                    <w:left w:val="none" w:sz="0" w:space="0" w:color="auto"/>
                    <w:bottom w:val="none" w:sz="0" w:space="0" w:color="auto"/>
                    <w:right w:val="none" w:sz="0" w:space="0" w:color="auto"/>
                  </w:divBdr>
                  <w:divsChild>
                    <w:div w:id="470293966">
                      <w:marLeft w:val="0"/>
                      <w:marRight w:val="0"/>
                      <w:marTop w:val="0"/>
                      <w:marBottom w:val="0"/>
                      <w:divBdr>
                        <w:top w:val="none" w:sz="0" w:space="0" w:color="auto"/>
                        <w:left w:val="none" w:sz="0" w:space="0" w:color="auto"/>
                        <w:bottom w:val="none" w:sz="0" w:space="0" w:color="auto"/>
                        <w:right w:val="none" w:sz="0" w:space="0" w:color="auto"/>
                      </w:divBdr>
                      <w:divsChild>
                        <w:div w:id="1662729885">
                          <w:marLeft w:val="0"/>
                          <w:marRight w:val="0"/>
                          <w:marTop w:val="0"/>
                          <w:marBottom w:val="0"/>
                          <w:divBdr>
                            <w:top w:val="none" w:sz="0" w:space="0" w:color="auto"/>
                            <w:left w:val="none" w:sz="0" w:space="0" w:color="auto"/>
                            <w:bottom w:val="none" w:sz="0" w:space="0" w:color="auto"/>
                            <w:right w:val="none" w:sz="0" w:space="0" w:color="auto"/>
                          </w:divBdr>
                          <w:divsChild>
                            <w:div w:id="445926448">
                              <w:marLeft w:val="0"/>
                              <w:marRight w:val="0"/>
                              <w:marTop w:val="0"/>
                              <w:marBottom w:val="0"/>
                              <w:divBdr>
                                <w:top w:val="none" w:sz="0" w:space="0" w:color="auto"/>
                                <w:left w:val="none" w:sz="0" w:space="0" w:color="auto"/>
                                <w:bottom w:val="none" w:sz="0" w:space="0" w:color="auto"/>
                                <w:right w:val="none" w:sz="0" w:space="0" w:color="auto"/>
                              </w:divBdr>
                              <w:divsChild>
                                <w:div w:id="200048276">
                                  <w:marLeft w:val="0"/>
                                  <w:marRight w:val="0"/>
                                  <w:marTop w:val="0"/>
                                  <w:marBottom w:val="0"/>
                                  <w:divBdr>
                                    <w:top w:val="none" w:sz="0" w:space="0" w:color="auto"/>
                                    <w:left w:val="none" w:sz="0" w:space="0" w:color="auto"/>
                                    <w:bottom w:val="none" w:sz="0" w:space="0" w:color="auto"/>
                                    <w:right w:val="none" w:sz="0" w:space="0" w:color="auto"/>
                                  </w:divBdr>
                                  <w:divsChild>
                                    <w:div w:id="1613514664">
                                      <w:marLeft w:val="0"/>
                                      <w:marRight w:val="0"/>
                                      <w:marTop w:val="0"/>
                                      <w:marBottom w:val="0"/>
                                      <w:divBdr>
                                        <w:top w:val="none" w:sz="0" w:space="0" w:color="auto"/>
                                        <w:left w:val="none" w:sz="0" w:space="0" w:color="auto"/>
                                        <w:bottom w:val="none" w:sz="0" w:space="0" w:color="auto"/>
                                        <w:right w:val="none" w:sz="0" w:space="0" w:color="auto"/>
                                      </w:divBdr>
                                      <w:divsChild>
                                        <w:div w:id="19339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79695">
          <w:marLeft w:val="0"/>
          <w:marRight w:val="0"/>
          <w:marTop w:val="0"/>
          <w:marBottom w:val="0"/>
          <w:divBdr>
            <w:top w:val="none" w:sz="0" w:space="0" w:color="auto"/>
            <w:left w:val="none" w:sz="0" w:space="0" w:color="auto"/>
            <w:bottom w:val="none" w:sz="0" w:space="0" w:color="auto"/>
            <w:right w:val="none" w:sz="0" w:space="0" w:color="auto"/>
          </w:divBdr>
          <w:divsChild>
            <w:div w:id="698703342">
              <w:marLeft w:val="0"/>
              <w:marRight w:val="0"/>
              <w:marTop w:val="0"/>
              <w:marBottom w:val="0"/>
              <w:divBdr>
                <w:top w:val="none" w:sz="0" w:space="0" w:color="auto"/>
                <w:left w:val="none" w:sz="0" w:space="0" w:color="auto"/>
                <w:bottom w:val="none" w:sz="0" w:space="0" w:color="auto"/>
                <w:right w:val="none" w:sz="0" w:space="0" w:color="auto"/>
              </w:divBdr>
              <w:divsChild>
                <w:div w:id="1077287806">
                  <w:marLeft w:val="0"/>
                  <w:marRight w:val="0"/>
                  <w:marTop w:val="0"/>
                  <w:marBottom w:val="0"/>
                  <w:divBdr>
                    <w:top w:val="none" w:sz="0" w:space="0" w:color="auto"/>
                    <w:left w:val="none" w:sz="0" w:space="0" w:color="auto"/>
                    <w:bottom w:val="none" w:sz="0" w:space="0" w:color="auto"/>
                    <w:right w:val="none" w:sz="0" w:space="0" w:color="auto"/>
                  </w:divBdr>
                  <w:divsChild>
                    <w:div w:id="1444421883">
                      <w:marLeft w:val="0"/>
                      <w:marRight w:val="0"/>
                      <w:marTop w:val="0"/>
                      <w:marBottom w:val="0"/>
                      <w:divBdr>
                        <w:top w:val="none" w:sz="0" w:space="0" w:color="auto"/>
                        <w:left w:val="none" w:sz="0" w:space="0" w:color="auto"/>
                        <w:bottom w:val="none" w:sz="0" w:space="0" w:color="auto"/>
                        <w:right w:val="none" w:sz="0" w:space="0" w:color="auto"/>
                      </w:divBdr>
                      <w:divsChild>
                        <w:div w:id="1132820541">
                          <w:marLeft w:val="0"/>
                          <w:marRight w:val="0"/>
                          <w:marTop w:val="0"/>
                          <w:marBottom w:val="0"/>
                          <w:divBdr>
                            <w:top w:val="none" w:sz="0" w:space="0" w:color="auto"/>
                            <w:left w:val="none" w:sz="0" w:space="0" w:color="auto"/>
                            <w:bottom w:val="none" w:sz="0" w:space="0" w:color="auto"/>
                            <w:right w:val="none" w:sz="0" w:space="0" w:color="auto"/>
                          </w:divBdr>
                          <w:divsChild>
                            <w:div w:id="739640712">
                              <w:marLeft w:val="0"/>
                              <w:marRight w:val="0"/>
                              <w:marTop w:val="0"/>
                              <w:marBottom w:val="0"/>
                              <w:divBdr>
                                <w:top w:val="none" w:sz="0" w:space="0" w:color="auto"/>
                                <w:left w:val="none" w:sz="0" w:space="0" w:color="auto"/>
                                <w:bottom w:val="none" w:sz="0" w:space="0" w:color="auto"/>
                                <w:right w:val="none" w:sz="0" w:space="0" w:color="auto"/>
                              </w:divBdr>
                              <w:divsChild>
                                <w:div w:id="12396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650948">
                  <w:marLeft w:val="0"/>
                  <w:marRight w:val="0"/>
                  <w:marTop w:val="0"/>
                  <w:marBottom w:val="0"/>
                  <w:divBdr>
                    <w:top w:val="none" w:sz="0" w:space="0" w:color="auto"/>
                    <w:left w:val="none" w:sz="0" w:space="0" w:color="auto"/>
                    <w:bottom w:val="none" w:sz="0" w:space="0" w:color="auto"/>
                    <w:right w:val="none" w:sz="0" w:space="0" w:color="auto"/>
                  </w:divBdr>
                  <w:divsChild>
                    <w:div w:id="1483884441">
                      <w:marLeft w:val="0"/>
                      <w:marRight w:val="0"/>
                      <w:marTop w:val="0"/>
                      <w:marBottom w:val="0"/>
                      <w:divBdr>
                        <w:top w:val="none" w:sz="0" w:space="0" w:color="auto"/>
                        <w:left w:val="none" w:sz="0" w:space="0" w:color="auto"/>
                        <w:bottom w:val="none" w:sz="0" w:space="0" w:color="auto"/>
                        <w:right w:val="none" w:sz="0" w:space="0" w:color="auto"/>
                      </w:divBdr>
                      <w:divsChild>
                        <w:div w:id="1025406646">
                          <w:marLeft w:val="0"/>
                          <w:marRight w:val="0"/>
                          <w:marTop w:val="0"/>
                          <w:marBottom w:val="0"/>
                          <w:divBdr>
                            <w:top w:val="none" w:sz="0" w:space="0" w:color="auto"/>
                            <w:left w:val="none" w:sz="0" w:space="0" w:color="auto"/>
                            <w:bottom w:val="none" w:sz="0" w:space="0" w:color="auto"/>
                            <w:right w:val="none" w:sz="0" w:space="0" w:color="auto"/>
                          </w:divBdr>
                          <w:divsChild>
                            <w:div w:id="146558166">
                              <w:marLeft w:val="0"/>
                              <w:marRight w:val="0"/>
                              <w:marTop w:val="0"/>
                              <w:marBottom w:val="0"/>
                              <w:divBdr>
                                <w:top w:val="none" w:sz="0" w:space="0" w:color="auto"/>
                                <w:left w:val="none" w:sz="0" w:space="0" w:color="auto"/>
                                <w:bottom w:val="none" w:sz="0" w:space="0" w:color="auto"/>
                                <w:right w:val="none" w:sz="0" w:space="0" w:color="auto"/>
                              </w:divBdr>
                              <w:divsChild>
                                <w:div w:id="658654817">
                                  <w:marLeft w:val="0"/>
                                  <w:marRight w:val="0"/>
                                  <w:marTop w:val="0"/>
                                  <w:marBottom w:val="0"/>
                                  <w:divBdr>
                                    <w:top w:val="none" w:sz="0" w:space="0" w:color="auto"/>
                                    <w:left w:val="none" w:sz="0" w:space="0" w:color="auto"/>
                                    <w:bottom w:val="none" w:sz="0" w:space="0" w:color="auto"/>
                                    <w:right w:val="none" w:sz="0" w:space="0" w:color="auto"/>
                                  </w:divBdr>
                                  <w:divsChild>
                                    <w:div w:id="7422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28474">
                          <w:marLeft w:val="0"/>
                          <w:marRight w:val="0"/>
                          <w:marTop w:val="0"/>
                          <w:marBottom w:val="0"/>
                          <w:divBdr>
                            <w:top w:val="none" w:sz="0" w:space="0" w:color="auto"/>
                            <w:left w:val="none" w:sz="0" w:space="0" w:color="auto"/>
                            <w:bottom w:val="none" w:sz="0" w:space="0" w:color="auto"/>
                            <w:right w:val="none" w:sz="0" w:space="0" w:color="auto"/>
                          </w:divBdr>
                          <w:divsChild>
                            <w:div w:id="675615403">
                              <w:marLeft w:val="0"/>
                              <w:marRight w:val="0"/>
                              <w:marTop w:val="0"/>
                              <w:marBottom w:val="0"/>
                              <w:divBdr>
                                <w:top w:val="none" w:sz="0" w:space="0" w:color="auto"/>
                                <w:left w:val="none" w:sz="0" w:space="0" w:color="auto"/>
                                <w:bottom w:val="none" w:sz="0" w:space="0" w:color="auto"/>
                                <w:right w:val="none" w:sz="0" w:space="0" w:color="auto"/>
                              </w:divBdr>
                              <w:divsChild>
                                <w:div w:id="764155583">
                                  <w:marLeft w:val="0"/>
                                  <w:marRight w:val="0"/>
                                  <w:marTop w:val="0"/>
                                  <w:marBottom w:val="0"/>
                                  <w:divBdr>
                                    <w:top w:val="none" w:sz="0" w:space="0" w:color="auto"/>
                                    <w:left w:val="none" w:sz="0" w:space="0" w:color="auto"/>
                                    <w:bottom w:val="none" w:sz="0" w:space="0" w:color="auto"/>
                                    <w:right w:val="none" w:sz="0" w:space="0" w:color="auto"/>
                                  </w:divBdr>
                                  <w:divsChild>
                                    <w:div w:id="12864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880717">
          <w:marLeft w:val="0"/>
          <w:marRight w:val="0"/>
          <w:marTop w:val="0"/>
          <w:marBottom w:val="0"/>
          <w:divBdr>
            <w:top w:val="none" w:sz="0" w:space="0" w:color="auto"/>
            <w:left w:val="none" w:sz="0" w:space="0" w:color="auto"/>
            <w:bottom w:val="none" w:sz="0" w:space="0" w:color="auto"/>
            <w:right w:val="none" w:sz="0" w:space="0" w:color="auto"/>
          </w:divBdr>
          <w:divsChild>
            <w:div w:id="1928032081">
              <w:marLeft w:val="0"/>
              <w:marRight w:val="0"/>
              <w:marTop w:val="0"/>
              <w:marBottom w:val="0"/>
              <w:divBdr>
                <w:top w:val="none" w:sz="0" w:space="0" w:color="auto"/>
                <w:left w:val="none" w:sz="0" w:space="0" w:color="auto"/>
                <w:bottom w:val="none" w:sz="0" w:space="0" w:color="auto"/>
                <w:right w:val="none" w:sz="0" w:space="0" w:color="auto"/>
              </w:divBdr>
              <w:divsChild>
                <w:div w:id="275796193">
                  <w:marLeft w:val="0"/>
                  <w:marRight w:val="0"/>
                  <w:marTop w:val="0"/>
                  <w:marBottom w:val="0"/>
                  <w:divBdr>
                    <w:top w:val="none" w:sz="0" w:space="0" w:color="auto"/>
                    <w:left w:val="none" w:sz="0" w:space="0" w:color="auto"/>
                    <w:bottom w:val="none" w:sz="0" w:space="0" w:color="auto"/>
                    <w:right w:val="none" w:sz="0" w:space="0" w:color="auto"/>
                  </w:divBdr>
                  <w:divsChild>
                    <w:div w:id="198977839">
                      <w:marLeft w:val="0"/>
                      <w:marRight w:val="0"/>
                      <w:marTop w:val="0"/>
                      <w:marBottom w:val="0"/>
                      <w:divBdr>
                        <w:top w:val="none" w:sz="0" w:space="0" w:color="auto"/>
                        <w:left w:val="none" w:sz="0" w:space="0" w:color="auto"/>
                        <w:bottom w:val="none" w:sz="0" w:space="0" w:color="auto"/>
                        <w:right w:val="none" w:sz="0" w:space="0" w:color="auto"/>
                      </w:divBdr>
                      <w:divsChild>
                        <w:div w:id="1005867197">
                          <w:marLeft w:val="0"/>
                          <w:marRight w:val="0"/>
                          <w:marTop w:val="0"/>
                          <w:marBottom w:val="0"/>
                          <w:divBdr>
                            <w:top w:val="none" w:sz="0" w:space="0" w:color="auto"/>
                            <w:left w:val="none" w:sz="0" w:space="0" w:color="auto"/>
                            <w:bottom w:val="none" w:sz="0" w:space="0" w:color="auto"/>
                            <w:right w:val="none" w:sz="0" w:space="0" w:color="auto"/>
                          </w:divBdr>
                          <w:divsChild>
                            <w:div w:id="962998607">
                              <w:marLeft w:val="0"/>
                              <w:marRight w:val="0"/>
                              <w:marTop w:val="0"/>
                              <w:marBottom w:val="0"/>
                              <w:divBdr>
                                <w:top w:val="none" w:sz="0" w:space="0" w:color="auto"/>
                                <w:left w:val="none" w:sz="0" w:space="0" w:color="auto"/>
                                <w:bottom w:val="none" w:sz="0" w:space="0" w:color="auto"/>
                                <w:right w:val="none" w:sz="0" w:space="0" w:color="auto"/>
                              </w:divBdr>
                              <w:divsChild>
                                <w:div w:id="937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9044">
                  <w:marLeft w:val="0"/>
                  <w:marRight w:val="0"/>
                  <w:marTop w:val="0"/>
                  <w:marBottom w:val="0"/>
                  <w:divBdr>
                    <w:top w:val="none" w:sz="0" w:space="0" w:color="auto"/>
                    <w:left w:val="none" w:sz="0" w:space="0" w:color="auto"/>
                    <w:bottom w:val="none" w:sz="0" w:space="0" w:color="auto"/>
                    <w:right w:val="none" w:sz="0" w:space="0" w:color="auto"/>
                  </w:divBdr>
                  <w:divsChild>
                    <w:div w:id="866331599">
                      <w:marLeft w:val="0"/>
                      <w:marRight w:val="0"/>
                      <w:marTop w:val="0"/>
                      <w:marBottom w:val="0"/>
                      <w:divBdr>
                        <w:top w:val="none" w:sz="0" w:space="0" w:color="auto"/>
                        <w:left w:val="none" w:sz="0" w:space="0" w:color="auto"/>
                        <w:bottom w:val="none" w:sz="0" w:space="0" w:color="auto"/>
                        <w:right w:val="none" w:sz="0" w:space="0" w:color="auto"/>
                      </w:divBdr>
                      <w:divsChild>
                        <w:div w:id="478812549">
                          <w:marLeft w:val="0"/>
                          <w:marRight w:val="0"/>
                          <w:marTop w:val="0"/>
                          <w:marBottom w:val="0"/>
                          <w:divBdr>
                            <w:top w:val="none" w:sz="0" w:space="0" w:color="auto"/>
                            <w:left w:val="none" w:sz="0" w:space="0" w:color="auto"/>
                            <w:bottom w:val="none" w:sz="0" w:space="0" w:color="auto"/>
                            <w:right w:val="none" w:sz="0" w:space="0" w:color="auto"/>
                          </w:divBdr>
                          <w:divsChild>
                            <w:div w:id="1208374312">
                              <w:marLeft w:val="0"/>
                              <w:marRight w:val="0"/>
                              <w:marTop w:val="0"/>
                              <w:marBottom w:val="0"/>
                              <w:divBdr>
                                <w:top w:val="none" w:sz="0" w:space="0" w:color="auto"/>
                                <w:left w:val="none" w:sz="0" w:space="0" w:color="auto"/>
                                <w:bottom w:val="none" w:sz="0" w:space="0" w:color="auto"/>
                                <w:right w:val="none" w:sz="0" w:space="0" w:color="auto"/>
                              </w:divBdr>
                              <w:divsChild>
                                <w:div w:id="756369188">
                                  <w:marLeft w:val="0"/>
                                  <w:marRight w:val="0"/>
                                  <w:marTop w:val="0"/>
                                  <w:marBottom w:val="0"/>
                                  <w:divBdr>
                                    <w:top w:val="none" w:sz="0" w:space="0" w:color="auto"/>
                                    <w:left w:val="none" w:sz="0" w:space="0" w:color="auto"/>
                                    <w:bottom w:val="none" w:sz="0" w:space="0" w:color="auto"/>
                                    <w:right w:val="none" w:sz="0" w:space="0" w:color="auto"/>
                                  </w:divBdr>
                                  <w:divsChild>
                                    <w:div w:id="15435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50430">
                          <w:marLeft w:val="0"/>
                          <w:marRight w:val="0"/>
                          <w:marTop w:val="0"/>
                          <w:marBottom w:val="0"/>
                          <w:divBdr>
                            <w:top w:val="none" w:sz="0" w:space="0" w:color="auto"/>
                            <w:left w:val="none" w:sz="0" w:space="0" w:color="auto"/>
                            <w:bottom w:val="none" w:sz="0" w:space="0" w:color="auto"/>
                            <w:right w:val="none" w:sz="0" w:space="0" w:color="auto"/>
                          </w:divBdr>
                          <w:divsChild>
                            <w:div w:id="1019770644">
                              <w:marLeft w:val="0"/>
                              <w:marRight w:val="0"/>
                              <w:marTop w:val="0"/>
                              <w:marBottom w:val="0"/>
                              <w:divBdr>
                                <w:top w:val="none" w:sz="0" w:space="0" w:color="auto"/>
                                <w:left w:val="none" w:sz="0" w:space="0" w:color="auto"/>
                                <w:bottom w:val="none" w:sz="0" w:space="0" w:color="auto"/>
                                <w:right w:val="none" w:sz="0" w:space="0" w:color="auto"/>
                              </w:divBdr>
                              <w:divsChild>
                                <w:div w:id="687220864">
                                  <w:marLeft w:val="0"/>
                                  <w:marRight w:val="0"/>
                                  <w:marTop w:val="0"/>
                                  <w:marBottom w:val="0"/>
                                  <w:divBdr>
                                    <w:top w:val="none" w:sz="0" w:space="0" w:color="auto"/>
                                    <w:left w:val="none" w:sz="0" w:space="0" w:color="auto"/>
                                    <w:bottom w:val="none" w:sz="0" w:space="0" w:color="auto"/>
                                    <w:right w:val="none" w:sz="0" w:space="0" w:color="auto"/>
                                  </w:divBdr>
                                  <w:divsChild>
                                    <w:div w:id="3124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013888">
          <w:marLeft w:val="0"/>
          <w:marRight w:val="0"/>
          <w:marTop w:val="0"/>
          <w:marBottom w:val="0"/>
          <w:divBdr>
            <w:top w:val="none" w:sz="0" w:space="0" w:color="auto"/>
            <w:left w:val="none" w:sz="0" w:space="0" w:color="auto"/>
            <w:bottom w:val="none" w:sz="0" w:space="0" w:color="auto"/>
            <w:right w:val="none" w:sz="0" w:space="0" w:color="auto"/>
          </w:divBdr>
          <w:divsChild>
            <w:div w:id="176038902">
              <w:marLeft w:val="0"/>
              <w:marRight w:val="0"/>
              <w:marTop w:val="0"/>
              <w:marBottom w:val="0"/>
              <w:divBdr>
                <w:top w:val="none" w:sz="0" w:space="0" w:color="auto"/>
                <w:left w:val="none" w:sz="0" w:space="0" w:color="auto"/>
                <w:bottom w:val="none" w:sz="0" w:space="0" w:color="auto"/>
                <w:right w:val="none" w:sz="0" w:space="0" w:color="auto"/>
              </w:divBdr>
              <w:divsChild>
                <w:div w:id="1277634684">
                  <w:marLeft w:val="0"/>
                  <w:marRight w:val="0"/>
                  <w:marTop w:val="0"/>
                  <w:marBottom w:val="0"/>
                  <w:divBdr>
                    <w:top w:val="none" w:sz="0" w:space="0" w:color="auto"/>
                    <w:left w:val="none" w:sz="0" w:space="0" w:color="auto"/>
                    <w:bottom w:val="none" w:sz="0" w:space="0" w:color="auto"/>
                    <w:right w:val="none" w:sz="0" w:space="0" w:color="auto"/>
                  </w:divBdr>
                  <w:divsChild>
                    <w:div w:id="427118136">
                      <w:marLeft w:val="0"/>
                      <w:marRight w:val="0"/>
                      <w:marTop w:val="0"/>
                      <w:marBottom w:val="0"/>
                      <w:divBdr>
                        <w:top w:val="none" w:sz="0" w:space="0" w:color="auto"/>
                        <w:left w:val="none" w:sz="0" w:space="0" w:color="auto"/>
                        <w:bottom w:val="none" w:sz="0" w:space="0" w:color="auto"/>
                        <w:right w:val="none" w:sz="0" w:space="0" w:color="auto"/>
                      </w:divBdr>
                      <w:divsChild>
                        <w:div w:id="403339883">
                          <w:marLeft w:val="0"/>
                          <w:marRight w:val="0"/>
                          <w:marTop w:val="0"/>
                          <w:marBottom w:val="0"/>
                          <w:divBdr>
                            <w:top w:val="none" w:sz="0" w:space="0" w:color="auto"/>
                            <w:left w:val="none" w:sz="0" w:space="0" w:color="auto"/>
                            <w:bottom w:val="none" w:sz="0" w:space="0" w:color="auto"/>
                            <w:right w:val="none" w:sz="0" w:space="0" w:color="auto"/>
                          </w:divBdr>
                          <w:divsChild>
                            <w:div w:id="272909688">
                              <w:marLeft w:val="0"/>
                              <w:marRight w:val="0"/>
                              <w:marTop w:val="0"/>
                              <w:marBottom w:val="0"/>
                              <w:divBdr>
                                <w:top w:val="none" w:sz="0" w:space="0" w:color="auto"/>
                                <w:left w:val="none" w:sz="0" w:space="0" w:color="auto"/>
                                <w:bottom w:val="none" w:sz="0" w:space="0" w:color="auto"/>
                                <w:right w:val="none" w:sz="0" w:space="0" w:color="auto"/>
                              </w:divBdr>
                              <w:divsChild>
                                <w:div w:id="116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049221">
                  <w:marLeft w:val="0"/>
                  <w:marRight w:val="0"/>
                  <w:marTop w:val="0"/>
                  <w:marBottom w:val="0"/>
                  <w:divBdr>
                    <w:top w:val="none" w:sz="0" w:space="0" w:color="auto"/>
                    <w:left w:val="none" w:sz="0" w:space="0" w:color="auto"/>
                    <w:bottom w:val="none" w:sz="0" w:space="0" w:color="auto"/>
                    <w:right w:val="none" w:sz="0" w:space="0" w:color="auto"/>
                  </w:divBdr>
                  <w:divsChild>
                    <w:div w:id="260727800">
                      <w:marLeft w:val="0"/>
                      <w:marRight w:val="0"/>
                      <w:marTop w:val="0"/>
                      <w:marBottom w:val="0"/>
                      <w:divBdr>
                        <w:top w:val="none" w:sz="0" w:space="0" w:color="auto"/>
                        <w:left w:val="none" w:sz="0" w:space="0" w:color="auto"/>
                        <w:bottom w:val="none" w:sz="0" w:space="0" w:color="auto"/>
                        <w:right w:val="none" w:sz="0" w:space="0" w:color="auto"/>
                      </w:divBdr>
                      <w:divsChild>
                        <w:div w:id="1212036707">
                          <w:marLeft w:val="0"/>
                          <w:marRight w:val="0"/>
                          <w:marTop w:val="0"/>
                          <w:marBottom w:val="0"/>
                          <w:divBdr>
                            <w:top w:val="none" w:sz="0" w:space="0" w:color="auto"/>
                            <w:left w:val="none" w:sz="0" w:space="0" w:color="auto"/>
                            <w:bottom w:val="none" w:sz="0" w:space="0" w:color="auto"/>
                            <w:right w:val="none" w:sz="0" w:space="0" w:color="auto"/>
                          </w:divBdr>
                          <w:divsChild>
                            <w:div w:id="907956331">
                              <w:marLeft w:val="0"/>
                              <w:marRight w:val="0"/>
                              <w:marTop w:val="0"/>
                              <w:marBottom w:val="0"/>
                              <w:divBdr>
                                <w:top w:val="none" w:sz="0" w:space="0" w:color="auto"/>
                                <w:left w:val="none" w:sz="0" w:space="0" w:color="auto"/>
                                <w:bottom w:val="none" w:sz="0" w:space="0" w:color="auto"/>
                                <w:right w:val="none" w:sz="0" w:space="0" w:color="auto"/>
                              </w:divBdr>
                              <w:divsChild>
                                <w:div w:id="846947473">
                                  <w:marLeft w:val="0"/>
                                  <w:marRight w:val="0"/>
                                  <w:marTop w:val="0"/>
                                  <w:marBottom w:val="0"/>
                                  <w:divBdr>
                                    <w:top w:val="none" w:sz="0" w:space="0" w:color="auto"/>
                                    <w:left w:val="none" w:sz="0" w:space="0" w:color="auto"/>
                                    <w:bottom w:val="none" w:sz="0" w:space="0" w:color="auto"/>
                                    <w:right w:val="none" w:sz="0" w:space="0" w:color="auto"/>
                                  </w:divBdr>
                                  <w:divsChild>
                                    <w:div w:id="8163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4844">
                          <w:marLeft w:val="0"/>
                          <w:marRight w:val="0"/>
                          <w:marTop w:val="0"/>
                          <w:marBottom w:val="0"/>
                          <w:divBdr>
                            <w:top w:val="none" w:sz="0" w:space="0" w:color="auto"/>
                            <w:left w:val="none" w:sz="0" w:space="0" w:color="auto"/>
                            <w:bottom w:val="none" w:sz="0" w:space="0" w:color="auto"/>
                            <w:right w:val="none" w:sz="0" w:space="0" w:color="auto"/>
                          </w:divBdr>
                          <w:divsChild>
                            <w:div w:id="1339847107">
                              <w:marLeft w:val="0"/>
                              <w:marRight w:val="0"/>
                              <w:marTop w:val="0"/>
                              <w:marBottom w:val="0"/>
                              <w:divBdr>
                                <w:top w:val="none" w:sz="0" w:space="0" w:color="auto"/>
                                <w:left w:val="none" w:sz="0" w:space="0" w:color="auto"/>
                                <w:bottom w:val="none" w:sz="0" w:space="0" w:color="auto"/>
                                <w:right w:val="none" w:sz="0" w:space="0" w:color="auto"/>
                              </w:divBdr>
                              <w:divsChild>
                                <w:div w:id="2043088238">
                                  <w:marLeft w:val="0"/>
                                  <w:marRight w:val="0"/>
                                  <w:marTop w:val="0"/>
                                  <w:marBottom w:val="0"/>
                                  <w:divBdr>
                                    <w:top w:val="none" w:sz="0" w:space="0" w:color="auto"/>
                                    <w:left w:val="none" w:sz="0" w:space="0" w:color="auto"/>
                                    <w:bottom w:val="none" w:sz="0" w:space="0" w:color="auto"/>
                                    <w:right w:val="none" w:sz="0" w:space="0" w:color="auto"/>
                                  </w:divBdr>
                                  <w:divsChild>
                                    <w:div w:id="10650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187588">
          <w:marLeft w:val="0"/>
          <w:marRight w:val="0"/>
          <w:marTop w:val="0"/>
          <w:marBottom w:val="0"/>
          <w:divBdr>
            <w:top w:val="none" w:sz="0" w:space="0" w:color="auto"/>
            <w:left w:val="none" w:sz="0" w:space="0" w:color="auto"/>
            <w:bottom w:val="none" w:sz="0" w:space="0" w:color="auto"/>
            <w:right w:val="none" w:sz="0" w:space="0" w:color="auto"/>
          </w:divBdr>
          <w:divsChild>
            <w:div w:id="1912350400">
              <w:marLeft w:val="0"/>
              <w:marRight w:val="0"/>
              <w:marTop w:val="0"/>
              <w:marBottom w:val="0"/>
              <w:divBdr>
                <w:top w:val="none" w:sz="0" w:space="0" w:color="auto"/>
                <w:left w:val="none" w:sz="0" w:space="0" w:color="auto"/>
                <w:bottom w:val="none" w:sz="0" w:space="0" w:color="auto"/>
                <w:right w:val="none" w:sz="0" w:space="0" w:color="auto"/>
              </w:divBdr>
              <w:divsChild>
                <w:div w:id="1283154593">
                  <w:marLeft w:val="0"/>
                  <w:marRight w:val="0"/>
                  <w:marTop w:val="0"/>
                  <w:marBottom w:val="0"/>
                  <w:divBdr>
                    <w:top w:val="none" w:sz="0" w:space="0" w:color="auto"/>
                    <w:left w:val="none" w:sz="0" w:space="0" w:color="auto"/>
                    <w:bottom w:val="none" w:sz="0" w:space="0" w:color="auto"/>
                    <w:right w:val="none" w:sz="0" w:space="0" w:color="auto"/>
                  </w:divBdr>
                  <w:divsChild>
                    <w:div w:id="560365485">
                      <w:marLeft w:val="0"/>
                      <w:marRight w:val="0"/>
                      <w:marTop w:val="0"/>
                      <w:marBottom w:val="0"/>
                      <w:divBdr>
                        <w:top w:val="none" w:sz="0" w:space="0" w:color="auto"/>
                        <w:left w:val="none" w:sz="0" w:space="0" w:color="auto"/>
                        <w:bottom w:val="none" w:sz="0" w:space="0" w:color="auto"/>
                        <w:right w:val="none" w:sz="0" w:space="0" w:color="auto"/>
                      </w:divBdr>
                      <w:divsChild>
                        <w:div w:id="2145081685">
                          <w:marLeft w:val="0"/>
                          <w:marRight w:val="0"/>
                          <w:marTop w:val="0"/>
                          <w:marBottom w:val="0"/>
                          <w:divBdr>
                            <w:top w:val="none" w:sz="0" w:space="0" w:color="auto"/>
                            <w:left w:val="none" w:sz="0" w:space="0" w:color="auto"/>
                            <w:bottom w:val="none" w:sz="0" w:space="0" w:color="auto"/>
                            <w:right w:val="none" w:sz="0" w:space="0" w:color="auto"/>
                          </w:divBdr>
                          <w:divsChild>
                            <w:div w:id="1853445152">
                              <w:marLeft w:val="0"/>
                              <w:marRight w:val="0"/>
                              <w:marTop w:val="0"/>
                              <w:marBottom w:val="0"/>
                              <w:divBdr>
                                <w:top w:val="none" w:sz="0" w:space="0" w:color="auto"/>
                                <w:left w:val="none" w:sz="0" w:space="0" w:color="auto"/>
                                <w:bottom w:val="none" w:sz="0" w:space="0" w:color="auto"/>
                                <w:right w:val="none" w:sz="0" w:space="0" w:color="auto"/>
                              </w:divBdr>
                              <w:divsChild>
                                <w:div w:id="1283608811">
                                  <w:marLeft w:val="0"/>
                                  <w:marRight w:val="0"/>
                                  <w:marTop w:val="0"/>
                                  <w:marBottom w:val="0"/>
                                  <w:divBdr>
                                    <w:top w:val="none" w:sz="0" w:space="0" w:color="auto"/>
                                    <w:left w:val="none" w:sz="0" w:space="0" w:color="auto"/>
                                    <w:bottom w:val="none" w:sz="0" w:space="0" w:color="auto"/>
                                    <w:right w:val="none" w:sz="0" w:space="0" w:color="auto"/>
                                  </w:divBdr>
                                  <w:divsChild>
                                    <w:div w:id="956528924">
                                      <w:marLeft w:val="0"/>
                                      <w:marRight w:val="0"/>
                                      <w:marTop w:val="0"/>
                                      <w:marBottom w:val="0"/>
                                      <w:divBdr>
                                        <w:top w:val="none" w:sz="0" w:space="0" w:color="auto"/>
                                        <w:left w:val="none" w:sz="0" w:space="0" w:color="auto"/>
                                        <w:bottom w:val="none" w:sz="0" w:space="0" w:color="auto"/>
                                        <w:right w:val="none" w:sz="0" w:space="0" w:color="auto"/>
                                      </w:divBdr>
                                      <w:divsChild>
                                        <w:div w:id="12915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7715517">
          <w:marLeft w:val="0"/>
          <w:marRight w:val="0"/>
          <w:marTop w:val="0"/>
          <w:marBottom w:val="0"/>
          <w:divBdr>
            <w:top w:val="none" w:sz="0" w:space="0" w:color="auto"/>
            <w:left w:val="none" w:sz="0" w:space="0" w:color="auto"/>
            <w:bottom w:val="none" w:sz="0" w:space="0" w:color="auto"/>
            <w:right w:val="none" w:sz="0" w:space="0" w:color="auto"/>
          </w:divBdr>
          <w:divsChild>
            <w:div w:id="1825202210">
              <w:marLeft w:val="0"/>
              <w:marRight w:val="0"/>
              <w:marTop w:val="0"/>
              <w:marBottom w:val="0"/>
              <w:divBdr>
                <w:top w:val="none" w:sz="0" w:space="0" w:color="auto"/>
                <w:left w:val="none" w:sz="0" w:space="0" w:color="auto"/>
                <w:bottom w:val="none" w:sz="0" w:space="0" w:color="auto"/>
                <w:right w:val="none" w:sz="0" w:space="0" w:color="auto"/>
              </w:divBdr>
              <w:divsChild>
                <w:div w:id="462818174">
                  <w:marLeft w:val="0"/>
                  <w:marRight w:val="0"/>
                  <w:marTop w:val="0"/>
                  <w:marBottom w:val="0"/>
                  <w:divBdr>
                    <w:top w:val="none" w:sz="0" w:space="0" w:color="auto"/>
                    <w:left w:val="none" w:sz="0" w:space="0" w:color="auto"/>
                    <w:bottom w:val="none" w:sz="0" w:space="0" w:color="auto"/>
                    <w:right w:val="none" w:sz="0" w:space="0" w:color="auto"/>
                  </w:divBdr>
                  <w:divsChild>
                    <w:div w:id="99036878">
                      <w:marLeft w:val="0"/>
                      <w:marRight w:val="0"/>
                      <w:marTop w:val="0"/>
                      <w:marBottom w:val="0"/>
                      <w:divBdr>
                        <w:top w:val="none" w:sz="0" w:space="0" w:color="auto"/>
                        <w:left w:val="none" w:sz="0" w:space="0" w:color="auto"/>
                        <w:bottom w:val="none" w:sz="0" w:space="0" w:color="auto"/>
                        <w:right w:val="none" w:sz="0" w:space="0" w:color="auto"/>
                      </w:divBdr>
                      <w:divsChild>
                        <w:div w:id="1114255210">
                          <w:marLeft w:val="0"/>
                          <w:marRight w:val="0"/>
                          <w:marTop w:val="0"/>
                          <w:marBottom w:val="0"/>
                          <w:divBdr>
                            <w:top w:val="none" w:sz="0" w:space="0" w:color="auto"/>
                            <w:left w:val="none" w:sz="0" w:space="0" w:color="auto"/>
                            <w:bottom w:val="none" w:sz="0" w:space="0" w:color="auto"/>
                            <w:right w:val="none" w:sz="0" w:space="0" w:color="auto"/>
                          </w:divBdr>
                          <w:divsChild>
                            <w:div w:id="1377314774">
                              <w:marLeft w:val="0"/>
                              <w:marRight w:val="0"/>
                              <w:marTop w:val="0"/>
                              <w:marBottom w:val="0"/>
                              <w:divBdr>
                                <w:top w:val="none" w:sz="0" w:space="0" w:color="auto"/>
                                <w:left w:val="none" w:sz="0" w:space="0" w:color="auto"/>
                                <w:bottom w:val="none" w:sz="0" w:space="0" w:color="auto"/>
                                <w:right w:val="none" w:sz="0" w:space="0" w:color="auto"/>
                              </w:divBdr>
                              <w:divsChild>
                                <w:div w:id="1391541648">
                                  <w:marLeft w:val="0"/>
                                  <w:marRight w:val="0"/>
                                  <w:marTop w:val="0"/>
                                  <w:marBottom w:val="0"/>
                                  <w:divBdr>
                                    <w:top w:val="none" w:sz="0" w:space="0" w:color="auto"/>
                                    <w:left w:val="none" w:sz="0" w:space="0" w:color="auto"/>
                                    <w:bottom w:val="none" w:sz="0" w:space="0" w:color="auto"/>
                                    <w:right w:val="none" w:sz="0" w:space="0" w:color="auto"/>
                                  </w:divBdr>
                                  <w:divsChild>
                                    <w:div w:id="1497764280">
                                      <w:marLeft w:val="0"/>
                                      <w:marRight w:val="0"/>
                                      <w:marTop w:val="0"/>
                                      <w:marBottom w:val="0"/>
                                      <w:divBdr>
                                        <w:top w:val="none" w:sz="0" w:space="0" w:color="auto"/>
                                        <w:left w:val="none" w:sz="0" w:space="0" w:color="auto"/>
                                        <w:bottom w:val="none" w:sz="0" w:space="0" w:color="auto"/>
                                        <w:right w:val="none" w:sz="0" w:space="0" w:color="auto"/>
                                      </w:divBdr>
                                      <w:divsChild>
                                        <w:div w:id="4088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605381">
          <w:marLeft w:val="0"/>
          <w:marRight w:val="0"/>
          <w:marTop w:val="0"/>
          <w:marBottom w:val="0"/>
          <w:divBdr>
            <w:top w:val="none" w:sz="0" w:space="0" w:color="auto"/>
            <w:left w:val="none" w:sz="0" w:space="0" w:color="auto"/>
            <w:bottom w:val="none" w:sz="0" w:space="0" w:color="auto"/>
            <w:right w:val="none" w:sz="0" w:space="0" w:color="auto"/>
          </w:divBdr>
          <w:divsChild>
            <w:div w:id="1055815619">
              <w:marLeft w:val="0"/>
              <w:marRight w:val="0"/>
              <w:marTop w:val="0"/>
              <w:marBottom w:val="0"/>
              <w:divBdr>
                <w:top w:val="none" w:sz="0" w:space="0" w:color="auto"/>
                <w:left w:val="none" w:sz="0" w:space="0" w:color="auto"/>
                <w:bottom w:val="none" w:sz="0" w:space="0" w:color="auto"/>
                <w:right w:val="none" w:sz="0" w:space="0" w:color="auto"/>
              </w:divBdr>
              <w:divsChild>
                <w:div w:id="926501117">
                  <w:marLeft w:val="0"/>
                  <w:marRight w:val="0"/>
                  <w:marTop w:val="0"/>
                  <w:marBottom w:val="0"/>
                  <w:divBdr>
                    <w:top w:val="none" w:sz="0" w:space="0" w:color="auto"/>
                    <w:left w:val="none" w:sz="0" w:space="0" w:color="auto"/>
                    <w:bottom w:val="none" w:sz="0" w:space="0" w:color="auto"/>
                    <w:right w:val="none" w:sz="0" w:space="0" w:color="auto"/>
                  </w:divBdr>
                  <w:divsChild>
                    <w:div w:id="2132043901">
                      <w:marLeft w:val="0"/>
                      <w:marRight w:val="0"/>
                      <w:marTop w:val="0"/>
                      <w:marBottom w:val="0"/>
                      <w:divBdr>
                        <w:top w:val="none" w:sz="0" w:space="0" w:color="auto"/>
                        <w:left w:val="none" w:sz="0" w:space="0" w:color="auto"/>
                        <w:bottom w:val="none" w:sz="0" w:space="0" w:color="auto"/>
                        <w:right w:val="none" w:sz="0" w:space="0" w:color="auto"/>
                      </w:divBdr>
                      <w:divsChild>
                        <w:div w:id="943422252">
                          <w:marLeft w:val="0"/>
                          <w:marRight w:val="0"/>
                          <w:marTop w:val="0"/>
                          <w:marBottom w:val="0"/>
                          <w:divBdr>
                            <w:top w:val="none" w:sz="0" w:space="0" w:color="auto"/>
                            <w:left w:val="none" w:sz="0" w:space="0" w:color="auto"/>
                            <w:bottom w:val="none" w:sz="0" w:space="0" w:color="auto"/>
                            <w:right w:val="none" w:sz="0" w:space="0" w:color="auto"/>
                          </w:divBdr>
                          <w:divsChild>
                            <w:div w:id="1502888162">
                              <w:marLeft w:val="0"/>
                              <w:marRight w:val="0"/>
                              <w:marTop w:val="0"/>
                              <w:marBottom w:val="0"/>
                              <w:divBdr>
                                <w:top w:val="none" w:sz="0" w:space="0" w:color="auto"/>
                                <w:left w:val="none" w:sz="0" w:space="0" w:color="auto"/>
                                <w:bottom w:val="none" w:sz="0" w:space="0" w:color="auto"/>
                                <w:right w:val="none" w:sz="0" w:space="0" w:color="auto"/>
                              </w:divBdr>
                              <w:divsChild>
                                <w:div w:id="1765497538">
                                  <w:marLeft w:val="0"/>
                                  <w:marRight w:val="0"/>
                                  <w:marTop w:val="0"/>
                                  <w:marBottom w:val="0"/>
                                  <w:divBdr>
                                    <w:top w:val="none" w:sz="0" w:space="0" w:color="auto"/>
                                    <w:left w:val="none" w:sz="0" w:space="0" w:color="auto"/>
                                    <w:bottom w:val="none" w:sz="0" w:space="0" w:color="auto"/>
                                    <w:right w:val="none" w:sz="0" w:space="0" w:color="auto"/>
                                  </w:divBdr>
                                  <w:divsChild>
                                    <w:div w:id="1670400084">
                                      <w:marLeft w:val="0"/>
                                      <w:marRight w:val="0"/>
                                      <w:marTop w:val="0"/>
                                      <w:marBottom w:val="0"/>
                                      <w:divBdr>
                                        <w:top w:val="none" w:sz="0" w:space="0" w:color="auto"/>
                                        <w:left w:val="none" w:sz="0" w:space="0" w:color="auto"/>
                                        <w:bottom w:val="none" w:sz="0" w:space="0" w:color="auto"/>
                                        <w:right w:val="none" w:sz="0" w:space="0" w:color="auto"/>
                                      </w:divBdr>
                                      <w:divsChild>
                                        <w:div w:id="100390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925551">
          <w:marLeft w:val="0"/>
          <w:marRight w:val="0"/>
          <w:marTop w:val="0"/>
          <w:marBottom w:val="0"/>
          <w:divBdr>
            <w:top w:val="none" w:sz="0" w:space="0" w:color="auto"/>
            <w:left w:val="none" w:sz="0" w:space="0" w:color="auto"/>
            <w:bottom w:val="none" w:sz="0" w:space="0" w:color="auto"/>
            <w:right w:val="none" w:sz="0" w:space="0" w:color="auto"/>
          </w:divBdr>
          <w:divsChild>
            <w:div w:id="1610312782">
              <w:marLeft w:val="0"/>
              <w:marRight w:val="0"/>
              <w:marTop w:val="0"/>
              <w:marBottom w:val="0"/>
              <w:divBdr>
                <w:top w:val="none" w:sz="0" w:space="0" w:color="auto"/>
                <w:left w:val="none" w:sz="0" w:space="0" w:color="auto"/>
                <w:bottom w:val="none" w:sz="0" w:space="0" w:color="auto"/>
                <w:right w:val="none" w:sz="0" w:space="0" w:color="auto"/>
              </w:divBdr>
              <w:divsChild>
                <w:div w:id="1260135756">
                  <w:marLeft w:val="0"/>
                  <w:marRight w:val="0"/>
                  <w:marTop w:val="0"/>
                  <w:marBottom w:val="0"/>
                  <w:divBdr>
                    <w:top w:val="none" w:sz="0" w:space="0" w:color="auto"/>
                    <w:left w:val="none" w:sz="0" w:space="0" w:color="auto"/>
                    <w:bottom w:val="none" w:sz="0" w:space="0" w:color="auto"/>
                    <w:right w:val="none" w:sz="0" w:space="0" w:color="auto"/>
                  </w:divBdr>
                  <w:divsChild>
                    <w:div w:id="2086755003">
                      <w:marLeft w:val="0"/>
                      <w:marRight w:val="0"/>
                      <w:marTop w:val="0"/>
                      <w:marBottom w:val="0"/>
                      <w:divBdr>
                        <w:top w:val="none" w:sz="0" w:space="0" w:color="auto"/>
                        <w:left w:val="none" w:sz="0" w:space="0" w:color="auto"/>
                        <w:bottom w:val="none" w:sz="0" w:space="0" w:color="auto"/>
                        <w:right w:val="none" w:sz="0" w:space="0" w:color="auto"/>
                      </w:divBdr>
                      <w:divsChild>
                        <w:div w:id="1279994743">
                          <w:marLeft w:val="0"/>
                          <w:marRight w:val="0"/>
                          <w:marTop w:val="0"/>
                          <w:marBottom w:val="0"/>
                          <w:divBdr>
                            <w:top w:val="none" w:sz="0" w:space="0" w:color="auto"/>
                            <w:left w:val="none" w:sz="0" w:space="0" w:color="auto"/>
                            <w:bottom w:val="none" w:sz="0" w:space="0" w:color="auto"/>
                            <w:right w:val="none" w:sz="0" w:space="0" w:color="auto"/>
                          </w:divBdr>
                          <w:divsChild>
                            <w:div w:id="462042308">
                              <w:marLeft w:val="0"/>
                              <w:marRight w:val="0"/>
                              <w:marTop w:val="0"/>
                              <w:marBottom w:val="0"/>
                              <w:divBdr>
                                <w:top w:val="none" w:sz="0" w:space="0" w:color="auto"/>
                                <w:left w:val="none" w:sz="0" w:space="0" w:color="auto"/>
                                <w:bottom w:val="none" w:sz="0" w:space="0" w:color="auto"/>
                                <w:right w:val="none" w:sz="0" w:space="0" w:color="auto"/>
                              </w:divBdr>
                              <w:divsChild>
                                <w:div w:id="2095130804">
                                  <w:marLeft w:val="0"/>
                                  <w:marRight w:val="0"/>
                                  <w:marTop w:val="0"/>
                                  <w:marBottom w:val="0"/>
                                  <w:divBdr>
                                    <w:top w:val="none" w:sz="0" w:space="0" w:color="auto"/>
                                    <w:left w:val="none" w:sz="0" w:space="0" w:color="auto"/>
                                    <w:bottom w:val="none" w:sz="0" w:space="0" w:color="auto"/>
                                    <w:right w:val="none" w:sz="0" w:space="0" w:color="auto"/>
                                  </w:divBdr>
                                  <w:divsChild>
                                    <w:div w:id="819617722">
                                      <w:marLeft w:val="0"/>
                                      <w:marRight w:val="0"/>
                                      <w:marTop w:val="0"/>
                                      <w:marBottom w:val="0"/>
                                      <w:divBdr>
                                        <w:top w:val="none" w:sz="0" w:space="0" w:color="auto"/>
                                        <w:left w:val="none" w:sz="0" w:space="0" w:color="auto"/>
                                        <w:bottom w:val="none" w:sz="0" w:space="0" w:color="auto"/>
                                        <w:right w:val="none" w:sz="0" w:space="0" w:color="auto"/>
                                      </w:divBdr>
                                      <w:divsChild>
                                        <w:div w:id="20889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225438">
          <w:marLeft w:val="0"/>
          <w:marRight w:val="0"/>
          <w:marTop w:val="0"/>
          <w:marBottom w:val="0"/>
          <w:divBdr>
            <w:top w:val="none" w:sz="0" w:space="0" w:color="auto"/>
            <w:left w:val="none" w:sz="0" w:space="0" w:color="auto"/>
            <w:bottom w:val="none" w:sz="0" w:space="0" w:color="auto"/>
            <w:right w:val="none" w:sz="0" w:space="0" w:color="auto"/>
          </w:divBdr>
          <w:divsChild>
            <w:div w:id="2081170836">
              <w:marLeft w:val="0"/>
              <w:marRight w:val="0"/>
              <w:marTop w:val="0"/>
              <w:marBottom w:val="0"/>
              <w:divBdr>
                <w:top w:val="none" w:sz="0" w:space="0" w:color="auto"/>
                <w:left w:val="none" w:sz="0" w:space="0" w:color="auto"/>
                <w:bottom w:val="none" w:sz="0" w:space="0" w:color="auto"/>
                <w:right w:val="none" w:sz="0" w:space="0" w:color="auto"/>
              </w:divBdr>
              <w:divsChild>
                <w:div w:id="1494955645">
                  <w:marLeft w:val="0"/>
                  <w:marRight w:val="0"/>
                  <w:marTop w:val="0"/>
                  <w:marBottom w:val="0"/>
                  <w:divBdr>
                    <w:top w:val="none" w:sz="0" w:space="0" w:color="auto"/>
                    <w:left w:val="none" w:sz="0" w:space="0" w:color="auto"/>
                    <w:bottom w:val="none" w:sz="0" w:space="0" w:color="auto"/>
                    <w:right w:val="none" w:sz="0" w:space="0" w:color="auto"/>
                  </w:divBdr>
                  <w:divsChild>
                    <w:div w:id="737900535">
                      <w:marLeft w:val="0"/>
                      <w:marRight w:val="0"/>
                      <w:marTop w:val="0"/>
                      <w:marBottom w:val="0"/>
                      <w:divBdr>
                        <w:top w:val="none" w:sz="0" w:space="0" w:color="auto"/>
                        <w:left w:val="none" w:sz="0" w:space="0" w:color="auto"/>
                        <w:bottom w:val="none" w:sz="0" w:space="0" w:color="auto"/>
                        <w:right w:val="none" w:sz="0" w:space="0" w:color="auto"/>
                      </w:divBdr>
                      <w:divsChild>
                        <w:div w:id="583686174">
                          <w:marLeft w:val="0"/>
                          <w:marRight w:val="0"/>
                          <w:marTop w:val="0"/>
                          <w:marBottom w:val="0"/>
                          <w:divBdr>
                            <w:top w:val="none" w:sz="0" w:space="0" w:color="auto"/>
                            <w:left w:val="none" w:sz="0" w:space="0" w:color="auto"/>
                            <w:bottom w:val="none" w:sz="0" w:space="0" w:color="auto"/>
                            <w:right w:val="none" w:sz="0" w:space="0" w:color="auto"/>
                          </w:divBdr>
                          <w:divsChild>
                            <w:div w:id="430049652">
                              <w:marLeft w:val="0"/>
                              <w:marRight w:val="0"/>
                              <w:marTop w:val="0"/>
                              <w:marBottom w:val="0"/>
                              <w:divBdr>
                                <w:top w:val="none" w:sz="0" w:space="0" w:color="auto"/>
                                <w:left w:val="none" w:sz="0" w:space="0" w:color="auto"/>
                                <w:bottom w:val="none" w:sz="0" w:space="0" w:color="auto"/>
                                <w:right w:val="none" w:sz="0" w:space="0" w:color="auto"/>
                              </w:divBdr>
                              <w:divsChild>
                                <w:div w:id="898175271">
                                  <w:marLeft w:val="0"/>
                                  <w:marRight w:val="0"/>
                                  <w:marTop w:val="0"/>
                                  <w:marBottom w:val="0"/>
                                  <w:divBdr>
                                    <w:top w:val="none" w:sz="0" w:space="0" w:color="auto"/>
                                    <w:left w:val="none" w:sz="0" w:space="0" w:color="auto"/>
                                    <w:bottom w:val="none" w:sz="0" w:space="0" w:color="auto"/>
                                    <w:right w:val="none" w:sz="0" w:space="0" w:color="auto"/>
                                  </w:divBdr>
                                  <w:divsChild>
                                    <w:div w:id="1562709488">
                                      <w:marLeft w:val="0"/>
                                      <w:marRight w:val="0"/>
                                      <w:marTop w:val="0"/>
                                      <w:marBottom w:val="0"/>
                                      <w:divBdr>
                                        <w:top w:val="none" w:sz="0" w:space="0" w:color="auto"/>
                                        <w:left w:val="none" w:sz="0" w:space="0" w:color="auto"/>
                                        <w:bottom w:val="none" w:sz="0" w:space="0" w:color="auto"/>
                                        <w:right w:val="none" w:sz="0" w:space="0" w:color="auto"/>
                                      </w:divBdr>
                                      <w:divsChild>
                                        <w:div w:id="150932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02893">
          <w:marLeft w:val="0"/>
          <w:marRight w:val="0"/>
          <w:marTop w:val="0"/>
          <w:marBottom w:val="0"/>
          <w:divBdr>
            <w:top w:val="none" w:sz="0" w:space="0" w:color="auto"/>
            <w:left w:val="none" w:sz="0" w:space="0" w:color="auto"/>
            <w:bottom w:val="none" w:sz="0" w:space="0" w:color="auto"/>
            <w:right w:val="none" w:sz="0" w:space="0" w:color="auto"/>
          </w:divBdr>
          <w:divsChild>
            <w:div w:id="1324627045">
              <w:marLeft w:val="0"/>
              <w:marRight w:val="0"/>
              <w:marTop w:val="0"/>
              <w:marBottom w:val="0"/>
              <w:divBdr>
                <w:top w:val="none" w:sz="0" w:space="0" w:color="auto"/>
                <w:left w:val="none" w:sz="0" w:space="0" w:color="auto"/>
                <w:bottom w:val="none" w:sz="0" w:space="0" w:color="auto"/>
                <w:right w:val="none" w:sz="0" w:space="0" w:color="auto"/>
              </w:divBdr>
              <w:divsChild>
                <w:div w:id="1628777067">
                  <w:marLeft w:val="0"/>
                  <w:marRight w:val="0"/>
                  <w:marTop w:val="0"/>
                  <w:marBottom w:val="0"/>
                  <w:divBdr>
                    <w:top w:val="none" w:sz="0" w:space="0" w:color="auto"/>
                    <w:left w:val="none" w:sz="0" w:space="0" w:color="auto"/>
                    <w:bottom w:val="none" w:sz="0" w:space="0" w:color="auto"/>
                    <w:right w:val="none" w:sz="0" w:space="0" w:color="auto"/>
                  </w:divBdr>
                  <w:divsChild>
                    <w:div w:id="436675545">
                      <w:marLeft w:val="0"/>
                      <w:marRight w:val="0"/>
                      <w:marTop w:val="0"/>
                      <w:marBottom w:val="0"/>
                      <w:divBdr>
                        <w:top w:val="none" w:sz="0" w:space="0" w:color="auto"/>
                        <w:left w:val="none" w:sz="0" w:space="0" w:color="auto"/>
                        <w:bottom w:val="none" w:sz="0" w:space="0" w:color="auto"/>
                        <w:right w:val="none" w:sz="0" w:space="0" w:color="auto"/>
                      </w:divBdr>
                      <w:divsChild>
                        <w:div w:id="1718431157">
                          <w:marLeft w:val="0"/>
                          <w:marRight w:val="0"/>
                          <w:marTop w:val="0"/>
                          <w:marBottom w:val="0"/>
                          <w:divBdr>
                            <w:top w:val="none" w:sz="0" w:space="0" w:color="auto"/>
                            <w:left w:val="none" w:sz="0" w:space="0" w:color="auto"/>
                            <w:bottom w:val="none" w:sz="0" w:space="0" w:color="auto"/>
                            <w:right w:val="none" w:sz="0" w:space="0" w:color="auto"/>
                          </w:divBdr>
                          <w:divsChild>
                            <w:div w:id="781804223">
                              <w:marLeft w:val="0"/>
                              <w:marRight w:val="0"/>
                              <w:marTop w:val="0"/>
                              <w:marBottom w:val="0"/>
                              <w:divBdr>
                                <w:top w:val="none" w:sz="0" w:space="0" w:color="auto"/>
                                <w:left w:val="none" w:sz="0" w:space="0" w:color="auto"/>
                                <w:bottom w:val="none" w:sz="0" w:space="0" w:color="auto"/>
                                <w:right w:val="none" w:sz="0" w:space="0" w:color="auto"/>
                              </w:divBdr>
                              <w:divsChild>
                                <w:div w:id="647051673">
                                  <w:marLeft w:val="0"/>
                                  <w:marRight w:val="0"/>
                                  <w:marTop w:val="0"/>
                                  <w:marBottom w:val="0"/>
                                  <w:divBdr>
                                    <w:top w:val="none" w:sz="0" w:space="0" w:color="auto"/>
                                    <w:left w:val="none" w:sz="0" w:space="0" w:color="auto"/>
                                    <w:bottom w:val="none" w:sz="0" w:space="0" w:color="auto"/>
                                    <w:right w:val="none" w:sz="0" w:space="0" w:color="auto"/>
                                  </w:divBdr>
                                  <w:divsChild>
                                    <w:div w:id="1541824423">
                                      <w:marLeft w:val="0"/>
                                      <w:marRight w:val="0"/>
                                      <w:marTop w:val="0"/>
                                      <w:marBottom w:val="0"/>
                                      <w:divBdr>
                                        <w:top w:val="none" w:sz="0" w:space="0" w:color="auto"/>
                                        <w:left w:val="none" w:sz="0" w:space="0" w:color="auto"/>
                                        <w:bottom w:val="none" w:sz="0" w:space="0" w:color="auto"/>
                                        <w:right w:val="none" w:sz="0" w:space="0" w:color="auto"/>
                                      </w:divBdr>
                                      <w:divsChild>
                                        <w:div w:id="151599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407649">
          <w:marLeft w:val="0"/>
          <w:marRight w:val="0"/>
          <w:marTop w:val="0"/>
          <w:marBottom w:val="0"/>
          <w:divBdr>
            <w:top w:val="none" w:sz="0" w:space="0" w:color="auto"/>
            <w:left w:val="none" w:sz="0" w:space="0" w:color="auto"/>
            <w:bottom w:val="none" w:sz="0" w:space="0" w:color="auto"/>
            <w:right w:val="none" w:sz="0" w:space="0" w:color="auto"/>
          </w:divBdr>
          <w:divsChild>
            <w:div w:id="2146463186">
              <w:marLeft w:val="0"/>
              <w:marRight w:val="0"/>
              <w:marTop w:val="0"/>
              <w:marBottom w:val="0"/>
              <w:divBdr>
                <w:top w:val="none" w:sz="0" w:space="0" w:color="auto"/>
                <w:left w:val="none" w:sz="0" w:space="0" w:color="auto"/>
                <w:bottom w:val="none" w:sz="0" w:space="0" w:color="auto"/>
                <w:right w:val="none" w:sz="0" w:space="0" w:color="auto"/>
              </w:divBdr>
              <w:divsChild>
                <w:div w:id="1656954682">
                  <w:marLeft w:val="0"/>
                  <w:marRight w:val="0"/>
                  <w:marTop w:val="0"/>
                  <w:marBottom w:val="0"/>
                  <w:divBdr>
                    <w:top w:val="none" w:sz="0" w:space="0" w:color="auto"/>
                    <w:left w:val="none" w:sz="0" w:space="0" w:color="auto"/>
                    <w:bottom w:val="none" w:sz="0" w:space="0" w:color="auto"/>
                    <w:right w:val="none" w:sz="0" w:space="0" w:color="auto"/>
                  </w:divBdr>
                  <w:divsChild>
                    <w:div w:id="1640332846">
                      <w:marLeft w:val="0"/>
                      <w:marRight w:val="0"/>
                      <w:marTop w:val="0"/>
                      <w:marBottom w:val="0"/>
                      <w:divBdr>
                        <w:top w:val="none" w:sz="0" w:space="0" w:color="auto"/>
                        <w:left w:val="none" w:sz="0" w:space="0" w:color="auto"/>
                        <w:bottom w:val="none" w:sz="0" w:space="0" w:color="auto"/>
                        <w:right w:val="none" w:sz="0" w:space="0" w:color="auto"/>
                      </w:divBdr>
                      <w:divsChild>
                        <w:div w:id="932008741">
                          <w:marLeft w:val="0"/>
                          <w:marRight w:val="0"/>
                          <w:marTop w:val="0"/>
                          <w:marBottom w:val="0"/>
                          <w:divBdr>
                            <w:top w:val="none" w:sz="0" w:space="0" w:color="auto"/>
                            <w:left w:val="none" w:sz="0" w:space="0" w:color="auto"/>
                            <w:bottom w:val="none" w:sz="0" w:space="0" w:color="auto"/>
                            <w:right w:val="none" w:sz="0" w:space="0" w:color="auto"/>
                          </w:divBdr>
                          <w:divsChild>
                            <w:div w:id="375273951">
                              <w:marLeft w:val="0"/>
                              <w:marRight w:val="0"/>
                              <w:marTop w:val="0"/>
                              <w:marBottom w:val="0"/>
                              <w:divBdr>
                                <w:top w:val="none" w:sz="0" w:space="0" w:color="auto"/>
                                <w:left w:val="none" w:sz="0" w:space="0" w:color="auto"/>
                                <w:bottom w:val="none" w:sz="0" w:space="0" w:color="auto"/>
                                <w:right w:val="none" w:sz="0" w:space="0" w:color="auto"/>
                              </w:divBdr>
                              <w:divsChild>
                                <w:div w:id="2110004787">
                                  <w:marLeft w:val="0"/>
                                  <w:marRight w:val="0"/>
                                  <w:marTop w:val="0"/>
                                  <w:marBottom w:val="0"/>
                                  <w:divBdr>
                                    <w:top w:val="none" w:sz="0" w:space="0" w:color="auto"/>
                                    <w:left w:val="none" w:sz="0" w:space="0" w:color="auto"/>
                                    <w:bottom w:val="none" w:sz="0" w:space="0" w:color="auto"/>
                                    <w:right w:val="none" w:sz="0" w:space="0" w:color="auto"/>
                                  </w:divBdr>
                                  <w:divsChild>
                                    <w:div w:id="984356388">
                                      <w:marLeft w:val="0"/>
                                      <w:marRight w:val="0"/>
                                      <w:marTop w:val="0"/>
                                      <w:marBottom w:val="0"/>
                                      <w:divBdr>
                                        <w:top w:val="none" w:sz="0" w:space="0" w:color="auto"/>
                                        <w:left w:val="none" w:sz="0" w:space="0" w:color="auto"/>
                                        <w:bottom w:val="none" w:sz="0" w:space="0" w:color="auto"/>
                                        <w:right w:val="none" w:sz="0" w:space="0" w:color="auto"/>
                                      </w:divBdr>
                                      <w:divsChild>
                                        <w:div w:id="4973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916584">
          <w:marLeft w:val="0"/>
          <w:marRight w:val="0"/>
          <w:marTop w:val="0"/>
          <w:marBottom w:val="0"/>
          <w:divBdr>
            <w:top w:val="none" w:sz="0" w:space="0" w:color="auto"/>
            <w:left w:val="none" w:sz="0" w:space="0" w:color="auto"/>
            <w:bottom w:val="none" w:sz="0" w:space="0" w:color="auto"/>
            <w:right w:val="none" w:sz="0" w:space="0" w:color="auto"/>
          </w:divBdr>
          <w:divsChild>
            <w:div w:id="922033486">
              <w:marLeft w:val="0"/>
              <w:marRight w:val="0"/>
              <w:marTop w:val="0"/>
              <w:marBottom w:val="0"/>
              <w:divBdr>
                <w:top w:val="none" w:sz="0" w:space="0" w:color="auto"/>
                <w:left w:val="none" w:sz="0" w:space="0" w:color="auto"/>
                <w:bottom w:val="none" w:sz="0" w:space="0" w:color="auto"/>
                <w:right w:val="none" w:sz="0" w:space="0" w:color="auto"/>
              </w:divBdr>
              <w:divsChild>
                <w:div w:id="967323063">
                  <w:marLeft w:val="0"/>
                  <w:marRight w:val="0"/>
                  <w:marTop w:val="0"/>
                  <w:marBottom w:val="0"/>
                  <w:divBdr>
                    <w:top w:val="none" w:sz="0" w:space="0" w:color="auto"/>
                    <w:left w:val="none" w:sz="0" w:space="0" w:color="auto"/>
                    <w:bottom w:val="none" w:sz="0" w:space="0" w:color="auto"/>
                    <w:right w:val="none" w:sz="0" w:space="0" w:color="auto"/>
                  </w:divBdr>
                  <w:divsChild>
                    <w:div w:id="1859923432">
                      <w:marLeft w:val="0"/>
                      <w:marRight w:val="0"/>
                      <w:marTop w:val="0"/>
                      <w:marBottom w:val="0"/>
                      <w:divBdr>
                        <w:top w:val="none" w:sz="0" w:space="0" w:color="auto"/>
                        <w:left w:val="none" w:sz="0" w:space="0" w:color="auto"/>
                        <w:bottom w:val="none" w:sz="0" w:space="0" w:color="auto"/>
                        <w:right w:val="none" w:sz="0" w:space="0" w:color="auto"/>
                      </w:divBdr>
                      <w:divsChild>
                        <w:div w:id="522596145">
                          <w:marLeft w:val="0"/>
                          <w:marRight w:val="0"/>
                          <w:marTop w:val="0"/>
                          <w:marBottom w:val="0"/>
                          <w:divBdr>
                            <w:top w:val="none" w:sz="0" w:space="0" w:color="auto"/>
                            <w:left w:val="none" w:sz="0" w:space="0" w:color="auto"/>
                            <w:bottom w:val="none" w:sz="0" w:space="0" w:color="auto"/>
                            <w:right w:val="none" w:sz="0" w:space="0" w:color="auto"/>
                          </w:divBdr>
                          <w:divsChild>
                            <w:div w:id="23557492">
                              <w:marLeft w:val="0"/>
                              <w:marRight w:val="0"/>
                              <w:marTop w:val="0"/>
                              <w:marBottom w:val="0"/>
                              <w:divBdr>
                                <w:top w:val="none" w:sz="0" w:space="0" w:color="auto"/>
                                <w:left w:val="none" w:sz="0" w:space="0" w:color="auto"/>
                                <w:bottom w:val="none" w:sz="0" w:space="0" w:color="auto"/>
                                <w:right w:val="none" w:sz="0" w:space="0" w:color="auto"/>
                              </w:divBdr>
                              <w:divsChild>
                                <w:div w:id="12159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76534">
                  <w:marLeft w:val="0"/>
                  <w:marRight w:val="0"/>
                  <w:marTop w:val="0"/>
                  <w:marBottom w:val="0"/>
                  <w:divBdr>
                    <w:top w:val="none" w:sz="0" w:space="0" w:color="auto"/>
                    <w:left w:val="none" w:sz="0" w:space="0" w:color="auto"/>
                    <w:bottom w:val="none" w:sz="0" w:space="0" w:color="auto"/>
                    <w:right w:val="none" w:sz="0" w:space="0" w:color="auto"/>
                  </w:divBdr>
                  <w:divsChild>
                    <w:div w:id="1967469474">
                      <w:marLeft w:val="0"/>
                      <w:marRight w:val="0"/>
                      <w:marTop w:val="0"/>
                      <w:marBottom w:val="0"/>
                      <w:divBdr>
                        <w:top w:val="none" w:sz="0" w:space="0" w:color="auto"/>
                        <w:left w:val="none" w:sz="0" w:space="0" w:color="auto"/>
                        <w:bottom w:val="none" w:sz="0" w:space="0" w:color="auto"/>
                        <w:right w:val="none" w:sz="0" w:space="0" w:color="auto"/>
                      </w:divBdr>
                      <w:divsChild>
                        <w:div w:id="561647346">
                          <w:marLeft w:val="0"/>
                          <w:marRight w:val="0"/>
                          <w:marTop w:val="0"/>
                          <w:marBottom w:val="0"/>
                          <w:divBdr>
                            <w:top w:val="none" w:sz="0" w:space="0" w:color="auto"/>
                            <w:left w:val="none" w:sz="0" w:space="0" w:color="auto"/>
                            <w:bottom w:val="none" w:sz="0" w:space="0" w:color="auto"/>
                            <w:right w:val="none" w:sz="0" w:space="0" w:color="auto"/>
                          </w:divBdr>
                          <w:divsChild>
                            <w:div w:id="1607736540">
                              <w:marLeft w:val="0"/>
                              <w:marRight w:val="0"/>
                              <w:marTop w:val="0"/>
                              <w:marBottom w:val="0"/>
                              <w:divBdr>
                                <w:top w:val="none" w:sz="0" w:space="0" w:color="auto"/>
                                <w:left w:val="none" w:sz="0" w:space="0" w:color="auto"/>
                                <w:bottom w:val="none" w:sz="0" w:space="0" w:color="auto"/>
                                <w:right w:val="none" w:sz="0" w:space="0" w:color="auto"/>
                              </w:divBdr>
                              <w:divsChild>
                                <w:div w:id="32729695">
                                  <w:marLeft w:val="0"/>
                                  <w:marRight w:val="0"/>
                                  <w:marTop w:val="0"/>
                                  <w:marBottom w:val="0"/>
                                  <w:divBdr>
                                    <w:top w:val="none" w:sz="0" w:space="0" w:color="auto"/>
                                    <w:left w:val="none" w:sz="0" w:space="0" w:color="auto"/>
                                    <w:bottom w:val="none" w:sz="0" w:space="0" w:color="auto"/>
                                    <w:right w:val="none" w:sz="0" w:space="0" w:color="auto"/>
                                  </w:divBdr>
                                  <w:divsChild>
                                    <w:div w:id="1401293925">
                                      <w:marLeft w:val="0"/>
                                      <w:marRight w:val="0"/>
                                      <w:marTop w:val="0"/>
                                      <w:marBottom w:val="0"/>
                                      <w:divBdr>
                                        <w:top w:val="none" w:sz="0" w:space="0" w:color="auto"/>
                                        <w:left w:val="none" w:sz="0" w:space="0" w:color="auto"/>
                                        <w:bottom w:val="none" w:sz="0" w:space="0" w:color="auto"/>
                                        <w:right w:val="none" w:sz="0" w:space="0" w:color="auto"/>
                                      </w:divBdr>
                                    </w:div>
                                  </w:divsChild>
                                </w:div>
                                <w:div w:id="1690713822">
                                  <w:marLeft w:val="0"/>
                                  <w:marRight w:val="0"/>
                                  <w:marTop w:val="0"/>
                                  <w:marBottom w:val="0"/>
                                  <w:divBdr>
                                    <w:top w:val="none" w:sz="0" w:space="0" w:color="auto"/>
                                    <w:left w:val="none" w:sz="0" w:space="0" w:color="auto"/>
                                    <w:bottom w:val="none" w:sz="0" w:space="0" w:color="auto"/>
                                    <w:right w:val="none" w:sz="0" w:space="0" w:color="auto"/>
                                  </w:divBdr>
                                  <w:divsChild>
                                    <w:div w:id="113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99554">
                          <w:marLeft w:val="0"/>
                          <w:marRight w:val="0"/>
                          <w:marTop w:val="0"/>
                          <w:marBottom w:val="0"/>
                          <w:divBdr>
                            <w:top w:val="none" w:sz="0" w:space="0" w:color="auto"/>
                            <w:left w:val="none" w:sz="0" w:space="0" w:color="auto"/>
                            <w:bottom w:val="none" w:sz="0" w:space="0" w:color="auto"/>
                            <w:right w:val="none" w:sz="0" w:space="0" w:color="auto"/>
                          </w:divBdr>
                          <w:divsChild>
                            <w:div w:id="883443719">
                              <w:marLeft w:val="0"/>
                              <w:marRight w:val="0"/>
                              <w:marTop w:val="0"/>
                              <w:marBottom w:val="0"/>
                              <w:divBdr>
                                <w:top w:val="none" w:sz="0" w:space="0" w:color="auto"/>
                                <w:left w:val="none" w:sz="0" w:space="0" w:color="auto"/>
                                <w:bottom w:val="none" w:sz="0" w:space="0" w:color="auto"/>
                                <w:right w:val="none" w:sz="0" w:space="0" w:color="auto"/>
                              </w:divBdr>
                              <w:divsChild>
                                <w:div w:id="1799762001">
                                  <w:marLeft w:val="0"/>
                                  <w:marRight w:val="0"/>
                                  <w:marTop w:val="0"/>
                                  <w:marBottom w:val="0"/>
                                  <w:divBdr>
                                    <w:top w:val="none" w:sz="0" w:space="0" w:color="auto"/>
                                    <w:left w:val="none" w:sz="0" w:space="0" w:color="auto"/>
                                    <w:bottom w:val="none" w:sz="0" w:space="0" w:color="auto"/>
                                    <w:right w:val="none" w:sz="0" w:space="0" w:color="auto"/>
                                  </w:divBdr>
                                  <w:divsChild>
                                    <w:div w:id="14987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536499">
          <w:marLeft w:val="0"/>
          <w:marRight w:val="0"/>
          <w:marTop w:val="0"/>
          <w:marBottom w:val="0"/>
          <w:divBdr>
            <w:top w:val="none" w:sz="0" w:space="0" w:color="auto"/>
            <w:left w:val="none" w:sz="0" w:space="0" w:color="auto"/>
            <w:bottom w:val="none" w:sz="0" w:space="0" w:color="auto"/>
            <w:right w:val="none" w:sz="0" w:space="0" w:color="auto"/>
          </w:divBdr>
          <w:divsChild>
            <w:div w:id="905843234">
              <w:marLeft w:val="0"/>
              <w:marRight w:val="0"/>
              <w:marTop w:val="0"/>
              <w:marBottom w:val="0"/>
              <w:divBdr>
                <w:top w:val="none" w:sz="0" w:space="0" w:color="auto"/>
                <w:left w:val="none" w:sz="0" w:space="0" w:color="auto"/>
                <w:bottom w:val="none" w:sz="0" w:space="0" w:color="auto"/>
                <w:right w:val="none" w:sz="0" w:space="0" w:color="auto"/>
              </w:divBdr>
              <w:divsChild>
                <w:div w:id="370495740">
                  <w:marLeft w:val="0"/>
                  <w:marRight w:val="0"/>
                  <w:marTop w:val="0"/>
                  <w:marBottom w:val="0"/>
                  <w:divBdr>
                    <w:top w:val="none" w:sz="0" w:space="0" w:color="auto"/>
                    <w:left w:val="none" w:sz="0" w:space="0" w:color="auto"/>
                    <w:bottom w:val="none" w:sz="0" w:space="0" w:color="auto"/>
                    <w:right w:val="none" w:sz="0" w:space="0" w:color="auto"/>
                  </w:divBdr>
                  <w:divsChild>
                    <w:div w:id="278803657">
                      <w:marLeft w:val="0"/>
                      <w:marRight w:val="0"/>
                      <w:marTop w:val="0"/>
                      <w:marBottom w:val="0"/>
                      <w:divBdr>
                        <w:top w:val="none" w:sz="0" w:space="0" w:color="auto"/>
                        <w:left w:val="none" w:sz="0" w:space="0" w:color="auto"/>
                        <w:bottom w:val="none" w:sz="0" w:space="0" w:color="auto"/>
                        <w:right w:val="none" w:sz="0" w:space="0" w:color="auto"/>
                      </w:divBdr>
                      <w:divsChild>
                        <w:div w:id="341903364">
                          <w:marLeft w:val="0"/>
                          <w:marRight w:val="0"/>
                          <w:marTop w:val="0"/>
                          <w:marBottom w:val="0"/>
                          <w:divBdr>
                            <w:top w:val="none" w:sz="0" w:space="0" w:color="auto"/>
                            <w:left w:val="none" w:sz="0" w:space="0" w:color="auto"/>
                            <w:bottom w:val="none" w:sz="0" w:space="0" w:color="auto"/>
                            <w:right w:val="none" w:sz="0" w:space="0" w:color="auto"/>
                          </w:divBdr>
                          <w:divsChild>
                            <w:div w:id="1385566523">
                              <w:marLeft w:val="0"/>
                              <w:marRight w:val="0"/>
                              <w:marTop w:val="0"/>
                              <w:marBottom w:val="0"/>
                              <w:divBdr>
                                <w:top w:val="none" w:sz="0" w:space="0" w:color="auto"/>
                                <w:left w:val="none" w:sz="0" w:space="0" w:color="auto"/>
                                <w:bottom w:val="none" w:sz="0" w:space="0" w:color="auto"/>
                                <w:right w:val="none" w:sz="0" w:space="0" w:color="auto"/>
                              </w:divBdr>
                              <w:divsChild>
                                <w:div w:id="19514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17905">
                  <w:marLeft w:val="0"/>
                  <w:marRight w:val="0"/>
                  <w:marTop w:val="0"/>
                  <w:marBottom w:val="0"/>
                  <w:divBdr>
                    <w:top w:val="none" w:sz="0" w:space="0" w:color="auto"/>
                    <w:left w:val="none" w:sz="0" w:space="0" w:color="auto"/>
                    <w:bottom w:val="none" w:sz="0" w:space="0" w:color="auto"/>
                    <w:right w:val="none" w:sz="0" w:space="0" w:color="auto"/>
                  </w:divBdr>
                  <w:divsChild>
                    <w:div w:id="2061710551">
                      <w:marLeft w:val="0"/>
                      <w:marRight w:val="0"/>
                      <w:marTop w:val="0"/>
                      <w:marBottom w:val="0"/>
                      <w:divBdr>
                        <w:top w:val="none" w:sz="0" w:space="0" w:color="auto"/>
                        <w:left w:val="none" w:sz="0" w:space="0" w:color="auto"/>
                        <w:bottom w:val="none" w:sz="0" w:space="0" w:color="auto"/>
                        <w:right w:val="none" w:sz="0" w:space="0" w:color="auto"/>
                      </w:divBdr>
                      <w:divsChild>
                        <w:div w:id="1789347012">
                          <w:marLeft w:val="0"/>
                          <w:marRight w:val="0"/>
                          <w:marTop w:val="0"/>
                          <w:marBottom w:val="0"/>
                          <w:divBdr>
                            <w:top w:val="none" w:sz="0" w:space="0" w:color="auto"/>
                            <w:left w:val="none" w:sz="0" w:space="0" w:color="auto"/>
                            <w:bottom w:val="none" w:sz="0" w:space="0" w:color="auto"/>
                            <w:right w:val="none" w:sz="0" w:space="0" w:color="auto"/>
                          </w:divBdr>
                          <w:divsChild>
                            <w:div w:id="224265713">
                              <w:marLeft w:val="0"/>
                              <w:marRight w:val="0"/>
                              <w:marTop w:val="0"/>
                              <w:marBottom w:val="0"/>
                              <w:divBdr>
                                <w:top w:val="none" w:sz="0" w:space="0" w:color="auto"/>
                                <w:left w:val="none" w:sz="0" w:space="0" w:color="auto"/>
                                <w:bottom w:val="none" w:sz="0" w:space="0" w:color="auto"/>
                                <w:right w:val="none" w:sz="0" w:space="0" w:color="auto"/>
                              </w:divBdr>
                              <w:divsChild>
                                <w:div w:id="1324628656">
                                  <w:marLeft w:val="0"/>
                                  <w:marRight w:val="0"/>
                                  <w:marTop w:val="0"/>
                                  <w:marBottom w:val="0"/>
                                  <w:divBdr>
                                    <w:top w:val="none" w:sz="0" w:space="0" w:color="auto"/>
                                    <w:left w:val="none" w:sz="0" w:space="0" w:color="auto"/>
                                    <w:bottom w:val="none" w:sz="0" w:space="0" w:color="auto"/>
                                    <w:right w:val="none" w:sz="0" w:space="0" w:color="auto"/>
                                  </w:divBdr>
                                  <w:divsChild>
                                    <w:div w:id="21448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20935">
                          <w:marLeft w:val="0"/>
                          <w:marRight w:val="0"/>
                          <w:marTop w:val="0"/>
                          <w:marBottom w:val="0"/>
                          <w:divBdr>
                            <w:top w:val="none" w:sz="0" w:space="0" w:color="auto"/>
                            <w:left w:val="none" w:sz="0" w:space="0" w:color="auto"/>
                            <w:bottom w:val="none" w:sz="0" w:space="0" w:color="auto"/>
                            <w:right w:val="none" w:sz="0" w:space="0" w:color="auto"/>
                          </w:divBdr>
                          <w:divsChild>
                            <w:div w:id="1166550252">
                              <w:marLeft w:val="0"/>
                              <w:marRight w:val="0"/>
                              <w:marTop w:val="0"/>
                              <w:marBottom w:val="0"/>
                              <w:divBdr>
                                <w:top w:val="none" w:sz="0" w:space="0" w:color="auto"/>
                                <w:left w:val="none" w:sz="0" w:space="0" w:color="auto"/>
                                <w:bottom w:val="none" w:sz="0" w:space="0" w:color="auto"/>
                                <w:right w:val="none" w:sz="0" w:space="0" w:color="auto"/>
                              </w:divBdr>
                              <w:divsChild>
                                <w:div w:id="887036388">
                                  <w:marLeft w:val="0"/>
                                  <w:marRight w:val="0"/>
                                  <w:marTop w:val="0"/>
                                  <w:marBottom w:val="0"/>
                                  <w:divBdr>
                                    <w:top w:val="none" w:sz="0" w:space="0" w:color="auto"/>
                                    <w:left w:val="none" w:sz="0" w:space="0" w:color="auto"/>
                                    <w:bottom w:val="none" w:sz="0" w:space="0" w:color="auto"/>
                                    <w:right w:val="none" w:sz="0" w:space="0" w:color="auto"/>
                                  </w:divBdr>
                                  <w:divsChild>
                                    <w:div w:id="8962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539010">
          <w:marLeft w:val="0"/>
          <w:marRight w:val="0"/>
          <w:marTop w:val="0"/>
          <w:marBottom w:val="0"/>
          <w:divBdr>
            <w:top w:val="none" w:sz="0" w:space="0" w:color="auto"/>
            <w:left w:val="none" w:sz="0" w:space="0" w:color="auto"/>
            <w:bottom w:val="none" w:sz="0" w:space="0" w:color="auto"/>
            <w:right w:val="none" w:sz="0" w:space="0" w:color="auto"/>
          </w:divBdr>
          <w:divsChild>
            <w:div w:id="45641103">
              <w:marLeft w:val="0"/>
              <w:marRight w:val="0"/>
              <w:marTop w:val="0"/>
              <w:marBottom w:val="0"/>
              <w:divBdr>
                <w:top w:val="none" w:sz="0" w:space="0" w:color="auto"/>
                <w:left w:val="none" w:sz="0" w:space="0" w:color="auto"/>
                <w:bottom w:val="none" w:sz="0" w:space="0" w:color="auto"/>
                <w:right w:val="none" w:sz="0" w:space="0" w:color="auto"/>
              </w:divBdr>
              <w:divsChild>
                <w:div w:id="408617703">
                  <w:marLeft w:val="0"/>
                  <w:marRight w:val="0"/>
                  <w:marTop w:val="0"/>
                  <w:marBottom w:val="0"/>
                  <w:divBdr>
                    <w:top w:val="none" w:sz="0" w:space="0" w:color="auto"/>
                    <w:left w:val="none" w:sz="0" w:space="0" w:color="auto"/>
                    <w:bottom w:val="none" w:sz="0" w:space="0" w:color="auto"/>
                    <w:right w:val="none" w:sz="0" w:space="0" w:color="auto"/>
                  </w:divBdr>
                  <w:divsChild>
                    <w:div w:id="1049912311">
                      <w:marLeft w:val="0"/>
                      <w:marRight w:val="0"/>
                      <w:marTop w:val="0"/>
                      <w:marBottom w:val="0"/>
                      <w:divBdr>
                        <w:top w:val="none" w:sz="0" w:space="0" w:color="auto"/>
                        <w:left w:val="none" w:sz="0" w:space="0" w:color="auto"/>
                        <w:bottom w:val="none" w:sz="0" w:space="0" w:color="auto"/>
                        <w:right w:val="none" w:sz="0" w:space="0" w:color="auto"/>
                      </w:divBdr>
                      <w:divsChild>
                        <w:div w:id="218520467">
                          <w:marLeft w:val="0"/>
                          <w:marRight w:val="0"/>
                          <w:marTop w:val="0"/>
                          <w:marBottom w:val="0"/>
                          <w:divBdr>
                            <w:top w:val="none" w:sz="0" w:space="0" w:color="auto"/>
                            <w:left w:val="none" w:sz="0" w:space="0" w:color="auto"/>
                            <w:bottom w:val="none" w:sz="0" w:space="0" w:color="auto"/>
                            <w:right w:val="none" w:sz="0" w:space="0" w:color="auto"/>
                          </w:divBdr>
                          <w:divsChild>
                            <w:div w:id="2078085578">
                              <w:marLeft w:val="0"/>
                              <w:marRight w:val="0"/>
                              <w:marTop w:val="0"/>
                              <w:marBottom w:val="0"/>
                              <w:divBdr>
                                <w:top w:val="none" w:sz="0" w:space="0" w:color="auto"/>
                                <w:left w:val="none" w:sz="0" w:space="0" w:color="auto"/>
                                <w:bottom w:val="none" w:sz="0" w:space="0" w:color="auto"/>
                                <w:right w:val="none" w:sz="0" w:space="0" w:color="auto"/>
                              </w:divBdr>
                              <w:divsChild>
                                <w:div w:id="653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5568">
                  <w:marLeft w:val="0"/>
                  <w:marRight w:val="0"/>
                  <w:marTop w:val="0"/>
                  <w:marBottom w:val="0"/>
                  <w:divBdr>
                    <w:top w:val="none" w:sz="0" w:space="0" w:color="auto"/>
                    <w:left w:val="none" w:sz="0" w:space="0" w:color="auto"/>
                    <w:bottom w:val="none" w:sz="0" w:space="0" w:color="auto"/>
                    <w:right w:val="none" w:sz="0" w:space="0" w:color="auto"/>
                  </w:divBdr>
                  <w:divsChild>
                    <w:div w:id="1135876274">
                      <w:marLeft w:val="0"/>
                      <w:marRight w:val="0"/>
                      <w:marTop w:val="0"/>
                      <w:marBottom w:val="0"/>
                      <w:divBdr>
                        <w:top w:val="none" w:sz="0" w:space="0" w:color="auto"/>
                        <w:left w:val="none" w:sz="0" w:space="0" w:color="auto"/>
                        <w:bottom w:val="none" w:sz="0" w:space="0" w:color="auto"/>
                        <w:right w:val="none" w:sz="0" w:space="0" w:color="auto"/>
                      </w:divBdr>
                      <w:divsChild>
                        <w:div w:id="1020400836">
                          <w:marLeft w:val="0"/>
                          <w:marRight w:val="0"/>
                          <w:marTop w:val="0"/>
                          <w:marBottom w:val="0"/>
                          <w:divBdr>
                            <w:top w:val="none" w:sz="0" w:space="0" w:color="auto"/>
                            <w:left w:val="none" w:sz="0" w:space="0" w:color="auto"/>
                            <w:bottom w:val="none" w:sz="0" w:space="0" w:color="auto"/>
                            <w:right w:val="none" w:sz="0" w:space="0" w:color="auto"/>
                          </w:divBdr>
                          <w:divsChild>
                            <w:div w:id="101653130">
                              <w:marLeft w:val="0"/>
                              <w:marRight w:val="0"/>
                              <w:marTop w:val="0"/>
                              <w:marBottom w:val="0"/>
                              <w:divBdr>
                                <w:top w:val="none" w:sz="0" w:space="0" w:color="auto"/>
                                <w:left w:val="none" w:sz="0" w:space="0" w:color="auto"/>
                                <w:bottom w:val="none" w:sz="0" w:space="0" w:color="auto"/>
                                <w:right w:val="none" w:sz="0" w:space="0" w:color="auto"/>
                              </w:divBdr>
                              <w:divsChild>
                                <w:div w:id="1170561344">
                                  <w:marLeft w:val="0"/>
                                  <w:marRight w:val="0"/>
                                  <w:marTop w:val="0"/>
                                  <w:marBottom w:val="0"/>
                                  <w:divBdr>
                                    <w:top w:val="none" w:sz="0" w:space="0" w:color="auto"/>
                                    <w:left w:val="none" w:sz="0" w:space="0" w:color="auto"/>
                                    <w:bottom w:val="none" w:sz="0" w:space="0" w:color="auto"/>
                                    <w:right w:val="none" w:sz="0" w:space="0" w:color="auto"/>
                                  </w:divBdr>
                                  <w:divsChild>
                                    <w:div w:id="52568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89508">
                          <w:marLeft w:val="0"/>
                          <w:marRight w:val="0"/>
                          <w:marTop w:val="0"/>
                          <w:marBottom w:val="0"/>
                          <w:divBdr>
                            <w:top w:val="none" w:sz="0" w:space="0" w:color="auto"/>
                            <w:left w:val="none" w:sz="0" w:space="0" w:color="auto"/>
                            <w:bottom w:val="none" w:sz="0" w:space="0" w:color="auto"/>
                            <w:right w:val="none" w:sz="0" w:space="0" w:color="auto"/>
                          </w:divBdr>
                          <w:divsChild>
                            <w:div w:id="1161509520">
                              <w:marLeft w:val="0"/>
                              <w:marRight w:val="0"/>
                              <w:marTop w:val="0"/>
                              <w:marBottom w:val="0"/>
                              <w:divBdr>
                                <w:top w:val="none" w:sz="0" w:space="0" w:color="auto"/>
                                <w:left w:val="none" w:sz="0" w:space="0" w:color="auto"/>
                                <w:bottom w:val="none" w:sz="0" w:space="0" w:color="auto"/>
                                <w:right w:val="none" w:sz="0" w:space="0" w:color="auto"/>
                              </w:divBdr>
                              <w:divsChild>
                                <w:div w:id="379088085">
                                  <w:marLeft w:val="0"/>
                                  <w:marRight w:val="0"/>
                                  <w:marTop w:val="0"/>
                                  <w:marBottom w:val="0"/>
                                  <w:divBdr>
                                    <w:top w:val="none" w:sz="0" w:space="0" w:color="auto"/>
                                    <w:left w:val="none" w:sz="0" w:space="0" w:color="auto"/>
                                    <w:bottom w:val="none" w:sz="0" w:space="0" w:color="auto"/>
                                    <w:right w:val="none" w:sz="0" w:space="0" w:color="auto"/>
                                  </w:divBdr>
                                  <w:divsChild>
                                    <w:div w:id="135379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956691">
          <w:marLeft w:val="0"/>
          <w:marRight w:val="0"/>
          <w:marTop w:val="0"/>
          <w:marBottom w:val="0"/>
          <w:divBdr>
            <w:top w:val="none" w:sz="0" w:space="0" w:color="auto"/>
            <w:left w:val="none" w:sz="0" w:space="0" w:color="auto"/>
            <w:bottom w:val="none" w:sz="0" w:space="0" w:color="auto"/>
            <w:right w:val="none" w:sz="0" w:space="0" w:color="auto"/>
          </w:divBdr>
          <w:divsChild>
            <w:div w:id="1815755665">
              <w:marLeft w:val="0"/>
              <w:marRight w:val="0"/>
              <w:marTop w:val="0"/>
              <w:marBottom w:val="0"/>
              <w:divBdr>
                <w:top w:val="none" w:sz="0" w:space="0" w:color="auto"/>
                <w:left w:val="none" w:sz="0" w:space="0" w:color="auto"/>
                <w:bottom w:val="none" w:sz="0" w:space="0" w:color="auto"/>
                <w:right w:val="none" w:sz="0" w:space="0" w:color="auto"/>
              </w:divBdr>
              <w:divsChild>
                <w:div w:id="1780027469">
                  <w:marLeft w:val="0"/>
                  <w:marRight w:val="0"/>
                  <w:marTop w:val="0"/>
                  <w:marBottom w:val="0"/>
                  <w:divBdr>
                    <w:top w:val="none" w:sz="0" w:space="0" w:color="auto"/>
                    <w:left w:val="none" w:sz="0" w:space="0" w:color="auto"/>
                    <w:bottom w:val="none" w:sz="0" w:space="0" w:color="auto"/>
                    <w:right w:val="none" w:sz="0" w:space="0" w:color="auto"/>
                  </w:divBdr>
                  <w:divsChild>
                    <w:div w:id="901409015">
                      <w:marLeft w:val="0"/>
                      <w:marRight w:val="0"/>
                      <w:marTop w:val="0"/>
                      <w:marBottom w:val="0"/>
                      <w:divBdr>
                        <w:top w:val="none" w:sz="0" w:space="0" w:color="auto"/>
                        <w:left w:val="none" w:sz="0" w:space="0" w:color="auto"/>
                        <w:bottom w:val="none" w:sz="0" w:space="0" w:color="auto"/>
                        <w:right w:val="none" w:sz="0" w:space="0" w:color="auto"/>
                      </w:divBdr>
                      <w:divsChild>
                        <w:div w:id="283540083">
                          <w:marLeft w:val="0"/>
                          <w:marRight w:val="0"/>
                          <w:marTop w:val="0"/>
                          <w:marBottom w:val="0"/>
                          <w:divBdr>
                            <w:top w:val="none" w:sz="0" w:space="0" w:color="auto"/>
                            <w:left w:val="none" w:sz="0" w:space="0" w:color="auto"/>
                            <w:bottom w:val="none" w:sz="0" w:space="0" w:color="auto"/>
                            <w:right w:val="none" w:sz="0" w:space="0" w:color="auto"/>
                          </w:divBdr>
                          <w:divsChild>
                            <w:div w:id="467479195">
                              <w:marLeft w:val="0"/>
                              <w:marRight w:val="0"/>
                              <w:marTop w:val="0"/>
                              <w:marBottom w:val="0"/>
                              <w:divBdr>
                                <w:top w:val="none" w:sz="0" w:space="0" w:color="auto"/>
                                <w:left w:val="none" w:sz="0" w:space="0" w:color="auto"/>
                                <w:bottom w:val="none" w:sz="0" w:space="0" w:color="auto"/>
                                <w:right w:val="none" w:sz="0" w:space="0" w:color="auto"/>
                              </w:divBdr>
                              <w:divsChild>
                                <w:div w:id="1201363368">
                                  <w:marLeft w:val="0"/>
                                  <w:marRight w:val="0"/>
                                  <w:marTop w:val="0"/>
                                  <w:marBottom w:val="0"/>
                                  <w:divBdr>
                                    <w:top w:val="none" w:sz="0" w:space="0" w:color="auto"/>
                                    <w:left w:val="none" w:sz="0" w:space="0" w:color="auto"/>
                                    <w:bottom w:val="none" w:sz="0" w:space="0" w:color="auto"/>
                                    <w:right w:val="none" w:sz="0" w:space="0" w:color="auto"/>
                                  </w:divBdr>
                                  <w:divsChild>
                                    <w:div w:id="6143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6438">
                          <w:marLeft w:val="0"/>
                          <w:marRight w:val="0"/>
                          <w:marTop w:val="0"/>
                          <w:marBottom w:val="0"/>
                          <w:divBdr>
                            <w:top w:val="none" w:sz="0" w:space="0" w:color="auto"/>
                            <w:left w:val="none" w:sz="0" w:space="0" w:color="auto"/>
                            <w:bottom w:val="none" w:sz="0" w:space="0" w:color="auto"/>
                            <w:right w:val="none" w:sz="0" w:space="0" w:color="auto"/>
                          </w:divBdr>
                          <w:divsChild>
                            <w:div w:id="2114205601">
                              <w:marLeft w:val="0"/>
                              <w:marRight w:val="0"/>
                              <w:marTop w:val="0"/>
                              <w:marBottom w:val="0"/>
                              <w:divBdr>
                                <w:top w:val="none" w:sz="0" w:space="0" w:color="auto"/>
                                <w:left w:val="none" w:sz="0" w:space="0" w:color="auto"/>
                                <w:bottom w:val="none" w:sz="0" w:space="0" w:color="auto"/>
                                <w:right w:val="none" w:sz="0" w:space="0" w:color="auto"/>
                              </w:divBdr>
                              <w:divsChild>
                                <w:div w:id="1371152042">
                                  <w:marLeft w:val="0"/>
                                  <w:marRight w:val="0"/>
                                  <w:marTop w:val="0"/>
                                  <w:marBottom w:val="0"/>
                                  <w:divBdr>
                                    <w:top w:val="none" w:sz="0" w:space="0" w:color="auto"/>
                                    <w:left w:val="none" w:sz="0" w:space="0" w:color="auto"/>
                                    <w:bottom w:val="none" w:sz="0" w:space="0" w:color="auto"/>
                                    <w:right w:val="none" w:sz="0" w:space="0" w:color="auto"/>
                                  </w:divBdr>
                                  <w:divsChild>
                                    <w:div w:id="19466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636629">
                  <w:marLeft w:val="0"/>
                  <w:marRight w:val="0"/>
                  <w:marTop w:val="0"/>
                  <w:marBottom w:val="0"/>
                  <w:divBdr>
                    <w:top w:val="none" w:sz="0" w:space="0" w:color="auto"/>
                    <w:left w:val="none" w:sz="0" w:space="0" w:color="auto"/>
                    <w:bottom w:val="none" w:sz="0" w:space="0" w:color="auto"/>
                    <w:right w:val="none" w:sz="0" w:space="0" w:color="auto"/>
                  </w:divBdr>
                  <w:divsChild>
                    <w:div w:id="1635910346">
                      <w:marLeft w:val="0"/>
                      <w:marRight w:val="0"/>
                      <w:marTop w:val="0"/>
                      <w:marBottom w:val="0"/>
                      <w:divBdr>
                        <w:top w:val="none" w:sz="0" w:space="0" w:color="auto"/>
                        <w:left w:val="none" w:sz="0" w:space="0" w:color="auto"/>
                        <w:bottom w:val="none" w:sz="0" w:space="0" w:color="auto"/>
                        <w:right w:val="none" w:sz="0" w:space="0" w:color="auto"/>
                      </w:divBdr>
                      <w:divsChild>
                        <w:div w:id="658312989">
                          <w:marLeft w:val="0"/>
                          <w:marRight w:val="0"/>
                          <w:marTop w:val="0"/>
                          <w:marBottom w:val="0"/>
                          <w:divBdr>
                            <w:top w:val="none" w:sz="0" w:space="0" w:color="auto"/>
                            <w:left w:val="none" w:sz="0" w:space="0" w:color="auto"/>
                            <w:bottom w:val="none" w:sz="0" w:space="0" w:color="auto"/>
                            <w:right w:val="none" w:sz="0" w:space="0" w:color="auto"/>
                          </w:divBdr>
                          <w:divsChild>
                            <w:div w:id="1713842330">
                              <w:marLeft w:val="0"/>
                              <w:marRight w:val="0"/>
                              <w:marTop w:val="0"/>
                              <w:marBottom w:val="0"/>
                              <w:divBdr>
                                <w:top w:val="none" w:sz="0" w:space="0" w:color="auto"/>
                                <w:left w:val="none" w:sz="0" w:space="0" w:color="auto"/>
                                <w:bottom w:val="none" w:sz="0" w:space="0" w:color="auto"/>
                                <w:right w:val="none" w:sz="0" w:space="0" w:color="auto"/>
                              </w:divBdr>
                              <w:divsChild>
                                <w:div w:id="15795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276175">
          <w:marLeft w:val="0"/>
          <w:marRight w:val="0"/>
          <w:marTop w:val="0"/>
          <w:marBottom w:val="0"/>
          <w:divBdr>
            <w:top w:val="none" w:sz="0" w:space="0" w:color="auto"/>
            <w:left w:val="none" w:sz="0" w:space="0" w:color="auto"/>
            <w:bottom w:val="none" w:sz="0" w:space="0" w:color="auto"/>
            <w:right w:val="none" w:sz="0" w:space="0" w:color="auto"/>
          </w:divBdr>
          <w:divsChild>
            <w:div w:id="760637465">
              <w:marLeft w:val="0"/>
              <w:marRight w:val="0"/>
              <w:marTop w:val="0"/>
              <w:marBottom w:val="0"/>
              <w:divBdr>
                <w:top w:val="none" w:sz="0" w:space="0" w:color="auto"/>
                <w:left w:val="none" w:sz="0" w:space="0" w:color="auto"/>
                <w:bottom w:val="none" w:sz="0" w:space="0" w:color="auto"/>
                <w:right w:val="none" w:sz="0" w:space="0" w:color="auto"/>
              </w:divBdr>
              <w:divsChild>
                <w:div w:id="995306330">
                  <w:marLeft w:val="0"/>
                  <w:marRight w:val="0"/>
                  <w:marTop w:val="0"/>
                  <w:marBottom w:val="0"/>
                  <w:divBdr>
                    <w:top w:val="none" w:sz="0" w:space="0" w:color="auto"/>
                    <w:left w:val="none" w:sz="0" w:space="0" w:color="auto"/>
                    <w:bottom w:val="none" w:sz="0" w:space="0" w:color="auto"/>
                    <w:right w:val="none" w:sz="0" w:space="0" w:color="auto"/>
                  </w:divBdr>
                  <w:divsChild>
                    <w:div w:id="929391184">
                      <w:marLeft w:val="0"/>
                      <w:marRight w:val="0"/>
                      <w:marTop w:val="0"/>
                      <w:marBottom w:val="0"/>
                      <w:divBdr>
                        <w:top w:val="none" w:sz="0" w:space="0" w:color="auto"/>
                        <w:left w:val="none" w:sz="0" w:space="0" w:color="auto"/>
                        <w:bottom w:val="none" w:sz="0" w:space="0" w:color="auto"/>
                        <w:right w:val="none" w:sz="0" w:space="0" w:color="auto"/>
                      </w:divBdr>
                      <w:divsChild>
                        <w:div w:id="850216769">
                          <w:marLeft w:val="0"/>
                          <w:marRight w:val="0"/>
                          <w:marTop w:val="0"/>
                          <w:marBottom w:val="0"/>
                          <w:divBdr>
                            <w:top w:val="none" w:sz="0" w:space="0" w:color="auto"/>
                            <w:left w:val="none" w:sz="0" w:space="0" w:color="auto"/>
                            <w:bottom w:val="none" w:sz="0" w:space="0" w:color="auto"/>
                            <w:right w:val="none" w:sz="0" w:space="0" w:color="auto"/>
                          </w:divBdr>
                          <w:divsChild>
                            <w:div w:id="1559320997">
                              <w:marLeft w:val="0"/>
                              <w:marRight w:val="0"/>
                              <w:marTop w:val="0"/>
                              <w:marBottom w:val="0"/>
                              <w:divBdr>
                                <w:top w:val="none" w:sz="0" w:space="0" w:color="auto"/>
                                <w:left w:val="none" w:sz="0" w:space="0" w:color="auto"/>
                                <w:bottom w:val="none" w:sz="0" w:space="0" w:color="auto"/>
                                <w:right w:val="none" w:sz="0" w:space="0" w:color="auto"/>
                              </w:divBdr>
                              <w:divsChild>
                                <w:div w:id="303514064">
                                  <w:marLeft w:val="0"/>
                                  <w:marRight w:val="0"/>
                                  <w:marTop w:val="0"/>
                                  <w:marBottom w:val="0"/>
                                  <w:divBdr>
                                    <w:top w:val="none" w:sz="0" w:space="0" w:color="auto"/>
                                    <w:left w:val="none" w:sz="0" w:space="0" w:color="auto"/>
                                    <w:bottom w:val="none" w:sz="0" w:space="0" w:color="auto"/>
                                    <w:right w:val="none" w:sz="0" w:space="0" w:color="auto"/>
                                  </w:divBdr>
                                  <w:divsChild>
                                    <w:div w:id="2016222844">
                                      <w:marLeft w:val="0"/>
                                      <w:marRight w:val="0"/>
                                      <w:marTop w:val="0"/>
                                      <w:marBottom w:val="0"/>
                                      <w:divBdr>
                                        <w:top w:val="none" w:sz="0" w:space="0" w:color="auto"/>
                                        <w:left w:val="none" w:sz="0" w:space="0" w:color="auto"/>
                                        <w:bottom w:val="none" w:sz="0" w:space="0" w:color="auto"/>
                                        <w:right w:val="none" w:sz="0" w:space="0" w:color="auto"/>
                                      </w:divBdr>
                                      <w:divsChild>
                                        <w:div w:id="3596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829099">
          <w:marLeft w:val="0"/>
          <w:marRight w:val="0"/>
          <w:marTop w:val="0"/>
          <w:marBottom w:val="0"/>
          <w:divBdr>
            <w:top w:val="none" w:sz="0" w:space="0" w:color="auto"/>
            <w:left w:val="none" w:sz="0" w:space="0" w:color="auto"/>
            <w:bottom w:val="none" w:sz="0" w:space="0" w:color="auto"/>
            <w:right w:val="none" w:sz="0" w:space="0" w:color="auto"/>
          </w:divBdr>
          <w:divsChild>
            <w:div w:id="373969207">
              <w:marLeft w:val="0"/>
              <w:marRight w:val="0"/>
              <w:marTop w:val="0"/>
              <w:marBottom w:val="0"/>
              <w:divBdr>
                <w:top w:val="none" w:sz="0" w:space="0" w:color="auto"/>
                <w:left w:val="none" w:sz="0" w:space="0" w:color="auto"/>
                <w:bottom w:val="none" w:sz="0" w:space="0" w:color="auto"/>
                <w:right w:val="none" w:sz="0" w:space="0" w:color="auto"/>
              </w:divBdr>
              <w:divsChild>
                <w:div w:id="259339362">
                  <w:marLeft w:val="0"/>
                  <w:marRight w:val="0"/>
                  <w:marTop w:val="0"/>
                  <w:marBottom w:val="0"/>
                  <w:divBdr>
                    <w:top w:val="none" w:sz="0" w:space="0" w:color="auto"/>
                    <w:left w:val="none" w:sz="0" w:space="0" w:color="auto"/>
                    <w:bottom w:val="none" w:sz="0" w:space="0" w:color="auto"/>
                    <w:right w:val="none" w:sz="0" w:space="0" w:color="auto"/>
                  </w:divBdr>
                  <w:divsChild>
                    <w:div w:id="1885017847">
                      <w:marLeft w:val="0"/>
                      <w:marRight w:val="0"/>
                      <w:marTop w:val="0"/>
                      <w:marBottom w:val="0"/>
                      <w:divBdr>
                        <w:top w:val="none" w:sz="0" w:space="0" w:color="auto"/>
                        <w:left w:val="none" w:sz="0" w:space="0" w:color="auto"/>
                        <w:bottom w:val="none" w:sz="0" w:space="0" w:color="auto"/>
                        <w:right w:val="none" w:sz="0" w:space="0" w:color="auto"/>
                      </w:divBdr>
                      <w:divsChild>
                        <w:div w:id="1161458519">
                          <w:marLeft w:val="0"/>
                          <w:marRight w:val="0"/>
                          <w:marTop w:val="0"/>
                          <w:marBottom w:val="0"/>
                          <w:divBdr>
                            <w:top w:val="none" w:sz="0" w:space="0" w:color="auto"/>
                            <w:left w:val="none" w:sz="0" w:space="0" w:color="auto"/>
                            <w:bottom w:val="none" w:sz="0" w:space="0" w:color="auto"/>
                            <w:right w:val="none" w:sz="0" w:space="0" w:color="auto"/>
                          </w:divBdr>
                          <w:divsChild>
                            <w:div w:id="2075932451">
                              <w:marLeft w:val="0"/>
                              <w:marRight w:val="0"/>
                              <w:marTop w:val="0"/>
                              <w:marBottom w:val="0"/>
                              <w:divBdr>
                                <w:top w:val="none" w:sz="0" w:space="0" w:color="auto"/>
                                <w:left w:val="none" w:sz="0" w:space="0" w:color="auto"/>
                                <w:bottom w:val="none" w:sz="0" w:space="0" w:color="auto"/>
                                <w:right w:val="none" w:sz="0" w:space="0" w:color="auto"/>
                              </w:divBdr>
                              <w:divsChild>
                                <w:div w:id="20849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667989">
                  <w:marLeft w:val="0"/>
                  <w:marRight w:val="0"/>
                  <w:marTop w:val="0"/>
                  <w:marBottom w:val="0"/>
                  <w:divBdr>
                    <w:top w:val="none" w:sz="0" w:space="0" w:color="auto"/>
                    <w:left w:val="none" w:sz="0" w:space="0" w:color="auto"/>
                    <w:bottom w:val="none" w:sz="0" w:space="0" w:color="auto"/>
                    <w:right w:val="none" w:sz="0" w:space="0" w:color="auto"/>
                  </w:divBdr>
                  <w:divsChild>
                    <w:div w:id="703555636">
                      <w:marLeft w:val="0"/>
                      <w:marRight w:val="0"/>
                      <w:marTop w:val="0"/>
                      <w:marBottom w:val="0"/>
                      <w:divBdr>
                        <w:top w:val="none" w:sz="0" w:space="0" w:color="auto"/>
                        <w:left w:val="none" w:sz="0" w:space="0" w:color="auto"/>
                        <w:bottom w:val="none" w:sz="0" w:space="0" w:color="auto"/>
                        <w:right w:val="none" w:sz="0" w:space="0" w:color="auto"/>
                      </w:divBdr>
                      <w:divsChild>
                        <w:div w:id="895701489">
                          <w:marLeft w:val="0"/>
                          <w:marRight w:val="0"/>
                          <w:marTop w:val="0"/>
                          <w:marBottom w:val="0"/>
                          <w:divBdr>
                            <w:top w:val="none" w:sz="0" w:space="0" w:color="auto"/>
                            <w:left w:val="none" w:sz="0" w:space="0" w:color="auto"/>
                            <w:bottom w:val="none" w:sz="0" w:space="0" w:color="auto"/>
                            <w:right w:val="none" w:sz="0" w:space="0" w:color="auto"/>
                          </w:divBdr>
                          <w:divsChild>
                            <w:div w:id="375549924">
                              <w:marLeft w:val="0"/>
                              <w:marRight w:val="0"/>
                              <w:marTop w:val="0"/>
                              <w:marBottom w:val="0"/>
                              <w:divBdr>
                                <w:top w:val="none" w:sz="0" w:space="0" w:color="auto"/>
                                <w:left w:val="none" w:sz="0" w:space="0" w:color="auto"/>
                                <w:bottom w:val="none" w:sz="0" w:space="0" w:color="auto"/>
                                <w:right w:val="none" w:sz="0" w:space="0" w:color="auto"/>
                              </w:divBdr>
                              <w:divsChild>
                                <w:div w:id="1131749082">
                                  <w:marLeft w:val="0"/>
                                  <w:marRight w:val="0"/>
                                  <w:marTop w:val="0"/>
                                  <w:marBottom w:val="0"/>
                                  <w:divBdr>
                                    <w:top w:val="none" w:sz="0" w:space="0" w:color="auto"/>
                                    <w:left w:val="none" w:sz="0" w:space="0" w:color="auto"/>
                                    <w:bottom w:val="none" w:sz="0" w:space="0" w:color="auto"/>
                                    <w:right w:val="none" w:sz="0" w:space="0" w:color="auto"/>
                                  </w:divBdr>
                                  <w:divsChild>
                                    <w:div w:id="728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91776">
                          <w:marLeft w:val="0"/>
                          <w:marRight w:val="0"/>
                          <w:marTop w:val="0"/>
                          <w:marBottom w:val="0"/>
                          <w:divBdr>
                            <w:top w:val="none" w:sz="0" w:space="0" w:color="auto"/>
                            <w:left w:val="none" w:sz="0" w:space="0" w:color="auto"/>
                            <w:bottom w:val="none" w:sz="0" w:space="0" w:color="auto"/>
                            <w:right w:val="none" w:sz="0" w:space="0" w:color="auto"/>
                          </w:divBdr>
                          <w:divsChild>
                            <w:div w:id="787164589">
                              <w:marLeft w:val="0"/>
                              <w:marRight w:val="0"/>
                              <w:marTop w:val="0"/>
                              <w:marBottom w:val="0"/>
                              <w:divBdr>
                                <w:top w:val="none" w:sz="0" w:space="0" w:color="auto"/>
                                <w:left w:val="none" w:sz="0" w:space="0" w:color="auto"/>
                                <w:bottom w:val="none" w:sz="0" w:space="0" w:color="auto"/>
                                <w:right w:val="none" w:sz="0" w:space="0" w:color="auto"/>
                              </w:divBdr>
                              <w:divsChild>
                                <w:div w:id="1348750402">
                                  <w:marLeft w:val="0"/>
                                  <w:marRight w:val="0"/>
                                  <w:marTop w:val="0"/>
                                  <w:marBottom w:val="0"/>
                                  <w:divBdr>
                                    <w:top w:val="none" w:sz="0" w:space="0" w:color="auto"/>
                                    <w:left w:val="none" w:sz="0" w:space="0" w:color="auto"/>
                                    <w:bottom w:val="none" w:sz="0" w:space="0" w:color="auto"/>
                                    <w:right w:val="none" w:sz="0" w:space="0" w:color="auto"/>
                                  </w:divBdr>
                                  <w:divsChild>
                                    <w:div w:id="7124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944918">
          <w:marLeft w:val="0"/>
          <w:marRight w:val="0"/>
          <w:marTop w:val="0"/>
          <w:marBottom w:val="0"/>
          <w:divBdr>
            <w:top w:val="none" w:sz="0" w:space="0" w:color="auto"/>
            <w:left w:val="none" w:sz="0" w:space="0" w:color="auto"/>
            <w:bottom w:val="none" w:sz="0" w:space="0" w:color="auto"/>
            <w:right w:val="none" w:sz="0" w:space="0" w:color="auto"/>
          </w:divBdr>
          <w:divsChild>
            <w:div w:id="31392854">
              <w:marLeft w:val="0"/>
              <w:marRight w:val="0"/>
              <w:marTop w:val="0"/>
              <w:marBottom w:val="0"/>
              <w:divBdr>
                <w:top w:val="none" w:sz="0" w:space="0" w:color="auto"/>
                <w:left w:val="none" w:sz="0" w:space="0" w:color="auto"/>
                <w:bottom w:val="none" w:sz="0" w:space="0" w:color="auto"/>
                <w:right w:val="none" w:sz="0" w:space="0" w:color="auto"/>
              </w:divBdr>
              <w:divsChild>
                <w:div w:id="756289153">
                  <w:marLeft w:val="0"/>
                  <w:marRight w:val="0"/>
                  <w:marTop w:val="0"/>
                  <w:marBottom w:val="0"/>
                  <w:divBdr>
                    <w:top w:val="none" w:sz="0" w:space="0" w:color="auto"/>
                    <w:left w:val="none" w:sz="0" w:space="0" w:color="auto"/>
                    <w:bottom w:val="none" w:sz="0" w:space="0" w:color="auto"/>
                    <w:right w:val="none" w:sz="0" w:space="0" w:color="auto"/>
                  </w:divBdr>
                  <w:divsChild>
                    <w:div w:id="1697727200">
                      <w:marLeft w:val="0"/>
                      <w:marRight w:val="0"/>
                      <w:marTop w:val="0"/>
                      <w:marBottom w:val="0"/>
                      <w:divBdr>
                        <w:top w:val="none" w:sz="0" w:space="0" w:color="auto"/>
                        <w:left w:val="none" w:sz="0" w:space="0" w:color="auto"/>
                        <w:bottom w:val="none" w:sz="0" w:space="0" w:color="auto"/>
                        <w:right w:val="none" w:sz="0" w:space="0" w:color="auto"/>
                      </w:divBdr>
                      <w:divsChild>
                        <w:div w:id="1007831218">
                          <w:marLeft w:val="0"/>
                          <w:marRight w:val="0"/>
                          <w:marTop w:val="0"/>
                          <w:marBottom w:val="0"/>
                          <w:divBdr>
                            <w:top w:val="none" w:sz="0" w:space="0" w:color="auto"/>
                            <w:left w:val="none" w:sz="0" w:space="0" w:color="auto"/>
                            <w:bottom w:val="none" w:sz="0" w:space="0" w:color="auto"/>
                            <w:right w:val="none" w:sz="0" w:space="0" w:color="auto"/>
                          </w:divBdr>
                          <w:divsChild>
                            <w:div w:id="693768028">
                              <w:marLeft w:val="0"/>
                              <w:marRight w:val="0"/>
                              <w:marTop w:val="0"/>
                              <w:marBottom w:val="0"/>
                              <w:divBdr>
                                <w:top w:val="none" w:sz="0" w:space="0" w:color="auto"/>
                                <w:left w:val="none" w:sz="0" w:space="0" w:color="auto"/>
                                <w:bottom w:val="none" w:sz="0" w:space="0" w:color="auto"/>
                                <w:right w:val="none" w:sz="0" w:space="0" w:color="auto"/>
                              </w:divBdr>
                              <w:divsChild>
                                <w:div w:id="676344997">
                                  <w:marLeft w:val="0"/>
                                  <w:marRight w:val="0"/>
                                  <w:marTop w:val="0"/>
                                  <w:marBottom w:val="0"/>
                                  <w:divBdr>
                                    <w:top w:val="none" w:sz="0" w:space="0" w:color="auto"/>
                                    <w:left w:val="none" w:sz="0" w:space="0" w:color="auto"/>
                                    <w:bottom w:val="none" w:sz="0" w:space="0" w:color="auto"/>
                                    <w:right w:val="none" w:sz="0" w:space="0" w:color="auto"/>
                                  </w:divBdr>
                                  <w:divsChild>
                                    <w:div w:id="1664624423">
                                      <w:marLeft w:val="0"/>
                                      <w:marRight w:val="0"/>
                                      <w:marTop w:val="0"/>
                                      <w:marBottom w:val="0"/>
                                      <w:divBdr>
                                        <w:top w:val="none" w:sz="0" w:space="0" w:color="auto"/>
                                        <w:left w:val="none" w:sz="0" w:space="0" w:color="auto"/>
                                        <w:bottom w:val="none" w:sz="0" w:space="0" w:color="auto"/>
                                        <w:right w:val="none" w:sz="0" w:space="0" w:color="auto"/>
                                      </w:divBdr>
                                      <w:divsChild>
                                        <w:div w:id="1728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473125">
          <w:marLeft w:val="0"/>
          <w:marRight w:val="0"/>
          <w:marTop w:val="0"/>
          <w:marBottom w:val="0"/>
          <w:divBdr>
            <w:top w:val="none" w:sz="0" w:space="0" w:color="auto"/>
            <w:left w:val="none" w:sz="0" w:space="0" w:color="auto"/>
            <w:bottom w:val="none" w:sz="0" w:space="0" w:color="auto"/>
            <w:right w:val="none" w:sz="0" w:space="0" w:color="auto"/>
          </w:divBdr>
          <w:divsChild>
            <w:div w:id="374159813">
              <w:marLeft w:val="0"/>
              <w:marRight w:val="0"/>
              <w:marTop w:val="0"/>
              <w:marBottom w:val="0"/>
              <w:divBdr>
                <w:top w:val="none" w:sz="0" w:space="0" w:color="auto"/>
                <w:left w:val="none" w:sz="0" w:space="0" w:color="auto"/>
                <w:bottom w:val="none" w:sz="0" w:space="0" w:color="auto"/>
                <w:right w:val="none" w:sz="0" w:space="0" w:color="auto"/>
              </w:divBdr>
              <w:divsChild>
                <w:div w:id="85394703">
                  <w:marLeft w:val="0"/>
                  <w:marRight w:val="0"/>
                  <w:marTop w:val="0"/>
                  <w:marBottom w:val="0"/>
                  <w:divBdr>
                    <w:top w:val="none" w:sz="0" w:space="0" w:color="auto"/>
                    <w:left w:val="none" w:sz="0" w:space="0" w:color="auto"/>
                    <w:bottom w:val="none" w:sz="0" w:space="0" w:color="auto"/>
                    <w:right w:val="none" w:sz="0" w:space="0" w:color="auto"/>
                  </w:divBdr>
                  <w:divsChild>
                    <w:div w:id="80563003">
                      <w:marLeft w:val="0"/>
                      <w:marRight w:val="0"/>
                      <w:marTop w:val="0"/>
                      <w:marBottom w:val="0"/>
                      <w:divBdr>
                        <w:top w:val="none" w:sz="0" w:space="0" w:color="auto"/>
                        <w:left w:val="none" w:sz="0" w:space="0" w:color="auto"/>
                        <w:bottom w:val="none" w:sz="0" w:space="0" w:color="auto"/>
                        <w:right w:val="none" w:sz="0" w:space="0" w:color="auto"/>
                      </w:divBdr>
                    </w:div>
                    <w:div w:id="110272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3636">
          <w:marLeft w:val="0"/>
          <w:marRight w:val="0"/>
          <w:marTop w:val="0"/>
          <w:marBottom w:val="0"/>
          <w:divBdr>
            <w:top w:val="none" w:sz="0" w:space="0" w:color="auto"/>
            <w:left w:val="none" w:sz="0" w:space="0" w:color="auto"/>
            <w:bottom w:val="none" w:sz="0" w:space="0" w:color="auto"/>
            <w:right w:val="none" w:sz="0" w:space="0" w:color="auto"/>
          </w:divBdr>
          <w:divsChild>
            <w:div w:id="415442952">
              <w:marLeft w:val="0"/>
              <w:marRight w:val="0"/>
              <w:marTop w:val="0"/>
              <w:marBottom w:val="0"/>
              <w:divBdr>
                <w:top w:val="none" w:sz="0" w:space="0" w:color="auto"/>
                <w:left w:val="none" w:sz="0" w:space="0" w:color="auto"/>
                <w:bottom w:val="none" w:sz="0" w:space="0" w:color="auto"/>
                <w:right w:val="none" w:sz="0" w:space="0" w:color="auto"/>
              </w:divBdr>
              <w:divsChild>
                <w:div w:id="635839281">
                  <w:marLeft w:val="0"/>
                  <w:marRight w:val="0"/>
                  <w:marTop w:val="0"/>
                  <w:marBottom w:val="0"/>
                  <w:divBdr>
                    <w:top w:val="none" w:sz="0" w:space="0" w:color="auto"/>
                    <w:left w:val="none" w:sz="0" w:space="0" w:color="auto"/>
                    <w:bottom w:val="none" w:sz="0" w:space="0" w:color="auto"/>
                    <w:right w:val="none" w:sz="0" w:space="0" w:color="auto"/>
                  </w:divBdr>
                  <w:divsChild>
                    <w:div w:id="860238996">
                      <w:marLeft w:val="0"/>
                      <w:marRight w:val="0"/>
                      <w:marTop w:val="0"/>
                      <w:marBottom w:val="0"/>
                      <w:divBdr>
                        <w:top w:val="none" w:sz="0" w:space="0" w:color="auto"/>
                        <w:left w:val="none" w:sz="0" w:space="0" w:color="auto"/>
                        <w:bottom w:val="none" w:sz="0" w:space="0" w:color="auto"/>
                        <w:right w:val="none" w:sz="0" w:space="0" w:color="auto"/>
                      </w:divBdr>
                      <w:divsChild>
                        <w:div w:id="1412314547">
                          <w:marLeft w:val="0"/>
                          <w:marRight w:val="0"/>
                          <w:marTop w:val="0"/>
                          <w:marBottom w:val="0"/>
                          <w:divBdr>
                            <w:top w:val="none" w:sz="0" w:space="0" w:color="auto"/>
                            <w:left w:val="none" w:sz="0" w:space="0" w:color="auto"/>
                            <w:bottom w:val="none" w:sz="0" w:space="0" w:color="auto"/>
                            <w:right w:val="none" w:sz="0" w:space="0" w:color="auto"/>
                          </w:divBdr>
                          <w:divsChild>
                            <w:div w:id="185482760">
                              <w:marLeft w:val="0"/>
                              <w:marRight w:val="0"/>
                              <w:marTop w:val="0"/>
                              <w:marBottom w:val="0"/>
                              <w:divBdr>
                                <w:top w:val="none" w:sz="0" w:space="0" w:color="auto"/>
                                <w:left w:val="none" w:sz="0" w:space="0" w:color="auto"/>
                                <w:bottom w:val="none" w:sz="0" w:space="0" w:color="auto"/>
                                <w:right w:val="none" w:sz="0" w:space="0" w:color="auto"/>
                              </w:divBdr>
                              <w:divsChild>
                                <w:div w:id="99223536">
                                  <w:marLeft w:val="0"/>
                                  <w:marRight w:val="0"/>
                                  <w:marTop w:val="0"/>
                                  <w:marBottom w:val="0"/>
                                  <w:divBdr>
                                    <w:top w:val="none" w:sz="0" w:space="0" w:color="auto"/>
                                    <w:left w:val="none" w:sz="0" w:space="0" w:color="auto"/>
                                    <w:bottom w:val="none" w:sz="0" w:space="0" w:color="auto"/>
                                    <w:right w:val="none" w:sz="0" w:space="0" w:color="auto"/>
                                  </w:divBdr>
                                  <w:divsChild>
                                    <w:div w:id="5260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433696">
                  <w:marLeft w:val="0"/>
                  <w:marRight w:val="0"/>
                  <w:marTop w:val="0"/>
                  <w:marBottom w:val="0"/>
                  <w:divBdr>
                    <w:top w:val="none" w:sz="0" w:space="0" w:color="auto"/>
                    <w:left w:val="none" w:sz="0" w:space="0" w:color="auto"/>
                    <w:bottom w:val="none" w:sz="0" w:space="0" w:color="auto"/>
                    <w:right w:val="none" w:sz="0" w:space="0" w:color="auto"/>
                  </w:divBdr>
                  <w:divsChild>
                    <w:div w:id="581257983">
                      <w:marLeft w:val="0"/>
                      <w:marRight w:val="0"/>
                      <w:marTop w:val="0"/>
                      <w:marBottom w:val="0"/>
                      <w:divBdr>
                        <w:top w:val="none" w:sz="0" w:space="0" w:color="auto"/>
                        <w:left w:val="none" w:sz="0" w:space="0" w:color="auto"/>
                        <w:bottom w:val="none" w:sz="0" w:space="0" w:color="auto"/>
                        <w:right w:val="none" w:sz="0" w:space="0" w:color="auto"/>
                      </w:divBdr>
                      <w:divsChild>
                        <w:div w:id="1857570471">
                          <w:marLeft w:val="0"/>
                          <w:marRight w:val="0"/>
                          <w:marTop w:val="0"/>
                          <w:marBottom w:val="0"/>
                          <w:divBdr>
                            <w:top w:val="none" w:sz="0" w:space="0" w:color="auto"/>
                            <w:left w:val="none" w:sz="0" w:space="0" w:color="auto"/>
                            <w:bottom w:val="none" w:sz="0" w:space="0" w:color="auto"/>
                            <w:right w:val="none" w:sz="0" w:space="0" w:color="auto"/>
                          </w:divBdr>
                          <w:divsChild>
                            <w:div w:id="1143160699">
                              <w:marLeft w:val="0"/>
                              <w:marRight w:val="0"/>
                              <w:marTop w:val="0"/>
                              <w:marBottom w:val="0"/>
                              <w:divBdr>
                                <w:top w:val="none" w:sz="0" w:space="0" w:color="auto"/>
                                <w:left w:val="none" w:sz="0" w:space="0" w:color="auto"/>
                                <w:bottom w:val="none" w:sz="0" w:space="0" w:color="auto"/>
                                <w:right w:val="none" w:sz="0" w:space="0" w:color="auto"/>
                              </w:divBdr>
                              <w:divsChild>
                                <w:div w:id="122390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000583">
          <w:marLeft w:val="0"/>
          <w:marRight w:val="0"/>
          <w:marTop w:val="0"/>
          <w:marBottom w:val="0"/>
          <w:divBdr>
            <w:top w:val="none" w:sz="0" w:space="0" w:color="auto"/>
            <w:left w:val="none" w:sz="0" w:space="0" w:color="auto"/>
            <w:bottom w:val="none" w:sz="0" w:space="0" w:color="auto"/>
            <w:right w:val="none" w:sz="0" w:space="0" w:color="auto"/>
          </w:divBdr>
          <w:divsChild>
            <w:div w:id="2114351144">
              <w:marLeft w:val="0"/>
              <w:marRight w:val="0"/>
              <w:marTop w:val="0"/>
              <w:marBottom w:val="0"/>
              <w:divBdr>
                <w:top w:val="none" w:sz="0" w:space="0" w:color="auto"/>
                <w:left w:val="none" w:sz="0" w:space="0" w:color="auto"/>
                <w:bottom w:val="none" w:sz="0" w:space="0" w:color="auto"/>
                <w:right w:val="none" w:sz="0" w:space="0" w:color="auto"/>
              </w:divBdr>
              <w:divsChild>
                <w:div w:id="196087132">
                  <w:marLeft w:val="0"/>
                  <w:marRight w:val="0"/>
                  <w:marTop w:val="0"/>
                  <w:marBottom w:val="0"/>
                  <w:divBdr>
                    <w:top w:val="none" w:sz="0" w:space="0" w:color="auto"/>
                    <w:left w:val="none" w:sz="0" w:space="0" w:color="auto"/>
                    <w:bottom w:val="none" w:sz="0" w:space="0" w:color="auto"/>
                    <w:right w:val="none" w:sz="0" w:space="0" w:color="auto"/>
                  </w:divBdr>
                  <w:divsChild>
                    <w:div w:id="1520121727">
                      <w:marLeft w:val="0"/>
                      <w:marRight w:val="0"/>
                      <w:marTop w:val="0"/>
                      <w:marBottom w:val="0"/>
                      <w:divBdr>
                        <w:top w:val="none" w:sz="0" w:space="0" w:color="auto"/>
                        <w:left w:val="none" w:sz="0" w:space="0" w:color="auto"/>
                        <w:bottom w:val="none" w:sz="0" w:space="0" w:color="auto"/>
                        <w:right w:val="none" w:sz="0" w:space="0" w:color="auto"/>
                      </w:divBdr>
                      <w:divsChild>
                        <w:div w:id="944774966">
                          <w:marLeft w:val="0"/>
                          <w:marRight w:val="0"/>
                          <w:marTop w:val="0"/>
                          <w:marBottom w:val="0"/>
                          <w:divBdr>
                            <w:top w:val="none" w:sz="0" w:space="0" w:color="auto"/>
                            <w:left w:val="none" w:sz="0" w:space="0" w:color="auto"/>
                            <w:bottom w:val="none" w:sz="0" w:space="0" w:color="auto"/>
                            <w:right w:val="none" w:sz="0" w:space="0" w:color="auto"/>
                          </w:divBdr>
                          <w:divsChild>
                            <w:div w:id="1017386470">
                              <w:marLeft w:val="0"/>
                              <w:marRight w:val="0"/>
                              <w:marTop w:val="0"/>
                              <w:marBottom w:val="0"/>
                              <w:divBdr>
                                <w:top w:val="none" w:sz="0" w:space="0" w:color="auto"/>
                                <w:left w:val="none" w:sz="0" w:space="0" w:color="auto"/>
                                <w:bottom w:val="none" w:sz="0" w:space="0" w:color="auto"/>
                                <w:right w:val="none" w:sz="0" w:space="0" w:color="auto"/>
                              </w:divBdr>
                              <w:divsChild>
                                <w:div w:id="750735908">
                                  <w:marLeft w:val="0"/>
                                  <w:marRight w:val="0"/>
                                  <w:marTop w:val="0"/>
                                  <w:marBottom w:val="0"/>
                                  <w:divBdr>
                                    <w:top w:val="none" w:sz="0" w:space="0" w:color="auto"/>
                                    <w:left w:val="none" w:sz="0" w:space="0" w:color="auto"/>
                                    <w:bottom w:val="none" w:sz="0" w:space="0" w:color="auto"/>
                                    <w:right w:val="none" w:sz="0" w:space="0" w:color="auto"/>
                                  </w:divBdr>
                                  <w:divsChild>
                                    <w:div w:id="633173148">
                                      <w:marLeft w:val="0"/>
                                      <w:marRight w:val="0"/>
                                      <w:marTop w:val="0"/>
                                      <w:marBottom w:val="0"/>
                                      <w:divBdr>
                                        <w:top w:val="none" w:sz="0" w:space="0" w:color="auto"/>
                                        <w:left w:val="none" w:sz="0" w:space="0" w:color="auto"/>
                                        <w:bottom w:val="none" w:sz="0" w:space="0" w:color="auto"/>
                                        <w:right w:val="none" w:sz="0" w:space="0" w:color="auto"/>
                                      </w:divBdr>
                                      <w:divsChild>
                                        <w:div w:id="2666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141287">
          <w:marLeft w:val="0"/>
          <w:marRight w:val="0"/>
          <w:marTop w:val="0"/>
          <w:marBottom w:val="0"/>
          <w:divBdr>
            <w:top w:val="none" w:sz="0" w:space="0" w:color="auto"/>
            <w:left w:val="none" w:sz="0" w:space="0" w:color="auto"/>
            <w:bottom w:val="none" w:sz="0" w:space="0" w:color="auto"/>
            <w:right w:val="none" w:sz="0" w:space="0" w:color="auto"/>
          </w:divBdr>
          <w:divsChild>
            <w:div w:id="1855343437">
              <w:marLeft w:val="0"/>
              <w:marRight w:val="0"/>
              <w:marTop w:val="0"/>
              <w:marBottom w:val="0"/>
              <w:divBdr>
                <w:top w:val="none" w:sz="0" w:space="0" w:color="auto"/>
                <w:left w:val="none" w:sz="0" w:space="0" w:color="auto"/>
                <w:bottom w:val="none" w:sz="0" w:space="0" w:color="auto"/>
                <w:right w:val="none" w:sz="0" w:space="0" w:color="auto"/>
              </w:divBdr>
              <w:divsChild>
                <w:div w:id="1429227488">
                  <w:marLeft w:val="0"/>
                  <w:marRight w:val="0"/>
                  <w:marTop w:val="0"/>
                  <w:marBottom w:val="0"/>
                  <w:divBdr>
                    <w:top w:val="none" w:sz="0" w:space="0" w:color="auto"/>
                    <w:left w:val="none" w:sz="0" w:space="0" w:color="auto"/>
                    <w:bottom w:val="none" w:sz="0" w:space="0" w:color="auto"/>
                    <w:right w:val="none" w:sz="0" w:space="0" w:color="auto"/>
                  </w:divBdr>
                  <w:divsChild>
                    <w:div w:id="1099838687">
                      <w:marLeft w:val="0"/>
                      <w:marRight w:val="0"/>
                      <w:marTop w:val="0"/>
                      <w:marBottom w:val="0"/>
                      <w:divBdr>
                        <w:top w:val="none" w:sz="0" w:space="0" w:color="auto"/>
                        <w:left w:val="none" w:sz="0" w:space="0" w:color="auto"/>
                        <w:bottom w:val="none" w:sz="0" w:space="0" w:color="auto"/>
                        <w:right w:val="none" w:sz="0" w:space="0" w:color="auto"/>
                      </w:divBdr>
                      <w:divsChild>
                        <w:div w:id="1100877464">
                          <w:marLeft w:val="0"/>
                          <w:marRight w:val="0"/>
                          <w:marTop w:val="0"/>
                          <w:marBottom w:val="0"/>
                          <w:divBdr>
                            <w:top w:val="none" w:sz="0" w:space="0" w:color="auto"/>
                            <w:left w:val="none" w:sz="0" w:space="0" w:color="auto"/>
                            <w:bottom w:val="none" w:sz="0" w:space="0" w:color="auto"/>
                            <w:right w:val="none" w:sz="0" w:space="0" w:color="auto"/>
                          </w:divBdr>
                          <w:divsChild>
                            <w:div w:id="1655915757">
                              <w:marLeft w:val="0"/>
                              <w:marRight w:val="0"/>
                              <w:marTop w:val="0"/>
                              <w:marBottom w:val="0"/>
                              <w:divBdr>
                                <w:top w:val="none" w:sz="0" w:space="0" w:color="auto"/>
                                <w:left w:val="none" w:sz="0" w:space="0" w:color="auto"/>
                                <w:bottom w:val="none" w:sz="0" w:space="0" w:color="auto"/>
                                <w:right w:val="none" w:sz="0" w:space="0" w:color="auto"/>
                              </w:divBdr>
                              <w:divsChild>
                                <w:div w:id="1245261970">
                                  <w:marLeft w:val="0"/>
                                  <w:marRight w:val="0"/>
                                  <w:marTop w:val="0"/>
                                  <w:marBottom w:val="0"/>
                                  <w:divBdr>
                                    <w:top w:val="none" w:sz="0" w:space="0" w:color="auto"/>
                                    <w:left w:val="none" w:sz="0" w:space="0" w:color="auto"/>
                                    <w:bottom w:val="none" w:sz="0" w:space="0" w:color="auto"/>
                                    <w:right w:val="none" w:sz="0" w:space="0" w:color="auto"/>
                                  </w:divBdr>
                                  <w:divsChild>
                                    <w:div w:id="14844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67953">
                          <w:marLeft w:val="0"/>
                          <w:marRight w:val="0"/>
                          <w:marTop w:val="0"/>
                          <w:marBottom w:val="0"/>
                          <w:divBdr>
                            <w:top w:val="none" w:sz="0" w:space="0" w:color="auto"/>
                            <w:left w:val="none" w:sz="0" w:space="0" w:color="auto"/>
                            <w:bottom w:val="none" w:sz="0" w:space="0" w:color="auto"/>
                            <w:right w:val="none" w:sz="0" w:space="0" w:color="auto"/>
                          </w:divBdr>
                          <w:divsChild>
                            <w:div w:id="585505466">
                              <w:marLeft w:val="0"/>
                              <w:marRight w:val="0"/>
                              <w:marTop w:val="0"/>
                              <w:marBottom w:val="0"/>
                              <w:divBdr>
                                <w:top w:val="none" w:sz="0" w:space="0" w:color="auto"/>
                                <w:left w:val="none" w:sz="0" w:space="0" w:color="auto"/>
                                <w:bottom w:val="none" w:sz="0" w:space="0" w:color="auto"/>
                                <w:right w:val="none" w:sz="0" w:space="0" w:color="auto"/>
                              </w:divBdr>
                              <w:divsChild>
                                <w:div w:id="1353141558">
                                  <w:marLeft w:val="0"/>
                                  <w:marRight w:val="0"/>
                                  <w:marTop w:val="0"/>
                                  <w:marBottom w:val="0"/>
                                  <w:divBdr>
                                    <w:top w:val="none" w:sz="0" w:space="0" w:color="auto"/>
                                    <w:left w:val="none" w:sz="0" w:space="0" w:color="auto"/>
                                    <w:bottom w:val="none" w:sz="0" w:space="0" w:color="auto"/>
                                    <w:right w:val="none" w:sz="0" w:space="0" w:color="auto"/>
                                  </w:divBdr>
                                  <w:divsChild>
                                    <w:div w:id="14731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844698">
                  <w:marLeft w:val="0"/>
                  <w:marRight w:val="0"/>
                  <w:marTop w:val="0"/>
                  <w:marBottom w:val="0"/>
                  <w:divBdr>
                    <w:top w:val="none" w:sz="0" w:space="0" w:color="auto"/>
                    <w:left w:val="none" w:sz="0" w:space="0" w:color="auto"/>
                    <w:bottom w:val="none" w:sz="0" w:space="0" w:color="auto"/>
                    <w:right w:val="none" w:sz="0" w:space="0" w:color="auto"/>
                  </w:divBdr>
                  <w:divsChild>
                    <w:div w:id="939485017">
                      <w:marLeft w:val="0"/>
                      <w:marRight w:val="0"/>
                      <w:marTop w:val="0"/>
                      <w:marBottom w:val="0"/>
                      <w:divBdr>
                        <w:top w:val="none" w:sz="0" w:space="0" w:color="auto"/>
                        <w:left w:val="none" w:sz="0" w:space="0" w:color="auto"/>
                        <w:bottom w:val="none" w:sz="0" w:space="0" w:color="auto"/>
                        <w:right w:val="none" w:sz="0" w:space="0" w:color="auto"/>
                      </w:divBdr>
                      <w:divsChild>
                        <w:div w:id="154418265">
                          <w:marLeft w:val="0"/>
                          <w:marRight w:val="0"/>
                          <w:marTop w:val="0"/>
                          <w:marBottom w:val="0"/>
                          <w:divBdr>
                            <w:top w:val="none" w:sz="0" w:space="0" w:color="auto"/>
                            <w:left w:val="none" w:sz="0" w:space="0" w:color="auto"/>
                            <w:bottom w:val="none" w:sz="0" w:space="0" w:color="auto"/>
                            <w:right w:val="none" w:sz="0" w:space="0" w:color="auto"/>
                          </w:divBdr>
                          <w:divsChild>
                            <w:div w:id="1535460751">
                              <w:marLeft w:val="0"/>
                              <w:marRight w:val="0"/>
                              <w:marTop w:val="0"/>
                              <w:marBottom w:val="0"/>
                              <w:divBdr>
                                <w:top w:val="none" w:sz="0" w:space="0" w:color="auto"/>
                                <w:left w:val="none" w:sz="0" w:space="0" w:color="auto"/>
                                <w:bottom w:val="none" w:sz="0" w:space="0" w:color="auto"/>
                                <w:right w:val="none" w:sz="0" w:space="0" w:color="auto"/>
                              </w:divBdr>
                              <w:divsChild>
                                <w:div w:id="54756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315589">
          <w:marLeft w:val="0"/>
          <w:marRight w:val="0"/>
          <w:marTop w:val="0"/>
          <w:marBottom w:val="0"/>
          <w:divBdr>
            <w:top w:val="none" w:sz="0" w:space="0" w:color="auto"/>
            <w:left w:val="none" w:sz="0" w:space="0" w:color="auto"/>
            <w:bottom w:val="none" w:sz="0" w:space="0" w:color="auto"/>
            <w:right w:val="none" w:sz="0" w:space="0" w:color="auto"/>
          </w:divBdr>
          <w:divsChild>
            <w:div w:id="1844003213">
              <w:marLeft w:val="0"/>
              <w:marRight w:val="0"/>
              <w:marTop w:val="0"/>
              <w:marBottom w:val="0"/>
              <w:divBdr>
                <w:top w:val="none" w:sz="0" w:space="0" w:color="auto"/>
                <w:left w:val="none" w:sz="0" w:space="0" w:color="auto"/>
                <w:bottom w:val="none" w:sz="0" w:space="0" w:color="auto"/>
                <w:right w:val="none" w:sz="0" w:space="0" w:color="auto"/>
              </w:divBdr>
              <w:divsChild>
                <w:div w:id="610165866">
                  <w:marLeft w:val="0"/>
                  <w:marRight w:val="0"/>
                  <w:marTop w:val="0"/>
                  <w:marBottom w:val="0"/>
                  <w:divBdr>
                    <w:top w:val="none" w:sz="0" w:space="0" w:color="auto"/>
                    <w:left w:val="none" w:sz="0" w:space="0" w:color="auto"/>
                    <w:bottom w:val="none" w:sz="0" w:space="0" w:color="auto"/>
                    <w:right w:val="none" w:sz="0" w:space="0" w:color="auto"/>
                  </w:divBdr>
                  <w:divsChild>
                    <w:div w:id="1382053844">
                      <w:marLeft w:val="0"/>
                      <w:marRight w:val="0"/>
                      <w:marTop w:val="0"/>
                      <w:marBottom w:val="0"/>
                      <w:divBdr>
                        <w:top w:val="none" w:sz="0" w:space="0" w:color="auto"/>
                        <w:left w:val="none" w:sz="0" w:space="0" w:color="auto"/>
                        <w:bottom w:val="none" w:sz="0" w:space="0" w:color="auto"/>
                        <w:right w:val="none" w:sz="0" w:space="0" w:color="auto"/>
                      </w:divBdr>
                      <w:divsChild>
                        <w:div w:id="218131549">
                          <w:marLeft w:val="0"/>
                          <w:marRight w:val="0"/>
                          <w:marTop w:val="0"/>
                          <w:marBottom w:val="0"/>
                          <w:divBdr>
                            <w:top w:val="none" w:sz="0" w:space="0" w:color="auto"/>
                            <w:left w:val="none" w:sz="0" w:space="0" w:color="auto"/>
                            <w:bottom w:val="none" w:sz="0" w:space="0" w:color="auto"/>
                            <w:right w:val="none" w:sz="0" w:space="0" w:color="auto"/>
                          </w:divBdr>
                          <w:divsChild>
                            <w:div w:id="1101872313">
                              <w:marLeft w:val="0"/>
                              <w:marRight w:val="0"/>
                              <w:marTop w:val="0"/>
                              <w:marBottom w:val="0"/>
                              <w:divBdr>
                                <w:top w:val="none" w:sz="0" w:space="0" w:color="auto"/>
                                <w:left w:val="none" w:sz="0" w:space="0" w:color="auto"/>
                                <w:bottom w:val="none" w:sz="0" w:space="0" w:color="auto"/>
                                <w:right w:val="none" w:sz="0" w:space="0" w:color="auto"/>
                              </w:divBdr>
                              <w:divsChild>
                                <w:div w:id="406223041">
                                  <w:marLeft w:val="0"/>
                                  <w:marRight w:val="0"/>
                                  <w:marTop w:val="0"/>
                                  <w:marBottom w:val="0"/>
                                  <w:divBdr>
                                    <w:top w:val="none" w:sz="0" w:space="0" w:color="auto"/>
                                    <w:left w:val="none" w:sz="0" w:space="0" w:color="auto"/>
                                    <w:bottom w:val="none" w:sz="0" w:space="0" w:color="auto"/>
                                    <w:right w:val="none" w:sz="0" w:space="0" w:color="auto"/>
                                  </w:divBdr>
                                  <w:divsChild>
                                    <w:div w:id="1649896576">
                                      <w:marLeft w:val="0"/>
                                      <w:marRight w:val="0"/>
                                      <w:marTop w:val="0"/>
                                      <w:marBottom w:val="0"/>
                                      <w:divBdr>
                                        <w:top w:val="none" w:sz="0" w:space="0" w:color="auto"/>
                                        <w:left w:val="none" w:sz="0" w:space="0" w:color="auto"/>
                                        <w:bottom w:val="none" w:sz="0" w:space="0" w:color="auto"/>
                                        <w:right w:val="none" w:sz="0" w:space="0" w:color="auto"/>
                                      </w:divBdr>
                                      <w:divsChild>
                                        <w:div w:id="6788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795230">
          <w:marLeft w:val="0"/>
          <w:marRight w:val="0"/>
          <w:marTop w:val="0"/>
          <w:marBottom w:val="0"/>
          <w:divBdr>
            <w:top w:val="none" w:sz="0" w:space="0" w:color="auto"/>
            <w:left w:val="none" w:sz="0" w:space="0" w:color="auto"/>
            <w:bottom w:val="none" w:sz="0" w:space="0" w:color="auto"/>
            <w:right w:val="none" w:sz="0" w:space="0" w:color="auto"/>
          </w:divBdr>
          <w:divsChild>
            <w:div w:id="819811777">
              <w:marLeft w:val="0"/>
              <w:marRight w:val="0"/>
              <w:marTop w:val="0"/>
              <w:marBottom w:val="0"/>
              <w:divBdr>
                <w:top w:val="none" w:sz="0" w:space="0" w:color="auto"/>
                <w:left w:val="none" w:sz="0" w:space="0" w:color="auto"/>
                <w:bottom w:val="none" w:sz="0" w:space="0" w:color="auto"/>
                <w:right w:val="none" w:sz="0" w:space="0" w:color="auto"/>
              </w:divBdr>
              <w:divsChild>
                <w:div w:id="235937295">
                  <w:marLeft w:val="0"/>
                  <w:marRight w:val="0"/>
                  <w:marTop w:val="0"/>
                  <w:marBottom w:val="0"/>
                  <w:divBdr>
                    <w:top w:val="none" w:sz="0" w:space="0" w:color="auto"/>
                    <w:left w:val="none" w:sz="0" w:space="0" w:color="auto"/>
                    <w:bottom w:val="none" w:sz="0" w:space="0" w:color="auto"/>
                    <w:right w:val="none" w:sz="0" w:space="0" w:color="auto"/>
                  </w:divBdr>
                  <w:divsChild>
                    <w:div w:id="1075980464">
                      <w:marLeft w:val="0"/>
                      <w:marRight w:val="0"/>
                      <w:marTop w:val="0"/>
                      <w:marBottom w:val="0"/>
                      <w:divBdr>
                        <w:top w:val="none" w:sz="0" w:space="0" w:color="auto"/>
                        <w:left w:val="none" w:sz="0" w:space="0" w:color="auto"/>
                        <w:bottom w:val="none" w:sz="0" w:space="0" w:color="auto"/>
                        <w:right w:val="none" w:sz="0" w:space="0" w:color="auto"/>
                      </w:divBdr>
                      <w:divsChild>
                        <w:div w:id="714231321">
                          <w:marLeft w:val="0"/>
                          <w:marRight w:val="0"/>
                          <w:marTop w:val="0"/>
                          <w:marBottom w:val="0"/>
                          <w:divBdr>
                            <w:top w:val="none" w:sz="0" w:space="0" w:color="auto"/>
                            <w:left w:val="none" w:sz="0" w:space="0" w:color="auto"/>
                            <w:bottom w:val="none" w:sz="0" w:space="0" w:color="auto"/>
                            <w:right w:val="none" w:sz="0" w:space="0" w:color="auto"/>
                          </w:divBdr>
                          <w:divsChild>
                            <w:div w:id="423307755">
                              <w:marLeft w:val="0"/>
                              <w:marRight w:val="0"/>
                              <w:marTop w:val="0"/>
                              <w:marBottom w:val="0"/>
                              <w:divBdr>
                                <w:top w:val="none" w:sz="0" w:space="0" w:color="auto"/>
                                <w:left w:val="none" w:sz="0" w:space="0" w:color="auto"/>
                                <w:bottom w:val="none" w:sz="0" w:space="0" w:color="auto"/>
                                <w:right w:val="none" w:sz="0" w:space="0" w:color="auto"/>
                              </w:divBdr>
                              <w:divsChild>
                                <w:div w:id="1316840162">
                                  <w:marLeft w:val="0"/>
                                  <w:marRight w:val="0"/>
                                  <w:marTop w:val="0"/>
                                  <w:marBottom w:val="0"/>
                                  <w:divBdr>
                                    <w:top w:val="none" w:sz="0" w:space="0" w:color="auto"/>
                                    <w:left w:val="none" w:sz="0" w:space="0" w:color="auto"/>
                                    <w:bottom w:val="none" w:sz="0" w:space="0" w:color="auto"/>
                                    <w:right w:val="none" w:sz="0" w:space="0" w:color="auto"/>
                                  </w:divBdr>
                                  <w:divsChild>
                                    <w:div w:id="16841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02398">
                          <w:marLeft w:val="0"/>
                          <w:marRight w:val="0"/>
                          <w:marTop w:val="0"/>
                          <w:marBottom w:val="0"/>
                          <w:divBdr>
                            <w:top w:val="none" w:sz="0" w:space="0" w:color="auto"/>
                            <w:left w:val="none" w:sz="0" w:space="0" w:color="auto"/>
                            <w:bottom w:val="none" w:sz="0" w:space="0" w:color="auto"/>
                            <w:right w:val="none" w:sz="0" w:space="0" w:color="auto"/>
                          </w:divBdr>
                          <w:divsChild>
                            <w:div w:id="1920552844">
                              <w:marLeft w:val="0"/>
                              <w:marRight w:val="0"/>
                              <w:marTop w:val="0"/>
                              <w:marBottom w:val="0"/>
                              <w:divBdr>
                                <w:top w:val="none" w:sz="0" w:space="0" w:color="auto"/>
                                <w:left w:val="none" w:sz="0" w:space="0" w:color="auto"/>
                                <w:bottom w:val="none" w:sz="0" w:space="0" w:color="auto"/>
                                <w:right w:val="none" w:sz="0" w:space="0" w:color="auto"/>
                              </w:divBdr>
                              <w:divsChild>
                                <w:div w:id="1577861598">
                                  <w:marLeft w:val="0"/>
                                  <w:marRight w:val="0"/>
                                  <w:marTop w:val="0"/>
                                  <w:marBottom w:val="0"/>
                                  <w:divBdr>
                                    <w:top w:val="none" w:sz="0" w:space="0" w:color="auto"/>
                                    <w:left w:val="none" w:sz="0" w:space="0" w:color="auto"/>
                                    <w:bottom w:val="none" w:sz="0" w:space="0" w:color="auto"/>
                                    <w:right w:val="none" w:sz="0" w:space="0" w:color="auto"/>
                                  </w:divBdr>
                                  <w:divsChild>
                                    <w:div w:id="4909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528119">
                  <w:marLeft w:val="0"/>
                  <w:marRight w:val="0"/>
                  <w:marTop w:val="0"/>
                  <w:marBottom w:val="0"/>
                  <w:divBdr>
                    <w:top w:val="none" w:sz="0" w:space="0" w:color="auto"/>
                    <w:left w:val="none" w:sz="0" w:space="0" w:color="auto"/>
                    <w:bottom w:val="none" w:sz="0" w:space="0" w:color="auto"/>
                    <w:right w:val="none" w:sz="0" w:space="0" w:color="auto"/>
                  </w:divBdr>
                  <w:divsChild>
                    <w:div w:id="717511276">
                      <w:marLeft w:val="0"/>
                      <w:marRight w:val="0"/>
                      <w:marTop w:val="0"/>
                      <w:marBottom w:val="0"/>
                      <w:divBdr>
                        <w:top w:val="none" w:sz="0" w:space="0" w:color="auto"/>
                        <w:left w:val="none" w:sz="0" w:space="0" w:color="auto"/>
                        <w:bottom w:val="none" w:sz="0" w:space="0" w:color="auto"/>
                        <w:right w:val="none" w:sz="0" w:space="0" w:color="auto"/>
                      </w:divBdr>
                      <w:divsChild>
                        <w:div w:id="1893420402">
                          <w:marLeft w:val="0"/>
                          <w:marRight w:val="0"/>
                          <w:marTop w:val="0"/>
                          <w:marBottom w:val="0"/>
                          <w:divBdr>
                            <w:top w:val="none" w:sz="0" w:space="0" w:color="auto"/>
                            <w:left w:val="none" w:sz="0" w:space="0" w:color="auto"/>
                            <w:bottom w:val="none" w:sz="0" w:space="0" w:color="auto"/>
                            <w:right w:val="none" w:sz="0" w:space="0" w:color="auto"/>
                          </w:divBdr>
                          <w:divsChild>
                            <w:div w:id="1903367099">
                              <w:marLeft w:val="0"/>
                              <w:marRight w:val="0"/>
                              <w:marTop w:val="0"/>
                              <w:marBottom w:val="0"/>
                              <w:divBdr>
                                <w:top w:val="none" w:sz="0" w:space="0" w:color="auto"/>
                                <w:left w:val="none" w:sz="0" w:space="0" w:color="auto"/>
                                <w:bottom w:val="none" w:sz="0" w:space="0" w:color="auto"/>
                                <w:right w:val="none" w:sz="0" w:space="0" w:color="auto"/>
                              </w:divBdr>
                              <w:divsChild>
                                <w:div w:id="5017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564810">
          <w:marLeft w:val="0"/>
          <w:marRight w:val="0"/>
          <w:marTop w:val="0"/>
          <w:marBottom w:val="0"/>
          <w:divBdr>
            <w:top w:val="none" w:sz="0" w:space="0" w:color="auto"/>
            <w:left w:val="none" w:sz="0" w:space="0" w:color="auto"/>
            <w:bottom w:val="none" w:sz="0" w:space="0" w:color="auto"/>
            <w:right w:val="none" w:sz="0" w:space="0" w:color="auto"/>
          </w:divBdr>
          <w:divsChild>
            <w:div w:id="1699773431">
              <w:marLeft w:val="0"/>
              <w:marRight w:val="0"/>
              <w:marTop w:val="0"/>
              <w:marBottom w:val="0"/>
              <w:divBdr>
                <w:top w:val="none" w:sz="0" w:space="0" w:color="auto"/>
                <w:left w:val="none" w:sz="0" w:space="0" w:color="auto"/>
                <w:bottom w:val="none" w:sz="0" w:space="0" w:color="auto"/>
                <w:right w:val="none" w:sz="0" w:space="0" w:color="auto"/>
              </w:divBdr>
              <w:divsChild>
                <w:div w:id="1421565450">
                  <w:marLeft w:val="0"/>
                  <w:marRight w:val="0"/>
                  <w:marTop w:val="0"/>
                  <w:marBottom w:val="0"/>
                  <w:divBdr>
                    <w:top w:val="none" w:sz="0" w:space="0" w:color="auto"/>
                    <w:left w:val="none" w:sz="0" w:space="0" w:color="auto"/>
                    <w:bottom w:val="none" w:sz="0" w:space="0" w:color="auto"/>
                    <w:right w:val="none" w:sz="0" w:space="0" w:color="auto"/>
                  </w:divBdr>
                  <w:divsChild>
                    <w:div w:id="179319123">
                      <w:marLeft w:val="0"/>
                      <w:marRight w:val="0"/>
                      <w:marTop w:val="0"/>
                      <w:marBottom w:val="0"/>
                      <w:divBdr>
                        <w:top w:val="none" w:sz="0" w:space="0" w:color="auto"/>
                        <w:left w:val="none" w:sz="0" w:space="0" w:color="auto"/>
                        <w:bottom w:val="none" w:sz="0" w:space="0" w:color="auto"/>
                        <w:right w:val="none" w:sz="0" w:space="0" w:color="auto"/>
                      </w:divBdr>
                      <w:divsChild>
                        <w:div w:id="1480267034">
                          <w:marLeft w:val="0"/>
                          <w:marRight w:val="0"/>
                          <w:marTop w:val="0"/>
                          <w:marBottom w:val="0"/>
                          <w:divBdr>
                            <w:top w:val="none" w:sz="0" w:space="0" w:color="auto"/>
                            <w:left w:val="none" w:sz="0" w:space="0" w:color="auto"/>
                            <w:bottom w:val="none" w:sz="0" w:space="0" w:color="auto"/>
                            <w:right w:val="none" w:sz="0" w:space="0" w:color="auto"/>
                          </w:divBdr>
                          <w:divsChild>
                            <w:div w:id="896823246">
                              <w:marLeft w:val="0"/>
                              <w:marRight w:val="0"/>
                              <w:marTop w:val="0"/>
                              <w:marBottom w:val="0"/>
                              <w:divBdr>
                                <w:top w:val="none" w:sz="0" w:space="0" w:color="auto"/>
                                <w:left w:val="none" w:sz="0" w:space="0" w:color="auto"/>
                                <w:bottom w:val="none" w:sz="0" w:space="0" w:color="auto"/>
                                <w:right w:val="none" w:sz="0" w:space="0" w:color="auto"/>
                              </w:divBdr>
                              <w:divsChild>
                                <w:div w:id="1310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31473">
                  <w:marLeft w:val="0"/>
                  <w:marRight w:val="0"/>
                  <w:marTop w:val="0"/>
                  <w:marBottom w:val="0"/>
                  <w:divBdr>
                    <w:top w:val="none" w:sz="0" w:space="0" w:color="auto"/>
                    <w:left w:val="none" w:sz="0" w:space="0" w:color="auto"/>
                    <w:bottom w:val="none" w:sz="0" w:space="0" w:color="auto"/>
                    <w:right w:val="none" w:sz="0" w:space="0" w:color="auto"/>
                  </w:divBdr>
                  <w:divsChild>
                    <w:div w:id="333842018">
                      <w:marLeft w:val="0"/>
                      <w:marRight w:val="0"/>
                      <w:marTop w:val="0"/>
                      <w:marBottom w:val="0"/>
                      <w:divBdr>
                        <w:top w:val="none" w:sz="0" w:space="0" w:color="auto"/>
                        <w:left w:val="none" w:sz="0" w:space="0" w:color="auto"/>
                        <w:bottom w:val="none" w:sz="0" w:space="0" w:color="auto"/>
                        <w:right w:val="none" w:sz="0" w:space="0" w:color="auto"/>
                      </w:divBdr>
                      <w:divsChild>
                        <w:div w:id="404844359">
                          <w:marLeft w:val="0"/>
                          <w:marRight w:val="0"/>
                          <w:marTop w:val="0"/>
                          <w:marBottom w:val="0"/>
                          <w:divBdr>
                            <w:top w:val="none" w:sz="0" w:space="0" w:color="auto"/>
                            <w:left w:val="none" w:sz="0" w:space="0" w:color="auto"/>
                            <w:bottom w:val="none" w:sz="0" w:space="0" w:color="auto"/>
                            <w:right w:val="none" w:sz="0" w:space="0" w:color="auto"/>
                          </w:divBdr>
                          <w:divsChild>
                            <w:div w:id="1488279308">
                              <w:marLeft w:val="0"/>
                              <w:marRight w:val="0"/>
                              <w:marTop w:val="0"/>
                              <w:marBottom w:val="0"/>
                              <w:divBdr>
                                <w:top w:val="none" w:sz="0" w:space="0" w:color="auto"/>
                                <w:left w:val="none" w:sz="0" w:space="0" w:color="auto"/>
                                <w:bottom w:val="none" w:sz="0" w:space="0" w:color="auto"/>
                                <w:right w:val="none" w:sz="0" w:space="0" w:color="auto"/>
                              </w:divBdr>
                              <w:divsChild>
                                <w:div w:id="1678456982">
                                  <w:marLeft w:val="0"/>
                                  <w:marRight w:val="0"/>
                                  <w:marTop w:val="0"/>
                                  <w:marBottom w:val="0"/>
                                  <w:divBdr>
                                    <w:top w:val="none" w:sz="0" w:space="0" w:color="auto"/>
                                    <w:left w:val="none" w:sz="0" w:space="0" w:color="auto"/>
                                    <w:bottom w:val="none" w:sz="0" w:space="0" w:color="auto"/>
                                    <w:right w:val="none" w:sz="0" w:space="0" w:color="auto"/>
                                  </w:divBdr>
                                  <w:divsChild>
                                    <w:div w:id="5868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21462">
                          <w:marLeft w:val="0"/>
                          <w:marRight w:val="0"/>
                          <w:marTop w:val="0"/>
                          <w:marBottom w:val="0"/>
                          <w:divBdr>
                            <w:top w:val="none" w:sz="0" w:space="0" w:color="auto"/>
                            <w:left w:val="none" w:sz="0" w:space="0" w:color="auto"/>
                            <w:bottom w:val="none" w:sz="0" w:space="0" w:color="auto"/>
                            <w:right w:val="none" w:sz="0" w:space="0" w:color="auto"/>
                          </w:divBdr>
                          <w:divsChild>
                            <w:div w:id="729958837">
                              <w:marLeft w:val="0"/>
                              <w:marRight w:val="0"/>
                              <w:marTop w:val="0"/>
                              <w:marBottom w:val="0"/>
                              <w:divBdr>
                                <w:top w:val="none" w:sz="0" w:space="0" w:color="auto"/>
                                <w:left w:val="none" w:sz="0" w:space="0" w:color="auto"/>
                                <w:bottom w:val="none" w:sz="0" w:space="0" w:color="auto"/>
                                <w:right w:val="none" w:sz="0" w:space="0" w:color="auto"/>
                              </w:divBdr>
                              <w:divsChild>
                                <w:div w:id="303632293">
                                  <w:marLeft w:val="0"/>
                                  <w:marRight w:val="0"/>
                                  <w:marTop w:val="0"/>
                                  <w:marBottom w:val="0"/>
                                  <w:divBdr>
                                    <w:top w:val="none" w:sz="0" w:space="0" w:color="auto"/>
                                    <w:left w:val="none" w:sz="0" w:space="0" w:color="auto"/>
                                    <w:bottom w:val="none" w:sz="0" w:space="0" w:color="auto"/>
                                    <w:right w:val="none" w:sz="0" w:space="0" w:color="auto"/>
                                  </w:divBdr>
                                  <w:divsChild>
                                    <w:div w:id="129802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134316">
          <w:marLeft w:val="0"/>
          <w:marRight w:val="0"/>
          <w:marTop w:val="0"/>
          <w:marBottom w:val="0"/>
          <w:divBdr>
            <w:top w:val="none" w:sz="0" w:space="0" w:color="auto"/>
            <w:left w:val="none" w:sz="0" w:space="0" w:color="auto"/>
            <w:bottom w:val="none" w:sz="0" w:space="0" w:color="auto"/>
            <w:right w:val="none" w:sz="0" w:space="0" w:color="auto"/>
          </w:divBdr>
          <w:divsChild>
            <w:div w:id="844714042">
              <w:marLeft w:val="0"/>
              <w:marRight w:val="0"/>
              <w:marTop w:val="0"/>
              <w:marBottom w:val="0"/>
              <w:divBdr>
                <w:top w:val="none" w:sz="0" w:space="0" w:color="auto"/>
                <w:left w:val="none" w:sz="0" w:space="0" w:color="auto"/>
                <w:bottom w:val="none" w:sz="0" w:space="0" w:color="auto"/>
                <w:right w:val="none" w:sz="0" w:space="0" w:color="auto"/>
              </w:divBdr>
              <w:divsChild>
                <w:div w:id="138889335">
                  <w:marLeft w:val="0"/>
                  <w:marRight w:val="0"/>
                  <w:marTop w:val="0"/>
                  <w:marBottom w:val="0"/>
                  <w:divBdr>
                    <w:top w:val="none" w:sz="0" w:space="0" w:color="auto"/>
                    <w:left w:val="none" w:sz="0" w:space="0" w:color="auto"/>
                    <w:bottom w:val="none" w:sz="0" w:space="0" w:color="auto"/>
                    <w:right w:val="none" w:sz="0" w:space="0" w:color="auto"/>
                  </w:divBdr>
                  <w:divsChild>
                    <w:div w:id="231932818">
                      <w:marLeft w:val="0"/>
                      <w:marRight w:val="0"/>
                      <w:marTop w:val="0"/>
                      <w:marBottom w:val="0"/>
                      <w:divBdr>
                        <w:top w:val="none" w:sz="0" w:space="0" w:color="auto"/>
                        <w:left w:val="none" w:sz="0" w:space="0" w:color="auto"/>
                        <w:bottom w:val="none" w:sz="0" w:space="0" w:color="auto"/>
                        <w:right w:val="none" w:sz="0" w:space="0" w:color="auto"/>
                      </w:divBdr>
                      <w:divsChild>
                        <w:div w:id="2005546495">
                          <w:marLeft w:val="0"/>
                          <w:marRight w:val="0"/>
                          <w:marTop w:val="0"/>
                          <w:marBottom w:val="0"/>
                          <w:divBdr>
                            <w:top w:val="none" w:sz="0" w:space="0" w:color="auto"/>
                            <w:left w:val="none" w:sz="0" w:space="0" w:color="auto"/>
                            <w:bottom w:val="none" w:sz="0" w:space="0" w:color="auto"/>
                            <w:right w:val="none" w:sz="0" w:space="0" w:color="auto"/>
                          </w:divBdr>
                          <w:divsChild>
                            <w:div w:id="1957131192">
                              <w:marLeft w:val="0"/>
                              <w:marRight w:val="0"/>
                              <w:marTop w:val="0"/>
                              <w:marBottom w:val="0"/>
                              <w:divBdr>
                                <w:top w:val="none" w:sz="0" w:space="0" w:color="auto"/>
                                <w:left w:val="none" w:sz="0" w:space="0" w:color="auto"/>
                                <w:bottom w:val="none" w:sz="0" w:space="0" w:color="auto"/>
                                <w:right w:val="none" w:sz="0" w:space="0" w:color="auto"/>
                              </w:divBdr>
                              <w:divsChild>
                                <w:div w:id="18135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8315">
                  <w:marLeft w:val="0"/>
                  <w:marRight w:val="0"/>
                  <w:marTop w:val="0"/>
                  <w:marBottom w:val="0"/>
                  <w:divBdr>
                    <w:top w:val="none" w:sz="0" w:space="0" w:color="auto"/>
                    <w:left w:val="none" w:sz="0" w:space="0" w:color="auto"/>
                    <w:bottom w:val="none" w:sz="0" w:space="0" w:color="auto"/>
                    <w:right w:val="none" w:sz="0" w:space="0" w:color="auto"/>
                  </w:divBdr>
                  <w:divsChild>
                    <w:div w:id="1022170582">
                      <w:marLeft w:val="0"/>
                      <w:marRight w:val="0"/>
                      <w:marTop w:val="0"/>
                      <w:marBottom w:val="0"/>
                      <w:divBdr>
                        <w:top w:val="none" w:sz="0" w:space="0" w:color="auto"/>
                        <w:left w:val="none" w:sz="0" w:space="0" w:color="auto"/>
                        <w:bottom w:val="none" w:sz="0" w:space="0" w:color="auto"/>
                        <w:right w:val="none" w:sz="0" w:space="0" w:color="auto"/>
                      </w:divBdr>
                      <w:divsChild>
                        <w:div w:id="379473968">
                          <w:marLeft w:val="0"/>
                          <w:marRight w:val="0"/>
                          <w:marTop w:val="0"/>
                          <w:marBottom w:val="0"/>
                          <w:divBdr>
                            <w:top w:val="none" w:sz="0" w:space="0" w:color="auto"/>
                            <w:left w:val="none" w:sz="0" w:space="0" w:color="auto"/>
                            <w:bottom w:val="none" w:sz="0" w:space="0" w:color="auto"/>
                            <w:right w:val="none" w:sz="0" w:space="0" w:color="auto"/>
                          </w:divBdr>
                          <w:divsChild>
                            <w:div w:id="1411854817">
                              <w:marLeft w:val="0"/>
                              <w:marRight w:val="0"/>
                              <w:marTop w:val="0"/>
                              <w:marBottom w:val="0"/>
                              <w:divBdr>
                                <w:top w:val="none" w:sz="0" w:space="0" w:color="auto"/>
                                <w:left w:val="none" w:sz="0" w:space="0" w:color="auto"/>
                                <w:bottom w:val="none" w:sz="0" w:space="0" w:color="auto"/>
                                <w:right w:val="none" w:sz="0" w:space="0" w:color="auto"/>
                              </w:divBdr>
                              <w:divsChild>
                                <w:div w:id="1443182134">
                                  <w:marLeft w:val="0"/>
                                  <w:marRight w:val="0"/>
                                  <w:marTop w:val="0"/>
                                  <w:marBottom w:val="0"/>
                                  <w:divBdr>
                                    <w:top w:val="none" w:sz="0" w:space="0" w:color="auto"/>
                                    <w:left w:val="none" w:sz="0" w:space="0" w:color="auto"/>
                                    <w:bottom w:val="none" w:sz="0" w:space="0" w:color="auto"/>
                                    <w:right w:val="none" w:sz="0" w:space="0" w:color="auto"/>
                                  </w:divBdr>
                                  <w:divsChild>
                                    <w:div w:id="6681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1908">
                          <w:marLeft w:val="0"/>
                          <w:marRight w:val="0"/>
                          <w:marTop w:val="0"/>
                          <w:marBottom w:val="0"/>
                          <w:divBdr>
                            <w:top w:val="none" w:sz="0" w:space="0" w:color="auto"/>
                            <w:left w:val="none" w:sz="0" w:space="0" w:color="auto"/>
                            <w:bottom w:val="none" w:sz="0" w:space="0" w:color="auto"/>
                            <w:right w:val="none" w:sz="0" w:space="0" w:color="auto"/>
                          </w:divBdr>
                          <w:divsChild>
                            <w:div w:id="1858998976">
                              <w:marLeft w:val="0"/>
                              <w:marRight w:val="0"/>
                              <w:marTop w:val="0"/>
                              <w:marBottom w:val="0"/>
                              <w:divBdr>
                                <w:top w:val="none" w:sz="0" w:space="0" w:color="auto"/>
                                <w:left w:val="none" w:sz="0" w:space="0" w:color="auto"/>
                                <w:bottom w:val="none" w:sz="0" w:space="0" w:color="auto"/>
                                <w:right w:val="none" w:sz="0" w:space="0" w:color="auto"/>
                              </w:divBdr>
                              <w:divsChild>
                                <w:div w:id="335502826">
                                  <w:marLeft w:val="0"/>
                                  <w:marRight w:val="0"/>
                                  <w:marTop w:val="0"/>
                                  <w:marBottom w:val="0"/>
                                  <w:divBdr>
                                    <w:top w:val="none" w:sz="0" w:space="0" w:color="auto"/>
                                    <w:left w:val="none" w:sz="0" w:space="0" w:color="auto"/>
                                    <w:bottom w:val="none" w:sz="0" w:space="0" w:color="auto"/>
                                    <w:right w:val="none" w:sz="0" w:space="0" w:color="auto"/>
                                  </w:divBdr>
                                  <w:divsChild>
                                    <w:div w:id="15109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879033">
          <w:marLeft w:val="0"/>
          <w:marRight w:val="0"/>
          <w:marTop w:val="0"/>
          <w:marBottom w:val="0"/>
          <w:divBdr>
            <w:top w:val="none" w:sz="0" w:space="0" w:color="auto"/>
            <w:left w:val="none" w:sz="0" w:space="0" w:color="auto"/>
            <w:bottom w:val="none" w:sz="0" w:space="0" w:color="auto"/>
            <w:right w:val="none" w:sz="0" w:space="0" w:color="auto"/>
          </w:divBdr>
          <w:divsChild>
            <w:div w:id="409352779">
              <w:marLeft w:val="0"/>
              <w:marRight w:val="0"/>
              <w:marTop w:val="0"/>
              <w:marBottom w:val="0"/>
              <w:divBdr>
                <w:top w:val="none" w:sz="0" w:space="0" w:color="auto"/>
                <w:left w:val="none" w:sz="0" w:space="0" w:color="auto"/>
                <w:bottom w:val="none" w:sz="0" w:space="0" w:color="auto"/>
                <w:right w:val="none" w:sz="0" w:space="0" w:color="auto"/>
              </w:divBdr>
              <w:divsChild>
                <w:div w:id="429814949">
                  <w:marLeft w:val="0"/>
                  <w:marRight w:val="0"/>
                  <w:marTop w:val="0"/>
                  <w:marBottom w:val="0"/>
                  <w:divBdr>
                    <w:top w:val="none" w:sz="0" w:space="0" w:color="auto"/>
                    <w:left w:val="none" w:sz="0" w:space="0" w:color="auto"/>
                    <w:bottom w:val="none" w:sz="0" w:space="0" w:color="auto"/>
                    <w:right w:val="none" w:sz="0" w:space="0" w:color="auto"/>
                  </w:divBdr>
                  <w:divsChild>
                    <w:div w:id="711534605">
                      <w:marLeft w:val="0"/>
                      <w:marRight w:val="0"/>
                      <w:marTop w:val="0"/>
                      <w:marBottom w:val="0"/>
                      <w:divBdr>
                        <w:top w:val="none" w:sz="0" w:space="0" w:color="auto"/>
                        <w:left w:val="none" w:sz="0" w:space="0" w:color="auto"/>
                        <w:bottom w:val="none" w:sz="0" w:space="0" w:color="auto"/>
                        <w:right w:val="none" w:sz="0" w:space="0" w:color="auto"/>
                      </w:divBdr>
                      <w:divsChild>
                        <w:div w:id="678586843">
                          <w:marLeft w:val="0"/>
                          <w:marRight w:val="0"/>
                          <w:marTop w:val="0"/>
                          <w:marBottom w:val="0"/>
                          <w:divBdr>
                            <w:top w:val="none" w:sz="0" w:space="0" w:color="auto"/>
                            <w:left w:val="none" w:sz="0" w:space="0" w:color="auto"/>
                            <w:bottom w:val="none" w:sz="0" w:space="0" w:color="auto"/>
                            <w:right w:val="none" w:sz="0" w:space="0" w:color="auto"/>
                          </w:divBdr>
                          <w:divsChild>
                            <w:div w:id="1667247021">
                              <w:marLeft w:val="0"/>
                              <w:marRight w:val="0"/>
                              <w:marTop w:val="0"/>
                              <w:marBottom w:val="0"/>
                              <w:divBdr>
                                <w:top w:val="none" w:sz="0" w:space="0" w:color="auto"/>
                                <w:left w:val="none" w:sz="0" w:space="0" w:color="auto"/>
                                <w:bottom w:val="none" w:sz="0" w:space="0" w:color="auto"/>
                                <w:right w:val="none" w:sz="0" w:space="0" w:color="auto"/>
                              </w:divBdr>
                              <w:divsChild>
                                <w:div w:id="12147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838293">
                  <w:marLeft w:val="0"/>
                  <w:marRight w:val="0"/>
                  <w:marTop w:val="0"/>
                  <w:marBottom w:val="0"/>
                  <w:divBdr>
                    <w:top w:val="none" w:sz="0" w:space="0" w:color="auto"/>
                    <w:left w:val="none" w:sz="0" w:space="0" w:color="auto"/>
                    <w:bottom w:val="none" w:sz="0" w:space="0" w:color="auto"/>
                    <w:right w:val="none" w:sz="0" w:space="0" w:color="auto"/>
                  </w:divBdr>
                  <w:divsChild>
                    <w:div w:id="923417839">
                      <w:marLeft w:val="0"/>
                      <w:marRight w:val="0"/>
                      <w:marTop w:val="0"/>
                      <w:marBottom w:val="0"/>
                      <w:divBdr>
                        <w:top w:val="none" w:sz="0" w:space="0" w:color="auto"/>
                        <w:left w:val="none" w:sz="0" w:space="0" w:color="auto"/>
                        <w:bottom w:val="none" w:sz="0" w:space="0" w:color="auto"/>
                        <w:right w:val="none" w:sz="0" w:space="0" w:color="auto"/>
                      </w:divBdr>
                      <w:divsChild>
                        <w:div w:id="581178683">
                          <w:marLeft w:val="0"/>
                          <w:marRight w:val="0"/>
                          <w:marTop w:val="0"/>
                          <w:marBottom w:val="0"/>
                          <w:divBdr>
                            <w:top w:val="none" w:sz="0" w:space="0" w:color="auto"/>
                            <w:left w:val="none" w:sz="0" w:space="0" w:color="auto"/>
                            <w:bottom w:val="none" w:sz="0" w:space="0" w:color="auto"/>
                            <w:right w:val="none" w:sz="0" w:space="0" w:color="auto"/>
                          </w:divBdr>
                          <w:divsChild>
                            <w:div w:id="1214192990">
                              <w:marLeft w:val="0"/>
                              <w:marRight w:val="0"/>
                              <w:marTop w:val="0"/>
                              <w:marBottom w:val="0"/>
                              <w:divBdr>
                                <w:top w:val="none" w:sz="0" w:space="0" w:color="auto"/>
                                <w:left w:val="none" w:sz="0" w:space="0" w:color="auto"/>
                                <w:bottom w:val="none" w:sz="0" w:space="0" w:color="auto"/>
                                <w:right w:val="none" w:sz="0" w:space="0" w:color="auto"/>
                              </w:divBdr>
                              <w:divsChild>
                                <w:div w:id="1465074875">
                                  <w:marLeft w:val="0"/>
                                  <w:marRight w:val="0"/>
                                  <w:marTop w:val="0"/>
                                  <w:marBottom w:val="0"/>
                                  <w:divBdr>
                                    <w:top w:val="none" w:sz="0" w:space="0" w:color="auto"/>
                                    <w:left w:val="none" w:sz="0" w:space="0" w:color="auto"/>
                                    <w:bottom w:val="none" w:sz="0" w:space="0" w:color="auto"/>
                                    <w:right w:val="none" w:sz="0" w:space="0" w:color="auto"/>
                                  </w:divBdr>
                                  <w:divsChild>
                                    <w:div w:id="1654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22096">
                          <w:marLeft w:val="0"/>
                          <w:marRight w:val="0"/>
                          <w:marTop w:val="0"/>
                          <w:marBottom w:val="0"/>
                          <w:divBdr>
                            <w:top w:val="none" w:sz="0" w:space="0" w:color="auto"/>
                            <w:left w:val="none" w:sz="0" w:space="0" w:color="auto"/>
                            <w:bottom w:val="none" w:sz="0" w:space="0" w:color="auto"/>
                            <w:right w:val="none" w:sz="0" w:space="0" w:color="auto"/>
                          </w:divBdr>
                          <w:divsChild>
                            <w:div w:id="58066073">
                              <w:marLeft w:val="0"/>
                              <w:marRight w:val="0"/>
                              <w:marTop w:val="0"/>
                              <w:marBottom w:val="0"/>
                              <w:divBdr>
                                <w:top w:val="none" w:sz="0" w:space="0" w:color="auto"/>
                                <w:left w:val="none" w:sz="0" w:space="0" w:color="auto"/>
                                <w:bottom w:val="none" w:sz="0" w:space="0" w:color="auto"/>
                                <w:right w:val="none" w:sz="0" w:space="0" w:color="auto"/>
                              </w:divBdr>
                              <w:divsChild>
                                <w:div w:id="1741560417">
                                  <w:marLeft w:val="0"/>
                                  <w:marRight w:val="0"/>
                                  <w:marTop w:val="0"/>
                                  <w:marBottom w:val="0"/>
                                  <w:divBdr>
                                    <w:top w:val="none" w:sz="0" w:space="0" w:color="auto"/>
                                    <w:left w:val="none" w:sz="0" w:space="0" w:color="auto"/>
                                    <w:bottom w:val="none" w:sz="0" w:space="0" w:color="auto"/>
                                    <w:right w:val="none" w:sz="0" w:space="0" w:color="auto"/>
                                  </w:divBdr>
                                  <w:divsChild>
                                    <w:div w:id="42253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327621">
          <w:marLeft w:val="0"/>
          <w:marRight w:val="0"/>
          <w:marTop w:val="0"/>
          <w:marBottom w:val="0"/>
          <w:divBdr>
            <w:top w:val="none" w:sz="0" w:space="0" w:color="auto"/>
            <w:left w:val="none" w:sz="0" w:space="0" w:color="auto"/>
            <w:bottom w:val="none" w:sz="0" w:space="0" w:color="auto"/>
            <w:right w:val="none" w:sz="0" w:space="0" w:color="auto"/>
          </w:divBdr>
          <w:divsChild>
            <w:div w:id="797911930">
              <w:marLeft w:val="0"/>
              <w:marRight w:val="0"/>
              <w:marTop w:val="0"/>
              <w:marBottom w:val="0"/>
              <w:divBdr>
                <w:top w:val="none" w:sz="0" w:space="0" w:color="auto"/>
                <w:left w:val="none" w:sz="0" w:space="0" w:color="auto"/>
                <w:bottom w:val="none" w:sz="0" w:space="0" w:color="auto"/>
                <w:right w:val="none" w:sz="0" w:space="0" w:color="auto"/>
              </w:divBdr>
              <w:divsChild>
                <w:div w:id="1142843764">
                  <w:marLeft w:val="0"/>
                  <w:marRight w:val="0"/>
                  <w:marTop w:val="0"/>
                  <w:marBottom w:val="0"/>
                  <w:divBdr>
                    <w:top w:val="none" w:sz="0" w:space="0" w:color="auto"/>
                    <w:left w:val="none" w:sz="0" w:space="0" w:color="auto"/>
                    <w:bottom w:val="none" w:sz="0" w:space="0" w:color="auto"/>
                    <w:right w:val="none" w:sz="0" w:space="0" w:color="auto"/>
                  </w:divBdr>
                  <w:divsChild>
                    <w:div w:id="1736781886">
                      <w:marLeft w:val="0"/>
                      <w:marRight w:val="0"/>
                      <w:marTop w:val="0"/>
                      <w:marBottom w:val="0"/>
                      <w:divBdr>
                        <w:top w:val="none" w:sz="0" w:space="0" w:color="auto"/>
                        <w:left w:val="none" w:sz="0" w:space="0" w:color="auto"/>
                        <w:bottom w:val="none" w:sz="0" w:space="0" w:color="auto"/>
                        <w:right w:val="none" w:sz="0" w:space="0" w:color="auto"/>
                      </w:divBdr>
                      <w:divsChild>
                        <w:div w:id="890458554">
                          <w:marLeft w:val="0"/>
                          <w:marRight w:val="0"/>
                          <w:marTop w:val="0"/>
                          <w:marBottom w:val="0"/>
                          <w:divBdr>
                            <w:top w:val="none" w:sz="0" w:space="0" w:color="auto"/>
                            <w:left w:val="none" w:sz="0" w:space="0" w:color="auto"/>
                            <w:bottom w:val="none" w:sz="0" w:space="0" w:color="auto"/>
                            <w:right w:val="none" w:sz="0" w:space="0" w:color="auto"/>
                          </w:divBdr>
                          <w:divsChild>
                            <w:div w:id="880020015">
                              <w:marLeft w:val="0"/>
                              <w:marRight w:val="0"/>
                              <w:marTop w:val="0"/>
                              <w:marBottom w:val="0"/>
                              <w:divBdr>
                                <w:top w:val="none" w:sz="0" w:space="0" w:color="auto"/>
                                <w:left w:val="none" w:sz="0" w:space="0" w:color="auto"/>
                                <w:bottom w:val="none" w:sz="0" w:space="0" w:color="auto"/>
                                <w:right w:val="none" w:sz="0" w:space="0" w:color="auto"/>
                              </w:divBdr>
                              <w:divsChild>
                                <w:div w:id="1634748452">
                                  <w:marLeft w:val="0"/>
                                  <w:marRight w:val="0"/>
                                  <w:marTop w:val="0"/>
                                  <w:marBottom w:val="0"/>
                                  <w:divBdr>
                                    <w:top w:val="none" w:sz="0" w:space="0" w:color="auto"/>
                                    <w:left w:val="none" w:sz="0" w:space="0" w:color="auto"/>
                                    <w:bottom w:val="none" w:sz="0" w:space="0" w:color="auto"/>
                                    <w:right w:val="none" w:sz="0" w:space="0" w:color="auto"/>
                                  </w:divBdr>
                                  <w:divsChild>
                                    <w:div w:id="2058234535">
                                      <w:marLeft w:val="0"/>
                                      <w:marRight w:val="0"/>
                                      <w:marTop w:val="0"/>
                                      <w:marBottom w:val="0"/>
                                      <w:divBdr>
                                        <w:top w:val="none" w:sz="0" w:space="0" w:color="auto"/>
                                        <w:left w:val="none" w:sz="0" w:space="0" w:color="auto"/>
                                        <w:bottom w:val="none" w:sz="0" w:space="0" w:color="auto"/>
                                        <w:right w:val="none" w:sz="0" w:space="0" w:color="auto"/>
                                      </w:divBdr>
                                      <w:divsChild>
                                        <w:div w:id="7134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578880">
          <w:marLeft w:val="0"/>
          <w:marRight w:val="0"/>
          <w:marTop w:val="0"/>
          <w:marBottom w:val="0"/>
          <w:divBdr>
            <w:top w:val="none" w:sz="0" w:space="0" w:color="auto"/>
            <w:left w:val="none" w:sz="0" w:space="0" w:color="auto"/>
            <w:bottom w:val="none" w:sz="0" w:space="0" w:color="auto"/>
            <w:right w:val="none" w:sz="0" w:space="0" w:color="auto"/>
          </w:divBdr>
          <w:divsChild>
            <w:div w:id="1705860102">
              <w:marLeft w:val="0"/>
              <w:marRight w:val="0"/>
              <w:marTop w:val="0"/>
              <w:marBottom w:val="0"/>
              <w:divBdr>
                <w:top w:val="none" w:sz="0" w:space="0" w:color="auto"/>
                <w:left w:val="none" w:sz="0" w:space="0" w:color="auto"/>
                <w:bottom w:val="none" w:sz="0" w:space="0" w:color="auto"/>
                <w:right w:val="none" w:sz="0" w:space="0" w:color="auto"/>
              </w:divBdr>
              <w:divsChild>
                <w:div w:id="105271698">
                  <w:marLeft w:val="0"/>
                  <w:marRight w:val="0"/>
                  <w:marTop w:val="0"/>
                  <w:marBottom w:val="0"/>
                  <w:divBdr>
                    <w:top w:val="none" w:sz="0" w:space="0" w:color="auto"/>
                    <w:left w:val="none" w:sz="0" w:space="0" w:color="auto"/>
                    <w:bottom w:val="none" w:sz="0" w:space="0" w:color="auto"/>
                    <w:right w:val="none" w:sz="0" w:space="0" w:color="auto"/>
                  </w:divBdr>
                  <w:divsChild>
                    <w:div w:id="1430931705">
                      <w:marLeft w:val="0"/>
                      <w:marRight w:val="0"/>
                      <w:marTop w:val="0"/>
                      <w:marBottom w:val="0"/>
                      <w:divBdr>
                        <w:top w:val="none" w:sz="0" w:space="0" w:color="auto"/>
                        <w:left w:val="none" w:sz="0" w:space="0" w:color="auto"/>
                        <w:bottom w:val="none" w:sz="0" w:space="0" w:color="auto"/>
                        <w:right w:val="none" w:sz="0" w:space="0" w:color="auto"/>
                      </w:divBdr>
                      <w:divsChild>
                        <w:div w:id="332076943">
                          <w:marLeft w:val="0"/>
                          <w:marRight w:val="0"/>
                          <w:marTop w:val="0"/>
                          <w:marBottom w:val="0"/>
                          <w:divBdr>
                            <w:top w:val="none" w:sz="0" w:space="0" w:color="auto"/>
                            <w:left w:val="none" w:sz="0" w:space="0" w:color="auto"/>
                            <w:bottom w:val="none" w:sz="0" w:space="0" w:color="auto"/>
                            <w:right w:val="none" w:sz="0" w:space="0" w:color="auto"/>
                          </w:divBdr>
                          <w:divsChild>
                            <w:div w:id="38676306">
                              <w:marLeft w:val="0"/>
                              <w:marRight w:val="0"/>
                              <w:marTop w:val="0"/>
                              <w:marBottom w:val="0"/>
                              <w:divBdr>
                                <w:top w:val="none" w:sz="0" w:space="0" w:color="auto"/>
                                <w:left w:val="none" w:sz="0" w:space="0" w:color="auto"/>
                                <w:bottom w:val="none" w:sz="0" w:space="0" w:color="auto"/>
                                <w:right w:val="none" w:sz="0" w:space="0" w:color="auto"/>
                              </w:divBdr>
                              <w:divsChild>
                                <w:div w:id="1840386620">
                                  <w:marLeft w:val="0"/>
                                  <w:marRight w:val="0"/>
                                  <w:marTop w:val="0"/>
                                  <w:marBottom w:val="0"/>
                                  <w:divBdr>
                                    <w:top w:val="none" w:sz="0" w:space="0" w:color="auto"/>
                                    <w:left w:val="none" w:sz="0" w:space="0" w:color="auto"/>
                                    <w:bottom w:val="none" w:sz="0" w:space="0" w:color="auto"/>
                                    <w:right w:val="none" w:sz="0" w:space="0" w:color="auto"/>
                                  </w:divBdr>
                                  <w:divsChild>
                                    <w:div w:id="1701936350">
                                      <w:marLeft w:val="0"/>
                                      <w:marRight w:val="0"/>
                                      <w:marTop w:val="0"/>
                                      <w:marBottom w:val="0"/>
                                      <w:divBdr>
                                        <w:top w:val="none" w:sz="0" w:space="0" w:color="auto"/>
                                        <w:left w:val="none" w:sz="0" w:space="0" w:color="auto"/>
                                        <w:bottom w:val="none" w:sz="0" w:space="0" w:color="auto"/>
                                        <w:right w:val="none" w:sz="0" w:space="0" w:color="auto"/>
                                      </w:divBdr>
                                      <w:divsChild>
                                        <w:div w:id="200666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6078341">
      <w:bodyDiv w:val="1"/>
      <w:marLeft w:val="0"/>
      <w:marRight w:val="0"/>
      <w:marTop w:val="0"/>
      <w:marBottom w:val="0"/>
      <w:divBdr>
        <w:top w:val="none" w:sz="0" w:space="0" w:color="auto"/>
        <w:left w:val="none" w:sz="0" w:space="0" w:color="auto"/>
        <w:bottom w:val="none" w:sz="0" w:space="0" w:color="auto"/>
        <w:right w:val="none" w:sz="0" w:space="0" w:color="auto"/>
      </w:divBdr>
    </w:div>
    <w:div w:id="962927311">
      <w:bodyDiv w:val="1"/>
      <w:marLeft w:val="0"/>
      <w:marRight w:val="0"/>
      <w:marTop w:val="0"/>
      <w:marBottom w:val="0"/>
      <w:divBdr>
        <w:top w:val="none" w:sz="0" w:space="0" w:color="auto"/>
        <w:left w:val="none" w:sz="0" w:space="0" w:color="auto"/>
        <w:bottom w:val="none" w:sz="0" w:space="0" w:color="auto"/>
        <w:right w:val="none" w:sz="0" w:space="0" w:color="auto"/>
      </w:divBdr>
    </w:div>
    <w:div w:id="968828655">
      <w:bodyDiv w:val="1"/>
      <w:marLeft w:val="0"/>
      <w:marRight w:val="0"/>
      <w:marTop w:val="0"/>
      <w:marBottom w:val="0"/>
      <w:divBdr>
        <w:top w:val="none" w:sz="0" w:space="0" w:color="auto"/>
        <w:left w:val="none" w:sz="0" w:space="0" w:color="auto"/>
        <w:bottom w:val="none" w:sz="0" w:space="0" w:color="auto"/>
        <w:right w:val="none" w:sz="0" w:space="0" w:color="auto"/>
      </w:divBdr>
    </w:div>
    <w:div w:id="971591764">
      <w:bodyDiv w:val="1"/>
      <w:marLeft w:val="0"/>
      <w:marRight w:val="0"/>
      <w:marTop w:val="0"/>
      <w:marBottom w:val="0"/>
      <w:divBdr>
        <w:top w:val="none" w:sz="0" w:space="0" w:color="auto"/>
        <w:left w:val="none" w:sz="0" w:space="0" w:color="auto"/>
        <w:bottom w:val="none" w:sz="0" w:space="0" w:color="auto"/>
        <w:right w:val="none" w:sz="0" w:space="0" w:color="auto"/>
      </w:divBdr>
    </w:div>
    <w:div w:id="980689366">
      <w:bodyDiv w:val="1"/>
      <w:marLeft w:val="0"/>
      <w:marRight w:val="0"/>
      <w:marTop w:val="0"/>
      <w:marBottom w:val="0"/>
      <w:divBdr>
        <w:top w:val="none" w:sz="0" w:space="0" w:color="auto"/>
        <w:left w:val="none" w:sz="0" w:space="0" w:color="auto"/>
        <w:bottom w:val="none" w:sz="0" w:space="0" w:color="auto"/>
        <w:right w:val="none" w:sz="0" w:space="0" w:color="auto"/>
      </w:divBdr>
    </w:div>
    <w:div w:id="994836570">
      <w:bodyDiv w:val="1"/>
      <w:marLeft w:val="0"/>
      <w:marRight w:val="0"/>
      <w:marTop w:val="0"/>
      <w:marBottom w:val="0"/>
      <w:divBdr>
        <w:top w:val="none" w:sz="0" w:space="0" w:color="auto"/>
        <w:left w:val="none" w:sz="0" w:space="0" w:color="auto"/>
        <w:bottom w:val="none" w:sz="0" w:space="0" w:color="auto"/>
        <w:right w:val="none" w:sz="0" w:space="0" w:color="auto"/>
      </w:divBdr>
    </w:div>
    <w:div w:id="998192980">
      <w:bodyDiv w:val="1"/>
      <w:marLeft w:val="0"/>
      <w:marRight w:val="0"/>
      <w:marTop w:val="0"/>
      <w:marBottom w:val="0"/>
      <w:divBdr>
        <w:top w:val="none" w:sz="0" w:space="0" w:color="auto"/>
        <w:left w:val="none" w:sz="0" w:space="0" w:color="auto"/>
        <w:bottom w:val="none" w:sz="0" w:space="0" w:color="auto"/>
        <w:right w:val="none" w:sz="0" w:space="0" w:color="auto"/>
      </w:divBdr>
    </w:div>
    <w:div w:id="1007169009">
      <w:bodyDiv w:val="1"/>
      <w:marLeft w:val="0"/>
      <w:marRight w:val="0"/>
      <w:marTop w:val="0"/>
      <w:marBottom w:val="0"/>
      <w:divBdr>
        <w:top w:val="none" w:sz="0" w:space="0" w:color="auto"/>
        <w:left w:val="none" w:sz="0" w:space="0" w:color="auto"/>
        <w:bottom w:val="none" w:sz="0" w:space="0" w:color="auto"/>
        <w:right w:val="none" w:sz="0" w:space="0" w:color="auto"/>
      </w:divBdr>
      <w:divsChild>
        <w:div w:id="644504197">
          <w:marLeft w:val="0"/>
          <w:marRight w:val="0"/>
          <w:marTop w:val="0"/>
          <w:marBottom w:val="0"/>
          <w:divBdr>
            <w:top w:val="none" w:sz="0" w:space="0" w:color="auto"/>
            <w:left w:val="none" w:sz="0" w:space="0" w:color="auto"/>
            <w:bottom w:val="none" w:sz="0" w:space="0" w:color="auto"/>
            <w:right w:val="none" w:sz="0" w:space="0" w:color="auto"/>
          </w:divBdr>
          <w:divsChild>
            <w:div w:id="470099374">
              <w:marLeft w:val="0"/>
              <w:marRight w:val="0"/>
              <w:marTop w:val="0"/>
              <w:marBottom w:val="0"/>
              <w:divBdr>
                <w:top w:val="none" w:sz="0" w:space="0" w:color="auto"/>
                <w:left w:val="none" w:sz="0" w:space="0" w:color="auto"/>
                <w:bottom w:val="none" w:sz="0" w:space="0" w:color="auto"/>
                <w:right w:val="none" w:sz="0" w:space="0" w:color="auto"/>
              </w:divBdr>
              <w:divsChild>
                <w:div w:id="85274198">
                  <w:marLeft w:val="0"/>
                  <w:marRight w:val="0"/>
                  <w:marTop w:val="0"/>
                  <w:marBottom w:val="0"/>
                  <w:divBdr>
                    <w:top w:val="none" w:sz="0" w:space="0" w:color="auto"/>
                    <w:left w:val="none" w:sz="0" w:space="0" w:color="auto"/>
                    <w:bottom w:val="none" w:sz="0" w:space="0" w:color="auto"/>
                    <w:right w:val="none" w:sz="0" w:space="0" w:color="auto"/>
                  </w:divBdr>
                  <w:divsChild>
                    <w:div w:id="21187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490624">
      <w:bodyDiv w:val="1"/>
      <w:marLeft w:val="0"/>
      <w:marRight w:val="0"/>
      <w:marTop w:val="0"/>
      <w:marBottom w:val="0"/>
      <w:divBdr>
        <w:top w:val="none" w:sz="0" w:space="0" w:color="auto"/>
        <w:left w:val="none" w:sz="0" w:space="0" w:color="auto"/>
        <w:bottom w:val="none" w:sz="0" w:space="0" w:color="auto"/>
        <w:right w:val="none" w:sz="0" w:space="0" w:color="auto"/>
      </w:divBdr>
    </w:div>
    <w:div w:id="1014966130">
      <w:bodyDiv w:val="1"/>
      <w:marLeft w:val="0"/>
      <w:marRight w:val="0"/>
      <w:marTop w:val="0"/>
      <w:marBottom w:val="0"/>
      <w:divBdr>
        <w:top w:val="none" w:sz="0" w:space="0" w:color="auto"/>
        <w:left w:val="none" w:sz="0" w:space="0" w:color="auto"/>
        <w:bottom w:val="none" w:sz="0" w:space="0" w:color="auto"/>
        <w:right w:val="none" w:sz="0" w:space="0" w:color="auto"/>
      </w:divBdr>
    </w:div>
    <w:div w:id="1028027552">
      <w:bodyDiv w:val="1"/>
      <w:marLeft w:val="0"/>
      <w:marRight w:val="0"/>
      <w:marTop w:val="0"/>
      <w:marBottom w:val="0"/>
      <w:divBdr>
        <w:top w:val="none" w:sz="0" w:space="0" w:color="auto"/>
        <w:left w:val="none" w:sz="0" w:space="0" w:color="auto"/>
        <w:bottom w:val="none" w:sz="0" w:space="0" w:color="auto"/>
        <w:right w:val="none" w:sz="0" w:space="0" w:color="auto"/>
      </w:divBdr>
    </w:div>
    <w:div w:id="1030033867">
      <w:bodyDiv w:val="1"/>
      <w:marLeft w:val="0"/>
      <w:marRight w:val="0"/>
      <w:marTop w:val="0"/>
      <w:marBottom w:val="0"/>
      <w:divBdr>
        <w:top w:val="none" w:sz="0" w:space="0" w:color="auto"/>
        <w:left w:val="none" w:sz="0" w:space="0" w:color="auto"/>
        <w:bottom w:val="none" w:sz="0" w:space="0" w:color="auto"/>
        <w:right w:val="none" w:sz="0" w:space="0" w:color="auto"/>
      </w:divBdr>
    </w:div>
    <w:div w:id="1053043359">
      <w:bodyDiv w:val="1"/>
      <w:marLeft w:val="0"/>
      <w:marRight w:val="0"/>
      <w:marTop w:val="0"/>
      <w:marBottom w:val="0"/>
      <w:divBdr>
        <w:top w:val="none" w:sz="0" w:space="0" w:color="auto"/>
        <w:left w:val="none" w:sz="0" w:space="0" w:color="auto"/>
        <w:bottom w:val="none" w:sz="0" w:space="0" w:color="auto"/>
        <w:right w:val="none" w:sz="0" w:space="0" w:color="auto"/>
      </w:divBdr>
    </w:div>
    <w:div w:id="1067219765">
      <w:bodyDiv w:val="1"/>
      <w:marLeft w:val="0"/>
      <w:marRight w:val="0"/>
      <w:marTop w:val="0"/>
      <w:marBottom w:val="0"/>
      <w:divBdr>
        <w:top w:val="none" w:sz="0" w:space="0" w:color="auto"/>
        <w:left w:val="none" w:sz="0" w:space="0" w:color="auto"/>
        <w:bottom w:val="none" w:sz="0" w:space="0" w:color="auto"/>
        <w:right w:val="none" w:sz="0" w:space="0" w:color="auto"/>
      </w:divBdr>
    </w:div>
    <w:div w:id="1074356549">
      <w:bodyDiv w:val="1"/>
      <w:marLeft w:val="0"/>
      <w:marRight w:val="0"/>
      <w:marTop w:val="0"/>
      <w:marBottom w:val="0"/>
      <w:divBdr>
        <w:top w:val="none" w:sz="0" w:space="0" w:color="auto"/>
        <w:left w:val="none" w:sz="0" w:space="0" w:color="auto"/>
        <w:bottom w:val="none" w:sz="0" w:space="0" w:color="auto"/>
        <w:right w:val="none" w:sz="0" w:space="0" w:color="auto"/>
      </w:divBdr>
    </w:div>
    <w:div w:id="1090003242">
      <w:bodyDiv w:val="1"/>
      <w:marLeft w:val="0"/>
      <w:marRight w:val="0"/>
      <w:marTop w:val="0"/>
      <w:marBottom w:val="0"/>
      <w:divBdr>
        <w:top w:val="none" w:sz="0" w:space="0" w:color="auto"/>
        <w:left w:val="none" w:sz="0" w:space="0" w:color="auto"/>
        <w:bottom w:val="none" w:sz="0" w:space="0" w:color="auto"/>
        <w:right w:val="none" w:sz="0" w:space="0" w:color="auto"/>
      </w:divBdr>
    </w:div>
    <w:div w:id="1090354680">
      <w:bodyDiv w:val="1"/>
      <w:marLeft w:val="0"/>
      <w:marRight w:val="0"/>
      <w:marTop w:val="0"/>
      <w:marBottom w:val="0"/>
      <w:divBdr>
        <w:top w:val="none" w:sz="0" w:space="0" w:color="auto"/>
        <w:left w:val="none" w:sz="0" w:space="0" w:color="auto"/>
        <w:bottom w:val="none" w:sz="0" w:space="0" w:color="auto"/>
        <w:right w:val="none" w:sz="0" w:space="0" w:color="auto"/>
      </w:divBdr>
    </w:div>
    <w:div w:id="1095908282">
      <w:bodyDiv w:val="1"/>
      <w:marLeft w:val="0"/>
      <w:marRight w:val="0"/>
      <w:marTop w:val="0"/>
      <w:marBottom w:val="0"/>
      <w:divBdr>
        <w:top w:val="none" w:sz="0" w:space="0" w:color="auto"/>
        <w:left w:val="none" w:sz="0" w:space="0" w:color="auto"/>
        <w:bottom w:val="none" w:sz="0" w:space="0" w:color="auto"/>
        <w:right w:val="none" w:sz="0" w:space="0" w:color="auto"/>
      </w:divBdr>
    </w:div>
    <w:div w:id="1112045386">
      <w:bodyDiv w:val="1"/>
      <w:marLeft w:val="0"/>
      <w:marRight w:val="0"/>
      <w:marTop w:val="0"/>
      <w:marBottom w:val="0"/>
      <w:divBdr>
        <w:top w:val="none" w:sz="0" w:space="0" w:color="auto"/>
        <w:left w:val="none" w:sz="0" w:space="0" w:color="auto"/>
        <w:bottom w:val="none" w:sz="0" w:space="0" w:color="auto"/>
        <w:right w:val="none" w:sz="0" w:space="0" w:color="auto"/>
      </w:divBdr>
      <w:divsChild>
        <w:div w:id="438529687">
          <w:marLeft w:val="0"/>
          <w:marRight w:val="0"/>
          <w:marTop w:val="0"/>
          <w:marBottom w:val="0"/>
          <w:divBdr>
            <w:top w:val="none" w:sz="0" w:space="0" w:color="auto"/>
            <w:left w:val="none" w:sz="0" w:space="0" w:color="auto"/>
            <w:bottom w:val="none" w:sz="0" w:space="0" w:color="auto"/>
            <w:right w:val="none" w:sz="0" w:space="0" w:color="auto"/>
          </w:divBdr>
          <w:divsChild>
            <w:div w:id="2091347009">
              <w:marLeft w:val="0"/>
              <w:marRight w:val="0"/>
              <w:marTop w:val="0"/>
              <w:marBottom w:val="0"/>
              <w:divBdr>
                <w:top w:val="none" w:sz="0" w:space="0" w:color="auto"/>
                <w:left w:val="none" w:sz="0" w:space="0" w:color="auto"/>
                <w:bottom w:val="none" w:sz="0" w:space="0" w:color="auto"/>
                <w:right w:val="none" w:sz="0" w:space="0" w:color="auto"/>
              </w:divBdr>
              <w:divsChild>
                <w:div w:id="1989244873">
                  <w:marLeft w:val="0"/>
                  <w:marRight w:val="0"/>
                  <w:marTop w:val="0"/>
                  <w:marBottom w:val="0"/>
                  <w:divBdr>
                    <w:top w:val="none" w:sz="0" w:space="0" w:color="auto"/>
                    <w:left w:val="none" w:sz="0" w:space="0" w:color="auto"/>
                    <w:bottom w:val="none" w:sz="0" w:space="0" w:color="auto"/>
                    <w:right w:val="none" w:sz="0" w:space="0" w:color="auto"/>
                  </w:divBdr>
                  <w:divsChild>
                    <w:div w:id="1796218615">
                      <w:marLeft w:val="0"/>
                      <w:marRight w:val="0"/>
                      <w:marTop w:val="0"/>
                      <w:marBottom w:val="0"/>
                      <w:divBdr>
                        <w:top w:val="none" w:sz="0" w:space="0" w:color="auto"/>
                        <w:left w:val="none" w:sz="0" w:space="0" w:color="auto"/>
                        <w:bottom w:val="none" w:sz="0" w:space="0" w:color="auto"/>
                        <w:right w:val="none" w:sz="0" w:space="0" w:color="auto"/>
                      </w:divBdr>
                      <w:divsChild>
                        <w:div w:id="1694922213">
                          <w:marLeft w:val="0"/>
                          <w:marRight w:val="0"/>
                          <w:marTop w:val="0"/>
                          <w:marBottom w:val="0"/>
                          <w:divBdr>
                            <w:top w:val="none" w:sz="0" w:space="0" w:color="auto"/>
                            <w:left w:val="none" w:sz="0" w:space="0" w:color="auto"/>
                            <w:bottom w:val="none" w:sz="0" w:space="0" w:color="auto"/>
                            <w:right w:val="none" w:sz="0" w:space="0" w:color="auto"/>
                          </w:divBdr>
                          <w:divsChild>
                            <w:div w:id="7547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397522">
      <w:bodyDiv w:val="1"/>
      <w:marLeft w:val="0"/>
      <w:marRight w:val="0"/>
      <w:marTop w:val="0"/>
      <w:marBottom w:val="0"/>
      <w:divBdr>
        <w:top w:val="none" w:sz="0" w:space="0" w:color="auto"/>
        <w:left w:val="none" w:sz="0" w:space="0" w:color="auto"/>
        <w:bottom w:val="none" w:sz="0" w:space="0" w:color="auto"/>
        <w:right w:val="none" w:sz="0" w:space="0" w:color="auto"/>
      </w:divBdr>
    </w:div>
    <w:div w:id="1120564733">
      <w:bodyDiv w:val="1"/>
      <w:marLeft w:val="0"/>
      <w:marRight w:val="0"/>
      <w:marTop w:val="0"/>
      <w:marBottom w:val="0"/>
      <w:divBdr>
        <w:top w:val="none" w:sz="0" w:space="0" w:color="auto"/>
        <w:left w:val="none" w:sz="0" w:space="0" w:color="auto"/>
        <w:bottom w:val="none" w:sz="0" w:space="0" w:color="auto"/>
        <w:right w:val="none" w:sz="0" w:space="0" w:color="auto"/>
      </w:divBdr>
    </w:div>
    <w:div w:id="1148983289">
      <w:bodyDiv w:val="1"/>
      <w:marLeft w:val="0"/>
      <w:marRight w:val="0"/>
      <w:marTop w:val="0"/>
      <w:marBottom w:val="0"/>
      <w:divBdr>
        <w:top w:val="none" w:sz="0" w:space="0" w:color="auto"/>
        <w:left w:val="none" w:sz="0" w:space="0" w:color="auto"/>
        <w:bottom w:val="none" w:sz="0" w:space="0" w:color="auto"/>
        <w:right w:val="none" w:sz="0" w:space="0" w:color="auto"/>
      </w:divBdr>
    </w:div>
    <w:div w:id="1154377160">
      <w:bodyDiv w:val="1"/>
      <w:marLeft w:val="0"/>
      <w:marRight w:val="0"/>
      <w:marTop w:val="0"/>
      <w:marBottom w:val="0"/>
      <w:divBdr>
        <w:top w:val="none" w:sz="0" w:space="0" w:color="auto"/>
        <w:left w:val="none" w:sz="0" w:space="0" w:color="auto"/>
        <w:bottom w:val="none" w:sz="0" w:space="0" w:color="auto"/>
        <w:right w:val="none" w:sz="0" w:space="0" w:color="auto"/>
      </w:divBdr>
    </w:div>
    <w:div w:id="1169520316">
      <w:bodyDiv w:val="1"/>
      <w:marLeft w:val="0"/>
      <w:marRight w:val="0"/>
      <w:marTop w:val="0"/>
      <w:marBottom w:val="0"/>
      <w:divBdr>
        <w:top w:val="none" w:sz="0" w:space="0" w:color="auto"/>
        <w:left w:val="none" w:sz="0" w:space="0" w:color="auto"/>
        <w:bottom w:val="none" w:sz="0" w:space="0" w:color="auto"/>
        <w:right w:val="none" w:sz="0" w:space="0" w:color="auto"/>
      </w:divBdr>
    </w:div>
    <w:div w:id="1170413107">
      <w:bodyDiv w:val="1"/>
      <w:marLeft w:val="0"/>
      <w:marRight w:val="0"/>
      <w:marTop w:val="0"/>
      <w:marBottom w:val="0"/>
      <w:divBdr>
        <w:top w:val="none" w:sz="0" w:space="0" w:color="auto"/>
        <w:left w:val="none" w:sz="0" w:space="0" w:color="auto"/>
        <w:bottom w:val="none" w:sz="0" w:space="0" w:color="auto"/>
        <w:right w:val="none" w:sz="0" w:space="0" w:color="auto"/>
      </w:divBdr>
    </w:div>
    <w:div w:id="1176846780">
      <w:bodyDiv w:val="1"/>
      <w:marLeft w:val="0"/>
      <w:marRight w:val="0"/>
      <w:marTop w:val="0"/>
      <w:marBottom w:val="0"/>
      <w:divBdr>
        <w:top w:val="none" w:sz="0" w:space="0" w:color="auto"/>
        <w:left w:val="none" w:sz="0" w:space="0" w:color="auto"/>
        <w:bottom w:val="none" w:sz="0" w:space="0" w:color="auto"/>
        <w:right w:val="none" w:sz="0" w:space="0" w:color="auto"/>
      </w:divBdr>
    </w:div>
    <w:div w:id="1190755530">
      <w:bodyDiv w:val="1"/>
      <w:marLeft w:val="0"/>
      <w:marRight w:val="0"/>
      <w:marTop w:val="0"/>
      <w:marBottom w:val="0"/>
      <w:divBdr>
        <w:top w:val="none" w:sz="0" w:space="0" w:color="auto"/>
        <w:left w:val="none" w:sz="0" w:space="0" w:color="auto"/>
        <w:bottom w:val="none" w:sz="0" w:space="0" w:color="auto"/>
        <w:right w:val="none" w:sz="0" w:space="0" w:color="auto"/>
      </w:divBdr>
    </w:div>
    <w:div w:id="1192689763">
      <w:bodyDiv w:val="1"/>
      <w:marLeft w:val="0"/>
      <w:marRight w:val="0"/>
      <w:marTop w:val="0"/>
      <w:marBottom w:val="0"/>
      <w:divBdr>
        <w:top w:val="none" w:sz="0" w:space="0" w:color="auto"/>
        <w:left w:val="none" w:sz="0" w:space="0" w:color="auto"/>
        <w:bottom w:val="none" w:sz="0" w:space="0" w:color="auto"/>
        <w:right w:val="none" w:sz="0" w:space="0" w:color="auto"/>
      </w:divBdr>
    </w:div>
    <w:div w:id="1204293761">
      <w:bodyDiv w:val="1"/>
      <w:marLeft w:val="0"/>
      <w:marRight w:val="0"/>
      <w:marTop w:val="0"/>
      <w:marBottom w:val="0"/>
      <w:divBdr>
        <w:top w:val="none" w:sz="0" w:space="0" w:color="auto"/>
        <w:left w:val="none" w:sz="0" w:space="0" w:color="auto"/>
        <w:bottom w:val="none" w:sz="0" w:space="0" w:color="auto"/>
        <w:right w:val="none" w:sz="0" w:space="0" w:color="auto"/>
      </w:divBdr>
    </w:div>
    <w:div w:id="1234239750">
      <w:bodyDiv w:val="1"/>
      <w:marLeft w:val="0"/>
      <w:marRight w:val="0"/>
      <w:marTop w:val="0"/>
      <w:marBottom w:val="0"/>
      <w:divBdr>
        <w:top w:val="none" w:sz="0" w:space="0" w:color="auto"/>
        <w:left w:val="none" w:sz="0" w:space="0" w:color="auto"/>
        <w:bottom w:val="none" w:sz="0" w:space="0" w:color="auto"/>
        <w:right w:val="none" w:sz="0" w:space="0" w:color="auto"/>
      </w:divBdr>
    </w:div>
    <w:div w:id="1245264977">
      <w:bodyDiv w:val="1"/>
      <w:marLeft w:val="0"/>
      <w:marRight w:val="0"/>
      <w:marTop w:val="0"/>
      <w:marBottom w:val="0"/>
      <w:divBdr>
        <w:top w:val="none" w:sz="0" w:space="0" w:color="auto"/>
        <w:left w:val="none" w:sz="0" w:space="0" w:color="auto"/>
        <w:bottom w:val="none" w:sz="0" w:space="0" w:color="auto"/>
        <w:right w:val="none" w:sz="0" w:space="0" w:color="auto"/>
      </w:divBdr>
      <w:divsChild>
        <w:div w:id="1466893471">
          <w:marLeft w:val="0"/>
          <w:marRight w:val="0"/>
          <w:marTop w:val="0"/>
          <w:marBottom w:val="0"/>
          <w:divBdr>
            <w:top w:val="none" w:sz="0" w:space="0" w:color="auto"/>
            <w:left w:val="none" w:sz="0" w:space="0" w:color="auto"/>
            <w:bottom w:val="none" w:sz="0" w:space="0" w:color="auto"/>
            <w:right w:val="none" w:sz="0" w:space="0" w:color="auto"/>
          </w:divBdr>
          <w:divsChild>
            <w:div w:id="973176259">
              <w:marLeft w:val="0"/>
              <w:marRight w:val="0"/>
              <w:marTop w:val="0"/>
              <w:marBottom w:val="0"/>
              <w:divBdr>
                <w:top w:val="none" w:sz="0" w:space="0" w:color="auto"/>
                <w:left w:val="none" w:sz="0" w:space="0" w:color="auto"/>
                <w:bottom w:val="none" w:sz="0" w:space="0" w:color="auto"/>
                <w:right w:val="none" w:sz="0" w:space="0" w:color="auto"/>
              </w:divBdr>
              <w:divsChild>
                <w:div w:id="229384906">
                  <w:marLeft w:val="0"/>
                  <w:marRight w:val="0"/>
                  <w:marTop w:val="0"/>
                  <w:marBottom w:val="0"/>
                  <w:divBdr>
                    <w:top w:val="none" w:sz="0" w:space="0" w:color="auto"/>
                    <w:left w:val="none" w:sz="0" w:space="0" w:color="auto"/>
                    <w:bottom w:val="none" w:sz="0" w:space="0" w:color="auto"/>
                    <w:right w:val="none" w:sz="0" w:space="0" w:color="auto"/>
                  </w:divBdr>
                  <w:divsChild>
                    <w:div w:id="1686126146">
                      <w:marLeft w:val="0"/>
                      <w:marRight w:val="0"/>
                      <w:marTop w:val="0"/>
                      <w:marBottom w:val="0"/>
                      <w:divBdr>
                        <w:top w:val="none" w:sz="0" w:space="0" w:color="auto"/>
                        <w:left w:val="none" w:sz="0" w:space="0" w:color="auto"/>
                        <w:bottom w:val="none" w:sz="0" w:space="0" w:color="auto"/>
                        <w:right w:val="none" w:sz="0" w:space="0" w:color="auto"/>
                      </w:divBdr>
                      <w:divsChild>
                        <w:div w:id="74475473">
                          <w:marLeft w:val="0"/>
                          <w:marRight w:val="0"/>
                          <w:marTop w:val="0"/>
                          <w:marBottom w:val="0"/>
                          <w:divBdr>
                            <w:top w:val="none" w:sz="0" w:space="0" w:color="auto"/>
                            <w:left w:val="none" w:sz="0" w:space="0" w:color="auto"/>
                            <w:bottom w:val="none" w:sz="0" w:space="0" w:color="auto"/>
                            <w:right w:val="none" w:sz="0" w:space="0" w:color="auto"/>
                          </w:divBdr>
                          <w:divsChild>
                            <w:div w:id="64042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921551">
      <w:bodyDiv w:val="1"/>
      <w:marLeft w:val="0"/>
      <w:marRight w:val="0"/>
      <w:marTop w:val="0"/>
      <w:marBottom w:val="0"/>
      <w:divBdr>
        <w:top w:val="none" w:sz="0" w:space="0" w:color="auto"/>
        <w:left w:val="none" w:sz="0" w:space="0" w:color="auto"/>
        <w:bottom w:val="none" w:sz="0" w:space="0" w:color="auto"/>
        <w:right w:val="none" w:sz="0" w:space="0" w:color="auto"/>
      </w:divBdr>
      <w:divsChild>
        <w:div w:id="357897933">
          <w:marLeft w:val="0"/>
          <w:marRight w:val="0"/>
          <w:marTop w:val="0"/>
          <w:marBottom w:val="0"/>
          <w:divBdr>
            <w:top w:val="none" w:sz="0" w:space="0" w:color="auto"/>
            <w:left w:val="none" w:sz="0" w:space="0" w:color="auto"/>
            <w:bottom w:val="none" w:sz="0" w:space="0" w:color="auto"/>
            <w:right w:val="none" w:sz="0" w:space="0" w:color="auto"/>
          </w:divBdr>
          <w:divsChild>
            <w:div w:id="1057246661">
              <w:marLeft w:val="0"/>
              <w:marRight w:val="0"/>
              <w:marTop w:val="0"/>
              <w:marBottom w:val="0"/>
              <w:divBdr>
                <w:top w:val="none" w:sz="0" w:space="0" w:color="auto"/>
                <w:left w:val="none" w:sz="0" w:space="0" w:color="auto"/>
                <w:bottom w:val="none" w:sz="0" w:space="0" w:color="auto"/>
                <w:right w:val="none" w:sz="0" w:space="0" w:color="auto"/>
              </w:divBdr>
              <w:divsChild>
                <w:div w:id="1069235379">
                  <w:marLeft w:val="0"/>
                  <w:marRight w:val="0"/>
                  <w:marTop w:val="0"/>
                  <w:marBottom w:val="0"/>
                  <w:divBdr>
                    <w:top w:val="none" w:sz="0" w:space="0" w:color="auto"/>
                    <w:left w:val="none" w:sz="0" w:space="0" w:color="auto"/>
                    <w:bottom w:val="none" w:sz="0" w:space="0" w:color="auto"/>
                    <w:right w:val="none" w:sz="0" w:space="0" w:color="auto"/>
                  </w:divBdr>
                  <w:divsChild>
                    <w:div w:id="971784965">
                      <w:marLeft w:val="0"/>
                      <w:marRight w:val="0"/>
                      <w:marTop w:val="0"/>
                      <w:marBottom w:val="0"/>
                      <w:divBdr>
                        <w:top w:val="none" w:sz="0" w:space="0" w:color="auto"/>
                        <w:left w:val="none" w:sz="0" w:space="0" w:color="auto"/>
                        <w:bottom w:val="none" w:sz="0" w:space="0" w:color="auto"/>
                        <w:right w:val="none" w:sz="0" w:space="0" w:color="auto"/>
                      </w:divBdr>
                      <w:divsChild>
                        <w:div w:id="2067561452">
                          <w:marLeft w:val="0"/>
                          <w:marRight w:val="0"/>
                          <w:marTop w:val="0"/>
                          <w:marBottom w:val="0"/>
                          <w:divBdr>
                            <w:top w:val="none" w:sz="0" w:space="0" w:color="auto"/>
                            <w:left w:val="none" w:sz="0" w:space="0" w:color="auto"/>
                            <w:bottom w:val="none" w:sz="0" w:space="0" w:color="auto"/>
                            <w:right w:val="none" w:sz="0" w:space="0" w:color="auto"/>
                          </w:divBdr>
                          <w:divsChild>
                            <w:div w:id="6818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279127">
      <w:bodyDiv w:val="1"/>
      <w:marLeft w:val="0"/>
      <w:marRight w:val="0"/>
      <w:marTop w:val="0"/>
      <w:marBottom w:val="0"/>
      <w:divBdr>
        <w:top w:val="none" w:sz="0" w:space="0" w:color="auto"/>
        <w:left w:val="none" w:sz="0" w:space="0" w:color="auto"/>
        <w:bottom w:val="none" w:sz="0" w:space="0" w:color="auto"/>
        <w:right w:val="none" w:sz="0" w:space="0" w:color="auto"/>
      </w:divBdr>
    </w:div>
    <w:div w:id="1263416104">
      <w:bodyDiv w:val="1"/>
      <w:marLeft w:val="0"/>
      <w:marRight w:val="0"/>
      <w:marTop w:val="0"/>
      <w:marBottom w:val="0"/>
      <w:divBdr>
        <w:top w:val="none" w:sz="0" w:space="0" w:color="auto"/>
        <w:left w:val="none" w:sz="0" w:space="0" w:color="auto"/>
        <w:bottom w:val="none" w:sz="0" w:space="0" w:color="auto"/>
        <w:right w:val="none" w:sz="0" w:space="0" w:color="auto"/>
      </w:divBdr>
    </w:div>
    <w:div w:id="1268855849">
      <w:bodyDiv w:val="1"/>
      <w:marLeft w:val="0"/>
      <w:marRight w:val="0"/>
      <w:marTop w:val="0"/>
      <w:marBottom w:val="0"/>
      <w:divBdr>
        <w:top w:val="none" w:sz="0" w:space="0" w:color="auto"/>
        <w:left w:val="none" w:sz="0" w:space="0" w:color="auto"/>
        <w:bottom w:val="none" w:sz="0" w:space="0" w:color="auto"/>
        <w:right w:val="none" w:sz="0" w:space="0" w:color="auto"/>
      </w:divBdr>
    </w:div>
    <w:div w:id="1271083139">
      <w:bodyDiv w:val="1"/>
      <w:marLeft w:val="0"/>
      <w:marRight w:val="0"/>
      <w:marTop w:val="0"/>
      <w:marBottom w:val="0"/>
      <w:divBdr>
        <w:top w:val="none" w:sz="0" w:space="0" w:color="auto"/>
        <w:left w:val="none" w:sz="0" w:space="0" w:color="auto"/>
        <w:bottom w:val="none" w:sz="0" w:space="0" w:color="auto"/>
        <w:right w:val="none" w:sz="0" w:space="0" w:color="auto"/>
      </w:divBdr>
    </w:div>
    <w:div w:id="1287391817">
      <w:bodyDiv w:val="1"/>
      <w:marLeft w:val="0"/>
      <w:marRight w:val="0"/>
      <w:marTop w:val="0"/>
      <w:marBottom w:val="0"/>
      <w:divBdr>
        <w:top w:val="none" w:sz="0" w:space="0" w:color="auto"/>
        <w:left w:val="none" w:sz="0" w:space="0" w:color="auto"/>
        <w:bottom w:val="none" w:sz="0" w:space="0" w:color="auto"/>
        <w:right w:val="none" w:sz="0" w:space="0" w:color="auto"/>
      </w:divBdr>
    </w:div>
    <w:div w:id="1305157241">
      <w:bodyDiv w:val="1"/>
      <w:marLeft w:val="0"/>
      <w:marRight w:val="0"/>
      <w:marTop w:val="0"/>
      <w:marBottom w:val="0"/>
      <w:divBdr>
        <w:top w:val="none" w:sz="0" w:space="0" w:color="auto"/>
        <w:left w:val="none" w:sz="0" w:space="0" w:color="auto"/>
        <w:bottom w:val="none" w:sz="0" w:space="0" w:color="auto"/>
        <w:right w:val="none" w:sz="0" w:space="0" w:color="auto"/>
      </w:divBdr>
      <w:divsChild>
        <w:div w:id="89814179">
          <w:blockQuote w:val="1"/>
          <w:marLeft w:val="600"/>
          <w:marRight w:val="0"/>
          <w:marTop w:val="120"/>
          <w:marBottom w:val="120"/>
          <w:divBdr>
            <w:top w:val="none" w:sz="0" w:space="0" w:color="auto"/>
            <w:left w:val="none" w:sz="0" w:space="0" w:color="auto"/>
            <w:bottom w:val="none" w:sz="0" w:space="0" w:color="auto"/>
            <w:right w:val="none" w:sz="0" w:space="0" w:color="auto"/>
          </w:divBdr>
        </w:div>
        <w:div w:id="223685441">
          <w:blockQuote w:val="1"/>
          <w:marLeft w:val="600"/>
          <w:marRight w:val="0"/>
          <w:marTop w:val="120"/>
          <w:marBottom w:val="120"/>
          <w:divBdr>
            <w:top w:val="none" w:sz="0" w:space="0" w:color="auto"/>
            <w:left w:val="none" w:sz="0" w:space="0" w:color="auto"/>
            <w:bottom w:val="none" w:sz="0" w:space="0" w:color="auto"/>
            <w:right w:val="none" w:sz="0" w:space="0" w:color="auto"/>
          </w:divBdr>
        </w:div>
        <w:div w:id="559291870">
          <w:blockQuote w:val="1"/>
          <w:marLeft w:val="600"/>
          <w:marRight w:val="0"/>
          <w:marTop w:val="120"/>
          <w:marBottom w:val="120"/>
          <w:divBdr>
            <w:top w:val="none" w:sz="0" w:space="0" w:color="auto"/>
            <w:left w:val="none" w:sz="0" w:space="0" w:color="auto"/>
            <w:bottom w:val="none" w:sz="0" w:space="0" w:color="auto"/>
            <w:right w:val="none" w:sz="0" w:space="0" w:color="auto"/>
          </w:divBdr>
        </w:div>
        <w:div w:id="1053118361">
          <w:blockQuote w:val="1"/>
          <w:marLeft w:val="600"/>
          <w:marRight w:val="0"/>
          <w:marTop w:val="120"/>
          <w:marBottom w:val="120"/>
          <w:divBdr>
            <w:top w:val="none" w:sz="0" w:space="0" w:color="auto"/>
            <w:left w:val="none" w:sz="0" w:space="0" w:color="auto"/>
            <w:bottom w:val="none" w:sz="0" w:space="0" w:color="auto"/>
            <w:right w:val="none" w:sz="0" w:space="0" w:color="auto"/>
          </w:divBdr>
        </w:div>
        <w:div w:id="1057555487">
          <w:blockQuote w:val="1"/>
          <w:marLeft w:val="600"/>
          <w:marRight w:val="0"/>
          <w:marTop w:val="120"/>
          <w:marBottom w:val="120"/>
          <w:divBdr>
            <w:top w:val="none" w:sz="0" w:space="0" w:color="auto"/>
            <w:left w:val="none" w:sz="0" w:space="0" w:color="auto"/>
            <w:bottom w:val="none" w:sz="0" w:space="0" w:color="auto"/>
            <w:right w:val="none" w:sz="0" w:space="0" w:color="auto"/>
          </w:divBdr>
        </w:div>
        <w:div w:id="1719551585">
          <w:blockQuote w:val="1"/>
          <w:marLeft w:val="600"/>
          <w:marRight w:val="0"/>
          <w:marTop w:val="120"/>
          <w:marBottom w:val="120"/>
          <w:divBdr>
            <w:top w:val="none" w:sz="0" w:space="0" w:color="auto"/>
            <w:left w:val="none" w:sz="0" w:space="0" w:color="auto"/>
            <w:bottom w:val="none" w:sz="0" w:space="0" w:color="auto"/>
            <w:right w:val="none" w:sz="0" w:space="0" w:color="auto"/>
          </w:divBdr>
        </w:div>
        <w:div w:id="1971085067">
          <w:blockQuote w:val="1"/>
          <w:marLeft w:val="600"/>
          <w:marRight w:val="0"/>
          <w:marTop w:val="120"/>
          <w:marBottom w:val="120"/>
          <w:divBdr>
            <w:top w:val="none" w:sz="0" w:space="0" w:color="auto"/>
            <w:left w:val="none" w:sz="0" w:space="0" w:color="auto"/>
            <w:bottom w:val="none" w:sz="0" w:space="0" w:color="auto"/>
            <w:right w:val="none" w:sz="0" w:space="0" w:color="auto"/>
          </w:divBdr>
        </w:div>
        <w:div w:id="2146896376">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308820362">
      <w:bodyDiv w:val="1"/>
      <w:marLeft w:val="0"/>
      <w:marRight w:val="0"/>
      <w:marTop w:val="0"/>
      <w:marBottom w:val="0"/>
      <w:divBdr>
        <w:top w:val="none" w:sz="0" w:space="0" w:color="auto"/>
        <w:left w:val="none" w:sz="0" w:space="0" w:color="auto"/>
        <w:bottom w:val="none" w:sz="0" w:space="0" w:color="auto"/>
        <w:right w:val="none" w:sz="0" w:space="0" w:color="auto"/>
      </w:divBdr>
    </w:div>
    <w:div w:id="1313830238">
      <w:bodyDiv w:val="1"/>
      <w:marLeft w:val="0"/>
      <w:marRight w:val="0"/>
      <w:marTop w:val="0"/>
      <w:marBottom w:val="0"/>
      <w:divBdr>
        <w:top w:val="none" w:sz="0" w:space="0" w:color="auto"/>
        <w:left w:val="none" w:sz="0" w:space="0" w:color="auto"/>
        <w:bottom w:val="none" w:sz="0" w:space="0" w:color="auto"/>
        <w:right w:val="none" w:sz="0" w:space="0" w:color="auto"/>
      </w:divBdr>
    </w:div>
    <w:div w:id="1316371782">
      <w:bodyDiv w:val="1"/>
      <w:marLeft w:val="0"/>
      <w:marRight w:val="0"/>
      <w:marTop w:val="0"/>
      <w:marBottom w:val="0"/>
      <w:divBdr>
        <w:top w:val="none" w:sz="0" w:space="0" w:color="auto"/>
        <w:left w:val="none" w:sz="0" w:space="0" w:color="auto"/>
        <w:bottom w:val="none" w:sz="0" w:space="0" w:color="auto"/>
        <w:right w:val="none" w:sz="0" w:space="0" w:color="auto"/>
      </w:divBdr>
    </w:div>
    <w:div w:id="1341850769">
      <w:bodyDiv w:val="1"/>
      <w:marLeft w:val="0"/>
      <w:marRight w:val="0"/>
      <w:marTop w:val="0"/>
      <w:marBottom w:val="0"/>
      <w:divBdr>
        <w:top w:val="none" w:sz="0" w:space="0" w:color="auto"/>
        <w:left w:val="none" w:sz="0" w:space="0" w:color="auto"/>
        <w:bottom w:val="none" w:sz="0" w:space="0" w:color="auto"/>
        <w:right w:val="none" w:sz="0" w:space="0" w:color="auto"/>
      </w:divBdr>
      <w:divsChild>
        <w:div w:id="21052465">
          <w:marLeft w:val="0"/>
          <w:marRight w:val="0"/>
          <w:marTop w:val="0"/>
          <w:marBottom w:val="0"/>
          <w:divBdr>
            <w:top w:val="none" w:sz="0" w:space="0" w:color="auto"/>
            <w:left w:val="none" w:sz="0" w:space="0" w:color="auto"/>
            <w:bottom w:val="none" w:sz="0" w:space="0" w:color="auto"/>
            <w:right w:val="none" w:sz="0" w:space="0" w:color="auto"/>
          </w:divBdr>
          <w:divsChild>
            <w:div w:id="1500003522">
              <w:marLeft w:val="0"/>
              <w:marRight w:val="0"/>
              <w:marTop w:val="0"/>
              <w:marBottom w:val="0"/>
              <w:divBdr>
                <w:top w:val="none" w:sz="0" w:space="0" w:color="auto"/>
                <w:left w:val="none" w:sz="0" w:space="0" w:color="auto"/>
                <w:bottom w:val="none" w:sz="0" w:space="0" w:color="auto"/>
                <w:right w:val="none" w:sz="0" w:space="0" w:color="auto"/>
              </w:divBdr>
            </w:div>
          </w:divsChild>
        </w:div>
        <w:div w:id="27146943">
          <w:marLeft w:val="0"/>
          <w:marRight w:val="0"/>
          <w:marTop w:val="0"/>
          <w:marBottom w:val="0"/>
          <w:divBdr>
            <w:top w:val="none" w:sz="0" w:space="0" w:color="auto"/>
            <w:left w:val="none" w:sz="0" w:space="0" w:color="auto"/>
            <w:bottom w:val="none" w:sz="0" w:space="0" w:color="auto"/>
            <w:right w:val="none" w:sz="0" w:space="0" w:color="auto"/>
          </w:divBdr>
          <w:divsChild>
            <w:div w:id="175778449">
              <w:marLeft w:val="0"/>
              <w:marRight w:val="0"/>
              <w:marTop w:val="0"/>
              <w:marBottom w:val="0"/>
              <w:divBdr>
                <w:top w:val="none" w:sz="0" w:space="0" w:color="auto"/>
                <w:left w:val="none" w:sz="0" w:space="0" w:color="auto"/>
                <w:bottom w:val="none" w:sz="0" w:space="0" w:color="auto"/>
                <w:right w:val="none" w:sz="0" w:space="0" w:color="auto"/>
              </w:divBdr>
            </w:div>
          </w:divsChild>
        </w:div>
        <w:div w:id="35394958">
          <w:marLeft w:val="0"/>
          <w:marRight w:val="0"/>
          <w:marTop w:val="0"/>
          <w:marBottom w:val="0"/>
          <w:divBdr>
            <w:top w:val="none" w:sz="0" w:space="0" w:color="auto"/>
            <w:left w:val="none" w:sz="0" w:space="0" w:color="auto"/>
            <w:bottom w:val="none" w:sz="0" w:space="0" w:color="auto"/>
            <w:right w:val="none" w:sz="0" w:space="0" w:color="auto"/>
          </w:divBdr>
          <w:divsChild>
            <w:div w:id="1452045851">
              <w:marLeft w:val="0"/>
              <w:marRight w:val="0"/>
              <w:marTop w:val="0"/>
              <w:marBottom w:val="0"/>
              <w:divBdr>
                <w:top w:val="none" w:sz="0" w:space="0" w:color="auto"/>
                <w:left w:val="none" w:sz="0" w:space="0" w:color="auto"/>
                <w:bottom w:val="none" w:sz="0" w:space="0" w:color="auto"/>
                <w:right w:val="none" w:sz="0" w:space="0" w:color="auto"/>
              </w:divBdr>
            </w:div>
          </w:divsChild>
        </w:div>
        <w:div w:id="151993442">
          <w:marLeft w:val="0"/>
          <w:marRight w:val="0"/>
          <w:marTop w:val="0"/>
          <w:marBottom w:val="0"/>
          <w:divBdr>
            <w:top w:val="none" w:sz="0" w:space="0" w:color="auto"/>
            <w:left w:val="none" w:sz="0" w:space="0" w:color="auto"/>
            <w:bottom w:val="none" w:sz="0" w:space="0" w:color="auto"/>
            <w:right w:val="none" w:sz="0" w:space="0" w:color="auto"/>
          </w:divBdr>
          <w:divsChild>
            <w:div w:id="1976257601">
              <w:marLeft w:val="0"/>
              <w:marRight w:val="0"/>
              <w:marTop w:val="0"/>
              <w:marBottom w:val="0"/>
              <w:divBdr>
                <w:top w:val="none" w:sz="0" w:space="0" w:color="auto"/>
                <w:left w:val="none" w:sz="0" w:space="0" w:color="auto"/>
                <w:bottom w:val="none" w:sz="0" w:space="0" w:color="auto"/>
                <w:right w:val="none" w:sz="0" w:space="0" w:color="auto"/>
              </w:divBdr>
            </w:div>
          </w:divsChild>
        </w:div>
        <w:div w:id="182210546">
          <w:marLeft w:val="0"/>
          <w:marRight w:val="0"/>
          <w:marTop w:val="0"/>
          <w:marBottom w:val="0"/>
          <w:divBdr>
            <w:top w:val="none" w:sz="0" w:space="0" w:color="auto"/>
            <w:left w:val="none" w:sz="0" w:space="0" w:color="auto"/>
            <w:bottom w:val="none" w:sz="0" w:space="0" w:color="auto"/>
            <w:right w:val="none" w:sz="0" w:space="0" w:color="auto"/>
          </w:divBdr>
          <w:divsChild>
            <w:div w:id="310446551">
              <w:marLeft w:val="0"/>
              <w:marRight w:val="0"/>
              <w:marTop w:val="0"/>
              <w:marBottom w:val="0"/>
              <w:divBdr>
                <w:top w:val="none" w:sz="0" w:space="0" w:color="auto"/>
                <w:left w:val="none" w:sz="0" w:space="0" w:color="auto"/>
                <w:bottom w:val="none" w:sz="0" w:space="0" w:color="auto"/>
                <w:right w:val="none" w:sz="0" w:space="0" w:color="auto"/>
              </w:divBdr>
            </w:div>
          </w:divsChild>
        </w:div>
        <w:div w:id="236288896">
          <w:marLeft w:val="0"/>
          <w:marRight w:val="0"/>
          <w:marTop w:val="0"/>
          <w:marBottom w:val="0"/>
          <w:divBdr>
            <w:top w:val="none" w:sz="0" w:space="0" w:color="auto"/>
            <w:left w:val="none" w:sz="0" w:space="0" w:color="auto"/>
            <w:bottom w:val="none" w:sz="0" w:space="0" w:color="auto"/>
            <w:right w:val="none" w:sz="0" w:space="0" w:color="auto"/>
          </w:divBdr>
          <w:divsChild>
            <w:div w:id="504252415">
              <w:marLeft w:val="0"/>
              <w:marRight w:val="0"/>
              <w:marTop w:val="0"/>
              <w:marBottom w:val="0"/>
              <w:divBdr>
                <w:top w:val="none" w:sz="0" w:space="0" w:color="auto"/>
                <w:left w:val="none" w:sz="0" w:space="0" w:color="auto"/>
                <w:bottom w:val="none" w:sz="0" w:space="0" w:color="auto"/>
                <w:right w:val="none" w:sz="0" w:space="0" w:color="auto"/>
              </w:divBdr>
            </w:div>
          </w:divsChild>
        </w:div>
        <w:div w:id="237131852">
          <w:marLeft w:val="0"/>
          <w:marRight w:val="0"/>
          <w:marTop w:val="0"/>
          <w:marBottom w:val="0"/>
          <w:divBdr>
            <w:top w:val="none" w:sz="0" w:space="0" w:color="auto"/>
            <w:left w:val="none" w:sz="0" w:space="0" w:color="auto"/>
            <w:bottom w:val="none" w:sz="0" w:space="0" w:color="auto"/>
            <w:right w:val="none" w:sz="0" w:space="0" w:color="auto"/>
          </w:divBdr>
          <w:divsChild>
            <w:div w:id="1931695938">
              <w:marLeft w:val="0"/>
              <w:marRight w:val="0"/>
              <w:marTop w:val="0"/>
              <w:marBottom w:val="0"/>
              <w:divBdr>
                <w:top w:val="none" w:sz="0" w:space="0" w:color="auto"/>
                <w:left w:val="none" w:sz="0" w:space="0" w:color="auto"/>
                <w:bottom w:val="none" w:sz="0" w:space="0" w:color="auto"/>
                <w:right w:val="none" w:sz="0" w:space="0" w:color="auto"/>
              </w:divBdr>
            </w:div>
          </w:divsChild>
        </w:div>
        <w:div w:id="251403844">
          <w:marLeft w:val="0"/>
          <w:marRight w:val="0"/>
          <w:marTop w:val="0"/>
          <w:marBottom w:val="0"/>
          <w:divBdr>
            <w:top w:val="none" w:sz="0" w:space="0" w:color="auto"/>
            <w:left w:val="none" w:sz="0" w:space="0" w:color="auto"/>
            <w:bottom w:val="none" w:sz="0" w:space="0" w:color="auto"/>
            <w:right w:val="none" w:sz="0" w:space="0" w:color="auto"/>
          </w:divBdr>
          <w:divsChild>
            <w:div w:id="812066949">
              <w:marLeft w:val="0"/>
              <w:marRight w:val="0"/>
              <w:marTop w:val="0"/>
              <w:marBottom w:val="0"/>
              <w:divBdr>
                <w:top w:val="none" w:sz="0" w:space="0" w:color="auto"/>
                <w:left w:val="none" w:sz="0" w:space="0" w:color="auto"/>
                <w:bottom w:val="none" w:sz="0" w:space="0" w:color="auto"/>
                <w:right w:val="none" w:sz="0" w:space="0" w:color="auto"/>
              </w:divBdr>
            </w:div>
          </w:divsChild>
        </w:div>
        <w:div w:id="271792386">
          <w:marLeft w:val="0"/>
          <w:marRight w:val="0"/>
          <w:marTop w:val="0"/>
          <w:marBottom w:val="0"/>
          <w:divBdr>
            <w:top w:val="none" w:sz="0" w:space="0" w:color="auto"/>
            <w:left w:val="none" w:sz="0" w:space="0" w:color="auto"/>
            <w:bottom w:val="none" w:sz="0" w:space="0" w:color="auto"/>
            <w:right w:val="none" w:sz="0" w:space="0" w:color="auto"/>
          </w:divBdr>
          <w:divsChild>
            <w:div w:id="2011784616">
              <w:marLeft w:val="0"/>
              <w:marRight w:val="0"/>
              <w:marTop w:val="0"/>
              <w:marBottom w:val="0"/>
              <w:divBdr>
                <w:top w:val="none" w:sz="0" w:space="0" w:color="auto"/>
                <w:left w:val="none" w:sz="0" w:space="0" w:color="auto"/>
                <w:bottom w:val="none" w:sz="0" w:space="0" w:color="auto"/>
                <w:right w:val="none" w:sz="0" w:space="0" w:color="auto"/>
              </w:divBdr>
            </w:div>
          </w:divsChild>
        </w:div>
        <w:div w:id="281542661">
          <w:marLeft w:val="0"/>
          <w:marRight w:val="0"/>
          <w:marTop w:val="0"/>
          <w:marBottom w:val="0"/>
          <w:divBdr>
            <w:top w:val="none" w:sz="0" w:space="0" w:color="auto"/>
            <w:left w:val="none" w:sz="0" w:space="0" w:color="auto"/>
            <w:bottom w:val="none" w:sz="0" w:space="0" w:color="auto"/>
            <w:right w:val="none" w:sz="0" w:space="0" w:color="auto"/>
          </w:divBdr>
          <w:divsChild>
            <w:div w:id="1801192432">
              <w:marLeft w:val="0"/>
              <w:marRight w:val="0"/>
              <w:marTop w:val="0"/>
              <w:marBottom w:val="0"/>
              <w:divBdr>
                <w:top w:val="none" w:sz="0" w:space="0" w:color="auto"/>
                <w:left w:val="none" w:sz="0" w:space="0" w:color="auto"/>
                <w:bottom w:val="none" w:sz="0" w:space="0" w:color="auto"/>
                <w:right w:val="none" w:sz="0" w:space="0" w:color="auto"/>
              </w:divBdr>
            </w:div>
          </w:divsChild>
        </w:div>
        <w:div w:id="282657041">
          <w:marLeft w:val="0"/>
          <w:marRight w:val="0"/>
          <w:marTop w:val="0"/>
          <w:marBottom w:val="0"/>
          <w:divBdr>
            <w:top w:val="none" w:sz="0" w:space="0" w:color="auto"/>
            <w:left w:val="none" w:sz="0" w:space="0" w:color="auto"/>
            <w:bottom w:val="none" w:sz="0" w:space="0" w:color="auto"/>
            <w:right w:val="none" w:sz="0" w:space="0" w:color="auto"/>
          </w:divBdr>
          <w:divsChild>
            <w:div w:id="1384864228">
              <w:marLeft w:val="0"/>
              <w:marRight w:val="0"/>
              <w:marTop w:val="0"/>
              <w:marBottom w:val="0"/>
              <w:divBdr>
                <w:top w:val="none" w:sz="0" w:space="0" w:color="auto"/>
                <w:left w:val="none" w:sz="0" w:space="0" w:color="auto"/>
                <w:bottom w:val="none" w:sz="0" w:space="0" w:color="auto"/>
                <w:right w:val="none" w:sz="0" w:space="0" w:color="auto"/>
              </w:divBdr>
            </w:div>
          </w:divsChild>
        </w:div>
        <w:div w:id="293757200">
          <w:marLeft w:val="0"/>
          <w:marRight w:val="0"/>
          <w:marTop w:val="0"/>
          <w:marBottom w:val="0"/>
          <w:divBdr>
            <w:top w:val="none" w:sz="0" w:space="0" w:color="auto"/>
            <w:left w:val="none" w:sz="0" w:space="0" w:color="auto"/>
            <w:bottom w:val="none" w:sz="0" w:space="0" w:color="auto"/>
            <w:right w:val="none" w:sz="0" w:space="0" w:color="auto"/>
          </w:divBdr>
          <w:divsChild>
            <w:div w:id="232467449">
              <w:marLeft w:val="0"/>
              <w:marRight w:val="0"/>
              <w:marTop w:val="0"/>
              <w:marBottom w:val="0"/>
              <w:divBdr>
                <w:top w:val="none" w:sz="0" w:space="0" w:color="auto"/>
                <w:left w:val="none" w:sz="0" w:space="0" w:color="auto"/>
                <w:bottom w:val="none" w:sz="0" w:space="0" w:color="auto"/>
                <w:right w:val="none" w:sz="0" w:space="0" w:color="auto"/>
              </w:divBdr>
            </w:div>
          </w:divsChild>
        </w:div>
        <w:div w:id="301497298">
          <w:marLeft w:val="0"/>
          <w:marRight w:val="0"/>
          <w:marTop w:val="0"/>
          <w:marBottom w:val="0"/>
          <w:divBdr>
            <w:top w:val="none" w:sz="0" w:space="0" w:color="auto"/>
            <w:left w:val="none" w:sz="0" w:space="0" w:color="auto"/>
            <w:bottom w:val="none" w:sz="0" w:space="0" w:color="auto"/>
            <w:right w:val="none" w:sz="0" w:space="0" w:color="auto"/>
          </w:divBdr>
          <w:divsChild>
            <w:div w:id="2081324511">
              <w:marLeft w:val="0"/>
              <w:marRight w:val="0"/>
              <w:marTop w:val="0"/>
              <w:marBottom w:val="0"/>
              <w:divBdr>
                <w:top w:val="none" w:sz="0" w:space="0" w:color="auto"/>
                <w:left w:val="none" w:sz="0" w:space="0" w:color="auto"/>
                <w:bottom w:val="none" w:sz="0" w:space="0" w:color="auto"/>
                <w:right w:val="none" w:sz="0" w:space="0" w:color="auto"/>
              </w:divBdr>
            </w:div>
          </w:divsChild>
        </w:div>
        <w:div w:id="320744364">
          <w:marLeft w:val="0"/>
          <w:marRight w:val="0"/>
          <w:marTop w:val="0"/>
          <w:marBottom w:val="0"/>
          <w:divBdr>
            <w:top w:val="none" w:sz="0" w:space="0" w:color="auto"/>
            <w:left w:val="none" w:sz="0" w:space="0" w:color="auto"/>
            <w:bottom w:val="none" w:sz="0" w:space="0" w:color="auto"/>
            <w:right w:val="none" w:sz="0" w:space="0" w:color="auto"/>
          </w:divBdr>
          <w:divsChild>
            <w:div w:id="857281394">
              <w:marLeft w:val="0"/>
              <w:marRight w:val="0"/>
              <w:marTop w:val="0"/>
              <w:marBottom w:val="0"/>
              <w:divBdr>
                <w:top w:val="none" w:sz="0" w:space="0" w:color="auto"/>
                <w:left w:val="none" w:sz="0" w:space="0" w:color="auto"/>
                <w:bottom w:val="none" w:sz="0" w:space="0" w:color="auto"/>
                <w:right w:val="none" w:sz="0" w:space="0" w:color="auto"/>
              </w:divBdr>
            </w:div>
          </w:divsChild>
        </w:div>
        <w:div w:id="348680448">
          <w:marLeft w:val="0"/>
          <w:marRight w:val="0"/>
          <w:marTop w:val="0"/>
          <w:marBottom w:val="0"/>
          <w:divBdr>
            <w:top w:val="none" w:sz="0" w:space="0" w:color="auto"/>
            <w:left w:val="none" w:sz="0" w:space="0" w:color="auto"/>
            <w:bottom w:val="none" w:sz="0" w:space="0" w:color="auto"/>
            <w:right w:val="none" w:sz="0" w:space="0" w:color="auto"/>
          </w:divBdr>
          <w:divsChild>
            <w:div w:id="1534490366">
              <w:marLeft w:val="0"/>
              <w:marRight w:val="0"/>
              <w:marTop w:val="0"/>
              <w:marBottom w:val="0"/>
              <w:divBdr>
                <w:top w:val="none" w:sz="0" w:space="0" w:color="auto"/>
                <w:left w:val="none" w:sz="0" w:space="0" w:color="auto"/>
                <w:bottom w:val="none" w:sz="0" w:space="0" w:color="auto"/>
                <w:right w:val="none" w:sz="0" w:space="0" w:color="auto"/>
              </w:divBdr>
            </w:div>
          </w:divsChild>
        </w:div>
        <w:div w:id="357974091">
          <w:marLeft w:val="0"/>
          <w:marRight w:val="0"/>
          <w:marTop w:val="0"/>
          <w:marBottom w:val="0"/>
          <w:divBdr>
            <w:top w:val="none" w:sz="0" w:space="0" w:color="auto"/>
            <w:left w:val="none" w:sz="0" w:space="0" w:color="auto"/>
            <w:bottom w:val="none" w:sz="0" w:space="0" w:color="auto"/>
            <w:right w:val="none" w:sz="0" w:space="0" w:color="auto"/>
          </w:divBdr>
          <w:divsChild>
            <w:div w:id="122582245">
              <w:marLeft w:val="0"/>
              <w:marRight w:val="0"/>
              <w:marTop w:val="0"/>
              <w:marBottom w:val="0"/>
              <w:divBdr>
                <w:top w:val="none" w:sz="0" w:space="0" w:color="auto"/>
                <w:left w:val="none" w:sz="0" w:space="0" w:color="auto"/>
                <w:bottom w:val="none" w:sz="0" w:space="0" w:color="auto"/>
                <w:right w:val="none" w:sz="0" w:space="0" w:color="auto"/>
              </w:divBdr>
            </w:div>
          </w:divsChild>
        </w:div>
        <w:div w:id="388655323">
          <w:marLeft w:val="0"/>
          <w:marRight w:val="0"/>
          <w:marTop w:val="0"/>
          <w:marBottom w:val="0"/>
          <w:divBdr>
            <w:top w:val="none" w:sz="0" w:space="0" w:color="auto"/>
            <w:left w:val="none" w:sz="0" w:space="0" w:color="auto"/>
            <w:bottom w:val="none" w:sz="0" w:space="0" w:color="auto"/>
            <w:right w:val="none" w:sz="0" w:space="0" w:color="auto"/>
          </w:divBdr>
          <w:divsChild>
            <w:div w:id="661784380">
              <w:marLeft w:val="0"/>
              <w:marRight w:val="0"/>
              <w:marTop w:val="0"/>
              <w:marBottom w:val="0"/>
              <w:divBdr>
                <w:top w:val="none" w:sz="0" w:space="0" w:color="auto"/>
                <w:left w:val="none" w:sz="0" w:space="0" w:color="auto"/>
                <w:bottom w:val="none" w:sz="0" w:space="0" w:color="auto"/>
                <w:right w:val="none" w:sz="0" w:space="0" w:color="auto"/>
              </w:divBdr>
            </w:div>
          </w:divsChild>
        </w:div>
        <w:div w:id="425734726">
          <w:marLeft w:val="0"/>
          <w:marRight w:val="0"/>
          <w:marTop w:val="0"/>
          <w:marBottom w:val="0"/>
          <w:divBdr>
            <w:top w:val="none" w:sz="0" w:space="0" w:color="auto"/>
            <w:left w:val="none" w:sz="0" w:space="0" w:color="auto"/>
            <w:bottom w:val="none" w:sz="0" w:space="0" w:color="auto"/>
            <w:right w:val="none" w:sz="0" w:space="0" w:color="auto"/>
          </w:divBdr>
          <w:divsChild>
            <w:div w:id="1552888836">
              <w:marLeft w:val="0"/>
              <w:marRight w:val="0"/>
              <w:marTop w:val="0"/>
              <w:marBottom w:val="0"/>
              <w:divBdr>
                <w:top w:val="none" w:sz="0" w:space="0" w:color="auto"/>
                <w:left w:val="none" w:sz="0" w:space="0" w:color="auto"/>
                <w:bottom w:val="none" w:sz="0" w:space="0" w:color="auto"/>
                <w:right w:val="none" w:sz="0" w:space="0" w:color="auto"/>
              </w:divBdr>
            </w:div>
          </w:divsChild>
        </w:div>
        <w:div w:id="441264745">
          <w:marLeft w:val="0"/>
          <w:marRight w:val="0"/>
          <w:marTop w:val="0"/>
          <w:marBottom w:val="0"/>
          <w:divBdr>
            <w:top w:val="none" w:sz="0" w:space="0" w:color="auto"/>
            <w:left w:val="none" w:sz="0" w:space="0" w:color="auto"/>
            <w:bottom w:val="none" w:sz="0" w:space="0" w:color="auto"/>
            <w:right w:val="none" w:sz="0" w:space="0" w:color="auto"/>
          </w:divBdr>
          <w:divsChild>
            <w:div w:id="2083746498">
              <w:marLeft w:val="0"/>
              <w:marRight w:val="0"/>
              <w:marTop w:val="0"/>
              <w:marBottom w:val="0"/>
              <w:divBdr>
                <w:top w:val="none" w:sz="0" w:space="0" w:color="auto"/>
                <w:left w:val="none" w:sz="0" w:space="0" w:color="auto"/>
                <w:bottom w:val="none" w:sz="0" w:space="0" w:color="auto"/>
                <w:right w:val="none" w:sz="0" w:space="0" w:color="auto"/>
              </w:divBdr>
            </w:div>
          </w:divsChild>
        </w:div>
        <w:div w:id="448817110">
          <w:marLeft w:val="0"/>
          <w:marRight w:val="0"/>
          <w:marTop w:val="0"/>
          <w:marBottom w:val="0"/>
          <w:divBdr>
            <w:top w:val="none" w:sz="0" w:space="0" w:color="auto"/>
            <w:left w:val="none" w:sz="0" w:space="0" w:color="auto"/>
            <w:bottom w:val="none" w:sz="0" w:space="0" w:color="auto"/>
            <w:right w:val="none" w:sz="0" w:space="0" w:color="auto"/>
          </w:divBdr>
          <w:divsChild>
            <w:div w:id="583146492">
              <w:marLeft w:val="0"/>
              <w:marRight w:val="0"/>
              <w:marTop w:val="0"/>
              <w:marBottom w:val="0"/>
              <w:divBdr>
                <w:top w:val="none" w:sz="0" w:space="0" w:color="auto"/>
                <w:left w:val="none" w:sz="0" w:space="0" w:color="auto"/>
                <w:bottom w:val="none" w:sz="0" w:space="0" w:color="auto"/>
                <w:right w:val="none" w:sz="0" w:space="0" w:color="auto"/>
              </w:divBdr>
            </w:div>
          </w:divsChild>
        </w:div>
        <w:div w:id="457796081">
          <w:marLeft w:val="0"/>
          <w:marRight w:val="0"/>
          <w:marTop w:val="0"/>
          <w:marBottom w:val="0"/>
          <w:divBdr>
            <w:top w:val="none" w:sz="0" w:space="0" w:color="auto"/>
            <w:left w:val="none" w:sz="0" w:space="0" w:color="auto"/>
            <w:bottom w:val="none" w:sz="0" w:space="0" w:color="auto"/>
            <w:right w:val="none" w:sz="0" w:space="0" w:color="auto"/>
          </w:divBdr>
          <w:divsChild>
            <w:div w:id="1392970513">
              <w:marLeft w:val="0"/>
              <w:marRight w:val="0"/>
              <w:marTop w:val="0"/>
              <w:marBottom w:val="0"/>
              <w:divBdr>
                <w:top w:val="none" w:sz="0" w:space="0" w:color="auto"/>
                <w:left w:val="none" w:sz="0" w:space="0" w:color="auto"/>
                <w:bottom w:val="none" w:sz="0" w:space="0" w:color="auto"/>
                <w:right w:val="none" w:sz="0" w:space="0" w:color="auto"/>
              </w:divBdr>
            </w:div>
          </w:divsChild>
        </w:div>
        <w:div w:id="555551221">
          <w:marLeft w:val="0"/>
          <w:marRight w:val="0"/>
          <w:marTop w:val="0"/>
          <w:marBottom w:val="0"/>
          <w:divBdr>
            <w:top w:val="none" w:sz="0" w:space="0" w:color="auto"/>
            <w:left w:val="none" w:sz="0" w:space="0" w:color="auto"/>
            <w:bottom w:val="none" w:sz="0" w:space="0" w:color="auto"/>
            <w:right w:val="none" w:sz="0" w:space="0" w:color="auto"/>
          </w:divBdr>
          <w:divsChild>
            <w:div w:id="354114484">
              <w:marLeft w:val="0"/>
              <w:marRight w:val="0"/>
              <w:marTop w:val="0"/>
              <w:marBottom w:val="0"/>
              <w:divBdr>
                <w:top w:val="none" w:sz="0" w:space="0" w:color="auto"/>
                <w:left w:val="none" w:sz="0" w:space="0" w:color="auto"/>
                <w:bottom w:val="none" w:sz="0" w:space="0" w:color="auto"/>
                <w:right w:val="none" w:sz="0" w:space="0" w:color="auto"/>
              </w:divBdr>
            </w:div>
          </w:divsChild>
        </w:div>
        <w:div w:id="564146368">
          <w:marLeft w:val="0"/>
          <w:marRight w:val="0"/>
          <w:marTop w:val="0"/>
          <w:marBottom w:val="0"/>
          <w:divBdr>
            <w:top w:val="none" w:sz="0" w:space="0" w:color="auto"/>
            <w:left w:val="none" w:sz="0" w:space="0" w:color="auto"/>
            <w:bottom w:val="none" w:sz="0" w:space="0" w:color="auto"/>
            <w:right w:val="none" w:sz="0" w:space="0" w:color="auto"/>
          </w:divBdr>
          <w:divsChild>
            <w:div w:id="122971371">
              <w:marLeft w:val="0"/>
              <w:marRight w:val="0"/>
              <w:marTop w:val="0"/>
              <w:marBottom w:val="0"/>
              <w:divBdr>
                <w:top w:val="none" w:sz="0" w:space="0" w:color="auto"/>
                <w:left w:val="none" w:sz="0" w:space="0" w:color="auto"/>
                <w:bottom w:val="none" w:sz="0" w:space="0" w:color="auto"/>
                <w:right w:val="none" w:sz="0" w:space="0" w:color="auto"/>
              </w:divBdr>
            </w:div>
          </w:divsChild>
        </w:div>
        <w:div w:id="646472888">
          <w:marLeft w:val="0"/>
          <w:marRight w:val="0"/>
          <w:marTop w:val="0"/>
          <w:marBottom w:val="0"/>
          <w:divBdr>
            <w:top w:val="none" w:sz="0" w:space="0" w:color="auto"/>
            <w:left w:val="none" w:sz="0" w:space="0" w:color="auto"/>
            <w:bottom w:val="none" w:sz="0" w:space="0" w:color="auto"/>
            <w:right w:val="none" w:sz="0" w:space="0" w:color="auto"/>
          </w:divBdr>
          <w:divsChild>
            <w:div w:id="2058121315">
              <w:marLeft w:val="0"/>
              <w:marRight w:val="0"/>
              <w:marTop w:val="0"/>
              <w:marBottom w:val="0"/>
              <w:divBdr>
                <w:top w:val="none" w:sz="0" w:space="0" w:color="auto"/>
                <w:left w:val="none" w:sz="0" w:space="0" w:color="auto"/>
                <w:bottom w:val="none" w:sz="0" w:space="0" w:color="auto"/>
                <w:right w:val="none" w:sz="0" w:space="0" w:color="auto"/>
              </w:divBdr>
            </w:div>
          </w:divsChild>
        </w:div>
        <w:div w:id="735128282">
          <w:marLeft w:val="0"/>
          <w:marRight w:val="0"/>
          <w:marTop w:val="0"/>
          <w:marBottom w:val="0"/>
          <w:divBdr>
            <w:top w:val="none" w:sz="0" w:space="0" w:color="auto"/>
            <w:left w:val="none" w:sz="0" w:space="0" w:color="auto"/>
            <w:bottom w:val="none" w:sz="0" w:space="0" w:color="auto"/>
            <w:right w:val="none" w:sz="0" w:space="0" w:color="auto"/>
          </w:divBdr>
          <w:divsChild>
            <w:div w:id="1975256903">
              <w:marLeft w:val="0"/>
              <w:marRight w:val="0"/>
              <w:marTop w:val="0"/>
              <w:marBottom w:val="0"/>
              <w:divBdr>
                <w:top w:val="none" w:sz="0" w:space="0" w:color="auto"/>
                <w:left w:val="none" w:sz="0" w:space="0" w:color="auto"/>
                <w:bottom w:val="none" w:sz="0" w:space="0" w:color="auto"/>
                <w:right w:val="none" w:sz="0" w:space="0" w:color="auto"/>
              </w:divBdr>
            </w:div>
          </w:divsChild>
        </w:div>
        <w:div w:id="736627857">
          <w:marLeft w:val="0"/>
          <w:marRight w:val="0"/>
          <w:marTop w:val="0"/>
          <w:marBottom w:val="0"/>
          <w:divBdr>
            <w:top w:val="none" w:sz="0" w:space="0" w:color="auto"/>
            <w:left w:val="none" w:sz="0" w:space="0" w:color="auto"/>
            <w:bottom w:val="none" w:sz="0" w:space="0" w:color="auto"/>
            <w:right w:val="none" w:sz="0" w:space="0" w:color="auto"/>
          </w:divBdr>
          <w:divsChild>
            <w:div w:id="241721612">
              <w:marLeft w:val="0"/>
              <w:marRight w:val="0"/>
              <w:marTop w:val="0"/>
              <w:marBottom w:val="0"/>
              <w:divBdr>
                <w:top w:val="none" w:sz="0" w:space="0" w:color="auto"/>
                <w:left w:val="none" w:sz="0" w:space="0" w:color="auto"/>
                <w:bottom w:val="none" w:sz="0" w:space="0" w:color="auto"/>
                <w:right w:val="none" w:sz="0" w:space="0" w:color="auto"/>
              </w:divBdr>
            </w:div>
          </w:divsChild>
        </w:div>
        <w:div w:id="751396984">
          <w:marLeft w:val="0"/>
          <w:marRight w:val="0"/>
          <w:marTop w:val="0"/>
          <w:marBottom w:val="0"/>
          <w:divBdr>
            <w:top w:val="none" w:sz="0" w:space="0" w:color="auto"/>
            <w:left w:val="none" w:sz="0" w:space="0" w:color="auto"/>
            <w:bottom w:val="none" w:sz="0" w:space="0" w:color="auto"/>
            <w:right w:val="none" w:sz="0" w:space="0" w:color="auto"/>
          </w:divBdr>
          <w:divsChild>
            <w:div w:id="1560895319">
              <w:marLeft w:val="0"/>
              <w:marRight w:val="0"/>
              <w:marTop w:val="0"/>
              <w:marBottom w:val="0"/>
              <w:divBdr>
                <w:top w:val="none" w:sz="0" w:space="0" w:color="auto"/>
                <w:left w:val="none" w:sz="0" w:space="0" w:color="auto"/>
                <w:bottom w:val="none" w:sz="0" w:space="0" w:color="auto"/>
                <w:right w:val="none" w:sz="0" w:space="0" w:color="auto"/>
              </w:divBdr>
            </w:div>
          </w:divsChild>
        </w:div>
        <w:div w:id="833572319">
          <w:marLeft w:val="0"/>
          <w:marRight w:val="0"/>
          <w:marTop w:val="0"/>
          <w:marBottom w:val="0"/>
          <w:divBdr>
            <w:top w:val="none" w:sz="0" w:space="0" w:color="auto"/>
            <w:left w:val="none" w:sz="0" w:space="0" w:color="auto"/>
            <w:bottom w:val="none" w:sz="0" w:space="0" w:color="auto"/>
            <w:right w:val="none" w:sz="0" w:space="0" w:color="auto"/>
          </w:divBdr>
          <w:divsChild>
            <w:div w:id="2139371712">
              <w:marLeft w:val="0"/>
              <w:marRight w:val="0"/>
              <w:marTop w:val="0"/>
              <w:marBottom w:val="0"/>
              <w:divBdr>
                <w:top w:val="none" w:sz="0" w:space="0" w:color="auto"/>
                <w:left w:val="none" w:sz="0" w:space="0" w:color="auto"/>
                <w:bottom w:val="none" w:sz="0" w:space="0" w:color="auto"/>
                <w:right w:val="none" w:sz="0" w:space="0" w:color="auto"/>
              </w:divBdr>
            </w:div>
          </w:divsChild>
        </w:div>
        <w:div w:id="856818198">
          <w:marLeft w:val="0"/>
          <w:marRight w:val="0"/>
          <w:marTop w:val="0"/>
          <w:marBottom w:val="0"/>
          <w:divBdr>
            <w:top w:val="none" w:sz="0" w:space="0" w:color="auto"/>
            <w:left w:val="none" w:sz="0" w:space="0" w:color="auto"/>
            <w:bottom w:val="none" w:sz="0" w:space="0" w:color="auto"/>
            <w:right w:val="none" w:sz="0" w:space="0" w:color="auto"/>
          </w:divBdr>
          <w:divsChild>
            <w:div w:id="1009216694">
              <w:marLeft w:val="0"/>
              <w:marRight w:val="0"/>
              <w:marTop w:val="0"/>
              <w:marBottom w:val="0"/>
              <w:divBdr>
                <w:top w:val="none" w:sz="0" w:space="0" w:color="auto"/>
                <w:left w:val="none" w:sz="0" w:space="0" w:color="auto"/>
                <w:bottom w:val="none" w:sz="0" w:space="0" w:color="auto"/>
                <w:right w:val="none" w:sz="0" w:space="0" w:color="auto"/>
              </w:divBdr>
            </w:div>
          </w:divsChild>
        </w:div>
        <w:div w:id="870875054">
          <w:marLeft w:val="0"/>
          <w:marRight w:val="0"/>
          <w:marTop w:val="0"/>
          <w:marBottom w:val="0"/>
          <w:divBdr>
            <w:top w:val="none" w:sz="0" w:space="0" w:color="auto"/>
            <w:left w:val="none" w:sz="0" w:space="0" w:color="auto"/>
            <w:bottom w:val="none" w:sz="0" w:space="0" w:color="auto"/>
            <w:right w:val="none" w:sz="0" w:space="0" w:color="auto"/>
          </w:divBdr>
          <w:divsChild>
            <w:div w:id="1158572811">
              <w:marLeft w:val="0"/>
              <w:marRight w:val="0"/>
              <w:marTop w:val="0"/>
              <w:marBottom w:val="0"/>
              <w:divBdr>
                <w:top w:val="none" w:sz="0" w:space="0" w:color="auto"/>
                <w:left w:val="none" w:sz="0" w:space="0" w:color="auto"/>
                <w:bottom w:val="none" w:sz="0" w:space="0" w:color="auto"/>
                <w:right w:val="none" w:sz="0" w:space="0" w:color="auto"/>
              </w:divBdr>
            </w:div>
          </w:divsChild>
        </w:div>
        <w:div w:id="873886020">
          <w:marLeft w:val="0"/>
          <w:marRight w:val="0"/>
          <w:marTop w:val="0"/>
          <w:marBottom w:val="0"/>
          <w:divBdr>
            <w:top w:val="none" w:sz="0" w:space="0" w:color="auto"/>
            <w:left w:val="none" w:sz="0" w:space="0" w:color="auto"/>
            <w:bottom w:val="none" w:sz="0" w:space="0" w:color="auto"/>
            <w:right w:val="none" w:sz="0" w:space="0" w:color="auto"/>
          </w:divBdr>
          <w:divsChild>
            <w:div w:id="1023558505">
              <w:marLeft w:val="0"/>
              <w:marRight w:val="0"/>
              <w:marTop w:val="0"/>
              <w:marBottom w:val="0"/>
              <w:divBdr>
                <w:top w:val="none" w:sz="0" w:space="0" w:color="auto"/>
                <w:left w:val="none" w:sz="0" w:space="0" w:color="auto"/>
                <w:bottom w:val="none" w:sz="0" w:space="0" w:color="auto"/>
                <w:right w:val="none" w:sz="0" w:space="0" w:color="auto"/>
              </w:divBdr>
            </w:div>
          </w:divsChild>
        </w:div>
        <w:div w:id="940912264">
          <w:marLeft w:val="0"/>
          <w:marRight w:val="0"/>
          <w:marTop w:val="0"/>
          <w:marBottom w:val="0"/>
          <w:divBdr>
            <w:top w:val="none" w:sz="0" w:space="0" w:color="auto"/>
            <w:left w:val="none" w:sz="0" w:space="0" w:color="auto"/>
            <w:bottom w:val="none" w:sz="0" w:space="0" w:color="auto"/>
            <w:right w:val="none" w:sz="0" w:space="0" w:color="auto"/>
          </w:divBdr>
          <w:divsChild>
            <w:div w:id="1070620206">
              <w:marLeft w:val="0"/>
              <w:marRight w:val="0"/>
              <w:marTop w:val="0"/>
              <w:marBottom w:val="0"/>
              <w:divBdr>
                <w:top w:val="none" w:sz="0" w:space="0" w:color="auto"/>
                <w:left w:val="none" w:sz="0" w:space="0" w:color="auto"/>
                <w:bottom w:val="none" w:sz="0" w:space="0" w:color="auto"/>
                <w:right w:val="none" w:sz="0" w:space="0" w:color="auto"/>
              </w:divBdr>
            </w:div>
          </w:divsChild>
        </w:div>
        <w:div w:id="953244380">
          <w:marLeft w:val="0"/>
          <w:marRight w:val="0"/>
          <w:marTop w:val="0"/>
          <w:marBottom w:val="0"/>
          <w:divBdr>
            <w:top w:val="none" w:sz="0" w:space="0" w:color="auto"/>
            <w:left w:val="none" w:sz="0" w:space="0" w:color="auto"/>
            <w:bottom w:val="none" w:sz="0" w:space="0" w:color="auto"/>
            <w:right w:val="none" w:sz="0" w:space="0" w:color="auto"/>
          </w:divBdr>
          <w:divsChild>
            <w:div w:id="937560006">
              <w:marLeft w:val="0"/>
              <w:marRight w:val="0"/>
              <w:marTop w:val="0"/>
              <w:marBottom w:val="0"/>
              <w:divBdr>
                <w:top w:val="none" w:sz="0" w:space="0" w:color="auto"/>
                <w:left w:val="none" w:sz="0" w:space="0" w:color="auto"/>
                <w:bottom w:val="none" w:sz="0" w:space="0" w:color="auto"/>
                <w:right w:val="none" w:sz="0" w:space="0" w:color="auto"/>
              </w:divBdr>
            </w:div>
          </w:divsChild>
        </w:div>
        <w:div w:id="965084545">
          <w:marLeft w:val="0"/>
          <w:marRight w:val="0"/>
          <w:marTop w:val="0"/>
          <w:marBottom w:val="0"/>
          <w:divBdr>
            <w:top w:val="none" w:sz="0" w:space="0" w:color="auto"/>
            <w:left w:val="none" w:sz="0" w:space="0" w:color="auto"/>
            <w:bottom w:val="none" w:sz="0" w:space="0" w:color="auto"/>
            <w:right w:val="none" w:sz="0" w:space="0" w:color="auto"/>
          </w:divBdr>
          <w:divsChild>
            <w:div w:id="639381495">
              <w:marLeft w:val="0"/>
              <w:marRight w:val="0"/>
              <w:marTop w:val="0"/>
              <w:marBottom w:val="0"/>
              <w:divBdr>
                <w:top w:val="none" w:sz="0" w:space="0" w:color="auto"/>
                <w:left w:val="none" w:sz="0" w:space="0" w:color="auto"/>
                <w:bottom w:val="none" w:sz="0" w:space="0" w:color="auto"/>
                <w:right w:val="none" w:sz="0" w:space="0" w:color="auto"/>
              </w:divBdr>
            </w:div>
          </w:divsChild>
        </w:div>
        <w:div w:id="966541918">
          <w:marLeft w:val="0"/>
          <w:marRight w:val="0"/>
          <w:marTop w:val="0"/>
          <w:marBottom w:val="0"/>
          <w:divBdr>
            <w:top w:val="none" w:sz="0" w:space="0" w:color="auto"/>
            <w:left w:val="none" w:sz="0" w:space="0" w:color="auto"/>
            <w:bottom w:val="none" w:sz="0" w:space="0" w:color="auto"/>
            <w:right w:val="none" w:sz="0" w:space="0" w:color="auto"/>
          </w:divBdr>
          <w:divsChild>
            <w:div w:id="2091005887">
              <w:marLeft w:val="0"/>
              <w:marRight w:val="0"/>
              <w:marTop w:val="0"/>
              <w:marBottom w:val="0"/>
              <w:divBdr>
                <w:top w:val="none" w:sz="0" w:space="0" w:color="auto"/>
                <w:left w:val="none" w:sz="0" w:space="0" w:color="auto"/>
                <w:bottom w:val="none" w:sz="0" w:space="0" w:color="auto"/>
                <w:right w:val="none" w:sz="0" w:space="0" w:color="auto"/>
              </w:divBdr>
            </w:div>
          </w:divsChild>
        </w:div>
        <w:div w:id="987367963">
          <w:marLeft w:val="0"/>
          <w:marRight w:val="0"/>
          <w:marTop w:val="0"/>
          <w:marBottom w:val="0"/>
          <w:divBdr>
            <w:top w:val="none" w:sz="0" w:space="0" w:color="auto"/>
            <w:left w:val="none" w:sz="0" w:space="0" w:color="auto"/>
            <w:bottom w:val="none" w:sz="0" w:space="0" w:color="auto"/>
            <w:right w:val="none" w:sz="0" w:space="0" w:color="auto"/>
          </w:divBdr>
          <w:divsChild>
            <w:div w:id="106898840">
              <w:marLeft w:val="0"/>
              <w:marRight w:val="0"/>
              <w:marTop w:val="0"/>
              <w:marBottom w:val="0"/>
              <w:divBdr>
                <w:top w:val="none" w:sz="0" w:space="0" w:color="auto"/>
                <w:left w:val="none" w:sz="0" w:space="0" w:color="auto"/>
                <w:bottom w:val="none" w:sz="0" w:space="0" w:color="auto"/>
                <w:right w:val="none" w:sz="0" w:space="0" w:color="auto"/>
              </w:divBdr>
            </w:div>
          </w:divsChild>
        </w:div>
        <w:div w:id="1113401884">
          <w:marLeft w:val="0"/>
          <w:marRight w:val="0"/>
          <w:marTop w:val="0"/>
          <w:marBottom w:val="0"/>
          <w:divBdr>
            <w:top w:val="none" w:sz="0" w:space="0" w:color="auto"/>
            <w:left w:val="none" w:sz="0" w:space="0" w:color="auto"/>
            <w:bottom w:val="none" w:sz="0" w:space="0" w:color="auto"/>
            <w:right w:val="none" w:sz="0" w:space="0" w:color="auto"/>
          </w:divBdr>
          <w:divsChild>
            <w:div w:id="166404106">
              <w:marLeft w:val="0"/>
              <w:marRight w:val="0"/>
              <w:marTop w:val="0"/>
              <w:marBottom w:val="0"/>
              <w:divBdr>
                <w:top w:val="none" w:sz="0" w:space="0" w:color="auto"/>
                <w:left w:val="none" w:sz="0" w:space="0" w:color="auto"/>
                <w:bottom w:val="none" w:sz="0" w:space="0" w:color="auto"/>
                <w:right w:val="none" w:sz="0" w:space="0" w:color="auto"/>
              </w:divBdr>
            </w:div>
          </w:divsChild>
        </w:div>
        <w:div w:id="1132596749">
          <w:marLeft w:val="0"/>
          <w:marRight w:val="0"/>
          <w:marTop w:val="0"/>
          <w:marBottom w:val="0"/>
          <w:divBdr>
            <w:top w:val="none" w:sz="0" w:space="0" w:color="auto"/>
            <w:left w:val="none" w:sz="0" w:space="0" w:color="auto"/>
            <w:bottom w:val="none" w:sz="0" w:space="0" w:color="auto"/>
            <w:right w:val="none" w:sz="0" w:space="0" w:color="auto"/>
          </w:divBdr>
          <w:divsChild>
            <w:div w:id="953907984">
              <w:marLeft w:val="0"/>
              <w:marRight w:val="0"/>
              <w:marTop w:val="0"/>
              <w:marBottom w:val="0"/>
              <w:divBdr>
                <w:top w:val="none" w:sz="0" w:space="0" w:color="auto"/>
                <w:left w:val="none" w:sz="0" w:space="0" w:color="auto"/>
                <w:bottom w:val="none" w:sz="0" w:space="0" w:color="auto"/>
                <w:right w:val="none" w:sz="0" w:space="0" w:color="auto"/>
              </w:divBdr>
            </w:div>
          </w:divsChild>
        </w:div>
        <w:div w:id="1134835527">
          <w:marLeft w:val="0"/>
          <w:marRight w:val="0"/>
          <w:marTop w:val="0"/>
          <w:marBottom w:val="0"/>
          <w:divBdr>
            <w:top w:val="none" w:sz="0" w:space="0" w:color="auto"/>
            <w:left w:val="none" w:sz="0" w:space="0" w:color="auto"/>
            <w:bottom w:val="none" w:sz="0" w:space="0" w:color="auto"/>
            <w:right w:val="none" w:sz="0" w:space="0" w:color="auto"/>
          </w:divBdr>
          <w:divsChild>
            <w:div w:id="251396972">
              <w:marLeft w:val="0"/>
              <w:marRight w:val="0"/>
              <w:marTop w:val="0"/>
              <w:marBottom w:val="0"/>
              <w:divBdr>
                <w:top w:val="none" w:sz="0" w:space="0" w:color="auto"/>
                <w:left w:val="none" w:sz="0" w:space="0" w:color="auto"/>
                <w:bottom w:val="none" w:sz="0" w:space="0" w:color="auto"/>
                <w:right w:val="none" w:sz="0" w:space="0" w:color="auto"/>
              </w:divBdr>
            </w:div>
          </w:divsChild>
        </w:div>
        <w:div w:id="1160192930">
          <w:marLeft w:val="0"/>
          <w:marRight w:val="0"/>
          <w:marTop w:val="0"/>
          <w:marBottom w:val="0"/>
          <w:divBdr>
            <w:top w:val="none" w:sz="0" w:space="0" w:color="auto"/>
            <w:left w:val="none" w:sz="0" w:space="0" w:color="auto"/>
            <w:bottom w:val="none" w:sz="0" w:space="0" w:color="auto"/>
            <w:right w:val="none" w:sz="0" w:space="0" w:color="auto"/>
          </w:divBdr>
          <w:divsChild>
            <w:div w:id="152184580">
              <w:marLeft w:val="0"/>
              <w:marRight w:val="0"/>
              <w:marTop w:val="0"/>
              <w:marBottom w:val="0"/>
              <w:divBdr>
                <w:top w:val="none" w:sz="0" w:space="0" w:color="auto"/>
                <w:left w:val="none" w:sz="0" w:space="0" w:color="auto"/>
                <w:bottom w:val="none" w:sz="0" w:space="0" w:color="auto"/>
                <w:right w:val="none" w:sz="0" w:space="0" w:color="auto"/>
              </w:divBdr>
            </w:div>
          </w:divsChild>
        </w:div>
        <w:div w:id="1175455534">
          <w:marLeft w:val="0"/>
          <w:marRight w:val="0"/>
          <w:marTop w:val="0"/>
          <w:marBottom w:val="0"/>
          <w:divBdr>
            <w:top w:val="none" w:sz="0" w:space="0" w:color="auto"/>
            <w:left w:val="none" w:sz="0" w:space="0" w:color="auto"/>
            <w:bottom w:val="none" w:sz="0" w:space="0" w:color="auto"/>
            <w:right w:val="none" w:sz="0" w:space="0" w:color="auto"/>
          </w:divBdr>
          <w:divsChild>
            <w:div w:id="323243886">
              <w:marLeft w:val="0"/>
              <w:marRight w:val="0"/>
              <w:marTop w:val="0"/>
              <w:marBottom w:val="0"/>
              <w:divBdr>
                <w:top w:val="none" w:sz="0" w:space="0" w:color="auto"/>
                <w:left w:val="none" w:sz="0" w:space="0" w:color="auto"/>
                <w:bottom w:val="none" w:sz="0" w:space="0" w:color="auto"/>
                <w:right w:val="none" w:sz="0" w:space="0" w:color="auto"/>
              </w:divBdr>
            </w:div>
          </w:divsChild>
        </w:div>
        <w:div w:id="1234583191">
          <w:marLeft w:val="0"/>
          <w:marRight w:val="0"/>
          <w:marTop w:val="0"/>
          <w:marBottom w:val="0"/>
          <w:divBdr>
            <w:top w:val="none" w:sz="0" w:space="0" w:color="auto"/>
            <w:left w:val="none" w:sz="0" w:space="0" w:color="auto"/>
            <w:bottom w:val="none" w:sz="0" w:space="0" w:color="auto"/>
            <w:right w:val="none" w:sz="0" w:space="0" w:color="auto"/>
          </w:divBdr>
          <w:divsChild>
            <w:div w:id="741413481">
              <w:marLeft w:val="0"/>
              <w:marRight w:val="0"/>
              <w:marTop w:val="0"/>
              <w:marBottom w:val="0"/>
              <w:divBdr>
                <w:top w:val="none" w:sz="0" w:space="0" w:color="auto"/>
                <w:left w:val="none" w:sz="0" w:space="0" w:color="auto"/>
                <w:bottom w:val="none" w:sz="0" w:space="0" w:color="auto"/>
                <w:right w:val="none" w:sz="0" w:space="0" w:color="auto"/>
              </w:divBdr>
            </w:div>
          </w:divsChild>
        </w:div>
        <w:div w:id="1266768667">
          <w:marLeft w:val="0"/>
          <w:marRight w:val="0"/>
          <w:marTop w:val="0"/>
          <w:marBottom w:val="0"/>
          <w:divBdr>
            <w:top w:val="none" w:sz="0" w:space="0" w:color="auto"/>
            <w:left w:val="none" w:sz="0" w:space="0" w:color="auto"/>
            <w:bottom w:val="none" w:sz="0" w:space="0" w:color="auto"/>
            <w:right w:val="none" w:sz="0" w:space="0" w:color="auto"/>
          </w:divBdr>
          <w:divsChild>
            <w:div w:id="1398866092">
              <w:marLeft w:val="0"/>
              <w:marRight w:val="0"/>
              <w:marTop w:val="0"/>
              <w:marBottom w:val="0"/>
              <w:divBdr>
                <w:top w:val="none" w:sz="0" w:space="0" w:color="auto"/>
                <w:left w:val="none" w:sz="0" w:space="0" w:color="auto"/>
                <w:bottom w:val="none" w:sz="0" w:space="0" w:color="auto"/>
                <w:right w:val="none" w:sz="0" w:space="0" w:color="auto"/>
              </w:divBdr>
            </w:div>
          </w:divsChild>
        </w:div>
        <w:div w:id="1306619599">
          <w:marLeft w:val="0"/>
          <w:marRight w:val="0"/>
          <w:marTop w:val="0"/>
          <w:marBottom w:val="0"/>
          <w:divBdr>
            <w:top w:val="none" w:sz="0" w:space="0" w:color="auto"/>
            <w:left w:val="none" w:sz="0" w:space="0" w:color="auto"/>
            <w:bottom w:val="none" w:sz="0" w:space="0" w:color="auto"/>
            <w:right w:val="none" w:sz="0" w:space="0" w:color="auto"/>
          </w:divBdr>
          <w:divsChild>
            <w:div w:id="249386696">
              <w:marLeft w:val="0"/>
              <w:marRight w:val="0"/>
              <w:marTop w:val="0"/>
              <w:marBottom w:val="0"/>
              <w:divBdr>
                <w:top w:val="none" w:sz="0" w:space="0" w:color="auto"/>
                <w:left w:val="none" w:sz="0" w:space="0" w:color="auto"/>
                <w:bottom w:val="none" w:sz="0" w:space="0" w:color="auto"/>
                <w:right w:val="none" w:sz="0" w:space="0" w:color="auto"/>
              </w:divBdr>
            </w:div>
          </w:divsChild>
        </w:div>
        <w:div w:id="1346789406">
          <w:marLeft w:val="0"/>
          <w:marRight w:val="0"/>
          <w:marTop w:val="0"/>
          <w:marBottom w:val="0"/>
          <w:divBdr>
            <w:top w:val="none" w:sz="0" w:space="0" w:color="auto"/>
            <w:left w:val="none" w:sz="0" w:space="0" w:color="auto"/>
            <w:bottom w:val="none" w:sz="0" w:space="0" w:color="auto"/>
            <w:right w:val="none" w:sz="0" w:space="0" w:color="auto"/>
          </w:divBdr>
          <w:divsChild>
            <w:div w:id="421992502">
              <w:marLeft w:val="0"/>
              <w:marRight w:val="0"/>
              <w:marTop w:val="0"/>
              <w:marBottom w:val="0"/>
              <w:divBdr>
                <w:top w:val="none" w:sz="0" w:space="0" w:color="auto"/>
                <w:left w:val="none" w:sz="0" w:space="0" w:color="auto"/>
                <w:bottom w:val="none" w:sz="0" w:space="0" w:color="auto"/>
                <w:right w:val="none" w:sz="0" w:space="0" w:color="auto"/>
              </w:divBdr>
            </w:div>
          </w:divsChild>
        </w:div>
        <w:div w:id="1449742059">
          <w:marLeft w:val="0"/>
          <w:marRight w:val="0"/>
          <w:marTop w:val="0"/>
          <w:marBottom w:val="0"/>
          <w:divBdr>
            <w:top w:val="none" w:sz="0" w:space="0" w:color="auto"/>
            <w:left w:val="none" w:sz="0" w:space="0" w:color="auto"/>
            <w:bottom w:val="none" w:sz="0" w:space="0" w:color="auto"/>
            <w:right w:val="none" w:sz="0" w:space="0" w:color="auto"/>
          </w:divBdr>
          <w:divsChild>
            <w:div w:id="1950579139">
              <w:marLeft w:val="0"/>
              <w:marRight w:val="0"/>
              <w:marTop w:val="0"/>
              <w:marBottom w:val="0"/>
              <w:divBdr>
                <w:top w:val="none" w:sz="0" w:space="0" w:color="auto"/>
                <w:left w:val="none" w:sz="0" w:space="0" w:color="auto"/>
                <w:bottom w:val="none" w:sz="0" w:space="0" w:color="auto"/>
                <w:right w:val="none" w:sz="0" w:space="0" w:color="auto"/>
              </w:divBdr>
            </w:div>
          </w:divsChild>
        </w:div>
        <w:div w:id="1465197297">
          <w:marLeft w:val="0"/>
          <w:marRight w:val="0"/>
          <w:marTop w:val="0"/>
          <w:marBottom w:val="0"/>
          <w:divBdr>
            <w:top w:val="none" w:sz="0" w:space="0" w:color="auto"/>
            <w:left w:val="none" w:sz="0" w:space="0" w:color="auto"/>
            <w:bottom w:val="none" w:sz="0" w:space="0" w:color="auto"/>
            <w:right w:val="none" w:sz="0" w:space="0" w:color="auto"/>
          </w:divBdr>
          <w:divsChild>
            <w:div w:id="983966678">
              <w:marLeft w:val="0"/>
              <w:marRight w:val="0"/>
              <w:marTop w:val="0"/>
              <w:marBottom w:val="0"/>
              <w:divBdr>
                <w:top w:val="none" w:sz="0" w:space="0" w:color="auto"/>
                <w:left w:val="none" w:sz="0" w:space="0" w:color="auto"/>
                <w:bottom w:val="none" w:sz="0" w:space="0" w:color="auto"/>
                <w:right w:val="none" w:sz="0" w:space="0" w:color="auto"/>
              </w:divBdr>
            </w:div>
          </w:divsChild>
        </w:div>
        <w:div w:id="1469938327">
          <w:marLeft w:val="0"/>
          <w:marRight w:val="0"/>
          <w:marTop w:val="0"/>
          <w:marBottom w:val="0"/>
          <w:divBdr>
            <w:top w:val="none" w:sz="0" w:space="0" w:color="auto"/>
            <w:left w:val="none" w:sz="0" w:space="0" w:color="auto"/>
            <w:bottom w:val="none" w:sz="0" w:space="0" w:color="auto"/>
            <w:right w:val="none" w:sz="0" w:space="0" w:color="auto"/>
          </w:divBdr>
          <w:divsChild>
            <w:div w:id="703213553">
              <w:marLeft w:val="0"/>
              <w:marRight w:val="0"/>
              <w:marTop w:val="0"/>
              <w:marBottom w:val="0"/>
              <w:divBdr>
                <w:top w:val="none" w:sz="0" w:space="0" w:color="auto"/>
                <w:left w:val="none" w:sz="0" w:space="0" w:color="auto"/>
                <w:bottom w:val="none" w:sz="0" w:space="0" w:color="auto"/>
                <w:right w:val="none" w:sz="0" w:space="0" w:color="auto"/>
              </w:divBdr>
            </w:div>
          </w:divsChild>
        </w:div>
        <w:div w:id="1484737679">
          <w:marLeft w:val="0"/>
          <w:marRight w:val="0"/>
          <w:marTop w:val="0"/>
          <w:marBottom w:val="0"/>
          <w:divBdr>
            <w:top w:val="none" w:sz="0" w:space="0" w:color="auto"/>
            <w:left w:val="none" w:sz="0" w:space="0" w:color="auto"/>
            <w:bottom w:val="none" w:sz="0" w:space="0" w:color="auto"/>
            <w:right w:val="none" w:sz="0" w:space="0" w:color="auto"/>
          </w:divBdr>
          <w:divsChild>
            <w:div w:id="6369729">
              <w:marLeft w:val="0"/>
              <w:marRight w:val="0"/>
              <w:marTop w:val="0"/>
              <w:marBottom w:val="0"/>
              <w:divBdr>
                <w:top w:val="none" w:sz="0" w:space="0" w:color="auto"/>
                <w:left w:val="none" w:sz="0" w:space="0" w:color="auto"/>
                <w:bottom w:val="none" w:sz="0" w:space="0" w:color="auto"/>
                <w:right w:val="none" w:sz="0" w:space="0" w:color="auto"/>
              </w:divBdr>
            </w:div>
          </w:divsChild>
        </w:div>
        <w:div w:id="1513183622">
          <w:marLeft w:val="0"/>
          <w:marRight w:val="0"/>
          <w:marTop w:val="0"/>
          <w:marBottom w:val="0"/>
          <w:divBdr>
            <w:top w:val="none" w:sz="0" w:space="0" w:color="auto"/>
            <w:left w:val="none" w:sz="0" w:space="0" w:color="auto"/>
            <w:bottom w:val="none" w:sz="0" w:space="0" w:color="auto"/>
            <w:right w:val="none" w:sz="0" w:space="0" w:color="auto"/>
          </w:divBdr>
          <w:divsChild>
            <w:div w:id="1544248619">
              <w:marLeft w:val="0"/>
              <w:marRight w:val="0"/>
              <w:marTop w:val="0"/>
              <w:marBottom w:val="0"/>
              <w:divBdr>
                <w:top w:val="none" w:sz="0" w:space="0" w:color="auto"/>
                <w:left w:val="none" w:sz="0" w:space="0" w:color="auto"/>
                <w:bottom w:val="none" w:sz="0" w:space="0" w:color="auto"/>
                <w:right w:val="none" w:sz="0" w:space="0" w:color="auto"/>
              </w:divBdr>
            </w:div>
          </w:divsChild>
        </w:div>
        <w:div w:id="1569805221">
          <w:marLeft w:val="0"/>
          <w:marRight w:val="0"/>
          <w:marTop w:val="0"/>
          <w:marBottom w:val="0"/>
          <w:divBdr>
            <w:top w:val="none" w:sz="0" w:space="0" w:color="auto"/>
            <w:left w:val="none" w:sz="0" w:space="0" w:color="auto"/>
            <w:bottom w:val="none" w:sz="0" w:space="0" w:color="auto"/>
            <w:right w:val="none" w:sz="0" w:space="0" w:color="auto"/>
          </w:divBdr>
          <w:divsChild>
            <w:div w:id="1281297995">
              <w:marLeft w:val="0"/>
              <w:marRight w:val="0"/>
              <w:marTop w:val="0"/>
              <w:marBottom w:val="0"/>
              <w:divBdr>
                <w:top w:val="none" w:sz="0" w:space="0" w:color="auto"/>
                <w:left w:val="none" w:sz="0" w:space="0" w:color="auto"/>
                <w:bottom w:val="none" w:sz="0" w:space="0" w:color="auto"/>
                <w:right w:val="none" w:sz="0" w:space="0" w:color="auto"/>
              </w:divBdr>
            </w:div>
          </w:divsChild>
        </w:div>
        <w:div w:id="1692609581">
          <w:marLeft w:val="0"/>
          <w:marRight w:val="0"/>
          <w:marTop w:val="0"/>
          <w:marBottom w:val="0"/>
          <w:divBdr>
            <w:top w:val="none" w:sz="0" w:space="0" w:color="auto"/>
            <w:left w:val="none" w:sz="0" w:space="0" w:color="auto"/>
            <w:bottom w:val="none" w:sz="0" w:space="0" w:color="auto"/>
            <w:right w:val="none" w:sz="0" w:space="0" w:color="auto"/>
          </w:divBdr>
          <w:divsChild>
            <w:div w:id="804392009">
              <w:marLeft w:val="0"/>
              <w:marRight w:val="0"/>
              <w:marTop w:val="0"/>
              <w:marBottom w:val="0"/>
              <w:divBdr>
                <w:top w:val="none" w:sz="0" w:space="0" w:color="auto"/>
                <w:left w:val="none" w:sz="0" w:space="0" w:color="auto"/>
                <w:bottom w:val="none" w:sz="0" w:space="0" w:color="auto"/>
                <w:right w:val="none" w:sz="0" w:space="0" w:color="auto"/>
              </w:divBdr>
            </w:div>
          </w:divsChild>
        </w:div>
        <w:div w:id="1707217829">
          <w:marLeft w:val="0"/>
          <w:marRight w:val="0"/>
          <w:marTop w:val="0"/>
          <w:marBottom w:val="0"/>
          <w:divBdr>
            <w:top w:val="none" w:sz="0" w:space="0" w:color="auto"/>
            <w:left w:val="none" w:sz="0" w:space="0" w:color="auto"/>
            <w:bottom w:val="none" w:sz="0" w:space="0" w:color="auto"/>
            <w:right w:val="none" w:sz="0" w:space="0" w:color="auto"/>
          </w:divBdr>
          <w:divsChild>
            <w:div w:id="331301548">
              <w:marLeft w:val="0"/>
              <w:marRight w:val="0"/>
              <w:marTop w:val="0"/>
              <w:marBottom w:val="0"/>
              <w:divBdr>
                <w:top w:val="none" w:sz="0" w:space="0" w:color="auto"/>
                <w:left w:val="none" w:sz="0" w:space="0" w:color="auto"/>
                <w:bottom w:val="none" w:sz="0" w:space="0" w:color="auto"/>
                <w:right w:val="none" w:sz="0" w:space="0" w:color="auto"/>
              </w:divBdr>
            </w:div>
          </w:divsChild>
        </w:div>
        <w:div w:id="1752238638">
          <w:marLeft w:val="0"/>
          <w:marRight w:val="0"/>
          <w:marTop w:val="0"/>
          <w:marBottom w:val="0"/>
          <w:divBdr>
            <w:top w:val="none" w:sz="0" w:space="0" w:color="auto"/>
            <w:left w:val="none" w:sz="0" w:space="0" w:color="auto"/>
            <w:bottom w:val="none" w:sz="0" w:space="0" w:color="auto"/>
            <w:right w:val="none" w:sz="0" w:space="0" w:color="auto"/>
          </w:divBdr>
          <w:divsChild>
            <w:div w:id="815604654">
              <w:marLeft w:val="0"/>
              <w:marRight w:val="0"/>
              <w:marTop w:val="0"/>
              <w:marBottom w:val="0"/>
              <w:divBdr>
                <w:top w:val="none" w:sz="0" w:space="0" w:color="auto"/>
                <w:left w:val="none" w:sz="0" w:space="0" w:color="auto"/>
                <w:bottom w:val="none" w:sz="0" w:space="0" w:color="auto"/>
                <w:right w:val="none" w:sz="0" w:space="0" w:color="auto"/>
              </w:divBdr>
            </w:div>
          </w:divsChild>
        </w:div>
        <w:div w:id="1756003623">
          <w:marLeft w:val="0"/>
          <w:marRight w:val="0"/>
          <w:marTop w:val="0"/>
          <w:marBottom w:val="0"/>
          <w:divBdr>
            <w:top w:val="none" w:sz="0" w:space="0" w:color="auto"/>
            <w:left w:val="none" w:sz="0" w:space="0" w:color="auto"/>
            <w:bottom w:val="none" w:sz="0" w:space="0" w:color="auto"/>
            <w:right w:val="none" w:sz="0" w:space="0" w:color="auto"/>
          </w:divBdr>
          <w:divsChild>
            <w:div w:id="1066953108">
              <w:marLeft w:val="0"/>
              <w:marRight w:val="0"/>
              <w:marTop w:val="0"/>
              <w:marBottom w:val="0"/>
              <w:divBdr>
                <w:top w:val="none" w:sz="0" w:space="0" w:color="auto"/>
                <w:left w:val="none" w:sz="0" w:space="0" w:color="auto"/>
                <w:bottom w:val="none" w:sz="0" w:space="0" w:color="auto"/>
                <w:right w:val="none" w:sz="0" w:space="0" w:color="auto"/>
              </w:divBdr>
            </w:div>
          </w:divsChild>
        </w:div>
        <w:div w:id="1756510991">
          <w:marLeft w:val="0"/>
          <w:marRight w:val="0"/>
          <w:marTop w:val="0"/>
          <w:marBottom w:val="0"/>
          <w:divBdr>
            <w:top w:val="none" w:sz="0" w:space="0" w:color="auto"/>
            <w:left w:val="none" w:sz="0" w:space="0" w:color="auto"/>
            <w:bottom w:val="none" w:sz="0" w:space="0" w:color="auto"/>
            <w:right w:val="none" w:sz="0" w:space="0" w:color="auto"/>
          </w:divBdr>
          <w:divsChild>
            <w:div w:id="36008170">
              <w:marLeft w:val="0"/>
              <w:marRight w:val="0"/>
              <w:marTop w:val="0"/>
              <w:marBottom w:val="0"/>
              <w:divBdr>
                <w:top w:val="none" w:sz="0" w:space="0" w:color="auto"/>
                <w:left w:val="none" w:sz="0" w:space="0" w:color="auto"/>
                <w:bottom w:val="none" w:sz="0" w:space="0" w:color="auto"/>
                <w:right w:val="none" w:sz="0" w:space="0" w:color="auto"/>
              </w:divBdr>
            </w:div>
          </w:divsChild>
        </w:div>
        <w:div w:id="1778020979">
          <w:marLeft w:val="0"/>
          <w:marRight w:val="0"/>
          <w:marTop w:val="0"/>
          <w:marBottom w:val="0"/>
          <w:divBdr>
            <w:top w:val="none" w:sz="0" w:space="0" w:color="auto"/>
            <w:left w:val="none" w:sz="0" w:space="0" w:color="auto"/>
            <w:bottom w:val="none" w:sz="0" w:space="0" w:color="auto"/>
            <w:right w:val="none" w:sz="0" w:space="0" w:color="auto"/>
          </w:divBdr>
          <w:divsChild>
            <w:div w:id="416824824">
              <w:marLeft w:val="0"/>
              <w:marRight w:val="0"/>
              <w:marTop w:val="0"/>
              <w:marBottom w:val="0"/>
              <w:divBdr>
                <w:top w:val="none" w:sz="0" w:space="0" w:color="auto"/>
                <w:left w:val="none" w:sz="0" w:space="0" w:color="auto"/>
                <w:bottom w:val="none" w:sz="0" w:space="0" w:color="auto"/>
                <w:right w:val="none" w:sz="0" w:space="0" w:color="auto"/>
              </w:divBdr>
            </w:div>
          </w:divsChild>
        </w:div>
        <w:div w:id="1806043187">
          <w:marLeft w:val="0"/>
          <w:marRight w:val="0"/>
          <w:marTop w:val="0"/>
          <w:marBottom w:val="0"/>
          <w:divBdr>
            <w:top w:val="none" w:sz="0" w:space="0" w:color="auto"/>
            <w:left w:val="none" w:sz="0" w:space="0" w:color="auto"/>
            <w:bottom w:val="none" w:sz="0" w:space="0" w:color="auto"/>
            <w:right w:val="none" w:sz="0" w:space="0" w:color="auto"/>
          </w:divBdr>
          <w:divsChild>
            <w:div w:id="1553031034">
              <w:marLeft w:val="0"/>
              <w:marRight w:val="0"/>
              <w:marTop w:val="0"/>
              <w:marBottom w:val="0"/>
              <w:divBdr>
                <w:top w:val="none" w:sz="0" w:space="0" w:color="auto"/>
                <w:left w:val="none" w:sz="0" w:space="0" w:color="auto"/>
                <w:bottom w:val="none" w:sz="0" w:space="0" w:color="auto"/>
                <w:right w:val="none" w:sz="0" w:space="0" w:color="auto"/>
              </w:divBdr>
            </w:div>
          </w:divsChild>
        </w:div>
        <w:div w:id="1840389856">
          <w:marLeft w:val="0"/>
          <w:marRight w:val="0"/>
          <w:marTop w:val="0"/>
          <w:marBottom w:val="0"/>
          <w:divBdr>
            <w:top w:val="none" w:sz="0" w:space="0" w:color="auto"/>
            <w:left w:val="none" w:sz="0" w:space="0" w:color="auto"/>
            <w:bottom w:val="none" w:sz="0" w:space="0" w:color="auto"/>
            <w:right w:val="none" w:sz="0" w:space="0" w:color="auto"/>
          </w:divBdr>
          <w:divsChild>
            <w:div w:id="617028349">
              <w:marLeft w:val="0"/>
              <w:marRight w:val="0"/>
              <w:marTop w:val="0"/>
              <w:marBottom w:val="0"/>
              <w:divBdr>
                <w:top w:val="none" w:sz="0" w:space="0" w:color="auto"/>
                <w:left w:val="none" w:sz="0" w:space="0" w:color="auto"/>
                <w:bottom w:val="none" w:sz="0" w:space="0" w:color="auto"/>
                <w:right w:val="none" w:sz="0" w:space="0" w:color="auto"/>
              </w:divBdr>
            </w:div>
          </w:divsChild>
        </w:div>
        <w:div w:id="1904633787">
          <w:marLeft w:val="0"/>
          <w:marRight w:val="0"/>
          <w:marTop w:val="0"/>
          <w:marBottom w:val="0"/>
          <w:divBdr>
            <w:top w:val="none" w:sz="0" w:space="0" w:color="auto"/>
            <w:left w:val="none" w:sz="0" w:space="0" w:color="auto"/>
            <w:bottom w:val="none" w:sz="0" w:space="0" w:color="auto"/>
            <w:right w:val="none" w:sz="0" w:space="0" w:color="auto"/>
          </w:divBdr>
          <w:divsChild>
            <w:div w:id="1184629022">
              <w:marLeft w:val="0"/>
              <w:marRight w:val="0"/>
              <w:marTop w:val="0"/>
              <w:marBottom w:val="0"/>
              <w:divBdr>
                <w:top w:val="none" w:sz="0" w:space="0" w:color="auto"/>
                <w:left w:val="none" w:sz="0" w:space="0" w:color="auto"/>
                <w:bottom w:val="none" w:sz="0" w:space="0" w:color="auto"/>
                <w:right w:val="none" w:sz="0" w:space="0" w:color="auto"/>
              </w:divBdr>
            </w:div>
          </w:divsChild>
        </w:div>
        <w:div w:id="1905677108">
          <w:marLeft w:val="0"/>
          <w:marRight w:val="0"/>
          <w:marTop w:val="0"/>
          <w:marBottom w:val="0"/>
          <w:divBdr>
            <w:top w:val="none" w:sz="0" w:space="0" w:color="auto"/>
            <w:left w:val="none" w:sz="0" w:space="0" w:color="auto"/>
            <w:bottom w:val="none" w:sz="0" w:space="0" w:color="auto"/>
            <w:right w:val="none" w:sz="0" w:space="0" w:color="auto"/>
          </w:divBdr>
          <w:divsChild>
            <w:div w:id="180628543">
              <w:marLeft w:val="0"/>
              <w:marRight w:val="0"/>
              <w:marTop w:val="0"/>
              <w:marBottom w:val="0"/>
              <w:divBdr>
                <w:top w:val="none" w:sz="0" w:space="0" w:color="auto"/>
                <w:left w:val="none" w:sz="0" w:space="0" w:color="auto"/>
                <w:bottom w:val="none" w:sz="0" w:space="0" w:color="auto"/>
                <w:right w:val="none" w:sz="0" w:space="0" w:color="auto"/>
              </w:divBdr>
            </w:div>
          </w:divsChild>
        </w:div>
        <w:div w:id="1966885946">
          <w:marLeft w:val="0"/>
          <w:marRight w:val="0"/>
          <w:marTop w:val="0"/>
          <w:marBottom w:val="0"/>
          <w:divBdr>
            <w:top w:val="none" w:sz="0" w:space="0" w:color="auto"/>
            <w:left w:val="none" w:sz="0" w:space="0" w:color="auto"/>
            <w:bottom w:val="none" w:sz="0" w:space="0" w:color="auto"/>
            <w:right w:val="none" w:sz="0" w:space="0" w:color="auto"/>
          </w:divBdr>
          <w:divsChild>
            <w:div w:id="298725719">
              <w:marLeft w:val="0"/>
              <w:marRight w:val="0"/>
              <w:marTop w:val="0"/>
              <w:marBottom w:val="0"/>
              <w:divBdr>
                <w:top w:val="none" w:sz="0" w:space="0" w:color="auto"/>
                <w:left w:val="none" w:sz="0" w:space="0" w:color="auto"/>
                <w:bottom w:val="none" w:sz="0" w:space="0" w:color="auto"/>
                <w:right w:val="none" w:sz="0" w:space="0" w:color="auto"/>
              </w:divBdr>
            </w:div>
          </w:divsChild>
        </w:div>
        <w:div w:id="1969044203">
          <w:marLeft w:val="0"/>
          <w:marRight w:val="0"/>
          <w:marTop w:val="0"/>
          <w:marBottom w:val="0"/>
          <w:divBdr>
            <w:top w:val="none" w:sz="0" w:space="0" w:color="auto"/>
            <w:left w:val="none" w:sz="0" w:space="0" w:color="auto"/>
            <w:bottom w:val="none" w:sz="0" w:space="0" w:color="auto"/>
            <w:right w:val="none" w:sz="0" w:space="0" w:color="auto"/>
          </w:divBdr>
          <w:divsChild>
            <w:div w:id="2030182065">
              <w:marLeft w:val="0"/>
              <w:marRight w:val="0"/>
              <w:marTop w:val="0"/>
              <w:marBottom w:val="0"/>
              <w:divBdr>
                <w:top w:val="none" w:sz="0" w:space="0" w:color="auto"/>
                <w:left w:val="none" w:sz="0" w:space="0" w:color="auto"/>
                <w:bottom w:val="none" w:sz="0" w:space="0" w:color="auto"/>
                <w:right w:val="none" w:sz="0" w:space="0" w:color="auto"/>
              </w:divBdr>
            </w:div>
          </w:divsChild>
        </w:div>
        <w:div w:id="2000190496">
          <w:marLeft w:val="0"/>
          <w:marRight w:val="0"/>
          <w:marTop w:val="0"/>
          <w:marBottom w:val="0"/>
          <w:divBdr>
            <w:top w:val="none" w:sz="0" w:space="0" w:color="auto"/>
            <w:left w:val="none" w:sz="0" w:space="0" w:color="auto"/>
            <w:bottom w:val="none" w:sz="0" w:space="0" w:color="auto"/>
            <w:right w:val="none" w:sz="0" w:space="0" w:color="auto"/>
          </w:divBdr>
          <w:divsChild>
            <w:div w:id="765155721">
              <w:marLeft w:val="0"/>
              <w:marRight w:val="0"/>
              <w:marTop w:val="0"/>
              <w:marBottom w:val="0"/>
              <w:divBdr>
                <w:top w:val="none" w:sz="0" w:space="0" w:color="auto"/>
                <w:left w:val="none" w:sz="0" w:space="0" w:color="auto"/>
                <w:bottom w:val="none" w:sz="0" w:space="0" w:color="auto"/>
                <w:right w:val="none" w:sz="0" w:space="0" w:color="auto"/>
              </w:divBdr>
            </w:div>
          </w:divsChild>
        </w:div>
        <w:div w:id="2005235564">
          <w:marLeft w:val="0"/>
          <w:marRight w:val="0"/>
          <w:marTop w:val="0"/>
          <w:marBottom w:val="0"/>
          <w:divBdr>
            <w:top w:val="none" w:sz="0" w:space="0" w:color="auto"/>
            <w:left w:val="none" w:sz="0" w:space="0" w:color="auto"/>
            <w:bottom w:val="none" w:sz="0" w:space="0" w:color="auto"/>
            <w:right w:val="none" w:sz="0" w:space="0" w:color="auto"/>
          </w:divBdr>
          <w:divsChild>
            <w:div w:id="72557200">
              <w:marLeft w:val="0"/>
              <w:marRight w:val="0"/>
              <w:marTop w:val="0"/>
              <w:marBottom w:val="0"/>
              <w:divBdr>
                <w:top w:val="none" w:sz="0" w:space="0" w:color="auto"/>
                <w:left w:val="none" w:sz="0" w:space="0" w:color="auto"/>
                <w:bottom w:val="none" w:sz="0" w:space="0" w:color="auto"/>
                <w:right w:val="none" w:sz="0" w:space="0" w:color="auto"/>
              </w:divBdr>
            </w:div>
          </w:divsChild>
        </w:div>
        <w:div w:id="2008437728">
          <w:marLeft w:val="0"/>
          <w:marRight w:val="0"/>
          <w:marTop w:val="0"/>
          <w:marBottom w:val="0"/>
          <w:divBdr>
            <w:top w:val="none" w:sz="0" w:space="0" w:color="auto"/>
            <w:left w:val="none" w:sz="0" w:space="0" w:color="auto"/>
            <w:bottom w:val="none" w:sz="0" w:space="0" w:color="auto"/>
            <w:right w:val="none" w:sz="0" w:space="0" w:color="auto"/>
          </w:divBdr>
          <w:divsChild>
            <w:div w:id="681396412">
              <w:marLeft w:val="0"/>
              <w:marRight w:val="0"/>
              <w:marTop w:val="0"/>
              <w:marBottom w:val="0"/>
              <w:divBdr>
                <w:top w:val="none" w:sz="0" w:space="0" w:color="auto"/>
                <w:left w:val="none" w:sz="0" w:space="0" w:color="auto"/>
                <w:bottom w:val="none" w:sz="0" w:space="0" w:color="auto"/>
                <w:right w:val="none" w:sz="0" w:space="0" w:color="auto"/>
              </w:divBdr>
            </w:div>
          </w:divsChild>
        </w:div>
        <w:div w:id="2043701276">
          <w:marLeft w:val="0"/>
          <w:marRight w:val="0"/>
          <w:marTop w:val="0"/>
          <w:marBottom w:val="0"/>
          <w:divBdr>
            <w:top w:val="none" w:sz="0" w:space="0" w:color="auto"/>
            <w:left w:val="none" w:sz="0" w:space="0" w:color="auto"/>
            <w:bottom w:val="none" w:sz="0" w:space="0" w:color="auto"/>
            <w:right w:val="none" w:sz="0" w:space="0" w:color="auto"/>
          </w:divBdr>
          <w:divsChild>
            <w:div w:id="185412290">
              <w:marLeft w:val="0"/>
              <w:marRight w:val="0"/>
              <w:marTop w:val="0"/>
              <w:marBottom w:val="0"/>
              <w:divBdr>
                <w:top w:val="none" w:sz="0" w:space="0" w:color="auto"/>
                <w:left w:val="none" w:sz="0" w:space="0" w:color="auto"/>
                <w:bottom w:val="none" w:sz="0" w:space="0" w:color="auto"/>
                <w:right w:val="none" w:sz="0" w:space="0" w:color="auto"/>
              </w:divBdr>
            </w:div>
          </w:divsChild>
        </w:div>
        <w:div w:id="2056585321">
          <w:marLeft w:val="0"/>
          <w:marRight w:val="0"/>
          <w:marTop w:val="0"/>
          <w:marBottom w:val="0"/>
          <w:divBdr>
            <w:top w:val="none" w:sz="0" w:space="0" w:color="auto"/>
            <w:left w:val="none" w:sz="0" w:space="0" w:color="auto"/>
            <w:bottom w:val="none" w:sz="0" w:space="0" w:color="auto"/>
            <w:right w:val="none" w:sz="0" w:space="0" w:color="auto"/>
          </w:divBdr>
          <w:divsChild>
            <w:div w:id="735201261">
              <w:marLeft w:val="0"/>
              <w:marRight w:val="0"/>
              <w:marTop w:val="0"/>
              <w:marBottom w:val="0"/>
              <w:divBdr>
                <w:top w:val="none" w:sz="0" w:space="0" w:color="auto"/>
                <w:left w:val="none" w:sz="0" w:space="0" w:color="auto"/>
                <w:bottom w:val="none" w:sz="0" w:space="0" w:color="auto"/>
                <w:right w:val="none" w:sz="0" w:space="0" w:color="auto"/>
              </w:divBdr>
            </w:div>
          </w:divsChild>
        </w:div>
        <w:div w:id="2065332597">
          <w:marLeft w:val="0"/>
          <w:marRight w:val="0"/>
          <w:marTop w:val="0"/>
          <w:marBottom w:val="0"/>
          <w:divBdr>
            <w:top w:val="none" w:sz="0" w:space="0" w:color="auto"/>
            <w:left w:val="none" w:sz="0" w:space="0" w:color="auto"/>
            <w:bottom w:val="none" w:sz="0" w:space="0" w:color="auto"/>
            <w:right w:val="none" w:sz="0" w:space="0" w:color="auto"/>
          </w:divBdr>
          <w:divsChild>
            <w:div w:id="228393183">
              <w:marLeft w:val="0"/>
              <w:marRight w:val="0"/>
              <w:marTop w:val="0"/>
              <w:marBottom w:val="0"/>
              <w:divBdr>
                <w:top w:val="none" w:sz="0" w:space="0" w:color="auto"/>
                <w:left w:val="none" w:sz="0" w:space="0" w:color="auto"/>
                <w:bottom w:val="none" w:sz="0" w:space="0" w:color="auto"/>
                <w:right w:val="none" w:sz="0" w:space="0" w:color="auto"/>
              </w:divBdr>
            </w:div>
          </w:divsChild>
        </w:div>
        <w:div w:id="2102019637">
          <w:marLeft w:val="0"/>
          <w:marRight w:val="0"/>
          <w:marTop w:val="0"/>
          <w:marBottom w:val="0"/>
          <w:divBdr>
            <w:top w:val="none" w:sz="0" w:space="0" w:color="auto"/>
            <w:left w:val="none" w:sz="0" w:space="0" w:color="auto"/>
            <w:bottom w:val="none" w:sz="0" w:space="0" w:color="auto"/>
            <w:right w:val="none" w:sz="0" w:space="0" w:color="auto"/>
          </w:divBdr>
          <w:divsChild>
            <w:div w:id="121845490">
              <w:marLeft w:val="0"/>
              <w:marRight w:val="0"/>
              <w:marTop w:val="0"/>
              <w:marBottom w:val="0"/>
              <w:divBdr>
                <w:top w:val="none" w:sz="0" w:space="0" w:color="auto"/>
                <w:left w:val="none" w:sz="0" w:space="0" w:color="auto"/>
                <w:bottom w:val="none" w:sz="0" w:space="0" w:color="auto"/>
                <w:right w:val="none" w:sz="0" w:space="0" w:color="auto"/>
              </w:divBdr>
            </w:div>
          </w:divsChild>
        </w:div>
        <w:div w:id="2139567302">
          <w:marLeft w:val="0"/>
          <w:marRight w:val="0"/>
          <w:marTop w:val="0"/>
          <w:marBottom w:val="0"/>
          <w:divBdr>
            <w:top w:val="none" w:sz="0" w:space="0" w:color="auto"/>
            <w:left w:val="none" w:sz="0" w:space="0" w:color="auto"/>
            <w:bottom w:val="none" w:sz="0" w:space="0" w:color="auto"/>
            <w:right w:val="none" w:sz="0" w:space="0" w:color="auto"/>
          </w:divBdr>
          <w:divsChild>
            <w:div w:id="1912494917">
              <w:marLeft w:val="0"/>
              <w:marRight w:val="0"/>
              <w:marTop w:val="0"/>
              <w:marBottom w:val="0"/>
              <w:divBdr>
                <w:top w:val="none" w:sz="0" w:space="0" w:color="auto"/>
                <w:left w:val="none" w:sz="0" w:space="0" w:color="auto"/>
                <w:bottom w:val="none" w:sz="0" w:space="0" w:color="auto"/>
                <w:right w:val="none" w:sz="0" w:space="0" w:color="auto"/>
              </w:divBdr>
            </w:div>
          </w:divsChild>
        </w:div>
        <w:div w:id="2145729630">
          <w:marLeft w:val="0"/>
          <w:marRight w:val="0"/>
          <w:marTop w:val="0"/>
          <w:marBottom w:val="0"/>
          <w:divBdr>
            <w:top w:val="none" w:sz="0" w:space="0" w:color="auto"/>
            <w:left w:val="none" w:sz="0" w:space="0" w:color="auto"/>
            <w:bottom w:val="none" w:sz="0" w:space="0" w:color="auto"/>
            <w:right w:val="none" w:sz="0" w:space="0" w:color="auto"/>
          </w:divBdr>
          <w:divsChild>
            <w:div w:id="9010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4473">
      <w:bodyDiv w:val="1"/>
      <w:marLeft w:val="0"/>
      <w:marRight w:val="0"/>
      <w:marTop w:val="0"/>
      <w:marBottom w:val="0"/>
      <w:divBdr>
        <w:top w:val="none" w:sz="0" w:space="0" w:color="auto"/>
        <w:left w:val="none" w:sz="0" w:space="0" w:color="auto"/>
        <w:bottom w:val="none" w:sz="0" w:space="0" w:color="auto"/>
        <w:right w:val="none" w:sz="0" w:space="0" w:color="auto"/>
      </w:divBdr>
    </w:div>
    <w:div w:id="1347561268">
      <w:bodyDiv w:val="1"/>
      <w:marLeft w:val="0"/>
      <w:marRight w:val="0"/>
      <w:marTop w:val="0"/>
      <w:marBottom w:val="0"/>
      <w:divBdr>
        <w:top w:val="none" w:sz="0" w:space="0" w:color="auto"/>
        <w:left w:val="none" w:sz="0" w:space="0" w:color="auto"/>
        <w:bottom w:val="none" w:sz="0" w:space="0" w:color="auto"/>
        <w:right w:val="none" w:sz="0" w:space="0" w:color="auto"/>
      </w:divBdr>
    </w:div>
    <w:div w:id="1358388401">
      <w:bodyDiv w:val="1"/>
      <w:marLeft w:val="0"/>
      <w:marRight w:val="0"/>
      <w:marTop w:val="0"/>
      <w:marBottom w:val="0"/>
      <w:divBdr>
        <w:top w:val="none" w:sz="0" w:space="0" w:color="auto"/>
        <w:left w:val="none" w:sz="0" w:space="0" w:color="auto"/>
        <w:bottom w:val="none" w:sz="0" w:space="0" w:color="auto"/>
        <w:right w:val="none" w:sz="0" w:space="0" w:color="auto"/>
      </w:divBdr>
    </w:div>
    <w:div w:id="1363750546">
      <w:bodyDiv w:val="1"/>
      <w:marLeft w:val="0"/>
      <w:marRight w:val="0"/>
      <w:marTop w:val="0"/>
      <w:marBottom w:val="0"/>
      <w:divBdr>
        <w:top w:val="none" w:sz="0" w:space="0" w:color="auto"/>
        <w:left w:val="none" w:sz="0" w:space="0" w:color="auto"/>
        <w:bottom w:val="none" w:sz="0" w:space="0" w:color="auto"/>
        <w:right w:val="none" w:sz="0" w:space="0" w:color="auto"/>
      </w:divBdr>
    </w:div>
    <w:div w:id="1366756571">
      <w:bodyDiv w:val="1"/>
      <w:marLeft w:val="0"/>
      <w:marRight w:val="0"/>
      <w:marTop w:val="0"/>
      <w:marBottom w:val="0"/>
      <w:divBdr>
        <w:top w:val="none" w:sz="0" w:space="0" w:color="auto"/>
        <w:left w:val="none" w:sz="0" w:space="0" w:color="auto"/>
        <w:bottom w:val="none" w:sz="0" w:space="0" w:color="auto"/>
        <w:right w:val="none" w:sz="0" w:space="0" w:color="auto"/>
      </w:divBdr>
    </w:div>
    <w:div w:id="1369916359">
      <w:bodyDiv w:val="1"/>
      <w:marLeft w:val="0"/>
      <w:marRight w:val="0"/>
      <w:marTop w:val="0"/>
      <w:marBottom w:val="0"/>
      <w:divBdr>
        <w:top w:val="none" w:sz="0" w:space="0" w:color="auto"/>
        <w:left w:val="none" w:sz="0" w:space="0" w:color="auto"/>
        <w:bottom w:val="none" w:sz="0" w:space="0" w:color="auto"/>
        <w:right w:val="none" w:sz="0" w:space="0" w:color="auto"/>
      </w:divBdr>
    </w:div>
    <w:div w:id="1371224287">
      <w:bodyDiv w:val="1"/>
      <w:marLeft w:val="0"/>
      <w:marRight w:val="0"/>
      <w:marTop w:val="0"/>
      <w:marBottom w:val="0"/>
      <w:divBdr>
        <w:top w:val="none" w:sz="0" w:space="0" w:color="auto"/>
        <w:left w:val="none" w:sz="0" w:space="0" w:color="auto"/>
        <w:bottom w:val="none" w:sz="0" w:space="0" w:color="auto"/>
        <w:right w:val="none" w:sz="0" w:space="0" w:color="auto"/>
      </w:divBdr>
    </w:div>
    <w:div w:id="1376808347">
      <w:bodyDiv w:val="1"/>
      <w:marLeft w:val="0"/>
      <w:marRight w:val="0"/>
      <w:marTop w:val="0"/>
      <w:marBottom w:val="0"/>
      <w:divBdr>
        <w:top w:val="none" w:sz="0" w:space="0" w:color="auto"/>
        <w:left w:val="none" w:sz="0" w:space="0" w:color="auto"/>
        <w:bottom w:val="none" w:sz="0" w:space="0" w:color="auto"/>
        <w:right w:val="none" w:sz="0" w:space="0" w:color="auto"/>
      </w:divBdr>
    </w:div>
    <w:div w:id="1383596668">
      <w:bodyDiv w:val="1"/>
      <w:marLeft w:val="0"/>
      <w:marRight w:val="0"/>
      <w:marTop w:val="0"/>
      <w:marBottom w:val="0"/>
      <w:divBdr>
        <w:top w:val="none" w:sz="0" w:space="0" w:color="auto"/>
        <w:left w:val="none" w:sz="0" w:space="0" w:color="auto"/>
        <w:bottom w:val="none" w:sz="0" w:space="0" w:color="auto"/>
        <w:right w:val="none" w:sz="0" w:space="0" w:color="auto"/>
      </w:divBdr>
    </w:div>
    <w:div w:id="1398743444">
      <w:bodyDiv w:val="1"/>
      <w:marLeft w:val="0"/>
      <w:marRight w:val="0"/>
      <w:marTop w:val="0"/>
      <w:marBottom w:val="0"/>
      <w:divBdr>
        <w:top w:val="none" w:sz="0" w:space="0" w:color="auto"/>
        <w:left w:val="none" w:sz="0" w:space="0" w:color="auto"/>
        <w:bottom w:val="none" w:sz="0" w:space="0" w:color="auto"/>
        <w:right w:val="none" w:sz="0" w:space="0" w:color="auto"/>
      </w:divBdr>
    </w:div>
    <w:div w:id="1413161470">
      <w:bodyDiv w:val="1"/>
      <w:marLeft w:val="0"/>
      <w:marRight w:val="0"/>
      <w:marTop w:val="0"/>
      <w:marBottom w:val="0"/>
      <w:divBdr>
        <w:top w:val="none" w:sz="0" w:space="0" w:color="auto"/>
        <w:left w:val="none" w:sz="0" w:space="0" w:color="auto"/>
        <w:bottom w:val="none" w:sz="0" w:space="0" w:color="auto"/>
        <w:right w:val="none" w:sz="0" w:space="0" w:color="auto"/>
      </w:divBdr>
    </w:div>
    <w:div w:id="1414467963">
      <w:bodyDiv w:val="1"/>
      <w:marLeft w:val="0"/>
      <w:marRight w:val="0"/>
      <w:marTop w:val="0"/>
      <w:marBottom w:val="0"/>
      <w:divBdr>
        <w:top w:val="none" w:sz="0" w:space="0" w:color="auto"/>
        <w:left w:val="none" w:sz="0" w:space="0" w:color="auto"/>
        <w:bottom w:val="none" w:sz="0" w:space="0" w:color="auto"/>
        <w:right w:val="none" w:sz="0" w:space="0" w:color="auto"/>
      </w:divBdr>
    </w:div>
    <w:div w:id="1435711592">
      <w:bodyDiv w:val="1"/>
      <w:marLeft w:val="0"/>
      <w:marRight w:val="0"/>
      <w:marTop w:val="0"/>
      <w:marBottom w:val="0"/>
      <w:divBdr>
        <w:top w:val="none" w:sz="0" w:space="0" w:color="auto"/>
        <w:left w:val="none" w:sz="0" w:space="0" w:color="auto"/>
        <w:bottom w:val="none" w:sz="0" w:space="0" w:color="auto"/>
        <w:right w:val="none" w:sz="0" w:space="0" w:color="auto"/>
      </w:divBdr>
    </w:div>
    <w:div w:id="1437798101">
      <w:bodyDiv w:val="1"/>
      <w:marLeft w:val="0"/>
      <w:marRight w:val="0"/>
      <w:marTop w:val="0"/>
      <w:marBottom w:val="0"/>
      <w:divBdr>
        <w:top w:val="none" w:sz="0" w:space="0" w:color="auto"/>
        <w:left w:val="none" w:sz="0" w:space="0" w:color="auto"/>
        <w:bottom w:val="none" w:sz="0" w:space="0" w:color="auto"/>
        <w:right w:val="none" w:sz="0" w:space="0" w:color="auto"/>
      </w:divBdr>
    </w:div>
    <w:div w:id="1441296689">
      <w:bodyDiv w:val="1"/>
      <w:marLeft w:val="0"/>
      <w:marRight w:val="0"/>
      <w:marTop w:val="0"/>
      <w:marBottom w:val="0"/>
      <w:divBdr>
        <w:top w:val="none" w:sz="0" w:space="0" w:color="auto"/>
        <w:left w:val="none" w:sz="0" w:space="0" w:color="auto"/>
        <w:bottom w:val="none" w:sz="0" w:space="0" w:color="auto"/>
        <w:right w:val="none" w:sz="0" w:space="0" w:color="auto"/>
      </w:divBdr>
      <w:divsChild>
        <w:div w:id="41439970">
          <w:marLeft w:val="0"/>
          <w:marRight w:val="0"/>
          <w:marTop w:val="0"/>
          <w:marBottom w:val="0"/>
          <w:divBdr>
            <w:top w:val="none" w:sz="0" w:space="0" w:color="auto"/>
            <w:left w:val="none" w:sz="0" w:space="0" w:color="auto"/>
            <w:bottom w:val="none" w:sz="0" w:space="0" w:color="auto"/>
            <w:right w:val="none" w:sz="0" w:space="0" w:color="auto"/>
          </w:divBdr>
          <w:divsChild>
            <w:div w:id="711199127">
              <w:marLeft w:val="0"/>
              <w:marRight w:val="0"/>
              <w:marTop w:val="0"/>
              <w:marBottom w:val="0"/>
              <w:divBdr>
                <w:top w:val="none" w:sz="0" w:space="0" w:color="auto"/>
                <w:left w:val="none" w:sz="0" w:space="0" w:color="auto"/>
                <w:bottom w:val="none" w:sz="0" w:space="0" w:color="auto"/>
                <w:right w:val="none" w:sz="0" w:space="0" w:color="auto"/>
              </w:divBdr>
              <w:divsChild>
                <w:div w:id="1154643550">
                  <w:marLeft w:val="0"/>
                  <w:marRight w:val="0"/>
                  <w:marTop w:val="0"/>
                  <w:marBottom w:val="0"/>
                  <w:divBdr>
                    <w:top w:val="none" w:sz="0" w:space="0" w:color="auto"/>
                    <w:left w:val="none" w:sz="0" w:space="0" w:color="auto"/>
                    <w:bottom w:val="none" w:sz="0" w:space="0" w:color="auto"/>
                    <w:right w:val="none" w:sz="0" w:space="0" w:color="auto"/>
                  </w:divBdr>
                  <w:divsChild>
                    <w:div w:id="1637028714">
                      <w:marLeft w:val="0"/>
                      <w:marRight w:val="0"/>
                      <w:marTop w:val="0"/>
                      <w:marBottom w:val="0"/>
                      <w:divBdr>
                        <w:top w:val="none" w:sz="0" w:space="0" w:color="auto"/>
                        <w:left w:val="none" w:sz="0" w:space="0" w:color="auto"/>
                        <w:bottom w:val="none" w:sz="0" w:space="0" w:color="auto"/>
                        <w:right w:val="none" w:sz="0" w:space="0" w:color="auto"/>
                      </w:divBdr>
                      <w:divsChild>
                        <w:div w:id="839125045">
                          <w:marLeft w:val="0"/>
                          <w:marRight w:val="0"/>
                          <w:marTop w:val="0"/>
                          <w:marBottom w:val="0"/>
                          <w:divBdr>
                            <w:top w:val="none" w:sz="0" w:space="0" w:color="auto"/>
                            <w:left w:val="none" w:sz="0" w:space="0" w:color="auto"/>
                            <w:bottom w:val="none" w:sz="0" w:space="0" w:color="auto"/>
                            <w:right w:val="none" w:sz="0" w:space="0" w:color="auto"/>
                          </w:divBdr>
                          <w:divsChild>
                            <w:div w:id="1651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680400">
      <w:bodyDiv w:val="1"/>
      <w:marLeft w:val="0"/>
      <w:marRight w:val="0"/>
      <w:marTop w:val="0"/>
      <w:marBottom w:val="0"/>
      <w:divBdr>
        <w:top w:val="none" w:sz="0" w:space="0" w:color="auto"/>
        <w:left w:val="none" w:sz="0" w:space="0" w:color="auto"/>
        <w:bottom w:val="none" w:sz="0" w:space="0" w:color="auto"/>
        <w:right w:val="none" w:sz="0" w:space="0" w:color="auto"/>
      </w:divBdr>
    </w:div>
    <w:div w:id="1446149709">
      <w:bodyDiv w:val="1"/>
      <w:marLeft w:val="0"/>
      <w:marRight w:val="0"/>
      <w:marTop w:val="0"/>
      <w:marBottom w:val="0"/>
      <w:divBdr>
        <w:top w:val="none" w:sz="0" w:space="0" w:color="auto"/>
        <w:left w:val="none" w:sz="0" w:space="0" w:color="auto"/>
        <w:bottom w:val="none" w:sz="0" w:space="0" w:color="auto"/>
        <w:right w:val="none" w:sz="0" w:space="0" w:color="auto"/>
      </w:divBdr>
    </w:div>
    <w:div w:id="1452633175">
      <w:bodyDiv w:val="1"/>
      <w:marLeft w:val="0"/>
      <w:marRight w:val="0"/>
      <w:marTop w:val="0"/>
      <w:marBottom w:val="0"/>
      <w:divBdr>
        <w:top w:val="none" w:sz="0" w:space="0" w:color="auto"/>
        <w:left w:val="none" w:sz="0" w:space="0" w:color="auto"/>
        <w:bottom w:val="none" w:sz="0" w:space="0" w:color="auto"/>
        <w:right w:val="none" w:sz="0" w:space="0" w:color="auto"/>
      </w:divBdr>
    </w:div>
    <w:div w:id="1457140816">
      <w:bodyDiv w:val="1"/>
      <w:marLeft w:val="0"/>
      <w:marRight w:val="0"/>
      <w:marTop w:val="0"/>
      <w:marBottom w:val="0"/>
      <w:divBdr>
        <w:top w:val="none" w:sz="0" w:space="0" w:color="auto"/>
        <w:left w:val="none" w:sz="0" w:space="0" w:color="auto"/>
        <w:bottom w:val="none" w:sz="0" w:space="0" w:color="auto"/>
        <w:right w:val="none" w:sz="0" w:space="0" w:color="auto"/>
      </w:divBdr>
    </w:div>
    <w:div w:id="1478260735">
      <w:bodyDiv w:val="1"/>
      <w:marLeft w:val="0"/>
      <w:marRight w:val="0"/>
      <w:marTop w:val="0"/>
      <w:marBottom w:val="0"/>
      <w:divBdr>
        <w:top w:val="none" w:sz="0" w:space="0" w:color="auto"/>
        <w:left w:val="none" w:sz="0" w:space="0" w:color="auto"/>
        <w:bottom w:val="none" w:sz="0" w:space="0" w:color="auto"/>
        <w:right w:val="none" w:sz="0" w:space="0" w:color="auto"/>
      </w:divBdr>
    </w:div>
    <w:div w:id="1479767449">
      <w:bodyDiv w:val="1"/>
      <w:marLeft w:val="0"/>
      <w:marRight w:val="0"/>
      <w:marTop w:val="0"/>
      <w:marBottom w:val="0"/>
      <w:divBdr>
        <w:top w:val="none" w:sz="0" w:space="0" w:color="auto"/>
        <w:left w:val="none" w:sz="0" w:space="0" w:color="auto"/>
        <w:bottom w:val="none" w:sz="0" w:space="0" w:color="auto"/>
        <w:right w:val="none" w:sz="0" w:space="0" w:color="auto"/>
      </w:divBdr>
    </w:div>
    <w:div w:id="1479809363">
      <w:bodyDiv w:val="1"/>
      <w:marLeft w:val="0"/>
      <w:marRight w:val="0"/>
      <w:marTop w:val="0"/>
      <w:marBottom w:val="0"/>
      <w:divBdr>
        <w:top w:val="none" w:sz="0" w:space="0" w:color="auto"/>
        <w:left w:val="none" w:sz="0" w:space="0" w:color="auto"/>
        <w:bottom w:val="none" w:sz="0" w:space="0" w:color="auto"/>
        <w:right w:val="none" w:sz="0" w:space="0" w:color="auto"/>
      </w:divBdr>
    </w:div>
    <w:div w:id="1480339963">
      <w:bodyDiv w:val="1"/>
      <w:marLeft w:val="0"/>
      <w:marRight w:val="0"/>
      <w:marTop w:val="0"/>
      <w:marBottom w:val="0"/>
      <w:divBdr>
        <w:top w:val="none" w:sz="0" w:space="0" w:color="auto"/>
        <w:left w:val="none" w:sz="0" w:space="0" w:color="auto"/>
        <w:bottom w:val="none" w:sz="0" w:space="0" w:color="auto"/>
        <w:right w:val="none" w:sz="0" w:space="0" w:color="auto"/>
      </w:divBdr>
    </w:div>
    <w:div w:id="1483767354">
      <w:bodyDiv w:val="1"/>
      <w:marLeft w:val="0"/>
      <w:marRight w:val="0"/>
      <w:marTop w:val="0"/>
      <w:marBottom w:val="0"/>
      <w:divBdr>
        <w:top w:val="none" w:sz="0" w:space="0" w:color="auto"/>
        <w:left w:val="none" w:sz="0" w:space="0" w:color="auto"/>
        <w:bottom w:val="none" w:sz="0" w:space="0" w:color="auto"/>
        <w:right w:val="none" w:sz="0" w:space="0" w:color="auto"/>
      </w:divBdr>
    </w:div>
    <w:div w:id="1492871299">
      <w:bodyDiv w:val="1"/>
      <w:marLeft w:val="0"/>
      <w:marRight w:val="0"/>
      <w:marTop w:val="0"/>
      <w:marBottom w:val="0"/>
      <w:divBdr>
        <w:top w:val="none" w:sz="0" w:space="0" w:color="auto"/>
        <w:left w:val="none" w:sz="0" w:space="0" w:color="auto"/>
        <w:bottom w:val="none" w:sz="0" w:space="0" w:color="auto"/>
        <w:right w:val="none" w:sz="0" w:space="0" w:color="auto"/>
      </w:divBdr>
    </w:div>
    <w:div w:id="1503617883">
      <w:bodyDiv w:val="1"/>
      <w:marLeft w:val="0"/>
      <w:marRight w:val="0"/>
      <w:marTop w:val="0"/>
      <w:marBottom w:val="0"/>
      <w:divBdr>
        <w:top w:val="none" w:sz="0" w:space="0" w:color="auto"/>
        <w:left w:val="none" w:sz="0" w:space="0" w:color="auto"/>
        <w:bottom w:val="none" w:sz="0" w:space="0" w:color="auto"/>
        <w:right w:val="none" w:sz="0" w:space="0" w:color="auto"/>
      </w:divBdr>
    </w:div>
    <w:div w:id="1510291733">
      <w:bodyDiv w:val="1"/>
      <w:marLeft w:val="0"/>
      <w:marRight w:val="0"/>
      <w:marTop w:val="0"/>
      <w:marBottom w:val="0"/>
      <w:divBdr>
        <w:top w:val="none" w:sz="0" w:space="0" w:color="auto"/>
        <w:left w:val="none" w:sz="0" w:space="0" w:color="auto"/>
        <w:bottom w:val="none" w:sz="0" w:space="0" w:color="auto"/>
        <w:right w:val="none" w:sz="0" w:space="0" w:color="auto"/>
      </w:divBdr>
    </w:div>
    <w:div w:id="1538393663">
      <w:bodyDiv w:val="1"/>
      <w:marLeft w:val="0"/>
      <w:marRight w:val="0"/>
      <w:marTop w:val="0"/>
      <w:marBottom w:val="0"/>
      <w:divBdr>
        <w:top w:val="none" w:sz="0" w:space="0" w:color="auto"/>
        <w:left w:val="none" w:sz="0" w:space="0" w:color="auto"/>
        <w:bottom w:val="none" w:sz="0" w:space="0" w:color="auto"/>
        <w:right w:val="none" w:sz="0" w:space="0" w:color="auto"/>
      </w:divBdr>
    </w:div>
    <w:div w:id="1545949103">
      <w:bodyDiv w:val="1"/>
      <w:marLeft w:val="0"/>
      <w:marRight w:val="0"/>
      <w:marTop w:val="0"/>
      <w:marBottom w:val="0"/>
      <w:divBdr>
        <w:top w:val="none" w:sz="0" w:space="0" w:color="auto"/>
        <w:left w:val="none" w:sz="0" w:space="0" w:color="auto"/>
        <w:bottom w:val="none" w:sz="0" w:space="0" w:color="auto"/>
        <w:right w:val="none" w:sz="0" w:space="0" w:color="auto"/>
      </w:divBdr>
    </w:div>
    <w:div w:id="1549953048">
      <w:bodyDiv w:val="1"/>
      <w:marLeft w:val="0"/>
      <w:marRight w:val="0"/>
      <w:marTop w:val="0"/>
      <w:marBottom w:val="0"/>
      <w:divBdr>
        <w:top w:val="none" w:sz="0" w:space="0" w:color="auto"/>
        <w:left w:val="none" w:sz="0" w:space="0" w:color="auto"/>
        <w:bottom w:val="none" w:sz="0" w:space="0" w:color="auto"/>
        <w:right w:val="none" w:sz="0" w:space="0" w:color="auto"/>
      </w:divBdr>
    </w:div>
    <w:div w:id="1551920190">
      <w:bodyDiv w:val="1"/>
      <w:marLeft w:val="0"/>
      <w:marRight w:val="0"/>
      <w:marTop w:val="0"/>
      <w:marBottom w:val="0"/>
      <w:divBdr>
        <w:top w:val="none" w:sz="0" w:space="0" w:color="auto"/>
        <w:left w:val="none" w:sz="0" w:space="0" w:color="auto"/>
        <w:bottom w:val="none" w:sz="0" w:space="0" w:color="auto"/>
        <w:right w:val="none" w:sz="0" w:space="0" w:color="auto"/>
      </w:divBdr>
    </w:div>
    <w:div w:id="1557934467">
      <w:bodyDiv w:val="1"/>
      <w:marLeft w:val="0"/>
      <w:marRight w:val="0"/>
      <w:marTop w:val="0"/>
      <w:marBottom w:val="0"/>
      <w:divBdr>
        <w:top w:val="none" w:sz="0" w:space="0" w:color="auto"/>
        <w:left w:val="none" w:sz="0" w:space="0" w:color="auto"/>
        <w:bottom w:val="none" w:sz="0" w:space="0" w:color="auto"/>
        <w:right w:val="none" w:sz="0" w:space="0" w:color="auto"/>
      </w:divBdr>
    </w:div>
    <w:div w:id="1559826344">
      <w:bodyDiv w:val="1"/>
      <w:marLeft w:val="0"/>
      <w:marRight w:val="0"/>
      <w:marTop w:val="0"/>
      <w:marBottom w:val="0"/>
      <w:divBdr>
        <w:top w:val="none" w:sz="0" w:space="0" w:color="auto"/>
        <w:left w:val="none" w:sz="0" w:space="0" w:color="auto"/>
        <w:bottom w:val="none" w:sz="0" w:space="0" w:color="auto"/>
        <w:right w:val="none" w:sz="0" w:space="0" w:color="auto"/>
      </w:divBdr>
    </w:div>
    <w:div w:id="1564756824">
      <w:bodyDiv w:val="1"/>
      <w:marLeft w:val="0"/>
      <w:marRight w:val="0"/>
      <w:marTop w:val="0"/>
      <w:marBottom w:val="0"/>
      <w:divBdr>
        <w:top w:val="none" w:sz="0" w:space="0" w:color="auto"/>
        <w:left w:val="none" w:sz="0" w:space="0" w:color="auto"/>
        <w:bottom w:val="none" w:sz="0" w:space="0" w:color="auto"/>
        <w:right w:val="none" w:sz="0" w:space="0" w:color="auto"/>
      </w:divBdr>
    </w:div>
    <w:div w:id="1618102601">
      <w:bodyDiv w:val="1"/>
      <w:marLeft w:val="0"/>
      <w:marRight w:val="0"/>
      <w:marTop w:val="0"/>
      <w:marBottom w:val="0"/>
      <w:divBdr>
        <w:top w:val="none" w:sz="0" w:space="0" w:color="auto"/>
        <w:left w:val="none" w:sz="0" w:space="0" w:color="auto"/>
        <w:bottom w:val="none" w:sz="0" w:space="0" w:color="auto"/>
        <w:right w:val="none" w:sz="0" w:space="0" w:color="auto"/>
      </w:divBdr>
    </w:div>
    <w:div w:id="1626890791">
      <w:bodyDiv w:val="1"/>
      <w:marLeft w:val="0"/>
      <w:marRight w:val="0"/>
      <w:marTop w:val="0"/>
      <w:marBottom w:val="0"/>
      <w:divBdr>
        <w:top w:val="none" w:sz="0" w:space="0" w:color="auto"/>
        <w:left w:val="none" w:sz="0" w:space="0" w:color="auto"/>
        <w:bottom w:val="none" w:sz="0" w:space="0" w:color="auto"/>
        <w:right w:val="none" w:sz="0" w:space="0" w:color="auto"/>
      </w:divBdr>
    </w:div>
    <w:div w:id="1632513181">
      <w:bodyDiv w:val="1"/>
      <w:marLeft w:val="0"/>
      <w:marRight w:val="0"/>
      <w:marTop w:val="0"/>
      <w:marBottom w:val="0"/>
      <w:divBdr>
        <w:top w:val="none" w:sz="0" w:space="0" w:color="auto"/>
        <w:left w:val="none" w:sz="0" w:space="0" w:color="auto"/>
        <w:bottom w:val="none" w:sz="0" w:space="0" w:color="auto"/>
        <w:right w:val="none" w:sz="0" w:space="0" w:color="auto"/>
      </w:divBdr>
    </w:div>
    <w:div w:id="1637562008">
      <w:bodyDiv w:val="1"/>
      <w:marLeft w:val="0"/>
      <w:marRight w:val="0"/>
      <w:marTop w:val="0"/>
      <w:marBottom w:val="0"/>
      <w:divBdr>
        <w:top w:val="none" w:sz="0" w:space="0" w:color="auto"/>
        <w:left w:val="none" w:sz="0" w:space="0" w:color="auto"/>
        <w:bottom w:val="none" w:sz="0" w:space="0" w:color="auto"/>
        <w:right w:val="none" w:sz="0" w:space="0" w:color="auto"/>
      </w:divBdr>
    </w:div>
    <w:div w:id="1638416321">
      <w:bodyDiv w:val="1"/>
      <w:marLeft w:val="0"/>
      <w:marRight w:val="0"/>
      <w:marTop w:val="0"/>
      <w:marBottom w:val="0"/>
      <w:divBdr>
        <w:top w:val="none" w:sz="0" w:space="0" w:color="auto"/>
        <w:left w:val="none" w:sz="0" w:space="0" w:color="auto"/>
        <w:bottom w:val="none" w:sz="0" w:space="0" w:color="auto"/>
        <w:right w:val="none" w:sz="0" w:space="0" w:color="auto"/>
      </w:divBdr>
    </w:div>
    <w:div w:id="1663778169">
      <w:bodyDiv w:val="1"/>
      <w:marLeft w:val="0"/>
      <w:marRight w:val="0"/>
      <w:marTop w:val="0"/>
      <w:marBottom w:val="0"/>
      <w:divBdr>
        <w:top w:val="none" w:sz="0" w:space="0" w:color="auto"/>
        <w:left w:val="none" w:sz="0" w:space="0" w:color="auto"/>
        <w:bottom w:val="none" w:sz="0" w:space="0" w:color="auto"/>
        <w:right w:val="none" w:sz="0" w:space="0" w:color="auto"/>
      </w:divBdr>
    </w:div>
    <w:div w:id="1676615069">
      <w:bodyDiv w:val="1"/>
      <w:marLeft w:val="0"/>
      <w:marRight w:val="0"/>
      <w:marTop w:val="0"/>
      <w:marBottom w:val="0"/>
      <w:divBdr>
        <w:top w:val="none" w:sz="0" w:space="0" w:color="auto"/>
        <w:left w:val="none" w:sz="0" w:space="0" w:color="auto"/>
        <w:bottom w:val="none" w:sz="0" w:space="0" w:color="auto"/>
        <w:right w:val="none" w:sz="0" w:space="0" w:color="auto"/>
      </w:divBdr>
    </w:div>
    <w:div w:id="1677997995">
      <w:bodyDiv w:val="1"/>
      <w:marLeft w:val="0"/>
      <w:marRight w:val="0"/>
      <w:marTop w:val="0"/>
      <w:marBottom w:val="0"/>
      <w:divBdr>
        <w:top w:val="none" w:sz="0" w:space="0" w:color="auto"/>
        <w:left w:val="none" w:sz="0" w:space="0" w:color="auto"/>
        <w:bottom w:val="none" w:sz="0" w:space="0" w:color="auto"/>
        <w:right w:val="none" w:sz="0" w:space="0" w:color="auto"/>
      </w:divBdr>
      <w:divsChild>
        <w:div w:id="2030332626">
          <w:marLeft w:val="0"/>
          <w:marRight w:val="0"/>
          <w:marTop w:val="0"/>
          <w:marBottom w:val="0"/>
          <w:divBdr>
            <w:top w:val="none" w:sz="0" w:space="0" w:color="auto"/>
            <w:left w:val="none" w:sz="0" w:space="0" w:color="auto"/>
            <w:bottom w:val="none" w:sz="0" w:space="0" w:color="auto"/>
            <w:right w:val="none" w:sz="0" w:space="0" w:color="auto"/>
          </w:divBdr>
          <w:divsChild>
            <w:div w:id="45444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02945">
      <w:bodyDiv w:val="1"/>
      <w:marLeft w:val="0"/>
      <w:marRight w:val="0"/>
      <w:marTop w:val="0"/>
      <w:marBottom w:val="0"/>
      <w:divBdr>
        <w:top w:val="none" w:sz="0" w:space="0" w:color="auto"/>
        <w:left w:val="none" w:sz="0" w:space="0" w:color="auto"/>
        <w:bottom w:val="none" w:sz="0" w:space="0" w:color="auto"/>
        <w:right w:val="none" w:sz="0" w:space="0" w:color="auto"/>
      </w:divBdr>
      <w:divsChild>
        <w:div w:id="486941724">
          <w:marLeft w:val="0"/>
          <w:marRight w:val="0"/>
          <w:marTop w:val="0"/>
          <w:marBottom w:val="0"/>
          <w:divBdr>
            <w:top w:val="none" w:sz="0" w:space="0" w:color="auto"/>
            <w:left w:val="none" w:sz="0" w:space="0" w:color="auto"/>
            <w:bottom w:val="none" w:sz="0" w:space="0" w:color="auto"/>
            <w:right w:val="none" w:sz="0" w:space="0" w:color="auto"/>
          </w:divBdr>
          <w:divsChild>
            <w:div w:id="1279024289">
              <w:marLeft w:val="0"/>
              <w:marRight w:val="0"/>
              <w:marTop w:val="0"/>
              <w:marBottom w:val="0"/>
              <w:divBdr>
                <w:top w:val="none" w:sz="0" w:space="0" w:color="auto"/>
                <w:left w:val="none" w:sz="0" w:space="0" w:color="auto"/>
                <w:bottom w:val="none" w:sz="0" w:space="0" w:color="auto"/>
                <w:right w:val="none" w:sz="0" w:space="0" w:color="auto"/>
              </w:divBdr>
              <w:divsChild>
                <w:div w:id="280110698">
                  <w:marLeft w:val="0"/>
                  <w:marRight w:val="0"/>
                  <w:marTop w:val="0"/>
                  <w:marBottom w:val="0"/>
                  <w:divBdr>
                    <w:top w:val="none" w:sz="0" w:space="0" w:color="auto"/>
                    <w:left w:val="none" w:sz="0" w:space="0" w:color="auto"/>
                    <w:bottom w:val="none" w:sz="0" w:space="0" w:color="auto"/>
                    <w:right w:val="none" w:sz="0" w:space="0" w:color="auto"/>
                  </w:divBdr>
                  <w:divsChild>
                    <w:div w:id="365107329">
                      <w:marLeft w:val="0"/>
                      <w:marRight w:val="0"/>
                      <w:marTop w:val="0"/>
                      <w:marBottom w:val="0"/>
                      <w:divBdr>
                        <w:top w:val="none" w:sz="0" w:space="0" w:color="auto"/>
                        <w:left w:val="none" w:sz="0" w:space="0" w:color="auto"/>
                        <w:bottom w:val="none" w:sz="0" w:space="0" w:color="auto"/>
                        <w:right w:val="none" w:sz="0" w:space="0" w:color="auto"/>
                      </w:divBdr>
                      <w:divsChild>
                        <w:div w:id="1954165871">
                          <w:marLeft w:val="0"/>
                          <w:marRight w:val="0"/>
                          <w:marTop w:val="0"/>
                          <w:marBottom w:val="0"/>
                          <w:divBdr>
                            <w:top w:val="none" w:sz="0" w:space="0" w:color="auto"/>
                            <w:left w:val="none" w:sz="0" w:space="0" w:color="auto"/>
                            <w:bottom w:val="none" w:sz="0" w:space="0" w:color="auto"/>
                            <w:right w:val="none" w:sz="0" w:space="0" w:color="auto"/>
                          </w:divBdr>
                          <w:divsChild>
                            <w:div w:id="16591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891766">
      <w:bodyDiv w:val="1"/>
      <w:marLeft w:val="0"/>
      <w:marRight w:val="0"/>
      <w:marTop w:val="0"/>
      <w:marBottom w:val="0"/>
      <w:divBdr>
        <w:top w:val="none" w:sz="0" w:space="0" w:color="auto"/>
        <w:left w:val="none" w:sz="0" w:space="0" w:color="auto"/>
        <w:bottom w:val="none" w:sz="0" w:space="0" w:color="auto"/>
        <w:right w:val="none" w:sz="0" w:space="0" w:color="auto"/>
      </w:divBdr>
    </w:div>
    <w:div w:id="1732119785">
      <w:bodyDiv w:val="1"/>
      <w:marLeft w:val="0"/>
      <w:marRight w:val="0"/>
      <w:marTop w:val="0"/>
      <w:marBottom w:val="0"/>
      <w:divBdr>
        <w:top w:val="none" w:sz="0" w:space="0" w:color="auto"/>
        <w:left w:val="none" w:sz="0" w:space="0" w:color="auto"/>
        <w:bottom w:val="none" w:sz="0" w:space="0" w:color="auto"/>
        <w:right w:val="none" w:sz="0" w:space="0" w:color="auto"/>
      </w:divBdr>
      <w:divsChild>
        <w:div w:id="359859626">
          <w:marLeft w:val="0"/>
          <w:marRight w:val="0"/>
          <w:marTop w:val="0"/>
          <w:marBottom w:val="0"/>
          <w:divBdr>
            <w:top w:val="none" w:sz="0" w:space="0" w:color="auto"/>
            <w:left w:val="none" w:sz="0" w:space="0" w:color="auto"/>
            <w:bottom w:val="none" w:sz="0" w:space="0" w:color="auto"/>
            <w:right w:val="none" w:sz="0" w:space="0" w:color="auto"/>
          </w:divBdr>
          <w:divsChild>
            <w:div w:id="104810862">
              <w:marLeft w:val="0"/>
              <w:marRight w:val="0"/>
              <w:marTop w:val="0"/>
              <w:marBottom w:val="0"/>
              <w:divBdr>
                <w:top w:val="none" w:sz="0" w:space="0" w:color="auto"/>
                <w:left w:val="none" w:sz="0" w:space="0" w:color="auto"/>
                <w:bottom w:val="none" w:sz="0" w:space="0" w:color="auto"/>
                <w:right w:val="none" w:sz="0" w:space="0" w:color="auto"/>
              </w:divBdr>
              <w:divsChild>
                <w:div w:id="1473214716">
                  <w:marLeft w:val="0"/>
                  <w:marRight w:val="0"/>
                  <w:marTop w:val="0"/>
                  <w:marBottom w:val="0"/>
                  <w:divBdr>
                    <w:top w:val="none" w:sz="0" w:space="0" w:color="auto"/>
                    <w:left w:val="none" w:sz="0" w:space="0" w:color="auto"/>
                    <w:bottom w:val="none" w:sz="0" w:space="0" w:color="auto"/>
                    <w:right w:val="none" w:sz="0" w:space="0" w:color="auto"/>
                  </w:divBdr>
                  <w:divsChild>
                    <w:div w:id="1999920337">
                      <w:marLeft w:val="0"/>
                      <w:marRight w:val="0"/>
                      <w:marTop w:val="0"/>
                      <w:marBottom w:val="0"/>
                      <w:divBdr>
                        <w:top w:val="none" w:sz="0" w:space="0" w:color="auto"/>
                        <w:left w:val="none" w:sz="0" w:space="0" w:color="auto"/>
                        <w:bottom w:val="none" w:sz="0" w:space="0" w:color="auto"/>
                        <w:right w:val="none" w:sz="0" w:space="0" w:color="auto"/>
                      </w:divBdr>
                      <w:divsChild>
                        <w:div w:id="789394926">
                          <w:marLeft w:val="0"/>
                          <w:marRight w:val="0"/>
                          <w:marTop w:val="0"/>
                          <w:marBottom w:val="0"/>
                          <w:divBdr>
                            <w:top w:val="none" w:sz="0" w:space="0" w:color="auto"/>
                            <w:left w:val="none" w:sz="0" w:space="0" w:color="auto"/>
                            <w:bottom w:val="none" w:sz="0" w:space="0" w:color="auto"/>
                            <w:right w:val="none" w:sz="0" w:space="0" w:color="auto"/>
                          </w:divBdr>
                          <w:divsChild>
                            <w:div w:id="2738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664391">
      <w:bodyDiv w:val="1"/>
      <w:marLeft w:val="0"/>
      <w:marRight w:val="0"/>
      <w:marTop w:val="0"/>
      <w:marBottom w:val="0"/>
      <w:divBdr>
        <w:top w:val="none" w:sz="0" w:space="0" w:color="auto"/>
        <w:left w:val="none" w:sz="0" w:space="0" w:color="auto"/>
        <w:bottom w:val="none" w:sz="0" w:space="0" w:color="auto"/>
        <w:right w:val="none" w:sz="0" w:space="0" w:color="auto"/>
      </w:divBdr>
    </w:div>
    <w:div w:id="1749693877">
      <w:bodyDiv w:val="1"/>
      <w:marLeft w:val="0"/>
      <w:marRight w:val="0"/>
      <w:marTop w:val="0"/>
      <w:marBottom w:val="0"/>
      <w:divBdr>
        <w:top w:val="none" w:sz="0" w:space="0" w:color="auto"/>
        <w:left w:val="none" w:sz="0" w:space="0" w:color="auto"/>
        <w:bottom w:val="none" w:sz="0" w:space="0" w:color="auto"/>
        <w:right w:val="none" w:sz="0" w:space="0" w:color="auto"/>
      </w:divBdr>
      <w:divsChild>
        <w:div w:id="217595317">
          <w:blockQuote w:val="1"/>
          <w:marLeft w:val="600"/>
          <w:marRight w:val="0"/>
          <w:marTop w:val="120"/>
          <w:marBottom w:val="120"/>
          <w:divBdr>
            <w:top w:val="none" w:sz="0" w:space="0" w:color="auto"/>
            <w:left w:val="none" w:sz="0" w:space="0" w:color="auto"/>
            <w:bottom w:val="none" w:sz="0" w:space="0" w:color="auto"/>
            <w:right w:val="none" w:sz="0" w:space="0" w:color="auto"/>
          </w:divBdr>
        </w:div>
        <w:div w:id="455679856">
          <w:blockQuote w:val="1"/>
          <w:marLeft w:val="600"/>
          <w:marRight w:val="0"/>
          <w:marTop w:val="120"/>
          <w:marBottom w:val="120"/>
          <w:divBdr>
            <w:top w:val="none" w:sz="0" w:space="0" w:color="auto"/>
            <w:left w:val="none" w:sz="0" w:space="0" w:color="auto"/>
            <w:bottom w:val="none" w:sz="0" w:space="0" w:color="auto"/>
            <w:right w:val="none" w:sz="0" w:space="0" w:color="auto"/>
          </w:divBdr>
        </w:div>
        <w:div w:id="486627273">
          <w:blockQuote w:val="1"/>
          <w:marLeft w:val="600"/>
          <w:marRight w:val="0"/>
          <w:marTop w:val="120"/>
          <w:marBottom w:val="120"/>
          <w:divBdr>
            <w:top w:val="none" w:sz="0" w:space="0" w:color="auto"/>
            <w:left w:val="none" w:sz="0" w:space="0" w:color="auto"/>
            <w:bottom w:val="none" w:sz="0" w:space="0" w:color="auto"/>
            <w:right w:val="none" w:sz="0" w:space="0" w:color="auto"/>
          </w:divBdr>
        </w:div>
        <w:div w:id="765348047">
          <w:blockQuote w:val="1"/>
          <w:marLeft w:val="600"/>
          <w:marRight w:val="0"/>
          <w:marTop w:val="120"/>
          <w:marBottom w:val="120"/>
          <w:divBdr>
            <w:top w:val="none" w:sz="0" w:space="0" w:color="auto"/>
            <w:left w:val="none" w:sz="0" w:space="0" w:color="auto"/>
            <w:bottom w:val="none" w:sz="0" w:space="0" w:color="auto"/>
            <w:right w:val="none" w:sz="0" w:space="0" w:color="auto"/>
          </w:divBdr>
        </w:div>
        <w:div w:id="1446540847">
          <w:blockQuote w:val="1"/>
          <w:marLeft w:val="600"/>
          <w:marRight w:val="0"/>
          <w:marTop w:val="120"/>
          <w:marBottom w:val="120"/>
          <w:divBdr>
            <w:top w:val="none" w:sz="0" w:space="0" w:color="auto"/>
            <w:left w:val="none" w:sz="0" w:space="0" w:color="auto"/>
            <w:bottom w:val="none" w:sz="0" w:space="0" w:color="auto"/>
            <w:right w:val="none" w:sz="0" w:space="0" w:color="auto"/>
          </w:divBdr>
        </w:div>
        <w:div w:id="1843814870">
          <w:blockQuote w:val="1"/>
          <w:marLeft w:val="600"/>
          <w:marRight w:val="0"/>
          <w:marTop w:val="120"/>
          <w:marBottom w:val="120"/>
          <w:divBdr>
            <w:top w:val="none" w:sz="0" w:space="0" w:color="auto"/>
            <w:left w:val="none" w:sz="0" w:space="0" w:color="auto"/>
            <w:bottom w:val="none" w:sz="0" w:space="0" w:color="auto"/>
            <w:right w:val="none" w:sz="0" w:space="0" w:color="auto"/>
          </w:divBdr>
        </w:div>
        <w:div w:id="2014069178">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752965687">
      <w:bodyDiv w:val="1"/>
      <w:marLeft w:val="0"/>
      <w:marRight w:val="0"/>
      <w:marTop w:val="0"/>
      <w:marBottom w:val="0"/>
      <w:divBdr>
        <w:top w:val="none" w:sz="0" w:space="0" w:color="auto"/>
        <w:left w:val="none" w:sz="0" w:space="0" w:color="auto"/>
        <w:bottom w:val="none" w:sz="0" w:space="0" w:color="auto"/>
        <w:right w:val="none" w:sz="0" w:space="0" w:color="auto"/>
      </w:divBdr>
    </w:div>
    <w:div w:id="1758743540">
      <w:bodyDiv w:val="1"/>
      <w:marLeft w:val="0"/>
      <w:marRight w:val="0"/>
      <w:marTop w:val="0"/>
      <w:marBottom w:val="0"/>
      <w:divBdr>
        <w:top w:val="none" w:sz="0" w:space="0" w:color="auto"/>
        <w:left w:val="none" w:sz="0" w:space="0" w:color="auto"/>
        <w:bottom w:val="none" w:sz="0" w:space="0" w:color="auto"/>
        <w:right w:val="none" w:sz="0" w:space="0" w:color="auto"/>
      </w:divBdr>
    </w:div>
    <w:div w:id="1772117528">
      <w:bodyDiv w:val="1"/>
      <w:marLeft w:val="0"/>
      <w:marRight w:val="0"/>
      <w:marTop w:val="0"/>
      <w:marBottom w:val="0"/>
      <w:divBdr>
        <w:top w:val="none" w:sz="0" w:space="0" w:color="auto"/>
        <w:left w:val="none" w:sz="0" w:space="0" w:color="auto"/>
        <w:bottom w:val="none" w:sz="0" w:space="0" w:color="auto"/>
        <w:right w:val="none" w:sz="0" w:space="0" w:color="auto"/>
      </w:divBdr>
    </w:div>
    <w:div w:id="1780834832">
      <w:bodyDiv w:val="1"/>
      <w:marLeft w:val="0"/>
      <w:marRight w:val="0"/>
      <w:marTop w:val="0"/>
      <w:marBottom w:val="0"/>
      <w:divBdr>
        <w:top w:val="none" w:sz="0" w:space="0" w:color="auto"/>
        <w:left w:val="none" w:sz="0" w:space="0" w:color="auto"/>
        <w:bottom w:val="none" w:sz="0" w:space="0" w:color="auto"/>
        <w:right w:val="none" w:sz="0" w:space="0" w:color="auto"/>
      </w:divBdr>
    </w:div>
    <w:div w:id="1786384228">
      <w:bodyDiv w:val="1"/>
      <w:marLeft w:val="0"/>
      <w:marRight w:val="0"/>
      <w:marTop w:val="0"/>
      <w:marBottom w:val="0"/>
      <w:divBdr>
        <w:top w:val="none" w:sz="0" w:space="0" w:color="auto"/>
        <w:left w:val="none" w:sz="0" w:space="0" w:color="auto"/>
        <w:bottom w:val="none" w:sz="0" w:space="0" w:color="auto"/>
        <w:right w:val="none" w:sz="0" w:space="0" w:color="auto"/>
      </w:divBdr>
    </w:div>
    <w:div w:id="1790314309">
      <w:bodyDiv w:val="1"/>
      <w:marLeft w:val="0"/>
      <w:marRight w:val="0"/>
      <w:marTop w:val="0"/>
      <w:marBottom w:val="0"/>
      <w:divBdr>
        <w:top w:val="none" w:sz="0" w:space="0" w:color="auto"/>
        <w:left w:val="none" w:sz="0" w:space="0" w:color="auto"/>
        <w:bottom w:val="none" w:sz="0" w:space="0" w:color="auto"/>
        <w:right w:val="none" w:sz="0" w:space="0" w:color="auto"/>
      </w:divBdr>
    </w:div>
    <w:div w:id="1794400615">
      <w:bodyDiv w:val="1"/>
      <w:marLeft w:val="0"/>
      <w:marRight w:val="0"/>
      <w:marTop w:val="0"/>
      <w:marBottom w:val="0"/>
      <w:divBdr>
        <w:top w:val="none" w:sz="0" w:space="0" w:color="auto"/>
        <w:left w:val="none" w:sz="0" w:space="0" w:color="auto"/>
        <w:bottom w:val="none" w:sz="0" w:space="0" w:color="auto"/>
        <w:right w:val="none" w:sz="0" w:space="0" w:color="auto"/>
      </w:divBdr>
    </w:div>
    <w:div w:id="1796093488">
      <w:bodyDiv w:val="1"/>
      <w:marLeft w:val="0"/>
      <w:marRight w:val="0"/>
      <w:marTop w:val="0"/>
      <w:marBottom w:val="0"/>
      <w:divBdr>
        <w:top w:val="none" w:sz="0" w:space="0" w:color="auto"/>
        <w:left w:val="none" w:sz="0" w:space="0" w:color="auto"/>
        <w:bottom w:val="none" w:sz="0" w:space="0" w:color="auto"/>
        <w:right w:val="none" w:sz="0" w:space="0" w:color="auto"/>
      </w:divBdr>
      <w:divsChild>
        <w:div w:id="1082221504">
          <w:marLeft w:val="0"/>
          <w:marRight w:val="0"/>
          <w:marTop w:val="0"/>
          <w:marBottom w:val="0"/>
          <w:divBdr>
            <w:top w:val="none" w:sz="0" w:space="0" w:color="auto"/>
            <w:left w:val="none" w:sz="0" w:space="0" w:color="auto"/>
            <w:bottom w:val="none" w:sz="0" w:space="0" w:color="auto"/>
            <w:right w:val="none" w:sz="0" w:space="0" w:color="auto"/>
          </w:divBdr>
          <w:divsChild>
            <w:div w:id="1941571062">
              <w:marLeft w:val="0"/>
              <w:marRight w:val="0"/>
              <w:marTop w:val="0"/>
              <w:marBottom w:val="0"/>
              <w:divBdr>
                <w:top w:val="none" w:sz="0" w:space="0" w:color="auto"/>
                <w:left w:val="none" w:sz="0" w:space="0" w:color="auto"/>
                <w:bottom w:val="none" w:sz="0" w:space="0" w:color="auto"/>
                <w:right w:val="none" w:sz="0" w:space="0" w:color="auto"/>
              </w:divBdr>
              <w:divsChild>
                <w:div w:id="1161237385">
                  <w:marLeft w:val="0"/>
                  <w:marRight w:val="0"/>
                  <w:marTop w:val="0"/>
                  <w:marBottom w:val="0"/>
                  <w:divBdr>
                    <w:top w:val="none" w:sz="0" w:space="0" w:color="auto"/>
                    <w:left w:val="none" w:sz="0" w:space="0" w:color="auto"/>
                    <w:bottom w:val="none" w:sz="0" w:space="0" w:color="auto"/>
                    <w:right w:val="none" w:sz="0" w:space="0" w:color="auto"/>
                  </w:divBdr>
                  <w:divsChild>
                    <w:div w:id="1274627262">
                      <w:marLeft w:val="0"/>
                      <w:marRight w:val="0"/>
                      <w:marTop w:val="0"/>
                      <w:marBottom w:val="0"/>
                      <w:divBdr>
                        <w:top w:val="none" w:sz="0" w:space="0" w:color="auto"/>
                        <w:left w:val="none" w:sz="0" w:space="0" w:color="auto"/>
                        <w:bottom w:val="none" w:sz="0" w:space="0" w:color="auto"/>
                        <w:right w:val="none" w:sz="0" w:space="0" w:color="auto"/>
                      </w:divBdr>
                      <w:divsChild>
                        <w:div w:id="1837914160">
                          <w:marLeft w:val="0"/>
                          <w:marRight w:val="0"/>
                          <w:marTop w:val="0"/>
                          <w:marBottom w:val="0"/>
                          <w:divBdr>
                            <w:top w:val="none" w:sz="0" w:space="0" w:color="auto"/>
                            <w:left w:val="none" w:sz="0" w:space="0" w:color="auto"/>
                            <w:bottom w:val="none" w:sz="0" w:space="0" w:color="auto"/>
                            <w:right w:val="none" w:sz="0" w:space="0" w:color="auto"/>
                          </w:divBdr>
                          <w:divsChild>
                            <w:div w:id="112364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360780">
      <w:bodyDiv w:val="1"/>
      <w:marLeft w:val="0"/>
      <w:marRight w:val="0"/>
      <w:marTop w:val="0"/>
      <w:marBottom w:val="0"/>
      <w:divBdr>
        <w:top w:val="none" w:sz="0" w:space="0" w:color="auto"/>
        <w:left w:val="none" w:sz="0" w:space="0" w:color="auto"/>
        <w:bottom w:val="none" w:sz="0" w:space="0" w:color="auto"/>
        <w:right w:val="none" w:sz="0" w:space="0" w:color="auto"/>
      </w:divBdr>
      <w:divsChild>
        <w:div w:id="1585072122">
          <w:marLeft w:val="0"/>
          <w:marRight w:val="0"/>
          <w:marTop w:val="0"/>
          <w:marBottom w:val="0"/>
          <w:divBdr>
            <w:top w:val="none" w:sz="0" w:space="0" w:color="auto"/>
            <w:left w:val="none" w:sz="0" w:space="0" w:color="auto"/>
            <w:bottom w:val="none" w:sz="0" w:space="0" w:color="auto"/>
            <w:right w:val="none" w:sz="0" w:space="0" w:color="auto"/>
          </w:divBdr>
          <w:divsChild>
            <w:div w:id="1651979430">
              <w:marLeft w:val="0"/>
              <w:marRight w:val="0"/>
              <w:marTop w:val="0"/>
              <w:marBottom w:val="0"/>
              <w:divBdr>
                <w:top w:val="none" w:sz="0" w:space="0" w:color="auto"/>
                <w:left w:val="none" w:sz="0" w:space="0" w:color="auto"/>
                <w:bottom w:val="none" w:sz="0" w:space="0" w:color="auto"/>
                <w:right w:val="none" w:sz="0" w:space="0" w:color="auto"/>
              </w:divBdr>
              <w:divsChild>
                <w:div w:id="1258244964">
                  <w:marLeft w:val="0"/>
                  <w:marRight w:val="0"/>
                  <w:marTop w:val="0"/>
                  <w:marBottom w:val="0"/>
                  <w:divBdr>
                    <w:top w:val="none" w:sz="0" w:space="0" w:color="auto"/>
                    <w:left w:val="none" w:sz="0" w:space="0" w:color="auto"/>
                    <w:bottom w:val="none" w:sz="0" w:space="0" w:color="auto"/>
                    <w:right w:val="none" w:sz="0" w:space="0" w:color="auto"/>
                  </w:divBdr>
                  <w:divsChild>
                    <w:div w:id="15191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16014">
      <w:bodyDiv w:val="1"/>
      <w:marLeft w:val="0"/>
      <w:marRight w:val="0"/>
      <w:marTop w:val="0"/>
      <w:marBottom w:val="0"/>
      <w:divBdr>
        <w:top w:val="none" w:sz="0" w:space="0" w:color="auto"/>
        <w:left w:val="none" w:sz="0" w:space="0" w:color="auto"/>
        <w:bottom w:val="none" w:sz="0" w:space="0" w:color="auto"/>
        <w:right w:val="none" w:sz="0" w:space="0" w:color="auto"/>
      </w:divBdr>
    </w:div>
    <w:div w:id="1815951847">
      <w:bodyDiv w:val="1"/>
      <w:marLeft w:val="0"/>
      <w:marRight w:val="0"/>
      <w:marTop w:val="0"/>
      <w:marBottom w:val="0"/>
      <w:divBdr>
        <w:top w:val="none" w:sz="0" w:space="0" w:color="auto"/>
        <w:left w:val="none" w:sz="0" w:space="0" w:color="auto"/>
        <w:bottom w:val="none" w:sz="0" w:space="0" w:color="auto"/>
        <w:right w:val="none" w:sz="0" w:space="0" w:color="auto"/>
      </w:divBdr>
    </w:div>
    <w:div w:id="1819877336">
      <w:bodyDiv w:val="1"/>
      <w:marLeft w:val="0"/>
      <w:marRight w:val="0"/>
      <w:marTop w:val="0"/>
      <w:marBottom w:val="0"/>
      <w:divBdr>
        <w:top w:val="none" w:sz="0" w:space="0" w:color="auto"/>
        <w:left w:val="none" w:sz="0" w:space="0" w:color="auto"/>
        <w:bottom w:val="none" w:sz="0" w:space="0" w:color="auto"/>
        <w:right w:val="none" w:sz="0" w:space="0" w:color="auto"/>
      </w:divBdr>
    </w:div>
    <w:div w:id="1843351861">
      <w:bodyDiv w:val="1"/>
      <w:marLeft w:val="0"/>
      <w:marRight w:val="0"/>
      <w:marTop w:val="0"/>
      <w:marBottom w:val="0"/>
      <w:divBdr>
        <w:top w:val="none" w:sz="0" w:space="0" w:color="auto"/>
        <w:left w:val="none" w:sz="0" w:space="0" w:color="auto"/>
        <w:bottom w:val="none" w:sz="0" w:space="0" w:color="auto"/>
        <w:right w:val="none" w:sz="0" w:space="0" w:color="auto"/>
      </w:divBdr>
      <w:divsChild>
        <w:div w:id="829910003">
          <w:marLeft w:val="0"/>
          <w:marRight w:val="0"/>
          <w:marTop w:val="0"/>
          <w:marBottom w:val="0"/>
          <w:divBdr>
            <w:top w:val="none" w:sz="0" w:space="0" w:color="auto"/>
            <w:left w:val="none" w:sz="0" w:space="0" w:color="auto"/>
            <w:bottom w:val="none" w:sz="0" w:space="0" w:color="auto"/>
            <w:right w:val="none" w:sz="0" w:space="0" w:color="auto"/>
          </w:divBdr>
          <w:divsChild>
            <w:div w:id="1611203268">
              <w:marLeft w:val="0"/>
              <w:marRight w:val="0"/>
              <w:marTop w:val="0"/>
              <w:marBottom w:val="0"/>
              <w:divBdr>
                <w:top w:val="none" w:sz="0" w:space="0" w:color="auto"/>
                <w:left w:val="none" w:sz="0" w:space="0" w:color="auto"/>
                <w:bottom w:val="none" w:sz="0" w:space="0" w:color="auto"/>
                <w:right w:val="none" w:sz="0" w:space="0" w:color="auto"/>
              </w:divBdr>
              <w:divsChild>
                <w:div w:id="24450465">
                  <w:marLeft w:val="0"/>
                  <w:marRight w:val="0"/>
                  <w:marTop w:val="0"/>
                  <w:marBottom w:val="0"/>
                  <w:divBdr>
                    <w:top w:val="none" w:sz="0" w:space="0" w:color="auto"/>
                    <w:left w:val="none" w:sz="0" w:space="0" w:color="auto"/>
                    <w:bottom w:val="none" w:sz="0" w:space="0" w:color="auto"/>
                    <w:right w:val="none" w:sz="0" w:space="0" w:color="auto"/>
                  </w:divBdr>
                  <w:divsChild>
                    <w:div w:id="1350791890">
                      <w:marLeft w:val="0"/>
                      <w:marRight w:val="0"/>
                      <w:marTop w:val="0"/>
                      <w:marBottom w:val="0"/>
                      <w:divBdr>
                        <w:top w:val="none" w:sz="0" w:space="0" w:color="auto"/>
                        <w:left w:val="none" w:sz="0" w:space="0" w:color="auto"/>
                        <w:bottom w:val="none" w:sz="0" w:space="0" w:color="auto"/>
                        <w:right w:val="none" w:sz="0" w:space="0" w:color="auto"/>
                      </w:divBdr>
                      <w:divsChild>
                        <w:div w:id="928192549">
                          <w:marLeft w:val="0"/>
                          <w:marRight w:val="0"/>
                          <w:marTop w:val="0"/>
                          <w:marBottom w:val="0"/>
                          <w:divBdr>
                            <w:top w:val="none" w:sz="0" w:space="0" w:color="auto"/>
                            <w:left w:val="none" w:sz="0" w:space="0" w:color="auto"/>
                            <w:bottom w:val="none" w:sz="0" w:space="0" w:color="auto"/>
                            <w:right w:val="none" w:sz="0" w:space="0" w:color="auto"/>
                          </w:divBdr>
                          <w:divsChild>
                            <w:div w:id="13761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793259">
      <w:bodyDiv w:val="1"/>
      <w:marLeft w:val="0"/>
      <w:marRight w:val="0"/>
      <w:marTop w:val="0"/>
      <w:marBottom w:val="0"/>
      <w:divBdr>
        <w:top w:val="none" w:sz="0" w:space="0" w:color="auto"/>
        <w:left w:val="none" w:sz="0" w:space="0" w:color="auto"/>
        <w:bottom w:val="none" w:sz="0" w:space="0" w:color="auto"/>
        <w:right w:val="none" w:sz="0" w:space="0" w:color="auto"/>
      </w:divBdr>
      <w:divsChild>
        <w:div w:id="300381884">
          <w:blockQuote w:val="1"/>
          <w:marLeft w:val="600"/>
          <w:marRight w:val="0"/>
          <w:marTop w:val="120"/>
          <w:marBottom w:val="120"/>
          <w:divBdr>
            <w:top w:val="none" w:sz="0" w:space="0" w:color="auto"/>
            <w:left w:val="none" w:sz="0" w:space="0" w:color="auto"/>
            <w:bottom w:val="none" w:sz="0" w:space="0" w:color="auto"/>
            <w:right w:val="none" w:sz="0" w:space="0" w:color="auto"/>
          </w:divBdr>
        </w:div>
        <w:div w:id="777258680">
          <w:blockQuote w:val="1"/>
          <w:marLeft w:val="600"/>
          <w:marRight w:val="0"/>
          <w:marTop w:val="120"/>
          <w:marBottom w:val="120"/>
          <w:divBdr>
            <w:top w:val="none" w:sz="0" w:space="0" w:color="auto"/>
            <w:left w:val="none" w:sz="0" w:space="0" w:color="auto"/>
            <w:bottom w:val="none" w:sz="0" w:space="0" w:color="auto"/>
            <w:right w:val="none" w:sz="0" w:space="0" w:color="auto"/>
          </w:divBdr>
        </w:div>
        <w:div w:id="975715714">
          <w:blockQuote w:val="1"/>
          <w:marLeft w:val="600"/>
          <w:marRight w:val="0"/>
          <w:marTop w:val="120"/>
          <w:marBottom w:val="120"/>
          <w:divBdr>
            <w:top w:val="none" w:sz="0" w:space="0" w:color="auto"/>
            <w:left w:val="none" w:sz="0" w:space="0" w:color="auto"/>
            <w:bottom w:val="none" w:sz="0" w:space="0" w:color="auto"/>
            <w:right w:val="none" w:sz="0" w:space="0" w:color="auto"/>
          </w:divBdr>
        </w:div>
        <w:div w:id="1060591597">
          <w:blockQuote w:val="1"/>
          <w:marLeft w:val="600"/>
          <w:marRight w:val="0"/>
          <w:marTop w:val="120"/>
          <w:marBottom w:val="120"/>
          <w:divBdr>
            <w:top w:val="none" w:sz="0" w:space="0" w:color="auto"/>
            <w:left w:val="none" w:sz="0" w:space="0" w:color="auto"/>
            <w:bottom w:val="none" w:sz="0" w:space="0" w:color="auto"/>
            <w:right w:val="none" w:sz="0" w:space="0" w:color="auto"/>
          </w:divBdr>
        </w:div>
        <w:div w:id="1172260813">
          <w:blockQuote w:val="1"/>
          <w:marLeft w:val="600"/>
          <w:marRight w:val="0"/>
          <w:marTop w:val="120"/>
          <w:marBottom w:val="120"/>
          <w:divBdr>
            <w:top w:val="none" w:sz="0" w:space="0" w:color="auto"/>
            <w:left w:val="none" w:sz="0" w:space="0" w:color="auto"/>
            <w:bottom w:val="none" w:sz="0" w:space="0" w:color="auto"/>
            <w:right w:val="none" w:sz="0" w:space="0" w:color="auto"/>
          </w:divBdr>
        </w:div>
        <w:div w:id="1347440949">
          <w:blockQuote w:val="1"/>
          <w:marLeft w:val="600"/>
          <w:marRight w:val="0"/>
          <w:marTop w:val="120"/>
          <w:marBottom w:val="120"/>
          <w:divBdr>
            <w:top w:val="none" w:sz="0" w:space="0" w:color="auto"/>
            <w:left w:val="none" w:sz="0" w:space="0" w:color="auto"/>
            <w:bottom w:val="none" w:sz="0" w:space="0" w:color="auto"/>
            <w:right w:val="none" w:sz="0" w:space="0" w:color="auto"/>
          </w:divBdr>
        </w:div>
        <w:div w:id="135819660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903177001">
      <w:bodyDiv w:val="1"/>
      <w:marLeft w:val="0"/>
      <w:marRight w:val="0"/>
      <w:marTop w:val="0"/>
      <w:marBottom w:val="0"/>
      <w:divBdr>
        <w:top w:val="none" w:sz="0" w:space="0" w:color="auto"/>
        <w:left w:val="none" w:sz="0" w:space="0" w:color="auto"/>
        <w:bottom w:val="none" w:sz="0" w:space="0" w:color="auto"/>
        <w:right w:val="none" w:sz="0" w:space="0" w:color="auto"/>
      </w:divBdr>
    </w:div>
    <w:div w:id="1907186361">
      <w:bodyDiv w:val="1"/>
      <w:marLeft w:val="0"/>
      <w:marRight w:val="0"/>
      <w:marTop w:val="0"/>
      <w:marBottom w:val="0"/>
      <w:divBdr>
        <w:top w:val="none" w:sz="0" w:space="0" w:color="auto"/>
        <w:left w:val="none" w:sz="0" w:space="0" w:color="auto"/>
        <w:bottom w:val="none" w:sz="0" w:space="0" w:color="auto"/>
        <w:right w:val="none" w:sz="0" w:space="0" w:color="auto"/>
      </w:divBdr>
    </w:div>
    <w:div w:id="1924339912">
      <w:bodyDiv w:val="1"/>
      <w:marLeft w:val="0"/>
      <w:marRight w:val="0"/>
      <w:marTop w:val="0"/>
      <w:marBottom w:val="0"/>
      <w:divBdr>
        <w:top w:val="none" w:sz="0" w:space="0" w:color="auto"/>
        <w:left w:val="none" w:sz="0" w:space="0" w:color="auto"/>
        <w:bottom w:val="none" w:sz="0" w:space="0" w:color="auto"/>
        <w:right w:val="none" w:sz="0" w:space="0" w:color="auto"/>
      </w:divBdr>
    </w:div>
    <w:div w:id="1927954662">
      <w:bodyDiv w:val="1"/>
      <w:marLeft w:val="0"/>
      <w:marRight w:val="0"/>
      <w:marTop w:val="0"/>
      <w:marBottom w:val="0"/>
      <w:divBdr>
        <w:top w:val="none" w:sz="0" w:space="0" w:color="auto"/>
        <w:left w:val="none" w:sz="0" w:space="0" w:color="auto"/>
        <w:bottom w:val="none" w:sz="0" w:space="0" w:color="auto"/>
        <w:right w:val="none" w:sz="0" w:space="0" w:color="auto"/>
      </w:divBdr>
    </w:div>
    <w:div w:id="1931233622">
      <w:bodyDiv w:val="1"/>
      <w:marLeft w:val="0"/>
      <w:marRight w:val="0"/>
      <w:marTop w:val="0"/>
      <w:marBottom w:val="0"/>
      <w:divBdr>
        <w:top w:val="none" w:sz="0" w:space="0" w:color="auto"/>
        <w:left w:val="none" w:sz="0" w:space="0" w:color="auto"/>
        <w:bottom w:val="none" w:sz="0" w:space="0" w:color="auto"/>
        <w:right w:val="none" w:sz="0" w:space="0" w:color="auto"/>
      </w:divBdr>
    </w:div>
    <w:div w:id="1932201049">
      <w:bodyDiv w:val="1"/>
      <w:marLeft w:val="0"/>
      <w:marRight w:val="0"/>
      <w:marTop w:val="0"/>
      <w:marBottom w:val="0"/>
      <w:divBdr>
        <w:top w:val="none" w:sz="0" w:space="0" w:color="auto"/>
        <w:left w:val="none" w:sz="0" w:space="0" w:color="auto"/>
        <w:bottom w:val="none" w:sz="0" w:space="0" w:color="auto"/>
        <w:right w:val="none" w:sz="0" w:space="0" w:color="auto"/>
      </w:divBdr>
    </w:div>
    <w:div w:id="1933198420">
      <w:bodyDiv w:val="1"/>
      <w:marLeft w:val="0"/>
      <w:marRight w:val="0"/>
      <w:marTop w:val="0"/>
      <w:marBottom w:val="0"/>
      <w:divBdr>
        <w:top w:val="none" w:sz="0" w:space="0" w:color="auto"/>
        <w:left w:val="none" w:sz="0" w:space="0" w:color="auto"/>
        <w:bottom w:val="none" w:sz="0" w:space="0" w:color="auto"/>
        <w:right w:val="none" w:sz="0" w:space="0" w:color="auto"/>
      </w:divBdr>
    </w:div>
    <w:div w:id="1955601065">
      <w:bodyDiv w:val="1"/>
      <w:marLeft w:val="0"/>
      <w:marRight w:val="0"/>
      <w:marTop w:val="0"/>
      <w:marBottom w:val="0"/>
      <w:divBdr>
        <w:top w:val="none" w:sz="0" w:space="0" w:color="auto"/>
        <w:left w:val="none" w:sz="0" w:space="0" w:color="auto"/>
        <w:bottom w:val="none" w:sz="0" w:space="0" w:color="auto"/>
        <w:right w:val="none" w:sz="0" w:space="0" w:color="auto"/>
      </w:divBdr>
    </w:div>
    <w:div w:id="1958414978">
      <w:bodyDiv w:val="1"/>
      <w:marLeft w:val="0"/>
      <w:marRight w:val="0"/>
      <w:marTop w:val="0"/>
      <w:marBottom w:val="0"/>
      <w:divBdr>
        <w:top w:val="none" w:sz="0" w:space="0" w:color="auto"/>
        <w:left w:val="none" w:sz="0" w:space="0" w:color="auto"/>
        <w:bottom w:val="none" w:sz="0" w:space="0" w:color="auto"/>
        <w:right w:val="none" w:sz="0" w:space="0" w:color="auto"/>
      </w:divBdr>
      <w:divsChild>
        <w:div w:id="70660895">
          <w:marLeft w:val="0"/>
          <w:marRight w:val="0"/>
          <w:marTop w:val="0"/>
          <w:marBottom w:val="0"/>
          <w:divBdr>
            <w:top w:val="none" w:sz="0" w:space="0" w:color="auto"/>
            <w:left w:val="none" w:sz="0" w:space="0" w:color="auto"/>
            <w:bottom w:val="none" w:sz="0" w:space="0" w:color="auto"/>
            <w:right w:val="none" w:sz="0" w:space="0" w:color="auto"/>
          </w:divBdr>
        </w:div>
        <w:div w:id="124813270">
          <w:marLeft w:val="0"/>
          <w:marRight w:val="0"/>
          <w:marTop w:val="0"/>
          <w:marBottom w:val="0"/>
          <w:divBdr>
            <w:top w:val="none" w:sz="0" w:space="0" w:color="auto"/>
            <w:left w:val="none" w:sz="0" w:space="0" w:color="auto"/>
            <w:bottom w:val="none" w:sz="0" w:space="0" w:color="auto"/>
            <w:right w:val="none" w:sz="0" w:space="0" w:color="auto"/>
          </w:divBdr>
        </w:div>
        <w:div w:id="350298580">
          <w:marLeft w:val="0"/>
          <w:marRight w:val="0"/>
          <w:marTop w:val="0"/>
          <w:marBottom w:val="0"/>
          <w:divBdr>
            <w:top w:val="none" w:sz="0" w:space="0" w:color="auto"/>
            <w:left w:val="none" w:sz="0" w:space="0" w:color="auto"/>
            <w:bottom w:val="none" w:sz="0" w:space="0" w:color="auto"/>
            <w:right w:val="none" w:sz="0" w:space="0" w:color="auto"/>
          </w:divBdr>
        </w:div>
        <w:div w:id="1084258626">
          <w:marLeft w:val="0"/>
          <w:marRight w:val="0"/>
          <w:marTop w:val="0"/>
          <w:marBottom w:val="0"/>
          <w:divBdr>
            <w:top w:val="none" w:sz="0" w:space="0" w:color="auto"/>
            <w:left w:val="none" w:sz="0" w:space="0" w:color="auto"/>
            <w:bottom w:val="none" w:sz="0" w:space="0" w:color="auto"/>
            <w:right w:val="none" w:sz="0" w:space="0" w:color="auto"/>
          </w:divBdr>
        </w:div>
        <w:div w:id="1136218447">
          <w:marLeft w:val="0"/>
          <w:marRight w:val="0"/>
          <w:marTop w:val="0"/>
          <w:marBottom w:val="0"/>
          <w:divBdr>
            <w:top w:val="none" w:sz="0" w:space="0" w:color="auto"/>
            <w:left w:val="none" w:sz="0" w:space="0" w:color="auto"/>
            <w:bottom w:val="none" w:sz="0" w:space="0" w:color="auto"/>
            <w:right w:val="none" w:sz="0" w:space="0" w:color="auto"/>
          </w:divBdr>
          <w:divsChild>
            <w:div w:id="922300508">
              <w:marLeft w:val="-75"/>
              <w:marRight w:val="0"/>
              <w:marTop w:val="30"/>
              <w:marBottom w:val="30"/>
              <w:divBdr>
                <w:top w:val="none" w:sz="0" w:space="0" w:color="auto"/>
                <w:left w:val="none" w:sz="0" w:space="0" w:color="auto"/>
                <w:bottom w:val="none" w:sz="0" w:space="0" w:color="auto"/>
                <w:right w:val="none" w:sz="0" w:space="0" w:color="auto"/>
              </w:divBdr>
              <w:divsChild>
                <w:div w:id="4985945">
                  <w:marLeft w:val="0"/>
                  <w:marRight w:val="0"/>
                  <w:marTop w:val="0"/>
                  <w:marBottom w:val="0"/>
                  <w:divBdr>
                    <w:top w:val="none" w:sz="0" w:space="0" w:color="auto"/>
                    <w:left w:val="none" w:sz="0" w:space="0" w:color="auto"/>
                    <w:bottom w:val="none" w:sz="0" w:space="0" w:color="auto"/>
                    <w:right w:val="none" w:sz="0" w:space="0" w:color="auto"/>
                  </w:divBdr>
                  <w:divsChild>
                    <w:div w:id="196161326">
                      <w:marLeft w:val="0"/>
                      <w:marRight w:val="0"/>
                      <w:marTop w:val="0"/>
                      <w:marBottom w:val="0"/>
                      <w:divBdr>
                        <w:top w:val="none" w:sz="0" w:space="0" w:color="auto"/>
                        <w:left w:val="none" w:sz="0" w:space="0" w:color="auto"/>
                        <w:bottom w:val="none" w:sz="0" w:space="0" w:color="auto"/>
                        <w:right w:val="none" w:sz="0" w:space="0" w:color="auto"/>
                      </w:divBdr>
                    </w:div>
                  </w:divsChild>
                </w:div>
                <w:div w:id="12071588">
                  <w:marLeft w:val="0"/>
                  <w:marRight w:val="0"/>
                  <w:marTop w:val="0"/>
                  <w:marBottom w:val="0"/>
                  <w:divBdr>
                    <w:top w:val="none" w:sz="0" w:space="0" w:color="auto"/>
                    <w:left w:val="none" w:sz="0" w:space="0" w:color="auto"/>
                    <w:bottom w:val="none" w:sz="0" w:space="0" w:color="auto"/>
                    <w:right w:val="none" w:sz="0" w:space="0" w:color="auto"/>
                  </w:divBdr>
                  <w:divsChild>
                    <w:div w:id="665403760">
                      <w:marLeft w:val="0"/>
                      <w:marRight w:val="0"/>
                      <w:marTop w:val="0"/>
                      <w:marBottom w:val="0"/>
                      <w:divBdr>
                        <w:top w:val="none" w:sz="0" w:space="0" w:color="auto"/>
                        <w:left w:val="none" w:sz="0" w:space="0" w:color="auto"/>
                        <w:bottom w:val="none" w:sz="0" w:space="0" w:color="auto"/>
                        <w:right w:val="none" w:sz="0" w:space="0" w:color="auto"/>
                      </w:divBdr>
                    </w:div>
                  </w:divsChild>
                </w:div>
                <w:div w:id="35399512">
                  <w:marLeft w:val="0"/>
                  <w:marRight w:val="0"/>
                  <w:marTop w:val="0"/>
                  <w:marBottom w:val="0"/>
                  <w:divBdr>
                    <w:top w:val="none" w:sz="0" w:space="0" w:color="auto"/>
                    <w:left w:val="none" w:sz="0" w:space="0" w:color="auto"/>
                    <w:bottom w:val="none" w:sz="0" w:space="0" w:color="auto"/>
                    <w:right w:val="none" w:sz="0" w:space="0" w:color="auto"/>
                  </w:divBdr>
                  <w:divsChild>
                    <w:div w:id="985209007">
                      <w:marLeft w:val="0"/>
                      <w:marRight w:val="0"/>
                      <w:marTop w:val="0"/>
                      <w:marBottom w:val="0"/>
                      <w:divBdr>
                        <w:top w:val="none" w:sz="0" w:space="0" w:color="auto"/>
                        <w:left w:val="none" w:sz="0" w:space="0" w:color="auto"/>
                        <w:bottom w:val="none" w:sz="0" w:space="0" w:color="auto"/>
                        <w:right w:val="none" w:sz="0" w:space="0" w:color="auto"/>
                      </w:divBdr>
                    </w:div>
                  </w:divsChild>
                </w:div>
                <w:div w:id="50495414">
                  <w:marLeft w:val="0"/>
                  <w:marRight w:val="0"/>
                  <w:marTop w:val="0"/>
                  <w:marBottom w:val="0"/>
                  <w:divBdr>
                    <w:top w:val="none" w:sz="0" w:space="0" w:color="auto"/>
                    <w:left w:val="none" w:sz="0" w:space="0" w:color="auto"/>
                    <w:bottom w:val="none" w:sz="0" w:space="0" w:color="auto"/>
                    <w:right w:val="none" w:sz="0" w:space="0" w:color="auto"/>
                  </w:divBdr>
                  <w:divsChild>
                    <w:div w:id="1848908819">
                      <w:marLeft w:val="0"/>
                      <w:marRight w:val="0"/>
                      <w:marTop w:val="0"/>
                      <w:marBottom w:val="0"/>
                      <w:divBdr>
                        <w:top w:val="none" w:sz="0" w:space="0" w:color="auto"/>
                        <w:left w:val="none" w:sz="0" w:space="0" w:color="auto"/>
                        <w:bottom w:val="none" w:sz="0" w:space="0" w:color="auto"/>
                        <w:right w:val="none" w:sz="0" w:space="0" w:color="auto"/>
                      </w:divBdr>
                    </w:div>
                  </w:divsChild>
                </w:div>
                <w:div w:id="74909090">
                  <w:marLeft w:val="0"/>
                  <w:marRight w:val="0"/>
                  <w:marTop w:val="0"/>
                  <w:marBottom w:val="0"/>
                  <w:divBdr>
                    <w:top w:val="none" w:sz="0" w:space="0" w:color="auto"/>
                    <w:left w:val="none" w:sz="0" w:space="0" w:color="auto"/>
                    <w:bottom w:val="none" w:sz="0" w:space="0" w:color="auto"/>
                    <w:right w:val="none" w:sz="0" w:space="0" w:color="auto"/>
                  </w:divBdr>
                  <w:divsChild>
                    <w:div w:id="1248151674">
                      <w:marLeft w:val="0"/>
                      <w:marRight w:val="0"/>
                      <w:marTop w:val="0"/>
                      <w:marBottom w:val="0"/>
                      <w:divBdr>
                        <w:top w:val="none" w:sz="0" w:space="0" w:color="auto"/>
                        <w:left w:val="none" w:sz="0" w:space="0" w:color="auto"/>
                        <w:bottom w:val="none" w:sz="0" w:space="0" w:color="auto"/>
                        <w:right w:val="none" w:sz="0" w:space="0" w:color="auto"/>
                      </w:divBdr>
                    </w:div>
                  </w:divsChild>
                </w:div>
                <w:div w:id="128130177">
                  <w:marLeft w:val="0"/>
                  <w:marRight w:val="0"/>
                  <w:marTop w:val="0"/>
                  <w:marBottom w:val="0"/>
                  <w:divBdr>
                    <w:top w:val="none" w:sz="0" w:space="0" w:color="auto"/>
                    <w:left w:val="none" w:sz="0" w:space="0" w:color="auto"/>
                    <w:bottom w:val="none" w:sz="0" w:space="0" w:color="auto"/>
                    <w:right w:val="none" w:sz="0" w:space="0" w:color="auto"/>
                  </w:divBdr>
                  <w:divsChild>
                    <w:div w:id="1782534874">
                      <w:marLeft w:val="0"/>
                      <w:marRight w:val="0"/>
                      <w:marTop w:val="0"/>
                      <w:marBottom w:val="0"/>
                      <w:divBdr>
                        <w:top w:val="none" w:sz="0" w:space="0" w:color="auto"/>
                        <w:left w:val="none" w:sz="0" w:space="0" w:color="auto"/>
                        <w:bottom w:val="none" w:sz="0" w:space="0" w:color="auto"/>
                        <w:right w:val="none" w:sz="0" w:space="0" w:color="auto"/>
                      </w:divBdr>
                    </w:div>
                  </w:divsChild>
                </w:div>
                <w:div w:id="134221800">
                  <w:marLeft w:val="0"/>
                  <w:marRight w:val="0"/>
                  <w:marTop w:val="0"/>
                  <w:marBottom w:val="0"/>
                  <w:divBdr>
                    <w:top w:val="none" w:sz="0" w:space="0" w:color="auto"/>
                    <w:left w:val="none" w:sz="0" w:space="0" w:color="auto"/>
                    <w:bottom w:val="none" w:sz="0" w:space="0" w:color="auto"/>
                    <w:right w:val="none" w:sz="0" w:space="0" w:color="auto"/>
                  </w:divBdr>
                  <w:divsChild>
                    <w:div w:id="809176826">
                      <w:marLeft w:val="0"/>
                      <w:marRight w:val="0"/>
                      <w:marTop w:val="0"/>
                      <w:marBottom w:val="0"/>
                      <w:divBdr>
                        <w:top w:val="none" w:sz="0" w:space="0" w:color="auto"/>
                        <w:left w:val="none" w:sz="0" w:space="0" w:color="auto"/>
                        <w:bottom w:val="none" w:sz="0" w:space="0" w:color="auto"/>
                        <w:right w:val="none" w:sz="0" w:space="0" w:color="auto"/>
                      </w:divBdr>
                    </w:div>
                  </w:divsChild>
                </w:div>
                <w:div w:id="152455589">
                  <w:marLeft w:val="0"/>
                  <w:marRight w:val="0"/>
                  <w:marTop w:val="0"/>
                  <w:marBottom w:val="0"/>
                  <w:divBdr>
                    <w:top w:val="none" w:sz="0" w:space="0" w:color="auto"/>
                    <w:left w:val="none" w:sz="0" w:space="0" w:color="auto"/>
                    <w:bottom w:val="none" w:sz="0" w:space="0" w:color="auto"/>
                    <w:right w:val="none" w:sz="0" w:space="0" w:color="auto"/>
                  </w:divBdr>
                  <w:divsChild>
                    <w:div w:id="1684865545">
                      <w:marLeft w:val="0"/>
                      <w:marRight w:val="0"/>
                      <w:marTop w:val="0"/>
                      <w:marBottom w:val="0"/>
                      <w:divBdr>
                        <w:top w:val="none" w:sz="0" w:space="0" w:color="auto"/>
                        <w:left w:val="none" w:sz="0" w:space="0" w:color="auto"/>
                        <w:bottom w:val="none" w:sz="0" w:space="0" w:color="auto"/>
                        <w:right w:val="none" w:sz="0" w:space="0" w:color="auto"/>
                      </w:divBdr>
                    </w:div>
                  </w:divsChild>
                </w:div>
                <w:div w:id="183129069">
                  <w:marLeft w:val="0"/>
                  <w:marRight w:val="0"/>
                  <w:marTop w:val="0"/>
                  <w:marBottom w:val="0"/>
                  <w:divBdr>
                    <w:top w:val="none" w:sz="0" w:space="0" w:color="auto"/>
                    <w:left w:val="none" w:sz="0" w:space="0" w:color="auto"/>
                    <w:bottom w:val="none" w:sz="0" w:space="0" w:color="auto"/>
                    <w:right w:val="none" w:sz="0" w:space="0" w:color="auto"/>
                  </w:divBdr>
                  <w:divsChild>
                    <w:div w:id="1029142423">
                      <w:marLeft w:val="0"/>
                      <w:marRight w:val="0"/>
                      <w:marTop w:val="0"/>
                      <w:marBottom w:val="0"/>
                      <w:divBdr>
                        <w:top w:val="none" w:sz="0" w:space="0" w:color="auto"/>
                        <w:left w:val="none" w:sz="0" w:space="0" w:color="auto"/>
                        <w:bottom w:val="none" w:sz="0" w:space="0" w:color="auto"/>
                        <w:right w:val="none" w:sz="0" w:space="0" w:color="auto"/>
                      </w:divBdr>
                    </w:div>
                  </w:divsChild>
                </w:div>
                <w:div w:id="207421700">
                  <w:marLeft w:val="0"/>
                  <w:marRight w:val="0"/>
                  <w:marTop w:val="0"/>
                  <w:marBottom w:val="0"/>
                  <w:divBdr>
                    <w:top w:val="none" w:sz="0" w:space="0" w:color="auto"/>
                    <w:left w:val="none" w:sz="0" w:space="0" w:color="auto"/>
                    <w:bottom w:val="none" w:sz="0" w:space="0" w:color="auto"/>
                    <w:right w:val="none" w:sz="0" w:space="0" w:color="auto"/>
                  </w:divBdr>
                  <w:divsChild>
                    <w:div w:id="812022042">
                      <w:marLeft w:val="0"/>
                      <w:marRight w:val="0"/>
                      <w:marTop w:val="0"/>
                      <w:marBottom w:val="0"/>
                      <w:divBdr>
                        <w:top w:val="none" w:sz="0" w:space="0" w:color="auto"/>
                        <w:left w:val="none" w:sz="0" w:space="0" w:color="auto"/>
                        <w:bottom w:val="none" w:sz="0" w:space="0" w:color="auto"/>
                        <w:right w:val="none" w:sz="0" w:space="0" w:color="auto"/>
                      </w:divBdr>
                    </w:div>
                  </w:divsChild>
                </w:div>
                <w:div w:id="236669891">
                  <w:marLeft w:val="0"/>
                  <w:marRight w:val="0"/>
                  <w:marTop w:val="0"/>
                  <w:marBottom w:val="0"/>
                  <w:divBdr>
                    <w:top w:val="none" w:sz="0" w:space="0" w:color="auto"/>
                    <w:left w:val="none" w:sz="0" w:space="0" w:color="auto"/>
                    <w:bottom w:val="none" w:sz="0" w:space="0" w:color="auto"/>
                    <w:right w:val="none" w:sz="0" w:space="0" w:color="auto"/>
                  </w:divBdr>
                  <w:divsChild>
                    <w:div w:id="1762338896">
                      <w:marLeft w:val="0"/>
                      <w:marRight w:val="0"/>
                      <w:marTop w:val="0"/>
                      <w:marBottom w:val="0"/>
                      <w:divBdr>
                        <w:top w:val="none" w:sz="0" w:space="0" w:color="auto"/>
                        <w:left w:val="none" w:sz="0" w:space="0" w:color="auto"/>
                        <w:bottom w:val="none" w:sz="0" w:space="0" w:color="auto"/>
                        <w:right w:val="none" w:sz="0" w:space="0" w:color="auto"/>
                      </w:divBdr>
                    </w:div>
                  </w:divsChild>
                </w:div>
                <w:div w:id="243539107">
                  <w:marLeft w:val="0"/>
                  <w:marRight w:val="0"/>
                  <w:marTop w:val="0"/>
                  <w:marBottom w:val="0"/>
                  <w:divBdr>
                    <w:top w:val="none" w:sz="0" w:space="0" w:color="auto"/>
                    <w:left w:val="none" w:sz="0" w:space="0" w:color="auto"/>
                    <w:bottom w:val="none" w:sz="0" w:space="0" w:color="auto"/>
                    <w:right w:val="none" w:sz="0" w:space="0" w:color="auto"/>
                  </w:divBdr>
                  <w:divsChild>
                    <w:div w:id="905457471">
                      <w:marLeft w:val="0"/>
                      <w:marRight w:val="0"/>
                      <w:marTop w:val="0"/>
                      <w:marBottom w:val="0"/>
                      <w:divBdr>
                        <w:top w:val="none" w:sz="0" w:space="0" w:color="auto"/>
                        <w:left w:val="none" w:sz="0" w:space="0" w:color="auto"/>
                        <w:bottom w:val="none" w:sz="0" w:space="0" w:color="auto"/>
                        <w:right w:val="none" w:sz="0" w:space="0" w:color="auto"/>
                      </w:divBdr>
                    </w:div>
                  </w:divsChild>
                </w:div>
                <w:div w:id="279385012">
                  <w:marLeft w:val="0"/>
                  <w:marRight w:val="0"/>
                  <w:marTop w:val="0"/>
                  <w:marBottom w:val="0"/>
                  <w:divBdr>
                    <w:top w:val="none" w:sz="0" w:space="0" w:color="auto"/>
                    <w:left w:val="none" w:sz="0" w:space="0" w:color="auto"/>
                    <w:bottom w:val="none" w:sz="0" w:space="0" w:color="auto"/>
                    <w:right w:val="none" w:sz="0" w:space="0" w:color="auto"/>
                  </w:divBdr>
                  <w:divsChild>
                    <w:div w:id="1451315626">
                      <w:marLeft w:val="0"/>
                      <w:marRight w:val="0"/>
                      <w:marTop w:val="0"/>
                      <w:marBottom w:val="0"/>
                      <w:divBdr>
                        <w:top w:val="none" w:sz="0" w:space="0" w:color="auto"/>
                        <w:left w:val="none" w:sz="0" w:space="0" w:color="auto"/>
                        <w:bottom w:val="none" w:sz="0" w:space="0" w:color="auto"/>
                        <w:right w:val="none" w:sz="0" w:space="0" w:color="auto"/>
                      </w:divBdr>
                    </w:div>
                  </w:divsChild>
                </w:div>
                <w:div w:id="298343535">
                  <w:marLeft w:val="0"/>
                  <w:marRight w:val="0"/>
                  <w:marTop w:val="0"/>
                  <w:marBottom w:val="0"/>
                  <w:divBdr>
                    <w:top w:val="none" w:sz="0" w:space="0" w:color="auto"/>
                    <w:left w:val="none" w:sz="0" w:space="0" w:color="auto"/>
                    <w:bottom w:val="none" w:sz="0" w:space="0" w:color="auto"/>
                    <w:right w:val="none" w:sz="0" w:space="0" w:color="auto"/>
                  </w:divBdr>
                  <w:divsChild>
                    <w:div w:id="1380275720">
                      <w:marLeft w:val="0"/>
                      <w:marRight w:val="0"/>
                      <w:marTop w:val="0"/>
                      <w:marBottom w:val="0"/>
                      <w:divBdr>
                        <w:top w:val="none" w:sz="0" w:space="0" w:color="auto"/>
                        <w:left w:val="none" w:sz="0" w:space="0" w:color="auto"/>
                        <w:bottom w:val="none" w:sz="0" w:space="0" w:color="auto"/>
                        <w:right w:val="none" w:sz="0" w:space="0" w:color="auto"/>
                      </w:divBdr>
                    </w:div>
                  </w:divsChild>
                </w:div>
                <w:div w:id="300504285">
                  <w:marLeft w:val="0"/>
                  <w:marRight w:val="0"/>
                  <w:marTop w:val="0"/>
                  <w:marBottom w:val="0"/>
                  <w:divBdr>
                    <w:top w:val="none" w:sz="0" w:space="0" w:color="auto"/>
                    <w:left w:val="none" w:sz="0" w:space="0" w:color="auto"/>
                    <w:bottom w:val="none" w:sz="0" w:space="0" w:color="auto"/>
                    <w:right w:val="none" w:sz="0" w:space="0" w:color="auto"/>
                  </w:divBdr>
                  <w:divsChild>
                    <w:div w:id="680472166">
                      <w:marLeft w:val="0"/>
                      <w:marRight w:val="0"/>
                      <w:marTop w:val="0"/>
                      <w:marBottom w:val="0"/>
                      <w:divBdr>
                        <w:top w:val="none" w:sz="0" w:space="0" w:color="auto"/>
                        <w:left w:val="none" w:sz="0" w:space="0" w:color="auto"/>
                        <w:bottom w:val="none" w:sz="0" w:space="0" w:color="auto"/>
                        <w:right w:val="none" w:sz="0" w:space="0" w:color="auto"/>
                      </w:divBdr>
                    </w:div>
                  </w:divsChild>
                </w:div>
                <w:div w:id="365713267">
                  <w:marLeft w:val="0"/>
                  <w:marRight w:val="0"/>
                  <w:marTop w:val="0"/>
                  <w:marBottom w:val="0"/>
                  <w:divBdr>
                    <w:top w:val="none" w:sz="0" w:space="0" w:color="auto"/>
                    <w:left w:val="none" w:sz="0" w:space="0" w:color="auto"/>
                    <w:bottom w:val="none" w:sz="0" w:space="0" w:color="auto"/>
                    <w:right w:val="none" w:sz="0" w:space="0" w:color="auto"/>
                  </w:divBdr>
                  <w:divsChild>
                    <w:div w:id="2005932248">
                      <w:marLeft w:val="0"/>
                      <w:marRight w:val="0"/>
                      <w:marTop w:val="0"/>
                      <w:marBottom w:val="0"/>
                      <w:divBdr>
                        <w:top w:val="none" w:sz="0" w:space="0" w:color="auto"/>
                        <w:left w:val="none" w:sz="0" w:space="0" w:color="auto"/>
                        <w:bottom w:val="none" w:sz="0" w:space="0" w:color="auto"/>
                        <w:right w:val="none" w:sz="0" w:space="0" w:color="auto"/>
                      </w:divBdr>
                    </w:div>
                  </w:divsChild>
                </w:div>
                <w:div w:id="369843680">
                  <w:marLeft w:val="0"/>
                  <w:marRight w:val="0"/>
                  <w:marTop w:val="0"/>
                  <w:marBottom w:val="0"/>
                  <w:divBdr>
                    <w:top w:val="none" w:sz="0" w:space="0" w:color="auto"/>
                    <w:left w:val="none" w:sz="0" w:space="0" w:color="auto"/>
                    <w:bottom w:val="none" w:sz="0" w:space="0" w:color="auto"/>
                    <w:right w:val="none" w:sz="0" w:space="0" w:color="auto"/>
                  </w:divBdr>
                  <w:divsChild>
                    <w:div w:id="786433522">
                      <w:marLeft w:val="0"/>
                      <w:marRight w:val="0"/>
                      <w:marTop w:val="0"/>
                      <w:marBottom w:val="0"/>
                      <w:divBdr>
                        <w:top w:val="none" w:sz="0" w:space="0" w:color="auto"/>
                        <w:left w:val="none" w:sz="0" w:space="0" w:color="auto"/>
                        <w:bottom w:val="none" w:sz="0" w:space="0" w:color="auto"/>
                        <w:right w:val="none" w:sz="0" w:space="0" w:color="auto"/>
                      </w:divBdr>
                    </w:div>
                  </w:divsChild>
                </w:div>
                <w:div w:id="381637536">
                  <w:marLeft w:val="0"/>
                  <w:marRight w:val="0"/>
                  <w:marTop w:val="0"/>
                  <w:marBottom w:val="0"/>
                  <w:divBdr>
                    <w:top w:val="none" w:sz="0" w:space="0" w:color="auto"/>
                    <w:left w:val="none" w:sz="0" w:space="0" w:color="auto"/>
                    <w:bottom w:val="none" w:sz="0" w:space="0" w:color="auto"/>
                    <w:right w:val="none" w:sz="0" w:space="0" w:color="auto"/>
                  </w:divBdr>
                  <w:divsChild>
                    <w:div w:id="320037071">
                      <w:marLeft w:val="0"/>
                      <w:marRight w:val="0"/>
                      <w:marTop w:val="0"/>
                      <w:marBottom w:val="0"/>
                      <w:divBdr>
                        <w:top w:val="none" w:sz="0" w:space="0" w:color="auto"/>
                        <w:left w:val="none" w:sz="0" w:space="0" w:color="auto"/>
                        <w:bottom w:val="none" w:sz="0" w:space="0" w:color="auto"/>
                        <w:right w:val="none" w:sz="0" w:space="0" w:color="auto"/>
                      </w:divBdr>
                    </w:div>
                  </w:divsChild>
                </w:div>
                <w:div w:id="398022705">
                  <w:marLeft w:val="0"/>
                  <w:marRight w:val="0"/>
                  <w:marTop w:val="0"/>
                  <w:marBottom w:val="0"/>
                  <w:divBdr>
                    <w:top w:val="none" w:sz="0" w:space="0" w:color="auto"/>
                    <w:left w:val="none" w:sz="0" w:space="0" w:color="auto"/>
                    <w:bottom w:val="none" w:sz="0" w:space="0" w:color="auto"/>
                    <w:right w:val="none" w:sz="0" w:space="0" w:color="auto"/>
                  </w:divBdr>
                  <w:divsChild>
                    <w:div w:id="52512193">
                      <w:marLeft w:val="0"/>
                      <w:marRight w:val="0"/>
                      <w:marTop w:val="0"/>
                      <w:marBottom w:val="0"/>
                      <w:divBdr>
                        <w:top w:val="none" w:sz="0" w:space="0" w:color="auto"/>
                        <w:left w:val="none" w:sz="0" w:space="0" w:color="auto"/>
                        <w:bottom w:val="none" w:sz="0" w:space="0" w:color="auto"/>
                        <w:right w:val="none" w:sz="0" w:space="0" w:color="auto"/>
                      </w:divBdr>
                    </w:div>
                  </w:divsChild>
                </w:div>
                <w:div w:id="409347863">
                  <w:marLeft w:val="0"/>
                  <w:marRight w:val="0"/>
                  <w:marTop w:val="0"/>
                  <w:marBottom w:val="0"/>
                  <w:divBdr>
                    <w:top w:val="none" w:sz="0" w:space="0" w:color="auto"/>
                    <w:left w:val="none" w:sz="0" w:space="0" w:color="auto"/>
                    <w:bottom w:val="none" w:sz="0" w:space="0" w:color="auto"/>
                    <w:right w:val="none" w:sz="0" w:space="0" w:color="auto"/>
                  </w:divBdr>
                  <w:divsChild>
                    <w:div w:id="1810587739">
                      <w:marLeft w:val="0"/>
                      <w:marRight w:val="0"/>
                      <w:marTop w:val="0"/>
                      <w:marBottom w:val="0"/>
                      <w:divBdr>
                        <w:top w:val="none" w:sz="0" w:space="0" w:color="auto"/>
                        <w:left w:val="none" w:sz="0" w:space="0" w:color="auto"/>
                        <w:bottom w:val="none" w:sz="0" w:space="0" w:color="auto"/>
                        <w:right w:val="none" w:sz="0" w:space="0" w:color="auto"/>
                      </w:divBdr>
                    </w:div>
                  </w:divsChild>
                </w:div>
                <w:div w:id="414669695">
                  <w:marLeft w:val="0"/>
                  <w:marRight w:val="0"/>
                  <w:marTop w:val="0"/>
                  <w:marBottom w:val="0"/>
                  <w:divBdr>
                    <w:top w:val="none" w:sz="0" w:space="0" w:color="auto"/>
                    <w:left w:val="none" w:sz="0" w:space="0" w:color="auto"/>
                    <w:bottom w:val="none" w:sz="0" w:space="0" w:color="auto"/>
                    <w:right w:val="none" w:sz="0" w:space="0" w:color="auto"/>
                  </w:divBdr>
                  <w:divsChild>
                    <w:div w:id="121463899">
                      <w:marLeft w:val="0"/>
                      <w:marRight w:val="0"/>
                      <w:marTop w:val="0"/>
                      <w:marBottom w:val="0"/>
                      <w:divBdr>
                        <w:top w:val="none" w:sz="0" w:space="0" w:color="auto"/>
                        <w:left w:val="none" w:sz="0" w:space="0" w:color="auto"/>
                        <w:bottom w:val="none" w:sz="0" w:space="0" w:color="auto"/>
                        <w:right w:val="none" w:sz="0" w:space="0" w:color="auto"/>
                      </w:divBdr>
                    </w:div>
                  </w:divsChild>
                </w:div>
                <w:div w:id="421416800">
                  <w:marLeft w:val="0"/>
                  <w:marRight w:val="0"/>
                  <w:marTop w:val="0"/>
                  <w:marBottom w:val="0"/>
                  <w:divBdr>
                    <w:top w:val="none" w:sz="0" w:space="0" w:color="auto"/>
                    <w:left w:val="none" w:sz="0" w:space="0" w:color="auto"/>
                    <w:bottom w:val="none" w:sz="0" w:space="0" w:color="auto"/>
                    <w:right w:val="none" w:sz="0" w:space="0" w:color="auto"/>
                  </w:divBdr>
                  <w:divsChild>
                    <w:div w:id="1627194295">
                      <w:marLeft w:val="0"/>
                      <w:marRight w:val="0"/>
                      <w:marTop w:val="0"/>
                      <w:marBottom w:val="0"/>
                      <w:divBdr>
                        <w:top w:val="none" w:sz="0" w:space="0" w:color="auto"/>
                        <w:left w:val="none" w:sz="0" w:space="0" w:color="auto"/>
                        <w:bottom w:val="none" w:sz="0" w:space="0" w:color="auto"/>
                        <w:right w:val="none" w:sz="0" w:space="0" w:color="auto"/>
                      </w:divBdr>
                    </w:div>
                  </w:divsChild>
                </w:div>
                <w:div w:id="435446001">
                  <w:marLeft w:val="0"/>
                  <w:marRight w:val="0"/>
                  <w:marTop w:val="0"/>
                  <w:marBottom w:val="0"/>
                  <w:divBdr>
                    <w:top w:val="none" w:sz="0" w:space="0" w:color="auto"/>
                    <w:left w:val="none" w:sz="0" w:space="0" w:color="auto"/>
                    <w:bottom w:val="none" w:sz="0" w:space="0" w:color="auto"/>
                    <w:right w:val="none" w:sz="0" w:space="0" w:color="auto"/>
                  </w:divBdr>
                  <w:divsChild>
                    <w:div w:id="626353793">
                      <w:marLeft w:val="0"/>
                      <w:marRight w:val="0"/>
                      <w:marTop w:val="0"/>
                      <w:marBottom w:val="0"/>
                      <w:divBdr>
                        <w:top w:val="none" w:sz="0" w:space="0" w:color="auto"/>
                        <w:left w:val="none" w:sz="0" w:space="0" w:color="auto"/>
                        <w:bottom w:val="none" w:sz="0" w:space="0" w:color="auto"/>
                        <w:right w:val="none" w:sz="0" w:space="0" w:color="auto"/>
                      </w:divBdr>
                    </w:div>
                  </w:divsChild>
                </w:div>
                <w:div w:id="460076109">
                  <w:marLeft w:val="0"/>
                  <w:marRight w:val="0"/>
                  <w:marTop w:val="0"/>
                  <w:marBottom w:val="0"/>
                  <w:divBdr>
                    <w:top w:val="none" w:sz="0" w:space="0" w:color="auto"/>
                    <w:left w:val="none" w:sz="0" w:space="0" w:color="auto"/>
                    <w:bottom w:val="none" w:sz="0" w:space="0" w:color="auto"/>
                    <w:right w:val="none" w:sz="0" w:space="0" w:color="auto"/>
                  </w:divBdr>
                  <w:divsChild>
                    <w:div w:id="395401216">
                      <w:marLeft w:val="0"/>
                      <w:marRight w:val="0"/>
                      <w:marTop w:val="0"/>
                      <w:marBottom w:val="0"/>
                      <w:divBdr>
                        <w:top w:val="none" w:sz="0" w:space="0" w:color="auto"/>
                        <w:left w:val="none" w:sz="0" w:space="0" w:color="auto"/>
                        <w:bottom w:val="none" w:sz="0" w:space="0" w:color="auto"/>
                        <w:right w:val="none" w:sz="0" w:space="0" w:color="auto"/>
                      </w:divBdr>
                    </w:div>
                  </w:divsChild>
                </w:div>
                <w:div w:id="479730916">
                  <w:marLeft w:val="0"/>
                  <w:marRight w:val="0"/>
                  <w:marTop w:val="0"/>
                  <w:marBottom w:val="0"/>
                  <w:divBdr>
                    <w:top w:val="none" w:sz="0" w:space="0" w:color="auto"/>
                    <w:left w:val="none" w:sz="0" w:space="0" w:color="auto"/>
                    <w:bottom w:val="none" w:sz="0" w:space="0" w:color="auto"/>
                    <w:right w:val="none" w:sz="0" w:space="0" w:color="auto"/>
                  </w:divBdr>
                  <w:divsChild>
                    <w:div w:id="482083871">
                      <w:marLeft w:val="0"/>
                      <w:marRight w:val="0"/>
                      <w:marTop w:val="0"/>
                      <w:marBottom w:val="0"/>
                      <w:divBdr>
                        <w:top w:val="none" w:sz="0" w:space="0" w:color="auto"/>
                        <w:left w:val="none" w:sz="0" w:space="0" w:color="auto"/>
                        <w:bottom w:val="none" w:sz="0" w:space="0" w:color="auto"/>
                        <w:right w:val="none" w:sz="0" w:space="0" w:color="auto"/>
                      </w:divBdr>
                    </w:div>
                  </w:divsChild>
                </w:div>
                <w:div w:id="547450397">
                  <w:marLeft w:val="0"/>
                  <w:marRight w:val="0"/>
                  <w:marTop w:val="0"/>
                  <w:marBottom w:val="0"/>
                  <w:divBdr>
                    <w:top w:val="none" w:sz="0" w:space="0" w:color="auto"/>
                    <w:left w:val="none" w:sz="0" w:space="0" w:color="auto"/>
                    <w:bottom w:val="none" w:sz="0" w:space="0" w:color="auto"/>
                    <w:right w:val="none" w:sz="0" w:space="0" w:color="auto"/>
                  </w:divBdr>
                  <w:divsChild>
                    <w:div w:id="296574053">
                      <w:marLeft w:val="0"/>
                      <w:marRight w:val="0"/>
                      <w:marTop w:val="0"/>
                      <w:marBottom w:val="0"/>
                      <w:divBdr>
                        <w:top w:val="none" w:sz="0" w:space="0" w:color="auto"/>
                        <w:left w:val="none" w:sz="0" w:space="0" w:color="auto"/>
                        <w:bottom w:val="none" w:sz="0" w:space="0" w:color="auto"/>
                        <w:right w:val="none" w:sz="0" w:space="0" w:color="auto"/>
                      </w:divBdr>
                    </w:div>
                  </w:divsChild>
                </w:div>
                <w:div w:id="592056832">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0"/>
                      <w:marRight w:val="0"/>
                      <w:marTop w:val="0"/>
                      <w:marBottom w:val="0"/>
                      <w:divBdr>
                        <w:top w:val="none" w:sz="0" w:space="0" w:color="auto"/>
                        <w:left w:val="none" w:sz="0" w:space="0" w:color="auto"/>
                        <w:bottom w:val="none" w:sz="0" w:space="0" w:color="auto"/>
                        <w:right w:val="none" w:sz="0" w:space="0" w:color="auto"/>
                      </w:divBdr>
                    </w:div>
                  </w:divsChild>
                </w:div>
                <w:div w:id="596250528">
                  <w:marLeft w:val="0"/>
                  <w:marRight w:val="0"/>
                  <w:marTop w:val="0"/>
                  <w:marBottom w:val="0"/>
                  <w:divBdr>
                    <w:top w:val="none" w:sz="0" w:space="0" w:color="auto"/>
                    <w:left w:val="none" w:sz="0" w:space="0" w:color="auto"/>
                    <w:bottom w:val="none" w:sz="0" w:space="0" w:color="auto"/>
                    <w:right w:val="none" w:sz="0" w:space="0" w:color="auto"/>
                  </w:divBdr>
                  <w:divsChild>
                    <w:div w:id="1005091039">
                      <w:marLeft w:val="0"/>
                      <w:marRight w:val="0"/>
                      <w:marTop w:val="0"/>
                      <w:marBottom w:val="0"/>
                      <w:divBdr>
                        <w:top w:val="none" w:sz="0" w:space="0" w:color="auto"/>
                        <w:left w:val="none" w:sz="0" w:space="0" w:color="auto"/>
                        <w:bottom w:val="none" w:sz="0" w:space="0" w:color="auto"/>
                        <w:right w:val="none" w:sz="0" w:space="0" w:color="auto"/>
                      </w:divBdr>
                    </w:div>
                  </w:divsChild>
                </w:div>
                <w:div w:id="637566053">
                  <w:marLeft w:val="0"/>
                  <w:marRight w:val="0"/>
                  <w:marTop w:val="0"/>
                  <w:marBottom w:val="0"/>
                  <w:divBdr>
                    <w:top w:val="none" w:sz="0" w:space="0" w:color="auto"/>
                    <w:left w:val="none" w:sz="0" w:space="0" w:color="auto"/>
                    <w:bottom w:val="none" w:sz="0" w:space="0" w:color="auto"/>
                    <w:right w:val="none" w:sz="0" w:space="0" w:color="auto"/>
                  </w:divBdr>
                  <w:divsChild>
                    <w:div w:id="369839898">
                      <w:marLeft w:val="0"/>
                      <w:marRight w:val="0"/>
                      <w:marTop w:val="0"/>
                      <w:marBottom w:val="0"/>
                      <w:divBdr>
                        <w:top w:val="none" w:sz="0" w:space="0" w:color="auto"/>
                        <w:left w:val="none" w:sz="0" w:space="0" w:color="auto"/>
                        <w:bottom w:val="none" w:sz="0" w:space="0" w:color="auto"/>
                        <w:right w:val="none" w:sz="0" w:space="0" w:color="auto"/>
                      </w:divBdr>
                    </w:div>
                  </w:divsChild>
                </w:div>
                <w:div w:id="637809417">
                  <w:marLeft w:val="0"/>
                  <w:marRight w:val="0"/>
                  <w:marTop w:val="0"/>
                  <w:marBottom w:val="0"/>
                  <w:divBdr>
                    <w:top w:val="none" w:sz="0" w:space="0" w:color="auto"/>
                    <w:left w:val="none" w:sz="0" w:space="0" w:color="auto"/>
                    <w:bottom w:val="none" w:sz="0" w:space="0" w:color="auto"/>
                    <w:right w:val="none" w:sz="0" w:space="0" w:color="auto"/>
                  </w:divBdr>
                  <w:divsChild>
                    <w:div w:id="1336349284">
                      <w:marLeft w:val="0"/>
                      <w:marRight w:val="0"/>
                      <w:marTop w:val="0"/>
                      <w:marBottom w:val="0"/>
                      <w:divBdr>
                        <w:top w:val="none" w:sz="0" w:space="0" w:color="auto"/>
                        <w:left w:val="none" w:sz="0" w:space="0" w:color="auto"/>
                        <w:bottom w:val="none" w:sz="0" w:space="0" w:color="auto"/>
                        <w:right w:val="none" w:sz="0" w:space="0" w:color="auto"/>
                      </w:divBdr>
                    </w:div>
                  </w:divsChild>
                </w:div>
                <w:div w:id="756252651">
                  <w:marLeft w:val="0"/>
                  <w:marRight w:val="0"/>
                  <w:marTop w:val="0"/>
                  <w:marBottom w:val="0"/>
                  <w:divBdr>
                    <w:top w:val="none" w:sz="0" w:space="0" w:color="auto"/>
                    <w:left w:val="none" w:sz="0" w:space="0" w:color="auto"/>
                    <w:bottom w:val="none" w:sz="0" w:space="0" w:color="auto"/>
                    <w:right w:val="none" w:sz="0" w:space="0" w:color="auto"/>
                  </w:divBdr>
                  <w:divsChild>
                    <w:div w:id="1122500692">
                      <w:marLeft w:val="0"/>
                      <w:marRight w:val="0"/>
                      <w:marTop w:val="0"/>
                      <w:marBottom w:val="0"/>
                      <w:divBdr>
                        <w:top w:val="none" w:sz="0" w:space="0" w:color="auto"/>
                        <w:left w:val="none" w:sz="0" w:space="0" w:color="auto"/>
                        <w:bottom w:val="none" w:sz="0" w:space="0" w:color="auto"/>
                        <w:right w:val="none" w:sz="0" w:space="0" w:color="auto"/>
                      </w:divBdr>
                    </w:div>
                  </w:divsChild>
                </w:div>
                <w:div w:id="766777097">
                  <w:marLeft w:val="0"/>
                  <w:marRight w:val="0"/>
                  <w:marTop w:val="0"/>
                  <w:marBottom w:val="0"/>
                  <w:divBdr>
                    <w:top w:val="none" w:sz="0" w:space="0" w:color="auto"/>
                    <w:left w:val="none" w:sz="0" w:space="0" w:color="auto"/>
                    <w:bottom w:val="none" w:sz="0" w:space="0" w:color="auto"/>
                    <w:right w:val="none" w:sz="0" w:space="0" w:color="auto"/>
                  </w:divBdr>
                  <w:divsChild>
                    <w:div w:id="1867475716">
                      <w:marLeft w:val="0"/>
                      <w:marRight w:val="0"/>
                      <w:marTop w:val="0"/>
                      <w:marBottom w:val="0"/>
                      <w:divBdr>
                        <w:top w:val="none" w:sz="0" w:space="0" w:color="auto"/>
                        <w:left w:val="none" w:sz="0" w:space="0" w:color="auto"/>
                        <w:bottom w:val="none" w:sz="0" w:space="0" w:color="auto"/>
                        <w:right w:val="none" w:sz="0" w:space="0" w:color="auto"/>
                      </w:divBdr>
                    </w:div>
                  </w:divsChild>
                </w:div>
                <w:div w:id="780223432">
                  <w:marLeft w:val="0"/>
                  <w:marRight w:val="0"/>
                  <w:marTop w:val="0"/>
                  <w:marBottom w:val="0"/>
                  <w:divBdr>
                    <w:top w:val="none" w:sz="0" w:space="0" w:color="auto"/>
                    <w:left w:val="none" w:sz="0" w:space="0" w:color="auto"/>
                    <w:bottom w:val="none" w:sz="0" w:space="0" w:color="auto"/>
                    <w:right w:val="none" w:sz="0" w:space="0" w:color="auto"/>
                  </w:divBdr>
                  <w:divsChild>
                    <w:div w:id="2055499174">
                      <w:marLeft w:val="0"/>
                      <w:marRight w:val="0"/>
                      <w:marTop w:val="0"/>
                      <w:marBottom w:val="0"/>
                      <w:divBdr>
                        <w:top w:val="none" w:sz="0" w:space="0" w:color="auto"/>
                        <w:left w:val="none" w:sz="0" w:space="0" w:color="auto"/>
                        <w:bottom w:val="none" w:sz="0" w:space="0" w:color="auto"/>
                        <w:right w:val="none" w:sz="0" w:space="0" w:color="auto"/>
                      </w:divBdr>
                    </w:div>
                  </w:divsChild>
                </w:div>
                <w:div w:id="805665106">
                  <w:marLeft w:val="0"/>
                  <w:marRight w:val="0"/>
                  <w:marTop w:val="0"/>
                  <w:marBottom w:val="0"/>
                  <w:divBdr>
                    <w:top w:val="none" w:sz="0" w:space="0" w:color="auto"/>
                    <w:left w:val="none" w:sz="0" w:space="0" w:color="auto"/>
                    <w:bottom w:val="none" w:sz="0" w:space="0" w:color="auto"/>
                    <w:right w:val="none" w:sz="0" w:space="0" w:color="auto"/>
                  </w:divBdr>
                  <w:divsChild>
                    <w:div w:id="1003388831">
                      <w:marLeft w:val="0"/>
                      <w:marRight w:val="0"/>
                      <w:marTop w:val="0"/>
                      <w:marBottom w:val="0"/>
                      <w:divBdr>
                        <w:top w:val="none" w:sz="0" w:space="0" w:color="auto"/>
                        <w:left w:val="none" w:sz="0" w:space="0" w:color="auto"/>
                        <w:bottom w:val="none" w:sz="0" w:space="0" w:color="auto"/>
                        <w:right w:val="none" w:sz="0" w:space="0" w:color="auto"/>
                      </w:divBdr>
                    </w:div>
                  </w:divsChild>
                </w:div>
                <w:div w:id="809052030">
                  <w:marLeft w:val="0"/>
                  <w:marRight w:val="0"/>
                  <w:marTop w:val="0"/>
                  <w:marBottom w:val="0"/>
                  <w:divBdr>
                    <w:top w:val="none" w:sz="0" w:space="0" w:color="auto"/>
                    <w:left w:val="none" w:sz="0" w:space="0" w:color="auto"/>
                    <w:bottom w:val="none" w:sz="0" w:space="0" w:color="auto"/>
                    <w:right w:val="none" w:sz="0" w:space="0" w:color="auto"/>
                  </w:divBdr>
                  <w:divsChild>
                    <w:div w:id="1946494770">
                      <w:marLeft w:val="0"/>
                      <w:marRight w:val="0"/>
                      <w:marTop w:val="0"/>
                      <w:marBottom w:val="0"/>
                      <w:divBdr>
                        <w:top w:val="none" w:sz="0" w:space="0" w:color="auto"/>
                        <w:left w:val="none" w:sz="0" w:space="0" w:color="auto"/>
                        <w:bottom w:val="none" w:sz="0" w:space="0" w:color="auto"/>
                        <w:right w:val="none" w:sz="0" w:space="0" w:color="auto"/>
                      </w:divBdr>
                    </w:div>
                  </w:divsChild>
                </w:div>
                <w:div w:id="831722520">
                  <w:marLeft w:val="0"/>
                  <w:marRight w:val="0"/>
                  <w:marTop w:val="0"/>
                  <w:marBottom w:val="0"/>
                  <w:divBdr>
                    <w:top w:val="none" w:sz="0" w:space="0" w:color="auto"/>
                    <w:left w:val="none" w:sz="0" w:space="0" w:color="auto"/>
                    <w:bottom w:val="none" w:sz="0" w:space="0" w:color="auto"/>
                    <w:right w:val="none" w:sz="0" w:space="0" w:color="auto"/>
                  </w:divBdr>
                  <w:divsChild>
                    <w:div w:id="417144395">
                      <w:marLeft w:val="0"/>
                      <w:marRight w:val="0"/>
                      <w:marTop w:val="0"/>
                      <w:marBottom w:val="0"/>
                      <w:divBdr>
                        <w:top w:val="none" w:sz="0" w:space="0" w:color="auto"/>
                        <w:left w:val="none" w:sz="0" w:space="0" w:color="auto"/>
                        <w:bottom w:val="none" w:sz="0" w:space="0" w:color="auto"/>
                        <w:right w:val="none" w:sz="0" w:space="0" w:color="auto"/>
                      </w:divBdr>
                    </w:div>
                  </w:divsChild>
                </w:div>
                <w:div w:id="911432188">
                  <w:marLeft w:val="0"/>
                  <w:marRight w:val="0"/>
                  <w:marTop w:val="0"/>
                  <w:marBottom w:val="0"/>
                  <w:divBdr>
                    <w:top w:val="none" w:sz="0" w:space="0" w:color="auto"/>
                    <w:left w:val="none" w:sz="0" w:space="0" w:color="auto"/>
                    <w:bottom w:val="none" w:sz="0" w:space="0" w:color="auto"/>
                    <w:right w:val="none" w:sz="0" w:space="0" w:color="auto"/>
                  </w:divBdr>
                  <w:divsChild>
                    <w:div w:id="922640122">
                      <w:marLeft w:val="0"/>
                      <w:marRight w:val="0"/>
                      <w:marTop w:val="0"/>
                      <w:marBottom w:val="0"/>
                      <w:divBdr>
                        <w:top w:val="none" w:sz="0" w:space="0" w:color="auto"/>
                        <w:left w:val="none" w:sz="0" w:space="0" w:color="auto"/>
                        <w:bottom w:val="none" w:sz="0" w:space="0" w:color="auto"/>
                        <w:right w:val="none" w:sz="0" w:space="0" w:color="auto"/>
                      </w:divBdr>
                    </w:div>
                  </w:divsChild>
                </w:div>
                <w:div w:id="957180472">
                  <w:marLeft w:val="0"/>
                  <w:marRight w:val="0"/>
                  <w:marTop w:val="0"/>
                  <w:marBottom w:val="0"/>
                  <w:divBdr>
                    <w:top w:val="none" w:sz="0" w:space="0" w:color="auto"/>
                    <w:left w:val="none" w:sz="0" w:space="0" w:color="auto"/>
                    <w:bottom w:val="none" w:sz="0" w:space="0" w:color="auto"/>
                    <w:right w:val="none" w:sz="0" w:space="0" w:color="auto"/>
                  </w:divBdr>
                  <w:divsChild>
                    <w:div w:id="1555120357">
                      <w:marLeft w:val="0"/>
                      <w:marRight w:val="0"/>
                      <w:marTop w:val="0"/>
                      <w:marBottom w:val="0"/>
                      <w:divBdr>
                        <w:top w:val="none" w:sz="0" w:space="0" w:color="auto"/>
                        <w:left w:val="none" w:sz="0" w:space="0" w:color="auto"/>
                        <w:bottom w:val="none" w:sz="0" w:space="0" w:color="auto"/>
                        <w:right w:val="none" w:sz="0" w:space="0" w:color="auto"/>
                      </w:divBdr>
                    </w:div>
                  </w:divsChild>
                </w:div>
                <w:div w:id="965702440">
                  <w:marLeft w:val="0"/>
                  <w:marRight w:val="0"/>
                  <w:marTop w:val="0"/>
                  <w:marBottom w:val="0"/>
                  <w:divBdr>
                    <w:top w:val="none" w:sz="0" w:space="0" w:color="auto"/>
                    <w:left w:val="none" w:sz="0" w:space="0" w:color="auto"/>
                    <w:bottom w:val="none" w:sz="0" w:space="0" w:color="auto"/>
                    <w:right w:val="none" w:sz="0" w:space="0" w:color="auto"/>
                  </w:divBdr>
                  <w:divsChild>
                    <w:div w:id="1221791113">
                      <w:marLeft w:val="0"/>
                      <w:marRight w:val="0"/>
                      <w:marTop w:val="0"/>
                      <w:marBottom w:val="0"/>
                      <w:divBdr>
                        <w:top w:val="none" w:sz="0" w:space="0" w:color="auto"/>
                        <w:left w:val="none" w:sz="0" w:space="0" w:color="auto"/>
                        <w:bottom w:val="none" w:sz="0" w:space="0" w:color="auto"/>
                        <w:right w:val="none" w:sz="0" w:space="0" w:color="auto"/>
                      </w:divBdr>
                    </w:div>
                  </w:divsChild>
                </w:div>
                <w:div w:id="978192322">
                  <w:marLeft w:val="0"/>
                  <w:marRight w:val="0"/>
                  <w:marTop w:val="0"/>
                  <w:marBottom w:val="0"/>
                  <w:divBdr>
                    <w:top w:val="none" w:sz="0" w:space="0" w:color="auto"/>
                    <w:left w:val="none" w:sz="0" w:space="0" w:color="auto"/>
                    <w:bottom w:val="none" w:sz="0" w:space="0" w:color="auto"/>
                    <w:right w:val="none" w:sz="0" w:space="0" w:color="auto"/>
                  </w:divBdr>
                  <w:divsChild>
                    <w:div w:id="206530522">
                      <w:marLeft w:val="0"/>
                      <w:marRight w:val="0"/>
                      <w:marTop w:val="0"/>
                      <w:marBottom w:val="0"/>
                      <w:divBdr>
                        <w:top w:val="none" w:sz="0" w:space="0" w:color="auto"/>
                        <w:left w:val="none" w:sz="0" w:space="0" w:color="auto"/>
                        <w:bottom w:val="none" w:sz="0" w:space="0" w:color="auto"/>
                        <w:right w:val="none" w:sz="0" w:space="0" w:color="auto"/>
                      </w:divBdr>
                    </w:div>
                  </w:divsChild>
                </w:div>
                <w:div w:id="1004361654">
                  <w:marLeft w:val="0"/>
                  <w:marRight w:val="0"/>
                  <w:marTop w:val="0"/>
                  <w:marBottom w:val="0"/>
                  <w:divBdr>
                    <w:top w:val="none" w:sz="0" w:space="0" w:color="auto"/>
                    <w:left w:val="none" w:sz="0" w:space="0" w:color="auto"/>
                    <w:bottom w:val="none" w:sz="0" w:space="0" w:color="auto"/>
                    <w:right w:val="none" w:sz="0" w:space="0" w:color="auto"/>
                  </w:divBdr>
                  <w:divsChild>
                    <w:div w:id="421027735">
                      <w:marLeft w:val="0"/>
                      <w:marRight w:val="0"/>
                      <w:marTop w:val="0"/>
                      <w:marBottom w:val="0"/>
                      <w:divBdr>
                        <w:top w:val="none" w:sz="0" w:space="0" w:color="auto"/>
                        <w:left w:val="none" w:sz="0" w:space="0" w:color="auto"/>
                        <w:bottom w:val="none" w:sz="0" w:space="0" w:color="auto"/>
                        <w:right w:val="none" w:sz="0" w:space="0" w:color="auto"/>
                      </w:divBdr>
                    </w:div>
                  </w:divsChild>
                </w:div>
                <w:div w:id="1021975966">
                  <w:marLeft w:val="0"/>
                  <w:marRight w:val="0"/>
                  <w:marTop w:val="0"/>
                  <w:marBottom w:val="0"/>
                  <w:divBdr>
                    <w:top w:val="none" w:sz="0" w:space="0" w:color="auto"/>
                    <w:left w:val="none" w:sz="0" w:space="0" w:color="auto"/>
                    <w:bottom w:val="none" w:sz="0" w:space="0" w:color="auto"/>
                    <w:right w:val="none" w:sz="0" w:space="0" w:color="auto"/>
                  </w:divBdr>
                  <w:divsChild>
                    <w:div w:id="794056865">
                      <w:marLeft w:val="0"/>
                      <w:marRight w:val="0"/>
                      <w:marTop w:val="0"/>
                      <w:marBottom w:val="0"/>
                      <w:divBdr>
                        <w:top w:val="none" w:sz="0" w:space="0" w:color="auto"/>
                        <w:left w:val="none" w:sz="0" w:space="0" w:color="auto"/>
                        <w:bottom w:val="none" w:sz="0" w:space="0" w:color="auto"/>
                        <w:right w:val="none" w:sz="0" w:space="0" w:color="auto"/>
                      </w:divBdr>
                    </w:div>
                  </w:divsChild>
                </w:div>
                <w:div w:id="1148128361">
                  <w:marLeft w:val="0"/>
                  <w:marRight w:val="0"/>
                  <w:marTop w:val="0"/>
                  <w:marBottom w:val="0"/>
                  <w:divBdr>
                    <w:top w:val="none" w:sz="0" w:space="0" w:color="auto"/>
                    <w:left w:val="none" w:sz="0" w:space="0" w:color="auto"/>
                    <w:bottom w:val="none" w:sz="0" w:space="0" w:color="auto"/>
                    <w:right w:val="none" w:sz="0" w:space="0" w:color="auto"/>
                  </w:divBdr>
                  <w:divsChild>
                    <w:div w:id="1749035713">
                      <w:marLeft w:val="0"/>
                      <w:marRight w:val="0"/>
                      <w:marTop w:val="0"/>
                      <w:marBottom w:val="0"/>
                      <w:divBdr>
                        <w:top w:val="none" w:sz="0" w:space="0" w:color="auto"/>
                        <w:left w:val="none" w:sz="0" w:space="0" w:color="auto"/>
                        <w:bottom w:val="none" w:sz="0" w:space="0" w:color="auto"/>
                        <w:right w:val="none" w:sz="0" w:space="0" w:color="auto"/>
                      </w:divBdr>
                    </w:div>
                  </w:divsChild>
                </w:div>
                <w:div w:id="1231044189">
                  <w:marLeft w:val="0"/>
                  <w:marRight w:val="0"/>
                  <w:marTop w:val="0"/>
                  <w:marBottom w:val="0"/>
                  <w:divBdr>
                    <w:top w:val="none" w:sz="0" w:space="0" w:color="auto"/>
                    <w:left w:val="none" w:sz="0" w:space="0" w:color="auto"/>
                    <w:bottom w:val="none" w:sz="0" w:space="0" w:color="auto"/>
                    <w:right w:val="none" w:sz="0" w:space="0" w:color="auto"/>
                  </w:divBdr>
                  <w:divsChild>
                    <w:div w:id="1541161860">
                      <w:marLeft w:val="0"/>
                      <w:marRight w:val="0"/>
                      <w:marTop w:val="0"/>
                      <w:marBottom w:val="0"/>
                      <w:divBdr>
                        <w:top w:val="none" w:sz="0" w:space="0" w:color="auto"/>
                        <w:left w:val="none" w:sz="0" w:space="0" w:color="auto"/>
                        <w:bottom w:val="none" w:sz="0" w:space="0" w:color="auto"/>
                        <w:right w:val="none" w:sz="0" w:space="0" w:color="auto"/>
                      </w:divBdr>
                    </w:div>
                  </w:divsChild>
                </w:div>
                <w:div w:id="1231428138">
                  <w:marLeft w:val="0"/>
                  <w:marRight w:val="0"/>
                  <w:marTop w:val="0"/>
                  <w:marBottom w:val="0"/>
                  <w:divBdr>
                    <w:top w:val="none" w:sz="0" w:space="0" w:color="auto"/>
                    <w:left w:val="none" w:sz="0" w:space="0" w:color="auto"/>
                    <w:bottom w:val="none" w:sz="0" w:space="0" w:color="auto"/>
                    <w:right w:val="none" w:sz="0" w:space="0" w:color="auto"/>
                  </w:divBdr>
                  <w:divsChild>
                    <w:div w:id="1397239473">
                      <w:marLeft w:val="0"/>
                      <w:marRight w:val="0"/>
                      <w:marTop w:val="0"/>
                      <w:marBottom w:val="0"/>
                      <w:divBdr>
                        <w:top w:val="none" w:sz="0" w:space="0" w:color="auto"/>
                        <w:left w:val="none" w:sz="0" w:space="0" w:color="auto"/>
                        <w:bottom w:val="none" w:sz="0" w:space="0" w:color="auto"/>
                        <w:right w:val="none" w:sz="0" w:space="0" w:color="auto"/>
                      </w:divBdr>
                    </w:div>
                  </w:divsChild>
                </w:div>
                <w:div w:id="1242182041">
                  <w:marLeft w:val="0"/>
                  <w:marRight w:val="0"/>
                  <w:marTop w:val="0"/>
                  <w:marBottom w:val="0"/>
                  <w:divBdr>
                    <w:top w:val="none" w:sz="0" w:space="0" w:color="auto"/>
                    <w:left w:val="none" w:sz="0" w:space="0" w:color="auto"/>
                    <w:bottom w:val="none" w:sz="0" w:space="0" w:color="auto"/>
                    <w:right w:val="none" w:sz="0" w:space="0" w:color="auto"/>
                  </w:divBdr>
                  <w:divsChild>
                    <w:div w:id="1116557997">
                      <w:marLeft w:val="0"/>
                      <w:marRight w:val="0"/>
                      <w:marTop w:val="0"/>
                      <w:marBottom w:val="0"/>
                      <w:divBdr>
                        <w:top w:val="none" w:sz="0" w:space="0" w:color="auto"/>
                        <w:left w:val="none" w:sz="0" w:space="0" w:color="auto"/>
                        <w:bottom w:val="none" w:sz="0" w:space="0" w:color="auto"/>
                        <w:right w:val="none" w:sz="0" w:space="0" w:color="auto"/>
                      </w:divBdr>
                    </w:div>
                  </w:divsChild>
                </w:div>
                <w:div w:id="1291745670">
                  <w:marLeft w:val="0"/>
                  <w:marRight w:val="0"/>
                  <w:marTop w:val="0"/>
                  <w:marBottom w:val="0"/>
                  <w:divBdr>
                    <w:top w:val="none" w:sz="0" w:space="0" w:color="auto"/>
                    <w:left w:val="none" w:sz="0" w:space="0" w:color="auto"/>
                    <w:bottom w:val="none" w:sz="0" w:space="0" w:color="auto"/>
                    <w:right w:val="none" w:sz="0" w:space="0" w:color="auto"/>
                  </w:divBdr>
                  <w:divsChild>
                    <w:div w:id="1407916216">
                      <w:marLeft w:val="0"/>
                      <w:marRight w:val="0"/>
                      <w:marTop w:val="0"/>
                      <w:marBottom w:val="0"/>
                      <w:divBdr>
                        <w:top w:val="none" w:sz="0" w:space="0" w:color="auto"/>
                        <w:left w:val="none" w:sz="0" w:space="0" w:color="auto"/>
                        <w:bottom w:val="none" w:sz="0" w:space="0" w:color="auto"/>
                        <w:right w:val="none" w:sz="0" w:space="0" w:color="auto"/>
                      </w:divBdr>
                    </w:div>
                  </w:divsChild>
                </w:div>
                <w:div w:id="1299142194">
                  <w:marLeft w:val="0"/>
                  <w:marRight w:val="0"/>
                  <w:marTop w:val="0"/>
                  <w:marBottom w:val="0"/>
                  <w:divBdr>
                    <w:top w:val="none" w:sz="0" w:space="0" w:color="auto"/>
                    <w:left w:val="none" w:sz="0" w:space="0" w:color="auto"/>
                    <w:bottom w:val="none" w:sz="0" w:space="0" w:color="auto"/>
                    <w:right w:val="none" w:sz="0" w:space="0" w:color="auto"/>
                  </w:divBdr>
                  <w:divsChild>
                    <w:div w:id="575088174">
                      <w:marLeft w:val="0"/>
                      <w:marRight w:val="0"/>
                      <w:marTop w:val="0"/>
                      <w:marBottom w:val="0"/>
                      <w:divBdr>
                        <w:top w:val="none" w:sz="0" w:space="0" w:color="auto"/>
                        <w:left w:val="none" w:sz="0" w:space="0" w:color="auto"/>
                        <w:bottom w:val="none" w:sz="0" w:space="0" w:color="auto"/>
                        <w:right w:val="none" w:sz="0" w:space="0" w:color="auto"/>
                      </w:divBdr>
                    </w:div>
                  </w:divsChild>
                </w:div>
                <w:div w:id="1336179594">
                  <w:marLeft w:val="0"/>
                  <w:marRight w:val="0"/>
                  <w:marTop w:val="0"/>
                  <w:marBottom w:val="0"/>
                  <w:divBdr>
                    <w:top w:val="none" w:sz="0" w:space="0" w:color="auto"/>
                    <w:left w:val="none" w:sz="0" w:space="0" w:color="auto"/>
                    <w:bottom w:val="none" w:sz="0" w:space="0" w:color="auto"/>
                    <w:right w:val="none" w:sz="0" w:space="0" w:color="auto"/>
                  </w:divBdr>
                  <w:divsChild>
                    <w:div w:id="247428750">
                      <w:marLeft w:val="0"/>
                      <w:marRight w:val="0"/>
                      <w:marTop w:val="0"/>
                      <w:marBottom w:val="0"/>
                      <w:divBdr>
                        <w:top w:val="none" w:sz="0" w:space="0" w:color="auto"/>
                        <w:left w:val="none" w:sz="0" w:space="0" w:color="auto"/>
                        <w:bottom w:val="none" w:sz="0" w:space="0" w:color="auto"/>
                        <w:right w:val="none" w:sz="0" w:space="0" w:color="auto"/>
                      </w:divBdr>
                    </w:div>
                  </w:divsChild>
                </w:div>
                <w:div w:id="1338575567">
                  <w:marLeft w:val="0"/>
                  <w:marRight w:val="0"/>
                  <w:marTop w:val="0"/>
                  <w:marBottom w:val="0"/>
                  <w:divBdr>
                    <w:top w:val="none" w:sz="0" w:space="0" w:color="auto"/>
                    <w:left w:val="none" w:sz="0" w:space="0" w:color="auto"/>
                    <w:bottom w:val="none" w:sz="0" w:space="0" w:color="auto"/>
                    <w:right w:val="none" w:sz="0" w:space="0" w:color="auto"/>
                  </w:divBdr>
                  <w:divsChild>
                    <w:div w:id="197473362">
                      <w:marLeft w:val="0"/>
                      <w:marRight w:val="0"/>
                      <w:marTop w:val="0"/>
                      <w:marBottom w:val="0"/>
                      <w:divBdr>
                        <w:top w:val="none" w:sz="0" w:space="0" w:color="auto"/>
                        <w:left w:val="none" w:sz="0" w:space="0" w:color="auto"/>
                        <w:bottom w:val="none" w:sz="0" w:space="0" w:color="auto"/>
                        <w:right w:val="none" w:sz="0" w:space="0" w:color="auto"/>
                      </w:divBdr>
                    </w:div>
                  </w:divsChild>
                </w:div>
                <w:div w:id="1340693717">
                  <w:marLeft w:val="0"/>
                  <w:marRight w:val="0"/>
                  <w:marTop w:val="0"/>
                  <w:marBottom w:val="0"/>
                  <w:divBdr>
                    <w:top w:val="none" w:sz="0" w:space="0" w:color="auto"/>
                    <w:left w:val="none" w:sz="0" w:space="0" w:color="auto"/>
                    <w:bottom w:val="none" w:sz="0" w:space="0" w:color="auto"/>
                    <w:right w:val="none" w:sz="0" w:space="0" w:color="auto"/>
                  </w:divBdr>
                  <w:divsChild>
                    <w:div w:id="2122408875">
                      <w:marLeft w:val="0"/>
                      <w:marRight w:val="0"/>
                      <w:marTop w:val="0"/>
                      <w:marBottom w:val="0"/>
                      <w:divBdr>
                        <w:top w:val="none" w:sz="0" w:space="0" w:color="auto"/>
                        <w:left w:val="none" w:sz="0" w:space="0" w:color="auto"/>
                        <w:bottom w:val="none" w:sz="0" w:space="0" w:color="auto"/>
                        <w:right w:val="none" w:sz="0" w:space="0" w:color="auto"/>
                      </w:divBdr>
                    </w:div>
                  </w:divsChild>
                </w:div>
                <w:div w:id="1395739425">
                  <w:marLeft w:val="0"/>
                  <w:marRight w:val="0"/>
                  <w:marTop w:val="0"/>
                  <w:marBottom w:val="0"/>
                  <w:divBdr>
                    <w:top w:val="none" w:sz="0" w:space="0" w:color="auto"/>
                    <w:left w:val="none" w:sz="0" w:space="0" w:color="auto"/>
                    <w:bottom w:val="none" w:sz="0" w:space="0" w:color="auto"/>
                    <w:right w:val="none" w:sz="0" w:space="0" w:color="auto"/>
                  </w:divBdr>
                  <w:divsChild>
                    <w:div w:id="23753261">
                      <w:marLeft w:val="0"/>
                      <w:marRight w:val="0"/>
                      <w:marTop w:val="0"/>
                      <w:marBottom w:val="0"/>
                      <w:divBdr>
                        <w:top w:val="none" w:sz="0" w:space="0" w:color="auto"/>
                        <w:left w:val="none" w:sz="0" w:space="0" w:color="auto"/>
                        <w:bottom w:val="none" w:sz="0" w:space="0" w:color="auto"/>
                        <w:right w:val="none" w:sz="0" w:space="0" w:color="auto"/>
                      </w:divBdr>
                    </w:div>
                  </w:divsChild>
                </w:div>
                <w:div w:id="1405565568">
                  <w:marLeft w:val="0"/>
                  <w:marRight w:val="0"/>
                  <w:marTop w:val="0"/>
                  <w:marBottom w:val="0"/>
                  <w:divBdr>
                    <w:top w:val="none" w:sz="0" w:space="0" w:color="auto"/>
                    <w:left w:val="none" w:sz="0" w:space="0" w:color="auto"/>
                    <w:bottom w:val="none" w:sz="0" w:space="0" w:color="auto"/>
                    <w:right w:val="none" w:sz="0" w:space="0" w:color="auto"/>
                  </w:divBdr>
                  <w:divsChild>
                    <w:div w:id="1858495677">
                      <w:marLeft w:val="0"/>
                      <w:marRight w:val="0"/>
                      <w:marTop w:val="0"/>
                      <w:marBottom w:val="0"/>
                      <w:divBdr>
                        <w:top w:val="none" w:sz="0" w:space="0" w:color="auto"/>
                        <w:left w:val="none" w:sz="0" w:space="0" w:color="auto"/>
                        <w:bottom w:val="none" w:sz="0" w:space="0" w:color="auto"/>
                        <w:right w:val="none" w:sz="0" w:space="0" w:color="auto"/>
                      </w:divBdr>
                    </w:div>
                  </w:divsChild>
                </w:div>
                <w:div w:id="1470512331">
                  <w:marLeft w:val="0"/>
                  <w:marRight w:val="0"/>
                  <w:marTop w:val="0"/>
                  <w:marBottom w:val="0"/>
                  <w:divBdr>
                    <w:top w:val="none" w:sz="0" w:space="0" w:color="auto"/>
                    <w:left w:val="none" w:sz="0" w:space="0" w:color="auto"/>
                    <w:bottom w:val="none" w:sz="0" w:space="0" w:color="auto"/>
                    <w:right w:val="none" w:sz="0" w:space="0" w:color="auto"/>
                  </w:divBdr>
                  <w:divsChild>
                    <w:div w:id="353966241">
                      <w:marLeft w:val="0"/>
                      <w:marRight w:val="0"/>
                      <w:marTop w:val="0"/>
                      <w:marBottom w:val="0"/>
                      <w:divBdr>
                        <w:top w:val="none" w:sz="0" w:space="0" w:color="auto"/>
                        <w:left w:val="none" w:sz="0" w:space="0" w:color="auto"/>
                        <w:bottom w:val="none" w:sz="0" w:space="0" w:color="auto"/>
                        <w:right w:val="none" w:sz="0" w:space="0" w:color="auto"/>
                      </w:divBdr>
                    </w:div>
                  </w:divsChild>
                </w:div>
                <w:div w:id="1473593812">
                  <w:marLeft w:val="0"/>
                  <w:marRight w:val="0"/>
                  <w:marTop w:val="0"/>
                  <w:marBottom w:val="0"/>
                  <w:divBdr>
                    <w:top w:val="none" w:sz="0" w:space="0" w:color="auto"/>
                    <w:left w:val="none" w:sz="0" w:space="0" w:color="auto"/>
                    <w:bottom w:val="none" w:sz="0" w:space="0" w:color="auto"/>
                    <w:right w:val="none" w:sz="0" w:space="0" w:color="auto"/>
                  </w:divBdr>
                  <w:divsChild>
                    <w:div w:id="508444091">
                      <w:marLeft w:val="0"/>
                      <w:marRight w:val="0"/>
                      <w:marTop w:val="0"/>
                      <w:marBottom w:val="0"/>
                      <w:divBdr>
                        <w:top w:val="none" w:sz="0" w:space="0" w:color="auto"/>
                        <w:left w:val="none" w:sz="0" w:space="0" w:color="auto"/>
                        <w:bottom w:val="none" w:sz="0" w:space="0" w:color="auto"/>
                        <w:right w:val="none" w:sz="0" w:space="0" w:color="auto"/>
                      </w:divBdr>
                    </w:div>
                  </w:divsChild>
                </w:div>
                <w:div w:id="1489786592">
                  <w:marLeft w:val="0"/>
                  <w:marRight w:val="0"/>
                  <w:marTop w:val="0"/>
                  <w:marBottom w:val="0"/>
                  <w:divBdr>
                    <w:top w:val="none" w:sz="0" w:space="0" w:color="auto"/>
                    <w:left w:val="none" w:sz="0" w:space="0" w:color="auto"/>
                    <w:bottom w:val="none" w:sz="0" w:space="0" w:color="auto"/>
                    <w:right w:val="none" w:sz="0" w:space="0" w:color="auto"/>
                  </w:divBdr>
                  <w:divsChild>
                    <w:div w:id="1425371306">
                      <w:marLeft w:val="0"/>
                      <w:marRight w:val="0"/>
                      <w:marTop w:val="0"/>
                      <w:marBottom w:val="0"/>
                      <w:divBdr>
                        <w:top w:val="none" w:sz="0" w:space="0" w:color="auto"/>
                        <w:left w:val="none" w:sz="0" w:space="0" w:color="auto"/>
                        <w:bottom w:val="none" w:sz="0" w:space="0" w:color="auto"/>
                        <w:right w:val="none" w:sz="0" w:space="0" w:color="auto"/>
                      </w:divBdr>
                    </w:div>
                  </w:divsChild>
                </w:div>
                <w:div w:id="1515149456">
                  <w:marLeft w:val="0"/>
                  <w:marRight w:val="0"/>
                  <w:marTop w:val="0"/>
                  <w:marBottom w:val="0"/>
                  <w:divBdr>
                    <w:top w:val="none" w:sz="0" w:space="0" w:color="auto"/>
                    <w:left w:val="none" w:sz="0" w:space="0" w:color="auto"/>
                    <w:bottom w:val="none" w:sz="0" w:space="0" w:color="auto"/>
                    <w:right w:val="none" w:sz="0" w:space="0" w:color="auto"/>
                  </w:divBdr>
                  <w:divsChild>
                    <w:div w:id="1807745700">
                      <w:marLeft w:val="0"/>
                      <w:marRight w:val="0"/>
                      <w:marTop w:val="0"/>
                      <w:marBottom w:val="0"/>
                      <w:divBdr>
                        <w:top w:val="none" w:sz="0" w:space="0" w:color="auto"/>
                        <w:left w:val="none" w:sz="0" w:space="0" w:color="auto"/>
                        <w:bottom w:val="none" w:sz="0" w:space="0" w:color="auto"/>
                        <w:right w:val="none" w:sz="0" w:space="0" w:color="auto"/>
                      </w:divBdr>
                    </w:div>
                  </w:divsChild>
                </w:div>
                <w:div w:id="1558585615">
                  <w:marLeft w:val="0"/>
                  <w:marRight w:val="0"/>
                  <w:marTop w:val="0"/>
                  <w:marBottom w:val="0"/>
                  <w:divBdr>
                    <w:top w:val="none" w:sz="0" w:space="0" w:color="auto"/>
                    <w:left w:val="none" w:sz="0" w:space="0" w:color="auto"/>
                    <w:bottom w:val="none" w:sz="0" w:space="0" w:color="auto"/>
                    <w:right w:val="none" w:sz="0" w:space="0" w:color="auto"/>
                  </w:divBdr>
                  <w:divsChild>
                    <w:div w:id="747464006">
                      <w:marLeft w:val="0"/>
                      <w:marRight w:val="0"/>
                      <w:marTop w:val="0"/>
                      <w:marBottom w:val="0"/>
                      <w:divBdr>
                        <w:top w:val="none" w:sz="0" w:space="0" w:color="auto"/>
                        <w:left w:val="none" w:sz="0" w:space="0" w:color="auto"/>
                        <w:bottom w:val="none" w:sz="0" w:space="0" w:color="auto"/>
                        <w:right w:val="none" w:sz="0" w:space="0" w:color="auto"/>
                      </w:divBdr>
                    </w:div>
                  </w:divsChild>
                </w:div>
                <w:div w:id="1619482217">
                  <w:marLeft w:val="0"/>
                  <w:marRight w:val="0"/>
                  <w:marTop w:val="0"/>
                  <w:marBottom w:val="0"/>
                  <w:divBdr>
                    <w:top w:val="none" w:sz="0" w:space="0" w:color="auto"/>
                    <w:left w:val="none" w:sz="0" w:space="0" w:color="auto"/>
                    <w:bottom w:val="none" w:sz="0" w:space="0" w:color="auto"/>
                    <w:right w:val="none" w:sz="0" w:space="0" w:color="auto"/>
                  </w:divBdr>
                  <w:divsChild>
                    <w:div w:id="1424255773">
                      <w:marLeft w:val="0"/>
                      <w:marRight w:val="0"/>
                      <w:marTop w:val="0"/>
                      <w:marBottom w:val="0"/>
                      <w:divBdr>
                        <w:top w:val="none" w:sz="0" w:space="0" w:color="auto"/>
                        <w:left w:val="none" w:sz="0" w:space="0" w:color="auto"/>
                        <w:bottom w:val="none" w:sz="0" w:space="0" w:color="auto"/>
                        <w:right w:val="none" w:sz="0" w:space="0" w:color="auto"/>
                      </w:divBdr>
                    </w:div>
                  </w:divsChild>
                </w:div>
                <w:div w:id="1628924223">
                  <w:marLeft w:val="0"/>
                  <w:marRight w:val="0"/>
                  <w:marTop w:val="0"/>
                  <w:marBottom w:val="0"/>
                  <w:divBdr>
                    <w:top w:val="none" w:sz="0" w:space="0" w:color="auto"/>
                    <w:left w:val="none" w:sz="0" w:space="0" w:color="auto"/>
                    <w:bottom w:val="none" w:sz="0" w:space="0" w:color="auto"/>
                    <w:right w:val="none" w:sz="0" w:space="0" w:color="auto"/>
                  </w:divBdr>
                  <w:divsChild>
                    <w:div w:id="1999842376">
                      <w:marLeft w:val="0"/>
                      <w:marRight w:val="0"/>
                      <w:marTop w:val="0"/>
                      <w:marBottom w:val="0"/>
                      <w:divBdr>
                        <w:top w:val="none" w:sz="0" w:space="0" w:color="auto"/>
                        <w:left w:val="none" w:sz="0" w:space="0" w:color="auto"/>
                        <w:bottom w:val="none" w:sz="0" w:space="0" w:color="auto"/>
                        <w:right w:val="none" w:sz="0" w:space="0" w:color="auto"/>
                      </w:divBdr>
                    </w:div>
                  </w:divsChild>
                </w:div>
                <w:div w:id="1688630787">
                  <w:marLeft w:val="0"/>
                  <w:marRight w:val="0"/>
                  <w:marTop w:val="0"/>
                  <w:marBottom w:val="0"/>
                  <w:divBdr>
                    <w:top w:val="none" w:sz="0" w:space="0" w:color="auto"/>
                    <w:left w:val="none" w:sz="0" w:space="0" w:color="auto"/>
                    <w:bottom w:val="none" w:sz="0" w:space="0" w:color="auto"/>
                    <w:right w:val="none" w:sz="0" w:space="0" w:color="auto"/>
                  </w:divBdr>
                  <w:divsChild>
                    <w:div w:id="727189394">
                      <w:marLeft w:val="0"/>
                      <w:marRight w:val="0"/>
                      <w:marTop w:val="0"/>
                      <w:marBottom w:val="0"/>
                      <w:divBdr>
                        <w:top w:val="none" w:sz="0" w:space="0" w:color="auto"/>
                        <w:left w:val="none" w:sz="0" w:space="0" w:color="auto"/>
                        <w:bottom w:val="none" w:sz="0" w:space="0" w:color="auto"/>
                        <w:right w:val="none" w:sz="0" w:space="0" w:color="auto"/>
                      </w:divBdr>
                    </w:div>
                  </w:divsChild>
                </w:div>
                <w:div w:id="1705712531">
                  <w:marLeft w:val="0"/>
                  <w:marRight w:val="0"/>
                  <w:marTop w:val="0"/>
                  <w:marBottom w:val="0"/>
                  <w:divBdr>
                    <w:top w:val="none" w:sz="0" w:space="0" w:color="auto"/>
                    <w:left w:val="none" w:sz="0" w:space="0" w:color="auto"/>
                    <w:bottom w:val="none" w:sz="0" w:space="0" w:color="auto"/>
                    <w:right w:val="none" w:sz="0" w:space="0" w:color="auto"/>
                  </w:divBdr>
                  <w:divsChild>
                    <w:div w:id="1017775480">
                      <w:marLeft w:val="0"/>
                      <w:marRight w:val="0"/>
                      <w:marTop w:val="0"/>
                      <w:marBottom w:val="0"/>
                      <w:divBdr>
                        <w:top w:val="none" w:sz="0" w:space="0" w:color="auto"/>
                        <w:left w:val="none" w:sz="0" w:space="0" w:color="auto"/>
                        <w:bottom w:val="none" w:sz="0" w:space="0" w:color="auto"/>
                        <w:right w:val="none" w:sz="0" w:space="0" w:color="auto"/>
                      </w:divBdr>
                    </w:div>
                  </w:divsChild>
                </w:div>
                <w:div w:id="1716392584">
                  <w:marLeft w:val="0"/>
                  <w:marRight w:val="0"/>
                  <w:marTop w:val="0"/>
                  <w:marBottom w:val="0"/>
                  <w:divBdr>
                    <w:top w:val="none" w:sz="0" w:space="0" w:color="auto"/>
                    <w:left w:val="none" w:sz="0" w:space="0" w:color="auto"/>
                    <w:bottom w:val="none" w:sz="0" w:space="0" w:color="auto"/>
                    <w:right w:val="none" w:sz="0" w:space="0" w:color="auto"/>
                  </w:divBdr>
                  <w:divsChild>
                    <w:div w:id="993947765">
                      <w:marLeft w:val="0"/>
                      <w:marRight w:val="0"/>
                      <w:marTop w:val="0"/>
                      <w:marBottom w:val="0"/>
                      <w:divBdr>
                        <w:top w:val="none" w:sz="0" w:space="0" w:color="auto"/>
                        <w:left w:val="none" w:sz="0" w:space="0" w:color="auto"/>
                        <w:bottom w:val="none" w:sz="0" w:space="0" w:color="auto"/>
                        <w:right w:val="none" w:sz="0" w:space="0" w:color="auto"/>
                      </w:divBdr>
                    </w:div>
                  </w:divsChild>
                </w:div>
                <w:div w:id="1794592325">
                  <w:marLeft w:val="0"/>
                  <w:marRight w:val="0"/>
                  <w:marTop w:val="0"/>
                  <w:marBottom w:val="0"/>
                  <w:divBdr>
                    <w:top w:val="none" w:sz="0" w:space="0" w:color="auto"/>
                    <w:left w:val="none" w:sz="0" w:space="0" w:color="auto"/>
                    <w:bottom w:val="none" w:sz="0" w:space="0" w:color="auto"/>
                    <w:right w:val="none" w:sz="0" w:space="0" w:color="auto"/>
                  </w:divBdr>
                  <w:divsChild>
                    <w:div w:id="98842747">
                      <w:marLeft w:val="0"/>
                      <w:marRight w:val="0"/>
                      <w:marTop w:val="0"/>
                      <w:marBottom w:val="0"/>
                      <w:divBdr>
                        <w:top w:val="none" w:sz="0" w:space="0" w:color="auto"/>
                        <w:left w:val="none" w:sz="0" w:space="0" w:color="auto"/>
                        <w:bottom w:val="none" w:sz="0" w:space="0" w:color="auto"/>
                        <w:right w:val="none" w:sz="0" w:space="0" w:color="auto"/>
                      </w:divBdr>
                    </w:div>
                  </w:divsChild>
                </w:div>
                <w:div w:id="1825275481">
                  <w:marLeft w:val="0"/>
                  <w:marRight w:val="0"/>
                  <w:marTop w:val="0"/>
                  <w:marBottom w:val="0"/>
                  <w:divBdr>
                    <w:top w:val="none" w:sz="0" w:space="0" w:color="auto"/>
                    <w:left w:val="none" w:sz="0" w:space="0" w:color="auto"/>
                    <w:bottom w:val="none" w:sz="0" w:space="0" w:color="auto"/>
                    <w:right w:val="none" w:sz="0" w:space="0" w:color="auto"/>
                  </w:divBdr>
                  <w:divsChild>
                    <w:div w:id="32390875">
                      <w:marLeft w:val="0"/>
                      <w:marRight w:val="0"/>
                      <w:marTop w:val="0"/>
                      <w:marBottom w:val="0"/>
                      <w:divBdr>
                        <w:top w:val="none" w:sz="0" w:space="0" w:color="auto"/>
                        <w:left w:val="none" w:sz="0" w:space="0" w:color="auto"/>
                        <w:bottom w:val="none" w:sz="0" w:space="0" w:color="auto"/>
                        <w:right w:val="none" w:sz="0" w:space="0" w:color="auto"/>
                      </w:divBdr>
                    </w:div>
                  </w:divsChild>
                </w:div>
                <w:div w:id="1876040207">
                  <w:marLeft w:val="0"/>
                  <w:marRight w:val="0"/>
                  <w:marTop w:val="0"/>
                  <w:marBottom w:val="0"/>
                  <w:divBdr>
                    <w:top w:val="none" w:sz="0" w:space="0" w:color="auto"/>
                    <w:left w:val="none" w:sz="0" w:space="0" w:color="auto"/>
                    <w:bottom w:val="none" w:sz="0" w:space="0" w:color="auto"/>
                    <w:right w:val="none" w:sz="0" w:space="0" w:color="auto"/>
                  </w:divBdr>
                  <w:divsChild>
                    <w:div w:id="1147240159">
                      <w:marLeft w:val="0"/>
                      <w:marRight w:val="0"/>
                      <w:marTop w:val="0"/>
                      <w:marBottom w:val="0"/>
                      <w:divBdr>
                        <w:top w:val="none" w:sz="0" w:space="0" w:color="auto"/>
                        <w:left w:val="none" w:sz="0" w:space="0" w:color="auto"/>
                        <w:bottom w:val="none" w:sz="0" w:space="0" w:color="auto"/>
                        <w:right w:val="none" w:sz="0" w:space="0" w:color="auto"/>
                      </w:divBdr>
                    </w:div>
                  </w:divsChild>
                </w:div>
                <w:div w:id="1963882302">
                  <w:marLeft w:val="0"/>
                  <w:marRight w:val="0"/>
                  <w:marTop w:val="0"/>
                  <w:marBottom w:val="0"/>
                  <w:divBdr>
                    <w:top w:val="none" w:sz="0" w:space="0" w:color="auto"/>
                    <w:left w:val="none" w:sz="0" w:space="0" w:color="auto"/>
                    <w:bottom w:val="none" w:sz="0" w:space="0" w:color="auto"/>
                    <w:right w:val="none" w:sz="0" w:space="0" w:color="auto"/>
                  </w:divBdr>
                  <w:divsChild>
                    <w:div w:id="1322194051">
                      <w:marLeft w:val="0"/>
                      <w:marRight w:val="0"/>
                      <w:marTop w:val="0"/>
                      <w:marBottom w:val="0"/>
                      <w:divBdr>
                        <w:top w:val="none" w:sz="0" w:space="0" w:color="auto"/>
                        <w:left w:val="none" w:sz="0" w:space="0" w:color="auto"/>
                        <w:bottom w:val="none" w:sz="0" w:space="0" w:color="auto"/>
                        <w:right w:val="none" w:sz="0" w:space="0" w:color="auto"/>
                      </w:divBdr>
                    </w:div>
                  </w:divsChild>
                </w:div>
                <w:div w:id="1970164536">
                  <w:marLeft w:val="0"/>
                  <w:marRight w:val="0"/>
                  <w:marTop w:val="0"/>
                  <w:marBottom w:val="0"/>
                  <w:divBdr>
                    <w:top w:val="none" w:sz="0" w:space="0" w:color="auto"/>
                    <w:left w:val="none" w:sz="0" w:space="0" w:color="auto"/>
                    <w:bottom w:val="none" w:sz="0" w:space="0" w:color="auto"/>
                    <w:right w:val="none" w:sz="0" w:space="0" w:color="auto"/>
                  </w:divBdr>
                  <w:divsChild>
                    <w:div w:id="1555577339">
                      <w:marLeft w:val="0"/>
                      <w:marRight w:val="0"/>
                      <w:marTop w:val="0"/>
                      <w:marBottom w:val="0"/>
                      <w:divBdr>
                        <w:top w:val="none" w:sz="0" w:space="0" w:color="auto"/>
                        <w:left w:val="none" w:sz="0" w:space="0" w:color="auto"/>
                        <w:bottom w:val="none" w:sz="0" w:space="0" w:color="auto"/>
                        <w:right w:val="none" w:sz="0" w:space="0" w:color="auto"/>
                      </w:divBdr>
                    </w:div>
                  </w:divsChild>
                </w:div>
                <w:div w:id="1971276178">
                  <w:marLeft w:val="0"/>
                  <w:marRight w:val="0"/>
                  <w:marTop w:val="0"/>
                  <w:marBottom w:val="0"/>
                  <w:divBdr>
                    <w:top w:val="none" w:sz="0" w:space="0" w:color="auto"/>
                    <w:left w:val="none" w:sz="0" w:space="0" w:color="auto"/>
                    <w:bottom w:val="none" w:sz="0" w:space="0" w:color="auto"/>
                    <w:right w:val="none" w:sz="0" w:space="0" w:color="auto"/>
                  </w:divBdr>
                  <w:divsChild>
                    <w:div w:id="1963532917">
                      <w:marLeft w:val="0"/>
                      <w:marRight w:val="0"/>
                      <w:marTop w:val="0"/>
                      <w:marBottom w:val="0"/>
                      <w:divBdr>
                        <w:top w:val="none" w:sz="0" w:space="0" w:color="auto"/>
                        <w:left w:val="none" w:sz="0" w:space="0" w:color="auto"/>
                        <w:bottom w:val="none" w:sz="0" w:space="0" w:color="auto"/>
                        <w:right w:val="none" w:sz="0" w:space="0" w:color="auto"/>
                      </w:divBdr>
                    </w:div>
                  </w:divsChild>
                </w:div>
                <w:div w:id="2090499735">
                  <w:marLeft w:val="0"/>
                  <w:marRight w:val="0"/>
                  <w:marTop w:val="0"/>
                  <w:marBottom w:val="0"/>
                  <w:divBdr>
                    <w:top w:val="none" w:sz="0" w:space="0" w:color="auto"/>
                    <w:left w:val="none" w:sz="0" w:space="0" w:color="auto"/>
                    <w:bottom w:val="none" w:sz="0" w:space="0" w:color="auto"/>
                    <w:right w:val="none" w:sz="0" w:space="0" w:color="auto"/>
                  </w:divBdr>
                  <w:divsChild>
                    <w:div w:id="1555697274">
                      <w:marLeft w:val="0"/>
                      <w:marRight w:val="0"/>
                      <w:marTop w:val="0"/>
                      <w:marBottom w:val="0"/>
                      <w:divBdr>
                        <w:top w:val="none" w:sz="0" w:space="0" w:color="auto"/>
                        <w:left w:val="none" w:sz="0" w:space="0" w:color="auto"/>
                        <w:bottom w:val="none" w:sz="0" w:space="0" w:color="auto"/>
                        <w:right w:val="none" w:sz="0" w:space="0" w:color="auto"/>
                      </w:divBdr>
                    </w:div>
                  </w:divsChild>
                </w:div>
                <w:div w:id="2091659204">
                  <w:marLeft w:val="0"/>
                  <w:marRight w:val="0"/>
                  <w:marTop w:val="0"/>
                  <w:marBottom w:val="0"/>
                  <w:divBdr>
                    <w:top w:val="none" w:sz="0" w:space="0" w:color="auto"/>
                    <w:left w:val="none" w:sz="0" w:space="0" w:color="auto"/>
                    <w:bottom w:val="none" w:sz="0" w:space="0" w:color="auto"/>
                    <w:right w:val="none" w:sz="0" w:space="0" w:color="auto"/>
                  </w:divBdr>
                  <w:divsChild>
                    <w:div w:id="1851674716">
                      <w:marLeft w:val="0"/>
                      <w:marRight w:val="0"/>
                      <w:marTop w:val="0"/>
                      <w:marBottom w:val="0"/>
                      <w:divBdr>
                        <w:top w:val="none" w:sz="0" w:space="0" w:color="auto"/>
                        <w:left w:val="none" w:sz="0" w:space="0" w:color="auto"/>
                        <w:bottom w:val="none" w:sz="0" w:space="0" w:color="auto"/>
                        <w:right w:val="none" w:sz="0" w:space="0" w:color="auto"/>
                      </w:divBdr>
                    </w:div>
                  </w:divsChild>
                </w:div>
                <w:div w:id="2142576199">
                  <w:marLeft w:val="0"/>
                  <w:marRight w:val="0"/>
                  <w:marTop w:val="0"/>
                  <w:marBottom w:val="0"/>
                  <w:divBdr>
                    <w:top w:val="none" w:sz="0" w:space="0" w:color="auto"/>
                    <w:left w:val="none" w:sz="0" w:space="0" w:color="auto"/>
                    <w:bottom w:val="none" w:sz="0" w:space="0" w:color="auto"/>
                    <w:right w:val="none" w:sz="0" w:space="0" w:color="auto"/>
                  </w:divBdr>
                  <w:divsChild>
                    <w:div w:id="143435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4249">
          <w:marLeft w:val="0"/>
          <w:marRight w:val="0"/>
          <w:marTop w:val="0"/>
          <w:marBottom w:val="0"/>
          <w:divBdr>
            <w:top w:val="none" w:sz="0" w:space="0" w:color="auto"/>
            <w:left w:val="none" w:sz="0" w:space="0" w:color="auto"/>
            <w:bottom w:val="none" w:sz="0" w:space="0" w:color="auto"/>
            <w:right w:val="none" w:sz="0" w:space="0" w:color="auto"/>
          </w:divBdr>
        </w:div>
        <w:div w:id="1434931436">
          <w:marLeft w:val="0"/>
          <w:marRight w:val="0"/>
          <w:marTop w:val="0"/>
          <w:marBottom w:val="0"/>
          <w:divBdr>
            <w:top w:val="none" w:sz="0" w:space="0" w:color="auto"/>
            <w:left w:val="none" w:sz="0" w:space="0" w:color="auto"/>
            <w:bottom w:val="none" w:sz="0" w:space="0" w:color="auto"/>
            <w:right w:val="none" w:sz="0" w:space="0" w:color="auto"/>
          </w:divBdr>
        </w:div>
        <w:div w:id="1891334059">
          <w:marLeft w:val="0"/>
          <w:marRight w:val="0"/>
          <w:marTop w:val="0"/>
          <w:marBottom w:val="0"/>
          <w:divBdr>
            <w:top w:val="none" w:sz="0" w:space="0" w:color="auto"/>
            <w:left w:val="none" w:sz="0" w:space="0" w:color="auto"/>
            <w:bottom w:val="none" w:sz="0" w:space="0" w:color="auto"/>
            <w:right w:val="none" w:sz="0" w:space="0" w:color="auto"/>
          </w:divBdr>
        </w:div>
      </w:divsChild>
    </w:div>
    <w:div w:id="1960605203">
      <w:bodyDiv w:val="1"/>
      <w:marLeft w:val="0"/>
      <w:marRight w:val="0"/>
      <w:marTop w:val="0"/>
      <w:marBottom w:val="0"/>
      <w:divBdr>
        <w:top w:val="none" w:sz="0" w:space="0" w:color="auto"/>
        <w:left w:val="none" w:sz="0" w:space="0" w:color="auto"/>
        <w:bottom w:val="none" w:sz="0" w:space="0" w:color="auto"/>
        <w:right w:val="none" w:sz="0" w:space="0" w:color="auto"/>
      </w:divBdr>
    </w:div>
    <w:div w:id="1965579982">
      <w:bodyDiv w:val="1"/>
      <w:marLeft w:val="0"/>
      <w:marRight w:val="0"/>
      <w:marTop w:val="0"/>
      <w:marBottom w:val="0"/>
      <w:divBdr>
        <w:top w:val="none" w:sz="0" w:space="0" w:color="auto"/>
        <w:left w:val="none" w:sz="0" w:space="0" w:color="auto"/>
        <w:bottom w:val="none" w:sz="0" w:space="0" w:color="auto"/>
        <w:right w:val="none" w:sz="0" w:space="0" w:color="auto"/>
      </w:divBdr>
    </w:div>
    <w:div w:id="1968194106">
      <w:bodyDiv w:val="1"/>
      <w:marLeft w:val="0"/>
      <w:marRight w:val="0"/>
      <w:marTop w:val="0"/>
      <w:marBottom w:val="0"/>
      <w:divBdr>
        <w:top w:val="none" w:sz="0" w:space="0" w:color="auto"/>
        <w:left w:val="none" w:sz="0" w:space="0" w:color="auto"/>
        <w:bottom w:val="none" w:sz="0" w:space="0" w:color="auto"/>
        <w:right w:val="none" w:sz="0" w:space="0" w:color="auto"/>
      </w:divBdr>
    </w:div>
    <w:div w:id="1986230310">
      <w:bodyDiv w:val="1"/>
      <w:marLeft w:val="0"/>
      <w:marRight w:val="0"/>
      <w:marTop w:val="0"/>
      <w:marBottom w:val="0"/>
      <w:divBdr>
        <w:top w:val="none" w:sz="0" w:space="0" w:color="auto"/>
        <w:left w:val="none" w:sz="0" w:space="0" w:color="auto"/>
        <w:bottom w:val="none" w:sz="0" w:space="0" w:color="auto"/>
        <w:right w:val="none" w:sz="0" w:space="0" w:color="auto"/>
      </w:divBdr>
    </w:div>
    <w:div w:id="1988900133">
      <w:bodyDiv w:val="1"/>
      <w:marLeft w:val="0"/>
      <w:marRight w:val="0"/>
      <w:marTop w:val="0"/>
      <w:marBottom w:val="0"/>
      <w:divBdr>
        <w:top w:val="none" w:sz="0" w:space="0" w:color="auto"/>
        <w:left w:val="none" w:sz="0" w:space="0" w:color="auto"/>
        <w:bottom w:val="none" w:sz="0" w:space="0" w:color="auto"/>
        <w:right w:val="none" w:sz="0" w:space="0" w:color="auto"/>
      </w:divBdr>
      <w:divsChild>
        <w:div w:id="179858606">
          <w:marLeft w:val="0"/>
          <w:marRight w:val="0"/>
          <w:marTop w:val="0"/>
          <w:marBottom w:val="0"/>
          <w:divBdr>
            <w:top w:val="none" w:sz="0" w:space="0" w:color="auto"/>
            <w:left w:val="none" w:sz="0" w:space="0" w:color="auto"/>
            <w:bottom w:val="none" w:sz="0" w:space="0" w:color="auto"/>
            <w:right w:val="none" w:sz="0" w:space="0" w:color="auto"/>
          </w:divBdr>
          <w:divsChild>
            <w:div w:id="1650286869">
              <w:marLeft w:val="0"/>
              <w:marRight w:val="0"/>
              <w:marTop w:val="0"/>
              <w:marBottom w:val="0"/>
              <w:divBdr>
                <w:top w:val="none" w:sz="0" w:space="0" w:color="auto"/>
                <w:left w:val="none" w:sz="0" w:space="0" w:color="auto"/>
                <w:bottom w:val="none" w:sz="0" w:space="0" w:color="auto"/>
                <w:right w:val="none" w:sz="0" w:space="0" w:color="auto"/>
              </w:divBdr>
              <w:divsChild>
                <w:div w:id="1241212597">
                  <w:marLeft w:val="0"/>
                  <w:marRight w:val="0"/>
                  <w:marTop w:val="0"/>
                  <w:marBottom w:val="0"/>
                  <w:divBdr>
                    <w:top w:val="none" w:sz="0" w:space="0" w:color="auto"/>
                    <w:left w:val="none" w:sz="0" w:space="0" w:color="auto"/>
                    <w:bottom w:val="none" w:sz="0" w:space="0" w:color="auto"/>
                    <w:right w:val="none" w:sz="0" w:space="0" w:color="auto"/>
                  </w:divBdr>
                  <w:divsChild>
                    <w:div w:id="299044503">
                      <w:marLeft w:val="0"/>
                      <w:marRight w:val="0"/>
                      <w:marTop w:val="0"/>
                      <w:marBottom w:val="0"/>
                      <w:divBdr>
                        <w:top w:val="none" w:sz="0" w:space="0" w:color="auto"/>
                        <w:left w:val="none" w:sz="0" w:space="0" w:color="auto"/>
                        <w:bottom w:val="none" w:sz="0" w:space="0" w:color="auto"/>
                        <w:right w:val="none" w:sz="0" w:space="0" w:color="auto"/>
                      </w:divBdr>
                      <w:divsChild>
                        <w:div w:id="202139392">
                          <w:marLeft w:val="0"/>
                          <w:marRight w:val="0"/>
                          <w:marTop w:val="0"/>
                          <w:marBottom w:val="0"/>
                          <w:divBdr>
                            <w:top w:val="none" w:sz="0" w:space="0" w:color="auto"/>
                            <w:left w:val="none" w:sz="0" w:space="0" w:color="auto"/>
                            <w:bottom w:val="none" w:sz="0" w:space="0" w:color="auto"/>
                            <w:right w:val="none" w:sz="0" w:space="0" w:color="auto"/>
                          </w:divBdr>
                          <w:divsChild>
                            <w:div w:id="175069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931190">
      <w:bodyDiv w:val="1"/>
      <w:marLeft w:val="0"/>
      <w:marRight w:val="0"/>
      <w:marTop w:val="0"/>
      <w:marBottom w:val="0"/>
      <w:divBdr>
        <w:top w:val="none" w:sz="0" w:space="0" w:color="auto"/>
        <w:left w:val="none" w:sz="0" w:space="0" w:color="auto"/>
        <w:bottom w:val="none" w:sz="0" w:space="0" w:color="auto"/>
        <w:right w:val="none" w:sz="0" w:space="0" w:color="auto"/>
      </w:divBdr>
    </w:div>
    <w:div w:id="2003460662">
      <w:bodyDiv w:val="1"/>
      <w:marLeft w:val="0"/>
      <w:marRight w:val="0"/>
      <w:marTop w:val="0"/>
      <w:marBottom w:val="0"/>
      <w:divBdr>
        <w:top w:val="none" w:sz="0" w:space="0" w:color="auto"/>
        <w:left w:val="none" w:sz="0" w:space="0" w:color="auto"/>
        <w:bottom w:val="none" w:sz="0" w:space="0" w:color="auto"/>
        <w:right w:val="none" w:sz="0" w:space="0" w:color="auto"/>
      </w:divBdr>
    </w:div>
    <w:div w:id="2015377072">
      <w:bodyDiv w:val="1"/>
      <w:marLeft w:val="0"/>
      <w:marRight w:val="0"/>
      <w:marTop w:val="0"/>
      <w:marBottom w:val="0"/>
      <w:divBdr>
        <w:top w:val="none" w:sz="0" w:space="0" w:color="auto"/>
        <w:left w:val="none" w:sz="0" w:space="0" w:color="auto"/>
        <w:bottom w:val="none" w:sz="0" w:space="0" w:color="auto"/>
        <w:right w:val="none" w:sz="0" w:space="0" w:color="auto"/>
      </w:divBdr>
    </w:div>
    <w:div w:id="2020962968">
      <w:bodyDiv w:val="1"/>
      <w:marLeft w:val="0"/>
      <w:marRight w:val="0"/>
      <w:marTop w:val="0"/>
      <w:marBottom w:val="0"/>
      <w:divBdr>
        <w:top w:val="none" w:sz="0" w:space="0" w:color="auto"/>
        <w:left w:val="none" w:sz="0" w:space="0" w:color="auto"/>
        <w:bottom w:val="none" w:sz="0" w:space="0" w:color="auto"/>
        <w:right w:val="none" w:sz="0" w:space="0" w:color="auto"/>
      </w:divBdr>
    </w:div>
    <w:div w:id="2023435727">
      <w:bodyDiv w:val="1"/>
      <w:marLeft w:val="0"/>
      <w:marRight w:val="0"/>
      <w:marTop w:val="0"/>
      <w:marBottom w:val="0"/>
      <w:divBdr>
        <w:top w:val="none" w:sz="0" w:space="0" w:color="auto"/>
        <w:left w:val="none" w:sz="0" w:space="0" w:color="auto"/>
        <w:bottom w:val="none" w:sz="0" w:space="0" w:color="auto"/>
        <w:right w:val="none" w:sz="0" w:space="0" w:color="auto"/>
      </w:divBdr>
    </w:div>
    <w:div w:id="2024166649">
      <w:bodyDiv w:val="1"/>
      <w:marLeft w:val="0"/>
      <w:marRight w:val="0"/>
      <w:marTop w:val="0"/>
      <w:marBottom w:val="0"/>
      <w:divBdr>
        <w:top w:val="none" w:sz="0" w:space="0" w:color="auto"/>
        <w:left w:val="none" w:sz="0" w:space="0" w:color="auto"/>
        <w:bottom w:val="none" w:sz="0" w:space="0" w:color="auto"/>
        <w:right w:val="none" w:sz="0" w:space="0" w:color="auto"/>
      </w:divBdr>
    </w:div>
    <w:div w:id="2029284008">
      <w:bodyDiv w:val="1"/>
      <w:marLeft w:val="0"/>
      <w:marRight w:val="0"/>
      <w:marTop w:val="0"/>
      <w:marBottom w:val="0"/>
      <w:divBdr>
        <w:top w:val="none" w:sz="0" w:space="0" w:color="auto"/>
        <w:left w:val="none" w:sz="0" w:space="0" w:color="auto"/>
        <w:bottom w:val="none" w:sz="0" w:space="0" w:color="auto"/>
        <w:right w:val="none" w:sz="0" w:space="0" w:color="auto"/>
      </w:divBdr>
    </w:div>
    <w:div w:id="2031639534">
      <w:bodyDiv w:val="1"/>
      <w:marLeft w:val="0"/>
      <w:marRight w:val="0"/>
      <w:marTop w:val="0"/>
      <w:marBottom w:val="0"/>
      <w:divBdr>
        <w:top w:val="none" w:sz="0" w:space="0" w:color="auto"/>
        <w:left w:val="none" w:sz="0" w:space="0" w:color="auto"/>
        <w:bottom w:val="none" w:sz="0" w:space="0" w:color="auto"/>
        <w:right w:val="none" w:sz="0" w:space="0" w:color="auto"/>
      </w:divBdr>
    </w:div>
    <w:div w:id="2047292546">
      <w:bodyDiv w:val="1"/>
      <w:marLeft w:val="0"/>
      <w:marRight w:val="0"/>
      <w:marTop w:val="0"/>
      <w:marBottom w:val="0"/>
      <w:divBdr>
        <w:top w:val="none" w:sz="0" w:space="0" w:color="auto"/>
        <w:left w:val="none" w:sz="0" w:space="0" w:color="auto"/>
        <w:bottom w:val="none" w:sz="0" w:space="0" w:color="auto"/>
        <w:right w:val="none" w:sz="0" w:space="0" w:color="auto"/>
      </w:divBdr>
    </w:div>
    <w:div w:id="2050295889">
      <w:bodyDiv w:val="1"/>
      <w:marLeft w:val="0"/>
      <w:marRight w:val="0"/>
      <w:marTop w:val="0"/>
      <w:marBottom w:val="0"/>
      <w:divBdr>
        <w:top w:val="none" w:sz="0" w:space="0" w:color="auto"/>
        <w:left w:val="none" w:sz="0" w:space="0" w:color="auto"/>
        <w:bottom w:val="none" w:sz="0" w:space="0" w:color="auto"/>
        <w:right w:val="none" w:sz="0" w:space="0" w:color="auto"/>
      </w:divBdr>
    </w:div>
    <w:div w:id="2050564625">
      <w:bodyDiv w:val="1"/>
      <w:marLeft w:val="0"/>
      <w:marRight w:val="0"/>
      <w:marTop w:val="0"/>
      <w:marBottom w:val="0"/>
      <w:divBdr>
        <w:top w:val="none" w:sz="0" w:space="0" w:color="auto"/>
        <w:left w:val="none" w:sz="0" w:space="0" w:color="auto"/>
        <w:bottom w:val="none" w:sz="0" w:space="0" w:color="auto"/>
        <w:right w:val="none" w:sz="0" w:space="0" w:color="auto"/>
      </w:divBdr>
    </w:div>
    <w:div w:id="2051152114">
      <w:bodyDiv w:val="1"/>
      <w:marLeft w:val="0"/>
      <w:marRight w:val="0"/>
      <w:marTop w:val="0"/>
      <w:marBottom w:val="0"/>
      <w:divBdr>
        <w:top w:val="none" w:sz="0" w:space="0" w:color="auto"/>
        <w:left w:val="none" w:sz="0" w:space="0" w:color="auto"/>
        <w:bottom w:val="none" w:sz="0" w:space="0" w:color="auto"/>
        <w:right w:val="none" w:sz="0" w:space="0" w:color="auto"/>
      </w:divBdr>
    </w:div>
    <w:div w:id="2054694603">
      <w:bodyDiv w:val="1"/>
      <w:marLeft w:val="0"/>
      <w:marRight w:val="0"/>
      <w:marTop w:val="0"/>
      <w:marBottom w:val="0"/>
      <w:divBdr>
        <w:top w:val="none" w:sz="0" w:space="0" w:color="auto"/>
        <w:left w:val="none" w:sz="0" w:space="0" w:color="auto"/>
        <w:bottom w:val="none" w:sz="0" w:space="0" w:color="auto"/>
        <w:right w:val="none" w:sz="0" w:space="0" w:color="auto"/>
      </w:divBdr>
    </w:div>
    <w:div w:id="2056194707">
      <w:bodyDiv w:val="1"/>
      <w:marLeft w:val="0"/>
      <w:marRight w:val="0"/>
      <w:marTop w:val="0"/>
      <w:marBottom w:val="0"/>
      <w:divBdr>
        <w:top w:val="none" w:sz="0" w:space="0" w:color="auto"/>
        <w:left w:val="none" w:sz="0" w:space="0" w:color="auto"/>
        <w:bottom w:val="none" w:sz="0" w:space="0" w:color="auto"/>
        <w:right w:val="none" w:sz="0" w:space="0" w:color="auto"/>
      </w:divBdr>
    </w:div>
    <w:div w:id="2057926493">
      <w:bodyDiv w:val="1"/>
      <w:marLeft w:val="0"/>
      <w:marRight w:val="0"/>
      <w:marTop w:val="0"/>
      <w:marBottom w:val="0"/>
      <w:divBdr>
        <w:top w:val="none" w:sz="0" w:space="0" w:color="auto"/>
        <w:left w:val="none" w:sz="0" w:space="0" w:color="auto"/>
        <w:bottom w:val="none" w:sz="0" w:space="0" w:color="auto"/>
        <w:right w:val="none" w:sz="0" w:space="0" w:color="auto"/>
      </w:divBdr>
    </w:div>
    <w:div w:id="2067755492">
      <w:bodyDiv w:val="1"/>
      <w:marLeft w:val="0"/>
      <w:marRight w:val="0"/>
      <w:marTop w:val="0"/>
      <w:marBottom w:val="0"/>
      <w:divBdr>
        <w:top w:val="none" w:sz="0" w:space="0" w:color="auto"/>
        <w:left w:val="none" w:sz="0" w:space="0" w:color="auto"/>
        <w:bottom w:val="none" w:sz="0" w:space="0" w:color="auto"/>
        <w:right w:val="none" w:sz="0" w:space="0" w:color="auto"/>
      </w:divBdr>
      <w:divsChild>
        <w:div w:id="6179659">
          <w:marLeft w:val="0"/>
          <w:marRight w:val="0"/>
          <w:marTop w:val="0"/>
          <w:marBottom w:val="0"/>
          <w:divBdr>
            <w:top w:val="none" w:sz="0" w:space="0" w:color="auto"/>
            <w:left w:val="none" w:sz="0" w:space="0" w:color="auto"/>
            <w:bottom w:val="none" w:sz="0" w:space="0" w:color="auto"/>
            <w:right w:val="none" w:sz="0" w:space="0" w:color="auto"/>
          </w:divBdr>
        </w:div>
        <w:div w:id="103620316">
          <w:marLeft w:val="0"/>
          <w:marRight w:val="0"/>
          <w:marTop w:val="0"/>
          <w:marBottom w:val="0"/>
          <w:divBdr>
            <w:top w:val="none" w:sz="0" w:space="0" w:color="auto"/>
            <w:left w:val="none" w:sz="0" w:space="0" w:color="auto"/>
            <w:bottom w:val="none" w:sz="0" w:space="0" w:color="auto"/>
            <w:right w:val="none" w:sz="0" w:space="0" w:color="auto"/>
          </w:divBdr>
        </w:div>
        <w:div w:id="167141963">
          <w:marLeft w:val="0"/>
          <w:marRight w:val="0"/>
          <w:marTop w:val="0"/>
          <w:marBottom w:val="0"/>
          <w:divBdr>
            <w:top w:val="none" w:sz="0" w:space="0" w:color="auto"/>
            <w:left w:val="none" w:sz="0" w:space="0" w:color="auto"/>
            <w:bottom w:val="none" w:sz="0" w:space="0" w:color="auto"/>
            <w:right w:val="none" w:sz="0" w:space="0" w:color="auto"/>
          </w:divBdr>
        </w:div>
        <w:div w:id="241527313">
          <w:marLeft w:val="0"/>
          <w:marRight w:val="0"/>
          <w:marTop w:val="0"/>
          <w:marBottom w:val="0"/>
          <w:divBdr>
            <w:top w:val="none" w:sz="0" w:space="0" w:color="auto"/>
            <w:left w:val="none" w:sz="0" w:space="0" w:color="auto"/>
            <w:bottom w:val="none" w:sz="0" w:space="0" w:color="auto"/>
            <w:right w:val="none" w:sz="0" w:space="0" w:color="auto"/>
          </w:divBdr>
        </w:div>
        <w:div w:id="434597492">
          <w:marLeft w:val="0"/>
          <w:marRight w:val="0"/>
          <w:marTop w:val="0"/>
          <w:marBottom w:val="0"/>
          <w:divBdr>
            <w:top w:val="none" w:sz="0" w:space="0" w:color="auto"/>
            <w:left w:val="none" w:sz="0" w:space="0" w:color="auto"/>
            <w:bottom w:val="none" w:sz="0" w:space="0" w:color="auto"/>
            <w:right w:val="none" w:sz="0" w:space="0" w:color="auto"/>
          </w:divBdr>
        </w:div>
        <w:div w:id="938367229">
          <w:marLeft w:val="0"/>
          <w:marRight w:val="0"/>
          <w:marTop w:val="0"/>
          <w:marBottom w:val="0"/>
          <w:divBdr>
            <w:top w:val="none" w:sz="0" w:space="0" w:color="auto"/>
            <w:left w:val="none" w:sz="0" w:space="0" w:color="auto"/>
            <w:bottom w:val="none" w:sz="0" w:space="0" w:color="auto"/>
            <w:right w:val="none" w:sz="0" w:space="0" w:color="auto"/>
          </w:divBdr>
        </w:div>
        <w:div w:id="1038971705">
          <w:marLeft w:val="0"/>
          <w:marRight w:val="0"/>
          <w:marTop w:val="0"/>
          <w:marBottom w:val="0"/>
          <w:divBdr>
            <w:top w:val="none" w:sz="0" w:space="0" w:color="auto"/>
            <w:left w:val="none" w:sz="0" w:space="0" w:color="auto"/>
            <w:bottom w:val="none" w:sz="0" w:space="0" w:color="auto"/>
            <w:right w:val="none" w:sz="0" w:space="0" w:color="auto"/>
          </w:divBdr>
        </w:div>
        <w:div w:id="1057509502">
          <w:marLeft w:val="0"/>
          <w:marRight w:val="0"/>
          <w:marTop w:val="0"/>
          <w:marBottom w:val="0"/>
          <w:divBdr>
            <w:top w:val="none" w:sz="0" w:space="0" w:color="auto"/>
            <w:left w:val="none" w:sz="0" w:space="0" w:color="auto"/>
            <w:bottom w:val="none" w:sz="0" w:space="0" w:color="auto"/>
            <w:right w:val="none" w:sz="0" w:space="0" w:color="auto"/>
          </w:divBdr>
          <w:divsChild>
            <w:div w:id="1246263710">
              <w:marLeft w:val="-75"/>
              <w:marRight w:val="0"/>
              <w:marTop w:val="30"/>
              <w:marBottom w:val="30"/>
              <w:divBdr>
                <w:top w:val="none" w:sz="0" w:space="0" w:color="auto"/>
                <w:left w:val="none" w:sz="0" w:space="0" w:color="auto"/>
                <w:bottom w:val="none" w:sz="0" w:space="0" w:color="auto"/>
                <w:right w:val="none" w:sz="0" w:space="0" w:color="auto"/>
              </w:divBdr>
              <w:divsChild>
                <w:div w:id="813196">
                  <w:marLeft w:val="0"/>
                  <w:marRight w:val="0"/>
                  <w:marTop w:val="0"/>
                  <w:marBottom w:val="0"/>
                  <w:divBdr>
                    <w:top w:val="none" w:sz="0" w:space="0" w:color="auto"/>
                    <w:left w:val="none" w:sz="0" w:space="0" w:color="auto"/>
                    <w:bottom w:val="none" w:sz="0" w:space="0" w:color="auto"/>
                    <w:right w:val="none" w:sz="0" w:space="0" w:color="auto"/>
                  </w:divBdr>
                  <w:divsChild>
                    <w:div w:id="1498038974">
                      <w:marLeft w:val="0"/>
                      <w:marRight w:val="0"/>
                      <w:marTop w:val="0"/>
                      <w:marBottom w:val="0"/>
                      <w:divBdr>
                        <w:top w:val="none" w:sz="0" w:space="0" w:color="auto"/>
                        <w:left w:val="none" w:sz="0" w:space="0" w:color="auto"/>
                        <w:bottom w:val="none" w:sz="0" w:space="0" w:color="auto"/>
                        <w:right w:val="none" w:sz="0" w:space="0" w:color="auto"/>
                      </w:divBdr>
                    </w:div>
                  </w:divsChild>
                </w:div>
                <w:div w:id="28531858">
                  <w:marLeft w:val="0"/>
                  <w:marRight w:val="0"/>
                  <w:marTop w:val="0"/>
                  <w:marBottom w:val="0"/>
                  <w:divBdr>
                    <w:top w:val="none" w:sz="0" w:space="0" w:color="auto"/>
                    <w:left w:val="none" w:sz="0" w:space="0" w:color="auto"/>
                    <w:bottom w:val="none" w:sz="0" w:space="0" w:color="auto"/>
                    <w:right w:val="none" w:sz="0" w:space="0" w:color="auto"/>
                  </w:divBdr>
                  <w:divsChild>
                    <w:div w:id="1812861853">
                      <w:marLeft w:val="0"/>
                      <w:marRight w:val="0"/>
                      <w:marTop w:val="0"/>
                      <w:marBottom w:val="0"/>
                      <w:divBdr>
                        <w:top w:val="none" w:sz="0" w:space="0" w:color="auto"/>
                        <w:left w:val="none" w:sz="0" w:space="0" w:color="auto"/>
                        <w:bottom w:val="none" w:sz="0" w:space="0" w:color="auto"/>
                        <w:right w:val="none" w:sz="0" w:space="0" w:color="auto"/>
                      </w:divBdr>
                    </w:div>
                  </w:divsChild>
                </w:div>
                <w:div w:id="65347930">
                  <w:marLeft w:val="0"/>
                  <w:marRight w:val="0"/>
                  <w:marTop w:val="0"/>
                  <w:marBottom w:val="0"/>
                  <w:divBdr>
                    <w:top w:val="none" w:sz="0" w:space="0" w:color="auto"/>
                    <w:left w:val="none" w:sz="0" w:space="0" w:color="auto"/>
                    <w:bottom w:val="none" w:sz="0" w:space="0" w:color="auto"/>
                    <w:right w:val="none" w:sz="0" w:space="0" w:color="auto"/>
                  </w:divBdr>
                  <w:divsChild>
                    <w:div w:id="866794063">
                      <w:marLeft w:val="0"/>
                      <w:marRight w:val="0"/>
                      <w:marTop w:val="0"/>
                      <w:marBottom w:val="0"/>
                      <w:divBdr>
                        <w:top w:val="none" w:sz="0" w:space="0" w:color="auto"/>
                        <w:left w:val="none" w:sz="0" w:space="0" w:color="auto"/>
                        <w:bottom w:val="none" w:sz="0" w:space="0" w:color="auto"/>
                        <w:right w:val="none" w:sz="0" w:space="0" w:color="auto"/>
                      </w:divBdr>
                    </w:div>
                  </w:divsChild>
                </w:div>
                <w:div w:id="73167365">
                  <w:marLeft w:val="0"/>
                  <w:marRight w:val="0"/>
                  <w:marTop w:val="0"/>
                  <w:marBottom w:val="0"/>
                  <w:divBdr>
                    <w:top w:val="none" w:sz="0" w:space="0" w:color="auto"/>
                    <w:left w:val="none" w:sz="0" w:space="0" w:color="auto"/>
                    <w:bottom w:val="none" w:sz="0" w:space="0" w:color="auto"/>
                    <w:right w:val="none" w:sz="0" w:space="0" w:color="auto"/>
                  </w:divBdr>
                  <w:divsChild>
                    <w:div w:id="727261940">
                      <w:marLeft w:val="0"/>
                      <w:marRight w:val="0"/>
                      <w:marTop w:val="0"/>
                      <w:marBottom w:val="0"/>
                      <w:divBdr>
                        <w:top w:val="none" w:sz="0" w:space="0" w:color="auto"/>
                        <w:left w:val="none" w:sz="0" w:space="0" w:color="auto"/>
                        <w:bottom w:val="none" w:sz="0" w:space="0" w:color="auto"/>
                        <w:right w:val="none" w:sz="0" w:space="0" w:color="auto"/>
                      </w:divBdr>
                    </w:div>
                  </w:divsChild>
                </w:div>
                <w:div w:id="73599764">
                  <w:marLeft w:val="0"/>
                  <w:marRight w:val="0"/>
                  <w:marTop w:val="0"/>
                  <w:marBottom w:val="0"/>
                  <w:divBdr>
                    <w:top w:val="none" w:sz="0" w:space="0" w:color="auto"/>
                    <w:left w:val="none" w:sz="0" w:space="0" w:color="auto"/>
                    <w:bottom w:val="none" w:sz="0" w:space="0" w:color="auto"/>
                    <w:right w:val="none" w:sz="0" w:space="0" w:color="auto"/>
                  </w:divBdr>
                  <w:divsChild>
                    <w:div w:id="1543706916">
                      <w:marLeft w:val="0"/>
                      <w:marRight w:val="0"/>
                      <w:marTop w:val="0"/>
                      <w:marBottom w:val="0"/>
                      <w:divBdr>
                        <w:top w:val="none" w:sz="0" w:space="0" w:color="auto"/>
                        <w:left w:val="none" w:sz="0" w:space="0" w:color="auto"/>
                        <w:bottom w:val="none" w:sz="0" w:space="0" w:color="auto"/>
                        <w:right w:val="none" w:sz="0" w:space="0" w:color="auto"/>
                      </w:divBdr>
                    </w:div>
                  </w:divsChild>
                </w:div>
                <w:div w:id="105924951">
                  <w:marLeft w:val="0"/>
                  <w:marRight w:val="0"/>
                  <w:marTop w:val="0"/>
                  <w:marBottom w:val="0"/>
                  <w:divBdr>
                    <w:top w:val="none" w:sz="0" w:space="0" w:color="auto"/>
                    <w:left w:val="none" w:sz="0" w:space="0" w:color="auto"/>
                    <w:bottom w:val="none" w:sz="0" w:space="0" w:color="auto"/>
                    <w:right w:val="none" w:sz="0" w:space="0" w:color="auto"/>
                  </w:divBdr>
                  <w:divsChild>
                    <w:div w:id="1907838551">
                      <w:marLeft w:val="0"/>
                      <w:marRight w:val="0"/>
                      <w:marTop w:val="0"/>
                      <w:marBottom w:val="0"/>
                      <w:divBdr>
                        <w:top w:val="none" w:sz="0" w:space="0" w:color="auto"/>
                        <w:left w:val="none" w:sz="0" w:space="0" w:color="auto"/>
                        <w:bottom w:val="none" w:sz="0" w:space="0" w:color="auto"/>
                        <w:right w:val="none" w:sz="0" w:space="0" w:color="auto"/>
                      </w:divBdr>
                    </w:div>
                  </w:divsChild>
                </w:div>
                <w:div w:id="122626580">
                  <w:marLeft w:val="0"/>
                  <w:marRight w:val="0"/>
                  <w:marTop w:val="0"/>
                  <w:marBottom w:val="0"/>
                  <w:divBdr>
                    <w:top w:val="none" w:sz="0" w:space="0" w:color="auto"/>
                    <w:left w:val="none" w:sz="0" w:space="0" w:color="auto"/>
                    <w:bottom w:val="none" w:sz="0" w:space="0" w:color="auto"/>
                    <w:right w:val="none" w:sz="0" w:space="0" w:color="auto"/>
                  </w:divBdr>
                  <w:divsChild>
                    <w:div w:id="822354580">
                      <w:marLeft w:val="0"/>
                      <w:marRight w:val="0"/>
                      <w:marTop w:val="0"/>
                      <w:marBottom w:val="0"/>
                      <w:divBdr>
                        <w:top w:val="none" w:sz="0" w:space="0" w:color="auto"/>
                        <w:left w:val="none" w:sz="0" w:space="0" w:color="auto"/>
                        <w:bottom w:val="none" w:sz="0" w:space="0" w:color="auto"/>
                        <w:right w:val="none" w:sz="0" w:space="0" w:color="auto"/>
                      </w:divBdr>
                    </w:div>
                  </w:divsChild>
                </w:div>
                <w:div w:id="122769623">
                  <w:marLeft w:val="0"/>
                  <w:marRight w:val="0"/>
                  <w:marTop w:val="0"/>
                  <w:marBottom w:val="0"/>
                  <w:divBdr>
                    <w:top w:val="none" w:sz="0" w:space="0" w:color="auto"/>
                    <w:left w:val="none" w:sz="0" w:space="0" w:color="auto"/>
                    <w:bottom w:val="none" w:sz="0" w:space="0" w:color="auto"/>
                    <w:right w:val="none" w:sz="0" w:space="0" w:color="auto"/>
                  </w:divBdr>
                  <w:divsChild>
                    <w:div w:id="1566381071">
                      <w:marLeft w:val="0"/>
                      <w:marRight w:val="0"/>
                      <w:marTop w:val="0"/>
                      <w:marBottom w:val="0"/>
                      <w:divBdr>
                        <w:top w:val="none" w:sz="0" w:space="0" w:color="auto"/>
                        <w:left w:val="none" w:sz="0" w:space="0" w:color="auto"/>
                        <w:bottom w:val="none" w:sz="0" w:space="0" w:color="auto"/>
                        <w:right w:val="none" w:sz="0" w:space="0" w:color="auto"/>
                      </w:divBdr>
                    </w:div>
                  </w:divsChild>
                </w:div>
                <w:div w:id="134611078">
                  <w:marLeft w:val="0"/>
                  <w:marRight w:val="0"/>
                  <w:marTop w:val="0"/>
                  <w:marBottom w:val="0"/>
                  <w:divBdr>
                    <w:top w:val="none" w:sz="0" w:space="0" w:color="auto"/>
                    <w:left w:val="none" w:sz="0" w:space="0" w:color="auto"/>
                    <w:bottom w:val="none" w:sz="0" w:space="0" w:color="auto"/>
                    <w:right w:val="none" w:sz="0" w:space="0" w:color="auto"/>
                  </w:divBdr>
                  <w:divsChild>
                    <w:div w:id="1864052773">
                      <w:marLeft w:val="0"/>
                      <w:marRight w:val="0"/>
                      <w:marTop w:val="0"/>
                      <w:marBottom w:val="0"/>
                      <w:divBdr>
                        <w:top w:val="none" w:sz="0" w:space="0" w:color="auto"/>
                        <w:left w:val="none" w:sz="0" w:space="0" w:color="auto"/>
                        <w:bottom w:val="none" w:sz="0" w:space="0" w:color="auto"/>
                        <w:right w:val="none" w:sz="0" w:space="0" w:color="auto"/>
                      </w:divBdr>
                    </w:div>
                  </w:divsChild>
                </w:div>
                <w:div w:id="193806222">
                  <w:marLeft w:val="0"/>
                  <w:marRight w:val="0"/>
                  <w:marTop w:val="0"/>
                  <w:marBottom w:val="0"/>
                  <w:divBdr>
                    <w:top w:val="none" w:sz="0" w:space="0" w:color="auto"/>
                    <w:left w:val="none" w:sz="0" w:space="0" w:color="auto"/>
                    <w:bottom w:val="none" w:sz="0" w:space="0" w:color="auto"/>
                    <w:right w:val="none" w:sz="0" w:space="0" w:color="auto"/>
                  </w:divBdr>
                  <w:divsChild>
                    <w:div w:id="576520399">
                      <w:marLeft w:val="0"/>
                      <w:marRight w:val="0"/>
                      <w:marTop w:val="0"/>
                      <w:marBottom w:val="0"/>
                      <w:divBdr>
                        <w:top w:val="none" w:sz="0" w:space="0" w:color="auto"/>
                        <w:left w:val="none" w:sz="0" w:space="0" w:color="auto"/>
                        <w:bottom w:val="none" w:sz="0" w:space="0" w:color="auto"/>
                        <w:right w:val="none" w:sz="0" w:space="0" w:color="auto"/>
                      </w:divBdr>
                    </w:div>
                  </w:divsChild>
                </w:div>
                <w:div w:id="213470432">
                  <w:marLeft w:val="0"/>
                  <w:marRight w:val="0"/>
                  <w:marTop w:val="0"/>
                  <w:marBottom w:val="0"/>
                  <w:divBdr>
                    <w:top w:val="none" w:sz="0" w:space="0" w:color="auto"/>
                    <w:left w:val="none" w:sz="0" w:space="0" w:color="auto"/>
                    <w:bottom w:val="none" w:sz="0" w:space="0" w:color="auto"/>
                    <w:right w:val="none" w:sz="0" w:space="0" w:color="auto"/>
                  </w:divBdr>
                  <w:divsChild>
                    <w:div w:id="478420904">
                      <w:marLeft w:val="0"/>
                      <w:marRight w:val="0"/>
                      <w:marTop w:val="0"/>
                      <w:marBottom w:val="0"/>
                      <w:divBdr>
                        <w:top w:val="none" w:sz="0" w:space="0" w:color="auto"/>
                        <w:left w:val="none" w:sz="0" w:space="0" w:color="auto"/>
                        <w:bottom w:val="none" w:sz="0" w:space="0" w:color="auto"/>
                        <w:right w:val="none" w:sz="0" w:space="0" w:color="auto"/>
                      </w:divBdr>
                    </w:div>
                  </w:divsChild>
                </w:div>
                <w:div w:id="216092502">
                  <w:marLeft w:val="0"/>
                  <w:marRight w:val="0"/>
                  <w:marTop w:val="0"/>
                  <w:marBottom w:val="0"/>
                  <w:divBdr>
                    <w:top w:val="none" w:sz="0" w:space="0" w:color="auto"/>
                    <w:left w:val="none" w:sz="0" w:space="0" w:color="auto"/>
                    <w:bottom w:val="none" w:sz="0" w:space="0" w:color="auto"/>
                    <w:right w:val="none" w:sz="0" w:space="0" w:color="auto"/>
                  </w:divBdr>
                  <w:divsChild>
                    <w:div w:id="1841122239">
                      <w:marLeft w:val="0"/>
                      <w:marRight w:val="0"/>
                      <w:marTop w:val="0"/>
                      <w:marBottom w:val="0"/>
                      <w:divBdr>
                        <w:top w:val="none" w:sz="0" w:space="0" w:color="auto"/>
                        <w:left w:val="none" w:sz="0" w:space="0" w:color="auto"/>
                        <w:bottom w:val="none" w:sz="0" w:space="0" w:color="auto"/>
                        <w:right w:val="none" w:sz="0" w:space="0" w:color="auto"/>
                      </w:divBdr>
                    </w:div>
                  </w:divsChild>
                </w:div>
                <w:div w:id="242763945">
                  <w:marLeft w:val="0"/>
                  <w:marRight w:val="0"/>
                  <w:marTop w:val="0"/>
                  <w:marBottom w:val="0"/>
                  <w:divBdr>
                    <w:top w:val="none" w:sz="0" w:space="0" w:color="auto"/>
                    <w:left w:val="none" w:sz="0" w:space="0" w:color="auto"/>
                    <w:bottom w:val="none" w:sz="0" w:space="0" w:color="auto"/>
                    <w:right w:val="none" w:sz="0" w:space="0" w:color="auto"/>
                  </w:divBdr>
                  <w:divsChild>
                    <w:div w:id="439956714">
                      <w:marLeft w:val="0"/>
                      <w:marRight w:val="0"/>
                      <w:marTop w:val="0"/>
                      <w:marBottom w:val="0"/>
                      <w:divBdr>
                        <w:top w:val="none" w:sz="0" w:space="0" w:color="auto"/>
                        <w:left w:val="none" w:sz="0" w:space="0" w:color="auto"/>
                        <w:bottom w:val="none" w:sz="0" w:space="0" w:color="auto"/>
                        <w:right w:val="none" w:sz="0" w:space="0" w:color="auto"/>
                      </w:divBdr>
                    </w:div>
                  </w:divsChild>
                </w:div>
                <w:div w:id="301279332">
                  <w:marLeft w:val="0"/>
                  <w:marRight w:val="0"/>
                  <w:marTop w:val="0"/>
                  <w:marBottom w:val="0"/>
                  <w:divBdr>
                    <w:top w:val="none" w:sz="0" w:space="0" w:color="auto"/>
                    <w:left w:val="none" w:sz="0" w:space="0" w:color="auto"/>
                    <w:bottom w:val="none" w:sz="0" w:space="0" w:color="auto"/>
                    <w:right w:val="none" w:sz="0" w:space="0" w:color="auto"/>
                  </w:divBdr>
                  <w:divsChild>
                    <w:div w:id="670454753">
                      <w:marLeft w:val="0"/>
                      <w:marRight w:val="0"/>
                      <w:marTop w:val="0"/>
                      <w:marBottom w:val="0"/>
                      <w:divBdr>
                        <w:top w:val="none" w:sz="0" w:space="0" w:color="auto"/>
                        <w:left w:val="none" w:sz="0" w:space="0" w:color="auto"/>
                        <w:bottom w:val="none" w:sz="0" w:space="0" w:color="auto"/>
                        <w:right w:val="none" w:sz="0" w:space="0" w:color="auto"/>
                      </w:divBdr>
                    </w:div>
                  </w:divsChild>
                </w:div>
                <w:div w:id="344484302">
                  <w:marLeft w:val="0"/>
                  <w:marRight w:val="0"/>
                  <w:marTop w:val="0"/>
                  <w:marBottom w:val="0"/>
                  <w:divBdr>
                    <w:top w:val="none" w:sz="0" w:space="0" w:color="auto"/>
                    <w:left w:val="none" w:sz="0" w:space="0" w:color="auto"/>
                    <w:bottom w:val="none" w:sz="0" w:space="0" w:color="auto"/>
                    <w:right w:val="none" w:sz="0" w:space="0" w:color="auto"/>
                  </w:divBdr>
                  <w:divsChild>
                    <w:div w:id="1721323503">
                      <w:marLeft w:val="0"/>
                      <w:marRight w:val="0"/>
                      <w:marTop w:val="0"/>
                      <w:marBottom w:val="0"/>
                      <w:divBdr>
                        <w:top w:val="none" w:sz="0" w:space="0" w:color="auto"/>
                        <w:left w:val="none" w:sz="0" w:space="0" w:color="auto"/>
                        <w:bottom w:val="none" w:sz="0" w:space="0" w:color="auto"/>
                        <w:right w:val="none" w:sz="0" w:space="0" w:color="auto"/>
                      </w:divBdr>
                    </w:div>
                  </w:divsChild>
                </w:div>
                <w:div w:id="360474716">
                  <w:marLeft w:val="0"/>
                  <w:marRight w:val="0"/>
                  <w:marTop w:val="0"/>
                  <w:marBottom w:val="0"/>
                  <w:divBdr>
                    <w:top w:val="none" w:sz="0" w:space="0" w:color="auto"/>
                    <w:left w:val="none" w:sz="0" w:space="0" w:color="auto"/>
                    <w:bottom w:val="none" w:sz="0" w:space="0" w:color="auto"/>
                    <w:right w:val="none" w:sz="0" w:space="0" w:color="auto"/>
                  </w:divBdr>
                  <w:divsChild>
                    <w:div w:id="382023327">
                      <w:marLeft w:val="0"/>
                      <w:marRight w:val="0"/>
                      <w:marTop w:val="0"/>
                      <w:marBottom w:val="0"/>
                      <w:divBdr>
                        <w:top w:val="none" w:sz="0" w:space="0" w:color="auto"/>
                        <w:left w:val="none" w:sz="0" w:space="0" w:color="auto"/>
                        <w:bottom w:val="none" w:sz="0" w:space="0" w:color="auto"/>
                        <w:right w:val="none" w:sz="0" w:space="0" w:color="auto"/>
                      </w:divBdr>
                    </w:div>
                  </w:divsChild>
                </w:div>
                <w:div w:id="413665924">
                  <w:marLeft w:val="0"/>
                  <w:marRight w:val="0"/>
                  <w:marTop w:val="0"/>
                  <w:marBottom w:val="0"/>
                  <w:divBdr>
                    <w:top w:val="none" w:sz="0" w:space="0" w:color="auto"/>
                    <w:left w:val="none" w:sz="0" w:space="0" w:color="auto"/>
                    <w:bottom w:val="none" w:sz="0" w:space="0" w:color="auto"/>
                    <w:right w:val="none" w:sz="0" w:space="0" w:color="auto"/>
                  </w:divBdr>
                  <w:divsChild>
                    <w:div w:id="640502550">
                      <w:marLeft w:val="0"/>
                      <w:marRight w:val="0"/>
                      <w:marTop w:val="0"/>
                      <w:marBottom w:val="0"/>
                      <w:divBdr>
                        <w:top w:val="none" w:sz="0" w:space="0" w:color="auto"/>
                        <w:left w:val="none" w:sz="0" w:space="0" w:color="auto"/>
                        <w:bottom w:val="none" w:sz="0" w:space="0" w:color="auto"/>
                        <w:right w:val="none" w:sz="0" w:space="0" w:color="auto"/>
                      </w:divBdr>
                    </w:div>
                  </w:divsChild>
                </w:div>
                <w:div w:id="473376947">
                  <w:marLeft w:val="0"/>
                  <w:marRight w:val="0"/>
                  <w:marTop w:val="0"/>
                  <w:marBottom w:val="0"/>
                  <w:divBdr>
                    <w:top w:val="none" w:sz="0" w:space="0" w:color="auto"/>
                    <w:left w:val="none" w:sz="0" w:space="0" w:color="auto"/>
                    <w:bottom w:val="none" w:sz="0" w:space="0" w:color="auto"/>
                    <w:right w:val="none" w:sz="0" w:space="0" w:color="auto"/>
                  </w:divBdr>
                  <w:divsChild>
                    <w:div w:id="767315233">
                      <w:marLeft w:val="0"/>
                      <w:marRight w:val="0"/>
                      <w:marTop w:val="0"/>
                      <w:marBottom w:val="0"/>
                      <w:divBdr>
                        <w:top w:val="none" w:sz="0" w:space="0" w:color="auto"/>
                        <w:left w:val="none" w:sz="0" w:space="0" w:color="auto"/>
                        <w:bottom w:val="none" w:sz="0" w:space="0" w:color="auto"/>
                        <w:right w:val="none" w:sz="0" w:space="0" w:color="auto"/>
                      </w:divBdr>
                    </w:div>
                  </w:divsChild>
                </w:div>
                <w:div w:id="494806279">
                  <w:marLeft w:val="0"/>
                  <w:marRight w:val="0"/>
                  <w:marTop w:val="0"/>
                  <w:marBottom w:val="0"/>
                  <w:divBdr>
                    <w:top w:val="none" w:sz="0" w:space="0" w:color="auto"/>
                    <w:left w:val="none" w:sz="0" w:space="0" w:color="auto"/>
                    <w:bottom w:val="none" w:sz="0" w:space="0" w:color="auto"/>
                    <w:right w:val="none" w:sz="0" w:space="0" w:color="auto"/>
                  </w:divBdr>
                  <w:divsChild>
                    <w:div w:id="463892075">
                      <w:marLeft w:val="0"/>
                      <w:marRight w:val="0"/>
                      <w:marTop w:val="0"/>
                      <w:marBottom w:val="0"/>
                      <w:divBdr>
                        <w:top w:val="none" w:sz="0" w:space="0" w:color="auto"/>
                        <w:left w:val="none" w:sz="0" w:space="0" w:color="auto"/>
                        <w:bottom w:val="none" w:sz="0" w:space="0" w:color="auto"/>
                        <w:right w:val="none" w:sz="0" w:space="0" w:color="auto"/>
                      </w:divBdr>
                    </w:div>
                  </w:divsChild>
                </w:div>
                <w:div w:id="507644001">
                  <w:marLeft w:val="0"/>
                  <w:marRight w:val="0"/>
                  <w:marTop w:val="0"/>
                  <w:marBottom w:val="0"/>
                  <w:divBdr>
                    <w:top w:val="none" w:sz="0" w:space="0" w:color="auto"/>
                    <w:left w:val="none" w:sz="0" w:space="0" w:color="auto"/>
                    <w:bottom w:val="none" w:sz="0" w:space="0" w:color="auto"/>
                    <w:right w:val="none" w:sz="0" w:space="0" w:color="auto"/>
                  </w:divBdr>
                  <w:divsChild>
                    <w:div w:id="1534801734">
                      <w:marLeft w:val="0"/>
                      <w:marRight w:val="0"/>
                      <w:marTop w:val="0"/>
                      <w:marBottom w:val="0"/>
                      <w:divBdr>
                        <w:top w:val="none" w:sz="0" w:space="0" w:color="auto"/>
                        <w:left w:val="none" w:sz="0" w:space="0" w:color="auto"/>
                        <w:bottom w:val="none" w:sz="0" w:space="0" w:color="auto"/>
                        <w:right w:val="none" w:sz="0" w:space="0" w:color="auto"/>
                      </w:divBdr>
                    </w:div>
                  </w:divsChild>
                </w:div>
                <w:div w:id="580917541">
                  <w:marLeft w:val="0"/>
                  <w:marRight w:val="0"/>
                  <w:marTop w:val="0"/>
                  <w:marBottom w:val="0"/>
                  <w:divBdr>
                    <w:top w:val="none" w:sz="0" w:space="0" w:color="auto"/>
                    <w:left w:val="none" w:sz="0" w:space="0" w:color="auto"/>
                    <w:bottom w:val="none" w:sz="0" w:space="0" w:color="auto"/>
                    <w:right w:val="none" w:sz="0" w:space="0" w:color="auto"/>
                  </w:divBdr>
                  <w:divsChild>
                    <w:div w:id="2011517301">
                      <w:marLeft w:val="0"/>
                      <w:marRight w:val="0"/>
                      <w:marTop w:val="0"/>
                      <w:marBottom w:val="0"/>
                      <w:divBdr>
                        <w:top w:val="none" w:sz="0" w:space="0" w:color="auto"/>
                        <w:left w:val="none" w:sz="0" w:space="0" w:color="auto"/>
                        <w:bottom w:val="none" w:sz="0" w:space="0" w:color="auto"/>
                        <w:right w:val="none" w:sz="0" w:space="0" w:color="auto"/>
                      </w:divBdr>
                    </w:div>
                  </w:divsChild>
                </w:div>
                <w:div w:id="595871979">
                  <w:marLeft w:val="0"/>
                  <w:marRight w:val="0"/>
                  <w:marTop w:val="0"/>
                  <w:marBottom w:val="0"/>
                  <w:divBdr>
                    <w:top w:val="none" w:sz="0" w:space="0" w:color="auto"/>
                    <w:left w:val="none" w:sz="0" w:space="0" w:color="auto"/>
                    <w:bottom w:val="none" w:sz="0" w:space="0" w:color="auto"/>
                    <w:right w:val="none" w:sz="0" w:space="0" w:color="auto"/>
                  </w:divBdr>
                  <w:divsChild>
                    <w:div w:id="1627589100">
                      <w:marLeft w:val="0"/>
                      <w:marRight w:val="0"/>
                      <w:marTop w:val="0"/>
                      <w:marBottom w:val="0"/>
                      <w:divBdr>
                        <w:top w:val="none" w:sz="0" w:space="0" w:color="auto"/>
                        <w:left w:val="none" w:sz="0" w:space="0" w:color="auto"/>
                        <w:bottom w:val="none" w:sz="0" w:space="0" w:color="auto"/>
                        <w:right w:val="none" w:sz="0" w:space="0" w:color="auto"/>
                      </w:divBdr>
                    </w:div>
                  </w:divsChild>
                </w:div>
                <w:div w:id="632250590">
                  <w:marLeft w:val="0"/>
                  <w:marRight w:val="0"/>
                  <w:marTop w:val="0"/>
                  <w:marBottom w:val="0"/>
                  <w:divBdr>
                    <w:top w:val="none" w:sz="0" w:space="0" w:color="auto"/>
                    <w:left w:val="none" w:sz="0" w:space="0" w:color="auto"/>
                    <w:bottom w:val="none" w:sz="0" w:space="0" w:color="auto"/>
                    <w:right w:val="none" w:sz="0" w:space="0" w:color="auto"/>
                  </w:divBdr>
                  <w:divsChild>
                    <w:div w:id="1123693102">
                      <w:marLeft w:val="0"/>
                      <w:marRight w:val="0"/>
                      <w:marTop w:val="0"/>
                      <w:marBottom w:val="0"/>
                      <w:divBdr>
                        <w:top w:val="none" w:sz="0" w:space="0" w:color="auto"/>
                        <w:left w:val="none" w:sz="0" w:space="0" w:color="auto"/>
                        <w:bottom w:val="none" w:sz="0" w:space="0" w:color="auto"/>
                        <w:right w:val="none" w:sz="0" w:space="0" w:color="auto"/>
                      </w:divBdr>
                    </w:div>
                  </w:divsChild>
                </w:div>
                <w:div w:id="656568734">
                  <w:marLeft w:val="0"/>
                  <w:marRight w:val="0"/>
                  <w:marTop w:val="0"/>
                  <w:marBottom w:val="0"/>
                  <w:divBdr>
                    <w:top w:val="none" w:sz="0" w:space="0" w:color="auto"/>
                    <w:left w:val="none" w:sz="0" w:space="0" w:color="auto"/>
                    <w:bottom w:val="none" w:sz="0" w:space="0" w:color="auto"/>
                    <w:right w:val="none" w:sz="0" w:space="0" w:color="auto"/>
                  </w:divBdr>
                  <w:divsChild>
                    <w:div w:id="839198277">
                      <w:marLeft w:val="0"/>
                      <w:marRight w:val="0"/>
                      <w:marTop w:val="0"/>
                      <w:marBottom w:val="0"/>
                      <w:divBdr>
                        <w:top w:val="none" w:sz="0" w:space="0" w:color="auto"/>
                        <w:left w:val="none" w:sz="0" w:space="0" w:color="auto"/>
                        <w:bottom w:val="none" w:sz="0" w:space="0" w:color="auto"/>
                        <w:right w:val="none" w:sz="0" w:space="0" w:color="auto"/>
                      </w:divBdr>
                    </w:div>
                  </w:divsChild>
                </w:div>
                <w:div w:id="672873261">
                  <w:marLeft w:val="0"/>
                  <w:marRight w:val="0"/>
                  <w:marTop w:val="0"/>
                  <w:marBottom w:val="0"/>
                  <w:divBdr>
                    <w:top w:val="none" w:sz="0" w:space="0" w:color="auto"/>
                    <w:left w:val="none" w:sz="0" w:space="0" w:color="auto"/>
                    <w:bottom w:val="none" w:sz="0" w:space="0" w:color="auto"/>
                    <w:right w:val="none" w:sz="0" w:space="0" w:color="auto"/>
                  </w:divBdr>
                  <w:divsChild>
                    <w:div w:id="428237875">
                      <w:marLeft w:val="0"/>
                      <w:marRight w:val="0"/>
                      <w:marTop w:val="0"/>
                      <w:marBottom w:val="0"/>
                      <w:divBdr>
                        <w:top w:val="none" w:sz="0" w:space="0" w:color="auto"/>
                        <w:left w:val="none" w:sz="0" w:space="0" w:color="auto"/>
                        <w:bottom w:val="none" w:sz="0" w:space="0" w:color="auto"/>
                        <w:right w:val="none" w:sz="0" w:space="0" w:color="auto"/>
                      </w:divBdr>
                    </w:div>
                  </w:divsChild>
                </w:div>
                <w:div w:id="677121530">
                  <w:marLeft w:val="0"/>
                  <w:marRight w:val="0"/>
                  <w:marTop w:val="0"/>
                  <w:marBottom w:val="0"/>
                  <w:divBdr>
                    <w:top w:val="none" w:sz="0" w:space="0" w:color="auto"/>
                    <w:left w:val="none" w:sz="0" w:space="0" w:color="auto"/>
                    <w:bottom w:val="none" w:sz="0" w:space="0" w:color="auto"/>
                    <w:right w:val="none" w:sz="0" w:space="0" w:color="auto"/>
                  </w:divBdr>
                  <w:divsChild>
                    <w:div w:id="1788236740">
                      <w:marLeft w:val="0"/>
                      <w:marRight w:val="0"/>
                      <w:marTop w:val="0"/>
                      <w:marBottom w:val="0"/>
                      <w:divBdr>
                        <w:top w:val="none" w:sz="0" w:space="0" w:color="auto"/>
                        <w:left w:val="none" w:sz="0" w:space="0" w:color="auto"/>
                        <w:bottom w:val="none" w:sz="0" w:space="0" w:color="auto"/>
                        <w:right w:val="none" w:sz="0" w:space="0" w:color="auto"/>
                      </w:divBdr>
                    </w:div>
                  </w:divsChild>
                </w:div>
                <w:div w:id="687370903">
                  <w:marLeft w:val="0"/>
                  <w:marRight w:val="0"/>
                  <w:marTop w:val="0"/>
                  <w:marBottom w:val="0"/>
                  <w:divBdr>
                    <w:top w:val="none" w:sz="0" w:space="0" w:color="auto"/>
                    <w:left w:val="none" w:sz="0" w:space="0" w:color="auto"/>
                    <w:bottom w:val="none" w:sz="0" w:space="0" w:color="auto"/>
                    <w:right w:val="none" w:sz="0" w:space="0" w:color="auto"/>
                  </w:divBdr>
                  <w:divsChild>
                    <w:div w:id="864945854">
                      <w:marLeft w:val="0"/>
                      <w:marRight w:val="0"/>
                      <w:marTop w:val="0"/>
                      <w:marBottom w:val="0"/>
                      <w:divBdr>
                        <w:top w:val="none" w:sz="0" w:space="0" w:color="auto"/>
                        <w:left w:val="none" w:sz="0" w:space="0" w:color="auto"/>
                        <w:bottom w:val="none" w:sz="0" w:space="0" w:color="auto"/>
                        <w:right w:val="none" w:sz="0" w:space="0" w:color="auto"/>
                      </w:divBdr>
                    </w:div>
                  </w:divsChild>
                </w:div>
                <w:div w:id="941886628">
                  <w:marLeft w:val="0"/>
                  <w:marRight w:val="0"/>
                  <w:marTop w:val="0"/>
                  <w:marBottom w:val="0"/>
                  <w:divBdr>
                    <w:top w:val="none" w:sz="0" w:space="0" w:color="auto"/>
                    <w:left w:val="none" w:sz="0" w:space="0" w:color="auto"/>
                    <w:bottom w:val="none" w:sz="0" w:space="0" w:color="auto"/>
                    <w:right w:val="none" w:sz="0" w:space="0" w:color="auto"/>
                  </w:divBdr>
                  <w:divsChild>
                    <w:div w:id="1912428632">
                      <w:marLeft w:val="0"/>
                      <w:marRight w:val="0"/>
                      <w:marTop w:val="0"/>
                      <w:marBottom w:val="0"/>
                      <w:divBdr>
                        <w:top w:val="none" w:sz="0" w:space="0" w:color="auto"/>
                        <w:left w:val="none" w:sz="0" w:space="0" w:color="auto"/>
                        <w:bottom w:val="none" w:sz="0" w:space="0" w:color="auto"/>
                        <w:right w:val="none" w:sz="0" w:space="0" w:color="auto"/>
                      </w:divBdr>
                    </w:div>
                  </w:divsChild>
                </w:div>
                <w:div w:id="968974215">
                  <w:marLeft w:val="0"/>
                  <w:marRight w:val="0"/>
                  <w:marTop w:val="0"/>
                  <w:marBottom w:val="0"/>
                  <w:divBdr>
                    <w:top w:val="none" w:sz="0" w:space="0" w:color="auto"/>
                    <w:left w:val="none" w:sz="0" w:space="0" w:color="auto"/>
                    <w:bottom w:val="none" w:sz="0" w:space="0" w:color="auto"/>
                    <w:right w:val="none" w:sz="0" w:space="0" w:color="auto"/>
                  </w:divBdr>
                  <w:divsChild>
                    <w:div w:id="1459303846">
                      <w:marLeft w:val="0"/>
                      <w:marRight w:val="0"/>
                      <w:marTop w:val="0"/>
                      <w:marBottom w:val="0"/>
                      <w:divBdr>
                        <w:top w:val="none" w:sz="0" w:space="0" w:color="auto"/>
                        <w:left w:val="none" w:sz="0" w:space="0" w:color="auto"/>
                        <w:bottom w:val="none" w:sz="0" w:space="0" w:color="auto"/>
                        <w:right w:val="none" w:sz="0" w:space="0" w:color="auto"/>
                      </w:divBdr>
                    </w:div>
                  </w:divsChild>
                </w:div>
                <w:div w:id="970987013">
                  <w:marLeft w:val="0"/>
                  <w:marRight w:val="0"/>
                  <w:marTop w:val="0"/>
                  <w:marBottom w:val="0"/>
                  <w:divBdr>
                    <w:top w:val="none" w:sz="0" w:space="0" w:color="auto"/>
                    <w:left w:val="none" w:sz="0" w:space="0" w:color="auto"/>
                    <w:bottom w:val="none" w:sz="0" w:space="0" w:color="auto"/>
                    <w:right w:val="none" w:sz="0" w:space="0" w:color="auto"/>
                  </w:divBdr>
                  <w:divsChild>
                    <w:div w:id="2049063004">
                      <w:marLeft w:val="0"/>
                      <w:marRight w:val="0"/>
                      <w:marTop w:val="0"/>
                      <w:marBottom w:val="0"/>
                      <w:divBdr>
                        <w:top w:val="none" w:sz="0" w:space="0" w:color="auto"/>
                        <w:left w:val="none" w:sz="0" w:space="0" w:color="auto"/>
                        <w:bottom w:val="none" w:sz="0" w:space="0" w:color="auto"/>
                        <w:right w:val="none" w:sz="0" w:space="0" w:color="auto"/>
                      </w:divBdr>
                    </w:div>
                  </w:divsChild>
                </w:div>
                <w:div w:id="990254978">
                  <w:marLeft w:val="0"/>
                  <w:marRight w:val="0"/>
                  <w:marTop w:val="0"/>
                  <w:marBottom w:val="0"/>
                  <w:divBdr>
                    <w:top w:val="none" w:sz="0" w:space="0" w:color="auto"/>
                    <w:left w:val="none" w:sz="0" w:space="0" w:color="auto"/>
                    <w:bottom w:val="none" w:sz="0" w:space="0" w:color="auto"/>
                    <w:right w:val="none" w:sz="0" w:space="0" w:color="auto"/>
                  </w:divBdr>
                  <w:divsChild>
                    <w:div w:id="1089960249">
                      <w:marLeft w:val="0"/>
                      <w:marRight w:val="0"/>
                      <w:marTop w:val="0"/>
                      <w:marBottom w:val="0"/>
                      <w:divBdr>
                        <w:top w:val="none" w:sz="0" w:space="0" w:color="auto"/>
                        <w:left w:val="none" w:sz="0" w:space="0" w:color="auto"/>
                        <w:bottom w:val="none" w:sz="0" w:space="0" w:color="auto"/>
                        <w:right w:val="none" w:sz="0" w:space="0" w:color="auto"/>
                      </w:divBdr>
                    </w:div>
                  </w:divsChild>
                </w:div>
                <w:div w:id="994793945">
                  <w:marLeft w:val="0"/>
                  <w:marRight w:val="0"/>
                  <w:marTop w:val="0"/>
                  <w:marBottom w:val="0"/>
                  <w:divBdr>
                    <w:top w:val="none" w:sz="0" w:space="0" w:color="auto"/>
                    <w:left w:val="none" w:sz="0" w:space="0" w:color="auto"/>
                    <w:bottom w:val="none" w:sz="0" w:space="0" w:color="auto"/>
                    <w:right w:val="none" w:sz="0" w:space="0" w:color="auto"/>
                  </w:divBdr>
                  <w:divsChild>
                    <w:div w:id="1783836170">
                      <w:marLeft w:val="0"/>
                      <w:marRight w:val="0"/>
                      <w:marTop w:val="0"/>
                      <w:marBottom w:val="0"/>
                      <w:divBdr>
                        <w:top w:val="none" w:sz="0" w:space="0" w:color="auto"/>
                        <w:left w:val="none" w:sz="0" w:space="0" w:color="auto"/>
                        <w:bottom w:val="none" w:sz="0" w:space="0" w:color="auto"/>
                        <w:right w:val="none" w:sz="0" w:space="0" w:color="auto"/>
                      </w:divBdr>
                    </w:div>
                  </w:divsChild>
                </w:div>
                <w:div w:id="1078943531">
                  <w:marLeft w:val="0"/>
                  <w:marRight w:val="0"/>
                  <w:marTop w:val="0"/>
                  <w:marBottom w:val="0"/>
                  <w:divBdr>
                    <w:top w:val="none" w:sz="0" w:space="0" w:color="auto"/>
                    <w:left w:val="none" w:sz="0" w:space="0" w:color="auto"/>
                    <w:bottom w:val="none" w:sz="0" w:space="0" w:color="auto"/>
                    <w:right w:val="none" w:sz="0" w:space="0" w:color="auto"/>
                  </w:divBdr>
                  <w:divsChild>
                    <w:div w:id="1033532212">
                      <w:marLeft w:val="0"/>
                      <w:marRight w:val="0"/>
                      <w:marTop w:val="0"/>
                      <w:marBottom w:val="0"/>
                      <w:divBdr>
                        <w:top w:val="none" w:sz="0" w:space="0" w:color="auto"/>
                        <w:left w:val="none" w:sz="0" w:space="0" w:color="auto"/>
                        <w:bottom w:val="none" w:sz="0" w:space="0" w:color="auto"/>
                        <w:right w:val="none" w:sz="0" w:space="0" w:color="auto"/>
                      </w:divBdr>
                    </w:div>
                  </w:divsChild>
                </w:div>
                <w:div w:id="1100874626">
                  <w:marLeft w:val="0"/>
                  <w:marRight w:val="0"/>
                  <w:marTop w:val="0"/>
                  <w:marBottom w:val="0"/>
                  <w:divBdr>
                    <w:top w:val="none" w:sz="0" w:space="0" w:color="auto"/>
                    <w:left w:val="none" w:sz="0" w:space="0" w:color="auto"/>
                    <w:bottom w:val="none" w:sz="0" w:space="0" w:color="auto"/>
                    <w:right w:val="none" w:sz="0" w:space="0" w:color="auto"/>
                  </w:divBdr>
                  <w:divsChild>
                    <w:div w:id="301544366">
                      <w:marLeft w:val="0"/>
                      <w:marRight w:val="0"/>
                      <w:marTop w:val="0"/>
                      <w:marBottom w:val="0"/>
                      <w:divBdr>
                        <w:top w:val="none" w:sz="0" w:space="0" w:color="auto"/>
                        <w:left w:val="none" w:sz="0" w:space="0" w:color="auto"/>
                        <w:bottom w:val="none" w:sz="0" w:space="0" w:color="auto"/>
                        <w:right w:val="none" w:sz="0" w:space="0" w:color="auto"/>
                      </w:divBdr>
                    </w:div>
                  </w:divsChild>
                </w:div>
                <w:div w:id="1194615702">
                  <w:marLeft w:val="0"/>
                  <w:marRight w:val="0"/>
                  <w:marTop w:val="0"/>
                  <w:marBottom w:val="0"/>
                  <w:divBdr>
                    <w:top w:val="none" w:sz="0" w:space="0" w:color="auto"/>
                    <w:left w:val="none" w:sz="0" w:space="0" w:color="auto"/>
                    <w:bottom w:val="none" w:sz="0" w:space="0" w:color="auto"/>
                    <w:right w:val="none" w:sz="0" w:space="0" w:color="auto"/>
                  </w:divBdr>
                  <w:divsChild>
                    <w:div w:id="719981167">
                      <w:marLeft w:val="0"/>
                      <w:marRight w:val="0"/>
                      <w:marTop w:val="0"/>
                      <w:marBottom w:val="0"/>
                      <w:divBdr>
                        <w:top w:val="none" w:sz="0" w:space="0" w:color="auto"/>
                        <w:left w:val="none" w:sz="0" w:space="0" w:color="auto"/>
                        <w:bottom w:val="none" w:sz="0" w:space="0" w:color="auto"/>
                        <w:right w:val="none" w:sz="0" w:space="0" w:color="auto"/>
                      </w:divBdr>
                    </w:div>
                  </w:divsChild>
                </w:div>
                <w:div w:id="1210726963">
                  <w:marLeft w:val="0"/>
                  <w:marRight w:val="0"/>
                  <w:marTop w:val="0"/>
                  <w:marBottom w:val="0"/>
                  <w:divBdr>
                    <w:top w:val="none" w:sz="0" w:space="0" w:color="auto"/>
                    <w:left w:val="none" w:sz="0" w:space="0" w:color="auto"/>
                    <w:bottom w:val="none" w:sz="0" w:space="0" w:color="auto"/>
                    <w:right w:val="none" w:sz="0" w:space="0" w:color="auto"/>
                  </w:divBdr>
                  <w:divsChild>
                    <w:div w:id="1612710961">
                      <w:marLeft w:val="0"/>
                      <w:marRight w:val="0"/>
                      <w:marTop w:val="0"/>
                      <w:marBottom w:val="0"/>
                      <w:divBdr>
                        <w:top w:val="none" w:sz="0" w:space="0" w:color="auto"/>
                        <w:left w:val="none" w:sz="0" w:space="0" w:color="auto"/>
                        <w:bottom w:val="none" w:sz="0" w:space="0" w:color="auto"/>
                        <w:right w:val="none" w:sz="0" w:space="0" w:color="auto"/>
                      </w:divBdr>
                    </w:div>
                  </w:divsChild>
                </w:div>
                <w:div w:id="1229416970">
                  <w:marLeft w:val="0"/>
                  <w:marRight w:val="0"/>
                  <w:marTop w:val="0"/>
                  <w:marBottom w:val="0"/>
                  <w:divBdr>
                    <w:top w:val="none" w:sz="0" w:space="0" w:color="auto"/>
                    <w:left w:val="none" w:sz="0" w:space="0" w:color="auto"/>
                    <w:bottom w:val="none" w:sz="0" w:space="0" w:color="auto"/>
                    <w:right w:val="none" w:sz="0" w:space="0" w:color="auto"/>
                  </w:divBdr>
                  <w:divsChild>
                    <w:div w:id="317078010">
                      <w:marLeft w:val="0"/>
                      <w:marRight w:val="0"/>
                      <w:marTop w:val="0"/>
                      <w:marBottom w:val="0"/>
                      <w:divBdr>
                        <w:top w:val="none" w:sz="0" w:space="0" w:color="auto"/>
                        <w:left w:val="none" w:sz="0" w:space="0" w:color="auto"/>
                        <w:bottom w:val="none" w:sz="0" w:space="0" w:color="auto"/>
                        <w:right w:val="none" w:sz="0" w:space="0" w:color="auto"/>
                      </w:divBdr>
                    </w:div>
                  </w:divsChild>
                </w:div>
                <w:div w:id="1245263198">
                  <w:marLeft w:val="0"/>
                  <w:marRight w:val="0"/>
                  <w:marTop w:val="0"/>
                  <w:marBottom w:val="0"/>
                  <w:divBdr>
                    <w:top w:val="none" w:sz="0" w:space="0" w:color="auto"/>
                    <w:left w:val="none" w:sz="0" w:space="0" w:color="auto"/>
                    <w:bottom w:val="none" w:sz="0" w:space="0" w:color="auto"/>
                    <w:right w:val="none" w:sz="0" w:space="0" w:color="auto"/>
                  </w:divBdr>
                  <w:divsChild>
                    <w:div w:id="156963096">
                      <w:marLeft w:val="0"/>
                      <w:marRight w:val="0"/>
                      <w:marTop w:val="0"/>
                      <w:marBottom w:val="0"/>
                      <w:divBdr>
                        <w:top w:val="none" w:sz="0" w:space="0" w:color="auto"/>
                        <w:left w:val="none" w:sz="0" w:space="0" w:color="auto"/>
                        <w:bottom w:val="none" w:sz="0" w:space="0" w:color="auto"/>
                        <w:right w:val="none" w:sz="0" w:space="0" w:color="auto"/>
                      </w:divBdr>
                    </w:div>
                  </w:divsChild>
                </w:div>
                <w:div w:id="1279338821">
                  <w:marLeft w:val="0"/>
                  <w:marRight w:val="0"/>
                  <w:marTop w:val="0"/>
                  <w:marBottom w:val="0"/>
                  <w:divBdr>
                    <w:top w:val="none" w:sz="0" w:space="0" w:color="auto"/>
                    <w:left w:val="none" w:sz="0" w:space="0" w:color="auto"/>
                    <w:bottom w:val="none" w:sz="0" w:space="0" w:color="auto"/>
                    <w:right w:val="none" w:sz="0" w:space="0" w:color="auto"/>
                  </w:divBdr>
                  <w:divsChild>
                    <w:div w:id="583682075">
                      <w:marLeft w:val="0"/>
                      <w:marRight w:val="0"/>
                      <w:marTop w:val="0"/>
                      <w:marBottom w:val="0"/>
                      <w:divBdr>
                        <w:top w:val="none" w:sz="0" w:space="0" w:color="auto"/>
                        <w:left w:val="none" w:sz="0" w:space="0" w:color="auto"/>
                        <w:bottom w:val="none" w:sz="0" w:space="0" w:color="auto"/>
                        <w:right w:val="none" w:sz="0" w:space="0" w:color="auto"/>
                      </w:divBdr>
                    </w:div>
                  </w:divsChild>
                </w:div>
                <w:div w:id="1323044416">
                  <w:marLeft w:val="0"/>
                  <w:marRight w:val="0"/>
                  <w:marTop w:val="0"/>
                  <w:marBottom w:val="0"/>
                  <w:divBdr>
                    <w:top w:val="none" w:sz="0" w:space="0" w:color="auto"/>
                    <w:left w:val="none" w:sz="0" w:space="0" w:color="auto"/>
                    <w:bottom w:val="none" w:sz="0" w:space="0" w:color="auto"/>
                    <w:right w:val="none" w:sz="0" w:space="0" w:color="auto"/>
                  </w:divBdr>
                  <w:divsChild>
                    <w:div w:id="1526096164">
                      <w:marLeft w:val="0"/>
                      <w:marRight w:val="0"/>
                      <w:marTop w:val="0"/>
                      <w:marBottom w:val="0"/>
                      <w:divBdr>
                        <w:top w:val="none" w:sz="0" w:space="0" w:color="auto"/>
                        <w:left w:val="none" w:sz="0" w:space="0" w:color="auto"/>
                        <w:bottom w:val="none" w:sz="0" w:space="0" w:color="auto"/>
                        <w:right w:val="none" w:sz="0" w:space="0" w:color="auto"/>
                      </w:divBdr>
                    </w:div>
                  </w:divsChild>
                </w:div>
                <w:div w:id="1410694016">
                  <w:marLeft w:val="0"/>
                  <w:marRight w:val="0"/>
                  <w:marTop w:val="0"/>
                  <w:marBottom w:val="0"/>
                  <w:divBdr>
                    <w:top w:val="none" w:sz="0" w:space="0" w:color="auto"/>
                    <w:left w:val="none" w:sz="0" w:space="0" w:color="auto"/>
                    <w:bottom w:val="none" w:sz="0" w:space="0" w:color="auto"/>
                    <w:right w:val="none" w:sz="0" w:space="0" w:color="auto"/>
                  </w:divBdr>
                  <w:divsChild>
                    <w:div w:id="93213764">
                      <w:marLeft w:val="0"/>
                      <w:marRight w:val="0"/>
                      <w:marTop w:val="0"/>
                      <w:marBottom w:val="0"/>
                      <w:divBdr>
                        <w:top w:val="none" w:sz="0" w:space="0" w:color="auto"/>
                        <w:left w:val="none" w:sz="0" w:space="0" w:color="auto"/>
                        <w:bottom w:val="none" w:sz="0" w:space="0" w:color="auto"/>
                        <w:right w:val="none" w:sz="0" w:space="0" w:color="auto"/>
                      </w:divBdr>
                    </w:div>
                  </w:divsChild>
                </w:div>
                <w:div w:id="1422600614">
                  <w:marLeft w:val="0"/>
                  <w:marRight w:val="0"/>
                  <w:marTop w:val="0"/>
                  <w:marBottom w:val="0"/>
                  <w:divBdr>
                    <w:top w:val="none" w:sz="0" w:space="0" w:color="auto"/>
                    <w:left w:val="none" w:sz="0" w:space="0" w:color="auto"/>
                    <w:bottom w:val="none" w:sz="0" w:space="0" w:color="auto"/>
                    <w:right w:val="none" w:sz="0" w:space="0" w:color="auto"/>
                  </w:divBdr>
                  <w:divsChild>
                    <w:div w:id="1351570653">
                      <w:marLeft w:val="0"/>
                      <w:marRight w:val="0"/>
                      <w:marTop w:val="0"/>
                      <w:marBottom w:val="0"/>
                      <w:divBdr>
                        <w:top w:val="none" w:sz="0" w:space="0" w:color="auto"/>
                        <w:left w:val="none" w:sz="0" w:space="0" w:color="auto"/>
                        <w:bottom w:val="none" w:sz="0" w:space="0" w:color="auto"/>
                        <w:right w:val="none" w:sz="0" w:space="0" w:color="auto"/>
                      </w:divBdr>
                    </w:div>
                  </w:divsChild>
                </w:div>
                <w:div w:id="1443765836">
                  <w:marLeft w:val="0"/>
                  <w:marRight w:val="0"/>
                  <w:marTop w:val="0"/>
                  <w:marBottom w:val="0"/>
                  <w:divBdr>
                    <w:top w:val="none" w:sz="0" w:space="0" w:color="auto"/>
                    <w:left w:val="none" w:sz="0" w:space="0" w:color="auto"/>
                    <w:bottom w:val="none" w:sz="0" w:space="0" w:color="auto"/>
                    <w:right w:val="none" w:sz="0" w:space="0" w:color="auto"/>
                  </w:divBdr>
                  <w:divsChild>
                    <w:div w:id="1758750930">
                      <w:marLeft w:val="0"/>
                      <w:marRight w:val="0"/>
                      <w:marTop w:val="0"/>
                      <w:marBottom w:val="0"/>
                      <w:divBdr>
                        <w:top w:val="none" w:sz="0" w:space="0" w:color="auto"/>
                        <w:left w:val="none" w:sz="0" w:space="0" w:color="auto"/>
                        <w:bottom w:val="none" w:sz="0" w:space="0" w:color="auto"/>
                        <w:right w:val="none" w:sz="0" w:space="0" w:color="auto"/>
                      </w:divBdr>
                    </w:div>
                  </w:divsChild>
                </w:div>
                <w:div w:id="1456171339">
                  <w:marLeft w:val="0"/>
                  <w:marRight w:val="0"/>
                  <w:marTop w:val="0"/>
                  <w:marBottom w:val="0"/>
                  <w:divBdr>
                    <w:top w:val="none" w:sz="0" w:space="0" w:color="auto"/>
                    <w:left w:val="none" w:sz="0" w:space="0" w:color="auto"/>
                    <w:bottom w:val="none" w:sz="0" w:space="0" w:color="auto"/>
                    <w:right w:val="none" w:sz="0" w:space="0" w:color="auto"/>
                  </w:divBdr>
                  <w:divsChild>
                    <w:div w:id="700520495">
                      <w:marLeft w:val="0"/>
                      <w:marRight w:val="0"/>
                      <w:marTop w:val="0"/>
                      <w:marBottom w:val="0"/>
                      <w:divBdr>
                        <w:top w:val="none" w:sz="0" w:space="0" w:color="auto"/>
                        <w:left w:val="none" w:sz="0" w:space="0" w:color="auto"/>
                        <w:bottom w:val="none" w:sz="0" w:space="0" w:color="auto"/>
                        <w:right w:val="none" w:sz="0" w:space="0" w:color="auto"/>
                      </w:divBdr>
                    </w:div>
                  </w:divsChild>
                </w:div>
                <w:div w:id="1460807821">
                  <w:marLeft w:val="0"/>
                  <w:marRight w:val="0"/>
                  <w:marTop w:val="0"/>
                  <w:marBottom w:val="0"/>
                  <w:divBdr>
                    <w:top w:val="none" w:sz="0" w:space="0" w:color="auto"/>
                    <w:left w:val="none" w:sz="0" w:space="0" w:color="auto"/>
                    <w:bottom w:val="none" w:sz="0" w:space="0" w:color="auto"/>
                    <w:right w:val="none" w:sz="0" w:space="0" w:color="auto"/>
                  </w:divBdr>
                  <w:divsChild>
                    <w:div w:id="274335273">
                      <w:marLeft w:val="0"/>
                      <w:marRight w:val="0"/>
                      <w:marTop w:val="0"/>
                      <w:marBottom w:val="0"/>
                      <w:divBdr>
                        <w:top w:val="none" w:sz="0" w:space="0" w:color="auto"/>
                        <w:left w:val="none" w:sz="0" w:space="0" w:color="auto"/>
                        <w:bottom w:val="none" w:sz="0" w:space="0" w:color="auto"/>
                        <w:right w:val="none" w:sz="0" w:space="0" w:color="auto"/>
                      </w:divBdr>
                    </w:div>
                  </w:divsChild>
                </w:div>
                <w:div w:id="1471097370">
                  <w:marLeft w:val="0"/>
                  <w:marRight w:val="0"/>
                  <w:marTop w:val="0"/>
                  <w:marBottom w:val="0"/>
                  <w:divBdr>
                    <w:top w:val="none" w:sz="0" w:space="0" w:color="auto"/>
                    <w:left w:val="none" w:sz="0" w:space="0" w:color="auto"/>
                    <w:bottom w:val="none" w:sz="0" w:space="0" w:color="auto"/>
                    <w:right w:val="none" w:sz="0" w:space="0" w:color="auto"/>
                  </w:divBdr>
                  <w:divsChild>
                    <w:div w:id="901915833">
                      <w:marLeft w:val="0"/>
                      <w:marRight w:val="0"/>
                      <w:marTop w:val="0"/>
                      <w:marBottom w:val="0"/>
                      <w:divBdr>
                        <w:top w:val="none" w:sz="0" w:space="0" w:color="auto"/>
                        <w:left w:val="none" w:sz="0" w:space="0" w:color="auto"/>
                        <w:bottom w:val="none" w:sz="0" w:space="0" w:color="auto"/>
                        <w:right w:val="none" w:sz="0" w:space="0" w:color="auto"/>
                      </w:divBdr>
                    </w:div>
                  </w:divsChild>
                </w:div>
                <w:div w:id="1487160167">
                  <w:marLeft w:val="0"/>
                  <w:marRight w:val="0"/>
                  <w:marTop w:val="0"/>
                  <w:marBottom w:val="0"/>
                  <w:divBdr>
                    <w:top w:val="none" w:sz="0" w:space="0" w:color="auto"/>
                    <w:left w:val="none" w:sz="0" w:space="0" w:color="auto"/>
                    <w:bottom w:val="none" w:sz="0" w:space="0" w:color="auto"/>
                    <w:right w:val="none" w:sz="0" w:space="0" w:color="auto"/>
                  </w:divBdr>
                  <w:divsChild>
                    <w:div w:id="273101416">
                      <w:marLeft w:val="0"/>
                      <w:marRight w:val="0"/>
                      <w:marTop w:val="0"/>
                      <w:marBottom w:val="0"/>
                      <w:divBdr>
                        <w:top w:val="none" w:sz="0" w:space="0" w:color="auto"/>
                        <w:left w:val="none" w:sz="0" w:space="0" w:color="auto"/>
                        <w:bottom w:val="none" w:sz="0" w:space="0" w:color="auto"/>
                        <w:right w:val="none" w:sz="0" w:space="0" w:color="auto"/>
                      </w:divBdr>
                    </w:div>
                  </w:divsChild>
                </w:div>
                <w:div w:id="1518806390">
                  <w:marLeft w:val="0"/>
                  <w:marRight w:val="0"/>
                  <w:marTop w:val="0"/>
                  <w:marBottom w:val="0"/>
                  <w:divBdr>
                    <w:top w:val="none" w:sz="0" w:space="0" w:color="auto"/>
                    <w:left w:val="none" w:sz="0" w:space="0" w:color="auto"/>
                    <w:bottom w:val="none" w:sz="0" w:space="0" w:color="auto"/>
                    <w:right w:val="none" w:sz="0" w:space="0" w:color="auto"/>
                  </w:divBdr>
                  <w:divsChild>
                    <w:div w:id="1638146526">
                      <w:marLeft w:val="0"/>
                      <w:marRight w:val="0"/>
                      <w:marTop w:val="0"/>
                      <w:marBottom w:val="0"/>
                      <w:divBdr>
                        <w:top w:val="none" w:sz="0" w:space="0" w:color="auto"/>
                        <w:left w:val="none" w:sz="0" w:space="0" w:color="auto"/>
                        <w:bottom w:val="none" w:sz="0" w:space="0" w:color="auto"/>
                        <w:right w:val="none" w:sz="0" w:space="0" w:color="auto"/>
                      </w:divBdr>
                    </w:div>
                  </w:divsChild>
                </w:div>
                <w:div w:id="1519006915">
                  <w:marLeft w:val="0"/>
                  <w:marRight w:val="0"/>
                  <w:marTop w:val="0"/>
                  <w:marBottom w:val="0"/>
                  <w:divBdr>
                    <w:top w:val="none" w:sz="0" w:space="0" w:color="auto"/>
                    <w:left w:val="none" w:sz="0" w:space="0" w:color="auto"/>
                    <w:bottom w:val="none" w:sz="0" w:space="0" w:color="auto"/>
                    <w:right w:val="none" w:sz="0" w:space="0" w:color="auto"/>
                  </w:divBdr>
                  <w:divsChild>
                    <w:div w:id="1777558741">
                      <w:marLeft w:val="0"/>
                      <w:marRight w:val="0"/>
                      <w:marTop w:val="0"/>
                      <w:marBottom w:val="0"/>
                      <w:divBdr>
                        <w:top w:val="none" w:sz="0" w:space="0" w:color="auto"/>
                        <w:left w:val="none" w:sz="0" w:space="0" w:color="auto"/>
                        <w:bottom w:val="none" w:sz="0" w:space="0" w:color="auto"/>
                        <w:right w:val="none" w:sz="0" w:space="0" w:color="auto"/>
                      </w:divBdr>
                    </w:div>
                  </w:divsChild>
                </w:div>
                <w:div w:id="1533035646">
                  <w:marLeft w:val="0"/>
                  <w:marRight w:val="0"/>
                  <w:marTop w:val="0"/>
                  <w:marBottom w:val="0"/>
                  <w:divBdr>
                    <w:top w:val="none" w:sz="0" w:space="0" w:color="auto"/>
                    <w:left w:val="none" w:sz="0" w:space="0" w:color="auto"/>
                    <w:bottom w:val="none" w:sz="0" w:space="0" w:color="auto"/>
                    <w:right w:val="none" w:sz="0" w:space="0" w:color="auto"/>
                  </w:divBdr>
                  <w:divsChild>
                    <w:div w:id="458955023">
                      <w:marLeft w:val="0"/>
                      <w:marRight w:val="0"/>
                      <w:marTop w:val="0"/>
                      <w:marBottom w:val="0"/>
                      <w:divBdr>
                        <w:top w:val="none" w:sz="0" w:space="0" w:color="auto"/>
                        <w:left w:val="none" w:sz="0" w:space="0" w:color="auto"/>
                        <w:bottom w:val="none" w:sz="0" w:space="0" w:color="auto"/>
                        <w:right w:val="none" w:sz="0" w:space="0" w:color="auto"/>
                      </w:divBdr>
                    </w:div>
                  </w:divsChild>
                </w:div>
                <w:div w:id="1590887739">
                  <w:marLeft w:val="0"/>
                  <w:marRight w:val="0"/>
                  <w:marTop w:val="0"/>
                  <w:marBottom w:val="0"/>
                  <w:divBdr>
                    <w:top w:val="none" w:sz="0" w:space="0" w:color="auto"/>
                    <w:left w:val="none" w:sz="0" w:space="0" w:color="auto"/>
                    <w:bottom w:val="none" w:sz="0" w:space="0" w:color="auto"/>
                    <w:right w:val="none" w:sz="0" w:space="0" w:color="auto"/>
                  </w:divBdr>
                  <w:divsChild>
                    <w:div w:id="544028905">
                      <w:marLeft w:val="0"/>
                      <w:marRight w:val="0"/>
                      <w:marTop w:val="0"/>
                      <w:marBottom w:val="0"/>
                      <w:divBdr>
                        <w:top w:val="none" w:sz="0" w:space="0" w:color="auto"/>
                        <w:left w:val="none" w:sz="0" w:space="0" w:color="auto"/>
                        <w:bottom w:val="none" w:sz="0" w:space="0" w:color="auto"/>
                        <w:right w:val="none" w:sz="0" w:space="0" w:color="auto"/>
                      </w:divBdr>
                    </w:div>
                  </w:divsChild>
                </w:div>
                <w:div w:id="1620716774">
                  <w:marLeft w:val="0"/>
                  <w:marRight w:val="0"/>
                  <w:marTop w:val="0"/>
                  <w:marBottom w:val="0"/>
                  <w:divBdr>
                    <w:top w:val="none" w:sz="0" w:space="0" w:color="auto"/>
                    <w:left w:val="none" w:sz="0" w:space="0" w:color="auto"/>
                    <w:bottom w:val="none" w:sz="0" w:space="0" w:color="auto"/>
                    <w:right w:val="none" w:sz="0" w:space="0" w:color="auto"/>
                  </w:divBdr>
                  <w:divsChild>
                    <w:div w:id="268780871">
                      <w:marLeft w:val="0"/>
                      <w:marRight w:val="0"/>
                      <w:marTop w:val="0"/>
                      <w:marBottom w:val="0"/>
                      <w:divBdr>
                        <w:top w:val="none" w:sz="0" w:space="0" w:color="auto"/>
                        <w:left w:val="none" w:sz="0" w:space="0" w:color="auto"/>
                        <w:bottom w:val="none" w:sz="0" w:space="0" w:color="auto"/>
                        <w:right w:val="none" w:sz="0" w:space="0" w:color="auto"/>
                      </w:divBdr>
                    </w:div>
                  </w:divsChild>
                </w:div>
                <w:div w:id="1632401939">
                  <w:marLeft w:val="0"/>
                  <w:marRight w:val="0"/>
                  <w:marTop w:val="0"/>
                  <w:marBottom w:val="0"/>
                  <w:divBdr>
                    <w:top w:val="none" w:sz="0" w:space="0" w:color="auto"/>
                    <w:left w:val="none" w:sz="0" w:space="0" w:color="auto"/>
                    <w:bottom w:val="none" w:sz="0" w:space="0" w:color="auto"/>
                    <w:right w:val="none" w:sz="0" w:space="0" w:color="auto"/>
                  </w:divBdr>
                  <w:divsChild>
                    <w:div w:id="1519999425">
                      <w:marLeft w:val="0"/>
                      <w:marRight w:val="0"/>
                      <w:marTop w:val="0"/>
                      <w:marBottom w:val="0"/>
                      <w:divBdr>
                        <w:top w:val="none" w:sz="0" w:space="0" w:color="auto"/>
                        <w:left w:val="none" w:sz="0" w:space="0" w:color="auto"/>
                        <w:bottom w:val="none" w:sz="0" w:space="0" w:color="auto"/>
                        <w:right w:val="none" w:sz="0" w:space="0" w:color="auto"/>
                      </w:divBdr>
                    </w:div>
                  </w:divsChild>
                </w:div>
                <w:div w:id="1636980937">
                  <w:marLeft w:val="0"/>
                  <w:marRight w:val="0"/>
                  <w:marTop w:val="0"/>
                  <w:marBottom w:val="0"/>
                  <w:divBdr>
                    <w:top w:val="none" w:sz="0" w:space="0" w:color="auto"/>
                    <w:left w:val="none" w:sz="0" w:space="0" w:color="auto"/>
                    <w:bottom w:val="none" w:sz="0" w:space="0" w:color="auto"/>
                    <w:right w:val="none" w:sz="0" w:space="0" w:color="auto"/>
                  </w:divBdr>
                  <w:divsChild>
                    <w:div w:id="1349714036">
                      <w:marLeft w:val="0"/>
                      <w:marRight w:val="0"/>
                      <w:marTop w:val="0"/>
                      <w:marBottom w:val="0"/>
                      <w:divBdr>
                        <w:top w:val="none" w:sz="0" w:space="0" w:color="auto"/>
                        <w:left w:val="none" w:sz="0" w:space="0" w:color="auto"/>
                        <w:bottom w:val="none" w:sz="0" w:space="0" w:color="auto"/>
                        <w:right w:val="none" w:sz="0" w:space="0" w:color="auto"/>
                      </w:divBdr>
                    </w:div>
                  </w:divsChild>
                </w:div>
                <w:div w:id="1638948491">
                  <w:marLeft w:val="0"/>
                  <w:marRight w:val="0"/>
                  <w:marTop w:val="0"/>
                  <w:marBottom w:val="0"/>
                  <w:divBdr>
                    <w:top w:val="none" w:sz="0" w:space="0" w:color="auto"/>
                    <w:left w:val="none" w:sz="0" w:space="0" w:color="auto"/>
                    <w:bottom w:val="none" w:sz="0" w:space="0" w:color="auto"/>
                    <w:right w:val="none" w:sz="0" w:space="0" w:color="auto"/>
                  </w:divBdr>
                  <w:divsChild>
                    <w:div w:id="1495099378">
                      <w:marLeft w:val="0"/>
                      <w:marRight w:val="0"/>
                      <w:marTop w:val="0"/>
                      <w:marBottom w:val="0"/>
                      <w:divBdr>
                        <w:top w:val="none" w:sz="0" w:space="0" w:color="auto"/>
                        <w:left w:val="none" w:sz="0" w:space="0" w:color="auto"/>
                        <w:bottom w:val="none" w:sz="0" w:space="0" w:color="auto"/>
                        <w:right w:val="none" w:sz="0" w:space="0" w:color="auto"/>
                      </w:divBdr>
                    </w:div>
                  </w:divsChild>
                </w:div>
                <w:div w:id="1644430564">
                  <w:marLeft w:val="0"/>
                  <w:marRight w:val="0"/>
                  <w:marTop w:val="0"/>
                  <w:marBottom w:val="0"/>
                  <w:divBdr>
                    <w:top w:val="none" w:sz="0" w:space="0" w:color="auto"/>
                    <w:left w:val="none" w:sz="0" w:space="0" w:color="auto"/>
                    <w:bottom w:val="none" w:sz="0" w:space="0" w:color="auto"/>
                    <w:right w:val="none" w:sz="0" w:space="0" w:color="auto"/>
                  </w:divBdr>
                  <w:divsChild>
                    <w:div w:id="200942954">
                      <w:marLeft w:val="0"/>
                      <w:marRight w:val="0"/>
                      <w:marTop w:val="0"/>
                      <w:marBottom w:val="0"/>
                      <w:divBdr>
                        <w:top w:val="none" w:sz="0" w:space="0" w:color="auto"/>
                        <w:left w:val="none" w:sz="0" w:space="0" w:color="auto"/>
                        <w:bottom w:val="none" w:sz="0" w:space="0" w:color="auto"/>
                        <w:right w:val="none" w:sz="0" w:space="0" w:color="auto"/>
                      </w:divBdr>
                    </w:div>
                  </w:divsChild>
                </w:div>
                <w:div w:id="1685746936">
                  <w:marLeft w:val="0"/>
                  <w:marRight w:val="0"/>
                  <w:marTop w:val="0"/>
                  <w:marBottom w:val="0"/>
                  <w:divBdr>
                    <w:top w:val="none" w:sz="0" w:space="0" w:color="auto"/>
                    <w:left w:val="none" w:sz="0" w:space="0" w:color="auto"/>
                    <w:bottom w:val="none" w:sz="0" w:space="0" w:color="auto"/>
                    <w:right w:val="none" w:sz="0" w:space="0" w:color="auto"/>
                  </w:divBdr>
                  <w:divsChild>
                    <w:div w:id="1064988882">
                      <w:marLeft w:val="0"/>
                      <w:marRight w:val="0"/>
                      <w:marTop w:val="0"/>
                      <w:marBottom w:val="0"/>
                      <w:divBdr>
                        <w:top w:val="none" w:sz="0" w:space="0" w:color="auto"/>
                        <w:left w:val="none" w:sz="0" w:space="0" w:color="auto"/>
                        <w:bottom w:val="none" w:sz="0" w:space="0" w:color="auto"/>
                        <w:right w:val="none" w:sz="0" w:space="0" w:color="auto"/>
                      </w:divBdr>
                    </w:div>
                  </w:divsChild>
                </w:div>
                <w:div w:id="1691179733">
                  <w:marLeft w:val="0"/>
                  <w:marRight w:val="0"/>
                  <w:marTop w:val="0"/>
                  <w:marBottom w:val="0"/>
                  <w:divBdr>
                    <w:top w:val="none" w:sz="0" w:space="0" w:color="auto"/>
                    <w:left w:val="none" w:sz="0" w:space="0" w:color="auto"/>
                    <w:bottom w:val="none" w:sz="0" w:space="0" w:color="auto"/>
                    <w:right w:val="none" w:sz="0" w:space="0" w:color="auto"/>
                  </w:divBdr>
                  <w:divsChild>
                    <w:div w:id="941766222">
                      <w:marLeft w:val="0"/>
                      <w:marRight w:val="0"/>
                      <w:marTop w:val="0"/>
                      <w:marBottom w:val="0"/>
                      <w:divBdr>
                        <w:top w:val="none" w:sz="0" w:space="0" w:color="auto"/>
                        <w:left w:val="none" w:sz="0" w:space="0" w:color="auto"/>
                        <w:bottom w:val="none" w:sz="0" w:space="0" w:color="auto"/>
                        <w:right w:val="none" w:sz="0" w:space="0" w:color="auto"/>
                      </w:divBdr>
                    </w:div>
                  </w:divsChild>
                </w:div>
                <w:div w:id="1729762863">
                  <w:marLeft w:val="0"/>
                  <w:marRight w:val="0"/>
                  <w:marTop w:val="0"/>
                  <w:marBottom w:val="0"/>
                  <w:divBdr>
                    <w:top w:val="none" w:sz="0" w:space="0" w:color="auto"/>
                    <w:left w:val="none" w:sz="0" w:space="0" w:color="auto"/>
                    <w:bottom w:val="none" w:sz="0" w:space="0" w:color="auto"/>
                    <w:right w:val="none" w:sz="0" w:space="0" w:color="auto"/>
                  </w:divBdr>
                  <w:divsChild>
                    <w:div w:id="1054239584">
                      <w:marLeft w:val="0"/>
                      <w:marRight w:val="0"/>
                      <w:marTop w:val="0"/>
                      <w:marBottom w:val="0"/>
                      <w:divBdr>
                        <w:top w:val="none" w:sz="0" w:space="0" w:color="auto"/>
                        <w:left w:val="none" w:sz="0" w:space="0" w:color="auto"/>
                        <w:bottom w:val="none" w:sz="0" w:space="0" w:color="auto"/>
                        <w:right w:val="none" w:sz="0" w:space="0" w:color="auto"/>
                      </w:divBdr>
                    </w:div>
                  </w:divsChild>
                </w:div>
                <w:div w:id="1738283313">
                  <w:marLeft w:val="0"/>
                  <w:marRight w:val="0"/>
                  <w:marTop w:val="0"/>
                  <w:marBottom w:val="0"/>
                  <w:divBdr>
                    <w:top w:val="none" w:sz="0" w:space="0" w:color="auto"/>
                    <w:left w:val="none" w:sz="0" w:space="0" w:color="auto"/>
                    <w:bottom w:val="none" w:sz="0" w:space="0" w:color="auto"/>
                    <w:right w:val="none" w:sz="0" w:space="0" w:color="auto"/>
                  </w:divBdr>
                  <w:divsChild>
                    <w:div w:id="46145771">
                      <w:marLeft w:val="0"/>
                      <w:marRight w:val="0"/>
                      <w:marTop w:val="0"/>
                      <w:marBottom w:val="0"/>
                      <w:divBdr>
                        <w:top w:val="none" w:sz="0" w:space="0" w:color="auto"/>
                        <w:left w:val="none" w:sz="0" w:space="0" w:color="auto"/>
                        <w:bottom w:val="none" w:sz="0" w:space="0" w:color="auto"/>
                        <w:right w:val="none" w:sz="0" w:space="0" w:color="auto"/>
                      </w:divBdr>
                    </w:div>
                  </w:divsChild>
                </w:div>
                <w:div w:id="1772430650">
                  <w:marLeft w:val="0"/>
                  <w:marRight w:val="0"/>
                  <w:marTop w:val="0"/>
                  <w:marBottom w:val="0"/>
                  <w:divBdr>
                    <w:top w:val="none" w:sz="0" w:space="0" w:color="auto"/>
                    <w:left w:val="none" w:sz="0" w:space="0" w:color="auto"/>
                    <w:bottom w:val="none" w:sz="0" w:space="0" w:color="auto"/>
                    <w:right w:val="none" w:sz="0" w:space="0" w:color="auto"/>
                  </w:divBdr>
                  <w:divsChild>
                    <w:div w:id="1136526229">
                      <w:marLeft w:val="0"/>
                      <w:marRight w:val="0"/>
                      <w:marTop w:val="0"/>
                      <w:marBottom w:val="0"/>
                      <w:divBdr>
                        <w:top w:val="none" w:sz="0" w:space="0" w:color="auto"/>
                        <w:left w:val="none" w:sz="0" w:space="0" w:color="auto"/>
                        <w:bottom w:val="none" w:sz="0" w:space="0" w:color="auto"/>
                        <w:right w:val="none" w:sz="0" w:space="0" w:color="auto"/>
                      </w:divBdr>
                    </w:div>
                  </w:divsChild>
                </w:div>
                <w:div w:id="1783189081">
                  <w:marLeft w:val="0"/>
                  <w:marRight w:val="0"/>
                  <w:marTop w:val="0"/>
                  <w:marBottom w:val="0"/>
                  <w:divBdr>
                    <w:top w:val="none" w:sz="0" w:space="0" w:color="auto"/>
                    <w:left w:val="none" w:sz="0" w:space="0" w:color="auto"/>
                    <w:bottom w:val="none" w:sz="0" w:space="0" w:color="auto"/>
                    <w:right w:val="none" w:sz="0" w:space="0" w:color="auto"/>
                  </w:divBdr>
                  <w:divsChild>
                    <w:div w:id="1199313570">
                      <w:marLeft w:val="0"/>
                      <w:marRight w:val="0"/>
                      <w:marTop w:val="0"/>
                      <w:marBottom w:val="0"/>
                      <w:divBdr>
                        <w:top w:val="none" w:sz="0" w:space="0" w:color="auto"/>
                        <w:left w:val="none" w:sz="0" w:space="0" w:color="auto"/>
                        <w:bottom w:val="none" w:sz="0" w:space="0" w:color="auto"/>
                        <w:right w:val="none" w:sz="0" w:space="0" w:color="auto"/>
                      </w:divBdr>
                    </w:div>
                  </w:divsChild>
                </w:div>
                <w:div w:id="1835729937">
                  <w:marLeft w:val="0"/>
                  <w:marRight w:val="0"/>
                  <w:marTop w:val="0"/>
                  <w:marBottom w:val="0"/>
                  <w:divBdr>
                    <w:top w:val="none" w:sz="0" w:space="0" w:color="auto"/>
                    <w:left w:val="none" w:sz="0" w:space="0" w:color="auto"/>
                    <w:bottom w:val="none" w:sz="0" w:space="0" w:color="auto"/>
                    <w:right w:val="none" w:sz="0" w:space="0" w:color="auto"/>
                  </w:divBdr>
                  <w:divsChild>
                    <w:div w:id="1104151568">
                      <w:marLeft w:val="0"/>
                      <w:marRight w:val="0"/>
                      <w:marTop w:val="0"/>
                      <w:marBottom w:val="0"/>
                      <w:divBdr>
                        <w:top w:val="none" w:sz="0" w:space="0" w:color="auto"/>
                        <w:left w:val="none" w:sz="0" w:space="0" w:color="auto"/>
                        <w:bottom w:val="none" w:sz="0" w:space="0" w:color="auto"/>
                        <w:right w:val="none" w:sz="0" w:space="0" w:color="auto"/>
                      </w:divBdr>
                    </w:div>
                  </w:divsChild>
                </w:div>
                <w:div w:id="1845124120">
                  <w:marLeft w:val="0"/>
                  <w:marRight w:val="0"/>
                  <w:marTop w:val="0"/>
                  <w:marBottom w:val="0"/>
                  <w:divBdr>
                    <w:top w:val="none" w:sz="0" w:space="0" w:color="auto"/>
                    <w:left w:val="none" w:sz="0" w:space="0" w:color="auto"/>
                    <w:bottom w:val="none" w:sz="0" w:space="0" w:color="auto"/>
                    <w:right w:val="none" w:sz="0" w:space="0" w:color="auto"/>
                  </w:divBdr>
                  <w:divsChild>
                    <w:div w:id="112214117">
                      <w:marLeft w:val="0"/>
                      <w:marRight w:val="0"/>
                      <w:marTop w:val="0"/>
                      <w:marBottom w:val="0"/>
                      <w:divBdr>
                        <w:top w:val="none" w:sz="0" w:space="0" w:color="auto"/>
                        <w:left w:val="none" w:sz="0" w:space="0" w:color="auto"/>
                        <w:bottom w:val="none" w:sz="0" w:space="0" w:color="auto"/>
                        <w:right w:val="none" w:sz="0" w:space="0" w:color="auto"/>
                      </w:divBdr>
                    </w:div>
                  </w:divsChild>
                </w:div>
                <w:div w:id="1943412419">
                  <w:marLeft w:val="0"/>
                  <w:marRight w:val="0"/>
                  <w:marTop w:val="0"/>
                  <w:marBottom w:val="0"/>
                  <w:divBdr>
                    <w:top w:val="none" w:sz="0" w:space="0" w:color="auto"/>
                    <w:left w:val="none" w:sz="0" w:space="0" w:color="auto"/>
                    <w:bottom w:val="none" w:sz="0" w:space="0" w:color="auto"/>
                    <w:right w:val="none" w:sz="0" w:space="0" w:color="auto"/>
                  </w:divBdr>
                  <w:divsChild>
                    <w:div w:id="145708298">
                      <w:marLeft w:val="0"/>
                      <w:marRight w:val="0"/>
                      <w:marTop w:val="0"/>
                      <w:marBottom w:val="0"/>
                      <w:divBdr>
                        <w:top w:val="none" w:sz="0" w:space="0" w:color="auto"/>
                        <w:left w:val="none" w:sz="0" w:space="0" w:color="auto"/>
                        <w:bottom w:val="none" w:sz="0" w:space="0" w:color="auto"/>
                        <w:right w:val="none" w:sz="0" w:space="0" w:color="auto"/>
                      </w:divBdr>
                    </w:div>
                  </w:divsChild>
                </w:div>
                <w:div w:id="1955286999">
                  <w:marLeft w:val="0"/>
                  <w:marRight w:val="0"/>
                  <w:marTop w:val="0"/>
                  <w:marBottom w:val="0"/>
                  <w:divBdr>
                    <w:top w:val="none" w:sz="0" w:space="0" w:color="auto"/>
                    <w:left w:val="none" w:sz="0" w:space="0" w:color="auto"/>
                    <w:bottom w:val="none" w:sz="0" w:space="0" w:color="auto"/>
                    <w:right w:val="none" w:sz="0" w:space="0" w:color="auto"/>
                  </w:divBdr>
                  <w:divsChild>
                    <w:div w:id="223413084">
                      <w:marLeft w:val="0"/>
                      <w:marRight w:val="0"/>
                      <w:marTop w:val="0"/>
                      <w:marBottom w:val="0"/>
                      <w:divBdr>
                        <w:top w:val="none" w:sz="0" w:space="0" w:color="auto"/>
                        <w:left w:val="none" w:sz="0" w:space="0" w:color="auto"/>
                        <w:bottom w:val="none" w:sz="0" w:space="0" w:color="auto"/>
                        <w:right w:val="none" w:sz="0" w:space="0" w:color="auto"/>
                      </w:divBdr>
                    </w:div>
                  </w:divsChild>
                </w:div>
                <w:div w:id="1997564569">
                  <w:marLeft w:val="0"/>
                  <w:marRight w:val="0"/>
                  <w:marTop w:val="0"/>
                  <w:marBottom w:val="0"/>
                  <w:divBdr>
                    <w:top w:val="none" w:sz="0" w:space="0" w:color="auto"/>
                    <w:left w:val="none" w:sz="0" w:space="0" w:color="auto"/>
                    <w:bottom w:val="none" w:sz="0" w:space="0" w:color="auto"/>
                    <w:right w:val="none" w:sz="0" w:space="0" w:color="auto"/>
                  </w:divBdr>
                  <w:divsChild>
                    <w:div w:id="404379600">
                      <w:marLeft w:val="0"/>
                      <w:marRight w:val="0"/>
                      <w:marTop w:val="0"/>
                      <w:marBottom w:val="0"/>
                      <w:divBdr>
                        <w:top w:val="none" w:sz="0" w:space="0" w:color="auto"/>
                        <w:left w:val="none" w:sz="0" w:space="0" w:color="auto"/>
                        <w:bottom w:val="none" w:sz="0" w:space="0" w:color="auto"/>
                        <w:right w:val="none" w:sz="0" w:space="0" w:color="auto"/>
                      </w:divBdr>
                    </w:div>
                  </w:divsChild>
                </w:div>
                <w:div w:id="2027907059">
                  <w:marLeft w:val="0"/>
                  <w:marRight w:val="0"/>
                  <w:marTop w:val="0"/>
                  <w:marBottom w:val="0"/>
                  <w:divBdr>
                    <w:top w:val="none" w:sz="0" w:space="0" w:color="auto"/>
                    <w:left w:val="none" w:sz="0" w:space="0" w:color="auto"/>
                    <w:bottom w:val="none" w:sz="0" w:space="0" w:color="auto"/>
                    <w:right w:val="none" w:sz="0" w:space="0" w:color="auto"/>
                  </w:divBdr>
                  <w:divsChild>
                    <w:div w:id="994534654">
                      <w:marLeft w:val="0"/>
                      <w:marRight w:val="0"/>
                      <w:marTop w:val="0"/>
                      <w:marBottom w:val="0"/>
                      <w:divBdr>
                        <w:top w:val="none" w:sz="0" w:space="0" w:color="auto"/>
                        <w:left w:val="none" w:sz="0" w:space="0" w:color="auto"/>
                        <w:bottom w:val="none" w:sz="0" w:space="0" w:color="auto"/>
                        <w:right w:val="none" w:sz="0" w:space="0" w:color="auto"/>
                      </w:divBdr>
                    </w:div>
                  </w:divsChild>
                </w:div>
                <w:div w:id="2041009192">
                  <w:marLeft w:val="0"/>
                  <w:marRight w:val="0"/>
                  <w:marTop w:val="0"/>
                  <w:marBottom w:val="0"/>
                  <w:divBdr>
                    <w:top w:val="none" w:sz="0" w:space="0" w:color="auto"/>
                    <w:left w:val="none" w:sz="0" w:space="0" w:color="auto"/>
                    <w:bottom w:val="none" w:sz="0" w:space="0" w:color="auto"/>
                    <w:right w:val="none" w:sz="0" w:space="0" w:color="auto"/>
                  </w:divBdr>
                  <w:divsChild>
                    <w:div w:id="1597447013">
                      <w:marLeft w:val="0"/>
                      <w:marRight w:val="0"/>
                      <w:marTop w:val="0"/>
                      <w:marBottom w:val="0"/>
                      <w:divBdr>
                        <w:top w:val="none" w:sz="0" w:space="0" w:color="auto"/>
                        <w:left w:val="none" w:sz="0" w:space="0" w:color="auto"/>
                        <w:bottom w:val="none" w:sz="0" w:space="0" w:color="auto"/>
                        <w:right w:val="none" w:sz="0" w:space="0" w:color="auto"/>
                      </w:divBdr>
                    </w:div>
                  </w:divsChild>
                </w:div>
                <w:div w:id="2067681683">
                  <w:marLeft w:val="0"/>
                  <w:marRight w:val="0"/>
                  <w:marTop w:val="0"/>
                  <w:marBottom w:val="0"/>
                  <w:divBdr>
                    <w:top w:val="none" w:sz="0" w:space="0" w:color="auto"/>
                    <w:left w:val="none" w:sz="0" w:space="0" w:color="auto"/>
                    <w:bottom w:val="none" w:sz="0" w:space="0" w:color="auto"/>
                    <w:right w:val="none" w:sz="0" w:space="0" w:color="auto"/>
                  </w:divBdr>
                  <w:divsChild>
                    <w:div w:id="528564835">
                      <w:marLeft w:val="0"/>
                      <w:marRight w:val="0"/>
                      <w:marTop w:val="0"/>
                      <w:marBottom w:val="0"/>
                      <w:divBdr>
                        <w:top w:val="none" w:sz="0" w:space="0" w:color="auto"/>
                        <w:left w:val="none" w:sz="0" w:space="0" w:color="auto"/>
                        <w:bottom w:val="none" w:sz="0" w:space="0" w:color="auto"/>
                        <w:right w:val="none" w:sz="0" w:space="0" w:color="auto"/>
                      </w:divBdr>
                    </w:div>
                  </w:divsChild>
                </w:div>
                <w:div w:id="2097818920">
                  <w:marLeft w:val="0"/>
                  <w:marRight w:val="0"/>
                  <w:marTop w:val="0"/>
                  <w:marBottom w:val="0"/>
                  <w:divBdr>
                    <w:top w:val="none" w:sz="0" w:space="0" w:color="auto"/>
                    <w:left w:val="none" w:sz="0" w:space="0" w:color="auto"/>
                    <w:bottom w:val="none" w:sz="0" w:space="0" w:color="auto"/>
                    <w:right w:val="none" w:sz="0" w:space="0" w:color="auto"/>
                  </w:divBdr>
                  <w:divsChild>
                    <w:div w:id="440223402">
                      <w:marLeft w:val="0"/>
                      <w:marRight w:val="0"/>
                      <w:marTop w:val="0"/>
                      <w:marBottom w:val="0"/>
                      <w:divBdr>
                        <w:top w:val="none" w:sz="0" w:space="0" w:color="auto"/>
                        <w:left w:val="none" w:sz="0" w:space="0" w:color="auto"/>
                        <w:bottom w:val="none" w:sz="0" w:space="0" w:color="auto"/>
                        <w:right w:val="none" w:sz="0" w:space="0" w:color="auto"/>
                      </w:divBdr>
                    </w:div>
                  </w:divsChild>
                </w:div>
                <w:div w:id="2098672538">
                  <w:marLeft w:val="0"/>
                  <w:marRight w:val="0"/>
                  <w:marTop w:val="0"/>
                  <w:marBottom w:val="0"/>
                  <w:divBdr>
                    <w:top w:val="none" w:sz="0" w:space="0" w:color="auto"/>
                    <w:left w:val="none" w:sz="0" w:space="0" w:color="auto"/>
                    <w:bottom w:val="none" w:sz="0" w:space="0" w:color="auto"/>
                    <w:right w:val="none" w:sz="0" w:space="0" w:color="auto"/>
                  </w:divBdr>
                  <w:divsChild>
                    <w:div w:id="21309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918632">
      <w:bodyDiv w:val="1"/>
      <w:marLeft w:val="0"/>
      <w:marRight w:val="0"/>
      <w:marTop w:val="0"/>
      <w:marBottom w:val="0"/>
      <w:divBdr>
        <w:top w:val="none" w:sz="0" w:space="0" w:color="auto"/>
        <w:left w:val="none" w:sz="0" w:space="0" w:color="auto"/>
        <w:bottom w:val="none" w:sz="0" w:space="0" w:color="auto"/>
        <w:right w:val="none" w:sz="0" w:space="0" w:color="auto"/>
      </w:divBdr>
    </w:div>
    <w:div w:id="2098284017">
      <w:bodyDiv w:val="1"/>
      <w:marLeft w:val="0"/>
      <w:marRight w:val="0"/>
      <w:marTop w:val="0"/>
      <w:marBottom w:val="0"/>
      <w:divBdr>
        <w:top w:val="none" w:sz="0" w:space="0" w:color="auto"/>
        <w:left w:val="none" w:sz="0" w:space="0" w:color="auto"/>
        <w:bottom w:val="none" w:sz="0" w:space="0" w:color="auto"/>
        <w:right w:val="none" w:sz="0" w:space="0" w:color="auto"/>
      </w:divBdr>
    </w:div>
    <w:div w:id="2118476303">
      <w:bodyDiv w:val="1"/>
      <w:marLeft w:val="0"/>
      <w:marRight w:val="0"/>
      <w:marTop w:val="0"/>
      <w:marBottom w:val="0"/>
      <w:divBdr>
        <w:top w:val="none" w:sz="0" w:space="0" w:color="auto"/>
        <w:left w:val="none" w:sz="0" w:space="0" w:color="auto"/>
        <w:bottom w:val="none" w:sz="0" w:space="0" w:color="auto"/>
        <w:right w:val="none" w:sz="0" w:space="0" w:color="auto"/>
      </w:divBdr>
      <w:divsChild>
        <w:div w:id="871386778">
          <w:marLeft w:val="0"/>
          <w:marRight w:val="0"/>
          <w:marTop w:val="0"/>
          <w:marBottom w:val="0"/>
          <w:divBdr>
            <w:top w:val="none" w:sz="0" w:space="0" w:color="auto"/>
            <w:left w:val="none" w:sz="0" w:space="0" w:color="auto"/>
            <w:bottom w:val="none" w:sz="0" w:space="0" w:color="auto"/>
            <w:right w:val="none" w:sz="0" w:space="0" w:color="auto"/>
          </w:divBdr>
          <w:divsChild>
            <w:div w:id="177044033">
              <w:marLeft w:val="0"/>
              <w:marRight w:val="0"/>
              <w:marTop w:val="0"/>
              <w:marBottom w:val="0"/>
              <w:divBdr>
                <w:top w:val="none" w:sz="0" w:space="0" w:color="auto"/>
                <w:left w:val="none" w:sz="0" w:space="0" w:color="auto"/>
                <w:bottom w:val="none" w:sz="0" w:space="0" w:color="auto"/>
                <w:right w:val="none" w:sz="0" w:space="0" w:color="auto"/>
              </w:divBdr>
              <w:divsChild>
                <w:div w:id="1580628060">
                  <w:marLeft w:val="0"/>
                  <w:marRight w:val="0"/>
                  <w:marTop w:val="0"/>
                  <w:marBottom w:val="0"/>
                  <w:divBdr>
                    <w:top w:val="none" w:sz="0" w:space="0" w:color="auto"/>
                    <w:left w:val="none" w:sz="0" w:space="0" w:color="auto"/>
                    <w:bottom w:val="none" w:sz="0" w:space="0" w:color="auto"/>
                    <w:right w:val="none" w:sz="0" w:space="0" w:color="auto"/>
                  </w:divBdr>
                  <w:divsChild>
                    <w:div w:id="17743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900254">
      <w:bodyDiv w:val="1"/>
      <w:marLeft w:val="0"/>
      <w:marRight w:val="0"/>
      <w:marTop w:val="0"/>
      <w:marBottom w:val="0"/>
      <w:divBdr>
        <w:top w:val="none" w:sz="0" w:space="0" w:color="auto"/>
        <w:left w:val="none" w:sz="0" w:space="0" w:color="auto"/>
        <w:bottom w:val="none" w:sz="0" w:space="0" w:color="auto"/>
        <w:right w:val="none" w:sz="0" w:space="0" w:color="auto"/>
      </w:divBdr>
    </w:div>
    <w:div w:id="21400315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QBCC1">
      <a:dk1>
        <a:srgbClr val="020A0A"/>
      </a:dk1>
      <a:lt1>
        <a:sysClr val="window" lastClr="FFFFFF"/>
      </a:lt1>
      <a:dk2>
        <a:srgbClr val="020A0A"/>
      </a:dk2>
      <a:lt2>
        <a:srgbClr val="E8E8E8"/>
      </a:lt2>
      <a:accent1>
        <a:srgbClr val="0090BA"/>
      </a:accent1>
      <a:accent2>
        <a:srgbClr val="A51D36"/>
      </a:accent2>
      <a:accent3>
        <a:srgbClr val="54575A"/>
      </a:accent3>
      <a:accent4>
        <a:srgbClr val="020A0A"/>
      </a:accent4>
      <a:accent5>
        <a:srgbClr val="009591"/>
      </a:accent5>
      <a:accent6>
        <a:srgbClr val="F5A800"/>
      </a:accent6>
      <a:hlink>
        <a:srgbClr val="009591"/>
      </a:hlink>
      <a:folHlink>
        <a:srgbClr val="A51D3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0">
  <b:Source>
    <b:Tag>Gov24</b:Tag>
    <b:SourceType>DocumentFromInternetSite</b:SourceType>
    <b:Guid>{48C3CD44-6547-48F6-893D-93889FE8A4D8}</b:Guid>
    <b:Title>Boost our social housing Big Build</b:Title>
    <b:Year>2024</b:Year>
    <b:Publisher>The Queensland Government</b:Publisher>
    <b:Author>
      <b:Author>
        <b:NameList>
          <b:Person>
            <b:Last>Government</b:Last>
            <b:First>The</b:First>
            <b:Middle>Queensland</b:Middle>
          </b:Person>
        </b:NameList>
      </b:Author>
    </b:Author>
    <b:InternetSiteTitle>Homes for Queenslanders</b:InternetSiteTitle>
    <b:Month>September</b:Month>
    <b:Day>10</b:Day>
    <b:URL>https://www.housing.qld.gov.au/homesforqueenslanders/initiatives/social-homes</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83B74F23B32199408A85614A6AD502B9" ma:contentTypeVersion="19" ma:contentTypeDescription="Create a new document." ma:contentTypeScope="" ma:versionID="5643ccaf78b4937629d2dea4e75e67c6">
  <xsd:schema xmlns:xsd="http://www.w3.org/2001/XMLSchema" xmlns:xs="http://www.w3.org/2001/XMLSchema" xmlns:p="http://schemas.microsoft.com/office/2006/metadata/properties" xmlns:ns2="2e4fc154-58e7-4e15-9f6a-a9fe99656061" xmlns:ns3="b1793ae8-87ab-4236-841b-c71499978a24" targetNamespace="http://schemas.microsoft.com/office/2006/metadata/properties" ma:root="true" ma:fieldsID="541a8c03cd842e4b020d24675756800a" ns2:_="" ns3:_="">
    <xsd:import namespace="2e4fc154-58e7-4e15-9f6a-a9fe99656061"/>
    <xsd:import namespace="b1793ae8-87ab-4236-841b-c71499978a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fc154-58e7-4e15-9f6a-a9fe99656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376da4-caf8-4380-8b22-65f4dc9b118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793ae8-87ab-4236-841b-c71499978a2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c871b06-9f1e-4ebc-939d-d25203423a5f}" ma:internalName="TaxCatchAll" ma:showField="CatchAllData" ma:web="b1793ae8-87ab-4236-841b-c71499978a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1793ae8-87ab-4236-841b-c71499978a24" xsi:nil="true"/>
    <lcf76f155ced4ddcb4097134ff3c332f xmlns="2e4fc154-58e7-4e15-9f6a-a9fe9965606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FECE0F-181F-49F5-9167-60F3777DE66F}">
  <ds:schemaRefs>
    <ds:schemaRef ds:uri="http://schemas.openxmlformats.org/officeDocument/2006/bibliography"/>
  </ds:schemaRefs>
</ds:datastoreItem>
</file>

<file path=customXml/itemProps2.xml><?xml version="1.0" encoding="utf-8"?>
<ds:datastoreItem xmlns:ds="http://schemas.openxmlformats.org/officeDocument/2006/customXml" ds:itemID="{27F4D9E0-945D-4BAF-9FF7-301545BC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fc154-58e7-4e15-9f6a-a9fe99656061"/>
    <ds:schemaRef ds:uri="b1793ae8-87ab-4236-841b-c71499978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63A707-9512-498E-9FCE-BDFDA0383D5C}">
  <ds:schemaRefs>
    <ds:schemaRef ds:uri="http://schemas.microsoft.com/office/2006/metadata/properties"/>
    <ds:schemaRef ds:uri="http://schemas.microsoft.com/office/infopath/2007/PartnerControls"/>
    <ds:schemaRef ds:uri="b1793ae8-87ab-4236-841b-c71499978a24"/>
    <ds:schemaRef ds:uri="2e4fc154-58e7-4e15-9f6a-a9fe99656061"/>
  </ds:schemaRefs>
</ds:datastoreItem>
</file>

<file path=customXml/itemProps4.xml><?xml version="1.0" encoding="utf-8"?>
<ds:datastoreItem xmlns:ds="http://schemas.openxmlformats.org/officeDocument/2006/customXml" ds:itemID="{9EC97D3E-CED0-4524-BA4C-2E404DF32E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29441</Words>
  <Characters>167817</Characters>
  <Application>Microsoft Office Word</Application>
  <DocSecurity>0</DocSecurity>
  <Lines>1398</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196865</CharactersWithSpaces>
  <SharedDoc>false</SharedDoc>
  <HLinks>
    <vt:vector size="6" baseType="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2025-10-02T00:29:00Z</dcterms:created>
  <dcterms:modified xsi:type="dcterms:W3CDTF">2025-10-02T00:30:00Z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0x01010083B74F23B32199408A85614A6AD502B9</vt:lpwstr>
  </property>
  <property fmtid="{D5CDD505-2E9C-101B-9397-08002B2CF9AE}" pid="3" name="MediaServiceImageTags">
    <vt:lpwstr/>
  </property>
</Properties>
</file>